
<file path=[Content_Types].xml><?xml version="1.0" encoding="utf-8"?>
<Types xmlns="http://schemas.openxmlformats.org/package/2006/content-types">
  <Default Extension="xml" ContentType="application/xml"/>
  <Default Extension="bin" ContentType="application/vnd.openxmlformats-officedocument.oleObject"/>
  <Default Extension="png" ContentType="image/png"/>
  <Default Extension="emf" ContentType="image/x-emf"/>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comments.xml" ContentType="application/vnd.openxmlformats-officedocument.wordprocessingml.comments+xml"/>
  <Override PartName="/word/commentsExtended.xml" ContentType="application/vnd.openxmlformats-officedocument.wordprocessingml.commentsExtended+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people.xml" ContentType="application/vnd.openxmlformats-officedocument.wordprocessingml.peop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03F708B">
      <w:pPr>
        <w:spacing w:line="360" w:lineRule="auto"/>
        <w:jc w:val="center"/>
        <w:rPr>
          <w:rFonts w:ascii="Times New Roman" w:hAnsi="Times New Roman" w:eastAsia="宋体" w:cs="Times New Roman"/>
          <w:color w:val="auto"/>
          <w:sz w:val="72"/>
          <w:szCs w:val="72"/>
        </w:rPr>
      </w:pPr>
    </w:p>
    <w:p w14:paraId="4CCD6C1F">
      <w:pPr>
        <w:spacing w:line="360" w:lineRule="auto"/>
        <w:jc w:val="center"/>
        <w:rPr>
          <w:rFonts w:ascii="Times New Roman" w:hAnsi="Times New Roman" w:eastAsia="宋体" w:cs="Times New Roman"/>
          <w:color w:val="auto"/>
          <w:sz w:val="60"/>
          <w:szCs w:val="60"/>
        </w:rPr>
      </w:pPr>
    </w:p>
    <w:p w14:paraId="7FB9C330">
      <w:pPr>
        <w:spacing w:line="360" w:lineRule="auto"/>
        <w:jc w:val="center"/>
        <w:outlineLvl w:val="0"/>
        <w:rPr>
          <w:rFonts w:ascii="Times New Roman" w:hAnsi="Times New Roman" w:eastAsia="宋体" w:cs="Times New Roman"/>
          <w:b/>
          <w:bCs/>
          <w:color w:val="auto"/>
          <w:sz w:val="60"/>
          <w:szCs w:val="60"/>
        </w:rPr>
      </w:pPr>
      <w:bookmarkStart w:id="0" w:name="_Toc31824"/>
      <w:r>
        <w:rPr>
          <w:rFonts w:ascii="Times New Roman" w:hAnsi="Times New Roman" w:eastAsia="宋体" w:cs="Times New Roman"/>
          <w:b/>
          <w:bCs/>
          <w:color w:val="auto"/>
          <w:sz w:val="60"/>
          <w:szCs w:val="60"/>
        </w:rPr>
        <w:t>建设项目</w:t>
      </w:r>
      <w:bookmarkEnd w:id="0"/>
      <w:r>
        <w:rPr>
          <w:rFonts w:ascii="Times New Roman" w:hAnsi="Times New Roman" w:eastAsia="宋体" w:cs="Times New Roman"/>
          <w:b/>
          <w:bCs/>
          <w:color w:val="auto"/>
          <w:sz w:val="60"/>
          <w:szCs w:val="60"/>
        </w:rPr>
        <w:t>生态环境影响报告表</w:t>
      </w:r>
    </w:p>
    <w:p w14:paraId="14821827">
      <w:pPr>
        <w:spacing w:line="360" w:lineRule="auto"/>
        <w:jc w:val="center"/>
        <w:rPr>
          <w:rFonts w:ascii="Times New Roman" w:hAnsi="Times New Roman" w:eastAsia="宋体" w:cs="Times New Roman"/>
          <w:color w:val="auto"/>
          <w:sz w:val="48"/>
          <w:szCs w:val="48"/>
        </w:rPr>
      </w:pPr>
      <w:r>
        <w:rPr>
          <w:rFonts w:ascii="Times New Roman" w:hAnsi="Times New Roman" w:eastAsia="宋体" w:cs="Times New Roman"/>
          <w:color w:val="auto"/>
          <w:sz w:val="48"/>
          <w:szCs w:val="48"/>
        </w:rPr>
        <w:t>（污染影响类）</w:t>
      </w:r>
    </w:p>
    <w:p w14:paraId="5DE552A1">
      <w:pPr>
        <w:spacing w:line="360" w:lineRule="auto"/>
        <w:jc w:val="center"/>
        <w:rPr>
          <w:rFonts w:ascii="Times New Roman" w:hAnsi="Times New Roman" w:eastAsia="宋体" w:cs="Times New Roman"/>
          <w:color w:val="auto"/>
          <w:sz w:val="48"/>
          <w:szCs w:val="48"/>
        </w:rPr>
      </w:pPr>
    </w:p>
    <w:p w14:paraId="419FC8C0">
      <w:pPr>
        <w:spacing w:line="360" w:lineRule="auto"/>
        <w:jc w:val="center"/>
        <w:rPr>
          <w:rFonts w:ascii="Times New Roman" w:hAnsi="Times New Roman" w:eastAsia="宋体" w:cs="Times New Roman"/>
          <w:color w:val="auto"/>
          <w:sz w:val="48"/>
          <w:szCs w:val="48"/>
        </w:rPr>
      </w:pPr>
    </w:p>
    <w:p w14:paraId="29E5348F">
      <w:pPr>
        <w:spacing w:line="360" w:lineRule="auto"/>
        <w:jc w:val="center"/>
        <w:rPr>
          <w:rFonts w:ascii="Times New Roman" w:hAnsi="Times New Roman" w:eastAsia="宋体" w:cs="Times New Roman"/>
          <w:color w:val="auto"/>
          <w:sz w:val="48"/>
          <w:szCs w:val="48"/>
        </w:rPr>
      </w:pPr>
    </w:p>
    <w:p w14:paraId="591E1E60">
      <w:pPr>
        <w:spacing w:line="360" w:lineRule="auto"/>
        <w:jc w:val="center"/>
        <w:rPr>
          <w:rFonts w:ascii="Times New Roman" w:hAnsi="Times New Roman" w:eastAsia="宋体" w:cs="Times New Roman"/>
          <w:color w:val="auto"/>
          <w:sz w:val="48"/>
          <w:szCs w:val="48"/>
        </w:rPr>
      </w:pPr>
    </w:p>
    <w:tbl>
      <w:tblPr>
        <w:tblStyle w:val="23"/>
        <w:tblW w:w="5000" w:type="pct"/>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1580"/>
        <w:gridCol w:w="6726"/>
      </w:tblGrid>
      <w:tr w14:paraId="50CAE28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951" w:type="pct"/>
            <w:vAlign w:val="center"/>
          </w:tcPr>
          <w:p w14:paraId="73802D33">
            <w:pPr>
              <w:keepNext w:val="0"/>
              <w:keepLines w:val="0"/>
              <w:suppressLineNumbers w:val="0"/>
              <w:spacing w:before="0" w:beforeAutospacing="0" w:after="0" w:afterAutospacing="0"/>
              <w:ind w:left="0" w:right="0"/>
              <w:jc w:val="distribute"/>
              <w:rPr>
                <w:rFonts w:hint="default" w:ascii="Times New Roman" w:hAnsi="Times New Roman" w:eastAsia="宋体" w:cs="Times New Roman"/>
                <w:b/>
                <w:bCs/>
                <w:color w:val="auto"/>
                <w:sz w:val="30"/>
                <w:szCs w:val="30"/>
              </w:rPr>
            </w:pPr>
            <w:r>
              <w:rPr>
                <w:rFonts w:hint="default" w:ascii="Times New Roman" w:hAnsi="Times New Roman" w:eastAsia="宋体" w:cs="Times New Roman"/>
                <w:b/>
                <w:bCs/>
                <w:color w:val="auto"/>
                <w:sz w:val="30"/>
                <w:szCs w:val="30"/>
              </w:rPr>
              <w:t>项目名称：</w:t>
            </w:r>
          </w:p>
        </w:tc>
        <w:tc>
          <w:tcPr>
            <w:tcW w:w="4048" w:type="pct"/>
            <w:vAlign w:val="center"/>
          </w:tcPr>
          <w:p w14:paraId="31637D4E">
            <w:pPr>
              <w:keepNext w:val="0"/>
              <w:keepLines w:val="0"/>
              <w:suppressLineNumbers w:val="0"/>
              <w:spacing w:before="0" w:beforeAutospacing="0" w:after="0" w:afterAutospacing="0"/>
              <w:ind w:left="0" w:right="0"/>
              <w:jc w:val="distribute"/>
              <w:rPr>
                <w:rFonts w:hint="default" w:ascii="Times New Roman" w:hAnsi="Times New Roman" w:eastAsia="宋体" w:cs="Times New Roman"/>
                <w:color w:val="auto"/>
                <w:sz w:val="30"/>
                <w:szCs w:val="30"/>
                <w:u w:val="single"/>
              </w:rPr>
            </w:pPr>
            <w:r>
              <w:rPr>
                <w:rFonts w:hint="default" w:ascii="Times New Roman" w:hAnsi="Times New Roman" w:eastAsia="宋体" w:cs="Times New Roman"/>
                <w:color w:val="auto"/>
                <w:sz w:val="30"/>
                <w:szCs w:val="30"/>
                <w:u w:val="single"/>
              </w:rPr>
              <w:t>浙江凌志源科技股份有限公司年产500万平方米第二代动力电池高安全陶瓷化复合隔膜及2000万片纳米隔热板项目</w:t>
            </w:r>
          </w:p>
        </w:tc>
      </w:tr>
      <w:tr w14:paraId="32812D8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951" w:type="pct"/>
            <w:vAlign w:val="center"/>
          </w:tcPr>
          <w:p w14:paraId="1261B3BC">
            <w:pPr>
              <w:keepNext w:val="0"/>
              <w:keepLines w:val="0"/>
              <w:suppressLineNumbers w:val="0"/>
              <w:spacing w:before="0" w:beforeAutospacing="0" w:after="0" w:afterAutospacing="0"/>
              <w:ind w:left="0" w:right="0"/>
              <w:jc w:val="distribute"/>
              <w:rPr>
                <w:rFonts w:hint="default" w:ascii="Times New Roman" w:hAnsi="Times New Roman" w:eastAsia="宋体" w:cs="Times New Roman"/>
                <w:b/>
                <w:bCs/>
                <w:color w:val="auto"/>
                <w:sz w:val="30"/>
                <w:szCs w:val="30"/>
              </w:rPr>
            </w:pPr>
            <w:r>
              <w:rPr>
                <w:rFonts w:hint="default" w:ascii="Times New Roman" w:hAnsi="Times New Roman" w:eastAsia="宋体" w:cs="Times New Roman"/>
                <w:b/>
                <w:bCs/>
                <w:color w:val="auto"/>
                <w:sz w:val="30"/>
                <w:szCs w:val="30"/>
              </w:rPr>
              <w:t>建设单位：</w:t>
            </w:r>
          </w:p>
          <w:p w14:paraId="4938E07A">
            <w:pPr>
              <w:keepNext w:val="0"/>
              <w:keepLines w:val="0"/>
              <w:suppressLineNumbers w:val="0"/>
              <w:spacing w:before="0" w:beforeAutospacing="0" w:after="0" w:afterAutospacing="0"/>
              <w:ind w:left="0" w:right="0"/>
              <w:jc w:val="distribute"/>
              <w:rPr>
                <w:rFonts w:hint="default" w:ascii="Times New Roman" w:hAnsi="Times New Roman" w:eastAsia="宋体" w:cs="Times New Roman"/>
                <w:b/>
                <w:bCs/>
                <w:color w:val="auto"/>
                <w:sz w:val="30"/>
                <w:szCs w:val="30"/>
              </w:rPr>
            </w:pPr>
            <w:r>
              <w:rPr>
                <w:rFonts w:hint="eastAsia" w:ascii="Times New Roman" w:hAnsi="Times New Roman" w:eastAsia="宋体" w:cs="Times New Roman"/>
                <w:b/>
                <w:bCs/>
                <w:color w:val="auto"/>
                <w:sz w:val="30"/>
                <w:szCs w:val="30"/>
              </w:rPr>
              <w:t>（</w:t>
            </w:r>
            <w:r>
              <w:rPr>
                <w:rFonts w:hint="default" w:ascii="Times New Roman" w:hAnsi="Times New Roman" w:eastAsia="宋体" w:cs="Times New Roman"/>
                <w:b/>
                <w:bCs/>
                <w:color w:val="auto"/>
                <w:sz w:val="30"/>
                <w:szCs w:val="30"/>
              </w:rPr>
              <w:t>盖章</w:t>
            </w:r>
            <w:r>
              <w:rPr>
                <w:rFonts w:hint="eastAsia" w:ascii="Times New Roman" w:hAnsi="Times New Roman" w:eastAsia="宋体" w:cs="Times New Roman"/>
                <w:b/>
                <w:bCs/>
                <w:color w:val="auto"/>
                <w:sz w:val="30"/>
                <w:szCs w:val="30"/>
              </w:rPr>
              <w:t>）</w:t>
            </w:r>
          </w:p>
        </w:tc>
        <w:tc>
          <w:tcPr>
            <w:tcW w:w="4048" w:type="pct"/>
            <w:vAlign w:val="center"/>
          </w:tcPr>
          <w:p w14:paraId="26089678">
            <w:pPr>
              <w:keepNext w:val="0"/>
              <w:keepLines w:val="0"/>
              <w:suppressLineNumbers w:val="0"/>
              <w:spacing w:before="0" w:beforeAutospacing="0" w:after="0" w:afterAutospacing="0"/>
              <w:ind w:left="0" w:right="0"/>
              <w:jc w:val="distribute"/>
              <w:rPr>
                <w:rFonts w:hint="default" w:ascii="Times New Roman" w:hAnsi="Times New Roman" w:eastAsia="宋体" w:cs="Times New Roman"/>
                <w:color w:val="auto"/>
                <w:sz w:val="30"/>
                <w:szCs w:val="30"/>
                <w:u w:val="single"/>
              </w:rPr>
            </w:pPr>
            <w:r>
              <w:rPr>
                <w:rFonts w:hint="default" w:ascii="Times New Roman" w:hAnsi="Times New Roman" w:eastAsia="宋体" w:cs="Times New Roman"/>
                <w:color w:val="auto"/>
                <w:sz w:val="30"/>
                <w:szCs w:val="30"/>
                <w:u w:val="single"/>
              </w:rPr>
              <w:t>浙江凌志源科技股份有限公司</w:t>
            </w:r>
          </w:p>
        </w:tc>
      </w:tr>
      <w:tr w14:paraId="4F890E2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951" w:type="pct"/>
            <w:vAlign w:val="center"/>
          </w:tcPr>
          <w:p w14:paraId="20BC1C70">
            <w:pPr>
              <w:keepNext w:val="0"/>
              <w:keepLines w:val="0"/>
              <w:suppressLineNumbers w:val="0"/>
              <w:spacing w:before="0" w:beforeAutospacing="0" w:after="0" w:afterAutospacing="0"/>
              <w:ind w:left="0" w:right="0"/>
              <w:jc w:val="distribute"/>
              <w:rPr>
                <w:rFonts w:hint="default" w:ascii="Times New Roman" w:hAnsi="Times New Roman" w:eastAsia="宋体" w:cs="Times New Roman"/>
                <w:b/>
                <w:bCs/>
                <w:color w:val="auto"/>
                <w:sz w:val="30"/>
                <w:szCs w:val="30"/>
              </w:rPr>
            </w:pPr>
            <w:r>
              <w:rPr>
                <w:rFonts w:hint="default" w:ascii="Times New Roman" w:hAnsi="Times New Roman" w:eastAsia="宋体" w:cs="Times New Roman"/>
                <w:b/>
                <w:bCs/>
                <w:color w:val="auto"/>
                <w:sz w:val="30"/>
                <w:szCs w:val="30"/>
              </w:rPr>
              <w:t>编制日期：</w:t>
            </w:r>
          </w:p>
        </w:tc>
        <w:tc>
          <w:tcPr>
            <w:tcW w:w="4048" w:type="pct"/>
            <w:vAlign w:val="center"/>
          </w:tcPr>
          <w:p w14:paraId="6B9BB559">
            <w:pPr>
              <w:keepNext w:val="0"/>
              <w:keepLines w:val="0"/>
              <w:suppressLineNumbers w:val="0"/>
              <w:spacing w:before="0" w:beforeAutospacing="0" w:after="0" w:afterAutospacing="0"/>
              <w:ind w:left="0" w:right="0"/>
              <w:jc w:val="left"/>
              <w:rPr>
                <w:rFonts w:hint="default" w:ascii="Times New Roman" w:hAnsi="Times New Roman" w:eastAsia="宋体" w:cs="Times New Roman"/>
                <w:color w:val="auto"/>
                <w:sz w:val="30"/>
                <w:szCs w:val="30"/>
                <w:u w:val="single"/>
              </w:rPr>
            </w:pPr>
            <w:r>
              <w:rPr>
                <w:rFonts w:hint="eastAsia" w:ascii="Times New Roman" w:hAnsi="Times New Roman" w:eastAsia="宋体" w:cs="Times New Roman"/>
                <w:color w:val="auto"/>
                <w:sz w:val="30"/>
                <w:szCs w:val="30"/>
                <w:u w:val="single"/>
              </w:rPr>
              <w:t xml:space="preserve">                 </w:t>
            </w:r>
            <w:r>
              <w:rPr>
                <w:rFonts w:hint="default" w:ascii="Times New Roman" w:hAnsi="Times New Roman" w:eastAsia="宋体" w:cs="Times New Roman"/>
                <w:color w:val="auto"/>
                <w:sz w:val="30"/>
                <w:szCs w:val="30"/>
                <w:u w:val="single"/>
              </w:rPr>
              <w:t>202</w:t>
            </w:r>
            <w:r>
              <w:rPr>
                <w:rFonts w:hint="eastAsia" w:ascii="Times New Roman" w:hAnsi="Times New Roman" w:eastAsia="宋体" w:cs="Times New Roman"/>
                <w:color w:val="auto"/>
                <w:sz w:val="30"/>
                <w:szCs w:val="30"/>
                <w:u w:val="single"/>
              </w:rPr>
              <w:t>6</w:t>
            </w:r>
            <w:r>
              <w:rPr>
                <w:rFonts w:hint="default" w:ascii="Times New Roman" w:hAnsi="Times New Roman" w:eastAsia="宋体" w:cs="Times New Roman"/>
                <w:color w:val="auto"/>
                <w:sz w:val="30"/>
                <w:szCs w:val="30"/>
                <w:u w:val="single"/>
              </w:rPr>
              <w:t>年</w:t>
            </w:r>
            <w:r>
              <w:rPr>
                <w:rFonts w:hint="eastAsia" w:ascii="Times New Roman" w:hAnsi="Times New Roman" w:eastAsia="宋体" w:cs="Times New Roman"/>
                <w:color w:val="auto"/>
                <w:sz w:val="30"/>
                <w:szCs w:val="30"/>
                <w:u w:val="single"/>
                <w:lang w:val="en-US" w:eastAsia="zh-CN"/>
              </w:rPr>
              <w:t>9</w:t>
            </w:r>
            <w:r>
              <w:rPr>
                <w:rFonts w:hint="default" w:ascii="Times New Roman" w:hAnsi="Times New Roman" w:eastAsia="宋体" w:cs="Times New Roman"/>
                <w:color w:val="auto"/>
                <w:sz w:val="30"/>
                <w:szCs w:val="30"/>
                <w:u w:val="single"/>
              </w:rPr>
              <w:t>月</w:t>
            </w:r>
            <w:r>
              <w:rPr>
                <w:rFonts w:hint="eastAsia" w:ascii="Times New Roman" w:hAnsi="Times New Roman" w:eastAsia="宋体" w:cs="Times New Roman"/>
                <w:color w:val="auto"/>
                <w:sz w:val="30"/>
                <w:szCs w:val="30"/>
                <w:u w:val="single"/>
              </w:rPr>
              <w:t xml:space="preserve">                 </w:t>
            </w:r>
          </w:p>
        </w:tc>
      </w:tr>
    </w:tbl>
    <w:p w14:paraId="57F164C1">
      <w:pPr>
        <w:spacing w:line="360" w:lineRule="auto"/>
        <w:jc w:val="center"/>
        <w:rPr>
          <w:rFonts w:ascii="Times New Roman" w:hAnsi="Times New Roman" w:eastAsia="宋体" w:cs="Times New Roman"/>
          <w:color w:val="auto"/>
          <w:sz w:val="36"/>
          <w:szCs w:val="36"/>
        </w:rPr>
      </w:pPr>
    </w:p>
    <w:p w14:paraId="62B337D9">
      <w:pPr>
        <w:spacing w:line="360" w:lineRule="auto"/>
        <w:jc w:val="center"/>
        <w:rPr>
          <w:rFonts w:ascii="Times New Roman" w:hAnsi="Times New Roman" w:eastAsia="宋体" w:cs="Times New Roman"/>
          <w:color w:val="auto"/>
          <w:sz w:val="36"/>
          <w:szCs w:val="36"/>
        </w:rPr>
      </w:pPr>
    </w:p>
    <w:p w14:paraId="107263B7">
      <w:pPr>
        <w:spacing w:line="360" w:lineRule="auto"/>
        <w:jc w:val="center"/>
        <w:rPr>
          <w:rFonts w:ascii="Times New Roman" w:hAnsi="Times New Roman" w:eastAsia="宋体" w:cs="Times New Roman"/>
          <w:color w:val="auto"/>
          <w:sz w:val="36"/>
          <w:szCs w:val="36"/>
        </w:rPr>
      </w:pPr>
    </w:p>
    <w:p w14:paraId="0F681BD4">
      <w:pPr>
        <w:spacing w:line="360" w:lineRule="auto"/>
        <w:jc w:val="center"/>
        <w:outlineLvl w:val="0"/>
        <w:rPr>
          <w:rFonts w:ascii="Times New Roman" w:hAnsi="Times New Roman" w:eastAsia="宋体" w:cs="Times New Roman"/>
          <w:color w:val="auto"/>
          <w:sz w:val="36"/>
          <w:szCs w:val="36"/>
        </w:rPr>
        <w:sectPr>
          <w:headerReference r:id="rId5" w:type="default"/>
          <w:pgSz w:w="11906" w:h="16838"/>
          <w:pgMar w:top="1440" w:right="1800" w:bottom="1440" w:left="1800" w:header="851" w:footer="992" w:gutter="0"/>
          <w:pgBorders>
            <w:top w:val="none" w:sz="0" w:space="0"/>
            <w:left w:val="none" w:sz="0" w:space="0"/>
            <w:bottom w:val="none" w:sz="0" w:space="0"/>
            <w:right w:val="none" w:sz="0" w:space="0"/>
          </w:pgBorders>
          <w:cols w:space="425" w:num="1"/>
          <w:docGrid w:type="lines" w:linePitch="312" w:charSpace="0"/>
        </w:sectPr>
      </w:pPr>
      <w:bookmarkStart w:id="1" w:name="_Toc14456"/>
      <w:r>
        <w:rPr>
          <w:rFonts w:hint="eastAsia" w:ascii="Times New Roman" w:hAnsi="Times New Roman" w:eastAsia="宋体" w:cs="Times New Roman"/>
          <w:color w:val="auto"/>
          <w:sz w:val="36"/>
          <w:szCs w:val="36"/>
        </w:rPr>
        <w:t>中华人民共和国生态环境部</w:t>
      </w:r>
      <w:bookmarkEnd w:id="1"/>
    </w:p>
    <w:p w14:paraId="28005E45">
      <w:pPr>
        <w:spacing w:line="360" w:lineRule="auto"/>
        <w:jc w:val="center"/>
        <w:rPr>
          <w:rFonts w:ascii="Times New Roman" w:hAnsi="Times New Roman" w:eastAsia="宋体" w:cs="Times New Roman"/>
          <w:color w:val="auto"/>
          <w:sz w:val="36"/>
          <w:szCs w:val="36"/>
        </w:rPr>
      </w:pPr>
    </w:p>
    <w:p w14:paraId="312D5722">
      <w:pPr>
        <w:rPr>
          <w:rFonts w:ascii="Times New Roman" w:hAnsi="Times New Roman" w:eastAsia="宋体" w:cs="Times New Roman"/>
          <w:color w:val="auto"/>
          <w:sz w:val="36"/>
          <w:szCs w:val="36"/>
        </w:rPr>
      </w:pPr>
      <w:r>
        <w:rPr>
          <w:rFonts w:ascii="Times New Roman" w:hAnsi="Times New Roman" w:eastAsia="宋体" w:cs="Times New Roman"/>
          <w:color w:val="auto"/>
          <w:sz w:val="36"/>
          <w:szCs w:val="36"/>
        </w:rPr>
        <w:br w:type="page"/>
      </w:r>
    </w:p>
    <w:p w14:paraId="33747391">
      <w:pPr>
        <w:rPr>
          <w:color w:val="auto"/>
        </w:rPr>
      </w:pPr>
      <w:r>
        <w:rPr>
          <w:color w:val="auto"/>
        </w:rPr>
        <w:br w:type="page"/>
      </w:r>
    </w:p>
    <w:p w14:paraId="15824EB4">
      <w:pPr>
        <w:rPr>
          <w:color w:val="auto"/>
        </w:rPr>
        <w:sectPr>
          <w:pgSz w:w="11906" w:h="16838"/>
          <w:pgMar w:top="57" w:right="57" w:bottom="57" w:left="57" w:header="0" w:footer="0" w:gutter="0"/>
          <w:pgBorders>
            <w:top w:val="none" w:sz="0" w:space="0"/>
            <w:left w:val="none" w:sz="0" w:space="0"/>
            <w:bottom w:val="none" w:sz="0" w:space="0"/>
            <w:right w:val="none" w:sz="0" w:space="0"/>
          </w:pgBorders>
          <w:cols w:space="425" w:num="1"/>
          <w:docGrid w:type="lines" w:linePitch="312" w:charSpace="0"/>
        </w:sectPr>
      </w:pPr>
    </w:p>
    <w:sdt>
      <w:sdtPr>
        <w:rPr>
          <w:rFonts w:ascii="Times New Roman" w:hAnsi="Times New Roman" w:eastAsia="宋体" w:cs="Times New Roman"/>
          <w:b/>
          <w:bCs/>
          <w:color w:val="auto"/>
          <w:sz w:val="30"/>
          <w:szCs w:val="30"/>
        </w:rPr>
        <w:id w:val="147454025"/>
        <w15:color w:val="DBDBDB"/>
        <w:docPartObj>
          <w:docPartGallery w:val="Table of Contents"/>
          <w:docPartUnique/>
        </w:docPartObj>
      </w:sdtPr>
      <w:sdtEndPr>
        <w:rPr>
          <w:rFonts w:hint="eastAsia" w:ascii="Times New Roman" w:hAnsi="Times New Roman" w:eastAsia="宋体" w:cs="Times New Roman"/>
          <w:b w:val="0"/>
          <w:bCs w:val="0"/>
          <w:color w:val="auto"/>
          <w:sz w:val="30"/>
          <w:szCs w:val="30"/>
        </w:rPr>
      </w:sdtEndPr>
      <w:sdtContent>
        <w:p w14:paraId="43121EBD">
          <w:pPr>
            <w:spacing w:line="360" w:lineRule="auto"/>
            <w:jc w:val="center"/>
            <w:rPr>
              <w:color w:val="auto"/>
            </w:rPr>
          </w:pPr>
          <w:r>
            <w:rPr>
              <w:rFonts w:ascii="Times New Roman" w:hAnsi="Times New Roman" w:eastAsia="宋体" w:cs="Times New Roman"/>
              <w:b/>
              <w:bCs/>
              <w:color w:val="auto"/>
              <w:sz w:val="30"/>
              <w:szCs w:val="30"/>
            </w:rPr>
            <w:t>目录</w:t>
          </w:r>
        </w:p>
        <w:p w14:paraId="29322036">
          <w:pPr>
            <w:pStyle w:val="34"/>
            <w:tabs>
              <w:tab w:val="right" w:leader="dot" w:pos="8306"/>
            </w:tabs>
            <w:spacing w:line="360" w:lineRule="auto"/>
            <w:rPr>
              <w:color w:val="auto"/>
              <w:sz w:val="24"/>
              <w:szCs w:val="24"/>
            </w:rPr>
          </w:pPr>
          <w:r>
            <w:rPr>
              <w:color w:val="auto"/>
              <w:sz w:val="24"/>
              <w:szCs w:val="24"/>
            </w:rPr>
            <w:fldChar w:fldCharType="begin"/>
          </w:r>
          <w:r>
            <w:rPr>
              <w:color w:val="auto"/>
              <w:sz w:val="24"/>
              <w:szCs w:val="24"/>
            </w:rPr>
            <w:instrText xml:space="preserve">TOC \o "1-1" \h \u </w:instrText>
          </w:r>
          <w:r>
            <w:rPr>
              <w:color w:val="auto"/>
              <w:sz w:val="24"/>
              <w:szCs w:val="24"/>
            </w:rPr>
            <w:fldChar w:fldCharType="separate"/>
          </w:r>
          <w:r>
            <w:rPr>
              <w:color w:val="auto"/>
            </w:rPr>
            <w:fldChar w:fldCharType="begin"/>
          </w:r>
          <w:r>
            <w:rPr>
              <w:color w:val="auto"/>
            </w:rPr>
            <w:instrText xml:space="preserve"> HYPERLINK \l "_Toc19916" </w:instrText>
          </w:r>
          <w:r>
            <w:rPr>
              <w:color w:val="auto"/>
            </w:rPr>
            <w:fldChar w:fldCharType="separate"/>
          </w:r>
          <w:r>
            <w:rPr>
              <w:color w:val="auto"/>
              <w:sz w:val="24"/>
              <w:szCs w:val="24"/>
            </w:rPr>
            <w:t>一、建设项目基本情况</w:t>
          </w:r>
          <w:r>
            <w:rPr>
              <w:color w:val="auto"/>
              <w:sz w:val="24"/>
              <w:szCs w:val="24"/>
            </w:rPr>
            <w:tab/>
          </w:r>
          <w:r>
            <w:rPr>
              <w:color w:val="auto"/>
              <w:sz w:val="24"/>
              <w:szCs w:val="24"/>
            </w:rPr>
            <w:fldChar w:fldCharType="begin"/>
          </w:r>
          <w:r>
            <w:rPr>
              <w:color w:val="auto"/>
              <w:sz w:val="24"/>
              <w:szCs w:val="24"/>
            </w:rPr>
            <w:instrText xml:space="preserve"> PAGEREF _Toc19916 \h </w:instrText>
          </w:r>
          <w:r>
            <w:rPr>
              <w:color w:val="auto"/>
              <w:sz w:val="24"/>
              <w:szCs w:val="24"/>
            </w:rPr>
            <w:fldChar w:fldCharType="separate"/>
          </w:r>
          <w:r>
            <w:rPr>
              <w:color w:val="auto"/>
              <w:sz w:val="24"/>
              <w:szCs w:val="24"/>
            </w:rPr>
            <w:t>1</w:t>
          </w:r>
          <w:r>
            <w:rPr>
              <w:color w:val="auto"/>
              <w:sz w:val="24"/>
              <w:szCs w:val="24"/>
            </w:rPr>
            <w:fldChar w:fldCharType="end"/>
          </w:r>
          <w:r>
            <w:rPr>
              <w:color w:val="auto"/>
              <w:sz w:val="24"/>
              <w:szCs w:val="24"/>
            </w:rPr>
            <w:fldChar w:fldCharType="end"/>
          </w:r>
        </w:p>
        <w:p w14:paraId="030A9282">
          <w:pPr>
            <w:pStyle w:val="34"/>
            <w:tabs>
              <w:tab w:val="right" w:leader="dot" w:pos="8306"/>
            </w:tabs>
            <w:spacing w:line="360" w:lineRule="auto"/>
            <w:rPr>
              <w:rFonts w:hint="eastAsia" w:eastAsia="宋体"/>
              <w:color w:val="auto"/>
              <w:sz w:val="24"/>
              <w:szCs w:val="24"/>
              <w:lang w:val="en-US" w:eastAsia="zh-CN"/>
            </w:rPr>
          </w:pPr>
          <w:r>
            <w:rPr>
              <w:color w:val="auto"/>
            </w:rPr>
            <w:fldChar w:fldCharType="begin"/>
          </w:r>
          <w:r>
            <w:rPr>
              <w:color w:val="auto"/>
            </w:rPr>
            <w:instrText xml:space="preserve"> HYPERLINK \l "_Toc24364" </w:instrText>
          </w:r>
          <w:r>
            <w:rPr>
              <w:color w:val="auto"/>
            </w:rPr>
            <w:fldChar w:fldCharType="separate"/>
          </w:r>
          <w:r>
            <w:rPr>
              <w:color w:val="auto"/>
              <w:sz w:val="24"/>
              <w:szCs w:val="24"/>
            </w:rPr>
            <w:t>二、建设项目工程分析</w:t>
          </w:r>
          <w:r>
            <w:rPr>
              <w:color w:val="auto"/>
              <w:sz w:val="24"/>
              <w:szCs w:val="24"/>
            </w:rPr>
            <w:tab/>
          </w:r>
          <w:r>
            <w:rPr>
              <w:rFonts w:hint="eastAsia"/>
              <w:color w:val="auto"/>
              <w:sz w:val="24"/>
              <w:szCs w:val="24"/>
              <w:lang w:val="en-US" w:eastAsia="zh-CN"/>
            </w:rPr>
            <w:t>5</w:t>
          </w:r>
          <w:r>
            <w:rPr>
              <w:color w:val="auto"/>
              <w:sz w:val="24"/>
              <w:szCs w:val="24"/>
            </w:rPr>
            <w:fldChar w:fldCharType="end"/>
          </w:r>
          <w:r>
            <w:rPr>
              <w:rFonts w:hint="eastAsia"/>
              <w:color w:val="auto"/>
              <w:sz w:val="24"/>
              <w:szCs w:val="24"/>
              <w:lang w:val="en-US" w:eastAsia="zh-CN"/>
            </w:rPr>
            <w:t>6</w:t>
          </w:r>
        </w:p>
        <w:p w14:paraId="47A3455D">
          <w:pPr>
            <w:pStyle w:val="34"/>
            <w:tabs>
              <w:tab w:val="right" w:leader="dot" w:pos="8306"/>
            </w:tabs>
            <w:spacing w:line="360" w:lineRule="auto"/>
            <w:rPr>
              <w:color w:val="auto"/>
              <w:sz w:val="24"/>
              <w:szCs w:val="24"/>
            </w:rPr>
          </w:pPr>
          <w:r>
            <w:rPr>
              <w:color w:val="auto"/>
            </w:rPr>
            <w:fldChar w:fldCharType="begin"/>
          </w:r>
          <w:r>
            <w:rPr>
              <w:color w:val="auto"/>
            </w:rPr>
            <w:instrText xml:space="preserve"> HYPERLINK \l "_Toc17122" </w:instrText>
          </w:r>
          <w:r>
            <w:rPr>
              <w:color w:val="auto"/>
            </w:rPr>
            <w:fldChar w:fldCharType="separate"/>
          </w:r>
          <w:r>
            <w:rPr>
              <w:color w:val="auto"/>
              <w:sz w:val="24"/>
              <w:szCs w:val="24"/>
            </w:rPr>
            <w:t>三、区域环境质量现状、环境保护目标及评价标准</w:t>
          </w:r>
          <w:r>
            <w:rPr>
              <w:color w:val="auto"/>
              <w:sz w:val="24"/>
              <w:szCs w:val="24"/>
            </w:rPr>
            <w:tab/>
          </w:r>
          <w:r>
            <w:rPr>
              <w:color w:val="auto"/>
              <w:sz w:val="24"/>
              <w:szCs w:val="24"/>
            </w:rPr>
            <w:fldChar w:fldCharType="begin"/>
          </w:r>
          <w:r>
            <w:rPr>
              <w:color w:val="auto"/>
              <w:sz w:val="24"/>
              <w:szCs w:val="24"/>
            </w:rPr>
            <w:instrText xml:space="preserve"> PAGEREF _Toc17122 \h </w:instrText>
          </w:r>
          <w:r>
            <w:rPr>
              <w:color w:val="auto"/>
              <w:sz w:val="24"/>
              <w:szCs w:val="24"/>
            </w:rPr>
            <w:fldChar w:fldCharType="separate"/>
          </w:r>
          <w:r>
            <w:rPr>
              <w:color w:val="auto"/>
              <w:sz w:val="24"/>
              <w:szCs w:val="24"/>
            </w:rPr>
            <w:t>105</w:t>
          </w:r>
          <w:r>
            <w:rPr>
              <w:color w:val="auto"/>
              <w:sz w:val="24"/>
              <w:szCs w:val="24"/>
            </w:rPr>
            <w:fldChar w:fldCharType="end"/>
          </w:r>
          <w:r>
            <w:rPr>
              <w:color w:val="auto"/>
              <w:sz w:val="24"/>
              <w:szCs w:val="24"/>
            </w:rPr>
            <w:fldChar w:fldCharType="end"/>
          </w:r>
        </w:p>
        <w:p w14:paraId="5DA8ED35">
          <w:pPr>
            <w:pStyle w:val="34"/>
            <w:tabs>
              <w:tab w:val="right" w:leader="dot" w:pos="8306"/>
            </w:tabs>
            <w:spacing w:line="360" w:lineRule="auto"/>
            <w:rPr>
              <w:rFonts w:hint="default" w:eastAsia="宋体"/>
              <w:color w:val="auto"/>
              <w:sz w:val="24"/>
              <w:szCs w:val="24"/>
              <w:lang w:val="en-US" w:eastAsia="zh-CN"/>
            </w:rPr>
          </w:pPr>
          <w:r>
            <w:rPr>
              <w:color w:val="auto"/>
            </w:rPr>
            <w:fldChar w:fldCharType="begin"/>
          </w:r>
          <w:r>
            <w:rPr>
              <w:color w:val="auto"/>
            </w:rPr>
            <w:instrText xml:space="preserve"> HYPERLINK \l "_Toc3628" </w:instrText>
          </w:r>
          <w:r>
            <w:rPr>
              <w:color w:val="auto"/>
            </w:rPr>
            <w:fldChar w:fldCharType="separate"/>
          </w:r>
          <w:r>
            <w:rPr>
              <w:color w:val="auto"/>
              <w:sz w:val="24"/>
              <w:szCs w:val="24"/>
            </w:rPr>
            <w:t>四、主要环境影响和保护措施</w:t>
          </w:r>
          <w:r>
            <w:rPr>
              <w:color w:val="auto"/>
              <w:sz w:val="24"/>
              <w:szCs w:val="24"/>
            </w:rPr>
            <w:tab/>
          </w:r>
          <w:r>
            <w:rPr>
              <w:rFonts w:hint="eastAsia"/>
              <w:color w:val="auto"/>
              <w:sz w:val="24"/>
              <w:szCs w:val="24"/>
              <w:lang w:val="en-US" w:eastAsia="zh-CN"/>
            </w:rPr>
            <w:t>1</w:t>
          </w:r>
          <w:r>
            <w:rPr>
              <w:color w:val="auto"/>
              <w:sz w:val="24"/>
              <w:szCs w:val="24"/>
            </w:rPr>
            <w:fldChar w:fldCharType="end"/>
          </w:r>
          <w:r>
            <w:rPr>
              <w:rFonts w:hint="eastAsia"/>
              <w:color w:val="auto"/>
              <w:sz w:val="24"/>
              <w:szCs w:val="24"/>
              <w:lang w:val="en-US" w:eastAsia="zh-CN"/>
            </w:rPr>
            <w:t>15</w:t>
          </w:r>
        </w:p>
        <w:p w14:paraId="34A0F4BA">
          <w:pPr>
            <w:pStyle w:val="34"/>
            <w:tabs>
              <w:tab w:val="right" w:leader="dot" w:pos="8306"/>
            </w:tabs>
            <w:spacing w:line="360" w:lineRule="auto"/>
            <w:rPr>
              <w:rFonts w:hint="eastAsia" w:ascii="Times New Roman" w:hAnsi="Times New Roman" w:eastAsia="宋体" w:cs="Times New Roman"/>
              <w:color w:val="auto"/>
              <w:sz w:val="24"/>
              <w:szCs w:val="24"/>
              <w:lang w:val="en-US" w:eastAsia="zh-CN"/>
            </w:rPr>
          </w:pPr>
          <w:r>
            <w:rPr>
              <w:rFonts w:hint="eastAsia" w:ascii="Times New Roman" w:hAnsi="Times New Roman" w:eastAsia="宋体" w:cs="Times New Roman"/>
              <w:color w:val="auto"/>
              <w:sz w:val="24"/>
              <w:szCs w:val="24"/>
              <w:lang w:val="en-US" w:eastAsia="zh-CN"/>
            </w:rPr>
            <w:fldChar w:fldCharType="begin"/>
          </w:r>
          <w:r>
            <w:rPr>
              <w:rFonts w:hint="eastAsia" w:ascii="Times New Roman" w:hAnsi="Times New Roman" w:eastAsia="宋体" w:cs="Times New Roman"/>
              <w:color w:val="auto"/>
              <w:sz w:val="24"/>
              <w:szCs w:val="24"/>
              <w:lang w:val="en-US" w:eastAsia="zh-CN"/>
            </w:rPr>
            <w:instrText xml:space="preserve"> HYPERLINK \l "_Toc20285" </w:instrText>
          </w:r>
          <w:r>
            <w:rPr>
              <w:rFonts w:hint="eastAsia" w:ascii="Times New Roman" w:hAnsi="Times New Roman" w:eastAsia="宋体" w:cs="Times New Roman"/>
              <w:color w:val="auto"/>
              <w:sz w:val="24"/>
              <w:szCs w:val="24"/>
              <w:lang w:val="en-US" w:eastAsia="zh-CN"/>
            </w:rPr>
            <w:fldChar w:fldCharType="separate"/>
          </w:r>
          <w:r>
            <w:rPr>
              <w:rFonts w:hint="eastAsia" w:ascii="Times New Roman" w:hAnsi="Times New Roman" w:eastAsia="宋体" w:cs="Times New Roman"/>
              <w:color w:val="auto"/>
              <w:sz w:val="24"/>
              <w:szCs w:val="24"/>
              <w:lang w:val="en-US" w:eastAsia="zh-CN"/>
            </w:rPr>
            <w:t>五、环境保护措施监督检查清单</w:t>
          </w:r>
          <w:r>
            <w:rPr>
              <w:rFonts w:hint="eastAsia" w:ascii="Times New Roman" w:hAnsi="Times New Roman" w:eastAsia="宋体" w:cs="Times New Roman"/>
              <w:color w:val="auto"/>
              <w:sz w:val="24"/>
              <w:szCs w:val="24"/>
              <w:lang w:val="en-US" w:eastAsia="zh-CN"/>
            </w:rPr>
            <w:tab/>
          </w:r>
          <w:r>
            <w:rPr>
              <w:rFonts w:hint="eastAsia" w:ascii="Times New Roman" w:hAnsi="Times New Roman" w:eastAsia="宋体" w:cs="Times New Roman"/>
              <w:color w:val="auto"/>
              <w:sz w:val="24"/>
              <w:szCs w:val="24"/>
              <w:lang w:val="en-US" w:eastAsia="zh-CN"/>
            </w:rPr>
            <w:fldChar w:fldCharType="begin"/>
          </w:r>
          <w:r>
            <w:rPr>
              <w:rFonts w:hint="eastAsia" w:ascii="Times New Roman" w:hAnsi="Times New Roman" w:eastAsia="宋体" w:cs="Times New Roman"/>
              <w:color w:val="auto"/>
              <w:sz w:val="24"/>
              <w:szCs w:val="24"/>
              <w:lang w:val="en-US" w:eastAsia="zh-CN"/>
            </w:rPr>
            <w:instrText xml:space="preserve"> PAGEREF _Toc20285 \h </w:instrText>
          </w:r>
          <w:r>
            <w:rPr>
              <w:rFonts w:hint="eastAsia" w:ascii="Times New Roman" w:hAnsi="Times New Roman" w:eastAsia="宋体" w:cs="Times New Roman"/>
              <w:color w:val="auto"/>
              <w:sz w:val="24"/>
              <w:szCs w:val="24"/>
              <w:lang w:val="en-US" w:eastAsia="zh-CN"/>
            </w:rPr>
            <w:fldChar w:fldCharType="separate"/>
          </w:r>
          <w:r>
            <w:rPr>
              <w:rFonts w:hint="eastAsia" w:ascii="Times New Roman" w:hAnsi="Times New Roman" w:eastAsia="宋体" w:cs="Times New Roman"/>
              <w:color w:val="auto"/>
              <w:sz w:val="24"/>
              <w:szCs w:val="24"/>
              <w:lang w:val="en-US" w:eastAsia="zh-CN"/>
            </w:rPr>
            <w:t>170</w:t>
          </w:r>
          <w:r>
            <w:rPr>
              <w:rFonts w:hint="eastAsia" w:ascii="Times New Roman" w:hAnsi="Times New Roman" w:eastAsia="宋体" w:cs="Times New Roman"/>
              <w:color w:val="auto"/>
              <w:sz w:val="24"/>
              <w:szCs w:val="24"/>
              <w:lang w:val="en-US" w:eastAsia="zh-CN"/>
            </w:rPr>
            <w:fldChar w:fldCharType="end"/>
          </w:r>
          <w:r>
            <w:rPr>
              <w:rFonts w:hint="eastAsia" w:ascii="Times New Roman" w:hAnsi="Times New Roman" w:eastAsia="宋体" w:cs="Times New Roman"/>
              <w:color w:val="auto"/>
              <w:sz w:val="24"/>
              <w:szCs w:val="24"/>
              <w:lang w:val="en-US" w:eastAsia="zh-CN"/>
            </w:rPr>
            <w:fldChar w:fldCharType="end"/>
          </w:r>
        </w:p>
        <w:p w14:paraId="1DD961AF">
          <w:pPr>
            <w:pStyle w:val="34"/>
            <w:tabs>
              <w:tab w:val="right" w:leader="dot" w:pos="8306"/>
            </w:tabs>
            <w:spacing w:line="360" w:lineRule="auto"/>
            <w:rPr>
              <w:rFonts w:hint="eastAsia" w:eastAsia="宋体"/>
              <w:color w:val="auto"/>
              <w:sz w:val="24"/>
              <w:szCs w:val="24"/>
              <w:lang w:val="en-US" w:eastAsia="zh-CN"/>
            </w:rPr>
          </w:pPr>
          <w:r>
            <w:rPr>
              <w:rFonts w:hint="eastAsia" w:ascii="Times New Roman" w:hAnsi="Times New Roman" w:eastAsia="宋体" w:cs="Times New Roman"/>
              <w:color w:val="auto"/>
              <w:sz w:val="24"/>
              <w:szCs w:val="24"/>
              <w:lang w:val="en-US" w:eastAsia="zh-CN"/>
            </w:rPr>
            <w:fldChar w:fldCharType="begin"/>
          </w:r>
          <w:r>
            <w:rPr>
              <w:rFonts w:hint="eastAsia" w:ascii="Times New Roman" w:hAnsi="Times New Roman" w:eastAsia="宋体" w:cs="Times New Roman"/>
              <w:color w:val="auto"/>
              <w:sz w:val="24"/>
              <w:szCs w:val="24"/>
              <w:lang w:val="en-US" w:eastAsia="zh-CN"/>
            </w:rPr>
            <w:instrText xml:space="preserve"> HYPERLINK \l "_Toc20660" </w:instrText>
          </w:r>
          <w:r>
            <w:rPr>
              <w:rFonts w:hint="eastAsia" w:ascii="Times New Roman" w:hAnsi="Times New Roman" w:eastAsia="宋体" w:cs="Times New Roman"/>
              <w:color w:val="auto"/>
              <w:sz w:val="24"/>
              <w:szCs w:val="24"/>
              <w:lang w:val="en-US" w:eastAsia="zh-CN"/>
            </w:rPr>
            <w:fldChar w:fldCharType="separate"/>
          </w:r>
          <w:r>
            <w:rPr>
              <w:rFonts w:hint="eastAsia" w:ascii="Times New Roman" w:hAnsi="Times New Roman" w:eastAsia="宋体" w:cs="Times New Roman"/>
              <w:color w:val="auto"/>
              <w:sz w:val="24"/>
              <w:szCs w:val="24"/>
              <w:lang w:val="en-US" w:eastAsia="zh-CN"/>
            </w:rPr>
            <w:t>六、结论</w:t>
          </w:r>
          <w:r>
            <w:rPr>
              <w:rFonts w:hint="eastAsia" w:ascii="Times New Roman" w:hAnsi="Times New Roman" w:eastAsia="宋体" w:cs="Times New Roman"/>
              <w:color w:val="auto"/>
              <w:sz w:val="24"/>
              <w:szCs w:val="24"/>
              <w:lang w:val="en-US" w:eastAsia="zh-CN"/>
            </w:rPr>
            <w:tab/>
          </w:r>
          <w:r>
            <w:rPr>
              <w:rFonts w:hint="eastAsia" w:ascii="Times New Roman" w:hAnsi="Times New Roman" w:eastAsia="宋体" w:cs="Times New Roman"/>
              <w:color w:val="auto"/>
              <w:sz w:val="24"/>
              <w:szCs w:val="24"/>
              <w:lang w:val="en-US" w:eastAsia="zh-CN"/>
            </w:rPr>
            <w:fldChar w:fldCharType="begin"/>
          </w:r>
          <w:r>
            <w:rPr>
              <w:rFonts w:hint="eastAsia" w:ascii="Times New Roman" w:hAnsi="Times New Roman" w:eastAsia="宋体" w:cs="Times New Roman"/>
              <w:color w:val="auto"/>
              <w:sz w:val="24"/>
              <w:szCs w:val="24"/>
              <w:lang w:val="en-US" w:eastAsia="zh-CN"/>
            </w:rPr>
            <w:instrText xml:space="preserve"> PAGEREF _Toc20660 \h </w:instrText>
          </w:r>
          <w:r>
            <w:rPr>
              <w:rFonts w:hint="eastAsia" w:ascii="Times New Roman" w:hAnsi="Times New Roman" w:eastAsia="宋体" w:cs="Times New Roman"/>
              <w:color w:val="auto"/>
              <w:sz w:val="24"/>
              <w:szCs w:val="24"/>
              <w:lang w:val="en-US" w:eastAsia="zh-CN"/>
            </w:rPr>
            <w:fldChar w:fldCharType="separate"/>
          </w:r>
          <w:r>
            <w:rPr>
              <w:rFonts w:hint="eastAsia" w:ascii="Times New Roman" w:hAnsi="Times New Roman" w:eastAsia="宋体" w:cs="Times New Roman"/>
              <w:color w:val="auto"/>
              <w:sz w:val="24"/>
              <w:szCs w:val="24"/>
              <w:lang w:val="en-US" w:eastAsia="zh-CN"/>
            </w:rPr>
            <w:t>173</w:t>
          </w:r>
          <w:r>
            <w:rPr>
              <w:rFonts w:hint="eastAsia" w:ascii="Times New Roman" w:hAnsi="Times New Roman" w:eastAsia="宋体" w:cs="Times New Roman"/>
              <w:color w:val="auto"/>
              <w:sz w:val="24"/>
              <w:szCs w:val="24"/>
              <w:lang w:val="en-US" w:eastAsia="zh-CN"/>
            </w:rPr>
            <w:fldChar w:fldCharType="end"/>
          </w:r>
          <w:r>
            <w:rPr>
              <w:rFonts w:hint="eastAsia" w:ascii="Times New Roman" w:hAnsi="Times New Roman" w:eastAsia="宋体" w:cs="Times New Roman"/>
              <w:color w:val="auto"/>
              <w:sz w:val="24"/>
              <w:szCs w:val="24"/>
              <w:lang w:val="en-US" w:eastAsia="zh-CN"/>
            </w:rPr>
            <w:fldChar w:fldCharType="end"/>
          </w:r>
        </w:p>
        <w:p w14:paraId="37852F72">
          <w:pPr>
            <w:rPr>
              <w:color w:val="auto"/>
            </w:rPr>
          </w:pPr>
          <w:r>
            <w:rPr>
              <w:color w:val="auto"/>
            </w:rPr>
            <w:fldChar w:fldCharType="end"/>
          </w:r>
        </w:p>
        <w:p w14:paraId="0B79FD16">
          <w:pPr>
            <w:keepNext w:val="0"/>
            <w:keepLines w:val="0"/>
            <w:pageBreakBefore w:val="0"/>
            <w:widowControl w:val="0"/>
            <w:kinsoku/>
            <w:wordWrap/>
            <w:overflowPunct/>
            <w:topLinePunct w:val="0"/>
            <w:autoSpaceDE/>
            <w:autoSpaceDN/>
            <w:bidi w:val="0"/>
            <w:adjustRightInd/>
            <w:snapToGrid/>
            <w:spacing w:line="260" w:lineRule="exact"/>
            <w:textAlignment w:val="auto"/>
            <w:rPr>
              <w:rFonts w:ascii="Times New Roman" w:hAnsi="Times New Roman" w:eastAsia="宋体" w:cs="Times New Roman"/>
              <w:color w:val="auto"/>
            </w:rPr>
          </w:pPr>
          <w:r>
            <w:rPr>
              <w:rFonts w:ascii="Times New Roman" w:hAnsi="Times New Roman" w:eastAsia="宋体" w:cs="Times New Roman"/>
              <w:b/>
              <w:bCs/>
              <w:color w:val="auto"/>
            </w:rPr>
            <w:t>附表</w:t>
          </w:r>
          <w:r>
            <w:rPr>
              <w:rFonts w:hint="eastAsia" w:ascii="Times New Roman" w:hAnsi="Times New Roman" w:eastAsia="宋体" w:cs="Times New Roman"/>
              <w:b/>
              <w:bCs/>
              <w:color w:val="auto"/>
            </w:rPr>
            <w:t xml:space="preserve">  </w:t>
          </w:r>
          <w:r>
            <w:rPr>
              <w:rFonts w:ascii="Times New Roman" w:hAnsi="Times New Roman" w:eastAsia="宋体" w:cs="Times New Roman"/>
              <w:color w:val="auto"/>
            </w:rPr>
            <w:t>建设项目污染物排放量汇总表</w:t>
          </w:r>
        </w:p>
        <w:p w14:paraId="61EEF235">
          <w:pPr>
            <w:keepNext w:val="0"/>
            <w:keepLines w:val="0"/>
            <w:pageBreakBefore w:val="0"/>
            <w:widowControl w:val="0"/>
            <w:kinsoku/>
            <w:wordWrap/>
            <w:overflowPunct/>
            <w:topLinePunct w:val="0"/>
            <w:autoSpaceDE/>
            <w:autoSpaceDN/>
            <w:bidi w:val="0"/>
            <w:adjustRightInd/>
            <w:snapToGrid/>
            <w:spacing w:line="260" w:lineRule="exact"/>
            <w:textAlignment w:val="auto"/>
            <w:rPr>
              <w:color w:val="auto"/>
            </w:rPr>
          </w:pPr>
        </w:p>
        <w:p w14:paraId="26CEC475">
          <w:pPr>
            <w:keepNext w:val="0"/>
            <w:keepLines w:val="0"/>
            <w:pageBreakBefore w:val="0"/>
            <w:widowControl w:val="0"/>
            <w:kinsoku/>
            <w:wordWrap/>
            <w:overflowPunct/>
            <w:topLinePunct w:val="0"/>
            <w:autoSpaceDE/>
            <w:autoSpaceDN/>
            <w:bidi w:val="0"/>
            <w:adjustRightInd/>
            <w:snapToGrid/>
            <w:spacing w:line="260" w:lineRule="exact"/>
            <w:textAlignment w:val="auto"/>
            <w:rPr>
              <w:rFonts w:ascii="Times New Roman" w:hAnsi="Times New Roman" w:eastAsia="宋体" w:cs="Times New Roman"/>
              <w:b/>
              <w:bCs/>
              <w:color w:val="auto"/>
            </w:rPr>
          </w:pPr>
          <w:r>
            <w:rPr>
              <w:rFonts w:ascii="Times New Roman" w:hAnsi="Times New Roman" w:eastAsia="宋体" w:cs="Times New Roman"/>
              <w:b/>
              <w:bCs/>
              <w:color w:val="auto"/>
            </w:rPr>
            <w:t>附图</w:t>
          </w:r>
        </w:p>
        <w:p w14:paraId="655370E0">
          <w:pPr>
            <w:keepNext w:val="0"/>
            <w:keepLines w:val="0"/>
            <w:pageBreakBefore w:val="0"/>
            <w:widowControl w:val="0"/>
            <w:kinsoku/>
            <w:wordWrap/>
            <w:overflowPunct/>
            <w:topLinePunct w:val="0"/>
            <w:autoSpaceDE/>
            <w:autoSpaceDN/>
            <w:bidi w:val="0"/>
            <w:adjustRightInd/>
            <w:snapToGrid/>
            <w:spacing w:line="260" w:lineRule="exact"/>
            <w:ind w:firstLine="420" w:firstLineChars="200"/>
            <w:textAlignment w:val="auto"/>
            <w:rPr>
              <w:rFonts w:ascii="Times New Roman" w:hAnsi="Times New Roman" w:eastAsia="宋体" w:cs="Times New Roman"/>
              <w:color w:val="auto"/>
            </w:rPr>
          </w:pPr>
          <w:r>
            <w:rPr>
              <w:rFonts w:hint="eastAsia" w:ascii="Times New Roman" w:hAnsi="Times New Roman" w:eastAsia="宋体" w:cs="Times New Roman"/>
              <w:color w:val="auto"/>
            </w:rPr>
            <w:t>附图</w:t>
          </w:r>
          <w:r>
            <w:rPr>
              <w:rFonts w:ascii="Times New Roman" w:hAnsi="Times New Roman" w:eastAsia="宋体" w:cs="Times New Roman"/>
              <w:color w:val="auto"/>
            </w:rPr>
            <w:t xml:space="preserve">1 </w:t>
          </w:r>
          <w:r>
            <w:rPr>
              <w:rFonts w:hint="eastAsia" w:ascii="Times New Roman" w:hAnsi="Times New Roman" w:eastAsia="宋体" w:cs="Times New Roman"/>
              <w:color w:val="auto"/>
            </w:rPr>
            <w:t xml:space="preserve"> </w:t>
          </w:r>
          <w:r>
            <w:rPr>
              <w:rFonts w:hint="eastAsia" w:ascii="Times New Roman" w:hAnsi="Times New Roman" w:eastAsia="宋体" w:cs="Times New Roman"/>
              <w:color w:val="auto"/>
              <w:lang w:val="en-US" w:eastAsia="zh-CN"/>
            </w:rPr>
            <w:t>建设项目交通地理位置图</w:t>
          </w:r>
        </w:p>
        <w:p w14:paraId="4D1E404E">
          <w:pPr>
            <w:keepNext w:val="0"/>
            <w:keepLines w:val="0"/>
            <w:pageBreakBefore w:val="0"/>
            <w:widowControl w:val="0"/>
            <w:kinsoku/>
            <w:wordWrap/>
            <w:overflowPunct/>
            <w:topLinePunct w:val="0"/>
            <w:autoSpaceDE/>
            <w:autoSpaceDN/>
            <w:bidi w:val="0"/>
            <w:adjustRightInd/>
            <w:snapToGrid/>
            <w:spacing w:line="260" w:lineRule="exact"/>
            <w:ind w:firstLine="420" w:firstLineChars="200"/>
            <w:textAlignment w:val="auto"/>
            <w:rPr>
              <w:rFonts w:ascii="Times New Roman" w:hAnsi="Times New Roman" w:eastAsia="宋体" w:cs="Times New Roman"/>
              <w:color w:val="auto"/>
            </w:rPr>
          </w:pPr>
          <w:r>
            <w:rPr>
              <w:rFonts w:hint="eastAsia" w:ascii="Times New Roman" w:hAnsi="Times New Roman" w:eastAsia="宋体" w:cs="Times New Roman"/>
              <w:color w:val="auto"/>
            </w:rPr>
            <w:t>附图</w:t>
          </w:r>
          <w:r>
            <w:rPr>
              <w:rFonts w:ascii="Times New Roman" w:hAnsi="Times New Roman" w:eastAsia="宋体" w:cs="Times New Roman"/>
              <w:color w:val="auto"/>
            </w:rPr>
            <w:t xml:space="preserve">2 </w:t>
          </w:r>
          <w:r>
            <w:rPr>
              <w:rFonts w:hint="eastAsia" w:ascii="Times New Roman" w:hAnsi="Times New Roman" w:eastAsia="宋体" w:cs="Times New Roman"/>
              <w:color w:val="auto"/>
            </w:rPr>
            <w:t xml:space="preserve"> </w:t>
          </w:r>
          <w:r>
            <w:rPr>
              <w:rFonts w:hint="eastAsia" w:ascii="Times New Roman" w:hAnsi="Times New Roman" w:eastAsia="宋体" w:cs="Times New Roman"/>
              <w:color w:val="auto"/>
              <w:lang w:val="en-US" w:eastAsia="zh-CN"/>
            </w:rPr>
            <w:t>建设项目周围环境状况图</w:t>
          </w:r>
        </w:p>
        <w:p w14:paraId="1C95BEA3">
          <w:pPr>
            <w:keepNext w:val="0"/>
            <w:keepLines w:val="0"/>
            <w:pageBreakBefore w:val="0"/>
            <w:widowControl w:val="0"/>
            <w:kinsoku/>
            <w:wordWrap/>
            <w:overflowPunct/>
            <w:topLinePunct w:val="0"/>
            <w:autoSpaceDE/>
            <w:autoSpaceDN/>
            <w:bidi w:val="0"/>
            <w:adjustRightInd/>
            <w:snapToGrid/>
            <w:spacing w:line="260" w:lineRule="exact"/>
            <w:ind w:firstLine="420" w:firstLineChars="200"/>
            <w:textAlignment w:val="auto"/>
            <w:rPr>
              <w:rFonts w:ascii="Times New Roman" w:hAnsi="Times New Roman" w:eastAsia="宋体" w:cs="Times New Roman"/>
              <w:color w:val="auto"/>
            </w:rPr>
          </w:pPr>
          <w:r>
            <w:rPr>
              <w:rFonts w:hint="eastAsia" w:ascii="Times New Roman" w:hAnsi="Times New Roman" w:eastAsia="宋体" w:cs="Times New Roman"/>
              <w:color w:val="auto"/>
            </w:rPr>
            <w:t>附图</w:t>
          </w:r>
          <w:r>
            <w:rPr>
              <w:rFonts w:ascii="Times New Roman" w:hAnsi="Times New Roman" w:eastAsia="宋体" w:cs="Times New Roman"/>
              <w:color w:val="auto"/>
            </w:rPr>
            <w:t xml:space="preserve">3 </w:t>
          </w:r>
          <w:r>
            <w:rPr>
              <w:rFonts w:hint="eastAsia" w:ascii="Times New Roman" w:hAnsi="Times New Roman" w:eastAsia="宋体" w:cs="Times New Roman"/>
              <w:color w:val="auto"/>
            </w:rPr>
            <w:t xml:space="preserve"> </w:t>
          </w:r>
          <w:r>
            <w:rPr>
              <w:rFonts w:hint="eastAsia" w:ascii="Times New Roman" w:hAnsi="Times New Roman" w:eastAsia="宋体" w:cs="Times New Roman"/>
              <w:color w:val="auto"/>
              <w:lang w:val="en-US" w:eastAsia="zh-CN"/>
            </w:rPr>
            <w:t>建设项目周围环境照片</w:t>
          </w:r>
        </w:p>
        <w:p w14:paraId="37BF45F0">
          <w:pPr>
            <w:keepNext w:val="0"/>
            <w:keepLines w:val="0"/>
            <w:pageBreakBefore w:val="0"/>
            <w:widowControl w:val="0"/>
            <w:kinsoku/>
            <w:wordWrap/>
            <w:overflowPunct/>
            <w:topLinePunct w:val="0"/>
            <w:autoSpaceDE/>
            <w:autoSpaceDN/>
            <w:bidi w:val="0"/>
            <w:adjustRightInd/>
            <w:snapToGrid/>
            <w:spacing w:line="260" w:lineRule="exact"/>
            <w:ind w:firstLine="420" w:firstLineChars="200"/>
            <w:textAlignment w:val="auto"/>
            <w:rPr>
              <w:rFonts w:ascii="Times New Roman" w:hAnsi="Times New Roman" w:eastAsia="宋体" w:cs="Times New Roman"/>
              <w:color w:val="auto"/>
            </w:rPr>
          </w:pPr>
          <w:r>
            <w:rPr>
              <w:rFonts w:hint="eastAsia" w:ascii="Times New Roman" w:hAnsi="Times New Roman" w:eastAsia="宋体" w:cs="Times New Roman"/>
              <w:color w:val="auto"/>
            </w:rPr>
            <w:t>附图</w:t>
          </w:r>
          <w:r>
            <w:rPr>
              <w:rFonts w:ascii="Times New Roman" w:hAnsi="Times New Roman" w:eastAsia="宋体" w:cs="Times New Roman"/>
              <w:color w:val="auto"/>
            </w:rPr>
            <w:t xml:space="preserve">4 </w:t>
          </w:r>
          <w:r>
            <w:rPr>
              <w:rFonts w:hint="eastAsia" w:ascii="Times New Roman" w:hAnsi="Times New Roman" w:eastAsia="宋体" w:cs="Times New Roman"/>
              <w:color w:val="auto"/>
            </w:rPr>
            <w:t xml:space="preserve"> </w:t>
          </w:r>
          <w:r>
            <w:rPr>
              <w:rFonts w:hint="eastAsia" w:ascii="Times New Roman" w:hAnsi="Times New Roman" w:eastAsia="宋体" w:cs="Times New Roman"/>
              <w:color w:val="auto"/>
              <w:lang w:val="en-US" w:eastAsia="zh-CN"/>
            </w:rPr>
            <w:t>建设项目1#厂房</w:t>
          </w:r>
          <w:r>
            <w:rPr>
              <w:rFonts w:hint="eastAsia" w:ascii="Times New Roman" w:hAnsi="Times New Roman" w:eastAsia="宋体" w:cs="Times New Roman"/>
              <w:color w:val="FF0000"/>
              <w:lang w:val="en-US" w:eastAsia="zh-CN"/>
            </w:rPr>
            <w:t>1楼</w:t>
          </w:r>
          <w:r>
            <w:rPr>
              <w:rFonts w:hint="eastAsia" w:ascii="Times New Roman" w:hAnsi="Times New Roman" w:eastAsia="宋体" w:cs="Times New Roman"/>
              <w:color w:val="auto"/>
              <w:lang w:val="en-US" w:eastAsia="zh-CN"/>
            </w:rPr>
            <w:t>平面布置图</w:t>
          </w:r>
        </w:p>
        <w:p w14:paraId="3FEAD00B">
          <w:pPr>
            <w:keepNext w:val="0"/>
            <w:keepLines w:val="0"/>
            <w:pageBreakBefore w:val="0"/>
            <w:widowControl w:val="0"/>
            <w:kinsoku/>
            <w:wordWrap/>
            <w:overflowPunct/>
            <w:topLinePunct w:val="0"/>
            <w:autoSpaceDE/>
            <w:autoSpaceDN/>
            <w:bidi w:val="0"/>
            <w:adjustRightInd/>
            <w:snapToGrid/>
            <w:spacing w:line="260" w:lineRule="exact"/>
            <w:ind w:firstLine="420" w:firstLineChars="200"/>
            <w:textAlignment w:val="auto"/>
            <w:rPr>
              <w:rFonts w:ascii="Times New Roman" w:hAnsi="Times New Roman" w:eastAsia="宋体" w:cs="Times New Roman"/>
              <w:color w:val="auto"/>
            </w:rPr>
          </w:pPr>
          <w:r>
            <w:rPr>
              <w:rFonts w:hint="eastAsia" w:ascii="Times New Roman" w:hAnsi="Times New Roman" w:eastAsia="宋体" w:cs="Times New Roman"/>
              <w:color w:val="auto"/>
            </w:rPr>
            <w:t>附图</w:t>
          </w:r>
          <w:r>
            <w:rPr>
              <w:rFonts w:ascii="Times New Roman" w:hAnsi="Times New Roman" w:eastAsia="宋体" w:cs="Times New Roman"/>
              <w:color w:val="auto"/>
            </w:rPr>
            <w:t xml:space="preserve">5 </w:t>
          </w:r>
          <w:r>
            <w:rPr>
              <w:rFonts w:hint="eastAsia" w:ascii="Times New Roman" w:hAnsi="Times New Roman" w:eastAsia="宋体" w:cs="Times New Roman"/>
              <w:color w:val="auto"/>
            </w:rPr>
            <w:t xml:space="preserve"> </w:t>
          </w:r>
          <w:r>
            <w:rPr>
              <w:rFonts w:hint="eastAsia" w:ascii="Times New Roman" w:hAnsi="Times New Roman" w:eastAsia="宋体" w:cs="Times New Roman"/>
              <w:color w:val="auto"/>
              <w:lang w:val="en-US" w:eastAsia="zh-CN"/>
            </w:rPr>
            <w:t>建设项目2#厂房</w:t>
          </w:r>
          <w:r>
            <w:rPr>
              <w:rFonts w:hint="eastAsia" w:ascii="Times New Roman" w:hAnsi="Times New Roman" w:eastAsia="宋体" w:cs="Times New Roman"/>
              <w:color w:val="FF0000"/>
              <w:lang w:val="en-US" w:eastAsia="zh-CN"/>
            </w:rPr>
            <w:t>1楼</w:t>
          </w:r>
          <w:r>
            <w:rPr>
              <w:rFonts w:hint="eastAsia" w:ascii="Times New Roman" w:hAnsi="Times New Roman" w:eastAsia="宋体" w:cs="Times New Roman"/>
              <w:color w:val="auto"/>
              <w:lang w:val="en-US" w:eastAsia="zh-CN"/>
            </w:rPr>
            <w:t>平面布置图</w:t>
          </w:r>
        </w:p>
        <w:p w14:paraId="2E3C1741">
          <w:pPr>
            <w:keepNext w:val="0"/>
            <w:keepLines w:val="0"/>
            <w:pageBreakBefore w:val="0"/>
            <w:widowControl w:val="0"/>
            <w:kinsoku/>
            <w:wordWrap/>
            <w:overflowPunct/>
            <w:topLinePunct w:val="0"/>
            <w:autoSpaceDE/>
            <w:autoSpaceDN/>
            <w:bidi w:val="0"/>
            <w:adjustRightInd/>
            <w:snapToGrid/>
            <w:spacing w:line="260" w:lineRule="exact"/>
            <w:ind w:firstLine="420" w:firstLineChars="200"/>
            <w:textAlignment w:val="auto"/>
            <w:rPr>
              <w:rFonts w:ascii="Times New Roman" w:hAnsi="Times New Roman" w:eastAsia="宋体" w:cs="Times New Roman"/>
              <w:color w:val="auto"/>
            </w:rPr>
          </w:pPr>
          <w:r>
            <w:rPr>
              <w:rFonts w:hint="eastAsia" w:ascii="Times New Roman" w:hAnsi="Times New Roman" w:eastAsia="宋体" w:cs="Times New Roman"/>
              <w:color w:val="auto"/>
            </w:rPr>
            <w:t>附图</w:t>
          </w:r>
          <w:r>
            <w:rPr>
              <w:rFonts w:ascii="Times New Roman" w:hAnsi="Times New Roman" w:eastAsia="宋体" w:cs="Times New Roman"/>
              <w:color w:val="auto"/>
            </w:rPr>
            <w:t xml:space="preserve">6 </w:t>
          </w:r>
          <w:r>
            <w:rPr>
              <w:rFonts w:hint="eastAsia" w:ascii="Times New Roman" w:hAnsi="Times New Roman" w:eastAsia="宋体" w:cs="Times New Roman"/>
              <w:color w:val="auto"/>
            </w:rPr>
            <w:t xml:space="preserve"> </w:t>
          </w:r>
          <w:r>
            <w:rPr>
              <w:rFonts w:hint="eastAsia" w:ascii="Times New Roman" w:hAnsi="Times New Roman" w:eastAsia="宋体" w:cs="Times New Roman"/>
              <w:color w:val="auto"/>
              <w:lang w:val="en-US" w:eastAsia="zh-CN"/>
            </w:rPr>
            <w:t>建设项目2#厂房</w:t>
          </w:r>
          <w:r>
            <w:rPr>
              <w:rFonts w:hint="eastAsia" w:ascii="Times New Roman" w:hAnsi="Times New Roman" w:eastAsia="宋体" w:cs="Times New Roman"/>
              <w:color w:val="FF0000"/>
              <w:lang w:val="en-US" w:eastAsia="zh-CN"/>
            </w:rPr>
            <w:t>2楼</w:t>
          </w:r>
          <w:r>
            <w:rPr>
              <w:rFonts w:hint="eastAsia" w:ascii="Times New Roman" w:hAnsi="Times New Roman" w:eastAsia="宋体" w:cs="Times New Roman"/>
              <w:color w:val="auto"/>
              <w:lang w:val="en-US" w:eastAsia="zh-CN"/>
            </w:rPr>
            <w:t>平面布置图</w:t>
          </w:r>
          <w:r>
            <w:commentReference w:id="0"/>
          </w:r>
        </w:p>
        <w:p w14:paraId="5254E99C">
          <w:pPr>
            <w:keepNext w:val="0"/>
            <w:keepLines w:val="0"/>
            <w:pageBreakBefore w:val="0"/>
            <w:widowControl w:val="0"/>
            <w:kinsoku/>
            <w:wordWrap/>
            <w:overflowPunct/>
            <w:topLinePunct w:val="0"/>
            <w:autoSpaceDE/>
            <w:autoSpaceDN/>
            <w:bidi w:val="0"/>
            <w:adjustRightInd/>
            <w:snapToGrid/>
            <w:spacing w:line="260" w:lineRule="exact"/>
            <w:ind w:firstLine="420" w:firstLineChars="200"/>
            <w:textAlignment w:val="auto"/>
            <w:rPr>
              <w:rFonts w:ascii="Times New Roman" w:hAnsi="Times New Roman" w:eastAsia="宋体" w:cs="Times New Roman"/>
              <w:color w:val="auto"/>
            </w:rPr>
          </w:pPr>
          <w:r>
            <w:rPr>
              <w:rFonts w:hint="eastAsia" w:ascii="Times New Roman" w:hAnsi="Times New Roman" w:eastAsia="宋体" w:cs="Times New Roman"/>
              <w:color w:val="auto"/>
            </w:rPr>
            <w:t>附图</w:t>
          </w:r>
          <w:r>
            <w:rPr>
              <w:rFonts w:ascii="Times New Roman" w:hAnsi="Times New Roman" w:eastAsia="宋体" w:cs="Times New Roman"/>
              <w:color w:val="auto"/>
            </w:rPr>
            <w:t>7</w:t>
          </w:r>
          <w:r>
            <w:rPr>
              <w:rFonts w:hint="eastAsia" w:ascii="Times New Roman" w:hAnsi="Times New Roman" w:eastAsia="宋体" w:cs="Times New Roman"/>
              <w:color w:val="auto"/>
            </w:rPr>
            <w:t xml:space="preserve"> </w:t>
          </w:r>
          <w:r>
            <w:rPr>
              <w:rFonts w:ascii="Times New Roman" w:hAnsi="Times New Roman" w:eastAsia="宋体" w:cs="Times New Roman"/>
              <w:color w:val="auto"/>
            </w:rPr>
            <w:t xml:space="preserve"> </w:t>
          </w:r>
          <w:r>
            <w:rPr>
              <w:rFonts w:hint="eastAsia" w:ascii="Times New Roman" w:hAnsi="Times New Roman" w:eastAsia="宋体" w:cs="Times New Roman"/>
              <w:color w:val="auto"/>
              <w:lang w:val="en-US" w:eastAsia="zh-CN"/>
            </w:rPr>
            <w:t>建设项目雨污管网图</w:t>
          </w:r>
        </w:p>
        <w:p w14:paraId="1E92ED13">
          <w:pPr>
            <w:keepNext w:val="0"/>
            <w:keepLines w:val="0"/>
            <w:pageBreakBefore w:val="0"/>
            <w:widowControl w:val="0"/>
            <w:kinsoku/>
            <w:wordWrap/>
            <w:overflowPunct/>
            <w:topLinePunct w:val="0"/>
            <w:autoSpaceDE/>
            <w:autoSpaceDN/>
            <w:bidi w:val="0"/>
            <w:adjustRightInd/>
            <w:snapToGrid/>
            <w:spacing w:line="260" w:lineRule="exact"/>
            <w:ind w:firstLine="420" w:firstLineChars="200"/>
            <w:textAlignment w:val="auto"/>
            <w:rPr>
              <w:rFonts w:ascii="Times New Roman" w:hAnsi="Times New Roman" w:eastAsia="宋体" w:cs="Times New Roman"/>
              <w:color w:val="auto"/>
            </w:rPr>
          </w:pPr>
          <w:r>
            <w:rPr>
              <w:rFonts w:hint="eastAsia" w:ascii="Times New Roman" w:hAnsi="Times New Roman" w:eastAsia="宋体" w:cs="Times New Roman"/>
              <w:color w:val="auto"/>
            </w:rPr>
            <w:t xml:space="preserve">附图8 </w:t>
          </w:r>
          <w:r>
            <w:rPr>
              <w:rFonts w:ascii="Times New Roman" w:hAnsi="Times New Roman" w:eastAsia="宋体" w:cs="Times New Roman"/>
              <w:color w:val="auto"/>
            </w:rPr>
            <w:t xml:space="preserve"> </w:t>
          </w:r>
          <w:r>
            <w:rPr>
              <w:rFonts w:hint="eastAsia" w:ascii="Times New Roman" w:hAnsi="Times New Roman" w:eastAsia="宋体" w:cs="Times New Roman"/>
              <w:color w:val="auto"/>
              <w:lang w:val="en-US" w:eastAsia="zh-CN"/>
            </w:rPr>
            <w:t>建设项目环境保护目标分布图</w:t>
          </w:r>
        </w:p>
        <w:p w14:paraId="059DBEDC">
          <w:pPr>
            <w:keepNext w:val="0"/>
            <w:keepLines w:val="0"/>
            <w:pageBreakBefore w:val="0"/>
            <w:widowControl w:val="0"/>
            <w:kinsoku/>
            <w:wordWrap/>
            <w:overflowPunct/>
            <w:topLinePunct w:val="0"/>
            <w:autoSpaceDE/>
            <w:autoSpaceDN/>
            <w:bidi w:val="0"/>
            <w:adjustRightInd/>
            <w:snapToGrid/>
            <w:spacing w:line="260" w:lineRule="exact"/>
            <w:ind w:firstLine="420" w:firstLineChars="200"/>
            <w:textAlignment w:val="auto"/>
            <w:rPr>
              <w:rFonts w:hint="eastAsia" w:ascii="Times New Roman" w:hAnsi="Times New Roman" w:eastAsia="宋体" w:cs="Times New Roman"/>
              <w:color w:val="auto"/>
              <w:lang w:val="en-US" w:eastAsia="zh-CN"/>
            </w:rPr>
          </w:pPr>
          <w:r>
            <w:rPr>
              <w:rFonts w:hint="eastAsia" w:ascii="Times New Roman" w:hAnsi="Times New Roman" w:eastAsia="宋体" w:cs="Times New Roman"/>
              <w:color w:val="auto"/>
            </w:rPr>
            <w:t xml:space="preserve">附图9 </w:t>
          </w:r>
          <w:r>
            <w:rPr>
              <w:rFonts w:ascii="Times New Roman" w:hAnsi="Times New Roman" w:eastAsia="宋体" w:cs="Times New Roman"/>
              <w:color w:val="auto"/>
            </w:rPr>
            <w:t xml:space="preserve"> </w:t>
          </w:r>
          <w:r>
            <w:rPr>
              <w:rFonts w:hint="eastAsia" w:ascii="Times New Roman" w:hAnsi="Times New Roman" w:eastAsia="宋体" w:cs="Times New Roman"/>
              <w:color w:val="auto"/>
              <w:lang w:val="en-US" w:eastAsia="zh-CN"/>
            </w:rPr>
            <w:t>建设项目监测引用点位图</w:t>
          </w:r>
        </w:p>
        <w:p w14:paraId="145E82DD">
          <w:pPr>
            <w:keepNext w:val="0"/>
            <w:keepLines w:val="0"/>
            <w:pageBreakBefore w:val="0"/>
            <w:widowControl w:val="0"/>
            <w:kinsoku/>
            <w:wordWrap/>
            <w:overflowPunct/>
            <w:topLinePunct w:val="0"/>
            <w:autoSpaceDE/>
            <w:autoSpaceDN/>
            <w:bidi w:val="0"/>
            <w:adjustRightInd/>
            <w:snapToGrid/>
            <w:spacing w:line="260" w:lineRule="exact"/>
            <w:ind w:firstLine="420" w:firstLineChars="200"/>
            <w:textAlignment w:val="auto"/>
            <w:rPr>
              <w:rFonts w:hint="eastAsia" w:ascii="Times New Roman" w:hAnsi="Times New Roman" w:eastAsia="宋体" w:cs="Times New Roman"/>
              <w:color w:val="auto"/>
              <w:lang w:val="en-US" w:eastAsia="zh-CN"/>
            </w:rPr>
          </w:pPr>
          <w:r>
            <w:rPr>
              <w:rFonts w:hint="eastAsia" w:ascii="Times New Roman" w:hAnsi="Times New Roman" w:eastAsia="宋体" w:cs="Times New Roman"/>
              <w:color w:val="auto"/>
              <w:lang w:val="en-US" w:eastAsia="zh-CN"/>
            </w:rPr>
            <w:t>附图10 建设项目监测点位图</w:t>
          </w:r>
        </w:p>
        <w:p w14:paraId="4C8D5D26">
          <w:pPr>
            <w:keepNext w:val="0"/>
            <w:keepLines w:val="0"/>
            <w:pageBreakBefore w:val="0"/>
            <w:widowControl w:val="0"/>
            <w:kinsoku/>
            <w:wordWrap/>
            <w:overflowPunct/>
            <w:topLinePunct w:val="0"/>
            <w:autoSpaceDE/>
            <w:autoSpaceDN/>
            <w:bidi w:val="0"/>
            <w:adjustRightInd/>
            <w:snapToGrid/>
            <w:spacing w:line="260" w:lineRule="exact"/>
            <w:ind w:firstLine="420" w:firstLineChars="200"/>
            <w:textAlignment w:val="auto"/>
            <w:rPr>
              <w:rFonts w:hint="eastAsia" w:ascii="Times New Roman" w:hAnsi="Times New Roman" w:eastAsia="宋体" w:cs="Times New Roman"/>
              <w:color w:val="auto"/>
              <w:lang w:val="en-US" w:eastAsia="zh-CN"/>
            </w:rPr>
          </w:pPr>
          <w:r>
            <w:rPr>
              <w:rFonts w:hint="eastAsia" w:ascii="Times New Roman" w:hAnsi="Times New Roman" w:eastAsia="宋体" w:cs="Times New Roman"/>
              <w:color w:val="auto"/>
              <w:lang w:val="en-US" w:eastAsia="zh-CN"/>
            </w:rPr>
            <w:t>附图11 长三角（湖州）产业合作区发展总体规划（（2024-2035年）图</w:t>
          </w:r>
        </w:p>
        <w:p w14:paraId="063DF455">
          <w:pPr>
            <w:keepNext w:val="0"/>
            <w:keepLines w:val="0"/>
            <w:pageBreakBefore w:val="0"/>
            <w:widowControl w:val="0"/>
            <w:kinsoku/>
            <w:wordWrap/>
            <w:overflowPunct/>
            <w:topLinePunct w:val="0"/>
            <w:autoSpaceDE/>
            <w:autoSpaceDN/>
            <w:bidi w:val="0"/>
            <w:adjustRightInd/>
            <w:snapToGrid/>
            <w:spacing w:line="260" w:lineRule="exact"/>
            <w:ind w:firstLine="420" w:firstLineChars="200"/>
            <w:textAlignment w:val="auto"/>
            <w:rPr>
              <w:rFonts w:hint="eastAsia" w:ascii="Times New Roman" w:hAnsi="Times New Roman" w:eastAsia="宋体" w:cs="Times New Roman"/>
              <w:color w:val="auto"/>
              <w:lang w:val="en-US" w:eastAsia="zh-CN"/>
            </w:rPr>
          </w:pPr>
          <w:r>
            <w:rPr>
              <w:rFonts w:hint="eastAsia" w:ascii="Times New Roman" w:hAnsi="Times New Roman" w:eastAsia="宋体" w:cs="Times New Roman"/>
              <w:color w:val="auto"/>
              <w:lang w:val="en-US" w:eastAsia="zh-CN"/>
            </w:rPr>
            <w:t>附图12 长三角（湖州）产业合作区三区三线图</w:t>
          </w:r>
        </w:p>
        <w:p w14:paraId="1E9FA216">
          <w:pPr>
            <w:keepNext w:val="0"/>
            <w:keepLines w:val="0"/>
            <w:pageBreakBefore w:val="0"/>
            <w:widowControl w:val="0"/>
            <w:kinsoku/>
            <w:wordWrap/>
            <w:overflowPunct/>
            <w:topLinePunct w:val="0"/>
            <w:autoSpaceDE/>
            <w:autoSpaceDN/>
            <w:bidi w:val="0"/>
            <w:adjustRightInd/>
            <w:snapToGrid/>
            <w:spacing w:line="260" w:lineRule="exact"/>
            <w:ind w:firstLine="420" w:firstLineChars="200"/>
            <w:textAlignment w:val="auto"/>
            <w:rPr>
              <w:rFonts w:hint="eastAsia" w:ascii="Times New Roman" w:hAnsi="Times New Roman" w:eastAsia="宋体" w:cs="Times New Roman"/>
              <w:color w:val="auto"/>
              <w:lang w:val="en-US" w:eastAsia="zh-CN"/>
            </w:rPr>
          </w:pPr>
          <w:r>
            <w:rPr>
              <w:rFonts w:hint="eastAsia" w:ascii="Times New Roman" w:hAnsi="Times New Roman" w:eastAsia="宋体" w:cs="Times New Roman"/>
              <w:color w:val="auto"/>
              <w:lang w:val="en-US" w:eastAsia="zh-CN"/>
            </w:rPr>
            <w:t>附图13 建设项目所在地环境管控单元分类图</w:t>
          </w:r>
        </w:p>
        <w:p w14:paraId="2AB958AD">
          <w:pPr>
            <w:keepNext w:val="0"/>
            <w:keepLines w:val="0"/>
            <w:pageBreakBefore w:val="0"/>
            <w:widowControl w:val="0"/>
            <w:kinsoku/>
            <w:wordWrap/>
            <w:overflowPunct/>
            <w:topLinePunct w:val="0"/>
            <w:autoSpaceDE/>
            <w:autoSpaceDN/>
            <w:bidi w:val="0"/>
            <w:adjustRightInd/>
            <w:snapToGrid/>
            <w:spacing w:line="260" w:lineRule="exact"/>
            <w:ind w:firstLine="420" w:firstLineChars="200"/>
            <w:textAlignment w:val="auto"/>
            <w:rPr>
              <w:rFonts w:hint="eastAsia" w:ascii="Times New Roman" w:hAnsi="Times New Roman" w:eastAsia="宋体" w:cs="Times New Roman"/>
              <w:color w:val="auto"/>
              <w:lang w:val="en-US" w:eastAsia="zh-CN"/>
            </w:rPr>
          </w:pPr>
          <w:r>
            <w:rPr>
              <w:rFonts w:hint="eastAsia" w:ascii="Times New Roman" w:hAnsi="Times New Roman" w:eastAsia="宋体" w:cs="Times New Roman"/>
              <w:color w:val="auto"/>
              <w:lang w:val="en-US" w:eastAsia="zh-CN"/>
            </w:rPr>
            <w:t>附图14 建设项目所在地水环境功能区划图</w:t>
          </w:r>
        </w:p>
        <w:p w14:paraId="096846AE">
          <w:pPr>
            <w:keepNext w:val="0"/>
            <w:keepLines w:val="0"/>
            <w:pageBreakBefore w:val="0"/>
            <w:widowControl w:val="0"/>
            <w:kinsoku/>
            <w:wordWrap/>
            <w:overflowPunct/>
            <w:topLinePunct w:val="0"/>
            <w:autoSpaceDE/>
            <w:autoSpaceDN/>
            <w:bidi w:val="0"/>
            <w:adjustRightInd/>
            <w:snapToGrid/>
            <w:spacing w:line="260" w:lineRule="exact"/>
            <w:ind w:firstLine="420" w:firstLineChars="200"/>
            <w:textAlignment w:val="auto"/>
            <w:rPr>
              <w:rFonts w:hint="eastAsia" w:ascii="Times New Roman" w:hAnsi="Times New Roman" w:eastAsia="宋体" w:cs="Times New Roman"/>
              <w:color w:val="auto"/>
              <w:lang w:val="en-US" w:eastAsia="zh-CN"/>
            </w:rPr>
          </w:pPr>
          <w:r>
            <w:rPr>
              <w:rFonts w:hint="eastAsia" w:ascii="Times New Roman" w:hAnsi="Times New Roman" w:eastAsia="宋体" w:cs="Times New Roman"/>
              <w:color w:val="auto"/>
              <w:lang w:val="en-US" w:eastAsia="zh-CN"/>
            </w:rPr>
            <w:t>附图15 安吉县生态红线图</w:t>
          </w:r>
        </w:p>
        <w:p w14:paraId="6A195A87">
          <w:pPr>
            <w:keepNext w:val="0"/>
            <w:keepLines w:val="0"/>
            <w:pageBreakBefore w:val="0"/>
            <w:widowControl w:val="0"/>
            <w:kinsoku/>
            <w:wordWrap/>
            <w:overflowPunct/>
            <w:topLinePunct w:val="0"/>
            <w:autoSpaceDE/>
            <w:autoSpaceDN/>
            <w:bidi w:val="0"/>
            <w:adjustRightInd/>
            <w:snapToGrid/>
            <w:spacing w:line="260" w:lineRule="exact"/>
            <w:ind w:firstLine="420" w:firstLineChars="200"/>
            <w:textAlignment w:val="auto"/>
            <w:rPr>
              <w:rFonts w:hint="eastAsia" w:ascii="Times New Roman" w:hAnsi="Times New Roman" w:eastAsia="宋体" w:cs="Times New Roman"/>
              <w:color w:val="auto"/>
              <w:lang w:val="en-US" w:eastAsia="zh-CN"/>
            </w:rPr>
          </w:pPr>
          <w:r>
            <w:rPr>
              <w:rFonts w:hint="eastAsia" w:ascii="Times New Roman" w:hAnsi="Times New Roman" w:eastAsia="宋体" w:cs="Times New Roman"/>
              <w:color w:val="auto"/>
              <w:lang w:val="en-US" w:eastAsia="zh-CN"/>
            </w:rPr>
            <w:t>附图16 建设项目主要产噪设施和主要噪声污染防治设施分布图</w:t>
          </w:r>
        </w:p>
        <w:p w14:paraId="0FAF9FF1">
          <w:pPr>
            <w:keepNext w:val="0"/>
            <w:keepLines w:val="0"/>
            <w:pageBreakBefore w:val="0"/>
            <w:widowControl w:val="0"/>
            <w:kinsoku/>
            <w:wordWrap/>
            <w:overflowPunct/>
            <w:topLinePunct w:val="0"/>
            <w:autoSpaceDE/>
            <w:autoSpaceDN/>
            <w:bidi w:val="0"/>
            <w:adjustRightInd/>
            <w:snapToGrid/>
            <w:spacing w:line="260" w:lineRule="exact"/>
            <w:textAlignment w:val="auto"/>
            <w:rPr>
              <w:color w:val="auto"/>
            </w:rPr>
          </w:pPr>
        </w:p>
        <w:p w14:paraId="5F97A5DC">
          <w:pPr>
            <w:keepNext w:val="0"/>
            <w:keepLines w:val="0"/>
            <w:pageBreakBefore w:val="0"/>
            <w:widowControl w:val="0"/>
            <w:kinsoku/>
            <w:wordWrap/>
            <w:overflowPunct/>
            <w:topLinePunct w:val="0"/>
            <w:autoSpaceDE/>
            <w:autoSpaceDN/>
            <w:bidi w:val="0"/>
            <w:adjustRightInd/>
            <w:snapToGrid/>
            <w:spacing w:line="260" w:lineRule="exact"/>
            <w:textAlignment w:val="auto"/>
            <w:rPr>
              <w:rFonts w:ascii="Times New Roman" w:hAnsi="Times New Roman" w:eastAsia="宋体" w:cs="Times New Roman"/>
              <w:b/>
              <w:bCs/>
              <w:color w:val="auto"/>
            </w:rPr>
          </w:pPr>
          <w:r>
            <w:rPr>
              <w:rFonts w:ascii="Times New Roman" w:hAnsi="Times New Roman" w:eastAsia="宋体" w:cs="Times New Roman"/>
              <w:b/>
              <w:bCs/>
              <w:color w:val="auto"/>
            </w:rPr>
            <w:t>附件</w:t>
          </w:r>
        </w:p>
        <w:p w14:paraId="51A67EEA">
          <w:pPr>
            <w:keepNext w:val="0"/>
            <w:keepLines w:val="0"/>
            <w:pageBreakBefore w:val="0"/>
            <w:widowControl w:val="0"/>
            <w:kinsoku/>
            <w:wordWrap/>
            <w:overflowPunct/>
            <w:topLinePunct w:val="0"/>
            <w:autoSpaceDE/>
            <w:autoSpaceDN/>
            <w:bidi w:val="0"/>
            <w:adjustRightInd/>
            <w:snapToGrid/>
            <w:spacing w:line="260" w:lineRule="exact"/>
            <w:ind w:firstLine="420" w:firstLineChars="200"/>
            <w:textAlignment w:val="auto"/>
            <w:rPr>
              <w:rFonts w:hint="eastAsia" w:ascii="Times New Roman" w:hAnsi="Times New Roman" w:eastAsia="宋体" w:cs="Times New Roman"/>
              <w:color w:val="auto"/>
            </w:rPr>
          </w:pPr>
          <w:r>
            <w:rPr>
              <w:rFonts w:hint="eastAsia" w:ascii="Times New Roman" w:hAnsi="Times New Roman" w:eastAsia="宋体" w:cs="Times New Roman"/>
              <w:color w:val="auto"/>
            </w:rPr>
            <w:t>附件1  备案通知书</w:t>
          </w:r>
        </w:p>
        <w:p w14:paraId="296FF7EF">
          <w:pPr>
            <w:keepNext w:val="0"/>
            <w:keepLines w:val="0"/>
            <w:pageBreakBefore w:val="0"/>
            <w:widowControl w:val="0"/>
            <w:kinsoku/>
            <w:wordWrap/>
            <w:overflowPunct/>
            <w:topLinePunct w:val="0"/>
            <w:autoSpaceDE/>
            <w:autoSpaceDN/>
            <w:bidi w:val="0"/>
            <w:adjustRightInd/>
            <w:snapToGrid/>
            <w:spacing w:line="260" w:lineRule="exact"/>
            <w:ind w:firstLine="420" w:firstLineChars="200"/>
            <w:textAlignment w:val="auto"/>
            <w:rPr>
              <w:rFonts w:hint="eastAsia" w:ascii="Times New Roman" w:hAnsi="Times New Roman" w:eastAsia="宋体" w:cs="Times New Roman"/>
              <w:color w:val="auto"/>
              <w:lang w:val="en-US" w:eastAsia="zh-CN"/>
            </w:rPr>
          </w:pPr>
          <w:r>
            <w:rPr>
              <w:rFonts w:hint="eastAsia" w:ascii="Times New Roman" w:hAnsi="Times New Roman" w:eastAsia="宋体" w:cs="Times New Roman"/>
              <w:color w:val="auto"/>
              <w:lang w:val="en-US" w:eastAsia="zh-CN"/>
            </w:rPr>
            <w:t>附件2  企业变更说明</w:t>
          </w:r>
        </w:p>
        <w:p w14:paraId="24232044">
          <w:pPr>
            <w:keepNext w:val="0"/>
            <w:keepLines w:val="0"/>
            <w:pageBreakBefore w:val="0"/>
            <w:widowControl w:val="0"/>
            <w:kinsoku/>
            <w:wordWrap/>
            <w:overflowPunct/>
            <w:topLinePunct w:val="0"/>
            <w:autoSpaceDE/>
            <w:autoSpaceDN/>
            <w:bidi w:val="0"/>
            <w:adjustRightInd/>
            <w:snapToGrid/>
            <w:spacing w:line="260" w:lineRule="exact"/>
            <w:ind w:firstLine="420" w:firstLineChars="200"/>
            <w:textAlignment w:val="auto"/>
            <w:rPr>
              <w:rFonts w:hint="eastAsia" w:ascii="Times New Roman" w:hAnsi="Times New Roman" w:eastAsia="宋体" w:cs="Times New Roman"/>
              <w:color w:val="auto"/>
            </w:rPr>
          </w:pPr>
          <w:r>
            <w:rPr>
              <w:rFonts w:hint="eastAsia" w:ascii="Times New Roman" w:hAnsi="Times New Roman" w:eastAsia="宋体" w:cs="Times New Roman"/>
              <w:color w:val="auto"/>
            </w:rPr>
            <w:t>附件</w:t>
          </w:r>
          <w:r>
            <w:rPr>
              <w:rFonts w:hint="eastAsia" w:ascii="Times New Roman" w:hAnsi="Times New Roman" w:eastAsia="宋体" w:cs="Times New Roman"/>
              <w:color w:val="auto"/>
              <w:lang w:val="en-US" w:eastAsia="zh-CN"/>
            </w:rPr>
            <w:t>3</w:t>
          </w:r>
          <w:r>
            <w:rPr>
              <w:rFonts w:hint="eastAsia" w:ascii="Times New Roman" w:hAnsi="Times New Roman" w:eastAsia="宋体" w:cs="Times New Roman"/>
              <w:color w:val="auto"/>
            </w:rPr>
            <w:t xml:space="preserve">  营业执照</w:t>
          </w:r>
        </w:p>
        <w:p w14:paraId="2D8FC439">
          <w:pPr>
            <w:keepNext w:val="0"/>
            <w:keepLines w:val="0"/>
            <w:pageBreakBefore w:val="0"/>
            <w:widowControl w:val="0"/>
            <w:kinsoku/>
            <w:wordWrap/>
            <w:overflowPunct/>
            <w:topLinePunct w:val="0"/>
            <w:autoSpaceDE/>
            <w:autoSpaceDN/>
            <w:bidi w:val="0"/>
            <w:adjustRightInd/>
            <w:snapToGrid/>
            <w:spacing w:line="260" w:lineRule="exact"/>
            <w:ind w:firstLine="420" w:firstLineChars="200"/>
            <w:textAlignment w:val="auto"/>
            <w:rPr>
              <w:rFonts w:hint="eastAsia" w:ascii="Times New Roman" w:hAnsi="Times New Roman" w:eastAsia="宋体" w:cs="Times New Roman"/>
              <w:color w:val="auto"/>
            </w:rPr>
          </w:pPr>
          <w:r>
            <w:rPr>
              <w:rFonts w:hint="eastAsia" w:ascii="Times New Roman" w:hAnsi="Times New Roman" w:eastAsia="宋体" w:cs="Times New Roman"/>
              <w:color w:val="auto"/>
            </w:rPr>
            <w:t>附件</w:t>
          </w:r>
          <w:r>
            <w:rPr>
              <w:rFonts w:hint="eastAsia" w:ascii="Times New Roman" w:hAnsi="Times New Roman" w:eastAsia="宋体" w:cs="Times New Roman"/>
              <w:color w:val="auto"/>
              <w:lang w:val="en-US" w:eastAsia="zh-CN"/>
            </w:rPr>
            <w:t>4</w:t>
          </w:r>
          <w:r>
            <w:rPr>
              <w:rFonts w:hint="eastAsia" w:ascii="Times New Roman" w:hAnsi="Times New Roman" w:eastAsia="宋体" w:cs="Times New Roman"/>
              <w:color w:val="auto"/>
            </w:rPr>
            <w:t xml:space="preserve">  法人身份证</w:t>
          </w:r>
        </w:p>
        <w:p w14:paraId="41EA0DE3">
          <w:pPr>
            <w:keepNext w:val="0"/>
            <w:keepLines w:val="0"/>
            <w:pageBreakBefore w:val="0"/>
            <w:widowControl w:val="0"/>
            <w:kinsoku/>
            <w:wordWrap/>
            <w:overflowPunct/>
            <w:topLinePunct w:val="0"/>
            <w:autoSpaceDE/>
            <w:autoSpaceDN/>
            <w:bidi w:val="0"/>
            <w:adjustRightInd/>
            <w:snapToGrid/>
            <w:spacing w:line="260" w:lineRule="exact"/>
            <w:ind w:firstLine="420" w:firstLineChars="200"/>
            <w:textAlignment w:val="auto"/>
            <w:rPr>
              <w:rFonts w:hint="eastAsia" w:ascii="Times New Roman" w:hAnsi="Times New Roman" w:eastAsia="宋体" w:cs="Times New Roman"/>
              <w:color w:val="auto"/>
            </w:rPr>
          </w:pPr>
          <w:r>
            <w:rPr>
              <w:rFonts w:hint="eastAsia" w:ascii="Times New Roman" w:hAnsi="Times New Roman" w:eastAsia="宋体" w:cs="Times New Roman"/>
              <w:color w:val="auto"/>
            </w:rPr>
            <w:t>附件</w:t>
          </w:r>
          <w:r>
            <w:rPr>
              <w:rFonts w:hint="eastAsia" w:ascii="Times New Roman" w:hAnsi="Times New Roman" w:eastAsia="宋体" w:cs="Times New Roman"/>
              <w:color w:val="auto"/>
              <w:lang w:val="en-US" w:eastAsia="zh-CN"/>
            </w:rPr>
            <w:t>5</w:t>
          </w:r>
          <w:r>
            <w:rPr>
              <w:rFonts w:hint="eastAsia" w:ascii="Times New Roman" w:hAnsi="Times New Roman" w:eastAsia="宋体" w:cs="Times New Roman"/>
              <w:color w:val="auto"/>
            </w:rPr>
            <w:t xml:space="preserve">  出租方不动产权证及租赁协议</w:t>
          </w:r>
        </w:p>
        <w:p w14:paraId="00D9AF9E">
          <w:pPr>
            <w:keepNext w:val="0"/>
            <w:keepLines w:val="0"/>
            <w:pageBreakBefore w:val="0"/>
            <w:widowControl w:val="0"/>
            <w:kinsoku/>
            <w:wordWrap/>
            <w:overflowPunct/>
            <w:topLinePunct w:val="0"/>
            <w:autoSpaceDE/>
            <w:autoSpaceDN/>
            <w:bidi w:val="0"/>
            <w:adjustRightInd/>
            <w:snapToGrid/>
            <w:spacing w:line="260" w:lineRule="exact"/>
            <w:ind w:firstLine="420" w:firstLineChars="200"/>
            <w:textAlignment w:val="auto"/>
            <w:rPr>
              <w:rFonts w:hint="eastAsia" w:ascii="Times New Roman" w:hAnsi="Times New Roman" w:eastAsia="宋体" w:cs="Times New Roman"/>
              <w:color w:val="auto"/>
            </w:rPr>
          </w:pPr>
          <w:r>
            <w:rPr>
              <w:rFonts w:hint="eastAsia" w:ascii="Times New Roman" w:hAnsi="Times New Roman" w:eastAsia="宋体" w:cs="Times New Roman"/>
              <w:color w:val="auto"/>
            </w:rPr>
            <w:t>附件</w:t>
          </w:r>
          <w:r>
            <w:rPr>
              <w:rFonts w:hint="eastAsia" w:ascii="Times New Roman" w:hAnsi="Times New Roman" w:eastAsia="宋体" w:cs="Times New Roman"/>
              <w:color w:val="auto"/>
              <w:lang w:val="en-US" w:eastAsia="zh-CN"/>
            </w:rPr>
            <w:t>6</w:t>
          </w:r>
          <w:r>
            <w:rPr>
              <w:rFonts w:hint="eastAsia" w:ascii="Times New Roman" w:hAnsi="Times New Roman" w:eastAsia="宋体" w:cs="Times New Roman"/>
              <w:color w:val="auto"/>
            </w:rPr>
            <w:t xml:space="preserve">  长合区（零土地）技改项目评审会会议纪要</w:t>
          </w:r>
        </w:p>
        <w:p w14:paraId="3238199B">
          <w:pPr>
            <w:keepNext w:val="0"/>
            <w:keepLines w:val="0"/>
            <w:pageBreakBefore w:val="0"/>
            <w:widowControl w:val="0"/>
            <w:kinsoku/>
            <w:wordWrap/>
            <w:overflowPunct/>
            <w:topLinePunct w:val="0"/>
            <w:autoSpaceDE/>
            <w:autoSpaceDN/>
            <w:bidi w:val="0"/>
            <w:adjustRightInd/>
            <w:snapToGrid/>
            <w:spacing w:line="260" w:lineRule="exact"/>
            <w:ind w:firstLine="420" w:firstLineChars="200"/>
            <w:textAlignment w:val="auto"/>
            <w:rPr>
              <w:rFonts w:hint="eastAsia" w:ascii="Times New Roman" w:hAnsi="Times New Roman" w:eastAsia="宋体" w:cs="Times New Roman"/>
              <w:color w:val="auto"/>
            </w:rPr>
          </w:pPr>
          <w:r>
            <w:rPr>
              <w:rFonts w:hint="eastAsia" w:ascii="Times New Roman" w:hAnsi="Times New Roman" w:eastAsia="宋体" w:cs="Times New Roman"/>
              <w:color w:val="auto"/>
            </w:rPr>
            <w:t>附件</w:t>
          </w:r>
          <w:r>
            <w:rPr>
              <w:rFonts w:hint="eastAsia" w:ascii="Times New Roman" w:hAnsi="Times New Roman" w:eastAsia="宋体" w:cs="Times New Roman"/>
              <w:color w:val="auto"/>
              <w:lang w:val="en-US" w:eastAsia="zh-CN"/>
            </w:rPr>
            <w:t>7</w:t>
          </w:r>
          <w:r>
            <w:rPr>
              <w:rFonts w:hint="eastAsia" w:ascii="Times New Roman" w:hAnsi="Times New Roman" w:eastAsia="宋体" w:cs="Times New Roman"/>
              <w:color w:val="auto"/>
            </w:rPr>
            <w:t xml:space="preserve">  现有项目备案受理书及验收意见</w:t>
          </w:r>
        </w:p>
        <w:p w14:paraId="5066D1FD">
          <w:pPr>
            <w:keepNext w:val="0"/>
            <w:keepLines w:val="0"/>
            <w:pageBreakBefore w:val="0"/>
            <w:widowControl w:val="0"/>
            <w:kinsoku/>
            <w:wordWrap/>
            <w:overflowPunct/>
            <w:topLinePunct w:val="0"/>
            <w:autoSpaceDE/>
            <w:autoSpaceDN/>
            <w:bidi w:val="0"/>
            <w:adjustRightInd/>
            <w:snapToGrid/>
            <w:spacing w:line="260" w:lineRule="exact"/>
            <w:ind w:firstLine="420" w:firstLineChars="200"/>
            <w:textAlignment w:val="auto"/>
            <w:rPr>
              <w:rFonts w:hint="eastAsia" w:ascii="Times New Roman" w:hAnsi="Times New Roman" w:eastAsia="宋体" w:cs="Times New Roman"/>
              <w:color w:val="auto"/>
            </w:rPr>
          </w:pPr>
          <w:r>
            <w:rPr>
              <w:rFonts w:hint="eastAsia" w:ascii="Times New Roman" w:hAnsi="Times New Roman" w:eastAsia="宋体" w:cs="Times New Roman"/>
              <w:color w:val="auto"/>
            </w:rPr>
            <w:t>附件</w:t>
          </w:r>
          <w:r>
            <w:rPr>
              <w:rFonts w:hint="eastAsia" w:ascii="Times New Roman" w:hAnsi="Times New Roman" w:eastAsia="宋体" w:cs="Times New Roman"/>
              <w:color w:val="auto"/>
              <w:lang w:val="en-US" w:eastAsia="zh-CN"/>
            </w:rPr>
            <w:t>8</w:t>
          </w:r>
          <w:r>
            <w:rPr>
              <w:rFonts w:hint="eastAsia" w:ascii="Times New Roman" w:hAnsi="Times New Roman" w:eastAsia="宋体" w:cs="Times New Roman"/>
              <w:color w:val="auto"/>
            </w:rPr>
            <w:t xml:space="preserve">  现有项目废水、废气、噪声检测报告</w:t>
          </w:r>
        </w:p>
        <w:p w14:paraId="5A61262F">
          <w:pPr>
            <w:keepNext w:val="0"/>
            <w:keepLines w:val="0"/>
            <w:pageBreakBefore w:val="0"/>
            <w:widowControl w:val="0"/>
            <w:kinsoku/>
            <w:wordWrap/>
            <w:overflowPunct/>
            <w:topLinePunct w:val="0"/>
            <w:autoSpaceDE/>
            <w:autoSpaceDN/>
            <w:bidi w:val="0"/>
            <w:adjustRightInd/>
            <w:snapToGrid/>
            <w:spacing w:line="260" w:lineRule="exact"/>
            <w:ind w:firstLine="420" w:firstLineChars="200"/>
            <w:textAlignment w:val="auto"/>
            <w:rPr>
              <w:rFonts w:hint="eastAsia" w:ascii="Times New Roman" w:hAnsi="Times New Roman" w:eastAsia="宋体" w:cs="Times New Roman"/>
              <w:color w:val="auto"/>
            </w:rPr>
          </w:pPr>
          <w:r>
            <w:rPr>
              <w:rFonts w:hint="eastAsia" w:ascii="Times New Roman" w:hAnsi="Times New Roman" w:eastAsia="宋体" w:cs="Times New Roman"/>
              <w:color w:val="auto"/>
            </w:rPr>
            <w:t>附件</w:t>
          </w:r>
          <w:r>
            <w:rPr>
              <w:rFonts w:hint="eastAsia" w:ascii="Times New Roman" w:hAnsi="Times New Roman" w:eastAsia="宋体" w:cs="Times New Roman"/>
              <w:color w:val="auto"/>
              <w:lang w:val="en-US" w:eastAsia="zh-CN"/>
            </w:rPr>
            <w:t>9</w:t>
          </w:r>
          <w:r>
            <w:rPr>
              <w:rFonts w:hint="eastAsia" w:ascii="Times New Roman" w:hAnsi="Times New Roman" w:eastAsia="宋体" w:cs="Times New Roman"/>
              <w:color w:val="auto"/>
            </w:rPr>
            <w:t xml:space="preserve">  长三角（湖州）产业合作区固定资产项目节能审查承诺表</w:t>
          </w:r>
        </w:p>
        <w:p w14:paraId="70E16590">
          <w:pPr>
            <w:keepNext w:val="0"/>
            <w:keepLines w:val="0"/>
            <w:pageBreakBefore w:val="0"/>
            <w:widowControl w:val="0"/>
            <w:kinsoku/>
            <w:wordWrap/>
            <w:overflowPunct/>
            <w:topLinePunct w:val="0"/>
            <w:autoSpaceDE/>
            <w:autoSpaceDN/>
            <w:bidi w:val="0"/>
            <w:adjustRightInd/>
            <w:snapToGrid/>
            <w:spacing w:line="260" w:lineRule="exact"/>
            <w:ind w:firstLine="420" w:firstLineChars="200"/>
            <w:textAlignment w:val="auto"/>
            <w:rPr>
              <w:rFonts w:hint="eastAsia" w:ascii="Times New Roman" w:hAnsi="Times New Roman" w:eastAsia="宋体" w:cs="Times New Roman"/>
              <w:color w:val="auto"/>
            </w:rPr>
          </w:pPr>
          <w:r>
            <w:rPr>
              <w:rFonts w:hint="eastAsia" w:ascii="Times New Roman" w:hAnsi="Times New Roman" w:eastAsia="宋体" w:cs="Times New Roman"/>
              <w:color w:val="auto"/>
            </w:rPr>
            <w:t>附件</w:t>
          </w:r>
          <w:r>
            <w:rPr>
              <w:rFonts w:hint="eastAsia" w:ascii="Times New Roman" w:hAnsi="Times New Roman" w:eastAsia="宋体" w:cs="Times New Roman"/>
              <w:color w:val="auto"/>
              <w:lang w:val="en-US" w:eastAsia="zh-CN"/>
            </w:rPr>
            <w:t>10</w:t>
          </w:r>
          <w:r>
            <w:rPr>
              <w:rFonts w:hint="eastAsia" w:ascii="Times New Roman" w:hAnsi="Times New Roman" w:eastAsia="宋体" w:cs="Times New Roman"/>
              <w:color w:val="auto"/>
            </w:rPr>
            <w:t xml:space="preserve"> 陶瓷基料混合物MSDS</w:t>
          </w:r>
        </w:p>
        <w:p w14:paraId="426A0CD1">
          <w:pPr>
            <w:keepNext w:val="0"/>
            <w:keepLines w:val="0"/>
            <w:pageBreakBefore w:val="0"/>
            <w:widowControl w:val="0"/>
            <w:kinsoku/>
            <w:wordWrap/>
            <w:overflowPunct/>
            <w:topLinePunct w:val="0"/>
            <w:autoSpaceDE/>
            <w:autoSpaceDN/>
            <w:bidi w:val="0"/>
            <w:adjustRightInd/>
            <w:snapToGrid/>
            <w:spacing w:line="260" w:lineRule="exact"/>
            <w:ind w:firstLine="420" w:firstLineChars="200"/>
            <w:textAlignment w:val="auto"/>
            <w:rPr>
              <w:rFonts w:hint="eastAsia" w:ascii="Times New Roman" w:hAnsi="Times New Roman" w:eastAsia="宋体" w:cs="Times New Roman"/>
              <w:color w:val="auto"/>
            </w:rPr>
          </w:pPr>
          <w:r>
            <w:rPr>
              <w:rFonts w:hint="eastAsia" w:ascii="Times New Roman" w:hAnsi="Times New Roman" w:eastAsia="宋体" w:cs="Times New Roman"/>
              <w:color w:val="auto"/>
            </w:rPr>
            <w:t>附件</w:t>
          </w:r>
          <w:r>
            <w:rPr>
              <w:rFonts w:hint="eastAsia" w:ascii="Times New Roman" w:hAnsi="Times New Roman" w:eastAsia="宋体" w:cs="Times New Roman"/>
              <w:color w:val="auto"/>
              <w:lang w:val="en-US" w:eastAsia="zh-CN"/>
            </w:rPr>
            <w:t>11</w:t>
          </w:r>
          <w:r>
            <w:rPr>
              <w:rFonts w:hint="eastAsia" w:ascii="Times New Roman" w:hAnsi="Times New Roman" w:eastAsia="宋体" w:cs="Times New Roman"/>
              <w:color w:val="auto"/>
            </w:rPr>
            <w:t xml:space="preserve"> 背胶处理剂MSDS</w:t>
          </w:r>
        </w:p>
        <w:p w14:paraId="5BCE8D87">
          <w:pPr>
            <w:keepNext w:val="0"/>
            <w:keepLines w:val="0"/>
            <w:pageBreakBefore w:val="0"/>
            <w:widowControl w:val="0"/>
            <w:kinsoku/>
            <w:wordWrap/>
            <w:overflowPunct/>
            <w:topLinePunct w:val="0"/>
            <w:autoSpaceDE/>
            <w:autoSpaceDN/>
            <w:bidi w:val="0"/>
            <w:adjustRightInd/>
            <w:snapToGrid/>
            <w:spacing w:line="260" w:lineRule="exact"/>
            <w:ind w:firstLine="420" w:firstLineChars="200"/>
            <w:textAlignment w:val="auto"/>
            <w:rPr>
              <w:rFonts w:hint="eastAsia" w:ascii="Times New Roman" w:hAnsi="Times New Roman" w:eastAsia="宋体" w:cs="Times New Roman"/>
              <w:color w:val="auto"/>
            </w:rPr>
          </w:pPr>
          <w:r>
            <w:rPr>
              <w:rFonts w:hint="eastAsia" w:ascii="Times New Roman" w:hAnsi="Times New Roman" w:eastAsia="宋体" w:cs="Times New Roman"/>
              <w:color w:val="auto"/>
            </w:rPr>
            <w:t>附件1</w:t>
          </w:r>
          <w:r>
            <w:rPr>
              <w:rFonts w:hint="eastAsia" w:ascii="Times New Roman" w:hAnsi="Times New Roman" w:eastAsia="宋体" w:cs="Times New Roman"/>
              <w:color w:val="auto"/>
              <w:lang w:val="en-US" w:eastAsia="zh-CN"/>
            </w:rPr>
            <w:t>2</w:t>
          </w:r>
          <w:r>
            <w:rPr>
              <w:rFonts w:hint="eastAsia" w:ascii="Times New Roman" w:hAnsi="Times New Roman" w:eastAsia="宋体" w:cs="Times New Roman"/>
              <w:color w:val="auto"/>
            </w:rPr>
            <w:t xml:space="preserve"> 环评确认文件</w:t>
          </w:r>
        </w:p>
        <w:p w14:paraId="11E6BFAB">
          <w:pPr>
            <w:keepNext w:val="0"/>
            <w:keepLines w:val="0"/>
            <w:pageBreakBefore w:val="0"/>
            <w:widowControl w:val="0"/>
            <w:kinsoku/>
            <w:wordWrap/>
            <w:overflowPunct/>
            <w:topLinePunct w:val="0"/>
            <w:autoSpaceDE/>
            <w:autoSpaceDN/>
            <w:bidi w:val="0"/>
            <w:adjustRightInd/>
            <w:snapToGrid/>
            <w:spacing w:line="260" w:lineRule="exact"/>
            <w:ind w:firstLine="420" w:firstLineChars="200"/>
            <w:textAlignment w:val="auto"/>
            <w:rPr>
              <w:rFonts w:hint="eastAsia" w:ascii="Times New Roman" w:hAnsi="Times New Roman" w:eastAsia="宋体" w:cs="Times New Roman"/>
              <w:color w:val="auto"/>
            </w:rPr>
          </w:pPr>
          <w:r>
            <w:rPr>
              <w:rFonts w:hint="eastAsia" w:ascii="Times New Roman" w:hAnsi="Times New Roman" w:eastAsia="宋体" w:cs="Times New Roman"/>
              <w:color w:val="auto"/>
            </w:rPr>
            <w:t>附件1</w:t>
          </w:r>
          <w:r>
            <w:rPr>
              <w:rFonts w:hint="eastAsia" w:ascii="Times New Roman" w:hAnsi="Times New Roman" w:eastAsia="宋体" w:cs="Times New Roman"/>
              <w:color w:val="auto"/>
              <w:lang w:val="en-US" w:eastAsia="zh-CN"/>
            </w:rPr>
            <w:t>3</w:t>
          </w:r>
          <w:r>
            <w:rPr>
              <w:rFonts w:hint="eastAsia" w:ascii="Times New Roman" w:hAnsi="Times New Roman" w:eastAsia="宋体" w:cs="Times New Roman"/>
              <w:color w:val="auto"/>
            </w:rPr>
            <w:t xml:space="preserve"> 申请报告</w:t>
          </w:r>
        </w:p>
        <w:p w14:paraId="564D04DB">
          <w:pPr>
            <w:keepNext w:val="0"/>
            <w:keepLines w:val="0"/>
            <w:pageBreakBefore w:val="0"/>
            <w:widowControl w:val="0"/>
            <w:kinsoku/>
            <w:wordWrap/>
            <w:overflowPunct/>
            <w:topLinePunct w:val="0"/>
            <w:autoSpaceDE/>
            <w:autoSpaceDN/>
            <w:bidi w:val="0"/>
            <w:adjustRightInd/>
            <w:snapToGrid/>
            <w:spacing w:line="260" w:lineRule="exact"/>
            <w:ind w:firstLine="420" w:firstLineChars="200"/>
            <w:textAlignment w:val="auto"/>
            <w:rPr>
              <w:rFonts w:hint="eastAsia" w:ascii="Times New Roman" w:hAnsi="Times New Roman" w:eastAsia="宋体" w:cs="Times New Roman"/>
              <w:color w:val="auto"/>
            </w:rPr>
          </w:pPr>
          <w:r>
            <w:rPr>
              <w:rFonts w:hint="eastAsia" w:ascii="Times New Roman" w:hAnsi="Times New Roman" w:eastAsia="宋体" w:cs="Times New Roman"/>
              <w:color w:val="auto"/>
            </w:rPr>
            <w:t>附件1</w:t>
          </w:r>
          <w:r>
            <w:rPr>
              <w:rFonts w:hint="eastAsia" w:ascii="Times New Roman" w:hAnsi="Times New Roman" w:eastAsia="宋体" w:cs="Times New Roman"/>
              <w:color w:val="auto"/>
              <w:lang w:val="en-US" w:eastAsia="zh-CN"/>
            </w:rPr>
            <w:t>4</w:t>
          </w:r>
          <w:r>
            <w:rPr>
              <w:rFonts w:hint="eastAsia" w:ascii="Times New Roman" w:hAnsi="Times New Roman" w:eastAsia="宋体" w:cs="Times New Roman"/>
              <w:color w:val="auto"/>
            </w:rPr>
            <w:t xml:space="preserve"> 建设项目环保</w:t>
          </w:r>
          <w:r>
            <w:rPr>
              <w:rFonts w:hint="eastAsia" w:ascii="Times New Roman" w:hAnsi="Times New Roman" w:eastAsia="宋体" w:cs="Times New Roman"/>
              <w:color w:val="auto"/>
              <w:lang w:eastAsia="zh-CN"/>
            </w:rPr>
            <w:t>“</w:t>
          </w:r>
          <w:r>
            <w:rPr>
              <w:rFonts w:hint="eastAsia" w:ascii="Times New Roman" w:hAnsi="Times New Roman" w:eastAsia="宋体" w:cs="Times New Roman"/>
              <w:color w:val="auto"/>
            </w:rPr>
            <w:t>三同时</w:t>
          </w:r>
          <w:r>
            <w:rPr>
              <w:rFonts w:hint="eastAsia" w:ascii="Times New Roman" w:hAnsi="Times New Roman" w:eastAsia="宋体" w:cs="Times New Roman"/>
              <w:color w:val="auto"/>
              <w:lang w:eastAsia="zh-CN"/>
            </w:rPr>
            <w:t>”</w:t>
          </w:r>
          <w:r>
            <w:rPr>
              <w:rFonts w:hint="eastAsia" w:ascii="Times New Roman" w:hAnsi="Times New Roman" w:eastAsia="宋体" w:cs="Times New Roman"/>
              <w:color w:val="auto"/>
            </w:rPr>
            <w:t>竣工环保验收承诺书</w:t>
          </w:r>
        </w:p>
        <w:p w14:paraId="35E02A04">
          <w:pPr>
            <w:keepNext w:val="0"/>
            <w:keepLines w:val="0"/>
            <w:pageBreakBefore w:val="0"/>
            <w:widowControl w:val="0"/>
            <w:kinsoku/>
            <w:wordWrap/>
            <w:overflowPunct/>
            <w:topLinePunct w:val="0"/>
            <w:autoSpaceDE/>
            <w:autoSpaceDN/>
            <w:bidi w:val="0"/>
            <w:adjustRightInd/>
            <w:snapToGrid/>
            <w:spacing w:line="260" w:lineRule="exact"/>
            <w:ind w:firstLine="420" w:firstLineChars="200"/>
            <w:textAlignment w:val="auto"/>
            <w:rPr>
              <w:rFonts w:hint="eastAsia" w:ascii="Times New Roman" w:hAnsi="Times New Roman" w:eastAsia="宋体" w:cs="Times New Roman"/>
              <w:color w:val="auto"/>
              <w:lang w:eastAsia="zh-CN"/>
            </w:rPr>
          </w:pPr>
          <w:r>
            <w:rPr>
              <w:rFonts w:hint="eastAsia" w:ascii="Times New Roman" w:hAnsi="Times New Roman" w:eastAsia="宋体" w:cs="Times New Roman"/>
              <w:color w:val="auto"/>
            </w:rPr>
            <w:t>附件1</w:t>
          </w:r>
          <w:r>
            <w:rPr>
              <w:rFonts w:hint="eastAsia" w:ascii="Times New Roman" w:hAnsi="Times New Roman" w:eastAsia="宋体" w:cs="Times New Roman"/>
              <w:color w:val="auto"/>
              <w:lang w:val="en-US" w:eastAsia="zh-CN"/>
            </w:rPr>
            <w:t>5</w:t>
          </w:r>
          <w:r>
            <w:rPr>
              <w:rFonts w:hint="eastAsia" w:ascii="Times New Roman" w:hAnsi="Times New Roman" w:eastAsia="宋体" w:cs="Times New Roman"/>
              <w:color w:val="auto"/>
            </w:rPr>
            <w:t xml:space="preserve"> 生态环境信用承诺书</w:t>
          </w:r>
          <w:r>
            <w:rPr>
              <w:rFonts w:hint="eastAsia" w:ascii="Times New Roman" w:hAnsi="Times New Roman" w:eastAsia="宋体" w:cs="Times New Roman"/>
              <w:color w:val="auto"/>
              <w:lang w:eastAsia="zh-CN"/>
            </w:rPr>
            <w:t>（</w:t>
          </w:r>
          <w:r>
            <w:rPr>
              <w:rFonts w:hint="eastAsia" w:ascii="Times New Roman" w:hAnsi="Times New Roman" w:eastAsia="宋体" w:cs="Times New Roman"/>
              <w:color w:val="auto"/>
            </w:rPr>
            <w:t>申报事项</w:t>
          </w:r>
          <w:r>
            <w:rPr>
              <w:rFonts w:hint="eastAsia" w:ascii="Times New Roman" w:hAnsi="Times New Roman" w:eastAsia="宋体" w:cs="Times New Roman"/>
              <w:color w:val="auto"/>
              <w:lang w:eastAsia="zh-CN"/>
            </w:rPr>
            <w:t>）</w:t>
          </w:r>
        </w:p>
        <w:p w14:paraId="4228B639">
          <w:pPr>
            <w:keepNext w:val="0"/>
            <w:keepLines w:val="0"/>
            <w:pageBreakBefore w:val="0"/>
            <w:widowControl w:val="0"/>
            <w:kinsoku/>
            <w:wordWrap/>
            <w:overflowPunct/>
            <w:topLinePunct w:val="0"/>
            <w:autoSpaceDE/>
            <w:autoSpaceDN/>
            <w:bidi w:val="0"/>
            <w:adjustRightInd/>
            <w:snapToGrid/>
            <w:spacing w:line="260" w:lineRule="exact"/>
            <w:ind w:firstLine="420" w:firstLineChars="200"/>
            <w:textAlignment w:val="auto"/>
            <w:rPr>
              <w:rFonts w:hint="eastAsia" w:ascii="Times New Roman" w:hAnsi="Times New Roman" w:eastAsia="宋体" w:cs="Times New Roman"/>
              <w:color w:val="auto"/>
            </w:rPr>
          </w:pPr>
          <w:r>
            <w:rPr>
              <w:rFonts w:hint="eastAsia" w:ascii="Times New Roman" w:hAnsi="Times New Roman" w:eastAsia="宋体" w:cs="Times New Roman"/>
              <w:color w:val="auto"/>
            </w:rPr>
            <w:t>附件1</w:t>
          </w:r>
          <w:r>
            <w:rPr>
              <w:rFonts w:hint="eastAsia" w:ascii="Times New Roman" w:hAnsi="Times New Roman" w:eastAsia="宋体" w:cs="Times New Roman"/>
              <w:color w:val="auto"/>
              <w:lang w:val="en-US" w:eastAsia="zh-CN"/>
            </w:rPr>
            <w:t>6</w:t>
          </w:r>
          <w:r>
            <w:rPr>
              <w:rFonts w:hint="eastAsia" w:ascii="Times New Roman" w:hAnsi="Times New Roman" w:eastAsia="宋体" w:cs="Times New Roman"/>
              <w:color w:val="auto"/>
            </w:rPr>
            <w:t xml:space="preserve"> 信息公开说明材料及公示截图</w:t>
          </w:r>
        </w:p>
        <w:p w14:paraId="2DBC0C65">
          <w:pPr>
            <w:keepNext w:val="0"/>
            <w:keepLines w:val="0"/>
            <w:pageBreakBefore w:val="0"/>
            <w:widowControl w:val="0"/>
            <w:kinsoku/>
            <w:wordWrap/>
            <w:overflowPunct/>
            <w:topLinePunct w:val="0"/>
            <w:autoSpaceDE/>
            <w:autoSpaceDN/>
            <w:bidi w:val="0"/>
            <w:adjustRightInd/>
            <w:snapToGrid/>
            <w:spacing w:line="260" w:lineRule="exact"/>
            <w:ind w:firstLine="420" w:firstLineChars="200"/>
            <w:textAlignment w:val="auto"/>
            <w:rPr>
              <w:rFonts w:ascii="Times New Roman" w:hAnsi="Times New Roman" w:eastAsia="宋体" w:cs="Times New Roman"/>
              <w:color w:val="auto"/>
            </w:rPr>
          </w:pPr>
          <w:r>
            <w:rPr>
              <w:rFonts w:hint="eastAsia" w:ascii="Times New Roman" w:hAnsi="Times New Roman" w:eastAsia="宋体" w:cs="Times New Roman"/>
              <w:color w:val="auto"/>
            </w:rPr>
            <w:t>附件1</w:t>
          </w:r>
          <w:r>
            <w:rPr>
              <w:rFonts w:hint="eastAsia" w:ascii="Times New Roman" w:hAnsi="Times New Roman" w:eastAsia="宋体" w:cs="Times New Roman"/>
              <w:color w:val="auto"/>
              <w:lang w:val="en-US" w:eastAsia="zh-CN"/>
            </w:rPr>
            <w:t>7</w:t>
          </w:r>
          <w:r>
            <w:rPr>
              <w:rFonts w:hint="eastAsia" w:ascii="Times New Roman" w:hAnsi="Times New Roman" w:eastAsia="宋体" w:cs="Times New Roman"/>
              <w:color w:val="auto"/>
            </w:rPr>
            <w:t xml:space="preserve"> 删除涉密事项的说明</w:t>
          </w:r>
        </w:p>
        <w:p w14:paraId="22343A56">
          <w:pPr>
            <w:ind w:firstLine="600" w:firstLineChars="200"/>
            <w:rPr>
              <w:rFonts w:ascii="Times New Roman" w:hAnsi="Times New Roman" w:eastAsia="宋体" w:cs="Times New Roman"/>
              <w:color w:val="auto"/>
            </w:rPr>
          </w:pPr>
        </w:p>
      </w:sdtContent>
    </w:sdt>
    <w:p w14:paraId="48AEBF32">
      <w:pPr>
        <w:pStyle w:val="20"/>
        <w:ind w:firstLine="210"/>
        <w:rPr>
          <w:color w:val="auto"/>
        </w:rPr>
        <w:sectPr>
          <w:headerReference r:id="rId6" w:type="default"/>
          <w:pgSz w:w="11906" w:h="16838"/>
          <w:pgMar w:top="1440" w:right="1800" w:bottom="1440" w:left="1800" w:header="851" w:footer="992" w:gutter="0"/>
          <w:pgBorders>
            <w:top w:val="none" w:sz="0" w:space="0"/>
            <w:left w:val="none" w:sz="0" w:space="0"/>
            <w:bottom w:val="none" w:sz="0" w:space="0"/>
            <w:right w:val="none" w:sz="0" w:space="0"/>
          </w:pgBorders>
          <w:cols w:space="425" w:num="1"/>
          <w:docGrid w:type="lines" w:linePitch="312" w:charSpace="0"/>
        </w:sectPr>
      </w:pPr>
    </w:p>
    <w:p w14:paraId="72E9C5B7">
      <w:pPr>
        <w:pStyle w:val="2"/>
        <w:rPr>
          <w:rFonts w:ascii="Times New Roman" w:hAnsi="Times New Roman" w:eastAsia="宋体" w:cs="Times New Roman"/>
          <w:color w:val="auto"/>
          <w:sz w:val="30"/>
          <w:szCs w:val="30"/>
        </w:rPr>
      </w:pPr>
      <w:bookmarkStart w:id="2" w:name="_Toc19916"/>
      <w:r>
        <w:rPr>
          <w:rFonts w:ascii="Times New Roman" w:hAnsi="Times New Roman" w:eastAsia="宋体" w:cs="Times New Roman"/>
          <w:color w:val="auto"/>
          <w:sz w:val="30"/>
          <w:szCs w:val="30"/>
        </w:rPr>
        <w:t>一、建设项目基本情况</w:t>
      </w:r>
      <w:bookmarkEnd w:id="2"/>
    </w:p>
    <w:tbl>
      <w:tblPr>
        <w:tblStyle w:val="23"/>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58"/>
        <w:gridCol w:w="1134"/>
        <w:gridCol w:w="2295"/>
        <w:gridCol w:w="1621"/>
        <w:gridCol w:w="3154"/>
      </w:tblGrid>
      <w:tr w14:paraId="344D57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1098" w:type="pct"/>
            <w:gridSpan w:val="2"/>
            <w:vAlign w:val="center"/>
          </w:tcPr>
          <w:p w14:paraId="0D52F48C">
            <w:pPr>
              <w:keepNext w:val="0"/>
              <w:keepLines w:val="0"/>
              <w:suppressLineNumbers w:val="0"/>
              <w:spacing w:before="0" w:beforeAutospacing="0" w:after="0" w:afterAutospacing="0"/>
              <w:ind w:left="0" w:right="0"/>
              <w:jc w:val="center"/>
              <w:rPr>
                <w:rFonts w:hint="default" w:ascii="Times New Roman" w:hAnsi="Times New Roman" w:eastAsia="宋体" w:cs="Times New Roman"/>
                <w:b/>
                <w:bCs/>
                <w:color w:val="auto"/>
                <w:sz w:val="24"/>
              </w:rPr>
            </w:pPr>
            <w:r>
              <w:rPr>
                <w:rFonts w:hint="default" w:ascii="Times New Roman" w:hAnsi="Times New Roman" w:eastAsia="宋体" w:cs="Times New Roman"/>
                <w:b/>
                <w:bCs/>
                <w:color w:val="auto"/>
                <w:sz w:val="24"/>
              </w:rPr>
              <w:t>建设项目名称</w:t>
            </w:r>
          </w:p>
        </w:tc>
        <w:tc>
          <w:tcPr>
            <w:tcW w:w="3901" w:type="pct"/>
            <w:gridSpan w:val="3"/>
            <w:vAlign w:val="center"/>
          </w:tcPr>
          <w:p w14:paraId="427C4419">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 w:val="24"/>
              </w:rPr>
            </w:pPr>
            <w:r>
              <w:rPr>
                <w:rFonts w:hint="default" w:ascii="Times New Roman" w:hAnsi="Times New Roman" w:eastAsia="宋体" w:cs="Times New Roman"/>
                <w:color w:val="auto"/>
                <w:sz w:val="24"/>
              </w:rPr>
              <w:t>浙江凌志源科技股份有限公司年产500万平方米第二代动力电池高安全陶瓷化复合隔膜及2000万片纳米隔热板项目</w:t>
            </w:r>
          </w:p>
        </w:tc>
      </w:tr>
      <w:tr w14:paraId="075448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1098" w:type="pct"/>
            <w:gridSpan w:val="2"/>
            <w:vAlign w:val="center"/>
          </w:tcPr>
          <w:p w14:paraId="1622192D">
            <w:pPr>
              <w:keepNext w:val="0"/>
              <w:keepLines w:val="0"/>
              <w:suppressLineNumbers w:val="0"/>
              <w:spacing w:before="0" w:beforeAutospacing="0" w:after="0" w:afterAutospacing="0"/>
              <w:ind w:left="0" w:right="0"/>
              <w:jc w:val="center"/>
              <w:rPr>
                <w:rFonts w:hint="default" w:ascii="Times New Roman" w:hAnsi="Times New Roman" w:eastAsia="宋体" w:cs="Times New Roman"/>
                <w:b/>
                <w:bCs/>
                <w:color w:val="auto"/>
                <w:sz w:val="24"/>
              </w:rPr>
            </w:pPr>
            <w:r>
              <w:rPr>
                <w:rFonts w:hint="default" w:ascii="Times New Roman" w:hAnsi="Times New Roman" w:eastAsia="宋体" w:cs="Times New Roman"/>
                <w:b/>
                <w:bCs/>
                <w:color w:val="auto"/>
                <w:sz w:val="24"/>
              </w:rPr>
              <w:t>项目代码</w:t>
            </w:r>
          </w:p>
        </w:tc>
        <w:tc>
          <w:tcPr>
            <w:tcW w:w="3901" w:type="pct"/>
            <w:gridSpan w:val="3"/>
            <w:vAlign w:val="center"/>
          </w:tcPr>
          <w:p w14:paraId="352C80C1">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 w:val="24"/>
              </w:rPr>
            </w:pPr>
            <w:r>
              <w:rPr>
                <w:rFonts w:hint="default" w:ascii="Times New Roman" w:hAnsi="Times New Roman" w:eastAsia="宋体" w:cs="Times New Roman"/>
                <w:color w:val="auto"/>
                <w:sz w:val="24"/>
              </w:rPr>
              <w:t>2512-330554-04-02-214750</w:t>
            </w:r>
          </w:p>
        </w:tc>
      </w:tr>
      <w:tr w14:paraId="48C5D6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1098" w:type="pct"/>
            <w:gridSpan w:val="2"/>
            <w:vAlign w:val="center"/>
          </w:tcPr>
          <w:p w14:paraId="4779AE66">
            <w:pPr>
              <w:keepNext w:val="0"/>
              <w:keepLines w:val="0"/>
              <w:suppressLineNumbers w:val="0"/>
              <w:spacing w:before="0" w:beforeAutospacing="0" w:after="0" w:afterAutospacing="0"/>
              <w:ind w:left="0" w:right="0"/>
              <w:jc w:val="center"/>
              <w:rPr>
                <w:rFonts w:hint="default" w:ascii="Times New Roman" w:hAnsi="Times New Roman" w:eastAsia="宋体" w:cs="Times New Roman"/>
                <w:b/>
                <w:bCs/>
                <w:color w:val="auto"/>
                <w:sz w:val="24"/>
              </w:rPr>
            </w:pPr>
            <w:r>
              <w:rPr>
                <w:rFonts w:hint="default" w:ascii="Times New Roman" w:hAnsi="Times New Roman" w:eastAsia="宋体" w:cs="Times New Roman"/>
                <w:b/>
                <w:bCs/>
                <w:color w:val="auto"/>
                <w:sz w:val="24"/>
              </w:rPr>
              <w:t>建设单位联系人</w:t>
            </w:r>
          </w:p>
        </w:tc>
        <w:tc>
          <w:tcPr>
            <w:tcW w:w="1266" w:type="pct"/>
            <w:vAlign w:val="center"/>
          </w:tcPr>
          <w:p w14:paraId="2224554D">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 w:val="24"/>
              </w:rPr>
            </w:pPr>
            <w:r>
              <w:rPr>
                <w:rFonts w:hint="default" w:ascii="Times New Roman" w:hAnsi="Times New Roman" w:eastAsia="宋体" w:cs="Times New Roman"/>
                <w:color w:val="auto"/>
                <w:sz w:val="24"/>
              </w:rPr>
              <w:t>吴俊杰</w:t>
            </w:r>
          </w:p>
        </w:tc>
        <w:tc>
          <w:tcPr>
            <w:tcW w:w="895" w:type="pct"/>
            <w:vAlign w:val="center"/>
          </w:tcPr>
          <w:p w14:paraId="66E92112">
            <w:pPr>
              <w:keepNext w:val="0"/>
              <w:keepLines w:val="0"/>
              <w:suppressLineNumbers w:val="0"/>
              <w:spacing w:before="0" w:beforeAutospacing="0" w:after="0" w:afterAutospacing="0"/>
              <w:ind w:left="0" w:right="0"/>
              <w:jc w:val="center"/>
              <w:rPr>
                <w:rFonts w:hint="default" w:ascii="Times New Roman" w:hAnsi="Times New Roman" w:eastAsia="宋体" w:cs="Times New Roman"/>
                <w:b/>
                <w:bCs/>
                <w:color w:val="auto"/>
                <w:sz w:val="24"/>
              </w:rPr>
            </w:pPr>
            <w:r>
              <w:rPr>
                <w:rFonts w:hint="default" w:ascii="Times New Roman" w:hAnsi="Times New Roman" w:eastAsia="宋体" w:cs="Times New Roman"/>
                <w:b/>
                <w:bCs/>
                <w:color w:val="auto"/>
                <w:sz w:val="24"/>
              </w:rPr>
              <w:t>联系方式</w:t>
            </w:r>
          </w:p>
        </w:tc>
        <w:tc>
          <w:tcPr>
            <w:tcW w:w="1740" w:type="pct"/>
            <w:vAlign w:val="center"/>
          </w:tcPr>
          <w:p w14:paraId="18A68EED">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 w:val="24"/>
              </w:rPr>
            </w:pPr>
            <w:r>
              <w:rPr>
                <w:rFonts w:hint="default" w:ascii="Times New Roman" w:hAnsi="Times New Roman" w:eastAsia="宋体" w:cs="Times New Roman"/>
                <w:color w:val="auto"/>
                <w:sz w:val="24"/>
              </w:rPr>
              <w:t>15906615728</w:t>
            </w:r>
          </w:p>
        </w:tc>
      </w:tr>
      <w:tr w14:paraId="6AE9B6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1098" w:type="pct"/>
            <w:gridSpan w:val="2"/>
            <w:vAlign w:val="center"/>
          </w:tcPr>
          <w:p w14:paraId="68BCA2F1">
            <w:pPr>
              <w:keepNext w:val="0"/>
              <w:keepLines w:val="0"/>
              <w:suppressLineNumbers w:val="0"/>
              <w:spacing w:before="0" w:beforeAutospacing="0" w:after="0" w:afterAutospacing="0"/>
              <w:ind w:left="0" w:right="0"/>
              <w:jc w:val="center"/>
              <w:rPr>
                <w:rFonts w:hint="default" w:ascii="Times New Roman" w:hAnsi="Times New Roman" w:eastAsia="宋体" w:cs="Times New Roman"/>
                <w:b/>
                <w:bCs/>
                <w:color w:val="auto"/>
                <w:sz w:val="24"/>
              </w:rPr>
            </w:pPr>
            <w:r>
              <w:rPr>
                <w:rFonts w:hint="default" w:ascii="Times New Roman" w:hAnsi="Times New Roman" w:eastAsia="宋体" w:cs="Times New Roman"/>
                <w:b/>
                <w:bCs/>
                <w:color w:val="auto"/>
                <w:sz w:val="24"/>
              </w:rPr>
              <w:t>建设地点</w:t>
            </w:r>
          </w:p>
        </w:tc>
        <w:tc>
          <w:tcPr>
            <w:tcW w:w="3901" w:type="pct"/>
            <w:gridSpan w:val="3"/>
            <w:vAlign w:val="center"/>
          </w:tcPr>
          <w:p w14:paraId="20AEBF32">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 w:val="24"/>
              </w:rPr>
            </w:pPr>
            <w:r>
              <w:rPr>
                <w:rFonts w:hint="default" w:ascii="Times New Roman" w:hAnsi="Times New Roman" w:eastAsia="宋体" w:cs="Times New Roman"/>
                <w:color w:val="auto"/>
                <w:sz w:val="24"/>
                <w:highlight w:val="yellow"/>
              </w:rPr>
              <w:t>浙江省湖州市安吉县天子湖镇长隆路398号</w:t>
            </w:r>
            <w:r>
              <w:rPr>
                <w:rFonts w:hint="default" w:ascii="Times New Roman" w:hAnsi="Times New Roman" w:eastAsia="宋体" w:cs="Times New Roman"/>
                <w:color w:val="0000E1"/>
                <w:sz w:val="24"/>
                <w:highlight w:val="yellow"/>
              </w:rPr>
              <w:t>1号厂房1楼，2号厂房1楼</w:t>
            </w:r>
            <w:r>
              <w:rPr>
                <w:rFonts w:hint="eastAsia" w:ascii="Times New Roman" w:hAnsi="Times New Roman" w:eastAsia="宋体" w:cs="Times New Roman"/>
                <w:color w:val="0000E1"/>
                <w:sz w:val="24"/>
                <w:highlight w:val="yellow"/>
                <w:lang w:eastAsia="zh-CN"/>
              </w:rPr>
              <w:t>、</w:t>
            </w:r>
            <w:r>
              <w:rPr>
                <w:rFonts w:hint="default" w:ascii="Times New Roman" w:hAnsi="Times New Roman" w:eastAsia="宋体" w:cs="Times New Roman"/>
                <w:color w:val="0000E1"/>
                <w:sz w:val="24"/>
                <w:highlight w:val="yellow"/>
              </w:rPr>
              <w:t>2楼</w:t>
            </w:r>
            <w:r>
              <w:rPr>
                <w:rFonts w:hint="default" w:ascii="Times New Roman" w:hAnsi="Times New Roman" w:eastAsia="宋体" w:cs="Times New Roman"/>
                <w:color w:val="auto"/>
                <w:sz w:val="24"/>
                <w:highlight w:val="yellow"/>
              </w:rPr>
              <w:t>（浙江吉珈科技有限公司内）</w:t>
            </w:r>
            <w:r>
              <w:rPr>
                <w:rFonts w:hint="default"/>
              </w:rPr>
              <w:commentReference w:id="1"/>
            </w:r>
          </w:p>
        </w:tc>
      </w:tr>
      <w:tr w14:paraId="7F474F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1098" w:type="pct"/>
            <w:gridSpan w:val="2"/>
            <w:vAlign w:val="center"/>
          </w:tcPr>
          <w:p w14:paraId="2319CE26">
            <w:pPr>
              <w:keepNext w:val="0"/>
              <w:keepLines w:val="0"/>
              <w:suppressLineNumbers w:val="0"/>
              <w:spacing w:before="0" w:beforeAutospacing="0" w:after="0" w:afterAutospacing="0"/>
              <w:ind w:left="0" w:right="0"/>
              <w:jc w:val="center"/>
              <w:rPr>
                <w:rFonts w:hint="default" w:ascii="Times New Roman" w:hAnsi="Times New Roman" w:eastAsia="宋体" w:cs="Times New Roman"/>
                <w:b/>
                <w:bCs/>
                <w:color w:val="auto"/>
                <w:sz w:val="24"/>
              </w:rPr>
            </w:pPr>
            <w:r>
              <w:rPr>
                <w:rFonts w:hint="default" w:ascii="Times New Roman" w:hAnsi="Times New Roman" w:eastAsia="宋体" w:cs="Times New Roman"/>
                <w:b/>
                <w:bCs/>
                <w:color w:val="auto"/>
                <w:sz w:val="24"/>
              </w:rPr>
              <w:t>地理坐标</w:t>
            </w:r>
          </w:p>
        </w:tc>
        <w:tc>
          <w:tcPr>
            <w:tcW w:w="3901" w:type="pct"/>
            <w:gridSpan w:val="3"/>
            <w:vAlign w:val="center"/>
          </w:tcPr>
          <w:p w14:paraId="30065DC0">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 w:val="24"/>
              </w:rPr>
            </w:pPr>
            <w:r>
              <w:rPr>
                <w:rFonts w:hint="default" w:ascii="Times New Roman" w:hAnsi="Times New Roman" w:eastAsia="宋体" w:cs="Times New Roman"/>
                <w:color w:val="auto"/>
                <w:sz w:val="24"/>
              </w:rPr>
              <w:t>经度119°39'</w:t>
            </w:r>
            <w:r>
              <w:rPr>
                <w:rFonts w:hint="eastAsia" w:ascii="Times New Roman" w:hAnsi="Times New Roman" w:eastAsia="宋体" w:cs="Times New Roman"/>
                <w:color w:val="auto"/>
                <w:sz w:val="24"/>
                <w:lang w:val="en-US" w:eastAsia="zh-CN"/>
              </w:rPr>
              <w:t>01.166</w:t>
            </w:r>
            <w:r>
              <w:rPr>
                <w:rFonts w:hint="default" w:ascii="Times New Roman" w:hAnsi="Times New Roman" w:eastAsia="宋体" w:cs="Times New Roman"/>
                <w:color w:val="auto"/>
                <w:sz w:val="24"/>
              </w:rPr>
              <w:t>"</w:t>
            </w:r>
            <w:r>
              <w:rPr>
                <w:rFonts w:hint="eastAsia" w:ascii="Times New Roman" w:hAnsi="Times New Roman" w:eastAsia="宋体" w:cs="Times New Roman"/>
                <w:color w:val="auto"/>
                <w:sz w:val="24"/>
              </w:rPr>
              <w:t>，</w:t>
            </w:r>
            <w:r>
              <w:rPr>
                <w:rFonts w:hint="default" w:ascii="Times New Roman" w:hAnsi="Times New Roman" w:eastAsia="宋体" w:cs="Times New Roman"/>
                <w:color w:val="auto"/>
                <w:sz w:val="24"/>
              </w:rPr>
              <w:t>纬度30°47'</w:t>
            </w:r>
            <w:r>
              <w:rPr>
                <w:rFonts w:hint="eastAsia" w:ascii="Times New Roman" w:hAnsi="Times New Roman" w:eastAsia="宋体" w:cs="Times New Roman"/>
                <w:color w:val="auto"/>
                <w:sz w:val="24"/>
                <w:lang w:val="en-US" w:eastAsia="zh-CN"/>
              </w:rPr>
              <w:t>02.532</w:t>
            </w:r>
            <w:r>
              <w:rPr>
                <w:rFonts w:hint="default" w:ascii="Times New Roman" w:hAnsi="Times New Roman" w:eastAsia="宋体" w:cs="Times New Roman"/>
                <w:color w:val="auto"/>
                <w:sz w:val="24"/>
              </w:rPr>
              <w:t>"</w:t>
            </w:r>
          </w:p>
        </w:tc>
      </w:tr>
      <w:tr w14:paraId="4DF9B1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1098" w:type="pct"/>
            <w:gridSpan w:val="2"/>
            <w:vAlign w:val="center"/>
          </w:tcPr>
          <w:p w14:paraId="6DBB861C">
            <w:pPr>
              <w:keepNext w:val="0"/>
              <w:keepLines w:val="0"/>
              <w:suppressLineNumbers w:val="0"/>
              <w:spacing w:before="0" w:beforeAutospacing="0" w:after="0" w:afterAutospacing="0"/>
              <w:ind w:left="0" w:right="0"/>
              <w:jc w:val="center"/>
              <w:rPr>
                <w:rFonts w:hint="default" w:ascii="Times New Roman" w:hAnsi="Times New Roman" w:eastAsia="宋体" w:cs="Times New Roman"/>
                <w:b/>
                <w:bCs/>
                <w:color w:val="auto"/>
                <w:sz w:val="24"/>
              </w:rPr>
            </w:pPr>
            <w:r>
              <w:rPr>
                <w:rFonts w:hint="default" w:ascii="Times New Roman" w:hAnsi="Times New Roman" w:eastAsia="宋体" w:cs="Times New Roman"/>
                <w:b/>
                <w:bCs/>
                <w:color w:val="auto"/>
                <w:sz w:val="24"/>
              </w:rPr>
              <w:t>国民经济</w:t>
            </w:r>
          </w:p>
          <w:p w14:paraId="4E14C15A">
            <w:pPr>
              <w:keepNext w:val="0"/>
              <w:keepLines w:val="0"/>
              <w:suppressLineNumbers w:val="0"/>
              <w:spacing w:before="0" w:beforeAutospacing="0" w:after="0" w:afterAutospacing="0"/>
              <w:ind w:left="0" w:right="0"/>
              <w:jc w:val="center"/>
              <w:rPr>
                <w:rFonts w:hint="default" w:ascii="Times New Roman" w:hAnsi="Times New Roman" w:eastAsia="宋体" w:cs="Times New Roman"/>
                <w:b/>
                <w:bCs/>
                <w:color w:val="auto"/>
                <w:sz w:val="24"/>
              </w:rPr>
            </w:pPr>
            <w:r>
              <w:rPr>
                <w:rFonts w:hint="default" w:ascii="Times New Roman" w:hAnsi="Times New Roman" w:eastAsia="宋体" w:cs="Times New Roman"/>
                <w:b/>
                <w:bCs/>
                <w:color w:val="auto"/>
                <w:sz w:val="24"/>
              </w:rPr>
              <w:t>行业类别</w:t>
            </w:r>
          </w:p>
        </w:tc>
        <w:tc>
          <w:tcPr>
            <w:tcW w:w="1266" w:type="pct"/>
            <w:vAlign w:val="center"/>
          </w:tcPr>
          <w:p w14:paraId="0D4A8A2B">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 w:val="24"/>
              </w:rPr>
            </w:pPr>
            <w:r>
              <w:rPr>
                <w:rFonts w:hint="eastAsia" w:ascii="Times New Roman" w:hAnsi="Times New Roman" w:eastAsia="宋体" w:cs="Times New Roman"/>
                <w:color w:val="auto"/>
                <w:sz w:val="24"/>
                <w:lang w:val="en-US" w:eastAsia="zh-CN"/>
              </w:rPr>
              <w:t>C3670</w:t>
            </w:r>
            <w:r>
              <w:rPr>
                <w:rFonts w:hint="default" w:ascii="Times New Roman" w:hAnsi="Times New Roman" w:eastAsia="宋体" w:cs="Times New Roman"/>
                <w:color w:val="auto"/>
                <w:sz w:val="24"/>
                <w:lang w:val="en-US" w:eastAsia="zh-CN"/>
              </w:rPr>
              <w:t>汽车零部件及配件制造</w:t>
            </w:r>
            <w:r>
              <w:rPr>
                <w:rFonts w:hint="eastAsia" w:ascii="Times New Roman" w:hAnsi="Times New Roman" w:eastAsia="宋体" w:cs="Times New Roman"/>
                <w:color w:val="auto"/>
                <w:sz w:val="24"/>
                <w:lang w:val="en-US" w:eastAsia="zh-CN"/>
              </w:rPr>
              <w:t>、C2929塑料零件及其他塑料制品制造、</w:t>
            </w:r>
            <w:r>
              <w:rPr>
                <w:rFonts w:hint="default" w:ascii="Times New Roman" w:hAnsi="Times New Roman" w:eastAsia="宋体" w:cs="Times New Roman"/>
                <w:color w:val="auto"/>
                <w:sz w:val="24"/>
                <w:highlight w:val="none"/>
              </w:rPr>
              <w:t>C3034隔热和隔音材料制造</w:t>
            </w:r>
          </w:p>
        </w:tc>
        <w:tc>
          <w:tcPr>
            <w:tcW w:w="895" w:type="pct"/>
            <w:vAlign w:val="center"/>
          </w:tcPr>
          <w:p w14:paraId="7FA33962">
            <w:pPr>
              <w:keepNext w:val="0"/>
              <w:keepLines w:val="0"/>
              <w:suppressLineNumbers w:val="0"/>
              <w:spacing w:before="0" w:beforeAutospacing="0" w:after="0" w:afterAutospacing="0"/>
              <w:ind w:left="0" w:right="0"/>
              <w:jc w:val="center"/>
              <w:rPr>
                <w:rFonts w:hint="default" w:ascii="Times New Roman" w:hAnsi="Times New Roman" w:eastAsia="宋体" w:cs="Times New Roman"/>
                <w:b/>
                <w:bCs/>
                <w:color w:val="auto"/>
                <w:sz w:val="24"/>
              </w:rPr>
            </w:pPr>
            <w:r>
              <w:rPr>
                <w:rFonts w:hint="default" w:ascii="Times New Roman" w:hAnsi="Times New Roman" w:eastAsia="宋体" w:cs="Times New Roman"/>
                <w:b/>
                <w:bCs/>
                <w:color w:val="auto"/>
                <w:sz w:val="24"/>
              </w:rPr>
              <w:t>建设项目</w:t>
            </w:r>
          </w:p>
          <w:p w14:paraId="33DD536C">
            <w:pPr>
              <w:keepNext w:val="0"/>
              <w:keepLines w:val="0"/>
              <w:suppressLineNumbers w:val="0"/>
              <w:spacing w:before="0" w:beforeAutospacing="0" w:after="0" w:afterAutospacing="0"/>
              <w:ind w:left="0" w:right="0"/>
              <w:jc w:val="center"/>
              <w:rPr>
                <w:rFonts w:hint="default" w:ascii="Times New Roman" w:hAnsi="Times New Roman" w:eastAsia="宋体" w:cs="Times New Roman"/>
                <w:b/>
                <w:bCs/>
                <w:color w:val="auto"/>
                <w:sz w:val="24"/>
              </w:rPr>
            </w:pPr>
            <w:r>
              <w:rPr>
                <w:rFonts w:hint="default" w:ascii="Times New Roman" w:hAnsi="Times New Roman" w:eastAsia="宋体" w:cs="Times New Roman"/>
                <w:b/>
                <w:bCs/>
                <w:color w:val="auto"/>
                <w:sz w:val="24"/>
              </w:rPr>
              <w:t>行业类别</w:t>
            </w:r>
          </w:p>
        </w:tc>
        <w:tc>
          <w:tcPr>
            <w:tcW w:w="1740" w:type="pct"/>
            <w:vAlign w:val="center"/>
          </w:tcPr>
          <w:p w14:paraId="2ACBEC5B">
            <w:pPr>
              <w:keepNext w:val="0"/>
              <w:keepLines w:val="0"/>
              <w:suppressLineNumbers w:val="0"/>
              <w:spacing w:before="0" w:beforeAutospacing="0" w:after="0" w:afterAutospacing="0"/>
              <w:ind w:left="0" w:right="0"/>
              <w:jc w:val="both"/>
              <w:rPr>
                <w:rFonts w:hint="eastAsia" w:ascii="Times New Roman" w:hAnsi="Times New Roman" w:eastAsia="宋体" w:cs="Times New Roman"/>
                <w:color w:val="auto"/>
                <w:sz w:val="24"/>
                <w:lang w:eastAsia="zh-CN"/>
              </w:rPr>
            </w:pPr>
            <w:r>
              <w:rPr>
                <w:rFonts w:hint="default" w:ascii="Times New Roman" w:hAnsi="Times New Roman" w:eastAsia="宋体" w:cs="Times New Roman"/>
                <w:color w:val="auto"/>
                <w:sz w:val="24"/>
              </w:rPr>
              <w:t>二十六、橡胶和塑料制品业29-5</w:t>
            </w:r>
            <w:r>
              <w:rPr>
                <w:rFonts w:hint="eastAsia" w:ascii="Times New Roman" w:hAnsi="Times New Roman" w:eastAsia="宋体" w:cs="Times New Roman"/>
                <w:color w:val="auto"/>
                <w:sz w:val="24"/>
                <w:lang w:val="en-US" w:eastAsia="zh-CN"/>
              </w:rPr>
              <w:t>3</w:t>
            </w:r>
            <w:r>
              <w:rPr>
                <w:rFonts w:hint="default" w:ascii="Times New Roman" w:hAnsi="Times New Roman" w:eastAsia="宋体" w:cs="Times New Roman"/>
                <w:color w:val="auto"/>
                <w:sz w:val="24"/>
              </w:rPr>
              <w:t>、</w:t>
            </w:r>
            <w:r>
              <w:rPr>
                <w:rFonts w:hint="eastAsia" w:ascii="Times New Roman" w:hAnsi="Times New Roman" w:eastAsia="宋体" w:cs="Times New Roman"/>
                <w:color w:val="auto"/>
                <w:sz w:val="24"/>
                <w:lang w:val="en-US" w:eastAsia="zh-CN"/>
              </w:rPr>
              <w:t>塑料制品业292</w:t>
            </w:r>
            <w:r>
              <w:rPr>
                <w:rFonts w:hint="default" w:ascii="Times New Roman" w:hAnsi="Times New Roman" w:eastAsia="宋体" w:cs="Times New Roman"/>
                <w:color w:val="auto"/>
                <w:sz w:val="24"/>
              </w:rPr>
              <w:t>-</w:t>
            </w:r>
            <w:r>
              <w:rPr>
                <w:rFonts w:hint="eastAsia" w:ascii="Times New Roman" w:hAnsi="Times New Roman" w:eastAsia="宋体" w:cs="Times New Roman"/>
                <w:color w:val="auto"/>
                <w:sz w:val="24"/>
                <w:lang w:val="en-US" w:eastAsia="zh-CN"/>
              </w:rPr>
              <w:t>其他（年用非溶剂型低VOCs含量涂料10吨以下的除外）</w:t>
            </w:r>
            <w:r>
              <w:rPr>
                <w:rFonts w:hint="eastAsia" w:ascii="Times New Roman" w:hAnsi="Times New Roman" w:eastAsia="宋体" w:cs="Times New Roman"/>
                <w:color w:val="auto"/>
                <w:sz w:val="24"/>
                <w:lang w:eastAsia="zh-CN"/>
              </w:rPr>
              <w:t>；</w:t>
            </w:r>
          </w:p>
          <w:p w14:paraId="6CEF2A38">
            <w:pPr>
              <w:keepNext w:val="0"/>
              <w:keepLines w:val="0"/>
              <w:suppressLineNumbers w:val="0"/>
              <w:spacing w:before="0" w:beforeAutospacing="0" w:after="0" w:afterAutospacing="0"/>
              <w:ind w:left="0" w:right="0"/>
              <w:jc w:val="both"/>
              <w:rPr>
                <w:rFonts w:hint="eastAsia" w:ascii="Times New Roman" w:hAnsi="Times New Roman" w:eastAsia="宋体" w:cs="Times New Roman"/>
                <w:color w:val="auto"/>
                <w:sz w:val="24"/>
                <w:lang w:eastAsia="zh-CN"/>
              </w:rPr>
            </w:pPr>
            <w:r>
              <w:rPr>
                <w:rFonts w:hint="default" w:ascii="Times New Roman" w:hAnsi="Times New Roman" w:eastAsia="宋体" w:cs="Times New Roman"/>
                <w:color w:val="auto"/>
                <w:sz w:val="24"/>
              </w:rPr>
              <w:t>二十七、非金属矿物制品业30-56、砖瓦、石材等建筑材料制造303-隔热、隔音材料制造</w:t>
            </w:r>
            <w:r>
              <w:rPr>
                <w:rFonts w:hint="eastAsia" w:ascii="Times New Roman" w:hAnsi="Times New Roman" w:eastAsia="宋体" w:cs="Times New Roman"/>
                <w:color w:val="auto"/>
                <w:sz w:val="24"/>
                <w:lang w:eastAsia="zh-CN"/>
              </w:rPr>
              <w:t>；</w:t>
            </w:r>
          </w:p>
          <w:p w14:paraId="4CD62296">
            <w:pPr>
              <w:keepNext w:val="0"/>
              <w:keepLines w:val="0"/>
              <w:suppressLineNumbers w:val="0"/>
              <w:spacing w:before="0" w:beforeAutospacing="0" w:after="0" w:afterAutospacing="0"/>
              <w:ind w:left="0" w:right="0"/>
              <w:jc w:val="both"/>
              <w:rPr>
                <w:rFonts w:hint="default" w:ascii="Times New Roman" w:hAnsi="Times New Roman" w:eastAsia="宋体" w:cs="Times New Roman"/>
                <w:color w:val="auto"/>
                <w:sz w:val="24"/>
              </w:rPr>
            </w:pPr>
            <w:r>
              <w:rPr>
                <w:rFonts w:hint="default" w:ascii="Times New Roman" w:hAnsi="Times New Roman" w:eastAsia="宋体" w:cs="Times New Roman"/>
                <w:color w:val="auto"/>
                <w:sz w:val="24"/>
              </w:rPr>
              <w:t>三十三、汽车制造业36-71、汽车零部件及配件制造367-其他（年用非溶剂型低VOCs含量涂料10吨以下的除外）</w:t>
            </w:r>
          </w:p>
        </w:tc>
      </w:tr>
      <w:tr w14:paraId="3637FC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1098" w:type="pct"/>
            <w:gridSpan w:val="2"/>
            <w:vAlign w:val="center"/>
          </w:tcPr>
          <w:p w14:paraId="7F28DE78">
            <w:pPr>
              <w:keepNext w:val="0"/>
              <w:keepLines w:val="0"/>
              <w:suppressLineNumbers w:val="0"/>
              <w:spacing w:before="0" w:beforeAutospacing="0" w:after="0" w:afterAutospacing="0"/>
              <w:ind w:left="0" w:right="0"/>
              <w:jc w:val="center"/>
              <w:rPr>
                <w:rFonts w:hint="default" w:ascii="Times New Roman" w:hAnsi="Times New Roman" w:eastAsia="宋体" w:cs="Times New Roman"/>
                <w:b/>
                <w:bCs/>
                <w:color w:val="auto"/>
                <w:sz w:val="24"/>
              </w:rPr>
            </w:pPr>
            <w:r>
              <w:rPr>
                <w:rFonts w:hint="default" w:ascii="Times New Roman" w:hAnsi="Times New Roman" w:eastAsia="宋体" w:cs="Times New Roman"/>
                <w:b/>
                <w:bCs/>
                <w:color w:val="auto"/>
                <w:sz w:val="24"/>
              </w:rPr>
              <w:t>建设性质</w:t>
            </w:r>
          </w:p>
        </w:tc>
        <w:tc>
          <w:tcPr>
            <w:tcW w:w="1266" w:type="pct"/>
            <w:vAlign w:val="center"/>
          </w:tcPr>
          <w:p w14:paraId="5DEB9F79">
            <w:pPr>
              <w:keepNext w:val="0"/>
              <w:keepLines w:val="0"/>
              <w:suppressLineNumbers w:val="0"/>
              <w:spacing w:before="0" w:beforeAutospacing="0" w:after="0" w:afterAutospacing="0"/>
              <w:ind w:left="0" w:right="0"/>
              <w:rPr>
                <w:rFonts w:hint="default" w:ascii="Times New Roman" w:hAnsi="Times New Roman" w:eastAsia="宋体" w:cs="Times New Roman"/>
                <w:color w:val="auto"/>
                <w:sz w:val="24"/>
              </w:rPr>
            </w:pPr>
            <w:r>
              <w:rPr>
                <w:rFonts w:hint="eastAsia" w:ascii="Times New Roman" w:hAnsi="Times New Roman" w:eastAsia="宋体" w:cs="Times New Roman"/>
                <w:color w:val="auto"/>
                <w:sz w:val="24"/>
                <w:lang w:val="en-US" w:eastAsia="zh-CN"/>
              </w:rPr>
              <w:t>□</w:t>
            </w:r>
            <w:r>
              <w:rPr>
                <w:rFonts w:hint="default" w:ascii="Times New Roman" w:hAnsi="Times New Roman" w:eastAsia="宋体" w:cs="Times New Roman"/>
                <w:color w:val="auto"/>
                <w:sz w:val="24"/>
              </w:rPr>
              <w:t>新建（迁建）</w:t>
            </w:r>
          </w:p>
          <w:p w14:paraId="3351C4CB">
            <w:pPr>
              <w:keepNext w:val="0"/>
              <w:keepLines w:val="0"/>
              <w:suppressLineNumbers w:val="0"/>
              <w:spacing w:before="0" w:beforeAutospacing="0" w:after="0" w:afterAutospacing="0"/>
              <w:ind w:left="0" w:right="0"/>
              <w:rPr>
                <w:rFonts w:hint="default" w:ascii="Times New Roman" w:hAnsi="Times New Roman" w:eastAsia="宋体" w:cs="Times New Roman"/>
                <w:color w:val="auto"/>
                <w:sz w:val="24"/>
              </w:rPr>
            </w:pPr>
            <w:r>
              <w:rPr>
                <w:rFonts w:hint="eastAsia" w:ascii="Times New Roman" w:hAnsi="Times New Roman" w:eastAsia="宋体" w:cs="Times New Roman"/>
                <w:color w:val="auto"/>
                <w:sz w:val="24"/>
                <w:lang w:val="en-US" w:eastAsia="zh-CN"/>
              </w:rPr>
              <w:t>□</w:t>
            </w:r>
            <w:r>
              <w:rPr>
                <w:rFonts w:hint="default" w:ascii="Times New Roman" w:hAnsi="Times New Roman" w:eastAsia="宋体" w:cs="Times New Roman"/>
                <w:color w:val="auto"/>
                <w:sz w:val="24"/>
              </w:rPr>
              <w:t>改建</w:t>
            </w:r>
          </w:p>
          <w:p w14:paraId="62F75F6F">
            <w:pPr>
              <w:keepNext w:val="0"/>
              <w:keepLines w:val="0"/>
              <w:suppressLineNumbers w:val="0"/>
              <w:spacing w:before="0" w:beforeAutospacing="0" w:after="0" w:afterAutospacing="0"/>
              <w:ind w:left="0" w:right="0"/>
              <w:rPr>
                <w:rFonts w:hint="default" w:ascii="Times New Roman" w:hAnsi="Times New Roman" w:eastAsia="宋体" w:cs="Times New Roman"/>
                <w:color w:val="auto"/>
                <w:sz w:val="24"/>
              </w:rPr>
            </w:pPr>
            <w:r>
              <w:rPr>
                <w:rFonts w:hint="eastAsia" w:ascii="Times New Roman" w:hAnsi="Times New Roman" w:eastAsia="宋体" w:cs="Times New Roman"/>
                <w:color w:val="auto"/>
                <w:sz w:val="24"/>
                <w:lang w:val="en-US" w:eastAsia="zh-CN"/>
              </w:rPr>
              <w:t>☑</w:t>
            </w:r>
            <w:r>
              <w:rPr>
                <w:rFonts w:hint="default" w:ascii="Times New Roman" w:hAnsi="Times New Roman" w:eastAsia="宋体" w:cs="Times New Roman"/>
                <w:color w:val="auto"/>
                <w:sz w:val="24"/>
              </w:rPr>
              <w:t>扩建</w:t>
            </w:r>
          </w:p>
          <w:p w14:paraId="47150E4C">
            <w:pPr>
              <w:keepNext w:val="0"/>
              <w:keepLines w:val="0"/>
              <w:suppressLineNumbers w:val="0"/>
              <w:spacing w:before="0" w:beforeAutospacing="0" w:after="0" w:afterAutospacing="0"/>
              <w:ind w:left="0" w:right="0"/>
              <w:rPr>
                <w:rFonts w:hint="default" w:ascii="Times New Roman" w:hAnsi="Times New Roman" w:eastAsia="宋体" w:cs="Times New Roman"/>
                <w:color w:val="auto"/>
                <w:sz w:val="24"/>
              </w:rPr>
            </w:pPr>
            <w:r>
              <w:rPr>
                <w:rFonts w:hint="eastAsia" w:ascii="Times New Roman" w:hAnsi="Times New Roman" w:eastAsia="宋体" w:cs="Times New Roman"/>
                <w:color w:val="auto"/>
                <w:sz w:val="24"/>
                <w:lang w:val="en-US" w:eastAsia="zh-CN"/>
              </w:rPr>
              <w:t>□</w:t>
            </w:r>
            <w:r>
              <w:rPr>
                <w:rFonts w:hint="default" w:ascii="Times New Roman" w:hAnsi="Times New Roman" w:eastAsia="宋体" w:cs="Times New Roman"/>
                <w:color w:val="auto"/>
                <w:sz w:val="24"/>
              </w:rPr>
              <w:t>技术改造</w:t>
            </w:r>
          </w:p>
        </w:tc>
        <w:tc>
          <w:tcPr>
            <w:tcW w:w="895" w:type="pct"/>
            <w:vAlign w:val="center"/>
          </w:tcPr>
          <w:p w14:paraId="0DD265CF">
            <w:pPr>
              <w:keepNext w:val="0"/>
              <w:keepLines w:val="0"/>
              <w:suppressLineNumbers w:val="0"/>
              <w:spacing w:before="0" w:beforeAutospacing="0" w:after="0" w:afterAutospacing="0"/>
              <w:ind w:left="0" w:right="0"/>
              <w:jc w:val="center"/>
              <w:rPr>
                <w:rFonts w:hint="default" w:ascii="Times New Roman" w:hAnsi="Times New Roman" w:eastAsia="宋体" w:cs="Times New Roman"/>
                <w:b/>
                <w:bCs/>
                <w:color w:val="auto"/>
                <w:sz w:val="24"/>
              </w:rPr>
            </w:pPr>
            <w:r>
              <w:rPr>
                <w:rFonts w:hint="default" w:ascii="Times New Roman" w:hAnsi="Times New Roman" w:eastAsia="宋体" w:cs="Times New Roman"/>
                <w:b/>
                <w:bCs/>
                <w:color w:val="auto"/>
                <w:sz w:val="24"/>
              </w:rPr>
              <w:t>建设项目</w:t>
            </w:r>
          </w:p>
          <w:p w14:paraId="5B9874C3">
            <w:pPr>
              <w:keepNext w:val="0"/>
              <w:keepLines w:val="0"/>
              <w:suppressLineNumbers w:val="0"/>
              <w:spacing w:before="0" w:beforeAutospacing="0" w:after="0" w:afterAutospacing="0"/>
              <w:ind w:left="0" w:right="0"/>
              <w:jc w:val="center"/>
              <w:rPr>
                <w:rFonts w:hint="default" w:ascii="Times New Roman" w:hAnsi="Times New Roman" w:eastAsia="宋体" w:cs="Times New Roman"/>
                <w:b/>
                <w:bCs/>
                <w:color w:val="auto"/>
                <w:sz w:val="24"/>
              </w:rPr>
            </w:pPr>
            <w:r>
              <w:rPr>
                <w:rFonts w:hint="default" w:ascii="Times New Roman" w:hAnsi="Times New Roman" w:eastAsia="宋体" w:cs="Times New Roman"/>
                <w:b/>
                <w:bCs/>
                <w:color w:val="auto"/>
                <w:sz w:val="24"/>
              </w:rPr>
              <w:t>申报情形</w:t>
            </w:r>
          </w:p>
        </w:tc>
        <w:tc>
          <w:tcPr>
            <w:tcW w:w="1740" w:type="pct"/>
            <w:vAlign w:val="center"/>
          </w:tcPr>
          <w:p w14:paraId="02C45062">
            <w:pPr>
              <w:keepNext w:val="0"/>
              <w:keepLines w:val="0"/>
              <w:suppressLineNumbers w:val="0"/>
              <w:spacing w:before="0" w:beforeAutospacing="0" w:after="0" w:afterAutospacing="0"/>
              <w:ind w:left="0" w:right="0"/>
              <w:rPr>
                <w:rFonts w:hint="default" w:ascii="Times New Roman" w:hAnsi="Times New Roman" w:eastAsia="宋体" w:cs="Times New Roman"/>
                <w:color w:val="auto"/>
                <w:sz w:val="24"/>
              </w:rPr>
            </w:pPr>
            <w:r>
              <w:rPr>
                <w:rFonts w:hint="eastAsia" w:ascii="Times New Roman" w:hAnsi="Times New Roman" w:eastAsia="宋体" w:cs="Times New Roman"/>
                <w:color w:val="auto"/>
                <w:sz w:val="24"/>
                <w:lang w:val="en-US" w:eastAsia="zh-CN"/>
              </w:rPr>
              <w:t>☑</w:t>
            </w:r>
            <w:r>
              <w:rPr>
                <w:rFonts w:hint="default" w:ascii="Times New Roman" w:hAnsi="Times New Roman" w:eastAsia="宋体" w:cs="Times New Roman"/>
                <w:color w:val="auto"/>
                <w:sz w:val="24"/>
              </w:rPr>
              <w:t>首次申报项目</w:t>
            </w:r>
          </w:p>
          <w:p w14:paraId="404C7686">
            <w:pPr>
              <w:keepNext w:val="0"/>
              <w:keepLines w:val="0"/>
              <w:suppressLineNumbers w:val="0"/>
              <w:spacing w:before="0" w:beforeAutospacing="0" w:after="0" w:afterAutospacing="0"/>
              <w:ind w:left="0" w:right="0"/>
              <w:rPr>
                <w:rFonts w:hint="default" w:ascii="Times New Roman" w:hAnsi="Times New Roman" w:eastAsia="宋体" w:cs="Times New Roman"/>
                <w:color w:val="auto"/>
                <w:sz w:val="24"/>
              </w:rPr>
            </w:pPr>
            <w:r>
              <w:rPr>
                <w:rFonts w:hint="eastAsia" w:ascii="Times New Roman" w:hAnsi="Times New Roman" w:eastAsia="宋体" w:cs="Times New Roman"/>
                <w:color w:val="auto"/>
                <w:sz w:val="24"/>
                <w:lang w:val="en-US" w:eastAsia="zh-CN"/>
              </w:rPr>
              <w:t>□</w:t>
            </w:r>
            <w:r>
              <w:rPr>
                <w:rFonts w:hint="default" w:ascii="Times New Roman" w:hAnsi="Times New Roman" w:eastAsia="宋体" w:cs="Times New Roman"/>
                <w:color w:val="auto"/>
                <w:sz w:val="24"/>
              </w:rPr>
              <w:t>不予批准后再次申报项目</w:t>
            </w:r>
          </w:p>
          <w:p w14:paraId="506BD1FD">
            <w:pPr>
              <w:keepNext w:val="0"/>
              <w:keepLines w:val="0"/>
              <w:suppressLineNumbers w:val="0"/>
              <w:spacing w:before="0" w:beforeAutospacing="0" w:after="0" w:afterAutospacing="0"/>
              <w:ind w:left="0" w:right="0"/>
              <w:rPr>
                <w:rFonts w:hint="default" w:ascii="Times New Roman" w:hAnsi="Times New Roman" w:eastAsia="宋体" w:cs="Times New Roman"/>
                <w:color w:val="auto"/>
                <w:sz w:val="24"/>
              </w:rPr>
            </w:pPr>
            <w:r>
              <w:rPr>
                <w:rFonts w:hint="eastAsia" w:ascii="Times New Roman" w:hAnsi="Times New Roman" w:eastAsia="宋体" w:cs="Times New Roman"/>
                <w:color w:val="auto"/>
                <w:sz w:val="24"/>
                <w:lang w:val="en-US" w:eastAsia="zh-CN"/>
              </w:rPr>
              <w:t>□</w:t>
            </w:r>
            <w:r>
              <w:rPr>
                <w:rFonts w:hint="default" w:ascii="Times New Roman" w:hAnsi="Times New Roman" w:eastAsia="宋体" w:cs="Times New Roman"/>
                <w:color w:val="auto"/>
                <w:sz w:val="24"/>
              </w:rPr>
              <w:t>超五年重新审核项目</w:t>
            </w:r>
          </w:p>
          <w:p w14:paraId="5363C98D">
            <w:pPr>
              <w:keepNext w:val="0"/>
              <w:keepLines w:val="0"/>
              <w:suppressLineNumbers w:val="0"/>
              <w:spacing w:before="0" w:beforeAutospacing="0" w:after="0" w:afterAutospacing="0"/>
              <w:ind w:left="0" w:right="0"/>
              <w:rPr>
                <w:rFonts w:hint="default" w:ascii="Times New Roman" w:hAnsi="Times New Roman" w:eastAsia="宋体" w:cs="Times New Roman"/>
                <w:color w:val="auto"/>
                <w:sz w:val="24"/>
              </w:rPr>
            </w:pPr>
            <w:r>
              <w:rPr>
                <w:rFonts w:hint="eastAsia" w:ascii="Times New Roman" w:hAnsi="Times New Roman" w:eastAsia="宋体" w:cs="Times New Roman"/>
                <w:color w:val="auto"/>
                <w:sz w:val="24"/>
                <w:lang w:val="en-US" w:eastAsia="zh-CN"/>
              </w:rPr>
              <w:t>□</w:t>
            </w:r>
            <w:r>
              <w:rPr>
                <w:rFonts w:hint="default" w:ascii="Times New Roman" w:hAnsi="Times New Roman" w:eastAsia="宋体" w:cs="Times New Roman"/>
                <w:color w:val="auto"/>
                <w:sz w:val="24"/>
              </w:rPr>
              <w:t>重大变动重新报批项目</w:t>
            </w:r>
          </w:p>
        </w:tc>
      </w:tr>
      <w:tr w14:paraId="21ED82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1098" w:type="pct"/>
            <w:gridSpan w:val="2"/>
            <w:vAlign w:val="center"/>
          </w:tcPr>
          <w:p w14:paraId="1CE2FD70">
            <w:pPr>
              <w:keepNext w:val="0"/>
              <w:keepLines w:val="0"/>
              <w:suppressLineNumbers w:val="0"/>
              <w:spacing w:before="0" w:beforeAutospacing="0" w:after="0" w:afterAutospacing="0"/>
              <w:ind w:left="0" w:right="0"/>
              <w:jc w:val="center"/>
              <w:rPr>
                <w:rFonts w:hint="default" w:ascii="Times New Roman" w:hAnsi="Times New Roman" w:eastAsia="宋体" w:cs="Times New Roman"/>
                <w:b/>
                <w:bCs/>
                <w:color w:val="auto"/>
                <w:sz w:val="24"/>
              </w:rPr>
            </w:pPr>
            <w:r>
              <w:rPr>
                <w:rFonts w:hint="default" w:ascii="Times New Roman" w:hAnsi="Times New Roman" w:eastAsia="宋体" w:cs="Times New Roman"/>
                <w:b/>
                <w:bCs/>
                <w:color w:val="auto"/>
                <w:sz w:val="24"/>
              </w:rPr>
              <w:t>项目审批（核准/备案）部门</w:t>
            </w:r>
          </w:p>
          <w:p w14:paraId="4B216277">
            <w:pPr>
              <w:keepNext w:val="0"/>
              <w:keepLines w:val="0"/>
              <w:suppressLineNumbers w:val="0"/>
              <w:spacing w:before="0" w:beforeAutospacing="0" w:after="0" w:afterAutospacing="0"/>
              <w:ind w:left="0" w:right="0"/>
              <w:jc w:val="center"/>
              <w:rPr>
                <w:rFonts w:hint="default" w:ascii="Times New Roman" w:hAnsi="Times New Roman" w:eastAsia="宋体" w:cs="Times New Roman"/>
                <w:b/>
                <w:bCs/>
                <w:color w:val="auto"/>
                <w:sz w:val="24"/>
              </w:rPr>
            </w:pPr>
            <w:r>
              <w:rPr>
                <w:rFonts w:hint="default" w:ascii="Times New Roman" w:hAnsi="Times New Roman" w:eastAsia="宋体" w:cs="Times New Roman"/>
                <w:b/>
                <w:bCs/>
                <w:color w:val="auto"/>
                <w:sz w:val="24"/>
              </w:rPr>
              <w:t>（选填）</w:t>
            </w:r>
          </w:p>
        </w:tc>
        <w:tc>
          <w:tcPr>
            <w:tcW w:w="1266" w:type="pct"/>
            <w:vAlign w:val="center"/>
          </w:tcPr>
          <w:p w14:paraId="5ACB5296">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 w:val="24"/>
              </w:rPr>
            </w:pPr>
            <w:r>
              <w:rPr>
                <w:rFonts w:hint="default" w:ascii="Times New Roman" w:hAnsi="Times New Roman" w:eastAsia="宋体" w:cs="Times New Roman"/>
                <w:color w:val="auto"/>
                <w:sz w:val="24"/>
              </w:rPr>
              <w:t>长合区长三角（湖州）产业合作区</w:t>
            </w:r>
          </w:p>
        </w:tc>
        <w:tc>
          <w:tcPr>
            <w:tcW w:w="895" w:type="pct"/>
            <w:vAlign w:val="center"/>
          </w:tcPr>
          <w:p w14:paraId="452C18C9">
            <w:pPr>
              <w:keepNext w:val="0"/>
              <w:keepLines w:val="0"/>
              <w:suppressLineNumbers w:val="0"/>
              <w:spacing w:before="0" w:beforeAutospacing="0" w:after="0" w:afterAutospacing="0"/>
              <w:ind w:left="0" w:right="0"/>
              <w:jc w:val="center"/>
              <w:rPr>
                <w:rFonts w:hint="default" w:ascii="Times New Roman" w:hAnsi="Times New Roman" w:eastAsia="宋体" w:cs="Times New Roman"/>
                <w:b/>
                <w:bCs/>
                <w:color w:val="auto"/>
                <w:sz w:val="24"/>
              </w:rPr>
            </w:pPr>
            <w:r>
              <w:rPr>
                <w:rFonts w:hint="default" w:ascii="Times New Roman" w:hAnsi="Times New Roman" w:eastAsia="宋体" w:cs="Times New Roman"/>
                <w:b/>
                <w:bCs/>
                <w:color w:val="auto"/>
                <w:sz w:val="24"/>
              </w:rPr>
              <w:t>项目审批（核准/备案）文号（选填）</w:t>
            </w:r>
          </w:p>
        </w:tc>
        <w:tc>
          <w:tcPr>
            <w:tcW w:w="1740" w:type="pct"/>
            <w:vAlign w:val="center"/>
          </w:tcPr>
          <w:p w14:paraId="47BFBE1F">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 w:val="24"/>
              </w:rPr>
            </w:pPr>
            <w:r>
              <w:rPr>
                <w:rFonts w:hint="default" w:ascii="Times New Roman" w:hAnsi="Times New Roman" w:eastAsia="宋体" w:cs="Times New Roman"/>
                <w:color w:val="auto"/>
                <w:sz w:val="24"/>
              </w:rPr>
              <w:t>2512-330554-04-02-214750</w:t>
            </w:r>
          </w:p>
        </w:tc>
      </w:tr>
      <w:tr w14:paraId="438981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1098" w:type="pct"/>
            <w:gridSpan w:val="2"/>
            <w:vAlign w:val="center"/>
          </w:tcPr>
          <w:p w14:paraId="2FBC0C42">
            <w:pPr>
              <w:keepNext w:val="0"/>
              <w:keepLines w:val="0"/>
              <w:suppressLineNumbers w:val="0"/>
              <w:spacing w:before="0" w:beforeAutospacing="0" w:after="0" w:afterAutospacing="0"/>
              <w:ind w:left="0" w:right="0"/>
              <w:jc w:val="center"/>
              <w:rPr>
                <w:rFonts w:hint="default" w:ascii="Times New Roman" w:hAnsi="Times New Roman" w:eastAsia="宋体" w:cs="Times New Roman"/>
                <w:b/>
                <w:bCs/>
                <w:color w:val="auto"/>
                <w:sz w:val="24"/>
              </w:rPr>
            </w:pPr>
            <w:r>
              <w:rPr>
                <w:rFonts w:hint="default" w:ascii="Times New Roman" w:hAnsi="Times New Roman" w:eastAsia="宋体" w:cs="Times New Roman"/>
                <w:b/>
                <w:bCs/>
                <w:color w:val="auto"/>
                <w:sz w:val="24"/>
              </w:rPr>
              <w:t>总投资</w:t>
            </w:r>
          </w:p>
          <w:p w14:paraId="5C2F03C9">
            <w:pPr>
              <w:keepNext w:val="0"/>
              <w:keepLines w:val="0"/>
              <w:suppressLineNumbers w:val="0"/>
              <w:spacing w:before="0" w:beforeAutospacing="0" w:after="0" w:afterAutospacing="0"/>
              <w:ind w:left="0" w:right="0"/>
              <w:jc w:val="center"/>
              <w:rPr>
                <w:rFonts w:hint="default" w:ascii="Times New Roman" w:hAnsi="Times New Roman" w:eastAsia="宋体" w:cs="Times New Roman"/>
                <w:b/>
                <w:bCs/>
                <w:color w:val="auto"/>
                <w:sz w:val="24"/>
              </w:rPr>
            </w:pPr>
            <w:r>
              <w:rPr>
                <w:rFonts w:hint="default" w:ascii="Times New Roman" w:hAnsi="Times New Roman" w:eastAsia="宋体" w:cs="Times New Roman"/>
                <w:b/>
                <w:bCs/>
                <w:color w:val="auto"/>
                <w:sz w:val="24"/>
              </w:rPr>
              <w:t>（万元）</w:t>
            </w:r>
          </w:p>
        </w:tc>
        <w:tc>
          <w:tcPr>
            <w:tcW w:w="1266" w:type="pct"/>
            <w:vAlign w:val="center"/>
          </w:tcPr>
          <w:p w14:paraId="12B11E9F">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 w:val="24"/>
              </w:rPr>
            </w:pPr>
            <w:r>
              <w:rPr>
                <w:rFonts w:hint="default" w:ascii="Times New Roman" w:hAnsi="Times New Roman" w:eastAsia="宋体" w:cs="Times New Roman"/>
                <w:color w:val="auto"/>
                <w:sz w:val="24"/>
              </w:rPr>
              <w:t>5000.00</w:t>
            </w:r>
          </w:p>
        </w:tc>
        <w:tc>
          <w:tcPr>
            <w:tcW w:w="895" w:type="pct"/>
            <w:vAlign w:val="center"/>
          </w:tcPr>
          <w:p w14:paraId="2FF0831E">
            <w:pPr>
              <w:keepNext w:val="0"/>
              <w:keepLines w:val="0"/>
              <w:suppressLineNumbers w:val="0"/>
              <w:spacing w:before="0" w:beforeAutospacing="0" w:after="0" w:afterAutospacing="0"/>
              <w:ind w:left="0" w:right="0"/>
              <w:jc w:val="center"/>
              <w:rPr>
                <w:rFonts w:hint="default" w:ascii="Times New Roman" w:hAnsi="Times New Roman" w:eastAsia="宋体" w:cs="Times New Roman"/>
                <w:b/>
                <w:bCs/>
                <w:color w:val="auto"/>
                <w:sz w:val="24"/>
              </w:rPr>
            </w:pPr>
            <w:r>
              <w:rPr>
                <w:rFonts w:hint="default" w:ascii="Times New Roman" w:hAnsi="Times New Roman" w:eastAsia="宋体" w:cs="Times New Roman"/>
                <w:b/>
                <w:bCs/>
                <w:color w:val="auto"/>
                <w:sz w:val="24"/>
              </w:rPr>
              <w:t>环保投资</w:t>
            </w:r>
          </w:p>
          <w:p w14:paraId="38E2E912">
            <w:pPr>
              <w:keepNext w:val="0"/>
              <w:keepLines w:val="0"/>
              <w:suppressLineNumbers w:val="0"/>
              <w:spacing w:before="0" w:beforeAutospacing="0" w:after="0" w:afterAutospacing="0"/>
              <w:ind w:left="0" w:right="0"/>
              <w:jc w:val="center"/>
              <w:rPr>
                <w:rFonts w:hint="default" w:ascii="Times New Roman" w:hAnsi="Times New Roman" w:eastAsia="宋体" w:cs="Times New Roman"/>
                <w:b/>
                <w:bCs/>
                <w:color w:val="auto"/>
                <w:sz w:val="24"/>
              </w:rPr>
            </w:pPr>
            <w:r>
              <w:rPr>
                <w:rFonts w:hint="default" w:ascii="Times New Roman" w:hAnsi="Times New Roman" w:eastAsia="宋体" w:cs="Times New Roman"/>
                <w:b/>
                <w:bCs/>
                <w:color w:val="auto"/>
                <w:sz w:val="24"/>
              </w:rPr>
              <w:t>（万元）</w:t>
            </w:r>
          </w:p>
        </w:tc>
        <w:tc>
          <w:tcPr>
            <w:tcW w:w="1740" w:type="pct"/>
            <w:vAlign w:val="center"/>
          </w:tcPr>
          <w:p w14:paraId="741422D7">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 w:val="24"/>
                <w:lang w:val="en-US" w:eastAsia="zh-CN"/>
              </w:rPr>
            </w:pPr>
            <w:r>
              <w:rPr>
                <w:rFonts w:hint="eastAsia" w:ascii="Times New Roman" w:hAnsi="Times New Roman" w:eastAsia="宋体" w:cs="Times New Roman"/>
                <w:color w:val="0000E1"/>
                <w:sz w:val="24"/>
                <w:lang w:val="en-US" w:eastAsia="zh-CN"/>
              </w:rPr>
              <w:t>47</w:t>
            </w:r>
          </w:p>
        </w:tc>
      </w:tr>
      <w:tr w14:paraId="17960C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1098" w:type="pct"/>
            <w:gridSpan w:val="2"/>
            <w:vAlign w:val="center"/>
          </w:tcPr>
          <w:p w14:paraId="0D26B040">
            <w:pPr>
              <w:keepNext w:val="0"/>
              <w:keepLines w:val="0"/>
              <w:suppressLineNumbers w:val="0"/>
              <w:spacing w:before="0" w:beforeAutospacing="0" w:after="0" w:afterAutospacing="0"/>
              <w:ind w:left="0" w:right="0"/>
              <w:jc w:val="center"/>
              <w:rPr>
                <w:rFonts w:hint="default" w:ascii="Times New Roman" w:hAnsi="Times New Roman" w:eastAsia="宋体" w:cs="Times New Roman"/>
                <w:b/>
                <w:bCs/>
                <w:color w:val="auto"/>
                <w:sz w:val="24"/>
              </w:rPr>
            </w:pPr>
            <w:r>
              <w:rPr>
                <w:rFonts w:hint="default" w:ascii="Times New Roman" w:hAnsi="Times New Roman" w:eastAsia="宋体" w:cs="Times New Roman"/>
                <w:b/>
                <w:bCs/>
                <w:color w:val="auto"/>
                <w:sz w:val="24"/>
              </w:rPr>
              <w:t>环保投资占比（%）</w:t>
            </w:r>
          </w:p>
        </w:tc>
        <w:tc>
          <w:tcPr>
            <w:tcW w:w="1266" w:type="pct"/>
            <w:vAlign w:val="center"/>
          </w:tcPr>
          <w:p w14:paraId="20443329">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 w:val="24"/>
                <w:lang w:val="en-US" w:eastAsia="zh-CN"/>
              </w:rPr>
            </w:pPr>
            <w:r>
              <w:rPr>
                <w:rFonts w:hint="eastAsia" w:ascii="Times New Roman" w:hAnsi="Times New Roman" w:eastAsia="宋体" w:cs="Times New Roman"/>
                <w:color w:val="0000E1"/>
                <w:sz w:val="24"/>
                <w:lang w:val="en-US" w:eastAsia="zh-CN"/>
              </w:rPr>
              <w:t>0.94</w:t>
            </w:r>
          </w:p>
        </w:tc>
        <w:tc>
          <w:tcPr>
            <w:tcW w:w="895" w:type="pct"/>
            <w:vAlign w:val="center"/>
          </w:tcPr>
          <w:p w14:paraId="736B704D">
            <w:pPr>
              <w:keepNext w:val="0"/>
              <w:keepLines w:val="0"/>
              <w:suppressLineNumbers w:val="0"/>
              <w:spacing w:before="0" w:beforeAutospacing="0" w:after="0" w:afterAutospacing="0"/>
              <w:ind w:left="0" w:right="0"/>
              <w:jc w:val="center"/>
              <w:rPr>
                <w:rFonts w:hint="default" w:ascii="Times New Roman" w:hAnsi="Times New Roman" w:eastAsia="宋体" w:cs="Times New Roman"/>
                <w:b/>
                <w:bCs/>
                <w:color w:val="auto"/>
                <w:sz w:val="24"/>
              </w:rPr>
            </w:pPr>
            <w:r>
              <w:rPr>
                <w:rFonts w:hint="default" w:ascii="Times New Roman" w:hAnsi="Times New Roman" w:eastAsia="宋体" w:cs="Times New Roman"/>
                <w:b/>
                <w:bCs/>
                <w:color w:val="auto"/>
                <w:sz w:val="24"/>
              </w:rPr>
              <w:t>施工工期</w:t>
            </w:r>
          </w:p>
        </w:tc>
        <w:tc>
          <w:tcPr>
            <w:tcW w:w="1740" w:type="pct"/>
            <w:vAlign w:val="center"/>
          </w:tcPr>
          <w:p w14:paraId="7BC033F4">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 w:val="24"/>
              </w:rPr>
            </w:pPr>
            <w:r>
              <w:rPr>
                <w:rFonts w:hint="default" w:ascii="Times New Roman" w:hAnsi="Times New Roman" w:eastAsia="宋体" w:cs="Times New Roman"/>
                <w:color w:val="auto"/>
                <w:sz w:val="24"/>
              </w:rPr>
              <w:t>5个月</w:t>
            </w:r>
          </w:p>
        </w:tc>
      </w:tr>
      <w:tr w14:paraId="055912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1098" w:type="pct"/>
            <w:gridSpan w:val="2"/>
            <w:vAlign w:val="center"/>
          </w:tcPr>
          <w:p w14:paraId="72741E5A">
            <w:pPr>
              <w:keepNext w:val="0"/>
              <w:keepLines w:val="0"/>
              <w:suppressLineNumbers w:val="0"/>
              <w:spacing w:before="0" w:beforeAutospacing="0" w:after="0" w:afterAutospacing="0"/>
              <w:ind w:left="0" w:right="0"/>
              <w:jc w:val="center"/>
              <w:rPr>
                <w:rFonts w:hint="default" w:ascii="Times New Roman" w:hAnsi="Times New Roman" w:eastAsia="宋体" w:cs="Times New Roman"/>
                <w:b/>
                <w:bCs/>
                <w:color w:val="auto"/>
                <w:sz w:val="24"/>
              </w:rPr>
            </w:pPr>
            <w:r>
              <w:rPr>
                <w:rFonts w:hint="default" w:ascii="Times New Roman" w:hAnsi="Times New Roman" w:eastAsia="宋体" w:cs="Times New Roman"/>
                <w:b/>
                <w:bCs/>
                <w:color w:val="auto"/>
                <w:sz w:val="24"/>
              </w:rPr>
              <w:t>是否开工建设</w:t>
            </w:r>
          </w:p>
        </w:tc>
        <w:tc>
          <w:tcPr>
            <w:tcW w:w="1266" w:type="pct"/>
            <w:vAlign w:val="center"/>
          </w:tcPr>
          <w:p w14:paraId="6BBD6585">
            <w:pPr>
              <w:keepNext w:val="0"/>
              <w:keepLines w:val="0"/>
              <w:suppressLineNumbers w:val="0"/>
              <w:spacing w:before="0" w:beforeAutospacing="0" w:after="0" w:afterAutospacing="0"/>
              <w:ind w:left="0" w:right="0"/>
              <w:rPr>
                <w:rFonts w:hint="default" w:ascii="Times New Roman" w:hAnsi="Times New Roman" w:eastAsia="宋体" w:cs="Times New Roman"/>
                <w:color w:val="0000FF"/>
                <w:sz w:val="24"/>
              </w:rPr>
            </w:pPr>
            <w:r>
              <w:rPr>
                <w:rFonts w:hint="eastAsia" w:ascii="Times New Roman" w:hAnsi="Times New Roman" w:eastAsia="宋体" w:cs="Times New Roman"/>
                <w:color w:val="0000FF"/>
                <w:sz w:val="24"/>
                <w:lang w:val="en-US" w:eastAsia="zh-CN"/>
              </w:rPr>
              <w:t>☑</w:t>
            </w:r>
            <w:r>
              <w:rPr>
                <w:rFonts w:hint="default" w:ascii="Times New Roman" w:hAnsi="Times New Roman" w:eastAsia="宋体" w:cs="Times New Roman"/>
                <w:color w:val="0000FF"/>
                <w:sz w:val="24"/>
              </w:rPr>
              <w:t>否</w:t>
            </w:r>
          </w:p>
          <w:p w14:paraId="5BEC7ED9">
            <w:pPr>
              <w:keepNext w:val="0"/>
              <w:keepLines w:val="0"/>
              <w:suppressLineNumbers w:val="0"/>
              <w:spacing w:before="0" w:beforeAutospacing="0" w:after="0" w:afterAutospacing="0"/>
              <w:ind w:left="0" w:right="0"/>
              <w:rPr>
                <w:rFonts w:hint="default" w:ascii="Times New Roman" w:hAnsi="Times New Roman" w:eastAsia="宋体" w:cs="Times New Roman"/>
                <w:color w:val="auto"/>
                <w:sz w:val="24"/>
              </w:rPr>
            </w:pPr>
            <w:r>
              <w:rPr>
                <w:rFonts w:hint="eastAsia" w:ascii="Times New Roman" w:hAnsi="Times New Roman" w:eastAsia="宋体" w:cs="Times New Roman"/>
                <w:color w:val="auto"/>
                <w:sz w:val="24"/>
                <w:lang w:val="en-US" w:eastAsia="zh-CN"/>
              </w:rPr>
              <w:t>□</w:t>
            </w:r>
            <w:r>
              <w:rPr>
                <w:rFonts w:hint="default" w:ascii="Times New Roman" w:hAnsi="Times New Roman" w:eastAsia="宋体" w:cs="Times New Roman"/>
                <w:color w:val="auto"/>
                <w:sz w:val="24"/>
              </w:rPr>
              <w:t>是：</w:t>
            </w:r>
          </w:p>
        </w:tc>
        <w:tc>
          <w:tcPr>
            <w:tcW w:w="895" w:type="pct"/>
            <w:vAlign w:val="center"/>
          </w:tcPr>
          <w:p w14:paraId="1ACB3B74">
            <w:pPr>
              <w:keepNext w:val="0"/>
              <w:keepLines w:val="0"/>
              <w:suppressLineNumbers w:val="0"/>
              <w:spacing w:before="0" w:beforeAutospacing="0" w:after="0" w:afterAutospacing="0"/>
              <w:ind w:left="0" w:right="0"/>
              <w:jc w:val="center"/>
              <w:rPr>
                <w:rFonts w:hint="default" w:ascii="Times New Roman" w:hAnsi="Times New Roman" w:eastAsia="宋体" w:cs="Times New Roman"/>
                <w:b/>
                <w:bCs/>
                <w:color w:val="auto"/>
                <w:sz w:val="24"/>
              </w:rPr>
            </w:pPr>
            <w:r>
              <w:rPr>
                <w:rFonts w:hint="default" w:ascii="Times New Roman" w:hAnsi="Times New Roman" w:eastAsia="宋体" w:cs="Times New Roman"/>
                <w:b/>
                <w:bCs/>
                <w:color w:val="auto"/>
                <w:sz w:val="24"/>
              </w:rPr>
              <w:t>用地（用海）面积（m</w:t>
            </w:r>
            <w:r>
              <w:rPr>
                <w:rFonts w:hint="default" w:ascii="Times New Roman" w:hAnsi="Times New Roman" w:eastAsia="宋体" w:cs="Times New Roman"/>
                <w:b/>
                <w:bCs/>
                <w:color w:val="auto"/>
                <w:sz w:val="24"/>
                <w:vertAlign w:val="superscript"/>
              </w:rPr>
              <w:t>2</w:t>
            </w:r>
            <w:r>
              <w:rPr>
                <w:rFonts w:hint="default" w:ascii="Times New Roman" w:hAnsi="Times New Roman" w:eastAsia="宋体" w:cs="Times New Roman"/>
                <w:b/>
                <w:bCs/>
                <w:color w:val="auto"/>
                <w:sz w:val="24"/>
              </w:rPr>
              <w:t>）</w:t>
            </w:r>
          </w:p>
        </w:tc>
        <w:tc>
          <w:tcPr>
            <w:tcW w:w="1740" w:type="pct"/>
            <w:vAlign w:val="center"/>
          </w:tcPr>
          <w:p w14:paraId="01B484D8">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 w:val="24"/>
              </w:rPr>
            </w:pPr>
            <w:r>
              <w:rPr>
                <w:rFonts w:hint="default" w:ascii="Times New Roman" w:hAnsi="Times New Roman" w:eastAsia="宋体" w:cs="Times New Roman"/>
                <w:color w:val="auto"/>
                <w:sz w:val="24"/>
              </w:rPr>
              <w:t>12909.36</w:t>
            </w:r>
            <w:r>
              <w:rPr>
                <w:rFonts w:hint="eastAsia" w:ascii="Times New Roman" w:hAnsi="Times New Roman" w:eastAsia="宋体" w:cs="Times New Roman"/>
                <w:color w:val="auto"/>
                <w:sz w:val="24"/>
              </w:rPr>
              <w:t>（租用建筑面积）</w:t>
            </w:r>
          </w:p>
        </w:tc>
      </w:tr>
      <w:tr w14:paraId="76330E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73" w:type="pct"/>
            <w:vAlign w:val="center"/>
          </w:tcPr>
          <w:p w14:paraId="452E909A">
            <w:pPr>
              <w:keepNext w:val="0"/>
              <w:keepLines w:val="0"/>
              <w:suppressLineNumbers w:val="0"/>
              <w:spacing w:before="0" w:beforeAutospacing="0" w:after="0" w:afterAutospacing="0"/>
              <w:ind w:left="0" w:right="0"/>
              <w:jc w:val="center"/>
              <w:rPr>
                <w:rFonts w:hint="default" w:ascii="Times New Roman" w:hAnsi="Times New Roman" w:eastAsia="宋体" w:cs="Times New Roman"/>
                <w:b/>
                <w:bCs/>
                <w:color w:val="auto"/>
                <w:sz w:val="24"/>
              </w:rPr>
            </w:pPr>
            <w:r>
              <w:rPr>
                <w:rFonts w:hint="eastAsia" w:ascii="Times New Roman" w:hAnsi="Times New Roman" w:eastAsia="宋体" w:cs="Times New Roman"/>
                <w:b/>
                <w:bCs/>
                <w:color w:val="auto"/>
                <w:sz w:val="24"/>
              </w:rPr>
              <w:t>专项评价设置情况</w:t>
            </w:r>
          </w:p>
        </w:tc>
        <w:tc>
          <w:tcPr>
            <w:tcW w:w="4526" w:type="pct"/>
            <w:gridSpan w:val="4"/>
          </w:tcPr>
          <w:p w14:paraId="266E4A4A">
            <w:pPr>
              <w:keepNext w:val="0"/>
              <w:keepLines w:val="0"/>
              <w:suppressLineNumbers w:val="0"/>
              <w:spacing w:before="0" w:beforeAutospacing="0" w:after="0" w:afterAutospacing="0" w:line="360" w:lineRule="auto"/>
              <w:ind w:left="0" w:right="0" w:firstLine="480" w:firstLineChars="200"/>
              <w:rPr>
                <w:rFonts w:hint="default" w:ascii="Times New Roman" w:hAnsi="Times New Roman" w:eastAsia="宋体" w:cs="Times New Roman"/>
                <w:color w:val="auto"/>
                <w:sz w:val="24"/>
              </w:rPr>
            </w:pPr>
            <w:r>
              <w:rPr>
                <w:rFonts w:hint="default" w:ascii="Times New Roman" w:hAnsi="Times New Roman" w:eastAsia="宋体" w:cs="Times New Roman"/>
                <w:color w:val="auto"/>
                <w:sz w:val="24"/>
              </w:rPr>
              <w:t>无需专项评价，具体见表1-1。</w:t>
            </w:r>
          </w:p>
          <w:p w14:paraId="7024C814">
            <w:pPr>
              <w:keepNext w:val="0"/>
              <w:keepLines w:val="0"/>
              <w:suppressLineNumbers w:val="0"/>
              <w:spacing w:before="0" w:beforeAutospacing="0" w:after="0" w:afterAutospacing="0"/>
              <w:ind w:left="0" w:right="0"/>
              <w:jc w:val="center"/>
              <w:rPr>
                <w:rFonts w:hint="default" w:ascii="Times New Roman" w:hAnsi="Times New Roman" w:eastAsia="宋体" w:cs="Times New Roman"/>
                <w:b/>
                <w:bCs/>
                <w:color w:val="auto"/>
              </w:rPr>
            </w:pPr>
            <w:r>
              <w:rPr>
                <w:rFonts w:hint="default" w:ascii="Times New Roman" w:hAnsi="Times New Roman" w:eastAsia="宋体" w:cs="Times New Roman"/>
                <w:b/>
                <w:bCs/>
                <w:color w:val="auto"/>
              </w:rPr>
              <w:t>表1-1  专项评价设置判定情况</w:t>
            </w:r>
          </w:p>
          <w:tbl>
            <w:tblPr>
              <w:tblStyle w:val="22"/>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108"/>
              <w:gridCol w:w="3032"/>
              <w:gridCol w:w="2744"/>
              <w:gridCol w:w="1093"/>
            </w:tblGrid>
            <w:tr w14:paraId="4437C9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695" w:type="pct"/>
                  <w:noWrap/>
                  <w:vAlign w:val="center"/>
                </w:tcPr>
                <w:p w14:paraId="4E1CA73E">
                  <w:pPr>
                    <w:keepNext w:val="0"/>
                    <w:keepLines w:val="0"/>
                    <w:suppressLineNumbers w:val="0"/>
                    <w:spacing w:before="0" w:beforeAutospacing="0" w:after="0" w:afterAutospacing="0"/>
                    <w:ind w:left="0" w:right="0"/>
                    <w:jc w:val="center"/>
                    <w:rPr>
                      <w:rFonts w:hint="default" w:ascii="Times New Roman" w:hAnsi="Times New Roman" w:eastAsia="宋体" w:cs="Times New Roman"/>
                      <w:b/>
                      <w:bCs/>
                      <w:color w:val="auto"/>
                      <w:szCs w:val="21"/>
                    </w:rPr>
                  </w:pPr>
                  <w:r>
                    <w:rPr>
                      <w:rFonts w:hint="default" w:ascii="Times New Roman" w:hAnsi="Times New Roman" w:eastAsia="宋体" w:cs="Times New Roman"/>
                      <w:b/>
                      <w:bCs/>
                      <w:color w:val="auto"/>
                      <w:szCs w:val="21"/>
                    </w:rPr>
                    <w:t>专项评价的类别</w:t>
                  </w:r>
                </w:p>
              </w:tc>
              <w:tc>
                <w:tcPr>
                  <w:tcW w:w="1900" w:type="pct"/>
                  <w:noWrap/>
                  <w:vAlign w:val="center"/>
                </w:tcPr>
                <w:p w14:paraId="3C48D8A7">
                  <w:pPr>
                    <w:keepNext w:val="0"/>
                    <w:keepLines w:val="0"/>
                    <w:suppressLineNumbers w:val="0"/>
                    <w:spacing w:before="0" w:beforeAutospacing="0" w:after="0" w:afterAutospacing="0"/>
                    <w:ind w:left="0" w:right="0"/>
                    <w:jc w:val="center"/>
                    <w:rPr>
                      <w:rFonts w:hint="default" w:ascii="Times New Roman" w:hAnsi="Times New Roman" w:eastAsia="宋体" w:cs="Times New Roman"/>
                      <w:b/>
                      <w:bCs/>
                      <w:color w:val="auto"/>
                      <w:szCs w:val="21"/>
                    </w:rPr>
                  </w:pPr>
                  <w:r>
                    <w:rPr>
                      <w:rFonts w:hint="default" w:ascii="Times New Roman" w:hAnsi="Times New Roman" w:eastAsia="宋体" w:cs="Times New Roman"/>
                      <w:b/>
                      <w:bCs/>
                      <w:color w:val="auto"/>
                      <w:szCs w:val="21"/>
                    </w:rPr>
                    <w:t>设置原则</w:t>
                  </w:r>
                </w:p>
              </w:tc>
              <w:tc>
                <w:tcPr>
                  <w:tcW w:w="1720" w:type="pct"/>
                  <w:noWrap/>
                  <w:vAlign w:val="center"/>
                </w:tcPr>
                <w:p w14:paraId="51AC646B">
                  <w:pPr>
                    <w:keepNext w:val="0"/>
                    <w:keepLines w:val="0"/>
                    <w:suppressLineNumbers w:val="0"/>
                    <w:spacing w:before="0" w:beforeAutospacing="0" w:after="0" w:afterAutospacing="0"/>
                    <w:ind w:left="0" w:right="0"/>
                    <w:jc w:val="center"/>
                    <w:rPr>
                      <w:rFonts w:hint="default" w:ascii="Times New Roman" w:hAnsi="Times New Roman" w:eastAsia="宋体" w:cs="Times New Roman"/>
                      <w:b/>
                      <w:bCs/>
                      <w:color w:val="auto"/>
                      <w:szCs w:val="21"/>
                    </w:rPr>
                  </w:pPr>
                  <w:r>
                    <w:rPr>
                      <w:rFonts w:hint="default" w:ascii="Times New Roman" w:hAnsi="Times New Roman" w:eastAsia="宋体" w:cs="Times New Roman"/>
                      <w:b/>
                      <w:bCs/>
                      <w:color w:val="auto"/>
                      <w:szCs w:val="21"/>
                    </w:rPr>
                    <w:t>项目情况</w:t>
                  </w:r>
                </w:p>
              </w:tc>
              <w:tc>
                <w:tcPr>
                  <w:tcW w:w="683" w:type="pct"/>
                  <w:noWrap/>
                  <w:vAlign w:val="center"/>
                </w:tcPr>
                <w:p w14:paraId="5D955056">
                  <w:pPr>
                    <w:keepNext w:val="0"/>
                    <w:keepLines w:val="0"/>
                    <w:suppressLineNumbers w:val="0"/>
                    <w:spacing w:before="0" w:beforeAutospacing="0" w:after="0" w:afterAutospacing="0"/>
                    <w:ind w:left="0" w:right="0"/>
                    <w:jc w:val="center"/>
                    <w:rPr>
                      <w:rFonts w:hint="default" w:ascii="Times New Roman" w:hAnsi="Times New Roman" w:eastAsia="宋体" w:cs="Times New Roman"/>
                      <w:b/>
                      <w:bCs/>
                      <w:color w:val="auto"/>
                      <w:szCs w:val="21"/>
                    </w:rPr>
                  </w:pPr>
                  <w:r>
                    <w:rPr>
                      <w:rFonts w:hint="default" w:ascii="Times New Roman" w:hAnsi="Times New Roman" w:eastAsia="宋体" w:cs="Times New Roman"/>
                      <w:b/>
                      <w:bCs/>
                      <w:color w:val="auto"/>
                      <w:szCs w:val="21"/>
                    </w:rPr>
                    <w:t>是否设置专项评价</w:t>
                  </w:r>
                </w:p>
              </w:tc>
            </w:tr>
            <w:tr w14:paraId="6E1FF4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695" w:type="pct"/>
                  <w:noWrap/>
                  <w:vAlign w:val="center"/>
                </w:tcPr>
                <w:p w14:paraId="2B3C5661">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rPr>
                    <w:t>大气</w:t>
                  </w:r>
                </w:p>
              </w:tc>
              <w:tc>
                <w:tcPr>
                  <w:tcW w:w="1900" w:type="pct"/>
                  <w:noWrap/>
                  <w:vAlign w:val="center"/>
                </w:tcPr>
                <w:p w14:paraId="44CAA280">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rPr>
                    <w:t>排放废气含有毒有害污染物、二恶英、苯并[a]芘、氰化物、氯气且厂界外500米范围内有环境空气保护目标的建设项目</w:t>
                  </w:r>
                </w:p>
              </w:tc>
              <w:tc>
                <w:tcPr>
                  <w:tcW w:w="1720" w:type="pct"/>
                  <w:noWrap/>
                  <w:vAlign w:val="center"/>
                </w:tcPr>
                <w:p w14:paraId="2CC8EB7B">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rPr>
                    <w:t>本项目废气污染</w:t>
                  </w:r>
                  <w:commentRangeStart w:id="2"/>
                  <w:commentRangeStart w:id="3"/>
                  <w:r>
                    <w:rPr>
                      <w:rFonts w:hint="default" w:ascii="Times New Roman" w:hAnsi="Times New Roman" w:eastAsia="宋体" w:cs="Times New Roman"/>
                      <w:color w:val="FF0000"/>
                      <w:szCs w:val="21"/>
                    </w:rPr>
                    <w:t>因</w:t>
                  </w:r>
                  <w:commentRangeEnd w:id="2"/>
                  <w:r>
                    <w:rPr>
                      <w:rFonts w:hint="default"/>
                      <w:color w:val="FF0000"/>
                    </w:rPr>
                    <w:commentReference w:id="2"/>
                  </w:r>
                  <w:commentRangeEnd w:id="3"/>
                  <w:r>
                    <w:rPr>
                      <w:rFonts w:hint="default"/>
                    </w:rPr>
                    <w:commentReference w:id="3"/>
                  </w:r>
                  <w:r>
                    <w:rPr>
                      <w:rFonts w:hint="eastAsia" w:ascii="Times New Roman" w:hAnsi="Times New Roman" w:eastAsia="宋体" w:cs="Times New Roman"/>
                      <w:color w:val="FF0000"/>
                      <w:szCs w:val="21"/>
                      <w:lang w:val="en-US" w:eastAsia="zh-CN"/>
                    </w:rPr>
                    <w:t>子</w:t>
                  </w:r>
                  <w:r>
                    <w:rPr>
                      <w:rFonts w:hint="default" w:ascii="Times New Roman" w:hAnsi="Times New Roman" w:eastAsia="宋体" w:cs="Times New Roman"/>
                      <w:color w:val="auto"/>
                      <w:szCs w:val="21"/>
                    </w:rPr>
                    <w:t>不涉及设置原则中的污染物</w:t>
                  </w:r>
                </w:p>
              </w:tc>
              <w:tc>
                <w:tcPr>
                  <w:tcW w:w="683" w:type="pct"/>
                  <w:noWrap/>
                  <w:vAlign w:val="center"/>
                </w:tcPr>
                <w:p w14:paraId="32FEA580">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rPr>
                    <w:t>否</w:t>
                  </w:r>
                </w:p>
              </w:tc>
            </w:tr>
            <w:tr w14:paraId="6AD4A0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695" w:type="pct"/>
                  <w:noWrap/>
                  <w:vAlign w:val="center"/>
                </w:tcPr>
                <w:p w14:paraId="5B00D809">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rPr>
                    <w:t>地表水</w:t>
                  </w:r>
                </w:p>
              </w:tc>
              <w:tc>
                <w:tcPr>
                  <w:tcW w:w="1900" w:type="pct"/>
                  <w:noWrap/>
                  <w:vAlign w:val="center"/>
                </w:tcPr>
                <w:p w14:paraId="4A6CBBE4">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rPr>
                    <w:t>新增工业废水直排建设项目（槽罐车外送污水处理厂的除外）；新增废水直排的污水集中处理厂</w:t>
                  </w:r>
                </w:p>
              </w:tc>
              <w:tc>
                <w:tcPr>
                  <w:tcW w:w="1720" w:type="pct"/>
                  <w:noWrap/>
                  <w:vAlign w:val="center"/>
                </w:tcPr>
                <w:p w14:paraId="487105E0">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highlight w:val="yellow"/>
                    </w:rPr>
                  </w:pPr>
                  <w:r>
                    <w:rPr>
                      <w:rFonts w:hint="default" w:ascii="Times New Roman" w:hAnsi="Times New Roman" w:eastAsia="宋体" w:cs="Times New Roman"/>
                      <w:color w:val="auto"/>
                      <w:szCs w:val="21"/>
                    </w:rPr>
                    <w:t>本项目不涉及</w:t>
                  </w:r>
                </w:p>
              </w:tc>
              <w:tc>
                <w:tcPr>
                  <w:tcW w:w="683" w:type="pct"/>
                  <w:noWrap/>
                  <w:vAlign w:val="center"/>
                </w:tcPr>
                <w:p w14:paraId="32FB395E">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rPr>
                    <w:t>否</w:t>
                  </w:r>
                </w:p>
              </w:tc>
            </w:tr>
            <w:tr w14:paraId="1059CD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695" w:type="pct"/>
                  <w:noWrap/>
                  <w:vAlign w:val="center"/>
                </w:tcPr>
                <w:p w14:paraId="7A20B736">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rPr>
                    <w:t>环境风险</w:t>
                  </w:r>
                </w:p>
              </w:tc>
              <w:tc>
                <w:tcPr>
                  <w:tcW w:w="1900" w:type="pct"/>
                  <w:noWrap/>
                  <w:vAlign w:val="center"/>
                </w:tcPr>
                <w:p w14:paraId="5421790B">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rPr>
                    <w:t>有毒有害和易燃易爆危险物质存储量超过临界量的建设项目</w:t>
                  </w:r>
                </w:p>
              </w:tc>
              <w:tc>
                <w:tcPr>
                  <w:tcW w:w="1720" w:type="pct"/>
                  <w:noWrap/>
                  <w:vAlign w:val="center"/>
                </w:tcPr>
                <w:p w14:paraId="232D8087">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r>
                    <w:rPr>
                      <w:rFonts w:hint="eastAsia" w:ascii="Times New Roman" w:hAnsi="Times New Roman" w:eastAsia="宋体" w:cs="Times New Roman"/>
                      <w:color w:val="auto"/>
                      <w:szCs w:val="21"/>
                    </w:rPr>
                    <w:t>本</w:t>
                  </w:r>
                  <w:r>
                    <w:rPr>
                      <w:rFonts w:hint="default" w:ascii="Times New Roman" w:hAnsi="Times New Roman" w:eastAsia="宋体" w:cs="Times New Roman"/>
                      <w:color w:val="auto"/>
                      <w:szCs w:val="21"/>
                    </w:rPr>
                    <w:t>项目危险物质数量与临界量比值未超过临界量</w:t>
                  </w:r>
                </w:p>
              </w:tc>
              <w:tc>
                <w:tcPr>
                  <w:tcW w:w="683" w:type="pct"/>
                  <w:noWrap/>
                  <w:vAlign w:val="center"/>
                </w:tcPr>
                <w:p w14:paraId="23A8733E">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rPr>
                    <w:t>否</w:t>
                  </w:r>
                </w:p>
              </w:tc>
            </w:tr>
            <w:tr w14:paraId="32462C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695" w:type="pct"/>
                  <w:noWrap/>
                  <w:vAlign w:val="center"/>
                </w:tcPr>
                <w:p w14:paraId="603A9369">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rPr>
                    <w:t>生态</w:t>
                  </w:r>
                </w:p>
              </w:tc>
              <w:tc>
                <w:tcPr>
                  <w:tcW w:w="1900" w:type="pct"/>
                  <w:noWrap/>
                  <w:vAlign w:val="center"/>
                </w:tcPr>
                <w:p w14:paraId="423608F9">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rPr>
                    <w:t>取水口下游500米范围内有重要水生生物的自然产卵场、索饵场、越冬场和洄游通道的新增河道取水的污染类建设项目</w:t>
                  </w:r>
                </w:p>
              </w:tc>
              <w:tc>
                <w:tcPr>
                  <w:tcW w:w="1720" w:type="pct"/>
                  <w:noWrap/>
                  <w:vAlign w:val="center"/>
                </w:tcPr>
                <w:p w14:paraId="2E030C87">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rPr>
                    <w:t>本项目不涉及</w:t>
                  </w:r>
                </w:p>
              </w:tc>
              <w:tc>
                <w:tcPr>
                  <w:tcW w:w="683" w:type="pct"/>
                  <w:noWrap/>
                  <w:vAlign w:val="center"/>
                </w:tcPr>
                <w:p w14:paraId="4604693D">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rPr>
                    <w:t>否</w:t>
                  </w:r>
                </w:p>
              </w:tc>
            </w:tr>
            <w:tr w14:paraId="5121FE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695" w:type="pct"/>
                  <w:noWrap/>
                  <w:vAlign w:val="center"/>
                </w:tcPr>
                <w:p w14:paraId="4937D779">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rPr>
                    <w:t>海洋</w:t>
                  </w:r>
                </w:p>
              </w:tc>
              <w:tc>
                <w:tcPr>
                  <w:tcW w:w="1900" w:type="pct"/>
                  <w:noWrap/>
                  <w:vAlign w:val="center"/>
                </w:tcPr>
                <w:p w14:paraId="7E520B54">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rPr>
                    <w:t>直接向海排放污染物的海洋工程建设项目</w:t>
                  </w:r>
                </w:p>
              </w:tc>
              <w:tc>
                <w:tcPr>
                  <w:tcW w:w="1720" w:type="pct"/>
                  <w:noWrap/>
                  <w:vAlign w:val="center"/>
                </w:tcPr>
                <w:p w14:paraId="2C899592">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rPr>
                    <w:t>本项目不涉及</w:t>
                  </w:r>
                </w:p>
              </w:tc>
              <w:tc>
                <w:tcPr>
                  <w:tcW w:w="683" w:type="pct"/>
                  <w:noWrap/>
                  <w:vAlign w:val="center"/>
                </w:tcPr>
                <w:p w14:paraId="353BC5DA">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rPr>
                    <w:t>否</w:t>
                  </w:r>
                </w:p>
              </w:tc>
            </w:tr>
            <w:tr w14:paraId="09BCE9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5000" w:type="pct"/>
                  <w:gridSpan w:val="4"/>
                  <w:noWrap/>
                  <w:vAlign w:val="center"/>
                </w:tcPr>
                <w:p w14:paraId="202AB1AE">
                  <w:pPr>
                    <w:keepNext w:val="0"/>
                    <w:keepLines w:val="0"/>
                    <w:suppressLineNumbers w:val="0"/>
                    <w:spacing w:before="0" w:beforeAutospacing="0" w:after="0" w:afterAutospacing="0"/>
                    <w:ind w:left="0" w:right="0"/>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rPr>
                    <w:t>注：</w:t>
                  </w:r>
                  <w:r>
                    <w:rPr>
                      <w:rFonts w:hint="eastAsia" w:ascii="Times New Roman" w:hAnsi="Times New Roman" w:eastAsia="宋体" w:cs="Times New Roman"/>
                      <w:color w:val="auto"/>
                      <w:szCs w:val="21"/>
                    </w:rPr>
                    <w:t>①</w:t>
                  </w:r>
                  <w:r>
                    <w:rPr>
                      <w:rFonts w:hint="default" w:ascii="Times New Roman" w:hAnsi="Times New Roman" w:eastAsia="宋体" w:cs="Times New Roman"/>
                      <w:color w:val="auto"/>
                      <w:szCs w:val="21"/>
                    </w:rPr>
                    <w:t>废气中有毒有害污染物指纳入《有毒有害大气污染物名录》的污染物（不包括无排放标准的污染物）。</w:t>
                  </w:r>
                </w:p>
                <w:p w14:paraId="20EF3362">
                  <w:pPr>
                    <w:keepNext w:val="0"/>
                    <w:keepLines w:val="0"/>
                    <w:suppressLineNumbers w:val="0"/>
                    <w:spacing w:before="0" w:beforeAutospacing="0" w:after="0" w:afterAutospacing="0"/>
                    <w:ind w:left="0" w:right="0" w:firstLine="420" w:firstLineChars="200"/>
                    <w:rPr>
                      <w:rFonts w:hint="default" w:ascii="Times New Roman" w:hAnsi="Times New Roman" w:eastAsia="宋体" w:cs="Times New Roman"/>
                      <w:color w:val="auto"/>
                      <w:szCs w:val="21"/>
                    </w:rPr>
                  </w:pPr>
                  <w:r>
                    <w:rPr>
                      <w:rFonts w:hint="eastAsia" w:ascii="Times New Roman" w:hAnsi="Times New Roman" w:eastAsia="宋体" w:cs="Times New Roman"/>
                      <w:color w:val="auto"/>
                      <w:szCs w:val="21"/>
                    </w:rPr>
                    <w:t>②</w:t>
                  </w:r>
                  <w:r>
                    <w:rPr>
                      <w:rFonts w:hint="default" w:ascii="Times New Roman" w:hAnsi="Times New Roman" w:eastAsia="宋体" w:cs="Times New Roman"/>
                      <w:color w:val="auto"/>
                      <w:szCs w:val="21"/>
                    </w:rPr>
                    <w:t>环境空气保护目标指自然保护区、风景名胜区、居住区、文化区和农村地区中人群较集中的区域。</w:t>
                  </w:r>
                </w:p>
                <w:p w14:paraId="139301E8">
                  <w:pPr>
                    <w:keepNext w:val="0"/>
                    <w:keepLines w:val="0"/>
                    <w:suppressLineNumbers w:val="0"/>
                    <w:spacing w:before="0" w:beforeAutospacing="0" w:after="0" w:afterAutospacing="0"/>
                    <w:ind w:left="0" w:right="0" w:firstLine="420" w:firstLineChars="200"/>
                    <w:rPr>
                      <w:rFonts w:hint="default" w:ascii="Times New Roman" w:hAnsi="Times New Roman" w:eastAsia="宋体" w:cs="Times New Roman"/>
                      <w:color w:val="auto"/>
                      <w:szCs w:val="21"/>
                    </w:rPr>
                  </w:pPr>
                  <w:r>
                    <w:rPr>
                      <w:rFonts w:hint="eastAsia" w:ascii="Times New Roman" w:hAnsi="Times New Roman" w:eastAsia="宋体" w:cs="Times New Roman"/>
                      <w:color w:val="auto"/>
                      <w:szCs w:val="21"/>
                    </w:rPr>
                    <w:t>③</w:t>
                  </w:r>
                  <w:r>
                    <w:rPr>
                      <w:rFonts w:hint="default" w:ascii="Times New Roman" w:hAnsi="Times New Roman" w:eastAsia="宋体" w:cs="Times New Roman"/>
                      <w:color w:val="auto"/>
                      <w:szCs w:val="21"/>
                    </w:rPr>
                    <w:t>临界量及其计算方法可参考《建设</w:t>
                  </w:r>
                  <w:r>
                    <w:rPr>
                      <w:rFonts w:hint="eastAsia" w:ascii="Times New Roman" w:hAnsi="Times New Roman" w:eastAsia="宋体" w:cs="Times New Roman"/>
                      <w:color w:val="auto"/>
                      <w:szCs w:val="21"/>
                    </w:rPr>
                    <w:t>项目</w:t>
                  </w:r>
                  <w:r>
                    <w:rPr>
                      <w:rFonts w:hint="default" w:ascii="Times New Roman" w:hAnsi="Times New Roman" w:eastAsia="宋体" w:cs="Times New Roman"/>
                      <w:color w:val="auto"/>
                      <w:szCs w:val="21"/>
                    </w:rPr>
                    <w:t>环境风险评价技术导则》（HJ169）附录B、附录C。</w:t>
                  </w:r>
                </w:p>
              </w:tc>
            </w:tr>
          </w:tbl>
          <w:p w14:paraId="2F62A3CF">
            <w:pPr>
              <w:keepNext w:val="0"/>
              <w:keepLines w:val="0"/>
              <w:suppressLineNumbers w:val="0"/>
              <w:spacing w:before="0" w:beforeAutospacing="0" w:after="0" w:afterAutospacing="0"/>
              <w:ind w:left="0" w:right="0"/>
              <w:rPr>
                <w:rFonts w:hint="default" w:ascii="Times New Roman" w:hAnsi="Times New Roman" w:eastAsia="宋体" w:cs="Times New Roman"/>
                <w:color w:val="auto"/>
                <w:sz w:val="24"/>
              </w:rPr>
            </w:pPr>
          </w:p>
        </w:tc>
      </w:tr>
      <w:tr w14:paraId="46969E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473" w:type="pct"/>
            <w:vAlign w:val="center"/>
          </w:tcPr>
          <w:p w14:paraId="1FBEFC5E">
            <w:pPr>
              <w:keepNext w:val="0"/>
              <w:keepLines w:val="0"/>
              <w:suppressLineNumbers w:val="0"/>
              <w:spacing w:before="0" w:beforeAutospacing="0" w:after="0" w:afterAutospacing="0"/>
              <w:ind w:left="0" w:right="0"/>
              <w:jc w:val="center"/>
              <w:rPr>
                <w:rFonts w:hint="default" w:ascii="Times New Roman" w:hAnsi="Times New Roman" w:eastAsia="宋体" w:cs="Times New Roman"/>
                <w:b/>
                <w:bCs/>
                <w:color w:val="auto"/>
                <w:sz w:val="24"/>
              </w:rPr>
            </w:pPr>
            <w:r>
              <w:rPr>
                <w:rFonts w:hint="eastAsia" w:ascii="Times New Roman" w:hAnsi="Times New Roman" w:eastAsia="宋体" w:cs="Times New Roman"/>
                <w:b/>
                <w:bCs/>
                <w:color w:val="auto"/>
                <w:sz w:val="24"/>
              </w:rPr>
              <w:t>规划情况</w:t>
            </w:r>
          </w:p>
        </w:tc>
        <w:tc>
          <w:tcPr>
            <w:tcW w:w="4526" w:type="pct"/>
            <w:gridSpan w:val="4"/>
          </w:tcPr>
          <w:p w14:paraId="7CE475D7">
            <w:pPr>
              <w:keepNext w:val="0"/>
              <w:keepLines w:val="0"/>
              <w:suppressLineNumbers w:val="0"/>
              <w:spacing w:before="0" w:beforeAutospacing="0" w:after="0" w:afterAutospacing="0" w:line="360" w:lineRule="auto"/>
              <w:ind w:left="0" w:right="0"/>
              <w:rPr>
                <w:rFonts w:hint="default" w:ascii="Times New Roman" w:hAnsi="Times New Roman" w:eastAsia="宋体" w:cs="Times New Roman"/>
                <w:b/>
                <w:bCs/>
                <w:color w:val="auto"/>
                <w:sz w:val="24"/>
              </w:rPr>
            </w:pPr>
            <w:r>
              <w:rPr>
                <w:rFonts w:hint="eastAsia" w:ascii="Times New Roman" w:hAnsi="Times New Roman" w:eastAsia="宋体" w:cs="Times New Roman"/>
                <w:b/>
                <w:bCs/>
                <w:color w:val="auto"/>
                <w:sz w:val="24"/>
              </w:rPr>
              <w:t>规划名称：</w:t>
            </w:r>
            <w:r>
              <w:rPr>
                <w:rFonts w:hint="eastAsia" w:ascii="Times New Roman" w:hAnsi="Times New Roman" w:eastAsia="宋体" w:cs="Times New Roman"/>
                <w:color w:val="auto"/>
                <w:sz w:val="24"/>
              </w:rPr>
              <w:t>《长三角（湖州）产业合作区发展总体规划（2024-2035年）》</w:t>
            </w:r>
          </w:p>
          <w:p w14:paraId="6389B52F">
            <w:pPr>
              <w:keepNext w:val="0"/>
              <w:keepLines w:val="0"/>
              <w:suppressLineNumbers w:val="0"/>
              <w:spacing w:before="0" w:beforeAutospacing="0" w:after="0" w:afterAutospacing="0" w:line="360" w:lineRule="auto"/>
              <w:ind w:left="0" w:right="0"/>
              <w:rPr>
                <w:rFonts w:hint="default" w:ascii="Times New Roman" w:hAnsi="Times New Roman" w:eastAsia="宋体" w:cs="Times New Roman"/>
                <w:b/>
                <w:bCs/>
                <w:color w:val="auto"/>
                <w:sz w:val="24"/>
              </w:rPr>
            </w:pPr>
            <w:r>
              <w:rPr>
                <w:rFonts w:hint="eastAsia" w:ascii="Times New Roman" w:hAnsi="Times New Roman" w:eastAsia="宋体" w:cs="Times New Roman"/>
                <w:b/>
                <w:bCs/>
                <w:color w:val="0000FF"/>
                <w:sz w:val="24"/>
                <w:lang w:val="en-US" w:eastAsia="zh-CN"/>
              </w:rPr>
              <w:t>编制</w:t>
            </w:r>
            <w:commentRangeStart w:id="4"/>
            <w:commentRangeStart w:id="5"/>
            <w:r>
              <w:rPr>
                <w:rFonts w:hint="default"/>
              </w:rPr>
              <w:commentReference w:id="4"/>
            </w:r>
            <w:commentRangeEnd w:id="4"/>
            <w:commentRangeEnd w:id="5"/>
            <w:r>
              <w:commentReference w:id="5"/>
            </w:r>
            <w:r>
              <w:rPr>
                <w:rFonts w:hint="eastAsia" w:ascii="Times New Roman" w:hAnsi="Times New Roman" w:eastAsia="宋体" w:cs="Times New Roman"/>
                <w:b/>
                <w:bCs/>
                <w:color w:val="auto"/>
                <w:sz w:val="24"/>
              </w:rPr>
              <w:t>机关：</w:t>
            </w:r>
            <w:r>
              <w:rPr>
                <w:rFonts w:hint="eastAsia" w:ascii="Times New Roman" w:hAnsi="Times New Roman" w:eastAsia="宋体" w:cs="Times New Roman"/>
                <w:color w:val="auto"/>
                <w:sz w:val="24"/>
              </w:rPr>
              <w:t>长合区管委会</w:t>
            </w:r>
          </w:p>
          <w:p w14:paraId="34F8C47C">
            <w:pPr>
              <w:keepNext w:val="0"/>
              <w:keepLines w:val="0"/>
              <w:suppressLineNumbers w:val="0"/>
              <w:spacing w:before="0" w:beforeAutospacing="0" w:after="0" w:afterAutospacing="0" w:line="360" w:lineRule="auto"/>
              <w:ind w:left="0" w:right="0"/>
              <w:rPr>
                <w:rFonts w:hint="default" w:ascii="Times New Roman" w:hAnsi="Times New Roman" w:eastAsia="宋体" w:cs="Times New Roman"/>
                <w:color w:val="auto"/>
                <w:sz w:val="24"/>
              </w:rPr>
            </w:pPr>
            <w:r>
              <w:rPr>
                <w:rFonts w:hint="eastAsia" w:ascii="Times New Roman" w:hAnsi="Times New Roman" w:eastAsia="宋体" w:cs="Times New Roman"/>
                <w:b/>
                <w:bCs/>
                <w:color w:val="auto"/>
                <w:sz w:val="24"/>
              </w:rPr>
              <w:t>审批文件名称及文号：</w:t>
            </w:r>
            <w:r>
              <w:rPr>
                <w:rFonts w:hint="eastAsia" w:ascii="Times New Roman" w:hAnsi="Times New Roman" w:eastAsia="宋体" w:cs="Times New Roman"/>
                <w:color w:val="auto"/>
                <w:sz w:val="24"/>
              </w:rPr>
              <w:t>/</w:t>
            </w:r>
          </w:p>
        </w:tc>
      </w:tr>
      <w:tr w14:paraId="7D8498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73" w:type="pct"/>
            <w:vAlign w:val="center"/>
          </w:tcPr>
          <w:p w14:paraId="1B5B56FE">
            <w:pPr>
              <w:keepNext w:val="0"/>
              <w:keepLines w:val="0"/>
              <w:suppressLineNumbers w:val="0"/>
              <w:spacing w:before="0" w:beforeAutospacing="0" w:after="0" w:afterAutospacing="0"/>
              <w:ind w:left="0" w:right="0"/>
              <w:jc w:val="center"/>
              <w:rPr>
                <w:rFonts w:hint="default" w:ascii="Times New Roman" w:hAnsi="Times New Roman" w:eastAsia="宋体" w:cs="Times New Roman"/>
                <w:b/>
                <w:bCs/>
                <w:color w:val="auto"/>
                <w:sz w:val="24"/>
              </w:rPr>
            </w:pPr>
            <w:r>
              <w:rPr>
                <w:rFonts w:hint="eastAsia" w:ascii="Times New Roman" w:hAnsi="Times New Roman" w:eastAsia="宋体" w:cs="Times New Roman"/>
                <w:b/>
                <w:bCs/>
                <w:color w:val="auto"/>
                <w:sz w:val="24"/>
              </w:rPr>
              <w:t>规划环境影响评价情况</w:t>
            </w:r>
          </w:p>
        </w:tc>
        <w:tc>
          <w:tcPr>
            <w:tcW w:w="4526" w:type="pct"/>
            <w:gridSpan w:val="4"/>
          </w:tcPr>
          <w:p w14:paraId="1A251BE7">
            <w:pPr>
              <w:keepNext w:val="0"/>
              <w:keepLines w:val="0"/>
              <w:suppressLineNumbers w:val="0"/>
              <w:spacing w:before="0" w:beforeAutospacing="0" w:after="0" w:afterAutospacing="0" w:line="360" w:lineRule="auto"/>
              <w:ind w:left="0" w:right="0"/>
              <w:rPr>
                <w:rFonts w:hint="default" w:ascii="Times New Roman" w:hAnsi="Times New Roman" w:eastAsia="宋体" w:cs="Times New Roman"/>
                <w:color w:val="auto"/>
                <w:sz w:val="24"/>
              </w:rPr>
            </w:pPr>
            <w:r>
              <w:rPr>
                <w:rFonts w:hint="eastAsia" w:ascii="Times New Roman" w:hAnsi="Times New Roman" w:eastAsia="宋体" w:cs="Times New Roman"/>
                <w:b/>
                <w:bCs/>
                <w:color w:val="auto"/>
                <w:sz w:val="24"/>
              </w:rPr>
              <w:t>文件名称：</w:t>
            </w:r>
            <w:r>
              <w:rPr>
                <w:rFonts w:hint="eastAsia" w:ascii="Times New Roman" w:hAnsi="Times New Roman" w:eastAsia="宋体" w:cs="Times New Roman"/>
                <w:color w:val="auto"/>
                <w:sz w:val="24"/>
              </w:rPr>
              <w:t>《长三角（湖州）产业合作区发展总体规划环境影响报告书》</w:t>
            </w:r>
          </w:p>
          <w:p w14:paraId="05BF30DE">
            <w:pPr>
              <w:keepNext w:val="0"/>
              <w:keepLines w:val="0"/>
              <w:suppressLineNumbers w:val="0"/>
              <w:spacing w:before="0" w:beforeAutospacing="0" w:after="0" w:afterAutospacing="0" w:line="360" w:lineRule="auto"/>
              <w:ind w:left="0" w:right="0"/>
              <w:rPr>
                <w:rFonts w:hint="eastAsia" w:ascii="Times New Roman" w:hAnsi="Times New Roman" w:eastAsia="宋体" w:cs="Times New Roman"/>
                <w:color w:val="auto"/>
                <w:sz w:val="24"/>
              </w:rPr>
            </w:pPr>
            <w:r>
              <w:rPr>
                <w:rFonts w:hint="eastAsia" w:ascii="Times New Roman" w:hAnsi="Times New Roman" w:eastAsia="宋体" w:cs="Times New Roman"/>
                <w:b/>
                <w:bCs/>
                <w:color w:val="auto"/>
                <w:sz w:val="24"/>
              </w:rPr>
              <w:t>审查机关：</w:t>
            </w:r>
            <w:r>
              <w:rPr>
                <w:rFonts w:hint="eastAsia" w:ascii="Times New Roman" w:hAnsi="Times New Roman" w:eastAsia="宋体" w:cs="Times New Roman"/>
                <w:color w:val="auto"/>
                <w:sz w:val="24"/>
              </w:rPr>
              <w:t>浙江省生态环境厅</w:t>
            </w:r>
          </w:p>
          <w:p w14:paraId="328D9B1E">
            <w:pPr>
              <w:keepNext w:val="0"/>
              <w:keepLines w:val="0"/>
              <w:suppressLineNumbers w:val="0"/>
              <w:spacing w:before="0" w:beforeAutospacing="0" w:after="0" w:afterAutospacing="0" w:line="360" w:lineRule="auto"/>
              <w:ind w:left="0" w:right="0"/>
              <w:rPr>
                <w:rFonts w:hint="default" w:ascii="Times New Roman" w:hAnsi="Times New Roman" w:eastAsia="宋体" w:cs="Times New Roman"/>
                <w:color w:val="auto"/>
                <w:sz w:val="24"/>
              </w:rPr>
            </w:pPr>
            <w:r>
              <w:rPr>
                <w:rFonts w:hint="eastAsia" w:ascii="Times New Roman" w:hAnsi="Times New Roman" w:eastAsia="宋体" w:cs="Times New Roman"/>
                <w:b/>
                <w:bCs/>
                <w:color w:val="auto"/>
                <w:sz w:val="24"/>
              </w:rPr>
              <w:t>审批文件名称及文号：</w:t>
            </w:r>
            <w:r>
              <w:rPr>
                <w:rFonts w:hint="eastAsia" w:ascii="Times New Roman" w:hAnsi="Times New Roman" w:eastAsia="宋体" w:cs="Times New Roman"/>
                <w:color w:val="auto"/>
                <w:sz w:val="24"/>
              </w:rPr>
              <w:t>《浙江省生态环境厅关于&lt;长三角（湖州）产业合作区发展总体规划环境影响报告书&gt;的审查意见》（浙环函〔2025〕333号）</w:t>
            </w:r>
          </w:p>
        </w:tc>
      </w:tr>
      <w:tr w14:paraId="059445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73" w:type="pct"/>
            <w:vAlign w:val="center"/>
          </w:tcPr>
          <w:p w14:paraId="62D0CA1A">
            <w:pPr>
              <w:keepNext w:val="0"/>
              <w:keepLines w:val="0"/>
              <w:suppressLineNumbers w:val="0"/>
              <w:spacing w:before="0" w:beforeAutospacing="0" w:after="0" w:afterAutospacing="0"/>
              <w:ind w:left="0" w:right="0"/>
              <w:jc w:val="center"/>
              <w:rPr>
                <w:rFonts w:hint="default" w:ascii="Times New Roman" w:hAnsi="Times New Roman" w:eastAsia="宋体" w:cs="Times New Roman"/>
                <w:b/>
                <w:bCs/>
                <w:color w:val="auto"/>
                <w:sz w:val="24"/>
              </w:rPr>
            </w:pPr>
            <w:r>
              <w:rPr>
                <w:rFonts w:hint="eastAsia" w:ascii="Times New Roman" w:hAnsi="Times New Roman" w:eastAsia="宋体" w:cs="Times New Roman"/>
                <w:b/>
                <w:bCs/>
                <w:color w:val="auto"/>
                <w:sz w:val="24"/>
              </w:rPr>
              <w:t>规划及规划环境影响评价符合性分析</w:t>
            </w:r>
          </w:p>
        </w:tc>
        <w:tc>
          <w:tcPr>
            <w:tcW w:w="4526" w:type="pct"/>
            <w:gridSpan w:val="4"/>
          </w:tcPr>
          <w:p w14:paraId="19E9E613">
            <w:pPr>
              <w:keepNext w:val="0"/>
              <w:keepLines w:val="0"/>
              <w:suppressLineNumbers w:val="0"/>
              <w:spacing w:before="0" w:beforeAutospacing="0" w:after="0" w:afterAutospacing="0" w:line="360" w:lineRule="auto"/>
              <w:ind w:left="0" w:right="0"/>
              <w:rPr>
                <w:rFonts w:hint="default" w:ascii="Times New Roman" w:hAnsi="Times New Roman" w:eastAsia="宋体" w:cs="Times New Roman"/>
                <w:b/>
                <w:bCs/>
                <w:color w:val="auto"/>
                <w:sz w:val="24"/>
              </w:rPr>
            </w:pPr>
            <w:r>
              <w:rPr>
                <w:rFonts w:hint="default" w:ascii="Times New Roman" w:hAnsi="Times New Roman" w:eastAsia="宋体" w:cs="Times New Roman"/>
                <w:b/>
                <w:bCs/>
                <w:color w:val="auto"/>
                <w:sz w:val="24"/>
                <w:lang w:val="en-US" w:eastAsia="zh-CN"/>
              </w:rPr>
              <w:t>1.1规划及规划环境影响评价符合性分析</w:t>
            </w:r>
          </w:p>
          <w:p w14:paraId="7EE629F9">
            <w:pPr>
              <w:keepNext w:val="0"/>
              <w:keepLines w:val="0"/>
              <w:suppressLineNumbers w:val="0"/>
              <w:spacing w:before="0" w:beforeAutospacing="0" w:after="0" w:afterAutospacing="0" w:line="360" w:lineRule="auto"/>
              <w:ind w:left="0" w:right="0"/>
              <w:rPr>
                <w:rFonts w:hint="default" w:ascii="Times New Roman" w:hAnsi="Times New Roman" w:eastAsia="宋体" w:cs="Times New Roman"/>
                <w:b/>
                <w:bCs/>
                <w:color w:val="auto"/>
                <w:sz w:val="24"/>
              </w:rPr>
            </w:pPr>
            <w:r>
              <w:rPr>
                <w:rFonts w:hint="eastAsia" w:ascii="Times New Roman" w:hAnsi="Times New Roman" w:eastAsia="宋体" w:cs="Times New Roman"/>
                <w:b/>
                <w:bCs/>
                <w:color w:val="auto"/>
                <w:sz w:val="24"/>
                <w:lang w:val="en-US" w:eastAsia="zh-CN"/>
              </w:rPr>
              <w:t>1.1.1</w:t>
            </w:r>
            <w:r>
              <w:rPr>
                <w:rFonts w:hint="eastAsia" w:ascii="Times New Roman" w:hAnsi="Times New Roman" w:eastAsia="宋体" w:cs="Times New Roman"/>
                <w:b/>
                <w:bCs/>
                <w:color w:val="auto"/>
                <w:sz w:val="24"/>
              </w:rPr>
              <w:t>《长三角（湖州）产业合作区发展总体规划（2024-2035年）》符合性分析</w:t>
            </w:r>
          </w:p>
          <w:p w14:paraId="323CA4C9">
            <w:pPr>
              <w:keepNext w:val="0"/>
              <w:keepLines w:val="0"/>
              <w:suppressLineNumbers w:val="0"/>
              <w:spacing w:before="0" w:beforeAutospacing="0" w:after="0" w:afterAutospacing="0" w:line="360" w:lineRule="auto"/>
              <w:ind w:left="0" w:right="0" w:firstLine="480" w:firstLineChars="200"/>
              <w:rPr>
                <w:rFonts w:hint="default" w:ascii="Times New Roman" w:hAnsi="Times New Roman" w:eastAsia="宋体" w:cs="Times New Roman"/>
                <w:color w:val="auto"/>
                <w:sz w:val="24"/>
              </w:rPr>
            </w:pPr>
            <w:r>
              <w:rPr>
                <w:rFonts w:hint="default" w:ascii="Times New Roman" w:hAnsi="Times New Roman" w:eastAsia="宋体" w:cs="Times New Roman"/>
                <w:color w:val="auto"/>
                <w:sz w:val="24"/>
              </w:rPr>
              <w:t>1、规划期限</w:t>
            </w:r>
          </w:p>
          <w:p w14:paraId="6872DC14">
            <w:pPr>
              <w:keepNext w:val="0"/>
              <w:keepLines w:val="0"/>
              <w:suppressLineNumbers w:val="0"/>
              <w:spacing w:before="0" w:beforeAutospacing="0" w:after="0" w:afterAutospacing="0" w:line="360" w:lineRule="auto"/>
              <w:ind w:left="0" w:right="0" w:firstLine="480" w:firstLineChars="200"/>
              <w:rPr>
                <w:rFonts w:hint="default" w:ascii="Times New Roman" w:hAnsi="Times New Roman" w:eastAsia="宋体" w:cs="Times New Roman"/>
                <w:color w:val="auto"/>
                <w:sz w:val="24"/>
              </w:rPr>
            </w:pPr>
            <w:r>
              <w:rPr>
                <w:rFonts w:hint="default" w:ascii="Times New Roman" w:hAnsi="Times New Roman" w:eastAsia="宋体" w:cs="Times New Roman"/>
                <w:color w:val="auto"/>
                <w:sz w:val="24"/>
              </w:rPr>
              <w:t>规划基期为2023年，规划期限为2024-2035年，其中，近期至2027年，远期至2035年。</w:t>
            </w:r>
          </w:p>
          <w:p w14:paraId="1384D7AF">
            <w:pPr>
              <w:keepNext w:val="0"/>
              <w:keepLines w:val="0"/>
              <w:suppressLineNumbers w:val="0"/>
              <w:spacing w:before="0" w:beforeAutospacing="0" w:after="0" w:afterAutospacing="0" w:line="360" w:lineRule="auto"/>
              <w:ind w:left="0" w:right="0" w:firstLine="480" w:firstLineChars="200"/>
              <w:rPr>
                <w:rFonts w:hint="default" w:ascii="Times New Roman" w:hAnsi="Times New Roman" w:eastAsia="宋体" w:cs="Times New Roman"/>
                <w:color w:val="auto"/>
                <w:sz w:val="24"/>
              </w:rPr>
            </w:pPr>
            <w:r>
              <w:rPr>
                <w:rFonts w:hint="default" w:ascii="Times New Roman" w:hAnsi="Times New Roman" w:eastAsia="宋体" w:cs="Times New Roman"/>
                <w:color w:val="auto"/>
                <w:sz w:val="24"/>
              </w:rPr>
              <w:t>2、规划范围</w:t>
            </w:r>
          </w:p>
          <w:p w14:paraId="0AF24244">
            <w:pPr>
              <w:keepNext w:val="0"/>
              <w:keepLines w:val="0"/>
              <w:suppressLineNumbers w:val="0"/>
              <w:spacing w:before="0" w:beforeAutospacing="0" w:after="0" w:afterAutospacing="0" w:line="360" w:lineRule="auto"/>
              <w:ind w:left="0" w:right="0" w:firstLine="480" w:firstLineChars="200"/>
              <w:rPr>
                <w:rFonts w:hint="default" w:ascii="Times New Roman" w:hAnsi="Times New Roman" w:eastAsia="宋体" w:cs="Times New Roman"/>
                <w:color w:val="auto"/>
                <w:sz w:val="24"/>
              </w:rPr>
            </w:pPr>
            <w:r>
              <w:rPr>
                <w:rFonts w:hint="default" w:ascii="Times New Roman" w:hAnsi="Times New Roman" w:eastAsia="宋体" w:cs="Times New Roman"/>
                <w:color w:val="auto"/>
                <w:sz w:val="24"/>
              </w:rPr>
              <w:t>规划范围为长三角</w:t>
            </w:r>
            <w:r>
              <w:rPr>
                <w:rFonts w:hint="eastAsia" w:ascii="Times New Roman" w:hAnsi="Times New Roman" w:eastAsia="宋体" w:cs="Times New Roman"/>
                <w:color w:val="auto"/>
                <w:sz w:val="24"/>
                <w:lang w:eastAsia="zh-CN"/>
              </w:rPr>
              <w:t>（</w:t>
            </w:r>
            <w:r>
              <w:rPr>
                <w:rFonts w:hint="default" w:ascii="Times New Roman" w:hAnsi="Times New Roman" w:eastAsia="宋体" w:cs="Times New Roman"/>
                <w:color w:val="auto"/>
                <w:sz w:val="24"/>
              </w:rPr>
              <w:t>湖州</w:t>
            </w:r>
            <w:r>
              <w:rPr>
                <w:rFonts w:hint="eastAsia" w:ascii="Times New Roman" w:hAnsi="Times New Roman" w:eastAsia="宋体" w:cs="Times New Roman"/>
                <w:color w:val="auto"/>
                <w:sz w:val="24"/>
                <w:lang w:eastAsia="zh-CN"/>
              </w:rPr>
              <w:t>）</w:t>
            </w:r>
            <w:r>
              <w:rPr>
                <w:rFonts w:hint="default" w:ascii="Times New Roman" w:hAnsi="Times New Roman" w:eastAsia="宋体" w:cs="Times New Roman"/>
                <w:color w:val="auto"/>
                <w:sz w:val="24"/>
              </w:rPr>
              <w:t>产业合作区</w:t>
            </w:r>
            <w:r>
              <w:rPr>
                <w:rFonts w:hint="eastAsia" w:ascii="Times New Roman" w:hAnsi="Times New Roman" w:eastAsia="宋体" w:cs="Times New Roman"/>
                <w:color w:val="auto"/>
                <w:sz w:val="24"/>
                <w:lang w:eastAsia="zh-CN"/>
              </w:rPr>
              <w:t>（</w:t>
            </w:r>
            <w:r>
              <w:rPr>
                <w:rFonts w:hint="default" w:ascii="Times New Roman" w:hAnsi="Times New Roman" w:eastAsia="宋体" w:cs="Times New Roman"/>
                <w:color w:val="auto"/>
                <w:sz w:val="24"/>
              </w:rPr>
              <w:t>以下简称长合区</w:t>
            </w:r>
            <w:r>
              <w:rPr>
                <w:rFonts w:hint="eastAsia" w:ascii="Times New Roman" w:hAnsi="Times New Roman" w:eastAsia="宋体" w:cs="Times New Roman"/>
                <w:color w:val="auto"/>
                <w:sz w:val="24"/>
                <w:lang w:eastAsia="zh-CN"/>
              </w:rPr>
              <w:t>）</w:t>
            </w:r>
            <w:r>
              <w:rPr>
                <w:rFonts w:hint="default" w:ascii="Times New Roman" w:hAnsi="Times New Roman" w:eastAsia="宋体" w:cs="Times New Roman"/>
                <w:color w:val="auto"/>
                <w:sz w:val="24"/>
              </w:rPr>
              <w:t>管理范围，规划面积为86.9平方千米，东至杭长高速、环东路，南至环南路，西至泗安水库、天子岗水库东侧，北至宣杭铁路。包括长兴县泗安镇和安吉县天子湖镇部分区域，涉及泗安镇的新丰村、庆丰村、赵村村、双联村、上泗安村、凤凰村、五里渡村、莲花村、初康村、太平村、三里亭村、仙山村共12个行政村，天子湖镇的高禹村、良朋村、南店村、五福村、吴址村共5个行政村及南湖林场。</w:t>
            </w:r>
          </w:p>
          <w:p w14:paraId="1C778C94">
            <w:pPr>
              <w:keepNext w:val="0"/>
              <w:keepLines w:val="0"/>
              <w:suppressLineNumbers w:val="0"/>
              <w:spacing w:before="0" w:beforeAutospacing="0" w:after="0" w:afterAutospacing="0" w:line="360" w:lineRule="auto"/>
              <w:ind w:left="0" w:right="0" w:firstLine="480" w:firstLineChars="200"/>
              <w:rPr>
                <w:rFonts w:hint="default" w:ascii="Times New Roman" w:hAnsi="Times New Roman" w:eastAsia="宋体" w:cs="Times New Roman"/>
                <w:color w:val="auto"/>
                <w:sz w:val="24"/>
              </w:rPr>
            </w:pPr>
            <w:r>
              <w:rPr>
                <w:rFonts w:hint="default" w:ascii="Times New Roman" w:hAnsi="Times New Roman" w:eastAsia="宋体" w:cs="Times New Roman"/>
                <w:color w:val="auto"/>
                <w:sz w:val="24"/>
              </w:rPr>
              <w:t>3、功能定位</w:t>
            </w:r>
          </w:p>
          <w:p w14:paraId="27641444">
            <w:pPr>
              <w:keepNext w:val="0"/>
              <w:keepLines w:val="0"/>
              <w:suppressLineNumbers w:val="0"/>
              <w:spacing w:before="0" w:beforeAutospacing="0" w:after="0" w:afterAutospacing="0" w:line="360" w:lineRule="auto"/>
              <w:ind w:left="0" w:right="0" w:firstLine="480" w:firstLineChars="200"/>
              <w:rPr>
                <w:rFonts w:hint="default" w:ascii="Times New Roman" w:hAnsi="Times New Roman" w:eastAsia="宋体" w:cs="Times New Roman"/>
                <w:color w:val="auto"/>
                <w:sz w:val="24"/>
              </w:rPr>
            </w:pPr>
            <w:r>
              <w:rPr>
                <w:rFonts w:hint="default" w:ascii="Times New Roman" w:hAnsi="Times New Roman" w:eastAsia="宋体" w:cs="Times New Roman"/>
                <w:color w:val="auto"/>
                <w:sz w:val="24"/>
              </w:rPr>
              <w:t>以产业创新、共建共享、绿色发展、产城融合、产业集群为导向，重点打造长三角</w:t>
            </w:r>
            <w:r>
              <w:rPr>
                <w:rFonts w:hint="eastAsia" w:ascii="Times New Roman" w:hAnsi="Times New Roman" w:eastAsia="宋体" w:cs="Times New Roman"/>
                <w:color w:val="auto"/>
                <w:sz w:val="24"/>
                <w:lang w:eastAsia="zh-CN"/>
              </w:rPr>
              <w:t>（</w:t>
            </w:r>
            <w:r>
              <w:rPr>
                <w:rFonts w:hint="default" w:ascii="Times New Roman" w:hAnsi="Times New Roman" w:eastAsia="宋体" w:cs="Times New Roman"/>
                <w:color w:val="auto"/>
                <w:sz w:val="24"/>
              </w:rPr>
              <w:t>湖州</w:t>
            </w:r>
            <w:r>
              <w:rPr>
                <w:rFonts w:hint="eastAsia" w:ascii="Times New Roman" w:hAnsi="Times New Roman" w:eastAsia="宋体" w:cs="Times New Roman"/>
                <w:color w:val="auto"/>
                <w:sz w:val="24"/>
                <w:lang w:eastAsia="zh-CN"/>
              </w:rPr>
              <w:t>）</w:t>
            </w:r>
            <w:r>
              <w:rPr>
                <w:rFonts w:hint="default" w:ascii="Times New Roman" w:hAnsi="Times New Roman" w:eastAsia="宋体" w:cs="Times New Roman"/>
                <w:color w:val="auto"/>
                <w:sz w:val="24"/>
              </w:rPr>
              <w:t>产业合作区发展总体规划环境影响报告书省际一体化先行区，长合区的总体定位为</w:t>
            </w:r>
            <w:r>
              <w:rPr>
                <w:rFonts w:hint="eastAsia" w:ascii="Times New Roman" w:hAnsi="Times New Roman" w:eastAsia="宋体" w:cs="Times New Roman"/>
                <w:color w:val="auto"/>
                <w:sz w:val="24"/>
                <w:lang w:eastAsia="zh-CN"/>
              </w:rPr>
              <w:t>“</w:t>
            </w:r>
            <w:r>
              <w:rPr>
                <w:rFonts w:hint="default" w:ascii="Times New Roman" w:hAnsi="Times New Roman" w:eastAsia="宋体" w:cs="Times New Roman"/>
                <w:color w:val="auto"/>
                <w:sz w:val="24"/>
              </w:rPr>
              <w:t>长三角绿色智造中心</w:t>
            </w:r>
            <w:r>
              <w:rPr>
                <w:rFonts w:hint="eastAsia" w:ascii="Times New Roman" w:hAnsi="Times New Roman" w:eastAsia="宋体" w:cs="Times New Roman"/>
                <w:color w:val="auto"/>
                <w:sz w:val="24"/>
                <w:lang w:eastAsia="zh-CN"/>
              </w:rPr>
              <w:t>”</w:t>
            </w:r>
            <w:r>
              <w:rPr>
                <w:rFonts w:hint="default" w:ascii="Times New Roman" w:hAnsi="Times New Roman" w:eastAsia="宋体" w:cs="Times New Roman"/>
                <w:color w:val="auto"/>
                <w:sz w:val="24"/>
              </w:rPr>
              <w:t>。</w:t>
            </w:r>
          </w:p>
          <w:p w14:paraId="3D8A679A">
            <w:pPr>
              <w:keepNext w:val="0"/>
              <w:keepLines w:val="0"/>
              <w:suppressLineNumbers w:val="0"/>
              <w:spacing w:before="0" w:beforeAutospacing="0" w:after="0" w:afterAutospacing="0" w:line="360" w:lineRule="auto"/>
              <w:ind w:left="0" w:right="0" w:firstLine="480" w:firstLineChars="200"/>
              <w:rPr>
                <w:rFonts w:hint="default" w:ascii="Times New Roman" w:hAnsi="Times New Roman" w:eastAsia="宋体" w:cs="Times New Roman"/>
                <w:color w:val="auto"/>
                <w:sz w:val="24"/>
              </w:rPr>
            </w:pPr>
            <w:r>
              <w:rPr>
                <w:rFonts w:hint="default" w:ascii="Times New Roman" w:hAnsi="Times New Roman" w:eastAsia="宋体" w:cs="Times New Roman"/>
                <w:color w:val="auto"/>
                <w:sz w:val="24"/>
              </w:rPr>
              <w:t>4、产业规划及布局</w:t>
            </w:r>
          </w:p>
          <w:p w14:paraId="782FEDE6">
            <w:pPr>
              <w:keepNext w:val="0"/>
              <w:keepLines w:val="0"/>
              <w:suppressLineNumbers w:val="0"/>
              <w:spacing w:before="0" w:beforeAutospacing="0" w:after="0" w:afterAutospacing="0" w:line="360" w:lineRule="auto"/>
              <w:ind w:left="0" w:right="0" w:firstLine="480" w:firstLineChars="200"/>
              <w:rPr>
                <w:rFonts w:hint="default" w:ascii="Times New Roman" w:hAnsi="Times New Roman" w:eastAsia="宋体" w:cs="Times New Roman"/>
                <w:color w:val="auto"/>
                <w:sz w:val="24"/>
              </w:rPr>
            </w:pPr>
            <w:r>
              <w:rPr>
                <w:rFonts w:hint="eastAsia" w:ascii="Times New Roman" w:hAnsi="Times New Roman" w:eastAsia="宋体" w:cs="Times New Roman"/>
                <w:color w:val="auto"/>
                <w:sz w:val="24"/>
                <w:lang w:eastAsia="zh-CN"/>
              </w:rPr>
              <w:t>（</w:t>
            </w:r>
            <w:r>
              <w:rPr>
                <w:rFonts w:hint="default" w:ascii="Times New Roman" w:hAnsi="Times New Roman" w:eastAsia="宋体" w:cs="Times New Roman"/>
                <w:color w:val="auto"/>
                <w:sz w:val="24"/>
              </w:rPr>
              <w:t>1</w:t>
            </w:r>
            <w:r>
              <w:rPr>
                <w:rFonts w:hint="eastAsia" w:ascii="Times New Roman" w:hAnsi="Times New Roman" w:eastAsia="宋体" w:cs="Times New Roman"/>
                <w:color w:val="auto"/>
                <w:sz w:val="24"/>
                <w:lang w:eastAsia="zh-CN"/>
              </w:rPr>
              <w:t>）</w:t>
            </w:r>
            <w:r>
              <w:rPr>
                <w:rFonts w:hint="default" w:ascii="Times New Roman" w:hAnsi="Times New Roman" w:eastAsia="宋体" w:cs="Times New Roman"/>
                <w:color w:val="auto"/>
                <w:sz w:val="24"/>
              </w:rPr>
              <w:t>产业发展定位全力建设</w:t>
            </w:r>
            <w:r>
              <w:rPr>
                <w:rFonts w:hint="eastAsia" w:ascii="Times New Roman" w:hAnsi="Times New Roman" w:eastAsia="宋体" w:cs="Times New Roman"/>
                <w:color w:val="auto"/>
                <w:sz w:val="24"/>
                <w:lang w:eastAsia="zh-CN"/>
              </w:rPr>
              <w:t>“</w:t>
            </w:r>
            <w:r>
              <w:rPr>
                <w:rFonts w:hint="default" w:ascii="Times New Roman" w:hAnsi="Times New Roman" w:eastAsia="宋体" w:cs="Times New Roman"/>
                <w:color w:val="auto"/>
                <w:sz w:val="24"/>
              </w:rPr>
              <w:t>智造芯、专业园、梦工厂、生态谷</w:t>
            </w:r>
            <w:r>
              <w:rPr>
                <w:rFonts w:hint="eastAsia" w:ascii="Times New Roman" w:hAnsi="Times New Roman" w:eastAsia="宋体" w:cs="Times New Roman"/>
                <w:color w:val="auto"/>
                <w:sz w:val="24"/>
                <w:lang w:eastAsia="zh-CN"/>
              </w:rPr>
              <w:t>”，</w:t>
            </w:r>
            <w:r>
              <w:rPr>
                <w:rFonts w:hint="default" w:ascii="Times New Roman" w:hAnsi="Times New Roman" w:eastAsia="宋体" w:cs="Times New Roman"/>
                <w:color w:val="auto"/>
                <w:sz w:val="24"/>
              </w:rPr>
              <w:t>力争将长三角</w:t>
            </w:r>
            <w:r>
              <w:rPr>
                <w:rFonts w:hint="eastAsia" w:ascii="Times New Roman" w:hAnsi="Times New Roman" w:eastAsia="宋体" w:cs="Times New Roman"/>
                <w:color w:val="auto"/>
                <w:sz w:val="24"/>
                <w:lang w:eastAsia="zh-CN"/>
              </w:rPr>
              <w:t>（</w:t>
            </w:r>
            <w:r>
              <w:rPr>
                <w:rFonts w:hint="default" w:ascii="Times New Roman" w:hAnsi="Times New Roman" w:eastAsia="宋体" w:cs="Times New Roman"/>
                <w:color w:val="auto"/>
                <w:sz w:val="24"/>
              </w:rPr>
              <w:t>湖州</w:t>
            </w:r>
            <w:r>
              <w:rPr>
                <w:rFonts w:hint="eastAsia" w:ascii="Times New Roman" w:hAnsi="Times New Roman" w:eastAsia="宋体" w:cs="Times New Roman"/>
                <w:color w:val="auto"/>
                <w:sz w:val="24"/>
                <w:lang w:eastAsia="zh-CN"/>
              </w:rPr>
              <w:t>）</w:t>
            </w:r>
            <w:r>
              <w:rPr>
                <w:rFonts w:hint="default" w:ascii="Times New Roman" w:hAnsi="Times New Roman" w:eastAsia="宋体" w:cs="Times New Roman"/>
                <w:color w:val="auto"/>
                <w:sz w:val="24"/>
              </w:rPr>
              <w:t>产业合作区建设成为全国有地位、长三角最具特色的绿色智造示范中心，总体形成</w:t>
            </w:r>
            <w:r>
              <w:rPr>
                <w:rFonts w:hint="eastAsia" w:ascii="Times New Roman" w:hAnsi="Times New Roman" w:eastAsia="宋体" w:cs="Times New Roman"/>
                <w:color w:val="auto"/>
                <w:sz w:val="24"/>
                <w:lang w:eastAsia="zh-CN"/>
              </w:rPr>
              <w:t>“</w:t>
            </w:r>
            <w:r>
              <w:rPr>
                <w:rFonts w:hint="default" w:ascii="Times New Roman" w:hAnsi="Times New Roman" w:eastAsia="宋体" w:cs="Times New Roman"/>
                <w:color w:val="auto"/>
                <w:sz w:val="24"/>
              </w:rPr>
              <w:t>一中心三基地</w:t>
            </w:r>
            <w:r>
              <w:rPr>
                <w:rFonts w:hint="eastAsia" w:ascii="Times New Roman" w:hAnsi="Times New Roman" w:eastAsia="宋体" w:cs="Times New Roman"/>
                <w:color w:val="auto"/>
                <w:sz w:val="24"/>
                <w:lang w:eastAsia="zh-CN"/>
              </w:rPr>
              <w:t>”</w:t>
            </w:r>
            <w:r>
              <w:rPr>
                <w:rFonts w:hint="default" w:ascii="Times New Roman" w:hAnsi="Times New Roman" w:eastAsia="宋体" w:cs="Times New Roman"/>
                <w:color w:val="auto"/>
                <w:sz w:val="24"/>
              </w:rPr>
              <w:t>的功能定位。</w:t>
            </w:r>
          </w:p>
          <w:p w14:paraId="112EC1FE">
            <w:pPr>
              <w:keepNext w:val="0"/>
              <w:keepLines w:val="0"/>
              <w:suppressLineNumbers w:val="0"/>
              <w:spacing w:before="0" w:beforeAutospacing="0" w:after="0" w:afterAutospacing="0" w:line="360" w:lineRule="auto"/>
              <w:ind w:left="0" w:right="0" w:firstLine="480" w:firstLineChars="200"/>
              <w:rPr>
                <w:rFonts w:hint="default" w:ascii="Times New Roman" w:hAnsi="Times New Roman" w:eastAsia="宋体" w:cs="Times New Roman"/>
                <w:color w:val="auto"/>
                <w:sz w:val="24"/>
              </w:rPr>
            </w:pPr>
            <w:r>
              <w:rPr>
                <w:rFonts w:hint="eastAsia" w:ascii="Times New Roman" w:hAnsi="Times New Roman" w:eastAsia="宋体" w:cs="Times New Roman"/>
                <w:color w:val="auto"/>
                <w:sz w:val="24"/>
                <w:lang w:eastAsia="zh-CN"/>
              </w:rPr>
              <w:t>“</w:t>
            </w:r>
            <w:r>
              <w:rPr>
                <w:rFonts w:hint="default" w:ascii="Times New Roman" w:hAnsi="Times New Roman" w:eastAsia="宋体" w:cs="Times New Roman"/>
                <w:color w:val="auto"/>
                <w:sz w:val="24"/>
              </w:rPr>
              <w:t>智造芯</w:t>
            </w:r>
            <w:r>
              <w:rPr>
                <w:rFonts w:hint="eastAsia" w:ascii="Times New Roman" w:hAnsi="Times New Roman" w:eastAsia="宋体" w:cs="Times New Roman"/>
                <w:color w:val="auto"/>
                <w:sz w:val="24"/>
                <w:lang w:eastAsia="zh-CN"/>
              </w:rPr>
              <w:t>”</w:t>
            </w:r>
            <w:r>
              <w:rPr>
                <w:rFonts w:hint="default" w:ascii="Times New Roman" w:hAnsi="Times New Roman" w:eastAsia="宋体" w:cs="Times New Roman"/>
                <w:color w:val="auto"/>
                <w:sz w:val="24"/>
              </w:rPr>
              <w:t>——长三角绿色智造示范中心。抢抓长三角制造业向智能制造变革机遇，把握未来产业和业务模式发展趋势，以制造方式创新、企业形态重构、要素资源重组为重点，加快布局建设具有世界最高水平数字化车间、智能工厂和未来工厂，形成规模集聚效应，构建绿色制造体系和智能制造体系，示范引领长三角制造业绿色智能转型。</w:t>
            </w:r>
          </w:p>
          <w:p w14:paraId="71B0E285">
            <w:pPr>
              <w:keepNext w:val="0"/>
              <w:keepLines w:val="0"/>
              <w:suppressLineNumbers w:val="0"/>
              <w:spacing w:before="0" w:beforeAutospacing="0" w:after="0" w:afterAutospacing="0" w:line="360" w:lineRule="auto"/>
              <w:ind w:left="0" w:right="0" w:firstLine="480" w:firstLineChars="200"/>
              <w:rPr>
                <w:rFonts w:hint="default" w:ascii="Times New Roman" w:hAnsi="Times New Roman" w:eastAsia="宋体" w:cs="Times New Roman"/>
                <w:color w:val="auto"/>
                <w:sz w:val="24"/>
              </w:rPr>
            </w:pPr>
            <w:r>
              <w:rPr>
                <w:rFonts w:hint="eastAsia" w:ascii="Times New Roman" w:hAnsi="Times New Roman" w:eastAsia="宋体" w:cs="Times New Roman"/>
                <w:color w:val="auto"/>
                <w:sz w:val="24"/>
                <w:lang w:eastAsia="zh-CN"/>
              </w:rPr>
              <w:t>“</w:t>
            </w:r>
            <w:r>
              <w:rPr>
                <w:rFonts w:hint="default" w:ascii="Times New Roman" w:hAnsi="Times New Roman" w:eastAsia="宋体" w:cs="Times New Roman"/>
                <w:color w:val="auto"/>
                <w:sz w:val="24"/>
              </w:rPr>
              <w:t>专业园</w:t>
            </w:r>
            <w:r>
              <w:rPr>
                <w:rFonts w:hint="eastAsia" w:ascii="Times New Roman" w:hAnsi="Times New Roman" w:eastAsia="宋体" w:cs="Times New Roman"/>
                <w:color w:val="auto"/>
                <w:sz w:val="24"/>
                <w:lang w:eastAsia="zh-CN"/>
              </w:rPr>
              <w:t>”</w:t>
            </w:r>
            <w:r>
              <w:rPr>
                <w:rFonts w:hint="default" w:ascii="Times New Roman" w:hAnsi="Times New Roman" w:eastAsia="宋体" w:cs="Times New Roman"/>
                <w:color w:val="auto"/>
                <w:sz w:val="24"/>
              </w:rPr>
              <w:t>——高端装备产业基地。聚焦高端装备前沿领域、关键技术，以</w:t>
            </w:r>
            <w:r>
              <w:rPr>
                <w:rFonts w:hint="eastAsia" w:ascii="Times New Roman" w:hAnsi="Times New Roman" w:eastAsia="宋体" w:cs="Times New Roman"/>
                <w:color w:val="auto"/>
                <w:sz w:val="24"/>
                <w:lang w:eastAsia="zh-CN"/>
              </w:rPr>
              <w:t>“</w:t>
            </w:r>
            <w:r>
              <w:rPr>
                <w:rFonts w:hint="default" w:ascii="Times New Roman" w:hAnsi="Times New Roman" w:eastAsia="宋体" w:cs="Times New Roman"/>
                <w:color w:val="auto"/>
                <w:sz w:val="24"/>
              </w:rPr>
              <w:t>高技术、高品质、高附加值</w:t>
            </w:r>
            <w:r>
              <w:rPr>
                <w:rFonts w:hint="eastAsia" w:ascii="Times New Roman" w:hAnsi="Times New Roman" w:eastAsia="宋体" w:cs="Times New Roman"/>
                <w:color w:val="auto"/>
                <w:sz w:val="24"/>
                <w:lang w:eastAsia="zh-CN"/>
              </w:rPr>
              <w:t>”</w:t>
            </w:r>
            <w:r>
              <w:rPr>
                <w:rFonts w:hint="default" w:ascii="Times New Roman" w:hAnsi="Times New Roman" w:eastAsia="宋体" w:cs="Times New Roman"/>
                <w:color w:val="auto"/>
                <w:sz w:val="24"/>
              </w:rPr>
              <w:t>为目标，提升智能制造，培育龙头企业，延伸产业链条，强化产业协同，推动新材料与高端装备产业融合发展，打造一批具有较强影响力的企业、产品及品牌，及时切入全球新兴产业发展前沿领域，成为立足长三角、服务全国的高端装备产业集聚发展平台。</w:t>
            </w:r>
          </w:p>
          <w:p w14:paraId="3A8A3060">
            <w:pPr>
              <w:keepNext w:val="0"/>
              <w:keepLines w:val="0"/>
              <w:suppressLineNumbers w:val="0"/>
              <w:spacing w:before="0" w:beforeAutospacing="0" w:after="0" w:afterAutospacing="0" w:line="360" w:lineRule="auto"/>
              <w:ind w:left="0" w:right="0" w:firstLine="480" w:firstLineChars="200"/>
              <w:rPr>
                <w:rFonts w:hint="default" w:ascii="Times New Roman" w:hAnsi="Times New Roman" w:eastAsia="宋体" w:cs="Times New Roman"/>
                <w:color w:val="auto"/>
                <w:sz w:val="24"/>
              </w:rPr>
            </w:pPr>
            <w:r>
              <w:rPr>
                <w:rFonts w:hint="eastAsia" w:ascii="Times New Roman" w:hAnsi="Times New Roman" w:eastAsia="宋体" w:cs="Times New Roman"/>
                <w:color w:val="auto"/>
                <w:sz w:val="24"/>
                <w:lang w:eastAsia="zh-CN"/>
              </w:rPr>
              <w:t>“</w:t>
            </w:r>
            <w:r>
              <w:rPr>
                <w:rFonts w:hint="default" w:ascii="Times New Roman" w:hAnsi="Times New Roman" w:eastAsia="宋体" w:cs="Times New Roman"/>
                <w:color w:val="auto"/>
                <w:sz w:val="24"/>
              </w:rPr>
              <w:t>梦工厂</w:t>
            </w:r>
            <w:r>
              <w:rPr>
                <w:rFonts w:hint="eastAsia" w:ascii="Times New Roman" w:hAnsi="Times New Roman" w:eastAsia="宋体" w:cs="Times New Roman"/>
                <w:color w:val="auto"/>
                <w:sz w:val="24"/>
                <w:lang w:eastAsia="zh-CN"/>
              </w:rPr>
              <w:t>”</w:t>
            </w:r>
            <w:r>
              <w:rPr>
                <w:rFonts w:hint="default" w:ascii="Times New Roman" w:hAnsi="Times New Roman" w:eastAsia="宋体" w:cs="Times New Roman"/>
                <w:color w:val="auto"/>
                <w:sz w:val="24"/>
              </w:rPr>
              <w:t>——科技成果转化基地。围绕产业链布局创新链，深化政产学研用协同，开展与沪杭宁合等地高校和科研院所的战略合作，深化与长三角生态绿色一体化示范区协同联动发展，搭建协同融合发展平台，完善活力创新生态，深化一体化内涵，打造长三角产业链、创新链协作新阵地，为沪湖绿色智造廊道建设提供战略支撑，打造长三角科技成果转移转化基地。</w:t>
            </w:r>
          </w:p>
          <w:p w14:paraId="5CEA78B2">
            <w:pPr>
              <w:keepNext w:val="0"/>
              <w:keepLines w:val="0"/>
              <w:suppressLineNumbers w:val="0"/>
              <w:spacing w:before="0" w:beforeAutospacing="0" w:after="0" w:afterAutospacing="0" w:line="360" w:lineRule="auto"/>
              <w:ind w:left="0" w:right="0" w:firstLine="480" w:firstLineChars="200"/>
              <w:rPr>
                <w:rFonts w:hint="default" w:ascii="Times New Roman" w:hAnsi="Times New Roman" w:eastAsia="宋体" w:cs="Times New Roman"/>
                <w:color w:val="auto"/>
                <w:sz w:val="24"/>
              </w:rPr>
            </w:pPr>
            <w:r>
              <w:rPr>
                <w:rFonts w:hint="eastAsia" w:ascii="Times New Roman" w:hAnsi="Times New Roman" w:eastAsia="宋体" w:cs="Times New Roman"/>
                <w:color w:val="auto"/>
                <w:sz w:val="24"/>
                <w:lang w:eastAsia="zh-CN"/>
              </w:rPr>
              <w:t>“</w:t>
            </w:r>
            <w:r>
              <w:rPr>
                <w:rFonts w:hint="default" w:ascii="Times New Roman" w:hAnsi="Times New Roman" w:eastAsia="宋体" w:cs="Times New Roman"/>
                <w:color w:val="auto"/>
                <w:sz w:val="24"/>
              </w:rPr>
              <w:t>生态谷</w:t>
            </w:r>
            <w:r>
              <w:rPr>
                <w:rFonts w:hint="eastAsia" w:ascii="Times New Roman" w:hAnsi="Times New Roman" w:eastAsia="宋体" w:cs="Times New Roman"/>
                <w:color w:val="auto"/>
                <w:sz w:val="24"/>
                <w:lang w:eastAsia="zh-CN"/>
              </w:rPr>
              <w:t>”</w:t>
            </w:r>
            <w:r>
              <w:rPr>
                <w:rFonts w:hint="default" w:ascii="Times New Roman" w:hAnsi="Times New Roman" w:eastAsia="宋体" w:cs="Times New Roman"/>
                <w:color w:val="auto"/>
                <w:sz w:val="24"/>
              </w:rPr>
              <w:t>——生态价值转化试验基地。深入践行</w:t>
            </w:r>
            <w:r>
              <w:rPr>
                <w:rFonts w:hint="eastAsia" w:ascii="Times New Roman" w:hAnsi="Times New Roman" w:eastAsia="宋体" w:cs="Times New Roman"/>
                <w:color w:val="auto"/>
                <w:sz w:val="24"/>
                <w:lang w:eastAsia="zh-CN"/>
              </w:rPr>
              <w:t>“</w:t>
            </w:r>
            <w:r>
              <w:rPr>
                <w:rFonts w:hint="default" w:ascii="Times New Roman" w:hAnsi="Times New Roman" w:eastAsia="宋体" w:cs="Times New Roman"/>
                <w:color w:val="auto"/>
                <w:sz w:val="24"/>
              </w:rPr>
              <w:t>绿水青山就是金山银山</w:t>
            </w:r>
            <w:r>
              <w:rPr>
                <w:rFonts w:hint="eastAsia" w:ascii="Times New Roman" w:hAnsi="Times New Roman" w:eastAsia="宋体" w:cs="Times New Roman"/>
                <w:color w:val="auto"/>
                <w:sz w:val="24"/>
                <w:lang w:eastAsia="zh-CN"/>
              </w:rPr>
              <w:t>”</w:t>
            </w:r>
            <w:r>
              <w:rPr>
                <w:rFonts w:hint="default" w:ascii="Times New Roman" w:hAnsi="Times New Roman" w:eastAsia="宋体" w:cs="Times New Roman"/>
                <w:color w:val="auto"/>
                <w:sz w:val="24"/>
              </w:rPr>
              <w:t>理念，着力推进经济生态化、生态经济化，推动生产、消费、流通各环节的循环化、低碳化、绿色化，建立绿色循环低碳的产业体系，高水平拓宽生态产品价值实现新路径，形成与资源承载能力相适应的绿色生产生活方式，为工业领域深入践行</w:t>
            </w:r>
            <w:r>
              <w:rPr>
                <w:rFonts w:hint="eastAsia" w:ascii="Times New Roman" w:hAnsi="Times New Roman" w:eastAsia="宋体" w:cs="Times New Roman"/>
                <w:color w:val="auto"/>
                <w:sz w:val="24"/>
                <w:lang w:eastAsia="zh-CN"/>
              </w:rPr>
              <w:t>“</w:t>
            </w:r>
            <w:r>
              <w:rPr>
                <w:rFonts w:hint="default" w:ascii="Times New Roman" w:hAnsi="Times New Roman" w:eastAsia="宋体" w:cs="Times New Roman"/>
                <w:color w:val="auto"/>
                <w:sz w:val="24"/>
              </w:rPr>
              <w:t>绿水青山就是金山银山</w:t>
            </w:r>
            <w:r>
              <w:rPr>
                <w:rFonts w:hint="eastAsia" w:ascii="Times New Roman" w:hAnsi="Times New Roman" w:eastAsia="宋体" w:cs="Times New Roman"/>
                <w:color w:val="auto"/>
                <w:sz w:val="24"/>
                <w:lang w:eastAsia="zh-CN"/>
              </w:rPr>
              <w:t>”</w:t>
            </w:r>
            <w:r>
              <w:rPr>
                <w:rFonts w:hint="default" w:ascii="Times New Roman" w:hAnsi="Times New Roman" w:eastAsia="宋体" w:cs="Times New Roman"/>
                <w:color w:val="auto"/>
                <w:sz w:val="24"/>
              </w:rPr>
              <w:t>理念提供示范。</w:t>
            </w:r>
          </w:p>
          <w:p w14:paraId="7E72E06B">
            <w:pPr>
              <w:keepNext w:val="0"/>
              <w:keepLines w:val="0"/>
              <w:suppressLineNumbers w:val="0"/>
              <w:spacing w:before="0" w:beforeAutospacing="0" w:after="0" w:afterAutospacing="0" w:line="360" w:lineRule="auto"/>
              <w:ind w:left="0" w:right="0" w:firstLine="480" w:firstLineChars="200"/>
              <w:rPr>
                <w:rFonts w:hint="default" w:ascii="Times New Roman" w:hAnsi="Times New Roman" w:eastAsia="宋体" w:cs="Times New Roman"/>
                <w:color w:val="auto"/>
                <w:sz w:val="24"/>
              </w:rPr>
            </w:pPr>
            <w:r>
              <w:rPr>
                <w:rFonts w:hint="eastAsia" w:ascii="Times New Roman" w:hAnsi="Times New Roman" w:eastAsia="宋体" w:cs="Times New Roman"/>
                <w:color w:val="auto"/>
                <w:sz w:val="24"/>
                <w:lang w:eastAsia="zh-CN"/>
              </w:rPr>
              <w:t>（</w:t>
            </w:r>
            <w:r>
              <w:rPr>
                <w:rFonts w:hint="default" w:ascii="Times New Roman" w:hAnsi="Times New Roman" w:eastAsia="宋体" w:cs="Times New Roman"/>
                <w:color w:val="auto"/>
                <w:sz w:val="24"/>
              </w:rPr>
              <w:t>2</w:t>
            </w:r>
            <w:r>
              <w:rPr>
                <w:rFonts w:hint="eastAsia" w:ascii="Times New Roman" w:hAnsi="Times New Roman" w:eastAsia="宋体" w:cs="Times New Roman"/>
                <w:color w:val="auto"/>
                <w:sz w:val="24"/>
                <w:lang w:eastAsia="zh-CN"/>
              </w:rPr>
              <w:t>）</w:t>
            </w:r>
            <w:r>
              <w:rPr>
                <w:rFonts w:hint="default" w:ascii="Times New Roman" w:hAnsi="Times New Roman" w:eastAsia="宋体" w:cs="Times New Roman"/>
                <w:color w:val="auto"/>
                <w:sz w:val="24"/>
              </w:rPr>
              <w:t>产业体系</w:t>
            </w:r>
          </w:p>
          <w:p w14:paraId="3A22ABF1">
            <w:pPr>
              <w:keepNext w:val="0"/>
              <w:keepLines w:val="0"/>
              <w:suppressLineNumbers w:val="0"/>
              <w:spacing w:before="0" w:beforeAutospacing="0" w:after="0" w:afterAutospacing="0" w:line="360" w:lineRule="auto"/>
              <w:ind w:left="0" w:right="0" w:firstLine="480" w:firstLineChars="200"/>
              <w:rPr>
                <w:rFonts w:hint="default" w:ascii="Times New Roman" w:hAnsi="Times New Roman" w:eastAsia="宋体" w:cs="Times New Roman"/>
                <w:color w:val="auto"/>
                <w:sz w:val="24"/>
              </w:rPr>
            </w:pPr>
            <w:r>
              <w:rPr>
                <w:rFonts w:hint="default" w:ascii="Times New Roman" w:hAnsi="Times New Roman" w:eastAsia="宋体" w:cs="Times New Roman"/>
                <w:color w:val="auto"/>
                <w:sz w:val="24"/>
              </w:rPr>
              <w:t>重点围绕绿色制造产业，构建</w:t>
            </w:r>
            <w:r>
              <w:rPr>
                <w:rFonts w:hint="eastAsia" w:ascii="Times New Roman" w:hAnsi="Times New Roman" w:eastAsia="宋体" w:cs="Times New Roman"/>
                <w:color w:val="auto"/>
                <w:sz w:val="24"/>
                <w:lang w:eastAsia="zh-CN"/>
              </w:rPr>
              <w:t>“</w:t>
            </w:r>
            <w:r>
              <w:rPr>
                <w:rFonts w:hint="default" w:ascii="Times New Roman" w:hAnsi="Times New Roman" w:eastAsia="宋体" w:cs="Times New Roman"/>
                <w:color w:val="auto"/>
                <w:sz w:val="24"/>
              </w:rPr>
              <w:t>3+N</w:t>
            </w:r>
            <w:r>
              <w:rPr>
                <w:rFonts w:hint="eastAsia" w:ascii="Times New Roman" w:hAnsi="Times New Roman" w:eastAsia="宋体" w:cs="Times New Roman"/>
                <w:color w:val="auto"/>
                <w:sz w:val="24"/>
                <w:lang w:eastAsia="zh-CN"/>
              </w:rPr>
              <w:t>”</w:t>
            </w:r>
            <w:r>
              <w:rPr>
                <w:rFonts w:hint="default" w:ascii="Times New Roman" w:hAnsi="Times New Roman" w:eastAsia="宋体" w:cs="Times New Roman"/>
                <w:color w:val="auto"/>
                <w:sz w:val="24"/>
              </w:rPr>
              <w:t>现代产业结构。坚持绿色低碳发展理念，着眼产业分工协作和产业链重构，加快打造新能源汽车及关键零部件、仿生机器人及数控机床、绿色能源三大战略性新兴产业，着力培育现代物流、信息技术服务、商业服务等生产性服务产业，打好产业基础高级化和产业链现代化攻坚战，构建</w:t>
            </w:r>
            <w:r>
              <w:rPr>
                <w:rFonts w:hint="eastAsia" w:ascii="Times New Roman" w:hAnsi="Times New Roman" w:eastAsia="宋体" w:cs="Times New Roman"/>
                <w:color w:val="auto"/>
                <w:sz w:val="24"/>
                <w:lang w:eastAsia="zh-CN"/>
              </w:rPr>
              <w:t>“</w:t>
            </w:r>
            <w:r>
              <w:rPr>
                <w:rFonts w:hint="default" w:ascii="Times New Roman" w:hAnsi="Times New Roman" w:eastAsia="宋体" w:cs="Times New Roman"/>
                <w:color w:val="auto"/>
                <w:sz w:val="24"/>
              </w:rPr>
              <w:t>3+N</w:t>
            </w:r>
            <w:r>
              <w:rPr>
                <w:rFonts w:hint="eastAsia" w:ascii="Times New Roman" w:hAnsi="Times New Roman" w:eastAsia="宋体" w:cs="Times New Roman"/>
                <w:color w:val="auto"/>
                <w:sz w:val="24"/>
                <w:lang w:eastAsia="zh-CN"/>
              </w:rPr>
              <w:t>”</w:t>
            </w:r>
            <w:r>
              <w:rPr>
                <w:rFonts w:hint="default" w:ascii="Times New Roman" w:hAnsi="Times New Roman" w:eastAsia="宋体" w:cs="Times New Roman"/>
                <w:color w:val="auto"/>
                <w:sz w:val="24"/>
              </w:rPr>
              <w:t>现代化产业体系。</w:t>
            </w:r>
          </w:p>
          <w:p w14:paraId="312336D3">
            <w:pPr>
              <w:keepNext w:val="0"/>
              <w:keepLines w:val="0"/>
              <w:suppressLineNumbers w:val="0"/>
              <w:spacing w:before="0" w:beforeAutospacing="0" w:after="0" w:afterAutospacing="0" w:line="360" w:lineRule="auto"/>
              <w:ind w:left="0" w:right="0" w:firstLine="480" w:firstLineChars="200"/>
              <w:rPr>
                <w:rFonts w:hint="default" w:ascii="Times New Roman" w:hAnsi="Times New Roman" w:eastAsia="宋体" w:cs="Times New Roman"/>
                <w:color w:val="auto"/>
                <w:sz w:val="24"/>
              </w:rPr>
            </w:pPr>
            <w:r>
              <w:rPr>
                <w:rFonts w:hint="default" w:ascii="Times New Roman" w:hAnsi="Times New Roman" w:eastAsia="宋体" w:cs="Times New Roman"/>
                <w:color w:val="auto"/>
                <w:sz w:val="24"/>
              </w:rPr>
              <w:t>着眼其他机会产业，延伸价值链高端环节。聚焦产业发展热点，着力培育人工智能、生态创新经济等机会产业，积极抢占未来产业布局，丰富和完善制造业价值链高端环节。</w:t>
            </w:r>
          </w:p>
          <w:p w14:paraId="0298391F">
            <w:pPr>
              <w:keepNext w:val="0"/>
              <w:keepLines w:val="0"/>
              <w:suppressLineNumbers w:val="0"/>
              <w:spacing w:before="0" w:beforeAutospacing="0" w:after="0" w:afterAutospacing="0" w:line="360" w:lineRule="auto"/>
              <w:ind w:left="0" w:right="0" w:firstLine="480" w:firstLineChars="200"/>
              <w:rPr>
                <w:rFonts w:hint="default" w:ascii="Times New Roman" w:hAnsi="Times New Roman" w:eastAsia="宋体" w:cs="Times New Roman"/>
                <w:color w:val="auto"/>
                <w:sz w:val="24"/>
              </w:rPr>
            </w:pPr>
            <w:r>
              <w:rPr>
                <w:rFonts w:hint="default" w:ascii="Times New Roman" w:hAnsi="Times New Roman" w:eastAsia="宋体" w:cs="Times New Roman"/>
                <w:color w:val="auto"/>
                <w:sz w:val="24"/>
              </w:rPr>
              <w:t>推动配套服务产业，探索两业融合新模式。围绕制造业发展需求，大力发展现代物流、信息技术服务、节能环保服务、检验检测、现代供应链管理、商务服务、人力资源服务等生产性服务业，推进生产性服务业与先进制造业深度融合，引导新能源汽车、机器人等重点行业探索</w:t>
            </w:r>
            <w:r>
              <w:rPr>
                <w:rFonts w:hint="eastAsia" w:ascii="Times New Roman" w:hAnsi="Times New Roman" w:eastAsia="宋体" w:cs="Times New Roman"/>
                <w:color w:val="auto"/>
                <w:sz w:val="24"/>
                <w:lang w:eastAsia="zh-CN"/>
              </w:rPr>
              <w:t>“</w:t>
            </w:r>
            <w:r>
              <w:rPr>
                <w:rFonts w:hint="default" w:ascii="Times New Roman" w:hAnsi="Times New Roman" w:eastAsia="宋体" w:cs="Times New Roman"/>
                <w:color w:val="auto"/>
                <w:sz w:val="24"/>
              </w:rPr>
              <w:t>两业融合</w:t>
            </w:r>
            <w:r>
              <w:rPr>
                <w:rFonts w:hint="eastAsia" w:ascii="Times New Roman" w:hAnsi="Times New Roman" w:eastAsia="宋体" w:cs="Times New Roman"/>
                <w:color w:val="auto"/>
                <w:sz w:val="24"/>
                <w:lang w:eastAsia="zh-CN"/>
              </w:rPr>
              <w:t>”</w:t>
            </w:r>
            <w:r>
              <w:rPr>
                <w:rFonts w:hint="default" w:ascii="Times New Roman" w:hAnsi="Times New Roman" w:eastAsia="宋体" w:cs="Times New Roman"/>
                <w:color w:val="auto"/>
                <w:sz w:val="24"/>
              </w:rPr>
              <w:t>发展新模式。完善发展教育培训、健康医疗、旅游休闲等生活性配套服务业，着力营造高效能的服务环境和高品质的居住环境。</w:t>
            </w:r>
          </w:p>
          <w:p w14:paraId="3EBE5939">
            <w:pPr>
              <w:keepNext w:val="0"/>
              <w:keepLines w:val="0"/>
              <w:suppressLineNumbers w:val="0"/>
              <w:spacing w:before="0" w:beforeAutospacing="0" w:after="0" w:afterAutospacing="0" w:line="360" w:lineRule="auto"/>
              <w:ind w:left="0" w:right="0" w:firstLine="480" w:firstLineChars="200"/>
              <w:rPr>
                <w:rFonts w:hint="default" w:ascii="Times New Roman" w:hAnsi="Times New Roman" w:eastAsia="宋体" w:cs="Times New Roman"/>
                <w:color w:val="auto"/>
                <w:sz w:val="24"/>
              </w:rPr>
            </w:pPr>
            <w:r>
              <w:rPr>
                <w:rFonts w:hint="eastAsia" w:ascii="Times New Roman" w:hAnsi="Times New Roman" w:eastAsia="宋体" w:cs="Times New Roman"/>
                <w:color w:val="auto"/>
                <w:sz w:val="24"/>
                <w:lang w:eastAsia="zh-CN"/>
              </w:rPr>
              <w:t>（</w:t>
            </w:r>
            <w:r>
              <w:rPr>
                <w:rFonts w:hint="default" w:ascii="Times New Roman" w:hAnsi="Times New Roman" w:eastAsia="宋体" w:cs="Times New Roman"/>
                <w:color w:val="auto"/>
                <w:sz w:val="24"/>
              </w:rPr>
              <w:t>3</w:t>
            </w:r>
            <w:r>
              <w:rPr>
                <w:rFonts w:hint="eastAsia" w:ascii="Times New Roman" w:hAnsi="Times New Roman" w:eastAsia="宋体" w:cs="Times New Roman"/>
                <w:color w:val="auto"/>
                <w:sz w:val="24"/>
                <w:lang w:eastAsia="zh-CN"/>
              </w:rPr>
              <w:t>）</w:t>
            </w:r>
            <w:r>
              <w:rPr>
                <w:rFonts w:hint="default" w:ascii="Times New Roman" w:hAnsi="Times New Roman" w:eastAsia="宋体" w:cs="Times New Roman"/>
                <w:color w:val="auto"/>
                <w:sz w:val="24"/>
              </w:rPr>
              <w:t>产业结构</w:t>
            </w:r>
          </w:p>
          <w:p w14:paraId="4C8CA357">
            <w:pPr>
              <w:keepNext w:val="0"/>
              <w:keepLines w:val="0"/>
              <w:suppressLineNumbers w:val="0"/>
              <w:spacing w:before="0" w:beforeAutospacing="0" w:after="0" w:afterAutospacing="0" w:line="360" w:lineRule="auto"/>
              <w:ind w:left="0" w:right="0" w:firstLine="480" w:firstLineChars="200"/>
              <w:rPr>
                <w:rFonts w:hint="default" w:ascii="Times New Roman" w:hAnsi="Times New Roman" w:eastAsia="宋体" w:cs="Times New Roman"/>
                <w:color w:val="auto"/>
                <w:sz w:val="24"/>
              </w:rPr>
            </w:pPr>
            <w:r>
              <w:rPr>
                <w:rFonts w:hint="default" w:ascii="Times New Roman" w:hAnsi="Times New Roman" w:eastAsia="宋体" w:cs="Times New Roman"/>
                <w:color w:val="auto"/>
                <w:sz w:val="24"/>
              </w:rPr>
              <w:t>构筑</w:t>
            </w:r>
            <w:r>
              <w:rPr>
                <w:rFonts w:hint="eastAsia" w:ascii="Times New Roman" w:hAnsi="Times New Roman" w:eastAsia="宋体" w:cs="Times New Roman"/>
                <w:color w:val="auto"/>
                <w:sz w:val="24"/>
                <w:lang w:eastAsia="zh-CN"/>
              </w:rPr>
              <w:t>“</w:t>
            </w:r>
            <w:r>
              <w:rPr>
                <w:rFonts w:hint="default" w:ascii="Times New Roman" w:hAnsi="Times New Roman" w:eastAsia="宋体" w:cs="Times New Roman"/>
                <w:color w:val="auto"/>
                <w:sz w:val="24"/>
              </w:rPr>
              <w:t>两极、多区</w:t>
            </w:r>
            <w:r>
              <w:rPr>
                <w:rFonts w:hint="eastAsia" w:ascii="Times New Roman" w:hAnsi="Times New Roman" w:eastAsia="宋体" w:cs="Times New Roman"/>
                <w:color w:val="auto"/>
                <w:sz w:val="24"/>
                <w:lang w:eastAsia="zh-CN"/>
              </w:rPr>
              <w:t>”</w:t>
            </w:r>
            <w:r>
              <w:rPr>
                <w:rFonts w:hint="default" w:ascii="Times New Roman" w:hAnsi="Times New Roman" w:eastAsia="宋体" w:cs="Times New Roman"/>
                <w:color w:val="auto"/>
                <w:sz w:val="24"/>
              </w:rPr>
              <w:t>的产业结构。</w:t>
            </w:r>
          </w:p>
          <w:p w14:paraId="171EF1FF">
            <w:pPr>
              <w:keepNext w:val="0"/>
              <w:keepLines w:val="0"/>
              <w:suppressLineNumbers w:val="0"/>
              <w:spacing w:before="0" w:beforeAutospacing="0" w:after="0" w:afterAutospacing="0" w:line="360" w:lineRule="auto"/>
              <w:ind w:left="0" w:right="0" w:firstLine="480" w:firstLineChars="200"/>
              <w:rPr>
                <w:rFonts w:hint="default" w:ascii="Times New Roman" w:hAnsi="Times New Roman" w:eastAsia="宋体" w:cs="Times New Roman"/>
                <w:color w:val="auto"/>
                <w:sz w:val="24"/>
              </w:rPr>
            </w:pPr>
            <w:r>
              <w:rPr>
                <w:rFonts w:hint="default" w:ascii="Times New Roman" w:hAnsi="Times New Roman" w:eastAsia="宋体" w:cs="Times New Roman"/>
                <w:color w:val="auto"/>
                <w:sz w:val="24"/>
              </w:rPr>
              <w:t>——</w:t>
            </w:r>
            <w:r>
              <w:rPr>
                <w:rFonts w:hint="eastAsia" w:ascii="Times New Roman" w:hAnsi="Times New Roman" w:eastAsia="宋体" w:cs="Times New Roman"/>
                <w:color w:val="auto"/>
                <w:sz w:val="24"/>
                <w:lang w:eastAsia="zh-CN"/>
              </w:rPr>
              <w:t>“</w:t>
            </w:r>
            <w:r>
              <w:rPr>
                <w:rFonts w:hint="default" w:ascii="Times New Roman" w:hAnsi="Times New Roman" w:eastAsia="宋体" w:cs="Times New Roman"/>
                <w:color w:val="auto"/>
                <w:sz w:val="24"/>
              </w:rPr>
              <w:t>两极</w:t>
            </w:r>
            <w:r>
              <w:rPr>
                <w:rFonts w:hint="eastAsia" w:ascii="Times New Roman" w:hAnsi="Times New Roman" w:eastAsia="宋体" w:cs="Times New Roman"/>
                <w:color w:val="auto"/>
                <w:sz w:val="24"/>
                <w:lang w:eastAsia="zh-CN"/>
              </w:rPr>
              <w:t>”，</w:t>
            </w:r>
            <w:r>
              <w:rPr>
                <w:rFonts w:hint="default" w:ascii="Times New Roman" w:hAnsi="Times New Roman" w:eastAsia="宋体" w:cs="Times New Roman"/>
                <w:color w:val="auto"/>
                <w:sz w:val="24"/>
              </w:rPr>
              <w:t>即两大产业服务极：天子湖产业服务极。以天子湖高铁站为依托，充分发挥高铁建设带来的区域协同发展效应，以创智、生态、活力为特色，构建站、城、水一体的现代高铁未来城，大力发展商务办公、物流电商、现代商贸等枢纽经济，强化区域的创新功能、服务功能和辐射带动作用，构建完善的高铁经济产业生态圈，打造成为长三角产业合作区重要门户。泗安产业服务极。完善行政办公、教育医疗、科技服务、商业服务等综合服务功能。强化区域物流集散功能建设。按照未来社区理念，有序推进老镇区有机更新，加强城市精细化管理。超前布局5G、新能源充电桩、智慧物流等智慧化设施，推广智慧交通、智慧政务、智慧生活等新场景新应用，打造现代智慧小城市。</w:t>
            </w:r>
          </w:p>
          <w:p w14:paraId="01F20B84">
            <w:pPr>
              <w:keepNext w:val="0"/>
              <w:keepLines w:val="0"/>
              <w:suppressLineNumbers w:val="0"/>
              <w:spacing w:before="0" w:beforeAutospacing="0" w:after="0" w:afterAutospacing="0" w:line="360" w:lineRule="auto"/>
              <w:ind w:left="0" w:right="0" w:firstLine="480" w:firstLineChars="200"/>
              <w:rPr>
                <w:rFonts w:hint="default" w:ascii="Times New Roman" w:hAnsi="Times New Roman" w:eastAsia="宋体" w:cs="Times New Roman"/>
                <w:color w:val="auto"/>
                <w:sz w:val="24"/>
              </w:rPr>
            </w:pPr>
            <w:r>
              <w:rPr>
                <w:rFonts w:hint="default" w:ascii="Times New Roman" w:hAnsi="Times New Roman" w:eastAsia="宋体" w:cs="Times New Roman"/>
                <w:color w:val="auto"/>
                <w:sz w:val="24"/>
              </w:rPr>
              <w:t>——</w:t>
            </w:r>
            <w:r>
              <w:rPr>
                <w:rFonts w:hint="eastAsia" w:ascii="Times New Roman" w:hAnsi="Times New Roman" w:eastAsia="宋体" w:cs="Times New Roman"/>
                <w:color w:val="auto"/>
                <w:sz w:val="24"/>
                <w:lang w:eastAsia="zh-CN"/>
              </w:rPr>
              <w:t>“</w:t>
            </w:r>
            <w:r>
              <w:rPr>
                <w:rFonts w:hint="default" w:ascii="Times New Roman" w:hAnsi="Times New Roman" w:eastAsia="宋体" w:cs="Times New Roman"/>
                <w:color w:val="auto"/>
                <w:sz w:val="24"/>
              </w:rPr>
              <w:t>多区</w:t>
            </w:r>
            <w:r>
              <w:rPr>
                <w:rFonts w:hint="eastAsia" w:ascii="Times New Roman" w:hAnsi="Times New Roman" w:eastAsia="宋体" w:cs="Times New Roman"/>
                <w:color w:val="auto"/>
                <w:sz w:val="24"/>
                <w:lang w:eastAsia="zh-CN"/>
              </w:rPr>
              <w:t>”</w:t>
            </w:r>
            <w:r>
              <w:rPr>
                <w:rFonts w:hint="default" w:ascii="Times New Roman" w:hAnsi="Times New Roman" w:eastAsia="宋体" w:cs="Times New Roman"/>
                <w:color w:val="auto"/>
                <w:sz w:val="24"/>
              </w:rPr>
              <w:t>，即多个产业功能区：天子湖北高端装备产业功能区。位于天子湖北片，为</w:t>
            </w:r>
            <w:r>
              <w:rPr>
                <w:rFonts w:hint="eastAsia" w:ascii="Times New Roman" w:hAnsi="Times New Roman" w:eastAsia="宋体" w:cs="Times New Roman"/>
                <w:color w:val="auto"/>
                <w:sz w:val="24"/>
                <w:lang w:eastAsia="zh-CN"/>
              </w:rPr>
              <w:t>“</w:t>
            </w:r>
            <w:r>
              <w:rPr>
                <w:rFonts w:hint="default" w:ascii="Times New Roman" w:hAnsi="Times New Roman" w:eastAsia="宋体" w:cs="Times New Roman"/>
                <w:color w:val="auto"/>
                <w:sz w:val="24"/>
              </w:rPr>
              <w:t>十四五</w:t>
            </w:r>
            <w:r>
              <w:rPr>
                <w:rFonts w:hint="eastAsia" w:ascii="Times New Roman" w:hAnsi="Times New Roman" w:eastAsia="宋体" w:cs="Times New Roman"/>
                <w:color w:val="auto"/>
                <w:sz w:val="24"/>
                <w:lang w:eastAsia="zh-CN"/>
              </w:rPr>
              <w:t>”</w:t>
            </w:r>
            <w:r>
              <w:rPr>
                <w:rFonts w:hint="default" w:ascii="Times New Roman" w:hAnsi="Times New Roman" w:eastAsia="宋体" w:cs="Times New Roman"/>
                <w:color w:val="auto"/>
                <w:sz w:val="24"/>
              </w:rPr>
              <w:t>时期重点开发区域，推进低丘缓坡资源开发利用，吸引龙头企业和旗舰项目、优质项目落户，提升产业准入标准，重点布局新能源汽车及关键零部件、通航装备、轨道交通装备等领域项目。天子湖南绿色能源产业功能区。位于天子湖南片区，包括安吉县化工园区（天子湖南片区）。该功能区规划以转型升级为主，有序推进</w:t>
            </w:r>
            <w:r>
              <w:rPr>
                <w:rFonts w:hint="eastAsia" w:ascii="Times New Roman" w:hAnsi="Times New Roman" w:eastAsia="宋体" w:cs="Times New Roman"/>
                <w:color w:val="auto"/>
                <w:sz w:val="24"/>
                <w:lang w:eastAsia="zh-CN"/>
              </w:rPr>
              <w:t>“</w:t>
            </w:r>
            <w:r>
              <w:rPr>
                <w:rFonts w:hint="default" w:ascii="Times New Roman" w:hAnsi="Times New Roman" w:eastAsia="宋体" w:cs="Times New Roman"/>
                <w:color w:val="auto"/>
                <w:sz w:val="24"/>
              </w:rPr>
              <w:t>腾笼换鸟</w:t>
            </w:r>
            <w:r>
              <w:rPr>
                <w:rFonts w:hint="eastAsia" w:ascii="Times New Roman" w:hAnsi="Times New Roman" w:eastAsia="宋体" w:cs="Times New Roman"/>
                <w:color w:val="auto"/>
                <w:sz w:val="24"/>
                <w:lang w:eastAsia="zh-CN"/>
              </w:rPr>
              <w:t>”</w:t>
            </w:r>
            <w:r>
              <w:rPr>
                <w:rFonts w:hint="default" w:ascii="Times New Roman" w:hAnsi="Times New Roman" w:eastAsia="宋体" w:cs="Times New Roman"/>
                <w:color w:val="auto"/>
                <w:sz w:val="24"/>
              </w:rPr>
              <w:t>，出清盘活一批低效企业。利用剩余空间和存量空间重点布局太阳能产业、氢能等绿色能源领域的优质项目。化工园区重点发展新材料和生物医药产业，提升工艺制造水平，入园项目要具有低污染、高科技的特点，逐步形成化工产业集聚区。泗安南高端装备产业功能区。位于泗安南华山片区，为</w:t>
            </w:r>
            <w:r>
              <w:rPr>
                <w:rFonts w:hint="eastAsia" w:ascii="Times New Roman" w:hAnsi="Times New Roman" w:eastAsia="宋体" w:cs="Times New Roman"/>
                <w:color w:val="auto"/>
                <w:sz w:val="24"/>
                <w:lang w:eastAsia="zh-CN"/>
              </w:rPr>
              <w:t>“</w:t>
            </w:r>
            <w:r>
              <w:rPr>
                <w:rFonts w:hint="default" w:ascii="Times New Roman" w:hAnsi="Times New Roman" w:eastAsia="宋体" w:cs="Times New Roman"/>
                <w:color w:val="auto"/>
                <w:sz w:val="24"/>
              </w:rPr>
              <w:t>十四五</w:t>
            </w:r>
            <w:r>
              <w:rPr>
                <w:rFonts w:hint="eastAsia" w:ascii="Times New Roman" w:hAnsi="Times New Roman" w:eastAsia="宋体" w:cs="Times New Roman"/>
                <w:color w:val="auto"/>
                <w:sz w:val="24"/>
                <w:lang w:eastAsia="zh-CN"/>
              </w:rPr>
              <w:t>”</w:t>
            </w:r>
            <w:r>
              <w:rPr>
                <w:rFonts w:hint="default" w:ascii="Times New Roman" w:hAnsi="Times New Roman" w:eastAsia="宋体" w:cs="Times New Roman"/>
                <w:color w:val="auto"/>
                <w:sz w:val="24"/>
              </w:rPr>
              <w:t>重点开发区域，推进低丘缓坡资源开发利用，提升产业准入标准，重点布局节能环保装备等领域的头部企业和重大项目。泗安东高端装备产业功能区。位于泗安东片区，充分挖掘存量土地资源，加大招引力度，利用剩余空间和存量空间，重点布局仿生机器人、数控机床等领域的重大项目。生态创新功能区。位于长三角（湖州）产业合作区中部，做活集中连片、优质生态的低丘缓坡资源，提升环境品质，深层次拓展</w:t>
            </w:r>
            <w:r>
              <w:rPr>
                <w:rFonts w:hint="eastAsia" w:ascii="Times New Roman" w:hAnsi="Times New Roman" w:eastAsia="宋体" w:cs="Times New Roman"/>
                <w:color w:val="auto"/>
                <w:sz w:val="24"/>
                <w:lang w:eastAsia="zh-CN"/>
              </w:rPr>
              <w:t>“</w:t>
            </w:r>
            <w:r>
              <w:rPr>
                <w:rFonts w:hint="default" w:ascii="Times New Roman" w:hAnsi="Times New Roman" w:eastAsia="宋体" w:cs="Times New Roman"/>
                <w:color w:val="auto"/>
                <w:sz w:val="24"/>
              </w:rPr>
              <w:t>生态+</w:t>
            </w:r>
            <w:r>
              <w:rPr>
                <w:rFonts w:hint="eastAsia" w:ascii="Times New Roman" w:hAnsi="Times New Roman" w:eastAsia="宋体" w:cs="Times New Roman"/>
                <w:color w:val="auto"/>
                <w:sz w:val="24"/>
                <w:lang w:eastAsia="zh-CN"/>
              </w:rPr>
              <w:t>”</w:t>
            </w:r>
            <w:r>
              <w:rPr>
                <w:rFonts w:hint="default" w:ascii="Times New Roman" w:hAnsi="Times New Roman" w:eastAsia="宋体" w:cs="Times New Roman"/>
                <w:color w:val="auto"/>
                <w:sz w:val="24"/>
              </w:rPr>
              <w:t>功能，谋划布局一批生态创新活力空间，积极导入新产业。培育绿色低碳技术研发、科技研发服务、生态文旅、总部经济、文化创意、数字经济等高价值服务业态，培育建设绿色技术创新中心、科技资源共享服务平台等创新基地平台，打造成为活力迸发的绿色创新区。</w:t>
            </w:r>
          </w:p>
          <w:p w14:paraId="30426D32">
            <w:pPr>
              <w:keepNext w:val="0"/>
              <w:keepLines w:val="0"/>
              <w:suppressLineNumbers w:val="0"/>
              <w:spacing w:before="0" w:beforeAutospacing="0" w:after="0" w:afterAutospacing="0" w:line="360" w:lineRule="auto"/>
              <w:ind w:left="0" w:right="0" w:firstLine="480" w:firstLineChars="200"/>
              <w:rPr>
                <w:rFonts w:hint="default" w:ascii="Times New Roman" w:hAnsi="Times New Roman" w:eastAsia="宋体" w:cs="Times New Roman"/>
                <w:color w:val="auto"/>
                <w:sz w:val="24"/>
              </w:rPr>
            </w:pPr>
            <w:r>
              <w:rPr>
                <w:rFonts w:hint="default" w:ascii="Times New Roman" w:hAnsi="Times New Roman" w:eastAsia="宋体" w:cs="Times New Roman"/>
                <w:color w:val="auto"/>
                <w:sz w:val="24"/>
              </w:rPr>
              <w:t>（4）产业导向</w:t>
            </w:r>
          </w:p>
          <w:p w14:paraId="05FA7E06">
            <w:pPr>
              <w:keepNext w:val="0"/>
              <w:keepLines w:val="0"/>
              <w:suppressLineNumbers w:val="0"/>
              <w:spacing w:before="0" w:beforeAutospacing="0" w:after="0" w:afterAutospacing="0" w:line="360" w:lineRule="auto"/>
              <w:ind w:left="0" w:right="0" w:firstLine="480" w:firstLineChars="200"/>
              <w:rPr>
                <w:rFonts w:hint="default" w:ascii="Times New Roman" w:hAnsi="Times New Roman" w:eastAsia="宋体" w:cs="Times New Roman"/>
                <w:color w:val="auto"/>
                <w:sz w:val="24"/>
              </w:rPr>
            </w:pPr>
            <w:r>
              <w:rPr>
                <w:rFonts w:hint="default" w:ascii="Times New Roman" w:hAnsi="Times New Roman" w:eastAsia="宋体" w:cs="Times New Roman"/>
                <w:color w:val="auto"/>
                <w:sz w:val="24"/>
              </w:rPr>
              <w:t>新能源汽车及关键零部件。着眼电动化、智能化、网联化、共享化</w:t>
            </w:r>
            <w:r>
              <w:rPr>
                <w:rFonts w:hint="eastAsia" w:ascii="Times New Roman" w:hAnsi="Times New Roman" w:eastAsia="宋体" w:cs="Times New Roman"/>
                <w:color w:val="auto"/>
                <w:sz w:val="24"/>
                <w:lang w:eastAsia="zh-CN"/>
              </w:rPr>
              <w:t>“</w:t>
            </w:r>
            <w:r>
              <w:rPr>
                <w:rFonts w:hint="default" w:ascii="Times New Roman" w:hAnsi="Times New Roman" w:eastAsia="宋体" w:cs="Times New Roman"/>
                <w:color w:val="auto"/>
                <w:sz w:val="24"/>
              </w:rPr>
              <w:t>新四化</w:t>
            </w:r>
            <w:r>
              <w:rPr>
                <w:rFonts w:hint="eastAsia" w:ascii="Times New Roman" w:hAnsi="Times New Roman" w:eastAsia="宋体" w:cs="Times New Roman"/>
                <w:color w:val="auto"/>
                <w:sz w:val="24"/>
                <w:lang w:eastAsia="zh-CN"/>
              </w:rPr>
              <w:t>”</w:t>
            </w:r>
            <w:r>
              <w:rPr>
                <w:rFonts w:hint="default" w:ascii="Times New Roman" w:hAnsi="Times New Roman" w:eastAsia="宋体" w:cs="Times New Roman"/>
                <w:color w:val="auto"/>
                <w:sz w:val="24"/>
              </w:rPr>
              <w:t>发展趋势，立足汽车零部件产业基础，紧盯跨界巨头进军新能源汽车市场信息，精准招引一批在整车制造、核心零部件等领域带动性强的</w:t>
            </w:r>
            <w:r>
              <w:rPr>
                <w:rFonts w:hint="eastAsia" w:ascii="Times New Roman" w:hAnsi="Times New Roman" w:eastAsia="宋体" w:cs="Times New Roman"/>
                <w:color w:val="auto"/>
                <w:sz w:val="24"/>
                <w:lang w:eastAsia="zh-CN"/>
              </w:rPr>
              <w:t>“</w:t>
            </w:r>
            <w:r>
              <w:rPr>
                <w:rFonts w:hint="default" w:ascii="Times New Roman" w:hAnsi="Times New Roman" w:eastAsia="宋体" w:cs="Times New Roman"/>
                <w:color w:val="auto"/>
                <w:sz w:val="24"/>
              </w:rPr>
              <w:t>链主型</w:t>
            </w:r>
            <w:r>
              <w:rPr>
                <w:rFonts w:hint="eastAsia" w:ascii="Times New Roman" w:hAnsi="Times New Roman" w:eastAsia="宋体" w:cs="Times New Roman"/>
                <w:color w:val="auto"/>
                <w:sz w:val="24"/>
                <w:lang w:eastAsia="zh-CN"/>
              </w:rPr>
              <w:t>”</w:t>
            </w:r>
            <w:r>
              <w:rPr>
                <w:rFonts w:hint="default" w:ascii="Times New Roman" w:hAnsi="Times New Roman" w:eastAsia="宋体" w:cs="Times New Roman"/>
                <w:color w:val="auto"/>
                <w:sz w:val="24"/>
              </w:rPr>
              <w:t>项目，重点研发生产高端纯电动乘用车、纯电动商务车、纯电动物流车和纯电动专用车，加快布局动力电池、变速箱、发动机、智能驱动电机、汽车空调等关键零部件，推进传统零部件企业转型融入新能源汽车产业供应链，培育一批市场竞争力较强的关键零部件隐形冠军企业，逐步形成整车制造、零部件配套、关键技术研发于一体的新能源汽车产业链。</w:t>
            </w:r>
          </w:p>
          <w:p w14:paraId="0950A5D3">
            <w:pPr>
              <w:keepNext w:val="0"/>
              <w:keepLines w:val="0"/>
              <w:suppressLineNumbers w:val="0"/>
              <w:spacing w:before="0" w:beforeAutospacing="0" w:after="0" w:afterAutospacing="0" w:line="360" w:lineRule="auto"/>
              <w:ind w:left="0" w:right="0" w:firstLine="480" w:firstLineChars="200"/>
              <w:rPr>
                <w:rFonts w:hint="default" w:ascii="Times New Roman" w:hAnsi="Times New Roman" w:eastAsia="宋体" w:cs="Times New Roman"/>
                <w:color w:val="auto"/>
                <w:sz w:val="24"/>
              </w:rPr>
            </w:pPr>
            <w:r>
              <w:rPr>
                <w:rFonts w:hint="default" w:ascii="Times New Roman" w:hAnsi="Times New Roman" w:eastAsia="宋体" w:cs="Times New Roman"/>
                <w:color w:val="auto"/>
                <w:sz w:val="24"/>
              </w:rPr>
              <w:t>机器人。着力发展具有自主知识产权、核心竞争力、市场前景的工业机器人，重点支持工业机器人本体、高精密减速器、高性能机器人专用伺服电机和驱动器、高速高性能控制器、传感器、末端执行器等关键零部件的研发和应用，打造完整的工业机器人制造产业链。支持发展适用于高劳动强度、高洁净度工况下顶岗换人的工业机器人，支持发展应用于特殊环境下的安防、排爆、救援等特种机器人。培育重点领域机器人应用系统集成商和综合解决方案服务商。</w:t>
            </w:r>
          </w:p>
          <w:p w14:paraId="71F7FA2C">
            <w:pPr>
              <w:keepNext w:val="0"/>
              <w:keepLines w:val="0"/>
              <w:suppressLineNumbers w:val="0"/>
              <w:spacing w:before="0" w:beforeAutospacing="0" w:after="0" w:afterAutospacing="0" w:line="360" w:lineRule="auto"/>
              <w:ind w:left="0" w:right="0" w:firstLine="480" w:firstLineChars="200"/>
              <w:rPr>
                <w:rFonts w:hint="default" w:ascii="Times New Roman" w:hAnsi="Times New Roman" w:eastAsia="宋体" w:cs="Times New Roman"/>
                <w:color w:val="auto"/>
                <w:sz w:val="24"/>
              </w:rPr>
            </w:pPr>
            <w:r>
              <w:rPr>
                <w:rFonts w:hint="default" w:ascii="Times New Roman" w:hAnsi="Times New Roman" w:eastAsia="宋体" w:cs="Times New Roman"/>
                <w:color w:val="auto"/>
                <w:sz w:val="24"/>
              </w:rPr>
              <w:t>数控机床。积极引进和开发开放式数控技术、多坐标联动技术、全数字总线等先进技术，大力发展跨加工类别的数控双柱移动立式铣车床、超重型数控卧式镗车床、五轴联动的高速精密数控机床、自动化专用数控生产线等标志性机床产品。研发推广关键智能网联装备，实现智能控制、智能传感、工业级芯片与网络通信模块的集成创新，形成具备联网、计算、优化、智能测控功能的新型智能机床数控系统。</w:t>
            </w:r>
          </w:p>
          <w:p w14:paraId="7C468679">
            <w:pPr>
              <w:keepNext w:val="0"/>
              <w:keepLines w:val="0"/>
              <w:suppressLineNumbers w:val="0"/>
              <w:spacing w:before="0" w:beforeAutospacing="0" w:after="0" w:afterAutospacing="0" w:line="360" w:lineRule="auto"/>
              <w:ind w:left="0" w:right="0" w:firstLine="480" w:firstLineChars="200"/>
              <w:rPr>
                <w:rFonts w:hint="default" w:ascii="Times New Roman" w:hAnsi="Times New Roman" w:eastAsia="宋体" w:cs="Times New Roman"/>
                <w:color w:val="auto"/>
                <w:sz w:val="24"/>
              </w:rPr>
            </w:pPr>
            <w:r>
              <w:rPr>
                <w:rFonts w:hint="default" w:ascii="Times New Roman" w:hAnsi="Times New Roman" w:eastAsia="宋体" w:cs="Times New Roman"/>
                <w:color w:val="auto"/>
                <w:sz w:val="24"/>
              </w:rPr>
              <w:t>通航装备。把握天子湖通用机场和无人机创新中心建设契机，大力发展</w:t>
            </w:r>
            <w:r>
              <w:rPr>
                <w:rFonts w:hint="eastAsia" w:ascii="Times New Roman" w:hAnsi="Times New Roman" w:eastAsia="宋体" w:cs="Times New Roman"/>
                <w:color w:val="auto"/>
                <w:sz w:val="24"/>
                <w:lang w:eastAsia="zh-CN"/>
              </w:rPr>
              <w:t>“</w:t>
            </w:r>
            <w:r>
              <w:rPr>
                <w:rFonts w:hint="default" w:ascii="Times New Roman" w:hAnsi="Times New Roman" w:eastAsia="宋体" w:cs="Times New Roman"/>
                <w:color w:val="auto"/>
                <w:sz w:val="24"/>
              </w:rPr>
              <w:t>通用航空+制造</w:t>
            </w:r>
            <w:r>
              <w:rPr>
                <w:rFonts w:hint="eastAsia" w:ascii="Times New Roman" w:hAnsi="Times New Roman" w:eastAsia="宋体" w:cs="Times New Roman"/>
                <w:color w:val="auto"/>
                <w:sz w:val="24"/>
                <w:lang w:eastAsia="zh-CN"/>
              </w:rPr>
              <w:t>”</w:t>
            </w:r>
            <w:r>
              <w:rPr>
                <w:rFonts w:hint="default" w:ascii="Times New Roman" w:hAnsi="Times New Roman" w:eastAsia="宋体" w:cs="Times New Roman"/>
                <w:color w:val="auto"/>
                <w:sz w:val="24"/>
              </w:rPr>
              <w:t>产业，重点引导打造以通用航空装备零部件生产为核心，通航飞机总装、机载设备加工、通航复合材料构件生产、通信导航设备制造、机场特种设备制造等制造业及通航作业系统开发等服务协同发展的产业格局。加快发展无人机产业，着力引进无人机制造、无人机零部件生产等项目，加强智能态势感知、智能决策、智能控制等关键技术研发，培育无人机研发、设计、测试、总装集成等全产业链。积极拓展运营维修、教育培训、主题旅游等服务。</w:t>
            </w:r>
          </w:p>
          <w:p w14:paraId="0364A664">
            <w:pPr>
              <w:keepNext w:val="0"/>
              <w:keepLines w:val="0"/>
              <w:suppressLineNumbers w:val="0"/>
              <w:spacing w:before="0" w:beforeAutospacing="0" w:after="0" w:afterAutospacing="0" w:line="360" w:lineRule="auto"/>
              <w:ind w:left="0" w:right="0" w:firstLine="480" w:firstLineChars="200"/>
              <w:rPr>
                <w:rFonts w:hint="default" w:ascii="Times New Roman" w:hAnsi="Times New Roman" w:eastAsia="宋体" w:cs="Times New Roman"/>
                <w:color w:val="auto"/>
                <w:sz w:val="24"/>
              </w:rPr>
            </w:pPr>
            <w:r>
              <w:rPr>
                <w:rFonts w:hint="default" w:ascii="Times New Roman" w:hAnsi="Times New Roman" w:eastAsia="宋体" w:cs="Times New Roman"/>
                <w:color w:val="auto"/>
                <w:sz w:val="24"/>
              </w:rPr>
              <w:t>轨道交通装备。重点引导发展轨道交通车辆基础零部件、关键系统、轨道交通地面关键装备产品。基础零部件领域，重点发展转向架、车内设备等车体部件和动力装置；关键系统领域，重点发展控制系统、综合监控系统、通信信号系统、站台屏蔽门及安全门系统、自动售检票系统等，着力打造完整的轨道交通产品与服务配套体系。</w:t>
            </w:r>
          </w:p>
          <w:p w14:paraId="2FBE4FAA">
            <w:pPr>
              <w:keepNext w:val="0"/>
              <w:keepLines w:val="0"/>
              <w:suppressLineNumbers w:val="0"/>
              <w:spacing w:before="0" w:beforeAutospacing="0" w:after="0" w:afterAutospacing="0" w:line="360" w:lineRule="auto"/>
              <w:ind w:left="0" w:right="0" w:firstLine="480" w:firstLineChars="200"/>
              <w:rPr>
                <w:rFonts w:hint="default" w:ascii="Times New Roman" w:hAnsi="Times New Roman" w:eastAsia="宋体" w:cs="Times New Roman"/>
                <w:color w:val="auto"/>
                <w:sz w:val="24"/>
              </w:rPr>
            </w:pPr>
            <w:r>
              <w:rPr>
                <w:rFonts w:hint="default" w:ascii="Times New Roman" w:hAnsi="Times New Roman" w:eastAsia="宋体" w:cs="Times New Roman"/>
                <w:color w:val="auto"/>
                <w:sz w:val="24"/>
              </w:rPr>
              <w:t>节能环保装备。围绕节能环保装备智能化、成套化、服务化发展方向，重点发展水污染控制治理装备、大气污染控制治理装备、固体废弃物处理及资源综合利用设备、垃圾处理技术装备、智能环境监测及应急装备等高端环保装备；支持发展高效节能变频电机、清洁能源技术装备、余热余压利用装备、高效锅炉等节能产品和装备。加大关键共性技术攻关，着力提高节能环保装备技术水平，增强系统集成和服务能力。积极培育污水处理、节水、再生水处理相关技术咨询、工程设计和运营维护等相关服务。</w:t>
            </w:r>
          </w:p>
          <w:p w14:paraId="63F03B4B">
            <w:pPr>
              <w:keepNext w:val="0"/>
              <w:keepLines w:val="0"/>
              <w:suppressLineNumbers w:val="0"/>
              <w:spacing w:before="0" w:beforeAutospacing="0" w:after="0" w:afterAutospacing="0" w:line="360" w:lineRule="auto"/>
              <w:ind w:left="0" w:right="0" w:firstLine="480" w:firstLineChars="200"/>
              <w:rPr>
                <w:rFonts w:hint="default" w:ascii="Times New Roman" w:hAnsi="Times New Roman" w:eastAsia="宋体" w:cs="Times New Roman"/>
                <w:color w:val="auto"/>
                <w:sz w:val="24"/>
              </w:rPr>
            </w:pPr>
            <w:r>
              <w:rPr>
                <w:rFonts w:hint="default" w:ascii="Times New Roman" w:hAnsi="Times New Roman" w:eastAsia="宋体" w:cs="Times New Roman"/>
                <w:color w:val="auto"/>
                <w:sz w:val="24"/>
              </w:rPr>
              <w:t>（5）主导产业布局</w:t>
            </w:r>
          </w:p>
          <w:p w14:paraId="3C03B208">
            <w:pPr>
              <w:keepNext w:val="0"/>
              <w:keepLines w:val="0"/>
              <w:suppressLineNumbers w:val="0"/>
              <w:spacing w:before="0" w:beforeAutospacing="0" w:after="0" w:afterAutospacing="0" w:line="360" w:lineRule="auto"/>
              <w:ind w:left="0" w:right="0" w:firstLine="480" w:firstLineChars="200"/>
              <w:rPr>
                <w:rFonts w:hint="default" w:ascii="Times New Roman" w:hAnsi="Times New Roman" w:eastAsia="宋体" w:cs="Times New Roman"/>
                <w:color w:val="auto"/>
                <w:sz w:val="24"/>
              </w:rPr>
            </w:pPr>
            <w:r>
              <w:rPr>
                <w:rFonts w:hint="default" w:ascii="Times New Roman" w:hAnsi="Times New Roman" w:eastAsia="宋体" w:cs="Times New Roman"/>
                <w:color w:val="auto"/>
                <w:sz w:val="24"/>
              </w:rPr>
              <w:t>以天子湖北高端装备产业功能区和泗安南高端装备产业功能区为核心，</w:t>
            </w:r>
          </w:p>
          <w:p w14:paraId="4D84961C">
            <w:pPr>
              <w:keepNext w:val="0"/>
              <w:keepLines w:val="0"/>
              <w:suppressLineNumbers w:val="0"/>
              <w:spacing w:before="0" w:beforeAutospacing="0" w:after="0" w:afterAutospacing="0" w:line="360" w:lineRule="auto"/>
              <w:ind w:left="0" w:right="0" w:firstLine="480" w:firstLineChars="200"/>
              <w:rPr>
                <w:rFonts w:hint="default" w:ascii="Times New Roman" w:hAnsi="Times New Roman" w:eastAsia="宋体" w:cs="Times New Roman"/>
                <w:color w:val="auto"/>
                <w:sz w:val="24"/>
              </w:rPr>
            </w:pPr>
            <w:r>
              <w:rPr>
                <w:rFonts w:hint="default" w:ascii="Times New Roman" w:hAnsi="Times New Roman" w:eastAsia="宋体" w:cs="Times New Roman"/>
                <w:color w:val="auto"/>
                <w:sz w:val="24"/>
              </w:rPr>
              <w:t>建设高标准建设</w:t>
            </w:r>
            <w:r>
              <w:rPr>
                <w:rFonts w:hint="eastAsia" w:ascii="Times New Roman" w:hAnsi="Times New Roman" w:eastAsia="宋体" w:cs="Times New Roman"/>
                <w:color w:val="auto"/>
                <w:sz w:val="24"/>
                <w:lang w:eastAsia="zh-CN"/>
              </w:rPr>
              <w:t>“</w:t>
            </w:r>
            <w:r>
              <w:rPr>
                <w:rFonts w:hint="default" w:ascii="Times New Roman" w:hAnsi="Times New Roman" w:eastAsia="宋体" w:cs="Times New Roman"/>
                <w:color w:val="auto"/>
                <w:sz w:val="24"/>
              </w:rPr>
              <w:t>万亩工业大平台</w:t>
            </w:r>
            <w:r>
              <w:rPr>
                <w:rFonts w:hint="eastAsia" w:ascii="Times New Roman" w:hAnsi="Times New Roman" w:eastAsia="宋体" w:cs="Times New Roman"/>
                <w:color w:val="auto"/>
                <w:sz w:val="24"/>
                <w:lang w:eastAsia="zh-CN"/>
              </w:rPr>
              <w:t>”</w:t>
            </w:r>
            <w:r>
              <w:rPr>
                <w:rFonts w:hint="default" w:ascii="Times New Roman" w:hAnsi="Times New Roman" w:eastAsia="宋体" w:cs="Times New Roman"/>
                <w:color w:val="auto"/>
                <w:sz w:val="24"/>
              </w:rPr>
              <w:t>。主导发展新能源汽车及其关键零部件、仿生机器人及数控机床、绿色能源三大产业。坚定不移地实施</w:t>
            </w:r>
            <w:r>
              <w:rPr>
                <w:rFonts w:hint="eastAsia" w:ascii="Times New Roman" w:hAnsi="Times New Roman" w:eastAsia="宋体" w:cs="Times New Roman"/>
                <w:color w:val="auto"/>
                <w:sz w:val="24"/>
                <w:lang w:eastAsia="zh-CN"/>
              </w:rPr>
              <w:t>“</w:t>
            </w:r>
            <w:r>
              <w:rPr>
                <w:rFonts w:hint="default" w:ascii="Times New Roman" w:hAnsi="Times New Roman" w:eastAsia="宋体" w:cs="Times New Roman"/>
                <w:color w:val="auto"/>
                <w:sz w:val="24"/>
              </w:rPr>
              <w:t>产业高端化</w:t>
            </w:r>
            <w:r>
              <w:rPr>
                <w:rFonts w:hint="eastAsia" w:ascii="Times New Roman" w:hAnsi="Times New Roman" w:eastAsia="宋体" w:cs="Times New Roman"/>
                <w:color w:val="auto"/>
                <w:sz w:val="24"/>
                <w:lang w:eastAsia="zh-CN"/>
              </w:rPr>
              <w:t>”</w:t>
            </w:r>
            <w:r>
              <w:rPr>
                <w:rFonts w:hint="default" w:ascii="Times New Roman" w:hAnsi="Times New Roman" w:eastAsia="宋体" w:cs="Times New Roman"/>
                <w:color w:val="auto"/>
                <w:sz w:val="24"/>
              </w:rPr>
              <w:t>战略，以大平台大产业大项目大企业建设为抓手，着力布局投资规模大、科技含量高、带动能力强、龙头型、基地型的大项目。集聚一批未来工厂，超前布局云平台、物联网等工业信息化设施，行智能制造新业态、新技术、新模式，推动成为长三角（湖州）产业合作区产业发展的引领核、代言智能制造的示范地。</w:t>
            </w:r>
          </w:p>
          <w:p w14:paraId="54EE87F7">
            <w:pPr>
              <w:keepNext w:val="0"/>
              <w:keepLines w:val="0"/>
              <w:suppressLineNumbers w:val="0"/>
              <w:spacing w:before="0" w:beforeAutospacing="0" w:after="0" w:afterAutospacing="0" w:line="360" w:lineRule="auto"/>
              <w:ind w:left="0" w:right="0" w:firstLine="480" w:firstLineChars="200"/>
              <w:rPr>
                <w:rFonts w:hint="default" w:ascii="Times New Roman" w:hAnsi="Times New Roman" w:eastAsia="宋体" w:cs="Times New Roman"/>
                <w:color w:val="auto"/>
                <w:sz w:val="24"/>
              </w:rPr>
            </w:pPr>
            <w:r>
              <w:rPr>
                <w:rFonts w:hint="default" w:ascii="Times New Roman" w:hAnsi="Times New Roman" w:eastAsia="宋体" w:cs="Times New Roman"/>
                <w:color w:val="auto"/>
                <w:sz w:val="24"/>
              </w:rPr>
              <w:t>符合性分析：</w:t>
            </w:r>
            <w:r>
              <w:rPr>
                <w:rFonts w:hint="default" w:ascii="Times New Roman" w:hAnsi="Times New Roman" w:eastAsia="宋体" w:cs="Times New Roman"/>
                <w:color w:val="auto"/>
                <w:sz w:val="24"/>
                <w:lang w:val="en-US" w:eastAsia="zh-CN"/>
              </w:rPr>
              <w:t>本项目地块用地性质为工业用地，属于扩建项目</w:t>
            </w:r>
            <w:r>
              <w:rPr>
                <w:rFonts w:hint="default" w:ascii="Times New Roman" w:hAnsi="Times New Roman" w:eastAsia="宋体" w:cs="Times New Roman"/>
                <w:color w:val="auto"/>
                <w:sz w:val="24"/>
              </w:rPr>
              <w:t>，所在单元属于天子湖南产业功能区，本项目</w:t>
            </w:r>
            <w:r>
              <w:rPr>
                <w:rFonts w:hint="default" w:ascii="Times New Roman" w:hAnsi="Times New Roman" w:eastAsia="宋体" w:cs="Times New Roman"/>
                <w:color w:val="auto"/>
                <w:sz w:val="24"/>
                <w:lang w:val="en-US" w:eastAsia="zh-CN"/>
              </w:rPr>
              <w:t>行业类别为</w:t>
            </w:r>
            <w:r>
              <w:rPr>
                <w:rFonts w:hint="eastAsia" w:ascii="Times New Roman" w:hAnsi="Times New Roman" w:eastAsia="宋体" w:cs="Times New Roman"/>
                <w:color w:val="auto"/>
                <w:sz w:val="24"/>
                <w:lang w:eastAsia="zh-CN"/>
              </w:rPr>
              <w:t>“</w:t>
            </w:r>
            <w:r>
              <w:rPr>
                <w:rFonts w:hint="default" w:ascii="Times New Roman" w:hAnsi="Times New Roman" w:eastAsia="宋体" w:cs="Times New Roman"/>
                <w:color w:val="auto"/>
                <w:sz w:val="24"/>
                <w:lang w:val="en-US" w:eastAsia="zh-CN"/>
              </w:rPr>
              <w:t>C3670汽车零部件及配件制造、C2929塑料零件及其他塑料制品制造、</w:t>
            </w:r>
            <w:r>
              <w:rPr>
                <w:rFonts w:hint="default" w:ascii="Times New Roman" w:hAnsi="Times New Roman" w:eastAsia="宋体" w:cs="Times New Roman"/>
                <w:color w:val="auto"/>
                <w:sz w:val="24"/>
              </w:rPr>
              <w:t>C3034隔热和隔音材料制造</w:t>
            </w:r>
            <w:r>
              <w:rPr>
                <w:rFonts w:hint="eastAsia" w:ascii="Times New Roman" w:hAnsi="Times New Roman" w:eastAsia="宋体" w:cs="Times New Roman"/>
                <w:color w:val="auto"/>
                <w:sz w:val="24"/>
                <w:lang w:eastAsia="zh-CN"/>
              </w:rPr>
              <w:t>”</w:t>
            </w:r>
            <w:r>
              <w:rPr>
                <w:rFonts w:hint="default" w:ascii="Times New Roman" w:hAnsi="Times New Roman" w:eastAsia="宋体" w:cs="Times New Roman"/>
                <w:color w:val="auto"/>
                <w:sz w:val="24"/>
              </w:rPr>
              <w:t>，</w:t>
            </w:r>
            <w:r>
              <w:rPr>
                <w:rFonts w:hint="eastAsia" w:ascii="Times New Roman" w:hAnsi="Times New Roman" w:eastAsia="宋体" w:cs="Times New Roman"/>
                <w:color w:val="auto"/>
                <w:sz w:val="24"/>
                <w:lang w:val="en-US" w:eastAsia="zh-CN"/>
              </w:rPr>
              <w:t>本项目主要制造第二代动力电池高安全陶瓷化复合隔膜、纳米隔热板，</w:t>
            </w:r>
            <w:r>
              <w:rPr>
                <w:rFonts w:hint="default" w:ascii="Times New Roman" w:hAnsi="Times New Roman" w:eastAsia="宋体" w:cs="Times New Roman"/>
                <w:color w:val="auto"/>
                <w:sz w:val="24"/>
                <w:lang w:val="en-US" w:eastAsia="zh-CN"/>
              </w:rPr>
              <w:t>与区域产业发展规划不冲突</w:t>
            </w:r>
            <w:r>
              <w:rPr>
                <w:rFonts w:hint="default" w:ascii="Times New Roman" w:hAnsi="Times New Roman" w:eastAsia="宋体" w:cs="Times New Roman"/>
                <w:color w:val="auto"/>
                <w:sz w:val="24"/>
              </w:rPr>
              <w:t>；因此本项目符合《长三角（湖州）产业合作区发展总体规划（2024-2035年）》要求。</w:t>
            </w:r>
          </w:p>
          <w:p w14:paraId="4623D441">
            <w:pPr>
              <w:keepNext w:val="0"/>
              <w:keepLines w:val="0"/>
              <w:suppressLineNumbers w:val="0"/>
              <w:spacing w:before="0" w:beforeAutospacing="0" w:after="0" w:afterAutospacing="0" w:line="360" w:lineRule="auto"/>
              <w:ind w:left="0" w:right="0"/>
              <w:rPr>
                <w:rFonts w:hint="default" w:ascii="Times New Roman" w:hAnsi="Times New Roman" w:eastAsia="宋体" w:cs="Times New Roman"/>
                <w:b/>
                <w:bCs/>
                <w:color w:val="auto"/>
                <w:sz w:val="24"/>
              </w:rPr>
            </w:pPr>
            <w:r>
              <w:rPr>
                <w:rFonts w:hint="eastAsia" w:ascii="Times New Roman" w:hAnsi="Times New Roman" w:eastAsia="宋体" w:cs="Times New Roman"/>
                <w:b/>
                <w:bCs/>
                <w:color w:val="auto"/>
                <w:sz w:val="24"/>
                <w:lang w:val="en-US" w:eastAsia="zh-CN"/>
              </w:rPr>
              <w:t>1.1.2</w:t>
            </w:r>
            <w:r>
              <w:rPr>
                <w:rFonts w:hint="eastAsia" w:ascii="Times New Roman" w:hAnsi="Times New Roman" w:eastAsia="宋体" w:cs="Times New Roman"/>
                <w:b/>
                <w:bCs/>
                <w:color w:val="auto"/>
                <w:sz w:val="24"/>
              </w:rPr>
              <w:t>《长三角（湖州）产业合作区发展总体规划环境影响报告书》符合性分析</w:t>
            </w:r>
          </w:p>
          <w:p w14:paraId="67928BC1">
            <w:pPr>
              <w:keepNext w:val="0"/>
              <w:keepLines w:val="0"/>
              <w:suppressLineNumbers w:val="0"/>
              <w:spacing w:before="0" w:beforeAutospacing="0" w:after="0" w:afterAutospacing="0" w:line="360" w:lineRule="auto"/>
              <w:ind w:left="0" w:right="0" w:firstLine="480" w:firstLineChars="200"/>
              <w:rPr>
                <w:rFonts w:hint="default" w:ascii="Times New Roman" w:hAnsi="Times New Roman" w:eastAsia="宋体" w:cs="Times New Roman"/>
                <w:color w:val="auto"/>
                <w:sz w:val="24"/>
              </w:rPr>
            </w:pPr>
            <w:r>
              <w:rPr>
                <w:rFonts w:hint="eastAsia" w:ascii="Times New Roman" w:hAnsi="Times New Roman" w:eastAsia="宋体" w:cs="Times New Roman"/>
                <w:color w:val="auto"/>
                <w:sz w:val="24"/>
              </w:rPr>
              <w:t>2025年6月，长三角（湖州）产业合作区管理委员会委托浙江爱闻格环保科技有限公司编制了《长三角（湖州）产业合作区发展总体规划环境影响报告书》（以下简称规划环评），并取得了浙江省生态环境厅的环保意见，文号为浙环函〔2025〕333号，该规划环评针对区域发展制定了生态空间清单、现有问题整改措施清单、污染物排放总量管控限值清单、规划优化调整建议清单、环境准入条件清单、环境标准清单、重点减污降碳单元管控措施清单等7张规划环评结论清单。本评价针对7张规划环评结论清单相关内容进行分析评价，具体如下：</w:t>
            </w:r>
          </w:p>
          <w:p w14:paraId="1A10C802">
            <w:pPr>
              <w:keepNext w:val="0"/>
              <w:keepLines w:val="0"/>
              <w:suppressLineNumbers w:val="0"/>
              <w:spacing w:before="0" w:beforeAutospacing="0" w:after="0" w:afterAutospacing="0" w:line="360" w:lineRule="auto"/>
              <w:ind w:left="0" w:right="0" w:firstLine="480" w:firstLineChars="200"/>
              <w:rPr>
                <w:rFonts w:hint="default" w:ascii="Times New Roman" w:hAnsi="Times New Roman" w:eastAsia="宋体" w:cs="Times New Roman"/>
                <w:color w:val="auto"/>
                <w:sz w:val="24"/>
                <w:lang w:val="en-US" w:eastAsia="zh-CN"/>
              </w:rPr>
            </w:pPr>
            <w:r>
              <w:rPr>
                <w:rFonts w:hint="eastAsia" w:ascii="Times New Roman" w:hAnsi="Times New Roman" w:eastAsia="宋体" w:cs="Times New Roman"/>
                <w:color w:val="auto"/>
                <w:sz w:val="24"/>
                <w:lang w:val="en-US" w:eastAsia="zh-CN"/>
              </w:rPr>
              <w:t>（1）生态空间清单</w:t>
            </w:r>
          </w:p>
          <w:p w14:paraId="7C084DDE">
            <w:pPr>
              <w:keepNext w:val="0"/>
              <w:keepLines w:val="0"/>
              <w:suppressLineNumbers w:val="0"/>
              <w:spacing w:before="0" w:beforeAutospacing="0" w:after="0" w:afterAutospacing="0"/>
              <w:ind w:left="0" w:right="0"/>
              <w:jc w:val="center"/>
              <w:rPr>
                <w:rFonts w:hint="default" w:ascii="Times New Roman" w:hAnsi="Times New Roman" w:eastAsia="宋体" w:cs="Times New Roman"/>
                <w:b/>
                <w:bCs/>
                <w:color w:val="auto"/>
              </w:rPr>
            </w:pPr>
            <w:r>
              <w:rPr>
                <w:rFonts w:hint="eastAsia" w:ascii="Times New Roman" w:hAnsi="Times New Roman" w:eastAsia="宋体" w:cs="Times New Roman"/>
                <w:b/>
                <w:bCs/>
                <w:color w:val="auto"/>
              </w:rPr>
              <w:t>表</w:t>
            </w:r>
            <w:r>
              <w:rPr>
                <w:rFonts w:hint="default" w:ascii="Times New Roman" w:hAnsi="Times New Roman" w:eastAsia="宋体" w:cs="Times New Roman"/>
                <w:b/>
                <w:bCs/>
                <w:color w:val="auto"/>
              </w:rPr>
              <w:t>1-2</w:t>
            </w:r>
            <w:r>
              <w:rPr>
                <w:rFonts w:hint="eastAsia" w:ascii="Times New Roman" w:hAnsi="Times New Roman" w:eastAsia="宋体" w:cs="Times New Roman"/>
                <w:b/>
                <w:bCs/>
                <w:color w:val="auto"/>
              </w:rPr>
              <w:t xml:space="preserve">  </w:t>
            </w:r>
            <w:r>
              <w:rPr>
                <w:rFonts w:hint="eastAsia" w:ascii="Times New Roman" w:hAnsi="Times New Roman" w:eastAsia="宋体" w:cs="Times New Roman"/>
                <w:b/>
                <w:bCs/>
                <w:color w:val="auto"/>
                <w:lang w:val="en-US" w:eastAsia="zh-CN"/>
              </w:rPr>
              <w:t>生态空间清单符合性分析</w:t>
            </w:r>
          </w:p>
          <w:tbl>
            <w:tblPr>
              <w:tblStyle w:val="23"/>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140"/>
              <w:gridCol w:w="2835"/>
              <w:gridCol w:w="1035"/>
              <w:gridCol w:w="2241"/>
              <w:gridCol w:w="726"/>
            </w:tblGrid>
            <w:tr w14:paraId="239433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1088" w:type="dxa"/>
                  <w:vAlign w:val="center"/>
                </w:tcPr>
                <w:p w14:paraId="65A026EC">
                  <w:pPr>
                    <w:keepNext w:val="0"/>
                    <w:keepLines w:val="0"/>
                    <w:suppressLineNumbers w:val="0"/>
                    <w:spacing w:before="0" w:beforeAutospacing="0" w:after="0" w:afterAutospacing="0"/>
                    <w:ind w:left="0" w:right="0"/>
                    <w:jc w:val="center"/>
                    <w:rPr>
                      <w:rFonts w:hint="default" w:ascii="Times New Roman" w:hAnsi="Times New Roman" w:eastAsia="宋体" w:cs="Times New Roman"/>
                      <w:b/>
                      <w:bCs/>
                      <w:color w:val="auto"/>
                      <w:szCs w:val="21"/>
                    </w:rPr>
                  </w:pPr>
                  <w:r>
                    <w:rPr>
                      <w:rFonts w:hint="default" w:ascii="Times New Roman" w:hAnsi="Times New Roman" w:eastAsia="宋体" w:cs="Times New Roman"/>
                      <w:b/>
                      <w:bCs/>
                      <w:color w:val="auto"/>
                      <w:szCs w:val="21"/>
                      <w:lang w:val="en-US" w:eastAsia="zh-CN"/>
                    </w:rPr>
                    <w:t>环境管控单元名称</w:t>
                  </w:r>
                </w:p>
              </w:tc>
              <w:tc>
                <w:tcPr>
                  <w:tcW w:w="2705" w:type="dxa"/>
                  <w:vAlign w:val="center"/>
                </w:tcPr>
                <w:p w14:paraId="4C020D84">
                  <w:pPr>
                    <w:keepNext w:val="0"/>
                    <w:keepLines w:val="0"/>
                    <w:suppressLineNumbers w:val="0"/>
                    <w:spacing w:before="0" w:beforeAutospacing="0" w:after="0" w:afterAutospacing="0"/>
                    <w:ind w:left="0" w:right="0"/>
                    <w:jc w:val="center"/>
                    <w:rPr>
                      <w:rFonts w:hint="default" w:ascii="Times New Roman" w:hAnsi="Times New Roman" w:eastAsia="宋体" w:cs="Times New Roman"/>
                      <w:b/>
                      <w:bCs/>
                      <w:color w:val="auto"/>
                      <w:szCs w:val="21"/>
                    </w:rPr>
                  </w:pPr>
                  <w:r>
                    <w:rPr>
                      <w:rFonts w:hint="default" w:ascii="Times New Roman" w:hAnsi="Times New Roman" w:eastAsia="宋体" w:cs="Times New Roman"/>
                      <w:b/>
                      <w:bCs/>
                      <w:color w:val="auto"/>
                      <w:szCs w:val="21"/>
                      <w:lang w:val="en-US" w:eastAsia="zh-CN"/>
                    </w:rPr>
                    <w:t>空间布局约束</w:t>
                  </w:r>
                </w:p>
              </w:tc>
              <w:tc>
                <w:tcPr>
                  <w:tcW w:w="987" w:type="dxa"/>
                  <w:vAlign w:val="center"/>
                </w:tcPr>
                <w:p w14:paraId="05CD5C5F">
                  <w:pPr>
                    <w:keepNext w:val="0"/>
                    <w:keepLines w:val="0"/>
                    <w:suppressLineNumbers w:val="0"/>
                    <w:spacing w:before="0" w:beforeAutospacing="0" w:after="0" w:afterAutospacing="0"/>
                    <w:ind w:left="0" w:right="0"/>
                    <w:jc w:val="center"/>
                    <w:rPr>
                      <w:rFonts w:hint="default" w:ascii="Times New Roman" w:hAnsi="Times New Roman" w:eastAsia="宋体" w:cs="Times New Roman"/>
                      <w:b/>
                      <w:bCs/>
                      <w:color w:val="auto"/>
                      <w:szCs w:val="21"/>
                    </w:rPr>
                  </w:pPr>
                  <w:r>
                    <w:rPr>
                      <w:rFonts w:hint="default" w:ascii="Times New Roman" w:hAnsi="Times New Roman" w:eastAsia="宋体" w:cs="Times New Roman"/>
                      <w:b/>
                      <w:bCs/>
                      <w:color w:val="auto"/>
                      <w:szCs w:val="21"/>
                      <w:lang w:val="en-US" w:eastAsia="zh-CN"/>
                    </w:rPr>
                    <w:t>现状用地类型</w:t>
                  </w:r>
                </w:p>
              </w:tc>
              <w:tc>
                <w:tcPr>
                  <w:tcW w:w="2138" w:type="dxa"/>
                  <w:vAlign w:val="center"/>
                </w:tcPr>
                <w:p w14:paraId="325D4CB4">
                  <w:pPr>
                    <w:keepNext w:val="0"/>
                    <w:keepLines w:val="0"/>
                    <w:suppressLineNumbers w:val="0"/>
                    <w:spacing w:before="0" w:beforeAutospacing="0" w:after="0" w:afterAutospacing="0"/>
                    <w:ind w:left="0" w:right="0"/>
                    <w:jc w:val="center"/>
                    <w:rPr>
                      <w:rFonts w:hint="default" w:ascii="Times New Roman" w:hAnsi="Times New Roman" w:eastAsia="宋体" w:cs="Times New Roman"/>
                      <w:b/>
                      <w:bCs/>
                      <w:color w:val="auto"/>
                      <w:szCs w:val="21"/>
                    </w:rPr>
                  </w:pPr>
                  <w:r>
                    <w:rPr>
                      <w:rFonts w:hint="default" w:ascii="Times New Roman" w:hAnsi="Times New Roman" w:eastAsia="宋体" w:cs="Times New Roman"/>
                      <w:b/>
                      <w:bCs/>
                      <w:color w:val="auto"/>
                      <w:szCs w:val="21"/>
                      <w:lang w:val="en-US" w:eastAsia="zh-CN"/>
                    </w:rPr>
                    <w:t>本项目情况</w:t>
                  </w:r>
                </w:p>
              </w:tc>
              <w:tc>
                <w:tcPr>
                  <w:tcW w:w="693" w:type="dxa"/>
                  <w:vAlign w:val="center"/>
                </w:tcPr>
                <w:p w14:paraId="486372F8">
                  <w:pPr>
                    <w:keepNext w:val="0"/>
                    <w:keepLines w:val="0"/>
                    <w:suppressLineNumbers w:val="0"/>
                    <w:spacing w:before="0" w:beforeAutospacing="0" w:after="0" w:afterAutospacing="0"/>
                    <w:ind w:left="0" w:right="0"/>
                    <w:jc w:val="center"/>
                    <w:rPr>
                      <w:rFonts w:hint="default" w:ascii="Times New Roman" w:hAnsi="Times New Roman" w:eastAsia="宋体" w:cs="Times New Roman"/>
                      <w:b/>
                      <w:bCs/>
                      <w:color w:val="auto"/>
                      <w:szCs w:val="21"/>
                      <w:lang w:val="en-US" w:eastAsia="zh-CN"/>
                    </w:rPr>
                  </w:pPr>
                  <w:r>
                    <w:rPr>
                      <w:rFonts w:hint="eastAsia" w:ascii="Times New Roman" w:hAnsi="Times New Roman" w:eastAsia="宋体" w:cs="Times New Roman"/>
                      <w:b/>
                      <w:bCs/>
                      <w:color w:val="auto"/>
                      <w:szCs w:val="21"/>
                      <w:lang w:val="en-US" w:eastAsia="zh-CN"/>
                    </w:rPr>
                    <w:t>是否符合</w:t>
                  </w:r>
                </w:p>
              </w:tc>
            </w:tr>
            <w:tr w14:paraId="0AF5E6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1088" w:type="dxa"/>
                  <w:vAlign w:val="center"/>
                </w:tcPr>
                <w:p w14:paraId="00B22DD4">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rPr>
                    <w:t>湖州市安吉县天子湖镇产业集聚重点管控单元ZH33052320007</w:t>
                  </w:r>
                </w:p>
              </w:tc>
              <w:tc>
                <w:tcPr>
                  <w:tcW w:w="2705" w:type="dxa"/>
                  <w:vAlign w:val="center"/>
                </w:tcPr>
                <w:p w14:paraId="4BCE2CA6">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rPr>
                    <w:t>优化完善区域产业布局，合理规划布局三类工业项目，鼓励对三类工业项目进行淘汰和提升改造。加强</w:t>
                  </w:r>
                  <w:r>
                    <w:rPr>
                      <w:rFonts w:hint="eastAsia" w:ascii="Times New Roman" w:hAnsi="Times New Roman" w:eastAsia="宋体" w:cs="Times New Roman"/>
                      <w:color w:val="auto"/>
                      <w:szCs w:val="21"/>
                      <w:lang w:eastAsia="zh-CN"/>
                    </w:rPr>
                    <w:t>“</w:t>
                  </w:r>
                  <w:r>
                    <w:rPr>
                      <w:rFonts w:hint="default" w:ascii="Times New Roman" w:hAnsi="Times New Roman" w:eastAsia="宋体" w:cs="Times New Roman"/>
                      <w:color w:val="auto"/>
                      <w:szCs w:val="21"/>
                    </w:rPr>
                    <w:t>两高</w:t>
                  </w:r>
                  <w:r>
                    <w:rPr>
                      <w:rFonts w:hint="eastAsia" w:ascii="Times New Roman" w:hAnsi="Times New Roman" w:eastAsia="宋体" w:cs="Times New Roman"/>
                      <w:color w:val="auto"/>
                      <w:szCs w:val="21"/>
                      <w:lang w:eastAsia="zh-CN"/>
                    </w:rPr>
                    <w:t>”</w:t>
                  </w:r>
                  <w:r>
                    <w:rPr>
                      <w:rFonts w:hint="default" w:ascii="Times New Roman" w:hAnsi="Times New Roman" w:eastAsia="宋体" w:cs="Times New Roman"/>
                      <w:color w:val="auto"/>
                      <w:szCs w:val="21"/>
                    </w:rPr>
                    <w:t>项目源头防控。综合条件较好的重点行业率先开展节能降碳技术改造。合理规划布局居住、医疗卫生、文化教育等功能区块，与工业区块、工业企业之间设置防护绿地、生活绿地等隔离带。土壤污染重点监管单位新</w:t>
                  </w:r>
                  <w:r>
                    <w:rPr>
                      <w:rFonts w:hint="eastAsia" w:ascii="Times New Roman" w:hAnsi="Times New Roman" w:eastAsia="宋体" w:cs="Times New Roman"/>
                      <w:color w:val="auto"/>
                      <w:szCs w:val="21"/>
                      <w:lang w:eastAsia="zh-CN"/>
                    </w:rPr>
                    <w:t>（</w:t>
                  </w:r>
                  <w:r>
                    <w:rPr>
                      <w:rFonts w:hint="default" w:ascii="Times New Roman" w:hAnsi="Times New Roman" w:eastAsia="宋体" w:cs="Times New Roman"/>
                      <w:color w:val="auto"/>
                      <w:szCs w:val="21"/>
                    </w:rPr>
                    <w:t>改、扩</w:t>
                  </w:r>
                  <w:r>
                    <w:rPr>
                      <w:rFonts w:hint="eastAsia" w:ascii="Times New Roman" w:hAnsi="Times New Roman" w:eastAsia="宋体" w:cs="Times New Roman"/>
                      <w:color w:val="auto"/>
                      <w:szCs w:val="21"/>
                      <w:lang w:eastAsia="zh-CN"/>
                    </w:rPr>
                    <w:t>）</w:t>
                  </w:r>
                  <w:r>
                    <w:rPr>
                      <w:rFonts w:hint="default" w:ascii="Times New Roman" w:hAnsi="Times New Roman" w:eastAsia="宋体" w:cs="Times New Roman"/>
                      <w:color w:val="auto"/>
                      <w:szCs w:val="21"/>
                    </w:rPr>
                    <w:t>建项目用地应当符合国家或地方有关建设用地土壤风险管控标准。重点行业按照规范要求开展建设项目碳排放评价。</w:t>
                  </w:r>
                </w:p>
              </w:tc>
              <w:tc>
                <w:tcPr>
                  <w:tcW w:w="987" w:type="dxa"/>
                  <w:vAlign w:val="center"/>
                </w:tcPr>
                <w:p w14:paraId="382DD608">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rPr>
                    <w:t>工业用地、绿地、商业用地等</w:t>
                  </w:r>
                </w:p>
              </w:tc>
              <w:tc>
                <w:tcPr>
                  <w:tcW w:w="2138" w:type="dxa"/>
                  <w:vAlign w:val="center"/>
                </w:tcPr>
                <w:p w14:paraId="5178C0EE">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rPr>
                    <w:t>本项目位于浙江省湖州市安吉县天子湖镇长隆路398号</w:t>
                  </w:r>
                  <w:r>
                    <w:rPr>
                      <w:rFonts w:hint="eastAsia" w:ascii="Times New Roman" w:hAnsi="Times New Roman" w:eastAsia="宋体" w:cs="Times New Roman"/>
                      <w:color w:val="auto"/>
                      <w:szCs w:val="21"/>
                      <w:lang w:eastAsia="zh-CN"/>
                    </w:rPr>
                    <w:t>，</w:t>
                  </w:r>
                  <w:r>
                    <w:rPr>
                      <w:rFonts w:hint="eastAsia" w:ascii="Times New Roman" w:hAnsi="Times New Roman" w:eastAsia="宋体" w:cs="Times New Roman"/>
                      <w:color w:val="auto"/>
                      <w:szCs w:val="21"/>
                      <w:lang w:val="en-US" w:eastAsia="zh-CN"/>
                    </w:rPr>
                    <w:t>属于</w:t>
                  </w:r>
                  <w:r>
                    <w:rPr>
                      <w:rFonts w:hint="default" w:ascii="Times New Roman" w:hAnsi="Times New Roman" w:eastAsia="宋体" w:cs="Times New Roman"/>
                      <w:color w:val="auto"/>
                      <w:szCs w:val="21"/>
                    </w:rPr>
                    <w:t>浙江省湖州市安吉县天子湖镇工业园区</w:t>
                  </w:r>
                  <w:r>
                    <w:rPr>
                      <w:rFonts w:hint="eastAsia" w:ascii="Times New Roman" w:hAnsi="Times New Roman" w:eastAsia="宋体" w:cs="Times New Roman"/>
                      <w:color w:val="auto"/>
                      <w:szCs w:val="21"/>
                      <w:lang w:val="en-US" w:eastAsia="zh-CN"/>
                    </w:rPr>
                    <w:t>内</w:t>
                  </w:r>
                  <w:r>
                    <w:rPr>
                      <w:rFonts w:hint="default" w:ascii="Times New Roman" w:hAnsi="Times New Roman" w:eastAsia="宋体" w:cs="Times New Roman"/>
                      <w:color w:val="auto"/>
                      <w:szCs w:val="21"/>
                    </w:rPr>
                    <w:t>，</w:t>
                  </w:r>
                  <w:r>
                    <w:rPr>
                      <w:rFonts w:hint="default" w:ascii="Times New Roman" w:hAnsi="Times New Roman" w:eastAsia="宋体" w:cs="Times New Roman"/>
                      <w:color w:val="auto"/>
                      <w:szCs w:val="21"/>
                      <w:lang w:val="en-US" w:eastAsia="zh-CN"/>
                    </w:rPr>
                    <w:t>行业类别为</w:t>
                  </w:r>
                  <w:r>
                    <w:rPr>
                      <w:rFonts w:hint="eastAsia" w:ascii="Times New Roman" w:hAnsi="Times New Roman" w:eastAsia="宋体" w:cs="Times New Roman"/>
                      <w:color w:val="auto"/>
                      <w:szCs w:val="21"/>
                      <w:lang w:eastAsia="zh-CN"/>
                    </w:rPr>
                    <w:t>“</w:t>
                  </w:r>
                  <w:r>
                    <w:rPr>
                      <w:rFonts w:hint="default" w:ascii="Times New Roman" w:hAnsi="Times New Roman" w:eastAsia="宋体" w:cs="Times New Roman"/>
                      <w:color w:val="auto"/>
                      <w:szCs w:val="21"/>
                      <w:lang w:val="en-US" w:eastAsia="zh-CN"/>
                    </w:rPr>
                    <w:t>C3670汽车零部件及配件制造、C2929塑料零件及其他塑料制品制造、</w:t>
                  </w:r>
                  <w:r>
                    <w:rPr>
                      <w:rFonts w:hint="default" w:ascii="Times New Roman" w:hAnsi="Times New Roman" w:eastAsia="宋体" w:cs="Times New Roman"/>
                      <w:color w:val="auto"/>
                      <w:szCs w:val="21"/>
                    </w:rPr>
                    <w:t>C3034隔热和隔音材料制造</w:t>
                  </w:r>
                  <w:r>
                    <w:rPr>
                      <w:rFonts w:hint="eastAsia" w:ascii="Times New Roman" w:hAnsi="Times New Roman" w:eastAsia="宋体" w:cs="Times New Roman"/>
                      <w:color w:val="auto"/>
                      <w:szCs w:val="21"/>
                      <w:lang w:eastAsia="zh-CN"/>
                    </w:rPr>
                    <w:t>”，</w:t>
                  </w:r>
                  <w:r>
                    <w:rPr>
                      <w:rFonts w:hint="default" w:ascii="Times New Roman" w:hAnsi="Times New Roman" w:eastAsia="宋体" w:cs="Times New Roman"/>
                      <w:color w:val="auto"/>
                      <w:szCs w:val="21"/>
                    </w:rPr>
                    <w:t>属二类工业项目，不属于</w:t>
                  </w:r>
                  <w:r>
                    <w:rPr>
                      <w:rFonts w:hint="eastAsia" w:ascii="Times New Roman" w:hAnsi="Times New Roman" w:eastAsia="宋体" w:cs="Times New Roman"/>
                      <w:color w:val="auto"/>
                      <w:szCs w:val="21"/>
                      <w:lang w:eastAsia="zh-CN"/>
                    </w:rPr>
                    <w:t>“</w:t>
                  </w:r>
                  <w:r>
                    <w:rPr>
                      <w:rFonts w:hint="default" w:ascii="Times New Roman" w:hAnsi="Times New Roman" w:eastAsia="宋体" w:cs="Times New Roman"/>
                      <w:color w:val="auto"/>
                      <w:szCs w:val="21"/>
                    </w:rPr>
                    <w:t>两高</w:t>
                  </w:r>
                  <w:r>
                    <w:rPr>
                      <w:rFonts w:hint="eastAsia" w:ascii="Times New Roman" w:hAnsi="Times New Roman" w:eastAsia="宋体" w:cs="Times New Roman"/>
                      <w:color w:val="auto"/>
                      <w:szCs w:val="21"/>
                      <w:lang w:eastAsia="zh-CN"/>
                    </w:rPr>
                    <w:t>”</w:t>
                  </w:r>
                  <w:r>
                    <w:rPr>
                      <w:rFonts w:hint="default" w:ascii="Times New Roman" w:hAnsi="Times New Roman" w:eastAsia="宋体" w:cs="Times New Roman"/>
                      <w:color w:val="auto"/>
                      <w:szCs w:val="21"/>
                    </w:rPr>
                    <w:t>项目，不属于重点行业。本项目所在地用地性质为工业用地，与周边敏感点较远且有道路及绿化带隔离。企业不属于土壤污染重点监管单位。</w:t>
                  </w:r>
                </w:p>
              </w:tc>
              <w:tc>
                <w:tcPr>
                  <w:tcW w:w="693" w:type="dxa"/>
                  <w:vAlign w:val="center"/>
                </w:tcPr>
                <w:p w14:paraId="363D9C86">
                  <w:pPr>
                    <w:keepNext w:val="0"/>
                    <w:keepLines w:val="0"/>
                    <w:suppressLineNumbers w:val="0"/>
                    <w:spacing w:before="0" w:beforeAutospacing="0" w:after="0" w:afterAutospacing="0"/>
                    <w:ind w:left="0" w:right="0"/>
                    <w:jc w:val="center"/>
                    <w:rPr>
                      <w:rFonts w:hint="eastAsia" w:ascii="Times New Roman" w:hAnsi="Times New Roman" w:eastAsia="宋体" w:cs="Times New Roman"/>
                      <w:color w:val="auto"/>
                      <w:szCs w:val="21"/>
                      <w:lang w:val="en-US" w:eastAsia="zh-CN"/>
                    </w:rPr>
                  </w:pPr>
                  <w:r>
                    <w:rPr>
                      <w:rFonts w:hint="eastAsia" w:ascii="Times New Roman" w:hAnsi="Times New Roman" w:eastAsia="宋体" w:cs="Times New Roman"/>
                      <w:color w:val="auto"/>
                      <w:szCs w:val="21"/>
                      <w:lang w:val="en-US" w:eastAsia="zh-CN"/>
                    </w:rPr>
                    <w:t>符合</w:t>
                  </w:r>
                </w:p>
              </w:tc>
            </w:tr>
          </w:tbl>
          <w:p w14:paraId="00EA4799">
            <w:pPr>
              <w:keepNext w:val="0"/>
              <w:keepLines w:val="0"/>
              <w:suppressLineNumbers w:val="0"/>
              <w:spacing w:before="0" w:beforeAutospacing="0" w:after="0" w:afterAutospacing="0" w:line="360" w:lineRule="auto"/>
              <w:ind w:left="0" w:right="0" w:firstLine="480" w:firstLineChars="200"/>
              <w:rPr>
                <w:rFonts w:hint="eastAsia" w:ascii="Times New Roman" w:hAnsi="Times New Roman" w:eastAsia="宋体" w:cs="Times New Roman"/>
                <w:color w:val="auto"/>
                <w:sz w:val="24"/>
              </w:rPr>
            </w:pPr>
            <w:r>
              <w:rPr>
                <w:rFonts w:hint="eastAsia" w:ascii="Times New Roman" w:hAnsi="Times New Roman" w:eastAsia="宋体" w:cs="Times New Roman"/>
                <w:color w:val="auto"/>
                <w:sz w:val="24"/>
                <w:lang w:val="en-US" w:eastAsia="zh-CN"/>
              </w:rPr>
              <w:t>由上表分析可知，本项目符合生态空间管制要求。</w:t>
            </w:r>
          </w:p>
          <w:p w14:paraId="5C4E1FF2">
            <w:pPr>
              <w:keepNext w:val="0"/>
              <w:keepLines w:val="0"/>
              <w:suppressLineNumbers w:val="0"/>
              <w:spacing w:before="0" w:beforeAutospacing="0" w:after="0" w:afterAutospacing="0" w:line="360" w:lineRule="auto"/>
              <w:ind w:left="0" w:right="0" w:firstLine="480" w:firstLineChars="200"/>
              <w:rPr>
                <w:rFonts w:hint="eastAsia" w:ascii="Times New Roman" w:hAnsi="Times New Roman" w:eastAsia="宋体" w:cs="Times New Roman"/>
                <w:color w:val="auto"/>
                <w:sz w:val="24"/>
              </w:rPr>
            </w:pPr>
            <w:r>
              <w:rPr>
                <w:rFonts w:hint="eastAsia" w:ascii="Times New Roman" w:hAnsi="Times New Roman" w:eastAsia="宋体" w:cs="Times New Roman"/>
                <w:color w:val="auto"/>
                <w:sz w:val="24"/>
                <w:lang w:val="en-US" w:eastAsia="zh-CN"/>
              </w:rPr>
              <w:t>（2）现有问题整改措施清单</w:t>
            </w:r>
          </w:p>
          <w:p w14:paraId="28FD41A0">
            <w:pPr>
              <w:keepNext w:val="0"/>
              <w:keepLines w:val="0"/>
              <w:suppressLineNumbers w:val="0"/>
              <w:spacing w:before="0" w:beforeAutospacing="0" w:after="0" w:afterAutospacing="0" w:line="360" w:lineRule="auto"/>
              <w:ind w:left="0" w:right="0" w:firstLine="480" w:firstLineChars="200"/>
              <w:rPr>
                <w:rFonts w:hint="eastAsia" w:ascii="Times New Roman" w:hAnsi="Times New Roman" w:eastAsia="宋体" w:cs="Times New Roman"/>
                <w:color w:val="auto"/>
                <w:sz w:val="24"/>
              </w:rPr>
            </w:pPr>
            <w:r>
              <w:rPr>
                <w:rFonts w:hint="eastAsia" w:ascii="Times New Roman" w:hAnsi="Times New Roman" w:eastAsia="宋体" w:cs="Times New Roman"/>
                <w:color w:val="auto"/>
                <w:sz w:val="24"/>
                <w:lang w:val="en-US" w:eastAsia="zh-CN"/>
              </w:rPr>
              <w:t>项目与规划环评中现有问题整改措施清单符合性分析如下。</w:t>
            </w:r>
          </w:p>
          <w:p w14:paraId="5DD8763A">
            <w:pPr>
              <w:keepNext w:val="0"/>
              <w:keepLines w:val="0"/>
              <w:suppressLineNumbers w:val="0"/>
              <w:spacing w:before="0" w:beforeAutospacing="0" w:after="0" w:afterAutospacing="0" w:line="240" w:lineRule="auto"/>
              <w:ind w:left="0" w:right="0"/>
              <w:jc w:val="center"/>
              <w:rPr>
                <w:rFonts w:hint="eastAsia" w:ascii="Times New Roman" w:hAnsi="Times New Roman" w:eastAsia="宋体" w:cs="Times New Roman"/>
                <w:color w:val="auto"/>
                <w:sz w:val="24"/>
              </w:rPr>
            </w:pPr>
            <w:r>
              <w:rPr>
                <w:rFonts w:hint="eastAsia" w:ascii="Times New Roman" w:hAnsi="Times New Roman" w:eastAsia="宋体" w:cs="Times New Roman"/>
                <w:b/>
                <w:bCs/>
                <w:color w:val="auto"/>
              </w:rPr>
              <w:t>表</w:t>
            </w:r>
            <w:r>
              <w:rPr>
                <w:rFonts w:hint="default" w:ascii="Times New Roman" w:hAnsi="Times New Roman" w:eastAsia="宋体" w:cs="Times New Roman"/>
                <w:b/>
                <w:bCs/>
                <w:color w:val="auto"/>
              </w:rPr>
              <w:t>1-</w:t>
            </w:r>
            <w:r>
              <w:rPr>
                <w:rFonts w:hint="eastAsia" w:ascii="Times New Roman" w:hAnsi="Times New Roman" w:eastAsia="宋体" w:cs="Times New Roman"/>
                <w:b/>
                <w:bCs/>
                <w:color w:val="auto"/>
                <w:lang w:val="en-US" w:eastAsia="zh-CN"/>
              </w:rPr>
              <w:t>3</w:t>
            </w:r>
            <w:r>
              <w:rPr>
                <w:rFonts w:hint="eastAsia" w:ascii="Times New Roman" w:hAnsi="Times New Roman" w:eastAsia="宋体" w:cs="Times New Roman"/>
                <w:b/>
                <w:bCs/>
                <w:color w:val="auto"/>
              </w:rPr>
              <w:t xml:space="preserve">  </w:t>
            </w:r>
            <w:r>
              <w:rPr>
                <w:rFonts w:hint="eastAsia" w:ascii="Times New Roman" w:hAnsi="Times New Roman" w:eastAsia="宋体" w:cs="Times New Roman"/>
                <w:b/>
                <w:bCs/>
                <w:color w:val="auto"/>
                <w:lang w:val="en-US" w:eastAsia="zh-CN"/>
              </w:rPr>
              <w:t>现有问题整改措施清单符合性分析</w:t>
            </w:r>
          </w:p>
          <w:tbl>
            <w:tblPr>
              <w:tblStyle w:val="23"/>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02"/>
              <w:gridCol w:w="1677"/>
              <w:gridCol w:w="1733"/>
              <w:gridCol w:w="1922"/>
              <w:gridCol w:w="1320"/>
              <w:gridCol w:w="724"/>
            </w:tblGrid>
            <w:tr w14:paraId="02B0C9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74" w:type="dxa"/>
                  <w:vAlign w:val="center"/>
                </w:tcPr>
                <w:p w14:paraId="0F03C51F">
                  <w:pPr>
                    <w:pStyle w:val="40"/>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firstLine="0"/>
                    <w:jc w:val="center"/>
                    <w:textAlignment w:val="auto"/>
                    <w:rPr>
                      <w:rFonts w:hint="eastAsia" w:ascii="Times New Roman" w:hAnsi="Times New Roman" w:eastAsia="宋体" w:cs="Times New Roman"/>
                      <w:b/>
                      <w:bCs/>
                      <w:color w:val="auto"/>
                      <w:sz w:val="21"/>
                      <w:szCs w:val="21"/>
                    </w:rPr>
                  </w:pPr>
                  <w:r>
                    <w:rPr>
                      <w:rFonts w:hint="default"/>
                      <w:b/>
                      <w:bCs/>
                      <w:color w:val="auto"/>
                      <w:spacing w:val="4"/>
                      <w:sz w:val="21"/>
                      <w:szCs w:val="21"/>
                    </w:rPr>
                    <w:t>类别</w:t>
                  </w:r>
                </w:p>
              </w:tc>
              <w:tc>
                <w:tcPr>
                  <w:tcW w:w="1600" w:type="dxa"/>
                  <w:vAlign w:val="center"/>
                </w:tcPr>
                <w:p w14:paraId="33985226">
                  <w:pPr>
                    <w:pStyle w:val="40"/>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rPr>
                      <w:rFonts w:hint="eastAsia" w:ascii="Times New Roman" w:hAnsi="Times New Roman" w:eastAsia="宋体" w:cs="Times New Roman"/>
                      <w:b/>
                      <w:bCs/>
                      <w:color w:val="auto"/>
                      <w:sz w:val="21"/>
                      <w:szCs w:val="21"/>
                    </w:rPr>
                  </w:pPr>
                  <w:r>
                    <w:rPr>
                      <w:rFonts w:hint="default"/>
                      <w:b/>
                      <w:bCs/>
                      <w:color w:val="auto"/>
                      <w:spacing w:val="7"/>
                      <w:sz w:val="21"/>
                      <w:szCs w:val="21"/>
                    </w:rPr>
                    <w:t>现状问题和制</w:t>
                  </w:r>
                  <w:r>
                    <w:rPr>
                      <w:rFonts w:hint="default"/>
                      <w:b/>
                      <w:bCs/>
                      <w:color w:val="auto"/>
                      <w:spacing w:val="5"/>
                      <w:sz w:val="21"/>
                      <w:szCs w:val="21"/>
                    </w:rPr>
                    <w:t>约因素</w:t>
                  </w:r>
                </w:p>
              </w:tc>
              <w:tc>
                <w:tcPr>
                  <w:tcW w:w="1653" w:type="dxa"/>
                  <w:vAlign w:val="center"/>
                </w:tcPr>
                <w:p w14:paraId="6DCD9BCE">
                  <w:pPr>
                    <w:pStyle w:val="40"/>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firstLine="0"/>
                    <w:jc w:val="center"/>
                    <w:textAlignment w:val="auto"/>
                    <w:rPr>
                      <w:rFonts w:hint="eastAsia" w:ascii="Times New Roman" w:hAnsi="Times New Roman" w:eastAsia="宋体" w:cs="Times New Roman"/>
                      <w:b/>
                      <w:bCs/>
                      <w:color w:val="auto"/>
                      <w:sz w:val="21"/>
                      <w:szCs w:val="21"/>
                    </w:rPr>
                  </w:pPr>
                  <w:r>
                    <w:rPr>
                      <w:rFonts w:hint="default"/>
                      <w:b/>
                      <w:bCs/>
                      <w:color w:val="auto"/>
                      <w:spacing w:val="5"/>
                      <w:sz w:val="21"/>
                      <w:szCs w:val="21"/>
                    </w:rPr>
                    <w:t>意见建议</w:t>
                  </w:r>
                </w:p>
              </w:tc>
              <w:tc>
                <w:tcPr>
                  <w:tcW w:w="1834" w:type="dxa"/>
                  <w:vAlign w:val="center"/>
                </w:tcPr>
                <w:p w14:paraId="7C004F83">
                  <w:pPr>
                    <w:pStyle w:val="40"/>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firstLine="0"/>
                    <w:jc w:val="center"/>
                    <w:textAlignment w:val="auto"/>
                    <w:rPr>
                      <w:rFonts w:hint="eastAsia" w:ascii="Times New Roman" w:hAnsi="Times New Roman" w:eastAsia="宋体" w:cs="Times New Roman"/>
                      <w:b/>
                      <w:bCs/>
                      <w:color w:val="auto"/>
                      <w:sz w:val="21"/>
                      <w:szCs w:val="21"/>
                    </w:rPr>
                  </w:pPr>
                  <w:r>
                    <w:rPr>
                      <w:rFonts w:hint="default"/>
                      <w:b/>
                      <w:bCs/>
                      <w:color w:val="auto"/>
                      <w:spacing w:val="6"/>
                      <w:sz w:val="21"/>
                      <w:szCs w:val="21"/>
                    </w:rPr>
                    <w:t>工作计划</w:t>
                  </w:r>
                </w:p>
              </w:tc>
              <w:tc>
                <w:tcPr>
                  <w:tcW w:w="1259" w:type="dxa"/>
                  <w:vAlign w:val="center"/>
                </w:tcPr>
                <w:p w14:paraId="49B14507">
                  <w:pPr>
                    <w:pStyle w:val="40"/>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firstLine="0"/>
                    <w:jc w:val="center"/>
                    <w:textAlignment w:val="auto"/>
                    <w:rPr>
                      <w:rFonts w:hint="eastAsia" w:ascii="Times New Roman" w:hAnsi="Times New Roman" w:eastAsia="宋体" w:cs="Times New Roman"/>
                      <w:b/>
                      <w:bCs/>
                      <w:color w:val="auto"/>
                      <w:sz w:val="21"/>
                      <w:szCs w:val="21"/>
                    </w:rPr>
                  </w:pPr>
                  <w:r>
                    <w:rPr>
                      <w:rFonts w:hint="default"/>
                      <w:b/>
                      <w:bCs/>
                      <w:color w:val="auto"/>
                      <w:spacing w:val="7"/>
                      <w:sz w:val="21"/>
                      <w:szCs w:val="21"/>
                    </w:rPr>
                    <w:t>本项目情况</w:t>
                  </w:r>
                </w:p>
              </w:tc>
              <w:tc>
                <w:tcPr>
                  <w:tcW w:w="691" w:type="dxa"/>
                  <w:vAlign w:val="center"/>
                </w:tcPr>
                <w:p w14:paraId="406585EB">
                  <w:pPr>
                    <w:pStyle w:val="40"/>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宋体" w:cs="Times New Roman"/>
                      <w:b/>
                      <w:bCs/>
                      <w:color w:val="auto"/>
                      <w:sz w:val="21"/>
                      <w:szCs w:val="21"/>
                      <w:lang w:val="en-US" w:eastAsia="zh-CN"/>
                    </w:rPr>
                  </w:pPr>
                  <w:r>
                    <w:rPr>
                      <w:rFonts w:hint="eastAsia" w:ascii="Times New Roman" w:hAnsi="Times New Roman" w:eastAsia="宋体" w:cs="Times New Roman"/>
                      <w:b/>
                      <w:bCs/>
                      <w:color w:val="auto"/>
                      <w:sz w:val="21"/>
                      <w:szCs w:val="21"/>
                      <w:lang w:val="en-US" w:eastAsia="zh-CN"/>
                    </w:rPr>
                    <w:t>是否符合</w:t>
                  </w:r>
                </w:p>
              </w:tc>
            </w:tr>
            <w:tr w14:paraId="03AC5F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74" w:type="dxa"/>
                  <w:vAlign w:val="center"/>
                </w:tcPr>
                <w:p w14:paraId="42C8DE0B">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 w:val="21"/>
                      <w:szCs w:val="21"/>
                      <w:lang w:val="en-US" w:eastAsia="zh-CN"/>
                    </w:rPr>
                  </w:pPr>
                  <w:r>
                    <w:rPr>
                      <w:rFonts w:hint="eastAsia" w:ascii="Times New Roman" w:hAnsi="Times New Roman" w:eastAsia="宋体" w:cs="Times New Roman"/>
                      <w:color w:val="auto"/>
                      <w:sz w:val="21"/>
                      <w:szCs w:val="21"/>
                      <w:lang w:val="en-US" w:eastAsia="zh-CN"/>
                    </w:rPr>
                    <w:t>空间布局</w:t>
                  </w:r>
                </w:p>
              </w:tc>
              <w:tc>
                <w:tcPr>
                  <w:tcW w:w="1600" w:type="dxa"/>
                  <w:vAlign w:val="center"/>
                </w:tcPr>
                <w:p w14:paraId="61BCB681">
                  <w:pPr>
                    <w:keepNext w:val="0"/>
                    <w:keepLines w:val="0"/>
                    <w:suppressLineNumbers w:val="0"/>
                    <w:spacing w:before="0" w:beforeAutospacing="0" w:after="0" w:afterAutospacing="0"/>
                    <w:ind w:left="0" w:right="0"/>
                    <w:jc w:val="center"/>
                    <w:rPr>
                      <w:rFonts w:hint="eastAsia" w:ascii="Times New Roman" w:hAnsi="Times New Roman" w:eastAsia="宋体" w:cs="Times New Roman"/>
                      <w:color w:val="auto"/>
                      <w:sz w:val="21"/>
                      <w:szCs w:val="21"/>
                    </w:rPr>
                  </w:pPr>
                  <w:r>
                    <w:rPr>
                      <w:rFonts w:hint="eastAsia" w:ascii="Times New Roman" w:hAnsi="Times New Roman" w:eastAsia="宋体" w:cs="Times New Roman"/>
                      <w:color w:val="auto"/>
                      <w:sz w:val="21"/>
                      <w:szCs w:val="21"/>
                      <w:lang w:val="en-US" w:eastAsia="zh-CN"/>
                    </w:rPr>
                    <w:t>规划区现状产业构成与规划主导产业方向存在显著出入，产业类型多元且分散，尚未形成明确的主导产业。部分企业位于城镇开发边界外详见3.5.2</w:t>
                  </w:r>
                </w:p>
              </w:tc>
              <w:tc>
                <w:tcPr>
                  <w:tcW w:w="1653" w:type="dxa"/>
                  <w:vAlign w:val="center"/>
                </w:tcPr>
                <w:p w14:paraId="7492DECD">
                  <w:pPr>
                    <w:keepNext w:val="0"/>
                    <w:keepLines w:val="0"/>
                    <w:suppressLineNumbers w:val="0"/>
                    <w:spacing w:before="0" w:beforeAutospacing="0" w:after="0" w:afterAutospacing="0"/>
                    <w:ind w:left="0" w:right="0"/>
                    <w:jc w:val="center"/>
                    <w:rPr>
                      <w:rFonts w:hint="eastAsia" w:ascii="Times New Roman" w:hAnsi="Times New Roman" w:eastAsia="宋体" w:cs="Times New Roman"/>
                      <w:color w:val="auto"/>
                      <w:sz w:val="21"/>
                      <w:szCs w:val="21"/>
                    </w:rPr>
                  </w:pPr>
                  <w:r>
                    <w:rPr>
                      <w:rFonts w:hint="eastAsia" w:ascii="Times New Roman" w:hAnsi="Times New Roman" w:eastAsia="宋体" w:cs="Times New Roman"/>
                      <w:color w:val="auto"/>
                      <w:sz w:val="21"/>
                      <w:szCs w:val="21"/>
                      <w:lang w:val="en-US" w:eastAsia="zh-CN"/>
                    </w:rPr>
                    <w:t>结合本次规划编制，优化区块产业发展定位，鼓励产业园内不符合产业定位的企业进行搬迁，腾出土地鼓励安排符合规划定位的项目入园。对于不在城镇开发边界内的企业，在符合环保要求的前提下，允许其保留现状并进行厂内改建、技术升级，同时禁止在现有厂区外新建、扩建，后续将结合规划逐步将企业划入城镇开发边界内。</w:t>
                  </w:r>
                </w:p>
              </w:tc>
              <w:tc>
                <w:tcPr>
                  <w:tcW w:w="1834" w:type="dxa"/>
                  <w:vAlign w:val="center"/>
                </w:tcPr>
                <w:p w14:paraId="62E77333">
                  <w:pPr>
                    <w:keepNext w:val="0"/>
                    <w:keepLines w:val="0"/>
                    <w:suppressLineNumbers w:val="0"/>
                    <w:spacing w:before="0" w:beforeAutospacing="0" w:after="0" w:afterAutospacing="0"/>
                    <w:ind w:left="0" w:right="0"/>
                    <w:jc w:val="center"/>
                    <w:rPr>
                      <w:rFonts w:hint="eastAsia" w:ascii="Times New Roman" w:hAnsi="Times New Roman" w:eastAsia="宋体" w:cs="Times New Roman"/>
                      <w:color w:val="auto"/>
                      <w:sz w:val="21"/>
                      <w:szCs w:val="21"/>
                    </w:rPr>
                  </w:pPr>
                  <w:r>
                    <w:rPr>
                      <w:rFonts w:hint="eastAsia" w:ascii="Times New Roman" w:hAnsi="Times New Roman" w:eastAsia="宋体" w:cs="Times New Roman"/>
                      <w:color w:val="auto"/>
                      <w:sz w:val="21"/>
                      <w:szCs w:val="21"/>
                      <w:lang w:val="en-US" w:eastAsia="zh-CN"/>
                    </w:rPr>
                    <w:t>大力扶持新能源汽车及关键零部件、仿生机器人及数控机床等主导产业企业，逐步提升改造传统行业企业，淘汰“三无企业”。对于不在城镇开发边界内的企业，在符合环保要求的前提下，允许其保留现状并进行厂内改建、技术升级，同时禁止在现有厂区外新建、扩建，后续将结合规划逐步将企业划入城镇开发边界内。</w:t>
                  </w:r>
                </w:p>
              </w:tc>
              <w:tc>
                <w:tcPr>
                  <w:tcW w:w="1259" w:type="dxa"/>
                  <w:vAlign w:val="center"/>
                </w:tcPr>
                <w:p w14:paraId="06860B91">
                  <w:pPr>
                    <w:keepNext w:val="0"/>
                    <w:keepLines w:val="0"/>
                    <w:suppressLineNumbers w:val="0"/>
                    <w:spacing w:before="0" w:beforeAutospacing="0" w:after="0" w:afterAutospacing="0"/>
                    <w:ind w:left="0" w:right="0"/>
                    <w:jc w:val="center"/>
                    <w:rPr>
                      <w:rFonts w:hint="eastAsia" w:ascii="Times New Roman" w:hAnsi="Times New Roman" w:eastAsia="宋体" w:cs="Times New Roman"/>
                      <w:color w:val="auto"/>
                      <w:sz w:val="21"/>
                      <w:szCs w:val="21"/>
                    </w:rPr>
                  </w:pPr>
                  <w:r>
                    <w:rPr>
                      <w:rFonts w:hint="eastAsia" w:ascii="Times New Roman" w:hAnsi="Times New Roman" w:eastAsia="宋体" w:cs="Times New Roman"/>
                      <w:color w:val="auto"/>
                      <w:sz w:val="21"/>
                      <w:szCs w:val="21"/>
                    </w:rPr>
                    <w:t>本项目</w:t>
                  </w:r>
                  <w:r>
                    <w:rPr>
                      <w:rFonts w:hint="eastAsia" w:ascii="Times New Roman" w:hAnsi="Times New Roman" w:eastAsia="宋体" w:cs="Times New Roman"/>
                      <w:color w:val="auto"/>
                      <w:sz w:val="21"/>
                      <w:szCs w:val="21"/>
                      <w:lang w:val="en-US" w:eastAsia="zh-CN"/>
                    </w:rPr>
                    <w:t>行业类别为</w:t>
                  </w:r>
                  <w:r>
                    <w:rPr>
                      <w:rFonts w:hint="eastAsia" w:ascii="Times New Roman" w:hAnsi="Times New Roman" w:eastAsia="宋体" w:cs="Times New Roman"/>
                      <w:color w:val="auto"/>
                      <w:sz w:val="21"/>
                      <w:szCs w:val="21"/>
                      <w:lang w:eastAsia="zh-CN"/>
                    </w:rPr>
                    <w:t>“</w:t>
                  </w:r>
                  <w:r>
                    <w:rPr>
                      <w:rFonts w:hint="eastAsia" w:ascii="Times New Roman" w:hAnsi="Times New Roman" w:eastAsia="宋体" w:cs="Times New Roman"/>
                      <w:color w:val="auto"/>
                      <w:sz w:val="21"/>
                      <w:szCs w:val="21"/>
                      <w:lang w:val="en-US" w:eastAsia="zh-CN"/>
                    </w:rPr>
                    <w:t>C3670汽车零部件及配件制造、C2929塑料零件及其他塑料制品制造、</w:t>
                  </w:r>
                  <w:r>
                    <w:rPr>
                      <w:rFonts w:hint="eastAsia" w:ascii="Times New Roman" w:hAnsi="Times New Roman" w:eastAsia="宋体" w:cs="Times New Roman"/>
                      <w:color w:val="auto"/>
                      <w:sz w:val="21"/>
                      <w:szCs w:val="21"/>
                    </w:rPr>
                    <w:t>C3034隔热和隔音材料制造</w:t>
                  </w:r>
                  <w:r>
                    <w:rPr>
                      <w:rFonts w:hint="eastAsia" w:ascii="Times New Roman" w:hAnsi="Times New Roman" w:eastAsia="宋体" w:cs="Times New Roman"/>
                      <w:color w:val="auto"/>
                      <w:sz w:val="21"/>
                      <w:szCs w:val="21"/>
                      <w:lang w:eastAsia="zh-CN"/>
                    </w:rPr>
                    <w:t>”</w:t>
                  </w:r>
                  <w:r>
                    <w:rPr>
                      <w:rFonts w:hint="eastAsia" w:ascii="Times New Roman" w:hAnsi="Times New Roman" w:eastAsia="宋体" w:cs="Times New Roman"/>
                      <w:color w:val="auto"/>
                      <w:sz w:val="21"/>
                      <w:szCs w:val="21"/>
                    </w:rPr>
                    <w:t>。本项目在城镇开发边界内，企业不属于</w:t>
                  </w:r>
                  <w:r>
                    <w:rPr>
                      <w:rFonts w:hint="eastAsia" w:ascii="Times New Roman" w:hAnsi="Times New Roman" w:eastAsia="宋体" w:cs="Times New Roman"/>
                      <w:color w:val="auto"/>
                      <w:sz w:val="21"/>
                      <w:szCs w:val="21"/>
                      <w:lang w:eastAsia="zh-CN"/>
                    </w:rPr>
                    <w:t>“</w:t>
                  </w:r>
                  <w:r>
                    <w:rPr>
                      <w:rFonts w:hint="eastAsia" w:ascii="Times New Roman" w:hAnsi="Times New Roman" w:eastAsia="宋体" w:cs="Times New Roman"/>
                      <w:color w:val="auto"/>
                      <w:sz w:val="21"/>
                      <w:szCs w:val="21"/>
                    </w:rPr>
                    <w:t>三无企业</w:t>
                  </w:r>
                  <w:r>
                    <w:rPr>
                      <w:rFonts w:hint="eastAsia" w:ascii="Times New Roman" w:hAnsi="Times New Roman" w:eastAsia="宋体" w:cs="Times New Roman"/>
                      <w:color w:val="auto"/>
                      <w:sz w:val="21"/>
                      <w:szCs w:val="21"/>
                      <w:lang w:eastAsia="zh-CN"/>
                    </w:rPr>
                    <w:t>”</w:t>
                  </w:r>
                  <w:r>
                    <w:rPr>
                      <w:rFonts w:hint="eastAsia" w:ascii="Times New Roman" w:hAnsi="Times New Roman" w:eastAsia="宋体" w:cs="Times New Roman"/>
                      <w:color w:val="auto"/>
                      <w:sz w:val="21"/>
                      <w:szCs w:val="21"/>
                    </w:rPr>
                    <w:t>。</w:t>
                  </w:r>
                </w:p>
              </w:tc>
              <w:tc>
                <w:tcPr>
                  <w:tcW w:w="691" w:type="dxa"/>
                  <w:vAlign w:val="center"/>
                </w:tcPr>
                <w:p w14:paraId="70ED3D47">
                  <w:pPr>
                    <w:keepNext w:val="0"/>
                    <w:keepLines w:val="0"/>
                    <w:suppressLineNumbers w:val="0"/>
                    <w:spacing w:before="0" w:beforeAutospacing="0" w:after="0" w:afterAutospacing="0"/>
                    <w:ind w:left="0" w:right="0"/>
                    <w:jc w:val="center"/>
                    <w:rPr>
                      <w:rFonts w:hint="eastAsia" w:ascii="Times New Roman" w:hAnsi="Times New Roman" w:eastAsia="宋体" w:cs="Times New Roman"/>
                      <w:color w:val="auto"/>
                      <w:sz w:val="21"/>
                      <w:szCs w:val="21"/>
                      <w:lang w:val="en-US" w:eastAsia="zh-CN"/>
                    </w:rPr>
                  </w:pPr>
                  <w:r>
                    <w:rPr>
                      <w:rFonts w:hint="eastAsia" w:ascii="Times New Roman" w:hAnsi="Times New Roman" w:eastAsia="宋体" w:cs="Times New Roman"/>
                      <w:color w:val="auto"/>
                      <w:sz w:val="21"/>
                      <w:szCs w:val="21"/>
                      <w:lang w:val="en-US" w:eastAsia="zh-CN"/>
                    </w:rPr>
                    <w:t>符合</w:t>
                  </w:r>
                </w:p>
              </w:tc>
            </w:tr>
            <w:tr w14:paraId="1707AD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74" w:type="dxa"/>
                  <w:vMerge w:val="restart"/>
                  <w:vAlign w:val="center"/>
                </w:tcPr>
                <w:p w14:paraId="748F77F4">
                  <w:pPr>
                    <w:keepNext w:val="0"/>
                    <w:keepLines w:val="0"/>
                    <w:suppressLineNumbers w:val="0"/>
                    <w:spacing w:before="0" w:beforeAutospacing="0" w:after="0" w:afterAutospacing="0"/>
                    <w:ind w:left="0" w:right="0"/>
                    <w:jc w:val="center"/>
                    <w:rPr>
                      <w:rFonts w:hint="eastAsia" w:ascii="Times New Roman" w:hAnsi="Times New Roman" w:eastAsia="宋体" w:cs="Times New Roman"/>
                      <w:color w:val="auto"/>
                      <w:sz w:val="21"/>
                      <w:szCs w:val="21"/>
                    </w:rPr>
                  </w:pPr>
                  <w:r>
                    <w:rPr>
                      <w:rFonts w:hint="eastAsia" w:ascii="Times New Roman" w:hAnsi="Times New Roman" w:eastAsia="宋体" w:cs="Times New Roman"/>
                      <w:color w:val="auto"/>
                      <w:sz w:val="21"/>
                      <w:szCs w:val="21"/>
                    </w:rPr>
                    <w:t>基础设施</w:t>
                  </w:r>
                </w:p>
              </w:tc>
              <w:tc>
                <w:tcPr>
                  <w:tcW w:w="1600" w:type="dxa"/>
                  <w:vAlign w:val="center"/>
                </w:tcPr>
                <w:p w14:paraId="47B0B7BD">
                  <w:pPr>
                    <w:keepNext w:val="0"/>
                    <w:keepLines w:val="0"/>
                    <w:suppressLineNumbers w:val="0"/>
                    <w:spacing w:before="0" w:beforeAutospacing="0" w:after="0" w:afterAutospacing="0"/>
                    <w:ind w:left="0" w:right="0"/>
                    <w:jc w:val="center"/>
                    <w:rPr>
                      <w:rFonts w:hint="eastAsia" w:ascii="Times New Roman" w:hAnsi="Times New Roman" w:eastAsia="宋体" w:cs="Times New Roman"/>
                      <w:color w:val="auto"/>
                      <w:sz w:val="21"/>
                      <w:szCs w:val="21"/>
                    </w:rPr>
                  </w:pPr>
                  <w:r>
                    <w:rPr>
                      <w:rFonts w:hint="eastAsia" w:ascii="Times New Roman" w:hAnsi="Times New Roman" w:eastAsia="宋体" w:cs="Times New Roman"/>
                      <w:color w:val="auto"/>
                      <w:sz w:val="21"/>
                      <w:szCs w:val="21"/>
                    </w:rPr>
                    <w:t>天子湖化工园区未配备专业化工废水集中处理设施及配套管网</w:t>
                  </w:r>
                </w:p>
              </w:tc>
              <w:tc>
                <w:tcPr>
                  <w:tcW w:w="1653" w:type="dxa"/>
                  <w:vAlign w:val="center"/>
                </w:tcPr>
                <w:p w14:paraId="05B2D380">
                  <w:pPr>
                    <w:keepNext w:val="0"/>
                    <w:keepLines w:val="0"/>
                    <w:suppressLineNumbers w:val="0"/>
                    <w:spacing w:before="0" w:beforeAutospacing="0" w:after="0" w:afterAutospacing="0"/>
                    <w:ind w:left="0" w:right="0"/>
                    <w:jc w:val="center"/>
                    <w:rPr>
                      <w:rFonts w:hint="eastAsia" w:ascii="Times New Roman" w:hAnsi="Times New Roman" w:eastAsia="宋体" w:cs="Times New Roman"/>
                      <w:color w:val="auto"/>
                      <w:sz w:val="21"/>
                      <w:szCs w:val="21"/>
                    </w:rPr>
                  </w:pPr>
                  <w:r>
                    <w:rPr>
                      <w:rFonts w:hint="eastAsia" w:ascii="Times New Roman" w:hAnsi="Times New Roman" w:eastAsia="宋体" w:cs="Times New Roman"/>
                      <w:color w:val="auto"/>
                      <w:sz w:val="21"/>
                      <w:szCs w:val="21"/>
                    </w:rPr>
                    <w:t>天子湖化工园区应尽快建设专业化工废水集中处理设施及配套管网，并要求园区内企业完善各自的污水处理设施，确保废水达标排放。</w:t>
                  </w:r>
                </w:p>
              </w:tc>
              <w:tc>
                <w:tcPr>
                  <w:tcW w:w="1834" w:type="dxa"/>
                  <w:vAlign w:val="center"/>
                </w:tcPr>
                <w:p w14:paraId="3F382783">
                  <w:pPr>
                    <w:keepNext w:val="0"/>
                    <w:keepLines w:val="0"/>
                    <w:suppressLineNumbers w:val="0"/>
                    <w:spacing w:before="0" w:beforeAutospacing="0" w:after="0" w:afterAutospacing="0"/>
                    <w:ind w:left="0" w:right="0"/>
                    <w:jc w:val="center"/>
                    <w:rPr>
                      <w:rFonts w:hint="eastAsia" w:ascii="Times New Roman" w:hAnsi="Times New Roman" w:eastAsia="宋体" w:cs="Times New Roman"/>
                      <w:color w:val="auto"/>
                      <w:sz w:val="21"/>
                      <w:szCs w:val="21"/>
                    </w:rPr>
                  </w:pPr>
                  <w:r>
                    <w:rPr>
                      <w:rFonts w:hint="eastAsia" w:ascii="Times New Roman" w:hAnsi="Times New Roman" w:eastAsia="宋体" w:cs="Times New Roman"/>
                      <w:color w:val="auto"/>
                      <w:sz w:val="21"/>
                      <w:szCs w:val="21"/>
                    </w:rPr>
                    <w:t>目前，天子湖化工园区已建成规模为800吨/天的工业废水集中处理设施。按照既定计划，预计在2025年年底前，建设完成规模为2000吨/天的工业污水处理设施及配套管网。</w:t>
                  </w:r>
                </w:p>
              </w:tc>
              <w:tc>
                <w:tcPr>
                  <w:tcW w:w="1259" w:type="dxa"/>
                  <w:vAlign w:val="center"/>
                </w:tcPr>
                <w:p w14:paraId="010CFA6A">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 w:val="21"/>
                      <w:szCs w:val="21"/>
                      <w:lang w:val="en-US" w:eastAsia="zh-CN"/>
                    </w:rPr>
                  </w:pPr>
                  <w:r>
                    <w:rPr>
                      <w:rFonts w:hint="eastAsia" w:ascii="Times New Roman" w:hAnsi="Times New Roman" w:eastAsia="宋体" w:cs="Times New Roman"/>
                      <w:color w:val="auto"/>
                      <w:sz w:val="21"/>
                      <w:szCs w:val="21"/>
                      <w:lang w:val="en-US" w:eastAsia="zh-CN"/>
                    </w:rPr>
                    <w:t>本项目不涉及。</w:t>
                  </w:r>
                </w:p>
              </w:tc>
              <w:tc>
                <w:tcPr>
                  <w:tcW w:w="691" w:type="dxa"/>
                  <w:vAlign w:val="center"/>
                </w:tcPr>
                <w:p w14:paraId="527AC3F5">
                  <w:pPr>
                    <w:keepNext w:val="0"/>
                    <w:keepLines w:val="0"/>
                    <w:suppressLineNumbers w:val="0"/>
                    <w:spacing w:before="0" w:beforeAutospacing="0" w:after="0" w:afterAutospacing="0"/>
                    <w:ind w:left="0" w:right="0"/>
                    <w:jc w:val="center"/>
                    <w:rPr>
                      <w:rFonts w:hint="eastAsia" w:ascii="Times New Roman" w:hAnsi="Times New Roman" w:eastAsia="宋体" w:cs="Times New Roman"/>
                      <w:color w:val="auto"/>
                      <w:sz w:val="21"/>
                      <w:szCs w:val="21"/>
                    </w:rPr>
                  </w:pPr>
                  <w:r>
                    <w:rPr>
                      <w:rFonts w:hint="eastAsia" w:ascii="Times New Roman" w:hAnsi="Times New Roman" w:eastAsia="宋体" w:cs="Times New Roman"/>
                      <w:color w:val="auto"/>
                      <w:sz w:val="21"/>
                      <w:szCs w:val="21"/>
                      <w:lang w:val="en-US" w:eastAsia="zh-CN"/>
                    </w:rPr>
                    <w:t>不涉及</w:t>
                  </w:r>
                </w:p>
              </w:tc>
            </w:tr>
            <w:tr w14:paraId="11FDCC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74" w:type="dxa"/>
                  <w:vMerge w:val="continue"/>
                  <w:vAlign w:val="center"/>
                </w:tcPr>
                <w:p w14:paraId="31466A06">
                  <w:pPr>
                    <w:keepNext w:val="0"/>
                    <w:keepLines w:val="0"/>
                    <w:suppressLineNumbers w:val="0"/>
                    <w:spacing w:before="0" w:beforeAutospacing="0" w:after="0" w:afterAutospacing="0"/>
                    <w:ind w:left="0" w:right="0"/>
                    <w:jc w:val="center"/>
                    <w:rPr>
                      <w:rFonts w:hint="eastAsia" w:ascii="Times New Roman" w:hAnsi="Times New Roman" w:eastAsia="宋体" w:cs="Times New Roman"/>
                      <w:color w:val="auto"/>
                      <w:sz w:val="21"/>
                      <w:szCs w:val="21"/>
                    </w:rPr>
                  </w:pPr>
                </w:p>
              </w:tc>
              <w:tc>
                <w:tcPr>
                  <w:tcW w:w="1600" w:type="dxa"/>
                  <w:vAlign w:val="center"/>
                </w:tcPr>
                <w:p w14:paraId="0729D865">
                  <w:pPr>
                    <w:keepNext w:val="0"/>
                    <w:keepLines w:val="0"/>
                    <w:suppressLineNumbers w:val="0"/>
                    <w:spacing w:before="0" w:beforeAutospacing="0" w:after="0" w:afterAutospacing="0"/>
                    <w:ind w:left="0" w:right="0"/>
                    <w:jc w:val="center"/>
                    <w:rPr>
                      <w:rFonts w:hint="eastAsia" w:ascii="Times New Roman" w:hAnsi="Times New Roman" w:eastAsia="宋体" w:cs="Times New Roman"/>
                      <w:color w:val="auto"/>
                      <w:sz w:val="21"/>
                      <w:szCs w:val="21"/>
                    </w:rPr>
                  </w:pPr>
                  <w:r>
                    <w:rPr>
                      <w:rFonts w:hint="eastAsia" w:ascii="Times New Roman" w:hAnsi="Times New Roman" w:eastAsia="宋体" w:cs="Times New Roman"/>
                      <w:color w:val="auto"/>
                      <w:sz w:val="21"/>
                      <w:szCs w:val="21"/>
                    </w:rPr>
                    <w:t>规划区内的电镀企业生产水平和污染物处理技术水平相对落后，仍存在专业化程度不高、污染防治措施运行不到位等问题。</w:t>
                  </w:r>
                </w:p>
              </w:tc>
              <w:tc>
                <w:tcPr>
                  <w:tcW w:w="1653" w:type="dxa"/>
                  <w:vAlign w:val="center"/>
                </w:tcPr>
                <w:p w14:paraId="043B9767">
                  <w:pPr>
                    <w:keepNext w:val="0"/>
                    <w:keepLines w:val="0"/>
                    <w:suppressLineNumbers w:val="0"/>
                    <w:spacing w:before="0" w:beforeAutospacing="0" w:after="0" w:afterAutospacing="0"/>
                    <w:ind w:left="0" w:right="0"/>
                    <w:jc w:val="center"/>
                    <w:rPr>
                      <w:rFonts w:hint="eastAsia" w:ascii="Times New Roman" w:hAnsi="Times New Roman" w:eastAsia="宋体" w:cs="Times New Roman"/>
                      <w:color w:val="auto"/>
                      <w:sz w:val="21"/>
                      <w:szCs w:val="21"/>
                    </w:rPr>
                  </w:pPr>
                  <w:r>
                    <w:rPr>
                      <w:rFonts w:hint="eastAsia" w:ascii="Times New Roman" w:hAnsi="Times New Roman" w:eastAsia="宋体" w:cs="Times New Roman"/>
                      <w:color w:val="auto"/>
                      <w:sz w:val="21"/>
                      <w:szCs w:val="21"/>
                    </w:rPr>
                    <w:t>建议建设高标准的生态电镀园区，采用先进的生产工艺装备、提高环境污染防治能力、完善环境风险体系建设。</w:t>
                  </w:r>
                </w:p>
              </w:tc>
              <w:tc>
                <w:tcPr>
                  <w:tcW w:w="1834" w:type="dxa"/>
                  <w:vAlign w:val="center"/>
                </w:tcPr>
                <w:p w14:paraId="7AA6A8BB">
                  <w:pPr>
                    <w:keepNext w:val="0"/>
                    <w:keepLines w:val="0"/>
                    <w:suppressLineNumbers w:val="0"/>
                    <w:spacing w:before="0" w:beforeAutospacing="0" w:after="0" w:afterAutospacing="0"/>
                    <w:ind w:left="0" w:right="0"/>
                    <w:jc w:val="center"/>
                    <w:rPr>
                      <w:rFonts w:hint="eastAsia" w:ascii="Times New Roman" w:hAnsi="Times New Roman" w:eastAsia="宋体" w:cs="Times New Roman"/>
                      <w:color w:val="auto"/>
                      <w:sz w:val="21"/>
                      <w:szCs w:val="21"/>
                    </w:rPr>
                  </w:pPr>
                  <w:r>
                    <w:rPr>
                      <w:rFonts w:hint="eastAsia" w:ascii="Times New Roman" w:hAnsi="Times New Roman" w:eastAsia="宋体" w:cs="Times New Roman"/>
                      <w:color w:val="auto"/>
                      <w:sz w:val="21"/>
                      <w:szCs w:val="21"/>
                    </w:rPr>
                    <w:t>2025年底前完成生态电镀园区的建设，并实现电镀企业的集中管理和治理。</w:t>
                  </w:r>
                </w:p>
              </w:tc>
              <w:tc>
                <w:tcPr>
                  <w:tcW w:w="1259" w:type="dxa"/>
                  <w:vAlign w:val="center"/>
                </w:tcPr>
                <w:p w14:paraId="2F808D79">
                  <w:pPr>
                    <w:keepNext w:val="0"/>
                    <w:keepLines w:val="0"/>
                    <w:suppressLineNumbers w:val="0"/>
                    <w:spacing w:before="0" w:beforeAutospacing="0" w:after="0" w:afterAutospacing="0"/>
                    <w:ind w:left="0" w:leftChars="0" w:right="0" w:rightChars="0"/>
                    <w:jc w:val="center"/>
                    <w:rPr>
                      <w:rFonts w:hint="eastAsia" w:ascii="Times New Roman" w:hAnsi="Times New Roman" w:eastAsia="宋体" w:cs="Times New Roman"/>
                      <w:color w:val="auto"/>
                      <w:sz w:val="21"/>
                      <w:szCs w:val="21"/>
                    </w:rPr>
                  </w:pPr>
                  <w:r>
                    <w:rPr>
                      <w:rFonts w:hint="eastAsia" w:ascii="Times New Roman" w:hAnsi="Times New Roman" w:eastAsia="宋体" w:cs="Times New Roman"/>
                      <w:color w:val="auto"/>
                      <w:sz w:val="21"/>
                      <w:szCs w:val="21"/>
                      <w:lang w:val="en-US" w:eastAsia="zh-CN"/>
                    </w:rPr>
                    <w:t>本项目不涉及。</w:t>
                  </w:r>
                </w:p>
              </w:tc>
              <w:tc>
                <w:tcPr>
                  <w:tcW w:w="691" w:type="dxa"/>
                  <w:vAlign w:val="center"/>
                </w:tcPr>
                <w:p w14:paraId="3931AF37">
                  <w:pPr>
                    <w:keepNext w:val="0"/>
                    <w:keepLines w:val="0"/>
                    <w:suppressLineNumbers w:val="0"/>
                    <w:spacing w:before="0" w:beforeAutospacing="0" w:after="0" w:afterAutospacing="0"/>
                    <w:ind w:left="0" w:leftChars="0" w:right="0" w:rightChars="0"/>
                    <w:jc w:val="center"/>
                    <w:rPr>
                      <w:rFonts w:hint="eastAsia" w:ascii="Times New Roman" w:hAnsi="Times New Roman" w:eastAsia="宋体" w:cs="Times New Roman"/>
                      <w:color w:val="auto"/>
                      <w:sz w:val="21"/>
                      <w:szCs w:val="21"/>
                    </w:rPr>
                  </w:pPr>
                  <w:r>
                    <w:rPr>
                      <w:rFonts w:hint="eastAsia" w:ascii="Times New Roman" w:hAnsi="Times New Roman" w:eastAsia="宋体" w:cs="Times New Roman"/>
                      <w:color w:val="auto"/>
                      <w:sz w:val="21"/>
                      <w:szCs w:val="21"/>
                      <w:lang w:val="en-US" w:eastAsia="zh-CN"/>
                    </w:rPr>
                    <w:t>不涉及</w:t>
                  </w:r>
                </w:p>
              </w:tc>
            </w:tr>
            <w:tr w14:paraId="4E2C04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74" w:type="dxa"/>
                  <w:vMerge w:val="continue"/>
                  <w:vAlign w:val="center"/>
                </w:tcPr>
                <w:p w14:paraId="5E0BFC05">
                  <w:pPr>
                    <w:keepNext w:val="0"/>
                    <w:keepLines w:val="0"/>
                    <w:suppressLineNumbers w:val="0"/>
                    <w:spacing w:before="0" w:beforeAutospacing="0" w:after="0" w:afterAutospacing="0"/>
                    <w:ind w:left="0" w:right="0"/>
                    <w:jc w:val="center"/>
                    <w:rPr>
                      <w:rFonts w:hint="eastAsia" w:ascii="Times New Roman" w:hAnsi="Times New Roman" w:eastAsia="宋体" w:cs="Times New Roman"/>
                      <w:color w:val="auto"/>
                      <w:sz w:val="21"/>
                      <w:szCs w:val="21"/>
                    </w:rPr>
                  </w:pPr>
                </w:p>
              </w:tc>
              <w:tc>
                <w:tcPr>
                  <w:tcW w:w="1600" w:type="dxa"/>
                  <w:vAlign w:val="center"/>
                </w:tcPr>
                <w:p w14:paraId="1A6FC27F">
                  <w:pPr>
                    <w:keepNext w:val="0"/>
                    <w:keepLines w:val="0"/>
                    <w:suppressLineNumbers w:val="0"/>
                    <w:spacing w:before="0" w:beforeAutospacing="0" w:after="0" w:afterAutospacing="0"/>
                    <w:ind w:left="0" w:right="0"/>
                    <w:jc w:val="center"/>
                    <w:rPr>
                      <w:rFonts w:hint="eastAsia" w:ascii="Times New Roman" w:hAnsi="Times New Roman" w:eastAsia="宋体" w:cs="Times New Roman"/>
                      <w:color w:val="auto"/>
                      <w:sz w:val="21"/>
                      <w:szCs w:val="21"/>
                    </w:rPr>
                  </w:pPr>
                  <w:r>
                    <w:rPr>
                      <w:rFonts w:hint="eastAsia" w:ascii="Times New Roman" w:hAnsi="Times New Roman" w:eastAsia="宋体" w:cs="Times New Roman"/>
                      <w:color w:val="auto"/>
                      <w:sz w:val="21"/>
                      <w:szCs w:val="21"/>
                    </w:rPr>
                    <w:t>规划区内虽已建成近方能源和安吉天子湖热电集中供热系统，但仍存在大量分散锅炉，且部分入园企业仍在新建自备锅炉，与区域集中供热规划要求存在不符。</w:t>
                  </w:r>
                </w:p>
              </w:tc>
              <w:tc>
                <w:tcPr>
                  <w:tcW w:w="1653" w:type="dxa"/>
                  <w:vAlign w:val="center"/>
                </w:tcPr>
                <w:p w14:paraId="65600BBE">
                  <w:pPr>
                    <w:keepNext w:val="0"/>
                    <w:keepLines w:val="0"/>
                    <w:suppressLineNumbers w:val="0"/>
                    <w:spacing w:before="0" w:beforeAutospacing="0" w:after="0" w:afterAutospacing="0"/>
                    <w:ind w:left="0" w:right="0"/>
                    <w:jc w:val="center"/>
                    <w:rPr>
                      <w:rFonts w:hint="eastAsia" w:ascii="Times New Roman" w:hAnsi="Times New Roman" w:eastAsia="宋体" w:cs="Times New Roman"/>
                      <w:color w:val="auto"/>
                      <w:sz w:val="21"/>
                      <w:szCs w:val="21"/>
                    </w:rPr>
                  </w:pPr>
                  <w:r>
                    <w:rPr>
                      <w:rFonts w:hint="eastAsia" w:ascii="Times New Roman" w:hAnsi="Times New Roman" w:eastAsia="宋体" w:cs="Times New Roman"/>
                      <w:color w:val="auto"/>
                      <w:sz w:val="21"/>
                      <w:szCs w:val="21"/>
                    </w:rPr>
                    <w:t>建议开展企业单独建设锅炉的必要性论证，对于可取消的锅炉，应逐步取消。现有锅炉不得进行扩建，对于有条件接入集中供热系统的企业，应鼓励其拆除自建锅炉，并将其供热需求整合到集中供热系统中，以实现能源的高效利用和环境的持续改善。</w:t>
                  </w:r>
                </w:p>
              </w:tc>
              <w:tc>
                <w:tcPr>
                  <w:tcW w:w="1834" w:type="dxa"/>
                  <w:vAlign w:val="center"/>
                </w:tcPr>
                <w:p w14:paraId="27D4A147">
                  <w:pPr>
                    <w:keepNext w:val="0"/>
                    <w:keepLines w:val="0"/>
                    <w:suppressLineNumbers w:val="0"/>
                    <w:spacing w:before="0" w:beforeAutospacing="0" w:after="0" w:afterAutospacing="0"/>
                    <w:ind w:left="0" w:right="0"/>
                    <w:jc w:val="center"/>
                    <w:rPr>
                      <w:rFonts w:hint="eastAsia" w:ascii="Times New Roman" w:hAnsi="Times New Roman" w:eastAsia="宋体" w:cs="Times New Roman"/>
                      <w:color w:val="auto"/>
                      <w:sz w:val="21"/>
                      <w:szCs w:val="21"/>
                    </w:rPr>
                  </w:pPr>
                  <w:r>
                    <w:rPr>
                      <w:rFonts w:hint="eastAsia" w:ascii="Times New Roman" w:hAnsi="Times New Roman" w:eastAsia="宋体" w:cs="Times New Roman"/>
                      <w:color w:val="auto"/>
                      <w:sz w:val="21"/>
                      <w:szCs w:val="21"/>
                    </w:rPr>
                    <w:t>进一步优化园区供热系统规划和建设，对属于淘汰落后的锅炉设备予以拆除淘汰，并将其供热需求整合到集中供热系统中；对于有条件接入集中供热系统的企业，应接入集中供热系统，以实现能源的高效利用和环境的持续改善。</w:t>
                  </w:r>
                </w:p>
              </w:tc>
              <w:tc>
                <w:tcPr>
                  <w:tcW w:w="1259" w:type="dxa"/>
                  <w:vAlign w:val="center"/>
                </w:tcPr>
                <w:p w14:paraId="43797EB1">
                  <w:pPr>
                    <w:keepNext w:val="0"/>
                    <w:keepLines w:val="0"/>
                    <w:suppressLineNumbers w:val="0"/>
                    <w:spacing w:before="0" w:beforeAutospacing="0" w:after="0" w:afterAutospacing="0"/>
                    <w:ind w:left="0" w:leftChars="0" w:right="0" w:rightChars="0"/>
                    <w:jc w:val="center"/>
                    <w:rPr>
                      <w:rFonts w:hint="eastAsia" w:ascii="Times New Roman" w:hAnsi="Times New Roman" w:eastAsia="宋体" w:cs="Times New Roman"/>
                      <w:color w:val="auto"/>
                      <w:sz w:val="21"/>
                      <w:szCs w:val="21"/>
                    </w:rPr>
                  </w:pPr>
                  <w:r>
                    <w:rPr>
                      <w:rFonts w:hint="eastAsia" w:ascii="Times New Roman" w:hAnsi="Times New Roman" w:eastAsia="宋体" w:cs="Times New Roman"/>
                      <w:color w:val="auto"/>
                      <w:sz w:val="21"/>
                      <w:szCs w:val="21"/>
                      <w:lang w:val="en-US" w:eastAsia="zh-CN"/>
                    </w:rPr>
                    <w:t>本项目不涉及。</w:t>
                  </w:r>
                </w:p>
              </w:tc>
              <w:tc>
                <w:tcPr>
                  <w:tcW w:w="691" w:type="dxa"/>
                  <w:vAlign w:val="center"/>
                </w:tcPr>
                <w:p w14:paraId="390BC35E">
                  <w:pPr>
                    <w:keepNext w:val="0"/>
                    <w:keepLines w:val="0"/>
                    <w:suppressLineNumbers w:val="0"/>
                    <w:spacing w:before="0" w:beforeAutospacing="0" w:after="0" w:afterAutospacing="0"/>
                    <w:ind w:left="0" w:leftChars="0" w:right="0" w:rightChars="0"/>
                    <w:jc w:val="center"/>
                    <w:rPr>
                      <w:rFonts w:hint="eastAsia" w:ascii="Times New Roman" w:hAnsi="Times New Roman" w:eastAsia="宋体" w:cs="Times New Roman"/>
                      <w:color w:val="auto"/>
                      <w:sz w:val="21"/>
                      <w:szCs w:val="21"/>
                    </w:rPr>
                  </w:pPr>
                  <w:r>
                    <w:rPr>
                      <w:rFonts w:hint="eastAsia" w:ascii="Times New Roman" w:hAnsi="Times New Roman" w:eastAsia="宋体" w:cs="Times New Roman"/>
                      <w:color w:val="auto"/>
                      <w:sz w:val="21"/>
                      <w:szCs w:val="21"/>
                      <w:lang w:val="en-US" w:eastAsia="zh-CN"/>
                    </w:rPr>
                    <w:t>不涉及</w:t>
                  </w:r>
                </w:p>
              </w:tc>
            </w:tr>
            <w:tr w14:paraId="205F35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74" w:type="dxa"/>
                  <w:vAlign w:val="center"/>
                </w:tcPr>
                <w:p w14:paraId="6104AB95">
                  <w:pPr>
                    <w:keepNext w:val="0"/>
                    <w:keepLines w:val="0"/>
                    <w:suppressLineNumbers w:val="0"/>
                    <w:spacing w:before="0" w:beforeAutospacing="0" w:after="0" w:afterAutospacing="0"/>
                    <w:ind w:left="0" w:right="0"/>
                    <w:jc w:val="center"/>
                    <w:rPr>
                      <w:rFonts w:hint="eastAsia" w:ascii="Times New Roman" w:hAnsi="Times New Roman" w:eastAsia="宋体" w:cs="Times New Roman"/>
                      <w:color w:val="auto"/>
                      <w:sz w:val="21"/>
                      <w:szCs w:val="21"/>
                    </w:rPr>
                  </w:pPr>
                  <w:r>
                    <w:rPr>
                      <w:rFonts w:hint="eastAsia" w:ascii="Times New Roman" w:hAnsi="Times New Roman" w:eastAsia="宋体" w:cs="Times New Roman"/>
                      <w:color w:val="auto"/>
                      <w:sz w:val="21"/>
                      <w:szCs w:val="21"/>
                    </w:rPr>
                    <w:t>资源利用</w:t>
                  </w:r>
                </w:p>
              </w:tc>
              <w:tc>
                <w:tcPr>
                  <w:tcW w:w="1600" w:type="dxa"/>
                  <w:vAlign w:val="center"/>
                </w:tcPr>
                <w:p w14:paraId="535777E1">
                  <w:pPr>
                    <w:keepNext w:val="0"/>
                    <w:keepLines w:val="0"/>
                    <w:suppressLineNumbers w:val="0"/>
                    <w:spacing w:before="0" w:beforeAutospacing="0" w:after="0" w:afterAutospacing="0"/>
                    <w:ind w:left="0" w:right="0"/>
                    <w:jc w:val="center"/>
                    <w:rPr>
                      <w:rFonts w:hint="eastAsia" w:ascii="Times New Roman" w:hAnsi="Times New Roman" w:eastAsia="宋体" w:cs="Times New Roman"/>
                      <w:color w:val="auto"/>
                      <w:sz w:val="21"/>
                      <w:szCs w:val="21"/>
                    </w:rPr>
                  </w:pPr>
                  <w:r>
                    <w:rPr>
                      <w:rFonts w:hint="eastAsia" w:ascii="Times New Roman" w:hAnsi="Times New Roman" w:eastAsia="宋体" w:cs="Times New Roman"/>
                      <w:color w:val="auto"/>
                      <w:sz w:val="21"/>
                      <w:szCs w:val="21"/>
                    </w:rPr>
                    <w:t>泗安污水处理厂部分时段运行负荷较高</w:t>
                  </w:r>
                </w:p>
              </w:tc>
              <w:tc>
                <w:tcPr>
                  <w:tcW w:w="1653" w:type="dxa"/>
                  <w:vAlign w:val="center"/>
                </w:tcPr>
                <w:p w14:paraId="60991523">
                  <w:pPr>
                    <w:keepNext w:val="0"/>
                    <w:keepLines w:val="0"/>
                    <w:suppressLineNumbers w:val="0"/>
                    <w:spacing w:before="0" w:beforeAutospacing="0" w:after="0" w:afterAutospacing="0"/>
                    <w:ind w:left="0" w:right="0"/>
                    <w:jc w:val="center"/>
                    <w:rPr>
                      <w:rFonts w:hint="eastAsia" w:ascii="Times New Roman" w:hAnsi="Times New Roman" w:eastAsia="宋体" w:cs="Times New Roman"/>
                      <w:color w:val="auto"/>
                      <w:sz w:val="21"/>
                      <w:szCs w:val="21"/>
                    </w:rPr>
                  </w:pPr>
                  <w:r>
                    <w:rPr>
                      <w:rFonts w:hint="eastAsia" w:ascii="Times New Roman" w:hAnsi="Times New Roman" w:eastAsia="宋体" w:cs="Times New Roman"/>
                      <w:color w:val="auto"/>
                      <w:sz w:val="21"/>
                      <w:szCs w:val="21"/>
                    </w:rPr>
                    <w:t>建议适时启动泗安污水处理厂扩建工程，确保规划区废水处理能力与需求相匹配。在扩建工程完成前，应严格控制泗安片区高废水排放企业的准入。</w:t>
                  </w:r>
                </w:p>
              </w:tc>
              <w:tc>
                <w:tcPr>
                  <w:tcW w:w="1834" w:type="dxa"/>
                  <w:vAlign w:val="center"/>
                </w:tcPr>
                <w:p w14:paraId="21F592DC">
                  <w:pPr>
                    <w:keepNext w:val="0"/>
                    <w:keepLines w:val="0"/>
                    <w:suppressLineNumbers w:val="0"/>
                    <w:spacing w:before="0" w:beforeAutospacing="0" w:after="0" w:afterAutospacing="0"/>
                    <w:ind w:left="0" w:right="0"/>
                    <w:jc w:val="center"/>
                    <w:rPr>
                      <w:rFonts w:hint="eastAsia" w:ascii="Times New Roman" w:hAnsi="Times New Roman" w:eastAsia="宋体" w:cs="Times New Roman"/>
                      <w:color w:val="auto"/>
                      <w:sz w:val="21"/>
                      <w:szCs w:val="21"/>
                    </w:rPr>
                  </w:pPr>
                  <w:r>
                    <w:rPr>
                      <w:rFonts w:hint="eastAsia" w:ascii="Times New Roman" w:hAnsi="Times New Roman" w:eastAsia="宋体" w:cs="Times New Roman"/>
                      <w:color w:val="auto"/>
                      <w:sz w:val="21"/>
                      <w:szCs w:val="21"/>
                    </w:rPr>
                    <w:t>计划2025年开始启动泗安污水处理厂扩建项目，扩建1万m</w:t>
                  </w:r>
                  <w:r>
                    <w:rPr>
                      <w:rFonts w:hint="eastAsia" w:ascii="Times New Roman" w:hAnsi="Times New Roman" w:eastAsia="宋体" w:cs="Times New Roman"/>
                      <w:color w:val="auto"/>
                      <w:sz w:val="21"/>
                      <w:szCs w:val="21"/>
                      <w:vertAlign w:val="superscript"/>
                    </w:rPr>
                    <w:t>3</w:t>
                  </w:r>
                  <w:r>
                    <w:rPr>
                      <w:rFonts w:hint="eastAsia" w:ascii="Times New Roman" w:hAnsi="Times New Roman" w:eastAsia="宋体" w:cs="Times New Roman"/>
                      <w:color w:val="auto"/>
                      <w:sz w:val="21"/>
                      <w:szCs w:val="21"/>
                    </w:rPr>
                    <w:t>/d，预计2026年完成扩建工程建设。在泗安污水处理厂未完成扩建，废水处理能力无法满足开发需求的情况下，将严格控制区域开发规</w:t>
                  </w:r>
                </w:p>
              </w:tc>
              <w:tc>
                <w:tcPr>
                  <w:tcW w:w="1259" w:type="dxa"/>
                  <w:vAlign w:val="center"/>
                </w:tcPr>
                <w:p w14:paraId="69C00513">
                  <w:pPr>
                    <w:keepNext w:val="0"/>
                    <w:keepLines w:val="0"/>
                    <w:suppressLineNumbers w:val="0"/>
                    <w:spacing w:before="0" w:beforeAutospacing="0" w:after="0" w:afterAutospacing="0"/>
                    <w:ind w:left="0" w:leftChars="0" w:right="0" w:rightChars="0"/>
                    <w:jc w:val="center"/>
                    <w:rPr>
                      <w:rFonts w:hint="eastAsia" w:ascii="Times New Roman" w:hAnsi="Times New Roman" w:eastAsia="宋体" w:cs="Times New Roman"/>
                      <w:color w:val="auto"/>
                      <w:sz w:val="21"/>
                      <w:szCs w:val="21"/>
                    </w:rPr>
                  </w:pPr>
                  <w:r>
                    <w:rPr>
                      <w:rFonts w:hint="eastAsia" w:ascii="Times New Roman" w:hAnsi="Times New Roman" w:eastAsia="宋体" w:cs="Times New Roman"/>
                      <w:color w:val="auto"/>
                      <w:sz w:val="21"/>
                      <w:szCs w:val="21"/>
                      <w:lang w:val="en-US" w:eastAsia="zh-CN"/>
                    </w:rPr>
                    <w:t>本项目不涉及。</w:t>
                  </w:r>
                </w:p>
              </w:tc>
              <w:tc>
                <w:tcPr>
                  <w:tcW w:w="691" w:type="dxa"/>
                  <w:vAlign w:val="center"/>
                </w:tcPr>
                <w:p w14:paraId="0364C115">
                  <w:pPr>
                    <w:keepNext w:val="0"/>
                    <w:keepLines w:val="0"/>
                    <w:suppressLineNumbers w:val="0"/>
                    <w:spacing w:before="0" w:beforeAutospacing="0" w:after="0" w:afterAutospacing="0"/>
                    <w:ind w:left="0" w:leftChars="0" w:right="0" w:rightChars="0"/>
                    <w:jc w:val="center"/>
                    <w:rPr>
                      <w:rFonts w:hint="eastAsia" w:ascii="Times New Roman" w:hAnsi="Times New Roman" w:eastAsia="宋体" w:cs="Times New Roman"/>
                      <w:color w:val="auto"/>
                      <w:sz w:val="21"/>
                      <w:szCs w:val="21"/>
                    </w:rPr>
                  </w:pPr>
                  <w:r>
                    <w:rPr>
                      <w:rFonts w:hint="eastAsia" w:ascii="Times New Roman" w:hAnsi="Times New Roman" w:eastAsia="宋体" w:cs="Times New Roman"/>
                      <w:color w:val="auto"/>
                      <w:sz w:val="21"/>
                      <w:szCs w:val="21"/>
                      <w:lang w:val="en-US" w:eastAsia="zh-CN"/>
                    </w:rPr>
                    <w:t>不涉及</w:t>
                  </w:r>
                </w:p>
              </w:tc>
            </w:tr>
            <w:tr w14:paraId="52DC29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74" w:type="dxa"/>
                  <w:vAlign w:val="center"/>
                </w:tcPr>
                <w:p w14:paraId="72B2C0A9">
                  <w:pPr>
                    <w:keepNext w:val="0"/>
                    <w:keepLines w:val="0"/>
                    <w:suppressLineNumbers w:val="0"/>
                    <w:spacing w:before="0" w:beforeAutospacing="0" w:after="0" w:afterAutospacing="0"/>
                    <w:ind w:left="0" w:right="0"/>
                    <w:jc w:val="center"/>
                    <w:rPr>
                      <w:rFonts w:hint="eastAsia" w:ascii="Times New Roman" w:hAnsi="Times New Roman" w:eastAsia="宋体" w:cs="Times New Roman"/>
                      <w:color w:val="auto"/>
                      <w:sz w:val="21"/>
                      <w:szCs w:val="21"/>
                    </w:rPr>
                  </w:pPr>
                  <w:r>
                    <w:rPr>
                      <w:rFonts w:hint="eastAsia" w:ascii="Times New Roman" w:hAnsi="Times New Roman" w:eastAsia="宋体" w:cs="Times New Roman"/>
                      <w:color w:val="auto"/>
                      <w:sz w:val="21"/>
                      <w:szCs w:val="21"/>
                    </w:rPr>
                    <w:t>污染防治</w:t>
                  </w:r>
                </w:p>
              </w:tc>
              <w:tc>
                <w:tcPr>
                  <w:tcW w:w="1600" w:type="dxa"/>
                  <w:vAlign w:val="center"/>
                </w:tcPr>
                <w:p w14:paraId="7F0531A7">
                  <w:pPr>
                    <w:keepNext w:val="0"/>
                    <w:keepLines w:val="0"/>
                    <w:suppressLineNumbers w:val="0"/>
                    <w:spacing w:before="0" w:beforeAutospacing="0" w:after="0" w:afterAutospacing="0"/>
                    <w:ind w:left="0" w:right="0"/>
                    <w:jc w:val="center"/>
                    <w:rPr>
                      <w:rFonts w:hint="eastAsia" w:ascii="Times New Roman" w:hAnsi="Times New Roman" w:eastAsia="宋体" w:cs="Times New Roman"/>
                      <w:color w:val="auto"/>
                      <w:sz w:val="21"/>
                      <w:szCs w:val="21"/>
                    </w:rPr>
                  </w:pPr>
                  <w:r>
                    <w:rPr>
                      <w:rFonts w:hint="eastAsia" w:ascii="Times New Roman" w:hAnsi="Times New Roman" w:eastAsia="宋体" w:cs="Times New Roman"/>
                      <w:color w:val="auto"/>
                      <w:sz w:val="21"/>
                      <w:szCs w:val="21"/>
                    </w:rPr>
                    <w:t>规划范围内的2家工业企业（废气、废水）在线污染物监测设备未验收（浙江华丰龙赛尔纤维科技有限公司、浙江欣业包装有限公司）</w:t>
                  </w:r>
                </w:p>
              </w:tc>
              <w:tc>
                <w:tcPr>
                  <w:tcW w:w="1653" w:type="dxa"/>
                  <w:vAlign w:val="center"/>
                </w:tcPr>
                <w:p w14:paraId="09B50839">
                  <w:pPr>
                    <w:keepNext w:val="0"/>
                    <w:keepLines w:val="0"/>
                    <w:suppressLineNumbers w:val="0"/>
                    <w:spacing w:before="0" w:beforeAutospacing="0" w:after="0" w:afterAutospacing="0"/>
                    <w:ind w:left="0" w:right="0"/>
                    <w:jc w:val="center"/>
                    <w:rPr>
                      <w:rFonts w:hint="eastAsia" w:ascii="Times New Roman" w:hAnsi="Times New Roman" w:eastAsia="宋体" w:cs="Times New Roman"/>
                      <w:color w:val="auto"/>
                      <w:sz w:val="21"/>
                      <w:szCs w:val="21"/>
                    </w:rPr>
                  </w:pPr>
                  <w:r>
                    <w:rPr>
                      <w:rFonts w:hint="eastAsia" w:ascii="Times New Roman" w:hAnsi="Times New Roman" w:eastAsia="宋体" w:cs="Times New Roman"/>
                      <w:color w:val="auto"/>
                      <w:sz w:val="21"/>
                      <w:szCs w:val="21"/>
                    </w:rPr>
                    <w:t>尽快完成在线监测系统的安装、调试和验收工作。确保在线监测设备的安装、调试符合标准，委托有资质的监测机构进行验收比对监测。</w:t>
                  </w:r>
                </w:p>
              </w:tc>
              <w:tc>
                <w:tcPr>
                  <w:tcW w:w="1834" w:type="dxa"/>
                  <w:vAlign w:val="center"/>
                </w:tcPr>
                <w:p w14:paraId="43355734">
                  <w:pPr>
                    <w:keepNext w:val="0"/>
                    <w:keepLines w:val="0"/>
                    <w:suppressLineNumbers w:val="0"/>
                    <w:spacing w:before="0" w:beforeAutospacing="0" w:after="0" w:afterAutospacing="0"/>
                    <w:ind w:left="0" w:right="0"/>
                    <w:jc w:val="center"/>
                    <w:rPr>
                      <w:rFonts w:hint="eastAsia" w:ascii="Times New Roman" w:hAnsi="Times New Roman" w:eastAsia="宋体" w:cs="Times New Roman"/>
                      <w:color w:val="auto"/>
                      <w:sz w:val="21"/>
                      <w:szCs w:val="21"/>
                    </w:rPr>
                  </w:pPr>
                  <w:r>
                    <w:rPr>
                      <w:rFonts w:hint="eastAsia" w:ascii="Times New Roman" w:hAnsi="Times New Roman" w:eastAsia="宋体" w:cs="Times New Roman"/>
                      <w:color w:val="auto"/>
                      <w:sz w:val="21"/>
                      <w:szCs w:val="21"/>
                    </w:rPr>
                    <w:t>2025年年底前完成浙江华丰龙赛尔纤维科技有限公司和浙江欣业包装有限公司在线监测设备的验收。</w:t>
                  </w:r>
                </w:p>
              </w:tc>
              <w:tc>
                <w:tcPr>
                  <w:tcW w:w="1259" w:type="dxa"/>
                  <w:vAlign w:val="center"/>
                </w:tcPr>
                <w:p w14:paraId="3710ECE4">
                  <w:pPr>
                    <w:keepNext w:val="0"/>
                    <w:keepLines w:val="0"/>
                    <w:suppressLineNumbers w:val="0"/>
                    <w:spacing w:before="0" w:beforeAutospacing="0" w:after="0" w:afterAutospacing="0"/>
                    <w:ind w:left="0" w:leftChars="0" w:right="0" w:rightChars="0"/>
                    <w:jc w:val="center"/>
                    <w:rPr>
                      <w:rFonts w:hint="eastAsia" w:ascii="Times New Roman" w:hAnsi="Times New Roman" w:eastAsia="宋体" w:cs="Times New Roman"/>
                      <w:color w:val="auto"/>
                      <w:sz w:val="21"/>
                      <w:szCs w:val="21"/>
                    </w:rPr>
                  </w:pPr>
                  <w:r>
                    <w:rPr>
                      <w:rFonts w:hint="eastAsia" w:ascii="Times New Roman" w:hAnsi="Times New Roman" w:eastAsia="宋体" w:cs="Times New Roman"/>
                      <w:color w:val="auto"/>
                      <w:sz w:val="21"/>
                      <w:szCs w:val="21"/>
                      <w:lang w:val="en-US" w:eastAsia="zh-CN"/>
                    </w:rPr>
                    <w:t>本项目不涉及。</w:t>
                  </w:r>
                </w:p>
              </w:tc>
              <w:tc>
                <w:tcPr>
                  <w:tcW w:w="691" w:type="dxa"/>
                  <w:vAlign w:val="center"/>
                </w:tcPr>
                <w:p w14:paraId="353E5412">
                  <w:pPr>
                    <w:keepNext w:val="0"/>
                    <w:keepLines w:val="0"/>
                    <w:suppressLineNumbers w:val="0"/>
                    <w:spacing w:before="0" w:beforeAutospacing="0" w:after="0" w:afterAutospacing="0"/>
                    <w:ind w:left="0" w:leftChars="0" w:right="0" w:rightChars="0"/>
                    <w:jc w:val="center"/>
                    <w:rPr>
                      <w:rFonts w:hint="eastAsia" w:ascii="Times New Roman" w:hAnsi="Times New Roman" w:eastAsia="宋体" w:cs="Times New Roman"/>
                      <w:color w:val="auto"/>
                      <w:sz w:val="21"/>
                      <w:szCs w:val="21"/>
                    </w:rPr>
                  </w:pPr>
                  <w:r>
                    <w:rPr>
                      <w:rFonts w:hint="eastAsia" w:ascii="Times New Roman" w:hAnsi="Times New Roman" w:eastAsia="宋体" w:cs="Times New Roman"/>
                      <w:color w:val="auto"/>
                      <w:sz w:val="21"/>
                      <w:szCs w:val="21"/>
                      <w:lang w:val="en-US" w:eastAsia="zh-CN"/>
                    </w:rPr>
                    <w:t>不涉及</w:t>
                  </w:r>
                </w:p>
              </w:tc>
            </w:tr>
            <w:tr w14:paraId="136EDA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74" w:type="dxa"/>
                  <w:vAlign w:val="center"/>
                </w:tcPr>
                <w:p w14:paraId="2105695E">
                  <w:pPr>
                    <w:keepNext w:val="0"/>
                    <w:keepLines w:val="0"/>
                    <w:suppressLineNumbers w:val="0"/>
                    <w:spacing w:before="0" w:beforeAutospacing="0" w:after="0" w:afterAutospacing="0"/>
                    <w:ind w:left="0" w:right="0"/>
                    <w:jc w:val="center"/>
                    <w:rPr>
                      <w:rFonts w:hint="eastAsia" w:ascii="Times New Roman" w:hAnsi="Times New Roman" w:eastAsia="宋体" w:cs="Times New Roman"/>
                      <w:color w:val="auto"/>
                      <w:sz w:val="21"/>
                      <w:szCs w:val="21"/>
                    </w:rPr>
                  </w:pPr>
                  <w:r>
                    <w:rPr>
                      <w:rFonts w:hint="eastAsia" w:ascii="Times New Roman" w:hAnsi="Times New Roman" w:eastAsia="宋体" w:cs="Times New Roman"/>
                      <w:color w:val="auto"/>
                      <w:sz w:val="21"/>
                      <w:szCs w:val="21"/>
                    </w:rPr>
                    <w:t>环境管理</w:t>
                  </w:r>
                </w:p>
              </w:tc>
              <w:tc>
                <w:tcPr>
                  <w:tcW w:w="1600" w:type="dxa"/>
                  <w:vAlign w:val="center"/>
                </w:tcPr>
                <w:p w14:paraId="77415CA9">
                  <w:pPr>
                    <w:keepNext w:val="0"/>
                    <w:keepLines w:val="0"/>
                    <w:suppressLineNumbers w:val="0"/>
                    <w:spacing w:before="0" w:beforeAutospacing="0" w:after="0" w:afterAutospacing="0"/>
                    <w:ind w:left="0" w:right="0"/>
                    <w:jc w:val="center"/>
                    <w:rPr>
                      <w:rFonts w:hint="eastAsia" w:ascii="Times New Roman" w:hAnsi="Times New Roman" w:eastAsia="宋体" w:cs="Times New Roman"/>
                      <w:color w:val="auto"/>
                      <w:sz w:val="21"/>
                      <w:szCs w:val="21"/>
                    </w:rPr>
                  </w:pPr>
                  <w:r>
                    <w:rPr>
                      <w:rFonts w:hint="eastAsia" w:ascii="Times New Roman" w:hAnsi="Times New Roman" w:eastAsia="宋体" w:cs="Times New Roman"/>
                      <w:color w:val="auto"/>
                      <w:sz w:val="21"/>
                      <w:szCs w:val="21"/>
                    </w:rPr>
                    <w:t>区域内企业环评三同时执行率未达到100%。</w:t>
                  </w:r>
                </w:p>
              </w:tc>
              <w:tc>
                <w:tcPr>
                  <w:tcW w:w="1653" w:type="dxa"/>
                  <w:vAlign w:val="center"/>
                </w:tcPr>
                <w:p w14:paraId="5CBCAF6C">
                  <w:pPr>
                    <w:keepNext w:val="0"/>
                    <w:keepLines w:val="0"/>
                    <w:suppressLineNumbers w:val="0"/>
                    <w:spacing w:before="0" w:beforeAutospacing="0" w:after="0" w:afterAutospacing="0"/>
                    <w:ind w:left="0" w:right="0"/>
                    <w:jc w:val="center"/>
                    <w:rPr>
                      <w:rFonts w:hint="eastAsia" w:ascii="Times New Roman" w:hAnsi="Times New Roman" w:eastAsia="宋体" w:cs="Times New Roman"/>
                      <w:color w:val="auto"/>
                      <w:sz w:val="21"/>
                      <w:szCs w:val="21"/>
                    </w:rPr>
                  </w:pPr>
                  <w:r>
                    <w:rPr>
                      <w:rFonts w:hint="eastAsia" w:ascii="Times New Roman" w:hAnsi="Times New Roman" w:eastAsia="宋体" w:cs="Times New Roman"/>
                      <w:color w:val="auto"/>
                      <w:sz w:val="21"/>
                      <w:szCs w:val="21"/>
                    </w:rPr>
                    <w:t>要求未进行环境影响评价的企业限期完成环评，对</w:t>
                  </w:r>
                  <w:r>
                    <w:rPr>
                      <w:rFonts w:hint="eastAsia" w:ascii="Times New Roman" w:hAnsi="Times New Roman" w:eastAsia="宋体" w:cs="Times New Roman"/>
                      <w:color w:val="auto"/>
                      <w:sz w:val="21"/>
                      <w:szCs w:val="21"/>
                      <w:lang w:eastAsia="zh-CN"/>
                    </w:rPr>
                    <w:t>“</w:t>
                  </w:r>
                  <w:r>
                    <w:rPr>
                      <w:rFonts w:hint="eastAsia" w:ascii="Times New Roman" w:hAnsi="Times New Roman" w:eastAsia="宋体" w:cs="Times New Roman"/>
                      <w:color w:val="auto"/>
                      <w:sz w:val="21"/>
                      <w:szCs w:val="21"/>
                    </w:rPr>
                    <w:t>久试不验</w:t>
                  </w:r>
                  <w:r>
                    <w:rPr>
                      <w:rFonts w:hint="eastAsia" w:ascii="Times New Roman" w:hAnsi="Times New Roman" w:eastAsia="宋体" w:cs="Times New Roman"/>
                      <w:color w:val="auto"/>
                      <w:sz w:val="21"/>
                      <w:szCs w:val="21"/>
                      <w:lang w:eastAsia="zh-CN"/>
                    </w:rPr>
                    <w:t>”</w:t>
                  </w:r>
                  <w:r>
                    <w:rPr>
                      <w:rFonts w:hint="eastAsia" w:ascii="Times New Roman" w:hAnsi="Times New Roman" w:eastAsia="宋体" w:cs="Times New Roman"/>
                      <w:color w:val="auto"/>
                      <w:sz w:val="21"/>
                      <w:szCs w:val="21"/>
                    </w:rPr>
                    <w:t>的企业限期完成验收。对未批先建、未验先投项目，按照《关于建设项目</w:t>
                  </w:r>
                  <w:r>
                    <w:rPr>
                      <w:rFonts w:hint="eastAsia" w:ascii="Times New Roman" w:hAnsi="Times New Roman" w:eastAsia="宋体" w:cs="Times New Roman"/>
                      <w:color w:val="auto"/>
                      <w:sz w:val="21"/>
                      <w:szCs w:val="21"/>
                      <w:lang w:eastAsia="zh-CN"/>
                    </w:rPr>
                    <w:t>“</w:t>
                  </w:r>
                  <w:r>
                    <w:rPr>
                      <w:rFonts w:hint="eastAsia" w:ascii="Times New Roman" w:hAnsi="Times New Roman" w:eastAsia="宋体" w:cs="Times New Roman"/>
                      <w:color w:val="auto"/>
                      <w:sz w:val="21"/>
                      <w:szCs w:val="21"/>
                    </w:rPr>
                    <w:t>未批先建</w:t>
                  </w:r>
                  <w:r>
                    <w:rPr>
                      <w:rFonts w:hint="eastAsia" w:ascii="Times New Roman" w:hAnsi="Times New Roman" w:eastAsia="宋体" w:cs="Times New Roman"/>
                      <w:color w:val="auto"/>
                      <w:sz w:val="21"/>
                      <w:szCs w:val="21"/>
                      <w:lang w:eastAsia="zh-CN"/>
                    </w:rPr>
                    <w:t>”</w:t>
                  </w:r>
                  <w:r>
                    <w:rPr>
                      <w:rFonts w:hint="eastAsia" w:ascii="Times New Roman" w:hAnsi="Times New Roman" w:eastAsia="宋体" w:cs="Times New Roman"/>
                      <w:color w:val="auto"/>
                      <w:sz w:val="21"/>
                      <w:szCs w:val="21"/>
                    </w:rPr>
                    <w:t>违法行为法律适用问题的意见》</w:t>
                  </w:r>
                  <w:r>
                    <w:rPr>
                      <w:rFonts w:hint="eastAsia" w:ascii="Times New Roman" w:hAnsi="Times New Roman" w:eastAsia="宋体" w:cs="Times New Roman"/>
                      <w:color w:val="auto"/>
                      <w:sz w:val="21"/>
                      <w:szCs w:val="21"/>
                      <w:lang w:eastAsia="zh-CN"/>
                    </w:rPr>
                    <w:t>（</w:t>
                  </w:r>
                  <w:r>
                    <w:rPr>
                      <w:rFonts w:hint="eastAsia" w:ascii="Times New Roman" w:hAnsi="Times New Roman" w:eastAsia="宋体" w:cs="Times New Roman"/>
                      <w:color w:val="auto"/>
                      <w:sz w:val="21"/>
                      <w:szCs w:val="21"/>
                    </w:rPr>
                    <w:t>环政法函[</w:t>
                  </w:r>
                  <w:r>
                    <w:rPr>
                      <w:rFonts w:hint="eastAsia" w:ascii="Times New Roman" w:hAnsi="Times New Roman" w:eastAsia="宋体" w:cs="Times New Roman"/>
                      <w:color w:val="auto"/>
                      <w:sz w:val="21"/>
                      <w:szCs w:val="21"/>
                    </w:rPr>
                    <w:fldChar w:fldCharType="begin"/>
                  </w:r>
                  <w:r>
                    <w:rPr>
                      <w:rFonts w:hint="eastAsia" w:ascii="Times New Roman" w:hAnsi="Times New Roman" w:eastAsia="宋体" w:cs="Times New Roman"/>
                      <w:color w:val="auto"/>
                      <w:sz w:val="21"/>
                      <w:szCs w:val="21"/>
                    </w:rPr>
                    <w:instrText xml:space="preserve"> HYPERLINK \l "bookmark1" </w:instrText>
                  </w:r>
                  <w:r>
                    <w:rPr>
                      <w:rFonts w:hint="eastAsia" w:ascii="Times New Roman" w:hAnsi="Times New Roman" w:eastAsia="宋体" w:cs="Times New Roman"/>
                      <w:color w:val="auto"/>
                      <w:sz w:val="21"/>
                      <w:szCs w:val="21"/>
                    </w:rPr>
                    <w:fldChar w:fldCharType="separate"/>
                  </w:r>
                  <w:r>
                    <w:rPr>
                      <w:rFonts w:hint="eastAsia" w:ascii="Times New Roman" w:hAnsi="Times New Roman" w:eastAsia="宋体" w:cs="Times New Roman"/>
                      <w:color w:val="auto"/>
                      <w:sz w:val="21"/>
                      <w:szCs w:val="21"/>
                    </w:rPr>
                    <w:t>2018</w:t>
                  </w:r>
                  <w:r>
                    <w:rPr>
                      <w:rFonts w:hint="eastAsia" w:ascii="Times New Roman" w:hAnsi="Times New Roman" w:eastAsia="宋体" w:cs="Times New Roman"/>
                      <w:color w:val="auto"/>
                      <w:sz w:val="21"/>
                      <w:szCs w:val="21"/>
                    </w:rPr>
                    <w:fldChar w:fldCharType="end"/>
                  </w:r>
                  <w:r>
                    <w:rPr>
                      <w:rFonts w:hint="eastAsia" w:ascii="Times New Roman" w:hAnsi="Times New Roman" w:eastAsia="宋体" w:cs="Times New Roman"/>
                      <w:color w:val="auto"/>
                      <w:sz w:val="21"/>
                      <w:szCs w:val="21"/>
                    </w:rPr>
                    <w:t>]31号</w:t>
                  </w:r>
                  <w:r>
                    <w:rPr>
                      <w:rFonts w:hint="eastAsia" w:ascii="Times New Roman" w:hAnsi="Times New Roman" w:eastAsia="宋体" w:cs="Times New Roman"/>
                      <w:color w:val="auto"/>
                      <w:sz w:val="21"/>
                      <w:szCs w:val="21"/>
                      <w:lang w:eastAsia="zh-CN"/>
                    </w:rPr>
                    <w:t>）</w:t>
                  </w:r>
                  <w:r>
                    <w:rPr>
                      <w:rFonts w:hint="eastAsia" w:ascii="Times New Roman" w:hAnsi="Times New Roman" w:eastAsia="宋体" w:cs="Times New Roman"/>
                      <w:color w:val="auto"/>
                      <w:sz w:val="21"/>
                      <w:szCs w:val="21"/>
                    </w:rPr>
                    <w:t>、《关于加强</w:t>
                  </w:r>
                  <w:r>
                    <w:rPr>
                      <w:rFonts w:hint="eastAsia" w:ascii="Times New Roman" w:hAnsi="Times New Roman" w:eastAsia="宋体" w:cs="Times New Roman"/>
                      <w:color w:val="auto"/>
                      <w:sz w:val="21"/>
                      <w:szCs w:val="21"/>
                      <w:lang w:eastAsia="zh-CN"/>
                    </w:rPr>
                    <w:t>“</w:t>
                  </w:r>
                  <w:r>
                    <w:rPr>
                      <w:rFonts w:hint="eastAsia" w:ascii="Times New Roman" w:hAnsi="Times New Roman" w:eastAsia="宋体" w:cs="Times New Roman"/>
                      <w:color w:val="auto"/>
                      <w:sz w:val="21"/>
                      <w:szCs w:val="21"/>
                    </w:rPr>
                    <w:t>未批先建</w:t>
                  </w:r>
                  <w:r>
                    <w:rPr>
                      <w:rFonts w:hint="eastAsia" w:ascii="Times New Roman" w:hAnsi="Times New Roman" w:eastAsia="宋体" w:cs="Times New Roman"/>
                      <w:color w:val="auto"/>
                      <w:sz w:val="21"/>
                      <w:szCs w:val="21"/>
                      <w:lang w:eastAsia="zh-CN"/>
                    </w:rPr>
                    <w:t>”</w:t>
                  </w:r>
                  <w:r>
                    <w:rPr>
                      <w:rFonts w:hint="eastAsia" w:ascii="Times New Roman" w:hAnsi="Times New Roman" w:eastAsia="宋体" w:cs="Times New Roman"/>
                      <w:color w:val="auto"/>
                      <w:sz w:val="21"/>
                      <w:szCs w:val="21"/>
                    </w:rPr>
                    <w:t>建设项目环境影响评价管理工作的通知》（环办环评〔2018〕18号）等文件执行。</w:t>
                  </w:r>
                </w:p>
              </w:tc>
              <w:tc>
                <w:tcPr>
                  <w:tcW w:w="1834" w:type="dxa"/>
                  <w:vAlign w:val="center"/>
                </w:tcPr>
                <w:p w14:paraId="63941D93">
                  <w:pPr>
                    <w:keepNext w:val="0"/>
                    <w:keepLines w:val="0"/>
                    <w:suppressLineNumbers w:val="0"/>
                    <w:spacing w:before="0" w:beforeAutospacing="0" w:after="0" w:afterAutospacing="0"/>
                    <w:ind w:left="0" w:right="0"/>
                    <w:jc w:val="center"/>
                    <w:rPr>
                      <w:rFonts w:hint="eastAsia" w:ascii="Times New Roman" w:hAnsi="Times New Roman" w:eastAsia="宋体" w:cs="Times New Roman"/>
                      <w:color w:val="auto"/>
                      <w:sz w:val="21"/>
                      <w:szCs w:val="21"/>
                    </w:rPr>
                  </w:pPr>
                  <w:r>
                    <w:rPr>
                      <w:rFonts w:hint="eastAsia" w:ascii="Times New Roman" w:hAnsi="Times New Roman" w:eastAsia="宋体" w:cs="Times New Roman"/>
                      <w:color w:val="auto"/>
                      <w:sz w:val="21"/>
                      <w:szCs w:val="21"/>
                    </w:rPr>
                    <w:t>将持续开展建设项目环保</w:t>
                  </w:r>
                  <w:r>
                    <w:rPr>
                      <w:rFonts w:hint="eastAsia" w:ascii="Times New Roman" w:hAnsi="Times New Roman" w:eastAsia="宋体" w:cs="Times New Roman"/>
                      <w:color w:val="auto"/>
                      <w:sz w:val="21"/>
                      <w:szCs w:val="21"/>
                      <w:lang w:eastAsia="zh-CN"/>
                    </w:rPr>
                    <w:t>“</w:t>
                  </w:r>
                  <w:r>
                    <w:rPr>
                      <w:rFonts w:hint="eastAsia" w:ascii="Times New Roman" w:hAnsi="Times New Roman" w:eastAsia="宋体" w:cs="Times New Roman"/>
                      <w:color w:val="auto"/>
                      <w:sz w:val="21"/>
                      <w:szCs w:val="21"/>
                    </w:rPr>
                    <w:t>三同时</w:t>
                  </w:r>
                  <w:r>
                    <w:rPr>
                      <w:rFonts w:hint="eastAsia" w:ascii="Times New Roman" w:hAnsi="Times New Roman" w:eastAsia="宋体" w:cs="Times New Roman"/>
                      <w:color w:val="auto"/>
                      <w:sz w:val="21"/>
                      <w:szCs w:val="21"/>
                      <w:lang w:eastAsia="zh-CN"/>
                    </w:rPr>
                    <w:t>”</w:t>
                  </w:r>
                  <w:r>
                    <w:rPr>
                      <w:rFonts w:hint="eastAsia" w:ascii="Times New Roman" w:hAnsi="Times New Roman" w:eastAsia="宋体" w:cs="Times New Roman"/>
                      <w:color w:val="auto"/>
                      <w:sz w:val="21"/>
                      <w:szCs w:val="21"/>
                    </w:rPr>
                    <w:t>验收</w:t>
                  </w:r>
                  <w:r>
                    <w:rPr>
                      <w:rFonts w:hint="eastAsia" w:ascii="Times New Roman" w:hAnsi="Times New Roman" w:eastAsia="宋体" w:cs="Times New Roman"/>
                      <w:color w:val="auto"/>
                      <w:sz w:val="21"/>
                      <w:szCs w:val="21"/>
                      <w:lang w:eastAsia="zh-CN"/>
                    </w:rPr>
                    <w:t>“</w:t>
                  </w:r>
                  <w:r>
                    <w:rPr>
                      <w:rFonts w:hint="eastAsia" w:ascii="Times New Roman" w:hAnsi="Times New Roman" w:eastAsia="宋体" w:cs="Times New Roman"/>
                      <w:color w:val="auto"/>
                      <w:sz w:val="21"/>
                      <w:szCs w:val="21"/>
                    </w:rPr>
                    <w:t>清零</w:t>
                  </w:r>
                  <w:r>
                    <w:rPr>
                      <w:rFonts w:hint="eastAsia" w:ascii="Times New Roman" w:hAnsi="Times New Roman" w:eastAsia="宋体" w:cs="Times New Roman"/>
                      <w:color w:val="auto"/>
                      <w:sz w:val="21"/>
                      <w:szCs w:val="21"/>
                      <w:lang w:eastAsia="zh-CN"/>
                    </w:rPr>
                    <w:t>”</w:t>
                  </w:r>
                  <w:r>
                    <w:rPr>
                      <w:rFonts w:hint="eastAsia" w:ascii="Times New Roman" w:hAnsi="Times New Roman" w:eastAsia="宋体" w:cs="Times New Roman"/>
                      <w:color w:val="auto"/>
                      <w:sz w:val="21"/>
                      <w:szCs w:val="21"/>
                    </w:rPr>
                    <w:t>工作，对建设项目环境保护</w:t>
                  </w:r>
                  <w:r>
                    <w:rPr>
                      <w:rFonts w:hint="eastAsia" w:ascii="Times New Roman" w:hAnsi="Times New Roman" w:eastAsia="宋体" w:cs="Times New Roman"/>
                      <w:color w:val="auto"/>
                      <w:sz w:val="21"/>
                      <w:szCs w:val="21"/>
                      <w:lang w:eastAsia="zh-CN"/>
                    </w:rPr>
                    <w:t>“</w:t>
                  </w:r>
                  <w:r>
                    <w:rPr>
                      <w:rFonts w:hint="eastAsia" w:ascii="Times New Roman" w:hAnsi="Times New Roman" w:eastAsia="宋体" w:cs="Times New Roman"/>
                      <w:color w:val="auto"/>
                      <w:sz w:val="21"/>
                      <w:szCs w:val="21"/>
                    </w:rPr>
                    <w:t>三同时</w:t>
                  </w:r>
                  <w:r>
                    <w:rPr>
                      <w:rFonts w:hint="eastAsia" w:ascii="Times New Roman" w:hAnsi="Times New Roman" w:eastAsia="宋体" w:cs="Times New Roman"/>
                      <w:color w:val="auto"/>
                      <w:sz w:val="21"/>
                      <w:szCs w:val="21"/>
                      <w:lang w:eastAsia="zh-CN"/>
                    </w:rPr>
                    <w:t>”</w:t>
                  </w:r>
                  <w:r>
                    <w:rPr>
                      <w:rFonts w:hint="eastAsia" w:ascii="Times New Roman" w:hAnsi="Times New Roman" w:eastAsia="宋体" w:cs="Times New Roman"/>
                      <w:color w:val="auto"/>
                      <w:sz w:val="21"/>
                      <w:szCs w:val="21"/>
                    </w:rPr>
                    <w:t>制度落实和竣工环境保护自主验收工作开展专项检查，督促企业依法完成验收工作。对久拖不验的，将依法处罚。</w:t>
                  </w:r>
                </w:p>
              </w:tc>
              <w:tc>
                <w:tcPr>
                  <w:tcW w:w="1259" w:type="dxa"/>
                  <w:vAlign w:val="center"/>
                </w:tcPr>
                <w:p w14:paraId="771F870B">
                  <w:pPr>
                    <w:keepNext w:val="0"/>
                    <w:keepLines w:val="0"/>
                    <w:suppressLineNumbers w:val="0"/>
                    <w:spacing w:before="0" w:beforeAutospacing="0" w:after="0" w:afterAutospacing="0"/>
                    <w:ind w:left="0" w:right="0"/>
                    <w:jc w:val="center"/>
                    <w:rPr>
                      <w:rFonts w:hint="eastAsia" w:ascii="Times New Roman" w:hAnsi="Times New Roman" w:eastAsia="宋体" w:cs="Times New Roman"/>
                      <w:color w:val="auto"/>
                      <w:sz w:val="21"/>
                      <w:szCs w:val="21"/>
                    </w:rPr>
                  </w:pPr>
                  <w:r>
                    <w:rPr>
                      <w:rFonts w:hint="eastAsia" w:ascii="Times New Roman" w:hAnsi="Times New Roman" w:eastAsia="宋体" w:cs="Times New Roman"/>
                      <w:color w:val="auto"/>
                      <w:sz w:val="21"/>
                      <w:szCs w:val="21"/>
                    </w:rPr>
                    <w:t>本项目将严格落实环境保护</w:t>
                  </w:r>
                  <w:r>
                    <w:rPr>
                      <w:rFonts w:hint="eastAsia" w:ascii="Times New Roman" w:hAnsi="Times New Roman" w:eastAsia="宋体" w:cs="Times New Roman"/>
                      <w:color w:val="auto"/>
                      <w:sz w:val="21"/>
                      <w:szCs w:val="21"/>
                      <w:lang w:eastAsia="zh-CN"/>
                    </w:rPr>
                    <w:t>“</w:t>
                  </w:r>
                  <w:r>
                    <w:rPr>
                      <w:rFonts w:hint="eastAsia" w:ascii="Times New Roman" w:hAnsi="Times New Roman" w:eastAsia="宋体" w:cs="Times New Roman"/>
                      <w:color w:val="auto"/>
                      <w:sz w:val="21"/>
                      <w:szCs w:val="21"/>
                    </w:rPr>
                    <w:t>三同时</w:t>
                  </w:r>
                  <w:r>
                    <w:rPr>
                      <w:rFonts w:hint="eastAsia" w:ascii="Times New Roman" w:hAnsi="Times New Roman" w:eastAsia="宋体" w:cs="Times New Roman"/>
                      <w:color w:val="auto"/>
                      <w:sz w:val="21"/>
                      <w:szCs w:val="21"/>
                      <w:lang w:eastAsia="zh-CN"/>
                    </w:rPr>
                    <w:t>”</w:t>
                  </w:r>
                  <w:r>
                    <w:rPr>
                      <w:rFonts w:hint="eastAsia" w:ascii="Times New Roman" w:hAnsi="Times New Roman" w:eastAsia="宋体" w:cs="Times New Roman"/>
                      <w:color w:val="auto"/>
                      <w:sz w:val="21"/>
                      <w:szCs w:val="21"/>
                    </w:rPr>
                    <w:t>制度，依法完成验收工作。</w:t>
                  </w:r>
                </w:p>
              </w:tc>
              <w:tc>
                <w:tcPr>
                  <w:tcW w:w="691" w:type="dxa"/>
                  <w:vAlign w:val="center"/>
                </w:tcPr>
                <w:p w14:paraId="7088D0EF">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 w:val="21"/>
                      <w:szCs w:val="21"/>
                      <w:lang w:val="en-US" w:eastAsia="zh-CN"/>
                    </w:rPr>
                  </w:pPr>
                  <w:r>
                    <w:rPr>
                      <w:rFonts w:hint="eastAsia" w:ascii="Times New Roman" w:hAnsi="Times New Roman" w:eastAsia="宋体" w:cs="Times New Roman"/>
                      <w:color w:val="auto"/>
                      <w:sz w:val="21"/>
                      <w:szCs w:val="21"/>
                      <w:lang w:val="en-US" w:eastAsia="zh-CN"/>
                    </w:rPr>
                    <w:t>符合</w:t>
                  </w:r>
                </w:p>
              </w:tc>
            </w:tr>
          </w:tbl>
          <w:p w14:paraId="4847A2FE">
            <w:pPr>
              <w:keepNext w:val="0"/>
              <w:keepLines w:val="0"/>
              <w:suppressLineNumbers w:val="0"/>
              <w:spacing w:before="0" w:beforeAutospacing="0" w:after="0" w:afterAutospacing="0" w:line="360" w:lineRule="auto"/>
              <w:ind w:left="0" w:right="0" w:firstLine="480" w:firstLineChars="200"/>
              <w:rPr>
                <w:rFonts w:hint="eastAsia" w:ascii="Times New Roman" w:hAnsi="Times New Roman" w:eastAsia="宋体" w:cs="Times New Roman"/>
                <w:color w:val="auto"/>
                <w:sz w:val="24"/>
              </w:rPr>
            </w:pPr>
            <w:r>
              <w:rPr>
                <w:rFonts w:hint="eastAsia" w:ascii="Times New Roman" w:hAnsi="Times New Roman" w:eastAsia="宋体" w:cs="Times New Roman"/>
                <w:color w:val="auto"/>
                <w:sz w:val="24"/>
              </w:rPr>
              <w:t>（3）污染物排放总量管控限值清单</w:t>
            </w:r>
          </w:p>
          <w:p w14:paraId="42371B46">
            <w:pPr>
              <w:keepNext w:val="0"/>
              <w:keepLines w:val="0"/>
              <w:suppressLineNumbers w:val="0"/>
              <w:spacing w:before="0" w:beforeAutospacing="0" w:after="0" w:afterAutospacing="0" w:line="360" w:lineRule="auto"/>
              <w:ind w:left="0" w:right="0" w:firstLine="480" w:firstLineChars="200"/>
              <w:rPr>
                <w:rFonts w:hint="eastAsia" w:ascii="Times New Roman" w:hAnsi="Times New Roman" w:eastAsia="宋体" w:cs="Times New Roman"/>
                <w:color w:val="FF0000"/>
                <w:sz w:val="24"/>
                <w:lang w:eastAsia="zh-CN"/>
              </w:rPr>
            </w:pPr>
            <w:r>
              <w:rPr>
                <w:rFonts w:hint="eastAsia" w:ascii="Times New Roman" w:hAnsi="Times New Roman" w:eastAsia="宋体" w:cs="Times New Roman"/>
                <w:color w:val="FF0000"/>
                <w:sz w:val="24"/>
              </w:rPr>
              <w:t>本项目各类污染物经过治理后达标排放，污染物可以得到有效控制。本项目总量控制因子为COD</w:t>
            </w:r>
            <w:r>
              <w:rPr>
                <w:rFonts w:hint="eastAsia" w:ascii="Times New Roman" w:hAnsi="Times New Roman" w:eastAsia="宋体" w:cs="Times New Roman"/>
                <w:color w:val="FF0000"/>
                <w:sz w:val="24"/>
                <w:vertAlign w:val="subscript"/>
                <w:lang w:val="en-US" w:eastAsia="zh-CN"/>
              </w:rPr>
              <w:t>Cr</w:t>
            </w:r>
            <w:r>
              <w:rPr>
                <w:rFonts w:hint="eastAsia" w:ascii="Times New Roman" w:hAnsi="Times New Roman" w:eastAsia="宋体" w:cs="Times New Roman"/>
                <w:color w:val="FF0000"/>
                <w:sz w:val="24"/>
              </w:rPr>
              <w:t>、NH</w:t>
            </w:r>
            <w:r>
              <w:rPr>
                <w:rFonts w:hint="eastAsia" w:ascii="Times New Roman" w:hAnsi="Times New Roman" w:eastAsia="宋体" w:cs="Times New Roman"/>
                <w:color w:val="FF0000"/>
                <w:sz w:val="24"/>
                <w:vertAlign w:val="subscript"/>
              </w:rPr>
              <w:t>3</w:t>
            </w:r>
            <w:r>
              <w:rPr>
                <w:rFonts w:hint="eastAsia" w:ascii="Times New Roman" w:hAnsi="Times New Roman" w:eastAsia="宋体" w:cs="Times New Roman"/>
                <w:color w:val="FF0000"/>
                <w:sz w:val="24"/>
              </w:rPr>
              <w:t>-N</w:t>
            </w:r>
            <w:r>
              <w:rPr>
                <w:rFonts w:hint="eastAsia" w:ascii="Times New Roman" w:hAnsi="Times New Roman" w:eastAsia="宋体" w:cs="Times New Roman"/>
                <w:color w:val="FF0000"/>
                <w:sz w:val="24"/>
                <w:lang w:eastAsia="zh-CN"/>
              </w:rPr>
              <w:t>、</w:t>
            </w:r>
            <w:r>
              <w:rPr>
                <w:rFonts w:hint="eastAsia" w:ascii="Times New Roman" w:hAnsi="Times New Roman" w:eastAsia="宋体" w:cs="Times New Roman"/>
                <w:color w:val="FF0000"/>
                <w:sz w:val="24"/>
              </w:rPr>
              <w:t>工业烟粉尘和VOCs</w:t>
            </w:r>
            <w:r>
              <w:rPr>
                <w:rFonts w:hint="eastAsia" w:ascii="Times New Roman" w:hAnsi="Times New Roman" w:eastAsia="宋体" w:cs="Times New Roman"/>
                <w:color w:val="FF0000"/>
                <w:sz w:val="24"/>
                <w:lang w:eastAsia="zh-CN"/>
              </w:rPr>
              <w:t>。</w:t>
            </w:r>
          </w:p>
          <w:p w14:paraId="78AED85F">
            <w:pPr>
              <w:keepNext w:val="0"/>
              <w:keepLines w:val="0"/>
              <w:suppressLineNumbers w:val="0"/>
              <w:spacing w:before="0" w:beforeAutospacing="0" w:after="0" w:afterAutospacing="0" w:line="360" w:lineRule="auto"/>
              <w:ind w:left="0" w:right="0" w:firstLine="480" w:firstLineChars="200"/>
              <w:rPr>
                <w:rFonts w:hint="eastAsia" w:ascii="Times New Roman" w:hAnsi="Times New Roman" w:eastAsia="宋体" w:cs="Times New Roman"/>
                <w:color w:val="FF0000"/>
                <w:sz w:val="24"/>
              </w:rPr>
            </w:pPr>
            <w:r>
              <w:rPr>
                <w:rFonts w:hint="eastAsia" w:ascii="Times New Roman" w:hAnsi="Times New Roman" w:eastAsia="宋体" w:cs="Times New Roman"/>
                <w:color w:val="FF0000"/>
                <w:sz w:val="24"/>
                <w:lang w:val="en-US" w:eastAsia="zh-CN"/>
              </w:rPr>
              <w:t>本项目营运期不排放生产废水，仅经出租方化粪池处理后排入周边市政污水管网，由市政污水管网纳入安吉清源污水处理有限公司处理，生活污水无需替代削减，因此本项目产生的COD</w:t>
            </w:r>
            <w:r>
              <w:rPr>
                <w:rFonts w:hint="eastAsia" w:ascii="Times New Roman" w:hAnsi="Times New Roman" w:eastAsia="宋体" w:cs="Times New Roman"/>
                <w:color w:val="FF0000"/>
                <w:sz w:val="24"/>
                <w:vertAlign w:val="subscript"/>
                <w:lang w:val="en-US" w:eastAsia="zh-CN"/>
              </w:rPr>
              <w:t>Cr</w:t>
            </w:r>
            <w:r>
              <w:rPr>
                <w:rFonts w:hint="eastAsia" w:ascii="Times New Roman" w:hAnsi="Times New Roman" w:eastAsia="宋体" w:cs="Times New Roman"/>
                <w:color w:val="FF0000"/>
                <w:sz w:val="24"/>
                <w:lang w:val="en-US" w:eastAsia="zh-CN"/>
              </w:rPr>
              <w:t>和NH</w:t>
            </w:r>
            <w:r>
              <w:rPr>
                <w:rFonts w:hint="eastAsia" w:ascii="Times New Roman" w:hAnsi="Times New Roman" w:eastAsia="宋体" w:cs="Times New Roman"/>
                <w:color w:val="FF0000"/>
                <w:sz w:val="24"/>
                <w:vertAlign w:val="subscript"/>
                <w:lang w:val="en-US" w:eastAsia="zh-CN"/>
              </w:rPr>
              <w:t>3</w:t>
            </w:r>
            <w:r>
              <w:rPr>
                <w:rFonts w:hint="eastAsia" w:ascii="Times New Roman" w:hAnsi="Times New Roman" w:eastAsia="宋体" w:cs="Times New Roman"/>
                <w:color w:val="FF0000"/>
                <w:sz w:val="24"/>
                <w:lang w:val="en-US" w:eastAsia="zh-CN"/>
              </w:rPr>
              <w:t>-N无需进行区域平衡替代削减；根据《湖州市生态环境局关于印发2026年湖州市建设项目主要大气污染物总量调剂指导意见的通知》（湖环函[2026]12号），工业烟粉尘和VOCs</w:t>
            </w:r>
            <w:r>
              <w:rPr>
                <w:rFonts w:hint="eastAsia" w:ascii="Times New Roman" w:hAnsi="Times New Roman" w:eastAsia="宋体" w:cs="Times New Roman"/>
                <w:color w:val="FF0000"/>
                <w:sz w:val="24"/>
              </w:rPr>
              <w:t>新增总量进行区域平衡替代削减，符合总量控制要求，不会突破规划区的总量限值。</w:t>
            </w:r>
            <w:commentRangeStart w:id="6"/>
            <w:commentRangeStart w:id="7"/>
            <w:r>
              <w:rPr>
                <w:rFonts w:hint="default"/>
                <w:color w:val="FF0000"/>
              </w:rPr>
              <w:commentReference w:id="6"/>
            </w:r>
            <w:commentRangeEnd w:id="6"/>
            <w:commentRangeEnd w:id="7"/>
            <w:r>
              <w:rPr>
                <w:rFonts w:hint="default"/>
              </w:rPr>
              <w:commentReference w:id="7"/>
            </w:r>
          </w:p>
          <w:p w14:paraId="69B0D984">
            <w:pPr>
              <w:keepNext w:val="0"/>
              <w:keepLines w:val="0"/>
              <w:suppressLineNumbers w:val="0"/>
              <w:spacing w:before="0" w:beforeAutospacing="0" w:after="0" w:afterAutospacing="0" w:line="360" w:lineRule="auto"/>
              <w:ind w:left="0" w:right="0" w:firstLine="480" w:firstLineChars="200"/>
              <w:rPr>
                <w:rFonts w:hint="eastAsia" w:ascii="Times New Roman" w:hAnsi="Times New Roman" w:eastAsia="宋体" w:cs="Times New Roman"/>
                <w:color w:val="auto"/>
                <w:sz w:val="24"/>
              </w:rPr>
            </w:pPr>
            <w:r>
              <w:rPr>
                <w:rFonts w:hint="eastAsia" w:ascii="Times New Roman" w:hAnsi="Times New Roman" w:eastAsia="宋体" w:cs="Times New Roman"/>
                <w:color w:val="auto"/>
                <w:sz w:val="24"/>
              </w:rPr>
              <w:t>（4）规划优化调整建议清单</w:t>
            </w:r>
          </w:p>
          <w:p w14:paraId="5A1F6C66">
            <w:pPr>
              <w:keepNext w:val="0"/>
              <w:keepLines w:val="0"/>
              <w:suppressLineNumbers w:val="0"/>
              <w:spacing w:before="0" w:beforeAutospacing="0" w:after="0" w:afterAutospacing="0" w:line="360" w:lineRule="auto"/>
              <w:ind w:left="0" w:right="0" w:firstLine="480" w:firstLineChars="200"/>
              <w:rPr>
                <w:rFonts w:hint="eastAsia" w:ascii="Times New Roman" w:hAnsi="Times New Roman" w:eastAsia="宋体" w:cs="Times New Roman"/>
                <w:color w:val="auto"/>
                <w:sz w:val="24"/>
              </w:rPr>
            </w:pPr>
            <w:r>
              <w:rPr>
                <w:rFonts w:hint="eastAsia" w:ascii="Times New Roman" w:hAnsi="Times New Roman" w:eastAsia="宋体" w:cs="Times New Roman"/>
                <w:color w:val="auto"/>
                <w:sz w:val="24"/>
              </w:rPr>
              <w:t>本项目</w:t>
            </w:r>
            <w:r>
              <w:rPr>
                <w:rFonts w:hint="eastAsia" w:ascii="Times New Roman" w:hAnsi="Times New Roman" w:eastAsia="宋体" w:cs="Times New Roman"/>
                <w:color w:val="auto"/>
                <w:sz w:val="24"/>
                <w:lang w:val="en-US" w:eastAsia="zh-CN"/>
              </w:rPr>
              <w:t>行业类别为</w:t>
            </w:r>
            <w:r>
              <w:rPr>
                <w:rFonts w:hint="eastAsia" w:ascii="Times New Roman" w:hAnsi="Times New Roman" w:eastAsia="宋体" w:cs="Times New Roman"/>
                <w:color w:val="auto"/>
                <w:sz w:val="24"/>
              </w:rPr>
              <w:t>C3670汽车零部件及配件制造、C2929塑料零件及其他塑料制品制造、C3034隔热和隔音材料制造，为二类工业项目，符合《产业结构调整指导目录</w:t>
            </w:r>
            <w:r>
              <w:rPr>
                <w:rFonts w:hint="eastAsia" w:ascii="Times New Roman" w:hAnsi="Times New Roman" w:eastAsia="宋体" w:cs="Times New Roman"/>
                <w:color w:val="auto"/>
                <w:sz w:val="24"/>
                <w:lang w:eastAsia="zh-CN"/>
              </w:rPr>
              <w:t>（</w:t>
            </w:r>
            <w:r>
              <w:rPr>
                <w:rFonts w:hint="eastAsia" w:ascii="Times New Roman" w:hAnsi="Times New Roman" w:eastAsia="宋体" w:cs="Times New Roman"/>
                <w:color w:val="auto"/>
                <w:sz w:val="24"/>
              </w:rPr>
              <w:t>2024年本</w:t>
            </w:r>
            <w:r>
              <w:rPr>
                <w:rFonts w:hint="eastAsia" w:ascii="Times New Roman" w:hAnsi="Times New Roman" w:eastAsia="宋体" w:cs="Times New Roman"/>
                <w:color w:val="auto"/>
                <w:sz w:val="24"/>
                <w:lang w:eastAsia="zh-CN"/>
              </w:rPr>
              <w:t>）</w:t>
            </w:r>
            <w:r>
              <w:rPr>
                <w:rFonts w:hint="eastAsia" w:ascii="Times New Roman" w:hAnsi="Times New Roman" w:eastAsia="宋体" w:cs="Times New Roman"/>
                <w:color w:val="auto"/>
                <w:sz w:val="24"/>
              </w:rPr>
              <w:t>》、《长江经济带发展负面清单指南</w:t>
            </w:r>
            <w:r>
              <w:rPr>
                <w:rFonts w:hint="eastAsia" w:ascii="Times New Roman" w:hAnsi="Times New Roman" w:eastAsia="宋体" w:cs="Times New Roman"/>
                <w:color w:val="auto"/>
                <w:sz w:val="24"/>
                <w:lang w:eastAsia="zh-CN"/>
              </w:rPr>
              <w:t>（</w:t>
            </w:r>
            <w:r>
              <w:rPr>
                <w:rFonts w:hint="eastAsia" w:ascii="Times New Roman" w:hAnsi="Times New Roman" w:eastAsia="宋体" w:cs="Times New Roman"/>
                <w:color w:val="auto"/>
                <w:sz w:val="24"/>
              </w:rPr>
              <w:t>试行，2022年版</w:t>
            </w:r>
            <w:r>
              <w:rPr>
                <w:rFonts w:hint="eastAsia" w:ascii="Times New Roman" w:hAnsi="Times New Roman" w:eastAsia="宋体" w:cs="Times New Roman"/>
                <w:color w:val="auto"/>
                <w:sz w:val="24"/>
                <w:lang w:eastAsia="zh-CN"/>
              </w:rPr>
              <w:t>）</w:t>
            </w:r>
            <w:r>
              <w:rPr>
                <w:rFonts w:hint="eastAsia" w:ascii="Times New Roman" w:hAnsi="Times New Roman" w:eastAsia="宋体" w:cs="Times New Roman"/>
                <w:color w:val="auto"/>
                <w:sz w:val="24"/>
              </w:rPr>
              <w:t>浙江省实施细则》以及《太湖流域水环境综合治理总体方案》等相关要求；项目不涉及氮、磷污染物的工业废水排放。因此，本项目的建设不涉及规划优化调整建议相关内容。</w:t>
            </w:r>
          </w:p>
          <w:p w14:paraId="08151D86">
            <w:pPr>
              <w:keepNext w:val="0"/>
              <w:keepLines w:val="0"/>
              <w:suppressLineNumbers w:val="0"/>
              <w:spacing w:before="0" w:beforeAutospacing="0" w:after="0" w:afterAutospacing="0" w:line="360" w:lineRule="auto"/>
              <w:ind w:left="0" w:right="0" w:firstLine="480" w:firstLineChars="200"/>
              <w:rPr>
                <w:rFonts w:hint="eastAsia" w:ascii="Times New Roman" w:hAnsi="Times New Roman" w:eastAsia="宋体" w:cs="Times New Roman"/>
                <w:color w:val="auto"/>
                <w:sz w:val="24"/>
              </w:rPr>
            </w:pPr>
            <w:r>
              <w:rPr>
                <w:rFonts w:hint="eastAsia" w:ascii="Times New Roman" w:hAnsi="Times New Roman" w:eastAsia="宋体" w:cs="Times New Roman"/>
                <w:color w:val="auto"/>
                <w:sz w:val="24"/>
              </w:rPr>
              <w:t>（5）环境准入条件清单</w:t>
            </w:r>
          </w:p>
          <w:p w14:paraId="2A07D5CE">
            <w:pPr>
              <w:keepNext w:val="0"/>
              <w:keepLines w:val="0"/>
              <w:suppressLineNumbers w:val="0"/>
              <w:spacing w:before="0" w:beforeAutospacing="0" w:after="0" w:afterAutospacing="0" w:line="360" w:lineRule="auto"/>
              <w:ind w:left="0" w:right="0" w:firstLine="480" w:firstLineChars="200"/>
              <w:rPr>
                <w:rFonts w:hint="eastAsia" w:ascii="Times New Roman" w:hAnsi="Times New Roman" w:eastAsia="宋体" w:cs="Times New Roman"/>
                <w:color w:val="auto"/>
                <w:sz w:val="24"/>
              </w:rPr>
            </w:pPr>
            <w:r>
              <w:rPr>
                <w:rFonts w:hint="eastAsia" w:ascii="Times New Roman" w:hAnsi="Times New Roman" w:eastAsia="宋体" w:cs="Times New Roman"/>
                <w:color w:val="auto"/>
                <w:sz w:val="24"/>
                <w:lang w:val="en-US" w:eastAsia="zh-CN"/>
              </w:rPr>
              <w:t>本项目所在区域为湖州市安吉县天子湖镇产业集聚重点管控单元ZH33052320007，该区域单元的环境准入条件清单见下表。</w:t>
            </w:r>
          </w:p>
          <w:p w14:paraId="03A9F06D">
            <w:pPr>
              <w:keepNext w:val="0"/>
              <w:keepLines w:val="0"/>
              <w:suppressLineNumbers w:val="0"/>
              <w:spacing w:before="0" w:beforeAutospacing="0" w:after="0" w:afterAutospacing="0" w:line="240" w:lineRule="auto"/>
              <w:ind w:left="0" w:right="0"/>
              <w:jc w:val="center"/>
              <w:rPr>
                <w:rFonts w:hint="eastAsia" w:ascii="Times New Roman" w:hAnsi="Times New Roman" w:eastAsia="宋体" w:cs="Times New Roman"/>
                <w:color w:val="auto"/>
                <w:sz w:val="24"/>
              </w:rPr>
            </w:pPr>
            <w:r>
              <w:rPr>
                <w:rFonts w:hint="eastAsia" w:ascii="Times New Roman" w:hAnsi="Times New Roman" w:eastAsia="宋体" w:cs="Times New Roman"/>
                <w:b/>
                <w:bCs/>
                <w:color w:val="auto"/>
              </w:rPr>
              <w:t>表</w:t>
            </w:r>
            <w:r>
              <w:rPr>
                <w:rFonts w:hint="default" w:ascii="Times New Roman" w:hAnsi="Times New Roman" w:eastAsia="宋体" w:cs="Times New Roman"/>
                <w:b/>
                <w:bCs/>
                <w:color w:val="auto"/>
              </w:rPr>
              <w:t>1-</w:t>
            </w:r>
            <w:r>
              <w:rPr>
                <w:rFonts w:hint="eastAsia" w:ascii="Times New Roman" w:hAnsi="Times New Roman" w:eastAsia="宋体" w:cs="Times New Roman"/>
                <w:b/>
                <w:bCs/>
                <w:color w:val="auto"/>
                <w:lang w:val="en-US" w:eastAsia="zh-CN"/>
              </w:rPr>
              <w:t>4</w:t>
            </w:r>
            <w:r>
              <w:rPr>
                <w:rFonts w:hint="eastAsia" w:ascii="Times New Roman" w:hAnsi="Times New Roman" w:eastAsia="宋体" w:cs="Times New Roman"/>
                <w:b/>
                <w:bCs/>
                <w:color w:val="auto"/>
              </w:rPr>
              <w:t xml:space="preserve">  </w:t>
            </w:r>
            <w:r>
              <w:rPr>
                <w:rFonts w:hint="eastAsia" w:ascii="Times New Roman" w:hAnsi="Times New Roman" w:eastAsia="宋体" w:cs="Times New Roman"/>
                <w:b/>
                <w:bCs/>
                <w:color w:val="auto"/>
                <w:lang w:val="en-US" w:eastAsia="zh-CN"/>
              </w:rPr>
              <w:t>环境准入条件清单符合性分析</w:t>
            </w:r>
          </w:p>
          <w:tbl>
            <w:tblPr>
              <w:tblStyle w:val="23"/>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85"/>
              <w:gridCol w:w="886"/>
              <w:gridCol w:w="887"/>
              <w:gridCol w:w="887"/>
              <w:gridCol w:w="887"/>
              <w:gridCol w:w="887"/>
              <w:gridCol w:w="887"/>
              <w:gridCol w:w="887"/>
              <w:gridCol w:w="887"/>
            </w:tblGrid>
            <w:tr w14:paraId="577E11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jc w:val="center"/>
              </w:trPr>
              <w:tc>
                <w:tcPr>
                  <w:tcW w:w="1689" w:type="dxa"/>
                  <w:gridSpan w:val="2"/>
                  <w:vAlign w:val="center"/>
                </w:tcPr>
                <w:p w14:paraId="08D2F5CF">
                  <w:pPr>
                    <w:keepNext w:val="0"/>
                    <w:keepLines w:val="0"/>
                    <w:suppressLineNumbers w:val="0"/>
                    <w:spacing w:before="0" w:beforeAutospacing="0" w:after="0" w:afterAutospacing="0" w:line="240" w:lineRule="auto"/>
                    <w:ind w:left="0" w:right="0"/>
                    <w:jc w:val="center"/>
                    <w:rPr>
                      <w:rFonts w:hint="default" w:ascii="Times New Roman" w:hAnsi="Times New Roman" w:eastAsia="宋体" w:cs="Times New Roman"/>
                      <w:b/>
                      <w:bCs/>
                      <w:color w:val="auto"/>
                      <w:sz w:val="21"/>
                      <w:szCs w:val="21"/>
                      <w:vertAlign w:val="baseline"/>
                      <w:lang w:val="en-US" w:eastAsia="zh-CN"/>
                    </w:rPr>
                  </w:pPr>
                  <w:r>
                    <w:rPr>
                      <w:rFonts w:hint="eastAsia" w:ascii="Times New Roman" w:hAnsi="Times New Roman" w:eastAsia="宋体" w:cs="Times New Roman"/>
                      <w:b/>
                      <w:bCs/>
                      <w:color w:val="auto"/>
                      <w:sz w:val="21"/>
                      <w:szCs w:val="21"/>
                      <w:vertAlign w:val="baseline"/>
                      <w:lang w:val="en-US" w:eastAsia="zh-CN"/>
                    </w:rPr>
                    <w:t>项目分类</w:t>
                  </w:r>
                </w:p>
              </w:tc>
              <w:tc>
                <w:tcPr>
                  <w:tcW w:w="1692" w:type="dxa"/>
                  <w:gridSpan w:val="2"/>
                  <w:vAlign w:val="center"/>
                </w:tcPr>
                <w:p w14:paraId="5DE23C1D">
                  <w:pPr>
                    <w:keepNext w:val="0"/>
                    <w:keepLines w:val="0"/>
                    <w:suppressLineNumbers w:val="0"/>
                    <w:spacing w:before="0" w:beforeAutospacing="0" w:after="0" w:afterAutospacing="0" w:line="240" w:lineRule="auto"/>
                    <w:ind w:left="0" w:right="0"/>
                    <w:jc w:val="center"/>
                    <w:rPr>
                      <w:rFonts w:hint="default" w:ascii="Times New Roman" w:hAnsi="Times New Roman" w:eastAsia="宋体" w:cs="Times New Roman"/>
                      <w:b/>
                      <w:bCs/>
                      <w:color w:val="auto"/>
                      <w:sz w:val="21"/>
                      <w:szCs w:val="21"/>
                      <w:vertAlign w:val="baseline"/>
                      <w:lang w:val="en-US" w:eastAsia="zh-CN"/>
                    </w:rPr>
                  </w:pPr>
                  <w:r>
                    <w:rPr>
                      <w:rFonts w:hint="eastAsia" w:ascii="Times New Roman" w:hAnsi="Times New Roman" w:eastAsia="宋体" w:cs="Times New Roman"/>
                      <w:b/>
                      <w:bCs/>
                      <w:color w:val="auto"/>
                      <w:sz w:val="21"/>
                      <w:szCs w:val="21"/>
                      <w:vertAlign w:val="baseline"/>
                      <w:lang w:val="en-US" w:eastAsia="zh-CN"/>
                    </w:rPr>
                    <w:t>行业清单</w:t>
                  </w:r>
                </w:p>
              </w:tc>
              <w:tc>
                <w:tcPr>
                  <w:tcW w:w="1692" w:type="dxa"/>
                  <w:gridSpan w:val="2"/>
                  <w:vAlign w:val="center"/>
                </w:tcPr>
                <w:p w14:paraId="09A12D04">
                  <w:pPr>
                    <w:keepNext w:val="0"/>
                    <w:keepLines w:val="0"/>
                    <w:suppressLineNumbers w:val="0"/>
                    <w:spacing w:before="0" w:beforeAutospacing="0" w:after="0" w:afterAutospacing="0" w:line="240" w:lineRule="auto"/>
                    <w:ind w:left="0" w:right="0"/>
                    <w:jc w:val="center"/>
                    <w:rPr>
                      <w:rFonts w:hint="default" w:ascii="Times New Roman" w:hAnsi="Times New Roman" w:eastAsia="宋体" w:cs="Times New Roman"/>
                      <w:b/>
                      <w:bCs/>
                      <w:color w:val="auto"/>
                      <w:sz w:val="21"/>
                      <w:szCs w:val="21"/>
                      <w:vertAlign w:val="baseline"/>
                      <w:lang w:val="en-US" w:eastAsia="zh-CN"/>
                    </w:rPr>
                  </w:pPr>
                  <w:r>
                    <w:rPr>
                      <w:rFonts w:hint="eastAsia" w:ascii="Times New Roman" w:hAnsi="Times New Roman" w:eastAsia="宋体" w:cs="Times New Roman"/>
                      <w:b/>
                      <w:bCs/>
                      <w:color w:val="auto"/>
                      <w:sz w:val="21"/>
                      <w:szCs w:val="21"/>
                      <w:vertAlign w:val="baseline"/>
                      <w:lang w:val="en-US" w:eastAsia="zh-CN"/>
                    </w:rPr>
                    <w:t>工艺清单</w:t>
                  </w:r>
                </w:p>
              </w:tc>
              <w:tc>
                <w:tcPr>
                  <w:tcW w:w="1692" w:type="dxa"/>
                  <w:gridSpan w:val="2"/>
                  <w:vAlign w:val="center"/>
                </w:tcPr>
                <w:p w14:paraId="5CF78AFC">
                  <w:pPr>
                    <w:keepNext w:val="0"/>
                    <w:keepLines w:val="0"/>
                    <w:suppressLineNumbers w:val="0"/>
                    <w:spacing w:before="0" w:beforeAutospacing="0" w:after="0" w:afterAutospacing="0" w:line="240" w:lineRule="auto"/>
                    <w:ind w:left="0" w:right="0"/>
                    <w:jc w:val="center"/>
                    <w:rPr>
                      <w:rFonts w:hint="default" w:ascii="Times New Roman" w:hAnsi="Times New Roman" w:eastAsia="宋体" w:cs="Times New Roman"/>
                      <w:b/>
                      <w:bCs/>
                      <w:color w:val="auto"/>
                      <w:sz w:val="21"/>
                      <w:szCs w:val="21"/>
                      <w:vertAlign w:val="baseline"/>
                      <w:lang w:val="en-US" w:eastAsia="zh-CN"/>
                    </w:rPr>
                  </w:pPr>
                  <w:r>
                    <w:rPr>
                      <w:rFonts w:hint="eastAsia" w:ascii="Times New Roman" w:hAnsi="Times New Roman" w:eastAsia="宋体" w:cs="Times New Roman"/>
                      <w:b/>
                      <w:bCs/>
                      <w:color w:val="auto"/>
                      <w:sz w:val="21"/>
                      <w:szCs w:val="21"/>
                      <w:vertAlign w:val="baseline"/>
                      <w:lang w:val="en-US" w:eastAsia="zh-CN"/>
                    </w:rPr>
                    <w:t>产品清单</w:t>
                  </w:r>
                </w:p>
              </w:tc>
              <w:tc>
                <w:tcPr>
                  <w:tcW w:w="846" w:type="dxa"/>
                  <w:vMerge w:val="restart"/>
                  <w:vAlign w:val="center"/>
                </w:tcPr>
                <w:p w14:paraId="6D15796B">
                  <w:pPr>
                    <w:keepNext w:val="0"/>
                    <w:keepLines w:val="0"/>
                    <w:suppressLineNumbers w:val="0"/>
                    <w:spacing w:before="0" w:beforeAutospacing="0" w:after="0" w:afterAutospacing="0" w:line="240" w:lineRule="auto"/>
                    <w:ind w:left="0" w:right="0"/>
                    <w:jc w:val="center"/>
                    <w:rPr>
                      <w:rFonts w:hint="default" w:ascii="Times New Roman" w:hAnsi="Times New Roman" w:eastAsia="宋体" w:cs="Times New Roman"/>
                      <w:color w:val="auto"/>
                      <w:sz w:val="21"/>
                      <w:szCs w:val="21"/>
                      <w:vertAlign w:val="baseline"/>
                      <w:lang w:val="en-US" w:eastAsia="zh-CN"/>
                    </w:rPr>
                  </w:pPr>
                  <w:r>
                    <w:rPr>
                      <w:rFonts w:hint="eastAsia" w:ascii="Times New Roman" w:hAnsi="Times New Roman" w:eastAsia="宋体" w:cs="Times New Roman"/>
                      <w:b/>
                      <w:bCs/>
                      <w:color w:val="auto"/>
                      <w:sz w:val="21"/>
                      <w:szCs w:val="21"/>
                      <w:vertAlign w:val="baseline"/>
                      <w:lang w:val="en-US" w:eastAsia="zh-CN"/>
                    </w:rPr>
                    <w:t>制定依据</w:t>
                  </w:r>
                </w:p>
              </w:tc>
            </w:tr>
            <w:tr w14:paraId="7519E5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44" w:type="dxa"/>
                  <w:vAlign w:val="center"/>
                </w:tcPr>
                <w:p w14:paraId="131DE9DB">
                  <w:pPr>
                    <w:keepNext w:val="0"/>
                    <w:keepLines w:val="0"/>
                    <w:suppressLineNumbers w:val="0"/>
                    <w:spacing w:before="0" w:beforeAutospacing="0" w:after="0" w:afterAutospacing="0" w:line="240" w:lineRule="auto"/>
                    <w:ind w:left="0" w:right="0"/>
                    <w:jc w:val="center"/>
                    <w:rPr>
                      <w:rFonts w:hint="eastAsia" w:ascii="Times New Roman" w:hAnsi="Times New Roman" w:eastAsia="宋体" w:cs="Times New Roman"/>
                      <w:b/>
                      <w:bCs/>
                      <w:color w:val="auto"/>
                      <w:sz w:val="21"/>
                      <w:szCs w:val="21"/>
                      <w:vertAlign w:val="baseline"/>
                      <w:lang w:val="en-US" w:eastAsia="zh-CN"/>
                    </w:rPr>
                  </w:pPr>
                  <w:r>
                    <w:rPr>
                      <w:rFonts w:hint="eastAsia" w:ascii="Times New Roman" w:hAnsi="Times New Roman" w:eastAsia="宋体" w:cs="Times New Roman"/>
                      <w:b/>
                      <w:bCs/>
                      <w:color w:val="auto"/>
                      <w:sz w:val="21"/>
                      <w:szCs w:val="21"/>
                      <w:vertAlign w:val="baseline"/>
                      <w:lang w:val="en-US" w:eastAsia="zh-CN"/>
                    </w:rPr>
                    <w:t>大类</w:t>
                  </w:r>
                </w:p>
              </w:tc>
              <w:tc>
                <w:tcPr>
                  <w:tcW w:w="845" w:type="dxa"/>
                  <w:vAlign w:val="center"/>
                </w:tcPr>
                <w:p w14:paraId="6CE4A15E">
                  <w:pPr>
                    <w:keepNext w:val="0"/>
                    <w:keepLines w:val="0"/>
                    <w:suppressLineNumbers w:val="0"/>
                    <w:spacing w:before="0" w:beforeAutospacing="0" w:after="0" w:afterAutospacing="0" w:line="240" w:lineRule="auto"/>
                    <w:ind w:left="0" w:right="0"/>
                    <w:jc w:val="center"/>
                    <w:rPr>
                      <w:rFonts w:hint="default" w:ascii="Times New Roman" w:hAnsi="Times New Roman" w:eastAsia="宋体" w:cs="Times New Roman"/>
                      <w:b/>
                      <w:bCs/>
                      <w:color w:val="auto"/>
                      <w:sz w:val="21"/>
                      <w:szCs w:val="21"/>
                      <w:vertAlign w:val="baseline"/>
                      <w:lang w:val="en-US" w:eastAsia="zh-CN"/>
                    </w:rPr>
                  </w:pPr>
                  <w:r>
                    <w:rPr>
                      <w:rFonts w:hint="eastAsia" w:ascii="Times New Roman" w:hAnsi="Times New Roman" w:eastAsia="宋体" w:cs="Times New Roman"/>
                      <w:b/>
                      <w:bCs/>
                      <w:color w:val="auto"/>
                      <w:sz w:val="21"/>
                      <w:szCs w:val="21"/>
                      <w:vertAlign w:val="baseline"/>
                      <w:lang w:val="en-US" w:eastAsia="zh-CN"/>
                    </w:rPr>
                    <w:t>小类</w:t>
                  </w:r>
                </w:p>
              </w:tc>
              <w:tc>
                <w:tcPr>
                  <w:tcW w:w="846" w:type="dxa"/>
                  <w:vAlign w:val="center"/>
                </w:tcPr>
                <w:p w14:paraId="4ABE238E">
                  <w:pPr>
                    <w:keepNext w:val="0"/>
                    <w:keepLines w:val="0"/>
                    <w:suppressLineNumbers w:val="0"/>
                    <w:spacing w:before="0" w:beforeAutospacing="0" w:after="0" w:afterAutospacing="0" w:line="240" w:lineRule="auto"/>
                    <w:ind w:left="0" w:right="0"/>
                    <w:jc w:val="center"/>
                    <w:rPr>
                      <w:rFonts w:hint="default" w:ascii="Times New Roman" w:hAnsi="Times New Roman" w:eastAsia="宋体" w:cs="Times New Roman"/>
                      <w:b/>
                      <w:bCs/>
                      <w:color w:val="auto"/>
                      <w:sz w:val="21"/>
                      <w:szCs w:val="21"/>
                      <w:vertAlign w:val="baseline"/>
                      <w:lang w:val="en-US" w:eastAsia="zh-CN"/>
                    </w:rPr>
                  </w:pPr>
                  <w:r>
                    <w:rPr>
                      <w:rFonts w:hint="eastAsia" w:ascii="Times New Roman" w:hAnsi="Times New Roman" w:eastAsia="宋体" w:cs="Times New Roman"/>
                      <w:b/>
                      <w:bCs/>
                      <w:color w:val="auto"/>
                      <w:sz w:val="21"/>
                      <w:szCs w:val="21"/>
                      <w:vertAlign w:val="baseline"/>
                      <w:lang w:val="en-US" w:eastAsia="zh-CN"/>
                    </w:rPr>
                    <w:t>禁止类</w:t>
                  </w:r>
                </w:p>
              </w:tc>
              <w:tc>
                <w:tcPr>
                  <w:tcW w:w="846" w:type="dxa"/>
                  <w:vAlign w:val="center"/>
                </w:tcPr>
                <w:p w14:paraId="1F6B5860">
                  <w:pPr>
                    <w:keepNext w:val="0"/>
                    <w:keepLines w:val="0"/>
                    <w:suppressLineNumbers w:val="0"/>
                    <w:spacing w:before="0" w:beforeAutospacing="0" w:after="0" w:afterAutospacing="0" w:line="240" w:lineRule="auto"/>
                    <w:ind w:left="0" w:right="0"/>
                    <w:jc w:val="center"/>
                    <w:rPr>
                      <w:rFonts w:hint="eastAsia" w:ascii="Times New Roman" w:hAnsi="Times New Roman" w:eastAsia="宋体" w:cs="Times New Roman"/>
                      <w:b/>
                      <w:bCs/>
                      <w:color w:val="auto"/>
                      <w:sz w:val="21"/>
                      <w:szCs w:val="21"/>
                      <w:vertAlign w:val="baseline"/>
                      <w:lang w:val="en-US" w:eastAsia="zh-CN"/>
                    </w:rPr>
                  </w:pPr>
                  <w:r>
                    <w:rPr>
                      <w:rFonts w:hint="eastAsia" w:ascii="Times New Roman" w:hAnsi="Times New Roman" w:eastAsia="宋体" w:cs="Times New Roman"/>
                      <w:b/>
                      <w:bCs/>
                      <w:color w:val="auto"/>
                      <w:sz w:val="21"/>
                      <w:szCs w:val="21"/>
                      <w:vertAlign w:val="baseline"/>
                      <w:lang w:val="en-US" w:eastAsia="zh-CN"/>
                    </w:rPr>
                    <w:t>限制类</w:t>
                  </w:r>
                </w:p>
              </w:tc>
              <w:tc>
                <w:tcPr>
                  <w:tcW w:w="846" w:type="dxa"/>
                  <w:shd w:val="clear" w:color="auto" w:fill="auto"/>
                  <w:vAlign w:val="center"/>
                </w:tcPr>
                <w:p w14:paraId="4E0D0B01">
                  <w:pPr>
                    <w:keepNext w:val="0"/>
                    <w:keepLines w:val="0"/>
                    <w:suppressLineNumbers w:val="0"/>
                    <w:spacing w:before="0" w:beforeAutospacing="0" w:after="0" w:afterAutospacing="0" w:line="240" w:lineRule="auto"/>
                    <w:ind w:left="0" w:right="0" w:rightChars="0"/>
                    <w:jc w:val="center"/>
                    <w:rPr>
                      <w:rFonts w:hint="eastAsia" w:ascii="Times New Roman" w:hAnsi="Times New Roman" w:eastAsia="宋体" w:cs="Times New Roman"/>
                      <w:b/>
                      <w:bCs/>
                      <w:color w:val="auto"/>
                      <w:kern w:val="2"/>
                      <w:sz w:val="21"/>
                      <w:szCs w:val="21"/>
                      <w:vertAlign w:val="baseline"/>
                      <w:lang w:val="en-US" w:eastAsia="zh-CN" w:bidi="ar-SA"/>
                    </w:rPr>
                  </w:pPr>
                  <w:r>
                    <w:rPr>
                      <w:rFonts w:hint="eastAsia" w:ascii="Times New Roman" w:hAnsi="Times New Roman" w:eastAsia="宋体" w:cs="Times New Roman"/>
                      <w:b/>
                      <w:bCs/>
                      <w:color w:val="auto"/>
                      <w:sz w:val="21"/>
                      <w:szCs w:val="21"/>
                      <w:vertAlign w:val="baseline"/>
                      <w:lang w:val="en-US" w:eastAsia="zh-CN"/>
                    </w:rPr>
                    <w:t>禁止类</w:t>
                  </w:r>
                </w:p>
              </w:tc>
              <w:tc>
                <w:tcPr>
                  <w:tcW w:w="846" w:type="dxa"/>
                  <w:shd w:val="clear" w:color="auto" w:fill="auto"/>
                  <w:vAlign w:val="center"/>
                </w:tcPr>
                <w:p w14:paraId="61A451BC">
                  <w:pPr>
                    <w:keepNext w:val="0"/>
                    <w:keepLines w:val="0"/>
                    <w:suppressLineNumbers w:val="0"/>
                    <w:spacing w:before="0" w:beforeAutospacing="0" w:after="0" w:afterAutospacing="0" w:line="240" w:lineRule="auto"/>
                    <w:ind w:left="0" w:right="0" w:rightChars="0"/>
                    <w:jc w:val="center"/>
                    <w:rPr>
                      <w:rFonts w:hint="eastAsia" w:ascii="Times New Roman" w:hAnsi="Times New Roman" w:eastAsia="宋体" w:cs="Times New Roman"/>
                      <w:b/>
                      <w:bCs/>
                      <w:color w:val="auto"/>
                      <w:kern w:val="2"/>
                      <w:sz w:val="21"/>
                      <w:szCs w:val="21"/>
                      <w:vertAlign w:val="baseline"/>
                      <w:lang w:val="en-US" w:eastAsia="zh-CN" w:bidi="ar-SA"/>
                    </w:rPr>
                  </w:pPr>
                  <w:r>
                    <w:rPr>
                      <w:rFonts w:hint="eastAsia" w:ascii="Times New Roman" w:hAnsi="Times New Roman" w:eastAsia="宋体" w:cs="Times New Roman"/>
                      <w:b/>
                      <w:bCs/>
                      <w:color w:val="auto"/>
                      <w:sz w:val="21"/>
                      <w:szCs w:val="21"/>
                      <w:vertAlign w:val="baseline"/>
                      <w:lang w:val="en-US" w:eastAsia="zh-CN"/>
                    </w:rPr>
                    <w:t>限制类</w:t>
                  </w:r>
                </w:p>
              </w:tc>
              <w:tc>
                <w:tcPr>
                  <w:tcW w:w="846" w:type="dxa"/>
                  <w:shd w:val="clear" w:color="auto" w:fill="auto"/>
                  <w:vAlign w:val="center"/>
                </w:tcPr>
                <w:p w14:paraId="68B04843">
                  <w:pPr>
                    <w:keepNext w:val="0"/>
                    <w:keepLines w:val="0"/>
                    <w:suppressLineNumbers w:val="0"/>
                    <w:spacing w:before="0" w:beforeAutospacing="0" w:after="0" w:afterAutospacing="0" w:line="240" w:lineRule="auto"/>
                    <w:ind w:left="0" w:right="0" w:rightChars="0"/>
                    <w:jc w:val="center"/>
                    <w:rPr>
                      <w:rFonts w:hint="eastAsia" w:ascii="Times New Roman" w:hAnsi="Times New Roman" w:eastAsia="宋体" w:cs="Times New Roman"/>
                      <w:b/>
                      <w:bCs/>
                      <w:color w:val="auto"/>
                      <w:kern w:val="2"/>
                      <w:sz w:val="21"/>
                      <w:szCs w:val="21"/>
                      <w:vertAlign w:val="baseline"/>
                      <w:lang w:val="en-US" w:eastAsia="zh-CN" w:bidi="ar-SA"/>
                    </w:rPr>
                  </w:pPr>
                  <w:r>
                    <w:rPr>
                      <w:rFonts w:hint="eastAsia" w:ascii="Times New Roman" w:hAnsi="Times New Roman" w:eastAsia="宋体" w:cs="Times New Roman"/>
                      <w:b/>
                      <w:bCs/>
                      <w:color w:val="auto"/>
                      <w:sz w:val="21"/>
                      <w:szCs w:val="21"/>
                      <w:vertAlign w:val="baseline"/>
                      <w:lang w:val="en-US" w:eastAsia="zh-CN"/>
                    </w:rPr>
                    <w:t>禁止类</w:t>
                  </w:r>
                </w:p>
              </w:tc>
              <w:tc>
                <w:tcPr>
                  <w:tcW w:w="846" w:type="dxa"/>
                  <w:shd w:val="clear" w:color="auto" w:fill="auto"/>
                  <w:vAlign w:val="center"/>
                </w:tcPr>
                <w:p w14:paraId="50466F08">
                  <w:pPr>
                    <w:keepNext w:val="0"/>
                    <w:keepLines w:val="0"/>
                    <w:suppressLineNumbers w:val="0"/>
                    <w:spacing w:before="0" w:beforeAutospacing="0" w:after="0" w:afterAutospacing="0" w:line="240" w:lineRule="auto"/>
                    <w:ind w:left="0" w:right="0" w:rightChars="0"/>
                    <w:jc w:val="center"/>
                    <w:rPr>
                      <w:rFonts w:hint="eastAsia" w:ascii="Times New Roman" w:hAnsi="Times New Roman" w:eastAsia="宋体" w:cs="Times New Roman"/>
                      <w:b/>
                      <w:bCs/>
                      <w:color w:val="auto"/>
                      <w:kern w:val="2"/>
                      <w:sz w:val="21"/>
                      <w:szCs w:val="21"/>
                      <w:vertAlign w:val="baseline"/>
                      <w:lang w:val="en-US" w:eastAsia="zh-CN" w:bidi="ar-SA"/>
                    </w:rPr>
                  </w:pPr>
                  <w:r>
                    <w:rPr>
                      <w:rFonts w:hint="eastAsia" w:ascii="Times New Roman" w:hAnsi="Times New Roman" w:eastAsia="宋体" w:cs="Times New Roman"/>
                      <w:b/>
                      <w:bCs/>
                      <w:color w:val="auto"/>
                      <w:sz w:val="21"/>
                      <w:szCs w:val="21"/>
                      <w:vertAlign w:val="baseline"/>
                      <w:lang w:val="en-US" w:eastAsia="zh-CN"/>
                    </w:rPr>
                    <w:t>限制类</w:t>
                  </w:r>
                </w:p>
              </w:tc>
              <w:tc>
                <w:tcPr>
                  <w:tcW w:w="846" w:type="dxa"/>
                  <w:vMerge w:val="continue"/>
                  <w:vAlign w:val="center"/>
                </w:tcPr>
                <w:p w14:paraId="5AA46FFB">
                  <w:pPr>
                    <w:keepNext w:val="0"/>
                    <w:keepLines w:val="0"/>
                    <w:suppressLineNumbers w:val="0"/>
                    <w:spacing w:before="0" w:beforeAutospacing="0" w:after="0" w:afterAutospacing="0" w:line="240" w:lineRule="auto"/>
                    <w:ind w:left="0" w:right="0"/>
                    <w:jc w:val="center"/>
                    <w:rPr>
                      <w:rFonts w:hint="default" w:ascii="Times New Roman" w:hAnsi="Times New Roman" w:eastAsia="宋体" w:cs="Times New Roman"/>
                      <w:color w:val="auto"/>
                      <w:sz w:val="21"/>
                      <w:szCs w:val="21"/>
                      <w:vertAlign w:val="baseline"/>
                      <w:lang w:val="en-US" w:eastAsia="zh-CN"/>
                    </w:rPr>
                  </w:pPr>
                </w:p>
              </w:tc>
            </w:tr>
            <w:tr w14:paraId="17E7AB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44" w:type="dxa"/>
                  <w:vAlign w:val="center"/>
                </w:tcPr>
                <w:p w14:paraId="28116CCF">
                  <w:pPr>
                    <w:keepNext w:val="0"/>
                    <w:keepLines w:val="0"/>
                    <w:suppressLineNumbers w:val="0"/>
                    <w:spacing w:before="0" w:beforeAutospacing="0" w:after="0" w:afterAutospacing="0" w:line="240" w:lineRule="auto"/>
                    <w:ind w:left="0" w:right="0"/>
                    <w:jc w:val="center"/>
                    <w:rPr>
                      <w:rFonts w:hint="eastAsia" w:ascii="Times New Roman" w:hAnsi="Times New Roman" w:eastAsia="宋体" w:cs="Times New Roman"/>
                      <w:color w:val="auto"/>
                      <w:sz w:val="21"/>
                      <w:szCs w:val="21"/>
                      <w:vertAlign w:val="baseline"/>
                    </w:rPr>
                  </w:pPr>
                  <w:r>
                    <w:rPr>
                      <w:rFonts w:hint="eastAsia" w:ascii="Times New Roman" w:hAnsi="Times New Roman" w:eastAsia="宋体" w:cs="Times New Roman"/>
                      <w:color w:val="auto"/>
                      <w:sz w:val="21"/>
                      <w:szCs w:val="21"/>
                      <w:vertAlign w:val="baseline"/>
                      <w:lang w:val="en-US" w:eastAsia="zh-CN"/>
                    </w:rPr>
                    <w:t>二十六、橡胶和塑料制品业</w:t>
                  </w:r>
                </w:p>
              </w:tc>
              <w:tc>
                <w:tcPr>
                  <w:tcW w:w="845" w:type="dxa"/>
                  <w:vAlign w:val="center"/>
                </w:tcPr>
                <w:p w14:paraId="0EDDB997">
                  <w:pPr>
                    <w:keepNext w:val="0"/>
                    <w:keepLines w:val="0"/>
                    <w:suppressLineNumbers w:val="0"/>
                    <w:spacing w:before="0" w:beforeAutospacing="0" w:after="0" w:afterAutospacing="0" w:line="240" w:lineRule="auto"/>
                    <w:ind w:left="0" w:right="0"/>
                    <w:jc w:val="center"/>
                    <w:rPr>
                      <w:rFonts w:hint="eastAsia" w:ascii="Times New Roman" w:hAnsi="Times New Roman" w:eastAsia="宋体" w:cs="Times New Roman"/>
                      <w:color w:val="auto"/>
                      <w:sz w:val="21"/>
                      <w:szCs w:val="21"/>
                      <w:vertAlign w:val="baseline"/>
                    </w:rPr>
                  </w:pPr>
                  <w:r>
                    <w:rPr>
                      <w:rFonts w:hint="eastAsia" w:ascii="Times New Roman" w:hAnsi="Times New Roman" w:eastAsia="宋体" w:cs="Times New Roman"/>
                      <w:color w:val="auto"/>
                      <w:sz w:val="21"/>
                      <w:szCs w:val="21"/>
                      <w:vertAlign w:val="baseline"/>
                      <w:lang w:val="en-US" w:eastAsia="zh-CN"/>
                    </w:rPr>
                    <w:t>53、塑料制品业292</w:t>
                  </w:r>
                </w:p>
              </w:tc>
              <w:tc>
                <w:tcPr>
                  <w:tcW w:w="846" w:type="dxa"/>
                  <w:vAlign w:val="center"/>
                </w:tcPr>
                <w:p w14:paraId="0DC28FAF">
                  <w:pPr>
                    <w:keepNext w:val="0"/>
                    <w:keepLines w:val="0"/>
                    <w:suppressLineNumbers w:val="0"/>
                    <w:spacing w:before="0" w:beforeAutospacing="0" w:after="0" w:afterAutospacing="0" w:line="240" w:lineRule="auto"/>
                    <w:ind w:left="0" w:right="0"/>
                    <w:jc w:val="center"/>
                    <w:rPr>
                      <w:rFonts w:hint="eastAsia" w:ascii="Times New Roman" w:hAnsi="Times New Roman" w:eastAsia="宋体" w:cs="Times New Roman"/>
                      <w:color w:val="auto"/>
                      <w:sz w:val="21"/>
                      <w:szCs w:val="21"/>
                      <w:vertAlign w:val="baseline"/>
                      <w:lang w:val="en-US" w:eastAsia="zh-CN"/>
                    </w:rPr>
                  </w:pPr>
                  <w:r>
                    <w:rPr>
                      <w:rFonts w:hint="eastAsia" w:ascii="Times New Roman" w:hAnsi="Times New Roman" w:eastAsia="宋体" w:cs="Times New Roman"/>
                      <w:color w:val="auto"/>
                      <w:sz w:val="21"/>
                      <w:szCs w:val="21"/>
                      <w:vertAlign w:val="baseline"/>
                      <w:lang w:val="en-US" w:eastAsia="zh-CN"/>
                    </w:rPr>
                    <w:t>/</w:t>
                  </w:r>
                </w:p>
              </w:tc>
              <w:tc>
                <w:tcPr>
                  <w:tcW w:w="846" w:type="dxa"/>
                  <w:vAlign w:val="center"/>
                </w:tcPr>
                <w:p w14:paraId="19377AA9">
                  <w:pPr>
                    <w:keepNext w:val="0"/>
                    <w:keepLines w:val="0"/>
                    <w:suppressLineNumbers w:val="0"/>
                    <w:spacing w:before="0" w:beforeAutospacing="0" w:after="0" w:afterAutospacing="0" w:line="240" w:lineRule="auto"/>
                    <w:ind w:left="0" w:right="0"/>
                    <w:jc w:val="center"/>
                    <w:rPr>
                      <w:rFonts w:hint="eastAsia" w:ascii="Times New Roman" w:hAnsi="Times New Roman" w:eastAsia="宋体" w:cs="Times New Roman"/>
                      <w:color w:val="auto"/>
                      <w:sz w:val="21"/>
                      <w:szCs w:val="21"/>
                      <w:vertAlign w:val="baseline"/>
                      <w:lang w:val="en-US" w:eastAsia="zh-CN"/>
                    </w:rPr>
                  </w:pPr>
                  <w:r>
                    <w:rPr>
                      <w:rFonts w:hint="eastAsia" w:ascii="Times New Roman" w:hAnsi="Times New Roman" w:eastAsia="宋体" w:cs="Times New Roman"/>
                      <w:color w:val="auto"/>
                      <w:sz w:val="21"/>
                      <w:szCs w:val="21"/>
                      <w:vertAlign w:val="baseline"/>
                      <w:lang w:val="en-US" w:eastAsia="zh-CN"/>
                    </w:rPr>
                    <w:t>/</w:t>
                  </w:r>
                </w:p>
              </w:tc>
              <w:tc>
                <w:tcPr>
                  <w:tcW w:w="846" w:type="dxa"/>
                  <w:vAlign w:val="center"/>
                </w:tcPr>
                <w:p w14:paraId="40A3CF45">
                  <w:pPr>
                    <w:keepNext w:val="0"/>
                    <w:keepLines w:val="0"/>
                    <w:suppressLineNumbers w:val="0"/>
                    <w:spacing w:before="0" w:beforeAutospacing="0" w:after="0" w:afterAutospacing="0" w:line="240" w:lineRule="auto"/>
                    <w:ind w:left="0" w:right="0"/>
                    <w:jc w:val="center"/>
                    <w:rPr>
                      <w:rFonts w:hint="eastAsia" w:ascii="Times New Roman" w:hAnsi="Times New Roman" w:eastAsia="宋体" w:cs="Times New Roman"/>
                      <w:color w:val="auto"/>
                      <w:sz w:val="21"/>
                      <w:szCs w:val="21"/>
                      <w:vertAlign w:val="baseline"/>
                      <w:lang w:val="en-US" w:eastAsia="zh-CN"/>
                    </w:rPr>
                  </w:pPr>
                  <w:r>
                    <w:rPr>
                      <w:rFonts w:hint="eastAsia" w:ascii="Times New Roman" w:hAnsi="Times New Roman" w:eastAsia="宋体" w:cs="Times New Roman"/>
                      <w:color w:val="auto"/>
                      <w:sz w:val="21"/>
                      <w:szCs w:val="21"/>
                      <w:vertAlign w:val="baseline"/>
                      <w:lang w:val="en-US" w:eastAsia="zh-CN"/>
                    </w:rPr>
                    <w:t>/</w:t>
                  </w:r>
                </w:p>
              </w:tc>
              <w:tc>
                <w:tcPr>
                  <w:tcW w:w="846" w:type="dxa"/>
                  <w:vAlign w:val="center"/>
                </w:tcPr>
                <w:p w14:paraId="71FBC620">
                  <w:pPr>
                    <w:keepNext w:val="0"/>
                    <w:keepLines w:val="0"/>
                    <w:suppressLineNumbers w:val="0"/>
                    <w:spacing w:before="0" w:beforeAutospacing="0" w:after="0" w:afterAutospacing="0" w:line="240" w:lineRule="auto"/>
                    <w:ind w:left="0" w:right="0"/>
                    <w:jc w:val="center"/>
                    <w:rPr>
                      <w:rFonts w:hint="eastAsia" w:ascii="Times New Roman" w:hAnsi="Times New Roman" w:eastAsia="宋体" w:cs="Times New Roman"/>
                      <w:color w:val="auto"/>
                      <w:sz w:val="21"/>
                      <w:szCs w:val="21"/>
                      <w:vertAlign w:val="baseline"/>
                    </w:rPr>
                  </w:pPr>
                  <w:r>
                    <w:rPr>
                      <w:rFonts w:hint="eastAsia" w:ascii="Times New Roman" w:hAnsi="Times New Roman" w:eastAsia="宋体" w:cs="Times New Roman"/>
                      <w:color w:val="auto"/>
                      <w:sz w:val="21"/>
                      <w:szCs w:val="21"/>
                      <w:vertAlign w:val="baseline"/>
                      <w:lang w:val="en-US" w:eastAsia="zh-CN"/>
                    </w:rPr>
                    <w:t>有电镀工艺的、以再生塑料为原料生产的；年用溶剂型涂料（含稀释剂）10吨及以上的；有磷化表面处理工艺的</w:t>
                  </w:r>
                </w:p>
              </w:tc>
              <w:tc>
                <w:tcPr>
                  <w:tcW w:w="846" w:type="dxa"/>
                  <w:vAlign w:val="center"/>
                </w:tcPr>
                <w:p w14:paraId="7B489476">
                  <w:pPr>
                    <w:keepNext w:val="0"/>
                    <w:keepLines w:val="0"/>
                    <w:suppressLineNumbers w:val="0"/>
                    <w:spacing w:before="0" w:beforeAutospacing="0" w:after="0" w:afterAutospacing="0" w:line="240" w:lineRule="auto"/>
                    <w:ind w:left="0" w:right="0"/>
                    <w:jc w:val="center"/>
                    <w:rPr>
                      <w:rFonts w:hint="eastAsia" w:ascii="Times New Roman" w:hAnsi="Times New Roman" w:eastAsia="宋体" w:cs="Times New Roman"/>
                      <w:color w:val="auto"/>
                      <w:sz w:val="21"/>
                      <w:szCs w:val="21"/>
                      <w:vertAlign w:val="baseline"/>
                      <w:lang w:val="en-US" w:eastAsia="zh-CN"/>
                    </w:rPr>
                  </w:pPr>
                  <w:r>
                    <w:rPr>
                      <w:rFonts w:hint="eastAsia" w:ascii="Times New Roman" w:hAnsi="Times New Roman" w:eastAsia="宋体" w:cs="Times New Roman"/>
                      <w:color w:val="auto"/>
                      <w:sz w:val="21"/>
                      <w:szCs w:val="21"/>
                      <w:vertAlign w:val="baseline"/>
                      <w:lang w:val="en-US" w:eastAsia="zh-CN"/>
                    </w:rPr>
                    <w:t>/</w:t>
                  </w:r>
                </w:p>
              </w:tc>
              <w:tc>
                <w:tcPr>
                  <w:tcW w:w="846" w:type="dxa"/>
                  <w:vAlign w:val="center"/>
                </w:tcPr>
                <w:p w14:paraId="3CB3432E">
                  <w:pPr>
                    <w:keepNext w:val="0"/>
                    <w:keepLines w:val="0"/>
                    <w:suppressLineNumbers w:val="0"/>
                    <w:spacing w:before="0" w:beforeAutospacing="0" w:after="0" w:afterAutospacing="0" w:line="240" w:lineRule="auto"/>
                    <w:ind w:left="0" w:right="0"/>
                    <w:jc w:val="center"/>
                    <w:rPr>
                      <w:rFonts w:hint="eastAsia" w:ascii="Times New Roman" w:hAnsi="Times New Roman" w:eastAsia="宋体" w:cs="Times New Roman"/>
                      <w:color w:val="auto"/>
                      <w:sz w:val="21"/>
                      <w:szCs w:val="21"/>
                      <w:vertAlign w:val="baseline"/>
                      <w:lang w:val="en-US" w:eastAsia="zh-CN"/>
                    </w:rPr>
                  </w:pPr>
                  <w:r>
                    <w:rPr>
                      <w:rFonts w:hint="eastAsia" w:ascii="Times New Roman" w:hAnsi="Times New Roman" w:eastAsia="宋体" w:cs="Times New Roman"/>
                      <w:color w:val="auto"/>
                      <w:sz w:val="21"/>
                      <w:szCs w:val="21"/>
                      <w:vertAlign w:val="baseline"/>
                      <w:lang w:val="en-US" w:eastAsia="zh-CN"/>
                    </w:rPr>
                    <w:t>/</w:t>
                  </w:r>
                </w:p>
              </w:tc>
              <w:tc>
                <w:tcPr>
                  <w:tcW w:w="846" w:type="dxa"/>
                  <w:vAlign w:val="center"/>
                </w:tcPr>
                <w:p w14:paraId="41880543">
                  <w:pPr>
                    <w:keepNext w:val="0"/>
                    <w:keepLines w:val="0"/>
                    <w:suppressLineNumbers w:val="0"/>
                    <w:spacing w:before="0" w:beforeAutospacing="0" w:after="0" w:afterAutospacing="0" w:line="240" w:lineRule="auto"/>
                    <w:ind w:left="0" w:right="0"/>
                    <w:jc w:val="center"/>
                    <w:rPr>
                      <w:rFonts w:hint="eastAsia" w:ascii="Times New Roman" w:hAnsi="Times New Roman" w:eastAsia="宋体" w:cs="Times New Roman"/>
                      <w:color w:val="auto"/>
                      <w:sz w:val="21"/>
                      <w:szCs w:val="21"/>
                      <w:vertAlign w:val="baseline"/>
                    </w:rPr>
                  </w:pPr>
                  <w:r>
                    <w:rPr>
                      <w:rFonts w:hint="eastAsia" w:ascii="Times New Roman" w:hAnsi="Times New Roman" w:eastAsia="宋体" w:cs="Times New Roman"/>
                      <w:color w:val="auto"/>
                      <w:sz w:val="21"/>
                      <w:szCs w:val="21"/>
                      <w:vertAlign w:val="baseline"/>
                      <w:lang w:val="en-US" w:eastAsia="zh-CN"/>
                    </w:rPr>
                    <w:t>规划定位；VOCs污染控制；太湖流域相关管理要求</w:t>
                  </w:r>
                </w:p>
              </w:tc>
            </w:tr>
            <w:tr w14:paraId="667EBA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44" w:type="dxa"/>
                  <w:vAlign w:val="center"/>
                </w:tcPr>
                <w:p w14:paraId="2ADB4C6B">
                  <w:pPr>
                    <w:keepNext w:val="0"/>
                    <w:keepLines w:val="0"/>
                    <w:suppressLineNumbers w:val="0"/>
                    <w:spacing w:before="0" w:beforeAutospacing="0" w:after="0" w:afterAutospacing="0" w:line="240" w:lineRule="auto"/>
                    <w:ind w:left="0" w:right="0"/>
                    <w:jc w:val="center"/>
                    <w:rPr>
                      <w:rFonts w:hint="eastAsia" w:ascii="Times New Roman" w:hAnsi="Times New Roman" w:eastAsia="宋体" w:cs="Times New Roman"/>
                      <w:color w:val="auto"/>
                      <w:sz w:val="21"/>
                      <w:szCs w:val="21"/>
                      <w:vertAlign w:val="baseline"/>
                      <w:lang w:val="en-US" w:eastAsia="zh-CN"/>
                    </w:rPr>
                  </w:pPr>
                  <w:r>
                    <w:rPr>
                      <w:rFonts w:hint="eastAsia" w:ascii="Times New Roman" w:hAnsi="Times New Roman" w:eastAsia="宋体" w:cs="Times New Roman"/>
                      <w:color w:val="auto"/>
                      <w:sz w:val="21"/>
                      <w:szCs w:val="21"/>
                      <w:vertAlign w:val="baseline"/>
                      <w:lang w:val="en-US" w:eastAsia="zh-CN"/>
                    </w:rPr>
                    <w:t>三十三、汽车制造业</w:t>
                  </w:r>
                </w:p>
              </w:tc>
              <w:tc>
                <w:tcPr>
                  <w:tcW w:w="845" w:type="dxa"/>
                  <w:vAlign w:val="center"/>
                </w:tcPr>
                <w:p w14:paraId="7DDE25A2">
                  <w:pPr>
                    <w:keepNext w:val="0"/>
                    <w:keepLines w:val="0"/>
                    <w:suppressLineNumbers w:val="0"/>
                    <w:spacing w:before="0" w:beforeAutospacing="0" w:after="0" w:afterAutospacing="0" w:line="240" w:lineRule="auto"/>
                    <w:ind w:left="0" w:right="0"/>
                    <w:jc w:val="center"/>
                    <w:rPr>
                      <w:rFonts w:hint="default" w:ascii="Times New Roman" w:hAnsi="Times New Roman" w:eastAsia="宋体" w:cs="Times New Roman"/>
                      <w:color w:val="auto"/>
                      <w:sz w:val="21"/>
                      <w:szCs w:val="21"/>
                      <w:vertAlign w:val="baseline"/>
                      <w:lang w:val="en-US" w:eastAsia="zh-CN"/>
                    </w:rPr>
                  </w:pPr>
                  <w:r>
                    <w:rPr>
                      <w:rFonts w:hint="eastAsia" w:ascii="Times New Roman" w:hAnsi="Times New Roman" w:eastAsia="宋体" w:cs="Times New Roman"/>
                      <w:color w:val="auto"/>
                      <w:sz w:val="21"/>
                      <w:szCs w:val="21"/>
                      <w:vertAlign w:val="baseline"/>
                      <w:lang w:val="en-US" w:eastAsia="zh-CN"/>
                    </w:rPr>
                    <w:t>71、汽车零部件及配件制造 367</w:t>
                  </w:r>
                </w:p>
              </w:tc>
              <w:tc>
                <w:tcPr>
                  <w:tcW w:w="846" w:type="dxa"/>
                  <w:vAlign w:val="center"/>
                </w:tcPr>
                <w:p w14:paraId="327D047C">
                  <w:pPr>
                    <w:keepNext w:val="0"/>
                    <w:keepLines w:val="0"/>
                    <w:suppressLineNumbers w:val="0"/>
                    <w:spacing w:before="0" w:beforeAutospacing="0" w:after="0" w:afterAutospacing="0" w:line="240" w:lineRule="auto"/>
                    <w:ind w:left="0" w:right="0"/>
                    <w:jc w:val="center"/>
                    <w:rPr>
                      <w:rFonts w:hint="default" w:ascii="Times New Roman" w:hAnsi="Times New Roman" w:eastAsia="宋体" w:cs="Times New Roman"/>
                      <w:color w:val="auto"/>
                      <w:sz w:val="21"/>
                      <w:szCs w:val="21"/>
                      <w:vertAlign w:val="baseline"/>
                      <w:lang w:val="en-US" w:eastAsia="zh-CN"/>
                    </w:rPr>
                  </w:pPr>
                  <w:r>
                    <w:rPr>
                      <w:rFonts w:hint="eastAsia" w:ascii="Times New Roman" w:hAnsi="Times New Roman" w:eastAsia="宋体" w:cs="Times New Roman"/>
                      <w:color w:val="auto"/>
                      <w:sz w:val="21"/>
                      <w:szCs w:val="21"/>
                      <w:vertAlign w:val="baseline"/>
                      <w:lang w:val="en-US" w:eastAsia="zh-CN"/>
                    </w:rPr>
                    <w:t>/</w:t>
                  </w:r>
                </w:p>
              </w:tc>
              <w:tc>
                <w:tcPr>
                  <w:tcW w:w="846" w:type="dxa"/>
                  <w:vAlign w:val="center"/>
                </w:tcPr>
                <w:p w14:paraId="4F70D753">
                  <w:pPr>
                    <w:keepNext w:val="0"/>
                    <w:keepLines w:val="0"/>
                    <w:suppressLineNumbers w:val="0"/>
                    <w:spacing w:before="0" w:beforeAutospacing="0" w:after="0" w:afterAutospacing="0" w:line="240" w:lineRule="auto"/>
                    <w:ind w:left="0" w:right="0"/>
                    <w:jc w:val="center"/>
                    <w:rPr>
                      <w:rFonts w:hint="default" w:ascii="Times New Roman" w:hAnsi="Times New Roman" w:eastAsia="宋体" w:cs="Times New Roman"/>
                      <w:color w:val="auto"/>
                      <w:sz w:val="21"/>
                      <w:szCs w:val="21"/>
                      <w:vertAlign w:val="baseline"/>
                      <w:lang w:val="en-US" w:eastAsia="zh-CN"/>
                    </w:rPr>
                  </w:pPr>
                  <w:r>
                    <w:rPr>
                      <w:rFonts w:hint="eastAsia" w:ascii="Times New Roman" w:hAnsi="Times New Roman" w:eastAsia="宋体" w:cs="Times New Roman"/>
                      <w:color w:val="auto"/>
                      <w:sz w:val="21"/>
                      <w:szCs w:val="21"/>
                      <w:vertAlign w:val="baseline"/>
                      <w:lang w:val="en-US" w:eastAsia="zh-CN"/>
                    </w:rPr>
                    <w:t>/</w:t>
                  </w:r>
                </w:p>
              </w:tc>
              <w:tc>
                <w:tcPr>
                  <w:tcW w:w="846" w:type="dxa"/>
                  <w:vAlign w:val="center"/>
                </w:tcPr>
                <w:p w14:paraId="0A0D530D">
                  <w:pPr>
                    <w:keepNext w:val="0"/>
                    <w:keepLines w:val="0"/>
                    <w:suppressLineNumbers w:val="0"/>
                    <w:spacing w:before="0" w:beforeAutospacing="0" w:after="0" w:afterAutospacing="0" w:line="240" w:lineRule="auto"/>
                    <w:ind w:left="0" w:right="0"/>
                    <w:jc w:val="center"/>
                    <w:rPr>
                      <w:rFonts w:hint="default" w:ascii="Times New Roman" w:hAnsi="Times New Roman" w:eastAsia="宋体" w:cs="Times New Roman"/>
                      <w:color w:val="auto"/>
                      <w:sz w:val="21"/>
                      <w:szCs w:val="21"/>
                      <w:vertAlign w:val="baseline"/>
                      <w:lang w:val="en-US" w:eastAsia="zh-CN"/>
                    </w:rPr>
                  </w:pPr>
                  <w:r>
                    <w:rPr>
                      <w:rFonts w:hint="eastAsia" w:ascii="Times New Roman" w:hAnsi="Times New Roman" w:eastAsia="宋体" w:cs="Times New Roman"/>
                      <w:color w:val="auto"/>
                      <w:sz w:val="21"/>
                      <w:szCs w:val="21"/>
                      <w:vertAlign w:val="baseline"/>
                      <w:lang w:val="en-US" w:eastAsia="zh-CN"/>
                    </w:rPr>
                    <w:t>/</w:t>
                  </w:r>
                </w:p>
              </w:tc>
              <w:tc>
                <w:tcPr>
                  <w:tcW w:w="846" w:type="dxa"/>
                  <w:vAlign w:val="center"/>
                </w:tcPr>
                <w:p w14:paraId="589DEC48">
                  <w:pPr>
                    <w:keepNext w:val="0"/>
                    <w:keepLines w:val="0"/>
                    <w:suppressLineNumbers w:val="0"/>
                    <w:spacing w:before="0" w:beforeAutospacing="0" w:after="0" w:afterAutospacing="0" w:line="240" w:lineRule="auto"/>
                    <w:ind w:left="0" w:right="0"/>
                    <w:jc w:val="center"/>
                    <w:rPr>
                      <w:rFonts w:hint="eastAsia" w:ascii="Times New Roman" w:hAnsi="Times New Roman" w:eastAsia="宋体" w:cs="Times New Roman"/>
                      <w:color w:val="auto"/>
                      <w:sz w:val="21"/>
                      <w:szCs w:val="21"/>
                      <w:vertAlign w:val="baseline"/>
                      <w:lang w:val="en-US" w:eastAsia="zh-CN"/>
                    </w:rPr>
                  </w:pPr>
                  <w:r>
                    <w:rPr>
                      <w:rFonts w:hint="eastAsia" w:ascii="Times New Roman" w:hAnsi="Times New Roman" w:eastAsia="宋体" w:cs="Times New Roman"/>
                      <w:color w:val="auto"/>
                      <w:sz w:val="21"/>
                      <w:szCs w:val="21"/>
                      <w:vertAlign w:val="baseline"/>
                      <w:lang w:val="en-US" w:eastAsia="zh-CN"/>
                    </w:rPr>
                    <w:t>有电镀工艺的；有磷化表面处理工艺的（上述要求列入国家战略新兴产业目录行业或符合专精特新产业要求且经相关主管部门同意引进的项目除外）</w:t>
                  </w:r>
                </w:p>
              </w:tc>
              <w:tc>
                <w:tcPr>
                  <w:tcW w:w="846" w:type="dxa"/>
                  <w:vAlign w:val="center"/>
                </w:tcPr>
                <w:p w14:paraId="61153DC1">
                  <w:pPr>
                    <w:keepNext w:val="0"/>
                    <w:keepLines w:val="0"/>
                    <w:suppressLineNumbers w:val="0"/>
                    <w:spacing w:before="0" w:beforeAutospacing="0" w:after="0" w:afterAutospacing="0" w:line="240" w:lineRule="auto"/>
                    <w:ind w:left="0" w:right="0"/>
                    <w:jc w:val="center"/>
                    <w:rPr>
                      <w:rFonts w:hint="default" w:ascii="Times New Roman" w:hAnsi="Times New Roman" w:eastAsia="宋体" w:cs="Times New Roman"/>
                      <w:color w:val="auto"/>
                      <w:sz w:val="21"/>
                      <w:szCs w:val="21"/>
                      <w:vertAlign w:val="baseline"/>
                      <w:lang w:val="en-US" w:eastAsia="zh-CN"/>
                    </w:rPr>
                  </w:pPr>
                  <w:r>
                    <w:rPr>
                      <w:rFonts w:hint="eastAsia" w:ascii="Times New Roman" w:hAnsi="Times New Roman" w:eastAsia="宋体" w:cs="Times New Roman"/>
                      <w:color w:val="auto"/>
                      <w:sz w:val="21"/>
                      <w:szCs w:val="21"/>
                      <w:vertAlign w:val="baseline"/>
                      <w:lang w:val="en-US" w:eastAsia="zh-CN"/>
                    </w:rPr>
                    <w:t>/</w:t>
                  </w:r>
                </w:p>
              </w:tc>
              <w:tc>
                <w:tcPr>
                  <w:tcW w:w="846" w:type="dxa"/>
                  <w:vAlign w:val="center"/>
                </w:tcPr>
                <w:p w14:paraId="291F7E19">
                  <w:pPr>
                    <w:keepNext w:val="0"/>
                    <w:keepLines w:val="0"/>
                    <w:suppressLineNumbers w:val="0"/>
                    <w:spacing w:before="0" w:beforeAutospacing="0" w:after="0" w:afterAutospacing="0" w:line="240" w:lineRule="auto"/>
                    <w:ind w:left="0" w:right="0"/>
                    <w:jc w:val="center"/>
                    <w:rPr>
                      <w:rFonts w:hint="default" w:ascii="Times New Roman" w:hAnsi="Times New Roman" w:eastAsia="宋体" w:cs="Times New Roman"/>
                      <w:color w:val="auto"/>
                      <w:sz w:val="21"/>
                      <w:szCs w:val="21"/>
                      <w:vertAlign w:val="baseline"/>
                      <w:lang w:val="en-US" w:eastAsia="zh-CN"/>
                    </w:rPr>
                  </w:pPr>
                  <w:r>
                    <w:rPr>
                      <w:rFonts w:hint="eastAsia" w:ascii="Times New Roman" w:hAnsi="Times New Roman" w:eastAsia="宋体" w:cs="Times New Roman"/>
                      <w:color w:val="auto"/>
                      <w:sz w:val="21"/>
                      <w:szCs w:val="21"/>
                      <w:vertAlign w:val="baseline"/>
                      <w:lang w:val="en-US" w:eastAsia="zh-CN"/>
                    </w:rPr>
                    <w:t>/</w:t>
                  </w:r>
                </w:p>
              </w:tc>
              <w:tc>
                <w:tcPr>
                  <w:tcW w:w="846" w:type="dxa"/>
                  <w:vAlign w:val="center"/>
                </w:tcPr>
                <w:p w14:paraId="1DD34A71">
                  <w:pPr>
                    <w:keepNext w:val="0"/>
                    <w:keepLines w:val="0"/>
                    <w:suppressLineNumbers w:val="0"/>
                    <w:spacing w:before="0" w:beforeAutospacing="0" w:after="0" w:afterAutospacing="0" w:line="240" w:lineRule="auto"/>
                    <w:ind w:left="0" w:right="0"/>
                    <w:jc w:val="center"/>
                    <w:rPr>
                      <w:rFonts w:hint="eastAsia" w:ascii="Times New Roman" w:hAnsi="Times New Roman" w:eastAsia="宋体" w:cs="Times New Roman"/>
                      <w:color w:val="auto"/>
                      <w:sz w:val="21"/>
                      <w:szCs w:val="21"/>
                      <w:vertAlign w:val="baseline"/>
                      <w:lang w:val="en-US" w:eastAsia="zh-CN"/>
                    </w:rPr>
                  </w:pPr>
                  <w:r>
                    <w:rPr>
                      <w:rFonts w:hint="eastAsia" w:ascii="Times New Roman" w:hAnsi="Times New Roman" w:eastAsia="宋体" w:cs="Times New Roman"/>
                      <w:color w:val="auto"/>
                      <w:sz w:val="21"/>
                      <w:szCs w:val="21"/>
                      <w:vertAlign w:val="baseline"/>
                      <w:lang w:val="en-US" w:eastAsia="zh-CN"/>
                    </w:rPr>
                    <w:t>VOCs 污染控制；太湖流域相关管理要求；《产业结构调整指导目录》</w:t>
                  </w:r>
                </w:p>
              </w:tc>
            </w:tr>
          </w:tbl>
          <w:p w14:paraId="2BE836C9">
            <w:pPr>
              <w:keepNext w:val="0"/>
              <w:keepLines w:val="0"/>
              <w:suppressLineNumbers w:val="0"/>
              <w:spacing w:before="0" w:beforeAutospacing="0" w:after="0" w:afterAutospacing="0" w:line="360" w:lineRule="auto"/>
              <w:ind w:left="0" w:right="0" w:firstLine="480" w:firstLineChars="200"/>
              <w:rPr>
                <w:rFonts w:hint="eastAsia" w:ascii="Times New Roman" w:hAnsi="Times New Roman" w:eastAsia="宋体" w:cs="Times New Roman"/>
                <w:color w:val="auto"/>
                <w:sz w:val="24"/>
                <w:lang w:val="en-US" w:eastAsia="zh-CN"/>
              </w:rPr>
            </w:pPr>
            <w:r>
              <w:rPr>
                <w:rFonts w:hint="eastAsia" w:ascii="Times New Roman" w:hAnsi="Times New Roman" w:eastAsia="宋体" w:cs="Times New Roman"/>
                <w:color w:val="auto"/>
                <w:sz w:val="24"/>
                <w:lang w:val="en-US" w:eastAsia="zh-CN"/>
              </w:rPr>
              <w:t>本项目不涉及电镀工艺和磷化表面处理工艺；本项目不以再生塑料为原料生产；本项目不使用溶剂型涂料（含稀释剂）。因此，本项目符合环境准入条件清单（清单5）的要求。</w:t>
            </w:r>
          </w:p>
          <w:p w14:paraId="3009A6F2">
            <w:pPr>
              <w:keepNext w:val="0"/>
              <w:keepLines w:val="0"/>
              <w:suppressLineNumbers w:val="0"/>
              <w:spacing w:before="0" w:beforeAutospacing="0" w:after="0" w:afterAutospacing="0" w:line="360" w:lineRule="auto"/>
              <w:ind w:left="0" w:right="0" w:firstLine="480" w:firstLineChars="200"/>
              <w:rPr>
                <w:rFonts w:hint="default" w:ascii="Times New Roman" w:hAnsi="Times New Roman" w:eastAsia="宋体" w:cs="Times New Roman"/>
                <w:color w:val="auto"/>
                <w:sz w:val="24"/>
                <w:lang w:val="en-US" w:eastAsia="zh-CN"/>
              </w:rPr>
            </w:pPr>
            <w:r>
              <w:rPr>
                <w:rFonts w:hint="default" w:ascii="Times New Roman" w:hAnsi="Times New Roman" w:eastAsia="宋体" w:cs="Times New Roman"/>
                <w:color w:val="auto"/>
                <w:sz w:val="24"/>
                <w:lang w:val="en-US" w:eastAsia="zh-CN"/>
              </w:rPr>
              <w:t>（6）环境标准清单</w:t>
            </w:r>
          </w:p>
          <w:p w14:paraId="556628EE">
            <w:pPr>
              <w:keepNext w:val="0"/>
              <w:keepLines w:val="0"/>
              <w:suppressLineNumbers w:val="0"/>
              <w:spacing w:before="0" w:beforeAutospacing="0" w:after="0" w:afterAutospacing="0" w:line="360" w:lineRule="auto"/>
              <w:ind w:left="0" w:right="0" w:firstLine="480" w:firstLineChars="200"/>
              <w:rPr>
                <w:rFonts w:hint="default" w:ascii="Times New Roman" w:hAnsi="Times New Roman" w:eastAsia="宋体" w:cs="Times New Roman"/>
                <w:color w:val="auto"/>
                <w:sz w:val="24"/>
                <w:lang w:val="en-US" w:eastAsia="zh-CN"/>
              </w:rPr>
            </w:pPr>
            <w:r>
              <w:rPr>
                <w:rFonts w:hint="eastAsia" w:ascii="Times New Roman" w:hAnsi="Times New Roman" w:eastAsia="宋体" w:cs="Times New Roman"/>
                <w:color w:val="auto"/>
                <w:sz w:val="24"/>
                <w:lang w:val="en-US" w:eastAsia="zh-CN"/>
              </w:rPr>
              <w:t>本项目</w:t>
            </w:r>
            <w:r>
              <w:rPr>
                <w:rFonts w:hint="default" w:ascii="Times New Roman" w:hAnsi="Times New Roman" w:eastAsia="宋体" w:cs="Times New Roman"/>
                <w:color w:val="auto"/>
                <w:sz w:val="24"/>
                <w:lang w:val="en-US" w:eastAsia="zh-CN"/>
              </w:rPr>
              <w:t>在落实相关环保措施后，企业能做到污染物稳定的达标排放，符合空间准入标准要求；污染物排放标准、环境质量管控标准符合要求；符合产业政策及行业准入标准的要求。</w:t>
            </w:r>
            <w:r>
              <w:rPr>
                <w:rFonts w:hint="eastAsia" w:ascii="Times New Roman" w:hAnsi="Times New Roman" w:eastAsia="宋体" w:cs="Times New Roman"/>
                <w:color w:val="auto"/>
                <w:sz w:val="24"/>
                <w:lang w:val="en-US" w:eastAsia="zh-CN"/>
              </w:rPr>
              <w:t>因此</w:t>
            </w:r>
            <w:r>
              <w:rPr>
                <w:rFonts w:hint="default" w:ascii="Times New Roman" w:hAnsi="Times New Roman" w:eastAsia="宋体" w:cs="Times New Roman"/>
                <w:color w:val="auto"/>
                <w:sz w:val="24"/>
                <w:lang w:val="en-US" w:eastAsia="zh-CN"/>
              </w:rPr>
              <w:t>，本项目符合环境标准清单（清单6）的要求。</w:t>
            </w:r>
          </w:p>
          <w:p w14:paraId="40895C56">
            <w:pPr>
              <w:keepNext w:val="0"/>
              <w:keepLines w:val="0"/>
              <w:suppressLineNumbers w:val="0"/>
              <w:spacing w:before="0" w:beforeAutospacing="0" w:after="0" w:afterAutospacing="0" w:line="360" w:lineRule="auto"/>
              <w:ind w:left="0" w:right="0" w:firstLine="480" w:firstLineChars="200"/>
              <w:rPr>
                <w:rFonts w:hint="default" w:ascii="Times New Roman" w:hAnsi="Times New Roman" w:eastAsia="宋体" w:cs="Times New Roman"/>
                <w:color w:val="auto"/>
                <w:sz w:val="24"/>
                <w:lang w:val="en-US" w:eastAsia="zh-CN"/>
              </w:rPr>
            </w:pPr>
            <w:r>
              <w:rPr>
                <w:rFonts w:hint="default" w:ascii="Times New Roman" w:hAnsi="Times New Roman" w:eastAsia="宋体" w:cs="Times New Roman"/>
                <w:color w:val="auto"/>
                <w:sz w:val="24"/>
                <w:lang w:val="en-US" w:eastAsia="zh-CN"/>
              </w:rPr>
              <w:t>（7）重点减污降碳单元管控措施清单</w:t>
            </w:r>
          </w:p>
          <w:p w14:paraId="479C6C09">
            <w:pPr>
              <w:keepNext w:val="0"/>
              <w:keepLines w:val="0"/>
              <w:suppressLineNumbers w:val="0"/>
              <w:spacing w:before="0" w:beforeAutospacing="0" w:after="0" w:afterAutospacing="0" w:line="360" w:lineRule="auto"/>
              <w:ind w:left="0" w:right="0" w:firstLine="480" w:firstLineChars="200"/>
              <w:rPr>
                <w:rFonts w:hint="default" w:ascii="Times New Roman" w:hAnsi="Times New Roman" w:eastAsia="宋体" w:cs="Times New Roman"/>
                <w:color w:val="auto"/>
                <w:sz w:val="24"/>
                <w:lang w:val="en-US" w:eastAsia="zh-CN"/>
              </w:rPr>
            </w:pPr>
            <w:r>
              <w:rPr>
                <w:rFonts w:hint="default" w:ascii="Times New Roman" w:hAnsi="Times New Roman" w:eastAsia="宋体" w:cs="Times New Roman"/>
                <w:color w:val="auto"/>
                <w:sz w:val="24"/>
                <w:lang w:val="en-US" w:eastAsia="zh-CN"/>
              </w:rPr>
              <w:t>本项目与规划环评中重点减污降碳单元管控措施清单符合性分析如下：</w:t>
            </w:r>
          </w:p>
          <w:p w14:paraId="69DA58FF">
            <w:pPr>
              <w:keepNext w:val="0"/>
              <w:keepLines w:val="0"/>
              <w:suppressLineNumbers w:val="0"/>
              <w:spacing w:before="0" w:beforeAutospacing="0" w:after="0" w:afterAutospacing="0" w:line="240" w:lineRule="auto"/>
              <w:ind w:left="0" w:right="0"/>
              <w:jc w:val="center"/>
              <w:rPr>
                <w:rFonts w:hint="eastAsia" w:ascii="Times New Roman" w:hAnsi="Times New Roman" w:eastAsia="宋体" w:cs="Times New Roman"/>
                <w:b/>
                <w:bCs/>
                <w:color w:val="auto"/>
              </w:rPr>
            </w:pPr>
          </w:p>
          <w:p w14:paraId="5DD6686A">
            <w:pPr>
              <w:keepNext w:val="0"/>
              <w:keepLines w:val="0"/>
              <w:suppressLineNumbers w:val="0"/>
              <w:spacing w:before="0" w:beforeAutospacing="0" w:after="0" w:afterAutospacing="0" w:line="240" w:lineRule="auto"/>
              <w:ind w:left="0" w:right="0"/>
              <w:jc w:val="center"/>
              <w:rPr>
                <w:rFonts w:hint="eastAsia" w:ascii="Times New Roman" w:hAnsi="Times New Roman" w:eastAsia="宋体" w:cs="Times New Roman"/>
                <w:color w:val="auto"/>
                <w:sz w:val="24"/>
              </w:rPr>
            </w:pPr>
            <w:r>
              <w:rPr>
                <w:rFonts w:hint="eastAsia" w:ascii="Times New Roman" w:hAnsi="Times New Roman" w:eastAsia="宋体" w:cs="Times New Roman"/>
                <w:b/>
                <w:bCs/>
                <w:color w:val="auto"/>
              </w:rPr>
              <w:t>表</w:t>
            </w:r>
            <w:r>
              <w:rPr>
                <w:rFonts w:hint="default" w:ascii="Times New Roman" w:hAnsi="Times New Roman" w:eastAsia="宋体" w:cs="Times New Roman"/>
                <w:b/>
                <w:bCs/>
                <w:color w:val="auto"/>
              </w:rPr>
              <w:t>1-</w:t>
            </w:r>
            <w:r>
              <w:rPr>
                <w:rFonts w:hint="eastAsia" w:ascii="Times New Roman" w:hAnsi="Times New Roman" w:eastAsia="宋体" w:cs="Times New Roman"/>
                <w:b/>
                <w:bCs/>
                <w:color w:val="auto"/>
                <w:lang w:val="en-US" w:eastAsia="zh-CN"/>
              </w:rPr>
              <w:t>5</w:t>
            </w:r>
            <w:r>
              <w:rPr>
                <w:rFonts w:hint="eastAsia" w:ascii="Times New Roman" w:hAnsi="Times New Roman" w:eastAsia="宋体" w:cs="Times New Roman"/>
                <w:b/>
                <w:bCs/>
                <w:color w:val="auto"/>
              </w:rPr>
              <w:t xml:space="preserve">  </w:t>
            </w:r>
            <w:r>
              <w:rPr>
                <w:rFonts w:hint="eastAsia" w:ascii="Times New Roman" w:hAnsi="Times New Roman" w:eastAsia="宋体" w:cs="Times New Roman"/>
                <w:b/>
                <w:bCs/>
                <w:color w:val="auto"/>
                <w:lang w:val="en-US" w:eastAsia="zh-CN"/>
              </w:rPr>
              <w:t>重点减污降碳单元管控措施清单符合性分析</w:t>
            </w:r>
          </w:p>
          <w:tbl>
            <w:tblPr>
              <w:tblStyle w:val="23"/>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310"/>
              <w:gridCol w:w="3258"/>
              <w:gridCol w:w="2575"/>
              <w:gridCol w:w="834"/>
            </w:tblGrid>
            <w:tr w14:paraId="42DD4E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1250" w:type="dxa"/>
                  <w:vAlign w:val="center"/>
                </w:tcPr>
                <w:p w14:paraId="6F7E6599">
                  <w:pPr>
                    <w:keepNext w:val="0"/>
                    <w:keepLines w:val="0"/>
                    <w:suppressLineNumbers w:val="0"/>
                    <w:spacing w:before="0" w:beforeAutospacing="0" w:after="0" w:afterAutospacing="0"/>
                    <w:ind w:left="0" w:right="0"/>
                    <w:jc w:val="center"/>
                    <w:rPr>
                      <w:rFonts w:hint="default" w:ascii="Times New Roman" w:hAnsi="Times New Roman" w:eastAsia="宋体" w:cs="Times New Roman"/>
                      <w:b/>
                      <w:bCs/>
                      <w:color w:val="auto"/>
                      <w:szCs w:val="21"/>
                    </w:rPr>
                  </w:pPr>
                  <w:r>
                    <w:rPr>
                      <w:rFonts w:hint="default" w:ascii="Times New Roman" w:hAnsi="Times New Roman" w:eastAsia="宋体" w:cs="Times New Roman"/>
                      <w:b/>
                      <w:bCs/>
                      <w:color w:val="auto"/>
                      <w:szCs w:val="21"/>
                      <w:lang w:val="en-US" w:eastAsia="zh-CN"/>
                    </w:rPr>
                    <w:t>管控单元分类及编号</w:t>
                  </w:r>
                </w:p>
              </w:tc>
              <w:tc>
                <w:tcPr>
                  <w:tcW w:w="3108" w:type="dxa"/>
                  <w:vAlign w:val="center"/>
                </w:tcPr>
                <w:p w14:paraId="3B3FA72B">
                  <w:pPr>
                    <w:keepNext w:val="0"/>
                    <w:keepLines w:val="0"/>
                    <w:suppressLineNumbers w:val="0"/>
                    <w:spacing w:before="0" w:beforeAutospacing="0" w:after="0" w:afterAutospacing="0"/>
                    <w:ind w:left="0" w:right="0"/>
                    <w:jc w:val="center"/>
                    <w:rPr>
                      <w:rFonts w:hint="default" w:ascii="Times New Roman" w:hAnsi="Times New Roman" w:eastAsia="宋体" w:cs="Times New Roman"/>
                      <w:b/>
                      <w:bCs/>
                      <w:color w:val="auto"/>
                      <w:szCs w:val="21"/>
                    </w:rPr>
                  </w:pPr>
                  <w:r>
                    <w:rPr>
                      <w:rFonts w:hint="default" w:ascii="Times New Roman" w:hAnsi="Times New Roman" w:eastAsia="宋体" w:cs="Times New Roman"/>
                      <w:b/>
                      <w:bCs/>
                      <w:color w:val="auto"/>
                      <w:szCs w:val="21"/>
                      <w:lang w:val="en-US" w:eastAsia="zh-CN"/>
                    </w:rPr>
                    <w:t>新增减污降碳管控要求</w:t>
                  </w:r>
                </w:p>
              </w:tc>
              <w:tc>
                <w:tcPr>
                  <w:tcW w:w="2457" w:type="dxa"/>
                  <w:vAlign w:val="center"/>
                </w:tcPr>
                <w:p w14:paraId="6D1E6B82">
                  <w:pPr>
                    <w:keepNext w:val="0"/>
                    <w:keepLines w:val="0"/>
                    <w:suppressLineNumbers w:val="0"/>
                    <w:spacing w:before="0" w:beforeAutospacing="0" w:after="0" w:afterAutospacing="0"/>
                    <w:ind w:left="0" w:right="0"/>
                    <w:jc w:val="center"/>
                    <w:rPr>
                      <w:rFonts w:hint="default" w:ascii="Times New Roman" w:hAnsi="Times New Roman" w:eastAsia="宋体" w:cs="Times New Roman"/>
                      <w:b/>
                      <w:bCs/>
                      <w:color w:val="auto"/>
                      <w:szCs w:val="21"/>
                    </w:rPr>
                  </w:pPr>
                  <w:r>
                    <w:rPr>
                      <w:rFonts w:hint="default" w:ascii="Times New Roman" w:hAnsi="Times New Roman" w:eastAsia="宋体" w:cs="Times New Roman"/>
                      <w:b/>
                      <w:bCs/>
                      <w:color w:val="auto"/>
                      <w:szCs w:val="21"/>
                      <w:lang w:val="en-US" w:eastAsia="zh-CN"/>
                    </w:rPr>
                    <w:t>本项目情况</w:t>
                  </w:r>
                </w:p>
              </w:tc>
              <w:tc>
                <w:tcPr>
                  <w:tcW w:w="796" w:type="dxa"/>
                  <w:vAlign w:val="center"/>
                </w:tcPr>
                <w:p w14:paraId="4B8AF2C0">
                  <w:pPr>
                    <w:keepNext w:val="0"/>
                    <w:keepLines w:val="0"/>
                    <w:suppressLineNumbers w:val="0"/>
                    <w:spacing w:before="0" w:beforeAutospacing="0" w:after="0" w:afterAutospacing="0"/>
                    <w:ind w:left="0" w:right="0"/>
                    <w:jc w:val="center"/>
                    <w:rPr>
                      <w:rFonts w:hint="default" w:ascii="Times New Roman" w:hAnsi="Times New Roman" w:eastAsia="宋体" w:cs="Times New Roman"/>
                      <w:b/>
                      <w:bCs/>
                      <w:color w:val="auto"/>
                      <w:szCs w:val="21"/>
                      <w:lang w:val="en-US" w:eastAsia="zh-CN"/>
                    </w:rPr>
                  </w:pPr>
                  <w:r>
                    <w:rPr>
                      <w:rFonts w:hint="eastAsia" w:ascii="Times New Roman" w:hAnsi="Times New Roman" w:eastAsia="宋体" w:cs="Times New Roman"/>
                      <w:b/>
                      <w:bCs/>
                      <w:color w:val="auto"/>
                      <w:szCs w:val="21"/>
                      <w:lang w:val="en-US" w:eastAsia="zh-CN"/>
                    </w:rPr>
                    <w:t>是否符合</w:t>
                  </w:r>
                </w:p>
              </w:tc>
            </w:tr>
            <w:tr w14:paraId="2A0DFF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1250" w:type="dxa"/>
                  <w:vAlign w:val="center"/>
                </w:tcPr>
                <w:p w14:paraId="1BC53EFD">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rPr>
                    <w:t>湖州市安吉县天子湖镇产业集聚重点管控单元ZH33052320007</w:t>
                  </w:r>
                </w:p>
              </w:tc>
              <w:tc>
                <w:tcPr>
                  <w:tcW w:w="3108" w:type="dxa"/>
                  <w:vAlign w:val="center"/>
                </w:tcPr>
                <w:p w14:paraId="6CC3D478">
                  <w:pPr>
                    <w:keepNext w:val="0"/>
                    <w:keepLines w:val="0"/>
                    <w:suppressLineNumbers w:val="0"/>
                    <w:spacing w:before="0" w:beforeAutospacing="0" w:after="0" w:afterAutospacing="0"/>
                    <w:ind w:left="0" w:right="0"/>
                    <w:jc w:val="both"/>
                    <w:rPr>
                      <w:rFonts w:hint="default" w:ascii="Times New Roman" w:hAnsi="Times New Roman" w:eastAsia="宋体" w:cs="Times New Roman"/>
                      <w:color w:val="auto"/>
                      <w:szCs w:val="21"/>
                      <w:lang w:val="en-US" w:eastAsia="zh-CN"/>
                    </w:rPr>
                  </w:pPr>
                  <w:r>
                    <w:rPr>
                      <w:rFonts w:hint="default" w:ascii="Times New Roman" w:hAnsi="Times New Roman" w:eastAsia="宋体" w:cs="Times New Roman"/>
                      <w:color w:val="auto"/>
                      <w:szCs w:val="21"/>
                      <w:lang w:val="en-US" w:eastAsia="zh-CN"/>
                    </w:rPr>
                    <w:t>1、推进煤电节能降碳改造、灵活性改造、供热改造</w:t>
                  </w:r>
                  <w:r>
                    <w:rPr>
                      <w:rFonts w:hint="eastAsia" w:ascii="Times New Roman" w:hAnsi="Times New Roman" w:eastAsia="宋体" w:cs="Times New Roman"/>
                      <w:color w:val="auto"/>
                      <w:szCs w:val="21"/>
                      <w:lang w:val="en-US" w:eastAsia="zh-CN"/>
                    </w:rPr>
                    <w:t>“</w:t>
                  </w:r>
                  <w:r>
                    <w:rPr>
                      <w:rFonts w:hint="default" w:ascii="Times New Roman" w:hAnsi="Times New Roman" w:eastAsia="宋体" w:cs="Times New Roman"/>
                      <w:color w:val="auto"/>
                      <w:szCs w:val="21"/>
                      <w:lang w:val="en-US" w:eastAsia="zh-CN"/>
                    </w:rPr>
                    <w:t>三改联动</w:t>
                  </w:r>
                  <w:r>
                    <w:rPr>
                      <w:rFonts w:hint="eastAsia" w:ascii="Times New Roman" w:hAnsi="Times New Roman" w:eastAsia="宋体" w:cs="Times New Roman"/>
                      <w:color w:val="auto"/>
                      <w:szCs w:val="21"/>
                      <w:lang w:val="en-US" w:eastAsia="zh-CN"/>
                    </w:rPr>
                    <w:t>”</w:t>
                  </w:r>
                  <w:r>
                    <w:rPr>
                      <w:rFonts w:hint="default" w:ascii="Times New Roman" w:hAnsi="Times New Roman" w:eastAsia="宋体" w:cs="Times New Roman"/>
                      <w:color w:val="auto"/>
                      <w:szCs w:val="21"/>
                      <w:lang w:val="en-US" w:eastAsia="zh-CN"/>
                    </w:rPr>
                    <w:t>。鼓励火电项目使用洁净煤以及高热值煤，提高煤电用煤利用效率，降低电厂自用电率和碳排放量，实现火电平均供电标煤耗不断下降。鼓励发展冷热电三联供，提高能源使用效率。持续实施煤改气工程，有序推进天然气分布式发展，提高天然气覆盖率和气化率。</w:t>
                  </w:r>
                </w:p>
                <w:p w14:paraId="3712F306">
                  <w:pPr>
                    <w:keepNext w:val="0"/>
                    <w:keepLines w:val="0"/>
                    <w:suppressLineNumbers w:val="0"/>
                    <w:spacing w:before="0" w:beforeAutospacing="0" w:after="0" w:afterAutospacing="0"/>
                    <w:ind w:left="0" w:right="0"/>
                    <w:jc w:val="both"/>
                    <w:rPr>
                      <w:rFonts w:hint="default" w:ascii="Times New Roman" w:hAnsi="Times New Roman" w:eastAsia="宋体" w:cs="Times New Roman"/>
                      <w:color w:val="auto"/>
                      <w:szCs w:val="21"/>
                      <w:lang w:val="en-US" w:eastAsia="zh-CN"/>
                    </w:rPr>
                  </w:pPr>
                  <w:r>
                    <w:rPr>
                      <w:rFonts w:hint="default" w:ascii="Times New Roman" w:hAnsi="Times New Roman" w:eastAsia="宋体" w:cs="Times New Roman"/>
                      <w:color w:val="auto"/>
                      <w:szCs w:val="21"/>
                      <w:lang w:val="en-US" w:eastAsia="zh-CN"/>
                    </w:rPr>
                    <w:t>2、推进企业高效化，新建化纤项目原则上碳效值应达到3级及以上，改扩建项目碳效值必须达到4级及以上水平。推进化纤行业数字技术综合应用、能源梯级利用、物料循环利用，提升能源利用效率。</w:t>
                  </w:r>
                </w:p>
                <w:p w14:paraId="24909E42">
                  <w:pPr>
                    <w:keepNext w:val="0"/>
                    <w:keepLines w:val="0"/>
                    <w:suppressLineNumbers w:val="0"/>
                    <w:spacing w:before="0" w:beforeAutospacing="0" w:after="0" w:afterAutospacing="0"/>
                    <w:ind w:left="0" w:right="0"/>
                    <w:jc w:val="both"/>
                    <w:rPr>
                      <w:rFonts w:hint="default" w:ascii="Times New Roman" w:hAnsi="Times New Roman" w:eastAsia="宋体" w:cs="Times New Roman"/>
                      <w:color w:val="auto"/>
                      <w:szCs w:val="21"/>
                      <w:lang w:val="en-US" w:eastAsia="zh-CN"/>
                    </w:rPr>
                  </w:pPr>
                  <w:r>
                    <w:rPr>
                      <w:rFonts w:hint="default" w:ascii="Times New Roman" w:hAnsi="Times New Roman" w:eastAsia="宋体" w:cs="Times New Roman"/>
                      <w:color w:val="auto"/>
                      <w:szCs w:val="21"/>
                      <w:lang w:val="en-US" w:eastAsia="zh-CN"/>
                    </w:rPr>
                    <w:t>3、鼓励使用绿色染整技术、装备，鼓励新材料研发，推广染料助剂自动配送系统等高端智能生产设备、免水洗染料与低温冷漂助剂制备、数码印花、无水印花等先进适用节能降碳技术；推行小浴比染色、无聚乙烯醇上浆织造、再生纤维素纤维绿色制浆、针织物平幅染色、涤纶织物少水连续式染色等技术和装备改造。</w:t>
                  </w:r>
                </w:p>
                <w:p w14:paraId="79C1A201">
                  <w:pPr>
                    <w:keepNext w:val="0"/>
                    <w:keepLines w:val="0"/>
                    <w:suppressLineNumbers w:val="0"/>
                    <w:spacing w:before="0" w:beforeAutospacing="0" w:after="0" w:afterAutospacing="0"/>
                    <w:ind w:left="0" w:right="0"/>
                    <w:jc w:val="both"/>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lang w:val="en-US" w:eastAsia="zh-CN"/>
                    </w:rPr>
                    <w:t>4、新建纺织业、化学纤维制造业、非金属矿物制品业、金属冶炼与压延业、造纸和纸制品业、电力、热力供应业需满足相应行业能效指标控制要求（涤纶（长、短）纤维DB33/683、棉布DB33/757、棉纱DB33/758、印染布DB33/685、铝合金铸件DB33/802、铸铁件</w:t>
                  </w:r>
                  <w:r>
                    <w:rPr>
                      <w:rFonts w:hint="eastAsia" w:ascii="Times New Roman" w:hAnsi="Times New Roman" w:eastAsia="宋体" w:cs="Times New Roman"/>
                      <w:color w:val="auto"/>
                      <w:szCs w:val="21"/>
                      <w:lang w:val="en-US" w:eastAsia="zh-CN"/>
                    </w:rPr>
                    <w:t>（</w:t>
                  </w:r>
                  <w:r>
                    <w:rPr>
                      <w:rFonts w:hint="default" w:ascii="Times New Roman" w:hAnsi="Times New Roman" w:eastAsia="宋体" w:cs="Times New Roman"/>
                      <w:color w:val="auto"/>
                      <w:szCs w:val="21"/>
                      <w:lang w:val="en-US" w:eastAsia="zh-CN"/>
                    </w:rPr>
                    <w:t>含球铁和灰铁</w:t>
                  </w:r>
                  <w:r>
                    <w:rPr>
                      <w:rFonts w:hint="eastAsia" w:ascii="Times New Roman" w:hAnsi="Times New Roman" w:eastAsia="宋体" w:cs="Times New Roman"/>
                      <w:color w:val="auto"/>
                      <w:szCs w:val="21"/>
                      <w:lang w:val="en-US" w:eastAsia="zh-CN"/>
                    </w:rPr>
                    <w:t>）</w:t>
                  </w:r>
                  <w:r>
                    <w:rPr>
                      <w:rFonts w:hint="default" w:ascii="Times New Roman" w:hAnsi="Times New Roman" w:eastAsia="宋体" w:cs="Times New Roman"/>
                      <w:color w:val="auto"/>
                      <w:szCs w:val="21"/>
                      <w:lang w:val="en-US" w:eastAsia="zh-CN"/>
                    </w:rPr>
                    <w:t>DB33/807、铜及铜合金管材GB21350、铜及铜合金管材GB21350、蒸压加气混凝土砌块DB33/866、烧结墙体材料GB30526及DB33/767、燃煤发电GB21258及DB33/644、热电联产DB33/642）。</w:t>
                  </w:r>
                </w:p>
                <w:p w14:paraId="6FF1C132">
                  <w:pPr>
                    <w:keepNext w:val="0"/>
                    <w:keepLines w:val="0"/>
                    <w:suppressLineNumbers w:val="0"/>
                    <w:spacing w:before="0" w:beforeAutospacing="0" w:after="0" w:afterAutospacing="0"/>
                    <w:ind w:left="0" w:right="0"/>
                    <w:jc w:val="both"/>
                    <w:rPr>
                      <w:rFonts w:hint="default" w:ascii="Times New Roman" w:hAnsi="Times New Roman" w:eastAsia="宋体" w:cs="Times New Roman"/>
                      <w:color w:val="auto"/>
                      <w:szCs w:val="21"/>
                      <w:lang w:val="en-US" w:eastAsia="zh-CN"/>
                    </w:rPr>
                  </w:pPr>
                  <w:r>
                    <w:rPr>
                      <w:rFonts w:hint="default" w:ascii="Times New Roman" w:hAnsi="Times New Roman" w:eastAsia="宋体" w:cs="Times New Roman"/>
                      <w:color w:val="auto"/>
                      <w:szCs w:val="21"/>
                      <w:lang w:val="en-US" w:eastAsia="zh-CN"/>
                    </w:rPr>
                    <w:t>5、</w:t>
                  </w:r>
                  <w:r>
                    <w:rPr>
                      <w:rFonts w:hint="eastAsia" w:ascii="Times New Roman" w:hAnsi="Times New Roman" w:eastAsia="宋体" w:cs="Times New Roman"/>
                      <w:color w:val="auto"/>
                      <w:szCs w:val="21"/>
                      <w:lang w:val="en-US" w:eastAsia="zh-CN"/>
                    </w:rPr>
                    <w:t>“</w:t>
                  </w:r>
                  <w:r>
                    <w:rPr>
                      <w:rFonts w:hint="default" w:ascii="Times New Roman" w:hAnsi="Times New Roman" w:eastAsia="宋体" w:cs="Times New Roman"/>
                      <w:color w:val="auto"/>
                      <w:szCs w:val="21"/>
                      <w:lang w:val="en-US" w:eastAsia="zh-CN"/>
                    </w:rPr>
                    <w:t>9+1</w:t>
                  </w:r>
                  <w:r>
                    <w:rPr>
                      <w:rFonts w:hint="eastAsia" w:ascii="Times New Roman" w:hAnsi="Times New Roman" w:eastAsia="宋体" w:cs="Times New Roman"/>
                      <w:color w:val="auto"/>
                      <w:szCs w:val="21"/>
                      <w:lang w:val="en-US" w:eastAsia="zh-CN"/>
                    </w:rPr>
                    <w:t>”</w:t>
                  </w:r>
                  <w:r>
                    <w:rPr>
                      <w:rFonts w:hint="default" w:ascii="Times New Roman" w:hAnsi="Times New Roman" w:eastAsia="宋体" w:cs="Times New Roman"/>
                      <w:color w:val="auto"/>
                      <w:szCs w:val="21"/>
                      <w:lang w:val="en-US" w:eastAsia="zh-CN"/>
                    </w:rPr>
                    <w:t>行业建设项目的单位工业增加值碳排放强度需低于行业单位工业增加值碳排放参考限值（湖州市生态环境分区减污降碳协同管控方案附件2）。</w:t>
                  </w:r>
                </w:p>
                <w:p w14:paraId="06628F5E">
                  <w:pPr>
                    <w:keepNext w:val="0"/>
                    <w:keepLines w:val="0"/>
                    <w:suppressLineNumbers w:val="0"/>
                    <w:spacing w:before="0" w:beforeAutospacing="0" w:after="0" w:afterAutospacing="0"/>
                    <w:ind w:left="0" w:right="0"/>
                    <w:jc w:val="both"/>
                    <w:rPr>
                      <w:rFonts w:hint="default" w:ascii="Times New Roman" w:hAnsi="Times New Roman" w:eastAsia="宋体" w:cs="Times New Roman"/>
                      <w:color w:val="auto"/>
                      <w:szCs w:val="21"/>
                      <w:lang w:val="en-US" w:eastAsia="zh-CN"/>
                    </w:rPr>
                  </w:pPr>
                  <w:r>
                    <w:rPr>
                      <w:rFonts w:hint="default" w:ascii="Times New Roman" w:hAnsi="Times New Roman" w:eastAsia="宋体" w:cs="Times New Roman"/>
                      <w:color w:val="auto"/>
                      <w:szCs w:val="21"/>
                      <w:lang w:val="en-US" w:eastAsia="zh-CN"/>
                    </w:rPr>
                    <w:t>6、促进园区企业间能源系统优化和梯级利用、水资源集约化循环利用、废物综合利用，形成循环经济产业链。推进企业间的串联用水、分质用水、一水多用和循环利用，推进工业废水分质回用、梯级利用，提升废水综合利用效率，减少污水处理运行负荷。推进无废城市建设，推动园区企业内、企业间和产业间物料闭路循环，实现固体废物循环利用。推动固废源头减量及清洁生产工艺、构建固废资源化利用系统、加强危废精细化管理，推动固废处置减污降碳。鼓励采用绿色低碳修复技术，推动重污染地块合理土地规划利用，实现工业园区污染场地风险防控及绿色低碳修复。推动企业进行绿色低碳技术改造，推动企业内、企业间和区域内资源和能源高效配置，提高资源及能源使用效率，强化企业清洁生产改造，推动一批重点企业达到国际领先水平。</w:t>
                  </w:r>
                </w:p>
                <w:p w14:paraId="5D9C2593">
                  <w:pPr>
                    <w:keepNext w:val="0"/>
                    <w:keepLines w:val="0"/>
                    <w:suppressLineNumbers w:val="0"/>
                    <w:spacing w:before="0" w:beforeAutospacing="0" w:after="0" w:afterAutospacing="0"/>
                    <w:ind w:left="0" w:right="0"/>
                    <w:jc w:val="both"/>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lang w:val="en-US" w:eastAsia="zh-CN"/>
                    </w:rPr>
                    <w:t>7.推进绿色低碳表面处理园区建设，绿色低碳表面处理园区的建设拟采用绿岛模式，实现电镀企业的100%集中入园，并共享环保基础设施，包括废水处理、危废管理等，以集中治理污染，减少企业成本，提高环境治理效率，以推动园区内的集约化、智能化发展。同时，实施</w:t>
                  </w:r>
                  <w:r>
                    <w:rPr>
                      <w:rFonts w:hint="eastAsia" w:ascii="Times New Roman" w:hAnsi="Times New Roman" w:eastAsia="宋体" w:cs="Times New Roman"/>
                      <w:color w:val="auto"/>
                      <w:szCs w:val="21"/>
                      <w:lang w:val="en-US" w:eastAsia="zh-CN"/>
                    </w:rPr>
                    <w:t>“</w:t>
                  </w:r>
                  <w:r>
                    <w:rPr>
                      <w:rFonts w:hint="default" w:ascii="Times New Roman" w:hAnsi="Times New Roman" w:eastAsia="宋体" w:cs="Times New Roman"/>
                      <w:color w:val="auto"/>
                      <w:szCs w:val="21"/>
                      <w:lang w:val="en-US" w:eastAsia="zh-CN"/>
                    </w:rPr>
                    <w:t>空中园区</w:t>
                  </w:r>
                  <w:r>
                    <w:rPr>
                      <w:rFonts w:hint="eastAsia" w:ascii="Times New Roman" w:hAnsi="Times New Roman" w:eastAsia="宋体" w:cs="Times New Roman"/>
                      <w:color w:val="auto"/>
                      <w:szCs w:val="21"/>
                      <w:lang w:val="en-US" w:eastAsia="zh-CN"/>
                    </w:rPr>
                    <w:t>”</w:t>
                  </w:r>
                  <w:r>
                    <w:rPr>
                      <w:rFonts w:hint="default" w:ascii="Times New Roman" w:hAnsi="Times New Roman" w:eastAsia="宋体" w:cs="Times New Roman"/>
                      <w:color w:val="auto"/>
                      <w:szCs w:val="21"/>
                      <w:lang w:val="en-US" w:eastAsia="zh-CN"/>
                    </w:rPr>
                    <w:t>设计，通过封闭管网系统输送废水，防止泄漏，并建立地下水监测系统以预警水质变化，确保园区绿色低碳运行，打造绿色低碳产业集聚区。</w:t>
                  </w:r>
                </w:p>
              </w:tc>
              <w:tc>
                <w:tcPr>
                  <w:tcW w:w="2457" w:type="dxa"/>
                  <w:vAlign w:val="center"/>
                </w:tcPr>
                <w:p w14:paraId="38432288">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lang w:val="en-US" w:eastAsia="zh-CN"/>
                    </w:rPr>
                    <w:t>本项目</w:t>
                  </w:r>
                  <w:r>
                    <w:rPr>
                      <w:rFonts w:hint="eastAsia" w:ascii="Times New Roman" w:hAnsi="Times New Roman" w:eastAsia="宋体" w:cs="Times New Roman"/>
                      <w:color w:val="auto"/>
                      <w:szCs w:val="21"/>
                      <w:lang w:val="en-US" w:eastAsia="zh-CN"/>
                    </w:rPr>
                    <w:t>属于扩建，行业类别为C3670汽车零部件及配件制造、C2929塑料零件及其他塑料制品制造、C3034隔热和隔音材料制造</w:t>
                  </w:r>
                  <w:r>
                    <w:rPr>
                      <w:rFonts w:hint="default" w:ascii="Times New Roman" w:hAnsi="Times New Roman" w:eastAsia="宋体" w:cs="Times New Roman"/>
                      <w:color w:val="auto"/>
                      <w:szCs w:val="21"/>
                      <w:lang w:val="en-US" w:eastAsia="zh-CN"/>
                    </w:rPr>
                    <w:t>，不属于</w:t>
                  </w:r>
                  <w:r>
                    <w:rPr>
                      <w:rFonts w:hint="eastAsia" w:ascii="Times New Roman" w:hAnsi="Times New Roman" w:eastAsia="宋体" w:cs="Times New Roman"/>
                      <w:color w:val="auto"/>
                      <w:szCs w:val="21"/>
                      <w:lang w:val="en-US" w:eastAsia="zh-CN"/>
                    </w:rPr>
                    <w:t>“</w:t>
                  </w:r>
                  <w:r>
                    <w:rPr>
                      <w:rFonts w:hint="default" w:ascii="Times New Roman" w:hAnsi="Times New Roman" w:eastAsia="宋体" w:cs="Times New Roman"/>
                      <w:color w:val="auto"/>
                      <w:szCs w:val="21"/>
                      <w:lang w:val="en-US" w:eastAsia="zh-CN"/>
                    </w:rPr>
                    <w:t>9+1</w:t>
                  </w:r>
                  <w:r>
                    <w:rPr>
                      <w:rFonts w:hint="eastAsia" w:ascii="Times New Roman" w:hAnsi="Times New Roman" w:eastAsia="宋体" w:cs="Times New Roman"/>
                      <w:color w:val="auto"/>
                      <w:szCs w:val="21"/>
                      <w:lang w:val="en-US" w:eastAsia="zh-CN"/>
                    </w:rPr>
                    <w:t>”</w:t>
                  </w:r>
                  <w:r>
                    <w:rPr>
                      <w:rFonts w:hint="default" w:ascii="Times New Roman" w:hAnsi="Times New Roman" w:eastAsia="宋体" w:cs="Times New Roman"/>
                      <w:color w:val="auto"/>
                      <w:szCs w:val="21"/>
                      <w:lang w:val="en-US" w:eastAsia="zh-CN"/>
                    </w:rPr>
                    <w:t>行业。企业积极推行清洁生产和节水型企业建设。本项目不涉及电镀。</w:t>
                  </w:r>
                </w:p>
              </w:tc>
              <w:tc>
                <w:tcPr>
                  <w:tcW w:w="796" w:type="dxa"/>
                  <w:vAlign w:val="center"/>
                </w:tcPr>
                <w:p w14:paraId="282312D2">
                  <w:pPr>
                    <w:keepNext w:val="0"/>
                    <w:keepLines w:val="0"/>
                    <w:suppressLineNumbers w:val="0"/>
                    <w:spacing w:before="0" w:beforeAutospacing="0" w:after="0" w:afterAutospacing="0"/>
                    <w:ind w:left="0" w:right="0"/>
                    <w:jc w:val="center"/>
                    <w:rPr>
                      <w:rFonts w:hint="eastAsia" w:ascii="Times New Roman" w:hAnsi="Times New Roman" w:eastAsia="宋体" w:cs="Times New Roman"/>
                      <w:color w:val="auto"/>
                      <w:szCs w:val="21"/>
                      <w:lang w:val="en-US" w:eastAsia="zh-CN"/>
                    </w:rPr>
                  </w:pPr>
                  <w:r>
                    <w:rPr>
                      <w:rFonts w:hint="eastAsia" w:ascii="Times New Roman" w:hAnsi="Times New Roman" w:eastAsia="宋体" w:cs="Times New Roman"/>
                      <w:color w:val="auto"/>
                      <w:szCs w:val="21"/>
                      <w:lang w:val="en-US" w:eastAsia="zh-CN"/>
                    </w:rPr>
                    <w:t>符合</w:t>
                  </w:r>
                </w:p>
              </w:tc>
            </w:tr>
          </w:tbl>
          <w:p w14:paraId="06942502">
            <w:pPr>
              <w:keepNext w:val="0"/>
              <w:keepLines w:val="0"/>
              <w:suppressLineNumbers w:val="0"/>
              <w:spacing w:before="0" w:beforeAutospacing="0" w:after="0" w:afterAutospacing="0" w:line="360" w:lineRule="auto"/>
              <w:ind w:left="0" w:right="0" w:firstLine="480" w:firstLineChars="200"/>
              <w:rPr>
                <w:rFonts w:hint="eastAsia" w:ascii="Times New Roman" w:hAnsi="Times New Roman" w:eastAsia="宋体" w:cs="Times New Roman"/>
                <w:color w:val="auto"/>
                <w:sz w:val="24"/>
              </w:rPr>
            </w:pPr>
            <w:r>
              <w:rPr>
                <w:rFonts w:hint="eastAsia" w:ascii="Times New Roman" w:hAnsi="Times New Roman" w:eastAsia="宋体" w:cs="Times New Roman"/>
                <w:color w:val="auto"/>
                <w:sz w:val="24"/>
                <w:lang w:val="en-US" w:eastAsia="zh-CN"/>
              </w:rPr>
              <w:t>综上所述，本项目建设符合《长三角（湖州）产业合作区发展总体规划环境影响报告书》要求中生态空间管控清单、现有问题整改措施清单、污染物排放总量管控限值清单、规划优化调整建议清单、环境准入条件清单、环境标准清单、重点减污降碳单元管控措施清单。</w:t>
            </w:r>
          </w:p>
          <w:p w14:paraId="48A5D7FB">
            <w:pPr>
              <w:keepNext w:val="0"/>
              <w:keepLines w:val="0"/>
              <w:suppressLineNumbers w:val="0"/>
              <w:spacing w:before="0" w:beforeAutospacing="0" w:after="0" w:afterAutospacing="0" w:line="360" w:lineRule="auto"/>
              <w:ind w:left="0" w:right="0"/>
              <w:rPr>
                <w:rFonts w:hint="default" w:ascii="Times New Roman" w:hAnsi="Times New Roman" w:eastAsia="宋体" w:cs="Times New Roman"/>
                <w:b/>
                <w:bCs/>
                <w:color w:val="auto"/>
                <w:sz w:val="24"/>
              </w:rPr>
            </w:pPr>
            <w:r>
              <w:rPr>
                <w:rFonts w:hint="eastAsia" w:ascii="Times New Roman" w:hAnsi="Times New Roman" w:eastAsia="宋体" w:cs="Times New Roman"/>
                <w:b/>
                <w:bCs/>
                <w:color w:val="auto"/>
                <w:sz w:val="24"/>
                <w:lang w:val="en-US" w:eastAsia="zh-CN"/>
              </w:rPr>
              <w:t>1.1.3《浙江省生态环境厅关于&lt;长三角（湖州）产业合作区发展总体规划环境影响报告书&gt;的审查意见》（浙环函〔2025〕333号）</w:t>
            </w:r>
            <w:r>
              <w:rPr>
                <w:rFonts w:hint="eastAsia" w:ascii="Times New Roman" w:hAnsi="Times New Roman" w:eastAsia="宋体" w:cs="Times New Roman"/>
                <w:b/>
                <w:bCs/>
                <w:color w:val="auto"/>
                <w:sz w:val="24"/>
              </w:rPr>
              <w:t>符合性分析</w:t>
            </w:r>
          </w:p>
          <w:p w14:paraId="21C19285">
            <w:pPr>
              <w:keepNext w:val="0"/>
              <w:keepLines w:val="0"/>
              <w:suppressLineNumbers w:val="0"/>
              <w:spacing w:before="0" w:beforeAutospacing="0" w:after="0" w:afterAutospacing="0" w:line="360" w:lineRule="auto"/>
              <w:ind w:left="0" w:right="0" w:firstLine="480" w:firstLineChars="200"/>
              <w:rPr>
                <w:rFonts w:hint="eastAsia" w:ascii="Times New Roman" w:hAnsi="Times New Roman" w:eastAsia="宋体" w:cs="Times New Roman"/>
                <w:color w:val="auto"/>
                <w:sz w:val="24"/>
              </w:rPr>
            </w:pPr>
            <w:r>
              <w:rPr>
                <w:rFonts w:hint="eastAsia" w:ascii="Times New Roman" w:hAnsi="Times New Roman" w:eastAsia="宋体" w:cs="Times New Roman"/>
                <w:color w:val="auto"/>
                <w:sz w:val="24"/>
                <w:lang w:val="en-US" w:eastAsia="zh-CN"/>
              </w:rPr>
              <w:t>浙江省生态环境厅于2025年9月30日出具了《浙江省生态环境厅关于&lt;长三角（湖州）产业合作区发展总体规划环境影响报告书&gt;的审查意见》（浙环函〔2025〕333号）。对照审查意见，本项目符合性分析详见下表。</w:t>
            </w:r>
          </w:p>
          <w:p w14:paraId="32AFCD0B">
            <w:pPr>
              <w:keepNext w:val="0"/>
              <w:keepLines w:val="0"/>
              <w:suppressLineNumbers w:val="0"/>
              <w:spacing w:before="0" w:beforeAutospacing="0" w:after="0" w:afterAutospacing="0" w:line="240" w:lineRule="auto"/>
              <w:ind w:left="0" w:right="0"/>
              <w:jc w:val="center"/>
              <w:rPr>
                <w:rFonts w:hint="eastAsia" w:ascii="Times New Roman" w:hAnsi="Times New Roman" w:eastAsia="宋体" w:cs="Times New Roman"/>
                <w:color w:val="auto"/>
                <w:sz w:val="24"/>
              </w:rPr>
            </w:pPr>
            <w:r>
              <w:rPr>
                <w:rFonts w:hint="eastAsia" w:ascii="Times New Roman" w:hAnsi="Times New Roman" w:eastAsia="宋体" w:cs="Times New Roman"/>
                <w:b/>
                <w:bCs/>
                <w:color w:val="auto"/>
              </w:rPr>
              <w:t>表</w:t>
            </w:r>
            <w:r>
              <w:rPr>
                <w:rFonts w:hint="default" w:ascii="Times New Roman" w:hAnsi="Times New Roman" w:eastAsia="宋体" w:cs="Times New Roman"/>
                <w:b/>
                <w:bCs/>
                <w:color w:val="auto"/>
              </w:rPr>
              <w:t>1-</w:t>
            </w:r>
            <w:r>
              <w:rPr>
                <w:rFonts w:hint="eastAsia" w:ascii="Times New Roman" w:hAnsi="Times New Roman" w:eastAsia="宋体" w:cs="Times New Roman"/>
                <w:b/>
                <w:bCs/>
                <w:color w:val="auto"/>
                <w:lang w:val="en-US" w:eastAsia="zh-CN"/>
              </w:rPr>
              <w:t>6</w:t>
            </w:r>
            <w:r>
              <w:rPr>
                <w:rFonts w:hint="eastAsia" w:ascii="Times New Roman" w:hAnsi="Times New Roman" w:eastAsia="宋体" w:cs="Times New Roman"/>
                <w:b/>
                <w:bCs/>
                <w:color w:val="auto"/>
              </w:rPr>
              <w:t xml:space="preserve">  </w:t>
            </w:r>
            <w:r>
              <w:rPr>
                <w:rFonts w:hint="eastAsia" w:ascii="Times New Roman" w:hAnsi="Times New Roman" w:eastAsia="宋体" w:cs="Times New Roman"/>
                <w:b/>
                <w:bCs/>
                <w:color w:val="auto"/>
                <w:lang w:val="en-US" w:eastAsia="zh-CN"/>
              </w:rPr>
              <w:t>规划环评审查意见符合性分析</w:t>
            </w:r>
          </w:p>
          <w:tbl>
            <w:tblPr>
              <w:tblStyle w:val="23"/>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570"/>
              <w:gridCol w:w="3585"/>
              <w:gridCol w:w="2989"/>
              <w:gridCol w:w="834"/>
            </w:tblGrid>
            <w:tr w14:paraId="4824BB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570" w:type="dxa"/>
                  <w:vAlign w:val="center"/>
                </w:tcPr>
                <w:p w14:paraId="71F51DE7">
                  <w:pPr>
                    <w:keepNext w:val="0"/>
                    <w:keepLines w:val="0"/>
                    <w:suppressLineNumbers w:val="0"/>
                    <w:spacing w:before="0" w:beforeAutospacing="0" w:after="0" w:afterAutospacing="0"/>
                    <w:ind w:left="0" w:right="0"/>
                    <w:jc w:val="center"/>
                    <w:rPr>
                      <w:rFonts w:hint="default" w:ascii="Times New Roman" w:hAnsi="Times New Roman" w:eastAsia="宋体" w:cs="Times New Roman"/>
                      <w:b/>
                      <w:bCs/>
                      <w:color w:val="auto"/>
                      <w:szCs w:val="21"/>
                      <w:lang w:val="en-US" w:eastAsia="zh-CN"/>
                    </w:rPr>
                  </w:pPr>
                  <w:r>
                    <w:rPr>
                      <w:rFonts w:hint="eastAsia" w:ascii="Times New Roman" w:hAnsi="Times New Roman" w:eastAsia="宋体" w:cs="Times New Roman"/>
                      <w:b/>
                      <w:bCs/>
                      <w:color w:val="auto"/>
                      <w:szCs w:val="21"/>
                      <w:lang w:val="en-US" w:eastAsia="zh-CN"/>
                    </w:rPr>
                    <w:t>序号</w:t>
                  </w:r>
                </w:p>
              </w:tc>
              <w:tc>
                <w:tcPr>
                  <w:tcW w:w="3585" w:type="dxa"/>
                  <w:vAlign w:val="center"/>
                </w:tcPr>
                <w:p w14:paraId="6D282CBE">
                  <w:pPr>
                    <w:keepNext w:val="0"/>
                    <w:keepLines w:val="0"/>
                    <w:suppressLineNumbers w:val="0"/>
                    <w:spacing w:before="0" w:beforeAutospacing="0" w:after="0" w:afterAutospacing="0"/>
                    <w:ind w:left="0" w:right="0"/>
                    <w:jc w:val="center"/>
                    <w:rPr>
                      <w:rFonts w:hint="default" w:ascii="Times New Roman" w:hAnsi="Times New Roman" w:eastAsia="宋体" w:cs="Times New Roman"/>
                      <w:b/>
                      <w:bCs/>
                      <w:color w:val="auto"/>
                      <w:szCs w:val="21"/>
                      <w:lang w:val="en-US" w:eastAsia="zh-CN"/>
                    </w:rPr>
                  </w:pPr>
                  <w:r>
                    <w:rPr>
                      <w:rFonts w:hint="eastAsia" w:ascii="Times New Roman" w:hAnsi="Times New Roman" w:eastAsia="宋体" w:cs="Times New Roman"/>
                      <w:b/>
                      <w:bCs/>
                      <w:color w:val="auto"/>
                      <w:szCs w:val="21"/>
                      <w:lang w:val="en-US" w:eastAsia="zh-CN"/>
                    </w:rPr>
                    <w:t>主要内容</w:t>
                  </w:r>
                </w:p>
              </w:tc>
              <w:tc>
                <w:tcPr>
                  <w:tcW w:w="2989" w:type="dxa"/>
                  <w:vAlign w:val="center"/>
                </w:tcPr>
                <w:p w14:paraId="777C34C9">
                  <w:pPr>
                    <w:keepNext w:val="0"/>
                    <w:keepLines w:val="0"/>
                    <w:suppressLineNumbers w:val="0"/>
                    <w:spacing w:before="0" w:beforeAutospacing="0" w:after="0" w:afterAutospacing="0"/>
                    <w:ind w:left="0" w:right="0"/>
                    <w:jc w:val="center"/>
                    <w:rPr>
                      <w:rFonts w:hint="default" w:ascii="Times New Roman" w:hAnsi="Times New Roman" w:eastAsia="宋体" w:cs="Times New Roman"/>
                      <w:b/>
                      <w:bCs/>
                      <w:color w:val="auto"/>
                      <w:szCs w:val="21"/>
                    </w:rPr>
                  </w:pPr>
                  <w:r>
                    <w:rPr>
                      <w:rFonts w:hint="default" w:ascii="Times New Roman" w:hAnsi="Times New Roman" w:eastAsia="宋体" w:cs="Times New Roman"/>
                      <w:b/>
                      <w:bCs/>
                      <w:color w:val="auto"/>
                      <w:szCs w:val="21"/>
                      <w:lang w:val="en-US" w:eastAsia="zh-CN"/>
                    </w:rPr>
                    <w:t>本项目情况</w:t>
                  </w:r>
                </w:p>
              </w:tc>
              <w:tc>
                <w:tcPr>
                  <w:tcW w:w="834" w:type="dxa"/>
                  <w:vAlign w:val="center"/>
                </w:tcPr>
                <w:p w14:paraId="4F927413">
                  <w:pPr>
                    <w:keepNext w:val="0"/>
                    <w:keepLines w:val="0"/>
                    <w:suppressLineNumbers w:val="0"/>
                    <w:spacing w:before="0" w:beforeAutospacing="0" w:after="0" w:afterAutospacing="0"/>
                    <w:ind w:left="0" w:right="0"/>
                    <w:jc w:val="center"/>
                    <w:rPr>
                      <w:rFonts w:hint="default" w:ascii="Times New Roman" w:hAnsi="Times New Roman" w:eastAsia="宋体" w:cs="Times New Roman"/>
                      <w:b/>
                      <w:bCs/>
                      <w:color w:val="auto"/>
                      <w:szCs w:val="21"/>
                      <w:lang w:val="en-US" w:eastAsia="zh-CN"/>
                    </w:rPr>
                  </w:pPr>
                  <w:r>
                    <w:rPr>
                      <w:rFonts w:hint="eastAsia" w:ascii="Times New Roman" w:hAnsi="Times New Roman" w:eastAsia="宋体" w:cs="Times New Roman"/>
                      <w:b/>
                      <w:bCs/>
                      <w:color w:val="auto"/>
                      <w:szCs w:val="21"/>
                      <w:lang w:val="en-US" w:eastAsia="zh-CN"/>
                    </w:rPr>
                    <w:t>是否符合</w:t>
                  </w:r>
                </w:p>
              </w:tc>
            </w:tr>
            <w:tr w14:paraId="2A1F5F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570" w:type="dxa"/>
                  <w:vAlign w:val="center"/>
                </w:tcPr>
                <w:p w14:paraId="1F59901A">
                  <w:pPr>
                    <w:keepNext w:val="0"/>
                    <w:keepLines w:val="0"/>
                    <w:suppressLineNumbers w:val="0"/>
                    <w:spacing w:before="0" w:beforeAutospacing="0" w:after="0" w:afterAutospacing="0"/>
                    <w:ind w:left="0" w:right="0"/>
                    <w:jc w:val="center"/>
                    <w:rPr>
                      <w:rFonts w:hint="eastAsia" w:ascii="Times New Roman" w:hAnsi="Times New Roman" w:eastAsia="宋体" w:cs="Times New Roman"/>
                      <w:color w:val="auto"/>
                      <w:szCs w:val="21"/>
                      <w:lang w:val="en-US" w:eastAsia="zh-CN"/>
                    </w:rPr>
                  </w:pPr>
                  <w:r>
                    <w:rPr>
                      <w:rFonts w:hint="eastAsia" w:ascii="Times New Roman" w:hAnsi="Times New Roman" w:eastAsia="宋体" w:cs="Times New Roman"/>
                      <w:color w:val="auto"/>
                      <w:szCs w:val="21"/>
                      <w:lang w:val="en-US" w:eastAsia="zh-CN"/>
                    </w:rPr>
                    <w:t>1</w:t>
                  </w:r>
                </w:p>
              </w:tc>
              <w:tc>
                <w:tcPr>
                  <w:tcW w:w="3585" w:type="dxa"/>
                  <w:vAlign w:val="center"/>
                </w:tcPr>
                <w:p w14:paraId="4C2A626D">
                  <w:pPr>
                    <w:keepNext w:val="0"/>
                    <w:keepLines w:val="0"/>
                    <w:suppressLineNumbers w:val="0"/>
                    <w:spacing w:before="0" w:beforeAutospacing="0" w:after="0" w:afterAutospacing="0"/>
                    <w:ind w:left="0" w:right="0"/>
                    <w:jc w:val="both"/>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lang w:val="en-US" w:eastAsia="zh-CN"/>
                    </w:rPr>
                    <w:t>严格空间管控，优化功能布局。加强《规划》引导，衔接国土空间规划、落实生态坏境分区管控等要求。结合区域主导风向，优化调整局部居住与工业区块的功能，其中，规划的泗安东产业功能区设有居住用地，应予以调整或设置绿地等防护带。严格控制化工园区的范围和规模，做好规划控制和防护带的建设。</w:t>
                  </w:r>
                </w:p>
              </w:tc>
              <w:tc>
                <w:tcPr>
                  <w:tcW w:w="2989" w:type="dxa"/>
                  <w:vAlign w:val="center"/>
                </w:tcPr>
                <w:p w14:paraId="105C8B7E">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lang w:val="en-US" w:eastAsia="zh-CN"/>
                    </w:rPr>
                    <w:t>本项目最近的敏感点为东北侧</w:t>
                  </w:r>
                  <w:r>
                    <w:rPr>
                      <w:rFonts w:hint="eastAsia" w:ascii="Times New Roman" w:hAnsi="Times New Roman" w:eastAsia="宋体" w:cs="Times New Roman"/>
                      <w:color w:val="auto"/>
                      <w:szCs w:val="21"/>
                      <w:lang w:val="en-US" w:eastAsia="zh-CN"/>
                    </w:rPr>
                    <w:t>438</w:t>
                  </w:r>
                  <w:r>
                    <w:rPr>
                      <w:rFonts w:hint="default" w:ascii="Times New Roman" w:hAnsi="Times New Roman" w:eastAsia="宋体" w:cs="Times New Roman"/>
                      <w:color w:val="auto"/>
                      <w:szCs w:val="21"/>
                      <w:lang w:val="en-US" w:eastAsia="zh-CN"/>
                    </w:rPr>
                    <w:t>m的山岗</w:t>
                  </w:r>
                  <w:commentRangeStart w:id="8"/>
                  <w:r>
                    <w:rPr>
                      <w:rFonts w:hint="default" w:ascii="Times New Roman" w:hAnsi="Times New Roman" w:eastAsia="宋体" w:cs="Times New Roman"/>
                      <w:color w:val="0000FF"/>
                      <w:szCs w:val="21"/>
                      <w:lang w:val="en-US" w:eastAsia="zh-CN"/>
                    </w:rPr>
                    <w:t>自然村</w:t>
                  </w:r>
                  <w:commentRangeEnd w:id="8"/>
                  <w:r>
                    <w:rPr>
                      <w:rFonts w:hint="default"/>
                    </w:rPr>
                    <w:commentReference w:id="8"/>
                  </w:r>
                  <w:r>
                    <w:rPr>
                      <w:rFonts w:hint="default" w:ascii="Times New Roman" w:hAnsi="Times New Roman" w:eastAsia="宋体" w:cs="Times New Roman"/>
                      <w:color w:val="0000FF"/>
                      <w:szCs w:val="21"/>
                      <w:lang w:val="en-US" w:eastAsia="zh-CN"/>
                    </w:rPr>
                    <w:t>（居民点），厂界与敏感点之间设有道路及绿地防护带相隔，满足规划防护距离要求</w:t>
                  </w:r>
                  <w:r>
                    <w:rPr>
                      <w:rFonts w:hint="eastAsia" w:ascii="Times New Roman" w:hAnsi="Times New Roman" w:eastAsia="宋体" w:cs="Times New Roman"/>
                      <w:color w:val="0000FF"/>
                      <w:szCs w:val="21"/>
                      <w:lang w:val="en-US" w:eastAsia="zh-CN"/>
                    </w:rPr>
                    <w:t>。</w:t>
                  </w:r>
                </w:p>
              </w:tc>
              <w:tc>
                <w:tcPr>
                  <w:tcW w:w="834" w:type="dxa"/>
                  <w:vAlign w:val="center"/>
                </w:tcPr>
                <w:p w14:paraId="6BFF9BBD">
                  <w:pPr>
                    <w:keepNext w:val="0"/>
                    <w:keepLines w:val="0"/>
                    <w:suppressLineNumbers w:val="0"/>
                    <w:spacing w:before="0" w:beforeAutospacing="0" w:after="0" w:afterAutospacing="0"/>
                    <w:ind w:left="0" w:right="0"/>
                    <w:jc w:val="center"/>
                    <w:rPr>
                      <w:rFonts w:hint="eastAsia" w:ascii="Times New Roman" w:hAnsi="Times New Roman" w:eastAsia="宋体" w:cs="Times New Roman"/>
                      <w:color w:val="auto"/>
                      <w:szCs w:val="21"/>
                      <w:lang w:val="en-US" w:eastAsia="zh-CN"/>
                    </w:rPr>
                  </w:pPr>
                  <w:r>
                    <w:rPr>
                      <w:rFonts w:hint="eastAsia" w:ascii="Times New Roman" w:hAnsi="Times New Roman" w:eastAsia="宋体" w:cs="Times New Roman"/>
                      <w:color w:val="auto"/>
                      <w:szCs w:val="21"/>
                      <w:lang w:val="en-US" w:eastAsia="zh-CN"/>
                    </w:rPr>
                    <w:t>符合</w:t>
                  </w:r>
                </w:p>
              </w:tc>
            </w:tr>
            <w:tr w14:paraId="6B5387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570" w:type="dxa"/>
                  <w:vAlign w:val="center"/>
                </w:tcPr>
                <w:p w14:paraId="1C1AEB4A">
                  <w:pPr>
                    <w:keepNext w:val="0"/>
                    <w:keepLines w:val="0"/>
                    <w:suppressLineNumbers w:val="0"/>
                    <w:spacing w:before="0" w:beforeAutospacing="0" w:after="0" w:afterAutospacing="0"/>
                    <w:ind w:left="0" w:right="0"/>
                    <w:jc w:val="center"/>
                    <w:rPr>
                      <w:rFonts w:hint="eastAsia" w:ascii="Times New Roman" w:hAnsi="Times New Roman" w:eastAsia="宋体" w:cs="Times New Roman"/>
                      <w:color w:val="auto"/>
                      <w:szCs w:val="21"/>
                      <w:lang w:val="en-US" w:eastAsia="zh-CN"/>
                    </w:rPr>
                  </w:pPr>
                  <w:r>
                    <w:rPr>
                      <w:rFonts w:hint="eastAsia" w:ascii="Times New Roman" w:hAnsi="Times New Roman" w:eastAsia="宋体" w:cs="Times New Roman"/>
                      <w:color w:val="auto"/>
                      <w:szCs w:val="21"/>
                      <w:lang w:val="en-US" w:eastAsia="zh-CN"/>
                    </w:rPr>
                    <w:t>2</w:t>
                  </w:r>
                </w:p>
              </w:tc>
              <w:tc>
                <w:tcPr>
                  <w:tcW w:w="3585" w:type="dxa"/>
                  <w:vAlign w:val="center"/>
                </w:tcPr>
                <w:p w14:paraId="01CAD018">
                  <w:pPr>
                    <w:keepNext w:val="0"/>
                    <w:keepLines w:val="0"/>
                    <w:suppressLineNumbers w:val="0"/>
                    <w:spacing w:before="0" w:beforeAutospacing="0" w:after="0" w:afterAutospacing="0"/>
                    <w:ind w:left="0" w:right="0"/>
                    <w:jc w:val="both"/>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lang w:val="en-US" w:eastAsia="zh-CN"/>
                    </w:rPr>
                    <w:t>严守环境质量底线，强化污染物排放管控。根据国家和浙江省大气、噪声、水、土壤污染防治要求，强化污染排放治理。持续推进大气污染物减排，进一步提升化工、纺织、化纤、橡胶、涉涂装工序等行业治理水平，涉及使用涂料、油墨、胶粘剂的工序全面推行低挥发性有机物含量原辅材料替代，推动重点企业大气污染防治绩效达到A级水平。针对现状噪声超标的居民区进行噪声源全面排查与评估，采取优化生产企业设施布局、隔声降噪，对声环境保护自标设置隔声屏障等措施。在拟实施的表面处理中心外不得设置电镀工序。</w:t>
                  </w:r>
                </w:p>
              </w:tc>
              <w:tc>
                <w:tcPr>
                  <w:tcW w:w="2989" w:type="dxa"/>
                  <w:vAlign w:val="center"/>
                </w:tcPr>
                <w:p w14:paraId="7B398EA5">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lang w:val="en-US" w:eastAsia="zh-CN"/>
                    </w:rPr>
                    <w:t>本项目行业类别为C3670汽车零部件及配件制造、C2929塑料零件及其他塑料制品制造、C3034隔热和隔音材料制造</w:t>
                  </w:r>
                  <w:r>
                    <w:rPr>
                      <w:rFonts w:hint="eastAsia" w:ascii="Times New Roman" w:hAnsi="Times New Roman" w:eastAsia="宋体" w:cs="Times New Roman"/>
                      <w:color w:val="auto"/>
                      <w:szCs w:val="21"/>
                      <w:lang w:val="en-US" w:eastAsia="zh-CN"/>
                    </w:rPr>
                    <w:t>。本项目使用背胶处理剂</w:t>
                  </w:r>
                  <w:r>
                    <w:rPr>
                      <w:rFonts w:hint="default" w:ascii="Times New Roman" w:hAnsi="Times New Roman" w:eastAsia="宋体" w:cs="Times New Roman"/>
                      <w:color w:val="auto"/>
                      <w:szCs w:val="21"/>
                      <w:lang w:val="en-US" w:eastAsia="zh-CN"/>
                    </w:rPr>
                    <w:t>，根据《胶粘剂挥发性有机化合物限量》（GB33372-2020）表3中的要求：</w:t>
                  </w:r>
                  <w:r>
                    <w:rPr>
                      <w:rFonts w:hint="eastAsia" w:ascii="Times New Roman" w:hAnsi="Times New Roman" w:eastAsia="宋体" w:cs="Times New Roman"/>
                      <w:color w:val="auto"/>
                      <w:szCs w:val="21"/>
                      <w:lang w:val="en-US" w:eastAsia="zh-CN"/>
                    </w:rPr>
                    <w:t>“</w:t>
                  </w:r>
                  <w:r>
                    <w:rPr>
                      <w:rFonts w:hint="default" w:ascii="Times New Roman" w:hAnsi="Times New Roman" w:eastAsia="宋体" w:cs="Times New Roman"/>
                      <w:color w:val="auto"/>
                      <w:szCs w:val="21"/>
                      <w:lang w:val="en-US" w:eastAsia="zh-CN"/>
                    </w:rPr>
                    <w:t>其他</w:t>
                  </w:r>
                  <w:r>
                    <w:rPr>
                      <w:rFonts w:hint="eastAsia" w:ascii="Times New Roman" w:hAnsi="Times New Roman" w:eastAsia="宋体" w:cs="Times New Roman"/>
                      <w:color w:val="auto"/>
                      <w:szCs w:val="21"/>
                      <w:lang w:val="en-US" w:eastAsia="zh-CN"/>
                    </w:rPr>
                    <w:t>”</w:t>
                  </w:r>
                  <w:r>
                    <w:rPr>
                      <w:rFonts w:hint="default" w:ascii="Times New Roman" w:hAnsi="Times New Roman" w:eastAsia="宋体" w:cs="Times New Roman"/>
                      <w:color w:val="auto"/>
                      <w:szCs w:val="21"/>
                      <w:lang w:val="en-US" w:eastAsia="zh-CN"/>
                    </w:rPr>
                    <w:t>应用领域中的</w:t>
                  </w:r>
                  <w:r>
                    <w:rPr>
                      <w:rFonts w:hint="eastAsia" w:ascii="Times New Roman" w:hAnsi="Times New Roman" w:eastAsia="宋体" w:cs="Times New Roman"/>
                      <w:color w:val="auto"/>
                      <w:szCs w:val="21"/>
                      <w:lang w:val="en-US" w:eastAsia="zh-CN"/>
                    </w:rPr>
                    <w:t>“</w:t>
                  </w:r>
                  <w:r>
                    <w:rPr>
                      <w:rFonts w:hint="default" w:ascii="Times New Roman" w:hAnsi="Times New Roman" w:eastAsia="宋体" w:cs="Times New Roman"/>
                      <w:color w:val="auto"/>
                      <w:szCs w:val="21"/>
                      <w:lang w:val="en-US" w:eastAsia="zh-CN"/>
                    </w:rPr>
                    <w:t>其他</w:t>
                  </w:r>
                  <w:r>
                    <w:rPr>
                      <w:rFonts w:hint="eastAsia" w:ascii="Times New Roman" w:hAnsi="Times New Roman" w:eastAsia="宋体" w:cs="Times New Roman"/>
                      <w:color w:val="auto"/>
                      <w:szCs w:val="21"/>
                      <w:lang w:val="en-US" w:eastAsia="zh-CN"/>
                    </w:rPr>
                    <w:t>”</w:t>
                  </w:r>
                  <w:r>
                    <w:rPr>
                      <w:rFonts w:hint="default" w:ascii="Times New Roman" w:hAnsi="Times New Roman" w:eastAsia="宋体" w:cs="Times New Roman"/>
                      <w:color w:val="auto"/>
                      <w:szCs w:val="21"/>
                      <w:lang w:val="en-US" w:eastAsia="zh-CN"/>
                    </w:rPr>
                    <w:t>本体型胶粘剂VOC含量限量值为≤50g/kg。根据企业提供资料，项目使用的胶粘剂中正庚烷含量为3.5%（按全部挥发计），则本项目胶粘剂中的VOC含量为35g/kg，符合上述要求。不属于重点企业。与周边敏感目标有绿地防护带相隔。</w:t>
                  </w:r>
                </w:p>
              </w:tc>
              <w:tc>
                <w:tcPr>
                  <w:tcW w:w="834" w:type="dxa"/>
                  <w:vAlign w:val="center"/>
                </w:tcPr>
                <w:p w14:paraId="6165DF9E">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lang w:val="en-US" w:eastAsia="zh-CN"/>
                    </w:rPr>
                  </w:pPr>
                  <w:r>
                    <w:rPr>
                      <w:rFonts w:hint="eastAsia" w:ascii="Times New Roman" w:hAnsi="Times New Roman" w:eastAsia="宋体" w:cs="Times New Roman"/>
                      <w:color w:val="auto"/>
                      <w:szCs w:val="21"/>
                      <w:lang w:val="en-US" w:eastAsia="zh-CN"/>
                    </w:rPr>
                    <w:t>符合</w:t>
                  </w:r>
                </w:p>
              </w:tc>
            </w:tr>
            <w:tr w14:paraId="34E49E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570" w:type="dxa"/>
                  <w:vAlign w:val="center"/>
                </w:tcPr>
                <w:p w14:paraId="5501B7DD">
                  <w:pPr>
                    <w:keepNext w:val="0"/>
                    <w:keepLines w:val="0"/>
                    <w:suppressLineNumbers w:val="0"/>
                    <w:spacing w:before="0" w:beforeAutospacing="0" w:after="0" w:afterAutospacing="0"/>
                    <w:ind w:left="0" w:right="0"/>
                    <w:jc w:val="center"/>
                    <w:rPr>
                      <w:rFonts w:hint="eastAsia" w:ascii="Times New Roman" w:hAnsi="Times New Roman" w:eastAsia="宋体" w:cs="Times New Roman"/>
                      <w:color w:val="auto"/>
                      <w:szCs w:val="21"/>
                      <w:lang w:val="en-US" w:eastAsia="zh-CN"/>
                    </w:rPr>
                  </w:pPr>
                  <w:r>
                    <w:rPr>
                      <w:rFonts w:hint="eastAsia" w:ascii="Times New Roman" w:hAnsi="Times New Roman" w:eastAsia="宋体" w:cs="Times New Roman"/>
                      <w:color w:val="auto"/>
                      <w:szCs w:val="21"/>
                      <w:lang w:val="en-US" w:eastAsia="zh-CN"/>
                    </w:rPr>
                    <w:t>3</w:t>
                  </w:r>
                </w:p>
              </w:tc>
              <w:tc>
                <w:tcPr>
                  <w:tcW w:w="3585" w:type="dxa"/>
                  <w:vAlign w:val="center"/>
                </w:tcPr>
                <w:p w14:paraId="006F8BFD">
                  <w:pPr>
                    <w:keepNext w:val="0"/>
                    <w:keepLines w:val="0"/>
                    <w:suppressLineNumbers w:val="0"/>
                    <w:spacing w:before="0" w:beforeAutospacing="0" w:after="0" w:afterAutospacing="0"/>
                    <w:ind w:left="0" w:right="0"/>
                    <w:jc w:val="both"/>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lang w:val="en-US" w:eastAsia="zh-CN"/>
                    </w:rPr>
                    <w:t>完善配套基础设施建设，提升环境治理保障能力，加快推进化工园区问题整改，在2025年底前投运化工生产废水集中处理设施。强化污水零直排建设，在2026年底前完成泗安污水处理厂处理能力增加1万吨/日的扩建工程。</w:t>
                  </w:r>
                </w:p>
              </w:tc>
              <w:tc>
                <w:tcPr>
                  <w:tcW w:w="2989" w:type="dxa"/>
                  <w:vAlign w:val="center"/>
                </w:tcPr>
                <w:p w14:paraId="39A58AE3">
                  <w:pPr>
                    <w:keepNext w:val="0"/>
                    <w:keepLines w:val="0"/>
                    <w:suppressLineNumbers w:val="0"/>
                    <w:spacing w:before="0" w:beforeAutospacing="0" w:after="0" w:afterAutospacing="0"/>
                    <w:ind w:left="0" w:right="0"/>
                    <w:jc w:val="center"/>
                    <w:rPr>
                      <w:rFonts w:hint="eastAsia" w:ascii="Times New Roman" w:hAnsi="Times New Roman" w:eastAsia="宋体" w:cs="Times New Roman"/>
                      <w:color w:val="auto"/>
                      <w:szCs w:val="21"/>
                      <w:lang w:val="en-US" w:eastAsia="zh-CN"/>
                    </w:rPr>
                  </w:pPr>
                  <w:r>
                    <w:rPr>
                      <w:rFonts w:hint="eastAsia" w:ascii="Times New Roman" w:hAnsi="Times New Roman" w:eastAsia="宋体" w:cs="Times New Roman"/>
                      <w:color w:val="auto"/>
                      <w:szCs w:val="21"/>
                      <w:lang w:val="en-US" w:eastAsia="zh-CN"/>
                    </w:rPr>
                    <w:t>本项目不涉及</w:t>
                  </w:r>
                  <w:r>
                    <w:rPr>
                      <w:rFonts w:hint="eastAsia" w:ascii="Times New Roman" w:hAnsi="Times New Roman" w:eastAsia="宋体" w:cs="Times New Roman"/>
                      <w:color w:val="FF0000"/>
                      <w:szCs w:val="21"/>
                      <w:lang w:val="en-US" w:eastAsia="zh-CN"/>
                    </w:rPr>
                    <w:t>。</w:t>
                  </w:r>
                  <w:commentRangeStart w:id="9"/>
                  <w:commentRangeStart w:id="10"/>
                  <w:r>
                    <w:rPr>
                      <w:rFonts w:hint="default"/>
                    </w:rPr>
                    <w:commentReference w:id="9"/>
                  </w:r>
                  <w:commentRangeEnd w:id="9"/>
                  <w:commentRangeEnd w:id="10"/>
                  <w:r>
                    <w:rPr>
                      <w:rFonts w:hint="default"/>
                    </w:rPr>
                    <w:commentReference w:id="10"/>
                  </w:r>
                </w:p>
              </w:tc>
              <w:tc>
                <w:tcPr>
                  <w:tcW w:w="834" w:type="dxa"/>
                  <w:vAlign w:val="center"/>
                </w:tcPr>
                <w:p w14:paraId="2D59547F">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lang w:val="en-US" w:eastAsia="zh-CN"/>
                    </w:rPr>
                  </w:pPr>
                  <w:r>
                    <w:rPr>
                      <w:rFonts w:hint="eastAsia" w:ascii="Times New Roman" w:hAnsi="Times New Roman" w:eastAsia="宋体" w:cs="Times New Roman"/>
                      <w:color w:val="auto"/>
                      <w:szCs w:val="21"/>
                      <w:lang w:val="en-US" w:eastAsia="zh-CN"/>
                    </w:rPr>
                    <w:t>不涉及</w:t>
                  </w:r>
                </w:p>
              </w:tc>
            </w:tr>
            <w:tr w14:paraId="71AB56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570" w:type="dxa"/>
                  <w:vAlign w:val="center"/>
                </w:tcPr>
                <w:p w14:paraId="667506DC">
                  <w:pPr>
                    <w:keepNext w:val="0"/>
                    <w:keepLines w:val="0"/>
                    <w:suppressLineNumbers w:val="0"/>
                    <w:spacing w:before="0" w:beforeAutospacing="0" w:after="0" w:afterAutospacing="0"/>
                    <w:ind w:left="0" w:right="0"/>
                    <w:jc w:val="center"/>
                    <w:rPr>
                      <w:rFonts w:hint="eastAsia" w:ascii="Times New Roman" w:hAnsi="Times New Roman" w:eastAsia="宋体" w:cs="Times New Roman"/>
                      <w:color w:val="auto"/>
                      <w:szCs w:val="21"/>
                      <w:lang w:val="en-US" w:eastAsia="zh-CN"/>
                    </w:rPr>
                  </w:pPr>
                  <w:r>
                    <w:rPr>
                      <w:rFonts w:hint="eastAsia" w:ascii="Times New Roman" w:hAnsi="Times New Roman" w:eastAsia="宋体" w:cs="Times New Roman"/>
                      <w:color w:val="auto"/>
                      <w:szCs w:val="21"/>
                      <w:lang w:val="en-US" w:eastAsia="zh-CN"/>
                    </w:rPr>
                    <w:t>4</w:t>
                  </w:r>
                </w:p>
              </w:tc>
              <w:tc>
                <w:tcPr>
                  <w:tcW w:w="3585" w:type="dxa"/>
                  <w:vAlign w:val="center"/>
                </w:tcPr>
                <w:p w14:paraId="321FEB0D">
                  <w:pPr>
                    <w:keepNext w:val="0"/>
                    <w:keepLines w:val="0"/>
                    <w:suppressLineNumbers w:val="0"/>
                    <w:spacing w:before="0" w:beforeAutospacing="0" w:after="0" w:afterAutospacing="0"/>
                    <w:ind w:left="0" w:right="0"/>
                    <w:jc w:val="both"/>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lang w:val="en-US" w:eastAsia="zh-CN"/>
                    </w:rPr>
                    <w:t>严格建设项目生态环境准入，助推高质量发展。严格落实《报告书》提出的生态环境准入要求，强化区内企业污染物排放控制，严格限制与主导产业不相关且排污负荷大的项目。除战略性新兴产业项目外，原则上不再审批其他生产性新增氮、磷污染物的工业类建设项目。严格限制涉及硝化、氯化、氟化、重氮化、过氧化工艺的建设项目</w:t>
                  </w:r>
                </w:p>
              </w:tc>
              <w:tc>
                <w:tcPr>
                  <w:tcW w:w="2989" w:type="dxa"/>
                  <w:vAlign w:val="center"/>
                </w:tcPr>
                <w:p w14:paraId="5E488149">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lang w:val="en-US" w:eastAsia="zh-CN"/>
                    </w:rPr>
                    <w:t>项目不属于排污负荷大的项目。项目仅排放生活污水，符合《太湖流域管理条例》等文件要求，不涉及硝化、氯化、氟化、重氮化、过氧化工艺。</w:t>
                  </w:r>
                </w:p>
              </w:tc>
              <w:tc>
                <w:tcPr>
                  <w:tcW w:w="834" w:type="dxa"/>
                  <w:vAlign w:val="center"/>
                </w:tcPr>
                <w:p w14:paraId="511C083A">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lang w:val="en-US" w:eastAsia="zh-CN"/>
                    </w:rPr>
                  </w:pPr>
                  <w:r>
                    <w:rPr>
                      <w:rFonts w:hint="eastAsia" w:ascii="Times New Roman" w:hAnsi="Times New Roman" w:eastAsia="宋体" w:cs="Times New Roman"/>
                      <w:color w:val="auto"/>
                      <w:szCs w:val="21"/>
                      <w:lang w:val="en-US" w:eastAsia="zh-CN"/>
                    </w:rPr>
                    <w:t>符合</w:t>
                  </w:r>
                </w:p>
              </w:tc>
            </w:tr>
            <w:tr w14:paraId="0B9297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570" w:type="dxa"/>
                  <w:vAlign w:val="center"/>
                </w:tcPr>
                <w:p w14:paraId="22437502">
                  <w:pPr>
                    <w:keepNext w:val="0"/>
                    <w:keepLines w:val="0"/>
                    <w:suppressLineNumbers w:val="0"/>
                    <w:spacing w:before="0" w:beforeAutospacing="0" w:after="0" w:afterAutospacing="0"/>
                    <w:ind w:left="0" w:right="0"/>
                    <w:jc w:val="center"/>
                    <w:rPr>
                      <w:rFonts w:hint="eastAsia" w:ascii="Times New Roman" w:hAnsi="Times New Roman" w:eastAsia="宋体" w:cs="Times New Roman"/>
                      <w:color w:val="auto"/>
                      <w:szCs w:val="21"/>
                      <w:lang w:val="en-US" w:eastAsia="zh-CN"/>
                    </w:rPr>
                  </w:pPr>
                  <w:r>
                    <w:rPr>
                      <w:rFonts w:hint="eastAsia" w:ascii="Times New Roman" w:hAnsi="Times New Roman" w:eastAsia="宋体" w:cs="Times New Roman"/>
                      <w:color w:val="auto"/>
                      <w:szCs w:val="21"/>
                      <w:lang w:val="en-US" w:eastAsia="zh-CN"/>
                    </w:rPr>
                    <w:t>5</w:t>
                  </w:r>
                </w:p>
              </w:tc>
              <w:tc>
                <w:tcPr>
                  <w:tcW w:w="3585" w:type="dxa"/>
                  <w:vAlign w:val="center"/>
                </w:tcPr>
                <w:p w14:paraId="1C359B32">
                  <w:pPr>
                    <w:keepNext w:val="0"/>
                    <w:keepLines w:val="0"/>
                    <w:suppressLineNumbers w:val="0"/>
                    <w:spacing w:before="0" w:beforeAutospacing="0" w:after="0" w:afterAutospacing="0"/>
                    <w:ind w:left="0" w:right="0"/>
                    <w:jc w:val="both"/>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lang w:val="en-US" w:eastAsia="zh-CN"/>
                    </w:rPr>
                    <w:t>强化环境风险防控，提升环境管理水平。落实国家、浙江省新污染物治理方案要求，严格涉新污染物建设项目准入管理，推动有毒有害化学物质绿色替代。严格按照化工园区突发水污染事件多级防控体系建设要求落实各项环境安全防控措施，加强重点环境风险源管控，强化环境应急响应和处置能力；督促重点环境风险源单位按规定配备环境应急物资，建立环境应急救援队伍并组织开展应急演练。涉及有毒有害物质的重点场所或者重点设施设备应进行防渗漏设计和建设，消除土壤和地下水污染隐患。积极推动工业固体废物源头减量，一般工业固体废物、危险废物应依法依规收集、妥善安全处理处置</w:t>
                  </w:r>
                  <w:r>
                    <w:rPr>
                      <w:rFonts w:hint="eastAsia" w:ascii="Times New Roman" w:hAnsi="Times New Roman" w:eastAsia="宋体" w:cs="Times New Roman"/>
                      <w:color w:val="auto"/>
                      <w:szCs w:val="21"/>
                      <w:lang w:val="en-US" w:eastAsia="zh-CN"/>
                    </w:rPr>
                    <w:t>。</w:t>
                  </w:r>
                </w:p>
              </w:tc>
              <w:tc>
                <w:tcPr>
                  <w:tcW w:w="2989" w:type="dxa"/>
                  <w:vAlign w:val="center"/>
                </w:tcPr>
                <w:p w14:paraId="3A08A85F">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lang w:val="en-US" w:eastAsia="zh-CN"/>
                    </w:rPr>
                    <w:t>项目不涉及新污染物排放，环境风险较小，建设后将建立风险防控体系，制定应急预案，配备相应应急物资；项目严格落实防腐防渗措施，对土壤和地下水影响较小；一般工业固体废物、危险废物均能妥善收集、转移、处置。</w:t>
                  </w:r>
                </w:p>
              </w:tc>
              <w:tc>
                <w:tcPr>
                  <w:tcW w:w="834" w:type="dxa"/>
                  <w:vAlign w:val="center"/>
                </w:tcPr>
                <w:p w14:paraId="5B79CBEE">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lang w:val="en-US" w:eastAsia="zh-CN"/>
                    </w:rPr>
                  </w:pPr>
                  <w:r>
                    <w:rPr>
                      <w:rFonts w:hint="eastAsia" w:ascii="Times New Roman" w:hAnsi="Times New Roman" w:eastAsia="宋体" w:cs="Times New Roman"/>
                      <w:color w:val="auto"/>
                      <w:szCs w:val="21"/>
                      <w:lang w:val="en-US" w:eastAsia="zh-CN"/>
                    </w:rPr>
                    <w:t>符合</w:t>
                  </w:r>
                </w:p>
              </w:tc>
            </w:tr>
            <w:tr w14:paraId="211898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570" w:type="dxa"/>
                  <w:vAlign w:val="center"/>
                </w:tcPr>
                <w:p w14:paraId="105F0055">
                  <w:pPr>
                    <w:keepNext w:val="0"/>
                    <w:keepLines w:val="0"/>
                    <w:suppressLineNumbers w:val="0"/>
                    <w:spacing w:before="0" w:beforeAutospacing="0" w:after="0" w:afterAutospacing="0"/>
                    <w:ind w:left="0" w:right="0"/>
                    <w:jc w:val="center"/>
                    <w:rPr>
                      <w:rFonts w:hint="eastAsia" w:ascii="Times New Roman" w:hAnsi="Times New Roman" w:eastAsia="宋体" w:cs="Times New Roman"/>
                      <w:color w:val="auto"/>
                      <w:szCs w:val="21"/>
                      <w:lang w:val="en-US" w:eastAsia="zh-CN"/>
                    </w:rPr>
                  </w:pPr>
                  <w:r>
                    <w:rPr>
                      <w:rFonts w:hint="eastAsia" w:ascii="Times New Roman" w:hAnsi="Times New Roman" w:eastAsia="宋体" w:cs="Times New Roman"/>
                      <w:color w:val="auto"/>
                      <w:szCs w:val="21"/>
                      <w:lang w:val="en-US" w:eastAsia="zh-CN"/>
                    </w:rPr>
                    <w:t>6</w:t>
                  </w:r>
                </w:p>
              </w:tc>
              <w:tc>
                <w:tcPr>
                  <w:tcW w:w="3585" w:type="dxa"/>
                  <w:vAlign w:val="center"/>
                </w:tcPr>
                <w:p w14:paraId="3B8C0174">
                  <w:pPr>
                    <w:keepNext w:val="0"/>
                    <w:keepLines w:val="0"/>
                    <w:suppressLineNumbers w:val="0"/>
                    <w:spacing w:before="0" w:beforeAutospacing="0" w:after="0" w:afterAutospacing="0"/>
                    <w:ind w:left="0" w:right="0"/>
                    <w:jc w:val="both"/>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lang w:val="en-US" w:eastAsia="zh-CN"/>
                    </w:rPr>
                    <w:t>加强碳排放控制，推动绿色低碳发展。根据国家和浙江省碳达峰行动、节能减排工作要求，优化产业、能源、交通运输结构，促进减污降碳协同增效。全面推进化纤、印染、造纸、热电企业能效标杆水平改造，协同推进污染治理水平提升。</w:t>
                  </w:r>
                </w:p>
              </w:tc>
              <w:tc>
                <w:tcPr>
                  <w:tcW w:w="2989" w:type="dxa"/>
                  <w:vAlign w:val="center"/>
                </w:tcPr>
                <w:p w14:paraId="1AA571B5">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lang w:val="en-US" w:eastAsia="zh-CN"/>
                    </w:rPr>
                    <w:t>根据本项目长三角（湖州）产业合作区固定资产项目节能审查承诺表（附件9），本项目年用电量518.34万kWh/a，年耗能量637.040tce（当量值），1466.902tce（等价值），工业增加值5343.38万元（现价，可比价为5108.39万元），单位工业增加值能耗为0.275tce/万元（现价，可比价为0.287tce/万元），优于浙江省湖州市</w:t>
                  </w:r>
                  <w:r>
                    <w:rPr>
                      <w:rFonts w:hint="eastAsia" w:ascii="Times New Roman" w:hAnsi="Times New Roman" w:eastAsia="宋体" w:cs="Times New Roman"/>
                      <w:color w:val="auto"/>
                      <w:szCs w:val="21"/>
                      <w:lang w:val="en-US" w:eastAsia="zh-CN"/>
                    </w:rPr>
                    <w:t>“</w:t>
                  </w:r>
                  <w:r>
                    <w:rPr>
                      <w:rFonts w:hint="default" w:ascii="Times New Roman" w:hAnsi="Times New Roman" w:eastAsia="宋体" w:cs="Times New Roman"/>
                      <w:color w:val="auto"/>
                      <w:szCs w:val="21"/>
                      <w:lang w:val="en-US" w:eastAsia="zh-CN"/>
                    </w:rPr>
                    <w:t>十四五</w:t>
                  </w:r>
                  <w:r>
                    <w:rPr>
                      <w:rFonts w:hint="eastAsia" w:ascii="Times New Roman" w:hAnsi="Times New Roman" w:eastAsia="宋体" w:cs="Times New Roman"/>
                      <w:color w:val="auto"/>
                      <w:szCs w:val="21"/>
                      <w:lang w:val="en-US" w:eastAsia="zh-CN"/>
                    </w:rPr>
                    <w:t>”</w:t>
                  </w:r>
                  <w:r>
                    <w:rPr>
                      <w:rFonts w:hint="default" w:ascii="Times New Roman" w:hAnsi="Times New Roman" w:eastAsia="宋体" w:cs="Times New Roman"/>
                      <w:color w:val="auto"/>
                      <w:szCs w:val="21"/>
                      <w:lang w:val="en-US" w:eastAsia="zh-CN"/>
                    </w:rPr>
                    <w:t>单位工业增加值能耗目标值。</w:t>
                  </w:r>
                </w:p>
              </w:tc>
              <w:tc>
                <w:tcPr>
                  <w:tcW w:w="834" w:type="dxa"/>
                  <w:vAlign w:val="center"/>
                </w:tcPr>
                <w:p w14:paraId="30CA2271">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lang w:val="en-US" w:eastAsia="zh-CN"/>
                    </w:rPr>
                  </w:pPr>
                  <w:r>
                    <w:rPr>
                      <w:rFonts w:hint="eastAsia" w:ascii="Times New Roman" w:hAnsi="Times New Roman" w:eastAsia="宋体" w:cs="Times New Roman"/>
                      <w:color w:val="auto"/>
                      <w:szCs w:val="21"/>
                      <w:lang w:val="en-US" w:eastAsia="zh-CN"/>
                    </w:rPr>
                    <w:t>符合</w:t>
                  </w:r>
                </w:p>
              </w:tc>
            </w:tr>
            <w:tr w14:paraId="3BD4F8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570" w:type="dxa"/>
                  <w:vAlign w:val="center"/>
                </w:tcPr>
                <w:p w14:paraId="6BFCDC04">
                  <w:pPr>
                    <w:keepNext w:val="0"/>
                    <w:keepLines w:val="0"/>
                    <w:suppressLineNumbers w:val="0"/>
                    <w:spacing w:before="0" w:beforeAutospacing="0" w:after="0" w:afterAutospacing="0"/>
                    <w:ind w:left="0" w:right="0"/>
                    <w:jc w:val="center"/>
                    <w:rPr>
                      <w:rFonts w:hint="eastAsia" w:ascii="Times New Roman" w:hAnsi="Times New Roman" w:eastAsia="宋体" w:cs="Times New Roman"/>
                      <w:color w:val="auto"/>
                      <w:szCs w:val="21"/>
                      <w:lang w:val="en-US" w:eastAsia="zh-CN"/>
                    </w:rPr>
                  </w:pPr>
                  <w:r>
                    <w:rPr>
                      <w:rFonts w:hint="eastAsia" w:ascii="Times New Roman" w:hAnsi="Times New Roman" w:eastAsia="宋体" w:cs="Times New Roman"/>
                      <w:color w:val="auto"/>
                      <w:szCs w:val="21"/>
                      <w:lang w:val="en-US" w:eastAsia="zh-CN"/>
                    </w:rPr>
                    <w:t>7</w:t>
                  </w:r>
                </w:p>
              </w:tc>
              <w:tc>
                <w:tcPr>
                  <w:tcW w:w="3585" w:type="dxa"/>
                  <w:vAlign w:val="center"/>
                </w:tcPr>
                <w:p w14:paraId="6B87AB11">
                  <w:pPr>
                    <w:keepNext w:val="0"/>
                    <w:keepLines w:val="0"/>
                    <w:suppressLineNumbers w:val="0"/>
                    <w:spacing w:before="0" w:beforeAutospacing="0" w:after="0" w:afterAutospacing="0"/>
                    <w:ind w:left="0" w:right="0"/>
                    <w:jc w:val="both"/>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lang w:val="en-US" w:eastAsia="zh-CN"/>
                    </w:rPr>
                    <w:t>健全环境监测体系，跟踪区域变化情况。结合产业布局、重点企业分布、污染物排放、环境保护目标分布等，持续开展区域内大气、噪声、水、土壤、地下水等跟踪监测。在《规划》实施过程中，适时开展环境影响跟踪评价。《规划》在实施范围、适用期限、规模、结构和布局等方面进行重大调整或者修订的，应当重新编制环境影响报告书。</w:t>
                  </w:r>
                </w:p>
              </w:tc>
              <w:tc>
                <w:tcPr>
                  <w:tcW w:w="2989" w:type="dxa"/>
                  <w:vAlign w:val="center"/>
                </w:tcPr>
                <w:p w14:paraId="0EF4EFEB">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lang w:val="en-US" w:eastAsia="zh-CN"/>
                    </w:rPr>
                  </w:pPr>
                  <w:r>
                    <w:rPr>
                      <w:rFonts w:hint="default" w:ascii="Times New Roman" w:hAnsi="Times New Roman" w:eastAsia="宋体" w:cs="Times New Roman"/>
                      <w:color w:val="auto"/>
                      <w:szCs w:val="21"/>
                      <w:lang w:val="en-US" w:eastAsia="zh-CN"/>
                    </w:rPr>
                    <w:t>项目建设后将按照环评及排污许可要求落实自行监测内容。</w:t>
                  </w:r>
                </w:p>
              </w:tc>
              <w:tc>
                <w:tcPr>
                  <w:tcW w:w="834" w:type="dxa"/>
                  <w:vAlign w:val="center"/>
                </w:tcPr>
                <w:p w14:paraId="71188669">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lang w:val="en-US" w:eastAsia="zh-CN"/>
                    </w:rPr>
                  </w:pPr>
                  <w:r>
                    <w:rPr>
                      <w:rFonts w:hint="eastAsia" w:ascii="Times New Roman" w:hAnsi="Times New Roman" w:eastAsia="宋体" w:cs="Times New Roman"/>
                      <w:color w:val="auto"/>
                      <w:szCs w:val="21"/>
                      <w:lang w:val="en-US" w:eastAsia="zh-CN"/>
                    </w:rPr>
                    <w:t>符合</w:t>
                  </w:r>
                </w:p>
              </w:tc>
            </w:tr>
          </w:tbl>
          <w:p w14:paraId="5174B6C3">
            <w:pPr>
              <w:keepNext w:val="0"/>
              <w:keepLines w:val="0"/>
              <w:suppressLineNumbers w:val="0"/>
              <w:spacing w:before="0" w:beforeAutospacing="0" w:after="0" w:afterAutospacing="0" w:line="360" w:lineRule="auto"/>
              <w:ind w:left="0" w:right="0" w:firstLine="480" w:firstLineChars="200"/>
              <w:rPr>
                <w:rFonts w:hint="default" w:ascii="Times New Roman" w:hAnsi="Times New Roman" w:eastAsia="宋体" w:cs="Times New Roman"/>
                <w:color w:val="auto"/>
                <w:szCs w:val="21"/>
              </w:rPr>
            </w:pPr>
            <w:r>
              <w:rPr>
                <w:rFonts w:hint="eastAsia" w:ascii="Times New Roman" w:hAnsi="Times New Roman" w:eastAsia="宋体" w:cs="Times New Roman"/>
                <w:color w:val="auto"/>
                <w:sz w:val="24"/>
                <w:lang w:val="en-US" w:eastAsia="zh-CN"/>
              </w:rPr>
              <w:t>由上表可知，本项目符合《浙江省生态环境厅关于&lt;长三角（湖州）产业合作区发展总体规划环境影响报告书&gt;的审查意见》。</w:t>
            </w:r>
          </w:p>
        </w:tc>
      </w:tr>
      <w:tr w14:paraId="5EE0C4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73" w:type="pct"/>
            <w:vAlign w:val="center"/>
          </w:tcPr>
          <w:p w14:paraId="2432D152">
            <w:pPr>
              <w:keepNext w:val="0"/>
              <w:keepLines w:val="0"/>
              <w:suppressLineNumbers w:val="0"/>
              <w:spacing w:before="0" w:beforeAutospacing="0" w:after="0" w:afterAutospacing="0"/>
              <w:ind w:left="0" w:right="0"/>
              <w:jc w:val="center"/>
              <w:rPr>
                <w:rFonts w:hint="default" w:ascii="Times New Roman" w:hAnsi="Times New Roman" w:eastAsia="宋体" w:cs="Times New Roman"/>
                <w:b/>
                <w:bCs/>
                <w:color w:val="auto"/>
                <w:sz w:val="24"/>
              </w:rPr>
            </w:pPr>
            <w:r>
              <w:rPr>
                <w:rFonts w:hint="eastAsia" w:ascii="Times New Roman" w:hAnsi="Times New Roman" w:eastAsia="宋体" w:cs="Times New Roman"/>
                <w:b/>
                <w:bCs/>
                <w:color w:val="auto"/>
                <w:sz w:val="24"/>
              </w:rPr>
              <w:t>其他符合性分析</w:t>
            </w:r>
          </w:p>
        </w:tc>
        <w:tc>
          <w:tcPr>
            <w:tcW w:w="4526" w:type="pct"/>
            <w:gridSpan w:val="4"/>
          </w:tcPr>
          <w:p w14:paraId="53BE77D9">
            <w:pPr>
              <w:keepNext w:val="0"/>
              <w:keepLines w:val="0"/>
              <w:suppressLineNumbers w:val="0"/>
              <w:spacing w:before="0" w:beforeAutospacing="0" w:after="0" w:afterAutospacing="0" w:line="360" w:lineRule="auto"/>
              <w:ind w:left="0" w:right="0"/>
              <w:rPr>
                <w:rFonts w:hint="eastAsia" w:ascii="Times New Roman" w:hAnsi="Times New Roman" w:eastAsia="宋体" w:cs="Times New Roman"/>
                <w:b/>
                <w:bCs/>
                <w:color w:val="auto"/>
                <w:sz w:val="24"/>
                <w:lang w:val="en-US" w:eastAsia="zh-CN"/>
              </w:rPr>
            </w:pPr>
            <w:r>
              <w:rPr>
                <w:rFonts w:hint="eastAsia" w:ascii="Times New Roman" w:hAnsi="Times New Roman" w:eastAsia="宋体" w:cs="Times New Roman"/>
                <w:b/>
                <w:bCs/>
                <w:color w:val="auto"/>
                <w:sz w:val="24"/>
                <w:lang w:val="en-US" w:eastAsia="zh-CN"/>
              </w:rPr>
              <w:t>1.2</w:t>
            </w:r>
            <w:r>
              <w:rPr>
                <w:rFonts w:hint="eastAsia" w:ascii="Times New Roman" w:hAnsi="Times New Roman" w:eastAsia="宋体" w:cs="Times New Roman"/>
                <w:b/>
                <w:bCs/>
                <w:color w:val="auto"/>
                <w:sz w:val="24"/>
              </w:rPr>
              <w:t>其他符合性分析</w:t>
            </w:r>
          </w:p>
          <w:p w14:paraId="396671D7">
            <w:pPr>
              <w:keepNext w:val="0"/>
              <w:keepLines w:val="0"/>
              <w:suppressLineNumbers w:val="0"/>
              <w:spacing w:before="0" w:beforeAutospacing="0" w:after="0" w:afterAutospacing="0" w:line="360" w:lineRule="auto"/>
              <w:ind w:left="0" w:right="0"/>
              <w:rPr>
                <w:rFonts w:hint="eastAsia" w:ascii="Times New Roman" w:hAnsi="Times New Roman" w:eastAsia="宋体" w:cs="Times New Roman"/>
                <w:b/>
                <w:bCs/>
                <w:color w:val="auto"/>
                <w:sz w:val="24"/>
                <w:lang w:val="en-US" w:eastAsia="zh-CN"/>
              </w:rPr>
            </w:pPr>
            <w:r>
              <w:rPr>
                <w:rFonts w:hint="eastAsia" w:ascii="Times New Roman" w:hAnsi="Times New Roman" w:eastAsia="宋体" w:cs="Times New Roman"/>
                <w:b/>
                <w:bCs/>
                <w:color w:val="auto"/>
                <w:sz w:val="24"/>
                <w:lang w:val="en-US" w:eastAsia="zh-CN"/>
              </w:rPr>
              <w:t>1.2.1生态环境分区管控符合性分析</w:t>
            </w:r>
          </w:p>
          <w:p w14:paraId="7B3CF21E">
            <w:pPr>
              <w:keepNext w:val="0"/>
              <w:keepLines w:val="0"/>
              <w:suppressLineNumbers w:val="0"/>
              <w:spacing w:before="0" w:beforeAutospacing="0" w:after="0" w:afterAutospacing="0" w:line="360" w:lineRule="auto"/>
              <w:ind w:left="0" w:right="0"/>
              <w:rPr>
                <w:rFonts w:hint="eastAsia" w:ascii="Times New Roman" w:hAnsi="Times New Roman" w:eastAsia="宋体" w:cs="Times New Roman"/>
                <w:b/>
                <w:bCs/>
                <w:color w:val="auto"/>
                <w:sz w:val="24"/>
                <w:lang w:val="en-US" w:eastAsia="zh-CN"/>
              </w:rPr>
            </w:pPr>
            <w:r>
              <w:rPr>
                <w:rFonts w:hint="eastAsia" w:ascii="Times New Roman" w:hAnsi="Times New Roman" w:eastAsia="宋体" w:cs="Times New Roman"/>
                <w:b/>
                <w:bCs/>
                <w:color w:val="auto"/>
                <w:sz w:val="24"/>
                <w:lang w:val="en-US" w:eastAsia="zh-CN"/>
              </w:rPr>
              <w:t>1.2.1.1生态保护红线</w:t>
            </w:r>
          </w:p>
          <w:p w14:paraId="0DECA4E3">
            <w:pPr>
              <w:keepNext w:val="0"/>
              <w:keepLines w:val="0"/>
              <w:suppressLineNumbers w:val="0"/>
              <w:spacing w:before="0" w:beforeAutospacing="0" w:after="0" w:afterAutospacing="0" w:line="360" w:lineRule="auto"/>
              <w:ind w:left="0" w:right="0" w:firstLine="480" w:firstLineChars="200"/>
              <w:rPr>
                <w:rFonts w:hint="eastAsia" w:ascii="Times New Roman" w:hAnsi="Times New Roman" w:eastAsia="宋体" w:cs="Times New Roman"/>
                <w:color w:val="auto"/>
                <w:sz w:val="24"/>
                <w:lang w:val="en-US" w:eastAsia="zh-CN"/>
              </w:rPr>
            </w:pPr>
            <w:r>
              <w:rPr>
                <w:rFonts w:hint="eastAsia" w:ascii="Times New Roman" w:hAnsi="Times New Roman" w:eastAsia="宋体" w:cs="Times New Roman"/>
                <w:color w:val="auto"/>
                <w:sz w:val="24"/>
                <w:lang w:val="en-US" w:eastAsia="zh-CN"/>
              </w:rPr>
              <w:t>根据《自然资源部办公厅关于浙江等省（市）启用“三区三线”划定成果作为报批建设项目用地用海依据的函》（自然资办函[2022]2080号）及《自然资源部办公厅关于依据“三区三线”划定成果报批建设项目用地用海有关事宜的函》（自然资办函[2022]2072号），项目位于浙江省湖州市安吉县天子湖镇天子湖现代工业园，用地性质为工业用地，项目不在当地饮用水源、风景区、自然保护区等生态敏感区、脆弱区内，不涉及安吉县环境功能区划等相关文件划定的生态保护红线，满足生态保护红线要求。</w:t>
            </w:r>
          </w:p>
          <w:p w14:paraId="4B340434">
            <w:pPr>
              <w:keepNext w:val="0"/>
              <w:keepLines w:val="0"/>
              <w:numPr>
                <w:ilvl w:val="0"/>
                <w:numId w:val="0"/>
              </w:numPr>
              <w:suppressLineNumbers w:val="0"/>
              <w:spacing w:before="0" w:beforeAutospacing="0" w:after="0" w:afterAutospacing="0" w:line="360" w:lineRule="auto"/>
              <w:ind w:left="0" w:right="0" w:rightChars="0"/>
              <w:rPr>
                <w:rFonts w:hint="eastAsia" w:ascii="Times New Roman" w:hAnsi="Times New Roman" w:eastAsia="宋体" w:cs="Times New Roman"/>
                <w:b/>
                <w:bCs/>
                <w:color w:val="auto"/>
                <w:sz w:val="24"/>
                <w:lang w:val="en-US" w:eastAsia="zh-CN"/>
              </w:rPr>
            </w:pPr>
            <w:r>
              <w:rPr>
                <w:rFonts w:hint="eastAsia" w:ascii="Times New Roman" w:hAnsi="Times New Roman" w:eastAsia="宋体" w:cs="Times New Roman"/>
                <w:b/>
                <w:bCs/>
                <w:color w:val="auto"/>
                <w:sz w:val="24"/>
                <w:lang w:val="en-US" w:eastAsia="zh-CN"/>
              </w:rPr>
              <w:t>1.2.1.2环境质量底线</w:t>
            </w:r>
          </w:p>
          <w:p w14:paraId="1BA579C8">
            <w:pPr>
              <w:keepNext w:val="0"/>
              <w:keepLines w:val="0"/>
              <w:numPr>
                <w:ilvl w:val="0"/>
                <w:numId w:val="0"/>
              </w:numPr>
              <w:suppressLineNumbers w:val="0"/>
              <w:spacing w:before="0" w:beforeAutospacing="0" w:after="0" w:afterAutospacing="0" w:line="360" w:lineRule="auto"/>
              <w:ind w:left="0" w:right="0" w:rightChars="0" w:firstLine="480" w:firstLineChars="200"/>
              <w:rPr>
                <w:rFonts w:hint="eastAsia" w:ascii="Times New Roman" w:hAnsi="Times New Roman" w:eastAsia="宋体" w:cs="Times New Roman"/>
                <w:color w:val="auto"/>
                <w:sz w:val="24"/>
                <w:lang w:val="en-US" w:eastAsia="zh-CN"/>
              </w:rPr>
            </w:pPr>
            <w:r>
              <w:rPr>
                <w:rFonts w:hint="eastAsia" w:ascii="Times New Roman" w:hAnsi="Times New Roman" w:eastAsia="宋体" w:cs="Times New Roman"/>
                <w:color w:val="auto"/>
                <w:sz w:val="24"/>
                <w:lang w:val="en-US" w:eastAsia="zh-CN"/>
              </w:rPr>
              <w:t>项目实施过程中要求严格落实各项污染防治措施，确保大气环境质量、水环境质量、噪声环境质量等达到环境功能区要求。2024年安吉县环境质量指标中除PM</w:t>
            </w:r>
            <w:r>
              <w:rPr>
                <w:rFonts w:hint="eastAsia" w:ascii="Times New Roman" w:hAnsi="Times New Roman" w:eastAsia="宋体" w:cs="Times New Roman"/>
                <w:color w:val="auto"/>
                <w:sz w:val="24"/>
                <w:vertAlign w:val="subscript"/>
                <w:lang w:val="en-US" w:eastAsia="zh-CN"/>
              </w:rPr>
              <w:t>2.5</w:t>
            </w:r>
            <w:r>
              <w:rPr>
                <w:rFonts w:hint="eastAsia" w:ascii="Times New Roman" w:hAnsi="Times New Roman" w:eastAsia="宋体" w:cs="Times New Roman"/>
                <w:color w:val="auto"/>
                <w:sz w:val="24"/>
                <w:lang w:val="en-US" w:eastAsia="zh-CN"/>
              </w:rPr>
              <w:t>，其他指标的年均浓度和相应百分位数24h平均或8h平均质量浓度均满足《环境空气质量标准》（GB3095-2026）中的过渡阶段浓度限值的二级标准要求，项目所在区域属于环境空气质量不达标区，根据《关于印发&lt;湖州市空气质量改善“十四五”规划&gt;的通知》（湖发改规划[2021]219号）要求采取相应措施后不达标区将逐渐转变为达标区。本项目附近水环境质量能达到《地表水环境质量标准》（GB3838-2002）中的Ⅲ类水质标准。根据工程分析，本项目各类污染物通过采取有效的污染防治措施后均能实现达标排放，本项目实施后严格执行污染物总量控制制度，严格执行地区削减目标，能满足区域环境质量改善目标管理要求，不会使环境质量出现降级情况。因此，本项目建设符合环境质量底线。</w:t>
            </w:r>
          </w:p>
          <w:p w14:paraId="5425F4AE">
            <w:pPr>
              <w:keepNext w:val="0"/>
              <w:keepLines w:val="0"/>
              <w:suppressLineNumbers w:val="0"/>
              <w:spacing w:before="0" w:beforeAutospacing="0" w:after="0" w:afterAutospacing="0" w:line="360" w:lineRule="auto"/>
              <w:ind w:left="0" w:right="0"/>
              <w:rPr>
                <w:rFonts w:hint="eastAsia" w:ascii="Times New Roman" w:hAnsi="Times New Roman" w:eastAsia="宋体" w:cs="Times New Roman"/>
                <w:b/>
                <w:bCs/>
                <w:color w:val="auto"/>
                <w:sz w:val="24"/>
                <w:lang w:val="en-US" w:eastAsia="zh-CN"/>
              </w:rPr>
            </w:pPr>
            <w:r>
              <w:rPr>
                <w:rFonts w:hint="eastAsia" w:ascii="Times New Roman" w:hAnsi="Times New Roman" w:eastAsia="宋体" w:cs="Times New Roman"/>
                <w:b/>
                <w:bCs/>
                <w:color w:val="auto"/>
                <w:sz w:val="24"/>
                <w:lang w:val="en-US" w:eastAsia="zh-CN"/>
              </w:rPr>
              <w:t>1.2.1.3资源利用上线</w:t>
            </w:r>
          </w:p>
          <w:p w14:paraId="4EBC0B20">
            <w:pPr>
              <w:keepNext w:val="0"/>
              <w:keepLines w:val="0"/>
              <w:suppressLineNumbers w:val="0"/>
              <w:spacing w:before="0" w:beforeAutospacing="0" w:after="0" w:afterAutospacing="0" w:line="360" w:lineRule="auto"/>
              <w:ind w:left="0" w:right="0" w:firstLine="480" w:firstLineChars="200"/>
              <w:rPr>
                <w:rFonts w:hint="eastAsia" w:ascii="Times New Roman" w:hAnsi="Times New Roman" w:eastAsia="宋体" w:cs="Times New Roman"/>
                <w:color w:val="auto"/>
                <w:sz w:val="24"/>
                <w:lang w:val="en-US" w:eastAsia="zh-CN"/>
              </w:rPr>
            </w:pPr>
            <w:r>
              <w:rPr>
                <w:rFonts w:hint="eastAsia" w:ascii="Times New Roman" w:hAnsi="Times New Roman" w:eastAsia="宋体" w:cs="Times New Roman"/>
                <w:color w:val="auto"/>
                <w:sz w:val="24"/>
                <w:lang w:val="en-US" w:eastAsia="zh-CN"/>
              </w:rPr>
              <w:t>本项目建成运行后通过内部管理、设备选择、原辅材料的选用和管理、委托废物回收利用、污染治理等多方面采取合理可行的防治措施，以“节能、降耗、减污”为目标，有效地控制污染，本项目水、电等资源利用不会突破区域的资源利用上线。</w:t>
            </w:r>
          </w:p>
          <w:p w14:paraId="49A99F6E">
            <w:pPr>
              <w:keepNext w:val="0"/>
              <w:keepLines w:val="0"/>
              <w:suppressLineNumbers w:val="0"/>
              <w:spacing w:before="0" w:beforeAutospacing="0" w:after="0" w:afterAutospacing="0" w:line="360" w:lineRule="auto"/>
              <w:ind w:left="0" w:right="0"/>
              <w:rPr>
                <w:rFonts w:hint="eastAsia" w:ascii="Times New Roman" w:hAnsi="Times New Roman" w:eastAsia="宋体" w:cs="Times New Roman"/>
                <w:b/>
                <w:bCs/>
                <w:color w:val="auto"/>
                <w:sz w:val="24"/>
                <w:lang w:val="en-US" w:eastAsia="zh-CN"/>
              </w:rPr>
            </w:pPr>
            <w:r>
              <w:rPr>
                <w:rFonts w:hint="eastAsia" w:ascii="Times New Roman" w:hAnsi="Times New Roman" w:eastAsia="宋体" w:cs="Times New Roman"/>
                <w:b/>
                <w:bCs/>
                <w:color w:val="auto"/>
                <w:sz w:val="24"/>
                <w:lang w:val="en-US" w:eastAsia="zh-CN"/>
              </w:rPr>
              <w:t>1.2.1.4生态环境准入清单管控</w:t>
            </w:r>
          </w:p>
          <w:p w14:paraId="3476A44A">
            <w:pPr>
              <w:keepNext w:val="0"/>
              <w:keepLines w:val="0"/>
              <w:suppressLineNumbers w:val="0"/>
              <w:spacing w:before="0" w:beforeAutospacing="0" w:after="0" w:afterAutospacing="0" w:line="360" w:lineRule="auto"/>
              <w:ind w:left="0" w:right="0" w:firstLine="480" w:firstLineChars="200"/>
              <w:rPr>
                <w:rFonts w:hint="eastAsia" w:ascii="Times New Roman" w:hAnsi="Times New Roman" w:eastAsia="宋体" w:cs="Times New Roman"/>
                <w:color w:val="auto"/>
                <w:sz w:val="24"/>
              </w:rPr>
            </w:pPr>
            <w:r>
              <w:rPr>
                <w:rFonts w:hint="eastAsia" w:ascii="Times New Roman" w:hAnsi="Times New Roman" w:eastAsia="宋体" w:cs="Times New Roman"/>
                <w:color w:val="auto"/>
                <w:sz w:val="24"/>
                <w:lang w:val="en-US" w:eastAsia="zh-CN"/>
              </w:rPr>
              <w:t>对照《安吉县生态环境分区管控动态更新方案》（安政发[2024]7号），本项目所在地位于湖州市安吉县天子湖镇产业集聚重点管控单元（ZH33052320007），属重点管控单元。本项目环境管控单元准入符合性分析见下表。</w:t>
            </w:r>
          </w:p>
          <w:p w14:paraId="296D693A">
            <w:pPr>
              <w:keepNext w:val="0"/>
              <w:keepLines w:val="0"/>
              <w:suppressLineNumbers w:val="0"/>
              <w:spacing w:before="0" w:beforeAutospacing="0" w:after="0" w:afterAutospacing="0"/>
              <w:ind w:left="0" w:right="0"/>
              <w:jc w:val="center"/>
              <w:rPr>
                <w:rFonts w:hint="default" w:ascii="Times New Roman" w:hAnsi="Times New Roman" w:eastAsia="宋体" w:cs="Times New Roman"/>
                <w:b/>
                <w:bCs/>
                <w:color w:val="auto"/>
              </w:rPr>
            </w:pPr>
            <w:r>
              <w:rPr>
                <w:rFonts w:hint="eastAsia" w:ascii="Times New Roman" w:hAnsi="Times New Roman" w:eastAsia="宋体" w:cs="Times New Roman"/>
                <w:b/>
                <w:bCs/>
                <w:color w:val="auto"/>
              </w:rPr>
              <w:t>表</w:t>
            </w:r>
            <w:r>
              <w:rPr>
                <w:rFonts w:hint="default" w:ascii="Times New Roman" w:hAnsi="Times New Roman" w:eastAsia="宋体" w:cs="Times New Roman"/>
                <w:b/>
                <w:bCs/>
                <w:color w:val="auto"/>
              </w:rPr>
              <w:t>1-</w:t>
            </w:r>
            <w:r>
              <w:rPr>
                <w:rFonts w:hint="eastAsia" w:ascii="Times New Roman" w:hAnsi="Times New Roman" w:eastAsia="宋体" w:cs="Times New Roman"/>
                <w:b/>
                <w:bCs/>
                <w:color w:val="auto"/>
                <w:lang w:val="en-US" w:eastAsia="zh-CN"/>
              </w:rPr>
              <w:t>7</w:t>
            </w:r>
            <w:r>
              <w:rPr>
                <w:rFonts w:hint="eastAsia" w:ascii="Times New Roman" w:hAnsi="Times New Roman" w:eastAsia="宋体" w:cs="Times New Roman"/>
                <w:b/>
                <w:bCs/>
                <w:color w:val="auto"/>
              </w:rPr>
              <w:t xml:space="preserve"> </w:t>
            </w:r>
            <w:r>
              <w:rPr>
                <w:rFonts w:hint="default" w:ascii="Times New Roman" w:hAnsi="Times New Roman" w:eastAsia="宋体" w:cs="Times New Roman"/>
                <w:b/>
                <w:bCs/>
                <w:color w:val="auto"/>
              </w:rPr>
              <w:t xml:space="preserve"> </w:t>
            </w:r>
            <w:r>
              <w:rPr>
                <w:rFonts w:hint="eastAsia" w:ascii="Times New Roman" w:hAnsi="Times New Roman" w:eastAsia="宋体" w:cs="Times New Roman"/>
                <w:b/>
                <w:bCs/>
                <w:color w:val="auto"/>
              </w:rPr>
              <w:t>项目所在地生态环境分区</w:t>
            </w:r>
          </w:p>
          <w:tbl>
            <w:tblPr>
              <w:tblStyle w:val="23"/>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49"/>
              <w:gridCol w:w="3145"/>
              <w:gridCol w:w="3562"/>
              <w:gridCol w:w="823"/>
            </w:tblGrid>
            <w:tr w14:paraId="519E11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3428" w:type="dxa"/>
                  <w:gridSpan w:val="2"/>
                  <w:vAlign w:val="center"/>
                </w:tcPr>
                <w:p w14:paraId="2C51950C">
                  <w:pPr>
                    <w:keepNext w:val="0"/>
                    <w:keepLines w:val="0"/>
                    <w:suppressLineNumbers w:val="0"/>
                    <w:spacing w:before="0" w:beforeAutospacing="0" w:after="0" w:afterAutospacing="0"/>
                    <w:ind w:left="0" w:right="0"/>
                    <w:jc w:val="center"/>
                    <w:rPr>
                      <w:rFonts w:hint="default" w:ascii="Times New Roman" w:hAnsi="Times New Roman" w:eastAsia="宋体" w:cs="Times New Roman"/>
                      <w:b/>
                      <w:bCs/>
                      <w:color w:val="auto"/>
                      <w:szCs w:val="21"/>
                    </w:rPr>
                  </w:pPr>
                  <w:r>
                    <w:rPr>
                      <w:rFonts w:hint="default" w:ascii="Times New Roman" w:hAnsi="Times New Roman" w:eastAsia="宋体" w:cs="Times New Roman"/>
                      <w:b/>
                      <w:bCs/>
                      <w:color w:val="auto"/>
                      <w:szCs w:val="21"/>
                    </w:rPr>
                    <w:t>管控要求</w:t>
                  </w:r>
                </w:p>
              </w:tc>
              <w:tc>
                <w:tcPr>
                  <w:tcW w:w="3398" w:type="dxa"/>
                  <w:vAlign w:val="center"/>
                </w:tcPr>
                <w:p w14:paraId="50CFAF5F">
                  <w:pPr>
                    <w:keepNext w:val="0"/>
                    <w:keepLines w:val="0"/>
                    <w:suppressLineNumbers w:val="0"/>
                    <w:spacing w:before="0" w:beforeAutospacing="0" w:after="0" w:afterAutospacing="0"/>
                    <w:ind w:left="0" w:right="0"/>
                    <w:jc w:val="center"/>
                    <w:rPr>
                      <w:rFonts w:hint="default" w:ascii="Times New Roman" w:hAnsi="Times New Roman" w:eastAsia="宋体" w:cs="Times New Roman"/>
                      <w:b/>
                      <w:bCs/>
                      <w:color w:val="auto"/>
                      <w:szCs w:val="21"/>
                    </w:rPr>
                  </w:pPr>
                  <w:r>
                    <w:rPr>
                      <w:rFonts w:hint="default" w:ascii="Times New Roman" w:hAnsi="Times New Roman" w:eastAsia="宋体" w:cs="Times New Roman"/>
                      <w:b/>
                      <w:bCs/>
                      <w:color w:val="auto"/>
                      <w:szCs w:val="21"/>
                    </w:rPr>
                    <w:t>本项目情况</w:t>
                  </w:r>
                </w:p>
              </w:tc>
              <w:tc>
                <w:tcPr>
                  <w:tcW w:w="785" w:type="dxa"/>
                  <w:vAlign w:val="center"/>
                </w:tcPr>
                <w:p w14:paraId="4A87AA53">
                  <w:pPr>
                    <w:keepNext w:val="0"/>
                    <w:keepLines w:val="0"/>
                    <w:suppressLineNumbers w:val="0"/>
                    <w:spacing w:before="0" w:beforeAutospacing="0" w:after="0" w:afterAutospacing="0"/>
                    <w:ind w:left="0" w:right="0"/>
                    <w:jc w:val="center"/>
                    <w:rPr>
                      <w:rFonts w:hint="default" w:ascii="Times New Roman" w:hAnsi="Times New Roman" w:eastAsia="宋体" w:cs="Times New Roman"/>
                      <w:b/>
                      <w:bCs/>
                      <w:color w:val="auto"/>
                      <w:szCs w:val="21"/>
                      <w:lang w:val="en-US" w:eastAsia="zh-CN"/>
                    </w:rPr>
                  </w:pPr>
                  <w:r>
                    <w:rPr>
                      <w:rFonts w:hint="eastAsia" w:ascii="Times New Roman" w:hAnsi="Times New Roman" w:eastAsia="宋体" w:cs="Times New Roman"/>
                      <w:b/>
                      <w:bCs/>
                      <w:color w:val="auto"/>
                      <w:szCs w:val="21"/>
                      <w:lang w:val="en-US" w:eastAsia="zh-CN"/>
                    </w:rPr>
                    <w:t>是否符合</w:t>
                  </w:r>
                </w:p>
              </w:tc>
            </w:tr>
            <w:tr w14:paraId="3B1F9F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428" w:type="dxa"/>
                  <w:vAlign w:val="center"/>
                </w:tcPr>
                <w:p w14:paraId="3F2FECFF">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rPr>
                    <w:t>空间布局约束</w:t>
                  </w:r>
                </w:p>
              </w:tc>
              <w:tc>
                <w:tcPr>
                  <w:tcW w:w="3000" w:type="dxa"/>
                  <w:vAlign w:val="center"/>
                </w:tcPr>
                <w:p w14:paraId="2CA3B6F9">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rPr>
                    <w:t>优化完善区域产业布局，合理规划布局三类工业项目，鼓励对三类工业项目进行淘汰和提升改造。加强</w:t>
                  </w:r>
                  <w:r>
                    <w:rPr>
                      <w:rFonts w:hint="eastAsia" w:ascii="Times New Roman" w:hAnsi="Times New Roman" w:eastAsia="宋体" w:cs="Times New Roman"/>
                      <w:color w:val="auto"/>
                      <w:szCs w:val="21"/>
                      <w:lang w:eastAsia="zh-CN"/>
                    </w:rPr>
                    <w:t>“</w:t>
                  </w:r>
                  <w:r>
                    <w:rPr>
                      <w:rFonts w:hint="default" w:ascii="Times New Roman" w:hAnsi="Times New Roman" w:eastAsia="宋体" w:cs="Times New Roman"/>
                      <w:color w:val="auto"/>
                      <w:szCs w:val="21"/>
                    </w:rPr>
                    <w:t>两高</w:t>
                  </w:r>
                  <w:r>
                    <w:rPr>
                      <w:rFonts w:hint="eastAsia" w:ascii="Times New Roman" w:hAnsi="Times New Roman" w:eastAsia="宋体" w:cs="Times New Roman"/>
                      <w:color w:val="auto"/>
                      <w:szCs w:val="21"/>
                      <w:lang w:eastAsia="zh-CN"/>
                    </w:rPr>
                    <w:t>”</w:t>
                  </w:r>
                  <w:r>
                    <w:rPr>
                      <w:rFonts w:hint="default" w:ascii="Times New Roman" w:hAnsi="Times New Roman" w:eastAsia="宋体" w:cs="Times New Roman"/>
                      <w:color w:val="auto"/>
                      <w:szCs w:val="21"/>
                    </w:rPr>
                    <w:t>项目源头防控。综合条件较好的重点行业率先开展节能降碳技术改造。合理规划布局居住、医疗卫生、文化教育等功能区块，与工业区块、工业企业之间设置防护绿地、生活绿地等隔离带。土壤污染重点监管单位新</w:t>
                  </w:r>
                  <w:r>
                    <w:rPr>
                      <w:rFonts w:hint="eastAsia" w:ascii="Times New Roman" w:hAnsi="Times New Roman" w:eastAsia="宋体" w:cs="Times New Roman"/>
                      <w:color w:val="auto"/>
                      <w:szCs w:val="21"/>
                      <w:lang w:eastAsia="zh-CN"/>
                    </w:rPr>
                    <w:t>（</w:t>
                  </w:r>
                  <w:r>
                    <w:rPr>
                      <w:rFonts w:hint="default" w:ascii="Times New Roman" w:hAnsi="Times New Roman" w:eastAsia="宋体" w:cs="Times New Roman"/>
                      <w:color w:val="auto"/>
                      <w:szCs w:val="21"/>
                    </w:rPr>
                    <w:t>改、扩</w:t>
                  </w:r>
                  <w:r>
                    <w:rPr>
                      <w:rFonts w:hint="eastAsia" w:ascii="Times New Roman" w:hAnsi="Times New Roman" w:eastAsia="宋体" w:cs="Times New Roman"/>
                      <w:color w:val="auto"/>
                      <w:szCs w:val="21"/>
                      <w:lang w:eastAsia="zh-CN"/>
                    </w:rPr>
                    <w:t>）</w:t>
                  </w:r>
                  <w:r>
                    <w:rPr>
                      <w:rFonts w:hint="default" w:ascii="Times New Roman" w:hAnsi="Times New Roman" w:eastAsia="宋体" w:cs="Times New Roman"/>
                      <w:color w:val="auto"/>
                      <w:szCs w:val="21"/>
                    </w:rPr>
                    <w:t>建项目用地应当符合国家或地方有关建设用地土壤风险管控标准。重点行业按照规范要求开展建设项目碳排放评价。</w:t>
                  </w:r>
                </w:p>
              </w:tc>
              <w:tc>
                <w:tcPr>
                  <w:tcW w:w="3398" w:type="dxa"/>
                  <w:vAlign w:val="center"/>
                </w:tcPr>
                <w:p w14:paraId="1FAF3B1C">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r>
                    <w:rPr>
                      <w:rFonts w:hint="eastAsia" w:ascii="Times New Roman" w:hAnsi="Times New Roman" w:eastAsia="宋体" w:cs="Times New Roman"/>
                      <w:color w:val="auto"/>
                      <w:szCs w:val="21"/>
                    </w:rPr>
                    <w:t>本项目位于浙江省湖州市安吉县天子湖镇长隆路398号，在工业</w:t>
                  </w:r>
                  <w:commentRangeStart w:id="11"/>
                  <w:commentRangeStart w:id="12"/>
                  <w:r>
                    <w:rPr>
                      <w:rFonts w:hint="default"/>
                    </w:rPr>
                    <w:commentReference w:id="11"/>
                  </w:r>
                  <w:commentRangeEnd w:id="11"/>
                  <w:commentRangeEnd w:id="12"/>
                  <w:r>
                    <w:rPr>
                      <w:rFonts w:hint="default"/>
                    </w:rPr>
                    <w:commentReference w:id="12"/>
                  </w:r>
                  <w:r>
                    <w:rPr>
                      <w:rFonts w:hint="eastAsia" w:ascii="Times New Roman" w:hAnsi="Times New Roman" w:eastAsia="宋体" w:cs="Times New Roman"/>
                      <w:color w:val="FF0000"/>
                      <w:szCs w:val="21"/>
                      <w:lang w:val="en-US" w:eastAsia="zh-CN"/>
                    </w:rPr>
                    <w:t>园区</w:t>
                  </w:r>
                  <w:r>
                    <w:rPr>
                      <w:rFonts w:hint="eastAsia" w:ascii="Times New Roman" w:hAnsi="Times New Roman" w:eastAsia="宋体" w:cs="Times New Roman"/>
                      <w:color w:val="auto"/>
                      <w:szCs w:val="21"/>
                    </w:rPr>
                    <w:t>内。本项目</w:t>
                  </w:r>
                  <w:r>
                    <w:rPr>
                      <w:rFonts w:hint="eastAsia" w:ascii="Times New Roman" w:hAnsi="Times New Roman" w:eastAsia="宋体" w:cs="Times New Roman"/>
                      <w:color w:val="auto"/>
                      <w:szCs w:val="21"/>
                      <w:lang w:val="en-US" w:eastAsia="zh-CN"/>
                    </w:rPr>
                    <w:t>行业类别为C3670汽车零部件及配件制造、C2929塑料零件及其他塑料制品制造、C3034隔热和隔音材料制造</w:t>
                  </w:r>
                  <w:r>
                    <w:rPr>
                      <w:rFonts w:hint="eastAsia" w:ascii="Times New Roman" w:hAnsi="Times New Roman" w:eastAsia="宋体" w:cs="Times New Roman"/>
                      <w:color w:val="auto"/>
                      <w:szCs w:val="21"/>
                    </w:rPr>
                    <w:t>，为二类工业项目，不属于</w:t>
                  </w:r>
                  <w:r>
                    <w:rPr>
                      <w:rFonts w:hint="eastAsia" w:ascii="Times New Roman" w:hAnsi="Times New Roman" w:eastAsia="宋体" w:cs="Times New Roman"/>
                      <w:color w:val="auto"/>
                      <w:szCs w:val="21"/>
                      <w:lang w:eastAsia="zh-CN"/>
                    </w:rPr>
                    <w:t>“</w:t>
                  </w:r>
                  <w:r>
                    <w:rPr>
                      <w:rFonts w:hint="eastAsia" w:ascii="Times New Roman" w:hAnsi="Times New Roman" w:eastAsia="宋体" w:cs="Times New Roman"/>
                      <w:color w:val="auto"/>
                      <w:szCs w:val="21"/>
                    </w:rPr>
                    <w:t>两高</w:t>
                  </w:r>
                  <w:r>
                    <w:rPr>
                      <w:rFonts w:hint="eastAsia" w:ascii="Times New Roman" w:hAnsi="Times New Roman" w:eastAsia="宋体" w:cs="Times New Roman"/>
                      <w:color w:val="auto"/>
                      <w:szCs w:val="21"/>
                      <w:lang w:eastAsia="zh-CN"/>
                    </w:rPr>
                    <w:t>”</w:t>
                  </w:r>
                  <w:r>
                    <w:rPr>
                      <w:rFonts w:hint="eastAsia" w:ascii="Times New Roman" w:hAnsi="Times New Roman" w:eastAsia="宋体" w:cs="Times New Roman"/>
                      <w:color w:val="auto"/>
                      <w:szCs w:val="21"/>
                    </w:rPr>
                    <w:t>项目。本项目将在居住区和工业区、工业企业之间设置防护绿地、生态绿地等隔离带。本项目不属于土壤污染重点监管单位。根据《关于开展重点行业建设项目碳排放环境影响评价试点的通知》</w:t>
                  </w:r>
                  <w:r>
                    <w:rPr>
                      <w:rFonts w:hint="eastAsia" w:ascii="Times New Roman" w:hAnsi="Times New Roman" w:eastAsia="宋体" w:cs="Times New Roman"/>
                      <w:color w:val="auto"/>
                      <w:szCs w:val="21"/>
                      <w:lang w:eastAsia="zh-CN"/>
                    </w:rPr>
                    <w:t>（</w:t>
                  </w:r>
                  <w:r>
                    <w:rPr>
                      <w:rFonts w:hint="eastAsia" w:ascii="Times New Roman" w:hAnsi="Times New Roman" w:eastAsia="宋体" w:cs="Times New Roman"/>
                      <w:color w:val="auto"/>
                      <w:szCs w:val="21"/>
                    </w:rPr>
                    <w:t>环办环评函〔2021〕346号〕</w:t>
                  </w:r>
                  <w:r>
                    <w:rPr>
                      <w:rFonts w:hint="eastAsia" w:ascii="Times New Roman" w:hAnsi="Times New Roman" w:eastAsia="宋体" w:cs="Times New Roman"/>
                      <w:color w:val="auto"/>
                      <w:szCs w:val="21"/>
                      <w:lang w:eastAsia="zh-CN"/>
                    </w:rPr>
                    <w:t>，</w:t>
                  </w:r>
                  <w:r>
                    <w:rPr>
                      <w:rFonts w:hint="eastAsia" w:ascii="Times New Roman" w:hAnsi="Times New Roman" w:eastAsia="宋体" w:cs="Times New Roman"/>
                      <w:color w:val="auto"/>
                      <w:szCs w:val="21"/>
                    </w:rPr>
                    <w:t>本项目不属于重点行业，无需开展建设项目碳排放评价。</w:t>
                  </w:r>
                </w:p>
              </w:tc>
              <w:tc>
                <w:tcPr>
                  <w:tcW w:w="785" w:type="dxa"/>
                  <w:vAlign w:val="center"/>
                </w:tcPr>
                <w:p w14:paraId="207B740B">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r>
                    <w:rPr>
                      <w:rFonts w:hint="eastAsia" w:ascii="Times New Roman" w:hAnsi="Times New Roman" w:eastAsia="宋体" w:cs="Times New Roman"/>
                      <w:color w:val="auto"/>
                      <w:szCs w:val="21"/>
                    </w:rPr>
                    <w:t>符合</w:t>
                  </w:r>
                </w:p>
              </w:tc>
            </w:tr>
            <w:tr w14:paraId="30EA72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428" w:type="dxa"/>
                  <w:vAlign w:val="center"/>
                </w:tcPr>
                <w:p w14:paraId="434016CC">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rPr>
                    <w:t>污染物排放管控</w:t>
                  </w:r>
                </w:p>
              </w:tc>
              <w:tc>
                <w:tcPr>
                  <w:tcW w:w="3000" w:type="dxa"/>
                  <w:vAlign w:val="center"/>
                </w:tcPr>
                <w:p w14:paraId="11E79402">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rPr>
                    <w:t>实施污染物总量控制制度，严格执行地区削减目标。新建二类、三类工业项目污染物排放水平要达到同行业国内先进水平。推进工业集聚区</w:t>
                  </w:r>
                  <w:r>
                    <w:rPr>
                      <w:rFonts w:hint="eastAsia" w:ascii="Times New Roman" w:hAnsi="Times New Roman" w:eastAsia="宋体" w:cs="Times New Roman"/>
                      <w:color w:val="auto"/>
                      <w:szCs w:val="21"/>
                      <w:lang w:eastAsia="zh-CN"/>
                    </w:rPr>
                    <w:t>“</w:t>
                  </w:r>
                  <w:r>
                    <w:rPr>
                      <w:rFonts w:hint="default" w:ascii="Times New Roman" w:hAnsi="Times New Roman" w:eastAsia="宋体" w:cs="Times New Roman"/>
                      <w:color w:val="auto"/>
                      <w:szCs w:val="21"/>
                    </w:rPr>
                    <w:t>零直排区</w:t>
                  </w:r>
                  <w:r>
                    <w:rPr>
                      <w:rFonts w:hint="eastAsia" w:ascii="Times New Roman" w:hAnsi="Times New Roman" w:eastAsia="宋体" w:cs="Times New Roman"/>
                      <w:color w:val="auto"/>
                      <w:szCs w:val="21"/>
                      <w:lang w:eastAsia="zh-CN"/>
                    </w:rPr>
                    <w:t>”</w:t>
                  </w:r>
                  <w:r>
                    <w:rPr>
                      <w:rFonts w:hint="default" w:ascii="Times New Roman" w:hAnsi="Times New Roman" w:eastAsia="宋体" w:cs="Times New Roman"/>
                      <w:color w:val="auto"/>
                      <w:szCs w:val="21"/>
                    </w:rPr>
                    <w:t>建设，所有企业实现雨污分流，现有工业集聚区内工业企业废水必须经预处理达到集中处理要求，方可进入污水集中处理设施。</w:t>
                  </w:r>
                </w:p>
              </w:tc>
              <w:tc>
                <w:tcPr>
                  <w:tcW w:w="3398" w:type="dxa"/>
                  <w:shd w:val="clear" w:color="auto" w:fill="auto"/>
                  <w:vAlign w:val="center"/>
                </w:tcPr>
                <w:p w14:paraId="3624C09F">
                  <w:pPr>
                    <w:keepNext w:val="0"/>
                    <w:keepLines w:val="0"/>
                    <w:suppressLineNumbers w:val="0"/>
                    <w:spacing w:before="0" w:beforeAutospacing="0" w:after="0" w:afterAutospacing="0"/>
                    <w:ind w:left="0" w:leftChars="0" w:right="0" w:rightChars="0"/>
                    <w:jc w:val="center"/>
                    <w:rPr>
                      <w:rFonts w:hint="eastAsia" w:ascii="Times New Roman" w:hAnsi="Times New Roman" w:eastAsia="宋体" w:cs="Times New Roman"/>
                      <w:color w:val="auto"/>
                      <w:kern w:val="2"/>
                      <w:sz w:val="21"/>
                      <w:szCs w:val="21"/>
                      <w:lang w:val="en-US" w:eastAsia="zh-CN" w:bidi="ar-SA"/>
                    </w:rPr>
                  </w:pPr>
                  <w:r>
                    <w:rPr>
                      <w:rFonts w:hint="eastAsia" w:ascii="Times New Roman" w:hAnsi="Times New Roman" w:eastAsia="宋体" w:cs="Times New Roman"/>
                      <w:color w:val="auto"/>
                      <w:szCs w:val="21"/>
                    </w:rPr>
                    <w:t>本项目属于二类工业项目，实施污染物总量控制制度，污染物排放水平达到同行业国内先进水平。本项目雨污分流，生活污水经</w:t>
                  </w:r>
                  <w:r>
                    <w:rPr>
                      <w:rFonts w:hint="eastAsia" w:ascii="Times New Roman" w:hAnsi="Times New Roman" w:eastAsia="宋体" w:cs="Times New Roman"/>
                      <w:color w:val="auto"/>
                      <w:szCs w:val="21"/>
                      <w:lang w:val="en-US" w:eastAsia="zh-CN"/>
                    </w:rPr>
                    <w:t>出租方</w:t>
                  </w:r>
                  <w:r>
                    <w:rPr>
                      <w:rFonts w:hint="eastAsia" w:ascii="Times New Roman" w:hAnsi="Times New Roman" w:eastAsia="宋体" w:cs="Times New Roman"/>
                      <w:color w:val="auto"/>
                      <w:szCs w:val="21"/>
                    </w:rPr>
                    <w:t>化粪池处理后排入周边市政污水管网，由市政污水管网纳入安吉清源污水处理有限公司处理</w:t>
                  </w:r>
                  <w:r>
                    <w:rPr>
                      <w:rFonts w:hint="eastAsia" w:ascii="Times New Roman" w:hAnsi="Times New Roman" w:eastAsia="宋体" w:cs="Times New Roman"/>
                      <w:color w:val="auto"/>
                      <w:szCs w:val="21"/>
                      <w:lang w:eastAsia="zh-CN"/>
                    </w:rPr>
                    <w:t>；间接</w:t>
                  </w:r>
                  <w:r>
                    <w:rPr>
                      <w:rFonts w:hint="eastAsia" w:ascii="Times New Roman" w:hAnsi="Times New Roman" w:eastAsia="宋体" w:cs="Times New Roman"/>
                      <w:color w:val="auto"/>
                      <w:szCs w:val="21"/>
                      <w:lang w:val="en-US" w:eastAsia="zh-CN"/>
                    </w:rPr>
                    <w:t>冷却水循环使用不排放，只需定期补充新鲜水；喷淋废水当循环到一定程度后定期更换，更换后的喷淋废水作为危废处置。</w:t>
                  </w:r>
                </w:p>
              </w:tc>
              <w:tc>
                <w:tcPr>
                  <w:tcW w:w="785" w:type="dxa"/>
                  <w:shd w:val="clear" w:color="auto" w:fill="auto"/>
                  <w:vAlign w:val="center"/>
                </w:tcPr>
                <w:p w14:paraId="45FE5A9A">
                  <w:pPr>
                    <w:keepNext w:val="0"/>
                    <w:keepLines w:val="0"/>
                    <w:suppressLineNumbers w:val="0"/>
                    <w:spacing w:before="0" w:beforeAutospacing="0" w:after="0" w:afterAutospacing="0"/>
                    <w:ind w:left="0" w:leftChars="0" w:right="0" w:rightChars="0"/>
                    <w:jc w:val="center"/>
                    <w:rPr>
                      <w:rFonts w:hint="eastAsia" w:ascii="Times New Roman" w:hAnsi="Times New Roman" w:eastAsia="宋体" w:cs="Times New Roman"/>
                      <w:color w:val="auto"/>
                      <w:kern w:val="2"/>
                      <w:sz w:val="21"/>
                      <w:szCs w:val="21"/>
                      <w:lang w:val="en-US" w:eastAsia="zh-CN" w:bidi="ar-SA"/>
                    </w:rPr>
                  </w:pPr>
                  <w:r>
                    <w:rPr>
                      <w:rFonts w:hint="eastAsia" w:ascii="Times New Roman" w:hAnsi="Times New Roman" w:eastAsia="宋体" w:cs="Times New Roman"/>
                      <w:color w:val="auto"/>
                      <w:szCs w:val="21"/>
                    </w:rPr>
                    <w:t>符合</w:t>
                  </w:r>
                </w:p>
              </w:tc>
            </w:tr>
            <w:tr w14:paraId="56D55F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428" w:type="dxa"/>
                  <w:vAlign w:val="center"/>
                </w:tcPr>
                <w:p w14:paraId="4570D7CD">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rPr>
                    <w:t>环境风险防控</w:t>
                  </w:r>
                </w:p>
              </w:tc>
              <w:tc>
                <w:tcPr>
                  <w:tcW w:w="3000" w:type="dxa"/>
                  <w:vAlign w:val="center"/>
                </w:tcPr>
                <w:p w14:paraId="1513B3D5">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rPr>
                    <w:t>严格控制石油加工、化学原料和化学制品制造、医药制造、化学纤维制造、有色金属冶炼、纺织印染等项目环境风险。重点管控新污染物环境风险。定期评估沿江河湖库工业企业、工业集聚区环境和健康风险，落实防控措施。强化工业集聚区应急预案和风险防控体系建设，防范重点企业环境风险。重点行业企业新、改、扩建项目用地应当符合国家或者地方有关建设用地土壤污染风险管控标准。严格污染地块开发利用和流转审批。</w:t>
                  </w:r>
                </w:p>
              </w:tc>
              <w:tc>
                <w:tcPr>
                  <w:tcW w:w="3398" w:type="dxa"/>
                  <w:vAlign w:val="center"/>
                </w:tcPr>
                <w:p w14:paraId="2FE6BC7C">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r>
                    <w:rPr>
                      <w:rFonts w:hint="eastAsia" w:ascii="Times New Roman" w:hAnsi="Times New Roman" w:eastAsia="宋体" w:cs="Times New Roman"/>
                      <w:color w:val="auto"/>
                      <w:szCs w:val="21"/>
                    </w:rPr>
                    <w:t>本项目</w:t>
                  </w:r>
                  <w:r>
                    <w:rPr>
                      <w:rFonts w:hint="eastAsia" w:ascii="Times New Roman" w:hAnsi="Times New Roman" w:eastAsia="宋体" w:cs="Times New Roman"/>
                      <w:color w:val="auto"/>
                      <w:szCs w:val="21"/>
                      <w:lang w:val="en-US" w:eastAsia="zh-CN"/>
                    </w:rPr>
                    <w:t>行业类别为</w:t>
                  </w:r>
                  <w:r>
                    <w:rPr>
                      <w:rFonts w:hint="eastAsia" w:ascii="Times New Roman" w:hAnsi="Times New Roman" w:eastAsia="宋体" w:cs="Times New Roman"/>
                      <w:color w:val="auto"/>
                      <w:szCs w:val="21"/>
                    </w:rPr>
                    <w:t>C3670汽车零部件及配件制造、C2929塑料零件及其他塑料制品制造、C3034隔热和隔音材料制造，不属于重点行业，不涉及石油加工、化学原料和化学制品制造、医药制造、化学纤维制造、有色金属冶炼、纺织印染等，项目投产后按要求编制和环境风险应急预案并做好相应风险防控措施。</w:t>
                  </w:r>
                </w:p>
              </w:tc>
              <w:tc>
                <w:tcPr>
                  <w:tcW w:w="785" w:type="dxa"/>
                  <w:vAlign w:val="center"/>
                </w:tcPr>
                <w:p w14:paraId="41D9AD2D">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r>
                    <w:rPr>
                      <w:rFonts w:hint="eastAsia" w:ascii="Times New Roman" w:hAnsi="Times New Roman" w:eastAsia="宋体" w:cs="Times New Roman"/>
                      <w:color w:val="auto"/>
                      <w:szCs w:val="21"/>
                    </w:rPr>
                    <w:t>符合</w:t>
                  </w:r>
                </w:p>
              </w:tc>
            </w:tr>
            <w:tr w14:paraId="08C802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428" w:type="dxa"/>
                  <w:vAlign w:val="center"/>
                </w:tcPr>
                <w:p w14:paraId="37474985">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rPr>
                    <w:t>资源开发效率要求</w:t>
                  </w:r>
                </w:p>
              </w:tc>
              <w:tc>
                <w:tcPr>
                  <w:tcW w:w="3000" w:type="dxa"/>
                  <w:vAlign w:val="center"/>
                </w:tcPr>
                <w:p w14:paraId="44DC431D">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rPr>
                    <w:t>推进工业集聚区生态化改造，强化企业清洁生产改造，推进节水型企业、节水标杆园区建设，落实煤炭消费减量替代要求，提高资源能源利用效率。</w:t>
                  </w:r>
                </w:p>
              </w:tc>
              <w:tc>
                <w:tcPr>
                  <w:tcW w:w="3398" w:type="dxa"/>
                  <w:vAlign w:val="center"/>
                </w:tcPr>
                <w:p w14:paraId="51079A88">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r>
                    <w:rPr>
                      <w:rFonts w:hint="eastAsia" w:ascii="Times New Roman" w:hAnsi="Times New Roman" w:eastAsia="宋体" w:cs="Times New Roman"/>
                      <w:color w:val="auto"/>
                      <w:szCs w:val="21"/>
                    </w:rPr>
                    <w:t>本项目利用的能源为水、电，不涉及煤炭等其他能源的使用。企业积极推行清洁生产和节水型企业建设。</w:t>
                  </w:r>
                </w:p>
              </w:tc>
              <w:tc>
                <w:tcPr>
                  <w:tcW w:w="785" w:type="dxa"/>
                  <w:vAlign w:val="center"/>
                </w:tcPr>
                <w:p w14:paraId="2BC03BEF">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r>
                    <w:rPr>
                      <w:rFonts w:hint="eastAsia" w:ascii="Times New Roman" w:hAnsi="Times New Roman" w:eastAsia="宋体" w:cs="Times New Roman"/>
                      <w:color w:val="auto"/>
                      <w:szCs w:val="21"/>
                    </w:rPr>
                    <w:t>符合</w:t>
                  </w:r>
                </w:p>
              </w:tc>
            </w:tr>
          </w:tbl>
          <w:p w14:paraId="0274A2C0">
            <w:pPr>
              <w:keepNext w:val="0"/>
              <w:keepLines w:val="0"/>
              <w:suppressLineNumbers w:val="0"/>
              <w:spacing w:before="0" w:beforeAutospacing="0" w:after="0" w:afterAutospacing="0" w:line="360" w:lineRule="auto"/>
              <w:ind w:left="0" w:right="0" w:firstLine="480" w:firstLineChars="200"/>
              <w:rPr>
                <w:rFonts w:hint="eastAsia" w:ascii="Times New Roman" w:hAnsi="Times New Roman" w:eastAsia="宋体" w:cs="Times New Roman"/>
                <w:color w:val="auto"/>
                <w:sz w:val="24"/>
                <w:lang w:val="en-US" w:eastAsia="zh-CN"/>
              </w:rPr>
            </w:pPr>
            <w:r>
              <w:rPr>
                <w:rFonts w:hint="eastAsia" w:ascii="Times New Roman" w:hAnsi="Times New Roman" w:eastAsia="宋体" w:cs="Times New Roman"/>
                <w:color w:val="auto"/>
                <w:sz w:val="24"/>
                <w:lang w:val="en-US" w:eastAsia="zh-CN"/>
              </w:rPr>
              <w:t>由上表分析可知，本项目的建设符合湖州市安吉县天子湖镇产业集聚重点管控单元（ZH33052320007）准入清单要求。</w:t>
            </w:r>
          </w:p>
          <w:p w14:paraId="72EB523D">
            <w:pPr>
              <w:keepNext w:val="0"/>
              <w:keepLines w:val="0"/>
              <w:widowControl w:val="0"/>
              <w:suppressLineNumbers w:val="0"/>
              <w:spacing w:before="0" w:beforeAutospacing="0" w:after="0" w:afterAutospacing="0" w:line="360" w:lineRule="auto"/>
              <w:ind w:left="0" w:right="0"/>
              <w:jc w:val="both"/>
              <w:rPr>
                <w:rFonts w:hint="default" w:ascii="Times New Roman" w:hAnsi="Times New Roman" w:eastAsia="宋体" w:cs="Times New Roman"/>
                <w:b/>
                <w:bCs/>
                <w:color w:val="auto"/>
                <w:kern w:val="2"/>
                <w:sz w:val="24"/>
                <w:szCs w:val="24"/>
              </w:rPr>
            </w:pPr>
            <w:r>
              <w:rPr>
                <w:rFonts w:hint="eastAsia" w:ascii="Times New Roman" w:hAnsi="Times New Roman" w:eastAsia="宋体" w:cs="Times New Roman"/>
                <w:b/>
                <w:bCs/>
                <w:color w:val="auto"/>
                <w:sz w:val="24"/>
                <w:lang w:val="en-US" w:eastAsia="zh-CN"/>
              </w:rPr>
              <w:t>1.2.2</w:t>
            </w:r>
            <w:r>
              <w:rPr>
                <w:rFonts w:hint="eastAsia" w:ascii="宋体" w:hAnsi="宋体" w:eastAsia="宋体" w:cs="宋体"/>
                <w:b/>
                <w:bCs/>
                <w:color w:val="auto"/>
                <w:kern w:val="2"/>
                <w:sz w:val="24"/>
                <w:szCs w:val="24"/>
                <w:lang w:val="en-US" w:eastAsia="zh-CN" w:bidi="ar"/>
              </w:rPr>
              <w:t>《太湖流域水环境综合治理总体方案》符合性分析</w:t>
            </w:r>
          </w:p>
          <w:p w14:paraId="3A99F202">
            <w:pPr>
              <w:keepNext w:val="0"/>
              <w:keepLines w:val="0"/>
              <w:widowControl w:val="0"/>
              <w:suppressLineNumbers w:val="0"/>
              <w:spacing w:before="0" w:beforeAutospacing="0" w:after="0" w:afterAutospacing="0" w:line="360" w:lineRule="auto"/>
              <w:ind w:left="0" w:right="0" w:firstLine="480" w:firstLineChars="200"/>
              <w:jc w:val="both"/>
              <w:rPr>
                <w:rFonts w:hint="default" w:ascii="Times New Roman" w:hAnsi="Times New Roman" w:eastAsia="宋体" w:cs="Times New Roman"/>
                <w:color w:val="auto"/>
                <w:kern w:val="2"/>
                <w:sz w:val="24"/>
                <w:szCs w:val="24"/>
              </w:rPr>
            </w:pPr>
            <w:r>
              <w:rPr>
                <w:rFonts w:hint="default" w:ascii="Times New Roman" w:hAnsi="Times New Roman" w:eastAsia="宋体" w:cs="Times New Roman"/>
                <w:color w:val="auto"/>
                <w:kern w:val="2"/>
                <w:sz w:val="24"/>
                <w:szCs w:val="24"/>
                <w:lang w:val="en-US" w:eastAsia="zh-CN" w:bidi="ar"/>
              </w:rPr>
              <w:t>2022</w:t>
            </w:r>
            <w:r>
              <w:rPr>
                <w:rFonts w:hint="eastAsia" w:ascii="宋体" w:hAnsi="宋体" w:eastAsia="宋体" w:cs="宋体"/>
                <w:color w:val="auto"/>
                <w:kern w:val="2"/>
                <w:sz w:val="24"/>
                <w:szCs w:val="24"/>
                <w:lang w:val="en-US" w:eastAsia="zh-CN" w:bidi="ar"/>
              </w:rPr>
              <w:t>年</w:t>
            </w:r>
            <w:r>
              <w:rPr>
                <w:rFonts w:hint="default" w:ascii="Times New Roman" w:hAnsi="Times New Roman" w:eastAsia="宋体" w:cs="Times New Roman"/>
                <w:color w:val="auto"/>
                <w:kern w:val="2"/>
                <w:sz w:val="24"/>
                <w:szCs w:val="24"/>
                <w:lang w:val="en-US" w:eastAsia="zh-CN" w:bidi="ar"/>
              </w:rPr>
              <w:t>6</w:t>
            </w:r>
            <w:r>
              <w:rPr>
                <w:rFonts w:hint="eastAsia" w:ascii="宋体" w:hAnsi="宋体" w:eastAsia="宋体" w:cs="宋体"/>
                <w:color w:val="auto"/>
                <w:kern w:val="2"/>
                <w:sz w:val="24"/>
                <w:szCs w:val="24"/>
                <w:lang w:val="en-US" w:eastAsia="zh-CN" w:bidi="ar"/>
              </w:rPr>
              <w:t>月</w:t>
            </w:r>
            <w:r>
              <w:rPr>
                <w:rFonts w:hint="default" w:ascii="Times New Roman" w:hAnsi="Times New Roman" w:eastAsia="宋体" w:cs="Times New Roman"/>
                <w:color w:val="auto"/>
                <w:kern w:val="2"/>
                <w:sz w:val="24"/>
                <w:szCs w:val="24"/>
                <w:lang w:val="en-US" w:eastAsia="zh-CN" w:bidi="ar"/>
              </w:rPr>
              <w:t>23</w:t>
            </w:r>
            <w:r>
              <w:rPr>
                <w:rFonts w:hint="eastAsia" w:ascii="宋体" w:hAnsi="宋体" w:eastAsia="宋体" w:cs="宋体"/>
                <w:color w:val="auto"/>
                <w:kern w:val="2"/>
                <w:sz w:val="24"/>
                <w:szCs w:val="24"/>
                <w:lang w:val="en-US" w:eastAsia="zh-CN" w:bidi="ar"/>
              </w:rPr>
              <w:t>日，国家发展改革委联合自然资源部、生态环境部、住房城乡建设部、水利部、农业农村部印发《太湖流域水环境综合治理总体方案》（发改地区（</w:t>
            </w:r>
            <w:r>
              <w:rPr>
                <w:rFonts w:hint="default" w:ascii="Times New Roman" w:hAnsi="Times New Roman" w:eastAsia="宋体" w:cs="Times New Roman"/>
                <w:color w:val="auto"/>
                <w:kern w:val="2"/>
                <w:sz w:val="24"/>
                <w:szCs w:val="24"/>
                <w:lang w:val="en-US" w:eastAsia="zh-CN" w:bidi="ar"/>
              </w:rPr>
              <w:t>2022</w:t>
            </w:r>
            <w:r>
              <w:rPr>
                <w:rFonts w:hint="eastAsia" w:ascii="宋体" w:hAnsi="宋体" w:eastAsia="宋体" w:cs="宋体"/>
                <w:color w:val="auto"/>
                <w:kern w:val="2"/>
                <w:sz w:val="24"/>
                <w:szCs w:val="24"/>
                <w:lang w:val="en-US" w:eastAsia="zh-CN" w:bidi="ar"/>
              </w:rPr>
              <w:t>）</w:t>
            </w:r>
            <w:r>
              <w:rPr>
                <w:rFonts w:hint="default" w:ascii="Times New Roman" w:hAnsi="Times New Roman" w:eastAsia="宋体" w:cs="Times New Roman"/>
                <w:color w:val="auto"/>
                <w:kern w:val="2"/>
                <w:sz w:val="24"/>
                <w:szCs w:val="24"/>
                <w:lang w:val="en-US" w:eastAsia="zh-CN" w:bidi="ar"/>
              </w:rPr>
              <w:t>959</w:t>
            </w:r>
            <w:r>
              <w:rPr>
                <w:rFonts w:hint="eastAsia" w:ascii="宋体" w:hAnsi="宋体" w:eastAsia="宋体" w:cs="宋体"/>
                <w:color w:val="auto"/>
                <w:kern w:val="2"/>
                <w:sz w:val="24"/>
                <w:szCs w:val="24"/>
                <w:lang w:val="en-US" w:eastAsia="zh-CN" w:bidi="ar"/>
              </w:rPr>
              <w:t>号）。对照该总体方案要求，项目符合性分析见下表。由表可知，项目符合总体方案要求。</w:t>
            </w:r>
          </w:p>
          <w:p w14:paraId="3A8CAA43">
            <w:pPr>
              <w:keepNext w:val="0"/>
              <w:keepLines w:val="0"/>
              <w:widowControl w:val="0"/>
              <w:suppressLineNumbers w:val="0"/>
              <w:spacing w:before="0" w:beforeAutospacing="0" w:after="0" w:afterAutospacing="0"/>
              <w:ind w:left="0" w:right="0"/>
              <w:jc w:val="center"/>
              <w:rPr>
                <w:rFonts w:hint="default" w:ascii="Times New Roman" w:hAnsi="Times New Roman" w:eastAsia="宋体" w:cs="Times New Roman"/>
                <w:b/>
                <w:bCs/>
                <w:color w:val="auto"/>
                <w:kern w:val="2"/>
                <w:sz w:val="21"/>
                <w:szCs w:val="21"/>
              </w:rPr>
            </w:pPr>
            <w:r>
              <w:rPr>
                <w:rFonts w:hint="eastAsia" w:ascii="宋体" w:hAnsi="宋体" w:eastAsia="宋体" w:cs="宋体"/>
                <w:b/>
                <w:bCs/>
                <w:color w:val="auto"/>
                <w:kern w:val="2"/>
                <w:sz w:val="21"/>
                <w:szCs w:val="21"/>
                <w:lang w:val="en-US" w:eastAsia="zh-CN" w:bidi="ar"/>
              </w:rPr>
              <w:t>表</w:t>
            </w:r>
            <w:r>
              <w:rPr>
                <w:rFonts w:hint="default" w:ascii="Times New Roman" w:hAnsi="Times New Roman" w:eastAsia="宋体" w:cs="Times New Roman"/>
                <w:b/>
                <w:bCs/>
                <w:color w:val="auto"/>
                <w:kern w:val="2"/>
                <w:sz w:val="21"/>
                <w:szCs w:val="21"/>
                <w:lang w:val="en-US" w:eastAsia="zh-CN" w:bidi="ar"/>
              </w:rPr>
              <w:t>1-</w:t>
            </w:r>
            <w:r>
              <w:rPr>
                <w:rFonts w:hint="eastAsia" w:ascii="Times New Roman" w:hAnsi="Times New Roman" w:eastAsia="宋体" w:cs="Times New Roman"/>
                <w:b/>
                <w:bCs/>
                <w:color w:val="auto"/>
                <w:kern w:val="2"/>
                <w:sz w:val="21"/>
                <w:szCs w:val="21"/>
                <w:lang w:val="en-US" w:eastAsia="zh-CN" w:bidi="ar"/>
              </w:rPr>
              <w:t>8</w:t>
            </w:r>
            <w:r>
              <w:rPr>
                <w:rFonts w:hint="default" w:ascii="Times New Roman" w:hAnsi="Times New Roman" w:eastAsia="宋体" w:cs="Times New Roman"/>
                <w:b/>
                <w:bCs/>
                <w:color w:val="auto"/>
                <w:kern w:val="2"/>
                <w:sz w:val="21"/>
                <w:szCs w:val="21"/>
                <w:lang w:val="en-US" w:eastAsia="zh-CN" w:bidi="ar"/>
              </w:rPr>
              <w:t xml:space="preserve">  </w:t>
            </w:r>
            <w:r>
              <w:rPr>
                <w:rFonts w:hint="eastAsia" w:ascii="Times New Roman" w:hAnsi="Times New Roman" w:eastAsia="宋体" w:cs="Times New Roman"/>
                <w:b/>
                <w:bCs/>
                <w:color w:val="00B050"/>
                <w:kern w:val="2"/>
                <w:sz w:val="21"/>
                <w:szCs w:val="21"/>
                <w:lang w:val="en-US" w:eastAsia="zh-CN" w:bidi="ar"/>
              </w:rPr>
              <w:t>与</w:t>
            </w:r>
            <w:r>
              <w:rPr>
                <w:rFonts w:hint="eastAsia" w:ascii="宋体" w:hAnsi="宋体" w:eastAsia="宋体" w:cs="宋体"/>
                <w:b/>
                <w:bCs/>
                <w:color w:val="00B050"/>
                <w:kern w:val="2"/>
                <w:sz w:val="21"/>
                <w:szCs w:val="21"/>
                <w:lang w:val="en-US" w:eastAsia="zh-CN" w:bidi="ar"/>
              </w:rPr>
              <w:t>《</w:t>
            </w:r>
            <w:r>
              <w:rPr>
                <w:rFonts w:hint="eastAsia" w:ascii="宋体" w:hAnsi="宋体" w:eastAsia="宋体" w:cs="宋体"/>
                <w:b/>
                <w:bCs/>
                <w:color w:val="auto"/>
                <w:kern w:val="2"/>
                <w:sz w:val="21"/>
                <w:szCs w:val="21"/>
                <w:lang w:val="en-US" w:eastAsia="zh-CN" w:bidi="ar"/>
              </w:rPr>
              <w:t>太湖流域水环境综合治理总体方案》符合性分析</w:t>
            </w:r>
          </w:p>
          <w:tbl>
            <w:tblPr>
              <w:tblStyle w:val="23"/>
              <w:tblW w:w="4998"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Layout w:type="fixed"/>
              <w:tblCellMar>
                <w:top w:w="0" w:type="dxa"/>
                <w:left w:w="108" w:type="dxa"/>
                <w:bottom w:w="0" w:type="dxa"/>
                <w:right w:w="108" w:type="dxa"/>
              </w:tblCellMar>
            </w:tblPr>
            <w:tblGrid>
              <w:gridCol w:w="712"/>
              <w:gridCol w:w="4450"/>
              <w:gridCol w:w="2141"/>
              <w:gridCol w:w="672"/>
            </w:tblGrid>
            <w:tr w14:paraId="474C6A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397" w:hRule="atLeast"/>
                <w:jc w:val="center"/>
              </w:trPr>
              <w:tc>
                <w:tcPr>
                  <w:tcW w:w="751" w:type="dxa"/>
                  <w:tcBorders>
                    <w:top w:val="single" w:color="auto" w:sz="4" w:space="0"/>
                    <w:left w:val="single" w:color="auto" w:sz="4" w:space="0"/>
                    <w:bottom w:val="single" w:color="auto" w:sz="4" w:space="0"/>
                    <w:right w:val="single" w:color="auto" w:sz="4" w:space="0"/>
                  </w:tcBorders>
                  <w:shd w:val="clear" w:color="auto" w:fill="auto"/>
                  <w:vAlign w:val="center"/>
                </w:tcPr>
                <w:p w14:paraId="5F129545">
                  <w:pPr>
                    <w:pStyle w:val="42"/>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Times New Roman" w:hAnsi="Times New Roman" w:eastAsia="宋体" w:cs="Times New Roman"/>
                      <w:b/>
                      <w:bCs/>
                      <w:color w:val="auto"/>
                      <w:kern w:val="2"/>
                      <w:sz w:val="21"/>
                      <w:szCs w:val="21"/>
                    </w:rPr>
                  </w:pPr>
                  <w:r>
                    <w:rPr>
                      <w:rFonts w:hint="eastAsia" w:ascii="宋体" w:hAnsi="宋体" w:eastAsia="宋体" w:cs="宋体"/>
                      <w:b/>
                      <w:bCs/>
                      <w:color w:val="auto"/>
                      <w:kern w:val="2"/>
                      <w:sz w:val="21"/>
                      <w:szCs w:val="21"/>
                    </w:rPr>
                    <w:t>内容</w:t>
                  </w:r>
                </w:p>
              </w:tc>
              <w:tc>
                <w:tcPr>
                  <w:tcW w:w="4693" w:type="dxa"/>
                  <w:tcBorders>
                    <w:top w:val="single" w:color="auto" w:sz="4" w:space="0"/>
                    <w:left w:val="single" w:color="auto" w:sz="4" w:space="0"/>
                    <w:bottom w:val="single" w:color="auto" w:sz="4" w:space="0"/>
                    <w:right w:val="single" w:color="auto" w:sz="4" w:space="0"/>
                  </w:tcBorders>
                  <w:shd w:val="clear" w:color="auto" w:fill="auto"/>
                  <w:vAlign w:val="center"/>
                </w:tcPr>
                <w:p w14:paraId="3AB09FB8">
                  <w:pPr>
                    <w:pStyle w:val="42"/>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Times New Roman" w:hAnsi="Times New Roman" w:eastAsia="宋体" w:cs="Times New Roman"/>
                      <w:b/>
                      <w:bCs/>
                      <w:color w:val="auto"/>
                      <w:kern w:val="2"/>
                      <w:sz w:val="21"/>
                      <w:szCs w:val="21"/>
                    </w:rPr>
                  </w:pPr>
                  <w:r>
                    <w:rPr>
                      <w:rFonts w:hint="eastAsia" w:ascii="宋体" w:hAnsi="宋体" w:eastAsia="宋体" w:cs="宋体"/>
                      <w:b/>
                      <w:bCs/>
                      <w:color w:val="auto"/>
                      <w:kern w:val="2"/>
                      <w:sz w:val="21"/>
                      <w:szCs w:val="21"/>
                    </w:rPr>
                    <w:t>要求</w:t>
                  </w:r>
                </w:p>
              </w:tc>
              <w:tc>
                <w:tcPr>
                  <w:tcW w:w="2258" w:type="dxa"/>
                  <w:tcBorders>
                    <w:top w:val="single" w:color="auto" w:sz="4" w:space="0"/>
                    <w:left w:val="single" w:color="auto" w:sz="4" w:space="0"/>
                    <w:bottom w:val="single" w:color="auto" w:sz="4" w:space="0"/>
                    <w:right w:val="single" w:color="auto" w:sz="4" w:space="0"/>
                  </w:tcBorders>
                  <w:shd w:val="clear" w:color="auto" w:fill="auto"/>
                  <w:vAlign w:val="center"/>
                </w:tcPr>
                <w:p w14:paraId="4CE60D14">
                  <w:pPr>
                    <w:pStyle w:val="42"/>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Times New Roman" w:hAnsi="Times New Roman" w:eastAsia="宋体" w:cs="Times New Roman"/>
                      <w:b/>
                      <w:bCs/>
                      <w:color w:val="auto"/>
                      <w:kern w:val="2"/>
                      <w:sz w:val="21"/>
                      <w:szCs w:val="21"/>
                    </w:rPr>
                  </w:pPr>
                  <w:r>
                    <w:rPr>
                      <w:rFonts w:hint="eastAsia" w:ascii="宋体" w:hAnsi="宋体" w:eastAsia="宋体" w:cs="宋体"/>
                      <w:b/>
                      <w:bCs/>
                      <w:color w:val="auto"/>
                      <w:kern w:val="2"/>
                      <w:sz w:val="21"/>
                      <w:szCs w:val="21"/>
                    </w:rPr>
                    <w:t>项目情况</w:t>
                  </w:r>
                </w:p>
              </w:tc>
              <w:tc>
                <w:tcPr>
                  <w:tcW w:w="709" w:type="dxa"/>
                  <w:tcBorders>
                    <w:top w:val="single" w:color="auto" w:sz="4" w:space="0"/>
                    <w:left w:val="single" w:color="auto" w:sz="4" w:space="0"/>
                    <w:bottom w:val="single" w:color="auto" w:sz="4" w:space="0"/>
                    <w:right w:val="single" w:color="auto" w:sz="4" w:space="0"/>
                  </w:tcBorders>
                  <w:shd w:val="clear" w:color="auto" w:fill="auto"/>
                  <w:vAlign w:val="center"/>
                </w:tcPr>
                <w:p w14:paraId="3A578AA5">
                  <w:pPr>
                    <w:pStyle w:val="42"/>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Times New Roman" w:hAnsi="Times New Roman" w:eastAsia="宋体" w:cs="Times New Roman"/>
                      <w:b/>
                      <w:bCs/>
                      <w:color w:val="auto"/>
                      <w:kern w:val="2"/>
                      <w:sz w:val="21"/>
                      <w:szCs w:val="21"/>
                    </w:rPr>
                  </w:pPr>
                  <w:r>
                    <w:rPr>
                      <w:rFonts w:hint="eastAsia" w:ascii="宋体" w:hAnsi="宋体" w:eastAsia="宋体" w:cs="宋体"/>
                      <w:b/>
                      <w:bCs/>
                      <w:color w:val="auto"/>
                      <w:kern w:val="2"/>
                      <w:sz w:val="21"/>
                      <w:szCs w:val="21"/>
                    </w:rPr>
                    <w:t>是否符合</w:t>
                  </w:r>
                </w:p>
              </w:tc>
            </w:tr>
            <w:tr w14:paraId="000A1E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397" w:hRule="atLeast"/>
                <w:jc w:val="center"/>
              </w:trPr>
              <w:tc>
                <w:tcPr>
                  <w:tcW w:w="751" w:type="dxa"/>
                  <w:tcBorders>
                    <w:top w:val="single" w:color="auto" w:sz="4" w:space="0"/>
                    <w:left w:val="single" w:color="auto" w:sz="4" w:space="0"/>
                    <w:bottom w:val="single" w:color="auto" w:sz="4" w:space="0"/>
                    <w:right w:val="single" w:color="auto" w:sz="4" w:space="0"/>
                  </w:tcBorders>
                  <w:shd w:val="clear" w:color="auto" w:fill="auto"/>
                  <w:vAlign w:val="center"/>
                </w:tcPr>
                <w:p w14:paraId="3FCB4EA6">
                  <w:pPr>
                    <w:pStyle w:val="42"/>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Times New Roman" w:hAnsi="Times New Roman" w:eastAsia="宋体" w:cs="Times New Roman"/>
                      <w:b w:val="0"/>
                      <w:color w:val="auto"/>
                      <w:kern w:val="2"/>
                      <w:sz w:val="21"/>
                      <w:szCs w:val="21"/>
                    </w:rPr>
                  </w:pPr>
                  <w:r>
                    <w:rPr>
                      <w:rFonts w:hint="eastAsia" w:ascii="宋体" w:hAnsi="宋体" w:eastAsia="宋体" w:cs="宋体"/>
                      <w:b w:val="0"/>
                      <w:color w:val="auto"/>
                      <w:kern w:val="2"/>
                      <w:sz w:val="21"/>
                      <w:szCs w:val="21"/>
                    </w:rPr>
                    <w:t>深化工业污染治理</w:t>
                  </w:r>
                </w:p>
              </w:tc>
              <w:tc>
                <w:tcPr>
                  <w:tcW w:w="4693" w:type="dxa"/>
                  <w:tcBorders>
                    <w:top w:val="single" w:color="auto" w:sz="4" w:space="0"/>
                    <w:left w:val="single" w:color="auto" w:sz="4" w:space="0"/>
                    <w:bottom w:val="single" w:color="auto" w:sz="4" w:space="0"/>
                    <w:right w:val="single" w:color="auto" w:sz="4" w:space="0"/>
                  </w:tcBorders>
                  <w:shd w:val="clear" w:color="auto" w:fill="auto"/>
                  <w:vAlign w:val="center"/>
                </w:tcPr>
                <w:p w14:paraId="01A8C90D">
                  <w:pPr>
                    <w:pStyle w:val="42"/>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Times New Roman" w:hAnsi="Times New Roman" w:eastAsia="宋体" w:cs="Times New Roman"/>
                      <w:b w:val="0"/>
                      <w:color w:val="auto"/>
                      <w:kern w:val="2"/>
                      <w:sz w:val="21"/>
                      <w:szCs w:val="21"/>
                    </w:rPr>
                  </w:pPr>
                  <w:r>
                    <w:rPr>
                      <w:rFonts w:hint="eastAsia" w:ascii="宋体" w:hAnsi="宋体" w:eastAsia="宋体" w:cs="宋体"/>
                      <w:b w:val="0"/>
                      <w:color w:val="auto"/>
                      <w:kern w:val="2"/>
                      <w:sz w:val="21"/>
                      <w:szCs w:val="21"/>
                    </w:rPr>
                    <w:t>督促企业依法持证排污、按证排污，严格落实总磷许可排放浓度和许可排放量要求。持续强化涉水行业污染整治，基于水生态环境质量改善需要，大力推进印染、化工、造纸、钢铁、电镀、食品（啤酒、味精）等重点行业企业废水深度处理。实施工业园区限值限量管理，全面推进工业园区污水管网排查整治和污水收集处理设施建设，加快实施管网混错接改造、管网更新、破损修复改造等，依法推动园区生产废水应纳尽纳。推进化工园区雨污分流改造和初期雨水收集处理，鼓励有条件的园区实施化工企业废水分类收集、分质处理、一企一管、明管输送、即时监测。推进企业内部工业用水循环利用、园区内企业间用水系统集成优化，推动工业废水资源化利用。积极推进清洁生产，引导工业园区、开发区尤其是耗水量大的企业新建中水回用设施和环保循环设施，推行尾水循环再生利用。开展造纸、印染等高耗水行业工业废水循环利用示范，率先在纺织印染、化工材料等工业园区探索建设</w:t>
                  </w:r>
                  <w:r>
                    <w:rPr>
                      <w:rFonts w:hint="eastAsia" w:ascii="宋体" w:hAnsi="宋体" w:eastAsia="宋体" w:cs="宋体"/>
                      <w:b w:val="0"/>
                      <w:color w:val="auto"/>
                      <w:kern w:val="2"/>
                      <w:sz w:val="21"/>
                      <w:szCs w:val="21"/>
                      <w:lang w:eastAsia="zh-CN"/>
                    </w:rPr>
                    <w:t>“</w:t>
                  </w:r>
                  <w:r>
                    <w:rPr>
                      <w:rFonts w:hint="eastAsia" w:ascii="宋体" w:hAnsi="宋体" w:eastAsia="宋体" w:cs="宋体"/>
                      <w:b w:val="0"/>
                      <w:color w:val="auto"/>
                      <w:kern w:val="2"/>
                      <w:sz w:val="21"/>
                      <w:szCs w:val="21"/>
                    </w:rPr>
                    <w:t>行水零直排区</w:t>
                  </w:r>
                  <w:r>
                    <w:rPr>
                      <w:rFonts w:hint="eastAsia" w:ascii="宋体" w:hAnsi="宋体" w:eastAsia="宋体" w:cs="宋体"/>
                      <w:b w:val="0"/>
                      <w:color w:val="auto"/>
                      <w:kern w:val="2"/>
                      <w:sz w:val="21"/>
                      <w:szCs w:val="21"/>
                      <w:lang w:eastAsia="zh-CN"/>
                    </w:rPr>
                    <w:t>”</w:t>
                  </w:r>
                  <w:r>
                    <w:rPr>
                      <w:rFonts w:hint="eastAsia" w:ascii="宋体" w:hAnsi="宋体" w:eastAsia="宋体" w:cs="宋体"/>
                      <w:b w:val="0"/>
                      <w:color w:val="auto"/>
                      <w:kern w:val="2"/>
                      <w:sz w:val="21"/>
                      <w:szCs w:val="21"/>
                    </w:rPr>
                    <w:t>，实施环境资讯依法披露、生态环境损害赔偿、环境污染责任保险等制度。</w:t>
                  </w:r>
                </w:p>
              </w:tc>
              <w:tc>
                <w:tcPr>
                  <w:tcW w:w="2258" w:type="dxa"/>
                  <w:tcBorders>
                    <w:top w:val="single" w:color="auto" w:sz="4" w:space="0"/>
                    <w:left w:val="single" w:color="auto" w:sz="4" w:space="0"/>
                    <w:bottom w:val="single" w:color="auto" w:sz="4" w:space="0"/>
                    <w:right w:val="single" w:color="auto" w:sz="4" w:space="0"/>
                  </w:tcBorders>
                  <w:shd w:val="clear" w:color="auto" w:fill="auto"/>
                  <w:vAlign w:val="center"/>
                </w:tcPr>
                <w:p w14:paraId="2BE609A1">
                  <w:pPr>
                    <w:pStyle w:val="42"/>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Times New Roman" w:hAnsi="Times New Roman" w:eastAsia="宋体" w:cs="Times New Roman"/>
                      <w:b w:val="0"/>
                      <w:color w:val="auto"/>
                      <w:kern w:val="2"/>
                      <w:sz w:val="21"/>
                      <w:szCs w:val="21"/>
                    </w:rPr>
                  </w:pPr>
                  <w:r>
                    <w:rPr>
                      <w:rFonts w:hint="eastAsia" w:ascii="宋体" w:hAnsi="宋体" w:eastAsia="宋体" w:cs="宋体"/>
                      <w:b w:val="0"/>
                      <w:color w:val="auto"/>
                      <w:kern w:val="2"/>
                      <w:sz w:val="21"/>
                      <w:szCs w:val="21"/>
                    </w:rPr>
                    <w:t>企业</w:t>
                  </w:r>
                  <w:r>
                    <w:rPr>
                      <w:rFonts w:hint="eastAsia" w:ascii="宋体" w:hAnsi="宋体" w:eastAsia="宋体" w:cs="宋体"/>
                      <w:b w:val="0"/>
                      <w:color w:val="auto"/>
                      <w:kern w:val="2"/>
                      <w:sz w:val="21"/>
                      <w:szCs w:val="21"/>
                      <w:lang w:val="en-US" w:eastAsia="zh-CN"/>
                    </w:rPr>
                    <w:t>现有</w:t>
                  </w:r>
                  <w:r>
                    <w:rPr>
                      <w:rFonts w:hint="eastAsia" w:ascii="宋体" w:hAnsi="宋体" w:eastAsia="宋体" w:cs="宋体"/>
                      <w:b w:val="0"/>
                      <w:color w:val="auto"/>
                      <w:kern w:val="2"/>
                      <w:sz w:val="21"/>
                      <w:szCs w:val="21"/>
                    </w:rPr>
                    <w:t>项目已</w:t>
                  </w:r>
                  <w:r>
                    <w:rPr>
                      <w:rFonts w:hint="eastAsia" w:ascii="宋体" w:hAnsi="宋体" w:eastAsia="宋体" w:cs="宋体"/>
                      <w:b w:val="0"/>
                      <w:color w:val="auto"/>
                      <w:kern w:val="2"/>
                      <w:sz w:val="21"/>
                      <w:szCs w:val="21"/>
                      <w:lang w:val="en-US" w:eastAsia="zh-CN"/>
                    </w:rPr>
                    <w:t>申领</w:t>
                  </w:r>
                  <w:r>
                    <w:rPr>
                      <w:rFonts w:hint="eastAsia" w:ascii="宋体" w:hAnsi="宋体" w:eastAsia="宋体" w:cs="宋体"/>
                      <w:b w:val="0"/>
                      <w:color w:val="auto"/>
                      <w:kern w:val="2"/>
                      <w:sz w:val="21"/>
                      <w:szCs w:val="21"/>
                    </w:rPr>
                    <w:t>排污</w:t>
                  </w:r>
                  <w:r>
                    <w:rPr>
                      <w:rFonts w:hint="eastAsia" w:ascii="宋体" w:hAnsi="宋体" w:eastAsia="宋体" w:cs="宋体"/>
                      <w:b w:val="0"/>
                      <w:color w:val="auto"/>
                      <w:kern w:val="2"/>
                      <w:sz w:val="21"/>
                      <w:szCs w:val="21"/>
                      <w:lang w:val="en-US" w:eastAsia="zh-CN"/>
                    </w:rPr>
                    <w:t>许可证</w:t>
                  </w:r>
                  <w:r>
                    <w:rPr>
                      <w:rFonts w:hint="eastAsia" w:ascii="宋体" w:hAnsi="宋体" w:eastAsia="宋体" w:cs="宋体"/>
                      <w:b w:val="0"/>
                      <w:color w:val="auto"/>
                      <w:kern w:val="2"/>
                      <w:sz w:val="21"/>
                      <w:szCs w:val="21"/>
                    </w:rPr>
                    <w:t>，</w:t>
                  </w:r>
                  <w:r>
                    <w:rPr>
                      <w:rFonts w:hint="eastAsia" w:ascii="宋体" w:hAnsi="宋体" w:eastAsia="宋体" w:cs="宋体"/>
                      <w:b w:val="0"/>
                      <w:color w:val="auto"/>
                      <w:kern w:val="2"/>
                      <w:sz w:val="21"/>
                      <w:szCs w:val="21"/>
                      <w:lang w:val="en-US" w:eastAsia="zh-CN"/>
                    </w:rPr>
                    <w:t>扩建</w:t>
                  </w:r>
                  <w:r>
                    <w:rPr>
                      <w:rFonts w:hint="eastAsia" w:ascii="宋体" w:hAnsi="宋体" w:eastAsia="宋体" w:cs="宋体"/>
                      <w:b w:val="0"/>
                      <w:color w:val="auto"/>
                      <w:kern w:val="2"/>
                      <w:sz w:val="21"/>
                      <w:szCs w:val="21"/>
                    </w:rPr>
                    <w:t>后按要求及时完成排污</w:t>
                  </w:r>
                  <w:r>
                    <w:rPr>
                      <w:rFonts w:hint="eastAsia" w:ascii="宋体" w:hAnsi="宋体" w:eastAsia="宋体" w:cs="宋体"/>
                      <w:b w:val="0"/>
                      <w:color w:val="auto"/>
                      <w:kern w:val="2"/>
                      <w:sz w:val="21"/>
                      <w:szCs w:val="21"/>
                      <w:lang w:val="en-US" w:eastAsia="zh-CN"/>
                    </w:rPr>
                    <w:t>许可证</w:t>
                  </w:r>
                  <w:r>
                    <w:rPr>
                      <w:rFonts w:hint="eastAsia" w:ascii="宋体" w:hAnsi="宋体" w:eastAsia="宋体" w:cs="宋体"/>
                      <w:b w:val="0"/>
                      <w:color w:val="auto"/>
                      <w:kern w:val="2"/>
                      <w:sz w:val="21"/>
                      <w:szCs w:val="21"/>
                    </w:rPr>
                    <w:t>变更。本项目行业类别为</w:t>
                  </w:r>
                  <w:r>
                    <w:rPr>
                      <w:rFonts w:hint="default" w:ascii="Times New Roman" w:hAnsi="Times New Roman" w:eastAsia="宋体" w:cs="Times New Roman"/>
                      <w:b w:val="0"/>
                      <w:color w:val="auto"/>
                      <w:kern w:val="2"/>
                      <w:sz w:val="21"/>
                      <w:szCs w:val="21"/>
                    </w:rPr>
                    <w:t>C3670汽车零部件及配件制造、C2929塑料零件及其他塑料制品制造、C3034隔热和隔音材料制造</w:t>
                  </w:r>
                  <w:r>
                    <w:rPr>
                      <w:rFonts w:hint="eastAsia" w:ascii="宋体" w:hAnsi="宋体" w:eastAsia="宋体" w:cs="宋体"/>
                      <w:b w:val="0"/>
                      <w:color w:val="auto"/>
                      <w:kern w:val="2"/>
                      <w:sz w:val="21"/>
                      <w:szCs w:val="21"/>
                    </w:rPr>
                    <w:t>，不属于此要求中的重点行业。出租方厂区已实行雨污分流。企业严格执行清洁生产，本项目不属于耗水量大的行业。</w:t>
                  </w:r>
                </w:p>
              </w:tc>
              <w:tc>
                <w:tcPr>
                  <w:tcW w:w="709" w:type="dxa"/>
                  <w:tcBorders>
                    <w:top w:val="single" w:color="auto" w:sz="4" w:space="0"/>
                    <w:left w:val="single" w:color="auto" w:sz="4" w:space="0"/>
                    <w:bottom w:val="single" w:color="auto" w:sz="4" w:space="0"/>
                    <w:right w:val="single" w:color="auto" w:sz="4" w:space="0"/>
                  </w:tcBorders>
                  <w:shd w:val="clear" w:color="auto" w:fill="auto"/>
                  <w:vAlign w:val="center"/>
                </w:tcPr>
                <w:p w14:paraId="201026F7">
                  <w:pPr>
                    <w:pStyle w:val="42"/>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Times New Roman" w:hAnsi="Times New Roman" w:eastAsia="宋体" w:cs="Times New Roman"/>
                      <w:b w:val="0"/>
                      <w:color w:val="auto"/>
                      <w:kern w:val="2"/>
                      <w:sz w:val="21"/>
                      <w:szCs w:val="21"/>
                    </w:rPr>
                  </w:pPr>
                  <w:r>
                    <w:rPr>
                      <w:rFonts w:hint="eastAsia" w:ascii="宋体" w:hAnsi="宋体" w:eastAsia="宋体" w:cs="宋体"/>
                      <w:b w:val="0"/>
                      <w:color w:val="auto"/>
                      <w:kern w:val="2"/>
                      <w:sz w:val="21"/>
                      <w:szCs w:val="21"/>
                    </w:rPr>
                    <w:t>符合</w:t>
                  </w:r>
                </w:p>
              </w:tc>
            </w:tr>
            <w:tr w14:paraId="3F9C1E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397" w:hRule="atLeast"/>
                <w:jc w:val="center"/>
              </w:trPr>
              <w:tc>
                <w:tcPr>
                  <w:tcW w:w="751" w:type="dxa"/>
                  <w:tcBorders>
                    <w:top w:val="single" w:color="auto" w:sz="4" w:space="0"/>
                    <w:left w:val="single" w:color="auto" w:sz="4" w:space="0"/>
                    <w:bottom w:val="single" w:color="auto" w:sz="4" w:space="0"/>
                    <w:right w:val="single" w:color="auto" w:sz="4" w:space="0"/>
                  </w:tcBorders>
                  <w:shd w:val="clear" w:color="auto" w:fill="auto"/>
                  <w:vAlign w:val="center"/>
                </w:tcPr>
                <w:p w14:paraId="507D155C">
                  <w:pPr>
                    <w:pStyle w:val="42"/>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Times New Roman" w:hAnsi="Times New Roman" w:eastAsia="宋体" w:cs="Times New Roman"/>
                      <w:b w:val="0"/>
                      <w:color w:val="auto"/>
                      <w:kern w:val="2"/>
                      <w:sz w:val="21"/>
                      <w:szCs w:val="21"/>
                    </w:rPr>
                  </w:pPr>
                  <w:r>
                    <w:rPr>
                      <w:rFonts w:hint="eastAsia" w:ascii="宋体" w:hAnsi="宋体" w:eastAsia="宋体" w:cs="宋体"/>
                      <w:b w:val="0"/>
                      <w:color w:val="auto"/>
                      <w:kern w:val="2"/>
                      <w:sz w:val="21"/>
                      <w:szCs w:val="21"/>
                    </w:rPr>
                    <w:t>引导产业合理布局</w:t>
                  </w:r>
                </w:p>
              </w:tc>
              <w:tc>
                <w:tcPr>
                  <w:tcW w:w="4693" w:type="dxa"/>
                  <w:tcBorders>
                    <w:top w:val="single" w:color="auto" w:sz="4" w:space="0"/>
                    <w:left w:val="single" w:color="auto" w:sz="4" w:space="0"/>
                    <w:bottom w:val="single" w:color="auto" w:sz="4" w:space="0"/>
                    <w:right w:val="single" w:color="auto" w:sz="4" w:space="0"/>
                  </w:tcBorders>
                  <w:shd w:val="clear" w:color="auto" w:fill="auto"/>
                  <w:vAlign w:val="center"/>
                </w:tcPr>
                <w:p w14:paraId="454E0D0F">
                  <w:pPr>
                    <w:pStyle w:val="42"/>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Times New Roman" w:hAnsi="Times New Roman" w:eastAsia="宋体" w:cs="Times New Roman"/>
                      <w:b w:val="0"/>
                      <w:color w:val="auto"/>
                      <w:kern w:val="2"/>
                      <w:sz w:val="21"/>
                      <w:szCs w:val="21"/>
                    </w:rPr>
                  </w:pPr>
                  <w:r>
                    <w:rPr>
                      <w:rFonts w:hint="eastAsia" w:ascii="宋体" w:hAnsi="宋体" w:eastAsia="宋体" w:cs="宋体"/>
                      <w:b w:val="0"/>
                      <w:color w:val="auto"/>
                      <w:kern w:val="2"/>
                      <w:sz w:val="21"/>
                      <w:szCs w:val="21"/>
                    </w:rPr>
                    <w:t>严禁落地国家和本地产业结构调整目录明确的限制类、淘汰类工艺、装备、产品与项目，依法推动污染企业退出。继续推进城市建成区内造纸、印染、化工等污染较重企业有序搬迁改造或依法关闭，推动环太湖生态环境敏感区内不符合产业发展政策、存在重大安全隐患且不具备整治条件的企业依法关闭或搬迁至合规工业园。推进太湖流域等重要饮用水水源地</w:t>
                  </w:r>
                  <w:r>
                    <w:rPr>
                      <w:rFonts w:hint="default" w:ascii="Times New Roman" w:hAnsi="Times New Roman" w:eastAsia="宋体" w:cs="Times New Roman"/>
                      <w:b w:val="0"/>
                      <w:color w:val="auto"/>
                      <w:kern w:val="2"/>
                      <w:sz w:val="21"/>
                      <w:szCs w:val="21"/>
                    </w:rPr>
                    <w:t>300</w:t>
                  </w:r>
                  <w:r>
                    <w:rPr>
                      <w:rFonts w:hint="eastAsia" w:ascii="宋体" w:hAnsi="宋体" w:eastAsia="宋体" w:cs="宋体"/>
                      <w:b w:val="0"/>
                      <w:color w:val="auto"/>
                      <w:kern w:val="2"/>
                      <w:sz w:val="21"/>
                      <w:szCs w:val="21"/>
                    </w:rPr>
                    <w:t>米范围内重点排污企业逐步退出。除战略性新兴产业项目外，太湖流域原则上不再审批其他生产性新增氮磷污染物的工业类建设项目。环太湖地区重点布局总部经济、研发设计、高端制造、销售等产业链环节，大力发展创新经济、服务经济、绿色经济，打造具有全球竞争力的产业创新高地。全面拓展沿太湖科技研发创新带，高水平规划建设太湖科学城、</w:t>
                  </w:r>
                  <w:r>
                    <w:rPr>
                      <w:rFonts w:hint="eastAsia" w:ascii="宋体" w:hAnsi="宋体" w:eastAsia="宋体" w:cs="宋体"/>
                      <w:b w:val="0"/>
                      <w:color w:val="auto"/>
                      <w:kern w:val="2"/>
                      <w:sz w:val="21"/>
                      <w:szCs w:val="21"/>
                      <w:lang w:eastAsia="zh-CN"/>
                    </w:rPr>
                    <w:t>“</w:t>
                  </w:r>
                  <w:r>
                    <w:rPr>
                      <w:rFonts w:hint="eastAsia" w:ascii="宋体" w:hAnsi="宋体" w:eastAsia="宋体" w:cs="宋体"/>
                      <w:b w:val="0"/>
                      <w:color w:val="auto"/>
                      <w:kern w:val="2"/>
                      <w:sz w:val="21"/>
                      <w:szCs w:val="21"/>
                    </w:rPr>
                    <w:t>两湖</w:t>
                  </w:r>
                  <w:r>
                    <w:rPr>
                      <w:rFonts w:hint="eastAsia" w:ascii="宋体" w:hAnsi="宋体" w:eastAsia="宋体" w:cs="宋体"/>
                      <w:b w:val="0"/>
                      <w:color w:val="auto"/>
                      <w:kern w:val="2"/>
                      <w:sz w:val="21"/>
                      <w:szCs w:val="21"/>
                      <w:lang w:eastAsia="zh-CN"/>
                    </w:rPr>
                    <w:t>”</w:t>
                  </w:r>
                  <w:r>
                    <w:rPr>
                      <w:rFonts w:hint="eastAsia" w:ascii="宋体" w:hAnsi="宋体" w:eastAsia="宋体" w:cs="宋体"/>
                      <w:b w:val="0"/>
                      <w:color w:val="auto"/>
                      <w:kern w:val="2"/>
                      <w:sz w:val="21"/>
                      <w:szCs w:val="21"/>
                    </w:rPr>
                    <w:t>创新区。引进产业应符合</w:t>
                  </w:r>
                  <w:r>
                    <w:rPr>
                      <w:rFonts w:hint="eastAsia" w:ascii="宋体" w:hAnsi="宋体" w:eastAsia="宋体" w:cs="宋体"/>
                      <w:b w:val="0"/>
                      <w:color w:val="auto"/>
                      <w:kern w:val="2"/>
                      <w:sz w:val="21"/>
                      <w:szCs w:val="21"/>
                      <w:lang w:eastAsia="zh-CN"/>
                    </w:rPr>
                    <w:t>“</w:t>
                  </w:r>
                  <w:r>
                    <w:rPr>
                      <w:rFonts w:hint="eastAsia" w:ascii="宋体" w:hAnsi="宋体" w:eastAsia="宋体" w:cs="宋体"/>
                      <w:b w:val="0"/>
                      <w:color w:val="auto"/>
                      <w:kern w:val="2"/>
                      <w:sz w:val="21"/>
                      <w:szCs w:val="21"/>
                    </w:rPr>
                    <w:t>三线一单</w:t>
                  </w:r>
                  <w:r>
                    <w:rPr>
                      <w:rFonts w:hint="eastAsia" w:ascii="宋体" w:hAnsi="宋体" w:eastAsia="宋体" w:cs="宋体"/>
                      <w:b w:val="0"/>
                      <w:color w:val="auto"/>
                      <w:kern w:val="2"/>
                      <w:sz w:val="21"/>
                      <w:szCs w:val="21"/>
                      <w:lang w:eastAsia="zh-CN"/>
                    </w:rPr>
                    <w:t>”</w:t>
                  </w:r>
                  <w:r>
                    <w:rPr>
                      <w:rFonts w:hint="eastAsia" w:ascii="宋体" w:hAnsi="宋体" w:eastAsia="宋体" w:cs="宋体"/>
                      <w:b w:val="0"/>
                      <w:color w:val="auto"/>
                      <w:kern w:val="2"/>
                      <w:sz w:val="21"/>
                      <w:szCs w:val="21"/>
                    </w:rPr>
                    <w:t>管控要求、相关规划和环境影响评价要求，符合区域主导生态功能，鼓励工业企业项目采用国际国内行业先进的生产工艺与装备，提高污染物排放控制水平。</w:t>
                  </w:r>
                </w:p>
              </w:tc>
              <w:tc>
                <w:tcPr>
                  <w:tcW w:w="2258" w:type="dxa"/>
                  <w:tcBorders>
                    <w:top w:val="single" w:color="auto" w:sz="4" w:space="0"/>
                    <w:left w:val="single" w:color="auto" w:sz="4" w:space="0"/>
                    <w:bottom w:val="single" w:color="auto" w:sz="4" w:space="0"/>
                    <w:right w:val="single" w:color="auto" w:sz="4" w:space="0"/>
                  </w:tcBorders>
                  <w:shd w:val="clear" w:color="auto" w:fill="auto"/>
                  <w:vAlign w:val="center"/>
                </w:tcPr>
                <w:p w14:paraId="5DD8F9D9">
                  <w:pPr>
                    <w:pStyle w:val="42"/>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Times New Roman" w:hAnsi="Times New Roman" w:eastAsia="宋体" w:cs="Times New Roman"/>
                      <w:b w:val="0"/>
                      <w:color w:val="auto"/>
                      <w:kern w:val="2"/>
                      <w:sz w:val="21"/>
                      <w:szCs w:val="21"/>
                    </w:rPr>
                  </w:pPr>
                  <w:r>
                    <w:rPr>
                      <w:rFonts w:hint="eastAsia" w:ascii="宋体" w:hAnsi="宋体" w:eastAsia="宋体" w:cs="宋体"/>
                      <w:b w:val="0"/>
                      <w:color w:val="auto"/>
                      <w:kern w:val="2"/>
                      <w:sz w:val="21"/>
                      <w:szCs w:val="21"/>
                    </w:rPr>
                    <w:t>本项目生产废水不排放，仅排放生活污水，不新增生产性氮磷。生活污水经</w:t>
                  </w:r>
                  <w:r>
                    <w:rPr>
                      <w:rFonts w:hint="eastAsia" w:ascii="宋体" w:hAnsi="宋体" w:eastAsia="宋体" w:cs="宋体"/>
                      <w:b w:val="0"/>
                      <w:color w:val="auto"/>
                      <w:kern w:val="2"/>
                      <w:sz w:val="21"/>
                      <w:szCs w:val="21"/>
                      <w:lang w:val="en-US" w:eastAsia="zh-CN"/>
                    </w:rPr>
                    <w:t>出租方</w:t>
                  </w:r>
                  <w:r>
                    <w:rPr>
                      <w:rFonts w:hint="eastAsia" w:ascii="宋体" w:hAnsi="宋体" w:eastAsia="宋体" w:cs="宋体"/>
                      <w:b w:val="0"/>
                      <w:color w:val="auto"/>
                      <w:kern w:val="2"/>
                      <w:sz w:val="21"/>
                      <w:szCs w:val="21"/>
                    </w:rPr>
                    <w:t>化粪池处理后排入周边市政污水管网，由市政污水管网纳入安吉清源污水处理有限公司处理</w:t>
                  </w:r>
                  <w:r>
                    <w:rPr>
                      <w:rFonts w:hint="eastAsia" w:ascii="宋体" w:hAnsi="宋体" w:eastAsia="宋体" w:cs="宋体"/>
                      <w:b w:val="0"/>
                      <w:color w:val="auto"/>
                      <w:kern w:val="2"/>
                      <w:sz w:val="21"/>
                      <w:szCs w:val="21"/>
                      <w:lang w:eastAsia="zh-CN"/>
                    </w:rPr>
                    <w:t>；间接</w:t>
                  </w:r>
                  <w:r>
                    <w:rPr>
                      <w:rFonts w:hint="eastAsia" w:ascii="宋体" w:hAnsi="宋体" w:eastAsia="宋体" w:cs="宋体"/>
                      <w:b w:val="0"/>
                      <w:color w:val="auto"/>
                      <w:kern w:val="2"/>
                      <w:sz w:val="21"/>
                      <w:szCs w:val="21"/>
                      <w:lang w:val="en-US" w:eastAsia="zh-CN"/>
                    </w:rPr>
                    <w:t>冷却水循环使用不排放，只需定期补充新鲜水；喷淋废水当循环到一定程度后定期更换，更换后的喷淋废水作为危废处置。</w:t>
                  </w:r>
                  <w:r>
                    <w:rPr>
                      <w:rFonts w:hint="eastAsia" w:ascii="宋体" w:hAnsi="宋体" w:eastAsia="宋体" w:cs="宋体"/>
                      <w:b w:val="0"/>
                      <w:color w:val="auto"/>
                      <w:kern w:val="2"/>
                      <w:sz w:val="21"/>
                      <w:szCs w:val="21"/>
                    </w:rPr>
                    <w:t>本项目符合</w:t>
                  </w:r>
                  <w:r>
                    <w:rPr>
                      <w:rFonts w:hint="eastAsia" w:ascii="宋体" w:hAnsi="宋体" w:eastAsia="宋体" w:cs="宋体"/>
                      <w:b w:val="0"/>
                      <w:color w:val="auto"/>
                      <w:kern w:val="2"/>
                      <w:sz w:val="21"/>
                      <w:szCs w:val="21"/>
                      <w:lang w:eastAsia="zh-CN"/>
                    </w:rPr>
                    <w:t>“</w:t>
                  </w:r>
                  <w:r>
                    <w:rPr>
                      <w:rFonts w:hint="eastAsia" w:ascii="宋体" w:hAnsi="宋体" w:eastAsia="宋体" w:cs="宋体"/>
                      <w:b w:val="0"/>
                      <w:color w:val="auto"/>
                      <w:kern w:val="2"/>
                      <w:sz w:val="21"/>
                      <w:szCs w:val="21"/>
                    </w:rPr>
                    <w:t>生态环境分区管控</w:t>
                  </w:r>
                  <w:r>
                    <w:rPr>
                      <w:rFonts w:hint="eastAsia" w:ascii="宋体" w:hAnsi="宋体" w:eastAsia="宋体" w:cs="宋体"/>
                      <w:b w:val="0"/>
                      <w:color w:val="auto"/>
                      <w:kern w:val="2"/>
                      <w:sz w:val="21"/>
                      <w:szCs w:val="21"/>
                      <w:lang w:eastAsia="zh-CN"/>
                    </w:rPr>
                    <w:t>”</w:t>
                  </w:r>
                  <w:r>
                    <w:rPr>
                      <w:rFonts w:hint="eastAsia" w:ascii="宋体" w:hAnsi="宋体" w:eastAsia="宋体" w:cs="宋体"/>
                      <w:b w:val="0"/>
                      <w:color w:val="auto"/>
                      <w:kern w:val="2"/>
                      <w:sz w:val="21"/>
                      <w:szCs w:val="21"/>
                    </w:rPr>
                    <w:t>管控要求、相关规划和环境影响评价要求，符合区域主导生态功能，项目采用行业先进的生产工艺与装备。</w:t>
                  </w:r>
                </w:p>
              </w:tc>
              <w:tc>
                <w:tcPr>
                  <w:tcW w:w="709" w:type="dxa"/>
                  <w:tcBorders>
                    <w:top w:val="single" w:color="auto" w:sz="4" w:space="0"/>
                    <w:left w:val="single" w:color="auto" w:sz="4" w:space="0"/>
                    <w:bottom w:val="single" w:color="auto" w:sz="4" w:space="0"/>
                    <w:right w:val="single" w:color="auto" w:sz="4" w:space="0"/>
                  </w:tcBorders>
                  <w:shd w:val="clear" w:color="auto" w:fill="auto"/>
                  <w:vAlign w:val="center"/>
                </w:tcPr>
                <w:p w14:paraId="59AEB3CD">
                  <w:pPr>
                    <w:pStyle w:val="42"/>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Times New Roman" w:hAnsi="Times New Roman" w:eastAsia="宋体" w:cs="Times New Roman"/>
                      <w:b w:val="0"/>
                      <w:color w:val="auto"/>
                      <w:kern w:val="2"/>
                      <w:sz w:val="21"/>
                      <w:szCs w:val="21"/>
                    </w:rPr>
                  </w:pPr>
                  <w:r>
                    <w:rPr>
                      <w:rFonts w:hint="eastAsia" w:ascii="宋体" w:hAnsi="宋体" w:eastAsia="宋体" w:cs="宋体"/>
                      <w:b w:val="0"/>
                      <w:color w:val="auto"/>
                      <w:kern w:val="2"/>
                      <w:sz w:val="21"/>
                      <w:szCs w:val="21"/>
                    </w:rPr>
                    <w:t>符合</w:t>
                  </w:r>
                </w:p>
              </w:tc>
            </w:tr>
            <w:tr w14:paraId="2246DB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397" w:hRule="atLeast"/>
                <w:jc w:val="center"/>
              </w:trPr>
              <w:tc>
                <w:tcPr>
                  <w:tcW w:w="751" w:type="dxa"/>
                  <w:tcBorders>
                    <w:top w:val="single" w:color="auto" w:sz="4" w:space="0"/>
                    <w:left w:val="single" w:color="auto" w:sz="4" w:space="0"/>
                    <w:bottom w:val="single" w:color="auto" w:sz="4" w:space="0"/>
                    <w:right w:val="single" w:color="auto" w:sz="4" w:space="0"/>
                  </w:tcBorders>
                  <w:shd w:val="clear" w:color="auto" w:fill="auto"/>
                  <w:vAlign w:val="center"/>
                </w:tcPr>
                <w:p w14:paraId="39976AC4">
                  <w:pPr>
                    <w:pStyle w:val="42"/>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textAlignment w:val="auto"/>
                    <w:rPr>
                      <w:rFonts w:hint="default" w:ascii="Times New Roman" w:hAnsi="Times New Roman" w:eastAsia="宋体" w:cs="Times New Roman"/>
                      <w:b w:val="0"/>
                      <w:color w:val="auto"/>
                      <w:kern w:val="2"/>
                      <w:sz w:val="20"/>
                      <w:szCs w:val="20"/>
                    </w:rPr>
                  </w:pPr>
                  <w:r>
                    <w:rPr>
                      <w:rFonts w:hint="eastAsia" w:ascii="宋体" w:hAnsi="宋体" w:eastAsia="宋体" w:cs="宋体"/>
                      <w:b w:val="0"/>
                      <w:color w:val="auto"/>
                      <w:kern w:val="2"/>
                      <w:sz w:val="21"/>
                      <w:szCs w:val="21"/>
                    </w:rPr>
                    <w:t>推动流域高质量发展</w:t>
                  </w:r>
                </w:p>
              </w:tc>
              <w:tc>
                <w:tcPr>
                  <w:tcW w:w="4693" w:type="dxa"/>
                  <w:tcBorders>
                    <w:top w:val="single" w:color="auto" w:sz="4" w:space="0"/>
                    <w:left w:val="single" w:color="auto" w:sz="4" w:space="0"/>
                    <w:bottom w:val="single" w:color="auto" w:sz="4" w:space="0"/>
                    <w:right w:val="single" w:color="auto" w:sz="4" w:space="0"/>
                  </w:tcBorders>
                  <w:shd w:val="clear" w:color="auto" w:fill="auto"/>
                  <w:vAlign w:val="center"/>
                </w:tcPr>
                <w:p w14:paraId="4E7A09B4">
                  <w:pPr>
                    <w:pStyle w:val="42"/>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jc w:val="both"/>
                    <w:textAlignment w:val="auto"/>
                    <w:rPr>
                      <w:rFonts w:hint="default" w:ascii="Times New Roman" w:hAnsi="Times New Roman" w:eastAsia="宋体" w:cs="Times New Roman"/>
                      <w:b w:val="0"/>
                      <w:color w:val="auto"/>
                      <w:kern w:val="2"/>
                      <w:sz w:val="21"/>
                      <w:szCs w:val="21"/>
                    </w:rPr>
                  </w:pPr>
                  <w:r>
                    <w:rPr>
                      <w:rFonts w:hint="eastAsia" w:ascii="宋体" w:hAnsi="宋体" w:eastAsia="宋体" w:cs="宋体"/>
                      <w:b w:val="0"/>
                      <w:color w:val="auto"/>
                      <w:kern w:val="2"/>
                      <w:sz w:val="21"/>
                      <w:szCs w:val="21"/>
                    </w:rPr>
                    <w:t>严禁落地国家和本地产业结构调整目录明确的限制类、淘汰类工艺、装备、产品与项目，依法推动污染企业退出。继续推进城市建成区内造纸、印染、化工等污染较重企业有序搬迁改造或依法关闭，推动环太湖生态环境敏感区内不符合产业发展政策、存在重大安全隐患且不具备整治条件的企业依法关闭或搬迁至合规工业园。推进太湖流域等重要饮用水水源地</w:t>
                  </w:r>
                  <w:r>
                    <w:rPr>
                      <w:rFonts w:hint="default" w:ascii="Times New Roman" w:hAnsi="Times New Roman" w:eastAsia="宋体" w:cs="Times New Roman"/>
                      <w:b w:val="0"/>
                      <w:color w:val="auto"/>
                      <w:kern w:val="2"/>
                      <w:sz w:val="21"/>
                      <w:szCs w:val="21"/>
                    </w:rPr>
                    <w:t>300</w:t>
                  </w:r>
                  <w:r>
                    <w:rPr>
                      <w:rFonts w:hint="eastAsia" w:ascii="宋体" w:hAnsi="宋体" w:eastAsia="宋体" w:cs="宋体"/>
                      <w:b w:val="0"/>
                      <w:color w:val="auto"/>
                      <w:kern w:val="2"/>
                      <w:sz w:val="21"/>
                      <w:szCs w:val="21"/>
                    </w:rPr>
                    <w:t>米范围内重点排污企业逐步退出。除战略性新兴产业项目外，太湖流域原则上不再审批其他生产性新增氮磷污染物的工业类建设项目。</w:t>
                  </w:r>
                </w:p>
              </w:tc>
              <w:tc>
                <w:tcPr>
                  <w:tcW w:w="2258" w:type="dxa"/>
                  <w:tcBorders>
                    <w:top w:val="single" w:color="auto" w:sz="4" w:space="0"/>
                    <w:left w:val="single" w:color="auto" w:sz="4" w:space="0"/>
                    <w:bottom w:val="single" w:color="auto" w:sz="4" w:space="0"/>
                    <w:right w:val="single" w:color="auto" w:sz="4" w:space="0"/>
                  </w:tcBorders>
                  <w:shd w:val="clear" w:color="auto" w:fill="auto"/>
                  <w:vAlign w:val="center"/>
                </w:tcPr>
                <w:p w14:paraId="255415EC">
                  <w:pPr>
                    <w:pStyle w:val="42"/>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textAlignment w:val="auto"/>
                    <w:rPr>
                      <w:rFonts w:hint="default" w:ascii="Times New Roman" w:hAnsi="Times New Roman" w:eastAsia="宋体" w:cs="Times New Roman"/>
                      <w:b w:val="0"/>
                      <w:color w:val="auto"/>
                      <w:kern w:val="2"/>
                      <w:sz w:val="21"/>
                      <w:szCs w:val="21"/>
                    </w:rPr>
                  </w:pPr>
                  <w:r>
                    <w:rPr>
                      <w:rFonts w:hint="eastAsia" w:ascii="宋体" w:hAnsi="宋体" w:eastAsia="宋体" w:cs="宋体"/>
                      <w:b w:val="0"/>
                      <w:color w:val="auto"/>
                      <w:kern w:val="2"/>
                      <w:sz w:val="21"/>
                      <w:szCs w:val="21"/>
                    </w:rPr>
                    <w:t>本项目生产废水不排放，仅排放生活污水，不新增生产性氮磷。生活污水经</w:t>
                  </w:r>
                  <w:r>
                    <w:rPr>
                      <w:rFonts w:hint="eastAsia" w:ascii="宋体" w:hAnsi="宋体" w:eastAsia="宋体" w:cs="宋体"/>
                      <w:b w:val="0"/>
                      <w:color w:val="auto"/>
                      <w:kern w:val="2"/>
                      <w:sz w:val="21"/>
                      <w:szCs w:val="21"/>
                      <w:lang w:val="en-US" w:eastAsia="zh-CN"/>
                    </w:rPr>
                    <w:t>出租方</w:t>
                  </w:r>
                  <w:r>
                    <w:rPr>
                      <w:rFonts w:hint="eastAsia" w:ascii="宋体" w:hAnsi="宋体" w:eastAsia="宋体" w:cs="宋体"/>
                      <w:b w:val="0"/>
                      <w:color w:val="auto"/>
                      <w:kern w:val="2"/>
                      <w:sz w:val="21"/>
                      <w:szCs w:val="21"/>
                    </w:rPr>
                    <w:t>化粪池处理后排入周边市政污水管网，由市政污水管网纳入安吉清源污水处理有限公司处理</w:t>
                  </w:r>
                  <w:r>
                    <w:rPr>
                      <w:rFonts w:hint="eastAsia" w:ascii="宋体" w:hAnsi="宋体" w:eastAsia="宋体" w:cs="宋体"/>
                      <w:b w:val="0"/>
                      <w:color w:val="auto"/>
                      <w:kern w:val="2"/>
                      <w:sz w:val="21"/>
                      <w:szCs w:val="21"/>
                      <w:lang w:eastAsia="zh-CN"/>
                    </w:rPr>
                    <w:t>；间接</w:t>
                  </w:r>
                  <w:r>
                    <w:rPr>
                      <w:rFonts w:hint="eastAsia" w:ascii="宋体" w:hAnsi="宋体" w:eastAsia="宋体" w:cs="宋体"/>
                      <w:b w:val="0"/>
                      <w:color w:val="auto"/>
                      <w:kern w:val="2"/>
                      <w:sz w:val="21"/>
                      <w:szCs w:val="21"/>
                      <w:lang w:val="en-US" w:eastAsia="zh-CN"/>
                    </w:rPr>
                    <w:t>冷却水循环使用不排放，只需定期补充新鲜水；喷淋废水当循环到一定程度后定期更换，更换后的喷淋废水作为危废处置。</w:t>
                  </w:r>
                </w:p>
              </w:tc>
              <w:tc>
                <w:tcPr>
                  <w:tcW w:w="709" w:type="dxa"/>
                  <w:tcBorders>
                    <w:top w:val="single" w:color="auto" w:sz="4" w:space="0"/>
                    <w:left w:val="single" w:color="auto" w:sz="4" w:space="0"/>
                    <w:bottom w:val="single" w:color="auto" w:sz="4" w:space="0"/>
                    <w:right w:val="single" w:color="auto" w:sz="4" w:space="0"/>
                  </w:tcBorders>
                  <w:shd w:val="clear" w:color="auto" w:fill="auto"/>
                  <w:vAlign w:val="center"/>
                </w:tcPr>
                <w:p w14:paraId="5250CA44">
                  <w:pPr>
                    <w:pStyle w:val="42"/>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textAlignment w:val="auto"/>
                    <w:rPr>
                      <w:rFonts w:hint="default" w:ascii="Times New Roman" w:hAnsi="Times New Roman" w:eastAsia="宋体" w:cs="Times New Roman"/>
                      <w:b w:val="0"/>
                      <w:color w:val="auto"/>
                      <w:kern w:val="2"/>
                      <w:sz w:val="21"/>
                      <w:szCs w:val="21"/>
                    </w:rPr>
                  </w:pPr>
                  <w:r>
                    <w:rPr>
                      <w:rFonts w:hint="eastAsia" w:ascii="宋体" w:hAnsi="宋体" w:eastAsia="宋体" w:cs="宋体"/>
                      <w:b w:val="0"/>
                      <w:color w:val="auto"/>
                      <w:kern w:val="2"/>
                      <w:sz w:val="21"/>
                      <w:szCs w:val="21"/>
                    </w:rPr>
                    <w:t>符合</w:t>
                  </w:r>
                </w:p>
              </w:tc>
            </w:tr>
          </w:tbl>
          <w:p w14:paraId="3B502C37">
            <w:pPr>
              <w:keepNext w:val="0"/>
              <w:keepLines w:val="0"/>
              <w:suppressLineNumbers w:val="0"/>
              <w:spacing w:before="0" w:beforeAutospacing="0" w:after="0" w:afterAutospacing="0" w:line="360" w:lineRule="auto"/>
              <w:ind w:left="0" w:right="0"/>
              <w:rPr>
                <w:rFonts w:hint="default" w:ascii="Times New Roman" w:hAnsi="Times New Roman" w:eastAsia="宋体" w:cs="Times New Roman"/>
                <w:b/>
                <w:bCs/>
                <w:color w:val="auto"/>
                <w:sz w:val="24"/>
              </w:rPr>
            </w:pPr>
            <w:r>
              <w:rPr>
                <w:rFonts w:hint="eastAsia" w:ascii="Times New Roman" w:hAnsi="Times New Roman" w:eastAsia="宋体" w:cs="Times New Roman"/>
                <w:b/>
                <w:bCs/>
                <w:color w:val="auto"/>
                <w:sz w:val="24"/>
                <w:lang w:val="en-US" w:eastAsia="zh-CN"/>
              </w:rPr>
              <w:t>1.2.3</w:t>
            </w:r>
            <w:r>
              <w:rPr>
                <w:rFonts w:hint="eastAsia" w:ascii="Times New Roman" w:hAnsi="Times New Roman" w:eastAsia="宋体" w:cs="Times New Roman"/>
                <w:b/>
                <w:bCs/>
                <w:color w:val="auto"/>
                <w:sz w:val="24"/>
              </w:rPr>
              <w:t>《太湖流域管理条例》符合性分析</w:t>
            </w:r>
          </w:p>
          <w:p w14:paraId="0DBD1506">
            <w:pPr>
              <w:keepNext w:val="0"/>
              <w:keepLines w:val="0"/>
              <w:suppressLineNumbers w:val="0"/>
              <w:spacing w:before="0" w:beforeAutospacing="0" w:after="0" w:afterAutospacing="0"/>
              <w:ind w:left="0" w:right="0"/>
              <w:jc w:val="center"/>
              <w:rPr>
                <w:rFonts w:hint="default" w:ascii="Times New Roman" w:hAnsi="Times New Roman" w:eastAsia="宋体" w:cs="Times New Roman"/>
                <w:b/>
                <w:bCs/>
                <w:color w:val="auto"/>
              </w:rPr>
            </w:pPr>
            <w:r>
              <w:rPr>
                <w:rFonts w:hint="eastAsia" w:ascii="Times New Roman" w:hAnsi="Times New Roman" w:eastAsia="宋体" w:cs="Times New Roman"/>
                <w:b/>
                <w:bCs/>
                <w:color w:val="auto"/>
              </w:rPr>
              <w:t>表</w:t>
            </w:r>
            <w:r>
              <w:rPr>
                <w:rFonts w:hint="default" w:ascii="Times New Roman" w:hAnsi="Times New Roman" w:eastAsia="宋体" w:cs="Times New Roman"/>
                <w:b/>
                <w:bCs/>
                <w:color w:val="auto"/>
              </w:rPr>
              <w:t>1-</w:t>
            </w:r>
            <w:r>
              <w:rPr>
                <w:rFonts w:hint="eastAsia" w:ascii="Times New Roman" w:hAnsi="Times New Roman" w:eastAsia="宋体" w:cs="Times New Roman"/>
                <w:b/>
                <w:bCs/>
                <w:color w:val="auto"/>
                <w:lang w:val="en-US" w:eastAsia="zh-CN"/>
              </w:rPr>
              <w:t>9</w:t>
            </w:r>
            <w:r>
              <w:rPr>
                <w:rFonts w:hint="eastAsia" w:ascii="Times New Roman" w:hAnsi="Times New Roman" w:eastAsia="宋体" w:cs="Times New Roman"/>
                <w:b/>
                <w:bCs/>
                <w:color w:val="auto"/>
              </w:rPr>
              <w:t xml:space="preserve"> </w:t>
            </w:r>
            <w:r>
              <w:rPr>
                <w:rFonts w:hint="default" w:ascii="Times New Roman" w:hAnsi="Times New Roman" w:eastAsia="宋体" w:cs="Times New Roman"/>
                <w:b/>
                <w:bCs/>
                <w:color w:val="auto"/>
              </w:rPr>
              <w:t xml:space="preserve"> </w:t>
            </w:r>
            <w:r>
              <w:rPr>
                <w:rFonts w:hint="eastAsia" w:ascii="Times New Roman" w:hAnsi="Times New Roman" w:eastAsia="宋体" w:cs="Times New Roman"/>
                <w:b/>
                <w:bCs/>
                <w:color w:val="00B050"/>
                <w:lang w:val="en-US" w:eastAsia="zh-CN"/>
              </w:rPr>
              <w:t>与</w:t>
            </w:r>
            <w:r>
              <w:rPr>
                <w:rFonts w:hint="eastAsia" w:ascii="Times New Roman" w:hAnsi="Times New Roman" w:eastAsia="宋体" w:cs="Times New Roman"/>
                <w:b/>
                <w:bCs/>
                <w:color w:val="00B050"/>
              </w:rPr>
              <w:t>《</w:t>
            </w:r>
            <w:r>
              <w:rPr>
                <w:rFonts w:hint="eastAsia" w:ascii="Times New Roman" w:hAnsi="Times New Roman" w:eastAsia="宋体" w:cs="Times New Roman"/>
                <w:b/>
                <w:bCs/>
                <w:color w:val="auto"/>
              </w:rPr>
              <w:t>太湖流域管理条例》符合性分析</w:t>
            </w:r>
          </w:p>
          <w:tbl>
            <w:tblPr>
              <w:tblStyle w:val="23"/>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86"/>
              <w:gridCol w:w="3969"/>
              <w:gridCol w:w="2738"/>
              <w:gridCol w:w="785"/>
            </w:tblGrid>
            <w:tr w14:paraId="4115B4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486" w:type="dxa"/>
                  <w:vAlign w:val="center"/>
                </w:tcPr>
                <w:p w14:paraId="29DC2EE5">
                  <w:pPr>
                    <w:keepNext w:val="0"/>
                    <w:keepLines w:val="0"/>
                    <w:suppressLineNumbers w:val="0"/>
                    <w:spacing w:before="0" w:beforeAutospacing="0" w:after="0" w:afterAutospacing="0"/>
                    <w:ind w:left="0" w:right="0"/>
                    <w:jc w:val="center"/>
                    <w:rPr>
                      <w:rFonts w:hint="default" w:ascii="Times New Roman" w:hAnsi="Times New Roman" w:eastAsia="宋体" w:cs="Times New Roman"/>
                      <w:b/>
                      <w:bCs/>
                      <w:color w:val="auto"/>
                      <w:szCs w:val="21"/>
                    </w:rPr>
                  </w:pPr>
                  <w:r>
                    <w:rPr>
                      <w:rFonts w:hint="default" w:ascii="Times New Roman" w:hAnsi="Times New Roman" w:eastAsia="宋体" w:cs="Times New Roman"/>
                      <w:b/>
                      <w:bCs/>
                      <w:color w:val="auto"/>
                      <w:szCs w:val="21"/>
                    </w:rPr>
                    <w:t>序号</w:t>
                  </w:r>
                </w:p>
              </w:tc>
              <w:tc>
                <w:tcPr>
                  <w:tcW w:w="3969" w:type="dxa"/>
                  <w:vAlign w:val="center"/>
                </w:tcPr>
                <w:p w14:paraId="7EFFC501">
                  <w:pPr>
                    <w:keepNext w:val="0"/>
                    <w:keepLines w:val="0"/>
                    <w:suppressLineNumbers w:val="0"/>
                    <w:spacing w:before="0" w:beforeAutospacing="0" w:after="0" w:afterAutospacing="0"/>
                    <w:ind w:left="0" w:right="0"/>
                    <w:jc w:val="center"/>
                    <w:rPr>
                      <w:rFonts w:hint="default" w:ascii="Times New Roman" w:hAnsi="Times New Roman" w:eastAsia="宋体" w:cs="Times New Roman"/>
                      <w:b/>
                      <w:bCs/>
                      <w:color w:val="auto"/>
                      <w:szCs w:val="21"/>
                    </w:rPr>
                  </w:pPr>
                  <w:r>
                    <w:rPr>
                      <w:rFonts w:hint="default" w:ascii="Times New Roman" w:hAnsi="Times New Roman" w:eastAsia="宋体" w:cs="Times New Roman"/>
                      <w:b/>
                      <w:bCs/>
                      <w:color w:val="auto"/>
                      <w:szCs w:val="21"/>
                    </w:rPr>
                    <w:t>要求</w:t>
                  </w:r>
                </w:p>
              </w:tc>
              <w:tc>
                <w:tcPr>
                  <w:tcW w:w="2738" w:type="dxa"/>
                  <w:vAlign w:val="center"/>
                </w:tcPr>
                <w:p w14:paraId="3535B1F2">
                  <w:pPr>
                    <w:keepNext w:val="0"/>
                    <w:keepLines w:val="0"/>
                    <w:suppressLineNumbers w:val="0"/>
                    <w:spacing w:before="0" w:beforeAutospacing="0" w:after="0" w:afterAutospacing="0"/>
                    <w:ind w:left="0" w:right="0"/>
                    <w:jc w:val="center"/>
                    <w:rPr>
                      <w:rFonts w:hint="default" w:ascii="Times New Roman" w:hAnsi="Times New Roman" w:eastAsia="宋体" w:cs="Times New Roman"/>
                      <w:b/>
                      <w:bCs/>
                      <w:color w:val="auto"/>
                      <w:szCs w:val="21"/>
                    </w:rPr>
                  </w:pPr>
                  <w:r>
                    <w:rPr>
                      <w:rFonts w:hint="default" w:ascii="Times New Roman" w:hAnsi="Times New Roman" w:eastAsia="宋体" w:cs="Times New Roman"/>
                      <w:b/>
                      <w:bCs/>
                      <w:color w:val="auto"/>
                      <w:szCs w:val="21"/>
                    </w:rPr>
                    <w:t>本项目情况</w:t>
                  </w:r>
                </w:p>
              </w:tc>
              <w:tc>
                <w:tcPr>
                  <w:tcW w:w="785" w:type="dxa"/>
                  <w:vAlign w:val="center"/>
                </w:tcPr>
                <w:p w14:paraId="67F8710C">
                  <w:pPr>
                    <w:keepNext w:val="0"/>
                    <w:keepLines w:val="0"/>
                    <w:suppressLineNumbers w:val="0"/>
                    <w:spacing w:before="0" w:beforeAutospacing="0" w:after="0" w:afterAutospacing="0"/>
                    <w:ind w:left="0" w:right="0"/>
                    <w:jc w:val="center"/>
                    <w:rPr>
                      <w:rFonts w:hint="default" w:ascii="Times New Roman" w:hAnsi="Times New Roman" w:eastAsia="宋体" w:cs="Times New Roman"/>
                      <w:b/>
                      <w:bCs/>
                      <w:color w:val="auto"/>
                      <w:szCs w:val="21"/>
                    </w:rPr>
                  </w:pPr>
                  <w:r>
                    <w:rPr>
                      <w:rFonts w:hint="default" w:ascii="Times New Roman" w:hAnsi="Times New Roman" w:eastAsia="宋体" w:cs="Times New Roman"/>
                      <w:b/>
                      <w:bCs/>
                      <w:color w:val="auto"/>
                      <w:szCs w:val="21"/>
                    </w:rPr>
                    <w:t>结论</w:t>
                  </w:r>
                </w:p>
              </w:tc>
            </w:tr>
            <w:tr w14:paraId="4EE652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486" w:type="dxa"/>
                  <w:vAlign w:val="center"/>
                </w:tcPr>
                <w:p w14:paraId="78CA9A39">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rPr>
                    <w:t>1</w:t>
                  </w:r>
                </w:p>
              </w:tc>
              <w:tc>
                <w:tcPr>
                  <w:tcW w:w="3969" w:type="dxa"/>
                  <w:vAlign w:val="center"/>
                </w:tcPr>
                <w:p w14:paraId="0F8B6A68">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rPr>
                    <w:t>禁止在太湖流域设置不符合国家产业政策和水环境综合治理要求的造纸、制革、酒精、淀粉、冶金、酿造、印染、电镀等排放水污染物的生产项目</w:t>
                  </w:r>
                </w:p>
              </w:tc>
              <w:tc>
                <w:tcPr>
                  <w:tcW w:w="2738" w:type="dxa"/>
                  <w:vAlign w:val="center"/>
                </w:tcPr>
                <w:p w14:paraId="727DC842">
                  <w:pPr>
                    <w:keepNext w:val="0"/>
                    <w:keepLines w:val="0"/>
                    <w:suppressLineNumbers w:val="0"/>
                    <w:spacing w:before="0" w:beforeAutospacing="0" w:after="0" w:afterAutospacing="0"/>
                    <w:ind w:left="0" w:right="0"/>
                    <w:jc w:val="center"/>
                    <w:rPr>
                      <w:rFonts w:hint="eastAsia" w:ascii="Times New Roman" w:hAnsi="Times New Roman" w:eastAsia="宋体" w:cs="Times New Roman"/>
                      <w:color w:val="auto"/>
                      <w:szCs w:val="21"/>
                      <w:lang w:eastAsia="zh-CN"/>
                    </w:rPr>
                  </w:pPr>
                  <w:r>
                    <w:rPr>
                      <w:rFonts w:hint="eastAsia" w:ascii="Times New Roman" w:hAnsi="Times New Roman" w:eastAsia="宋体" w:cs="Times New Roman"/>
                      <w:color w:val="auto"/>
                      <w:szCs w:val="21"/>
                    </w:rPr>
                    <w:t>本</w:t>
                  </w:r>
                  <w:r>
                    <w:rPr>
                      <w:rFonts w:hint="default" w:ascii="Times New Roman" w:hAnsi="Times New Roman" w:eastAsia="宋体" w:cs="Times New Roman"/>
                      <w:color w:val="auto"/>
                      <w:szCs w:val="21"/>
                    </w:rPr>
                    <w:t>项目</w:t>
                  </w:r>
                  <w:r>
                    <w:rPr>
                      <w:rFonts w:hint="default" w:ascii="Times New Roman" w:hAnsi="Times New Roman" w:eastAsia="宋体" w:cs="Times New Roman"/>
                      <w:color w:val="auto"/>
                      <w:szCs w:val="21"/>
                      <w:lang w:val="en-US" w:eastAsia="zh-CN"/>
                    </w:rPr>
                    <w:t>行业类别为</w:t>
                  </w:r>
                  <w:r>
                    <w:rPr>
                      <w:rFonts w:hint="default" w:ascii="Times New Roman" w:hAnsi="Times New Roman" w:eastAsia="宋体" w:cs="Times New Roman"/>
                      <w:color w:val="auto"/>
                      <w:szCs w:val="21"/>
                    </w:rPr>
                    <w:t>C3670汽车零部件及配件制造、C2929塑料零件及其他塑料制品制造、C3034隔热和隔音材料制造，不属于上述禁止类项目，符合国家产业政策</w:t>
                  </w:r>
                  <w:r>
                    <w:rPr>
                      <w:rFonts w:hint="eastAsia" w:ascii="Times New Roman" w:hAnsi="Times New Roman" w:eastAsia="宋体" w:cs="Times New Roman"/>
                      <w:color w:val="auto"/>
                      <w:szCs w:val="21"/>
                      <w:lang w:eastAsia="zh-CN"/>
                    </w:rPr>
                    <w:t>。</w:t>
                  </w:r>
                </w:p>
              </w:tc>
              <w:tc>
                <w:tcPr>
                  <w:tcW w:w="785" w:type="dxa"/>
                  <w:vAlign w:val="center"/>
                </w:tcPr>
                <w:p w14:paraId="5E7879D2">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rPr>
                    <w:t>符合</w:t>
                  </w:r>
                </w:p>
              </w:tc>
            </w:tr>
            <w:tr w14:paraId="079B22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486" w:type="dxa"/>
                  <w:vAlign w:val="center"/>
                </w:tcPr>
                <w:p w14:paraId="74ECFB84">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rPr>
                    <w:t>2</w:t>
                  </w:r>
                </w:p>
              </w:tc>
              <w:tc>
                <w:tcPr>
                  <w:tcW w:w="3969" w:type="dxa"/>
                  <w:vAlign w:val="center"/>
                </w:tcPr>
                <w:p w14:paraId="4279FA9A">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rPr>
                    <w:t>在太湖流域新设企业应当符合国家规定的清洁生产要求</w:t>
                  </w:r>
                </w:p>
              </w:tc>
              <w:tc>
                <w:tcPr>
                  <w:tcW w:w="2738" w:type="dxa"/>
                  <w:vAlign w:val="center"/>
                </w:tcPr>
                <w:p w14:paraId="5C8FC554">
                  <w:pPr>
                    <w:keepNext w:val="0"/>
                    <w:keepLines w:val="0"/>
                    <w:suppressLineNumbers w:val="0"/>
                    <w:spacing w:before="0" w:beforeAutospacing="0" w:after="0" w:afterAutospacing="0"/>
                    <w:ind w:left="0" w:right="0"/>
                    <w:jc w:val="center"/>
                    <w:rPr>
                      <w:rFonts w:hint="eastAsia" w:ascii="Times New Roman" w:hAnsi="Times New Roman" w:eastAsia="宋体" w:cs="Times New Roman"/>
                      <w:color w:val="auto"/>
                      <w:szCs w:val="21"/>
                      <w:lang w:eastAsia="zh-CN"/>
                    </w:rPr>
                  </w:pPr>
                  <w:r>
                    <w:rPr>
                      <w:rFonts w:hint="eastAsia" w:ascii="Times New Roman" w:hAnsi="Times New Roman" w:eastAsia="宋体" w:cs="Times New Roman"/>
                      <w:color w:val="auto"/>
                      <w:szCs w:val="21"/>
                    </w:rPr>
                    <w:t>本</w:t>
                  </w:r>
                  <w:r>
                    <w:rPr>
                      <w:rFonts w:hint="default" w:ascii="Times New Roman" w:hAnsi="Times New Roman" w:eastAsia="宋体" w:cs="Times New Roman"/>
                      <w:color w:val="auto"/>
                      <w:szCs w:val="21"/>
                    </w:rPr>
                    <w:t>项目</w:t>
                  </w:r>
                  <w:r>
                    <w:rPr>
                      <w:rFonts w:hint="default" w:ascii="Times New Roman" w:hAnsi="Times New Roman" w:eastAsia="宋体" w:cs="Times New Roman"/>
                      <w:color w:val="auto"/>
                      <w:szCs w:val="21"/>
                      <w:lang w:val="en-US" w:eastAsia="zh-CN"/>
                    </w:rPr>
                    <w:t>行业类别为</w:t>
                  </w:r>
                  <w:r>
                    <w:rPr>
                      <w:rFonts w:hint="default" w:ascii="Times New Roman" w:hAnsi="Times New Roman" w:eastAsia="宋体" w:cs="Times New Roman"/>
                      <w:color w:val="auto"/>
                      <w:szCs w:val="21"/>
                    </w:rPr>
                    <w:t>C3670汽车零部件及配件制造、C2929塑料零件及其他塑料制品制造、C3034隔热和隔音材料制造，选用的设备均为自动化程度较强，符合国家清洁生产要求</w:t>
                  </w:r>
                  <w:r>
                    <w:rPr>
                      <w:rFonts w:hint="eastAsia" w:ascii="Times New Roman" w:hAnsi="Times New Roman" w:eastAsia="宋体" w:cs="Times New Roman"/>
                      <w:color w:val="auto"/>
                      <w:szCs w:val="21"/>
                      <w:lang w:eastAsia="zh-CN"/>
                    </w:rPr>
                    <w:t>。</w:t>
                  </w:r>
                </w:p>
              </w:tc>
              <w:tc>
                <w:tcPr>
                  <w:tcW w:w="785" w:type="dxa"/>
                  <w:vAlign w:val="center"/>
                </w:tcPr>
                <w:p w14:paraId="12920A20">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rPr>
                    <w:t>符合</w:t>
                  </w:r>
                </w:p>
              </w:tc>
            </w:tr>
            <w:tr w14:paraId="2D20CA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486" w:type="dxa"/>
                  <w:vAlign w:val="center"/>
                </w:tcPr>
                <w:p w14:paraId="658B3187">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rPr>
                    <w:t>3</w:t>
                  </w:r>
                </w:p>
              </w:tc>
              <w:tc>
                <w:tcPr>
                  <w:tcW w:w="3969" w:type="dxa"/>
                  <w:vAlign w:val="center"/>
                </w:tcPr>
                <w:p w14:paraId="27F8021A">
                  <w:pPr>
                    <w:keepNext w:val="0"/>
                    <w:keepLines w:val="0"/>
                    <w:suppressLineNumbers w:val="0"/>
                    <w:spacing w:before="0" w:beforeAutospacing="0" w:after="0" w:afterAutospacing="0"/>
                    <w:ind w:left="0" w:right="0"/>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rPr>
                    <w:t>新孟河、望虞河以外的其他主要入太湖河道，自河口1万m上溯至5万m河道岸线内及其岸线两侧各1000m范围内，禁止下列行为：</w:t>
                  </w:r>
                </w:p>
                <w:p w14:paraId="70757529">
                  <w:pPr>
                    <w:keepNext w:val="0"/>
                    <w:keepLines w:val="0"/>
                    <w:suppressLineNumbers w:val="0"/>
                    <w:spacing w:before="0" w:beforeAutospacing="0" w:after="0" w:afterAutospacing="0"/>
                    <w:ind w:left="0" w:right="0"/>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rPr>
                    <w:t>（一）新建、扩建化工、医药生产项目；</w:t>
                  </w:r>
                </w:p>
                <w:p w14:paraId="651C9E4D">
                  <w:pPr>
                    <w:keepNext w:val="0"/>
                    <w:keepLines w:val="0"/>
                    <w:suppressLineNumbers w:val="0"/>
                    <w:spacing w:before="0" w:beforeAutospacing="0" w:after="0" w:afterAutospacing="0"/>
                    <w:ind w:left="0" w:right="0"/>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rPr>
                    <w:t>（二）新建、扩建污水集中处理设施排污口以外的排污口；</w:t>
                  </w:r>
                </w:p>
                <w:p w14:paraId="15F1EC48">
                  <w:pPr>
                    <w:keepNext w:val="0"/>
                    <w:keepLines w:val="0"/>
                    <w:suppressLineNumbers w:val="0"/>
                    <w:spacing w:before="0" w:beforeAutospacing="0" w:after="0" w:afterAutospacing="0"/>
                    <w:ind w:left="0" w:right="0"/>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rPr>
                    <w:t>（三）扩大水养殖规模</w:t>
                  </w:r>
                </w:p>
              </w:tc>
              <w:tc>
                <w:tcPr>
                  <w:tcW w:w="2738" w:type="dxa"/>
                  <w:vAlign w:val="center"/>
                </w:tcPr>
                <w:p w14:paraId="7D0246BE">
                  <w:pPr>
                    <w:keepNext w:val="0"/>
                    <w:keepLines w:val="0"/>
                    <w:suppressLineNumbers w:val="0"/>
                    <w:spacing w:before="0" w:beforeAutospacing="0" w:after="0" w:afterAutospacing="0"/>
                    <w:ind w:left="0" w:right="0"/>
                    <w:jc w:val="center"/>
                    <w:rPr>
                      <w:rFonts w:hint="eastAsia" w:ascii="Times New Roman" w:hAnsi="Times New Roman" w:eastAsia="宋体" w:cs="Times New Roman"/>
                      <w:color w:val="auto"/>
                      <w:szCs w:val="21"/>
                      <w:lang w:eastAsia="zh-CN"/>
                    </w:rPr>
                  </w:pPr>
                  <w:r>
                    <w:rPr>
                      <w:rFonts w:hint="eastAsia" w:ascii="Times New Roman" w:hAnsi="Times New Roman" w:eastAsia="宋体" w:cs="Times New Roman"/>
                      <w:color w:val="auto"/>
                      <w:szCs w:val="21"/>
                    </w:rPr>
                    <w:t>本</w:t>
                  </w:r>
                  <w:r>
                    <w:rPr>
                      <w:rFonts w:hint="default" w:ascii="Times New Roman" w:hAnsi="Times New Roman" w:eastAsia="宋体" w:cs="Times New Roman"/>
                      <w:color w:val="auto"/>
                      <w:szCs w:val="21"/>
                    </w:rPr>
                    <w:t>项目不在</w:t>
                  </w:r>
                  <w:r>
                    <w:rPr>
                      <w:rFonts w:hint="eastAsia" w:ascii="Times New Roman" w:hAnsi="Times New Roman" w:eastAsia="宋体" w:cs="Times New Roman"/>
                      <w:color w:val="auto"/>
                      <w:szCs w:val="21"/>
                      <w:lang w:eastAsia="zh-CN"/>
                    </w:rPr>
                    <w:t>“</w:t>
                  </w:r>
                  <w:r>
                    <w:rPr>
                      <w:rFonts w:hint="default" w:ascii="Times New Roman" w:hAnsi="Times New Roman" w:eastAsia="宋体" w:cs="Times New Roman"/>
                      <w:color w:val="auto"/>
                      <w:szCs w:val="21"/>
                    </w:rPr>
                    <w:t>新孟河、望虞河以外的其他主要入太湖河道，自河口1万m上溯至5万m河道岸线内及其岸线两侧各1000m范围内</w:t>
                  </w:r>
                  <w:r>
                    <w:rPr>
                      <w:rFonts w:hint="eastAsia" w:ascii="Times New Roman" w:hAnsi="Times New Roman" w:eastAsia="宋体" w:cs="Times New Roman"/>
                      <w:color w:val="auto"/>
                      <w:szCs w:val="21"/>
                      <w:lang w:eastAsia="zh-CN"/>
                    </w:rPr>
                    <w:t>”。</w:t>
                  </w:r>
                </w:p>
              </w:tc>
              <w:tc>
                <w:tcPr>
                  <w:tcW w:w="785" w:type="dxa"/>
                  <w:vAlign w:val="center"/>
                </w:tcPr>
                <w:p w14:paraId="5B60D6E4">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rPr>
                    <w:t>符合</w:t>
                  </w:r>
                </w:p>
              </w:tc>
            </w:tr>
            <w:tr w14:paraId="713698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486" w:type="dxa"/>
                  <w:vAlign w:val="center"/>
                </w:tcPr>
                <w:p w14:paraId="5DF29F1E">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rPr>
                    <w:t>4</w:t>
                  </w:r>
                </w:p>
              </w:tc>
              <w:tc>
                <w:tcPr>
                  <w:tcW w:w="3969" w:type="dxa"/>
                  <w:vAlign w:val="center"/>
                </w:tcPr>
                <w:p w14:paraId="3FCF2D6C">
                  <w:pPr>
                    <w:keepNext w:val="0"/>
                    <w:keepLines w:val="0"/>
                    <w:suppressLineNumbers w:val="0"/>
                    <w:spacing w:before="0" w:beforeAutospacing="0" w:after="0" w:afterAutospacing="0"/>
                    <w:ind w:left="0" w:right="0"/>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rPr>
                    <w:t>太湖岸线内和岸线周边5000m范围内，淀山湖岸线内和岸线周边2000m范围内，太浦河、新孟河、望虞河岸线内和岸线两侧各1000m范围内，其他主要入太湖河道自河口上溯至1万米河道岸线内及其岸线两侧各1000m范围内，禁止下列行为：</w:t>
                  </w:r>
                </w:p>
                <w:p w14:paraId="0A0E54D1">
                  <w:pPr>
                    <w:keepNext w:val="0"/>
                    <w:keepLines w:val="0"/>
                    <w:suppressLineNumbers w:val="0"/>
                    <w:spacing w:before="0" w:beforeAutospacing="0" w:after="0" w:afterAutospacing="0"/>
                    <w:ind w:left="0" w:right="0"/>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rPr>
                    <w:t>（一）设置剧毒物质、危险化学品的贮存、输送设施和废物回收场、垃圾场；</w:t>
                  </w:r>
                </w:p>
                <w:p w14:paraId="62D87B77">
                  <w:pPr>
                    <w:keepNext w:val="0"/>
                    <w:keepLines w:val="0"/>
                    <w:suppressLineNumbers w:val="0"/>
                    <w:spacing w:before="0" w:beforeAutospacing="0" w:after="0" w:afterAutospacing="0"/>
                    <w:ind w:left="0" w:right="0"/>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rPr>
                    <w:t>（二）设置水上餐饮经营设施；</w:t>
                  </w:r>
                </w:p>
                <w:p w14:paraId="26055E25">
                  <w:pPr>
                    <w:keepNext w:val="0"/>
                    <w:keepLines w:val="0"/>
                    <w:suppressLineNumbers w:val="0"/>
                    <w:spacing w:before="0" w:beforeAutospacing="0" w:after="0" w:afterAutospacing="0"/>
                    <w:ind w:left="0" w:right="0"/>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rPr>
                    <w:t>（三）新建、扩建高尔夫球场；</w:t>
                  </w:r>
                </w:p>
                <w:p w14:paraId="36F98A15">
                  <w:pPr>
                    <w:keepNext w:val="0"/>
                    <w:keepLines w:val="0"/>
                    <w:suppressLineNumbers w:val="0"/>
                    <w:spacing w:before="0" w:beforeAutospacing="0" w:after="0" w:afterAutospacing="0"/>
                    <w:ind w:left="0" w:right="0"/>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rPr>
                    <w:t>（四）新建、扩建畜禽养殖场；</w:t>
                  </w:r>
                </w:p>
                <w:p w14:paraId="1E331CE6">
                  <w:pPr>
                    <w:keepNext w:val="0"/>
                    <w:keepLines w:val="0"/>
                    <w:suppressLineNumbers w:val="0"/>
                    <w:spacing w:before="0" w:beforeAutospacing="0" w:after="0" w:afterAutospacing="0"/>
                    <w:ind w:left="0" w:right="0"/>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rPr>
                    <w:t>（五）新建、扩建向水体排放污染物的建设项目；</w:t>
                  </w:r>
                </w:p>
                <w:p w14:paraId="29E87228">
                  <w:pPr>
                    <w:keepNext w:val="0"/>
                    <w:keepLines w:val="0"/>
                    <w:suppressLineNumbers w:val="0"/>
                    <w:spacing w:before="0" w:beforeAutospacing="0" w:after="0" w:afterAutospacing="0"/>
                    <w:ind w:left="0" w:right="0"/>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rPr>
                    <w:t>（六）本条例第二十九条规定的行为</w:t>
                  </w:r>
                </w:p>
              </w:tc>
              <w:tc>
                <w:tcPr>
                  <w:tcW w:w="2738" w:type="dxa"/>
                  <w:vAlign w:val="center"/>
                </w:tcPr>
                <w:p w14:paraId="557030C3">
                  <w:pPr>
                    <w:keepNext w:val="0"/>
                    <w:keepLines w:val="0"/>
                    <w:suppressLineNumbers w:val="0"/>
                    <w:spacing w:before="0" w:beforeAutospacing="0" w:after="0" w:afterAutospacing="0"/>
                    <w:ind w:left="0" w:right="0"/>
                    <w:jc w:val="center"/>
                    <w:rPr>
                      <w:rFonts w:hint="eastAsia" w:ascii="Times New Roman" w:hAnsi="Times New Roman" w:eastAsia="宋体" w:cs="Times New Roman"/>
                      <w:color w:val="auto"/>
                      <w:szCs w:val="21"/>
                      <w:lang w:eastAsia="zh-CN"/>
                    </w:rPr>
                  </w:pPr>
                  <w:r>
                    <w:rPr>
                      <w:rFonts w:hint="eastAsia" w:ascii="Times New Roman" w:hAnsi="Times New Roman" w:eastAsia="宋体" w:cs="Times New Roman"/>
                      <w:color w:val="auto"/>
                      <w:szCs w:val="21"/>
                    </w:rPr>
                    <w:t>本</w:t>
                  </w:r>
                  <w:r>
                    <w:rPr>
                      <w:rFonts w:hint="default" w:ascii="Times New Roman" w:hAnsi="Times New Roman" w:eastAsia="宋体" w:cs="Times New Roman"/>
                      <w:color w:val="auto"/>
                      <w:szCs w:val="21"/>
                    </w:rPr>
                    <w:t>项目不在上述范围内</w:t>
                  </w:r>
                  <w:r>
                    <w:rPr>
                      <w:rFonts w:hint="eastAsia" w:ascii="Times New Roman" w:hAnsi="Times New Roman" w:eastAsia="宋体" w:cs="Times New Roman"/>
                      <w:color w:val="auto"/>
                      <w:szCs w:val="21"/>
                      <w:lang w:eastAsia="zh-CN"/>
                    </w:rPr>
                    <w:t>。</w:t>
                  </w:r>
                </w:p>
              </w:tc>
              <w:tc>
                <w:tcPr>
                  <w:tcW w:w="785" w:type="dxa"/>
                  <w:vAlign w:val="center"/>
                </w:tcPr>
                <w:p w14:paraId="4C0B8693">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rPr>
                    <w:t>符合</w:t>
                  </w:r>
                </w:p>
              </w:tc>
            </w:tr>
          </w:tbl>
          <w:p w14:paraId="56781FCE">
            <w:pPr>
              <w:keepNext w:val="0"/>
              <w:keepLines w:val="0"/>
              <w:suppressLineNumbers w:val="0"/>
              <w:spacing w:before="0" w:beforeAutospacing="0" w:after="0" w:afterAutospacing="0" w:line="360" w:lineRule="auto"/>
              <w:ind w:left="0" w:right="0" w:firstLine="480" w:firstLineChars="200"/>
              <w:rPr>
                <w:rFonts w:hint="eastAsia" w:ascii="Times New Roman" w:hAnsi="Times New Roman" w:eastAsia="宋体" w:cs="Times New Roman"/>
                <w:color w:val="auto"/>
                <w:sz w:val="24"/>
              </w:rPr>
            </w:pPr>
            <w:r>
              <w:rPr>
                <w:rFonts w:hint="eastAsia" w:ascii="Times New Roman" w:hAnsi="Times New Roman" w:eastAsia="宋体" w:cs="Times New Roman"/>
                <w:color w:val="auto"/>
                <w:sz w:val="24"/>
              </w:rPr>
              <w:t>根据</w:t>
            </w:r>
            <w:r>
              <w:rPr>
                <w:rFonts w:hint="eastAsia" w:ascii="Times New Roman" w:hAnsi="Times New Roman" w:eastAsia="宋体" w:cs="Times New Roman"/>
                <w:color w:val="auto"/>
                <w:sz w:val="24"/>
                <w:lang w:val="en-US" w:eastAsia="zh-CN"/>
              </w:rPr>
              <w:t>上表</w:t>
            </w:r>
            <w:r>
              <w:rPr>
                <w:rFonts w:hint="eastAsia" w:ascii="Times New Roman" w:hAnsi="Times New Roman" w:eastAsia="宋体" w:cs="Times New Roman"/>
                <w:color w:val="auto"/>
                <w:sz w:val="24"/>
              </w:rPr>
              <w:t>可知，本项目选址符合《太湖流域管理条例》要求。</w:t>
            </w:r>
          </w:p>
          <w:p w14:paraId="2444204C">
            <w:pPr>
              <w:keepNext w:val="0"/>
              <w:keepLines w:val="0"/>
              <w:suppressLineNumbers w:val="0"/>
              <w:spacing w:before="0" w:beforeAutospacing="0" w:after="0" w:afterAutospacing="0" w:line="360" w:lineRule="auto"/>
              <w:ind w:left="0" w:right="0" w:firstLine="480" w:firstLineChars="200"/>
              <w:rPr>
                <w:rFonts w:hint="default" w:ascii="Times New Roman" w:hAnsi="Times New Roman" w:eastAsia="宋体" w:cs="Times New Roman"/>
                <w:color w:val="auto"/>
                <w:sz w:val="24"/>
              </w:rPr>
            </w:pPr>
          </w:p>
          <w:p w14:paraId="5969039E">
            <w:pPr>
              <w:keepNext w:val="0"/>
              <w:keepLines w:val="0"/>
              <w:suppressLineNumbers w:val="0"/>
              <w:spacing w:before="0" w:beforeAutospacing="0" w:after="0" w:afterAutospacing="0" w:line="360" w:lineRule="auto"/>
              <w:ind w:left="0" w:right="0"/>
              <w:rPr>
                <w:rFonts w:hint="default" w:ascii="Times New Roman" w:hAnsi="Times New Roman" w:eastAsia="宋体" w:cs="Times New Roman"/>
                <w:b/>
                <w:bCs/>
                <w:color w:val="auto"/>
                <w:sz w:val="24"/>
              </w:rPr>
            </w:pPr>
            <w:r>
              <w:rPr>
                <w:rFonts w:hint="eastAsia" w:ascii="Times New Roman" w:hAnsi="Times New Roman" w:eastAsia="宋体" w:cs="Times New Roman"/>
                <w:b/>
                <w:bCs/>
                <w:color w:val="auto"/>
                <w:sz w:val="24"/>
                <w:lang w:val="en-US" w:eastAsia="zh-CN"/>
              </w:rPr>
              <w:t>1.2.4</w:t>
            </w:r>
            <w:r>
              <w:rPr>
                <w:rFonts w:hint="eastAsia" w:ascii="Times New Roman" w:hAnsi="Times New Roman" w:eastAsia="宋体" w:cs="Times New Roman"/>
                <w:b/>
                <w:bCs/>
                <w:color w:val="auto"/>
                <w:sz w:val="24"/>
              </w:rPr>
              <w:t>《关于落实</w:t>
            </w:r>
            <w:r>
              <w:rPr>
                <w:rFonts w:hint="default" w:ascii="Times New Roman" w:hAnsi="Times New Roman" w:eastAsia="宋体" w:cs="Times New Roman"/>
                <w:b/>
                <w:bCs/>
                <w:color w:val="auto"/>
                <w:sz w:val="24"/>
              </w:rPr>
              <w:t>&lt;</w:t>
            </w:r>
            <w:r>
              <w:rPr>
                <w:rFonts w:hint="eastAsia" w:ascii="Times New Roman" w:hAnsi="Times New Roman" w:eastAsia="宋体" w:cs="Times New Roman"/>
                <w:b/>
                <w:bCs/>
                <w:color w:val="auto"/>
                <w:sz w:val="24"/>
              </w:rPr>
              <w:t>水污染防治行动计划</w:t>
            </w:r>
            <w:r>
              <w:rPr>
                <w:rFonts w:hint="default" w:ascii="Times New Roman" w:hAnsi="Times New Roman" w:eastAsia="宋体" w:cs="Times New Roman"/>
                <w:b/>
                <w:bCs/>
                <w:color w:val="auto"/>
                <w:sz w:val="24"/>
              </w:rPr>
              <w:t>&gt;</w:t>
            </w:r>
            <w:r>
              <w:rPr>
                <w:rFonts w:hint="eastAsia" w:ascii="Times New Roman" w:hAnsi="Times New Roman" w:eastAsia="宋体" w:cs="Times New Roman"/>
                <w:b/>
                <w:bCs/>
                <w:color w:val="auto"/>
                <w:sz w:val="24"/>
              </w:rPr>
              <w:t>实施区域差别化环境准入的指导意见》符合性分析</w:t>
            </w:r>
          </w:p>
          <w:p w14:paraId="5B4BB91D">
            <w:pPr>
              <w:keepNext w:val="0"/>
              <w:keepLines w:val="0"/>
              <w:suppressLineNumbers w:val="0"/>
              <w:spacing w:before="0" w:beforeAutospacing="0" w:after="0" w:afterAutospacing="0"/>
              <w:ind w:left="0" w:right="0"/>
              <w:jc w:val="center"/>
              <w:rPr>
                <w:rFonts w:hint="default" w:ascii="Times New Roman" w:hAnsi="Times New Roman" w:eastAsia="宋体" w:cs="Times New Roman"/>
                <w:b/>
                <w:bCs/>
                <w:color w:val="auto"/>
              </w:rPr>
            </w:pPr>
            <w:r>
              <w:rPr>
                <w:rFonts w:hint="eastAsia" w:ascii="Times New Roman" w:hAnsi="Times New Roman" w:eastAsia="宋体" w:cs="Times New Roman"/>
                <w:b/>
                <w:bCs/>
                <w:color w:val="auto"/>
              </w:rPr>
              <w:t>表</w:t>
            </w:r>
            <w:r>
              <w:rPr>
                <w:rFonts w:hint="default" w:ascii="Times New Roman" w:hAnsi="Times New Roman" w:eastAsia="宋体" w:cs="Times New Roman"/>
                <w:b/>
                <w:bCs/>
                <w:color w:val="auto"/>
              </w:rPr>
              <w:t>1-</w:t>
            </w:r>
            <w:r>
              <w:rPr>
                <w:rFonts w:hint="eastAsia" w:ascii="Times New Roman" w:hAnsi="Times New Roman" w:eastAsia="宋体" w:cs="Times New Roman"/>
                <w:b/>
                <w:bCs/>
                <w:color w:val="auto"/>
                <w:lang w:val="en-US" w:eastAsia="zh-CN"/>
              </w:rPr>
              <w:t>10</w:t>
            </w:r>
            <w:r>
              <w:rPr>
                <w:rFonts w:hint="default" w:ascii="Times New Roman" w:hAnsi="Times New Roman" w:eastAsia="宋体" w:cs="Times New Roman"/>
                <w:b/>
                <w:bCs/>
                <w:color w:val="auto"/>
              </w:rPr>
              <w:t xml:space="preserve"> </w:t>
            </w:r>
            <w:r>
              <w:rPr>
                <w:rFonts w:hint="eastAsia" w:ascii="Times New Roman" w:hAnsi="Times New Roman" w:eastAsia="宋体" w:cs="Times New Roman"/>
                <w:b/>
                <w:bCs/>
                <w:color w:val="auto"/>
              </w:rPr>
              <w:t xml:space="preserve"> 与《关于落实</w:t>
            </w:r>
            <w:r>
              <w:rPr>
                <w:rFonts w:hint="default" w:ascii="Times New Roman" w:hAnsi="Times New Roman" w:eastAsia="宋体" w:cs="Times New Roman"/>
                <w:b/>
                <w:bCs/>
                <w:color w:val="auto"/>
              </w:rPr>
              <w:t>&lt;</w:t>
            </w:r>
            <w:r>
              <w:rPr>
                <w:rFonts w:hint="eastAsia" w:ascii="Times New Roman" w:hAnsi="Times New Roman" w:eastAsia="宋体" w:cs="Times New Roman"/>
                <w:b/>
                <w:bCs/>
                <w:color w:val="auto"/>
              </w:rPr>
              <w:t>水污染防治行动计划</w:t>
            </w:r>
            <w:r>
              <w:rPr>
                <w:rFonts w:hint="default" w:ascii="Times New Roman" w:hAnsi="Times New Roman" w:eastAsia="宋体" w:cs="Times New Roman"/>
                <w:b/>
                <w:bCs/>
                <w:color w:val="auto"/>
              </w:rPr>
              <w:t>&gt;</w:t>
            </w:r>
            <w:r>
              <w:rPr>
                <w:rFonts w:hint="eastAsia" w:ascii="Times New Roman" w:hAnsi="Times New Roman" w:eastAsia="宋体" w:cs="Times New Roman"/>
                <w:b/>
                <w:bCs/>
                <w:color w:val="auto"/>
              </w:rPr>
              <w:t>实施区域差别化环境准入的指导意见》符合性分析</w:t>
            </w:r>
          </w:p>
          <w:tbl>
            <w:tblPr>
              <w:tblStyle w:val="23"/>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502"/>
              <w:gridCol w:w="4366"/>
              <w:gridCol w:w="2658"/>
              <w:gridCol w:w="452"/>
            </w:tblGrid>
            <w:tr w14:paraId="38A747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487" w:type="dxa"/>
                  <w:vAlign w:val="center"/>
                </w:tcPr>
                <w:p w14:paraId="0309837A">
                  <w:pPr>
                    <w:keepNext w:val="0"/>
                    <w:keepLines w:val="0"/>
                    <w:suppressLineNumbers w:val="0"/>
                    <w:spacing w:before="0" w:beforeAutospacing="0" w:after="0" w:afterAutospacing="0"/>
                    <w:ind w:left="0" w:right="0"/>
                    <w:jc w:val="center"/>
                    <w:rPr>
                      <w:rFonts w:hint="default" w:ascii="Times New Roman" w:hAnsi="Times New Roman" w:eastAsia="宋体" w:cs="Times New Roman"/>
                      <w:b/>
                      <w:bCs/>
                      <w:color w:val="auto"/>
                      <w:szCs w:val="21"/>
                    </w:rPr>
                  </w:pPr>
                  <w:r>
                    <w:rPr>
                      <w:rFonts w:hint="default" w:ascii="Times New Roman" w:hAnsi="Times New Roman" w:eastAsia="宋体" w:cs="Times New Roman"/>
                      <w:b/>
                      <w:bCs/>
                      <w:color w:val="auto"/>
                      <w:szCs w:val="21"/>
                    </w:rPr>
                    <w:t>序号</w:t>
                  </w:r>
                </w:p>
              </w:tc>
              <w:tc>
                <w:tcPr>
                  <w:tcW w:w="4290" w:type="dxa"/>
                  <w:vAlign w:val="center"/>
                </w:tcPr>
                <w:p w14:paraId="1F058F0D">
                  <w:pPr>
                    <w:keepNext w:val="0"/>
                    <w:keepLines w:val="0"/>
                    <w:suppressLineNumbers w:val="0"/>
                    <w:spacing w:before="0" w:beforeAutospacing="0" w:after="0" w:afterAutospacing="0"/>
                    <w:ind w:left="0" w:right="0"/>
                    <w:jc w:val="center"/>
                    <w:rPr>
                      <w:rFonts w:hint="default" w:ascii="Times New Roman" w:hAnsi="Times New Roman" w:eastAsia="宋体" w:cs="Times New Roman"/>
                      <w:b/>
                      <w:bCs/>
                      <w:color w:val="auto"/>
                      <w:szCs w:val="21"/>
                    </w:rPr>
                  </w:pPr>
                  <w:r>
                    <w:rPr>
                      <w:rFonts w:hint="default" w:ascii="Times New Roman" w:hAnsi="Times New Roman" w:eastAsia="宋体" w:cs="Times New Roman"/>
                      <w:b/>
                      <w:bCs/>
                      <w:color w:val="auto"/>
                      <w:szCs w:val="21"/>
                    </w:rPr>
                    <w:t>要求</w:t>
                  </w:r>
                </w:p>
              </w:tc>
              <w:tc>
                <w:tcPr>
                  <w:tcW w:w="2610" w:type="dxa"/>
                  <w:vAlign w:val="center"/>
                </w:tcPr>
                <w:p w14:paraId="334DB440">
                  <w:pPr>
                    <w:keepNext w:val="0"/>
                    <w:keepLines w:val="0"/>
                    <w:suppressLineNumbers w:val="0"/>
                    <w:spacing w:before="0" w:beforeAutospacing="0" w:after="0" w:afterAutospacing="0"/>
                    <w:ind w:left="0" w:right="0"/>
                    <w:jc w:val="center"/>
                    <w:rPr>
                      <w:rFonts w:hint="default" w:ascii="Times New Roman" w:hAnsi="Times New Roman" w:eastAsia="宋体" w:cs="Times New Roman"/>
                      <w:b/>
                      <w:bCs/>
                      <w:color w:val="auto"/>
                      <w:szCs w:val="21"/>
                    </w:rPr>
                  </w:pPr>
                  <w:r>
                    <w:rPr>
                      <w:rFonts w:hint="default" w:ascii="Times New Roman" w:hAnsi="Times New Roman" w:eastAsia="宋体" w:cs="Times New Roman"/>
                      <w:b/>
                      <w:bCs/>
                      <w:color w:val="auto"/>
                      <w:szCs w:val="21"/>
                    </w:rPr>
                    <w:t>本项目情况</w:t>
                  </w:r>
                </w:p>
              </w:tc>
              <w:tc>
                <w:tcPr>
                  <w:tcW w:w="438" w:type="dxa"/>
                  <w:vAlign w:val="center"/>
                </w:tcPr>
                <w:p w14:paraId="4708D384">
                  <w:pPr>
                    <w:keepNext w:val="0"/>
                    <w:keepLines w:val="0"/>
                    <w:suppressLineNumbers w:val="0"/>
                    <w:spacing w:before="0" w:beforeAutospacing="0" w:after="0" w:afterAutospacing="0"/>
                    <w:ind w:left="0" w:right="0"/>
                    <w:jc w:val="center"/>
                    <w:rPr>
                      <w:rFonts w:hint="default" w:ascii="Times New Roman" w:hAnsi="Times New Roman" w:eastAsia="宋体" w:cs="Times New Roman"/>
                      <w:b/>
                      <w:bCs/>
                      <w:color w:val="auto"/>
                      <w:szCs w:val="21"/>
                    </w:rPr>
                  </w:pPr>
                  <w:r>
                    <w:rPr>
                      <w:rFonts w:hint="default" w:ascii="Times New Roman" w:hAnsi="Times New Roman" w:eastAsia="宋体" w:cs="Times New Roman"/>
                      <w:b/>
                      <w:bCs/>
                      <w:color w:val="auto"/>
                      <w:szCs w:val="21"/>
                    </w:rPr>
                    <w:t>结论</w:t>
                  </w:r>
                </w:p>
              </w:tc>
            </w:tr>
            <w:tr w14:paraId="3911C4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487" w:type="dxa"/>
                  <w:vAlign w:val="center"/>
                </w:tcPr>
                <w:p w14:paraId="0478273C">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rPr>
                    <w:t>1</w:t>
                  </w:r>
                </w:p>
              </w:tc>
              <w:tc>
                <w:tcPr>
                  <w:tcW w:w="4290" w:type="dxa"/>
                  <w:vAlign w:val="center"/>
                </w:tcPr>
                <w:p w14:paraId="1085C8CB">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rPr>
                    <w:t>长江三角洲地区。落实《长江经济带取水口排污口和应急水源布局规划》，沿江地区进一步严格石化、化工、印染、造纸等项目环境准入，对干流两岸一定范围内新建相关重污染项目不予环境准入，推进石化化工企业向尚有一定环境容量的沿海地区集中、绿色发展</w:t>
                  </w:r>
                </w:p>
              </w:tc>
              <w:tc>
                <w:tcPr>
                  <w:tcW w:w="2610" w:type="dxa"/>
                  <w:vAlign w:val="center"/>
                </w:tcPr>
                <w:p w14:paraId="7774DCB9">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r>
                    <w:rPr>
                      <w:rFonts w:hint="eastAsia" w:ascii="Times New Roman" w:hAnsi="Times New Roman" w:eastAsia="宋体" w:cs="Times New Roman"/>
                      <w:color w:val="auto"/>
                      <w:szCs w:val="21"/>
                    </w:rPr>
                    <w:t>本</w:t>
                  </w:r>
                  <w:r>
                    <w:rPr>
                      <w:rFonts w:hint="default" w:ascii="Times New Roman" w:hAnsi="Times New Roman" w:eastAsia="宋体" w:cs="Times New Roman"/>
                      <w:color w:val="auto"/>
                      <w:szCs w:val="21"/>
                    </w:rPr>
                    <w:t>项目位于长江三角洲地区太湖流域，</w:t>
                  </w:r>
                  <w:r>
                    <w:rPr>
                      <w:rFonts w:hint="default" w:ascii="Times New Roman" w:hAnsi="Times New Roman" w:eastAsia="宋体" w:cs="Times New Roman"/>
                      <w:color w:val="auto"/>
                      <w:szCs w:val="21"/>
                      <w:lang w:val="en-US" w:eastAsia="zh-CN"/>
                    </w:rPr>
                    <w:t>行业类别为</w:t>
                  </w:r>
                  <w:r>
                    <w:rPr>
                      <w:rFonts w:hint="default" w:ascii="Times New Roman" w:hAnsi="Times New Roman" w:eastAsia="宋体" w:cs="Times New Roman"/>
                      <w:color w:val="auto"/>
                      <w:szCs w:val="21"/>
                    </w:rPr>
                    <w:t>C3670汽车零部件及配件制造、C2929塑料零件及其他塑料制品制造、C3034隔热和隔音材料制造，不属于石化、化工、印染、造纸等项目</w:t>
                  </w:r>
                </w:p>
              </w:tc>
              <w:tc>
                <w:tcPr>
                  <w:tcW w:w="438" w:type="dxa"/>
                  <w:vAlign w:val="center"/>
                </w:tcPr>
                <w:p w14:paraId="5944A243">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rPr>
                    <w:t>符合</w:t>
                  </w:r>
                </w:p>
              </w:tc>
            </w:tr>
            <w:tr w14:paraId="4ABEA5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487" w:type="dxa"/>
                  <w:vAlign w:val="center"/>
                </w:tcPr>
                <w:p w14:paraId="79A571C6">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rPr>
                    <w:t>2</w:t>
                  </w:r>
                </w:p>
              </w:tc>
              <w:tc>
                <w:tcPr>
                  <w:tcW w:w="4290" w:type="dxa"/>
                  <w:vAlign w:val="center"/>
                </w:tcPr>
                <w:p w14:paraId="5B0AC006">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rPr>
                    <w:t>对太湖流域新建原料化工、燃料、颜料及排放氮磷污染物的工业项目，不予环境准入</w:t>
                  </w:r>
                </w:p>
              </w:tc>
              <w:tc>
                <w:tcPr>
                  <w:tcW w:w="2610" w:type="dxa"/>
                  <w:vAlign w:val="center"/>
                </w:tcPr>
                <w:p w14:paraId="46759333">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r>
                    <w:rPr>
                      <w:rFonts w:hint="eastAsia" w:ascii="Times New Roman" w:hAnsi="Times New Roman" w:eastAsia="宋体" w:cs="Times New Roman"/>
                      <w:color w:val="auto"/>
                      <w:szCs w:val="21"/>
                    </w:rPr>
                    <w:t>本</w:t>
                  </w:r>
                  <w:r>
                    <w:rPr>
                      <w:rFonts w:hint="default" w:ascii="Times New Roman" w:hAnsi="Times New Roman" w:eastAsia="宋体" w:cs="Times New Roman"/>
                      <w:color w:val="auto"/>
                      <w:szCs w:val="21"/>
                    </w:rPr>
                    <w:t>项目不属于上述新建原料化工、燃料、颜料企业</w:t>
                  </w:r>
                </w:p>
              </w:tc>
              <w:tc>
                <w:tcPr>
                  <w:tcW w:w="438" w:type="dxa"/>
                  <w:vAlign w:val="center"/>
                </w:tcPr>
                <w:p w14:paraId="279CF062">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rPr>
                    <w:t>符合</w:t>
                  </w:r>
                </w:p>
              </w:tc>
            </w:tr>
            <w:tr w14:paraId="434225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487" w:type="dxa"/>
                  <w:vAlign w:val="center"/>
                </w:tcPr>
                <w:p w14:paraId="0EEBD79C">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rPr>
                    <w:t>3</w:t>
                  </w:r>
                </w:p>
              </w:tc>
              <w:tc>
                <w:tcPr>
                  <w:tcW w:w="4290" w:type="dxa"/>
                  <w:vAlign w:val="center"/>
                </w:tcPr>
                <w:p w14:paraId="08BB343F">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rPr>
                    <w:t>实施江、湖一体的氮、磷污染控制，防范和治理江、湖富营养化</w:t>
                  </w:r>
                </w:p>
              </w:tc>
              <w:tc>
                <w:tcPr>
                  <w:tcW w:w="2610" w:type="dxa"/>
                  <w:vAlign w:val="center"/>
                </w:tcPr>
                <w:p w14:paraId="10D00DB0">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r>
                    <w:rPr>
                      <w:rFonts w:hint="eastAsia" w:ascii="Times New Roman" w:hAnsi="Times New Roman" w:eastAsia="宋体" w:cs="Times New Roman"/>
                      <w:color w:val="auto"/>
                      <w:szCs w:val="21"/>
                    </w:rPr>
                    <w:t>本</w:t>
                  </w:r>
                  <w:r>
                    <w:rPr>
                      <w:rFonts w:hint="default" w:ascii="Times New Roman" w:hAnsi="Times New Roman" w:eastAsia="宋体" w:cs="Times New Roman"/>
                      <w:color w:val="auto"/>
                      <w:szCs w:val="21"/>
                    </w:rPr>
                    <w:t>项目实施后排放污染物不涉及氮、磷排放</w:t>
                  </w:r>
                </w:p>
              </w:tc>
              <w:tc>
                <w:tcPr>
                  <w:tcW w:w="438" w:type="dxa"/>
                  <w:vAlign w:val="center"/>
                </w:tcPr>
                <w:p w14:paraId="18A9C047">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rPr>
                    <w:t>符合</w:t>
                  </w:r>
                </w:p>
              </w:tc>
            </w:tr>
            <w:tr w14:paraId="526E85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487" w:type="dxa"/>
                  <w:vAlign w:val="center"/>
                </w:tcPr>
                <w:p w14:paraId="5B974BD0">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rPr>
                    <w:t>4</w:t>
                  </w:r>
                </w:p>
              </w:tc>
              <w:tc>
                <w:tcPr>
                  <w:tcW w:w="4290" w:type="dxa"/>
                  <w:vAlign w:val="center"/>
                </w:tcPr>
                <w:p w14:paraId="564448D2">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rPr>
                    <w:t>严格沿江港口码头环境准入，强化环境风险防范措施</w:t>
                  </w:r>
                </w:p>
              </w:tc>
              <w:tc>
                <w:tcPr>
                  <w:tcW w:w="2610" w:type="dxa"/>
                  <w:vAlign w:val="center"/>
                </w:tcPr>
                <w:p w14:paraId="14AA8D76">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r>
                    <w:rPr>
                      <w:rFonts w:hint="eastAsia" w:ascii="Times New Roman" w:hAnsi="Times New Roman" w:eastAsia="宋体" w:cs="Times New Roman"/>
                      <w:color w:val="auto"/>
                      <w:szCs w:val="21"/>
                    </w:rPr>
                    <w:t>本</w:t>
                  </w:r>
                  <w:r>
                    <w:rPr>
                      <w:rFonts w:hint="default" w:ascii="Times New Roman" w:hAnsi="Times New Roman" w:eastAsia="宋体" w:cs="Times New Roman"/>
                      <w:color w:val="auto"/>
                      <w:szCs w:val="21"/>
                    </w:rPr>
                    <w:t>项目</w:t>
                  </w:r>
                  <w:r>
                    <w:rPr>
                      <w:rFonts w:hint="default" w:ascii="Times New Roman" w:hAnsi="Times New Roman" w:eastAsia="宋体" w:cs="Times New Roman"/>
                      <w:color w:val="auto"/>
                      <w:szCs w:val="21"/>
                      <w:lang w:val="en-US" w:eastAsia="zh-CN"/>
                    </w:rPr>
                    <w:t>行业类别为</w:t>
                  </w:r>
                  <w:r>
                    <w:rPr>
                      <w:rFonts w:hint="default" w:ascii="Times New Roman" w:hAnsi="Times New Roman" w:eastAsia="宋体" w:cs="Times New Roman"/>
                      <w:color w:val="auto"/>
                      <w:szCs w:val="21"/>
                    </w:rPr>
                    <w:t>C3670汽车零部件及配件制造、C2929塑料零件及其他塑料制品制造、C3034隔热和隔音材料制造，和码头无关</w:t>
                  </w:r>
                </w:p>
              </w:tc>
              <w:tc>
                <w:tcPr>
                  <w:tcW w:w="438" w:type="dxa"/>
                  <w:vAlign w:val="center"/>
                </w:tcPr>
                <w:p w14:paraId="6E01B44B">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rPr>
                    <w:t>符合</w:t>
                  </w:r>
                </w:p>
              </w:tc>
            </w:tr>
          </w:tbl>
          <w:p w14:paraId="75073AA1">
            <w:pPr>
              <w:keepNext w:val="0"/>
              <w:keepLines w:val="0"/>
              <w:suppressLineNumbers w:val="0"/>
              <w:spacing w:before="0" w:beforeAutospacing="0" w:after="0" w:afterAutospacing="0" w:line="360" w:lineRule="auto"/>
              <w:ind w:left="0" w:right="0" w:firstLine="480" w:firstLineChars="200"/>
              <w:rPr>
                <w:rFonts w:hint="default" w:ascii="Times New Roman" w:hAnsi="Times New Roman" w:eastAsia="宋体" w:cs="Times New Roman"/>
                <w:color w:val="auto"/>
                <w:sz w:val="24"/>
              </w:rPr>
            </w:pPr>
            <w:r>
              <w:rPr>
                <w:rFonts w:hint="eastAsia" w:ascii="Times New Roman" w:hAnsi="Times New Roman" w:eastAsia="宋体" w:cs="Times New Roman"/>
                <w:color w:val="auto"/>
                <w:sz w:val="24"/>
              </w:rPr>
              <w:t>根据</w:t>
            </w:r>
            <w:r>
              <w:rPr>
                <w:rFonts w:hint="eastAsia" w:ascii="Times New Roman" w:hAnsi="Times New Roman" w:eastAsia="宋体" w:cs="Times New Roman"/>
                <w:color w:val="auto"/>
                <w:sz w:val="24"/>
                <w:lang w:val="en-US" w:eastAsia="zh-CN"/>
              </w:rPr>
              <w:t>上表</w:t>
            </w:r>
            <w:r>
              <w:rPr>
                <w:rFonts w:hint="eastAsia" w:ascii="Times New Roman" w:hAnsi="Times New Roman" w:eastAsia="宋体" w:cs="Times New Roman"/>
                <w:color w:val="auto"/>
                <w:sz w:val="24"/>
              </w:rPr>
              <w:t>可知，本项目选址符合《关于落实</w:t>
            </w:r>
            <w:r>
              <w:rPr>
                <w:rFonts w:hint="default" w:ascii="Times New Roman" w:hAnsi="Times New Roman" w:eastAsia="宋体" w:cs="Times New Roman"/>
                <w:color w:val="auto"/>
                <w:sz w:val="24"/>
              </w:rPr>
              <w:t>&lt;</w:t>
            </w:r>
            <w:r>
              <w:rPr>
                <w:rFonts w:hint="eastAsia" w:ascii="Times New Roman" w:hAnsi="Times New Roman" w:eastAsia="宋体" w:cs="Times New Roman"/>
                <w:color w:val="auto"/>
                <w:sz w:val="24"/>
              </w:rPr>
              <w:t>水污染防治行动计划</w:t>
            </w:r>
            <w:r>
              <w:rPr>
                <w:rFonts w:hint="default" w:ascii="Times New Roman" w:hAnsi="Times New Roman" w:eastAsia="宋体" w:cs="Times New Roman"/>
                <w:color w:val="auto"/>
                <w:sz w:val="24"/>
              </w:rPr>
              <w:t>&gt;</w:t>
            </w:r>
            <w:r>
              <w:rPr>
                <w:rFonts w:hint="eastAsia" w:ascii="Times New Roman" w:hAnsi="Times New Roman" w:eastAsia="宋体" w:cs="Times New Roman"/>
                <w:color w:val="auto"/>
                <w:sz w:val="24"/>
              </w:rPr>
              <w:t>实施区域差别化环境准入的指导意见》。</w:t>
            </w:r>
          </w:p>
          <w:p w14:paraId="316137B6">
            <w:pPr>
              <w:keepNext w:val="0"/>
              <w:keepLines w:val="0"/>
              <w:suppressLineNumbers w:val="0"/>
              <w:spacing w:before="0" w:beforeAutospacing="0" w:after="0" w:afterAutospacing="0" w:line="360" w:lineRule="auto"/>
              <w:ind w:left="0" w:right="0"/>
              <w:rPr>
                <w:rFonts w:hint="default" w:ascii="Times New Roman" w:hAnsi="Times New Roman" w:eastAsia="宋体" w:cs="Times New Roman"/>
                <w:b/>
                <w:bCs/>
                <w:color w:val="auto"/>
                <w:sz w:val="24"/>
              </w:rPr>
            </w:pPr>
            <w:r>
              <w:rPr>
                <w:rFonts w:hint="eastAsia" w:ascii="Times New Roman" w:hAnsi="Times New Roman" w:eastAsia="宋体" w:cs="Times New Roman"/>
                <w:b/>
                <w:bCs/>
                <w:color w:val="auto"/>
                <w:sz w:val="24"/>
                <w:lang w:val="en-US" w:eastAsia="zh-CN"/>
              </w:rPr>
              <w:t>1.2.5</w:t>
            </w:r>
            <w:r>
              <w:rPr>
                <w:rFonts w:hint="eastAsia" w:ascii="Times New Roman" w:hAnsi="Times New Roman" w:eastAsia="宋体" w:cs="Times New Roman"/>
                <w:b/>
                <w:bCs/>
                <w:color w:val="auto"/>
                <w:sz w:val="24"/>
              </w:rPr>
              <w:t>《长江经济带发展负面清单指南（试行，</w:t>
            </w:r>
            <w:r>
              <w:rPr>
                <w:rFonts w:hint="default" w:ascii="Times New Roman" w:hAnsi="Times New Roman" w:eastAsia="宋体" w:cs="Times New Roman"/>
                <w:b/>
                <w:bCs/>
                <w:color w:val="auto"/>
                <w:sz w:val="24"/>
              </w:rPr>
              <w:t>2022</w:t>
            </w:r>
            <w:r>
              <w:rPr>
                <w:rFonts w:hint="eastAsia" w:ascii="Times New Roman" w:hAnsi="Times New Roman" w:eastAsia="宋体" w:cs="Times New Roman"/>
                <w:b/>
                <w:bCs/>
                <w:color w:val="auto"/>
                <w:sz w:val="24"/>
              </w:rPr>
              <w:t>版）》浙江省实施细则符合性分析</w:t>
            </w:r>
          </w:p>
          <w:p w14:paraId="01147D44">
            <w:pPr>
              <w:keepNext w:val="0"/>
              <w:keepLines w:val="0"/>
              <w:suppressLineNumbers w:val="0"/>
              <w:spacing w:before="0" w:beforeAutospacing="0" w:after="0" w:afterAutospacing="0"/>
              <w:ind w:left="0" w:right="0"/>
              <w:jc w:val="center"/>
              <w:rPr>
                <w:rFonts w:hint="default" w:ascii="Times New Roman" w:hAnsi="Times New Roman" w:eastAsia="宋体" w:cs="Times New Roman"/>
                <w:b/>
                <w:bCs/>
                <w:color w:val="auto"/>
              </w:rPr>
            </w:pPr>
            <w:r>
              <w:rPr>
                <w:rFonts w:hint="eastAsia" w:ascii="Times New Roman" w:hAnsi="Times New Roman" w:eastAsia="宋体" w:cs="Times New Roman"/>
                <w:b/>
                <w:bCs/>
                <w:color w:val="auto"/>
              </w:rPr>
              <w:t>表</w:t>
            </w:r>
            <w:r>
              <w:rPr>
                <w:rFonts w:hint="default" w:ascii="Times New Roman" w:hAnsi="Times New Roman" w:eastAsia="宋体" w:cs="Times New Roman"/>
                <w:b/>
                <w:bCs/>
                <w:color w:val="auto"/>
              </w:rPr>
              <w:t>1-</w:t>
            </w:r>
            <w:r>
              <w:rPr>
                <w:rFonts w:hint="eastAsia" w:ascii="Times New Roman" w:hAnsi="Times New Roman" w:eastAsia="宋体" w:cs="Times New Roman"/>
                <w:b/>
                <w:bCs/>
                <w:color w:val="auto"/>
                <w:lang w:val="en-US" w:eastAsia="zh-CN"/>
              </w:rPr>
              <w:t>11</w:t>
            </w:r>
            <w:r>
              <w:rPr>
                <w:rFonts w:hint="default" w:ascii="Times New Roman" w:hAnsi="Times New Roman" w:eastAsia="宋体" w:cs="Times New Roman"/>
                <w:b/>
                <w:bCs/>
                <w:color w:val="auto"/>
              </w:rPr>
              <w:t xml:space="preserve"> </w:t>
            </w:r>
            <w:r>
              <w:rPr>
                <w:rFonts w:hint="eastAsia" w:ascii="Times New Roman" w:hAnsi="Times New Roman" w:eastAsia="宋体" w:cs="Times New Roman"/>
                <w:b/>
                <w:bCs/>
                <w:color w:val="auto"/>
              </w:rPr>
              <w:t xml:space="preserve"> 与《长江经济带发展负面清单指南（试行，</w:t>
            </w:r>
            <w:r>
              <w:rPr>
                <w:rFonts w:hint="default" w:ascii="Times New Roman" w:hAnsi="Times New Roman" w:eastAsia="宋体" w:cs="Times New Roman"/>
                <w:b/>
                <w:bCs/>
                <w:color w:val="auto"/>
              </w:rPr>
              <w:t>2022</w:t>
            </w:r>
            <w:r>
              <w:rPr>
                <w:rFonts w:hint="eastAsia" w:ascii="Times New Roman" w:hAnsi="Times New Roman" w:eastAsia="宋体" w:cs="Times New Roman"/>
                <w:b/>
                <w:bCs/>
                <w:color w:val="auto"/>
              </w:rPr>
              <w:t>年版）》浙江省实施细则符合性分析</w:t>
            </w:r>
          </w:p>
          <w:tbl>
            <w:tblPr>
              <w:tblStyle w:val="23"/>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502"/>
              <w:gridCol w:w="4366"/>
              <w:gridCol w:w="2658"/>
              <w:gridCol w:w="452"/>
            </w:tblGrid>
            <w:tr w14:paraId="5ECBE3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487" w:type="dxa"/>
                  <w:vAlign w:val="center"/>
                </w:tcPr>
                <w:p w14:paraId="0A165294">
                  <w:pPr>
                    <w:keepNext w:val="0"/>
                    <w:keepLines w:val="0"/>
                    <w:suppressLineNumbers w:val="0"/>
                    <w:spacing w:before="0" w:beforeAutospacing="0" w:after="0" w:afterAutospacing="0"/>
                    <w:ind w:left="0" w:right="0"/>
                    <w:jc w:val="center"/>
                    <w:rPr>
                      <w:rFonts w:hint="default" w:ascii="Times New Roman" w:hAnsi="Times New Roman" w:eastAsia="宋体" w:cs="Times New Roman"/>
                      <w:b/>
                      <w:bCs/>
                      <w:color w:val="auto"/>
                      <w:szCs w:val="21"/>
                    </w:rPr>
                  </w:pPr>
                  <w:r>
                    <w:rPr>
                      <w:rFonts w:hint="default" w:ascii="Times New Roman" w:hAnsi="Times New Roman" w:eastAsia="宋体" w:cs="Times New Roman"/>
                      <w:b/>
                      <w:bCs/>
                      <w:color w:val="auto"/>
                      <w:szCs w:val="21"/>
                    </w:rPr>
                    <w:t>序号</w:t>
                  </w:r>
                </w:p>
              </w:tc>
              <w:tc>
                <w:tcPr>
                  <w:tcW w:w="4290" w:type="dxa"/>
                  <w:vAlign w:val="center"/>
                </w:tcPr>
                <w:p w14:paraId="156AA613">
                  <w:pPr>
                    <w:keepNext w:val="0"/>
                    <w:keepLines w:val="0"/>
                    <w:suppressLineNumbers w:val="0"/>
                    <w:spacing w:before="0" w:beforeAutospacing="0" w:after="0" w:afterAutospacing="0"/>
                    <w:ind w:left="0" w:right="0"/>
                    <w:jc w:val="center"/>
                    <w:rPr>
                      <w:rFonts w:hint="default" w:ascii="Times New Roman" w:hAnsi="Times New Roman" w:eastAsia="宋体" w:cs="Times New Roman"/>
                      <w:b/>
                      <w:bCs/>
                      <w:color w:val="auto"/>
                      <w:szCs w:val="21"/>
                    </w:rPr>
                  </w:pPr>
                  <w:r>
                    <w:rPr>
                      <w:rFonts w:hint="default" w:ascii="Times New Roman" w:hAnsi="Times New Roman" w:eastAsia="宋体" w:cs="Times New Roman"/>
                      <w:b/>
                      <w:bCs/>
                      <w:color w:val="auto"/>
                      <w:szCs w:val="21"/>
                    </w:rPr>
                    <w:t>要求</w:t>
                  </w:r>
                </w:p>
              </w:tc>
              <w:tc>
                <w:tcPr>
                  <w:tcW w:w="2610" w:type="dxa"/>
                  <w:vAlign w:val="center"/>
                </w:tcPr>
                <w:p w14:paraId="3771EF9F">
                  <w:pPr>
                    <w:keepNext w:val="0"/>
                    <w:keepLines w:val="0"/>
                    <w:suppressLineNumbers w:val="0"/>
                    <w:spacing w:before="0" w:beforeAutospacing="0" w:after="0" w:afterAutospacing="0"/>
                    <w:ind w:left="0" w:right="0"/>
                    <w:jc w:val="center"/>
                    <w:rPr>
                      <w:rFonts w:hint="default" w:ascii="Times New Roman" w:hAnsi="Times New Roman" w:eastAsia="宋体" w:cs="Times New Roman"/>
                      <w:b/>
                      <w:bCs/>
                      <w:color w:val="auto"/>
                      <w:szCs w:val="21"/>
                    </w:rPr>
                  </w:pPr>
                  <w:r>
                    <w:rPr>
                      <w:rFonts w:hint="default" w:ascii="Times New Roman" w:hAnsi="Times New Roman" w:eastAsia="宋体" w:cs="Times New Roman"/>
                      <w:b/>
                      <w:bCs/>
                      <w:color w:val="auto"/>
                      <w:szCs w:val="21"/>
                    </w:rPr>
                    <w:t>本项目情况</w:t>
                  </w:r>
                </w:p>
              </w:tc>
              <w:tc>
                <w:tcPr>
                  <w:tcW w:w="438" w:type="dxa"/>
                  <w:vAlign w:val="center"/>
                </w:tcPr>
                <w:p w14:paraId="2902783F">
                  <w:pPr>
                    <w:keepNext w:val="0"/>
                    <w:keepLines w:val="0"/>
                    <w:suppressLineNumbers w:val="0"/>
                    <w:spacing w:before="0" w:beforeAutospacing="0" w:after="0" w:afterAutospacing="0"/>
                    <w:ind w:left="0" w:right="0"/>
                    <w:jc w:val="center"/>
                    <w:rPr>
                      <w:rFonts w:hint="default" w:ascii="Times New Roman" w:hAnsi="Times New Roman" w:eastAsia="宋体" w:cs="Times New Roman"/>
                      <w:b/>
                      <w:bCs/>
                      <w:color w:val="auto"/>
                      <w:szCs w:val="21"/>
                    </w:rPr>
                  </w:pPr>
                  <w:r>
                    <w:rPr>
                      <w:rFonts w:hint="default" w:ascii="Times New Roman" w:hAnsi="Times New Roman" w:eastAsia="宋体" w:cs="Times New Roman"/>
                      <w:b/>
                      <w:bCs/>
                      <w:color w:val="auto"/>
                      <w:szCs w:val="21"/>
                    </w:rPr>
                    <w:t>结论</w:t>
                  </w:r>
                </w:p>
              </w:tc>
            </w:tr>
            <w:tr w14:paraId="7DD3E4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487" w:type="dxa"/>
                  <w:vAlign w:val="center"/>
                </w:tcPr>
                <w:p w14:paraId="4EF6A90B">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rPr>
                    <w:t>1</w:t>
                  </w:r>
                </w:p>
              </w:tc>
              <w:tc>
                <w:tcPr>
                  <w:tcW w:w="4290" w:type="dxa"/>
                  <w:vAlign w:val="center"/>
                </w:tcPr>
                <w:p w14:paraId="67BFEB0D">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rPr>
                    <w:t>港口码头项目建设必须严格遵守《中华人民共和国港口法》、交通运输部《港口规划管理规定》、《港口工程建设管理规定》以及《浙江省港口管理条例》的规定</w:t>
                  </w:r>
                </w:p>
              </w:tc>
              <w:tc>
                <w:tcPr>
                  <w:tcW w:w="2610" w:type="dxa"/>
                  <w:vAlign w:val="center"/>
                </w:tcPr>
                <w:p w14:paraId="48A94CAE">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r>
                    <w:rPr>
                      <w:rFonts w:hint="eastAsia" w:ascii="Times New Roman" w:hAnsi="Times New Roman" w:eastAsia="宋体" w:cs="Times New Roman"/>
                      <w:color w:val="auto"/>
                      <w:szCs w:val="21"/>
                    </w:rPr>
                    <w:t>本</w:t>
                  </w:r>
                  <w:r>
                    <w:rPr>
                      <w:rFonts w:hint="default" w:ascii="Times New Roman" w:hAnsi="Times New Roman" w:eastAsia="宋体" w:cs="Times New Roman"/>
                      <w:color w:val="auto"/>
                      <w:szCs w:val="21"/>
                    </w:rPr>
                    <w:t>项目不属于码头项目</w:t>
                  </w:r>
                </w:p>
              </w:tc>
              <w:tc>
                <w:tcPr>
                  <w:tcW w:w="438" w:type="dxa"/>
                  <w:vAlign w:val="center"/>
                </w:tcPr>
                <w:p w14:paraId="21EF8BD3">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rPr>
                    <w:t>符合</w:t>
                  </w:r>
                </w:p>
              </w:tc>
            </w:tr>
            <w:tr w14:paraId="7BEB60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487" w:type="dxa"/>
                  <w:vAlign w:val="center"/>
                </w:tcPr>
                <w:p w14:paraId="44F60F09">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rPr>
                    <w:t>2</w:t>
                  </w:r>
                </w:p>
              </w:tc>
              <w:tc>
                <w:tcPr>
                  <w:tcW w:w="4290" w:type="dxa"/>
                  <w:vAlign w:val="center"/>
                </w:tcPr>
                <w:p w14:paraId="2EABA882">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rPr>
                    <w:t>禁止建设不符合《全国沿海港口布局规划》、《全国内河航道与港口布局规划》、《浙江省沿海港口布局规划》、《浙江省内河航运发展规划》以及项目所在地港口总体规划的港口码头项目</w:t>
                  </w:r>
                </w:p>
              </w:tc>
              <w:tc>
                <w:tcPr>
                  <w:tcW w:w="2610" w:type="dxa"/>
                  <w:vAlign w:val="center"/>
                </w:tcPr>
                <w:p w14:paraId="0A6C4DB5">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r>
                    <w:rPr>
                      <w:rFonts w:hint="eastAsia" w:ascii="Times New Roman" w:hAnsi="Times New Roman" w:eastAsia="宋体" w:cs="Times New Roman"/>
                      <w:color w:val="auto"/>
                      <w:szCs w:val="21"/>
                    </w:rPr>
                    <w:t>本</w:t>
                  </w:r>
                  <w:r>
                    <w:rPr>
                      <w:rFonts w:hint="default" w:ascii="Times New Roman" w:hAnsi="Times New Roman" w:eastAsia="宋体" w:cs="Times New Roman"/>
                      <w:color w:val="auto"/>
                      <w:szCs w:val="21"/>
                    </w:rPr>
                    <w:t>项目不属于码头项目</w:t>
                  </w:r>
                </w:p>
              </w:tc>
              <w:tc>
                <w:tcPr>
                  <w:tcW w:w="438" w:type="dxa"/>
                  <w:vAlign w:val="center"/>
                </w:tcPr>
                <w:p w14:paraId="77EDE15B">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rPr>
                    <w:t>符合</w:t>
                  </w:r>
                </w:p>
              </w:tc>
            </w:tr>
            <w:tr w14:paraId="4ECAE5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487" w:type="dxa"/>
                  <w:vAlign w:val="center"/>
                </w:tcPr>
                <w:p w14:paraId="0FE71B5E">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rPr>
                    <w:t>3</w:t>
                  </w:r>
                </w:p>
              </w:tc>
              <w:tc>
                <w:tcPr>
                  <w:tcW w:w="4290" w:type="dxa"/>
                  <w:vAlign w:val="center"/>
                </w:tcPr>
                <w:p w14:paraId="3011AA02">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rPr>
                    <w:t>禁止在自然保护地的岸线和河段范围内投资建设不符合《浙江省自然保护地建设项目准入负面清单（试行）》的项目。禁止在自然保护地的岸线和河段范围内采石、采砂、采土、砍伐以及其他严重改变地形地貌、破坏自然生态、影响自然景观的开发利用行为。禁止在I级林地、一级国家级公益林内建设项目。自然保护地由省林业局会同相关管理机构界定</w:t>
                  </w:r>
                </w:p>
              </w:tc>
              <w:tc>
                <w:tcPr>
                  <w:tcW w:w="2610" w:type="dxa"/>
                  <w:vAlign w:val="center"/>
                </w:tcPr>
                <w:p w14:paraId="30B3E5CB">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r>
                    <w:rPr>
                      <w:rFonts w:hint="eastAsia" w:ascii="Times New Roman" w:hAnsi="Times New Roman" w:eastAsia="宋体" w:cs="Times New Roman"/>
                      <w:color w:val="auto"/>
                      <w:szCs w:val="21"/>
                    </w:rPr>
                    <w:t>本</w:t>
                  </w:r>
                  <w:r>
                    <w:rPr>
                      <w:rFonts w:hint="default" w:ascii="Times New Roman" w:hAnsi="Times New Roman" w:eastAsia="宋体" w:cs="Times New Roman"/>
                      <w:color w:val="auto"/>
                      <w:szCs w:val="21"/>
                    </w:rPr>
                    <w:t>项目位于浙江省湖州市安吉县天子湖镇长隆路398号，不属于自然保护地的岸线和河段范围内，不位于I级林地、一级国家级公益林内</w:t>
                  </w:r>
                </w:p>
              </w:tc>
              <w:tc>
                <w:tcPr>
                  <w:tcW w:w="438" w:type="dxa"/>
                  <w:vAlign w:val="center"/>
                </w:tcPr>
                <w:p w14:paraId="00837923">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rPr>
                    <w:t>符合</w:t>
                  </w:r>
                </w:p>
              </w:tc>
            </w:tr>
            <w:tr w14:paraId="7E4EF1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487" w:type="dxa"/>
                  <w:vAlign w:val="center"/>
                </w:tcPr>
                <w:p w14:paraId="58DD76EE">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rPr>
                    <w:t>4</w:t>
                  </w:r>
                </w:p>
              </w:tc>
              <w:tc>
                <w:tcPr>
                  <w:tcW w:w="4290" w:type="dxa"/>
                  <w:vAlign w:val="center"/>
                </w:tcPr>
                <w:p w14:paraId="43286EE3">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rPr>
                    <w:t>禁止在饮用水水源一级保护区、二级保护区、准保护区的岸线和河段范围内投资建设不符合《浙江省饮用水源保护条例》的项目。饮用水水源一级保护区、二级保护区、准保护区由省生态环境厅会同相关管理机构界定</w:t>
                  </w:r>
                </w:p>
              </w:tc>
              <w:tc>
                <w:tcPr>
                  <w:tcW w:w="2610" w:type="dxa"/>
                  <w:vAlign w:val="center"/>
                </w:tcPr>
                <w:p w14:paraId="0132DFEC">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r>
                    <w:rPr>
                      <w:rFonts w:hint="eastAsia" w:ascii="Times New Roman" w:hAnsi="Times New Roman" w:eastAsia="宋体" w:cs="Times New Roman"/>
                      <w:color w:val="auto"/>
                      <w:szCs w:val="21"/>
                    </w:rPr>
                    <w:t>本</w:t>
                  </w:r>
                  <w:r>
                    <w:rPr>
                      <w:rFonts w:hint="default" w:ascii="Times New Roman" w:hAnsi="Times New Roman" w:eastAsia="宋体" w:cs="Times New Roman"/>
                      <w:color w:val="auto"/>
                      <w:szCs w:val="21"/>
                    </w:rPr>
                    <w:t>项目位于浙江省湖州市安吉县天子湖镇长隆路398号，不位于饮用水水源一级保护区、二级保护区、准保护区的岸线和河段范围内</w:t>
                  </w:r>
                </w:p>
              </w:tc>
              <w:tc>
                <w:tcPr>
                  <w:tcW w:w="438" w:type="dxa"/>
                  <w:vAlign w:val="center"/>
                </w:tcPr>
                <w:p w14:paraId="17C511F7">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rPr>
                    <w:t>符合</w:t>
                  </w:r>
                </w:p>
              </w:tc>
            </w:tr>
            <w:tr w14:paraId="7880F8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487" w:type="dxa"/>
                  <w:vAlign w:val="center"/>
                </w:tcPr>
                <w:p w14:paraId="3586EC0E">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rPr>
                    <w:t>5</w:t>
                  </w:r>
                </w:p>
              </w:tc>
              <w:tc>
                <w:tcPr>
                  <w:tcW w:w="4290" w:type="dxa"/>
                  <w:vAlign w:val="center"/>
                </w:tcPr>
                <w:p w14:paraId="141AA6D6">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rPr>
                    <w:t>禁止在水产种质资源保护区的岸线和河段范围内新建围湖造田、围湖造地或围填海等投资建设项目。水产种质资源保护区由省农业农村厅会同相关管理机构界定</w:t>
                  </w:r>
                </w:p>
              </w:tc>
              <w:tc>
                <w:tcPr>
                  <w:tcW w:w="2610" w:type="dxa"/>
                  <w:vAlign w:val="center"/>
                </w:tcPr>
                <w:p w14:paraId="5D7F19BC">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r>
                    <w:rPr>
                      <w:rFonts w:hint="eastAsia" w:ascii="Times New Roman" w:hAnsi="Times New Roman" w:eastAsia="宋体" w:cs="Times New Roman"/>
                      <w:color w:val="auto"/>
                      <w:szCs w:val="21"/>
                    </w:rPr>
                    <w:t>本</w:t>
                  </w:r>
                  <w:r>
                    <w:rPr>
                      <w:rFonts w:hint="default" w:ascii="Times New Roman" w:hAnsi="Times New Roman" w:eastAsia="宋体" w:cs="Times New Roman"/>
                      <w:color w:val="auto"/>
                      <w:szCs w:val="21"/>
                    </w:rPr>
                    <w:t>项目位于浙江省湖州市安吉县天子湖镇长隆路398号，不属于饮用水水源一级保护区的岸线和河段范围内</w:t>
                  </w:r>
                </w:p>
              </w:tc>
              <w:tc>
                <w:tcPr>
                  <w:tcW w:w="438" w:type="dxa"/>
                  <w:vAlign w:val="center"/>
                </w:tcPr>
                <w:p w14:paraId="700B31C3">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rPr>
                    <w:t>符合</w:t>
                  </w:r>
                </w:p>
              </w:tc>
            </w:tr>
            <w:tr w14:paraId="37D80A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487" w:type="dxa"/>
                  <w:vAlign w:val="center"/>
                </w:tcPr>
                <w:p w14:paraId="06C39D57">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rPr>
                    <w:t>6</w:t>
                  </w:r>
                </w:p>
              </w:tc>
              <w:tc>
                <w:tcPr>
                  <w:tcW w:w="4290" w:type="dxa"/>
                  <w:vAlign w:val="center"/>
                </w:tcPr>
                <w:p w14:paraId="1977B899">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rPr>
                    <w:t>在国家湿地公园的岸线和河段范围内：</w:t>
                  </w:r>
                </w:p>
                <w:p w14:paraId="20F17C95">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rPr>
                    <w:t>（一）禁止挖沙、采矿；（二）禁止任何不符合主体功能定位的投资建设项目；（三）禁止开（围）垦、填埋或者排干湿地；（四）禁止截断湿地水源；（五）禁止倾倒有毒有害物质、废弃物、垃圾；（六）禁止破坏野生动物栖息地和迁徙通道、鱼类洄游通道，禁止滥采滥捕野生动植物；（七）禁止引入外来物种；（八）禁止擅自放牧、捕捞、取土、取水、排污、放生；（九）禁止其他破坏湿地及其生态功能的活动。国家湿地公园由省林业局会同相关管理机构界定</w:t>
                  </w:r>
                </w:p>
              </w:tc>
              <w:tc>
                <w:tcPr>
                  <w:tcW w:w="2610" w:type="dxa"/>
                  <w:vAlign w:val="center"/>
                </w:tcPr>
                <w:p w14:paraId="6B45200A">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r>
                    <w:rPr>
                      <w:rFonts w:hint="eastAsia" w:ascii="Times New Roman" w:hAnsi="Times New Roman" w:eastAsia="宋体" w:cs="Times New Roman"/>
                      <w:color w:val="auto"/>
                      <w:szCs w:val="21"/>
                    </w:rPr>
                    <w:t>本</w:t>
                  </w:r>
                  <w:r>
                    <w:rPr>
                      <w:rFonts w:hint="default" w:ascii="Times New Roman" w:hAnsi="Times New Roman" w:eastAsia="宋体" w:cs="Times New Roman"/>
                      <w:color w:val="auto"/>
                      <w:szCs w:val="21"/>
                    </w:rPr>
                    <w:t>项目位于浙江省湖州市安吉县天子湖镇长隆路398号，不属于国家湿地公园的岸线和河段范围内</w:t>
                  </w:r>
                </w:p>
              </w:tc>
              <w:tc>
                <w:tcPr>
                  <w:tcW w:w="438" w:type="dxa"/>
                  <w:vAlign w:val="center"/>
                </w:tcPr>
                <w:p w14:paraId="55EB1D83">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rPr>
                    <w:t>符合</w:t>
                  </w:r>
                </w:p>
              </w:tc>
            </w:tr>
            <w:tr w14:paraId="329829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487" w:type="dxa"/>
                  <w:vAlign w:val="center"/>
                </w:tcPr>
                <w:p w14:paraId="7614B749">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rPr>
                    <w:t>7</w:t>
                  </w:r>
                </w:p>
              </w:tc>
              <w:tc>
                <w:tcPr>
                  <w:tcW w:w="4290" w:type="dxa"/>
                  <w:vAlign w:val="center"/>
                </w:tcPr>
                <w:p w14:paraId="13C8547F">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rPr>
                    <w:t>禁止违法利用、占用长江流域河湖岸线</w:t>
                  </w:r>
                </w:p>
              </w:tc>
              <w:tc>
                <w:tcPr>
                  <w:tcW w:w="2610" w:type="dxa"/>
                  <w:vAlign w:val="center"/>
                </w:tcPr>
                <w:p w14:paraId="075E520C">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rPr>
                    <w:t>本项目不涉及</w:t>
                  </w:r>
                </w:p>
              </w:tc>
              <w:tc>
                <w:tcPr>
                  <w:tcW w:w="438" w:type="dxa"/>
                  <w:vAlign w:val="center"/>
                </w:tcPr>
                <w:p w14:paraId="487E5BE5">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rPr>
                    <w:t>不涉及</w:t>
                  </w:r>
                </w:p>
              </w:tc>
            </w:tr>
            <w:tr w14:paraId="1EDD03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487" w:type="dxa"/>
                  <w:vAlign w:val="center"/>
                </w:tcPr>
                <w:p w14:paraId="1273338D">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rPr>
                    <w:t>8</w:t>
                  </w:r>
                </w:p>
              </w:tc>
              <w:tc>
                <w:tcPr>
                  <w:tcW w:w="4290" w:type="dxa"/>
                  <w:vAlign w:val="center"/>
                </w:tcPr>
                <w:p w14:paraId="688D5DA5">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rPr>
                    <w:t>禁止在《长江岸线保护和开发利用总体规划》划定的岸线保护区和保留区内投资建设除事关公共安全及公众利益的防洪护岸、河道治理、供水、生态环境保护、航道整治、国家重要基础设施以外的项目</w:t>
                  </w:r>
                </w:p>
              </w:tc>
              <w:tc>
                <w:tcPr>
                  <w:tcW w:w="2610" w:type="dxa"/>
                  <w:vAlign w:val="center"/>
                </w:tcPr>
                <w:p w14:paraId="124E7057">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rPr>
                    <w:t>本项目不涉及</w:t>
                  </w:r>
                </w:p>
              </w:tc>
              <w:tc>
                <w:tcPr>
                  <w:tcW w:w="438" w:type="dxa"/>
                  <w:vAlign w:val="center"/>
                </w:tcPr>
                <w:p w14:paraId="66387492">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rPr>
                    <w:t>不涉及</w:t>
                  </w:r>
                </w:p>
              </w:tc>
            </w:tr>
            <w:tr w14:paraId="7BFACE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487" w:type="dxa"/>
                  <w:vAlign w:val="center"/>
                </w:tcPr>
                <w:p w14:paraId="1FD7106E">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rPr>
                    <w:t>9</w:t>
                  </w:r>
                </w:p>
              </w:tc>
              <w:tc>
                <w:tcPr>
                  <w:tcW w:w="4290" w:type="dxa"/>
                  <w:vAlign w:val="center"/>
                </w:tcPr>
                <w:p w14:paraId="189E194A">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rPr>
                    <w:t>禁止在《全国重要江河湖泊水功能区划》规定的河段及湖泊保护区、保留区内投资建设不利于水资源及自然生态保护的项目</w:t>
                  </w:r>
                </w:p>
              </w:tc>
              <w:tc>
                <w:tcPr>
                  <w:tcW w:w="2610" w:type="dxa"/>
                  <w:vAlign w:val="center"/>
                </w:tcPr>
                <w:p w14:paraId="043CF0BF">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rPr>
                    <w:t>本项目不涉及</w:t>
                  </w:r>
                </w:p>
              </w:tc>
              <w:tc>
                <w:tcPr>
                  <w:tcW w:w="438" w:type="dxa"/>
                  <w:vAlign w:val="center"/>
                </w:tcPr>
                <w:p w14:paraId="30EC8017">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rPr>
                    <w:t>不涉及</w:t>
                  </w:r>
                </w:p>
              </w:tc>
            </w:tr>
            <w:tr w14:paraId="6C109A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487" w:type="dxa"/>
                  <w:vAlign w:val="center"/>
                </w:tcPr>
                <w:p w14:paraId="5FDA2770">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rPr>
                    <w:t>10</w:t>
                  </w:r>
                </w:p>
              </w:tc>
              <w:tc>
                <w:tcPr>
                  <w:tcW w:w="4290" w:type="dxa"/>
                  <w:vAlign w:val="center"/>
                </w:tcPr>
                <w:p w14:paraId="4F27DA6A">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rPr>
                    <w:t>禁止未经许可在长江干支流及湖泊新设、改设或扩大排污口</w:t>
                  </w:r>
                </w:p>
              </w:tc>
              <w:tc>
                <w:tcPr>
                  <w:tcW w:w="2610" w:type="dxa"/>
                  <w:vAlign w:val="center"/>
                </w:tcPr>
                <w:p w14:paraId="46F2EF78">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rPr>
                    <w:t>本项目不涉及</w:t>
                  </w:r>
                </w:p>
              </w:tc>
              <w:tc>
                <w:tcPr>
                  <w:tcW w:w="438" w:type="dxa"/>
                  <w:vAlign w:val="center"/>
                </w:tcPr>
                <w:p w14:paraId="70D9BC10">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rPr>
                    <w:t>不涉及</w:t>
                  </w:r>
                </w:p>
              </w:tc>
            </w:tr>
            <w:tr w14:paraId="7A2863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487" w:type="dxa"/>
                  <w:vAlign w:val="center"/>
                </w:tcPr>
                <w:p w14:paraId="53F51E61">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rPr>
                    <w:t>11</w:t>
                  </w:r>
                </w:p>
              </w:tc>
              <w:tc>
                <w:tcPr>
                  <w:tcW w:w="4290" w:type="dxa"/>
                  <w:vAlign w:val="center"/>
                </w:tcPr>
                <w:p w14:paraId="7D9B52F7">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rPr>
                    <w:t>禁止在长江支流、太湖等重要岸线一公里范围内新建、扩建化工园区和化工项目</w:t>
                  </w:r>
                </w:p>
              </w:tc>
              <w:tc>
                <w:tcPr>
                  <w:tcW w:w="2610" w:type="dxa"/>
                  <w:vAlign w:val="center"/>
                </w:tcPr>
                <w:p w14:paraId="4ACAC4DE">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r>
                    <w:rPr>
                      <w:rFonts w:hint="eastAsia" w:ascii="Times New Roman" w:hAnsi="Times New Roman" w:eastAsia="宋体" w:cs="Times New Roman"/>
                      <w:color w:val="auto"/>
                      <w:szCs w:val="21"/>
                    </w:rPr>
                    <w:t>本</w:t>
                  </w:r>
                  <w:r>
                    <w:rPr>
                      <w:rFonts w:hint="default" w:ascii="Times New Roman" w:hAnsi="Times New Roman" w:eastAsia="宋体" w:cs="Times New Roman"/>
                      <w:color w:val="auto"/>
                      <w:szCs w:val="21"/>
                    </w:rPr>
                    <w:t>项目位于浙江省湖州市安吉县天子湖镇长隆路398号，不位于长江支流、太湖等重要岸线一公里范围内</w:t>
                  </w:r>
                </w:p>
              </w:tc>
              <w:tc>
                <w:tcPr>
                  <w:tcW w:w="438" w:type="dxa"/>
                  <w:vAlign w:val="center"/>
                </w:tcPr>
                <w:p w14:paraId="5FEF4B4B">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rPr>
                    <w:t>符合</w:t>
                  </w:r>
                </w:p>
              </w:tc>
            </w:tr>
            <w:tr w14:paraId="3DF351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487" w:type="dxa"/>
                  <w:vAlign w:val="center"/>
                </w:tcPr>
                <w:p w14:paraId="7A7DE483">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rPr>
                    <w:t>12</w:t>
                  </w:r>
                </w:p>
              </w:tc>
              <w:tc>
                <w:tcPr>
                  <w:tcW w:w="4290" w:type="dxa"/>
                  <w:vAlign w:val="center"/>
                </w:tcPr>
                <w:p w14:paraId="4AB46CA7">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rPr>
                    <w:t>禁止在长江重要支流岸线一公里范围内新建、改建、扩建尾矿库、冶炼渣库和磷石膏库，以提升安全、生态环境保护水平为目的的改建除外</w:t>
                  </w:r>
                </w:p>
              </w:tc>
              <w:tc>
                <w:tcPr>
                  <w:tcW w:w="2610" w:type="dxa"/>
                  <w:vAlign w:val="center"/>
                </w:tcPr>
                <w:p w14:paraId="06B90E46">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r>
                    <w:rPr>
                      <w:rFonts w:hint="eastAsia" w:ascii="Times New Roman" w:hAnsi="Times New Roman" w:eastAsia="宋体" w:cs="Times New Roman"/>
                      <w:color w:val="auto"/>
                      <w:szCs w:val="21"/>
                    </w:rPr>
                    <w:t>本</w:t>
                  </w:r>
                  <w:r>
                    <w:rPr>
                      <w:rFonts w:hint="default" w:ascii="Times New Roman" w:hAnsi="Times New Roman" w:eastAsia="宋体" w:cs="Times New Roman"/>
                      <w:color w:val="auto"/>
                      <w:szCs w:val="21"/>
                    </w:rPr>
                    <w:t>项目位于浙江省湖州市安吉县天子湖镇长隆路398号，不位于长江重要支流岸线一公里范围内</w:t>
                  </w:r>
                </w:p>
              </w:tc>
              <w:tc>
                <w:tcPr>
                  <w:tcW w:w="438" w:type="dxa"/>
                  <w:vAlign w:val="center"/>
                </w:tcPr>
                <w:p w14:paraId="04655179">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rPr>
                    <w:t>符合</w:t>
                  </w:r>
                </w:p>
              </w:tc>
            </w:tr>
            <w:tr w14:paraId="64494A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487" w:type="dxa"/>
                  <w:vAlign w:val="center"/>
                </w:tcPr>
                <w:p w14:paraId="3A92D39D">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rPr>
                    <w:t>13</w:t>
                  </w:r>
                </w:p>
              </w:tc>
              <w:tc>
                <w:tcPr>
                  <w:tcW w:w="4290" w:type="dxa"/>
                  <w:vAlign w:val="center"/>
                </w:tcPr>
                <w:p w14:paraId="2DCD0AB9">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rPr>
                    <w:t>禁止在合规园区外新建、扩建钢铁、石化、化工、焦化、建材、有色、制浆造纸等高污染项目。高污染项目清单参照生态环境部《环境保护综合目录》中的高污染产品目录执行</w:t>
                  </w:r>
                </w:p>
              </w:tc>
              <w:tc>
                <w:tcPr>
                  <w:tcW w:w="2610" w:type="dxa"/>
                  <w:vAlign w:val="center"/>
                </w:tcPr>
                <w:p w14:paraId="2E212922">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r>
                    <w:rPr>
                      <w:rFonts w:hint="eastAsia" w:ascii="Times New Roman" w:hAnsi="Times New Roman" w:eastAsia="宋体" w:cs="Times New Roman"/>
                      <w:color w:val="auto"/>
                      <w:szCs w:val="21"/>
                    </w:rPr>
                    <w:t>本</w:t>
                  </w:r>
                  <w:r>
                    <w:rPr>
                      <w:rFonts w:hint="default" w:ascii="Times New Roman" w:hAnsi="Times New Roman" w:eastAsia="宋体" w:cs="Times New Roman"/>
                      <w:color w:val="auto"/>
                      <w:szCs w:val="21"/>
                    </w:rPr>
                    <w:t>项目位于浙江省湖州市安吉县天子湖镇长隆路398号，且不属于高污染项目</w:t>
                  </w:r>
                </w:p>
              </w:tc>
              <w:tc>
                <w:tcPr>
                  <w:tcW w:w="438" w:type="dxa"/>
                  <w:vAlign w:val="center"/>
                </w:tcPr>
                <w:p w14:paraId="4933D398">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rPr>
                    <w:t>符合</w:t>
                  </w:r>
                </w:p>
              </w:tc>
            </w:tr>
            <w:tr w14:paraId="354BD4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487" w:type="dxa"/>
                  <w:vAlign w:val="center"/>
                </w:tcPr>
                <w:p w14:paraId="6AC2D498">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rPr>
                    <w:t>14</w:t>
                  </w:r>
                </w:p>
              </w:tc>
              <w:tc>
                <w:tcPr>
                  <w:tcW w:w="4290" w:type="dxa"/>
                  <w:vAlign w:val="center"/>
                </w:tcPr>
                <w:p w14:paraId="4F62ADD3">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rPr>
                    <w:t>禁止新建、扩建不符合国家石化、现代煤化工等产业布局规划的项目</w:t>
                  </w:r>
                </w:p>
              </w:tc>
              <w:tc>
                <w:tcPr>
                  <w:tcW w:w="2610" w:type="dxa"/>
                  <w:vAlign w:val="center"/>
                </w:tcPr>
                <w:p w14:paraId="17B352FE">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rPr>
                    <w:t>本项目不涉及</w:t>
                  </w:r>
                </w:p>
              </w:tc>
              <w:tc>
                <w:tcPr>
                  <w:tcW w:w="438" w:type="dxa"/>
                  <w:vAlign w:val="center"/>
                </w:tcPr>
                <w:p w14:paraId="55839DDC">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rPr>
                    <w:t>不涉及</w:t>
                  </w:r>
                </w:p>
              </w:tc>
            </w:tr>
            <w:tr w14:paraId="6C0541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487" w:type="dxa"/>
                  <w:vAlign w:val="center"/>
                </w:tcPr>
                <w:p w14:paraId="3928871E">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rPr>
                    <w:t>15</w:t>
                  </w:r>
                </w:p>
              </w:tc>
              <w:tc>
                <w:tcPr>
                  <w:tcW w:w="4290" w:type="dxa"/>
                  <w:vAlign w:val="center"/>
                </w:tcPr>
                <w:p w14:paraId="62D45BF1">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rPr>
                    <w:t>禁止新建、扩建法律法规和相关政策明令禁止的落后产能项目，对列入《产业结构调整指导目录》淘汰类中的落后生产工艺装备、落后产品投资项目，列入《外商投资准入特别管理措施（负面清单）》的外商投资项目，一律不得核准、备案。禁止向落后产能项目和严重过剩产能行业项目供应土地</w:t>
                  </w:r>
                </w:p>
              </w:tc>
              <w:tc>
                <w:tcPr>
                  <w:tcW w:w="2610" w:type="dxa"/>
                  <w:vAlign w:val="center"/>
                </w:tcPr>
                <w:p w14:paraId="07D828C9">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r>
                    <w:rPr>
                      <w:rFonts w:hint="default" w:ascii="Times New Roman" w:hAnsi="Times New Roman" w:eastAsia="宋体" w:cs="Times New Roman"/>
                      <w:color w:val="0000FF"/>
                      <w:szCs w:val="21"/>
                    </w:rPr>
                    <w:t>本项目不属于《产业结构调整指导目录（2024年本）》淘汰类中的落后生产工艺装备、落后产品投资项目。</w:t>
                  </w:r>
                </w:p>
              </w:tc>
              <w:tc>
                <w:tcPr>
                  <w:tcW w:w="438" w:type="dxa"/>
                  <w:vAlign w:val="center"/>
                </w:tcPr>
                <w:p w14:paraId="0AA160A5">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rPr>
                    <w:t>符合</w:t>
                  </w:r>
                </w:p>
              </w:tc>
            </w:tr>
            <w:tr w14:paraId="7708EB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487" w:type="dxa"/>
                  <w:vAlign w:val="center"/>
                </w:tcPr>
                <w:p w14:paraId="20A348A0">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rPr>
                    <w:t>16</w:t>
                  </w:r>
                </w:p>
              </w:tc>
              <w:tc>
                <w:tcPr>
                  <w:tcW w:w="4290" w:type="dxa"/>
                  <w:vAlign w:val="center"/>
                </w:tcPr>
                <w:p w14:paraId="3325E8C9">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rPr>
                    <w:t>禁止新建、扩建不符合国家产能置换要求的严重过剩产能行业的项目。部门、机构禁止办理相关的土地（海域）供应、能评、环评审批和新增授信支持等业务</w:t>
                  </w:r>
                </w:p>
              </w:tc>
              <w:tc>
                <w:tcPr>
                  <w:tcW w:w="2610" w:type="dxa"/>
                  <w:vAlign w:val="center"/>
                </w:tcPr>
                <w:p w14:paraId="50602582">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rPr>
                    <w:t>本项目不属于不符合国家产能置换要求的严重过剩产能行业</w:t>
                  </w:r>
                </w:p>
              </w:tc>
              <w:tc>
                <w:tcPr>
                  <w:tcW w:w="438" w:type="dxa"/>
                  <w:vAlign w:val="center"/>
                </w:tcPr>
                <w:p w14:paraId="138BD8CD">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rPr>
                    <w:t>符合</w:t>
                  </w:r>
                </w:p>
              </w:tc>
            </w:tr>
            <w:tr w14:paraId="4DCC26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487" w:type="dxa"/>
                  <w:vAlign w:val="center"/>
                </w:tcPr>
                <w:p w14:paraId="2C4005E4">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rPr>
                    <w:t>17</w:t>
                  </w:r>
                </w:p>
              </w:tc>
              <w:tc>
                <w:tcPr>
                  <w:tcW w:w="4290" w:type="dxa"/>
                  <w:vAlign w:val="center"/>
                </w:tcPr>
                <w:p w14:paraId="2F2EB4B3">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rPr>
                    <w:t>禁止新建、扩建不符合要求的高耗能高排放项目</w:t>
                  </w:r>
                </w:p>
              </w:tc>
              <w:tc>
                <w:tcPr>
                  <w:tcW w:w="2610" w:type="dxa"/>
                  <w:vAlign w:val="center"/>
                </w:tcPr>
                <w:p w14:paraId="2DD70BB3">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rPr>
                    <w:t>本项目不属于不符合要求的高耗能高排放项目</w:t>
                  </w:r>
                </w:p>
              </w:tc>
              <w:tc>
                <w:tcPr>
                  <w:tcW w:w="438" w:type="dxa"/>
                  <w:vAlign w:val="center"/>
                </w:tcPr>
                <w:p w14:paraId="2DE88F3F">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rPr>
                    <w:t>符合</w:t>
                  </w:r>
                </w:p>
              </w:tc>
            </w:tr>
            <w:tr w14:paraId="3C8F75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487" w:type="dxa"/>
                  <w:vAlign w:val="center"/>
                </w:tcPr>
                <w:p w14:paraId="2BF661F2">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rPr>
                    <w:t>18</w:t>
                  </w:r>
                </w:p>
              </w:tc>
              <w:tc>
                <w:tcPr>
                  <w:tcW w:w="4290" w:type="dxa"/>
                  <w:vAlign w:val="center"/>
                </w:tcPr>
                <w:p w14:paraId="2618597B">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rPr>
                    <w:t>禁止在水库和河湖等水利工程管理范围内堆放物料，倾倒土、石、矿渣、垃圾等物质</w:t>
                  </w:r>
                </w:p>
              </w:tc>
              <w:tc>
                <w:tcPr>
                  <w:tcW w:w="2610" w:type="dxa"/>
                  <w:vAlign w:val="center"/>
                </w:tcPr>
                <w:p w14:paraId="0F2D91FD">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rPr>
                    <w:t>本项目不涉及</w:t>
                  </w:r>
                </w:p>
              </w:tc>
              <w:tc>
                <w:tcPr>
                  <w:tcW w:w="438" w:type="dxa"/>
                  <w:vAlign w:val="center"/>
                </w:tcPr>
                <w:p w14:paraId="62464344">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rPr>
                    <w:t>不涉及</w:t>
                  </w:r>
                </w:p>
              </w:tc>
            </w:tr>
            <w:tr w14:paraId="3DDC6D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487" w:type="dxa"/>
                  <w:vAlign w:val="center"/>
                </w:tcPr>
                <w:p w14:paraId="66ABBFFD">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rPr>
                    <w:t>19</w:t>
                  </w:r>
                </w:p>
              </w:tc>
              <w:tc>
                <w:tcPr>
                  <w:tcW w:w="4290" w:type="dxa"/>
                  <w:vAlign w:val="center"/>
                </w:tcPr>
                <w:p w14:paraId="65F14445">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rPr>
                    <w:t>法律法规及相关政策文件有更加严格规定的从其规定</w:t>
                  </w:r>
                </w:p>
              </w:tc>
              <w:tc>
                <w:tcPr>
                  <w:tcW w:w="2610" w:type="dxa"/>
                  <w:vAlign w:val="center"/>
                </w:tcPr>
                <w:p w14:paraId="73D4F277">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rPr>
                    <w:t>本项目不涉及</w:t>
                  </w:r>
                </w:p>
              </w:tc>
              <w:tc>
                <w:tcPr>
                  <w:tcW w:w="438" w:type="dxa"/>
                  <w:vAlign w:val="center"/>
                </w:tcPr>
                <w:p w14:paraId="4B66B28B">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rPr>
                    <w:t>不涉及</w:t>
                  </w:r>
                </w:p>
              </w:tc>
            </w:tr>
          </w:tbl>
          <w:p w14:paraId="029D51D4">
            <w:pPr>
              <w:keepNext w:val="0"/>
              <w:keepLines w:val="0"/>
              <w:suppressLineNumbers w:val="0"/>
              <w:spacing w:before="0" w:beforeAutospacing="0" w:after="0" w:afterAutospacing="0" w:line="360" w:lineRule="auto"/>
              <w:ind w:left="0" w:right="0"/>
              <w:rPr>
                <w:rFonts w:hint="eastAsia" w:ascii="Times New Roman" w:hAnsi="Times New Roman" w:eastAsia="宋体" w:cs="Times New Roman"/>
                <w:b/>
                <w:bCs/>
                <w:color w:val="auto"/>
                <w:sz w:val="24"/>
                <w:lang w:val="en-US" w:eastAsia="zh-CN"/>
              </w:rPr>
            </w:pPr>
            <w:r>
              <w:rPr>
                <w:rFonts w:hint="eastAsia" w:ascii="Times New Roman" w:hAnsi="Times New Roman" w:eastAsia="宋体" w:cs="Times New Roman"/>
                <w:b/>
                <w:bCs/>
                <w:color w:val="auto"/>
                <w:sz w:val="24"/>
                <w:lang w:val="en-US" w:eastAsia="zh-CN"/>
              </w:rPr>
              <w:t>1.2.6《浙江省“十五五”空气质量改善规划》符合性分析</w:t>
            </w:r>
          </w:p>
          <w:p w14:paraId="6E1C0495">
            <w:pPr>
              <w:pStyle w:val="19"/>
              <w:keepNext w:val="0"/>
              <w:keepLines w:val="0"/>
              <w:widowControl w:val="0"/>
              <w:suppressLineNumbers w:val="0"/>
              <w:autoSpaceDE w:val="0"/>
              <w:autoSpaceDN/>
              <w:spacing w:before="0" w:beforeAutospacing="0" w:after="0" w:afterAutospacing="0" w:line="360" w:lineRule="auto"/>
              <w:ind w:left="0" w:leftChars="0" w:right="0" w:firstLine="480" w:firstLineChars="200"/>
              <w:jc w:val="both"/>
              <w:rPr>
                <w:rFonts w:hint="default" w:ascii="Times New Roman" w:hAnsi="Times New Roman" w:eastAsia="宋体" w:cs="Times New Roman"/>
                <w:color w:val="auto"/>
                <w:kern w:val="2"/>
                <w:sz w:val="24"/>
                <w:szCs w:val="24"/>
              </w:rPr>
            </w:pPr>
            <w:r>
              <w:rPr>
                <w:rFonts w:hint="eastAsia" w:ascii="宋体" w:hAnsi="宋体" w:eastAsia="宋体" w:cs="宋体"/>
                <w:color w:val="auto"/>
                <w:kern w:val="2"/>
                <w:sz w:val="24"/>
                <w:szCs w:val="24"/>
                <w:lang w:val="en-US" w:eastAsia="zh-CN" w:bidi="ar"/>
              </w:rPr>
              <w:t>根据浙江省生态环境厅关于印发《浙江省“十五五”空气质量改善规划》（浙环发〔</w:t>
            </w:r>
            <w:r>
              <w:rPr>
                <w:rFonts w:hint="default" w:ascii="Times New Roman" w:hAnsi="Times New Roman" w:eastAsia="宋体" w:cs="Times New Roman"/>
                <w:color w:val="auto"/>
                <w:kern w:val="2"/>
                <w:sz w:val="24"/>
                <w:szCs w:val="24"/>
                <w:lang w:val="en-US" w:eastAsia="zh-CN" w:bidi="ar"/>
              </w:rPr>
              <w:t>2026</w:t>
            </w:r>
            <w:r>
              <w:rPr>
                <w:rFonts w:hint="eastAsia" w:ascii="宋体" w:hAnsi="宋体" w:eastAsia="宋体" w:cs="宋体"/>
                <w:color w:val="auto"/>
                <w:kern w:val="2"/>
                <w:sz w:val="24"/>
                <w:szCs w:val="24"/>
                <w:lang w:val="en-US" w:eastAsia="zh-CN" w:bidi="ar"/>
              </w:rPr>
              <w:t>〕</w:t>
            </w:r>
            <w:r>
              <w:rPr>
                <w:rFonts w:hint="default" w:ascii="Times New Roman" w:hAnsi="Times New Roman" w:eastAsia="宋体" w:cs="Times New Roman"/>
                <w:color w:val="auto"/>
                <w:kern w:val="2"/>
                <w:sz w:val="24"/>
                <w:szCs w:val="24"/>
                <w:lang w:val="en-US" w:eastAsia="zh-CN" w:bidi="ar"/>
              </w:rPr>
              <w:t>13</w:t>
            </w:r>
            <w:r>
              <w:rPr>
                <w:rFonts w:hint="eastAsia" w:ascii="宋体" w:hAnsi="宋体" w:eastAsia="宋体" w:cs="宋体"/>
                <w:color w:val="auto"/>
                <w:kern w:val="2"/>
                <w:sz w:val="24"/>
                <w:szCs w:val="24"/>
                <w:lang w:val="en-US" w:eastAsia="zh-CN" w:bidi="ar"/>
              </w:rPr>
              <w:t>号）的通知，本项目相关符合性分析见下表。</w:t>
            </w:r>
          </w:p>
          <w:p w14:paraId="329CAE0E">
            <w:pPr>
              <w:pStyle w:val="19"/>
              <w:keepNext w:val="0"/>
              <w:keepLines w:val="0"/>
              <w:widowControl w:val="0"/>
              <w:suppressLineNumbers w:val="0"/>
              <w:spacing w:before="0" w:beforeAutospacing="0" w:after="0" w:afterAutospacing="0"/>
              <w:ind w:left="0" w:leftChars="0" w:right="0" w:firstLine="0" w:firstLineChars="0"/>
              <w:jc w:val="center"/>
              <w:rPr>
                <w:rFonts w:hint="eastAsia" w:ascii="宋体" w:hAnsi="宋体" w:eastAsia="宋体" w:cs="宋体"/>
                <w:b/>
                <w:bCs/>
                <w:color w:val="auto"/>
                <w:kern w:val="2"/>
                <w:sz w:val="21"/>
                <w:szCs w:val="21"/>
                <w:lang w:val="en-US" w:eastAsia="zh-CN" w:bidi="ar"/>
              </w:rPr>
            </w:pPr>
          </w:p>
          <w:p w14:paraId="735B0F58">
            <w:pPr>
              <w:pStyle w:val="19"/>
              <w:keepNext w:val="0"/>
              <w:keepLines w:val="0"/>
              <w:widowControl w:val="0"/>
              <w:suppressLineNumbers w:val="0"/>
              <w:spacing w:before="0" w:beforeAutospacing="0" w:after="0" w:afterAutospacing="0"/>
              <w:ind w:left="0" w:leftChars="0" w:right="0" w:firstLine="0" w:firstLineChars="0"/>
              <w:jc w:val="center"/>
              <w:rPr>
                <w:rFonts w:hint="default" w:ascii="Times New Roman" w:hAnsi="Times New Roman" w:eastAsia="宋体" w:cs="Times New Roman"/>
                <w:b/>
                <w:bCs/>
                <w:color w:val="auto"/>
                <w:kern w:val="2"/>
                <w:sz w:val="21"/>
                <w:szCs w:val="21"/>
              </w:rPr>
            </w:pPr>
            <w:r>
              <w:rPr>
                <w:rFonts w:hint="eastAsia" w:ascii="宋体" w:hAnsi="宋体" w:eastAsia="宋体" w:cs="宋体"/>
                <w:b/>
                <w:bCs/>
                <w:color w:val="auto"/>
                <w:kern w:val="2"/>
                <w:sz w:val="21"/>
                <w:szCs w:val="21"/>
                <w:lang w:val="en-US" w:eastAsia="zh-CN" w:bidi="ar"/>
              </w:rPr>
              <w:t>表</w:t>
            </w:r>
            <w:r>
              <w:rPr>
                <w:rFonts w:hint="default" w:ascii="Times New Roman" w:hAnsi="Times New Roman" w:eastAsia="宋体" w:cs="Times New Roman"/>
                <w:b/>
                <w:bCs/>
                <w:color w:val="auto"/>
                <w:kern w:val="2"/>
                <w:sz w:val="21"/>
                <w:szCs w:val="21"/>
                <w:lang w:val="en-US" w:eastAsia="zh-CN" w:bidi="ar"/>
              </w:rPr>
              <w:t>1-1</w:t>
            </w:r>
            <w:r>
              <w:rPr>
                <w:rFonts w:hint="eastAsia" w:ascii="Times New Roman" w:hAnsi="Times New Roman" w:cs="Times New Roman"/>
                <w:b/>
                <w:bCs/>
                <w:color w:val="auto"/>
                <w:kern w:val="2"/>
                <w:sz w:val="21"/>
                <w:szCs w:val="21"/>
                <w:lang w:val="en-US" w:eastAsia="zh-CN" w:bidi="ar"/>
              </w:rPr>
              <w:t>2</w:t>
            </w:r>
            <w:r>
              <w:rPr>
                <w:rFonts w:hint="default" w:ascii="Times New Roman" w:hAnsi="Times New Roman" w:eastAsia="宋体" w:cs="Times New Roman"/>
                <w:b/>
                <w:bCs/>
                <w:color w:val="auto"/>
                <w:kern w:val="2"/>
                <w:sz w:val="21"/>
                <w:szCs w:val="21"/>
                <w:lang w:val="en-US" w:eastAsia="zh-CN" w:bidi="ar"/>
              </w:rPr>
              <w:t xml:space="preserve">  </w:t>
            </w:r>
            <w:r>
              <w:rPr>
                <w:rFonts w:hint="default" w:ascii="Times New Roman" w:hAnsi="Times New Roman" w:eastAsia="宋体" w:cs="Times New Roman"/>
                <w:b/>
                <w:bCs/>
                <w:color w:val="00B050"/>
                <w:kern w:val="2"/>
                <w:sz w:val="21"/>
                <w:szCs w:val="21"/>
                <w:lang w:val="en-US" w:eastAsia="zh-CN" w:bidi="ar"/>
              </w:rPr>
              <w:t>与</w:t>
            </w:r>
            <w:r>
              <w:rPr>
                <w:rFonts w:hint="eastAsia" w:ascii="宋体" w:hAnsi="宋体" w:eastAsia="宋体" w:cs="宋体"/>
                <w:b/>
                <w:bCs/>
                <w:color w:val="auto"/>
                <w:kern w:val="2"/>
                <w:sz w:val="21"/>
                <w:szCs w:val="21"/>
                <w:lang w:val="en-US" w:eastAsia="zh-CN" w:bidi="ar"/>
              </w:rPr>
              <w:t>《浙江省“十五五”空气质量改善规划》符合性分析</w:t>
            </w:r>
          </w:p>
          <w:tbl>
            <w:tblPr>
              <w:tblStyle w:val="23"/>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Layout w:type="fixed"/>
              <w:tblCellMar>
                <w:top w:w="0" w:type="dxa"/>
                <w:left w:w="108" w:type="dxa"/>
                <w:bottom w:w="0" w:type="dxa"/>
                <w:right w:w="108" w:type="dxa"/>
              </w:tblCellMar>
            </w:tblPr>
            <w:tblGrid>
              <w:gridCol w:w="441"/>
              <w:gridCol w:w="4089"/>
              <w:gridCol w:w="2749"/>
              <w:gridCol w:w="699"/>
            </w:tblGrid>
            <w:tr w14:paraId="6DF349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397" w:hRule="atLeast"/>
                <w:jc w:val="center"/>
              </w:trPr>
              <w:tc>
                <w:tcPr>
                  <w:tcW w:w="441" w:type="dxa"/>
                  <w:tcBorders>
                    <w:top w:val="single" w:color="auto" w:sz="4" w:space="0"/>
                    <w:left w:val="single" w:color="auto" w:sz="4" w:space="0"/>
                    <w:bottom w:val="single" w:color="auto" w:sz="4" w:space="0"/>
                    <w:right w:val="single" w:color="auto" w:sz="4" w:space="0"/>
                  </w:tcBorders>
                  <w:shd w:val="clear" w:color="auto" w:fill="auto"/>
                  <w:vAlign w:val="center"/>
                </w:tcPr>
                <w:p w14:paraId="3D3BDEDD">
                  <w:pPr>
                    <w:keepNext w:val="0"/>
                    <w:keepLines w:val="0"/>
                    <w:widowControl w:val="0"/>
                    <w:suppressLineNumbers w:val="0"/>
                    <w:spacing w:before="0" w:beforeAutospacing="0" w:after="0" w:afterAutospacing="0"/>
                    <w:ind w:left="0" w:right="0"/>
                    <w:jc w:val="center"/>
                    <w:rPr>
                      <w:rFonts w:hint="default" w:ascii="Times New Roman" w:hAnsi="Times New Roman" w:eastAsia="宋体" w:cs="Times New Roman"/>
                      <w:b/>
                      <w:bCs/>
                      <w:color w:val="auto"/>
                      <w:kern w:val="2"/>
                      <w:sz w:val="21"/>
                      <w:szCs w:val="21"/>
                    </w:rPr>
                  </w:pPr>
                  <w:r>
                    <w:rPr>
                      <w:rFonts w:hint="eastAsia" w:ascii="宋体" w:hAnsi="宋体" w:eastAsia="宋体" w:cs="宋体"/>
                      <w:b/>
                      <w:bCs/>
                      <w:color w:val="auto"/>
                      <w:kern w:val="2"/>
                      <w:sz w:val="21"/>
                      <w:szCs w:val="21"/>
                      <w:lang w:val="en-US" w:eastAsia="zh-CN" w:bidi="ar"/>
                    </w:rPr>
                    <w:t>类别</w:t>
                  </w:r>
                </w:p>
              </w:tc>
              <w:tc>
                <w:tcPr>
                  <w:tcW w:w="4089" w:type="dxa"/>
                  <w:tcBorders>
                    <w:top w:val="single" w:color="auto" w:sz="4" w:space="0"/>
                    <w:left w:val="nil"/>
                    <w:bottom w:val="single" w:color="auto" w:sz="4" w:space="0"/>
                    <w:right w:val="single" w:color="auto" w:sz="4" w:space="0"/>
                  </w:tcBorders>
                  <w:shd w:val="clear" w:color="auto" w:fill="auto"/>
                  <w:vAlign w:val="center"/>
                </w:tcPr>
                <w:p w14:paraId="772A4DE9">
                  <w:pPr>
                    <w:keepNext w:val="0"/>
                    <w:keepLines w:val="0"/>
                    <w:widowControl w:val="0"/>
                    <w:suppressLineNumbers w:val="0"/>
                    <w:spacing w:before="0" w:beforeAutospacing="0" w:after="0" w:afterAutospacing="0"/>
                    <w:ind w:left="0" w:right="0"/>
                    <w:jc w:val="center"/>
                    <w:rPr>
                      <w:rFonts w:hint="default" w:ascii="Times New Roman" w:hAnsi="Times New Roman" w:eastAsia="宋体" w:cs="Times New Roman"/>
                      <w:b/>
                      <w:bCs/>
                      <w:color w:val="auto"/>
                      <w:kern w:val="2"/>
                      <w:sz w:val="21"/>
                      <w:szCs w:val="21"/>
                    </w:rPr>
                  </w:pPr>
                  <w:r>
                    <w:rPr>
                      <w:rFonts w:hint="eastAsia" w:ascii="宋体" w:hAnsi="宋体" w:eastAsia="宋体" w:cs="宋体"/>
                      <w:b/>
                      <w:bCs/>
                      <w:color w:val="auto"/>
                      <w:kern w:val="2"/>
                      <w:sz w:val="21"/>
                      <w:szCs w:val="21"/>
                      <w:lang w:val="en-US" w:eastAsia="zh-CN" w:bidi="ar"/>
                    </w:rPr>
                    <w:t>判断依据</w:t>
                  </w:r>
                </w:p>
              </w:tc>
              <w:tc>
                <w:tcPr>
                  <w:tcW w:w="2749" w:type="dxa"/>
                  <w:tcBorders>
                    <w:top w:val="single" w:color="auto" w:sz="4" w:space="0"/>
                    <w:left w:val="nil"/>
                    <w:bottom w:val="single" w:color="auto" w:sz="4" w:space="0"/>
                    <w:right w:val="single" w:color="auto" w:sz="4" w:space="0"/>
                  </w:tcBorders>
                  <w:shd w:val="clear" w:color="auto" w:fill="auto"/>
                  <w:vAlign w:val="center"/>
                </w:tcPr>
                <w:p w14:paraId="141B6153">
                  <w:pPr>
                    <w:keepNext w:val="0"/>
                    <w:keepLines w:val="0"/>
                    <w:widowControl w:val="0"/>
                    <w:suppressLineNumbers w:val="0"/>
                    <w:spacing w:before="0" w:beforeAutospacing="0" w:after="0" w:afterAutospacing="0"/>
                    <w:ind w:left="0" w:right="0"/>
                    <w:jc w:val="center"/>
                    <w:rPr>
                      <w:rFonts w:hint="default" w:ascii="Times New Roman" w:hAnsi="Times New Roman" w:eastAsia="宋体" w:cs="Times New Roman"/>
                      <w:b/>
                      <w:bCs/>
                      <w:color w:val="auto"/>
                      <w:kern w:val="2"/>
                      <w:sz w:val="21"/>
                      <w:szCs w:val="21"/>
                    </w:rPr>
                  </w:pPr>
                  <w:r>
                    <w:rPr>
                      <w:rFonts w:hint="eastAsia" w:ascii="宋体" w:hAnsi="宋体" w:eastAsia="宋体" w:cs="宋体"/>
                      <w:b/>
                      <w:bCs/>
                      <w:color w:val="auto"/>
                      <w:kern w:val="2"/>
                      <w:sz w:val="21"/>
                      <w:szCs w:val="21"/>
                      <w:lang w:val="en-US" w:eastAsia="zh-CN" w:bidi="ar"/>
                    </w:rPr>
                    <w:t>项目情况</w:t>
                  </w:r>
                </w:p>
              </w:tc>
              <w:tc>
                <w:tcPr>
                  <w:tcW w:w="699" w:type="dxa"/>
                  <w:tcBorders>
                    <w:top w:val="single" w:color="auto" w:sz="4" w:space="0"/>
                    <w:left w:val="nil"/>
                    <w:bottom w:val="single" w:color="auto" w:sz="4" w:space="0"/>
                    <w:right w:val="single" w:color="auto" w:sz="4" w:space="0"/>
                  </w:tcBorders>
                  <w:shd w:val="clear" w:color="auto" w:fill="auto"/>
                  <w:vAlign w:val="center"/>
                </w:tcPr>
                <w:p w14:paraId="6A180DA8">
                  <w:pPr>
                    <w:keepNext w:val="0"/>
                    <w:keepLines w:val="0"/>
                    <w:widowControl w:val="0"/>
                    <w:suppressLineNumbers w:val="0"/>
                    <w:spacing w:before="0" w:beforeAutospacing="0" w:after="0" w:afterAutospacing="0"/>
                    <w:ind w:left="0" w:right="0"/>
                    <w:jc w:val="center"/>
                    <w:rPr>
                      <w:rFonts w:hint="default" w:ascii="Times New Roman" w:hAnsi="Times New Roman" w:eastAsia="宋体" w:cs="Times New Roman"/>
                      <w:b/>
                      <w:bCs/>
                      <w:color w:val="auto"/>
                      <w:kern w:val="2"/>
                      <w:sz w:val="21"/>
                      <w:szCs w:val="21"/>
                    </w:rPr>
                  </w:pPr>
                  <w:r>
                    <w:rPr>
                      <w:rFonts w:hint="eastAsia" w:ascii="宋体" w:hAnsi="宋体" w:eastAsia="宋体" w:cs="宋体"/>
                      <w:b/>
                      <w:bCs/>
                      <w:color w:val="auto"/>
                      <w:kern w:val="2"/>
                      <w:sz w:val="21"/>
                      <w:szCs w:val="21"/>
                      <w:lang w:val="en-US" w:eastAsia="zh-CN" w:bidi="ar"/>
                    </w:rPr>
                    <w:t>是否符合</w:t>
                  </w:r>
                </w:p>
              </w:tc>
            </w:tr>
            <w:tr w14:paraId="4F9A90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441" w:type="dxa"/>
                  <w:vMerge w:val="restart"/>
                  <w:tcBorders>
                    <w:top w:val="nil"/>
                    <w:left w:val="single" w:color="auto" w:sz="4" w:space="0"/>
                    <w:bottom w:val="single" w:color="auto" w:sz="4" w:space="0"/>
                    <w:right w:val="single" w:color="auto" w:sz="4" w:space="0"/>
                  </w:tcBorders>
                  <w:shd w:val="clear" w:color="auto" w:fill="auto"/>
                  <w:vAlign w:val="center"/>
                </w:tcPr>
                <w:p w14:paraId="44C5CA56">
                  <w:pPr>
                    <w:keepNext w:val="0"/>
                    <w:keepLines w:val="0"/>
                    <w:widowControl w:val="0"/>
                    <w:suppressLineNumbers w:val="0"/>
                    <w:spacing w:before="0" w:beforeAutospacing="0" w:after="0" w:afterAutospacing="0"/>
                    <w:ind w:left="0" w:right="0"/>
                    <w:jc w:val="center"/>
                    <w:rPr>
                      <w:rFonts w:hint="default" w:ascii="Times New Roman" w:hAnsi="Times New Roman" w:eastAsia="宋体" w:cs="Times New Roman"/>
                      <w:color w:val="auto"/>
                      <w:kern w:val="2"/>
                      <w:sz w:val="21"/>
                      <w:szCs w:val="21"/>
                    </w:rPr>
                  </w:pPr>
                  <w:r>
                    <w:rPr>
                      <w:rFonts w:hint="eastAsia" w:ascii="宋体" w:hAnsi="宋体" w:eastAsia="宋体" w:cs="宋体"/>
                      <w:color w:val="auto"/>
                      <w:kern w:val="2"/>
                      <w:sz w:val="21"/>
                      <w:szCs w:val="21"/>
                      <w:lang w:val="en-US" w:eastAsia="zh-CN" w:bidi="ar"/>
                    </w:rPr>
                    <w:t>加快实施能源结构调整</w:t>
                  </w:r>
                </w:p>
              </w:tc>
              <w:tc>
                <w:tcPr>
                  <w:tcW w:w="4089" w:type="dxa"/>
                  <w:tcBorders>
                    <w:top w:val="single" w:color="auto" w:sz="4" w:space="0"/>
                    <w:left w:val="nil"/>
                    <w:bottom w:val="single" w:color="auto" w:sz="4" w:space="0"/>
                    <w:right w:val="single" w:color="auto" w:sz="4" w:space="0"/>
                  </w:tcBorders>
                  <w:shd w:val="clear" w:color="auto" w:fill="auto"/>
                  <w:vAlign w:val="center"/>
                </w:tcPr>
                <w:p w14:paraId="049A5EAF">
                  <w:pPr>
                    <w:keepNext w:val="0"/>
                    <w:keepLines w:val="0"/>
                    <w:widowControl w:val="0"/>
                    <w:suppressLineNumbers w:val="0"/>
                    <w:spacing w:before="0" w:beforeAutospacing="0" w:after="0" w:afterAutospacing="0"/>
                    <w:ind w:left="0" w:right="0"/>
                    <w:jc w:val="center"/>
                    <w:rPr>
                      <w:rFonts w:hint="default" w:ascii="Times New Roman" w:hAnsi="Times New Roman" w:eastAsia="宋体" w:cs="Times New Roman"/>
                      <w:color w:val="auto"/>
                      <w:kern w:val="2"/>
                      <w:sz w:val="21"/>
                      <w:szCs w:val="21"/>
                    </w:rPr>
                  </w:pPr>
                  <w:r>
                    <w:rPr>
                      <w:rFonts w:hint="default" w:ascii="Times New Roman" w:hAnsi="Times New Roman" w:eastAsia="宋体" w:cs="Times New Roman"/>
                      <w:b/>
                      <w:bCs/>
                      <w:color w:val="auto"/>
                      <w:kern w:val="2"/>
                      <w:sz w:val="21"/>
                      <w:szCs w:val="21"/>
                      <w:lang w:val="en-US" w:eastAsia="zh-CN" w:bidi="ar"/>
                    </w:rPr>
                    <w:t>1.</w:t>
                  </w:r>
                  <w:r>
                    <w:rPr>
                      <w:rFonts w:hint="eastAsia" w:ascii="宋体" w:hAnsi="宋体" w:eastAsia="宋体" w:cs="宋体"/>
                      <w:b/>
                      <w:bCs/>
                      <w:color w:val="auto"/>
                      <w:kern w:val="2"/>
                      <w:sz w:val="21"/>
                      <w:szCs w:val="21"/>
                      <w:lang w:val="en-US" w:eastAsia="zh-CN" w:bidi="ar"/>
                    </w:rPr>
                    <w:t>大力发展清洁低碳能源。</w:t>
                  </w:r>
                  <w:r>
                    <w:rPr>
                      <w:rFonts w:hint="eastAsia" w:ascii="宋体" w:hAnsi="宋体" w:eastAsia="宋体" w:cs="宋体"/>
                      <w:color w:val="auto"/>
                      <w:kern w:val="2"/>
                      <w:sz w:val="21"/>
                      <w:szCs w:val="21"/>
                      <w:lang w:val="en-US" w:eastAsia="zh-CN" w:bidi="ar"/>
                    </w:rPr>
                    <w:t>加快发展海上风电，大力发展集中式光伏和分布式光伏，积极安全有序发展核电，科学布局抽水蓄能和新型储能。到</w:t>
                  </w:r>
                  <w:r>
                    <w:rPr>
                      <w:rFonts w:hint="default" w:ascii="Times New Roman" w:hAnsi="Times New Roman" w:eastAsia="宋体" w:cs="Times New Roman"/>
                      <w:color w:val="auto"/>
                      <w:kern w:val="2"/>
                      <w:sz w:val="21"/>
                      <w:szCs w:val="21"/>
                      <w:lang w:val="en-US" w:eastAsia="zh-CN" w:bidi="ar"/>
                    </w:rPr>
                    <w:t>2030</w:t>
                  </w:r>
                  <w:r>
                    <w:rPr>
                      <w:rFonts w:hint="eastAsia" w:ascii="宋体" w:hAnsi="宋体" w:eastAsia="宋体" w:cs="宋体"/>
                      <w:color w:val="auto"/>
                      <w:kern w:val="2"/>
                      <w:sz w:val="21"/>
                      <w:szCs w:val="21"/>
                      <w:lang w:val="en-US" w:eastAsia="zh-CN" w:bidi="ar"/>
                    </w:rPr>
                    <w:t>年，风电、光伏、核电装机规模分别达到</w:t>
                  </w:r>
                  <w:r>
                    <w:rPr>
                      <w:rFonts w:hint="default" w:ascii="Times New Roman" w:hAnsi="Times New Roman" w:eastAsia="宋体" w:cs="Times New Roman"/>
                      <w:color w:val="auto"/>
                      <w:kern w:val="2"/>
                      <w:sz w:val="21"/>
                      <w:szCs w:val="21"/>
                      <w:lang w:val="en-US" w:eastAsia="zh-CN" w:bidi="ar"/>
                    </w:rPr>
                    <w:t>3000</w:t>
                  </w:r>
                  <w:r>
                    <w:rPr>
                      <w:rFonts w:hint="eastAsia" w:ascii="宋体" w:hAnsi="宋体" w:eastAsia="宋体" w:cs="宋体"/>
                      <w:color w:val="auto"/>
                      <w:kern w:val="2"/>
                      <w:sz w:val="21"/>
                      <w:szCs w:val="21"/>
                      <w:lang w:val="en-US" w:eastAsia="zh-CN" w:bidi="ar"/>
                    </w:rPr>
                    <w:t>万千瓦左右、</w:t>
                  </w:r>
                  <w:r>
                    <w:rPr>
                      <w:rFonts w:hint="default" w:ascii="Times New Roman" w:hAnsi="Times New Roman" w:eastAsia="宋体" w:cs="Times New Roman"/>
                      <w:color w:val="auto"/>
                      <w:kern w:val="2"/>
                      <w:sz w:val="21"/>
                      <w:szCs w:val="21"/>
                      <w:lang w:val="en-US" w:eastAsia="zh-CN" w:bidi="ar"/>
                    </w:rPr>
                    <w:t>9000</w:t>
                  </w:r>
                  <w:r>
                    <w:rPr>
                      <w:rFonts w:hint="eastAsia" w:ascii="宋体" w:hAnsi="宋体" w:eastAsia="宋体" w:cs="宋体"/>
                      <w:color w:val="auto"/>
                      <w:kern w:val="2"/>
                      <w:sz w:val="21"/>
                      <w:szCs w:val="21"/>
                      <w:lang w:val="en-US" w:eastAsia="zh-CN" w:bidi="ar"/>
                    </w:rPr>
                    <w:t>万千瓦左右、</w:t>
                  </w:r>
                  <w:r>
                    <w:rPr>
                      <w:rFonts w:hint="default" w:ascii="Times New Roman" w:hAnsi="Times New Roman" w:eastAsia="宋体" w:cs="Times New Roman"/>
                      <w:color w:val="auto"/>
                      <w:kern w:val="2"/>
                      <w:sz w:val="21"/>
                      <w:szCs w:val="21"/>
                      <w:lang w:val="en-US" w:eastAsia="zh-CN" w:bidi="ar"/>
                    </w:rPr>
                    <w:t>1600</w:t>
                  </w:r>
                  <w:r>
                    <w:rPr>
                      <w:rFonts w:hint="eastAsia" w:ascii="宋体" w:hAnsi="宋体" w:eastAsia="宋体" w:cs="宋体"/>
                      <w:color w:val="auto"/>
                      <w:kern w:val="2"/>
                      <w:sz w:val="21"/>
                      <w:szCs w:val="21"/>
                      <w:lang w:val="en-US" w:eastAsia="zh-CN" w:bidi="ar"/>
                    </w:rPr>
                    <w:t>万千瓦以上，新增装机中非化石能源装机占比</w:t>
                  </w:r>
                  <w:r>
                    <w:rPr>
                      <w:rFonts w:hint="default" w:ascii="Times New Roman" w:hAnsi="Times New Roman" w:eastAsia="宋体" w:cs="Times New Roman"/>
                      <w:color w:val="auto"/>
                      <w:kern w:val="2"/>
                      <w:sz w:val="21"/>
                      <w:szCs w:val="21"/>
                      <w:lang w:val="en-US" w:eastAsia="zh-CN" w:bidi="ar"/>
                    </w:rPr>
                    <w:t>75%</w:t>
                  </w:r>
                  <w:r>
                    <w:rPr>
                      <w:rFonts w:hint="eastAsia" w:ascii="宋体" w:hAnsi="宋体" w:eastAsia="宋体" w:cs="宋体"/>
                      <w:color w:val="auto"/>
                      <w:kern w:val="2"/>
                      <w:sz w:val="21"/>
                      <w:szCs w:val="21"/>
                      <w:lang w:val="en-US" w:eastAsia="zh-CN" w:bidi="ar"/>
                    </w:rPr>
                    <w:t>以上。推动建设新型电力系统，加快建设外来电通道，提高现有输送电通道利用率。到</w:t>
                  </w:r>
                  <w:r>
                    <w:rPr>
                      <w:rFonts w:hint="default" w:ascii="Times New Roman" w:hAnsi="Times New Roman" w:eastAsia="宋体" w:cs="Times New Roman"/>
                      <w:color w:val="auto"/>
                      <w:kern w:val="2"/>
                      <w:sz w:val="21"/>
                      <w:szCs w:val="21"/>
                      <w:lang w:val="en-US" w:eastAsia="zh-CN" w:bidi="ar"/>
                    </w:rPr>
                    <w:t>2030</w:t>
                  </w:r>
                  <w:r>
                    <w:rPr>
                      <w:rFonts w:hint="eastAsia" w:ascii="宋体" w:hAnsi="宋体" w:eastAsia="宋体" w:cs="宋体"/>
                      <w:color w:val="auto"/>
                      <w:kern w:val="2"/>
                      <w:sz w:val="21"/>
                      <w:szCs w:val="21"/>
                      <w:lang w:val="en-US" w:eastAsia="zh-CN" w:bidi="ar"/>
                    </w:rPr>
                    <w:t>年，新增用电量</w:t>
                  </w:r>
                  <w:r>
                    <w:rPr>
                      <w:rFonts w:hint="default" w:ascii="Times New Roman" w:hAnsi="Times New Roman" w:eastAsia="宋体" w:cs="Times New Roman"/>
                      <w:color w:val="auto"/>
                      <w:kern w:val="2"/>
                      <w:sz w:val="21"/>
                      <w:szCs w:val="21"/>
                      <w:lang w:val="en-US" w:eastAsia="zh-CN" w:bidi="ar"/>
                    </w:rPr>
                    <w:t>60%</w:t>
                  </w:r>
                  <w:r>
                    <w:rPr>
                      <w:rFonts w:hint="eastAsia" w:ascii="宋体" w:hAnsi="宋体" w:eastAsia="宋体" w:cs="宋体"/>
                      <w:color w:val="auto"/>
                      <w:kern w:val="2"/>
                      <w:sz w:val="21"/>
                      <w:szCs w:val="21"/>
                      <w:lang w:val="en-US" w:eastAsia="zh-CN" w:bidi="ar"/>
                    </w:rPr>
                    <w:t>以上来自非化石能源，非化石能源消费比重达</w:t>
                  </w:r>
                  <w:r>
                    <w:rPr>
                      <w:rFonts w:hint="default" w:ascii="Times New Roman" w:hAnsi="Times New Roman" w:eastAsia="宋体" w:cs="Times New Roman"/>
                      <w:color w:val="auto"/>
                      <w:kern w:val="2"/>
                      <w:sz w:val="21"/>
                      <w:szCs w:val="21"/>
                      <w:lang w:val="en-US" w:eastAsia="zh-CN" w:bidi="ar"/>
                    </w:rPr>
                    <w:t>25%</w:t>
                  </w:r>
                  <w:r>
                    <w:rPr>
                      <w:rFonts w:hint="eastAsia" w:ascii="宋体" w:hAnsi="宋体" w:eastAsia="宋体" w:cs="宋体"/>
                      <w:color w:val="auto"/>
                      <w:kern w:val="2"/>
                      <w:sz w:val="21"/>
                      <w:szCs w:val="21"/>
                      <w:lang w:val="en-US" w:eastAsia="zh-CN" w:bidi="ar"/>
                    </w:rPr>
                    <w:t>以上。</w:t>
                  </w:r>
                </w:p>
              </w:tc>
              <w:tc>
                <w:tcPr>
                  <w:tcW w:w="2749" w:type="dxa"/>
                  <w:tcBorders>
                    <w:top w:val="single" w:color="auto" w:sz="4" w:space="0"/>
                    <w:left w:val="nil"/>
                    <w:bottom w:val="single" w:color="auto" w:sz="4" w:space="0"/>
                    <w:right w:val="single" w:color="auto" w:sz="4" w:space="0"/>
                  </w:tcBorders>
                  <w:shd w:val="clear" w:color="auto" w:fill="auto"/>
                  <w:vAlign w:val="center"/>
                </w:tcPr>
                <w:p w14:paraId="6D0C46DC">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宋体" w:cs="Times New Roman"/>
                      <w:color w:val="auto"/>
                      <w:kern w:val="2"/>
                      <w:sz w:val="21"/>
                      <w:szCs w:val="21"/>
                    </w:rPr>
                  </w:pPr>
                  <w:r>
                    <w:rPr>
                      <w:rFonts w:hint="eastAsia" w:ascii="宋体" w:hAnsi="宋体" w:eastAsia="宋体" w:cs="宋体"/>
                      <w:color w:val="auto"/>
                      <w:kern w:val="2"/>
                      <w:sz w:val="21"/>
                      <w:szCs w:val="21"/>
                      <w:lang w:val="en-US" w:eastAsia="zh-CN" w:bidi="ar"/>
                    </w:rPr>
                    <w:t>本项目运营过程仅使用采用电。</w:t>
                  </w:r>
                </w:p>
              </w:tc>
              <w:tc>
                <w:tcPr>
                  <w:tcW w:w="699" w:type="dxa"/>
                  <w:tcBorders>
                    <w:top w:val="single" w:color="auto" w:sz="4" w:space="0"/>
                    <w:left w:val="nil"/>
                    <w:bottom w:val="single" w:color="auto" w:sz="4" w:space="0"/>
                    <w:right w:val="single" w:color="auto" w:sz="4" w:space="0"/>
                  </w:tcBorders>
                  <w:shd w:val="clear" w:color="auto" w:fill="auto"/>
                  <w:vAlign w:val="center"/>
                </w:tcPr>
                <w:p w14:paraId="5AF7F05D">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宋体" w:cs="Times New Roman"/>
                      <w:color w:val="auto"/>
                      <w:kern w:val="0"/>
                      <w:sz w:val="21"/>
                      <w:szCs w:val="21"/>
                    </w:rPr>
                  </w:pPr>
                  <w:r>
                    <w:rPr>
                      <w:rFonts w:hint="eastAsia" w:ascii="宋体" w:hAnsi="宋体" w:eastAsia="宋体" w:cs="宋体"/>
                      <w:color w:val="auto"/>
                      <w:kern w:val="0"/>
                      <w:sz w:val="21"/>
                      <w:szCs w:val="21"/>
                      <w:lang w:val="en-US" w:eastAsia="zh-CN" w:bidi="ar"/>
                    </w:rPr>
                    <w:t>符合</w:t>
                  </w:r>
                </w:p>
              </w:tc>
            </w:tr>
            <w:tr w14:paraId="274C0C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397" w:hRule="atLeast"/>
                <w:jc w:val="center"/>
              </w:trPr>
              <w:tc>
                <w:tcPr>
                  <w:tcW w:w="441" w:type="dxa"/>
                  <w:vMerge w:val="continue"/>
                  <w:tcBorders>
                    <w:top w:val="nil"/>
                    <w:left w:val="single" w:color="auto" w:sz="4" w:space="0"/>
                    <w:bottom w:val="single" w:color="auto" w:sz="4" w:space="0"/>
                    <w:right w:val="single" w:color="auto" w:sz="4" w:space="0"/>
                  </w:tcBorders>
                  <w:shd w:val="clear" w:color="auto" w:fill="auto"/>
                  <w:vAlign w:val="center"/>
                </w:tcPr>
                <w:p w14:paraId="1AE0A356">
                  <w:pPr>
                    <w:keepNext w:val="0"/>
                    <w:keepLines w:val="0"/>
                    <w:suppressLineNumbers w:val="0"/>
                    <w:spacing w:before="0" w:beforeAutospacing="0" w:after="0" w:afterAutospacing="0"/>
                    <w:ind w:left="0" w:right="0"/>
                    <w:jc w:val="both"/>
                    <w:rPr>
                      <w:rFonts w:hint="default" w:ascii="Times New Roman" w:hAnsi="Times New Roman" w:cs="Times New Roman"/>
                      <w:color w:val="auto"/>
                      <w:sz w:val="20"/>
                      <w:szCs w:val="20"/>
                    </w:rPr>
                  </w:pPr>
                </w:p>
              </w:tc>
              <w:tc>
                <w:tcPr>
                  <w:tcW w:w="4089" w:type="dxa"/>
                  <w:tcBorders>
                    <w:top w:val="single" w:color="auto" w:sz="4" w:space="0"/>
                    <w:left w:val="nil"/>
                    <w:bottom w:val="single" w:color="auto" w:sz="4" w:space="0"/>
                    <w:right w:val="single" w:color="auto" w:sz="4" w:space="0"/>
                  </w:tcBorders>
                  <w:shd w:val="clear" w:color="auto" w:fill="auto"/>
                  <w:vAlign w:val="center"/>
                </w:tcPr>
                <w:p w14:paraId="0403C40F">
                  <w:pPr>
                    <w:keepNext w:val="0"/>
                    <w:keepLines w:val="0"/>
                    <w:widowControl w:val="0"/>
                    <w:suppressLineNumbers w:val="0"/>
                    <w:spacing w:before="0" w:beforeAutospacing="0" w:after="0" w:afterAutospacing="0"/>
                    <w:ind w:left="0" w:right="0"/>
                    <w:jc w:val="center"/>
                    <w:rPr>
                      <w:rFonts w:hint="default" w:ascii="Times New Roman" w:hAnsi="Times New Roman" w:eastAsia="宋体" w:cs="Times New Roman"/>
                      <w:color w:val="auto"/>
                      <w:kern w:val="2"/>
                      <w:sz w:val="21"/>
                      <w:szCs w:val="21"/>
                    </w:rPr>
                  </w:pPr>
                  <w:r>
                    <w:rPr>
                      <w:rFonts w:hint="default" w:ascii="Times New Roman" w:hAnsi="Times New Roman" w:eastAsia="宋体" w:cs="Times New Roman"/>
                      <w:b/>
                      <w:bCs/>
                      <w:color w:val="auto"/>
                      <w:kern w:val="2"/>
                      <w:sz w:val="21"/>
                      <w:szCs w:val="21"/>
                      <w:lang w:val="en-US" w:eastAsia="zh-CN" w:bidi="ar"/>
                    </w:rPr>
                    <w:t>2.</w:t>
                  </w:r>
                  <w:r>
                    <w:rPr>
                      <w:rFonts w:hint="eastAsia" w:ascii="宋体" w:hAnsi="宋体" w:eastAsia="宋体" w:cs="宋体"/>
                      <w:b/>
                      <w:bCs/>
                      <w:color w:val="auto"/>
                      <w:kern w:val="2"/>
                      <w:sz w:val="21"/>
                      <w:szCs w:val="21"/>
                      <w:lang w:val="en-US" w:eastAsia="zh-CN" w:bidi="ar"/>
                    </w:rPr>
                    <w:t>加强煤炭消费总量控制。</w:t>
                  </w:r>
                  <w:r>
                    <w:rPr>
                      <w:rFonts w:hint="eastAsia" w:ascii="宋体" w:hAnsi="宋体" w:eastAsia="宋体" w:cs="宋体"/>
                      <w:color w:val="auto"/>
                      <w:kern w:val="2"/>
                      <w:sz w:val="21"/>
                      <w:szCs w:val="21"/>
                      <w:lang w:val="en-US" w:eastAsia="zh-CN" w:bidi="ar"/>
                    </w:rPr>
                    <w:t>严格用煤项目准入，新改扩建用煤项目依法落实煤炭减量替代。原则上不再建设自备燃煤机组以及除集中供暖外的燃煤锅炉。提高现有用煤设施能效，对供电煤耗</w:t>
                  </w:r>
                  <w:r>
                    <w:rPr>
                      <w:rFonts w:hint="default" w:ascii="Times New Roman" w:hAnsi="Times New Roman" w:eastAsia="宋体" w:cs="Times New Roman"/>
                      <w:color w:val="auto"/>
                      <w:kern w:val="2"/>
                      <w:sz w:val="21"/>
                      <w:szCs w:val="21"/>
                      <w:lang w:val="en-US" w:eastAsia="zh-CN" w:bidi="ar"/>
                    </w:rPr>
                    <w:t>300</w:t>
                  </w:r>
                  <w:r>
                    <w:rPr>
                      <w:rFonts w:hint="eastAsia" w:ascii="宋体" w:hAnsi="宋体" w:eastAsia="宋体" w:cs="宋体"/>
                      <w:color w:val="auto"/>
                      <w:kern w:val="2"/>
                      <w:sz w:val="21"/>
                      <w:szCs w:val="21"/>
                      <w:lang w:val="en-US" w:eastAsia="zh-CN" w:bidi="ar"/>
                    </w:rPr>
                    <w:t>克标准煤</w:t>
                  </w:r>
                  <w:r>
                    <w:rPr>
                      <w:rFonts w:hint="default" w:ascii="Times New Roman" w:hAnsi="Times New Roman" w:eastAsia="宋体" w:cs="Times New Roman"/>
                      <w:color w:val="auto"/>
                      <w:kern w:val="2"/>
                      <w:sz w:val="21"/>
                      <w:szCs w:val="21"/>
                      <w:lang w:val="en-US" w:eastAsia="zh-CN" w:bidi="ar"/>
                    </w:rPr>
                    <w:t>/</w:t>
                  </w:r>
                  <w:r>
                    <w:rPr>
                      <w:rFonts w:hint="eastAsia" w:ascii="宋体" w:hAnsi="宋体" w:eastAsia="宋体" w:cs="宋体"/>
                      <w:color w:val="auto"/>
                      <w:kern w:val="2"/>
                      <w:sz w:val="21"/>
                      <w:szCs w:val="21"/>
                      <w:lang w:val="en-US" w:eastAsia="zh-CN" w:bidi="ar"/>
                    </w:rPr>
                    <w:t>千瓦时以上的煤电机组加快实施节能降碳改造。推动现役</w:t>
                  </w:r>
                  <w:r>
                    <w:rPr>
                      <w:rFonts w:hint="default" w:ascii="Times New Roman" w:hAnsi="Times New Roman" w:eastAsia="宋体" w:cs="Times New Roman"/>
                      <w:color w:val="auto"/>
                      <w:kern w:val="2"/>
                      <w:sz w:val="21"/>
                      <w:szCs w:val="21"/>
                      <w:lang w:val="en-US" w:eastAsia="zh-CN" w:bidi="ar"/>
                    </w:rPr>
                    <w:t>30</w:t>
                  </w:r>
                  <w:r>
                    <w:rPr>
                      <w:rFonts w:hint="eastAsia" w:ascii="宋体" w:hAnsi="宋体" w:eastAsia="宋体" w:cs="宋体"/>
                      <w:color w:val="auto"/>
                      <w:kern w:val="2"/>
                      <w:sz w:val="21"/>
                      <w:szCs w:val="21"/>
                      <w:lang w:val="en-US" w:eastAsia="zh-CN" w:bidi="ar"/>
                    </w:rPr>
                    <w:t>万千瓦级别的燃煤发电机组服役期满后有序退出，推动</w:t>
                  </w:r>
                  <w:r>
                    <w:rPr>
                      <w:rFonts w:hint="default" w:ascii="Times New Roman" w:hAnsi="Times New Roman" w:eastAsia="宋体" w:cs="Times New Roman"/>
                      <w:color w:val="auto"/>
                      <w:kern w:val="2"/>
                      <w:sz w:val="21"/>
                      <w:szCs w:val="21"/>
                      <w:lang w:val="en-US" w:eastAsia="zh-CN" w:bidi="ar"/>
                    </w:rPr>
                    <w:t>10</w:t>
                  </w:r>
                  <w:r>
                    <w:rPr>
                      <w:rFonts w:hint="eastAsia" w:ascii="宋体" w:hAnsi="宋体" w:eastAsia="宋体" w:cs="宋体"/>
                      <w:color w:val="auto"/>
                      <w:kern w:val="2"/>
                      <w:sz w:val="21"/>
                      <w:szCs w:val="21"/>
                      <w:lang w:val="en-US" w:eastAsia="zh-CN" w:bidi="ar"/>
                    </w:rPr>
                    <w:t>万千瓦以下非背压燃煤热电机组淘汰退出或改造提升。严格实施重点用能单位化石用能预算管理，加强煤炭消费监测预警。</w:t>
                  </w:r>
                </w:p>
              </w:tc>
              <w:tc>
                <w:tcPr>
                  <w:tcW w:w="2749" w:type="dxa"/>
                  <w:tcBorders>
                    <w:top w:val="single" w:color="auto" w:sz="4" w:space="0"/>
                    <w:left w:val="nil"/>
                    <w:bottom w:val="single" w:color="auto" w:sz="4" w:space="0"/>
                    <w:right w:val="single" w:color="auto" w:sz="4" w:space="0"/>
                  </w:tcBorders>
                  <w:shd w:val="clear" w:color="auto" w:fill="auto"/>
                  <w:vAlign w:val="center"/>
                </w:tcPr>
                <w:p w14:paraId="4BE1F620">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宋体" w:cs="Times New Roman"/>
                      <w:color w:val="auto"/>
                      <w:kern w:val="2"/>
                      <w:sz w:val="21"/>
                      <w:szCs w:val="21"/>
                    </w:rPr>
                  </w:pPr>
                  <w:r>
                    <w:rPr>
                      <w:rFonts w:hint="eastAsia" w:ascii="宋体" w:hAnsi="宋体" w:eastAsia="宋体" w:cs="宋体"/>
                      <w:color w:val="auto"/>
                      <w:kern w:val="2"/>
                      <w:sz w:val="21"/>
                      <w:szCs w:val="21"/>
                      <w:lang w:val="en-US" w:eastAsia="zh-CN" w:bidi="ar"/>
                    </w:rPr>
                    <w:t>本项目不涉及。</w:t>
                  </w:r>
                </w:p>
              </w:tc>
              <w:tc>
                <w:tcPr>
                  <w:tcW w:w="699" w:type="dxa"/>
                  <w:tcBorders>
                    <w:top w:val="single" w:color="auto" w:sz="4" w:space="0"/>
                    <w:left w:val="nil"/>
                    <w:bottom w:val="single" w:color="auto" w:sz="4" w:space="0"/>
                    <w:right w:val="single" w:color="auto" w:sz="4" w:space="0"/>
                  </w:tcBorders>
                  <w:shd w:val="clear" w:color="auto" w:fill="auto"/>
                  <w:vAlign w:val="center"/>
                </w:tcPr>
                <w:p w14:paraId="7BE35814">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宋体" w:cs="Times New Roman"/>
                      <w:color w:val="auto"/>
                      <w:kern w:val="0"/>
                      <w:sz w:val="21"/>
                      <w:szCs w:val="21"/>
                    </w:rPr>
                  </w:pPr>
                  <w:r>
                    <w:rPr>
                      <w:rFonts w:hint="eastAsia" w:ascii="宋体" w:hAnsi="宋体" w:eastAsia="宋体" w:cs="宋体"/>
                      <w:color w:val="auto"/>
                      <w:kern w:val="0"/>
                      <w:sz w:val="21"/>
                      <w:szCs w:val="21"/>
                      <w:lang w:val="en-US" w:eastAsia="zh-CN" w:bidi="ar"/>
                    </w:rPr>
                    <w:t>不涉及</w:t>
                  </w:r>
                </w:p>
              </w:tc>
            </w:tr>
            <w:tr w14:paraId="5DC6B0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0" w:hRule="atLeast"/>
                <w:jc w:val="center"/>
              </w:trPr>
              <w:tc>
                <w:tcPr>
                  <w:tcW w:w="441" w:type="dxa"/>
                  <w:vMerge w:val="continue"/>
                  <w:tcBorders>
                    <w:top w:val="nil"/>
                    <w:left w:val="single" w:color="auto" w:sz="4" w:space="0"/>
                    <w:bottom w:val="single" w:color="auto" w:sz="4" w:space="0"/>
                    <w:right w:val="single" w:color="auto" w:sz="4" w:space="0"/>
                  </w:tcBorders>
                  <w:shd w:val="clear" w:color="auto" w:fill="auto"/>
                  <w:vAlign w:val="center"/>
                </w:tcPr>
                <w:p w14:paraId="7C24057F">
                  <w:pPr>
                    <w:keepNext w:val="0"/>
                    <w:keepLines w:val="0"/>
                    <w:suppressLineNumbers w:val="0"/>
                    <w:spacing w:before="0" w:beforeAutospacing="0" w:after="0" w:afterAutospacing="0"/>
                    <w:ind w:left="0" w:right="0"/>
                    <w:jc w:val="both"/>
                    <w:rPr>
                      <w:rFonts w:hint="default" w:ascii="Times New Roman" w:hAnsi="Times New Roman" w:cs="Times New Roman"/>
                      <w:color w:val="auto"/>
                      <w:sz w:val="20"/>
                      <w:szCs w:val="20"/>
                    </w:rPr>
                  </w:pPr>
                </w:p>
              </w:tc>
              <w:tc>
                <w:tcPr>
                  <w:tcW w:w="4089" w:type="dxa"/>
                  <w:tcBorders>
                    <w:top w:val="single" w:color="auto" w:sz="4" w:space="0"/>
                    <w:left w:val="nil"/>
                    <w:bottom w:val="single" w:color="auto" w:sz="4" w:space="0"/>
                    <w:right w:val="single" w:color="auto" w:sz="4" w:space="0"/>
                  </w:tcBorders>
                  <w:shd w:val="clear" w:color="auto" w:fill="auto"/>
                  <w:vAlign w:val="center"/>
                </w:tcPr>
                <w:p w14:paraId="6003D48E">
                  <w:pPr>
                    <w:keepNext w:val="0"/>
                    <w:keepLines w:val="0"/>
                    <w:widowControl w:val="0"/>
                    <w:suppressLineNumbers w:val="0"/>
                    <w:spacing w:before="0" w:beforeAutospacing="0" w:after="0" w:afterAutospacing="0"/>
                    <w:ind w:left="0" w:right="0"/>
                    <w:jc w:val="center"/>
                    <w:rPr>
                      <w:rFonts w:hint="default" w:ascii="Times New Roman" w:hAnsi="Times New Roman" w:eastAsia="宋体" w:cs="Times New Roman"/>
                      <w:color w:val="auto"/>
                      <w:kern w:val="2"/>
                      <w:sz w:val="21"/>
                      <w:szCs w:val="21"/>
                    </w:rPr>
                  </w:pPr>
                  <w:r>
                    <w:rPr>
                      <w:rFonts w:hint="default" w:ascii="Times New Roman" w:hAnsi="Times New Roman" w:eastAsia="宋体" w:cs="Times New Roman"/>
                      <w:b/>
                      <w:bCs/>
                      <w:color w:val="auto"/>
                      <w:kern w:val="2"/>
                      <w:sz w:val="21"/>
                      <w:szCs w:val="21"/>
                      <w:lang w:val="en-US" w:eastAsia="zh-CN" w:bidi="ar"/>
                    </w:rPr>
                    <w:t>3.</w:t>
                  </w:r>
                  <w:r>
                    <w:rPr>
                      <w:rFonts w:hint="eastAsia" w:ascii="宋体" w:hAnsi="宋体" w:eastAsia="宋体" w:cs="宋体"/>
                      <w:b/>
                      <w:bCs/>
                      <w:color w:val="auto"/>
                      <w:kern w:val="2"/>
                      <w:sz w:val="21"/>
                      <w:szCs w:val="21"/>
                      <w:lang w:val="en-US" w:eastAsia="zh-CN" w:bidi="ar"/>
                    </w:rPr>
                    <w:t>推进锅炉窑炉清洁能源替代。</w:t>
                  </w:r>
                  <w:r>
                    <w:rPr>
                      <w:rFonts w:hint="eastAsia" w:ascii="宋体" w:hAnsi="宋体" w:eastAsia="宋体" w:cs="宋体"/>
                      <w:color w:val="auto"/>
                      <w:kern w:val="2"/>
                      <w:sz w:val="21"/>
                      <w:szCs w:val="21"/>
                      <w:lang w:val="en-US" w:eastAsia="zh-CN" w:bidi="ar"/>
                    </w:rPr>
                    <w:t>充分发挥</w:t>
                  </w:r>
                  <w:r>
                    <w:rPr>
                      <w:rFonts w:hint="default" w:ascii="Times New Roman" w:hAnsi="Times New Roman" w:eastAsia="宋体" w:cs="Times New Roman"/>
                      <w:color w:val="auto"/>
                      <w:kern w:val="2"/>
                      <w:sz w:val="21"/>
                      <w:szCs w:val="21"/>
                      <w:lang w:val="en-US" w:eastAsia="zh-CN" w:bidi="ar"/>
                    </w:rPr>
                    <w:t>30</w:t>
                  </w:r>
                  <w:r>
                    <w:rPr>
                      <w:rFonts w:hint="eastAsia" w:ascii="宋体" w:hAnsi="宋体" w:eastAsia="宋体" w:cs="宋体"/>
                      <w:color w:val="auto"/>
                      <w:kern w:val="2"/>
                      <w:sz w:val="21"/>
                      <w:szCs w:val="21"/>
                      <w:lang w:val="en-US" w:eastAsia="zh-CN" w:bidi="ar"/>
                    </w:rPr>
                    <w:t>万千瓦及以上热电联产电厂的供热能力，对其供热半径</w:t>
                  </w:r>
                  <w:r>
                    <w:rPr>
                      <w:rFonts w:hint="default" w:ascii="Times New Roman" w:hAnsi="Times New Roman" w:eastAsia="宋体" w:cs="Times New Roman"/>
                      <w:color w:val="auto"/>
                      <w:kern w:val="2"/>
                      <w:sz w:val="21"/>
                      <w:szCs w:val="21"/>
                      <w:lang w:val="en-US" w:eastAsia="zh-CN" w:bidi="ar"/>
                    </w:rPr>
                    <w:t>30</w:t>
                  </w:r>
                  <w:r>
                    <w:rPr>
                      <w:rFonts w:hint="eastAsia" w:ascii="宋体" w:hAnsi="宋体" w:eastAsia="宋体" w:cs="宋体"/>
                      <w:color w:val="auto"/>
                      <w:kern w:val="2"/>
                      <w:sz w:val="21"/>
                      <w:szCs w:val="21"/>
                      <w:lang w:val="en-US" w:eastAsia="zh-CN" w:bidi="ar"/>
                    </w:rPr>
                    <w:t>公里范围内的燃煤锅炉和落后燃煤小热电机组（含自备电厂）进行关停或整合。有序推动</w:t>
                  </w:r>
                  <w:r>
                    <w:rPr>
                      <w:rFonts w:hint="default" w:ascii="Times New Roman" w:hAnsi="Times New Roman" w:eastAsia="宋体" w:cs="Times New Roman"/>
                      <w:color w:val="auto"/>
                      <w:kern w:val="2"/>
                      <w:sz w:val="21"/>
                      <w:szCs w:val="21"/>
                      <w:lang w:val="en-US" w:eastAsia="zh-CN" w:bidi="ar"/>
                    </w:rPr>
                    <w:t>65</w:t>
                  </w:r>
                  <w:r>
                    <w:rPr>
                      <w:rFonts w:hint="eastAsia" w:ascii="宋体" w:hAnsi="宋体" w:eastAsia="宋体" w:cs="宋体"/>
                      <w:color w:val="auto"/>
                      <w:kern w:val="2"/>
                      <w:sz w:val="21"/>
                      <w:szCs w:val="21"/>
                      <w:lang w:val="en-US" w:eastAsia="zh-CN" w:bidi="ar"/>
                    </w:rPr>
                    <w:t>蒸吨</w:t>
                  </w:r>
                  <w:r>
                    <w:rPr>
                      <w:rFonts w:hint="default" w:ascii="Times New Roman" w:hAnsi="Times New Roman" w:eastAsia="宋体" w:cs="Times New Roman"/>
                      <w:color w:val="auto"/>
                      <w:kern w:val="2"/>
                      <w:sz w:val="21"/>
                      <w:szCs w:val="21"/>
                      <w:lang w:val="en-US" w:eastAsia="zh-CN" w:bidi="ar"/>
                    </w:rPr>
                    <w:t>/</w:t>
                  </w:r>
                  <w:r>
                    <w:rPr>
                      <w:rFonts w:hint="eastAsia" w:ascii="宋体" w:hAnsi="宋体" w:eastAsia="宋体" w:cs="宋体"/>
                      <w:color w:val="auto"/>
                      <w:kern w:val="2"/>
                      <w:sz w:val="21"/>
                      <w:szCs w:val="21"/>
                      <w:lang w:val="en-US" w:eastAsia="zh-CN" w:bidi="ar"/>
                    </w:rPr>
                    <w:t>小时及以下燃煤锅炉、</w:t>
                  </w:r>
                  <w:r>
                    <w:rPr>
                      <w:rFonts w:hint="default" w:ascii="Times New Roman" w:hAnsi="Times New Roman" w:eastAsia="宋体" w:cs="Times New Roman"/>
                      <w:color w:val="auto"/>
                      <w:kern w:val="2"/>
                      <w:sz w:val="21"/>
                      <w:szCs w:val="21"/>
                      <w:lang w:val="en-US" w:eastAsia="zh-CN" w:bidi="ar"/>
                    </w:rPr>
                    <w:t>10</w:t>
                  </w:r>
                  <w:r>
                    <w:rPr>
                      <w:rFonts w:hint="eastAsia" w:ascii="宋体" w:hAnsi="宋体" w:eastAsia="宋体" w:cs="宋体"/>
                      <w:color w:val="auto"/>
                      <w:kern w:val="2"/>
                      <w:sz w:val="21"/>
                      <w:szCs w:val="21"/>
                      <w:lang w:val="en-US" w:eastAsia="zh-CN" w:bidi="ar"/>
                    </w:rPr>
                    <w:t>蒸吨</w:t>
                  </w:r>
                  <w:r>
                    <w:rPr>
                      <w:rFonts w:hint="default" w:ascii="Times New Roman" w:hAnsi="Times New Roman" w:eastAsia="宋体" w:cs="Times New Roman"/>
                      <w:color w:val="auto"/>
                      <w:kern w:val="2"/>
                      <w:sz w:val="21"/>
                      <w:szCs w:val="21"/>
                      <w:lang w:val="en-US" w:eastAsia="zh-CN" w:bidi="ar"/>
                    </w:rPr>
                    <w:t>/</w:t>
                  </w:r>
                  <w:r>
                    <w:rPr>
                      <w:rFonts w:hint="eastAsia" w:ascii="宋体" w:hAnsi="宋体" w:eastAsia="宋体" w:cs="宋体"/>
                      <w:color w:val="auto"/>
                      <w:kern w:val="2"/>
                      <w:sz w:val="21"/>
                      <w:szCs w:val="21"/>
                      <w:lang w:val="en-US" w:eastAsia="zh-CN" w:bidi="ar"/>
                    </w:rPr>
                    <w:t>小时及以下生物质锅炉改气、改电或集中供热。禁止新建</w:t>
                  </w:r>
                  <w:r>
                    <w:rPr>
                      <w:rFonts w:hint="default" w:ascii="Times New Roman" w:hAnsi="Times New Roman" w:eastAsia="宋体" w:cs="Times New Roman"/>
                      <w:color w:val="auto"/>
                      <w:kern w:val="2"/>
                      <w:sz w:val="21"/>
                      <w:szCs w:val="21"/>
                      <w:lang w:val="en-US" w:eastAsia="zh-CN" w:bidi="ar"/>
                    </w:rPr>
                    <w:t>35</w:t>
                  </w:r>
                  <w:r>
                    <w:rPr>
                      <w:rFonts w:hint="eastAsia" w:ascii="宋体" w:hAnsi="宋体" w:eastAsia="宋体" w:cs="宋体"/>
                      <w:color w:val="auto"/>
                      <w:kern w:val="2"/>
                      <w:sz w:val="21"/>
                      <w:szCs w:val="21"/>
                      <w:lang w:val="en-US" w:eastAsia="zh-CN" w:bidi="ar"/>
                    </w:rPr>
                    <w:t>蒸吨</w:t>
                  </w:r>
                  <w:r>
                    <w:rPr>
                      <w:rFonts w:hint="default" w:ascii="Times New Roman" w:hAnsi="Times New Roman" w:eastAsia="宋体" w:cs="Times New Roman"/>
                      <w:color w:val="auto"/>
                      <w:kern w:val="2"/>
                      <w:sz w:val="21"/>
                      <w:szCs w:val="21"/>
                      <w:lang w:val="en-US" w:eastAsia="zh-CN" w:bidi="ar"/>
                    </w:rPr>
                    <w:t>/</w:t>
                  </w:r>
                  <w:r>
                    <w:rPr>
                      <w:rFonts w:hint="eastAsia" w:ascii="宋体" w:hAnsi="宋体" w:eastAsia="宋体" w:cs="宋体"/>
                      <w:color w:val="auto"/>
                      <w:kern w:val="2"/>
                      <w:sz w:val="21"/>
                      <w:szCs w:val="21"/>
                      <w:lang w:val="en-US" w:eastAsia="zh-CN" w:bidi="ar"/>
                    </w:rPr>
                    <w:t>小时及以下固定炉排式生物质锅炉。化工、玻璃行业完成石油焦、重油、渣油、煤焦油等高污染燃料工业炉窑淘汰或清洁能源替代，持续推进烧结砖及其他工业炉窑清洁能源替代。新改扩建加热炉、热处理炉、干燥炉、熔化炉原则上采用清洁低碳能源。</w:t>
                  </w:r>
                </w:p>
              </w:tc>
              <w:tc>
                <w:tcPr>
                  <w:tcW w:w="2749" w:type="dxa"/>
                  <w:tcBorders>
                    <w:top w:val="single" w:color="auto" w:sz="4" w:space="0"/>
                    <w:left w:val="nil"/>
                    <w:bottom w:val="single" w:color="auto" w:sz="4" w:space="0"/>
                    <w:right w:val="single" w:color="auto" w:sz="4" w:space="0"/>
                  </w:tcBorders>
                  <w:shd w:val="clear" w:color="auto" w:fill="auto"/>
                  <w:vAlign w:val="center"/>
                </w:tcPr>
                <w:p w14:paraId="3127E64F">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宋体" w:cs="Times New Roman"/>
                      <w:color w:val="auto"/>
                      <w:kern w:val="2"/>
                      <w:sz w:val="21"/>
                      <w:szCs w:val="21"/>
                    </w:rPr>
                  </w:pPr>
                  <w:r>
                    <w:rPr>
                      <w:rFonts w:hint="eastAsia" w:ascii="宋体" w:hAnsi="宋体" w:eastAsia="宋体" w:cs="宋体"/>
                      <w:color w:val="auto"/>
                      <w:kern w:val="2"/>
                      <w:sz w:val="21"/>
                      <w:szCs w:val="21"/>
                      <w:highlight w:val="none"/>
                      <w:lang w:val="en-US" w:eastAsia="zh-CN" w:bidi="ar"/>
                    </w:rPr>
                    <w:t>本项目不涉及。</w:t>
                  </w:r>
                </w:p>
              </w:tc>
              <w:tc>
                <w:tcPr>
                  <w:tcW w:w="699" w:type="dxa"/>
                  <w:tcBorders>
                    <w:top w:val="single" w:color="auto" w:sz="4" w:space="0"/>
                    <w:left w:val="nil"/>
                    <w:bottom w:val="single" w:color="auto" w:sz="4" w:space="0"/>
                    <w:right w:val="single" w:color="auto" w:sz="4" w:space="0"/>
                  </w:tcBorders>
                  <w:shd w:val="clear" w:color="auto" w:fill="auto"/>
                  <w:vAlign w:val="center"/>
                </w:tcPr>
                <w:p w14:paraId="1B0607BA">
                  <w:pPr>
                    <w:keepNext w:val="0"/>
                    <w:keepLines w:val="0"/>
                    <w:widowControl/>
                    <w:suppressLineNumbers w:val="0"/>
                    <w:spacing w:before="0" w:beforeAutospacing="0" w:after="0" w:afterAutospacing="0"/>
                    <w:ind w:left="0" w:leftChars="0" w:right="0" w:rightChars="0"/>
                    <w:jc w:val="center"/>
                    <w:textAlignment w:val="center"/>
                    <w:rPr>
                      <w:rFonts w:hint="eastAsia" w:ascii="Times New Roman" w:hAnsi="Times New Roman" w:eastAsia="宋体" w:cs="Times New Roman"/>
                      <w:color w:val="auto"/>
                      <w:kern w:val="2"/>
                      <w:sz w:val="21"/>
                      <w:szCs w:val="21"/>
                    </w:rPr>
                  </w:pPr>
                  <w:r>
                    <w:rPr>
                      <w:rFonts w:hint="eastAsia" w:ascii="宋体" w:hAnsi="宋体" w:eastAsia="宋体" w:cs="宋体"/>
                      <w:color w:val="auto"/>
                      <w:kern w:val="0"/>
                      <w:sz w:val="21"/>
                      <w:szCs w:val="21"/>
                      <w:highlight w:val="none"/>
                      <w:lang w:val="en-US" w:eastAsia="zh-CN" w:bidi="ar"/>
                    </w:rPr>
                    <w:t>不涉及</w:t>
                  </w:r>
                </w:p>
              </w:tc>
            </w:tr>
            <w:tr w14:paraId="01EE5C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397" w:hRule="atLeast"/>
                <w:jc w:val="center"/>
              </w:trPr>
              <w:tc>
                <w:tcPr>
                  <w:tcW w:w="441" w:type="dxa"/>
                  <w:vMerge w:val="restart"/>
                  <w:tcBorders>
                    <w:top w:val="nil"/>
                    <w:left w:val="single" w:color="auto" w:sz="4" w:space="0"/>
                    <w:bottom w:val="single" w:color="auto" w:sz="4" w:space="0"/>
                    <w:right w:val="single" w:color="auto" w:sz="4" w:space="0"/>
                  </w:tcBorders>
                  <w:shd w:val="clear" w:color="auto" w:fill="auto"/>
                  <w:vAlign w:val="center"/>
                </w:tcPr>
                <w:p w14:paraId="6DCDD5EE">
                  <w:pPr>
                    <w:keepNext w:val="0"/>
                    <w:keepLines w:val="0"/>
                    <w:widowControl w:val="0"/>
                    <w:suppressLineNumbers w:val="0"/>
                    <w:spacing w:before="0" w:beforeAutospacing="0" w:after="0" w:afterAutospacing="0"/>
                    <w:ind w:left="0" w:right="0"/>
                    <w:jc w:val="center"/>
                    <w:rPr>
                      <w:rFonts w:hint="default" w:ascii="Times New Roman" w:hAnsi="Times New Roman" w:eastAsia="宋体" w:cs="Times New Roman"/>
                      <w:color w:val="auto"/>
                      <w:kern w:val="2"/>
                      <w:sz w:val="21"/>
                      <w:szCs w:val="21"/>
                    </w:rPr>
                  </w:pPr>
                  <w:r>
                    <w:rPr>
                      <w:rFonts w:hint="eastAsia" w:ascii="宋体" w:hAnsi="宋体" w:eastAsia="宋体" w:cs="宋体"/>
                      <w:color w:val="auto"/>
                      <w:kern w:val="2"/>
                      <w:sz w:val="21"/>
                      <w:szCs w:val="21"/>
                      <w:lang w:val="en-US" w:eastAsia="zh-CN" w:bidi="ar"/>
                    </w:rPr>
                    <w:t>深入推进产业结构调整</w:t>
                  </w:r>
                </w:p>
              </w:tc>
              <w:tc>
                <w:tcPr>
                  <w:tcW w:w="4089" w:type="dxa"/>
                  <w:tcBorders>
                    <w:top w:val="single" w:color="auto" w:sz="4" w:space="0"/>
                    <w:left w:val="nil"/>
                    <w:bottom w:val="single" w:color="auto" w:sz="4" w:space="0"/>
                    <w:right w:val="single" w:color="auto" w:sz="4" w:space="0"/>
                  </w:tcBorders>
                  <w:shd w:val="clear" w:color="auto" w:fill="auto"/>
                  <w:vAlign w:val="center"/>
                </w:tcPr>
                <w:p w14:paraId="448979D2">
                  <w:pPr>
                    <w:keepNext w:val="0"/>
                    <w:keepLines w:val="0"/>
                    <w:widowControl w:val="0"/>
                    <w:suppressLineNumbers w:val="0"/>
                    <w:spacing w:before="0" w:beforeAutospacing="0" w:after="0" w:afterAutospacing="0"/>
                    <w:ind w:left="0" w:right="0"/>
                    <w:jc w:val="center"/>
                    <w:rPr>
                      <w:rFonts w:hint="default" w:ascii="Times New Roman" w:hAnsi="Times New Roman" w:eastAsia="宋体" w:cs="Times New Roman"/>
                      <w:color w:val="auto"/>
                      <w:kern w:val="2"/>
                      <w:sz w:val="21"/>
                      <w:szCs w:val="21"/>
                    </w:rPr>
                  </w:pPr>
                  <w:r>
                    <w:rPr>
                      <w:rFonts w:hint="default" w:ascii="Times New Roman" w:hAnsi="Times New Roman" w:eastAsia="宋体" w:cs="Times New Roman"/>
                      <w:b/>
                      <w:bCs/>
                      <w:color w:val="auto"/>
                      <w:kern w:val="2"/>
                      <w:sz w:val="21"/>
                      <w:szCs w:val="21"/>
                      <w:lang w:val="en-US" w:eastAsia="zh-CN" w:bidi="ar"/>
                    </w:rPr>
                    <w:t>1.</w:t>
                  </w:r>
                  <w:r>
                    <w:rPr>
                      <w:rFonts w:hint="eastAsia" w:ascii="宋体" w:hAnsi="宋体" w:eastAsia="宋体" w:cs="宋体"/>
                      <w:b/>
                      <w:bCs/>
                      <w:color w:val="auto"/>
                      <w:kern w:val="2"/>
                      <w:sz w:val="21"/>
                      <w:szCs w:val="21"/>
                      <w:lang w:val="en-US" w:eastAsia="zh-CN" w:bidi="ar"/>
                    </w:rPr>
                    <w:t>源头优化产业准入。</w:t>
                  </w:r>
                  <w:r>
                    <w:rPr>
                      <w:rFonts w:hint="eastAsia" w:ascii="宋体" w:hAnsi="宋体" w:eastAsia="宋体" w:cs="宋体"/>
                      <w:color w:val="auto"/>
                      <w:kern w:val="2"/>
                      <w:sz w:val="21"/>
                      <w:szCs w:val="21"/>
                      <w:lang w:val="en-US" w:eastAsia="zh-CN" w:bidi="ar"/>
                    </w:rPr>
                    <w:t>严格落实国家产业结构调整指导目录，强化建设项目准入管理，深化生态环境分区管控。坚决遏制高能耗、高排放项目盲目无序上马，对存量“两高”项目实行“一项一策”绿色转型方案。新上“两高”项目应达到能效标杆水平和大气环境绩效</w:t>
                  </w:r>
                  <w:r>
                    <w:rPr>
                      <w:rFonts w:hint="default" w:ascii="Times New Roman" w:hAnsi="Times New Roman" w:eastAsia="宋体" w:cs="Times New Roman"/>
                      <w:color w:val="auto"/>
                      <w:kern w:val="2"/>
                      <w:sz w:val="21"/>
                      <w:szCs w:val="21"/>
                      <w:lang w:val="en-US" w:eastAsia="zh-CN" w:bidi="ar"/>
                    </w:rPr>
                    <w:t>A</w:t>
                  </w:r>
                  <w:r>
                    <w:rPr>
                      <w:rFonts w:hint="eastAsia" w:ascii="宋体" w:hAnsi="宋体" w:eastAsia="宋体" w:cs="宋体"/>
                      <w:color w:val="auto"/>
                      <w:kern w:val="2"/>
                      <w:sz w:val="21"/>
                      <w:szCs w:val="21"/>
                      <w:lang w:val="en-US" w:eastAsia="zh-CN" w:bidi="ar"/>
                    </w:rPr>
                    <w:t>级水平。严控炼油、基础化工原料产能规模，严控新增化工园区，推动化工、医药项目向化工园区集聚发展。</w:t>
                  </w:r>
                </w:p>
              </w:tc>
              <w:tc>
                <w:tcPr>
                  <w:tcW w:w="2749" w:type="dxa"/>
                  <w:tcBorders>
                    <w:top w:val="single" w:color="auto" w:sz="4" w:space="0"/>
                    <w:left w:val="nil"/>
                    <w:bottom w:val="single" w:color="auto" w:sz="4" w:space="0"/>
                    <w:right w:val="single" w:color="auto" w:sz="4" w:space="0"/>
                  </w:tcBorders>
                  <w:shd w:val="clear" w:color="auto" w:fill="auto"/>
                  <w:vAlign w:val="center"/>
                </w:tcPr>
                <w:p w14:paraId="25758A84">
                  <w:pPr>
                    <w:keepNext w:val="0"/>
                    <w:keepLines w:val="0"/>
                    <w:widowControl/>
                    <w:suppressLineNumbers w:val="0"/>
                    <w:spacing w:before="0" w:beforeAutospacing="0" w:after="0" w:afterAutospacing="0"/>
                    <w:ind w:left="0" w:leftChars="0" w:right="0" w:rightChars="0"/>
                    <w:jc w:val="both"/>
                    <w:textAlignment w:val="center"/>
                    <w:rPr>
                      <w:rFonts w:hint="default" w:ascii="Times New Roman" w:hAnsi="Times New Roman" w:eastAsia="宋体" w:cs="Times New Roman"/>
                      <w:color w:val="auto"/>
                      <w:kern w:val="2"/>
                      <w:sz w:val="21"/>
                      <w:szCs w:val="21"/>
                    </w:rPr>
                  </w:pPr>
                  <w:r>
                    <w:rPr>
                      <w:rFonts w:hint="eastAsia" w:ascii="宋体" w:hAnsi="宋体" w:eastAsia="宋体" w:cs="宋体"/>
                      <w:color w:val="auto"/>
                      <w:kern w:val="2"/>
                      <w:sz w:val="21"/>
                      <w:szCs w:val="21"/>
                      <w:lang w:val="en-US" w:eastAsia="zh-CN" w:bidi="ar"/>
                    </w:rPr>
                    <w:t>本项目行业类别为</w:t>
                  </w:r>
                  <w:r>
                    <w:rPr>
                      <w:rFonts w:hint="default" w:ascii="Times New Roman" w:hAnsi="Times New Roman" w:eastAsia="宋体" w:cs="Times New Roman"/>
                      <w:color w:val="auto"/>
                      <w:kern w:val="2"/>
                      <w:sz w:val="21"/>
                      <w:szCs w:val="21"/>
                      <w:lang w:val="en-US" w:eastAsia="zh-CN" w:bidi="ar"/>
                    </w:rPr>
                    <w:t>C3670汽车零部件及配件制造、C2929塑料零件及其他塑料制品制造、C3034隔热和隔音材料制造</w:t>
                  </w:r>
                  <w:r>
                    <w:rPr>
                      <w:rFonts w:hint="eastAsia" w:ascii="宋体" w:hAnsi="宋体" w:eastAsia="宋体" w:cs="宋体"/>
                      <w:color w:val="auto"/>
                      <w:kern w:val="2"/>
                      <w:sz w:val="21"/>
                      <w:szCs w:val="21"/>
                      <w:lang w:val="en-US" w:eastAsia="zh-CN" w:bidi="ar"/>
                    </w:rPr>
                    <w:t>，不属于国家发改委《产业结构调整指导目录（</w:t>
                  </w:r>
                  <w:r>
                    <w:rPr>
                      <w:rFonts w:hint="default" w:ascii="Times New Roman" w:hAnsi="Times New Roman" w:eastAsia="宋体" w:cs="Times New Roman"/>
                      <w:color w:val="auto"/>
                      <w:kern w:val="2"/>
                      <w:sz w:val="21"/>
                      <w:szCs w:val="21"/>
                      <w:lang w:val="en-US" w:eastAsia="zh-CN" w:bidi="ar"/>
                    </w:rPr>
                    <w:t>2024</w:t>
                  </w:r>
                  <w:r>
                    <w:rPr>
                      <w:rFonts w:hint="eastAsia" w:ascii="宋体" w:hAnsi="宋体" w:eastAsia="宋体" w:cs="宋体"/>
                      <w:color w:val="auto"/>
                      <w:kern w:val="2"/>
                      <w:sz w:val="21"/>
                      <w:szCs w:val="21"/>
                      <w:lang w:val="en-US" w:eastAsia="zh-CN" w:bidi="ar"/>
                    </w:rPr>
                    <w:t>）》以及《</w:t>
                  </w:r>
                  <w:r>
                    <w:rPr>
                      <w:rFonts w:hint="default" w:ascii="Times New Roman" w:hAnsi="Times New Roman" w:eastAsia="宋体" w:cs="Times New Roman"/>
                      <w:color w:val="auto"/>
                      <w:kern w:val="2"/>
                      <w:sz w:val="21"/>
                      <w:szCs w:val="21"/>
                      <w:lang w:val="en-US" w:eastAsia="zh-CN" w:bidi="ar"/>
                    </w:rPr>
                    <w:t>湖州市产业发展导向目录（2012年本）》中限制类和禁止类项目，且已取得长三角（湖州）产业合作区备案（项目代码2512-330554-04-02-214750）。</w:t>
                  </w:r>
                </w:p>
                <w:p w14:paraId="751E8B0D">
                  <w:pPr>
                    <w:pStyle w:val="19"/>
                    <w:keepNext w:val="0"/>
                    <w:keepLines w:val="0"/>
                    <w:widowControl w:val="0"/>
                    <w:suppressLineNumbers w:val="0"/>
                    <w:spacing w:before="0" w:beforeAutospacing="0" w:after="0" w:afterAutospacing="0"/>
                    <w:ind w:left="0" w:leftChars="0" w:right="0" w:firstLine="0" w:firstLineChars="0"/>
                    <w:jc w:val="both"/>
                    <w:rPr>
                      <w:rFonts w:hint="default" w:ascii="Times New Roman" w:hAnsi="Times New Roman" w:eastAsia="宋体" w:cs="Times New Roman"/>
                      <w:color w:val="auto"/>
                      <w:kern w:val="2"/>
                      <w:sz w:val="21"/>
                      <w:szCs w:val="21"/>
                    </w:rPr>
                  </w:pPr>
                  <w:r>
                    <w:rPr>
                      <w:rFonts w:hint="eastAsia" w:ascii="宋体" w:hAnsi="宋体" w:eastAsia="宋体" w:cs="宋体"/>
                      <w:color w:val="auto"/>
                      <w:kern w:val="2"/>
                      <w:sz w:val="21"/>
                      <w:szCs w:val="21"/>
                      <w:lang w:val="en-US" w:eastAsia="zh-CN" w:bidi="ar"/>
                    </w:rPr>
                    <w:t>根据《环境保护综合名录》（</w:t>
                  </w:r>
                  <w:r>
                    <w:rPr>
                      <w:rFonts w:hint="default" w:ascii="Times New Roman" w:hAnsi="Times New Roman" w:eastAsia="宋体" w:cs="Times New Roman"/>
                      <w:color w:val="auto"/>
                      <w:kern w:val="2"/>
                      <w:sz w:val="21"/>
                      <w:szCs w:val="21"/>
                      <w:lang w:val="en-US" w:eastAsia="zh-CN" w:bidi="ar"/>
                    </w:rPr>
                    <w:t>2021</w:t>
                  </w:r>
                  <w:r>
                    <w:rPr>
                      <w:rFonts w:hint="eastAsia" w:ascii="宋体" w:hAnsi="宋体" w:eastAsia="宋体" w:cs="宋体"/>
                      <w:color w:val="auto"/>
                      <w:kern w:val="2"/>
                      <w:sz w:val="21"/>
                      <w:szCs w:val="21"/>
                      <w:lang w:val="en-US" w:eastAsia="zh-CN" w:bidi="ar"/>
                    </w:rPr>
                    <w:t>年版），本项目不属于高污染产品，根据《浙江省固定资产投资项目能耗平衡和煤炭消费减量替代管理办法（试行）》本项目不属于高耗能行业。</w:t>
                  </w:r>
                </w:p>
              </w:tc>
              <w:tc>
                <w:tcPr>
                  <w:tcW w:w="699" w:type="dxa"/>
                  <w:tcBorders>
                    <w:top w:val="single" w:color="auto" w:sz="4" w:space="0"/>
                    <w:left w:val="nil"/>
                    <w:bottom w:val="single" w:color="auto" w:sz="4" w:space="0"/>
                    <w:right w:val="single" w:color="auto" w:sz="4" w:space="0"/>
                  </w:tcBorders>
                  <w:shd w:val="clear" w:color="auto" w:fill="auto"/>
                  <w:vAlign w:val="center"/>
                </w:tcPr>
                <w:p w14:paraId="0E367DBE">
                  <w:pPr>
                    <w:keepNext w:val="0"/>
                    <w:keepLines w:val="0"/>
                    <w:widowControl/>
                    <w:suppressLineNumbers w:val="0"/>
                    <w:spacing w:before="0" w:beforeAutospacing="0" w:after="0" w:afterAutospacing="0"/>
                    <w:ind w:left="0" w:leftChars="0" w:right="0" w:rightChars="0"/>
                    <w:jc w:val="center"/>
                    <w:textAlignment w:val="center"/>
                    <w:rPr>
                      <w:rFonts w:hint="eastAsia" w:ascii="Times New Roman" w:hAnsi="Times New Roman" w:eastAsia="宋体" w:cs="Times New Roman"/>
                      <w:color w:val="auto"/>
                      <w:kern w:val="2"/>
                      <w:sz w:val="21"/>
                      <w:szCs w:val="21"/>
                    </w:rPr>
                  </w:pPr>
                  <w:r>
                    <w:rPr>
                      <w:rFonts w:hint="eastAsia" w:ascii="宋体" w:hAnsi="宋体" w:eastAsia="宋体" w:cs="宋体"/>
                      <w:color w:val="auto"/>
                      <w:kern w:val="2"/>
                      <w:sz w:val="21"/>
                      <w:szCs w:val="21"/>
                      <w:lang w:val="en-US" w:eastAsia="zh-CN" w:bidi="ar"/>
                    </w:rPr>
                    <w:t>符合</w:t>
                  </w:r>
                </w:p>
              </w:tc>
            </w:tr>
            <w:tr w14:paraId="56306C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441" w:type="dxa"/>
                  <w:vMerge w:val="continue"/>
                  <w:tcBorders>
                    <w:top w:val="nil"/>
                    <w:left w:val="single" w:color="auto" w:sz="4" w:space="0"/>
                    <w:bottom w:val="single" w:color="auto" w:sz="4" w:space="0"/>
                    <w:right w:val="single" w:color="auto" w:sz="4" w:space="0"/>
                  </w:tcBorders>
                  <w:shd w:val="clear" w:color="auto" w:fill="auto"/>
                  <w:vAlign w:val="center"/>
                </w:tcPr>
                <w:p w14:paraId="49ACD6F5">
                  <w:pPr>
                    <w:keepNext w:val="0"/>
                    <w:keepLines w:val="0"/>
                    <w:suppressLineNumbers w:val="0"/>
                    <w:spacing w:before="0" w:beforeAutospacing="0" w:after="0" w:afterAutospacing="0"/>
                    <w:ind w:left="0" w:right="0"/>
                    <w:jc w:val="both"/>
                    <w:rPr>
                      <w:rFonts w:hint="default" w:ascii="Times New Roman" w:hAnsi="Times New Roman" w:cs="Times New Roman"/>
                      <w:color w:val="auto"/>
                      <w:sz w:val="20"/>
                      <w:szCs w:val="20"/>
                    </w:rPr>
                  </w:pPr>
                </w:p>
              </w:tc>
              <w:tc>
                <w:tcPr>
                  <w:tcW w:w="4089" w:type="dxa"/>
                  <w:tcBorders>
                    <w:top w:val="single" w:color="auto" w:sz="4" w:space="0"/>
                    <w:left w:val="nil"/>
                    <w:bottom w:val="single" w:color="auto" w:sz="4" w:space="0"/>
                    <w:right w:val="single" w:color="auto" w:sz="4" w:space="0"/>
                  </w:tcBorders>
                  <w:shd w:val="clear" w:color="auto" w:fill="auto"/>
                  <w:vAlign w:val="center"/>
                </w:tcPr>
                <w:p w14:paraId="157A2D3E">
                  <w:pPr>
                    <w:keepNext w:val="0"/>
                    <w:keepLines w:val="0"/>
                    <w:widowControl w:val="0"/>
                    <w:suppressLineNumbers w:val="0"/>
                    <w:spacing w:before="0" w:beforeAutospacing="0" w:after="0" w:afterAutospacing="0"/>
                    <w:ind w:left="0" w:right="0"/>
                    <w:jc w:val="center"/>
                    <w:rPr>
                      <w:rFonts w:hint="default" w:ascii="Times New Roman" w:hAnsi="Times New Roman" w:eastAsia="宋体" w:cs="Times New Roman"/>
                      <w:color w:val="auto"/>
                      <w:kern w:val="2"/>
                      <w:sz w:val="21"/>
                      <w:szCs w:val="21"/>
                    </w:rPr>
                  </w:pPr>
                  <w:r>
                    <w:rPr>
                      <w:rFonts w:hint="default" w:ascii="Times New Roman" w:hAnsi="Times New Roman" w:eastAsia="宋体" w:cs="Times New Roman"/>
                      <w:b/>
                      <w:bCs/>
                      <w:color w:val="auto"/>
                      <w:kern w:val="2"/>
                      <w:sz w:val="21"/>
                      <w:szCs w:val="21"/>
                      <w:lang w:val="en-US" w:eastAsia="zh-CN" w:bidi="ar"/>
                    </w:rPr>
                    <w:t>2.</w:t>
                  </w:r>
                  <w:r>
                    <w:rPr>
                      <w:rFonts w:hint="eastAsia" w:ascii="宋体" w:hAnsi="宋体" w:eastAsia="宋体" w:cs="宋体"/>
                      <w:b/>
                      <w:bCs/>
                      <w:color w:val="auto"/>
                      <w:kern w:val="2"/>
                      <w:sz w:val="21"/>
                      <w:szCs w:val="21"/>
                      <w:lang w:val="en-US" w:eastAsia="zh-CN" w:bidi="ar"/>
                    </w:rPr>
                    <w:t>淘汰压减低效产能。</w:t>
                  </w:r>
                  <w:r>
                    <w:rPr>
                      <w:rFonts w:hint="eastAsia" w:ascii="宋体" w:hAnsi="宋体" w:eastAsia="宋体" w:cs="宋体"/>
                      <w:color w:val="auto"/>
                      <w:kern w:val="2"/>
                      <w:sz w:val="21"/>
                      <w:szCs w:val="21"/>
                      <w:lang w:val="en-US" w:eastAsia="zh-CN" w:bidi="ar"/>
                    </w:rPr>
                    <w:t>强化安全生产、环境保护、产品质量、节能降耗等标准约束，倒逼落后产能出清和改造提升。有序推动限制类涉气行业工艺和装备淘汰退出，加快老旧石化化工装置淘汰退出和更新改造，整合提升</w:t>
                  </w:r>
                  <w:r>
                    <w:rPr>
                      <w:rFonts w:hint="default" w:ascii="Times New Roman" w:hAnsi="Times New Roman" w:eastAsia="宋体" w:cs="Times New Roman"/>
                      <w:color w:val="auto"/>
                      <w:kern w:val="2"/>
                      <w:sz w:val="21"/>
                      <w:szCs w:val="21"/>
                      <w:lang w:val="en-US" w:eastAsia="zh-CN" w:bidi="ar"/>
                    </w:rPr>
                    <w:t>6000</w:t>
                  </w:r>
                  <w:r>
                    <w:rPr>
                      <w:rFonts w:hint="eastAsia" w:ascii="宋体" w:hAnsi="宋体" w:eastAsia="宋体" w:cs="宋体"/>
                      <w:color w:val="auto"/>
                      <w:kern w:val="2"/>
                      <w:sz w:val="21"/>
                      <w:szCs w:val="21"/>
                      <w:lang w:val="en-US" w:eastAsia="zh-CN" w:bidi="ar"/>
                    </w:rPr>
                    <w:t>万标砖</w:t>
                  </w:r>
                  <w:r>
                    <w:rPr>
                      <w:rFonts w:hint="default" w:ascii="Times New Roman" w:hAnsi="Times New Roman" w:eastAsia="宋体" w:cs="Times New Roman"/>
                      <w:color w:val="auto"/>
                      <w:kern w:val="2"/>
                      <w:sz w:val="21"/>
                      <w:szCs w:val="21"/>
                      <w:lang w:val="en-US" w:eastAsia="zh-CN" w:bidi="ar"/>
                    </w:rPr>
                    <w:t>/</w:t>
                  </w:r>
                  <w:r>
                    <w:rPr>
                      <w:rFonts w:hint="eastAsia" w:ascii="宋体" w:hAnsi="宋体" w:eastAsia="宋体" w:cs="宋体"/>
                      <w:color w:val="auto"/>
                      <w:kern w:val="2"/>
                      <w:sz w:val="21"/>
                      <w:szCs w:val="21"/>
                      <w:lang w:val="en-US" w:eastAsia="zh-CN" w:bidi="ar"/>
                    </w:rPr>
                    <w:t>年以下的烧结砖及烧结空心砌块生产线，完成</w:t>
                  </w:r>
                  <w:r>
                    <w:rPr>
                      <w:rFonts w:hint="default" w:ascii="Times New Roman" w:hAnsi="Times New Roman" w:eastAsia="宋体" w:cs="Times New Roman"/>
                      <w:color w:val="auto"/>
                      <w:kern w:val="2"/>
                      <w:sz w:val="21"/>
                      <w:szCs w:val="21"/>
                      <w:lang w:val="en-US" w:eastAsia="zh-CN" w:bidi="ar"/>
                    </w:rPr>
                    <w:t>2500</w:t>
                  </w:r>
                  <w:r>
                    <w:rPr>
                      <w:rFonts w:hint="eastAsia" w:ascii="宋体" w:hAnsi="宋体" w:eastAsia="宋体" w:cs="宋体"/>
                      <w:color w:val="auto"/>
                      <w:kern w:val="2"/>
                      <w:sz w:val="21"/>
                      <w:szCs w:val="21"/>
                      <w:lang w:val="en-US" w:eastAsia="zh-CN" w:bidi="ar"/>
                    </w:rPr>
                    <w:t>吨</w:t>
                  </w:r>
                  <w:r>
                    <w:rPr>
                      <w:rFonts w:hint="default" w:ascii="Times New Roman" w:hAnsi="Times New Roman" w:eastAsia="宋体" w:cs="Times New Roman"/>
                      <w:color w:val="auto"/>
                      <w:kern w:val="2"/>
                      <w:sz w:val="21"/>
                      <w:szCs w:val="21"/>
                      <w:lang w:val="en-US" w:eastAsia="zh-CN" w:bidi="ar"/>
                    </w:rPr>
                    <w:t>/</w:t>
                  </w:r>
                  <w:r>
                    <w:rPr>
                      <w:rFonts w:hint="eastAsia" w:ascii="宋体" w:hAnsi="宋体" w:eastAsia="宋体" w:cs="宋体"/>
                      <w:color w:val="auto"/>
                      <w:kern w:val="2"/>
                      <w:sz w:val="21"/>
                      <w:szCs w:val="21"/>
                      <w:lang w:val="en-US" w:eastAsia="zh-CN" w:bidi="ar"/>
                    </w:rPr>
                    <w:t>日及以下水泥熟料生产线退出。</w:t>
                  </w:r>
                </w:p>
              </w:tc>
              <w:tc>
                <w:tcPr>
                  <w:tcW w:w="2749" w:type="dxa"/>
                  <w:tcBorders>
                    <w:top w:val="single" w:color="auto" w:sz="4" w:space="0"/>
                    <w:left w:val="nil"/>
                    <w:bottom w:val="single" w:color="auto" w:sz="4" w:space="0"/>
                    <w:right w:val="single" w:color="auto" w:sz="4" w:space="0"/>
                  </w:tcBorders>
                  <w:shd w:val="clear" w:color="auto" w:fill="auto"/>
                  <w:vAlign w:val="center"/>
                </w:tcPr>
                <w:p w14:paraId="211B38BC">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宋体" w:cs="Times New Roman"/>
                      <w:color w:val="auto"/>
                      <w:kern w:val="2"/>
                      <w:sz w:val="21"/>
                      <w:szCs w:val="21"/>
                    </w:rPr>
                  </w:pPr>
                  <w:r>
                    <w:rPr>
                      <w:rFonts w:hint="eastAsia" w:ascii="宋体" w:hAnsi="宋体" w:eastAsia="宋体" w:cs="宋体"/>
                      <w:color w:val="auto"/>
                      <w:kern w:val="2"/>
                      <w:sz w:val="21"/>
                      <w:szCs w:val="21"/>
                      <w:lang w:val="en-US" w:eastAsia="zh-CN" w:bidi="ar"/>
                    </w:rPr>
                    <w:t>本项目不涉及。</w:t>
                  </w:r>
                </w:p>
              </w:tc>
              <w:tc>
                <w:tcPr>
                  <w:tcW w:w="699" w:type="dxa"/>
                  <w:tcBorders>
                    <w:top w:val="single" w:color="auto" w:sz="4" w:space="0"/>
                    <w:left w:val="nil"/>
                    <w:bottom w:val="single" w:color="auto" w:sz="4" w:space="0"/>
                    <w:right w:val="single" w:color="auto" w:sz="4" w:space="0"/>
                  </w:tcBorders>
                  <w:shd w:val="clear" w:color="auto" w:fill="auto"/>
                  <w:vAlign w:val="center"/>
                </w:tcPr>
                <w:p w14:paraId="3DCE2C97">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宋体" w:cs="Times New Roman"/>
                      <w:color w:val="auto"/>
                      <w:kern w:val="2"/>
                      <w:sz w:val="21"/>
                      <w:szCs w:val="21"/>
                    </w:rPr>
                  </w:pPr>
                  <w:r>
                    <w:rPr>
                      <w:rFonts w:hint="eastAsia" w:ascii="宋体" w:hAnsi="宋体" w:eastAsia="宋体" w:cs="宋体"/>
                      <w:color w:val="auto"/>
                      <w:kern w:val="0"/>
                      <w:sz w:val="21"/>
                      <w:szCs w:val="21"/>
                      <w:lang w:val="en-US" w:eastAsia="zh-CN" w:bidi="ar"/>
                    </w:rPr>
                    <w:t>不涉及</w:t>
                  </w:r>
                </w:p>
              </w:tc>
            </w:tr>
            <w:tr w14:paraId="0FF8C2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441" w:type="dxa"/>
                  <w:vMerge w:val="continue"/>
                  <w:tcBorders>
                    <w:top w:val="nil"/>
                    <w:left w:val="single" w:color="auto" w:sz="4" w:space="0"/>
                    <w:bottom w:val="single" w:color="auto" w:sz="4" w:space="0"/>
                    <w:right w:val="single" w:color="auto" w:sz="4" w:space="0"/>
                  </w:tcBorders>
                  <w:shd w:val="clear" w:color="auto" w:fill="auto"/>
                  <w:vAlign w:val="center"/>
                </w:tcPr>
                <w:p w14:paraId="7C0FA0B1">
                  <w:pPr>
                    <w:keepNext w:val="0"/>
                    <w:keepLines w:val="0"/>
                    <w:suppressLineNumbers w:val="0"/>
                    <w:spacing w:before="0" w:beforeAutospacing="0" w:after="0" w:afterAutospacing="0"/>
                    <w:ind w:left="0" w:right="0"/>
                    <w:jc w:val="both"/>
                    <w:rPr>
                      <w:rFonts w:hint="default" w:ascii="Times New Roman" w:hAnsi="Times New Roman" w:cs="Times New Roman"/>
                      <w:color w:val="auto"/>
                      <w:sz w:val="20"/>
                      <w:szCs w:val="20"/>
                    </w:rPr>
                  </w:pPr>
                </w:p>
              </w:tc>
              <w:tc>
                <w:tcPr>
                  <w:tcW w:w="4089" w:type="dxa"/>
                  <w:tcBorders>
                    <w:top w:val="single" w:color="auto" w:sz="4" w:space="0"/>
                    <w:left w:val="nil"/>
                    <w:bottom w:val="single" w:color="auto" w:sz="4" w:space="0"/>
                    <w:right w:val="single" w:color="auto" w:sz="4" w:space="0"/>
                  </w:tcBorders>
                  <w:shd w:val="clear" w:color="auto" w:fill="auto"/>
                  <w:vAlign w:val="center"/>
                </w:tcPr>
                <w:p w14:paraId="55E318C2">
                  <w:pPr>
                    <w:keepNext w:val="0"/>
                    <w:keepLines w:val="0"/>
                    <w:widowControl w:val="0"/>
                    <w:suppressLineNumbers w:val="0"/>
                    <w:spacing w:before="0" w:beforeAutospacing="0" w:after="0" w:afterAutospacing="0"/>
                    <w:ind w:left="0" w:right="0"/>
                    <w:jc w:val="center"/>
                    <w:rPr>
                      <w:rFonts w:hint="default" w:ascii="Times New Roman" w:hAnsi="Times New Roman" w:eastAsia="宋体" w:cs="Times New Roman"/>
                      <w:color w:val="auto"/>
                      <w:kern w:val="2"/>
                      <w:sz w:val="21"/>
                      <w:szCs w:val="21"/>
                    </w:rPr>
                  </w:pPr>
                  <w:r>
                    <w:rPr>
                      <w:rFonts w:hint="default" w:ascii="Times New Roman" w:hAnsi="Times New Roman" w:eastAsia="宋体" w:cs="Times New Roman"/>
                      <w:b/>
                      <w:bCs/>
                      <w:color w:val="auto"/>
                      <w:kern w:val="2"/>
                      <w:sz w:val="21"/>
                      <w:szCs w:val="21"/>
                      <w:lang w:val="en-US" w:eastAsia="zh-CN" w:bidi="ar"/>
                    </w:rPr>
                    <w:t>3.</w:t>
                  </w:r>
                  <w:r>
                    <w:rPr>
                      <w:rFonts w:hint="eastAsia" w:ascii="宋体" w:hAnsi="宋体" w:eastAsia="宋体" w:cs="宋体"/>
                      <w:b/>
                      <w:bCs/>
                      <w:color w:val="auto"/>
                      <w:kern w:val="2"/>
                      <w:sz w:val="21"/>
                      <w:szCs w:val="21"/>
                      <w:lang w:val="en-US" w:eastAsia="zh-CN" w:bidi="ar"/>
                    </w:rPr>
                    <w:t>大力推动产业集群和园区绿色低碳发展。</w:t>
                  </w:r>
                  <w:r>
                    <w:rPr>
                      <w:rFonts w:hint="eastAsia" w:ascii="宋体" w:hAnsi="宋体" w:eastAsia="宋体" w:cs="宋体"/>
                      <w:color w:val="auto"/>
                      <w:kern w:val="2"/>
                      <w:sz w:val="21"/>
                      <w:szCs w:val="21"/>
                      <w:lang w:val="en-US" w:eastAsia="zh-CN" w:bidi="ar"/>
                    </w:rPr>
                    <w:t>大力推进制造业数字化转型，提高企业生产线和环保设施自动化管理水平。开展新一轮省级及以上开发区绿色低碳循环化改造，加强工业园区</w:t>
                  </w:r>
                  <w:r>
                    <w:rPr>
                      <w:rFonts w:hint="default" w:ascii="Times New Roman" w:hAnsi="Times New Roman" w:eastAsia="宋体" w:cs="Times New Roman"/>
                      <w:color w:val="auto"/>
                      <w:kern w:val="2"/>
                      <w:sz w:val="21"/>
                      <w:szCs w:val="21"/>
                      <w:lang w:val="en-US" w:eastAsia="zh-CN" w:bidi="ar"/>
                    </w:rPr>
                    <w:t>VOCs</w:t>
                  </w:r>
                  <w:r>
                    <w:rPr>
                      <w:rFonts w:hint="eastAsia" w:ascii="宋体" w:hAnsi="宋体" w:eastAsia="宋体" w:cs="宋体"/>
                      <w:color w:val="auto"/>
                      <w:kern w:val="2"/>
                      <w:sz w:val="21"/>
                      <w:szCs w:val="21"/>
                      <w:lang w:val="en-US" w:eastAsia="zh-CN" w:bidi="ar"/>
                    </w:rPr>
                    <w:t>综合治理，推进园区减污降碳协同。深入推进工业涂装、纺织染整、包装印刷、制鞋、合成革、铸造、橡塑制品等涉气产业集群整治提升，到</w:t>
                  </w:r>
                  <w:r>
                    <w:rPr>
                      <w:rFonts w:hint="default" w:ascii="Times New Roman" w:hAnsi="Times New Roman" w:eastAsia="宋体" w:cs="Times New Roman"/>
                      <w:color w:val="auto"/>
                      <w:kern w:val="2"/>
                      <w:sz w:val="21"/>
                      <w:szCs w:val="21"/>
                      <w:lang w:val="en-US" w:eastAsia="zh-CN" w:bidi="ar"/>
                    </w:rPr>
                    <w:t>2030</w:t>
                  </w:r>
                  <w:r>
                    <w:rPr>
                      <w:rFonts w:hint="eastAsia" w:ascii="宋体" w:hAnsi="宋体" w:eastAsia="宋体" w:cs="宋体"/>
                      <w:color w:val="auto"/>
                      <w:kern w:val="2"/>
                      <w:sz w:val="21"/>
                      <w:szCs w:val="21"/>
                      <w:lang w:val="en-US" w:eastAsia="zh-CN" w:bidi="ar"/>
                    </w:rPr>
                    <w:t>年，全省累计完成</w:t>
                  </w:r>
                  <w:r>
                    <w:rPr>
                      <w:rFonts w:hint="default" w:ascii="Times New Roman" w:hAnsi="Times New Roman" w:eastAsia="宋体" w:cs="Times New Roman"/>
                      <w:color w:val="auto"/>
                      <w:kern w:val="2"/>
                      <w:sz w:val="21"/>
                      <w:szCs w:val="21"/>
                      <w:lang w:val="en-US" w:eastAsia="zh-CN" w:bidi="ar"/>
                    </w:rPr>
                    <w:t>100</w:t>
                  </w:r>
                  <w:r>
                    <w:rPr>
                      <w:rFonts w:hint="eastAsia" w:ascii="宋体" w:hAnsi="宋体" w:eastAsia="宋体" w:cs="宋体"/>
                      <w:color w:val="auto"/>
                      <w:kern w:val="2"/>
                      <w:sz w:val="21"/>
                      <w:szCs w:val="21"/>
                      <w:lang w:val="en-US" w:eastAsia="zh-CN" w:bidi="ar"/>
                    </w:rPr>
                    <w:t>个产业集群整治。</w:t>
                  </w:r>
                </w:p>
              </w:tc>
              <w:tc>
                <w:tcPr>
                  <w:tcW w:w="2749" w:type="dxa"/>
                  <w:tcBorders>
                    <w:top w:val="single" w:color="auto" w:sz="4" w:space="0"/>
                    <w:left w:val="nil"/>
                    <w:bottom w:val="single" w:color="auto" w:sz="4" w:space="0"/>
                    <w:right w:val="single" w:color="auto" w:sz="4" w:space="0"/>
                  </w:tcBorders>
                  <w:shd w:val="clear" w:color="auto" w:fill="auto"/>
                  <w:vAlign w:val="center"/>
                </w:tcPr>
                <w:p w14:paraId="75F3B2DF">
                  <w:pPr>
                    <w:keepNext w:val="0"/>
                    <w:keepLines w:val="0"/>
                    <w:widowControl w:val="0"/>
                    <w:suppressLineNumbers w:val="0"/>
                    <w:spacing w:before="0" w:beforeAutospacing="0" w:after="0" w:afterAutospacing="0"/>
                    <w:ind w:left="0" w:right="0"/>
                    <w:jc w:val="center"/>
                    <w:rPr>
                      <w:rFonts w:hint="default" w:ascii="Times New Roman" w:hAnsi="Times New Roman" w:eastAsia="宋体" w:cs="Times New Roman"/>
                      <w:color w:val="auto"/>
                      <w:kern w:val="2"/>
                      <w:sz w:val="21"/>
                      <w:szCs w:val="21"/>
                    </w:rPr>
                  </w:pPr>
                  <w:r>
                    <w:rPr>
                      <w:rFonts w:hint="default" w:ascii="Times New Roman" w:hAnsi="Times New Roman" w:eastAsia="宋体" w:cs="Times New Roman"/>
                      <w:color w:val="auto"/>
                      <w:kern w:val="2"/>
                      <w:sz w:val="21"/>
                      <w:szCs w:val="21"/>
                      <w:lang w:val="en-US" w:eastAsia="zh-CN" w:bidi="ar"/>
                    </w:rPr>
                    <w:t>本项目行业类别为C3670汽车零部件及配件制造、C2929塑料零件及其他塑料制品制造、C3034隔热和隔音材料制造。企业将提高生产线和环保设施自动化管理水平。本项目</w:t>
                  </w:r>
                  <w:r>
                    <w:rPr>
                      <w:rFonts w:hint="default" w:ascii="Times New Roman" w:hAnsi="Times New Roman" w:eastAsia="宋体" w:cs="Times New Roman"/>
                      <w:color w:val="0000E1"/>
                      <w:kern w:val="2"/>
                      <w:sz w:val="21"/>
                      <w:szCs w:val="21"/>
                      <w:lang w:val="en-US" w:eastAsia="zh-CN" w:bidi="ar"/>
                    </w:rPr>
                    <w:t>未纳入《浙江省建设项目碳排放评价编制指南（试行）》（浙环函〔2021〕179 号）附录一种的试点行业范围。</w:t>
                  </w:r>
                </w:p>
              </w:tc>
              <w:tc>
                <w:tcPr>
                  <w:tcW w:w="699" w:type="dxa"/>
                  <w:tcBorders>
                    <w:top w:val="single" w:color="auto" w:sz="4" w:space="0"/>
                    <w:left w:val="nil"/>
                    <w:bottom w:val="single" w:color="auto" w:sz="4" w:space="0"/>
                    <w:right w:val="single" w:color="auto" w:sz="4" w:space="0"/>
                  </w:tcBorders>
                  <w:shd w:val="clear" w:color="auto" w:fill="auto"/>
                  <w:vAlign w:val="center"/>
                </w:tcPr>
                <w:p w14:paraId="4B7FCB49">
                  <w:pPr>
                    <w:keepNext w:val="0"/>
                    <w:keepLines w:val="0"/>
                    <w:widowControl w:val="0"/>
                    <w:suppressLineNumbers w:val="0"/>
                    <w:spacing w:before="0" w:beforeAutospacing="0" w:after="0" w:afterAutospacing="0"/>
                    <w:ind w:left="0" w:right="0"/>
                    <w:jc w:val="center"/>
                    <w:rPr>
                      <w:rFonts w:hint="default" w:ascii="Times New Roman" w:hAnsi="Times New Roman" w:eastAsia="宋体" w:cs="Times New Roman"/>
                      <w:color w:val="auto"/>
                      <w:kern w:val="2"/>
                      <w:sz w:val="21"/>
                      <w:szCs w:val="21"/>
                    </w:rPr>
                  </w:pPr>
                  <w:r>
                    <w:rPr>
                      <w:rFonts w:hint="default" w:ascii="Times New Roman" w:hAnsi="Times New Roman" w:eastAsia="宋体" w:cs="Times New Roman"/>
                      <w:color w:val="auto"/>
                      <w:kern w:val="2"/>
                      <w:sz w:val="21"/>
                      <w:szCs w:val="21"/>
                      <w:lang w:val="en-US" w:eastAsia="zh-CN" w:bidi="ar"/>
                    </w:rPr>
                    <w:t>符合</w:t>
                  </w:r>
                </w:p>
              </w:tc>
            </w:tr>
            <w:tr w14:paraId="68E0E8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397" w:hRule="atLeast"/>
                <w:jc w:val="center"/>
              </w:trPr>
              <w:tc>
                <w:tcPr>
                  <w:tcW w:w="441" w:type="dxa"/>
                  <w:vMerge w:val="restart"/>
                  <w:tcBorders>
                    <w:top w:val="nil"/>
                    <w:left w:val="single" w:color="auto" w:sz="4" w:space="0"/>
                    <w:bottom w:val="single" w:color="auto" w:sz="4" w:space="0"/>
                    <w:right w:val="single" w:color="auto" w:sz="4" w:space="0"/>
                  </w:tcBorders>
                  <w:shd w:val="clear" w:color="auto" w:fill="auto"/>
                  <w:vAlign w:val="center"/>
                </w:tcPr>
                <w:p w14:paraId="4DE07B32">
                  <w:pPr>
                    <w:keepNext w:val="0"/>
                    <w:keepLines w:val="0"/>
                    <w:widowControl w:val="0"/>
                    <w:suppressLineNumbers w:val="0"/>
                    <w:spacing w:before="0" w:beforeAutospacing="0" w:after="0" w:afterAutospacing="0"/>
                    <w:ind w:left="0" w:right="0"/>
                    <w:jc w:val="center"/>
                    <w:rPr>
                      <w:rFonts w:hint="default" w:ascii="Times New Roman" w:hAnsi="Times New Roman" w:eastAsia="宋体" w:cs="Times New Roman"/>
                      <w:color w:val="auto"/>
                      <w:kern w:val="2"/>
                      <w:sz w:val="21"/>
                      <w:szCs w:val="21"/>
                    </w:rPr>
                  </w:pPr>
                  <w:r>
                    <w:rPr>
                      <w:rFonts w:hint="eastAsia" w:ascii="宋体" w:hAnsi="宋体" w:eastAsia="宋体" w:cs="宋体"/>
                      <w:color w:val="auto"/>
                      <w:kern w:val="2"/>
                      <w:sz w:val="21"/>
                      <w:szCs w:val="21"/>
                      <w:lang w:val="en-US" w:eastAsia="zh-CN" w:bidi="ar"/>
                    </w:rPr>
                    <w:t>持续深化运输结构调整</w:t>
                  </w:r>
                </w:p>
              </w:tc>
              <w:tc>
                <w:tcPr>
                  <w:tcW w:w="4089" w:type="dxa"/>
                  <w:tcBorders>
                    <w:top w:val="single" w:color="auto" w:sz="4" w:space="0"/>
                    <w:left w:val="nil"/>
                    <w:bottom w:val="single" w:color="auto" w:sz="4" w:space="0"/>
                    <w:right w:val="single" w:color="auto" w:sz="4" w:space="0"/>
                  </w:tcBorders>
                  <w:shd w:val="clear" w:color="auto" w:fill="auto"/>
                  <w:vAlign w:val="center"/>
                </w:tcPr>
                <w:p w14:paraId="2E4708E6">
                  <w:pPr>
                    <w:keepNext w:val="0"/>
                    <w:keepLines w:val="0"/>
                    <w:widowControl w:val="0"/>
                    <w:suppressLineNumbers w:val="0"/>
                    <w:spacing w:before="0" w:beforeAutospacing="0" w:after="0" w:afterAutospacing="0"/>
                    <w:ind w:left="0" w:right="0"/>
                    <w:jc w:val="center"/>
                    <w:rPr>
                      <w:rFonts w:hint="default" w:ascii="Times New Roman" w:hAnsi="Times New Roman" w:eastAsia="宋体" w:cs="Times New Roman"/>
                      <w:color w:val="auto"/>
                      <w:kern w:val="2"/>
                      <w:sz w:val="21"/>
                      <w:szCs w:val="21"/>
                    </w:rPr>
                  </w:pPr>
                  <w:r>
                    <w:rPr>
                      <w:rFonts w:hint="default" w:ascii="Times New Roman" w:hAnsi="Times New Roman" w:eastAsia="宋体" w:cs="Times New Roman"/>
                      <w:b/>
                      <w:bCs/>
                      <w:color w:val="auto"/>
                      <w:kern w:val="2"/>
                      <w:sz w:val="21"/>
                      <w:szCs w:val="21"/>
                      <w:lang w:val="en-US" w:eastAsia="zh-CN" w:bidi="ar"/>
                    </w:rPr>
                    <w:t>1.</w:t>
                  </w:r>
                  <w:r>
                    <w:rPr>
                      <w:rFonts w:hint="eastAsia" w:ascii="宋体" w:hAnsi="宋体" w:eastAsia="宋体" w:cs="宋体"/>
                      <w:b/>
                      <w:bCs/>
                      <w:color w:val="auto"/>
                      <w:kern w:val="2"/>
                      <w:sz w:val="21"/>
                      <w:szCs w:val="21"/>
                      <w:lang w:val="en-US" w:eastAsia="zh-CN" w:bidi="ar"/>
                    </w:rPr>
                    <w:t>着力推进重点领域清洁运输。</w:t>
                  </w:r>
                  <w:r>
                    <w:rPr>
                      <w:rFonts w:hint="eastAsia" w:ascii="宋体" w:hAnsi="宋体" w:eastAsia="宋体" w:cs="宋体"/>
                      <w:color w:val="auto"/>
                      <w:kern w:val="2"/>
                      <w:sz w:val="21"/>
                      <w:szCs w:val="21"/>
                      <w:lang w:val="en-US" w:eastAsia="zh-CN" w:bidi="ar"/>
                    </w:rPr>
                    <w:t>持续推进“公转水”“公转铁”，加快推进铁路专支线接入沿海主要港口和大宗货物年运量</w:t>
                  </w:r>
                  <w:r>
                    <w:rPr>
                      <w:rFonts w:hint="default" w:ascii="Times New Roman" w:hAnsi="Times New Roman" w:eastAsia="宋体" w:cs="Times New Roman"/>
                      <w:color w:val="auto"/>
                      <w:kern w:val="2"/>
                      <w:sz w:val="21"/>
                      <w:szCs w:val="21"/>
                      <w:lang w:val="en-US" w:eastAsia="zh-CN" w:bidi="ar"/>
                    </w:rPr>
                    <w:t>150</w:t>
                  </w:r>
                  <w:r>
                    <w:rPr>
                      <w:rFonts w:hint="eastAsia" w:ascii="宋体" w:hAnsi="宋体" w:eastAsia="宋体" w:cs="宋体"/>
                      <w:color w:val="auto"/>
                      <w:kern w:val="2"/>
                      <w:sz w:val="21"/>
                      <w:szCs w:val="21"/>
                      <w:lang w:val="en-US" w:eastAsia="zh-CN" w:bidi="ar"/>
                    </w:rPr>
                    <w:t>万吨以上的大型工矿企业、物流园区，打通铁路疏港入园“最后一公里”。宁波舟山港、温州港、嘉兴港、台州港等主要沿海港口及杭州港、湖州港、嘉兴内河港等主要内河港口，公路运输优先采用新能源货车。推动港口码头、铁路货场、物流园区等重点清洁运输场景安装运输车辆门禁监管系统。到</w:t>
                  </w:r>
                  <w:r>
                    <w:rPr>
                      <w:rFonts w:hint="default" w:ascii="Times New Roman" w:hAnsi="Times New Roman" w:eastAsia="宋体" w:cs="Times New Roman"/>
                      <w:color w:val="auto"/>
                      <w:kern w:val="2"/>
                      <w:sz w:val="21"/>
                      <w:szCs w:val="21"/>
                      <w:lang w:val="en-US" w:eastAsia="zh-CN" w:bidi="ar"/>
                    </w:rPr>
                    <w:t>2030</w:t>
                  </w:r>
                  <w:r>
                    <w:rPr>
                      <w:rFonts w:hint="eastAsia" w:ascii="宋体" w:hAnsi="宋体" w:eastAsia="宋体" w:cs="宋体"/>
                      <w:color w:val="auto"/>
                      <w:kern w:val="2"/>
                      <w:sz w:val="21"/>
                      <w:szCs w:val="21"/>
                      <w:lang w:val="en-US" w:eastAsia="zh-CN" w:bidi="ar"/>
                    </w:rPr>
                    <w:t>年，火电、钢铁、水泥、有色等行业清洁运输比例达到</w:t>
                  </w:r>
                  <w:r>
                    <w:rPr>
                      <w:rFonts w:hint="default" w:ascii="Times New Roman" w:hAnsi="Times New Roman" w:eastAsia="宋体" w:cs="Times New Roman"/>
                      <w:color w:val="auto"/>
                      <w:kern w:val="2"/>
                      <w:sz w:val="21"/>
                      <w:szCs w:val="21"/>
                      <w:lang w:val="en-US" w:eastAsia="zh-CN" w:bidi="ar"/>
                    </w:rPr>
                    <w:t>90%</w:t>
                  </w:r>
                  <w:r>
                    <w:rPr>
                      <w:rFonts w:hint="eastAsia" w:ascii="宋体" w:hAnsi="宋体" w:eastAsia="宋体" w:cs="宋体"/>
                      <w:color w:val="auto"/>
                      <w:kern w:val="2"/>
                      <w:sz w:val="21"/>
                      <w:szCs w:val="21"/>
                      <w:lang w:val="en-US" w:eastAsia="zh-CN" w:bidi="ar"/>
                    </w:rPr>
                    <w:t>以上，推动其他重点用车单位和城市内部物流（含冷链）、生活和建筑垃圾、商砼、砂石骨料清洁运输。</w:t>
                  </w:r>
                </w:p>
              </w:tc>
              <w:tc>
                <w:tcPr>
                  <w:tcW w:w="2749" w:type="dxa"/>
                  <w:tcBorders>
                    <w:top w:val="single" w:color="auto" w:sz="4" w:space="0"/>
                    <w:left w:val="nil"/>
                    <w:bottom w:val="single" w:color="auto" w:sz="4" w:space="0"/>
                    <w:right w:val="single" w:color="auto" w:sz="4" w:space="0"/>
                  </w:tcBorders>
                  <w:shd w:val="clear" w:color="auto" w:fill="auto"/>
                  <w:vAlign w:val="center"/>
                </w:tcPr>
                <w:p w14:paraId="00116865">
                  <w:pPr>
                    <w:keepNext w:val="0"/>
                    <w:keepLines w:val="0"/>
                    <w:widowControl w:val="0"/>
                    <w:suppressLineNumbers w:val="0"/>
                    <w:spacing w:before="0" w:beforeAutospacing="0" w:after="0" w:afterAutospacing="0"/>
                    <w:ind w:left="0" w:right="0"/>
                    <w:jc w:val="center"/>
                    <w:rPr>
                      <w:rFonts w:hint="default" w:ascii="Times New Roman" w:hAnsi="Times New Roman" w:eastAsia="宋体" w:cs="Times New Roman"/>
                      <w:color w:val="auto"/>
                      <w:kern w:val="2"/>
                      <w:sz w:val="21"/>
                      <w:szCs w:val="21"/>
                    </w:rPr>
                  </w:pPr>
                  <w:r>
                    <w:rPr>
                      <w:rFonts w:hint="eastAsia" w:ascii="宋体" w:hAnsi="宋体" w:eastAsia="宋体" w:cs="宋体"/>
                      <w:color w:val="0000FF"/>
                      <w:kern w:val="2"/>
                      <w:sz w:val="21"/>
                      <w:szCs w:val="21"/>
                      <w:lang w:val="en-US" w:eastAsia="zh-CN" w:bidi="ar"/>
                    </w:rPr>
                    <w:t>本项目仅采用公路运输，物料运输优先采用新能源或国六排放标准货车。厂区主要出入口将配套建设运输车辆门禁视频监控系统，建立进出车辆排放阶段电子台账，严格杜绝国四及以下低标准柴油货车进厂运输，积极配合区域运输结构优化调整。</w:t>
                  </w:r>
                </w:p>
              </w:tc>
              <w:tc>
                <w:tcPr>
                  <w:tcW w:w="699" w:type="dxa"/>
                  <w:tcBorders>
                    <w:top w:val="single" w:color="auto" w:sz="4" w:space="0"/>
                    <w:left w:val="nil"/>
                    <w:bottom w:val="single" w:color="auto" w:sz="4" w:space="0"/>
                    <w:right w:val="single" w:color="auto" w:sz="4" w:space="0"/>
                  </w:tcBorders>
                  <w:shd w:val="clear" w:color="auto" w:fill="auto"/>
                  <w:vAlign w:val="center"/>
                </w:tcPr>
                <w:p w14:paraId="5F172233">
                  <w:pPr>
                    <w:keepNext w:val="0"/>
                    <w:keepLines w:val="0"/>
                    <w:widowControl w:val="0"/>
                    <w:suppressLineNumbers w:val="0"/>
                    <w:spacing w:before="0" w:beforeAutospacing="0" w:after="0" w:afterAutospacing="0"/>
                    <w:ind w:left="0" w:right="0"/>
                    <w:jc w:val="center"/>
                    <w:rPr>
                      <w:rFonts w:hint="eastAsia" w:ascii="Times New Roman" w:hAnsi="Times New Roman" w:eastAsia="宋体" w:cs="Times New Roman"/>
                      <w:color w:val="auto"/>
                      <w:kern w:val="2"/>
                      <w:sz w:val="21"/>
                      <w:szCs w:val="21"/>
                    </w:rPr>
                  </w:pPr>
                  <w:r>
                    <w:rPr>
                      <w:rFonts w:hint="eastAsia" w:ascii="宋体" w:hAnsi="宋体" w:eastAsia="宋体" w:cs="宋体"/>
                      <w:color w:val="auto"/>
                      <w:kern w:val="2"/>
                      <w:sz w:val="21"/>
                      <w:szCs w:val="21"/>
                      <w:lang w:val="en-US" w:eastAsia="zh-CN" w:bidi="ar"/>
                    </w:rPr>
                    <w:t>符合</w:t>
                  </w:r>
                </w:p>
              </w:tc>
            </w:tr>
            <w:tr w14:paraId="3A47F0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397" w:hRule="atLeast"/>
                <w:jc w:val="center"/>
              </w:trPr>
              <w:tc>
                <w:tcPr>
                  <w:tcW w:w="441" w:type="dxa"/>
                  <w:vMerge w:val="continue"/>
                  <w:tcBorders>
                    <w:top w:val="nil"/>
                    <w:left w:val="single" w:color="auto" w:sz="4" w:space="0"/>
                    <w:bottom w:val="single" w:color="auto" w:sz="4" w:space="0"/>
                    <w:right w:val="single" w:color="auto" w:sz="4" w:space="0"/>
                  </w:tcBorders>
                  <w:shd w:val="clear" w:color="auto" w:fill="auto"/>
                  <w:vAlign w:val="center"/>
                </w:tcPr>
                <w:p w14:paraId="21476FD6">
                  <w:pPr>
                    <w:keepNext w:val="0"/>
                    <w:keepLines w:val="0"/>
                    <w:suppressLineNumbers w:val="0"/>
                    <w:spacing w:before="0" w:beforeAutospacing="0" w:after="0" w:afterAutospacing="0"/>
                    <w:ind w:left="0" w:right="0"/>
                    <w:jc w:val="both"/>
                    <w:rPr>
                      <w:rFonts w:hint="default" w:ascii="Times New Roman" w:hAnsi="Times New Roman" w:cs="Times New Roman"/>
                      <w:color w:val="auto"/>
                      <w:sz w:val="20"/>
                      <w:szCs w:val="20"/>
                    </w:rPr>
                  </w:pPr>
                </w:p>
              </w:tc>
              <w:tc>
                <w:tcPr>
                  <w:tcW w:w="4089" w:type="dxa"/>
                  <w:tcBorders>
                    <w:top w:val="single" w:color="auto" w:sz="4" w:space="0"/>
                    <w:left w:val="nil"/>
                    <w:bottom w:val="single" w:color="auto" w:sz="4" w:space="0"/>
                    <w:right w:val="single" w:color="auto" w:sz="4" w:space="0"/>
                  </w:tcBorders>
                  <w:shd w:val="clear" w:color="auto" w:fill="auto"/>
                  <w:vAlign w:val="center"/>
                </w:tcPr>
                <w:p w14:paraId="633CAE05">
                  <w:pPr>
                    <w:keepNext w:val="0"/>
                    <w:keepLines w:val="0"/>
                    <w:widowControl w:val="0"/>
                    <w:suppressLineNumbers w:val="0"/>
                    <w:spacing w:before="0" w:beforeAutospacing="0" w:after="0" w:afterAutospacing="0"/>
                    <w:ind w:left="0" w:right="0"/>
                    <w:jc w:val="center"/>
                    <w:rPr>
                      <w:rFonts w:hint="default" w:ascii="Times New Roman" w:hAnsi="Times New Roman" w:eastAsia="宋体" w:cs="Times New Roman"/>
                      <w:color w:val="auto"/>
                      <w:kern w:val="2"/>
                      <w:sz w:val="21"/>
                      <w:szCs w:val="21"/>
                    </w:rPr>
                  </w:pPr>
                  <w:r>
                    <w:rPr>
                      <w:rFonts w:hint="default" w:ascii="Times New Roman" w:hAnsi="Times New Roman" w:eastAsia="宋体" w:cs="Times New Roman"/>
                      <w:b/>
                      <w:bCs/>
                      <w:color w:val="auto"/>
                      <w:kern w:val="2"/>
                      <w:sz w:val="21"/>
                      <w:szCs w:val="21"/>
                      <w:lang w:val="en-US" w:eastAsia="zh-CN" w:bidi="ar"/>
                    </w:rPr>
                    <w:t>2.</w:t>
                  </w:r>
                  <w:r>
                    <w:rPr>
                      <w:rFonts w:hint="eastAsia" w:ascii="宋体" w:hAnsi="宋体" w:eastAsia="宋体" w:cs="宋体"/>
                      <w:b/>
                      <w:bCs/>
                      <w:color w:val="auto"/>
                      <w:kern w:val="2"/>
                      <w:sz w:val="21"/>
                      <w:szCs w:val="21"/>
                      <w:lang w:val="en-US" w:eastAsia="zh-CN" w:bidi="ar"/>
                    </w:rPr>
                    <w:t>深入推进机动车结构优化。</w:t>
                  </w:r>
                  <w:r>
                    <w:rPr>
                      <w:rFonts w:hint="eastAsia" w:ascii="宋体" w:hAnsi="宋体" w:eastAsia="宋体" w:cs="宋体"/>
                      <w:color w:val="auto"/>
                      <w:kern w:val="2"/>
                      <w:sz w:val="21"/>
                      <w:szCs w:val="21"/>
                      <w:lang w:val="en-US" w:eastAsia="zh-CN" w:bidi="ar"/>
                    </w:rPr>
                    <w:t>加快推动公共服务领域车辆电动化，新增或更新的生活垃圾运输车、环卫车、校车、通勤车、机场巴士等优先使用新能源。加速新能源中重型货车规模化应用，积极发展绿色低碳货运车队。</w:t>
                  </w:r>
                  <w:r>
                    <w:rPr>
                      <w:rFonts w:hint="default" w:ascii="Times New Roman" w:hAnsi="Times New Roman" w:eastAsia="宋体" w:cs="Times New Roman"/>
                      <w:color w:val="auto"/>
                      <w:kern w:val="2"/>
                      <w:sz w:val="21"/>
                      <w:szCs w:val="21"/>
                      <w:lang w:val="en-US" w:eastAsia="zh-CN" w:bidi="ar"/>
                    </w:rPr>
                    <w:t>2026</w:t>
                  </w:r>
                  <w:r>
                    <w:rPr>
                      <w:rFonts w:hint="eastAsia" w:ascii="宋体" w:hAnsi="宋体" w:eastAsia="宋体" w:cs="宋体"/>
                      <w:color w:val="auto"/>
                      <w:kern w:val="2"/>
                      <w:sz w:val="21"/>
                      <w:szCs w:val="21"/>
                      <w:lang w:val="en-US" w:eastAsia="zh-CN" w:bidi="ar"/>
                    </w:rPr>
                    <w:t>年</w:t>
                  </w:r>
                  <w:r>
                    <w:rPr>
                      <w:rFonts w:hint="default" w:ascii="Times New Roman" w:hAnsi="Times New Roman" w:eastAsia="宋体" w:cs="Times New Roman"/>
                      <w:color w:val="auto"/>
                      <w:kern w:val="2"/>
                      <w:sz w:val="21"/>
                      <w:szCs w:val="21"/>
                      <w:lang w:val="en-US" w:eastAsia="zh-CN" w:bidi="ar"/>
                    </w:rPr>
                    <w:t>10</w:t>
                  </w:r>
                  <w:r>
                    <w:rPr>
                      <w:rFonts w:hint="eastAsia" w:ascii="宋体" w:hAnsi="宋体" w:eastAsia="宋体" w:cs="宋体"/>
                      <w:color w:val="auto"/>
                      <w:kern w:val="2"/>
                      <w:sz w:val="21"/>
                      <w:szCs w:val="21"/>
                      <w:lang w:val="en-US" w:eastAsia="zh-CN" w:bidi="ar"/>
                    </w:rPr>
                    <w:t>月</w:t>
                  </w:r>
                  <w:r>
                    <w:rPr>
                      <w:rFonts w:hint="default" w:ascii="Times New Roman" w:hAnsi="Times New Roman" w:eastAsia="宋体" w:cs="Times New Roman"/>
                      <w:color w:val="auto"/>
                      <w:kern w:val="2"/>
                      <w:sz w:val="21"/>
                      <w:szCs w:val="21"/>
                      <w:lang w:val="en-US" w:eastAsia="zh-CN" w:bidi="ar"/>
                    </w:rPr>
                    <w:t>15</w:t>
                  </w:r>
                  <w:r>
                    <w:rPr>
                      <w:rFonts w:hint="eastAsia" w:ascii="宋体" w:hAnsi="宋体" w:eastAsia="宋体" w:cs="宋体"/>
                      <w:color w:val="auto"/>
                      <w:kern w:val="2"/>
                      <w:sz w:val="21"/>
                      <w:szCs w:val="21"/>
                      <w:lang w:val="en-US" w:eastAsia="zh-CN" w:bidi="ar"/>
                    </w:rPr>
                    <w:t>日起，沿海港口区域实施国四排放标准柴油货车限行；到</w:t>
                  </w:r>
                  <w:r>
                    <w:rPr>
                      <w:rFonts w:hint="default" w:ascii="Times New Roman" w:hAnsi="Times New Roman" w:eastAsia="宋体" w:cs="Times New Roman"/>
                      <w:color w:val="auto"/>
                      <w:kern w:val="2"/>
                      <w:sz w:val="21"/>
                      <w:szCs w:val="21"/>
                      <w:lang w:val="en-US" w:eastAsia="zh-CN" w:bidi="ar"/>
                    </w:rPr>
                    <w:t>2028</w:t>
                  </w:r>
                  <w:r>
                    <w:rPr>
                      <w:rFonts w:hint="eastAsia" w:ascii="宋体" w:hAnsi="宋体" w:eastAsia="宋体" w:cs="宋体"/>
                      <w:color w:val="auto"/>
                      <w:kern w:val="2"/>
                      <w:sz w:val="21"/>
                      <w:szCs w:val="21"/>
                      <w:lang w:val="en-US" w:eastAsia="zh-CN" w:bidi="ar"/>
                    </w:rPr>
                    <w:t>年，全省域实施国四排放标准柴油货车限行。到</w:t>
                  </w:r>
                  <w:r>
                    <w:rPr>
                      <w:rFonts w:hint="default" w:ascii="Times New Roman" w:hAnsi="Times New Roman" w:eastAsia="宋体" w:cs="Times New Roman"/>
                      <w:color w:val="auto"/>
                      <w:kern w:val="2"/>
                      <w:sz w:val="21"/>
                      <w:szCs w:val="21"/>
                      <w:lang w:val="en-US" w:eastAsia="zh-CN" w:bidi="ar"/>
                    </w:rPr>
                    <w:t>2030</w:t>
                  </w:r>
                  <w:r>
                    <w:rPr>
                      <w:rFonts w:hint="eastAsia" w:ascii="宋体" w:hAnsi="宋体" w:eastAsia="宋体" w:cs="宋体"/>
                      <w:color w:val="auto"/>
                      <w:kern w:val="2"/>
                      <w:sz w:val="21"/>
                      <w:szCs w:val="21"/>
                      <w:lang w:val="en-US" w:eastAsia="zh-CN" w:bidi="ar"/>
                    </w:rPr>
                    <w:t>年，基本淘汰国四排放标准柴油货车，国六及新能源货车保有量占比达到</w:t>
                  </w:r>
                  <w:r>
                    <w:rPr>
                      <w:rFonts w:hint="default" w:ascii="Times New Roman" w:hAnsi="Times New Roman" w:eastAsia="宋体" w:cs="Times New Roman"/>
                      <w:color w:val="auto"/>
                      <w:kern w:val="2"/>
                      <w:sz w:val="21"/>
                      <w:szCs w:val="21"/>
                      <w:lang w:val="en-US" w:eastAsia="zh-CN" w:bidi="ar"/>
                    </w:rPr>
                    <w:t>75%</w:t>
                  </w:r>
                  <w:r>
                    <w:rPr>
                      <w:rFonts w:hint="eastAsia" w:ascii="宋体" w:hAnsi="宋体" w:eastAsia="宋体" w:cs="宋体"/>
                      <w:color w:val="auto"/>
                      <w:kern w:val="2"/>
                      <w:sz w:val="21"/>
                      <w:szCs w:val="21"/>
                      <w:lang w:val="en-US" w:eastAsia="zh-CN" w:bidi="ar"/>
                    </w:rPr>
                    <w:t>，新能源中重型货车保有量占比力争达到</w:t>
                  </w:r>
                  <w:r>
                    <w:rPr>
                      <w:rFonts w:hint="default" w:ascii="Times New Roman" w:hAnsi="Times New Roman" w:eastAsia="宋体" w:cs="Times New Roman"/>
                      <w:color w:val="auto"/>
                      <w:kern w:val="2"/>
                      <w:sz w:val="21"/>
                      <w:szCs w:val="21"/>
                      <w:lang w:val="en-US" w:eastAsia="zh-CN" w:bidi="ar"/>
                    </w:rPr>
                    <w:t>12%</w:t>
                  </w:r>
                  <w:r>
                    <w:rPr>
                      <w:rFonts w:hint="eastAsia" w:ascii="宋体" w:hAnsi="宋体" w:eastAsia="宋体" w:cs="宋体"/>
                      <w:color w:val="auto"/>
                      <w:kern w:val="2"/>
                      <w:sz w:val="21"/>
                      <w:szCs w:val="21"/>
                      <w:lang w:val="en-US" w:eastAsia="zh-CN" w:bidi="ar"/>
                    </w:rPr>
                    <w:t>。</w:t>
                  </w:r>
                </w:p>
              </w:tc>
              <w:tc>
                <w:tcPr>
                  <w:tcW w:w="2749" w:type="dxa"/>
                  <w:tcBorders>
                    <w:top w:val="single" w:color="auto" w:sz="4" w:space="0"/>
                    <w:left w:val="nil"/>
                    <w:bottom w:val="single" w:color="auto" w:sz="4" w:space="0"/>
                    <w:right w:val="single" w:color="auto" w:sz="4" w:space="0"/>
                  </w:tcBorders>
                  <w:shd w:val="clear" w:color="auto" w:fill="auto"/>
                  <w:vAlign w:val="center"/>
                </w:tcPr>
                <w:p w14:paraId="453C0876">
                  <w:pPr>
                    <w:keepNext w:val="0"/>
                    <w:keepLines w:val="0"/>
                    <w:widowControl w:val="0"/>
                    <w:suppressLineNumbers w:val="0"/>
                    <w:spacing w:before="0" w:beforeAutospacing="0" w:after="0" w:afterAutospacing="0"/>
                    <w:ind w:left="0" w:right="0"/>
                    <w:jc w:val="center"/>
                    <w:rPr>
                      <w:rFonts w:hint="default" w:ascii="Times New Roman" w:hAnsi="Times New Roman" w:eastAsia="宋体" w:cs="Times New Roman"/>
                      <w:color w:val="auto"/>
                      <w:kern w:val="2"/>
                      <w:sz w:val="21"/>
                      <w:szCs w:val="21"/>
                    </w:rPr>
                  </w:pPr>
                  <w:r>
                    <w:rPr>
                      <w:rFonts w:hint="eastAsia" w:ascii="宋体" w:hAnsi="宋体" w:eastAsia="宋体" w:cs="宋体"/>
                      <w:color w:val="auto"/>
                      <w:kern w:val="2"/>
                      <w:sz w:val="21"/>
                      <w:szCs w:val="21"/>
                      <w:lang w:val="en-US" w:eastAsia="zh-CN" w:bidi="ar"/>
                    </w:rPr>
                    <w:t>本项目运输车辆采用国六及新能源货车，不新增国四柴油货车。</w:t>
                  </w:r>
                </w:p>
              </w:tc>
              <w:tc>
                <w:tcPr>
                  <w:tcW w:w="699" w:type="dxa"/>
                  <w:tcBorders>
                    <w:top w:val="single" w:color="auto" w:sz="4" w:space="0"/>
                    <w:left w:val="nil"/>
                    <w:bottom w:val="single" w:color="auto" w:sz="4" w:space="0"/>
                    <w:right w:val="single" w:color="auto" w:sz="4" w:space="0"/>
                  </w:tcBorders>
                  <w:shd w:val="clear" w:color="auto" w:fill="auto"/>
                  <w:vAlign w:val="center"/>
                </w:tcPr>
                <w:p w14:paraId="0F9B2C8A">
                  <w:pPr>
                    <w:keepNext w:val="0"/>
                    <w:keepLines w:val="0"/>
                    <w:widowControl w:val="0"/>
                    <w:suppressLineNumbers w:val="0"/>
                    <w:spacing w:before="0" w:beforeAutospacing="0" w:after="0" w:afterAutospacing="0"/>
                    <w:ind w:left="0" w:right="0"/>
                    <w:jc w:val="center"/>
                    <w:rPr>
                      <w:rFonts w:hint="default" w:ascii="Times New Roman" w:hAnsi="Times New Roman" w:eastAsia="宋体" w:cs="Times New Roman"/>
                      <w:color w:val="auto"/>
                      <w:kern w:val="2"/>
                      <w:sz w:val="21"/>
                      <w:szCs w:val="21"/>
                    </w:rPr>
                  </w:pPr>
                  <w:r>
                    <w:rPr>
                      <w:rFonts w:hint="eastAsia" w:ascii="宋体" w:hAnsi="宋体" w:eastAsia="宋体" w:cs="宋体"/>
                      <w:color w:val="auto"/>
                      <w:kern w:val="2"/>
                      <w:sz w:val="21"/>
                      <w:szCs w:val="21"/>
                      <w:lang w:val="en-US" w:eastAsia="zh-CN" w:bidi="ar"/>
                    </w:rPr>
                    <w:t>符合</w:t>
                  </w:r>
                </w:p>
              </w:tc>
            </w:tr>
            <w:tr w14:paraId="12427F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441" w:type="dxa"/>
                  <w:vMerge w:val="continue"/>
                  <w:tcBorders>
                    <w:top w:val="nil"/>
                    <w:left w:val="single" w:color="auto" w:sz="4" w:space="0"/>
                    <w:bottom w:val="single" w:color="auto" w:sz="4" w:space="0"/>
                    <w:right w:val="single" w:color="auto" w:sz="4" w:space="0"/>
                  </w:tcBorders>
                  <w:shd w:val="clear" w:color="auto" w:fill="auto"/>
                  <w:vAlign w:val="center"/>
                </w:tcPr>
                <w:p w14:paraId="73265838">
                  <w:pPr>
                    <w:keepNext w:val="0"/>
                    <w:keepLines w:val="0"/>
                    <w:suppressLineNumbers w:val="0"/>
                    <w:spacing w:before="0" w:beforeAutospacing="0" w:after="0" w:afterAutospacing="0"/>
                    <w:ind w:left="0" w:right="0"/>
                    <w:jc w:val="both"/>
                    <w:rPr>
                      <w:rFonts w:hint="default" w:ascii="Times New Roman" w:hAnsi="Times New Roman" w:cs="Times New Roman"/>
                      <w:color w:val="auto"/>
                      <w:sz w:val="20"/>
                      <w:szCs w:val="20"/>
                    </w:rPr>
                  </w:pPr>
                </w:p>
              </w:tc>
              <w:tc>
                <w:tcPr>
                  <w:tcW w:w="4089" w:type="dxa"/>
                  <w:tcBorders>
                    <w:top w:val="single" w:color="auto" w:sz="4" w:space="0"/>
                    <w:left w:val="nil"/>
                    <w:bottom w:val="single" w:color="auto" w:sz="4" w:space="0"/>
                    <w:right w:val="single" w:color="auto" w:sz="4" w:space="0"/>
                  </w:tcBorders>
                  <w:shd w:val="clear" w:color="auto" w:fill="auto"/>
                  <w:vAlign w:val="center"/>
                </w:tcPr>
                <w:p w14:paraId="2E6538C8">
                  <w:pPr>
                    <w:keepNext w:val="0"/>
                    <w:keepLines w:val="0"/>
                    <w:widowControl w:val="0"/>
                    <w:suppressLineNumbers w:val="0"/>
                    <w:spacing w:before="0" w:beforeAutospacing="0" w:after="0" w:afterAutospacing="0"/>
                    <w:ind w:left="0" w:right="0"/>
                    <w:jc w:val="center"/>
                    <w:rPr>
                      <w:rFonts w:hint="default" w:ascii="Times New Roman" w:hAnsi="Times New Roman" w:eastAsia="宋体" w:cs="Times New Roman"/>
                      <w:color w:val="auto"/>
                      <w:kern w:val="2"/>
                      <w:sz w:val="21"/>
                      <w:szCs w:val="21"/>
                    </w:rPr>
                  </w:pPr>
                  <w:r>
                    <w:rPr>
                      <w:rFonts w:hint="default" w:ascii="Times New Roman" w:hAnsi="Times New Roman" w:eastAsia="宋体" w:cs="Times New Roman"/>
                      <w:b/>
                      <w:bCs/>
                      <w:color w:val="auto"/>
                      <w:kern w:val="2"/>
                      <w:sz w:val="21"/>
                      <w:szCs w:val="21"/>
                      <w:lang w:val="en-US" w:eastAsia="zh-CN" w:bidi="ar"/>
                    </w:rPr>
                    <w:t>3.</w:t>
                  </w:r>
                  <w:r>
                    <w:rPr>
                      <w:rFonts w:hint="eastAsia" w:ascii="宋体" w:hAnsi="宋体" w:eastAsia="宋体" w:cs="宋体"/>
                      <w:b/>
                      <w:bCs/>
                      <w:color w:val="auto"/>
                      <w:kern w:val="2"/>
                      <w:sz w:val="21"/>
                      <w:szCs w:val="21"/>
                      <w:lang w:val="en-US" w:eastAsia="zh-CN" w:bidi="ar"/>
                    </w:rPr>
                    <w:t>大力推动非道路移动源清洁化。</w:t>
                  </w:r>
                  <w:r>
                    <w:rPr>
                      <w:rFonts w:hint="eastAsia" w:ascii="宋体" w:hAnsi="宋体" w:eastAsia="宋体" w:cs="宋体"/>
                      <w:color w:val="auto"/>
                      <w:kern w:val="2"/>
                      <w:sz w:val="21"/>
                      <w:szCs w:val="21"/>
                      <w:lang w:val="en-US" w:eastAsia="zh-CN" w:bidi="ar"/>
                    </w:rPr>
                    <w:t>大力推广新能源清洁能源货运船舶，支持湖州市推进全域船舶电动化，打造内河货运船舶电动化先行区。探索开展“全电工地”建设，推动施工工地电动机械规模化应用。港口码头、机场、物流园区、工业园区、工矿企业、施工工地、搅拌站等新增或更新的作业车辆和非道路移动机械，优先采用纯电动、绿氢、绿醇等新能源清洁能源。加快推动老旧非道路移动机械和船舶淘汰更新。到</w:t>
                  </w:r>
                  <w:r>
                    <w:rPr>
                      <w:rFonts w:hint="default" w:ascii="Times New Roman" w:hAnsi="Times New Roman" w:eastAsia="宋体" w:cs="Times New Roman"/>
                      <w:color w:val="auto"/>
                      <w:kern w:val="2"/>
                      <w:sz w:val="21"/>
                      <w:szCs w:val="21"/>
                      <w:lang w:val="en-US" w:eastAsia="zh-CN" w:bidi="ar"/>
                    </w:rPr>
                    <w:t>2030</w:t>
                  </w:r>
                  <w:r>
                    <w:rPr>
                      <w:rFonts w:hint="eastAsia" w:ascii="宋体" w:hAnsi="宋体" w:eastAsia="宋体" w:cs="宋体"/>
                      <w:color w:val="auto"/>
                      <w:kern w:val="2"/>
                      <w:sz w:val="21"/>
                      <w:szCs w:val="21"/>
                      <w:lang w:val="en-US" w:eastAsia="zh-CN" w:bidi="ar"/>
                    </w:rPr>
                    <w:t>年，基本淘汰国二及以下非道路移动机械，淘汰老旧运输船舶</w:t>
                  </w:r>
                  <w:r>
                    <w:rPr>
                      <w:rFonts w:hint="default" w:ascii="Times New Roman" w:hAnsi="Times New Roman" w:eastAsia="宋体" w:cs="Times New Roman"/>
                      <w:color w:val="auto"/>
                      <w:kern w:val="2"/>
                      <w:sz w:val="21"/>
                      <w:szCs w:val="21"/>
                      <w:lang w:val="en-US" w:eastAsia="zh-CN" w:bidi="ar"/>
                    </w:rPr>
                    <w:t>1200</w:t>
                  </w:r>
                  <w:r>
                    <w:rPr>
                      <w:rFonts w:hint="eastAsia" w:ascii="宋体" w:hAnsi="宋体" w:eastAsia="宋体" w:cs="宋体"/>
                      <w:color w:val="auto"/>
                      <w:kern w:val="2"/>
                      <w:sz w:val="21"/>
                      <w:szCs w:val="21"/>
                      <w:lang w:val="en-US" w:eastAsia="zh-CN" w:bidi="ar"/>
                    </w:rPr>
                    <w:t>艘以上，新能源清洁能源内河货运船舶保有量占比达到</w:t>
                  </w:r>
                  <w:r>
                    <w:rPr>
                      <w:rFonts w:hint="default" w:ascii="Times New Roman" w:hAnsi="Times New Roman" w:eastAsia="宋体" w:cs="Times New Roman"/>
                      <w:color w:val="auto"/>
                      <w:kern w:val="2"/>
                      <w:sz w:val="21"/>
                      <w:szCs w:val="21"/>
                      <w:lang w:val="en-US" w:eastAsia="zh-CN" w:bidi="ar"/>
                    </w:rPr>
                    <w:t>6%</w:t>
                  </w:r>
                  <w:r>
                    <w:rPr>
                      <w:rFonts w:hint="eastAsia" w:ascii="宋体" w:hAnsi="宋体" w:eastAsia="宋体" w:cs="宋体"/>
                      <w:color w:val="auto"/>
                      <w:kern w:val="2"/>
                      <w:sz w:val="21"/>
                      <w:szCs w:val="21"/>
                      <w:lang w:val="en-US" w:eastAsia="zh-CN" w:bidi="ar"/>
                    </w:rPr>
                    <w:t>以上。</w:t>
                  </w:r>
                </w:p>
              </w:tc>
              <w:tc>
                <w:tcPr>
                  <w:tcW w:w="2749" w:type="dxa"/>
                  <w:tcBorders>
                    <w:top w:val="single" w:color="auto" w:sz="4" w:space="0"/>
                    <w:left w:val="nil"/>
                    <w:bottom w:val="single" w:color="auto" w:sz="4" w:space="0"/>
                    <w:right w:val="single" w:color="auto" w:sz="4" w:space="0"/>
                  </w:tcBorders>
                  <w:shd w:val="clear" w:color="auto" w:fill="auto"/>
                  <w:vAlign w:val="center"/>
                </w:tcPr>
                <w:p w14:paraId="00C1DF12">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宋体" w:cs="Times New Roman"/>
                      <w:color w:val="auto"/>
                      <w:kern w:val="2"/>
                      <w:sz w:val="21"/>
                      <w:szCs w:val="21"/>
                    </w:rPr>
                  </w:pPr>
                  <w:r>
                    <w:rPr>
                      <w:rFonts w:hint="eastAsia" w:ascii="宋体" w:hAnsi="宋体" w:eastAsia="宋体" w:cs="宋体"/>
                      <w:color w:val="auto"/>
                      <w:kern w:val="2"/>
                      <w:sz w:val="21"/>
                      <w:szCs w:val="21"/>
                      <w:lang w:val="en-US" w:eastAsia="zh-CN" w:bidi="ar"/>
                    </w:rPr>
                    <w:t>本项目不涉及。</w:t>
                  </w:r>
                </w:p>
              </w:tc>
              <w:tc>
                <w:tcPr>
                  <w:tcW w:w="699" w:type="dxa"/>
                  <w:tcBorders>
                    <w:top w:val="single" w:color="auto" w:sz="4" w:space="0"/>
                    <w:left w:val="nil"/>
                    <w:bottom w:val="single" w:color="auto" w:sz="4" w:space="0"/>
                    <w:right w:val="single" w:color="auto" w:sz="4" w:space="0"/>
                  </w:tcBorders>
                  <w:shd w:val="clear" w:color="auto" w:fill="auto"/>
                  <w:vAlign w:val="center"/>
                </w:tcPr>
                <w:p w14:paraId="5D2B796A">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宋体" w:cs="Times New Roman"/>
                      <w:color w:val="auto"/>
                      <w:kern w:val="2"/>
                      <w:sz w:val="21"/>
                      <w:szCs w:val="21"/>
                    </w:rPr>
                  </w:pPr>
                  <w:r>
                    <w:rPr>
                      <w:rFonts w:hint="eastAsia" w:ascii="宋体" w:hAnsi="宋体" w:eastAsia="宋体" w:cs="宋体"/>
                      <w:color w:val="auto"/>
                      <w:kern w:val="0"/>
                      <w:sz w:val="21"/>
                      <w:szCs w:val="21"/>
                      <w:lang w:val="en-US" w:eastAsia="zh-CN" w:bidi="ar"/>
                    </w:rPr>
                    <w:t>不涉及</w:t>
                  </w:r>
                </w:p>
              </w:tc>
            </w:tr>
            <w:tr w14:paraId="7CB9B2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441" w:type="dxa"/>
                  <w:vMerge w:val="restart"/>
                  <w:tcBorders>
                    <w:top w:val="nil"/>
                    <w:left w:val="single" w:color="auto" w:sz="4" w:space="0"/>
                    <w:bottom w:val="single" w:color="auto" w:sz="4" w:space="0"/>
                    <w:right w:val="single" w:color="auto" w:sz="4" w:space="0"/>
                  </w:tcBorders>
                  <w:shd w:val="clear" w:color="auto" w:fill="auto"/>
                  <w:vAlign w:val="center"/>
                </w:tcPr>
                <w:p w14:paraId="3DB43307">
                  <w:pPr>
                    <w:keepNext w:val="0"/>
                    <w:keepLines w:val="0"/>
                    <w:widowControl w:val="0"/>
                    <w:suppressLineNumbers w:val="0"/>
                    <w:spacing w:before="0" w:beforeAutospacing="0" w:after="0" w:afterAutospacing="0"/>
                    <w:ind w:left="0" w:right="0"/>
                    <w:jc w:val="center"/>
                    <w:rPr>
                      <w:rFonts w:hint="default" w:ascii="Times New Roman" w:hAnsi="Times New Roman" w:eastAsia="宋体" w:cs="Times New Roman"/>
                      <w:color w:val="auto"/>
                      <w:kern w:val="2"/>
                      <w:sz w:val="21"/>
                      <w:szCs w:val="21"/>
                    </w:rPr>
                  </w:pPr>
                  <w:r>
                    <w:rPr>
                      <w:rFonts w:hint="eastAsia" w:ascii="宋体" w:hAnsi="宋体" w:eastAsia="宋体" w:cs="宋体"/>
                      <w:color w:val="auto"/>
                      <w:kern w:val="2"/>
                      <w:sz w:val="21"/>
                      <w:szCs w:val="21"/>
                      <w:lang w:val="en-US" w:eastAsia="zh-CN" w:bidi="ar"/>
                    </w:rPr>
                    <w:t>全力推进重点行业深度治理</w:t>
                  </w:r>
                </w:p>
              </w:tc>
              <w:tc>
                <w:tcPr>
                  <w:tcW w:w="4089" w:type="dxa"/>
                  <w:tcBorders>
                    <w:top w:val="single" w:color="auto" w:sz="4" w:space="0"/>
                    <w:left w:val="nil"/>
                    <w:bottom w:val="single" w:color="auto" w:sz="4" w:space="0"/>
                    <w:right w:val="single" w:color="auto" w:sz="4" w:space="0"/>
                  </w:tcBorders>
                  <w:shd w:val="clear" w:color="auto" w:fill="auto"/>
                  <w:vAlign w:val="center"/>
                </w:tcPr>
                <w:p w14:paraId="7F64C38F">
                  <w:pPr>
                    <w:keepNext w:val="0"/>
                    <w:keepLines w:val="0"/>
                    <w:widowControl w:val="0"/>
                    <w:suppressLineNumbers w:val="0"/>
                    <w:spacing w:before="0" w:beforeAutospacing="0" w:after="0" w:afterAutospacing="0"/>
                    <w:ind w:left="0" w:right="0"/>
                    <w:jc w:val="center"/>
                    <w:rPr>
                      <w:rFonts w:hint="default" w:ascii="Times New Roman" w:hAnsi="Times New Roman" w:eastAsia="宋体" w:cs="Times New Roman"/>
                      <w:color w:val="auto"/>
                      <w:kern w:val="2"/>
                      <w:sz w:val="21"/>
                      <w:szCs w:val="21"/>
                    </w:rPr>
                  </w:pPr>
                  <w:r>
                    <w:rPr>
                      <w:rFonts w:hint="default" w:ascii="Times New Roman" w:hAnsi="Times New Roman" w:eastAsia="宋体" w:cs="Times New Roman"/>
                      <w:b/>
                      <w:bCs/>
                      <w:color w:val="auto"/>
                      <w:kern w:val="2"/>
                      <w:sz w:val="21"/>
                      <w:szCs w:val="21"/>
                      <w:lang w:val="en-US" w:eastAsia="zh-CN" w:bidi="ar"/>
                    </w:rPr>
                    <w:t>1.</w:t>
                  </w:r>
                  <w:r>
                    <w:rPr>
                      <w:rFonts w:hint="eastAsia" w:ascii="宋体" w:hAnsi="宋体" w:eastAsia="宋体" w:cs="宋体"/>
                      <w:b/>
                      <w:bCs/>
                      <w:color w:val="auto"/>
                      <w:kern w:val="2"/>
                      <w:sz w:val="21"/>
                      <w:szCs w:val="21"/>
                      <w:lang w:val="en-US" w:eastAsia="zh-CN" w:bidi="ar"/>
                    </w:rPr>
                    <w:t>推进重点行业超低排放改造。</w:t>
                  </w:r>
                  <w:r>
                    <w:rPr>
                      <w:rFonts w:hint="eastAsia" w:ascii="宋体" w:hAnsi="宋体" w:eastAsia="宋体" w:cs="宋体"/>
                      <w:color w:val="auto"/>
                      <w:kern w:val="2"/>
                      <w:sz w:val="21"/>
                      <w:szCs w:val="21"/>
                      <w:lang w:val="en-US" w:eastAsia="zh-CN" w:bidi="ar"/>
                    </w:rPr>
                    <w:t>加快推进水泥行业超低排放改造和评估监测，</w:t>
                  </w:r>
                  <w:r>
                    <w:rPr>
                      <w:rFonts w:hint="default" w:ascii="Times New Roman" w:hAnsi="Times New Roman" w:eastAsia="宋体" w:cs="Times New Roman"/>
                      <w:color w:val="auto"/>
                      <w:kern w:val="2"/>
                      <w:sz w:val="21"/>
                      <w:szCs w:val="21"/>
                      <w:lang w:val="en-US" w:eastAsia="zh-CN" w:bidi="ar"/>
                    </w:rPr>
                    <w:t>2026</w:t>
                  </w:r>
                  <w:r>
                    <w:rPr>
                      <w:rFonts w:hint="eastAsia" w:ascii="宋体" w:hAnsi="宋体" w:eastAsia="宋体" w:cs="宋体"/>
                      <w:color w:val="auto"/>
                      <w:kern w:val="2"/>
                      <w:sz w:val="21"/>
                      <w:szCs w:val="21"/>
                      <w:lang w:val="en-US" w:eastAsia="zh-CN" w:bidi="ar"/>
                    </w:rPr>
                    <w:t>年</w:t>
                  </w:r>
                  <w:r>
                    <w:rPr>
                      <w:rFonts w:hint="default" w:ascii="Times New Roman" w:hAnsi="Times New Roman" w:eastAsia="宋体" w:cs="Times New Roman"/>
                      <w:color w:val="auto"/>
                      <w:kern w:val="2"/>
                      <w:sz w:val="21"/>
                      <w:szCs w:val="21"/>
                      <w:lang w:val="en-US" w:eastAsia="zh-CN" w:bidi="ar"/>
                    </w:rPr>
                    <w:t>6</w:t>
                  </w:r>
                  <w:r>
                    <w:rPr>
                      <w:rFonts w:hint="eastAsia" w:ascii="宋体" w:hAnsi="宋体" w:eastAsia="宋体" w:cs="宋体"/>
                      <w:color w:val="auto"/>
                      <w:kern w:val="2"/>
                      <w:sz w:val="21"/>
                      <w:szCs w:val="21"/>
                      <w:lang w:val="en-US" w:eastAsia="zh-CN" w:bidi="ar"/>
                    </w:rPr>
                    <w:t>月底前，全省水泥熟料生产企业完成全流程超低排放改造；</w:t>
                  </w:r>
                  <w:r>
                    <w:rPr>
                      <w:rFonts w:hint="default" w:ascii="Times New Roman" w:hAnsi="Times New Roman" w:eastAsia="宋体" w:cs="Times New Roman"/>
                      <w:color w:val="auto"/>
                      <w:kern w:val="2"/>
                      <w:sz w:val="21"/>
                      <w:szCs w:val="21"/>
                      <w:lang w:val="en-US" w:eastAsia="zh-CN" w:bidi="ar"/>
                    </w:rPr>
                    <w:t>2027</w:t>
                  </w:r>
                  <w:r>
                    <w:rPr>
                      <w:rFonts w:hint="eastAsia" w:ascii="宋体" w:hAnsi="宋体" w:eastAsia="宋体" w:cs="宋体"/>
                      <w:color w:val="auto"/>
                      <w:kern w:val="2"/>
                      <w:sz w:val="21"/>
                      <w:szCs w:val="21"/>
                      <w:lang w:val="en-US" w:eastAsia="zh-CN" w:bidi="ar"/>
                    </w:rPr>
                    <w:t>年底前，全省</w:t>
                  </w:r>
                  <w:r>
                    <w:rPr>
                      <w:rFonts w:hint="default" w:ascii="Times New Roman" w:hAnsi="Times New Roman" w:eastAsia="宋体" w:cs="Times New Roman"/>
                      <w:color w:val="auto"/>
                      <w:kern w:val="2"/>
                      <w:sz w:val="21"/>
                      <w:szCs w:val="21"/>
                      <w:lang w:val="en-US" w:eastAsia="zh-CN" w:bidi="ar"/>
                    </w:rPr>
                    <w:t>86</w:t>
                  </w:r>
                  <w:r>
                    <w:rPr>
                      <w:rFonts w:hint="eastAsia" w:ascii="宋体" w:hAnsi="宋体" w:eastAsia="宋体" w:cs="宋体"/>
                      <w:color w:val="auto"/>
                      <w:kern w:val="2"/>
                      <w:sz w:val="21"/>
                      <w:szCs w:val="21"/>
                      <w:lang w:val="en-US" w:eastAsia="zh-CN" w:bidi="ar"/>
                    </w:rPr>
                    <w:t>家水泥粉磨站企业完成全流程超低排放改造。有序推进生活垃圾焚烧厂超低排放改造，</w:t>
                  </w:r>
                  <w:r>
                    <w:rPr>
                      <w:rFonts w:hint="default" w:ascii="Times New Roman" w:hAnsi="Times New Roman" w:eastAsia="宋体" w:cs="Times New Roman"/>
                      <w:color w:val="auto"/>
                      <w:kern w:val="2"/>
                      <w:sz w:val="21"/>
                      <w:szCs w:val="21"/>
                      <w:lang w:val="en-US" w:eastAsia="zh-CN" w:bidi="ar"/>
                    </w:rPr>
                    <w:t>2027</w:t>
                  </w:r>
                  <w:r>
                    <w:rPr>
                      <w:rFonts w:hint="eastAsia" w:ascii="宋体" w:hAnsi="宋体" w:eastAsia="宋体" w:cs="宋体"/>
                      <w:color w:val="auto"/>
                      <w:kern w:val="2"/>
                      <w:sz w:val="21"/>
                      <w:szCs w:val="21"/>
                      <w:lang w:val="en-US" w:eastAsia="zh-CN" w:bidi="ar"/>
                    </w:rPr>
                    <w:t>年底前，全省生活垃圾焚烧厂基本完成全流程超低排放改造任务。开展统调燃煤发电机组超超低排放改造，</w:t>
                  </w:r>
                  <w:r>
                    <w:rPr>
                      <w:rFonts w:hint="default" w:ascii="Times New Roman" w:hAnsi="Times New Roman" w:eastAsia="宋体" w:cs="Times New Roman"/>
                      <w:color w:val="auto"/>
                      <w:kern w:val="2"/>
                      <w:sz w:val="21"/>
                      <w:szCs w:val="21"/>
                      <w:lang w:val="en-US" w:eastAsia="zh-CN" w:bidi="ar"/>
                    </w:rPr>
                    <w:t>2030</w:t>
                  </w:r>
                  <w:r>
                    <w:rPr>
                      <w:rFonts w:hint="eastAsia" w:ascii="宋体" w:hAnsi="宋体" w:eastAsia="宋体" w:cs="宋体"/>
                      <w:color w:val="auto"/>
                      <w:kern w:val="2"/>
                      <w:sz w:val="21"/>
                      <w:szCs w:val="21"/>
                      <w:lang w:val="en-US" w:eastAsia="zh-CN" w:bidi="ar"/>
                    </w:rPr>
                    <w:t>年底前，全省</w:t>
                  </w:r>
                  <w:r>
                    <w:rPr>
                      <w:rFonts w:hint="default" w:ascii="Times New Roman" w:hAnsi="Times New Roman" w:eastAsia="宋体" w:cs="Times New Roman"/>
                      <w:color w:val="auto"/>
                      <w:kern w:val="2"/>
                      <w:sz w:val="21"/>
                      <w:szCs w:val="21"/>
                      <w:lang w:val="en-US" w:eastAsia="zh-CN" w:bidi="ar"/>
                    </w:rPr>
                    <w:t>60</w:t>
                  </w:r>
                  <w:r>
                    <w:rPr>
                      <w:rFonts w:hint="eastAsia" w:ascii="宋体" w:hAnsi="宋体" w:eastAsia="宋体" w:cs="宋体"/>
                      <w:color w:val="auto"/>
                      <w:kern w:val="2"/>
                      <w:sz w:val="21"/>
                      <w:szCs w:val="21"/>
                      <w:lang w:val="en-US" w:eastAsia="zh-CN" w:bidi="ar"/>
                    </w:rPr>
                    <w:t>万千瓦以上发电机组基本完成改造。</w:t>
                  </w:r>
                </w:p>
              </w:tc>
              <w:tc>
                <w:tcPr>
                  <w:tcW w:w="2749" w:type="dxa"/>
                  <w:tcBorders>
                    <w:top w:val="single" w:color="auto" w:sz="4" w:space="0"/>
                    <w:left w:val="nil"/>
                    <w:bottom w:val="single" w:color="auto" w:sz="4" w:space="0"/>
                    <w:right w:val="single" w:color="auto" w:sz="4" w:space="0"/>
                  </w:tcBorders>
                  <w:shd w:val="clear" w:color="auto" w:fill="auto"/>
                  <w:vAlign w:val="center"/>
                </w:tcPr>
                <w:p w14:paraId="7C592A0D">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宋体" w:cs="Times New Roman"/>
                      <w:color w:val="auto"/>
                      <w:kern w:val="2"/>
                      <w:sz w:val="21"/>
                      <w:szCs w:val="21"/>
                    </w:rPr>
                  </w:pPr>
                  <w:r>
                    <w:rPr>
                      <w:rFonts w:hint="eastAsia" w:ascii="宋体" w:hAnsi="宋体" w:eastAsia="宋体" w:cs="宋体"/>
                      <w:color w:val="auto"/>
                      <w:kern w:val="2"/>
                      <w:sz w:val="21"/>
                      <w:szCs w:val="21"/>
                      <w:lang w:val="en-US" w:eastAsia="zh-CN" w:bidi="ar"/>
                    </w:rPr>
                    <w:t>本项目不涉及。</w:t>
                  </w:r>
                </w:p>
              </w:tc>
              <w:tc>
                <w:tcPr>
                  <w:tcW w:w="699" w:type="dxa"/>
                  <w:tcBorders>
                    <w:top w:val="single" w:color="auto" w:sz="4" w:space="0"/>
                    <w:left w:val="nil"/>
                    <w:bottom w:val="single" w:color="auto" w:sz="4" w:space="0"/>
                    <w:right w:val="single" w:color="auto" w:sz="4" w:space="0"/>
                  </w:tcBorders>
                  <w:shd w:val="clear" w:color="auto" w:fill="auto"/>
                  <w:vAlign w:val="center"/>
                </w:tcPr>
                <w:p w14:paraId="3A9D38A0">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宋体" w:cs="Times New Roman"/>
                      <w:color w:val="auto"/>
                      <w:kern w:val="2"/>
                      <w:sz w:val="21"/>
                      <w:szCs w:val="21"/>
                    </w:rPr>
                  </w:pPr>
                  <w:r>
                    <w:rPr>
                      <w:rFonts w:hint="eastAsia" w:ascii="宋体" w:hAnsi="宋体" w:eastAsia="宋体" w:cs="宋体"/>
                      <w:color w:val="auto"/>
                      <w:kern w:val="0"/>
                      <w:sz w:val="21"/>
                      <w:szCs w:val="21"/>
                      <w:lang w:val="en-US" w:eastAsia="zh-CN" w:bidi="ar"/>
                    </w:rPr>
                    <w:t>不涉及</w:t>
                  </w:r>
                </w:p>
              </w:tc>
            </w:tr>
            <w:tr w14:paraId="175944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441" w:type="dxa"/>
                  <w:vMerge w:val="continue"/>
                  <w:tcBorders>
                    <w:top w:val="nil"/>
                    <w:left w:val="single" w:color="auto" w:sz="4" w:space="0"/>
                    <w:bottom w:val="single" w:color="auto" w:sz="4" w:space="0"/>
                    <w:right w:val="single" w:color="auto" w:sz="4" w:space="0"/>
                  </w:tcBorders>
                  <w:shd w:val="clear" w:color="auto" w:fill="auto"/>
                  <w:vAlign w:val="center"/>
                </w:tcPr>
                <w:p w14:paraId="3BE5E8FC">
                  <w:pPr>
                    <w:keepNext w:val="0"/>
                    <w:keepLines w:val="0"/>
                    <w:suppressLineNumbers w:val="0"/>
                    <w:spacing w:before="0" w:beforeAutospacing="0" w:after="0" w:afterAutospacing="0"/>
                    <w:ind w:left="0" w:right="0"/>
                    <w:jc w:val="both"/>
                    <w:rPr>
                      <w:rFonts w:hint="default" w:ascii="Times New Roman" w:hAnsi="Times New Roman" w:cs="Times New Roman"/>
                      <w:color w:val="auto"/>
                      <w:sz w:val="20"/>
                      <w:szCs w:val="20"/>
                    </w:rPr>
                  </w:pPr>
                </w:p>
              </w:tc>
              <w:tc>
                <w:tcPr>
                  <w:tcW w:w="4089" w:type="dxa"/>
                  <w:tcBorders>
                    <w:top w:val="single" w:color="auto" w:sz="4" w:space="0"/>
                    <w:left w:val="nil"/>
                    <w:bottom w:val="single" w:color="auto" w:sz="4" w:space="0"/>
                    <w:right w:val="single" w:color="auto" w:sz="4" w:space="0"/>
                  </w:tcBorders>
                  <w:shd w:val="clear" w:color="auto" w:fill="auto"/>
                  <w:vAlign w:val="center"/>
                </w:tcPr>
                <w:p w14:paraId="0AE2622A">
                  <w:pPr>
                    <w:keepNext w:val="0"/>
                    <w:keepLines w:val="0"/>
                    <w:widowControl w:val="0"/>
                    <w:suppressLineNumbers w:val="0"/>
                    <w:spacing w:before="0" w:beforeAutospacing="0" w:after="0" w:afterAutospacing="0"/>
                    <w:ind w:left="0" w:right="0"/>
                    <w:jc w:val="center"/>
                    <w:rPr>
                      <w:rFonts w:hint="default" w:ascii="Times New Roman" w:hAnsi="Times New Roman" w:eastAsia="宋体" w:cs="Times New Roman"/>
                      <w:color w:val="auto"/>
                      <w:kern w:val="2"/>
                      <w:sz w:val="21"/>
                      <w:szCs w:val="21"/>
                    </w:rPr>
                  </w:pPr>
                  <w:r>
                    <w:rPr>
                      <w:rFonts w:hint="default" w:ascii="Times New Roman" w:hAnsi="Times New Roman" w:eastAsia="宋体" w:cs="Times New Roman"/>
                      <w:b/>
                      <w:bCs/>
                      <w:color w:val="auto"/>
                      <w:kern w:val="2"/>
                      <w:sz w:val="21"/>
                      <w:szCs w:val="21"/>
                      <w:lang w:val="en-US" w:eastAsia="zh-CN" w:bidi="ar"/>
                    </w:rPr>
                    <w:t>2.</w:t>
                  </w:r>
                  <w:r>
                    <w:rPr>
                      <w:rFonts w:hint="eastAsia" w:ascii="宋体" w:hAnsi="宋体" w:eastAsia="宋体" w:cs="宋体"/>
                      <w:b/>
                      <w:bCs/>
                      <w:color w:val="auto"/>
                      <w:kern w:val="2"/>
                      <w:sz w:val="21"/>
                      <w:szCs w:val="21"/>
                      <w:lang w:val="en-US" w:eastAsia="zh-CN" w:bidi="ar"/>
                    </w:rPr>
                    <w:t>开展工业炉窑深度治理。</w:t>
                  </w:r>
                  <w:r>
                    <w:rPr>
                      <w:rFonts w:hint="eastAsia" w:ascii="宋体" w:hAnsi="宋体" w:eastAsia="宋体" w:cs="宋体"/>
                      <w:color w:val="auto"/>
                      <w:kern w:val="2"/>
                      <w:sz w:val="21"/>
                      <w:szCs w:val="21"/>
                      <w:lang w:val="en-US" w:eastAsia="zh-CN" w:bidi="ar"/>
                    </w:rPr>
                    <w:t>以玻璃、陶瓷、石灰、有色、耐火材料、铸造、砖瓦等行业为重点，推进工业炉窑大气污染深度治理。加快推进低效失效的脱硫、脱硝、除尘等设施更新改造。加强厂区无组织排放管控，规范治理设施日常运维及台账管理，确保污染治理设施稳定高效运行。到</w:t>
                  </w:r>
                  <w:r>
                    <w:rPr>
                      <w:rFonts w:hint="default" w:ascii="Times New Roman" w:hAnsi="Times New Roman" w:eastAsia="宋体" w:cs="Times New Roman"/>
                      <w:color w:val="auto"/>
                      <w:kern w:val="2"/>
                      <w:sz w:val="21"/>
                      <w:szCs w:val="21"/>
                      <w:lang w:val="en-US" w:eastAsia="zh-CN" w:bidi="ar"/>
                    </w:rPr>
                    <w:t>2030</w:t>
                  </w:r>
                  <w:r>
                    <w:rPr>
                      <w:rFonts w:hint="eastAsia" w:ascii="宋体" w:hAnsi="宋体" w:eastAsia="宋体" w:cs="宋体"/>
                      <w:color w:val="auto"/>
                      <w:kern w:val="2"/>
                      <w:sz w:val="21"/>
                      <w:szCs w:val="21"/>
                      <w:lang w:val="en-US" w:eastAsia="zh-CN" w:bidi="ar"/>
                    </w:rPr>
                    <w:t>年，完成</w:t>
                  </w:r>
                  <w:r>
                    <w:rPr>
                      <w:rFonts w:hint="default" w:ascii="Times New Roman" w:hAnsi="Times New Roman" w:eastAsia="宋体" w:cs="Times New Roman"/>
                      <w:color w:val="auto"/>
                      <w:kern w:val="2"/>
                      <w:sz w:val="21"/>
                      <w:szCs w:val="21"/>
                      <w:lang w:val="en-US" w:eastAsia="zh-CN" w:bidi="ar"/>
                    </w:rPr>
                    <w:t>500</w:t>
                  </w:r>
                  <w:r>
                    <w:rPr>
                      <w:rFonts w:hint="eastAsia" w:ascii="宋体" w:hAnsi="宋体" w:eastAsia="宋体" w:cs="宋体"/>
                      <w:color w:val="auto"/>
                      <w:kern w:val="2"/>
                      <w:sz w:val="21"/>
                      <w:szCs w:val="21"/>
                      <w:lang w:val="en-US" w:eastAsia="zh-CN" w:bidi="ar"/>
                    </w:rPr>
                    <w:t>台以上工业炉窑治理提升任务。</w:t>
                  </w:r>
                </w:p>
              </w:tc>
              <w:tc>
                <w:tcPr>
                  <w:tcW w:w="2749" w:type="dxa"/>
                  <w:tcBorders>
                    <w:top w:val="single" w:color="auto" w:sz="4" w:space="0"/>
                    <w:left w:val="nil"/>
                    <w:bottom w:val="single" w:color="auto" w:sz="4" w:space="0"/>
                    <w:right w:val="single" w:color="auto" w:sz="4" w:space="0"/>
                  </w:tcBorders>
                  <w:shd w:val="clear" w:color="auto" w:fill="auto"/>
                  <w:vAlign w:val="center"/>
                </w:tcPr>
                <w:p w14:paraId="426D45F8">
                  <w:pPr>
                    <w:keepNext w:val="0"/>
                    <w:keepLines w:val="0"/>
                    <w:widowControl w:val="0"/>
                    <w:suppressLineNumbers w:val="0"/>
                    <w:spacing w:before="0" w:beforeAutospacing="0" w:after="0" w:afterAutospacing="0"/>
                    <w:ind w:left="0" w:right="0"/>
                    <w:jc w:val="center"/>
                    <w:rPr>
                      <w:rFonts w:hint="default" w:ascii="Times New Roman" w:hAnsi="Times New Roman" w:eastAsia="宋体" w:cs="Times New Roman"/>
                      <w:color w:val="auto"/>
                      <w:kern w:val="2"/>
                      <w:sz w:val="21"/>
                      <w:szCs w:val="21"/>
                    </w:rPr>
                  </w:pPr>
                  <w:r>
                    <w:rPr>
                      <w:rFonts w:hint="eastAsia" w:ascii="宋体" w:hAnsi="宋体" w:eastAsia="宋体" w:cs="宋体"/>
                      <w:color w:val="auto"/>
                      <w:kern w:val="2"/>
                      <w:sz w:val="21"/>
                      <w:szCs w:val="21"/>
                      <w:lang w:val="en-US" w:eastAsia="zh-CN" w:bidi="ar"/>
                    </w:rPr>
                    <w:t>本项目行业类别为</w:t>
                  </w:r>
                  <w:r>
                    <w:rPr>
                      <w:rFonts w:hint="default" w:ascii="Times New Roman" w:hAnsi="Times New Roman" w:eastAsia="宋体" w:cs="Times New Roman"/>
                      <w:color w:val="auto"/>
                      <w:kern w:val="2"/>
                      <w:sz w:val="21"/>
                      <w:szCs w:val="21"/>
                      <w:lang w:val="en-US" w:eastAsia="zh-CN" w:bidi="ar"/>
                    </w:rPr>
                    <w:t>C3670汽车零部件及配件制造、C2929塑料零件及其他塑料制品制造、C3034隔热和隔音材料制造</w:t>
                  </w:r>
                  <w:r>
                    <w:rPr>
                      <w:rFonts w:hint="eastAsia" w:ascii="宋体" w:hAnsi="宋体" w:eastAsia="宋体" w:cs="宋体"/>
                      <w:color w:val="auto"/>
                      <w:kern w:val="2"/>
                      <w:sz w:val="21"/>
                      <w:szCs w:val="21"/>
                      <w:lang w:val="en-US" w:eastAsia="zh-CN" w:bidi="ar"/>
                    </w:rPr>
                    <w:t>，不属于条例中的行业。本项目将加强厂区无组织排放管控，规范治理设施日常运维及台账管理，确保污染治理设施稳定高效运行。</w:t>
                  </w:r>
                </w:p>
              </w:tc>
              <w:tc>
                <w:tcPr>
                  <w:tcW w:w="699" w:type="dxa"/>
                  <w:tcBorders>
                    <w:top w:val="single" w:color="auto" w:sz="4" w:space="0"/>
                    <w:left w:val="nil"/>
                    <w:bottom w:val="single" w:color="auto" w:sz="4" w:space="0"/>
                    <w:right w:val="single" w:color="auto" w:sz="4" w:space="0"/>
                  </w:tcBorders>
                  <w:shd w:val="clear" w:color="auto" w:fill="auto"/>
                  <w:vAlign w:val="center"/>
                </w:tcPr>
                <w:p w14:paraId="3C63E102">
                  <w:pPr>
                    <w:keepNext w:val="0"/>
                    <w:keepLines w:val="0"/>
                    <w:widowControl w:val="0"/>
                    <w:suppressLineNumbers w:val="0"/>
                    <w:spacing w:before="0" w:beforeAutospacing="0" w:after="0" w:afterAutospacing="0"/>
                    <w:ind w:left="0" w:right="0"/>
                    <w:jc w:val="center"/>
                    <w:rPr>
                      <w:rFonts w:hint="eastAsia" w:ascii="Times New Roman" w:hAnsi="Times New Roman" w:eastAsia="宋体" w:cs="Times New Roman"/>
                      <w:color w:val="auto"/>
                      <w:kern w:val="2"/>
                      <w:sz w:val="21"/>
                      <w:szCs w:val="21"/>
                    </w:rPr>
                  </w:pPr>
                  <w:r>
                    <w:rPr>
                      <w:rFonts w:hint="eastAsia" w:ascii="宋体" w:hAnsi="宋体" w:eastAsia="宋体" w:cs="宋体"/>
                      <w:color w:val="auto"/>
                      <w:kern w:val="2"/>
                      <w:sz w:val="21"/>
                      <w:szCs w:val="21"/>
                      <w:lang w:val="en-US" w:eastAsia="zh-CN" w:bidi="ar"/>
                    </w:rPr>
                    <w:t>符合</w:t>
                  </w:r>
                </w:p>
              </w:tc>
            </w:tr>
            <w:tr w14:paraId="484C63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397" w:hRule="atLeast"/>
                <w:jc w:val="center"/>
              </w:trPr>
              <w:tc>
                <w:tcPr>
                  <w:tcW w:w="441" w:type="dxa"/>
                  <w:vMerge w:val="continue"/>
                  <w:tcBorders>
                    <w:top w:val="nil"/>
                    <w:left w:val="single" w:color="auto" w:sz="4" w:space="0"/>
                    <w:bottom w:val="single" w:color="auto" w:sz="4" w:space="0"/>
                    <w:right w:val="single" w:color="auto" w:sz="4" w:space="0"/>
                  </w:tcBorders>
                  <w:shd w:val="clear" w:color="auto" w:fill="auto"/>
                  <w:vAlign w:val="center"/>
                </w:tcPr>
                <w:p w14:paraId="38186212">
                  <w:pPr>
                    <w:keepNext w:val="0"/>
                    <w:keepLines w:val="0"/>
                    <w:suppressLineNumbers w:val="0"/>
                    <w:spacing w:before="0" w:beforeAutospacing="0" w:after="0" w:afterAutospacing="0"/>
                    <w:ind w:left="0" w:right="0"/>
                    <w:jc w:val="both"/>
                    <w:rPr>
                      <w:rFonts w:hint="default" w:ascii="Times New Roman" w:hAnsi="Times New Roman" w:cs="Times New Roman"/>
                      <w:color w:val="auto"/>
                      <w:sz w:val="20"/>
                      <w:szCs w:val="20"/>
                    </w:rPr>
                  </w:pPr>
                </w:p>
              </w:tc>
              <w:tc>
                <w:tcPr>
                  <w:tcW w:w="4089" w:type="dxa"/>
                  <w:tcBorders>
                    <w:top w:val="single" w:color="auto" w:sz="4" w:space="0"/>
                    <w:left w:val="nil"/>
                    <w:bottom w:val="single" w:color="auto" w:sz="4" w:space="0"/>
                    <w:right w:val="single" w:color="auto" w:sz="4" w:space="0"/>
                  </w:tcBorders>
                  <w:shd w:val="clear" w:color="auto" w:fill="auto"/>
                  <w:vAlign w:val="center"/>
                </w:tcPr>
                <w:p w14:paraId="5B83CB1F">
                  <w:pPr>
                    <w:keepNext w:val="0"/>
                    <w:keepLines w:val="0"/>
                    <w:widowControl w:val="0"/>
                    <w:suppressLineNumbers w:val="0"/>
                    <w:spacing w:before="0" w:beforeAutospacing="0" w:after="0" w:afterAutospacing="0"/>
                    <w:ind w:left="0" w:right="0"/>
                    <w:jc w:val="center"/>
                    <w:rPr>
                      <w:rFonts w:hint="default" w:ascii="Times New Roman" w:hAnsi="Times New Roman" w:eastAsia="宋体" w:cs="Times New Roman"/>
                      <w:color w:val="auto"/>
                      <w:kern w:val="2"/>
                      <w:sz w:val="21"/>
                      <w:szCs w:val="21"/>
                    </w:rPr>
                  </w:pPr>
                  <w:r>
                    <w:rPr>
                      <w:rFonts w:hint="default" w:ascii="Times New Roman" w:hAnsi="Times New Roman" w:eastAsia="宋体" w:cs="Times New Roman"/>
                      <w:b/>
                      <w:bCs/>
                      <w:color w:val="auto"/>
                      <w:kern w:val="2"/>
                      <w:sz w:val="21"/>
                      <w:szCs w:val="21"/>
                      <w:lang w:val="en-US" w:eastAsia="zh-CN" w:bidi="ar"/>
                    </w:rPr>
                    <w:t>3.</w:t>
                  </w:r>
                  <w:r>
                    <w:rPr>
                      <w:rFonts w:hint="eastAsia" w:ascii="宋体" w:hAnsi="宋体" w:eastAsia="宋体" w:cs="宋体"/>
                      <w:b/>
                      <w:bCs/>
                      <w:color w:val="auto"/>
                      <w:kern w:val="2"/>
                      <w:sz w:val="21"/>
                      <w:szCs w:val="21"/>
                      <w:lang w:val="en-US" w:eastAsia="zh-CN" w:bidi="ar"/>
                    </w:rPr>
                    <w:t>深化</w:t>
                  </w:r>
                  <w:r>
                    <w:rPr>
                      <w:rFonts w:hint="default" w:ascii="Times New Roman" w:hAnsi="Times New Roman" w:eastAsia="宋体" w:cs="Times New Roman"/>
                      <w:b/>
                      <w:bCs/>
                      <w:color w:val="auto"/>
                      <w:kern w:val="2"/>
                      <w:sz w:val="21"/>
                      <w:szCs w:val="21"/>
                      <w:lang w:val="en-US" w:eastAsia="zh-CN" w:bidi="ar"/>
                    </w:rPr>
                    <w:t>VOCs</w:t>
                  </w:r>
                  <w:r>
                    <w:rPr>
                      <w:rFonts w:hint="eastAsia" w:ascii="宋体" w:hAnsi="宋体" w:eastAsia="宋体" w:cs="宋体"/>
                      <w:b/>
                      <w:bCs/>
                      <w:color w:val="auto"/>
                      <w:kern w:val="2"/>
                      <w:sz w:val="21"/>
                      <w:szCs w:val="21"/>
                      <w:lang w:val="en-US" w:eastAsia="zh-CN" w:bidi="ar"/>
                    </w:rPr>
                    <w:t>综合治理。</w:t>
                  </w:r>
                  <w:r>
                    <w:rPr>
                      <w:rFonts w:hint="eastAsia" w:ascii="宋体" w:hAnsi="宋体" w:eastAsia="宋体" w:cs="宋体"/>
                      <w:color w:val="auto"/>
                      <w:kern w:val="2"/>
                      <w:sz w:val="21"/>
                      <w:szCs w:val="21"/>
                      <w:lang w:val="en-US" w:eastAsia="zh-CN" w:bidi="ar"/>
                    </w:rPr>
                    <w:t>汽车、工程机械、家具制造、汽修、地坪等行业领域全面推广使用符合国家标准的低</w:t>
                  </w:r>
                  <w:r>
                    <w:rPr>
                      <w:rFonts w:hint="default" w:ascii="Times New Roman" w:hAnsi="Times New Roman" w:eastAsia="宋体" w:cs="Times New Roman"/>
                      <w:color w:val="auto"/>
                      <w:kern w:val="2"/>
                      <w:sz w:val="21"/>
                      <w:szCs w:val="21"/>
                      <w:lang w:val="en-US" w:eastAsia="zh-CN" w:bidi="ar"/>
                    </w:rPr>
                    <w:t>VOCs</w:t>
                  </w:r>
                  <w:r>
                    <w:rPr>
                      <w:rFonts w:hint="eastAsia" w:ascii="宋体" w:hAnsi="宋体" w:eastAsia="宋体" w:cs="宋体"/>
                      <w:color w:val="auto"/>
                      <w:kern w:val="2"/>
                      <w:sz w:val="21"/>
                      <w:szCs w:val="21"/>
                      <w:lang w:val="en-US" w:eastAsia="zh-CN" w:bidi="ar"/>
                    </w:rPr>
                    <w:t>含量产品，推动</w:t>
                  </w:r>
                  <w:r>
                    <w:rPr>
                      <w:rFonts w:hint="default" w:ascii="Times New Roman" w:hAnsi="Times New Roman" w:eastAsia="宋体" w:cs="Times New Roman"/>
                      <w:color w:val="auto"/>
                      <w:kern w:val="2"/>
                      <w:sz w:val="21"/>
                      <w:szCs w:val="21"/>
                      <w:lang w:val="en-US" w:eastAsia="zh-CN" w:bidi="ar"/>
                    </w:rPr>
                    <w:t>2500</w:t>
                  </w:r>
                  <w:r>
                    <w:rPr>
                      <w:rFonts w:hint="eastAsia" w:ascii="宋体" w:hAnsi="宋体" w:eastAsia="宋体" w:cs="宋体"/>
                      <w:color w:val="auto"/>
                      <w:kern w:val="2"/>
                      <w:sz w:val="21"/>
                      <w:szCs w:val="21"/>
                      <w:lang w:val="en-US" w:eastAsia="zh-CN" w:bidi="ar"/>
                    </w:rPr>
                    <w:t>家以上企业实施低</w:t>
                  </w:r>
                  <w:r>
                    <w:rPr>
                      <w:rFonts w:hint="default" w:ascii="Times New Roman" w:hAnsi="Times New Roman" w:eastAsia="宋体" w:cs="Times New Roman"/>
                      <w:color w:val="auto"/>
                      <w:kern w:val="2"/>
                      <w:sz w:val="21"/>
                      <w:szCs w:val="21"/>
                      <w:lang w:val="en-US" w:eastAsia="zh-CN" w:bidi="ar"/>
                    </w:rPr>
                    <w:t>VOCs</w:t>
                  </w:r>
                  <w:r>
                    <w:rPr>
                      <w:rFonts w:hint="eastAsia" w:ascii="宋体" w:hAnsi="宋体" w:eastAsia="宋体" w:cs="宋体"/>
                      <w:color w:val="auto"/>
                      <w:kern w:val="2"/>
                      <w:sz w:val="21"/>
                      <w:szCs w:val="21"/>
                      <w:lang w:val="en-US" w:eastAsia="zh-CN" w:bidi="ar"/>
                    </w:rPr>
                    <w:t>原辅材料替代。持续开展低效失效治理设施提升改造，强化无组织废气收集治理。加强油品、化学品储运销环节</w:t>
                  </w:r>
                  <w:r>
                    <w:rPr>
                      <w:rFonts w:hint="default" w:ascii="Times New Roman" w:hAnsi="Times New Roman" w:eastAsia="宋体" w:cs="Times New Roman"/>
                      <w:color w:val="auto"/>
                      <w:kern w:val="2"/>
                      <w:sz w:val="21"/>
                      <w:szCs w:val="21"/>
                      <w:lang w:val="en-US" w:eastAsia="zh-CN" w:bidi="ar"/>
                    </w:rPr>
                    <w:t>VOCs</w:t>
                  </w:r>
                  <w:r>
                    <w:rPr>
                      <w:rFonts w:hint="eastAsia" w:ascii="宋体" w:hAnsi="宋体" w:eastAsia="宋体" w:cs="宋体"/>
                      <w:color w:val="auto"/>
                      <w:kern w:val="2"/>
                      <w:sz w:val="21"/>
                      <w:szCs w:val="21"/>
                      <w:lang w:val="en-US" w:eastAsia="zh-CN" w:bidi="ar"/>
                    </w:rPr>
                    <w:t>治理。因地制宜建设集中喷涂等“绿岛”设施，推动中小微企业纳入活性炭集中再生服务网络，加强活性炭集中再生中心运营监管。</w:t>
                  </w:r>
                </w:p>
              </w:tc>
              <w:tc>
                <w:tcPr>
                  <w:tcW w:w="2749" w:type="dxa"/>
                  <w:tcBorders>
                    <w:top w:val="single" w:color="auto" w:sz="4" w:space="0"/>
                    <w:left w:val="nil"/>
                    <w:bottom w:val="single" w:color="auto" w:sz="4" w:space="0"/>
                    <w:right w:val="single" w:color="auto" w:sz="4" w:space="0"/>
                  </w:tcBorders>
                  <w:shd w:val="clear" w:color="auto" w:fill="auto"/>
                  <w:vAlign w:val="center"/>
                </w:tcPr>
                <w:p w14:paraId="533375F1">
                  <w:pPr>
                    <w:keepNext w:val="0"/>
                    <w:keepLines w:val="0"/>
                    <w:widowControl w:val="0"/>
                    <w:suppressLineNumbers w:val="0"/>
                    <w:spacing w:before="0" w:beforeAutospacing="0" w:after="0" w:afterAutospacing="0"/>
                    <w:ind w:left="0" w:right="0"/>
                    <w:jc w:val="both"/>
                    <w:rPr>
                      <w:rFonts w:hint="default" w:ascii="Times New Roman" w:hAnsi="Times New Roman" w:eastAsia="宋体" w:cs="Times New Roman"/>
                      <w:color w:val="auto"/>
                      <w:kern w:val="2"/>
                      <w:sz w:val="21"/>
                      <w:szCs w:val="21"/>
                    </w:rPr>
                  </w:pPr>
                  <w:r>
                    <w:rPr>
                      <w:rFonts w:hint="eastAsia" w:ascii="宋体" w:hAnsi="宋体" w:eastAsia="宋体" w:cs="宋体"/>
                      <w:color w:val="auto"/>
                      <w:kern w:val="2"/>
                      <w:sz w:val="21"/>
                      <w:szCs w:val="21"/>
                      <w:lang w:val="en-US" w:eastAsia="zh-CN" w:bidi="ar"/>
                    </w:rPr>
                    <w:t>本项目本项目行业类别为</w:t>
                  </w:r>
                  <w:r>
                    <w:rPr>
                      <w:rFonts w:hint="default" w:ascii="Times New Roman" w:hAnsi="Times New Roman" w:eastAsia="宋体" w:cs="Times New Roman"/>
                      <w:color w:val="auto"/>
                      <w:kern w:val="2"/>
                      <w:sz w:val="21"/>
                      <w:szCs w:val="21"/>
                      <w:lang w:val="en-US" w:eastAsia="zh-CN" w:bidi="ar"/>
                    </w:rPr>
                    <w:t>C3670汽车零部件及配件制造、C2929塑料零件及其他塑料制品制造、C3034隔热和隔音材料制造。</w:t>
                  </w:r>
                </w:p>
                <w:p w14:paraId="7D6F3A95">
                  <w:pPr>
                    <w:keepNext w:val="0"/>
                    <w:keepLines w:val="0"/>
                    <w:widowControl w:val="0"/>
                    <w:suppressLineNumbers w:val="0"/>
                    <w:spacing w:before="0" w:beforeAutospacing="0" w:after="0" w:afterAutospacing="0"/>
                    <w:ind w:left="0" w:right="0"/>
                    <w:jc w:val="both"/>
                    <w:rPr>
                      <w:rFonts w:hint="default" w:ascii="Times New Roman" w:hAnsi="Times New Roman" w:eastAsia="宋体" w:cs="Times New Roman"/>
                      <w:color w:val="auto"/>
                      <w:kern w:val="2"/>
                      <w:sz w:val="21"/>
                      <w:szCs w:val="21"/>
                      <w:lang w:val="en-US" w:eastAsia="zh-CN" w:bidi="ar"/>
                    </w:rPr>
                  </w:pPr>
                  <w:r>
                    <w:rPr>
                      <w:rFonts w:hint="default" w:ascii="Times New Roman" w:hAnsi="Times New Roman" w:eastAsia="宋体" w:cs="Times New Roman"/>
                      <w:color w:val="auto"/>
                      <w:kern w:val="2"/>
                      <w:sz w:val="21"/>
                      <w:szCs w:val="21"/>
                      <w:lang w:val="en-US" w:eastAsia="zh-CN" w:bidi="ar"/>
                    </w:rPr>
                    <w:t>本项目涉及VOCs产生的工艺为烘烤固化、背胶、贴合、真空热合、辅料成型工艺。①固化废气、背胶废气、辅料成型废气：本项目烘烤固化工序均为全密闭设备，在烘道进出口设置全密闭风罩，仅留进出口通道；本项目背胶贴合区整体密闭，在生产车间进行整体抽风，仅设置一个进出口，在非必要情况下也必须处于关闭状态，使生产车间整体处于相对密闭状态；本项目立式液态射出成型机运行过程保持加热段和成型段密闭，因此，废气仅在其物料完成成型工艺的出口散发，故拟在物料出口上方设置集气罩，以上废气经收集后通过一套水喷淋+干式过滤+二级活性炭吸附装置（TA001）处理，尾气由一根26m高的排气筒DA001排放。</w:t>
                  </w:r>
                </w:p>
                <w:p w14:paraId="0324B6BF">
                  <w:pPr>
                    <w:pStyle w:val="19"/>
                    <w:keepNext w:val="0"/>
                    <w:keepLines w:val="0"/>
                    <w:widowControl w:val="0"/>
                    <w:suppressLineNumbers w:val="0"/>
                    <w:spacing w:before="0" w:beforeAutospacing="0" w:after="0" w:afterAutospacing="0"/>
                    <w:ind w:left="0" w:leftChars="0" w:right="0" w:firstLine="0" w:firstLineChars="0"/>
                    <w:jc w:val="both"/>
                    <w:rPr>
                      <w:rFonts w:hint="default" w:ascii="Times New Roman" w:hAnsi="Times New Roman" w:eastAsia="宋体" w:cs="Times New Roman"/>
                      <w:color w:val="auto"/>
                      <w:kern w:val="2"/>
                      <w:sz w:val="21"/>
                      <w:szCs w:val="21"/>
                      <w:lang w:val="en-US" w:eastAsia="zh-CN" w:bidi="ar"/>
                    </w:rPr>
                  </w:pPr>
                  <w:r>
                    <w:rPr>
                      <w:rFonts w:hint="default" w:ascii="Times New Roman" w:hAnsi="Times New Roman" w:eastAsia="宋体" w:cs="Times New Roman"/>
                      <w:color w:val="auto"/>
                      <w:kern w:val="2"/>
                      <w:sz w:val="21"/>
                      <w:szCs w:val="21"/>
                      <w:lang w:val="en-US" w:eastAsia="zh-CN" w:bidi="ar"/>
                    </w:rPr>
                    <w:t>②贴合废气：产生的挥发废气量极少，不做定量分析，以无组织形式排放。</w:t>
                  </w:r>
                </w:p>
                <w:p w14:paraId="4B66AAE0">
                  <w:pPr>
                    <w:pStyle w:val="19"/>
                    <w:keepNext w:val="0"/>
                    <w:keepLines w:val="0"/>
                    <w:widowControl w:val="0"/>
                    <w:suppressLineNumbers w:val="0"/>
                    <w:spacing w:before="0" w:beforeAutospacing="0" w:after="0" w:afterAutospacing="0"/>
                    <w:ind w:left="0" w:leftChars="0" w:right="0" w:firstLine="0" w:firstLineChars="0"/>
                    <w:jc w:val="both"/>
                    <w:rPr>
                      <w:rFonts w:hint="eastAsia" w:ascii="宋体" w:hAnsi="宋体" w:eastAsia="宋体" w:cs="宋体"/>
                      <w:color w:val="auto"/>
                      <w:kern w:val="2"/>
                      <w:sz w:val="21"/>
                      <w:szCs w:val="21"/>
                      <w:lang w:val="en-US" w:eastAsia="zh-CN" w:bidi="ar"/>
                    </w:rPr>
                  </w:pPr>
                  <w:r>
                    <w:rPr>
                      <w:rFonts w:hint="default" w:ascii="Times New Roman" w:hAnsi="Times New Roman" w:eastAsia="宋体" w:cs="Times New Roman"/>
                      <w:color w:val="auto"/>
                      <w:kern w:val="2"/>
                      <w:sz w:val="21"/>
                      <w:szCs w:val="21"/>
                      <w:lang w:val="en-US" w:eastAsia="zh-CN" w:bidi="ar"/>
                    </w:rPr>
                    <w:t>③真空热合废气：非甲烷总烃的产生量</w:t>
                  </w:r>
                  <w:r>
                    <w:rPr>
                      <w:rFonts w:hint="eastAsia" w:ascii="宋体" w:hAnsi="宋体" w:eastAsia="宋体" w:cs="宋体"/>
                      <w:color w:val="auto"/>
                      <w:kern w:val="2"/>
                      <w:sz w:val="21"/>
                      <w:szCs w:val="21"/>
                      <w:lang w:val="en-US" w:eastAsia="zh-CN" w:bidi="ar"/>
                    </w:rPr>
                    <w:t>和产生速率均较小，故真空热合过程产生的废气对环境影响较小，以无组织形式排放。</w:t>
                  </w:r>
                </w:p>
                <w:p w14:paraId="4CFB55CE">
                  <w:pPr>
                    <w:pStyle w:val="19"/>
                    <w:keepNext w:val="0"/>
                    <w:keepLines w:val="0"/>
                    <w:widowControl w:val="0"/>
                    <w:suppressLineNumbers w:val="0"/>
                    <w:spacing w:before="0" w:beforeAutospacing="0" w:after="0" w:afterAutospacing="0"/>
                    <w:ind w:left="0" w:leftChars="0" w:right="0" w:firstLine="0" w:firstLineChars="0"/>
                    <w:jc w:val="both"/>
                    <w:rPr>
                      <w:rFonts w:hint="default" w:ascii="Times New Roman" w:hAnsi="Times New Roman" w:eastAsia="宋体" w:cs="Times New Roman"/>
                      <w:color w:val="auto"/>
                      <w:kern w:val="2"/>
                      <w:sz w:val="21"/>
                      <w:szCs w:val="21"/>
                    </w:rPr>
                  </w:pPr>
                  <w:r>
                    <w:rPr>
                      <w:rFonts w:hint="eastAsia" w:ascii="宋体" w:hAnsi="宋体" w:eastAsia="宋体" w:cs="宋体"/>
                      <w:color w:val="auto"/>
                      <w:kern w:val="2"/>
                      <w:sz w:val="21"/>
                      <w:szCs w:val="21"/>
                      <w:lang w:val="en-US" w:eastAsia="zh-CN" w:bidi="ar"/>
                    </w:rPr>
                    <w:t>本项目产生的废活性炭集中收集后委托有资质的活性炭再生中心处置。</w:t>
                  </w:r>
                </w:p>
              </w:tc>
              <w:tc>
                <w:tcPr>
                  <w:tcW w:w="699" w:type="dxa"/>
                  <w:tcBorders>
                    <w:top w:val="single" w:color="auto" w:sz="4" w:space="0"/>
                    <w:left w:val="nil"/>
                    <w:bottom w:val="single" w:color="auto" w:sz="4" w:space="0"/>
                    <w:right w:val="single" w:color="auto" w:sz="4" w:space="0"/>
                  </w:tcBorders>
                  <w:shd w:val="clear" w:color="auto" w:fill="auto"/>
                  <w:vAlign w:val="center"/>
                </w:tcPr>
                <w:p w14:paraId="38EE87CE">
                  <w:pPr>
                    <w:keepNext w:val="0"/>
                    <w:keepLines w:val="0"/>
                    <w:widowControl w:val="0"/>
                    <w:suppressLineNumbers w:val="0"/>
                    <w:spacing w:before="0" w:beforeAutospacing="0" w:after="0" w:afterAutospacing="0"/>
                    <w:ind w:left="0" w:right="0"/>
                    <w:jc w:val="center"/>
                    <w:rPr>
                      <w:rFonts w:hint="eastAsia" w:ascii="Times New Roman" w:hAnsi="Times New Roman" w:eastAsia="宋体" w:cs="Times New Roman"/>
                      <w:color w:val="auto"/>
                      <w:kern w:val="2"/>
                      <w:sz w:val="21"/>
                      <w:szCs w:val="21"/>
                    </w:rPr>
                  </w:pPr>
                  <w:r>
                    <w:rPr>
                      <w:rFonts w:hint="eastAsia" w:ascii="宋体" w:hAnsi="宋体" w:eastAsia="宋体" w:cs="宋体"/>
                      <w:color w:val="auto"/>
                      <w:kern w:val="2"/>
                      <w:sz w:val="21"/>
                      <w:szCs w:val="21"/>
                      <w:lang w:val="en-US" w:eastAsia="zh-CN" w:bidi="ar"/>
                    </w:rPr>
                    <w:t>符合</w:t>
                  </w:r>
                </w:p>
              </w:tc>
            </w:tr>
            <w:tr w14:paraId="620DA1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397" w:hRule="atLeast"/>
                <w:jc w:val="center"/>
              </w:trPr>
              <w:tc>
                <w:tcPr>
                  <w:tcW w:w="441" w:type="dxa"/>
                  <w:vMerge w:val="continue"/>
                  <w:tcBorders>
                    <w:top w:val="nil"/>
                    <w:left w:val="single" w:color="auto" w:sz="4" w:space="0"/>
                    <w:bottom w:val="single" w:color="auto" w:sz="4" w:space="0"/>
                    <w:right w:val="single" w:color="auto" w:sz="4" w:space="0"/>
                  </w:tcBorders>
                  <w:shd w:val="clear" w:color="auto" w:fill="auto"/>
                  <w:vAlign w:val="center"/>
                </w:tcPr>
                <w:p w14:paraId="49A5C1B5">
                  <w:pPr>
                    <w:keepNext w:val="0"/>
                    <w:keepLines w:val="0"/>
                    <w:suppressLineNumbers w:val="0"/>
                    <w:spacing w:before="0" w:beforeAutospacing="0" w:after="0" w:afterAutospacing="0"/>
                    <w:ind w:left="0" w:right="0"/>
                    <w:jc w:val="both"/>
                    <w:rPr>
                      <w:rFonts w:hint="default" w:ascii="Times New Roman" w:hAnsi="Times New Roman" w:cs="Times New Roman"/>
                      <w:color w:val="auto"/>
                      <w:sz w:val="20"/>
                      <w:szCs w:val="20"/>
                    </w:rPr>
                  </w:pPr>
                </w:p>
              </w:tc>
              <w:tc>
                <w:tcPr>
                  <w:tcW w:w="4089" w:type="dxa"/>
                  <w:tcBorders>
                    <w:top w:val="single" w:color="auto" w:sz="4" w:space="0"/>
                    <w:left w:val="nil"/>
                    <w:bottom w:val="single" w:color="auto" w:sz="4" w:space="0"/>
                    <w:right w:val="single" w:color="auto" w:sz="4" w:space="0"/>
                  </w:tcBorders>
                  <w:shd w:val="clear" w:color="auto" w:fill="auto"/>
                  <w:vAlign w:val="center"/>
                </w:tcPr>
                <w:p w14:paraId="53A8F509">
                  <w:pPr>
                    <w:keepNext w:val="0"/>
                    <w:keepLines w:val="0"/>
                    <w:widowControl w:val="0"/>
                    <w:suppressLineNumbers w:val="0"/>
                    <w:spacing w:before="0" w:beforeAutospacing="0" w:after="0" w:afterAutospacing="0"/>
                    <w:ind w:left="0" w:right="0"/>
                    <w:jc w:val="center"/>
                    <w:rPr>
                      <w:rFonts w:hint="default" w:ascii="Times New Roman" w:hAnsi="Times New Roman" w:eastAsia="宋体" w:cs="Times New Roman"/>
                      <w:color w:val="auto"/>
                      <w:kern w:val="2"/>
                      <w:sz w:val="21"/>
                      <w:szCs w:val="21"/>
                    </w:rPr>
                  </w:pPr>
                  <w:r>
                    <w:rPr>
                      <w:rFonts w:hint="default" w:ascii="Times New Roman" w:hAnsi="Times New Roman" w:eastAsia="宋体" w:cs="Times New Roman"/>
                      <w:b/>
                      <w:bCs/>
                      <w:color w:val="auto"/>
                      <w:kern w:val="2"/>
                      <w:sz w:val="21"/>
                      <w:szCs w:val="21"/>
                      <w:lang w:val="en-US" w:eastAsia="zh-CN" w:bidi="ar"/>
                    </w:rPr>
                    <w:t>4.</w:t>
                  </w:r>
                  <w:r>
                    <w:rPr>
                      <w:rFonts w:hint="eastAsia" w:ascii="宋体" w:hAnsi="宋体" w:eastAsia="宋体" w:cs="宋体"/>
                      <w:b/>
                      <w:bCs/>
                      <w:color w:val="auto"/>
                      <w:kern w:val="2"/>
                      <w:sz w:val="21"/>
                      <w:szCs w:val="21"/>
                      <w:lang w:val="en-US" w:eastAsia="zh-CN" w:bidi="ar"/>
                    </w:rPr>
                    <w:t>推进重点行业绩效提级。</w:t>
                  </w:r>
                  <w:r>
                    <w:rPr>
                      <w:rFonts w:hint="eastAsia" w:ascii="宋体" w:hAnsi="宋体" w:eastAsia="宋体" w:cs="宋体"/>
                      <w:color w:val="auto"/>
                      <w:kern w:val="2"/>
                      <w:sz w:val="21"/>
                      <w:szCs w:val="21"/>
                      <w:lang w:val="en-US" w:eastAsia="zh-CN" w:bidi="ar"/>
                    </w:rPr>
                    <w:t>大力实施重点行业大气环境绩效提升行动，培育一批绩效先进企业。着力推动煤电、热电、钢铁、水泥、玻璃、石化、化工、纺织、化纤、生活垃圾焚烧等十大行业企业绩效创</w:t>
                  </w:r>
                  <w:r>
                    <w:rPr>
                      <w:rFonts w:hint="default" w:ascii="Times New Roman" w:hAnsi="Times New Roman" w:eastAsia="宋体" w:cs="Times New Roman"/>
                      <w:color w:val="auto"/>
                      <w:kern w:val="2"/>
                      <w:sz w:val="21"/>
                      <w:szCs w:val="21"/>
                      <w:lang w:val="en-US" w:eastAsia="zh-CN" w:bidi="ar"/>
                    </w:rPr>
                    <w:t>A</w:t>
                  </w:r>
                  <w:r>
                    <w:rPr>
                      <w:rFonts w:hint="eastAsia" w:ascii="宋体" w:hAnsi="宋体" w:eastAsia="宋体" w:cs="宋体"/>
                      <w:color w:val="auto"/>
                      <w:kern w:val="2"/>
                      <w:sz w:val="21"/>
                      <w:szCs w:val="21"/>
                      <w:lang w:val="en-US" w:eastAsia="zh-CN" w:bidi="ar"/>
                    </w:rPr>
                    <w:t>，积极推进工业涂装等</w:t>
                  </w:r>
                  <w:r>
                    <w:rPr>
                      <w:rFonts w:hint="default" w:ascii="Times New Roman" w:hAnsi="Times New Roman" w:eastAsia="宋体" w:cs="Times New Roman"/>
                      <w:color w:val="auto"/>
                      <w:kern w:val="2"/>
                      <w:sz w:val="21"/>
                      <w:szCs w:val="21"/>
                      <w:lang w:val="en-US" w:eastAsia="zh-CN" w:bidi="ar"/>
                    </w:rPr>
                    <w:t>29</w:t>
                  </w:r>
                  <w:r>
                    <w:rPr>
                      <w:rFonts w:hint="eastAsia" w:ascii="宋体" w:hAnsi="宋体" w:eastAsia="宋体" w:cs="宋体"/>
                      <w:color w:val="auto"/>
                      <w:kern w:val="2"/>
                      <w:sz w:val="21"/>
                      <w:szCs w:val="21"/>
                      <w:lang w:val="en-US" w:eastAsia="zh-CN" w:bidi="ar"/>
                    </w:rPr>
                    <w:t>个其他重点行业企业绩效提级，到</w:t>
                  </w:r>
                  <w:r>
                    <w:rPr>
                      <w:rFonts w:hint="default" w:ascii="Times New Roman" w:hAnsi="Times New Roman" w:eastAsia="宋体" w:cs="Times New Roman"/>
                      <w:color w:val="auto"/>
                      <w:kern w:val="2"/>
                      <w:sz w:val="21"/>
                      <w:szCs w:val="21"/>
                      <w:lang w:val="en-US" w:eastAsia="zh-CN" w:bidi="ar"/>
                    </w:rPr>
                    <w:t>2030</w:t>
                  </w:r>
                  <w:r>
                    <w:rPr>
                      <w:rFonts w:hint="eastAsia" w:ascii="宋体" w:hAnsi="宋体" w:eastAsia="宋体" w:cs="宋体"/>
                      <w:color w:val="auto"/>
                      <w:kern w:val="2"/>
                      <w:sz w:val="21"/>
                      <w:szCs w:val="21"/>
                      <w:lang w:val="en-US" w:eastAsia="zh-CN" w:bidi="ar"/>
                    </w:rPr>
                    <w:t>年，累计培育绩效先进企业</w:t>
                  </w:r>
                  <w:r>
                    <w:rPr>
                      <w:rFonts w:hint="default" w:ascii="Times New Roman" w:hAnsi="Times New Roman" w:eastAsia="宋体" w:cs="Times New Roman"/>
                      <w:color w:val="auto"/>
                      <w:kern w:val="2"/>
                      <w:sz w:val="21"/>
                      <w:szCs w:val="21"/>
                      <w:lang w:val="en-US" w:eastAsia="zh-CN" w:bidi="ar"/>
                    </w:rPr>
                    <w:t>2000</w:t>
                  </w:r>
                  <w:r>
                    <w:rPr>
                      <w:rFonts w:hint="eastAsia" w:ascii="宋体" w:hAnsi="宋体" w:eastAsia="宋体" w:cs="宋体"/>
                      <w:color w:val="auto"/>
                      <w:kern w:val="2"/>
                      <w:sz w:val="21"/>
                      <w:szCs w:val="21"/>
                      <w:lang w:val="en-US" w:eastAsia="zh-CN" w:bidi="ar"/>
                    </w:rPr>
                    <w:t>家，建成绩效</w:t>
                  </w:r>
                  <w:r>
                    <w:rPr>
                      <w:rFonts w:hint="default" w:ascii="Times New Roman" w:hAnsi="Times New Roman" w:eastAsia="宋体" w:cs="Times New Roman"/>
                      <w:color w:val="auto"/>
                      <w:kern w:val="2"/>
                      <w:sz w:val="21"/>
                      <w:szCs w:val="21"/>
                      <w:lang w:val="en-US" w:eastAsia="zh-CN" w:bidi="ar"/>
                    </w:rPr>
                    <w:t>A</w:t>
                  </w:r>
                  <w:r>
                    <w:rPr>
                      <w:rFonts w:hint="eastAsia" w:ascii="宋体" w:hAnsi="宋体" w:eastAsia="宋体" w:cs="宋体"/>
                      <w:color w:val="auto"/>
                      <w:kern w:val="2"/>
                      <w:sz w:val="21"/>
                      <w:szCs w:val="21"/>
                      <w:lang w:val="en-US" w:eastAsia="zh-CN" w:bidi="ar"/>
                    </w:rPr>
                    <w:t>级企业</w:t>
                  </w:r>
                  <w:r>
                    <w:rPr>
                      <w:rFonts w:hint="default" w:ascii="Times New Roman" w:hAnsi="Times New Roman" w:eastAsia="宋体" w:cs="Times New Roman"/>
                      <w:color w:val="auto"/>
                      <w:kern w:val="2"/>
                      <w:sz w:val="21"/>
                      <w:szCs w:val="21"/>
                      <w:lang w:val="en-US" w:eastAsia="zh-CN" w:bidi="ar"/>
                    </w:rPr>
                    <w:t>400</w:t>
                  </w:r>
                  <w:r>
                    <w:rPr>
                      <w:rFonts w:hint="eastAsia" w:ascii="宋体" w:hAnsi="宋体" w:eastAsia="宋体" w:cs="宋体"/>
                      <w:color w:val="auto"/>
                      <w:kern w:val="2"/>
                      <w:sz w:val="21"/>
                      <w:szCs w:val="21"/>
                      <w:lang w:val="en-US" w:eastAsia="zh-CN" w:bidi="ar"/>
                    </w:rPr>
                    <w:t>家。</w:t>
                  </w:r>
                </w:p>
              </w:tc>
              <w:tc>
                <w:tcPr>
                  <w:tcW w:w="2749" w:type="dxa"/>
                  <w:tcBorders>
                    <w:top w:val="single" w:color="auto" w:sz="4" w:space="0"/>
                    <w:left w:val="nil"/>
                    <w:bottom w:val="single" w:color="auto" w:sz="4" w:space="0"/>
                    <w:right w:val="single" w:color="auto" w:sz="4" w:space="0"/>
                  </w:tcBorders>
                  <w:shd w:val="clear" w:color="auto" w:fill="auto"/>
                  <w:vAlign w:val="center"/>
                </w:tcPr>
                <w:p w14:paraId="32C1C8E0">
                  <w:pPr>
                    <w:keepNext w:val="0"/>
                    <w:keepLines w:val="0"/>
                    <w:widowControl w:val="0"/>
                    <w:suppressLineNumbers w:val="0"/>
                    <w:spacing w:before="0" w:beforeAutospacing="0" w:after="0" w:afterAutospacing="0"/>
                    <w:ind w:left="0" w:right="0"/>
                    <w:jc w:val="center"/>
                    <w:rPr>
                      <w:rFonts w:hint="default" w:ascii="Times New Roman" w:hAnsi="Times New Roman" w:eastAsia="宋体" w:cs="Times New Roman"/>
                      <w:color w:val="auto"/>
                      <w:kern w:val="2"/>
                      <w:sz w:val="21"/>
                      <w:szCs w:val="21"/>
                    </w:rPr>
                  </w:pPr>
                  <w:r>
                    <w:rPr>
                      <w:rFonts w:hint="eastAsia" w:ascii="宋体" w:hAnsi="宋体" w:eastAsia="宋体" w:cs="宋体"/>
                      <w:color w:val="auto"/>
                      <w:kern w:val="2"/>
                      <w:sz w:val="21"/>
                      <w:szCs w:val="21"/>
                      <w:lang w:val="en-US" w:eastAsia="zh-CN" w:bidi="ar"/>
                    </w:rPr>
                    <w:t>本项目行业类别为</w:t>
                  </w:r>
                  <w:r>
                    <w:rPr>
                      <w:rFonts w:hint="default" w:ascii="Times New Roman" w:hAnsi="Times New Roman" w:eastAsia="宋体" w:cs="Times New Roman"/>
                      <w:color w:val="auto"/>
                      <w:kern w:val="2"/>
                      <w:sz w:val="21"/>
                      <w:szCs w:val="21"/>
                      <w:lang w:val="en-US" w:eastAsia="zh-CN" w:bidi="ar"/>
                    </w:rPr>
                    <w:t>C3670汽车零部件及配件制造、C2929塑料零件及其他塑料制品制造、C3034隔热和隔音材料制造</w:t>
                  </w:r>
                  <w:r>
                    <w:rPr>
                      <w:rFonts w:hint="eastAsia" w:ascii="宋体" w:hAnsi="宋体" w:eastAsia="宋体" w:cs="宋体"/>
                      <w:color w:val="auto"/>
                      <w:kern w:val="2"/>
                      <w:sz w:val="21"/>
                      <w:szCs w:val="21"/>
                      <w:lang w:val="en-US" w:eastAsia="zh-CN" w:bidi="ar"/>
                    </w:rPr>
                    <w:t>，不属于煤电、热电、钢铁、水泥、玻璃、石化、化工、纺织、化纤、生活垃圾焚烧等十大行业。企业承诺投产后主动开展大气绩效分级申报、对标创建绩效先进企业。</w:t>
                  </w:r>
                </w:p>
              </w:tc>
              <w:tc>
                <w:tcPr>
                  <w:tcW w:w="699" w:type="dxa"/>
                  <w:tcBorders>
                    <w:top w:val="single" w:color="auto" w:sz="4" w:space="0"/>
                    <w:left w:val="nil"/>
                    <w:bottom w:val="single" w:color="auto" w:sz="4" w:space="0"/>
                    <w:right w:val="single" w:color="auto" w:sz="4" w:space="0"/>
                  </w:tcBorders>
                  <w:shd w:val="clear" w:color="auto" w:fill="auto"/>
                  <w:vAlign w:val="center"/>
                </w:tcPr>
                <w:p w14:paraId="226F5D0A">
                  <w:pPr>
                    <w:keepNext w:val="0"/>
                    <w:keepLines w:val="0"/>
                    <w:widowControl w:val="0"/>
                    <w:suppressLineNumbers w:val="0"/>
                    <w:spacing w:before="0" w:beforeAutospacing="0" w:after="0" w:afterAutospacing="0"/>
                    <w:ind w:left="0" w:right="0"/>
                    <w:jc w:val="center"/>
                    <w:rPr>
                      <w:rFonts w:hint="eastAsia" w:ascii="Times New Roman" w:hAnsi="Times New Roman" w:eastAsia="宋体" w:cs="Times New Roman"/>
                      <w:color w:val="auto"/>
                      <w:kern w:val="2"/>
                      <w:sz w:val="21"/>
                      <w:szCs w:val="21"/>
                    </w:rPr>
                  </w:pPr>
                  <w:r>
                    <w:rPr>
                      <w:rFonts w:hint="eastAsia" w:ascii="宋体" w:hAnsi="宋体" w:eastAsia="宋体" w:cs="宋体"/>
                      <w:color w:val="auto"/>
                      <w:kern w:val="2"/>
                      <w:sz w:val="21"/>
                      <w:szCs w:val="21"/>
                      <w:lang w:val="en-US" w:eastAsia="zh-CN" w:bidi="ar"/>
                    </w:rPr>
                    <w:t>符合</w:t>
                  </w:r>
                </w:p>
              </w:tc>
            </w:tr>
            <w:tr w14:paraId="13CC35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441" w:type="dxa"/>
                  <w:vMerge w:val="restart"/>
                  <w:tcBorders>
                    <w:top w:val="nil"/>
                    <w:left w:val="single" w:color="auto" w:sz="4" w:space="0"/>
                    <w:bottom w:val="single" w:color="auto" w:sz="4" w:space="0"/>
                    <w:right w:val="single" w:color="auto" w:sz="4" w:space="0"/>
                  </w:tcBorders>
                  <w:shd w:val="clear" w:color="auto" w:fill="auto"/>
                  <w:vAlign w:val="center"/>
                </w:tcPr>
                <w:p w14:paraId="2570EFCE">
                  <w:pPr>
                    <w:keepNext w:val="0"/>
                    <w:keepLines w:val="0"/>
                    <w:widowControl w:val="0"/>
                    <w:suppressLineNumbers w:val="0"/>
                    <w:spacing w:before="0" w:beforeAutospacing="0" w:after="0" w:afterAutospacing="0"/>
                    <w:ind w:left="0" w:right="0"/>
                    <w:jc w:val="both"/>
                    <w:rPr>
                      <w:rFonts w:hint="default" w:ascii="Times New Roman" w:hAnsi="Times New Roman" w:eastAsia="宋体" w:cs="Times New Roman"/>
                      <w:color w:val="auto"/>
                      <w:kern w:val="2"/>
                      <w:sz w:val="20"/>
                      <w:szCs w:val="20"/>
                    </w:rPr>
                  </w:pPr>
                  <w:r>
                    <w:rPr>
                      <w:rFonts w:hint="eastAsia" w:ascii="宋体" w:hAnsi="宋体" w:eastAsia="宋体" w:cs="宋体"/>
                      <w:color w:val="auto"/>
                      <w:kern w:val="2"/>
                      <w:sz w:val="20"/>
                      <w:szCs w:val="20"/>
                      <w:lang w:val="en-US" w:eastAsia="zh-CN" w:bidi="ar"/>
                    </w:rPr>
                    <w:t>加强面源污染治理</w:t>
                  </w:r>
                </w:p>
              </w:tc>
              <w:tc>
                <w:tcPr>
                  <w:tcW w:w="4089" w:type="dxa"/>
                  <w:tcBorders>
                    <w:top w:val="single" w:color="auto" w:sz="4" w:space="0"/>
                    <w:left w:val="nil"/>
                    <w:bottom w:val="single" w:color="auto" w:sz="4" w:space="0"/>
                    <w:right w:val="single" w:color="auto" w:sz="4" w:space="0"/>
                  </w:tcBorders>
                  <w:shd w:val="clear" w:color="auto" w:fill="auto"/>
                  <w:vAlign w:val="center"/>
                </w:tcPr>
                <w:p w14:paraId="5AD45248">
                  <w:pPr>
                    <w:keepNext w:val="0"/>
                    <w:keepLines w:val="0"/>
                    <w:widowControl w:val="0"/>
                    <w:suppressLineNumbers w:val="0"/>
                    <w:spacing w:before="0" w:beforeAutospacing="0" w:after="0" w:afterAutospacing="0"/>
                    <w:ind w:left="0" w:right="0"/>
                    <w:jc w:val="center"/>
                    <w:rPr>
                      <w:rFonts w:hint="default" w:ascii="Times New Roman" w:hAnsi="Times New Roman" w:eastAsia="宋体" w:cs="Times New Roman"/>
                      <w:color w:val="auto"/>
                      <w:kern w:val="2"/>
                      <w:sz w:val="21"/>
                      <w:szCs w:val="21"/>
                    </w:rPr>
                  </w:pPr>
                  <w:r>
                    <w:rPr>
                      <w:rFonts w:hint="default" w:ascii="Times New Roman" w:hAnsi="Times New Roman" w:eastAsia="宋体" w:cs="Times New Roman"/>
                      <w:b/>
                      <w:bCs/>
                      <w:color w:val="auto"/>
                      <w:kern w:val="2"/>
                      <w:sz w:val="21"/>
                      <w:szCs w:val="21"/>
                      <w:lang w:val="en-US" w:eastAsia="zh-CN" w:bidi="ar"/>
                    </w:rPr>
                    <w:t>1.</w:t>
                  </w:r>
                  <w:r>
                    <w:rPr>
                      <w:rFonts w:hint="eastAsia" w:ascii="宋体" w:hAnsi="宋体" w:eastAsia="宋体" w:cs="宋体"/>
                      <w:b/>
                      <w:bCs/>
                      <w:color w:val="auto"/>
                      <w:kern w:val="2"/>
                      <w:sz w:val="21"/>
                      <w:szCs w:val="21"/>
                      <w:lang w:val="en-US" w:eastAsia="zh-CN" w:bidi="ar"/>
                    </w:rPr>
                    <w:t>加强扬尘精细化管控。</w:t>
                  </w:r>
                  <w:r>
                    <w:rPr>
                      <w:rFonts w:hint="eastAsia" w:ascii="宋体" w:hAnsi="宋体" w:eastAsia="宋体" w:cs="宋体"/>
                      <w:color w:val="auto"/>
                      <w:kern w:val="2"/>
                      <w:sz w:val="21"/>
                      <w:szCs w:val="21"/>
                      <w:lang w:val="en-US" w:eastAsia="zh-CN" w:bidi="ar"/>
                    </w:rPr>
                    <w:t>加强施工场地、道路、堆场、裸露土地、矿山等扬尘精细化管控。城市施工扬尘污染防控一类项目占比达</w:t>
                  </w:r>
                  <w:r>
                    <w:rPr>
                      <w:rFonts w:hint="default" w:ascii="Times New Roman" w:hAnsi="Times New Roman" w:eastAsia="宋体" w:cs="Times New Roman"/>
                      <w:color w:val="auto"/>
                      <w:kern w:val="2"/>
                      <w:sz w:val="21"/>
                      <w:szCs w:val="21"/>
                      <w:lang w:val="en-US" w:eastAsia="zh-CN" w:bidi="ar"/>
                    </w:rPr>
                    <w:t>70%</w:t>
                  </w:r>
                  <w:r>
                    <w:rPr>
                      <w:rFonts w:hint="eastAsia" w:ascii="宋体" w:hAnsi="宋体" w:eastAsia="宋体" w:cs="宋体"/>
                      <w:color w:val="auto"/>
                      <w:kern w:val="2"/>
                      <w:sz w:val="21"/>
                      <w:szCs w:val="21"/>
                      <w:lang w:val="en-US" w:eastAsia="zh-CN" w:bidi="ar"/>
                    </w:rPr>
                    <w:t>以上，推动基坑气膜在施工扬尘防控中的应用。大力发展装配式建筑，到</w:t>
                  </w:r>
                  <w:r>
                    <w:rPr>
                      <w:rFonts w:hint="default" w:ascii="Times New Roman" w:hAnsi="Times New Roman" w:eastAsia="宋体" w:cs="Times New Roman"/>
                      <w:color w:val="auto"/>
                      <w:kern w:val="2"/>
                      <w:sz w:val="21"/>
                      <w:szCs w:val="21"/>
                      <w:lang w:val="en-US" w:eastAsia="zh-CN" w:bidi="ar"/>
                    </w:rPr>
                    <w:t>2030</w:t>
                  </w:r>
                  <w:r>
                    <w:rPr>
                      <w:rFonts w:hint="eastAsia" w:ascii="宋体" w:hAnsi="宋体" w:eastAsia="宋体" w:cs="宋体"/>
                      <w:color w:val="auto"/>
                      <w:kern w:val="2"/>
                      <w:sz w:val="21"/>
                      <w:szCs w:val="21"/>
                      <w:lang w:val="en-US" w:eastAsia="zh-CN" w:bidi="ar"/>
                    </w:rPr>
                    <w:t>年，装配式建筑占新建建筑面积比例达</w:t>
                  </w:r>
                  <w:r>
                    <w:rPr>
                      <w:rFonts w:hint="default" w:ascii="Times New Roman" w:hAnsi="Times New Roman" w:eastAsia="宋体" w:cs="Times New Roman"/>
                      <w:color w:val="auto"/>
                      <w:kern w:val="2"/>
                      <w:sz w:val="21"/>
                      <w:szCs w:val="21"/>
                      <w:lang w:val="en-US" w:eastAsia="zh-CN" w:bidi="ar"/>
                    </w:rPr>
                    <w:t>50%</w:t>
                  </w:r>
                  <w:r>
                    <w:rPr>
                      <w:rFonts w:hint="eastAsia" w:ascii="宋体" w:hAnsi="宋体" w:eastAsia="宋体" w:cs="宋体"/>
                      <w:color w:val="auto"/>
                      <w:kern w:val="2"/>
                      <w:sz w:val="21"/>
                      <w:szCs w:val="21"/>
                      <w:lang w:val="en-US" w:eastAsia="zh-CN" w:bidi="ar"/>
                    </w:rPr>
                    <w:t>以上。提高城乡道路机械化清扫率，到</w:t>
                  </w:r>
                  <w:r>
                    <w:rPr>
                      <w:rFonts w:hint="default" w:ascii="Times New Roman" w:hAnsi="Times New Roman" w:eastAsia="宋体" w:cs="Times New Roman"/>
                      <w:color w:val="auto"/>
                      <w:kern w:val="2"/>
                      <w:sz w:val="21"/>
                      <w:szCs w:val="21"/>
                      <w:lang w:val="en-US" w:eastAsia="zh-CN" w:bidi="ar"/>
                    </w:rPr>
                    <w:t>2030</w:t>
                  </w:r>
                  <w:r>
                    <w:rPr>
                      <w:rFonts w:hint="eastAsia" w:ascii="宋体" w:hAnsi="宋体" w:eastAsia="宋体" w:cs="宋体"/>
                      <w:color w:val="auto"/>
                      <w:kern w:val="2"/>
                      <w:sz w:val="21"/>
                      <w:szCs w:val="21"/>
                      <w:lang w:val="en-US" w:eastAsia="zh-CN" w:bidi="ar"/>
                    </w:rPr>
                    <w:t>年，设区城市建成区达</w:t>
                  </w:r>
                  <w:r>
                    <w:rPr>
                      <w:rFonts w:hint="default" w:ascii="Times New Roman" w:hAnsi="Times New Roman" w:eastAsia="宋体" w:cs="Times New Roman"/>
                      <w:color w:val="auto"/>
                      <w:kern w:val="2"/>
                      <w:sz w:val="21"/>
                      <w:szCs w:val="21"/>
                      <w:lang w:val="en-US" w:eastAsia="zh-CN" w:bidi="ar"/>
                    </w:rPr>
                    <w:t>95%</w:t>
                  </w:r>
                  <w:r>
                    <w:rPr>
                      <w:rFonts w:hint="eastAsia" w:ascii="宋体" w:hAnsi="宋体" w:eastAsia="宋体" w:cs="宋体"/>
                      <w:color w:val="auto"/>
                      <w:kern w:val="2"/>
                      <w:sz w:val="21"/>
                      <w:szCs w:val="21"/>
                      <w:lang w:val="en-US" w:eastAsia="zh-CN" w:bidi="ar"/>
                    </w:rPr>
                    <w:t>以上、县（市）建成区达</w:t>
                  </w:r>
                  <w:r>
                    <w:rPr>
                      <w:rFonts w:hint="default" w:ascii="Times New Roman" w:hAnsi="Times New Roman" w:eastAsia="宋体" w:cs="Times New Roman"/>
                      <w:color w:val="auto"/>
                      <w:kern w:val="2"/>
                      <w:sz w:val="21"/>
                      <w:szCs w:val="21"/>
                      <w:lang w:val="en-US" w:eastAsia="zh-CN" w:bidi="ar"/>
                    </w:rPr>
                    <w:t>90%</w:t>
                  </w:r>
                  <w:r>
                    <w:rPr>
                      <w:rFonts w:hint="eastAsia" w:ascii="宋体" w:hAnsi="宋体" w:eastAsia="宋体" w:cs="宋体"/>
                      <w:color w:val="auto"/>
                      <w:kern w:val="2"/>
                      <w:sz w:val="21"/>
                      <w:szCs w:val="21"/>
                      <w:lang w:val="en-US" w:eastAsia="zh-CN" w:bidi="ar"/>
                    </w:rPr>
                    <w:t>以上。加强干散货码头、物料堆场、裸露土地扬尘排查治理，推动封闭式抑尘设施建设。</w:t>
                  </w:r>
                </w:p>
              </w:tc>
              <w:tc>
                <w:tcPr>
                  <w:tcW w:w="2749" w:type="dxa"/>
                  <w:tcBorders>
                    <w:top w:val="single" w:color="auto" w:sz="4" w:space="0"/>
                    <w:left w:val="nil"/>
                    <w:bottom w:val="single" w:color="auto" w:sz="4" w:space="0"/>
                    <w:right w:val="single" w:color="auto" w:sz="4" w:space="0"/>
                  </w:tcBorders>
                  <w:shd w:val="clear" w:color="auto" w:fill="auto"/>
                  <w:vAlign w:val="center"/>
                </w:tcPr>
                <w:p w14:paraId="38A0D499">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宋体" w:cs="Times New Roman"/>
                      <w:color w:val="auto"/>
                      <w:kern w:val="2"/>
                      <w:sz w:val="21"/>
                      <w:szCs w:val="21"/>
                    </w:rPr>
                  </w:pPr>
                  <w:r>
                    <w:rPr>
                      <w:rFonts w:hint="eastAsia" w:ascii="宋体" w:hAnsi="宋体" w:eastAsia="宋体" w:cs="宋体"/>
                      <w:color w:val="auto"/>
                      <w:kern w:val="2"/>
                      <w:sz w:val="21"/>
                      <w:szCs w:val="21"/>
                      <w:lang w:val="en-US" w:eastAsia="zh-CN" w:bidi="ar"/>
                    </w:rPr>
                    <w:t>本项目不涉及。</w:t>
                  </w:r>
                </w:p>
              </w:tc>
              <w:tc>
                <w:tcPr>
                  <w:tcW w:w="699" w:type="dxa"/>
                  <w:tcBorders>
                    <w:top w:val="single" w:color="auto" w:sz="4" w:space="0"/>
                    <w:left w:val="nil"/>
                    <w:bottom w:val="single" w:color="auto" w:sz="4" w:space="0"/>
                    <w:right w:val="single" w:color="auto" w:sz="4" w:space="0"/>
                  </w:tcBorders>
                  <w:shd w:val="clear" w:color="auto" w:fill="auto"/>
                  <w:vAlign w:val="center"/>
                </w:tcPr>
                <w:p w14:paraId="4409A633">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宋体" w:cs="Times New Roman"/>
                      <w:color w:val="auto"/>
                      <w:kern w:val="2"/>
                      <w:sz w:val="21"/>
                      <w:szCs w:val="21"/>
                    </w:rPr>
                  </w:pPr>
                  <w:r>
                    <w:rPr>
                      <w:rFonts w:hint="eastAsia" w:ascii="宋体" w:hAnsi="宋体" w:eastAsia="宋体" w:cs="宋体"/>
                      <w:color w:val="auto"/>
                      <w:kern w:val="0"/>
                      <w:sz w:val="21"/>
                      <w:szCs w:val="21"/>
                      <w:lang w:val="en-US" w:eastAsia="zh-CN" w:bidi="ar"/>
                    </w:rPr>
                    <w:t>不涉及</w:t>
                  </w:r>
                </w:p>
              </w:tc>
            </w:tr>
            <w:tr w14:paraId="5DC0CB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441" w:type="dxa"/>
                  <w:vMerge w:val="continue"/>
                  <w:tcBorders>
                    <w:top w:val="nil"/>
                    <w:left w:val="single" w:color="auto" w:sz="4" w:space="0"/>
                    <w:bottom w:val="single" w:color="auto" w:sz="4" w:space="0"/>
                    <w:right w:val="single" w:color="auto" w:sz="4" w:space="0"/>
                  </w:tcBorders>
                  <w:shd w:val="clear" w:color="auto" w:fill="auto"/>
                  <w:vAlign w:val="center"/>
                </w:tcPr>
                <w:p w14:paraId="74873E95">
                  <w:pPr>
                    <w:keepNext w:val="0"/>
                    <w:keepLines w:val="0"/>
                    <w:suppressLineNumbers w:val="0"/>
                    <w:spacing w:before="0" w:beforeAutospacing="0" w:after="0" w:afterAutospacing="0"/>
                    <w:ind w:left="0" w:right="0"/>
                    <w:jc w:val="both"/>
                    <w:rPr>
                      <w:rFonts w:hint="default" w:ascii="Times New Roman" w:hAnsi="Times New Roman" w:cs="Times New Roman"/>
                      <w:color w:val="auto"/>
                      <w:sz w:val="20"/>
                      <w:szCs w:val="20"/>
                    </w:rPr>
                  </w:pPr>
                </w:p>
              </w:tc>
              <w:tc>
                <w:tcPr>
                  <w:tcW w:w="4089" w:type="dxa"/>
                  <w:tcBorders>
                    <w:top w:val="single" w:color="auto" w:sz="4" w:space="0"/>
                    <w:left w:val="nil"/>
                    <w:bottom w:val="single" w:color="auto" w:sz="4" w:space="0"/>
                    <w:right w:val="single" w:color="auto" w:sz="4" w:space="0"/>
                  </w:tcBorders>
                  <w:shd w:val="clear" w:color="auto" w:fill="auto"/>
                  <w:vAlign w:val="center"/>
                </w:tcPr>
                <w:p w14:paraId="2B19918D">
                  <w:pPr>
                    <w:keepNext w:val="0"/>
                    <w:keepLines w:val="0"/>
                    <w:widowControl w:val="0"/>
                    <w:suppressLineNumbers w:val="0"/>
                    <w:spacing w:before="0" w:beforeAutospacing="0" w:after="0" w:afterAutospacing="0"/>
                    <w:ind w:left="0" w:right="0"/>
                    <w:jc w:val="center"/>
                    <w:rPr>
                      <w:rFonts w:hint="default" w:ascii="Times New Roman" w:hAnsi="Times New Roman" w:eastAsia="宋体" w:cs="Times New Roman"/>
                      <w:color w:val="auto"/>
                      <w:kern w:val="2"/>
                      <w:sz w:val="21"/>
                      <w:szCs w:val="21"/>
                    </w:rPr>
                  </w:pPr>
                  <w:r>
                    <w:rPr>
                      <w:rFonts w:hint="default" w:ascii="Times New Roman" w:hAnsi="Times New Roman" w:eastAsia="宋体" w:cs="Times New Roman"/>
                      <w:b/>
                      <w:bCs/>
                      <w:color w:val="auto"/>
                      <w:kern w:val="2"/>
                      <w:sz w:val="21"/>
                      <w:szCs w:val="21"/>
                      <w:lang w:val="en-US" w:eastAsia="zh-CN" w:bidi="ar"/>
                    </w:rPr>
                    <w:t>2.</w:t>
                  </w:r>
                  <w:r>
                    <w:rPr>
                      <w:rFonts w:hint="eastAsia" w:ascii="宋体" w:hAnsi="宋体" w:eastAsia="宋体" w:cs="宋体"/>
                      <w:b/>
                      <w:bCs/>
                      <w:color w:val="auto"/>
                      <w:kern w:val="2"/>
                      <w:sz w:val="21"/>
                      <w:szCs w:val="21"/>
                      <w:lang w:val="en-US" w:eastAsia="zh-CN" w:bidi="ar"/>
                    </w:rPr>
                    <w:t>加强秸秆综合利用与禁烧管控。</w:t>
                  </w:r>
                  <w:r>
                    <w:rPr>
                      <w:rFonts w:hint="eastAsia" w:ascii="宋体" w:hAnsi="宋体" w:eastAsia="宋体" w:cs="宋体"/>
                      <w:color w:val="auto"/>
                      <w:kern w:val="2"/>
                      <w:sz w:val="21"/>
                      <w:szCs w:val="21"/>
                      <w:lang w:val="en-US" w:eastAsia="zh-CN" w:bidi="ar"/>
                    </w:rPr>
                    <w:t>健全秸秆收储运体系，推进秸秆肥料化、饲料化、能源化、基料化和原料化等“五化”离田利用，到</w:t>
                  </w:r>
                  <w:r>
                    <w:rPr>
                      <w:rFonts w:hint="default" w:ascii="Times New Roman" w:hAnsi="Times New Roman" w:eastAsia="宋体" w:cs="Times New Roman"/>
                      <w:color w:val="auto"/>
                      <w:kern w:val="2"/>
                      <w:sz w:val="21"/>
                      <w:szCs w:val="21"/>
                      <w:lang w:val="en-US" w:eastAsia="zh-CN" w:bidi="ar"/>
                    </w:rPr>
                    <w:t>2030</w:t>
                  </w:r>
                  <w:r>
                    <w:rPr>
                      <w:rFonts w:hint="eastAsia" w:ascii="宋体" w:hAnsi="宋体" w:eastAsia="宋体" w:cs="宋体"/>
                      <w:color w:val="auto"/>
                      <w:kern w:val="2"/>
                      <w:sz w:val="21"/>
                      <w:szCs w:val="21"/>
                      <w:lang w:val="en-US" w:eastAsia="zh-CN" w:bidi="ar"/>
                    </w:rPr>
                    <w:t>年，秸秆“五化”离田利用率达到</w:t>
                  </w:r>
                  <w:r>
                    <w:rPr>
                      <w:rFonts w:hint="default" w:ascii="Times New Roman" w:hAnsi="Times New Roman" w:eastAsia="宋体" w:cs="Times New Roman"/>
                      <w:color w:val="auto"/>
                      <w:kern w:val="2"/>
                      <w:sz w:val="21"/>
                      <w:szCs w:val="21"/>
                      <w:lang w:val="en-US" w:eastAsia="zh-CN" w:bidi="ar"/>
                    </w:rPr>
                    <w:t>45%</w:t>
                  </w:r>
                  <w:r>
                    <w:rPr>
                      <w:rFonts w:hint="eastAsia" w:ascii="宋体" w:hAnsi="宋体" w:eastAsia="宋体" w:cs="宋体"/>
                      <w:color w:val="auto"/>
                      <w:kern w:val="2"/>
                      <w:sz w:val="21"/>
                      <w:szCs w:val="21"/>
                      <w:lang w:val="en-US" w:eastAsia="zh-CN" w:bidi="ar"/>
                    </w:rPr>
                    <w:t>。落实秸秆露天焚烧“</w:t>
                  </w:r>
                  <w:r>
                    <w:rPr>
                      <w:rFonts w:hint="default" w:ascii="Times New Roman" w:hAnsi="Times New Roman" w:eastAsia="宋体" w:cs="Times New Roman"/>
                      <w:color w:val="auto"/>
                      <w:kern w:val="2"/>
                      <w:sz w:val="21"/>
                      <w:szCs w:val="21"/>
                      <w:lang w:val="en-US" w:eastAsia="zh-CN" w:bidi="ar"/>
                    </w:rPr>
                    <w:t>1530</w:t>
                  </w:r>
                  <w:r>
                    <w:rPr>
                      <w:rFonts w:hint="eastAsia" w:ascii="宋体" w:hAnsi="宋体" w:eastAsia="宋体" w:cs="宋体"/>
                      <w:color w:val="auto"/>
                      <w:kern w:val="2"/>
                      <w:sz w:val="21"/>
                      <w:szCs w:val="21"/>
                      <w:lang w:val="en-US" w:eastAsia="zh-CN" w:bidi="ar"/>
                    </w:rPr>
                    <w:t>”闭环处置机制，用好高位瞭望设施和视频监控平台，精准发现和处置火点。</w:t>
                  </w:r>
                </w:p>
              </w:tc>
              <w:tc>
                <w:tcPr>
                  <w:tcW w:w="2749" w:type="dxa"/>
                  <w:tcBorders>
                    <w:top w:val="single" w:color="auto" w:sz="4" w:space="0"/>
                    <w:left w:val="nil"/>
                    <w:bottom w:val="single" w:color="auto" w:sz="4" w:space="0"/>
                    <w:right w:val="single" w:color="auto" w:sz="4" w:space="0"/>
                  </w:tcBorders>
                  <w:shd w:val="clear" w:color="auto" w:fill="auto"/>
                  <w:vAlign w:val="center"/>
                </w:tcPr>
                <w:p w14:paraId="153C3DF2">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宋体" w:cs="Times New Roman"/>
                      <w:b/>
                      <w:bCs/>
                      <w:color w:val="auto"/>
                      <w:kern w:val="2"/>
                      <w:sz w:val="21"/>
                      <w:szCs w:val="21"/>
                    </w:rPr>
                  </w:pPr>
                  <w:r>
                    <w:rPr>
                      <w:rFonts w:hint="eastAsia" w:ascii="宋体" w:hAnsi="宋体" w:eastAsia="宋体" w:cs="宋体"/>
                      <w:color w:val="auto"/>
                      <w:kern w:val="2"/>
                      <w:sz w:val="21"/>
                      <w:szCs w:val="21"/>
                      <w:lang w:val="en-US" w:eastAsia="zh-CN" w:bidi="ar"/>
                    </w:rPr>
                    <w:t>本项目不涉及。</w:t>
                  </w:r>
                </w:p>
              </w:tc>
              <w:tc>
                <w:tcPr>
                  <w:tcW w:w="699" w:type="dxa"/>
                  <w:tcBorders>
                    <w:top w:val="single" w:color="auto" w:sz="4" w:space="0"/>
                    <w:left w:val="nil"/>
                    <w:bottom w:val="single" w:color="auto" w:sz="4" w:space="0"/>
                    <w:right w:val="single" w:color="auto" w:sz="4" w:space="0"/>
                  </w:tcBorders>
                  <w:shd w:val="clear" w:color="auto" w:fill="auto"/>
                  <w:vAlign w:val="center"/>
                </w:tcPr>
                <w:p w14:paraId="7F205754">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宋体" w:cs="Times New Roman"/>
                      <w:b/>
                      <w:bCs/>
                      <w:color w:val="auto"/>
                      <w:kern w:val="2"/>
                      <w:sz w:val="21"/>
                      <w:szCs w:val="21"/>
                    </w:rPr>
                  </w:pPr>
                  <w:r>
                    <w:rPr>
                      <w:rFonts w:hint="eastAsia" w:ascii="宋体" w:hAnsi="宋体" w:eastAsia="宋体" w:cs="宋体"/>
                      <w:color w:val="auto"/>
                      <w:kern w:val="0"/>
                      <w:sz w:val="21"/>
                      <w:szCs w:val="21"/>
                      <w:lang w:val="en-US" w:eastAsia="zh-CN" w:bidi="ar"/>
                    </w:rPr>
                    <w:t>不涉及</w:t>
                  </w:r>
                </w:p>
              </w:tc>
            </w:tr>
            <w:tr w14:paraId="00E7DA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441" w:type="dxa"/>
                  <w:vMerge w:val="continue"/>
                  <w:tcBorders>
                    <w:top w:val="nil"/>
                    <w:left w:val="single" w:color="auto" w:sz="4" w:space="0"/>
                    <w:bottom w:val="single" w:color="auto" w:sz="4" w:space="0"/>
                    <w:right w:val="single" w:color="auto" w:sz="4" w:space="0"/>
                  </w:tcBorders>
                  <w:shd w:val="clear" w:color="auto" w:fill="auto"/>
                  <w:vAlign w:val="center"/>
                </w:tcPr>
                <w:p w14:paraId="5934F612">
                  <w:pPr>
                    <w:keepNext w:val="0"/>
                    <w:keepLines w:val="0"/>
                    <w:suppressLineNumbers w:val="0"/>
                    <w:spacing w:before="0" w:beforeAutospacing="0" w:after="0" w:afterAutospacing="0"/>
                    <w:ind w:left="0" w:right="0"/>
                    <w:jc w:val="both"/>
                    <w:rPr>
                      <w:rFonts w:hint="default" w:ascii="Times New Roman" w:hAnsi="Times New Roman" w:cs="Times New Roman"/>
                      <w:color w:val="auto"/>
                      <w:sz w:val="20"/>
                      <w:szCs w:val="20"/>
                    </w:rPr>
                  </w:pPr>
                </w:p>
              </w:tc>
              <w:tc>
                <w:tcPr>
                  <w:tcW w:w="4089" w:type="dxa"/>
                  <w:tcBorders>
                    <w:top w:val="single" w:color="auto" w:sz="4" w:space="0"/>
                    <w:left w:val="nil"/>
                    <w:bottom w:val="single" w:color="auto" w:sz="4" w:space="0"/>
                    <w:right w:val="single" w:color="auto" w:sz="4" w:space="0"/>
                  </w:tcBorders>
                  <w:shd w:val="clear" w:color="auto" w:fill="auto"/>
                  <w:vAlign w:val="center"/>
                </w:tcPr>
                <w:p w14:paraId="7FF8D8F0">
                  <w:pPr>
                    <w:keepNext w:val="0"/>
                    <w:keepLines w:val="0"/>
                    <w:widowControl w:val="0"/>
                    <w:suppressLineNumbers w:val="0"/>
                    <w:spacing w:before="0" w:beforeAutospacing="0" w:after="0" w:afterAutospacing="0"/>
                    <w:ind w:left="0" w:right="0"/>
                    <w:jc w:val="center"/>
                    <w:rPr>
                      <w:rFonts w:hint="default" w:ascii="Times New Roman" w:hAnsi="Times New Roman" w:eastAsia="宋体" w:cs="Times New Roman"/>
                      <w:color w:val="auto"/>
                      <w:kern w:val="2"/>
                      <w:sz w:val="21"/>
                      <w:szCs w:val="21"/>
                    </w:rPr>
                  </w:pPr>
                  <w:r>
                    <w:rPr>
                      <w:rFonts w:hint="default" w:ascii="Times New Roman" w:hAnsi="Times New Roman" w:eastAsia="宋体" w:cs="Times New Roman"/>
                      <w:b/>
                      <w:bCs/>
                      <w:color w:val="auto"/>
                      <w:kern w:val="2"/>
                      <w:sz w:val="21"/>
                      <w:szCs w:val="21"/>
                      <w:lang w:val="en-US" w:eastAsia="zh-CN" w:bidi="ar"/>
                    </w:rPr>
                    <w:t>3.</w:t>
                  </w:r>
                  <w:r>
                    <w:rPr>
                      <w:rFonts w:hint="eastAsia" w:ascii="宋体" w:hAnsi="宋体" w:eastAsia="宋体" w:cs="宋体"/>
                      <w:b/>
                      <w:bCs/>
                      <w:color w:val="auto"/>
                      <w:kern w:val="2"/>
                      <w:sz w:val="21"/>
                      <w:szCs w:val="21"/>
                      <w:lang w:val="en-US" w:eastAsia="zh-CN" w:bidi="ar"/>
                    </w:rPr>
                    <w:t>加强重点领域恶臭异味治理。</w:t>
                  </w:r>
                  <w:r>
                    <w:rPr>
                      <w:rFonts w:hint="eastAsia" w:ascii="宋体" w:hAnsi="宋体" w:eastAsia="宋体" w:cs="宋体"/>
                      <w:color w:val="auto"/>
                      <w:kern w:val="2"/>
                      <w:sz w:val="21"/>
                      <w:szCs w:val="21"/>
                      <w:lang w:val="en-US" w:eastAsia="zh-CN" w:bidi="ar"/>
                    </w:rPr>
                    <w:t>深化涉恶臭异味重点行业废气收集治理，鼓励工业园区开展溯源识别。加强污水、垃圾处理等市政设施恶臭异味治理。控制农业源氨排放，提升畜禽养殖粪污资源化利用和无害化处理水平。加强对餐饮服务业布局和设置的引导，探索商业综合体餐饮油烟集中治理模式。</w:t>
                  </w:r>
                </w:p>
              </w:tc>
              <w:tc>
                <w:tcPr>
                  <w:tcW w:w="2749" w:type="dxa"/>
                  <w:tcBorders>
                    <w:top w:val="single" w:color="auto" w:sz="4" w:space="0"/>
                    <w:left w:val="nil"/>
                    <w:bottom w:val="single" w:color="auto" w:sz="4" w:space="0"/>
                    <w:right w:val="single" w:color="auto" w:sz="4" w:space="0"/>
                  </w:tcBorders>
                  <w:shd w:val="clear" w:color="auto" w:fill="auto"/>
                  <w:vAlign w:val="center"/>
                </w:tcPr>
                <w:p w14:paraId="3E0F53D9">
                  <w:pPr>
                    <w:keepNext w:val="0"/>
                    <w:keepLines w:val="0"/>
                    <w:widowControl w:val="0"/>
                    <w:suppressLineNumbers w:val="0"/>
                    <w:spacing w:before="0" w:beforeAutospacing="0" w:after="0" w:afterAutospacing="0"/>
                    <w:ind w:left="0" w:right="0"/>
                    <w:jc w:val="both"/>
                    <w:rPr>
                      <w:rFonts w:hint="default" w:ascii="Times New Roman" w:hAnsi="Times New Roman" w:eastAsia="宋体" w:cs="Times New Roman"/>
                      <w:color w:val="auto"/>
                      <w:kern w:val="2"/>
                      <w:sz w:val="21"/>
                      <w:szCs w:val="21"/>
                    </w:rPr>
                  </w:pPr>
                  <w:r>
                    <w:rPr>
                      <w:rFonts w:hint="eastAsia" w:ascii="宋体" w:hAnsi="宋体" w:eastAsia="宋体" w:cs="宋体"/>
                      <w:color w:val="auto"/>
                      <w:kern w:val="2"/>
                      <w:sz w:val="21"/>
                      <w:szCs w:val="21"/>
                      <w:lang w:val="en-US" w:eastAsia="zh-CN" w:bidi="ar"/>
                    </w:rPr>
                    <w:t>本</w:t>
                  </w:r>
                  <w:r>
                    <w:rPr>
                      <w:rFonts w:hint="default" w:ascii="Times New Roman" w:hAnsi="Times New Roman" w:eastAsia="宋体" w:cs="Times New Roman"/>
                      <w:color w:val="auto"/>
                      <w:kern w:val="2"/>
                      <w:sz w:val="21"/>
                      <w:szCs w:val="21"/>
                      <w:lang w:val="en-US" w:eastAsia="zh-CN" w:bidi="ar"/>
                    </w:rPr>
                    <w:t>项目行业类别为C3670汽车零部件及配件制造、C2929塑料零件及其他塑料制品制造、C3034隔热和隔音材料制造。</w:t>
                  </w:r>
                </w:p>
                <w:p w14:paraId="335CA07D">
                  <w:pPr>
                    <w:pStyle w:val="19"/>
                    <w:keepNext w:val="0"/>
                    <w:keepLines w:val="0"/>
                    <w:widowControl w:val="0"/>
                    <w:suppressLineNumbers w:val="0"/>
                    <w:spacing w:before="0" w:beforeAutospacing="0" w:after="0" w:afterAutospacing="0"/>
                    <w:ind w:left="0" w:leftChars="0" w:right="0" w:firstLine="0" w:firstLineChars="0"/>
                    <w:jc w:val="both"/>
                    <w:rPr>
                      <w:rFonts w:hint="default" w:ascii="Times New Roman" w:hAnsi="Times New Roman" w:eastAsia="宋体" w:cs="Times New Roman"/>
                      <w:color w:val="auto"/>
                      <w:kern w:val="2"/>
                      <w:sz w:val="21"/>
                      <w:szCs w:val="21"/>
                      <w:lang w:val="en-US" w:eastAsia="zh-CN" w:bidi="ar"/>
                    </w:rPr>
                  </w:pPr>
                  <w:r>
                    <w:rPr>
                      <w:rFonts w:hint="default" w:ascii="Times New Roman" w:hAnsi="Times New Roman" w:eastAsia="宋体" w:cs="Times New Roman"/>
                      <w:color w:val="auto"/>
                      <w:kern w:val="2"/>
                      <w:sz w:val="21"/>
                      <w:szCs w:val="21"/>
                      <w:lang w:val="en-US" w:eastAsia="zh-CN" w:bidi="ar"/>
                    </w:rPr>
                    <w:t>①固化废气、背胶废气、辅料成型废气：本项目烘烤固化工序均为全密闭设备，在烘道进出口设置全密闭风罩，仅留进出口通道；本项目背胶贴合区整体密闭，在生产车间进行整体抽风，仅设置一个进出口，在非必要情况下也必须处于关闭状态，使生产车间整体处于相对密闭状态；本项目立式液态射出成型机运行过程保持加热段和成型段密闭，因此，废气仅在其物料完成成型工艺的出口散发，故拟在物料出口上方设置集气罩，以上废气经收集后通过一套水喷淋+干式过滤+二级活性炭吸附装置（TA001）处理，尾气由一根26m高的排气筒DA001排放。</w:t>
                  </w:r>
                </w:p>
                <w:p w14:paraId="06C995EC">
                  <w:pPr>
                    <w:pStyle w:val="19"/>
                    <w:keepNext w:val="0"/>
                    <w:keepLines w:val="0"/>
                    <w:widowControl w:val="0"/>
                    <w:suppressLineNumbers w:val="0"/>
                    <w:spacing w:before="0" w:beforeAutospacing="0" w:after="0" w:afterAutospacing="0"/>
                    <w:ind w:left="0" w:leftChars="0" w:right="0" w:firstLine="0" w:firstLineChars="0"/>
                    <w:jc w:val="both"/>
                    <w:rPr>
                      <w:rFonts w:hint="default" w:ascii="Times New Roman" w:hAnsi="Times New Roman" w:eastAsia="宋体" w:cs="Times New Roman"/>
                      <w:color w:val="auto"/>
                      <w:kern w:val="2"/>
                      <w:sz w:val="21"/>
                      <w:szCs w:val="21"/>
                      <w:lang w:val="en-US" w:eastAsia="zh-CN" w:bidi="ar"/>
                    </w:rPr>
                  </w:pPr>
                  <w:r>
                    <w:rPr>
                      <w:rFonts w:hint="default" w:ascii="Times New Roman" w:hAnsi="Times New Roman" w:eastAsia="宋体" w:cs="Times New Roman"/>
                      <w:color w:val="auto"/>
                      <w:kern w:val="2"/>
                      <w:sz w:val="21"/>
                      <w:szCs w:val="21"/>
                      <w:lang w:val="en-US" w:eastAsia="zh-CN" w:bidi="ar"/>
                    </w:rPr>
                    <w:t>②贴合废气：产生的挥发废气量极少，不做定量分析，以无组织形式排放。</w:t>
                  </w:r>
                </w:p>
                <w:p w14:paraId="6AE7795B">
                  <w:pPr>
                    <w:pStyle w:val="19"/>
                    <w:keepNext w:val="0"/>
                    <w:keepLines w:val="0"/>
                    <w:widowControl w:val="0"/>
                    <w:suppressLineNumbers w:val="0"/>
                    <w:spacing w:before="0" w:beforeAutospacing="0" w:after="0" w:afterAutospacing="0"/>
                    <w:ind w:left="0" w:leftChars="0" w:right="0" w:firstLine="0" w:firstLineChars="0"/>
                    <w:jc w:val="both"/>
                    <w:rPr>
                      <w:rFonts w:hint="default" w:ascii="Times New Roman" w:hAnsi="Times New Roman" w:eastAsia="宋体" w:cs="Times New Roman"/>
                      <w:color w:val="auto"/>
                      <w:kern w:val="2"/>
                      <w:sz w:val="21"/>
                      <w:szCs w:val="21"/>
                      <w:lang w:val="en-US" w:eastAsia="zh-CN" w:bidi="ar"/>
                    </w:rPr>
                  </w:pPr>
                  <w:r>
                    <w:rPr>
                      <w:rFonts w:hint="default" w:ascii="Times New Roman" w:hAnsi="Times New Roman" w:eastAsia="宋体" w:cs="Times New Roman"/>
                      <w:color w:val="auto"/>
                      <w:kern w:val="2"/>
                      <w:sz w:val="21"/>
                      <w:szCs w:val="21"/>
                      <w:lang w:val="en-US" w:eastAsia="zh-CN" w:bidi="ar"/>
                    </w:rPr>
                    <w:t>③真空热合废气：非甲烷总烃的产生量和产生速率均较小，故真空热合过程产生的废气对环境影响较小，以无组织形式排放。</w:t>
                  </w:r>
                </w:p>
                <w:p w14:paraId="28F9F03C">
                  <w:pPr>
                    <w:pStyle w:val="19"/>
                    <w:keepNext w:val="0"/>
                    <w:keepLines w:val="0"/>
                    <w:widowControl w:val="0"/>
                    <w:suppressLineNumbers w:val="0"/>
                    <w:spacing w:before="0" w:beforeAutospacing="0" w:after="0" w:afterAutospacing="0"/>
                    <w:ind w:left="0" w:leftChars="0" w:right="0" w:firstLine="0" w:firstLineChars="0"/>
                    <w:jc w:val="both"/>
                    <w:rPr>
                      <w:rFonts w:hint="default" w:ascii="Times New Roman" w:hAnsi="Times New Roman" w:eastAsia="宋体" w:cs="Times New Roman"/>
                      <w:color w:val="auto"/>
                      <w:kern w:val="2"/>
                      <w:sz w:val="21"/>
                      <w:szCs w:val="21"/>
                    </w:rPr>
                  </w:pPr>
                  <w:r>
                    <w:rPr>
                      <w:rFonts w:hint="eastAsia" w:ascii="宋体" w:hAnsi="宋体" w:eastAsia="宋体" w:cs="宋体"/>
                      <w:color w:val="auto"/>
                      <w:kern w:val="2"/>
                      <w:sz w:val="21"/>
                      <w:szCs w:val="21"/>
                      <w:lang w:val="en-US" w:eastAsia="zh-CN" w:bidi="ar"/>
                    </w:rPr>
                    <w:t>④本项目生产废水不排放，仅排放生活污水，不新增生产性氮磷。生活污水经出租方化粪池处理后排入周边市政污水管网，由市政污水管网纳入安吉清源污水处理有限公司处理；间接冷却水循环使用不排放，只需定期补充新鲜水；喷淋废水当循环到一定程度后定期更换，更换后的喷淋废水作为危废处置。</w:t>
                  </w:r>
                </w:p>
              </w:tc>
              <w:tc>
                <w:tcPr>
                  <w:tcW w:w="699" w:type="dxa"/>
                  <w:tcBorders>
                    <w:top w:val="single" w:color="auto" w:sz="4" w:space="0"/>
                    <w:left w:val="nil"/>
                    <w:bottom w:val="single" w:color="auto" w:sz="4" w:space="0"/>
                    <w:right w:val="single" w:color="auto" w:sz="4" w:space="0"/>
                  </w:tcBorders>
                  <w:shd w:val="clear" w:color="auto" w:fill="auto"/>
                  <w:vAlign w:val="center"/>
                </w:tcPr>
                <w:p w14:paraId="0B6F1B45">
                  <w:pPr>
                    <w:keepNext w:val="0"/>
                    <w:keepLines w:val="0"/>
                    <w:widowControl w:val="0"/>
                    <w:suppressLineNumbers w:val="0"/>
                    <w:spacing w:before="0" w:beforeAutospacing="0" w:after="0" w:afterAutospacing="0"/>
                    <w:ind w:left="0" w:right="0"/>
                    <w:jc w:val="center"/>
                    <w:rPr>
                      <w:rFonts w:hint="eastAsia" w:ascii="Times New Roman" w:hAnsi="Times New Roman" w:eastAsia="宋体" w:cs="Times New Roman"/>
                      <w:color w:val="auto"/>
                      <w:kern w:val="2"/>
                      <w:sz w:val="21"/>
                      <w:szCs w:val="21"/>
                    </w:rPr>
                  </w:pPr>
                  <w:r>
                    <w:rPr>
                      <w:rFonts w:hint="eastAsia" w:ascii="宋体" w:hAnsi="宋体" w:eastAsia="宋体" w:cs="宋体"/>
                      <w:color w:val="auto"/>
                      <w:kern w:val="2"/>
                      <w:sz w:val="21"/>
                      <w:szCs w:val="21"/>
                      <w:lang w:val="en-US" w:eastAsia="zh-CN" w:bidi="ar"/>
                    </w:rPr>
                    <w:t>符合</w:t>
                  </w:r>
                </w:p>
              </w:tc>
            </w:tr>
            <w:tr w14:paraId="1FC801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397" w:hRule="atLeast"/>
                <w:jc w:val="center"/>
              </w:trPr>
              <w:tc>
                <w:tcPr>
                  <w:tcW w:w="441" w:type="dxa"/>
                  <w:vMerge w:val="continue"/>
                  <w:tcBorders>
                    <w:top w:val="nil"/>
                    <w:left w:val="single" w:color="auto" w:sz="4" w:space="0"/>
                    <w:bottom w:val="single" w:color="auto" w:sz="4" w:space="0"/>
                    <w:right w:val="single" w:color="auto" w:sz="4" w:space="0"/>
                  </w:tcBorders>
                  <w:shd w:val="clear" w:color="auto" w:fill="auto"/>
                  <w:vAlign w:val="center"/>
                </w:tcPr>
                <w:p w14:paraId="1AC13DF5">
                  <w:pPr>
                    <w:keepNext w:val="0"/>
                    <w:keepLines w:val="0"/>
                    <w:suppressLineNumbers w:val="0"/>
                    <w:spacing w:before="0" w:beforeAutospacing="0" w:after="0" w:afterAutospacing="0"/>
                    <w:ind w:left="0" w:right="0"/>
                    <w:jc w:val="both"/>
                    <w:rPr>
                      <w:rFonts w:hint="default" w:ascii="Times New Roman" w:hAnsi="Times New Roman" w:cs="Times New Roman"/>
                      <w:color w:val="auto"/>
                      <w:sz w:val="20"/>
                      <w:szCs w:val="20"/>
                    </w:rPr>
                  </w:pPr>
                </w:p>
              </w:tc>
              <w:tc>
                <w:tcPr>
                  <w:tcW w:w="4089" w:type="dxa"/>
                  <w:tcBorders>
                    <w:top w:val="single" w:color="auto" w:sz="4" w:space="0"/>
                    <w:left w:val="nil"/>
                    <w:bottom w:val="single" w:color="auto" w:sz="4" w:space="0"/>
                    <w:right w:val="single" w:color="auto" w:sz="4" w:space="0"/>
                  </w:tcBorders>
                  <w:shd w:val="clear" w:color="auto" w:fill="auto"/>
                  <w:vAlign w:val="center"/>
                </w:tcPr>
                <w:p w14:paraId="335050AA">
                  <w:pPr>
                    <w:keepNext w:val="0"/>
                    <w:keepLines w:val="0"/>
                    <w:widowControl w:val="0"/>
                    <w:suppressLineNumbers w:val="0"/>
                    <w:spacing w:before="0" w:beforeAutospacing="0" w:after="0" w:afterAutospacing="0"/>
                    <w:ind w:left="0" w:right="0"/>
                    <w:jc w:val="center"/>
                    <w:rPr>
                      <w:rFonts w:hint="default" w:ascii="Times New Roman" w:hAnsi="Times New Roman" w:eastAsia="宋体" w:cs="Times New Roman"/>
                      <w:color w:val="auto"/>
                      <w:kern w:val="2"/>
                      <w:sz w:val="21"/>
                      <w:szCs w:val="21"/>
                    </w:rPr>
                  </w:pPr>
                  <w:r>
                    <w:rPr>
                      <w:rFonts w:hint="default" w:ascii="Times New Roman" w:hAnsi="Times New Roman" w:eastAsia="宋体" w:cs="Times New Roman"/>
                      <w:b/>
                      <w:bCs/>
                      <w:color w:val="auto"/>
                      <w:kern w:val="2"/>
                      <w:sz w:val="21"/>
                      <w:szCs w:val="21"/>
                      <w:lang w:val="en-US" w:eastAsia="zh-CN" w:bidi="ar"/>
                    </w:rPr>
                    <w:t>4.</w:t>
                  </w:r>
                  <w:r>
                    <w:rPr>
                      <w:rFonts w:hint="eastAsia" w:ascii="宋体" w:hAnsi="宋体" w:eastAsia="宋体" w:cs="宋体"/>
                      <w:b/>
                      <w:bCs/>
                      <w:color w:val="auto"/>
                      <w:kern w:val="2"/>
                      <w:sz w:val="21"/>
                      <w:szCs w:val="21"/>
                      <w:lang w:val="en-US" w:eastAsia="zh-CN" w:bidi="ar"/>
                    </w:rPr>
                    <w:t>加强多污染协同控制。</w:t>
                  </w:r>
                  <w:r>
                    <w:rPr>
                      <w:rFonts w:hint="eastAsia" w:ascii="宋体" w:hAnsi="宋体" w:eastAsia="宋体" w:cs="宋体"/>
                      <w:color w:val="auto"/>
                      <w:kern w:val="2"/>
                      <w:sz w:val="21"/>
                      <w:szCs w:val="21"/>
                      <w:lang w:val="en-US" w:eastAsia="zh-CN" w:bidi="ar"/>
                    </w:rPr>
                    <w:t>加强涉消耗臭氧层物质企业备案管理，开展履约成效评估与监测预警评估体系研究，推动构建管控物质全生命周期管理体系。加强氮肥、纯碱等行业含氨工艺废气收集治理，严控无组织氨逸散，强化烟气脱硝系统氨逃逸控制。</w:t>
                  </w:r>
                </w:p>
              </w:tc>
              <w:tc>
                <w:tcPr>
                  <w:tcW w:w="2749" w:type="dxa"/>
                  <w:tcBorders>
                    <w:top w:val="single" w:color="auto" w:sz="4" w:space="0"/>
                    <w:left w:val="nil"/>
                    <w:bottom w:val="single" w:color="auto" w:sz="4" w:space="0"/>
                    <w:right w:val="single" w:color="auto" w:sz="4" w:space="0"/>
                  </w:tcBorders>
                  <w:shd w:val="clear" w:color="auto" w:fill="auto"/>
                  <w:vAlign w:val="center"/>
                </w:tcPr>
                <w:p w14:paraId="40F713E1">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宋体" w:cs="Times New Roman"/>
                      <w:b/>
                      <w:bCs/>
                      <w:color w:val="auto"/>
                      <w:kern w:val="2"/>
                      <w:sz w:val="21"/>
                      <w:szCs w:val="21"/>
                    </w:rPr>
                  </w:pPr>
                  <w:r>
                    <w:rPr>
                      <w:rFonts w:hint="eastAsia" w:ascii="宋体" w:hAnsi="宋体" w:eastAsia="宋体" w:cs="宋体"/>
                      <w:color w:val="auto"/>
                      <w:kern w:val="2"/>
                      <w:sz w:val="21"/>
                      <w:szCs w:val="21"/>
                      <w:lang w:val="en-US" w:eastAsia="zh-CN" w:bidi="ar"/>
                    </w:rPr>
                    <w:t>本项目不涉及。</w:t>
                  </w:r>
                </w:p>
              </w:tc>
              <w:tc>
                <w:tcPr>
                  <w:tcW w:w="699" w:type="dxa"/>
                  <w:tcBorders>
                    <w:top w:val="single" w:color="auto" w:sz="4" w:space="0"/>
                    <w:left w:val="nil"/>
                    <w:bottom w:val="single" w:color="auto" w:sz="4" w:space="0"/>
                    <w:right w:val="single" w:color="auto" w:sz="4" w:space="0"/>
                  </w:tcBorders>
                  <w:shd w:val="clear" w:color="auto" w:fill="auto"/>
                  <w:vAlign w:val="center"/>
                </w:tcPr>
                <w:p w14:paraId="680FD7D6">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宋体" w:cs="Times New Roman"/>
                      <w:b/>
                      <w:bCs/>
                      <w:color w:val="auto"/>
                      <w:kern w:val="2"/>
                      <w:sz w:val="21"/>
                      <w:szCs w:val="21"/>
                    </w:rPr>
                  </w:pPr>
                  <w:r>
                    <w:rPr>
                      <w:rFonts w:hint="eastAsia" w:ascii="宋体" w:hAnsi="宋体" w:eastAsia="宋体" w:cs="宋体"/>
                      <w:color w:val="auto"/>
                      <w:kern w:val="0"/>
                      <w:sz w:val="21"/>
                      <w:szCs w:val="21"/>
                      <w:lang w:val="en-US" w:eastAsia="zh-CN" w:bidi="ar"/>
                    </w:rPr>
                    <w:t>不涉及</w:t>
                  </w:r>
                </w:p>
              </w:tc>
            </w:tr>
          </w:tbl>
          <w:p w14:paraId="4B5F01B3">
            <w:pPr>
              <w:pStyle w:val="19"/>
              <w:keepNext w:val="0"/>
              <w:keepLines w:val="0"/>
              <w:widowControl w:val="0"/>
              <w:suppressLineNumbers w:val="0"/>
              <w:autoSpaceDE w:val="0"/>
              <w:autoSpaceDN/>
              <w:spacing w:before="0" w:beforeAutospacing="0" w:after="0" w:afterAutospacing="0" w:line="360" w:lineRule="auto"/>
              <w:ind w:left="0" w:leftChars="0" w:right="0" w:firstLine="480" w:firstLineChars="200"/>
              <w:jc w:val="both"/>
              <w:rPr>
                <w:rFonts w:hint="eastAsia" w:ascii="宋体" w:hAnsi="宋体" w:eastAsia="宋体" w:cs="宋体"/>
                <w:color w:val="auto"/>
                <w:kern w:val="2"/>
                <w:sz w:val="24"/>
                <w:szCs w:val="24"/>
              </w:rPr>
            </w:pPr>
            <w:r>
              <w:rPr>
                <w:rFonts w:hint="eastAsia" w:ascii="宋体" w:hAnsi="宋体" w:eastAsia="宋体" w:cs="宋体"/>
                <w:color w:val="auto"/>
                <w:kern w:val="2"/>
                <w:sz w:val="24"/>
                <w:szCs w:val="24"/>
                <w:lang w:val="en-US" w:eastAsia="zh-CN" w:bidi="ar"/>
              </w:rPr>
              <w:t>综上所述，本项目建设符合《浙江省“十五五”空气质量改善规划》要求。</w:t>
            </w:r>
          </w:p>
          <w:p w14:paraId="509071EB">
            <w:pPr>
              <w:keepNext w:val="0"/>
              <w:keepLines w:val="0"/>
              <w:suppressLineNumbers w:val="0"/>
              <w:spacing w:before="0" w:beforeAutospacing="0" w:after="0" w:afterAutospacing="0" w:line="360" w:lineRule="auto"/>
              <w:ind w:left="0" w:right="0"/>
              <w:rPr>
                <w:rFonts w:hint="default" w:ascii="Times New Roman" w:hAnsi="Times New Roman" w:eastAsia="宋体" w:cs="Times New Roman"/>
                <w:b/>
                <w:bCs/>
                <w:color w:val="auto"/>
                <w:sz w:val="24"/>
              </w:rPr>
            </w:pPr>
            <w:r>
              <w:rPr>
                <w:rFonts w:hint="eastAsia" w:ascii="Times New Roman" w:hAnsi="Times New Roman" w:eastAsia="宋体" w:cs="Times New Roman"/>
                <w:b/>
                <w:bCs/>
                <w:color w:val="auto"/>
                <w:sz w:val="24"/>
                <w:lang w:val="en-US" w:eastAsia="zh-CN"/>
              </w:rPr>
              <w:t>1.2.7</w:t>
            </w:r>
            <w:r>
              <w:rPr>
                <w:rFonts w:hint="eastAsia" w:ascii="Times New Roman" w:hAnsi="Times New Roman" w:eastAsia="宋体" w:cs="Times New Roman"/>
                <w:b/>
                <w:bCs/>
                <w:color w:val="auto"/>
                <w:sz w:val="24"/>
              </w:rPr>
              <w:t>《浙江省挥发性有机物污染整治方案》符合性分析</w:t>
            </w:r>
          </w:p>
          <w:p w14:paraId="330094D2">
            <w:pPr>
              <w:keepNext w:val="0"/>
              <w:keepLines w:val="0"/>
              <w:suppressLineNumbers w:val="0"/>
              <w:spacing w:before="0" w:beforeAutospacing="0" w:after="0" w:afterAutospacing="0"/>
              <w:ind w:left="0" w:right="0"/>
              <w:jc w:val="center"/>
              <w:rPr>
                <w:rFonts w:hint="default" w:ascii="Times New Roman" w:hAnsi="Times New Roman" w:eastAsia="宋体" w:cs="Times New Roman"/>
                <w:b/>
                <w:bCs/>
                <w:color w:val="auto"/>
              </w:rPr>
            </w:pPr>
            <w:r>
              <w:rPr>
                <w:rFonts w:hint="eastAsia" w:ascii="Times New Roman" w:hAnsi="Times New Roman" w:eastAsia="宋体" w:cs="Times New Roman"/>
                <w:b/>
                <w:bCs/>
                <w:color w:val="auto"/>
              </w:rPr>
              <w:t>表</w:t>
            </w:r>
            <w:r>
              <w:rPr>
                <w:rFonts w:hint="default" w:ascii="Times New Roman" w:hAnsi="Times New Roman" w:eastAsia="宋体" w:cs="Times New Roman"/>
                <w:b/>
                <w:bCs/>
                <w:color w:val="auto"/>
              </w:rPr>
              <w:t>1-1</w:t>
            </w:r>
            <w:r>
              <w:rPr>
                <w:rFonts w:hint="eastAsia" w:ascii="Times New Roman" w:hAnsi="Times New Roman" w:eastAsia="宋体" w:cs="Times New Roman"/>
                <w:b/>
                <w:bCs/>
                <w:color w:val="auto"/>
                <w:lang w:val="en-US" w:eastAsia="zh-CN"/>
              </w:rPr>
              <w:t>3</w:t>
            </w:r>
            <w:r>
              <w:rPr>
                <w:rFonts w:hint="default" w:ascii="Times New Roman" w:hAnsi="Times New Roman" w:eastAsia="宋体" w:cs="Times New Roman"/>
                <w:b/>
                <w:bCs/>
                <w:color w:val="auto"/>
              </w:rPr>
              <w:t xml:space="preserve"> </w:t>
            </w:r>
            <w:r>
              <w:rPr>
                <w:rFonts w:hint="eastAsia" w:ascii="Times New Roman" w:hAnsi="Times New Roman" w:eastAsia="宋体" w:cs="Times New Roman"/>
                <w:b/>
                <w:bCs/>
                <w:color w:val="auto"/>
              </w:rPr>
              <w:t xml:space="preserve"> 与《浙江省挥发性有机物污染整治方案》符合性分析</w:t>
            </w:r>
          </w:p>
          <w:tbl>
            <w:tblPr>
              <w:tblStyle w:val="23"/>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49"/>
              <w:gridCol w:w="3540"/>
              <w:gridCol w:w="3287"/>
              <w:gridCol w:w="702"/>
            </w:tblGrid>
            <w:tr w14:paraId="402F9F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428" w:type="dxa"/>
                  <w:vAlign w:val="center"/>
                </w:tcPr>
                <w:p w14:paraId="17B8F3E3">
                  <w:pPr>
                    <w:keepNext w:val="0"/>
                    <w:keepLines w:val="0"/>
                    <w:suppressLineNumbers w:val="0"/>
                    <w:spacing w:before="0" w:beforeAutospacing="0" w:after="0" w:afterAutospacing="0"/>
                    <w:ind w:left="0" w:right="0"/>
                    <w:jc w:val="center"/>
                    <w:rPr>
                      <w:rFonts w:hint="default" w:ascii="Times New Roman" w:hAnsi="Times New Roman" w:eastAsia="宋体" w:cs="Times New Roman"/>
                      <w:b/>
                      <w:bCs/>
                      <w:color w:val="auto"/>
                      <w:szCs w:val="21"/>
                    </w:rPr>
                  </w:pPr>
                  <w:r>
                    <w:rPr>
                      <w:rFonts w:hint="default" w:ascii="Times New Roman" w:hAnsi="Times New Roman" w:eastAsia="宋体" w:cs="Times New Roman"/>
                      <w:b/>
                      <w:bCs/>
                      <w:color w:val="auto"/>
                      <w:szCs w:val="21"/>
                    </w:rPr>
                    <w:t>序号</w:t>
                  </w:r>
                </w:p>
              </w:tc>
              <w:tc>
                <w:tcPr>
                  <w:tcW w:w="3377" w:type="dxa"/>
                  <w:vAlign w:val="center"/>
                </w:tcPr>
                <w:p w14:paraId="3D82CB01">
                  <w:pPr>
                    <w:keepNext w:val="0"/>
                    <w:keepLines w:val="0"/>
                    <w:suppressLineNumbers w:val="0"/>
                    <w:spacing w:before="0" w:beforeAutospacing="0" w:after="0" w:afterAutospacing="0"/>
                    <w:ind w:left="0" w:right="0"/>
                    <w:jc w:val="center"/>
                    <w:rPr>
                      <w:rFonts w:hint="default" w:ascii="Times New Roman" w:hAnsi="Times New Roman" w:eastAsia="宋体" w:cs="Times New Roman"/>
                      <w:b/>
                      <w:bCs/>
                      <w:color w:val="auto"/>
                      <w:szCs w:val="21"/>
                    </w:rPr>
                  </w:pPr>
                  <w:r>
                    <w:rPr>
                      <w:rFonts w:hint="default" w:ascii="Times New Roman" w:hAnsi="Times New Roman" w:eastAsia="宋体" w:cs="Times New Roman"/>
                      <w:b/>
                      <w:bCs/>
                      <w:color w:val="auto"/>
                      <w:szCs w:val="21"/>
                    </w:rPr>
                    <w:t>总体要求</w:t>
                  </w:r>
                </w:p>
              </w:tc>
              <w:tc>
                <w:tcPr>
                  <w:tcW w:w="3136" w:type="dxa"/>
                  <w:vAlign w:val="center"/>
                </w:tcPr>
                <w:p w14:paraId="54C48ED0">
                  <w:pPr>
                    <w:keepNext w:val="0"/>
                    <w:keepLines w:val="0"/>
                    <w:suppressLineNumbers w:val="0"/>
                    <w:spacing w:before="0" w:beforeAutospacing="0" w:after="0" w:afterAutospacing="0"/>
                    <w:ind w:left="0" w:right="0"/>
                    <w:jc w:val="center"/>
                    <w:rPr>
                      <w:rFonts w:hint="default" w:ascii="Times New Roman" w:hAnsi="Times New Roman" w:eastAsia="宋体" w:cs="Times New Roman"/>
                      <w:b/>
                      <w:bCs/>
                      <w:color w:val="auto"/>
                      <w:szCs w:val="21"/>
                      <w:lang w:val="en-US" w:eastAsia="zh-CN"/>
                    </w:rPr>
                  </w:pPr>
                  <w:r>
                    <w:rPr>
                      <w:rFonts w:hint="eastAsia" w:ascii="Times New Roman" w:hAnsi="Times New Roman" w:eastAsia="宋体" w:cs="Times New Roman"/>
                      <w:b/>
                      <w:bCs/>
                      <w:color w:val="auto"/>
                      <w:szCs w:val="21"/>
                      <w:lang w:val="en-US" w:eastAsia="zh-CN"/>
                    </w:rPr>
                    <w:t>项目内容</w:t>
                  </w:r>
                </w:p>
              </w:tc>
              <w:tc>
                <w:tcPr>
                  <w:tcW w:w="670" w:type="dxa"/>
                  <w:vAlign w:val="center"/>
                </w:tcPr>
                <w:p w14:paraId="584CAF2E">
                  <w:pPr>
                    <w:keepNext w:val="0"/>
                    <w:keepLines w:val="0"/>
                    <w:suppressLineNumbers w:val="0"/>
                    <w:spacing w:before="0" w:beforeAutospacing="0" w:after="0" w:afterAutospacing="0"/>
                    <w:ind w:left="0" w:right="0"/>
                    <w:jc w:val="center"/>
                    <w:rPr>
                      <w:rFonts w:hint="default" w:ascii="Times New Roman" w:hAnsi="Times New Roman" w:eastAsia="宋体" w:cs="Times New Roman"/>
                      <w:b/>
                      <w:bCs/>
                      <w:color w:val="auto"/>
                      <w:szCs w:val="21"/>
                      <w:lang w:val="en-US" w:eastAsia="zh-CN"/>
                    </w:rPr>
                  </w:pPr>
                  <w:r>
                    <w:rPr>
                      <w:rFonts w:hint="eastAsia" w:ascii="Times New Roman" w:hAnsi="Times New Roman" w:eastAsia="宋体" w:cs="Times New Roman"/>
                      <w:b/>
                      <w:bCs/>
                      <w:color w:val="auto"/>
                      <w:szCs w:val="21"/>
                      <w:lang w:val="en-US" w:eastAsia="zh-CN"/>
                    </w:rPr>
                    <w:t>是否符合</w:t>
                  </w:r>
                </w:p>
              </w:tc>
            </w:tr>
            <w:tr w14:paraId="0EF201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428" w:type="dxa"/>
                  <w:vAlign w:val="center"/>
                </w:tcPr>
                <w:p w14:paraId="30A64C87">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rPr>
                    <w:t>1</w:t>
                  </w:r>
                </w:p>
              </w:tc>
              <w:tc>
                <w:tcPr>
                  <w:tcW w:w="3377" w:type="dxa"/>
                  <w:vAlign w:val="center"/>
                </w:tcPr>
                <w:p w14:paraId="37E00585">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rPr>
                    <w:t>所有产生VOCs污染的企业均应采用密闭化的生产系统，封闭一切不必要的开口，尽可能采用环保型原辅料、生产工艺和装备，从源头控制VOCs废气的产生和无组织排放</w:t>
                  </w:r>
                </w:p>
              </w:tc>
              <w:tc>
                <w:tcPr>
                  <w:tcW w:w="3136" w:type="dxa"/>
                  <w:vAlign w:val="center"/>
                </w:tcPr>
                <w:p w14:paraId="524659CB">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lang w:val="en-US" w:eastAsia="zh-CN"/>
                    </w:rPr>
                    <w:t>本项目烘烤固化工序均为全密闭设备，在烘道进出口设置全密闭风罩，仅留进出口通道；本项目背胶贴合区整体密闭，在生产车间进行整体抽风，仅设置一个进出口，在非必要情况下也必须处于关闭状态，使生产车间整体处于相对密闭状态；本项目立式液态射出成型机运行过程保持加热段和成型段密闭，因此，废气仅在其物料完成成型工艺的出口散发，故拟在物料出口上方设置集气罩，以上废气经收集后通过一套水喷淋+干式过滤+二级活性炭吸附装置（TA001）处理，尾气由一根26m高的排气筒DA001排放。</w:t>
                  </w:r>
                </w:p>
              </w:tc>
              <w:tc>
                <w:tcPr>
                  <w:tcW w:w="670" w:type="dxa"/>
                  <w:vAlign w:val="center"/>
                </w:tcPr>
                <w:p w14:paraId="7992B037">
                  <w:pPr>
                    <w:keepNext w:val="0"/>
                    <w:keepLines w:val="0"/>
                    <w:suppressLineNumbers w:val="0"/>
                    <w:spacing w:before="0" w:beforeAutospacing="0" w:after="0" w:afterAutospacing="0"/>
                    <w:ind w:left="0" w:right="0"/>
                    <w:jc w:val="center"/>
                    <w:rPr>
                      <w:rFonts w:hint="eastAsia" w:ascii="Times New Roman" w:hAnsi="Times New Roman" w:eastAsia="宋体" w:cs="Times New Roman"/>
                      <w:color w:val="auto"/>
                      <w:szCs w:val="21"/>
                      <w:lang w:val="en-US" w:eastAsia="zh-CN"/>
                    </w:rPr>
                  </w:pPr>
                  <w:r>
                    <w:rPr>
                      <w:rFonts w:hint="eastAsia" w:ascii="Times New Roman" w:hAnsi="Times New Roman" w:eastAsia="宋体" w:cs="Times New Roman"/>
                      <w:color w:val="auto"/>
                      <w:szCs w:val="21"/>
                      <w:lang w:val="en-US" w:eastAsia="zh-CN"/>
                    </w:rPr>
                    <w:t>符合</w:t>
                  </w:r>
                </w:p>
              </w:tc>
            </w:tr>
            <w:tr w14:paraId="23B9AB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428" w:type="dxa"/>
                  <w:vAlign w:val="center"/>
                </w:tcPr>
                <w:p w14:paraId="14D80304">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rPr>
                    <w:t>2</w:t>
                  </w:r>
                </w:p>
              </w:tc>
              <w:tc>
                <w:tcPr>
                  <w:tcW w:w="3377" w:type="dxa"/>
                  <w:vAlign w:val="center"/>
                </w:tcPr>
                <w:p w14:paraId="19030CB8">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rPr>
                    <w:t>鼓励回收利用VOCs废气，并优先在生产系统内回用。宜对浓度和性状差异大的废气分类收集，采用适宜的方式进行有效处理，确保VOCs总去除率满足管理要求，其中有机化工、医药化工、橡胶和塑料制品（有溶剂浸胶工艺）、溶剂型涂料表面涂装、包装印刷业的VOCs总净化处理率不低于90%，其他行业总净化处理率原则上不低于75%。废气处理的工艺路线应根据废气产生量、污染物组分和性质、温度、压力等因素，综合分析后合理选择</w:t>
                  </w:r>
                </w:p>
              </w:tc>
              <w:tc>
                <w:tcPr>
                  <w:tcW w:w="3136" w:type="dxa"/>
                  <w:vAlign w:val="center"/>
                </w:tcPr>
                <w:p w14:paraId="002D44B7">
                  <w:pPr>
                    <w:keepNext w:val="0"/>
                    <w:keepLines w:val="0"/>
                    <w:suppressLineNumbers w:val="0"/>
                    <w:spacing w:before="0" w:beforeAutospacing="0" w:after="0" w:afterAutospacing="0"/>
                    <w:ind w:left="0" w:right="0"/>
                    <w:jc w:val="center"/>
                    <w:rPr>
                      <w:rFonts w:hint="eastAsia" w:ascii="Times New Roman" w:hAnsi="Times New Roman" w:eastAsia="宋体" w:cs="Times New Roman"/>
                      <w:color w:val="auto"/>
                      <w:szCs w:val="21"/>
                      <w:lang w:eastAsia="zh-CN"/>
                    </w:rPr>
                  </w:pPr>
                  <w:r>
                    <w:rPr>
                      <w:rFonts w:hint="default" w:ascii="Times New Roman" w:hAnsi="Times New Roman" w:eastAsia="宋体" w:cs="Times New Roman"/>
                      <w:color w:val="0000FF"/>
                      <w:szCs w:val="21"/>
                    </w:rPr>
                    <w:t>本项目为涂布工艺，非溶剂浸胶工艺，</w:t>
                  </w:r>
                  <w:r>
                    <w:rPr>
                      <w:rFonts w:hint="default" w:ascii="Times New Roman" w:hAnsi="Times New Roman" w:eastAsia="宋体" w:cs="Times New Roman"/>
                      <w:color w:val="auto"/>
                      <w:szCs w:val="21"/>
                    </w:rPr>
                    <w:t>企业</w:t>
                  </w:r>
                  <w:r>
                    <w:rPr>
                      <w:rFonts w:hint="eastAsia" w:ascii="Times New Roman" w:hAnsi="Times New Roman" w:eastAsia="宋体" w:cs="Times New Roman"/>
                      <w:color w:val="auto"/>
                      <w:szCs w:val="21"/>
                    </w:rPr>
                    <w:t>挥发</w:t>
                  </w:r>
                  <w:r>
                    <w:rPr>
                      <w:rFonts w:hint="default" w:ascii="Times New Roman" w:hAnsi="Times New Roman" w:eastAsia="宋体" w:cs="Times New Roman"/>
                      <w:color w:val="auto"/>
                      <w:szCs w:val="21"/>
                    </w:rPr>
                    <w:t>废气采用</w:t>
                  </w:r>
                  <w:r>
                    <w:rPr>
                      <w:rFonts w:hint="default" w:ascii="Times New Roman" w:hAnsi="Times New Roman" w:eastAsia="宋体" w:cs="Times New Roman"/>
                      <w:color w:val="auto"/>
                      <w:szCs w:val="21"/>
                      <w:lang w:val="en-US" w:eastAsia="zh-CN"/>
                    </w:rPr>
                    <w:t>水喷淋+干式过滤+二级活性炭吸附装置</w:t>
                  </w:r>
                  <w:r>
                    <w:rPr>
                      <w:rFonts w:hint="eastAsia" w:ascii="Times New Roman" w:hAnsi="Times New Roman" w:eastAsia="宋体" w:cs="Times New Roman"/>
                      <w:color w:val="auto"/>
                      <w:szCs w:val="21"/>
                      <w:lang w:val="en-US" w:eastAsia="zh-CN"/>
                    </w:rPr>
                    <w:t>处理</w:t>
                  </w:r>
                  <w:r>
                    <w:rPr>
                      <w:rFonts w:hint="default" w:ascii="Times New Roman" w:hAnsi="Times New Roman" w:eastAsia="宋体" w:cs="Times New Roman"/>
                      <w:color w:val="0000FF"/>
                      <w:szCs w:val="21"/>
                    </w:rPr>
                    <w:t>，设计VOCs去除效率达到80%，满足其他行业总净化处理率原则上不低于75%的管理要求。</w:t>
                  </w:r>
                </w:p>
              </w:tc>
              <w:tc>
                <w:tcPr>
                  <w:tcW w:w="670" w:type="dxa"/>
                  <w:vAlign w:val="center"/>
                </w:tcPr>
                <w:p w14:paraId="61C330A1">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rPr>
                    <w:t>符合</w:t>
                  </w:r>
                </w:p>
              </w:tc>
            </w:tr>
            <w:tr w14:paraId="7A6CC5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428" w:type="dxa"/>
                  <w:vAlign w:val="center"/>
                </w:tcPr>
                <w:p w14:paraId="5EB9CC6A">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rPr>
                    <w:t>3</w:t>
                  </w:r>
                </w:p>
              </w:tc>
              <w:tc>
                <w:tcPr>
                  <w:tcW w:w="3377" w:type="dxa"/>
                  <w:vAlign w:val="center"/>
                </w:tcPr>
                <w:p w14:paraId="6AA30946">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rPr>
                    <w:t>含高浓度挥发性有机物的母液和废水宜采用密闭管道收集，存在VOCs和恶臭污染的污水处理单元应予以封闭，废气经有效处理后达标排放。更换产生的废吸附剂应按照相关管理要求规范处置，防范二次污染</w:t>
                  </w:r>
                </w:p>
              </w:tc>
              <w:tc>
                <w:tcPr>
                  <w:tcW w:w="3136" w:type="dxa"/>
                  <w:vAlign w:val="center"/>
                </w:tcPr>
                <w:p w14:paraId="46590BA8">
                  <w:pPr>
                    <w:keepNext w:val="0"/>
                    <w:keepLines w:val="0"/>
                    <w:suppressLineNumbers w:val="0"/>
                    <w:spacing w:before="0" w:beforeAutospacing="0" w:after="0" w:afterAutospacing="0"/>
                    <w:ind w:left="0" w:right="0"/>
                    <w:jc w:val="center"/>
                    <w:rPr>
                      <w:rFonts w:hint="eastAsia" w:ascii="Times New Roman" w:hAnsi="Times New Roman" w:eastAsia="宋体" w:cs="Times New Roman"/>
                      <w:color w:val="auto"/>
                      <w:szCs w:val="21"/>
                      <w:lang w:eastAsia="zh-CN"/>
                    </w:rPr>
                  </w:pPr>
                  <w:r>
                    <w:rPr>
                      <w:rFonts w:hint="default" w:ascii="Times New Roman" w:hAnsi="Times New Roman" w:eastAsia="宋体" w:cs="Times New Roman"/>
                      <w:color w:val="auto"/>
                      <w:szCs w:val="21"/>
                    </w:rPr>
                    <w:t>无高浓度挥发性有机物的母液和废水产生，产生的废活性炭委托有资质单位处置</w:t>
                  </w:r>
                  <w:r>
                    <w:rPr>
                      <w:rFonts w:hint="eastAsia" w:ascii="Times New Roman" w:hAnsi="Times New Roman" w:eastAsia="宋体" w:cs="Times New Roman"/>
                      <w:color w:val="auto"/>
                      <w:szCs w:val="21"/>
                      <w:lang w:eastAsia="zh-CN"/>
                    </w:rPr>
                    <w:t>。</w:t>
                  </w:r>
                </w:p>
              </w:tc>
              <w:tc>
                <w:tcPr>
                  <w:tcW w:w="670" w:type="dxa"/>
                  <w:vAlign w:val="center"/>
                </w:tcPr>
                <w:p w14:paraId="733957C0">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rPr>
                    <w:t>符合</w:t>
                  </w:r>
                </w:p>
              </w:tc>
            </w:tr>
            <w:tr w14:paraId="4ED9F2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428" w:type="dxa"/>
                  <w:vAlign w:val="center"/>
                </w:tcPr>
                <w:p w14:paraId="4E8482A1">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rPr>
                    <w:t>4</w:t>
                  </w:r>
                </w:p>
              </w:tc>
              <w:tc>
                <w:tcPr>
                  <w:tcW w:w="3377" w:type="dxa"/>
                  <w:vAlign w:val="center"/>
                </w:tcPr>
                <w:p w14:paraId="44EE9D67">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rPr>
                    <w:t>企业废气处理方案应明确确保处理装置长期有效运行的管理方案和监控方案，经审核备案后作为环境监察的依据</w:t>
                  </w:r>
                </w:p>
              </w:tc>
              <w:tc>
                <w:tcPr>
                  <w:tcW w:w="3136" w:type="dxa"/>
                  <w:vAlign w:val="center"/>
                </w:tcPr>
                <w:p w14:paraId="1712788D">
                  <w:pPr>
                    <w:keepNext w:val="0"/>
                    <w:keepLines w:val="0"/>
                    <w:suppressLineNumbers w:val="0"/>
                    <w:spacing w:before="0" w:beforeAutospacing="0" w:after="0" w:afterAutospacing="0"/>
                    <w:ind w:left="0" w:right="0"/>
                    <w:jc w:val="center"/>
                    <w:rPr>
                      <w:rFonts w:hint="eastAsia" w:ascii="Times New Roman" w:hAnsi="Times New Roman" w:eastAsia="宋体" w:cs="Times New Roman"/>
                      <w:color w:val="auto"/>
                      <w:szCs w:val="21"/>
                      <w:lang w:eastAsia="zh-CN"/>
                    </w:rPr>
                  </w:pPr>
                  <w:r>
                    <w:rPr>
                      <w:rFonts w:hint="default" w:ascii="Times New Roman" w:hAnsi="Times New Roman" w:eastAsia="宋体" w:cs="Times New Roman"/>
                      <w:color w:val="auto"/>
                      <w:szCs w:val="21"/>
                    </w:rPr>
                    <w:t>企业废气处理方案符合污染防治可行技术指南、排污许可技术规范中明确可行的处理工艺</w:t>
                  </w:r>
                  <w:r>
                    <w:rPr>
                      <w:rFonts w:hint="eastAsia" w:ascii="Times New Roman" w:hAnsi="Times New Roman" w:eastAsia="宋体" w:cs="Times New Roman"/>
                      <w:color w:val="auto"/>
                      <w:szCs w:val="21"/>
                      <w:lang w:eastAsia="zh-CN"/>
                    </w:rPr>
                    <w:t>。</w:t>
                  </w:r>
                </w:p>
              </w:tc>
              <w:tc>
                <w:tcPr>
                  <w:tcW w:w="670" w:type="dxa"/>
                  <w:vAlign w:val="center"/>
                </w:tcPr>
                <w:p w14:paraId="3FE42DF0">
                  <w:pPr>
                    <w:keepNext w:val="0"/>
                    <w:keepLines w:val="0"/>
                    <w:suppressLineNumbers w:val="0"/>
                    <w:spacing w:before="0" w:beforeAutospacing="0" w:after="0" w:afterAutospacing="0"/>
                    <w:ind w:left="0" w:right="0"/>
                    <w:jc w:val="center"/>
                    <w:rPr>
                      <w:rFonts w:hint="eastAsia" w:ascii="Times New Roman" w:hAnsi="Times New Roman" w:eastAsia="宋体" w:cs="Times New Roman"/>
                      <w:color w:val="auto"/>
                      <w:szCs w:val="21"/>
                      <w:lang w:val="en-US" w:eastAsia="zh-CN"/>
                    </w:rPr>
                  </w:pPr>
                  <w:r>
                    <w:rPr>
                      <w:rFonts w:hint="eastAsia" w:ascii="Times New Roman" w:hAnsi="Times New Roman" w:eastAsia="宋体" w:cs="Times New Roman"/>
                      <w:color w:val="auto"/>
                      <w:szCs w:val="21"/>
                      <w:lang w:val="en-US" w:eastAsia="zh-CN"/>
                    </w:rPr>
                    <w:t>符合</w:t>
                  </w:r>
                </w:p>
              </w:tc>
            </w:tr>
            <w:tr w14:paraId="66B5C3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428" w:type="dxa"/>
                  <w:vAlign w:val="center"/>
                </w:tcPr>
                <w:p w14:paraId="46D7FB16">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rPr>
                    <w:t>5</w:t>
                  </w:r>
                </w:p>
              </w:tc>
              <w:tc>
                <w:tcPr>
                  <w:tcW w:w="3377" w:type="dxa"/>
                  <w:vAlign w:val="center"/>
                </w:tcPr>
                <w:p w14:paraId="2EE54A84">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rPr>
                    <w:t>企业在VOCs污染防治设施验收时应监测TVOCs净化效率，并记录在线连续检测装置或其他检测方法获取的TVOCs排放浓度，以作为设施日常稳定运行情况的考核依据。环境监察部门应不定期对净化效率、TVOCs排放浓度或其他替代性监控指标进行监察，其结果作为减排量核定的重要依据</w:t>
                  </w:r>
                </w:p>
              </w:tc>
              <w:tc>
                <w:tcPr>
                  <w:tcW w:w="3136" w:type="dxa"/>
                  <w:vAlign w:val="center"/>
                </w:tcPr>
                <w:p w14:paraId="277EEB0B">
                  <w:pPr>
                    <w:keepNext w:val="0"/>
                    <w:keepLines w:val="0"/>
                    <w:suppressLineNumbers w:val="0"/>
                    <w:spacing w:before="0" w:beforeAutospacing="0" w:after="0" w:afterAutospacing="0"/>
                    <w:ind w:left="0" w:right="0"/>
                    <w:jc w:val="center"/>
                    <w:rPr>
                      <w:rFonts w:hint="eastAsia" w:ascii="Times New Roman" w:hAnsi="Times New Roman" w:eastAsia="宋体" w:cs="Times New Roman"/>
                      <w:color w:val="auto"/>
                      <w:szCs w:val="21"/>
                      <w:lang w:eastAsia="zh-CN"/>
                    </w:rPr>
                  </w:pPr>
                  <w:r>
                    <w:rPr>
                      <w:rFonts w:hint="default" w:ascii="Times New Roman" w:hAnsi="Times New Roman" w:eastAsia="宋体" w:cs="Times New Roman"/>
                      <w:color w:val="auto"/>
                      <w:szCs w:val="21"/>
                    </w:rPr>
                    <w:t>要求企业验收时按严格按照要求执行</w:t>
                  </w:r>
                  <w:r>
                    <w:rPr>
                      <w:rFonts w:hint="eastAsia" w:ascii="Times New Roman" w:hAnsi="Times New Roman" w:eastAsia="宋体" w:cs="Times New Roman"/>
                      <w:color w:val="auto"/>
                      <w:szCs w:val="21"/>
                      <w:lang w:eastAsia="zh-CN"/>
                    </w:rPr>
                    <w:t>。</w:t>
                  </w:r>
                </w:p>
              </w:tc>
              <w:tc>
                <w:tcPr>
                  <w:tcW w:w="670" w:type="dxa"/>
                  <w:vAlign w:val="center"/>
                </w:tcPr>
                <w:p w14:paraId="0DFBED40">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rPr>
                    <w:t>符合</w:t>
                  </w:r>
                </w:p>
              </w:tc>
            </w:tr>
            <w:tr w14:paraId="2D1A08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428" w:type="dxa"/>
                  <w:vAlign w:val="center"/>
                </w:tcPr>
                <w:p w14:paraId="058BD0B5">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rPr>
                    <w:t>6</w:t>
                  </w:r>
                </w:p>
              </w:tc>
              <w:tc>
                <w:tcPr>
                  <w:tcW w:w="3377" w:type="dxa"/>
                  <w:vAlign w:val="center"/>
                </w:tcPr>
                <w:p w14:paraId="0322B7C8">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rPr>
                    <w:t>需定期更换吸附剂、催化剂或吸收液的，应有详细的购买及更换台账，提供采购发票复印件，每月报环保部门备案，台账至少保存3年</w:t>
                  </w:r>
                </w:p>
              </w:tc>
              <w:tc>
                <w:tcPr>
                  <w:tcW w:w="3136" w:type="dxa"/>
                  <w:vAlign w:val="center"/>
                </w:tcPr>
                <w:p w14:paraId="1AC3C926">
                  <w:pPr>
                    <w:keepNext w:val="0"/>
                    <w:keepLines w:val="0"/>
                    <w:suppressLineNumbers w:val="0"/>
                    <w:spacing w:before="0" w:beforeAutospacing="0" w:after="0" w:afterAutospacing="0"/>
                    <w:ind w:left="0" w:right="0"/>
                    <w:jc w:val="center"/>
                    <w:rPr>
                      <w:rFonts w:hint="eastAsia" w:ascii="Times New Roman" w:hAnsi="Times New Roman" w:eastAsia="宋体" w:cs="Times New Roman"/>
                      <w:color w:val="auto"/>
                      <w:szCs w:val="21"/>
                      <w:lang w:eastAsia="zh-CN"/>
                    </w:rPr>
                  </w:pPr>
                  <w:r>
                    <w:rPr>
                      <w:rFonts w:hint="default" w:ascii="Times New Roman" w:hAnsi="Times New Roman" w:eastAsia="宋体" w:cs="Times New Roman"/>
                      <w:color w:val="auto"/>
                      <w:szCs w:val="21"/>
                    </w:rPr>
                    <w:t>要求企业台账至少保存</w:t>
                  </w:r>
                  <w:r>
                    <w:rPr>
                      <w:rFonts w:hint="eastAsia" w:ascii="Times New Roman" w:hAnsi="Times New Roman" w:eastAsia="宋体" w:cs="Times New Roman"/>
                      <w:color w:val="auto"/>
                      <w:szCs w:val="21"/>
                      <w:lang w:val="en-US" w:eastAsia="zh-CN"/>
                    </w:rPr>
                    <w:t>3</w:t>
                  </w:r>
                  <w:r>
                    <w:rPr>
                      <w:rFonts w:hint="default" w:ascii="Times New Roman" w:hAnsi="Times New Roman" w:eastAsia="宋体" w:cs="Times New Roman"/>
                      <w:color w:val="auto"/>
                      <w:szCs w:val="21"/>
                    </w:rPr>
                    <w:t>年</w:t>
                  </w:r>
                  <w:r>
                    <w:rPr>
                      <w:rFonts w:hint="eastAsia" w:ascii="Times New Roman" w:hAnsi="Times New Roman" w:eastAsia="宋体" w:cs="Times New Roman"/>
                      <w:color w:val="auto"/>
                      <w:szCs w:val="21"/>
                      <w:lang w:eastAsia="zh-CN"/>
                    </w:rPr>
                    <w:t>。</w:t>
                  </w:r>
                </w:p>
              </w:tc>
              <w:tc>
                <w:tcPr>
                  <w:tcW w:w="670" w:type="dxa"/>
                  <w:vAlign w:val="center"/>
                </w:tcPr>
                <w:p w14:paraId="6CDB5EB0">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rPr>
                    <w:t>符合</w:t>
                  </w:r>
                </w:p>
              </w:tc>
            </w:tr>
          </w:tbl>
          <w:p w14:paraId="4F615B1C">
            <w:pPr>
              <w:keepNext w:val="0"/>
              <w:keepLines w:val="0"/>
              <w:suppressLineNumbers w:val="0"/>
              <w:spacing w:before="0" w:beforeAutospacing="0" w:after="0" w:afterAutospacing="0" w:line="360" w:lineRule="auto"/>
              <w:ind w:left="0" w:right="0"/>
              <w:rPr>
                <w:rFonts w:hint="default" w:ascii="Times New Roman" w:hAnsi="Times New Roman" w:eastAsia="宋体" w:cs="Times New Roman"/>
                <w:b/>
                <w:bCs/>
                <w:color w:val="auto"/>
                <w:sz w:val="24"/>
              </w:rPr>
            </w:pPr>
            <w:r>
              <w:rPr>
                <w:rFonts w:hint="eastAsia" w:ascii="Times New Roman" w:hAnsi="Times New Roman" w:eastAsia="宋体" w:cs="Times New Roman"/>
                <w:b/>
                <w:bCs/>
                <w:color w:val="auto"/>
                <w:sz w:val="24"/>
                <w:lang w:val="en-US" w:eastAsia="zh-CN"/>
              </w:rPr>
              <w:t>1.2.8</w:t>
            </w:r>
            <w:r>
              <w:rPr>
                <w:rFonts w:hint="eastAsia" w:ascii="Times New Roman" w:hAnsi="Times New Roman" w:eastAsia="宋体" w:cs="Times New Roman"/>
                <w:b/>
                <w:bCs/>
                <w:color w:val="auto"/>
                <w:sz w:val="24"/>
              </w:rPr>
              <w:t>《浙江省</w:t>
            </w:r>
            <w:r>
              <w:rPr>
                <w:rFonts w:hint="eastAsia" w:ascii="Times New Roman" w:hAnsi="Times New Roman" w:eastAsia="宋体" w:cs="Times New Roman"/>
                <w:b/>
                <w:bCs/>
                <w:color w:val="auto"/>
                <w:sz w:val="24"/>
                <w:lang w:eastAsia="zh-CN"/>
              </w:rPr>
              <w:t>“</w:t>
            </w:r>
            <w:r>
              <w:rPr>
                <w:rFonts w:hint="eastAsia" w:ascii="Times New Roman" w:hAnsi="Times New Roman" w:eastAsia="宋体" w:cs="Times New Roman"/>
                <w:b/>
                <w:bCs/>
                <w:color w:val="auto"/>
                <w:sz w:val="24"/>
              </w:rPr>
              <w:t>十四五</w:t>
            </w:r>
            <w:r>
              <w:rPr>
                <w:rFonts w:hint="eastAsia" w:ascii="Times New Roman" w:hAnsi="Times New Roman" w:eastAsia="宋体" w:cs="Times New Roman"/>
                <w:b/>
                <w:bCs/>
                <w:color w:val="auto"/>
                <w:sz w:val="24"/>
                <w:lang w:eastAsia="zh-CN"/>
              </w:rPr>
              <w:t>”</w:t>
            </w:r>
            <w:r>
              <w:rPr>
                <w:rFonts w:hint="eastAsia" w:ascii="Times New Roman" w:hAnsi="Times New Roman" w:eastAsia="宋体" w:cs="Times New Roman"/>
                <w:b/>
                <w:bCs/>
                <w:color w:val="auto"/>
                <w:sz w:val="24"/>
              </w:rPr>
              <w:t>挥发性有机物综合整治方案》符合性分析</w:t>
            </w:r>
          </w:p>
          <w:p w14:paraId="4583D07E">
            <w:pPr>
              <w:keepNext w:val="0"/>
              <w:keepLines w:val="0"/>
              <w:suppressLineNumbers w:val="0"/>
              <w:spacing w:before="0" w:beforeAutospacing="0" w:after="0" w:afterAutospacing="0"/>
              <w:ind w:left="0" w:right="0"/>
              <w:jc w:val="center"/>
              <w:rPr>
                <w:rFonts w:hint="default" w:ascii="Times New Roman" w:hAnsi="Times New Roman" w:eastAsia="宋体" w:cs="Times New Roman"/>
                <w:b/>
                <w:bCs/>
                <w:color w:val="auto"/>
              </w:rPr>
            </w:pPr>
            <w:r>
              <w:rPr>
                <w:rFonts w:hint="eastAsia" w:ascii="Times New Roman" w:hAnsi="Times New Roman" w:eastAsia="宋体" w:cs="Times New Roman"/>
                <w:b/>
                <w:bCs/>
                <w:color w:val="auto"/>
              </w:rPr>
              <w:t>表</w:t>
            </w:r>
            <w:r>
              <w:rPr>
                <w:rFonts w:hint="default" w:ascii="Times New Roman" w:hAnsi="Times New Roman" w:eastAsia="宋体" w:cs="Times New Roman"/>
                <w:b/>
                <w:bCs/>
                <w:color w:val="auto"/>
              </w:rPr>
              <w:t>1-1</w:t>
            </w:r>
            <w:r>
              <w:rPr>
                <w:rFonts w:hint="eastAsia" w:ascii="Times New Roman" w:hAnsi="Times New Roman" w:eastAsia="宋体" w:cs="Times New Roman"/>
                <w:b/>
                <w:bCs/>
                <w:color w:val="auto"/>
                <w:lang w:val="en-US" w:eastAsia="zh-CN"/>
              </w:rPr>
              <w:t>4</w:t>
            </w:r>
            <w:r>
              <w:rPr>
                <w:rFonts w:hint="default" w:ascii="Times New Roman" w:hAnsi="Times New Roman" w:eastAsia="宋体" w:cs="Times New Roman"/>
                <w:b/>
                <w:bCs/>
                <w:color w:val="auto"/>
              </w:rPr>
              <w:t xml:space="preserve"> </w:t>
            </w:r>
            <w:r>
              <w:rPr>
                <w:rFonts w:hint="eastAsia" w:ascii="Times New Roman" w:hAnsi="Times New Roman" w:eastAsia="宋体" w:cs="Times New Roman"/>
                <w:b/>
                <w:bCs/>
                <w:color w:val="auto"/>
              </w:rPr>
              <w:t xml:space="preserve"> 与《浙江省</w:t>
            </w:r>
            <w:r>
              <w:rPr>
                <w:rFonts w:hint="eastAsia" w:ascii="Times New Roman" w:hAnsi="Times New Roman" w:eastAsia="宋体" w:cs="Times New Roman"/>
                <w:b/>
                <w:bCs/>
                <w:color w:val="auto"/>
                <w:lang w:eastAsia="zh-CN"/>
              </w:rPr>
              <w:t>“</w:t>
            </w:r>
            <w:r>
              <w:rPr>
                <w:rFonts w:hint="eastAsia" w:ascii="Times New Roman" w:hAnsi="Times New Roman" w:eastAsia="宋体" w:cs="Times New Roman"/>
                <w:b/>
                <w:bCs/>
                <w:color w:val="auto"/>
              </w:rPr>
              <w:t>十四五</w:t>
            </w:r>
            <w:r>
              <w:rPr>
                <w:rFonts w:hint="eastAsia" w:ascii="Times New Roman" w:hAnsi="Times New Roman" w:eastAsia="宋体" w:cs="Times New Roman"/>
                <w:b/>
                <w:bCs/>
                <w:color w:val="auto"/>
                <w:lang w:eastAsia="zh-CN"/>
              </w:rPr>
              <w:t>”</w:t>
            </w:r>
            <w:r>
              <w:rPr>
                <w:rFonts w:hint="eastAsia" w:ascii="Times New Roman" w:hAnsi="Times New Roman" w:eastAsia="宋体" w:cs="Times New Roman"/>
                <w:b/>
                <w:bCs/>
                <w:color w:val="auto"/>
              </w:rPr>
              <w:t>挥发性有机物综合治理方案》符合性分析</w:t>
            </w:r>
          </w:p>
          <w:tbl>
            <w:tblPr>
              <w:tblStyle w:val="23"/>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76"/>
              <w:gridCol w:w="449"/>
              <w:gridCol w:w="3520"/>
              <w:gridCol w:w="2534"/>
              <w:gridCol w:w="700"/>
            </w:tblGrid>
            <w:tr w14:paraId="5833D1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776" w:type="dxa"/>
                  <w:vAlign w:val="center"/>
                </w:tcPr>
                <w:p w14:paraId="183390BE">
                  <w:pPr>
                    <w:keepNext w:val="0"/>
                    <w:keepLines w:val="0"/>
                    <w:suppressLineNumbers w:val="0"/>
                    <w:spacing w:before="0" w:beforeAutospacing="0" w:after="0" w:afterAutospacing="0"/>
                    <w:ind w:left="0" w:right="0"/>
                    <w:jc w:val="center"/>
                    <w:rPr>
                      <w:rFonts w:hint="default" w:ascii="Times New Roman" w:hAnsi="Times New Roman" w:eastAsia="宋体" w:cs="Times New Roman"/>
                      <w:b/>
                      <w:bCs/>
                      <w:color w:val="auto"/>
                      <w:szCs w:val="21"/>
                    </w:rPr>
                  </w:pPr>
                  <w:r>
                    <w:rPr>
                      <w:rFonts w:hint="default" w:ascii="Times New Roman" w:hAnsi="Times New Roman" w:eastAsia="宋体" w:cs="Times New Roman"/>
                      <w:b/>
                      <w:bCs/>
                      <w:color w:val="auto"/>
                      <w:szCs w:val="21"/>
                    </w:rPr>
                    <w:t>类别</w:t>
                  </w:r>
                </w:p>
              </w:tc>
              <w:tc>
                <w:tcPr>
                  <w:tcW w:w="449" w:type="dxa"/>
                  <w:vAlign w:val="center"/>
                </w:tcPr>
                <w:p w14:paraId="2875443D">
                  <w:pPr>
                    <w:keepNext w:val="0"/>
                    <w:keepLines w:val="0"/>
                    <w:suppressLineNumbers w:val="0"/>
                    <w:spacing w:before="0" w:beforeAutospacing="0" w:after="0" w:afterAutospacing="0"/>
                    <w:ind w:left="0" w:right="0"/>
                    <w:jc w:val="center"/>
                    <w:rPr>
                      <w:rFonts w:hint="default" w:ascii="Times New Roman" w:hAnsi="Times New Roman" w:eastAsia="宋体" w:cs="Times New Roman"/>
                      <w:b/>
                      <w:bCs/>
                      <w:color w:val="auto"/>
                      <w:szCs w:val="21"/>
                    </w:rPr>
                  </w:pPr>
                  <w:r>
                    <w:rPr>
                      <w:rFonts w:hint="default" w:ascii="Times New Roman" w:hAnsi="Times New Roman" w:eastAsia="宋体" w:cs="Times New Roman"/>
                      <w:b/>
                      <w:bCs/>
                      <w:color w:val="auto"/>
                      <w:szCs w:val="21"/>
                    </w:rPr>
                    <w:t>序号</w:t>
                  </w:r>
                </w:p>
              </w:tc>
              <w:tc>
                <w:tcPr>
                  <w:tcW w:w="3520" w:type="dxa"/>
                  <w:vAlign w:val="center"/>
                </w:tcPr>
                <w:p w14:paraId="3F6BF524">
                  <w:pPr>
                    <w:keepNext w:val="0"/>
                    <w:keepLines w:val="0"/>
                    <w:suppressLineNumbers w:val="0"/>
                    <w:spacing w:before="0" w:beforeAutospacing="0" w:after="0" w:afterAutospacing="0"/>
                    <w:ind w:left="0" w:right="0"/>
                    <w:jc w:val="center"/>
                    <w:rPr>
                      <w:rFonts w:hint="default" w:ascii="Times New Roman" w:hAnsi="Times New Roman" w:eastAsia="宋体" w:cs="Times New Roman"/>
                      <w:b/>
                      <w:bCs/>
                      <w:color w:val="auto"/>
                      <w:szCs w:val="21"/>
                    </w:rPr>
                  </w:pPr>
                  <w:r>
                    <w:rPr>
                      <w:rFonts w:hint="default" w:ascii="Times New Roman" w:hAnsi="Times New Roman" w:eastAsia="宋体" w:cs="Times New Roman"/>
                      <w:b/>
                      <w:bCs/>
                      <w:color w:val="auto"/>
                      <w:szCs w:val="21"/>
                    </w:rPr>
                    <w:t>内容</w:t>
                  </w:r>
                </w:p>
              </w:tc>
              <w:tc>
                <w:tcPr>
                  <w:tcW w:w="2534" w:type="dxa"/>
                  <w:vAlign w:val="center"/>
                </w:tcPr>
                <w:p w14:paraId="05534047">
                  <w:pPr>
                    <w:keepNext w:val="0"/>
                    <w:keepLines w:val="0"/>
                    <w:suppressLineNumbers w:val="0"/>
                    <w:spacing w:before="0" w:beforeAutospacing="0" w:after="0" w:afterAutospacing="0"/>
                    <w:ind w:left="0" w:right="0"/>
                    <w:jc w:val="center"/>
                    <w:rPr>
                      <w:rFonts w:hint="default" w:ascii="Times New Roman" w:hAnsi="Times New Roman" w:eastAsia="宋体" w:cs="Times New Roman"/>
                      <w:b/>
                      <w:bCs/>
                      <w:color w:val="auto"/>
                      <w:szCs w:val="21"/>
                    </w:rPr>
                  </w:pPr>
                  <w:r>
                    <w:rPr>
                      <w:rFonts w:hint="default" w:ascii="Times New Roman" w:hAnsi="Times New Roman" w:eastAsia="宋体" w:cs="Times New Roman"/>
                      <w:b/>
                      <w:bCs/>
                      <w:color w:val="auto"/>
                      <w:szCs w:val="21"/>
                    </w:rPr>
                    <w:t>项目情况</w:t>
                  </w:r>
                </w:p>
              </w:tc>
              <w:tc>
                <w:tcPr>
                  <w:tcW w:w="700" w:type="dxa"/>
                  <w:vAlign w:val="center"/>
                </w:tcPr>
                <w:p w14:paraId="16378E31">
                  <w:pPr>
                    <w:keepNext w:val="0"/>
                    <w:keepLines w:val="0"/>
                    <w:suppressLineNumbers w:val="0"/>
                    <w:spacing w:before="0" w:beforeAutospacing="0" w:after="0" w:afterAutospacing="0"/>
                    <w:ind w:left="0" w:right="0"/>
                    <w:jc w:val="center"/>
                    <w:rPr>
                      <w:rFonts w:hint="default" w:ascii="Times New Roman" w:hAnsi="Times New Roman" w:eastAsia="宋体" w:cs="Times New Roman"/>
                      <w:b/>
                      <w:bCs/>
                      <w:color w:val="auto"/>
                      <w:szCs w:val="21"/>
                      <w:lang w:val="en-US" w:eastAsia="zh-CN"/>
                    </w:rPr>
                  </w:pPr>
                  <w:r>
                    <w:rPr>
                      <w:rFonts w:hint="eastAsia" w:ascii="Times New Roman" w:hAnsi="Times New Roman" w:eastAsia="宋体" w:cs="Times New Roman"/>
                      <w:b/>
                      <w:bCs/>
                      <w:color w:val="auto"/>
                      <w:szCs w:val="21"/>
                      <w:lang w:val="en-US" w:eastAsia="zh-CN"/>
                    </w:rPr>
                    <w:t>是否符合</w:t>
                  </w:r>
                </w:p>
              </w:tc>
            </w:tr>
            <w:tr w14:paraId="5C606A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776" w:type="dxa"/>
                  <w:vMerge w:val="restart"/>
                  <w:vAlign w:val="center"/>
                </w:tcPr>
                <w:p w14:paraId="75770FD7">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rPr>
                    <w:t>大力推进绿色生产，强化源头控制</w:t>
                  </w:r>
                </w:p>
              </w:tc>
              <w:tc>
                <w:tcPr>
                  <w:tcW w:w="449" w:type="dxa"/>
                  <w:vAlign w:val="center"/>
                </w:tcPr>
                <w:p w14:paraId="50B5CBF1">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rPr>
                    <w:t>1</w:t>
                  </w:r>
                </w:p>
              </w:tc>
              <w:tc>
                <w:tcPr>
                  <w:tcW w:w="3520" w:type="dxa"/>
                  <w:vAlign w:val="center"/>
                </w:tcPr>
                <w:p w14:paraId="029E073E">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rPr>
                    <w:t>全面推行工业涂装企业使用低VOCs含量原辅材料。严格执行《大气污染防治法》第四十六条规定，选用粉末涂料、水性涂料、无溶剂涂料、辐射固化涂料等环境友好型涂料和符合要求的（高固体分）溶剂型涂料。工业涂装企业所使用的水性涂料、溶剂型涂料、无溶剂涂料、辐射固化涂料应符合《低挥发性有机化合物含量涂料产品技术要求》规定的VOCs含量限值要求，并建立台账，记录原辅材料的使用量、废弃量、去向以及VOCs含量</w:t>
                  </w:r>
                </w:p>
              </w:tc>
              <w:tc>
                <w:tcPr>
                  <w:tcW w:w="2534" w:type="dxa"/>
                  <w:vAlign w:val="center"/>
                </w:tcPr>
                <w:p w14:paraId="7548E620">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lang w:val="en-US" w:eastAsia="zh-CN"/>
                    </w:rPr>
                    <w:t>本项目使用背胶处理剂，根据《胶粘剂挥发性有机化合物限量》（GB33372-2020）表3中的要求：</w:t>
                  </w:r>
                  <w:r>
                    <w:rPr>
                      <w:rFonts w:hint="eastAsia" w:ascii="Times New Roman" w:hAnsi="Times New Roman" w:eastAsia="宋体" w:cs="Times New Roman"/>
                      <w:color w:val="auto"/>
                      <w:szCs w:val="21"/>
                      <w:lang w:val="en-US" w:eastAsia="zh-CN"/>
                    </w:rPr>
                    <w:t>“</w:t>
                  </w:r>
                  <w:r>
                    <w:rPr>
                      <w:rFonts w:hint="default" w:ascii="Times New Roman" w:hAnsi="Times New Roman" w:eastAsia="宋体" w:cs="Times New Roman"/>
                      <w:color w:val="auto"/>
                      <w:szCs w:val="21"/>
                      <w:lang w:val="en-US" w:eastAsia="zh-CN"/>
                    </w:rPr>
                    <w:t>其他</w:t>
                  </w:r>
                  <w:r>
                    <w:rPr>
                      <w:rFonts w:hint="eastAsia" w:ascii="Times New Roman" w:hAnsi="Times New Roman" w:eastAsia="宋体" w:cs="Times New Roman"/>
                      <w:color w:val="auto"/>
                      <w:szCs w:val="21"/>
                      <w:lang w:val="en-US" w:eastAsia="zh-CN"/>
                    </w:rPr>
                    <w:t>”</w:t>
                  </w:r>
                  <w:r>
                    <w:rPr>
                      <w:rFonts w:hint="default" w:ascii="Times New Roman" w:hAnsi="Times New Roman" w:eastAsia="宋体" w:cs="Times New Roman"/>
                      <w:color w:val="auto"/>
                      <w:szCs w:val="21"/>
                      <w:lang w:val="en-US" w:eastAsia="zh-CN"/>
                    </w:rPr>
                    <w:t>应用领域中的</w:t>
                  </w:r>
                  <w:r>
                    <w:rPr>
                      <w:rFonts w:hint="eastAsia" w:ascii="Times New Roman" w:hAnsi="Times New Roman" w:eastAsia="宋体" w:cs="Times New Roman"/>
                      <w:color w:val="auto"/>
                      <w:szCs w:val="21"/>
                      <w:lang w:val="en-US" w:eastAsia="zh-CN"/>
                    </w:rPr>
                    <w:t>“</w:t>
                  </w:r>
                  <w:r>
                    <w:rPr>
                      <w:rFonts w:hint="default" w:ascii="Times New Roman" w:hAnsi="Times New Roman" w:eastAsia="宋体" w:cs="Times New Roman"/>
                      <w:color w:val="auto"/>
                      <w:szCs w:val="21"/>
                      <w:lang w:val="en-US" w:eastAsia="zh-CN"/>
                    </w:rPr>
                    <w:t>其他</w:t>
                  </w:r>
                  <w:r>
                    <w:rPr>
                      <w:rFonts w:hint="eastAsia" w:ascii="Times New Roman" w:hAnsi="Times New Roman" w:eastAsia="宋体" w:cs="Times New Roman"/>
                      <w:color w:val="auto"/>
                      <w:szCs w:val="21"/>
                      <w:lang w:val="en-US" w:eastAsia="zh-CN"/>
                    </w:rPr>
                    <w:t>”</w:t>
                  </w:r>
                  <w:r>
                    <w:rPr>
                      <w:rFonts w:hint="default" w:ascii="Times New Roman" w:hAnsi="Times New Roman" w:eastAsia="宋体" w:cs="Times New Roman"/>
                      <w:color w:val="auto"/>
                      <w:szCs w:val="21"/>
                      <w:lang w:val="en-US" w:eastAsia="zh-CN"/>
                    </w:rPr>
                    <w:t>本体型胶粘剂VOC含量限量值为≤50g/kg。根据企业提供资料，项目使用的胶粘剂中正庚烷含量为3.5%（按全部挥发计），则本项目胶粘剂中的VOC含量为35g/kg，符合上述要求。</w:t>
                  </w:r>
                </w:p>
              </w:tc>
              <w:tc>
                <w:tcPr>
                  <w:tcW w:w="700" w:type="dxa"/>
                  <w:vAlign w:val="center"/>
                </w:tcPr>
                <w:p w14:paraId="4DD69125">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lang w:val="en-US" w:eastAsia="zh-CN"/>
                    </w:rPr>
                  </w:pPr>
                  <w:r>
                    <w:rPr>
                      <w:rFonts w:hint="eastAsia" w:ascii="Times New Roman" w:hAnsi="Times New Roman" w:eastAsia="宋体" w:cs="Times New Roman"/>
                      <w:color w:val="auto"/>
                      <w:szCs w:val="21"/>
                      <w:lang w:val="en-US" w:eastAsia="zh-CN"/>
                    </w:rPr>
                    <w:t>符合</w:t>
                  </w:r>
                </w:p>
              </w:tc>
            </w:tr>
            <w:tr w14:paraId="4D48D2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776" w:type="dxa"/>
                  <w:vMerge w:val="continue"/>
                  <w:vAlign w:val="center"/>
                </w:tcPr>
                <w:p w14:paraId="7A302F8C">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p>
              </w:tc>
              <w:tc>
                <w:tcPr>
                  <w:tcW w:w="449" w:type="dxa"/>
                  <w:vAlign w:val="center"/>
                </w:tcPr>
                <w:p w14:paraId="4E33A3D8">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rPr>
                    <w:t>2</w:t>
                  </w:r>
                </w:p>
              </w:tc>
              <w:tc>
                <w:tcPr>
                  <w:tcW w:w="3520" w:type="dxa"/>
                  <w:vAlign w:val="center"/>
                </w:tcPr>
                <w:p w14:paraId="26220BA0">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rPr>
                    <w:t>全面排查使用溶剂型工业涂料、油墨、胶粘剂、清洗剂等原辅材料的企业，各地应结合本地产业特点和本方案指导目录（见附件1），制定低VOCs含量原辅材料源头替代实施计划，明确分行业源头替代时间表，按照</w:t>
                  </w:r>
                  <w:r>
                    <w:rPr>
                      <w:rFonts w:hint="eastAsia" w:ascii="Times New Roman" w:hAnsi="Times New Roman" w:eastAsia="宋体" w:cs="Times New Roman"/>
                      <w:color w:val="auto"/>
                      <w:szCs w:val="21"/>
                      <w:lang w:eastAsia="zh-CN"/>
                    </w:rPr>
                    <w:t>“</w:t>
                  </w:r>
                  <w:r>
                    <w:rPr>
                      <w:rFonts w:hint="default" w:ascii="Times New Roman" w:hAnsi="Times New Roman" w:eastAsia="宋体" w:cs="Times New Roman"/>
                      <w:color w:val="auto"/>
                      <w:szCs w:val="21"/>
                    </w:rPr>
                    <w:t>可替尽替、应代尽代</w:t>
                  </w:r>
                  <w:r>
                    <w:rPr>
                      <w:rFonts w:hint="eastAsia" w:ascii="Times New Roman" w:hAnsi="Times New Roman" w:eastAsia="宋体" w:cs="Times New Roman"/>
                      <w:color w:val="auto"/>
                      <w:szCs w:val="21"/>
                      <w:lang w:eastAsia="zh-CN"/>
                    </w:rPr>
                    <w:t>”</w:t>
                  </w:r>
                  <w:r>
                    <w:rPr>
                      <w:rFonts w:hint="default" w:ascii="Times New Roman" w:hAnsi="Times New Roman" w:eastAsia="宋体" w:cs="Times New Roman"/>
                      <w:color w:val="auto"/>
                      <w:szCs w:val="21"/>
                    </w:rPr>
                    <w:t>的原则，实施一批替代溶剂型原辅材料的项目</w:t>
                  </w:r>
                </w:p>
              </w:tc>
              <w:tc>
                <w:tcPr>
                  <w:tcW w:w="2534" w:type="dxa"/>
                  <w:vAlign w:val="center"/>
                </w:tcPr>
                <w:p w14:paraId="3A977A86">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lang w:val="en-US" w:eastAsia="zh-CN"/>
                    </w:rPr>
                    <w:t>本项目使用背胶处理剂，根据《胶粘剂挥发性有机化合物限量》（GB33372-2020）表3中的要求：</w:t>
                  </w:r>
                  <w:r>
                    <w:rPr>
                      <w:rFonts w:hint="eastAsia" w:ascii="Times New Roman" w:hAnsi="Times New Roman" w:eastAsia="宋体" w:cs="Times New Roman"/>
                      <w:color w:val="auto"/>
                      <w:szCs w:val="21"/>
                      <w:lang w:val="en-US" w:eastAsia="zh-CN"/>
                    </w:rPr>
                    <w:t>“</w:t>
                  </w:r>
                  <w:r>
                    <w:rPr>
                      <w:rFonts w:hint="default" w:ascii="Times New Roman" w:hAnsi="Times New Roman" w:eastAsia="宋体" w:cs="Times New Roman"/>
                      <w:color w:val="auto"/>
                      <w:szCs w:val="21"/>
                      <w:lang w:val="en-US" w:eastAsia="zh-CN"/>
                    </w:rPr>
                    <w:t>其他</w:t>
                  </w:r>
                  <w:r>
                    <w:rPr>
                      <w:rFonts w:hint="eastAsia" w:ascii="Times New Roman" w:hAnsi="Times New Roman" w:eastAsia="宋体" w:cs="Times New Roman"/>
                      <w:color w:val="auto"/>
                      <w:szCs w:val="21"/>
                      <w:lang w:val="en-US" w:eastAsia="zh-CN"/>
                    </w:rPr>
                    <w:t>”</w:t>
                  </w:r>
                  <w:r>
                    <w:rPr>
                      <w:rFonts w:hint="default" w:ascii="Times New Roman" w:hAnsi="Times New Roman" w:eastAsia="宋体" w:cs="Times New Roman"/>
                      <w:color w:val="auto"/>
                      <w:szCs w:val="21"/>
                      <w:lang w:val="en-US" w:eastAsia="zh-CN"/>
                    </w:rPr>
                    <w:t>应用领域中的</w:t>
                  </w:r>
                  <w:r>
                    <w:rPr>
                      <w:rFonts w:hint="eastAsia" w:ascii="Times New Roman" w:hAnsi="Times New Roman" w:eastAsia="宋体" w:cs="Times New Roman"/>
                      <w:color w:val="auto"/>
                      <w:szCs w:val="21"/>
                      <w:lang w:val="en-US" w:eastAsia="zh-CN"/>
                    </w:rPr>
                    <w:t>“</w:t>
                  </w:r>
                  <w:r>
                    <w:rPr>
                      <w:rFonts w:hint="default" w:ascii="Times New Roman" w:hAnsi="Times New Roman" w:eastAsia="宋体" w:cs="Times New Roman"/>
                      <w:color w:val="auto"/>
                      <w:szCs w:val="21"/>
                      <w:lang w:val="en-US" w:eastAsia="zh-CN"/>
                    </w:rPr>
                    <w:t>其他</w:t>
                  </w:r>
                  <w:r>
                    <w:rPr>
                      <w:rFonts w:hint="eastAsia" w:ascii="Times New Roman" w:hAnsi="Times New Roman" w:eastAsia="宋体" w:cs="Times New Roman"/>
                      <w:color w:val="auto"/>
                      <w:szCs w:val="21"/>
                      <w:lang w:val="en-US" w:eastAsia="zh-CN"/>
                    </w:rPr>
                    <w:t>”</w:t>
                  </w:r>
                  <w:r>
                    <w:rPr>
                      <w:rFonts w:hint="default" w:ascii="Times New Roman" w:hAnsi="Times New Roman" w:eastAsia="宋体" w:cs="Times New Roman"/>
                      <w:color w:val="auto"/>
                      <w:szCs w:val="21"/>
                      <w:lang w:val="en-US" w:eastAsia="zh-CN"/>
                    </w:rPr>
                    <w:t>本体型胶粘剂VOC含量限量值为≤50g/kg。根据企业提供资料，项目使用的胶粘剂中正庚烷含量为3.5%（按全部挥发计），则本项目胶粘剂中的VOC含量为35g/kg，符合上述要求。</w:t>
                  </w:r>
                </w:p>
              </w:tc>
              <w:tc>
                <w:tcPr>
                  <w:tcW w:w="700" w:type="dxa"/>
                  <w:vAlign w:val="center"/>
                </w:tcPr>
                <w:p w14:paraId="74144496">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rPr>
                    <w:t>符合</w:t>
                  </w:r>
                </w:p>
              </w:tc>
            </w:tr>
            <w:tr w14:paraId="19CEF3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776" w:type="dxa"/>
                  <w:vMerge w:val="restart"/>
                  <w:vAlign w:val="center"/>
                </w:tcPr>
                <w:p w14:paraId="0C164670">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rPr>
                    <w:t>严格生产环节控制，减少过程泄漏</w:t>
                  </w:r>
                </w:p>
              </w:tc>
              <w:tc>
                <w:tcPr>
                  <w:tcW w:w="449" w:type="dxa"/>
                  <w:vAlign w:val="center"/>
                </w:tcPr>
                <w:p w14:paraId="571518BE">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rPr>
                    <w:t>3</w:t>
                  </w:r>
                </w:p>
              </w:tc>
              <w:tc>
                <w:tcPr>
                  <w:tcW w:w="3520" w:type="dxa"/>
                  <w:vAlign w:val="center"/>
                </w:tcPr>
                <w:p w14:paraId="4AA3A86F">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rPr>
                    <w:t>严格控制无组织排放。在保证安全前提下，加强含VOCs物料全方位、全链条、全环节密闭管理，做好VOCs物料储存、转移和输送、设备与管线组件泄漏、敞开液面逸散以及工艺过程等无组织排放环节的管理。生产应优先采用密闭设备、在密闭空间中操作或采用全密闭集气罩收集方式，原则上应保持微负压状态，并根据相关规范合理设置通风量；采用局部集气罩的，距集气罩开口面最远处的VOCs无组织排放位置控制风速应不低于0.3米/秒。对VOCs物料储罐和污水集输、储存、处理设施开展排查，督促企业按要求开展专项治理</w:t>
                  </w:r>
                </w:p>
              </w:tc>
              <w:tc>
                <w:tcPr>
                  <w:tcW w:w="2534" w:type="dxa"/>
                  <w:shd w:val="clear" w:color="auto" w:fill="auto"/>
                  <w:vAlign w:val="center"/>
                </w:tcPr>
                <w:p w14:paraId="19D479D7">
                  <w:pPr>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color w:val="auto"/>
                      <w:kern w:val="2"/>
                      <w:sz w:val="21"/>
                      <w:szCs w:val="21"/>
                      <w:lang w:val="en-US" w:eastAsia="zh-CN" w:bidi="ar-SA"/>
                    </w:rPr>
                  </w:pPr>
                  <w:r>
                    <w:rPr>
                      <w:rFonts w:hint="default" w:ascii="Times New Roman" w:hAnsi="Times New Roman" w:eastAsia="宋体" w:cs="Times New Roman"/>
                      <w:color w:val="auto"/>
                      <w:szCs w:val="21"/>
                      <w:lang w:val="en-US" w:eastAsia="zh-CN"/>
                    </w:rPr>
                    <w:t>本项目烘烤固化工序均为全密闭设备，在烘道进出口设置全密闭风罩，仅留进出口通道；本项目背胶贴合区整体密闭，在生产车间进行整体抽风，仅设置一个进出口，在非必要情况下也必须处于关闭状态，使生产车间整体处于相对密闭状态；本项目立式液态射出成型机运行过程保持加热段和成型段密闭，因此，废气仅在其物料完成成型工艺的出口散发，故拟在物料出口上方设置集气罩，以上废气经收集后通过一套水喷淋+干式过滤+二级活性炭吸附装置（TA001）处理，尾气由一根26m高的排气筒DA001排放。</w:t>
                  </w:r>
                </w:p>
              </w:tc>
              <w:tc>
                <w:tcPr>
                  <w:tcW w:w="700" w:type="dxa"/>
                  <w:vAlign w:val="center"/>
                </w:tcPr>
                <w:p w14:paraId="3F018276">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rPr>
                    <w:t>符合</w:t>
                  </w:r>
                </w:p>
              </w:tc>
            </w:tr>
            <w:tr w14:paraId="5CF2E2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776" w:type="dxa"/>
                  <w:vMerge w:val="continue"/>
                  <w:vAlign w:val="center"/>
                </w:tcPr>
                <w:p w14:paraId="4F6DDB39">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p>
              </w:tc>
              <w:tc>
                <w:tcPr>
                  <w:tcW w:w="449" w:type="dxa"/>
                  <w:vAlign w:val="center"/>
                </w:tcPr>
                <w:p w14:paraId="1607311D">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rPr>
                    <w:t>4</w:t>
                  </w:r>
                </w:p>
              </w:tc>
              <w:tc>
                <w:tcPr>
                  <w:tcW w:w="3520" w:type="dxa"/>
                  <w:vAlign w:val="center"/>
                </w:tcPr>
                <w:p w14:paraId="51186A18">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rPr>
                    <w:t>全面开展泄漏检测与修复（LDAR）。石油炼制、石油化学、合成树脂企业严格按照行业排放标准要求开展LDAR工作；其他企业载有气态、液态VOCs物料设备与管线组件密封点大于等于2000个的，应开展LDAR工作</w:t>
                  </w:r>
                </w:p>
              </w:tc>
              <w:tc>
                <w:tcPr>
                  <w:tcW w:w="2534" w:type="dxa"/>
                  <w:vAlign w:val="center"/>
                </w:tcPr>
                <w:p w14:paraId="13615212">
                  <w:pPr>
                    <w:keepNext w:val="0"/>
                    <w:keepLines w:val="0"/>
                    <w:suppressLineNumbers w:val="0"/>
                    <w:spacing w:before="0" w:beforeAutospacing="0" w:after="0" w:afterAutospacing="0"/>
                    <w:ind w:left="0" w:right="0"/>
                    <w:jc w:val="center"/>
                    <w:rPr>
                      <w:rFonts w:hint="eastAsia" w:ascii="Times New Roman" w:hAnsi="Times New Roman" w:eastAsia="宋体" w:cs="Times New Roman"/>
                      <w:color w:val="auto"/>
                      <w:szCs w:val="21"/>
                      <w:lang w:eastAsia="zh-CN"/>
                    </w:rPr>
                  </w:pPr>
                  <w:r>
                    <w:rPr>
                      <w:rFonts w:hint="default" w:ascii="Times New Roman" w:hAnsi="Times New Roman" w:eastAsia="宋体" w:cs="Times New Roman"/>
                      <w:color w:val="auto"/>
                      <w:szCs w:val="21"/>
                    </w:rPr>
                    <w:t>本项目载有气态、液态VOCs物料设备与管线组件密封点数量远小于2000个，因此不涉及泄漏检测与修复（LDAR）工作</w:t>
                  </w:r>
                  <w:r>
                    <w:rPr>
                      <w:rFonts w:hint="eastAsia" w:ascii="Times New Roman" w:hAnsi="Times New Roman" w:eastAsia="宋体" w:cs="Times New Roman"/>
                      <w:color w:val="auto"/>
                      <w:szCs w:val="21"/>
                      <w:lang w:val="en-US" w:eastAsia="zh-CN"/>
                    </w:rPr>
                    <w:t>。</w:t>
                  </w:r>
                </w:p>
              </w:tc>
              <w:tc>
                <w:tcPr>
                  <w:tcW w:w="700" w:type="dxa"/>
                  <w:vAlign w:val="center"/>
                </w:tcPr>
                <w:p w14:paraId="0805E8EA">
                  <w:pPr>
                    <w:keepNext w:val="0"/>
                    <w:keepLines w:val="0"/>
                    <w:suppressLineNumbers w:val="0"/>
                    <w:spacing w:before="0" w:beforeAutospacing="0" w:after="0" w:afterAutospacing="0"/>
                    <w:ind w:left="0" w:right="0"/>
                    <w:jc w:val="center"/>
                    <w:rPr>
                      <w:rFonts w:hint="eastAsia" w:ascii="Times New Roman" w:hAnsi="Times New Roman" w:eastAsia="宋体" w:cs="Times New Roman"/>
                      <w:color w:val="auto"/>
                      <w:szCs w:val="21"/>
                      <w:lang w:val="en-US" w:eastAsia="zh-CN"/>
                    </w:rPr>
                  </w:pPr>
                  <w:r>
                    <w:rPr>
                      <w:rFonts w:hint="eastAsia" w:ascii="Times New Roman" w:hAnsi="Times New Roman" w:eastAsia="宋体" w:cs="Times New Roman"/>
                      <w:color w:val="auto"/>
                      <w:szCs w:val="21"/>
                      <w:lang w:val="en-US" w:eastAsia="zh-CN"/>
                    </w:rPr>
                    <w:t>不涉及</w:t>
                  </w:r>
                </w:p>
              </w:tc>
            </w:tr>
            <w:tr w14:paraId="1A6C8B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776" w:type="dxa"/>
                  <w:vMerge w:val="continue"/>
                  <w:vAlign w:val="center"/>
                </w:tcPr>
                <w:p w14:paraId="1908EC8B">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p>
              </w:tc>
              <w:tc>
                <w:tcPr>
                  <w:tcW w:w="449" w:type="dxa"/>
                  <w:vAlign w:val="center"/>
                </w:tcPr>
                <w:p w14:paraId="7439EBDF">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rPr>
                    <w:t>5</w:t>
                  </w:r>
                </w:p>
              </w:tc>
              <w:tc>
                <w:tcPr>
                  <w:tcW w:w="3520" w:type="dxa"/>
                  <w:vAlign w:val="center"/>
                </w:tcPr>
                <w:p w14:paraId="212999D9">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rPr>
                    <w:t>规范企业非正常工况排放管理。引导石化、化工等企业合理安排停检修计划，制定开停工（车）、检修、设备清洗等非正常工况的环境管理制度。在确保安全的前提下，尽可能不在O3污染高发时段（4月下旬—6月上旬和8月下旬—9月，下同）安排全厂开停车、装置整体停工检修和储罐清洗作业等，减少非正常工况VOCs排放；确实不能调整的，应加强清洗、退料、吹扫、放空、晾干等环节的VOCs无组织排放控制，产生的VOCs应收集处理，确保满足安全生产和污染排放控制要求</w:t>
                  </w:r>
                </w:p>
              </w:tc>
              <w:tc>
                <w:tcPr>
                  <w:tcW w:w="2534" w:type="dxa"/>
                  <w:vAlign w:val="center"/>
                </w:tcPr>
                <w:p w14:paraId="593BEAC9">
                  <w:pPr>
                    <w:keepNext w:val="0"/>
                    <w:keepLines w:val="0"/>
                    <w:suppressLineNumbers w:val="0"/>
                    <w:spacing w:before="0" w:beforeAutospacing="0" w:after="0" w:afterAutospacing="0"/>
                    <w:ind w:left="0" w:right="0"/>
                    <w:jc w:val="center"/>
                    <w:rPr>
                      <w:rFonts w:hint="eastAsia" w:ascii="Times New Roman" w:hAnsi="Times New Roman" w:eastAsia="宋体" w:cs="Times New Roman"/>
                      <w:color w:val="auto"/>
                      <w:szCs w:val="21"/>
                      <w:lang w:eastAsia="zh-CN"/>
                    </w:rPr>
                  </w:pPr>
                  <w:r>
                    <w:rPr>
                      <w:rFonts w:hint="default" w:ascii="Times New Roman" w:hAnsi="Times New Roman" w:eastAsia="宋体" w:cs="Times New Roman"/>
                      <w:color w:val="auto"/>
                      <w:szCs w:val="21"/>
                    </w:rPr>
                    <w:t>企业设计建设及运行阶段均按上述要求执行</w:t>
                  </w:r>
                  <w:r>
                    <w:rPr>
                      <w:rFonts w:hint="eastAsia" w:ascii="Times New Roman" w:hAnsi="Times New Roman" w:eastAsia="宋体" w:cs="Times New Roman"/>
                      <w:color w:val="auto"/>
                      <w:szCs w:val="21"/>
                      <w:lang w:eastAsia="zh-CN"/>
                    </w:rPr>
                    <w:t>。</w:t>
                  </w:r>
                </w:p>
              </w:tc>
              <w:tc>
                <w:tcPr>
                  <w:tcW w:w="700" w:type="dxa"/>
                  <w:vAlign w:val="center"/>
                </w:tcPr>
                <w:p w14:paraId="76440718">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rPr>
                    <w:t>符合</w:t>
                  </w:r>
                </w:p>
              </w:tc>
            </w:tr>
            <w:tr w14:paraId="70150B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776" w:type="dxa"/>
                  <w:vMerge w:val="continue"/>
                  <w:vAlign w:val="center"/>
                </w:tcPr>
                <w:p w14:paraId="540CC1A2">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p>
              </w:tc>
              <w:tc>
                <w:tcPr>
                  <w:tcW w:w="449" w:type="dxa"/>
                  <w:vAlign w:val="center"/>
                </w:tcPr>
                <w:p w14:paraId="05357CC6">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rPr>
                    <w:t>6</w:t>
                  </w:r>
                </w:p>
              </w:tc>
              <w:tc>
                <w:tcPr>
                  <w:tcW w:w="3520" w:type="dxa"/>
                  <w:vAlign w:val="center"/>
                </w:tcPr>
                <w:p w14:paraId="754847FF">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rPr>
                    <w:t>采用活性炭吸附技术的，吸附装置和活性炭应符合相关技术要求，并按要求足量添加、定期更换活性炭</w:t>
                  </w:r>
                </w:p>
              </w:tc>
              <w:tc>
                <w:tcPr>
                  <w:tcW w:w="2534" w:type="dxa"/>
                  <w:vAlign w:val="center"/>
                </w:tcPr>
                <w:p w14:paraId="120323AC">
                  <w:pPr>
                    <w:keepNext w:val="0"/>
                    <w:keepLines w:val="0"/>
                    <w:suppressLineNumbers w:val="0"/>
                    <w:spacing w:before="0" w:beforeAutospacing="0" w:after="0" w:afterAutospacing="0"/>
                    <w:ind w:left="0" w:right="0"/>
                    <w:jc w:val="center"/>
                    <w:rPr>
                      <w:rFonts w:hint="eastAsia" w:ascii="Times New Roman" w:hAnsi="Times New Roman" w:eastAsia="宋体" w:cs="Times New Roman"/>
                      <w:color w:val="auto"/>
                      <w:szCs w:val="21"/>
                      <w:lang w:eastAsia="zh-CN"/>
                    </w:rPr>
                  </w:pPr>
                  <w:r>
                    <w:rPr>
                      <w:rFonts w:hint="default" w:ascii="Times New Roman" w:hAnsi="Times New Roman" w:eastAsia="宋体" w:cs="Times New Roman"/>
                      <w:color w:val="auto"/>
                      <w:szCs w:val="21"/>
                    </w:rPr>
                    <w:t>企业设计建设及运行阶段均按上述要求执行</w:t>
                  </w:r>
                  <w:r>
                    <w:rPr>
                      <w:rFonts w:hint="eastAsia" w:ascii="Times New Roman" w:hAnsi="Times New Roman" w:eastAsia="宋体" w:cs="Times New Roman"/>
                      <w:color w:val="auto"/>
                      <w:szCs w:val="21"/>
                      <w:lang w:eastAsia="zh-CN"/>
                    </w:rPr>
                    <w:t>。</w:t>
                  </w:r>
                </w:p>
              </w:tc>
              <w:tc>
                <w:tcPr>
                  <w:tcW w:w="700" w:type="dxa"/>
                  <w:vAlign w:val="center"/>
                </w:tcPr>
                <w:p w14:paraId="35ADFC1D">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rPr>
                    <w:t>符合</w:t>
                  </w:r>
                </w:p>
              </w:tc>
            </w:tr>
            <w:tr w14:paraId="3CA6F5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776" w:type="dxa"/>
                  <w:vMerge w:val="continue"/>
                  <w:vAlign w:val="center"/>
                </w:tcPr>
                <w:p w14:paraId="4BF73A5F">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p>
              </w:tc>
              <w:tc>
                <w:tcPr>
                  <w:tcW w:w="449" w:type="dxa"/>
                  <w:vAlign w:val="center"/>
                </w:tcPr>
                <w:p w14:paraId="6BDA0D1B">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rPr>
                    <w:t>7</w:t>
                  </w:r>
                </w:p>
              </w:tc>
              <w:tc>
                <w:tcPr>
                  <w:tcW w:w="3520" w:type="dxa"/>
                  <w:vAlign w:val="center"/>
                </w:tcPr>
                <w:p w14:paraId="52C0076A">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rPr>
                    <w:t>加强治理设施运行管理。按照治理设施较生产设备</w:t>
                  </w:r>
                  <w:r>
                    <w:rPr>
                      <w:rFonts w:hint="eastAsia" w:ascii="Times New Roman" w:hAnsi="Times New Roman" w:eastAsia="宋体" w:cs="Times New Roman"/>
                      <w:color w:val="auto"/>
                      <w:szCs w:val="21"/>
                      <w:lang w:eastAsia="zh-CN"/>
                    </w:rPr>
                    <w:t>“</w:t>
                  </w:r>
                  <w:r>
                    <w:rPr>
                      <w:rFonts w:hint="default" w:ascii="Times New Roman" w:hAnsi="Times New Roman" w:eastAsia="宋体" w:cs="Times New Roman"/>
                      <w:color w:val="auto"/>
                      <w:szCs w:val="21"/>
                    </w:rPr>
                    <w:t>先启后停</w:t>
                  </w:r>
                  <w:r>
                    <w:rPr>
                      <w:rFonts w:hint="eastAsia" w:ascii="Times New Roman" w:hAnsi="Times New Roman" w:eastAsia="宋体" w:cs="Times New Roman"/>
                      <w:color w:val="auto"/>
                      <w:szCs w:val="21"/>
                      <w:lang w:eastAsia="zh-CN"/>
                    </w:rPr>
                    <w:t>”</w:t>
                  </w:r>
                  <w:r>
                    <w:rPr>
                      <w:rFonts w:hint="default" w:ascii="Times New Roman" w:hAnsi="Times New Roman" w:eastAsia="宋体" w:cs="Times New Roman"/>
                      <w:color w:val="auto"/>
                      <w:szCs w:val="21"/>
                    </w:rPr>
                    <w:t>的原则提升治理设施投运率。根据处理工艺要求，在治理设施达到正常运行条件后方可启动生产设备，在生产设备停止、残留VOCs收集处理完毕后，方可停运治理设施。VOCs治理设施发生故障或检修时，对应生产设备应停止运行，待检修完毕后投入使用；因安全等因素生产设备不能停止或不能及时停止运行的，应设置废气应急处理设施或采取其他替代措施</w:t>
                  </w:r>
                </w:p>
              </w:tc>
              <w:tc>
                <w:tcPr>
                  <w:tcW w:w="2534" w:type="dxa"/>
                  <w:vAlign w:val="center"/>
                </w:tcPr>
                <w:p w14:paraId="2B00C206">
                  <w:pPr>
                    <w:keepNext w:val="0"/>
                    <w:keepLines w:val="0"/>
                    <w:suppressLineNumbers w:val="0"/>
                    <w:spacing w:before="0" w:beforeAutospacing="0" w:after="0" w:afterAutospacing="0"/>
                    <w:ind w:left="0" w:right="0"/>
                    <w:jc w:val="center"/>
                    <w:rPr>
                      <w:rFonts w:hint="eastAsia" w:ascii="Times New Roman" w:hAnsi="Times New Roman" w:eastAsia="宋体" w:cs="Times New Roman"/>
                      <w:color w:val="auto"/>
                      <w:szCs w:val="21"/>
                      <w:lang w:eastAsia="zh-CN"/>
                    </w:rPr>
                  </w:pPr>
                  <w:r>
                    <w:rPr>
                      <w:rFonts w:hint="default" w:ascii="Times New Roman" w:hAnsi="Times New Roman" w:eastAsia="宋体" w:cs="Times New Roman"/>
                      <w:color w:val="auto"/>
                      <w:szCs w:val="21"/>
                    </w:rPr>
                    <w:t>企业在运行阶段均按上述要求执行</w:t>
                  </w:r>
                  <w:r>
                    <w:rPr>
                      <w:rFonts w:hint="eastAsia" w:ascii="Times New Roman" w:hAnsi="Times New Roman" w:eastAsia="宋体" w:cs="Times New Roman"/>
                      <w:color w:val="auto"/>
                      <w:szCs w:val="21"/>
                      <w:lang w:eastAsia="zh-CN"/>
                    </w:rPr>
                    <w:t>。</w:t>
                  </w:r>
                </w:p>
              </w:tc>
              <w:tc>
                <w:tcPr>
                  <w:tcW w:w="700" w:type="dxa"/>
                  <w:vAlign w:val="center"/>
                </w:tcPr>
                <w:p w14:paraId="129B7FC6">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rPr>
                    <w:t>符合</w:t>
                  </w:r>
                </w:p>
              </w:tc>
            </w:tr>
            <w:tr w14:paraId="38A675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776" w:type="dxa"/>
                  <w:vMerge w:val="continue"/>
                  <w:vAlign w:val="center"/>
                </w:tcPr>
                <w:p w14:paraId="3955377B">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p>
              </w:tc>
              <w:tc>
                <w:tcPr>
                  <w:tcW w:w="449" w:type="dxa"/>
                  <w:vAlign w:val="center"/>
                </w:tcPr>
                <w:p w14:paraId="1D3A5556">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rPr>
                    <w:t>8</w:t>
                  </w:r>
                </w:p>
              </w:tc>
              <w:tc>
                <w:tcPr>
                  <w:tcW w:w="3520" w:type="dxa"/>
                  <w:vAlign w:val="center"/>
                </w:tcPr>
                <w:p w14:paraId="49704258">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rPr>
                    <w:t>规范应急旁路排放管理。推动取消石化、化工、工业涂装、包装印刷、纺织印染等行业非必要的含VOCs排放的旁路。因安全等因素确须保留的，企业应将保留的应急旁路报当地生态环境部门。应急旁路在非紧急情况下保持关闭，并通过铅封、安装监控（如流量、温度、压差、阀门开度、视频等）设施等加强监管，开启后应做好台账记录并及时向当地生态环境部门报告</w:t>
                  </w:r>
                </w:p>
              </w:tc>
              <w:tc>
                <w:tcPr>
                  <w:tcW w:w="2534" w:type="dxa"/>
                  <w:vAlign w:val="center"/>
                </w:tcPr>
                <w:p w14:paraId="0E053E80">
                  <w:pPr>
                    <w:keepNext w:val="0"/>
                    <w:keepLines w:val="0"/>
                    <w:suppressLineNumbers w:val="0"/>
                    <w:spacing w:before="0" w:beforeAutospacing="0" w:after="0" w:afterAutospacing="0"/>
                    <w:ind w:left="0" w:right="0"/>
                    <w:jc w:val="center"/>
                    <w:rPr>
                      <w:rFonts w:hint="eastAsia" w:ascii="Times New Roman" w:hAnsi="Times New Roman" w:eastAsia="宋体" w:cs="Times New Roman"/>
                      <w:color w:val="auto"/>
                      <w:szCs w:val="21"/>
                      <w:lang w:eastAsia="zh-CN"/>
                    </w:rPr>
                  </w:pPr>
                  <w:r>
                    <w:rPr>
                      <w:rFonts w:hint="default" w:ascii="Times New Roman" w:hAnsi="Times New Roman" w:eastAsia="宋体" w:cs="Times New Roman"/>
                      <w:color w:val="auto"/>
                      <w:szCs w:val="21"/>
                    </w:rPr>
                    <w:t>本项目不涉及</w:t>
                  </w:r>
                  <w:r>
                    <w:rPr>
                      <w:rFonts w:hint="eastAsia" w:ascii="Times New Roman" w:hAnsi="Times New Roman" w:eastAsia="宋体" w:cs="Times New Roman"/>
                      <w:color w:val="auto"/>
                      <w:szCs w:val="21"/>
                      <w:lang w:eastAsia="zh-CN"/>
                    </w:rPr>
                    <w:t>。</w:t>
                  </w:r>
                </w:p>
              </w:tc>
              <w:tc>
                <w:tcPr>
                  <w:tcW w:w="700" w:type="dxa"/>
                  <w:vAlign w:val="center"/>
                </w:tcPr>
                <w:p w14:paraId="79DE1E63">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rPr>
                    <w:t>不涉及</w:t>
                  </w:r>
                </w:p>
              </w:tc>
            </w:tr>
            <w:tr w14:paraId="1B1D82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776" w:type="dxa"/>
                  <w:vMerge w:val="restart"/>
                  <w:vAlign w:val="center"/>
                </w:tcPr>
                <w:p w14:paraId="418AD136">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rPr>
                    <w:t>开展面源治理，有效减少排放</w:t>
                  </w:r>
                </w:p>
              </w:tc>
              <w:tc>
                <w:tcPr>
                  <w:tcW w:w="449" w:type="dxa"/>
                  <w:vAlign w:val="center"/>
                </w:tcPr>
                <w:p w14:paraId="2C78E621">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rPr>
                    <w:t>9</w:t>
                  </w:r>
                </w:p>
              </w:tc>
              <w:tc>
                <w:tcPr>
                  <w:tcW w:w="3520" w:type="dxa"/>
                  <w:vAlign w:val="center"/>
                </w:tcPr>
                <w:p w14:paraId="55552FB0">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rPr>
                    <w:t>推进油品储运销治理。加大汽油、石脑油、煤油、原油等油品储运销全过程VOCs排放控制。在保障安全的前提下，推进重点领域油气回收治理，加强无组织排放控制，并要求企业建立日常检查和自行监测制度。各设区市要每年组织开展一轮储油库、油罐车、加油站油气回收专项检查和整改工作。年销售汽油量大于5000吨的加油站全部安装油气回收自动监控设施，并与生态环境部门联网</w:t>
                  </w:r>
                </w:p>
              </w:tc>
              <w:tc>
                <w:tcPr>
                  <w:tcW w:w="2534" w:type="dxa"/>
                  <w:vAlign w:val="center"/>
                </w:tcPr>
                <w:p w14:paraId="57067E8C">
                  <w:pPr>
                    <w:keepNext w:val="0"/>
                    <w:keepLines w:val="0"/>
                    <w:suppressLineNumbers w:val="0"/>
                    <w:spacing w:before="0" w:beforeAutospacing="0" w:after="0" w:afterAutospacing="0"/>
                    <w:ind w:left="0" w:right="0"/>
                    <w:jc w:val="center"/>
                    <w:rPr>
                      <w:rFonts w:hint="eastAsia" w:ascii="Times New Roman" w:hAnsi="Times New Roman" w:eastAsia="宋体" w:cs="Times New Roman"/>
                      <w:color w:val="auto"/>
                      <w:szCs w:val="21"/>
                      <w:lang w:eastAsia="zh-CN"/>
                    </w:rPr>
                  </w:pPr>
                  <w:r>
                    <w:rPr>
                      <w:rFonts w:hint="default" w:ascii="Times New Roman" w:hAnsi="Times New Roman" w:eastAsia="宋体" w:cs="Times New Roman"/>
                      <w:color w:val="auto"/>
                      <w:szCs w:val="21"/>
                    </w:rPr>
                    <w:t>本项目不涉及</w:t>
                  </w:r>
                  <w:r>
                    <w:rPr>
                      <w:rFonts w:hint="eastAsia" w:ascii="Times New Roman" w:hAnsi="Times New Roman" w:eastAsia="宋体" w:cs="Times New Roman"/>
                      <w:color w:val="auto"/>
                      <w:szCs w:val="21"/>
                      <w:lang w:eastAsia="zh-CN"/>
                    </w:rPr>
                    <w:t>。</w:t>
                  </w:r>
                </w:p>
              </w:tc>
              <w:tc>
                <w:tcPr>
                  <w:tcW w:w="700" w:type="dxa"/>
                  <w:vAlign w:val="center"/>
                </w:tcPr>
                <w:p w14:paraId="053A5DCD">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rPr>
                    <w:t>不涉及</w:t>
                  </w:r>
                </w:p>
              </w:tc>
            </w:tr>
            <w:tr w14:paraId="66054F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776" w:type="dxa"/>
                  <w:vMerge w:val="continue"/>
                  <w:vAlign w:val="center"/>
                </w:tcPr>
                <w:p w14:paraId="6ACE5148">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p>
              </w:tc>
              <w:tc>
                <w:tcPr>
                  <w:tcW w:w="449" w:type="dxa"/>
                  <w:vAlign w:val="center"/>
                </w:tcPr>
                <w:p w14:paraId="5C14B91F">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rPr>
                    <w:t>10</w:t>
                  </w:r>
                </w:p>
              </w:tc>
              <w:tc>
                <w:tcPr>
                  <w:tcW w:w="3520" w:type="dxa"/>
                  <w:vAlign w:val="center"/>
                </w:tcPr>
                <w:p w14:paraId="54DB1D94">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rPr>
                    <w:t>加强汽修行业治理。提升行业绿色发展水平，推进各地建设钣喷共享中心，配套建设适宜高效VOCs治理设施，钣喷共享中心辐射服务范围内逐步取消使用溶剂型涂料的钣喷车间。喷漆、流平和烘干等工艺操作应置于喷烤漆房内，使用溶剂型涂料的喷枪应密闭清洗，产生的VOCs应集中收集和治理。底色漆、本色面漆推广使用水性涂料，鼓励其他上漆环节的低VOCs含量原辅材料源头替代</w:t>
                  </w:r>
                </w:p>
              </w:tc>
              <w:tc>
                <w:tcPr>
                  <w:tcW w:w="2534" w:type="dxa"/>
                  <w:vAlign w:val="center"/>
                </w:tcPr>
                <w:p w14:paraId="3E515E2C">
                  <w:pPr>
                    <w:keepNext w:val="0"/>
                    <w:keepLines w:val="0"/>
                    <w:suppressLineNumbers w:val="0"/>
                    <w:spacing w:before="0" w:beforeAutospacing="0" w:after="0" w:afterAutospacing="0"/>
                    <w:ind w:left="0" w:right="0"/>
                    <w:jc w:val="center"/>
                    <w:rPr>
                      <w:rFonts w:hint="eastAsia" w:ascii="Times New Roman" w:hAnsi="Times New Roman" w:eastAsia="宋体" w:cs="Times New Roman"/>
                      <w:color w:val="auto"/>
                      <w:szCs w:val="21"/>
                      <w:lang w:eastAsia="zh-CN"/>
                    </w:rPr>
                  </w:pPr>
                  <w:r>
                    <w:rPr>
                      <w:rFonts w:hint="default" w:ascii="Times New Roman" w:hAnsi="Times New Roman" w:eastAsia="宋体" w:cs="Times New Roman"/>
                      <w:color w:val="auto"/>
                      <w:szCs w:val="21"/>
                    </w:rPr>
                    <w:t>本项目不涉及</w:t>
                  </w:r>
                  <w:r>
                    <w:rPr>
                      <w:rFonts w:hint="eastAsia" w:ascii="Times New Roman" w:hAnsi="Times New Roman" w:eastAsia="宋体" w:cs="Times New Roman"/>
                      <w:color w:val="auto"/>
                      <w:szCs w:val="21"/>
                      <w:lang w:eastAsia="zh-CN"/>
                    </w:rPr>
                    <w:t>。</w:t>
                  </w:r>
                </w:p>
              </w:tc>
              <w:tc>
                <w:tcPr>
                  <w:tcW w:w="700" w:type="dxa"/>
                  <w:vAlign w:val="center"/>
                </w:tcPr>
                <w:p w14:paraId="1B826EB0">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rPr>
                    <w:t>不涉及</w:t>
                  </w:r>
                </w:p>
              </w:tc>
            </w:tr>
            <w:tr w14:paraId="7D7777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776" w:type="dxa"/>
                  <w:vMerge w:val="continue"/>
                  <w:vAlign w:val="center"/>
                </w:tcPr>
                <w:p w14:paraId="03463E7C">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p>
              </w:tc>
              <w:tc>
                <w:tcPr>
                  <w:tcW w:w="449" w:type="dxa"/>
                  <w:vAlign w:val="center"/>
                </w:tcPr>
                <w:p w14:paraId="06BF70DB">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rPr>
                    <w:t>11</w:t>
                  </w:r>
                </w:p>
              </w:tc>
              <w:tc>
                <w:tcPr>
                  <w:tcW w:w="3520" w:type="dxa"/>
                  <w:vAlign w:val="center"/>
                </w:tcPr>
                <w:p w14:paraId="4716834C">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rPr>
                    <w:t>推进建筑行业治理。积极推动绿色装修，在房屋建筑和市政工程中推广使用低VOCs含量的涂料和胶粘剂，优先选用装配式建筑构件和定型化、工具式施工安全防护设施，减少施工现场涂装作业；推广装配化装修，优先选用预制成型的装饰材料，除特殊功能要求外的室内地坪施工应使用无溶剂涂料和水性涂料</w:t>
                  </w:r>
                </w:p>
              </w:tc>
              <w:tc>
                <w:tcPr>
                  <w:tcW w:w="2534" w:type="dxa"/>
                  <w:vAlign w:val="center"/>
                </w:tcPr>
                <w:p w14:paraId="5CA10611">
                  <w:pPr>
                    <w:keepNext w:val="0"/>
                    <w:keepLines w:val="0"/>
                    <w:suppressLineNumbers w:val="0"/>
                    <w:spacing w:before="0" w:beforeAutospacing="0" w:after="0" w:afterAutospacing="0"/>
                    <w:ind w:left="0" w:right="0"/>
                    <w:jc w:val="center"/>
                    <w:rPr>
                      <w:rFonts w:hint="eastAsia" w:ascii="Times New Roman" w:hAnsi="Times New Roman" w:eastAsia="宋体" w:cs="Times New Roman"/>
                      <w:color w:val="auto"/>
                      <w:szCs w:val="21"/>
                      <w:lang w:eastAsia="zh-CN"/>
                    </w:rPr>
                  </w:pPr>
                  <w:r>
                    <w:rPr>
                      <w:rFonts w:hint="default" w:ascii="Times New Roman" w:hAnsi="Times New Roman" w:eastAsia="宋体" w:cs="Times New Roman"/>
                      <w:color w:val="auto"/>
                      <w:szCs w:val="21"/>
                    </w:rPr>
                    <w:t>本项目不涉及</w:t>
                  </w:r>
                  <w:r>
                    <w:rPr>
                      <w:rFonts w:hint="eastAsia" w:ascii="Times New Roman" w:hAnsi="Times New Roman" w:eastAsia="宋体" w:cs="Times New Roman"/>
                      <w:color w:val="auto"/>
                      <w:szCs w:val="21"/>
                      <w:lang w:eastAsia="zh-CN"/>
                    </w:rPr>
                    <w:t>。</w:t>
                  </w:r>
                </w:p>
              </w:tc>
              <w:tc>
                <w:tcPr>
                  <w:tcW w:w="700" w:type="dxa"/>
                  <w:vAlign w:val="center"/>
                </w:tcPr>
                <w:p w14:paraId="437421D7">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rPr>
                    <w:t>不涉及</w:t>
                  </w:r>
                </w:p>
              </w:tc>
            </w:tr>
            <w:tr w14:paraId="53967D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776" w:type="dxa"/>
                  <w:vAlign w:val="center"/>
                </w:tcPr>
                <w:p w14:paraId="7C6160DC">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rPr>
                    <w:t>强化重点时段减排，切实减轻污染</w:t>
                  </w:r>
                </w:p>
              </w:tc>
              <w:tc>
                <w:tcPr>
                  <w:tcW w:w="449" w:type="dxa"/>
                  <w:vAlign w:val="center"/>
                </w:tcPr>
                <w:p w14:paraId="1B86743A">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rPr>
                    <w:t>12</w:t>
                  </w:r>
                </w:p>
              </w:tc>
              <w:tc>
                <w:tcPr>
                  <w:tcW w:w="3520" w:type="dxa"/>
                  <w:vAlign w:val="center"/>
                </w:tcPr>
                <w:p w14:paraId="6942F0EB">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rPr>
                    <w:t>积极引导相关行业错时施工。鼓励企业生产设施防腐、防水、防锈等涂装作业尽量避开O</w:t>
                  </w:r>
                  <w:r>
                    <w:rPr>
                      <w:rFonts w:hint="default" w:ascii="Times New Roman" w:hAnsi="Times New Roman" w:eastAsia="宋体" w:cs="Times New Roman"/>
                      <w:color w:val="auto"/>
                      <w:szCs w:val="21"/>
                      <w:vertAlign w:val="subscript"/>
                    </w:rPr>
                    <w:t>3</w:t>
                  </w:r>
                  <w:r>
                    <w:rPr>
                      <w:rFonts w:hint="default" w:ascii="Times New Roman" w:hAnsi="Times New Roman" w:eastAsia="宋体" w:cs="Times New Roman"/>
                      <w:color w:val="auto"/>
                      <w:szCs w:val="21"/>
                    </w:rPr>
                    <w:t>污染高发时段。合理安排市政设施维护、交通标志标线刷漆、道路沥青铺设等市政工程施工计划，尽量避开O</w:t>
                  </w:r>
                  <w:r>
                    <w:rPr>
                      <w:rFonts w:hint="default" w:ascii="Times New Roman" w:hAnsi="Times New Roman" w:eastAsia="宋体" w:cs="Times New Roman"/>
                      <w:color w:val="auto"/>
                      <w:szCs w:val="21"/>
                      <w:vertAlign w:val="subscript"/>
                    </w:rPr>
                    <w:t>3</w:t>
                  </w:r>
                  <w:r>
                    <w:rPr>
                      <w:rFonts w:hint="default" w:ascii="Times New Roman" w:hAnsi="Times New Roman" w:eastAsia="宋体" w:cs="Times New Roman"/>
                      <w:color w:val="auto"/>
                      <w:szCs w:val="21"/>
                    </w:rPr>
                    <w:t>污染高发时段；对确需施工的，实施精细化管理，当预测将出现长时间高温低湿气象时，调整作业计划，尽量避开每日O</w:t>
                  </w:r>
                  <w:r>
                    <w:rPr>
                      <w:rFonts w:hint="default" w:ascii="Times New Roman" w:hAnsi="Times New Roman" w:eastAsia="宋体" w:cs="Times New Roman"/>
                      <w:color w:val="auto"/>
                      <w:szCs w:val="21"/>
                      <w:vertAlign w:val="subscript"/>
                    </w:rPr>
                    <w:t>3</w:t>
                  </w:r>
                  <w:r>
                    <w:rPr>
                      <w:rFonts w:hint="default" w:ascii="Times New Roman" w:hAnsi="Times New Roman" w:eastAsia="宋体" w:cs="Times New Roman"/>
                      <w:color w:val="auto"/>
                      <w:szCs w:val="21"/>
                    </w:rPr>
                    <w:t>污染高值时间</w:t>
                  </w:r>
                </w:p>
              </w:tc>
              <w:tc>
                <w:tcPr>
                  <w:tcW w:w="2534" w:type="dxa"/>
                  <w:vAlign w:val="center"/>
                </w:tcPr>
                <w:p w14:paraId="3C140752">
                  <w:pPr>
                    <w:keepNext w:val="0"/>
                    <w:keepLines w:val="0"/>
                    <w:suppressLineNumbers w:val="0"/>
                    <w:spacing w:before="0" w:beforeAutospacing="0" w:after="0" w:afterAutospacing="0"/>
                    <w:ind w:left="0" w:right="0"/>
                    <w:jc w:val="center"/>
                    <w:rPr>
                      <w:rFonts w:hint="eastAsia" w:ascii="Times New Roman" w:hAnsi="Times New Roman" w:eastAsia="宋体" w:cs="Times New Roman"/>
                      <w:color w:val="auto"/>
                      <w:szCs w:val="21"/>
                      <w:lang w:eastAsia="zh-CN"/>
                    </w:rPr>
                  </w:pPr>
                  <w:r>
                    <w:rPr>
                      <w:rFonts w:hint="default" w:ascii="Times New Roman" w:hAnsi="Times New Roman" w:eastAsia="宋体" w:cs="Times New Roman"/>
                      <w:color w:val="auto"/>
                      <w:szCs w:val="21"/>
                    </w:rPr>
                    <w:t>本项目不涉及</w:t>
                  </w:r>
                  <w:r>
                    <w:rPr>
                      <w:rFonts w:hint="eastAsia" w:ascii="Times New Roman" w:hAnsi="Times New Roman" w:eastAsia="宋体" w:cs="Times New Roman"/>
                      <w:color w:val="auto"/>
                      <w:szCs w:val="21"/>
                      <w:lang w:eastAsia="zh-CN"/>
                    </w:rPr>
                    <w:t>。</w:t>
                  </w:r>
                </w:p>
              </w:tc>
              <w:tc>
                <w:tcPr>
                  <w:tcW w:w="700" w:type="dxa"/>
                  <w:vAlign w:val="center"/>
                </w:tcPr>
                <w:p w14:paraId="0F3D6955">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rPr>
                    <w:t>不涉及</w:t>
                  </w:r>
                </w:p>
              </w:tc>
            </w:tr>
          </w:tbl>
          <w:p w14:paraId="275D427E">
            <w:pPr>
              <w:keepNext w:val="0"/>
              <w:keepLines w:val="0"/>
              <w:suppressLineNumbers w:val="0"/>
              <w:spacing w:before="0" w:beforeAutospacing="0" w:after="0" w:afterAutospacing="0" w:line="360" w:lineRule="auto"/>
              <w:ind w:left="0" w:right="0"/>
              <w:rPr>
                <w:rFonts w:hint="default" w:ascii="Times New Roman" w:hAnsi="Times New Roman" w:eastAsia="宋体" w:cs="Times New Roman"/>
                <w:b/>
                <w:bCs/>
                <w:color w:val="auto"/>
                <w:sz w:val="24"/>
              </w:rPr>
            </w:pPr>
            <w:r>
              <w:rPr>
                <w:rFonts w:hint="eastAsia" w:ascii="Times New Roman" w:hAnsi="Times New Roman" w:eastAsia="宋体" w:cs="Times New Roman"/>
                <w:b/>
                <w:bCs/>
                <w:color w:val="auto"/>
                <w:sz w:val="24"/>
                <w:lang w:val="en-US" w:eastAsia="zh-CN"/>
              </w:rPr>
              <w:t>1.2.9</w:t>
            </w:r>
            <w:r>
              <w:rPr>
                <w:rFonts w:hint="eastAsia" w:ascii="Times New Roman" w:hAnsi="Times New Roman" w:eastAsia="宋体" w:cs="Times New Roman"/>
                <w:b/>
                <w:bCs/>
                <w:color w:val="auto"/>
                <w:sz w:val="24"/>
              </w:rPr>
              <w:t>《湖州市木业、漆包线及塑料行业废气整治规范》符合性分析</w:t>
            </w:r>
          </w:p>
          <w:p w14:paraId="1043216D">
            <w:pPr>
              <w:keepNext w:val="0"/>
              <w:keepLines w:val="0"/>
              <w:suppressLineNumbers w:val="0"/>
              <w:spacing w:before="0" w:beforeAutospacing="0" w:after="0" w:afterAutospacing="0"/>
              <w:ind w:left="0" w:right="0"/>
              <w:jc w:val="center"/>
              <w:rPr>
                <w:rFonts w:hint="default" w:ascii="Times New Roman" w:hAnsi="Times New Roman" w:eastAsia="宋体" w:cs="Times New Roman"/>
                <w:b/>
                <w:bCs/>
                <w:color w:val="auto"/>
              </w:rPr>
            </w:pPr>
            <w:r>
              <w:rPr>
                <w:rFonts w:hint="eastAsia" w:ascii="Times New Roman" w:hAnsi="Times New Roman" w:eastAsia="宋体" w:cs="Times New Roman"/>
                <w:b/>
                <w:bCs/>
                <w:color w:val="auto"/>
              </w:rPr>
              <w:t>表</w:t>
            </w:r>
            <w:r>
              <w:rPr>
                <w:rFonts w:hint="default" w:ascii="Times New Roman" w:hAnsi="Times New Roman" w:eastAsia="宋体" w:cs="Times New Roman"/>
                <w:b/>
                <w:bCs/>
                <w:color w:val="auto"/>
              </w:rPr>
              <w:t>1-1</w:t>
            </w:r>
            <w:r>
              <w:rPr>
                <w:rFonts w:hint="eastAsia" w:ascii="Times New Roman" w:hAnsi="Times New Roman" w:eastAsia="宋体" w:cs="Times New Roman"/>
                <w:b/>
                <w:bCs/>
                <w:color w:val="auto"/>
                <w:lang w:val="en-US" w:eastAsia="zh-CN"/>
              </w:rPr>
              <w:t>5</w:t>
            </w:r>
            <w:r>
              <w:rPr>
                <w:rFonts w:hint="default" w:ascii="Times New Roman" w:hAnsi="Times New Roman" w:eastAsia="宋体" w:cs="Times New Roman"/>
                <w:b/>
                <w:bCs/>
                <w:color w:val="auto"/>
              </w:rPr>
              <w:t xml:space="preserve"> </w:t>
            </w:r>
            <w:r>
              <w:rPr>
                <w:rFonts w:hint="eastAsia" w:ascii="Times New Roman" w:hAnsi="Times New Roman" w:eastAsia="宋体" w:cs="Times New Roman"/>
                <w:b/>
                <w:bCs/>
                <w:color w:val="auto"/>
              </w:rPr>
              <w:t xml:space="preserve"> 与《湖州市木业、漆包线及塑料行业废气整治规范》符合性分析</w:t>
            </w:r>
          </w:p>
          <w:tbl>
            <w:tblPr>
              <w:tblStyle w:val="23"/>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502"/>
              <w:gridCol w:w="479"/>
              <w:gridCol w:w="4340"/>
              <w:gridCol w:w="1956"/>
              <w:gridCol w:w="701"/>
            </w:tblGrid>
            <w:tr w14:paraId="3AAE9F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479" w:type="dxa"/>
                  <w:vAlign w:val="center"/>
                </w:tcPr>
                <w:p w14:paraId="7D69B1CF">
                  <w:pPr>
                    <w:keepNext w:val="0"/>
                    <w:keepLines w:val="0"/>
                    <w:suppressLineNumbers w:val="0"/>
                    <w:spacing w:before="0" w:beforeAutospacing="0" w:after="0" w:afterAutospacing="0"/>
                    <w:ind w:left="0" w:right="0"/>
                    <w:jc w:val="center"/>
                    <w:rPr>
                      <w:rFonts w:hint="default" w:ascii="Times New Roman" w:hAnsi="Times New Roman" w:eastAsia="宋体" w:cs="Times New Roman"/>
                      <w:b/>
                      <w:bCs/>
                      <w:color w:val="auto"/>
                      <w:szCs w:val="21"/>
                    </w:rPr>
                  </w:pPr>
                  <w:r>
                    <w:rPr>
                      <w:rFonts w:hint="default" w:ascii="Times New Roman" w:hAnsi="Times New Roman" w:eastAsia="宋体" w:cs="Times New Roman"/>
                      <w:b/>
                      <w:bCs/>
                      <w:color w:val="auto"/>
                      <w:szCs w:val="21"/>
                    </w:rPr>
                    <w:t>分类</w:t>
                  </w:r>
                </w:p>
              </w:tc>
              <w:tc>
                <w:tcPr>
                  <w:tcW w:w="457" w:type="dxa"/>
                  <w:vAlign w:val="center"/>
                </w:tcPr>
                <w:p w14:paraId="67CF4E64">
                  <w:pPr>
                    <w:keepNext w:val="0"/>
                    <w:keepLines w:val="0"/>
                    <w:suppressLineNumbers w:val="0"/>
                    <w:spacing w:before="0" w:beforeAutospacing="0" w:after="0" w:afterAutospacing="0"/>
                    <w:ind w:left="0" w:right="0"/>
                    <w:jc w:val="center"/>
                    <w:rPr>
                      <w:rFonts w:hint="default" w:ascii="Times New Roman" w:hAnsi="Times New Roman" w:eastAsia="宋体" w:cs="Times New Roman"/>
                      <w:b/>
                      <w:bCs/>
                      <w:color w:val="auto"/>
                      <w:szCs w:val="21"/>
                    </w:rPr>
                  </w:pPr>
                  <w:r>
                    <w:rPr>
                      <w:rFonts w:hint="default" w:ascii="Times New Roman" w:hAnsi="Times New Roman" w:eastAsia="宋体" w:cs="Times New Roman"/>
                      <w:b/>
                      <w:bCs/>
                      <w:color w:val="auto"/>
                      <w:szCs w:val="21"/>
                    </w:rPr>
                    <w:t>序号</w:t>
                  </w:r>
                </w:p>
              </w:tc>
              <w:tc>
                <w:tcPr>
                  <w:tcW w:w="4140" w:type="dxa"/>
                  <w:vAlign w:val="center"/>
                </w:tcPr>
                <w:p w14:paraId="201667C7">
                  <w:pPr>
                    <w:keepNext w:val="0"/>
                    <w:keepLines w:val="0"/>
                    <w:suppressLineNumbers w:val="0"/>
                    <w:spacing w:before="0" w:beforeAutospacing="0" w:after="0" w:afterAutospacing="0"/>
                    <w:ind w:left="0" w:right="0"/>
                    <w:jc w:val="center"/>
                    <w:rPr>
                      <w:rFonts w:hint="default" w:ascii="Times New Roman" w:hAnsi="Times New Roman" w:eastAsia="宋体" w:cs="Times New Roman"/>
                      <w:b/>
                      <w:bCs/>
                      <w:color w:val="auto"/>
                      <w:szCs w:val="21"/>
                    </w:rPr>
                  </w:pPr>
                  <w:r>
                    <w:rPr>
                      <w:rFonts w:hint="default" w:ascii="Times New Roman" w:hAnsi="Times New Roman" w:eastAsia="宋体" w:cs="Times New Roman"/>
                      <w:b/>
                      <w:bCs/>
                      <w:color w:val="auto"/>
                      <w:szCs w:val="21"/>
                    </w:rPr>
                    <w:t>判断依据</w:t>
                  </w:r>
                </w:p>
              </w:tc>
              <w:tc>
                <w:tcPr>
                  <w:tcW w:w="1866" w:type="dxa"/>
                  <w:vAlign w:val="center"/>
                </w:tcPr>
                <w:p w14:paraId="515E64F8">
                  <w:pPr>
                    <w:keepNext w:val="0"/>
                    <w:keepLines w:val="0"/>
                    <w:suppressLineNumbers w:val="0"/>
                    <w:spacing w:before="0" w:beforeAutospacing="0" w:after="0" w:afterAutospacing="0"/>
                    <w:ind w:left="0" w:right="0"/>
                    <w:jc w:val="center"/>
                    <w:rPr>
                      <w:rFonts w:hint="default" w:ascii="Times New Roman" w:hAnsi="Times New Roman" w:eastAsia="宋体" w:cs="Times New Roman"/>
                      <w:b/>
                      <w:bCs/>
                      <w:color w:val="auto"/>
                      <w:szCs w:val="21"/>
                    </w:rPr>
                  </w:pPr>
                  <w:r>
                    <w:rPr>
                      <w:rFonts w:hint="default" w:ascii="Times New Roman" w:hAnsi="Times New Roman" w:eastAsia="宋体" w:cs="Times New Roman"/>
                      <w:b/>
                      <w:bCs/>
                      <w:color w:val="auto"/>
                      <w:szCs w:val="21"/>
                    </w:rPr>
                    <w:t>本项目情况</w:t>
                  </w:r>
                </w:p>
              </w:tc>
              <w:tc>
                <w:tcPr>
                  <w:tcW w:w="669" w:type="dxa"/>
                  <w:vAlign w:val="center"/>
                </w:tcPr>
                <w:p w14:paraId="4CDB4E00">
                  <w:pPr>
                    <w:keepNext w:val="0"/>
                    <w:keepLines w:val="0"/>
                    <w:suppressLineNumbers w:val="0"/>
                    <w:spacing w:before="0" w:beforeAutospacing="0" w:after="0" w:afterAutospacing="0"/>
                    <w:ind w:left="0" w:right="0"/>
                    <w:jc w:val="center"/>
                    <w:rPr>
                      <w:rFonts w:hint="eastAsia" w:ascii="Times New Roman" w:hAnsi="Times New Roman" w:eastAsia="宋体" w:cs="Times New Roman"/>
                      <w:b/>
                      <w:bCs/>
                      <w:color w:val="auto"/>
                      <w:szCs w:val="21"/>
                      <w:lang w:eastAsia="zh-CN"/>
                    </w:rPr>
                  </w:pPr>
                  <w:r>
                    <w:rPr>
                      <w:rFonts w:hint="eastAsia" w:ascii="Times New Roman" w:hAnsi="Times New Roman" w:eastAsia="宋体" w:cs="Times New Roman"/>
                      <w:b/>
                      <w:bCs/>
                      <w:color w:val="auto"/>
                      <w:szCs w:val="21"/>
                      <w:lang w:val="en-US" w:eastAsia="zh-CN"/>
                    </w:rPr>
                    <w:t>是否符合</w:t>
                  </w:r>
                </w:p>
              </w:tc>
            </w:tr>
            <w:tr w14:paraId="16245C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7611" w:type="dxa"/>
                  <w:gridSpan w:val="5"/>
                  <w:vAlign w:val="center"/>
                </w:tcPr>
                <w:p w14:paraId="18F9659B">
                  <w:pPr>
                    <w:keepNext w:val="0"/>
                    <w:keepLines w:val="0"/>
                    <w:suppressLineNumbers w:val="0"/>
                    <w:spacing w:before="0" w:beforeAutospacing="0" w:after="0" w:afterAutospacing="0"/>
                    <w:ind w:left="0" w:right="0"/>
                    <w:jc w:val="center"/>
                    <w:rPr>
                      <w:rFonts w:hint="default" w:ascii="Times New Roman" w:hAnsi="Times New Roman" w:eastAsia="宋体" w:cs="Times New Roman"/>
                      <w:b/>
                      <w:bCs/>
                      <w:color w:val="auto"/>
                      <w:szCs w:val="21"/>
                    </w:rPr>
                  </w:pPr>
                  <w:r>
                    <w:rPr>
                      <w:rFonts w:hint="default" w:ascii="Times New Roman" w:hAnsi="Times New Roman" w:eastAsia="宋体" w:cs="Times New Roman"/>
                      <w:b/>
                      <w:bCs/>
                      <w:color w:val="auto"/>
                      <w:szCs w:val="21"/>
                    </w:rPr>
                    <w:t>湖州市塑料行业废气整治规范</w:t>
                  </w:r>
                </w:p>
              </w:tc>
            </w:tr>
            <w:tr w14:paraId="5BDEDF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479" w:type="dxa"/>
                  <w:vMerge w:val="restart"/>
                  <w:vAlign w:val="center"/>
                </w:tcPr>
                <w:p w14:paraId="40893DD4">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rPr>
                    <w:t>加强源头控制</w:t>
                  </w:r>
                </w:p>
              </w:tc>
              <w:tc>
                <w:tcPr>
                  <w:tcW w:w="457" w:type="dxa"/>
                  <w:vAlign w:val="center"/>
                </w:tcPr>
                <w:p w14:paraId="128764A0">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rPr>
                    <w:t>1</w:t>
                  </w:r>
                </w:p>
              </w:tc>
              <w:tc>
                <w:tcPr>
                  <w:tcW w:w="4140" w:type="dxa"/>
                  <w:vAlign w:val="center"/>
                </w:tcPr>
                <w:p w14:paraId="6E75F44C">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rPr>
                    <w:t>严格落实《环境保护部发展改革部商务部关于发布&lt;废塑料加工利用污染防治管理规定&gt;的公告》（2012年第55号）、《废塑料回收与再生利用污染控制技术规范（试行）》（HJ/T364-2007）等有关要求</w:t>
                  </w:r>
                </w:p>
              </w:tc>
              <w:tc>
                <w:tcPr>
                  <w:tcW w:w="1866" w:type="dxa"/>
                  <w:vAlign w:val="center"/>
                </w:tcPr>
                <w:p w14:paraId="3EC374BF">
                  <w:pPr>
                    <w:keepNext w:val="0"/>
                    <w:keepLines w:val="0"/>
                    <w:suppressLineNumbers w:val="0"/>
                    <w:spacing w:before="0" w:beforeAutospacing="0" w:after="0" w:afterAutospacing="0"/>
                    <w:ind w:left="0" w:right="0"/>
                    <w:jc w:val="center"/>
                    <w:rPr>
                      <w:rFonts w:hint="eastAsia" w:ascii="Times New Roman" w:hAnsi="Times New Roman" w:eastAsia="宋体" w:cs="Times New Roman"/>
                      <w:color w:val="auto"/>
                      <w:szCs w:val="21"/>
                      <w:lang w:eastAsia="zh-CN"/>
                    </w:rPr>
                  </w:pPr>
                  <w:r>
                    <w:rPr>
                      <w:rFonts w:hint="default" w:ascii="Times New Roman" w:hAnsi="Times New Roman" w:eastAsia="宋体" w:cs="Times New Roman"/>
                      <w:color w:val="auto"/>
                      <w:szCs w:val="21"/>
                    </w:rPr>
                    <w:t>本项目不涉及</w:t>
                  </w:r>
                  <w:r>
                    <w:rPr>
                      <w:rFonts w:hint="eastAsia" w:ascii="Times New Roman" w:hAnsi="Times New Roman" w:eastAsia="宋体" w:cs="Times New Roman"/>
                      <w:color w:val="auto"/>
                      <w:szCs w:val="21"/>
                      <w:lang w:eastAsia="zh-CN"/>
                    </w:rPr>
                    <w:t>。</w:t>
                  </w:r>
                </w:p>
              </w:tc>
              <w:tc>
                <w:tcPr>
                  <w:tcW w:w="669" w:type="dxa"/>
                  <w:vAlign w:val="center"/>
                </w:tcPr>
                <w:p w14:paraId="72625871">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rPr>
                    <w:t>不涉及</w:t>
                  </w:r>
                </w:p>
              </w:tc>
            </w:tr>
            <w:tr w14:paraId="29CF48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479" w:type="dxa"/>
                  <w:vMerge w:val="continue"/>
                  <w:vAlign w:val="center"/>
                </w:tcPr>
                <w:p w14:paraId="00B0579B">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p>
              </w:tc>
              <w:tc>
                <w:tcPr>
                  <w:tcW w:w="457" w:type="dxa"/>
                  <w:vAlign w:val="center"/>
                </w:tcPr>
                <w:p w14:paraId="6CF763B3">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rPr>
                    <w:t>2</w:t>
                  </w:r>
                </w:p>
              </w:tc>
              <w:tc>
                <w:tcPr>
                  <w:tcW w:w="4140" w:type="dxa"/>
                  <w:vAlign w:val="center"/>
                </w:tcPr>
                <w:p w14:paraId="77AF93A7">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rPr>
                    <w:t>禁止使用附带生物污染、有毒有害物质等废塑料作为生产原辅料。鼓励企业对造粒前对废塑料采用节水、节能、高效、低污染对技术进行清理清洗，减少其中对固体杂质，降低造粒机过滤网对更换频率</w:t>
                  </w:r>
                </w:p>
              </w:tc>
              <w:tc>
                <w:tcPr>
                  <w:tcW w:w="1866" w:type="dxa"/>
                  <w:vAlign w:val="center"/>
                </w:tcPr>
                <w:p w14:paraId="213339EE">
                  <w:pPr>
                    <w:keepNext w:val="0"/>
                    <w:keepLines w:val="0"/>
                    <w:suppressLineNumbers w:val="0"/>
                    <w:spacing w:before="0" w:beforeAutospacing="0" w:after="0" w:afterAutospacing="0"/>
                    <w:ind w:left="0" w:right="0"/>
                    <w:jc w:val="center"/>
                    <w:rPr>
                      <w:rFonts w:hint="eastAsia" w:ascii="Times New Roman" w:hAnsi="Times New Roman" w:eastAsia="宋体" w:cs="Times New Roman"/>
                      <w:color w:val="auto"/>
                      <w:szCs w:val="21"/>
                      <w:lang w:eastAsia="zh-CN"/>
                    </w:rPr>
                  </w:pPr>
                  <w:r>
                    <w:rPr>
                      <w:rFonts w:hint="default" w:ascii="Times New Roman" w:hAnsi="Times New Roman" w:eastAsia="宋体" w:cs="Times New Roman"/>
                      <w:color w:val="auto"/>
                      <w:szCs w:val="21"/>
                    </w:rPr>
                    <w:t>本项目使用的是洁净原料，无需清洗</w:t>
                  </w:r>
                  <w:r>
                    <w:rPr>
                      <w:rFonts w:hint="eastAsia" w:ascii="Times New Roman" w:hAnsi="Times New Roman" w:eastAsia="宋体" w:cs="Times New Roman"/>
                      <w:color w:val="auto"/>
                      <w:szCs w:val="21"/>
                      <w:lang w:eastAsia="zh-CN"/>
                    </w:rPr>
                    <w:t>。</w:t>
                  </w:r>
                </w:p>
              </w:tc>
              <w:tc>
                <w:tcPr>
                  <w:tcW w:w="669" w:type="dxa"/>
                  <w:vAlign w:val="center"/>
                </w:tcPr>
                <w:p w14:paraId="4FFB90EA">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rPr>
                    <w:t>符合</w:t>
                  </w:r>
                </w:p>
              </w:tc>
            </w:tr>
            <w:tr w14:paraId="7BEA13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479" w:type="dxa"/>
                  <w:vMerge w:val="continue"/>
                  <w:vAlign w:val="center"/>
                </w:tcPr>
                <w:p w14:paraId="7C311365">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p>
              </w:tc>
              <w:tc>
                <w:tcPr>
                  <w:tcW w:w="457" w:type="dxa"/>
                  <w:vAlign w:val="center"/>
                </w:tcPr>
                <w:p w14:paraId="467AFC5B">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rPr>
                    <w:t>3</w:t>
                  </w:r>
                </w:p>
              </w:tc>
              <w:tc>
                <w:tcPr>
                  <w:tcW w:w="4140" w:type="dxa"/>
                  <w:vAlign w:val="center"/>
                </w:tcPr>
                <w:p w14:paraId="74A46597">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rPr>
                    <w:t>禁止使用抛料和加工过程中产生较大臭味的原料、模压复合材料检查井盖生产企业再生利用废塑料应使用已经破碎、分选（炼）的清洁原料</w:t>
                  </w:r>
                </w:p>
              </w:tc>
              <w:tc>
                <w:tcPr>
                  <w:tcW w:w="1866" w:type="dxa"/>
                  <w:vAlign w:val="center"/>
                </w:tcPr>
                <w:p w14:paraId="627F998F">
                  <w:pPr>
                    <w:keepNext w:val="0"/>
                    <w:keepLines w:val="0"/>
                    <w:suppressLineNumbers w:val="0"/>
                    <w:spacing w:before="0" w:beforeAutospacing="0" w:after="0" w:afterAutospacing="0"/>
                    <w:ind w:left="0" w:right="0"/>
                    <w:jc w:val="center"/>
                    <w:rPr>
                      <w:rFonts w:hint="eastAsia" w:ascii="Times New Roman" w:hAnsi="Times New Roman" w:eastAsia="宋体" w:cs="Times New Roman"/>
                      <w:color w:val="auto"/>
                      <w:szCs w:val="21"/>
                      <w:lang w:eastAsia="zh-CN"/>
                    </w:rPr>
                  </w:pPr>
                  <w:r>
                    <w:rPr>
                      <w:rFonts w:hint="default" w:ascii="Times New Roman" w:hAnsi="Times New Roman" w:eastAsia="宋体" w:cs="Times New Roman"/>
                      <w:color w:val="auto"/>
                      <w:szCs w:val="21"/>
                    </w:rPr>
                    <w:t>本项目不涉及</w:t>
                  </w:r>
                  <w:r>
                    <w:rPr>
                      <w:rFonts w:hint="eastAsia" w:ascii="Times New Roman" w:hAnsi="Times New Roman" w:eastAsia="宋体" w:cs="Times New Roman"/>
                      <w:color w:val="auto"/>
                      <w:szCs w:val="21"/>
                      <w:lang w:eastAsia="zh-CN"/>
                    </w:rPr>
                    <w:t>。</w:t>
                  </w:r>
                </w:p>
              </w:tc>
              <w:tc>
                <w:tcPr>
                  <w:tcW w:w="669" w:type="dxa"/>
                  <w:vAlign w:val="center"/>
                </w:tcPr>
                <w:p w14:paraId="6376C280">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rPr>
                    <w:t>不涉及</w:t>
                  </w:r>
                </w:p>
              </w:tc>
            </w:tr>
            <w:tr w14:paraId="062D4C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479" w:type="dxa"/>
                  <w:vMerge w:val="continue"/>
                  <w:vAlign w:val="center"/>
                </w:tcPr>
                <w:p w14:paraId="62F035DC">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p>
              </w:tc>
              <w:tc>
                <w:tcPr>
                  <w:tcW w:w="457" w:type="dxa"/>
                  <w:vAlign w:val="center"/>
                </w:tcPr>
                <w:p w14:paraId="363A8762">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rPr>
                    <w:t>4</w:t>
                  </w:r>
                </w:p>
              </w:tc>
              <w:tc>
                <w:tcPr>
                  <w:tcW w:w="4140" w:type="dxa"/>
                  <w:vAlign w:val="center"/>
                </w:tcPr>
                <w:p w14:paraId="784102EF">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rPr>
                    <w:t>不饱和树脂、苯乙烯等含有VOCs等有机液体原料应提供正规厂家等供货资讯、化学品安全说明书（MSDS）等材料，并建立管理台账</w:t>
                  </w:r>
                </w:p>
              </w:tc>
              <w:tc>
                <w:tcPr>
                  <w:tcW w:w="1866" w:type="dxa"/>
                  <w:vAlign w:val="center"/>
                </w:tcPr>
                <w:p w14:paraId="47B42861">
                  <w:pPr>
                    <w:keepNext w:val="0"/>
                    <w:keepLines w:val="0"/>
                    <w:suppressLineNumbers w:val="0"/>
                    <w:spacing w:before="0" w:beforeAutospacing="0" w:after="0" w:afterAutospacing="0"/>
                    <w:ind w:left="0" w:right="0"/>
                    <w:jc w:val="center"/>
                    <w:rPr>
                      <w:rFonts w:hint="eastAsia" w:ascii="Times New Roman" w:hAnsi="Times New Roman" w:eastAsia="宋体" w:cs="Times New Roman"/>
                      <w:color w:val="auto"/>
                      <w:szCs w:val="21"/>
                      <w:lang w:eastAsia="zh-CN"/>
                    </w:rPr>
                  </w:pPr>
                  <w:r>
                    <w:rPr>
                      <w:rFonts w:hint="default" w:ascii="Times New Roman" w:hAnsi="Times New Roman" w:eastAsia="宋体" w:cs="Times New Roman"/>
                      <w:color w:val="auto"/>
                      <w:szCs w:val="21"/>
                    </w:rPr>
                    <w:t>本项目液体原料均含有MSDS报告，要求企业建立台账</w:t>
                  </w:r>
                  <w:r>
                    <w:rPr>
                      <w:rFonts w:hint="eastAsia" w:ascii="Times New Roman" w:hAnsi="Times New Roman" w:eastAsia="宋体" w:cs="Times New Roman"/>
                      <w:color w:val="auto"/>
                      <w:szCs w:val="21"/>
                      <w:lang w:eastAsia="zh-CN"/>
                    </w:rPr>
                    <w:t>。</w:t>
                  </w:r>
                </w:p>
              </w:tc>
              <w:tc>
                <w:tcPr>
                  <w:tcW w:w="669" w:type="dxa"/>
                  <w:vAlign w:val="center"/>
                </w:tcPr>
                <w:p w14:paraId="08F1F16A">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rPr>
                    <w:t>符合</w:t>
                  </w:r>
                </w:p>
              </w:tc>
            </w:tr>
            <w:tr w14:paraId="7DC8CC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479" w:type="dxa"/>
                  <w:vMerge w:val="continue"/>
                  <w:vAlign w:val="center"/>
                </w:tcPr>
                <w:p w14:paraId="19601726">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p>
              </w:tc>
              <w:tc>
                <w:tcPr>
                  <w:tcW w:w="457" w:type="dxa"/>
                  <w:vAlign w:val="center"/>
                </w:tcPr>
                <w:p w14:paraId="76D505E9">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rPr>
                    <w:t>5</w:t>
                  </w:r>
                </w:p>
              </w:tc>
              <w:tc>
                <w:tcPr>
                  <w:tcW w:w="4140" w:type="dxa"/>
                  <w:vAlign w:val="center"/>
                </w:tcPr>
                <w:p w14:paraId="7E1F13FB">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rPr>
                    <w:t>破碎工艺宜采用干法破碎技术，并配套防治粉尘和噪声污染等设备</w:t>
                  </w:r>
                </w:p>
              </w:tc>
              <w:tc>
                <w:tcPr>
                  <w:tcW w:w="1866" w:type="dxa"/>
                  <w:vAlign w:val="center"/>
                </w:tcPr>
                <w:p w14:paraId="58DAA97C">
                  <w:pPr>
                    <w:keepNext w:val="0"/>
                    <w:keepLines w:val="0"/>
                    <w:suppressLineNumbers w:val="0"/>
                    <w:spacing w:before="0" w:beforeAutospacing="0" w:after="0" w:afterAutospacing="0"/>
                    <w:ind w:left="0" w:right="0"/>
                    <w:jc w:val="center"/>
                    <w:rPr>
                      <w:rFonts w:hint="eastAsia" w:ascii="Times New Roman" w:hAnsi="Times New Roman" w:eastAsia="宋体" w:cs="Times New Roman"/>
                      <w:color w:val="auto"/>
                      <w:szCs w:val="21"/>
                      <w:lang w:eastAsia="zh-CN"/>
                    </w:rPr>
                  </w:pPr>
                  <w:r>
                    <w:rPr>
                      <w:rFonts w:hint="default" w:ascii="Times New Roman" w:hAnsi="Times New Roman" w:eastAsia="宋体" w:cs="Times New Roman"/>
                      <w:color w:val="auto"/>
                      <w:szCs w:val="21"/>
                    </w:rPr>
                    <w:t>本项目不涉及破碎工艺</w:t>
                  </w:r>
                  <w:r>
                    <w:rPr>
                      <w:rFonts w:hint="eastAsia" w:ascii="Times New Roman" w:hAnsi="Times New Roman" w:eastAsia="宋体" w:cs="Times New Roman"/>
                      <w:color w:val="auto"/>
                      <w:szCs w:val="21"/>
                      <w:lang w:eastAsia="zh-CN"/>
                    </w:rPr>
                    <w:t>。</w:t>
                  </w:r>
                </w:p>
              </w:tc>
              <w:tc>
                <w:tcPr>
                  <w:tcW w:w="669" w:type="dxa"/>
                  <w:vAlign w:val="center"/>
                </w:tcPr>
                <w:p w14:paraId="411841ED">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rPr>
                    <w:t>不涉及</w:t>
                  </w:r>
                </w:p>
              </w:tc>
            </w:tr>
            <w:tr w14:paraId="4005B9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479" w:type="dxa"/>
                  <w:vMerge w:val="continue"/>
                  <w:vAlign w:val="center"/>
                </w:tcPr>
                <w:p w14:paraId="25D5908F">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p>
              </w:tc>
              <w:tc>
                <w:tcPr>
                  <w:tcW w:w="457" w:type="dxa"/>
                  <w:vAlign w:val="center"/>
                </w:tcPr>
                <w:p w14:paraId="5CBD1212">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rPr>
                    <w:t>6</w:t>
                  </w:r>
                </w:p>
              </w:tc>
              <w:tc>
                <w:tcPr>
                  <w:tcW w:w="4140" w:type="dxa"/>
                  <w:vAlign w:val="center"/>
                </w:tcPr>
                <w:p w14:paraId="1E1C64EB">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rPr>
                    <w:t>在安全允许等前提下，不饱和树脂、苯乙烯等大宗有液体物料应采用储罐储存，设置平衡管或呼吸废气收集处理，并采用管道将物料输送至调配间或生产工位，减少废气无组织排放。桶装料在非正常状态必须密闭存放，并应选用隔膜泵进行送料，抽料区域应设置密闭间，并安装集气装置收集废气进行处理</w:t>
                  </w:r>
                </w:p>
              </w:tc>
              <w:tc>
                <w:tcPr>
                  <w:tcW w:w="1866" w:type="dxa"/>
                  <w:vAlign w:val="center"/>
                </w:tcPr>
                <w:p w14:paraId="11903D94">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lang w:val="en-US" w:eastAsia="zh-CN"/>
                    </w:rPr>
                  </w:pPr>
                  <w:r>
                    <w:rPr>
                      <w:rFonts w:hint="default" w:ascii="Times New Roman" w:hAnsi="Times New Roman" w:eastAsia="宋体" w:cs="Times New Roman"/>
                      <w:color w:val="auto"/>
                      <w:szCs w:val="21"/>
                    </w:rPr>
                    <w:t>本项目</w:t>
                  </w:r>
                  <w:r>
                    <w:rPr>
                      <w:rFonts w:hint="eastAsia" w:ascii="Times New Roman" w:hAnsi="Times New Roman" w:eastAsia="宋体" w:cs="Times New Roman"/>
                      <w:color w:val="auto"/>
                      <w:szCs w:val="21"/>
                      <w:lang w:val="en-US" w:eastAsia="zh-CN"/>
                    </w:rPr>
                    <w:t>不涉及使用不饱和树脂、苯乙烯等大宗有液体物料。</w:t>
                  </w:r>
                </w:p>
              </w:tc>
              <w:tc>
                <w:tcPr>
                  <w:tcW w:w="669" w:type="dxa"/>
                  <w:vAlign w:val="center"/>
                </w:tcPr>
                <w:p w14:paraId="043E2227">
                  <w:pPr>
                    <w:keepNext w:val="0"/>
                    <w:keepLines w:val="0"/>
                    <w:suppressLineNumbers w:val="0"/>
                    <w:spacing w:before="0" w:beforeAutospacing="0" w:after="0" w:afterAutospacing="0"/>
                    <w:ind w:left="0" w:right="0"/>
                    <w:jc w:val="center"/>
                    <w:rPr>
                      <w:rFonts w:hint="eastAsia" w:ascii="Times New Roman" w:hAnsi="Times New Roman" w:eastAsia="宋体" w:cs="Times New Roman"/>
                      <w:color w:val="auto"/>
                      <w:szCs w:val="21"/>
                      <w:lang w:eastAsia="zh-CN"/>
                    </w:rPr>
                  </w:pPr>
                  <w:r>
                    <w:rPr>
                      <w:rFonts w:hint="eastAsia" w:ascii="Times New Roman" w:hAnsi="Times New Roman" w:eastAsia="宋体" w:cs="Times New Roman"/>
                      <w:color w:val="auto"/>
                      <w:szCs w:val="21"/>
                      <w:lang w:val="en-US" w:eastAsia="zh-CN"/>
                    </w:rPr>
                    <w:t>不涉及</w:t>
                  </w:r>
                </w:p>
              </w:tc>
            </w:tr>
            <w:tr w14:paraId="1BDB7A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479" w:type="dxa"/>
                  <w:vMerge w:val="continue"/>
                  <w:vAlign w:val="center"/>
                </w:tcPr>
                <w:p w14:paraId="61DED46A">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p>
              </w:tc>
              <w:tc>
                <w:tcPr>
                  <w:tcW w:w="457" w:type="dxa"/>
                  <w:vAlign w:val="center"/>
                </w:tcPr>
                <w:p w14:paraId="613F6094">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rPr>
                    <w:t>7</w:t>
                  </w:r>
                </w:p>
              </w:tc>
              <w:tc>
                <w:tcPr>
                  <w:tcW w:w="4140" w:type="dxa"/>
                  <w:vAlign w:val="center"/>
                </w:tcPr>
                <w:p w14:paraId="56FE2554">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rPr>
                    <w:t>模压复合材料检查井盖等搅拌工序应按照重力流方式布置，有机液体物料全部采样管道密闭输送至生产设备，固体物料应采用密闭式固体投料装置送至搅拌釜，搅拌釜之间等混合物料应通过密闭管道进行转移。禁止使用敞开式搅拌釜，收集密闭式搅拌釜产生等呼吸废气进行处理</w:t>
                  </w:r>
                </w:p>
              </w:tc>
              <w:tc>
                <w:tcPr>
                  <w:tcW w:w="1866" w:type="dxa"/>
                  <w:vAlign w:val="center"/>
                </w:tcPr>
                <w:p w14:paraId="3D5F412B">
                  <w:pPr>
                    <w:keepNext w:val="0"/>
                    <w:keepLines w:val="0"/>
                    <w:suppressLineNumbers w:val="0"/>
                    <w:spacing w:before="0" w:beforeAutospacing="0" w:after="0" w:afterAutospacing="0"/>
                    <w:ind w:left="0" w:right="0"/>
                    <w:jc w:val="center"/>
                    <w:rPr>
                      <w:rFonts w:hint="eastAsia" w:ascii="Times New Roman" w:hAnsi="Times New Roman" w:eastAsia="宋体" w:cs="Times New Roman"/>
                      <w:color w:val="auto"/>
                      <w:szCs w:val="21"/>
                      <w:lang w:eastAsia="zh-CN"/>
                    </w:rPr>
                  </w:pPr>
                  <w:r>
                    <w:rPr>
                      <w:rFonts w:hint="default" w:ascii="Times New Roman" w:hAnsi="Times New Roman" w:eastAsia="宋体" w:cs="Times New Roman"/>
                      <w:color w:val="auto"/>
                      <w:szCs w:val="21"/>
                    </w:rPr>
                    <w:t>本项目不涉及</w:t>
                  </w:r>
                  <w:r>
                    <w:rPr>
                      <w:rFonts w:hint="eastAsia" w:ascii="Times New Roman" w:hAnsi="Times New Roman" w:eastAsia="宋体" w:cs="Times New Roman"/>
                      <w:color w:val="auto"/>
                      <w:szCs w:val="21"/>
                      <w:lang w:eastAsia="zh-CN"/>
                    </w:rPr>
                    <w:t>。</w:t>
                  </w:r>
                </w:p>
              </w:tc>
              <w:tc>
                <w:tcPr>
                  <w:tcW w:w="669" w:type="dxa"/>
                  <w:vAlign w:val="center"/>
                </w:tcPr>
                <w:p w14:paraId="58EC3B43">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rPr>
                    <w:t>不涉及</w:t>
                  </w:r>
                </w:p>
              </w:tc>
            </w:tr>
            <w:tr w14:paraId="7F30D6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479" w:type="dxa"/>
                  <w:vMerge w:val="continue"/>
                  <w:vAlign w:val="center"/>
                </w:tcPr>
                <w:p w14:paraId="1183EC52">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p>
              </w:tc>
              <w:tc>
                <w:tcPr>
                  <w:tcW w:w="457" w:type="dxa"/>
                  <w:vAlign w:val="center"/>
                </w:tcPr>
                <w:p w14:paraId="2A892D6D">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rPr>
                    <w:t>8</w:t>
                  </w:r>
                </w:p>
              </w:tc>
              <w:tc>
                <w:tcPr>
                  <w:tcW w:w="4140" w:type="dxa"/>
                  <w:vAlign w:val="center"/>
                </w:tcPr>
                <w:p w14:paraId="5DECA078">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rPr>
                    <w:t>模压复合材料检查井盖生产中等搅拌后等物料，应选用密闭式螺旋输送机送至生产工位，不得采用人工转运方式进行物料转移</w:t>
                  </w:r>
                </w:p>
              </w:tc>
              <w:tc>
                <w:tcPr>
                  <w:tcW w:w="1866" w:type="dxa"/>
                  <w:vAlign w:val="center"/>
                </w:tcPr>
                <w:p w14:paraId="2B01CBC4">
                  <w:pPr>
                    <w:keepNext w:val="0"/>
                    <w:keepLines w:val="0"/>
                    <w:suppressLineNumbers w:val="0"/>
                    <w:spacing w:before="0" w:beforeAutospacing="0" w:after="0" w:afterAutospacing="0"/>
                    <w:ind w:left="0" w:right="0"/>
                    <w:jc w:val="center"/>
                    <w:rPr>
                      <w:rFonts w:hint="eastAsia" w:ascii="Times New Roman" w:hAnsi="Times New Roman" w:eastAsia="宋体" w:cs="Times New Roman"/>
                      <w:color w:val="auto"/>
                      <w:szCs w:val="21"/>
                      <w:lang w:eastAsia="zh-CN"/>
                    </w:rPr>
                  </w:pPr>
                  <w:r>
                    <w:rPr>
                      <w:rFonts w:hint="default" w:ascii="Times New Roman" w:hAnsi="Times New Roman" w:eastAsia="宋体" w:cs="Times New Roman"/>
                      <w:color w:val="auto"/>
                      <w:szCs w:val="21"/>
                    </w:rPr>
                    <w:t>本项目不涉及</w:t>
                  </w:r>
                  <w:r>
                    <w:rPr>
                      <w:rFonts w:hint="eastAsia" w:ascii="Times New Roman" w:hAnsi="Times New Roman" w:eastAsia="宋体" w:cs="Times New Roman"/>
                      <w:color w:val="auto"/>
                      <w:szCs w:val="21"/>
                      <w:lang w:eastAsia="zh-CN"/>
                    </w:rPr>
                    <w:t>。</w:t>
                  </w:r>
                </w:p>
              </w:tc>
              <w:tc>
                <w:tcPr>
                  <w:tcW w:w="669" w:type="dxa"/>
                  <w:vAlign w:val="center"/>
                </w:tcPr>
                <w:p w14:paraId="0F1A50C1">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rPr>
                    <w:t>不涉及</w:t>
                  </w:r>
                </w:p>
              </w:tc>
            </w:tr>
            <w:tr w14:paraId="07DAA6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479" w:type="dxa"/>
                  <w:vMerge w:val="restart"/>
                  <w:vAlign w:val="center"/>
                </w:tcPr>
                <w:p w14:paraId="40334FB0">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rPr>
                    <w:t>加强废气收集</w:t>
                  </w:r>
                </w:p>
              </w:tc>
              <w:tc>
                <w:tcPr>
                  <w:tcW w:w="457" w:type="dxa"/>
                  <w:vAlign w:val="center"/>
                </w:tcPr>
                <w:p w14:paraId="1150204E">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rPr>
                    <w:t>9</w:t>
                  </w:r>
                </w:p>
              </w:tc>
              <w:tc>
                <w:tcPr>
                  <w:tcW w:w="4140" w:type="dxa"/>
                  <w:vAlign w:val="center"/>
                </w:tcPr>
                <w:p w14:paraId="1C8470C3">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rPr>
                    <w:t>塑料加工企业应收集熔融、过滤、挤出（包括注塑、挤塑等）等生产环节中产生等废气</w:t>
                  </w:r>
                </w:p>
              </w:tc>
              <w:tc>
                <w:tcPr>
                  <w:tcW w:w="1866" w:type="dxa"/>
                  <w:vAlign w:val="center"/>
                </w:tcPr>
                <w:p w14:paraId="61D82E46">
                  <w:pPr>
                    <w:keepNext w:val="0"/>
                    <w:keepLines w:val="0"/>
                    <w:suppressLineNumbers w:val="0"/>
                    <w:spacing w:before="0" w:beforeAutospacing="0" w:after="0" w:afterAutospacing="0"/>
                    <w:ind w:left="0" w:right="0"/>
                    <w:jc w:val="center"/>
                    <w:rPr>
                      <w:rFonts w:hint="eastAsia" w:ascii="Times New Roman" w:hAnsi="Times New Roman" w:eastAsia="宋体" w:cs="Times New Roman"/>
                      <w:color w:val="auto"/>
                      <w:szCs w:val="21"/>
                      <w:lang w:eastAsia="zh-CN"/>
                    </w:rPr>
                  </w:pPr>
                  <w:r>
                    <w:rPr>
                      <w:rFonts w:hint="default" w:ascii="Times New Roman" w:hAnsi="Times New Roman" w:eastAsia="宋体" w:cs="Times New Roman"/>
                      <w:color w:val="auto"/>
                      <w:szCs w:val="21"/>
                    </w:rPr>
                    <w:t>本项目采用有效收集工艺</w:t>
                  </w:r>
                  <w:r>
                    <w:rPr>
                      <w:rFonts w:hint="eastAsia" w:ascii="Times New Roman" w:hAnsi="Times New Roman" w:eastAsia="宋体" w:cs="Times New Roman"/>
                      <w:color w:val="auto"/>
                      <w:szCs w:val="21"/>
                      <w:lang w:eastAsia="zh-CN"/>
                    </w:rPr>
                    <w:t>。</w:t>
                  </w:r>
                </w:p>
              </w:tc>
              <w:tc>
                <w:tcPr>
                  <w:tcW w:w="669" w:type="dxa"/>
                  <w:vAlign w:val="center"/>
                </w:tcPr>
                <w:p w14:paraId="68849DCC">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rPr>
                    <w:t>符合</w:t>
                  </w:r>
                </w:p>
              </w:tc>
            </w:tr>
            <w:tr w14:paraId="0B0952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479" w:type="dxa"/>
                  <w:vMerge w:val="continue"/>
                  <w:vAlign w:val="center"/>
                </w:tcPr>
                <w:p w14:paraId="1F2DC952">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p>
              </w:tc>
              <w:tc>
                <w:tcPr>
                  <w:tcW w:w="457" w:type="dxa"/>
                  <w:vAlign w:val="center"/>
                </w:tcPr>
                <w:p w14:paraId="3B69A743">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rPr>
                    <w:t>10</w:t>
                  </w:r>
                </w:p>
              </w:tc>
              <w:tc>
                <w:tcPr>
                  <w:tcW w:w="4140" w:type="dxa"/>
                  <w:vAlign w:val="center"/>
                </w:tcPr>
                <w:p w14:paraId="10DDBCC9">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rPr>
                    <w:t>模压复合材料检查井盖生产企业应收集有机液体储存、搅拌、抽料、放料、模压等生产环节中产生等废气</w:t>
                  </w:r>
                </w:p>
              </w:tc>
              <w:tc>
                <w:tcPr>
                  <w:tcW w:w="1866" w:type="dxa"/>
                  <w:vAlign w:val="center"/>
                </w:tcPr>
                <w:p w14:paraId="184E9F2F">
                  <w:pPr>
                    <w:keepNext w:val="0"/>
                    <w:keepLines w:val="0"/>
                    <w:suppressLineNumbers w:val="0"/>
                    <w:spacing w:before="0" w:beforeAutospacing="0" w:after="0" w:afterAutospacing="0"/>
                    <w:ind w:left="0" w:right="0"/>
                    <w:jc w:val="center"/>
                    <w:rPr>
                      <w:rFonts w:hint="eastAsia" w:ascii="Times New Roman" w:hAnsi="Times New Roman" w:eastAsia="宋体" w:cs="Times New Roman"/>
                      <w:color w:val="auto"/>
                      <w:szCs w:val="21"/>
                      <w:lang w:eastAsia="zh-CN"/>
                    </w:rPr>
                  </w:pPr>
                  <w:r>
                    <w:rPr>
                      <w:rFonts w:hint="default" w:ascii="Times New Roman" w:hAnsi="Times New Roman" w:eastAsia="宋体" w:cs="Times New Roman"/>
                      <w:color w:val="auto"/>
                      <w:szCs w:val="21"/>
                    </w:rPr>
                    <w:t>本项目不涉及</w:t>
                  </w:r>
                  <w:r>
                    <w:rPr>
                      <w:rFonts w:hint="eastAsia" w:ascii="Times New Roman" w:hAnsi="Times New Roman" w:eastAsia="宋体" w:cs="Times New Roman"/>
                      <w:color w:val="auto"/>
                      <w:szCs w:val="21"/>
                      <w:lang w:eastAsia="zh-CN"/>
                    </w:rPr>
                    <w:t>。</w:t>
                  </w:r>
                </w:p>
              </w:tc>
              <w:tc>
                <w:tcPr>
                  <w:tcW w:w="669" w:type="dxa"/>
                  <w:vAlign w:val="center"/>
                </w:tcPr>
                <w:p w14:paraId="5DCB9C25">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rPr>
                    <w:t>不涉及</w:t>
                  </w:r>
                </w:p>
              </w:tc>
            </w:tr>
            <w:tr w14:paraId="0964FD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479" w:type="dxa"/>
                  <w:vMerge w:val="continue"/>
                  <w:vAlign w:val="center"/>
                </w:tcPr>
                <w:p w14:paraId="0928B763">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p>
              </w:tc>
              <w:tc>
                <w:tcPr>
                  <w:tcW w:w="457" w:type="dxa"/>
                  <w:vAlign w:val="center"/>
                </w:tcPr>
                <w:p w14:paraId="40BCB930">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rPr>
                    <w:t>11</w:t>
                  </w:r>
                </w:p>
              </w:tc>
              <w:tc>
                <w:tcPr>
                  <w:tcW w:w="4140" w:type="dxa"/>
                  <w:vAlign w:val="center"/>
                </w:tcPr>
                <w:p w14:paraId="3DB78336">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rPr>
                    <w:t>企业应采用密闭式集气方式进行废气收集，不得采用集气罩方式</w:t>
                  </w:r>
                </w:p>
              </w:tc>
              <w:tc>
                <w:tcPr>
                  <w:tcW w:w="1866" w:type="dxa"/>
                  <w:vAlign w:val="center"/>
                </w:tcPr>
                <w:p w14:paraId="31A2F9AB">
                  <w:pPr>
                    <w:keepNext w:val="0"/>
                    <w:keepLines w:val="0"/>
                    <w:suppressLineNumbers w:val="0"/>
                    <w:spacing w:before="0" w:beforeAutospacing="0" w:after="0" w:afterAutospacing="0"/>
                    <w:ind w:left="0" w:right="0"/>
                    <w:jc w:val="center"/>
                    <w:rPr>
                      <w:rFonts w:hint="eastAsia" w:ascii="Times New Roman" w:hAnsi="Times New Roman" w:eastAsia="宋体" w:cs="Times New Roman"/>
                      <w:color w:val="auto"/>
                      <w:szCs w:val="21"/>
                      <w:highlight w:val="yellow"/>
                      <w:lang w:eastAsia="zh-CN"/>
                    </w:rPr>
                  </w:pPr>
                  <w:r>
                    <w:rPr>
                      <w:rFonts w:hint="eastAsia" w:ascii="Times New Roman" w:hAnsi="Times New Roman" w:eastAsia="宋体" w:cs="Times New Roman"/>
                      <w:color w:val="auto"/>
                      <w:szCs w:val="21"/>
                    </w:rPr>
                    <w:t>本项目采用</w:t>
                  </w:r>
                  <w:r>
                    <w:rPr>
                      <w:rFonts w:hint="eastAsia" w:ascii="Times New Roman" w:hAnsi="Times New Roman" w:eastAsia="宋体" w:cs="Times New Roman"/>
                      <w:color w:val="auto"/>
                      <w:szCs w:val="21"/>
                      <w:lang w:val="en-US" w:eastAsia="zh-CN"/>
                    </w:rPr>
                    <w:t>车间密闭或</w:t>
                  </w:r>
                  <w:r>
                    <w:rPr>
                      <w:rFonts w:hint="eastAsia" w:ascii="Times New Roman" w:hAnsi="Times New Roman" w:eastAsia="宋体" w:cs="Times New Roman"/>
                      <w:color w:val="auto"/>
                      <w:szCs w:val="21"/>
                    </w:rPr>
                    <w:t>密闭式集气方式进行挥发废气收集</w:t>
                  </w:r>
                  <w:r>
                    <w:rPr>
                      <w:rFonts w:hint="eastAsia" w:ascii="Times New Roman" w:hAnsi="Times New Roman" w:eastAsia="宋体" w:cs="Times New Roman"/>
                      <w:color w:val="auto"/>
                      <w:szCs w:val="21"/>
                      <w:lang w:eastAsia="zh-CN"/>
                    </w:rPr>
                    <w:t>。</w:t>
                  </w:r>
                </w:p>
              </w:tc>
              <w:tc>
                <w:tcPr>
                  <w:tcW w:w="669" w:type="dxa"/>
                  <w:vAlign w:val="center"/>
                </w:tcPr>
                <w:p w14:paraId="58938B1D">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rPr>
                    <w:t>符合</w:t>
                  </w:r>
                </w:p>
              </w:tc>
            </w:tr>
            <w:tr w14:paraId="4515C9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479" w:type="dxa"/>
                  <w:vMerge w:val="continue"/>
                  <w:vAlign w:val="center"/>
                </w:tcPr>
                <w:p w14:paraId="0BD2D846">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p>
              </w:tc>
              <w:tc>
                <w:tcPr>
                  <w:tcW w:w="457" w:type="dxa"/>
                  <w:vAlign w:val="center"/>
                </w:tcPr>
                <w:p w14:paraId="0840BFC7">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rPr>
                    <w:t>12</w:t>
                  </w:r>
                </w:p>
              </w:tc>
              <w:tc>
                <w:tcPr>
                  <w:tcW w:w="4140" w:type="dxa"/>
                  <w:vAlign w:val="center"/>
                </w:tcPr>
                <w:p w14:paraId="30BD5E84">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rPr>
                    <w:t>对废塑料熔融造粒和挤出生产线进行全密闭，常闭面采用玻璃、岩棉夹芯板或其他硬质围挡阻隔，常开面采用自吸式软帘隔离，确保非进出时间密闭间呈密闭状态。在密闭空间内针对废气产生点设置半密闭集气罩，优先将大部分废气直接引至收集系统</w:t>
                  </w:r>
                </w:p>
              </w:tc>
              <w:tc>
                <w:tcPr>
                  <w:tcW w:w="1866" w:type="dxa"/>
                  <w:vAlign w:val="center"/>
                </w:tcPr>
                <w:p w14:paraId="577D9FCD">
                  <w:pPr>
                    <w:keepNext w:val="0"/>
                    <w:keepLines w:val="0"/>
                    <w:suppressLineNumbers w:val="0"/>
                    <w:spacing w:before="0" w:beforeAutospacing="0" w:after="0" w:afterAutospacing="0"/>
                    <w:ind w:left="0" w:right="0"/>
                    <w:jc w:val="center"/>
                    <w:rPr>
                      <w:rFonts w:hint="eastAsia" w:ascii="Times New Roman" w:hAnsi="Times New Roman" w:eastAsia="宋体" w:cs="Times New Roman"/>
                      <w:color w:val="auto"/>
                      <w:szCs w:val="21"/>
                      <w:lang w:eastAsia="zh-CN"/>
                    </w:rPr>
                  </w:pPr>
                  <w:r>
                    <w:rPr>
                      <w:rFonts w:hint="default" w:ascii="Times New Roman" w:hAnsi="Times New Roman" w:eastAsia="宋体" w:cs="Times New Roman"/>
                      <w:color w:val="auto"/>
                      <w:szCs w:val="21"/>
                    </w:rPr>
                    <w:t>本项目不涉及</w:t>
                  </w:r>
                  <w:r>
                    <w:rPr>
                      <w:rFonts w:hint="eastAsia" w:ascii="Times New Roman" w:hAnsi="Times New Roman" w:eastAsia="宋体" w:cs="Times New Roman"/>
                      <w:color w:val="auto"/>
                      <w:szCs w:val="21"/>
                      <w:lang w:eastAsia="zh-CN"/>
                    </w:rPr>
                    <w:t>。</w:t>
                  </w:r>
                </w:p>
              </w:tc>
              <w:tc>
                <w:tcPr>
                  <w:tcW w:w="669" w:type="dxa"/>
                  <w:vAlign w:val="center"/>
                </w:tcPr>
                <w:p w14:paraId="6A48A259">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rPr>
                    <w:t>不涉及</w:t>
                  </w:r>
                </w:p>
              </w:tc>
            </w:tr>
            <w:tr w14:paraId="2B4762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479" w:type="dxa"/>
                  <w:vMerge w:val="continue"/>
                  <w:vAlign w:val="center"/>
                </w:tcPr>
                <w:p w14:paraId="20394409">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p>
              </w:tc>
              <w:tc>
                <w:tcPr>
                  <w:tcW w:w="457" w:type="dxa"/>
                  <w:vAlign w:val="center"/>
                </w:tcPr>
                <w:p w14:paraId="3EFD5E08">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rPr>
                    <w:t>13</w:t>
                  </w:r>
                </w:p>
              </w:tc>
              <w:tc>
                <w:tcPr>
                  <w:tcW w:w="4140" w:type="dxa"/>
                  <w:vAlign w:val="center"/>
                </w:tcPr>
                <w:p w14:paraId="5CD738D6">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rPr>
                    <w:t>对模压复合材料检查井盖生产企业对有机液体原料储罐、搅拌釜呼吸废气采用管道直接连接对方式收集气</w:t>
                  </w:r>
                </w:p>
              </w:tc>
              <w:tc>
                <w:tcPr>
                  <w:tcW w:w="1866" w:type="dxa"/>
                  <w:vAlign w:val="center"/>
                </w:tcPr>
                <w:p w14:paraId="3C691BC9">
                  <w:pPr>
                    <w:keepNext w:val="0"/>
                    <w:keepLines w:val="0"/>
                    <w:suppressLineNumbers w:val="0"/>
                    <w:spacing w:before="0" w:beforeAutospacing="0" w:after="0" w:afterAutospacing="0"/>
                    <w:ind w:left="0" w:right="0"/>
                    <w:jc w:val="center"/>
                    <w:rPr>
                      <w:rFonts w:hint="eastAsia" w:ascii="Times New Roman" w:hAnsi="Times New Roman" w:eastAsia="宋体" w:cs="Times New Roman"/>
                      <w:color w:val="auto"/>
                      <w:szCs w:val="21"/>
                      <w:lang w:eastAsia="zh-CN"/>
                    </w:rPr>
                  </w:pPr>
                  <w:r>
                    <w:rPr>
                      <w:rFonts w:hint="default" w:ascii="Times New Roman" w:hAnsi="Times New Roman" w:eastAsia="宋体" w:cs="Times New Roman"/>
                      <w:color w:val="auto"/>
                      <w:szCs w:val="21"/>
                    </w:rPr>
                    <w:t>本项目不涉及</w:t>
                  </w:r>
                  <w:r>
                    <w:rPr>
                      <w:rFonts w:hint="eastAsia" w:ascii="Times New Roman" w:hAnsi="Times New Roman" w:eastAsia="宋体" w:cs="Times New Roman"/>
                      <w:color w:val="auto"/>
                      <w:szCs w:val="21"/>
                      <w:lang w:eastAsia="zh-CN"/>
                    </w:rPr>
                    <w:t>。</w:t>
                  </w:r>
                </w:p>
              </w:tc>
              <w:tc>
                <w:tcPr>
                  <w:tcW w:w="669" w:type="dxa"/>
                  <w:vAlign w:val="center"/>
                </w:tcPr>
                <w:p w14:paraId="0CDB5712">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rPr>
                    <w:t>不涉及</w:t>
                  </w:r>
                </w:p>
              </w:tc>
            </w:tr>
            <w:tr w14:paraId="41136B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479" w:type="dxa"/>
                  <w:vMerge w:val="continue"/>
                  <w:vAlign w:val="center"/>
                </w:tcPr>
                <w:p w14:paraId="4B67FA87">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p>
              </w:tc>
              <w:tc>
                <w:tcPr>
                  <w:tcW w:w="457" w:type="dxa"/>
                  <w:vAlign w:val="center"/>
                </w:tcPr>
                <w:p w14:paraId="7247584E">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rPr>
                    <w:t>14</w:t>
                  </w:r>
                </w:p>
              </w:tc>
              <w:tc>
                <w:tcPr>
                  <w:tcW w:w="4140" w:type="dxa"/>
                  <w:vAlign w:val="center"/>
                </w:tcPr>
                <w:p w14:paraId="5B2695B7">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rPr>
                    <w:t>对模压复合材料检查井盖生产企业的抽料、放料、模压区域应设置密闭间，常闭面采用玻璃、岩棉夹芯板或其他硬质围挡阻隔，常开面采用双道门隔离，人员进出时必须确保其中一道门处于关闭状态。在密闭空间内针对抽料口、放料口或模压机压头区域对废气产生点设置半密闭集气罩，优先将大部分废气直接引至收集系统</w:t>
                  </w:r>
                </w:p>
              </w:tc>
              <w:tc>
                <w:tcPr>
                  <w:tcW w:w="1866" w:type="dxa"/>
                  <w:vAlign w:val="center"/>
                </w:tcPr>
                <w:p w14:paraId="773853A4">
                  <w:pPr>
                    <w:keepNext w:val="0"/>
                    <w:keepLines w:val="0"/>
                    <w:suppressLineNumbers w:val="0"/>
                    <w:spacing w:before="0" w:beforeAutospacing="0" w:after="0" w:afterAutospacing="0"/>
                    <w:ind w:left="0" w:right="0"/>
                    <w:jc w:val="center"/>
                    <w:rPr>
                      <w:rFonts w:hint="eastAsia" w:ascii="Times New Roman" w:hAnsi="Times New Roman" w:eastAsia="宋体" w:cs="Times New Roman"/>
                      <w:color w:val="auto"/>
                      <w:szCs w:val="21"/>
                      <w:lang w:eastAsia="zh-CN"/>
                    </w:rPr>
                  </w:pPr>
                  <w:r>
                    <w:rPr>
                      <w:rFonts w:hint="default" w:ascii="Times New Roman" w:hAnsi="Times New Roman" w:eastAsia="宋体" w:cs="Times New Roman"/>
                      <w:color w:val="auto"/>
                      <w:szCs w:val="21"/>
                    </w:rPr>
                    <w:t>本项目不涉及</w:t>
                  </w:r>
                  <w:r>
                    <w:rPr>
                      <w:rFonts w:hint="eastAsia" w:ascii="Times New Roman" w:hAnsi="Times New Roman" w:eastAsia="宋体" w:cs="Times New Roman"/>
                      <w:color w:val="auto"/>
                      <w:szCs w:val="21"/>
                      <w:lang w:eastAsia="zh-CN"/>
                    </w:rPr>
                    <w:t>。</w:t>
                  </w:r>
                </w:p>
              </w:tc>
              <w:tc>
                <w:tcPr>
                  <w:tcW w:w="669" w:type="dxa"/>
                  <w:vAlign w:val="center"/>
                </w:tcPr>
                <w:p w14:paraId="60B797AB">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rPr>
                    <w:t>不涉及</w:t>
                  </w:r>
                </w:p>
              </w:tc>
            </w:tr>
            <w:tr w14:paraId="7F854D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479" w:type="dxa"/>
                  <w:vMerge w:val="continue"/>
                  <w:vAlign w:val="center"/>
                </w:tcPr>
                <w:p w14:paraId="483ECC6E">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p>
              </w:tc>
              <w:tc>
                <w:tcPr>
                  <w:tcW w:w="457" w:type="dxa"/>
                  <w:vAlign w:val="center"/>
                </w:tcPr>
                <w:p w14:paraId="3A8A85B1">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rPr>
                    <w:t>15</w:t>
                  </w:r>
                </w:p>
              </w:tc>
              <w:tc>
                <w:tcPr>
                  <w:tcW w:w="4140" w:type="dxa"/>
                  <w:vAlign w:val="center"/>
                </w:tcPr>
                <w:p w14:paraId="28EA9DC7">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rPr>
                    <w:t>采用密闭方式收集废气时，密闭空间必须同时满足足够对换气次数和保持微负压状态。人员操作频繁对空间内换气次数不小于20次/小时；包括进出通道、隔离材料缝隙在内，所有可能对敞开截面应该控制风速不小于0.5米/秒</w:t>
                  </w:r>
                </w:p>
              </w:tc>
              <w:tc>
                <w:tcPr>
                  <w:tcW w:w="1866" w:type="dxa"/>
                  <w:vAlign w:val="center"/>
                </w:tcPr>
                <w:p w14:paraId="75554747">
                  <w:pPr>
                    <w:keepNext w:val="0"/>
                    <w:keepLines w:val="0"/>
                    <w:suppressLineNumbers w:val="0"/>
                    <w:spacing w:before="0" w:beforeAutospacing="0" w:after="0" w:afterAutospacing="0"/>
                    <w:ind w:left="0" w:right="0"/>
                    <w:jc w:val="center"/>
                    <w:rPr>
                      <w:rFonts w:hint="eastAsia" w:ascii="Times New Roman" w:hAnsi="Times New Roman" w:eastAsia="宋体" w:cs="Times New Roman"/>
                      <w:color w:val="auto"/>
                      <w:szCs w:val="21"/>
                      <w:highlight w:val="yellow"/>
                      <w:lang w:eastAsia="zh-CN"/>
                    </w:rPr>
                  </w:pPr>
                  <w:r>
                    <w:rPr>
                      <w:rFonts w:hint="eastAsia" w:ascii="Times New Roman" w:hAnsi="Times New Roman" w:eastAsia="宋体" w:cs="Times New Roman"/>
                      <w:color w:val="auto"/>
                      <w:szCs w:val="21"/>
                    </w:rPr>
                    <w:t>本项目采用</w:t>
                  </w:r>
                  <w:r>
                    <w:rPr>
                      <w:rFonts w:hint="eastAsia" w:ascii="Times New Roman" w:hAnsi="Times New Roman" w:eastAsia="宋体" w:cs="Times New Roman"/>
                      <w:color w:val="auto"/>
                      <w:szCs w:val="21"/>
                      <w:lang w:val="en-US" w:eastAsia="zh-CN"/>
                    </w:rPr>
                    <w:t>车间密闭或</w:t>
                  </w:r>
                  <w:r>
                    <w:rPr>
                      <w:rFonts w:hint="eastAsia" w:ascii="Times New Roman" w:hAnsi="Times New Roman" w:eastAsia="宋体" w:cs="Times New Roman"/>
                      <w:color w:val="auto"/>
                      <w:szCs w:val="21"/>
                    </w:rPr>
                    <w:t>密闭式集气方式进行挥发废气收集，</w:t>
                  </w:r>
                  <w:r>
                    <w:rPr>
                      <w:rFonts w:hint="default" w:ascii="Times New Roman" w:hAnsi="Times New Roman" w:eastAsia="宋体" w:cs="Times New Roman"/>
                      <w:color w:val="auto"/>
                      <w:szCs w:val="21"/>
                    </w:rPr>
                    <w:t>密闭空间保持微负压状态</w:t>
                  </w:r>
                  <w:r>
                    <w:rPr>
                      <w:rFonts w:hint="eastAsia" w:ascii="Times New Roman" w:hAnsi="Times New Roman" w:eastAsia="宋体" w:cs="Times New Roman"/>
                      <w:color w:val="auto"/>
                      <w:szCs w:val="21"/>
                      <w:lang w:eastAsia="zh-CN"/>
                    </w:rPr>
                    <w:t>。</w:t>
                  </w:r>
                </w:p>
              </w:tc>
              <w:tc>
                <w:tcPr>
                  <w:tcW w:w="669" w:type="dxa"/>
                  <w:vAlign w:val="center"/>
                </w:tcPr>
                <w:p w14:paraId="57F23337">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rPr>
                    <w:t>符合</w:t>
                  </w:r>
                </w:p>
              </w:tc>
            </w:tr>
            <w:tr w14:paraId="4C09D5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479" w:type="dxa"/>
                  <w:vMerge w:val="continue"/>
                  <w:vAlign w:val="center"/>
                </w:tcPr>
                <w:p w14:paraId="18358F41">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p>
              </w:tc>
              <w:tc>
                <w:tcPr>
                  <w:tcW w:w="457" w:type="dxa"/>
                  <w:vAlign w:val="center"/>
                </w:tcPr>
                <w:p w14:paraId="07F133FC">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rPr>
                    <w:t>16</w:t>
                  </w:r>
                </w:p>
              </w:tc>
              <w:tc>
                <w:tcPr>
                  <w:tcW w:w="4140" w:type="dxa"/>
                  <w:vAlign w:val="center"/>
                </w:tcPr>
                <w:p w14:paraId="556AD83D">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rPr>
                    <w:t>企业收集废气后，应满足厂区大气污染物监控点非甲烷总烃任何1小时平均浓度不得超过监控浓度限值为10毫克/立方米，任何暂态一次浓度不得超过对监控浓度限值为50毫克/立方米。如企业采用密闭间方式收集废气，则厂区内大气污染物监控点指密闭间主要逸散口（门、窗、通风口）外1米，不低于1.5米高度处；如企业采用外部集气罩收集废气，则厂区内大气污染物监控点指生产设备外1米，不低于1.5米高度处，监控点对数量不少于3个。并以浓度最大值对监控点来判别是否达标</w:t>
                  </w:r>
                </w:p>
              </w:tc>
              <w:tc>
                <w:tcPr>
                  <w:tcW w:w="1866" w:type="dxa"/>
                  <w:vAlign w:val="center"/>
                </w:tcPr>
                <w:p w14:paraId="5CE28EF7">
                  <w:pPr>
                    <w:keepNext w:val="0"/>
                    <w:keepLines w:val="0"/>
                    <w:suppressLineNumbers w:val="0"/>
                    <w:spacing w:before="0" w:beforeAutospacing="0" w:after="0" w:afterAutospacing="0"/>
                    <w:ind w:left="0" w:right="0"/>
                    <w:jc w:val="center"/>
                    <w:rPr>
                      <w:rFonts w:hint="eastAsia" w:ascii="Times New Roman" w:hAnsi="Times New Roman" w:eastAsia="宋体" w:cs="Times New Roman"/>
                      <w:color w:val="auto"/>
                      <w:szCs w:val="21"/>
                      <w:lang w:eastAsia="zh-CN"/>
                    </w:rPr>
                  </w:pPr>
                  <w:r>
                    <w:rPr>
                      <w:rFonts w:hint="default" w:ascii="Times New Roman" w:hAnsi="Times New Roman" w:eastAsia="宋体" w:cs="Times New Roman"/>
                      <w:color w:val="auto"/>
                      <w:szCs w:val="21"/>
                    </w:rPr>
                    <w:t>厂区内大气污染物监控点非甲烷总烃无组织排放浓度满足标准要求</w:t>
                  </w:r>
                  <w:r>
                    <w:rPr>
                      <w:rFonts w:hint="eastAsia" w:ascii="Times New Roman" w:hAnsi="Times New Roman" w:eastAsia="宋体" w:cs="Times New Roman"/>
                      <w:color w:val="auto"/>
                      <w:szCs w:val="21"/>
                      <w:lang w:eastAsia="zh-CN"/>
                    </w:rPr>
                    <w:t>。</w:t>
                  </w:r>
                </w:p>
              </w:tc>
              <w:tc>
                <w:tcPr>
                  <w:tcW w:w="669" w:type="dxa"/>
                  <w:vAlign w:val="center"/>
                </w:tcPr>
                <w:p w14:paraId="11F3B42F">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rPr>
                    <w:t>符合</w:t>
                  </w:r>
                </w:p>
              </w:tc>
            </w:tr>
            <w:tr w14:paraId="2BC072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479" w:type="dxa"/>
                  <w:vMerge w:val="continue"/>
                  <w:vAlign w:val="center"/>
                </w:tcPr>
                <w:p w14:paraId="1F3C0055">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p>
              </w:tc>
              <w:tc>
                <w:tcPr>
                  <w:tcW w:w="457" w:type="dxa"/>
                  <w:vAlign w:val="center"/>
                </w:tcPr>
                <w:p w14:paraId="16F3E319">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rPr>
                    <w:t>17</w:t>
                  </w:r>
                </w:p>
              </w:tc>
              <w:tc>
                <w:tcPr>
                  <w:tcW w:w="4140" w:type="dxa"/>
                  <w:vAlign w:val="center"/>
                </w:tcPr>
                <w:p w14:paraId="2DEC3B2E">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rPr>
                    <w:t>废气收集和输送应满足《大气污染治理工程技术导则》（HJ2000-2010）及相关规范的要求，管路应有明显的颜色区分及走向标识</w:t>
                  </w:r>
                </w:p>
              </w:tc>
              <w:tc>
                <w:tcPr>
                  <w:tcW w:w="1866" w:type="dxa"/>
                  <w:vAlign w:val="center"/>
                </w:tcPr>
                <w:p w14:paraId="48705250">
                  <w:pPr>
                    <w:keepNext w:val="0"/>
                    <w:keepLines w:val="0"/>
                    <w:suppressLineNumbers w:val="0"/>
                    <w:spacing w:before="0" w:beforeAutospacing="0" w:after="0" w:afterAutospacing="0"/>
                    <w:ind w:left="0" w:right="0"/>
                    <w:jc w:val="center"/>
                    <w:rPr>
                      <w:rFonts w:hint="eastAsia" w:ascii="Times New Roman" w:hAnsi="Times New Roman" w:eastAsia="宋体" w:cs="Times New Roman"/>
                      <w:color w:val="auto"/>
                      <w:szCs w:val="21"/>
                      <w:lang w:eastAsia="zh-CN"/>
                    </w:rPr>
                  </w:pPr>
                  <w:r>
                    <w:rPr>
                      <w:rFonts w:hint="default" w:ascii="Times New Roman" w:hAnsi="Times New Roman" w:eastAsia="宋体" w:cs="Times New Roman"/>
                      <w:color w:val="auto"/>
                      <w:szCs w:val="21"/>
                    </w:rPr>
                    <w:t>废气收集和输送应满足相关规范要求，管路应有明显的颜色区分及走向标识</w:t>
                  </w:r>
                  <w:r>
                    <w:rPr>
                      <w:rFonts w:hint="eastAsia" w:ascii="Times New Roman" w:hAnsi="Times New Roman" w:eastAsia="宋体" w:cs="Times New Roman"/>
                      <w:color w:val="auto"/>
                      <w:szCs w:val="21"/>
                      <w:lang w:eastAsia="zh-CN"/>
                    </w:rPr>
                    <w:t>。</w:t>
                  </w:r>
                </w:p>
              </w:tc>
              <w:tc>
                <w:tcPr>
                  <w:tcW w:w="669" w:type="dxa"/>
                  <w:vAlign w:val="center"/>
                </w:tcPr>
                <w:p w14:paraId="2B335B69">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rPr>
                    <w:t>符合</w:t>
                  </w:r>
                </w:p>
              </w:tc>
            </w:tr>
            <w:tr w14:paraId="267D89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479" w:type="dxa"/>
                  <w:vMerge w:val="restart"/>
                  <w:vAlign w:val="center"/>
                </w:tcPr>
                <w:p w14:paraId="2CE6B589">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rPr>
                    <w:t>提升废气处理水平</w:t>
                  </w:r>
                </w:p>
              </w:tc>
              <w:tc>
                <w:tcPr>
                  <w:tcW w:w="457" w:type="dxa"/>
                  <w:vAlign w:val="center"/>
                </w:tcPr>
                <w:p w14:paraId="33A2C75A">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rPr>
                    <w:t>18</w:t>
                  </w:r>
                </w:p>
              </w:tc>
              <w:tc>
                <w:tcPr>
                  <w:tcW w:w="4140" w:type="dxa"/>
                  <w:vAlign w:val="center"/>
                </w:tcPr>
                <w:p w14:paraId="0CCE7D41">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rPr>
                    <w:t>破碎、配料、搅拌、固体投料等产生粉尘的工序应选用布袋除尘工艺，并配套线上清灰装置，如有异味再进行除异味处理</w:t>
                  </w:r>
                </w:p>
              </w:tc>
              <w:tc>
                <w:tcPr>
                  <w:tcW w:w="1866" w:type="dxa"/>
                  <w:vAlign w:val="center"/>
                </w:tcPr>
                <w:p w14:paraId="03EAC8B2">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lang w:val="en-US" w:eastAsia="zh-CN"/>
                    </w:rPr>
                  </w:pPr>
                  <w:r>
                    <w:rPr>
                      <w:rFonts w:hint="eastAsia" w:ascii="Times New Roman" w:hAnsi="Times New Roman" w:eastAsia="宋体" w:cs="Times New Roman"/>
                      <w:color w:val="0000E1"/>
                      <w:szCs w:val="21"/>
                    </w:rPr>
                    <w:t>本</w:t>
                  </w:r>
                  <w:r>
                    <w:rPr>
                      <w:rFonts w:hint="default" w:ascii="Times New Roman" w:hAnsi="Times New Roman" w:eastAsia="宋体" w:cs="Times New Roman"/>
                      <w:color w:val="0000E1"/>
                      <w:szCs w:val="21"/>
                    </w:rPr>
                    <w:t>项目产尘点配套脉冲式布袋除尘器高效收集处理，满足整治规范要求。</w:t>
                  </w:r>
                </w:p>
              </w:tc>
              <w:tc>
                <w:tcPr>
                  <w:tcW w:w="669" w:type="dxa"/>
                  <w:vAlign w:val="center"/>
                </w:tcPr>
                <w:p w14:paraId="77E882D6">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rPr>
                    <w:t>符合</w:t>
                  </w:r>
                </w:p>
              </w:tc>
            </w:tr>
            <w:tr w14:paraId="640691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479" w:type="dxa"/>
                  <w:vMerge w:val="continue"/>
                  <w:vAlign w:val="center"/>
                </w:tcPr>
                <w:p w14:paraId="01E3BC34">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p>
              </w:tc>
              <w:tc>
                <w:tcPr>
                  <w:tcW w:w="457" w:type="dxa"/>
                  <w:vAlign w:val="center"/>
                </w:tcPr>
                <w:p w14:paraId="3E0EC8E9">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rPr>
                    <w:t>19</w:t>
                  </w:r>
                </w:p>
              </w:tc>
              <w:tc>
                <w:tcPr>
                  <w:tcW w:w="4140" w:type="dxa"/>
                  <w:vAlign w:val="center"/>
                </w:tcPr>
                <w:p w14:paraId="7DE1B05D">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rPr>
                    <w:t>废塑料加工企业的熔融、过滤、挤出废气应首先采用</w:t>
                  </w:r>
                  <w:r>
                    <w:rPr>
                      <w:rFonts w:hint="eastAsia" w:ascii="Times New Roman" w:hAnsi="Times New Roman" w:eastAsia="宋体" w:cs="Times New Roman"/>
                      <w:color w:val="auto"/>
                      <w:szCs w:val="21"/>
                      <w:lang w:eastAsia="zh-CN"/>
                    </w:rPr>
                    <w:t>“</w:t>
                  </w:r>
                  <w:r>
                    <w:rPr>
                      <w:rFonts w:hint="default" w:ascii="Times New Roman" w:hAnsi="Times New Roman" w:eastAsia="宋体" w:cs="Times New Roman"/>
                      <w:color w:val="auto"/>
                      <w:szCs w:val="21"/>
                    </w:rPr>
                    <w:t>水喷淋+除雾+高压静电</w:t>
                  </w:r>
                  <w:r>
                    <w:rPr>
                      <w:rFonts w:hint="eastAsia" w:ascii="Times New Roman" w:hAnsi="Times New Roman" w:eastAsia="宋体" w:cs="Times New Roman"/>
                      <w:color w:val="auto"/>
                      <w:szCs w:val="21"/>
                      <w:lang w:eastAsia="zh-CN"/>
                    </w:rPr>
                    <w:t>”</w:t>
                  </w:r>
                  <w:r>
                    <w:rPr>
                      <w:rFonts w:hint="default" w:ascii="Times New Roman" w:hAnsi="Times New Roman" w:eastAsia="宋体" w:cs="Times New Roman"/>
                      <w:color w:val="auto"/>
                      <w:szCs w:val="21"/>
                    </w:rPr>
                    <w:t>的方式去除油烟，再采用</w:t>
                  </w:r>
                  <w:r>
                    <w:rPr>
                      <w:rFonts w:hint="eastAsia" w:ascii="Times New Roman" w:hAnsi="Times New Roman" w:eastAsia="宋体" w:cs="Times New Roman"/>
                      <w:color w:val="auto"/>
                      <w:szCs w:val="21"/>
                      <w:lang w:eastAsia="zh-CN"/>
                    </w:rPr>
                    <w:t>“</w:t>
                  </w:r>
                  <w:r>
                    <w:rPr>
                      <w:rFonts w:hint="default" w:ascii="Times New Roman" w:hAnsi="Times New Roman" w:eastAsia="宋体" w:cs="Times New Roman"/>
                      <w:color w:val="auto"/>
                      <w:szCs w:val="21"/>
                    </w:rPr>
                    <w:t>过滤+低温等离子体+水喷淋</w:t>
                  </w:r>
                  <w:r>
                    <w:rPr>
                      <w:rFonts w:hint="eastAsia" w:ascii="Times New Roman" w:hAnsi="Times New Roman" w:eastAsia="宋体" w:cs="Times New Roman"/>
                      <w:color w:val="auto"/>
                      <w:szCs w:val="21"/>
                      <w:lang w:eastAsia="zh-CN"/>
                    </w:rPr>
                    <w:t>”</w:t>
                  </w:r>
                  <w:r>
                    <w:rPr>
                      <w:rFonts w:hint="default" w:ascii="Times New Roman" w:hAnsi="Times New Roman" w:eastAsia="宋体" w:cs="Times New Roman"/>
                      <w:color w:val="auto"/>
                      <w:szCs w:val="21"/>
                    </w:rPr>
                    <w:t>、</w:t>
                  </w:r>
                  <w:r>
                    <w:rPr>
                      <w:rFonts w:hint="eastAsia" w:ascii="Times New Roman" w:hAnsi="Times New Roman" w:eastAsia="宋体" w:cs="Times New Roman"/>
                      <w:color w:val="auto"/>
                      <w:szCs w:val="21"/>
                      <w:lang w:eastAsia="zh-CN"/>
                    </w:rPr>
                    <w:t>“</w:t>
                  </w:r>
                  <w:r>
                    <w:rPr>
                      <w:rFonts w:hint="default" w:ascii="Times New Roman" w:hAnsi="Times New Roman" w:eastAsia="宋体" w:cs="Times New Roman"/>
                      <w:color w:val="auto"/>
                      <w:szCs w:val="21"/>
                    </w:rPr>
                    <w:t>过滤+光催化+水喷淋</w:t>
                  </w:r>
                  <w:r>
                    <w:rPr>
                      <w:rFonts w:hint="eastAsia" w:ascii="Times New Roman" w:hAnsi="Times New Roman" w:eastAsia="宋体" w:cs="Times New Roman"/>
                      <w:color w:val="auto"/>
                      <w:szCs w:val="21"/>
                      <w:lang w:eastAsia="zh-CN"/>
                    </w:rPr>
                    <w:t>”</w:t>
                  </w:r>
                  <w:r>
                    <w:rPr>
                      <w:rFonts w:hint="default" w:ascii="Times New Roman" w:hAnsi="Times New Roman" w:eastAsia="宋体" w:cs="Times New Roman"/>
                      <w:color w:val="auto"/>
                      <w:szCs w:val="21"/>
                    </w:rPr>
                    <w:t>、</w:t>
                  </w:r>
                  <w:r>
                    <w:rPr>
                      <w:rFonts w:hint="eastAsia" w:ascii="Times New Roman" w:hAnsi="Times New Roman" w:eastAsia="宋体" w:cs="Times New Roman"/>
                      <w:color w:val="auto"/>
                      <w:szCs w:val="21"/>
                      <w:lang w:eastAsia="zh-CN"/>
                    </w:rPr>
                    <w:t>“</w:t>
                  </w:r>
                  <w:r>
                    <w:rPr>
                      <w:rFonts w:hint="default" w:ascii="Times New Roman" w:hAnsi="Times New Roman" w:eastAsia="宋体" w:cs="Times New Roman"/>
                      <w:color w:val="auto"/>
                      <w:szCs w:val="21"/>
                    </w:rPr>
                    <w:t>过滤+活性炭吸附</w:t>
                  </w:r>
                  <w:r>
                    <w:rPr>
                      <w:rFonts w:hint="eastAsia" w:ascii="Times New Roman" w:hAnsi="Times New Roman" w:eastAsia="宋体" w:cs="Times New Roman"/>
                      <w:color w:val="auto"/>
                      <w:szCs w:val="21"/>
                      <w:lang w:eastAsia="zh-CN"/>
                    </w:rPr>
                    <w:t>”</w:t>
                  </w:r>
                  <w:r>
                    <w:rPr>
                      <w:rFonts w:hint="default" w:ascii="Times New Roman" w:hAnsi="Times New Roman" w:eastAsia="宋体" w:cs="Times New Roman"/>
                      <w:color w:val="auto"/>
                      <w:szCs w:val="21"/>
                    </w:rPr>
                    <w:t>或更高效技术进行除臭处理。除油烟对喷淋塔底部设置喷淋液静置隔油设施，并配套气浮装置提高油类去除效果，喷淋液停留时间不小于10分钟。每万立方米/小时的高压静电设施设计功率不小于3千瓦，油烟净化效率不小于80%。造粒废气臭气浓度对净化效率不低于75%，注塑废气臭气浓度对净化效率不低于60%</w:t>
                  </w:r>
                </w:p>
              </w:tc>
              <w:tc>
                <w:tcPr>
                  <w:tcW w:w="1866" w:type="dxa"/>
                  <w:vAlign w:val="center"/>
                </w:tcPr>
                <w:p w14:paraId="406C75A6">
                  <w:pPr>
                    <w:keepNext w:val="0"/>
                    <w:keepLines w:val="0"/>
                    <w:suppressLineNumbers w:val="0"/>
                    <w:spacing w:before="0" w:beforeAutospacing="0" w:after="0" w:afterAutospacing="0"/>
                    <w:ind w:left="0" w:right="0"/>
                    <w:jc w:val="center"/>
                    <w:rPr>
                      <w:rFonts w:hint="eastAsia" w:ascii="Times New Roman" w:hAnsi="Times New Roman" w:eastAsia="宋体" w:cs="Times New Roman"/>
                      <w:color w:val="auto"/>
                      <w:szCs w:val="21"/>
                      <w:lang w:eastAsia="zh-CN"/>
                    </w:rPr>
                  </w:pPr>
                  <w:r>
                    <w:rPr>
                      <w:rFonts w:hint="default" w:ascii="Times New Roman" w:hAnsi="Times New Roman" w:eastAsia="宋体" w:cs="Times New Roman"/>
                      <w:color w:val="auto"/>
                      <w:szCs w:val="21"/>
                    </w:rPr>
                    <w:t>本项目不涉及</w:t>
                  </w:r>
                  <w:r>
                    <w:rPr>
                      <w:rFonts w:hint="eastAsia" w:ascii="Times New Roman" w:hAnsi="Times New Roman" w:eastAsia="宋体" w:cs="Times New Roman"/>
                      <w:color w:val="auto"/>
                      <w:szCs w:val="21"/>
                      <w:lang w:eastAsia="zh-CN"/>
                    </w:rPr>
                    <w:t>。</w:t>
                  </w:r>
                </w:p>
              </w:tc>
              <w:tc>
                <w:tcPr>
                  <w:tcW w:w="669" w:type="dxa"/>
                  <w:vAlign w:val="center"/>
                </w:tcPr>
                <w:p w14:paraId="5FBFB029">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rPr>
                    <w:t>不涉及</w:t>
                  </w:r>
                </w:p>
              </w:tc>
            </w:tr>
            <w:tr w14:paraId="60386B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479" w:type="dxa"/>
                  <w:vMerge w:val="continue"/>
                  <w:vAlign w:val="center"/>
                </w:tcPr>
                <w:p w14:paraId="08A6ED15">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p>
              </w:tc>
              <w:tc>
                <w:tcPr>
                  <w:tcW w:w="457" w:type="dxa"/>
                  <w:vAlign w:val="center"/>
                </w:tcPr>
                <w:p w14:paraId="0CF022A8">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rPr>
                    <w:t>20</w:t>
                  </w:r>
                </w:p>
              </w:tc>
              <w:tc>
                <w:tcPr>
                  <w:tcW w:w="4140" w:type="dxa"/>
                  <w:vAlign w:val="center"/>
                </w:tcPr>
                <w:p w14:paraId="188B674B">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rPr>
                    <w:t>模压复合材料检查井盖生产企业的储存、搅拌、抽料、放料、模压废气应采用</w:t>
                  </w:r>
                  <w:r>
                    <w:rPr>
                      <w:rFonts w:hint="eastAsia" w:ascii="Times New Roman" w:hAnsi="Times New Roman" w:eastAsia="宋体" w:cs="Times New Roman"/>
                      <w:color w:val="auto"/>
                      <w:szCs w:val="21"/>
                      <w:lang w:eastAsia="zh-CN"/>
                    </w:rPr>
                    <w:t>“</w:t>
                  </w:r>
                  <w:r>
                    <w:rPr>
                      <w:rFonts w:hint="default" w:ascii="Times New Roman" w:hAnsi="Times New Roman" w:eastAsia="宋体" w:cs="Times New Roman"/>
                      <w:color w:val="auto"/>
                      <w:szCs w:val="21"/>
                    </w:rPr>
                    <w:t>过滤+低温等离子体+水喷淋</w:t>
                  </w:r>
                  <w:r>
                    <w:rPr>
                      <w:rFonts w:hint="eastAsia" w:ascii="Times New Roman" w:hAnsi="Times New Roman" w:eastAsia="宋体" w:cs="Times New Roman"/>
                      <w:color w:val="auto"/>
                      <w:szCs w:val="21"/>
                      <w:lang w:eastAsia="zh-CN"/>
                    </w:rPr>
                    <w:t>”</w:t>
                  </w:r>
                  <w:r>
                    <w:rPr>
                      <w:rFonts w:hint="default" w:ascii="Times New Roman" w:hAnsi="Times New Roman" w:eastAsia="宋体" w:cs="Times New Roman"/>
                      <w:color w:val="auto"/>
                      <w:szCs w:val="21"/>
                    </w:rPr>
                    <w:t>、</w:t>
                  </w:r>
                  <w:r>
                    <w:rPr>
                      <w:rFonts w:hint="eastAsia" w:ascii="Times New Roman" w:hAnsi="Times New Roman" w:eastAsia="宋体" w:cs="Times New Roman"/>
                      <w:color w:val="auto"/>
                      <w:szCs w:val="21"/>
                      <w:lang w:eastAsia="zh-CN"/>
                    </w:rPr>
                    <w:t>“</w:t>
                  </w:r>
                  <w:r>
                    <w:rPr>
                      <w:rFonts w:hint="default" w:ascii="Times New Roman" w:hAnsi="Times New Roman" w:eastAsia="宋体" w:cs="Times New Roman"/>
                      <w:color w:val="auto"/>
                      <w:szCs w:val="21"/>
                    </w:rPr>
                    <w:t>过滤+光催化+水喷淋</w:t>
                  </w:r>
                  <w:r>
                    <w:rPr>
                      <w:rFonts w:hint="eastAsia" w:ascii="Times New Roman" w:hAnsi="Times New Roman" w:eastAsia="宋体" w:cs="Times New Roman"/>
                      <w:color w:val="auto"/>
                      <w:szCs w:val="21"/>
                      <w:lang w:eastAsia="zh-CN"/>
                    </w:rPr>
                    <w:t>”</w:t>
                  </w:r>
                  <w:r>
                    <w:rPr>
                      <w:rFonts w:hint="default" w:ascii="Times New Roman" w:hAnsi="Times New Roman" w:eastAsia="宋体" w:cs="Times New Roman"/>
                      <w:color w:val="auto"/>
                      <w:szCs w:val="21"/>
                    </w:rPr>
                    <w:t>、</w:t>
                  </w:r>
                  <w:r>
                    <w:rPr>
                      <w:rFonts w:hint="eastAsia" w:ascii="Times New Roman" w:hAnsi="Times New Roman" w:eastAsia="宋体" w:cs="Times New Roman"/>
                      <w:color w:val="auto"/>
                      <w:szCs w:val="21"/>
                      <w:lang w:eastAsia="zh-CN"/>
                    </w:rPr>
                    <w:t>“</w:t>
                  </w:r>
                  <w:r>
                    <w:rPr>
                      <w:rFonts w:hint="default" w:ascii="Times New Roman" w:hAnsi="Times New Roman" w:eastAsia="宋体" w:cs="Times New Roman"/>
                      <w:color w:val="auto"/>
                      <w:szCs w:val="21"/>
                    </w:rPr>
                    <w:t>过滤+活性炭吸附</w:t>
                  </w:r>
                  <w:r>
                    <w:rPr>
                      <w:rFonts w:hint="eastAsia" w:ascii="Times New Roman" w:hAnsi="Times New Roman" w:eastAsia="宋体" w:cs="Times New Roman"/>
                      <w:color w:val="auto"/>
                      <w:szCs w:val="21"/>
                      <w:lang w:eastAsia="zh-CN"/>
                    </w:rPr>
                    <w:t>”</w:t>
                  </w:r>
                  <w:r>
                    <w:rPr>
                      <w:rFonts w:hint="default" w:ascii="Times New Roman" w:hAnsi="Times New Roman" w:eastAsia="宋体" w:cs="Times New Roman"/>
                      <w:color w:val="auto"/>
                      <w:szCs w:val="21"/>
                    </w:rPr>
                    <w:t>或更高效技术进行处理，搅拌过程如有颗粒物应先采用布袋除尘进行预处理</w:t>
                  </w:r>
                </w:p>
              </w:tc>
              <w:tc>
                <w:tcPr>
                  <w:tcW w:w="1866" w:type="dxa"/>
                  <w:vAlign w:val="center"/>
                </w:tcPr>
                <w:p w14:paraId="66638FFC">
                  <w:pPr>
                    <w:keepNext w:val="0"/>
                    <w:keepLines w:val="0"/>
                    <w:suppressLineNumbers w:val="0"/>
                    <w:spacing w:before="0" w:beforeAutospacing="0" w:after="0" w:afterAutospacing="0"/>
                    <w:ind w:left="0" w:right="0"/>
                    <w:jc w:val="center"/>
                    <w:rPr>
                      <w:rFonts w:hint="eastAsia" w:ascii="Times New Roman" w:hAnsi="Times New Roman" w:eastAsia="宋体" w:cs="Times New Roman"/>
                      <w:color w:val="auto"/>
                      <w:szCs w:val="21"/>
                      <w:lang w:eastAsia="zh-CN"/>
                    </w:rPr>
                  </w:pPr>
                  <w:r>
                    <w:rPr>
                      <w:rFonts w:hint="default" w:ascii="Times New Roman" w:hAnsi="Times New Roman" w:eastAsia="宋体" w:cs="Times New Roman"/>
                      <w:color w:val="auto"/>
                      <w:szCs w:val="21"/>
                    </w:rPr>
                    <w:t>本项目不涉及</w:t>
                  </w:r>
                  <w:r>
                    <w:rPr>
                      <w:rFonts w:hint="eastAsia" w:ascii="Times New Roman" w:hAnsi="Times New Roman" w:eastAsia="宋体" w:cs="Times New Roman"/>
                      <w:color w:val="auto"/>
                      <w:szCs w:val="21"/>
                      <w:lang w:eastAsia="zh-CN"/>
                    </w:rPr>
                    <w:t>。</w:t>
                  </w:r>
                </w:p>
              </w:tc>
              <w:tc>
                <w:tcPr>
                  <w:tcW w:w="669" w:type="dxa"/>
                  <w:vAlign w:val="center"/>
                </w:tcPr>
                <w:p w14:paraId="66C6161F">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rPr>
                    <w:t>不涉及</w:t>
                  </w:r>
                </w:p>
              </w:tc>
            </w:tr>
            <w:tr w14:paraId="6609A7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479" w:type="dxa"/>
                  <w:vMerge w:val="continue"/>
                  <w:vAlign w:val="center"/>
                </w:tcPr>
                <w:p w14:paraId="58AABA70">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p>
              </w:tc>
              <w:tc>
                <w:tcPr>
                  <w:tcW w:w="457" w:type="dxa"/>
                  <w:vAlign w:val="center"/>
                </w:tcPr>
                <w:p w14:paraId="3C76C8E2">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rPr>
                    <w:t>21</w:t>
                  </w:r>
                </w:p>
              </w:tc>
              <w:tc>
                <w:tcPr>
                  <w:tcW w:w="4140" w:type="dxa"/>
                  <w:vAlign w:val="center"/>
                </w:tcPr>
                <w:p w14:paraId="411ED3E8">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rPr>
                    <w:t>每万立方米/小时对光催化或等离子体设施的设计功率不小于10千瓦</w:t>
                  </w:r>
                </w:p>
              </w:tc>
              <w:tc>
                <w:tcPr>
                  <w:tcW w:w="1866" w:type="dxa"/>
                  <w:vAlign w:val="center"/>
                </w:tcPr>
                <w:p w14:paraId="597097B0">
                  <w:pPr>
                    <w:keepNext w:val="0"/>
                    <w:keepLines w:val="0"/>
                    <w:suppressLineNumbers w:val="0"/>
                    <w:spacing w:before="0" w:beforeAutospacing="0" w:after="0" w:afterAutospacing="0"/>
                    <w:ind w:left="0" w:right="0"/>
                    <w:jc w:val="center"/>
                    <w:rPr>
                      <w:rFonts w:hint="eastAsia" w:ascii="Times New Roman" w:hAnsi="Times New Roman" w:eastAsia="宋体" w:cs="Times New Roman"/>
                      <w:color w:val="auto"/>
                      <w:szCs w:val="21"/>
                      <w:lang w:eastAsia="zh-CN"/>
                    </w:rPr>
                  </w:pPr>
                  <w:r>
                    <w:rPr>
                      <w:rFonts w:hint="default" w:ascii="Times New Roman" w:hAnsi="Times New Roman" w:eastAsia="宋体" w:cs="Times New Roman"/>
                      <w:color w:val="auto"/>
                      <w:szCs w:val="21"/>
                    </w:rPr>
                    <w:t>本项目不涉及</w:t>
                  </w:r>
                  <w:r>
                    <w:rPr>
                      <w:rFonts w:hint="eastAsia" w:ascii="Times New Roman" w:hAnsi="Times New Roman" w:eastAsia="宋体" w:cs="Times New Roman"/>
                      <w:color w:val="auto"/>
                      <w:szCs w:val="21"/>
                      <w:lang w:eastAsia="zh-CN"/>
                    </w:rPr>
                    <w:t>。</w:t>
                  </w:r>
                </w:p>
              </w:tc>
              <w:tc>
                <w:tcPr>
                  <w:tcW w:w="669" w:type="dxa"/>
                  <w:vAlign w:val="center"/>
                </w:tcPr>
                <w:p w14:paraId="65FC113D">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rPr>
                    <w:t>不涉及</w:t>
                  </w:r>
                </w:p>
              </w:tc>
            </w:tr>
            <w:tr w14:paraId="1D493A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479" w:type="dxa"/>
                  <w:vMerge w:val="continue"/>
                  <w:vAlign w:val="center"/>
                </w:tcPr>
                <w:p w14:paraId="26208F54">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p>
              </w:tc>
              <w:tc>
                <w:tcPr>
                  <w:tcW w:w="457" w:type="dxa"/>
                  <w:vAlign w:val="center"/>
                </w:tcPr>
                <w:p w14:paraId="2AA61F45">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rPr>
                    <w:t>22</w:t>
                  </w:r>
                </w:p>
              </w:tc>
              <w:tc>
                <w:tcPr>
                  <w:tcW w:w="4140" w:type="dxa"/>
                  <w:vAlign w:val="center"/>
                </w:tcPr>
                <w:p w14:paraId="5E2DE1DA">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rPr>
                    <w:t>活性炭吸附设施中，采用颗粒状活性炭对风速应不大于0.5米/秒，采用蜂窝状活性炭对风速应不大于1米/秒，装填吸附剂对停留时间不小于1秒。当采用一次性活性炭吸附时，按废气处理设施对VOCs进口速率和80%以上净化效率计算每日对VOC去除量，进而按15%对活性炭吸附容量核算活性炭更换周期，定期更换活性炭并保存购买、危废委托处理凭证备查</w:t>
                  </w:r>
                </w:p>
              </w:tc>
              <w:tc>
                <w:tcPr>
                  <w:tcW w:w="1866" w:type="dxa"/>
                  <w:vAlign w:val="center"/>
                </w:tcPr>
                <w:p w14:paraId="3F351E0A">
                  <w:pPr>
                    <w:keepNext w:val="0"/>
                    <w:keepLines w:val="0"/>
                    <w:suppressLineNumbers w:val="0"/>
                    <w:spacing w:before="0" w:beforeAutospacing="0" w:after="0" w:afterAutospacing="0"/>
                    <w:ind w:left="0" w:right="0"/>
                    <w:jc w:val="center"/>
                    <w:rPr>
                      <w:rFonts w:hint="eastAsia" w:ascii="Times New Roman" w:hAnsi="Times New Roman" w:eastAsia="宋体" w:cs="Times New Roman"/>
                      <w:color w:val="auto"/>
                      <w:szCs w:val="21"/>
                      <w:lang w:eastAsia="zh-CN"/>
                    </w:rPr>
                  </w:pPr>
                  <w:r>
                    <w:rPr>
                      <w:rFonts w:hint="default" w:ascii="Times New Roman" w:hAnsi="Times New Roman" w:eastAsia="宋体" w:cs="Times New Roman"/>
                      <w:color w:val="auto"/>
                      <w:szCs w:val="21"/>
                    </w:rPr>
                    <w:t>本项目采用二级颗粒活性炭吸附，风速、停留时间均按相关要求执行</w:t>
                  </w:r>
                  <w:r>
                    <w:rPr>
                      <w:rFonts w:hint="eastAsia" w:ascii="Times New Roman" w:hAnsi="Times New Roman" w:eastAsia="宋体" w:cs="Times New Roman"/>
                      <w:color w:val="auto"/>
                      <w:szCs w:val="21"/>
                      <w:lang w:eastAsia="zh-CN"/>
                    </w:rPr>
                    <w:t>。</w:t>
                  </w:r>
                </w:p>
              </w:tc>
              <w:tc>
                <w:tcPr>
                  <w:tcW w:w="669" w:type="dxa"/>
                  <w:vAlign w:val="center"/>
                </w:tcPr>
                <w:p w14:paraId="7F02B085">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rPr>
                    <w:t>符合</w:t>
                  </w:r>
                </w:p>
              </w:tc>
            </w:tr>
            <w:tr w14:paraId="5C3EC5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479" w:type="dxa"/>
                  <w:vMerge w:val="continue"/>
                  <w:vAlign w:val="center"/>
                </w:tcPr>
                <w:p w14:paraId="0F9D0253">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p>
              </w:tc>
              <w:tc>
                <w:tcPr>
                  <w:tcW w:w="457" w:type="dxa"/>
                  <w:vAlign w:val="center"/>
                </w:tcPr>
                <w:p w14:paraId="0C6409C4">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rPr>
                    <w:t>23</w:t>
                  </w:r>
                </w:p>
              </w:tc>
              <w:tc>
                <w:tcPr>
                  <w:tcW w:w="4140" w:type="dxa"/>
                  <w:vAlign w:val="center"/>
                </w:tcPr>
                <w:p w14:paraId="105E4A93">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rPr>
                    <w:t>塑料加工企业应执行《合成树脂工业污染物排放标准》（GB31572-2015）和《恶臭污染物排放标准》（GB14554-93）中15米排气筒有组织排放要求和厂界要求。有组织排放的臭气浓度应不高于1000（无量纲）</w:t>
                  </w:r>
                </w:p>
              </w:tc>
              <w:tc>
                <w:tcPr>
                  <w:tcW w:w="1866" w:type="dxa"/>
                  <w:vAlign w:val="center"/>
                </w:tcPr>
                <w:p w14:paraId="6759A094">
                  <w:pPr>
                    <w:keepNext w:val="0"/>
                    <w:keepLines w:val="0"/>
                    <w:suppressLineNumbers w:val="0"/>
                    <w:spacing w:before="0" w:beforeAutospacing="0" w:after="0" w:afterAutospacing="0"/>
                    <w:ind w:left="0" w:right="0"/>
                    <w:jc w:val="both"/>
                    <w:rPr>
                      <w:rFonts w:hint="eastAsia" w:ascii="Times New Roman" w:hAnsi="Times New Roman" w:eastAsia="宋体" w:cs="Times New Roman"/>
                      <w:color w:val="auto"/>
                      <w:szCs w:val="21"/>
                      <w:lang w:eastAsia="zh-CN"/>
                    </w:rPr>
                  </w:pPr>
                  <w:r>
                    <w:rPr>
                      <w:rFonts w:hint="default" w:ascii="Times New Roman" w:hAnsi="Times New Roman" w:eastAsia="宋体" w:cs="Times New Roman"/>
                      <w:color w:val="auto"/>
                      <w:szCs w:val="21"/>
                    </w:rPr>
                    <w:t>本项目执行《合成树脂工业污染物排放标准》（GB31572-2015</w:t>
                  </w:r>
                  <w:r>
                    <w:rPr>
                      <w:rFonts w:hint="default" w:ascii="Times New Roman" w:hAnsi="Times New Roman" w:cs="Times New Roman"/>
                      <w:color w:val="00B050"/>
                    </w:rPr>
                    <w:t>，含2024年修改单</w:t>
                  </w:r>
                  <w:r>
                    <w:rPr>
                      <w:rFonts w:hint="default" w:ascii="Times New Roman" w:hAnsi="Times New Roman" w:eastAsia="宋体" w:cs="Times New Roman"/>
                      <w:color w:val="auto"/>
                      <w:szCs w:val="21"/>
                    </w:rPr>
                    <w:t>）和《恶臭污染物排放标准》（GB14554-93）</w:t>
                  </w:r>
                  <w:r>
                    <w:rPr>
                      <w:rFonts w:hint="eastAsia" w:ascii="Times New Roman" w:hAnsi="Times New Roman" w:eastAsia="宋体" w:cs="Times New Roman"/>
                      <w:color w:val="auto"/>
                      <w:szCs w:val="21"/>
                      <w:lang w:val="en-US" w:eastAsia="zh-CN"/>
                    </w:rPr>
                    <w:t>和《湖州市木业、漆包线及塑料行业废气整治规范》中的较严值</w:t>
                  </w:r>
                  <w:r>
                    <w:rPr>
                      <w:rFonts w:hint="eastAsia" w:ascii="Times New Roman" w:hAnsi="Times New Roman" w:eastAsia="宋体" w:cs="Times New Roman"/>
                      <w:color w:val="auto"/>
                      <w:szCs w:val="21"/>
                      <w:lang w:eastAsia="zh-CN"/>
                    </w:rPr>
                    <w:t>。</w:t>
                  </w:r>
                </w:p>
              </w:tc>
              <w:tc>
                <w:tcPr>
                  <w:tcW w:w="669" w:type="dxa"/>
                  <w:vAlign w:val="center"/>
                </w:tcPr>
                <w:p w14:paraId="3FA8492F">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rPr>
                    <w:t>符合</w:t>
                  </w:r>
                </w:p>
              </w:tc>
            </w:tr>
            <w:tr w14:paraId="1E78AC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479" w:type="dxa"/>
                  <w:vMerge w:val="continue"/>
                  <w:vAlign w:val="center"/>
                </w:tcPr>
                <w:p w14:paraId="6E069305">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p>
              </w:tc>
              <w:tc>
                <w:tcPr>
                  <w:tcW w:w="457" w:type="dxa"/>
                  <w:vAlign w:val="center"/>
                </w:tcPr>
                <w:p w14:paraId="5B5100BD">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rPr>
                    <w:t>24</w:t>
                  </w:r>
                </w:p>
              </w:tc>
              <w:tc>
                <w:tcPr>
                  <w:tcW w:w="4140" w:type="dxa"/>
                  <w:vAlign w:val="center"/>
                </w:tcPr>
                <w:p w14:paraId="7F3B1720">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rPr>
                    <w:t>废气处理设施配套安装独立电表</w:t>
                  </w:r>
                </w:p>
              </w:tc>
              <w:tc>
                <w:tcPr>
                  <w:tcW w:w="1866" w:type="dxa"/>
                  <w:vAlign w:val="center"/>
                </w:tcPr>
                <w:p w14:paraId="11DC280A">
                  <w:pPr>
                    <w:keepNext w:val="0"/>
                    <w:keepLines w:val="0"/>
                    <w:suppressLineNumbers w:val="0"/>
                    <w:spacing w:before="0" w:beforeAutospacing="0" w:after="0" w:afterAutospacing="0"/>
                    <w:ind w:left="0" w:right="0"/>
                    <w:jc w:val="center"/>
                    <w:rPr>
                      <w:rFonts w:hint="eastAsia" w:ascii="Times New Roman" w:hAnsi="Times New Roman" w:eastAsia="宋体" w:cs="Times New Roman"/>
                      <w:color w:val="auto"/>
                      <w:szCs w:val="21"/>
                      <w:lang w:eastAsia="zh-CN"/>
                    </w:rPr>
                  </w:pPr>
                  <w:r>
                    <w:rPr>
                      <w:rFonts w:hint="default" w:ascii="Times New Roman" w:hAnsi="Times New Roman" w:eastAsia="宋体" w:cs="Times New Roman"/>
                      <w:color w:val="auto"/>
                      <w:szCs w:val="21"/>
                    </w:rPr>
                    <w:t>废气处理设施拟安装独立电表</w:t>
                  </w:r>
                  <w:r>
                    <w:rPr>
                      <w:rFonts w:hint="eastAsia" w:ascii="Times New Roman" w:hAnsi="Times New Roman" w:eastAsia="宋体" w:cs="Times New Roman"/>
                      <w:color w:val="auto"/>
                      <w:szCs w:val="21"/>
                      <w:lang w:eastAsia="zh-CN"/>
                    </w:rPr>
                    <w:t>。</w:t>
                  </w:r>
                </w:p>
              </w:tc>
              <w:tc>
                <w:tcPr>
                  <w:tcW w:w="669" w:type="dxa"/>
                  <w:vAlign w:val="center"/>
                </w:tcPr>
                <w:p w14:paraId="3240B2FE">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rPr>
                    <w:t>符合</w:t>
                  </w:r>
                </w:p>
              </w:tc>
            </w:tr>
            <w:tr w14:paraId="59D4B8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479" w:type="dxa"/>
                  <w:vMerge w:val="continue"/>
                  <w:vAlign w:val="center"/>
                </w:tcPr>
                <w:p w14:paraId="1F0723AA">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p>
              </w:tc>
              <w:tc>
                <w:tcPr>
                  <w:tcW w:w="457" w:type="dxa"/>
                  <w:vAlign w:val="center"/>
                </w:tcPr>
                <w:p w14:paraId="5B5C4564">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rPr>
                    <w:t>25</w:t>
                  </w:r>
                </w:p>
              </w:tc>
              <w:tc>
                <w:tcPr>
                  <w:tcW w:w="4140" w:type="dxa"/>
                  <w:vAlign w:val="center"/>
                </w:tcPr>
                <w:p w14:paraId="3737B1A1">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rPr>
                    <w:t>严格按照《固定源废气监测技术规范》（HJT397-2007）建设废气处理设施的进出口采样孔、采样平台</w:t>
                  </w:r>
                </w:p>
              </w:tc>
              <w:tc>
                <w:tcPr>
                  <w:tcW w:w="1866" w:type="dxa"/>
                  <w:vAlign w:val="center"/>
                </w:tcPr>
                <w:p w14:paraId="485CFE04">
                  <w:pPr>
                    <w:keepNext w:val="0"/>
                    <w:keepLines w:val="0"/>
                    <w:suppressLineNumbers w:val="0"/>
                    <w:spacing w:before="0" w:beforeAutospacing="0" w:after="0" w:afterAutospacing="0"/>
                    <w:ind w:left="0" w:right="0"/>
                    <w:jc w:val="center"/>
                    <w:rPr>
                      <w:rFonts w:hint="eastAsia" w:ascii="Times New Roman" w:hAnsi="Times New Roman" w:eastAsia="宋体" w:cs="Times New Roman"/>
                      <w:color w:val="auto"/>
                      <w:szCs w:val="21"/>
                      <w:lang w:eastAsia="zh-CN"/>
                    </w:rPr>
                  </w:pPr>
                  <w:r>
                    <w:rPr>
                      <w:rFonts w:hint="default" w:ascii="Times New Roman" w:hAnsi="Times New Roman" w:eastAsia="宋体" w:cs="Times New Roman"/>
                      <w:color w:val="auto"/>
                      <w:szCs w:val="21"/>
                    </w:rPr>
                    <w:t>拟按规定设置采样孔、采样平台</w:t>
                  </w:r>
                  <w:r>
                    <w:rPr>
                      <w:rFonts w:hint="eastAsia" w:ascii="Times New Roman" w:hAnsi="Times New Roman" w:eastAsia="宋体" w:cs="Times New Roman"/>
                      <w:color w:val="auto"/>
                      <w:szCs w:val="21"/>
                      <w:lang w:eastAsia="zh-CN"/>
                    </w:rPr>
                    <w:t>。</w:t>
                  </w:r>
                </w:p>
              </w:tc>
              <w:tc>
                <w:tcPr>
                  <w:tcW w:w="669" w:type="dxa"/>
                  <w:vAlign w:val="center"/>
                </w:tcPr>
                <w:p w14:paraId="43903169">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rPr>
                    <w:t>符合</w:t>
                  </w:r>
                </w:p>
              </w:tc>
            </w:tr>
            <w:tr w14:paraId="79A907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479" w:type="dxa"/>
                  <w:vMerge w:val="continue"/>
                  <w:vAlign w:val="center"/>
                </w:tcPr>
                <w:p w14:paraId="60277315">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p>
              </w:tc>
              <w:tc>
                <w:tcPr>
                  <w:tcW w:w="457" w:type="dxa"/>
                  <w:vAlign w:val="center"/>
                </w:tcPr>
                <w:p w14:paraId="28A26387">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rPr>
                    <w:t>26</w:t>
                  </w:r>
                </w:p>
              </w:tc>
              <w:tc>
                <w:tcPr>
                  <w:tcW w:w="4140" w:type="dxa"/>
                  <w:vAlign w:val="center"/>
                </w:tcPr>
                <w:p w14:paraId="4B8A6C10">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rPr>
                    <w:t>采样孔的位置优先选择在垂直管段，原则上设置在距弯头、阀门、变径管下游方向不小于6倍直径，和距上述部件上游不小于3倍直径处。现场空间位置有限时，采样孔与上述部件的距离至少应控制直径的1.5倍处。当对VOCs进行采样时，采样孔位置可不受限制，但应避开涡流区；如同时测定排气流量，则采样孔位置仍按上述规定设置</w:t>
                  </w:r>
                </w:p>
              </w:tc>
              <w:tc>
                <w:tcPr>
                  <w:tcW w:w="1866" w:type="dxa"/>
                  <w:vAlign w:val="center"/>
                </w:tcPr>
                <w:p w14:paraId="68167411">
                  <w:pPr>
                    <w:keepNext w:val="0"/>
                    <w:keepLines w:val="0"/>
                    <w:suppressLineNumbers w:val="0"/>
                    <w:spacing w:before="0" w:beforeAutospacing="0" w:after="0" w:afterAutospacing="0"/>
                    <w:ind w:left="0" w:right="0"/>
                    <w:jc w:val="center"/>
                    <w:rPr>
                      <w:rFonts w:hint="eastAsia" w:ascii="Times New Roman" w:hAnsi="Times New Roman" w:eastAsia="宋体" w:cs="Times New Roman"/>
                      <w:color w:val="auto"/>
                      <w:szCs w:val="21"/>
                      <w:lang w:eastAsia="zh-CN"/>
                    </w:rPr>
                  </w:pPr>
                  <w:r>
                    <w:rPr>
                      <w:rFonts w:hint="default" w:ascii="Times New Roman" w:hAnsi="Times New Roman" w:eastAsia="宋体" w:cs="Times New Roman"/>
                      <w:color w:val="auto"/>
                      <w:szCs w:val="21"/>
                    </w:rPr>
                    <w:t>拟按规范开采样孔</w:t>
                  </w:r>
                  <w:r>
                    <w:rPr>
                      <w:rFonts w:hint="eastAsia" w:ascii="Times New Roman" w:hAnsi="Times New Roman" w:eastAsia="宋体" w:cs="Times New Roman"/>
                      <w:color w:val="auto"/>
                      <w:szCs w:val="21"/>
                      <w:lang w:eastAsia="zh-CN"/>
                    </w:rPr>
                    <w:t>。</w:t>
                  </w:r>
                </w:p>
              </w:tc>
              <w:tc>
                <w:tcPr>
                  <w:tcW w:w="669" w:type="dxa"/>
                  <w:vAlign w:val="center"/>
                </w:tcPr>
                <w:p w14:paraId="78E45E08">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rPr>
                    <w:t>符合</w:t>
                  </w:r>
                </w:p>
              </w:tc>
            </w:tr>
            <w:tr w14:paraId="5A2B05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479" w:type="dxa"/>
                  <w:vMerge w:val="continue"/>
                  <w:vAlign w:val="center"/>
                </w:tcPr>
                <w:p w14:paraId="2F307317">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p>
              </w:tc>
              <w:tc>
                <w:tcPr>
                  <w:tcW w:w="457" w:type="dxa"/>
                  <w:vAlign w:val="center"/>
                </w:tcPr>
                <w:p w14:paraId="0A5AF7B5">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rPr>
                    <w:t>27</w:t>
                  </w:r>
                </w:p>
              </w:tc>
              <w:tc>
                <w:tcPr>
                  <w:tcW w:w="4140" w:type="dxa"/>
                  <w:vAlign w:val="center"/>
                </w:tcPr>
                <w:p w14:paraId="029E571E">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rPr>
                    <w:t>应设置永久性采样平台，平台面积不小于1.5平方米，并设有1.1米高的护栏和不低于0.1米的脚步挡板，采样平台的承重不小于200公斤/平方米，采样孔距平台面约为1.2~1.3米。采样平台处应建设永久性200伏电源插座</w:t>
                  </w:r>
                </w:p>
              </w:tc>
              <w:tc>
                <w:tcPr>
                  <w:tcW w:w="1866" w:type="dxa"/>
                  <w:vAlign w:val="center"/>
                </w:tcPr>
                <w:p w14:paraId="70D66500">
                  <w:pPr>
                    <w:keepNext w:val="0"/>
                    <w:keepLines w:val="0"/>
                    <w:suppressLineNumbers w:val="0"/>
                    <w:spacing w:before="0" w:beforeAutospacing="0" w:after="0" w:afterAutospacing="0"/>
                    <w:ind w:left="0" w:right="0"/>
                    <w:jc w:val="center"/>
                    <w:rPr>
                      <w:rFonts w:hint="eastAsia" w:ascii="Times New Roman" w:hAnsi="Times New Roman" w:eastAsia="宋体" w:cs="Times New Roman"/>
                      <w:color w:val="auto"/>
                      <w:szCs w:val="21"/>
                      <w:lang w:eastAsia="zh-CN"/>
                    </w:rPr>
                  </w:pPr>
                  <w:r>
                    <w:rPr>
                      <w:rFonts w:hint="default" w:ascii="Times New Roman" w:hAnsi="Times New Roman" w:eastAsia="宋体" w:cs="Times New Roman"/>
                      <w:color w:val="auto"/>
                      <w:szCs w:val="21"/>
                    </w:rPr>
                    <w:t>拟按规定设置采样平台</w:t>
                  </w:r>
                  <w:r>
                    <w:rPr>
                      <w:rFonts w:hint="eastAsia" w:ascii="Times New Roman" w:hAnsi="Times New Roman" w:eastAsia="宋体" w:cs="Times New Roman"/>
                      <w:color w:val="auto"/>
                      <w:szCs w:val="21"/>
                      <w:lang w:eastAsia="zh-CN"/>
                    </w:rPr>
                    <w:t>。</w:t>
                  </w:r>
                </w:p>
              </w:tc>
              <w:tc>
                <w:tcPr>
                  <w:tcW w:w="669" w:type="dxa"/>
                  <w:vAlign w:val="center"/>
                </w:tcPr>
                <w:p w14:paraId="380CDFA9">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rPr>
                    <w:t>符合</w:t>
                  </w:r>
                </w:p>
              </w:tc>
            </w:tr>
            <w:tr w14:paraId="506528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479" w:type="dxa"/>
                  <w:vMerge w:val="restart"/>
                  <w:vAlign w:val="center"/>
                </w:tcPr>
                <w:p w14:paraId="2366FEA8">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rPr>
                    <w:t>加强日常管理</w:t>
                  </w:r>
                </w:p>
              </w:tc>
              <w:tc>
                <w:tcPr>
                  <w:tcW w:w="457" w:type="dxa"/>
                  <w:vAlign w:val="center"/>
                </w:tcPr>
                <w:p w14:paraId="0EE8EDE7">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rPr>
                    <w:t>28</w:t>
                  </w:r>
                </w:p>
              </w:tc>
              <w:tc>
                <w:tcPr>
                  <w:tcW w:w="4140" w:type="dxa"/>
                  <w:vAlign w:val="center"/>
                </w:tcPr>
                <w:p w14:paraId="286970CC">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rPr>
                    <w:t>企业应落实专人负责废气收集、处理设施的运行管理和维护保养，遇有非正常情况应及时向当地环保部门进行报告并备案</w:t>
                  </w:r>
                </w:p>
              </w:tc>
              <w:tc>
                <w:tcPr>
                  <w:tcW w:w="1866" w:type="dxa"/>
                  <w:vAlign w:val="center"/>
                </w:tcPr>
                <w:p w14:paraId="6DB4BC28">
                  <w:pPr>
                    <w:keepNext w:val="0"/>
                    <w:keepLines w:val="0"/>
                    <w:suppressLineNumbers w:val="0"/>
                    <w:spacing w:before="0" w:beforeAutospacing="0" w:after="0" w:afterAutospacing="0"/>
                    <w:ind w:left="0" w:right="0"/>
                    <w:jc w:val="center"/>
                    <w:rPr>
                      <w:rFonts w:hint="eastAsia" w:ascii="Times New Roman" w:hAnsi="Times New Roman" w:eastAsia="宋体" w:cs="Times New Roman"/>
                      <w:color w:val="auto"/>
                      <w:szCs w:val="21"/>
                      <w:lang w:eastAsia="zh-CN"/>
                    </w:rPr>
                  </w:pPr>
                  <w:r>
                    <w:rPr>
                      <w:rFonts w:hint="default" w:ascii="Times New Roman" w:hAnsi="Times New Roman" w:eastAsia="宋体" w:cs="Times New Roman"/>
                      <w:color w:val="auto"/>
                      <w:szCs w:val="21"/>
                    </w:rPr>
                    <w:t>要求企业按规定执行</w:t>
                  </w:r>
                  <w:r>
                    <w:rPr>
                      <w:rFonts w:hint="eastAsia" w:ascii="Times New Roman" w:hAnsi="Times New Roman" w:eastAsia="宋体" w:cs="Times New Roman"/>
                      <w:color w:val="auto"/>
                      <w:szCs w:val="21"/>
                      <w:lang w:eastAsia="zh-CN"/>
                    </w:rPr>
                    <w:t>。</w:t>
                  </w:r>
                </w:p>
              </w:tc>
              <w:tc>
                <w:tcPr>
                  <w:tcW w:w="669" w:type="dxa"/>
                  <w:vAlign w:val="center"/>
                </w:tcPr>
                <w:p w14:paraId="4D5A32A7">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rPr>
                    <w:t>符合</w:t>
                  </w:r>
                </w:p>
              </w:tc>
            </w:tr>
            <w:tr w14:paraId="619CE4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479" w:type="dxa"/>
                  <w:vMerge w:val="continue"/>
                  <w:vAlign w:val="center"/>
                </w:tcPr>
                <w:p w14:paraId="4B3D0203">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p>
              </w:tc>
              <w:tc>
                <w:tcPr>
                  <w:tcW w:w="457" w:type="dxa"/>
                  <w:vAlign w:val="center"/>
                </w:tcPr>
                <w:p w14:paraId="596495CD">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rPr>
                    <w:t>29</w:t>
                  </w:r>
                </w:p>
              </w:tc>
              <w:tc>
                <w:tcPr>
                  <w:tcW w:w="4140" w:type="dxa"/>
                  <w:vAlign w:val="center"/>
                </w:tcPr>
                <w:p w14:paraId="4C1CF3CC">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rPr>
                    <w:t>制定落实设施运行管理制度。定期更换干式过滤材料；定期更换水喷淋塔的循环液，原则上更换周期不低于1次/周；定期清理低温等离子体和光催化等处理设施，原则上清理频率不低于1次/月；定期更换紫外灯管、吸附剂、催化剂等耗材。更换下来的废弃物按照相关规定委托有资质的单位进行处理</w:t>
                  </w:r>
                </w:p>
              </w:tc>
              <w:tc>
                <w:tcPr>
                  <w:tcW w:w="1866" w:type="dxa"/>
                  <w:vAlign w:val="center"/>
                </w:tcPr>
                <w:p w14:paraId="5CBEBFBB">
                  <w:pPr>
                    <w:keepNext w:val="0"/>
                    <w:keepLines w:val="0"/>
                    <w:suppressLineNumbers w:val="0"/>
                    <w:spacing w:before="0" w:beforeAutospacing="0" w:after="0" w:afterAutospacing="0"/>
                    <w:ind w:left="0" w:right="0"/>
                    <w:jc w:val="center"/>
                    <w:rPr>
                      <w:rFonts w:hint="eastAsia" w:ascii="Times New Roman" w:hAnsi="Times New Roman" w:eastAsia="宋体" w:cs="Times New Roman"/>
                      <w:color w:val="auto"/>
                      <w:szCs w:val="21"/>
                      <w:lang w:eastAsia="zh-CN"/>
                    </w:rPr>
                  </w:pPr>
                  <w:r>
                    <w:rPr>
                      <w:rFonts w:hint="default" w:ascii="Times New Roman" w:hAnsi="Times New Roman" w:eastAsia="宋体" w:cs="Times New Roman"/>
                      <w:color w:val="auto"/>
                      <w:szCs w:val="21"/>
                    </w:rPr>
                    <w:t>要求企业按环评要求更换活性炭并委托有资质的单位处置</w:t>
                  </w:r>
                  <w:r>
                    <w:rPr>
                      <w:rFonts w:hint="eastAsia" w:ascii="Times New Roman" w:hAnsi="Times New Roman" w:eastAsia="宋体" w:cs="Times New Roman"/>
                      <w:color w:val="auto"/>
                      <w:szCs w:val="21"/>
                      <w:lang w:eastAsia="zh-CN"/>
                    </w:rPr>
                    <w:t>。</w:t>
                  </w:r>
                </w:p>
              </w:tc>
              <w:tc>
                <w:tcPr>
                  <w:tcW w:w="669" w:type="dxa"/>
                  <w:vAlign w:val="center"/>
                </w:tcPr>
                <w:p w14:paraId="78DE2C85">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rPr>
                    <w:t>符合</w:t>
                  </w:r>
                </w:p>
              </w:tc>
            </w:tr>
            <w:tr w14:paraId="0CB2D1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479" w:type="dxa"/>
                  <w:vMerge w:val="continue"/>
                  <w:vAlign w:val="center"/>
                </w:tcPr>
                <w:p w14:paraId="13EB55B3">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p>
              </w:tc>
              <w:tc>
                <w:tcPr>
                  <w:tcW w:w="457" w:type="dxa"/>
                  <w:vAlign w:val="center"/>
                </w:tcPr>
                <w:p w14:paraId="5C9A345F">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rPr>
                    <w:t>30</w:t>
                  </w:r>
                </w:p>
              </w:tc>
              <w:tc>
                <w:tcPr>
                  <w:tcW w:w="4140" w:type="dxa"/>
                  <w:vAlign w:val="center"/>
                </w:tcPr>
                <w:p w14:paraId="353E30CA">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rPr>
                    <w:t>制定落实设施维护保养制度。包括但不限于以下内容：定期检查修补破损的风管、设备，确保螺栓、接线牢固，动力电源、信号回馈工作正常；定期清理水喷淋塔底部沉积物；定期更换风机、水泵等动力设备的润滑油，已老化的塑料管道等</w:t>
                  </w:r>
                </w:p>
              </w:tc>
              <w:tc>
                <w:tcPr>
                  <w:tcW w:w="1866" w:type="dxa"/>
                  <w:vAlign w:val="center"/>
                </w:tcPr>
                <w:p w14:paraId="062F6BE2">
                  <w:pPr>
                    <w:keepNext w:val="0"/>
                    <w:keepLines w:val="0"/>
                    <w:suppressLineNumbers w:val="0"/>
                    <w:spacing w:before="0" w:beforeAutospacing="0" w:after="0" w:afterAutospacing="0"/>
                    <w:ind w:left="0" w:right="0"/>
                    <w:jc w:val="center"/>
                    <w:rPr>
                      <w:rFonts w:hint="eastAsia" w:ascii="Times New Roman" w:hAnsi="Times New Roman" w:eastAsia="宋体" w:cs="Times New Roman"/>
                      <w:color w:val="auto"/>
                      <w:szCs w:val="21"/>
                      <w:lang w:eastAsia="zh-CN"/>
                    </w:rPr>
                  </w:pPr>
                  <w:r>
                    <w:rPr>
                      <w:rFonts w:hint="default" w:ascii="Times New Roman" w:hAnsi="Times New Roman" w:eastAsia="宋体" w:cs="Times New Roman"/>
                      <w:color w:val="auto"/>
                      <w:szCs w:val="21"/>
                    </w:rPr>
                    <w:t>要求企业制定并落实设施维护保养制度</w:t>
                  </w:r>
                  <w:r>
                    <w:rPr>
                      <w:rFonts w:hint="eastAsia" w:ascii="Times New Roman" w:hAnsi="Times New Roman" w:eastAsia="宋体" w:cs="Times New Roman"/>
                      <w:color w:val="auto"/>
                      <w:szCs w:val="21"/>
                      <w:lang w:eastAsia="zh-CN"/>
                    </w:rPr>
                    <w:t>。</w:t>
                  </w:r>
                </w:p>
              </w:tc>
              <w:tc>
                <w:tcPr>
                  <w:tcW w:w="669" w:type="dxa"/>
                  <w:vAlign w:val="center"/>
                </w:tcPr>
                <w:p w14:paraId="35C16444">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rPr>
                    <w:t>符合</w:t>
                  </w:r>
                </w:p>
              </w:tc>
            </w:tr>
            <w:tr w14:paraId="1862DC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479" w:type="dxa"/>
                  <w:vMerge w:val="continue"/>
                  <w:vAlign w:val="center"/>
                </w:tcPr>
                <w:p w14:paraId="4A6BCEAE">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p>
              </w:tc>
              <w:tc>
                <w:tcPr>
                  <w:tcW w:w="457" w:type="dxa"/>
                  <w:vAlign w:val="center"/>
                </w:tcPr>
                <w:p w14:paraId="3EB0AC44">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rPr>
                    <w:t>31</w:t>
                  </w:r>
                </w:p>
              </w:tc>
              <w:tc>
                <w:tcPr>
                  <w:tcW w:w="4140" w:type="dxa"/>
                  <w:vAlign w:val="center"/>
                </w:tcPr>
                <w:p w14:paraId="30D07A9D">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rPr>
                    <w:t>设计含VOCs原辅材料使用、设施运行管理、设施维护保养等管理台账，相关人员按实进行填写备查</w:t>
                  </w:r>
                </w:p>
              </w:tc>
              <w:tc>
                <w:tcPr>
                  <w:tcW w:w="1866" w:type="dxa"/>
                  <w:vAlign w:val="center"/>
                </w:tcPr>
                <w:p w14:paraId="2AB0B50A">
                  <w:pPr>
                    <w:keepNext w:val="0"/>
                    <w:keepLines w:val="0"/>
                    <w:suppressLineNumbers w:val="0"/>
                    <w:spacing w:before="0" w:beforeAutospacing="0" w:after="0" w:afterAutospacing="0"/>
                    <w:ind w:left="0" w:right="0"/>
                    <w:jc w:val="center"/>
                    <w:rPr>
                      <w:rFonts w:hint="eastAsia" w:ascii="Times New Roman" w:hAnsi="Times New Roman" w:eastAsia="宋体" w:cs="Times New Roman"/>
                      <w:color w:val="auto"/>
                      <w:szCs w:val="21"/>
                      <w:lang w:eastAsia="zh-CN"/>
                    </w:rPr>
                  </w:pPr>
                  <w:r>
                    <w:rPr>
                      <w:rFonts w:hint="default" w:ascii="Times New Roman" w:hAnsi="Times New Roman" w:eastAsia="宋体" w:cs="Times New Roman"/>
                      <w:color w:val="auto"/>
                      <w:szCs w:val="21"/>
                    </w:rPr>
                    <w:t>要求企业建立并保持规范的管理台帐</w:t>
                  </w:r>
                  <w:r>
                    <w:rPr>
                      <w:rFonts w:hint="eastAsia" w:ascii="Times New Roman" w:hAnsi="Times New Roman" w:eastAsia="宋体" w:cs="Times New Roman"/>
                      <w:color w:val="auto"/>
                      <w:szCs w:val="21"/>
                      <w:lang w:eastAsia="zh-CN"/>
                    </w:rPr>
                    <w:t>。</w:t>
                  </w:r>
                </w:p>
              </w:tc>
              <w:tc>
                <w:tcPr>
                  <w:tcW w:w="669" w:type="dxa"/>
                  <w:vAlign w:val="center"/>
                </w:tcPr>
                <w:p w14:paraId="40929148">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rPr>
                    <w:t>符合</w:t>
                  </w:r>
                </w:p>
              </w:tc>
            </w:tr>
            <w:tr w14:paraId="7F916E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479" w:type="dxa"/>
                  <w:vMerge w:val="continue"/>
                  <w:vAlign w:val="center"/>
                </w:tcPr>
                <w:p w14:paraId="31F4A2A2">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p>
              </w:tc>
              <w:tc>
                <w:tcPr>
                  <w:tcW w:w="457" w:type="dxa"/>
                  <w:vAlign w:val="center"/>
                </w:tcPr>
                <w:p w14:paraId="061EDF9D">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rPr>
                    <w:t>32</w:t>
                  </w:r>
                </w:p>
              </w:tc>
              <w:tc>
                <w:tcPr>
                  <w:tcW w:w="4140" w:type="dxa"/>
                  <w:vAlign w:val="center"/>
                </w:tcPr>
                <w:p w14:paraId="680E44D1">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rPr>
                    <w:t>定期委托有资质的第三方进行监测，已申领新版排污许可证的按许可证要求执行，未申领的每年监测不少于1次</w:t>
                  </w:r>
                </w:p>
              </w:tc>
              <w:tc>
                <w:tcPr>
                  <w:tcW w:w="1866" w:type="dxa"/>
                  <w:vAlign w:val="center"/>
                </w:tcPr>
                <w:p w14:paraId="0C49BC4A">
                  <w:pPr>
                    <w:keepNext w:val="0"/>
                    <w:keepLines w:val="0"/>
                    <w:suppressLineNumbers w:val="0"/>
                    <w:spacing w:before="0" w:beforeAutospacing="0" w:after="0" w:afterAutospacing="0"/>
                    <w:ind w:left="0" w:right="0"/>
                    <w:jc w:val="center"/>
                    <w:rPr>
                      <w:rFonts w:hint="eastAsia" w:ascii="Times New Roman" w:hAnsi="Times New Roman" w:eastAsia="宋体" w:cs="Times New Roman"/>
                      <w:color w:val="auto"/>
                      <w:szCs w:val="21"/>
                      <w:lang w:eastAsia="zh-CN"/>
                    </w:rPr>
                  </w:pPr>
                  <w:r>
                    <w:rPr>
                      <w:rFonts w:hint="default" w:ascii="Times New Roman" w:hAnsi="Times New Roman" w:eastAsia="宋体" w:cs="Times New Roman"/>
                      <w:color w:val="auto"/>
                      <w:szCs w:val="21"/>
                    </w:rPr>
                    <w:t>要求企业定期委托有资质的第三方进行监测，及时办理排污手续</w:t>
                  </w:r>
                  <w:r>
                    <w:rPr>
                      <w:rFonts w:hint="eastAsia" w:ascii="Times New Roman" w:hAnsi="Times New Roman" w:eastAsia="宋体" w:cs="Times New Roman"/>
                      <w:color w:val="auto"/>
                      <w:szCs w:val="21"/>
                      <w:lang w:eastAsia="zh-CN"/>
                    </w:rPr>
                    <w:t>。</w:t>
                  </w:r>
                </w:p>
              </w:tc>
              <w:tc>
                <w:tcPr>
                  <w:tcW w:w="669" w:type="dxa"/>
                  <w:vAlign w:val="center"/>
                </w:tcPr>
                <w:p w14:paraId="602F9766">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rPr>
                    <w:t>符合</w:t>
                  </w:r>
                </w:p>
              </w:tc>
            </w:tr>
            <w:tr w14:paraId="3755E0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479" w:type="dxa"/>
                  <w:vMerge w:val="continue"/>
                  <w:vAlign w:val="center"/>
                </w:tcPr>
                <w:p w14:paraId="545DE25D">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p>
              </w:tc>
              <w:tc>
                <w:tcPr>
                  <w:tcW w:w="457" w:type="dxa"/>
                  <w:vAlign w:val="center"/>
                </w:tcPr>
                <w:p w14:paraId="6BE7E113">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rPr>
                    <w:t>33</w:t>
                  </w:r>
                </w:p>
              </w:tc>
              <w:tc>
                <w:tcPr>
                  <w:tcW w:w="4140" w:type="dxa"/>
                  <w:vAlign w:val="center"/>
                </w:tcPr>
                <w:p w14:paraId="58D3FF69">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rPr>
                    <w:t>监测要求有：对每套废气处理设施的进出口和厂界进行监测；每个采样点监测2个周期，每个周期3个样品；建议监测特征</w:t>
                  </w:r>
                  <w:r>
                    <w:rPr>
                      <w:rFonts w:hint="default" w:ascii="Times New Roman" w:hAnsi="Times New Roman" w:eastAsia="宋体" w:cs="Times New Roman"/>
                      <w:color w:val="FF0000"/>
                      <w:szCs w:val="21"/>
                    </w:rPr>
                    <w:t>因</w:t>
                  </w:r>
                  <w:r>
                    <w:rPr>
                      <w:rFonts w:hint="eastAsia" w:ascii="Times New Roman" w:hAnsi="Times New Roman" w:eastAsia="宋体" w:cs="Times New Roman"/>
                      <w:color w:val="FF0000"/>
                      <w:szCs w:val="21"/>
                      <w:lang w:val="en-US" w:eastAsia="zh-CN"/>
                    </w:rPr>
                    <w:t>子</w:t>
                  </w:r>
                  <w:r>
                    <w:rPr>
                      <w:rFonts w:hint="default" w:ascii="Times New Roman" w:hAnsi="Times New Roman" w:eastAsia="宋体" w:cs="Times New Roman"/>
                      <w:color w:val="FF0000"/>
                      <w:szCs w:val="21"/>
                    </w:rPr>
                    <w:t>、</w:t>
                  </w:r>
                  <w:r>
                    <w:rPr>
                      <w:rFonts w:hint="default" w:ascii="Times New Roman" w:hAnsi="Times New Roman" w:eastAsia="宋体" w:cs="Times New Roman"/>
                      <w:color w:val="auto"/>
                      <w:szCs w:val="21"/>
                    </w:rPr>
                    <w:t>非甲烷总烃和臭气浓度</w:t>
                  </w:r>
                </w:p>
              </w:tc>
              <w:tc>
                <w:tcPr>
                  <w:tcW w:w="1866" w:type="dxa"/>
                  <w:vAlign w:val="center"/>
                </w:tcPr>
                <w:p w14:paraId="2BEF08B3">
                  <w:pPr>
                    <w:keepNext w:val="0"/>
                    <w:keepLines w:val="0"/>
                    <w:suppressLineNumbers w:val="0"/>
                    <w:spacing w:before="0" w:beforeAutospacing="0" w:after="0" w:afterAutospacing="0"/>
                    <w:ind w:left="0" w:right="0"/>
                    <w:jc w:val="center"/>
                    <w:rPr>
                      <w:rFonts w:hint="eastAsia" w:ascii="Times New Roman" w:hAnsi="Times New Roman" w:eastAsia="宋体" w:cs="Times New Roman"/>
                      <w:color w:val="auto"/>
                      <w:szCs w:val="21"/>
                      <w:lang w:eastAsia="zh-CN"/>
                    </w:rPr>
                  </w:pPr>
                  <w:r>
                    <w:rPr>
                      <w:rFonts w:hint="default" w:ascii="Times New Roman" w:hAnsi="Times New Roman" w:eastAsia="宋体" w:cs="Times New Roman"/>
                      <w:color w:val="auto"/>
                      <w:szCs w:val="21"/>
                    </w:rPr>
                    <w:t>按规定的次频次和点位进行监测</w:t>
                  </w:r>
                  <w:r>
                    <w:rPr>
                      <w:rFonts w:hint="eastAsia" w:ascii="Times New Roman" w:hAnsi="Times New Roman" w:eastAsia="宋体" w:cs="Times New Roman"/>
                      <w:color w:val="auto"/>
                      <w:szCs w:val="21"/>
                      <w:lang w:eastAsia="zh-CN"/>
                    </w:rPr>
                    <w:t>。</w:t>
                  </w:r>
                </w:p>
              </w:tc>
              <w:tc>
                <w:tcPr>
                  <w:tcW w:w="669" w:type="dxa"/>
                  <w:vAlign w:val="center"/>
                </w:tcPr>
                <w:p w14:paraId="37EDD9B8">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rPr>
                    <w:t>符合</w:t>
                  </w:r>
                </w:p>
              </w:tc>
            </w:tr>
            <w:tr w14:paraId="55391A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479" w:type="dxa"/>
                  <w:vMerge w:val="continue"/>
                  <w:vAlign w:val="center"/>
                </w:tcPr>
                <w:p w14:paraId="2368DCB7">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p>
              </w:tc>
              <w:tc>
                <w:tcPr>
                  <w:tcW w:w="457" w:type="dxa"/>
                  <w:vAlign w:val="center"/>
                </w:tcPr>
                <w:p w14:paraId="3FDF2CAF">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rPr>
                    <w:t>34</w:t>
                  </w:r>
                </w:p>
              </w:tc>
              <w:tc>
                <w:tcPr>
                  <w:tcW w:w="4140" w:type="dxa"/>
                  <w:vAlign w:val="center"/>
                </w:tcPr>
                <w:p w14:paraId="7C91F056">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rPr>
                    <w:t>强化夏秋季错峰生产管控措施。实施错峰停产的时间为每年5~10月，易形成臭氧为首要污染物的高温时段（10:00-16:00）。未完成深化治理要求的企业，一律纳入夏秋季错峰生产名单</w:t>
                  </w:r>
                </w:p>
              </w:tc>
              <w:tc>
                <w:tcPr>
                  <w:tcW w:w="1866" w:type="dxa"/>
                  <w:vAlign w:val="center"/>
                </w:tcPr>
                <w:p w14:paraId="503947F6">
                  <w:pPr>
                    <w:keepNext w:val="0"/>
                    <w:keepLines w:val="0"/>
                    <w:suppressLineNumbers w:val="0"/>
                    <w:spacing w:before="0" w:beforeAutospacing="0" w:after="0" w:afterAutospacing="0"/>
                    <w:ind w:left="0" w:right="0"/>
                    <w:jc w:val="center"/>
                    <w:rPr>
                      <w:rFonts w:hint="eastAsia" w:ascii="Times New Roman" w:hAnsi="Times New Roman" w:eastAsia="宋体" w:cs="Times New Roman"/>
                      <w:color w:val="auto"/>
                      <w:szCs w:val="21"/>
                      <w:lang w:eastAsia="zh-CN"/>
                    </w:rPr>
                  </w:pPr>
                  <w:r>
                    <w:rPr>
                      <w:rFonts w:hint="default" w:ascii="Times New Roman" w:hAnsi="Times New Roman" w:eastAsia="宋体" w:cs="Times New Roman"/>
                      <w:color w:val="auto"/>
                      <w:szCs w:val="21"/>
                    </w:rPr>
                    <w:t>按要求落实生产管控措施</w:t>
                  </w:r>
                  <w:r>
                    <w:rPr>
                      <w:rFonts w:hint="eastAsia" w:ascii="Times New Roman" w:hAnsi="Times New Roman" w:eastAsia="宋体" w:cs="Times New Roman"/>
                      <w:color w:val="auto"/>
                      <w:szCs w:val="21"/>
                      <w:lang w:eastAsia="zh-CN"/>
                    </w:rPr>
                    <w:t>。</w:t>
                  </w:r>
                </w:p>
              </w:tc>
              <w:tc>
                <w:tcPr>
                  <w:tcW w:w="669" w:type="dxa"/>
                  <w:vAlign w:val="center"/>
                </w:tcPr>
                <w:p w14:paraId="686BAEF2">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rPr>
                    <w:t>符合</w:t>
                  </w:r>
                </w:p>
              </w:tc>
            </w:tr>
            <w:tr w14:paraId="4B167C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479" w:type="dxa"/>
                  <w:vMerge w:val="continue"/>
                  <w:vAlign w:val="center"/>
                </w:tcPr>
                <w:p w14:paraId="2B51471B">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p>
              </w:tc>
              <w:tc>
                <w:tcPr>
                  <w:tcW w:w="457" w:type="dxa"/>
                  <w:vAlign w:val="center"/>
                </w:tcPr>
                <w:p w14:paraId="7B817884">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rPr>
                    <w:t>35</w:t>
                  </w:r>
                </w:p>
              </w:tc>
              <w:tc>
                <w:tcPr>
                  <w:tcW w:w="4140" w:type="dxa"/>
                  <w:vAlign w:val="center"/>
                </w:tcPr>
                <w:p w14:paraId="71FFC220">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rPr>
                    <w:t>企业应委托有资质的废气治理单位承担废气治理服务工作，编制的废气治理方案应通过环境管理部门组织的专家组审核认可，废气治理工程应通过环境管理部门验收后方可认为完成整治</w:t>
                  </w:r>
                </w:p>
              </w:tc>
              <w:tc>
                <w:tcPr>
                  <w:tcW w:w="1866" w:type="dxa"/>
                  <w:vAlign w:val="center"/>
                </w:tcPr>
                <w:p w14:paraId="4E0C82BA">
                  <w:pPr>
                    <w:keepNext w:val="0"/>
                    <w:keepLines w:val="0"/>
                    <w:suppressLineNumbers w:val="0"/>
                    <w:spacing w:before="0" w:beforeAutospacing="0" w:after="0" w:afterAutospacing="0"/>
                    <w:ind w:left="0" w:right="0"/>
                    <w:jc w:val="center"/>
                    <w:rPr>
                      <w:rFonts w:hint="eastAsia" w:ascii="Times New Roman" w:hAnsi="Times New Roman" w:eastAsia="宋体" w:cs="Times New Roman"/>
                      <w:color w:val="auto"/>
                      <w:szCs w:val="21"/>
                      <w:lang w:eastAsia="zh-CN"/>
                    </w:rPr>
                  </w:pPr>
                  <w:r>
                    <w:rPr>
                      <w:rFonts w:hint="default" w:ascii="Times New Roman" w:hAnsi="Times New Roman" w:eastAsia="宋体" w:cs="Times New Roman"/>
                      <w:color w:val="auto"/>
                      <w:szCs w:val="21"/>
                    </w:rPr>
                    <w:t>企业委托资质单位编制废气处理方案，废气治理工程按规定要求进行验收</w:t>
                  </w:r>
                  <w:r>
                    <w:rPr>
                      <w:rFonts w:hint="eastAsia" w:ascii="Times New Roman" w:hAnsi="Times New Roman" w:eastAsia="宋体" w:cs="Times New Roman"/>
                      <w:color w:val="auto"/>
                      <w:szCs w:val="21"/>
                      <w:lang w:eastAsia="zh-CN"/>
                    </w:rPr>
                    <w:t>。</w:t>
                  </w:r>
                </w:p>
              </w:tc>
              <w:tc>
                <w:tcPr>
                  <w:tcW w:w="669" w:type="dxa"/>
                  <w:vAlign w:val="center"/>
                </w:tcPr>
                <w:p w14:paraId="0645E43E">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rPr>
                    <w:t>符合</w:t>
                  </w:r>
                </w:p>
              </w:tc>
            </w:tr>
          </w:tbl>
          <w:p w14:paraId="245B3730">
            <w:pPr>
              <w:keepNext w:val="0"/>
              <w:keepLines w:val="0"/>
              <w:suppressLineNumbers w:val="0"/>
              <w:spacing w:before="0" w:beforeAutospacing="0" w:after="0" w:afterAutospacing="0" w:line="360" w:lineRule="auto"/>
              <w:ind w:left="0" w:right="0"/>
              <w:rPr>
                <w:rFonts w:hint="default" w:ascii="Times New Roman" w:hAnsi="Times New Roman" w:eastAsia="宋体" w:cs="Times New Roman"/>
                <w:b/>
                <w:bCs/>
                <w:color w:val="auto"/>
                <w:sz w:val="24"/>
              </w:rPr>
            </w:pPr>
            <w:r>
              <w:rPr>
                <w:rFonts w:hint="eastAsia" w:ascii="Times New Roman" w:hAnsi="Times New Roman" w:eastAsia="宋体" w:cs="Times New Roman"/>
                <w:b/>
                <w:bCs/>
                <w:color w:val="auto"/>
                <w:sz w:val="24"/>
                <w:lang w:val="en-US" w:eastAsia="zh-CN"/>
              </w:rPr>
              <w:t>1.2.10</w:t>
            </w:r>
            <w:r>
              <w:rPr>
                <w:rFonts w:hint="eastAsia" w:ascii="Times New Roman" w:hAnsi="Times New Roman" w:eastAsia="宋体" w:cs="Times New Roman"/>
                <w:b/>
                <w:bCs/>
                <w:color w:val="auto"/>
                <w:sz w:val="24"/>
              </w:rPr>
              <w:t>《浙江省塑料制品挥发性有机物污染防治可行技术指南》符合性分析</w:t>
            </w:r>
          </w:p>
          <w:p w14:paraId="68766D1E">
            <w:pPr>
              <w:keepNext w:val="0"/>
              <w:keepLines w:val="0"/>
              <w:suppressLineNumbers w:val="0"/>
              <w:spacing w:before="0" w:beforeAutospacing="0" w:after="0" w:afterAutospacing="0"/>
              <w:ind w:left="0" w:right="0"/>
              <w:jc w:val="center"/>
              <w:rPr>
                <w:rFonts w:hint="default" w:ascii="Times New Roman" w:hAnsi="Times New Roman" w:eastAsia="宋体" w:cs="Times New Roman"/>
                <w:b/>
                <w:bCs/>
                <w:color w:val="auto"/>
              </w:rPr>
            </w:pPr>
            <w:r>
              <w:rPr>
                <w:rFonts w:hint="eastAsia" w:ascii="Times New Roman" w:hAnsi="Times New Roman" w:eastAsia="宋体" w:cs="Times New Roman"/>
                <w:b/>
                <w:bCs/>
                <w:color w:val="auto"/>
              </w:rPr>
              <w:t>表</w:t>
            </w:r>
            <w:r>
              <w:rPr>
                <w:rFonts w:hint="default" w:ascii="Times New Roman" w:hAnsi="Times New Roman" w:eastAsia="宋体" w:cs="Times New Roman"/>
                <w:b/>
                <w:bCs/>
                <w:color w:val="auto"/>
              </w:rPr>
              <w:t>1-1</w:t>
            </w:r>
            <w:r>
              <w:rPr>
                <w:rFonts w:hint="eastAsia" w:ascii="Times New Roman" w:hAnsi="Times New Roman" w:eastAsia="宋体" w:cs="Times New Roman"/>
                <w:b/>
                <w:bCs/>
                <w:color w:val="auto"/>
                <w:lang w:val="en-US" w:eastAsia="zh-CN"/>
              </w:rPr>
              <w:t>6</w:t>
            </w:r>
            <w:r>
              <w:rPr>
                <w:rFonts w:hint="eastAsia" w:ascii="Times New Roman" w:hAnsi="Times New Roman" w:eastAsia="宋体" w:cs="Times New Roman"/>
                <w:b/>
                <w:bCs/>
                <w:color w:val="auto"/>
              </w:rPr>
              <w:t xml:space="preserve">  与《浙江省塑料制品挥发性有机物污染防治可行技术指南》符合性分析</w:t>
            </w:r>
          </w:p>
          <w:tbl>
            <w:tblPr>
              <w:tblStyle w:val="23"/>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31"/>
              <w:gridCol w:w="3505"/>
              <w:gridCol w:w="3029"/>
              <w:gridCol w:w="713"/>
            </w:tblGrid>
            <w:tr w14:paraId="5D0E43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4041" w:type="dxa"/>
                  <w:gridSpan w:val="2"/>
                  <w:vAlign w:val="center"/>
                </w:tcPr>
                <w:p w14:paraId="300E2C51">
                  <w:pPr>
                    <w:keepNext w:val="0"/>
                    <w:keepLines w:val="0"/>
                    <w:suppressLineNumbers w:val="0"/>
                    <w:spacing w:before="0" w:beforeAutospacing="0" w:after="0" w:afterAutospacing="0"/>
                    <w:ind w:left="0" w:right="0"/>
                    <w:jc w:val="center"/>
                    <w:rPr>
                      <w:rFonts w:hint="default" w:ascii="Times New Roman" w:hAnsi="Times New Roman" w:eastAsia="宋体" w:cs="Times New Roman"/>
                      <w:b/>
                      <w:bCs/>
                      <w:color w:val="auto"/>
                      <w:szCs w:val="21"/>
                    </w:rPr>
                  </w:pPr>
                  <w:r>
                    <w:rPr>
                      <w:rFonts w:hint="default" w:ascii="Times New Roman" w:hAnsi="Times New Roman" w:eastAsia="宋体" w:cs="Times New Roman"/>
                      <w:b/>
                      <w:bCs/>
                      <w:color w:val="auto"/>
                      <w:szCs w:val="21"/>
                    </w:rPr>
                    <w:t>要求</w:t>
                  </w:r>
                </w:p>
              </w:tc>
              <w:tc>
                <w:tcPr>
                  <w:tcW w:w="2890" w:type="dxa"/>
                  <w:vAlign w:val="center"/>
                </w:tcPr>
                <w:p w14:paraId="763F25A9">
                  <w:pPr>
                    <w:keepNext w:val="0"/>
                    <w:keepLines w:val="0"/>
                    <w:suppressLineNumbers w:val="0"/>
                    <w:spacing w:before="0" w:beforeAutospacing="0" w:after="0" w:afterAutospacing="0"/>
                    <w:ind w:left="0" w:right="0"/>
                    <w:jc w:val="center"/>
                    <w:rPr>
                      <w:rFonts w:hint="default" w:ascii="Times New Roman" w:hAnsi="Times New Roman" w:eastAsia="宋体" w:cs="Times New Roman"/>
                      <w:b/>
                      <w:bCs/>
                      <w:color w:val="auto"/>
                      <w:szCs w:val="21"/>
                    </w:rPr>
                  </w:pPr>
                  <w:r>
                    <w:rPr>
                      <w:rFonts w:hint="default" w:ascii="Times New Roman" w:hAnsi="Times New Roman" w:eastAsia="宋体" w:cs="Times New Roman"/>
                      <w:b/>
                      <w:bCs/>
                      <w:color w:val="auto"/>
                      <w:szCs w:val="21"/>
                    </w:rPr>
                    <w:t>项目情况</w:t>
                  </w:r>
                </w:p>
              </w:tc>
              <w:tc>
                <w:tcPr>
                  <w:tcW w:w="680" w:type="dxa"/>
                  <w:vAlign w:val="center"/>
                </w:tcPr>
                <w:p w14:paraId="6D1D7AE5">
                  <w:pPr>
                    <w:keepNext w:val="0"/>
                    <w:keepLines w:val="0"/>
                    <w:suppressLineNumbers w:val="0"/>
                    <w:spacing w:before="0" w:beforeAutospacing="0" w:after="0" w:afterAutospacing="0"/>
                    <w:ind w:left="0" w:right="0"/>
                    <w:jc w:val="center"/>
                    <w:rPr>
                      <w:rFonts w:hint="default" w:ascii="Times New Roman" w:hAnsi="Times New Roman" w:eastAsia="宋体" w:cs="Times New Roman"/>
                      <w:b/>
                      <w:bCs/>
                      <w:color w:val="auto"/>
                      <w:szCs w:val="21"/>
                      <w:lang w:val="en-US" w:eastAsia="zh-CN"/>
                    </w:rPr>
                  </w:pPr>
                  <w:r>
                    <w:rPr>
                      <w:rFonts w:hint="eastAsia" w:ascii="Times New Roman" w:hAnsi="Times New Roman" w:eastAsia="宋体" w:cs="Times New Roman"/>
                      <w:b/>
                      <w:bCs/>
                      <w:color w:val="auto"/>
                      <w:szCs w:val="21"/>
                      <w:lang w:val="en-US" w:eastAsia="zh-CN"/>
                    </w:rPr>
                    <w:t>是否符合</w:t>
                  </w:r>
                </w:p>
              </w:tc>
            </w:tr>
            <w:tr w14:paraId="000F3F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697" w:type="dxa"/>
                  <w:vAlign w:val="center"/>
                </w:tcPr>
                <w:p w14:paraId="0AC4B332">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rPr>
                    <w:t>污染预防技术</w:t>
                  </w:r>
                </w:p>
              </w:tc>
              <w:tc>
                <w:tcPr>
                  <w:tcW w:w="3344" w:type="dxa"/>
                  <w:vAlign w:val="center"/>
                </w:tcPr>
                <w:p w14:paraId="13C3EEC5">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rPr>
                    <w:t>自动化管道化密闭技术</w:t>
                  </w:r>
                </w:p>
              </w:tc>
              <w:tc>
                <w:tcPr>
                  <w:tcW w:w="2890" w:type="dxa"/>
                  <w:vAlign w:val="center"/>
                </w:tcPr>
                <w:p w14:paraId="69CEB239">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lang w:val="en-US" w:eastAsia="zh-CN"/>
                    </w:rPr>
                  </w:pPr>
                  <w:r>
                    <w:rPr>
                      <w:rFonts w:hint="eastAsia" w:ascii="Times New Roman" w:hAnsi="Times New Roman" w:eastAsia="宋体" w:cs="Times New Roman"/>
                      <w:color w:val="auto"/>
                      <w:szCs w:val="21"/>
                      <w:lang w:val="en-US" w:eastAsia="zh-CN"/>
                    </w:rPr>
                    <w:t>本项目采用自动化管道化密闭技术。</w:t>
                  </w:r>
                </w:p>
              </w:tc>
              <w:tc>
                <w:tcPr>
                  <w:tcW w:w="680" w:type="dxa"/>
                  <w:vAlign w:val="center"/>
                </w:tcPr>
                <w:p w14:paraId="50B1BC06">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rPr>
                    <w:t>符合</w:t>
                  </w:r>
                </w:p>
              </w:tc>
            </w:tr>
            <w:tr w14:paraId="704A7C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697" w:type="dxa"/>
                  <w:vAlign w:val="center"/>
                </w:tcPr>
                <w:p w14:paraId="3597E38E">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rPr>
                    <w:t>治理技术</w:t>
                  </w:r>
                </w:p>
              </w:tc>
              <w:tc>
                <w:tcPr>
                  <w:tcW w:w="3344" w:type="dxa"/>
                  <w:vAlign w:val="center"/>
                </w:tcPr>
                <w:p w14:paraId="1125DDDE">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rPr>
                    <w:t>除尘+吸附处理技术</w:t>
                  </w:r>
                </w:p>
              </w:tc>
              <w:tc>
                <w:tcPr>
                  <w:tcW w:w="2890" w:type="dxa"/>
                  <w:vAlign w:val="center"/>
                </w:tcPr>
                <w:p w14:paraId="45C4204A">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r>
                    <w:rPr>
                      <w:rFonts w:hint="eastAsia" w:ascii="Times New Roman" w:hAnsi="Times New Roman" w:eastAsia="宋体" w:cs="Times New Roman"/>
                      <w:color w:val="auto"/>
                      <w:szCs w:val="21"/>
                    </w:rPr>
                    <w:t>本</w:t>
                  </w:r>
                  <w:r>
                    <w:rPr>
                      <w:rFonts w:hint="default" w:ascii="Times New Roman" w:hAnsi="Times New Roman" w:eastAsia="宋体" w:cs="Times New Roman"/>
                      <w:color w:val="auto"/>
                      <w:szCs w:val="21"/>
                    </w:rPr>
                    <w:t>项目第二代动力电池高安全陶瓷化复合隔膜</w:t>
                  </w:r>
                  <w:r>
                    <w:rPr>
                      <w:rFonts w:hint="eastAsia" w:ascii="Times New Roman" w:hAnsi="Times New Roman" w:eastAsia="宋体" w:cs="Times New Roman"/>
                      <w:color w:val="auto"/>
                      <w:szCs w:val="21"/>
                      <w:lang w:val="en-US" w:eastAsia="zh-CN"/>
                    </w:rPr>
                    <w:t>生产过程无颗粒的产生。</w:t>
                  </w:r>
                  <w:commentRangeStart w:id="13"/>
                  <w:commentRangeStart w:id="14"/>
                  <w:r>
                    <w:rPr>
                      <w:rFonts w:hint="default"/>
                    </w:rPr>
                    <w:commentReference w:id="13"/>
                  </w:r>
                  <w:commentRangeEnd w:id="13"/>
                  <w:commentRangeEnd w:id="14"/>
                  <w:r>
                    <w:rPr>
                      <w:rFonts w:hint="default"/>
                    </w:rPr>
                    <w:commentReference w:id="14"/>
                  </w:r>
                </w:p>
              </w:tc>
              <w:tc>
                <w:tcPr>
                  <w:tcW w:w="680" w:type="dxa"/>
                  <w:vAlign w:val="center"/>
                </w:tcPr>
                <w:p w14:paraId="232026BF">
                  <w:pPr>
                    <w:keepNext w:val="0"/>
                    <w:keepLines w:val="0"/>
                    <w:suppressLineNumbers w:val="0"/>
                    <w:spacing w:before="0" w:beforeAutospacing="0" w:after="0" w:afterAutospacing="0"/>
                    <w:ind w:left="0" w:right="0"/>
                    <w:jc w:val="center"/>
                    <w:rPr>
                      <w:rFonts w:hint="eastAsia" w:ascii="Times New Roman" w:hAnsi="Times New Roman" w:eastAsia="宋体" w:cs="Times New Roman"/>
                      <w:color w:val="auto"/>
                      <w:szCs w:val="21"/>
                      <w:lang w:eastAsia="zh-CN"/>
                    </w:rPr>
                  </w:pPr>
                  <w:r>
                    <w:rPr>
                      <w:rFonts w:hint="eastAsia" w:ascii="Times New Roman" w:hAnsi="Times New Roman" w:eastAsia="宋体" w:cs="Times New Roman"/>
                      <w:color w:val="auto"/>
                      <w:szCs w:val="21"/>
                      <w:lang w:val="en-US" w:eastAsia="zh-CN"/>
                    </w:rPr>
                    <w:t>不涉及</w:t>
                  </w:r>
                </w:p>
              </w:tc>
            </w:tr>
            <w:tr w14:paraId="197C6F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697" w:type="dxa"/>
                  <w:vAlign w:val="center"/>
                </w:tcPr>
                <w:p w14:paraId="5C46E0F4">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rPr>
                    <w:t>污染治理技术</w:t>
                  </w:r>
                </w:p>
              </w:tc>
              <w:tc>
                <w:tcPr>
                  <w:tcW w:w="3344" w:type="dxa"/>
                  <w:vAlign w:val="center"/>
                </w:tcPr>
                <w:p w14:paraId="58D16E76">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rPr>
                    <w:t>应加强对塑料生产工艺过程废气的收集，减少VOCs无组织排放。VOCs无组织废气的收集和控制应符合GB37822的要求，废气收集技术可参考附录B。塑料制品业常用的吸附技术为固定床吸附技术。需配套吸附处理单元的含尘、高湿废气、高温废气，应事先采用高效除尘、除雾装置、冷却装置等进行预处理。高压静电技术适用于增塑剂及其他助剂产生的高沸点油烟废气处理。臭氧氧化技术适用ABS、POM、EVA等塑料制造废气除臭。臭氧氧化技术是采用臭氧作为氧化剂，氧化恶臭污染物的一种除臭技术。光氧化技术适用ABS、POM、EVA等塑料制造废气除臭，可作为除臭组合单元之一</w:t>
                  </w:r>
                </w:p>
              </w:tc>
              <w:tc>
                <w:tcPr>
                  <w:tcW w:w="2890" w:type="dxa"/>
                  <w:shd w:val="clear" w:color="auto" w:fill="auto"/>
                  <w:vAlign w:val="center"/>
                </w:tcPr>
                <w:p w14:paraId="00583E77">
                  <w:pPr>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color w:val="auto"/>
                      <w:kern w:val="2"/>
                      <w:sz w:val="21"/>
                      <w:szCs w:val="21"/>
                      <w:lang w:val="en-US" w:eastAsia="zh-CN" w:bidi="ar-SA"/>
                    </w:rPr>
                  </w:pPr>
                  <w:r>
                    <w:rPr>
                      <w:rFonts w:hint="default" w:ascii="Times New Roman" w:hAnsi="Times New Roman" w:eastAsia="宋体" w:cs="Times New Roman"/>
                      <w:color w:val="auto"/>
                      <w:szCs w:val="21"/>
                      <w:lang w:val="en-US" w:eastAsia="zh-CN"/>
                    </w:rPr>
                    <w:t>本项目烘烤固化工序均为全密闭设备，在烘道进出口设置全密闭风罩，仅留进出口通道；本项目背胶贴合区整体密闭，在生产车间进行整体抽风，仅设置一个进出口，在非必要情况下也必须处于关闭状态，使生产车间整体处于相对密闭状态；本项目立式液态射出成型机运行过程保持加热段和成型段密闭，因此，废气仅在其物料完成成型工艺的出口散发，故拟在物料出口上方设置集气罩，以上废气经收集后通过一套水喷淋+干式过滤+二级活性炭吸附装置（TA001）处理，尾气由一根26m高的排气筒DA001排放。</w:t>
                  </w:r>
                </w:p>
              </w:tc>
              <w:tc>
                <w:tcPr>
                  <w:tcW w:w="680" w:type="dxa"/>
                  <w:vAlign w:val="center"/>
                </w:tcPr>
                <w:p w14:paraId="3F9F7AA2">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rPr>
                    <w:t>符合</w:t>
                  </w:r>
                </w:p>
              </w:tc>
            </w:tr>
            <w:tr w14:paraId="488DF4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697" w:type="dxa"/>
                  <w:vMerge w:val="restart"/>
                  <w:vAlign w:val="center"/>
                </w:tcPr>
                <w:p w14:paraId="1C287759">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rPr>
                    <w:t>环境管理措施</w:t>
                  </w:r>
                </w:p>
              </w:tc>
              <w:tc>
                <w:tcPr>
                  <w:tcW w:w="3344" w:type="dxa"/>
                  <w:vAlign w:val="center"/>
                </w:tcPr>
                <w:p w14:paraId="01F2F5A1">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rPr>
                    <w:t>企业应根据实际情况优先采用污染预防技术，若仍无法稳定达标排放，应采用适合的末端治理技术。优先使用合成树脂新料生产塑料制品，不使用有毒有害废塑料作为原料。挥发及半挥发性助剂应按照化工行业储存标准密闭储存，涉及大宗有机物料使用的应采用储罐存储，并优先考虑管道输送。建立健全含VOCs原辅料使用的各项数据记录和生产管理制度</w:t>
                  </w:r>
                </w:p>
              </w:tc>
              <w:tc>
                <w:tcPr>
                  <w:tcW w:w="2890" w:type="dxa"/>
                  <w:vAlign w:val="center"/>
                </w:tcPr>
                <w:p w14:paraId="348F15EA">
                  <w:pPr>
                    <w:keepNext w:val="0"/>
                    <w:keepLines w:val="0"/>
                    <w:suppressLineNumbers w:val="0"/>
                    <w:spacing w:before="0" w:beforeAutospacing="0" w:after="0" w:afterAutospacing="0"/>
                    <w:ind w:left="0" w:right="0"/>
                    <w:jc w:val="center"/>
                    <w:rPr>
                      <w:rFonts w:hint="eastAsia" w:ascii="Times New Roman" w:hAnsi="Times New Roman" w:eastAsia="宋体" w:cs="Times New Roman"/>
                      <w:color w:val="auto"/>
                      <w:szCs w:val="21"/>
                      <w:lang w:eastAsia="zh-CN"/>
                    </w:rPr>
                  </w:pPr>
                  <w:r>
                    <w:rPr>
                      <w:rFonts w:hint="eastAsia" w:ascii="Times New Roman" w:hAnsi="Times New Roman" w:eastAsia="宋体" w:cs="Times New Roman"/>
                      <w:color w:val="auto"/>
                      <w:szCs w:val="21"/>
                    </w:rPr>
                    <w:t>本</w:t>
                  </w:r>
                  <w:r>
                    <w:rPr>
                      <w:rFonts w:hint="default" w:ascii="Times New Roman" w:hAnsi="Times New Roman" w:eastAsia="宋体" w:cs="Times New Roman"/>
                      <w:color w:val="auto"/>
                      <w:szCs w:val="21"/>
                    </w:rPr>
                    <w:t>项目不使用有毒有害废塑料作为原料，不涉及大宗有机物料使用，废气经收集处理后可稳定达标排放</w:t>
                  </w:r>
                  <w:r>
                    <w:rPr>
                      <w:rFonts w:hint="eastAsia" w:ascii="Times New Roman" w:hAnsi="Times New Roman" w:eastAsia="宋体" w:cs="Times New Roman"/>
                      <w:color w:val="auto"/>
                      <w:szCs w:val="21"/>
                      <w:lang w:eastAsia="zh-CN"/>
                    </w:rPr>
                    <w:t>。</w:t>
                  </w:r>
                </w:p>
              </w:tc>
              <w:tc>
                <w:tcPr>
                  <w:tcW w:w="680" w:type="dxa"/>
                  <w:vAlign w:val="center"/>
                </w:tcPr>
                <w:p w14:paraId="5CF3B3C6">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rPr>
                    <w:t>符合</w:t>
                  </w:r>
                </w:p>
              </w:tc>
            </w:tr>
            <w:tr w14:paraId="7F9980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697" w:type="dxa"/>
                  <w:vMerge w:val="continue"/>
                  <w:vAlign w:val="center"/>
                </w:tcPr>
                <w:p w14:paraId="172B656B">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p>
              </w:tc>
              <w:tc>
                <w:tcPr>
                  <w:tcW w:w="3344" w:type="dxa"/>
                  <w:vAlign w:val="center"/>
                </w:tcPr>
                <w:p w14:paraId="261E5107">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rPr>
                    <w:t>企业应按照HJ944的要求建立台账，记录含VOCs原辅材料的名称、采购量、使用量、回收量、废弃量、去向、VOCs含量，污染治理设施的工艺流程、设计参数、投运时间、启停时间、温度、风量，过滤材料更换时间和更换量，吸附剂脱附周期、更换时间和更换量，催化剂更换时间和更换量等信息。台账保存期限不少于三年</w:t>
                  </w:r>
                </w:p>
              </w:tc>
              <w:tc>
                <w:tcPr>
                  <w:tcW w:w="2890" w:type="dxa"/>
                  <w:vAlign w:val="center"/>
                </w:tcPr>
                <w:p w14:paraId="7E31ADD3">
                  <w:pPr>
                    <w:keepNext w:val="0"/>
                    <w:keepLines w:val="0"/>
                    <w:suppressLineNumbers w:val="0"/>
                    <w:spacing w:before="0" w:beforeAutospacing="0" w:after="0" w:afterAutospacing="0"/>
                    <w:ind w:left="0" w:right="0"/>
                    <w:jc w:val="center"/>
                    <w:rPr>
                      <w:rFonts w:hint="eastAsia" w:ascii="Times New Roman" w:hAnsi="Times New Roman" w:eastAsia="宋体" w:cs="Times New Roman"/>
                      <w:color w:val="auto"/>
                      <w:szCs w:val="21"/>
                      <w:lang w:eastAsia="zh-CN"/>
                    </w:rPr>
                  </w:pPr>
                  <w:r>
                    <w:rPr>
                      <w:rFonts w:hint="eastAsia" w:ascii="Times New Roman" w:hAnsi="Times New Roman" w:eastAsia="宋体" w:cs="Times New Roman"/>
                      <w:color w:val="auto"/>
                      <w:szCs w:val="21"/>
                    </w:rPr>
                    <w:t>本</w:t>
                  </w:r>
                  <w:r>
                    <w:rPr>
                      <w:rFonts w:hint="default" w:ascii="Times New Roman" w:hAnsi="Times New Roman" w:eastAsia="宋体" w:cs="Times New Roman"/>
                      <w:color w:val="auto"/>
                      <w:szCs w:val="21"/>
                    </w:rPr>
                    <w:t>项目建成后，需严格按照HJ944规定的相要求实施</w:t>
                  </w:r>
                  <w:r>
                    <w:rPr>
                      <w:rFonts w:hint="eastAsia" w:ascii="Times New Roman" w:hAnsi="Times New Roman" w:eastAsia="宋体" w:cs="Times New Roman"/>
                      <w:color w:val="auto"/>
                      <w:szCs w:val="21"/>
                      <w:lang w:eastAsia="zh-CN"/>
                    </w:rPr>
                    <w:t>。</w:t>
                  </w:r>
                </w:p>
              </w:tc>
              <w:tc>
                <w:tcPr>
                  <w:tcW w:w="680" w:type="dxa"/>
                  <w:vAlign w:val="center"/>
                </w:tcPr>
                <w:p w14:paraId="1A4D9120">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rPr>
                    <w:t>符合</w:t>
                  </w:r>
                </w:p>
              </w:tc>
            </w:tr>
            <w:tr w14:paraId="19710E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697" w:type="dxa"/>
                  <w:vMerge w:val="continue"/>
                  <w:vAlign w:val="center"/>
                </w:tcPr>
                <w:p w14:paraId="026048FF">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p>
              </w:tc>
              <w:tc>
                <w:tcPr>
                  <w:tcW w:w="3344" w:type="dxa"/>
                  <w:vAlign w:val="center"/>
                </w:tcPr>
                <w:p w14:paraId="515E9C8C">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rPr>
                    <w:t>企业应按照相关法律法规、标准和技术规范等要求运行污染治理设施，并定期进行维护和管理，保证治理设施正常运行，污染物排放应符合GB16297、GB14554、GB37822等要求。企业应按照GB/T16157技术规范的要求，设计、建设、维护永久性采样口、采样测试平台和排污口标志</w:t>
                  </w:r>
                </w:p>
              </w:tc>
              <w:tc>
                <w:tcPr>
                  <w:tcW w:w="2890" w:type="dxa"/>
                  <w:vAlign w:val="center"/>
                </w:tcPr>
                <w:p w14:paraId="27AC6BB9">
                  <w:pPr>
                    <w:keepNext w:val="0"/>
                    <w:keepLines w:val="0"/>
                    <w:suppressLineNumbers w:val="0"/>
                    <w:spacing w:before="0" w:beforeAutospacing="0" w:after="0" w:afterAutospacing="0"/>
                    <w:ind w:left="0" w:right="0"/>
                    <w:jc w:val="center"/>
                    <w:rPr>
                      <w:rFonts w:hint="eastAsia" w:ascii="Times New Roman" w:hAnsi="Times New Roman" w:eastAsia="宋体" w:cs="Times New Roman"/>
                      <w:color w:val="auto"/>
                      <w:szCs w:val="21"/>
                      <w:lang w:eastAsia="zh-CN"/>
                    </w:rPr>
                  </w:pPr>
                  <w:r>
                    <w:rPr>
                      <w:rFonts w:hint="eastAsia" w:ascii="Times New Roman" w:hAnsi="Times New Roman" w:eastAsia="宋体" w:cs="Times New Roman"/>
                      <w:color w:val="auto"/>
                      <w:szCs w:val="21"/>
                    </w:rPr>
                    <w:t>本</w:t>
                  </w:r>
                  <w:r>
                    <w:rPr>
                      <w:rFonts w:hint="default" w:ascii="Times New Roman" w:hAnsi="Times New Roman" w:eastAsia="宋体" w:cs="Times New Roman"/>
                      <w:color w:val="auto"/>
                      <w:szCs w:val="21"/>
                    </w:rPr>
                    <w:t>项目建成后，需严格按照相关要求实施</w:t>
                  </w:r>
                  <w:r>
                    <w:rPr>
                      <w:rFonts w:hint="eastAsia" w:ascii="Times New Roman" w:hAnsi="Times New Roman" w:eastAsia="宋体" w:cs="Times New Roman"/>
                      <w:color w:val="auto"/>
                      <w:szCs w:val="21"/>
                      <w:lang w:eastAsia="zh-CN"/>
                    </w:rPr>
                    <w:t>。</w:t>
                  </w:r>
                </w:p>
              </w:tc>
              <w:tc>
                <w:tcPr>
                  <w:tcW w:w="680" w:type="dxa"/>
                  <w:vAlign w:val="center"/>
                </w:tcPr>
                <w:p w14:paraId="55B2FCAF">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rPr>
                    <w:t>符合</w:t>
                  </w:r>
                </w:p>
              </w:tc>
            </w:tr>
          </w:tbl>
          <w:p w14:paraId="3DE8EBF8">
            <w:pPr>
              <w:keepNext w:val="0"/>
              <w:keepLines w:val="0"/>
              <w:suppressLineNumbers w:val="0"/>
              <w:spacing w:before="0" w:beforeAutospacing="0" w:after="0" w:afterAutospacing="0" w:line="360" w:lineRule="auto"/>
              <w:ind w:left="0" w:right="0"/>
              <w:rPr>
                <w:rFonts w:hint="default" w:ascii="Times New Roman" w:hAnsi="Times New Roman" w:eastAsia="宋体" w:cs="Times New Roman"/>
                <w:b/>
                <w:bCs/>
                <w:color w:val="auto"/>
                <w:sz w:val="24"/>
              </w:rPr>
            </w:pPr>
            <w:r>
              <w:rPr>
                <w:rFonts w:hint="eastAsia" w:ascii="Times New Roman" w:hAnsi="Times New Roman" w:eastAsia="宋体" w:cs="Times New Roman"/>
                <w:b/>
                <w:bCs/>
                <w:color w:val="auto"/>
                <w:sz w:val="24"/>
                <w:lang w:val="en-US" w:eastAsia="zh-CN"/>
              </w:rPr>
              <w:t>1.2.11</w:t>
            </w:r>
            <w:r>
              <w:rPr>
                <w:rFonts w:hint="default" w:ascii="Times New Roman" w:hAnsi="Times New Roman" w:eastAsia="宋体" w:cs="Times New Roman"/>
                <w:b/>
                <w:bCs/>
                <w:color w:val="auto"/>
                <w:sz w:val="24"/>
              </w:rPr>
              <w:t>《浙江省工业企业恶臭异味管控技术指南（试行）》符合性分析</w:t>
            </w:r>
          </w:p>
          <w:p w14:paraId="75FCDAA1">
            <w:pPr>
              <w:keepNext w:val="0"/>
              <w:keepLines w:val="0"/>
              <w:suppressLineNumbers w:val="0"/>
              <w:spacing w:before="0" w:beforeAutospacing="0" w:after="0" w:afterAutospacing="0" w:line="360" w:lineRule="auto"/>
              <w:ind w:left="0" w:right="0" w:firstLine="480" w:firstLineChars="200"/>
              <w:rPr>
                <w:rFonts w:hint="default" w:ascii="Times New Roman" w:hAnsi="Times New Roman" w:eastAsia="宋体" w:cs="Times New Roman"/>
                <w:color w:val="auto"/>
                <w:sz w:val="24"/>
              </w:rPr>
            </w:pPr>
            <w:r>
              <w:rPr>
                <w:rFonts w:hint="eastAsia" w:ascii="Times New Roman" w:hAnsi="Times New Roman" w:eastAsia="宋体" w:cs="Times New Roman"/>
                <w:color w:val="auto"/>
                <w:sz w:val="24"/>
              </w:rPr>
              <w:t>为贯彻</w:t>
            </w:r>
            <w:r>
              <w:rPr>
                <w:rFonts w:hint="eastAsia" w:ascii="Times New Roman" w:hAnsi="Times New Roman" w:eastAsia="宋体" w:cs="Times New Roman"/>
                <w:color w:val="auto"/>
                <w:sz w:val="24"/>
                <w:lang w:val="en-US" w:eastAsia="zh-CN"/>
              </w:rPr>
              <w:t>《中华人民共和国生态环境法典》</w:t>
            </w:r>
            <w:r>
              <w:rPr>
                <w:rFonts w:hint="eastAsia" w:ascii="Times New Roman" w:hAnsi="Times New Roman" w:eastAsia="宋体" w:cs="Times New Roman"/>
                <w:color w:val="auto"/>
                <w:sz w:val="24"/>
                <w:lang w:eastAsia="zh-CN"/>
              </w:rPr>
              <w:t>、</w:t>
            </w:r>
            <w:r>
              <w:rPr>
                <w:rFonts w:hint="eastAsia" w:ascii="Times New Roman" w:hAnsi="Times New Roman" w:eastAsia="宋体" w:cs="Times New Roman"/>
                <w:color w:val="auto"/>
                <w:sz w:val="24"/>
              </w:rPr>
              <w:t>《浙江省大气污染防治条例》，加强工业企业恶臭异味（以下简称</w:t>
            </w:r>
            <w:r>
              <w:rPr>
                <w:rFonts w:hint="eastAsia" w:ascii="Times New Roman" w:hAnsi="Times New Roman" w:eastAsia="宋体" w:cs="Times New Roman"/>
                <w:color w:val="auto"/>
                <w:sz w:val="24"/>
                <w:lang w:eastAsia="zh-CN"/>
              </w:rPr>
              <w:t>“</w:t>
            </w:r>
            <w:r>
              <w:rPr>
                <w:rFonts w:hint="eastAsia" w:ascii="Times New Roman" w:hAnsi="Times New Roman" w:eastAsia="宋体" w:cs="Times New Roman"/>
                <w:color w:val="auto"/>
                <w:sz w:val="24"/>
              </w:rPr>
              <w:t>异味</w:t>
            </w:r>
            <w:r>
              <w:rPr>
                <w:rFonts w:hint="eastAsia" w:ascii="Times New Roman" w:hAnsi="Times New Roman" w:eastAsia="宋体" w:cs="Times New Roman"/>
                <w:color w:val="auto"/>
                <w:sz w:val="24"/>
                <w:lang w:eastAsia="zh-CN"/>
              </w:rPr>
              <w:t>”</w:t>
            </w:r>
            <w:r>
              <w:rPr>
                <w:rFonts w:hint="eastAsia" w:ascii="Times New Roman" w:hAnsi="Times New Roman" w:eastAsia="宋体" w:cs="Times New Roman"/>
                <w:color w:val="auto"/>
                <w:sz w:val="24"/>
              </w:rPr>
              <w:t>）管控，改善群众身边的</w:t>
            </w:r>
            <w:r>
              <w:rPr>
                <w:rFonts w:hint="eastAsia" w:ascii="Times New Roman" w:hAnsi="Times New Roman" w:eastAsia="宋体" w:cs="Times New Roman"/>
                <w:color w:val="0000E1"/>
                <w:sz w:val="24"/>
              </w:rPr>
              <w:t>生态环境质量，</w:t>
            </w:r>
            <w:r>
              <w:rPr>
                <w:rFonts w:hint="eastAsia" w:ascii="Times New Roman" w:hAnsi="Times New Roman" w:eastAsia="宋体" w:cs="Times New Roman"/>
                <w:color w:val="auto"/>
                <w:sz w:val="24"/>
              </w:rPr>
              <w:t>浙江省生态环境厅于2021年11月编制了《浙江省工业企业恶臭异味管控技术指南（试行）》，本评价结合企业实际情况，对照技术指南要求进行符合性分析，具体见</w:t>
            </w:r>
            <w:r>
              <w:rPr>
                <w:rFonts w:hint="eastAsia" w:ascii="Times New Roman" w:hAnsi="Times New Roman" w:eastAsia="宋体" w:cs="Times New Roman"/>
                <w:color w:val="auto"/>
                <w:sz w:val="24"/>
                <w:lang w:val="en-US" w:eastAsia="zh-CN"/>
              </w:rPr>
              <w:t>下表</w:t>
            </w:r>
            <w:r>
              <w:rPr>
                <w:rFonts w:hint="eastAsia" w:ascii="Times New Roman" w:hAnsi="Times New Roman" w:eastAsia="宋体" w:cs="Times New Roman"/>
                <w:color w:val="auto"/>
                <w:sz w:val="24"/>
              </w:rPr>
              <w:t>。</w:t>
            </w:r>
          </w:p>
          <w:p w14:paraId="37AD1E55">
            <w:pPr>
              <w:keepNext w:val="0"/>
              <w:keepLines w:val="0"/>
              <w:suppressLineNumbers w:val="0"/>
              <w:spacing w:before="0" w:beforeAutospacing="0" w:after="0" w:afterAutospacing="0"/>
              <w:ind w:left="0" w:right="0"/>
              <w:jc w:val="center"/>
              <w:rPr>
                <w:rFonts w:hint="default" w:ascii="Times New Roman" w:hAnsi="Times New Roman" w:eastAsia="宋体" w:cs="Times New Roman"/>
                <w:b/>
                <w:bCs/>
                <w:color w:val="auto"/>
              </w:rPr>
            </w:pPr>
            <w:r>
              <w:rPr>
                <w:rFonts w:hint="eastAsia" w:ascii="Times New Roman" w:hAnsi="Times New Roman" w:eastAsia="宋体" w:cs="Times New Roman"/>
                <w:b/>
                <w:bCs/>
                <w:color w:val="auto"/>
              </w:rPr>
              <w:t>表1-1</w:t>
            </w:r>
            <w:r>
              <w:rPr>
                <w:rFonts w:hint="eastAsia" w:ascii="Times New Roman" w:hAnsi="Times New Roman" w:eastAsia="宋体" w:cs="Times New Roman"/>
                <w:b/>
                <w:bCs/>
                <w:color w:val="auto"/>
                <w:lang w:val="en-US" w:eastAsia="zh-CN"/>
              </w:rPr>
              <w:t>7</w:t>
            </w:r>
            <w:r>
              <w:rPr>
                <w:rFonts w:hint="eastAsia" w:ascii="Times New Roman" w:hAnsi="Times New Roman" w:eastAsia="宋体" w:cs="Times New Roman"/>
                <w:b/>
                <w:bCs/>
                <w:color w:val="auto"/>
              </w:rPr>
              <w:t xml:space="preserve">  与《浙江省工业企业恶臭异味管控技术指南（试行）》符合性分析</w:t>
            </w:r>
          </w:p>
          <w:tbl>
            <w:tblPr>
              <w:tblStyle w:val="23"/>
              <w:tblW w:w="4997"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65"/>
              <w:gridCol w:w="663"/>
              <w:gridCol w:w="1082"/>
              <w:gridCol w:w="2611"/>
              <w:gridCol w:w="2493"/>
              <w:gridCol w:w="658"/>
            </w:tblGrid>
            <w:tr w14:paraId="5C3E32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291" w:type="pct"/>
                  <w:vAlign w:val="center"/>
                </w:tcPr>
                <w:p w14:paraId="4CABE659">
                  <w:pPr>
                    <w:pStyle w:val="3"/>
                    <w:keepNext w:val="0"/>
                    <w:keepLines w:val="0"/>
                    <w:suppressLineNumbers w:val="0"/>
                    <w:spacing w:before="0" w:after="0"/>
                    <w:ind w:left="0" w:right="0"/>
                    <w:jc w:val="center"/>
                    <w:rPr>
                      <w:rFonts w:hint="default" w:ascii="Times New Roman" w:hAnsi="Times New Roman" w:cs="Times New Roman"/>
                      <w:color w:val="auto"/>
                      <w:sz w:val="21"/>
                      <w:szCs w:val="21"/>
                    </w:rPr>
                  </w:pPr>
                  <w:r>
                    <w:rPr>
                      <w:rFonts w:hint="default" w:ascii="Times New Roman" w:hAnsi="Times New Roman" w:cs="Times New Roman"/>
                      <w:color w:val="auto"/>
                      <w:sz w:val="21"/>
                      <w:szCs w:val="21"/>
                    </w:rPr>
                    <w:t>序号</w:t>
                  </w:r>
                </w:p>
              </w:tc>
              <w:tc>
                <w:tcPr>
                  <w:tcW w:w="416" w:type="pct"/>
                  <w:vAlign w:val="center"/>
                </w:tcPr>
                <w:p w14:paraId="708E8027">
                  <w:pPr>
                    <w:pStyle w:val="3"/>
                    <w:keepNext w:val="0"/>
                    <w:keepLines w:val="0"/>
                    <w:suppressLineNumbers w:val="0"/>
                    <w:spacing w:before="0" w:after="0"/>
                    <w:ind w:left="0" w:right="0"/>
                    <w:jc w:val="center"/>
                    <w:rPr>
                      <w:rFonts w:hint="default" w:ascii="Times New Roman" w:hAnsi="Times New Roman" w:cs="Times New Roman"/>
                      <w:color w:val="auto"/>
                      <w:sz w:val="21"/>
                      <w:szCs w:val="21"/>
                    </w:rPr>
                  </w:pPr>
                  <w:r>
                    <w:rPr>
                      <w:rFonts w:hint="default" w:ascii="Times New Roman" w:hAnsi="Times New Roman" w:cs="Times New Roman"/>
                      <w:color w:val="auto"/>
                      <w:sz w:val="21"/>
                      <w:szCs w:val="21"/>
                    </w:rPr>
                    <w:t>排查重点</w:t>
                  </w:r>
                </w:p>
              </w:tc>
              <w:tc>
                <w:tcPr>
                  <w:tcW w:w="678" w:type="pct"/>
                  <w:vAlign w:val="center"/>
                </w:tcPr>
                <w:p w14:paraId="2C161B17">
                  <w:pPr>
                    <w:pStyle w:val="3"/>
                    <w:keepNext w:val="0"/>
                    <w:keepLines w:val="0"/>
                    <w:suppressLineNumbers w:val="0"/>
                    <w:spacing w:before="0" w:after="0"/>
                    <w:ind w:left="0" w:right="0"/>
                    <w:jc w:val="center"/>
                    <w:rPr>
                      <w:rFonts w:hint="default" w:ascii="Times New Roman" w:hAnsi="Times New Roman" w:cs="Times New Roman"/>
                      <w:color w:val="auto"/>
                      <w:sz w:val="21"/>
                      <w:szCs w:val="21"/>
                    </w:rPr>
                  </w:pPr>
                  <w:r>
                    <w:rPr>
                      <w:rFonts w:hint="default" w:ascii="Times New Roman" w:hAnsi="Times New Roman" w:cs="Times New Roman"/>
                      <w:color w:val="auto"/>
                      <w:sz w:val="21"/>
                      <w:szCs w:val="21"/>
                    </w:rPr>
                    <w:t>存在的突出问题</w:t>
                  </w:r>
                </w:p>
              </w:tc>
              <w:tc>
                <w:tcPr>
                  <w:tcW w:w="1637" w:type="pct"/>
                  <w:vAlign w:val="center"/>
                </w:tcPr>
                <w:p w14:paraId="5F41F749">
                  <w:pPr>
                    <w:pStyle w:val="3"/>
                    <w:keepNext w:val="0"/>
                    <w:keepLines w:val="0"/>
                    <w:suppressLineNumbers w:val="0"/>
                    <w:spacing w:before="0" w:after="0"/>
                    <w:ind w:left="0" w:right="0"/>
                    <w:jc w:val="center"/>
                    <w:rPr>
                      <w:rFonts w:hint="default" w:ascii="Times New Roman" w:hAnsi="Times New Roman" w:cs="Times New Roman"/>
                      <w:color w:val="auto"/>
                      <w:sz w:val="21"/>
                      <w:szCs w:val="21"/>
                    </w:rPr>
                  </w:pPr>
                  <w:r>
                    <w:rPr>
                      <w:rFonts w:hint="default" w:ascii="Times New Roman" w:hAnsi="Times New Roman" w:cs="Times New Roman"/>
                      <w:color w:val="auto"/>
                      <w:sz w:val="21"/>
                      <w:szCs w:val="21"/>
                    </w:rPr>
                    <w:t>防治措施</w:t>
                  </w:r>
                </w:p>
              </w:tc>
              <w:tc>
                <w:tcPr>
                  <w:tcW w:w="1563" w:type="pct"/>
                  <w:vAlign w:val="center"/>
                </w:tcPr>
                <w:p w14:paraId="7E511737">
                  <w:pPr>
                    <w:pStyle w:val="3"/>
                    <w:keepNext w:val="0"/>
                    <w:keepLines w:val="0"/>
                    <w:suppressLineNumbers w:val="0"/>
                    <w:spacing w:before="0" w:after="0"/>
                    <w:ind w:left="0" w:right="0"/>
                    <w:jc w:val="center"/>
                    <w:rPr>
                      <w:rFonts w:hint="default" w:ascii="Times New Roman" w:hAnsi="Times New Roman" w:cs="Times New Roman"/>
                      <w:color w:val="auto"/>
                      <w:sz w:val="21"/>
                      <w:szCs w:val="21"/>
                    </w:rPr>
                  </w:pPr>
                  <w:r>
                    <w:rPr>
                      <w:rFonts w:hint="default" w:ascii="Times New Roman" w:hAnsi="Times New Roman" w:cs="Times New Roman"/>
                      <w:color w:val="auto"/>
                      <w:sz w:val="21"/>
                      <w:szCs w:val="21"/>
                    </w:rPr>
                    <w:t>企业情况</w:t>
                  </w:r>
                </w:p>
              </w:tc>
              <w:tc>
                <w:tcPr>
                  <w:tcW w:w="412" w:type="pct"/>
                  <w:vAlign w:val="center"/>
                </w:tcPr>
                <w:p w14:paraId="736205BE">
                  <w:pPr>
                    <w:pStyle w:val="3"/>
                    <w:keepNext w:val="0"/>
                    <w:keepLines w:val="0"/>
                    <w:suppressLineNumbers w:val="0"/>
                    <w:spacing w:before="0" w:after="0"/>
                    <w:ind w:left="0" w:right="0"/>
                    <w:jc w:val="center"/>
                    <w:rPr>
                      <w:rFonts w:hint="default" w:ascii="Times New Roman" w:hAnsi="Times New Roman" w:cs="Times New Roman"/>
                      <w:color w:val="auto"/>
                      <w:sz w:val="21"/>
                      <w:szCs w:val="21"/>
                    </w:rPr>
                  </w:pPr>
                  <w:r>
                    <w:rPr>
                      <w:rFonts w:hint="default" w:ascii="Times New Roman" w:hAnsi="Times New Roman" w:cs="Times New Roman"/>
                      <w:color w:val="auto"/>
                      <w:sz w:val="21"/>
                      <w:szCs w:val="21"/>
                    </w:rPr>
                    <w:t>是否符合</w:t>
                  </w:r>
                </w:p>
              </w:tc>
            </w:tr>
            <w:tr w14:paraId="7DBF8B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5000" w:type="pct"/>
                  <w:gridSpan w:val="6"/>
                  <w:vAlign w:val="center"/>
                </w:tcPr>
                <w:p w14:paraId="1D416919">
                  <w:pPr>
                    <w:pStyle w:val="3"/>
                    <w:keepNext w:val="0"/>
                    <w:keepLines w:val="0"/>
                    <w:suppressLineNumbers w:val="0"/>
                    <w:spacing w:before="0" w:after="0"/>
                    <w:ind w:left="0" w:right="0"/>
                    <w:jc w:val="center"/>
                    <w:rPr>
                      <w:rFonts w:hint="default" w:ascii="Times New Roman" w:hAnsi="Times New Roman" w:cs="Times New Roman"/>
                      <w:color w:val="auto"/>
                      <w:sz w:val="21"/>
                      <w:szCs w:val="21"/>
                    </w:rPr>
                  </w:pPr>
                  <w:r>
                    <w:rPr>
                      <w:rFonts w:hint="default" w:ascii="Times New Roman" w:hAnsi="Times New Roman" w:cs="Times New Roman"/>
                      <w:color w:val="auto"/>
                      <w:sz w:val="21"/>
                      <w:szCs w:val="21"/>
                    </w:rPr>
                    <w:t>塑料行业</w:t>
                  </w:r>
                </w:p>
              </w:tc>
            </w:tr>
            <w:tr w14:paraId="63F69E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291" w:type="pct"/>
                  <w:vAlign w:val="center"/>
                </w:tcPr>
                <w:p w14:paraId="6D9DB23F">
                  <w:pPr>
                    <w:keepNext w:val="0"/>
                    <w:keepLines w:val="0"/>
                    <w:widowControl/>
                    <w:suppressLineNumbers w:val="0"/>
                    <w:spacing w:before="0" w:beforeAutospacing="0" w:after="0" w:afterAutospacing="0"/>
                    <w:ind w:left="0" w:right="0"/>
                    <w:jc w:val="center"/>
                    <w:rPr>
                      <w:rFonts w:hint="default" w:ascii="Times New Roman" w:hAnsi="Times New Roman" w:eastAsia="宋体" w:cs="Times New Roman"/>
                      <w:color w:val="auto"/>
                      <w:kern w:val="0"/>
                      <w:szCs w:val="21"/>
                      <w:lang w:bidi="ar"/>
                    </w:rPr>
                  </w:pPr>
                  <w:r>
                    <w:rPr>
                      <w:rFonts w:hint="default" w:ascii="Times New Roman" w:hAnsi="Times New Roman" w:eastAsia="宋体" w:cs="Times New Roman"/>
                      <w:color w:val="auto"/>
                      <w:kern w:val="0"/>
                      <w:szCs w:val="21"/>
                      <w:lang w:bidi="ar"/>
                    </w:rPr>
                    <w:t>1</w:t>
                  </w:r>
                </w:p>
              </w:tc>
              <w:tc>
                <w:tcPr>
                  <w:tcW w:w="416" w:type="pct"/>
                  <w:vAlign w:val="center"/>
                </w:tcPr>
                <w:p w14:paraId="6D72E9BF">
                  <w:pPr>
                    <w:keepNext w:val="0"/>
                    <w:keepLines w:val="0"/>
                    <w:widowControl/>
                    <w:suppressLineNumbers w:val="0"/>
                    <w:spacing w:before="0" w:beforeAutospacing="0" w:after="0" w:afterAutospacing="0"/>
                    <w:ind w:left="0" w:right="0"/>
                    <w:jc w:val="center"/>
                    <w:rPr>
                      <w:rFonts w:hint="default" w:ascii="Times New Roman" w:hAnsi="Times New Roman" w:eastAsia="宋体" w:cs="Times New Roman"/>
                      <w:color w:val="auto"/>
                      <w:kern w:val="0"/>
                      <w:szCs w:val="21"/>
                      <w:lang w:bidi="ar"/>
                    </w:rPr>
                  </w:pPr>
                  <w:r>
                    <w:rPr>
                      <w:rFonts w:hint="default" w:ascii="Times New Roman" w:hAnsi="Times New Roman" w:eastAsia="宋体" w:cs="Times New Roman"/>
                      <w:color w:val="auto"/>
                      <w:kern w:val="0"/>
                      <w:szCs w:val="21"/>
                      <w:lang w:bidi="ar"/>
                    </w:rPr>
                    <w:t>生产工艺环保先进性</w:t>
                  </w:r>
                </w:p>
              </w:tc>
              <w:tc>
                <w:tcPr>
                  <w:tcW w:w="678" w:type="pct"/>
                  <w:vAlign w:val="center"/>
                </w:tcPr>
                <w:p w14:paraId="1D86FA43">
                  <w:pPr>
                    <w:keepNext w:val="0"/>
                    <w:keepLines w:val="0"/>
                    <w:widowControl/>
                    <w:suppressLineNumbers w:val="0"/>
                    <w:spacing w:before="0" w:beforeAutospacing="0" w:after="0" w:afterAutospacing="0"/>
                    <w:ind w:left="0" w:right="0"/>
                    <w:jc w:val="center"/>
                    <w:rPr>
                      <w:rFonts w:hint="default" w:ascii="Times New Roman" w:hAnsi="Times New Roman" w:eastAsia="宋体" w:cs="Times New Roman"/>
                      <w:color w:val="auto"/>
                      <w:kern w:val="0"/>
                      <w:szCs w:val="21"/>
                      <w:lang w:bidi="ar"/>
                    </w:rPr>
                  </w:pPr>
                  <w:r>
                    <w:rPr>
                      <w:rFonts w:hint="default" w:ascii="Times New Roman" w:hAnsi="Times New Roman" w:eastAsia="宋体" w:cs="Times New Roman"/>
                      <w:color w:val="auto"/>
                      <w:kern w:val="0"/>
                      <w:szCs w:val="21"/>
                      <w:lang w:bidi="ar"/>
                    </w:rPr>
                    <w:t>风冷设备导致废气风量过大</w:t>
                  </w:r>
                </w:p>
              </w:tc>
              <w:tc>
                <w:tcPr>
                  <w:tcW w:w="1637" w:type="pct"/>
                  <w:vAlign w:val="center"/>
                </w:tcPr>
                <w:p w14:paraId="269FAC64">
                  <w:pPr>
                    <w:keepNext w:val="0"/>
                    <w:keepLines w:val="0"/>
                    <w:widowControl/>
                    <w:suppressLineNumbers w:val="0"/>
                    <w:spacing w:before="0" w:beforeAutospacing="0" w:after="0" w:afterAutospacing="0"/>
                    <w:ind w:left="0" w:right="0"/>
                    <w:jc w:val="center"/>
                    <w:rPr>
                      <w:rFonts w:hint="default" w:ascii="Times New Roman" w:hAnsi="Times New Roman" w:eastAsia="宋体" w:cs="Times New Roman"/>
                      <w:color w:val="auto"/>
                      <w:kern w:val="0"/>
                      <w:szCs w:val="21"/>
                      <w:lang w:bidi="ar"/>
                    </w:rPr>
                  </w:pPr>
                  <w:r>
                    <w:rPr>
                      <w:rFonts w:hint="default" w:ascii="Times New Roman" w:hAnsi="Times New Roman" w:eastAsia="宋体" w:cs="Times New Roman"/>
                      <w:color w:val="auto"/>
                      <w:kern w:val="0"/>
                      <w:szCs w:val="21"/>
                      <w:lang w:bidi="ar"/>
                    </w:rPr>
                    <w:t>采用水冷替代技术，减少使用或完全替代风冷设备</w:t>
                  </w:r>
                </w:p>
              </w:tc>
              <w:tc>
                <w:tcPr>
                  <w:tcW w:w="1563" w:type="pct"/>
                  <w:vAlign w:val="center"/>
                </w:tcPr>
                <w:p w14:paraId="5F7CB91F">
                  <w:pPr>
                    <w:keepNext w:val="0"/>
                    <w:keepLines w:val="0"/>
                    <w:widowControl/>
                    <w:suppressLineNumbers w:val="0"/>
                    <w:spacing w:before="0" w:beforeAutospacing="0" w:after="0" w:afterAutospacing="0"/>
                    <w:ind w:left="0" w:right="0"/>
                    <w:jc w:val="center"/>
                    <w:rPr>
                      <w:rFonts w:hint="default" w:ascii="Times New Roman" w:hAnsi="Times New Roman" w:eastAsia="宋体" w:cs="Times New Roman"/>
                      <w:color w:val="auto"/>
                      <w:kern w:val="0"/>
                      <w:szCs w:val="21"/>
                      <w:lang w:bidi="ar"/>
                    </w:rPr>
                  </w:pPr>
                  <w:r>
                    <w:rPr>
                      <w:rFonts w:hint="default" w:ascii="Times New Roman" w:hAnsi="Times New Roman" w:eastAsia="宋体" w:cs="Times New Roman"/>
                      <w:color w:val="auto"/>
                      <w:kern w:val="0"/>
                      <w:szCs w:val="21"/>
                      <w:lang w:val="en-US" w:eastAsia="zh-CN" w:bidi="ar"/>
                    </w:rPr>
                    <w:t>本项目采用水冷技术。间接冷却水循环使用不排放，只需定期补充新鲜水。</w:t>
                  </w:r>
                </w:p>
              </w:tc>
              <w:tc>
                <w:tcPr>
                  <w:tcW w:w="412" w:type="pct"/>
                  <w:vAlign w:val="center"/>
                </w:tcPr>
                <w:p w14:paraId="1B2FB7A5">
                  <w:pPr>
                    <w:keepNext w:val="0"/>
                    <w:keepLines w:val="0"/>
                    <w:widowControl/>
                    <w:suppressLineNumbers w:val="0"/>
                    <w:spacing w:before="0" w:beforeAutospacing="0" w:after="0" w:afterAutospacing="0"/>
                    <w:ind w:left="0" w:right="0"/>
                    <w:jc w:val="center"/>
                    <w:rPr>
                      <w:rFonts w:hint="default" w:ascii="Times New Roman" w:hAnsi="Times New Roman" w:eastAsia="宋体" w:cs="Times New Roman"/>
                      <w:color w:val="auto"/>
                      <w:kern w:val="0"/>
                      <w:szCs w:val="21"/>
                      <w:lang w:bidi="ar"/>
                    </w:rPr>
                  </w:pPr>
                  <w:r>
                    <w:rPr>
                      <w:rFonts w:hint="default" w:ascii="Times New Roman" w:hAnsi="Times New Roman" w:eastAsia="宋体" w:cs="Times New Roman"/>
                      <w:color w:val="auto"/>
                      <w:kern w:val="0"/>
                      <w:szCs w:val="21"/>
                      <w:lang w:bidi="ar"/>
                    </w:rPr>
                    <w:t>符合</w:t>
                  </w:r>
                </w:p>
              </w:tc>
            </w:tr>
            <w:tr w14:paraId="7118BE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291" w:type="pct"/>
                  <w:vAlign w:val="center"/>
                </w:tcPr>
                <w:p w14:paraId="1C5DD200">
                  <w:pPr>
                    <w:pStyle w:val="3"/>
                    <w:keepNext w:val="0"/>
                    <w:keepLines w:val="0"/>
                    <w:suppressLineNumbers w:val="0"/>
                    <w:spacing w:before="0" w:after="0"/>
                    <w:ind w:left="0" w:right="0"/>
                    <w:jc w:val="center"/>
                    <w:rPr>
                      <w:rFonts w:hint="default" w:ascii="Times New Roman" w:hAnsi="Times New Roman" w:cs="Times New Roman"/>
                      <w:b w:val="0"/>
                      <w:bCs w:val="0"/>
                      <w:color w:val="auto"/>
                      <w:sz w:val="21"/>
                      <w:szCs w:val="21"/>
                    </w:rPr>
                  </w:pPr>
                  <w:r>
                    <w:rPr>
                      <w:rFonts w:hint="default" w:ascii="Times New Roman" w:hAnsi="Times New Roman" w:cs="Times New Roman"/>
                      <w:b w:val="0"/>
                      <w:bCs w:val="0"/>
                      <w:color w:val="auto"/>
                      <w:sz w:val="21"/>
                      <w:szCs w:val="21"/>
                    </w:rPr>
                    <w:t>2</w:t>
                  </w:r>
                </w:p>
              </w:tc>
              <w:tc>
                <w:tcPr>
                  <w:tcW w:w="416" w:type="pct"/>
                  <w:vAlign w:val="center"/>
                </w:tcPr>
                <w:p w14:paraId="33953AA3">
                  <w:pPr>
                    <w:keepNext w:val="0"/>
                    <w:keepLines w:val="0"/>
                    <w:widowControl/>
                    <w:suppressLineNumbers w:val="0"/>
                    <w:spacing w:before="0" w:beforeAutospacing="0" w:after="0" w:afterAutospacing="0"/>
                    <w:ind w:left="0" w:right="0"/>
                    <w:jc w:val="center"/>
                    <w:rPr>
                      <w:rFonts w:hint="default" w:ascii="Times New Roman" w:hAnsi="Times New Roman" w:eastAsia="宋体" w:cs="Times New Roman"/>
                      <w:color w:val="auto"/>
                      <w:szCs w:val="21"/>
                    </w:rPr>
                  </w:pPr>
                  <w:r>
                    <w:rPr>
                      <w:rFonts w:hint="default" w:ascii="Times New Roman" w:hAnsi="Times New Roman" w:eastAsia="宋体" w:cs="Times New Roman"/>
                      <w:color w:val="auto"/>
                      <w:kern w:val="0"/>
                      <w:szCs w:val="21"/>
                      <w:lang w:bidi="ar"/>
                    </w:rPr>
                    <w:t>生产设施密闭性</w:t>
                  </w:r>
                </w:p>
              </w:tc>
              <w:tc>
                <w:tcPr>
                  <w:tcW w:w="678" w:type="pct"/>
                  <w:vAlign w:val="center"/>
                </w:tcPr>
                <w:p w14:paraId="5375A0EE">
                  <w:pPr>
                    <w:keepNext w:val="0"/>
                    <w:keepLines w:val="0"/>
                    <w:widowControl/>
                    <w:suppressLineNumbers w:val="0"/>
                    <w:spacing w:before="0" w:beforeAutospacing="0" w:after="0" w:afterAutospacing="0"/>
                    <w:ind w:left="0" w:right="0"/>
                    <w:jc w:val="center"/>
                    <w:rPr>
                      <w:rFonts w:hint="default" w:ascii="Times New Roman" w:hAnsi="Times New Roman" w:eastAsia="宋体" w:cs="Times New Roman"/>
                      <w:color w:val="auto"/>
                      <w:szCs w:val="21"/>
                    </w:rPr>
                  </w:pPr>
                  <w:r>
                    <w:rPr>
                      <w:rFonts w:hint="default" w:ascii="Times New Roman" w:hAnsi="Times New Roman" w:eastAsia="宋体" w:cs="Times New Roman"/>
                      <w:color w:val="auto"/>
                      <w:kern w:val="0"/>
                      <w:szCs w:val="21"/>
                      <w:lang w:bidi="ar"/>
                    </w:rPr>
                    <w:t>生产线密闭性能差</w:t>
                  </w:r>
                </w:p>
              </w:tc>
              <w:tc>
                <w:tcPr>
                  <w:tcW w:w="1637" w:type="pct"/>
                  <w:vAlign w:val="center"/>
                </w:tcPr>
                <w:p w14:paraId="5AC5AA27">
                  <w:pPr>
                    <w:keepNext w:val="0"/>
                    <w:keepLines w:val="0"/>
                    <w:widowControl/>
                    <w:suppressLineNumbers w:val="0"/>
                    <w:spacing w:before="0" w:beforeAutospacing="0" w:after="0" w:afterAutospacing="0"/>
                    <w:ind w:left="0" w:right="0"/>
                    <w:jc w:val="center"/>
                    <w:rPr>
                      <w:rFonts w:hint="default" w:ascii="Times New Roman" w:hAnsi="Times New Roman" w:eastAsia="宋体" w:cs="Times New Roman"/>
                      <w:color w:val="auto"/>
                      <w:szCs w:val="21"/>
                    </w:rPr>
                  </w:pPr>
                  <w:r>
                    <w:rPr>
                      <w:rFonts w:hint="default" w:ascii="Times New Roman" w:hAnsi="Times New Roman" w:eastAsia="宋体" w:cs="Times New Roman"/>
                      <w:color w:val="auto"/>
                      <w:kern w:val="0"/>
                      <w:szCs w:val="21"/>
                      <w:lang w:bidi="ar"/>
                    </w:rPr>
                    <w:t>造粒、成型等工序废气，可采取整体或局部气体收集措施</w:t>
                  </w:r>
                </w:p>
              </w:tc>
              <w:tc>
                <w:tcPr>
                  <w:tcW w:w="1563" w:type="pct"/>
                  <w:vMerge w:val="restart"/>
                  <w:shd w:val="clear" w:color="auto" w:fill="auto"/>
                  <w:vAlign w:val="center"/>
                </w:tcPr>
                <w:p w14:paraId="6F1D6C2C">
                  <w:pPr>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color w:val="auto"/>
                      <w:kern w:val="2"/>
                      <w:sz w:val="21"/>
                      <w:szCs w:val="21"/>
                      <w:lang w:val="en-US" w:eastAsia="zh-CN" w:bidi="ar-SA"/>
                    </w:rPr>
                  </w:pPr>
                  <w:r>
                    <w:rPr>
                      <w:rFonts w:hint="default" w:ascii="Times New Roman" w:hAnsi="Times New Roman" w:eastAsia="宋体" w:cs="Times New Roman"/>
                      <w:color w:val="auto"/>
                      <w:szCs w:val="21"/>
                      <w:lang w:val="en-US" w:eastAsia="zh-CN"/>
                    </w:rPr>
                    <w:t>本项目烘烤固化工序均为全密闭设备，在烘道进出口设置全密闭风罩，仅留进出口通道；本项目背胶贴合区整体密闭，在生产车间进行整体抽风，仅设置一个进出口，在非必要情况下也必须处于关闭状态，使生产车间整体处于相对密闭状态；本项目立式液态射出成型机运行过程保持加热段和成型段密闭，因此，废气仅在其物料完成成型工艺的出口散发，故拟在物料出口上方设置集气罩，以上废气经收集后通过一套水喷淋+干式过滤+二级活性炭吸附装置（TA001）处理，尾气由一根26m高的排气筒DA001排放。</w:t>
                  </w:r>
                </w:p>
              </w:tc>
              <w:tc>
                <w:tcPr>
                  <w:tcW w:w="412" w:type="pct"/>
                  <w:vAlign w:val="center"/>
                </w:tcPr>
                <w:p w14:paraId="6133C618">
                  <w:pPr>
                    <w:pStyle w:val="3"/>
                    <w:keepNext w:val="0"/>
                    <w:keepLines w:val="0"/>
                    <w:suppressLineNumbers w:val="0"/>
                    <w:spacing w:before="0" w:after="0"/>
                    <w:ind w:left="0" w:right="0"/>
                    <w:jc w:val="center"/>
                    <w:rPr>
                      <w:rFonts w:hint="default" w:ascii="Times New Roman" w:hAnsi="Times New Roman" w:cs="Times New Roman"/>
                      <w:b w:val="0"/>
                      <w:bCs w:val="0"/>
                      <w:color w:val="auto"/>
                      <w:sz w:val="21"/>
                      <w:szCs w:val="21"/>
                    </w:rPr>
                  </w:pPr>
                  <w:r>
                    <w:rPr>
                      <w:rFonts w:hint="default" w:ascii="Times New Roman" w:hAnsi="Times New Roman" w:cs="Times New Roman"/>
                      <w:b w:val="0"/>
                      <w:bCs w:val="0"/>
                      <w:color w:val="auto"/>
                      <w:sz w:val="21"/>
                      <w:szCs w:val="21"/>
                    </w:rPr>
                    <w:t>符合</w:t>
                  </w:r>
                </w:p>
              </w:tc>
            </w:tr>
            <w:tr w14:paraId="0B9BCC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291" w:type="pct"/>
                  <w:vAlign w:val="center"/>
                </w:tcPr>
                <w:p w14:paraId="5039C102">
                  <w:pPr>
                    <w:pStyle w:val="3"/>
                    <w:keepNext w:val="0"/>
                    <w:keepLines w:val="0"/>
                    <w:suppressLineNumbers w:val="0"/>
                    <w:spacing w:before="0" w:after="0"/>
                    <w:ind w:left="0" w:right="0"/>
                    <w:jc w:val="center"/>
                    <w:rPr>
                      <w:rFonts w:hint="default" w:ascii="Times New Roman" w:hAnsi="Times New Roman" w:cs="Times New Roman"/>
                      <w:b w:val="0"/>
                      <w:bCs w:val="0"/>
                      <w:color w:val="auto"/>
                      <w:sz w:val="21"/>
                      <w:szCs w:val="21"/>
                    </w:rPr>
                  </w:pPr>
                  <w:r>
                    <w:rPr>
                      <w:rFonts w:hint="default" w:ascii="Times New Roman" w:hAnsi="Times New Roman" w:cs="Times New Roman"/>
                      <w:b w:val="0"/>
                      <w:bCs w:val="0"/>
                      <w:color w:val="auto"/>
                      <w:sz w:val="21"/>
                      <w:szCs w:val="21"/>
                    </w:rPr>
                    <w:t>3</w:t>
                  </w:r>
                </w:p>
              </w:tc>
              <w:tc>
                <w:tcPr>
                  <w:tcW w:w="416" w:type="pct"/>
                  <w:vAlign w:val="center"/>
                </w:tcPr>
                <w:p w14:paraId="3F46962F">
                  <w:pPr>
                    <w:keepNext w:val="0"/>
                    <w:keepLines w:val="0"/>
                    <w:widowControl/>
                    <w:suppressLineNumbers w:val="0"/>
                    <w:spacing w:before="0" w:beforeAutospacing="0" w:after="0" w:afterAutospacing="0"/>
                    <w:ind w:left="0" w:right="0"/>
                    <w:jc w:val="center"/>
                    <w:rPr>
                      <w:rFonts w:hint="default" w:ascii="Times New Roman" w:hAnsi="Times New Roman" w:eastAsia="宋体" w:cs="Times New Roman"/>
                      <w:color w:val="auto"/>
                      <w:szCs w:val="21"/>
                    </w:rPr>
                  </w:pPr>
                  <w:r>
                    <w:rPr>
                      <w:rFonts w:hint="default" w:ascii="Times New Roman" w:hAnsi="Times New Roman" w:eastAsia="宋体" w:cs="Times New Roman"/>
                      <w:color w:val="auto"/>
                      <w:kern w:val="0"/>
                      <w:szCs w:val="21"/>
                      <w:lang w:bidi="ar"/>
                    </w:rPr>
                    <w:t>废气收集方式</w:t>
                  </w:r>
                </w:p>
              </w:tc>
              <w:tc>
                <w:tcPr>
                  <w:tcW w:w="678" w:type="pct"/>
                  <w:vAlign w:val="center"/>
                </w:tcPr>
                <w:p w14:paraId="1D3B6DEA">
                  <w:pPr>
                    <w:keepNext w:val="0"/>
                    <w:keepLines w:val="0"/>
                    <w:widowControl/>
                    <w:suppressLineNumbers w:val="0"/>
                    <w:spacing w:before="0" w:beforeAutospacing="0" w:after="0" w:afterAutospacing="0"/>
                    <w:ind w:left="0" w:right="0"/>
                    <w:jc w:val="center"/>
                    <w:rPr>
                      <w:rFonts w:hint="default" w:ascii="Times New Roman" w:hAnsi="Times New Roman" w:eastAsia="宋体" w:cs="Times New Roman"/>
                      <w:color w:val="auto"/>
                      <w:szCs w:val="21"/>
                    </w:rPr>
                  </w:pPr>
                  <w:r>
                    <w:rPr>
                      <w:rFonts w:hint="default" w:ascii="Times New Roman" w:hAnsi="Times New Roman" w:eastAsia="宋体" w:cs="Times New Roman"/>
                      <w:color w:val="auto"/>
                      <w:kern w:val="0"/>
                      <w:szCs w:val="21"/>
                      <w:lang w:bidi="ar"/>
                    </w:rPr>
                    <w:t>①密闭换风区域过大导致大风量、低浓度废气；</w:t>
                  </w:r>
                </w:p>
                <w:p w14:paraId="1CB0D9BB">
                  <w:pPr>
                    <w:keepNext w:val="0"/>
                    <w:keepLines w:val="0"/>
                    <w:widowControl/>
                    <w:suppressLineNumbers w:val="0"/>
                    <w:spacing w:before="0" w:beforeAutospacing="0" w:after="0" w:afterAutospacing="0"/>
                    <w:ind w:left="0" w:right="0"/>
                    <w:jc w:val="center"/>
                    <w:rPr>
                      <w:rFonts w:hint="default" w:ascii="Times New Roman" w:hAnsi="Times New Roman" w:eastAsia="宋体" w:cs="Times New Roman"/>
                      <w:color w:val="auto"/>
                      <w:szCs w:val="21"/>
                    </w:rPr>
                  </w:pPr>
                  <w:r>
                    <w:rPr>
                      <w:rFonts w:hint="default" w:ascii="Times New Roman" w:hAnsi="Times New Roman" w:eastAsia="宋体" w:cs="Times New Roman"/>
                      <w:color w:val="auto"/>
                      <w:kern w:val="0"/>
                      <w:szCs w:val="21"/>
                      <w:lang w:bidi="ar"/>
                    </w:rPr>
                    <w:t>②集气罩控制风速达不到标准要求</w:t>
                  </w:r>
                </w:p>
              </w:tc>
              <w:tc>
                <w:tcPr>
                  <w:tcW w:w="1637" w:type="pct"/>
                  <w:vAlign w:val="center"/>
                </w:tcPr>
                <w:p w14:paraId="30A1FDC8">
                  <w:pPr>
                    <w:keepNext w:val="0"/>
                    <w:keepLines w:val="0"/>
                    <w:widowControl/>
                    <w:suppressLineNumbers w:val="0"/>
                    <w:spacing w:before="0" w:beforeAutospacing="0" w:after="0" w:afterAutospacing="0"/>
                    <w:ind w:left="0" w:right="0"/>
                    <w:jc w:val="center"/>
                    <w:rPr>
                      <w:rFonts w:hint="default" w:ascii="Times New Roman" w:hAnsi="Times New Roman" w:eastAsia="宋体" w:cs="Times New Roman"/>
                      <w:color w:val="auto"/>
                      <w:szCs w:val="21"/>
                    </w:rPr>
                  </w:pPr>
                  <w:r>
                    <w:rPr>
                      <w:rFonts w:hint="default" w:ascii="Times New Roman" w:hAnsi="Times New Roman" w:eastAsia="宋体" w:cs="Times New Roman"/>
                      <w:color w:val="auto"/>
                      <w:kern w:val="0"/>
                      <w:szCs w:val="21"/>
                      <w:lang w:bidi="ar"/>
                    </w:rPr>
                    <w:t>采取局部气体收集措施的，废气产生点位控制风速不低于0.3m/s</w:t>
                  </w:r>
                </w:p>
              </w:tc>
              <w:tc>
                <w:tcPr>
                  <w:tcW w:w="1563" w:type="pct"/>
                  <w:vMerge w:val="continue"/>
                  <w:vAlign w:val="center"/>
                </w:tcPr>
                <w:p w14:paraId="6D9553C4">
                  <w:pPr>
                    <w:keepNext w:val="0"/>
                    <w:keepLines w:val="0"/>
                    <w:widowControl/>
                    <w:suppressLineNumbers w:val="0"/>
                    <w:spacing w:before="0" w:beforeAutospacing="0" w:after="0" w:afterAutospacing="0"/>
                    <w:ind w:left="0" w:right="0"/>
                    <w:jc w:val="center"/>
                    <w:rPr>
                      <w:rFonts w:hint="default" w:ascii="Times New Roman" w:hAnsi="Times New Roman" w:eastAsia="宋体" w:cs="Times New Roman"/>
                      <w:color w:val="auto"/>
                      <w:kern w:val="0"/>
                      <w:szCs w:val="21"/>
                      <w:lang w:bidi="ar"/>
                    </w:rPr>
                  </w:pPr>
                </w:p>
              </w:tc>
              <w:tc>
                <w:tcPr>
                  <w:tcW w:w="412" w:type="pct"/>
                  <w:vAlign w:val="center"/>
                </w:tcPr>
                <w:p w14:paraId="6DBC5E72">
                  <w:pPr>
                    <w:pStyle w:val="3"/>
                    <w:keepNext w:val="0"/>
                    <w:keepLines w:val="0"/>
                    <w:suppressLineNumbers w:val="0"/>
                    <w:spacing w:before="0" w:after="0"/>
                    <w:ind w:left="0" w:right="0"/>
                    <w:jc w:val="center"/>
                    <w:rPr>
                      <w:rFonts w:hint="default" w:ascii="Times New Roman" w:hAnsi="Times New Roman" w:cs="Times New Roman"/>
                      <w:b w:val="0"/>
                      <w:bCs w:val="0"/>
                      <w:color w:val="auto"/>
                      <w:sz w:val="21"/>
                      <w:szCs w:val="21"/>
                    </w:rPr>
                  </w:pPr>
                  <w:r>
                    <w:rPr>
                      <w:rFonts w:hint="default" w:ascii="Times New Roman" w:hAnsi="Times New Roman" w:cs="Times New Roman"/>
                      <w:b w:val="0"/>
                      <w:bCs w:val="0"/>
                      <w:color w:val="auto"/>
                      <w:sz w:val="21"/>
                      <w:szCs w:val="21"/>
                    </w:rPr>
                    <w:t>符合</w:t>
                  </w:r>
                </w:p>
              </w:tc>
            </w:tr>
            <w:tr w14:paraId="29E338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291" w:type="pct"/>
                  <w:vAlign w:val="center"/>
                </w:tcPr>
                <w:p w14:paraId="7D33DDE5">
                  <w:pPr>
                    <w:pStyle w:val="3"/>
                    <w:keepNext w:val="0"/>
                    <w:keepLines w:val="0"/>
                    <w:suppressLineNumbers w:val="0"/>
                    <w:spacing w:before="0" w:after="0"/>
                    <w:ind w:left="0" w:right="0"/>
                    <w:jc w:val="center"/>
                    <w:rPr>
                      <w:rFonts w:hint="default" w:ascii="Times New Roman" w:hAnsi="Times New Roman" w:cs="Times New Roman"/>
                      <w:b w:val="0"/>
                      <w:bCs w:val="0"/>
                      <w:color w:val="auto"/>
                      <w:sz w:val="21"/>
                      <w:szCs w:val="21"/>
                    </w:rPr>
                  </w:pPr>
                  <w:r>
                    <w:rPr>
                      <w:rFonts w:hint="default" w:ascii="Times New Roman" w:hAnsi="Times New Roman" w:cs="Times New Roman"/>
                      <w:b w:val="0"/>
                      <w:bCs w:val="0"/>
                      <w:color w:val="auto"/>
                      <w:sz w:val="21"/>
                      <w:szCs w:val="21"/>
                    </w:rPr>
                    <w:t>4</w:t>
                  </w:r>
                </w:p>
              </w:tc>
              <w:tc>
                <w:tcPr>
                  <w:tcW w:w="416" w:type="pct"/>
                  <w:vAlign w:val="center"/>
                </w:tcPr>
                <w:p w14:paraId="46800408">
                  <w:pPr>
                    <w:keepNext w:val="0"/>
                    <w:keepLines w:val="0"/>
                    <w:widowControl/>
                    <w:suppressLineNumbers w:val="0"/>
                    <w:spacing w:before="0" w:beforeAutospacing="0" w:after="0" w:afterAutospacing="0"/>
                    <w:ind w:left="0" w:right="0"/>
                    <w:jc w:val="center"/>
                    <w:rPr>
                      <w:rFonts w:hint="default" w:ascii="Times New Roman" w:hAnsi="Times New Roman" w:eastAsia="宋体" w:cs="Times New Roman"/>
                      <w:color w:val="auto"/>
                      <w:szCs w:val="21"/>
                    </w:rPr>
                  </w:pPr>
                  <w:r>
                    <w:rPr>
                      <w:rFonts w:hint="default" w:ascii="Times New Roman" w:hAnsi="Times New Roman" w:eastAsia="宋体" w:cs="Times New Roman"/>
                      <w:color w:val="auto"/>
                      <w:kern w:val="0"/>
                      <w:szCs w:val="21"/>
                      <w:lang w:bidi="ar"/>
                    </w:rPr>
                    <w:t>危废库异味管控</w:t>
                  </w:r>
                </w:p>
              </w:tc>
              <w:tc>
                <w:tcPr>
                  <w:tcW w:w="678" w:type="pct"/>
                  <w:vAlign w:val="center"/>
                </w:tcPr>
                <w:p w14:paraId="1BDE3D14">
                  <w:pPr>
                    <w:keepNext w:val="0"/>
                    <w:keepLines w:val="0"/>
                    <w:widowControl/>
                    <w:suppressLineNumbers w:val="0"/>
                    <w:spacing w:before="0" w:beforeAutospacing="0" w:after="0" w:afterAutospacing="0"/>
                    <w:ind w:left="0" w:right="0"/>
                    <w:jc w:val="center"/>
                    <w:rPr>
                      <w:rFonts w:hint="default" w:ascii="Times New Roman" w:hAnsi="Times New Roman" w:eastAsia="宋体" w:cs="Times New Roman"/>
                      <w:color w:val="auto"/>
                      <w:szCs w:val="21"/>
                    </w:rPr>
                  </w:pPr>
                  <w:r>
                    <w:rPr>
                      <w:rFonts w:hint="default" w:ascii="Times New Roman" w:hAnsi="Times New Roman" w:eastAsia="宋体" w:cs="Times New Roman"/>
                      <w:color w:val="auto"/>
                      <w:kern w:val="0"/>
                      <w:szCs w:val="21"/>
                      <w:lang w:bidi="ar"/>
                    </w:rPr>
                    <w:t>①涉异味的危废未采用密闭容器包装；</w:t>
                  </w:r>
                </w:p>
                <w:p w14:paraId="3647601D">
                  <w:pPr>
                    <w:keepNext w:val="0"/>
                    <w:keepLines w:val="0"/>
                    <w:widowControl/>
                    <w:suppressLineNumbers w:val="0"/>
                    <w:spacing w:before="0" w:beforeAutospacing="0" w:after="0" w:afterAutospacing="0"/>
                    <w:ind w:left="0" w:right="0"/>
                    <w:jc w:val="center"/>
                    <w:rPr>
                      <w:rFonts w:hint="default" w:ascii="Times New Roman" w:hAnsi="Times New Roman" w:eastAsia="宋体" w:cs="Times New Roman"/>
                      <w:color w:val="auto"/>
                      <w:szCs w:val="21"/>
                    </w:rPr>
                  </w:pPr>
                  <w:r>
                    <w:rPr>
                      <w:rFonts w:hint="default" w:ascii="Times New Roman" w:hAnsi="Times New Roman" w:eastAsia="宋体" w:cs="Times New Roman"/>
                      <w:color w:val="auto"/>
                      <w:kern w:val="0"/>
                      <w:szCs w:val="21"/>
                      <w:lang w:bidi="ar"/>
                    </w:rPr>
                    <w:t>②异味气体未有效收集处理</w:t>
                  </w:r>
                </w:p>
              </w:tc>
              <w:tc>
                <w:tcPr>
                  <w:tcW w:w="1637" w:type="pct"/>
                  <w:vAlign w:val="center"/>
                </w:tcPr>
                <w:p w14:paraId="19F58929">
                  <w:pPr>
                    <w:keepNext w:val="0"/>
                    <w:keepLines w:val="0"/>
                    <w:widowControl/>
                    <w:suppressLineNumbers w:val="0"/>
                    <w:spacing w:before="0" w:beforeAutospacing="0" w:after="0" w:afterAutospacing="0"/>
                    <w:ind w:left="0" w:right="0"/>
                    <w:jc w:val="center"/>
                    <w:rPr>
                      <w:rFonts w:hint="default" w:ascii="Times New Roman" w:hAnsi="Times New Roman" w:eastAsia="宋体" w:cs="Times New Roman"/>
                      <w:color w:val="auto"/>
                      <w:szCs w:val="21"/>
                    </w:rPr>
                  </w:pPr>
                  <w:r>
                    <w:rPr>
                      <w:rFonts w:hint="default" w:ascii="Times New Roman" w:hAnsi="Times New Roman" w:eastAsia="宋体" w:cs="Times New Roman"/>
                      <w:color w:val="auto"/>
                      <w:kern w:val="0"/>
                      <w:szCs w:val="21"/>
                      <w:lang w:bidi="ar"/>
                    </w:rPr>
                    <w:t>①涉异味的危废采用密闭容器包装并及时清理，确保异味气体不外逸；</w:t>
                  </w:r>
                </w:p>
                <w:p w14:paraId="6FEF2986">
                  <w:pPr>
                    <w:keepNext w:val="0"/>
                    <w:keepLines w:val="0"/>
                    <w:widowControl/>
                    <w:suppressLineNumbers w:val="0"/>
                    <w:spacing w:before="0" w:beforeAutospacing="0" w:after="0" w:afterAutospacing="0"/>
                    <w:ind w:left="0" w:right="0"/>
                    <w:jc w:val="center"/>
                    <w:rPr>
                      <w:rFonts w:hint="default" w:ascii="Times New Roman" w:hAnsi="Times New Roman" w:eastAsia="宋体" w:cs="Times New Roman"/>
                      <w:color w:val="auto"/>
                      <w:szCs w:val="21"/>
                    </w:rPr>
                  </w:pPr>
                  <w:r>
                    <w:rPr>
                      <w:rFonts w:hint="default" w:ascii="Times New Roman" w:hAnsi="Times New Roman" w:eastAsia="宋体" w:cs="Times New Roman"/>
                      <w:color w:val="auto"/>
                      <w:kern w:val="0"/>
                      <w:szCs w:val="21"/>
                      <w:lang w:bidi="ar"/>
                    </w:rPr>
                    <w:t>②对库房内异味较重的危废库采取有效的废气收集、处理措施</w:t>
                  </w:r>
                </w:p>
              </w:tc>
              <w:tc>
                <w:tcPr>
                  <w:tcW w:w="1563" w:type="pct"/>
                  <w:vAlign w:val="center"/>
                </w:tcPr>
                <w:p w14:paraId="0202D97B">
                  <w:pPr>
                    <w:keepNext w:val="0"/>
                    <w:keepLines w:val="0"/>
                    <w:widowControl/>
                    <w:suppressLineNumbers w:val="0"/>
                    <w:spacing w:before="0" w:beforeAutospacing="0" w:after="0" w:afterAutospacing="0"/>
                    <w:ind w:left="0" w:right="0"/>
                    <w:jc w:val="center"/>
                    <w:rPr>
                      <w:rFonts w:hint="eastAsia" w:ascii="Times New Roman" w:hAnsi="Times New Roman" w:eastAsia="宋体" w:cs="Times New Roman"/>
                      <w:color w:val="auto"/>
                      <w:kern w:val="0"/>
                      <w:szCs w:val="21"/>
                      <w:lang w:val="en-US" w:eastAsia="zh-CN" w:bidi="ar"/>
                    </w:rPr>
                  </w:pPr>
                  <w:r>
                    <w:rPr>
                      <w:rFonts w:hint="default" w:ascii="Times New Roman" w:hAnsi="Times New Roman" w:eastAsia="宋体" w:cs="Times New Roman"/>
                      <w:color w:val="auto"/>
                      <w:kern w:val="0"/>
                      <w:szCs w:val="21"/>
                      <w:lang w:bidi="ar"/>
                    </w:rPr>
                    <w:t>本项目将对各危废釆用密闭容器包装并及时清理</w:t>
                  </w:r>
                  <w:r>
                    <w:rPr>
                      <w:rFonts w:hint="eastAsia" w:ascii="Times New Roman" w:hAnsi="Times New Roman" w:eastAsia="宋体" w:cs="Times New Roman"/>
                      <w:color w:val="auto"/>
                      <w:kern w:val="0"/>
                      <w:szCs w:val="21"/>
                      <w:lang w:eastAsia="zh-CN" w:bidi="ar"/>
                    </w:rPr>
                    <w:t>。</w:t>
                  </w:r>
                </w:p>
              </w:tc>
              <w:tc>
                <w:tcPr>
                  <w:tcW w:w="412" w:type="pct"/>
                  <w:vAlign w:val="center"/>
                </w:tcPr>
                <w:p w14:paraId="2D905F12">
                  <w:pPr>
                    <w:keepNext w:val="0"/>
                    <w:keepLines w:val="0"/>
                    <w:widowControl/>
                    <w:suppressLineNumbers w:val="0"/>
                    <w:spacing w:before="0" w:beforeAutospacing="0" w:after="0" w:afterAutospacing="0"/>
                    <w:ind w:left="0" w:right="0"/>
                    <w:jc w:val="center"/>
                    <w:rPr>
                      <w:rFonts w:hint="default" w:ascii="Times New Roman" w:hAnsi="Times New Roman" w:eastAsia="宋体" w:cs="Times New Roman"/>
                      <w:color w:val="auto"/>
                      <w:kern w:val="0"/>
                      <w:szCs w:val="21"/>
                      <w:lang w:bidi="ar"/>
                    </w:rPr>
                  </w:pPr>
                  <w:r>
                    <w:rPr>
                      <w:rFonts w:hint="default" w:ascii="Times New Roman" w:hAnsi="Times New Roman" w:eastAsia="宋体" w:cs="Times New Roman"/>
                      <w:color w:val="auto"/>
                      <w:kern w:val="0"/>
                      <w:szCs w:val="21"/>
                      <w:lang w:bidi="ar"/>
                    </w:rPr>
                    <w:t>符合</w:t>
                  </w:r>
                </w:p>
              </w:tc>
            </w:tr>
            <w:tr w14:paraId="4939F3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291" w:type="pct"/>
                  <w:vAlign w:val="center"/>
                </w:tcPr>
                <w:p w14:paraId="628856A8">
                  <w:pPr>
                    <w:pStyle w:val="3"/>
                    <w:keepNext w:val="0"/>
                    <w:keepLines w:val="0"/>
                    <w:suppressLineNumbers w:val="0"/>
                    <w:spacing w:before="0" w:after="0"/>
                    <w:ind w:left="0" w:right="0"/>
                    <w:jc w:val="center"/>
                    <w:rPr>
                      <w:rFonts w:hint="default" w:ascii="Times New Roman" w:hAnsi="Times New Roman" w:cs="Times New Roman"/>
                      <w:b w:val="0"/>
                      <w:bCs w:val="0"/>
                      <w:color w:val="auto"/>
                      <w:sz w:val="21"/>
                      <w:szCs w:val="21"/>
                    </w:rPr>
                  </w:pPr>
                  <w:r>
                    <w:rPr>
                      <w:rFonts w:hint="default" w:ascii="Times New Roman" w:hAnsi="Times New Roman" w:cs="Times New Roman"/>
                      <w:b w:val="0"/>
                      <w:bCs w:val="0"/>
                      <w:color w:val="auto"/>
                      <w:sz w:val="21"/>
                      <w:szCs w:val="21"/>
                    </w:rPr>
                    <w:t>5</w:t>
                  </w:r>
                </w:p>
              </w:tc>
              <w:tc>
                <w:tcPr>
                  <w:tcW w:w="416" w:type="pct"/>
                  <w:vAlign w:val="center"/>
                </w:tcPr>
                <w:p w14:paraId="3CA9543A">
                  <w:pPr>
                    <w:keepNext w:val="0"/>
                    <w:keepLines w:val="0"/>
                    <w:widowControl/>
                    <w:suppressLineNumbers w:val="0"/>
                    <w:spacing w:before="0" w:beforeAutospacing="0" w:after="0" w:afterAutospacing="0"/>
                    <w:ind w:left="0" w:right="0"/>
                    <w:jc w:val="center"/>
                    <w:rPr>
                      <w:rFonts w:hint="default" w:ascii="Times New Roman" w:hAnsi="Times New Roman" w:eastAsia="宋体" w:cs="Times New Roman"/>
                      <w:color w:val="auto"/>
                      <w:szCs w:val="21"/>
                    </w:rPr>
                  </w:pPr>
                  <w:r>
                    <w:rPr>
                      <w:rFonts w:hint="default" w:ascii="Times New Roman" w:hAnsi="Times New Roman" w:eastAsia="宋体" w:cs="Times New Roman"/>
                      <w:color w:val="auto"/>
                      <w:kern w:val="0"/>
                      <w:szCs w:val="21"/>
                      <w:lang w:bidi="ar"/>
                    </w:rPr>
                    <w:t>废气处理工艺适配性</w:t>
                  </w:r>
                </w:p>
              </w:tc>
              <w:tc>
                <w:tcPr>
                  <w:tcW w:w="678" w:type="pct"/>
                  <w:vAlign w:val="center"/>
                </w:tcPr>
                <w:p w14:paraId="0F0704FA">
                  <w:pPr>
                    <w:keepNext w:val="0"/>
                    <w:keepLines w:val="0"/>
                    <w:widowControl/>
                    <w:suppressLineNumbers w:val="0"/>
                    <w:spacing w:before="0" w:beforeAutospacing="0" w:after="0" w:afterAutospacing="0"/>
                    <w:ind w:left="0" w:right="0"/>
                    <w:jc w:val="center"/>
                    <w:rPr>
                      <w:rFonts w:hint="default" w:ascii="Times New Roman" w:hAnsi="Times New Roman" w:eastAsia="宋体" w:cs="Times New Roman"/>
                      <w:color w:val="auto"/>
                      <w:szCs w:val="21"/>
                    </w:rPr>
                  </w:pPr>
                  <w:r>
                    <w:rPr>
                      <w:rFonts w:hint="default" w:ascii="Times New Roman" w:hAnsi="Times New Roman" w:eastAsia="宋体" w:cs="Times New Roman"/>
                      <w:color w:val="auto"/>
                      <w:kern w:val="0"/>
                      <w:szCs w:val="21"/>
                      <w:lang w:bidi="ar"/>
                    </w:rPr>
                    <w:t>废气处理系统未采用适宜高效的治理工艺</w:t>
                  </w:r>
                </w:p>
              </w:tc>
              <w:tc>
                <w:tcPr>
                  <w:tcW w:w="1637" w:type="pct"/>
                  <w:vAlign w:val="center"/>
                </w:tcPr>
                <w:p w14:paraId="129B9DEC">
                  <w:pPr>
                    <w:keepNext w:val="0"/>
                    <w:keepLines w:val="0"/>
                    <w:widowControl/>
                    <w:suppressLineNumbers w:val="0"/>
                    <w:spacing w:before="0" w:beforeAutospacing="0" w:after="0" w:afterAutospacing="0"/>
                    <w:ind w:left="0" w:right="0"/>
                    <w:jc w:val="center"/>
                    <w:rPr>
                      <w:rFonts w:hint="default" w:ascii="Times New Roman" w:hAnsi="Times New Roman" w:eastAsia="宋体" w:cs="Times New Roman"/>
                      <w:color w:val="auto"/>
                      <w:szCs w:val="21"/>
                    </w:rPr>
                  </w:pPr>
                  <w:r>
                    <w:rPr>
                      <w:rFonts w:hint="default" w:ascii="Times New Roman" w:hAnsi="Times New Roman" w:eastAsia="宋体" w:cs="Times New Roman"/>
                      <w:color w:val="auto"/>
                      <w:kern w:val="0"/>
                      <w:szCs w:val="21"/>
                      <w:lang w:bidi="ar"/>
                    </w:rPr>
                    <w:t>①采用吸附法处理含尘、高湿废气、高温废气，事先采用高效除尘、除雾装置、冷却装置等进行预处理；</w:t>
                  </w:r>
                </w:p>
                <w:p w14:paraId="415CDB1F">
                  <w:pPr>
                    <w:keepNext w:val="0"/>
                    <w:keepLines w:val="0"/>
                    <w:widowControl/>
                    <w:suppressLineNumbers w:val="0"/>
                    <w:spacing w:before="0" w:beforeAutospacing="0" w:after="0" w:afterAutospacing="0"/>
                    <w:ind w:left="0" w:right="0"/>
                    <w:jc w:val="center"/>
                    <w:rPr>
                      <w:rFonts w:hint="default" w:ascii="Times New Roman" w:hAnsi="Times New Roman" w:eastAsia="宋体" w:cs="Times New Roman"/>
                      <w:color w:val="auto"/>
                      <w:szCs w:val="21"/>
                    </w:rPr>
                  </w:pPr>
                  <w:r>
                    <w:rPr>
                      <w:rFonts w:hint="default" w:ascii="Times New Roman" w:hAnsi="Times New Roman" w:eastAsia="宋体" w:cs="Times New Roman"/>
                      <w:color w:val="auto"/>
                      <w:kern w:val="0"/>
                      <w:szCs w:val="21"/>
                      <w:lang w:bidi="ar"/>
                    </w:rPr>
                    <w:t>②高压静电法适用增塑剂及其他助剂产生的高沸点油烟废气处理；臭氧氧化法适用于CDS、POM、EVC等塑料制造废气除臭；光氧化技术适用于CDS、POM、EVC等塑料制造废气除臭，且仅可作为除臭组合单元之一</w:t>
                  </w:r>
                </w:p>
              </w:tc>
              <w:tc>
                <w:tcPr>
                  <w:tcW w:w="1563" w:type="pct"/>
                  <w:shd w:val="clear" w:color="auto" w:fill="auto"/>
                  <w:vAlign w:val="center"/>
                </w:tcPr>
                <w:p w14:paraId="17DF9364">
                  <w:pPr>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color w:val="auto"/>
                      <w:kern w:val="2"/>
                      <w:sz w:val="21"/>
                      <w:szCs w:val="21"/>
                      <w:lang w:val="en-US" w:eastAsia="zh-CN" w:bidi="ar-SA"/>
                    </w:rPr>
                  </w:pPr>
                  <w:r>
                    <w:rPr>
                      <w:rFonts w:hint="default" w:ascii="Times New Roman" w:hAnsi="Times New Roman" w:eastAsia="宋体" w:cs="Times New Roman"/>
                      <w:color w:val="auto"/>
                      <w:szCs w:val="21"/>
                      <w:lang w:val="en-US" w:eastAsia="zh-CN"/>
                    </w:rPr>
                    <w:t>本项目烘烤固化工序均为全密闭设备，在烘道进出口设置全密闭风罩，仅留进出口通道；本项目背胶贴合区整体密闭，在生产车间进行整体抽风，仅设置一个进出口，在非必要情况下也必须处于关闭状态，使生产车间整体处于相对密闭状态；本项目立式液态射出成型机运行过程保持加热段和成型段密闭，因此，废气仅在其物料完成成型工艺的出口散发，故拟在物料出口上方设置集气罩，以上废气经收集后通过一套水喷淋+干式过滤+二级活性炭吸附装置（TA001）处理，尾气由一根26m高的排气筒DA001排放。</w:t>
                  </w:r>
                </w:p>
              </w:tc>
              <w:tc>
                <w:tcPr>
                  <w:tcW w:w="412" w:type="pct"/>
                  <w:vAlign w:val="center"/>
                </w:tcPr>
                <w:p w14:paraId="0BD25D32">
                  <w:pPr>
                    <w:pStyle w:val="3"/>
                    <w:keepNext w:val="0"/>
                    <w:keepLines w:val="0"/>
                    <w:suppressLineNumbers w:val="0"/>
                    <w:spacing w:before="0" w:after="0"/>
                    <w:ind w:left="0" w:right="0"/>
                    <w:jc w:val="center"/>
                    <w:rPr>
                      <w:rFonts w:hint="default" w:ascii="Times New Roman" w:hAnsi="Times New Roman" w:cs="Times New Roman"/>
                      <w:b w:val="0"/>
                      <w:bCs w:val="0"/>
                      <w:color w:val="auto"/>
                      <w:sz w:val="21"/>
                      <w:szCs w:val="21"/>
                    </w:rPr>
                  </w:pPr>
                  <w:r>
                    <w:rPr>
                      <w:rFonts w:hint="default" w:ascii="Times New Roman" w:hAnsi="Times New Roman" w:cs="Times New Roman"/>
                      <w:b w:val="0"/>
                      <w:bCs w:val="0"/>
                      <w:color w:val="auto"/>
                      <w:sz w:val="21"/>
                      <w:szCs w:val="21"/>
                    </w:rPr>
                    <w:t>符合</w:t>
                  </w:r>
                </w:p>
              </w:tc>
            </w:tr>
            <w:tr w14:paraId="20F757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291" w:type="pct"/>
                  <w:vAlign w:val="center"/>
                </w:tcPr>
                <w:p w14:paraId="7995907A">
                  <w:pPr>
                    <w:keepNext w:val="0"/>
                    <w:keepLines w:val="0"/>
                    <w:widowControl/>
                    <w:suppressLineNumbers w:val="0"/>
                    <w:spacing w:before="0" w:beforeAutospacing="0" w:after="0" w:afterAutospacing="0"/>
                    <w:ind w:left="0" w:right="0"/>
                    <w:jc w:val="center"/>
                    <w:rPr>
                      <w:rFonts w:hint="default" w:ascii="Times New Roman" w:hAnsi="Times New Roman" w:eastAsia="宋体" w:cs="Times New Roman"/>
                      <w:color w:val="auto"/>
                      <w:kern w:val="0"/>
                      <w:szCs w:val="21"/>
                      <w:lang w:bidi="ar"/>
                    </w:rPr>
                  </w:pPr>
                  <w:r>
                    <w:rPr>
                      <w:rFonts w:hint="default" w:ascii="Times New Roman" w:hAnsi="Times New Roman" w:eastAsia="宋体" w:cs="Times New Roman"/>
                      <w:color w:val="auto"/>
                      <w:kern w:val="0"/>
                      <w:szCs w:val="21"/>
                      <w:lang w:bidi="ar"/>
                    </w:rPr>
                    <w:t>6</w:t>
                  </w:r>
                </w:p>
              </w:tc>
              <w:tc>
                <w:tcPr>
                  <w:tcW w:w="416" w:type="pct"/>
                  <w:vAlign w:val="center"/>
                </w:tcPr>
                <w:p w14:paraId="55D94C7C">
                  <w:pPr>
                    <w:keepNext w:val="0"/>
                    <w:keepLines w:val="0"/>
                    <w:widowControl/>
                    <w:suppressLineNumbers w:val="0"/>
                    <w:spacing w:before="0" w:beforeAutospacing="0" w:after="0" w:afterAutospacing="0"/>
                    <w:ind w:left="0" w:right="0"/>
                    <w:jc w:val="center"/>
                    <w:rPr>
                      <w:rFonts w:hint="default" w:ascii="Times New Roman" w:hAnsi="Times New Roman" w:eastAsia="宋体" w:cs="Times New Roman"/>
                      <w:color w:val="auto"/>
                      <w:kern w:val="0"/>
                      <w:szCs w:val="21"/>
                      <w:lang w:bidi="ar"/>
                    </w:rPr>
                  </w:pPr>
                  <w:r>
                    <w:rPr>
                      <w:rFonts w:hint="default" w:ascii="Times New Roman" w:hAnsi="Times New Roman" w:eastAsia="宋体" w:cs="Times New Roman"/>
                      <w:color w:val="auto"/>
                      <w:kern w:val="0"/>
                      <w:szCs w:val="21"/>
                      <w:lang w:bidi="ar"/>
                    </w:rPr>
                    <w:t>环境管理措施</w:t>
                  </w:r>
                </w:p>
              </w:tc>
              <w:tc>
                <w:tcPr>
                  <w:tcW w:w="678" w:type="pct"/>
                  <w:vAlign w:val="center"/>
                </w:tcPr>
                <w:p w14:paraId="4A553CF4">
                  <w:pPr>
                    <w:keepNext w:val="0"/>
                    <w:keepLines w:val="0"/>
                    <w:widowControl/>
                    <w:suppressLineNumbers w:val="0"/>
                    <w:spacing w:before="0" w:beforeAutospacing="0" w:after="0" w:afterAutospacing="0"/>
                    <w:ind w:left="0" w:right="0"/>
                    <w:jc w:val="center"/>
                    <w:rPr>
                      <w:rFonts w:hint="default" w:ascii="Times New Roman" w:hAnsi="Times New Roman" w:eastAsia="宋体" w:cs="Times New Roman"/>
                      <w:color w:val="auto"/>
                      <w:kern w:val="0"/>
                      <w:szCs w:val="21"/>
                      <w:lang w:bidi="ar"/>
                    </w:rPr>
                  </w:pPr>
                  <w:r>
                    <w:rPr>
                      <w:rFonts w:hint="default" w:ascii="Times New Roman" w:hAnsi="Times New Roman" w:eastAsia="宋体" w:cs="Times New Roman"/>
                      <w:color w:val="auto"/>
                      <w:kern w:val="0"/>
                      <w:szCs w:val="21"/>
                      <w:lang w:bidi="ar"/>
                    </w:rPr>
                    <w:t>/</w:t>
                  </w:r>
                </w:p>
              </w:tc>
              <w:tc>
                <w:tcPr>
                  <w:tcW w:w="1637" w:type="pct"/>
                  <w:vAlign w:val="center"/>
                </w:tcPr>
                <w:p w14:paraId="56EB4C45">
                  <w:pPr>
                    <w:keepNext w:val="0"/>
                    <w:keepLines w:val="0"/>
                    <w:widowControl/>
                    <w:suppressLineNumbers w:val="0"/>
                    <w:spacing w:before="0" w:beforeAutospacing="0" w:after="0" w:afterAutospacing="0"/>
                    <w:ind w:left="0" w:right="0"/>
                    <w:jc w:val="center"/>
                    <w:rPr>
                      <w:rFonts w:hint="default" w:ascii="Times New Roman" w:hAnsi="Times New Roman" w:eastAsia="宋体" w:cs="Times New Roman"/>
                      <w:color w:val="auto"/>
                      <w:kern w:val="0"/>
                      <w:szCs w:val="21"/>
                      <w:lang w:bidi="ar"/>
                    </w:rPr>
                  </w:pPr>
                  <w:r>
                    <w:rPr>
                      <w:rFonts w:hint="default" w:ascii="Times New Roman" w:hAnsi="Times New Roman" w:eastAsia="宋体" w:cs="Times New Roman"/>
                      <w:color w:val="auto"/>
                      <w:kern w:val="0"/>
                      <w:szCs w:val="21"/>
                      <w:lang w:bidi="ar"/>
                    </w:rPr>
                    <w:t>根据实际情况优先采用污染预防技术，并采用适合的末端治理技术。按照HJ944的要求建立台账，记录含VOCs原辅材料的名称、采购量、使用量、回收量、废弃量、去向、VOCs含量，污染治理设施的工艺流程、设计参数、投运时间、启停时间、温度、风量，过滤材料更换时间和更换量，吸附剂脱附周期、更换时间和更换量，催化剂更换时间和更换量等资讯。台账保存期限不少于三年</w:t>
                  </w:r>
                </w:p>
              </w:tc>
              <w:tc>
                <w:tcPr>
                  <w:tcW w:w="1563" w:type="pct"/>
                  <w:vAlign w:val="center"/>
                </w:tcPr>
                <w:p w14:paraId="48F51A8C">
                  <w:pPr>
                    <w:keepNext w:val="0"/>
                    <w:keepLines w:val="0"/>
                    <w:widowControl/>
                    <w:suppressLineNumbers w:val="0"/>
                    <w:spacing w:before="0" w:beforeAutospacing="0" w:after="0" w:afterAutospacing="0"/>
                    <w:ind w:left="0" w:right="0"/>
                    <w:jc w:val="center"/>
                    <w:rPr>
                      <w:rFonts w:hint="eastAsia" w:ascii="Times New Roman" w:hAnsi="Times New Roman" w:eastAsia="宋体" w:cs="Times New Roman"/>
                      <w:color w:val="auto"/>
                      <w:kern w:val="0"/>
                      <w:szCs w:val="21"/>
                      <w:lang w:eastAsia="zh-CN" w:bidi="ar"/>
                    </w:rPr>
                  </w:pPr>
                  <w:r>
                    <w:rPr>
                      <w:rFonts w:hint="default" w:ascii="Times New Roman" w:hAnsi="Times New Roman" w:eastAsia="宋体" w:cs="Times New Roman"/>
                      <w:color w:val="auto"/>
                      <w:kern w:val="0"/>
                      <w:szCs w:val="21"/>
                      <w:lang w:bidi="ar"/>
                    </w:rPr>
                    <w:t>本项目将采用适合的末端治理技术，并建立台账（保存期限不少于三年），记录污染治理设施的工艺流程、设计参数、投运时间、启停时间、温度、风量，过滤材料更换时间和更换量，吸附剂脱附周期、更换时间和更换量，催化剂更换时间和更换量等资讯</w:t>
                  </w:r>
                  <w:r>
                    <w:rPr>
                      <w:rFonts w:hint="eastAsia" w:ascii="Times New Roman" w:hAnsi="Times New Roman" w:eastAsia="宋体" w:cs="Times New Roman"/>
                      <w:color w:val="auto"/>
                      <w:kern w:val="0"/>
                      <w:szCs w:val="21"/>
                      <w:lang w:eastAsia="zh-CN" w:bidi="ar"/>
                    </w:rPr>
                    <w:t>。</w:t>
                  </w:r>
                </w:p>
              </w:tc>
              <w:tc>
                <w:tcPr>
                  <w:tcW w:w="412" w:type="pct"/>
                  <w:vAlign w:val="center"/>
                </w:tcPr>
                <w:p w14:paraId="6C707F7D">
                  <w:pPr>
                    <w:keepNext w:val="0"/>
                    <w:keepLines w:val="0"/>
                    <w:widowControl/>
                    <w:suppressLineNumbers w:val="0"/>
                    <w:spacing w:before="0" w:beforeAutospacing="0" w:after="0" w:afterAutospacing="0"/>
                    <w:ind w:left="0" w:right="0"/>
                    <w:jc w:val="center"/>
                    <w:rPr>
                      <w:rFonts w:hint="default" w:ascii="Times New Roman" w:hAnsi="Times New Roman" w:eastAsia="宋体" w:cs="Times New Roman"/>
                      <w:color w:val="auto"/>
                      <w:kern w:val="0"/>
                      <w:szCs w:val="21"/>
                      <w:lang w:bidi="ar"/>
                    </w:rPr>
                  </w:pPr>
                  <w:r>
                    <w:rPr>
                      <w:rFonts w:hint="default" w:ascii="Times New Roman" w:hAnsi="Times New Roman" w:eastAsia="宋体" w:cs="Times New Roman"/>
                      <w:color w:val="auto"/>
                      <w:kern w:val="0"/>
                      <w:szCs w:val="21"/>
                      <w:lang w:bidi="ar"/>
                    </w:rPr>
                    <w:t>符合</w:t>
                  </w:r>
                </w:p>
              </w:tc>
            </w:tr>
          </w:tbl>
          <w:p w14:paraId="5C0A46C3">
            <w:pPr>
              <w:keepNext w:val="0"/>
              <w:keepLines w:val="0"/>
              <w:suppressLineNumbers w:val="0"/>
              <w:spacing w:before="0" w:beforeAutospacing="0" w:after="0" w:afterAutospacing="0" w:line="360" w:lineRule="auto"/>
              <w:ind w:left="0" w:right="0"/>
              <w:rPr>
                <w:rFonts w:hint="default" w:ascii="Times New Roman" w:hAnsi="Times New Roman" w:eastAsia="宋体" w:cs="Times New Roman"/>
                <w:b/>
                <w:bCs/>
                <w:color w:val="auto"/>
                <w:kern w:val="2"/>
                <w:sz w:val="24"/>
                <w:szCs w:val="24"/>
              </w:rPr>
            </w:pPr>
            <w:r>
              <w:rPr>
                <w:rFonts w:hint="eastAsia" w:ascii="Times New Roman" w:hAnsi="Times New Roman" w:eastAsia="宋体" w:cs="Times New Roman"/>
                <w:b/>
                <w:bCs/>
                <w:color w:val="auto"/>
                <w:sz w:val="24"/>
                <w:lang w:val="en-US" w:eastAsia="zh-CN"/>
              </w:rPr>
              <w:t>1.2.12</w:t>
            </w:r>
            <w:r>
              <w:rPr>
                <w:rFonts w:hint="eastAsia" w:ascii="宋体" w:hAnsi="宋体" w:eastAsia="宋体" w:cs="宋体"/>
                <w:b/>
                <w:bCs/>
                <w:color w:val="auto"/>
                <w:kern w:val="2"/>
                <w:sz w:val="24"/>
                <w:szCs w:val="24"/>
                <w:lang w:val="en-US" w:eastAsia="zh-CN" w:bidi="ar"/>
              </w:rPr>
              <w:t>《省美丽浙江建设领导小组办公室关于印发《浙江省</w:t>
            </w:r>
            <w:r>
              <w:rPr>
                <w:rFonts w:hint="default" w:ascii="Times New Roman" w:hAnsi="Times New Roman" w:eastAsia="宋体" w:cs="Times New Roman"/>
                <w:b/>
                <w:bCs/>
                <w:color w:val="auto"/>
                <w:kern w:val="2"/>
                <w:sz w:val="24"/>
                <w:szCs w:val="24"/>
                <w:lang w:val="en-US" w:eastAsia="zh-CN" w:bidi="ar"/>
              </w:rPr>
              <w:t>2026</w:t>
            </w:r>
            <w:r>
              <w:rPr>
                <w:rFonts w:hint="eastAsia" w:ascii="宋体" w:hAnsi="宋体" w:eastAsia="宋体" w:cs="宋体"/>
                <w:b/>
                <w:bCs/>
                <w:color w:val="auto"/>
                <w:kern w:val="2"/>
                <w:sz w:val="24"/>
                <w:szCs w:val="24"/>
                <w:lang w:val="en-US" w:eastAsia="zh-CN" w:bidi="ar"/>
              </w:rPr>
              <w:t>年空气质量持续改善行动计划》的通知》符合性分析</w:t>
            </w:r>
          </w:p>
          <w:p w14:paraId="571EEC56">
            <w:pPr>
              <w:keepNext w:val="0"/>
              <w:keepLines w:val="0"/>
              <w:widowControl w:val="0"/>
              <w:suppressLineNumbers w:val="0"/>
              <w:spacing w:before="0" w:beforeAutospacing="0" w:after="0" w:afterAutospacing="0" w:line="360" w:lineRule="auto"/>
              <w:ind w:left="0" w:right="0" w:firstLine="480" w:firstLineChars="200"/>
              <w:jc w:val="both"/>
              <w:rPr>
                <w:rFonts w:hint="default" w:ascii="Times New Roman" w:hAnsi="Times New Roman" w:eastAsia="宋体" w:cs="Times New Roman"/>
                <w:b w:val="0"/>
                <w:bCs w:val="0"/>
                <w:color w:val="auto"/>
                <w:kern w:val="2"/>
                <w:sz w:val="24"/>
                <w:szCs w:val="24"/>
              </w:rPr>
            </w:pPr>
            <w:r>
              <w:rPr>
                <w:rFonts w:hint="eastAsia" w:ascii="宋体" w:hAnsi="宋体" w:eastAsia="宋体" w:cs="宋体"/>
                <w:b w:val="0"/>
                <w:bCs w:val="0"/>
                <w:color w:val="auto"/>
                <w:kern w:val="2"/>
                <w:sz w:val="24"/>
                <w:szCs w:val="24"/>
                <w:lang w:val="en-US" w:eastAsia="zh-CN" w:bidi="ar"/>
              </w:rPr>
              <w:t>《浙江省</w:t>
            </w:r>
            <w:r>
              <w:rPr>
                <w:rFonts w:hint="default" w:ascii="Times New Roman" w:hAnsi="Times New Roman" w:eastAsia="宋体" w:cs="Times New Roman"/>
                <w:b w:val="0"/>
                <w:bCs w:val="0"/>
                <w:color w:val="auto"/>
                <w:kern w:val="2"/>
                <w:sz w:val="24"/>
                <w:szCs w:val="24"/>
                <w:lang w:val="en-US" w:eastAsia="zh-CN" w:bidi="ar"/>
              </w:rPr>
              <w:t>2026</w:t>
            </w:r>
            <w:r>
              <w:rPr>
                <w:rFonts w:hint="eastAsia" w:ascii="宋体" w:hAnsi="宋体" w:eastAsia="宋体" w:cs="宋体"/>
                <w:b w:val="0"/>
                <w:bCs w:val="0"/>
                <w:color w:val="auto"/>
                <w:kern w:val="2"/>
                <w:sz w:val="24"/>
                <w:szCs w:val="24"/>
                <w:lang w:val="en-US" w:eastAsia="zh-CN" w:bidi="ar"/>
              </w:rPr>
              <w:t>年空气质量持续改善行动计划》（浙美丽办〔</w:t>
            </w:r>
            <w:r>
              <w:rPr>
                <w:rFonts w:hint="default" w:ascii="Times New Roman" w:hAnsi="Times New Roman" w:eastAsia="宋体" w:cs="Times New Roman"/>
                <w:b w:val="0"/>
                <w:bCs w:val="0"/>
                <w:color w:val="auto"/>
                <w:kern w:val="2"/>
                <w:sz w:val="24"/>
                <w:szCs w:val="24"/>
                <w:lang w:val="en-US" w:eastAsia="zh-CN" w:bidi="ar"/>
              </w:rPr>
              <w:t>2026</w:t>
            </w:r>
            <w:r>
              <w:rPr>
                <w:rFonts w:hint="eastAsia" w:ascii="宋体" w:hAnsi="宋体" w:eastAsia="宋体" w:cs="宋体"/>
                <w:b w:val="0"/>
                <w:bCs w:val="0"/>
                <w:color w:val="auto"/>
                <w:kern w:val="2"/>
                <w:sz w:val="24"/>
                <w:szCs w:val="24"/>
                <w:lang w:val="en-US" w:eastAsia="zh-CN" w:bidi="ar"/>
              </w:rPr>
              <w:t>〕</w:t>
            </w:r>
            <w:r>
              <w:rPr>
                <w:rFonts w:hint="default" w:ascii="Times New Roman" w:hAnsi="Times New Roman" w:eastAsia="宋体" w:cs="Times New Roman"/>
                <w:b w:val="0"/>
                <w:bCs w:val="0"/>
                <w:color w:val="auto"/>
                <w:kern w:val="2"/>
                <w:sz w:val="24"/>
                <w:szCs w:val="24"/>
                <w:lang w:val="en-US" w:eastAsia="zh-CN" w:bidi="ar"/>
              </w:rPr>
              <w:t xml:space="preserve">21 </w:t>
            </w:r>
            <w:r>
              <w:rPr>
                <w:rFonts w:hint="eastAsia" w:ascii="宋体" w:hAnsi="宋体" w:eastAsia="宋体" w:cs="宋体"/>
                <w:b w:val="0"/>
                <w:bCs w:val="0"/>
                <w:color w:val="auto"/>
                <w:kern w:val="2"/>
                <w:sz w:val="24"/>
                <w:szCs w:val="24"/>
                <w:lang w:val="en-US" w:eastAsia="zh-CN" w:bidi="ar"/>
              </w:rPr>
              <w:t>号）于</w:t>
            </w:r>
            <w:r>
              <w:rPr>
                <w:rFonts w:hint="default" w:ascii="Times New Roman" w:hAnsi="Times New Roman" w:eastAsia="宋体" w:cs="Times New Roman"/>
                <w:b w:val="0"/>
                <w:bCs w:val="0"/>
                <w:color w:val="auto"/>
                <w:kern w:val="2"/>
                <w:sz w:val="24"/>
                <w:szCs w:val="24"/>
                <w:lang w:val="en-US" w:eastAsia="zh-CN" w:bidi="ar"/>
              </w:rPr>
              <w:t>2026</w:t>
            </w:r>
            <w:r>
              <w:rPr>
                <w:rFonts w:hint="eastAsia" w:ascii="宋体" w:hAnsi="宋体" w:eastAsia="宋体" w:cs="宋体"/>
                <w:b w:val="0"/>
                <w:bCs w:val="0"/>
                <w:color w:val="auto"/>
                <w:kern w:val="2"/>
                <w:sz w:val="24"/>
                <w:szCs w:val="24"/>
                <w:lang w:val="en-US" w:eastAsia="zh-CN" w:bidi="ar"/>
              </w:rPr>
              <w:t>年</w:t>
            </w:r>
            <w:r>
              <w:rPr>
                <w:rFonts w:hint="default" w:ascii="Times New Roman" w:hAnsi="Times New Roman" w:eastAsia="宋体" w:cs="Times New Roman"/>
                <w:b w:val="0"/>
                <w:bCs w:val="0"/>
                <w:color w:val="auto"/>
                <w:kern w:val="2"/>
                <w:sz w:val="24"/>
                <w:szCs w:val="24"/>
                <w:lang w:val="en-US" w:eastAsia="zh-CN" w:bidi="ar"/>
              </w:rPr>
              <w:t>3</w:t>
            </w:r>
            <w:r>
              <w:rPr>
                <w:rFonts w:hint="eastAsia" w:ascii="宋体" w:hAnsi="宋体" w:eastAsia="宋体" w:cs="宋体"/>
                <w:b w:val="0"/>
                <w:bCs w:val="0"/>
                <w:color w:val="auto"/>
                <w:kern w:val="2"/>
                <w:sz w:val="24"/>
                <w:szCs w:val="24"/>
                <w:lang w:val="en-US" w:eastAsia="zh-CN" w:bidi="ar"/>
              </w:rPr>
              <w:t>月</w:t>
            </w:r>
            <w:r>
              <w:rPr>
                <w:rFonts w:hint="default" w:ascii="Times New Roman" w:hAnsi="Times New Roman" w:eastAsia="宋体" w:cs="Times New Roman"/>
                <w:b w:val="0"/>
                <w:bCs w:val="0"/>
                <w:color w:val="auto"/>
                <w:kern w:val="2"/>
                <w:sz w:val="24"/>
                <w:szCs w:val="24"/>
                <w:lang w:val="en-US" w:eastAsia="zh-CN" w:bidi="ar"/>
              </w:rPr>
              <w:t>30</w:t>
            </w:r>
            <w:r>
              <w:rPr>
                <w:rFonts w:hint="eastAsia" w:ascii="宋体" w:hAnsi="宋体" w:eastAsia="宋体" w:cs="宋体"/>
                <w:b w:val="0"/>
                <w:bCs w:val="0"/>
                <w:color w:val="auto"/>
                <w:kern w:val="2"/>
                <w:sz w:val="24"/>
                <w:szCs w:val="24"/>
                <w:lang w:val="en-US" w:eastAsia="zh-CN" w:bidi="ar"/>
              </w:rPr>
              <w:t>日由省美丽浙江建设领导小组办公室印发。与本项目有关的行业准入要求对照见下表。</w:t>
            </w:r>
          </w:p>
          <w:p w14:paraId="79A7465E">
            <w:pPr>
              <w:keepNext w:val="0"/>
              <w:keepLines w:val="0"/>
              <w:widowControl w:val="0"/>
              <w:suppressLineNumbers w:val="0"/>
              <w:spacing w:before="0" w:beforeAutospacing="0" w:after="0" w:afterAutospacing="0"/>
              <w:ind w:left="0" w:right="0"/>
              <w:jc w:val="center"/>
              <w:rPr>
                <w:rFonts w:hint="default" w:ascii="Times New Roman" w:hAnsi="Times New Roman" w:eastAsia="宋体" w:cs="Times New Roman"/>
                <w:b/>
                <w:bCs/>
                <w:color w:val="auto"/>
                <w:kern w:val="2"/>
                <w:sz w:val="21"/>
                <w:szCs w:val="21"/>
              </w:rPr>
            </w:pPr>
            <w:r>
              <w:rPr>
                <w:rFonts w:hint="eastAsia" w:ascii="宋体" w:hAnsi="宋体" w:eastAsia="宋体" w:cs="宋体"/>
                <w:b/>
                <w:bCs/>
                <w:color w:val="auto"/>
                <w:kern w:val="2"/>
                <w:sz w:val="21"/>
                <w:szCs w:val="21"/>
                <w:lang w:val="en-US" w:eastAsia="zh-CN" w:bidi="ar"/>
              </w:rPr>
              <w:t>表</w:t>
            </w:r>
            <w:r>
              <w:rPr>
                <w:rFonts w:hint="default" w:ascii="Times New Roman" w:hAnsi="Times New Roman" w:eastAsia="宋体" w:cs="Times New Roman"/>
                <w:b/>
                <w:bCs/>
                <w:color w:val="auto"/>
                <w:kern w:val="2"/>
                <w:sz w:val="21"/>
                <w:szCs w:val="21"/>
                <w:lang w:val="en-US" w:eastAsia="zh-CN" w:bidi="ar"/>
              </w:rPr>
              <w:t>1-1</w:t>
            </w:r>
            <w:r>
              <w:rPr>
                <w:rFonts w:hint="eastAsia" w:ascii="Times New Roman" w:hAnsi="Times New Roman" w:eastAsia="宋体" w:cs="Times New Roman"/>
                <w:b/>
                <w:bCs/>
                <w:color w:val="auto"/>
                <w:kern w:val="2"/>
                <w:sz w:val="21"/>
                <w:szCs w:val="21"/>
                <w:lang w:val="en-US" w:eastAsia="zh-CN" w:bidi="ar"/>
              </w:rPr>
              <w:t>8</w:t>
            </w:r>
            <w:r>
              <w:rPr>
                <w:rFonts w:hint="default" w:ascii="Times New Roman" w:hAnsi="Times New Roman" w:eastAsia="宋体" w:cs="Times New Roman"/>
                <w:b/>
                <w:bCs/>
                <w:color w:val="auto"/>
                <w:kern w:val="2"/>
                <w:sz w:val="21"/>
                <w:szCs w:val="21"/>
                <w:lang w:val="en-US" w:eastAsia="zh-CN" w:bidi="ar"/>
              </w:rPr>
              <w:t xml:space="preserve">  </w:t>
            </w:r>
            <w:r>
              <w:rPr>
                <w:rFonts w:hint="default" w:ascii="Times New Roman" w:hAnsi="Times New Roman" w:eastAsia="宋体" w:cs="Times New Roman"/>
                <w:b/>
                <w:bCs/>
                <w:color w:val="00B050"/>
                <w:kern w:val="2"/>
                <w:sz w:val="21"/>
                <w:szCs w:val="21"/>
                <w:lang w:val="en-US" w:eastAsia="zh-CN" w:bidi="ar"/>
              </w:rPr>
              <w:t>与</w:t>
            </w:r>
            <w:r>
              <w:rPr>
                <w:rFonts w:hint="eastAsia" w:ascii="宋体" w:hAnsi="宋体" w:eastAsia="宋体" w:cs="宋体"/>
                <w:b/>
                <w:bCs/>
                <w:color w:val="auto"/>
                <w:spacing w:val="-1"/>
                <w:kern w:val="2"/>
                <w:sz w:val="21"/>
                <w:szCs w:val="21"/>
                <w:lang w:val="en-US" w:eastAsia="zh-CN" w:bidi="ar"/>
              </w:rPr>
              <w:t>《浙江省</w:t>
            </w:r>
            <w:r>
              <w:rPr>
                <w:rFonts w:hint="default" w:ascii="Times New Roman" w:hAnsi="Times New Roman" w:eastAsia="宋体" w:cs="Times New Roman"/>
                <w:b/>
                <w:bCs/>
                <w:color w:val="auto"/>
                <w:spacing w:val="-1"/>
                <w:kern w:val="2"/>
                <w:sz w:val="21"/>
                <w:szCs w:val="21"/>
                <w:lang w:val="en-US" w:eastAsia="zh-CN" w:bidi="ar"/>
              </w:rPr>
              <w:t>2026</w:t>
            </w:r>
            <w:r>
              <w:rPr>
                <w:rFonts w:hint="eastAsia" w:ascii="宋体" w:hAnsi="宋体" w:eastAsia="宋体" w:cs="宋体"/>
                <w:b/>
                <w:bCs/>
                <w:color w:val="auto"/>
                <w:spacing w:val="-1"/>
                <w:kern w:val="2"/>
                <w:sz w:val="21"/>
                <w:szCs w:val="21"/>
                <w:lang w:val="en-US" w:eastAsia="zh-CN" w:bidi="ar"/>
              </w:rPr>
              <w:t>年空气质量持续改善行动计划》</w:t>
            </w:r>
            <w:r>
              <w:rPr>
                <w:rFonts w:hint="eastAsia" w:ascii="宋体" w:hAnsi="宋体" w:eastAsia="宋体" w:cs="宋体"/>
                <w:b/>
                <w:bCs/>
                <w:color w:val="auto"/>
                <w:kern w:val="2"/>
                <w:sz w:val="21"/>
                <w:szCs w:val="21"/>
                <w:lang w:val="en-US" w:eastAsia="zh-CN" w:bidi="ar"/>
              </w:rPr>
              <w:t>符合性分析汇总表</w:t>
            </w:r>
          </w:p>
          <w:tbl>
            <w:tblPr>
              <w:tblStyle w:val="22"/>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Layout w:type="fixed"/>
              <w:tblCellMar>
                <w:top w:w="0" w:type="dxa"/>
                <w:left w:w="108" w:type="dxa"/>
                <w:bottom w:w="0" w:type="dxa"/>
                <w:right w:w="108" w:type="dxa"/>
              </w:tblCellMar>
            </w:tblPr>
            <w:tblGrid>
              <w:gridCol w:w="1063"/>
              <w:gridCol w:w="4352"/>
              <w:gridCol w:w="1859"/>
              <w:gridCol w:w="704"/>
            </w:tblGrid>
            <w:tr w14:paraId="34BBAD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121" w:type="dxa"/>
                  <w:tcBorders>
                    <w:top w:val="single" w:color="auto" w:sz="4" w:space="0"/>
                    <w:left w:val="single" w:color="auto" w:sz="4" w:space="0"/>
                    <w:bottom w:val="single" w:color="auto" w:sz="4" w:space="0"/>
                    <w:right w:val="single" w:color="auto" w:sz="4" w:space="0"/>
                  </w:tcBorders>
                  <w:shd w:val="clear" w:color="auto" w:fill="auto"/>
                  <w:vAlign w:val="center"/>
                </w:tcPr>
                <w:p w14:paraId="4E79156A">
                  <w:pPr>
                    <w:pStyle w:val="19"/>
                    <w:keepNext w:val="0"/>
                    <w:keepLines w:val="0"/>
                    <w:widowControl w:val="0"/>
                    <w:suppressLineNumbers w:val="0"/>
                    <w:autoSpaceDE w:val="0"/>
                    <w:autoSpaceDN w:val="0"/>
                    <w:adjustRightInd w:val="0"/>
                    <w:spacing w:before="0" w:beforeAutospacing="0" w:after="0" w:afterAutospacing="0" w:line="320" w:lineRule="exact"/>
                    <w:ind w:left="0" w:right="0"/>
                    <w:jc w:val="center"/>
                    <w:rPr>
                      <w:rFonts w:hint="default" w:ascii="Times New Roman" w:hAnsi="Times New Roman" w:eastAsia="宋体" w:cs="Times New Roman"/>
                      <w:b/>
                      <w:bCs/>
                      <w:color w:val="auto"/>
                      <w:kern w:val="2"/>
                      <w:sz w:val="21"/>
                      <w:szCs w:val="21"/>
                    </w:rPr>
                  </w:pPr>
                  <w:r>
                    <w:rPr>
                      <w:rFonts w:hint="eastAsia" w:ascii="宋体" w:hAnsi="宋体" w:eastAsia="宋体" w:cs="宋体"/>
                      <w:b/>
                      <w:bCs/>
                      <w:color w:val="auto"/>
                      <w:kern w:val="2"/>
                      <w:sz w:val="21"/>
                      <w:szCs w:val="21"/>
                      <w:lang w:val="en-US" w:eastAsia="zh-CN" w:bidi="ar"/>
                    </w:rPr>
                    <w:t>内容</w:t>
                  </w:r>
                </w:p>
              </w:tc>
              <w:tc>
                <w:tcPr>
                  <w:tcW w:w="4589" w:type="dxa"/>
                  <w:tcBorders>
                    <w:top w:val="single" w:color="auto" w:sz="4" w:space="0"/>
                    <w:left w:val="nil"/>
                    <w:bottom w:val="single" w:color="auto" w:sz="4" w:space="0"/>
                    <w:right w:val="single" w:color="auto" w:sz="4" w:space="0"/>
                  </w:tcBorders>
                  <w:shd w:val="clear" w:color="auto" w:fill="auto"/>
                  <w:vAlign w:val="center"/>
                </w:tcPr>
                <w:p w14:paraId="2688A181">
                  <w:pPr>
                    <w:pStyle w:val="19"/>
                    <w:keepNext w:val="0"/>
                    <w:keepLines w:val="0"/>
                    <w:widowControl w:val="0"/>
                    <w:suppressLineNumbers w:val="0"/>
                    <w:autoSpaceDE w:val="0"/>
                    <w:autoSpaceDN w:val="0"/>
                    <w:adjustRightInd w:val="0"/>
                    <w:spacing w:before="0" w:beforeAutospacing="0" w:after="0" w:afterAutospacing="0" w:line="320" w:lineRule="exact"/>
                    <w:ind w:left="0" w:right="0"/>
                    <w:jc w:val="center"/>
                    <w:rPr>
                      <w:rFonts w:hint="default" w:ascii="Times New Roman" w:hAnsi="Times New Roman" w:eastAsia="宋体" w:cs="Times New Roman"/>
                      <w:b/>
                      <w:bCs/>
                      <w:color w:val="auto"/>
                      <w:kern w:val="2"/>
                      <w:sz w:val="21"/>
                      <w:szCs w:val="21"/>
                    </w:rPr>
                  </w:pPr>
                  <w:r>
                    <w:rPr>
                      <w:rFonts w:hint="eastAsia" w:ascii="宋体" w:hAnsi="宋体" w:eastAsia="宋体" w:cs="宋体"/>
                      <w:b/>
                      <w:bCs/>
                      <w:color w:val="auto"/>
                      <w:kern w:val="2"/>
                      <w:sz w:val="21"/>
                      <w:szCs w:val="21"/>
                      <w:lang w:val="en-US" w:eastAsia="zh-CN" w:bidi="ar"/>
                    </w:rPr>
                    <w:t>具体要求</w:t>
                  </w:r>
                </w:p>
              </w:tc>
              <w:tc>
                <w:tcPr>
                  <w:tcW w:w="1961" w:type="dxa"/>
                  <w:tcBorders>
                    <w:top w:val="single" w:color="auto" w:sz="4" w:space="0"/>
                    <w:left w:val="nil"/>
                    <w:bottom w:val="single" w:color="auto" w:sz="4" w:space="0"/>
                    <w:right w:val="single" w:color="auto" w:sz="4" w:space="0"/>
                  </w:tcBorders>
                  <w:shd w:val="clear" w:color="auto" w:fill="auto"/>
                  <w:vAlign w:val="center"/>
                </w:tcPr>
                <w:p w14:paraId="4E8FE75F">
                  <w:pPr>
                    <w:pStyle w:val="19"/>
                    <w:keepNext w:val="0"/>
                    <w:keepLines w:val="0"/>
                    <w:widowControl w:val="0"/>
                    <w:suppressLineNumbers w:val="0"/>
                    <w:autoSpaceDE w:val="0"/>
                    <w:autoSpaceDN w:val="0"/>
                    <w:adjustRightInd w:val="0"/>
                    <w:spacing w:before="0" w:beforeAutospacing="0" w:after="0" w:afterAutospacing="0" w:line="320" w:lineRule="exact"/>
                    <w:ind w:left="0" w:right="0"/>
                    <w:jc w:val="center"/>
                    <w:rPr>
                      <w:rFonts w:hint="default" w:ascii="Times New Roman" w:hAnsi="Times New Roman" w:eastAsia="宋体" w:cs="Times New Roman"/>
                      <w:b/>
                      <w:bCs/>
                      <w:color w:val="auto"/>
                      <w:kern w:val="2"/>
                      <w:sz w:val="21"/>
                      <w:szCs w:val="21"/>
                    </w:rPr>
                  </w:pPr>
                  <w:r>
                    <w:rPr>
                      <w:rFonts w:hint="eastAsia" w:ascii="宋体" w:hAnsi="宋体" w:eastAsia="宋体" w:cs="宋体"/>
                      <w:b/>
                      <w:bCs/>
                      <w:color w:val="auto"/>
                      <w:kern w:val="2"/>
                      <w:sz w:val="21"/>
                      <w:szCs w:val="21"/>
                      <w:lang w:val="en-US" w:eastAsia="zh-CN" w:bidi="ar"/>
                    </w:rPr>
                    <w:t>本项目情况</w:t>
                  </w:r>
                </w:p>
              </w:tc>
              <w:tc>
                <w:tcPr>
                  <w:tcW w:w="743" w:type="dxa"/>
                  <w:tcBorders>
                    <w:top w:val="single" w:color="auto" w:sz="4" w:space="0"/>
                    <w:left w:val="nil"/>
                    <w:bottom w:val="single" w:color="auto" w:sz="4" w:space="0"/>
                    <w:right w:val="single" w:color="auto" w:sz="4" w:space="0"/>
                  </w:tcBorders>
                  <w:shd w:val="clear" w:color="auto" w:fill="auto"/>
                  <w:vAlign w:val="center"/>
                </w:tcPr>
                <w:p w14:paraId="30868DD9">
                  <w:pPr>
                    <w:pStyle w:val="19"/>
                    <w:keepNext w:val="0"/>
                    <w:keepLines w:val="0"/>
                    <w:widowControl w:val="0"/>
                    <w:suppressLineNumbers w:val="0"/>
                    <w:autoSpaceDE w:val="0"/>
                    <w:autoSpaceDN w:val="0"/>
                    <w:adjustRightInd w:val="0"/>
                    <w:spacing w:before="0" w:beforeAutospacing="0" w:after="0" w:afterAutospacing="0" w:line="320" w:lineRule="exact"/>
                    <w:ind w:left="0" w:right="0"/>
                    <w:jc w:val="center"/>
                    <w:rPr>
                      <w:rFonts w:hint="default" w:ascii="Times New Roman" w:hAnsi="Times New Roman" w:eastAsia="宋体" w:cs="Times New Roman"/>
                      <w:b/>
                      <w:bCs/>
                      <w:color w:val="auto"/>
                      <w:kern w:val="2"/>
                      <w:sz w:val="21"/>
                      <w:szCs w:val="21"/>
                    </w:rPr>
                  </w:pPr>
                  <w:r>
                    <w:rPr>
                      <w:rFonts w:hint="eastAsia" w:ascii="宋体" w:hAnsi="宋体" w:eastAsia="宋体" w:cs="宋体"/>
                      <w:b/>
                      <w:bCs/>
                      <w:color w:val="auto"/>
                      <w:kern w:val="2"/>
                      <w:sz w:val="21"/>
                      <w:szCs w:val="21"/>
                      <w:lang w:val="en-US" w:eastAsia="zh-CN" w:bidi="ar"/>
                    </w:rPr>
                    <w:t>是否</w:t>
                  </w:r>
                </w:p>
                <w:p w14:paraId="425C084F">
                  <w:pPr>
                    <w:pStyle w:val="19"/>
                    <w:keepNext w:val="0"/>
                    <w:keepLines w:val="0"/>
                    <w:widowControl w:val="0"/>
                    <w:suppressLineNumbers w:val="0"/>
                    <w:autoSpaceDE w:val="0"/>
                    <w:autoSpaceDN w:val="0"/>
                    <w:adjustRightInd w:val="0"/>
                    <w:spacing w:before="0" w:beforeAutospacing="0" w:after="0" w:afterAutospacing="0" w:line="320" w:lineRule="exact"/>
                    <w:ind w:left="0" w:right="0"/>
                    <w:jc w:val="center"/>
                    <w:rPr>
                      <w:rFonts w:hint="default" w:ascii="Times New Roman" w:hAnsi="Times New Roman" w:eastAsia="宋体" w:cs="Times New Roman"/>
                      <w:b/>
                      <w:bCs/>
                      <w:color w:val="auto"/>
                      <w:kern w:val="2"/>
                      <w:sz w:val="21"/>
                      <w:szCs w:val="21"/>
                    </w:rPr>
                  </w:pPr>
                  <w:r>
                    <w:rPr>
                      <w:rFonts w:hint="eastAsia" w:ascii="宋体" w:hAnsi="宋体" w:eastAsia="宋体" w:cs="宋体"/>
                      <w:b/>
                      <w:bCs/>
                      <w:color w:val="auto"/>
                      <w:kern w:val="2"/>
                      <w:sz w:val="21"/>
                      <w:szCs w:val="21"/>
                      <w:lang w:val="en-US" w:eastAsia="zh-CN" w:bidi="ar"/>
                    </w:rPr>
                    <w:t>符合</w:t>
                  </w:r>
                </w:p>
              </w:tc>
            </w:tr>
            <w:tr w14:paraId="31A077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340" w:hRule="atLeast"/>
                <w:jc w:val="center"/>
              </w:trPr>
              <w:tc>
                <w:tcPr>
                  <w:tcW w:w="1121" w:type="dxa"/>
                  <w:tcBorders>
                    <w:top w:val="single" w:color="auto" w:sz="4" w:space="0"/>
                    <w:left w:val="single" w:color="auto" w:sz="4" w:space="0"/>
                    <w:bottom w:val="single" w:color="auto" w:sz="4" w:space="0"/>
                    <w:right w:val="single" w:color="auto" w:sz="4" w:space="0"/>
                  </w:tcBorders>
                  <w:shd w:val="clear" w:color="auto" w:fill="auto"/>
                  <w:vAlign w:val="center"/>
                </w:tcPr>
                <w:p w14:paraId="4D192439">
                  <w:pPr>
                    <w:pStyle w:val="19"/>
                    <w:keepNext w:val="0"/>
                    <w:keepLines w:val="0"/>
                    <w:widowControl w:val="0"/>
                    <w:suppressLineNumbers w:val="0"/>
                    <w:autoSpaceDE w:val="0"/>
                    <w:autoSpaceDN w:val="0"/>
                    <w:adjustRightInd w:val="0"/>
                    <w:spacing w:before="0" w:beforeAutospacing="0" w:after="0" w:afterAutospacing="0" w:line="320" w:lineRule="exact"/>
                    <w:ind w:left="0" w:right="0"/>
                    <w:jc w:val="center"/>
                    <w:rPr>
                      <w:rFonts w:hint="default" w:ascii="Times New Roman" w:hAnsi="Times New Roman" w:eastAsia="宋体" w:cs="Times New Roman"/>
                      <w:color w:val="auto"/>
                      <w:kern w:val="2"/>
                      <w:sz w:val="21"/>
                      <w:szCs w:val="21"/>
                    </w:rPr>
                  </w:pPr>
                  <w:r>
                    <w:rPr>
                      <w:rFonts w:hint="eastAsia" w:ascii="宋体" w:hAnsi="宋体" w:eastAsia="宋体" w:cs="宋体"/>
                      <w:color w:val="auto"/>
                      <w:kern w:val="2"/>
                      <w:sz w:val="21"/>
                      <w:szCs w:val="21"/>
                      <w:lang w:val="en-US" w:eastAsia="zh-CN" w:bidi="ar"/>
                    </w:rPr>
                    <w:t>迭代实施煤炭总量控制攻坚</w:t>
                  </w:r>
                </w:p>
              </w:tc>
              <w:tc>
                <w:tcPr>
                  <w:tcW w:w="4589" w:type="dxa"/>
                  <w:tcBorders>
                    <w:top w:val="single" w:color="auto" w:sz="4" w:space="0"/>
                    <w:left w:val="nil"/>
                    <w:bottom w:val="single" w:color="auto" w:sz="4" w:space="0"/>
                    <w:right w:val="single" w:color="auto" w:sz="4" w:space="0"/>
                  </w:tcBorders>
                  <w:shd w:val="clear" w:color="auto" w:fill="auto"/>
                  <w:vAlign w:val="center"/>
                </w:tcPr>
                <w:p w14:paraId="0A8709FA">
                  <w:pPr>
                    <w:pStyle w:val="19"/>
                    <w:keepNext w:val="0"/>
                    <w:keepLines w:val="0"/>
                    <w:widowControl w:val="0"/>
                    <w:suppressLineNumbers w:val="0"/>
                    <w:autoSpaceDE w:val="0"/>
                    <w:autoSpaceDN w:val="0"/>
                    <w:adjustRightInd w:val="0"/>
                    <w:spacing w:before="0" w:beforeAutospacing="0" w:after="0" w:afterAutospacing="0" w:line="320" w:lineRule="exact"/>
                    <w:ind w:left="0" w:right="0"/>
                    <w:jc w:val="center"/>
                    <w:rPr>
                      <w:rFonts w:hint="default" w:ascii="Times New Roman" w:hAnsi="Times New Roman" w:eastAsia="宋体" w:cs="Times New Roman"/>
                      <w:color w:val="auto"/>
                      <w:kern w:val="2"/>
                      <w:sz w:val="21"/>
                      <w:szCs w:val="21"/>
                    </w:rPr>
                  </w:pPr>
                  <w:r>
                    <w:rPr>
                      <w:rFonts w:hint="eastAsia" w:ascii="宋体" w:hAnsi="宋体" w:eastAsia="宋体" w:cs="宋体"/>
                      <w:color w:val="auto"/>
                      <w:kern w:val="2"/>
                      <w:sz w:val="21"/>
                      <w:szCs w:val="21"/>
                      <w:lang w:val="en-US" w:eastAsia="zh-CN" w:bidi="ar"/>
                    </w:rPr>
                    <w:t>依法依规落实新改扩建用煤项目煤炭减量替代要求。实施新一代煤电升级行动，有序推进老旧机组关停替代，加快</w:t>
                  </w:r>
                  <w:r>
                    <w:rPr>
                      <w:rFonts w:hint="default" w:ascii="Times New Roman" w:hAnsi="Times New Roman" w:eastAsia="宋体" w:cs="Times New Roman"/>
                      <w:color w:val="auto"/>
                      <w:kern w:val="2"/>
                      <w:sz w:val="21"/>
                      <w:szCs w:val="21"/>
                      <w:lang w:val="en-US" w:eastAsia="zh-CN" w:bidi="ar"/>
                    </w:rPr>
                    <w:t>10</w:t>
                  </w:r>
                  <w:r>
                    <w:rPr>
                      <w:rFonts w:hint="eastAsia" w:ascii="宋体" w:hAnsi="宋体" w:eastAsia="宋体" w:cs="宋体"/>
                      <w:color w:val="auto"/>
                      <w:kern w:val="2"/>
                      <w:sz w:val="21"/>
                      <w:szCs w:val="21"/>
                      <w:lang w:val="en-US" w:eastAsia="zh-CN" w:bidi="ar"/>
                    </w:rPr>
                    <w:t>万千瓦及以下燃煤机组（背压除外）关停整合。大力发展清洁低碳能源，全省新增非化石能源装机</w:t>
                  </w:r>
                  <w:r>
                    <w:rPr>
                      <w:rFonts w:hint="default" w:ascii="Times New Roman" w:hAnsi="Times New Roman" w:eastAsia="宋体" w:cs="Times New Roman"/>
                      <w:color w:val="auto"/>
                      <w:kern w:val="2"/>
                      <w:sz w:val="21"/>
                      <w:szCs w:val="21"/>
                      <w:lang w:val="en-US" w:eastAsia="zh-CN" w:bidi="ar"/>
                    </w:rPr>
                    <w:t>1000</w:t>
                  </w:r>
                  <w:r>
                    <w:rPr>
                      <w:rFonts w:hint="eastAsia" w:ascii="宋体" w:hAnsi="宋体" w:eastAsia="宋体" w:cs="宋体"/>
                      <w:color w:val="auto"/>
                      <w:kern w:val="2"/>
                      <w:sz w:val="21"/>
                      <w:szCs w:val="21"/>
                      <w:lang w:val="en-US" w:eastAsia="zh-CN" w:bidi="ar"/>
                    </w:rPr>
                    <w:t>万千瓦以上，非化石能源装机占新增电力装机比重达到</w:t>
                  </w:r>
                  <w:r>
                    <w:rPr>
                      <w:rFonts w:hint="default" w:ascii="Times New Roman" w:hAnsi="Times New Roman" w:eastAsia="宋体" w:cs="Times New Roman"/>
                      <w:color w:val="auto"/>
                      <w:kern w:val="2"/>
                      <w:sz w:val="21"/>
                      <w:szCs w:val="21"/>
                      <w:lang w:val="en-US" w:eastAsia="zh-CN" w:bidi="ar"/>
                    </w:rPr>
                    <w:t>55%</w:t>
                  </w:r>
                  <w:r>
                    <w:rPr>
                      <w:rFonts w:hint="eastAsia" w:ascii="宋体" w:hAnsi="宋体" w:eastAsia="宋体" w:cs="宋体"/>
                      <w:color w:val="auto"/>
                      <w:kern w:val="2"/>
                      <w:sz w:val="21"/>
                      <w:szCs w:val="21"/>
                      <w:lang w:val="en-US" w:eastAsia="zh-CN" w:bidi="ar"/>
                    </w:rPr>
                    <w:t>。天然气消费量达到</w:t>
                  </w:r>
                  <w:r>
                    <w:rPr>
                      <w:rFonts w:hint="default" w:ascii="Times New Roman" w:hAnsi="Times New Roman" w:eastAsia="宋体" w:cs="Times New Roman"/>
                      <w:color w:val="auto"/>
                      <w:kern w:val="2"/>
                      <w:sz w:val="21"/>
                      <w:szCs w:val="21"/>
                      <w:lang w:val="en-US" w:eastAsia="zh-CN" w:bidi="ar"/>
                    </w:rPr>
                    <w:t>220</w:t>
                  </w:r>
                  <w:r>
                    <w:rPr>
                      <w:rFonts w:hint="eastAsia" w:ascii="宋体" w:hAnsi="宋体" w:eastAsia="宋体" w:cs="宋体"/>
                      <w:color w:val="auto"/>
                      <w:kern w:val="2"/>
                      <w:sz w:val="21"/>
                      <w:szCs w:val="21"/>
                      <w:lang w:val="en-US" w:eastAsia="zh-CN" w:bidi="ar"/>
                    </w:rPr>
                    <w:t>亿立方米，非化石能源消费比重达到</w:t>
                  </w:r>
                  <w:r>
                    <w:rPr>
                      <w:rFonts w:hint="default" w:ascii="Times New Roman" w:hAnsi="Times New Roman" w:eastAsia="宋体" w:cs="Times New Roman"/>
                      <w:color w:val="auto"/>
                      <w:kern w:val="2"/>
                      <w:sz w:val="21"/>
                      <w:szCs w:val="21"/>
                      <w:lang w:val="en-US" w:eastAsia="zh-CN" w:bidi="ar"/>
                    </w:rPr>
                    <w:t>20%</w:t>
                  </w:r>
                  <w:r>
                    <w:rPr>
                      <w:rFonts w:hint="eastAsia" w:ascii="宋体" w:hAnsi="宋体" w:eastAsia="宋体" w:cs="宋体"/>
                      <w:color w:val="auto"/>
                      <w:kern w:val="2"/>
                      <w:sz w:val="21"/>
                      <w:szCs w:val="21"/>
                      <w:lang w:val="en-US" w:eastAsia="zh-CN" w:bidi="ar"/>
                    </w:rPr>
                    <w:t>。</w:t>
                  </w:r>
                </w:p>
              </w:tc>
              <w:tc>
                <w:tcPr>
                  <w:tcW w:w="1961" w:type="dxa"/>
                  <w:tcBorders>
                    <w:top w:val="single" w:color="auto" w:sz="4" w:space="0"/>
                    <w:left w:val="nil"/>
                    <w:bottom w:val="single" w:color="auto" w:sz="4" w:space="0"/>
                    <w:right w:val="single" w:color="auto" w:sz="4" w:space="0"/>
                  </w:tcBorders>
                  <w:shd w:val="clear" w:color="auto" w:fill="auto"/>
                  <w:vAlign w:val="center"/>
                </w:tcPr>
                <w:p w14:paraId="6DA0AB8D">
                  <w:pPr>
                    <w:pStyle w:val="19"/>
                    <w:keepNext w:val="0"/>
                    <w:keepLines w:val="0"/>
                    <w:widowControl w:val="0"/>
                    <w:suppressLineNumbers w:val="0"/>
                    <w:autoSpaceDE w:val="0"/>
                    <w:autoSpaceDN w:val="0"/>
                    <w:adjustRightInd w:val="0"/>
                    <w:spacing w:before="0" w:beforeAutospacing="0" w:after="0" w:afterAutospacing="0" w:line="320" w:lineRule="exact"/>
                    <w:ind w:left="0" w:right="0"/>
                    <w:jc w:val="center"/>
                    <w:rPr>
                      <w:rFonts w:hint="default" w:ascii="Times New Roman" w:hAnsi="Times New Roman" w:eastAsia="宋体" w:cs="Times New Roman"/>
                      <w:color w:val="auto"/>
                      <w:kern w:val="2"/>
                      <w:sz w:val="21"/>
                      <w:szCs w:val="21"/>
                    </w:rPr>
                  </w:pPr>
                  <w:r>
                    <w:rPr>
                      <w:rFonts w:hint="eastAsia" w:ascii="宋体" w:hAnsi="宋体" w:eastAsia="宋体" w:cs="宋体"/>
                      <w:color w:val="auto"/>
                      <w:kern w:val="2"/>
                      <w:sz w:val="21"/>
                      <w:szCs w:val="21"/>
                      <w:lang w:val="en-US" w:eastAsia="zh-CN" w:bidi="ar"/>
                    </w:rPr>
                    <w:t>本项目不涉及。</w:t>
                  </w:r>
                </w:p>
              </w:tc>
              <w:tc>
                <w:tcPr>
                  <w:tcW w:w="743" w:type="dxa"/>
                  <w:tcBorders>
                    <w:top w:val="single" w:color="auto" w:sz="4" w:space="0"/>
                    <w:left w:val="nil"/>
                    <w:bottom w:val="single" w:color="auto" w:sz="4" w:space="0"/>
                    <w:right w:val="single" w:color="auto" w:sz="4" w:space="0"/>
                  </w:tcBorders>
                  <w:shd w:val="clear" w:color="auto" w:fill="auto"/>
                  <w:vAlign w:val="center"/>
                </w:tcPr>
                <w:p w14:paraId="5AC7B447">
                  <w:pPr>
                    <w:pStyle w:val="19"/>
                    <w:keepNext w:val="0"/>
                    <w:keepLines w:val="0"/>
                    <w:widowControl w:val="0"/>
                    <w:suppressLineNumbers w:val="0"/>
                    <w:autoSpaceDE w:val="0"/>
                    <w:autoSpaceDN w:val="0"/>
                    <w:adjustRightInd w:val="0"/>
                    <w:spacing w:before="0" w:beforeAutospacing="0" w:after="0" w:afterAutospacing="0" w:line="320" w:lineRule="exact"/>
                    <w:ind w:left="0" w:right="0"/>
                    <w:jc w:val="center"/>
                    <w:rPr>
                      <w:rFonts w:hint="default" w:ascii="Times New Roman" w:hAnsi="Times New Roman" w:eastAsia="宋体" w:cs="Times New Roman"/>
                      <w:color w:val="auto"/>
                      <w:kern w:val="2"/>
                      <w:sz w:val="21"/>
                      <w:szCs w:val="21"/>
                    </w:rPr>
                  </w:pPr>
                  <w:r>
                    <w:rPr>
                      <w:rFonts w:hint="eastAsia" w:ascii="宋体" w:hAnsi="宋体" w:eastAsia="宋体" w:cs="宋体"/>
                      <w:color w:val="auto"/>
                      <w:kern w:val="2"/>
                      <w:sz w:val="21"/>
                      <w:szCs w:val="21"/>
                      <w:lang w:val="en-US" w:eastAsia="zh-CN" w:bidi="ar"/>
                    </w:rPr>
                    <w:t>不涉及</w:t>
                  </w:r>
                </w:p>
              </w:tc>
            </w:tr>
            <w:tr w14:paraId="78F4B5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340" w:hRule="atLeast"/>
                <w:jc w:val="center"/>
              </w:trPr>
              <w:tc>
                <w:tcPr>
                  <w:tcW w:w="1121" w:type="dxa"/>
                  <w:tcBorders>
                    <w:top w:val="single" w:color="auto" w:sz="4" w:space="0"/>
                    <w:left w:val="single" w:color="auto" w:sz="4" w:space="0"/>
                    <w:bottom w:val="single" w:color="auto" w:sz="4" w:space="0"/>
                    <w:right w:val="single" w:color="auto" w:sz="4" w:space="0"/>
                  </w:tcBorders>
                  <w:shd w:val="clear" w:color="auto" w:fill="auto"/>
                  <w:vAlign w:val="center"/>
                </w:tcPr>
                <w:p w14:paraId="6B2E8A7F">
                  <w:pPr>
                    <w:pStyle w:val="19"/>
                    <w:keepNext w:val="0"/>
                    <w:keepLines w:val="0"/>
                    <w:widowControl w:val="0"/>
                    <w:suppressLineNumbers w:val="0"/>
                    <w:autoSpaceDE w:val="0"/>
                    <w:autoSpaceDN w:val="0"/>
                    <w:adjustRightInd w:val="0"/>
                    <w:spacing w:before="0" w:beforeAutospacing="0" w:after="0" w:afterAutospacing="0" w:line="320" w:lineRule="exact"/>
                    <w:ind w:left="0" w:right="0"/>
                    <w:jc w:val="center"/>
                    <w:rPr>
                      <w:rFonts w:hint="default" w:ascii="Times New Roman" w:hAnsi="Times New Roman" w:eastAsia="宋体" w:cs="Times New Roman"/>
                      <w:color w:val="auto"/>
                      <w:kern w:val="2"/>
                      <w:sz w:val="21"/>
                      <w:szCs w:val="21"/>
                    </w:rPr>
                  </w:pPr>
                  <w:r>
                    <w:rPr>
                      <w:rFonts w:hint="eastAsia" w:ascii="宋体" w:hAnsi="宋体" w:eastAsia="宋体" w:cs="宋体"/>
                      <w:color w:val="auto"/>
                      <w:kern w:val="2"/>
                      <w:sz w:val="21"/>
                      <w:szCs w:val="21"/>
                      <w:lang w:val="en-US" w:eastAsia="zh-CN" w:bidi="ar"/>
                    </w:rPr>
                    <w:t>迭代实施锅炉窑炉整治提升攻坚</w:t>
                  </w:r>
                </w:p>
              </w:tc>
              <w:tc>
                <w:tcPr>
                  <w:tcW w:w="4589" w:type="dxa"/>
                  <w:tcBorders>
                    <w:top w:val="single" w:color="auto" w:sz="4" w:space="0"/>
                    <w:left w:val="nil"/>
                    <w:bottom w:val="single" w:color="auto" w:sz="4" w:space="0"/>
                    <w:right w:val="single" w:color="auto" w:sz="4" w:space="0"/>
                  </w:tcBorders>
                  <w:shd w:val="clear" w:color="auto" w:fill="auto"/>
                  <w:vAlign w:val="center"/>
                </w:tcPr>
                <w:p w14:paraId="75DF7B5B">
                  <w:pPr>
                    <w:pStyle w:val="19"/>
                    <w:keepNext w:val="0"/>
                    <w:keepLines w:val="0"/>
                    <w:widowControl w:val="0"/>
                    <w:suppressLineNumbers w:val="0"/>
                    <w:autoSpaceDE w:val="0"/>
                    <w:autoSpaceDN w:val="0"/>
                    <w:adjustRightInd w:val="0"/>
                    <w:spacing w:before="0" w:beforeAutospacing="0" w:after="0" w:afterAutospacing="0" w:line="320" w:lineRule="exact"/>
                    <w:ind w:left="0" w:right="0"/>
                    <w:jc w:val="center"/>
                    <w:rPr>
                      <w:rFonts w:hint="default" w:ascii="Times New Roman" w:hAnsi="Times New Roman" w:eastAsia="宋体" w:cs="Times New Roman"/>
                      <w:color w:val="auto"/>
                      <w:kern w:val="2"/>
                      <w:sz w:val="21"/>
                      <w:szCs w:val="21"/>
                    </w:rPr>
                  </w:pPr>
                  <w:r>
                    <w:rPr>
                      <w:rFonts w:hint="eastAsia" w:ascii="宋体" w:hAnsi="宋体" w:eastAsia="宋体" w:cs="宋体"/>
                      <w:color w:val="auto"/>
                      <w:kern w:val="2"/>
                      <w:sz w:val="21"/>
                      <w:szCs w:val="21"/>
                      <w:lang w:val="en-US" w:eastAsia="zh-CN" w:bidi="ar"/>
                    </w:rPr>
                    <w:t>原则上不再建设自备燃煤机组以及除集中供暖外的燃煤锅炉。加快推进</w:t>
                  </w:r>
                  <w:r>
                    <w:rPr>
                      <w:rFonts w:hint="default" w:ascii="Times New Roman" w:hAnsi="Times New Roman" w:eastAsia="宋体" w:cs="Times New Roman"/>
                      <w:color w:val="auto"/>
                      <w:kern w:val="2"/>
                      <w:sz w:val="21"/>
                      <w:szCs w:val="21"/>
                      <w:lang w:val="en-US" w:eastAsia="zh-CN" w:bidi="ar"/>
                    </w:rPr>
                    <w:t>30</w:t>
                  </w:r>
                  <w:r>
                    <w:rPr>
                      <w:rFonts w:hint="eastAsia" w:ascii="宋体" w:hAnsi="宋体" w:eastAsia="宋体" w:cs="宋体"/>
                      <w:color w:val="auto"/>
                      <w:kern w:val="2"/>
                      <w:sz w:val="21"/>
                      <w:szCs w:val="21"/>
                      <w:lang w:val="en-US" w:eastAsia="zh-CN" w:bidi="ar"/>
                    </w:rPr>
                    <w:t>万千瓦级别热电厂供热半径</w:t>
                  </w:r>
                  <w:r>
                    <w:rPr>
                      <w:rFonts w:hint="default" w:ascii="Times New Roman" w:hAnsi="Times New Roman" w:eastAsia="宋体" w:cs="Times New Roman"/>
                      <w:color w:val="auto"/>
                      <w:kern w:val="2"/>
                      <w:sz w:val="21"/>
                      <w:szCs w:val="21"/>
                      <w:lang w:val="en-US" w:eastAsia="zh-CN" w:bidi="ar"/>
                    </w:rPr>
                    <w:t>30</w:t>
                  </w:r>
                  <w:r>
                    <w:rPr>
                      <w:rFonts w:hint="eastAsia" w:ascii="宋体" w:hAnsi="宋体" w:eastAsia="宋体" w:cs="宋体"/>
                      <w:color w:val="auto"/>
                      <w:kern w:val="2"/>
                      <w:sz w:val="21"/>
                      <w:szCs w:val="21"/>
                      <w:lang w:val="en-US" w:eastAsia="zh-CN" w:bidi="ar"/>
                    </w:rPr>
                    <w:t>公里范围内的燃煤锅炉退出或整合，绍兴市制定滨海热电供热半径</w:t>
                  </w:r>
                  <w:r>
                    <w:rPr>
                      <w:rFonts w:hint="default" w:ascii="Times New Roman" w:hAnsi="Times New Roman" w:eastAsia="宋体" w:cs="Times New Roman"/>
                      <w:color w:val="auto"/>
                      <w:kern w:val="2"/>
                      <w:sz w:val="21"/>
                      <w:szCs w:val="21"/>
                      <w:lang w:val="en-US" w:eastAsia="zh-CN" w:bidi="ar"/>
                    </w:rPr>
                    <w:t>30</w:t>
                  </w:r>
                  <w:r>
                    <w:rPr>
                      <w:rFonts w:hint="eastAsia" w:ascii="宋体" w:hAnsi="宋体" w:eastAsia="宋体" w:cs="宋体"/>
                      <w:color w:val="auto"/>
                      <w:kern w:val="2"/>
                      <w:sz w:val="21"/>
                      <w:szCs w:val="21"/>
                      <w:lang w:val="en-US" w:eastAsia="zh-CN" w:bidi="ar"/>
                    </w:rPr>
                    <w:t>公里范围内燃煤锅炉整合方案。有序推进</w:t>
                  </w:r>
                  <w:r>
                    <w:rPr>
                      <w:rFonts w:hint="default" w:ascii="Times New Roman" w:hAnsi="Times New Roman" w:eastAsia="宋体" w:cs="Times New Roman"/>
                      <w:color w:val="auto"/>
                      <w:kern w:val="2"/>
                      <w:sz w:val="21"/>
                      <w:szCs w:val="21"/>
                      <w:lang w:val="en-US" w:eastAsia="zh-CN" w:bidi="ar"/>
                    </w:rPr>
                    <w:t>65</w:t>
                  </w:r>
                  <w:r>
                    <w:rPr>
                      <w:rFonts w:hint="eastAsia" w:ascii="宋体" w:hAnsi="宋体" w:eastAsia="宋体" w:cs="宋体"/>
                      <w:color w:val="auto"/>
                      <w:kern w:val="2"/>
                      <w:sz w:val="21"/>
                      <w:szCs w:val="21"/>
                      <w:lang w:val="en-US" w:eastAsia="zh-CN" w:bidi="ar"/>
                    </w:rPr>
                    <w:t>蒸吨</w:t>
                  </w:r>
                  <w:r>
                    <w:rPr>
                      <w:rFonts w:hint="default" w:ascii="Times New Roman" w:hAnsi="Times New Roman" w:eastAsia="宋体" w:cs="Times New Roman"/>
                      <w:color w:val="auto"/>
                      <w:kern w:val="2"/>
                      <w:sz w:val="21"/>
                      <w:szCs w:val="21"/>
                      <w:lang w:val="en-US" w:eastAsia="zh-CN" w:bidi="ar"/>
                    </w:rPr>
                    <w:t>/</w:t>
                  </w:r>
                  <w:r>
                    <w:rPr>
                      <w:rFonts w:hint="eastAsia" w:ascii="宋体" w:hAnsi="宋体" w:eastAsia="宋体" w:cs="宋体"/>
                      <w:color w:val="auto"/>
                      <w:kern w:val="2"/>
                      <w:sz w:val="21"/>
                      <w:szCs w:val="21"/>
                      <w:lang w:val="en-US" w:eastAsia="zh-CN" w:bidi="ar"/>
                    </w:rPr>
                    <w:t>小时及以下工业燃煤锅炉、</w:t>
                  </w:r>
                  <w:r>
                    <w:rPr>
                      <w:rFonts w:hint="default" w:ascii="Times New Roman" w:hAnsi="Times New Roman" w:eastAsia="宋体" w:cs="Times New Roman"/>
                      <w:color w:val="auto"/>
                      <w:kern w:val="2"/>
                      <w:sz w:val="21"/>
                      <w:szCs w:val="21"/>
                      <w:lang w:val="en-US" w:eastAsia="zh-CN" w:bidi="ar"/>
                    </w:rPr>
                    <w:t>10</w:t>
                  </w:r>
                  <w:r>
                    <w:rPr>
                      <w:rFonts w:hint="eastAsia" w:ascii="宋体" w:hAnsi="宋体" w:eastAsia="宋体" w:cs="宋体"/>
                      <w:color w:val="auto"/>
                      <w:kern w:val="2"/>
                      <w:sz w:val="21"/>
                      <w:szCs w:val="21"/>
                      <w:lang w:val="en-US" w:eastAsia="zh-CN" w:bidi="ar"/>
                    </w:rPr>
                    <w:t>蒸吨</w:t>
                  </w:r>
                  <w:r>
                    <w:rPr>
                      <w:rFonts w:hint="default" w:ascii="Times New Roman" w:hAnsi="Times New Roman" w:eastAsia="宋体" w:cs="Times New Roman"/>
                      <w:color w:val="auto"/>
                      <w:kern w:val="2"/>
                      <w:sz w:val="21"/>
                      <w:szCs w:val="21"/>
                      <w:lang w:val="en-US" w:eastAsia="zh-CN" w:bidi="ar"/>
                    </w:rPr>
                    <w:t>/</w:t>
                  </w:r>
                  <w:r>
                    <w:rPr>
                      <w:rFonts w:hint="eastAsia" w:ascii="宋体" w:hAnsi="宋体" w:eastAsia="宋体" w:cs="宋体"/>
                      <w:color w:val="auto"/>
                      <w:kern w:val="2"/>
                      <w:sz w:val="21"/>
                      <w:szCs w:val="21"/>
                      <w:lang w:val="en-US" w:eastAsia="zh-CN" w:bidi="ar"/>
                    </w:rPr>
                    <w:t>小时及以下生物质锅炉改气、改电或集中供热，加快</w:t>
                  </w:r>
                  <w:r>
                    <w:rPr>
                      <w:rFonts w:hint="default" w:ascii="Times New Roman" w:hAnsi="Times New Roman" w:eastAsia="宋体" w:cs="Times New Roman"/>
                      <w:color w:val="auto"/>
                      <w:kern w:val="2"/>
                      <w:sz w:val="21"/>
                      <w:szCs w:val="21"/>
                      <w:lang w:val="en-US" w:eastAsia="zh-CN" w:bidi="ar"/>
                    </w:rPr>
                    <w:t>40</w:t>
                  </w:r>
                  <w:r>
                    <w:rPr>
                      <w:rFonts w:hint="eastAsia" w:ascii="宋体" w:hAnsi="宋体" w:eastAsia="宋体" w:cs="宋体"/>
                      <w:color w:val="auto"/>
                      <w:kern w:val="2"/>
                      <w:sz w:val="21"/>
                      <w:szCs w:val="21"/>
                      <w:lang w:val="en-US" w:eastAsia="zh-CN" w:bidi="ar"/>
                    </w:rPr>
                    <w:t>蒸吨</w:t>
                  </w:r>
                  <w:r>
                    <w:rPr>
                      <w:rFonts w:hint="default" w:ascii="Times New Roman" w:hAnsi="Times New Roman" w:eastAsia="宋体" w:cs="Times New Roman"/>
                      <w:color w:val="auto"/>
                      <w:kern w:val="2"/>
                      <w:sz w:val="21"/>
                      <w:szCs w:val="21"/>
                      <w:lang w:val="en-US" w:eastAsia="zh-CN" w:bidi="ar"/>
                    </w:rPr>
                    <w:t>/</w:t>
                  </w:r>
                  <w:r>
                    <w:rPr>
                      <w:rFonts w:hint="eastAsia" w:ascii="宋体" w:hAnsi="宋体" w:eastAsia="宋体" w:cs="宋体"/>
                      <w:color w:val="auto"/>
                      <w:kern w:val="2"/>
                      <w:sz w:val="21"/>
                      <w:szCs w:val="21"/>
                      <w:lang w:val="en-US" w:eastAsia="zh-CN" w:bidi="ar"/>
                    </w:rPr>
                    <w:t>小时及以下工业燃煤锅炉、</w:t>
                  </w:r>
                  <w:r>
                    <w:rPr>
                      <w:rFonts w:hint="default" w:ascii="Times New Roman" w:hAnsi="Times New Roman" w:eastAsia="宋体" w:cs="Times New Roman"/>
                      <w:color w:val="auto"/>
                      <w:kern w:val="2"/>
                      <w:sz w:val="21"/>
                      <w:szCs w:val="21"/>
                      <w:lang w:val="en-US" w:eastAsia="zh-CN" w:bidi="ar"/>
                    </w:rPr>
                    <w:t>6</w:t>
                  </w:r>
                  <w:r>
                    <w:rPr>
                      <w:rFonts w:hint="eastAsia" w:ascii="宋体" w:hAnsi="宋体" w:eastAsia="宋体" w:cs="宋体"/>
                      <w:color w:val="auto"/>
                      <w:kern w:val="2"/>
                      <w:sz w:val="21"/>
                      <w:szCs w:val="21"/>
                      <w:lang w:val="en-US" w:eastAsia="zh-CN" w:bidi="ar"/>
                    </w:rPr>
                    <w:t>蒸吨</w:t>
                  </w:r>
                  <w:r>
                    <w:rPr>
                      <w:rFonts w:hint="default" w:ascii="Times New Roman" w:hAnsi="Times New Roman" w:eastAsia="宋体" w:cs="Times New Roman"/>
                      <w:color w:val="auto"/>
                      <w:kern w:val="2"/>
                      <w:sz w:val="21"/>
                      <w:szCs w:val="21"/>
                      <w:lang w:val="en-US" w:eastAsia="zh-CN" w:bidi="ar"/>
                    </w:rPr>
                    <w:t>/</w:t>
                  </w:r>
                  <w:r>
                    <w:rPr>
                      <w:rFonts w:hint="eastAsia" w:ascii="宋体" w:hAnsi="宋体" w:eastAsia="宋体" w:cs="宋体"/>
                      <w:color w:val="auto"/>
                      <w:kern w:val="2"/>
                      <w:sz w:val="21"/>
                      <w:szCs w:val="21"/>
                      <w:lang w:val="en-US" w:eastAsia="zh-CN" w:bidi="ar"/>
                    </w:rPr>
                    <w:t>小时及以下生物质锅炉的整合退出或清洁能源改造。开展</w:t>
                  </w:r>
                  <w:r>
                    <w:rPr>
                      <w:rFonts w:hint="default" w:ascii="Times New Roman" w:hAnsi="Times New Roman" w:eastAsia="宋体" w:cs="Times New Roman"/>
                      <w:color w:val="auto"/>
                      <w:kern w:val="2"/>
                      <w:sz w:val="21"/>
                      <w:szCs w:val="21"/>
                      <w:lang w:val="en-US" w:eastAsia="zh-CN" w:bidi="ar"/>
                    </w:rPr>
                    <w:t>35</w:t>
                  </w:r>
                  <w:r>
                    <w:rPr>
                      <w:rFonts w:hint="eastAsia" w:ascii="宋体" w:hAnsi="宋体" w:eastAsia="宋体" w:cs="宋体"/>
                      <w:color w:val="auto"/>
                      <w:kern w:val="2"/>
                      <w:sz w:val="21"/>
                      <w:szCs w:val="21"/>
                      <w:lang w:val="en-US" w:eastAsia="zh-CN" w:bidi="ar"/>
                    </w:rPr>
                    <w:t>蒸吨</w:t>
                  </w:r>
                  <w:r>
                    <w:rPr>
                      <w:rFonts w:hint="default" w:ascii="Times New Roman" w:hAnsi="Times New Roman" w:eastAsia="宋体" w:cs="Times New Roman"/>
                      <w:color w:val="auto"/>
                      <w:kern w:val="2"/>
                      <w:sz w:val="21"/>
                      <w:szCs w:val="21"/>
                      <w:lang w:val="en-US" w:eastAsia="zh-CN" w:bidi="ar"/>
                    </w:rPr>
                    <w:t>/</w:t>
                  </w:r>
                  <w:r>
                    <w:rPr>
                      <w:rFonts w:hint="eastAsia" w:ascii="宋体" w:hAnsi="宋体" w:eastAsia="宋体" w:cs="宋体"/>
                      <w:color w:val="auto"/>
                      <w:kern w:val="2"/>
                      <w:sz w:val="21"/>
                      <w:szCs w:val="21"/>
                      <w:lang w:val="en-US" w:eastAsia="zh-CN" w:bidi="ar"/>
                    </w:rPr>
                    <w:t>小时及以下燃煤锅炉、</w:t>
                  </w:r>
                  <w:r>
                    <w:rPr>
                      <w:rFonts w:hint="default" w:ascii="Times New Roman" w:hAnsi="Times New Roman" w:eastAsia="宋体" w:cs="Times New Roman"/>
                      <w:color w:val="auto"/>
                      <w:kern w:val="2"/>
                      <w:sz w:val="21"/>
                      <w:szCs w:val="21"/>
                      <w:lang w:val="en-US" w:eastAsia="zh-CN" w:bidi="ar"/>
                    </w:rPr>
                    <w:t>2</w:t>
                  </w:r>
                  <w:r>
                    <w:rPr>
                      <w:rFonts w:hint="eastAsia" w:ascii="宋体" w:hAnsi="宋体" w:eastAsia="宋体" w:cs="宋体"/>
                      <w:color w:val="auto"/>
                      <w:kern w:val="2"/>
                      <w:sz w:val="21"/>
                      <w:szCs w:val="21"/>
                      <w:lang w:val="en-US" w:eastAsia="zh-CN" w:bidi="ar"/>
                    </w:rPr>
                    <w:t>蒸吨</w:t>
                  </w:r>
                  <w:r>
                    <w:rPr>
                      <w:rFonts w:hint="default" w:ascii="Times New Roman" w:hAnsi="Times New Roman" w:eastAsia="宋体" w:cs="Times New Roman"/>
                      <w:color w:val="auto"/>
                      <w:kern w:val="2"/>
                      <w:sz w:val="21"/>
                      <w:szCs w:val="21"/>
                      <w:lang w:val="en-US" w:eastAsia="zh-CN" w:bidi="ar"/>
                    </w:rPr>
                    <w:t>/</w:t>
                  </w:r>
                  <w:r>
                    <w:rPr>
                      <w:rFonts w:hint="eastAsia" w:ascii="宋体" w:hAnsi="宋体" w:eastAsia="宋体" w:cs="宋体"/>
                      <w:color w:val="auto"/>
                      <w:kern w:val="2"/>
                      <w:sz w:val="21"/>
                      <w:szCs w:val="21"/>
                      <w:lang w:val="en-US" w:eastAsia="zh-CN" w:bidi="ar"/>
                    </w:rPr>
                    <w:t>小时及以下生物质锅炉淘汰改造“回头看”行动。全力实施工业炉窑改造提升，完成化工、玻璃等行业现有石油焦、重油、渣油、煤焦油等高污染燃料工业炉窑淘汰或清洁能源替代，杭州市完成</w:t>
                  </w:r>
                  <w:r>
                    <w:rPr>
                      <w:rFonts w:hint="default" w:ascii="Times New Roman" w:hAnsi="Times New Roman" w:eastAsia="宋体" w:cs="Times New Roman"/>
                      <w:color w:val="auto"/>
                      <w:kern w:val="2"/>
                      <w:sz w:val="21"/>
                      <w:szCs w:val="21"/>
                      <w:lang w:val="en-US" w:eastAsia="zh-CN" w:bidi="ar"/>
                    </w:rPr>
                    <w:t>12</w:t>
                  </w:r>
                  <w:r>
                    <w:rPr>
                      <w:rFonts w:hint="eastAsia" w:ascii="宋体" w:hAnsi="宋体" w:eastAsia="宋体" w:cs="宋体"/>
                      <w:color w:val="auto"/>
                      <w:kern w:val="2"/>
                      <w:sz w:val="21"/>
                      <w:szCs w:val="21"/>
                      <w:lang w:val="en-US" w:eastAsia="zh-CN" w:bidi="ar"/>
                    </w:rPr>
                    <w:t>台煤气发生炉淘汰、嘉兴市完成</w:t>
                  </w:r>
                  <w:r>
                    <w:rPr>
                      <w:rFonts w:hint="default" w:ascii="Times New Roman" w:hAnsi="Times New Roman" w:eastAsia="宋体" w:cs="Times New Roman"/>
                      <w:color w:val="auto"/>
                      <w:kern w:val="2"/>
                      <w:sz w:val="21"/>
                      <w:szCs w:val="21"/>
                      <w:lang w:val="en-US" w:eastAsia="zh-CN" w:bidi="ar"/>
                    </w:rPr>
                    <w:t>7</w:t>
                  </w:r>
                  <w:r>
                    <w:rPr>
                      <w:rFonts w:hint="eastAsia" w:ascii="宋体" w:hAnsi="宋体" w:eastAsia="宋体" w:cs="宋体"/>
                      <w:color w:val="auto"/>
                      <w:kern w:val="2"/>
                      <w:sz w:val="21"/>
                      <w:szCs w:val="21"/>
                      <w:lang w:val="en-US" w:eastAsia="zh-CN" w:bidi="ar"/>
                    </w:rPr>
                    <w:t>台玻璃炉窑清洁能源替代。烧结砖隧道窑外投燃料为煤及其制品、生物质的，力争</w:t>
                  </w:r>
                  <w:r>
                    <w:rPr>
                      <w:rFonts w:hint="default" w:ascii="Times New Roman" w:hAnsi="Times New Roman" w:eastAsia="宋体" w:cs="Times New Roman"/>
                      <w:color w:val="auto"/>
                      <w:kern w:val="2"/>
                      <w:sz w:val="21"/>
                      <w:szCs w:val="21"/>
                      <w:lang w:val="en-US" w:eastAsia="zh-CN" w:bidi="ar"/>
                    </w:rPr>
                    <w:t>50%</w:t>
                  </w:r>
                  <w:r>
                    <w:rPr>
                      <w:rFonts w:hint="eastAsia" w:ascii="宋体" w:hAnsi="宋体" w:eastAsia="宋体" w:cs="宋体"/>
                      <w:color w:val="auto"/>
                      <w:kern w:val="2"/>
                      <w:sz w:val="21"/>
                      <w:szCs w:val="21"/>
                      <w:lang w:val="en-US" w:eastAsia="zh-CN" w:bidi="ar"/>
                    </w:rPr>
                    <w:t>以上改用天然气等清洁能源或拆除外投装置，推动以煤为燃料的工业炉窑实施煤改气、改电等改造</w:t>
                  </w:r>
                  <w:r>
                    <w:rPr>
                      <w:rFonts w:hint="default" w:ascii="Times New Roman" w:hAnsi="Times New Roman" w:eastAsia="宋体" w:cs="Times New Roman"/>
                      <w:color w:val="auto"/>
                      <w:kern w:val="2"/>
                      <w:sz w:val="21"/>
                      <w:szCs w:val="21"/>
                      <w:lang w:val="en-US" w:eastAsia="zh-CN" w:bidi="ar"/>
                    </w:rPr>
                    <w:t>1</w:t>
                  </w:r>
                  <w:r>
                    <w:rPr>
                      <w:rFonts w:hint="eastAsia" w:ascii="宋体" w:hAnsi="宋体" w:eastAsia="宋体" w:cs="宋体"/>
                      <w:color w:val="auto"/>
                      <w:kern w:val="2"/>
                      <w:sz w:val="21"/>
                      <w:szCs w:val="21"/>
                      <w:lang w:val="en-US" w:eastAsia="zh-CN" w:bidi="ar"/>
                    </w:rPr>
                    <w:t>。新改扩建加热炉、热处理炉、干燥炉、熔化炉原则上采用清洁低碳能源。</w:t>
                  </w:r>
                </w:p>
              </w:tc>
              <w:tc>
                <w:tcPr>
                  <w:tcW w:w="1961" w:type="dxa"/>
                  <w:tcBorders>
                    <w:top w:val="single" w:color="auto" w:sz="4" w:space="0"/>
                    <w:left w:val="nil"/>
                    <w:bottom w:val="single" w:color="auto" w:sz="4" w:space="0"/>
                    <w:right w:val="single" w:color="auto" w:sz="4" w:space="0"/>
                  </w:tcBorders>
                  <w:shd w:val="clear" w:color="auto" w:fill="auto"/>
                  <w:vAlign w:val="center"/>
                </w:tcPr>
                <w:p w14:paraId="258FAA77">
                  <w:pPr>
                    <w:pStyle w:val="19"/>
                    <w:keepNext w:val="0"/>
                    <w:keepLines w:val="0"/>
                    <w:widowControl w:val="0"/>
                    <w:suppressLineNumbers w:val="0"/>
                    <w:autoSpaceDE w:val="0"/>
                    <w:autoSpaceDN w:val="0"/>
                    <w:adjustRightInd w:val="0"/>
                    <w:spacing w:before="0" w:beforeAutospacing="0" w:after="0" w:afterAutospacing="0" w:line="320" w:lineRule="exact"/>
                    <w:ind w:left="0" w:right="0"/>
                    <w:jc w:val="center"/>
                    <w:rPr>
                      <w:rFonts w:hint="default" w:ascii="Times New Roman" w:hAnsi="Times New Roman" w:eastAsia="宋体" w:cs="Times New Roman"/>
                      <w:color w:val="auto"/>
                      <w:kern w:val="2"/>
                      <w:sz w:val="21"/>
                      <w:szCs w:val="21"/>
                    </w:rPr>
                  </w:pPr>
                  <w:r>
                    <w:rPr>
                      <w:rFonts w:hint="eastAsia" w:ascii="宋体" w:hAnsi="宋体" w:eastAsia="宋体" w:cs="宋体"/>
                      <w:color w:val="auto"/>
                      <w:kern w:val="2"/>
                      <w:sz w:val="21"/>
                      <w:szCs w:val="21"/>
                      <w:lang w:val="en-US" w:eastAsia="zh-CN" w:bidi="ar"/>
                    </w:rPr>
                    <w:t>本项目不涉及锅炉。</w:t>
                  </w:r>
                </w:p>
              </w:tc>
              <w:tc>
                <w:tcPr>
                  <w:tcW w:w="743" w:type="dxa"/>
                  <w:tcBorders>
                    <w:top w:val="single" w:color="auto" w:sz="4" w:space="0"/>
                    <w:left w:val="nil"/>
                    <w:bottom w:val="single" w:color="auto" w:sz="4" w:space="0"/>
                    <w:right w:val="single" w:color="auto" w:sz="4" w:space="0"/>
                  </w:tcBorders>
                  <w:shd w:val="clear" w:color="auto" w:fill="auto"/>
                  <w:vAlign w:val="center"/>
                </w:tcPr>
                <w:p w14:paraId="7A7352C1">
                  <w:pPr>
                    <w:pStyle w:val="19"/>
                    <w:keepNext w:val="0"/>
                    <w:keepLines w:val="0"/>
                    <w:widowControl w:val="0"/>
                    <w:suppressLineNumbers w:val="0"/>
                    <w:autoSpaceDE w:val="0"/>
                    <w:autoSpaceDN w:val="0"/>
                    <w:adjustRightInd w:val="0"/>
                    <w:spacing w:before="0" w:beforeAutospacing="0" w:after="0" w:afterAutospacing="0" w:line="320" w:lineRule="exact"/>
                    <w:ind w:left="0" w:right="0"/>
                    <w:jc w:val="center"/>
                    <w:rPr>
                      <w:rFonts w:hint="default" w:ascii="Times New Roman" w:hAnsi="Times New Roman" w:eastAsia="宋体" w:cs="Times New Roman"/>
                      <w:color w:val="auto"/>
                      <w:kern w:val="2"/>
                      <w:sz w:val="21"/>
                      <w:szCs w:val="21"/>
                    </w:rPr>
                  </w:pPr>
                  <w:r>
                    <w:rPr>
                      <w:rFonts w:hint="eastAsia" w:ascii="宋体" w:hAnsi="宋体" w:eastAsia="宋体" w:cs="宋体"/>
                      <w:color w:val="auto"/>
                      <w:kern w:val="2"/>
                      <w:sz w:val="21"/>
                      <w:szCs w:val="21"/>
                      <w:lang w:val="en-US" w:eastAsia="zh-CN" w:bidi="ar"/>
                    </w:rPr>
                    <w:t>符合</w:t>
                  </w:r>
                </w:p>
              </w:tc>
            </w:tr>
            <w:tr w14:paraId="7B4C6A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340" w:hRule="atLeast"/>
                <w:jc w:val="center"/>
              </w:trPr>
              <w:tc>
                <w:tcPr>
                  <w:tcW w:w="1121" w:type="dxa"/>
                  <w:tcBorders>
                    <w:top w:val="single" w:color="auto" w:sz="4" w:space="0"/>
                    <w:left w:val="single" w:color="auto" w:sz="4" w:space="0"/>
                    <w:bottom w:val="single" w:color="auto" w:sz="4" w:space="0"/>
                    <w:right w:val="single" w:color="auto" w:sz="4" w:space="0"/>
                  </w:tcBorders>
                  <w:shd w:val="clear" w:color="auto" w:fill="auto"/>
                  <w:vAlign w:val="center"/>
                </w:tcPr>
                <w:p w14:paraId="0C2128FF">
                  <w:pPr>
                    <w:pStyle w:val="19"/>
                    <w:keepNext w:val="0"/>
                    <w:keepLines w:val="0"/>
                    <w:widowControl w:val="0"/>
                    <w:suppressLineNumbers w:val="0"/>
                    <w:autoSpaceDE w:val="0"/>
                    <w:autoSpaceDN w:val="0"/>
                    <w:adjustRightInd w:val="0"/>
                    <w:spacing w:before="0" w:beforeAutospacing="0" w:after="0" w:afterAutospacing="0" w:line="320" w:lineRule="exact"/>
                    <w:ind w:left="0" w:right="0"/>
                    <w:jc w:val="center"/>
                    <w:rPr>
                      <w:rFonts w:hint="default" w:ascii="Times New Roman" w:hAnsi="Times New Roman" w:eastAsia="宋体" w:cs="Times New Roman"/>
                      <w:color w:val="auto"/>
                      <w:kern w:val="2"/>
                      <w:sz w:val="21"/>
                      <w:szCs w:val="21"/>
                    </w:rPr>
                  </w:pPr>
                  <w:r>
                    <w:rPr>
                      <w:rFonts w:hint="eastAsia" w:ascii="宋体" w:hAnsi="宋体" w:eastAsia="宋体" w:cs="宋体"/>
                      <w:color w:val="auto"/>
                      <w:kern w:val="2"/>
                      <w:sz w:val="21"/>
                      <w:szCs w:val="21"/>
                      <w:lang w:val="en-US" w:eastAsia="zh-CN" w:bidi="ar"/>
                    </w:rPr>
                    <w:t>迭代实施产业准入源头优化攻坚</w:t>
                  </w:r>
                </w:p>
              </w:tc>
              <w:tc>
                <w:tcPr>
                  <w:tcW w:w="4589" w:type="dxa"/>
                  <w:tcBorders>
                    <w:top w:val="single" w:color="auto" w:sz="4" w:space="0"/>
                    <w:left w:val="nil"/>
                    <w:bottom w:val="single" w:color="auto" w:sz="4" w:space="0"/>
                    <w:right w:val="single" w:color="auto" w:sz="4" w:space="0"/>
                  </w:tcBorders>
                  <w:shd w:val="clear" w:color="auto" w:fill="auto"/>
                  <w:vAlign w:val="center"/>
                </w:tcPr>
                <w:p w14:paraId="225AE433">
                  <w:pPr>
                    <w:pStyle w:val="19"/>
                    <w:keepNext w:val="0"/>
                    <w:keepLines w:val="0"/>
                    <w:widowControl w:val="0"/>
                    <w:suppressLineNumbers w:val="0"/>
                    <w:autoSpaceDE w:val="0"/>
                    <w:autoSpaceDN w:val="0"/>
                    <w:adjustRightInd w:val="0"/>
                    <w:spacing w:before="0" w:beforeAutospacing="0" w:after="0" w:afterAutospacing="0" w:line="320" w:lineRule="exact"/>
                    <w:ind w:left="0" w:right="0"/>
                    <w:jc w:val="center"/>
                    <w:rPr>
                      <w:rFonts w:hint="default" w:ascii="Times New Roman" w:hAnsi="Times New Roman" w:eastAsia="宋体" w:cs="Times New Roman"/>
                      <w:color w:val="auto"/>
                      <w:kern w:val="2"/>
                      <w:sz w:val="21"/>
                      <w:szCs w:val="21"/>
                    </w:rPr>
                  </w:pPr>
                  <w:r>
                    <w:rPr>
                      <w:rFonts w:hint="eastAsia" w:ascii="宋体" w:hAnsi="宋体" w:eastAsia="宋体" w:cs="宋体"/>
                      <w:color w:val="auto"/>
                      <w:kern w:val="2"/>
                      <w:sz w:val="21"/>
                      <w:szCs w:val="21"/>
                      <w:lang w:val="en-US" w:eastAsia="zh-CN" w:bidi="ar"/>
                    </w:rPr>
                    <w:t>坚决遏制高能耗、高排放项目盲目建设，对存量“两高”项目分批实施“一项一策”绿色转型方案。新建及具备条件的改、扩建“两高”项目，应达到大气环境绩效</w:t>
                  </w:r>
                  <w:r>
                    <w:rPr>
                      <w:rFonts w:hint="default" w:ascii="Times New Roman" w:hAnsi="Times New Roman" w:eastAsia="宋体" w:cs="Times New Roman"/>
                      <w:color w:val="auto"/>
                      <w:kern w:val="2"/>
                      <w:sz w:val="21"/>
                      <w:szCs w:val="21"/>
                      <w:lang w:val="en-US" w:eastAsia="zh-CN" w:bidi="ar"/>
                    </w:rPr>
                    <w:t>A</w:t>
                  </w:r>
                  <w:r>
                    <w:rPr>
                      <w:rFonts w:hint="eastAsia" w:ascii="宋体" w:hAnsi="宋体" w:eastAsia="宋体" w:cs="宋体"/>
                      <w:color w:val="auto"/>
                      <w:kern w:val="2"/>
                      <w:sz w:val="21"/>
                      <w:szCs w:val="21"/>
                      <w:lang w:val="en-US" w:eastAsia="zh-CN" w:bidi="ar"/>
                    </w:rPr>
                    <w:t>级和能效标杆水平，采用清洁运输方式。空气质量未达标城市新、改、扩建项目严格落实主要大气污染物倍量削减。严控基础石化产品产能和新增化工园区，原则上不再新建生产和使用含高挥发性有机物（</w:t>
                  </w:r>
                  <w:r>
                    <w:rPr>
                      <w:rFonts w:hint="default" w:ascii="Times New Roman" w:hAnsi="Times New Roman" w:eastAsia="宋体" w:cs="Times New Roman"/>
                      <w:color w:val="auto"/>
                      <w:kern w:val="2"/>
                      <w:sz w:val="21"/>
                      <w:szCs w:val="21"/>
                      <w:lang w:val="en-US" w:eastAsia="zh-CN" w:bidi="ar"/>
                    </w:rPr>
                    <w:t>VOCs</w:t>
                  </w:r>
                  <w:r>
                    <w:rPr>
                      <w:rFonts w:hint="eastAsia" w:ascii="宋体" w:hAnsi="宋体" w:eastAsia="宋体" w:cs="宋体"/>
                      <w:color w:val="auto"/>
                      <w:kern w:val="2"/>
                      <w:sz w:val="21"/>
                      <w:szCs w:val="21"/>
                      <w:lang w:val="en-US" w:eastAsia="zh-CN" w:bidi="ar"/>
                    </w:rPr>
                    <w:t>）涂料、油墨、胶粘剂、清洗剂等项目。加大重点行业低（无）</w:t>
                  </w:r>
                  <w:r>
                    <w:rPr>
                      <w:rFonts w:hint="default" w:ascii="Times New Roman" w:hAnsi="Times New Roman" w:eastAsia="宋体" w:cs="Times New Roman"/>
                      <w:color w:val="auto"/>
                      <w:kern w:val="2"/>
                      <w:sz w:val="21"/>
                      <w:szCs w:val="21"/>
                      <w:lang w:val="en-US" w:eastAsia="zh-CN" w:bidi="ar"/>
                    </w:rPr>
                    <w:t>VOCs</w:t>
                  </w:r>
                  <w:r>
                    <w:rPr>
                      <w:rFonts w:hint="eastAsia" w:ascii="宋体" w:hAnsi="宋体" w:eastAsia="宋体" w:cs="宋体"/>
                      <w:color w:val="auto"/>
                      <w:kern w:val="2"/>
                      <w:sz w:val="21"/>
                      <w:szCs w:val="21"/>
                      <w:lang w:val="en-US" w:eastAsia="zh-CN" w:bidi="ar"/>
                    </w:rPr>
                    <w:t>原辅料替代力度，持续推动汽车制造、工程机械、车辆零部件等行业涂装工段、包装印刷、纺织后整理以及皮革制品、制鞋、板材制造等胶粘过程的低（无）</w:t>
                  </w:r>
                  <w:r>
                    <w:rPr>
                      <w:rFonts w:hint="default" w:ascii="Times New Roman" w:hAnsi="Times New Roman" w:eastAsia="宋体" w:cs="Times New Roman"/>
                      <w:color w:val="auto"/>
                      <w:kern w:val="2"/>
                      <w:sz w:val="21"/>
                      <w:szCs w:val="21"/>
                      <w:lang w:val="en-US" w:eastAsia="zh-CN" w:bidi="ar"/>
                    </w:rPr>
                    <w:t>VOCs</w:t>
                  </w:r>
                  <w:r>
                    <w:rPr>
                      <w:rFonts w:hint="eastAsia" w:ascii="宋体" w:hAnsi="宋体" w:eastAsia="宋体" w:cs="宋体"/>
                      <w:color w:val="auto"/>
                      <w:kern w:val="2"/>
                      <w:sz w:val="21"/>
                      <w:szCs w:val="21"/>
                      <w:lang w:val="en-US" w:eastAsia="zh-CN" w:bidi="ar"/>
                    </w:rPr>
                    <w:t>原辅材料替代，全年完成</w:t>
                  </w:r>
                  <w:r>
                    <w:rPr>
                      <w:rFonts w:hint="default" w:ascii="Times New Roman" w:hAnsi="Times New Roman" w:eastAsia="宋体" w:cs="Times New Roman"/>
                      <w:color w:val="auto"/>
                      <w:kern w:val="2"/>
                      <w:sz w:val="21"/>
                      <w:szCs w:val="21"/>
                      <w:lang w:val="en-US" w:eastAsia="zh-CN" w:bidi="ar"/>
                    </w:rPr>
                    <w:t>1000</w:t>
                  </w:r>
                  <w:r>
                    <w:rPr>
                      <w:rFonts w:hint="eastAsia" w:ascii="宋体" w:hAnsi="宋体" w:eastAsia="宋体" w:cs="宋体"/>
                      <w:color w:val="auto"/>
                      <w:kern w:val="2"/>
                      <w:sz w:val="21"/>
                      <w:szCs w:val="21"/>
                      <w:lang w:val="en-US" w:eastAsia="zh-CN" w:bidi="ar"/>
                    </w:rPr>
                    <w:t>家以上企业低（无）</w:t>
                  </w:r>
                  <w:r>
                    <w:rPr>
                      <w:rFonts w:hint="default" w:ascii="Times New Roman" w:hAnsi="Times New Roman" w:eastAsia="宋体" w:cs="Times New Roman"/>
                      <w:color w:val="auto"/>
                      <w:kern w:val="2"/>
                      <w:sz w:val="21"/>
                      <w:szCs w:val="21"/>
                      <w:lang w:val="en-US" w:eastAsia="zh-CN" w:bidi="ar"/>
                    </w:rPr>
                    <w:t>VOCs</w:t>
                  </w:r>
                  <w:r>
                    <w:rPr>
                      <w:rFonts w:hint="eastAsia" w:ascii="宋体" w:hAnsi="宋体" w:eastAsia="宋体" w:cs="宋体"/>
                      <w:color w:val="auto"/>
                      <w:kern w:val="2"/>
                      <w:sz w:val="21"/>
                      <w:szCs w:val="21"/>
                      <w:lang w:val="en-US" w:eastAsia="zh-CN" w:bidi="ar"/>
                    </w:rPr>
                    <w:t>源头替代。</w:t>
                  </w:r>
                </w:p>
              </w:tc>
              <w:tc>
                <w:tcPr>
                  <w:tcW w:w="1961" w:type="dxa"/>
                  <w:tcBorders>
                    <w:top w:val="single" w:color="auto" w:sz="4" w:space="0"/>
                    <w:left w:val="nil"/>
                    <w:bottom w:val="single" w:color="auto" w:sz="4" w:space="0"/>
                    <w:right w:val="single" w:color="auto" w:sz="4" w:space="0"/>
                  </w:tcBorders>
                  <w:shd w:val="clear" w:color="auto" w:fill="auto"/>
                  <w:vAlign w:val="center"/>
                </w:tcPr>
                <w:p w14:paraId="2C9C53C7">
                  <w:pPr>
                    <w:pStyle w:val="19"/>
                    <w:keepNext w:val="0"/>
                    <w:keepLines w:val="0"/>
                    <w:widowControl w:val="0"/>
                    <w:suppressLineNumbers w:val="0"/>
                    <w:autoSpaceDE w:val="0"/>
                    <w:autoSpaceDN w:val="0"/>
                    <w:adjustRightInd w:val="0"/>
                    <w:spacing w:before="0" w:beforeAutospacing="0" w:after="0" w:afterAutospacing="0" w:line="320" w:lineRule="exact"/>
                    <w:ind w:left="0" w:right="0"/>
                    <w:jc w:val="both"/>
                    <w:rPr>
                      <w:rFonts w:hint="default" w:ascii="Times New Roman" w:hAnsi="Times New Roman" w:eastAsia="宋体" w:cs="Times New Roman"/>
                      <w:color w:val="auto"/>
                      <w:kern w:val="2"/>
                      <w:sz w:val="21"/>
                      <w:szCs w:val="21"/>
                    </w:rPr>
                  </w:pPr>
                  <w:r>
                    <w:rPr>
                      <w:rFonts w:hint="default" w:ascii="Times New Roman" w:hAnsi="Times New Roman" w:eastAsia="宋体" w:cs="Times New Roman"/>
                      <w:color w:val="auto"/>
                      <w:kern w:val="2"/>
                      <w:sz w:val="21"/>
                      <w:szCs w:val="21"/>
                      <w:lang w:val="en-US" w:eastAsia="zh-CN" w:bidi="ar"/>
                    </w:rPr>
                    <w:t>根据《环境保护综合名录》（2021年版），本项目不属于高污染产品，根据《浙江省固定资产投资项目能耗平衡和煤炭消费减量替代管理办法（试行）》本项目不属于高耗能行业。</w:t>
                  </w:r>
                </w:p>
                <w:p w14:paraId="6985054A">
                  <w:pPr>
                    <w:pStyle w:val="19"/>
                    <w:keepNext w:val="0"/>
                    <w:keepLines w:val="0"/>
                    <w:widowControl w:val="0"/>
                    <w:suppressLineNumbers w:val="0"/>
                    <w:autoSpaceDE w:val="0"/>
                    <w:autoSpaceDN w:val="0"/>
                    <w:adjustRightInd w:val="0"/>
                    <w:spacing w:before="0" w:beforeAutospacing="0" w:after="0" w:afterAutospacing="0" w:line="320" w:lineRule="exact"/>
                    <w:ind w:left="0" w:right="0"/>
                    <w:jc w:val="both"/>
                    <w:rPr>
                      <w:rFonts w:hint="default" w:ascii="Times New Roman" w:hAnsi="Times New Roman" w:eastAsia="宋体" w:cs="Times New Roman"/>
                      <w:color w:val="auto"/>
                      <w:kern w:val="2"/>
                      <w:sz w:val="21"/>
                      <w:szCs w:val="21"/>
                    </w:rPr>
                  </w:pPr>
                  <w:r>
                    <w:rPr>
                      <w:rFonts w:hint="default" w:ascii="Times New Roman" w:hAnsi="Times New Roman" w:eastAsia="宋体" w:cs="Times New Roman"/>
                      <w:color w:val="auto"/>
                      <w:kern w:val="2"/>
                      <w:sz w:val="21"/>
                      <w:szCs w:val="21"/>
                      <w:lang w:val="en-US" w:eastAsia="zh-CN" w:bidi="ar"/>
                    </w:rPr>
                    <w:t>本项目新增的颗粒物、挥发性有机物替代比例为1:2。</w:t>
                  </w:r>
                </w:p>
                <w:p w14:paraId="3A3B3CB3">
                  <w:pPr>
                    <w:pStyle w:val="19"/>
                    <w:keepNext w:val="0"/>
                    <w:keepLines w:val="0"/>
                    <w:widowControl w:val="0"/>
                    <w:suppressLineNumbers w:val="0"/>
                    <w:autoSpaceDE w:val="0"/>
                    <w:autoSpaceDN w:val="0"/>
                    <w:adjustRightInd w:val="0"/>
                    <w:spacing w:before="0" w:beforeAutospacing="0" w:after="0" w:afterAutospacing="0" w:line="320" w:lineRule="exact"/>
                    <w:ind w:left="0" w:right="0"/>
                    <w:jc w:val="both"/>
                    <w:rPr>
                      <w:rFonts w:hint="default" w:ascii="Times New Roman" w:hAnsi="Times New Roman" w:eastAsia="宋体" w:cs="Times New Roman"/>
                      <w:color w:val="auto"/>
                      <w:kern w:val="2"/>
                      <w:sz w:val="21"/>
                      <w:szCs w:val="21"/>
                    </w:rPr>
                  </w:pPr>
                  <w:r>
                    <w:rPr>
                      <w:rFonts w:hint="default" w:ascii="Times New Roman" w:hAnsi="Times New Roman" w:eastAsia="宋体" w:cs="Times New Roman"/>
                      <w:color w:val="auto"/>
                      <w:kern w:val="2"/>
                      <w:sz w:val="21"/>
                      <w:szCs w:val="21"/>
                      <w:lang w:val="en-US" w:eastAsia="zh-CN" w:bidi="ar"/>
                    </w:rPr>
                    <w:t>本项目使用背胶处理剂，根据《胶粘剂挥发性有机化合物限量》（GB33372-2020）表3中的要求：</w:t>
                  </w:r>
                  <w:r>
                    <w:rPr>
                      <w:rFonts w:hint="eastAsia" w:ascii="Times New Roman" w:hAnsi="Times New Roman" w:eastAsia="宋体" w:cs="Times New Roman"/>
                      <w:color w:val="auto"/>
                      <w:kern w:val="2"/>
                      <w:sz w:val="21"/>
                      <w:szCs w:val="21"/>
                      <w:lang w:val="en-US" w:eastAsia="zh-CN" w:bidi="ar"/>
                    </w:rPr>
                    <w:t>“</w:t>
                  </w:r>
                  <w:r>
                    <w:rPr>
                      <w:rFonts w:hint="default" w:ascii="Times New Roman" w:hAnsi="Times New Roman" w:eastAsia="宋体" w:cs="Times New Roman"/>
                      <w:color w:val="auto"/>
                      <w:kern w:val="2"/>
                      <w:sz w:val="21"/>
                      <w:szCs w:val="21"/>
                      <w:lang w:val="en-US" w:eastAsia="zh-CN" w:bidi="ar"/>
                    </w:rPr>
                    <w:t>其他</w:t>
                  </w:r>
                  <w:r>
                    <w:rPr>
                      <w:rFonts w:hint="eastAsia" w:ascii="Times New Roman" w:hAnsi="Times New Roman" w:eastAsia="宋体" w:cs="Times New Roman"/>
                      <w:color w:val="auto"/>
                      <w:kern w:val="2"/>
                      <w:sz w:val="21"/>
                      <w:szCs w:val="21"/>
                      <w:lang w:val="en-US" w:eastAsia="zh-CN" w:bidi="ar"/>
                    </w:rPr>
                    <w:t>”</w:t>
                  </w:r>
                  <w:r>
                    <w:rPr>
                      <w:rFonts w:hint="default" w:ascii="Times New Roman" w:hAnsi="Times New Roman" w:eastAsia="宋体" w:cs="Times New Roman"/>
                      <w:color w:val="auto"/>
                      <w:kern w:val="2"/>
                      <w:sz w:val="21"/>
                      <w:szCs w:val="21"/>
                      <w:lang w:val="en-US" w:eastAsia="zh-CN" w:bidi="ar"/>
                    </w:rPr>
                    <w:t>应用领域中的</w:t>
                  </w:r>
                  <w:r>
                    <w:rPr>
                      <w:rFonts w:hint="eastAsia" w:ascii="Times New Roman" w:hAnsi="Times New Roman" w:eastAsia="宋体" w:cs="Times New Roman"/>
                      <w:color w:val="auto"/>
                      <w:kern w:val="2"/>
                      <w:sz w:val="21"/>
                      <w:szCs w:val="21"/>
                      <w:lang w:val="en-US" w:eastAsia="zh-CN" w:bidi="ar"/>
                    </w:rPr>
                    <w:t>“</w:t>
                  </w:r>
                  <w:r>
                    <w:rPr>
                      <w:rFonts w:hint="default" w:ascii="Times New Roman" w:hAnsi="Times New Roman" w:eastAsia="宋体" w:cs="Times New Roman"/>
                      <w:color w:val="auto"/>
                      <w:kern w:val="2"/>
                      <w:sz w:val="21"/>
                      <w:szCs w:val="21"/>
                      <w:lang w:val="en-US" w:eastAsia="zh-CN" w:bidi="ar"/>
                    </w:rPr>
                    <w:t>其他</w:t>
                  </w:r>
                  <w:r>
                    <w:rPr>
                      <w:rFonts w:hint="eastAsia" w:ascii="Times New Roman" w:hAnsi="Times New Roman" w:eastAsia="宋体" w:cs="Times New Roman"/>
                      <w:color w:val="auto"/>
                      <w:kern w:val="2"/>
                      <w:sz w:val="21"/>
                      <w:szCs w:val="21"/>
                      <w:lang w:val="en-US" w:eastAsia="zh-CN" w:bidi="ar"/>
                    </w:rPr>
                    <w:t>”</w:t>
                  </w:r>
                  <w:r>
                    <w:rPr>
                      <w:rFonts w:hint="default" w:ascii="Times New Roman" w:hAnsi="Times New Roman" w:eastAsia="宋体" w:cs="Times New Roman"/>
                      <w:color w:val="auto"/>
                      <w:kern w:val="2"/>
                      <w:sz w:val="21"/>
                      <w:szCs w:val="21"/>
                      <w:lang w:val="en-US" w:eastAsia="zh-CN" w:bidi="ar"/>
                    </w:rPr>
                    <w:t>本体型胶粘剂VOC含量限量值为≤50g/kg。根据企业提供资料，项目使用的胶粘剂中正庚烷含量为3.5%（按全部挥发计），则本项目胶粘剂中的VOC含量为35g/kg，</w:t>
                  </w:r>
                  <w:r>
                    <w:rPr>
                      <w:rFonts w:hint="default" w:ascii="Times New Roman" w:hAnsi="Times New Roman" w:eastAsia="宋体" w:cs="Times New Roman"/>
                      <w:color w:val="0000FF"/>
                      <w:kern w:val="2"/>
                      <w:sz w:val="21"/>
                      <w:szCs w:val="21"/>
                      <w:lang w:val="en-US" w:eastAsia="zh-CN" w:bidi="ar"/>
                    </w:rPr>
                    <w:t>满足《胶粘剂挥发性有机化合物限量》（GB33372-2020）要求</w:t>
                  </w:r>
                  <w:r>
                    <w:rPr>
                      <w:rFonts w:hint="eastAsia" w:ascii="Times New Roman" w:hAnsi="Times New Roman" w:cs="Times New Roman"/>
                      <w:color w:val="0000FF"/>
                      <w:kern w:val="2"/>
                      <w:sz w:val="21"/>
                      <w:szCs w:val="21"/>
                      <w:lang w:val="en-US" w:eastAsia="zh-CN" w:bidi="ar"/>
                    </w:rPr>
                    <w:t>。</w:t>
                  </w:r>
                </w:p>
              </w:tc>
              <w:tc>
                <w:tcPr>
                  <w:tcW w:w="743" w:type="dxa"/>
                  <w:tcBorders>
                    <w:top w:val="single" w:color="auto" w:sz="4" w:space="0"/>
                    <w:left w:val="nil"/>
                    <w:bottom w:val="single" w:color="auto" w:sz="4" w:space="0"/>
                    <w:right w:val="single" w:color="auto" w:sz="4" w:space="0"/>
                  </w:tcBorders>
                  <w:shd w:val="clear" w:color="auto" w:fill="auto"/>
                  <w:vAlign w:val="center"/>
                </w:tcPr>
                <w:p w14:paraId="5803AC74">
                  <w:pPr>
                    <w:pStyle w:val="19"/>
                    <w:keepNext w:val="0"/>
                    <w:keepLines w:val="0"/>
                    <w:widowControl w:val="0"/>
                    <w:suppressLineNumbers w:val="0"/>
                    <w:autoSpaceDE w:val="0"/>
                    <w:autoSpaceDN w:val="0"/>
                    <w:adjustRightInd w:val="0"/>
                    <w:spacing w:before="0" w:beforeAutospacing="0" w:after="0" w:afterAutospacing="0" w:line="320" w:lineRule="exact"/>
                    <w:ind w:left="0" w:right="0"/>
                    <w:jc w:val="center"/>
                    <w:rPr>
                      <w:rFonts w:hint="default" w:ascii="Times New Roman" w:hAnsi="Times New Roman" w:eastAsia="宋体" w:cs="Times New Roman"/>
                      <w:color w:val="auto"/>
                      <w:kern w:val="2"/>
                      <w:sz w:val="21"/>
                      <w:szCs w:val="21"/>
                    </w:rPr>
                  </w:pPr>
                  <w:r>
                    <w:rPr>
                      <w:rFonts w:hint="default" w:ascii="Times New Roman" w:hAnsi="Times New Roman" w:eastAsia="宋体" w:cs="Times New Roman"/>
                      <w:color w:val="auto"/>
                      <w:kern w:val="2"/>
                      <w:sz w:val="21"/>
                      <w:szCs w:val="21"/>
                      <w:lang w:val="en-US" w:eastAsia="zh-CN" w:bidi="ar"/>
                    </w:rPr>
                    <w:t>符合</w:t>
                  </w:r>
                </w:p>
              </w:tc>
            </w:tr>
            <w:tr w14:paraId="702C60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340" w:hRule="atLeast"/>
                <w:jc w:val="center"/>
              </w:trPr>
              <w:tc>
                <w:tcPr>
                  <w:tcW w:w="1121" w:type="dxa"/>
                  <w:tcBorders>
                    <w:top w:val="single" w:color="auto" w:sz="4" w:space="0"/>
                    <w:left w:val="single" w:color="auto" w:sz="4" w:space="0"/>
                    <w:bottom w:val="single" w:color="auto" w:sz="4" w:space="0"/>
                    <w:right w:val="single" w:color="auto" w:sz="4" w:space="0"/>
                  </w:tcBorders>
                  <w:shd w:val="clear" w:color="auto" w:fill="auto"/>
                  <w:vAlign w:val="center"/>
                </w:tcPr>
                <w:p w14:paraId="6F453E71">
                  <w:pPr>
                    <w:pStyle w:val="19"/>
                    <w:keepNext w:val="0"/>
                    <w:keepLines w:val="0"/>
                    <w:widowControl w:val="0"/>
                    <w:suppressLineNumbers w:val="0"/>
                    <w:autoSpaceDE w:val="0"/>
                    <w:autoSpaceDN w:val="0"/>
                    <w:adjustRightInd w:val="0"/>
                    <w:spacing w:before="0" w:beforeAutospacing="0" w:after="0" w:afterAutospacing="0" w:line="320" w:lineRule="exact"/>
                    <w:ind w:left="0" w:right="0"/>
                    <w:jc w:val="center"/>
                    <w:rPr>
                      <w:rFonts w:hint="default" w:ascii="Times New Roman" w:hAnsi="Times New Roman" w:eastAsia="宋体" w:cs="Times New Roman"/>
                      <w:color w:val="auto"/>
                      <w:kern w:val="2"/>
                      <w:sz w:val="21"/>
                      <w:szCs w:val="21"/>
                    </w:rPr>
                  </w:pPr>
                  <w:r>
                    <w:rPr>
                      <w:rFonts w:hint="eastAsia" w:ascii="宋体" w:hAnsi="宋体" w:eastAsia="宋体" w:cs="宋体"/>
                      <w:color w:val="auto"/>
                      <w:kern w:val="2"/>
                      <w:sz w:val="21"/>
                      <w:szCs w:val="21"/>
                      <w:lang w:val="en-US" w:eastAsia="zh-CN" w:bidi="ar"/>
                    </w:rPr>
                    <w:t>迭代实施产业绿色升级攻坚</w:t>
                  </w:r>
                </w:p>
              </w:tc>
              <w:tc>
                <w:tcPr>
                  <w:tcW w:w="4589" w:type="dxa"/>
                  <w:tcBorders>
                    <w:top w:val="single" w:color="auto" w:sz="4" w:space="0"/>
                    <w:left w:val="nil"/>
                    <w:bottom w:val="single" w:color="auto" w:sz="4" w:space="0"/>
                    <w:right w:val="single" w:color="auto" w:sz="4" w:space="0"/>
                  </w:tcBorders>
                  <w:shd w:val="clear" w:color="auto" w:fill="auto"/>
                  <w:vAlign w:val="center"/>
                </w:tcPr>
                <w:p w14:paraId="13DC1A76">
                  <w:pPr>
                    <w:pStyle w:val="19"/>
                    <w:keepNext w:val="0"/>
                    <w:keepLines w:val="0"/>
                    <w:widowControl w:val="0"/>
                    <w:suppressLineNumbers w:val="0"/>
                    <w:autoSpaceDE w:val="0"/>
                    <w:autoSpaceDN w:val="0"/>
                    <w:adjustRightInd w:val="0"/>
                    <w:spacing w:before="0" w:beforeAutospacing="0" w:after="0" w:afterAutospacing="0" w:line="320" w:lineRule="exact"/>
                    <w:ind w:left="0" w:right="0"/>
                    <w:jc w:val="center"/>
                    <w:rPr>
                      <w:rFonts w:hint="default" w:ascii="Times New Roman" w:hAnsi="Times New Roman" w:eastAsia="宋体" w:cs="Times New Roman"/>
                      <w:color w:val="auto"/>
                      <w:kern w:val="2"/>
                      <w:sz w:val="21"/>
                      <w:szCs w:val="21"/>
                    </w:rPr>
                  </w:pPr>
                  <w:r>
                    <w:rPr>
                      <w:rFonts w:hint="eastAsia" w:ascii="宋体" w:hAnsi="宋体" w:eastAsia="宋体" w:cs="宋体"/>
                      <w:color w:val="auto"/>
                      <w:kern w:val="2"/>
                      <w:sz w:val="21"/>
                      <w:szCs w:val="21"/>
                      <w:lang w:val="en-US" w:eastAsia="zh-CN" w:bidi="ar"/>
                    </w:rPr>
                    <w:t>严格落实国家产业结构调整指导目录和省级政策要求，有序推动限制类涉气行业工艺和装备淘汰退出，完成</w:t>
                  </w:r>
                  <w:r>
                    <w:rPr>
                      <w:rFonts w:hint="default" w:ascii="Times New Roman" w:hAnsi="Times New Roman" w:eastAsia="宋体" w:cs="Times New Roman"/>
                      <w:color w:val="auto"/>
                      <w:kern w:val="2"/>
                      <w:sz w:val="21"/>
                      <w:szCs w:val="21"/>
                      <w:lang w:val="en-US" w:eastAsia="zh-CN" w:bidi="ar"/>
                    </w:rPr>
                    <w:t>4</w:t>
                  </w:r>
                  <w:r>
                    <w:rPr>
                      <w:rFonts w:hint="eastAsia" w:ascii="宋体" w:hAnsi="宋体" w:eastAsia="宋体" w:cs="宋体"/>
                      <w:color w:val="auto"/>
                      <w:kern w:val="2"/>
                      <w:sz w:val="21"/>
                      <w:szCs w:val="21"/>
                      <w:lang w:val="en-US" w:eastAsia="zh-CN" w:bidi="ar"/>
                    </w:rPr>
                    <w:t>条</w:t>
                  </w:r>
                  <w:r>
                    <w:rPr>
                      <w:rFonts w:hint="default" w:ascii="Times New Roman" w:hAnsi="Times New Roman" w:eastAsia="宋体" w:cs="Times New Roman"/>
                      <w:color w:val="auto"/>
                      <w:kern w:val="2"/>
                      <w:sz w:val="21"/>
                      <w:szCs w:val="21"/>
                      <w:lang w:val="en-US" w:eastAsia="zh-CN" w:bidi="ar"/>
                    </w:rPr>
                    <w:t>2500</w:t>
                  </w:r>
                  <w:r>
                    <w:rPr>
                      <w:rFonts w:hint="eastAsia" w:ascii="宋体" w:hAnsi="宋体" w:eastAsia="宋体" w:cs="宋体"/>
                      <w:color w:val="auto"/>
                      <w:kern w:val="2"/>
                      <w:sz w:val="21"/>
                      <w:szCs w:val="21"/>
                      <w:lang w:val="en-US" w:eastAsia="zh-CN" w:bidi="ar"/>
                    </w:rPr>
                    <w:t>吨</w:t>
                  </w:r>
                  <w:r>
                    <w:rPr>
                      <w:rFonts w:hint="default" w:ascii="Times New Roman" w:hAnsi="Times New Roman" w:eastAsia="宋体" w:cs="Times New Roman"/>
                      <w:color w:val="auto"/>
                      <w:kern w:val="2"/>
                      <w:sz w:val="21"/>
                      <w:szCs w:val="21"/>
                      <w:lang w:val="en-US" w:eastAsia="zh-CN" w:bidi="ar"/>
                    </w:rPr>
                    <w:t>/</w:t>
                  </w:r>
                  <w:r>
                    <w:rPr>
                      <w:rFonts w:hint="eastAsia" w:ascii="宋体" w:hAnsi="宋体" w:eastAsia="宋体" w:cs="宋体"/>
                      <w:color w:val="auto"/>
                      <w:kern w:val="2"/>
                      <w:sz w:val="21"/>
                      <w:szCs w:val="21"/>
                      <w:lang w:val="en-US" w:eastAsia="zh-CN" w:bidi="ar"/>
                    </w:rPr>
                    <w:t>日及以下水泥熟料生产线整合或退出。严格落实国家《化工老旧装置淘汰退出和更新改造工作方案》，推进</w:t>
                  </w:r>
                  <w:r>
                    <w:rPr>
                      <w:rFonts w:hint="default" w:ascii="Times New Roman" w:hAnsi="Times New Roman" w:eastAsia="宋体" w:cs="Times New Roman"/>
                      <w:color w:val="auto"/>
                      <w:kern w:val="2"/>
                      <w:sz w:val="21"/>
                      <w:szCs w:val="21"/>
                      <w:lang w:val="en-US" w:eastAsia="zh-CN" w:bidi="ar"/>
                    </w:rPr>
                    <w:t>8</w:t>
                  </w:r>
                  <w:r>
                    <w:rPr>
                      <w:rFonts w:hint="eastAsia" w:ascii="宋体" w:hAnsi="宋体" w:eastAsia="宋体" w:cs="宋体"/>
                      <w:color w:val="auto"/>
                      <w:kern w:val="2"/>
                      <w:sz w:val="21"/>
                      <w:szCs w:val="21"/>
                      <w:lang w:val="en-US" w:eastAsia="zh-CN" w:bidi="ar"/>
                    </w:rPr>
                    <w:t>套石化化工行业老旧装置整治提升。金华市开展烧结砖生产线整合提升示范，完成</w:t>
                  </w:r>
                  <w:r>
                    <w:rPr>
                      <w:rFonts w:hint="default" w:ascii="Times New Roman" w:hAnsi="Times New Roman" w:eastAsia="宋体" w:cs="Times New Roman"/>
                      <w:color w:val="auto"/>
                      <w:kern w:val="2"/>
                      <w:sz w:val="21"/>
                      <w:szCs w:val="21"/>
                      <w:lang w:val="en-US" w:eastAsia="zh-CN" w:bidi="ar"/>
                    </w:rPr>
                    <w:t>9</w:t>
                  </w:r>
                  <w:r>
                    <w:rPr>
                      <w:rFonts w:hint="eastAsia" w:ascii="宋体" w:hAnsi="宋体" w:eastAsia="宋体" w:cs="宋体"/>
                      <w:color w:val="auto"/>
                      <w:kern w:val="2"/>
                      <w:sz w:val="21"/>
                      <w:szCs w:val="21"/>
                      <w:lang w:val="en-US" w:eastAsia="zh-CN" w:bidi="ar"/>
                    </w:rPr>
                    <w:t>条</w:t>
                  </w:r>
                  <w:r>
                    <w:rPr>
                      <w:rFonts w:hint="default" w:ascii="Times New Roman" w:hAnsi="Times New Roman" w:eastAsia="宋体" w:cs="Times New Roman"/>
                      <w:color w:val="auto"/>
                      <w:kern w:val="2"/>
                      <w:sz w:val="21"/>
                      <w:szCs w:val="21"/>
                      <w:lang w:val="en-US" w:eastAsia="zh-CN" w:bidi="ar"/>
                    </w:rPr>
                    <w:t>6000</w:t>
                  </w:r>
                  <w:r>
                    <w:rPr>
                      <w:rFonts w:hint="eastAsia" w:ascii="宋体" w:hAnsi="宋体" w:eastAsia="宋体" w:cs="宋体"/>
                      <w:color w:val="auto"/>
                      <w:kern w:val="2"/>
                      <w:sz w:val="21"/>
                      <w:szCs w:val="21"/>
                      <w:lang w:val="en-US" w:eastAsia="zh-CN" w:bidi="ar"/>
                    </w:rPr>
                    <w:t>万块标砖</w:t>
                  </w:r>
                  <w:r>
                    <w:rPr>
                      <w:rFonts w:hint="default" w:ascii="Times New Roman" w:hAnsi="Times New Roman" w:eastAsia="宋体" w:cs="Times New Roman"/>
                      <w:color w:val="auto"/>
                      <w:kern w:val="2"/>
                      <w:sz w:val="21"/>
                      <w:szCs w:val="21"/>
                      <w:lang w:val="en-US" w:eastAsia="zh-CN" w:bidi="ar"/>
                    </w:rPr>
                    <w:t>/</w:t>
                  </w:r>
                  <w:r>
                    <w:rPr>
                      <w:rFonts w:hint="eastAsia" w:ascii="宋体" w:hAnsi="宋体" w:eastAsia="宋体" w:cs="宋体"/>
                      <w:color w:val="auto"/>
                      <w:kern w:val="2"/>
                      <w:sz w:val="21"/>
                      <w:szCs w:val="21"/>
                      <w:lang w:val="en-US" w:eastAsia="zh-CN" w:bidi="ar"/>
                    </w:rPr>
                    <w:t>年以下烧结砖生产线整合提升；推动全省</w:t>
                  </w:r>
                  <w:r>
                    <w:rPr>
                      <w:rFonts w:hint="default" w:ascii="Times New Roman" w:hAnsi="Times New Roman" w:eastAsia="宋体" w:cs="Times New Roman"/>
                      <w:color w:val="auto"/>
                      <w:kern w:val="2"/>
                      <w:sz w:val="21"/>
                      <w:szCs w:val="21"/>
                      <w:lang w:val="en-US" w:eastAsia="zh-CN" w:bidi="ar"/>
                    </w:rPr>
                    <w:t>6000</w:t>
                  </w:r>
                  <w:r>
                    <w:rPr>
                      <w:rFonts w:hint="eastAsia" w:ascii="宋体" w:hAnsi="宋体" w:eastAsia="宋体" w:cs="宋体"/>
                      <w:color w:val="auto"/>
                      <w:kern w:val="2"/>
                      <w:sz w:val="21"/>
                      <w:szCs w:val="21"/>
                      <w:lang w:val="en-US" w:eastAsia="zh-CN" w:bidi="ar"/>
                    </w:rPr>
                    <w:t>万块标砖</w:t>
                  </w:r>
                  <w:r>
                    <w:rPr>
                      <w:rFonts w:hint="default" w:ascii="Times New Roman" w:hAnsi="Times New Roman" w:eastAsia="宋体" w:cs="Times New Roman"/>
                      <w:color w:val="auto"/>
                      <w:kern w:val="2"/>
                      <w:sz w:val="21"/>
                      <w:szCs w:val="21"/>
                      <w:lang w:val="en-US" w:eastAsia="zh-CN" w:bidi="ar"/>
                    </w:rPr>
                    <w:t>/</w:t>
                  </w:r>
                  <w:r>
                    <w:rPr>
                      <w:rFonts w:hint="eastAsia" w:ascii="宋体" w:hAnsi="宋体" w:eastAsia="宋体" w:cs="宋体"/>
                      <w:color w:val="auto"/>
                      <w:kern w:val="2"/>
                      <w:sz w:val="21"/>
                      <w:szCs w:val="21"/>
                      <w:lang w:val="en-US" w:eastAsia="zh-CN" w:bidi="ar"/>
                    </w:rPr>
                    <w:t>年以下烧结砖生产线整合提升，鼓励</w:t>
                  </w:r>
                  <w:r>
                    <w:rPr>
                      <w:rFonts w:hint="default" w:ascii="Times New Roman" w:hAnsi="Times New Roman" w:eastAsia="宋体" w:cs="Times New Roman"/>
                      <w:color w:val="auto"/>
                      <w:kern w:val="2"/>
                      <w:sz w:val="21"/>
                      <w:szCs w:val="21"/>
                      <w:lang w:val="en-US" w:eastAsia="zh-CN" w:bidi="ar"/>
                    </w:rPr>
                    <w:t>1</w:t>
                  </w:r>
                  <w:r>
                    <w:rPr>
                      <w:rFonts w:hint="eastAsia" w:ascii="宋体" w:hAnsi="宋体" w:eastAsia="宋体" w:cs="宋体"/>
                      <w:color w:val="auto"/>
                      <w:kern w:val="2"/>
                      <w:sz w:val="21"/>
                      <w:szCs w:val="21"/>
                      <w:lang w:val="en-US" w:eastAsia="zh-CN" w:bidi="ar"/>
                    </w:rPr>
                    <w:t>亿块标砖</w:t>
                  </w:r>
                  <w:r>
                    <w:rPr>
                      <w:rFonts w:hint="default" w:ascii="Times New Roman" w:hAnsi="Times New Roman" w:eastAsia="宋体" w:cs="Times New Roman"/>
                      <w:color w:val="auto"/>
                      <w:kern w:val="2"/>
                      <w:sz w:val="21"/>
                      <w:szCs w:val="21"/>
                      <w:lang w:val="en-US" w:eastAsia="zh-CN" w:bidi="ar"/>
                    </w:rPr>
                    <w:t>/</w:t>
                  </w:r>
                  <w:r>
                    <w:rPr>
                      <w:rFonts w:hint="eastAsia" w:ascii="宋体" w:hAnsi="宋体" w:eastAsia="宋体" w:cs="宋体"/>
                      <w:color w:val="auto"/>
                      <w:kern w:val="2"/>
                      <w:sz w:val="21"/>
                      <w:szCs w:val="21"/>
                      <w:lang w:val="en-US" w:eastAsia="zh-CN" w:bidi="ar"/>
                    </w:rPr>
                    <w:t>年以下的烧结砖生产线参照实施。加快推进传统产业集群大气污染综合治理，以涂装、纺织染整、包装印刷、制鞋、合成革、橡塑制品等行业为重点，完成</w:t>
                  </w:r>
                  <w:r>
                    <w:rPr>
                      <w:rFonts w:hint="default" w:ascii="Times New Roman" w:hAnsi="Times New Roman" w:eastAsia="宋体" w:cs="Times New Roman"/>
                      <w:color w:val="auto"/>
                      <w:kern w:val="2"/>
                      <w:sz w:val="21"/>
                      <w:szCs w:val="21"/>
                      <w:lang w:val="en-US" w:eastAsia="zh-CN" w:bidi="ar"/>
                    </w:rPr>
                    <w:t>20</w:t>
                  </w:r>
                  <w:r>
                    <w:rPr>
                      <w:rFonts w:hint="eastAsia" w:ascii="宋体" w:hAnsi="宋体" w:eastAsia="宋体" w:cs="宋体"/>
                      <w:color w:val="auto"/>
                      <w:kern w:val="2"/>
                      <w:sz w:val="21"/>
                      <w:szCs w:val="21"/>
                      <w:lang w:val="en-US" w:eastAsia="zh-CN" w:bidi="ar"/>
                    </w:rPr>
                    <w:t>个以上涉气集群整治。加强工业园区</w:t>
                  </w:r>
                  <w:r>
                    <w:rPr>
                      <w:rFonts w:hint="default" w:ascii="Times New Roman" w:hAnsi="Times New Roman" w:eastAsia="宋体" w:cs="Times New Roman"/>
                      <w:color w:val="auto"/>
                      <w:kern w:val="2"/>
                      <w:sz w:val="21"/>
                      <w:szCs w:val="21"/>
                      <w:lang w:val="en-US" w:eastAsia="zh-CN" w:bidi="ar"/>
                    </w:rPr>
                    <w:t>VOCs</w:t>
                  </w:r>
                  <w:r>
                    <w:rPr>
                      <w:rFonts w:hint="eastAsia" w:ascii="宋体" w:hAnsi="宋体" w:eastAsia="宋体" w:cs="宋体"/>
                      <w:color w:val="auto"/>
                      <w:kern w:val="2"/>
                      <w:sz w:val="21"/>
                      <w:szCs w:val="21"/>
                      <w:lang w:val="en-US" w:eastAsia="zh-CN" w:bidi="ar"/>
                    </w:rPr>
                    <w:t>综合治理、完善省级以上经开区</w:t>
                  </w:r>
                  <w:r>
                    <w:rPr>
                      <w:rFonts w:hint="default" w:ascii="Times New Roman" w:hAnsi="Times New Roman" w:eastAsia="宋体" w:cs="Times New Roman"/>
                      <w:color w:val="auto"/>
                      <w:kern w:val="2"/>
                      <w:sz w:val="21"/>
                      <w:szCs w:val="21"/>
                      <w:lang w:val="en-US" w:eastAsia="zh-CN" w:bidi="ar"/>
                    </w:rPr>
                    <w:t>VOCs</w:t>
                  </w:r>
                  <w:r>
                    <w:rPr>
                      <w:rFonts w:hint="eastAsia" w:ascii="宋体" w:hAnsi="宋体" w:eastAsia="宋体" w:cs="宋体"/>
                      <w:color w:val="auto"/>
                      <w:kern w:val="2"/>
                      <w:sz w:val="21"/>
                      <w:szCs w:val="21"/>
                      <w:lang w:val="en-US" w:eastAsia="zh-CN" w:bidi="ar"/>
                    </w:rPr>
                    <w:t>环境监测监控设施，主要工业园区</w:t>
                  </w:r>
                  <w:r>
                    <w:rPr>
                      <w:rFonts w:hint="default" w:ascii="Times New Roman" w:hAnsi="Times New Roman" w:eastAsia="宋体" w:cs="Times New Roman"/>
                      <w:color w:val="auto"/>
                      <w:kern w:val="2"/>
                      <w:sz w:val="21"/>
                      <w:szCs w:val="21"/>
                      <w:lang w:val="en-US" w:eastAsia="zh-CN" w:bidi="ar"/>
                    </w:rPr>
                    <w:t>VOCs</w:t>
                  </w:r>
                  <w:r>
                    <w:rPr>
                      <w:rFonts w:hint="eastAsia" w:ascii="宋体" w:hAnsi="宋体" w:eastAsia="宋体" w:cs="宋体"/>
                      <w:color w:val="auto"/>
                      <w:kern w:val="2"/>
                      <w:sz w:val="21"/>
                      <w:szCs w:val="21"/>
                      <w:lang w:val="en-US" w:eastAsia="zh-CN" w:bidi="ar"/>
                    </w:rPr>
                    <w:t>平均浓度下降</w:t>
                  </w:r>
                  <w:r>
                    <w:rPr>
                      <w:rFonts w:hint="default" w:ascii="Times New Roman" w:hAnsi="Times New Roman" w:eastAsia="宋体" w:cs="Times New Roman"/>
                      <w:color w:val="auto"/>
                      <w:kern w:val="2"/>
                      <w:sz w:val="21"/>
                      <w:szCs w:val="21"/>
                      <w:lang w:val="en-US" w:eastAsia="zh-CN" w:bidi="ar"/>
                    </w:rPr>
                    <w:t>2%</w:t>
                  </w:r>
                  <w:r>
                    <w:rPr>
                      <w:rFonts w:hint="eastAsia" w:ascii="宋体" w:hAnsi="宋体" w:eastAsia="宋体" w:cs="宋体"/>
                      <w:color w:val="auto"/>
                      <w:kern w:val="2"/>
                      <w:sz w:val="21"/>
                      <w:szCs w:val="21"/>
                      <w:lang w:val="en-US" w:eastAsia="zh-CN" w:bidi="ar"/>
                    </w:rPr>
                    <w:t>。</w:t>
                  </w:r>
                </w:p>
              </w:tc>
              <w:tc>
                <w:tcPr>
                  <w:tcW w:w="1961" w:type="dxa"/>
                  <w:tcBorders>
                    <w:top w:val="single" w:color="auto" w:sz="4" w:space="0"/>
                    <w:left w:val="nil"/>
                    <w:bottom w:val="single" w:color="auto" w:sz="4" w:space="0"/>
                    <w:right w:val="single" w:color="auto" w:sz="4" w:space="0"/>
                  </w:tcBorders>
                  <w:shd w:val="clear" w:color="auto" w:fill="auto"/>
                  <w:vAlign w:val="center"/>
                </w:tcPr>
                <w:p w14:paraId="1188FB27">
                  <w:pPr>
                    <w:pStyle w:val="19"/>
                    <w:keepNext w:val="0"/>
                    <w:keepLines w:val="0"/>
                    <w:widowControl w:val="0"/>
                    <w:suppressLineNumbers w:val="0"/>
                    <w:autoSpaceDE w:val="0"/>
                    <w:autoSpaceDN w:val="0"/>
                    <w:adjustRightInd w:val="0"/>
                    <w:spacing w:before="0" w:beforeAutospacing="0" w:after="0" w:afterAutospacing="0" w:line="320" w:lineRule="exact"/>
                    <w:ind w:left="0" w:right="0"/>
                    <w:jc w:val="both"/>
                    <w:rPr>
                      <w:rFonts w:hint="default" w:ascii="Times New Roman" w:hAnsi="Times New Roman" w:eastAsia="宋体" w:cs="Times New Roman"/>
                      <w:color w:val="auto"/>
                      <w:kern w:val="2"/>
                      <w:sz w:val="21"/>
                      <w:szCs w:val="21"/>
                    </w:rPr>
                  </w:pPr>
                  <w:r>
                    <w:rPr>
                      <w:rFonts w:hint="eastAsia" w:ascii="宋体" w:hAnsi="宋体" w:eastAsia="宋体" w:cs="宋体"/>
                      <w:color w:val="auto"/>
                      <w:kern w:val="2"/>
                      <w:sz w:val="21"/>
                      <w:szCs w:val="21"/>
                      <w:lang w:val="en-US" w:eastAsia="zh-CN" w:bidi="ar"/>
                    </w:rPr>
                    <w:t>本项目行业类别为</w:t>
                  </w:r>
                  <w:r>
                    <w:rPr>
                      <w:rFonts w:hint="default" w:ascii="Times New Roman" w:hAnsi="Times New Roman" w:eastAsia="宋体" w:cs="Times New Roman"/>
                      <w:color w:val="auto"/>
                      <w:kern w:val="2"/>
                      <w:sz w:val="21"/>
                      <w:szCs w:val="21"/>
                      <w:lang w:val="en-US" w:eastAsia="zh-CN" w:bidi="ar"/>
                    </w:rPr>
                    <w:t>C3670汽车零部件及配件制造、C2929塑料零件及其他塑料制品制造、C3034隔热和隔音材料制造</w:t>
                  </w:r>
                  <w:r>
                    <w:rPr>
                      <w:rFonts w:hint="eastAsia" w:ascii="宋体" w:hAnsi="宋体" w:eastAsia="宋体" w:cs="宋体"/>
                      <w:color w:val="auto"/>
                      <w:kern w:val="2"/>
                      <w:sz w:val="21"/>
                      <w:szCs w:val="21"/>
                      <w:lang w:val="en-US" w:eastAsia="zh-CN" w:bidi="ar"/>
                    </w:rPr>
                    <w:t>，不属于水泥、砖瓦行业项目。</w:t>
                  </w:r>
                  <w:r>
                    <w:rPr>
                      <w:rFonts w:hint="default" w:ascii="Times New Roman" w:hAnsi="Times New Roman" w:eastAsia="宋体" w:cs="Times New Roman"/>
                      <w:color w:val="auto"/>
                      <w:kern w:val="2"/>
                      <w:sz w:val="21"/>
                      <w:szCs w:val="21"/>
                      <w:lang w:val="en-US" w:eastAsia="zh-CN" w:bidi="ar"/>
                    </w:rPr>
                    <w:t>VOC</w:t>
                  </w:r>
                  <w:r>
                    <w:rPr>
                      <w:rFonts w:hint="eastAsia" w:ascii="宋体" w:hAnsi="宋体" w:eastAsia="宋体" w:cs="宋体"/>
                      <w:color w:val="auto"/>
                      <w:kern w:val="2"/>
                      <w:sz w:val="21"/>
                      <w:szCs w:val="21"/>
                      <w:lang w:val="en-US" w:eastAsia="zh-CN" w:bidi="ar"/>
                    </w:rPr>
                    <w:t>整治按照属于主管部门要求落实相应措施。</w:t>
                  </w:r>
                </w:p>
              </w:tc>
              <w:tc>
                <w:tcPr>
                  <w:tcW w:w="743" w:type="dxa"/>
                  <w:tcBorders>
                    <w:top w:val="single" w:color="auto" w:sz="4" w:space="0"/>
                    <w:left w:val="nil"/>
                    <w:bottom w:val="single" w:color="auto" w:sz="4" w:space="0"/>
                    <w:right w:val="single" w:color="auto" w:sz="4" w:space="0"/>
                  </w:tcBorders>
                  <w:shd w:val="clear" w:color="auto" w:fill="auto"/>
                  <w:vAlign w:val="center"/>
                </w:tcPr>
                <w:p w14:paraId="71386149">
                  <w:pPr>
                    <w:pStyle w:val="19"/>
                    <w:keepNext w:val="0"/>
                    <w:keepLines w:val="0"/>
                    <w:widowControl w:val="0"/>
                    <w:suppressLineNumbers w:val="0"/>
                    <w:autoSpaceDE w:val="0"/>
                    <w:autoSpaceDN w:val="0"/>
                    <w:adjustRightInd w:val="0"/>
                    <w:spacing w:before="0" w:beforeAutospacing="0" w:after="0" w:afterAutospacing="0" w:line="320" w:lineRule="exact"/>
                    <w:ind w:left="0" w:right="0"/>
                    <w:jc w:val="center"/>
                    <w:rPr>
                      <w:rFonts w:hint="eastAsia" w:ascii="Times New Roman" w:hAnsi="Times New Roman" w:eastAsia="宋体" w:cs="Times New Roman"/>
                      <w:color w:val="auto"/>
                      <w:kern w:val="2"/>
                      <w:sz w:val="21"/>
                      <w:szCs w:val="21"/>
                    </w:rPr>
                  </w:pPr>
                  <w:r>
                    <w:rPr>
                      <w:rFonts w:hint="eastAsia" w:ascii="宋体" w:hAnsi="宋体" w:eastAsia="宋体" w:cs="宋体"/>
                      <w:color w:val="auto"/>
                      <w:kern w:val="2"/>
                      <w:sz w:val="21"/>
                      <w:szCs w:val="21"/>
                      <w:lang w:val="en-US" w:eastAsia="zh-CN" w:bidi="ar"/>
                    </w:rPr>
                    <w:t>符合</w:t>
                  </w:r>
                </w:p>
              </w:tc>
            </w:tr>
            <w:tr w14:paraId="7854BA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340" w:hRule="atLeast"/>
                <w:jc w:val="center"/>
              </w:trPr>
              <w:tc>
                <w:tcPr>
                  <w:tcW w:w="1121" w:type="dxa"/>
                  <w:tcBorders>
                    <w:top w:val="single" w:color="auto" w:sz="4" w:space="0"/>
                    <w:left w:val="single" w:color="auto" w:sz="4" w:space="0"/>
                    <w:bottom w:val="single" w:color="auto" w:sz="4" w:space="0"/>
                    <w:right w:val="single" w:color="auto" w:sz="4" w:space="0"/>
                  </w:tcBorders>
                  <w:shd w:val="clear" w:color="auto" w:fill="auto"/>
                  <w:vAlign w:val="center"/>
                </w:tcPr>
                <w:p w14:paraId="3DB80F5A">
                  <w:pPr>
                    <w:pStyle w:val="19"/>
                    <w:keepNext w:val="0"/>
                    <w:keepLines w:val="0"/>
                    <w:widowControl w:val="0"/>
                    <w:suppressLineNumbers w:val="0"/>
                    <w:autoSpaceDE w:val="0"/>
                    <w:autoSpaceDN w:val="0"/>
                    <w:adjustRightInd w:val="0"/>
                    <w:spacing w:before="0" w:beforeAutospacing="0" w:after="0" w:afterAutospacing="0" w:line="320" w:lineRule="exact"/>
                    <w:ind w:left="0" w:right="0"/>
                    <w:jc w:val="center"/>
                    <w:rPr>
                      <w:rFonts w:hint="default" w:ascii="Times New Roman" w:hAnsi="Times New Roman" w:eastAsia="宋体" w:cs="Times New Roman"/>
                      <w:color w:val="auto"/>
                      <w:kern w:val="2"/>
                      <w:sz w:val="21"/>
                      <w:szCs w:val="21"/>
                    </w:rPr>
                  </w:pPr>
                  <w:r>
                    <w:rPr>
                      <w:rFonts w:hint="eastAsia" w:ascii="宋体" w:hAnsi="宋体" w:eastAsia="宋体" w:cs="宋体"/>
                      <w:color w:val="auto"/>
                      <w:kern w:val="2"/>
                      <w:sz w:val="21"/>
                      <w:szCs w:val="21"/>
                      <w:lang w:val="en-US" w:eastAsia="zh-CN" w:bidi="ar"/>
                    </w:rPr>
                    <w:t>迭代实施清洁运输提升攻坚</w:t>
                  </w:r>
                </w:p>
              </w:tc>
              <w:tc>
                <w:tcPr>
                  <w:tcW w:w="4589" w:type="dxa"/>
                  <w:tcBorders>
                    <w:top w:val="single" w:color="auto" w:sz="4" w:space="0"/>
                    <w:left w:val="nil"/>
                    <w:bottom w:val="single" w:color="auto" w:sz="4" w:space="0"/>
                    <w:right w:val="single" w:color="auto" w:sz="4" w:space="0"/>
                  </w:tcBorders>
                  <w:shd w:val="clear" w:color="auto" w:fill="auto"/>
                  <w:vAlign w:val="center"/>
                </w:tcPr>
                <w:p w14:paraId="55865020">
                  <w:pPr>
                    <w:pStyle w:val="19"/>
                    <w:keepNext w:val="0"/>
                    <w:keepLines w:val="0"/>
                    <w:widowControl w:val="0"/>
                    <w:suppressLineNumbers w:val="0"/>
                    <w:autoSpaceDE w:val="0"/>
                    <w:autoSpaceDN w:val="0"/>
                    <w:adjustRightInd w:val="0"/>
                    <w:spacing w:before="0" w:beforeAutospacing="0" w:after="0" w:afterAutospacing="0" w:line="320" w:lineRule="exact"/>
                    <w:ind w:left="0" w:right="0"/>
                    <w:jc w:val="center"/>
                    <w:rPr>
                      <w:rFonts w:hint="default" w:ascii="Times New Roman" w:hAnsi="Times New Roman" w:eastAsia="宋体" w:cs="Times New Roman"/>
                      <w:color w:val="auto"/>
                      <w:kern w:val="2"/>
                      <w:sz w:val="21"/>
                      <w:szCs w:val="21"/>
                    </w:rPr>
                  </w:pPr>
                  <w:r>
                    <w:rPr>
                      <w:rFonts w:hint="eastAsia" w:ascii="宋体" w:hAnsi="宋体" w:eastAsia="宋体" w:cs="宋体"/>
                      <w:color w:val="auto"/>
                      <w:kern w:val="2"/>
                      <w:sz w:val="21"/>
                      <w:szCs w:val="21"/>
                      <w:lang w:val="en-US" w:eastAsia="zh-CN" w:bidi="ar"/>
                    </w:rPr>
                    <w:t>推进多式联运和清洁集疏港，宁波舟山港、温州港、嘉兴港、台州港等沿海主要港口及杭州港、湖州港、嘉兴内河港等内河主要港口，新增场内新能源重卡</w:t>
                  </w:r>
                  <w:r>
                    <w:rPr>
                      <w:rFonts w:hint="default" w:ascii="Times New Roman" w:hAnsi="Times New Roman" w:eastAsia="宋体" w:cs="Times New Roman"/>
                      <w:color w:val="auto"/>
                      <w:kern w:val="2"/>
                      <w:sz w:val="21"/>
                      <w:szCs w:val="21"/>
                      <w:lang w:val="en-US" w:eastAsia="zh-CN" w:bidi="ar"/>
                    </w:rPr>
                    <w:t>100</w:t>
                  </w:r>
                  <w:r>
                    <w:rPr>
                      <w:rFonts w:hint="eastAsia" w:ascii="宋体" w:hAnsi="宋体" w:eastAsia="宋体" w:cs="宋体"/>
                      <w:color w:val="auto"/>
                      <w:kern w:val="2"/>
                      <w:sz w:val="21"/>
                      <w:szCs w:val="21"/>
                      <w:lang w:val="en-US" w:eastAsia="zh-CN" w:bidi="ar"/>
                    </w:rPr>
                    <w:t>辆以上，公路运输优先采用新能源货车，加快新能源集卡应用推广。内河干线航道通达</w:t>
                  </w:r>
                  <w:r>
                    <w:rPr>
                      <w:rFonts w:hint="default" w:ascii="Times New Roman" w:hAnsi="Times New Roman" w:eastAsia="宋体" w:cs="Times New Roman"/>
                      <w:color w:val="auto"/>
                      <w:kern w:val="2"/>
                      <w:sz w:val="21"/>
                      <w:szCs w:val="21"/>
                      <w:lang w:val="en-US" w:eastAsia="zh-CN" w:bidi="ar"/>
                    </w:rPr>
                    <w:t>48%</w:t>
                  </w:r>
                  <w:r>
                    <w:rPr>
                      <w:rFonts w:hint="eastAsia" w:ascii="宋体" w:hAnsi="宋体" w:eastAsia="宋体" w:cs="宋体"/>
                      <w:color w:val="auto"/>
                      <w:kern w:val="2"/>
                      <w:sz w:val="21"/>
                      <w:szCs w:val="21"/>
                      <w:lang w:val="en-US" w:eastAsia="zh-CN" w:bidi="ar"/>
                    </w:rPr>
                    <w:t>以上省级及以上产业平台，内河港口集装箱吞吐量、集装箱多式联运量分别达</w:t>
                  </w:r>
                  <w:r>
                    <w:rPr>
                      <w:rFonts w:hint="default" w:ascii="Times New Roman" w:hAnsi="Times New Roman" w:eastAsia="宋体" w:cs="Times New Roman"/>
                      <w:color w:val="auto"/>
                      <w:kern w:val="2"/>
                      <w:sz w:val="21"/>
                      <w:szCs w:val="21"/>
                      <w:lang w:val="en-US" w:eastAsia="zh-CN" w:bidi="ar"/>
                    </w:rPr>
                    <w:t>260</w:t>
                  </w:r>
                  <w:r>
                    <w:rPr>
                      <w:rFonts w:hint="eastAsia" w:ascii="宋体" w:hAnsi="宋体" w:eastAsia="宋体" w:cs="宋体"/>
                      <w:color w:val="auto"/>
                      <w:kern w:val="2"/>
                      <w:sz w:val="21"/>
                      <w:szCs w:val="21"/>
                      <w:lang w:val="en-US" w:eastAsia="zh-CN" w:bidi="ar"/>
                    </w:rPr>
                    <w:t>万标箱、</w:t>
                  </w:r>
                  <w:r>
                    <w:rPr>
                      <w:rFonts w:hint="default" w:ascii="Times New Roman" w:hAnsi="Times New Roman" w:eastAsia="宋体" w:cs="Times New Roman"/>
                      <w:color w:val="auto"/>
                      <w:kern w:val="2"/>
                      <w:sz w:val="21"/>
                      <w:szCs w:val="21"/>
                      <w:lang w:val="en-US" w:eastAsia="zh-CN" w:bidi="ar"/>
                    </w:rPr>
                    <w:t>570</w:t>
                  </w:r>
                  <w:r>
                    <w:rPr>
                      <w:rFonts w:hint="eastAsia" w:ascii="宋体" w:hAnsi="宋体" w:eastAsia="宋体" w:cs="宋体"/>
                      <w:color w:val="auto"/>
                      <w:kern w:val="2"/>
                      <w:sz w:val="21"/>
                      <w:szCs w:val="21"/>
                      <w:lang w:val="en-US" w:eastAsia="zh-CN" w:bidi="ar"/>
                    </w:rPr>
                    <w:t>万标箱，全年铁水货运周转量比</w:t>
                  </w:r>
                  <w:r>
                    <w:rPr>
                      <w:rFonts w:hint="default" w:ascii="Times New Roman" w:hAnsi="Times New Roman" w:eastAsia="宋体" w:cs="Times New Roman"/>
                      <w:color w:val="auto"/>
                      <w:kern w:val="2"/>
                      <w:sz w:val="21"/>
                      <w:szCs w:val="21"/>
                      <w:lang w:val="en-US" w:eastAsia="zh-CN" w:bidi="ar"/>
                    </w:rPr>
                    <w:t>2025</w:t>
                  </w:r>
                  <w:r>
                    <w:rPr>
                      <w:rFonts w:hint="eastAsia" w:ascii="宋体" w:hAnsi="宋体" w:eastAsia="宋体" w:cs="宋体"/>
                      <w:color w:val="auto"/>
                      <w:kern w:val="2"/>
                      <w:sz w:val="21"/>
                      <w:szCs w:val="21"/>
                      <w:lang w:val="en-US" w:eastAsia="zh-CN" w:bidi="ar"/>
                    </w:rPr>
                    <w:t>年增长</w:t>
                  </w:r>
                  <w:r>
                    <w:rPr>
                      <w:rFonts w:hint="default" w:ascii="Times New Roman" w:hAnsi="Times New Roman" w:eastAsia="宋体" w:cs="Times New Roman"/>
                      <w:color w:val="auto"/>
                      <w:kern w:val="2"/>
                      <w:sz w:val="21"/>
                      <w:szCs w:val="21"/>
                      <w:lang w:val="en-US" w:eastAsia="zh-CN" w:bidi="ar"/>
                    </w:rPr>
                    <w:t>3%</w:t>
                  </w:r>
                  <w:r>
                    <w:rPr>
                      <w:rFonts w:hint="eastAsia" w:ascii="宋体" w:hAnsi="宋体" w:eastAsia="宋体" w:cs="宋体"/>
                      <w:color w:val="auto"/>
                      <w:kern w:val="2"/>
                      <w:sz w:val="21"/>
                      <w:szCs w:val="21"/>
                      <w:lang w:val="en-US" w:eastAsia="zh-CN" w:bidi="ar"/>
                    </w:rPr>
                    <w:t>、力争集装箱海铁联运量增长</w:t>
                  </w:r>
                  <w:r>
                    <w:rPr>
                      <w:rFonts w:hint="default" w:ascii="Times New Roman" w:hAnsi="Times New Roman" w:eastAsia="宋体" w:cs="Times New Roman"/>
                      <w:color w:val="auto"/>
                      <w:kern w:val="2"/>
                      <w:sz w:val="21"/>
                      <w:szCs w:val="21"/>
                      <w:lang w:val="en-US" w:eastAsia="zh-CN" w:bidi="ar"/>
                    </w:rPr>
                    <w:t>10%</w:t>
                  </w:r>
                  <w:r>
                    <w:rPr>
                      <w:rFonts w:hint="eastAsia" w:ascii="宋体" w:hAnsi="宋体" w:eastAsia="宋体" w:cs="宋体"/>
                      <w:color w:val="auto"/>
                      <w:kern w:val="2"/>
                      <w:sz w:val="21"/>
                      <w:szCs w:val="21"/>
                      <w:lang w:val="en-US" w:eastAsia="zh-CN" w:bidi="ar"/>
                    </w:rPr>
                    <w:t>以上。沿海主要港口大宗货物清洁运输比例达到</w:t>
                  </w:r>
                  <w:r>
                    <w:rPr>
                      <w:rFonts w:hint="default" w:ascii="Times New Roman" w:hAnsi="Times New Roman" w:eastAsia="宋体" w:cs="Times New Roman"/>
                      <w:color w:val="auto"/>
                      <w:kern w:val="2"/>
                      <w:sz w:val="21"/>
                      <w:szCs w:val="21"/>
                      <w:lang w:val="en-US" w:eastAsia="zh-CN" w:bidi="ar"/>
                    </w:rPr>
                    <w:t>86%</w:t>
                  </w:r>
                  <w:r>
                    <w:rPr>
                      <w:rFonts w:hint="eastAsia" w:ascii="宋体" w:hAnsi="宋体" w:eastAsia="宋体" w:cs="宋体"/>
                      <w:color w:val="auto"/>
                      <w:kern w:val="2"/>
                      <w:sz w:val="21"/>
                      <w:szCs w:val="21"/>
                      <w:lang w:val="en-US" w:eastAsia="zh-CN" w:bidi="ar"/>
                    </w:rPr>
                    <w:t>，其中铁矿石、煤炭等集疏港清洁运输比例达到</w:t>
                  </w:r>
                  <w:r>
                    <w:rPr>
                      <w:rFonts w:hint="default" w:ascii="Times New Roman" w:hAnsi="Times New Roman" w:eastAsia="宋体" w:cs="Times New Roman"/>
                      <w:color w:val="auto"/>
                      <w:kern w:val="2"/>
                      <w:sz w:val="21"/>
                      <w:szCs w:val="21"/>
                      <w:lang w:val="en-US" w:eastAsia="zh-CN" w:bidi="ar"/>
                    </w:rPr>
                    <w:t>88%</w:t>
                  </w:r>
                  <w:r>
                    <w:rPr>
                      <w:rFonts w:hint="eastAsia" w:ascii="宋体" w:hAnsi="宋体" w:eastAsia="宋体" w:cs="宋体"/>
                      <w:color w:val="auto"/>
                      <w:kern w:val="2"/>
                      <w:sz w:val="21"/>
                      <w:szCs w:val="21"/>
                      <w:lang w:val="en-US" w:eastAsia="zh-CN" w:bidi="ar"/>
                    </w:rPr>
                    <w:t>。火电、钢铁、水泥、有色行业清洁运输比例达到</w:t>
                  </w:r>
                  <w:r>
                    <w:rPr>
                      <w:rFonts w:hint="default" w:ascii="Times New Roman" w:hAnsi="Times New Roman" w:eastAsia="宋体" w:cs="Times New Roman"/>
                      <w:color w:val="auto"/>
                      <w:kern w:val="2"/>
                      <w:sz w:val="21"/>
                      <w:szCs w:val="21"/>
                      <w:lang w:val="en-US" w:eastAsia="zh-CN" w:bidi="ar"/>
                    </w:rPr>
                    <w:t>83%</w:t>
                  </w:r>
                  <w:r>
                    <w:rPr>
                      <w:rFonts w:hint="eastAsia" w:ascii="宋体" w:hAnsi="宋体" w:eastAsia="宋体" w:cs="宋体"/>
                      <w:color w:val="auto"/>
                      <w:kern w:val="2"/>
                      <w:sz w:val="21"/>
                      <w:szCs w:val="21"/>
                      <w:lang w:val="en-US" w:eastAsia="zh-CN" w:bidi="ar"/>
                    </w:rPr>
                    <w:t>，玻璃、化纤、水泥粉磨行业比例达到</w:t>
                  </w:r>
                  <w:r>
                    <w:rPr>
                      <w:rFonts w:hint="default" w:ascii="Times New Roman" w:hAnsi="Times New Roman" w:eastAsia="宋体" w:cs="Times New Roman"/>
                      <w:color w:val="auto"/>
                      <w:kern w:val="2"/>
                      <w:sz w:val="21"/>
                      <w:szCs w:val="21"/>
                      <w:lang w:val="en-US" w:eastAsia="zh-CN" w:bidi="ar"/>
                    </w:rPr>
                    <w:t>30%</w:t>
                  </w:r>
                  <w:r>
                    <w:rPr>
                      <w:rFonts w:hint="eastAsia" w:ascii="宋体" w:hAnsi="宋体" w:eastAsia="宋体" w:cs="宋体"/>
                      <w:color w:val="auto"/>
                      <w:kern w:val="2"/>
                      <w:sz w:val="21"/>
                      <w:szCs w:val="21"/>
                      <w:lang w:val="en-US" w:eastAsia="zh-CN" w:bidi="ar"/>
                    </w:rPr>
                    <w:t>，造纸、印染行业清洁运输比例达到</w:t>
                  </w:r>
                  <w:r>
                    <w:rPr>
                      <w:rFonts w:hint="default" w:ascii="Times New Roman" w:hAnsi="Times New Roman" w:eastAsia="宋体" w:cs="Times New Roman"/>
                      <w:color w:val="auto"/>
                      <w:kern w:val="2"/>
                      <w:sz w:val="21"/>
                      <w:szCs w:val="21"/>
                      <w:lang w:val="en-US" w:eastAsia="zh-CN" w:bidi="ar"/>
                    </w:rPr>
                    <w:t>20%</w:t>
                  </w:r>
                  <w:r>
                    <w:rPr>
                      <w:rFonts w:hint="eastAsia" w:ascii="宋体" w:hAnsi="宋体" w:eastAsia="宋体" w:cs="宋体"/>
                      <w:color w:val="auto"/>
                      <w:kern w:val="2"/>
                      <w:sz w:val="21"/>
                      <w:szCs w:val="21"/>
                      <w:lang w:val="en-US" w:eastAsia="zh-CN" w:bidi="ar"/>
                    </w:rPr>
                    <w:t>，推动砂石骨料等其他建材清洁运输。全省运输车辆门禁监管系统安装联网累计达到</w:t>
                  </w:r>
                  <w:r>
                    <w:rPr>
                      <w:rFonts w:hint="default" w:ascii="Times New Roman" w:hAnsi="Times New Roman" w:eastAsia="宋体" w:cs="Times New Roman"/>
                      <w:color w:val="auto"/>
                      <w:kern w:val="2"/>
                      <w:sz w:val="21"/>
                      <w:szCs w:val="21"/>
                      <w:lang w:val="en-US" w:eastAsia="zh-CN" w:bidi="ar"/>
                    </w:rPr>
                    <w:t>600</w:t>
                  </w:r>
                  <w:r>
                    <w:rPr>
                      <w:rFonts w:hint="eastAsia" w:ascii="宋体" w:hAnsi="宋体" w:eastAsia="宋体" w:cs="宋体"/>
                      <w:color w:val="auto"/>
                      <w:kern w:val="2"/>
                      <w:sz w:val="21"/>
                      <w:szCs w:val="21"/>
                      <w:lang w:val="en-US" w:eastAsia="zh-CN" w:bidi="ar"/>
                    </w:rPr>
                    <w:t>家，实现大气环境绩效</w:t>
                  </w:r>
                  <w:r>
                    <w:rPr>
                      <w:rFonts w:hint="default" w:ascii="Times New Roman" w:hAnsi="Times New Roman" w:eastAsia="宋体" w:cs="Times New Roman"/>
                      <w:color w:val="auto"/>
                      <w:kern w:val="2"/>
                      <w:sz w:val="21"/>
                      <w:szCs w:val="21"/>
                      <w:lang w:val="en-US" w:eastAsia="zh-CN" w:bidi="ar"/>
                    </w:rPr>
                    <w:t>A/B</w:t>
                  </w:r>
                  <w:r>
                    <w:rPr>
                      <w:rFonts w:hint="eastAsia" w:ascii="宋体" w:hAnsi="宋体" w:eastAsia="宋体" w:cs="宋体"/>
                      <w:color w:val="auto"/>
                      <w:kern w:val="2"/>
                      <w:sz w:val="21"/>
                      <w:szCs w:val="21"/>
                      <w:lang w:val="en-US" w:eastAsia="zh-CN" w:bidi="ar"/>
                    </w:rPr>
                    <w:t>级和重点行业企业联网全覆盖，推动港口码头、铁路货场、物流园区等重要清洁运输场景安装运输车辆门禁监管系统。持续推动运输车辆新能源替代，力争国六及以上排放标准货车与新能源货车保有量占比超过</w:t>
                  </w:r>
                  <w:r>
                    <w:rPr>
                      <w:rFonts w:hint="default" w:ascii="Times New Roman" w:hAnsi="Times New Roman" w:eastAsia="宋体" w:cs="Times New Roman"/>
                      <w:color w:val="auto"/>
                      <w:kern w:val="2"/>
                      <w:sz w:val="21"/>
                      <w:szCs w:val="21"/>
                      <w:lang w:val="en-US" w:eastAsia="zh-CN" w:bidi="ar"/>
                    </w:rPr>
                    <w:t>50%</w:t>
                  </w:r>
                  <w:r>
                    <w:rPr>
                      <w:rFonts w:hint="eastAsia" w:ascii="宋体" w:hAnsi="宋体" w:eastAsia="宋体" w:cs="宋体"/>
                      <w:color w:val="auto"/>
                      <w:kern w:val="2"/>
                      <w:sz w:val="21"/>
                      <w:szCs w:val="21"/>
                      <w:lang w:val="en-US" w:eastAsia="zh-CN" w:bidi="ar"/>
                    </w:rPr>
                    <w:t>，新能源中重型货车保有量占比达到</w:t>
                  </w:r>
                  <w:r>
                    <w:rPr>
                      <w:rFonts w:hint="default" w:ascii="Times New Roman" w:hAnsi="Times New Roman" w:eastAsia="宋体" w:cs="Times New Roman"/>
                      <w:color w:val="auto"/>
                      <w:kern w:val="2"/>
                      <w:sz w:val="21"/>
                      <w:szCs w:val="21"/>
                      <w:lang w:val="en-US" w:eastAsia="zh-CN" w:bidi="ar"/>
                    </w:rPr>
                    <w:t>2.5%</w:t>
                  </w:r>
                  <w:r>
                    <w:rPr>
                      <w:rFonts w:hint="eastAsia" w:ascii="宋体" w:hAnsi="宋体" w:eastAsia="宋体" w:cs="宋体"/>
                      <w:color w:val="auto"/>
                      <w:kern w:val="2"/>
                      <w:sz w:val="21"/>
                      <w:szCs w:val="21"/>
                      <w:lang w:val="en-US" w:eastAsia="zh-CN" w:bidi="ar"/>
                    </w:rPr>
                    <w:t>，全省淘汰国四及以下排放标准柴油货车</w:t>
                  </w:r>
                  <w:r>
                    <w:rPr>
                      <w:rFonts w:hint="default" w:ascii="Times New Roman" w:hAnsi="Times New Roman" w:eastAsia="宋体" w:cs="Times New Roman"/>
                      <w:color w:val="auto"/>
                      <w:kern w:val="2"/>
                      <w:sz w:val="21"/>
                      <w:szCs w:val="21"/>
                      <w:lang w:val="en-US" w:eastAsia="zh-CN" w:bidi="ar"/>
                    </w:rPr>
                    <w:t>5</w:t>
                  </w:r>
                  <w:r>
                    <w:rPr>
                      <w:rFonts w:hint="eastAsia" w:ascii="宋体" w:hAnsi="宋体" w:eastAsia="宋体" w:cs="宋体"/>
                      <w:color w:val="auto"/>
                      <w:kern w:val="2"/>
                      <w:sz w:val="21"/>
                      <w:szCs w:val="21"/>
                      <w:lang w:val="en-US" w:eastAsia="zh-CN" w:bidi="ar"/>
                    </w:rPr>
                    <w:t>万辆以上。指导各地制修订国四柴油货车限行政策，沿海港口区域于</w:t>
                  </w:r>
                  <w:r>
                    <w:rPr>
                      <w:rFonts w:hint="default" w:ascii="Times New Roman" w:hAnsi="Times New Roman" w:eastAsia="宋体" w:cs="Times New Roman"/>
                      <w:color w:val="auto"/>
                      <w:kern w:val="2"/>
                      <w:sz w:val="21"/>
                      <w:szCs w:val="21"/>
                      <w:lang w:val="en-US" w:eastAsia="zh-CN" w:bidi="ar"/>
                    </w:rPr>
                    <w:t>2026</w:t>
                  </w:r>
                  <w:r>
                    <w:rPr>
                      <w:rFonts w:hint="eastAsia" w:ascii="宋体" w:hAnsi="宋体" w:eastAsia="宋体" w:cs="宋体"/>
                      <w:color w:val="auto"/>
                      <w:kern w:val="2"/>
                      <w:sz w:val="21"/>
                      <w:szCs w:val="21"/>
                      <w:lang w:val="en-US" w:eastAsia="zh-CN" w:bidi="ar"/>
                    </w:rPr>
                    <w:t>年</w:t>
                  </w:r>
                  <w:r>
                    <w:rPr>
                      <w:rFonts w:hint="default" w:ascii="Times New Roman" w:hAnsi="Times New Roman" w:eastAsia="宋体" w:cs="Times New Roman"/>
                      <w:color w:val="auto"/>
                      <w:kern w:val="2"/>
                      <w:sz w:val="21"/>
                      <w:szCs w:val="21"/>
                      <w:lang w:val="en-US" w:eastAsia="zh-CN" w:bidi="ar"/>
                    </w:rPr>
                    <w:t>10</w:t>
                  </w:r>
                  <w:r>
                    <w:rPr>
                      <w:rFonts w:hint="eastAsia" w:ascii="宋体" w:hAnsi="宋体" w:eastAsia="宋体" w:cs="宋体"/>
                      <w:color w:val="auto"/>
                      <w:kern w:val="2"/>
                      <w:sz w:val="21"/>
                      <w:szCs w:val="21"/>
                      <w:lang w:val="en-US" w:eastAsia="zh-CN" w:bidi="ar"/>
                    </w:rPr>
                    <w:t>月</w:t>
                  </w:r>
                  <w:r>
                    <w:rPr>
                      <w:rFonts w:hint="default" w:ascii="Times New Roman" w:hAnsi="Times New Roman" w:eastAsia="宋体" w:cs="Times New Roman"/>
                      <w:color w:val="auto"/>
                      <w:kern w:val="2"/>
                      <w:sz w:val="21"/>
                      <w:szCs w:val="21"/>
                      <w:lang w:val="en-US" w:eastAsia="zh-CN" w:bidi="ar"/>
                    </w:rPr>
                    <w:t>15</w:t>
                  </w:r>
                  <w:r>
                    <w:rPr>
                      <w:rFonts w:hint="eastAsia" w:ascii="宋体" w:hAnsi="宋体" w:eastAsia="宋体" w:cs="宋体"/>
                      <w:color w:val="auto"/>
                      <w:kern w:val="2"/>
                      <w:sz w:val="21"/>
                      <w:szCs w:val="21"/>
                      <w:lang w:val="en-US" w:eastAsia="zh-CN" w:bidi="ar"/>
                    </w:rPr>
                    <w:t>日起实施国四排放标准柴油货车限行。</w:t>
                  </w:r>
                </w:p>
              </w:tc>
              <w:tc>
                <w:tcPr>
                  <w:tcW w:w="1961" w:type="dxa"/>
                  <w:tcBorders>
                    <w:top w:val="single" w:color="auto" w:sz="4" w:space="0"/>
                    <w:left w:val="nil"/>
                    <w:bottom w:val="single" w:color="auto" w:sz="4" w:space="0"/>
                    <w:right w:val="single" w:color="auto" w:sz="4" w:space="0"/>
                  </w:tcBorders>
                  <w:shd w:val="clear" w:color="auto" w:fill="auto"/>
                  <w:vAlign w:val="center"/>
                </w:tcPr>
                <w:p w14:paraId="23E22A6F">
                  <w:pPr>
                    <w:pStyle w:val="19"/>
                    <w:keepNext w:val="0"/>
                    <w:keepLines w:val="0"/>
                    <w:widowControl w:val="0"/>
                    <w:suppressLineNumbers w:val="0"/>
                    <w:autoSpaceDE w:val="0"/>
                    <w:autoSpaceDN w:val="0"/>
                    <w:adjustRightInd w:val="0"/>
                    <w:spacing w:before="0" w:beforeAutospacing="0" w:after="0" w:afterAutospacing="0" w:line="320" w:lineRule="exact"/>
                    <w:ind w:left="0" w:right="0"/>
                    <w:jc w:val="center"/>
                    <w:rPr>
                      <w:rFonts w:hint="default" w:ascii="Times New Roman" w:hAnsi="Times New Roman" w:eastAsia="宋体" w:cs="Times New Roman"/>
                      <w:color w:val="auto"/>
                      <w:kern w:val="2"/>
                      <w:sz w:val="21"/>
                      <w:szCs w:val="21"/>
                    </w:rPr>
                  </w:pPr>
                  <w:r>
                    <w:rPr>
                      <w:rFonts w:hint="eastAsia" w:ascii="宋体" w:hAnsi="宋体" w:eastAsia="宋体" w:cs="宋体"/>
                      <w:color w:val="auto"/>
                      <w:kern w:val="2"/>
                      <w:sz w:val="21"/>
                      <w:szCs w:val="21"/>
                      <w:lang w:val="en-US" w:eastAsia="zh-CN" w:bidi="ar"/>
                    </w:rPr>
                    <w:t>本项目物料进出厂以汽运为主，将使用新能源和国六排放标准的货车。</w:t>
                  </w:r>
                </w:p>
              </w:tc>
              <w:tc>
                <w:tcPr>
                  <w:tcW w:w="743" w:type="dxa"/>
                  <w:tcBorders>
                    <w:top w:val="single" w:color="auto" w:sz="4" w:space="0"/>
                    <w:left w:val="nil"/>
                    <w:bottom w:val="single" w:color="auto" w:sz="4" w:space="0"/>
                    <w:right w:val="single" w:color="auto" w:sz="4" w:space="0"/>
                  </w:tcBorders>
                  <w:shd w:val="clear" w:color="auto" w:fill="auto"/>
                  <w:vAlign w:val="center"/>
                </w:tcPr>
                <w:p w14:paraId="02862B47">
                  <w:pPr>
                    <w:pStyle w:val="19"/>
                    <w:keepNext w:val="0"/>
                    <w:keepLines w:val="0"/>
                    <w:widowControl w:val="0"/>
                    <w:suppressLineNumbers w:val="0"/>
                    <w:autoSpaceDE w:val="0"/>
                    <w:autoSpaceDN w:val="0"/>
                    <w:adjustRightInd w:val="0"/>
                    <w:spacing w:before="0" w:beforeAutospacing="0" w:after="0" w:afterAutospacing="0" w:line="320" w:lineRule="exact"/>
                    <w:ind w:left="0" w:right="0"/>
                    <w:jc w:val="center"/>
                    <w:rPr>
                      <w:rFonts w:hint="eastAsia" w:ascii="Times New Roman" w:hAnsi="Times New Roman" w:eastAsia="宋体" w:cs="Times New Roman"/>
                      <w:color w:val="auto"/>
                      <w:kern w:val="2"/>
                      <w:sz w:val="21"/>
                      <w:szCs w:val="21"/>
                    </w:rPr>
                  </w:pPr>
                  <w:r>
                    <w:rPr>
                      <w:rFonts w:hint="eastAsia" w:ascii="宋体" w:hAnsi="宋体" w:eastAsia="宋体" w:cs="宋体"/>
                      <w:color w:val="auto"/>
                      <w:kern w:val="2"/>
                      <w:sz w:val="21"/>
                      <w:szCs w:val="21"/>
                      <w:lang w:val="en-US" w:eastAsia="zh-CN" w:bidi="ar"/>
                    </w:rPr>
                    <w:t>符合</w:t>
                  </w:r>
                </w:p>
              </w:tc>
            </w:tr>
            <w:tr w14:paraId="0FA3C5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340" w:hRule="atLeast"/>
                <w:jc w:val="center"/>
              </w:trPr>
              <w:tc>
                <w:tcPr>
                  <w:tcW w:w="1121" w:type="dxa"/>
                  <w:tcBorders>
                    <w:top w:val="single" w:color="auto" w:sz="4" w:space="0"/>
                    <w:left w:val="single" w:color="auto" w:sz="4" w:space="0"/>
                    <w:bottom w:val="single" w:color="auto" w:sz="4" w:space="0"/>
                    <w:right w:val="single" w:color="auto" w:sz="4" w:space="0"/>
                  </w:tcBorders>
                  <w:shd w:val="clear" w:color="auto" w:fill="auto"/>
                  <w:vAlign w:val="center"/>
                </w:tcPr>
                <w:p w14:paraId="2824040E">
                  <w:pPr>
                    <w:pStyle w:val="19"/>
                    <w:keepNext w:val="0"/>
                    <w:keepLines w:val="0"/>
                    <w:widowControl w:val="0"/>
                    <w:suppressLineNumbers w:val="0"/>
                    <w:autoSpaceDE w:val="0"/>
                    <w:autoSpaceDN w:val="0"/>
                    <w:adjustRightInd w:val="0"/>
                    <w:spacing w:before="0" w:beforeAutospacing="0" w:after="0" w:afterAutospacing="0" w:line="320" w:lineRule="exact"/>
                    <w:ind w:left="0" w:right="0"/>
                    <w:jc w:val="center"/>
                    <w:rPr>
                      <w:rFonts w:hint="default" w:ascii="Times New Roman" w:hAnsi="Times New Roman" w:eastAsia="宋体" w:cs="Times New Roman"/>
                      <w:color w:val="auto"/>
                      <w:kern w:val="2"/>
                      <w:sz w:val="21"/>
                      <w:szCs w:val="21"/>
                    </w:rPr>
                  </w:pPr>
                  <w:r>
                    <w:rPr>
                      <w:rFonts w:hint="eastAsia" w:ascii="宋体" w:hAnsi="宋体" w:eastAsia="宋体" w:cs="宋体"/>
                      <w:color w:val="auto"/>
                      <w:kern w:val="2"/>
                      <w:sz w:val="21"/>
                      <w:szCs w:val="21"/>
                      <w:lang w:val="en-US" w:eastAsia="zh-CN" w:bidi="ar"/>
                    </w:rPr>
                    <w:t>迭代实施城市交通绿色转型攻坚</w:t>
                  </w:r>
                </w:p>
              </w:tc>
              <w:tc>
                <w:tcPr>
                  <w:tcW w:w="4589" w:type="dxa"/>
                  <w:tcBorders>
                    <w:top w:val="single" w:color="auto" w:sz="4" w:space="0"/>
                    <w:left w:val="nil"/>
                    <w:bottom w:val="single" w:color="auto" w:sz="4" w:space="0"/>
                    <w:right w:val="single" w:color="auto" w:sz="4" w:space="0"/>
                  </w:tcBorders>
                  <w:shd w:val="clear" w:color="auto" w:fill="auto"/>
                  <w:vAlign w:val="center"/>
                </w:tcPr>
                <w:p w14:paraId="735022A3">
                  <w:pPr>
                    <w:pStyle w:val="19"/>
                    <w:keepNext w:val="0"/>
                    <w:keepLines w:val="0"/>
                    <w:widowControl w:val="0"/>
                    <w:suppressLineNumbers w:val="0"/>
                    <w:autoSpaceDE w:val="0"/>
                    <w:autoSpaceDN w:val="0"/>
                    <w:adjustRightInd w:val="0"/>
                    <w:spacing w:before="0" w:beforeAutospacing="0" w:after="0" w:afterAutospacing="0" w:line="320" w:lineRule="exact"/>
                    <w:ind w:left="0" w:right="0"/>
                    <w:jc w:val="center"/>
                    <w:rPr>
                      <w:rFonts w:hint="default" w:ascii="Times New Roman" w:hAnsi="Times New Roman" w:eastAsia="宋体" w:cs="Times New Roman"/>
                      <w:color w:val="auto"/>
                      <w:kern w:val="2"/>
                      <w:sz w:val="21"/>
                      <w:szCs w:val="21"/>
                    </w:rPr>
                  </w:pPr>
                  <w:r>
                    <w:rPr>
                      <w:rFonts w:hint="eastAsia" w:ascii="宋体" w:hAnsi="宋体" w:eastAsia="宋体" w:cs="宋体"/>
                      <w:color w:val="auto"/>
                      <w:kern w:val="2"/>
                      <w:sz w:val="21"/>
                      <w:szCs w:val="21"/>
                      <w:lang w:val="en-US" w:eastAsia="zh-CN" w:bidi="ar"/>
                    </w:rPr>
                    <w:t>优先发展绿色出行和公交，新能源汽车在新车销售中的占比达到</w:t>
                  </w:r>
                  <w:r>
                    <w:rPr>
                      <w:rFonts w:hint="default" w:ascii="Times New Roman" w:hAnsi="Times New Roman" w:eastAsia="宋体" w:cs="Times New Roman"/>
                      <w:color w:val="auto"/>
                      <w:kern w:val="2"/>
                      <w:sz w:val="21"/>
                      <w:szCs w:val="21"/>
                      <w:lang w:val="en-US" w:eastAsia="zh-CN" w:bidi="ar"/>
                    </w:rPr>
                    <w:t>50%</w:t>
                  </w:r>
                  <w:r>
                    <w:rPr>
                      <w:rFonts w:hint="eastAsia" w:ascii="宋体" w:hAnsi="宋体" w:eastAsia="宋体" w:cs="宋体"/>
                      <w:color w:val="auto"/>
                      <w:kern w:val="2"/>
                      <w:sz w:val="21"/>
                      <w:szCs w:val="21"/>
                      <w:lang w:val="en-US" w:eastAsia="zh-CN" w:bidi="ar"/>
                    </w:rPr>
                    <w:t>以上。新增和更新新能源公交车</w:t>
                  </w:r>
                  <w:r>
                    <w:rPr>
                      <w:rFonts w:hint="default" w:ascii="Times New Roman" w:hAnsi="Times New Roman" w:eastAsia="宋体" w:cs="Times New Roman"/>
                      <w:color w:val="auto"/>
                      <w:kern w:val="2"/>
                      <w:sz w:val="21"/>
                      <w:szCs w:val="21"/>
                      <w:lang w:val="en-US" w:eastAsia="zh-CN" w:bidi="ar"/>
                    </w:rPr>
                    <w:t>550</w:t>
                  </w:r>
                  <w:r>
                    <w:rPr>
                      <w:rFonts w:hint="eastAsia" w:ascii="宋体" w:hAnsi="宋体" w:eastAsia="宋体" w:cs="宋体"/>
                      <w:color w:val="auto"/>
                      <w:kern w:val="2"/>
                      <w:sz w:val="21"/>
                      <w:szCs w:val="21"/>
                      <w:lang w:val="en-US" w:eastAsia="zh-CN" w:bidi="ar"/>
                    </w:rPr>
                    <w:t>辆、新能源出租车（含网约车）</w:t>
                  </w:r>
                  <w:r>
                    <w:rPr>
                      <w:rFonts w:hint="default" w:ascii="Times New Roman" w:hAnsi="Times New Roman" w:eastAsia="宋体" w:cs="Times New Roman"/>
                      <w:color w:val="auto"/>
                      <w:kern w:val="2"/>
                      <w:sz w:val="21"/>
                      <w:szCs w:val="21"/>
                      <w:lang w:val="en-US" w:eastAsia="zh-CN" w:bidi="ar"/>
                    </w:rPr>
                    <w:t>2.6</w:t>
                  </w:r>
                  <w:r>
                    <w:rPr>
                      <w:rFonts w:hint="eastAsia" w:ascii="宋体" w:hAnsi="宋体" w:eastAsia="宋体" w:cs="宋体"/>
                      <w:color w:val="auto"/>
                      <w:kern w:val="2"/>
                      <w:sz w:val="21"/>
                      <w:szCs w:val="21"/>
                      <w:lang w:val="en-US" w:eastAsia="zh-CN" w:bidi="ar"/>
                    </w:rPr>
                    <w:t>万辆，新增和更新车辆中新能源化比例超过</w:t>
                  </w:r>
                  <w:r>
                    <w:rPr>
                      <w:rFonts w:hint="default" w:ascii="Times New Roman" w:hAnsi="Times New Roman" w:eastAsia="宋体" w:cs="Times New Roman"/>
                      <w:color w:val="auto"/>
                      <w:kern w:val="2"/>
                      <w:sz w:val="21"/>
                      <w:szCs w:val="21"/>
                      <w:lang w:val="en-US" w:eastAsia="zh-CN" w:bidi="ar"/>
                    </w:rPr>
                    <w:t>95%</w:t>
                  </w:r>
                  <w:r>
                    <w:rPr>
                      <w:rFonts w:hint="eastAsia" w:ascii="宋体" w:hAnsi="宋体" w:eastAsia="宋体" w:cs="宋体"/>
                      <w:color w:val="auto"/>
                      <w:kern w:val="2"/>
                      <w:sz w:val="21"/>
                      <w:szCs w:val="21"/>
                      <w:lang w:val="en-US" w:eastAsia="zh-CN" w:bidi="ar"/>
                    </w:rPr>
                    <w:t>。推动新增或更新的生活垃圾运输车、校车、通勤车、机场巴士等车辆新能源化，鼓励建筑垃圾运输车辆采用清洁动力。杭州市、义乌市深化新车准入、在用车管理、老旧车淘汰、新能源更新、车辆检验等机动车污染防治全流程监管试点，各市县参照实施。完善绿色交通补能设施规划布局，推进大功率充（换）电站、加气站、加氢站、甲醇加注站等设施建设，支持工矿企业和运输单位自建新能源重卡补能设施。</w:t>
                  </w:r>
                </w:p>
              </w:tc>
              <w:tc>
                <w:tcPr>
                  <w:tcW w:w="1961" w:type="dxa"/>
                  <w:tcBorders>
                    <w:top w:val="single" w:color="auto" w:sz="4" w:space="0"/>
                    <w:left w:val="nil"/>
                    <w:bottom w:val="single" w:color="auto" w:sz="4" w:space="0"/>
                    <w:right w:val="single" w:color="auto" w:sz="4" w:space="0"/>
                  </w:tcBorders>
                  <w:shd w:val="clear" w:color="auto" w:fill="auto"/>
                  <w:vAlign w:val="center"/>
                </w:tcPr>
                <w:p w14:paraId="22888949">
                  <w:pPr>
                    <w:pStyle w:val="19"/>
                    <w:keepNext w:val="0"/>
                    <w:keepLines w:val="0"/>
                    <w:widowControl w:val="0"/>
                    <w:suppressLineNumbers w:val="0"/>
                    <w:autoSpaceDE w:val="0"/>
                    <w:autoSpaceDN w:val="0"/>
                    <w:adjustRightInd w:val="0"/>
                    <w:spacing w:before="0" w:beforeAutospacing="0" w:after="0" w:afterAutospacing="0" w:line="320" w:lineRule="exact"/>
                    <w:ind w:left="0" w:right="0"/>
                    <w:jc w:val="center"/>
                    <w:rPr>
                      <w:rFonts w:hint="default" w:ascii="Times New Roman" w:hAnsi="Times New Roman" w:eastAsia="宋体" w:cs="Times New Roman"/>
                      <w:color w:val="auto"/>
                      <w:kern w:val="2"/>
                      <w:sz w:val="21"/>
                      <w:szCs w:val="21"/>
                    </w:rPr>
                  </w:pPr>
                  <w:r>
                    <w:rPr>
                      <w:rFonts w:hint="eastAsia" w:ascii="宋体" w:hAnsi="宋体" w:eastAsia="宋体" w:cs="宋体"/>
                      <w:color w:val="auto"/>
                      <w:kern w:val="2"/>
                      <w:sz w:val="21"/>
                      <w:szCs w:val="21"/>
                      <w:lang w:val="en-US" w:eastAsia="zh-CN" w:bidi="ar"/>
                    </w:rPr>
                    <w:t>本项目不涉及。</w:t>
                  </w:r>
                </w:p>
              </w:tc>
              <w:tc>
                <w:tcPr>
                  <w:tcW w:w="743" w:type="dxa"/>
                  <w:tcBorders>
                    <w:top w:val="single" w:color="auto" w:sz="4" w:space="0"/>
                    <w:left w:val="nil"/>
                    <w:bottom w:val="single" w:color="auto" w:sz="4" w:space="0"/>
                    <w:right w:val="single" w:color="auto" w:sz="4" w:space="0"/>
                  </w:tcBorders>
                  <w:shd w:val="clear" w:color="auto" w:fill="auto"/>
                  <w:vAlign w:val="center"/>
                </w:tcPr>
                <w:p w14:paraId="59F6C390">
                  <w:pPr>
                    <w:pStyle w:val="19"/>
                    <w:keepNext w:val="0"/>
                    <w:keepLines w:val="0"/>
                    <w:widowControl w:val="0"/>
                    <w:suppressLineNumbers w:val="0"/>
                    <w:autoSpaceDE w:val="0"/>
                    <w:autoSpaceDN w:val="0"/>
                    <w:adjustRightInd w:val="0"/>
                    <w:spacing w:before="0" w:beforeAutospacing="0" w:after="0" w:afterAutospacing="0" w:line="320" w:lineRule="exact"/>
                    <w:ind w:left="0" w:right="0"/>
                    <w:jc w:val="center"/>
                    <w:rPr>
                      <w:rFonts w:hint="default" w:ascii="Times New Roman" w:hAnsi="Times New Roman" w:eastAsia="宋体" w:cs="Times New Roman"/>
                      <w:color w:val="auto"/>
                      <w:kern w:val="2"/>
                      <w:sz w:val="21"/>
                      <w:szCs w:val="21"/>
                    </w:rPr>
                  </w:pPr>
                  <w:r>
                    <w:rPr>
                      <w:rFonts w:hint="eastAsia" w:ascii="宋体" w:hAnsi="宋体" w:eastAsia="宋体" w:cs="宋体"/>
                      <w:color w:val="auto"/>
                      <w:kern w:val="2"/>
                      <w:sz w:val="21"/>
                      <w:szCs w:val="21"/>
                      <w:lang w:val="en-US" w:eastAsia="zh-CN" w:bidi="ar"/>
                    </w:rPr>
                    <w:t>不涉及</w:t>
                  </w:r>
                </w:p>
              </w:tc>
            </w:tr>
            <w:tr w14:paraId="64C52A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340" w:hRule="atLeast"/>
                <w:jc w:val="center"/>
              </w:trPr>
              <w:tc>
                <w:tcPr>
                  <w:tcW w:w="1121" w:type="dxa"/>
                  <w:tcBorders>
                    <w:top w:val="single" w:color="auto" w:sz="4" w:space="0"/>
                    <w:left w:val="single" w:color="auto" w:sz="4" w:space="0"/>
                    <w:bottom w:val="single" w:color="auto" w:sz="4" w:space="0"/>
                    <w:right w:val="single" w:color="auto" w:sz="4" w:space="0"/>
                  </w:tcBorders>
                  <w:shd w:val="clear" w:color="auto" w:fill="auto"/>
                  <w:vAlign w:val="center"/>
                </w:tcPr>
                <w:p w14:paraId="77B36075">
                  <w:pPr>
                    <w:pStyle w:val="19"/>
                    <w:keepNext w:val="0"/>
                    <w:keepLines w:val="0"/>
                    <w:widowControl w:val="0"/>
                    <w:suppressLineNumbers w:val="0"/>
                    <w:autoSpaceDE w:val="0"/>
                    <w:autoSpaceDN w:val="0"/>
                    <w:adjustRightInd w:val="0"/>
                    <w:spacing w:before="0" w:beforeAutospacing="0" w:after="0" w:afterAutospacing="0" w:line="320" w:lineRule="exact"/>
                    <w:ind w:left="0" w:right="0"/>
                    <w:jc w:val="center"/>
                    <w:rPr>
                      <w:rFonts w:hint="default" w:ascii="Times New Roman" w:hAnsi="Times New Roman" w:eastAsia="宋体" w:cs="Times New Roman"/>
                      <w:color w:val="auto"/>
                      <w:kern w:val="2"/>
                      <w:sz w:val="21"/>
                      <w:szCs w:val="21"/>
                    </w:rPr>
                  </w:pPr>
                  <w:r>
                    <w:rPr>
                      <w:rFonts w:hint="eastAsia" w:ascii="宋体" w:hAnsi="宋体" w:eastAsia="宋体" w:cs="宋体"/>
                      <w:color w:val="auto"/>
                      <w:kern w:val="2"/>
                      <w:sz w:val="21"/>
                      <w:szCs w:val="21"/>
                      <w:lang w:val="en-US" w:eastAsia="zh-CN" w:bidi="ar"/>
                    </w:rPr>
                    <w:t>迭代实施非道路移动机械清洁提升攻坚</w:t>
                  </w:r>
                </w:p>
              </w:tc>
              <w:tc>
                <w:tcPr>
                  <w:tcW w:w="4589" w:type="dxa"/>
                  <w:tcBorders>
                    <w:top w:val="single" w:color="auto" w:sz="4" w:space="0"/>
                    <w:left w:val="nil"/>
                    <w:bottom w:val="single" w:color="auto" w:sz="4" w:space="0"/>
                    <w:right w:val="single" w:color="auto" w:sz="4" w:space="0"/>
                  </w:tcBorders>
                  <w:shd w:val="clear" w:color="auto" w:fill="auto"/>
                  <w:vAlign w:val="center"/>
                </w:tcPr>
                <w:p w14:paraId="1C4240A0">
                  <w:pPr>
                    <w:pStyle w:val="19"/>
                    <w:keepNext w:val="0"/>
                    <w:keepLines w:val="0"/>
                    <w:widowControl w:val="0"/>
                    <w:suppressLineNumbers w:val="0"/>
                    <w:autoSpaceDE w:val="0"/>
                    <w:autoSpaceDN w:val="0"/>
                    <w:adjustRightInd w:val="0"/>
                    <w:spacing w:before="0" w:beforeAutospacing="0" w:after="0" w:afterAutospacing="0" w:line="320" w:lineRule="exact"/>
                    <w:ind w:left="0" w:right="0"/>
                    <w:jc w:val="center"/>
                    <w:rPr>
                      <w:rFonts w:hint="default" w:ascii="Times New Roman" w:hAnsi="Times New Roman" w:eastAsia="宋体" w:cs="Times New Roman"/>
                      <w:color w:val="auto"/>
                      <w:kern w:val="2"/>
                      <w:sz w:val="21"/>
                      <w:szCs w:val="21"/>
                    </w:rPr>
                  </w:pPr>
                  <w:r>
                    <w:rPr>
                      <w:rFonts w:hint="eastAsia" w:ascii="宋体" w:hAnsi="宋体" w:eastAsia="宋体" w:cs="宋体"/>
                      <w:color w:val="auto"/>
                      <w:kern w:val="2"/>
                      <w:sz w:val="21"/>
                      <w:szCs w:val="21"/>
                      <w:lang w:val="en-US" w:eastAsia="zh-CN" w:bidi="ar"/>
                    </w:rPr>
                    <w:t>推动港口机场、物流园区、工矿企业、施工工地新增或更新的作业车辆和非道路移动机械优先采用新能源。加快新能源船舶替代以及配套新能源补能网络建设，推进货运船舶电动化先行区建设，新能源综合服务中心、充换电中心及联运枢纽改造。全年新增新能源或清洁能源船舶</w:t>
                  </w:r>
                  <w:r>
                    <w:rPr>
                      <w:rFonts w:hint="default" w:ascii="Times New Roman" w:hAnsi="Times New Roman" w:eastAsia="宋体" w:cs="Times New Roman"/>
                      <w:color w:val="auto"/>
                      <w:kern w:val="2"/>
                      <w:sz w:val="21"/>
                      <w:szCs w:val="21"/>
                      <w:lang w:val="en-US" w:eastAsia="zh-CN" w:bidi="ar"/>
                    </w:rPr>
                    <w:t>50</w:t>
                  </w:r>
                  <w:r>
                    <w:rPr>
                      <w:rFonts w:hint="eastAsia" w:ascii="宋体" w:hAnsi="宋体" w:eastAsia="宋体" w:cs="宋体"/>
                      <w:color w:val="auto"/>
                      <w:kern w:val="2"/>
                      <w:sz w:val="21"/>
                      <w:szCs w:val="21"/>
                      <w:lang w:val="en-US" w:eastAsia="zh-CN" w:bidi="ar"/>
                    </w:rPr>
                    <w:t>艘（其中内河货船</w:t>
                  </w:r>
                  <w:r>
                    <w:rPr>
                      <w:rFonts w:hint="default" w:ascii="Times New Roman" w:hAnsi="Times New Roman" w:eastAsia="宋体" w:cs="Times New Roman"/>
                      <w:color w:val="auto"/>
                      <w:kern w:val="2"/>
                      <w:sz w:val="21"/>
                      <w:szCs w:val="21"/>
                      <w:lang w:val="en-US" w:eastAsia="zh-CN" w:bidi="ar"/>
                    </w:rPr>
                    <w:t>35</w:t>
                  </w:r>
                  <w:r>
                    <w:rPr>
                      <w:rFonts w:hint="eastAsia" w:ascii="宋体" w:hAnsi="宋体" w:eastAsia="宋体" w:cs="宋体"/>
                      <w:color w:val="auto"/>
                      <w:kern w:val="2"/>
                      <w:sz w:val="21"/>
                      <w:szCs w:val="21"/>
                      <w:lang w:val="en-US" w:eastAsia="zh-CN" w:bidi="ar"/>
                    </w:rPr>
                    <w:t>艘），淘汰老旧运输船舶</w:t>
                  </w:r>
                  <w:r>
                    <w:rPr>
                      <w:rFonts w:hint="default" w:ascii="Times New Roman" w:hAnsi="Times New Roman" w:eastAsia="宋体" w:cs="Times New Roman"/>
                      <w:color w:val="auto"/>
                      <w:kern w:val="2"/>
                      <w:sz w:val="21"/>
                      <w:szCs w:val="21"/>
                      <w:lang w:val="en-US" w:eastAsia="zh-CN" w:bidi="ar"/>
                    </w:rPr>
                    <w:t>400</w:t>
                  </w:r>
                  <w:r>
                    <w:rPr>
                      <w:rFonts w:hint="eastAsia" w:ascii="宋体" w:hAnsi="宋体" w:eastAsia="宋体" w:cs="宋体"/>
                      <w:color w:val="auto"/>
                      <w:kern w:val="2"/>
                      <w:sz w:val="21"/>
                      <w:szCs w:val="21"/>
                      <w:lang w:val="en-US" w:eastAsia="zh-CN" w:bidi="ar"/>
                    </w:rPr>
                    <w:t>艘。支持湖州市加快推进全域船舶电动化。设区城市建成区开展“全电工地”建设试点，施工周期内所有机械设备和运输车辆实现全面电动化。基本实现港口、机场全部纳入禁止使用高排放非道路移动机械区域，推动将施工工地、矿山、物流园区等重点场所纳入禁止使用高排放非道路移动机械区域。水泥行业推广实施“全电运输”，因地制宜建设封闭廊道，规模化应用新能源运输车辆和非道路移动机械。基本消除非道路移动机械、船舶及重点区域铁路机车“冒黑烟”现象。推动淘汰老旧非道路移动机械</w:t>
                  </w:r>
                  <w:r>
                    <w:rPr>
                      <w:rFonts w:hint="default" w:ascii="Times New Roman" w:hAnsi="Times New Roman" w:eastAsia="宋体" w:cs="Times New Roman"/>
                      <w:color w:val="auto"/>
                      <w:kern w:val="2"/>
                      <w:sz w:val="21"/>
                      <w:szCs w:val="21"/>
                      <w:lang w:val="en-US" w:eastAsia="zh-CN" w:bidi="ar"/>
                    </w:rPr>
                    <w:t>1</w:t>
                  </w:r>
                  <w:r>
                    <w:rPr>
                      <w:rFonts w:hint="eastAsia" w:ascii="宋体" w:hAnsi="宋体" w:eastAsia="宋体" w:cs="宋体"/>
                      <w:color w:val="auto"/>
                      <w:kern w:val="2"/>
                      <w:sz w:val="21"/>
                      <w:szCs w:val="21"/>
                      <w:lang w:val="en-US" w:eastAsia="zh-CN" w:bidi="ar"/>
                    </w:rPr>
                    <w:t>万辆以上。</w:t>
                  </w:r>
                </w:p>
              </w:tc>
              <w:tc>
                <w:tcPr>
                  <w:tcW w:w="1961" w:type="dxa"/>
                  <w:tcBorders>
                    <w:top w:val="single" w:color="auto" w:sz="4" w:space="0"/>
                    <w:left w:val="nil"/>
                    <w:bottom w:val="single" w:color="auto" w:sz="4" w:space="0"/>
                    <w:right w:val="single" w:color="auto" w:sz="4" w:space="0"/>
                  </w:tcBorders>
                  <w:shd w:val="clear" w:color="auto" w:fill="auto"/>
                  <w:vAlign w:val="center"/>
                </w:tcPr>
                <w:p w14:paraId="6FFE523D">
                  <w:pPr>
                    <w:pStyle w:val="19"/>
                    <w:keepNext w:val="0"/>
                    <w:keepLines w:val="0"/>
                    <w:widowControl w:val="0"/>
                    <w:suppressLineNumbers w:val="0"/>
                    <w:autoSpaceDE w:val="0"/>
                    <w:autoSpaceDN w:val="0"/>
                    <w:adjustRightInd w:val="0"/>
                    <w:spacing w:before="0" w:beforeAutospacing="0" w:after="0" w:afterAutospacing="0" w:line="320" w:lineRule="exact"/>
                    <w:ind w:left="0" w:leftChars="0" w:right="0" w:rightChars="0"/>
                    <w:jc w:val="center"/>
                    <w:rPr>
                      <w:rFonts w:hint="default" w:ascii="Times New Roman" w:hAnsi="Times New Roman" w:eastAsia="宋体" w:cs="Times New Roman"/>
                      <w:color w:val="auto"/>
                      <w:kern w:val="2"/>
                      <w:sz w:val="21"/>
                      <w:szCs w:val="21"/>
                    </w:rPr>
                  </w:pPr>
                  <w:r>
                    <w:rPr>
                      <w:rFonts w:hint="eastAsia" w:ascii="宋体" w:hAnsi="宋体" w:eastAsia="宋体" w:cs="宋体"/>
                      <w:color w:val="auto"/>
                      <w:kern w:val="2"/>
                      <w:sz w:val="21"/>
                      <w:szCs w:val="21"/>
                      <w:lang w:val="en-US" w:eastAsia="zh-CN" w:bidi="ar"/>
                    </w:rPr>
                    <w:t>本项目不涉及。</w:t>
                  </w:r>
                </w:p>
              </w:tc>
              <w:tc>
                <w:tcPr>
                  <w:tcW w:w="743" w:type="dxa"/>
                  <w:tcBorders>
                    <w:top w:val="single" w:color="auto" w:sz="4" w:space="0"/>
                    <w:left w:val="nil"/>
                    <w:bottom w:val="single" w:color="auto" w:sz="4" w:space="0"/>
                    <w:right w:val="single" w:color="auto" w:sz="4" w:space="0"/>
                  </w:tcBorders>
                  <w:shd w:val="clear" w:color="auto" w:fill="auto"/>
                  <w:vAlign w:val="center"/>
                </w:tcPr>
                <w:p w14:paraId="117DC2AD">
                  <w:pPr>
                    <w:pStyle w:val="19"/>
                    <w:keepNext w:val="0"/>
                    <w:keepLines w:val="0"/>
                    <w:widowControl w:val="0"/>
                    <w:suppressLineNumbers w:val="0"/>
                    <w:autoSpaceDE w:val="0"/>
                    <w:autoSpaceDN w:val="0"/>
                    <w:adjustRightInd w:val="0"/>
                    <w:spacing w:before="0" w:beforeAutospacing="0" w:after="0" w:afterAutospacing="0" w:line="320" w:lineRule="exact"/>
                    <w:ind w:left="0" w:leftChars="0" w:right="0" w:rightChars="0"/>
                    <w:jc w:val="center"/>
                    <w:rPr>
                      <w:rFonts w:hint="eastAsia" w:ascii="Times New Roman" w:hAnsi="Times New Roman" w:eastAsia="宋体" w:cs="Times New Roman"/>
                      <w:color w:val="auto"/>
                      <w:kern w:val="2"/>
                      <w:sz w:val="21"/>
                      <w:szCs w:val="21"/>
                    </w:rPr>
                  </w:pPr>
                  <w:r>
                    <w:rPr>
                      <w:rFonts w:hint="eastAsia" w:ascii="宋体" w:hAnsi="宋体" w:eastAsia="宋体" w:cs="宋体"/>
                      <w:color w:val="auto"/>
                      <w:kern w:val="2"/>
                      <w:sz w:val="21"/>
                      <w:szCs w:val="21"/>
                      <w:lang w:val="en-US" w:eastAsia="zh-CN" w:bidi="ar"/>
                    </w:rPr>
                    <w:t>不涉及</w:t>
                  </w:r>
                </w:p>
              </w:tc>
            </w:tr>
            <w:tr w14:paraId="470069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340" w:hRule="atLeast"/>
                <w:jc w:val="center"/>
              </w:trPr>
              <w:tc>
                <w:tcPr>
                  <w:tcW w:w="1121" w:type="dxa"/>
                  <w:tcBorders>
                    <w:top w:val="single" w:color="auto" w:sz="4" w:space="0"/>
                    <w:left w:val="single" w:color="auto" w:sz="4" w:space="0"/>
                    <w:bottom w:val="single" w:color="auto" w:sz="4" w:space="0"/>
                    <w:right w:val="single" w:color="auto" w:sz="4" w:space="0"/>
                  </w:tcBorders>
                  <w:shd w:val="clear" w:color="auto" w:fill="auto"/>
                  <w:vAlign w:val="center"/>
                </w:tcPr>
                <w:p w14:paraId="3758641B">
                  <w:pPr>
                    <w:pStyle w:val="19"/>
                    <w:keepNext w:val="0"/>
                    <w:keepLines w:val="0"/>
                    <w:widowControl w:val="0"/>
                    <w:suppressLineNumbers w:val="0"/>
                    <w:autoSpaceDE w:val="0"/>
                    <w:autoSpaceDN w:val="0"/>
                    <w:adjustRightInd w:val="0"/>
                    <w:spacing w:before="0" w:beforeAutospacing="0" w:after="0" w:afterAutospacing="0" w:line="320" w:lineRule="exact"/>
                    <w:ind w:left="0" w:right="0"/>
                    <w:jc w:val="center"/>
                    <w:rPr>
                      <w:rFonts w:hint="default" w:ascii="Times New Roman" w:hAnsi="Times New Roman" w:eastAsia="宋体" w:cs="Times New Roman"/>
                      <w:color w:val="auto"/>
                      <w:kern w:val="2"/>
                      <w:sz w:val="21"/>
                      <w:szCs w:val="21"/>
                    </w:rPr>
                  </w:pPr>
                  <w:r>
                    <w:rPr>
                      <w:rFonts w:hint="eastAsia" w:ascii="宋体" w:hAnsi="宋体" w:eastAsia="宋体" w:cs="宋体"/>
                      <w:color w:val="auto"/>
                      <w:kern w:val="2"/>
                      <w:sz w:val="21"/>
                      <w:szCs w:val="21"/>
                      <w:lang w:val="en-US" w:eastAsia="zh-CN" w:bidi="ar"/>
                    </w:rPr>
                    <w:t>迭代实施重点行业超低排放改造攻坚</w:t>
                  </w:r>
                </w:p>
              </w:tc>
              <w:tc>
                <w:tcPr>
                  <w:tcW w:w="4589" w:type="dxa"/>
                  <w:tcBorders>
                    <w:top w:val="single" w:color="auto" w:sz="4" w:space="0"/>
                    <w:left w:val="nil"/>
                    <w:bottom w:val="single" w:color="auto" w:sz="4" w:space="0"/>
                    <w:right w:val="single" w:color="auto" w:sz="4" w:space="0"/>
                  </w:tcBorders>
                  <w:shd w:val="clear" w:color="auto" w:fill="auto"/>
                  <w:vAlign w:val="center"/>
                </w:tcPr>
                <w:p w14:paraId="4A8AA401">
                  <w:pPr>
                    <w:pStyle w:val="19"/>
                    <w:keepNext w:val="0"/>
                    <w:keepLines w:val="0"/>
                    <w:widowControl w:val="0"/>
                    <w:suppressLineNumbers w:val="0"/>
                    <w:autoSpaceDE w:val="0"/>
                    <w:autoSpaceDN w:val="0"/>
                    <w:adjustRightInd w:val="0"/>
                    <w:spacing w:before="0" w:beforeAutospacing="0" w:after="0" w:afterAutospacing="0" w:line="320" w:lineRule="exact"/>
                    <w:ind w:left="0" w:right="0"/>
                    <w:jc w:val="center"/>
                    <w:rPr>
                      <w:rFonts w:hint="default" w:ascii="Times New Roman" w:hAnsi="Times New Roman" w:eastAsia="宋体" w:cs="Times New Roman"/>
                      <w:color w:val="auto"/>
                      <w:kern w:val="2"/>
                      <w:sz w:val="21"/>
                      <w:szCs w:val="21"/>
                    </w:rPr>
                  </w:pPr>
                  <w:r>
                    <w:rPr>
                      <w:rFonts w:hint="eastAsia" w:ascii="宋体" w:hAnsi="宋体" w:eastAsia="宋体" w:cs="宋体"/>
                      <w:color w:val="auto"/>
                      <w:kern w:val="2"/>
                      <w:sz w:val="21"/>
                      <w:szCs w:val="21"/>
                      <w:lang w:val="en-US" w:eastAsia="zh-CN" w:bidi="ar"/>
                    </w:rPr>
                    <w:t>持续推进生活垃圾焚烧企业超低排放改造，全年新增完成</w:t>
                  </w:r>
                  <w:r>
                    <w:rPr>
                      <w:rFonts w:hint="default" w:ascii="Times New Roman" w:hAnsi="Times New Roman" w:eastAsia="宋体" w:cs="Times New Roman"/>
                      <w:color w:val="auto"/>
                      <w:kern w:val="2"/>
                      <w:sz w:val="21"/>
                      <w:szCs w:val="21"/>
                      <w:lang w:val="en-US" w:eastAsia="zh-CN" w:bidi="ar"/>
                    </w:rPr>
                    <w:t>20</w:t>
                  </w:r>
                  <w:r>
                    <w:rPr>
                      <w:rFonts w:hint="eastAsia" w:ascii="宋体" w:hAnsi="宋体" w:eastAsia="宋体" w:cs="宋体"/>
                      <w:color w:val="auto"/>
                      <w:kern w:val="2"/>
                      <w:sz w:val="21"/>
                      <w:szCs w:val="21"/>
                      <w:lang w:val="en-US" w:eastAsia="zh-CN" w:bidi="ar"/>
                    </w:rPr>
                    <w:t>座以上垃圾焚烧厂生产环节超低排放改造，提升清洁运输水平。加快水泥行业全流程超低排放改造和评估监测，力争</w:t>
                  </w:r>
                  <w:r>
                    <w:rPr>
                      <w:rFonts w:hint="default" w:ascii="Times New Roman" w:hAnsi="Times New Roman" w:eastAsia="宋体" w:cs="Times New Roman"/>
                      <w:color w:val="auto"/>
                      <w:kern w:val="2"/>
                      <w:sz w:val="21"/>
                      <w:szCs w:val="21"/>
                      <w:lang w:val="en-US" w:eastAsia="zh-CN" w:bidi="ar"/>
                    </w:rPr>
                    <w:t>60%</w:t>
                  </w:r>
                  <w:r>
                    <w:rPr>
                      <w:rFonts w:hint="eastAsia" w:ascii="宋体" w:hAnsi="宋体" w:eastAsia="宋体" w:cs="宋体"/>
                      <w:color w:val="auto"/>
                      <w:kern w:val="2"/>
                      <w:sz w:val="21"/>
                      <w:szCs w:val="21"/>
                      <w:lang w:val="en-US" w:eastAsia="zh-CN" w:bidi="ar"/>
                    </w:rPr>
                    <w:t>以上的熟料产能完成国家评估监测公示、</w:t>
                  </w:r>
                  <w:r>
                    <w:rPr>
                      <w:rFonts w:hint="default" w:ascii="Times New Roman" w:hAnsi="Times New Roman" w:eastAsia="宋体" w:cs="Times New Roman"/>
                      <w:color w:val="auto"/>
                      <w:kern w:val="2"/>
                      <w:sz w:val="21"/>
                      <w:szCs w:val="21"/>
                      <w:lang w:val="en-US" w:eastAsia="zh-CN" w:bidi="ar"/>
                    </w:rPr>
                    <w:t>50</w:t>
                  </w:r>
                  <w:r>
                    <w:rPr>
                      <w:rFonts w:hint="eastAsia" w:ascii="宋体" w:hAnsi="宋体" w:eastAsia="宋体" w:cs="宋体"/>
                      <w:color w:val="auto"/>
                      <w:kern w:val="2"/>
                      <w:sz w:val="21"/>
                      <w:szCs w:val="21"/>
                      <w:lang w:val="en-US" w:eastAsia="zh-CN" w:bidi="ar"/>
                    </w:rPr>
                    <w:t>家以上水泥粉磨站实现全流程超低排放改造。统调燃煤发电企业于</w:t>
                  </w:r>
                  <w:r>
                    <w:rPr>
                      <w:rFonts w:hint="default" w:ascii="Times New Roman" w:hAnsi="Times New Roman" w:eastAsia="宋体" w:cs="Times New Roman"/>
                      <w:color w:val="auto"/>
                      <w:kern w:val="2"/>
                      <w:sz w:val="21"/>
                      <w:szCs w:val="21"/>
                      <w:lang w:val="en-US" w:eastAsia="zh-CN" w:bidi="ar"/>
                    </w:rPr>
                    <w:t>2026</w:t>
                  </w:r>
                  <w:r>
                    <w:rPr>
                      <w:rFonts w:hint="eastAsia" w:ascii="宋体" w:hAnsi="宋体" w:eastAsia="宋体" w:cs="宋体"/>
                      <w:color w:val="auto"/>
                      <w:kern w:val="2"/>
                      <w:sz w:val="21"/>
                      <w:szCs w:val="21"/>
                      <w:lang w:val="en-US" w:eastAsia="zh-CN" w:bidi="ar"/>
                    </w:rPr>
                    <w:t>年</w:t>
                  </w:r>
                  <w:r>
                    <w:rPr>
                      <w:rFonts w:hint="default" w:ascii="Times New Roman" w:hAnsi="Times New Roman" w:eastAsia="宋体" w:cs="Times New Roman"/>
                      <w:color w:val="auto"/>
                      <w:kern w:val="2"/>
                      <w:sz w:val="21"/>
                      <w:szCs w:val="21"/>
                      <w:lang w:val="en-US" w:eastAsia="zh-CN" w:bidi="ar"/>
                    </w:rPr>
                    <w:t>6</w:t>
                  </w:r>
                  <w:r>
                    <w:rPr>
                      <w:rFonts w:hint="eastAsia" w:ascii="宋体" w:hAnsi="宋体" w:eastAsia="宋体" w:cs="宋体"/>
                      <w:color w:val="auto"/>
                      <w:kern w:val="2"/>
                      <w:sz w:val="21"/>
                      <w:szCs w:val="21"/>
                      <w:lang w:val="en-US" w:eastAsia="zh-CN" w:bidi="ar"/>
                    </w:rPr>
                    <w:t>月底前制定</w:t>
                  </w:r>
                  <w:r>
                    <w:rPr>
                      <w:rFonts w:hint="default" w:ascii="Times New Roman" w:hAnsi="Times New Roman" w:eastAsia="宋体" w:cs="Times New Roman"/>
                      <w:color w:val="auto"/>
                      <w:kern w:val="2"/>
                      <w:sz w:val="21"/>
                      <w:szCs w:val="21"/>
                      <w:lang w:val="en-US" w:eastAsia="zh-CN" w:bidi="ar"/>
                    </w:rPr>
                    <w:t>60</w:t>
                  </w:r>
                  <w:r>
                    <w:rPr>
                      <w:rFonts w:hint="eastAsia" w:ascii="宋体" w:hAnsi="宋体" w:eastAsia="宋体" w:cs="宋体"/>
                      <w:color w:val="auto"/>
                      <w:kern w:val="2"/>
                      <w:sz w:val="21"/>
                      <w:szCs w:val="21"/>
                      <w:lang w:val="en-US" w:eastAsia="zh-CN" w:bidi="ar"/>
                    </w:rPr>
                    <w:t>万千瓦以上煤电机组“十五五”超超低排放改造计划，</w:t>
                  </w:r>
                  <w:r>
                    <w:rPr>
                      <w:rFonts w:hint="default" w:ascii="Times New Roman" w:hAnsi="Times New Roman" w:eastAsia="宋体" w:cs="Times New Roman"/>
                      <w:color w:val="auto"/>
                      <w:kern w:val="2"/>
                      <w:sz w:val="21"/>
                      <w:szCs w:val="21"/>
                      <w:lang w:val="en-US" w:eastAsia="zh-CN" w:bidi="ar"/>
                    </w:rPr>
                    <w:t>12</w:t>
                  </w:r>
                  <w:r>
                    <w:rPr>
                      <w:rFonts w:hint="eastAsia" w:ascii="宋体" w:hAnsi="宋体" w:eastAsia="宋体" w:cs="宋体"/>
                      <w:color w:val="auto"/>
                      <w:kern w:val="2"/>
                      <w:sz w:val="21"/>
                      <w:szCs w:val="21"/>
                      <w:lang w:val="en-US" w:eastAsia="zh-CN" w:bidi="ar"/>
                    </w:rPr>
                    <w:t>月底前完成</w:t>
                  </w:r>
                  <w:r>
                    <w:rPr>
                      <w:rFonts w:hint="default" w:ascii="Times New Roman" w:hAnsi="Times New Roman" w:eastAsia="宋体" w:cs="Times New Roman"/>
                      <w:color w:val="auto"/>
                      <w:kern w:val="2"/>
                      <w:sz w:val="21"/>
                      <w:szCs w:val="21"/>
                      <w:lang w:val="en-US" w:eastAsia="zh-CN" w:bidi="ar"/>
                    </w:rPr>
                    <w:t>10</w:t>
                  </w:r>
                  <w:r>
                    <w:rPr>
                      <w:rFonts w:hint="eastAsia" w:ascii="宋体" w:hAnsi="宋体" w:eastAsia="宋体" w:cs="宋体"/>
                      <w:color w:val="auto"/>
                      <w:kern w:val="2"/>
                      <w:sz w:val="21"/>
                      <w:szCs w:val="21"/>
                      <w:lang w:val="en-US" w:eastAsia="zh-CN" w:bidi="ar"/>
                    </w:rPr>
                    <w:t>台以上改造任务；加快浙能六横等电厂煤场封闭改造，推动燃煤热电企业和工业燃煤锅炉实施全流程超低排放改造；加强火电机组全负荷脱硝系统运行管理，推动煤电机组改用等离子点火，确保机组在低负荷或启停等工况下稳定达标排放。巩固钢铁行业超低排放改造成效，推进振石集团东方特钢异地技改项目开展超低排放监测评估。</w:t>
                  </w:r>
                </w:p>
              </w:tc>
              <w:tc>
                <w:tcPr>
                  <w:tcW w:w="1961" w:type="dxa"/>
                  <w:tcBorders>
                    <w:top w:val="single" w:color="auto" w:sz="4" w:space="0"/>
                    <w:left w:val="nil"/>
                    <w:bottom w:val="single" w:color="auto" w:sz="4" w:space="0"/>
                    <w:right w:val="single" w:color="auto" w:sz="4" w:space="0"/>
                  </w:tcBorders>
                  <w:shd w:val="clear" w:color="auto" w:fill="auto"/>
                  <w:vAlign w:val="center"/>
                </w:tcPr>
                <w:p w14:paraId="350640D7">
                  <w:pPr>
                    <w:pStyle w:val="19"/>
                    <w:keepNext w:val="0"/>
                    <w:keepLines w:val="0"/>
                    <w:widowControl w:val="0"/>
                    <w:suppressLineNumbers w:val="0"/>
                    <w:autoSpaceDE w:val="0"/>
                    <w:autoSpaceDN w:val="0"/>
                    <w:adjustRightInd w:val="0"/>
                    <w:spacing w:before="0" w:beforeAutospacing="0" w:after="0" w:afterAutospacing="0" w:line="320" w:lineRule="exact"/>
                    <w:ind w:left="0" w:right="0"/>
                    <w:jc w:val="center"/>
                    <w:rPr>
                      <w:rFonts w:hint="default" w:ascii="Times New Roman" w:hAnsi="Times New Roman" w:eastAsia="宋体" w:cs="Times New Roman"/>
                      <w:color w:val="auto"/>
                      <w:kern w:val="2"/>
                      <w:sz w:val="21"/>
                      <w:szCs w:val="21"/>
                    </w:rPr>
                  </w:pPr>
                  <w:r>
                    <w:rPr>
                      <w:rFonts w:hint="eastAsia" w:ascii="宋体" w:hAnsi="宋体" w:eastAsia="宋体" w:cs="宋体"/>
                      <w:color w:val="auto"/>
                      <w:kern w:val="2"/>
                      <w:sz w:val="21"/>
                      <w:szCs w:val="21"/>
                      <w:lang w:val="en-US" w:eastAsia="zh-CN" w:bidi="ar"/>
                    </w:rPr>
                    <w:t>本项目不属于需进行超低排放改造的行业。</w:t>
                  </w:r>
                </w:p>
              </w:tc>
              <w:tc>
                <w:tcPr>
                  <w:tcW w:w="743" w:type="dxa"/>
                  <w:tcBorders>
                    <w:top w:val="single" w:color="auto" w:sz="4" w:space="0"/>
                    <w:left w:val="nil"/>
                    <w:bottom w:val="single" w:color="auto" w:sz="4" w:space="0"/>
                    <w:right w:val="single" w:color="auto" w:sz="4" w:space="0"/>
                  </w:tcBorders>
                  <w:shd w:val="clear" w:color="auto" w:fill="auto"/>
                  <w:vAlign w:val="center"/>
                </w:tcPr>
                <w:p w14:paraId="4CFC376F">
                  <w:pPr>
                    <w:pStyle w:val="19"/>
                    <w:keepNext w:val="0"/>
                    <w:keepLines w:val="0"/>
                    <w:widowControl w:val="0"/>
                    <w:suppressLineNumbers w:val="0"/>
                    <w:autoSpaceDE w:val="0"/>
                    <w:autoSpaceDN w:val="0"/>
                    <w:adjustRightInd w:val="0"/>
                    <w:spacing w:before="0" w:beforeAutospacing="0" w:after="0" w:afterAutospacing="0" w:line="320" w:lineRule="exact"/>
                    <w:ind w:left="0" w:right="0"/>
                    <w:jc w:val="center"/>
                    <w:rPr>
                      <w:rFonts w:hint="eastAsia" w:ascii="Times New Roman" w:hAnsi="Times New Roman" w:eastAsia="宋体" w:cs="Times New Roman"/>
                      <w:color w:val="auto"/>
                      <w:kern w:val="2"/>
                      <w:sz w:val="21"/>
                      <w:szCs w:val="21"/>
                    </w:rPr>
                  </w:pPr>
                  <w:r>
                    <w:rPr>
                      <w:rFonts w:hint="eastAsia" w:ascii="宋体" w:hAnsi="宋体" w:eastAsia="宋体" w:cs="宋体"/>
                      <w:color w:val="auto"/>
                      <w:kern w:val="2"/>
                      <w:sz w:val="21"/>
                      <w:szCs w:val="21"/>
                      <w:lang w:val="en-US" w:eastAsia="zh-CN" w:bidi="ar"/>
                    </w:rPr>
                    <w:t>不涉及</w:t>
                  </w:r>
                </w:p>
              </w:tc>
            </w:tr>
            <w:tr w14:paraId="6AB6CA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340" w:hRule="atLeast"/>
                <w:jc w:val="center"/>
              </w:trPr>
              <w:tc>
                <w:tcPr>
                  <w:tcW w:w="1121" w:type="dxa"/>
                  <w:tcBorders>
                    <w:top w:val="single" w:color="auto" w:sz="4" w:space="0"/>
                    <w:left w:val="single" w:color="auto" w:sz="4" w:space="0"/>
                    <w:bottom w:val="single" w:color="auto" w:sz="4" w:space="0"/>
                    <w:right w:val="single" w:color="auto" w:sz="4" w:space="0"/>
                  </w:tcBorders>
                  <w:shd w:val="clear" w:color="auto" w:fill="auto"/>
                  <w:vAlign w:val="center"/>
                </w:tcPr>
                <w:p w14:paraId="7D3A1442">
                  <w:pPr>
                    <w:pStyle w:val="19"/>
                    <w:keepNext w:val="0"/>
                    <w:keepLines w:val="0"/>
                    <w:widowControl w:val="0"/>
                    <w:suppressLineNumbers w:val="0"/>
                    <w:autoSpaceDE w:val="0"/>
                    <w:autoSpaceDN w:val="0"/>
                    <w:adjustRightInd w:val="0"/>
                    <w:spacing w:before="0" w:beforeAutospacing="0" w:after="0" w:afterAutospacing="0" w:line="320" w:lineRule="exact"/>
                    <w:ind w:left="0" w:right="0"/>
                    <w:jc w:val="center"/>
                    <w:rPr>
                      <w:rFonts w:hint="default" w:ascii="Times New Roman" w:hAnsi="Times New Roman" w:eastAsia="宋体" w:cs="Times New Roman"/>
                      <w:color w:val="auto"/>
                      <w:kern w:val="2"/>
                      <w:sz w:val="21"/>
                      <w:szCs w:val="21"/>
                    </w:rPr>
                  </w:pPr>
                  <w:r>
                    <w:rPr>
                      <w:rFonts w:hint="eastAsia" w:ascii="宋体" w:hAnsi="宋体" w:eastAsia="宋体" w:cs="宋体"/>
                      <w:color w:val="auto"/>
                      <w:kern w:val="2"/>
                      <w:sz w:val="21"/>
                      <w:szCs w:val="21"/>
                      <w:lang w:val="en-US" w:eastAsia="zh-CN" w:bidi="ar"/>
                    </w:rPr>
                    <w:t>迭代实施环保绩效提级攻坚</w:t>
                  </w:r>
                </w:p>
              </w:tc>
              <w:tc>
                <w:tcPr>
                  <w:tcW w:w="4589" w:type="dxa"/>
                  <w:tcBorders>
                    <w:top w:val="single" w:color="auto" w:sz="4" w:space="0"/>
                    <w:left w:val="nil"/>
                    <w:bottom w:val="single" w:color="auto" w:sz="4" w:space="0"/>
                    <w:right w:val="single" w:color="auto" w:sz="4" w:space="0"/>
                  </w:tcBorders>
                  <w:shd w:val="clear" w:color="auto" w:fill="auto"/>
                  <w:vAlign w:val="center"/>
                </w:tcPr>
                <w:p w14:paraId="76096827">
                  <w:pPr>
                    <w:pStyle w:val="19"/>
                    <w:keepNext w:val="0"/>
                    <w:keepLines w:val="0"/>
                    <w:widowControl w:val="0"/>
                    <w:suppressLineNumbers w:val="0"/>
                    <w:autoSpaceDE w:val="0"/>
                    <w:autoSpaceDN w:val="0"/>
                    <w:adjustRightInd w:val="0"/>
                    <w:spacing w:before="0" w:beforeAutospacing="0" w:after="0" w:afterAutospacing="0" w:line="320" w:lineRule="exact"/>
                    <w:ind w:left="0" w:right="0"/>
                    <w:jc w:val="center"/>
                    <w:rPr>
                      <w:rFonts w:hint="default" w:ascii="Times New Roman" w:hAnsi="Times New Roman" w:eastAsia="宋体" w:cs="Times New Roman"/>
                      <w:color w:val="auto"/>
                      <w:kern w:val="2"/>
                      <w:sz w:val="21"/>
                      <w:szCs w:val="21"/>
                    </w:rPr>
                  </w:pPr>
                  <w:r>
                    <w:rPr>
                      <w:rFonts w:hint="eastAsia" w:ascii="宋体" w:hAnsi="宋体" w:eastAsia="宋体" w:cs="宋体"/>
                      <w:color w:val="auto"/>
                      <w:kern w:val="2"/>
                      <w:sz w:val="21"/>
                      <w:szCs w:val="21"/>
                      <w:lang w:val="en-US" w:eastAsia="zh-CN" w:bidi="ar"/>
                    </w:rPr>
                    <w:t>制订实施全省重点行业大气环境绩效提级行动方案。加快煤电、热电、钢铁、水泥、玻璃、石化、化工、生活垃圾焚烧、纺织、化纤等十大行业开展全口径绩效</w:t>
                  </w:r>
                  <w:r>
                    <w:rPr>
                      <w:rFonts w:hint="default" w:ascii="Times New Roman" w:hAnsi="Times New Roman" w:eastAsia="宋体" w:cs="Times New Roman"/>
                      <w:color w:val="auto"/>
                      <w:kern w:val="2"/>
                      <w:sz w:val="21"/>
                      <w:szCs w:val="21"/>
                      <w:lang w:val="en-US" w:eastAsia="zh-CN" w:bidi="ar"/>
                    </w:rPr>
                    <w:t>A</w:t>
                  </w:r>
                  <w:r>
                    <w:rPr>
                      <w:rFonts w:hint="eastAsia" w:ascii="宋体" w:hAnsi="宋体" w:eastAsia="宋体" w:cs="宋体"/>
                      <w:color w:val="auto"/>
                      <w:kern w:val="2"/>
                      <w:sz w:val="21"/>
                      <w:szCs w:val="21"/>
                      <w:lang w:val="en-US" w:eastAsia="zh-CN" w:bidi="ar"/>
                    </w:rPr>
                    <w:t>级提升改造；积极推进制药、工业涂装、包装印刷、电子制造等其他重点行业培育绩效先进企业。</w:t>
                  </w:r>
                </w:p>
              </w:tc>
              <w:tc>
                <w:tcPr>
                  <w:tcW w:w="1961" w:type="dxa"/>
                  <w:tcBorders>
                    <w:top w:val="single" w:color="auto" w:sz="4" w:space="0"/>
                    <w:left w:val="nil"/>
                    <w:bottom w:val="single" w:color="auto" w:sz="4" w:space="0"/>
                    <w:right w:val="single" w:color="auto" w:sz="4" w:space="0"/>
                  </w:tcBorders>
                  <w:shd w:val="clear" w:color="auto" w:fill="auto"/>
                  <w:vAlign w:val="center"/>
                </w:tcPr>
                <w:p w14:paraId="5FA3D5BC">
                  <w:pPr>
                    <w:pStyle w:val="19"/>
                    <w:keepNext w:val="0"/>
                    <w:keepLines w:val="0"/>
                    <w:widowControl w:val="0"/>
                    <w:suppressLineNumbers w:val="0"/>
                    <w:autoSpaceDE w:val="0"/>
                    <w:autoSpaceDN w:val="0"/>
                    <w:adjustRightInd w:val="0"/>
                    <w:spacing w:before="0" w:beforeAutospacing="0" w:after="0" w:afterAutospacing="0" w:line="320" w:lineRule="exact"/>
                    <w:ind w:left="0" w:right="0"/>
                    <w:jc w:val="center"/>
                    <w:rPr>
                      <w:rFonts w:hint="default" w:ascii="Times New Roman" w:hAnsi="Times New Roman" w:eastAsia="宋体" w:cs="Times New Roman"/>
                      <w:color w:val="auto"/>
                      <w:kern w:val="2"/>
                      <w:sz w:val="21"/>
                      <w:szCs w:val="21"/>
                    </w:rPr>
                  </w:pPr>
                  <w:r>
                    <w:rPr>
                      <w:rFonts w:hint="eastAsia" w:ascii="宋体" w:hAnsi="宋体" w:eastAsia="宋体" w:cs="宋体"/>
                      <w:color w:val="auto"/>
                      <w:kern w:val="2"/>
                      <w:sz w:val="21"/>
                      <w:szCs w:val="21"/>
                      <w:lang w:val="en-US" w:eastAsia="zh-CN" w:bidi="ar"/>
                    </w:rPr>
                    <w:t>本项目不属于煤电、热电、钢铁、水泥、玻璃、石化、化工、生活垃圾焚烧、纺织、化纤行业。</w:t>
                  </w:r>
                </w:p>
              </w:tc>
              <w:tc>
                <w:tcPr>
                  <w:tcW w:w="743" w:type="dxa"/>
                  <w:tcBorders>
                    <w:top w:val="single" w:color="auto" w:sz="4" w:space="0"/>
                    <w:left w:val="nil"/>
                    <w:bottom w:val="single" w:color="auto" w:sz="4" w:space="0"/>
                    <w:right w:val="single" w:color="auto" w:sz="4" w:space="0"/>
                  </w:tcBorders>
                  <w:shd w:val="clear" w:color="auto" w:fill="auto"/>
                  <w:vAlign w:val="center"/>
                </w:tcPr>
                <w:p w14:paraId="2830A513">
                  <w:pPr>
                    <w:pStyle w:val="19"/>
                    <w:keepNext w:val="0"/>
                    <w:keepLines w:val="0"/>
                    <w:widowControl w:val="0"/>
                    <w:suppressLineNumbers w:val="0"/>
                    <w:autoSpaceDE w:val="0"/>
                    <w:autoSpaceDN w:val="0"/>
                    <w:adjustRightInd w:val="0"/>
                    <w:spacing w:before="0" w:beforeAutospacing="0" w:after="0" w:afterAutospacing="0" w:line="320" w:lineRule="exact"/>
                    <w:ind w:left="0" w:right="0"/>
                    <w:jc w:val="center"/>
                    <w:rPr>
                      <w:rFonts w:hint="eastAsia" w:ascii="Times New Roman" w:hAnsi="Times New Roman" w:eastAsia="宋体" w:cs="Times New Roman"/>
                      <w:color w:val="auto"/>
                      <w:kern w:val="2"/>
                      <w:sz w:val="21"/>
                      <w:szCs w:val="21"/>
                    </w:rPr>
                  </w:pPr>
                  <w:r>
                    <w:rPr>
                      <w:rFonts w:hint="eastAsia" w:ascii="宋体" w:hAnsi="宋体" w:eastAsia="宋体" w:cs="宋体"/>
                      <w:color w:val="auto"/>
                      <w:kern w:val="2"/>
                      <w:sz w:val="21"/>
                      <w:szCs w:val="21"/>
                      <w:lang w:val="en-US" w:eastAsia="zh-CN" w:bidi="ar"/>
                    </w:rPr>
                    <w:t>不涉及</w:t>
                  </w:r>
                </w:p>
              </w:tc>
            </w:tr>
            <w:tr w14:paraId="1856DD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340" w:hRule="atLeast"/>
                <w:jc w:val="center"/>
              </w:trPr>
              <w:tc>
                <w:tcPr>
                  <w:tcW w:w="1121" w:type="dxa"/>
                  <w:tcBorders>
                    <w:top w:val="single" w:color="auto" w:sz="4" w:space="0"/>
                    <w:left w:val="single" w:color="auto" w:sz="4" w:space="0"/>
                    <w:bottom w:val="single" w:color="auto" w:sz="4" w:space="0"/>
                    <w:right w:val="single" w:color="auto" w:sz="4" w:space="0"/>
                  </w:tcBorders>
                  <w:shd w:val="clear" w:color="auto" w:fill="auto"/>
                  <w:vAlign w:val="center"/>
                </w:tcPr>
                <w:p w14:paraId="0D9B3ACC">
                  <w:pPr>
                    <w:pStyle w:val="19"/>
                    <w:keepNext w:val="0"/>
                    <w:keepLines w:val="0"/>
                    <w:widowControl w:val="0"/>
                    <w:suppressLineNumbers w:val="0"/>
                    <w:autoSpaceDE w:val="0"/>
                    <w:autoSpaceDN w:val="0"/>
                    <w:adjustRightInd w:val="0"/>
                    <w:spacing w:before="0" w:beforeAutospacing="0" w:after="0" w:afterAutospacing="0" w:line="320" w:lineRule="exact"/>
                    <w:ind w:left="0" w:right="0"/>
                    <w:jc w:val="center"/>
                    <w:rPr>
                      <w:rFonts w:hint="default" w:ascii="Times New Roman" w:hAnsi="Times New Roman" w:eastAsia="宋体" w:cs="Times New Roman"/>
                      <w:color w:val="auto"/>
                      <w:kern w:val="2"/>
                      <w:sz w:val="21"/>
                      <w:szCs w:val="21"/>
                    </w:rPr>
                  </w:pPr>
                  <w:r>
                    <w:rPr>
                      <w:rFonts w:hint="eastAsia" w:ascii="宋体" w:hAnsi="宋体" w:eastAsia="宋体" w:cs="宋体"/>
                      <w:color w:val="auto"/>
                      <w:kern w:val="2"/>
                      <w:sz w:val="21"/>
                      <w:szCs w:val="21"/>
                      <w:lang w:val="en-US" w:eastAsia="zh-CN" w:bidi="ar"/>
                    </w:rPr>
                    <w:t>迭代实施低效失效治理设施整改提升攻坚</w:t>
                  </w:r>
                </w:p>
              </w:tc>
              <w:tc>
                <w:tcPr>
                  <w:tcW w:w="4589" w:type="dxa"/>
                  <w:tcBorders>
                    <w:top w:val="single" w:color="auto" w:sz="4" w:space="0"/>
                    <w:left w:val="nil"/>
                    <w:bottom w:val="single" w:color="auto" w:sz="4" w:space="0"/>
                    <w:right w:val="single" w:color="auto" w:sz="4" w:space="0"/>
                  </w:tcBorders>
                  <w:shd w:val="clear" w:color="auto" w:fill="auto"/>
                  <w:vAlign w:val="center"/>
                </w:tcPr>
                <w:p w14:paraId="5A63143A">
                  <w:pPr>
                    <w:pStyle w:val="19"/>
                    <w:keepNext w:val="0"/>
                    <w:keepLines w:val="0"/>
                    <w:widowControl w:val="0"/>
                    <w:suppressLineNumbers w:val="0"/>
                    <w:autoSpaceDE w:val="0"/>
                    <w:autoSpaceDN w:val="0"/>
                    <w:adjustRightInd w:val="0"/>
                    <w:spacing w:before="0" w:beforeAutospacing="0" w:after="0" w:afterAutospacing="0" w:line="320" w:lineRule="exact"/>
                    <w:ind w:left="0" w:right="0"/>
                    <w:jc w:val="center"/>
                    <w:rPr>
                      <w:rFonts w:hint="default" w:ascii="Times New Roman" w:hAnsi="Times New Roman" w:eastAsia="宋体" w:cs="Times New Roman"/>
                      <w:color w:val="auto"/>
                      <w:kern w:val="2"/>
                      <w:sz w:val="21"/>
                      <w:szCs w:val="21"/>
                    </w:rPr>
                  </w:pPr>
                  <w:r>
                    <w:rPr>
                      <w:rFonts w:hint="eastAsia" w:ascii="宋体" w:hAnsi="宋体" w:eastAsia="宋体" w:cs="宋体"/>
                      <w:color w:val="auto"/>
                      <w:kern w:val="2"/>
                      <w:sz w:val="21"/>
                      <w:szCs w:val="21"/>
                      <w:lang w:val="en-US" w:eastAsia="zh-CN" w:bidi="ar"/>
                    </w:rPr>
                    <w:t>结合国家和地方新制（修）订的涉气行业标准要求，完成低效失效治理设施整治提升项目</w:t>
                  </w:r>
                  <w:r>
                    <w:rPr>
                      <w:rFonts w:hint="default" w:ascii="Times New Roman" w:hAnsi="Times New Roman" w:eastAsia="宋体" w:cs="Times New Roman"/>
                      <w:color w:val="auto"/>
                      <w:kern w:val="2"/>
                      <w:sz w:val="21"/>
                      <w:szCs w:val="21"/>
                      <w:lang w:val="en-US" w:eastAsia="zh-CN" w:bidi="ar"/>
                    </w:rPr>
                    <w:t>1000</w:t>
                  </w:r>
                  <w:r>
                    <w:rPr>
                      <w:rFonts w:hint="eastAsia" w:ascii="宋体" w:hAnsi="宋体" w:eastAsia="宋体" w:cs="宋体"/>
                      <w:color w:val="auto"/>
                      <w:kern w:val="2"/>
                      <w:sz w:val="21"/>
                      <w:szCs w:val="21"/>
                      <w:lang w:val="en-US" w:eastAsia="zh-CN" w:bidi="ar"/>
                    </w:rPr>
                    <w:t>个以上，其中涉</w:t>
                  </w:r>
                  <w:r>
                    <w:rPr>
                      <w:rFonts w:hint="default" w:ascii="Times New Roman" w:hAnsi="Times New Roman" w:eastAsia="宋体" w:cs="Times New Roman"/>
                      <w:color w:val="auto"/>
                      <w:kern w:val="2"/>
                      <w:sz w:val="21"/>
                      <w:szCs w:val="21"/>
                      <w:lang w:val="en-US" w:eastAsia="zh-CN" w:bidi="ar"/>
                    </w:rPr>
                    <w:t>VOCs</w:t>
                  </w:r>
                  <w:r>
                    <w:rPr>
                      <w:rFonts w:hint="eastAsia" w:ascii="宋体" w:hAnsi="宋体" w:eastAsia="宋体" w:cs="宋体"/>
                      <w:color w:val="auto"/>
                      <w:kern w:val="2"/>
                      <w:sz w:val="21"/>
                      <w:szCs w:val="21"/>
                      <w:lang w:val="en-US" w:eastAsia="zh-CN" w:bidi="ar"/>
                    </w:rPr>
                    <w:t>治理设施</w:t>
                  </w:r>
                  <w:r>
                    <w:rPr>
                      <w:rFonts w:hint="default" w:ascii="Times New Roman" w:hAnsi="Times New Roman" w:eastAsia="宋体" w:cs="Times New Roman"/>
                      <w:color w:val="auto"/>
                      <w:kern w:val="2"/>
                      <w:sz w:val="21"/>
                      <w:szCs w:val="21"/>
                      <w:lang w:val="en-US" w:eastAsia="zh-CN" w:bidi="ar"/>
                    </w:rPr>
                    <w:t>900</w:t>
                  </w:r>
                  <w:r>
                    <w:rPr>
                      <w:rFonts w:hint="eastAsia" w:ascii="宋体" w:hAnsi="宋体" w:eastAsia="宋体" w:cs="宋体"/>
                      <w:color w:val="auto"/>
                      <w:kern w:val="2"/>
                      <w:sz w:val="21"/>
                      <w:szCs w:val="21"/>
                      <w:lang w:val="en-US" w:eastAsia="zh-CN" w:bidi="ar"/>
                    </w:rPr>
                    <w:t>个以上，锅（窑）炉治理</w:t>
                  </w:r>
                  <w:r>
                    <w:rPr>
                      <w:rFonts w:hint="default" w:ascii="Times New Roman" w:hAnsi="Times New Roman" w:eastAsia="宋体" w:cs="Times New Roman"/>
                      <w:color w:val="auto"/>
                      <w:kern w:val="2"/>
                      <w:sz w:val="21"/>
                      <w:szCs w:val="21"/>
                      <w:lang w:val="en-US" w:eastAsia="zh-CN" w:bidi="ar"/>
                    </w:rPr>
                    <w:t>100</w:t>
                  </w:r>
                  <w:r>
                    <w:rPr>
                      <w:rFonts w:hint="eastAsia" w:ascii="宋体" w:hAnsi="宋体" w:eastAsia="宋体" w:cs="宋体"/>
                      <w:color w:val="auto"/>
                      <w:kern w:val="2"/>
                      <w:sz w:val="21"/>
                      <w:szCs w:val="21"/>
                      <w:lang w:val="en-US" w:eastAsia="zh-CN" w:bidi="ar"/>
                    </w:rPr>
                    <w:t>个以上。开展储油库及石化、化工企业储罐存储、装卸、转运等环节无组织排放治理，对照《立式圆筒形钢制焊接储罐附件》（</w:t>
                  </w:r>
                  <w:r>
                    <w:rPr>
                      <w:rFonts w:hint="default" w:ascii="Times New Roman" w:hAnsi="Times New Roman" w:eastAsia="宋体" w:cs="Times New Roman"/>
                      <w:color w:val="auto"/>
                      <w:kern w:val="2"/>
                      <w:sz w:val="21"/>
                      <w:szCs w:val="21"/>
                      <w:lang w:val="en-US" w:eastAsia="zh-CN" w:bidi="ar"/>
                    </w:rPr>
                    <w:t>SY/T0511—2024</w:t>
                  </w:r>
                  <w:r>
                    <w:rPr>
                      <w:rFonts w:hint="eastAsia" w:ascii="宋体" w:hAnsi="宋体" w:eastAsia="宋体" w:cs="宋体"/>
                      <w:color w:val="auto"/>
                      <w:kern w:val="2"/>
                      <w:sz w:val="21"/>
                      <w:szCs w:val="21"/>
                      <w:lang w:val="en-US" w:eastAsia="zh-CN" w:bidi="ar"/>
                    </w:rPr>
                    <w:t>）等规范要求，完成</w:t>
                  </w:r>
                  <w:r>
                    <w:rPr>
                      <w:rFonts w:hint="default" w:ascii="Times New Roman" w:hAnsi="Times New Roman" w:eastAsia="宋体" w:cs="Times New Roman"/>
                      <w:color w:val="auto"/>
                      <w:kern w:val="2"/>
                      <w:sz w:val="21"/>
                      <w:szCs w:val="21"/>
                      <w:lang w:val="en-US" w:eastAsia="zh-CN" w:bidi="ar"/>
                    </w:rPr>
                    <w:t>500</w:t>
                  </w:r>
                  <w:r>
                    <w:rPr>
                      <w:rFonts w:hint="eastAsia" w:ascii="宋体" w:hAnsi="宋体" w:eastAsia="宋体" w:cs="宋体"/>
                      <w:color w:val="auto"/>
                      <w:kern w:val="2"/>
                      <w:sz w:val="21"/>
                      <w:szCs w:val="21"/>
                      <w:lang w:val="en-US" w:eastAsia="zh-CN" w:bidi="ar"/>
                    </w:rPr>
                    <w:t>座以上储罐整治提升。因地制宜建设集中钣喷中心等“绿岛”项目，新增</w:t>
                  </w:r>
                  <w:r>
                    <w:rPr>
                      <w:rFonts w:hint="default" w:ascii="Times New Roman" w:hAnsi="Times New Roman" w:eastAsia="宋体" w:cs="Times New Roman"/>
                      <w:color w:val="auto"/>
                      <w:kern w:val="2"/>
                      <w:sz w:val="21"/>
                      <w:szCs w:val="21"/>
                      <w:lang w:val="en-US" w:eastAsia="zh-CN" w:bidi="ar"/>
                    </w:rPr>
                    <w:t>5000</w:t>
                  </w:r>
                  <w:r>
                    <w:rPr>
                      <w:rFonts w:hint="eastAsia" w:ascii="宋体" w:hAnsi="宋体" w:eastAsia="宋体" w:cs="宋体"/>
                      <w:color w:val="auto"/>
                      <w:kern w:val="2"/>
                      <w:sz w:val="21"/>
                      <w:szCs w:val="21"/>
                      <w:lang w:val="en-US" w:eastAsia="zh-CN" w:bidi="ar"/>
                    </w:rPr>
                    <w:t>家中小微企业纳入活性炭集中再生“绿岛”设施。</w:t>
                  </w:r>
                </w:p>
              </w:tc>
              <w:tc>
                <w:tcPr>
                  <w:tcW w:w="1961" w:type="dxa"/>
                  <w:tcBorders>
                    <w:top w:val="single" w:color="auto" w:sz="4" w:space="0"/>
                    <w:left w:val="nil"/>
                    <w:bottom w:val="single" w:color="auto" w:sz="4" w:space="0"/>
                    <w:right w:val="single" w:color="auto" w:sz="4" w:space="0"/>
                  </w:tcBorders>
                  <w:shd w:val="clear" w:color="auto" w:fill="auto"/>
                  <w:vAlign w:val="center"/>
                </w:tcPr>
                <w:p w14:paraId="4DE79FF4">
                  <w:pPr>
                    <w:pStyle w:val="19"/>
                    <w:keepNext w:val="0"/>
                    <w:keepLines w:val="0"/>
                    <w:widowControl w:val="0"/>
                    <w:suppressLineNumbers w:val="0"/>
                    <w:autoSpaceDE w:val="0"/>
                    <w:autoSpaceDN w:val="0"/>
                    <w:adjustRightInd w:val="0"/>
                    <w:spacing w:before="0" w:beforeAutospacing="0" w:after="0" w:afterAutospacing="0" w:line="320" w:lineRule="exact"/>
                    <w:ind w:left="0" w:right="0"/>
                    <w:jc w:val="both"/>
                    <w:rPr>
                      <w:rFonts w:hint="default" w:ascii="Times New Roman" w:hAnsi="Times New Roman" w:eastAsia="宋体" w:cs="Times New Roman"/>
                      <w:color w:val="auto"/>
                      <w:kern w:val="2"/>
                      <w:sz w:val="21"/>
                      <w:szCs w:val="21"/>
                    </w:rPr>
                  </w:pPr>
                  <w:r>
                    <w:rPr>
                      <w:rFonts w:hint="eastAsia" w:ascii="宋体" w:hAnsi="宋体" w:eastAsia="宋体" w:cs="宋体"/>
                      <w:color w:val="auto"/>
                      <w:kern w:val="2"/>
                      <w:sz w:val="21"/>
                      <w:szCs w:val="21"/>
                      <w:lang w:val="en-US" w:eastAsia="zh-CN" w:bidi="ar"/>
                    </w:rPr>
                    <w:t>本项目实施后使用的废气治理设备非低效设施。</w:t>
                  </w:r>
                </w:p>
              </w:tc>
              <w:tc>
                <w:tcPr>
                  <w:tcW w:w="743" w:type="dxa"/>
                  <w:tcBorders>
                    <w:top w:val="single" w:color="auto" w:sz="4" w:space="0"/>
                    <w:left w:val="nil"/>
                    <w:bottom w:val="single" w:color="auto" w:sz="4" w:space="0"/>
                    <w:right w:val="single" w:color="auto" w:sz="4" w:space="0"/>
                  </w:tcBorders>
                  <w:shd w:val="clear" w:color="auto" w:fill="auto"/>
                  <w:vAlign w:val="center"/>
                </w:tcPr>
                <w:p w14:paraId="3DB81E86">
                  <w:pPr>
                    <w:pStyle w:val="19"/>
                    <w:keepNext w:val="0"/>
                    <w:keepLines w:val="0"/>
                    <w:widowControl w:val="0"/>
                    <w:suppressLineNumbers w:val="0"/>
                    <w:autoSpaceDE w:val="0"/>
                    <w:autoSpaceDN w:val="0"/>
                    <w:adjustRightInd w:val="0"/>
                    <w:spacing w:before="0" w:beforeAutospacing="0" w:after="0" w:afterAutospacing="0" w:line="320" w:lineRule="exact"/>
                    <w:ind w:left="0" w:right="0"/>
                    <w:jc w:val="center"/>
                    <w:rPr>
                      <w:rFonts w:hint="eastAsia" w:ascii="Times New Roman" w:hAnsi="Times New Roman" w:eastAsia="宋体" w:cs="Times New Roman"/>
                      <w:color w:val="auto"/>
                      <w:kern w:val="2"/>
                      <w:sz w:val="21"/>
                      <w:szCs w:val="21"/>
                    </w:rPr>
                  </w:pPr>
                  <w:r>
                    <w:rPr>
                      <w:rFonts w:hint="eastAsia" w:ascii="宋体" w:hAnsi="宋体" w:eastAsia="宋体" w:cs="宋体"/>
                      <w:color w:val="auto"/>
                      <w:kern w:val="2"/>
                      <w:sz w:val="21"/>
                      <w:szCs w:val="21"/>
                      <w:lang w:val="en-US" w:eastAsia="zh-CN" w:bidi="ar"/>
                    </w:rPr>
                    <w:t>符合</w:t>
                  </w:r>
                </w:p>
              </w:tc>
            </w:tr>
            <w:tr w14:paraId="186443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340" w:hRule="atLeast"/>
                <w:jc w:val="center"/>
              </w:trPr>
              <w:tc>
                <w:tcPr>
                  <w:tcW w:w="1121" w:type="dxa"/>
                  <w:tcBorders>
                    <w:top w:val="single" w:color="auto" w:sz="4" w:space="0"/>
                    <w:left w:val="single" w:color="auto" w:sz="4" w:space="0"/>
                    <w:bottom w:val="single" w:color="auto" w:sz="4" w:space="0"/>
                    <w:right w:val="single" w:color="auto" w:sz="4" w:space="0"/>
                  </w:tcBorders>
                  <w:shd w:val="clear" w:color="auto" w:fill="auto"/>
                  <w:vAlign w:val="center"/>
                </w:tcPr>
                <w:p w14:paraId="4006A2F5">
                  <w:pPr>
                    <w:pStyle w:val="19"/>
                    <w:keepNext w:val="0"/>
                    <w:keepLines w:val="0"/>
                    <w:widowControl w:val="0"/>
                    <w:suppressLineNumbers w:val="0"/>
                    <w:autoSpaceDE w:val="0"/>
                    <w:autoSpaceDN w:val="0"/>
                    <w:adjustRightInd w:val="0"/>
                    <w:spacing w:before="0" w:beforeAutospacing="0" w:after="0" w:afterAutospacing="0" w:line="320" w:lineRule="exact"/>
                    <w:ind w:left="0" w:right="0"/>
                    <w:jc w:val="center"/>
                    <w:rPr>
                      <w:rFonts w:hint="default" w:ascii="Times New Roman" w:hAnsi="Times New Roman" w:eastAsia="宋体" w:cs="Times New Roman"/>
                      <w:color w:val="auto"/>
                      <w:kern w:val="2"/>
                      <w:sz w:val="21"/>
                      <w:szCs w:val="21"/>
                    </w:rPr>
                  </w:pPr>
                  <w:r>
                    <w:rPr>
                      <w:rFonts w:hint="eastAsia" w:ascii="宋体" w:hAnsi="宋体" w:eastAsia="宋体" w:cs="宋体"/>
                      <w:color w:val="auto"/>
                      <w:kern w:val="2"/>
                      <w:sz w:val="21"/>
                      <w:szCs w:val="21"/>
                      <w:lang w:val="en-US" w:eastAsia="zh-CN" w:bidi="ar"/>
                    </w:rPr>
                    <w:t>迭代实施扬尘管控强化攻坚</w:t>
                  </w:r>
                </w:p>
              </w:tc>
              <w:tc>
                <w:tcPr>
                  <w:tcW w:w="4589" w:type="dxa"/>
                  <w:tcBorders>
                    <w:top w:val="single" w:color="auto" w:sz="4" w:space="0"/>
                    <w:left w:val="nil"/>
                    <w:bottom w:val="single" w:color="auto" w:sz="4" w:space="0"/>
                    <w:right w:val="single" w:color="auto" w:sz="4" w:space="0"/>
                  </w:tcBorders>
                  <w:shd w:val="clear" w:color="auto" w:fill="auto"/>
                  <w:vAlign w:val="center"/>
                </w:tcPr>
                <w:p w14:paraId="3EE41864">
                  <w:pPr>
                    <w:pStyle w:val="19"/>
                    <w:keepNext w:val="0"/>
                    <w:keepLines w:val="0"/>
                    <w:widowControl w:val="0"/>
                    <w:suppressLineNumbers w:val="0"/>
                    <w:autoSpaceDE w:val="0"/>
                    <w:autoSpaceDN w:val="0"/>
                    <w:adjustRightInd w:val="0"/>
                    <w:spacing w:before="0" w:beforeAutospacing="0" w:after="0" w:afterAutospacing="0" w:line="320" w:lineRule="exact"/>
                    <w:ind w:left="0" w:right="0"/>
                    <w:jc w:val="center"/>
                    <w:rPr>
                      <w:rFonts w:hint="default" w:ascii="Times New Roman" w:hAnsi="Times New Roman" w:eastAsia="宋体" w:cs="Times New Roman"/>
                      <w:color w:val="auto"/>
                      <w:kern w:val="2"/>
                      <w:sz w:val="21"/>
                      <w:szCs w:val="21"/>
                    </w:rPr>
                  </w:pPr>
                  <w:r>
                    <w:rPr>
                      <w:rFonts w:hint="eastAsia" w:ascii="宋体" w:hAnsi="宋体" w:eastAsia="宋体" w:cs="宋体"/>
                      <w:color w:val="auto"/>
                      <w:kern w:val="2"/>
                      <w:sz w:val="21"/>
                      <w:szCs w:val="21"/>
                      <w:lang w:val="en-US" w:eastAsia="zh-CN" w:bidi="ar"/>
                    </w:rPr>
                    <w:t>开展“扬尘大整治”行动，推进建筑工地、线性工程、堆场、裸露土地等扬尘精细化管控。按季度开展施工扬尘防控评价，年平均房屋市政工程施工扬尘污染防控评价为一类项目的占比达</w:t>
                  </w:r>
                  <w:r>
                    <w:rPr>
                      <w:rFonts w:hint="default" w:ascii="Times New Roman" w:hAnsi="Times New Roman" w:eastAsia="宋体" w:cs="Times New Roman"/>
                      <w:color w:val="auto"/>
                      <w:kern w:val="2"/>
                      <w:sz w:val="21"/>
                      <w:szCs w:val="21"/>
                      <w:lang w:val="en-US" w:eastAsia="zh-CN" w:bidi="ar"/>
                    </w:rPr>
                    <w:t>70%</w:t>
                  </w:r>
                  <w:r>
                    <w:rPr>
                      <w:rFonts w:hint="eastAsia" w:ascii="宋体" w:hAnsi="宋体" w:eastAsia="宋体" w:cs="宋体"/>
                      <w:color w:val="auto"/>
                      <w:kern w:val="2"/>
                      <w:sz w:val="21"/>
                      <w:szCs w:val="21"/>
                      <w:lang w:val="en-US" w:eastAsia="zh-CN" w:bidi="ar"/>
                    </w:rPr>
                    <w:t>以上。开展施工工地“基坑气膜”试点。城市中心城区新建项目优先采用装配式建筑，装配式建筑占新建建筑面积比例达</w:t>
                  </w:r>
                  <w:r>
                    <w:rPr>
                      <w:rFonts w:hint="default" w:ascii="Times New Roman" w:hAnsi="Times New Roman" w:eastAsia="宋体" w:cs="Times New Roman"/>
                      <w:color w:val="auto"/>
                      <w:kern w:val="2"/>
                      <w:sz w:val="21"/>
                      <w:szCs w:val="21"/>
                      <w:lang w:val="en-US" w:eastAsia="zh-CN" w:bidi="ar"/>
                    </w:rPr>
                    <w:t>39%</w:t>
                  </w:r>
                  <w:r>
                    <w:rPr>
                      <w:rFonts w:hint="eastAsia" w:ascii="宋体" w:hAnsi="宋体" w:eastAsia="宋体" w:cs="宋体"/>
                      <w:color w:val="auto"/>
                      <w:kern w:val="2"/>
                      <w:sz w:val="21"/>
                      <w:szCs w:val="21"/>
                      <w:lang w:val="en-US" w:eastAsia="zh-CN" w:bidi="ar"/>
                    </w:rPr>
                    <w:t>以上。提高城乡道路机械化清扫率，设区城市建成区道路机械化清扫率达</w:t>
                  </w:r>
                  <w:r>
                    <w:rPr>
                      <w:rFonts w:hint="default" w:ascii="Times New Roman" w:hAnsi="Times New Roman" w:eastAsia="宋体" w:cs="Times New Roman"/>
                      <w:color w:val="auto"/>
                      <w:kern w:val="2"/>
                      <w:sz w:val="21"/>
                      <w:szCs w:val="21"/>
                      <w:lang w:val="en-US" w:eastAsia="zh-CN" w:bidi="ar"/>
                    </w:rPr>
                    <w:t>92%</w:t>
                  </w:r>
                  <w:r>
                    <w:rPr>
                      <w:rFonts w:hint="eastAsia" w:ascii="宋体" w:hAnsi="宋体" w:eastAsia="宋体" w:cs="宋体"/>
                      <w:color w:val="auto"/>
                      <w:kern w:val="2"/>
                      <w:sz w:val="21"/>
                      <w:szCs w:val="21"/>
                      <w:lang w:val="en-US" w:eastAsia="zh-CN" w:bidi="ar"/>
                    </w:rPr>
                    <w:t>以上，县（市）建成区达</w:t>
                  </w:r>
                  <w:r>
                    <w:rPr>
                      <w:rFonts w:hint="default" w:ascii="Times New Roman" w:hAnsi="Times New Roman" w:eastAsia="宋体" w:cs="Times New Roman"/>
                      <w:color w:val="auto"/>
                      <w:kern w:val="2"/>
                      <w:sz w:val="21"/>
                      <w:szCs w:val="21"/>
                      <w:lang w:val="en-US" w:eastAsia="zh-CN" w:bidi="ar"/>
                    </w:rPr>
                    <w:t>87%</w:t>
                  </w:r>
                  <w:r>
                    <w:rPr>
                      <w:rFonts w:hint="eastAsia" w:ascii="宋体" w:hAnsi="宋体" w:eastAsia="宋体" w:cs="宋体"/>
                      <w:color w:val="auto"/>
                      <w:kern w:val="2"/>
                      <w:sz w:val="21"/>
                      <w:szCs w:val="21"/>
                      <w:lang w:val="en-US" w:eastAsia="zh-CN" w:bidi="ar"/>
                    </w:rPr>
                    <w:t>以上。聚焦港口码头、工业园区等重点区域，强化堆场扬尘整治，深化煤炭、砂石等大型物料堆场的封闭化改造和高效抑尘设施建设。</w:t>
                  </w:r>
                </w:p>
              </w:tc>
              <w:tc>
                <w:tcPr>
                  <w:tcW w:w="1961" w:type="dxa"/>
                  <w:tcBorders>
                    <w:top w:val="single" w:color="auto" w:sz="4" w:space="0"/>
                    <w:left w:val="nil"/>
                    <w:bottom w:val="single" w:color="auto" w:sz="4" w:space="0"/>
                    <w:right w:val="single" w:color="auto" w:sz="4" w:space="0"/>
                  </w:tcBorders>
                  <w:shd w:val="clear" w:color="auto" w:fill="auto"/>
                  <w:vAlign w:val="center"/>
                </w:tcPr>
                <w:p w14:paraId="536F7DA2">
                  <w:pPr>
                    <w:pStyle w:val="19"/>
                    <w:keepNext w:val="0"/>
                    <w:keepLines w:val="0"/>
                    <w:widowControl w:val="0"/>
                    <w:suppressLineNumbers w:val="0"/>
                    <w:autoSpaceDE w:val="0"/>
                    <w:autoSpaceDN w:val="0"/>
                    <w:adjustRightInd w:val="0"/>
                    <w:spacing w:before="0" w:beforeAutospacing="0" w:after="0" w:afterAutospacing="0" w:line="320" w:lineRule="exact"/>
                    <w:ind w:left="0" w:right="0"/>
                    <w:jc w:val="center"/>
                    <w:rPr>
                      <w:rFonts w:hint="default" w:ascii="Times New Roman" w:hAnsi="Times New Roman" w:eastAsia="宋体" w:cs="Times New Roman"/>
                      <w:color w:val="auto"/>
                      <w:kern w:val="2"/>
                      <w:sz w:val="21"/>
                      <w:szCs w:val="21"/>
                    </w:rPr>
                  </w:pPr>
                  <w:r>
                    <w:rPr>
                      <w:rFonts w:hint="eastAsia" w:ascii="宋体" w:hAnsi="宋体" w:eastAsia="宋体" w:cs="宋体"/>
                      <w:color w:val="auto"/>
                      <w:kern w:val="2"/>
                      <w:sz w:val="21"/>
                      <w:szCs w:val="21"/>
                      <w:lang w:val="en-US" w:eastAsia="zh-CN" w:bidi="ar"/>
                    </w:rPr>
                    <w:t>本项目租赁浙江吉珈科技有限公司闲置厂房组织生产，并不新建厂房，在完成设备安装，调试后即可投入生产。</w:t>
                  </w:r>
                </w:p>
              </w:tc>
              <w:tc>
                <w:tcPr>
                  <w:tcW w:w="743" w:type="dxa"/>
                  <w:tcBorders>
                    <w:top w:val="single" w:color="auto" w:sz="4" w:space="0"/>
                    <w:left w:val="nil"/>
                    <w:bottom w:val="single" w:color="auto" w:sz="4" w:space="0"/>
                    <w:right w:val="single" w:color="auto" w:sz="4" w:space="0"/>
                  </w:tcBorders>
                  <w:shd w:val="clear" w:color="auto" w:fill="auto"/>
                  <w:vAlign w:val="center"/>
                </w:tcPr>
                <w:p w14:paraId="26F4FE87">
                  <w:pPr>
                    <w:pStyle w:val="19"/>
                    <w:keepNext w:val="0"/>
                    <w:keepLines w:val="0"/>
                    <w:widowControl w:val="0"/>
                    <w:suppressLineNumbers w:val="0"/>
                    <w:autoSpaceDE w:val="0"/>
                    <w:autoSpaceDN w:val="0"/>
                    <w:adjustRightInd w:val="0"/>
                    <w:spacing w:before="0" w:beforeAutospacing="0" w:after="0" w:afterAutospacing="0" w:line="320" w:lineRule="exact"/>
                    <w:ind w:left="0" w:right="0"/>
                    <w:jc w:val="center"/>
                    <w:rPr>
                      <w:rFonts w:hint="default" w:ascii="Times New Roman" w:hAnsi="Times New Roman" w:eastAsia="宋体" w:cs="Times New Roman"/>
                      <w:color w:val="auto"/>
                      <w:kern w:val="2"/>
                      <w:sz w:val="21"/>
                      <w:szCs w:val="21"/>
                    </w:rPr>
                  </w:pPr>
                  <w:r>
                    <w:rPr>
                      <w:rFonts w:hint="eastAsia" w:ascii="宋体" w:hAnsi="宋体" w:eastAsia="宋体" w:cs="宋体"/>
                      <w:color w:val="auto"/>
                      <w:kern w:val="2"/>
                      <w:sz w:val="21"/>
                      <w:szCs w:val="21"/>
                      <w:lang w:val="en-US" w:eastAsia="zh-CN" w:bidi="ar"/>
                    </w:rPr>
                    <w:t>不涉及</w:t>
                  </w:r>
                </w:p>
              </w:tc>
            </w:tr>
            <w:tr w14:paraId="2A2822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340" w:hRule="atLeast"/>
                <w:jc w:val="center"/>
              </w:trPr>
              <w:tc>
                <w:tcPr>
                  <w:tcW w:w="1121" w:type="dxa"/>
                  <w:tcBorders>
                    <w:top w:val="single" w:color="auto" w:sz="4" w:space="0"/>
                    <w:left w:val="single" w:color="auto" w:sz="4" w:space="0"/>
                    <w:bottom w:val="single" w:color="auto" w:sz="4" w:space="0"/>
                    <w:right w:val="single" w:color="auto" w:sz="4" w:space="0"/>
                  </w:tcBorders>
                  <w:shd w:val="clear" w:color="auto" w:fill="auto"/>
                  <w:vAlign w:val="center"/>
                </w:tcPr>
                <w:p w14:paraId="78C8D6CE">
                  <w:pPr>
                    <w:pStyle w:val="19"/>
                    <w:keepNext w:val="0"/>
                    <w:keepLines w:val="0"/>
                    <w:widowControl w:val="0"/>
                    <w:suppressLineNumbers w:val="0"/>
                    <w:autoSpaceDE w:val="0"/>
                    <w:autoSpaceDN w:val="0"/>
                    <w:adjustRightInd w:val="0"/>
                    <w:spacing w:before="0" w:beforeAutospacing="0" w:after="0" w:afterAutospacing="0" w:line="320" w:lineRule="exact"/>
                    <w:ind w:left="0" w:right="0"/>
                    <w:jc w:val="center"/>
                    <w:rPr>
                      <w:rFonts w:hint="default" w:ascii="Times New Roman" w:hAnsi="Times New Roman" w:eastAsia="宋体" w:cs="Times New Roman"/>
                      <w:color w:val="auto"/>
                      <w:kern w:val="2"/>
                      <w:sz w:val="21"/>
                      <w:szCs w:val="21"/>
                    </w:rPr>
                  </w:pPr>
                  <w:r>
                    <w:rPr>
                      <w:rFonts w:hint="eastAsia" w:ascii="宋体" w:hAnsi="宋体" w:eastAsia="宋体" w:cs="宋体"/>
                      <w:color w:val="auto"/>
                      <w:kern w:val="2"/>
                      <w:sz w:val="21"/>
                      <w:szCs w:val="21"/>
                      <w:lang w:val="en-US" w:eastAsia="zh-CN" w:bidi="ar"/>
                    </w:rPr>
                    <w:t>迭代实施秸秆综合利用和露天禁烧攻坚</w:t>
                  </w:r>
                </w:p>
              </w:tc>
              <w:tc>
                <w:tcPr>
                  <w:tcW w:w="4589" w:type="dxa"/>
                  <w:tcBorders>
                    <w:top w:val="single" w:color="auto" w:sz="4" w:space="0"/>
                    <w:left w:val="nil"/>
                    <w:bottom w:val="single" w:color="auto" w:sz="4" w:space="0"/>
                    <w:right w:val="single" w:color="auto" w:sz="4" w:space="0"/>
                  </w:tcBorders>
                  <w:shd w:val="clear" w:color="auto" w:fill="auto"/>
                  <w:vAlign w:val="center"/>
                </w:tcPr>
                <w:p w14:paraId="54FDBE3D">
                  <w:pPr>
                    <w:pStyle w:val="19"/>
                    <w:keepNext w:val="0"/>
                    <w:keepLines w:val="0"/>
                    <w:widowControl w:val="0"/>
                    <w:suppressLineNumbers w:val="0"/>
                    <w:autoSpaceDE w:val="0"/>
                    <w:autoSpaceDN w:val="0"/>
                    <w:adjustRightInd w:val="0"/>
                    <w:spacing w:before="0" w:beforeAutospacing="0" w:after="0" w:afterAutospacing="0" w:line="320" w:lineRule="exact"/>
                    <w:ind w:left="0" w:right="0"/>
                    <w:jc w:val="center"/>
                    <w:rPr>
                      <w:rFonts w:hint="default" w:ascii="Times New Roman" w:hAnsi="Times New Roman" w:eastAsia="宋体" w:cs="Times New Roman"/>
                      <w:color w:val="auto"/>
                      <w:kern w:val="2"/>
                      <w:sz w:val="21"/>
                      <w:szCs w:val="21"/>
                    </w:rPr>
                  </w:pPr>
                  <w:r>
                    <w:rPr>
                      <w:rFonts w:hint="eastAsia" w:ascii="宋体" w:hAnsi="宋体" w:eastAsia="宋体" w:cs="宋体"/>
                      <w:color w:val="auto"/>
                      <w:kern w:val="2"/>
                      <w:sz w:val="21"/>
                      <w:szCs w:val="21"/>
                      <w:lang w:val="en-US" w:eastAsia="zh-CN" w:bidi="ar"/>
                    </w:rPr>
                    <w:t>持续做好秸秆综合利用和露天禁烧，全年秸秆综合利用率达到</w:t>
                  </w:r>
                  <w:r>
                    <w:rPr>
                      <w:rFonts w:hint="default" w:ascii="Times New Roman" w:hAnsi="Times New Roman" w:eastAsia="宋体" w:cs="Times New Roman"/>
                      <w:color w:val="auto"/>
                      <w:kern w:val="2"/>
                      <w:sz w:val="21"/>
                      <w:szCs w:val="21"/>
                      <w:lang w:val="en-US" w:eastAsia="zh-CN" w:bidi="ar"/>
                    </w:rPr>
                    <w:t>97%</w:t>
                  </w:r>
                  <w:r>
                    <w:rPr>
                      <w:rFonts w:hint="eastAsia" w:ascii="宋体" w:hAnsi="宋体" w:eastAsia="宋体" w:cs="宋体"/>
                      <w:color w:val="auto"/>
                      <w:kern w:val="2"/>
                      <w:sz w:val="21"/>
                      <w:szCs w:val="21"/>
                      <w:lang w:val="en-US" w:eastAsia="zh-CN" w:bidi="ar"/>
                    </w:rPr>
                    <w:t>，其中秸秆肥料化、饲料化、能源化、基料化和原料化等“五化”离田利用率达</w:t>
                  </w:r>
                  <w:r>
                    <w:rPr>
                      <w:rFonts w:hint="default" w:ascii="Times New Roman" w:hAnsi="Times New Roman" w:eastAsia="宋体" w:cs="Times New Roman"/>
                      <w:color w:val="auto"/>
                      <w:kern w:val="2"/>
                      <w:sz w:val="21"/>
                      <w:szCs w:val="21"/>
                      <w:lang w:val="en-US" w:eastAsia="zh-CN" w:bidi="ar"/>
                    </w:rPr>
                    <w:t>40%</w:t>
                  </w:r>
                  <w:r>
                    <w:rPr>
                      <w:rFonts w:hint="eastAsia" w:ascii="宋体" w:hAnsi="宋体" w:eastAsia="宋体" w:cs="宋体"/>
                      <w:color w:val="auto"/>
                      <w:kern w:val="2"/>
                      <w:sz w:val="21"/>
                      <w:szCs w:val="21"/>
                      <w:lang w:val="en-US" w:eastAsia="zh-CN" w:bidi="ar"/>
                    </w:rPr>
                    <w:t>以上。加强露天禁烧管控，用好高位瞭望设施和视频监控平台，及时发现、处置火点。</w:t>
                  </w:r>
                </w:p>
              </w:tc>
              <w:tc>
                <w:tcPr>
                  <w:tcW w:w="1961" w:type="dxa"/>
                  <w:tcBorders>
                    <w:top w:val="single" w:color="auto" w:sz="4" w:space="0"/>
                    <w:left w:val="nil"/>
                    <w:bottom w:val="single" w:color="auto" w:sz="4" w:space="0"/>
                    <w:right w:val="single" w:color="auto" w:sz="4" w:space="0"/>
                  </w:tcBorders>
                  <w:shd w:val="clear" w:color="auto" w:fill="auto"/>
                  <w:vAlign w:val="center"/>
                </w:tcPr>
                <w:p w14:paraId="4E694643">
                  <w:pPr>
                    <w:pStyle w:val="19"/>
                    <w:keepNext w:val="0"/>
                    <w:keepLines w:val="0"/>
                    <w:widowControl w:val="0"/>
                    <w:suppressLineNumbers w:val="0"/>
                    <w:autoSpaceDE w:val="0"/>
                    <w:autoSpaceDN w:val="0"/>
                    <w:adjustRightInd w:val="0"/>
                    <w:spacing w:before="0" w:beforeAutospacing="0" w:after="0" w:afterAutospacing="0" w:line="320" w:lineRule="exact"/>
                    <w:ind w:left="0" w:right="0"/>
                    <w:jc w:val="center"/>
                    <w:rPr>
                      <w:rFonts w:hint="default" w:ascii="Times New Roman" w:hAnsi="Times New Roman" w:eastAsia="宋体" w:cs="Times New Roman"/>
                      <w:color w:val="auto"/>
                      <w:kern w:val="2"/>
                      <w:sz w:val="21"/>
                      <w:szCs w:val="21"/>
                    </w:rPr>
                  </w:pPr>
                  <w:r>
                    <w:rPr>
                      <w:rFonts w:hint="eastAsia" w:ascii="宋体" w:hAnsi="宋体" w:eastAsia="宋体" w:cs="宋体"/>
                      <w:color w:val="auto"/>
                      <w:kern w:val="2"/>
                      <w:sz w:val="21"/>
                      <w:szCs w:val="21"/>
                      <w:lang w:val="en-US" w:eastAsia="zh-CN" w:bidi="ar"/>
                    </w:rPr>
                    <w:t>本项目不涉及。</w:t>
                  </w:r>
                </w:p>
              </w:tc>
              <w:tc>
                <w:tcPr>
                  <w:tcW w:w="743" w:type="dxa"/>
                  <w:tcBorders>
                    <w:top w:val="single" w:color="auto" w:sz="4" w:space="0"/>
                    <w:left w:val="nil"/>
                    <w:bottom w:val="single" w:color="auto" w:sz="4" w:space="0"/>
                    <w:right w:val="single" w:color="auto" w:sz="4" w:space="0"/>
                  </w:tcBorders>
                  <w:shd w:val="clear" w:color="auto" w:fill="auto"/>
                  <w:vAlign w:val="center"/>
                </w:tcPr>
                <w:p w14:paraId="6727C213">
                  <w:pPr>
                    <w:pStyle w:val="19"/>
                    <w:keepNext w:val="0"/>
                    <w:keepLines w:val="0"/>
                    <w:widowControl w:val="0"/>
                    <w:suppressLineNumbers w:val="0"/>
                    <w:autoSpaceDE w:val="0"/>
                    <w:autoSpaceDN w:val="0"/>
                    <w:adjustRightInd w:val="0"/>
                    <w:spacing w:before="0" w:beforeAutospacing="0" w:after="0" w:afterAutospacing="0" w:line="320" w:lineRule="exact"/>
                    <w:ind w:left="0" w:right="0"/>
                    <w:jc w:val="center"/>
                    <w:rPr>
                      <w:rFonts w:hint="default" w:ascii="Times New Roman" w:hAnsi="Times New Roman" w:eastAsia="宋体" w:cs="Times New Roman"/>
                      <w:color w:val="auto"/>
                      <w:kern w:val="2"/>
                      <w:sz w:val="21"/>
                      <w:szCs w:val="21"/>
                    </w:rPr>
                  </w:pPr>
                  <w:r>
                    <w:rPr>
                      <w:rFonts w:hint="eastAsia" w:ascii="宋体" w:hAnsi="宋体" w:eastAsia="宋体" w:cs="宋体"/>
                      <w:color w:val="auto"/>
                      <w:kern w:val="2"/>
                      <w:sz w:val="21"/>
                      <w:szCs w:val="21"/>
                      <w:lang w:val="en-US" w:eastAsia="zh-CN" w:bidi="ar"/>
                    </w:rPr>
                    <w:t>不涉及</w:t>
                  </w:r>
                </w:p>
              </w:tc>
            </w:tr>
            <w:tr w14:paraId="7FFC63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340" w:hRule="atLeast"/>
                <w:jc w:val="center"/>
              </w:trPr>
              <w:tc>
                <w:tcPr>
                  <w:tcW w:w="1121" w:type="dxa"/>
                  <w:tcBorders>
                    <w:top w:val="single" w:color="auto" w:sz="4" w:space="0"/>
                    <w:left w:val="single" w:color="auto" w:sz="4" w:space="0"/>
                    <w:bottom w:val="single" w:color="auto" w:sz="4" w:space="0"/>
                    <w:right w:val="single" w:color="auto" w:sz="4" w:space="0"/>
                  </w:tcBorders>
                  <w:shd w:val="clear" w:color="auto" w:fill="auto"/>
                  <w:vAlign w:val="center"/>
                </w:tcPr>
                <w:p w14:paraId="4E1B11FE">
                  <w:pPr>
                    <w:pStyle w:val="19"/>
                    <w:keepNext w:val="0"/>
                    <w:keepLines w:val="0"/>
                    <w:widowControl w:val="0"/>
                    <w:suppressLineNumbers w:val="0"/>
                    <w:autoSpaceDE w:val="0"/>
                    <w:autoSpaceDN w:val="0"/>
                    <w:adjustRightInd w:val="0"/>
                    <w:spacing w:before="0" w:beforeAutospacing="0" w:after="0" w:afterAutospacing="0" w:line="320" w:lineRule="exact"/>
                    <w:ind w:left="0" w:right="0"/>
                    <w:jc w:val="center"/>
                    <w:rPr>
                      <w:rFonts w:hint="default" w:ascii="Times New Roman" w:hAnsi="Times New Roman" w:eastAsia="宋体" w:cs="Times New Roman"/>
                      <w:color w:val="auto"/>
                      <w:kern w:val="2"/>
                      <w:sz w:val="21"/>
                      <w:szCs w:val="21"/>
                    </w:rPr>
                  </w:pPr>
                  <w:r>
                    <w:rPr>
                      <w:rFonts w:hint="eastAsia" w:ascii="宋体" w:hAnsi="宋体" w:eastAsia="宋体" w:cs="宋体"/>
                      <w:color w:val="auto"/>
                      <w:kern w:val="2"/>
                      <w:sz w:val="21"/>
                      <w:szCs w:val="21"/>
                      <w:lang w:val="en-US" w:eastAsia="zh-CN" w:bidi="ar"/>
                    </w:rPr>
                    <w:t>迭代实施恶臭异味治理攻坚</w:t>
                  </w:r>
                </w:p>
              </w:tc>
              <w:tc>
                <w:tcPr>
                  <w:tcW w:w="4589" w:type="dxa"/>
                  <w:tcBorders>
                    <w:top w:val="single" w:color="auto" w:sz="4" w:space="0"/>
                    <w:left w:val="nil"/>
                    <w:bottom w:val="single" w:color="auto" w:sz="4" w:space="0"/>
                    <w:right w:val="single" w:color="auto" w:sz="4" w:space="0"/>
                  </w:tcBorders>
                  <w:shd w:val="clear" w:color="auto" w:fill="auto"/>
                  <w:vAlign w:val="center"/>
                </w:tcPr>
                <w:p w14:paraId="70C75B45">
                  <w:pPr>
                    <w:pStyle w:val="19"/>
                    <w:keepNext w:val="0"/>
                    <w:keepLines w:val="0"/>
                    <w:widowControl w:val="0"/>
                    <w:suppressLineNumbers w:val="0"/>
                    <w:autoSpaceDE w:val="0"/>
                    <w:autoSpaceDN w:val="0"/>
                    <w:adjustRightInd w:val="0"/>
                    <w:spacing w:before="0" w:beforeAutospacing="0" w:after="0" w:afterAutospacing="0" w:line="320" w:lineRule="exact"/>
                    <w:ind w:left="0" w:right="0"/>
                    <w:jc w:val="center"/>
                    <w:rPr>
                      <w:rFonts w:hint="default" w:ascii="Times New Roman" w:hAnsi="Times New Roman" w:eastAsia="宋体" w:cs="Times New Roman"/>
                      <w:color w:val="auto"/>
                      <w:kern w:val="2"/>
                      <w:sz w:val="21"/>
                      <w:szCs w:val="21"/>
                    </w:rPr>
                  </w:pPr>
                  <w:r>
                    <w:rPr>
                      <w:rFonts w:hint="eastAsia" w:ascii="宋体" w:hAnsi="宋体" w:eastAsia="宋体" w:cs="宋体"/>
                      <w:color w:val="auto"/>
                      <w:kern w:val="2"/>
                      <w:sz w:val="21"/>
                      <w:szCs w:val="21"/>
                      <w:lang w:val="en-US" w:eastAsia="zh-CN" w:bidi="ar"/>
                    </w:rPr>
                    <w:t>聚焦信访投诉集中的工业园区、重点企业、市政设施和畜禽养殖领域，推进臭气治理设施迭代更新，减少臭气异味扰民，完成</w:t>
                  </w:r>
                  <w:r>
                    <w:rPr>
                      <w:rFonts w:hint="default" w:ascii="Times New Roman" w:hAnsi="Times New Roman" w:eastAsia="宋体" w:cs="Times New Roman"/>
                      <w:color w:val="auto"/>
                      <w:kern w:val="2"/>
                      <w:sz w:val="21"/>
                      <w:szCs w:val="21"/>
                      <w:lang w:val="en-US" w:eastAsia="zh-CN" w:bidi="ar"/>
                    </w:rPr>
                    <w:t>100</w:t>
                  </w:r>
                  <w:r>
                    <w:rPr>
                      <w:rFonts w:hint="eastAsia" w:ascii="宋体" w:hAnsi="宋体" w:eastAsia="宋体" w:cs="宋体"/>
                      <w:color w:val="auto"/>
                      <w:kern w:val="2"/>
                      <w:sz w:val="21"/>
                      <w:szCs w:val="21"/>
                      <w:lang w:val="en-US" w:eastAsia="zh-CN" w:bidi="ar"/>
                    </w:rPr>
                    <w:t>个异味治理项目。开展大型规模化养殖场氨排放全过程控制，提升畜禽养殖规模化、集约化水平，在大型规模化猪场开展氨排放全过程控制试点。加强餐饮业空间布局管控与源头防治，推动开展第三方运维管理，探索商业综合体餐饮油烟集中治理模式。</w:t>
                  </w:r>
                </w:p>
              </w:tc>
              <w:tc>
                <w:tcPr>
                  <w:tcW w:w="1961" w:type="dxa"/>
                  <w:tcBorders>
                    <w:top w:val="single" w:color="auto" w:sz="4" w:space="0"/>
                    <w:left w:val="nil"/>
                    <w:bottom w:val="single" w:color="auto" w:sz="4" w:space="0"/>
                    <w:right w:val="single" w:color="auto" w:sz="4" w:space="0"/>
                  </w:tcBorders>
                  <w:shd w:val="clear" w:color="auto" w:fill="auto"/>
                  <w:vAlign w:val="center"/>
                </w:tcPr>
                <w:p w14:paraId="5912DA86">
                  <w:pPr>
                    <w:pStyle w:val="19"/>
                    <w:keepNext w:val="0"/>
                    <w:keepLines w:val="0"/>
                    <w:widowControl w:val="0"/>
                    <w:suppressLineNumbers w:val="0"/>
                    <w:autoSpaceDE w:val="0"/>
                    <w:autoSpaceDN w:val="0"/>
                    <w:adjustRightInd w:val="0"/>
                    <w:spacing w:before="0" w:beforeAutospacing="0" w:after="0" w:afterAutospacing="0" w:line="320" w:lineRule="exact"/>
                    <w:ind w:left="0" w:right="0"/>
                    <w:jc w:val="center"/>
                    <w:rPr>
                      <w:rFonts w:hint="default" w:ascii="Times New Roman" w:hAnsi="Times New Roman" w:eastAsia="宋体" w:cs="Times New Roman"/>
                      <w:color w:val="auto"/>
                      <w:kern w:val="2"/>
                      <w:sz w:val="21"/>
                      <w:szCs w:val="21"/>
                    </w:rPr>
                  </w:pPr>
                  <w:r>
                    <w:rPr>
                      <w:rFonts w:hint="eastAsia" w:ascii="宋体" w:hAnsi="宋体" w:eastAsia="宋体" w:cs="宋体"/>
                      <w:color w:val="auto"/>
                      <w:kern w:val="2"/>
                      <w:sz w:val="21"/>
                      <w:szCs w:val="21"/>
                      <w:lang w:val="en-US" w:eastAsia="zh-CN" w:bidi="ar"/>
                    </w:rPr>
                    <w:t>本项目不涉及。</w:t>
                  </w:r>
                </w:p>
              </w:tc>
              <w:tc>
                <w:tcPr>
                  <w:tcW w:w="743" w:type="dxa"/>
                  <w:tcBorders>
                    <w:top w:val="single" w:color="auto" w:sz="4" w:space="0"/>
                    <w:left w:val="nil"/>
                    <w:bottom w:val="single" w:color="auto" w:sz="4" w:space="0"/>
                    <w:right w:val="single" w:color="auto" w:sz="4" w:space="0"/>
                  </w:tcBorders>
                  <w:shd w:val="clear" w:color="auto" w:fill="auto"/>
                  <w:vAlign w:val="center"/>
                </w:tcPr>
                <w:p w14:paraId="0707F932">
                  <w:pPr>
                    <w:pStyle w:val="19"/>
                    <w:keepNext w:val="0"/>
                    <w:keepLines w:val="0"/>
                    <w:widowControl w:val="0"/>
                    <w:suppressLineNumbers w:val="0"/>
                    <w:autoSpaceDE w:val="0"/>
                    <w:autoSpaceDN w:val="0"/>
                    <w:adjustRightInd w:val="0"/>
                    <w:spacing w:before="0" w:beforeAutospacing="0" w:after="0" w:afterAutospacing="0" w:line="320" w:lineRule="exact"/>
                    <w:ind w:left="0" w:right="0"/>
                    <w:jc w:val="center"/>
                    <w:rPr>
                      <w:rFonts w:hint="default" w:ascii="Times New Roman" w:hAnsi="Times New Roman" w:eastAsia="宋体" w:cs="Times New Roman"/>
                      <w:color w:val="auto"/>
                      <w:kern w:val="2"/>
                      <w:sz w:val="21"/>
                      <w:szCs w:val="21"/>
                    </w:rPr>
                  </w:pPr>
                  <w:r>
                    <w:rPr>
                      <w:rFonts w:hint="eastAsia" w:ascii="宋体" w:hAnsi="宋体" w:eastAsia="宋体" w:cs="宋体"/>
                      <w:color w:val="auto"/>
                      <w:kern w:val="2"/>
                      <w:sz w:val="21"/>
                      <w:szCs w:val="21"/>
                      <w:lang w:val="en-US" w:eastAsia="zh-CN" w:bidi="ar"/>
                    </w:rPr>
                    <w:t>不涉及</w:t>
                  </w:r>
                </w:p>
              </w:tc>
            </w:tr>
            <w:tr w14:paraId="71804B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340" w:hRule="atLeast"/>
                <w:jc w:val="center"/>
              </w:trPr>
              <w:tc>
                <w:tcPr>
                  <w:tcW w:w="1121" w:type="dxa"/>
                  <w:tcBorders>
                    <w:top w:val="single" w:color="auto" w:sz="4" w:space="0"/>
                    <w:left w:val="single" w:color="auto" w:sz="4" w:space="0"/>
                    <w:bottom w:val="single" w:color="auto" w:sz="4" w:space="0"/>
                    <w:right w:val="single" w:color="auto" w:sz="4" w:space="0"/>
                  </w:tcBorders>
                  <w:shd w:val="clear" w:color="auto" w:fill="auto"/>
                  <w:vAlign w:val="center"/>
                </w:tcPr>
                <w:p w14:paraId="072CA71D">
                  <w:pPr>
                    <w:pStyle w:val="19"/>
                    <w:keepNext w:val="0"/>
                    <w:keepLines w:val="0"/>
                    <w:widowControl w:val="0"/>
                    <w:suppressLineNumbers w:val="0"/>
                    <w:autoSpaceDE w:val="0"/>
                    <w:autoSpaceDN w:val="0"/>
                    <w:adjustRightInd w:val="0"/>
                    <w:spacing w:before="0" w:beforeAutospacing="0" w:after="0" w:afterAutospacing="0" w:line="320" w:lineRule="exact"/>
                    <w:ind w:left="0" w:right="0"/>
                    <w:jc w:val="center"/>
                    <w:rPr>
                      <w:rFonts w:hint="default" w:ascii="Times New Roman" w:hAnsi="Times New Roman" w:eastAsia="宋体" w:cs="Times New Roman"/>
                      <w:color w:val="auto"/>
                      <w:kern w:val="2"/>
                      <w:sz w:val="21"/>
                      <w:szCs w:val="21"/>
                    </w:rPr>
                  </w:pPr>
                  <w:r>
                    <w:rPr>
                      <w:rFonts w:hint="eastAsia" w:ascii="宋体" w:hAnsi="宋体" w:eastAsia="宋体" w:cs="宋体"/>
                      <w:color w:val="auto"/>
                      <w:kern w:val="2"/>
                      <w:sz w:val="21"/>
                      <w:szCs w:val="21"/>
                      <w:lang w:val="en-US" w:eastAsia="zh-CN" w:bidi="ar"/>
                    </w:rPr>
                    <w:t>迭代实施夏季污染防治攻坚</w:t>
                  </w:r>
                </w:p>
              </w:tc>
              <w:tc>
                <w:tcPr>
                  <w:tcW w:w="4589" w:type="dxa"/>
                  <w:tcBorders>
                    <w:top w:val="single" w:color="auto" w:sz="4" w:space="0"/>
                    <w:left w:val="nil"/>
                    <w:bottom w:val="single" w:color="auto" w:sz="4" w:space="0"/>
                    <w:right w:val="single" w:color="auto" w:sz="4" w:space="0"/>
                  </w:tcBorders>
                  <w:shd w:val="clear" w:color="auto" w:fill="auto"/>
                  <w:vAlign w:val="center"/>
                </w:tcPr>
                <w:p w14:paraId="7CFE8F7E">
                  <w:pPr>
                    <w:pStyle w:val="19"/>
                    <w:keepNext w:val="0"/>
                    <w:keepLines w:val="0"/>
                    <w:widowControl w:val="0"/>
                    <w:suppressLineNumbers w:val="0"/>
                    <w:autoSpaceDE w:val="0"/>
                    <w:autoSpaceDN w:val="0"/>
                    <w:adjustRightInd w:val="0"/>
                    <w:spacing w:before="0" w:beforeAutospacing="0" w:after="0" w:afterAutospacing="0" w:line="320" w:lineRule="exact"/>
                    <w:ind w:left="0" w:right="0"/>
                    <w:jc w:val="center"/>
                    <w:rPr>
                      <w:rFonts w:hint="default" w:ascii="Times New Roman" w:hAnsi="Times New Roman" w:eastAsia="宋体" w:cs="Times New Roman"/>
                      <w:color w:val="auto"/>
                      <w:kern w:val="2"/>
                      <w:sz w:val="21"/>
                      <w:szCs w:val="21"/>
                    </w:rPr>
                  </w:pPr>
                  <w:r>
                    <w:rPr>
                      <w:rFonts w:hint="eastAsia" w:ascii="宋体" w:hAnsi="宋体" w:eastAsia="宋体" w:cs="宋体"/>
                      <w:color w:val="auto"/>
                      <w:kern w:val="2"/>
                      <w:sz w:val="21"/>
                      <w:szCs w:val="21"/>
                      <w:lang w:val="en-US" w:eastAsia="zh-CN" w:bidi="ar"/>
                    </w:rPr>
                    <w:t>以降低臭氧浓度为重点，强化夏季臭氧污染削峰，协同控制细颗粒物和臭氧。以石化、化工、工业涂装、包装印刷等行业为重点，规范环保耗材更新更换。引导市政工程、工业企业涉</w:t>
                  </w:r>
                  <w:r>
                    <w:rPr>
                      <w:rFonts w:hint="default" w:ascii="Times New Roman" w:hAnsi="Times New Roman" w:eastAsia="宋体" w:cs="Times New Roman"/>
                      <w:color w:val="auto"/>
                      <w:kern w:val="2"/>
                      <w:sz w:val="21"/>
                      <w:szCs w:val="21"/>
                      <w:lang w:val="en-US" w:eastAsia="zh-CN" w:bidi="ar"/>
                    </w:rPr>
                    <w:t>VOCs</w:t>
                  </w:r>
                  <w:r>
                    <w:rPr>
                      <w:rFonts w:hint="eastAsia" w:ascii="宋体" w:hAnsi="宋体" w:eastAsia="宋体" w:cs="宋体"/>
                      <w:color w:val="auto"/>
                      <w:kern w:val="2"/>
                      <w:sz w:val="21"/>
                      <w:szCs w:val="21"/>
                      <w:lang w:val="en-US" w:eastAsia="zh-CN" w:bidi="ar"/>
                    </w:rPr>
                    <w:t>施工、加油站装卸油避开臭氧易发时段（</w:t>
                  </w:r>
                  <w:r>
                    <w:rPr>
                      <w:rFonts w:hint="default" w:ascii="Times New Roman" w:hAnsi="Times New Roman" w:eastAsia="宋体" w:cs="Times New Roman"/>
                      <w:color w:val="auto"/>
                      <w:kern w:val="2"/>
                      <w:sz w:val="21"/>
                      <w:szCs w:val="21"/>
                      <w:lang w:val="en-US" w:eastAsia="zh-CN" w:bidi="ar"/>
                    </w:rPr>
                    <w:t>10:00—17:00</w:t>
                  </w:r>
                  <w:r>
                    <w:rPr>
                      <w:rFonts w:hint="eastAsia" w:ascii="宋体" w:hAnsi="宋体" w:eastAsia="宋体" w:cs="宋体"/>
                      <w:color w:val="auto"/>
                      <w:kern w:val="2"/>
                      <w:sz w:val="21"/>
                      <w:szCs w:val="21"/>
                      <w:lang w:val="en-US" w:eastAsia="zh-CN" w:bidi="ar"/>
                    </w:rPr>
                    <w:t>）。露天喷涂作业优先采用低挥发性水性涂料，无法使用水性涂料的，应满足《低挥发性有机化合物含量涂料产品技术要求》含量限值。强化环杭州湾区域石化、化工行业</w:t>
                  </w:r>
                  <w:r>
                    <w:rPr>
                      <w:rFonts w:hint="default" w:ascii="Times New Roman" w:hAnsi="Times New Roman" w:eastAsia="宋体" w:cs="Times New Roman"/>
                      <w:color w:val="auto"/>
                      <w:kern w:val="2"/>
                      <w:sz w:val="21"/>
                      <w:szCs w:val="21"/>
                      <w:lang w:val="en-US" w:eastAsia="zh-CN" w:bidi="ar"/>
                    </w:rPr>
                    <w:t>VOCs</w:t>
                  </w:r>
                  <w:r>
                    <w:rPr>
                      <w:rFonts w:hint="eastAsia" w:ascii="宋体" w:hAnsi="宋体" w:eastAsia="宋体" w:cs="宋体"/>
                      <w:color w:val="auto"/>
                      <w:kern w:val="2"/>
                      <w:sz w:val="21"/>
                      <w:szCs w:val="21"/>
                      <w:lang w:val="en-US" w:eastAsia="zh-CN" w:bidi="ar"/>
                    </w:rPr>
                    <w:t>协同治理。</w:t>
                  </w:r>
                </w:p>
              </w:tc>
              <w:tc>
                <w:tcPr>
                  <w:tcW w:w="1961" w:type="dxa"/>
                  <w:tcBorders>
                    <w:top w:val="single" w:color="auto" w:sz="4" w:space="0"/>
                    <w:left w:val="nil"/>
                    <w:bottom w:val="single" w:color="auto" w:sz="4" w:space="0"/>
                    <w:right w:val="single" w:color="auto" w:sz="4" w:space="0"/>
                  </w:tcBorders>
                  <w:shd w:val="clear" w:color="auto" w:fill="auto"/>
                  <w:vAlign w:val="center"/>
                </w:tcPr>
                <w:p w14:paraId="5F3759C2">
                  <w:pPr>
                    <w:pStyle w:val="19"/>
                    <w:keepNext w:val="0"/>
                    <w:keepLines w:val="0"/>
                    <w:widowControl w:val="0"/>
                    <w:suppressLineNumbers w:val="0"/>
                    <w:autoSpaceDE w:val="0"/>
                    <w:autoSpaceDN w:val="0"/>
                    <w:adjustRightInd w:val="0"/>
                    <w:spacing w:before="0" w:beforeAutospacing="0" w:after="0" w:afterAutospacing="0" w:line="320" w:lineRule="exact"/>
                    <w:ind w:left="0" w:right="0"/>
                    <w:jc w:val="both"/>
                    <w:rPr>
                      <w:rFonts w:hint="default" w:ascii="Times New Roman" w:hAnsi="Times New Roman" w:eastAsia="宋体" w:cs="Times New Roman"/>
                      <w:color w:val="auto"/>
                      <w:kern w:val="2"/>
                      <w:sz w:val="21"/>
                      <w:szCs w:val="21"/>
                    </w:rPr>
                  </w:pPr>
                  <w:r>
                    <w:rPr>
                      <w:rFonts w:hint="default" w:ascii="Times New Roman" w:hAnsi="Times New Roman" w:eastAsia="宋体" w:cs="Times New Roman"/>
                      <w:color w:val="auto"/>
                      <w:kern w:val="2"/>
                      <w:sz w:val="21"/>
                      <w:szCs w:val="21"/>
                      <w:lang w:val="en-US" w:eastAsia="zh-CN" w:bidi="ar"/>
                    </w:rPr>
                    <w:t>本项目行业类别为C3670汽车零部件及配件制造、C2929塑料零件及其他塑料制品制造、C3034隔热和隔音材料制造，不属石化、化工、工业涂装、包装印刷等行业。</w:t>
                  </w:r>
                </w:p>
                <w:p w14:paraId="3336FA45">
                  <w:pPr>
                    <w:pStyle w:val="19"/>
                    <w:keepNext w:val="0"/>
                    <w:keepLines w:val="0"/>
                    <w:widowControl w:val="0"/>
                    <w:suppressLineNumbers w:val="0"/>
                    <w:autoSpaceDE w:val="0"/>
                    <w:autoSpaceDN w:val="0"/>
                    <w:adjustRightInd w:val="0"/>
                    <w:spacing w:before="0" w:beforeAutospacing="0" w:after="0" w:afterAutospacing="0" w:line="320" w:lineRule="exact"/>
                    <w:ind w:left="0" w:right="0"/>
                    <w:jc w:val="both"/>
                    <w:rPr>
                      <w:rFonts w:hint="default" w:ascii="Times New Roman" w:hAnsi="Times New Roman" w:eastAsia="宋体" w:cs="Times New Roman"/>
                      <w:color w:val="auto"/>
                      <w:kern w:val="2"/>
                      <w:sz w:val="21"/>
                      <w:szCs w:val="21"/>
                    </w:rPr>
                  </w:pPr>
                  <w:r>
                    <w:rPr>
                      <w:rFonts w:hint="default" w:ascii="Times New Roman" w:hAnsi="Times New Roman" w:eastAsia="宋体" w:cs="Times New Roman"/>
                      <w:color w:val="auto"/>
                      <w:kern w:val="2"/>
                      <w:sz w:val="21"/>
                      <w:szCs w:val="21"/>
                      <w:lang w:val="en-US" w:eastAsia="zh-CN" w:bidi="ar"/>
                    </w:rPr>
                    <w:t>本项目使用背胶处理剂，根据《胶粘剂挥发性有机化合物限量》（GB33372-2020）表3中的要求：</w:t>
                  </w:r>
                  <w:r>
                    <w:rPr>
                      <w:rFonts w:hint="eastAsia" w:ascii="Times New Roman" w:hAnsi="Times New Roman" w:eastAsia="宋体" w:cs="Times New Roman"/>
                      <w:color w:val="auto"/>
                      <w:kern w:val="2"/>
                      <w:sz w:val="21"/>
                      <w:szCs w:val="21"/>
                      <w:lang w:val="en-US" w:eastAsia="zh-CN" w:bidi="ar"/>
                    </w:rPr>
                    <w:t>“</w:t>
                  </w:r>
                  <w:r>
                    <w:rPr>
                      <w:rFonts w:hint="default" w:ascii="Times New Roman" w:hAnsi="Times New Roman" w:eastAsia="宋体" w:cs="Times New Roman"/>
                      <w:color w:val="auto"/>
                      <w:kern w:val="2"/>
                      <w:sz w:val="21"/>
                      <w:szCs w:val="21"/>
                      <w:lang w:val="en-US" w:eastAsia="zh-CN" w:bidi="ar"/>
                    </w:rPr>
                    <w:t>其他</w:t>
                  </w:r>
                  <w:r>
                    <w:rPr>
                      <w:rFonts w:hint="eastAsia" w:ascii="Times New Roman" w:hAnsi="Times New Roman" w:eastAsia="宋体" w:cs="Times New Roman"/>
                      <w:color w:val="auto"/>
                      <w:kern w:val="2"/>
                      <w:sz w:val="21"/>
                      <w:szCs w:val="21"/>
                      <w:lang w:val="en-US" w:eastAsia="zh-CN" w:bidi="ar"/>
                    </w:rPr>
                    <w:t>”</w:t>
                  </w:r>
                  <w:r>
                    <w:rPr>
                      <w:rFonts w:hint="default" w:ascii="Times New Roman" w:hAnsi="Times New Roman" w:eastAsia="宋体" w:cs="Times New Roman"/>
                      <w:color w:val="auto"/>
                      <w:kern w:val="2"/>
                      <w:sz w:val="21"/>
                      <w:szCs w:val="21"/>
                      <w:lang w:val="en-US" w:eastAsia="zh-CN" w:bidi="ar"/>
                    </w:rPr>
                    <w:t>应用领域中的</w:t>
                  </w:r>
                  <w:r>
                    <w:rPr>
                      <w:rFonts w:hint="eastAsia" w:ascii="Times New Roman" w:hAnsi="Times New Roman" w:eastAsia="宋体" w:cs="Times New Roman"/>
                      <w:color w:val="auto"/>
                      <w:kern w:val="2"/>
                      <w:sz w:val="21"/>
                      <w:szCs w:val="21"/>
                      <w:lang w:val="en-US" w:eastAsia="zh-CN" w:bidi="ar"/>
                    </w:rPr>
                    <w:t>“</w:t>
                  </w:r>
                  <w:r>
                    <w:rPr>
                      <w:rFonts w:hint="default" w:ascii="Times New Roman" w:hAnsi="Times New Roman" w:eastAsia="宋体" w:cs="Times New Roman"/>
                      <w:color w:val="auto"/>
                      <w:kern w:val="2"/>
                      <w:sz w:val="21"/>
                      <w:szCs w:val="21"/>
                      <w:lang w:val="en-US" w:eastAsia="zh-CN" w:bidi="ar"/>
                    </w:rPr>
                    <w:t>其他</w:t>
                  </w:r>
                  <w:r>
                    <w:rPr>
                      <w:rFonts w:hint="eastAsia" w:ascii="Times New Roman" w:hAnsi="Times New Roman" w:eastAsia="宋体" w:cs="Times New Roman"/>
                      <w:color w:val="auto"/>
                      <w:kern w:val="2"/>
                      <w:sz w:val="21"/>
                      <w:szCs w:val="21"/>
                      <w:lang w:val="en-US" w:eastAsia="zh-CN" w:bidi="ar"/>
                    </w:rPr>
                    <w:t>”</w:t>
                  </w:r>
                  <w:r>
                    <w:rPr>
                      <w:rFonts w:hint="default" w:ascii="Times New Roman" w:hAnsi="Times New Roman" w:eastAsia="宋体" w:cs="Times New Roman"/>
                      <w:color w:val="auto"/>
                      <w:kern w:val="2"/>
                      <w:sz w:val="21"/>
                      <w:szCs w:val="21"/>
                      <w:lang w:val="en-US" w:eastAsia="zh-CN" w:bidi="ar"/>
                    </w:rPr>
                    <w:t>本体型胶粘剂VOC含量限量值为≤50g/kg。根据企业提供资料，项目使用的胶粘剂中正庚烷含量为3.5%（按全部挥发计），则本项目胶粘剂中的VOC含量为35g/kg。</w:t>
                  </w:r>
                </w:p>
              </w:tc>
              <w:tc>
                <w:tcPr>
                  <w:tcW w:w="743" w:type="dxa"/>
                  <w:tcBorders>
                    <w:top w:val="single" w:color="auto" w:sz="4" w:space="0"/>
                    <w:left w:val="nil"/>
                    <w:bottom w:val="single" w:color="auto" w:sz="4" w:space="0"/>
                    <w:right w:val="single" w:color="auto" w:sz="4" w:space="0"/>
                  </w:tcBorders>
                  <w:shd w:val="clear" w:color="auto" w:fill="auto"/>
                  <w:vAlign w:val="center"/>
                </w:tcPr>
                <w:p w14:paraId="31401BEE">
                  <w:pPr>
                    <w:pStyle w:val="19"/>
                    <w:keepNext w:val="0"/>
                    <w:keepLines w:val="0"/>
                    <w:widowControl w:val="0"/>
                    <w:suppressLineNumbers w:val="0"/>
                    <w:autoSpaceDE w:val="0"/>
                    <w:autoSpaceDN w:val="0"/>
                    <w:adjustRightInd w:val="0"/>
                    <w:spacing w:before="0" w:beforeAutospacing="0" w:after="0" w:afterAutospacing="0" w:line="320" w:lineRule="exact"/>
                    <w:ind w:left="0" w:right="0"/>
                    <w:jc w:val="center"/>
                    <w:rPr>
                      <w:rFonts w:hint="default" w:ascii="Times New Roman" w:hAnsi="Times New Roman" w:eastAsia="宋体" w:cs="Times New Roman"/>
                      <w:color w:val="auto"/>
                      <w:kern w:val="2"/>
                      <w:sz w:val="21"/>
                      <w:szCs w:val="21"/>
                    </w:rPr>
                  </w:pPr>
                  <w:r>
                    <w:rPr>
                      <w:rFonts w:hint="default" w:ascii="Times New Roman" w:hAnsi="Times New Roman" w:eastAsia="宋体" w:cs="Times New Roman"/>
                      <w:color w:val="auto"/>
                      <w:kern w:val="2"/>
                      <w:sz w:val="21"/>
                      <w:szCs w:val="21"/>
                      <w:lang w:val="en-US" w:eastAsia="zh-CN" w:bidi="ar"/>
                    </w:rPr>
                    <w:t>符合</w:t>
                  </w:r>
                </w:p>
              </w:tc>
            </w:tr>
            <w:tr w14:paraId="527356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340" w:hRule="atLeast"/>
                <w:jc w:val="center"/>
              </w:trPr>
              <w:tc>
                <w:tcPr>
                  <w:tcW w:w="1121" w:type="dxa"/>
                  <w:tcBorders>
                    <w:top w:val="single" w:color="auto" w:sz="4" w:space="0"/>
                    <w:left w:val="single" w:color="auto" w:sz="4" w:space="0"/>
                    <w:bottom w:val="single" w:color="auto" w:sz="4" w:space="0"/>
                    <w:right w:val="single" w:color="auto" w:sz="4" w:space="0"/>
                  </w:tcBorders>
                  <w:shd w:val="clear" w:color="auto" w:fill="auto"/>
                  <w:vAlign w:val="center"/>
                </w:tcPr>
                <w:p w14:paraId="4214F96E">
                  <w:pPr>
                    <w:pStyle w:val="19"/>
                    <w:keepNext w:val="0"/>
                    <w:keepLines w:val="0"/>
                    <w:widowControl w:val="0"/>
                    <w:suppressLineNumbers w:val="0"/>
                    <w:autoSpaceDE w:val="0"/>
                    <w:autoSpaceDN w:val="0"/>
                    <w:adjustRightInd w:val="0"/>
                    <w:spacing w:before="0" w:beforeAutospacing="0" w:after="0" w:afterAutospacing="0" w:line="320" w:lineRule="exact"/>
                    <w:ind w:left="0" w:right="0"/>
                    <w:jc w:val="center"/>
                    <w:rPr>
                      <w:rFonts w:hint="default" w:ascii="Times New Roman" w:hAnsi="Times New Roman" w:eastAsia="宋体" w:cs="Times New Roman"/>
                      <w:color w:val="auto"/>
                      <w:kern w:val="2"/>
                      <w:sz w:val="21"/>
                      <w:szCs w:val="21"/>
                    </w:rPr>
                  </w:pPr>
                  <w:r>
                    <w:rPr>
                      <w:rFonts w:hint="eastAsia" w:ascii="宋体" w:hAnsi="宋体" w:eastAsia="宋体" w:cs="宋体"/>
                      <w:color w:val="auto"/>
                      <w:kern w:val="2"/>
                      <w:sz w:val="21"/>
                      <w:szCs w:val="21"/>
                      <w:lang w:val="en-US" w:eastAsia="zh-CN" w:bidi="ar"/>
                    </w:rPr>
                    <w:t>迭代实施秋冬季污染防治攻坚</w:t>
                  </w:r>
                </w:p>
              </w:tc>
              <w:tc>
                <w:tcPr>
                  <w:tcW w:w="4589" w:type="dxa"/>
                  <w:tcBorders>
                    <w:top w:val="single" w:color="auto" w:sz="4" w:space="0"/>
                    <w:left w:val="nil"/>
                    <w:bottom w:val="single" w:color="auto" w:sz="4" w:space="0"/>
                    <w:right w:val="single" w:color="auto" w:sz="4" w:space="0"/>
                  </w:tcBorders>
                  <w:shd w:val="clear" w:color="auto" w:fill="auto"/>
                  <w:vAlign w:val="center"/>
                </w:tcPr>
                <w:p w14:paraId="16D12196">
                  <w:pPr>
                    <w:pStyle w:val="19"/>
                    <w:keepNext w:val="0"/>
                    <w:keepLines w:val="0"/>
                    <w:widowControl w:val="0"/>
                    <w:suppressLineNumbers w:val="0"/>
                    <w:autoSpaceDE w:val="0"/>
                    <w:autoSpaceDN w:val="0"/>
                    <w:adjustRightInd w:val="0"/>
                    <w:spacing w:before="0" w:beforeAutospacing="0" w:after="0" w:afterAutospacing="0" w:line="320" w:lineRule="exact"/>
                    <w:ind w:left="0" w:right="0"/>
                    <w:jc w:val="center"/>
                    <w:rPr>
                      <w:rFonts w:hint="default" w:ascii="Times New Roman" w:hAnsi="Times New Roman" w:eastAsia="宋体" w:cs="Times New Roman"/>
                      <w:color w:val="auto"/>
                      <w:kern w:val="2"/>
                      <w:sz w:val="21"/>
                      <w:szCs w:val="21"/>
                    </w:rPr>
                  </w:pPr>
                  <w:r>
                    <w:rPr>
                      <w:rFonts w:hint="eastAsia" w:ascii="宋体" w:hAnsi="宋体" w:eastAsia="宋体" w:cs="宋体"/>
                      <w:color w:val="auto"/>
                      <w:kern w:val="2"/>
                      <w:sz w:val="21"/>
                      <w:szCs w:val="21"/>
                      <w:lang w:val="en-US" w:eastAsia="zh-CN" w:bidi="ar"/>
                    </w:rPr>
                    <w:t>以降低</w:t>
                  </w:r>
                  <w:r>
                    <w:rPr>
                      <w:rFonts w:hint="default" w:ascii="Times New Roman" w:hAnsi="Times New Roman" w:eastAsia="宋体" w:cs="Times New Roman"/>
                      <w:color w:val="auto"/>
                      <w:kern w:val="2"/>
                      <w:sz w:val="21"/>
                      <w:szCs w:val="21"/>
                      <w:lang w:val="en-US" w:eastAsia="zh-CN" w:bidi="ar"/>
                    </w:rPr>
                    <w:t>PM</w:t>
                  </w:r>
                  <w:r>
                    <w:rPr>
                      <w:rFonts w:hint="default" w:ascii="Times New Roman" w:hAnsi="Times New Roman" w:eastAsia="宋体" w:cs="Times New Roman"/>
                      <w:color w:val="auto"/>
                      <w:kern w:val="2"/>
                      <w:sz w:val="21"/>
                      <w:szCs w:val="21"/>
                      <w:vertAlign w:val="subscript"/>
                      <w:lang w:val="en-US" w:eastAsia="zh-CN" w:bidi="ar"/>
                    </w:rPr>
                    <w:t>2.5</w:t>
                  </w:r>
                  <w:r>
                    <w:rPr>
                      <w:rFonts w:hint="eastAsia" w:ascii="宋体" w:hAnsi="宋体" w:eastAsia="宋体" w:cs="宋体"/>
                      <w:color w:val="auto"/>
                      <w:kern w:val="2"/>
                      <w:sz w:val="21"/>
                      <w:szCs w:val="21"/>
                      <w:lang w:val="en-US" w:eastAsia="zh-CN" w:bidi="ar"/>
                    </w:rPr>
                    <w:t>浓度为重点，强化氮氧化物等大气主要污染物排放管控。分区分级分类实施污染减排措施，根据企业大气污染防治绩效水平，依法依规开展重点企业协商减排，迭代重污染天气应急减排清单。强化县级应对重污染天气能力水平，切实发挥减排实效。加强空气质量预报预警，及时督促相关城市依法启动重污染天气预警和应急响应。建立完善省内跨行政区联防联控机制，重点强化杭湖嘉、杭绍、甬绍、金衢等交界县区污染天气应对和跨区域联合执法。严防因烟花爆竹燃放造成的污染天气。加强长三角区域应急联动，强化进博会、乌镇峰会等重大活动保障，严防严控重污染天气。抢抓时机开展人工影响天气作业。</w:t>
                  </w:r>
                </w:p>
              </w:tc>
              <w:tc>
                <w:tcPr>
                  <w:tcW w:w="1961" w:type="dxa"/>
                  <w:tcBorders>
                    <w:top w:val="single" w:color="auto" w:sz="4" w:space="0"/>
                    <w:left w:val="nil"/>
                    <w:bottom w:val="single" w:color="auto" w:sz="4" w:space="0"/>
                    <w:right w:val="single" w:color="auto" w:sz="4" w:space="0"/>
                  </w:tcBorders>
                  <w:shd w:val="clear" w:color="auto" w:fill="auto"/>
                  <w:vAlign w:val="center"/>
                </w:tcPr>
                <w:p w14:paraId="03E5CE16">
                  <w:pPr>
                    <w:pStyle w:val="19"/>
                    <w:keepNext w:val="0"/>
                    <w:keepLines w:val="0"/>
                    <w:widowControl w:val="0"/>
                    <w:suppressLineNumbers w:val="0"/>
                    <w:autoSpaceDE w:val="0"/>
                    <w:autoSpaceDN w:val="0"/>
                    <w:adjustRightInd w:val="0"/>
                    <w:spacing w:before="0" w:beforeAutospacing="0" w:after="0" w:afterAutospacing="0" w:line="320" w:lineRule="exact"/>
                    <w:ind w:left="0" w:right="0"/>
                    <w:jc w:val="center"/>
                    <w:rPr>
                      <w:rFonts w:hint="default" w:ascii="Times New Roman" w:hAnsi="Times New Roman" w:eastAsia="宋体" w:cs="Times New Roman"/>
                      <w:color w:val="auto"/>
                      <w:kern w:val="2"/>
                      <w:sz w:val="21"/>
                      <w:szCs w:val="21"/>
                    </w:rPr>
                  </w:pPr>
                  <w:r>
                    <w:rPr>
                      <w:rFonts w:hint="eastAsia" w:ascii="宋体" w:hAnsi="宋体" w:eastAsia="宋体" w:cs="宋体"/>
                      <w:color w:val="auto"/>
                      <w:kern w:val="2"/>
                      <w:sz w:val="21"/>
                      <w:szCs w:val="21"/>
                      <w:lang w:val="en-US" w:eastAsia="zh-CN" w:bidi="ar"/>
                    </w:rPr>
                    <w:t>本项目将按属地管理部门要求进行大气绩效评级、在重污染天气按规定启动重污染天气预警和应急响应，平时加强大气污染防治设施运行维护；按要求落实烟花爆竹集中燃放“一点一策”管控等，积极配合秋冬季污染防治攻坚。</w:t>
                  </w:r>
                </w:p>
              </w:tc>
              <w:tc>
                <w:tcPr>
                  <w:tcW w:w="743" w:type="dxa"/>
                  <w:tcBorders>
                    <w:top w:val="single" w:color="auto" w:sz="4" w:space="0"/>
                    <w:left w:val="nil"/>
                    <w:bottom w:val="single" w:color="auto" w:sz="4" w:space="0"/>
                    <w:right w:val="single" w:color="auto" w:sz="4" w:space="0"/>
                  </w:tcBorders>
                  <w:shd w:val="clear" w:color="auto" w:fill="auto"/>
                  <w:vAlign w:val="center"/>
                </w:tcPr>
                <w:p w14:paraId="3D83ECBA">
                  <w:pPr>
                    <w:pStyle w:val="19"/>
                    <w:keepNext w:val="0"/>
                    <w:keepLines w:val="0"/>
                    <w:widowControl w:val="0"/>
                    <w:suppressLineNumbers w:val="0"/>
                    <w:autoSpaceDE w:val="0"/>
                    <w:autoSpaceDN w:val="0"/>
                    <w:adjustRightInd w:val="0"/>
                    <w:spacing w:before="0" w:beforeAutospacing="0" w:after="0" w:afterAutospacing="0" w:line="320" w:lineRule="exact"/>
                    <w:ind w:left="0" w:right="0"/>
                    <w:jc w:val="center"/>
                    <w:rPr>
                      <w:rFonts w:hint="eastAsia" w:ascii="Times New Roman" w:hAnsi="Times New Roman" w:eastAsia="宋体" w:cs="Times New Roman"/>
                      <w:color w:val="auto"/>
                      <w:kern w:val="2"/>
                      <w:sz w:val="21"/>
                      <w:szCs w:val="21"/>
                    </w:rPr>
                  </w:pPr>
                  <w:r>
                    <w:rPr>
                      <w:rFonts w:hint="eastAsia" w:ascii="宋体" w:hAnsi="宋体" w:eastAsia="宋体" w:cs="宋体"/>
                      <w:color w:val="auto"/>
                      <w:kern w:val="2"/>
                      <w:sz w:val="21"/>
                      <w:szCs w:val="21"/>
                      <w:lang w:val="en-US" w:eastAsia="zh-CN" w:bidi="ar"/>
                    </w:rPr>
                    <w:t>符合</w:t>
                  </w:r>
                </w:p>
              </w:tc>
            </w:tr>
          </w:tbl>
          <w:p w14:paraId="4C6ED7C9">
            <w:pPr>
              <w:keepNext w:val="0"/>
              <w:keepLines w:val="0"/>
              <w:widowControl w:val="0"/>
              <w:suppressLineNumbers w:val="0"/>
              <w:spacing w:before="0" w:beforeAutospacing="0" w:after="0" w:afterAutospacing="0" w:line="360" w:lineRule="auto"/>
              <w:ind w:left="0" w:right="0" w:firstLine="480" w:firstLineChars="200"/>
              <w:jc w:val="both"/>
              <w:rPr>
                <w:rFonts w:hint="default" w:ascii="Times New Roman" w:hAnsi="Times New Roman" w:eastAsia="宋体" w:cs="Times New Roman"/>
                <w:b w:val="0"/>
                <w:bCs w:val="0"/>
                <w:color w:val="auto"/>
                <w:kern w:val="2"/>
                <w:sz w:val="24"/>
                <w:szCs w:val="24"/>
              </w:rPr>
            </w:pPr>
            <w:r>
              <w:rPr>
                <w:rFonts w:hint="eastAsia" w:ascii="宋体" w:hAnsi="宋体" w:eastAsia="宋体" w:cs="宋体"/>
                <w:b w:val="0"/>
                <w:bCs w:val="0"/>
                <w:color w:val="auto"/>
                <w:kern w:val="2"/>
                <w:sz w:val="24"/>
                <w:szCs w:val="24"/>
                <w:lang w:val="en-US" w:eastAsia="zh-CN" w:bidi="ar"/>
              </w:rPr>
              <w:t>综上所述，本项目符合《浙江省人民政府关于印发浙江省空气质量持续改善行动计划的通知》要求。</w:t>
            </w:r>
          </w:p>
          <w:p w14:paraId="787B8077">
            <w:pPr>
              <w:keepNext w:val="0"/>
              <w:keepLines w:val="0"/>
              <w:widowControl w:val="0"/>
              <w:suppressLineNumbers w:val="0"/>
              <w:spacing w:before="0" w:beforeAutospacing="0" w:after="0" w:afterAutospacing="0" w:line="360" w:lineRule="auto"/>
              <w:ind w:left="0" w:right="0"/>
              <w:jc w:val="both"/>
              <w:rPr>
                <w:rFonts w:hint="eastAsia" w:ascii="Times New Roman" w:hAnsi="Times New Roman" w:eastAsia="宋体" w:cs="Times New Roman"/>
                <w:b/>
                <w:bCs/>
                <w:color w:val="auto"/>
                <w:kern w:val="2"/>
                <w:sz w:val="24"/>
                <w:szCs w:val="24"/>
              </w:rPr>
            </w:pPr>
            <w:r>
              <w:rPr>
                <w:rFonts w:hint="default" w:ascii="Times New Roman" w:hAnsi="Times New Roman" w:eastAsia="宋体" w:cs="Times New Roman"/>
                <w:b/>
                <w:bCs/>
                <w:color w:val="auto"/>
                <w:kern w:val="2"/>
                <w:sz w:val="24"/>
                <w:szCs w:val="24"/>
                <w:lang w:val="en-US" w:eastAsia="zh-CN" w:bidi="ar"/>
              </w:rPr>
              <w:t>1.2.1</w:t>
            </w:r>
            <w:r>
              <w:rPr>
                <w:rFonts w:hint="eastAsia" w:ascii="Times New Roman" w:hAnsi="Times New Roman" w:eastAsia="宋体" w:cs="Times New Roman"/>
                <w:b/>
                <w:bCs/>
                <w:color w:val="auto"/>
                <w:kern w:val="2"/>
                <w:sz w:val="24"/>
                <w:szCs w:val="24"/>
                <w:lang w:val="en-US" w:eastAsia="zh-CN" w:bidi="ar"/>
              </w:rPr>
              <w:t>3</w:t>
            </w:r>
            <w:r>
              <w:rPr>
                <w:rFonts w:hint="eastAsia" w:ascii="宋体" w:hAnsi="宋体" w:eastAsia="宋体" w:cs="宋体"/>
                <w:b/>
                <w:bCs/>
                <w:color w:val="auto"/>
                <w:kern w:val="2"/>
                <w:sz w:val="24"/>
                <w:szCs w:val="24"/>
                <w:lang w:val="en-US" w:eastAsia="zh-CN" w:bidi="ar"/>
              </w:rPr>
              <w:t xml:space="preserve">《浙江省节能降耗和能源资源优化配置“十四五”规划》符合性分析 </w:t>
            </w:r>
          </w:p>
          <w:p w14:paraId="4310AC97">
            <w:pPr>
              <w:keepNext w:val="0"/>
              <w:keepLines w:val="0"/>
              <w:widowControl w:val="0"/>
              <w:suppressLineNumbers w:val="0"/>
              <w:spacing w:before="0" w:beforeAutospacing="0" w:after="0" w:afterAutospacing="0" w:line="360" w:lineRule="auto"/>
              <w:ind w:left="0" w:right="0" w:firstLine="480" w:firstLineChars="200"/>
              <w:jc w:val="both"/>
              <w:rPr>
                <w:rFonts w:hint="eastAsia" w:ascii="Times New Roman" w:hAnsi="Times New Roman" w:eastAsia="宋体" w:cs="Times New Roman"/>
                <w:b w:val="0"/>
                <w:bCs w:val="0"/>
                <w:color w:val="auto"/>
                <w:kern w:val="2"/>
                <w:sz w:val="24"/>
                <w:szCs w:val="24"/>
              </w:rPr>
            </w:pPr>
            <w:r>
              <w:rPr>
                <w:rFonts w:hint="eastAsia" w:ascii="宋体" w:hAnsi="宋体" w:eastAsia="宋体" w:cs="宋体"/>
                <w:b w:val="0"/>
                <w:bCs w:val="0"/>
                <w:color w:val="auto"/>
                <w:kern w:val="2"/>
                <w:sz w:val="24"/>
                <w:szCs w:val="24"/>
                <w:lang w:val="en-US" w:eastAsia="zh-CN" w:bidi="ar"/>
              </w:rPr>
              <w:t>相关内容：严格控制“两高”项目盲目发展，以能源“双控”、碳达峰碳中和的强约束倒逼和引导产业全面绿色转型，坚决遏制地方“两高”项目盲目发展。建立能源“双控”与重大发展规划、重大产业平台规划、重点产业发展规划、年度重大项目前期计划和产业发展政策联动机制。研究制订严格控制地方新上“两高”项目的实施意见，对在建、拟建和存量“两高”项目开展分类处置，将已建“两高”项目全部纳入重点用能单位在线监测系统，强化对“两高”项目的闭环化管理。严格落实产业结构调整“四个一律”，对地方谋划新上的石化、化纤、水泥、钢铁和数据中心等高耗能行业项目进行严格控制。提高工业项目准入性标准，将“十四五”单位工业增加值能效控制标准降至</w:t>
            </w:r>
            <w:r>
              <w:rPr>
                <w:rFonts w:hint="default" w:ascii="Times New Roman" w:hAnsi="Times New Roman" w:eastAsia="宋体" w:cs="Times New Roman"/>
                <w:b w:val="0"/>
                <w:bCs w:val="0"/>
                <w:color w:val="auto"/>
                <w:kern w:val="2"/>
                <w:sz w:val="24"/>
                <w:szCs w:val="24"/>
                <w:lang w:val="en-US" w:eastAsia="zh-CN" w:bidi="ar"/>
              </w:rPr>
              <w:t>0.52</w:t>
            </w:r>
            <w:r>
              <w:rPr>
                <w:rFonts w:hint="eastAsia" w:ascii="宋体" w:hAnsi="宋体" w:eastAsia="宋体" w:cs="宋体"/>
                <w:b w:val="0"/>
                <w:bCs w:val="0"/>
                <w:color w:val="auto"/>
                <w:kern w:val="2"/>
                <w:sz w:val="24"/>
                <w:szCs w:val="24"/>
                <w:lang w:val="en-US" w:eastAsia="zh-CN" w:bidi="ar"/>
              </w:rPr>
              <w:t>吨标准煤</w:t>
            </w:r>
            <w:r>
              <w:rPr>
                <w:rFonts w:hint="default" w:ascii="Times New Roman" w:hAnsi="Times New Roman" w:eastAsia="宋体" w:cs="Times New Roman"/>
                <w:b w:val="0"/>
                <w:bCs w:val="0"/>
                <w:color w:val="auto"/>
                <w:kern w:val="2"/>
                <w:sz w:val="24"/>
                <w:szCs w:val="24"/>
                <w:lang w:val="en-US" w:eastAsia="zh-CN" w:bidi="ar"/>
              </w:rPr>
              <w:t>/</w:t>
            </w:r>
            <w:r>
              <w:rPr>
                <w:rFonts w:hint="eastAsia" w:ascii="宋体" w:hAnsi="宋体" w:eastAsia="宋体" w:cs="宋体"/>
                <w:b w:val="0"/>
                <w:bCs w:val="0"/>
                <w:color w:val="auto"/>
                <w:kern w:val="2"/>
                <w:sz w:val="24"/>
                <w:szCs w:val="24"/>
                <w:lang w:val="en-US" w:eastAsia="zh-CN" w:bidi="ar"/>
              </w:rPr>
              <w:t>万元，对超过标准的新上工业项目，严格落实产能和能耗减量（等量）替代、用能权交易等政策。强化对年综合能耗</w:t>
            </w:r>
            <w:r>
              <w:rPr>
                <w:rFonts w:hint="default" w:ascii="Times New Roman" w:hAnsi="Times New Roman" w:eastAsia="宋体" w:cs="Times New Roman"/>
                <w:b w:val="0"/>
                <w:bCs w:val="0"/>
                <w:color w:val="auto"/>
                <w:kern w:val="2"/>
                <w:sz w:val="24"/>
                <w:szCs w:val="24"/>
                <w:lang w:val="en-US" w:eastAsia="zh-CN" w:bidi="ar"/>
              </w:rPr>
              <w:t>5000</w:t>
            </w:r>
            <w:r>
              <w:rPr>
                <w:rFonts w:hint="eastAsia" w:ascii="宋体" w:hAnsi="宋体" w:eastAsia="宋体" w:cs="宋体"/>
                <w:b w:val="0"/>
                <w:bCs w:val="0"/>
                <w:color w:val="auto"/>
                <w:kern w:val="2"/>
                <w:sz w:val="24"/>
                <w:szCs w:val="24"/>
                <w:lang w:val="en-US" w:eastAsia="zh-CN" w:bidi="ar"/>
              </w:rPr>
              <w:t>吨标准煤以上高耗能项目的节能审查管理。根据碳达峰和能源“双控”对产业结构调整的总体要求，严格落实“四个一律”：</w:t>
            </w:r>
          </w:p>
          <w:p w14:paraId="102C57F3">
            <w:pPr>
              <w:keepNext w:val="0"/>
              <w:keepLines w:val="0"/>
              <w:widowControl w:val="0"/>
              <w:suppressLineNumbers w:val="0"/>
              <w:spacing w:before="0" w:beforeAutospacing="0" w:after="0" w:afterAutospacing="0" w:line="360" w:lineRule="auto"/>
              <w:ind w:left="0" w:right="0" w:firstLine="480" w:firstLineChars="200"/>
              <w:jc w:val="both"/>
              <w:rPr>
                <w:rFonts w:hint="eastAsia" w:ascii="Times New Roman" w:hAnsi="Times New Roman" w:eastAsia="宋体" w:cs="Times New Roman"/>
                <w:b w:val="0"/>
                <w:bCs w:val="0"/>
                <w:color w:val="auto"/>
                <w:kern w:val="2"/>
                <w:sz w:val="24"/>
                <w:szCs w:val="24"/>
              </w:rPr>
            </w:pPr>
            <w:r>
              <w:rPr>
                <w:rFonts w:hint="default" w:ascii="Times New Roman" w:hAnsi="Times New Roman" w:eastAsia="宋体" w:cs="Times New Roman"/>
                <w:b w:val="0"/>
                <w:bCs w:val="0"/>
                <w:color w:val="auto"/>
                <w:kern w:val="2"/>
                <w:sz w:val="24"/>
                <w:szCs w:val="24"/>
                <w:lang w:val="en-US" w:eastAsia="zh-CN" w:bidi="ar"/>
              </w:rPr>
              <w:t>1.</w:t>
            </w:r>
            <w:r>
              <w:rPr>
                <w:rFonts w:hint="eastAsia" w:ascii="宋体" w:hAnsi="宋体" w:eastAsia="宋体" w:cs="宋体"/>
                <w:b w:val="0"/>
                <w:bCs w:val="0"/>
                <w:color w:val="auto"/>
                <w:kern w:val="2"/>
                <w:sz w:val="24"/>
                <w:szCs w:val="24"/>
                <w:lang w:val="en-US" w:eastAsia="zh-CN" w:bidi="ar"/>
              </w:rPr>
              <w:t xml:space="preserve">对未纳入国家石化产业规划布局方案和国家能耗单列范围的重大石化项目，一律不予支持； </w:t>
            </w:r>
          </w:p>
          <w:p w14:paraId="43DB47E2">
            <w:pPr>
              <w:keepNext w:val="0"/>
              <w:keepLines w:val="0"/>
              <w:widowControl w:val="0"/>
              <w:suppressLineNumbers w:val="0"/>
              <w:spacing w:before="0" w:beforeAutospacing="0" w:after="0" w:afterAutospacing="0" w:line="360" w:lineRule="auto"/>
              <w:ind w:left="0" w:right="0" w:firstLine="480" w:firstLineChars="200"/>
              <w:jc w:val="both"/>
              <w:rPr>
                <w:rFonts w:hint="eastAsia" w:ascii="Times New Roman" w:hAnsi="Times New Roman" w:eastAsia="宋体" w:cs="Times New Roman"/>
                <w:b w:val="0"/>
                <w:bCs w:val="0"/>
                <w:color w:val="auto"/>
                <w:kern w:val="2"/>
                <w:sz w:val="24"/>
                <w:szCs w:val="24"/>
              </w:rPr>
            </w:pPr>
            <w:r>
              <w:rPr>
                <w:rFonts w:hint="default" w:ascii="Times New Roman" w:hAnsi="Times New Roman" w:eastAsia="宋体" w:cs="Times New Roman"/>
                <w:b w:val="0"/>
                <w:bCs w:val="0"/>
                <w:color w:val="auto"/>
                <w:kern w:val="2"/>
                <w:sz w:val="24"/>
                <w:szCs w:val="24"/>
                <w:lang w:val="en-US" w:eastAsia="zh-CN" w:bidi="ar"/>
              </w:rPr>
              <w:t>2.</w:t>
            </w:r>
            <w:r>
              <w:rPr>
                <w:rFonts w:hint="eastAsia" w:ascii="宋体" w:hAnsi="宋体" w:eastAsia="宋体" w:cs="宋体"/>
                <w:b w:val="0"/>
                <w:bCs w:val="0"/>
                <w:color w:val="auto"/>
                <w:kern w:val="2"/>
                <w:sz w:val="24"/>
                <w:szCs w:val="24"/>
                <w:lang w:val="en-US" w:eastAsia="zh-CN" w:bidi="ar"/>
              </w:rPr>
              <w:t xml:space="preserve">对没有产能置换和能耗等量减量替代方案的化工、化纤、印染、有色金属等项目，一律不予支持； </w:t>
            </w:r>
          </w:p>
          <w:p w14:paraId="2BF8DF10">
            <w:pPr>
              <w:keepNext w:val="0"/>
              <w:keepLines w:val="0"/>
              <w:widowControl w:val="0"/>
              <w:suppressLineNumbers w:val="0"/>
              <w:spacing w:before="0" w:beforeAutospacing="0" w:after="0" w:afterAutospacing="0" w:line="360" w:lineRule="auto"/>
              <w:ind w:left="0" w:right="0" w:firstLine="480" w:firstLineChars="200"/>
              <w:jc w:val="both"/>
              <w:rPr>
                <w:rFonts w:hint="eastAsia" w:ascii="Times New Roman" w:hAnsi="Times New Roman" w:eastAsia="宋体" w:cs="Times New Roman"/>
                <w:b w:val="0"/>
                <w:bCs w:val="0"/>
                <w:color w:val="auto"/>
                <w:kern w:val="2"/>
                <w:sz w:val="24"/>
                <w:szCs w:val="24"/>
              </w:rPr>
            </w:pPr>
            <w:r>
              <w:rPr>
                <w:rFonts w:hint="default" w:ascii="Times New Roman" w:hAnsi="Times New Roman" w:eastAsia="宋体" w:cs="Times New Roman"/>
                <w:b w:val="0"/>
                <w:bCs w:val="0"/>
                <w:color w:val="auto"/>
                <w:kern w:val="2"/>
                <w:sz w:val="24"/>
                <w:szCs w:val="24"/>
                <w:lang w:val="en-US" w:eastAsia="zh-CN" w:bidi="ar"/>
              </w:rPr>
              <w:t>3.</w:t>
            </w:r>
            <w:r>
              <w:rPr>
                <w:rFonts w:hint="eastAsia" w:ascii="宋体" w:hAnsi="宋体" w:eastAsia="宋体" w:cs="宋体"/>
                <w:b w:val="0"/>
                <w:bCs w:val="0"/>
                <w:color w:val="auto"/>
                <w:kern w:val="2"/>
                <w:sz w:val="24"/>
                <w:szCs w:val="24"/>
                <w:lang w:val="en-US" w:eastAsia="zh-CN" w:bidi="ar"/>
              </w:rPr>
              <w:t xml:space="preserve">对能效水平未达到国际国内行业领先的产业链供应链补短板的重大高能耗项目，一律不予支持； </w:t>
            </w:r>
          </w:p>
          <w:p w14:paraId="51FFA4B2">
            <w:pPr>
              <w:keepNext w:val="0"/>
              <w:keepLines w:val="0"/>
              <w:widowControl w:val="0"/>
              <w:suppressLineNumbers w:val="0"/>
              <w:spacing w:before="0" w:beforeAutospacing="0" w:after="0" w:afterAutospacing="0" w:line="360" w:lineRule="auto"/>
              <w:ind w:left="0" w:right="0" w:firstLine="480" w:firstLineChars="200"/>
              <w:jc w:val="both"/>
              <w:rPr>
                <w:rFonts w:hint="eastAsia" w:ascii="Times New Roman" w:hAnsi="Times New Roman" w:eastAsia="宋体" w:cs="Times New Roman"/>
                <w:b w:val="0"/>
                <w:bCs w:val="0"/>
                <w:color w:val="auto"/>
                <w:kern w:val="2"/>
                <w:sz w:val="24"/>
                <w:szCs w:val="24"/>
              </w:rPr>
            </w:pPr>
            <w:r>
              <w:rPr>
                <w:rFonts w:hint="default" w:ascii="Times New Roman" w:hAnsi="Times New Roman" w:eastAsia="宋体" w:cs="Times New Roman"/>
                <w:b w:val="0"/>
                <w:bCs w:val="0"/>
                <w:color w:val="auto"/>
                <w:kern w:val="2"/>
                <w:sz w:val="24"/>
                <w:szCs w:val="24"/>
                <w:lang w:val="en-US" w:eastAsia="zh-CN" w:bidi="ar"/>
              </w:rPr>
              <w:t>4.</w:t>
            </w:r>
            <w:r>
              <w:rPr>
                <w:rFonts w:hint="eastAsia" w:ascii="宋体" w:hAnsi="宋体" w:eastAsia="宋体" w:cs="宋体"/>
                <w:b w:val="0"/>
                <w:bCs w:val="0"/>
                <w:color w:val="auto"/>
                <w:kern w:val="2"/>
                <w:sz w:val="24"/>
                <w:szCs w:val="24"/>
                <w:lang w:val="en-US" w:eastAsia="zh-CN" w:bidi="ar"/>
              </w:rPr>
              <w:t xml:space="preserve">对未纳入省数据中心布局方案和能耗等量替代的数据中心项目，一律不予支持。 </w:t>
            </w:r>
          </w:p>
          <w:p w14:paraId="67D448E3">
            <w:pPr>
              <w:keepNext w:val="0"/>
              <w:keepLines w:val="0"/>
              <w:widowControl w:val="0"/>
              <w:suppressLineNumbers w:val="0"/>
              <w:spacing w:before="0" w:beforeAutospacing="0" w:after="0" w:afterAutospacing="0" w:line="360" w:lineRule="auto"/>
              <w:ind w:left="0" w:right="0" w:firstLine="482" w:firstLineChars="200"/>
              <w:jc w:val="both"/>
              <w:rPr>
                <w:rFonts w:hint="eastAsia" w:ascii="Times New Roman" w:hAnsi="Times New Roman" w:eastAsia="宋体" w:cs="Times New Roman"/>
                <w:b w:val="0"/>
                <w:bCs w:val="0"/>
                <w:color w:val="auto"/>
                <w:kern w:val="2"/>
                <w:sz w:val="24"/>
                <w:szCs w:val="24"/>
              </w:rPr>
            </w:pPr>
            <w:r>
              <w:rPr>
                <w:rFonts w:hint="eastAsia" w:ascii="宋体" w:hAnsi="宋体" w:eastAsia="宋体" w:cs="宋体"/>
                <w:b/>
                <w:bCs/>
                <w:color w:val="auto"/>
                <w:kern w:val="2"/>
                <w:sz w:val="24"/>
                <w:szCs w:val="24"/>
                <w:lang w:val="en-US" w:eastAsia="zh-CN" w:bidi="ar"/>
              </w:rPr>
              <w:t>符合性分析：</w:t>
            </w:r>
            <w:r>
              <w:rPr>
                <w:rFonts w:hint="eastAsia" w:ascii="宋体" w:hAnsi="宋体" w:eastAsia="宋体" w:cs="宋体"/>
                <w:b w:val="0"/>
                <w:bCs w:val="0"/>
                <w:color w:val="auto"/>
                <w:kern w:val="2"/>
                <w:sz w:val="24"/>
                <w:szCs w:val="24"/>
                <w:lang w:val="en-US" w:eastAsia="zh-CN" w:bidi="ar"/>
              </w:rPr>
              <w:t>本项目实施后企业电力由国网安吉供电公司供应，用水由安吉县水务公司供应。项目建成后通过内部管理、设备选择，原辅材料的选用和管理、合理的污染治理设施选型等，以“节能、降耗、减污”为目的。根据本项目长三角（湖州）产业合作区固定资产项目节能审查承诺</w:t>
            </w:r>
            <w:r>
              <w:rPr>
                <w:rFonts w:hint="default" w:ascii="Times New Roman" w:hAnsi="Times New Roman" w:eastAsia="宋体" w:cs="Times New Roman"/>
                <w:b w:val="0"/>
                <w:bCs w:val="0"/>
                <w:color w:val="auto"/>
                <w:kern w:val="2"/>
                <w:sz w:val="24"/>
                <w:szCs w:val="24"/>
                <w:highlight w:val="none"/>
                <w:shd w:val="clear"/>
                <w:lang w:val="en-US" w:eastAsia="zh-CN" w:bidi="ar"/>
              </w:rPr>
              <w:t>表（附件9），</w:t>
            </w:r>
            <w:r>
              <w:rPr>
                <w:rFonts w:hint="eastAsia" w:ascii="宋体" w:hAnsi="宋体" w:eastAsia="宋体" w:cs="宋体"/>
                <w:b w:val="0"/>
                <w:bCs w:val="0"/>
                <w:color w:val="auto"/>
                <w:kern w:val="2"/>
                <w:sz w:val="24"/>
                <w:szCs w:val="24"/>
                <w:lang w:val="en-US" w:eastAsia="zh-CN" w:bidi="ar"/>
              </w:rPr>
              <w:t>本项目年用电量</w:t>
            </w:r>
            <w:r>
              <w:rPr>
                <w:rFonts w:hint="default" w:ascii="Times New Roman" w:hAnsi="Times New Roman" w:eastAsia="宋体" w:cs="Times New Roman"/>
                <w:b w:val="0"/>
                <w:bCs w:val="0"/>
                <w:color w:val="auto"/>
                <w:kern w:val="2"/>
                <w:sz w:val="24"/>
                <w:szCs w:val="24"/>
                <w:lang w:val="en-US" w:eastAsia="zh-CN" w:bidi="ar"/>
              </w:rPr>
              <w:t>518.34</w:t>
            </w:r>
            <w:r>
              <w:rPr>
                <w:rFonts w:hint="eastAsia" w:ascii="宋体" w:hAnsi="宋体" w:eastAsia="宋体" w:cs="宋体"/>
                <w:b w:val="0"/>
                <w:bCs w:val="0"/>
                <w:color w:val="auto"/>
                <w:kern w:val="2"/>
                <w:sz w:val="24"/>
                <w:szCs w:val="24"/>
                <w:lang w:val="en-US" w:eastAsia="zh-CN" w:bidi="ar"/>
              </w:rPr>
              <w:t>万</w:t>
            </w:r>
            <w:r>
              <w:rPr>
                <w:rFonts w:hint="default" w:ascii="Times New Roman" w:hAnsi="Times New Roman" w:eastAsia="宋体" w:cs="Times New Roman"/>
                <w:b w:val="0"/>
                <w:bCs w:val="0"/>
                <w:color w:val="auto"/>
                <w:kern w:val="2"/>
                <w:sz w:val="24"/>
                <w:szCs w:val="24"/>
                <w:lang w:val="en-US" w:eastAsia="zh-CN" w:bidi="ar"/>
              </w:rPr>
              <w:t>kWh/a</w:t>
            </w:r>
            <w:r>
              <w:rPr>
                <w:rFonts w:hint="eastAsia" w:ascii="宋体" w:hAnsi="宋体" w:eastAsia="宋体" w:cs="宋体"/>
                <w:b w:val="0"/>
                <w:bCs w:val="0"/>
                <w:color w:val="auto"/>
                <w:kern w:val="2"/>
                <w:sz w:val="24"/>
                <w:szCs w:val="24"/>
                <w:lang w:val="en-US" w:eastAsia="zh-CN" w:bidi="ar"/>
              </w:rPr>
              <w:t>，年耗能量</w:t>
            </w:r>
            <w:r>
              <w:rPr>
                <w:rFonts w:hint="default" w:ascii="Times New Roman" w:hAnsi="Times New Roman" w:eastAsia="宋体" w:cs="Times New Roman"/>
                <w:b w:val="0"/>
                <w:bCs w:val="0"/>
                <w:color w:val="auto"/>
                <w:kern w:val="2"/>
                <w:sz w:val="24"/>
                <w:szCs w:val="24"/>
                <w:lang w:val="en-US" w:eastAsia="zh-CN" w:bidi="ar"/>
              </w:rPr>
              <w:t>637.040tce</w:t>
            </w:r>
            <w:r>
              <w:rPr>
                <w:rFonts w:hint="eastAsia" w:ascii="宋体" w:hAnsi="宋体" w:eastAsia="宋体" w:cs="宋体"/>
                <w:b w:val="0"/>
                <w:bCs w:val="0"/>
                <w:color w:val="auto"/>
                <w:kern w:val="2"/>
                <w:sz w:val="24"/>
                <w:szCs w:val="24"/>
                <w:lang w:val="en-US" w:eastAsia="zh-CN" w:bidi="ar"/>
              </w:rPr>
              <w:t>（当量值），</w:t>
            </w:r>
            <w:r>
              <w:rPr>
                <w:rFonts w:hint="default" w:ascii="Times New Roman" w:hAnsi="Times New Roman" w:eastAsia="宋体" w:cs="Times New Roman"/>
                <w:b w:val="0"/>
                <w:bCs w:val="0"/>
                <w:color w:val="auto"/>
                <w:kern w:val="2"/>
                <w:sz w:val="24"/>
                <w:szCs w:val="24"/>
                <w:lang w:val="en-US" w:eastAsia="zh-CN" w:bidi="ar"/>
              </w:rPr>
              <w:t>1466.902tce</w:t>
            </w:r>
            <w:r>
              <w:rPr>
                <w:rFonts w:hint="eastAsia" w:ascii="宋体" w:hAnsi="宋体" w:eastAsia="宋体" w:cs="宋体"/>
                <w:b w:val="0"/>
                <w:bCs w:val="0"/>
                <w:color w:val="auto"/>
                <w:kern w:val="2"/>
                <w:sz w:val="24"/>
                <w:szCs w:val="24"/>
                <w:lang w:val="en-US" w:eastAsia="zh-CN" w:bidi="ar"/>
              </w:rPr>
              <w:t>（等价值），工业增加值</w:t>
            </w:r>
            <w:r>
              <w:rPr>
                <w:rFonts w:hint="default" w:ascii="Times New Roman" w:hAnsi="Times New Roman" w:eastAsia="宋体" w:cs="Times New Roman"/>
                <w:b w:val="0"/>
                <w:bCs w:val="0"/>
                <w:color w:val="auto"/>
                <w:kern w:val="2"/>
                <w:sz w:val="24"/>
                <w:szCs w:val="24"/>
                <w:lang w:val="en-US" w:eastAsia="zh-CN" w:bidi="ar"/>
              </w:rPr>
              <w:t>5343.38</w:t>
            </w:r>
            <w:r>
              <w:rPr>
                <w:rFonts w:hint="eastAsia" w:ascii="宋体" w:hAnsi="宋体" w:eastAsia="宋体" w:cs="宋体"/>
                <w:b w:val="0"/>
                <w:bCs w:val="0"/>
                <w:color w:val="auto"/>
                <w:kern w:val="2"/>
                <w:sz w:val="24"/>
                <w:szCs w:val="24"/>
                <w:lang w:val="en-US" w:eastAsia="zh-CN" w:bidi="ar"/>
              </w:rPr>
              <w:t>万元（现价，可比价为</w:t>
            </w:r>
            <w:r>
              <w:rPr>
                <w:rFonts w:hint="default" w:ascii="Times New Roman" w:hAnsi="Times New Roman" w:eastAsia="宋体" w:cs="Times New Roman"/>
                <w:b w:val="0"/>
                <w:bCs w:val="0"/>
                <w:color w:val="auto"/>
                <w:kern w:val="2"/>
                <w:sz w:val="24"/>
                <w:szCs w:val="24"/>
                <w:lang w:val="en-US" w:eastAsia="zh-CN" w:bidi="ar"/>
              </w:rPr>
              <w:t>5108.39</w:t>
            </w:r>
            <w:r>
              <w:rPr>
                <w:rFonts w:hint="eastAsia" w:ascii="宋体" w:hAnsi="宋体" w:eastAsia="宋体" w:cs="宋体"/>
                <w:b w:val="0"/>
                <w:bCs w:val="0"/>
                <w:color w:val="auto"/>
                <w:kern w:val="2"/>
                <w:sz w:val="24"/>
                <w:szCs w:val="24"/>
                <w:lang w:val="en-US" w:eastAsia="zh-CN" w:bidi="ar"/>
              </w:rPr>
              <w:t>万元），</w:t>
            </w:r>
            <w:r>
              <w:rPr>
                <w:rFonts w:hint="default" w:ascii="Times New Roman" w:hAnsi="Times New Roman" w:eastAsia="宋体" w:cs="Times New Roman"/>
                <w:b w:val="0"/>
                <w:bCs w:val="0"/>
                <w:color w:val="auto"/>
                <w:kern w:val="2"/>
                <w:sz w:val="24"/>
                <w:szCs w:val="24"/>
                <w:lang w:val="en-US" w:eastAsia="zh-CN" w:bidi="ar"/>
              </w:rPr>
              <w:t>单位工业增加值能耗为0.275tce/万元（现价，可比价为0.287tce/万元）</w:t>
            </w:r>
            <w:r>
              <w:rPr>
                <w:rFonts w:hint="eastAsia" w:ascii="宋体" w:hAnsi="宋体" w:eastAsia="宋体" w:cs="宋体"/>
                <w:b w:val="0"/>
                <w:bCs w:val="0"/>
                <w:color w:val="auto"/>
                <w:kern w:val="2"/>
                <w:sz w:val="24"/>
                <w:szCs w:val="24"/>
                <w:lang w:val="en-US" w:eastAsia="zh-CN" w:bidi="ar"/>
              </w:rPr>
              <w:t>，低于浙江省“十四五”能耗预期控制目标</w:t>
            </w:r>
            <w:r>
              <w:rPr>
                <w:rFonts w:hint="default" w:ascii="Times New Roman" w:hAnsi="Times New Roman" w:eastAsia="宋体" w:cs="Times New Roman"/>
                <w:b w:val="0"/>
                <w:bCs w:val="0"/>
                <w:color w:val="auto"/>
                <w:kern w:val="2"/>
                <w:sz w:val="24"/>
                <w:szCs w:val="24"/>
                <w:lang w:val="en-US" w:eastAsia="zh-CN" w:bidi="ar"/>
              </w:rPr>
              <w:t>0.52tce/</w:t>
            </w:r>
            <w:r>
              <w:rPr>
                <w:rFonts w:hint="eastAsia" w:ascii="宋体" w:hAnsi="宋体" w:eastAsia="宋体" w:cs="宋体"/>
                <w:b w:val="0"/>
                <w:bCs w:val="0"/>
                <w:color w:val="auto"/>
                <w:kern w:val="2"/>
                <w:sz w:val="24"/>
                <w:szCs w:val="24"/>
                <w:lang w:val="en-US" w:eastAsia="zh-CN" w:bidi="ar"/>
              </w:rPr>
              <w:t>万元。根据分析，本项目基本符合《浙江省节能降耗和能源资源优化配置“十四五”规划》。</w:t>
            </w:r>
          </w:p>
          <w:p w14:paraId="07F68141">
            <w:pPr>
              <w:keepNext w:val="0"/>
              <w:keepLines w:val="0"/>
              <w:widowControl w:val="0"/>
              <w:suppressLineNumbers w:val="0"/>
              <w:spacing w:before="0" w:beforeAutospacing="0" w:after="0" w:afterAutospacing="0" w:line="360" w:lineRule="auto"/>
              <w:ind w:left="0" w:right="0"/>
              <w:jc w:val="both"/>
              <w:rPr>
                <w:rFonts w:hint="default" w:ascii="Times New Roman" w:hAnsi="Times New Roman" w:eastAsia="宋体" w:cs="Times New Roman"/>
                <w:b/>
                <w:bCs/>
                <w:color w:val="auto"/>
                <w:kern w:val="2"/>
                <w:sz w:val="24"/>
                <w:szCs w:val="24"/>
              </w:rPr>
            </w:pPr>
            <w:r>
              <w:rPr>
                <w:rFonts w:hint="default" w:ascii="Times New Roman" w:hAnsi="Times New Roman" w:eastAsia="宋体" w:cs="Times New Roman"/>
                <w:b/>
                <w:bCs/>
                <w:color w:val="auto"/>
                <w:kern w:val="2"/>
                <w:sz w:val="24"/>
                <w:szCs w:val="24"/>
                <w:lang w:val="en-US" w:eastAsia="zh-CN" w:bidi="ar"/>
              </w:rPr>
              <w:t>1.2.1</w:t>
            </w:r>
            <w:r>
              <w:rPr>
                <w:rFonts w:hint="default" w:ascii="Times New Roman" w:hAnsi="Times New Roman" w:eastAsia="宋体" w:cs="Times New Roman"/>
                <w:b/>
                <w:bCs/>
                <w:color w:val="00B050"/>
                <w:kern w:val="2"/>
                <w:sz w:val="24"/>
                <w:szCs w:val="24"/>
                <w:lang w:val="en-US" w:eastAsia="zh-CN" w:bidi="ar"/>
              </w:rPr>
              <w:t>4《浙江省建设项目环境保护管理办法》（浙江省人民政府令第418号，2026年修订）符合性分析</w:t>
            </w:r>
          </w:p>
          <w:p w14:paraId="437C3B8D">
            <w:pPr>
              <w:keepNext w:val="0"/>
              <w:keepLines w:val="0"/>
              <w:widowControl w:val="0"/>
              <w:suppressLineNumbers w:val="0"/>
              <w:spacing w:before="0" w:beforeAutospacing="0" w:after="0" w:afterAutospacing="0" w:line="360" w:lineRule="auto"/>
              <w:ind w:left="0" w:right="0" w:firstLine="480" w:firstLineChars="200"/>
              <w:jc w:val="both"/>
              <w:rPr>
                <w:rFonts w:hint="default" w:ascii="Times New Roman" w:hAnsi="Times New Roman" w:eastAsia="宋体" w:cs="Times New Roman"/>
                <w:color w:val="auto"/>
                <w:kern w:val="2"/>
                <w:sz w:val="24"/>
                <w:szCs w:val="24"/>
              </w:rPr>
            </w:pPr>
            <w:r>
              <w:rPr>
                <w:rFonts w:hint="eastAsia" w:ascii="宋体" w:hAnsi="宋体" w:eastAsia="宋体" w:cs="宋体"/>
                <w:color w:val="00B050"/>
                <w:kern w:val="2"/>
                <w:sz w:val="24"/>
                <w:szCs w:val="24"/>
                <w:lang w:val="en-US" w:eastAsia="zh-CN" w:bidi="ar"/>
              </w:rPr>
              <w:t>《</w:t>
            </w:r>
            <w:r>
              <w:rPr>
                <w:rFonts w:hint="default" w:ascii="Times New Roman" w:hAnsi="Times New Roman" w:eastAsia="宋体" w:cs="Times New Roman"/>
                <w:color w:val="00B050"/>
                <w:kern w:val="2"/>
                <w:sz w:val="24"/>
                <w:szCs w:val="24"/>
                <w:lang w:val="en-US" w:eastAsia="zh-CN" w:bidi="ar"/>
              </w:rPr>
              <w:t>浙江省建设项目环境保护管理办法》（浙江省人民政府令第418号）于2026年9月5日起施行</w:t>
            </w:r>
            <w:r>
              <w:rPr>
                <w:rFonts w:hint="eastAsia" w:ascii="宋体" w:hAnsi="宋体" w:eastAsia="宋体" w:cs="宋体"/>
                <w:color w:val="auto"/>
                <w:kern w:val="2"/>
                <w:sz w:val="24"/>
                <w:szCs w:val="24"/>
                <w:lang w:val="en-US" w:eastAsia="zh-CN" w:bidi="ar"/>
              </w:rPr>
              <w:t>，环评审批原则如下：</w:t>
            </w:r>
          </w:p>
          <w:p w14:paraId="156DFD83">
            <w:pPr>
              <w:keepNext w:val="0"/>
              <w:keepLines w:val="0"/>
              <w:widowControl w:val="0"/>
              <w:suppressLineNumbers w:val="0"/>
              <w:spacing w:before="0" w:beforeAutospacing="0" w:after="0" w:afterAutospacing="0" w:line="360" w:lineRule="auto"/>
              <w:ind w:left="0" w:right="0" w:firstLine="480" w:firstLineChars="200"/>
              <w:jc w:val="both"/>
              <w:rPr>
                <w:rFonts w:hint="eastAsia" w:ascii="宋体" w:hAnsi="宋体" w:eastAsia="宋体" w:cs="宋体"/>
                <w:color w:val="00B050"/>
                <w:kern w:val="2"/>
                <w:sz w:val="24"/>
                <w:szCs w:val="24"/>
                <w:lang w:val="en-US" w:eastAsia="zh-CN" w:bidi="ar"/>
              </w:rPr>
            </w:pPr>
            <w:r>
              <w:rPr>
                <w:rFonts w:hint="eastAsia" w:ascii="宋体" w:hAnsi="宋体" w:eastAsia="宋体" w:cs="宋体"/>
                <w:color w:val="00B050"/>
                <w:kern w:val="2"/>
                <w:sz w:val="24"/>
                <w:szCs w:val="24"/>
                <w:lang w:val="en-US" w:eastAsia="zh-CN" w:bidi="ar"/>
              </w:rPr>
              <w:t>（</w:t>
            </w:r>
            <w:r>
              <w:rPr>
                <w:rFonts w:hint="default" w:ascii="Times New Roman" w:hAnsi="Times New Roman" w:eastAsia="宋体" w:cs="Times New Roman"/>
                <w:color w:val="00B050"/>
                <w:kern w:val="2"/>
                <w:sz w:val="24"/>
                <w:szCs w:val="24"/>
                <w:lang w:val="en-US" w:eastAsia="zh-CN" w:bidi="ar"/>
              </w:rPr>
              <w:t>1</w:t>
            </w:r>
            <w:r>
              <w:rPr>
                <w:rFonts w:hint="eastAsia" w:ascii="宋体" w:hAnsi="宋体" w:eastAsia="宋体" w:cs="宋体"/>
                <w:color w:val="00B050"/>
                <w:kern w:val="2"/>
                <w:sz w:val="24"/>
                <w:szCs w:val="24"/>
                <w:lang w:val="en-US" w:eastAsia="zh-CN" w:bidi="ar"/>
              </w:rPr>
              <w:t>）建设项目应当符合生态保护红线、环境质量底线、资源利用上线和生态环境准入清单管控的要求。</w:t>
            </w:r>
          </w:p>
          <w:p w14:paraId="48F1B735">
            <w:pPr>
              <w:keepNext w:val="0"/>
              <w:keepLines w:val="0"/>
              <w:widowControl w:val="0"/>
              <w:suppressLineNumbers w:val="0"/>
              <w:spacing w:before="0" w:beforeAutospacing="0" w:after="0" w:afterAutospacing="0" w:line="360" w:lineRule="auto"/>
              <w:ind w:left="0" w:right="0" w:firstLine="480" w:firstLineChars="200"/>
              <w:jc w:val="both"/>
              <w:rPr>
                <w:rFonts w:hint="default" w:ascii="Times New Roman" w:hAnsi="Times New Roman" w:eastAsia="宋体" w:cs="Times New Roman"/>
                <w:color w:val="auto"/>
                <w:kern w:val="2"/>
                <w:sz w:val="24"/>
                <w:szCs w:val="24"/>
              </w:rPr>
            </w:pPr>
            <w:r>
              <w:rPr>
                <w:rFonts w:hint="eastAsia" w:ascii="宋体" w:hAnsi="宋体" w:eastAsia="宋体" w:cs="宋体"/>
                <w:color w:val="auto"/>
                <w:kern w:val="2"/>
                <w:sz w:val="24"/>
                <w:szCs w:val="24"/>
                <w:lang w:val="en-US" w:eastAsia="zh-CN" w:bidi="ar"/>
              </w:rPr>
              <w:t>根据上文</w:t>
            </w:r>
            <w:r>
              <w:rPr>
                <w:rFonts w:hint="eastAsia" w:ascii="Times New Roman" w:hAnsi="Times New Roman" w:eastAsia="宋体" w:cs="Times New Roman"/>
                <w:color w:val="auto"/>
                <w:kern w:val="2"/>
                <w:sz w:val="24"/>
                <w:szCs w:val="24"/>
                <w:lang w:val="en-US" w:eastAsia="zh-CN" w:bidi="ar"/>
              </w:rPr>
              <w:t>“</w:t>
            </w:r>
            <w:r>
              <w:rPr>
                <w:rFonts w:hint="eastAsia" w:ascii="宋体" w:hAnsi="宋体" w:eastAsia="宋体" w:cs="宋体"/>
                <w:color w:val="auto"/>
                <w:kern w:val="2"/>
                <w:sz w:val="24"/>
                <w:szCs w:val="24"/>
                <w:lang w:val="en-US" w:eastAsia="zh-CN" w:bidi="ar"/>
              </w:rPr>
              <w:t>安吉县环境管控单元准入清单</w:t>
            </w:r>
            <w:r>
              <w:rPr>
                <w:rFonts w:hint="eastAsia" w:ascii="Times New Roman" w:hAnsi="Times New Roman" w:eastAsia="宋体" w:cs="Times New Roman"/>
                <w:color w:val="auto"/>
                <w:kern w:val="2"/>
                <w:sz w:val="24"/>
                <w:szCs w:val="24"/>
                <w:lang w:val="en-US" w:eastAsia="zh-CN" w:bidi="ar"/>
              </w:rPr>
              <w:t>”</w:t>
            </w:r>
            <w:r>
              <w:rPr>
                <w:rFonts w:hint="eastAsia" w:ascii="宋体" w:hAnsi="宋体" w:eastAsia="宋体" w:cs="宋体"/>
                <w:color w:val="auto"/>
                <w:kern w:val="2"/>
                <w:sz w:val="24"/>
                <w:szCs w:val="24"/>
                <w:lang w:val="en-US" w:eastAsia="zh-CN" w:bidi="ar"/>
              </w:rPr>
              <w:t>可知，本项目建设符合生态保护红线、环境质量底线、资源利用上线和生态环境准入清单管控的要求。</w:t>
            </w:r>
          </w:p>
          <w:p w14:paraId="746FA116">
            <w:pPr>
              <w:keepNext w:val="0"/>
              <w:keepLines w:val="0"/>
              <w:widowControl w:val="0"/>
              <w:suppressLineNumbers w:val="0"/>
              <w:spacing w:before="0" w:beforeAutospacing="0" w:after="0" w:afterAutospacing="0" w:line="360" w:lineRule="auto"/>
              <w:ind w:left="0" w:right="0" w:firstLine="480" w:firstLineChars="200"/>
              <w:jc w:val="both"/>
              <w:rPr>
                <w:rFonts w:hint="eastAsia" w:ascii="宋体" w:hAnsi="宋体" w:eastAsia="宋体" w:cs="宋体"/>
                <w:color w:val="00B050"/>
                <w:kern w:val="2"/>
                <w:sz w:val="24"/>
                <w:szCs w:val="24"/>
                <w:lang w:val="en-US" w:eastAsia="zh-CN" w:bidi="ar"/>
              </w:rPr>
            </w:pPr>
            <w:r>
              <w:rPr>
                <w:rFonts w:hint="eastAsia" w:ascii="宋体" w:hAnsi="宋体" w:eastAsia="宋体" w:cs="宋体"/>
                <w:color w:val="00B050"/>
                <w:kern w:val="2"/>
                <w:sz w:val="24"/>
                <w:szCs w:val="24"/>
                <w:lang w:val="en-US" w:eastAsia="zh-CN" w:bidi="ar"/>
              </w:rPr>
              <w:t>（</w:t>
            </w:r>
            <w:r>
              <w:rPr>
                <w:rFonts w:hint="default" w:ascii="Times New Roman" w:hAnsi="Times New Roman" w:eastAsia="宋体" w:cs="Times New Roman"/>
                <w:color w:val="00B050"/>
                <w:kern w:val="2"/>
                <w:sz w:val="24"/>
                <w:szCs w:val="24"/>
                <w:lang w:val="en-US" w:eastAsia="zh-CN" w:bidi="ar"/>
              </w:rPr>
              <w:t>2</w:t>
            </w:r>
            <w:r>
              <w:rPr>
                <w:rFonts w:hint="eastAsia" w:ascii="宋体" w:hAnsi="宋体" w:eastAsia="宋体" w:cs="宋体"/>
                <w:color w:val="00B050"/>
                <w:kern w:val="2"/>
                <w:sz w:val="24"/>
                <w:szCs w:val="24"/>
                <w:lang w:val="en-US" w:eastAsia="zh-CN" w:bidi="ar"/>
              </w:rPr>
              <w:t>）排放污染物应当符合国家、省规定的污染物排放标准和重点污染物排放控制总量控制要求。</w:t>
            </w:r>
          </w:p>
          <w:p w14:paraId="0E3EB4E5">
            <w:pPr>
              <w:keepNext w:val="0"/>
              <w:keepLines w:val="0"/>
              <w:widowControl w:val="0"/>
              <w:suppressLineNumbers w:val="0"/>
              <w:spacing w:before="0" w:beforeAutospacing="0" w:after="0" w:afterAutospacing="0" w:line="360" w:lineRule="auto"/>
              <w:ind w:left="0" w:right="0" w:firstLine="480" w:firstLineChars="200"/>
              <w:jc w:val="both"/>
              <w:rPr>
                <w:rFonts w:hint="default" w:ascii="Times New Roman" w:hAnsi="Times New Roman" w:eastAsia="宋体" w:cs="Times New Roman"/>
                <w:color w:val="auto"/>
                <w:kern w:val="2"/>
                <w:sz w:val="24"/>
                <w:szCs w:val="24"/>
              </w:rPr>
            </w:pPr>
            <w:r>
              <w:rPr>
                <w:rFonts w:hint="eastAsia" w:ascii="宋体" w:hAnsi="宋体" w:eastAsia="宋体" w:cs="宋体"/>
                <w:color w:val="auto"/>
                <w:kern w:val="2"/>
                <w:sz w:val="24"/>
                <w:szCs w:val="24"/>
                <w:lang w:val="en-US" w:eastAsia="zh-CN" w:bidi="ar"/>
              </w:rPr>
              <w:t>本项目实施后，所有总量经当地生态环境主管部门批准并通过排污权交易取得后，与总量控制原则是相符的。</w:t>
            </w:r>
          </w:p>
          <w:p w14:paraId="64557496">
            <w:pPr>
              <w:keepNext w:val="0"/>
              <w:keepLines w:val="0"/>
              <w:widowControl w:val="0"/>
              <w:suppressLineNumbers w:val="0"/>
              <w:spacing w:before="0" w:beforeAutospacing="0" w:after="0" w:afterAutospacing="0" w:line="360" w:lineRule="auto"/>
              <w:ind w:left="0" w:right="0" w:firstLine="480" w:firstLineChars="200"/>
              <w:jc w:val="both"/>
              <w:rPr>
                <w:rFonts w:hint="eastAsia" w:ascii="宋体" w:hAnsi="宋体" w:eastAsia="宋体" w:cs="宋体"/>
                <w:color w:val="00B050"/>
                <w:kern w:val="2"/>
                <w:sz w:val="24"/>
                <w:szCs w:val="24"/>
                <w:lang w:val="en-US" w:eastAsia="zh-CN" w:bidi="ar"/>
              </w:rPr>
            </w:pPr>
            <w:r>
              <w:rPr>
                <w:rFonts w:hint="eastAsia" w:ascii="宋体" w:hAnsi="宋体" w:eastAsia="宋体" w:cs="宋体"/>
                <w:color w:val="00B050"/>
                <w:kern w:val="2"/>
                <w:sz w:val="24"/>
                <w:szCs w:val="24"/>
                <w:lang w:val="en-US" w:eastAsia="zh-CN" w:bidi="ar"/>
              </w:rPr>
              <w:t>（</w:t>
            </w:r>
            <w:r>
              <w:rPr>
                <w:rFonts w:hint="default" w:ascii="Times New Roman" w:hAnsi="Times New Roman" w:eastAsia="宋体" w:cs="Times New Roman"/>
                <w:color w:val="00B050"/>
                <w:kern w:val="2"/>
                <w:sz w:val="24"/>
                <w:szCs w:val="24"/>
                <w:lang w:val="en-US" w:eastAsia="zh-CN" w:bidi="ar"/>
              </w:rPr>
              <w:t>3</w:t>
            </w:r>
            <w:r>
              <w:rPr>
                <w:rFonts w:hint="eastAsia" w:ascii="宋体" w:hAnsi="宋体" w:eastAsia="宋体" w:cs="宋体"/>
                <w:color w:val="00B050"/>
                <w:kern w:val="2"/>
                <w:sz w:val="24"/>
                <w:szCs w:val="24"/>
                <w:lang w:val="en-US" w:eastAsia="zh-CN" w:bidi="ar"/>
              </w:rPr>
              <w:t>）建设项目还应符合国土空间规划、国家和省产业政策等要求。</w:t>
            </w:r>
          </w:p>
          <w:p w14:paraId="15B20EBE">
            <w:pPr>
              <w:keepNext w:val="0"/>
              <w:keepLines w:val="0"/>
              <w:widowControl w:val="0"/>
              <w:suppressLineNumbers w:val="0"/>
              <w:spacing w:before="0" w:beforeAutospacing="0" w:after="0" w:afterAutospacing="0" w:line="360" w:lineRule="auto"/>
              <w:ind w:left="0" w:right="0" w:firstLine="480" w:firstLineChars="200"/>
              <w:jc w:val="both"/>
              <w:rPr>
                <w:rFonts w:hint="default" w:ascii="Times New Roman" w:hAnsi="Times New Roman" w:eastAsia="宋体" w:cs="Times New Roman"/>
                <w:color w:val="auto"/>
                <w:kern w:val="2"/>
                <w:sz w:val="24"/>
                <w:szCs w:val="24"/>
              </w:rPr>
            </w:pPr>
            <w:r>
              <w:rPr>
                <w:rFonts w:hint="eastAsia" w:ascii="宋体" w:hAnsi="宋体" w:eastAsia="宋体" w:cs="宋体"/>
                <w:color w:val="auto"/>
                <w:kern w:val="2"/>
                <w:sz w:val="24"/>
                <w:szCs w:val="24"/>
                <w:lang w:val="en-US" w:eastAsia="zh-CN" w:bidi="ar"/>
              </w:rPr>
              <w:t>本项目行业类别为</w:t>
            </w:r>
            <w:r>
              <w:rPr>
                <w:rFonts w:hint="default" w:ascii="Times New Roman" w:hAnsi="Times New Roman" w:eastAsia="宋体" w:cs="Times New Roman"/>
                <w:color w:val="auto"/>
                <w:kern w:val="2"/>
                <w:sz w:val="24"/>
                <w:szCs w:val="24"/>
                <w:lang w:val="en-US" w:eastAsia="zh-CN" w:bidi="ar"/>
              </w:rPr>
              <w:t>C3670</w:t>
            </w:r>
            <w:r>
              <w:rPr>
                <w:rFonts w:hint="eastAsia" w:ascii="宋体" w:hAnsi="宋体" w:eastAsia="宋体" w:cs="宋体"/>
                <w:color w:val="auto"/>
                <w:kern w:val="2"/>
                <w:sz w:val="24"/>
                <w:szCs w:val="24"/>
                <w:lang w:val="en-US" w:eastAsia="zh-CN" w:bidi="ar"/>
              </w:rPr>
              <w:t>汽车零部件及配件制造、</w:t>
            </w:r>
            <w:r>
              <w:rPr>
                <w:rFonts w:hint="default" w:ascii="Times New Roman" w:hAnsi="Times New Roman" w:eastAsia="宋体" w:cs="Times New Roman"/>
                <w:color w:val="auto"/>
                <w:kern w:val="2"/>
                <w:sz w:val="24"/>
                <w:szCs w:val="24"/>
                <w:lang w:val="en-US" w:eastAsia="zh-CN" w:bidi="ar"/>
              </w:rPr>
              <w:t>C2929</w:t>
            </w:r>
            <w:r>
              <w:rPr>
                <w:rFonts w:hint="eastAsia" w:ascii="宋体" w:hAnsi="宋体" w:eastAsia="宋体" w:cs="宋体"/>
                <w:color w:val="auto"/>
                <w:kern w:val="2"/>
                <w:sz w:val="24"/>
                <w:szCs w:val="24"/>
                <w:lang w:val="en-US" w:eastAsia="zh-CN" w:bidi="ar"/>
              </w:rPr>
              <w:t>塑料零件及其他塑料制品制造、</w:t>
            </w:r>
            <w:r>
              <w:rPr>
                <w:rFonts w:hint="default" w:ascii="Times New Roman" w:hAnsi="Times New Roman" w:eastAsia="宋体" w:cs="Times New Roman"/>
                <w:color w:val="auto"/>
                <w:kern w:val="2"/>
                <w:sz w:val="24"/>
                <w:szCs w:val="24"/>
                <w:lang w:val="en-US" w:eastAsia="zh-CN" w:bidi="ar"/>
              </w:rPr>
              <w:t>C3034</w:t>
            </w:r>
            <w:r>
              <w:rPr>
                <w:rFonts w:hint="eastAsia" w:ascii="宋体" w:hAnsi="宋体" w:eastAsia="宋体" w:cs="宋体"/>
                <w:color w:val="auto"/>
                <w:kern w:val="2"/>
                <w:sz w:val="24"/>
                <w:szCs w:val="24"/>
                <w:lang w:val="en-US" w:eastAsia="zh-CN" w:bidi="ar"/>
              </w:rPr>
              <w:t>隔热和隔音材料制造，位于浙江省湖州市安吉县天子湖镇长隆路</w:t>
            </w:r>
            <w:r>
              <w:rPr>
                <w:rFonts w:hint="default" w:ascii="Times New Roman" w:hAnsi="Times New Roman" w:eastAsia="宋体" w:cs="Times New Roman"/>
                <w:color w:val="auto"/>
                <w:kern w:val="2"/>
                <w:sz w:val="24"/>
                <w:szCs w:val="24"/>
                <w:lang w:val="en-US" w:eastAsia="zh-CN" w:bidi="ar"/>
              </w:rPr>
              <w:t>398</w:t>
            </w:r>
            <w:r>
              <w:rPr>
                <w:rFonts w:hint="eastAsia" w:ascii="宋体" w:hAnsi="宋体" w:eastAsia="宋体" w:cs="宋体"/>
                <w:color w:val="auto"/>
                <w:kern w:val="2"/>
                <w:sz w:val="24"/>
                <w:szCs w:val="24"/>
                <w:lang w:val="en-US" w:eastAsia="zh-CN" w:bidi="ar"/>
              </w:rPr>
              <w:t>号，用地属于工业用地。因此，本项目实施符合主体功能区划、土地利用总体规划的要求。</w:t>
            </w:r>
          </w:p>
          <w:p w14:paraId="43930EBE">
            <w:pPr>
              <w:keepNext w:val="0"/>
              <w:keepLines w:val="0"/>
              <w:widowControl w:val="0"/>
              <w:suppressLineNumbers w:val="0"/>
              <w:spacing w:before="0" w:beforeAutospacing="0" w:after="0" w:afterAutospacing="0" w:line="360" w:lineRule="auto"/>
              <w:ind w:left="0" w:right="0" w:firstLine="480" w:firstLineChars="200"/>
              <w:jc w:val="both"/>
              <w:rPr>
                <w:rFonts w:hint="eastAsia" w:ascii="Times New Roman" w:hAnsi="Times New Roman" w:eastAsia="宋体" w:cs="Times New Roman"/>
                <w:color w:val="auto"/>
                <w:kern w:val="2"/>
                <w:sz w:val="24"/>
                <w:szCs w:val="24"/>
              </w:rPr>
            </w:pPr>
            <w:r>
              <w:rPr>
                <w:rFonts w:hint="eastAsia" w:ascii="宋体" w:hAnsi="宋体" w:eastAsia="宋体" w:cs="宋体"/>
                <w:color w:val="auto"/>
                <w:kern w:val="2"/>
                <w:sz w:val="24"/>
                <w:szCs w:val="24"/>
                <w:lang w:val="en-US" w:eastAsia="zh-CN" w:bidi="ar"/>
              </w:rPr>
              <w:t>根据《国民经济行业分类》（</w:t>
            </w:r>
            <w:r>
              <w:rPr>
                <w:rFonts w:hint="default" w:ascii="Times New Roman" w:hAnsi="Times New Roman" w:eastAsia="宋体" w:cs="Times New Roman"/>
                <w:color w:val="auto"/>
                <w:kern w:val="2"/>
                <w:sz w:val="24"/>
                <w:szCs w:val="24"/>
                <w:lang w:val="en-US" w:eastAsia="zh-CN" w:bidi="ar"/>
              </w:rPr>
              <w:t>GB/T4754-2017</w:t>
            </w:r>
            <w:r>
              <w:rPr>
                <w:rFonts w:hint="eastAsia" w:ascii="宋体" w:hAnsi="宋体" w:eastAsia="宋体" w:cs="宋体"/>
                <w:color w:val="auto"/>
                <w:kern w:val="2"/>
                <w:sz w:val="24"/>
                <w:szCs w:val="24"/>
                <w:lang w:val="en-US" w:eastAsia="zh-CN" w:bidi="ar"/>
              </w:rPr>
              <w:t>），本项目行业类别为</w:t>
            </w:r>
            <w:r>
              <w:rPr>
                <w:rFonts w:hint="eastAsia" w:ascii="Times New Roman" w:hAnsi="Times New Roman" w:eastAsia="宋体" w:cs="Times New Roman"/>
                <w:color w:val="auto"/>
                <w:kern w:val="2"/>
                <w:sz w:val="24"/>
                <w:szCs w:val="24"/>
                <w:lang w:val="en-US" w:eastAsia="zh-CN" w:bidi="ar"/>
              </w:rPr>
              <w:t>“</w:t>
            </w:r>
            <w:r>
              <w:rPr>
                <w:rFonts w:hint="default" w:ascii="Times New Roman" w:hAnsi="Times New Roman" w:eastAsia="宋体" w:cs="Times New Roman"/>
                <w:color w:val="auto"/>
                <w:kern w:val="2"/>
                <w:sz w:val="24"/>
                <w:szCs w:val="24"/>
                <w:lang w:val="en-US" w:eastAsia="zh-CN" w:bidi="ar"/>
              </w:rPr>
              <w:t>C3670</w:t>
            </w:r>
            <w:r>
              <w:rPr>
                <w:rFonts w:hint="eastAsia" w:ascii="宋体" w:hAnsi="宋体" w:eastAsia="宋体" w:cs="宋体"/>
                <w:color w:val="auto"/>
                <w:kern w:val="2"/>
                <w:sz w:val="24"/>
                <w:szCs w:val="24"/>
                <w:lang w:val="en-US" w:eastAsia="zh-CN" w:bidi="ar"/>
              </w:rPr>
              <w:t>汽车零部件及配件制造、</w:t>
            </w:r>
            <w:r>
              <w:rPr>
                <w:rFonts w:hint="default" w:ascii="Times New Roman" w:hAnsi="Times New Roman" w:eastAsia="宋体" w:cs="Times New Roman"/>
                <w:color w:val="auto"/>
                <w:kern w:val="2"/>
                <w:sz w:val="24"/>
                <w:szCs w:val="24"/>
                <w:lang w:val="en-US" w:eastAsia="zh-CN" w:bidi="ar"/>
              </w:rPr>
              <w:t>C2929</w:t>
            </w:r>
            <w:r>
              <w:rPr>
                <w:rFonts w:hint="eastAsia" w:ascii="宋体" w:hAnsi="宋体" w:eastAsia="宋体" w:cs="宋体"/>
                <w:color w:val="auto"/>
                <w:kern w:val="2"/>
                <w:sz w:val="24"/>
                <w:szCs w:val="24"/>
                <w:lang w:val="en-US" w:eastAsia="zh-CN" w:bidi="ar"/>
              </w:rPr>
              <w:t>塑料零件及其他塑料制品制造、</w:t>
            </w:r>
            <w:r>
              <w:rPr>
                <w:rFonts w:hint="default" w:ascii="Times New Roman" w:hAnsi="Times New Roman" w:eastAsia="宋体" w:cs="Times New Roman"/>
                <w:color w:val="auto"/>
                <w:kern w:val="2"/>
                <w:sz w:val="24"/>
                <w:szCs w:val="24"/>
                <w:lang w:val="en-US" w:eastAsia="zh-CN" w:bidi="ar"/>
              </w:rPr>
              <w:t>C3034</w:t>
            </w:r>
            <w:r>
              <w:rPr>
                <w:rFonts w:hint="eastAsia" w:ascii="宋体" w:hAnsi="宋体" w:eastAsia="宋体" w:cs="宋体"/>
                <w:color w:val="auto"/>
                <w:kern w:val="2"/>
                <w:sz w:val="24"/>
                <w:szCs w:val="24"/>
                <w:lang w:val="en-US" w:eastAsia="zh-CN" w:bidi="ar"/>
              </w:rPr>
              <w:t>隔热和隔音材料制造</w:t>
            </w:r>
            <w:r>
              <w:rPr>
                <w:rFonts w:hint="eastAsia" w:ascii="Times New Roman" w:hAnsi="Times New Roman" w:eastAsia="宋体" w:cs="Times New Roman"/>
                <w:color w:val="auto"/>
                <w:kern w:val="2"/>
                <w:sz w:val="24"/>
                <w:szCs w:val="24"/>
                <w:lang w:val="en-US" w:eastAsia="zh-CN" w:bidi="ar"/>
              </w:rPr>
              <w:t>”</w:t>
            </w:r>
            <w:r>
              <w:rPr>
                <w:rFonts w:hint="eastAsia" w:ascii="宋体" w:hAnsi="宋体" w:eastAsia="宋体" w:cs="宋体"/>
                <w:color w:val="auto"/>
                <w:kern w:val="2"/>
                <w:sz w:val="24"/>
                <w:szCs w:val="24"/>
                <w:lang w:val="en-US" w:eastAsia="zh-CN" w:bidi="ar"/>
              </w:rPr>
              <w:t>，不属于国家发改委《产业结构调整指导目录（</w:t>
            </w:r>
            <w:r>
              <w:rPr>
                <w:rFonts w:hint="default" w:ascii="Times New Roman" w:hAnsi="Times New Roman" w:eastAsia="宋体" w:cs="Times New Roman"/>
                <w:color w:val="auto"/>
                <w:kern w:val="2"/>
                <w:sz w:val="24"/>
                <w:szCs w:val="24"/>
                <w:lang w:val="en-US" w:eastAsia="zh-CN" w:bidi="ar"/>
              </w:rPr>
              <w:t>2021</w:t>
            </w:r>
            <w:r>
              <w:rPr>
                <w:rFonts w:hint="eastAsia" w:ascii="宋体" w:hAnsi="宋体" w:eastAsia="宋体" w:cs="宋体"/>
                <w:color w:val="auto"/>
                <w:kern w:val="2"/>
                <w:sz w:val="24"/>
                <w:szCs w:val="24"/>
                <w:lang w:val="en-US" w:eastAsia="zh-CN" w:bidi="ar"/>
              </w:rPr>
              <w:t>年修订本）》以及《湖州市产业发展导向目录（</w:t>
            </w:r>
            <w:r>
              <w:rPr>
                <w:rFonts w:hint="default" w:ascii="Times New Roman" w:hAnsi="Times New Roman" w:eastAsia="宋体" w:cs="Times New Roman"/>
                <w:color w:val="auto"/>
                <w:kern w:val="2"/>
                <w:sz w:val="24"/>
                <w:szCs w:val="24"/>
                <w:lang w:val="en-US" w:eastAsia="zh-CN" w:bidi="ar"/>
              </w:rPr>
              <w:t>2012</w:t>
            </w:r>
            <w:r>
              <w:rPr>
                <w:rFonts w:hint="eastAsia" w:ascii="宋体" w:hAnsi="宋体" w:eastAsia="宋体" w:cs="宋体"/>
                <w:color w:val="auto"/>
                <w:kern w:val="2"/>
                <w:sz w:val="24"/>
                <w:szCs w:val="24"/>
                <w:lang w:val="en-US" w:eastAsia="zh-CN" w:bidi="ar"/>
              </w:rPr>
              <w:t>年本）》中限制类和禁止类项目，且已取得长三角（湖州）产业合作区备案（项目代码</w:t>
            </w:r>
            <w:r>
              <w:rPr>
                <w:rFonts w:hint="default" w:ascii="Times New Roman" w:hAnsi="Times New Roman" w:eastAsia="宋体" w:cs="Times New Roman"/>
                <w:color w:val="auto"/>
                <w:kern w:val="2"/>
                <w:sz w:val="24"/>
                <w:szCs w:val="24"/>
                <w:lang w:val="en-US" w:eastAsia="zh-CN" w:bidi="ar"/>
              </w:rPr>
              <w:t>2512-330554-04-02-214750</w:t>
            </w:r>
            <w:r>
              <w:rPr>
                <w:rFonts w:hint="eastAsia" w:ascii="宋体" w:hAnsi="宋体" w:eastAsia="宋体" w:cs="宋体"/>
                <w:color w:val="auto"/>
                <w:kern w:val="2"/>
                <w:sz w:val="24"/>
                <w:szCs w:val="24"/>
                <w:lang w:val="en-US" w:eastAsia="zh-CN" w:bidi="ar"/>
              </w:rPr>
              <w:t>），符合当地产业政策。</w:t>
            </w:r>
          </w:p>
          <w:p w14:paraId="35C5F482">
            <w:pPr>
              <w:keepNext w:val="0"/>
              <w:keepLines w:val="0"/>
              <w:suppressLineNumbers w:val="0"/>
              <w:spacing w:before="0" w:beforeAutospacing="0" w:after="0" w:afterAutospacing="0" w:line="360" w:lineRule="auto"/>
              <w:ind w:left="0" w:right="0"/>
              <w:rPr>
                <w:rFonts w:hint="eastAsia" w:ascii="Times New Roman" w:hAnsi="Times New Roman" w:eastAsia="宋体" w:cs="Times New Roman"/>
                <w:b/>
                <w:bCs/>
                <w:color w:val="auto"/>
                <w:sz w:val="24"/>
              </w:rPr>
            </w:pPr>
            <w:r>
              <w:rPr>
                <w:rFonts w:hint="eastAsia" w:ascii="Times New Roman" w:hAnsi="Times New Roman" w:eastAsia="宋体" w:cs="Times New Roman"/>
                <w:b/>
                <w:bCs/>
                <w:color w:val="auto"/>
                <w:sz w:val="24"/>
                <w:lang w:val="en-US" w:eastAsia="zh-CN"/>
              </w:rPr>
              <w:t>1.2.15</w:t>
            </w:r>
            <w:r>
              <w:rPr>
                <w:rFonts w:hint="eastAsia" w:ascii="Times New Roman" w:hAnsi="Times New Roman" w:eastAsia="宋体" w:cs="Times New Roman"/>
                <w:b/>
                <w:bCs/>
                <w:color w:val="auto"/>
                <w:sz w:val="24"/>
                <w:lang w:eastAsia="zh-CN"/>
              </w:rPr>
              <w:t>“</w:t>
            </w:r>
            <w:r>
              <w:rPr>
                <w:rFonts w:hint="eastAsia" w:ascii="Times New Roman" w:hAnsi="Times New Roman" w:eastAsia="宋体" w:cs="Times New Roman"/>
                <w:b/>
                <w:bCs/>
                <w:color w:val="auto"/>
                <w:sz w:val="24"/>
              </w:rPr>
              <w:t>四性五不批</w:t>
            </w:r>
            <w:r>
              <w:rPr>
                <w:rFonts w:hint="eastAsia" w:ascii="Times New Roman" w:hAnsi="Times New Roman" w:eastAsia="宋体" w:cs="Times New Roman"/>
                <w:b/>
                <w:bCs/>
                <w:color w:val="auto"/>
                <w:sz w:val="24"/>
                <w:lang w:eastAsia="zh-CN"/>
              </w:rPr>
              <w:t>”</w:t>
            </w:r>
            <w:r>
              <w:rPr>
                <w:rFonts w:hint="eastAsia" w:ascii="Times New Roman" w:hAnsi="Times New Roman" w:eastAsia="宋体" w:cs="Times New Roman"/>
                <w:b/>
                <w:bCs/>
                <w:color w:val="auto"/>
                <w:sz w:val="24"/>
              </w:rPr>
              <w:t>符合性分析</w:t>
            </w:r>
          </w:p>
          <w:p w14:paraId="3CFA3061">
            <w:pPr>
              <w:keepNext w:val="0"/>
              <w:keepLines w:val="0"/>
              <w:widowControl w:val="0"/>
              <w:suppressLineNumbers w:val="0"/>
              <w:spacing w:before="0" w:beforeAutospacing="0" w:after="0" w:afterAutospacing="0" w:line="360" w:lineRule="auto"/>
              <w:ind w:left="0" w:right="0" w:firstLine="480" w:firstLineChars="200"/>
              <w:jc w:val="both"/>
              <w:rPr>
                <w:rFonts w:hint="default" w:ascii="Times New Roman" w:hAnsi="Times New Roman" w:eastAsia="宋体" w:cs="Times New Roman"/>
                <w:color w:val="auto"/>
                <w:kern w:val="2"/>
                <w:sz w:val="24"/>
                <w:szCs w:val="24"/>
                <w:lang w:val="en-US" w:eastAsia="zh-CN" w:bidi="ar"/>
              </w:rPr>
            </w:pPr>
            <w:r>
              <w:rPr>
                <w:rFonts w:hint="default" w:ascii="Times New Roman" w:hAnsi="Times New Roman" w:eastAsia="宋体" w:cs="Times New Roman"/>
                <w:color w:val="auto"/>
                <w:kern w:val="2"/>
                <w:sz w:val="24"/>
                <w:szCs w:val="24"/>
                <w:lang w:val="en-US" w:eastAsia="zh-CN" w:bidi="ar"/>
              </w:rPr>
              <w:t>对照《建设项目环境保护管理条例》（国务院令第682号，2017年7月16日修订版）和《中华人民共和国生态环境法典》的要求进行符合性分析，具体见下表。</w:t>
            </w:r>
          </w:p>
          <w:p w14:paraId="0641E8F6">
            <w:pPr>
              <w:keepNext w:val="0"/>
              <w:keepLines w:val="0"/>
              <w:suppressLineNumbers w:val="0"/>
              <w:spacing w:before="0" w:beforeAutospacing="0" w:after="0" w:afterAutospacing="0"/>
              <w:ind w:left="0" w:right="0"/>
              <w:jc w:val="center"/>
              <w:rPr>
                <w:rFonts w:hint="default" w:ascii="Times New Roman" w:hAnsi="Times New Roman" w:eastAsia="宋体" w:cs="Times New Roman"/>
                <w:b/>
                <w:bCs/>
                <w:color w:val="auto"/>
              </w:rPr>
            </w:pPr>
            <w:r>
              <w:rPr>
                <w:rFonts w:hint="eastAsia" w:ascii="Times New Roman" w:hAnsi="Times New Roman" w:eastAsia="宋体" w:cs="Times New Roman"/>
                <w:b/>
                <w:bCs/>
                <w:color w:val="auto"/>
              </w:rPr>
              <w:t>表</w:t>
            </w:r>
            <w:r>
              <w:rPr>
                <w:rFonts w:hint="default" w:ascii="Times New Roman" w:hAnsi="Times New Roman" w:eastAsia="宋体" w:cs="Times New Roman"/>
                <w:b/>
                <w:bCs/>
                <w:color w:val="auto"/>
              </w:rPr>
              <w:t>1-</w:t>
            </w:r>
            <w:r>
              <w:rPr>
                <w:rFonts w:hint="eastAsia" w:ascii="Times New Roman" w:hAnsi="Times New Roman" w:eastAsia="宋体" w:cs="Times New Roman"/>
                <w:b/>
                <w:bCs/>
                <w:color w:val="auto"/>
                <w:lang w:val="en-US" w:eastAsia="zh-CN"/>
              </w:rPr>
              <w:t>19</w:t>
            </w:r>
            <w:r>
              <w:rPr>
                <w:rFonts w:hint="default" w:ascii="Times New Roman" w:hAnsi="Times New Roman" w:eastAsia="宋体" w:cs="Times New Roman"/>
                <w:b/>
                <w:bCs/>
                <w:color w:val="auto"/>
              </w:rPr>
              <w:t xml:space="preserve"> </w:t>
            </w:r>
            <w:r>
              <w:rPr>
                <w:rFonts w:hint="eastAsia" w:ascii="Times New Roman" w:hAnsi="Times New Roman" w:eastAsia="宋体" w:cs="Times New Roman"/>
                <w:b/>
                <w:bCs/>
                <w:color w:val="auto"/>
              </w:rPr>
              <w:t xml:space="preserve"> 《建设项目环境保护管理条例》（国务院令第682号，2017年7月16日修订版）</w:t>
            </w:r>
            <w:r>
              <w:rPr>
                <w:rFonts w:hint="eastAsia" w:ascii="Times New Roman" w:hAnsi="Times New Roman" w:eastAsia="宋体" w:cs="Times New Roman"/>
                <w:b/>
                <w:bCs/>
                <w:color w:val="auto"/>
                <w:lang w:val="en-US" w:eastAsia="zh-CN"/>
              </w:rPr>
              <w:t>和《中华人民共和国生态环境法典》要求</w:t>
            </w:r>
            <w:r>
              <w:rPr>
                <w:rFonts w:hint="eastAsia" w:ascii="Times New Roman" w:hAnsi="Times New Roman" w:eastAsia="宋体" w:cs="Times New Roman"/>
                <w:b/>
                <w:bCs/>
                <w:color w:val="auto"/>
              </w:rPr>
              <w:t>（</w:t>
            </w:r>
            <w:r>
              <w:rPr>
                <w:rFonts w:hint="eastAsia" w:ascii="Times New Roman" w:hAnsi="Times New Roman" w:eastAsia="宋体" w:cs="Times New Roman"/>
                <w:b/>
                <w:bCs/>
                <w:color w:val="auto"/>
                <w:lang w:eastAsia="zh-CN"/>
              </w:rPr>
              <w:t>“</w:t>
            </w:r>
            <w:r>
              <w:rPr>
                <w:rFonts w:hint="eastAsia" w:ascii="Times New Roman" w:hAnsi="Times New Roman" w:eastAsia="宋体" w:cs="Times New Roman"/>
                <w:b/>
                <w:bCs/>
                <w:color w:val="auto"/>
              </w:rPr>
              <w:t>四性五不批</w:t>
            </w:r>
            <w:r>
              <w:rPr>
                <w:rFonts w:hint="eastAsia" w:ascii="Times New Roman" w:hAnsi="Times New Roman" w:eastAsia="宋体" w:cs="Times New Roman"/>
                <w:b/>
                <w:bCs/>
                <w:color w:val="auto"/>
                <w:lang w:eastAsia="zh-CN"/>
              </w:rPr>
              <w:t>”</w:t>
            </w:r>
            <w:r>
              <w:rPr>
                <w:rFonts w:hint="eastAsia" w:ascii="Times New Roman" w:hAnsi="Times New Roman" w:eastAsia="宋体" w:cs="Times New Roman"/>
                <w:b/>
                <w:bCs/>
                <w:color w:val="auto"/>
              </w:rPr>
              <w:t>）符合性分析</w:t>
            </w:r>
          </w:p>
          <w:tbl>
            <w:tblPr>
              <w:tblStyle w:val="23"/>
              <w:tblW w:w="4999"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86"/>
              <w:gridCol w:w="3188"/>
              <w:gridCol w:w="3405"/>
              <w:gridCol w:w="898"/>
            </w:tblGrid>
            <w:tr w14:paraId="78F19C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3674" w:type="dxa"/>
                  <w:gridSpan w:val="2"/>
                  <w:vAlign w:val="center"/>
                </w:tcPr>
                <w:p w14:paraId="2992CEA8">
                  <w:pPr>
                    <w:keepNext w:val="0"/>
                    <w:keepLines w:val="0"/>
                    <w:suppressLineNumbers w:val="0"/>
                    <w:spacing w:before="0" w:beforeAutospacing="0" w:after="0" w:afterAutospacing="0"/>
                    <w:ind w:left="0" w:right="0"/>
                    <w:jc w:val="center"/>
                    <w:rPr>
                      <w:rFonts w:hint="default" w:ascii="Times New Roman" w:hAnsi="Times New Roman" w:eastAsia="宋体" w:cs="Times New Roman"/>
                      <w:b/>
                      <w:bCs/>
                      <w:color w:val="auto"/>
                      <w:szCs w:val="21"/>
                    </w:rPr>
                  </w:pPr>
                  <w:r>
                    <w:rPr>
                      <w:rFonts w:hint="default" w:ascii="Times New Roman" w:hAnsi="Times New Roman" w:eastAsia="宋体" w:cs="Times New Roman"/>
                      <w:b/>
                      <w:bCs/>
                      <w:color w:val="auto"/>
                      <w:szCs w:val="21"/>
                    </w:rPr>
                    <w:t>建设项目环境保护管理条例</w:t>
                  </w:r>
                </w:p>
              </w:tc>
              <w:tc>
                <w:tcPr>
                  <w:tcW w:w="3405" w:type="dxa"/>
                  <w:vAlign w:val="center"/>
                </w:tcPr>
                <w:p w14:paraId="000EB9BC">
                  <w:pPr>
                    <w:keepNext w:val="0"/>
                    <w:keepLines w:val="0"/>
                    <w:suppressLineNumbers w:val="0"/>
                    <w:spacing w:before="0" w:beforeAutospacing="0" w:after="0" w:afterAutospacing="0"/>
                    <w:ind w:left="0" w:right="0"/>
                    <w:jc w:val="center"/>
                    <w:rPr>
                      <w:rFonts w:hint="default" w:ascii="Times New Roman" w:hAnsi="Times New Roman" w:eastAsia="宋体" w:cs="Times New Roman"/>
                      <w:b/>
                      <w:bCs/>
                      <w:color w:val="auto"/>
                      <w:szCs w:val="21"/>
                    </w:rPr>
                  </w:pPr>
                  <w:r>
                    <w:rPr>
                      <w:rFonts w:hint="default" w:ascii="Times New Roman" w:hAnsi="Times New Roman" w:eastAsia="宋体" w:cs="Times New Roman"/>
                      <w:b/>
                      <w:bCs/>
                      <w:color w:val="auto"/>
                      <w:szCs w:val="21"/>
                    </w:rPr>
                    <w:t>本项目情况</w:t>
                  </w:r>
                </w:p>
              </w:tc>
              <w:tc>
                <w:tcPr>
                  <w:tcW w:w="898" w:type="dxa"/>
                  <w:vAlign w:val="center"/>
                </w:tcPr>
                <w:p w14:paraId="4FF80556">
                  <w:pPr>
                    <w:keepNext w:val="0"/>
                    <w:keepLines w:val="0"/>
                    <w:suppressLineNumbers w:val="0"/>
                    <w:spacing w:before="0" w:beforeAutospacing="0" w:after="0" w:afterAutospacing="0"/>
                    <w:ind w:left="0" w:right="0"/>
                    <w:jc w:val="center"/>
                    <w:rPr>
                      <w:rFonts w:hint="default" w:ascii="Times New Roman" w:hAnsi="Times New Roman" w:eastAsia="宋体" w:cs="Times New Roman"/>
                      <w:b/>
                      <w:bCs/>
                      <w:color w:val="auto"/>
                      <w:szCs w:val="21"/>
                      <w:lang w:val="en-US" w:eastAsia="zh-CN"/>
                    </w:rPr>
                  </w:pPr>
                  <w:r>
                    <w:rPr>
                      <w:rFonts w:hint="eastAsia" w:ascii="Times New Roman" w:hAnsi="Times New Roman" w:eastAsia="宋体" w:cs="Times New Roman"/>
                      <w:b/>
                      <w:bCs/>
                      <w:color w:val="auto"/>
                      <w:szCs w:val="21"/>
                      <w:lang w:val="en-US" w:eastAsia="zh-CN"/>
                    </w:rPr>
                    <w:t>是否符合</w:t>
                  </w:r>
                </w:p>
              </w:tc>
            </w:tr>
            <w:tr w14:paraId="4DBEBD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486" w:type="dxa"/>
                  <w:vMerge w:val="restart"/>
                  <w:vAlign w:val="center"/>
                </w:tcPr>
                <w:p w14:paraId="6803E27E">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rPr>
                    <w:t>四性</w:t>
                  </w:r>
                </w:p>
              </w:tc>
              <w:tc>
                <w:tcPr>
                  <w:tcW w:w="3188" w:type="dxa"/>
                  <w:vAlign w:val="center"/>
                </w:tcPr>
                <w:p w14:paraId="7814F23B">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rPr>
                    <w:t>建设项目的环境可行性</w:t>
                  </w:r>
                </w:p>
              </w:tc>
              <w:tc>
                <w:tcPr>
                  <w:tcW w:w="3405" w:type="dxa"/>
                  <w:vAlign w:val="center"/>
                </w:tcPr>
                <w:p w14:paraId="569DC84E">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rPr>
                    <w:t>本项目位于浙江省湖州市安吉县天子湖镇长隆路398号，符合</w:t>
                  </w:r>
                  <w:r>
                    <w:rPr>
                      <w:rFonts w:hint="default" w:ascii="Times New Roman" w:hAnsi="Times New Roman" w:eastAsia="宋体" w:cs="Times New Roman"/>
                      <w:color w:val="auto"/>
                      <w:szCs w:val="21"/>
                      <w:lang w:val="en-US" w:eastAsia="zh-CN"/>
                    </w:rPr>
                    <w:t>《安吉县生态环境分区管控动态更新方案》（安政发[2024]7号）</w:t>
                  </w:r>
                  <w:r>
                    <w:rPr>
                      <w:rFonts w:hint="default" w:ascii="Times New Roman" w:hAnsi="Times New Roman" w:eastAsia="宋体" w:cs="Times New Roman"/>
                      <w:color w:val="auto"/>
                      <w:szCs w:val="21"/>
                    </w:rPr>
                    <w:t>要求，选址可行</w:t>
                  </w:r>
                </w:p>
              </w:tc>
              <w:tc>
                <w:tcPr>
                  <w:tcW w:w="898" w:type="dxa"/>
                  <w:vAlign w:val="center"/>
                </w:tcPr>
                <w:p w14:paraId="7E1A3060">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rPr>
                    <w:t>符合</w:t>
                  </w:r>
                </w:p>
              </w:tc>
            </w:tr>
            <w:tr w14:paraId="35DA09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486" w:type="dxa"/>
                  <w:vMerge w:val="continue"/>
                  <w:vAlign w:val="center"/>
                </w:tcPr>
                <w:p w14:paraId="296A3DFB">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p>
              </w:tc>
              <w:tc>
                <w:tcPr>
                  <w:tcW w:w="3188" w:type="dxa"/>
                  <w:vAlign w:val="center"/>
                </w:tcPr>
                <w:p w14:paraId="6BD8995A">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rPr>
                    <w:t>环境影响分析预测评估的可靠性</w:t>
                  </w:r>
                </w:p>
              </w:tc>
              <w:tc>
                <w:tcPr>
                  <w:tcW w:w="3405" w:type="dxa"/>
                  <w:vAlign w:val="center"/>
                </w:tcPr>
                <w:p w14:paraId="6F80035C">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rPr>
                    <w:t>本项目根据相关导则和报告表编制技术指南中的相关要求，对项目产生的环境影响进行分析预测评估，结果可靠</w:t>
                  </w:r>
                </w:p>
              </w:tc>
              <w:tc>
                <w:tcPr>
                  <w:tcW w:w="898" w:type="dxa"/>
                  <w:vAlign w:val="center"/>
                </w:tcPr>
                <w:p w14:paraId="1D0DCF65">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rPr>
                    <w:t>符合</w:t>
                  </w:r>
                </w:p>
              </w:tc>
            </w:tr>
            <w:tr w14:paraId="2F9197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486" w:type="dxa"/>
                  <w:vMerge w:val="continue"/>
                  <w:vAlign w:val="center"/>
                </w:tcPr>
                <w:p w14:paraId="08AFC785">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p>
              </w:tc>
              <w:tc>
                <w:tcPr>
                  <w:tcW w:w="3188" w:type="dxa"/>
                  <w:vAlign w:val="center"/>
                </w:tcPr>
                <w:p w14:paraId="5A85F9FA">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rPr>
                    <w:t>环境保护措施的有效性</w:t>
                  </w:r>
                </w:p>
              </w:tc>
              <w:tc>
                <w:tcPr>
                  <w:tcW w:w="3405" w:type="dxa"/>
                  <w:vAlign w:val="center"/>
                </w:tcPr>
                <w:p w14:paraId="60D3E2A8">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rPr>
                    <w:t>本项目采用的污染物治理工艺属于污染防治可行技术指南、排污许可技术规范中明确可行的处理工艺，环境保护措施有效</w:t>
                  </w:r>
                </w:p>
              </w:tc>
              <w:tc>
                <w:tcPr>
                  <w:tcW w:w="898" w:type="dxa"/>
                  <w:vAlign w:val="center"/>
                </w:tcPr>
                <w:p w14:paraId="3BAB2405">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rPr>
                    <w:t>符合</w:t>
                  </w:r>
                </w:p>
              </w:tc>
            </w:tr>
            <w:tr w14:paraId="600DC8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486" w:type="dxa"/>
                  <w:vMerge w:val="continue"/>
                  <w:vAlign w:val="center"/>
                </w:tcPr>
                <w:p w14:paraId="7F645E5E">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p>
              </w:tc>
              <w:tc>
                <w:tcPr>
                  <w:tcW w:w="3188" w:type="dxa"/>
                  <w:vAlign w:val="center"/>
                </w:tcPr>
                <w:p w14:paraId="48854079">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rPr>
                    <w:t>环境影响评价结论的科学性</w:t>
                  </w:r>
                </w:p>
              </w:tc>
              <w:tc>
                <w:tcPr>
                  <w:tcW w:w="3405" w:type="dxa"/>
                  <w:vAlign w:val="center"/>
                </w:tcPr>
                <w:p w14:paraId="3B073368">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rPr>
                    <w:t>本环评结论客观、过程公开、评价公正，并综合考虑建设项目实施后对各种环境因素可能造成的影响，环评结论科学</w:t>
                  </w:r>
                </w:p>
              </w:tc>
              <w:tc>
                <w:tcPr>
                  <w:tcW w:w="898" w:type="dxa"/>
                  <w:vAlign w:val="center"/>
                </w:tcPr>
                <w:p w14:paraId="1E4BE145">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rPr>
                    <w:t>符合</w:t>
                  </w:r>
                </w:p>
              </w:tc>
            </w:tr>
            <w:tr w14:paraId="282061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486" w:type="dxa"/>
                  <w:vMerge w:val="restart"/>
                  <w:vAlign w:val="center"/>
                </w:tcPr>
                <w:p w14:paraId="0BC9AFE1">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rPr>
                    <w:t>五不批</w:t>
                  </w:r>
                </w:p>
              </w:tc>
              <w:tc>
                <w:tcPr>
                  <w:tcW w:w="3188" w:type="dxa"/>
                  <w:vAlign w:val="center"/>
                </w:tcPr>
                <w:p w14:paraId="536CFAEB">
                  <w:pPr>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shd w:val="clear" w:color="auto" w:fill="FFFFFF"/>
                    </w:rPr>
                    <w:t>建设项目类型及其选址、布局、规模等不符合生态环境法律法规规定和相关法定规划</w:t>
                  </w:r>
                </w:p>
              </w:tc>
              <w:tc>
                <w:tcPr>
                  <w:tcW w:w="3405" w:type="dxa"/>
                  <w:vAlign w:val="center"/>
                </w:tcPr>
                <w:p w14:paraId="16E2DB58">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rPr>
                    <w:t>本项目类型、选址、布局、规模等符合环境保护法律法规和相关法定规划</w:t>
                  </w:r>
                </w:p>
              </w:tc>
              <w:tc>
                <w:tcPr>
                  <w:tcW w:w="898" w:type="dxa"/>
                  <w:vAlign w:val="center"/>
                </w:tcPr>
                <w:p w14:paraId="18058DDF">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rPr>
                    <w:t>不属于不予批准的情形</w:t>
                  </w:r>
                </w:p>
              </w:tc>
            </w:tr>
            <w:tr w14:paraId="12CC41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486" w:type="dxa"/>
                  <w:vMerge w:val="continue"/>
                  <w:vAlign w:val="center"/>
                </w:tcPr>
                <w:p w14:paraId="7D52F65C">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p>
              </w:tc>
              <w:tc>
                <w:tcPr>
                  <w:tcW w:w="3188" w:type="dxa"/>
                  <w:vAlign w:val="center"/>
                </w:tcPr>
                <w:p w14:paraId="72C23209">
                  <w:pPr>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shd w:val="clear" w:color="auto" w:fill="FFFFFF"/>
                    </w:rPr>
                    <w:t>所在区域、流域、海域生态环境质量未达到生态环境质量标准，且建设项目拟采取的措施不能满足生态环境质量改善目标管理要求</w:t>
                  </w:r>
                </w:p>
              </w:tc>
              <w:tc>
                <w:tcPr>
                  <w:tcW w:w="3405" w:type="dxa"/>
                  <w:vAlign w:val="center"/>
                </w:tcPr>
                <w:p w14:paraId="1F0684F9">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lang w:val="en-US" w:eastAsia="zh-CN"/>
                    </w:rPr>
                    <w:t>本项目所在区域属于环境空气质量不达标区域，企业需切实落实环评报告提出的各项污染防治措施，确保各类污染物均可得到有效控制并能做到达标排放或不对外直接排放，对环境影响不大，环境风险很小，项目实施不会改变所在地的环境质量水平和环境功能</w:t>
                  </w:r>
                </w:p>
              </w:tc>
              <w:tc>
                <w:tcPr>
                  <w:tcW w:w="898" w:type="dxa"/>
                  <w:vAlign w:val="center"/>
                </w:tcPr>
                <w:p w14:paraId="5828081E">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rPr>
                    <w:t>不属于不予批准的情形</w:t>
                  </w:r>
                </w:p>
              </w:tc>
            </w:tr>
            <w:tr w14:paraId="5DD98F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486" w:type="dxa"/>
                  <w:vMerge w:val="continue"/>
                  <w:vAlign w:val="center"/>
                </w:tcPr>
                <w:p w14:paraId="40FC02E9">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p>
              </w:tc>
              <w:tc>
                <w:tcPr>
                  <w:tcW w:w="3188" w:type="dxa"/>
                  <w:vAlign w:val="center"/>
                </w:tcPr>
                <w:p w14:paraId="1F087711">
                  <w:pPr>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shd w:val="clear" w:color="auto" w:fill="FFFFFF"/>
                    </w:rPr>
                    <w:t>建设项目采取的污染防治措施无法确保污染物排放达到排放标准，或者未采取必要措施预防和控制生态破坏</w:t>
                  </w:r>
                </w:p>
              </w:tc>
              <w:tc>
                <w:tcPr>
                  <w:tcW w:w="3405" w:type="dxa"/>
                  <w:vAlign w:val="center"/>
                </w:tcPr>
                <w:p w14:paraId="22CC9986">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rPr>
                    <w:t>只要切实落实环评报告提出的各项污染防治措施，本项目各类污染物均可得到有效控制并能做到达标排放或不对外直接排放</w:t>
                  </w:r>
                </w:p>
              </w:tc>
              <w:tc>
                <w:tcPr>
                  <w:tcW w:w="898" w:type="dxa"/>
                  <w:vAlign w:val="center"/>
                </w:tcPr>
                <w:p w14:paraId="1E2A750F">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rPr>
                    <w:t>不属于不予批准的情形</w:t>
                  </w:r>
                </w:p>
              </w:tc>
            </w:tr>
            <w:tr w14:paraId="1C907C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486" w:type="dxa"/>
                  <w:vMerge w:val="continue"/>
                  <w:vAlign w:val="center"/>
                </w:tcPr>
                <w:p w14:paraId="7E742C66">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p>
              </w:tc>
              <w:tc>
                <w:tcPr>
                  <w:tcW w:w="3188" w:type="dxa"/>
                  <w:vAlign w:val="center"/>
                </w:tcPr>
                <w:p w14:paraId="49D83E10">
                  <w:pPr>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shd w:val="clear" w:color="auto" w:fill="FFFFFF"/>
                    </w:rPr>
                    <w:t>改建、扩建和技术改造项目，未针对项目原有环境污染和生态破坏提出有效防治措施</w:t>
                  </w:r>
                </w:p>
              </w:tc>
              <w:tc>
                <w:tcPr>
                  <w:tcW w:w="3405" w:type="dxa"/>
                  <w:vAlign w:val="center"/>
                </w:tcPr>
                <w:p w14:paraId="07D1D324">
                  <w:pPr>
                    <w:keepNext w:val="0"/>
                    <w:keepLines w:val="0"/>
                    <w:suppressLineNumbers w:val="0"/>
                    <w:spacing w:before="0" w:beforeAutospacing="0" w:after="0" w:afterAutospacing="0"/>
                    <w:ind w:left="0" w:right="0"/>
                    <w:jc w:val="center"/>
                    <w:rPr>
                      <w:rFonts w:hint="eastAsia" w:ascii="Times New Roman" w:hAnsi="Times New Roman" w:eastAsia="宋体" w:cs="Times New Roman"/>
                      <w:color w:val="auto"/>
                      <w:szCs w:val="21"/>
                    </w:rPr>
                  </w:pPr>
                  <w:r>
                    <w:rPr>
                      <w:rFonts w:hint="eastAsia" w:ascii="Times New Roman" w:hAnsi="Times New Roman" w:eastAsia="宋体" w:cs="Times New Roman"/>
                      <w:color w:val="auto"/>
                      <w:szCs w:val="21"/>
                    </w:rPr>
                    <w:t>本项目为</w:t>
                  </w:r>
                  <w:r>
                    <w:rPr>
                      <w:rFonts w:hint="eastAsia" w:ascii="Times New Roman" w:hAnsi="Times New Roman" w:eastAsia="宋体" w:cs="Times New Roman"/>
                      <w:color w:val="auto"/>
                      <w:szCs w:val="21"/>
                      <w:lang w:val="en-US" w:eastAsia="zh-CN"/>
                    </w:rPr>
                    <w:t>扩建</w:t>
                  </w:r>
                  <w:r>
                    <w:rPr>
                      <w:rFonts w:hint="eastAsia" w:ascii="Times New Roman" w:hAnsi="Times New Roman" w:eastAsia="宋体" w:cs="Times New Roman"/>
                      <w:color w:val="auto"/>
                      <w:szCs w:val="21"/>
                    </w:rPr>
                    <w:t>项目，企业现有项目主要是</w:t>
                  </w:r>
                  <w:r>
                    <w:rPr>
                      <w:rFonts w:hint="eastAsia" w:ascii="Times New Roman" w:hAnsi="Times New Roman" w:eastAsia="宋体" w:cs="Times New Roman"/>
                      <w:color w:val="auto"/>
                      <w:szCs w:val="21"/>
                      <w:lang w:eastAsia="zh-CN"/>
                    </w:rPr>
                    <w:t>“</w:t>
                  </w:r>
                  <w:r>
                    <w:rPr>
                      <w:rFonts w:hint="eastAsia" w:ascii="Times New Roman" w:hAnsi="Times New Roman" w:eastAsia="宋体" w:cs="Times New Roman"/>
                      <w:color w:val="auto"/>
                      <w:szCs w:val="21"/>
                    </w:rPr>
                    <w:t>浙江凌志新能源科技有限公司年产1000万平方米新能源汽车零部件（有机硅组件）建设项目</w:t>
                  </w:r>
                  <w:r>
                    <w:rPr>
                      <w:rFonts w:hint="eastAsia" w:ascii="Times New Roman" w:hAnsi="Times New Roman" w:eastAsia="宋体" w:cs="Times New Roman"/>
                      <w:color w:val="auto"/>
                      <w:szCs w:val="21"/>
                      <w:lang w:eastAsia="zh-CN"/>
                    </w:rPr>
                    <w:t>”</w:t>
                  </w:r>
                  <w:r>
                    <w:rPr>
                      <w:rFonts w:hint="eastAsia" w:ascii="Times New Roman" w:hAnsi="Times New Roman" w:eastAsia="宋体" w:cs="Times New Roman"/>
                      <w:color w:val="auto"/>
                      <w:szCs w:val="21"/>
                    </w:rPr>
                    <w:t>，已针对项目进行分析</w:t>
                  </w:r>
                </w:p>
                <w:p w14:paraId="015C9E0C">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lang w:val="en-US" w:eastAsia="zh-CN"/>
                    </w:rPr>
                  </w:pPr>
                  <w:r>
                    <w:rPr>
                      <w:rFonts w:hint="eastAsia" w:ascii="Times New Roman" w:hAnsi="Times New Roman" w:eastAsia="宋体" w:cs="Times New Roman"/>
                      <w:color w:val="FF0000"/>
                      <w:szCs w:val="21"/>
                      <w:lang w:val="en-US" w:eastAsia="zh-CN"/>
                    </w:rPr>
                    <w:t>注：企业于2025年12月完成工商名称变更，变更为浙江凌志源科技股份有限公司</w:t>
                  </w:r>
                </w:p>
              </w:tc>
              <w:tc>
                <w:tcPr>
                  <w:tcW w:w="898" w:type="dxa"/>
                  <w:vAlign w:val="center"/>
                </w:tcPr>
                <w:p w14:paraId="179DD210">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rPr>
                    <w:t>不属于不予批准的情形</w:t>
                  </w:r>
                </w:p>
              </w:tc>
            </w:tr>
            <w:tr w14:paraId="01EFED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486" w:type="dxa"/>
                  <w:vMerge w:val="continue"/>
                  <w:vAlign w:val="center"/>
                </w:tcPr>
                <w:p w14:paraId="6DFDF45B">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p>
              </w:tc>
              <w:tc>
                <w:tcPr>
                  <w:tcW w:w="3188" w:type="dxa"/>
                  <w:vAlign w:val="center"/>
                </w:tcPr>
                <w:p w14:paraId="42944B75">
                  <w:pPr>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shd w:val="clear" w:color="auto" w:fill="FFFFFF"/>
                    </w:rPr>
                    <w:t>建设项目的生态环境影响报告书、生态环境影响报告表存在基础资料明显不实，内容存在重大缺陷、遗漏或者虚假，生态环境影响评价结论不正确或者不合理等严重质量问题</w:t>
                  </w:r>
                </w:p>
              </w:tc>
              <w:tc>
                <w:tcPr>
                  <w:tcW w:w="3405" w:type="dxa"/>
                  <w:vAlign w:val="center"/>
                </w:tcPr>
                <w:p w14:paraId="4E1F9FD8">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rPr>
                    <w:t>本项目生态环境影响</w:t>
                  </w:r>
                  <w:r>
                    <w:rPr>
                      <w:rFonts w:hint="default" w:ascii="Times New Roman" w:hAnsi="Times New Roman" w:eastAsia="宋体" w:cs="Times New Roman"/>
                      <w:color w:val="auto"/>
                      <w:szCs w:val="21"/>
                      <w:lang w:val="en-US" w:eastAsia="zh-CN"/>
                    </w:rPr>
                    <w:t>报告</w:t>
                  </w:r>
                  <w:r>
                    <w:rPr>
                      <w:rFonts w:hint="default" w:ascii="Times New Roman" w:hAnsi="Times New Roman" w:eastAsia="宋体" w:cs="Times New Roman"/>
                      <w:color w:val="auto"/>
                      <w:szCs w:val="21"/>
                    </w:rPr>
                    <w:t>表基础资料属实，结论明确、合理</w:t>
                  </w:r>
                </w:p>
              </w:tc>
              <w:tc>
                <w:tcPr>
                  <w:tcW w:w="898" w:type="dxa"/>
                  <w:vAlign w:val="center"/>
                </w:tcPr>
                <w:p w14:paraId="2E44013A">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rPr>
                    <w:t>不属于不予批准的情形</w:t>
                  </w:r>
                </w:p>
              </w:tc>
            </w:tr>
          </w:tbl>
          <w:p w14:paraId="6C69DE43">
            <w:pPr>
              <w:keepNext w:val="0"/>
              <w:keepLines w:val="0"/>
              <w:suppressLineNumbers w:val="0"/>
              <w:spacing w:before="0" w:beforeAutospacing="0" w:after="0" w:afterAutospacing="0" w:line="360" w:lineRule="auto"/>
              <w:ind w:left="0" w:right="0" w:firstLine="480" w:firstLineChars="200"/>
              <w:rPr>
                <w:rFonts w:hint="default" w:ascii="Times New Roman" w:hAnsi="Times New Roman" w:eastAsia="宋体" w:cs="Times New Roman"/>
                <w:color w:val="auto"/>
                <w:sz w:val="24"/>
              </w:rPr>
            </w:pPr>
            <w:r>
              <w:rPr>
                <w:rFonts w:hint="eastAsia" w:ascii="Times New Roman" w:hAnsi="Times New Roman" w:eastAsia="宋体" w:cs="Times New Roman"/>
                <w:color w:val="auto"/>
                <w:sz w:val="24"/>
                <w:lang w:val="en-US" w:eastAsia="zh-CN"/>
              </w:rPr>
              <w:t>根据上表</w:t>
            </w:r>
            <w:r>
              <w:rPr>
                <w:rFonts w:hint="eastAsia" w:ascii="Times New Roman" w:hAnsi="Times New Roman" w:eastAsia="宋体" w:cs="Times New Roman"/>
                <w:color w:val="auto"/>
                <w:sz w:val="24"/>
              </w:rPr>
              <w:t>可知，本项目符合</w:t>
            </w:r>
            <w:r>
              <w:rPr>
                <w:rFonts w:hint="eastAsia" w:ascii="Times New Roman" w:hAnsi="Times New Roman" w:eastAsia="宋体" w:cs="Times New Roman"/>
                <w:color w:val="auto"/>
                <w:sz w:val="24"/>
                <w:lang w:eastAsia="zh-CN"/>
              </w:rPr>
              <w:t>“</w:t>
            </w:r>
            <w:r>
              <w:rPr>
                <w:rFonts w:hint="eastAsia" w:ascii="Times New Roman" w:hAnsi="Times New Roman" w:eastAsia="宋体" w:cs="Times New Roman"/>
                <w:color w:val="auto"/>
                <w:sz w:val="24"/>
              </w:rPr>
              <w:t>四性五不批</w:t>
            </w:r>
            <w:r>
              <w:rPr>
                <w:rFonts w:hint="eastAsia" w:ascii="Times New Roman" w:hAnsi="Times New Roman" w:eastAsia="宋体" w:cs="Times New Roman"/>
                <w:color w:val="auto"/>
                <w:sz w:val="24"/>
                <w:lang w:eastAsia="zh-CN"/>
              </w:rPr>
              <w:t>”</w:t>
            </w:r>
            <w:r>
              <w:rPr>
                <w:rFonts w:hint="eastAsia" w:ascii="Times New Roman" w:hAnsi="Times New Roman" w:eastAsia="宋体" w:cs="Times New Roman"/>
                <w:color w:val="auto"/>
                <w:sz w:val="24"/>
              </w:rPr>
              <w:t>要求。</w:t>
            </w:r>
          </w:p>
          <w:p w14:paraId="34809C2A">
            <w:pPr>
              <w:keepNext w:val="0"/>
              <w:keepLines w:val="0"/>
              <w:suppressLineNumbers w:val="0"/>
              <w:spacing w:before="0" w:beforeAutospacing="0" w:after="0" w:afterAutospacing="0" w:line="360" w:lineRule="auto"/>
              <w:ind w:left="0" w:right="0"/>
              <w:rPr>
                <w:rFonts w:hint="default" w:ascii="Times New Roman" w:hAnsi="Times New Roman" w:eastAsia="宋体" w:cs="Times New Roman"/>
                <w:b/>
                <w:bCs/>
                <w:color w:val="auto"/>
                <w:sz w:val="24"/>
              </w:rPr>
            </w:pPr>
            <w:r>
              <w:rPr>
                <w:rFonts w:hint="eastAsia" w:ascii="Times New Roman" w:hAnsi="Times New Roman" w:eastAsia="宋体" w:cs="Times New Roman"/>
                <w:b/>
                <w:bCs/>
                <w:color w:val="auto"/>
                <w:sz w:val="24"/>
                <w:lang w:val="en-US" w:eastAsia="zh-CN"/>
              </w:rPr>
              <w:t>1.2.16</w:t>
            </w:r>
            <w:r>
              <w:rPr>
                <w:rFonts w:hint="eastAsia" w:ascii="Times New Roman" w:hAnsi="Times New Roman" w:eastAsia="宋体" w:cs="Times New Roman"/>
                <w:b/>
                <w:bCs/>
                <w:color w:val="auto"/>
                <w:sz w:val="24"/>
              </w:rPr>
              <w:t>《建设项目环境影响报告书（表）编制监督管理办法》第二十六条、第二十七条符合性分析</w:t>
            </w:r>
          </w:p>
          <w:p w14:paraId="44F3D059">
            <w:pPr>
              <w:keepNext w:val="0"/>
              <w:keepLines w:val="0"/>
              <w:suppressLineNumbers w:val="0"/>
              <w:spacing w:before="0" w:beforeAutospacing="0" w:after="0" w:afterAutospacing="0"/>
              <w:ind w:left="0" w:right="0"/>
              <w:jc w:val="center"/>
              <w:rPr>
                <w:rFonts w:hint="default" w:ascii="Times New Roman" w:hAnsi="Times New Roman" w:eastAsia="宋体" w:cs="Times New Roman"/>
                <w:b/>
                <w:bCs/>
                <w:color w:val="auto"/>
              </w:rPr>
            </w:pPr>
            <w:r>
              <w:rPr>
                <w:rFonts w:hint="eastAsia" w:ascii="Times New Roman" w:hAnsi="Times New Roman" w:eastAsia="宋体" w:cs="Times New Roman"/>
                <w:b/>
                <w:bCs/>
                <w:color w:val="auto"/>
              </w:rPr>
              <w:t>表</w:t>
            </w:r>
            <w:r>
              <w:rPr>
                <w:rFonts w:hint="default" w:ascii="Times New Roman" w:hAnsi="Times New Roman" w:eastAsia="宋体" w:cs="Times New Roman"/>
                <w:b/>
                <w:bCs/>
                <w:color w:val="auto"/>
              </w:rPr>
              <w:t>1-</w:t>
            </w:r>
            <w:r>
              <w:rPr>
                <w:rFonts w:hint="eastAsia" w:ascii="Times New Roman" w:hAnsi="Times New Roman" w:eastAsia="宋体" w:cs="Times New Roman"/>
                <w:b/>
                <w:bCs/>
                <w:color w:val="auto"/>
                <w:lang w:val="en-US" w:eastAsia="zh-CN"/>
              </w:rPr>
              <w:t>20</w:t>
            </w:r>
            <w:r>
              <w:rPr>
                <w:rFonts w:hint="default" w:ascii="Times New Roman" w:hAnsi="Times New Roman" w:eastAsia="宋体" w:cs="Times New Roman"/>
                <w:b/>
                <w:bCs/>
                <w:color w:val="auto"/>
              </w:rPr>
              <w:t xml:space="preserve"> </w:t>
            </w:r>
            <w:r>
              <w:rPr>
                <w:rFonts w:hint="eastAsia" w:ascii="Times New Roman" w:hAnsi="Times New Roman" w:eastAsia="宋体" w:cs="Times New Roman"/>
                <w:b/>
                <w:bCs/>
                <w:color w:val="auto"/>
              </w:rPr>
              <w:t xml:space="preserve"> 与《建设项目环境影响报告书（表）编制监督管理办法》符合性分析</w:t>
            </w:r>
          </w:p>
          <w:tbl>
            <w:tblPr>
              <w:tblStyle w:val="23"/>
              <w:tblW w:w="4998"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398"/>
              <w:gridCol w:w="398"/>
              <w:gridCol w:w="3658"/>
              <w:gridCol w:w="2788"/>
              <w:gridCol w:w="732"/>
            </w:tblGrid>
            <w:tr w14:paraId="64A248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499" w:type="pct"/>
                  <w:gridSpan w:val="2"/>
                  <w:vAlign w:val="center"/>
                </w:tcPr>
                <w:p w14:paraId="588CBF0C">
                  <w:pPr>
                    <w:keepNext w:val="0"/>
                    <w:keepLines w:val="0"/>
                    <w:suppressLineNumbers w:val="0"/>
                    <w:spacing w:before="0" w:beforeAutospacing="0" w:after="0" w:afterAutospacing="0"/>
                    <w:ind w:left="0" w:right="0"/>
                    <w:jc w:val="center"/>
                    <w:rPr>
                      <w:rFonts w:hint="default" w:ascii="Times New Roman" w:hAnsi="Times New Roman" w:eastAsia="宋体" w:cs="Times New Roman"/>
                      <w:b/>
                      <w:bCs/>
                      <w:color w:val="auto"/>
                      <w:szCs w:val="21"/>
                    </w:rPr>
                  </w:pPr>
                  <w:r>
                    <w:rPr>
                      <w:rFonts w:hint="default" w:ascii="Times New Roman" w:hAnsi="Times New Roman" w:eastAsia="宋体" w:cs="Times New Roman"/>
                      <w:b/>
                      <w:bCs/>
                      <w:color w:val="auto"/>
                      <w:szCs w:val="21"/>
                    </w:rPr>
                    <w:t>序号</w:t>
                  </w:r>
                </w:p>
              </w:tc>
              <w:tc>
                <w:tcPr>
                  <w:tcW w:w="2293" w:type="pct"/>
                  <w:vAlign w:val="center"/>
                </w:tcPr>
                <w:p w14:paraId="2A8A0B99">
                  <w:pPr>
                    <w:keepNext w:val="0"/>
                    <w:keepLines w:val="0"/>
                    <w:suppressLineNumbers w:val="0"/>
                    <w:spacing w:before="0" w:beforeAutospacing="0" w:after="0" w:afterAutospacing="0"/>
                    <w:ind w:left="0" w:right="0"/>
                    <w:jc w:val="center"/>
                    <w:rPr>
                      <w:rFonts w:hint="default" w:ascii="Times New Roman" w:hAnsi="Times New Roman" w:eastAsia="宋体" w:cs="Times New Roman"/>
                      <w:b/>
                      <w:bCs/>
                      <w:color w:val="auto"/>
                      <w:szCs w:val="21"/>
                    </w:rPr>
                  </w:pPr>
                  <w:r>
                    <w:rPr>
                      <w:rFonts w:hint="default" w:ascii="Times New Roman" w:hAnsi="Times New Roman" w:eastAsia="宋体" w:cs="Times New Roman"/>
                      <w:b/>
                      <w:bCs/>
                      <w:color w:val="auto"/>
                      <w:szCs w:val="21"/>
                    </w:rPr>
                    <w:t>内容</w:t>
                  </w:r>
                </w:p>
              </w:tc>
              <w:tc>
                <w:tcPr>
                  <w:tcW w:w="1748" w:type="pct"/>
                  <w:vAlign w:val="center"/>
                </w:tcPr>
                <w:p w14:paraId="0CEBB710">
                  <w:pPr>
                    <w:keepNext w:val="0"/>
                    <w:keepLines w:val="0"/>
                    <w:suppressLineNumbers w:val="0"/>
                    <w:spacing w:before="0" w:beforeAutospacing="0" w:after="0" w:afterAutospacing="0"/>
                    <w:ind w:left="0" w:right="0"/>
                    <w:jc w:val="center"/>
                    <w:rPr>
                      <w:rFonts w:hint="default" w:ascii="Times New Roman" w:hAnsi="Times New Roman" w:eastAsia="宋体" w:cs="Times New Roman"/>
                      <w:b/>
                      <w:bCs/>
                      <w:color w:val="auto"/>
                      <w:szCs w:val="21"/>
                    </w:rPr>
                  </w:pPr>
                  <w:r>
                    <w:rPr>
                      <w:rFonts w:hint="default" w:ascii="Times New Roman" w:hAnsi="Times New Roman" w:eastAsia="宋体" w:cs="Times New Roman"/>
                      <w:b/>
                      <w:bCs/>
                      <w:color w:val="auto"/>
                      <w:szCs w:val="21"/>
                    </w:rPr>
                    <w:t>本项目情况</w:t>
                  </w:r>
                </w:p>
              </w:tc>
              <w:tc>
                <w:tcPr>
                  <w:tcW w:w="458" w:type="pct"/>
                  <w:vAlign w:val="center"/>
                </w:tcPr>
                <w:p w14:paraId="49DAA96B">
                  <w:pPr>
                    <w:keepNext w:val="0"/>
                    <w:keepLines w:val="0"/>
                    <w:suppressLineNumbers w:val="0"/>
                    <w:spacing w:before="0" w:beforeAutospacing="0" w:after="0" w:afterAutospacing="0"/>
                    <w:ind w:left="0" w:right="0"/>
                    <w:jc w:val="center"/>
                    <w:rPr>
                      <w:rFonts w:hint="default" w:ascii="Times New Roman" w:hAnsi="Times New Roman" w:eastAsia="宋体" w:cs="Times New Roman"/>
                      <w:b/>
                      <w:bCs/>
                      <w:color w:val="auto"/>
                      <w:szCs w:val="21"/>
                      <w:lang w:val="en-US" w:eastAsia="zh-CN"/>
                    </w:rPr>
                  </w:pPr>
                  <w:r>
                    <w:rPr>
                      <w:rFonts w:hint="eastAsia" w:ascii="Times New Roman" w:hAnsi="Times New Roman" w:eastAsia="宋体" w:cs="Times New Roman"/>
                      <w:b/>
                      <w:bCs/>
                      <w:color w:val="auto"/>
                      <w:szCs w:val="21"/>
                      <w:lang w:val="en-US" w:eastAsia="zh-CN"/>
                    </w:rPr>
                    <w:t>是否符合</w:t>
                  </w:r>
                </w:p>
              </w:tc>
            </w:tr>
            <w:tr w14:paraId="168F49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249" w:type="pct"/>
                  <w:vMerge w:val="restart"/>
                  <w:vAlign w:val="center"/>
                </w:tcPr>
                <w:p w14:paraId="40B44225">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rPr>
                    <w:t>二十六条</w:t>
                  </w:r>
                </w:p>
              </w:tc>
              <w:tc>
                <w:tcPr>
                  <w:tcW w:w="249" w:type="pct"/>
                  <w:vAlign w:val="center"/>
                </w:tcPr>
                <w:p w14:paraId="5E5A4A39">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rPr>
                    <w:t>/</w:t>
                  </w:r>
                </w:p>
              </w:tc>
              <w:tc>
                <w:tcPr>
                  <w:tcW w:w="4500" w:type="pct"/>
                  <w:gridSpan w:val="3"/>
                  <w:vAlign w:val="center"/>
                </w:tcPr>
                <w:p w14:paraId="48DE632B">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rPr>
                    <w:t>在监督检查过程中发现环境影响报告书（表）不符合有关环境影响评价法律法规、标准和技术规范等规定、存在下列质量问题之一的，由市级以上生态环境主管部门对建设单位、技术单位和编制人员给予通报批评</w:t>
                  </w:r>
                </w:p>
              </w:tc>
            </w:tr>
            <w:tr w14:paraId="1F5533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249" w:type="pct"/>
                  <w:vMerge w:val="continue"/>
                  <w:vAlign w:val="center"/>
                </w:tcPr>
                <w:p w14:paraId="11F54F08">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p>
              </w:tc>
              <w:tc>
                <w:tcPr>
                  <w:tcW w:w="249" w:type="pct"/>
                  <w:vAlign w:val="center"/>
                </w:tcPr>
                <w:p w14:paraId="0AE5A9CB">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rPr>
                    <w:t>1</w:t>
                  </w:r>
                </w:p>
              </w:tc>
              <w:tc>
                <w:tcPr>
                  <w:tcW w:w="2293" w:type="pct"/>
                  <w:vAlign w:val="center"/>
                </w:tcPr>
                <w:p w14:paraId="27AF99F4">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rPr>
                    <w:t>评价因子中遗漏建设项目相关行业污染源源强核算或者污染物排放标准规定的相关污染物的</w:t>
                  </w:r>
                </w:p>
              </w:tc>
              <w:tc>
                <w:tcPr>
                  <w:tcW w:w="1748" w:type="pct"/>
                  <w:vAlign w:val="center"/>
                </w:tcPr>
                <w:p w14:paraId="16B1EAE1">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rPr>
                    <w:t>评价因子中未遗漏建设项目相关行业污染源源强核算或者污染物排放标准规定的相关污染物</w:t>
                  </w:r>
                </w:p>
              </w:tc>
              <w:tc>
                <w:tcPr>
                  <w:tcW w:w="458" w:type="pct"/>
                  <w:vAlign w:val="center"/>
                </w:tcPr>
                <w:p w14:paraId="428C66EC">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rPr>
                    <w:t>符合</w:t>
                  </w:r>
                </w:p>
              </w:tc>
            </w:tr>
            <w:tr w14:paraId="6E845E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249" w:type="pct"/>
                  <w:vMerge w:val="continue"/>
                  <w:vAlign w:val="center"/>
                </w:tcPr>
                <w:p w14:paraId="22A6293E">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p>
              </w:tc>
              <w:tc>
                <w:tcPr>
                  <w:tcW w:w="249" w:type="pct"/>
                  <w:vAlign w:val="center"/>
                </w:tcPr>
                <w:p w14:paraId="5B8904A4">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rPr>
                    <w:t>2</w:t>
                  </w:r>
                </w:p>
              </w:tc>
              <w:tc>
                <w:tcPr>
                  <w:tcW w:w="2293" w:type="pct"/>
                  <w:vAlign w:val="center"/>
                </w:tcPr>
                <w:p w14:paraId="3283EE9B">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rPr>
                    <w:t>降低环境影响评价工作等级，降低环境影响评价标准，或者缩小环境影响评价范围的</w:t>
                  </w:r>
                </w:p>
              </w:tc>
              <w:tc>
                <w:tcPr>
                  <w:tcW w:w="1748" w:type="pct"/>
                  <w:vAlign w:val="center"/>
                </w:tcPr>
                <w:p w14:paraId="0A6580C9">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rPr>
                    <w:t>未降低环境影响评价工作等级、降低环境影响评价标准、缩小环境影响评价范围</w:t>
                  </w:r>
                </w:p>
              </w:tc>
              <w:tc>
                <w:tcPr>
                  <w:tcW w:w="458" w:type="pct"/>
                  <w:vAlign w:val="center"/>
                </w:tcPr>
                <w:p w14:paraId="730A55A4">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rPr>
                    <w:t>符合</w:t>
                  </w:r>
                </w:p>
              </w:tc>
            </w:tr>
            <w:tr w14:paraId="66F158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249" w:type="pct"/>
                  <w:vMerge w:val="continue"/>
                  <w:vAlign w:val="center"/>
                </w:tcPr>
                <w:p w14:paraId="672574FF">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p>
              </w:tc>
              <w:tc>
                <w:tcPr>
                  <w:tcW w:w="249" w:type="pct"/>
                  <w:vAlign w:val="center"/>
                </w:tcPr>
                <w:p w14:paraId="230638AC">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rPr>
                    <w:t>3</w:t>
                  </w:r>
                </w:p>
              </w:tc>
              <w:tc>
                <w:tcPr>
                  <w:tcW w:w="2293" w:type="pct"/>
                  <w:vAlign w:val="center"/>
                </w:tcPr>
                <w:p w14:paraId="40B8F6C0">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rPr>
                    <w:t>建设项目概况描述不全或者错误的</w:t>
                  </w:r>
                </w:p>
              </w:tc>
              <w:tc>
                <w:tcPr>
                  <w:tcW w:w="1748" w:type="pct"/>
                  <w:vAlign w:val="center"/>
                </w:tcPr>
                <w:p w14:paraId="12DEFC8B">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rPr>
                    <w:t>建设项目概况描述齐全无误的</w:t>
                  </w:r>
                </w:p>
              </w:tc>
              <w:tc>
                <w:tcPr>
                  <w:tcW w:w="458" w:type="pct"/>
                  <w:vAlign w:val="center"/>
                </w:tcPr>
                <w:p w14:paraId="0F8B1D57">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rPr>
                    <w:t>符合</w:t>
                  </w:r>
                </w:p>
              </w:tc>
            </w:tr>
            <w:tr w14:paraId="0FAA17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249" w:type="pct"/>
                  <w:vMerge w:val="continue"/>
                  <w:vAlign w:val="center"/>
                </w:tcPr>
                <w:p w14:paraId="53EEC4B6">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p>
              </w:tc>
              <w:tc>
                <w:tcPr>
                  <w:tcW w:w="249" w:type="pct"/>
                  <w:vAlign w:val="center"/>
                </w:tcPr>
                <w:p w14:paraId="09FD50D0">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rPr>
                    <w:t>4</w:t>
                  </w:r>
                </w:p>
              </w:tc>
              <w:tc>
                <w:tcPr>
                  <w:tcW w:w="2293" w:type="pct"/>
                  <w:vAlign w:val="center"/>
                </w:tcPr>
                <w:p w14:paraId="5611F51B">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rPr>
                    <w:t>环境影响因素分析不全或者错误的</w:t>
                  </w:r>
                </w:p>
              </w:tc>
              <w:tc>
                <w:tcPr>
                  <w:tcW w:w="1748" w:type="pct"/>
                  <w:vAlign w:val="center"/>
                </w:tcPr>
                <w:p w14:paraId="09F4F9D5">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rPr>
                    <w:t>环境影响因素分析齐全无误的</w:t>
                  </w:r>
                </w:p>
              </w:tc>
              <w:tc>
                <w:tcPr>
                  <w:tcW w:w="458" w:type="pct"/>
                  <w:vAlign w:val="center"/>
                </w:tcPr>
                <w:p w14:paraId="16211EDF">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rPr>
                    <w:t>符合</w:t>
                  </w:r>
                </w:p>
              </w:tc>
            </w:tr>
            <w:tr w14:paraId="7A47AF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249" w:type="pct"/>
                  <w:vMerge w:val="continue"/>
                  <w:vAlign w:val="center"/>
                </w:tcPr>
                <w:p w14:paraId="0B49A0C1">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p>
              </w:tc>
              <w:tc>
                <w:tcPr>
                  <w:tcW w:w="249" w:type="pct"/>
                  <w:vAlign w:val="center"/>
                </w:tcPr>
                <w:p w14:paraId="22A8C4B0">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rPr>
                    <w:t>5</w:t>
                  </w:r>
                </w:p>
              </w:tc>
              <w:tc>
                <w:tcPr>
                  <w:tcW w:w="2293" w:type="pct"/>
                  <w:vAlign w:val="center"/>
                </w:tcPr>
                <w:p w14:paraId="3F8E4CBC">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rPr>
                    <w:t>污染源源强核算内容不全，核算方法或者结果错误的</w:t>
                  </w:r>
                </w:p>
              </w:tc>
              <w:tc>
                <w:tcPr>
                  <w:tcW w:w="1748" w:type="pct"/>
                  <w:vAlign w:val="center"/>
                </w:tcPr>
                <w:p w14:paraId="512295FF">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rPr>
                    <w:t>污染源源强核算内容齐全，核算方法、结果无误</w:t>
                  </w:r>
                </w:p>
              </w:tc>
              <w:tc>
                <w:tcPr>
                  <w:tcW w:w="458" w:type="pct"/>
                  <w:vAlign w:val="center"/>
                </w:tcPr>
                <w:p w14:paraId="36E13F57">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rPr>
                    <w:t>符合</w:t>
                  </w:r>
                </w:p>
              </w:tc>
            </w:tr>
            <w:tr w14:paraId="6B4387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249" w:type="pct"/>
                  <w:vMerge w:val="continue"/>
                  <w:vAlign w:val="center"/>
                </w:tcPr>
                <w:p w14:paraId="2B13FD70">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p>
              </w:tc>
              <w:tc>
                <w:tcPr>
                  <w:tcW w:w="249" w:type="pct"/>
                  <w:vAlign w:val="center"/>
                </w:tcPr>
                <w:p w14:paraId="38EE78A5">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rPr>
                    <w:t>6</w:t>
                  </w:r>
                </w:p>
              </w:tc>
              <w:tc>
                <w:tcPr>
                  <w:tcW w:w="2293" w:type="pct"/>
                  <w:vAlign w:val="center"/>
                </w:tcPr>
                <w:p w14:paraId="2F972C4E">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rPr>
                    <w:t>环境质量现状数据来源、监测因子、监测频次或者布点等不符合相关规定，或者所引用数据无效的</w:t>
                  </w:r>
                </w:p>
              </w:tc>
              <w:tc>
                <w:tcPr>
                  <w:tcW w:w="1748" w:type="pct"/>
                  <w:vAlign w:val="center"/>
                </w:tcPr>
                <w:p w14:paraId="558B886C">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rPr>
                    <w:t>环境质量现状数据来源、监测因子、监测频次或者布点等符合相关规定，所引用数据有效</w:t>
                  </w:r>
                </w:p>
              </w:tc>
              <w:tc>
                <w:tcPr>
                  <w:tcW w:w="458" w:type="pct"/>
                  <w:vAlign w:val="center"/>
                </w:tcPr>
                <w:p w14:paraId="64FD7A23">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rPr>
                    <w:t>符合</w:t>
                  </w:r>
                </w:p>
              </w:tc>
            </w:tr>
            <w:tr w14:paraId="51568F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249" w:type="pct"/>
                  <w:vMerge w:val="continue"/>
                  <w:vAlign w:val="center"/>
                </w:tcPr>
                <w:p w14:paraId="18C26891">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p>
              </w:tc>
              <w:tc>
                <w:tcPr>
                  <w:tcW w:w="249" w:type="pct"/>
                  <w:vAlign w:val="center"/>
                </w:tcPr>
                <w:p w14:paraId="753231A7">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rPr>
                    <w:t>7</w:t>
                  </w:r>
                </w:p>
              </w:tc>
              <w:tc>
                <w:tcPr>
                  <w:tcW w:w="2293" w:type="pct"/>
                  <w:vAlign w:val="center"/>
                </w:tcPr>
                <w:p w14:paraId="21A7CF9A">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rPr>
                    <w:t>遗漏环境保护目标，或者环境保护目标与建设项目位置关系描述不明确或者错误的</w:t>
                  </w:r>
                </w:p>
              </w:tc>
              <w:tc>
                <w:tcPr>
                  <w:tcW w:w="1748" w:type="pct"/>
                  <w:vAlign w:val="center"/>
                </w:tcPr>
                <w:p w14:paraId="3DD40B35">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rPr>
                    <w:t>未遗漏环境保护目标，环境保护目标与建设项目位置关系描述明确无误</w:t>
                  </w:r>
                </w:p>
              </w:tc>
              <w:tc>
                <w:tcPr>
                  <w:tcW w:w="458" w:type="pct"/>
                  <w:vAlign w:val="center"/>
                </w:tcPr>
                <w:p w14:paraId="0ABEB5F1">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rPr>
                    <w:t>符合</w:t>
                  </w:r>
                </w:p>
              </w:tc>
            </w:tr>
            <w:tr w14:paraId="0890BE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249" w:type="pct"/>
                  <w:vMerge w:val="continue"/>
                  <w:vAlign w:val="center"/>
                </w:tcPr>
                <w:p w14:paraId="00BFAD22">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p>
              </w:tc>
              <w:tc>
                <w:tcPr>
                  <w:tcW w:w="249" w:type="pct"/>
                  <w:vAlign w:val="center"/>
                </w:tcPr>
                <w:p w14:paraId="5461A786">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rPr>
                    <w:t>8</w:t>
                  </w:r>
                </w:p>
              </w:tc>
              <w:tc>
                <w:tcPr>
                  <w:tcW w:w="2293" w:type="pct"/>
                  <w:vAlign w:val="center"/>
                </w:tcPr>
                <w:p w14:paraId="4164A608">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rPr>
                    <w:t>环境影响评价范围内的相关环境要素现状调查与评价、区域污染源调查内容不全或者结果错误的</w:t>
                  </w:r>
                </w:p>
              </w:tc>
              <w:tc>
                <w:tcPr>
                  <w:tcW w:w="1748" w:type="pct"/>
                  <w:vAlign w:val="center"/>
                </w:tcPr>
                <w:p w14:paraId="4D426ADB">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rPr>
                    <w:t>环境影响评价范围内的相关环境要素现状调查与评价、区域污染源调查内容齐全无误</w:t>
                  </w:r>
                </w:p>
              </w:tc>
              <w:tc>
                <w:tcPr>
                  <w:tcW w:w="458" w:type="pct"/>
                  <w:vAlign w:val="center"/>
                </w:tcPr>
                <w:p w14:paraId="080A2742">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rPr>
                    <w:t>符合</w:t>
                  </w:r>
                </w:p>
              </w:tc>
            </w:tr>
            <w:tr w14:paraId="24C2FD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249" w:type="pct"/>
                  <w:vMerge w:val="continue"/>
                  <w:vAlign w:val="center"/>
                </w:tcPr>
                <w:p w14:paraId="33E294ED">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p>
              </w:tc>
              <w:tc>
                <w:tcPr>
                  <w:tcW w:w="249" w:type="pct"/>
                  <w:vAlign w:val="center"/>
                </w:tcPr>
                <w:p w14:paraId="16781DF8">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rPr>
                    <w:t>9</w:t>
                  </w:r>
                </w:p>
              </w:tc>
              <w:tc>
                <w:tcPr>
                  <w:tcW w:w="2293" w:type="pct"/>
                  <w:vAlign w:val="center"/>
                </w:tcPr>
                <w:p w14:paraId="19226CB7">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rPr>
                    <w:t>环境影响预测与评价方法或者结果错误，或者相关环境要素、环境风险预测与评价内容不全的</w:t>
                  </w:r>
                </w:p>
              </w:tc>
              <w:tc>
                <w:tcPr>
                  <w:tcW w:w="1748" w:type="pct"/>
                  <w:vAlign w:val="center"/>
                </w:tcPr>
                <w:p w14:paraId="58B1761B">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rPr>
                    <w:t>环境影响预测与评价方法结果正确，相关环境要素、环境风险预测与评价内容齐全</w:t>
                  </w:r>
                </w:p>
              </w:tc>
              <w:tc>
                <w:tcPr>
                  <w:tcW w:w="458" w:type="pct"/>
                  <w:vAlign w:val="center"/>
                </w:tcPr>
                <w:p w14:paraId="2B0CCA8B">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rPr>
                    <w:t>符合</w:t>
                  </w:r>
                </w:p>
              </w:tc>
            </w:tr>
            <w:tr w14:paraId="34FE98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249" w:type="pct"/>
                  <w:vMerge w:val="continue"/>
                  <w:vAlign w:val="center"/>
                </w:tcPr>
                <w:p w14:paraId="6773C626">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p>
              </w:tc>
              <w:tc>
                <w:tcPr>
                  <w:tcW w:w="249" w:type="pct"/>
                  <w:vAlign w:val="center"/>
                </w:tcPr>
                <w:p w14:paraId="5F85907F">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rPr>
                    <w:t>10</w:t>
                  </w:r>
                </w:p>
              </w:tc>
              <w:tc>
                <w:tcPr>
                  <w:tcW w:w="2293" w:type="pct"/>
                  <w:vAlign w:val="center"/>
                </w:tcPr>
                <w:p w14:paraId="2205392C">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rPr>
                    <w:t>未按相关规定提出环境保护措施，所提环境保护措施或者其可行性论证不符合相关规定的</w:t>
                  </w:r>
                </w:p>
              </w:tc>
              <w:tc>
                <w:tcPr>
                  <w:tcW w:w="1748" w:type="pct"/>
                  <w:vAlign w:val="center"/>
                </w:tcPr>
                <w:p w14:paraId="3D6F0914">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rPr>
                    <w:t>按相关规定提出环境保护措施，所提环境保护措施以及其可行性论证符合相关规定</w:t>
                  </w:r>
                </w:p>
              </w:tc>
              <w:tc>
                <w:tcPr>
                  <w:tcW w:w="458" w:type="pct"/>
                  <w:vAlign w:val="center"/>
                </w:tcPr>
                <w:p w14:paraId="67BC11AA">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rPr>
                    <w:t>符合</w:t>
                  </w:r>
                </w:p>
              </w:tc>
            </w:tr>
            <w:tr w14:paraId="6BAA45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249" w:type="pct"/>
                  <w:vMerge w:val="restart"/>
                  <w:vAlign w:val="center"/>
                </w:tcPr>
                <w:p w14:paraId="263E753A">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rPr>
                    <w:t>二十七条</w:t>
                  </w:r>
                </w:p>
              </w:tc>
              <w:tc>
                <w:tcPr>
                  <w:tcW w:w="249" w:type="pct"/>
                  <w:vAlign w:val="center"/>
                </w:tcPr>
                <w:p w14:paraId="4523E878">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rPr>
                    <w:t>/</w:t>
                  </w:r>
                </w:p>
              </w:tc>
              <w:tc>
                <w:tcPr>
                  <w:tcW w:w="4500" w:type="pct"/>
                  <w:gridSpan w:val="3"/>
                  <w:vAlign w:val="center"/>
                </w:tcPr>
                <w:p w14:paraId="0D9A187E">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rPr>
                    <w:t>在监督检查过程中发现环境影响报告书（表）存在下列严重质量问题之一的，由市级以上生态环境主管部门依照</w:t>
                  </w:r>
                  <w:r>
                    <w:rPr>
                      <w:rFonts w:hint="default" w:ascii="Times New Roman" w:hAnsi="Times New Roman" w:eastAsia="宋体" w:cs="Times New Roman"/>
                      <w:color w:val="auto"/>
                      <w:szCs w:val="21"/>
                      <w:highlight w:val="yellow"/>
                    </w:rPr>
                    <w:t>《中华人民共和国环境影响评价法》</w:t>
                  </w:r>
                  <w:r>
                    <w:rPr>
                      <w:rFonts w:hint="default" w:ascii="Times New Roman" w:hAnsi="Times New Roman" w:eastAsia="宋体" w:cs="Times New Roman"/>
                      <w:color w:val="auto"/>
                      <w:szCs w:val="21"/>
                    </w:rPr>
                    <w:t>第三十二条的规定，对建设单位及其相关人员、技术单位、编制人员予以处罚</w:t>
                  </w:r>
                </w:p>
              </w:tc>
            </w:tr>
            <w:tr w14:paraId="350C6B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249" w:type="pct"/>
                  <w:vMerge w:val="continue"/>
                  <w:vAlign w:val="center"/>
                </w:tcPr>
                <w:p w14:paraId="7E3A4F3D">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p>
              </w:tc>
              <w:tc>
                <w:tcPr>
                  <w:tcW w:w="249" w:type="pct"/>
                  <w:vAlign w:val="center"/>
                </w:tcPr>
                <w:p w14:paraId="1DFED976">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rPr>
                    <w:t>1</w:t>
                  </w:r>
                </w:p>
              </w:tc>
              <w:tc>
                <w:tcPr>
                  <w:tcW w:w="2293" w:type="pct"/>
                  <w:vAlign w:val="center"/>
                </w:tcPr>
                <w:p w14:paraId="54E958E9">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rPr>
                    <w:t>建设项目概况中的建设地点、主体工程及其生产工艺，或者改扩建和技术改造项目的现有工程基本情况、污染物排放及达标情况等描述不全或者错误的</w:t>
                  </w:r>
                </w:p>
              </w:tc>
              <w:tc>
                <w:tcPr>
                  <w:tcW w:w="1748" w:type="pct"/>
                  <w:vAlign w:val="center"/>
                </w:tcPr>
                <w:p w14:paraId="1704C2B5">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rPr>
                    <w:t>本项目为</w:t>
                  </w:r>
                  <w:r>
                    <w:rPr>
                      <w:rFonts w:hint="eastAsia" w:ascii="Times New Roman" w:hAnsi="Times New Roman" w:eastAsia="宋体" w:cs="Times New Roman"/>
                      <w:color w:val="auto"/>
                      <w:szCs w:val="21"/>
                      <w:lang w:val="en-US" w:eastAsia="zh-CN"/>
                    </w:rPr>
                    <w:t>扩建</w:t>
                  </w:r>
                  <w:r>
                    <w:rPr>
                      <w:rFonts w:hint="default" w:ascii="Times New Roman" w:hAnsi="Times New Roman" w:eastAsia="宋体" w:cs="Times New Roman"/>
                      <w:color w:val="auto"/>
                      <w:szCs w:val="21"/>
                    </w:rPr>
                    <w:t>项目，建设项目概况中的建设地点、主体工程及其生产工艺、污染物排放及达标情况等描述齐全无误；现有工程基本情况、污染物排放及达标情况等描述齐全无误</w:t>
                  </w:r>
                </w:p>
              </w:tc>
              <w:tc>
                <w:tcPr>
                  <w:tcW w:w="458" w:type="pct"/>
                  <w:vAlign w:val="center"/>
                </w:tcPr>
                <w:p w14:paraId="2CAE47FC">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rPr>
                    <w:t>符合</w:t>
                  </w:r>
                </w:p>
              </w:tc>
            </w:tr>
            <w:tr w14:paraId="58486F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249" w:type="pct"/>
                  <w:vMerge w:val="continue"/>
                  <w:vAlign w:val="center"/>
                </w:tcPr>
                <w:p w14:paraId="3877CADA">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p>
              </w:tc>
              <w:tc>
                <w:tcPr>
                  <w:tcW w:w="249" w:type="pct"/>
                  <w:vAlign w:val="center"/>
                </w:tcPr>
                <w:p w14:paraId="66ADE78F">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rPr>
                    <w:t>2</w:t>
                  </w:r>
                </w:p>
              </w:tc>
              <w:tc>
                <w:tcPr>
                  <w:tcW w:w="2293" w:type="pct"/>
                  <w:vAlign w:val="center"/>
                </w:tcPr>
                <w:p w14:paraId="38993509">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rPr>
                    <w:t>遗漏自然保护区、饮用水水源保护区或者以居住、医疗卫生、文化教育为主要功能的区域等环境保护目标的</w:t>
                  </w:r>
                </w:p>
              </w:tc>
              <w:tc>
                <w:tcPr>
                  <w:tcW w:w="1748" w:type="pct"/>
                  <w:vAlign w:val="center"/>
                </w:tcPr>
                <w:p w14:paraId="68947D2C">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rPr>
                    <w:t>未遗漏环境保护目标</w:t>
                  </w:r>
                </w:p>
              </w:tc>
              <w:tc>
                <w:tcPr>
                  <w:tcW w:w="458" w:type="pct"/>
                  <w:vAlign w:val="center"/>
                </w:tcPr>
                <w:p w14:paraId="2392F833">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rPr>
                    <w:t>符合</w:t>
                  </w:r>
                </w:p>
              </w:tc>
            </w:tr>
            <w:tr w14:paraId="3B09C7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249" w:type="pct"/>
                  <w:vMerge w:val="continue"/>
                  <w:vAlign w:val="center"/>
                </w:tcPr>
                <w:p w14:paraId="6DEF48AE">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p>
              </w:tc>
              <w:tc>
                <w:tcPr>
                  <w:tcW w:w="249" w:type="pct"/>
                  <w:vAlign w:val="center"/>
                </w:tcPr>
                <w:p w14:paraId="0FC42935">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rPr>
                    <w:t>3</w:t>
                  </w:r>
                </w:p>
              </w:tc>
              <w:tc>
                <w:tcPr>
                  <w:tcW w:w="2293" w:type="pct"/>
                  <w:vAlign w:val="center"/>
                </w:tcPr>
                <w:p w14:paraId="736DA29A">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rPr>
                    <w:t>未开展环境影响评价范围内的相关环境要素现状调查与评价，或者编造相关内容、结果的</w:t>
                  </w:r>
                </w:p>
              </w:tc>
              <w:tc>
                <w:tcPr>
                  <w:tcW w:w="1748" w:type="pct"/>
                  <w:vAlign w:val="center"/>
                </w:tcPr>
                <w:p w14:paraId="5003F1AB">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rPr>
                    <w:t>已开展环境影响评价范围内的相关环境要素现状调查与评价，相关内容、结果属实</w:t>
                  </w:r>
                </w:p>
              </w:tc>
              <w:tc>
                <w:tcPr>
                  <w:tcW w:w="458" w:type="pct"/>
                  <w:vAlign w:val="center"/>
                </w:tcPr>
                <w:p w14:paraId="425B138C">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rPr>
                    <w:t>符合</w:t>
                  </w:r>
                </w:p>
              </w:tc>
            </w:tr>
            <w:tr w14:paraId="250FA2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249" w:type="pct"/>
                  <w:vMerge w:val="continue"/>
                  <w:vAlign w:val="center"/>
                </w:tcPr>
                <w:p w14:paraId="01301FA8">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p>
              </w:tc>
              <w:tc>
                <w:tcPr>
                  <w:tcW w:w="249" w:type="pct"/>
                  <w:vAlign w:val="center"/>
                </w:tcPr>
                <w:p w14:paraId="2E3B3079">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rPr>
                    <w:t>4</w:t>
                  </w:r>
                </w:p>
              </w:tc>
              <w:tc>
                <w:tcPr>
                  <w:tcW w:w="2293" w:type="pct"/>
                  <w:vAlign w:val="center"/>
                </w:tcPr>
                <w:p w14:paraId="2FBF4D87">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rPr>
                    <w:t>未开展相关环境要素或者环境风险预测与评价，或者编造相关内容、结果的</w:t>
                  </w:r>
                </w:p>
              </w:tc>
              <w:tc>
                <w:tcPr>
                  <w:tcW w:w="1748" w:type="pct"/>
                  <w:vAlign w:val="center"/>
                </w:tcPr>
                <w:p w14:paraId="590E0287">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rPr>
                    <w:t>已开展相关环境要素或者环境风险预测与评价，相关内容、结果属实</w:t>
                  </w:r>
                </w:p>
              </w:tc>
              <w:tc>
                <w:tcPr>
                  <w:tcW w:w="458" w:type="pct"/>
                  <w:vAlign w:val="center"/>
                </w:tcPr>
                <w:p w14:paraId="0983EC5F">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rPr>
                    <w:t>符合</w:t>
                  </w:r>
                </w:p>
              </w:tc>
            </w:tr>
            <w:tr w14:paraId="4FBA91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249" w:type="pct"/>
                  <w:vMerge w:val="continue"/>
                  <w:vAlign w:val="center"/>
                </w:tcPr>
                <w:p w14:paraId="63EA0A3B">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p>
              </w:tc>
              <w:tc>
                <w:tcPr>
                  <w:tcW w:w="249" w:type="pct"/>
                  <w:vAlign w:val="center"/>
                </w:tcPr>
                <w:p w14:paraId="249752C0">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rPr>
                    <w:t>5</w:t>
                  </w:r>
                </w:p>
              </w:tc>
              <w:tc>
                <w:tcPr>
                  <w:tcW w:w="2293" w:type="pct"/>
                  <w:vAlign w:val="center"/>
                </w:tcPr>
                <w:p w14:paraId="5C4E5701">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rPr>
                    <w:t>所提环境保护措施无法确保污染物排放达到国家和地方排放标准或者有效预防和控制生态破坏，未针对建设项目可能产生的或者原有环境污染和生态破坏提出有效防治措施的</w:t>
                  </w:r>
                </w:p>
              </w:tc>
              <w:tc>
                <w:tcPr>
                  <w:tcW w:w="1748" w:type="pct"/>
                  <w:vAlign w:val="center"/>
                </w:tcPr>
                <w:p w14:paraId="446CB79A">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rPr>
                    <w:t>所提环境保护措施可确保污染物排放达到国家和地方排放标准，已针对性提出有效防治措施</w:t>
                  </w:r>
                </w:p>
              </w:tc>
              <w:tc>
                <w:tcPr>
                  <w:tcW w:w="458" w:type="pct"/>
                  <w:vAlign w:val="center"/>
                </w:tcPr>
                <w:p w14:paraId="19CC5A8D">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rPr>
                    <w:t>符合</w:t>
                  </w:r>
                </w:p>
              </w:tc>
            </w:tr>
            <w:tr w14:paraId="6BE875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249" w:type="pct"/>
                  <w:vMerge w:val="continue"/>
                  <w:vAlign w:val="center"/>
                </w:tcPr>
                <w:p w14:paraId="4363A077">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p>
              </w:tc>
              <w:tc>
                <w:tcPr>
                  <w:tcW w:w="249" w:type="pct"/>
                  <w:vAlign w:val="center"/>
                </w:tcPr>
                <w:p w14:paraId="600FC900">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rPr>
                    <w:t>6</w:t>
                  </w:r>
                </w:p>
              </w:tc>
              <w:tc>
                <w:tcPr>
                  <w:tcW w:w="2293" w:type="pct"/>
                  <w:vAlign w:val="center"/>
                </w:tcPr>
                <w:p w14:paraId="589EE1AF">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rPr>
                    <w:t>建设项目所在区域环境质量未达到国家或者地方环境质量标准，所提环境保护措施不能满足区域环境质量改善目标管理相关要求的</w:t>
                  </w:r>
                </w:p>
              </w:tc>
              <w:tc>
                <w:tcPr>
                  <w:tcW w:w="1748" w:type="pct"/>
                  <w:vAlign w:val="center"/>
                </w:tcPr>
                <w:p w14:paraId="6244EADC">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rPr>
                    <w:t>建设项目所在区域环境质量可达到国家或者地方环境质量标准</w:t>
                  </w:r>
                </w:p>
              </w:tc>
              <w:tc>
                <w:tcPr>
                  <w:tcW w:w="458" w:type="pct"/>
                  <w:vAlign w:val="center"/>
                </w:tcPr>
                <w:p w14:paraId="08F2F688">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rPr>
                    <w:t>符合</w:t>
                  </w:r>
                </w:p>
              </w:tc>
            </w:tr>
            <w:tr w14:paraId="34BEFD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249" w:type="pct"/>
                  <w:vMerge w:val="continue"/>
                  <w:vAlign w:val="center"/>
                </w:tcPr>
                <w:p w14:paraId="4FF0B53F">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p>
              </w:tc>
              <w:tc>
                <w:tcPr>
                  <w:tcW w:w="249" w:type="pct"/>
                  <w:vAlign w:val="center"/>
                </w:tcPr>
                <w:p w14:paraId="60661491">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rPr>
                    <w:t>7</w:t>
                  </w:r>
                </w:p>
              </w:tc>
              <w:tc>
                <w:tcPr>
                  <w:tcW w:w="2293" w:type="pct"/>
                  <w:vAlign w:val="center"/>
                </w:tcPr>
                <w:p w14:paraId="472FE0FB">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rPr>
                    <w:t>建设项目类型及其选址、布局、规模等不符合环境保护法律法规和相关法定规划，但给出环境影响可行结论的</w:t>
                  </w:r>
                </w:p>
              </w:tc>
              <w:tc>
                <w:tcPr>
                  <w:tcW w:w="1748" w:type="pct"/>
                  <w:vAlign w:val="center"/>
                </w:tcPr>
                <w:p w14:paraId="12D6E304">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rPr>
                    <w:t>建设项目类型及其选址、布局、规模等符合环境保护法律法规和相关法定规划，本项目具有可行性</w:t>
                  </w:r>
                </w:p>
              </w:tc>
              <w:tc>
                <w:tcPr>
                  <w:tcW w:w="458" w:type="pct"/>
                  <w:vAlign w:val="center"/>
                </w:tcPr>
                <w:p w14:paraId="58CFBE28">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rPr>
                    <w:t>符合</w:t>
                  </w:r>
                </w:p>
              </w:tc>
            </w:tr>
            <w:tr w14:paraId="41BABD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249" w:type="pct"/>
                  <w:vMerge w:val="continue"/>
                  <w:vAlign w:val="center"/>
                </w:tcPr>
                <w:p w14:paraId="1E003F2A">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p>
              </w:tc>
              <w:tc>
                <w:tcPr>
                  <w:tcW w:w="249" w:type="pct"/>
                  <w:vAlign w:val="center"/>
                </w:tcPr>
                <w:p w14:paraId="0A83DFA4">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rPr>
                    <w:t>8</w:t>
                  </w:r>
                </w:p>
              </w:tc>
              <w:tc>
                <w:tcPr>
                  <w:tcW w:w="2293" w:type="pct"/>
                  <w:vAlign w:val="center"/>
                </w:tcPr>
                <w:p w14:paraId="00273E98">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rPr>
                    <w:t>其他基础资料明显不实，内容有重大缺陷、遗漏、虚假，或者环境影响评价结论不正确、不合理的</w:t>
                  </w:r>
                </w:p>
              </w:tc>
              <w:tc>
                <w:tcPr>
                  <w:tcW w:w="1748" w:type="pct"/>
                  <w:vAlign w:val="center"/>
                </w:tcPr>
                <w:p w14:paraId="7C99008B">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rPr>
                    <w:t>项目基础资料明显属实，内容无重大缺陷、遗漏、虚假，环境影响评价结论正确、合理</w:t>
                  </w:r>
                </w:p>
              </w:tc>
              <w:tc>
                <w:tcPr>
                  <w:tcW w:w="458" w:type="pct"/>
                  <w:vAlign w:val="center"/>
                </w:tcPr>
                <w:p w14:paraId="14B6BE99">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rPr>
                    <w:t>符合</w:t>
                  </w:r>
                </w:p>
              </w:tc>
            </w:tr>
          </w:tbl>
          <w:p w14:paraId="7AD88A33">
            <w:pPr>
              <w:keepNext w:val="0"/>
              <w:keepLines w:val="0"/>
              <w:suppressLineNumbers w:val="0"/>
              <w:spacing w:before="0" w:beforeAutospacing="0" w:after="0" w:afterAutospacing="0" w:line="360" w:lineRule="auto"/>
              <w:ind w:left="0" w:right="0"/>
              <w:rPr>
                <w:rFonts w:hint="default" w:ascii="Times New Roman" w:hAnsi="Times New Roman" w:eastAsia="宋体" w:cs="Times New Roman"/>
                <w:b/>
                <w:bCs/>
                <w:color w:val="auto"/>
                <w:sz w:val="24"/>
              </w:rPr>
            </w:pPr>
            <w:r>
              <w:rPr>
                <w:rFonts w:hint="eastAsia" w:ascii="Times New Roman" w:hAnsi="Times New Roman" w:eastAsia="宋体" w:cs="Times New Roman"/>
                <w:b/>
                <w:bCs/>
                <w:color w:val="auto"/>
                <w:sz w:val="24"/>
                <w:lang w:val="en-US" w:eastAsia="zh-CN"/>
              </w:rPr>
              <w:t>1.2.17</w:t>
            </w:r>
            <w:r>
              <w:rPr>
                <w:rFonts w:hint="eastAsia" w:ascii="Times New Roman" w:hAnsi="Times New Roman" w:eastAsia="宋体" w:cs="Times New Roman"/>
                <w:b/>
                <w:bCs/>
                <w:color w:val="auto"/>
                <w:sz w:val="24"/>
              </w:rPr>
              <w:t>《关于印发&lt;湖州市国、省控地表水监测断面管理办法（试行）&gt;的通知》符合性分析</w:t>
            </w:r>
          </w:p>
          <w:p w14:paraId="603AC6A7">
            <w:pPr>
              <w:keepNext w:val="0"/>
              <w:keepLines w:val="0"/>
              <w:suppressLineNumbers w:val="0"/>
              <w:spacing w:before="0" w:beforeAutospacing="0" w:after="0" w:afterAutospacing="0" w:line="360" w:lineRule="auto"/>
              <w:ind w:left="0" w:right="0" w:firstLine="480" w:firstLineChars="200"/>
              <w:rPr>
                <w:rFonts w:hint="default" w:ascii="Times New Roman" w:hAnsi="Times New Roman" w:eastAsia="宋体" w:cs="Times New Roman"/>
                <w:color w:val="auto"/>
                <w:sz w:val="24"/>
              </w:rPr>
            </w:pPr>
            <w:r>
              <w:rPr>
                <w:rFonts w:hint="eastAsia" w:ascii="Times New Roman" w:hAnsi="Times New Roman" w:eastAsia="宋体" w:cs="Times New Roman"/>
                <w:color w:val="auto"/>
                <w:sz w:val="24"/>
              </w:rPr>
              <w:t>《湖州市国、省控地表水监测断面管理办法（试行）》第八条：生态环境部门应严格把控监测点位附近项目环评审批，对监测点位</w:t>
            </w:r>
            <w:r>
              <w:rPr>
                <w:rFonts w:hint="default" w:ascii="Times New Roman" w:hAnsi="Times New Roman" w:eastAsia="宋体" w:cs="Times New Roman"/>
                <w:color w:val="auto"/>
                <w:sz w:val="24"/>
              </w:rPr>
              <w:t>3</w:t>
            </w:r>
            <w:r>
              <w:rPr>
                <w:rFonts w:hint="eastAsia" w:ascii="Times New Roman" w:hAnsi="Times New Roman" w:eastAsia="宋体" w:cs="Times New Roman"/>
                <w:color w:val="auto"/>
                <w:sz w:val="24"/>
              </w:rPr>
              <w:t>公里范围内且可能对监测点位水质、监测行为产生影响的拟建项目进行审批时，应由环评审批、水生态环境、环境监测（监测中心、辐射与监测信息化处）等相关业务处室会商，根据会商意见进行批复。</w:t>
            </w:r>
          </w:p>
          <w:p w14:paraId="49E3E5E2">
            <w:pPr>
              <w:keepNext w:val="0"/>
              <w:keepLines w:val="0"/>
              <w:suppressLineNumbers w:val="0"/>
              <w:spacing w:before="0" w:beforeAutospacing="0" w:after="0" w:afterAutospacing="0" w:line="360" w:lineRule="auto"/>
              <w:ind w:left="0" w:right="0" w:firstLine="480" w:firstLineChars="200"/>
              <w:rPr>
                <w:rFonts w:hint="default" w:ascii="Times New Roman" w:hAnsi="Times New Roman" w:eastAsia="宋体" w:cs="Times New Roman"/>
                <w:color w:val="auto"/>
                <w:sz w:val="24"/>
              </w:rPr>
            </w:pPr>
            <w:r>
              <w:rPr>
                <w:rFonts w:hint="eastAsia" w:ascii="Times New Roman" w:hAnsi="Times New Roman" w:eastAsia="宋体" w:cs="Times New Roman"/>
                <w:color w:val="auto"/>
                <w:sz w:val="24"/>
              </w:rPr>
              <w:t>根据该办法中附件：《湖州市国、省控地表水监测点位经纬度表》可知，安吉涉及的国、省控地表水监测点位有塘浦断面、荆湾断面、递铺断面、老石坎水库、赋石水库、凤凰水库。</w:t>
            </w:r>
          </w:p>
          <w:p w14:paraId="46F6FA8C">
            <w:pPr>
              <w:keepNext w:val="0"/>
              <w:keepLines w:val="0"/>
              <w:suppressLineNumbers w:val="0"/>
              <w:spacing w:before="0" w:beforeAutospacing="0" w:after="0" w:afterAutospacing="0" w:line="360" w:lineRule="auto"/>
              <w:ind w:left="0" w:right="0" w:firstLine="480" w:firstLineChars="200"/>
              <w:rPr>
                <w:rFonts w:hint="default" w:ascii="Times New Roman" w:hAnsi="Times New Roman" w:eastAsia="宋体" w:cs="Times New Roman"/>
                <w:color w:val="auto"/>
                <w:sz w:val="24"/>
              </w:rPr>
            </w:pPr>
            <w:r>
              <w:rPr>
                <w:rFonts w:hint="eastAsia" w:ascii="Times New Roman" w:hAnsi="Times New Roman" w:eastAsia="宋体" w:cs="Times New Roman"/>
                <w:color w:val="auto"/>
                <w:sz w:val="24"/>
              </w:rPr>
              <w:t>本项目位于</w:t>
            </w:r>
            <w:r>
              <w:rPr>
                <w:rFonts w:hint="default" w:ascii="Times New Roman" w:hAnsi="Times New Roman" w:eastAsia="宋体" w:cs="Times New Roman"/>
                <w:color w:val="auto"/>
                <w:sz w:val="24"/>
              </w:rPr>
              <w:t>浙江省湖州市安吉县天子湖镇长隆路398号</w:t>
            </w:r>
            <w:r>
              <w:rPr>
                <w:rFonts w:hint="eastAsia" w:ascii="Times New Roman" w:hAnsi="Times New Roman" w:eastAsia="宋体" w:cs="Times New Roman"/>
                <w:color w:val="auto"/>
                <w:sz w:val="24"/>
              </w:rPr>
              <w:t>，距离项目最近的国、省控断面为东北侧约</w:t>
            </w:r>
            <w:r>
              <w:rPr>
                <w:rFonts w:hint="eastAsia" w:ascii="Times New Roman" w:hAnsi="Times New Roman" w:eastAsia="宋体" w:cs="Times New Roman"/>
                <w:color w:val="auto"/>
                <w:sz w:val="24"/>
                <w:lang w:val="en-US" w:eastAsia="zh-CN"/>
              </w:rPr>
              <w:t>13.27k</w:t>
            </w:r>
            <w:r>
              <w:rPr>
                <w:rFonts w:hint="default" w:ascii="Times New Roman" w:hAnsi="Times New Roman" w:eastAsia="宋体" w:cs="Times New Roman"/>
                <w:color w:val="auto"/>
                <w:sz w:val="24"/>
              </w:rPr>
              <w:t>m</w:t>
            </w:r>
            <w:r>
              <w:rPr>
                <w:rFonts w:hint="eastAsia" w:ascii="Times New Roman" w:hAnsi="Times New Roman" w:eastAsia="宋体" w:cs="Times New Roman"/>
                <w:color w:val="auto"/>
                <w:sz w:val="24"/>
              </w:rPr>
              <w:t>处的荆湾断面，因此本项目不在该监测断面</w:t>
            </w:r>
            <w:r>
              <w:rPr>
                <w:rFonts w:hint="default" w:ascii="Times New Roman" w:hAnsi="Times New Roman" w:eastAsia="宋体" w:cs="Times New Roman"/>
                <w:color w:val="auto"/>
                <w:sz w:val="24"/>
              </w:rPr>
              <w:t>3</w:t>
            </w:r>
            <w:r>
              <w:rPr>
                <w:rFonts w:hint="eastAsia" w:ascii="Times New Roman" w:hAnsi="Times New Roman" w:eastAsia="宋体" w:cs="Times New Roman"/>
                <w:color w:val="auto"/>
                <w:sz w:val="24"/>
              </w:rPr>
              <w:t>公里范围内。因此项目不会对监测点位水质、监测行为产生影响，符合管理办法的要求。</w:t>
            </w:r>
          </w:p>
          <w:p w14:paraId="0BF6B8D6">
            <w:pPr>
              <w:keepNext w:val="0"/>
              <w:keepLines w:val="0"/>
              <w:suppressLineNumbers w:val="0"/>
              <w:spacing w:before="0" w:beforeAutospacing="0" w:after="0" w:afterAutospacing="0" w:line="360" w:lineRule="auto"/>
              <w:ind w:left="0" w:right="0"/>
              <w:rPr>
                <w:rFonts w:hint="default" w:ascii="Times New Roman" w:hAnsi="Times New Roman" w:eastAsia="宋体" w:cs="Times New Roman"/>
                <w:b/>
                <w:bCs/>
                <w:color w:val="auto"/>
                <w:sz w:val="24"/>
              </w:rPr>
            </w:pPr>
            <w:r>
              <w:rPr>
                <w:rFonts w:hint="eastAsia" w:ascii="Times New Roman" w:hAnsi="Times New Roman" w:eastAsia="宋体" w:cs="Times New Roman"/>
                <w:b/>
                <w:bCs/>
                <w:color w:val="auto"/>
                <w:sz w:val="24"/>
                <w:lang w:val="en-US" w:eastAsia="zh-CN"/>
              </w:rPr>
              <w:t>1.2.18</w:t>
            </w:r>
            <w:r>
              <w:rPr>
                <w:rFonts w:hint="eastAsia" w:ascii="Times New Roman" w:hAnsi="Times New Roman" w:eastAsia="宋体" w:cs="Times New Roman"/>
                <w:b/>
                <w:bCs/>
                <w:color w:val="auto"/>
                <w:sz w:val="24"/>
              </w:rPr>
              <w:t>环评类别及审批权限</w:t>
            </w:r>
          </w:p>
          <w:p w14:paraId="70ACAFF4">
            <w:pPr>
              <w:keepNext w:val="0"/>
              <w:keepLines w:val="0"/>
              <w:suppressLineNumbers w:val="0"/>
              <w:spacing w:before="0" w:beforeAutospacing="0" w:after="0" w:afterAutospacing="0" w:line="360" w:lineRule="auto"/>
              <w:ind w:left="0" w:right="0" w:firstLine="480" w:firstLineChars="200"/>
              <w:rPr>
                <w:rFonts w:hint="default" w:ascii="Times New Roman" w:hAnsi="Times New Roman" w:eastAsia="宋体" w:cs="Times New Roman"/>
                <w:color w:val="auto"/>
                <w:sz w:val="24"/>
              </w:rPr>
            </w:pPr>
            <w:r>
              <w:rPr>
                <w:rFonts w:hint="eastAsia" w:ascii="Times New Roman" w:hAnsi="Times New Roman" w:eastAsia="宋体" w:cs="Times New Roman"/>
                <w:color w:val="auto"/>
                <w:sz w:val="24"/>
              </w:rPr>
              <w:t>对照《建设项目环境影响评价分类管理名录（</w:t>
            </w:r>
            <w:r>
              <w:rPr>
                <w:rFonts w:hint="default" w:ascii="Times New Roman" w:hAnsi="Times New Roman" w:eastAsia="宋体" w:cs="Times New Roman"/>
                <w:color w:val="auto"/>
                <w:sz w:val="24"/>
              </w:rPr>
              <w:t>2021</w:t>
            </w:r>
            <w:r>
              <w:rPr>
                <w:rFonts w:hint="eastAsia" w:ascii="Times New Roman" w:hAnsi="Times New Roman" w:eastAsia="宋体" w:cs="Times New Roman"/>
                <w:color w:val="auto"/>
                <w:sz w:val="24"/>
              </w:rPr>
              <w:t>版）》，项目属于类别中</w:t>
            </w:r>
            <w:r>
              <w:rPr>
                <w:rFonts w:hint="eastAsia" w:ascii="Times New Roman" w:hAnsi="Times New Roman" w:eastAsia="宋体" w:cs="Times New Roman"/>
                <w:color w:val="auto"/>
                <w:sz w:val="24"/>
                <w:lang w:eastAsia="zh-CN"/>
              </w:rPr>
              <w:t>“</w:t>
            </w:r>
            <w:r>
              <w:rPr>
                <w:rFonts w:hint="eastAsia" w:ascii="Times New Roman" w:hAnsi="Times New Roman" w:eastAsia="宋体" w:cs="Times New Roman"/>
                <w:color w:val="auto"/>
                <w:sz w:val="24"/>
              </w:rPr>
              <w:t>二十六、橡胶和塑料制品业29-5</w:t>
            </w:r>
            <w:r>
              <w:rPr>
                <w:rFonts w:hint="eastAsia" w:ascii="Times New Roman" w:hAnsi="Times New Roman" w:eastAsia="宋体" w:cs="Times New Roman"/>
                <w:color w:val="auto"/>
                <w:sz w:val="24"/>
                <w:lang w:val="en-US" w:eastAsia="zh-CN"/>
              </w:rPr>
              <w:t>3</w:t>
            </w:r>
            <w:r>
              <w:rPr>
                <w:rFonts w:hint="eastAsia" w:ascii="Times New Roman" w:hAnsi="Times New Roman" w:eastAsia="宋体" w:cs="Times New Roman"/>
                <w:color w:val="auto"/>
                <w:sz w:val="24"/>
              </w:rPr>
              <w:t>、</w:t>
            </w:r>
            <w:r>
              <w:rPr>
                <w:rFonts w:hint="eastAsia" w:ascii="Times New Roman" w:hAnsi="Times New Roman" w:eastAsia="宋体" w:cs="Times New Roman"/>
                <w:color w:val="auto"/>
                <w:sz w:val="24"/>
                <w:lang w:val="en-US" w:eastAsia="zh-CN"/>
              </w:rPr>
              <w:t>塑料制品业292</w:t>
            </w:r>
            <w:r>
              <w:rPr>
                <w:rFonts w:hint="eastAsia" w:ascii="Times New Roman" w:hAnsi="Times New Roman" w:eastAsia="宋体" w:cs="Times New Roman"/>
                <w:color w:val="auto"/>
                <w:sz w:val="24"/>
              </w:rPr>
              <w:t>-</w:t>
            </w:r>
            <w:r>
              <w:rPr>
                <w:rFonts w:hint="eastAsia" w:ascii="Times New Roman" w:hAnsi="Times New Roman" w:eastAsia="宋体" w:cs="Times New Roman"/>
                <w:color w:val="auto"/>
                <w:sz w:val="24"/>
                <w:lang w:val="en-US" w:eastAsia="zh-CN"/>
              </w:rPr>
              <w:t>其他（年用非溶剂型低VOCs含量涂料10吨以下的除外）</w:t>
            </w:r>
            <w:r>
              <w:rPr>
                <w:rFonts w:hint="eastAsia" w:ascii="Times New Roman" w:hAnsi="Times New Roman" w:eastAsia="宋体" w:cs="Times New Roman"/>
                <w:color w:val="auto"/>
                <w:sz w:val="24"/>
                <w:lang w:eastAsia="zh-CN"/>
              </w:rPr>
              <w:t>；</w:t>
            </w:r>
            <w:r>
              <w:rPr>
                <w:rFonts w:hint="eastAsia" w:ascii="Times New Roman" w:hAnsi="Times New Roman" w:eastAsia="宋体" w:cs="Times New Roman"/>
                <w:color w:val="auto"/>
                <w:sz w:val="24"/>
              </w:rPr>
              <w:t>二十七、非金属矿物制品业30-56、砖瓦、石材等建筑材料制造303-隔热、隔音材料制造</w:t>
            </w:r>
            <w:r>
              <w:rPr>
                <w:rFonts w:hint="eastAsia" w:ascii="Times New Roman" w:hAnsi="Times New Roman" w:eastAsia="宋体" w:cs="Times New Roman"/>
                <w:color w:val="auto"/>
                <w:sz w:val="24"/>
                <w:lang w:eastAsia="zh-CN"/>
              </w:rPr>
              <w:t>；</w:t>
            </w:r>
            <w:r>
              <w:rPr>
                <w:rFonts w:hint="eastAsia" w:ascii="Times New Roman" w:hAnsi="Times New Roman" w:eastAsia="宋体" w:cs="Times New Roman"/>
                <w:color w:val="auto"/>
                <w:sz w:val="24"/>
              </w:rPr>
              <w:t>三十三、汽车制造业36-71、汽车零部件及配件制造367-其他（年用非溶剂型低VOCs含量涂料10吨以下的除外）</w:t>
            </w:r>
            <w:r>
              <w:rPr>
                <w:rFonts w:hint="eastAsia" w:ascii="Times New Roman" w:hAnsi="Times New Roman" w:eastAsia="宋体" w:cs="Times New Roman"/>
                <w:color w:val="auto"/>
                <w:sz w:val="24"/>
                <w:lang w:eastAsia="zh-CN"/>
              </w:rPr>
              <w:t>”</w:t>
            </w:r>
            <w:r>
              <w:rPr>
                <w:rFonts w:hint="eastAsia" w:ascii="Times New Roman" w:hAnsi="Times New Roman" w:eastAsia="宋体" w:cs="Times New Roman"/>
                <w:color w:val="auto"/>
                <w:sz w:val="24"/>
              </w:rPr>
              <w:t>，因此，项目需要编制</w:t>
            </w:r>
            <w:r>
              <w:rPr>
                <w:rFonts w:hint="eastAsia" w:ascii="Times New Roman" w:hAnsi="Times New Roman" w:eastAsia="宋体" w:cs="Times New Roman"/>
                <w:color w:val="auto"/>
                <w:sz w:val="24"/>
                <w:lang w:val="en-US" w:eastAsia="zh-CN"/>
              </w:rPr>
              <w:t>生态</w:t>
            </w:r>
            <w:r>
              <w:rPr>
                <w:rFonts w:hint="eastAsia" w:ascii="Times New Roman" w:hAnsi="Times New Roman" w:eastAsia="宋体" w:cs="Times New Roman"/>
                <w:color w:val="auto"/>
                <w:sz w:val="24"/>
              </w:rPr>
              <w:t>环境影响报告表。根据《关于发布</w:t>
            </w:r>
            <w:r>
              <w:rPr>
                <w:rFonts w:hint="eastAsia" w:ascii="Times New Roman" w:hAnsi="Times New Roman" w:eastAsia="宋体" w:cs="Times New Roman"/>
                <w:color w:val="auto"/>
                <w:sz w:val="24"/>
                <w:lang w:val="en-US" w:eastAsia="zh-CN"/>
              </w:rPr>
              <w:t>＜</w:t>
            </w:r>
            <w:r>
              <w:rPr>
                <w:rFonts w:hint="eastAsia" w:ascii="Times New Roman" w:hAnsi="Times New Roman" w:eastAsia="宋体" w:cs="Times New Roman"/>
                <w:color w:val="auto"/>
                <w:sz w:val="24"/>
              </w:rPr>
              <w:t>生态环境部审批环境影响评价文件的建设项目目录（</w:t>
            </w:r>
            <w:r>
              <w:rPr>
                <w:rFonts w:hint="default" w:ascii="Times New Roman" w:hAnsi="Times New Roman" w:eastAsia="宋体" w:cs="Times New Roman"/>
                <w:color w:val="auto"/>
                <w:sz w:val="24"/>
              </w:rPr>
              <w:t>2019</w:t>
            </w:r>
            <w:r>
              <w:rPr>
                <w:rFonts w:hint="eastAsia" w:ascii="Times New Roman" w:hAnsi="Times New Roman" w:eastAsia="宋体" w:cs="Times New Roman"/>
                <w:color w:val="auto"/>
                <w:sz w:val="24"/>
              </w:rPr>
              <w:t>年本）＞的公告》（公告</w:t>
            </w:r>
            <w:r>
              <w:rPr>
                <w:rFonts w:hint="default" w:ascii="Times New Roman" w:hAnsi="Times New Roman" w:eastAsia="宋体" w:cs="Times New Roman"/>
                <w:color w:val="auto"/>
                <w:sz w:val="24"/>
              </w:rPr>
              <w:t>2019</w:t>
            </w:r>
            <w:r>
              <w:rPr>
                <w:rFonts w:hint="eastAsia" w:ascii="Times New Roman" w:hAnsi="Times New Roman" w:eastAsia="宋体" w:cs="Times New Roman"/>
                <w:color w:val="auto"/>
                <w:sz w:val="24"/>
              </w:rPr>
              <w:t>年第</w:t>
            </w:r>
            <w:r>
              <w:rPr>
                <w:rFonts w:hint="default" w:ascii="Times New Roman" w:hAnsi="Times New Roman" w:eastAsia="宋体" w:cs="Times New Roman"/>
                <w:color w:val="auto"/>
                <w:sz w:val="24"/>
              </w:rPr>
              <w:t>8</w:t>
            </w:r>
            <w:r>
              <w:rPr>
                <w:rFonts w:hint="eastAsia" w:ascii="Times New Roman" w:hAnsi="Times New Roman" w:eastAsia="宋体" w:cs="Times New Roman"/>
                <w:color w:val="auto"/>
                <w:sz w:val="24"/>
              </w:rPr>
              <w:t>号）、</w:t>
            </w:r>
            <w:r>
              <w:rPr>
                <w:rFonts w:hint="eastAsia" w:ascii="Times New Roman" w:hAnsi="Times New Roman" w:eastAsia="宋体" w:cs="Times New Roman"/>
                <w:color w:val="00B050"/>
                <w:sz w:val="24"/>
              </w:rPr>
              <w:t>《</w:t>
            </w:r>
            <w:r>
              <w:rPr>
                <w:rFonts w:hint="eastAsia" w:ascii="Times New Roman" w:hAnsi="Times New Roman" w:eastAsia="宋体" w:cs="Times New Roman"/>
                <w:color w:val="00B050"/>
                <w:sz w:val="24"/>
                <w:lang w:val="en-US" w:eastAsia="zh-CN"/>
              </w:rPr>
              <w:t>浙江省生态环境厅关于发布＜</w:t>
            </w:r>
            <w:r>
              <w:rPr>
                <w:rFonts w:hint="eastAsia" w:ascii="Times New Roman" w:hAnsi="Times New Roman" w:eastAsia="宋体" w:cs="Times New Roman"/>
                <w:color w:val="00B050"/>
                <w:sz w:val="24"/>
              </w:rPr>
              <w:t>省生态环境主管部门负责审批环境影响评价文件的建设项目清单（2024年本）＞</w:t>
            </w:r>
            <w:r>
              <w:rPr>
                <w:rFonts w:hint="eastAsia" w:ascii="Times New Roman" w:hAnsi="Times New Roman" w:eastAsia="宋体" w:cs="Times New Roman"/>
                <w:color w:val="00B050"/>
                <w:sz w:val="24"/>
                <w:lang w:val="en-US" w:eastAsia="zh-CN"/>
              </w:rPr>
              <w:t>的通知</w:t>
            </w:r>
            <w:r>
              <w:rPr>
                <w:rFonts w:hint="eastAsia" w:ascii="Times New Roman" w:hAnsi="Times New Roman" w:eastAsia="宋体" w:cs="Times New Roman"/>
                <w:color w:val="00B050"/>
                <w:sz w:val="24"/>
              </w:rPr>
              <w:t>》（浙环发〔2024〕67号、</w:t>
            </w:r>
            <w:r>
              <w:rPr>
                <w:rFonts w:hint="eastAsia" w:ascii="Times New Roman" w:hAnsi="Times New Roman" w:eastAsia="宋体" w:cs="Times New Roman"/>
                <w:color w:val="FF0000"/>
                <w:sz w:val="24"/>
              </w:rPr>
              <w:t>《湖州市生态环境局关于调整建设项目环评影响评价文件审批事权划分的通知》</w:t>
            </w:r>
            <w:r>
              <w:rPr>
                <w:rFonts w:hint="eastAsia" w:ascii="Times New Roman" w:hAnsi="Times New Roman" w:eastAsia="宋体" w:cs="Times New Roman"/>
                <w:color w:val="auto"/>
                <w:sz w:val="24"/>
              </w:rPr>
              <w:t>（湖环发</w:t>
            </w:r>
            <w:r>
              <w:rPr>
                <w:rFonts w:hint="default" w:ascii="Times New Roman" w:hAnsi="Times New Roman" w:eastAsia="宋体" w:cs="Times New Roman"/>
                <w:color w:val="FF0000"/>
                <w:sz w:val="24"/>
              </w:rPr>
              <w:t>[202</w:t>
            </w:r>
            <w:r>
              <w:rPr>
                <w:rFonts w:hint="eastAsia" w:ascii="Times New Roman" w:hAnsi="Times New Roman" w:eastAsia="宋体" w:cs="Times New Roman"/>
                <w:color w:val="FF0000"/>
                <w:sz w:val="24"/>
                <w:lang w:val="en-US" w:eastAsia="zh-CN"/>
              </w:rPr>
              <w:t>5</w:t>
            </w:r>
            <w:r>
              <w:rPr>
                <w:rFonts w:hint="default" w:ascii="Times New Roman" w:hAnsi="Times New Roman" w:eastAsia="宋体" w:cs="Times New Roman"/>
                <w:color w:val="FF0000"/>
                <w:sz w:val="24"/>
              </w:rPr>
              <w:t>]</w:t>
            </w:r>
            <w:r>
              <w:rPr>
                <w:rFonts w:hint="eastAsia" w:ascii="Times New Roman" w:hAnsi="Times New Roman" w:eastAsia="宋体" w:cs="Times New Roman"/>
                <w:color w:val="FF0000"/>
                <w:sz w:val="24"/>
                <w:lang w:val="en-US" w:eastAsia="zh-CN"/>
              </w:rPr>
              <w:t>3</w:t>
            </w:r>
            <w:r>
              <w:rPr>
                <w:rFonts w:hint="eastAsia" w:ascii="Times New Roman" w:hAnsi="Times New Roman" w:eastAsia="宋体" w:cs="Times New Roman"/>
                <w:color w:val="FF0000"/>
                <w:sz w:val="24"/>
              </w:rPr>
              <w:t>号</w:t>
            </w:r>
            <w:r>
              <w:rPr>
                <w:rFonts w:hint="eastAsia" w:ascii="Times New Roman" w:hAnsi="Times New Roman" w:eastAsia="宋体" w:cs="Times New Roman"/>
                <w:color w:val="auto"/>
                <w:sz w:val="24"/>
              </w:rPr>
              <w:t>）</w:t>
            </w:r>
            <w:r>
              <w:rPr>
                <w:rFonts w:hint="default"/>
              </w:rPr>
              <w:commentReference w:id="15"/>
            </w:r>
            <w:r>
              <w:rPr>
                <w:rFonts w:hint="eastAsia" w:ascii="Times New Roman" w:hAnsi="Times New Roman" w:eastAsia="宋体" w:cs="Times New Roman"/>
                <w:color w:val="auto"/>
                <w:sz w:val="24"/>
              </w:rPr>
              <w:t>等文件规定，项目不属于生态环境部审批目录、也不属于浙江省生态环境厅、湖州市生态环境局负责审批的目录，因此本项目由湖州市生态环境局长合分局负责审批。</w:t>
            </w:r>
          </w:p>
          <w:p w14:paraId="547D1D7A">
            <w:pPr>
              <w:keepNext w:val="0"/>
              <w:keepLines w:val="0"/>
              <w:suppressLineNumbers w:val="0"/>
              <w:spacing w:before="0" w:beforeAutospacing="0" w:after="0" w:afterAutospacing="0"/>
              <w:ind w:left="0" w:right="0"/>
              <w:rPr>
                <w:rFonts w:hint="default"/>
                <w:color w:val="auto"/>
              </w:rPr>
            </w:pPr>
          </w:p>
          <w:p w14:paraId="0FBAF03C">
            <w:pPr>
              <w:keepNext w:val="0"/>
              <w:keepLines w:val="0"/>
              <w:suppressLineNumbers w:val="0"/>
              <w:spacing w:before="0" w:beforeAutospacing="0" w:after="0" w:afterAutospacing="0"/>
              <w:ind w:left="0" w:right="0"/>
              <w:rPr>
                <w:rFonts w:hint="default"/>
                <w:color w:val="auto"/>
              </w:rPr>
            </w:pPr>
          </w:p>
          <w:p w14:paraId="61D0C002">
            <w:pPr>
              <w:keepNext w:val="0"/>
              <w:keepLines w:val="0"/>
              <w:suppressLineNumbers w:val="0"/>
              <w:spacing w:before="0" w:beforeAutospacing="0" w:after="0" w:afterAutospacing="0"/>
              <w:ind w:left="0" w:right="0"/>
              <w:rPr>
                <w:rFonts w:hint="default"/>
                <w:color w:val="auto"/>
              </w:rPr>
            </w:pPr>
          </w:p>
          <w:p w14:paraId="27A361A0">
            <w:pPr>
              <w:keepNext w:val="0"/>
              <w:keepLines w:val="0"/>
              <w:suppressLineNumbers w:val="0"/>
              <w:spacing w:before="0" w:beforeAutospacing="0" w:after="0" w:afterAutospacing="0"/>
              <w:ind w:left="0" w:right="0"/>
              <w:rPr>
                <w:rFonts w:hint="default"/>
                <w:color w:val="auto"/>
              </w:rPr>
            </w:pPr>
          </w:p>
          <w:p w14:paraId="31E17EA9">
            <w:pPr>
              <w:keepNext w:val="0"/>
              <w:keepLines w:val="0"/>
              <w:suppressLineNumbers w:val="0"/>
              <w:spacing w:before="0" w:beforeAutospacing="0" w:after="0" w:afterAutospacing="0"/>
              <w:ind w:left="0" w:right="0"/>
              <w:rPr>
                <w:rFonts w:hint="default"/>
                <w:color w:val="auto"/>
              </w:rPr>
            </w:pPr>
          </w:p>
          <w:p w14:paraId="5871433F">
            <w:pPr>
              <w:keepNext w:val="0"/>
              <w:keepLines w:val="0"/>
              <w:suppressLineNumbers w:val="0"/>
              <w:spacing w:before="0" w:beforeAutospacing="0" w:after="0" w:afterAutospacing="0"/>
              <w:ind w:left="0" w:right="0"/>
              <w:rPr>
                <w:rFonts w:hint="default"/>
                <w:color w:val="auto"/>
              </w:rPr>
            </w:pPr>
          </w:p>
          <w:p w14:paraId="3FC91719">
            <w:pPr>
              <w:keepNext w:val="0"/>
              <w:keepLines w:val="0"/>
              <w:suppressLineNumbers w:val="0"/>
              <w:spacing w:before="0" w:beforeAutospacing="0" w:after="0" w:afterAutospacing="0"/>
              <w:ind w:left="0" w:right="0"/>
              <w:rPr>
                <w:rFonts w:hint="default"/>
                <w:color w:val="auto"/>
              </w:rPr>
            </w:pPr>
          </w:p>
          <w:p w14:paraId="437E63AA">
            <w:pPr>
              <w:keepNext w:val="0"/>
              <w:keepLines w:val="0"/>
              <w:suppressLineNumbers w:val="0"/>
              <w:spacing w:before="0" w:beforeAutospacing="0" w:after="0" w:afterAutospacing="0"/>
              <w:ind w:left="0" w:right="0"/>
              <w:rPr>
                <w:rFonts w:hint="default"/>
                <w:color w:val="auto"/>
              </w:rPr>
            </w:pPr>
          </w:p>
          <w:p w14:paraId="171644C7">
            <w:pPr>
              <w:keepNext w:val="0"/>
              <w:keepLines w:val="0"/>
              <w:suppressLineNumbers w:val="0"/>
              <w:spacing w:before="0" w:beforeAutospacing="0" w:after="0" w:afterAutospacing="0"/>
              <w:ind w:left="0" w:right="0"/>
              <w:rPr>
                <w:rFonts w:hint="default"/>
                <w:color w:val="auto"/>
              </w:rPr>
            </w:pPr>
          </w:p>
          <w:p w14:paraId="09DC0F37">
            <w:pPr>
              <w:keepNext w:val="0"/>
              <w:keepLines w:val="0"/>
              <w:suppressLineNumbers w:val="0"/>
              <w:spacing w:before="0" w:beforeAutospacing="0" w:after="0" w:afterAutospacing="0"/>
              <w:ind w:left="0" w:right="0"/>
              <w:rPr>
                <w:rFonts w:hint="default"/>
                <w:color w:val="auto"/>
              </w:rPr>
            </w:pPr>
          </w:p>
          <w:p w14:paraId="47F3682D">
            <w:pPr>
              <w:keepNext w:val="0"/>
              <w:keepLines w:val="0"/>
              <w:suppressLineNumbers w:val="0"/>
              <w:spacing w:before="0" w:beforeAutospacing="0" w:after="0" w:afterAutospacing="0"/>
              <w:ind w:left="0" w:right="0"/>
              <w:rPr>
                <w:rFonts w:hint="default"/>
                <w:color w:val="auto"/>
              </w:rPr>
            </w:pPr>
          </w:p>
          <w:p w14:paraId="4DBFCF54">
            <w:pPr>
              <w:keepNext w:val="0"/>
              <w:keepLines w:val="0"/>
              <w:suppressLineNumbers w:val="0"/>
              <w:spacing w:before="0" w:beforeAutospacing="0" w:after="0" w:afterAutospacing="0"/>
              <w:ind w:left="0" w:right="0"/>
              <w:rPr>
                <w:rFonts w:hint="default"/>
                <w:color w:val="auto"/>
              </w:rPr>
            </w:pPr>
          </w:p>
          <w:p w14:paraId="241DE075">
            <w:pPr>
              <w:keepNext w:val="0"/>
              <w:keepLines w:val="0"/>
              <w:suppressLineNumbers w:val="0"/>
              <w:spacing w:before="0" w:beforeAutospacing="0" w:after="0" w:afterAutospacing="0"/>
              <w:ind w:left="0" w:right="0"/>
              <w:rPr>
                <w:rFonts w:hint="default"/>
                <w:color w:val="auto"/>
              </w:rPr>
            </w:pPr>
          </w:p>
          <w:p w14:paraId="21DE9336">
            <w:pPr>
              <w:keepNext w:val="0"/>
              <w:keepLines w:val="0"/>
              <w:suppressLineNumbers w:val="0"/>
              <w:spacing w:before="0" w:beforeAutospacing="0" w:after="0" w:afterAutospacing="0"/>
              <w:ind w:left="0" w:right="0"/>
              <w:rPr>
                <w:rFonts w:hint="default"/>
                <w:color w:val="auto"/>
              </w:rPr>
            </w:pPr>
          </w:p>
          <w:p w14:paraId="359ABE27">
            <w:pPr>
              <w:keepNext w:val="0"/>
              <w:keepLines w:val="0"/>
              <w:suppressLineNumbers w:val="0"/>
              <w:spacing w:before="0" w:beforeAutospacing="0" w:after="0" w:afterAutospacing="0"/>
              <w:ind w:left="0" w:right="0"/>
              <w:rPr>
                <w:rFonts w:hint="default"/>
                <w:color w:val="auto"/>
              </w:rPr>
            </w:pPr>
          </w:p>
          <w:p w14:paraId="034438B8">
            <w:pPr>
              <w:keepNext w:val="0"/>
              <w:keepLines w:val="0"/>
              <w:suppressLineNumbers w:val="0"/>
              <w:spacing w:before="0" w:beforeAutospacing="0" w:after="0" w:afterAutospacing="0"/>
              <w:ind w:left="0" w:right="0"/>
              <w:rPr>
                <w:rFonts w:hint="default"/>
                <w:color w:val="auto"/>
              </w:rPr>
            </w:pPr>
          </w:p>
          <w:p w14:paraId="6BAA447E">
            <w:pPr>
              <w:keepNext w:val="0"/>
              <w:keepLines w:val="0"/>
              <w:suppressLineNumbers w:val="0"/>
              <w:spacing w:before="0" w:beforeAutospacing="0" w:after="0" w:afterAutospacing="0"/>
              <w:ind w:left="0" w:right="0"/>
              <w:rPr>
                <w:rFonts w:hint="default"/>
                <w:color w:val="auto"/>
              </w:rPr>
            </w:pPr>
          </w:p>
          <w:p w14:paraId="047DFAE5">
            <w:pPr>
              <w:keepNext w:val="0"/>
              <w:keepLines w:val="0"/>
              <w:suppressLineNumbers w:val="0"/>
              <w:spacing w:before="0" w:beforeAutospacing="0" w:after="0" w:afterAutospacing="0"/>
              <w:ind w:left="0" w:right="0"/>
              <w:rPr>
                <w:rFonts w:hint="default"/>
                <w:color w:val="auto"/>
              </w:rPr>
            </w:pPr>
          </w:p>
          <w:p w14:paraId="6D24C266">
            <w:pPr>
              <w:keepNext w:val="0"/>
              <w:keepLines w:val="0"/>
              <w:suppressLineNumbers w:val="0"/>
              <w:spacing w:before="0" w:beforeAutospacing="0" w:after="0" w:afterAutospacing="0"/>
              <w:ind w:left="0" w:right="0"/>
              <w:rPr>
                <w:rFonts w:hint="default"/>
                <w:color w:val="auto"/>
              </w:rPr>
            </w:pPr>
          </w:p>
          <w:p w14:paraId="4D7554DF">
            <w:pPr>
              <w:keepNext w:val="0"/>
              <w:keepLines w:val="0"/>
              <w:suppressLineNumbers w:val="0"/>
              <w:spacing w:before="0" w:beforeAutospacing="0" w:after="0" w:afterAutospacing="0"/>
              <w:ind w:left="0" w:right="0"/>
              <w:rPr>
                <w:rFonts w:hint="default"/>
                <w:color w:val="auto"/>
              </w:rPr>
            </w:pPr>
          </w:p>
          <w:p w14:paraId="6C5B11E8">
            <w:pPr>
              <w:keepNext w:val="0"/>
              <w:keepLines w:val="0"/>
              <w:suppressLineNumbers w:val="0"/>
              <w:spacing w:before="0" w:beforeAutospacing="0" w:after="0" w:afterAutospacing="0"/>
              <w:ind w:left="0" w:right="0"/>
              <w:rPr>
                <w:rFonts w:hint="default"/>
                <w:color w:val="auto"/>
              </w:rPr>
            </w:pPr>
          </w:p>
          <w:p w14:paraId="154CD0A7">
            <w:pPr>
              <w:keepNext w:val="0"/>
              <w:keepLines w:val="0"/>
              <w:suppressLineNumbers w:val="0"/>
              <w:spacing w:before="0" w:beforeAutospacing="0" w:after="0" w:afterAutospacing="0"/>
              <w:ind w:left="0" w:right="0"/>
              <w:rPr>
                <w:rFonts w:hint="default"/>
                <w:color w:val="auto"/>
              </w:rPr>
            </w:pPr>
          </w:p>
          <w:p w14:paraId="7A0911FE">
            <w:pPr>
              <w:pStyle w:val="10"/>
              <w:keepNext w:val="0"/>
              <w:keepLines w:val="0"/>
              <w:suppressLineNumbers w:val="0"/>
              <w:spacing w:before="0" w:beforeAutospacing="0" w:afterAutospacing="0"/>
              <w:ind w:left="0" w:right="0"/>
              <w:rPr>
                <w:rFonts w:hint="default"/>
                <w:color w:val="auto"/>
              </w:rPr>
            </w:pPr>
          </w:p>
          <w:p w14:paraId="6FA65E99">
            <w:pPr>
              <w:pStyle w:val="10"/>
              <w:keepNext w:val="0"/>
              <w:keepLines w:val="0"/>
              <w:suppressLineNumbers w:val="0"/>
              <w:spacing w:before="0" w:beforeAutospacing="0" w:afterAutospacing="0"/>
              <w:ind w:left="0" w:right="0"/>
              <w:rPr>
                <w:rFonts w:hint="default"/>
              </w:rPr>
            </w:pPr>
          </w:p>
          <w:p w14:paraId="2E49E294">
            <w:pPr>
              <w:keepNext w:val="0"/>
              <w:keepLines w:val="0"/>
              <w:suppressLineNumbers w:val="0"/>
              <w:spacing w:before="0" w:beforeAutospacing="0" w:after="0" w:afterAutospacing="0"/>
              <w:ind w:left="0" w:right="0"/>
              <w:rPr>
                <w:rFonts w:hint="default"/>
              </w:rPr>
            </w:pPr>
          </w:p>
          <w:p w14:paraId="486DD60B">
            <w:pPr>
              <w:keepNext w:val="0"/>
              <w:keepLines w:val="0"/>
              <w:suppressLineNumbers w:val="0"/>
              <w:spacing w:before="0" w:beforeAutospacing="0" w:after="0" w:afterAutospacing="0"/>
              <w:ind w:left="0" w:right="0"/>
              <w:rPr>
                <w:rFonts w:hint="default"/>
              </w:rPr>
            </w:pPr>
          </w:p>
          <w:p w14:paraId="5B1EA057">
            <w:pPr>
              <w:keepNext w:val="0"/>
              <w:keepLines w:val="0"/>
              <w:suppressLineNumbers w:val="0"/>
              <w:spacing w:before="0" w:beforeAutospacing="0" w:after="0" w:afterAutospacing="0"/>
              <w:ind w:left="0" w:right="0"/>
              <w:rPr>
                <w:rFonts w:hint="default"/>
              </w:rPr>
            </w:pPr>
          </w:p>
        </w:tc>
      </w:tr>
    </w:tbl>
    <w:p w14:paraId="6FE8B970">
      <w:pPr>
        <w:rPr>
          <w:color w:val="auto"/>
        </w:rPr>
        <w:sectPr>
          <w:headerReference r:id="rId7" w:type="default"/>
          <w:footerReference r:id="rId8" w:type="default"/>
          <w:pgSz w:w="11906" w:h="16838"/>
          <w:pgMar w:top="1417" w:right="1417" w:bottom="1417" w:left="1417" w:header="851" w:footer="992" w:gutter="0"/>
          <w:pgBorders>
            <w:top w:val="none" w:sz="0" w:space="0"/>
            <w:left w:val="none" w:sz="0" w:space="0"/>
            <w:bottom w:val="none" w:sz="0" w:space="0"/>
            <w:right w:val="none" w:sz="0" w:space="0"/>
          </w:pgBorders>
          <w:pgNumType w:start="1"/>
          <w:cols w:space="425" w:num="1"/>
          <w:docGrid w:type="lines" w:linePitch="312" w:charSpace="0"/>
        </w:sectPr>
      </w:pPr>
    </w:p>
    <w:p w14:paraId="4E1EE6A9">
      <w:pPr>
        <w:pStyle w:val="2"/>
        <w:rPr>
          <w:rFonts w:ascii="Times New Roman" w:hAnsi="Times New Roman" w:eastAsia="宋体" w:cs="Times New Roman"/>
          <w:color w:val="auto"/>
          <w:sz w:val="30"/>
          <w:szCs w:val="30"/>
        </w:rPr>
      </w:pPr>
      <w:bookmarkStart w:id="3" w:name="_Toc24364"/>
      <w:r>
        <w:rPr>
          <w:rFonts w:hint="eastAsia" w:ascii="Times New Roman" w:hAnsi="Times New Roman" w:eastAsia="宋体" w:cs="Times New Roman"/>
          <w:color w:val="auto"/>
          <w:sz w:val="30"/>
          <w:szCs w:val="30"/>
        </w:rPr>
        <w:t>二</w:t>
      </w:r>
      <w:r>
        <w:rPr>
          <w:rFonts w:ascii="Times New Roman" w:hAnsi="Times New Roman" w:eastAsia="宋体" w:cs="Times New Roman"/>
          <w:color w:val="auto"/>
          <w:sz w:val="30"/>
          <w:szCs w:val="30"/>
        </w:rPr>
        <w:t>、建设项目工程分析</w:t>
      </w:r>
      <w:bookmarkEnd w:id="3"/>
    </w:p>
    <w:tbl>
      <w:tblPr>
        <w:tblStyle w:val="23"/>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81"/>
        <w:gridCol w:w="8401"/>
      </w:tblGrid>
      <w:tr w14:paraId="738388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110" w:hRule="atLeast"/>
        </w:trPr>
        <w:tc>
          <w:tcPr>
            <w:tcW w:w="481" w:type="dxa"/>
            <w:vAlign w:val="center"/>
          </w:tcPr>
          <w:p w14:paraId="1283CDAB">
            <w:pPr>
              <w:keepNext w:val="0"/>
              <w:keepLines w:val="0"/>
              <w:suppressLineNumbers w:val="0"/>
              <w:spacing w:before="0" w:beforeAutospacing="0" w:after="0" w:afterAutospacing="0"/>
              <w:ind w:left="0" w:right="0"/>
              <w:jc w:val="center"/>
              <w:rPr>
                <w:rFonts w:hint="default" w:ascii="Times New Roman" w:hAnsi="Times New Roman" w:eastAsia="宋体" w:cs="Times New Roman"/>
                <w:b/>
                <w:bCs/>
                <w:color w:val="auto"/>
                <w:sz w:val="24"/>
              </w:rPr>
            </w:pPr>
            <w:r>
              <w:rPr>
                <w:rFonts w:hint="eastAsia" w:ascii="Times New Roman" w:hAnsi="Times New Roman" w:eastAsia="宋体" w:cs="Times New Roman"/>
                <w:b/>
                <w:bCs/>
                <w:color w:val="auto"/>
                <w:sz w:val="24"/>
              </w:rPr>
              <w:t>建设内容</w:t>
            </w:r>
          </w:p>
        </w:tc>
        <w:tc>
          <w:tcPr>
            <w:tcW w:w="8401" w:type="dxa"/>
          </w:tcPr>
          <w:p w14:paraId="6575DEA7">
            <w:pPr>
              <w:keepNext w:val="0"/>
              <w:keepLines w:val="0"/>
              <w:suppressLineNumbers w:val="0"/>
              <w:spacing w:before="0" w:beforeAutospacing="0" w:after="0" w:afterAutospacing="0" w:line="360" w:lineRule="auto"/>
              <w:ind w:left="0" w:right="0"/>
              <w:rPr>
                <w:rFonts w:hint="default" w:ascii="Times New Roman" w:hAnsi="Times New Roman" w:eastAsia="宋体" w:cs="Times New Roman"/>
                <w:b/>
                <w:bCs/>
                <w:color w:val="auto"/>
                <w:sz w:val="24"/>
              </w:rPr>
            </w:pPr>
            <w:r>
              <w:rPr>
                <w:rFonts w:hint="eastAsia" w:ascii="Times New Roman" w:hAnsi="Times New Roman" w:eastAsia="宋体" w:cs="Times New Roman"/>
                <w:b/>
                <w:bCs/>
                <w:color w:val="auto"/>
                <w:sz w:val="24"/>
              </w:rPr>
              <w:t>2.1主要建设内容</w:t>
            </w:r>
          </w:p>
          <w:p w14:paraId="75EB9C15">
            <w:pPr>
              <w:keepNext w:val="0"/>
              <w:keepLines w:val="0"/>
              <w:suppressLineNumbers w:val="0"/>
              <w:spacing w:before="0" w:beforeAutospacing="0" w:after="0" w:afterAutospacing="0" w:line="360" w:lineRule="auto"/>
              <w:ind w:left="0" w:right="0" w:firstLine="480" w:firstLineChars="200"/>
              <w:rPr>
                <w:rFonts w:hint="eastAsia" w:ascii="Times New Roman" w:hAnsi="Times New Roman" w:eastAsia="宋体" w:cs="Times New Roman"/>
                <w:color w:val="auto"/>
                <w:sz w:val="24"/>
                <w:lang w:val="en-US" w:eastAsia="zh-CN"/>
              </w:rPr>
            </w:pPr>
            <w:r>
              <w:rPr>
                <w:rFonts w:hint="eastAsia" w:ascii="Times New Roman" w:hAnsi="Times New Roman" w:eastAsia="宋体" w:cs="Times New Roman"/>
                <w:color w:val="auto"/>
                <w:sz w:val="24"/>
              </w:rPr>
              <w:t>浙江凌志源科技股份有限公司原名为浙江凌志新能源科技有限公司，成立于2019年9月，注册地址为浙江省湖州市安吉县天子湖镇兴盛路1399号。企业于2025年12月完成工商名称变更，变更为浙江凌志源科技股份有限公司。浙江凌志源科技股份有限公司是一家从事</w:t>
            </w:r>
            <w:r>
              <w:rPr>
                <w:rFonts w:hint="eastAsia" w:ascii="Times New Roman" w:hAnsi="Times New Roman" w:eastAsia="宋体" w:cs="Times New Roman"/>
                <w:color w:val="FF0000"/>
                <w:sz w:val="24"/>
                <w:lang w:val="en-US" w:eastAsia="zh-CN"/>
              </w:rPr>
              <w:t>汽车零部件专用</w:t>
            </w:r>
            <w:r>
              <w:rPr>
                <w:rFonts w:hint="eastAsia" w:ascii="Times New Roman" w:hAnsi="Times New Roman" w:eastAsia="宋体" w:cs="Times New Roman"/>
                <w:color w:val="FF0000"/>
                <w:sz w:val="24"/>
              </w:rPr>
              <w:t>新材料技术研发</w:t>
            </w:r>
            <w:r>
              <w:rPr>
                <w:rFonts w:hint="eastAsia" w:ascii="Times New Roman" w:hAnsi="Times New Roman" w:eastAsia="宋体" w:cs="Times New Roman"/>
                <w:color w:val="FF0000"/>
                <w:sz w:val="24"/>
                <w:lang w:val="en-US" w:eastAsia="zh-CN"/>
              </w:rPr>
              <w:t>的公司</w:t>
            </w:r>
            <w:commentRangeStart w:id="16"/>
            <w:commentRangeStart w:id="17"/>
            <w:r>
              <w:rPr>
                <w:rFonts w:hint="default"/>
              </w:rPr>
              <w:commentReference w:id="16"/>
            </w:r>
            <w:commentRangeEnd w:id="16"/>
            <w:commentRangeEnd w:id="17"/>
            <w:r>
              <w:rPr>
                <w:rFonts w:hint="default"/>
              </w:rPr>
              <w:commentReference w:id="17"/>
            </w:r>
            <w:r>
              <w:rPr>
                <w:rFonts w:hint="eastAsia" w:ascii="Times New Roman" w:hAnsi="Times New Roman" w:eastAsia="宋体" w:cs="Times New Roman"/>
                <w:color w:val="auto"/>
                <w:sz w:val="24"/>
              </w:rPr>
              <w:t>。截止目前，浙江凌志源科技股份有限公司共申报过3个项目。企业现有项目环保手续履行情况</w:t>
            </w:r>
            <w:r>
              <w:rPr>
                <w:rFonts w:hint="eastAsia" w:ascii="Times New Roman" w:hAnsi="Times New Roman" w:eastAsia="宋体" w:cs="Times New Roman"/>
                <w:color w:val="auto"/>
                <w:sz w:val="24"/>
                <w:lang w:val="en-US" w:eastAsia="zh-CN"/>
              </w:rPr>
              <w:t>具体见第2.3.1节。</w:t>
            </w:r>
          </w:p>
          <w:p w14:paraId="50D43B1B">
            <w:pPr>
              <w:keepNext w:val="0"/>
              <w:keepLines w:val="0"/>
              <w:suppressLineNumbers w:val="0"/>
              <w:spacing w:before="0" w:beforeAutospacing="0" w:after="0" w:afterAutospacing="0" w:line="360" w:lineRule="auto"/>
              <w:ind w:left="0" w:right="0" w:firstLine="480" w:firstLineChars="200"/>
              <w:rPr>
                <w:rFonts w:hint="default" w:ascii="Times New Roman" w:hAnsi="Times New Roman" w:eastAsia="宋体" w:cs="Times New Roman"/>
                <w:color w:val="auto"/>
                <w:sz w:val="24"/>
              </w:rPr>
            </w:pPr>
            <w:r>
              <w:rPr>
                <w:rFonts w:hint="eastAsia" w:ascii="Times New Roman" w:hAnsi="Times New Roman" w:eastAsia="宋体" w:cs="Times New Roman"/>
                <w:color w:val="auto"/>
                <w:sz w:val="24"/>
              </w:rPr>
              <w:t>本项目计划投资5000万元，</w:t>
            </w:r>
            <w:commentRangeStart w:id="18"/>
            <w:commentRangeStart w:id="19"/>
            <w:r>
              <w:rPr>
                <w:rFonts w:hint="default" w:ascii="Times New Roman" w:hAnsi="Times New Roman" w:eastAsia="宋体" w:cs="Times New Roman"/>
                <w:color w:val="auto"/>
                <w:sz w:val="24"/>
              </w:rPr>
              <w:commentReference w:id="18"/>
            </w:r>
            <w:commentRangeEnd w:id="18"/>
            <w:commentRangeEnd w:id="19"/>
            <w:r>
              <w:rPr>
                <w:rFonts w:hint="eastAsia" w:ascii="Times New Roman" w:hAnsi="Times New Roman" w:eastAsia="宋体" w:cs="Times New Roman"/>
                <w:color w:val="auto"/>
                <w:sz w:val="24"/>
              </w:rPr>
              <w:commentReference w:id="19"/>
            </w:r>
            <w:r>
              <w:rPr>
                <w:rFonts w:hint="eastAsia" w:ascii="Times New Roman" w:hAnsi="Times New Roman" w:eastAsia="宋体" w:cs="Times New Roman"/>
                <w:color w:val="auto"/>
                <w:sz w:val="24"/>
                <w:lang w:val="en-US" w:eastAsia="zh-CN"/>
              </w:rPr>
              <w:t>合计</w:t>
            </w:r>
            <w:r>
              <w:rPr>
                <w:rFonts w:hint="eastAsia" w:ascii="Times New Roman" w:hAnsi="Times New Roman" w:eastAsia="宋体" w:cs="Times New Roman"/>
                <w:color w:val="auto"/>
                <w:sz w:val="24"/>
              </w:rPr>
              <w:t>拟租赁浙江吉珈科技有限公司闲置厂房12909.36平方米，拟购置</w:t>
            </w:r>
            <w:commentRangeStart w:id="20"/>
            <w:commentRangeStart w:id="21"/>
            <w:r>
              <w:rPr>
                <w:rFonts w:hint="eastAsia" w:ascii="Times New Roman" w:hAnsi="Times New Roman" w:eastAsia="宋体" w:cs="Times New Roman"/>
                <w:color w:val="auto"/>
                <w:sz w:val="24"/>
              </w:rPr>
              <w:t>双组份打胶机、双组份压料机、压延涂布机、隧道式烤箱、剥离收卷机、超薄纳米板成型机、激光切割机、视觉贴胶机、贴合机</w:t>
            </w:r>
            <w:commentRangeEnd w:id="20"/>
            <w:r>
              <w:rPr>
                <w:rFonts w:hint="default"/>
              </w:rPr>
              <w:commentReference w:id="20"/>
            </w:r>
            <w:commentRangeEnd w:id="21"/>
            <w:r>
              <w:rPr>
                <w:rFonts w:hint="default"/>
              </w:rPr>
              <w:commentReference w:id="21"/>
            </w:r>
            <w:r>
              <w:rPr>
                <w:rFonts w:hint="eastAsia" w:ascii="Times New Roman" w:hAnsi="Times New Roman" w:eastAsia="宋体" w:cs="Times New Roman"/>
                <w:color w:val="auto"/>
                <w:sz w:val="24"/>
              </w:rPr>
              <w:t>等主要生产及辅助设备。本项目投产后，具备年产500万平方米第二代动力电池高安全陶瓷化复合隔膜及2000万片纳米隔热板的生产能力。</w:t>
            </w:r>
          </w:p>
          <w:p w14:paraId="34A48FE2">
            <w:pPr>
              <w:keepNext w:val="0"/>
              <w:keepLines w:val="0"/>
              <w:suppressLineNumbers w:val="0"/>
              <w:spacing w:before="0" w:beforeAutospacing="0" w:after="0" w:afterAutospacing="0" w:line="360" w:lineRule="auto"/>
              <w:ind w:left="0" w:right="0" w:firstLine="480" w:firstLineChars="200"/>
              <w:rPr>
                <w:rFonts w:hint="eastAsia" w:ascii="Times New Roman" w:hAnsi="Times New Roman" w:eastAsia="宋体" w:cs="Times New Roman"/>
                <w:color w:val="auto"/>
                <w:sz w:val="24"/>
              </w:rPr>
            </w:pPr>
            <w:bookmarkStart w:id="4" w:name="OLE_LINK38"/>
            <w:r>
              <w:rPr>
                <w:rFonts w:hint="eastAsia" w:ascii="Times New Roman" w:hAnsi="Times New Roman" w:eastAsia="宋体" w:cs="Times New Roman"/>
                <w:color w:val="auto"/>
                <w:sz w:val="24"/>
              </w:rPr>
              <w:t>本项目已经</w:t>
            </w:r>
            <w:r>
              <w:rPr>
                <w:rFonts w:hint="eastAsia" w:ascii="Times New Roman" w:hAnsi="Times New Roman" w:eastAsia="宋体" w:cs="Times New Roman"/>
                <w:color w:val="auto"/>
                <w:sz w:val="24"/>
                <w:lang w:val="en-US" w:eastAsia="zh-CN"/>
              </w:rPr>
              <w:t>由长合区长三角（湖州）产业合作区</w:t>
            </w:r>
            <w:r>
              <w:rPr>
                <w:rFonts w:hint="eastAsia" w:ascii="Times New Roman" w:hAnsi="Times New Roman" w:eastAsia="宋体" w:cs="Times New Roman"/>
                <w:color w:val="auto"/>
                <w:sz w:val="24"/>
              </w:rPr>
              <w:t>备案，项目代码：</w:t>
            </w:r>
            <w:r>
              <w:rPr>
                <w:rFonts w:hint="eastAsia" w:ascii="Times New Roman" w:hAnsi="Times New Roman" w:eastAsia="宋体" w:cs="Times New Roman"/>
                <w:color w:val="auto"/>
                <w:sz w:val="24"/>
                <w:lang w:val="en-US" w:eastAsia="zh-CN"/>
              </w:rPr>
              <w:t>2512-330554-04-02-214750</w:t>
            </w:r>
            <w:r>
              <w:rPr>
                <w:rFonts w:hint="eastAsia" w:ascii="Times New Roman" w:hAnsi="Times New Roman" w:eastAsia="宋体" w:cs="Times New Roman"/>
                <w:color w:val="auto"/>
                <w:sz w:val="24"/>
              </w:rPr>
              <w:t>。</w:t>
            </w:r>
          </w:p>
          <w:bookmarkEnd w:id="4"/>
          <w:p w14:paraId="1D8C5513">
            <w:pPr>
              <w:keepNext w:val="0"/>
              <w:keepLines w:val="0"/>
              <w:suppressLineNumbers w:val="0"/>
              <w:spacing w:before="0" w:beforeAutospacing="0" w:after="0" w:afterAutospacing="0" w:line="360" w:lineRule="auto"/>
              <w:ind w:left="0" w:right="0" w:firstLine="482" w:firstLineChars="200"/>
              <w:rPr>
                <w:rFonts w:hint="default" w:ascii="Times New Roman" w:hAnsi="Times New Roman" w:eastAsia="宋体" w:cs="Times New Roman"/>
                <w:b/>
                <w:bCs/>
                <w:color w:val="auto"/>
                <w:sz w:val="24"/>
              </w:rPr>
            </w:pPr>
            <w:r>
              <w:rPr>
                <w:rFonts w:hint="default" w:ascii="Times New Roman" w:hAnsi="Times New Roman" w:eastAsia="宋体" w:cs="Times New Roman"/>
                <w:b/>
                <w:bCs/>
                <w:color w:val="auto"/>
                <w:sz w:val="24"/>
              </w:rPr>
              <w:t>（1）建设项目环境影响评价分类类别</w:t>
            </w:r>
          </w:p>
          <w:p w14:paraId="2BA87685">
            <w:pPr>
              <w:pStyle w:val="19"/>
              <w:keepNext w:val="0"/>
              <w:keepLines w:val="0"/>
              <w:suppressLineNumbers w:val="0"/>
              <w:spacing w:before="0" w:beforeAutospacing="0" w:after="0" w:afterAutospacing="0" w:line="360" w:lineRule="auto"/>
              <w:ind w:left="0" w:right="0" w:firstLine="480" w:firstLineChars="200"/>
              <w:jc w:val="both"/>
              <w:rPr>
                <w:rFonts w:hint="default" w:ascii="Times New Roman" w:hAnsi="Times New Roman" w:eastAsia="宋体" w:cs="Times New Roman"/>
                <w:color w:val="auto"/>
                <w:lang w:bidi="ar"/>
              </w:rPr>
            </w:pPr>
            <w:r>
              <w:rPr>
                <w:rFonts w:hint="default" w:ascii="Times New Roman" w:hAnsi="Times New Roman" w:eastAsia="宋体" w:cs="Times New Roman"/>
                <w:color w:val="auto"/>
                <w:lang w:bidi="ar"/>
              </w:rPr>
              <w:t>本项目产品为第二代动力电池高安全陶瓷化复合隔膜、2000万片纳米隔热板，产品主要供货至汽车行业，核心应用于车载相关部件；根据《国民经济行业分类》（GB/T 4754-2017，2019 年修改单）结合产品工艺，本项目属于</w:t>
            </w:r>
            <w:r>
              <w:rPr>
                <w:rFonts w:hint="eastAsia" w:ascii="Times New Roman" w:hAnsi="Times New Roman" w:cs="Times New Roman"/>
                <w:color w:val="auto"/>
                <w:lang w:eastAsia="zh-CN" w:bidi="ar"/>
              </w:rPr>
              <w:t>“</w:t>
            </w:r>
            <w:r>
              <w:rPr>
                <w:rFonts w:hint="default" w:ascii="Times New Roman" w:hAnsi="Times New Roman" w:eastAsia="宋体" w:cs="Times New Roman"/>
                <w:color w:val="auto"/>
                <w:lang w:bidi="ar"/>
              </w:rPr>
              <w:t>C29 橡胶和塑料制品业</w:t>
            </w:r>
            <w:r>
              <w:rPr>
                <w:rFonts w:hint="eastAsia" w:ascii="Times New Roman" w:hAnsi="Times New Roman" w:cs="Times New Roman"/>
                <w:color w:val="auto"/>
                <w:lang w:eastAsia="zh-CN" w:bidi="ar"/>
              </w:rPr>
              <w:t>”</w:t>
            </w:r>
            <w:r>
              <w:rPr>
                <w:rFonts w:hint="default" w:ascii="Times New Roman" w:hAnsi="Times New Roman" w:eastAsia="宋体" w:cs="Times New Roman"/>
                <w:color w:val="auto"/>
                <w:lang w:bidi="ar"/>
              </w:rPr>
              <w:t>下属的</w:t>
            </w:r>
            <w:r>
              <w:rPr>
                <w:rFonts w:hint="eastAsia" w:ascii="Times New Roman" w:hAnsi="Times New Roman" w:cs="Times New Roman"/>
                <w:color w:val="auto"/>
                <w:lang w:eastAsia="zh-CN" w:bidi="ar"/>
              </w:rPr>
              <w:t>“</w:t>
            </w:r>
            <w:r>
              <w:rPr>
                <w:rFonts w:hint="default" w:ascii="Times New Roman" w:hAnsi="Times New Roman" w:eastAsia="宋体" w:cs="Times New Roman"/>
                <w:color w:val="auto"/>
                <w:lang w:val="en-US" w:eastAsia="zh-CN" w:bidi="ar"/>
              </w:rPr>
              <w:t>C2929塑料零件及其他塑料制品制造</w:t>
            </w:r>
            <w:r>
              <w:rPr>
                <w:rFonts w:hint="eastAsia" w:ascii="Times New Roman" w:hAnsi="Times New Roman" w:cs="Times New Roman"/>
                <w:color w:val="auto"/>
                <w:lang w:eastAsia="zh-CN" w:bidi="ar"/>
              </w:rPr>
              <w:t>”</w:t>
            </w:r>
            <w:r>
              <w:rPr>
                <w:rFonts w:hint="default" w:ascii="Times New Roman" w:hAnsi="Times New Roman" w:eastAsia="宋体" w:cs="Times New Roman"/>
                <w:color w:val="auto"/>
                <w:lang w:bidi="ar"/>
              </w:rPr>
              <w:t>和</w:t>
            </w:r>
            <w:r>
              <w:rPr>
                <w:rFonts w:hint="eastAsia" w:ascii="Times New Roman" w:hAnsi="Times New Roman" w:cs="Times New Roman"/>
                <w:color w:val="auto"/>
                <w:lang w:eastAsia="zh-CN" w:bidi="ar"/>
              </w:rPr>
              <w:t>“</w:t>
            </w:r>
            <w:r>
              <w:rPr>
                <w:rFonts w:hint="default" w:ascii="Times New Roman" w:hAnsi="Times New Roman" w:eastAsia="宋体" w:cs="Times New Roman"/>
                <w:color w:val="auto"/>
                <w:lang w:bidi="ar"/>
              </w:rPr>
              <w:t>30非金属矿物制品业</w:t>
            </w:r>
            <w:r>
              <w:rPr>
                <w:rFonts w:hint="eastAsia" w:ascii="Times New Roman" w:hAnsi="Times New Roman" w:cs="Times New Roman"/>
                <w:color w:val="auto"/>
                <w:lang w:eastAsia="zh-CN" w:bidi="ar"/>
              </w:rPr>
              <w:t>”</w:t>
            </w:r>
            <w:r>
              <w:rPr>
                <w:rFonts w:hint="default" w:ascii="Times New Roman" w:hAnsi="Times New Roman" w:eastAsia="宋体" w:cs="Times New Roman"/>
                <w:color w:val="auto"/>
                <w:lang w:bidi="ar"/>
              </w:rPr>
              <w:t>下属的</w:t>
            </w:r>
            <w:r>
              <w:rPr>
                <w:rFonts w:hint="eastAsia" w:ascii="Times New Roman" w:hAnsi="Times New Roman" w:cs="Times New Roman"/>
                <w:color w:val="auto"/>
                <w:lang w:eastAsia="zh-CN" w:bidi="ar"/>
              </w:rPr>
              <w:t>“</w:t>
            </w:r>
            <w:r>
              <w:rPr>
                <w:rFonts w:hint="default" w:ascii="Times New Roman" w:hAnsi="Times New Roman" w:eastAsia="宋体" w:cs="Times New Roman"/>
                <w:color w:val="auto"/>
                <w:lang w:bidi="ar"/>
              </w:rPr>
              <w:t>C3034隔热和隔音材料制造</w:t>
            </w:r>
            <w:r>
              <w:rPr>
                <w:rFonts w:hint="eastAsia" w:ascii="Times New Roman" w:hAnsi="Times New Roman" w:cs="Times New Roman"/>
                <w:color w:val="auto"/>
                <w:lang w:eastAsia="zh-CN" w:bidi="ar"/>
              </w:rPr>
              <w:t>”</w:t>
            </w:r>
            <w:r>
              <w:rPr>
                <w:rFonts w:hint="default" w:ascii="Times New Roman" w:hAnsi="Times New Roman" w:eastAsia="宋体" w:cs="Times New Roman"/>
                <w:color w:val="auto"/>
                <w:lang w:bidi="ar"/>
              </w:rPr>
              <w:t>，结合项目备案（赋码）信息表，因产品最终定向应用于汽车智能化产业链，本项目同时还属于</w:t>
            </w:r>
            <w:r>
              <w:rPr>
                <w:rFonts w:hint="eastAsia" w:ascii="Times New Roman" w:hAnsi="Times New Roman" w:cs="Times New Roman"/>
                <w:color w:val="auto"/>
                <w:lang w:eastAsia="zh-CN" w:bidi="ar"/>
              </w:rPr>
              <w:t>“</w:t>
            </w:r>
            <w:r>
              <w:rPr>
                <w:rFonts w:hint="default" w:ascii="Times New Roman" w:hAnsi="Times New Roman" w:eastAsia="宋体" w:cs="Times New Roman"/>
                <w:color w:val="auto"/>
                <w:lang w:bidi="ar"/>
              </w:rPr>
              <w:t>C36汽车制造业</w:t>
            </w:r>
            <w:r>
              <w:rPr>
                <w:rFonts w:hint="eastAsia" w:ascii="Times New Roman" w:hAnsi="Times New Roman" w:cs="Times New Roman"/>
                <w:color w:val="auto"/>
                <w:lang w:eastAsia="zh-CN" w:bidi="ar"/>
              </w:rPr>
              <w:t>”</w:t>
            </w:r>
            <w:r>
              <w:rPr>
                <w:rFonts w:hint="default" w:ascii="Times New Roman" w:hAnsi="Times New Roman" w:eastAsia="宋体" w:cs="Times New Roman"/>
                <w:color w:val="auto"/>
                <w:lang w:bidi="ar"/>
              </w:rPr>
              <w:t>中的</w:t>
            </w:r>
            <w:r>
              <w:rPr>
                <w:rFonts w:hint="eastAsia" w:ascii="Times New Roman" w:hAnsi="Times New Roman" w:cs="Times New Roman"/>
                <w:color w:val="auto"/>
                <w:lang w:eastAsia="zh-CN" w:bidi="ar"/>
              </w:rPr>
              <w:t>“</w:t>
            </w:r>
            <w:r>
              <w:rPr>
                <w:rFonts w:hint="default" w:ascii="Times New Roman" w:hAnsi="Times New Roman" w:eastAsia="宋体" w:cs="Times New Roman"/>
                <w:color w:val="auto"/>
                <w:lang w:bidi="ar"/>
              </w:rPr>
              <w:t>C3670汽车零部件及配件制造</w:t>
            </w:r>
            <w:r>
              <w:rPr>
                <w:rFonts w:hint="eastAsia" w:ascii="Times New Roman" w:hAnsi="Times New Roman" w:cs="Times New Roman"/>
                <w:color w:val="auto"/>
                <w:lang w:eastAsia="zh-CN" w:bidi="ar"/>
              </w:rPr>
              <w:t>”</w:t>
            </w:r>
            <w:r>
              <w:rPr>
                <w:rFonts w:hint="default" w:ascii="Times New Roman" w:hAnsi="Times New Roman" w:eastAsia="宋体" w:cs="Times New Roman"/>
                <w:color w:val="auto"/>
                <w:lang w:bidi="ar"/>
              </w:rPr>
              <w:t>，为轻工行业。</w:t>
            </w:r>
          </w:p>
          <w:p w14:paraId="78D7A421">
            <w:pPr>
              <w:pStyle w:val="19"/>
              <w:keepNext w:val="0"/>
              <w:keepLines w:val="0"/>
              <w:suppressLineNumbers w:val="0"/>
              <w:spacing w:before="0" w:beforeAutospacing="0" w:after="0" w:afterAutospacing="0" w:line="360" w:lineRule="auto"/>
              <w:ind w:left="0" w:right="0" w:firstLine="480" w:firstLineChars="200"/>
              <w:jc w:val="both"/>
              <w:rPr>
                <w:rFonts w:hint="default" w:ascii="Times New Roman" w:hAnsi="Times New Roman" w:eastAsia="宋体" w:cs="Times New Roman"/>
                <w:color w:val="auto"/>
              </w:rPr>
            </w:pPr>
            <w:r>
              <w:rPr>
                <w:rFonts w:hint="eastAsia" w:ascii="宋体" w:hAnsi="宋体" w:eastAsia="宋体" w:cs="宋体"/>
                <w:color w:val="auto"/>
                <w:lang w:bidi="ar"/>
              </w:rPr>
              <w:t>根据《中华人民共和国生态环境法典》和国务院令第</w:t>
            </w:r>
            <w:r>
              <w:rPr>
                <w:rFonts w:hint="default" w:ascii="Times New Roman" w:hAnsi="Times New Roman" w:eastAsia="宋体" w:cs="Times New Roman"/>
                <w:color w:val="auto"/>
                <w:lang w:bidi="ar"/>
              </w:rPr>
              <w:t>682</w:t>
            </w:r>
            <w:r>
              <w:rPr>
                <w:rFonts w:hint="eastAsia" w:ascii="宋体" w:hAnsi="宋体" w:eastAsia="宋体" w:cs="宋体"/>
                <w:color w:val="auto"/>
                <w:lang w:bidi="ar"/>
              </w:rPr>
              <w:t>号《建设项目环境保护管理条例》等，建设项目须履行环境影响评价制度，对照生态环保部令第</w:t>
            </w:r>
            <w:r>
              <w:rPr>
                <w:rFonts w:hint="default" w:ascii="Times New Roman" w:hAnsi="Times New Roman" w:eastAsia="宋体" w:cs="Times New Roman"/>
                <w:color w:val="auto"/>
                <w:lang w:bidi="ar"/>
              </w:rPr>
              <w:t>16</w:t>
            </w:r>
            <w:r>
              <w:rPr>
                <w:rFonts w:hint="eastAsia" w:ascii="宋体" w:hAnsi="宋体" w:eastAsia="宋体" w:cs="宋体"/>
                <w:color w:val="auto"/>
                <w:lang w:bidi="ar"/>
              </w:rPr>
              <w:t>号《建设项目环境影</w:t>
            </w:r>
            <w:r>
              <w:rPr>
                <w:rFonts w:hint="default" w:ascii="Times New Roman" w:hAnsi="Times New Roman" w:eastAsia="宋体" w:cs="Times New Roman"/>
                <w:color w:val="auto"/>
                <w:lang w:bidi="ar"/>
              </w:rPr>
              <w:t>响评价分类管理名录（2021版）》，本项目类别归属于</w:t>
            </w:r>
            <w:r>
              <w:rPr>
                <w:rFonts w:hint="eastAsia" w:ascii="Times New Roman" w:hAnsi="Times New Roman" w:cs="Times New Roman"/>
                <w:color w:val="auto"/>
                <w:lang w:eastAsia="zh-CN" w:bidi="ar"/>
              </w:rPr>
              <w:t>“</w:t>
            </w:r>
            <w:r>
              <w:rPr>
                <w:rFonts w:hint="default" w:ascii="Times New Roman" w:hAnsi="Times New Roman" w:eastAsia="宋体" w:cs="Times New Roman"/>
                <w:color w:val="auto"/>
                <w:lang w:bidi="ar"/>
              </w:rPr>
              <w:t>二十六、橡胶和塑料制品业29-5</w:t>
            </w:r>
            <w:r>
              <w:rPr>
                <w:rFonts w:hint="eastAsia" w:ascii="Times New Roman" w:hAnsi="Times New Roman" w:eastAsia="宋体" w:cs="Times New Roman"/>
                <w:color w:val="auto"/>
                <w:lang w:val="en-US" w:eastAsia="zh-CN" w:bidi="ar"/>
              </w:rPr>
              <w:t>3</w:t>
            </w:r>
            <w:r>
              <w:rPr>
                <w:rFonts w:hint="default" w:ascii="Times New Roman" w:hAnsi="Times New Roman" w:eastAsia="宋体" w:cs="Times New Roman"/>
                <w:color w:val="auto"/>
                <w:lang w:bidi="ar"/>
              </w:rPr>
              <w:t>、</w:t>
            </w:r>
            <w:r>
              <w:rPr>
                <w:rFonts w:hint="eastAsia" w:ascii="Times New Roman" w:hAnsi="Times New Roman" w:eastAsia="宋体" w:cs="Times New Roman"/>
                <w:color w:val="auto"/>
                <w:lang w:val="en-US" w:eastAsia="zh-CN" w:bidi="ar"/>
              </w:rPr>
              <w:t>塑料制品业292</w:t>
            </w:r>
            <w:r>
              <w:rPr>
                <w:rFonts w:hint="default" w:ascii="Times New Roman" w:hAnsi="Times New Roman" w:eastAsia="宋体" w:cs="Times New Roman"/>
                <w:color w:val="auto"/>
                <w:lang w:bidi="ar"/>
              </w:rPr>
              <w:t>-</w:t>
            </w:r>
            <w:r>
              <w:rPr>
                <w:rFonts w:hint="eastAsia" w:ascii="Times New Roman" w:hAnsi="Times New Roman" w:eastAsia="宋体" w:cs="Times New Roman"/>
                <w:color w:val="auto"/>
                <w:lang w:val="en-US" w:eastAsia="zh-CN" w:bidi="ar"/>
              </w:rPr>
              <w:t>其他（年用非溶剂型低VOCs含量涂料10吨以下的除外）</w:t>
            </w:r>
            <w:r>
              <w:rPr>
                <w:rFonts w:hint="eastAsia" w:ascii="Times New Roman" w:hAnsi="Times New Roman" w:cs="Times New Roman"/>
                <w:color w:val="auto"/>
                <w:lang w:eastAsia="zh-CN" w:bidi="ar"/>
              </w:rPr>
              <w:t>”</w:t>
            </w:r>
            <w:r>
              <w:rPr>
                <w:rFonts w:hint="eastAsia" w:ascii="Times New Roman" w:hAnsi="Times New Roman" w:eastAsia="宋体" w:cs="Times New Roman"/>
                <w:color w:val="auto"/>
                <w:lang w:eastAsia="zh-CN" w:bidi="ar"/>
              </w:rPr>
              <w:t>、</w:t>
            </w:r>
            <w:r>
              <w:rPr>
                <w:rFonts w:hint="eastAsia" w:ascii="Times New Roman" w:hAnsi="Times New Roman" w:cs="Times New Roman"/>
                <w:color w:val="auto"/>
                <w:lang w:eastAsia="zh-CN" w:bidi="ar"/>
              </w:rPr>
              <w:t>“</w:t>
            </w:r>
            <w:r>
              <w:rPr>
                <w:rFonts w:hint="default" w:ascii="Times New Roman" w:hAnsi="Times New Roman" w:eastAsia="宋体" w:cs="Times New Roman"/>
                <w:color w:val="auto"/>
                <w:lang w:bidi="ar"/>
              </w:rPr>
              <w:t>二十七、非金属矿物制品业30-56、砖瓦、石材等建筑材料制造303-隔热、隔音材料制造</w:t>
            </w:r>
            <w:r>
              <w:rPr>
                <w:rFonts w:hint="eastAsia" w:ascii="Times New Roman" w:hAnsi="Times New Roman" w:cs="Times New Roman"/>
                <w:color w:val="auto"/>
                <w:lang w:eastAsia="zh-CN" w:bidi="ar"/>
              </w:rPr>
              <w:t>”</w:t>
            </w:r>
            <w:r>
              <w:rPr>
                <w:rFonts w:hint="default" w:ascii="Times New Roman" w:hAnsi="Times New Roman" w:eastAsia="宋体" w:cs="Times New Roman"/>
                <w:color w:val="auto"/>
                <w:lang w:bidi="ar"/>
              </w:rPr>
              <w:t>、</w:t>
            </w:r>
            <w:r>
              <w:rPr>
                <w:rFonts w:hint="eastAsia" w:ascii="Times New Roman" w:hAnsi="Times New Roman" w:cs="Times New Roman"/>
                <w:color w:val="auto"/>
                <w:lang w:eastAsia="zh-CN" w:bidi="ar"/>
              </w:rPr>
              <w:t>“</w:t>
            </w:r>
            <w:r>
              <w:rPr>
                <w:rFonts w:hint="default" w:ascii="Times New Roman" w:hAnsi="Times New Roman" w:eastAsia="宋体" w:cs="Times New Roman"/>
                <w:color w:val="auto"/>
                <w:lang w:bidi="ar"/>
              </w:rPr>
              <w:t>三十三、汽车制造业36-71、汽车零部件及配件制造367-其他（年用非溶剂型低VOCs含量涂料10吨以下的除外）</w:t>
            </w:r>
            <w:r>
              <w:rPr>
                <w:rFonts w:hint="eastAsia" w:ascii="Times New Roman" w:hAnsi="Times New Roman" w:cs="Times New Roman"/>
                <w:color w:val="auto"/>
                <w:lang w:eastAsia="zh-CN" w:bidi="ar"/>
              </w:rPr>
              <w:t>”</w:t>
            </w:r>
            <w:r>
              <w:rPr>
                <w:rFonts w:hint="default" w:ascii="Times New Roman" w:hAnsi="Times New Roman" w:eastAsia="宋体" w:cs="Times New Roman"/>
                <w:color w:val="auto"/>
                <w:lang w:bidi="ar"/>
              </w:rPr>
              <w:t>，</w:t>
            </w:r>
            <w:r>
              <w:rPr>
                <w:rFonts w:hint="eastAsia" w:ascii="宋体" w:hAnsi="宋体" w:eastAsia="宋体" w:cs="宋体"/>
                <w:color w:val="auto"/>
                <w:lang w:bidi="ar"/>
              </w:rPr>
              <w:t>因此本项目应编制</w:t>
            </w:r>
            <w:r>
              <w:rPr>
                <w:rFonts w:hint="eastAsia" w:cs="宋体"/>
                <w:color w:val="auto"/>
                <w:lang w:val="en-US" w:eastAsia="zh-CN" w:bidi="ar"/>
              </w:rPr>
              <w:t>生态</w:t>
            </w:r>
            <w:r>
              <w:rPr>
                <w:rFonts w:hint="eastAsia" w:ascii="宋体" w:hAnsi="宋体" w:eastAsia="宋体" w:cs="宋体"/>
                <w:color w:val="auto"/>
                <w:lang w:bidi="ar"/>
              </w:rPr>
              <w:t>环境影响报告表，具体见表</w:t>
            </w:r>
            <w:r>
              <w:rPr>
                <w:rFonts w:hint="default" w:ascii="Times New Roman" w:hAnsi="Times New Roman" w:eastAsia="宋体" w:cs="Times New Roman"/>
                <w:color w:val="auto"/>
                <w:lang w:bidi="ar"/>
              </w:rPr>
              <w:t>2-1</w:t>
            </w:r>
            <w:r>
              <w:rPr>
                <w:rFonts w:hint="eastAsia" w:ascii="宋体" w:hAnsi="宋体" w:eastAsia="宋体" w:cs="宋体"/>
                <w:color w:val="auto"/>
                <w:lang w:bidi="ar"/>
              </w:rPr>
              <w:t>。</w:t>
            </w:r>
          </w:p>
          <w:p w14:paraId="03C081B3">
            <w:pPr>
              <w:keepNext w:val="0"/>
              <w:keepLines w:val="0"/>
              <w:suppressLineNumbers w:val="0"/>
              <w:autoSpaceDE w:val="0"/>
              <w:spacing w:before="0" w:beforeAutospacing="0" w:after="0" w:afterAutospacing="0"/>
              <w:ind w:left="0" w:right="0"/>
              <w:jc w:val="center"/>
              <w:rPr>
                <w:rFonts w:hint="default" w:ascii="Times New Roman" w:hAnsi="Times New Roman" w:eastAsia="宋体" w:cs="Times New Roman"/>
                <w:b/>
                <w:bCs/>
                <w:color w:val="auto"/>
                <w:szCs w:val="21"/>
              </w:rPr>
            </w:pPr>
            <w:r>
              <w:rPr>
                <w:rFonts w:hint="eastAsia" w:ascii="宋体" w:hAnsi="宋体" w:eastAsia="宋体" w:cs="宋体"/>
                <w:b/>
                <w:bCs/>
                <w:color w:val="auto"/>
                <w:szCs w:val="21"/>
                <w:lang w:bidi="ar"/>
              </w:rPr>
              <w:t>表</w:t>
            </w:r>
            <w:r>
              <w:rPr>
                <w:rFonts w:hint="default" w:ascii="Times New Roman" w:hAnsi="Times New Roman" w:eastAsia="宋体" w:cs="Times New Roman"/>
                <w:b/>
                <w:bCs/>
                <w:color w:val="auto"/>
                <w:szCs w:val="21"/>
                <w:lang w:bidi="ar"/>
              </w:rPr>
              <w:t xml:space="preserve">2-1  </w:t>
            </w:r>
            <w:r>
              <w:rPr>
                <w:rFonts w:hint="eastAsia" w:ascii="宋体" w:hAnsi="宋体" w:eastAsia="宋体" w:cs="宋体"/>
                <w:b/>
                <w:bCs/>
                <w:color w:val="auto"/>
                <w:szCs w:val="21"/>
                <w:lang w:bidi="ar"/>
              </w:rPr>
              <w:t>建设项目环境影响评价分类详情</w:t>
            </w:r>
          </w:p>
          <w:tbl>
            <w:tblPr>
              <w:tblStyle w:val="22"/>
              <w:tblW w:w="4995"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44"/>
              <w:gridCol w:w="2014"/>
              <w:gridCol w:w="2657"/>
              <w:gridCol w:w="2080"/>
              <w:gridCol w:w="973"/>
            </w:tblGrid>
            <w:tr w14:paraId="29A62C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2458" w:type="dxa"/>
                  <w:gridSpan w:val="2"/>
                  <w:tcBorders>
                    <w:top w:val="single" w:color="auto" w:sz="4" w:space="0"/>
                    <w:left w:val="single" w:color="auto" w:sz="4" w:space="0"/>
                    <w:bottom w:val="single" w:color="auto" w:sz="4" w:space="0"/>
                    <w:right w:val="single" w:color="auto" w:sz="4" w:space="0"/>
                    <w:tl2br w:val="single" w:color="auto" w:sz="4" w:space="0"/>
                  </w:tcBorders>
                  <w:vAlign w:val="center"/>
                </w:tcPr>
                <w:p w14:paraId="0B3C5F50">
                  <w:pPr>
                    <w:keepNext w:val="0"/>
                    <w:keepLines w:val="0"/>
                    <w:suppressLineNumbers w:val="0"/>
                    <w:spacing w:before="0" w:beforeAutospacing="0" w:after="0" w:afterAutospacing="0"/>
                    <w:ind w:left="0" w:right="0"/>
                    <w:jc w:val="right"/>
                    <w:rPr>
                      <w:rFonts w:hint="default" w:ascii="Times New Roman" w:hAnsi="Times New Roman" w:eastAsia="宋体" w:cs="Times New Roman"/>
                      <w:b/>
                      <w:bCs/>
                      <w:color w:val="auto"/>
                      <w:szCs w:val="21"/>
                    </w:rPr>
                  </w:pPr>
                  <w:r>
                    <w:rPr>
                      <w:rFonts w:hint="default" w:ascii="Times New Roman" w:hAnsi="Times New Roman" w:eastAsia="宋体" w:cs="Times New Roman"/>
                      <w:b/>
                      <w:bCs/>
                      <w:color w:val="auto"/>
                      <w:szCs w:val="21"/>
                      <w:lang w:bidi="ar"/>
                    </w:rPr>
                    <w:t>环评类别</w:t>
                  </w:r>
                </w:p>
                <w:p w14:paraId="262124C7">
                  <w:pPr>
                    <w:keepNext w:val="0"/>
                    <w:keepLines w:val="0"/>
                    <w:suppressLineNumbers w:val="0"/>
                    <w:spacing w:before="0" w:beforeAutospacing="0" w:after="0" w:afterAutospacing="0"/>
                    <w:ind w:left="0" w:right="0"/>
                    <w:jc w:val="left"/>
                    <w:rPr>
                      <w:rFonts w:hint="default" w:ascii="Times New Roman" w:hAnsi="Times New Roman" w:eastAsia="宋体" w:cs="Times New Roman"/>
                      <w:b/>
                      <w:bCs/>
                      <w:color w:val="auto"/>
                      <w:szCs w:val="21"/>
                    </w:rPr>
                  </w:pPr>
                  <w:r>
                    <w:rPr>
                      <w:rFonts w:hint="default" w:ascii="Times New Roman" w:hAnsi="Times New Roman" w:eastAsia="宋体" w:cs="Times New Roman"/>
                      <w:b/>
                      <w:bCs/>
                      <w:color w:val="auto"/>
                      <w:szCs w:val="21"/>
                      <w:lang w:bidi="ar"/>
                    </w:rPr>
                    <w:t>项目类别</w:t>
                  </w:r>
                </w:p>
              </w:tc>
              <w:tc>
                <w:tcPr>
                  <w:tcW w:w="2657" w:type="dxa"/>
                  <w:tcBorders>
                    <w:top w:val="single" w:color="auto" w:sz="4" w:space="0"/>
                    <w:left w:val="nil"/>
                    <w:bottom w:val="single" w:color="auto" w:sz="4" w:space="0"/>
                    <w:right w:val="single" w:color="auto" w:sz="4" w:space="0"/>
                  </w:tcBorders>
                  <w:vAlign w:val="center"/>
                </w:tcPr>
                <w:p w14:paraId="608CC048">
                  <w:pPr>
                    <w:keepNext w:val="0"/>
                    <w:keepLines w:val="0"/>
                    <w:suppressLineNumbers w:val="0"/>
                    <w:spacing w:before="0" w:beforeAutospacing="0" w:after="0" w:afterAutospacing="0"/>
                    <w:ind w:left="0" w:right="0"/>
                    <w:jc w:val="center"/>
                    <w:rPr>
                      <w:rFonts w:hint="default" w:ascii="Times New Roman" w:hAnsi="Times New Roman" w:eastAsia="宋体" w:cs="Times New Roman"/>
                      <w:b/>
                      <w:bCs/>
                      <w:color w:val="auto"/>
                      <w:szCs w:val="21"/>
                    </w:rPr>
                  </w:pPr>
                  <w:r>
                    <w:rPr>
                      <w:rFonts w:hint="default" w:ascii="Times New Roman" w:hAnsi="Times New Roman" w:eastAsia="宋体" w:cs="Times New Roman"/>
                      <w:b/>
                      <w:bCs/>
                      <w:color w:val="auto"/>
                      <w:szCs w:val="21"/>
                      <w:lang w:bidi="ar"/>
                    </w:rPr>
                    <w:t>报告书</w:t>
                  </w:r>
                </w:p>
              </w:tc>
              <w:tc>
                <w:tcPr>
                  <w:tcW w:w="2080" w:type="dxa"/>
                  <w:tcBorders>
                    <w:top w:val="single" w:color="auto" w:sz="4" w:space="0"/>
                    <w:left w:val="nil"/>
                    <w:bottom w:val="single" w:color="auto" w:sz="4" w:space="0"/>
                    <w:right w:val="single" w:color="auto" w:sz="4" w:space="0"/>
                  </w:tcBorders>
                  <w:shd w:val="clear" w:color="auto" w:fill="D7D7D7" w:themeFill="background1" w:themeFillShade="D8"/>
                  <w:vAlign w:val="center"/>
                </w:tcPr>
                <w:p w14:paraId="12B969C5">
                  <w:pPr>
                    <w:keepNext w:val="0"/>
                    <w:keepLines w:val="0"/>
                    <w:suppressLineNumbers w:val="0"/>
                    <w:spacing w:before="0" w:beforeAutospacing="0" w:after="0" w:afterAutospacing="0"/>
                    <w:ind w:left="0" w:right="0"/>
                    <w:jc w:val="center"/>
                    <w:rPr>
                      <w:rFonts w:hint="default" w:ascii="Times New Roman" w:hAnsi="Times New Roman" w:eastAsia="宋体" w:cs="Times New Roman"/>
                      <w:b/>
                      <w:bCs/>
                      <w:color w:val="auto"/>
                      <w:szCs w:val="21"/>
                    </w:rPr>
                  </w:pPr>
                  <w:r>
                    <w:rPr>
                      <w:rFonts w:hint="default" w:ascii="Times New Roman" w:hAnsi="Times New Roman" w:eastAsia="宋体" w:cs="Times New Roman"/>
                      <w:b/>
                      <w:bCs/>
                      <w:color w:val="auto"/>
                      <w:szCs w:val="21"/>
                      <w:lang w:bidi="ar"/>
                    </w:rPr>
                    <w:t>报告表</w:t>
                  </w:r>
                </w:p>
              </w:tc>
              <w:tc>
                <w:tcPr>
                  <w:tcW w:w="973" w:type="dxa"/>
                  <w:tcBorders>
                    <w:top w:val="single" w:color="auto" w:sz="4" w:space="0"/>
                    <w:left w:val="nil"/>
                    <w:bottom w:val="single" w:color="auto" w:sz="4" w:space="0"/>
                    <w:right w:val="single" w:color="auto" w:sz="4" w:space="0"/>
                  </w:tcBorders>
                  <w:vAlign w:val="center"/>
                </w:tcPr>
                <w:p w14:paraId="6E1B5559">
                  <w:pPr>
                    <w:keepNext w:val="0"/>
                    <w:keepLines w:val="0"/>
                    <w:suppressLineNumbers w:val="0"/>
                    <w:spacing w:before="0" w:beforeAutospacing="0" w:after="0" w:afterAutospacing="0"/>
                    <w:ind w:left="0" w:right="0"/>
                    <w:jc w:val="center"/>
                    <w:rPr>
                      <w:rFonts w:hint="default" w:ascii="Times New Roman" w:hAnsi="Times New Roman" w:eastAsia="宋体" w:cs="Times New Roman"/>
                      <w:b/>
                      <w:bCs/>
                      <w:color w:val="auto"/>
                      <w:szCs w:val="21"/>
                    </w:rPr>
                  </w:pPr>
                  <w:r>
                    <w:rPr>
                      <w:rFonts w:hint="default" w:ascii="Times New Roman" w:hAnsi="Times New Roman" w:eastAsia="宋体" w:cs="Times New Roman"/>
                      <w:b/>
                      <w:bCs/>
                      <w:color w:val="auto"/>
                      <w:szCs w:val="21"/>
                      <w:lang w:bidi="ar"/>
                    </w:rPr>
                    <w:t>登记表</w:t>
                  </w:r>
                </w:p>
              </w:tc>
            </w:tr>
            <w:tr w14:paraId="512266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93" w:hRule="atLeast"/>
                <w:jc w:val="center"/>
              </w:trPr>
              <w:tc>
                <w:tcPr>
                  <w:tcW w:w="8168" w:type="dxa"/>
                  <w:gridSpan w:val="5"/>
                  <w:tcBorders>
                    <w:top w:val="single" w:color="auto" w:sz="4" w:space="0"/>
                    <w:left w:val="single" w:color="auto" w:sz="4" w:space="0"/>
                    <w:bottom w:val="single" w:color="auto" w:sz="4" w:space="0"/>
                    <w:right w:val="single" w:color="auto" w:sz="4" w:space="0"/>
                  </w:tcBorders>
                  <w:shd w:val="clear" w:color="auto" w:fill="D7D7D7" w:themeFill="background1" w:themeFillShade="D8"/>
                  <w:vAlign w:val="center"/>
                </w:tcPr>
                <w:p w14:paraId="67DCD4D3">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lang w:bidi="ar"/>
                    </w:rPr>
                  </w:pPr>
                  <w:r>
                    <w:rPr>
                      <w:rFonts w:hint="default" w:ascii="Times New Roman" w:hAnsi="Times New Roman" w:eastAsia="宋体" w:cs="Times New Roman"/>
                      <w:color w:val="auto"/>
                      <w:szCs w:val="21"/>
                      <w:lang w:bidi="ar"/>
                    </w:rPr>
                    <w:t>二十六、橡胶和塑料制品业29</w:t>
                  </w:r>
                </w:p>
              </w:tc>
            </w:tr>
            <w:tr w14:paraId="4EA5AA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93" w:hRule="atLeast"/>
                <w:jc w:val="center"/>
              </w:trPr>
              <w:tc>
                <w:tcPr>
                  <w:tcW w:w="444" w:type="dxa"/>
                  <w:tcBorders>
                    <w:top w:val="single" w:color="auto" w:sz="4" w:space="0"/>
                    <w:left w:val="single" w:color="auto" w:sz="4" w:space="0"/>
                    <w:bottom w:val="single" w:color="auto" w:sz="4" w:space="0"/>
                    <w:right w:val="single" w:color="auto" w:sz="4" w:space="0"/>
                  </w:tcBorders>
                  <w:shd w:val="clear" w:color="auto" w:fill="auto"/>
                  <w:vAlign w:val="center"/>
                </w:tcPr>
                <w:p w14:paraId="0693373C">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lang w:val="en-US" w:eastAsia="zh-CN" w:bidi="ar"/>
                    </w:rPr>
                  </w:pPr>
                  <w:r>
                    <w:rPr>
                      <w:rFonts w:hint="eastAsia" w:ascii="Times New Roman" w:hAnsi="Times New Roman" w:eastAsia="宋体" w:cs="Times New Roman"/>
                      <w:color w:val="auto"/>
                      <w:szCs w:val="21"/>
                      <w:lang w:val="en-US" w:eastAsia="zh-CN" w:bidi="ar"/>
                    </w:rPr>
                    <w:t>53</w:t>
                  </w:r>
                </w:p>
              </w:tc>
              <w:tc>
                <w:tcPr>
                  <w:tcW w:w="2014" w:type="dxa"/>
                  <w:tcBorders>
                    <w:top w:val="single" w:color="auto" w:sz="4" w:space="0"/>
                    <w:left w:val="single" w:color="auto" w:sz="4" w:space="0"/>
                    <w:bottom w:val="single" w:color="auto" w:sz="4" w:space="0"/>
                    <w:right w:val="single" w:color="auto" w:sz="4" w:space="0"/>
                  </w:tcBorders>
                  <w:shd w:val="clear" w:color="auto" w:fill="auto"/>
                  <w:vAlign w:val="center"/>
                </w:tcPr>
                <w:p w14:paraId="12955254">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lang w:bidi="ar"/>
                    </w:rPr>
                  </w:pPr>
                  <w:r>
                    <w:rPr>
                      <w:rFonts w:hint="eastAsia" w:ascii="Times New Roman" w:hAnsi="Times New Roman" w:eastAsia="宋体" w:cs="Times New Roman"/>
                      <w:color w:val="auto"/>
                      <w:szCs w:val="21"/>
                      <w:lang w:val="en-US" w:eastAsia="zh-CN" w:bidi="ar"/>
                    </w:rPr>
                    <w:t>塑料制品业292</w:t>
                  </w:r>
                </w:p>
              </w:tc>
              <w:tc>
                <w:tcPr>
                  <w:tcW w:w="2657" w:type="dxa"/>
                  <w:tcBorders>
                    <w:top w:val="single" w:color="auto" w:sz="4" w:space="0"/>
                    <w:left w:val="single" w:color="auto" w:sz="4" w:space="0"/>
                    <w:bottom w:val="single" w:color="auto" w:sz="4" w:space="0"/>
                    <w:right w:val="single" w:color="auto" w:sz="4" w:space="0"/>
                  </w:tcBorders>
                  <w:shd w:val="clear" w:color="auto" w:fill="auto"/>
                  <w:vAlign w:val="center"/>
                </w:tcPr>
                <w:p w14:paraId="55077580">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lang w:bidi="ar"/>
                    </w:rPr>
                  </w:pPr>
                  <w:r>
                    <w:rPr>
                      <w:rFonts w:hint="eastAsia" w:ascii="Times New Roman" w:hAnsi="Times New Roman" w:eastAsia="宋体" w:cs="Times New Roman"/>
                      <w:color w:val="auto"/>
                      <w:szCs w:val="21"/>
                      <w:lang w:val="en-US" w:eastAsia="zh-CN" w:bidi="ar"/>
                    </w:rPr>
                    <w:t>以再生塑料为原料生产的；有电镀工艺的；年用溶剂型胶粘剂10吨及以上的；年用溶剂型涂料（含稀释剂）10吨及以上的</w:t>
                  </w:r>
                </w:p>
              </w:tc>
              <w:tc>
                <w:tcPr>
                  <w:tcW w:w="2080" w:type="dxa"/>
                  <w:tcBorders>
                    <w:top w:val="single" w:color="auto" w:sz="4" w:space="0"/>
                    <w:left w:val="single" w:color="auto" w:sz="4" w:space="0"/>
                    <w:bottom w:val="single" w:color="auto" w:sz="4" w:space="0"/>
                    <w:right w:val="single" w:color="auto" w:sz="4" w:space="0"/>
                  </w:tcBorders>
                  <w:shd w:val="clear" w:color="auto" w:fill="D7D7D7" w:themeFill="background1" w:themeFillShade="D8"/>
                  <w:vAlign w:val="center"/>
                </w:tcPr>
                <w:p w14:paraId="448F876A">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lang w:bidi="ar"/>
                    </w:rPr>
                  </w:pPr>
                  <w:r>
                    <w:rPr>
                      <w:rFonts w:hint="eastAsia" w:ascii="Times New Roman" w:hAnsi="Times New Roman" w:eastAsia="宋体" w:cs="Times New Roman"/>
                      <w:b/>
                      <w:bCs/>
                      <w:color w:val="auto"/>
                      <w:szCs w:val="21"/>
                      <w:lang w:val="en-US" w:eastAsia="zh-CN" w:bidi="ar"/>
                    </w:rPr>
                    <w:t>其他</w:t>
                  </w:r>
                  <w:r>
                    <w:rPr>
                      <w:rFonts w:hint="eastAsia" w:ascii="Times New Roman" w:hAnsi="Times New Roman" w:eastAsia="宋体" w:cs="Times New Roman"/>
                      <w:color w:val="auto"/>
                      <w:szCs w:val="21"/>
                      <w:lang w:val="en-US" w:eastAsia="zh-CN" w:bidi="ar"/>
                    </w:rPr>
                    <w:t>（年用非溶剂型低VOCs含量涂料10吨以下的除外）</w:t>
                  </w:r>
                </w:p>
              </w:tc>
              <w:tc>
                <w:tcPr>
                  <w:tcW w:w="973" w:type="dxa"/>
                  <w:tcBorders>
                    <w:top w:val="single" w:color="auto" w:sz="4" w:space="0"/>
                    <w:left w:val="single" w:color="auto" w:sz="4" w:space="0"/>
                    <w:bottom w:val="single" w:color="auto" w:sz="4" w:space="0"/>
                    <w:right w:val="single" w:color="auto" w:sz="4" w:space="0"/>
                  </w:tcBorders>
                  <w:shd w:val="clear" w:color="auto" w:fill="auto"/>
                  <w:vAlign w:val="center"/>
                </w:tcPr>
                <w:p w14:paraId="07827EAF">
                  <w:pPr>
                    <w:keepNext w:val="0"/>
                    <w:keepLines w:val="0"/>
                    <w:suppressLineNumbers w:val="0"/>
                    <w:spacing w:before="0" w:beforeAutospacing="0" w:after="0" w:afterAutospacing="0"/>
                    <w:ind w:left="0" w:right="0"/>
                    <w:jc w:val="center"/>
                    <w:rPr>
                      <w:rFonts w:hint="eastAsia" w:ascii="Times New Roman" w:hAnsi="Times New Roman" w:eastAsia="宋体" w:cs="Times New Roman"/>
                      <w:color w:val="auto"/>
                      <w:szCs w:val="21"/>
                      <w:lang w:val="en-US" w:eastAsia="zh-CN" w:bidi="ar"/>
                    </w:rPr>
                  </w:pPr>
                  <w:r>
                    <w:rPr>
                      <w:rFonts w:hint="eastAsia" w:ascii="Times New Roman" w:hAnsi="Times New Roman" w:eastAsia="宋体" w:cs="Times New Roman"/>
                      <w:color w:val="auto"/>
                      <w:szCs w:val="21"/>
                      <w:lang w:val="en-US" w:eastAsia="zh-CN" w:bidi="ar"/>
                    </w:rPr>
                    <w:t>/</w:t>
                  </w:r>
                </w:p>
              </w:tc>
            </w:tr>
            <w:tr w14:paraId="66B112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93" w:hRule="atLeast"/>
                <w:jc w:val="center"/>
              </w:trPr>
              <w:tc>
                <w:tcPr>
                  <w:tcW w:w="8168" w:type="dxa"/>
                  <w:gridSpan w:val="5"/>
                  <w:tcBorders>
                    <w:top w:val="single" w:color="auto" w:sz="4" w:space="0"/>
                    <w:left w:val="single" w:color="auto" w:sz="4" w:space="0"/>
                    <w:bottom w:val="single" w:color="auto" w:sz="4" w:space="0"/>
                    <w:right w:val="single" w:color="auto" w:sz="4" w:space="0"/>
                  </w:tcBorders>
                  <w:shd w:val="clear" w:color="auto" w:fill="D7D7D7" w:themeFill="background1" w:themeFillShade="D8"/>
                  <w:vAlign w:val="center"/>
                </w:tcPr>
                <w:p w14:paraId="670C8757">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lang w:bidi="ar"/>
                    </w:rPr>
                  </w:pPr>
                  <w:r>
                    <w:rPr>
                      <w:rFonts w:hint="default" w:ascii="Times New Roman" w:hAnsi="Times New Roman" w:eastAsia="宋体" w:cs="Times New Roman"/>
                      <w:color w:val="auto"/>
                      <w:szCs w:val="21"/>
                      <w:lang w:bidi="ar"/>
                    </w:rPr>
                    <w:t>二十七、非金属矿物制品业30</w:t>
                  </w:r>
                </w:p>
              </w:tc>
            </w:tr>
            <w:tr w14:paraId="0D917A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93" w:hRule="atLeast"/>
                <w:jc w:val="center"/>
              </w:trPr>
              <w:tc>
                <w:tcPr>
                  <w:tcW w:w="444" w:type="dxa"/>
                  <w:tcBorders>
                    <w:top w:val="single" w:color="auto" w:sz="4" w:space="0"/>
                    <w:left w:val="single" w:color="auto" w:sz="4" w:space="0"/>
                    <w:bottom w:val="single" w:color="auto" w:sz="4" w:space="0"/>
                    <w:right w:val="single" w:color="auto" w:sz="4" w:space="0"/>
                  </w:tcBorders>
                  <w:vAlign w:val="center"/>
                </w:tcPr>
                <w:p w14:paraId="320DBFA8">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lang w:bidi="ar"/>
                    </w:rPr>
                  </w:pPr>
                  <w:r>
                    <w:rPr>
                      <w:rFonts w:hint="default" w:ascii="Times New Roman" w:hAnsi="Times New Roman" w:eastAsia="宋体" w:cs="Times New Roman"/>
                      <w:color w:val="auto"/>
                      <w:szCs w:val="21"/>
                      <w:lang w:bidi="ar"/>
                    </w:rPr>
                    <w:t>56</w:t>
                  </w:r>
                </w:p>
              </w:tc>
              <w:tc>
                <w:tcPr>
                  <w:tcW w:w="2014" w:type="dxa"/>
                  <w:tcBorders>
                    <w:top w:val="single" w:color="auto" w:sz="4" w:space="0"/>
                    <w:left w:val="single" w:color="auto" w:sz="4" w:space="0"/>
                    <w:bottom w:val="single" w:color="auto" w:sz="4" w:space="0"/>
                    <w:right w:val="single" w:color="auto" w:sz="4" w:space="0"/>
                  </w:tcBorders>
                  <w:vAlign w:val="center"/>
                </w:tcPr>
                <w:p w14:paraId="547E6872">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lang w:bidi="ar"/>
                    </w:rPr>
                  </w:pPr>
                  <w:r>
                    <w:rPr>
                      <w:rFonts w:hint="default" w:ascii="Times New Roman" w:hAnsi="Times New Roman" w:eastAsia="宋体" w:cs="Times New Roman"/>
                      <w:color w:val="auto"/>
                      <w:szCs w:val="21"/>
                      <w:lang w:bidi="ar"/>
                    </w:rPr>
                    <w:t>砖瓦、石材等建筑材料制造303</w:t>
                  </w:r>
                </w:p>
              </w:tc>
              <w:tc>
                <w:tcPr>
                  <w:tcW w:w="2657" w:type="dxa"/>
                  <w:tcBorders>
                    <w:top w:val="single" w:color="auto" w:sz="4" w:space="0"/>
                    <w:left w:val="single" w:color="auto" w:sz="4" w:space="0"/>
                    <w:bottom w:val="single" w:color="auto" w:sz="4" w:space="0"/>
                    <w:right w:val="single" w:color="auto" w:sz="4" w:space="0"/>
                  </w:tcBorders>
                  <w:vAlign w:val="center"/>
                </w:tcPr>
                <w:p w14:paraId="1079C425">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lang w:bidi="ar"/>
                    </w:rPr>
                  </w:pPr>
                  <w:r>
                    <w:rPr>
                      <w:rFonts w:hint="default" w:ascii="Times New Roman" w:hAnsi="Times New Roman" w:eastAsia="宋体" w:cs="Times New Roman"/>
                      <w:color w:val="auto"/>
                      <w:szCs w:val="21"/>
                      <w:lang w:bidi="ar"/>
                    </w:rPr>
                    <w:t>/</w:t>
                  </w:r>
                </w:p>
              </w:tc>
              <w:tc>
                <w:tcPr>
                  <w:tcW w:w="2080" w:type="dxa"/>
                  <w:tcBorders>
                    <w:top w:val="single" w:color="auto" w:sz="4" w:space="0"/>
                    <w:left w:val="single" w:color="auto" w:sz="4" w:space="0"/>
                    <w:bottom w:val="single" w:color="auto" w:sz="4" w:space="0"/>
                    <w:right w:val="single" w:color="auto" w:sz="4" w:space="0"/>
                  </w:tcBorders>
                  <w:shd w:val="clear" w:color="auto" w:fill="D7D7D7" w:themeFill="background1" w:themeFillShade="D8"/>
                  <w:vAlign w:val="center"/>
                </w:tcPr>
                <w:p w14:paraId="2A66740B">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lang w:bidi="ar"/>
                    </w:rPr>
                  </w:pPr>
                  <w:r>
                    <w:rPr>
                      <w:rFonts w:hint="default" w:ascii="Times New Roman" w:hAnsi="Times New Roman" w:eastAsia="宋体" w:cs="Times New Roman"/>
                      <w:color w:val="auto"/>
                      <w:szCs w:val="21"/>
                      <w:lang w:bidi="ar"/>
                    </w:rPr>
                    <w:t>粘土砖瓦及建筑砌块制造；建筑用石加工；防水建筑材料制造；</w:t>
                  </w:r>
                  <w:r>
                    <w:rPr>
                      <w:rFonts w:hint="default" w:ascii="Times New Roman" w:hAnsi="Times New Roman" w:eastAsia="宋体" w:cs="Times New Roman"/>
                      <w:b/>
                      <w:bCs/>
                      <w:color w:val="auto"/>
                      <w:szCs w:val="21"/>
                      <w:lang w:bidi="ar"/>
                    </w:rPr>
                    <w:t>隔热、隔音材料制造</w:t>
                  </w:r>
                  <w:r>
                    <w:rPr>
                      <w:rFonts w:hint="default" w:ascii="Times New Roman" w:hAnsi="Times New Roman" w:eastAsia="宋体" w:cs="Times New Roman"/>
                      <w:color w:val="auto"/>
                      <w:szCs w:val="21"/>
                      <w:lang w:bidi="ar"/>
                    </w:rPr>
                    <w:t>；其他建筑材料制造（含干粉砂浆搅拌站）以上均不含利用石材板材切割、打磨、成型的</w:t>
                  </w:r>
                </w:p>
              </w:tc>
              <w:tc>
                <w:tcPr>
                  <w:tcW w:w="973" w:type="dxa"/>
                  <w:tcBorders>
                    <w:top w:val="single" w:color="auto" w:sz="4" w:space="0"/>
                    <w:left w:val="single" w:color="auto" w:sz="4" w:space="0"/>
                    <w:bottom w:val="single" w:color="auto" w:sz="4" w:space="0"/>
                    <w:right w:val="single" w:color="auto" w:sz="4" w:space="0"/>
                  </w:tcBorders>
                  <w:vAlign w:val="center"/>
                </w:tcPr>
                <w:p w14:paraId="377E911B">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lang w:bidi="ar"/>
                    </w:rPr>
                  </w:pPr>
                  <w:r>
                    <w:rPr>
                      <w:rFonts w:hint="default" w:ascii="Times New Roman" w:hAnsi="Times New Roman" w:eastAsia="宋体" w:cs="Times New Roman"/>
                      <w:color w:val="auto"/>
                      <w:szCs w:val="21"/>
                      <w:lang w:bidi="ar"/>
                    </w:rPr>
                    <w:t>/</w:t>
                  </w:r>
                </w:p>
              </w:tc>
            </w:tr>
            <w:tr w14:paraId="34814C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93" w:hRule="atLeast"/>
                <w:jc w:val="center"/>
              </w:trPr>
              <w:tc>
                <w:tcPr>
                  <w:tcW w:w="8168" w:type="dxa"/>
                  <w:gridSpan w:val="5"/>
                  <w:tcBorders>
                    <w:top w:val="single" w:color="auto" w:sz="4" w:space="0"/>
                    <w:left w:val="single" w:color="auto" w:sz="4" w:space="0"/>
                    <w:bottom w:val="single" w:color="auto" w:sz="4" w:space="0"/>
                    <w:right w:val="single" w:color="auto" w:sz="4" w:space="0"/>
                  </w:tcBorders>
                  <w:shd w:val="clear" w:color="auto" w:fill="D7D7D7" w:themeFill="background1" w:themeFillShade="D8"/>
                  <w:vAlign w:val="center"/>
                </w:tcPr>
                <w:p w14:paraId="211EC53C">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lang w:bidi="ar"/>
                    </w:rPr>
                  </w:pPr>
                  <w:r>
                    <w:rPr>
                      <w:rFonts w:hint="default" w:ascii="Times New Roman" w:hAnsi="Times New Roman" w:eastAsia="宋体" w:cs="Times New Roman"/>
                      <w:color w:val="auto"/>
                      <w:szCs w:val="21"/>
                      <w:lang w:bidi="ar"/>
                    </w:rPr>
                    <w:t>三十三、汽车制造业36</w:t>
                  </w:r>
                </w:p>
              </w:tc>
            </w:tr>
            <w:tr w14:paraId="2A9087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7" w:hRule="atLeast"/>
                <w:jc w:val="center"/>
              </w:trPr>
              <w:tc>
                <w:tcPr>
                  <w:tcW w:w="444" w:type="dxa"/>
                  <w:tcBorders>
                    <w:top w:val="single" w:color="auto" w:sz="4" w:space="0"/>
                    <w:left w:val="single" w:color="auto" w:sz="4" w:space="0"/>
                    <w:bottom w:val="single" w:color="auto" w:sz="4" w:space="0"/>
                    <w:right w:val="single" w:color="auto" w:sz="4" w:space="0"/>
                  </w:tcBorders>
                  <w:vAlign w:val="center"/>
                </w:tcPr>
                <w:p w14:paraId="5F50D829">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lang w:bidi="ar"/>
                    </w:rPr>
                  </w:pPr>
                  <w:r>
                    <w:rPr>
                      <w:rFonts w:hint="default" w:ascii="Times New Roman" w:hAnsi="Times New Roman" w:eastAsia="宋体" w:cs="Times New Roman"/>
                      <w:color w:val="auto"/>
                      <w:szCs w:val="21"/>
                      <w:lang w:bidi="ar"/>
                    </w:rPr>
                    <w:t>71</w:t>
                  </w:r>
                </w:p>
              </w:tc>
              <w:tc>
                <w:tcPr>
                  <w:tcW w:w="2014" w:type="dxa"/>
                  <w:tcBorders>
                    <w:top w:val="single" w:color="auto" w:sz="4" w:space="0"/>
                    <w:left w:val="single" w:color="auto" w:sz="4" w:space="0"/>
                    <w:bottom w:val="single" w:color="auto" w:sz="4" w:space="0"/>
                    <w:right w:val="single" w:color="auto" w:sz="4" w:space="0"/>
                  </w:tcBorders>
                  <w:vAlign w:val="center"/>
                </w:tcPr>
                <w:p w14:paraId="70394187">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lang w:bidi="ar"/>
                    </w:rPr>
                  </w:pPr>
                  <w:r>
                    <w:rPr>
                      <w:rFonts w:hint="default" w:ascii="Times New Roman" w:hAnsi="Times New Roman" w:eastAsia="宋体" w:cs="Times New Roman"/>
                      <w:color w:val="auto"/>
                      <w:szCs w:val="21"/>
                      <w:lang w:bidi="ar"/>
                    </w:rPr>
                    <w:t>汽车整车制造361；汽车用发动机制造362；改装汽车制造363；低速汽车制造364；电车制造365；汽车车身、挂车制造366；汽车零部件及配件制造367</w:t>
                  </w:r>
                </w:p>
              </w:tc>
              <w:tc>
                <w:tcPr>
                  <w:tcW w:w="2657" w:type="dxa"/>
                  <w:tcBorders>
                    <w:top w:val="single" w:color="auto" w:sz="4" w:space="0"/>
                    <w:left w:val="single" w:color="auto" w:sz="4" w:space="0"/>
                    <w:bottom w:val="single" w:color="auto" w:sz="4" w:space="0"/>
                    <w:right w:val="single" w:color="auto" w:sz="4" w:space="0"/>
                  </w:tcBorders>
                  <w:vAlign w:val="center"/>
                </w:tcPr>
                <w:p w14:paraId="5F93C92F">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lang w:bidi="ar"/>
                    </w:rPr>
                  </w:pPr>
                  <w:r>
                    <w:rPr>
                      <w:rFonts w:hint="default" w:ascii="Times New Roman" w:hAnsi="Times New Roman" w:eastAsia="宋体" w:cs="Times New Roman"/>
                      <w:color w:val="auto"/>
                      <w:szCs w:val="21"/>
                      <w:lang w:bidi="ar"/>
                    </w:rPr>
                    <w:t>汽车整车制造（仅组装的除外）；汽车用发动机制造（仅组装的除外）；有电镀工艺的；年用溶剂型涂料（含稀释剂）10吨及以上的</w:t>
                  </w:r>
                </w:p>
              </w:tc>
              <w:tc>
                <w:tcPr>
                  <w:tcW w:w="2080" w:type="dxa"/>
                  <w:tcBorders>
                    <w:top w:val="single" w:color="auto" w:sz="4" w:space="0"/>
                    <w:left w:val="single" w:color="auto" w:sz="4" w:space="0"/>
                    <w:bottom w:val="single" w:color="auto" w:sz="4" w:space="0"/>
                    <w:right w:val="single" w:color="auto" w:sz="4" w:space="0"/>
                  </w:tcBorders>
                  <w:shd w:val="clear" w:color="auto" w:fill="D7D7D7" w:themeFill="background1" w:themeFillShade="D8"/>
                  <w:vAlign w:val="center"/>
                </w:tcPr>
                <w:p w14:paraId="4399F4B4">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lang w:bidi="ar"/>
                    </w:rPr>
                  </w:pPr>
                  <w:r>
                    <w:rPr>
                      <w:rFonts w:hint="default" w:ascii="Times New Roman" w:hAnsi="Times New Roman" w:eastAsia="宋体" w:cs="Times New Roman"/>
                      <w:b/>
                      <w:bCs/>
                      <w:color w:val="auto"/>
                      <w:szCs w:val="21"/>
                      <w:lang w:bidi="ar"/>
                    </w:rPr>
                    <w:t>其他</w:t>
                  </w:r>
                  <w:r>
                    <w:rPr>
                      <w:rFonts w:hint="default" w:ascii="Times New Roman" w:hAnsi="Times New Roman" w:eastAsia="宋体" w:cs="Times New Roman"/>
                      <w:color w:val="auto"/>
                      <w:szCs w:val="21"/>
                      <w:lang w:bidi="ar"/>
                    </w:rPr>
                    <w:t>（年用非溶剂型低VOCs含量涂料10吨以下的除外）</w:t>
                  </w:r>
                </w:p>
              </w:tc>
              <w:tc>
                <w:tcPr>
                  <w:tcW w:w="973" w:type="dxa"/>
                  <w:tcBorders>
                    <w:top w:val="single" w:color="auto" w:sz="4" w:space="0"/>
                    <w:left w:val="single" w:color="auto" w:sz="4" w:space="0"/>
                    <w:bottom w:val="single" w:color="auto" w:sz="4" w:space="0"/>
                    <w:right w:val="single" w:color="auto" w:sz="4" w:space="0"/>
                  </w:tcBorders>
                  <w:vAlign w:val="center"/>
                </w:tcPr>
                <w:p w14:paraId="044D7510">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lang w:bidi="ar"/>
                    </w:rPr>
                  </w:pPr>
                  <w:r>
                    <w:rPr>
                      <w:rFonts w:hint="default" w:ascii="Times New Roman" w:hAnsi="Times New Roman" w:eastAsia="宋体" w:cs="Times New Roman"/>
                      <w:color w:val="auto"/>
                      <w:szCs w:val="21"/>
                      <w:lang w:bidi="ar"/>
                    </w:rPr>
                    <w:t>/</w:t>
                  </w:r>
                </w:p>
              </w:tc>
            </w:tr>
          </w:tbl>
          <w:p w14:paraId="2FCD1DDC">
            <w:pPr>
              <w:keepNext w:val="0"/>
              <w:keepLines w:val="0"/>
              <w:suppressLineNumbers w:val="0"/>
              <w:spacing w:before="0" w:beforeAutospacing="0" w:after="0" w:afterAutospacing="0" w:line="360" w:lineRule="auto"/>
              <w:ind w:left="0" w:right="0" w:firstLine="482" w:firstLineChars="200"/>
              <w:rPr>
                <w:rFonts w:hint="default" w:ascii="Times New Roman" w:hAnsi="Times New Roman" w:eastAsia="宋体" w:cs="Times New Roman"/>
                <w:b/>
                <w:bCs/>
                <w:color w:val="auto"/>
                <w:sz w:val="24"/>
              </w:rPr>
            </w:pPr>
            <w:r>
              <w:rPr>
                <w:rFonts w:hint="eastAsia" w:ascii="宋体" w:hAnsi="宋体" w:eastAsia="宋体" w:cs="宋体"/>
                <w:b/>
                <w:bCs/>
                <w:color w:val="auto"/>
                <w:sz w:val="24"/>
                <w:lang w:bidi="ar"/>
              </w:rPr>
              <w:t>（</w:t>
            </w:r>
            <w:r>
              <w:rPr>
                <w:rFonts w:hint="default" w:ascii="Times New Roman" w:hAnsi="Times New Roman" w:eastAsia="宋体" w:cs="Times New Roman"/>
                <w:b/>
                <w:bCs/>
                <w:color w:val="auto"/>
                <w:sz w:val="24"/>
                <w:lang w:bidi="ar"/>
              </w:rPr>
              <w:t>2</w:t>
            </w:r>
            <w:r>
              <w:rPr>
                <w:rFonts w:hint="eastAsia" w:ascii="宋体" w:hAnsi="宋体" w:eastAsia="宋体" w:cs="宋体"/>
                <w:b/>
                <w:bCs/>
                <w:color w:val="auto"/>
                <w:sz w:val="24"/>
                <w:lang w:bidi="ar"/>
              </w:rPr>
              <w:t>）建设项目排污许可分类类别</w:t>
            </w:r>
          </w:p>
          <w:p w14:paraId="6AFF49AD">
            <w:pPr>
              <w:keepNext w:val="0"/>
              <w:keepLines w:val="0"/>
              <w:suppressLineNumbers w:val="0"/>
              <w:spacing w:before="0" w:beforeAutospacing="0" w:after="0" w:afterAutospacing="0" w:line="360" w:lineRule="auto"/>
              <w:ind w:left="0" w:right="0" w:firstLine="480" w:firstLineChars="200"/>
              <w:rPr>
                <w:rFonts w:hint="default" w:ascii="Times New Roman" w:hAnsi="Times New Roman" w:eastAsia="宋体" w:cs="Times New Roman"/>
                <w:color w:val="auto"/>
                <w:sz w:val="24"/>
              </w:rPr>
            </w:pPr>
            <w:r>
              <w:rPr>
                <w:rFonts w:hint="eastAsia" w:ascii="宋体" w:hAnsi="宋体" w:eastAsia="宋体" w:cs="宋体"/>
                <w:color w:val="auto"/>
                <w:sz w:val="24"/>
                <w:lang w:bidi="ar"/>
              </w:rPr>
              <w:t>根据《固定污染源排污许可分类管理名录》（</w:t>
            </w:r>
            <w:r>
              <w:rPr>
                <w:rFonts w:hint="default" w:ascii="Times New Roman" w:hAnsi="Times New Roman" w:eastAsia="宋体" w:cs="Times New Roman"/>
                <w:color w:val="auto"/>
                <w:sz w:val="24"/>
                <w:lang w:bidi="ar"/>
              </w:rPr>
              <w:t>2019</w:t>
            </w:r>
            <w:r>
              <w:rPr>
                <w:rFonts w:hint="eastAsia" w:ascii="宋体" w:hAnsi="宋体" w:eastAsia="宋体" w:cs="宋体"/>
                <w:color w:val="auto"/>
                <w:sz w:val="24"/>
                <w:lang w:bidi="ar"/>
              </w:rPr>
              <w:t>年版）并结合本项目产品及原辅材料情况</w:t>
            </w:r>
            <w:r>
              <w:rPr>
                <w:rFonts w:hint="default" w:ascii="Times New Roman" w:hAnsi="Times New Roman" w:eastAsia="宋体" w:cs="Times New Roman"/>
                <w:color w:val="auto"/>
                <w:sz w:val="24"/>
                <w:lang w:bidi="ar"/>
              </w:rPr>
              <w:t>，项目</w:t>
            </w:r>
            <w:r>
              <w:rPr>
                <w:rFonts w:hint="default" w:ascii="Times New Roman" w:hAnsi="Times New Roman" w:eastAsia="宋体" w:cs="Times New Roman"/>
                <w:color w:val="auto"/>
                <w:kern w:val="0"/>
                <w:sz w:val="24"/>
                <w:lang w:bidi="ar"/>
              </w:rPr>
              <w:t>年产500万平方米第二代动力电池高安全陶瓷化复合隔膜及2000万片纳米隔热板</w:t>
            </w:r>
            <w:r>
              <w:rPr>
                <w:rFonts w:hint="default" w:ascii="Times New Roman" w:hAnsi="Times New Roman" w:eastAsia="宋体" w:cs="Times New Roman"/>
                <w:color w:val="auto"/>
                <w:sz w:val="24"/>
                <w:lang w:bidi="ar"/>
              </w:rPr>
              <w:t>，</w:t>
            </w:r>
            <w:r>
              <w:rPr>
                <w:rFonts w:hint="eastAsia" w:ascii="宋体" w:hAnsi="宋体" w:eastAsia="宋体" w:cs="宋体"/>
                <w:color w:val="auto"/>
                <w:sz w:val="24"/>
                <w:lang w:bidi="ar"/>
              </w:rPr>
              <w:t>属于其中</w:t>
            </w:r>
            <w:r>
              <w:rPr>
                <w:rFonts w:hint="eastAsia" w:ascii="宋体" w:hAnsi="宋体" w:eastAsia="宋体" w:cs="宋体"/>
                <w:color w:val="auto"/>
                <w:sz w:val="24"/>
                <w:lang w:eastAsia="zh-CN" w:bidi="ar"/>
              </w:rPr>
              <w:t>“</w:t>
            </w:r>
            <w:r>
              <w:rPr>
                <w:rFonts w:hint="eastAsia" w:ascii="宋体" w:hAnsi="宋体" w:eastAsia="宋体" w:cs="宋体"/>
                <w:color w:val="auto"/>
                <w:sz w:val="24"/>
                <w:lang w:bidi="ar"/>
              </w:rPr>
              <w:t>二十四、橡胶和塑料制品业</w:t>
            </w:r>
            <w:r>
              <w:rPr>
                <w:rFonts w:hint="default" w:ascii="Times New Roman" w:hAnsi="Times New Roman" w:eastAsia="宋体" w:cs="Times New Roman"/>
                <w:color w:val="auto"/>
                <w:sz w:val="24"/>
                <w:lang w:bidi="ar"/>
              </w:rPr>
              <w:t>29-62</w:t>
            </w:r>
            <w:r>
              <w:rPr>
                <w:rFonts w:hint="eastAsia" w:ascii="宋体" w:hAnsi="宋体" w:eastAsia="宋体" w:cs="宋体"/>
                <w:color w:val="auto"/>
                <w:sz w:val="24"/>
                <w:lang w:bidi="ar"/>
              </w:rPr>
              <w:t>、塑料</w:t>
            </w:r>
            <w:r>
              <w:rPr>
                <w:rFonts w:hint="default" w:ascii="Times New Roman" w:hAnsi="Times New Roman" w:eastAsia="宋体" w:cs="Times New Roman"/>
                <w:color w:val="auto"/>
                <w:sz w:val="24"/>
                <w:lang w:bidi="ar"/>
              </w:rPr>
              <w:t>制品业292-其他</w:t>
            </w:r>
            <w:r>
              <w:rPr>
                <w:rFonts w:hint="eastAsia" w:ascii="Times New Roman" w:hAnsi="Times New Roman" w:eastAsia="宋体" w:cs="Times New Roman"/>
                <w:color w:val="auto"/>
                <w:sz w:val="24"/>
                <w:lang w:eastAsia="zh-CN" w:bidi="ar"/>
              </w:rPr>
              <w:t>”</w:t>
            </w:r>
            <w:r>
              <w:rPr>
                <w:rFonts w:hint="default" w:ascii="Times New Roman" w:hAnsi="Times New Roman" w:eastAsia="宋体" w:cs="Times New Roman"/>
                <w:color w:val="auto"/>
                <w:sz w:val="24"/>
                <w:lang w:eastAsia="zh-CN" w:bidi="ar"/>
              </w:rPr>
              <w:t>、</w:t>
            </w:r>
            <w:r>
              <w:rPr>
                <w:rFonts w:hint="eastAsia" w:ascii="Times New Roman" w:hAnsi="Times New Roman" w:eastAsia="宋体" w:cs="Times New Roman"/>
                <w:color w:val="auto"/>
                <w:sz w:val="24"/>
                <w:lang w:eastAsia="zh-CN" w:bidi="ar"/>
              </w:rPr>
              <w:t>“</w:t>
            </w:r>
            <w:r>
              <w:rPr>
                <w:rFonts w:hint="default" w:ascii="Times New Roman" w:hAnsi="Times New Roman" w:eastAsia="宋体" w:cs="Times New Roman"/>
                <w:color w:val="auto"/>
                <w:sz w:val="24"/>
                <w:lang w:val="en-US" w:eastAsia="zh-CN" w:bidi="ar"/>
              </w:rPr>
              <w:t>二十五、非金属矿物制品业30-64、砖瓦、石材等建筑材料制造303-隔热和隔音材料制造3034</w:t>
            </w:r>
            <w:r>
              <w:rPr>
                <w:rFonts w:hint="eastAsia" w:ascii="Times New Roman" w:hAnsi="Times New Roman" w:eastAsia="宋体" w:cs="Times New Roman"/>
                <w:color w:val="auto"/>
                <w:sz w:val="24"/>
                <w:lang w:eastAsia="zh-CN" w:bidi="ar"/>
              </w:rPr>
              <w:t>”</w:t>
            </w:r>
            <w:r>
              <w:rPr>
                <w:rFonts w:hint="default" w:ascii="Times New Roman" w:hAnsi="Times New Roman" w:eastAsia="宋体" w:cs="Times New Roman"/>
                <w:color w:val="auto"/>
                <w:sz w:val="24"/>
                <w:lang w:eastAsia="zh-CN" w:bidi="ar"/>
              </w:rPr>
              <w:t>、</w:t>
            </w:r>
            <w:r>
              <w:rPr>
                <w:rFonts w:hint="eastAsia" w:ascii="Times New Roman" w:hAnsi="Times New Roman" w:eastAsia="宋体" w:cs="Times New Roman"/>
                <w:color w:val="auto"/>
                <w:sz w:val="24"/>
                <w:lang w:eastAsia="zh-CN" w:bidi="ar"/>
              </w:rPr>
              <w:t>“</w:t>
            </w:r>
            <w:r>
              <w:rPr>
                <w:rFonts w:hint="default" w:ascii="Times New Roman" w:hAnsi="Times New Roman" w:eastAsia="宋体" w:cs="Times New Roman"/>
                <w:color w:val="auto"/>
                <w:sz w:val="24"/>
                <w:lang w:val="en-US" w:eastAsia="zh-CN" w:bidi="ar"/>
              </w:rPr>
              <w:t>三十一、汽车制造业36-85、汽车零部件及配件制造367-其他</w:t>
            </w:r>
            <w:r>
              <w:rPr>
                <w:rFonts w:hint="eastAsia" w:ascii="Times New Roman" w:hAnsi="Times New Roman" w:eastAsia="宋体" w:cs="Times New Roman"/>
                <w:color w:val="auto"/>
                <w:sz w:val="24"/>
                <w:lang w:eastAsia="zh-CN" w:bidi="ar"/>
              </w:rPr>
              <w:t>”</w:t>
            </w:r>
            <w:r>
              <w:rPr>
                <w:rFonts w:hint="default" w:ascii="Times New Roman" w:hAnsi="Times New Roman" w:eastAsia="宋体" w:cs="Times New Roman"/>
                <w:color w:val="auto"/>
                <w:sz w:val="24"/>
                <w:lang w:bidi="ar"/>
              </w:rPr>
              <w:t>，故实行排污许可</w:t>
            </w:r>
            <w:r>
              <w:rPr>
                <w:rFonts w:hint="eastAsia" w:ascii="Times New Roman" w:hAnsi="Times New Roman" w:eastAsia="宋体" w:cs="Times New Roman"/>
                <w:color w:val="auto"/>
                <w:sz w:val="24"/>
                <w:lang w:eastAsia="zh-CN" w:bidi="ar"/>
              </w:rPr>
              <w:t>“</w:t>
            </w:r>
            <w:r>
              <w:rPr>
                <w:rFonts w:hint="default" w:ascii="Times New Roman" w:hAnsi="Times New Roman" w:eastAsia="宋体" w:cs="Times New Roman"/>
                <w:color w:val="auto"/>
                <w:sz w:val="24"/>
                <w:lang w:bidi="ar"/>
              </w:rPr>
              <w:t>简化管理</w:t>
            </w:r>
            <w:r>
              <w:rPr>
                <w:rFonts w:hint="eastAsia" w:ascii="Times New Roman" w:hAnsi="Times New Roman" w:eastAsia="宋体" w:cs="Times New Roman"/>
                <w:color w:val="auto"/>
                <w:sz w:val="24"/>
                <w:lang w:eastAsia="zh-CN" w:bidi="ar"/>
              </w:rPr>
              <w:t>”</w:t>
            </w:r>
            <w:r>
              <w:rPr>
                <w:rFonts w:hint="default" w:ascii="Times New Roman" w:hAnsi="Times New Roman" w:eastAsia="宋体" w:cs="Times New Roman"/>
                <w:color w:val="auto"/>
                <w:sz w:val="24"/>
                <w:lang w:bidi="ar"/>
              </w:rPr>
              <w:t>，具体判定如下表2-2。</w:t>
            </w:r>
          </w:p>
          <w:p w14:paraId="5EBA59FF">
            <w:pPr>
              <w:keepNext w:val="0"/>
              <w:keepLines w:val="0"/>
              <w:suppressLineNumbers w:val="0"/>
              <w:spacing w:before="0" w:beforeAutospacing="0" w:after="0" w:afterAutospacing="0"/>
              <w:ind w:left="0" w:right="0"/>
              <w:jc w:val="center"/>
              <w:rPr>
                <w:rFonts w:hint="default" w:ascii="Times New Roman" w:hAnsi="Times New Roman" w:eastAsia="宋体" w:cs="Times New Roman"/>
                <w:b/>
                <w:color w:val="auto"/>
                <w:kern w:val="0"/>
                <w:sz w:val="24"/>
              </w:rPr>
            </w:pPr>
            <w:r>
              <w:rPr>
                <w:rFonts w:hint="eastAsia" w:ascii="宋体" w:hAnsi="宋体" w:eastAsia="宋体" w:cs="宋体"/>
                <w:b/>
                <w:color w:val="auto"/>
                <w:kern w:val="0"/>
                <w:szCs w:val="21"/>
                <w:lang w:bidi="ar"/>
              </w:rPr>
              <w:t>表</w:t>
            </w:r>
            <w:r>
              <w:rPr>
                <w:rFonts w:hint="default" w:ascii="Times New Roman" w:hAnsi="Times New Roman" w:eastAsia="宋体" w:cs="Times New Roman"/>
                <w:b/>
                <w:color w:val="auto"/>
                <w:kern w:val="0"/>
                <w:szCs w:val="21"/>
                <w:lang w:bidi="ar"/>
              </w:rPr>
              <w:t xml:space="preserve">2-2  </w:t>
            </w:r>
            <w:r>
              <w:rPr>
                <w:rFonts w:hint="eastAsia" w:ascii="宋体" w:hAnsi="宋体" w:eastAsia="宋体" w:cs="宋体"/>
                <w:b/>
                <w:color w:val="auto"/>
                <w:szCs w:val="21"/>
                <w:lang w:bidi="ar"/>
              </w:rPr>
              <w:t>固定污染源排污许可证分类管理名录（</w:t>
            </w:r>
            <w:r>
              <w:rPr>
                <w:rFonts w:hint="default" w:ascii="Times New Roman" w:hAnsi="Times New Roman" w:eastAsia="宋体" w:cs="Times New Roman"/>
                <w:b/>
                <w:color w:val="auto"/>
                <w:szCs w:val="21"/>
                <w:lang w:bidi="ar"/>
              </w:rPr>
              <w:t>2019</w:t>
            </w:r>
            <w:r>
              <w:rPr>
                <w:rFonts w:hint="eastAsia" w:ascii="宋体" w:hAnsi="宋体" w:eastAsia="宋体" w:cs="宋体"/>
                <w:b/>
                <w:color w:val="auto"/>
                <w:szCs w:val="21"/>
                <w:lang w:bidi="ar"/>
              </w:rPr>
              <w:t>版）对照表（摘录）</w:t>
            </w:r>
          </w:p>
          <w:tbl>
            <w:tblPr>
              <w:tblStyle w:val="22"/>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89"/>
              <w:gridCol w:w="2048"/>
              <w:gridCol w:w="1655"/>
              <w:gridCol w:w="2647"/>
              <w:gridCol w:w="1136"/>
            </w:tblGrid>
            <w:tr w14:paraId="1EBB87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0" w:hRule="atLeast"/>
                <w:jc w:val="center"/>
              </w:trPr>
              <w:tc>
                <w:tcPr>
                  <w:tcW w:w="689" w:type="dxa"/>
                  <w:tcBorders>
                    <w:top w:val="single" w:color="auto" w:sz="4" w:space="0"/>
                    <w:left w:val="single" w:color="auto" w:sz="4" w:space="0"/>
                    <w:bottom w:val="single" w:color="auto" w:sz="4" w:space="0"/>
                    <w:right w:val="single" w:color="auto" w:sz="4" w:space="0"/>
                  </w:tcBorders>
                  <w:vAlign w:val="center"/>
                </w:tcPr>
                <w:p w14:paraId="2E1B780F">
                  <w:pPr>
                    <w:keepNext w:val="0"/>
                    <w:keepLines w:val="0"/>
                    <w:suppressLineNumbers w:val="0"/>
                    <w:autoSpaceDE w:val="0"/>
                    <w:spacing w:before="0" w:beforeAutospacing="0" w:after="0" w:afterAutospacing="0"/>
                    <w:ind w:left="0" w:right="0"/>
                    <w:jc w:val="center"/>
                    <w:rPr>
                      <w:rFonts w:hint="default" w:ascii="Times New Roman" w:hAnsi="Times New Roman" w:eastAsia="宋体" w:cs="Times New Roman"/>
                      <w:b/>
                      <w:bCs/>
                      <w:color w:val="auto"/>
                      <w:szCs w:val="21"/>
                    </w:rPr>
                  </w:pPr>
                  <w:r>
                    <w:rPr>
                      <w:rFonts w:hint="eastAsia" w:ascii="宋体" w:hAnsi="宋体" w:eastAsia="宋体" w:cs="宋体"/>
                      <w:b/>
                      <w:bCs/>
                      <w:color w:val="auto"/>
                      <w:szCs w:val="21"/>
                      <w:lang w:bidi="ar"/>
                    </w:rPr>
                    <w:t>序号</w:t>
                  </w:r>
                </w:p>
              </w:tc>
              <w:tc>
                <w:tcPr>
                  <w:tcW w:w="2048" w:type="dxa"/>
                  <w:tcBorders>
                    <w:top w:val="single" w:color="auto" w:sz="4" w:space="0"/>
                    <w:left w:val="single" w:color="auto" w:sz="4" w:space="0"/>
                    <w:bottom w:val="single" w:color="auto" w:sz="4" w:space="0"/>
                    <w:right w:val="single" w:color="auto" w:sz="4" w:space="0"/>
                  </w:tcBorders>
                  <w:vAlign w:val="center"/>
                </w:tcPr>
                <w:p w14:paraId="2F7EE08C">
                  <w:pPr>
                    <w:keepNext w:val="0"/>
                    <w:keepLines w:val="0"/>
                    <w:widowControl/>
                    <w:suppressLineNumbers w:val="0"/>
                    <w:autoSpaceDE w:val="0"/>
                    <w:spacing w:before="0" w:beforeAutospacing="0" w:after="0" w:afterAutospacing="0"/>
                    <w:ind w:left="0" w:right="0"/>
                    <w:jc w:val="center"/>
                    <w:rPr>
                      <w:rFonts w:hint="default" w:ascii="Times New Roman" w:hAnsi="Times New Roman" w:eastAsia="宋体" w:cs="Times New Roman"/>
                      <w:b/>
                      <w:bCs/>
                      <w:color w:val="auto"/>
                      <w:szCs w:val="21"/>
                    </w:rPr>
                  </w:pPr>
                  <w:r>
                    <w:rPr>
                      <w:rFonts w:hint="eastAsia" w:ascii="宋体" w:hAnsi="宋体" w:eastAsia="宋体" w:cs="宋体"/>
                      <w:b/>
                      <w:bCs/>
                      <w:color w:val="auto"/>
                      <w:kern w:val="0"/>
                      <w:szCs w:val="21"/>
                      <w:lang w:bidi="ar"/>
                    </w:rPr>
                    <w:t>行业类别</w:t>
                  </w:r>
                </w:p>
              </w:tc>
              <w:tc>
                <w:tcPr>
                  <w:tcW w:w="1655" w:type="dxa"/>
                  <w:tcBorders>
                    <w:top w:val="single" w:color="auto" w:sz="4" w:space="0"/>
                    <w:left w:val="single" w:color="auto" w:sz="4" w:space="0"/>
                    <w:bottom w:val="single" w:color="auto" w:sz="4" w:space="0"/>
                    <w:right w:val="single" w:color="auto" w:sz="4" w:space="0"/>
                  </w:tcBorders>
                  <w:vAlign w:val="center"/>
                </w:tcPr>
                <w:p w14:paraId="31793958">
                  <w:pPr>
                    <w:keepNext w:val="0"/>
                    <w:keepLines w:val="0"/>
                    <w:widowControl/>
                    <w:suppressLineNumbers w:val="0"/>
                    <w:autoSpaceDE w:val="0"/>
                    <w:spacing w:before="0" w:beforeAutospacing="0" w:after="0" w:afterAutospacing="0"/>
                    <w:ind w:left="0" w:right="0"/>
                    <w:jc w:val="center"/>
                    <w:rPr>
                      <w:rFonts w:hint="default" w:ascii="Times New Roman" w:hAnsi="Times New Roman" w:eastAsia="宋体" w:cs="Times New Roman"/>
                      <w:b/>
                      <w:bCs/>
                      <w:color w:val="auto"/>
                      <w:szCs w:val="21"/>
                    </w:rPr>
                  </w:pPr>
                  <w:r>
                    <w:rPr>
                      <w:rFonts w:hint="eastAsia" w:ascii="宋体" w:hAnsi="宋体" w:eastAsia="宋体" w:cs="宋体"/>
                      <w:b/>
                      <w:bCs/>
                      <w:color w:val="auto"/>
                      <w:kern w:val="0"/>
                      <w:szCs w:val="21"/>
                      <w:lang w:bidi="ar"/>
                    </w:rPr>
                    <w:t>重点管理</w:t>
                  </w:r>
                </w:p>
              </w:tc>
              <w:tc>
                <w:tcPr>
                  <w:tcW w:w="2647" w:type="dxa"/>
                  <w:tcBorders>
                    <w:top w:val="single" w:color="auto" w:sz="4" w:space="0"/>
                    <w:left w:val="single" w:color="auto" w:sz="4" w:space="0"/>
                    <w:bottom w:val="single" w:color="auto" w:sz="4" w:space="0"/>
                    <w:right w:val="single" w:color="auto" w:sz="4" w:space="0"/>
                  </w:tcBorders>
                  <w:vAlign w:val="center"/>
                </w:tcPr>
                <w:p w14:paraId="1299C0AF">
                  <w:pPr>
                    <w:keepNext w:val="0"/>
                    <w:keepLines w:val="0"/>
                    <w:suppressLineNumbers w:val="0"/>
                    <w:autoSpaceDE w:val="0"/>
                    <w:spacing w:before="0" w:beforeAutospacing="0" w:after="0" w:afterAutospacing="0"/>
                    <w:ind w:left="0" w:right="0"/>
                    <w:jc w:val="center"/>
                    <w:rPr>
                      <w:rFonts w:hint="default" w:ascii="Times New Roman" w:hAnsi="Times New Roman" w:eastAsia="宋体" w:cs="Times New Roman"/>
                      <w:b/>
                      <w:bCs/>
                      <w:color w:val="auto"/>
                      <w:szCs w:val="21"/>
                    </w:rPr>
                  </w:pPr>
                  <w:r>
                    <w:rPr>
                      <w:rFonts w:hint="eastAsia" w:ascii="宋体" w:hAnsi="宋体" w:eastAsia="宋体" w:cs="宋体"/>
                      <w:b/>
                      <w:bCs/>
                      <w:color w:val="auto"/>
                      <w:szCs w:val="21"/>
                      <w:lang w:bidi="ar"/>
                    </w:rPr>
                    <w:t>简化管理</w:t>
                  </w:r>
                </w:p>
              </w:tc>
              <w:tc>
                <w:tcPr>
                  <w:tcW w:w="1136" w:type="dxa"/>
                  <w:tcBorders>
                    <w:top w:val="single" w:color="auto" w:sz="4" w:space="0"/>
                    <w:left w:val="single" w:color="auto" w:sz="4" w:space="0"/>
                    <w:bottom w:val="single" w:color="auto" w:sz="4" w:space="0"/>
                    <w:right w:val="single" w:color="auto" w:sz="4" w:space="0"/>
                  </w:tcBorders>
                  <w:shd w:val="clear" w:color="auto" w:fill="D7D7D7"/>
                  <w:vAlign w:val="center"/>
                </w:tcPr>
                <w:p w14:paraId="2F81B9A4">
                  <w:pPr>
                    <w:keepNext w:val="0"/>
                    <w:keepLines w:val="0"/>
                    <w:suppressLineNumbers w:val="0"/>
                    <w:autoSpaceDE w:val="0"/>
                    <w:spacing w:before="0" w:beforeAutospacing="0" w:after="0" w:afterAutospacing="0"/>
                    <w:ind w:left="0" w:right="0"/>
                    <w:jc w:val="center"/>
                    <w:rPr>
                      <w:rFonts w:hint="default" w:ascii="Times New Roman" w:hAnsi="Times New Roman" w:eastAsia="宋体" w:cs="Times New Roman"/>
                      <w:b/>
                      <w:bCs/>
                      <w:color w:val="auto"/>
                      <w:szCs w:val="21"/>
                    </w:rPr>
                  </w:pPr>
                  <w:r>
                    <w:rPr>
                      <w:rFonts w:hint="eastAsia" w:ascii="宋体" w:hAnsi="宋体" w:eastAsia="宋体" w:cs="宋体"/>
                      <w:b/>
                      <w:bCs/>
                      <w:color w:val="auto"/>
                      <w:szCs w:val="21"/>
                      <w:lang w:bidi="ar"/>
                    </w:rPr>
                    <w:t>登记管理</w:t>
                  </w:r>
                </w:p>
              </w:tc>
            </w:tr>
            <w:tr w14:paraId="7AB366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8175" w:type="dxa"/>
                  <w:gridSpan w:val="5"/>
                  <w:tcBorders>
                    <w:top w:val="single" w:color="auto" w:sz="4" w:space="0"/>
                    <w:left w:val="single" w:color="auto" w:sz="4" w:space="0"/>
                    <w:bottom w:val="single" w:color="auto" w:sz="4" w:space="0"/>
                    <w:right w:val="single" w:color="auto" w:sz="4" w:space="0"/>
                  </w:tcBorders>
                  <w:shd w:val="clear" w:color="auto" w:fill="D7D7D7"/>
                  <w:vAlign w:val="center"/>
                </w:tcPr>
                <w:p w14:paraId="1B5082B7">
                  <w:pPr>
                    <w:keepNext w:val="0"/>
                    <w:keepLines w:val="0"/>
                    <w:suppressLineNumbers w:val="0"/>
                    <w:autoSpaceDE w:val="0"/>
                    <w:spacing w:before="0" w:beforeAutospacing="0" w:after="0" w:afterAutospacing="0"/>
                    <w:ind w:left="0" w:right="0"/>
                    <w:jc w:val="center"/>
                    <w:rPr>
                      <w:rFonts w:hint="default" w:ascii="Times New Roman" w:hAnsi="Times New Roman" w:eastAsia="宋体" w:cs="Times New Roman"/>
                      <w:b/>
                      <w:bCs/>
                      <w:color w:val="auto"/>
                      <w:szCs w:val="21"/>
                    </w:rPr>
                  </w:pPr>
                  <w:r>
                    <w:rPr>
                      <w:rFonts w:hint="default" w:ascii="Times New Roman" w:hAnsi="Times New Roman" w:eastAsia="宋体" w:cs="Times New Roman"/>
                      <w:b/>
                      <w:bCs/>
                      <w:color w:val="auto"/>
                      <w:szCs w:val="21"/>
                      <w:lang w:val="en-US" w:eastAsia="zh-CN" w:bidi="ar"/>
                    </w:rPr>
                    <w:t>二十四、橡胶和塑料制品业29</w:t>
                  </w:r>
                </w:p>
              </w:tc>
            </w:tr>
            <w:tr w14:paraId="445008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689" w:type="dxa"/>
                  <w:tcBorders>
                    <w:top w:val="single" w:color="auto" w:sz="4" w:space="0"/>
                    <w:left w:val="single" w:color="auto" w:sz="4" w:space="0"/>
                    <w:bottom w:val="single" w:color="auto" w:sz="4" w:space="0"/>
                    <w:right w:val="single" w:color="auto" w:sz="4" w:space="0"/>
                  </w:tcBorders>
                  <w:vAlign w:val="center"/>
                </w:tcPr>
                <w:p w14:paraId="4F80274D">
                  <w:pPr>
                    <w:keepNext w:val="0"/>
                    <w:keepLines w:val="0"/>
                    <w:suppressLineNumbers w:val="0"/>
                    <w:autoSpaceDE w:val="0"/>
                    <w:spacing w:before="0" w:beforeAutospacing="0" w:after="0" w:afterAutospacing="0"/>
                    <w:ind w:left="0" w:right="0"/>
                    <w:jc w:val="center"/>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lang w:val="en-US" w:eastAsia="zh-CN"/>
                    </w:rPr>
                    <w:t>62</w:t>
                  </w:r>
                </w:p>
              </w:tc>
              <w:tc>
                <w:tcPr>
                  <w:tcW w:w="2048" w:type="dxa"/>
                  <w:tcBorders>
                    <w:top w:val="single" w:color="auto" w:sz="4" w:space="0"/>
                    <w:left w:val="single" w:color="auto" w:sz="4" w:space="0"/>
                    <w:bottom w:val="single" w:color="auto" w:sz="4" w:space="0"/>
                    <w:right w:val="single" w:color="auto" w:sz="4" w:space="0"/>
                  </w:tcBorders>
                  <w:vAlign w:val="center"/>
                </w:tcPr>
                <w:p w14:paraId="35797856">
                  <w:pPr>
                    <w:keepNext w:val="0"/>
                    <w:keepLines w:val="0"/>
                    <w:suppressLineNumbers w:val="0"/>
                    <w:autoSpaceDE w:val="0"/>
                    <w:spacing w:before="0" w:beforeAutospacing="0" w:after="0" w:afterAutospacing="0"/>
                    <w:ind w:left="0" w:right="0"/>
                    <w:jc w:val="center"/>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lang w:val="en-US" w:eastAsia="zh-CN"/>
                    </w:rPr>
                    <w:t>塑料制品业292</w:t>
                  </w:r>
                </w:p>
              </w:tc>
              <w:tc>
                <w:tcPr>
                  <w:tcW w:w="1655" w:type="dxa"/>
                  <w:tcBorders>
                    <w:top w:val="single" w:color="auto" w:sz="4" w:space="0"/>
                    <w:left w:val="single" w:color="auto" w:sz="4" w:space="0"/>
                    <w:bottom w:val="single" w:color="auto" w:sz="4" w:space="0"/>
                    <w:right w:val="single" w:color="auto" w:sz="4" w:space="0"/>
                  </w:tcBorders>
                  <w:vAlign w:val="center"/>
                </w:tcPr>
                <w:p w14:paraId="7563C6D7">
                  <w:pPr>
                    <w:keepNext w:val="0"/>
                    <w:keepLines w:val="0"/>
                    <w:widowControl/>
                    <w:suppressLineNumbers w:val="0"/>
                    <w:autoSpaceDE w:val="0"/>
                    <w:spacing w:before="0" w:beforeAutospacing="0" w:after="0" w:afterAutospacing="0"/>
                    <w:ind w:left="0" w:right="0"/>
                    <w:jc w:val="center"/>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lang w:val="en-US" w:eastAsia="zh-CN"/>
                    </w:rPr>
                    <w:t>塑料人造革、合成革制造2925</w:t>
                  </w:r>
                </w:p>
              </w:tc>
              <w:tc>
                <w:tcPr>
                  <w:tcW w:w="2647" w:type="dxa"/>
                  <w:tcBorders>
                    <w:top w:val="single" w:color="auto" w:sz="4" w:space="0"/>
                    <w:left w:val="single" w:color="auto" w:sz="4" w:space="0"/>
                    <w:bottom w:val="single" w:color="auto" w:sz="4" w:space="0"/>
                    <w:right w:val="single" w:color="auto" w:sz="4" w:space="0"/>
                  </w:tcBorders>
                  <w:vAlign w:val="center"/>
                </w:tcPr>
                <w:p w14:paraId="0FD00B90">
                  <w:pPr>
                    <w:keepNext w:val="0"/>
                    <w:keepLines w:val="0"/>
                    <w:widowControl/>
                    <w:suppressLineNumbers w:val="0"/>
                    <w:autoSpaceDE w:val="0"/>
                    <w:spacing w:before="0" w:beforeAutospacing="0" w:after="0" w:afterAutospacing="0"/>
                    <w:ind w:left="0" w:right="0"/>
                    <w:jc w:val="center"/>
                    <w:rPr>
                      <w:rFonts w:hint="default" w:ascii="Times New Roman" w:hAnsi="Times New Roman" w:eastAsia="宋体" w:cs="Times New Roman"/>
                      <w:b w:val="0"/>
                      <w:bCs w:val="0"/>
                      <w:color w:val="auto"/>
                      <w:szCs w:val="21"/>
                    </w:rPr>
                  </w:pPr>
                  <w:r>
                    <w:rPr>
                      <w:rFonts w:hint="default" w:ascii="Times New Roman" w:hAnsi="Times New Roman" w:eastAsia="宋体" w:cs="Times New Roman"/>
                      <w:b w:val="0"/>
                      <w:bCs w:val="0"/>
                      <w:color w:val="auto"/>
                      <w:szCs w:val="21"/>
                      <w:lang w:val="en-US" w:eastAsia="zh-CN"/>
                    </w:rPr>
                    <w:t>年产1万吨及以上的泡沫塑料制造2924，年产1万吨及以上涉及改性的塑料薄膜制造2921、塑料板、管、型材制造2922、塑料丝、绳和编织品制造2923、塑料包装箱及容器制造2926、日用塑料品制造2927、人造草坪制造2928、塑料零件及其他塑料制品制造2929</w:t>
                  </w:r>
                </w:p>
              </w:tc>
              <w:tc>
                <w:tcPr>
                  <w:tcW w:w="1136" w:type="dxa"/>
                  <w:tcBorders>
                    <w:top w:val="single" w:color="auto" w:sz="4" w:space="0"/>
                    <w:left w:val="single" w:color="auto" w:sz="4" w:space="0"/>
                    <w:bottom w:val="single" w:color="auto" w:sz="4" w:space="0"/>
                    <w:right w:val="single" w:color="auto" w:sz="4" w:space="0"/>
                  </w:tcBorders>
                  <w:shd w:val="clear" w:color="auto" w:fill="D7D7D7"/>
                  <w:vAlign w:val="center"/>
                </w:tcPr>
                <w:p w14:paraId="3B5844B1">
                  <w:pPr>
                    <w:keepNext w:val="0"/>
                    <w:keepLines w:val="0"/>
                    <w:suppressLineNumbers w:val="0"/>
                    <w:autoSpaceDE w:val="0"/>
                    <w:spacing w:before="0" w:beforeAutospacing="0" w:after="0" w:afterAutospacing="0"/>
                    <w:ind w:left="0" w:right="0"/>
                    <w:jc w:val="center"/>
                    <w:rPr>
                      <w:rFonts w:hint="default" w:ascii="Times New Roman" w:hAnsi="Times New Roman" w:eastAsia="宋体" w:cs="Times New Roman"/>
                      <w:b w:val="0"/>
                      <w:bCs w:val="0"/>
                      <w:color w:val="auto"/>
                      <w:szCs w:val="21"/>
                    </w:rPr>
                  </w:pPr>
                  <w:r>
                    <w:rPr>
                      <w:rFonts w:hint="default" w:ascii="Times New Roman" w:hAnsi="Times New Roman" w:eastAsia="宋体" w:cs="Times New Roman"/>
                      <w:b/>
                      <w:bCs/>
                      <w:color w:val="auto"/>
                      <w:szCs w:val="21"/>
                      <w:lang w:val="en-US" w:eastAsia="zh-CN"/>
                    </w:rPr>
                    <w:t>其他</w:t>
                  </w:r>
                </w:p>
              </w:tc>
            </w:tr>
            <w:tr w14:paraId="5BD2A5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8175" w:type="dxa"/>
                  <w:gridSpan w:val="5"/>
                  <w:tcBorders>
                    <w:top w:val="single" w:color="auto" w:sz="4" w:space="0"/>
                    <w:left w:val="single" w:color="auto" w:sz="4" w:space="0"/>
                    <w:bottom w:val="single" w:color="auto" w:sz="4" w:space="0"/>
                    <w:right w:val="single" w:color="auto" w:sz="4" w:space="0"/>
                  </w:tcBorders>
                  <w:shd w:val="clear" w:color="auto" w:fill="D7D7D7" w:themeFill="background1" w:themeFillShade="D8"/>
                  <w:vAlign w:val="center"/>
                </w:tcPr>
                <w:p w14:paraId="34A567A8">
                  <w:pPr>
                    <w:keepNext w:val="0"/>
                    <w:keepLines w:val="0"/>
                    <w:widowControl/>
                    <w:suppressLineNumbers w:val="0"/>
                    <w:autoSpaceDE w:val="0"/>
                    <w:spacing w:before="0" w:beforeAutospacing="0" w:after="0" w:afterAutospacing="0"/>
                    <w:ind w:left="0" w:right="0"/>
                    <w:jc w:val="center"/>
                    <w:rPr>
                      <w:rFonts w:hint="default" w:ascii="Times New Roman" w:hAnsi="Times New Roman" w:eastAsia="宋体" w:cs="Times New Roman"/>
                      <w:b/>
                      <w:bCs/>
                      <w:color w:val="auto"/>
                      <w:szCs w:val="21"/>
                      <w:lang w:bidi="ar"/>
                    </w:rPr>
                  </w:pPr>
                  <w:r>
                    <w:rPr>
                      <w:rFonts w:hint="default" w:ascii="Times New Roman" w:hAnsi="Times New Roman" w:eastAsia="宋体" w:cs="Times New Roman"/>
                      <w:b/>
                      <w:bCs/>
                      <w:color w:val="auto"/>
                      <w:kern w:val="0"/>
                      <w:szCs w:val="21"/>
                      <w:lang w:val="en-US" w:eastAsia="zh-CN" w:bidi="ar"/>
                    </w:rPr>
                    <w:t>二十五、非金属矿物制品业30</w:t>
                  </w:r>
                </w:p>
              </w:tc>
            </w:tr>
            <w:tr w14:paraId="61EB1E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689" w:type="dxa"/>
                  <w:tcBorders>
                    <w:top w:val="single" w:color="auto" w:sz="4" w:space="0"/>
                    <w:left w:val="single" w:color="auto" w:sz="4" w:space="0"/>
                    <w:bottom w:val="single" w:color="auto" w:sz="4" w:space="0"/>
                    <w:right w:val="single" w:color="auto" w:sz="4" w:space="0"/>
                  </w:tcBorders>
                  <w:vAlign w:val="center"/>
                </w:tcPr>
                <w:p w14:paraId="7B317281">
                  <w:pPr>
                    <w:keepNext w:val="0"/>
                    <w:keepLines w:val="0"/>
                    <w:suppressLineNumbers w:val="0"/>
                    <w:autoSpaceDE w:val="0"/>
                    <w:spacing w:before="0" w:beforeAutospacing="0" w:after="0" w:afterAutospacing="0"/>
                    <w:ind w:left="0" w:right="0"/>
                    <w:jc w:val="center"/>
                    <w:rPr>
                      <w:rFonts w:hint="default" w:ascii="Times New Roman" w:hAnsi="Times New Roman" w:eastAsia="宋体" w:cs="Times New Roman"/>
                      <w:color w:val="auto"/>
                      <w:szCs w:val="21"/>
                      <w:lang w:bidi="ar"/>
                    </w:rPr>
                  </w:pPr>
                  <w:r>
                    <w:rPr>
                      <w:rFonts w:hint="default" w:ascii="Times New Roman" w:hAnsi="Times New Roman" w:eastAsia="宋体" w:cs="Times New Roman"/>
                      <w:color w:val="auto"/>
                      <w:szCs w:val="21"/>
                      <w:lang w:val="en-US" w:eastAsia="zh-CN" w:bidi="ar"/>
                    </w:rPr>
                    <w:t>64</w:t>
                  </w:r>
                </w:p>
              </w:tc>
              <w:tc>
                <w:tcPr>
                  <w:tcW w:w="2048" w:type="dxa"/>
                  <w:tcBorders>
                    <w:top w:val="single" w:color="auto" w:sz="4" w:space="0"/>
                    <w:left w:val="single" w:color="auto" w:sz="4" w:space="0"/>
                    <w:bottom w:val="single" w:color="auto" w:sz="4" w:space="0"/>
                    <w:right w:val="single" w:color="auto" w:sz="4" w:space="0"/>
                  </w:tcBorders>
                  <w:vAlign w:val="center"/>
                </w:tcPr>
                <w:p w14:paraId="6BCF9BB6">
                  <w:pPr>
                    <w:keepNext w:val="0"/>
                    <w:keepLines w:val="0"/>
                    <w:suppressLineNumbers w:val="0"/>
                    <w:autoSpaceDE w:val="0"/>
                    <w:spacing w:before="0" w:beforeAutospacing="0" w:after="0" w:afterAutospacing="0"/>
                    <w:ind w:left="0" w:right="0"/>
                    <w:jc w:val="center"/>
                    <w:rPr>
                      <w:rFonts w:hint="default" w:ascii="Times New Roman" w:hAnsi="Times New Roman" w:eastAsia="宋体" w:cs="Times New Roman"/>
                      <w:color w:val="auto"/>
                      <w:szCs w:val="21"/>
                      <w:lang w:bidi="ar"/>
                    </w:rPr>
                  </w:pPr>
                  <w:r>
                    <w:rPr>
                      <w:rFonts w:hint="default" w:ascii="Times New Roman" w:hAnsi="Times New Roman" w:eastAsia="宋体" w:cs="Times New Roman"/>
                      <w:color w:val="auto"/>
                      <w:szCs w:val="21"/>
                      <w:lang w:val="en-US" w:eastAsia="zh-CN" w:bidi="ar"/>
                    </w:rPr>
                    <w:t>砖瓦、石材等建筑材料制造303</w:t>
                  </w:r>
                </w:p>
              </w:tc>
              <w:tc>
                <w:tcPr>
                  <w:tcW w:w="1655" w:type="dxa"/>
                  <w:tcBorders>
                    <w:top w:val="single" w:color="auto" w:sz="4" w:space="0"/>
                    <w:left w:val="single" w:color="auto" w:sz="4" w:space="0"/>
                    <w:bottom w:val="single" w:color="auto" w:sz="4" w:space="0"/>
                    <w:right w:val="single" w:color="auto" w:sz="4" w:space="0"/>
                  </w:tcBorders>
                  <w:vAlign w:val="center"/>
                </w:tcPr>
                <w:p w14:paraId="449C8D0E">
                  <w:pPr>
                    <w:keepNext w:val="0"/>
                    <w:keepLines w:val="0"/>
                    <w:widowControl/>
                    <w:suppressLineNumbers w:val="0"/>
                    <w:autoSpaceDE w:val="0"/>
                    <w:spacing w:before="0" w:beforeAutospacing="0" w:after="0" w:afterAutospacing="0"/>
                    <w:ind w:left="0" w:right="0"/>
                    <w:jc w:val="center"/>
                    <w:rPr>
                      <w:rFonts w:hint="default" w:ascii="Times New Roman" w:hAnsi="Times New Roman" w:eastAsia="宋体" w:cs="Times New Roman"/>
                      <w:color w:val="auto"/>
                      <w:kern w:val="0"/>
                      <w:szCs w:val="21"/>
                      <w:lang w:bidi="ar"/>
                    </w:rPr>
                  </w:pPr>
                  <w:r>
                    <w:rPr>
                      <w:rFonts w:hint="default" w:ascii="Times New Roman" w:hAnsi="Times New Roman" w:eastAsia="宋体" w:cs="Times New Roman"/>
                      <w:color w:val="auto"/>
                      <w:kern w:val="0"/>
                      <w:szCs w:val="21"/>
                      <w:lang w:val="en-US" w:eastAsia="zh-CN" w:bidi="ar"/>
                    </w:rPr>
                    <w:t>粘土砖瓦及建筑砌块制造3031（以煤或者煤矸石为燃料的烧结砖瓦）</w:t>
                  </w:r>
                </w:p>
              </w:tc>
              <w:tc>
                <w:tcPr>
                  <w:tcW w:w="2647" w:type="dxa"/>
                  <w:tcBorders>
                    <w:top w:val="single" w:color="auto" w:sz="4" w:space="0"/>
                    <w:left w:val="single" w:color="auto" w:sz="4" w:space="0"/>
                    <w:bottom w:val="single" w:color="auto" w:sz="4" w:space="0"/>
                    <w:right w:val="single" w:color="auto" w:sz="4" w:space="0"/>
                  </w:tcBorders>
                  <w:shd w:val="clear" w:color="auto" w:fill="D7D7D7" w:themeFill="background1" w:themeFillShade="D8"/>
                  <w:vAlign w:val="center"/>
                </w:tcPr>
                <w:p w14:paraId="47B798AF">
                  <w:pPr>
                    <w:keepNext w:val="0"/>
                    <w:keepLines w:val="0"/>
                    <w:widowControl/>
                    <w:suppressLineNumbers w:val="0"/>
                    <w:autoSpaceDE w:val="0"/>
                    <w:spacing w:before="0" w:beforeAutospacing="0" w:after="0" w:afterAutospacing="0"/>
                    <w:ind w:left="0" w:right="0"/>
                    <w:jc w:val="center"/>
                    <w:rPr>
                      <w:rFonts w:hint="default" w:ascii="Times New Roman" w:hAnsi="Times New Roman" w:eastAsia="宋体" w:cs="Times New Roman"/>
                      <w:color w:val="auto"/>
                      <w:kern w:val="0"/>
                      <w:szCs w:val="21"/>
                      <w:lang w:bidi="ar"/>
                    </w:rPr>
                  </w:pPr>
                  <w:r>
                    <w:rPr>
                      <w:rFonts w:hint="default" w:ascii="Times New Roman" w:hAnsi="Times New Roman" w:eastAsia="宋体" w:cs="Times New Roman"/>
                      <w:color w:val="auto"/>
                      <w:kern w:val="0"/>
                      <w:szCs w:val="21"/>
                      <w:lang w:val="en-US" w:eastAsia="zh-CN" w:bidi="ar"/>
                    </w:rPr>
                    <w:t>粘土砖瓦及建筑砌块制造3031（除以煤或者煤矸石为燃料的烧结砖瓦以外的），建筑用石加工3032，防水建筑材料制造3033，</w:t>
                  </w:r>
                  <w:r>
                    <w:rPr>
                      <w:rFonts w:hint="default" w:ascii="Times New Roman" w:hAnsi="Times New Roman" w:eastAsia="宋体" w:cs="Times New Roman"/>
                      <w:b/>
                      <w:bCs/>
                      <w:color w:val="auto"/>
                      <w:kern w:val="0"/>
                      <w:szCs w:val="21"/>
                      <w:lang w:val="en-US" w:eastAsia="zh-CN" w:bidi="ar"/>
                    </w:rPr>
                    <w:t>隔热和隔音材料制造3034</w:t>
                  </w:r>
                  <w:r>
                    <w:rPr>
                      <w:rFonts w:hint="default" w:ascii="Times New Roman" w:hAnsi="Times New Roman" w:eastAsia="宋体" w:cs="Times New Roman"/>
                      <w:color w:val="auto"/>
                      <w:kern w:val="0"/>
                      <w:szCs w:val="21"/>
                      <w:lang w:val="en-US" w:eastAsia="zh-CN" w:bidi="ar"/>
                    </w:rPr>
                    <w:t>，其他建筑材料制造3039，以上均不含仅切割加工的</w:t>
                  </w:r>
                </w:p>
              </w:tc>
              <w:tc>
                <w:tcPr>
                  <w:tcW w:w="1136" w:type="dxa"/>
                  <w:tcBorders>
                    <w:top w:val="single" w:color="auto" w:sz="4" w:space="0"/>
                    <w:left w:val="single" w:color="auto" w:sz="4" w:space="0"/>
                    <w:bottom w:val="single" w:color="auto" w:sz="4" w:space="0"/>
                    <w:right w:val="single" w:color="auto" w:sz="4" w:space="0"/>
                  </w:tcBorders>
                  <w:shd w:val="clear" w:color="auto" w:fill="auto"/>
                  <w:vAlign w:val="center"/>
                </w:tcPr>
                <w:p w14:paraId="570B1D75">
                  <w:pPr>
                    <w:keepNext w:val="0"/>
                    <w:keepLines w:val="0"/>
                    <w:suppressLineNumbers w:val="0"/>
                    <w:autoSpaceDE w:val="0"/>
                    <w:spacing w:before="0" w:beforeAutospacing="0" w:after="0" w:afterAutospacing="0"/>
                    <w:ind w:left="0" w:right="0"/>
                    <w:jc w:val="center"/>
                    <w:rPr>
                      <w:rFonts w:hint="default" w:ascii="Times New Roman" w:hAnsi="Times New Roman" w:eastAsia="宋体" w:cs="Times New Roman"/>
                      <w:b/>
                      <w:bCs/>
                      <w:color w:val="auto"/>
                      <w:szCs w:val="21"/>
                      <w:lang w:bidi="ar"/>
                    </w:rPr>
                  </w:pPr>
                  <w:r>
                    <w:rPr>
                      <w:rFonts w:hint="default" w:ascii="Times New Roman" w:hAnsi="Times New Roman" w:eastAsia="宋体" w:cs="Times New Roman"/>
                      <w:b w:val="0"/>
                      <w:bCs w:val="0"/>
                      <w:color w:val="auto"/>
                      <w:szCs w:val="21"/>
                      <w:lang w:val="en-US" w:eastAsia="zh-CN" w:bidi="ar"/>
                    </w:rPr>
                    <w:t>仅切割加工的</w:t>
                  </w:r>
                </w:p>
              </w:tc>
            </w:tr>
            <w:tr w14:paraId="0914B7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8175" w:type="dxa"/>
                  <w:gridSpan w:val="5"/>
                  <w:tcBorders>
                    <w:top w:val="single" w:color="auto" w:sz="4" w:space="0"/>
                    <w:left w:val="single" w:color="auto" w:sz="4" w:space="0"/>
                    <w:bottom w:val="single" w:color="auto" w:sz="4" w:space="0"/>
                    <w:right w:val="single" w:color="auto" w:sz="4" w:space="0"/>
                  </w:tcBorders>
                  <w:shd w:val="clear" w:color="auto" w:fill="D7D7D7" w:themeFill="background1" w:themeFillShade="D8"/>
                  <w:vAlign w:val="center"/>
                </w:tcPr>
                <w:p w14:paraId="78292BFD">
                  <w:pPr>
                    <w:keepNext w:val="0"/>
                    <w:keepLines w:val="0"/>
                    <w:widowControl/>
                    <w:suppressLineNumbers w:val="0"/>
                    <w:autoSpaceDE w:val="0"/>
                    <w:spacing w:before="0" w:beforeAutospacing="0" w:after="0" w:afterAutospacing="0"/>
                    <w:ind w:left="0" w:right="0"/>
                    <w:jc w:val="center"/>
                    <w:rPr>
                      <w:rFonts w:hint="default" w:ascii="Times New Roman" w:hAnsi="Times New Roman" w:eastAsia="宋体" w:cs="Times New Roman"/>
                      <w:b/>
                      <w:bCs/>
                      <w:color w:val="auto"/>
                      <w:szCs w:val="21"/>
                      <w:lang w:bidi="ar"/>
                    </w:rPr>
                  </w:pPr>
                  <w:r>
                    <w:rPr>
                      <w:rFonts w:hint="default" w:ascii="Times New Roman" w:hAnsi="Times New Roman" w:eastAsia="宋体" w:cs="Times New Roman"/>
                      <w:b/>
                      <w:bCs/>
                      <w:color w:val="auto"/>
                      <w:kern w:val="0"/>
                      <w:szCs w:val="21"/>
                      <w:lang w:val="en-US" w:eastAsia="zh-CN" w:bidi="ar"/>
                    </w:rPr>
                    <w:t>三十一、汽车制造业36</w:t>
                  </w:r>
                </w:p>
              </w:tc>
            </w:tr>
            <w:tr w14:paraId="01DEA2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689" w:type="dxa"/>
                  <w:tcBorders>
                    <w:top w:val="single" w:color="auto" w:sz="4" w:space="0"/>
                    <w:left w:val="single" w:color="auto" w:sz="4" w:space="0"/>
                    <w:bottom w:val="single" w:color="auto" w:sz="4" w:space="0"/>
                    <w:right w:val="single" w:color="auto" w:sz="4" w:space="0"/>
                  </w:tcBorders>
                  <w:vAlign w:val="center"/>
                </w:tcPr>
                <w:p w14:paraId="6CEAF1AD">
                  <w:pPr>
                    <w:keepNext w:val="0"/>
                    <w:keepLines w:val="0"/>
                    <w:suppressLineNumbers w:val="0"/>
                    <w:autoSpaceDE w:val="0"/>
                    <w:spacing w:before="0" w:beforeAutospacing="0" w:after="0" w:afterAutospacing="0"/>
                    <w:ind w:left="0" w:right="0"/>
                    <w:jc w:val="center"/>
                    <w:rPr>
                      <w:rFonts w:hint="default" w:ascii="Times New Roman" w:hAnsi="Times New Roman" w:eastAsia="宋体" w:cs="Times New Roman"/>
                      <w:color w:val="auto"/>
                      <w:szCs w:val="21"/>
                      <w:lang w:bidi="ar"/>
                    </w:rPr>
                  </w:pPr>
                  <w:r>
                    <w:rPr>
                      <w:rFonts w:hint="default" w:ascii="Times New Roman" w:hAnsi="Times New Roman" w:eastAsia="宋体" w:cs="Times New Roman"/>
                      <w:color w:val="auto"/>
                      <w:szCs w:val="21"/>
                      <w:lang w:val="en-US" w:eastAsia="zh-CN" w:bidi="ar"/>
                    </w:rPr>
                    <w:t>85</w:t>
                  </w:r>
                </w:p>
              </w:tc>
              <w:tc>
                <w:tcPr>
                  <w:tcW w:w="2048" w:type="dxa"/>
                  <w:tcBorders>
                    <w:top w:val="single" w:color="auto" w:sz="4" w:space="0"/>
                    <w:left w:val="single" w:color="auto" w:sz="4" w:space="0"/>
                    <w:bottom w:val="single" w:color="auto" w:sz="4" w:space="0"/>
                    <w:right w:val="single" w:color="auto" w:sz="4" w:space="0"/>
                  </w:tcBorders>
                  <w:vAlign w:val="center"/>
                </w:tcPr>
                <w:p w14:paraId="4BD2B311">
                  <w:pPr>
                    <w:keepNext w:val="0"/>
                    <w:keepLines w:val="0"/>
                    <w:suppressLineNumbers w:val="0"/>
                    <w:autoSpaceDE w:val="0"/>
                    <w:spacing w:before="0" w:beforeAutospacing="0" w:after="0" w:afterAutospacing="0"/>
                    <w:ind w:left="0" w:right="0"/>
                    <w:jc w:val="center"/>
                    <w:rPr>
                      <w:rFonts w:hint="default" w:ascii="Times New Roman" w:hAnsi="Times New Roman" w:eastAsia="宋体" w:cs="Times New Roman"/>
                      <w:color w:val="auto"/>
                      <w:szCs w:val="21"/>
                      <w:lang w:bidi="ar"/>
                    </w:rPr>
                  </w:pPr>
                  <w:r>
                    <w:rPr>
                      <w:rFonts w:hint="default" w:ascii="Times New Roman" w:hAnsi="Times New Roman" w:eastAsia="宋体" w:cs="Times New Roman"/>
                      <w:color w:val="auto"/>
                      <w:szCs w:val="21"/>
                      <w:lang w:val="en-US" w:eastAsia="zh-CN" w:bidi="ar"/>
                    </w:rPr>
                    <w:t>汽车整车制造361，汽车用发动机制造362，改装汽车制造363，低速汽车制造364，电车制造365，汽车车身、挂车制造366，汽车零部件及配件制造367</w:t>
                  </w:r>
                </w:p>
              </w:tc>
              <w:tc>
                <w:tcPr>
                  <w:tcW w:w="1655" w:type="dxa"/>
                  <w:tcBorders>
                    <w:top w:val="single" w:color="auto" w:sz="4" w:space="0"/>
                    <w:left w:val="single" w:color="auto" w:sz="4" w:space="0"/>
                    <w:bottom w:val="single" w:color="auto" w:sz="4" w:space="0"/>
                    <w:right w:val="single" w:color="auto" w:sz="4" w:space="0"/>
                  </w:tcBorders>
                  <w:vAlign w:val="center"/>
                </w:tcPr>
                <w:p w14:paraId="627BAD7A">
                  <w:pPr>
                    <w:keepNext w:val="0"/>
                    <w:keepLines w:val="0"/>
                    <w:widowControl/>
                    <w:suppressLineNumbers w:val="0"/>
                    <w:autoSpaceDE w:val="0"/>
                    <w:spacing w:before="0" w:beforeAutospacing="0" w:after="0" w:afterAutospacing="0"/>
                    <w:ind w:left="0" w:right="0"/>
                    <w:jc w:val="center"/>
                    <w:rPr>
                      <w:rFonts w:hint="default" w:ascii="Times New Roman" w:hAnsi="Times New Roman" w:eastAsia="宋体" w:cs="Times New Roman"/>
                      <w:color w:val="auto"/>
                      <w:kern w:val="0"/>
                      <w:szCs w:val="21"/>
                      <w:lang w:bidi="ar"/>
                    </w:rPr>
                  </w:pPr>
                  <w:r>
                    <w:rPr>
                      <w:rFonts w:hint="default" w:ascii="Times New Roman" w:hAnsi="Times New Roman" w:eastAsia="宋体" w:cs="Times New Roman"/>
                      <w:color w:val="auto"/>
                      <w:kern w:val="0"/>
                      <w:szCs w:val="21"/>
                      <w:lang w:val="en-US" w:eastAsia="zh-CN" w:bidi="ar"/>
                    </w:rPr>
                    <w:t>纳入重点排污单位名录的</w:t>
                  </w:r>
                </w:p>
              </w:tc>
              <w:tc>
                <w:tcPr>
                  <w:tcW w:w="2647" w:type="dxa"/>
                  <w:tcBorders>
                    <w:top w:val="single" w:color="auto" w:sz="4" w:space="0"/>
                    <w:left w:val="single" w:color="auto" w:sz="4" w:space="0"/>
                    <w:bottom w:val="single" w:color="auto" w:sz="4" w:space="0"/>
                    <w:right w:val="single" w:color="auto" w:sz="4" w:space="0"/>
                  </w:tcBorders>
                  <w:vAlign w:val="center"/>
                </w:tcPr>
                <w:p w14:paraId="781953F1">
                  <w:pPr>
                    <w:keepNext w:val="0"/>
                    <w:keepLines w:val="0"/>
                    <w:widowControl/>
                    <w:suppressLineNumbers w:val="0"/>
                    <w:autoSpaceDE w:val="0"/>
                    <w:spacing w:before="0" w:beforeAutospacing="0" w:after="0" w:afterAutospacing="0"/>
                    <w:ind w:left="0" w:right="0"/>
                    <w:jc w:val="center"/>
                    <w:rPr>
                      <w:rFonts w:hint="default" w:ascii="Times New Roman" w:hAnsi="Times New Roman" w:eastAsia="宋体" w:cs="Times New Roman"/>
                      <w:color w:val="auto"/>
                      <w:kern w:val="0"/>
                      <w:szCs w:val="21"/>
                      <w:lang w:bidi="ar"/>
                    </w:rPr>
                  </w:pPr>
                  <w:r>
                    <w:rPr>
                      <w:rFonts w:hint="default" w:ascii="Times New Roman" w:hAnsi="Times New Roman" w:eastAsia="宋体" w:cs="Times New Roman"/>
                      <w:color w:val="auto"/>
                      <w:kern w:val="0"/>
                      <w:szCs w:val="21"/>
                      <w:lang w:val="en-US" w:eastAsia="zh-CN" w:bidi="ar"/>
                    </w:rPr>
                    <w:t>除重点管理以外的汽车整车制造361，除重点管理以外的年使用10吨及以上溶剂型涂料或者胶粘剂（含稀释剂、固化剂、清洗溶剂）的汽车用发动机制造362、改装汽车制造363、低速汽车制造364、电车制造365、汽车车身、挂车制造366、汽车零部件及配件制造367</w:t>
                  </w:r>
                </w:p>
              </w:tc>
              <w:tc>
                <w:tcPr>
                  <w:tcW w:w="1136" w:type="dxa"/>
                  <w:tcBorders>
                    <w:top w:val="single" w:color="auto" w:sz="4" w:space="0"/>
                    <w:left w:val="single" w:color="auto" w:sz="4" w:space="0"/>
                    <w:bottom w:val="single" w:color="auto" w:sz="4" w:space="0"/>
                    <w:right w:val="single" w:color="auto" w:sz="4" w:space="0"/>
                  </w:tcBorders>
                  <w:shd w:val="clear" w:color="auto" w:fill="D7D7D7"/>
                  <w:vAlign w:val="center"/>
                </w:tcPr>
                <w:p w14:paraId="5BBC1E51">
                  <w:pPr>
                    <w:keepNext w:val="0"/>
                    <w:keepLines w:val="0"/>
                    <w:suppressLineNumbers w:val="0"/>
                    <w:autoSpaceDE w:val="0"/>
                    <w:spacing w:before="0" w:beforeAutospacing="0" w:after="0" w:afterAutospacing="0"/>
                    <w:ind w:left="0" w:right="0"/>
                    <w:jc w:val="center"/>
                    <w:rPr>
                      <w:rFonts w:hint="default" w:ascii="Times New Roman" w:hAnsi="Times New Roman" w:eastAsia="宋体" w:cs="Times New Roman"/>
                      <w:b/>
                      <w:bCs/>
                      <w:color w:val="auto"/>
                      <w:szCs w:val="21"/>
                      <w:lang w:bidi="ar"/>
                    </w:rPr>
                  </w:pPr>
                  <w:r>
                    <w:rPr>
                      <w:rFonts w:hint="default" w:ascii="Times New Roman" w:hAnsi="Times New Roman" w:eastAsia="宋体" w:cs="Times New Roman"/>
                      <w:b/>
                      <w:bCs/>
                      <w:color w:val="auto"/>
                      <w:szCs w:val="21"/>
                      <w:lang w:val="en-US" w:eastAsia="zh-CN" w:bidi="ar"/>
                    </w:rPr>
                    <w:t>其他</w:t>
                  </w:r>
                </w:p>
              </w:tc>
            </w:tr>
          </w:tbl>
          <w:p w14:paraId="4D69AE89">
            <w:pPr>
              <w:keepNext w:val="0"/>
              <w:keepLines w:val="0"/>
              <w:widowControl/>
              <w:suppressLineNumbers w:val="0"/>
              <w:autoSpaceDE w:val="0"/>
              <w:spacing w:before="0" w:beforeAutospacing="0" w:after="0" w:afterAutospacing="0" w:line="360" w:lineRule="auto"/>
              <w:ind w:left="0" w:right="0" w:firstLine="480" w:firstLineChars="200"/>
              <w:jc w:val="both"/>
              <w:rPr>
                <w:rFonts w:hint="default" w:ascii="Times New Roman" w:hAnsi="Times New Roman" w:eastAsia="宋体" w:cs="Times New Roman"/>
                <w:b/>
                <w:bCs/>
                <w:color w:val="auto"/>
                <w:sz w:val="24"/>
              </w:rPr>
            </w:pPr>
            <w:r>
              <w:rPr>
                <w:rFonts w:hint="eastAsia" w:ascii="宋体" w:hAnsi="宋体" w:eastAsia="宋体" w:cs="宋体"/>
                <w:color w:val="auto"/>
                <w:kern w:val="0"/>
                <w:sz w:val="24"/>
                <w:lang w:bidi="ar"/>
              </w:rPr>
              <w:t>根据</w:t>
            </w:r>
            <w:r>
              <w:rPr>
                <w:rFonts w:hint="eastAsia" w:ascii="宋体" w:hAnsi="宋体" w:eastAsia="宋体" w:cs="宋体"/>
                <w:color w:val="auto"/>
                <w:kern w:val="0"/>
                <w:sz w:val="24"/>
                <w:lang w:val="en-US" w:eastAsia="zh-CN" w:bidi="ar"/>
              </w:rPr>
              <w:t>《中华人民共和国生态环境法典》</w:t>
            </w:r>
            <w:r>
              <w:rPr>
                <w:rFonts w:hint="eastAsia" w:ascii="宋体" w:hAnsi="宋体" w:eastAsia="宋体" w:cs="宋体"/>
                <w:color w:val="auto"/>
                <w:kern w:val="0"/>
                <w:sz w:val="24"/>
                <w:lang w:bidi="ar"/>
              </w:rPr>
              <w:t>、《国务院关于修改</w:t>
            </w:r>
            <w:r>
              <w:rPr>
                <w:rFonts w:hint="default" w:ascii="Times New Roman" w:hAnsi="Times New Roman" w:eastAsia="宋体" w:cs="Times New Roman"/>
                <w:color w:val="auto"/>
                <w:kern w:val="0"/>
                <w:sz w:val="24"/>
                <w:lang w:bidi="ar"/>
              </w:rPr>
              <w:t>&lt;</w:t>
            </w:r>
            <w:r>
              <w:rPr>
                <w:rFonts w:hint="eastAsia" w:ascii="宋体" w:hAnsi="宋体" w:eastAsia="宋体" w:cs="宋体"/>
                <w:color w:val="auto"/>
                <w:kern w:val="0"/>
                <w:sz w:val="24"/>
                <w:lang w:bidi="ar"/>
              </w:rPr>
              <w:t>建设项目环境保护管理条例</w:t>
            </w:r>
            <w:r>
              <w:rPr>
                <w:rFonts w:hint="default" w:ascii="Times New Roman" w:hAnsi="Times New Roman" w:eastAsia="宋体" w:cs="Times New Roman"/>
                <w:color w:val="auto"/>
                <w:kern w:val="0"/>
                <w:sz w:val="24"/>
                <w:lang w:bidi="ar"/>
              </w:rPr>
              <w:t>&gt;</w:t>
            </w:r>
            <w:r>
              <w:rPr>
                <w:rFonts w:hint="eastAsia" w:ascii="宋体" w:hAnsi="宋体" w:eastAsia="宋体" w:cs="宋体"/>
                <w:color w:val="auto"/>
                <w:kern w:val="0"/>
                <w:sz w:val="24"/>
                <w:lang w:bidi="ar"/>
              </w:rPr>
              <w:t>的决定》（国务院</w:t>
            </w:r>
            <w:r>
              <w:rPr>
                <w:rFonts w:hint="default" w:ascii="Times New Roman" w:hAnsi="Times New Roman" w:eastAsia="宋体" w:cs="Times New Roman"/>
                <w:color w:val="auto"/>
                <w:kern w:val="0"/>
                <w:sz w:val="24"/>
                <w:lang w:bidi="ar"/>
              </w:rPr>
              <w:t>682</w:t>
            </w:r>
            <w:r>
              <w:rPr>
                <w:rFonts w:hint="eastAsia" w:ascii="宋体" w:hAnsi="宋体" w:eastAsia="宋体" w:cs="宋体"/>
                <w:color w:val="auto"/>
                <w:kern w:val="0"/>
                <w:sz w:val="24"/>
                <w:lang w:bidi="ar"/>
              </w:rPr>
              <w:t>号）等法律法规有关规定，浙江凌志源科技股份有限公司委托浙江仕远环境科技有限公司开展该项目的环境影响评价工作。评价单位接受委托后，对项目建设地进行现场踏勘、收集资料，依据国家有关法规文件、《</w:t>
            </w:r>
            <w:r>
              <w:rPr>
                <w:rFonts w:hint="default" w:ascii="Times New Roman" w:hAnsi="Times New Roman" w:eastAsia="宋体" w:cs="Times New Roman"/>
                <w:color w:val="auto"/>
                <w:kern w:val="0"/>
                <w:sz w:val="24"/>
                <w:lang w:bidi="ar"/>
              </w:rPr>
              <w:t>&lt;</w:t>
            </w:r>
            <w:r>
              <w:rPr>
                <w:rFonts w:hint="eastAsia" w:ascii="宋体" w:hAnsi="宋体" w:eastAsia="宋体" w:cs="宋体"/>
                <w:color w:val="auto"/>
                <w:kern w:val="0"/>
                <w:sz w:val="24"/>
                <w:lang w:bidi="ar"/>
              </w:rPr>
              <w:t>建设项目环境影响报告表</w:t>
            </w:r>
            <w:r>
              <w:rPr>
                <w:rFonts w:hint="default" w:ascii="Times New Roman" w:hAnsi="Times New Roman" w:eastAsia="宋体" w:cs="Times New Roman"/>
                <w:color w:val="auto"/>
                <w:kern w:val="0"/>
                <w:sz w:val="24"/>
                <w:lang w:bidi="ar"/>
              </w:rPr>
              <w:t>&gt;</w:t>
            </w:r>
            <w:r>
              <w:rPr>
                <w:rFonts w:hint="eastAsia" w:ascii="宋体" w:hAnsi="宋体" w:eastAsia="宋体" w:cs="宋体"/>
                <w:color w:val="auto"/>
                <w:kern w:val="0"/>
                <w:sz w:val="24"/>
                <w:lang w:bidi="ar"/>
              </w:rPr>
              <w:t>内容、格式及编制技术指南（试行）》（环办环评</w:t>
            </w:r>
            <w:r>
              <w:rPr>
                <w:rFonts w:hint="default" w:ascii="Times New Roman" w:hAnsi="Times New Roman" w:eastAsia="宋体" w:cs="Times New Roman"/>
                <w:color w:val="auto"/>
                <w:kern w:val="0"/>
                <w:sz w:val="24"/>
                <w:lang w:bidi="ar"/>
              </w:rPr>
              <w:t>[2020]33</w:t>
            </w:r>
            <w:r>
              <w:rPr>
                <w:rFonts w:hint="eastAsia" w:ascii="宋体" w:hAnsi="宋体" w:eastAsia="宋体" w:cs="宋体"/>
                <w:color w:val="auto"/>
                <w:kern w:val="0"/>
                <w:sz w:val="24"/>
                <w:lang w:bidi="ar"/>
              </w:rPr>
              <w:t>号）要求，编制了该项目</w:t>
            </w:r>
            <w:r>
              <w:rPr>
                <w:rFonts w:hint="eastAsia" w:ascii="宋体" w:hAnsi="宋体" w:eastAsia="宋体" w:cs="宋体"/>
                <w:color w:val="auto"/>
                <w:kern w:val="0"/>
                <w:sz w:val="24"/>
                <w:lang w:val="en-US" w:eastAsia="zh-CN" w:bidi="ar"/>
              </w:rPr>
              <w:t>生态</w:t>
            </w:r>
            <w:r>
              <w:rPr>
                <w:rFonts w:hint="eastAsia" w:ascii="宋体" w:hAnsi="宋体" w:eastAsia="宋体" w:cs="宋体"/>
                <w:color w:val="auto"/>
                <w:kern w:val="0"/>
                <w:sz w:val="24"/>
                <w:lang w:bidi="ar"/>
              </w:rPr>
              <w:t>环境影响报告表。</w:t>
            </w:r>
          </w:p>
          <w:p w14:paraId="0C89D149">
            <w:pPr>
              <w:keepNext w:val="0"/>
              <w:keepLines w:val="0"/>
              <w:suppressLineNumbers w:val="0"/>
              <w:spacing w:before="0" w:beforeAutospacing="0" w:after="0" w:afterAutospacing="0" w:line="360" w:lineRule="auto"/>
              <w:ind w:left="0" w:right="0"/>
              <w:rPr>
                <w:rFonts w:hint="default" w:ascii="Times New Roman" w:hAnsi="Times New Roman" w:eastAsia="宋体" w:cs="Times New Roman"/>
                <w:b/>
                <w:bCs/>
                <w:color w:val="auto"/>
                <w:sz w:val="24"/>
              </w:rPr>
            </w:pPr>
            <w:r>
              <w:rPr>
                <w:rFonts w:hint="eastAsia" w:ascii="Times New Roman" w:hAnsi="Times New Roman" w:eastAsia="宋体" w:cs="Times New Roman"/>
                <w:b/>
                <w:bCs/>
                <w:color w:val="auto"/>
                <w:sz w:val="24"/>
              </w:rPr>
              <w:t>2.1.1建设项目工程组成</w:t>
            </w:r>
          </w:p>
          <w:p w14:paraId="1E2E84A2">
            <w:pPr>
              <w:keepNext w:val="0"/>
              <w:keepLines w:val="0"/>
              <w:suppressLineNumbers w:val="0"/>
              <w:spacing w:before="0" w:beforeAutospacing="0" w:after="0" w:afterAutospacing="0"/>
              <w:ind w:left="0" w:right="0"/>
              <w:jc w:val="center"/>
              <w:rPr>
                <w:rFonts w:hint="default" w:ascii="Times New Roman" w:hAnsi="Times New Roman" w:eastAsia="宋体" w:cs="Times New Roman"/>
                <w:b/>
                <w:bCs/>
                <w:color w:val="auto"/>
              </w:rPr>
            </w:pPr>
            <w:r>
              <w:rPr>
                <w:rFonts w:hint="eastAsia" w:ascii="Times New Roman" w:hAnsi="Times New Roman" w:eastAsia="宋体" w:cs="Times New Roman"/>
                <w:b/>
                <w:bCs/>
                <w:color w:val="auto"/>
              </w:rPr>
              <w:t>表</w:t>
            </w:r>
            <w:r>
              <w:rPr>
                <w:rFonts w:hint="default" w:ascii="Times New Roman" w:hAnsi="Times New Roman" w:eastAsia="宋体" w:cs="Times New Roman"/>
                <w:b/>
                <w:bCs/>
                <w:color w:val="auto"/>
              </w:rPr>
              <w:t>2-</w:t>
            </w:r>
            <w:r>
              <w:rPr>
                <w:rFonts w:hint="eastAsia" w:ascii="Times New Roman" w:hAnsi="Times New Roman" w:eastAsia="宋体" w:cs="Times New Roman"/>
                <w:b/>
                <w:bCs/>
                <w:color w:val="auto"/>
                <w:lang w:val="en-US" w:eastAsia="zh-CN"/>
              </w:rPr>
              <w:t>3</w:t>
            </w:r>
            <w:r>
              <w:rPr>
                <w:rFonts w:hint="default" w:ascii="Times New Roman" w:hAnsi="Times New Roman" w:eastAsia="宋体" w:cs="Times New Roman"/>
                <w:b/>
                <w:bCs/>
                <w:color w:val="auto"/>
              </w:rPr>
              <w:t xml:space="preserve"> </w:t>
            </w:r>
            <w:r>
              <w:rPr>
                <w:rFonts w:hint="eastAsia" w:ascii="Times New Roman" w:hAnsi="Times New Roman" w:eastAsia="宋体" w:cs="Times New Roman"/>
                <w:b/>
                <w:bCs/>
                <w:color w:val="auto"/>
              </w:rPr>
              <w:t xml:space="preserve"> 项目主要建设内容一览表</w:t>
            </w:r>
          </w:p>
          <w:tbl>
            <w:tblPr>
              <w:tblStyle w:val="23"/>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82"/>
              <w:gridCol w:w="1063"/>
              <w:gridCol w:w="6430"/>
            </w:tblGrid>
            <w:tr w14:paraId="245A97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1745" w:type="dxa"/>
                  <w:gridSpan w:val="2"/>
                  <w:vAlign w:val="center"/>
                </w:tcPr>
                <w:p w14:paraId="79A30DA5">
                  <w:pPr>
                    <w:keepNext w:val="0"/>
                    <w:keepLines w:val="0"/>
                    <w:suppressLineNumbers w:val="0"/>
                    <w:spacing w:before="0" w:beforeAutospacing="0" w:after="0" w:afterAutospacing="0"/>
                    <w:ind w:left="0" w:right="0"/>
                    <w:jc w:val="center"/>
                    <w:rPr>
                      <w:rFonts w:hint="default" w:ascii="Times New Roman" w:hAnsi="Times New Roman" w:eastAsia="宋体" w:cs="Times New Roman"/>
                      <w:b/>
                      <w:bCs/>
                      <w:color w:val="auto"/>
                      <w:szCs w:val="21"/>
                    </w:rPr>
                  </w:pPr>
                  <w:r>
                    <w:rPr>
                      <w:rFonts w:hint="default" w:ascii="Times New Roman" w:hAnsi="Times New Roman" w:eastAsia="宋体" w:cs="Times New Roman"/>
                      <w:b/>
                      <w:bCs/>
                      <w:color w:val="auto"/>
                      <w:szCs w:val="21"/>
                    </w:rPr>
                    <w:t>工程名称</w:t>
                  </w:r>
                </w:p>
              </w:tc>
              <w:tc>
                <w:tcPr>
                  <w:tcW w:w="6430" w:type="dxa"/>
                  <w:vAlign w:val="center"/>
                </w:tcPr>
                <w:p w14:paraId="7F4F6820">
                  <w:pPr>
                    <w:keepNext w:val="0"/>
                    <w:keepLines w:val="0"/>
                    <w:suppressLineNumbers w:val="0"/>
                    <w:spacing w:before="0" w:beforeAutospacing="0" w:after="0" w:afterAutospacing="0"/>
                    <w:ind w:left="0" w:right="0"/>
                    <w:jc w:val="center"/>
                    <w:rPr>
                      <w:rFonts w:hint="default" w:ascii="Times New Roman" w:hAnsi="Times New Roman" w:eastAsia="宋体" w:cs="Times New Roman"/>
                      <w:b/>
                      <w:bCs/>
                      <w:color w:val="auto"/>
                      <w:szCs w:val="21"/>
                    </w:rPr>
                  </w:pPr>
                  <w:r>
                    <w:rPr>
                      <w:rFonts w:hint="default" w:ascii="Times New Roman" w:hAnsi="Times New Roman" w:eastAsia="宋体" w:cs="Times New Roman"/>
                      <w:b/>
                      <w:bCs/>
                      <w:color w:val="auto"/>
                      <w:szCs w:val="21"/>
                    </w:rPr>
                    <w:t>主要内容</w:t>
                  </w:r>
                </w:p>
              </w:tc>
            </w:tr>
            <w:tr w14:paraId="2B329F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25" w:hRule="atLeast"/>
              </w:trPr>
              <w:tc>
                <w:tcPr>
                  <w:tcW w:w="682" w:type="dxa"/>
                  <w:vMerge w:val="restart"/>
                  <w:vAlign w:val="center"/>
                </w:tcPr>
                <w:p w14:paraId="42647812">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rPr>
                    <w:t>主体工程</w:t>
                  </w:r>
                </w:p>
              </w:tc>
              <w:tc>
                <w:tcPr>
                  <w:tcW w:w="1063" w:type="dxa"/>
                  <w:vAlign w:val="center"/>
                </w:tcPr>
                <w:p w14:paraId="235F3564">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r>
                    <w:rPr>
                      <w:rFonts w:hint="eastAsia" w:ascii="Times New Roman" w:hAnsi="Times New Roman" w:eastAsia="宋体" w:cs="Times New Roman"/>
                      <w:color w:val="auto"/>
                      <w:szCs w:val="21"/>
                      <w:lang w:val="en-US" w:eastAsia="zh-CN"/>
                    </w:rPr>
                    <w:t>1#</w:t>
                  </w:r>
                  <w:r>
                    <w:rPr>
                      <w:rFonts w:hint="default" w:ascii="Times New Roman" w:hAnsi="Times New Roman" w:eastAsia="宋体" w:cs="Times New Roman"/>
                      <w:color w:val="auto"/>
                      <w:szCs w:val="21"/>
                    </w:rPr>
                    <w:t>厂房</w:t>
                  </w:r>
                </w:p>
              </w:tc>
              <w:tc>
                <w:tcPr>
                  <w:tcW w:w="6430" w:type="dxa"/>
                  <w:vAlign w:val="center"/>
                </w:tcPr>
                <w:p w14:paraId="168FF18E">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lang w:val="en-US" w:eastAsia="zh-CN"/>
                    </w:rPr>
                  </w:pPr>
                  <w:r>
                    <w:rPr>
                      <w:rFonts w:hint="eastAsia" w:ascii="Times New Roman" w:hAnsi="Times New Roman" w:eastAsia="宋体" w:cs="Times New Roman"/>
                      <w:color w:val="auto"/>
                      <w:szCs w:val="21"/>
                    </w:rPr>
                    <w:t>建筑面积</w:t>
                  </w:r>
                  <w:r>
                    <w:rPr>
                      <w:rFonts w:hint="eastAsia" w:ascii="Times New Roman" w:hAnsi="Times New Roman" w:eastAsia="宋体" w:cs="Times New Roman"/>
                      <w:color w:val="auto"/>
                      <w:szCs w:val="21"/>
                      <w:lang w:val="en-US" w:eastAsia="zh-CN"/>
                    </w:rPr>
                    <w:t>4674.81</w:t>
                  </w:r>
                  <w:r>
                    <w:rPr>
                      <w:rFonts w:hint="default" w:ascii="Times New Roman" w:hAnsi="Times New Roman" w:eastAsia="宋体" w:cs="Times New Roman"/>
                      <w:color w:val="auto"/>
                      <w:szCs w:val="21"/>
                    </w:rPr>
                    <w:t>m</w:t>
                  </w:r>
                  <w:r>
                    <w:rPr>
                      <w:rFonts w:hint="default" w:ascii="Times New Roman" w:hAnsi="Times New Roman" w:eastAsia="宋体" w:cs="Times New Roman"/>
                      <w:color w:val="auto"/>
                      <w:szCs w:val="21"/>
                      <w:vertAlign w:val="superscript"/>
                    </w:rPr>
                    <w:t>2</w:t>
                  </w:r>
                  <w:r>
                    <w:rPr>
                      <w:rFonts w:hint="eastAsia" w:ascii="Times New Roman" w:hAnsi="Times New Roman" w:eastAsia="宋体" w:cs="Times New Roman"/>
                      <w:color w:val="auto"/>
                      <w:szCs w:val="21"/>
                    </w:rPr>
                    <w:t>，共</w:t>
                  </w:r>
                  <w:r>
                    <w:rPr>
                      <w:rFonts w:hint="eastAsia" w:ascii="Times New Roman" w:hAnsi="Times New Roman" w:eastAsia="宋体" w:cs="Times New Roman"/>
                      <w:color w:val="FF0000"/>
                      <w:szCs w:val="21"/>
                      <w:lang w:val="en-US" w:eastAsia="zh-CN"/>
                    </w:rPr>
                    <w:t>1楼</w:t>
                  </w:r>
                  <w:r>
                    <w:commentReference w:id="22"/>
                  </w:r>
                  <w:r>
                    <w:rPr>
                      <w:rFonts w:hint="eastAsia" w:ascii="Times New Roman" w:hAnsi="Times New Roman" w:eastAsia="宋体" w:cs="Times New Roman"/>
                      <w:color w:val="auto"/>
                      <w:szCs w:val="21"/>
                    </w:rPr>
                    <w:t>。主要设置</w:t>
                  </w:r>
                  <w:r>
                    <w:rPr>
                      <w:rFonts w:hint="eastAsia" w:ascii="Times New Roman" w:hAnsi="Times New Roman" w:eastAsia="宋体" w:cs="Times New Roman"/>
                      <w:color w:val="auto"/>
                      <w:szCs w:val="21"/>
                      <w:lang w:val="en-US" w:eastAsia="zh-CN"/>
                    </w:rPr>
                    <w:t>有纳米板生产线、激光切割区、板材包裹区、真空热合区、修边裁切区、贴胶区、检测区、打包区、原料仓库和成品仓库等。</w:t>
                  </w:r>
                </w:p>
              </w:tc>
            </w:tr>
            <w:tr w14:paraId="2E4DB3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682" w:type="dxa"/>
                  <w:vMerge w:val="continue"/>
                  <w:vAlign w:val="center"/>
                </w:tcPr>
                <w:p w14:paraId="15DDFFE3">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p>
              </w:tc>
              <w:tc>
                <w:tcPr>
                  <w:tcW w:w="1063" w:type="dxa"/>
                  <w:vAlign w:val="center"/>
                </w:tcPr>
                <w:p w14:paraId="5F1BB0AC">
                  <w:pPr>
                    <w:keepNext w:val="0"/>
                    <w:keepLines w:val="0"/>
                    <w:suppressLineNumbers w:val="0"/>
                    <w:spacing w:before="0" w:beforeAutospacing="0" w:after="0" w:afterAutospacing="0"/>
                    <w:ind w:left="0" w:right="0"/>
                    <w:jc w:val="center"/>
                    <w:rPr>
                      <w:rFonts w:hint="eastAsia" w:ascii="Times New Roman" w:hAnsi="Times New Roman" w:eastAsia="宋体" w:cs="Times New Roman"/>
                      <w:color w:val="auto"/>
                      <w:szCs w:val="21"/>
                      <w:lang w:val="en-US" w:eastAsia="zh-CN"/>
                    </w:rPr>
                  </w:pPr>
                  <w:r>
                    <w:rPr>
                      <w:rFonts w:hint="eastAsia" w:ascii="Times New Roman" w:hAnsi="Times New Roman" w:eastAsia="宋体" w:cs="Times New Roman"/>
                      <w:color w:val="auto"/>
                      <w:szCs w:val="21"/>
                      <w:lang w:val="en-US" w:eastAsia="zh-CN"/>
                    </w:rPr>
                    <w:t>2#厂房</w:t>
                  </w:r>
                </w:p>
              </w:tc>
              <w:tc>
                <w:tcPr>
                  <w:tcW w:w="6430" w:type="dxa"/>
                  <w:vAlign w:val="center"/>
                </w:tcPr>
                <w:p w14:paraId="47174004">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lang w:val="en-US" w:eastAsia="zh-CN"/>
                    </w:rPr>
                  </w:pPr>
                  <w:r>
                    <w:rPr>
                      <w:rFonts w:hint="eastAsia" w:ascii="Times New Roman" w:hAnsi="Times New Roman" w:eastAsia="宋体" w:cs="Times New Roman"/>
                      <w:color w:val="auto"/>
                      <w:szCs w:val="21"/>
                    </w:rPr>
                    <w:t>建筑面积</w:t>
                  </w:r>
                  <w:r>
                    <w:rPr>
                      <w:rFonts w:hint="eastAsia" w:ascii="Times New Roman" w:hAnsi="Times New Roman" w:eastAsia="宋体" w:cs="Times New Roman"/>
                      <w:color w:val="auto"/>
                      <w:szCs w:val="21"/>
                      <w:lang w:val="en-US" w:eastAsia="zh-CN"/>
                    </w:rPr>
                    <w:t>8234.55</w:t>
                  </w:r>
                  <w:r>
                    <w:rPr>
                      <w:rFonts w:hint="eastAsia" w:ascii="Times New Roman" w:hAnsi="Times New Roman" w:eastAsia="宋体" w:cs="Times New Roman"/>
                      <w:color w:val="auto"/>
                      <w:szCs w:val="21"/>
                    </w:rPr>
                    <w:t>m</w:t>
                  </w:r>
                  <w:r>
                    <w:rPr>
                      <w:rFonts w:hint="eastAsia" w:ascii="Times New Roman" w:hAnsi="Times New Roman" w:eastAsia="宋体" w:cs="Times New Roman"/>
                      <w:color w:val="auto"/>
                      <w:szCs w:val="21"/>
                      <w:vertAlign w:val="superscript"/>
                    </w:rPr>
                    <w:t>2</w:t>
                  </w:r>
                  <w:r>
                    <w:rPr>
                      <w:rFonts w:hint="eastAsia" w:ascii="Times New Roman" w:hAnsi="Times New Roman" w:eastAsia="宋体" w:cs="Times New Roman"/>
                      <w:color w:val="auto"/>
                      <w:szCs w:val="21"/>
                    </w:rPr>
                    <w:t>，共</w:t>
                  </w:r>
                  <w:r>
                    <w:rPr>
                      <w:rFonts w:hint="eastAsia" w:ascii="Times New Roman" w:hAnsi="Times New Roman" w:eastAsia="宋体" w:cs="Times New Roman"/>
                      <w:color w:val="FF0000"/>
                      <w:szCs w:val="21"/>
                      <w:lang w:val="en-US" w:eastAsia="zh-CN"/>
                    </w:rPr>
                    <w:t>2楼</w:t>
                  </w:r>
                  <w:r>
                    <w:rPr>
                      <w:rFonts w:hint="eastAsia" w:ascii="Times New Roman" w:hAnsi="Times New Roman" w:eastAsia="宋体" w:cs="Times New Roman"/>
                      <w:color w:val="auto"/>
                      <w:szCs w:val="21"/>
                    </w:rPr>
                    <w:t>。</w:t>
                  </w:r>
                  <w:r>
                    <w:rPr>
                      <w:rFonts w:hint="default" w:ascii="Times New Roman" w:hAnsi="Times New Roman" w:eastAsia="宋体" w:cs="Times New Roman"/>
                      <w:color w:val="FF0000"/>
                      <w:szCs w:val="21"/>
                      <w:lang w:val="en-US" w:eastAsia="zh-CN"/>
                    </w:rPr>
                    <w:t>1楼</w:t>
                  </w:r>
                  <w:r>
                    <w:rPr>
                      <w:rFonts w:hint="default" w:ascii="Times New Roman" w:hAnsi="Times New Roman" w:eastAsia="宋体" w:cs="Times New Roman"/>
                      <w:color w:val="auto"/>
                      <w:szCs w:val="21"/>
                    </w:rPr>
                    <w:t>主要</w:t>
                  </w:r>
                  <w:r>
                    <w:rPr>
                      <w:rFonts w:hint="eastAsia" w:ascii="Times New Roman" w:hAnsi="Times New Roman" w:eastAsia="宋体" w:cs="Times New Roman"/>
                      <w:color w:val="auto"/>
                      <w:szCs w:val="21"/>
                    </w:rPr>
                    <w:t>设置</w:t>
                  </w:r>
                  <w:r>
                    <w:rPr>
                      <w:rFonts w:hint="eastAsia" w:ascii="Times New Roman" w:hAnsi="Times New Roman" w:eastAsia="宋体" w:cs="Times New Roman"/>
                      <w:color w:val="auto"/>
                      <w:szCs w:val="21"/>
                      <w:lang w:val="en-US" w:eastAsia="zh-CN"/>
                    </w:rPr>
                    <w:t>有辅料成型区、压延涂布区、烘烤固化区、收卷区、裁切区、检验区、化学品仓库、</w:t>
                  </w:r>
                  <w:r>
                    <w:rPr>
                      <w:rFonts w:hint="eastAsia" w:ascii="Times New Roman" w:hAnsi="Times New Roman" w:eastAsia="宋体" w:cs="Times New Roman"/>
                      <w:color w:val="0000E1"/>
                      <w:szCs w:val="21"/>
                      <w:lang w:val="en-US" w:eastAsia="zh-CN"/>
                    </w:rPr>
                    <w:t>一般固废仓库、固废分拣中心和车间办公区等</w:t>
                  </w:r>
                  <w:r>
                    <w:rPr>
                      <w:rFonts w:hint="eastAsia" w:ascii="Times New Roman" w:hAnsi="Times New Roman" w:eastAsia="宋体" w:cs="Times New Roman"/>
                      <w:color w:val="auto"/>
                      <w:szCs w:val="21"/>
                      <w:lang w:eastAsia="zh-CN"/>
                    </w:rPr>
                    <w:t>。</w:t>
                  </w:r>
                  <w:r>
                    <w:rPr>
                      <w:rFonts w:hint="eastAsia" w:ascii="Times New Roman" w:hAnsi="Times New Roman" w:eastAsia="宋体" w:cs="Times New Roman"/>
                      <w:color w:val="FF0000"/>
                      <w:szCs w:val="21"/>
                      <w:lang w:val="en-US" w:eastAsia="zh-CN"/>
                    </w:rPr>
                    <w:t>2楼</w:t>
                  </w:r>
                  <w:r>
                    <w:rPr>
                      <w:rFonts w:hint="eastAsia" w:ascii="Times New Roman" w:hAnsi="Times New Roman" w:eastAsia="宋体" w:cs="Times New Roman"/>
                      <w:color w:val="auto"/>
                      <w:szCs w:val="21"/>
                      <w:lang w:val="en-US" w:eastAsia="zh-CN"/>
                    </w:rPr>
                    <w:t>主要设置有背胶贴合区、裁切区、检验区、周转区、双面胶、PET膜等原料储存区、原料仓库、成品仓库和办公室等。</w:t>
                  </w:r>
                </w:p>
              </w:tc>
            </w:tr>
            <w:tr w14:paraId="4377C8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682" w:type="dxa"/>
                  <w:vAlign w:val="center"/>
                </w:tcPr>
                <w:p w14:paraId="5012D786">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rPr>
                    <w:t>辅助工程</w:t>
                  </w:r>
                </w:p>
              </w:tc>
              <w:tc>
                <w:tcPr>
                  <w:tcW w:w="1063" w:type="dxa"/>
                  <w:vAlign w:val="center"/>
                </w:tcPr>
                <w:p w14:paraId="7DE301A6">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r>
                    <w:rPr>
                      <w:rFonts w:hint="eastAsia" w:ascii="Times New Roman" w:hAnsi="Times New Roman" w:eastAsia="宋体" w:cs="Times New Roman"/>
                      <w:color w:val="auto"/>
                      <w:szCs w:val="21"/>
                    </w:rPr>
                    <w:t>办公</w:t>
                  </w:r>
                </w:p>
              </w:tc>
              <w:tc>
                <w:tcPr>
                  <w:tcW w:w="6430" w:type="dxa"/>
                  <w:vAlign w:val="center"/>
                </w:tcPr>
                <w:p w14:paraId="08C33292">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lang w:val="en-US"/>
                    </w:rPr>
                  </w:pPr>
                  <w:r>
                    <w:rPr>
                      <w:rFonts w:hint="eastAsia" w:ascii="Times New Roman" w:hAnsi="Times New Roman" w:eastAsia="宋体" w:cs="Times New Roman"/>
                      <w:color w:val="auto"/>
                      <w:szCs w:val="21"/>
                      <w:lang w:val="en-US" w:eastAsia="zh-CN"/>
                    </w:rPr>
                    <w:t>设置于2#厂房</w:t>
                  </w:r>
                  <w:r>
                    <w:rPr>
                      <w:rFonts w:hint="eastAsia" w:ascii="Times New Roman" w:hAnsi="Times New Roman" w:eastAsia="宋体" w:cs="Times New Roman"/>
                      <w:color w:val="FF0000"/>
                      <w:szCs w:val="21"/>
                      <w:lang w:val="en-US" w:eastAsia="zh-CN"/>
                    </w:rPr>
                    <w:t>1楼</w:t>
                  </w:r>
                  <w:r>
                    <w:rPr>
                      <w:rFonts w:hint="eastAsia" w:ascii="Times New Roman" w:hAnsi="Times New Roman" w:eastAsia="宋体" w:cs="Times New Roman"/>
                      <w:color w:val="auto"/>
                      <w:szCs w:val="21"/>
                      <w:lang w:val="en-US" w:eastAsia="zh-CN"/>
                    </w:rPr>
                    <w:t>东侧和</w:t>
                  </w:r>
                  <w:r>
                    <w:rPr>
                      <w:rFonts w:hint="eastAsia" w:ascii="Times New Roman" w:hAnsi="Times New Roman" w:eastAsia="宋体" w:cs="Times New Roman"/>
                      <w:color w:val="FF0000"/>
                      <w:szCs w:val="21"/>
                      <w:lang w:val="en-US" w:eastAsia="zh-CN"/>
                    </w:rPr>
                    <w:t>2楼</w:t>
                  </w:r>
                  <w:r>
                    <w:rPr>
                      <w:rFonts w:hint="eastAsia" w:ascii="Times New Roman" w:hAnsi="Times New Roman" w:eastAsia="宋体" w:cs="Times New Roman"/>
                      <w:color w:val="auto"/>
                      <w:szCs w:val="21"/>
                      <w:lang w:val="en-US" w:eastAsia="zh-CN"/>
                    </w:rPr>
                    <w:t>西北侧，用于人员办公。</w:t>
                  </w:r>
                </w:p>
              </w:tc>
            </w:tr>
            <w:tr w14:paraId="67F20D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682" w:type="dxa"/>
                  <w:vMerge w:val="restart"/>
                  <w:vAlign w:val="center"/>
                </w:tcPr>
                <w:p w14:paraId="65614DC7">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rPr>
                    <w:t>公用工程</w:t>
                  </w:r>
                </w:p>
              </w:tc>
              <w:tc>
                <w:tcPr>
                  <w:tcW w:w="1063" w:type="dxa"/>
                  <w:vAlign w:val="center"/>
                </w:tcPr>
                <w:p w14:paraId="60F1AB6D">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rPr>
                    <w:t>给水系统</w:t>
                  </w:r>
                </w:p>
              </w:tc>
              <w:tc>
                <w:tcPr>
                  <w:tcW w:w="6430" w:type="dxa"/>
                  <w:vAlign w:val="center"/>
                </w:tcPr>
                <w:p w14:paraId="324A5029">
                  <w:pPr>
                    <w:keepNext w:val="0"/>
                    <w:keepLines w:val="0"/>
                    <w:suppressLineNumbers w:val="0"/>
                    <w:spacing w:before="0" w:beforeAutospacing="0" w:after="0" w:afterAutospacing="0"/>
                    <w:ind w:left="0" w:right="0"/>
                    <w:jc w:val="center"/>
                    <w:rPr>
                      <w:rFonts w:hint="eastAsia" w:ascii="Times New Roman" w:hAnsi="Times New Roman" w:eastAsia="宋体" w:cs="Times New Roman"/>
                      <w:color w:val="auto"/>
                      <w:szCs w:val="21"/>
                      <w:lang w:eastAsia="zh-CN"/>
                    </w:rPr>
                  </w:pPr>
                  <w:r>
                    <w:rPr>
                      <w:rFonts w:hint="default" w:ascii="Times New Roman" w:hAnsi="Times New Roman" w:eastAsia="宋体" w:cs="Times New Roman"/>
                      <w:color w:val="auto"/>
                      <w:szCs w:val="21"/>
                    </w:rPr>
                    <w:t>厂区内配套给水管网，由当地自来水厂供水</w:t>
                  </w:r>
                  <w:r>
                    <w:rPr>
                      <w:rFonts w:hint="eastAsia" w:ascii="Times New Roman" w:hAnsi="Times New Roman" w:eastAsia="宋体" w:cs="Times New Roman"/>
                      <w:color w:val="auto"/>
                      <w:szCs w:val="21"/>
                      <w:lang w:eastAsia="zh-CN"/>
                    </w:rPr>
                    <w:t>。</w:t>
                  </w:r>
                </w:p>
              </w:tc>
            </w:tr>
            <w:tr w14:paraId="3F10D5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682" w:type="dxa"/>
                  <w:vMerge w:val="continue"/>
                  <w:vAlign w:val="center"/>
                </w:tcPr>
                <w:p w14:paraId="4BF8564C">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p>
              </w:tc>
              <w:tc>
                <w:tcPr>
                  <w:tcW w:w="1063" w:type="dxa"/>
                  <w:vAlign w:val="center"/>
                </w:tcPr>
                <w:p w14:paraId="11137874">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rPr>
                    <w:t>排水系统</w:t>
                  </w:r>
                </w:p>
              </w:tc>
              <w:tc>
                <w:tcPr>
                  <w:tcW w:w="6430" w:type="dxa"/>
                  <w:vAlign w:val="center"/>
                </w:tcPr>
                <w:p w14:paraId="3300C1A0">
                  <w:pPr>
                    <w:keepNext w:val="0"/>
                    <w:keepLines w:val="0"/>
                    <w:suppressLineNumbers w:val="0"/>
                    <w:spacing w:before="0" w:beforeAutospacing="0" w:after="0" w:afterAutospacing="0"/>
                    <w:ind w:left="0" w:right="0"/>
                    <w:rPr>
                      <w:rFonts w:hint="eastAsia" w:ascii="Times New Roman" w:hAnsi="Times New Roman" w:eastAsia="宋体" w:cs="Times New Roman"/>
                      <w:color w:val="auto"/>
                      <w:szCs w:val="21"/>
                      <w:lang w:eastAsia="zh-CN"/>
                    </w:rPr>
                  </w:pPr>
                  <w:r>
                    <w:rPr>
                      <w:rFonts w:hint="eastAsia" w:ascii="Times New Roman" w:hAnsi="Times New Roman" w:eastAsia="宋体" w:cs="Times New Roman"/>
                      <w:color w:val="auto"/>
                      <w:szCs w:val="21"/>
                      <w:lang w:val="en-US" w:eastAsia="zh-CN"/>
                    </w:rPr>
                    <w:t>出租方</w:t>
                  </w:r>
                  <w:r>
                    <w:rPr>
                      <w:rFonts w:hint="default" w:ascii="Times New Roman" w:hAnsi="Times New Roman" w:eastAsia="宋体" w:cs="Times New Roman"/>
                      <w:color w:val="auto"/>
                      <w:szCs w:val="21"/>
                    </w:rPr>
                    <w:t>厂区排水系统采用分流制</w:t>
                  </w:r>
                  <w:r>
                    <w:rPr>
                      <w:rFonts w:hint="eastAsia" w:ascii="Times New Roman" w:hAnsi="Times New Roman" w:eastAsia="宋体" w:cs="Times New Roman"/>
                      <w:color w:val="auto"/>
                      <w:szCs w:val="21"/>
                    </w:rPr>
                    <w:t>。</w:t>
                  </w:r>
                  <w:r>
                    <w:rPr>
                      <w:rFonts w:hint="default" w:ascii="Times New Roman" w:hAnsi="Times New Roman" w:eastAsia="宋体" w:cs="Times New Roman"/>
                      <w:color w:val="auto"/>
                      <w:szCs w:val="21"/>
                    </w:rPr>
                    <w:t>雨水经雨水口、雨水支管、雨水干管汇集后排入周边市政雨水管网；生活污水经</w:t>
                  </w:r>
                  <w:r>
                    <w:rPr>
                      <w:rFonts w:hint="eastAsia" w:ascii="Times New Roman" w:hAnsi="Times New Roman" w:eastAsia="宋体" w:cs="Times New Roman"/>
                      <w:color w:val="auto"/>
                      <w:szCs w:val="21"/>
                      <w:lang w:val="en-US" w:eastAsia="zh-CN"/>
                    </w:rPr>
                    <w:t>出租方</w:t>
                  </w:r>
                  <w:r>
                    <w:rPr>
                      <w:rFonts w:hint="default" w:ascii="Times New Roman" w:hAnsi="Times New Roman" w:eastAsia="宋体" w:cs="Times New Roman"/>
                      <w:color w:val="auto"/>
                      <w:szCs w:val="21"/>
                    </w:rPr>
                    <w:t>化粪池处理后排入周边市政污水管网，由市政污水管网纳入安吉清源污水处理有限公司处理</w:t>
                  </w:r>
                  <w:r>
                    <w:rPr>
                      <w:rFonts w:hint="eastAsia" w:ascii="Times New Roman" w:hAnsi="Times New Roman" w:eastAsia="宋体" w:cs="Times New Roman"/>
                      <w:color w:val="auto"/>
                      <w:szCs w:val="21"/>
                      <w:lang w:eastAsia="zh-CN"/>
                    </w:rPr>
                    <w:t>；间接</w:t>
                  </w:r>
                  <w:r>
                    <w:rPr>
                      <w:rFonts w:hint="eastAsia" w:ascii="Times New Roman" w:hAnsi="Times New Roman" w:eastAsia="宋体" w:cs="Times New Roman"/>
                      <w:color w:val="auto"/>
                      <w:kern w:val="2"/>
                      <w:sz w:val="21"/>
                      <w:szCs w:val="21"/>
                      <w:lang w:val="en-US" w:eastAsia="zh-CN" w:bidi="ar-SA"/>
                    </w:rPr>
                    <w:t>冷却水循环使用不排放，只需定期补充新鲜水；喷淋废水当循环到一定程度后定期更换，更换后的喷淋废水作为危废处置。</w:t>
                  </w:r>
                </w:p>
              </w:tc>
            </w:tr>
            <w:tr w14:paraId="368880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682" w:type="dxa"/>
                  <w:vMerge w:val="continue"/>
                  <w:vAlign w:val="center"/>
                </w:tcPr>
                <w:p w14:paraId="03DCF4BD">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p>
              </w:tc>
              <w:tc>
                <w:tcPr>
                  <w:tcW w:w="1063" w:type="dxa"/>
                  <w:vAlign w:val="center"/>
                </w:tcPr>
                <w:p w14:paraId="4EA5B5D3">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rPr>
                    <w:t>供电系统</w:t>
                  </w:r>
                </w:p>
              </w:tc>
              <w:tc>
                <w:tcPr>
                  <w:tcW w:w="6430" w:type="dxa"/>
                  <w:vAlign w:val="center"/>
                </w:tcPr>
                <w:p w14:paraId="463D3E36">
                  <w:pPr>
                    <w:keepNext w:val="0"/>
                    <w:keepLines w:val="0"/>
                    <w:suppressLineNumbers w:val="0"/>
                    <w:spacing w:before="0" w:beforeAutospacing="0" w:after="0" w:afterAutospacing="0"/>
                    <w:ind w:left="0" w:right="0"/>
                    <w:jc w:val="center"/>
                    <w:rPr>
                      <w:rFonts w:hint="eastAsia" w:ascii="Times New Roman" w:hAnsi="Times New Roman" w:eastAsia="宋体" w:cs="Times New Roman"/>
                      <w:color w:val="auto"/>
                      <w:szCs w:val="21"/>
                      <w:lang w:eastAsia="zh-CN"/>
                    </w:rPr>
                  </w:pPr>
                  <w:r>
                    <w:rPr>
                      <w:rFonts w:hint="default" w:ascii="Times New Roman" w:hAnsi="Times New Roman" w:eastAsia="宋体" w:cs="Times New Roman"/>
                      <w:color w:val="auto"/>
                      <w:szCs w:val="21"/>
                    </w:rPr>
                    <w:t>由当地电网供电</w:t>
                  </w:r>
                  <w:r>
                    <w:rPr>
                      <w:rFonts w:hint="eastAsia" w:ascii="Times New Roman" w:hAnsi="Times New Roman" w:eastAsia="宋体" w:cs="Times New Roman"/>
                      <w:color w:val="auto"/>
                      <w:szCs w:val="21"/>
                      <w:lang w:eastAsia="zh-CN"/>
                    </w:rPr>
                    <w:t>。</w:t>
                  </w:r>
                </w:p>
              </w:tc>
            </w:tr>
            <w:tr w14:paraId="3B2031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682" w:type="dxa"/>
                  <w:vMerge w:val="continue"/>
                  <w:vAlign w:val="center"/>
                </w:tcPr>
                <w:p w14:paraId="646606E9">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p>
              </w:tc>
              <w:tc>
                <w:tcPr>
                  <w:tcW w:w="1063" w:type="dxa"/>
                  <w:shd w:val="clear" w:color="auto" w:fill="auto"/>
                  <w:vAlign w:val="center"/>
                </w:tcPr>
                <w:p w14:paraId="6EAF23AA">
                  <w:pPr>
                    <w:keepNext w:val="0"/>
                    <w:keepLines w:val="0"/>
                    <w:suppressLineNumbers w:val="0"/>
                    <w:spacing w:before="0" w:beforeAutospacing="0" w:after="0" w:afterAutospacing="0" w:line="240" w:lineRule="auto"/>
                    <w:ind w:left="0" w:leftChars="0" w:right="0" w:rightChars="0"/>
                    <w:jc w:val="center"/>
                    <w:rPr>
                      <w:rFonts w:hint="eastAsia"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color w:val="auto"/>
                      <w:sz w:val="21"/>
                      <w:szCs w:val="21"/>
                      <w:highlight w:val="none"/>
                    </w:rPr>
                    <w:t>供</w:t>
                  </w:r>
                  <w:r>
                    <w:rPr>
                      <w:rFonts w:hint="eastAsia" w:ascii="Times New Roman" w:hAnsi="Times New Roman" w:eastAsia="宋体" w:cs="Times New Roman"/>
                      <w:color w:val="auto"/>
                      <w:sz w:val="21"/>
                      <w:szCs w:val="21"/>
                      <w:highlight w:val="none"/>
                      <w:lang w:val="en-US" w:eastAsia="zh-CN"/>
                    </w:rPr>
                    <w:t>气系统</w:t>
                  </w:r>
                </w:p>
              </w:tc>
              <w:tc>
                <w:tcPr>
                  <w:tcW w:w="6430" w:type="dxa"/>
                  <w:shd w:val="clear" w:color="auto" w:fill="auto"/>
                  <w:vAlign w:val="center"/>
                </w:tcPr>
                <w:p w14:paraId="3DA22FC5">
                  <w:pPr>
                    <w:keepNext w:val="0"/>
                    <w:keepLines w:val="0"/>
                    <w:suppressLineNumbers w:val="0"/>
                    <w:spacing w:before="0" w:beforeAutospacing="0" w:after="0" w:afterAutospacing="0" w:line="240" w:lineRule="auto"/>
                    <w:ind w:left="0" w:leftChars="0" w:right="0" w:rightChars="0"/>
                    <w:jc w:val="center"/>
                    <w:rPr>
                      <w:rFonts w:hint="default" w:ascii="Times New Roman" w:hAnsi="Times New Roman" w:eastAsia="宋体" w:cs="Times New Roman"/>
                      <w:color w:val="auto"/>
                      <w:kern w:val="2"/>
                      <w:sz w:val="21"/>
                      <w:szCs w:val="21"/>
                      <w:highlight w:val="none"/>
                      <w:lang w:val="en-US" w:eastAsia="zh-CN" w:bidi="ar-SA"/>
                    </w:rPr>
                  </w:pPr>
                  <w:r>
                    <w:rPr>
                      <w:rFonts w:hint="eastAsia" w:ascii="Times New Roman" w:hAnsi="Times New Roman" w:eastAsia="宋体" w:cs="Times New Roman"/>
                      <w:color w:val="auto"/>
                      <w:sz w:val="21"/>
                      <w:szCs w:val="21"/>
                      <w:highlight w:val="none"/>
                      <w:lang w:val="en-US" w:eastAsia="zh-CN"/>
                    </w:rPr>
                    <w:t>项目配备3台</w:t>
                  </w:r>
                  <w:r>
                    <w:rPr>
                      <w:rFonts w:hint="default" w:ascii="Times New Roman" w:hAnsi="Times New Roman" w:eastAsia="宋体" w:cs="Times New Roman"/>
                      <w:color w:val="auto"/>
                      <w:sz w:val="21"/>
                      <w:szCs w:val="21"/>
                      <w:highlight w:val="none"/>
                      <w:lang w:val="en-US" w:eastAsia="zh-CN"/>
                    </w:rPr>
                    <w:t>空压机</w:t>
                  </w:r>
                  <w:r>
                    <w:rPr>
                      <w:rFonts w:hint="eastAsia" w:ascii="Times New Roman" w:hAnsi="Times New Roman" w:eastAsia="宋体" w:cs="Times New Roman"/>
                      <w:color w:val="auto"/>
                      <w:sz w:val="21"/>
                      <w:szCs w:val="21"/>
                      <w:highlight w:val="none"/>
                      <w:lang w:val="en-US" w:eastAsia="zh-CN"/>
                    </w:rPr>
                    <w:t>，设置于2#厂房</w:t>
                  </w:r>
                  <w:r>
                    <w:rPr>
                      <w:rFonts w:hint="eastAsia" w:ascii="Times New Roman" w:hAnsi="Times New Roman" w:eastAsia="宋体" w:cs="Times New Roman"/>
                      <w:color w:val="FF0000"/>
                      <w:sz w:val="21"/>
                      <w:szCs w:val="21"/>
                      <w:highlight w:val="none"/>
                      <w:lang w:val="en-US" w:eastAsia="zh-CN"/>
                    </w:rPr>
                    <w:t>1楼</w:t>
                  </w:r>
                  <w:r>
                    <w:rPr>
                      <w:rFonts w:hint="eastAsia" w:ascii="Times New Roman" w:hAnsi="Times New Roman" w:eastAsia="宋体" w:cs="Times New Roman"/>
                      <w:color w:val="auto"/>
                      <w:sz w:val="21"/>
                      <w:szCs w:val="21"/>
                      <w:highlight w:val="none"/>
                      <w:lang w:val="en-US" w:eastAsia="zh-CN"/>
                    </w:rPr>
                    <w:t>西北侧和</w:t>
                  </w:r>
                  <w:r>
                    <w:rPr>
                      <w:rFonts w:hint="eastAsia" w:ascii="Times New Roman" w:hAnsi="Times New Roman" w:eastAsia="宋体" w:cs="Times New Roman"/>
                      <w:color w:val="FF0000"/>
                      <w:sz w:val="21"/>
                      <w:szCs w:val="21"/>
                      <w:highlight w:val="none"/>
                      <w:lang w:val="en-US" w:eastAsia="zh-CN"/>
                    </w:rPr>
                    <w:t>2楼</w:t>
                  </w:r>
                  <w:r>
                    <w:rPr>
                      <w:rFonts w:hint="eastAsia" w:ascii="Times New Roman" w:hAnsi="Times New Roman" w:eastAsia="宋体" w:cs="Times New Roman"/>
                      <w:color w:val="auto"/>
                      <w:sz w:val="21"/>
                      <w:szCs w:val="21"/>
                      <w:highlight w:val="none"/>
                      <w:lang w:val="en-US" w:eastAsia="zh-CN"/>
                    </w:rPr>
                    <w:t>东南侧。</w:t>
                  </w:r>
                </w:p>
              </w:tc>
            </w:tr>
            <w:tr w14:paraId="57154F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682" w:type="dxa"/>
                  <w:vMerge w:val="restart"/>
                  <w:vAlign w:val="center"/>
                </w:tcPr>
                <w:p w14:paraId="2DAEC5EB">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rPr>
                    <w:t>环保工程</w:t>
                  </w:r>
                </w:p>
              </w:tc>
              <w:tc>
                <w:tcPr>
                  <w:tcW w:w="1063" w:type="dxa"/>
                  <w:vAlign w:val="center"/>
                </w:tcPr>
                <w:p w14:paraId="24EB87D6">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rPr>
                    <w:t>废气</w:t>
                  </w:r>
                </w:p>
              </w:tc>
              <w:tc>
                <w:tcPr>
                  <w:tcW w:w="6430" w:type="dxa"/>
                  <w:vAlign w:val="center"/>
                </w:tcPr>
                <w:p w14:paraId="078E5C09">
                  <w:pPr>
                    <w:keepNext w:val="0"/>
                    <w:keepLines w:val="0"/>
                    <w:suppressLineNumbers w:val="0"/>
                    <w:spacing w:before="0" w:beforeAutospacing="0" w:after="0" w:afterAutospacing="0"/>
                    <w:ind w:left="0" w:right="0"/>
                    <w:rPr>
                      <w:rFonts w:hint="eastAsia" w:ascii="Times New Roman" w:hAnsi="Times New Roman" w:eastAsia="宋体" w:cs="Times New Roman"/>
                      <w:color w:val="auto"/>
                      <w:szCs w:val="21"/>
                      <w:lang w:val="en-US" w:eastAsia="zh-CN"/>
                    </w:rPr>
                  </w:pPr>
                  <w:r>
                    <w:rPr>
                      <w:rFonts w:hint="eastAsia" w:ascii="Times New Roman" w:hAnsi="Times New Roman" w:eastAsia="宋体" w:cs="Times New Roman"/>
                      <w:color w:val="auto"/>
                      <w:szCs w:val="21"/>
                      <w:lang w:val="en-US" w:eastAsia="zh-CN"/>
                    </w:rPr>
                    <w:t>①</w:t>
                  </w:r>
                  <w:r>
                    <w:rPr>
                      <w:rFonts w:hint="eastAsia" w:ascii="Times New Roman" w:hAnsi="Times New Roman" w:eastAsia="宋体" w:cs="Times New Roman"/>
                      <w:color w:val="auto"/>
                      <w:szCs w:val="21"/>
                    </w:rPr>
                    <w:t>固化废气</w:t>
                  </w:r>
                  <w:r>
                    <w:rPr>
                      <w:rFonts w:hint="eastAsia" w:ascii="Times New Roman" w:hAnsi="Times New Roman" w:eastAsia="宋体" w:cs="Times New Roman"/>
                      <w:color w:val="auto"/>
                      <w:szCs w:val="21"/>
                      <w:lang w:eastAsia="zh-CN"/>
                    </w:rPr>
                    <w:t>、</w:t>
                  </w:r>
                  <w:r>
                    <w:rPr>
                      <w:rFonts w:hint="eastAsia" w:ascii="Times New Roman" w:hAnsi="Times New Roman" w:eastAsia="宋体" w:cs="Times New Roman"/>
                      <w:color w:val="auto"/>
                      <w:szCs w:val="21"/>
                      <w:lang w:val="en-US" w:eastAsia="zh-CN"/>
                    </w:rPr>
                    <w:t>背胶废气、辅料成型废气</w:t>
                  </w:r>
                  <w:r>
                    <w:rPr>
                      <w:rFonts w:hint="eastAsia" w:ascii="Times New Roman" w:hAnsi="Times New Roman" w:eastAsia="宋体" w:cs="Times New Roman"/>
                      <w:color w:val="auto"/>
                      <w:szCs w:val="21"/>
                      <w:lang w:eastAsia="zh-CN"/>
                    </w:rPr>
                    <w:t>：</w:t>
                  </w:r>
                  <w:r>
                    <w:rPr>
                      <w:rFonts w:hint="eastAsia" w:ascii="Times New Roman" w:hAnsi="Times New Roman" w:eastAsia="宋体" w:cs="Times New Roman"/>
                      <w:color w:val="auto"/>
                      <w:szCs w:val="21"/>
                      <w:lang w:val="en-US" w:eastAsia="zh-CN"/>
                    </w:rPr>
                    <w:t>本项目烘烤固化工序均为全密闭设备，在烘道进出口设置全密闭风罩，仅留进出口通道；本项目背胶贴合区整体密闭，在生产车间进行整体抽风，仅设置一个进出口，在非必要情况下也必须处于关闭状态，使生产车间整体处于相对密闭状态；本项目立式液态射出成型机运行过程保持加热段和成型段密闭，因此，废气仅在其物料完成成型工艺的出口散发，故拟在物料出口上方设置集气罩，以上废气经收集后通过一套水喷淋+干式过滤+二级活性炭吸附装置（TA001）处理，尾气由一根26m高的排气筒DA001排放。</w:t>
                  </w:r>
                </w:p>
                <w:p w14:paraId="637F8AB7">
                  <w:pPr>
                    <w:keepNext w:val="0"/>
                    <w:keepLines w:val="0"/>
                    <w:suppressLineNumbers w:val="0"/>
                    <w:spacing w:before="0" w:beforeAutospacing="0" w:after="0" w:afterAutospacing="0"/>
                    <w:ind w:left="0" w:right="0"/>
                    <w:rPr>
                      <w:rFonts w:hint="eastAsia" w:ascii="Times New Roman" w:hAnsi="Times New Roman" w:eastAsia="宋体" w:cs="Times New Roman"/>
                      <w:color w:val="auto"/>
                      <w:szCs w:val="21"/>
                      <w:lang w:val="en-US" w:eastAsia="zh-CN"/>
                    </w:rPr>
                  </w:pPr>
                  <w:r>
                    <w:rPr>
                      <w:rFonts w:hint="eastAsia" w:ascii="Times New Roman" w:hAnsi="Times New Roman" w:eastAsia="宋体" w:cs="Times New Roman"/>
                      <w:color w:val="auto"/>
                      <w:szCs w:val="21"/>
                      <w:lang w:val="en-US" w:eastAsia="zh-CN"/>
                    </w:rPr>
                    <w:t>②贴合废气：产生的挥发废气量极少，不做定量分析，以无组织形式排放。</w:t>
                  </w:r>
                </w:p>
                <w:p w14:paraId="7AB1B72D">
                  <w:pPr>
                    <w:keepNext w:val="0"/>
                    <w:keepLines w:val="0"/>
                    <w:suppressLineNumbers w:val="0"/>
                    <w:spacing w:before="0" w:beforeAutospacing="0" w:after="0" w:afterAutospacing="0"/>
                    <w:ind w:left="0" w:right="0"/>
                    <w:rPr>
                      <w:rFonts w:hint="eastAsia" w:ascii="Times New Roman" w:hAnsi="Times New Roman" w:eastAsia="宋体" w:cs="Times New Roman"/>
                      <w:color w:val="auto"/>
                      <w:szCs w:val="21"/>
                      <w:lang w:val="en-US" w:eastAsia="zh-CN"/>
                    </w:rPr>
                  </w:pPr>
                  <w:r>
                    <w:rPr>
                      <w:rFonts w:hint="eastAsia" w:ascii="Times New Roman" w:hAnsi="Times New Roman" w:eastAsia="宋体" w:cs="Times New Roman"/>
                      <w:color w:val="auto"/>
                      <w:szCs w:val="21"/>
                      <w:lang w:val="en-US" w:eastAsia="zh-CN"/>
                    </w:rPr>
                    <w:t>③拆包粉尘、投料粉尘、出料粉尘：本项目在自动拆包机、高速混合机投料口上方、超薄纳米板成型机出料口上方设置集气罩，废气经集气罩收集后通过一套脉冲式布袋除尘器（TA002）处理，尾气由一根26m高的排气筒DA002排放。</w:t>
                  </w:r>
                </w:p>
                <w:p w14:paraId="4B12358A">
                  <w:pPr>
                    <w:keepNext w:val="0"/>
                    <w:keepLines w:val="0"/>
                    <w:suppressLineNumbers w:val="0"/>
                    <w:spacing w:before="0" w:beforeAutospacing="0" w:after="0" w:afterAutospacing="0"/>
                    <w:ind w:left="0" w:right="0"/>
                    <w:rPr>
                      <w:rFonts w:hint="eastAsia" w:ascii="Times New Roman" w:hAnsi="Times New Roman" w:eastAsia="宋体" w:cs="Times New Roman"/>
                      <w:color w:val="0000E1"/>
                      <w:szCs w:val="21"/>
                      <w:lang w:val="en-US" w:eastAsia="zh-CN"/>
                    </w:rPr>
                  </w:pPr>
                  <w:r>
                    <w:rPr>
                      <w:rFonts w:hint="eastAsia" w:ascii="Times New Roman" w:hAnsi="Times New Roman" w:eastAsia="宋体" w:cs="Times New Roman"/>
                      <w:color w:val="0000E1"/>
                      <w:szCs w:val="21"/>
                      <w:lang w:val="en-US" w:eastAsia="zh-CN"/>
                    </w:rPr>
                    <w:t>④激光切割粉尘：本项目激光切割机自带脉冲滤筒除尘系统对切割粉尘进行收集、处理后无组织排放。</w:t>
                  </w:r>
                </w:p>
                <w:p w14:paraId="5E8234CB">
                  <w:pPr>
                    <w:keepNext w:val="0"/>
                    <w:keepLines w:val="0"/>
                    <w:suppressLineNumbers w:val="0"/>
                    <w:spacing w:before="0" w:beforeAutospacing="0" w:after="0" w:afterAutospacing="0"/>
                    <w:ind w:left="0" w:right="0"/>
                    <w:rPr>
                      <w:rFonts w:hint="default" w:ascii="Times New Roman" w:hAnsi="Times New Roman" w:eastAsia="宋体" w:cs="Times New Roman"/>
                      <w:color w:val="auto"/>
                      <w:szCs w:val="21"/>
                    </w:rPr>
                  </w:pPr>
                  <w:r>
                    <w:rPr>
                      <w:rFonts w:hint="eastAsia" w:ascii="Times New Roman" w:hAnsi="Times New Roman" w:eastAsia="宋体" w:cs="Times New Roman"/>
                      <w:color w:val="0000E1"/>
                      <w:szCs w:val="21"/>
                      <w:lang w:val="en-US" w:eastAsia="zh-CN"/>
                    </w:rPr>
                    <w:t>⑤</w:t>
                  </w:r>
                  <w:r>
                    <w:rPr>
                      <w:rFonts w:hint="eastAsia" w:ascii="Times New Roman" w:hAnsi="Times New Roman" w:eastAsia="宋体" w:cs="Times New Roman"/>
                      <w:color w:val="auto"/>
                      <w:szCs w:val="21"/>
                      <w:lang w:val="en-US" w:eastAsia="zh-CN"/>
                    </w:rPr>
                    <w:t>真空热合废气：非甲烷总烃的产生量和产生速率均较小，故真空热合过程产生的废气对环境影响较小，以无组织形式排放。</w:t>
                  </w:r>
                </w:p>
              </w:tc>
            </w:tr>
            <w:tr w14:paraId="2E8F62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682" w:type="dxa"/>
                  <w:vMerge w:val="continue"/>
                  <w:vAlign w:val="center"/>
                </w:tcPr>
                <w:p w14:paraId="679234C4">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p>
              </w:tc>
              <w:tc>
                <w:tcPr>
                  <w:tcW w:w="1063" w:type="dxa"/>
                  <w:vAlign w:val="center"/>
                </w:tcPr>
                <w:p w14:paraId="6EFF33D1">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rPr>
                    <w:t>废水</w:t>
                  </w:r>
                </w:p>
              </w:tc>
              <w:tc>
                <w:tcPr>
                  <w:tcW w:w="6430" w:type="dxa"/>
                  <w:vAlign w:val="center"/>
                </w:tcPr>
                <w:p w14:paraId="2A66386C">
                  <w:pPr>
                    <w:keepNext w:val="0"/>
                    <w:keepLines w:val="0"/>
                    <w:suppressLineNumbers w:val="0"/>
                    <w:spacing w:before="0" w:beforeAutospacing="0" w:after="0" w:afterAutospacing="0"/>
                    <w:ind w:left="0" w:right="0"/>
                    <w:rPr>
                      <w:rFonts w:hint="default" w:ascii="Times New Roman" w:hAnsi="Times New Roman" w:eastAsia="宋体" w:cs="Times New Roman"/>
                      <w:color w:val="auto"/>
                      <w:szCs w:val="21"/>
                    </w:rPr>
                  </w:pPr>
                  <w:r>
                    <w:rPr>
                      <w:rFonts w:hint="eastAsia" w:ascii="Times New Roman" w:hAnsi="Times New Roman" w:eastAsia="宋体" w:cs="Times New Roman"/>
                      <w:color w:val="auto"/>
                      <w:szCs w:val="21"/>
                    </w:rPr>
                    <w:t>生活污水经</w:t>
                  </w:r>
                  <w:r>
                    <w:rPr>
                      <w:rFonts w:hint="eastAsia" w:ascii="Times New Roman" w:hAnsi="Times New Roman" w:eastAsia="宋体" w:cs="Times New Roman"/>
                      <w:color w:val="auto"/>
                      <w:szCs w:val="21"/>
                      <w:lang w:val="en-US" w:eastAsia="zh-CN"/>
                    </w:rPr>
                    <w:t>出租方</w:t>
                  </w:r>
                  <w:r>
                    <w:rPr>
                      <w:rFonts w:hint="eastAsia" w:ascii="Times New Roman" w:hAnsi="Times New Roman" w:eastAsia="宋体" w:cs="Times New Roman"/>
                      <w:color w:val="auto"/>
                      <w:szCs w:val="21"/>
                    </w:rPr>
                    <w:t>化粪池处理后排入周边市政污水管网，由市政污水管网纳入安吉清源污水处理有限公司处理</w:t>
                  </w:r>
                  <w:r>
                    <w:rPr>
                      <w:rFonts w:hint="eastAsia" w:ascii="Times New Roman" w:hAnsi="Times New Roman" w:eastAsia="宋体" w:cs="Times New Roman"/>
                      <w:color w:val="auto"/>
                      <w:szCs w:val="21"/>
                      <w:lang w:eastAsia="zh-CN"/>
                    </w:rPr>
                    <w:t>；间接</w:t>
                  </w:r>
                  <w:r>
                    <w:rPr>
                      <w:rFonts w:hint="eastAsia" w:ascii="Times New Roman" w:hAnsi="Times New Roman" w:eastAsia="宋体" w:cs="Times New Roman"/>
                      <w:color w:val="auto"/>
                      <w:szCs w:val="21"/>
                      <w:lang w:val="en-US" w:eastAsia="zh-CN"/>
                    </w:rPr>
                    <w:t>冷却水循环使用不排放，只需定期补充新鲜水；喷淋废水当循环到一定程度后定期更换，更换后的喷淋废水作为危废处置。</w:t>
                  </w:r>
                </w:p>
              </w:tc>
            </w:tr>
            <w:tr w14:paraId="2ABDD2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682" w:type="dxa"/>
                  <w:vMerge w:val="continue"/>
                  <w:vAlign w:val="center"/>
                </w:tcPr>
                <w:p w14:paraId="4DB705A2">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p>
              </w:tc>
              <w:tc>
                <w:tcPr>
                  <w:tcW w:w="1063" w:type="dxa"/>
                  <w:vAlign w:val="center"/>
                </w:tcPr>
                <w:p w14:paraId="01600028">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rPr>
                    <w:t>噪声</w:t>
                  </w:r>
                </w:p>
              </w:tc>
              <w:tc>
                <w:tcPr>
                  <w:tcW w:w="6430" w:type="dxa"/>
                  <w:vAlign w:val="center"/>
                </w:tcPr>
                <w:p w14:paraId="5AF2AC03">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r>
                    <w:rPr>
                      <w:rFonts w:hint="eastAsia" w:ascii="Times New Roman" w:hAnsi="Times New Roman" w:eastAsia="宋体" w:cs="Times New Roman"/>
                      <w:color w:val="auto"/>
                      <w:szCs w:val="21"/>
                      <w:lang w:val="en-US" w:eastAsia="zh-CN"/>
                    </w:rPr>
                    <w:t>选用噪声低、振动小的设备；对风机等高噪声设备加设减振垫；合理布置设备位置；车间安装隔声门窗，生产时关闭门窗；加强生产现场管理和设备养护，减少或降低人为噪声。</w:t>
                  </w:r>
                </w:p>
              </w:tc>
            </w:tr>
            <w:tr w14:paraId="22C73F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682" w:type="dxa"/>
                  <w:vMerge w:val="continue"/>
                  <w:vAlign w:val="center"/>
                </w:tcPr>
                <w:p w14:paraId="4F4ABEA8">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p>
              </w:tc>
              <w:tc>
                <w:tcPr>
                  <w:tcW w:w="1063" w:type="dxa"/>
                  <w:vMerge w:val="restart"/>
                  <w:vAlign w:val="center"/>
                </w:tcPr>
                <w:p w14:paraId="018101A3">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rPr>
                    <w:t>固废</w:t>
                  </w:r>
                </w:p>
              </w:tc>
              <w:tc>
                <w:tcPr>
                  <w:tcW w:w="6430" w:type="dxa"/>
                  <w:vAlign w:val="center"/>
                </w:tcPr>
                <w:p w14:paraId="4D286C15">
                  <w:pPr>
                    <w:keepNext w:val="0"/>
                    <w:keepLines w:val="0"/>
                    <w:suppressLineNumbers w:val="0"/>
                    <w:spacing w:before="0" w:beforeAutospacing="0" w:after="0" w:afterAutospacing="0"/>
                    <w:ind w:left="0" w:right="0"/>
                    <w:jc w:val="center"/>
                    <w:rPr>
                      <w:rFonts w:hint="eastAsia" w:ascii="Times New Roman" w:hAnsi="Times New Roman" w:eastAsia="宋体" w:cs="Times New Roman"/>
                      <w:color w:val="auto"/>
                      <w:szCs w:val="21"/>
                      <w:lang w:eastAsia="zh-CN"/>
                    </w:rPr>
                  </w:pPr>
                  <w:r>
                    <w:rPr>
                      <w:rFonts w:hint="eastAsia" w:ascii="Times New Roman" w:hAnsi="Times New Roman" w:eastAsia="宋体" w:cs="Times New Roman"/>
                      <w:color w:val="auto"/>
                      <w:szCs w:val="21"/>
                    </w:rPr>
                    <w:t>一般固废仓库：</w:t>
                  </w:r>
                  <w:r>
                    <w:rPr>
                      <w:rFonts w:hint="eastAsia" w:ascii="Times New Roman" w:hAnsi="Times New Roman" w:eastAsia="宋体" w:cs="Times New Roman"/>
                      <w:color w:val="auto"/>
                      <w:szCs w:val="21"/>
                      <w:lang w:val="en-US" w:eastAsia="zh-CN"/>
                    </w:rPr>
                    <w:t>设置于2#厂房</w:t>
                  </w:r>
                  <w:r>
                    <w:rPr>
                      <w:rFonts w:hint="eastAsia" w:ascii="Times New Roman" w:hAnsi="Times New Roman" w:eastAsia="宋体" w:cs="Times New Roman"/>
                      <w:color w:val="FF0000"/>
                      <w:szCs w:val="21"/>
                      <w:lang w:val="en-US" w:eastAsia="zh-CN"/>
                    </w:rPr>
                    <w:t>1楼</w:t>
                  </w:r>
                  <w:r>
                    <w:rPr>
                      <w:rFonts w:hint="eastAsia" w:ascii="Times New Roman" w:hAnsi="Times New Roman" w:eastAsia="宋体" w:cs="Times New Roman"/>
                      <w:color w:val="auto"/>
                      <w:szCs w:val="21"/>
                      <w:lang w:val="en-US" w:eastAsia="zh-CN"/>
                    </w:rPr>
                    <w:t>东北侧</w:t>
                  </w:r>
                  <w:r>
                    <w:rPr>
                      <w:rFonts w:hint="eastAsia" w:ascii="Times New Roman" w:hAnsi="Times New Roman" w:eastAsia="宋体" w:cs="Times New Roman"/>
                      <w:color w:val="auto"/>
                      <w:szCs w:val="21"/>
                    </w:rPr>
                    <w:t>，面积约25</w:t>
                  </w:r>
                  <w:r>
                    <w:rPr>
                      <w:rFonts w:hint="default" w:ascii="Times New Roman" w:hAnsi="Times New Roman" w:eastAsia="宋体" w:cs="Times New Roman"/>
                      <w:color w:val="auto"/>
                      <w:szCs w:val="21"/>
                    </w:rPr>
                    <w:t>m</w:t>
                  </w:r>
                  <w:r>
                    <w:rPr>
                      <w:rFonts w:hint="default" w:ascii="Times New Roman" w:hAnsi="Times New Roman" w:eastAsia="宋体" w:cs="Times New Roman"/>
                      <w:color w:val="auto"/>
                      <w:szCs w:val="21"/>
                      <w:vertAlign w:val="superscript"/>
                    </w:rPr>
                    <w:t>2</w:t>
                  </w:r>
                  <w:r>
                    <w:rPr>
                      <w:rFonts w:hint="eastAsia" w:ascii="Times New Roman" w:hAnsi="Times New Roman" w:eastAsia="宋体" w:cs="Times New Roman"/>
                      <w:color w:val="auto"/>
                      <w:szCs w:val="21"/>
                      <w:vertAlign w:val="baseline"/>
                      <w:lang w:eastAsia="zh-CN"/>
                    </w:rPr>
                    <w:t>。</w:t>
                  </w:r>
                </w:p>
              </w:tc>
            </w:tr>
            <w:tr w14:paraId="6A30D1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682" w:type="dxa"/>
                  <w:vMerge w:val="continue"/>
                  <w:vAlign w:val="center"/>
                </w:tcPr>
                <w:p w14:paraId="50D6C101">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p>
              </w:tc>
              <w:tc>
                <w:tcPr>
                  <w:tcW w:w="1063" w:type="dxa"/>
                  <w:vMerge w:val="continue"/>
                  <w:vAlign w:val="center"/>
                </w:tcPr>
                <w:p w14:paraId="59B7249E">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p>
              </w:tc>
              <w:tc>
                <w:tcPr>
                  <w:tcW w:w="6430" w:type="dxa"/>
                  <w:vAlign w:val="center"/>
                </w:tcPr>
                <w:p w14:paraId="6204B8C2">
                  <w:pPr>
                    <w:keepNext w:val="0"/>
                    <w:keepLines w:val="0"/>
                    <w:suppressLineNumbers w:val="0"/>
                    <w:spacing w:before="0" w:beforeAutospacing="0" w:after="0" w:afterAutospacing="0"/>
                    <w:ind w:left="0" w:right="0"/>
                    <w:jc w:val="center"/>
                    <w:rPr>
                      <w:rFonts w:hint="eastAsia" w:ascii="Times New Roman" w:hAnsi="Times New Roman" w:eastAsia="宋体" w:cs="Times New Roman"/>
                      <w:color w:val="auto"/>
                      <w:szCs w:val="21"/>
                      <w:lang w:eastAsia="zh-CN"/>
                    </w:rPr>
                  </w:pPr>
                  <w:r>
                    <w:rPr>
                      <w:rFonts w:hint="eastAsia" w:ascii="Times New Roman" w:hAnsi="Times New Roman" w:eastAsia="宋体" w:cs="Times New Roman"/>
                      <w:color w:val="auto"/>
                      <w:szCs w:val="21"/>
                    </w:rPr>
                    <w:t>危废仓库：</w:t>
                  </w:r>
                  <w:r>
                    <w:rPr>
                      <w:rFonts w:hint="eastAsia" w:ascii="Times New Roman" w:hAnsi="Times New Roman" w:eastAsia="宋体" w:cs="Times New Roman"/>
                      <w:color w:val="auto"/>
                      <w:szCs w:val="21"/>
                      <w:lang w:val="en-US" w:eastAsia="zh-CN"/>
                    </w:rPr>
                    <w:t>设置于</w:t>
                  </w:r>
                  <w:r>
                    <w:rPr>
                      <w:rFonts w:hint="eastAsia" w:ascii="Times New Roman" w:hAnsi="Times New Roman" w:eastAsia="宋体" w:cs="Times New Roman"/>
                      <w:color w:val="0000E1"/>
                      <w:szCs w:val="21"/>
                      <w:lang w:val="en-US" w:eastAsia="zh-CN"/>
                    </w:rPr>
                    <w:t>2#厂房外东北侧单独房间内</w:t>
                  </w:r>
                  <w:r>
                    <w:rPr>
                      <w:rFonts w:hint="eastAsia" w:ascii="Times New Roman" w:hAnsi="Times New Roman" w:eastAsia="宋体" w:cs="Times New Roman"/>
                      <w:color w:val="0000E1"/>
                      <w:szCs w:val="21"/>
                    </w:rPr>
                    <w:t>，</w:t>
                  </w:r>
                  <w:r>
                    <w:rPr>
                      <w:rFonts w:hint="eastAsia" w:ascii="Times New Roman" w:hAnsi="Times New Roman" w:eastAsia="宋体" w:cs="Times New Roman"/>
                      <w:color w:val="auto"/>
                      <w:szCs w:val="21"/>
                    </w:rPr>
                    <w:t>面积约</w:t>
                  </w:r>
                  <w:r>
                    <w:rPr>
                      <w:rFonts w:hint="eastAsia" w:ascii="Times New Roman" w:hAnsi="Times New Roman" w:eastAsia="宋体" w:cs="Times New Roman"/>
                      <w:color w:val="auto"/>
                      <w:szCs w:val="21"/>
                      <w:lang w:val="en-US" w:eastAsia="zh-CN"/>
                    </w:rPr>
                    <w:t>14</w:t>
                  </w:r>
                  <w:r>
                    <w:rPr>
                      <w:rFonts w:hint="default" w:ascii="Times New Roman" w:hAnsi="Times New Roman" w:eastAsia="宋体" w:cs="Times New Roman"/>
                      <w:color w:val="auto"/>
                      <w:szCs w:val="21"/>
                    </w:rPr>
                    <w:t>m</w:t>
                  </w:r>
                  <w:r>
                    <w:rPr>
                      <w:rFonts w:hint="default" w:ascii="Times New Roman" w:hAnsi="Times New Roman" w:eastAsia="宋体" w:cs="Times New Roman"/>
                      <w:color w:val="auto"/>
                      <w:szCs w:val="21"/>
                      <w:vertAlign w:val="superscript"/>
                    </w:rPr>
                    <w:t>2</w:t>
                  </w:r>
                  <w:r>
                    <w:rPr>
                      <w:rFonts w:hint="eastAsia" w:ascii="Times New Roman" w:hAnsi="Times New Roman" w:eastAsia="宋体" w:cs="Times New Roman"/>
                      <w:color w:val="auto"/>
                      <w:szCs w:val="21"/>
                      <w:vertAlign w:val="baseline"/>
                      <w:lang w:eastAsia="zh-CN"/>
                    </w:rPr>
                    <w:t>。</w:t>
                  </w:r>
                </w:p>
              </w:tc>
            </w:tr>
            <w:tr w14:paraId="0FA356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682" w:type="dxa"/>
                  <w:vMerge w:val="restart"/>
                  <w:vAlign w:val="center"/>
                </w:tcPr>
                <w:p w14:paraId="7C1709D9">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rPr>
                    <w:t>储运工程</w:t>
                  </w:r>
                </w:p>
              </w:tc>
              <w:tc>
                <w:tcPr>
                  <w:tcW w:w="1063" w:type="dxa"/>
                  <w:vAlign w:val="center"/>
                </w:tcPr>
                <w:p w14:paraId="7575B65D">
                  <w:pPr>
                    <w:keepNext w:val="0"/>
                    <w:keepLines w:val="0"/>
                    <w:suppressLineNumbers w:val="0"/>
                    <w:spacing w:before="0" w:beforeAutospacing="0" w:after="0" w:afterAutospacing="0"/>
                    <w:ind w:left="0" w:right="0"/>
                    <w:jc w:val="center"/>
                    <w:rPr>
                      <w:rFonts w:hint="eastAsia" w:ascii="Times New Roman" w:hAnsi="Times New Roman" w:eastAsia="宋体" w:cs="Times New Roman"/>
                      <w:color w:val="auto"/>
                      <w:szCs w:val="21"/>
                      <w:lang w:val="en-US" w:eastAsia="zh-CN"/>
                    </w:rPr>
                  </w:pPr>
                  <w:r>
                    <w:rPr>
                      <w:rFonts w:hint="eastAsia" w:ascii="Times New Roman" w:hAnsi="Times New Roman" w:eastAsia="宋体" w:cs="Times New Roman"/>
                      <w:color w:val="auto"/>
                      <w:szCs w:val="21"/>
                      <w:lang w:val="en-US" w:eastAsia="zh-CN"/>
                    </w:rPr>
                    <w:t>化学品仓库</w:t>
                  </w:r>
                </w:p>
              </w:tc>
              <w:tc>
                <w:tcPr>
                  <w:tcW w:w="6430" w:type="dxa"/>
                  <w:vAlign w:val="center"/>
                </w:tcPr>
                <w:p w14:paraId="185D5ABA">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lang w:val="en-US"/>
                    </w:rPr>
                  </w:pPr>
                  <w:r>
                    <w:rPr>
                      <w:rFonts w:hint="eastAsia" w:ascii="Times New Roman" w:hAnsi="Times New Roman" w:eastAsia="宋体" w:cs="Times New Roman"/>
                      <w:color w:val="auto"/>
                      <w:szCs w:val="21"/>
                      <w:lang w:val="en-US" w:eastAsia="zh-CN"/>
                    </w:rPr>
                    <w:t>设置于2#厂房</w:t>
                  </w:r>
                  <w:r>
                    <w:rPr>
                      <w:rFonts w:hint="eastAsia" w:ascii="Times New Roman" w:hAnsi="Times New Roman" w:eastAsia="宋体" w:cs="Times New Roman"/>
                      <w:color w:val="FF0000"/>
                      <w:szCs w:val="21"/>
                      <w:lang w:val="en-US" w:eastAsia="zh-CN"/>
                    </w:rPr>
                    <w:t>1楼</w:t>
                  </w:r>
                  <w:r>
                    <w:rPr>
                      <w:rFonts w:hint="eastAsia" w:ascii="Times New Roman" w:hAnsi="Times New Roman" w:eastAsia="宋体" w:cs="Times New Roman"/>
                      <w:color w:val="auto"/>
                      <w:szCs w:val="21"/>
                      <w:lang w:val="en-US" w:eastAsia="zh-CN"/>
                    </w:rPr>
                    <w:t>东北侧。</w:t>
                  </w:r>
                </w:p>
              </w:tc>
            </w:tr>
            <w:tr w14:paraId="6B7F31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682" w:type="dxa"/>
                  <w:vMerge w:val="continue"/>
                  <w:vAlign w:val="center"/>
                </w:tcPr>
                <w:p w14:paraId="6DF071B0">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p>
              </w:tc>
              <w:tc>
                <w:tcPr>
                  <w:tcW w:w="1063" w:type="dxa"/>
                  <w:vAlign w:val="center"/>
                </w:tcPr>
                <w:p w14:paraId="3C465BAF">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r>
                    <w:rPr>
                      <w:rFonts w:hint="eastAsia" w:ascii="Times New Roman" w:hAnsi="Times New Roman" w:eastAsia="宋体" w:cs="Times New Roman"/>
                      <w:color w:val="auto"/>
                      <w:szCs w:val="21"/>
                      <w:lang w:val="en-US" w:eastAsia="zh-CN"/>
                    </w:rPr>
                    <w:t>原料仓库</w:t>
                  </w:r>
                </w:p>
              </w:tc>
              <w:tc>
                <w:tcPr>
                  <w:tcW w:w="6430" w:type="dxa"/>
                  <w:vAlign w:val="center"/>
                </w:tcPr>
                <w:p w14:paraId="72380E08">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r>
                    <w:rPr>
                      <w:rFonts w:hint="eastAsia" w:ascii="Times New Roman" w:hAnsi="Times New Roman" w:eastAsia="宋体" w:cs="Times New Roman"/>
                      <w:color w:val="auto"/>
                      <w:szCs w:val="21"/>
                      <w:lang w:val="en-US" w:eastAsia="zh-CN"/>
                    </w:rPr>
                    <w:t>设置于1#厂房</w:t>
                  </w:r>
                  <w:r>
                    <w:rPr>
                      <w:rFonts w:hint="eastAsia" w:ascii="Times New Roman" w:hAnsi="Times New Roman" w:eastAsia="宋体" w:cs="Times New Roman"/>
                      <w:color w:val="FF0000"/>
                      <w:szCs w:val="21"/>
                      <w:lang w:val="en-US" w:eastAsia="zh-CN"/>
                    </w:rPr>
                    <w:t>1楼</w:t>
                  </w:r>
                  <w:r>
                    <w:rPr>
                      <w:rFonts w:hint="eastAsia" w:ascii="Times New Roman" w:hAnsi="Times New Roman" w:eastAsia="宋体" w:cs="Times New Roman"/>
                      <w:color w:val="auto"/>
                      <w:szCs w:val="21"/>
                      <w:lang w:val="en-US" w:eastAsia="zh-CN"/>
                    </w:rPr>
                    <w:t>东北侧、2#厂房</w:t>
                  </w:r>
                  <w:r>
                    <w:rPr>
                      <w:rFonts w:hint="eastAsia" w:ascii="Times New Roman" w:hAnsi="Times New Roman" w:eastAsia="宋体" w:cs="Times New Roman"/>
                      <w:color w:val="FF0000"/>
                      <w:szCs w:val="21"/>
                      <w:lang w:val="en-US" w:eastAsia="zh-CN"/>
                    </w:rPr>
                    <w:t>2楼</w:t>
                  </w:r>
                  <w:r>
                    <w:rPr>
                      <w:rFonts w:hint="eastAsia" w:ascii="Times New Roman" w:hAnsi="Times New Roman" w:eastAsia="宋体" w:cs="Times New Roman"/>
                      <w:color w:val="auto"/>
                      <w:szCs w:val="21"/>
                      <w:lang w:val="en-US" w:eastAsia="zh-CN"/>
                    </w:rPr>
                    <w:t>西北侧。</w:t>
                  </w:r>
                </w:p>
              </w:tc>
            </w:tr>
            <w:tr w14:paraId="6434EB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682" w:type="dxa"/>
                  <w:vMerge w:val="continue"/>
                  <w:vAlign w:val="center"/>
                </w:tcPr>
                <w:p w14:paraId="2B676290">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p>
              </w:tc>
              <w:tc>
                <w:tcPr>
                  <w:tcW w:w="1063" w:type="dxa"/>
                  <w:vAlign w:val="center"/>
                </w:tcPr>
                <w:p w14:paraId="0FB26F48">
                  <w:pPr>
                    <w:keepNext w:val="0"/>
                    <w:keepLines w:val="0"/>
                    <w:suppressLineNumbers w:val="0"/>
                    <w:spacing w:before="0" w:beforeAutospacing="0" w:after="0" w:afterAutospacing="0"/>
                    <w:ind w:left="0" w:right="0"/>
                    <w:jc w:val="center"/>
                    <w:rPr>
                      <w:rFonts w:hint="eastAsia" w:ascii="Times New Roman" w:hAnsi="Times New Roman" w:eastAsia="宋体" w:cs="Times New Roman"/>
                      <w:color w:val="auto"/>
                      <w:szCs w:val="21"/>
                    </w:rPr>
                  </w:pPr>
                  <w:r>
                    <w:rPr>
                      <w:rFonts w:hint="eastAsia" w:ascii="Times New Roman" w:hAnsi="Times New Roman" w:eastAsia="宋体" w:cs="Times New Roman"/>
                      <w:color w:val="auto"/>
                      <w:szCs w:val="21"/>
                      <w:lang w:val="en-US" w:eastAsia="zh-CN"/>
                    </w:rPr>
                    <w:t>成品仓库</w:t>
                  </w:r>
                </w:p>
              </w:tc>
              <w:tc>
                <w:tcPr>
                  <w:tcW w:w="6430" w:type="dxa"/>
                  <w:vAlign w:val="center"/>
                </w:tcPr>
                <w:p w14:paraId="0CBCA4B5">
                  <w:pPr>
                    <w:keepNext w:val="0"/>
                    <w:keepLines w:val="0"/>
                    <w:suppressLineNumbers w:val="0"/>
                    <w:spacing w:before="0" w:beforeAutospacing="0" w:after="0" w:afterAutospacing="0"/>
                    <w:ind w:left="0" w:right="0"/>
                    <w:jc w:val="center"/>
                    <w:rPr>
                      <w:rFonts w:hint="eastAsia" w:ascii="Times New Roman" w:hAnsi="Times New Roman" w:eastAsia="宋体" w:cs="Times New Roman"/>
                      <w:color w:val="auto"/>
                      <w:szCs w:val="21"/>
                    </w:rPr>
                  </w:pPr>
                  <w:r>
                    <w:rPr>
                      <w:rFonts w:hint="eastAsia" w:ascii="Times New Roman" w:hAnsi="Times New Roman" w:eastAsia="宋体" w:cs="Times New Roman"/>
                      <w:color w:val="auto"/>
                      <w:szCs w:val="21"/>
                      <w:lang w:val="en-US" w:eastAsia="zh-CN"/>
                    </w:rPr>
                    <w:t>设置于1#厂房</w:t>
                  </w:r>
                  <w:r>
                    <w:rPr>
                      <w:rFonts w:hint="eastAsia" w:ascii="Times New Roman" w:hAnsi="Times New Roman" w:eastAsia="宋体" w:cs="Times New Roman"/>
                      <w:color w:val="FF0000"/>
                      <w:szCs w:val="21"/>
                      <w:lang w:val="en-US" w:eastAsia="zh-CN"/>
                    </w:rPr>
                    <w:t>1楼</w:t>
                  </w:r>
                  <w:r>
                    <w:rPr>
                      <w:rFonts w:hint="eastAsia" w:ascii="Times New Roman" w:hAnsi="Times New Roman" w:eastAsia="宋体" w:cs="Times New Roman"/>
                      <w:color w:val="auto"/>
                      <w:szCs w:val="21"/>
                      <w:lang w:val="en-US" w:eastAsia="zh-CN"/>
                    </w:rPr>
                    <w:t>东北侧、2#厂房</w:t>
                  </w:r>
                  <w:r>
                    <w:rPr>
                      <w:rFonts w:hint="eastAsia" w:ascii="Times New Roman" w:hAnsi="Times New Roman" w:eastAsia="宋体" w:cs="Times New Roman"/>
                      <w:color w:val="FF0000"/>
                      <w:szCs w:val="21"/>
                      <w:lang w:val="en-US" w:eastAsia="zh-CN"/>
                    </w:rPr>
                    <w:t>2楼</w:t>
                  </w:r>
                  <w:r>
                    <w:rPr>
                      <w:rFonts w:hint="eastAsia" w:ascii="Times New Roman" w:hAnsi="Times New Roman" w:eastAsia="宋体" w:cs="Times New Roman"/>
                      <w:color w:val="auto"/>
                      <w:szCs w:val="21"/>
                      <w:lang w:val="en-US" w:eastAsia="zh-CN"/>
                    </w:rPr>
                    <w:t>东北侧。</w:t>
                  </w:r>
                </w:p>
              </w:tc>
            </w:tr>
            <w:tr w14:paraId="2ADD9C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682" w:type="dxa"/>
                  <w:vAlign w:val="center"/>
                </w:tcPr>
                <w:p w14:paraId="099551FE">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rPr>
                    <w:t>依托工程</w:t>
                  </w:r>
                </w:p>
              </w:tc>
              <w:tc>
                <w:tcPr>
                  <w:tcW w:w="1063" w:type="dxa"/>
                  <w:vAlign w:val="center"/>
                </w:tcPr>
                <w:p w14:paraId="40774056">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rPr>
                    <w:t>/</w:t>
                  </w:r>
                </w:p>
              </w:tc>
              <w:tc>
                <w:tcPr>
                  <w:tcW w:w="6430" w:type="dxa"/>
                  <w:vAlign w:val="center"/>
                </w:tcPr>
                <w:p w14:paraId="39EBEC86">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rPr>
                    <w:t>依托厂房</w:t>
                  </w:r>
                  <w:r>
                    <w:rPr>
                      <w:rFonts w:hint="eastAsia" w:ascii="Times New Roman" w:hAnsi="Times New Roman" w:eastAsia="宋体" w:cs="Times New Roman"/>
                      <w:color w:val="auto"/>
                      <w:szCs w:val="21"/>
                    </w:rPr>
                    <w:t>出租</w:t>
                  </w:r>
                  <w:r>
                    <w:rPr>
                      <w:rFonts w:hint="default" w:ascii="Times New Roman" w:hAnsi="Times New Roman" w:eastAsia="宋体" w:cs="Times New Roman"/>
                      <w:color w:val="auto"/>
                      <w:szCs w:val="21"/>
                    </w:rPr>
                    <w:t>方已建的雨污管道及化粪池</w:t>
                  </w:r>
                </w:p>
              </w:tc>
            </w:tr>
            <w:tr w14:paraId="32CCE0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8175" w:type="dxa"/>
                  <w:gridSpan w:val="3"/>
                  <w:vAlign w:val="center"/>
                </w:tcPr>
                <w:p w14:paraId="0E20398D">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lang w:val="en-US"/>
                    </w:rPr>
                  </w:pPr>
                  <w:r>
                    <w:rPr>
                      <w:rFonts w:hint="default" w:ascii="Times New Roman" w:hAnsi="Times New Roman" w:eastAsia="宋体" w:cs="Times New Roman"/>
                      <w:color w:val="00B050"/>
                      <w:szCs w:val="21"/>
                      <w:lang w:val="en-US" w:eastAsia="zh-CN"/>
                    </w:rPr>
                    <w:t>注：</w:t>
                  </w:r>
                  <w:r>
                    <w:rPr>
                      <w:rFonts w:hint="default" w:ascii="Times New Roman" w:hAnsi="Times New Roman" w:eastAsia="宋体" w:cs="Times New Roman"/>
                      <w:color w:val="00B050"/>
                      <w:szCs w:val="21"/>
                    </w:rPr>
                    <w:t>本项目为扩建项目，所有工程内容均在租赁厂房内实施。本项目厂区与现有项目厂区相互分离、独立运营，生产、环保及公用工程设施均不共用，不存在依托现有项目的情况</w:t>
                  </w:r>
                  <w:r>
                    <w:rPr>
                      <w:rFonts w:hint="eastAsia" w:ascii="Times New Roman" w:hAnsi="Times New Roman" w:eastAsia="宋体" w:cs="Times New Roman"/>
                      <w:color w:val="00B050"/>
                      <w:szCs w:val="21"/>
                      <w:lang w:val="en-US" w:eastAsia="zh-CN"/>
                    </w:rPr>
                    <w:t>。</w:t>
                  </w:r>
                </w:p>
              </w:tc>
            </w:tr>
          </w:tbl>
          <w:p w14:paraId="12D85987">
            <w:pPr>
              <w:keepNext w:val="0"/>
              <w:keepLines w:val="0"/>
              <w:suppressLineNumbers w:val="0"/>
              <w:spacing w:before="0" w:beforeAutospacing="0" w:after="0" w:afterAutospacing="0" w:line="360" w:lineRule="auto"/>
              <w:ind w:left="0" w:right="0"/>
              <w:rPr>
                <w:rFonts w:hint="default" w:ascii="Times New Roman" w:hAnsi="Times New Roman" w:eastAsia="宋体" w:cs="Times New Roman"/>
                <w:b/>
                <w:bCs/>
                <w:color w:val="auto"/>
                <w:sz w:val="24"/>
              </w:rPr>
            </w:pPr>
            <w:r>
              <w:rPr>
                <w:rFonts w:hint="eastAsia" w:ascii="Times New Roman" w:hAnsi="Times New Roman" w:eastAsia="宋体" w:cs="Times New Roman"/>
                <w:b/>
                <w:bCs/>
                <w:color w:val="auto"/>
                <w:sz w:val="24"/>
              </w:rPr>
              <w:t>2.1.2产品方案</w:t>
            </w:r>
          </w:p>
          <w:p w14:paraId="10EF5834">
            <w:pPr>
              <w:keepNext w:val="0"/>
              <w:keepLines w:val="0"/>
              <w:suppressLineNumbers w:val="0"/>
              <w:spacing w:before="0" w:beforeAutospacing="0" w:after="0" w:afterAutospacing="0"/>
              <w:ind w:left="0" w:right="0"/>
              <w:jc w:val="center"/>
              <w:rPr>
                <w:rFonts w:hint="default" w:ascii="Times New Roman" w:hAnsi="Times New Roman" w:eastAsia="宋体" w:cs="Times New Roman"/>
                <w:b/>
                <w:bCs/>
                <w:color w:val="auto"/>
              </w:rPr>
            </w:pPr>
            <w:r>
              <w:rPr>
                <w:rFonts w:hint="eastAsia" w:ascii="Times New Roman" w:hAnsi="Times New Roman" w:eastAsia="宋体" w:cs="Times New Roman"/>
                <w:b/>
                <w:bCs/>
                <w:color w:val="auto"/>
              </w:rPr>
              <w:t>表</w:t>
            </w:r>
            <w:r>
              <w:rPr>
                <w:rFonts w:hint="default" w:ascii="Times New Roman" w:hAnsi="Times New Roman" w:eastAsia="宋体" w:cs="Times New Roman"/>
                <w:b/>
                <w:bCs/>
                <w:color w:val="auto"/>
              </w:rPr>
              <w:t>2-</w:t>
            </w:r>
            <w:r>
              <w:rPr>
                <w:rFonts w:hint="eastAsia" w:ascii="Times New Roman" w:hAnsi="Times New Roman" w:eastAsia="宋体" w:cs="Times New Roman"/>
                <w:b/>
                <w:bCs/>
                <w:color w:val="auto"/>
                <w:lang w:val="en-US" w:eastAsia="zh-CN"/>
              </w:rPr>
              <w:t>4</w:t>
            </w:r>
            <w:r>
              <w:rPr>
                <w:rFonts w:hint="default" w:ascii="Times New Roman" w:hAnsi="Times New Roman" w:eastAsia="宋体" w:cs="Times New Roman"/>
                <w:b/>
                <w:bCs/>
                <w:color w:val="auto"/>
              </w:rPr>
              <w:t xml:space="preserve"> </w:t>
            </w:r>
            <w:r>
              <w:rPr>
                <w:rFonts w:hint="eastAsia" w:ascii="Times New Roman" w:hAnsi="Times New Roman" w:eastAsia="宋体" w:cs="Times New Roman"/>
                <w:b/>
                <w:bCs/>
                <w:color w:val="auto"/>
              </w:rPr>
              <w:t xml:space="preserve"> 项目方案一览表</w:t>
            </w:r>
          </w:p>
          <w:tbl>
            <w:tblPr>
              <w:tblStyle w:val="23"/>
              <w:tblW w:w="1199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31"/>
              <w:gridCol w:w="1515"/>
              <w:gridCol w:w="1920"/>
              <w:gridCol w:w="1395"/>
              <w:gridCol w:w="1470"/>
              <w:gridCol w:w="1444"/>
              <w:gridCol w:w="1274"/>
              <w:gridCol w:w="1274"/>
              <w:gridCol w:w="1274"/>
            </w:tblGrid>
            <w:tr w14:paraId="7C84DA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3"/>
                <w:wAfter w:w="3822" w:type="dxa"/>
                <w:trHeight w:val="90" w:hRule="atLeast"/>
              </w:trPr>
              <w:tc>
                <w:tcPr>
                  <w:tcW w:w="431" w:type="dxa"/>
                  <w:vMerge w:val="restart"/>
                  <w:vAlign w:val="center"/>
                </w:tcPr>
                <w:p w14:paraId="4917734B">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r>
                    <w:rPr>
                      <w:rFonts w:hint="default" w:ascii="Times New Roman" w:hAnsi="Times New Roman" w:eastAsia="宋体" w:cs="Times New Roman"/>
                      <w:b/>
                      <w:bCs/>
                      <w:color w:val="auto"/>
                      <w:szCs w:val="21"/>
                    </w:rPr>
                    <w:t>序号</w:t>
                  </w:r>
                </w:p>
              </w:tc>
              <w:tc>
                <w:tcPr>
                  <w:tcW w:w="1515" w:type="dxa"/>
                  <w:vMerge w:val="restart"/>
                  <w:vAlign w:val="center"/>
                </w:tcPr>
                <w:p w14:paraId="23AEEB20">
                  <w:pPr>
                    <w:keepNext w:val="0"/>
                    <w:keepLines w:val="0"/>
                    <w:suppressLineNumbers w:val="0"/>
                    <w:spacing w:before="0" w:beforeAutospacing="0" w:after="0" w:afterAutospacing="0"/>
                    <w:ind w:left="0" w:right="0"/>
                    <w:jc w:val="center"/>
                    <w:rPr>
                      <w:rFonts w:hint="default" w:ascii="Times New Roman" w:hAnsi="Times New Roman" w:eastAsia="宋体" w:cs="Times New Roman"/>
                      <w:b/>
                      <w:bCs/>
                      <w:color w:val="auto"/>
                      <w:szCs w:val="21"/>
                    </w:rPr>
                  </w:pPr>
                  <w:r>
                    <w:rPr>
                      <w:rFonts w:hint="default" w:ascii="Times New Roman" w:hAnsi="Times New Roman" w:eastAsia="宋体" w:cs="Times New Roman"/>
                      <w:b/>
                      <w:bCs/>
                      <w:color w:val="auto"/>
                      <w:szCs w:val="21"/>
                    </w:rPr>
                    <w:t>产品名称</w:t>
                  </w:r>
                </w:p>
              </w:tc>
              <w:tc>
                <w:tcPr>
                  <w:tcW w:w="1920" w:type="dxa"/>
                  <w:vMerge w:val="restart"/>
                  <w:vAlign w:val="center"/>
                </w:tcPr>
                <w:p w14:paraId="087EED2A">
                  <w:pPr>
                    <w:keepNext w:val="0"/>
                    <w:keepLines w:val="0"/>
                    <w:suppressLineNumbers w:val="0"/>
                    <w:spacing w:before="0" w:beforeAutospacing="0" w:after="0" w:afterAutospacing="0"/>
                    <w:ind w:left="0" w:right="0"/>
                    <w:jc w:val="center"/>
                    <w:rPr>
                      <w:rFonts w:hint="default" w:ascii="Times New Roman" w:hAnsi="Times New Roman" w:eastAsia="宋体" w:cs="Times New Roman"/>
                      <w:b/>
                      <w:bCs/>
                      <w:color w:val="auto"/>
                      <w:szCs w:val="21"/>
                    </w:rPr>
                  </w:pPr>
                  <w:r>
                    <w:rPr>
                      <w:rFonts w:hint="default" w:ascii="Times New Roman" w:hAnsi="Times New Roman" w:eastAsia="宋体" w:cs="Times New Roman"/>
                      <w:b/>
                      <w:bCs/>
                      <w:color w:val="auto"/>
                      <w:szCs w:val="21"/>
                    </w:rPr>
                    <w:t>代表规格</w:t>
                  </w:r>
                </w:p>
              </w:tc>
              <w:tc>
                <w:tcPr>
                  <w:tcW w:w="2865" w:type="dxa"/>
                  <w:gridSpan w:val="2"/>
                  <w:vAlign w:val="center"/>
                </w:tcPr>
                <w:p w14:paraId="7DE7D5BE">
                  <w:pPr>
                    <w:keepNext w:val="0"/>
                    <w:keepLines w:val="0"/>
                    <w:suppressLineNumbers w:val="0"/>
                    <w:spacing w:before="0" w:beforeAutospacing="0" w:after="0" w:afterAutospacing="0"/>
                    <w:ind w:left="0" w:right="0"/>
                    <w:jc w:val="center"/>
                    <w:rPr>
                      <w:rFonts w:hint="default" w:ascii="Times New Roman" w:hAnsi="Times New Roman" w:eastAsia="宋体" w:cs="Times New Roman"/>
                      <w:b/>
                      <w:bCs/>
                      <w:color w:val="auto"/>
                      <w:szCs w:val="21"/>
                    </w:rPr>
                  </w:pPr>
                  <w:r>
                    <w:rPr>
                      <w:rFonts w:hint="default" w:ascii="Times New Roman" w:hAnsi="Times New Roman" w:eastAsia="宋体" w:cs="Times New Roman"/>
                      <w:b/>
                      <w:bCs/>
                      <w:color w:val="auto"/>
                      <w:szCs w:val="21"/>
                      <w:lang w:val="en-US" w:eastAsia="zh-CN"/>
                    </w:rPr>
                    <w:t>扩建前</w:t>
                  </w:r>
                  <w:r>
                    <w:rPr>
                      <w:rFonts w:hint="default" w:ascii="Times New Roman" w:hAnsi="Times New Roman" w:eastAsia="宋体" w:cs="Times New Roman"/>
                      <w:b/>
                      <w:bCs/>
                      <w:color w:val="auto"/>
                      <w:szCs w:val="21"/>
                    </w:rPr>
                    <w:t>年产能</w:t>
                  </w:r>
                </w:p>
              </w:tc>
              <w:tc>
                <w:tcPr>
                  <w:tcW w:w="1444" w:type="dxa"/>
                  <w:vMerge w:val="restart"/>
                  <w:vAlign w:val="center"/>
                </w:tcPr>
                <w:p w14:paraId="117948A1">
                  <w:pPr>
                    <w:keepNext w:val="0"/>
                    <w:keepLines w:val="0"/>
                    <w:suppressLineNumbers w:val="0"/>
                    <w:spacing w:before="0" w:beforeAutospacing="0" w:after="0" w:afterAutospacing="0"/>
                    <w:ind w:left="0" w:right="0"/>
                    <w:jc w:val="center"/>
                    <w:rPr>
                      <w:rFonts w:hint="default" w:ascii="Times New Roman" w:hAnsi="Times New Roman" w:eastAsia="宋体" w:cs="Times New Roman"/>
                      <w:b/>
                      <w:bCs/>
                      <w:color w:val="auto"/>
                      <w:szCs w:val="21"/>
                    </w:rPr>
                  </w:pPr>
                  <w:r>
                    <w:rPr>
                      <w:rFonts w:hint="default" w:ascii="Times New Roman" w:hAnsi="Times New Roman" w:eastAsia="宋体" w:cs="Times New Roman"/>
                      <w:b/>
                      <w:bCs/>
                      <w:color w:val="0000FF"/>
                      <w:szCs w:val="21"/>
                      <w:lang w:val="en-US" w:eastAsia="zh-CN"/>
                    </w:rPr>
                    <w:t>扩建后全厂年产能</w:t>
                  </w:r>
                </w:p>
              </w:tc>
            </w:tr>
            <w:tr w14:paraId="473928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3"/>
                <w:wAfter w:w="3822" w:type="dxa"/>
                <w:trHeight w:val="172" w:hRule="atLeast"/>
              </w:trPr>
              <w:tc>
                <w:tcPr>
                  <w:tcW w:w="431" w:type="dxa"/>
                  <w:vMerge w:val="continue"/>
                  <w:vAlign w:val="center"/>
                </w:tcPr>
                <w:p w14:paraId="63BF72D3">
                  <w:pPr>
                    <w:keepNext w:val="0"/>
                    <w:keepLines w:val="0"/>
                    <w:suppressLineNumbers w:val="0"/>
                    <w:spacing w:before="0" w:beforeAutospacing="0" w:after="0" w:afterAutospacing="0"/>
                    <w:ind w:left="0" w:right="0"/>
                    <w:jc w:val="center"/>
                    <w:rPr>
                      <w:rFonts w:hint="eastAsia" w:ascii="Times New Roman" w:hAnsi="Times New Roman" w:eastAsia="宋体" w:cs="Times New Roman"/>
                      <w:b/>
                      <w:bCs/>
                      <w:color w:val="auto"/>
                      <w:szCs w:val="21"/>
                      <w:lang w:eastAsia="zh-CN"/>
                    </w:rPr>
                  </w:pPr>
                </w:p>
              </w:tc>
              <w:tc>
                <w:tcPr>
                  <w:tcW w:w="1515" w:type="dxa"/>
                  <w:vMerge w:val="continue"/>
                  <w:shd w:val="clear" w:color="auto" w:fill="auto"/>
                  <w:vAlign w:val="center"/>
                </w:tcPr>
                <w:p w14:paraId="42AF91A3">
                  <w:pPr>
                    <w:keepNext w:val="0"/>
                    <w:keepLines w:val="0"/>
                    <w:suppressLineNumbers w:val="0"/>
                    <w:adjustRightInd/>
                    <w:spacing w:before="0" w:beforeAutospacing="0" w:after="0" w:afterAutospacing="0" w:line="240" w:lineRule="auto"/>
                    <w:ind w:left="0" w:right="0" w:firstLine="0" w:firstLineChars="0"/>
                    <w:jc w:val="center"/>
                    <w:rPr>
                      <w:rFonts w:hint="default" w:ascii="Times New Roman" w:hAnsi="Times New Roman" w:eastAsia="宋体" w:cs="Times New Roman"/>
                      <w:b w:val="0"/>
                      <w:bCs w:val="0"/>
                      <w:color w:val="auto"/>
                      <w:sz w:val="21"/>
                      <w:szCs w:val="21"/>
                      <w:highlight w:val="none"/>
                      <w:lang w:val="en-US" w:eastAsia="zh-CN"/>
                    </w:rPr>
                  </w:pPr>
                </w:p>
              </w:tc>
              <w:tc>
                <w:tcPr>
                  <w:tcW w:w="1920" w:type="dxa"/>
                  <w:vMerge w:val="continue"/>
                  <w:shd w:val="clear" w:color="auto" w:fill="auto"/>
                  <w:vAlign w:val="center"/>
                </w:tcPr>
                <w:p w14:paraId="1B1E6B48">
                  <w:pPr>
                    <w:keepNext w:val="0"/>
                    <w:keepLines w:val="0"/>
                    <w:suppressLineNumbers w:val="0"/>
                    <w:adjustRightInd/>
                    <w:spacing w:before="0" w:beforeAutospacing="0" w:after="0" w:afterAutospacing="0" w:line="240" w:lineRule="auto"/>
                    <w:ind w:left="0" w:right="0" w:firstLine="0" w:firstLineChars="0"/>
                    <w:jc w:val="center"/>
                    <w:rPr>
                      <w:rFonts w:hint="default" w:ascii="Times New Roman" w:hAnsi="Times New Roman" w:eastAsia="宋体" w:cs="Times New Roman"/>
                      <w:b w:val="0"/>
                      <w:bCs w:val="0"/>
                      <w:color w:val="auto"/>
                      <w:sz w:val="21"/>
                      <w:szCs w:val="21"/>
                      <w:highlight w:val="none"/>
                      <w:lang w:val="en-US" w:eastAsia="zh-CN"/>
                    </w:rPr>
                  </w:pPr>
                </w:p>
              </w:tc>
              <w:tc>
                <w:tcPr>
                  <w:tcW w:w="1395" w:type="dxa"/>
                  <w:shd w:val="clear" w:color="auto" w:fill="auto"/>
                  <w:vAlign w:val="center"/>
                </w:tcPr>
                <w:p w14:paraId="4BB9F023">
                  <w:pPr>
                    <w:keepNext w:val="0"/>
                    <w:keepLines w:val="0"/>
                    <w:suppressLineNumbers w:val="0"/>
                    <w:spacing w:before="0" w:beforeAutospacing="0" w:after="0" w:afterAutospacing="0"/>
                    <w:ind w:left="0" w:leftChars="0" w:right="0" w:rightChars="0"/>
                    <w:jc w:val="center"/>
                    <w:rPr>
                      <w:rFonts w:hint="eastAsia" w:ascii="Times New Roman" w:hAnsi="Times New Roman" w:eastAsia="宋体" w:cs="Times New Roman"/>
                      <w:b/>
                      <w:bCs/>
                      <w:color w:val="0000FF"/>
                      <w:kern w:val="2"/>
                      <w:sz w:val="21"/>
                      <w:szCs w:val="21"/>
                      <w:highlight w:val="none"/>
                      <w:lang w:val="en-US" w:eastAsia="zh-CN" w:bidi="ar-SA"/>
                    </w:rPr>
                  </w:pPr>
                  <w:r>
                    <w:rPr>
                      <w:rFonts w:hint="eastAsia" w:ascii="Times New Roman" w:hAnsi="Times New Roman" w:eastAsia="宋体" w:cs="Times New Roman"/>
                      <w:b/>
                      <w:bCs/>
                      <w:color w:val="0000FF"/>
                      <w:szCs w:val="21"/>
                      <w:highlight w:val="none"/>
                      <w:lang w:val="en-US" w:eastAsia="zh-CN"/>
                    </w:rPr>
                    <w:t>审批</w:t>
                  </w:r>
                </w:p>
              </w:tc>
              <w:tc>
                <w:tcPr>
                  <w:tcW w:w="1470" w:type="dxa"/>
                  <w:shd w:val="clear" w:color="auto" w:fill="auto"/>
                  <w:vAlign w:val="center"/>
                </w:tcPr>
                <w:p w14:paraId="4B61F445">
                  <w:pPr>
                    <w:keepNext w:val="0"/>
                    <w:keepLines w:val="0"/>
                    <w:suppressLineNumbers w:val="0"/>
                    <w:spacing w:before="0" w:beforeAutospacing="0" w:after="0" w:afterAutospacing="0"/>
                    <w:ind w:left="0" w:leftChars="0" w:right="0" w:rightChars="0"/>
                    <w:jc w:val="center"/>
                    <w:rPr>
                      <w:rFonts w:hint="eastAsia" w:ascii="Times New Roman" w:hAnsi="Times New Roman" w:eastAsia="宋体" w:cs="Times New Roman"/>
                      <w:b/>
                      <w:bCs/>
                      <w:color w:val="0000FF"/>
                      <w:kern w:val="2"/>
                      <w:sz w:val="21"/>
                      <w:szCs w:val="21"/>
                      <w:highlight w:val="none"/>
                      <w:lang w:val="en-US" w:eastAsia="zh-CN" w:bidi="ar-SA"/>
                    </w:rPr>
                  </w:pPr>
                  <w:r>
                    <w:rPr>
                      <w:rFonts w:hint="eastAsia" w:ascii="Times New Roman" w:hAnsi="Times New Roman" w:eastAsia="宋体" w:cs="Times New Roman"/>
                      <w:b/>
                      <w:bCs/>
                      <w:color w:val="0000FF"/>
                      <w:szCs w:val="21"/>
                      <w:highlight w:val="none"/>
                      <w:lang w:val="en-US" w:eastAsia="zh-CN"/>
                    </w:rPr>
                    <w:t>验收</w:t>
                  </w:r>
                </w:p>
              </w:tc>
              <w:tc>
                <w:tcPr>
                  <w:tcW w:w="1444" w:type="dxa"/>
                  <w:vMerge w:val="continue"/>
                  <w:vAlign w:val="center"/>
                </w:tcPr>
                <w:p w14:paraId="57670984">
                  <w:pPr>
                    <w:keepNext w:val="0"/>
                    <w:keepLines w:val="0"/>
                    <w:suppressLineNumbers w:val="0"/>
                    <w:spacing w:before="0" w:beforeAutospacing="0" w:after="0" w:afterAutospacing="0"/>
                    <w:ind w:left="0" w:right="0"/>
                    <w:jc w:val="center"/>
                    <w:rPr>
                      <w:rFonts w:hint="default" w:ascii="Times New Roman" w:hAnsi="Times New Roman" w:eastAsia="宋体" w:cs="Times New Roman"/>
                      <w:b/>
                      <w:bCs/>
                      <w:color w:val="auto"/>
                      <w:szCs w:val="21"/>
                    </w:rPr>
                  </w:pPr>
                </w:p>
              </w:tc>
            </w:tr>
            <w:tr w14:paraId="4A002F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3"/>
                <w:wAfter w:w="3822" w:type="dxa"/>
                <w:trHeight w:val="437" w:hRule="atLeast"/>
              </w:trPr>
              <w:tc>
                <w:tcPr>
                  <w:tcW w:w="8175" w:type="dxa"/>
                  <w:gridSpan w:val="6"/>
                  <w:vAlign w:val="center"/>
                </w:tcPr>
                <w:p w14:paraId="2B942DF1">
                  <w:pPr>
                    <w:keepNext w:val="0"/>
                    <w:keepLines w:val="0"/>
                    <w:suppressLineNumbers w:val="0"/>
                    <w:spacing w:before="0" w:beforeAutospacing="0" w:after="0" w:afterAutospacing="0"/>
                    <w:ind w:left="0" w:right="0"/>
                    <w:jc w:val="center"/>
                    <w:rPr>
                      <w:rFonts w:hint="default" w:ascii="Times New Roman" w:hAnsi="Times New Roman" w:eastAsia="宋体" w:cs="Times New Roman"/>
                      <w:b/>
                      <w:bCs/>
                      <w:color w:val="0000E1"/>
                      <w:szCs w:val="21"/>
                      <w:lang w:val="en-US" w:eastAsia="zh-CN"/>
                    </w:rPr>
                  </w:pPr>
                  <w:r>
                    <w:rPr>
                      <w:rFonts w:hint="default" w:ascii="Times New Roman" w:hAnsi="Times New Roman" w:eastAsia="宋体" w:cs="Times New Roman"/>
                      <w:b/>
                      <w:bCs/>
                      <w:color w:val="0000E1"/>
                      <w:szCs w:val="21"/>
                    </w:rPr>
                    <w:t>年产1000万平方米新能源汽车零部件（有机硅组件）建设项目</w:t>
                  </w:r>
                  <w:r>
                    <w:rPr>
                      <w:rFonts w:hint="eastAsia" w:ascii="Times New Roman" w:hAnsi="Times New Roman" w:eastAsia="宋体" w:cs="Times New Roman"/>
                      <w:b/>
                      <w:bCs/>
                      <w:color w:val="0000E1"/>
                      <w:szCs w:val="21"/>
                      <w:lang w:eastAsia="zh-CN"/>
                    </w:rPr>
                    <w:t>（</w:t>
                  </w:r>
                  <w:r>
                    <w:rPr>
                      <w:rFonts w:hint="eastAsia" w:ascii="Times New Roman" w:hAnsi="Times New Roman" w:eastAsia="宋体" w:cs="Times New Roman"/>
                      <w:b/>
                      <w:bCs/>
                      <w:color w:val="0000E1"/>
                      <w:szCs w:val="21"/>
                      <w:lang w:val="en-US" w:eastAsia="zh-CN"/>
                    </w:rPr>
                    <w:t>现有项目</w:t>
                  </w:r>
                  <w:r>
                    <w:rPr>
                      <w:rFonts w:hint="eastAsia" w:ascii="Times New Roman" w:hAnsi="Times New Roman" w:eastAsia="宋体" w:cs="Times New Roman"/>
                      <w:b/>
                      <w:bCs/>
                      <w:color w:val="0000E1"/>
                      <w:szCs w:val="21"/>
                      <w:lang w:eastAsia="zh-CN"/>
                    </w:rPr>
                    <w:t>）</w:t>
                  </w:r>
                </w:p>
              </w:tc>
            </w:tr>
            <w:tr w14:paraId="08892F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3"/>
                <w:wAfter w:w="3822" w:type="dxa"/>
                <w:trHeight w:val="437" w:hRule="atLeast"/>
              </w:trPr>
              <w:tc>
                <w:tcPr>
                  <w:tcW w:w="431" w:type="dxa"/>
                  <w:vAlign w:val="center"/>
                </w:tcPr>
                <w:p w14:paraId="31B28B14">
                  <w:pPr>
                    <w:keepNext w:val="0"/>
                    <w:keepLines w:val="0"/>
                    <w:suppressLineNumbers w:val="0"/>
                    <w:spacing w:before="0" w:beforeAutospacing="0" w:after="0" w:afterAutospacing="0"/>
                    <w:ind w:left="0" w:right="0"/>
                    <w:jc w:val="center"/>
                    <w:rPr>
                      <w:rFonts w:hint="default" w:ascii="Times New Roman" w:hAnsi="Times New Roman" w:eastAsia="宋体" w:cs="Times New Roman"/>
                      <w:b w:val="0"/>
                      <w:bCs w:val="0"/>
                      <w:color w:val="0000E1"/>
                      <w:szCs w:val="21"/>
                      <w:lang w:val="en-US" w:eastAsia="zh-CN"/>
                    </w:rPr>
                  </w:pPr>
                  <w:r>
                    <w:rPr>
                      <w:rFonts w:hint="eastAsia" w:ascii="Times New Roman" w:hAnsi="Times New Roman" w:eastAsia="宋体" w:cs="Times New Roman"/>
                      <w:b w:val="0"/>
                      <w:bCs w:val="0"/>
                      <w:color w:val="0000E1"/>
                      <w:szCs w:val="21"/>
                      <w:lang w:val="en-US" w:eastAsia="zh-CN"/>
                    </w:rPr>
                    <w:t>1</w:t>
                  </w:r>
                </w:p>
              </w:tc>
              <w:tc>
                <w:tcPr>
                  <w:tcW w:w="1515" w:type="dxa"/>
                  <w:shd w:val="clear" w:color="auto" w:fill="auto"/>
                  <w:vAlign w:val="center"/>
                </w:tcPr>
                <w:p w14:paraId="6A77D84F">
                  <w:pPr>
                    <w:keepNext w:val="0"/>
                    <w:keepLines w:val="0"/>
                    <w:suppressLineNumbers w:val="0"/>
                    <w:adjustRightInd/>
                    <w:spacing w:before="0" w:beforeAutospacing="0" w:after="0" w:afterAutospacing="0" w:line="240" w:lineRule="auto"/>
                    <w:ind w:left="0" w:right="0" w:firstLine="0" w:firstLineChars="0"/>
                    <w:jc w:val="center"/>
                    <w:rPr>
                      <w:rFonts w:hint="eastAsia" w:ascii="Times New Roman" w:hAnsi="Times New Roman" w:eastAsia="宋体" w:cs="Times New Roman"/>
                      <w:b w:val="0"/>
                      <w:bCs w:val="0"/>
                      <w:color w:val="0000E1"/>
                      <w:kern w:val="2"/>
                      <w:sz w:val="21"/>
                      <w:szCs w:val="21"/>
                      <w:highlight w:val="none"/>
                      <w:lang w:val="en-US" w:eastAsia="zh-CN" w:bidi="ar-SA"/>
                    </w:rPr>
                  </w:pPr>
                  <w:r>
                    <w:rPr>
                      <w:rFonts w:hint="default" w:ascii="Times New Roman" w:hAnsi="Times New Roman" w:eastAsia="宋体" w:cs="Times New Roman"/>
                      <w:b w:val="0"/>
                      <w:bCs w:val="0"/>
                      <w:color w:val="0000E1"/>
                      <w:sz w:val="21"/>
                      <w:szCs w:val="21"/>
                      <w:highlight w:val="none"/>
                      <w:lang w:val="en-US" w:eastAsia="zh-CN"/>
                    </w:rPr>
                    <w:t>多孔类片材</w:t>
                  </w:r>
                </w:p>
              </w:tc>
              <w:tc>
                <w:tcPr>
                  <w:tcW w:w="1920" w:type="dxa"/>
                  <w:shd w:val="clear" w:color="auto" w:fill="auto"/>
                  <w:vAlign w:val="center"/>
                </w:tcPr>
                <w:p w14:paraId="36441132">
                  <w:pPr>
                    <w:keepNext w:val="0"/>
                    <w:keepLines w:val="0"/>
                    <w:suppressLineNumbers w:val="0"/>
                    <w:adjustRightInd/>
                    <w:spacing w:before="0" w:beforeAutospacing="0" w:after="0" w:afterAutospacing="0" w:line="240" w:lineRule="auto"/>
                    <w:ind w:left="0" w:right="0" w:firstLine="0" w:firstLineChars="0"/>
                    <w:jc w:val="center"/>
                    <w:rPr>
                      <w:rFonts w:hint="default" w:ascii="Times New Roman" w:hAnsi="Times New Roman" w:eastAsia="宋体" w:cs="Times New Roman"/>
                      <w:b w:val="0"/>
                      <w:bCs w:val="0"/>
                      <w:color w:val="0000E1"/>
                      <w:sz w:val="21"/>
                      <w:szCs w:val="21"/>
                      <w:highlight w:val="none"/>
                      <w:lang w:val="en-US" w:eastAsia="zh-CN"/>
                    </w:rPr>
                  </w:pPr>
                  <w:r>
                    <w:rPr>
                      <w:rFonts w:hint="default" w:ascii="Times New Roman" w:hAnsi="Times New Roman" w:eastAsia="宋体" w:cs="Times New Roman"/>
                      <w:b w:val="0"/>
                      <w:bCs w:val="0"/>
                      <w:color w:val="0000E1"/>
                      <w:sz w:val="21"/>
                      <w:szCs w:val="21"/>
                      <w:highlight w:val="none"/>
                      <w:lang w:val="en-US" w:eastAsia="zh-CN"/>
                    </w:rPr>
                    <w:t>厚度：5mm</w:t>
                  </w:r>
                </w:p>
                <w:p w14:paraId="408779CA">
                  <w:pPr>
                    <w:keepNext w:val="0"/>
                    <w:keepLines w:val="0"/>
                    <w:suppressLineNumbers w:val="0"/>
                    <w:adjustRightInd/>
                    <w:spacing w:before="0" w:beforeAutospacing="0" w:after="0" w:afterAutospacing="0" w:line="240" w:lineRule="auto"/>
                    <w:ind w:left="0" w:right="0" w:firstLine="0" w:firstLineChars="0"/>
                    <w:jc w:val="center"/>
                    <w:rPr>
                      <w:rFonts w:hint="eastAsia" w:ascii="Times New Roman" w:hAnsi="Times New Roman" w:eastAsia="宋体" w:cs="Times New Roman"/>
                      <w:b w:val="0"/>
                      <w:bCs w:val="0"/>
                      <w:color w:val="0000E1"/>
                      <w:kern w:val="2"/>
                      <w:sz w:val="21"/>
                      <w:szCs w:val="21"/>
                      <w:highlight w:val="none"/>
                      <w:lang w:val="en-US" w:eastAsia="zh-CN" w:bidi="ar-SA"/>
                    </w:rPr>
                  </w:pPr>
                  <w:r>
                    <w:rPr>
                      <w:rFonts w:hint="default" w:ascii="Times New Roman" w:hAnsi="Times New Roman" w:eastAsia="宋体" w:cs="Times New Roman"/>
                      <w:b w:val="0"/>
                      <w:bCs w:val="0"/>
                      <w:color w:val="0000E1"/>
                      <w:sz w:val="21"/>
                      <w:szCs w:val="21"/>
                      <w:highlight w:val="none"/>
                      <w:lang w:val="en-US" w:eastAsia="zh-CN"/>
                    </w:rPr>
                    <w:t>面密度：1400g/m²</w:t>
                  </w:r>
                </w:p>
              </w:tc>
              <w:tc>
                <w:tcPr>
                  <w:tcW w:w="1395" w:type="dxa"/>
                  <w:shd w:val="clear" w:color="auto" w:fill="auto"/>
                  <w:vAlign w:val="center"/>
                </w:tcPr>
                <w:p w14:paraId="5310C7C4">
                  <w:pPr>
                    <w:keepNext w:val="0"/>
                    <w:keepLines w:val="0"/>
                    <w:suppressLineNumbers w:val="0"/>
                    <w:adjustRightInd/>
                    <w:spacing w:before="0" w:beforeAutospacing="0" w:after="0" w:afterAutospacing="0" w:line="240" w:lineRule="auto"/>
                    <w:ind w:left="0" w:right="0" w:firstLine="0" w:firstLineChars="0"/>
                    <w:jc w:val="center"/>
                    <w:rPr>
                      <w:rFonts w:hint="default" w:ascii="Times New Roman" w:hAnsi="Times New Roman" w:eastAsia="宋体" w:cs="Times New Roman"/>
                      <w:b w:val="0"/>
                      <w:bCs w:val="0"/>
                      <w:color w:val="0000E1"/>
                      <w:sz w:val="21"/>
                      <w:szCs w:val="21"/>
                      <w:highlight w:val="none"/>
                      <w:lang w:val="en-US" w:eastAsia="zh-CN"/>
                    </w:rPr>
                  </w:pPr>
                  <w:r>
                    <w:rPr>
                      <w:rFonts w:hint="default" w:ascii="Times New Roman" w:hAnsi="Times New Roman" w:eastAsia="宋体" w:cs="Times New Roman"/>
                      <w:b w:val="0"/>
                      <w:bCs w:val="0"/>
                      <w:color w:val="0000E1"/>
                      <w:sz w:val="21"/>
                      <w:szCs w:val="21"/>
                      <w:highlight w:val="none"/>
                      <w:lang w:val="en-US" w:eastAsia="zh-CN"/>
                    </w:rPr>
                    <w:t>700万m²</w:t>
                  </w:r>
                </w:p>
                <w:p w14:paraId="2F6C976F">
                  <w:pPr>
                    <w:keepNext w:val="0"/>
                    <w:keepLines w:val="0"/>
                    <w:suppressLineNumbers w:val="0"/>
                    <w:adjustRightInd/>
                    <w:spacing w:before="0" w:beforeAutospacing="0" w:after="0" w:afterAutospacing="0" w:line="240" w:lineRule="auto"/>
                    <w:ind w:left="0" w:right="0" w:firstLine="0" w:firstLineChars="0"/>
                    <w:jc w:val="center"/>
                    <w:rPr>
                      <w:rFonts w:hint="eastAsia" w:ascii="Times New Roman" w:hAnsi="Times New Roman" w:eastAsia="宋体" w:cs="Times New Roman"/>
                      <w:b w:val="0"/>
                      <w:bCs w:val="0"/>
                      <w:color w:val="0000E1"/>
                      <w:kern w:val="2"/>
                      <w:sz w:val="21"/>
                      <w:szCs w:val="21"/>
                      <w:highlight w:val="none"/>
                      <w:lang w:val="en-US" w:eastAsia="zh-CN" w:bidi="ar-SA"/>
                    </w:rPr>
                  </w:pPr>
                  <w:r>
                    <w:rPr>
                      <w:rFonts w:hint="default" w:ascii="Times New Roman" w:hAnsi="Times New Roman" w:eastAsia="宋体" w:cs="Times New Roman"/>
                      <w:b w:val="0"/>
                      <w:bCs w:val="0"/>
                      <w:color w:val="0000E1"/>
                      <w:sz w:val="21"/>
                      <w:szCs w:val="21"/>
                      <w:highlight w:val="none"/>
                      <w:lang w:val="en-US" w:eastAsia="zh-CN"/>
                    </w:rPr>
                    <w:t>（折9800t）</w:t>
                  </w:r>
                </w:p>
              </w:tc>
              <w:tc>
                <w:tcPr>
                  <w:tcW w:w="1470" w:type="dxa"/>
                  <w:shd w:val="clear" w:color="auto" w:fill="auto"/>
                  <w:vAlign w:val="center"/>
                </w:tcPr>
                <w:p w14:paraId="3283943A">
                  <w:pPr>
                    <w:keepNext w:val="0"/>
                    <w:keepLines w:val="0"/>
                    <w:suppressLineNumbers w:val="0"/>
                    <w:adjustRightInd/>
                    <w:spacing w:before="0" w:beforeAutospacing="0" w:after="0" w:afterAutospacing="0" w:line="240" w:lineRule="auto"/>
                    <w:ind w:left="0" w:right="0" w:firstLine="0" w:firstLineChars="0"/>
                    <w:jc w:val="center"/>
                    <w:rPr>
                      <w:rFonts w:hint="eastAsia" w:ascii="Times New Roman" w:hAnsi="Times New Roman" w:eastAsia="宋体" w:cs="Times New Roman"/>
                      <w:b w:val="0"/>
                      <w:bCs w:val="0"/>
                      <w:color w:val="0000E1"/>
                      <w:kern w:val="2"/>
                      <w:sz w:val="21"/>
                      <w:szCs w:val="21"/>
                      <w:highlight w:val="none"/>
                      <w:lang w:val="en-US" w:eastAsia="zh-CN" w:bidi="ar-SA"/>
                    </w:rPr>
                  </w:pPr>
                  <w:r>
                    <w:rPr>
                      <w:rFonts w:hint="default" w:ascii="Times New Roman" w:hAnsi="Times New Roman" w:eastAsia="宋体" w:cs="Times New Roman"/>
                      <w:b w:val="0"/>
                      <w:bCs w:val="0"/>
                      <w:color w:val="0000E1"/>
                      <w:sz w:val="21"/>
                      <w:szCs w:val="21"/>
                      <w:highlight w:val="none"/>
                      <w:lang w:val="en-US" w:eastAsia="zh-CN"/>
                    </w:rPr>
                    <w:t>548万m²</w:t>
                  </w:r>
                  <w:r>
                    <w:rPr>
                      <w:rFonts w:hint="eastAsia" w:ascii="Times New Roman" w:hAnsi="Times New Roman" w:eastAsia="宋体" w:cs="Times New Roman"/>
                      <w:b w:val="0"/>
                      <w:bCs w:val="0"/>
                      <w:color w:val="0000E1"/>
                      <w:sz w:val="21"/>
                      <w:szCs w:val="21"/>
                      <w:highlight w:val="none"/>
                      <w:lang w:val="en-US" w:eastAsia="zh-CN"/>
                    </w:rPr>
                    <w:t>（折7672t）</w:t>
                  </w:r>
                </w:p>
              </w:tc>
              <w:tc>
                <w:tcPr>
                  <w:tcW w:w="1444" w:type="dxa"/>
                  <w:shd w:val="clear" w:color="auto" w:fill="auto"/>
                  <w:vAlign w:val="center"/>
                </w:tcPr>
                <w:p w14:paraId="6C8A80D2">
                  <w:pPr>
                    <w:keepNext w:val="0"/>
                    <w:keepLines w:val="0"/>
                    <w:suppressLineNumbers w:val="0"/>
                    <w:adjustRightInd/>
                    <w:spacing w:before="0" w:beforeAutospacing="0" w:after="0" w:afterAutospacing="0" w:line="240" w:lineRule="auto"/>
                    <w:ind w:left="0" w:right="0" w:firstLine="0" w:firstLineChars="0"/>
                    <w:jc w:val="center"/>
                    <w:rPr>
                      <w:rFonts w:hint="default" w:ascii="Times New Roman" w:hAnsi="Times New Roman" w:eastAsia="宋体" w:cs="Times New Roman"/>
                      <w:b w:val="0"/>
                      <w:bCs w:val="0"/>
                      <w:color w:val="0000E1"/>
                      <w:kern w:val="2"/>
                      <w:sz w:val="21"/>
                      <w:szCs w:val="21"/>
                      <w:highlight w:val="none"/>
                      <w:lang w:val="en-US" w:eastAsia="zh-CN" w:bidi="ar-SA"/>
                    </w:rPr>
                  </w:pPr>
                  <w:r>
                    <w:rPr>
                      <w:rFonts w:hint="default" w:ascii="Times New Roman" w:hAnsi="Times New Roman" w:eastAsia="宋体" w:cs="Times New Roman"/>
                      <w:b w:val="0"/>
                      <w:bCs w:val="0"/>
                      <w:color w:val="0000E1"/>
                      <w:sz w:val="21"/>
                      <w:szCs w:val="21"/>
                      <w:highlight w:val="none"/>
                      <w:lang w:val="en-US" w:eastAsia="zh-CN"/>
                    </w:rPr>
                    <w:t>548万m²</w:t>
                  </w:r>
                  <w:r>
                    <w:rPr>
                      <w:rFonts w:hint="eastAsia" w:ascii="Times New Roman" w:hAnsi="Times New Roman" w:eastAsia="宋体" w:cs="Times New Roman"/>
                      <w:b w:val="0"/>
                      <w:bCs w:val="0"/>
                      <w:color w:val="0000E1"/>
                      <w:sz w:val="21"/>
                      <w:szCs w:val="21"/>
                      <w:highlight w:val="none"/>
                      <w:lang w:val="en-US" w:eastAsia="zh-CN"/>
                    </w:rPr>
                    <w:t>（折7672t）</w:t>
                  </w:r>
                </w:p>
              </w:tc>
            </w:tr>
            <w:tr w14:paraId="3B9CE2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3"/>
                <w:wAfter w:w="3822" w:type="dxa"/>
                <w:trHeight w:val="437" w:hRule="atLeast"/>
              </w:trPr>
              <w:tc>
                <w:tcPr>
                  <w:tcW w:w="431" w:type="dxa"/>
                  <w:vAlign w:val="center"/>
                </w:tcPr>
                <w:p w14:paraId="328A8BF4">
                  <w:pPr>
                    <w:keepNext w:val="0"/>
                    <w:keepLines w:val="0"/>
                    <w:suppressLineNumbers w:val="0"/>
                    <w:spacing w:before="0" w:beforeAutospacing="0" w:after="0" w:afterAutospacing="0"/>
                    <w:ind w:left="0" w:right="0"/>
                    <w:jc w:val="center"/>
                    <w:rPr>
                      <w:rFonts w:hint="eastAsia" w:ascii="Times New Roman" w:hAnsi="Times New Roman" w:eastAsia="宋体" w:cs="Times New Roman"/>
                      <w:b w:val="0"/>
                      <w:bCs w:val="0"/>
                      <w:color w:val="0000E1"/>
                      <w:szCs w:val="21"/>
                      <w:lang w:val="en-US" w:eastAsia="zh-CN"/>
                    </w:rPr>
                  </w:pPr>
                  <w:r>
                    <w:rPr>
                      <w:rFonts w:hint="eastAsia" w:ascii="Times New Roman" w:hAnsi="Times New Roman" w:eastAsia="宋体" w:cs="Times New Roman"/>
                      <w:b w:val="0"/>
                      <w:bCs w:val="0"/>
                      <w:color w:val="0000E1"/>
                      <w:szCs w:val="21"/>
                      <w:lang w:val="en-US" w:eastAsia="zh-CN"/>
                    </w:rPr>
                    <w:t>2</w:t>
                  </w:r>
                </w:p>
              </w:tc>
              <w:tc>
                <w:tcPr>
                  <w:tcW w:w="1515" w:type="dxa"/>
                  <w:shd w:val="clear" w:color="auto" w:fill="auto"/>
                  <w:vAlign w:val="center"/>
                </w:tcPr>
                <w:p w14:paraId="62949A1F">
                  <w:pPr>
                    <w:keepNext w:val="0"/>
                    <w:keepLines w:val="0"/>
                    <w:suppressLineNumbers w:val="0"/>
                    <w:adjustRightInd/>
                    <w:spacing w:before="0" w:beforeAutospacing="0" w:after="0" w:afterAutospacing="0" w:line="240" w:lineRule="auto"/>
                    <w:ind w:left="0" w:right="0" w:firstLine="0" w:firstLineChars="0"/>
                    <w:jc w:val="center"/>
                    <w:rPr>
                      <w:rFonts w:hint="default" w:ascii="Times New Roman" w:hAnsi="Times New Roman" w:eastAsia="宋体" w:cs="Times New Roman"/>
                      <w:b w:val="0"/>
                      <w:bCs w:val="0"/>
                      <w:color w:val="0000E1"/>
                      <w:kern w:val="2"/>
                      <w:sz w:val="21"/>
                      <w:szCs w:val="21"/>
                      <w:highlight w:val="none"/>
                      <w:lang w:val="en-US" w:eastAsia="zh-CN" w:bidi="ar-SA"/>
                    </w:rPr>
                  </w:pPr>
                  <w:r>
                    <w:rPr>
                      <w:rFonts w:hint="default" w:ascii="Times New Roman" w:hAnsi="Times New Roman" w:eastAsia="宋体" w:cs="Times New Roman"/>
                      <w:b w:val="0"/>
                      <w:bCs w:val="0"/>
                      <w:color w:val="0000E1"/>
                      <w:sz w:val="21"/>
                      <w:szCs w:val="21"/>
                      <w:highlight w:val="none"/>
                      <w:lang w:val="en-US" w:eastAsia="zh-CN"/>
                    </w:rPr>
                    <w:t>实心片材</w:t>
                  </w:r>
                </w:p>
              </w:tc>
              <w:tc>
                <w:tcPr>
                  <w:tcW w:w="1920" w:type="dxa"/>
                  <w:shd w:val="clear" w:color="auto" w:fill="auto"/>
                  <w:vAlign w:val="center"/>
                </w:tcPr>
                <w:p w14:paraId="3B6E3AB2">
                  <w:pPr>
                    <w:keepNext w:val="0"/>
                    <w:keepLines w:val="0"/>
                    <w:suppressLineNumbers w:val="0"/>
                    <w:adjustRightInd/>
                    <w:spacing w:before="0" w:beforeAutospacing="0" w:after="0" w:afterAutospacing="0" w:line="240" w:lineRule="auto"/>
                    <w:ind w:left="0" w:right="0" w:firstLine="0" w:firstLineChars="0"/>
                    <w:jc w:val="center"/>
                    <w:rPr>
                      <w:rFonts w:hint="default" w:ascii="Times New Roman" w:hAnsi="Times New Roman" w:eastAsia="宋体" w:cs="Times New Roman"/>
                      <w:b w:val="0"/>
                      <w:bCs w:val="0"/>
                      <w:color w:val="0000E1"/>
                      <w:sz w:val="21"/>
                      <w:szCs w:val="21"/>
                      <w:highlight w:val="none"/>
                      <w:lang w:val="en-US" w:eastAsia="zh-CN"/>
                    </w:rPr>
                  </w:pPr>
                  <w:r>
                    <w:rPr>
                      <w:rFonts w:hint="default" w:ascii="Times New Roman" w:hAnsi="Times New Roman" w:eastAsia="宋体" w:cs="Times New Roman"/>
                      <w:b w:val="0"/>
                      <w:bCs w:val="0"/>
                      <w:color w:val="0000E1"/>
                      <w:sz w:val="21"/>
                      <w:szCs w:val="21"/>
                      <w:highlight w:val="none"/>
                      <w:lang w:val="en-US" w:eastAsia="zh-CN"/>
                    </w:rPr>
                    <w:t>厚度：3mm</w:t>
                  </w:r>
                </w:p>
                <w:p w14:paraId="634F8A4C">
                  <w:pPr>
                    <w:keepNext w:val="0"/>
                    <w:keepLines w:val="0"/>
                    <w:suppressLineNumbers w:val="0"/>
                    <w:adjustRightInd/>
                    <w:spacing w:before="0" w:beforeAutospacing="0" w:after="0" w:afterAutospacing="0" w:line="240" w:lineRule="auto"/>
                    <w:ind w:left="0" w:right="0" w:firstLine="0" w:firstLineChars="0"/>
                    <w:jc w:val="center"/>
                    <w:rPr>
                      <w:rFonts w:hint="default" w:ascii="Times New Roman" w:hAnsi="Times New Roman" w:eastAsia="宋体" w:cs="Times New Roman"/>
                      <w:b w:val="0"/>
                      <w:bCs w:val="0"/>
                      <w:color w:val="0000E1"/>
                      <w:kern w:val="2"/>
                      <w:sz w:val="21"/>
                      <w:szCs w:val="21"/>
                      <w:highlight w:val="none"/>
                      <w:lang w:val="en-US" w:eastAsia="zh-CN" w:bidi="ar-SA"/>
                    </w:rPr>
                  </w:pPr>
                  <w:r>
                    <w:rPr>
                      <w:rFonts w:hint="default" w:ascii="Times New Roman" w:hAnsi="Times New Roman" w:eastAsia="宋体" w:cs="Times New Roman"/>
                      <w:b w:val="0"/>
                      <w:bCs w:val="0"/>
                      <w:color w:val="0000E1"/>
                      <w:sz w:val="21"/>
                      <w:szCs w:val="21"/>
                      <w:highlight w:val="none"/>
                      <w:lang w:val="en-US" w:eastAsia="zh-CN"/>
                    </w:rPr>
                    <w:t>面密度：4700g/m²</w:t>
                  </w:r>
                </w:p>
              </w:tc>
              <w:tc>
                <w:tcPr>
                  <w:tcW w:w="1395" w:type="dxa"/>
                  <w:shd w:val="clear" w:color="auto" w:fill="auto"/>
                  <w:vAlign w:val="center"/>
                </w:tcPr>
                <w:p w14:paraId="293457A2">
                  <w:pPr>
                    <w:keepNext w:val="0"/>
                    <w:keepLines w:val="0"/>
                    <w:suppressLineNumbers w:val="0"/>
                    <w:adjustRightInd/>
                    <w:spacing w:before="0" w:beforeAutospacing="0" w:after="0" w:afterAutospacing="0" w:line="240" w:lineRule="auto"/>
                    <w:ind w:left="0" w:right="0" w:firstLine="0" w:firstLineChars="0"/>
                    <w:jc w:val="center"/>
                    <w:rPr>
                      <w:rFonts w:hint="default" w:ascii="Times New Roman" w:hAnsi="Times New Roman" w:eastAsia="宋体" w:cs="Times New Roman"/>
                      <w:b w:val="0"/>
                      <w:bCs w:val="0"/>
                      <w:color w:val="0000E1"/>
                      <w:sz w:val="21"/>
                      <w:szCs w:val="21"/>
                      <w:highlight w:val="none"/>
                      <w:lang w:val="en-US" w:eastAsia="zh-CN"/>
                    </w:rPr>
                  </w:pPr>
                  <w:r>
                    <w:rPr>
                      <w:rFonts w:hint="default" w:ascii="Times New Roman" w:hAnsi="Times New Roman" w:eastAsia="宋体" w:cs="Times New Roman"/>
                      <w:b w:val="0"/>
                      <w:bCs w:val="0"/>
                      <w:color w:val="0000E1"/>
                      <w:sz w:val="21"/>
                      <w:szCs w:val="21"/>
                      <w:highlight w:val="none"/>
                      <w:lang w:val="en-US" w:eastAsia="zh-CN"/>
                    </w:rPr>
                    <w:t>100万m²</w:t>
                  </w:r>
                </w:p>
                <w:p w14:paraId="49190DB4">
                  <w:pPr>
                    <w:keepNext w:val="0"/>
                    <w:keepLines w:val="0"/>
                    <w:suppressLineNumbers w:val="0"/>
                    <w:adjustRightInd/>
                    <w:spacing w:before="0" w:beforeAutospacing="0" w:after="0" w:afterAutospacing="0" w:line="240" w:lineRule="auto"/>
                    <w:ind w:left="0" w:right="0" w:firstLine="0" w:firstLineChars="0"/>
                    <w:jc w:val="center"/>
                    <w:rPr>
                      <w:rFonts w:hint="default" w:ascii="Times New Roman" w:hAnsi="Times New Roman" w:eastAsia="宋体" w:cs="Times New Roman"/>
                      <w:b w:val="0"/>
                      <w:bCs w:val="0"/>
                      <w:color w:val="0000E1"/>
                      <w:kern w:val="2"/>
                      <w:sz w:val="21"/>
                      <w:szCs w:val="21"/>
                      <w:highlight w:val="none"/>
                      <w:lang w:val="en-US" w:eastAsia="zh-CN" w:bidi="ar-SA"/>
                    </w:rPr>
                  </w:pPr>
                  <w:r>
                    <w:rPr>
                      <w:rFonts w:hint="default" w:ascii="Times New Roman" w:hAnsi="Times New Roman" w:eastAsia="宋体" w:cs="Times New Roman"/>
                      <w:b w:val="0"/>
                      <w:bCs w:val="0"/>
                      <w:color w:val="0000E1"/>
                      <w:sz w:val="21"/>
                      <w:szCs w:val="21"/>
                      <w:highlight w:val="none"/>
                      <w:lang w:val="en-US" w:eastAsia="zh-CN"/>
                    </w:rPr>
                    <w:t>（折4700t）</w:t>
                  </w:r>
                </w:p>
              </w:tc>
              <w:tc>
                <w:tcPr>
                  <w:tcW w:w="1470" w:type="dxa"/>
                  <w:shd w:val="clear" w:color="auto" w:fill="auto"/>
                  <w:vAlign w:val="center"/>
                </w:tcPr>
                <w:p w14:paraId="2B18504F">
                  <w:pPr>
                    <w:keepNext w:val="0"/>
                    <w:keepLines w:val="0"/>
                    <w:suppressLineNumbers w:val="0"/>
                    <w:adjustRightInd/>
                    <w:spacing w:before="0" w:beforeAutospacing="0" w:after="0" w:afterAutospacing="0" w:line="240" w:lineRule="auto"/>
                    <w:ind w:left="0" w:right="0" w:firstLine="0" w:firstLineChars="0"/>
                    <w:jc w:val="center"/>
                    <w:rPr>
                      <w:rFonts w:hint="default" w:ascii="Times New Roman" w:hAnsi="Times New Roman" w:eastAsia="宋体" w:cs="Times New Roman"/>
                      <w:b w:val="0"/>
                      <w:bCs w:val="0"/>
                      <w:color w:val="0000E1"/>
                      <w:sz w:val="21"/>
                      <w:szCs w:val="21"/>
                      <w:highlight w:val="none"/>
                      <w:lang w:val="en-US" w:eastAsia="zh-CN"/>
                    </w:rPr>
                  </w:pPr>
                  <w:r>
                    <w:rPr>
                      <w:rFonts w:hint="default" w:ascii="Times New Roman" w:hAnsi="Times New Roman" w:eastAsia="宋体" w:cs="Times New Roman"/>
                      <w:b w:val="0"/>
                      <w:bCs w:val="0"/>
                      <w:color w:val="0000E1"/>
                      <w:sz w:val="21"/>
                      <w:szCs w:val="21"/>
                      <w:highlight w:val="none"/>
                      <w:lang w:val="en-US" w:eastAsia="zh-CN"/>
                    </w:rPr>
                    <w:t>78万m²</w:t>
                  </w:r>
                </w:p>
                <w:p w14:paraId="14FF0EB1">
                  <w:pPr>
                    <w:keepNext w:val="0"/>
                    <w:keepLines w:val="0"/>
                    <w:suppressLineNumbers w:val="0"/>
                    <w:adjustRightInd/>
                    <w:spacing w:before="0" w:beforeAutospacing="0" w:after="0" w:afterAutospacing="0" w:line="240" w:lineRule="auto"/>
                    <w:ind w:left="0" w:right="0" w:firstLine="0" w:firstLineChars="0"/>
                    <w:jc w:val="center"/>
                    <w:rPr>
                      <w:rFonts w:hint="default" w:ascii="Times New Roman" w:hAnsi="Times New Roman" w:eastAsia="宋体" w:cs="Times New Roman"/>
                      <w:b w:val="0"/>
                      <w:bCs w:val="0"/>
                      <w:color w:val="0000E1"/>
                      <w:kern w:val="2"/>
                      <w:sz w:val="21"/>
                      <w:szCs w:val="21"/>
                      <w:highlight w:val="none"/>
                      <w:lang w:val="en-US" w:eastAsia="zh-CN" w:bidi="ar-SA"/>
                    </w:rPr>
                  </w:pPr>
                  <w:r>
                    <w:rPr>
                      <w:rFonts w:hint="eastAsia" w:ascii="Times New Roman" w:hAnsi="Times New Roman" w:eastAsia="宋体" w:cs="Times New Roman"/>
                      <w:b w:val="0"/>
                      <w:bCs w:val="0"/>
                      <w:color w:val="0000E1"/>
                      <w:sz w:val="21"/>
                      <w:szCs w:val="21"/>
                      <w:highlight w:val="none"/>
                      <w:lang w:val="en-US" w:eastAsia="zh-CN"/>
                    </w:rPr>
                    <w:t>（折3666t）</w:t>
                  </w:r>
                </w:p>
              </w:tc>
              <w:tc>
                <w:tcPr>
                  <w:tcW w:w="1444" w:type="dxa"/>
                  <w:shd w:val="clear" w:color="auto" w:fill="auto"/>
                  <w:vAlign w:val="center"/>
                </w:tcPr>
                <w:p w14:paraId="0B92FB07">
                  <w:pPr>
                    <w:keepNext w:val="0"/>
                    <w:keepLines w:val="0"/>
                    <w:suppressLineNumbers w:val="0"/>
                    <w:adjustRightInd/>
                    <w:spacing w:before="0" w:beforeAutospacing="0" w:after="0" w:afterAutospacing="0" w:line="240" w:lineRule="auto"/>
                    <w:ind w:left="0" w:right="0" w:firstLine="0" w:firstLineChars="0"/>
                    <w:jc w:val="center"/>
                    <w:rPr>
                      <w:rFonts w:hint="default" w:ascii="Times New Roman" w:hAnsi="Times New Roman" w:eastAsia="宋体" w:cs="Times New Roman"/>
                      <w:b w:val="0"/>
                      <w:bCs w:val="0"/>
                      <w:color w:val="0000E1"/>
                      <w:sz w:val="21"/>
                      <w:szCs w:val="21"/>
                      <w:highlight w:val="none"/>
                      <w:lang w:val="en-US" w:eastAsia="zh-CN"/>
                    </w:rPr>
                  </w:pPr>
                  <w:r>
                    <w:rPr>
                      <w:rFonts w:hint="default" w:ascii="Times New Roman" w:hAnsi="Times New Roman" w:eastAsia="宋体" w:cs="Times New Roman"/>
                      <w:b w:val="0"/>
                      <w:bCs w:val="0"/>
                      <w:color w:val="0000E1"/>
                      <w:sz w:val="21"/>
                      <w:szCs w:val="21"/>
                      <w:highlight w:val="none"/>
                      <w:lang w:val="en-US" w:eastAsia="zh-CN"/>
                    </w:rPr>
                    <w:t>78万m²</w:t>
                  </w:r>
                </w:p>
                <w:p w14:paraId="1B5C52A3">
                  <w:pPr>
                    <w:keepNext w:val="0"/>
                    <w:keepLines w:val="0"/>
                    <w:suppressLineNumbers w:val="0"/>
                    <w:adjustRightInd/>
                    <w:spacing w:before="0" w:beforeAutospacing="0" w:after="0" w:afterAutospacing="0" w:line="240" w:lineRule="auto"/>
                    <w:ind w:left="0" w:right="0" w:firstLine="0" w:firstLineChars="0"/>
                    <w:jc w:val="center"/>
                    <w:rPr>
                      <w:rFonts w:hint="default" w:ascii="Times New Roman" w:hAnsi="Times New Roman" w:eastAsia="宋体" w:cs="Times New Roman"/>
                      <w:b w:val="0"/>
                      <w:bCs w:val="0"/>
                      <w:color w:val="0000E1"/>
                      <w:kern w:val="2"/>
                      <w:sz w:val="21"/>
                      <w:szCs w:val="21"/>
                      <w:highlight w:val="none"/>
                      <w:lang w:val="en-US" w:eastAsia="zh-CN" w:bidi="ar-SA"/>
                    </w:rPr>
                  </w:pPr>
                  <w:r>
                    <w:rPr>
                      <w:rFonts w:hint="eastAsia" w:ascii="Times New Roman" w:hAnsi="Times New Roman" w:eastAsia="宋体" w:cs="Times New Roman"/>
                      <w:b w:val="0"/>
                      <w:bCs w:val="0"/>
                      <w:color w:val="0000E1"/>
                      <w:sz w:val="21"/>
                      <w:szCs w:val="21"/>
                      <w:highlight w:val="none"/>
                      <w:lang w:val="en-US" w:eastAsia="zh-CN"/>
                    </w:rPr>
                    <w:t>（折3666t）</w:t>
                  </w:r>
                </w:p>
              </w:tc>
            </w:tr>
            <w:tr w14:paraId="269EFD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3"/>
                <w:wAfter w:w="3822" w:type="dxa"/>
                <w:trHeight w:val="437" w:hRule="atLeast"/>
              </w:trPr>
              <w:tc>
                <w:tcPr>
                  <w:tcW w:w="431" w:type="dxa"/>
                  <w:vAlign w:val="center"/>
                </w:tcPr>
                <w:p w14:paraId="3DE9D0F1">
                  <w:pPr>
                    <w:keepNext w:val="0"/>
                    <w:keepLines w:val="0"/>
                    <w:suppressLineNumbers w:val="0"/>
                    <w:spacing w:before="0" w:beforeAutospacing="0" w:after="0" w:afterAutospacing="0"/>
                    <w:ind w:left="0" w:right="0"/>
                    <w:jc w:val="center"/>
                    <w:rPr>
                      <w:rFonts w:hint="eastAsia" w:ascii="Times New Roman" w:hAnsi="Times New Roman" w:eastAsia="宋体" w:cs="Times New Roman"/>
                      <w:b w:val="0"/>
                      <w:bCs w:val="0"/>
                      <w:color w:val="0000E1"/>
                      <w:szCs w:val="21"/>
                      <w:lang w:val="en-US" w:eastAsia="zh-CN"/>
                    </w:rPr>
                  </w:pPr>
                  <w:r>
                    <w:rPr>
                      <w:rFonts w:hint="eastAsia" w:ascii="Times New Roman" w:hAnsi="Times New Roman" w:eastAsia="宋体" w:cs="Times New Roman"/>
                      <w:b w:val="0"/>
                      <w:bCs w:val="0"/>
                      <w:color w:val="0000E1"/>
                      <w:szCs w:val="21"/>
                      <w:lang w:val="en-US" w:eastAsia="zh-CN"/>
                    </w:rPr>
                    <w:t>3</w:t>
                  </w:r>
                </w:p>
              </w:tc>
              <w:tc>
                <w:tcPr>
                  <w:tcW w:w="1515" w:type="dxa"/>
                  <w:shd w:val="clear" w:color="auto" w:fill="auto"/>
                  <w:vAlign w:val="center"/>
                </w:tcPr>
                <w:p w14:paraId="0A5AAA80">
                  <w:pPr>
                    <w:keepNext w:val="0"/>
                    <w:keepLines w:val="0"/>
                    <w:suppressLineNumbers w:val="0"/>
                    <w:adjustRightInd/>
                    <w:spacing w:before="0" w:beforeAutospacing="0" w:after="0" w:afterAutospacing="0" w:line="240" w:lineRule="auto"/>
                    <w:ind w:left="0" w:right="0" w:firstLine="0" w:firstLineChars="0"/>
                    <w:jc w:val="center"/>
                    <w:rPr>
                      <w:rFonts w:hint="default" w:ascii="Times New Roman" w:hAnsi="Times New Roman" w:eastAsia="宋体" w:cs="Times New Roman"/>
                      <w:b w:val="0"/>
                      <w:bCs w:val="0"/>
                      <w:color w:val="0000E1"/>
                      <w:kern w:val="2"/>
                      <w:sz w:val="21"/>
                      <w:szCs w:val="21"/>
                      <w:highlight w:val="none"/>
                      <w:lang w:val="en-US" w:eastAsia="zh-CN" w:bidi="ar-SA"/>
                    </w:rPr>
                  </w:pPr>
                  <w:r>
                    <w:rPr>
                      <w:rFonts w:hint="default" w:ascii="Times New Roman" w:hAnsi="Times New Roman" w:eastAsia="宋体" w:cs="Times New Roman"/>
                      <w:b w:val="0"/>
                      <w:bCs w:val="0"/>
                      <w:color w:val="0000E1"/>
                      <w:sz w:val="21"/>
                      <w:szCs w:val="21"/>
                      <w:highlight w:val="none"/>
                      <w:lang w:val="en-US" w:eastAsia="zh-CN"/>
                    </w:rPr>
                    <w:t>导热类片材</w:t>
                  </w:r>
                </w:p>
              </w:tc>
              <w:tc>
                <w:tcPr>
                  <w:tcW w:w="1920" w:type="dxa"/>
                  <w:shd w:val="clear" w:color="auto" w:fill="auto"/>
                  <w:vAlign w:val="center"/>
                </w:tcPr>
                <w:p w14:paraId="34A22895">
                  <w:pPr>
                    <w:keepNext w:val="0"/>
                    <w:keepLines w:val="0"/>
                    <w:suppressLineNumbers w:val="0"/>
                    <w:adjustRightInd/>
                    <w:spacing w:before="0" w:beforeAutospacing="0" w:after="0" w:afterAutospacing="0" w:line="240" w:lineRule="auto"/>
                    <w:ind w:left="0" w:right="0" w:firstLine="0" w:firstLineChars="0"/>
                    <w:jc w:val="center"/>
                    <w:rPr>
                      <w:rFonts w:hint="default" w:ascii="Times New Roman" w:hAnsi="Times New Roman" w:eastAsia="宋体" w:cs="Times New Roman"/>
                      <w:b w:val="0"/>
                      <w:bCs w:val="0"/>
                      <w:color w:val="0000E1"/>
                      <w:sz w:val="21"/>
                      <w:szCs w:val="21"/>
                      <w:highlight w:val="none"/>
                      <w:lang w:val="en-US" w:eastAsia="zh-CN"/>
                    </w:rPr>
                  </w:pPr>
                  <w:r>
                    <w:rPr>
                      <w:rFonts w:hint="default" w:ascii="Times New Roman" w:hAnsi="Times New Roman" w:eastAsia="宋体" w:cs="Times New Roman"/>
                      <w:b w:val="0"/>
                      <w:bCs w:val="0"/>
                      <w:color w:val="0000E1"/>
                      <w:sz w:val="21"/>
                      <w:szCs w:val="21"/>
                      <w:highlight w:val="none"/>
                      <w:lang w:val="en-US" w:eastAsia="zh-CN"/>
                    </w:rPr>
                    <w:t>厚度：2mm</w:t>
                  </w:r>
                </w:p>
                <w:p w14:paraId="77740327">
                  <w:pPr>
                    <w:keepNext w:val="0"/>
                    <w:keepLines w:val="0"/>
                    <w:suppressLineNumbers w:val="0"/>
                    <w:adjustRightInd/>
                    <w:spacing w:before="0" w:beforeAutospacing="0" w:after="0" w:afterAutospacing="0" w:line="240" w:lineRule="auto"/>
                    <w:ind w:left="0" w:right="0" w:firstLine="0" w:firstLineChars="0"/>
                    <w:jc w:val="center"/>
                    <w:rPr>
                      <w:rFonts w:hint="default" w:ascii="Times New Roman" w:hAnsi="Times New Roman" w:eastAsia="宋体" w:cs="Times New Roman"/>
                      <w:b w:val="0"/>
                      <w:bCs w:val="0"/>
                      <w:color w:val="0000E1"/>
                      <w:kern w:val="2"/>
                      <w:sz w:val="21"/>
                      <w:szCs w:val="21"/>
                      <w:highlight w:val="none"/>
                      <w:lang w:val="en-US" w:eastAsia="zh-CN" w:bidi="ar-SA"/>
                    </w:rPr>
                  </w:pPr>
                  <w:r>
                    <w:rPr>
                      <w:rFonts w:hint="default" w:ascii="Times New Roman" w:hAnsi="Times New Roman" w:eastAsia="宋体" w:cs="Times New Roman"/>
                      <w:b w:val="0"/>
                      <w:bCs w:val="0"/>
                      <w:color w:val="0000E1"/>
                      <w:sz w:val="21"/>
                      <w:szCs w:val="21"/>
                      <w:highlight w:val="none"/>
                      <w:lang w:val="en-US" w:eastAsia="zh-CN"/>
                    </w:rPr>
                    <w:t>面密度：4900g/m²</w:t>
                  </w:r>
                </w:p>
              </w:tc>
              <w:tc>
                <w:tcPr>
                  <w:tcW w:w="1395" w:type="dxa"/>
                  <w:shd w:val="clear" w:color="auto" w:fill="auto"/>
                  <w:vAlign w:val="center"/>
                </w:tcPr>
                <w:p w14:paraId="5DF806CA">
                  <w:pPr>
                    <w:keepNext w:val="0"/>
                    <w:keepLines w:val="0"/>
                    <w:suppressLineNumbers w:val="0"/>
                    <w:adjustRightInd/>
                    <w:spacing w:before="0" w:beforeAutospacing="0" w:after="0" w:afterAutospacing="0" w:line="240" w:lineRule="auto"/>
                    <w:ind w:left="0" w:right="0" w:firstLine="0" w:firstLineChars="0"/>
                    <w:jc w:val="center"/>
                    <w:rPr>
                      <w:rFonts w:hint="default" w:ascii="Times New Roman" w:hAnsi="Times New Roman" w:eastAsia="宋体" w:cs="Times New Roman"/>
                      <w:b w:val="0"/>
                      <w:bCs w:val="0"/>
                      <w:color w:val="0000E1"/>
                      <w:sz w:val="21"/>
                      <w:szCs w:val="21"/>
                      <w:highlight w:val="none"/>
                      <w:lang w:val="en-US" w:eastAsia="zh-CN"/>
                    </w:rPr>
                  </w:pPr>
                  <w:r>
                    <w:rPr>
                      <w:rFonts w:hint="default" w:ascii="Times New Roman" w:hAnsi="Times New Roman" w:eastAsia="宋体" w:cs="Times New Roman"/>
                      <w:b w:val="0"/>
                      <w:bCs w:val="0"/>
                      <w:color w:val="0000E1"/>
                      <w:sz w:val="21"/>
                      <w:szCs w:val="21"/>
                      <w:highlight w:val="none"/>
                      <w:lang w:val="en-US" w:eastAsia="zh-CN"/>
                    </w:rPr>
                    <w:t>100万m²</w:t>
                  </w:r>
                </w:p>
                <w:p w14:paraId="5F38EBFB">
                  <w:pPr>
                    <w:keepNext w:val="0"/>
                    <w:keepLines w:val="0"/>
                    <w:suppressLineNumbers w:val="0"/>
                    <w:adjustRightInd/>
                    <w:spacing w:before="0" w:beforeAutospacing="0" w:after="0" w:afterAutospacing="0" w:line="240" w:lineRule="auto"/>
                    <w:ind w:left="0" w:right="0" w:firstLine="0" w:firstLineChars="0"/>
                    <w:jc w:val="center"/>
                    <w:rPr>
                      <w:rFonts w:hint="default" w:ascii="Times New Roman" w:hAnsi="Times New Roman" w:eastAsia="宋体" w:cs="Times New Roman"/>
                      <w:b w:val="0"/>
                      <w:bCs w:val="0"/>
                      <w:color w:val="0000E1"/>
                      <w:kern w:val="2"/>
                      <w:sz w:val="21"/>
                      <w:szCs w:val="21"/>
                      <w:highlight w:val="none"/>
                      <w:lang w:val="en-US" w:eastAsia="zh-CN" w:bidi="ar-SA"/>
                    </w:rPr>
                  </w:pPr>
                  <w:r>
                    <w:rPr>
                      <w:rFonts w:hint="default" w:ascii="Times New Roman" w:hAnsi="Times New Roman" w:eastAsia="宋体" w:cs="Times New Roman"/>
                      <w:b w:val="0"/>
                      <w:bCs w:val="0"/>
                      <w:color w:val="0000E1"/>
                      <w:sz w:val="21"/>
                      <w:szCs w:val="21"/>
                      <w:highlight w:val="none"/>
                      <w:lang w:val="en-US" w:eastAsia="zh-CN"/>
                    </w:rPr>
                    <w:t>（折4900t）</w:t>
                  </w:r>
                </w:p>
              </w:tc>
              <w:tc>
                <w:tcPr>
                  <w:tcW w:w="1470" w:type="dxa"/>
                  <w:shd w:val="clear" w:color="auto" w:fill="auto"/>
                  <w:vAlign w:val="center"/>
                </w:tcPr>
                <w:p w14:paraId="75088AB6">
                  <w:pPr>
                    <w:keepNext w:val="0"/>
                    <w:keepLines w:val="0"/>
                    <w:suppressLineNumbers w:val="0"/>
                    <w:adjustRightInd/>
                    <w:spacing w:before="0" w:beforeAutospacing="0" w:after="0" w:afterAutospacing="0" w:line="240" w:lineRule="auto"/>
                    <w:ind w:left="0" w:right="0" w:firstLine="0" w:firstLineChars="0"/>
                    <w:jc w:val="center"/>
                    <w:rPr>
                      <w:rFonts w:hint="default" w:ascii="Times New Roman" w:hAnsi="Times New Roman" w:eastAsia="宋体" w:cs="Times New Roman"/>
                      <w:b w:val="0"/>
                      <w:bCs w:val="0"/>
                      <w:color w:val="0000E1"/>
                      <w:sz w:val="21"/>
                      <w:szCs w:val="21"/>
                      <w:highlight w:val="none"/>
                      <w:lang w:val="en-US" w:eastAsia="zh-CN"/>
                    </w:rPr>
                  </w:pPr>
                  <w:r>
                    <w:rPr>
                      <w:rFonts w:hint="default" w:ascii="Times New Roman" w:hAnsi="Times New Roman" w:eastAsia="宋体" w:cs="Times New Roman"/>
                      <w:b w:val="0"/>
                      <w:bCs w:val="0"/>
                      <w:color w:val="0000E1"/>
                      <w:sz w:val="21"/>
                      <w:szCs w:val="21"/>
                      <w:highlight w:val="none"/>
                      <w:lang w:val="en-US" w:eastAsia="zh-CN"/>
                    </w:rPr>
                    <w:t>78万m²</w:t>
                  </w:r>
                </w:p>
                <w:p w14:paraId="708BE759">
                  <w:pPr>
                    <w:keepNext w:val="0"/>
                    <w:keepLines w:val="0"/>
                    <w:suppressLineNumbers w:val="0"/>
                    <w:adjustRightInd/>
                    <w:spacing w:before="0" w:beforeAutospacing="0" w:after="0" w:afterAutospacing="0" w:line="240" w:lineRule="auto"/>
                    <w:ind w:left="0" w:right="0" w:firstLine="0" w:firstLineChars="0"/>
                    <w:jc w:val="center"/>
                    <w:rPr>
                      <w:rFonts w:hint="default" w:ascii="Times New Roman" w:hAnsi="Times New Roman" w:eastAsia="宋体" w:cs="Times New Roman"/>
                      <w:b w:val="0"/>
                      <w:bCs w:val="0"/>
                      <w:color w:val="0000E1"/>
                      <w:kern w:val="2"/>
                      <w:sz w:val="21"/>
                      <w:szCs w:val="21"/>
                      <w:highlight w:val="none"/>
                      <w:lang w:val="en-US" w:eastAsia="zh-CN" w:bidi="ar-SA"/>
                    </w:rPr>
                  </w:pPr>
                  <w:r>
                    <w:rPr>
                      <w:rFonts w:hint="eastAsia" w:ascii="Times New Roman" w:hAnsi="Times New Roman" w:eastAsia="宋体" w:cs="Times New Roman"/>
                      <w:b w:val="0"/>
                      <w:bCs w:val="0"/>
                      <w:color w:val="0000E1"/>
                      <w:sz w:val="21"/>
                      <w:szCs w:val="21"/>
                      <w:highlight w:val="none"/>
                      <w:lang w:val="en-US" w:eastAsia="zh-CN"/>
                    </w:rPr>
                    <w:t>（折3822t）</w:t>
                  </w:r>
                </w:p>
              </w:tc>
              <w:tc>
                <w:tcPr>
                  <w:tcW w:w="1444" w:type="dxa"/>
                  <w:shd w:val="clear" w:color="auto" w:fill="auto"/>
                  <w:vAlign w:val="center"/>
                </w:tcPr>
                <w:p w14:paraId="7B5B48B7">
                  <w:pPr>
                    <w:keepNext w:val="0"/>
                    <w:keepLines w:val="0"/>
                    <w:suppressLineNumbers w:val="0"/>
                    <w:adjustRightInd/>
                    <w:spacing w:before="0" w:beforeAutospacing="0" w:after="0" w:afterAutospacing="0" w:line="240" w:lineRule="auto"/>
                    <w:ind w:left="0" w:right="0" w:firstLine="0" w:firstLineChars="0"/>
                    <w:jc w:val="center"/>
                    <w:rPr>
                      <w:rFonts w:hint="default" w:ascii="Times New Roman" w:hAnsi="Times New Roman" w:eastAsia="宋体" w:cs="Times New Roman"/>
                      <w:b w:val="0"/>
                      <w:bCs w:val="0"/>
                      <w:color w:val="0000E1"/>
                      <w:sz w:val="21"/>
                      <w:szCs w:val="21"/>
                      <w:highlight w:val="none"/>
                      <w:lang w:val="en-US" w:eastAsia="zh-CN"/>
                    </w:rPr>
                  </w:pPr>
                  <w:r>
                    <w:rPr>
                      <w:rFonts w:hint="default" w:ascii="Times New Roman" w:hAnsi="Times New Roman" w:eastAsia="宋体" w:cs="Times New Roman"/>
                      <w:b w:val="0"/>
                      <w:bCs w:val="0"/>
                      <w:color w:val="0000E1"/>
                      <w:sz w:val="21"/>
                      <w:szCs w:val="21"/>
                      <w:highlight w:val="none"/>
                      <w:lang w:val="en-US" w:eastAsia="zh-CN"/>
                    </w:rPr>
                    <w:t>78万m²</w:t>
                  </w:r>
                </w:p>
                <w:p w14:paraId="0F276B43">
                  <w:pPr>
                    <w:keepNext w:val="0"/>
                    <w:keepLines w:val="0"/>
                    <w:suppressLineNumbers w:val="0"/>
                    <w:adjustRightInd/>
                    <w:spacing w:before="0" w:beforeAutospacing="0" w:after="0" w:afterAutospacing="0" w:line="240" w:lineRule="auto"/>
                    <w:ind w:left="0" w:right="0" w:firstLine="0" w:firstLineChars="0"/>
                    <w:jc w:val="center"/>
                    <w:rPr>
                      <w:rFonts w:hint="default" w:ascii="Times New Roman" w:hAnsi="Times New Roman" w:eastAsia="宋体" w:cs="Times New Roman"/>
                      <w:b w:val="0"/>
                      <w:bCs w:val="0"/>
                      <w:color w:val="0000E1"/>
                      <w:kern w:val="2"/>
                      <w:sz w:val="21"/>
                      <w:szCs w:val="21"/>
                      <w:highlight w:val="none"/>
                      <w:lang w:val="en-US" w:eastAsia="zh-CN" w:bidi="ar-SA"/>
                    </w:rPr>
                  </w:pPr>
                  <w:r>
                    <w:rPr>
                      <w:rFonts w:hint="eastAsia" w:ascii="Times New Roman" w:hAnsi="Times New Roman" w:eastAsia="宋体" w:cs="Times New Roman"/>
                      <w:b w:val="0"/>
                      <w:bCs w:val="0"/>
                      <w:color w:val="0000E1"/>
                      <w:sz w:val="21"/>
                      <w:szCs w:val="21"/>
                      <w:highlight w:val="none"/>
                      <w:lang w:val="en-US" w:eastAsia="zh-CN"/>
                    </w:rPr>
                    <w:t>（折3822t）</w:t>
                  </w:r>
                </w:p>
              </w:tc>
            </w:tr>
            <w:tr w14:paraId="242E02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3"/>
                <w:wAfter w:w="3822" w:type="dxa"/>
                <w:trHeight w:val="437" w:hRule="atLeast"/>
              </w:trPr>
              <w:tc>
                <w:tcPr>
                  <w:tcW w:w="431" w:type="dxa"/>
                  <w:vAlign w:val="center"/>
                </w:tcPr>
                <w:p w14:paraId="73672024">
                  <w:pPr>
                    <w:keepNext w:val="0"/>
                    <w:keepLines w:val="0"/>
                    <w:suppressLineNumbers w:val="0"/>
                    <w:spacing w:before="0" w:beforeAutospacing="0" w:after="0" w:afterAutospacing="0"/>
                    <w:ind w:left="0" w:right="0"/>
                    <w:jc w:val="center"/>
                    <w:rPr>
                      <w:rFonts w:hint="eastAsia" w:ascii="Times New Roman" w:hAnsi="Times New Roman" w:eastAsia="宋体" w:cs="Times New Roman"/>
                      <w:b w:val="0"/>
                      <w:bCs w:val="0"/>
                      <w:color w:val="0000E1"/>
                      <w:szCs w:val="21"/>
                      <w:lang w:val="en-US" w:eastAsia="zh-CN"/>
                    </w:rPr>
                  </w:pPr>
                  <w:r>
                    <w:rPr>
                      <w:rFonts w:hint="eastAsia" w:ascii="Times New Roman" w:hAnsi="Times New Roman" w:eastAsia="宋体" w:cs="Times New Roman"/>
                      <w:b w:val="0"/>
                      <w:bCs w:val="0"/>
                      <w:color w:val="0000E1"/>
                      <w:szCs w:val="21"/>
                      <w:lang w:val="en-US" w:eastAsia="zh-CN"/>
                    </w:rPr>
                    <w:t>4</w:t>
                  </w:r>
                </w:p>
              </w:tc>
              <w:tc>
                <w:tcPr>
                  <w:tcW w:w="1515" w:type="dxa"/>
                  <w:shd w:val="clear" w:color="auto" w:fill="auto"/>
                  <w:vAlign w:val="center"/>
                </w:tcPr>
                <w:p w14:paraId="01C8EE93">
                  <w:pPr>
                    <w:keepNext w:val="0"/>
                    <w:keepLines w:val="0"/>
                    <w:suppressLineNumbers w:val="0"/>
                    <w:adjustRightInd/>
                    <w:spacing w:before="0" w:beforeAutospacing="0" w:after="0" w:afterAutospacing="0" w:line="240" w:lineRule="auto"/>
                    <w:ind w:left="0" w:right="0" w:firstLine="0" w:firstLineChars="0"/>
                    <w:jc w:val="center"/>
                    <w:rPr>
                      <w:rFonts w:hint="default" w:ascii="Times New Roman" w:hAnsi="Times New Roman" w:eastAsia="宋体" w:cs="Times New Roman"/>
                      <w:b w:val="0"/>
                      <w:bCs w:val="0"/>
                      <w:color w:val="0000E1"/>
                      <w:kern w:val="2"/>
                      <w:sz w:val="21"/>
                      <w:szCs w:val="21"/>
                      <w:highlight w:val="none"/>
                      <w:lang w:val="en-US" w:eastAsia="zh-CN" w:bidi="ar-SA"/>
                    </w:rPr>
                  </w:pPr>
                  <w:r>
                    <w:rPr>
                      <w:rFonts w:hint="default" w:ascii="Times New Roman" w:hAnsi="Times New Roman" w:eastAsia="宋体" w:cs="Times New Roman"/>
                      <w:b w:val="0"/>
                      <w:bCs w:val="0"/>
                      <w:color w:val="0000E1"/>
                      <w:sz w:val="21"/>
                      <w:szCs w:val="21"/>
                      <w:highlight w:val="none"/>
                      <w:lang w:val="en-US" w:eastAsia="zh-CN"/>
                    </w:rPr>
                    <w:t>陶瓷化片材</w:t>
                  </w:r>
                </w:p>
              </w:tc>
              <w:tc>
                <w:tcPr>
                  <w:tcW w:w="1920" w:type="dxa"/>
                  <w:shd w:val="clear" w:color="auto" w:fill="auto"/>
                  <w:vAlign w:val="center"/>
                </w:tcPr>
                <w:p w14:paraId="7612CA58">
                  <w:pPr>
                    <w:keepNext w:val="0"/>
                    <w:keepLines w:val="0"/>
                    <w:suppressLineNumbers w:val="0"/>
                    <w:adjustRightInd/>
                    <w:spacing w:before="0" w:beforeAutospacing="0" w:after="0" w:afterAutospacing="0" w:line="240" w:lineRule="auto"/>
                    <w:ind w:left="0" w:right="0" w:firstLine="0" w:firstLineChars="0"/>
                    <w:jc w:val="center"/>
                    <w:rPr>
                      <w:rFonts w:hint="default" w:ascii="Times New Roman" w:hAnsi="Times New Roman" w:eastAsia="宋体" w:cs="Times New Roman"/>
                      <w:b w:val="0"/>
                      <w:bCs w:val="0"/>
                      <w:color w:val="0000E1"/>
                      <w:sz w:val="21"/>
                      <w:szCs w:val="21"/>
                      <w:highlight w:val="none"/>
                      <w:lang w:val="en-US" w:eastAsia="zh-CN"/>
                    </w:rPr>
                  </w:pPr>
                  <w:r>
                    <w:rPr>
                      <w:rFonts w:hint="default" w:ascii="Times New Roman" w:hAnsi="Times New Roman" w:eastAsia="宋体" w:cs="Times New Roman"/>
                      <w:b w:val="0"/>
                      <w:bCs w:val="0"/>
                      <w:color w:val="0000E1"/>
                      <w:sz w:val="21"/>
                      <w:szCs w:val="21"/>
                      <w:highlight w:val="none"/>
                      <w:lang w:val="en-US" w:eastAsia="zh-CN"/>
                    </w:rPr>
                    <w:t>厚度：0.3mm</w:t>
                  </w:r>
                </w:p>
                <w:p w14:paraId="5D92ABF3">
                  <w:pPr>
                    <w:keepNext w:val="0"/>
                    <w:keepLines w:val="0"/>
                    <w:suppressLineNumbers w:val="0"/>
                    <w:adjustRightInd/>
                    <w:spacing w:before="0" w:beforeAutospacing="0" w:after="0" w:afterAutospacing="0" w:line="240" w:lineRule="auto"/>
                    <w:ind w:left="0" w:right="0" w:firstLine="0" w:firstLineChars="0"/>
                    <w:jc w:val="center"/>
                    <w:rPr>
                      <w:rFonts w:hint="default" w:ascii="Times New Roman" w:hAnsi="Times New Roman" w:eastAsia="宋体" w:cs="Times New Roman"/>
                      <w:b w:val="0"/>
                      <w:bCs w:val="0"/>
                      <w:color w:val="0000E1"/>
                      <w:kern w:val="2"/>
                      <w:sz w:val="21"/>
                      <w:szCs w:val="21"/>
                      <w:highlight w:val="none"/>
                      <w:lang w:val="en-US" w:eastAsia="zh-CN" w:bidi="ar-SA"/>
                    </w:rPr>
                  </w:pPr>
                  <w:r>
                    <w:rPr>
                      <w:rFonts w:hint="default" w:ascii="Times New Roman" w:hAnsi="Times New Roman" w:eastAsia="宋体" w:cs="Times New Roman"/>
                      <w:b w:val="0"/>
                      <w:bCs w:val="0"/>
                      <w:color w:val="0000E1"/>
                      <w:sz w:val="21"/>
                      <w:szCs w:val="21"/>
                      <w:highlight w:val="none"/>
                      <w:lang w:val="en-US" w:eastAsia="zh-CN"/>
                    </w:rPr>
                    <w:t>面密度：500g/m²</w:t>
                  </w:r>
                </w:p>
              </w:tc>
              <w:tc>
                <w:tcPr>
                  <w:tcW w:w="1395" w:type="dxa"/>
                  <w:shd w:val="clear" w:color="auto" w:fill="auto"/>
                  <w:vAlign w:val="center"/>
                </w:tcPr>
                <w:p w14:paraId="122AC9CD">
                  <w:pPr>
                    <w:keepNext w:val="0"/>
                    <w:keepLines w:val="0"/>
                    <w:suppressLineNumbers w:val="0"/>
                    <w:adjustRightInd/>
                    <w:spacing w:before="0" w:beforeAutospacing="0" w:after="0" w:afterAutospacing="0" w:line="240" w:lineRule="auto"/>
                    <w:ind w:left="0" w:right="0" w:firstLine="0" w:firstLineChars="0"/>
                    <w:jc w:val="center"/>
                    <w:rPr>
                      <w:rFonts w:hint="default" w:ascii="Times New Roman" w:hAnsi="Times New Roman" w:eastAsia="宋体" w:cs="Times New Roman"/>
                      <w:b w:val="0"/>
                      <w:bCs w:val="0"/>
                      <w:color w:val="0000E1"/>
                      <w:sz w:val="21"/>
                      <w:szCs w:val="21"/>
                      <w:highlight w:val="none"/>
                      <w:lang w:val="en-US" w:eastAsia="zh-CN"/>
                    </w:rPr>
                  </w:pPr>
                  <w:r>
                    <w:rPr>
                      <w:rFonts w:hint="default" w:ascii="Times New Roman" w:hAnsi="Times New Roman" w:eastAsia="宋体" w:cs="Times New Roman"/>
                      <w:b w:val="0"/>
                      <w:bCs w:val="0"/>
                      <w:color w:val="0000E1"/>
                      <w:sz w:val="21"/>
                      <w:szCs w:val="21"/>
                      <w:highlight w:val="none"/>
                      <w:lang w:val="en-US" w:eastAsia="zh-CN"/>
                    </w:rPr>
                    <w:t>100万m²</w:t>
                  </w:r>
                </w:p>
                <w:p w14:paraId="487CE643">
                  <w:pPr>
                    <w:keepNext w:val="0"/>
                    <w:keepLines w:val="0"/>
                    <w:suppressLineNumbers w:val="0"/>
                    <w:adjustRightInd/>
                    <w:spacing w:before="0" w:beforeAutospacing="0" w:after="0" w:afterAutospacing="0" w:line="240" w:lineRule="auto"/>
                    <w:ind w:left="0" w:right="0" w:firstLine="0" w:firstLineChars="0"/>
                    <w:jc w:val="center"/>
                    <w:rPr>
                      <w:rFonts w:hint="default" w:ascii="Times New Roman" w:hAnsi="Times New Roman" w:eastAsia="宋体" w:cs="Times New Roman"/>
                      <w:b w:val="0"/>
                      <w:bCs w:val="0"/>
                      <w:color w:val="0000E1"/>
                      <w:kern w:val="2"/>
                      <w:sz w:val="21"/>
                      <w:szCs w:val="21"/>
                      <w:highlight w:val="none"/>
                      <w:lang w:val="en-US" w:eastAsia="zh-CN" w:bidi="ar-SA"/>
                    </w:rPr>
                  </w:pPr>
                  <w:r>
                    <w:rPr>
                      <w:rFonts w:hint="default" w:ascii="Times New Roman" w:hAnsi="Times New Roman" w:eastAsia="宋体" w:cs="Times New Roman"/>
                      <w:b w:val="0"/>
                      <w:bCs w:val="0"/>
                      <w:color w:val="0000E1"/>
                      <w:sz w:val="21"/>
                      <w:szCs w:val="21"/>
                      <w:highlight w:val="none"/>
                      <w:lang w:val="en-US" w:eastAsia="zh-CN"/>
                    </w:rPr>
                    <w:t>（折500t）</w:t>
                  </w:r>
                </w:p>
              </w:tc>
              <w:tc>
                <w:tcPr>
                  <w:tcW w:w="1470" w:type="dxa"/>
                  <w:shd w:val="clear" w:color="auto" w:fill="auto"/>
                  <w:vAlign w:val="center"/>
                </w:tcPr>
                <w:p w14:paraId="7540603D">
                  <w:pPr>
                    <w:keepNext w:val="0"/>
                    <w:keepLines w:val="0"/>
                    <w:suppressLineNumbers w:val="0"/>
                    <w:adjustRightInd/>
                    <w:spacing w:before="0" w:beforeAutospacing="0" w:after="0" w:afterAutospacing="0" w:line="240" w:lineRule="auto"/>
                    <w:ind w:left="0" w:right="0" w:firstLine="0" w:firstLineChars="0"/>
                    <w:jc w:val="center"/>
                    <w:rPr>
                      <w:rFonts w:hint="default" w:ascii="Times New Roman" w:hAnsi="Times New Roman" w:eastAsia="宋体" w:cs="Times New Roman"/>
                      <w:b w:val="0"/>
                      <w:bCs w:val="0"/>
                      <w:color w:val="0000E1"/>
                      <w:sz w:val="21"/>
                      <w:szCs w:val="21"/>
                      <w:highlight w:val="none"/>
                      <w:lang w:val="en-US" w:eastAsia="zh-CN"/>
                    </w:rPr>
                  </w:pPr>
                  <w:r>
                    <w:rPr>
                      <w:rFonts w:hint="default" w:ascii="Times New Roman" w:hAnsi="Times New Roman" w:eastAsia="宋体" w:cs="Times New Roman"/>
                      <w:b w:val="0"/>
                      <w:bCs w:val="0"/>
                      <w:color w:val="0000E1"/>
                      <w:sz w:val="21"/>
                      <w:szCs w:val="21"/>
                      <w:highlight w:val="none"/>
                      <w:lang w:val="en-US" w:eastAsia="zh-CN"/>
                    </w:rPr>
                    <w:t>78万m²</w:t>
                  </w:r>
                </w:p>
                <w:p w14:paraId="48926F2A">
                  <w:pPr>
                    <w:keepNext w:val="0"/>
                    <w:keepLines w:val="0"/>
                    <w:suppressLineNumbers w:val="0"/>
                    <w:adjustRightInd/>
                    <w:spacing w:before="0" w:beforeAutospacing="0" w:after="0" w:afterAutospacing="0" w:line="240" w:lineRule="auto"/>
                    <w:ind w:left="0" w:right="0" w:firstLine="0" w:firstLineChars="0"/>
                    <w:jc w:val="center"/>
                    <w:rPr>
                      <w:rFonts w:hint="default" w:ascii="Times New Roman" w:hAnsi="Times New Roman" w:eastAsia="宋体" w:cs="Times New Roman"/>
                      <w:b w:val="0"/>
                      <w:bCs w:val="0"/>
                      <w:color w:val="0000E1"/>
                      <w:kern w:val="2"/>
                      <w:sz w:val="21"/>
                      <w:szCs w:val="21"/>
                      <w:highlight w:val="none"/>
                      <w:lang w:val="en-US" w:eastAsia="zh-CN" w:bidi="ar-SA"/>
                    </w:rPr>
                  </w:pPr>
                  <w:r>
                    <w:rPr>
                      <w:rFonts w:hint="eastAsia" w:ascii="Times New Roman" w:hAnsi="Times New Roman" w:eastAsia="宋体" w:cs="Times New Roman"/>
                      <w:b w:val="0"/>
                      <w:bCs w:val="0"/>
                      <w:color w:val="0000E1"/>
                      <w:sz w:val="21"/>
                      <w:szCs w:val="21"/>
                      <w:highlight w:val="none"/>
                      <w:lang w:val="en-US" w:eastAsia="zh-CN"/>
                    </w:rPr>
                    <w:t>（折390t）</w:t>
                  </w:r>
                </w:p>
              </w:tc>
              <w:tc>
                <w:tcPr>
                  <w:tcW w:w="1444" w:type="dxa"/>
                  <w:shd w:val="clear" w:color="auto" w:fill="auto"/>
                  <w:vAlign w:val="center"/>
                </w:tcPr>
                <w:p w14:paraId="7E042247">
                  <w:pPr>
                    <w:keepNext w:val="0"/>
                    <w:keepLines w:val="0"/>
                    <w:suppressLineNumbers w:val="0"/>
                    <w:adjustRightInd/>
                    <w:spacing w:before="0" w:beforeAutospacing="0" w:after="0" w:afterAutospacing="0" w:line="240" w:lineRule="auto"/>
                    <w:ind w:left="0" w:right="0" w:firstLine="0" w:firstLineChars="0"/>
                    <w:jc w:val="center"/>
                    <w:rPr>
                      <w:rFonts w:hint="default" w:ascii="Times New Roman" w:hAnsi="Times New Roman" w:eastAsia="宋体" w:cs="Times New Roman"/>
                      <w:b w:val="0"/>
                      <w:bCs w:val="0"/>
                      <w:color w:val="0000E1"/>
                      <w:sz w:val="21"/>
                      <w:szCs w:val="21"/>
                      <w:highlight w:val="none"/>
                      <w:lang w:val="en-US" w:eastAsia="zh-CN"/>
                    </w:rPr>
                  </w:pPr>
                  <w:r>
                    <w:rPr>
                      <w:rFonts w:hint="default" w:ascii="Times New Roman" w:hAnsi="Times New Roman" w:eastAsia="宋体" w:cs="Times New Roman"/>
                      <w:b w:val="0"/>
                      <w:bCs w:val="0"/>
                      <w:color w:val="0000E1"/>
                      <w:sz w:val="21"/>
                      <w:szCs w:val="21"/>
                      <w:highlight w:val="none"/>
                      <w:lang w:val="en-US" w:eastAsia="zh-CN"/>
                    </w:rPr>
                    <w:t>78万m²</w:t>
                  </w:r>
                </w:p>
                <w:p w14:paraId="3FD25E9B">
                  <w:pPr>
                    <w:keepNext w:val="0"/>
                    <w:keepLines w:val="0"/>
                    <w:suppressLineNumbers w:val="0"/>
                    <w:adjustRightInd/>
                    <w:spacing w:before="0" w:beforeAutospacing="0" w:after="0" w:afterAutospacing="0" w:line="240" w:lineRule="auto"/>
                    <w:ind w:left="0" w:right="0" w:firstLine="0" w:firstLineChars="0"/>
                    <w:jc w:val="center"/>
                    <w:rPr>
                      <w:rFonts w:hint="default" w:ascii="Times New Roman" w:hAnsi="Times New Roman" w:eastAsia="宋体" w:cs="Times New Roman"/>
                      <w:b w:val="0"/>
                      <w:bCs w:val="0"/>
                      <w:color w:val="0000E1"/>
                      <w:kern w:val="2"/>
                      <w:sz w:val="21"/>
                      <w:szCs w:val="21"/>
                      <w:highlight w:val="none"/>
                      <w:lang w:val="en-US" w:eastAsia="zh-CN" w:bidi="ar-SA"/>
                    </w:rPr>
                  </w:pPr>
                  <w:r>
                    <w:rPr>
                      <w:rFonts w:hint="eastAsia" w:ascii="Times New Roman" w:hAnsi="Times New Roman" w:eastAsia="宋体" w:cs="Times New Roman"/>
                      <w:b w:val="0"/>
                      <w:bCs w:val="0"/>
                      <w:color w:val="0000E1"/>
                      <w:sz w:val="21"/>
                      <w:szCs w:val="21"/>
                      <w:highlight w:val="none"/>
                      <w:lang w:val="en-US" w:eastAsia="zh-CN"/>
                    </w:rPr>
                    <w:t>（折390t）</w:t>
                  </w:r>
                </w:p>
              </w:tc>
            </w:tr>
            <w:tr w14:paraId="2A3C22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9" w:hRule="atLeast"/>
              </w:trPr>
              <w:tc>
                <w:tcPr>
                  <w:tcW w:w="8175" w:type="dxa"/>
                  <w:gridSpan w:val="6"/>
                  <w:vAlign w:val="center"/>
                </w:tcPr>
                <w:p w14:paraId="7CE85227">
                  <w:pPr>
                    <w:keepNext w:val="0"/>
                    <w:keepLines w:val="0"/>
                    <w:suppressLineNumbers w:val="0"/>
                    <w:spacing w:before="0" w:beforeAutospacing="0" w:after="0" w:afterAutospacing="0"/>
                    <w:ind w:left="0" w:right="0"/>
                    <w:jc w:val="center"/>
                    <w:rPr>
                      <w:rFonts w:hint="eastAsia" w:ascii="Times New Roman" w:hAnsi="Times New Roman" w:eastAsia="宋体" w:cs="Times New Roman"/>
                      <w:b/>
                      <w:bCs/>
                      <w:color w:val="0000E1"/>
                      <w:szCs w:val="21"/>
                      <w:lang w:eastAsia="zh-CN"/>
                    </w:rPr>
                  </w:pPr>
                  <w:r>
                    <w:rPr>
                      <w:rFonts w:hint="default" w:ascii="Times New Roman" w:hAnsi="Times New Roman" w:eastAsia="宋体" w:cs="Times New Roman"/>
                      <w:b/>
                      <w:bCs/>
                      <w:color w:val="0000E1"/>
                      <w:szCs w:val="21"/>
                    </w:rPr>
                    <w:t>年产500万平方米第二代动力电池高安全陶瓷化复合隔膜及2000万片纳米隔热板项目</w:t>
                  </w:r>
                  <w:r>
                    <w:rPr>
                      <w:rFonts w:hint="eastAsia" w:ascii="Times New Roman" w:hAnsi="Times New Roman" w:eastAsia="宋体" w:cs="Times New Roman"/>
                      <w:b/>
                      <w:bCs/>
                      <w:color w:val="0000E1"/>
                      <w:szCs w:val="21"/>
                      <w:lang w:eastAsia="zh-CN"/>
                    </w:rPr>
                    <w:t>（</w:t>
                  </w:r>
                  <w:r>
                    <w:rPr>
                      <w:rFonts w:hint="eastAsia" w:ascii="Times New Roman" w:hAnsi="Times New Roman" w:eastAsia="宋体" w:cs="Times New Roman"/>
                      <w:b/>
                      <w:bCs/>
                      <w:color w:val="0000E1"/>
                      <w:szCs w:val="21"/>
                      <w:lang w:val="en-US" w:eastAsia="zh-CN"/>
                    </w:rPr>
                    <w:t>本项目</w:t>
                  </w:r>
                  <w:r>
                    <w:rPr>
                      <w:rFonts w:hint="eastAsia" w:ascii="Times New Roman" w:hAnsi="Times New Roman" w:eastAsia="宋体" w:cs="Times New Roman"/>
                      <w:b/>
                      <w:bCs/>
                      <w:color w:val="0000E1"/>
                      <w:szCs w:val="21"/>
                      <w:lang w:eastAsia="zh-CN"/>
                    </w:rPr>
                    <w:t>）</w:t>
                  </w:r>
                </w:p>
              </w:tc>
              <w:tc>
                <w:tcPr>
                  <w:tcW w:w="1274" w:type="dxa"/>
                  <w:vAlign w:val="center"/>
                </w:tcPr>
                <w:p w14:paraId="7C520EA9">
                  <w:pPr>
                    <w:keepNext w:val="0"/>
                    <w:keepLines w:val="0"/>
                    <w:suppressLineNumbers w:val="0"/>
                    <w:spacing w:before="0" w:beforeAutospacing="0" w:after="0" w:afterAutospacing="0"/>
                    <w:ind w:left="0" w:right="0"/>
                    <w:jc w:val="center"/>
                    <w:rPr>
                      <w:rFonts w:hint="default" w:ascii="Times New Roman" w:hAnsi="Times New Roman" w:eastAsia="宋体" w:cs="Times New Roman"/>
                      <w:b/>
                      <w:bCs/>
                      <w:color w:val="auto"/>
                      <w:szCs w:val="21"/>
                    </w:rPr>
                  </w:pPr>
                </w:p>
              </w:tc>
              <w:tc>
                <w:tcPr>
                  <w:tcW w:w="1274" w:type="dxa"/>
                  <w:vAlign w:val="center"/>
                </w:tcPr>
                <w:p w14:paraId="50959D63">
                  <w:pPr>
                    <w:keepNext w:val="0"/>
                    <w:keepLines w:val="0"/>
                    <w:suppressLineNumbers w:val="0"/>
                    <w:spacing w:before="0" w:beforeAutospacing="0" w:after="0" w:afterAutospacing="0"/>
                    <w:ind w:left="0" w:right="0"/>
                    <w:jc w:val="center"/>
                    <w:rPr>
                      <w:rFonts w:hint="default" w:ascii="Times New Roman" w:hAnsi="Times New Roman" w:eastAsia="宋体" w:cs="Times New Roman"/>
                      <w:b/>
                      <w:bCs/>
                      <w:color w:val="auto"/>
                      <w:szCs w:val="21"/>
                    </w:rPr>
                  </w:pPr>
                </w:p>
              </w:tc>
              <w:tc>
                <w:tcPr>
                  <w:tcW w:w="1274" w:type="dxa"/>
                  <w:vAlign w:val="center"/>
                </w:tcPr>
                <w:p w14:paraId="0E5D51BD">
                  <w:pPr>
                    <w:keepNext w:val="0"/>
                    <w:keepLines w:val="0"/>
                    <w:suppressLineNumbers w:val="0"/>
                    <w:adjustRightInd/>
                    <w:spacing w:before="0" w:beforeAutospacing="0" w:after="0" w:afterAutospacing="0" w:line="240" w:lineRule="auto"/>
                    <w:ind w:left="0" w:right="0" w:firstLine="0" w:firstLineChars="0"/>
                    <w:jc w:val="center"/>
                    <w:rPr>
                      <w:rFonts w:hint="default" w:ascii="Times New Roman" w:hAnsi="Times New Roman" w:eastAsia="宋体" w:cs="Times New Roman"/>
                      <w:b w:val="0"/>
                      <w:bCs w:val="0"/>
                      <w:color w:val="auto"/>
                      <w:kern w:val="2"/>
                      <w:sz w:val="21"/>
                      <w:szCs w:val="21"/>
                      <w:highlight w:val="none"/>
                      <w:lang w:val="en-US" w:eastAsia="zh-CN" w:bidi="ar-SA"/>
                    </w:rPr>
                  </w:pPr>
                  <w:r>
                    <w:rPr>
                      <w:rFonts w:hint="default" w:ascii="Times New Roman" w:hAnsi="Times New Roman" w:eastAsia="宋体" w:cs="Times New Roman"/>
                      <w:b w:val="0"/>
                      <w:bCs w:val="0"/>
                      <w:color w:val="auto"/>
                      <w:sz w:val="21"/>
                      <w:szCs w:val="21"/>
                      <w:highlight w:val="none"/>
                      <w:lang w:val="en-US" w:eastAsia="zh-CN"/>
                    </w:rPr>
                    <w:t>折达产782万m²</w:t>
                  </w:r>
                </w:p>
              </w:tc>
            </w:tr>
            <w:tr w14:paraId="45BAF6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3"/>
                <w:wAfter w:w="3822" w:type="dxa"/>
                <w:trHeight w:val="397" w:hRule="atLeast"/>
              </w:trPr>
              <w:tc>
                <w:tcPr>
                  <w:tcW w:w="431" w:type="dxa"/>
                  <w:vAlign w:val="center"/>
                </w:tcPr>
                <w:p w14:paraId="0FCD312C">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0000E1"/>
                      <w:szCs w:val="21"/>
                    </w:rPr>
                  </w:pPr>
                  <w:r>
                    <w:rPr>
                      <w:rFonts w:hint="eastAsia" w:ascii="Times New Roman" w:hAnsi="Times New Roman" w:eastAsia="宋体" w:cs="Times New Roman"/>
                      <w:color w:val="0000E1"/>
                      <w:szCs w:val="21"/>
                    </w:rPr>
                    <w:t>1</w:t>
                  </w:r>
                </w:p>
              </w:tc>
              <w:tc>
                <w:tcPr>
                  <w:tcW w:w="1515" w:type="dxa"/>
                  <w:vAlign w:val="center"/>
                </w:tcPr>
                <w:p w14:paraId="4DE41337">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0000E1"/>
                      <w:szCs w:val="21"/>
                    </w:rPr>
                  </w:pPr>
                  <w:r>
                    <w:rPr>
                      <w:rFonts w:hint="default" w:ascii="Times New Roman" w:hAnsi="Times New Roman" w:eastAsia="宋体" w:cs="Times New Roman"/>
                      <w:color w:val="0000E1"/>
                      <w:szCs w:val="21"/>
                    </w:rPr>
                    <w:t>第二代动力电池高安全陶瓷化复合隔膜</w:t>
                  </w:r>
                </w:p>
              </w:tc>
              <w:tc>
                <w:tcPr>
                  <w:tcW w:w="1920" w:type="dxa"/>
                  <w:vAlign w:val="center"/>
                </w:tcPr>
                <w:p w14:paraId="41C20198">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0000E1"/>
                      <w:szCs w:val="21"/>
                    </w:rPr>
                  </w:pPr>
                  <w:r>
                    <w:rPr>
                      <w:rFonts w:hint="default" w:ascii="Times New Roman" w:hAnsi="Times New Roman" w:eastAsia="宋体" w:cs="Times New Roman"/>
                      <w:color w:val="0000E1"/>
                      <w:szCs w:val="21"/>
                    </w:rPr>
                    <w:t>厚度：0.2-10mm</w:t>
                  </w:r>
                </w:p>
                <w:p w14:paraId="4AC3EB2D">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0000E1"/>
                      <w:szCs w:val="21"/>
                    </w:rPr>
                  </w:pPr>
                  <w:r>
                    <w:rPr>
                      <w:rFonts w:hint="default" w:ascii="Times New Roman" w:hAnsi="Times New Roman" w:eastAsia="宋体" w:cs="Times New Roman"/>
                      <w:color w:val="0000E1"/>
                      <w:szCs w:val="21"/>
                    </w:rPr>
                    <w:t>面密度：</w:t>
                  </w:r>
                  <w:r>
                    <w:rPr>
                      <w:rFonts w:hint="eastAsia" w:ascii="Times New Roman" w:hAnsi="Times New Roman" w:eastAsia="宋体" w:cs="Times New Roman"/>
                      <w:color w:val="0000E1"/>
                      <w:szCs w:val="21"/>
                    </w:rPr>
                    <w:t>1.8kg</w:t>
                  </w:r>
                  <w:r>
                    <w:rPr>
                      <w:rFonts w:hint="default" w:ascii="Times New Roman" w:hAnsi="Times New Roman" w:eastAsia="宋体" w:cs="Times New Roman"/>
                      <w:color w:val="0000E1"/>
                      <w:szCs w:val="21"/>
                    </w:rPr>
                    <w:t>/m</w:t>
                  </w:r>
                  <w:r>
                    <w:rPr>
                      <w:rFonts w:hint="default" w:ascii="Times New Roman" w:hAnsi="Times New Roman" w:eastAsia="宋体" w:cs="Times New Roman"/>
                      <w:color w:val="0000E1"/>
                      <w:szCs w:val="21"/>
                      <w:vertAlign w:val="superscript"/>
                    </w:rPr>
                    <w:t>2</w:t>
                  </w:r>
                </w:p>
              </w:tc>
              <w:tc>
                <w:tcPr>
                  <w:tcW w:w="2865" w:type="dxa"/>
                  <w:gridSpan w:val="2"/>
                  <w:vMerge w:val="restart"/>
                  <w:vAlign w:val="center"/>
                </w:tcPr>
                <w:p w14:paraId="5B3E10D6">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0000E1"/>
                      <w:kern w:val="2"/>
                      <w:sz w:val="21"/>
                      <w:szCs w:val="21"/>
                      <w:lang w:val="en-US" w:eastAsia="zh-CN" w:bidi="ar-SA"/>
                    </w:rPr>
                  </w:pPr>
                  <w:r>
                    <w:rPr>
                      <w:rFonts w:hint="eastAsia" w:ascii="Times New Roman" w:hAnsi="Times New Roman" w:eastAsia="宋体" w:cs="Times New Roman"/>
                      <w:color w:val="FF0000"/>
                      <w:szCs w:val="21"/>
                      <w:lang w:val="en-US" w:eastAsia="zh-CN"/>
                    </w:rPr>
                    <w:t>0</w:t>
                  </w:r>
                  <w:commentRangeStart w:id="23"/>
                  <w:commentRangeStart w:id="24"/>
                  <w:r>
                    <w:rPr>
                      <w:rFonts w:hint="default"/>
                    </w:rPr>
                    <w:commentReference w:id="23"/>
                  </w:r>
                  <w:commentRangeEnd w:id="23"/>
                  <w:commentRangeEnd w:id="24"/>
                  <w:r>
                    <w:rPr>
                      <w:rFonts w:hint="default"/>
                    </w:rPr>
                    <w:commentReference w:id="24"/>
                  </w:r>
                </w:p>
              </w:tc>
              <w:tc>
                <w:tcPr>
                  <w:tcW w:w="1444" w:type="dxa"/>
                  <w:shd w:val="clear" w:color="auto" w:fill="auto"/>
                  <w:vAlign w:val="center"/>
                </w:tcPr>
                <w:p w14:paraId="54351F96">
                  <w:pPr>
                    <w:keepNext w:val="0"/>
                    <w:keepLines w:val="0"/>
                    <w:suppressLineNumbers w:val="0"/>
                    <w:spacing w:before="0" w:beforeAutospacing="0" w:after="0" w:afterAutospacing="0"/>
                    <w:ind w:left="0" w:leftChars="0" w:right="0" w:rightChars="0"/>
                    <w:jc w:val="center"/>
                    <w:rPr>
                      <w:rFonts w:hint="eastAsia" w:ascii="Times New Roman" w:hAnsi="Times New Roman" w:eastAsia="宋体" w:cs="Times New Roman"/>
                      <w:color w:val="0000E1"/>
                      <w:szCs w:val="21"/>
                    </w:rPr>
                  </w:pPr>
                  <w:r>
                    <w:rPr>
                      <w:rFonts w:hint="eastAsia" w:ascii="Times New Roman" w:hAnsi="Times New Roman" w:eastAsia="宋体" w:cs="Times New Roman"/>
                      <w:color w:val="0000E1"/>
                      <w:szCs w:val="21"/>
                    </w:rPr>
                    <w:t>500万平方米</w:t>
                  </w:r>
                </w:p>
                <w:p w14:paraId="3FBD49FA">
                  <w:pPr>
                    <w:keepNext w:val="0"/>
                    <w:keepLines w:val="0"/>
                    <w:suppressLineNumbers w:val="0"/>
                    <w:spacing w:before="0" w:beforeAutospacing="0" w:after="0" w:afterAutospacing="0"/>
                    <w:ind w:left="0" w:leftChars="0" w:right="0" w:rightChars="0"/>
                    <w:jc w:val="center"/>
                    <w:rPr>
                      <w:rFonts w:hint="eastAsia" w:ascii="Times New Roman" w:hAnsi="Times New Roman" w:eastAsia="宋体" w:cs="Times New Roman"/>
                      <w:color w:val="0000E1"/>
                      <w:kern w:val="2"/>
                      <w:sz w:val="21"/>
                      <w:szCs w:val="21"/>
                      <w:lang w:val="en-US" w:eastAsia="zh-CN" w:bidi="ar-SA"/>
                    </w:rPr>
                  </w:pPr>
                  <w:r>
                    <w:rPr>
                      <w:rFonts w:hint="eastAsia" w:ascii="Times New Roman" w:hAnsi="Times New Roman" w:eastAsia="宋体" w:cs="Times New Roman"/>
                      <w:color w:val="0000E1"/>
                      <w:szCs w:val="21"/>
                      <w:lang w:eastAsia="zh-CN"/>
                    </w:rPr>
                    <w:t>（</w:t>
                  </w:r>
                  <w:r>
                    <w:rPr>
                      <w:rFonts w:hint="eastAsia" w:ascii="Times New Roman" w:hAnsi="Times New Roman" w:eastAsia="宋体" w:cs="Times New Roman"/>
                      <w:color w:val="0000E1"/>
                      <w:szCs w:val="21"/>
                      <w:lang w:val="en-US" w:eastAsia="zh-CN"/>
                    </w:rPr>
                    <w:t>折</w:t>
                  </w:r>
                  <w:r>
                    <w:rPr>
                      <w:rFonts w:hint="default" w:ascii="Times New Roman" w:hAnsi="Times New Roman" w:eastAsia="宋体" w:cs="Times New Roman"/>
                      <w:color w:val="0000E1"/>
                      <w:szCs w:val="21"/>
                    </w:rPr>
                    <w:t>9</w:t>
                  </w:r>
                  <w:r>
                    <w:rPr>
                      <w:rFonts w:hint="eastAsia" w:ascii="Times New Roman" w:hAnsi="Times New Roman" w:eastAsia="宋体" w:cs="Times New Roman"/>
                      <w:color w:val="0000E1"/>
                      <w:szCs w:val="21"/>
                    </w:rPr>
                    <w:t>0</w:t>
                  </w:r>
                  <w:r>
                    <w:rPr>
                      <w:rFonts w:hint="default" w:ascii="Times New Roman" w:hAnsi="Times New Roman" w:eastAsia="宋体" w:cs="Times New Roman"/>
                      <w:color w:val="0000E1"/>
                      <w:szCs w:val="21"/>
                    </w:rPr>
                    <w:t>00</w:t>
                  </w:r>
                  <w:r>
                    <w:rPr>
                      <w:rFonts w:hint="eastAsia" w:ascii="Times New Roman" w:hAnsi="Times New Roman" w:eastAsia="宋体" w:cs="Times New Roman"/>
                      <w:color w:val="0000E1"/>
                      <w:szCs w:val="21"/>
                    </w:rPr>
                    <w:t>t</w:t>
                  </w:r>
                  <w:r>
                    <w:rPr>
                      <w:rFonts w:hint="eastAsia" w:ascii="Times New Roman" w:hAnsi="Times New Roman" w:eastAsia="宋体" w:cs="Times New Roman"/>
                      <w:color w:val="0000E1"/>
                      <w:szCs w:val="21"/>
                      <w:lang w:eastAsia="zh-CN"/>
                    </w:rPr>
                    <w:t>）</w:t>
                  </w:r>
                </w:p>
              </w:tc>
            </w:tr>
            <w:tr w14:paraId="0E4443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3"/>
                <w:wAfter w:w="3822" w:type="dxa"/>
                <w:trHeight w:val="397" w:hRule="atLeast"/>
              </w:trPr>
              <w:tc>
                <w:tcPr>
                  <w:tcW w:w="431" w:type="dxa"/>
                  <w:vAlign w:val="center"/>
                </w:tcPr>
                <w:p w14:paraId="309AC0F5">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0000E1"/>
                      <w:szCs w:val="21"/>
                    </w:rPr>
                  </w:pPr>
                  <w:r>
                    <w:rPr>
                      <w:rFonts w:hint="eastAsia" w:ascii="Times New Roman" w:hAnsi="Times New Roman" w:eastAsia="宋体" w:cs="Times New Roman"/>
                      <w:color w:val="0000E1"/>
                      <w:szCs w:val="21"/>
                    </w:rPr>
                    <w:t>2</w:t>
                  </w:r>
                </w:p>
              </w:tc>
              <w:tc>
                <w:tcPr>
                  <w:tcW w:w="1515" w:type="dxa"/>
                  <w:vAlign w:val="center"/>
                </w:tcPr>
                <w:p w14:paraId="3BE95078">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0000E1"/>
                      <w:szCs w:val="21"/>
                    </w:rPr>
                  </w:pPr>
                  <w:r>
                    <w:rPr>
                      <w:rFonts w:hint="default" w:ascii="Times New Roman" w:hAnsi="Times New Roman" w:eastAsia="宋体" w:cs="Times New Roman"/>
                      <w:color w:val="0000E1"/>
                      <w:szCs w:val="21"/>
                    </w:rPr>
                    <w:t>纳米隔热板</w:t>
                  </w:r>
                </w:p>
              </w:tc>
              <w:tc>
                <w:tcPr>
                  <w:tcW w:w="1920" w:type="dxa"/>
                  <w:vAlign w:val="center"/>
                </w:tcPr>
                <w:p w14:paraId="00C0E0CB">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0000E1"/>
                      <w:szCs w:val="21"/>
                    </w:rPr>
                  </w:pPr>
                  <w:r>
                    <w:rPr>
                      <w:rFonts w:hint="default" w:ascii="Times New Roman" w:hAnsi="Times New Roman" w:eastAsia="宋体" w:cs="Times New Roman"/>
                      <w:color w:val="0000E1"/>
                      <w:szCs w:val="21"/>
                    </w:rPr>
                    <w:t>厚度：1.0</w:t>
                  </w:r>
                  <w:r>
                    <w:rPr>
                      <w:rFonts w:hint="eastAsia" w:ascii="Times New Roman" w:hAnsi="Times New Roman" w:eastAsia="宋体" w:cs="Times New Roman"/>
                      <w:color w:val="0000E1"/>
                      <w:szCs w:val="21"/>
                    </w:rPr>
                    <w:t>-2.5</w:t>
                  </w:r>
                  <w:r>
                    <w:rPr>
                      <w:rFonts w:hint="default" w:ascii="Times New Roman" w:hAnsi="Times New Roman" w:eastAsia="宋体" w:cs="Times New Roman"/>
                      <w:color w:val="0000E1"/>
                      <w:szCs w:val="21"/>
                    </w:rPr>
                    <w:t>mm</w:t>
                  </w:r>
                </w:p>
                <w:p w14:paraId="027C6D05">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0000E1"/>
                      <w:szCs w:val="21"/>
                    </w:rPr>
                  </w:pPr>
                  <w:r>
                    <w:rPr>
                      <w:rFonts w:hint="default" w:ascii="Times New Roman" w:hAnsi="Times New Roman" w:eastAsia="宋体" w:cs="Times New Roman"/>
                      <w:color w:val="0000E1"/>
                      <w:szCs w:val="21"/>
                    </w:rPr>
                    <w:t>面密度：0.4</w:t>
                  </w:r>
                  <w:r>
                    <w:rPr>
                      <w:rFonts w:hint="eastAsia" w:ascii="Times New Roman" w:hAnsi="Times New Roman" w:eastAsia="宋体" w:cs="Times New Roman"/>
                      <w:color w:val="0000E1"/>
                      <w:szCs w:val="21"/>
                    </w:rPr>
                    <w:t>k</w:t>
                  </w:r>
                  <w:r>
                    <w:rPr>
                      <w:rFonts w:hint="default" w:ascii="Times New Roman" w:hAnsi="Times New Roman" w:eastAsia="宋体" w:cs="Times New Roman"/>
                      <w:color w:val="0000E1"/>
                      <w:szCs w:val="21"/>
                    </w:rPr>
                    <w:t>g/m</w:t>
                  </w:r>
                  <w:r>
                    <w:rPr>
                      <w:rFonts w:hint="default" w:ascii="Times New Roman" w:hAnsi="Times New Roman" w:eastAsia="宋体" w:cs="Times New Roman"/>
                      <w:color w:val="0000E1"/>
                      <w:szCs w:val="21"/>
                      <w:vertAlign w:val="superscript"/>
                    </w:rPr>
                    <w:t>2</w:t>
                  </w:r>
                </w:p>
              </w:tc>
              <w:tc>
                <w:tcPr>
                  <w:tcW w:w="2865" w:type="dxa"/>
                  <w:gridSpan w:val="2"/>
                  <w:vMerge w:val="continue"/>
                  <w:vAlign w:val="center"/>
                </w:tcPr>
                <w:p w14:paraId="02FD2154">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0000E1"/>
                      <w:kern w:val="2"/>
                      <w:sz w:val="21"/>
                      <w:szCs w:val="21"/>
                      <w:lang w:val="en-US" w:eastAsia="zh-CN" w:bidi="ar-SA"/>
                    </w:rPr>
                  </w:pPr>
                </w:p>
              </w:tc>
              <w:tc>
                <w:tcPr>
                  <w:tcW w:w="1444" w:type="dxa"/>
                  <w:shd w:val="clear" w:color="auto" w:fill="auto"/>
                  <w:vAlign w:val="center"/>
                </w:tcPr>
                <w:p w14:paraId="7970EB22">
                  <w:pPr>
                    <w:keepNext w:val="0"/>
                    <w:keepLines w:val="0"/>
                    <w:suppressLineNumbers w:val="0"/>
                    <w:spacing w:before="0" w:beforeAutospacing="0" w:after="0" w:afterAutospacing="0"/>
                    <w:ind w:left="0" w:leftChars="0" w:right="0" w:rightChars="0"/>
                    <w:jc w:val="center"/>
                    <w:rPr>
                      <w:rFonts w:hint="eastAsia" w:ascii="Times New Roman" w:hAnsi="Times New Roman" w:eastAsia="宋体" w:cs="Times New Roman"/>
                      <w:color w:val="0000E1"/>
                      <w:kern w:val="2"/>
                      <w:sz w:val="21"/>
                      <w:szCs w:val="21"/>
                      <w:lang w:val="en-US" w:eastAsia="zh-CN" w:bidi="ar-SA"/>
                    </w:rPr>
                  </w:pPr>
                  <w:r>
                    <w:rPr>
                      <w:rFonts w:hint="default" w:ascii="Times New Roman" w:hAnsi="Times New Roman" w:eastAsia="宋体" w:cs="Times New Roman"/>
                      <w:color w:val="0000E1"/>
                      <w:szCs w:val="21"/>
                    </w:rPr>
                    <w:t>2000万片</w:t>
                  </w:r>
                  <w:r>
                    <w:rPr>
                      <w:rFonts w:hint="eastAsia" w:ascii="Times New Roman" w:hAnsi="Times New Roman" w:eastAsia="宋体" w:cs="Times New Roman"/>
                      <w:color w:val="0000E1"/>
                      <w:szCs w:val="21"/>
                      <w:lang w:eastAsia="zh-CN"/>
                    </w:rPr>
                    <w:t>（</w:t>
                  </w:r>
                  <w:r>
                    <w:rPr>
                      <w:rFonts w:hint="eastAsia" w:ascii="Times New Roman" w:hAnsi="Times New Roman" w:eastAsia="宋体" w:cs="Times New Roman"/>
                      <w:color w:val="0000E1"/>
                      <w:szCs w:val="21"/>
                      <w:lang w:val="en-US" w:eastAsia="zh-CN"/>
                    </w:rPr>
                    <w:t>折</w:t>
                  </w:r>
                  <w:r>
                    <w:rPr>
                      <w:rFonts w:hint="eastAsia" w:ascii="Times New Roman" w:hAnsi="Times New Roman" w:eastAsia="宋体" w:cs="Times New Roman"/>
                      <w:color w:val="0000E1"/>
                      <w:szCs w:val="21"/>
                    </w:rPr>
                    <w:t>678.1t</w:t>
                  </w:r>
                  <w:r>
                    <w:rPr>
                      <w:rFonts w:hint="eastAsia" w:ascii="Times New Roman" w:hAnsi="Times New Roman" w:eastAsia="宋体" w:cs="Times New Roman"/>
                      <w:color w:val="0000E1"/>
                      <w:szCs w:val="21"/>
                      <w:lang w:eastAsia="zh-CN"/>
                    </w:rPr>
                    <w:t>）</w:t>
                  </w:r>
                </w:p>
              </w:tc>
            </w:tr>
            <w:tr w14:paraId="28D3BB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3"/>
                <w:wAfter w:w="3822" w:type="dxa"/>
                <w:trHeight w:val="397" w:hRule="atLeast"/>
              </w:trPr>
              <w:tc>
                <w:tcPr>
                  <w:tcW w:w="8175" w:type="dxa"/>
                  <w:gridSpan w:val="6"/>
                  <w:vAlign w:val="center"/>
                </w:tcPr>
                <w:p w14:paraId="68A0999C">
                  <w:pPr>
                    <w:keepNext w:val="0"/>
                    <w:keepLines w:val="0"/>
                    <w:suppressLineNumbers w:val="0"/>
                    <w:spacing w:before="0" w:beforeAutospacing="0" w:after="0" w:afterAutospacing="0"/>
                    <w:ind w:left="0" w:right="0"/>
                    <w:jc w:val="center"/>
                    <w:rPr>
                      <w:rFonts w:hint="eastAsia" w:ascii="Times New Roman" w:hAnsi="Times New Roman" w:eastAsia="宋体" w:cs="Times New Roman"/>
                      <w:color w:val="auto"/>
                      <w:szCs w:val="21"/>
                    </w:rPr>
                  </w:pPr>
                  <w:r>
                    <w:rPr>
                      <w:rFonts w:hint="eastAsia" w:ascii="Times New Roman" w:hAnsi="Times New Roman" w:eastAsia="宋体" w:cs="Times New Roman"/>
                      <w:color w:val="auto"/>
                      <w:szCs w:val="21"/>
                    </w:rPr>
                    <w:t>注：年运行时间</w:t>
                  </w:r>
                  <w:r>
                    <w:rPr>
                      <w:rFonts w:hint="default" w:ascii="Times New Roman" w:hAnsi="Times New Roman" w:eastAsia="宋体" w:cs="Times New Roman"/>
                      <w:color w:val="auto"/>
                      <w:szCs w:val="21"/>
                    </w:rPr>
                    <w:t>300天</w:t>
                  </w:r>
                  <w:r>
                    <w:rPr>
                      <w:rFonts w:hint="eastAsia" w:ascii="Times New Roman" w:hAnsi="Times New Roman" w:eastAsia="宋体" w:cs="Times New Roman"/>
                      <w:color w:val="auto"/>
                      <w:szCs w:val="21"/>
                    </w:rPr>
                    <w:t>。</w:t>
                  </w:r>
                </w:p>
              </w:tc>
            </w:tr>
          </w:tbl>
          <w:p w14:paraId="0B23CC8E">
            <w:pPr>
              <w:keepNext w:val="0"/>
              <w:keepLines w:val="0"/>
              <w:suppressLineNumbers w:val="0"/>
              <w:spacing w:before="0" w:beforeAutospacing="0" w:after="0" w:afterAutospacing="0" w:line="360" w:lineRule="auto"/>
              <w:ind w:left="0" w:right="0"/>
              <w:rPr>
                <w:rFonts w:hint="default" w:ascii="Times New Roman" w:hAnsi="Times New Roman" w:eastAsia="宋体" w:cs="Times New Roman"/>
                <w:b/>
                <w:bCs/>
                <w:color w:val="auto"/>
                <w:sz w:val="24"/>
              </w:rPr>
            </w:pPr>
            <w:r>
              <w:rPr>
                <w:rFonts w:hint="eastAsia" w:ascii="Times New Roman" w:hAnsi="Times New Roman" w:eastAsia="宋体" w:cs="Times New Roman"/>
                <w:b/>
                <w:bCs/>
                <w:color w:val="auto"/>
                <w:sz w:val="24"/>
              </w:rPr>
              <w:t>2.1.3主要生产设备</w:t>
            </w:r>
          </w:p>
          <w:p w14:paraId="776B0A9F">
            <w:pPr>
              <w:keepNext w:val="0"/>
              <w:keepLines w:val="0"/>
              <w:suppressLineNumbers w:val="0"/>
              <w:spacing w:before="0" w:beforeAutospacing="0" w:after="0" w:afterAutospacing="0"/>
              <w:ind w:left="0" w:right="0"/>
              <w:jc w:val="center"/>
              <w:rPr>
                <w:rFonts w:hint="default" w:ascii="Times New Roman" w:hAnsi="Times New Roman" w:eastAsia="宋体" w:cs="Times New Roman"/>
                <w:b/>
                <w:bCs/>
                <w:color w:val="auto"/>
              </w:rPr>
            </w:pPr>
            <w:r>
              <w:rPr>
                <w:rFonts w:hint="eastAsia" w:ascii="Times New Roman" w:hAnsi="Times New Roman" w:eastAsia="宋体" w:cs="Times New Roman"/>
                <w:b/>
                <w:bCs/>
                <w:color w:val="auto"/>
              </w:rPr>
              <w:t>表</w:t>
            </w:r>
            <w:r>
              <w:rPr>
                <w:rFonts w:hint="default" w:ascii="Times New Roman" w:hAnsi="Times New Roman" w:eastAsia="宋体" w:cs="Times New Roman"/>
                <w:b/>
                <w:bCs/>
                <w:color w:val="auto"/>
              </w:rPr>
              <w:t>2-</w:t>
            </w:r>
            <w:r>
              <w:rPr>
                <w:rFonts w:hint="eastAsia" w:ascii="Times New Roman" w:hAnsi="Times New Roman" w:eastAsia="宋体" w:cs="Times New Roman"/>
                <w:b/>
                <w:bCs/>
                <w:color w:val="auto"/>
                <w:lang w:val="en-US" w:eastAsia="zh-CN"/>
              </w:rPr>
              <w:t>5</w:t>
            </w:r>
            <w:r>
              <w:rPr>
                <w:rFonts w:hint="eastAsia" w:ascii="Times New Roman" w:hAnsi="Times New Roman" w:eastAsia="宋体" w:cs="Times New Roman"/>
                <w:b/>
                <w:bCs/>
                <w:color w:val="auto"/>
              </w:rPr>
              <w:t xml:space="preserve"> </w:t>
            </w:r>
            <w:r>
              <w:rPr>
                <w:rFonts w:hint="default" w:ascii="Times New Roman" w:hAnsi="Times New Roman" w:eastAsia="宋体" w:cs="Times New Roman"/>
                <w:b/>
                <w:bCs/>
                <w:color w:val="auto"/>
              </w:rPr>
              <w:t xml:space="preserve"> </w:t>
            </w:r>
            <w:r>
              <w:rPr>
                <w:rFonts w:hint="eastAsia" w:ascii="Times New Roman" w:hAnsi="Times New Roman" w:eastAsia="宋体" w:cs="Times New Roman"/>
                <w:b/>
                <w:bCs/>
                <w:color w:val="auto"/>
              </w:rPr>
              <w:t>项目主要生产设备清单一览表</w:t>
            </w:r>
          </w:p>
          <w:tbl>
            <w:tblPr>
              <w:tblStyle w:val="23"/>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76"/>
              <w:gridCol w:w="645"/>
              <w:gridCol w:w="1080"/>
              <w:gridCol w:w="1254"/>
              <w:gridCol w:w="791"/>
              <w:gridCol w:w="682"/>
              <w:gridCol w:w="968"/>
              <w:gridCol w:w="878"/>
              <w:gridCol w:w="345"/>
              <w:gridCol w:w="532"/>
              <w:gridCol w:w="524"/>
            </w:tblGrid>
            <w:tr w14:paraId="0BF34A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3" w:hRule="atLeast"/>
                <w:jc w:val="center"/>
              </w:trPr>
              <w:tc>
                <w:tcPr>
                  <w:tcW w:w="291" w:type="pct"/>
                  <w:vMerge w:val="restart"/>
                  <w:vAlign w:val="center"/>
                </w:tcPr>
                <w:p w14:paraId="608367F3">
                  <w:pPr>
                    <w:keepNext w:val="0"/>
                    <w:keepLines w:val="0"/>
                    <w:suppressLineNumbers w:val="0"/>
                    <w:spacing w:before="0" w:beforeAutospacing="0" w:after="0" w:afterAutospacing="0"/>
                    <w:ind w:left="0" w:right="0"/>
                    <w:jc w:val="center"/>
                    <w:rPr>
                      <w:rFonts w:hint="default" w:ascii="Times New Roman" w:hAnsi="Times New Roman" w:eastAsia="宋体" w:cs="Times New Roman"/>
                      <w:b/>
                      <w:bCs/>
                      <w:color w:val="auto"/>
                      <w:szCs w:val="21"/>
                      <w:highlight w:val="none"/>
                    </w:rPr>
                  </w:pPr>
                  <w:r>
                    <w:rPr>
                      <w:rFonts w:hint="default" w:ascii="Times New Roman" w:hAnsi="Times New Roman" w:eastAsia="宋体" w:cs="Times New Roman"/>
                      <w:b/>
                      <w:bCs/>
                      <w:color w:val="auto"/>
                      <w:szCs w:val="21"/>
                      <w:highlight w:val="none"/>
                    </w:rPr>
                    <w:t>序号</w:t>
                  </w:r>
                </w:p>
              </w:tc>
              <w:tc>
                <w:tcPr>
                  <w:tcW w:w="394" w:type="pct"/>
                  <w:vMerge w:val="restart"/>
                  <w:vAlign w:val="center"/>
                </w:tcPr>
                <w:p w14:paraId="2C37CE96">
                  <w:pPr>
                    <w:keepNext w:val="0"/>
                    <w:keepLines w:val="0"/>
                    <w:suppressLineNumbers w:val="0"/>
                    <w:spacing w:before="0" w:beforeAutospacing="0" w:after="0" w:afterAutospacing="0"/>
                    <w:ind w:left="0" w:right="0"/>
                    <w:jc w:val="center"/>
                    <w:rPr>
                      <w:rFonts w:hint="default" w:ascii="Times New Roman" w:hAnsi="Times New Roman" w:eastAsia="宋体" w:cs="Times New Roman"/>
                      <w:b/>
                      <w:bCs/>
                      <w:color w:val="auto"/>
                      <w:szCs w:val="21"/>
                      <w:highlight w:val="none"/>
                    </w:rPr>
                  </w:pPr>
                  <w:r>
                    <w:rPr>
                      <w:rFonts w:hint="default" w:ascii="Times New Roman" w:hAnsi="Times New Roman" w:eastAsia="宋体" w:cs="Times New Roman"/>
                      <w:b/>
                      <w:bCs/>
                      <w:color w:val="auto"/>
                      <w:szCs w:val="21"/>
                      <w:highlight w:val="none"/>
                    </w:rPr>
                    <w:t>对应工段</w:t>
                  </w:r>
                </w:p>
              </w:tc>
              <w:tc>
                <w:tcPr>
                  <w:tcW w:w="660" w:type="pct"/>
                  <w:vMerge w:val="restart"/>
                  <w:vAlign w:val="center"/>
                </w:tcPr>
                <w:p w14:paraId="73FD2D40">
                  <w:pPr>
                    <w:keepNext w:val="0"/>
                    <w:keepLines w:val="0"/>
                    <w:suppressLineNumbers w:val="0"/>
                    <w:spacing w:before="0" w:beforeAutospacing="0" w:after="0" w:afterAutospacing="0"/>
                    <w:ind w:left="0" w:right="0"/>
                    <w:jc w:val="center"/>
                    <w:rPr>
                      <w:rFonts w:hint="default" w:ascii="Times New Roman" w:hAnsi="Times New Roman" w:eastAsia="宋体" w:cs="Times New Roman"/>
                      <w:b/>
                      <w:bCs/>
                      <w:color w:val="auto"/>
                      <w:szCs w:val="21"/>
                      <w:highlight w:val="none"/>
                    </w:rPr>
                  </w:pPr>
                  <w:r>
                    <w:rPr>
                      <w:rFonts w:hint="default" w:ascii="Times New Roman" w:hAnsi="Times New Roman" w:eastAsia="宋体" w:cs="Times New Roman"/>
                      <w:b/>
                      <w:bCs/>
                      <w:color w:val="auto"/>
                      <w:szCs w:val="21"/>
                      <w:highlight w:val="none"/>
                    </w:rPr>
                    <w:t>设备名称</w:t>
                  </w:r>
                </w:p>
              </w:tc>
              <w:tc>
                <w:tcPr>
                  <w:tcW w:w="766" w:type="pct"/>
                  <w:vMerge w:val="restart"/>
                  <w:vAlign w:val="center"/>
                </w:tcPr>
                <w:p w14:paraId="52BDEB82">
                  <w:pPr>
                    <w:keepNext w:val="0"/>
                    <w:keepLines w:val="0"/>
                    <w:suppressLineNumbers w:val="0"/>
                    <w:spacing w:before="0" w:beforeAutospacing="0" w:after="0" w:afterAutospacing="0"/>
                    <w:ind w:left="0" w:right="0"/>
                    <w:jc w:val="center"/>
                    <w:rPr>
                      <w:rFonts w:hint="default" w:ascii="Times New Roman" w:hAnsi="Times New Roman" w:eastAsia="宋体" w:cs="Times New Roman"/>
                      <w:b/>
                      <w:bCs/>
                      <w:color w:val="auto"/>
                      <w:szCs w:val="21"/>
                      <w:highlight w:val="none"/>
                    </w:rPr>
                  </w:pPr>
                  <w:r>
                    <w:rPr>
                      <w:rFonts w:hint="default" w:ascii="Times New Roman" w:hAnsi="Times New Roman" w:eastAsia="宋体" w:cs="Times New Roman"/>
                      <w:b/>
                      <w:bCs/>
                      <w:color w:val="auto"/>
                      <w:szCs w:val="21"/>
                      <w:highlight w:val="none"/>
                    </w:rPr>
                    <w:t>型号</w:t>
                  </w:r>
                </w:p>
              </w:tc>
              <w:tc>
                <w:tcPr>
                  <w:tcW w:w="900" w:type="pct"/>
                  <w:gridSpan w:val="2"/>
                  <w:vAlign w:val="center"/>
                </w:tcPr>
                <w:p w14:paraId="4BC3DE6C">
                  <w:pPr>
                    <w:keepNext w:val="0"/>
                    <w:keepLines w:val="0"/>
                    <w:suppressLineNumbers w:val="0"/>
                    <w:spacing w:before="0" w:beforeAutospacing="0" w:after="0" w:afterAutospacing="0"/>
                    <w:ind w:left="0" w:right="0"/>
                    <w:jc w:val="center"/>
                    <w:rPr>
                      <w:rFonts w:hint="eastAsia" w:ascii="Times New Roman" w:hAnsi="Times New Roman" w:eastAsia="宋体" w:cs="Times New Roman"/>
                      <w:b/>
                      <w:bCs/>
                      <w:color w:val="0000FF"/>
                      <w:szCs w:val="21"/>
                      <w:highlight w:val="none"/>
                      <w:lang w:val="en-US" w:eastAsia="zh-CN"/>
                    </w:rPr>
                  </w:pPr>
                  <w:r>
                    <w:rPr>
                      <w:rFonts w:hint="eastAsia" w:ascii="Times New Roman" w:hAnsi="Times New Roman" w:eastAsia="宋体" w:cs="Times New Roman"/>
                      <w:b/>
                      <w:bCs/>
                      <w:color w:val="0000FF"/>
                      <w:szCs w:val="21"/>
                      <w:highlight w:val="none"/>
                      <w:lang w:val="en-US" w:eastAsia="zh-CN"/>
                    </w:rPr>
                    <w:t>扩建前数量</w:t>
                  </w:r>
                </w:p>
              </w:tc>
              <w:tc>
                <w:tcPr>
                  <w:tcW w:w="592" w:type="pct"/>
                  <w:vMerge w:val="restart"/>
                  <w:vAlign w:val="center"/>
                </w:tcPr>
                <w:p w14:paraId="5B00AC6C">
                  <w:pPr>
                    <w:keepNext w:val="0"/>
                    <w:keepLines w:val="0"/>
                    <w:suppressLineNumbers w:val="0"/>
                    <w:spacing w:before="0" w:beforeAutospacing="0" w:after="0" w:afterAutospacing="0"/>
                    <w:ind w:left="0" w:right="0"/>
                    <w:jc w:val="center"/>
                    <w:rPr>
                      <w:rFonts w:hint="default" w:ascii="Times New Roman" w:hAnsi="Times New Roman" w:eastAsia="宋体" w:cs="Times New Roman"/>
                      <w:b/>
                      <w:bCs/>
                      <w:color w:val="0000FF"/>
                      <w:szCs w:val="21"/>
                      <w:highlight w:val="none"/>
                    </w:rPr>
                  </w:pPr>
                  <w:r>
                    <w:rPr>
                      <w:rFonts w:hint="eastAsia" w:ascii="Times New Roman" w:hAnsi="Times New Roman" w:eastAsia="宋体" w:cs="Times New Roman"/>
                      <w:b/>
                      <w:bCs/>
                      <w:color w:val="0000FF"/>
                      <w:szCs w:val="21"/>
                      <w:highlight w:val="none"/>
                      <w:lang w:val="en-US" w:eastAsia="zh-CN"/>
                    </w:rPr>
                    <w:t>扩建后全厂数量</w:t>
                  </w:r>
                  <w:r>
                    <w:rPr>
                      <w:rFonts w:hint="default" w:ascii="Times New Roman" w:hAnsi="Times New Roman" w:eastAsia="宋体" w:cs="Times New Roman"/>
                      <w:b/>
                      <w:bCs/>
                      <w:color w:val="0000FF"/>
                      <w:szCs w:val="21"/>
                      <w:highlight w:val="none"/>
                    </w:rPr>
                    <w:t>数量（台）</w:t>
                  </w:r>
                </w:p>
              </w:tc>
              <w:tc>
                <w:tcPr>
                  <w:tcW w:w="537" w:type="pct"/>
                  <w:vMerge w:val="restart"/>
                  <w:vAlign w:val="center"/>
                </w:tcPr>
                <w:p w14:paraId="71AC8D81">
                  <w:pPr>
                    <w:keepNext w:val="0"/>
                    <w:keepLines w:val="0"/>
                    <w:suppressLineNumbers w:val="0"/>
                    <w:spacing w:before="0" w:beforeAutospacing="0" w:after="0" w:afterAutospacing="0"/>
                    <w:ind w:left="0" w:right="0"/>
                    <w:jc w:val="center"/>
                    <w:rPr>
                      <w:rFonts w:hint="eastAsia" w:ascii="Times New Roman" w:hAnsi="Times New Roman" w:eastAsia="宋体" w:cs="Times New Roman"/>
                      <w:b/>
                      <w:bCs/>
                      <w:color w:val="0000FF"/>
                      <w:szCs w:val="21"/>
                      <w:highlight w:val="none"/>
                      <w:lang w:val="en-US" w:eastAsia="zh-CN"/>
                    </w:rPr>
                  </w:pPr>
                  <w:r>
                    <w:rPr>
                      <w:rFonts w:hint="eastAsia" w:ascii="Times New Roman" w:hAnsi="Times New Roman" w:eastAsia="宋体" w:cs="Times New Roman"/>
                      <w:b/>
                      <w:bCs/>
                      <w:color w:val="0000FF"/>
                      <w:szCs w:val="21"/>
                      <w:highlight w:val="none"/>
                      <w:lang w:val="en-US" w:eastAsia="zh-CN"/>
                    </w:rPr>
                    <w:t>变化量（台）</w:t>
                  </w:r>
                </w:p>
              </w:tc>
              <w:tc>
                <w:tcPr>
                  <w:tcW w:w="536" w:type="pct"/>
                  <w:gridSpan w:val="2"/>
                  <w:vMerge w:val="restart"/>
                  <w:vAlign w:val="center"/>
                </w:tcPr>
                <w:p w14:paraId="264C8E80">
                  <w:pPr>
                    <w:keepNext w:val="0"/>
                    <w:keepLines w:val="0"/>
                    <w:suppressLineNumbers w:val="0"/>
                    <w:spacing w:before="0" w:beforeAutospacing="0" w:after="0" w:afterAutospacing="0"/>
                    <w:ind w:left="0" w:right="0"/>
                    <w:jc w:val="center"/>
                    <w:rPr>
                      <w:rFonts w:hint="eastAsia" w:ascii="Times New Roman" w:hAnsi="Times New Roman" w:eastAsia="宋体" w:cs="Times New Roman"/>
                      <w:b/>
                      <w:bCs/>
                      <w:color w:val="auto"/>
                      <w:szCs w:val="21"/>
                      <w:highlight w:val="none"/>
                      <w:lang w:val="en-US" w:eastAsia="zh-CN"/>
                    </w:rPr>
                  </w:pPr>
                  <w:r>
                    <w:rPr>
                      <w:rFonts w:hint="eastAsia" w:ascii="Times New Roman" w:hAnsi="Times New Roman" w:eastAsia="宋体" w:cs="Times New Roman"/>
                      <w:b/>
                      <w:bCs/>
                      <w:color w:val="auto"/>
                      <w:szCs w:val="21"/>
                      <w:highlight w:val="none"/>
                      <w:lang w:val="en-US" w:eastAsia="zh-CN"/>
                    </w:rPr>
                    <w:t>位置</w:t>
                  </w:r>
                </w:p>
              </w:tc>
              <w:tc>
                <w:tcPr>
                  <w:tcW w:w="320" w:type="pct"/>
                  <w:vMerge w:val="restart"/>
                  <w:vAlign w:val="center"/>
                </w:tcPr>
                <w:p w14:paraId="43E38F0A">
                  <w:pPr>
                    <w:keepNext w:val="0"/>
                    <w:keepLines w:val="0"/>
                    <w:suppressLineNumbers w:val="0"/>
                    <w:spacing w:before="0" w:beforeAutospacing="0" w:after="0" w:afterAutospacing="0"/>
                    <w:ind w:left="0" w:right="0"/>
                    <w:jc w:val="center"/>
                    <w:rPr>
                      <w:rFonts w:hint="default" w:ascii="Times New Roman" w:hAnsi="Times New Roman" w:eastAsia="宋体" w:cs="Times New Roman"/>
                      <w:b/>
                      <w:bCs/>
                      <w:color w:val="auto"/>
                      <w:szCs w:val="21"/>
                      <w:highlight w:val="none"/>
                    </w:rPr>
                  </w:pPr>
                  <w:r>
                    <w:rPr>
                      <w:rFonts w:hint="default" w:ascii="Times New Roman" w:hAnsi="Times New Roman" w:eastAsia="宋体" w:cs="Times New Roman"/>
                      <w:b/>
                      <w:bCs/>
                      <w:color w:val="auto"/>
                      <w:szCs w:val="21"/>
                      <w:highlight w:val="none"/>
                    </w:rPr>
                    <w:t>备注</w:t>
                  </w:r>
                </w:p>
              </w:tc>
            </w:tr>
            <w:tr w14:paraId="442F2A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3" w:hRule="atLeast"/>
                <w:jc w:val="center"/>
              </w:trPr>
              <w:tc>
                <w:tcPr>
                  <w:tcW w:w="291" w:type="pct"/>
                  <w:vMerge w:val="continue"/>
                  <w:vAlign w:val="center"/>
                </w:tcPr>
                <w:p w14:paraId="4A03C2ED">
                  <w:pPr>
                    <w:keepNext w:val="0"/>
                    <w:keepLines w:val="0"/>
                    <w:suppressLineNumbers w:val="0"/>
                    <w:spacing w:before="0" w:beforeAutospacing="0" w:after="0" w:afterAutospacing="0"/>
                    <w:ind w:left="0" w:right="0"/>
                    <w:jc w:val="center"/>
                    <w:rPr>
                      <w:rFonts w:hint="default"/>
                    </w:rPr>
                  </w:pPr>
                </w:p>
              </w:tc>
              <w:tc>
                <w:tcPr>
                  <w:tcW w:w="394" w:type="pct"/>
                  <w:vMerge w:val="continue"/>
                  <w:vAlign w:val="center"/>
                </w:tcPr>
                <w:p w14:paraId="28761D16">
                  <w:pPr>
                    <w:keepNext w:val="0"/>
                    <w:keepLines w:val="0"/>
                    <w:suppressLineNumbers w:val="0"/>
                    <w:spacing w:before="0" w:beforeAutospacing="0" w:after="0" w:afterAutospacing="0"/>
                    <w:ind w:left="0" w:right="0"/>
                    <w:jc w:val="center"/>
                    <w:rPr>
                      <w:rFonts w:hint="default"/>
                    </w:rPr>
                  </w:pPr>
                </w:p>
              </w:tc>
              <w:tc>
                <w:tcPr>
                  <w:tcW w:w="660" w:type="pct"/>
                  <w:vMerge w:val="continue"/>
                  <w:vAlign w:val="center"/>
                </w:tcPr>
                <w:p w14:paraId="5EE2C9A9">
                  <w:pPr>
                    <w:keepNext w:val="0"/>
                    <w:keepLines w:val="0"/>
                    <w:suppressLineNumbers w:val="0"/>
                    <w:spacing w:before="0" w:beforeAutospacing="0" w:after="0" w:afterAutospacing="0"/>
                    <w:ind w:left="0" w:right="0"/>
                    <w:jc w:val="center"/>
                    <w:rPr>
                      <w:rFonts w:hint="default"/>
                    </w:rPr>
                  </w:pPr>
                </w:p>
              </w:tc>
              <w:tc>
                <w:tcPr>
                  <w:tcW w:w="766" w:type="pct"/>
                  <w:vMerge w:val="continue"/>
                  <w:vAlign w:val="center"/>
                </w:tcPr>
                <w:p w14:paraId="408E993E">
                  <w:pPr>
                    <w:keepNext w:val="0"/>
                    <w:keepLines w:val="0"/>
                    <w:suppressLineNumbers w:val="0"/>
                    <w:spacing w:before="0" w:beforeAutospacing="0" w:after="0" w:afterAutospacing="0"/>
                    <w:ind w:left="0" w:right="0"/>
                    <w:jc w:val="center"/>
                    <w:rPr>
                      <w:rFonts w:hint="default"/>
                    </w:rPr>
                  </w:pPr>
                </w:p>
              </w:tc>
              <w:tc>
                <w:tcPr>
                  <w:tcW w:w="483" w:type="pct"/>
                  <w:vAlign w:val="center"/>
                </w:tcPr>
                <w:p w14:paraId="363C4445">
                  <w:pPr>
                    <w:keepNext w:val="0"/>
                    <w:keepLines w:val="0"/>
                    <w:suppressLineNumbers w:val="0"/>
                    <w:spacing w:before="0" w:beforeAutospacing="0" w:after="0" w:afterAutospacing="0"/>
                    <w:ind w:left="0" w:right="0"/>
                    <w:jc w:val="center"/>
                    <w:rPr>
                      <w:rFonts w:hint="default" w:ascii="Times New Roman" w:hAnsi="Times New Roman" w:eastAsia="宋体" w:cs="Times New Roman"/>
                      <w:b/>
                      <w:bCs/>
                      <w:color w:val="0000FF"/>
                      <w:szCs w:val="21"/>
                      <w:highlight w:val="none"/>
                      <w:lang w:val="en-US" w:eastAsia="zh-CN"/>
                    </w:rPr>
                  </w:pPr>
                  <w:r>
                    <w:rPr>
                      <w:rFonts w:hint="eastAsia" w:ascii="Times New Roman" w:hAnsi="Times New Roman" w:eastAsia="宋体" w:cs="Times New Roman"/>
                      <w:b/>
                      <w:bCs/>
                      <w:color w:val="0000FF"/>
                      <w:szCs w:val="21"/>
                      <w:highlight w:val="none"/>
                      <w:lang w:val="en-US" w:eastAsia="zh-CN"/>
                    </w:rPr>
                    <w:t>审批</w:t>
                  </w:r>
                </w:p>
              </w:tc>
              <w:tc>
                <w:tcPr>
                  <w:tcW w:w="417" w:type="pct"/>
                  <w:vAlign w:val="center"/>
                </w:tcPr>
                <w:p w14:paraId="78C1114E">
                  <w:pPr>
                    <w:keepNext w:val="0"/>
                    <w:keepLines w:val="0"/>
                    <w:suppressLineNumbers w:val="0"/>
                    <w:spacing w:before="0" w:beforeAutospacing="0" w:after="0" w:afterAutospacing="0"/>
                    <w:ind w:left="0" w:right="0"/>
                    <w:jc w:val="center"/>
                    <w:rPr>
                      <w:rFonts w:hint="default" w:ascii="Times New Roman" w:hAnsi="Times New Roman" w:eastAsia="宋体" w:cs="Times New Roman"/>
                      <w:b/>
                      <w:bCs/>
                      <w:color w:val="0000FF"/>
                      <w:szCs w:val="21"/>
                      <w:highlight w:val="none"/>
                      <w:lang w:val="en-US" w:eastAsia="zh-CN"/>
                    </w:rPr>
                  </w:pPr>
                  <w:r>
                    <w:rPr>
                      <w:rFonts w:hint="eastAsia" w:ascii="Times New Roman" w:hAnsi="Times New Roman" w:eastAsia="宋体" w:cs="Times New Roman"/>
                      <w:b/>
                      <w:bCs/>
                      <w:color w:val="0000FF"/>
                      <w:szCs w:val="21"/>
                      <w:highlight w:val="none"/>
                      <w:lang w:val="en-US" w:eastAsia="zh-CN"/>
                    </w:rPr>
                    <w:t>验收</w:t>
                  </w:r>
                </w:p>
              </w:tc>
              <w:tc>
                <w:tcPr>
                  <w:tcW w:w="592" w:type="pct"/>
                  <w:vMerge w:val="continue"/>
                  <w:vAlign w:val="center"/>
                </w:tcPr>
                <w:p w14:paraId="364489B7">
                  <w:pPr>
                    <w:keepNext w:val="0"/>
                    <w:keepLines w:val="0"/>
                    <w:suppressLineNumbers w:val="0"/>
                    <w:spacing w:before="0" w:beforeAutospacing="0" w:after="0" w:afterAutospacing="0"/>
                    <w:ind w:left="0" w:right="0"/>
                    <w:jc w:val="center"/>
                    <w:rPr>
                      <w:rFonts w:hint="default" w:ascii="Times New Roman" w:hAnsi="Times New Roman" w:eastAsia="宋体" w:cs="Times New Roman"/>
                      <w:b/>
                      <w:bCs/>
                      <w:color w:val="auto"/>
                      <w:szCs w:val="21"/>
                      <w:highlight w:val="none"/>
                    </w:rPr>
                  </w:pPr>
                </w:p>
              </w:tc>
              <w:tc>
                <w:tcPr>
                  <w:tcW w:w="537" w:type="pct"/>
                  <w:vMerge w:val="continue"/>
                  <w:vAlign w:val="center"/>
                </w:tcPr>
                <w:p w14:paraId="2A0C20CF">
                  <w:pPr>
                    <w:keepNext w:val="0"/>
                    <w:keepLines w:val="0"/>
                    <w:suppressLineNumbers w:val="0"/>
                    <w:spacing w:before="0" w:beforeAutospacing="0" w:after="0" w:afterAutospacing="0"/>
                    <w:ind w:left="0" w:right="0"/>
                    <w:jc w:val="center"/>
                    <w:rPr>
                      <w:rFonts w:hint="default" w:ascii="Times New Roman" w:hAnsi="Times New Roman" w:eastAsia="宋体" w:cs="Times New Roman"/>
                      <w:b/>
                      <w:bCs/>
                      <w:color w:val="auto"/>
                      <w:szCs w:val="21"/>
                      <w:highlight w:val="none"/>
                    </w:rPr>
                  </w:pPr>
                </w:p>
              </w:tc>
              <w:tc>
                <w:tcPr>
                  <w:tcW w:w="536" w:type="pct"/>
                  <w:gridSpan w:val="2"/>
                  <w:vMerge w:val="continue"/>
                  <w:vAlign w:val="center"/>
                </w:tcPr>
                <w:p w14:paraId="3277336F">
                  <w:pPr>
                    <w:keepNext w:val="0"/>
                    <w:keepLines w:val="0"/>
                    <w:suppressLineNumbers w:val="0"/>
                    <w:spacing w:before="0" w:beforeAutospacing="0" w:after="0" w:afterAutospacing="0"/>
                    <w:ind w:left="0" w:right="0"/>
                    <w:jc w:val="center"/>
                    <w:rPr>
                      <w:rFonts w:hint="default" w:ascii="Times New Roman" w:hAnsi="Times New Roman" w:eastAsia="宋体" w:cs="Times New Roman"/>
                      <w:b/>
                      <w:bCs/>
                      <w:color w:val="auto"/>
                      <w:szCs w:val="21"/>
                      <w:highlight w:val="none"/>
                    </w:rPr>
                  </w:pPr>
                </w:p>
              </w:tc>
              <w:tc>
                <w:tcPr>
                  <w:tcW w:w="320" w:type="pct"/>
                  <w:vMerge w:val="continue"/>
                  <w:vAlign w:val="center"/>
                </w:tcPr>
                <w:p w14:paraId="3F734DE6">
                  <w:pPr>
                    <w:keepNext w:val="0"/>
                    <w:keepLines w:val="0"/>
                    <w:suppressLineNumbers w:val="0"/>
                    <w:spacing w:before="0" w:beforeAutospacing="0" w:after="0" w:afterAutospacing="0"/>
                    <w:ind w:left="0" w:right="0"/>
                    <w:jc w:val="center"/>
                    <w:rPr>
                      <w:rFonts w:hint="default" w:ascii="Times New Roman" w:hAnsi="Times New Roman" w:eastAsia="宋体" w:cs="Times New Roman"/>
                      <w:b/>
                      <w:bCs/>
                      <w:color w:val="auto"/>
                      <w:szCs w:val="21"/>
                      <w:highlight w:val="none"/>
                    </w:rPr>
                  </w:pPr>
                </w:p>
              </w:tc>
            </w:tr>
            <w:tr w14:paraId="4538CF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5000" w:type="pct"/>
                  <w:gridSpan w:val="11"/>
                  <w:vAlign w:val="center"/>
                </w:tcPr>
                <w:p w14:paraId="1EC5A685">
                  <w:pPr>
                    <w:keepNext w:val="0"/>
                    <w:keepLines w:val="0"/>
                    <w:suppressLineNumbers w:val="0"/>
                    <w:spacing w:before="0" w:beforeAutospacing="0" w:after="0" w:afterAutospacing="0"/>
                    <w:ind w:left="0" w:right="0"/>
                    <w:jc w:val="center"/>
                    <w:rPr>
                      <w:rFonts w:hint="eastAsia" w:ascii="Times New Roman" w:hAnsi="Times New Roman" w:eastAsia="宋体" w:cs="Times New Roman"/>
                      <w:b w:val="0"/>
                      <w:bCs w:val="0"/>
                      <w:color w:val="0000FF"/>
                      <w:szCs w:val="21"/>
                      <w:highlight w:val="none"/>
                      <w:lang w:eastAsia="zh-CN"/>
                    </w:rPr>
                  </w:pPr>
                  <w:r>
                    <w:rPr>
                      <w:rFonts w:hint="default" w:ascii="Times New Roman" w:hAnsi="Times New Roman" w:eastAsia="宋体" w:cs="Times New Roman"/>
                      <w:b/>
                      <w:bCs/>
                      <w:color w:val="FF0000"/>
                      <w:szCs w:val="21"/>
                    </w:rPr>
                    <w:t>新能源汽车零部件（有机硅组件）</w:t>
                  </w:r>
                  <w:commentRangeStart w:id="25"/>
                  <w:commentRangeStart w:id="26"/>
                  <w:r>
                    <w:rPr>
                      <w:rFonts w:hint="default"/>
                    </w:rPr>
                    <w:commentReference w:id="25"/>
                  </w:r>
                  <w:commentRangeEnd w:id="25"/>
                  <w:commentRangeEnd w:id="26"/>
                  <w:r>
                    <w:rPr>
                      <w:rFonts w:hint="default"/>
                    </w:rPr>
                    <w:commentReference w:id="26"/>
                  </w:r>
                  <w:r>
                    <w:rPr>
                      <w:rFonts w:hint="eastAsia" w:ascii="Times New Roman" w:hAnsi="Times New Roman" w:eastAsia="宋体" w:cs="Times New Roman"/>
                      <w:b/>
                      <w:bCs/>
                      <w:color w:val="0000FF"/>
                      <w:szCs w:val="21"/>
                      <w:highlight w:val="none"/>
                      <w:lang w:eastAsia="zh-CN"/>
                    </w:rPr>
                    <w:t>（</w:t>
                  </w:r>
                  <w:r>
                    <w:rPr>
                      <w:rFonts w:hint="eastAsia" w:ascii="Times New Roman" w:hAnsi="Times New Roman" w:eastAsia="宋体" w:cs="Times New Roman"/>
                      <w:b/>
                      <w:bCs/>
                      <w:color w:val="0000FF"/>
                      <w:szCs w:val="21"/>
                      <w:highlight w:val="none"/>
                      <w:lang w:val="en-US" w:eastAsia="zh-CN"/>
                    </w:rPr>
                    <w:t>现有项目</w:t>
                  </w:r>
                  <w:r>
                    <w:rPr>
                      <w:rFonts w:hint="eastAsia" w:ascii="Times New Roman" w:hAnsi="Times New Roman" w:eastAsia="宋体" w:cs="Times New Roman"/>
                      <w:b/>
                      <w:bCs/>
                      <w:color w:val="0000FF"/>
                      <w:szCs w:val="21"/>
                      <w:highlight w:val="none"/>
                      <w:lang w:eastAsia="zh-CN"/>
                    </w:rPr>
                    <w:t>）</w:t>
                  </w:r>
                </w:p>
              </w:tc>
            </w:tr>
            <w:tr w14:paraId="76C4E9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291" w:type="pct"/>
                  <w:shd w:val="clear" w:color="auto" w:fill="auto"/>
                  <w:vAlign w:val="center"/>
                </w:tcPr>
                <w:p w14:paraId="36423141">
                  <w:pPr>
                    <w:keepNext w:val="0"/>
                    <w:keepLines w:val="0"/>
                    <w:suppressLineNumbers w:val="0"/>
                    <w:spacing w:before="0" w:beforeAutospacing="0" w:after="0" w:afterAutospacing="0" w:line="240" w:lineRule="auto"/>
                    <w:ind w:left="0" w:right="0"/>
                    <w:jc w:val="center"/>
                    <w:rPr>
                      <w:rFonts w:hint="default" w:ascii="Times New Roman" w:hAnsi="Times New Roman" w:eastAsia="宋体" w:cs="Times New Roman"/>
                      <w:b w:val="0"/>
                      <w:bCs w:val="0"/>
                      <w:color w:val="0000FF"/>
                      <w:kern w:val="2"/>
                      <w:sz w:val="21"/>
                      <w:szCs w:val="21"/>
                      <w:highlight w:val="none"/>
                      <w:lang w:val="en-US" w:eastAsia="zh-CN" w:bidi="ar-SA"/>
                    </w:rPr>
                  </w:pPr>
                  <w:r>
                    <w:rPr>
                      <w:rFonts w:hint="default" w:ascii="Times New Roman" w:hAnsi="Times New Roman" w:eastAsia="宋体" w:cs="Times New Roman"/>
                      <w:b w:val="0"/>
                      <w:bCs w:val="0"/>
                      <w:color w:val="0000FF"/>
                      <w:sz w:val="21"/>
                      <w:szCs w:val="21"/>
                      <w:highlight w:val="none"/>
                      <w:lang w:val="en-US" w:eastAsia="zh-CN"/>
                    </w:rPr>
                    <w:t>1</w:t>
                  </w:r>
                </w:p>
              </w:tc>
              <w:tc>
                <w:tcPr>
                  <w:tcW w:w="394" w:type="pct"/>
                  <w:vMerge w:val="restart"/>
                  <w:shd w:val="clear" w:color="auto" w:fill="auto"/>
                  <w:vAlign w:val="center"/>
                </w:tcPr>
                <w:p w14:paraId="2B863B00">
                  <w:pPr>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color w:val="0000FF"/>
                      <w:kern w:val="2"/>
                      <w:sz w:val="21"/>
                      <w:szCs w:val="21"/>
                      <w:lang w:val="en-US" w:eastAsia="zh-CN" w:bidi="ar-SA"/>
                    </w:rPr>
                  </w:pPr>
                  <w:r>
                    <w:rPr>
                      <w:rFonts w:hint="default" w:ascii="Times New Roman" w:hAnsi="Times New Roman" w:eastAsia="宋体" w:cs="Times New Roman"/>
                      <w:color w:val="0000FF"/>
                      <w:szCs w:val="21"/>
                    </w:rPr>
                    <w:t>配料</w:t>
                  </w:r>
                </w:p>
              </w:tc>
              <w:tc>
                <w:tcPr>
                  <w:tcW w:w="660" w:type="pct"/>
                  <w:vMerge w:val="restart"/>
                  <w:shd w:val="clear" w:color="auto" w:fill="auto"/>
                  <w:vAlign w:val="center"/>
                </w:tcPr>
                <w:p w14:paraId="65058AC9">
                  <w:pPr>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color w:val="0000FF"/>
                      <w:kern w:val="2"/>
                      <w:sz w:val="21"/>
                      <w:szCs w:val="21"/>
                      <w:lang w:val="en-US" w:eastAsia="zh-CN" w:bidi="ar-SA"/>
                    </w:rPr>
                  </w:pPr>
                  <w:r>
                    <w:rPr>
                      <w:rFonts w:hint="default" w:ascii="Times New Roman" w:hAnsi="Times New Roman" w:eastAsia="宋体" w:cs="Times New Roman"/>
                      <w:color w:val="0000FF"/>
                      <w:szCs w:val="21"/>
                    </w:rPr>
                    <w:t>混合机</w:t>
                  </w:r>
                </w:p>
              </w:tc>
              <w:tc>
                <w:tcPr>
                  <w:tcW w:w="766" w:type="pct"/>
                  <w:shd w:val="clear" w:color="auto" w:fill="auto"/>
                  <w:vAlign w:val="center"/>
                </w:tcPr>
                <w:p w14:paraId="154D3681">
                  <w:pPr>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color w:val="0000FF"/>
                      <w:kern w:val="2"/>
                      <w:sz w:val="21"/>
                      <w:szCs w:val="21"/>
                      <w:lang w:val="en-US" w:eastAsia="zh-CN" w:bidi="ar-SA"/>
                    </w:rPr>
                  </w:pPr>
                  <w:r>
                    <w:rPr>
                      <w:rFonts w:hint="default" w:ascii="Times New Roman" w:hAnsi="Times New Roman" w:eastAsia="宋体" w:cs="Times New Roman"/>
                      <w:color w:val="0000FF"/>
                      <w:szCs w:val="21"/>
                    </w:rPr>
                    <w:t>NHG-1000</w:t>
                  </w:r>
                </w:p>
              </w:tc>
              <w:tc>
                <w:tcPr>
                  <w:tcW w:w="483" w:type="pct"/>
                  <w:shd w:val="clear" w:color="auto" w:fill="auto"/>
                  <w:vAlign w:val="center"/>
                </w:tcPr>
                <w:p w14:paraId="194AA0AB">
                  <w:pPr>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color w:val="0000FF"/>
                      <w:kern w:val="2"/>
                      <w:sz w:val="21"/>
                      <w:szCs w:val="21"/>
                      <w:lang w:val="en-US" w:eastAsia="zh-CN" w:bidi="ar-SA"/>
                    </w:rPr>
                  </w:pPr>
                  <w:r>
                    <w:rPr>
                      <w:rFonts w:hint="default" w:ascii="Times New Roman" w:hAnsi="Times New Roman" w:eastAsia="宋体" w:cs="Times New Roman"/>
                      <w:color w:val="0000FF"/>
                      <w:szCs w:val="21"/>
                    </w:rPr>
                    <w:t>1</w:t>
                  </w:r>
                </w:p>
              </w:tc>
              <w:tc>
                <w:tcPr>
                  <w:tcW w:w="417" w:type="pct"/>
                  <w:shd w:val="clear" w:color="auto" w:fill="auto"/>
                  <w:vAlign w:val="center"/>
                </w:tcPr>
                <w:p w14:paraId="18A626DE">
                  <w:pPr>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color w:val="0000FF"/>
                      <w:kern w:val="2"/>
                      <w:sz w:val="21"/>
                      <w:szCs w:val="21"/>
                      <w:lang w:val="en-US" w:eastAsia="zh-CN" w:bidi="ar-SA"/>
                    </w:rPr>
                  </w:pPr>
                  <w:r>
                    <w:rPr>
                      <w:rFonts w:hint="default" w:ascii="Times New Roman" w:hAnsi="Times New Roman" w:eastAsia="宋体" w:cs="Times New Roman"/>
                      <w:color w:val="0000FF"/>
                      <w:szCs w:val="21"/>
                    </w:rPr>
                    <w:t>1</w:t>
                  </w:r>
                </w:p>
              </w:tc>
              <w:tc>
                <w:tcPr>
                  <w:tcW w:w="592" w:type="pct"/>
                  <w:shd w:val="clear" w:color="auto" w:fill="auto"/>
                  <w:vAlign w:val="center"/>
                </w:tcPr>
                <w:p w14:paraId="28013149">
                  <w:pPr>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color w:val="0000FF"/>
                      <w:kern w:val="2"/>
                      <w:sz w:val="21"/>
                      <w:szCs w:val="21"/>
                      <w:lang w:val="en-US" w:eastAsia="zh-CN" w:bidi="ar-SA"/>
                    </w:rPr>
                  </w:pPr>
                  <w:r>
                    <w:rPr>
                      <w:rFonts w:hint="default" w:ascii="Times New Roman" w:hAnsi="Times New Roman" w:eastAsia="宋体" w:cs="Times New Roman"/>
                      <w:color w:val="0000FF"/>
                      <w:szCs w:val="21"/>
                    </w:rPr>
                    <w:t>1</w:t>
                  </w:r>
                </w:p>
              </w:tc>
              <w:tc>
                <w:tcPr>
                  <w:tcW w:w="537" w:type="pct"/>
                  <w:shd w:val="clear" w:color="auto" w:fill="auto"/>
                  <w:vAlign w:val="center"/>
                </w:tcPr>
                <w:p w14:paraId="69310BB2">
                  <w:pPr>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color w:val="0000FF"/>
                      <w:kern w:val="2"/>
                      <w:sz w:val="21"/>
                      <w:szCs w:val="21"/>
                      <w:lang w:val="en-US" w:eastAsia="zh-CN" w:bidi="ar-SA"/>
                    </w:rPr>
                  </w:pPr>
                  <w:r>
                    <w:rPr>
                      <w:rFonts w:hint="default" w:ascii="Times New Roman" w:hAnsi="Times New Roman" w:eastAsia="宋体" w:cs="Times New Roman"/>
                      <w:color w:val="0000FF"/>
                      <w:szCs w:val="21"/>
                    </w:rPr>
                    <w:t>0</w:t>
                  </w:r>
                </w:p>
              </w:tc>
              <w:tc>
                <w:tcPr>
                  <w:tcW w:w="536" w:type="pct"/>
                  <w:gridSpan w:val="2"/>
                  <w:vMerge w:val="restart"/>
                  <w:vAlign w:val="center"/>
                </w:tcPr>
                <w:p w14:paraId="7650D049">
                  <w:pPr>
                    <w:keepNext w:val="0"/>
                    <w:keepLines w:val="0"/>
                    <w:suppressLineNumbers w:val="0"/>
                    <w:spacing w:before="0" w:beforeAutospacing="0" w:after="0" w:afterAutospacing="0"/>
                    <w:ind w:left="0" w:right="0"/>
                    <w:jc w:val="center"/>
                    <w:rPr>
                      <w:rFonts w:hint="default" w:ascii="Times New Roman" w:hAnsi="Times New Roman" w:eastAsia="宋体" w:cs="Times New Roman"/>
                      <w:b w:val="0"/>
                      <w:bCs w:val="0"/>
                      <w:color w:val="0000FF"/>
                      <w:szCs w:val="21"/>
                      <w:highlight w:val="none"/>
                      <w:lang w:val="en-US" w:eastAsia="zh-CN"/>
                    </w:rPr>
                  </w:pPr>
                  <w:r>
                    <w:rPr>
                      <w:rFonts w:hint="eastAsia" w:ascii="Times New Roman" w:hAnsi="Times New Roman" w:eastAsia="宋体" w:cs="Times New Roman"/>
                      <w:b w:val="0"/>
                      <w:bCs w:val="0"/>
                      <w:color w:val="0000FF"/>
                      <w:szCs w:val="21"/>
                      <w:highlight w:val="none"/>
                      <w:lang w:val="en-US" w:eastAsia="zh-CN"/>
                    </w:rPr>
                    <w:t>现有项目自有厂房</w:t>
                  </w:r>
                </w:p>
              </w:tc>
              <w:tc>
                <w:tcPr>
                  <w:tcW w:w="320" w:type="pct"/>
                  <w:shd w:val="clear" w:color="auto" w:fill="auto"/>
                  <w:vAlign w:val="center"/>
                </w:tcPr>
                <w:p w14:paraId="71751B2F">
                  <w:pPr>
                    <w:keepNext w:val="0"/>
                    <w:keepLines w:val="0"/>
                    <w:suppressLineNumbers w:val="0"/>
                    <w:spacing w:before="0" w:beforeAutospacing="0" w:after="0" w:afterAutospacing="0" w:line="240" w:lineRule="auto"/>
                    <w:ind w:left="0" w:right="0"/>
                    <w:jc w:val="center"/>
                    <w:rPr>
                      <w:rFonts w:hint="default" w:ascii="Times New Roman" w:hAnsi="Times New Roman" w:eastAsia="宋体" w:cs="Times New Roman"/>
                      <w:b w:val="0"/>
                      <w:bCs w:val="0"/>
                      <w:color w:val="0000FF"/>
                      <w:kern w:val="2"/>
                      <w:sz w:val="21"/>
                      <w:szCs w:val="21"/>
                      <w:highlight w:val="none"/>
                      <w:lang w:val="en-US" w:eastAsia="zh-CN" w:bidi="ar-SA"/>
                    </w:rPr>
                  </w:pPr>
                  <w:r>
                    <w:rPr>
                      <w:rFonts w:hint="default" w:ascii="Times New Roman" w:hAnsi="Times New Roman" w:eastAsia="宋体" w:cs="Times New Roman"/>
                      <w:b w:val="0"/>
                      <w:bCs w:val="0"/>
                      <w:color w:val="0000FF"/>
                      <w:sz w:val="21"/>
                      <w:szCs w:val="21"/>
                      <w:highlight w:val="none"/>
                      <w:lang w:val="en-US" w:eastAsia="zh-CN"/>
                    </w:rPr>
                    <w:t>/</w:t>
                  </w:r>
                </w:p>
              </w:tc>
            </w:tr>
            <w:tr w14:paraId="34430A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291" w:type="pct"/>
                  <w:shd w:val="clear" w:color="auto" w:fill="auto"/>
                  <w:vAlign w:val="center"/>
                </w:tcPr>
                <w:p w14:paraId="577E8312">
                  <w:pPr>
                    <w:keepNext w:val="0"/>
                    <w:keepLines w:val="0"/>
                    <w:suppressLineNumbers w:val="0"/>
                    <w:spacing w:before="0" w:beforeAutospacing="0" w:after="0" w:afterAutospacing="0" w:line="240" w:lineRule="auto"/>
                    <w:ind w:left="0" w:right="0"/>
                    <w:jc w:val="center"/>
                    <w:rPr>
                      <w:rFonts w:hint="default" w:ascii="Times New Roman" w:hAnsi="Times New Roman" w:eastAsia="宋体" w:cs="Times New Roman"/>
                      <w:b w:val="0"/>
                      <w:bCs w:val="0"/>
                      <w:color w:val="0000FF"/>
                      <w:kern w:val="2"/>
                      <w:sz w:val="21"/>
                      <w:szCs w:val="21"/>
                      <w:highlight w:val="none"/>
                      <w:lang w:val="en-US" w:eastAsia="zh-CN" w:bidi="ar-SA"/>
                    </w:rPr>
                  </w:pPr>
                  <w:r>
                    <w:rPr>
                      <w:rFonts w:hint="default" w:ascii="Times New Roman" w:hAnsi="Times New Roman" w:eastAsia="宋体" w:cs="Times New Roman"/>
                      <w:b w:val="0"/>
                      <w:bCs w:val="0"/>
                      <w:color w:val="0000FF"/>
                      <w:sz w:val="21"/>
                      <w:szCs w:val="21"/>
                      <w:highlight w:val="none"/>
                      <w:lang w:val="en-US" w:eastAsia="zh-CN"/>
                    </w:rPr>
                    <w:t>2</w:t>
                  </w:r>
                </w:p>
              </w:tc>
              <w:tc>
                <w:tcPr>
                  <w:tcW w:w="394" w:type="pct"/>
                  <w:vMerge w:val="continue"/>
                  <w:vAlign w:val="center"/>
                </w:tcPr>
                <w:p w14:paraId="1D3BE9C1">
                  <w:pPr>
                    <w:keepNext w:val="0"/>
                    <w:keepLines w:val="0"/>
                    <w:suppressLineNumbers w:val="0"/>
                    <w:spacing w:before="0" w:beforeAutospacing="0" w:after="0" w:afterAutospacing="0"/>
                    <w:ind w:left="0" w:right="0"/>
                    <w:jc w:val="center"/>
                    <w:rPr>
                      <w:rFonts w:hint="default" w:ascii="Times New Roman" w:hAnsi="Times New Roman" w:eastAsia="宋体" w:cs="Times New Roman"/>
                      <w:b w:val="0"/>
                      <w:bCs w:val="0"/>
                      <w:color w:val="0000FF"/>
                      <w:szCs w:val="21"/>
                      <w:highlight w:val="none"/>
                    </w:rPr>
                  </w:pPr>
                </w:p>
              </w:tc>
              <w:tc>
                <w:tcPr>
                  <w:tcW w:w="660" w:type="pct"/>
                  <w:vMerge w:val="continue"/>
                  <w:vAlign w:val="center"/>
                </w:tcPr>
                <w:p w14:paraId="6D04A2FB">
                  <w:pPr>
                    <w:keepNext w:val="0"/>
                    <w:keepLines w:val="0"/>
                    <w:suppressLineNumbers w:val="0"/>
                    <w:spacing w:before="0" w:beforeAutospacing="0" w:after="0" w:afterAutospacing="0"/>
                    <w:ind w:left="0" w:right="0"/>
                    <w:jc w:val="center"/>
                    <w:rPr>
                      <w:rFonts w:hint="default" w:ascii="Times New Roman" w:hAnsi="Times New Roman" w:eastAsia="宋体" w:cs="Times New Roman"/>
                      <w:b w:val="0"/>
                      <w:bCs w:val="0"/>
                      <w:color w:val="0000FF"/>
                      <w:szCs w:val="21"/>
                      <w:highlight w:val="none"/>
                    </w:rPr>
                  </w:pPr>
                </w:p>
              </w:tc>
              <w:tc>
                <w:tcPr>
                  <w:tcW w:w="766" w:type="pct"/>
                  <w:shd w:val="clear" w:color="auto" w:fill="auto"/>
                  <w:vAlign w:val="center"/>
                </w:tcPr>
                <w:p w14:paraId="44E5266A">
                  <w:pPr>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color w:val="0000FF"/>
                      <w:kern w:val="2"/>
                      <w:sz w:val="21"/>
                      <w:szCs w:val="21"/>
                      <w:lang w:val="en-US" w:eastAsia="zh-CN" w:bidi="ar-SA"/>
                    </w:rPr>
                  </w:pPr>
                  <w:r>
                    <w:rPr>
                      <w:rFonts w:hint="default" w:ascii="Times New Roman" w:hAnsi="Times New Roman" w:eastAsia="宋体" w:cs="Times New Roman"/>
                      <w:color w:val="0000FF"/>
                      <w:szCs w:val="21"/>
                    </w:rPr>
                    <w:t>NHG-2000</w:t>
                  </w:r>
                </w:p>
              </w:tc>
              <w:tc>
                <w:tcPr>
                  <w:tcW w:w="483" w:type="pct"/>
                  <w:shd w:val="clear" w:color="auto" w:fill="auto"/>
                  <w:vAlign w:val="center"/>
                </w:tcPr>
                <w:p w14:paraId="0DAD5AF1">
                  <w:pPr>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color w:val="0000FF"/>
                      <w:kern w:val="2"/>
                      <w:sz w:val="21"/>
                      <w:szCs w:val="21"/>
                      <w:lang w:val="en-US" w:eastAsia="zh-CN" w:bidi="ar-SA"/>
                    </w:rPr>
                  </w:pPr>
                  <w:r>
                    <w:rPr>
                      <w:rFonts w:hint="default" w:ascii="Times New Roman" w:hAnsi="Times New Roman" w:eastAsia="宋体" w:cs="Times New Roman"/>
                      <w:color w:val="0000FF"/>
                      <w:szCs w:val="21"/>
                    </w:rPr>
                    <w:t>2</w:t>
                  </w:r>
                </w:p>
              </w:tc>
              <w:tc>
                <w:tcPr>
                  <w:tcW w:w="417" w:type="pct"/>
                  <w:shd w:val="clear" w:color="auto" w:fill="auto"/>
                  <w:vAlign w:val="center"/>
                </w:tcPr>
                <w:p w14:paraId="3E43A6FE">
                  <w:pPr>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color w:val="0000FF"/>
                      <w:kern w:val="2"/>
                      <w:sz w:val="21"/>
                      <w:szCs w:val="21"/>
                      <w:lang w:val="en-US" w:eastAsia="zh-CN" w:bidi="ar-SA"/>
                    </w:rPr>
                  </w:pPr>
                  <w:r>
                    <w:rPr>
                      <w:rFonts w:hint="default" w:ascii="Times New Roman" w:hAnsi="Times New Roman" w:eastAsia="宋体" w:cs="Times New Roman"/>
                      <w:color w:val="0000FF"/>
                      <w:szCs w:val="21"/>
                    </w:rPr>
                    <w:t>2</w:t>
                  </w:r>
                </w:p>
              </w:tc>
              <w:tc>
                <w:tcPr>
                  <w:tcW w:w="592" w:type="pct"/>
                  <w:shd w:val="clear" w:color="auto" w:fill="auto"/>
                  <w:vAlign w:val="center"/>
                </w:tcPr>
                <w:p w14:paraId="60E42305">
                  <w:pPr>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color w:val="0000FF"/>
                      <w:kern w:val="2"/>
                      <w:sz w:val="21"/>
                      <w:szCs w:val="21"/>
                      <w:lang w:val="en-US" w:eastAsia="zh-CN" w:bidi="ar-SA"/>
                    </w:rPr>
                  </w:pPr>
                  <w:r>
                    <w:rPr>
                      <w:rFonts w:hint="default" w:ascii="Times New Roman" w:hAnsi="Times New Roman" w:eastAsia="宋体" w:cs="Times New Roman"/>
                      <w:color w:val="0000FF"/>
                      <w:szCs w:val="21"/>
                    </w:rPr>
                    <w:t>2</w:t>
                  </w:r>
                </w:p>
              </w:tc>
              <w:tc>
                <w:tcPr>
                  <w:tcW w:w="537" w:type="pct"/>
                  <w:shd w:val="clear" w:color="auto" w:fill="auto"/>
                  <w:vAlign w:val="center"/>
                </w:tcPr>
                <w:p w14:paraId="11B414E3">
                  <w:pPr>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color w:val="0000FF"/>
                      <w:kern w:val="2"/>
                      <w:sz w:val="21"/>
                      <w:szCs w:val="21"/>
                      <w:lang w:val="en-US" w:eastAsia="zh-CN" w:bidi="ar-SA"/>
                    </w:rPr>
                  </w:pPr>
                  <w:r>
                    <w:rPr>
                      <w:rFonts w:hint="default" w:ascii="Times New Roman" w:hAnsi="Times New Roman" w:eastAsia="宋体" w:cs="Times New Roman"/>
                      <w:color w:val="0000FF"/>
                      <w:szCs w:val="21"/>
                    </w:rPr>
                    <w:t>0</w:t>
                  </w:r>
                </w:p>
              </w:tc>
              <w:tc>
                <w:tcPr>
                  <w:tcW w:w="536" w:type="pct"/>
                  <w:gridSpan w:val="2"/>
                  <w:vMerge w:val="continue"/>
                  <w:vAlign w:val="center"/>
                </w:tcPr>
                <w:p w14:paraId="44BB0B18">
                  <w:pPr>
                    <w:keepNext w:val="0"/>
                    <w:keepLines w:val="0"/>
                    <w:suppressLineNumbers w:val="0"/>
                    <w:spacing w:before="0" w:beforeAutospacing="0" w:after="0" w:afterAutospacing="0"/>
                    <w:ind w:left="0" w:right="0"/>
                    <w:jc w:val="center"/>
                    <w:rPr>
                      <w:rFonts w:hint="eastAsia" w:ascii="Times New Roman" w:hAnsi="Times New Roman" w:eastAsia="宋体" w:cs="Times New Roman"/>
                      <w:b w:val="0"/>
                      <w:bCs w:val="0"/>
                      <w:color w:val="0000FF"/>
                      <w:szCs w:val="21"/>
                      <w:highlight w:val="none"/>
                      <w:lang w:val="en-US" w:eastAsia="zh-CN"/>
                    </w:rPr>
                  </w:pPr>
                </w:p>
              </w:tc>
              <w:tc>
                <w:tcPr>
                  <w:tcW w:w="320" w:type="pct"/>
                  <w:shd w:val="clear" w:color="auto" w:fill="auto"/>
                  <w:vAlign w:val="center"/>
                </w:tcPr>
                <w:p w14:paraId="24632BEA">
                  <w:pPr>
                    <w:keepNext w:val="0"/>
                    <w:keepLines w:val="0"/>
                    <w:suppressLineNumbers w:val="0"/>
                    <w:spacing w:before="0" w:beforeAutospacing="0" w:after="0" w:afterAutospacing="0" w:line="240" w:lineRule="auto"/>
                    <w:ind w:left="0" w:right="0"/>
                    <w:jc w:val="center"/>
                    <w:rPr>
                      <w:rFonts w:hint="default" w:ascii="Times New Roman" w:hAnsi="Times New Roman" w:eastAsia="宋体" w:cs="Times New Roman"/>
                      <w:b w:val="0"/>
                      <w:bCs w:val="0"/>
                      <w:color w:val="0000FF"/>
                      <w:kern w:val="2"/>
                      <w:sz w:val="21"/>
                      <w:szCs w:val="21"/>
                      <w:highlight w:val="none"/>
                      <w:lang w:val="en-US" w:eastAsia="zh-CN" w:bidi="ar-SA"/>
                    </w:rPr>
                  </w:pPr>
                  <w:r>
                    <w:rPr>
                      <w:rFonts w:hint="default" w:ascii="Times New Roman" w:hAnsi="Times New Roman" w:eastAsia="宋体" w:cs="Times New Roman"/>
                      <w:b w:val="0"/>
                      <w:bCs w:val="0"/>
                      <w:color w:val="0000FF"/>
                      <w:sz w:val="21"/>
                      <w:szCs w:val="21"/>
                      <w:highlight w:val="none"/>
                      <w:lang w:val="en-US" w:eastAsia="zh-CN"/>
                    </w:rPr>
                    <w:t>/</w:t>
                  </w:r>
                </w:p>
              </w:tc>
            </w:tr>
            <w:tr w14:paraId="29983B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291" w:type="pct"/>
                  <w:shd w:val="clear" w:color="auto" w:fill="auto"/>
                  <w:vAlign w:val="center"/>
                </w:tcPr>
                <w:p w14:paraId="718BBABC">
                  <w:pPr>
                    <w:keepNext w:val="0"/>
                    <w:keepLines w:val="0"/>
                    <w:suppressLineNumbers w:val="0"/>
                    <w:spacing w:before="0" w:beforeAutospacing="0" w:after="0" w:afterAutospacing="0" w:line="240" w:lineRule="auto"/>
                    <w:ind w:left="0" w:right="0"/>
                    <w:jc w:val="center"/>
                    <w:rPr>
                      <w:rFonts w:hint="default" w:ascii="Times New Roman" w:hAnsi="Times New Roman" w:eastAsia="宋体" w:cs="Times New Roman"/>
                      <w:b w:val="0"/>
                      <w:bCs w:val="0"/>
                      <w:color w:val="0000FF"/>
                      <w:kern w:val="2"/>
                      <w:sz w:val="21"/>
                      <w:szCs w:val="21"/>
                      <w:highlight w:val="none"/>
                      <w:lang w:val="en-US" w:eastAsia="zh-CN" w:bidi="ar-SA"/>
                    </w:rPr>
                  </w:pPr>
                  <w:r>
                    <w:rPr>
                      <w:rFonts w:hint="default" w:ascii="Times New Roman" w:hAnsi="Times New Roman" w:eastAsia="宋体" w:cs="Times New Roman"/>
                      <w:b w:val="0"/>
                      <w:bCs w:val="0"/>
                      <w:color w:val="0000FF"/>
                      <w:sz w:val="21"/>
                      <w:szCs w:val="21"/>
                      <w:highlight w:val="none"/>
                      <w:lang w:val="en-US" w:eastAsia="zh-CN"/>
                    </w:rPr>
                    <w:t>3</w:t>
                  </w:r>
                </w:p>
              </w:tc>
              <w:tc>
                <w:tcPr>
                  <w:tcW w:w="394" w:type="pct"/>
                  <w:vMerge w:val="continue"/>
                  <w:vAlign w:val="center"/>
                </w:tcPr>
                <w:p w14:paraId="62FC9E96">
                  <w:pPr>
                    <w:keepNext w:val="0"/>
                    <w:keepLines w:val="0"/>
                    <w:suppressLineNumbers w:val="0"/>
                    <w:spacing w:before="0" w:beforeAutospacing="0" w:after="0" w:afterAutospacing="0"/>
                    <w:ind w:left="0" w:right="0"/>
                    <w:jc w:val="center"/>
                    <w:rPr>
                      <w:rFonts w:hint="default" w:ascii="Times New Roman" w:hAnsi="Times New Roman" w:eastAsia="宋体" w:cs="Times New Roman"/>
                      <w:b w:val="0"/>
                      <w:bCs w:val="0"/>
                      <w:color w:val="0000FF"/>
                      <w:szCs w:val="21"/>
                      <w:highlight w:val="none"/>
                    </w:rPr>
                  </w:pPr>
                </w:p>
              </w:tc>
              <w:tc>
                <w:tcPr>
                  <w:tcW w:w="660" w:type="pct"/>
                  <w:vMerge w:val="continue"/>
                  <w:vAlign w:val="center"/>
                </w:tcPr>
                <w:p w14:paraId="116C3CFB">
                  <w:pPr>
                    <w:keepNext w:val="0"/>
                    <w:keepLines w:val="0"/>
                    <w:suppressLineNumbers w:val="0"/>
                    <w:spacing w:before="0" w:beforeAutospacing="0" w:after="0" w:afterAutospacing="0"/>
                    <w:ind w:left="0" w:right="0"/>
                    <w:jc w:val="center"/>
                    <w:rPr>
                      <w:rFonts w:hint="default" w:ascii="Times New Roman" w:hAnsi="Times New Roman" w:eastAsia="宋体" w:cs="Times New Roman"/>
                      <w:b w:val="0"/>
                      <w:bCs w:val="0"/>
                      <w:color w:val="0000FF"/>
                      <w:szCs w:val="21"/>
                      <w:highlight w:val="none"/>
                    </w:rPr>
                  </w:pPr>
                </w:p>
              </w:tc>
              <w:tc>
                <w:tcPr>
                  <w:tcW w:w="766" w:type="pct"/>
                  <w:shd w:val="clear" w:color="auto" w:fill="auto"/>
                  <w:vAlign w:val="center"/>
                </w:tcPr>
                <w:p w14:paraId="3D983EA8">
                  <w:pPr>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color w:val="0000FF"/>
                      <w:kern w:val="2"/>
                      <w:sz w:val="21"/>
                      <w:szCs w:val="21"/>
                      <w:lang w:val="en-US" w:eastAsia="zh-CN" w:bidi="ar-SA"/>
                    </w:rPr>
                  </w:pPr>
                  <w:r>
                    <w:rPr>
                      <w:rFonts w:hint="default" w:ascii="Times New Roman" w:hAnsi="Times New Roman" w:eastAsia="宋体" w:cs="Times New Roman"/>
                      <w:color w:val="0000FF"/>
                      <w:szCs w:val="21"/>
                    </w:rPr>
                    <w:t>NHG-5000</w:t>
                  </w:r>
                </w:p>
              </w:tc>
              <w:tc>
                <w:tcPr>
                  <w:tcW w:w="483" w:type="pct"/>
                  <w:shd w:val="clear" w:color="auto" w:fill="auto"/>
                  <w:vAlign w:val="center"/>
                </w:tcPr>
                <w:p w14:paraId="5033DEC7">
                  <w:pPr>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color w:val="0000FF"/>
                      <w:kern w:val="2"/>
                      <w:sz w:val="21"/>
                      <w:szCs w:val="21"/>
                      <w:lang w:val="en-US" w:eastAsia="zh-CN" w:bidi="ar-SA"/>
                    </w:rPr>
                  </w:pPr>
                  <w:r>
                    <w:rPr>
                      <w:rFonts w:hint="default" w:ascii="Times New Roman" w:hAnsi="Times New Roman" w:eastAsia="宋体" w:cs="Times New Roman"/>
                      <w:color w:val="0000FF"/>
                      <w:szCs w:val="21"/>
                    </w:rPr>
                    <w:t>1</w:t>
                  </w:r>
                </w:p>
              </w:tc>
              <w:tc>
                <w:tcPr>
                  <w:tcW w:w="417" w:type="pct"/>
                  <w:shd w:val="clear" w:color="auto" w:fill="auto"/>
                  <w:vAlign w:val="center"/>
                </w:tcPr>
                <w:p w14:paraId="1CF8EB7B">
                  <w:pPr>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color w:val="0000FF"/>
                      <w:kern w:val="2"/>
                      <w:sz w:val="21"/>
                      <w:szCs w:val="21"/>
                      <w:lang w:val="en-US" w:eastAsia="zh-CN" w:bidi="ar-SA"/>
                    </w:rPr>
                  </w:pPr>
                  <w:r>
                    <w:rPr>
                      <w:rFonts w:hint="default" w:ascii="Times New Roman" w:hAnsi="Times New Roman" w:eastAsia="宋体" w:cs="Times New Roman"/>
                      <w:color w:val="0000FF"/>
                      <w:szCs w:val="21"/>
                    </w:rPr>
                    <w:t>2</w:t>
                  </w:r>
                </w:p>
              </w:tc>
              <w:tc>
                <w:tcPr>
                  <w:tcW w:w="592" w:type="pct"/>
                  <w:shd w:val="clear" w:color="auto" w:fill="auto"/>
                  <w:vAlign w:val="center"/>
                </w:tcPr>
                <w:p w14:paraId="4222E14F">
                  <w:pPr>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color w:val="0000FF"/>
                      <w:kern w:val="2"/>
                      <w:sz w:val="21"/>
                      <w:szCs w:val="21"/>
                      <w:lang w:val="en-US" w:eastAsia="zh-CN" w:bidi="ar-SA"/>
                    </w:rPr>
                  </w:pPr>
                  <w:r>
                    <w:rPr>
                      <w:rFonts w:hint="default" w:ascii="Times New Roman" w:hAnsi="Times New Roman" w:eastAsia="宋体" w:cs="Times New Roman"/>
                      <w:color w:val="0000FF"/>
                      <w:szCs w:val="21"/>
                    </w:rPr>
                    <w:t>2</w:t>
                  </w:r>
                </w:p>
              </w:tc>
              <w:tc>
                <w:tcPr>
                  <w:tcW w:w="537" w:type="pct"/>
                  <w:shd w:val="clear" w:color="auto" w:fill="auto"/>
                  <w:vAlign w:val="center"/>
                </w:tcPr>
                <w:p w14:paraId="01EEE161">
                  <w:pPr>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color w:val="0000FF"/>
                      <w:kern w:val="2"/>
                      <w:sz w:val="21"/>
                      <w:szCs w:val="21"/>
                      <w:lang w:val="en-US" w:eastAsia="zh-CN" w:bidi="ar-SA"/>
                    </w:rPr>
                  </w:pPr>
                  <w:r>
                    <w:rPr>
                      <w:rFonts w:hint="default" w:ascii="Times New Roman" w:hAnsi="Times New Roman" w:eastAsia="宋体" w:cs="Times New Roman"/>
                      <w:color w:val="0000FF"/>
                      <w:szCs w:val="21"/>
                    </w:rPr>
                    <w:t>+1</w:t>
                  </w:r>
                </w:p>
              </w:tc>
              <w:tc>
                <w:tcPr>
                  <w:tcW w:w="536" w:type="pct"/>
                  <w:gridSpan w:val="2"/>
                  <w:vMerge w:val="continue"/>
                  <w:vAlign w:val="center"/>
                </w:tcPr>
                <w:p w14:paraId="23FAF524">
                  <w:pPr>
                    <w:keepNext w:val="0"/>
                    <w:keepLines w:val="0"/>
                    <w:suppressLineNumbers w:val="0"/>
                    <w:spacing w:before="0" w:beforeAutospacing="0" w:after="0" w:afterAutospacing="0"/>
                    <w:ind w:left="0" w:right="0"/>
                    <w:jc w:val="center"/>
                    <w:rPr>
                      <w:rFonts w:hint="eastAsia" w:ascii="Times New Roman" w:hAnsi="Times New Roman" w:eastAsia="宋体" w:cs="Times New Roman"/>
                      <w:b w:val="0"/>
                      <w:bCs w:val="0"/>
                      <w:color w:val="0000FF"/>
                      <w:szCs w:val="21"/>
                      <w:highlight w:val="none"/>
                      <w:lang w:val="en-US" w:eastAsia="zh-CN"/>
                    </w:rPr>
                  </w:pPr>
                </w:p>
              </w:tc>
              <w:tc>
                <w:tcPr>
                  <w:tcW w:w="320" w:type="pct"/>
                  <w:shd w:val="clear" w:color="auto" w:fill="auto"/>
                  <w:vAlign w:val="center"/>
                </w:tcPr>
                <w:p w14:paraId="66139F01">
                  <w:pPr>
                    <w:keepNext w:val="0"/>
                    <w:keepLines w:val="0"/>
                    <w:suppressLineNumbers w:val="0"/>
                    <w:spacing w:before="0" w:beforeAutospacing="0" w:after="0" w:afterAutospacing="0" w:line="240" w:lineRule="auto"/>
                    <w:ind w:left="0" w:right="0"/>
                    <w:jc w:val="center"/>
                    <w:rPr>
                      <w:rFonts w:hint="default" w:ascii="Times New Roman" w:hAnsi="Times New Roman" w:eastAsia="宋体" w:cs="Times New Roman"/>
                      <w:b w:val="0"/>
                      <w:bCs w:val="0"/>
                      <w:color w:val="0000FF"/>
                      <w:kern w:val="2"/>
                      <w:sz w:val="21"/>
                      <w:szCs w:val="21"/>
                      <w:highlight w:val="none"/>
                      <w:lang w:val="en-US" w:eastAsia="zh-CN" w:bidi="ar-SA"/>
                    </w:rPr>
                  </w:pPr>
                  <w:r>
                    <w:rPr>
                      <w:rFonts w:hint="default" w:ascii="Times New Roman" w:hAnsi="Times New Roman" w:eastAsia="宋体" w:cs="Times New Roman"/>
                      <w:b w:val="0"/>
                      <w:bCs w:val="0"/>
                      <w:color w:val="0000FF"/>
                      <w:sz w:val="21"/>
                      <w:szCs w:val="21"/>
                      <w:highlight w:val="none"/>
                      <w:lang w:val="en-US" w:eastAsia="zh-CN"/>
                    </w:rPr>
                    <w:t>/</w:t>
                  </w:r>
                </w:p>
              </w:tc>
            </w:tr>
            <w:tr w14:paraId="5583C0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291" w:type="pct"/>
                  <w:shd w:val="clear" w:color="auto" w:fill="auto"/>
                  <w:vAlign w:val="center"/>
                </w:tcPr>
                <w:p w14:paraId="3A5BF2F2">
                  <w:pPr>
                    <w:keepNext w:val="0"/>
                    <w:keepLines w:val="0"/>
                    <w:suppressLineNumbers w:val="0"/>
                    <w:spacing w:before="0" w:beforeAutospacing="0" w:after="0" w:afterAutospacing="0" w:line="240" w:lineRule="auto"/>
                    <w:ind w:left="0" w:right="0"/>
                    <w:jc w:val="center"/>
                    <w:rPr>
                      <w:rFonts w:hint="default" w:ascii="Times New Roman" w:hAnsi="Times New Roman" w:eastAsia="宋体" w:cs="Times New Roman"/>
                      <w:b w:val="0"/>
                      <w:bCs w:val="0"/>
                      <w:color w:val="0000FF"/>
                      <w:kern w:val="2"/>
                      <w:sz w:val="21"/>
                      <w:szCs w:val="21"/>
                      <w:highlight w:val="none"/>
                      <w:lang w:val="en-US" w:eastAsia="zh-CN" w:bidi="ar-SA"/>
                    </w:rPr>
                  </w:pPr>
                  <w:r>
                    <w:rPr>
                      <w:rFonts w:hint="default" w:ascii="Times New Roman" w:hAnsi="Times New Roman" w:eastAsia="宋体" w:cs="Times New Roman"/>
                      <w:b w:val="0"/>
                      <w:bCs w:val="0"/>
                      <w:color w:val="0000FF"/>
                      <w:sz w:val="21"/>
                      <w:szCs w:val="21"/>
                      <w:highlight w:val="none"/>
                      <w:lang w:val="en-US" w:eastAsia="zh-CN"/>
                    </w:rPr>
                    <w:t>4</w:t>
                  </w:r>
                </w:p>
              </w:tc>
              <w:tc>
                <w:tcPr>
                  <w:tcW w:w="394" w:type="pct"/>
                  <w:vMerge w:val="continue"/>
                  <w:vAlign w:val="center"/>
                </w:tcPr>
                <w:p w14:paraId="77571909">
                  <w:pPr>
                    <w:keepNext w:val="0"/>
                    <w:keepLines w:val="0"/>
                    <w:suppressLineNumbers w:val="0"/>
                    <w:spacing w:before="0" w:beforeAutospacing="0" w:after="0" w:afterAutospacing="0"/>
                    <w:ind w:left="0" w:right="0"/>
                    <w:jc w:val="center"/>
                    <w:rPr>
                      <w:rFonts w:hint="default" w:ascii="Times New Roman" w:hAnsi="Times New Roman" w:eastAsia="宋体" w:cs="Times New Roman"/>
                      <w:b w:val="0"/>
                      <w:bCs w:val="0"/>
                      <w:color w:val="0000FF"/>
                      <w:szCs w:val="21"/>
                      <w:highlight w:val="none"/>
                    </w:rPr>
                  </w:pPr>
                </w:p>
              </w:tc>
              <w:tc>
                <w:tcPr>
                  <w:tcW w:w="660" w:type="pct"/>
                  <w:shd w:val="clear" w:color="auto" w:fill="auto"/>
                  <w:vAlign w:val="center"/>
                </w:tcPr>
                <w:p w14:paraId="12792C57">
                  <w:pPr>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color w:val="0000FF"/>
                      <w:kern w:val="2"/>
                      <w:sz w:val="21"/>
                      <w:szCs w:val="21"/>
                      <w:lang w:val="en-US" w:eastAsia="zh-CN" w:bidi="ar-SA"/>
                    </w:rPr>
                  </w:pPr>
                  <w:r>
                    <w:rPr>
                      <w:rFonts w:hint="default" w:ascii="Times New Roman" w:hAnsi="Times New Roman" w:eastAsia="宋体" w:cs="Times New Roman"/>
                      <w:color w:val="0000FF"/>
                      <w:szCs w:val="21"/>
                    </w:rPr>
                    <w:t>多功能分散混合机</w:t>
                  </w:r>
                </w:p>
              </w:tc>
              <w:tc>
                <w:tcPr>
                  <w:tcW w:w="766" w:type="pct"/>
                  <w:shd w:val="clear" w:color="auto" w:fill="auto"/>
                  <w:vAlign w:val="center"/>
                </w:tcPr>
                <w:p w14:paraId="793B8F59">
                  <w:pPr>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color w:val="0000FF"/>
                      <w:kern w:val="2"/>
                      <w:sz w:val="21"/>
                      <w:szCs w:val="21"/>
                      <w:lang w:val="en-US" w:eastAsia="zh-CN" w:bidi="ar-SA"/>
                    </w:rPr>
                  </w:pPr>
                  <w:r>
                    <w:rPr>
                      <w:rFonts w:hint="default" w:ascii="Times New Roman" w:hAnsi="Times New Roman" w:eastAsia="宋体" w:cs="Times New Roman"/>
                      <w:color w:val="0000FF"/>
                      <w:szCs w:val="21"/>
                    </w:rPr>
                    <w:t>KDF50L</w:t>
                  </w:r>
                </w:p>
              </w:tc>
              <w:tc>
                <w:tcPr>
                  <w:tcW w:w="483" w:type="pct"/>
                  <w:shd w:val="clear" w:color="auto" w:fill="auto"/>
                  <w:vAlign w:val="center"/>
                </w:tcPr>
                <w:p w14:paraId="0F46BEEF">
                  <w:pPr>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color w:val="0000FF"/>
                      <w:kern w:val="2"/>
                      <w:sz w:val="21"/>
                      <w:szCs w:val="21"/>
                      <w:lang w:val="en-US" w:eastAsia="zh-CN" w:bidi="ar-SA"/>
                    </w:rPr>
                  </w:pPr>
                  <w:r>
                    <w:rPr>
                      <w:rFonts w:hint="default" w:ascii="Times New Roman" w:hAnsi="Times New Roman" w:eastAsia="宋体" w:cs="Times New Roman"/>
                      <w:color w:val="0000FF"/>
                      <w:szCs w:val="21"/>
                    </w:rPr>
                    <w:t>1</w:t>
                  </w:r>
                </w:p>
              </w:tc>
              <w:tc>
                <w:tcPr>
                  <w:tcW w:w="417" w:type="pct"/>
                  <w:shd w:val="clear" w:color="auto" w:fill="auto"/>
                  <w:vAlign w:val="center"/>
                </w:tcPr>
                <w:p w14:paraId="0C7566EC">
                  <w:pPr>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color w:val="0000FF"/>
                      <w:kern w:val="2"/>
                      <w:sz w:val="21"/>
                      <w:szCs w:val="21"/>
                      <w:lang w:val="en-US" w:eastAsia="zh-CN" w:bidi="ar-SA"/>
                    </w:rPr>
                  </w:pPr>
                  <w:r>
                    <w:rPr>
                      <w:rFonts w:hint="default" w:ascii="Times New Roman" w:hAnsi="Times New Roman" w:eastAsia="宋体" w:cs="Times New Roman"/>
                      <w:color w:val="0000FF"/>
                      <w:szCs w:val="21"/>
                    </w:rPr>
                    <w:t>0</w:t>
                  </w:r>
                </w:p>
              </w:tc>
              <w:tc>
                <w:tcPr>
                  <w:tcW w:w="592" w:type="pct"/>
                  <w:shd w:val="clear" w:color="auto" w:fill="auto"/>
                  <w:vAlign w:val="center"/>
                </w:tcPr>
                <w:p w14:paraId="5FB00EDA">
                  <w:pPr>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color w:val="0000FF"/>
                      <w:kern w:val="2"/>
                      <w:sz w:val="21"/>
                      <w:szCs w:val="21"/>
                      <w:lang w:val="en-US" w:eastAsia="zh-CN" w:bidi="ar-SA"/>
                    </w:rPr>
                  </w:pPr>
                  <w:r>
                    <w:rPr>
                      <w:rFonts w:hint="default" w:ascii="Times New Roman" w:hAnsi="Times New Roman" w:eastAsia="宋体" w:cs="Times New Roman"/>
                      <w:color w:val="0000FF"/>
                      <w:szCs w:val="21"/>
                    </w:rPr>
                    <w:t>0</w:t>
                  </w:r>
                </w:p>
              </w:tc>
              <w:tc>
                <w:tcPr>
                  <w:tcW w:w="537" w:type="pct"/>
                  <w:shd w:val="clear" w:color="auto" w:fill="auto"/>
                  <w:vAlign w:val="center"/>
                </w:tcPr>
                <w:p w14:paraId="5B9DB04F">
                  <w:pPr>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color w:val="0000FF"/>
                      <w:kern w:val="2"/>
                      <w:sz w:val="21"/>
                      <w:szCs w:val="21"/>
                      <w:lang w:val="en-US" w:eastAsia="zh-CN" w:bidi="ar-SA"/>
                    </w:rPr>
                  </w:pPr>
                  <w:r>
                    <w:rPr>
                      <w:rFonts w:hint="default" w:ascii="Times New Roman" w:hAnsi="Times New Roman" w:eastAsia="宋体" w:cs="Times New Roman"/>
                      <w:color w:val="0000FF"/>
                      <w:szCs w:val="21"/>
                    </w:rPr>
                    <w:t>-1</w:t>
                  </w:r>
                </w:p>
              </w:tc>
              <w:tc>
                <w:tcPr>
                  <w:tcW w:w="536" w:type="pct"/>
                  <w:gridSpan w:val="2"/>
                  <w:vMerge w:val="continue"/>
                  <w:vAlign w:val="center"/>
                </w:tcPr>
                <w:p w14:paraId="65470358">
                  <w:pPr>
                    <w:keepNext w:val="0"/>
                    <w:keepLines w:val="0"/>
                    <w:suppressLineNumbers w:val="0"/>
                    <w:spacing w:before="0" w:beforeAutospacing="0" w:after="0" w:afterAutospacing="0"/>
                    <w:ind w:left="0" w:right="0"/>
                    <w:jc w:val="center"/>
                    <w:rPr>
                      <w:rFonts w:hint="eastAsia" w:ascii="Times New Roman" w:hAnsi="Times New Roman" w:eastAsia="宋体" w:cs="Times New Roman"/>
                      <w:b w:val="0"/>
                      <w:bCs w:val="0"/>
                      <w:color w:val="0000FF"/>
                      <w:szCs w:val="21"/>
                      <w:highlight w:val="none"/>
                      <w:lang w:val="en-US" w:eastAsia="zh-CN"/>
                    </w:rPr>
                  </w:pPr>
                </w:p>
              </w:tc>
              <w:tc>
                <w:tcPr>
                  <w:tcW w:w="320" w:type="pct"/>
                  <w:shd w:val="clear" w:color="auto" w:fill="auto"/>
                  <w:vAlign w:val="center"/>
                </w:tcPr>
                <w:p w14:paraId="286861E2">
                  <w:pPr>
                    <w:keepNext w:val="0"/>
                    <w:keepLines w:val="0"/>
                    <w:suppressLineNumbers w:val="0"/>
                    <w:spacing w:before="0" w:beforeAutospacing="0" w:after="0" w:afterAutospacing="0" w:line="240" w:lineRule="auto"/>
                    <w:ind w:left="0" w:right="0"/>
                    <w:jc w:val="center"/>
                    <w:rPr>
                      <w:rFonts w:hint="default" w:ascii="Times New Roman" w:hAnsi="Times New Roman" w:eastAsia="宋体" w:cs="Times New Roman"/>
                      <w:b w:val="0"/>
                      <w:bCs w:val="0"/>
                      <w:color w:val="0000FF"/>
                      <w:kern w:val="2"/>
                      <w:sz w:val="21"/>
                      <w:szCs w:val="21"/>
                      <w:highlight w:val="none"/>
                      <w:lang w:val="en-US" w:eastAsia="zh-CN" w:bidi="ar-SA"/>
                    </w:rPr>
                  </w:pPr>
                  <w:r>
                    <w:rPr>
                      <w:rFonts w:hint="default" w:ascii="Times New Roman" w:hAnsi="Times New Roman" w:eastAsia="宋体" w:cs="Times New Roman"/>
                      <w:b w:val="0"/>
                      <w:bCs w:val="0"/>
                      <w:color w:val="0000FF"/>
                      <w:sz w:val="21"/>
                      <w:szCs w:val="21"/>
                      <w:highlight w:val="none"/>
                      <w:lang w:val="en-US" w:eastAsia="zh-CN"/>
                    </w:rPr>
                    <w:t>/</w:t>
                  </w:r>
                </w:p>
              </w:tc>
            </w:tr>
            <w:tr w14:paraId="6B6289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291" w:type="pct"/>
                  <w:shd w:val="clear" w:color="auto" w:fill="auto"/>
                  <w:vAlign w:val="center"/>
                </w:tcPr>
                <w:p w14:paraId="0F8847DC">
                  <w:pPr>
                    <w:keepNext w:val="0"/>
                    <w:keepLines w:val="0"/>
                    <w:suppressLineNumbers w:val="0"/>
                    <w:spacing w:before="0" w:beforeAutospacing="0" w:after="0" w:afterAutospacing="0" w:line="240" w:lineRule="auto"/>
                    <w:ind w:left="0" w:right="0"/>
                    <w:jc w:val="center"/>
                    <w:rPr>
                      <w:rFonts w:hint="default" w:ascii="Times New Roman" w:hAnsi="Times New Roman" w:eastAsia="宋体" w:cs="Times New Roman"/>
                      <w:b w:val="0"/>
                      <w:bCs w:val="0"/>
                      <w:color w:val="0000FF"/>
                      <w:kern w:val="2"/>
                      <w:sz w:val="21"/>
                      <w:szCs w:val="21"/>
                      <w:highlight w:val="none"/>
                      <w:lang w:val="en-US" w:eastAsia="zh-CN" w:bidi="ar-SA"/>
                    </w:rPr>
                  </w:pPr>
                  <w:r>
                    <w:rPr>
                      <w:rFonts w:hint="default" w:ascii="Times New Roman" w:hAnsi="Times New Roman" w:eastAsia="宋体" w:cs="Times New Roman"/>
                      <w:b w:val="0"/>
                      <w:bCs w:val="0"/>
                      <w:color w:val="0000FF"/>
                      <w:sz w:val="21"/>
                      <w:szCs w:val="21"/>
                      <w:highlight w:val="none"/>
                      <w:lang w:val="en-US" w:eastAsia="zh-CN"/>
                    </w:rPr>
                    <w:t>5</w:t>
                  </w:r>
                </w:p>
              </w:tc>
              <w:tc>
                <w:tcPr>
                  <w:tcW w:w="394" w:type="pct"/>
                  <w:vMerge w:val="continue"/>
                  <w:vAlign w:val="center"/>
                </w:tcPr>
                <w:p w14:paraId="71515074">
                  <w:pPr>
                    <w:keepNext w:val="0"/>
                    <w:keepLines w:val="0"/>
                    <w:suppressLineNumbers w:val="0"/>
                    <w:spacing w:before="0" w:beforeAutospacing="0" w:after="0" w:afterAutospacing="0"/>
                    <w:ind w:left="0" w:right="0"/>
                    <w:jc w:val="center"/>
                    <w:rPr>
                      <w:rFonts w:hint="default" w:ascii="Times New Roman" w:hAnsi="Times New Roman" w:eastAsia="宋体" w:cs="Times New Roman"/>
                      <w:b w:val="0"/>
                      <w:bCs w:val="0"/>
                      <w:color w:val="0000FF"/>
                      <w:szCs w:val="21"/>
                      <w:highlight w:val="none"/>
                    </w:rPr>
                  </w:pPr>
                </w:p>
              </w:tc>
              <w:tc>
                <w:tcPr>
                  <w:tcW w:w="660" w:type="pct"/>
                  <w:shd w:val="clear" w:color="auto" w:fill="auto"/>
                  <w:vAlign w:val="center"/>
                </w:tcPr>
                <w:p w14:paraId="74C5E1A9">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0000FF"/>
                      <w:szCs w:val="21"/>
                    </w:rPr>
                  </w:pPr>
                  <w:r>
                    <w:rPr>
                      <w:rFonts w:hint="default" w:ascii="Times New Roman" w:hAnsi="Times New Roman" w:eastAsia="宋体" w:cs="Times New Roman"/>
                      <w:color w:val="0000FF"/>
                      <w:szCs w:val="21"/>
                    </w:rPr>
                    <w:t>三辊研</w:t>
                  </w:r>
                </w:p>
                <w:p w14:paraId="3C7B042F">
                  <w:pPr>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color w:val="0000FF"/>
                      <w:kern w:val="2"/>
                      <w:sz w:val="21"/>
                      <w:szCs w:val="21"/>
                      <w:lang w:val="en-US" w:eastAsia="zh-CN" w:bidi="ar-SA"/>
                    </w:rPr>
                  </w:pPr>
                  <w:r>
                    <w:rPr>
                      <w:rFonts w:hint="default" w:ascii="Times New Roman" w:hAnsi="Times New Roman" w:eastAsia="宋体" w:cs="Times New Roman"/>
                      <w:color w:val="0000FF"/>
                      <w:szCs w:val="21"/>
                    </w:rPr>
                    <w:t>磨机</w:t>
                  </w:r>
                </w:p>
              </w:tc>
              <w:tc>
                <w:tcPr>
                  <w:tcW w:w="766" w:type="pct"/>
                  <w:shd w:val="clear" w:color="auto" w:fill="auto"/>
                  <w:vAlign w:val="center"/>
                </w:tcPr>
                <w:p w14:paraId="6D049753">
                  <w:pPr>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color w:val="0000FF"/>
                      <w:kern w:val="2"/>
                      <w:sz w:val="21"/>
                      <w:szCs w:val="21"/>
                      <w:lang w:val="en-US" w:eastAsia="zh-CN" w:bidi="ar-SA"/>
                    </w:rPr>
                  </w:pPr>
                  <w:r>
                    <w:rPr>
                      <w:rFonts w:hint="default" w:ascii="Times New Roman" w:hAnsi="Times New Roman" w:eastAsia="宋体" w:cs="Times New Roman"/>
                      <w:color w:val="0000FF"/>
                      <w:szCs w:val="21"/>
                    </w:rPr>
                    <w:t>SG16*1000</w:t>
                  </w:r>
                </w:p>
              </w:tc>
              <w:tc>
                <w:tcPr>
                  <w:tcW w:w="483" w:type="pct"/>
                  <w:shd w:val="clear" w:color="auto" w:fill="auto"/>
                  <w:vAlign w:val="center"/>
                </w:tcPr>
                <w:p w14:paraId="2DA85EC1">
                  <w:pPr>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color w:val="0000FF"/>
                      <w:kern w:val="2"/>
                      <w:sz w:val="21"/>
                      <w:szCs w:val="21"/>
                      <w:lang w:val="en-US" w:eastAsia="zh-CN" w:bidi="ar-SA"/>
                    </w:rPr>
                  </w:pPr>
                  <w:r>
                    <w:rPr>
                      <w:rFonts w:hint="default" w:ascii="Times New Roman" w:hAnsi="Times New Roman" w:eastAsia="宋体" w:cs="Times New Roman"/>
                      <w:color w:val="0000FF"/>
                      <w:szCs w:val="21"/>
                    </w:rPr>
                    <w:t>1</w:t>
                  </w:r>
                </w:p>
              </w:tc>
              <w:tc>
                <w:tcPr>
                  <w:tcW w:w="417" w:type="pct"/>
                  <w:shd w:val="clear" w:color="auto" w:fill="auto"/>
                  <w:vAlign w:val="center"/>
                </w:tcPr>
                <w:p w14:paraId="71C32345">
                  <w:pPr>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color w:val="0000FF"/>
                      <w:kern w:val="2"/>
                      <w:sz w:val="21"/>
                      <w:szCs w:val="21"/>
                      <w:lang w:val="en-US" w:eastAsia="zh-CN" w:bidi="ar-SA"/>
                    </w:rPr>
                  </w:pPr>
                  <w:r>
                    <w:rPr>
                      <w:rFonts w:hint="default" w:ascii="Times New Roman" w:hAnsi="Times New Roman" w:eastAsia="宋体" w:cs="Times New Roman"/>
                      <w:color w:val="0000FF"/>
                      <w:szCs w:val="21"/>
                    </w:rPr>
                    <w:t>0</w:t>
                  </w:r>
                </w:p>
              </w:tc>
              <w:tc>
                <w:tcPr>
                  <w:tcW w:w="592" w:type="pct"/>
                  <w:shd w:val="clear" w:color="auto" w:fill="auto"/>
                  <w:vAlign w:val="center"/>
                </w:tcPr>
                <w:p w14:paraId="7B7FA22E">
                  <w:pPr>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color w:val="0000FF"/>
                      <w:kern w:val="2"/>
                      <w:sz w:val="21"/>
                      <w:szCs w:val="21"/>
                      <w:lang w:val="en-US" w:eastAsia="zh-CN" w:bidi="ar-SA"/>
                    </w:rPr>
                  </w:pPr>
                  <w:r>
                    <w:rPr>
                      <w:rFonts w:hint="default" w:ascii="Times New Roman" w:hAnsi="Times New Roman" w:eastAsia="宋体" w:cs="Times New Roman"/>
                      <w:color w:val="0000FF"/>
                      <w:szCs w:val="21"/>
                    </w:rPr>
                    <w:t>0</w:t>
                  </w:r>
                </w:p>
              </w:tc>
              <w:tc>
                <w:tcPr>
                  <w:tcW w:w="537" w:type="pct"/>
                  <w:shd w:val="clear" w:color="auto" w:fill="auto"/>
                  <w:vAlign w:val="center"/>
                </w:tcPr>
                <w:p w14:paraId="4CBFAEAD">
                  <w:pPr>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color w:val="0000FF"/>
                      <w:kern w:val="2"/>
                      <w:sz w:val="21"/>
                      <w:szCs w:val="21"/>
                      <w:lang w:val="en-US" w:eastAsia="zh-CN" w:bidi="ar-SA"/>
                    </w:rPr>
                  </w:pPr>
                  <w:r>
                    <w:rPr>
                      <w:rFonts w:hint="default" w:ascii="Times New Roman" w:hAnsi="Times New Roman" w:eastAsia="宋体" w:cs="Times New Roman"/>
                      <w:color w:val="0000FF"/>
                      <w:szCs w:val="21"/>
                    </w:rPr>
                    <w:t>-1</w:t>
                  </w:r>
                </w:p>
              </w:tc>
              <w:tc>
                <w:tcPr>
                  <w:tcW w:w="536" w:type="pct"/>
                  <w:gridSpan w:val="2"/>
                  <w:vMerge w:val="continue"/>
                  <w:vAlign w:val="center"/>
                </w:tcPr>
                <w:p w14:paraId="6B554E04">
                  <w:pPr>
                    <w:keepNext w:val="0"/>
                    <w:keepLines w:val="0"/>
                    <w:suppressLineNumbers w:val="0"/>
                    <w:spacing w:before="0" w:beforeAutospacing="0" w:after="0" w:afterAutospacing="0"/>
                    <w:ind w:left="0" w:right="0"/>
                    <w:jc w:val="center"/>
                    <w:rPr>
                      <w:rFonts w:hint="eastAsia" w:ascii="Times New Roman" w:hAnsi="Times New Roman" w:eastAsia="宋体" w:cs="Times New Roman"/>
                      <w:b w:val="0"/>
                      <w:bCs w:val="0"/>
                      <w:color w:val="0000FF"/>
                      <w:szCs w:val="21"/>
                      <w:highlight w:val="none"/>
                      <w:lang w:val="en-US" w:eastAsia="zh-CN"/>
                    </w:rPr>
                  </w:pPr>
                </w:p>
              </w:tc>
              <w:tc>
                <w:tcPr>
                  <w:tcW w:w="320" w:type="pct"/>
                  <w:shd w:val="clear" w:color="auto" w:fill="auto"/>
                  <w:vAlign w:val="center"/>
                </w:tcPr>
                <w:p w14:paraId="55591D7D">
                  <w:pPr>
                    <w:keepNext w:val="0"/>
                    <w:keepLines w:val="0"/>
                    <w:suppressLineNumbers w:val="0"/>
                    <w:spacing w:before="0" w:beforeAutospacing="0" w:after="0" w:afterAutospacing="0" w:line="240" w:lineRule="auto"/>
                    <w:ind w:left="0" w:right="0"/>
                    <w:jc w:val="center"/>
                    <w:rPr>
                      <w:rFonts w:hint="default" w:ascii="Times New Roman" w:hAnsi="Times New Roman" w:eastAsia="宋体" w:cs="Times New Roman"/>
                      <w:b w:val="0"/>
                      <w:bCs w:val="0"/>
                      <w:color w:val="0000FF"/>
                      <w:kern w:val="2"/>
                      <w:sz w:val="21"/>
                      <w:szCs w:val="21"/>
                      <w:highlight w:val="none"/>
                      <w:lang w:val="en-US" w:eastAsia="zh-CN" w:bidi="ar-SA"/>
                    </w:rPr>
                  </w:pPr>
                  <w:r>
                    <w:rPr>
                      <w:rFonts w:hint="default" w:ascii="Times New Roman" w:hAnsi="Times New Roman" w:eastAsia="宋体" w:cs="Times New Roman"/>
                      <w:b w:val="0"/>
                      <w:bCs w:val="0"/>
                      <w:color w:val="0000FF"/>
                      <w:sz w:val="21"/>
                      <w:szCs w:val="21"/>
                      <w:highlight w:val="none"/>
                      <w:lang w:val="en-US" w:eastAsia="zh-CN"/>
                    </w:rPr>
                    <w:t>/</w:t>
                  </w:r>
                </w:p>
              </w:tc>
            </w:tr>
            <w:tr w14:paraId="4E3708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291" w:type="pct"/>
                  <w:shd w:val="clear" w:color="auto" w:fill="auto"/>
                  <w:vAlign w:val="center"/>
                </w:tcPr>
                <w:p w14:paraId="259EA572">
                  <w:pPr>
                    <w:keepNext w:val="0"/>
                    <w:keepLines w:val="0"/>
                    <w:suppressLineNumbers w:val="0"/>
                    <w:spacing w:before="0" w:beforeAutospacing="0" w:after="0" w:afterAutospacing="0" w:line="240" w:lineRule="auto"/>
                    <w:ind w:left="0" w:right="0"/>
                    <w:jc w:val="center"/>
                    <w:rPr>
                      <w:rFonts w:hint="default" w:ascii="Times New Roman" w:hAnsi="Times New Roman" w:eastAsia="宋体" w:cs="Times New Roman"/>
                      <w:b w:val="0"/>
                      <w:bCs w:val="0"/>
                      <w:color w:val="0000FF"/>
                      <w:kern w:val="2"/>
                      <w:sz w:val="21"/>
                      <w:szCs w:val="21"/>
                      <w:highlight w:val="none"/>
                      <w:lang w:val="en-US" w:eastAsia="zh-CN" w:bidi="ar-SA"/>
                    </w:rPr>
                  </w:pPr>
                  <w:r>
                    <w:rPr>
                      <w:rFonts w:hint="default" w:ascii="Times New Roman" w:hAnsi="Times New Roman" w:eastAsia="宋体" w:cs="Times New Roman"/>
                      <w:b w:val="0"/>
                      <w:bCs w:val="0"/>
                      <w:color w:val="0000FF"/>
                      <w:sz w:val="21"/>
                      <w:szCs w:val="21"/>
                      <w:highlight w:val="none"/>
                      <w:lang w:val="en-US" w:eastAsia="zh-CN"/>
                    </w:rPr>
                    <w:t>6</w:t>
                  </w:r>
                </w:p>
              </w:tc>
              <w:tc>
                <w:tcPr>
                  <w:tcW w:w="394" w:type="pct"/>
                  <w:vMerge w:val="continue"/>
                  <w:vAlign w:val="center"/>
                </w:tcPr>
                <w:p w14:paraId="261EB781">
                  <w:pPr>
                    <w:keepNext w:val="0"/>
                    <w:keepLines w:val="0"/>
                    <w:suppressLineNumbers w:val="0"/>
                    <w:spacing w:before="0" w:beforeAutospacing="0" w:after="0" w:afterAutospacing="0"/>
                    <w:ind w:left="0" w:right="0"/>
                    <w:jc w:val="center"/>
                    <w:rPr>
                      <w:rFonts w:hint="default" w:ascii="Times New Roman" w:hAnsi="Times New Roman" w:eastAsia="宋体" w:cs="Times New Roman"/>
                      <w:b w:val="0"/>
                      <w:bCs w:val="0"/>
                      <w:color w:val="0000FF"/>
                      <w:szCs w:val="21"/>
                      <w:highlight w:val="none"/>
                    </w:rPr>
                  </w:pPr>
                </w:p>
              </w:tc>
              <w:tc>
                <w:tcPr>
                  <w:tcW w:w="660" w:type="pct"/>
                  <w:vMerge w:val="restart"/>
                  <w:shd w:val="clear" w:color="auto" w:fill="auto"/>
                  <w:vAlign w:val="center"/>
                </w:tcPr>
                <w:p w14:paraId="44043A4D">
                  <w:pPr>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color w:val="0000FF"/>
                      <w:kern w:val="2"/>
                      <w:sz w:val="21"/>
                      <w:szCs w:val="21"/>
                      <w:lang w:val="en-US" w:eastAsia="zh-CN" w:bidi="ar-SA"/>
                    </w:rPr>
                  </w:pPr>
                  <w:r>
                    <w:rPr>
                      <w:rFonts w:hint="default" w:ascii="Times New Roman" w:hAnsi="Times New Roman" w:eastAsia="宋体" w:cs="Times New Roman"/>
                      <w:color w:val="0000FF"/>
                      <w:szCs w:val="21"/>
                    </w:rPr>
                    <w:t>行星搅拌机</w:t>
                  </w:r>
                </w:p>
              </w:tc>
              <w:tc>
                <w:tcPr>
                  <w:tcW w:w="766" w:type="pct"/>
                  <w:shd w:val="clear" w:color="auto" w:fill="auto"/>
                  <w:vAlign w:val="center"/>
                </w:tcPr>
                <w:p w14:paraId="085E4FBA">
                  <w:pPr>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color w:val="0000FF"/>
                      <w:kern w:val="2"/>
                      <w:sz w:val="21"/>
                      <w:szCs w:val="21"/>
                      <w:lang w:val="en-US" w:eastAsia="zh-CN" w:bidi="ar-SA"/>
                    </w:rPr>
                  </w:pPr>
                  <w:r>
                    <w:rPr>
                      <w:rFonts w:hint="default" w:ascii="Times New Roman" w:hAnsi="Times New Roman" w:eastAsia="宋体" w:cs="Times New Roman"/>
                      <w:color w:val="0000FF"/>
                      <w:szCs w:val="21"/>
                    </w:rPr>
                    <w:t>SXJ-200L</w:t>
                  </w:r>
                </w:p>
              </w:tc>
              <w:tc>
                <w:tcPr>
                  <w:tcW w:w="483" w:type="pct"/>
                  <w:shd w:val="clear" w:color="auto" w:fill="auto"/>
                  <w:vAlign w:val="center"/>
                </w:tcPr>
                <w:p w14:paraId="51E67F4C">
                  <w:pPr>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color w:val="0000FF"/>
                      <w:kern w:val="2"/>
                      <w:sz w:val="21"/>
                      <w:szCs w:val="21"/>
                      <w:lang w:val="en-US" w:eastAsia="zh-CN" w:bidi="ar-SA"/>
                    </w:rPr>
                  </w:pPr>
                  <w:r>
                    <w:rPr>
                      <w:rFonts w:hint="default" w:ascii="Times New Roman" w:hAnsi="Times New Roman" w:eastAsia="宋体" w:cs="Times New Roman"/>
                      <w:color w:val="0000FF"/>
                      <w:szCs w:val="21"/>
                    </w:rPr>
                    <w:t>1</w:t>
                  </w:r>
                </w:p>
              </w:tc>
              <w:tc>
                <w:tcPr>
                  <w:tcW w:w="417" w:type="pct"/>
                  <w:shd w:val="clear" w:color="auto" w:fill="auto"/>
                  <w:vAlign w:val="center"/>
                </w:tcPr>
                <w:p w14:paraId="74D8535F">
                  <w:pPr>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color w:val="0000FF"/>
                      <w:kern w:val="2"/>
                      <w:sz w:val="21"/>
                      <w:szCs w:val="21"/>
                      <w:lang w:val="en-US" w:eastAsia="zh-CN" w:bidi="ar-SA"/>
                    </w:rPr>
                  </w:pPr>
                  <w:r>
                    <w:rPr>
                      <w:rFonts w:hint="default" w:ascii="Times New Roman" w:hAnsi="Times New Roman" w:eastAsia="宋体" w:cs="Times New Roman"/>
                      <w:color w:val="0000FF"/>
                      <w:szCs w:val="21"/>
                    </w:rPr>
                    <w:t>1</w:t>
                  </w:r>
                </w:p>
              </w:tc>
              <w:tc>
                <w:tcPr>
                  <w:tcW w:w="592" w:type="pct"/>
                  <w:shd w:val="clear" w:color="auto" w:fill="auto"/>
                  <w:vAlign w:val="center"/>
                </w:tcPr>
                <w:p w14:paraId="1866D360">
                  <w:pPr>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color w:val="0000FF"/>
                      <w:kern w:val="2"/>
                      <w:sz w:val="21"/>
                      <w:szCs w:val="21"/>
                      <w:lang w:val="en-US" w:eastAsia="zh-CN" w:bidi="ar-SA"/>
                    </w:rPr>
                  </w:pPr>
                  <w:r>
                    <w:rPr>
                      <w:rFonts w:hint="default" w:ascii="Times New Roman" w:hAnsi="Times New Roman" w:eastAsia="宋体" w:cs="Times New Roman"/>
                      <w:color w:val="0000FF"/>
                      <w:szCs w:val="21"/>
                    </w:rPr>
                    <w:t>1</w:t>
                  </w:r>
                </w:p>
              </w:tc>
              <w:tc>
                <w:tcPr>
                  <w:tcW w:w="537" w:type="pct"/>
                  <w:shd w:val="clear" w:color="auto" w:fill="auto"/>
                  <w:vAlign w:val="center"/>
                </w:tcPr>
                <w:p w14:paraId="2F63F2DE">
                  <w:pPr>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color w:val="0000FF"/>
                      <w:kern w:val="2"/>
                      <w:sz w:val="21"/>
                      <w:szCs w:val="21"/>
                      <w:lang w:val="en-US" w:eastAsia="zh-CN" w:bidi="ar-SA"/>
                    </w:rPr>
                  </w:pPr>
                  <w:r>
                    <w:rPr>
                      <w:rFonts w:hint="default" w:ascii="Times New Roman" w:hAnsi="Times New Roman" w:eastAsia="宋体" w:cs="Times New Roman"/>
                      <w:color w:val="0000FF"/>
                      <w:szCs w:val="21"/>
                    </w:rPr>
                    <w:t>0</w:t>
                  </w:r>
                </w:p>
              </w:tc>
              <w:tc>
                <w:tcPr>
                  <w:tcW w:w="536" w:type="pct"/>
                  <w:gridSpan w:val="2"/>
                  <w:vMerge w:val="continue"/>
                  <w:vAlign w:val="center"/>
                </w:tcPr>
                <w:p w14:paraId="21DD297F">
                  <w:pPr>
                    <w:keepNext w:val="0"/>
                    <w:keepLines w:val="0"/>
                    <w:suppressLineNumbers w:val="0"/>
                    <w:spacing w:before="0" w:beforeAutospacing="0" w:after="0" w:afterAutospacing="0"/>
                    <w:ind w:left="0" w:right="0"/>
                    <w:jc w:val="center"/>
                    <w:rPr>
                      <w:rFonts w:hint="eastAsia" w:ascii="Times New Roman" w:hAnsi="Times New Roman" w:eastAsia="宋体" w:cs="Times New Roman"/>
                      <w:b w:val="0"/>
                      <w:bCs w:val="0"/>
                      <w:color w:val="0000FF"/>
                      <w:szCs w:val="21"/>
                      <w:highlight w:val="none"/>
                      <w:lang w:val="en-US" w:eastAsia="zh-CN"/>
                    </w:rPr>
                  </w:pPr>
                </w:p>
              </w:tc>
              <w:tc>
                <w:tcPr>
                  <w:tcW w:w="320" w:type="pct"/>
                  <w:shd w:val="clear" w:color="auto" w:fill="auto"/>
                  <w:vAlign w:val="center"/>
                </w:tcPr>
                <w:p w14:paraId="0C316695">
                  <w:pPr>
                    <w:keepNext w:val="0"/>
                    <w:keepLines w:val="0"/>
                    <w:suppressLineNumbers w:val="0"/>
                    <w:spacing w:before="0" w:beforeAutospacing="0" w:after="0" w:afterAutospacing="0" w:line="240" w:lineRule="auto"/>
                    <w:ind w:left="0" w:right="0"/>
                    <w:jc w:val="center"/>
                    <w:rPr>
                      <w:rFonts w:hint="default" w:ascii="Times New Roman" w:hAnsi="Times New Roman" w:eastAsia="宋体" w:cs="Times New Roman"/>
                      <w:b w:val="0"/>
                      <w:bCs w:val="0"/>
                      <w:color w:val="0000FF"/>
                      <w:kern w:val="2"/>
                      <w:sz w:val="21"/>
                      <w:szCs w:val="21"/>
                      <w:highlight w:val="none"/>
                      <w:lang w:val="en-US" w:eastAsia="zh-CN" w:bidi="ar-SA"/>
                    </w:rPr>
                  </w:pPr>
                  <w:r>
                    <w:rPr>
                      <w:rFonts w:hint="default" w:ascii="Times New Roman" w:hAnsi="Times New Roman" w:eastAsia="宋体" w:cs="Times New Roman"/>
                      <w:b w:val="0"/>
                      <w:bCs w:val="0"/>
                      <w:color w:val="0000FF"/>
                      <w:sz w:val="21"/>
                      <w:szCs w:val="21"/>
                      <w:highlight w:val="none"/>
                      <w:lang w:val="en-US" w:eastAsia="zh-CN"/>
                    </w:rPr>
                    <w:t>/</w:t>
                  </w:r>
                </w:p>
              </w:tc>
            </w:tr>
            <w:tr w14:paraId="1F5AE4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291" w:type="pct"/>
                  <w:shd w:val="clear" w:color="auto" w:fill="auto"/>
                  <w:vAlign w:val="center"/>
                </w:tcPr>
                <w:p w14:paraId="5DB86EFB">
                  <w:pPr>
                    <w:keepNext w:val="0"/>
                    <w:keepLines w:val="0"/>
                    <w:suppressLineNumbers w:val="0"/>
                    <w:spacing w:before="0" w:beforeAutospacing="0" w:after="0" w:afterAutospacing="0" w:line="240" w:lineRule="auto"/>
                    <w:ind w:left="0" w:right="0"/>
                    <w:jc w:val="center"/>
                    <w:rPr>
                      <w:rFonts w:hint="default" w:ascii="Times New Roman" w:hAnsi="Times New Roman" w:eastAsia="宋体" w:cs="Times New Roman"/>
                      <w:b w:val="0"/>
                      <w:bCs w:val="0"/>
                      <w:color w:val="0000FF"/>
                      <w:kern w:val="2"/>
                      <w:sz w:val="21"/>
                      <w:szCs w:val="21"/>
                      <w:highlight w:val="none"/>
                      <w:lang w:val="en-US" w:eastAsia="zh-CN" w:bidi="ar-SA"/>
                    </w:rPr>
                  </w:pPr>
                  <w:r>
                    <w:rPr>
                      <w:rFonts w:hint="default" w:ascii="Times New Roman" w:hAnsi="Times New Roman" w:eastAsia="宋体" w:cs="Times New Roman"/>
                      <w:b w:val="0"/>
                      <w:bCs w:val="0"/>
                      <w:color w:val="0000FF"/>
                      <w:sz w:val="21"/>
                      <w:szCs w:val="21"/>
                      <w:highlight w:val="none"/>
                      <w:lang w:val="en-US" w:eastAsia="zh-CN"/>
                    </w:rPr>
                    <w:t>7</w:t>
                  </w:r>
                </w:p>
              </w:tc>
              <w:tc>
                <w:tcPr>
                  <w:tcW w:w="394" w:type="pct"/>
                  <w:vMerge w:val="continue"/>
                  <w:vAlign w:val="center"/>
                </w:tcPr>
                <w:p w14:paraId="69C3E56B">
                  <w:pPr>
                    <w:keepNext w:val="0"/>
                    <w:keepLines w:val="0"/>
                    <w:suppressLineNumbers w:val="0"/>
                    <w:spacing w:before="0" w:beforeAutospacing="0" w:after="0" w:afterAutospacing="0"/>
                    <w:ind w:left="0" w:right="0"/>
                    <w:jc w:val="center"/>
                    <w:rPr>
                      <w:rFonts w:hint="default" w:ascii="Times New Roman" w:hAnsi="Times New Roman" w:eastAsia="宋体" w:cs="Times New Roman"/>
                      <w:b w:val="0"/>
                      <w:bCs w:val="0"/>
                      <w:color w:val="0000FF"/>
                      <w:szCs w:val="21"/>
                      <w:highlight w:val="none"/>
                    </w:rPr>
                  </w:pPr>
                </w:p>
              </w:tc>
              <w:tc>
                <w:tcPr>
                  <w:tcW w:w="660" w:type="pct"/>
                  <w:vMerge w:val="continue"/>
                  <w:vAlign w:val="center"/>
                </w:tcPr>
                <w:p w14:paraId="2BEB0DF1">
                  <w:pPr>
                    <w:keepNext w:val="0"/>
                    <w:keepLines w:val="0"/>
                    <w:suppressLineNumbers w:val="0"/>
                    <w:spacing w:before="0" w:beforeAutospacing="0" w:after="0" w:afterAutospacing="0"/>
                    <w:ind w:left="0" w:right="0"/>
                    <w:jc w:val="center"/>
                    <w:rPr>
                      <w:rFonts w:hint="default" w:ascii="Times New Roman" w:hAnsi="Times New Roman" w:eastAsia="宋体" w:cs="Times New Roman"/>
                      <w:b w:val="0"/>
                      <w:bCs w:val="0"/>
                      <w:color w:val="0000FF"/>
                      <w:szCs w:val="21"/>
                      <w:highlight w:val="none"/>
                    </w:rPr>
                  </w:pPr>
                </w:p>
              </w:tc>
              <w:tc>
                <w:tcPr>
                  <w:tcW w:w="766" w:type="pct"/>
                  <w:shd w:val="clear" w:color="auto" w:fill="auto"/>
                  <w:vAlign w:val="center"/>
                </w:tcPr>
                <w:p w14:paraId="56572D53">
                  <w:pPr>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color w:val="0000FF"/>
                      <w:kern w:val="2"/>
                      <w:sz w:val="21"/>
                      <w:szCs w:val="21"/>
                      <w:lang w:val="en-US" w:eastAsia="zh-CN" w:bidi="ar-SA"/>
                    </w:rPr>
                  </w:pPr>
                  <w:r>
                    <w:rPr>
                      <w:rFonts w:hint="default" w:ascii="Times New Roman" w:hAnsi="Times New Roman" w:eastAsia="宋体" w:cs="Times New Roman"/>
                      <w:color w:val="0000FF"/>
                      <w:szCs w:val="21"/>
                    </w:rPr>
                    <w:t>SXLJ-1100L</w:t>
                  </w:r>
                </w:p>
              </w:tc>
              <w:tc>
                <w:tcPr>
                  <w:tcW w:w="483" w:type="pct"/>
                  <w:shd w:val="clear" w:color="auto" w:fill="auto"/>
                  <w:vAlign w:val="center"/>
                </w:tcPr>
                <w:p w14:paraId="062560BF">
                  <w:pPr>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color w:val="0000FF"/>
                      <w:kern w:val="2"/>
                      <w:sz w:val="21"/>
                      <w:szCs w:val="21"/>
                      <w:lang w:val="en-US" w:eastAsia="zh-CN" w:bidi="ar-SA"/>
                    </w:rPr>
                  </w:pPr>
                  <w:r>
                    <w:rPr>
                      <w:rFonts w:hint="default" w:ascii="Times New Roman" w:hAnsi="Times New Roman" w:eastAsia="宋体" w:cs="Times New Roman"/>
                      <w:color w:val="0000FF"/>
                      <w:szCs w:val="21"/>
                    </w:rPr>
                    <w:t>6</w:t>
                  </w:r>
                </w:p>
              </w:tc>
              <w:tc>
                <w:tcPr>
                  <w:tcW w:w="417" w:type="pct"/>
                  <w:shd w:val="clear" w:color="auto" w:fill="auto"/>
                  <w:vAlign w:val="center"/>
                </w:tcPr>
                <w:p w14:paraId="68D44781">
                  <w:pPr>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color w:val="0000FF"/>
                      <w:kern w:val="2"/>
                      <w:sz w:val="21"/>
                      <w:szCs w:val="21"/>
                      <w:lang w:val="en-US" w:eastAsia="zh-CN" w:bidi="ar-SA"/>
                    </w:rPr>
                  </w:pPr>
                  <w:r>
                    <w:rPr>
                      <w:rFonts w:hint="default" w:ascii="Times New Roman" w:hAnsi="Times New Roman" w:eastAsia="宋体" w:cs="Times New Roman"/>
                      <w:color w:val="0000FF"/>
                      <w:szCs w:val="21"/>
                    </w:rPr>
                    <w:t>8</w:t>
                  </w:r>
                </w:p>
              </w:tc>
              <w:tc>
                <w:tcPr>
                  <w:tcW w:w="592" w:type="pct"/>
                  <w:shd w:val="clear" w:color="auto" w:fill="auto"/>
                  <w:vAlign w:val="center"/>
                </w:tcPr>
                <w:p w14:paraId="68FFC65D">
                  <w:pPr>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color w:val="0000FF"/>
                      <w:kern w:val="2"/>
                      <w:sz w:val="21"/>
                      <w:szCs w:val="21"/>
                      <w:lang w:val="en-US" w:eastAsia="zh-CN" w:bidi="ar-SA"/>
                    </w:rPr>
                  </w:pPr>
                  <w:r>
                    <w:rPr>
                      <w:rFonts w:hint="default" w:ascii="Times New Roman" w:hAnsi="Times New Roman" w:eastAsia="宋体" w:cs="Times New Roman"/>
                      <w:color w:val="0000FF"/>
                      <w:szCs w:val="21"/>
                    </w:rPr>
                    <w:t>8</w:t>
                  </w:r>
                </w:p>
              </w:tc>
              <w:tc>
                <w:tcPr>
                  <w:tcW w:w="537" w:type="pct"/>
                  <w:shd w:val="clear" w:color="auto" w:fill="auto"/>
                  <w:vAlign w:val="center"/>
                </w:tcPr>
                <w:p w14:paraId="5268CD46">
                  <w:pPr>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color w:val="0000FF"/>
                      <w:kern w:val="2"/>
                      <w:sz w:val="21"/>
                      <w:szCs w:val="21"/>
                      <w:lang w:val="en-US" w:eastAsia="zh-CN" w:bidi="ar-SA"/>
                    </w:rPr>
                  </w:pPr>
                  <w:r>
                    <w:rPr>
                      <w:rFonts w:hint="default" w:ascii="Times New Roman" w:hAnsi="Times New Roman" w:eastAsia="宋体" w:cs="Times New Roman"/>
                      <w:color w:val="0000FF"/>
                      <w:szCs w:val="21"/>
                    </w:rPr>
                    <w:t>+2</w:t>
                  </w:r>
                </w:p>
              </w:tc>
              <w:tc>
                <w:tcPr>
                  <w:tcW w:w="536" w:type="pct"/>
                  <w:gridSpan w:val="2"/>
                  <w:vMerge w:val="continue"/>
                  <w:vAlign w:val="center"/>
                </w:tcPr>
                <w:p w14:paraId="48D3E35C">
                  <w:pPr>
                    <w:keepNext w:val="0"/>
                    <w:keepLines w:val="0"/>
                    <w:suppressLineNumbers w:val="0"/>
                    <w:spacing w:before="0" w:beforeAutospacing="0" w:after="0" w:afterAutospacing="0"/>
                    <w:ind w:left="0" w:right="0"/>
                    <w:jc w:val="center"/>
                    <w:rPr>
                      <w:rFonts w:hint="eastAsia" w:ascii="Times New Roman" w:hAnsi="Times New Roman" w:eastAsia="宋体" w:cs="Times New Roman"/>
                      <w:b w:val="0"/>
                      <w:bCs w:val="0"/>
                      <w:color w:val="0000FF"/>
                      <w:szCs w:val="21"/>
                      <w:highlight w:val="none"/>
                      <w:lang w:val="en-US" w:eastAsia="zh-CN"/>
                    </w:rPr>
                  </w:pPr>
                </w:p>
              </w:tc>
              <w:tc>
                <w:tcPr>
                  <w:tcW w:w="320" w:type="pct"/>
                  <w:shd w:val="clear" w:color="auto" w:fill="auto"/>
                  <w:vAlign w:val="center"/>
                </w:tcPr>
                <w:p w14:paraId="7DCF4D13">
                  <w:pPr>
                    <w:keepNext w:val="0"/>
                    <w:keepLines w:val="0"/>
                    <w:suppressLineNumbers w:val="0"/>
                    <w:spacing w:before="0" w:beforeAutospacing="0" w:after="0" w:afterAutospacing="0" w:line="240" w:lineRule="auto"/>
                    <w:ind w:left="0" w:right="0"/>
                    <w:jc w:val="center"/>
                    <w:rPr>
                      <w:rFonts w:hint="default" w:ascii="Times New Roman" w:hAnsi="Times New Roman" w:eastAsia="宋体" w:cs="Times New Roman"/>
                      <w:b w:val="0"/>
                      <w:bCs w:val="0"/>
                      <w:color w:val="0000FF"/>
                      <w:kern w:val="2"/>
                      <w:sz w:val="21"/>
                      <w:szCs w:val="21"/>
                      <w:highlight w:val="none"/>
                      <w:lang w:val="en-US" w:eastAsia="zh-CN" w:bidi="ar-SA"/>
                    </w:rPr>
                  </w:pPr>
                  <w:r>
                    <w:rPr>
                      <w:rFonts w:hint="default" w:ascii="Times New Roman" w:hAnsi="Times New Roman" w:eastAsia="宋体" w:cs="Times New Roman"/>
                      <w:b w:val="0"/>
                      <w:bCs w:val="0"/>
                      <w:color w:val="0000FF"/>
                      <w:sz w:val="21"/>
                      <w:szCs w:val="21"/>
                      <w:highlight w:val="none"/>
                      <w:lang w:val="en-US" w:eastAsia="zh-CN"/>
                    </w:rPr>
                    <w:t>/</w:t>
                  </w:r>
                </w:p>
              </w:tc>
            </w:tr>
            <w:tr w14:paraId="0CA55B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291" w:type="pct"/>
                  <w:shd w:val="clear" w:color="auto" w:fill="auto"/>
                  <w:vAlign w:val="center"/>
                </w:tcPr>
                <w:p w14:paraId="184F04BD">
                  <w:pPr>
                    <w:keepNext w:val="0"/>
                    <w:keepLines w:val="0"/>
                    <w:suppressLineNumbers w:val="0"/>
                    <w:spacing w:before="0" w:beforeAutospacing="0" w:after="0" w:afterAutospacing="0" w:line="240" w:lineRule="auto"/>
                    <w:ind w:left="0" w:right="0"/>
                    <w:jc w:val="center"/>
                    <w:rPr>
                      <w:rFonts w:hint="default" w:ascii="Times New Roman" w:hAnsi="Times New Roman" w:eastAsia="宋体" w:cs="Times New Roman"/>
                      <w:b w:val="0"/>
                      <w:bCs w:val="0"/>
                      <w:color w:val="0000FF"/>
                      <w:kern w:val="2"/>
                      <w:sz w:val="21"/>
                      <w:szCs w:val="21"/>
                      <w:highlight w:val="none"/>
                      <w:lang w:val="en-US" w:eastAsia="zh-CN" w:bidi="ar-SA"/>
                    </w:rPr>
                  </w:pPr>
                  <w:r>
                    <w:rPr>
                      <w:rFonts w:hint="default" w:ascii="Times New Roman" w:hAnsi="Times New Roman" w:eastAsia="宋体" w:cs="Times New Roman"/>
                      <w:b w:val="0"/>
                      <w:bCs w:val="0"/>
                      <w:color w:val="0000FF"/>
                      <w:sz w:val="21"/>
                      <w:szCs w:val="21"/>
                      <w:highlight w:val="none"/>
                      <w:lang w:val="en-US" w:eastAsia="zh-CN"/>
                    </w:rPr>
                    <w:t>8</w:t>
                  </w:r>
                </w:p>
              </w:tc>
              <w:tc>
                <w:tcPr>
                  <w:tcW w:w="394" w:type="pct"/>
                  <w:vMerge w:val="continue"/>
                  <w:vAlign w:val="center"/>
                </w:tcPr>
                <w:p w14:paraId="30A849E0">
                  <w:pPr>
                    <w:keepNext w:val="0"/>
                    <w:keepLines w:val="0"/>
                    <w:suppressLineNumbers w:val="0"/>
                    <w:spacing w:before="0" w:beforeAutospacing="0" w:after="0" w:afterAutospacing="0"/>
                    <w:ind w:left="0" w:right="0"/>
                    <w:jc w:val="center"/>
                    <w:rPr>
                      <w:rFonts w:hint="default" w:ascii="Times New Roman" w:hAnsi="Times New Roman" w:eastAsia="宋体" w:cs="Times New Roman"/>
                      <w:b w:val="0"/>
                      <w:bCs w:val="0"/>
                      <w:color w:val="0000FF"/>
                      <w:szCs w:val="21"/>
                      <w:highlight w:val="none"/>
                    </w:rPr>
                  </w:pPr>
                </w:p>
              </w:tc>
              <w:tc>
                <w:tcPr>
                  <w:tcW w:w="660" w:type="pct"/>
                  <w:vMerge w:val="continue"/>
                  <w:vAlign w:val="center"/>
                </w:tcPr>
                <w:p w14:paraId="76CDCBBA">
                  <w:pPr>
                    <w:keepNext w:val="0"/>
                    <w:keepLines w:val="0"/>
                    <w:suppressLineNumbers w:val="0"/>
                    <w:spacing w:before="0" w:beforeAutospacing="0" w:after="0" w:afterAutospacing="0"/>
                    <w:ind w:left="0" w:right="0"/>
                    <w:jc w:val="center"/>
                    <w:rPr>
                      <w:rFonts w:hint="default" w:ascii="Times New Roman" w:hAnsi="Times New Roman" w:eastAsia="宋体" w:cs="Times New Roman"/>
                      <w:b w:val="0"/>
                      <w:bCs w:val="0"/>
                      <w:color w:val="0000FF"/>
                      <w:szCs w:val="21"/>
                      <w:highlight w:val="none"/>
                    </w:rPr>
                  </w:pPr>
                </w:p>
              </w:tc>
              <w:tc>
                <w:tcPr>
                  <w:tcW w:w="766" w:type="pct"/>
                  <w:shd w:val="clear" w:color="auto" w:fill="auto"/>
                  <w:vAlign w:val="center"/>
                </w:tcPr>
                <w:p w14:paraId="1FB56379">
                  <w:pPr>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color w:val="0000FF"/>
                      <w:kern w:val="2"/>
                      <w:sz w:val="21"/>
                      <w:szCs w:val="21"/>
                      <w:lang w:val="en-US" w:eastAsia="zh-CN" w:bidi="ar-SA"/>
                    </w:rPr>
                  </w:pPr>
                  <w:r>
                    <w:rPr>
                      <w:rFonts w:hint="default" w:ascii="Times New Roman" w:hAnsi="Times New Roman" w:eastAsia="宋体" w:cs="Times New Roman"/>
                      <w:color w:val="0000FF"/>
                      <w:szCs w:val="21"/>
                    </w:rPr>
                    <w:t>600L</w:t>
                  </w:r>
                </w:p>
              </w:tc>
              <w:tc>
                <w:tcPr>
                  <w:tcW w:w="483" w:type="pct"/>
                  <w:shd w:val="clear" w:color="auto" w:fill="auto"/>
                  <w:vAlign w:val="center"/>
                </w:tcPr>
                <w:p w14:paraId="237530E6">
                  <w:pPr>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color w:val="0000FF"/>
                      <w:kern w:val="2"/>
                      <w:sz w:val="21"/>
                      <w:szCs w:val="21"/>
                      <w:lang w:val="en-US" w:eastAsia="zh-CN" w:bidi="ar-SA"/>
                    </w:rPr>
                  </w:pPr>
                  <w:r>
                    <w:rPr>
                      <w:rFonts w:hint="default" w:ascii="Times New Roman" w:hAnsi="Times New Roman" w:eastAsia="宋体" w:cs="Times New Roman"/>
                      <w:color w:val="0000FF"/>
                      <w:szCs w:val="21"/>
                    </w:rPr>
                    <w:t>1</w:t>
                  </w:r>
                </w:p>
              </w:tc>
              <w:tc>
                <w:tcPr>
                  <w:tcW w:w="417" w:type="pct"/>
                  <w:shd w:val="clear" w:color="auto" w:fill="auto"/>
                  <w:vAlign w:val="center"/>
                </w:tcPr>
                <w:p w14:paraId="7220A765">
                  <w:pPr>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color w:val="0000FF"/>
                      <w:kern w:val="2"/>
                      <w:sz w:val="21"/>
                      <w:szCs w:val="21"/>
                      <w:lang w:val="en-US" w:eastAsia="zh-CN" w:bidi="ar-SA"/>
                    </w:rPr>
                  </w:pPr>
                  <w:r>
                    <w:rPr>
                      <w:rFonts w:hint="default" w:ascii="Times New Roman" w:hAnsi="Times New Roman" w:eastAsia="宋体" w:cs="Times New Roman"/>
                      <w:color w:val="0000FF"/>
                      <w:szCs w:val="21"/>
                    </w:rPr>
                    <w:t>1</w:t>
                  </w:r>
                </w:p>
              </w:tc>
              <w:tc>
                <w:tcPr>
                  <w:tcW w:w="592" w:type="pct"/>
                  <w:shd w:val="clear" w:color="auto" w:fill="auto"/>
                  <w:vAlign w:val="center"/>
                </w:tcPr>
                <w:p w14:paraId="02C18E61">
                  <w:pPr>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color w:val="0000FF"/>
                      <w:kern w:val="2"/>
                      <w:sz w:val="21"/>
                      <w:szCs w:val="21"/>
                      <w:lang w:val="en-US" w:eastAsia="zh-CN" w:bidi="ar-SA"/>
                    </w:rPr>
                  </w:pPr>
                  <w:r>
                    <w:rPr>
                      <w:rFonts w:hint="default" w:ascii="Times New Roman" w:hAnsi="Times New Roman" w:eastAsia="宋体" w:cs="Times New Roman"/>
                      <w:color w:val="0000FF"/>
                      <w:szCs w:val="21"/>
                    </w:rPr>
                    <w:t>1</w:t>
                  </w:r>
                </w:p>
              </w:tc>
              <w:tc>
                <w:tcPr>
                  <w:tcW w:w="537" w:type="pct"/>
                  <w:shd w:val="clear" w:color="auto" w:fill="auto"/>
                  <w:vAlign w:val="center"/>
                </w:tcPr>
                <w:p w14:paraId="6EF4D775">
                  <w:pPr>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color w:val="0000FF"/>
                      <w:kern w:val="2"/>
                      <w:sz w:val="21"/>
                      <w:szCs w:val="21"/>
                      <w:lang w:val="en-US" w:eastAsia="zh-CN" w:bidi="ar-SA"/>
                    </w:rPr>
                  </w:pPr>
                  <w:r>
                    <w:rPr>
                      <w:rFonts w:hint="default" w:ascii="Times New Roman" w:hAnsi="Times New Roman" w:eastAsia="宋体" w:cs="Times New Roman"/>
                      <w:color w:val="0000FF"/>
                      <w:szCs w:val="21"/>
                    </w:rPr>
                    <w:t>0</w:t>
                  </w:r>
                </w:p>
              </w:tc>
              <w:tc>
                <w:tcPr>
                  <w:tcW w:w="536" w:type="pct"/>
                  <w:gridSpan w:val="2"/>
                  <w:vMerge w:val="continue"/>
                  <w:vAlign w:val="center"/>
                </w:tcPr>
                <w:p w14:paraId="75ABA965">
                  <w:pPr>
                    <w:keepNext w:val="0"/>
                    <w:keepLines w:val="0"/>
                    <w:suppressLineNumbers w:val="0"/>
                    <w:spacing w:before="0" w:beforeAutospacing="0" w:after="0" w:afterAutospacing="0"/>
                    <w:ind w:left="0" w:right="0"/>
                    <w:jc w:val="center"/>
                    <w:rPr>
                      <w:rFonts w:hint="eastAsia" w:ascii="Times New Roman" w:hAnsi="Times New Roman" w:eastAsia="宋体" w:cs="Times New Roman"/>
                      <w:b w:val="0"/>
                      <w:bCs w:val="0"/>
                      <w:color w:val="0000FF"/>
                      <w:szCs w:val="21"/>
                      <w:highlight w:val="none"/>
                      <w:lang w:val="en-US" w:eastAsia="zh-CN"/>
                    </w:rPr>
                  </w:pPr>
                </w:p>
              </w:tc>
              <w:tc>
                <w:tcPr>
                  <w:tcW w:w="320" w:type="pct"/>
                  <w:shd w:val="clear" w:color="auto" w:fill="auto"/>
                  <w:vAlign w:val="center"/>
                </w:tcPr>
                <w:p w14:paraId="46CED593">
                  <w:pPr>
                    <w:keepNext w:val="0"/>
                    <w:keepLines w:val="0"/>
                    <w:suppressLineNumbers w:val="0"/>
                    <w:spacing w:before="0" w:beforeAutospacing="0" w:after="0" w:afterAutospacing="0" w:line="240" w:lineRule="auto"/>
                    <w:ind w:left="0" w:right="0"/>
                    <w:jc w:val="center"/>
                    <w:rPr>
                      <w:rFonts w:hint="default" w:ascii="Times New Roman" w:hAnsi="Times New Roman" w:eastAsia="宋体" w:cs="Times New Roman"/>
                      <w:b w:val="0"/>
                      <w:bCs w:val="0"/>
                      <w:color w:val="0000FF"/>
                      <w:kern w:val="2"/>
                      <w:sz w:val="21"/>
                      <w:szCs w:val="21"/>
                      <w:highlight w:val="none"/>
                      <w:lang w:val="en-US" w:eastAsia="zh-CN" w:bidi="ar-SA"/>
                    </w:rPr>
                  </w:pPr>
                  <w:r>
                    <w:rPr>
                      <w:rFonts w:hint="default" w:ascii="Times New Roman" w:hAnsi="Times New Roman" w:eastAsia="宋体" w:cs="Times New Roman"/>
                      <w:b w:val="0"/>
                      <w:bCs w:val="0"/>
                      <w:color w:val="0000FF"/>
                      <w:sz w:val="21"/>
                      <w:szCs w:val="21"/>
                      <w:highlight w:val="none"/>
                      <w:lang w:val="en-US" w:eastAsia="zh-CN"/>
                    </w:rPr>
                    <w:t>/</w:t>
                  </w:r>
                </w:p>
              </w:tc>
            </w:tr>
            <w:tr w14:paraId="44EF0A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291" w:type="pct"/>
                  <w:shd w:val="clear" w:color="auto" w:fill="auto"/>
                  <w:vAlign w:val="center"/>
                </w:tcPr>
                <w:p w14:paraId="3B932BAE">
                  <w:pPr>
                    <w:keepNext w:val="0"/>
                    <w:keepLines w:val="0"/>
                    <w:suppressLineNumbers w:val="0"/>
                    <w:spacing w:before="0" w:beforeAutospacing="0" w:after="0" w:afterAutospacing="0" w:line="240" w:lineRule="auto"/>
                    <w:ind w:left="0" w:right="0"/>
                    <w:jc w:val="center"/>
                    <w:rPr>
                      <w:rFonts w:hint="default" w:ascii="Times New Roman" w:hAnsi="Times New Roman" w:eastAsia="宋体" w:cs="Times New Roman"/>
                      <w:b w:val="0"/>
                      <w:bCs w:val="0"/>
                      <w:color w:val="0000FF"/>
                      <w:kern w:val="2"/>
                      <w:sz w:val="21"/>
                      <w:szCs w:val="21"/>
                      <w:highlight w:val="none"/>
                      <w:lang w:val="en-US" w:eastAsia="zh-CN" w:bidi="ar-SA"/>
                    </w:rPr>
                  </w:pPr>
                  <w:r>
                    <w:rPr>
                      <w:rFonts w:hint="default" w:ascii="Times New Roman" w:hAnsi="Times New Roman" w:eastAsia="宋体" w:cs="Times New Roman"/>
                      <w:b w:val="0"/>
                      <w:bCs w:val="0"/>
                      <w:color w:val="0000FF"/>
                      <w:sz w:val="21"/>
                      <w:szCs w:val="21"/>
                      <w:highlight w:val="none"/>
                      <w:lang w:val="en-US" w:eastAsia="zh-CN"/>
                    </w:rPr>
                    <w:t>9</w:t>
                  </w:r>
                </w:p>
              </w:tc>
              <w:tc>
                <w:tcPr>
                  <w:tcW w:w="394" w:type="pct"/>
                  <w:vMerge w:val="continue"/>
                  <w:vAlign w:val="center"/>
                </w:tcPr>
                <w:p w14:paraId="52472AFF">
                  <w:pPr>
                    <w:keepNext w:val="0"/>
                    <w:keepLines w:val="0"/>
                    <w:suppressLineNumbers w:val="0"/>
                    <w:spacing w:before="0" w:beforeAutospacing="0" w:after="0" w:afterAutospacing="0"/>
                    <w:ind w:left="0" w:right="0"/>
                    <w:jc w:val="center"/>
                    <w:rPr>
                      <w:rFonts w:hint="default" w:ascii="Times New Roman" w:hAnsi="Times New Roman" w:eastAsia="宋体" w:cs="Times New Roman"/>
                      <w:b w:val="0"/>
                      <w:bCs w:val="0"/>
                      <w:color w:val="0000FF"/>
                      <w:szCs w:val="21"/>
                      <w:highlight w:val="none"/>
                    </w:rPr>
                  </w:pPr>
                </w:p>
              </w:tc>
              <w:tc>
                <w:tcPr>
                  <w:tcW w:w="660" w:type="pct"/>
                  <w:vMerge w:val="continue"/>
                  <w:vAlign w:val="center"/>
                </w:tcPr>
                <w:p w14:paraId="6EAF772A">
                  <w:pPr>
                    <w:keepNext w:val="0"/>
                    <w:keepLines w:val="0"/>
                    <w:suppressLineNumbers w:val="0"/>
                    <w:spacing w:before="0" w:beforeAutospacing="0" w:after="0" w:afterAutospacing="0"/>
                    <w:ind w:left="0" w:right="0"/>
                    <w:jc w:val="center"/>
                    <w:rPr>
                      <w:rFonts w:hint="default" w:ascii="Times New Roman" w:hAnsi="Times New Roman" w:eastAsia="宋体" w:cs="Times New Roman"/>
                      <w:b w:val="0"/>
                      <w:bCs w:val="0"/>
                      <w:color w:val="0000FF"/>
                      <w:szCs w:val="21"/>
                      <w:highlight w:val="none"/>
                    </w:rPr>
                  </w:pPr>
                </w:p>
              </w:tc>
              <w:tc>
                <w:tcPr>
                  <w:tcW w:w="766" w:type="pct"/>
                  <w:shd w:val="clear" w:color="auto" w:fill="auto"/>
                  <w:vAlign w:val="center"/>
                </w:tcPr>
                <w:p w14:paraId="1341893B">
                  <w:pPr>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color w:val="0000FF"/>
                      <w:kern w:val="2"/>
                      <w:sz w:val="21"/>
                      <w:szCs w:val="21"/>
                      <w:lang w:val="en-US" w:eastAsia="zh-CN" w:bidi="ar-SA"/>
                    </w:rPr>
                  </w:pPr>
                  <w:r>
                    <w:rPr>
                      <w:rFonts w:hint="default" w:ascii="Times New Roman" w:hAnsi="Times New Roman" w:eastAsia="宋体" w:cs="Times New Roman"/>
                      <w:color w:val="0000FF"/>
                      <w:szCs w:val="21"/>
                    </w:rPr>
                    <w:t>SXLJ-3000L</w:t>
                  </w:r>
                </w:p>
              </w:tc>
              <w:tc>
                <w:tcPr>
                  <w:tcW w:w="483" w:type="pct"/>
                  <w:shd w:val="clear" w:color="auto" w:fill="auto"/>
                  <w:vAlign w:val="center"/>
                </w:tcPr>
                <w:p w14:paraId="3DE4DE7E">
                  <w:pPr>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color w:val="0000FF"/>
                      <w:kern w:val="2"/>
                      <w:sz w:val="21"/>
                      <w:szCs w:val="21"/>
                      <w:lang w:val="en-US" w:eastAsia="zh-CN" w:bidi="ar-SA"/>
                    </w:rPr>
                  </w:pPr>
                  <w:r>
                    <w:rPr>
                      <w:rFonts w:hint="default" w:ascii="Times New Roman" w:hAnsi="Times New Roman" w:eastAsia="宋体" w:cs="Times New Roman"/>
                      <w:color w:val="0000FF"/>
                      <w:szCs w:val="21"/>
                    </w:rPr>
                    <w:t>1</w:t>
                  </w:r>
                </w:p>
              </w:tc>
              <w:tc>
                <w:tcPr>
                  <w:tcW w:w="417" w:type="pct"/>
                  <w:shd w:val="clear" w:color="auto" w:fill="auto"/>
                  <w:vAlign w:val="center"/>
                </w:tcPr>
                <w:p w14:paraId="30DB6681">
                  <w:pPr>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color w:val="0000FF"/>
                      <w:kern w:val="2"/>
                      <w:sz w:val="21"/>
                      <w:szCs w:val="21"/>
                      <w:lang w:val="en-US" w:eastAsia="zh-CN" w:bidi="ar-SA"/>
                    </w:rPr>
                  </w:pPr>
                  <w:r>
                    <w:rPr>
                      <w:rFonts w:hint="default" w:ascii="Times New Roman" w:hAnsi="Times New Roman" w:eastAsia="宋体" w:cs="Times New Roman"/>
                      <w:color w:val="0000FF"/>
                      <w:szCs w:val="21"/>
                    </w:rPr>
                    <w:t>0</w:t>
                  </w:r>
                </w:p>
              </w:tc>
              <w:tc>
                <w:tcPr>
                  <w:tcW w:w="592" w:type="pct"/>
                  <w:shd w:val="clear" w:color="auto" w:fill="auto"/>
                  <w:vAlign w:val="center"/>
                </w:tcPr>
                <w:p w14:paraId="5494F3C8">
                  <w:pPr>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color w:val="0000FF"/>
                      <w:kern w:val="2"/>
                      <w:sz w:val="21"/>
                      <w:szCs w:val="21"/>
                      <w:lang w:val="en-US" w:eastAsia="zh-CN" w:bidi="ar-SA"/>
                    </w:rPr>
                  </w:pPr>
                  <w:r>
                    <w:rPr>
                      <w:rFonts w:hint="default" w:ascii="Times New Roman" w:hAnsi="Times New Roman" w:eastAsia="宋体" w:cs="Times New Roman"/>
                      <w:color w:val="0000FF"/>
                      <w:szCs w:val="21"/>
                    </w:rPr>
                    <w:t>0</w:t>
                  </w:r>
                </w:p>
              </w:tc>
              <w:tc>
                <w:tcPr>
                  <w:tcW w:w="537" w:type="pct"/>
                  <w:shd w:val="clear" w:color="auto" w:fill="auto"/>
                  <w:vAlign w:val="center"/>
                </w:tcPr>
                <w:p w14:paraId="496ED89A">
                  <w:pPr>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color w:val="0000FF"/>
                      <w:kern w:val="2"/>
                      <w:sz w:val="21"/>
                      <w:szCs w:val="21"/>
                      <w:lang w:val="en-US" w:eastAsia="zh-CN" w:bidi="ar-SA"/>
                    </w:rPr>
                  </w:pPr>
                  <w:r>
                    <w:rPr>
                      <w:rFonts w:hint="default" w:ascii="Times New Roman" w:hAnsi="Times New Roman" w:eastAsia="宋体" w:cs="Times New Roman"/>
                      <w:color w:val="0000FF"/>
                      <w:szCs w:val="21"/>
                    </w:rPr>
                    <w:t>-1</w:t>
                  </w:r>
                </w:p>
              </w:tc>
              <w:tc>
                <w:tcPr>
                  <w:tcW w:w="536" w:type="pct"/>
                  <w:gridSpan w:val="2"/>
                  <w:vMerge w:val="continue"/>
                  <w:vAlign w:val="center"/>
                </w:tcPr>
                <w:p w14:paraId="591AB96A">
                  <w:pPr>
                    <w:keepNext w:val="0"/>
                    <w:keepLines w:val="0"/>
                    <w:suppressLineNumbers w:val="0"/>
                    <w:spacing w:before="0" w:beforeAutospacing="0" w:after="0" w:afterAutospacing="0"/>
                    <w:ind w:left="0" w:right="0"/>
                    <w:jc w:val="center"/>
                    <w:rPr>
                      <w:rFonts w:hint="eastAsia" w:ascii="Times New Roman" w:hAnsi="Times New Roman" w:eastAsia="宋体" w:cs="Times New Roman"/>
                      <w:b w:val="0"/>
                      <w:bCs w:val="0"/>
                      <w:color w:val="0000FF"/>
                      <w:szCs w:val="21"/>
                      <w:highlight w:val="none"/>
                      <w:lang w:val="en-US" w:eastAsia="zh-CN"/>
                    </w:rPr>
                  </w:pPr>
                </w:p>
              </w:tc>
              <w:tc>
                <w:tcPr>
                  <w:tcW w:w="320" w:type="pct"/>
                  <w:shd w:val="clear" w:color="auto" w:fill="auto"/>
                  <w:vAlign w:val="center"/>
                </w:tcPr>
                <w:p w14:paraId="18B1A2BE">
                  <w:pPr>
                    <w:keepNext w:val="0"/>
                    <w:keepLines w:val="0"/>
                    <w:suppressLineNumbers w:val="0"/>
                    <w:spacing w:before="0" w:beforeAutospacing="0" w:after="0" w:afterAutospacing="0" w:line="240" w:lineRule="auto"/>
                    <w:ind w:left="0" w:right="0"/>
                    <w:jc w:val="center"/>
                    <w:rPr>
                      <w:rFonts w:hint="default" w:ascii="Times New Roman" w:hAnsi="Times New Roman" w:eastAsia="宋体" w:cs="Times New Roman"/>
                      <w:b w:val="0"/>
                      <w:bCs w:val="0"/>
                      <w:color w:val="0000FF"/>
                      <w:kern w:val="2"/>
                      <w:sz w:val="21"/>
                      <w:szCs w:val="21"/>
                      <w:highlight w:val="none"/>
                      <w:lang w:val="en-US" w:eastAsia="zh-CN" w:bidi="ar-SA"/>
                    </w:rPr>
                  </w:pPr>
                  <w:r>
                    <w:rPr>
                      <w:rFonts w:hint="default" w:ascii="Times New Roman" w:hAnsi="Times New Roman" w:eastAsia="宋体" w:cs="Times New Roman"/>
                      <w:b w:val="0"/>
                      <w:bCs w:val="0"/>
                      <w:color w:val="0000FF"/>
                      <w:sz w:val="21"/>
                      <w:szCs w:val="21"/>
                      <w:highlight w:val="none"/>
                      <w:lang w:val="en-US" w:eastAsia="zh-CN"/>
                    </w:rPr>
                    <w:t>/</w:t>
                  </w:r>
                </w:p>
              </w:tc>
            </w:tr>
            <w:tr w14:paraId="0B7E76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291" w:type="pct"/>
                  <w:shd w:val="clear" w:color="auto" w:fill="auto"/>
                  <w:vAlign w:val="center"/>
                </w:tcPr>
                <w:p w14:paraId="2920AF1E">
                  <w:pPr>
                    <w:keepNext w:val="0"/>
                    <w:keepLines w:val="0"/>
                    <w:suppressLineNumbers w:val="0"/>
                    <w:spacing w:before="0" w:beforeAutospacing="0" w:after="0" w:afterAutospacing="0" w:line="240" w:lineRule="auto"/>
                    <w:ind w:left="0" w:right="0"/>
                    <w:jc w:val="center"/>
                    <w:rPr>
                      <w:rFonts w:hint="default" w:ascii="Times New Roman" w:hAnsi="Times New Roman" w:eastAsia="宋体" w:cs="Times New Roman"/>
                      <w:b w:val="0"/>
                      <w:bCs w:val="0"/>
                      <w:color w:val="0000FF"/>
                      <w:kern w:val="2"/>
                      <w:sz w:val="21"/>
                      <w:szCs w:val="21"/>
                      <w:highlight w:val="none"/>
                      <w:lang w:val="en-US" w:eastAsia="zh-CN" w:bidi="ar-SA"/>
                    </w:rPr>
                  </w:pPr>
                  <w:r>
                    <w:rPr>
                      <w:rFonts w:hint="default" w:ascii="Times New Roman" w:hAnsi="Times New Roman" w:eastAsia="宋体" w:cs="Times New Roman"/>
                      <w:b w:val="0"/>
                      <w:bCs w:val="0"/>
                      <w:color w:val="0000FF"/>
                      <w:sz w:val="21"/>
                      <w:szCs w:val="21"/>
                      <w:highlight w:val="none"/>
                      <w:lang w:val="en-US" w:eastAsia="zh-CN"/>
                    </w:rPr>
                    <w:t>10</w:t>
                  </w:r>
                </w:p>
              </w:tc>
              <w:tc>
                <w:tcPr>
                  <w:tcW w:w="394" w:type="pct"/>
                  <w:vMerge w:val="continue"/>
                  <w:vAlign w:val="center"/>
                </w:tcPr>
                <w:p w14:paraId="7C14D888">
                  <w:pPr>
                    <w:keepNext w:val="0"/>
                    <w:keepLines w:val="0"/>
                    <w:suppressLineNumbers w:val="0"/>
                    <w:spacing w:before="0" w:beforeAutospacing="0" w:after="0" w:afterAutospacing="0"/>
                    <w:ind w:left="0" w:right="0"/>
                    <w:jc w:val="center"/>
                    <w:rPr>
                      <w:rFonts w:hint="default" w:ascii="Times New Roman" w:hAnsi="Times New Roman" w:eastAsia="宋体" w:cs="Times New Roman"/>
                      <w:b w:val="0"/>
                      <w:bCs w:val="0"/>
                      <w:color w:val="0000FF"/>
                      <w:szCs w:val="21"/>
                      <w:highlight w:val="none"/>
                    </w:rPr>
                  </w:pPr>
                </w:p>
              </w:tc>
              <w:tc>
                <w:tcPr>
                  <w:tcW w:w="660" w:type="pct"/>
                  <w:shd w:val="clear" w:color="auto" w:fill="auto"/>
                  <w:vAlign w:val="center"/>
                </w:tcPr>
                <w:p w14:paraId="1454FCFC">
                  <w:pPr>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color w:val="0000FF"/>
                      <w:kern w:val="2"/>
                      <w:sz w:val="21"/>
                      <w:szCs w:val="21"/>
                      <w:lang w:val="en-US" w:eastAsia="zh-CN" w:bidi="ar-SA"/>
                    </w:rPr>
                  </w:pPr>
                  <w:r>
                    <w:rPr>
                      <w:rFonts w:hint="default" w:ascii="Times New Roman" w:hAnsi="Times New Roman" w:eastAsia="宋体" w:cs="Times New Roman"/>
                      <w:color w:val="0000FF"/>
                      <w:szCs w:val="21"/>
                    </w:rPr>
                    <w:t>立式无油真空泵</w:t>
                  </w:r>
                </w:p>
              </w:tc>
              <w:tc>
                <w:tcPr>
                  <w:tcW w:w="766" w:type="pct"/>
                  <w:shd w:val="clear" w:color="auto" w:fill="auto"/>
                  <w:vAlign w:val="center"/>
                </w:tcPr>
                <w:p w14:paraId="7B2C168E">
                  <w:pPr>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color w:val="0000FF"/>
                      <w:kern w:val="2"/>
                      <w:sz w:val="21"/>
                      <w:szCs w:val="21"/>
                      <w:lang w:val="en-US" w:eastAsia="zh-CN" w:bidi="ar-SA"/>
                    </w:rPr>
                  </w:pPr>
                  <w:r>
                    <w:rPr>
                      <w:rFonts w:hint="default" w:ascii="Times New Roman" w:hAnsi="Times New Roman" w:eastAsia="宋体" w:cs="Times New Roman"/>
                      <w:color w:val="0000FF"/>
                      <w:szCs w:val="21"/>
                    </w:rPr>
                    <w:t>WLW-100</w:t>
                  </w:r>
                </w:p>
              </w:tc>
              <w:tc>
                <w:tcPr>
                  <w:tcW w:w="483" w:type="pct"/>
                  <w:shd w:val="clear" w:color="auto" w:fill="auto"/>
                  <w:vAlign w:val="center"/>
                </w:tcPr>
                <w:p w14:paraId="3E67DDDA">
                  <w:pPr>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color w:val="0000FF"/>
                      <w:kern w:val="2"/>
                      <w:sz w:val="21"/>
                      <w:szCs w:val="21"/>
                      <w:lang w:val="en-US" w:eastAsia="zh-CN" w:bidi="ar-SA"/>
                    </w:rPr>
                  </w:pPr>
                  <w:r>
                    <w:rPr>
                      <w:rFonts w:hint="default" w:ascii="Times New Roman" w:hAnsi="Times New Roman" w:eastAsia="宋体" w:cs="Times New Roman"/>
                      <w:color w:val="0000FF"/>
                      <w:szCs w:val="21"/>
                    </w:rPr>
                    <w:t>3</w:t>
                  </w:r>
                </w:p>
              </w:tc>
              <w:tc>
                <w:tcPr>
                  <w:tcW w:w="417" w:type="pct"/>
                  <w:shd w:val="clear" w:color="auto" w:fill="auto"/>
                  <w:vAlign w:val="center"/>
                </w:tcPr>
                <w:p w14:paraId="6551CB47">
                  <w:pPr>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color w:val="0000FF"/>
                      <w:kern w:val="2"/>
                      <w:sz w:val="21"/>
                      <w:szCs w:val="21"/>
                      <w:lang w:val="en-US" w:eastAsia="zh-CN" w:bidi="ar-SA"/>
                    </w:rPr>
                  </w:pPr>
                  <w:r>
                    <w:rPr>
                      <w:rFonts w:hint="default" w:ascii="Times New Roman" w:hAnsi="Times New Roman" w:eastAsia="宋体" w:cs="Times New Roman"/>
                      <w:color w:val="0000FF"/>
                      <w:szCs w:val="21"/>
                    </w:rPr>
                    <w:t>4</w:t>
                  </w:r>
                </w:p>
              </w:tc>
              <w:tc>
                <w:tcPr>
                  <w:tcW w:w="592" w:type="pct"/>
                  <w:shd w:val="clear" w:color="auto" w:fill="auto"/>
                  <w:vAlign w:val="center"/>
                </w:tcPr>
                <w:p w14:paraId="4A4201E1">
                  <w:pPr>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color w:val="0000FF"/>
                      <w:kern w:val="2"/>
                      <w:sz w:val="21"/>
                      <w:szCs w:val="21"/>
                      <w:lang w:val="en-US" w:eastAsia="zh-CN" w:bidi="ar-SA"/>
                    </w:rPr>
                  </w:pPr>
                  <w:r>
                    <w:rPr>
                      <w:rFonts w:hint="default" w:ascii="Times New Roman" w:hAnsi="Times New Roman" w:eastAsia="宋体" w:cs="Times New Roman"/>
                      <w:color w:val="0000FF"/>
                      <w:szCs w:val="21"/>
                    </w:rPr>
                    <w:t>4</w:t>
                  </w:r>
                </w:p>
              </w:tc>
              <w:tc>
                <w:tcPr>
                  <w:tcW w:w="537" w:type="pct"/>
                  <w:shd w:val="clear" w:color="auto" w:fill="auto"/>
                  <w:vAlign w:val="center"/>
                </w:tcPr>
                <w:p w14:paraId="61120317">
                  <w:pPr>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color w:val="0000FF"/>
                      <w:kern w:val="2"/>
                      <w:sz w:val="21"/>
                      <w:szCs w:val="21"/>
                      <w:lang w:val="en-US" w:eastAsia="zh-CN" w:bidi="ar-SA"/>
                    </w:rPr>
                  </w:pPr>
                  <w:r>
                    <w:rPr>
                      <w:rFonts w:hint="default" w:ascii="Times New Roman" w:hAnsi="Times New Roman" w:eastAsia="宋体" w:cs="Times New Roman"/>
                      <w:color w:val="0000FF"/>
                      <w:szCs w:val="21"/>
                    </w:rPr>
                    <w:t>+1</w:t>
                  </w:r>
                </w:p>
              </w:tc>
              <w:tc>
                <w:tcPr>
                  <w:tcW w:w="536" w:type="pct"/>
                  <w:gridSpan w:val="2"/>
                  <w:vMerge w:val="continue"/>
                  <w:vAlign w:val="center"/>
                </w:tcPr>
                <w:p w14:paraId="3C38E511">
                  <w:pPr>
                    <w:keepNext w:val="0"/>
                    <w:keepLines w:val="0"/>
                    <w:suppressLineNumbers w:val="0"/>
                    <w:spacing w:before="0" w:beforeAutospacing="0" w:after="0" w:afterAutospacing="0"/>
                    <w:ind w:left="0" w:right="0"/>
                    <w:jc w:val="center"/>
                    <w:rPr>
                      <w:rFonts w:hint="eastAsia" w:ascii="Times New Roman" w:hAnsi="Times New Roman" w:eastAsia="宋体" w:cs="Times New Roman"/>
                      <w:b w:val="0"/>
                      <w:bCs w:val="0"/>
                      <w:color w:val="0000FF"/>
                      <w:szCs w:val="21"/>
                      <w:highlight w:val="none"/>
                      <w:lang w:val="en-US" w:eastAsia="zh-CN"/>
                    </w:rPr>
                  </w:pPr>
                </w:p>
              </w:tc>
              <w:tc>
                <w:tcPr>
                  <w:tcW w:w="320" w:type="pct"/>
                  <w:shd w:val="clear" w:color="auto" w:fill="auto"/>
                  <w:vAlign w:val="center"/>
                </w:tcPr>
                <w:p w14:paraId="5570FB6B">
                  <w:pPr>
                    <w:keepNext w:val="0"/>
                    <w:keepLines w:val="0"/>
                    <w:suppressLineNumbers w:val="0"/>
                    <w:spacing w:before="0" w:beforeAutospacing="0" w:after="0" w:afterAutospacing="0" w:line="240" w:lineRule="auto"/>
                    <w:ind w:left="0" w:right="0"/>
                    <w:jc w:val="center"/>
                    <w:rPr>
                      <w:rFonts w:hint="default" w:ascii="Times New Roman" w:hAnsi="Times New Roman" w:eastAsia="宋体" w:cs="Times New Roman"/>
                      <w:b w:val="0"/>
                      <w:bCs w:val="0"/>
                      <w:color w:val="0000FF"/>
                      <w:kern w:val="2"/>
                      <w:sz w:val="21"/>
                      <w:szCs w:val="21"/>
                      <w:highlight w:val="none"/>
                      <w:lang w:val="en-US" w:eastAsia="zh-CN" w:bidi="ar-SA"/>
                    </w:rPr>
                  </w:pPr>
                  <w:r>
                    <w:rPr>
                      <w:rFonts w:hint="default" w:ascii="Times New Roman" w:hAnsi="Times New Roman" w:eastAsia="宋体" w:cs="Times New Roman"/>
                      <w:b w:val="0"/>
                      <w:bCs w:val="0"/>
                      <w:color w:val="0000FF"/>
                      <w:sz w:val="21"/>
                      <w:szCs w:val="21"/>
                      <w:highlight w:val="none"/>
                      <w:lang w:val="en-US" w:eastAsia="zh-CN"/>
                    </w:rPr>
                    <w:t>/</w:t>
                  </w:r>
                </w:p>
              </w:tc>
            </w:tr>
            <w:tr w14:paraId="2055D2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291" w:type="pct"/>
                  <w:shd w:val="clear" w:color="auto" w:fill="auto"/>
                  <w:vAlign w:val="center"/>
                </w:tcPr>
                <w:p w14:paraId="0BE5BDFB">
                  <w:pPr>
                    <w:keepNext w:val="0"/>
                    <w:keepLines w:val="0"/>
                    <w:suppressLineNumbers w:val="0"/>
                    <w:spacing w:before="0" w:beforeAutospacing="0" w:after="0" w:afterAutospacing="0" w:line="240" w:lineRule="auto"/>
                    <w:ind w:left="0" w:right="0"/>
                    <w:jc w:val="center"/>
                    <w:rPr>
                      <w:rFonts w:hint="default" w:ascii="Times New Roman" w:hAnsi="Times New Roman" w:eastAsia="宋体" w:cs="Times New Roman"/>
                      <w:b w:val="0"/>
                      <w:bCs w:val="0"/>
                      <w:color w:val="0000FF"/>
                      <w:kern w:val="2"/>
                      <w:sz w:val="21"/>
                      <w:szCs w:val="21"/>
                      <w:highlight w:val="none"/>
                      <w:lang w:val="en-US" w:eastAsia="zh-CN" w:bidi="ar-SA"/>
                    </w:rPr>
                  </w:pPr>
                  <w:r>
                    <w:rPr>
                      <w:rFonts w:hint="default" w:ascii="Times New Roman" w:hAnsi="Times New Roman" w:eastAsia="宋体" w:cs="Times New Roman"/>
                      <w:b w:val="0"/>
                      <w:bCs w:val="0"/>
                      <w:color w:val="0000FF"/>
                      <w:sz w:val="21"/>
                      <w:szCs w:val="21"/>
                      <w:highlight w:val="none"/>
                      <w:lang w:val="en-US" w:eastAsia="zh-CN"/>
                    </w:rPr>
                    <w:t>11</w:t>
                  </w:r>
                </w:p>
              </w:tc>
              <w:tc>
                <w:tcPr>
                  <w:tcW w:w="394" w:type="pct"/>
                  <w:vMerge w:val="restart"/>
                  <w:shd w:val="clear" w:color="auto" w:fill="auto"/>
                  <w:vAlign w:val="center"/>
                </w:tcPr>
                <w:p w14:paraId="5A24C8FC">
                  <w:pPr>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color w:val="0000FF"/>
                      <w:kern w:val="2"/>
                      <w:sz w:val="21"/>
                      <w:szCs w:val="21"/>
                      <w:lang w:val="en-US" w:eastAsia="zh-CN" w:bidi="ar-SA"/>
                    </w:rPr>
                  </w:pPr>
                  <w:r>
                    <w:rPr>
                      <w:rFonts w:hint="default" w:ascii="Times New Roman" w:hAnsi="Times New Roman" w:eastAsia="宋体" w:cs="Times New Roman"/>
                      <w:color w:val="0000FF"/>
                      <w:szCs w:val="21"/>
                    </w:rPr>
                    <w:t>制片</w:t>
                  </w:r>
                </w:p>
              </w:tc>
              <w:tc>
                <w:tcPr>
                  <w:tcW w:w="660" w:type="pct"/>
                  <w:shd w:val="clear" w:color="auto" w:fill="auto"/>
                  <w:vAlign w:val="center"/>
                </w:tcPr>
                <w:p w14:paraId="360FA707">
                  <w:pPr>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color w:val="0000FF"/>
                      <w:kern w:val="2"/>
                      <w:sz w:val="21"/>
                      <w:szCs w:val="21"/>
                      <w:lang w:val="en-US" w:eastAsia="zh-CN" w:bidi="ar-SA"/>
                    </w:rPr>
                  </w:pPr>
                  <w:r>
                    <w:rPr>
                      <w:rFonts w:hint="default" w:ascii="Times New Roman" w:hAnsi="Times New Roman" w:eastAsia="宋体" w:cs="Times New Roman"/>
                      <w:color w:val="0000FF"/>
                      <w:szCs w:val="21"/>
                    </w:rPr>
                    <w:t>50T压机</w:t>
                  </w:r>
                </w:p>
              </w:tc>
              <w:tc>
                <w:tcPr>
                  <w:tcW w:w="766" w:type="pct"/>
                  <w:shd w:val="clear" w:color="auto" w:fill="auto"/>
                  <w:vAlign w:val="center"/>
                </w:tcPr>
                <w:p w14:paraId="3F794F19">
                  <w:pPr>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color w:val="0000FF"/>
                      <w:kern w:val="2"/>
                      <w:sz w:val="21"/>
                      <w:szCs w:val="21"/>
                      <w:lang w:val="en-US" w:eastAsia="zh-CN" w:bidi="ar-SA"/>
                    </w:rPr>
                  </w:pPr>
                  <w:r>
                    <w:rPr>
                      <w:rFonts w:hint="default" w:ascii="Times New Roman" w:hAnsi="Times New Roman" w:eastAsia="宋体" w:cs="Times New Roman"/>
                      <w:color w:val="0000FF"/>
                      <w:szCs w:val="21"/>
                    </w:rPr>
                    <w:t>YGJ-50T-200L</w:t>
                  </w:r>
                </w:p>
              </w:tc>
              <w:tc>
                <w:tcPr>
                  <w:tcW w:w="483" w:type="pct"/>
                  <w:shd w:val="clear" w:color="auto" w:fill="auto"/>
                  <w:vAlign w:val="center"/>
                </w:tcPr>
                <w:p w14:paraId="332F6680">
                  <w:pPr>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color w:val="0000FF"/>
                      <w:kern w:val="2"/>
                      <w:sz w:val="21"/>
                      <w:szCs w:val="21"/>
                      <w:lang w:val="en-US" w:eastAsia="zh-CN" w:bidi="ar-SA"/>
                    </w:rPr>
                  </w:pPr>
                  <w:r>
                    <w:rPr>
                      <w:rFonts w:hint="default" w:ascii="Times New Roman" w:hAnsi="Times New Roman" w:eastAsia="宋体" w:cs="Times New Roman"/>
                      <w:color w:val="0000FF"/>
                      <w:szCs w:val="21"/>
                    </w:rPr>
                    <w:t>1</w:t>
                  </w:r>
                </w:p>
              </w:tc>
              <w:tc>
                <w:tcPr>
                  <w:tcW w:w="417" w:type="pct"/>
                  <w:shd w:val="clear" w:color="auto" w:fill="auto"/>
                  <w:vAlign w:val="center"/>
                </w:tcPr>
                <w:p w14:paraId="1C40311F">
                  <w:pPr>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color w:val="0000FF"/>
                      <w:kern w:val="2"/>
                      <w:sz w:val="21"/>
                      <w:szCs w:val="21"/>
                      <w:lang w:val="en-US" w:eastAsia="zh-CN" w:bidi="ar-SA"/>
                    </w:rPr>
                  </w:pPr>
                  <w:r>
                    <w:rPr>
                      <w:rFonts w:hint="default" w:ascii="Times New Roman" w:hAnsi="Times New Roman" w:eastAsia="宋体" w:cs="Times New Roman"/>
                      <w:color w:val="0000FF"/>
                      <w:szCs w:val="21"/>
                    </w:rPr>
                    <w:t>1</w:t>
                  </w:r>
                </w:p>
              </w:tc>
              <w:tc>
                <w:tcPr>
                  <w:tcW w:w="592" w:type="pct"/>
                  <w:shd w:val="clear" w:color="auto" w:fill="auto"/>
                  <w:vAlign w:val="center"/>
                </w:tcPr>
                <w:p w14:paraId="3BECD25D">
                  <w:pPr>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color w:val="0000FF"/>
                      <w:kern w:val="2"/>
                      <w:sz w:val="21"/>
                      <w:szCs w:val="21"/>
                      <w:lang w:val="en-US" w:eastAsia="zh-CN" w:bidi="ar-SA"/>
                    </w:rPr>
                  </w:pPr>
                  <w:r>
                    <w:rPr>
                      <w:rFonts w:hint="default" w:ascii="Times New Roman" w:hAnsi="Times New Roman" w:eastAsia="宋体" w:cs="Times New Roman"/>
                      <w:color w:val="0000FF"/>
                      <w:szCs w:val="21"/>
                    </w:rPr>
                    <w:t>1</w:t>
                  </w:r>
                </w:p>
              </w:tc>
              <w:tc>
                <w:tcPr>
                  <w:tcW w:w="537" w:type="pct"/>
                  <w:shd w:val="clear" w:color="auto" w:fill="auto"/>
                  <w:vAlign w:val="center"/>
                </w:tcPr>
                <w:p w14:paraId="4588EA2A">
                  <w:pPr>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color w:val="0000FF"/>
                      <w:kern w:val="2"/>
                      <w:sz w:val="21"/>
                      <w:szCs w:val="21"/>
                      <w:lang w:val="en-US" w:eastAsia="zh-CN" w:bidi="ar-SA"/>
                    </w:rPr>
                  </w:pPr>
                  <w:r>
                    <w:rPr>
                      <w:rFonts w:hint="default" w:ascii="Times New Roman" w:hAnsi="Times New Roman" w:eastAsia="宋体" w:cs="Times New Roman"/>
                      <w:color w:val="0000FF"/>
                      <w:szCs w:val="21"/>
                    </w:rPr>
                    <w:t>0</w:t>
                  </w:r>
                </w:p>
              </w:tc>
              <w:tc>
                <w:tcPr>
                  <w:tcW w:w="536" w:type="pct"/>
                  <w:gridSpan w:val="2"/>
                  <w:vMerge w:val="continue"/>
                  <w:vAlign w:val="center"/>
                </w:tcPr>
                <w:p w14:paraId="628EB03F">
                  <w:pPr>
                    <w:keepNext w:val="0"/>
                    <w:keepLines w:val="0"/>
                    <w:suppressLineNumbers w:val="0"/>
                    <w:spacing w:before="0" w:beforeAutospacing="0" w:after="0" w:afterAutospacing="0"/>
                    <w:ind w:left="0" w:right="0"/>
                    <w:jc w:val="center"/>
                    <w:rPr>
                      <w:rFonts w:hint="eastAsia" w:ascii="Times New Roman" w:hAnsi="Times New Roman" w:eastAsia="宋体" w:cs="Times New Roman"/>
                      <w:b w:val="0"/>
                      <w:bCs w:val="0"/>
                      <w:color w:val="0000FF"/>
                      <w:szCs w:val="21"/>
                      <w:highlight w:val="none"/>
                      <w:lang w:val="en-US" w:eastAsia="zh-CN"/>
                    </w:rPr>
                  </w:pPr>
                </w:p>
              </w:tc>
              <w:tc>
                <w:tcPr>
                  <w:tcW w:w="320" w:type="pct"/>
                  <w:shd w:val="clear" w:color="auto" w:fill="auto"/>
                  <w:vAlign w:val="center"/>
                </w:tcPr>
                <w:p w14:paraId="38956C4C">
                  <w:pPr>
                    <w:keepNext w:val="0"/>
                    <w:keepLines w:val="0"/>
                    <w:suppressLineNumbers w:val="0"/>
                    <w:spacing w:before="0" w:beforeAutospacing="0" w:after="0" w:afterAutospacing="0" w:line="240" w:lineRule="auto"/>
                    <w:ind w:left="0" w:right="0"/>
                    <w:jc w:val="center"/>
                    <w:rPr>
                      <w:rFonts w:hint="default" w:ascii="Times New Roman" w:hAnsi="Times New Roman" w:eastAsia="宋体" w:cs="Times New Roman"/>
                      <w:b w:val="0"/>
                      <w:bCs w:val="0"/>
                      <w:color w:val="0000FF"/>
                      <w:kern w:val="2"/>
                      <w:sz w:val="21"/>
                      <w:szCs w:val="21"/>
                      <w:highlight w:val="none"/>
                      <w:lang w:val="en-US" w:eastAsia="zh-CN" w:bidi="ar-SA"/>
                    </w:rPr>
                  </w:pPr>
                  <w:r>
                    <w:rPr>
                      <w:rFonts w:hint="default" w:ascii="Times New Roman" w:hAnsi="Times New Roman" w:eastAsia="宋体" w:cs="Times New Roman"/>
                      <w:b w:val="0"/>
                      <w:bCs w:val="0"/>
                      <w:color w:val="0000FF"/>
                      <w:sz w:val="21"/>
                      <w:szCs w:val="21"/>
                      <w:highlight w:val="none"/>
                      <w:lang w:val="en-US" w:eastAsia="zh-CN"/>
                    </w:rPr>
                    <w:t>/</w:t>
                  </w:r>
                </w:p>
              </w:tc>
            </w:tr>
            <w:tr w14:paraId="2E46C3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291" w:type="pct"/>
                  <w:shd w:val="clear" w:color="auto" w:fill="auto"/>
                  <w:vAlign w:val="center"/>
                </w:tcPr>
                <w:p w14:paraId="238B384F">
                  <w:pPr>
                    <w:keepNext w:val="0"/>
                    <w:keepLines w:val="0"/>
                    <w:suppressLineNumbers w:val="0"/>
                    <w:spacing w:before="0" w:beforeAutospacing="0" w:after="0" w:afterAutospacing="0" w:line="240" w:lineRule="auto"/>
                    <w:ind w:left="0" w:right="0"/>
                    <w:jc w:val="center"/>
                    <w:rPr>
                      <w:rFonts w:hint="default" w:ascii="Times New Roman" w:hAnsi="Times New Roman" w:eastAsia="宋体" w:cs="Times New Roman"/>
                      <w:b w:val="0"/>
                      <w:bCs w:val="0"/>
                      <w:color w:val="0000FF"/>
                      <w:kern w:val="2"/>
                      <w:sz w:val="21"/>
                      <w:szCs w:val="21"/>
                      <w:highlight w:val="none"/>
                      <w:lang w:val="en-US" w:eastAsia="zh-CN" w:bidi="ar-SA"/>
                    </w:rPr>
                  </w:pPr>
                  <w:r>
                    <w:rPr>
                      <w:rFonts w:hint="default" w:ascii="Times New Roman" w:hAnsi="Times New Roman" w:eastAsia="宋体" w:cs="Times New Roman"/>
                      <w:b w:val="0"/>
                      <w:bCs w:val="0"/>
                      <w:color w:val="0000FF"/>
                      <w:sz w:val="21"/>
                      <w:szCs w:val="21"/>
                      <w:highlight w:val="none"/>
                      <w:lang w:val="en-US" w:eastAsia="zh-CN"/>
                    </w:rPr>
                    <w:t>12</w:t>
                  </w:r>
                </w:p>
              </w:tc>
              <w:tc>
                <w:tcPr>
                  <w:tcW w:w="394" w:type="pct"/>
                  <w:vMerge w:val="continue"/>
                  <w:vAlign w:val="center"/>
                </w:tcPr>
                <w:p w14:paraId="3F5C7528">
                  <w:pPr>
                    <w:keepNext w:val="0"/>
                    <w:keepLines w:val="0"/>
                    <w:suppressLineNumbers w:val="0"/>
                    <w:spacing w:before="0" w:beforeAutospacing="0" w:after="0" w:afterAutospacing="0"/>
                    <w:ind w:left="0" w:right="0"/>
                    <w:jc w:val="center"/>
                    <w:rPr>
                      <w:rFonts w:hint="default" w:ascii="Times New Roman" w:hAnsi="Times New Roman" w:eastAsia="宋体" w:cs="Times New Roman"/>
                      <w:b w:val="0"/>
                      <w:bCs w:val="0"/>
                      <w:color w:val="0000FF"/>
                      <w:szCs w:val="21"/>
                      <w:highlight w:val="none"/>
                    </w:rPr>
                  </w:pPr>
                </w:p>
              </w:tc>
              <w:tc>
                <w:tcPr>
                  <w:tcW w:w="660" w:type="pct"/>
                  <w:shd w:val="clear" w:color="auto" w:fill="auto"/>
                  <w:vAlign w:val="center"/>
                </w:tcPr>
                <w:p w14:paraId="18914668">
                  <w:pPr>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color w:val="0000FF"/>
                      <w:kern w:val="2"/>
                      <w:sz w:val="21"/>
                      <w:szCs w:val="21"/>
                      <w:lang w:val="en-US" w:eastAsia="zh-CN" w:bidi="ar-SA"/>
                    </w:rPr>
                  </w:pPr>
                  <w:r>
                    <w:rPr>
                      <w:rFonts w:hint="default" w:ascii="Times New Roman" w:hAnsi="Times New Roman" w:eastAsia="宋体" w:cs="Times New Roman"/>
                      <w:color w:val="0000FF"/>
                      <w:szCs w:val="21"/>
                    </w:rPr>
                    <w:t>80T压机</w:t>
                  </w:r>
                </w:p>
              </w:tc>
              <w:tc>
                <w:tcPr>
                  <w:tcW w:w="766" w:type="pct"/>
                  <w:shd w:val="clear" w:color="auto" w:fill="auto"/>
                  <w:vAlign w:val="center"/>
                </w:tcPr>
                <w:p w14:paraId="76FD8DF5">
                  <w:pPr>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color w:val="0000FF"/>
                      <w:kern w:val="2"/>
                      <w:sz w:val="21"/>
                      <w:szCs w:val="21"/>
                      <w:lang w:val="en-US" w:eastAsia="zh-CN" w:bidi="ar-SA"/>
                    </w:rPr>
                  </w:pPr>
                  <w:r>
                    <w:rPr>
                      <w:rFonts w:hint="default" w:ascii="Times New Roman" w:hAnsi="Times New Roman" w:eastAsia="宋体" w:cs="Times New Roman"/>
                      <w:color w:val="0000FF"/>
                      <w:szCs w:val="21"/>
                    </w:rPr>
                    <w:t>YGJ-80T-1100L</w:t>
                  </w:r>
                </w:p>
              </w:tc>
              <w:tc>
                <w:tcPr>
                  <w:tcW w:w="483" w:type="pct"/>
                  <w:shd w:val="clear" w:color="auto" w:fill="auto"/>
                  <w:vAlign w:val="center"/>
                </w:tcPr>
                <w:p w14:paraId="2BE9A365">
                  <w:pPr>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color w:val="0000FF"/>
                      <w:kern w:val="2"/>
                      <w:sz w:val="21"/>
                      <w:szCs w:val="21"/>
                      <w:lang w:val="en-US" w:eastAsia="zh-CN" w:bidi="ar-SA"/>
                    </w:rPr>
                  </w:pPr>
                  <w:r>
                    <w:rPr>
                      <w:rFonts w:hint="default" w:ascii="Times New Roman" w:hAnsi="Times New Roman" w:eastAsia="宋体" w:cs="Times New Roman"/>
                      <w:color w:val="0000FF"/>
                      <w:szCs w:val="21"/>
                    </w:rPr>
                    <w:t>2</w:t>
                  </w:r>
                </w:p>
              </w:tc>
              <w:tc>
                <w:tcPr>
                  <w:tcW w:w="417" w:type="pct"/>
                  <w:shd w:val="clear" w:color="auto" w:fill="auto"/>
                  <w:vAlign w:val="center"/>
                </w:tcPr>
                <w:p w14:paraId="51F0E5E7">
                  <w:pPr>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color w:val="0000FF"/>
                      <w:kern w:val="2"/>
                      <w:sz w:val="21"/>
                      <w:szCs w:val="21"/>
                      <w:lang w:val="en-US" w:eastAsia="zh-CN" w:bidi="ar-SA"/>
                    </w:rPr>
                  </w:pPr>
                  <w:r>
                    <w:rPr>
                      <w:rFonts w:hint="default" w:ascii="Times New Roman" w:hAnsi="Times New Roman" w:eastAsia="宋体" w:cs="Times New Roman"/>
                      <w:color w:val="0000FF"/>
                      <w:szCs w:val="21"/>
                    </w:rPr>
                    <w:t>2</w:t>
                  </w:r>
                </w:p>
              </w:tc>
              <w:tc>
                <w:tcPr>
                  <w:tcW w:w="592" w:type="pct"/>
                  <w:shd w:val="clear" w:color="auto" w:fill="auto"/>
                  <w:vAlign w:val="center"/>
                </w:tcPr>
                <w:p w14:paraId="25F318EC">
                  <w:pPr>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color w:val="0000FF"/>
                      <w:kern w:val="2"/>
                      <w:sz w:val="21"/>
                      <w:szCs w:val="21"/>
                      <w:lang w:val="en-US" w:eastAsia="zh-CN" w:bidi="ar-SA"/>
                    </w:rPr>
                  </w:pPr>
                  <w:r>
                    <w:rPr>
                      <w:rFonts w:hint="default" w:ascii="Times New Roman" w:hAnsi="Times New Roman" w:eastAsia="宋体" w:cs="Times New Roman"/>
                      <w:color w:val="0000FF"/>
                      <w:szCs w:val="21"/>
                    </w:rPr>
                    <w:t>2</w:t>
                  </w:r>
                </w:p>
              </w:tc>
              <w:tc>
                <w:tcPr>
                  <w:tcW w:w="537" w:type="pct"/>
                  <w:shd w:val="clear" w:color="auto" w:fill="auto"/>
                  <w:vAlign w:val="center"/>
                </w:tcPr>
                <w:p w14:paraId="0E30F1FD">
                  <w:pPr>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color w:val="0000FF"/>
                      <w:kern w:val="2"/>
                      <w:sz w:val="21"/>
                      <w:szCs w:val="21"/>
                      <w:lang w:val="en-US" w:eastAsia="zh-CN" w:bidi="ar-SA"/>
                    </w:rPr>
                  </w:pPr>
                  <w:r>
                    <w:rPr>
                      <w:rFonts w:hint="default" w:ascii="Times New Roman" w:hAnsi="Times New Roman" w:eastAsia="宋体" w:cs="Times New Roman"/>
                      <w:color w:val="0000FF"/>
                      <w:szCs w:val="21"/>
                    </w:rPr>
                    <w:t>0</w:t>
                  </w:r>
                </w:p>
              </w:tc>
              <w:tc>
                <w:tcPr>
                  <w:tcW w:w="536" w:type="pct"/>
                  <w:gridSpan w:val="2"/>
                  <w:vMerge w:val="continue"/>
                  <w:vAlign w:val="center"/>
                </w:tcPr>
                <w:p w14:paraId="0420F6D0">
                  <w:pPr>
                    <w:keepNext w:val="0"/>
                    <w:keepLines w:val="0"/>
                    <w:suppressLineNumbers w:val="0"/>
                    <w:spacing w:before="0" w:beforeAutospacing="0" w:after="0" w:afterAutospacing="0"/>
                    <w:ind w:left="0" w:right="0"/>
                    <w:jc w:val="center"/>
                    <w:rPr>
                      <w:rFonts w:hint="eastAsia" w:ascii="Times New Roman" w:hAnsi="Times New Roman" w:eastAsia="宋体" w:cs="Times New Roman"/>
                      <w:b w:val="0"/>
                      <w:bCs w:val="0"/>
                      <w:color w:val="0000FF"/>
                      <w:szCs w:val="21"/>
                      <w:highlight w:val="none"/>
                      <w:lang w:val="en-US" w:eastAsia="zh-CN"/>
                    </w:rPr>
                  </w:pPr>
                </w:p>
              </w:tc>
              <w:tc>
                <w:tcPr>
                  <w:tcW w:w="320" w:type="pct"/>
                  <w:shd w:val="clear" w:color="auto" w:fill="auto"/>
                  <w:vAlign w:val="center"/>
                </w:tcPr>
                <w:p w14:paraId="2E793441">
                  <w:pPr>
                    <w:keepNext w:val="0"/>
                    <w:keepLines w:val="0"/>
                    <w:suppressLineNumbers w:val="0"/>
                    <w:spacing w:before="0" w:beforeAutospacing="0" w:after="0" w:afterAutospacing="0" w:line="240" w:lineRule="auto"/>
                    <w:ind w:left="0" w:right="0"/>
                    <w:jc w:val="center"/>
                    <w:rPr>
                      <w:rFonts w:hint="default" w:ascii="Times New Roman" w:hAnsi="Times New Roman" w:eastAsia="宋体" w:cs="Times New Roman"/>
                      <w:b w:val="0"/>
                      <w:bCs w:val="0"/>
                      <w:color w:val="0000FF"/>
                      <w:kern w:val="2"/>
                      <w:sz w:val="21"/>
                      <w:szCs w:val="21"/>
                      <w:highlight w:val="none"/>
                      <w:lang w:val="en-US" w:eastAsia="zh-CN" w:bidi="ar-SA"/>
                    </w:rPr>
                  </w:pPr>
                  <w:r>
                    <w:rPr>
                      <w:rFonts w:hint="default" w:ascii="Times New Roman" w:hAnsi="Times New Roman" w:eastAsia="宋体" w:cs="Times New Roman"/>
                      <w:b w:val="0"/>
                      <w:bCs w:val="0"/>
                      <w:color w:val="0000FF"/>
                      <w:sz w:val="21"/>
                      <w:szCs w:val="21"/>
                      <w:highlight w:val="none"/>
                      <w:lang w:val="en-US" w:eastAsia="zh-CN"/>
                    </w:rPr>
                    <w:t>/</w:t>
                  </w:r>
                </w:p>
              </w:tc>
            </w:tr>
            <w:tr w14:paraId="2D67B5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291" w:type="pct"/>
                  <w:shd w:val="clear" w:color="auto" w:fill="auto"/>
                  <w:vAlign w:val="center"/>
                </w:tcPr>
                <w:p w14:paraId="3ED04A7B">
                  <w:pPr>
                    <w:keepNext w:val="0"/>
                    <w:keepLines w:val="0"/>
                    <w:suppressLineNumbers w:val="0"/>
                    <w:spacing w:before="0" w:beforeAutospacing="0" w:after="0" w:afterAutospacing="0" w:line="240" w:lineRule="auto"/>
                    <w:ind w:left="0" w:right="0"/>
                    <w:jc w:val="center"/>
                    <w:rPr>
                      <w:rFonts w:hint="default" w:ascii="Times New Roman" w:hAnsi="Times New Roman" w:eastAsia="宋体" w:cs="Times New Roman"/>
                      <w:b w:val="0"/>
                      <w:bCs w:val="0"/>
                      <w:color w:val="0000FF"/>
                      <w:kern w:val="2"/>
                      <w:sz w:val="21"/>
                      <w:szCs w:val="21"/>
                      <w:highlight w:val="none"/>
                      <w:lang w:val="en-US" w:eastAsia="zh-CN" w:bidi="ar-SA"/>
                    </w:rPr>
                  </w:pPr>
                  <w:r>
                    <w:rPr>
                      <w:rFonts w:hint="default" w:ascii="Times New Roman" w:hAnsi="Times New Roman" w:eastAsia="宋体" w:cs="Times New Roman"/>
                      <w:b w:val="0"/>
                      <w:bCs w:val="0"/>
                      <w:color w:val="0000FF"/>
                      <w:sz w:val="21"/>
                      <w:szCs w:val="21"/>
                      <w:highlight w:val="none"/>
                      <w:lang w:val="en-US" w:eastAsia="zh-CN"/>
                    </w:rPr>
                    <w:t>13</w:t>
                  </w:r>
                </w:p>
              </w:tc>
              <w:tc>
                <w:tcPr>
                  <w:tcW w:w="394" w:type="pct"/>
                  <w:vMerge w:val="continue"/>
                  <w:vAlign w:val="center"/>
                </w:tcPr>
                <w:p w14:paraId="7469101E">
                  <w:pPr>
                    <w:keepNext w:val="0"/>
                    <w:keepLines w:val="0"/>
                    <w:suppressLineNumbers w:val="0"/>
                    <w:spacing w:before="0" w:beforeAutospacing="0" w:after="0" w:afterAutospacing="0"/>
                    <w:ind w:left="0" w:right="0"/>
                    <w:jc w:val="center"/>
                    <w:rPr>
                      <w:rFonts w:hint="default" w:ascii="Times New Roman" w:hAnsi="Times New Roman" w:eastAsia="宋体" w:cs="Times New Roman"/>
                      <w:b w:val="0"/>
                      <w:bCs w:val="0"/>
                      <w:color w:val="0000FF"/>
                      <w:szCs w:val="21"/>
                      <w:highlight w:val="none"/>
                    </w:rPr>
                  </w:pPr>
                </w:p>
              </w:tc>
              <w:tc>
                <w:tcPr>
                  <w:tcW w:w="660" w:type="pct"/>
                  <w:shd w:val="clear" w:color="auto" w:fill="auto"/>
                  <w:vAlign w:val="center"/>
                </w:tcPr>
                <w:p w14:paraId="71C6E67C">
                  <w:pPr>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color w:val="0000FF"/>
                      <w:kern w:val="2"/>
                      <w:sz w:val="21"/>
                      <w:szCs w:val="21"/>
                      <w:lang w:val="en-US" w:eastAsia="zh-CN" w:bidi="ar-SA"/>
                    </w:rPr>
                  </w:pPr>
                  <w:r>
                    <w:rPr>
                      <w:rFonts w:hint="default" w:ascii="Times New Roman" w:hAnsi="Times New Roman" w:eastAsia="宋体" w:cs="Times New Roman"/>
                      <w:color w:val="0000FF"/>
                      <w:szCs w:val="21"/>
                    </w:rPr>
                    <w:t>120T压机</w:t>
                  </w:r>
                </w:p>
              </w:tc>
              <w:tc>
                <w:tcPr>
                  <w:tcW w:w="766" w:type="pct"/>
                  <w:shd w:val="clear" w:color="auto" w:fill="auto"/>
                  <w:vAlign w:val="center"/>
                </w:tcPr>
                <w:p w14:paraId="00BBB1ED">
                  <w:pPr>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color w:val="0000FF"/>
                      <w:kern w:val="2"/>
                      <w:sz w:val="21"/>
                      <w:szCs w:val="21"/>
                      <w:lang w:val="en-US" w:eastAsia="zh-CN" w:bidi="ar-SA"/>
                    </w:rPr>
                  </w:pPr>
                  <w:r>
                    <w:rPr>
                      <w:rFonts w:hint="default" w:ascii="Times New Roman" w:hAnsi="Times New Roman" w:eastAsia="宋体" w:cs="Times New Roman"/>
                      <w:color w:val="0000FF"/>
                      <w:szCs w:val="21"/>
                    </w:rPr>
                    <w:t>YGJ-120T-1100L</w:t>
                  </w:r>
                </w:p>
              </w:tc>
              <w:tc>
                <w:tcPr>
                  <w:tcW w:w="483" w:type="pct"/>
                  <w:shd w:val="clear" w:color="auto" w:fill="auto"/>
                  <w:vAlign w:val="center"/>
                </w:tcPr>
                <w:p w14:paraId="7805D1F2">
                  <w:pPr>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color w:val="0000FF"/>
                      <w:kern w:val="2"/>
                      <w:sz w:val="21"/>
                      <w:szCs w:val="21"/>
                      <w:lang w:val="en-US" w:eastAsia="zh-CN" w:bidi="ar-SA"/>
                    </w:rPr>
                  </w:pPr>
                  <w:r>
                    <w:rPr>
                      <w:rFonts w:hint="default" w:ascii="Times New Roman" w:hAnsi="Times New Roman" w:eastAsia="宋体" w:cs="Times New Roman"/>
                      <w:color w:val="0000FF"/>
                      <w:szCs w:val="21"/>
                    </w:rPr>
                    <w:t>5</w:t>
                  </w:r>
                </w:p>
              </w:tc>
              <w:tc>
                <w:tcPr>
                  <w:tcW w:w="417" w:type="pct"/>
                  <w:shd w:val="clear" w:color="auto" w:fill="auto"/>
                  <w:vAlign w:val="center"/>
                </w:tcPr>
                <w:p w14:paraId="78B30E82">
                  <w:pPr>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color w:val="0000FF"/>
                      <w:kern w:val="2"/>
                      <w:sz w:val="21"/>
                      <w:szCs w:val="21"/>
                      <w:lang w:val="en-US" w:eastAsia="zh-CN" w:bidi="ar-SA"/>
                    </w:rPr>
                  </w:pPr>
                  <w:r>
                    <w:rPr>
                      <w:rFonts w:hint="default" w:ascii="Times New Roman" w:hAnsi="Times New Roman" w:eastAsia="宋体" w:cs="Times New Roman"/>
                      <w:color w:val="0000FF"/>
                      <w:szCs w:val="21"/>
                    </w:rPr>
                    <w:t>2</w:t>
                  </w:r>
                </w:p>
              </w:tc>
              <w:tc>
                <w:tcPr>
                  <w:tcW w:w="592" w:type="pct"/>
                  <w:shd w:val="clear" w:color="auto" w:fill="auto"/>
                  <w:vAlign w:val="center"/>
                </w:tcPr>
                <w:p w14:paraId="0335AA66">
                  <w:pPr>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color w:val="0000FF"/>
                      <w:kern w:val="2"/>
                      <w:sz w:val="21"/>
                      <w:szCs w:val="21"/>
                      <w:lang w:val="en-US" w:eastAsia="zh-CN" w:bidi="ar-SA"/>
                    </w:rPr>
                  </w:pPr>
                  <w:r>
                    <w:rPr>
                      <w:rFonts w:hint="default" w:ascii="Times New Roman" w:hAnsi="Times New Roman" w:eastAsia="宋体" w:cs="Times New Roman"/>
                      <w:color w:val="0000FF"/>
                      <w:szCs w:val="21"/>
                    </w:rPr>
                    <w:t>2</w:t>
                  </w:r>
                </w:p>
              </w:tc>
              <w:tc>
                <w:tcPr>
                  <w:tcW w:w="537" w:type="pct"/>
                  <w:shd w:val="clear" w:color="auto" w:fill="auto"/>
                  <w:vAlign w:val="center"/>
                </w:tcPr>
                <w:p w14:paraId="50B44249">
                  <w:pPr>
                    <w:keepNext w:val="0"/>
                    <w:keepLines w:val="0"/>
                    <w:suppressLineNumbers w:val="0"/>
                    <w:spacing w:before="0" w:beforeAutospacing="0" w:after="0" w:afterAutospacing="0"/>
                    <w:ind w:left="0" w:leftChars="0" w:right="0" w:rightChars="0"/>
                    <w:jc w:val="center"/>
                    <w:rPr>
                      <w:rFonts w:hint="eastAsia" w:ascii="Times New Roman" w:hAnsi="Times New Roman" w:eastAsia="宋体" w:cs="Times New Roman"/>
                      <w:color w:val="0000FF"/>
                      <w:kern w:val="2"/>
                      <w:sz w:val="21"/>
                      <w:szCs w:val="21"/>
                      <w:lang w:val="en-US" w:eastAsia="zh-CN" w:bidi="ar-SA"/>
                    </w:rPr>
                  </w:pPr>
                  <w:r>
                    <w:rPr>
                      <w:rFonts w:hint="default" w:ascii="Times New Roman" w:hAnsi="Times New Roman" w:eastAsia="宋体" w:cs="Times New Roman"/>
                      <w:color w:val="0000FF"/>
                      <w:szCs w:val="21"/>
                    </w:rPr>
                    <w:t>-3</w:t>
                  </w:r>
                </w:p>
              </w:tc>
              <w:tc>
                <w:tcPr>
                  <w:tcW w:w="536" w:type="pct"/>
                  <w:gridSpan w:val="2"/>
                  <w:vMerge w:val="continue"/>
                  <w:vAlign w:val="center"/>
                </w:tcPr>
                <w:p w14:paraId="2EFCF487">
                  <w:pPr>
                    <w:keepNext w:val="0"/>
                    <w:keepLines w:val="0"/>
                    <w:suppressLineNumbers w:val="0"/>
                    <w:spacing w:before="0" w:beforeAutospacing="0" w:after="0" w:afterAutospacing="0"/>
                    <w:ind w:left="0" w:right="0"/>
                    <w:jc w:val="center"/>
                    <w:rPr>
                      <w:rFonts w:hint="eastAsia" w:ascii="Times New Roman" w:hAnsi="Times New Roman" w:eastAsia="宋体" w:cs="Times New Roman"/>
                      <w:b w:val="0"/>
                      <w:bCs w:val="0"/>
                      <w:color w:val="0000FF"/>
                      <w:szCs w:val="21"/>
                      <w:highlight w:val="none"/>
                      <w:lang w:val="en-US" w:eastAsia="zh-CN"/>
                    </w:rPr>
                  </w:pPr>
                </w:p>
              </w:tc>
              <w:tc>
                <w:tcPr>
                  <w:tcW w:w="320" w:type="pct"/>
                  <w:shd w:val="clear" w:color="auto" w:fill="auto"/>
                  <w:vAlign w:val="center"/>
                </w:tcPr>
                <w:p w14:paraId="1516A827">
                  <w:pPr>
                    <w:keepNext w:val="0"/>
                    <w:keepLines w:val="0"/>
                    <w:suppressLineNumbers w:val="0"/>
                    <w:spacing w:before="0" w:beforeAutospacing="0" w:after="0" w:afterAutospacing="0" w:line="240" w:lineRule="auto"/>
                    <w:ind w:left="0" w:right="0"/>
                    <w:jc w:val="center"/>
                    <w:rPr>
                      <w:rFonts w:hint="default" w:ascii="Times New Roman" w:hAnsi="Times New Roman" w:eastAsia="宋体" w:cs="Times New Roman"/>
                      <w:b w:val="0"/>
                      <w:bCs w:val="0"/>
                      <w:color w:val="0000FF"/>
                      <w:kern w:val="2"/>
                      <w:sz w:val="21"/>
                      <w:szCs w:val="21"/>
                      <w:highlight w:val="none"/>
                      <w:lang w:val="en-US" w:eastAsia="zh-CN" w:bidi="ar-SA"/>
                    </w:rPr>
                  </w:pPr>
                  <w:r>
                    <w:rPr>
                      <w:rFonts w:hint="default" w:ascii="Times New Roman" w:hAnsi="Times New Roman" w:eastAsia="宋体" w:cs="Times New Roman"/>
                      <w:b w:val="0"/>
                      <w:bCs w:val="0"/>
                      <w:color w:val="0000FF"/>
                      <w:sz w:val="21"/>
                      <w:szCs w:val="21"/>
                      <w:highlight w:val="none"/>
                      <w:lang w:val="en-US" w:eastAsia="zh-CN"/>
                    </w:rPr>
                    <w:t>/</w:t>
                  </w:r>
                </w:p>
              </w:tc>
            </w:tr>
            <w:tr w14:paraId="0CC6E6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291" w:type="pct"/>
                  <w:shd w:val="clear" w:color="auto" w:fill="auto"/>
                  <w:vAlign w:val="center"/>
                </w:tcPr>
                <w:p w14:paraId="0CD3DC08">
                  <w:pPr>
                    <w:keepNext w:val="0"/>
                    <w:keepLines w:val="0"/>
                    <w:suppressLineNumbers w:val="0"/>
                    <w:spacing w:before="0" w:beforeAutospacing="0" w:after="0" w:afterAutospacing="0" w:line="240" w:lineRule="auto"/>
                    <w:ind w:left="0" w:right="0"/>
                    <w:jc w:val="center"/>
                    <w:rPr>
                      <w:rFonts w:hint="default" w:ascii="Times New Roman" w:hAnsi="Times New Roman" w:eastAsia="宋体" w:cs="Times New Roman"/>
                      <w:b w:val="0"/>
                      <w:bCs w:val="0"/>
                      <w:color w:val="0000FF"/>
                      <w:kern w:val="2"/>
                      <w:sz w:val="21"/>
                      <w:szCs w:val="21"/>
                      <w:highlight w:val="none"/>
                      <w:lang w:val="en-US" w:eastAsia="zh-CN" w:bidi="ar-SA"/>
                    </w:rPr>
                  </w:pPr>
                  <w:r>
                    <w:rPr>
                      <w:rFonts w:hint="default" w:ascii="Times New Roman" w:hAnsi="Times New Roman" w:eastAsia="宋体" w:cs="Times New Roman"/>
                      <w:b w:val="0"/>
                      <w:bCs w:val="0"/>
                      <w:color w:val="0000FF"/>
                      <w:sz w:val="21"/>
                      <w:szCs w:val="21"/>
                      <w:highlight w:val="none"/>
                      <w:lang w:val="en-US" w:eastAsia="zh-CN"/>
                    </w:rPr>
                    <w:t>14</w:t>
                  </w:r>
                </w:p>
              </w:tc>
              <w:tc>
                <w:tcPr>
                  <w:tcW w:w="394" w:type="pct"/>
                  <w:vMerge w:val="continue"/>
                  <w:vAlign w:val="center"/>
                </w:tcPr>
                <w:p w14:paraId="4C468C00">
                  <w:pPr>
                    <w:keepNext w:val="0"/>
                    <w:keepLines w:val="0"/>
                    <w:suppressLineNumbers w:val="0"/>
                    <w:spacing w:before="0" w:beforeAutospacing="0" w:after="0" w:afterAutospacing="0"/>
                    <w:ind w:left="0" w:right="0"/>
                    <w:jc w:val="center"/>
                    <w:rPr>
                      <w:rFonts w:hint="default" w:ascii="Times New Roman" w:hAnsi="Times New Roman" w:eastAsia="宋体" w:cs="Times New Roman"/>
                      <w:b w:val="0"/>
                      <w:bCs w:val="0"/>
                      <w:color w:val="0000FF"/>
                      <w:szCs w:val="21"/>
                      <w:highlight w:val="none"/>
                    </w:rPr>
                  </w:pPr>
                </w:p>
              </w:tc>
              <w:tc>
                <w:tcPr>
                  <w:tcW w:w="660" w:type="pct"/>
                  <w:vMerge w:val="restart"/>
                  <w:shd w:val="clear" w:color="auto" w:fill="auto"/>
                  <w:vAlign w:val="center"/>
                </w:tcPr>
                <w:p w14:paraId="19A00F5C">
                  <w:pPr>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color w:val="0000FF"/>
                      <w:kern w:val="2"/>
                      <w:sz w:val="21"/>
                      <w:szCs w:val="21"/>
                      <w:lang w:val="en-US" w:eastAsia="zh-CN" w:bidi="ar-SA"/>
                    </w:rPr>
                  </w:pPr>
                  <w:r>
                    <w:rPr>
                      <w:rFonts w:hint="default" w:ascii="Times New Roman" w:hAnsi="Times New Roman" w:eastAsia="宋体" w:cs="Times New Roman"/>
                      <w:color w:val="0000FF"/>
                      <w:szCs w:val="21"/>
                    </w:rPr>
                    <w:t>180T压机</w:t>
                  </w:r>
                </w:p>
              </w:tc>
              <w:tc>
                <w:tcPr>
                  <w:tcW w:w="766" w:type="pct"/>
                  <w:shd w:val="clear" w:color="auto" w:fill="auto"/>
                  <w:vAlign w:val="center"/>
                </w:tcPr>
                <w:p w14:paraId="73853FE7">
                  <w:pPr>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color w:val="0000FF"/>
                      <w:kern w:val="2"/>
                      <w:sz w:val="21"/>
                      <w:szCs w:val="21"/>
                      <w:lang w:val="en-US" w:eastAsia="zh-CN" w:bidi="ar-SA"/>
                    </w:rPr>
                  </w:pPr>
                  <w:r>
                    <w:rPr>
                      <w:rFonts w:hint="default" w:ascii="Times New Roman" w:hAnsi="Times New Roman" w:eastAsia="宋体" w:cs="Times New Roman"/>
                      <w:color w:val="0000FF"/>
                      <w:szCs w:val="21"/>
                    </w:rPr>
                    <w:t>YGJ-180T-3000L</w:t>
                  </w:r>
                </w:p>
              </w:tc>
              <w:tc>
                <w:tcPr>
                  <w:tcW w:w="483" w:type="pct"/>
                  <w:shd w:val="clear" w:color="auto" w:fill="auto"/>
                  <w:vAlign w:val="center"/>
                </w:tcPr>
                <w:p w14:paraId="2884380D">
                  <w:pPr>
                    <w:keepNext w:val="0"/>
                    <w:keepLines w:val="0"/>
                    <w:suppressLineNumbers w:val="0"/>
                    <w:spacing w:before="0" w:beforeAutospacing="0" w:after="0" w:afterAutospacing="0"/>
                    <w:ind w:left="0" w:leftChars="0" w:right="0" w:rightChars="0"/>
                    <w:jc w:val="center"/>
                    <w:rPr>
                      <w:rFonts w:hint="eastAsia" w:ascii="Times New Roman" w:hAnsi="Times New Roman" w:eastAsia="宋体" w:cs="Times New Roman"/>
                      <w:color w:val="0000FF"/>
                      <w:kern w:val="2"/>
                      <w:sz w:val="21"/>
                      <w:szCs w:val="21"/>
                      <w:lang w:val="en-US" w:eastAsia="zh-CN" w:bidi="ar-SA"/>
                    </w:rPr>
                  </w:pPr>
                  <w:r>
                    <w:rPr>
                      <w:rFonts w:hint="default" w:ascii="Times New Roman" w:hAnsi="Times New Roman" w:eastAsia="宋体" w:cs="Times New Roman"/>
                      <w:color w:val="0000FF"/>
                      <w:szCs w:val="21"/>
                    </w:rPr>
                    <w:t>1</w:t>
                  </w:r>
                </w:p>
              </w:tc>
              <w:tc>
                <w:tcPr>
                  <w:tcW w:w="417" w:type="pct"/>
                  <w:shd w:val="clear" w:color="auto" w:fill="auto"/>
                  <w:vAlign w:val="center"/>
                </w:tcPr>
                <w:p w14:paraId="294E380E">
                  <w:pPr>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color w:val="0000FF"/>
                      <w:kern w:val="2"/>
                      <w:sz w:val="21"/>
                      <w:szCs w:val="21"/>
                      <w:lang w:val="en-US" w:eastAsia="zh-CN" w:bidi="ar-SA"/>
                    </w:rPr>
                  </w:pPr>
                  <w:r>
                    <w:rPr>
                      <w:rFonts w:hint="default" w:ascii="Times New Roman" w:hAnsi="Times New Roman" w:eastAsia="宋体" w:cs="Times New Roman"/>
                      <w:color w:val="0000FF"/>
                      <w:szCs w:val="21"/>
                    </w:rPr>
                    <w:t>0</w:t>
                  </w:r>
                </w:p>
              </w:tc>
              <w:tc>
                <w:tcPr>
                  <w:tcW w:w="592" w:type="pct"/>
                  <w:shd w:val="clear" w:color="auto" w:fill="auto"/>
                  <w:vAlign w:val="center"/>
                </w:tcPr>
                <w:p w14:paraId="3949410F">
                  <w:pPr>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color w:val="0000FF"/>
                      <w:kern w:val="2"/>
                      <w:sz w:val="21"/>
                      <w:szCs w:val="21"/>
                      <w:lang w:val="en-US" w:eastAsia="zh-CN" w:bidi="ar-SA"/>
                    </w:rPr>
                  </w:pPr>
                  <w:r>
                    <w:rPr>
                      <w:rFonts w:hint="default" w:ascii="Times New Roman" w:hAnsi="Times New Roman" w:eastAsia="宋体" w:cs="Times New Roman"/>
                      <w:color w:val="0000FF"/>
                      <w:szCs w:val="21"/>
                    </w:rPr>
                    <w:t>0</w:t>
                  </w:r>
                </w:p>
              </w:tc>
              <w:tc>
                <w:tcPr>
                  <w:tcW w:w="537" w:type="pct"/>
                  <w:shd w:val="clear" w:color="auto" w:fill="auto"/>
                  <w:vAlign w:val="center"/>
                </w:tcPr>
                <w:p w14:paraId="328D8FDD">
                  <w:pPr>
                    <w:keepNext w:val="0"/>
                    <w:keepLines w:val="0"/>
                    <w:suppressLineNumbers w:val="0"/>
                    <w:spacing w:before="0" w:beforeAutospacing="0" w:after="0" w:afterAutospacing="0"/>
                    <w:ind w:left="0" w:leftChars="0" w:right="0" w:rightChars="0"/>
                    <w:jc w:val="center"/>
                    <w:rPr>
                      <w:rFonts w:hint="eastAsia" w:ascii="Times New Roman" w:hAnsi="Times New Roman" w:eastAsia="宋体" w:cs="Times New Roman"/>
                      <w:color w:val="0000FF"/>
                      <w:kern w:val="2"/>
                      <w:sz w:val="21"/>
                      <w:szCs w:val="21"/>
                      <w:lang w:val="en-US" w:eastAsia="zh-CN" w:bidi="ar-SA"/>
                    </w:rPr>
                  </w:pPr>
                  <w:r>
                    <w:rPr>
                      <w:rFonts w:hint="default" w:ascii="Times New Roman" w:hAnsi="Times New Roman" w:eastAsia="宋体" w:cs="Times New Roman"/>
                      <w:color w:val="0000FF"/>
                      <w:szCs w:val="21"/>
                    </w:rPr>
                    <w:t>-1</w:t>
                  </w:r>
                </w:p>
              </w:tc>
              <w:tc>
                <w:tcPr>
                  <w:tcW w:w="536" w:type="pct"/>
                  <w:gridSpan w:val="2"/>
                  <w:vMerge w:val="continue"/>
                  <w:vAlign w:val="center"/>
                </w:tcPr>
                <w:p w14:paraId="545D810F">
                  <w:pPr>
                    <w:keepNext w:val="0"/>
                    <w:keepLines w:val="0"/>
                    <w:suppressLineNumbers w:val="0"/>
                    <w:spacing w:before="0" w:beforeAutospacing="0" w:after="0" w:afterAutospacing="0"/>
                    <w:ind w:left="0" w:right="0"/>
                    <w:jc w:val="center"/>
                    <w:rPr>
                      <w:rFonts w:hint="eastAsia" w:ascii="Times New Roman" w:hAnsi="Times New Roman" w:eastAsia="宋体" w:cs="Times New Roman"/>
                      <w:b w:val="0"/>
                      <w:bCs w:val="0"/>
                      <w:color w:val="0000FF"/>
                      <w:szCs w:val="21"/>
                      <w:highlight w:val="none"/>
                      <w:lang w:val="en-US" w:eastAsia="zh-CN"/>
                    </w:rPr>
                  </w:pPr>
                </w:p>
              </w:tc>
              <w:tc>
                <w:tcPr>
                  <w:tcW w:w="320" w:type="pct"/>
                  <w:shd w:val="clear" w:color="auto" w:fill="auto"/>
                  <w:vAlign w:val="center"/>
                </w:tcPr>
                <w:p w14:paraId="70D25870">
                  <w:pPr>
                    <w:keepNext w:val="0"/>
                    <w:keepLines w:val="0"/>
                    <w:suppressLineNumbers w:val="0"/>
                    <w:spacing w:before="0" w:beforeAutospacing="0" w:after="0" w:afterAutospacing="0" w:line="240" w:lineRule="auto"/>
                    <w:ind w:left="0" w:right="0"/>
                    <w:jc w:val="center"/>
                    <w:rPr>
                      <w:rFonts w:hint="default" w:ascii="Times New Roman" w:hAnsi="Times New Roman" w:eastAsia="宋体" w:cs="Times New Roman"/>
                      <w:b w:val="0"/>
                      <w:bCs w:val="0"/>
                      <w:color w:val="0000FF"/>
                      <w:kern w:val="2"/>
                      <w:sz w:val="21"/>
                      <w:szCs w:val="21"/>
                      <w:highlight w:val="none"/>
                      <w:lang w:val="en-US" w:eastAsia="zh-CN" w:bidi="ar-SA"/>
                    </w:rPr>
                  </w:pPr>
                  <w:r>
                    <w:rPr>
                      <w:rFonts w:hint="default" w:ascii="Times New Roman" w:hAnsi="Times New Roman" w:eastAsia="宋体" w:cs="Times New Roman"/>
                      <w:b w:val="0"/>
                      <w:bCs w:val="0"/>
                      <w:color w:val="0000FF"/>
                      <w:sz w:val="21"/>
                      <w:szCs w:val="21"/>
                      <w:highlight w:val="none"/>
                      <w:lang w:val="en-US" w:eastAsia="zh-CN"/>
                    </w:rPr>
                    <w:t>/</w:t>
                  </w:r>
                </w:p>
              </w:tc>
            </w:tr>
            <w:tr w14:paraId="39DA31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291" w:type="pct"/>
                  <w:shd w:val="clear" w:color="auto" w:fill="auto"/>
                  <w:vAlign w:val="center"/>
                </w:tcPr>
                <w:p w14:paraId="6653B3F4">
                  <w:pPr>
                    <w:keepNext w:val="0"/>
                    <w:keepLines w:val="0"/>
                    <w:suppressLineNumbers w:val="0"/>
                    <w:spacing w:before="0" w:beforeAutospacing="0" w:after="0" w:afterAutospacing="0"/>
                    <w:ind w:left="0" w:right="0"/>
                    <w:jc w:val="center"/>
                    <w:rPr>
                      <w:rFonts w:hint="default" w:ascii="Times New Roman" w:hAnsi="Times New Roman" w:eastAsia="宋体" w:cs="Times New Roman"/>
                      <w:b w:val="0"/>
                      <w:bCs w:val="0"/>
                      <w:color w:val="0000FF"/>
                      <w:szCs w:val="21"/>
                      <w:highlight w:val="none"/>
                      <w:lang w:val="en-US" w:eastAsia="zh-CN"/>
                    </w:rPr>
                  </w:pPr>
                  <w:r>
                    <w:rPr>
                      <w:rFonts w:hint="default" w:ascii="Times New Roman" w:hAnsi="Times New Roman" w:eastAsia="宋体" w:cs="Times New Roman"/>
                      <w:b w:val="0"/>
                      <w:bCs w:val="0"/>
                      <w:color w:val="0000FF"/>
                      <w:szCs w:val="21"/>
                      <w:highlight w:val="none"/>
                      <w:lang w:val="en-US" w:eastAsia="zh-CN"/>
                    </w:rPr>
                    <w:t>15</w:t>
                  </w:r>
                </w:p>
              </w:tc>
              <w:tc>
                <w:tcPr>
                  <w:tcW w:w="394" w:type="pct"/>
                  <w:vMerge w:val="continue"/>
                  <w:vAlign w:val="center"/>
                </w:tcPr>
                <w:p w14:paraId="095AFA40">
                  <w:pPr>
                    <w:keepNext w:val="0"/>
                    <w:keepLines w:val="0"/>
                    <w:suppressLineNumbers w:val="0"/>
                    <w:spacing w:before="0" w:beforeAutospacing="0" w:after="0" w:afterAutospacing="0"/>
                    <w:ind w:left="0" w:right="0"/>
                    <w:jc w:val="center"/>
                    <w:rPr>
                      <w:rFonts w:hint="default" w:ascii="Times New Roman" w:hAnsi="Times New Roman" w:eastAsia="宋体" w:cs="Times New Roman"/>
                      <w:b w:val="0"/>
                      <w:bCs w:val="0"/>
                      <w:color w:val="0000FF"/>
                      <w:szCs w:val="21"/>
                      <w:highlight w:val="none"/>
                    </w:rPr>
                  </w:pPr>
                </w:p>
              </w:tc>
              <w:tc>
                <w:tcPr>
                  <w:tcW w:w="660" w:type="pct"/>
                  <w:vMerge w:val="continue"/>
                  <w:vAlign w:val="center"/>
                </w:tcPr>
                <w:p w14:paraId="0FC5FB39">
                  <w:pPr>
                    <w:keepNext w:val="0"/>
                    <w:keepLines w:val="0"/>
                    <w:suppressLineNumbers w:val="0"/>
                    <w:spacing w:before="0" w:beforeAutospacing="0" w:after="0" w:afterAutospacing="0"/>
                    <w:ind w:left="0" w:right="0"/>
                    <w:jc w:val="center"/>
                    <w:rPr>
                      <w:rFonts w:hint="default" w:ascii="Times New Roman" w:hAnsi="Times New Roman" w:eastAsia="宋体" w:cs="Times New Roman"/>
                      <w:b w:val="0"/>
                      <w:bCs w:val="0"/>
                      <w:color w:val="0000FF"/>
                      <w:szCs w:val="21"/>
                      <w:highlight w:val="none"/>
                    </w:rPr>
                  </w:pPr>
                </w:p>
              </w:tc>
              <w:tc>
                <w:tcPr>
                  <w:tcW w:w="766" w:type="pct"/>
                  <w:shd w:val="clear" w:color="auto" w:fill="auto"/>
                  <w:vAlign w:val="center"/>
                </w:tcPr>
                <w:p w14:paraId="38D18357">
                  <w:pPr>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color w:val="0000FF"/>
                      <w:kern w:val="2"/>
                      <w:sz w:val="21"/>
                      <w:szCs w:val="21"/>
                      <w:lang w:val="en-US" w:eastAsia="zh-CN" w:bidi="ar-SA"/>
                    </w:rPr>
                  </w:pPr>
                  <w:r>
                    <w:rPr>
                      <w:rFonts w:hint="default" w:ascii="Times New Roman" w:hAnsi="Times New Roman" w:eastAsia="宋体" w:cs="Times New Roman"/>
                      <w:color w:val="0000FF"/>
                      <w:szCs w:val="21"/>
                    </w:rPr>
                    <w:t>YGJ-180T-1000L</w:t>
                  </w:r>
                </w:p>
              </w:tc>
              <w:tc>
                <w:tcPr>
                  <w:tcW w:w="483" w:type="pct"/>
                  <w:shd w:val="clear" w:color="auto" w:fill="auto"/>
                  <w:vAlign w:val="center"/>
                </w:tcPr>
                <w:p w14:paraId="0E0B781E">
                  <w:pPr>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color w:val="0000FF"/>
                      <w:kern w:val="2"/>
                      <w:sz w:val="21"/>
                      <w:szCs w:val="21"/>
                      <w:lang w:val="en-US" w:eastAsia="zh-CN" w:bidi="ar-SA"/>
                    </w:rPr>
                  </w:pPr>
                  <w:r>
                    <w:rPr>
                      <w:rFonts w:hint="default" w:ascii="Times New Roman" w:hAnsi="Times New Roman" w:eastAsia="宋体" w:cs="Times New Roman"/>
                      <w:color w:val="0000FF"/>
                      <w:szCs w:val="21"/>
                    </w:rPr>
                    <w:t>/</w:t>
                  </w:r>
                </w:p>
              </w:tc>
              <w:tc>
                <w:tcPr>
                  <w:tcW w:w="417" w:type="pct"/>
                  <w:shd w:val="clear" w:color="auto" w:fill="auto"/>
                  <w:vAlign w:val="center"/>
                </w:tcPr>
                <w:p w14:paraId="738BBC5F">
                  <w:pPr>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color w:val="0000FF"/>
                      <w:kern w:val="2"/>
                      <w:sz w:val="21"/>
                      <w:szCs w:val="21"/>
                      <w:lang w:val="en-US" w:eastAsia="zh-CN" w:bidi="ar-SA"/>
                    </w:rPr>
                  </w:pPr>
                  <w:r>
                    <w:rPr>
                      <w:rFonts w:hint="default" w:ascii="Times New Roman" w:hAnsi="Times New Roman" w:eastAsia="宋体" w:cs="Times New Roman"/>
                      <w:color w:val="0000FF"/>
                      <w:szCs w:val="21"/>
                    </w:rPr>
                    <w:t>1</w:t>
                  </w:r>
                </w:p>
              </w:tc>
              <w:tc>
                <w:tcPr>
                  <w:tcW w:w="592" w:type="pct"/>
                  <w:shd w:val="clear" w:color="auto" w:fill="auto"/>
                  <w:vAlign w:val="center"/>
                </w:tcPr>
                <w:p w14:paraId="4D170D53">
                  <w:pPr>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color w:val="0000FF"/>
                      <w:kern w:val="2"/>
                      <w:sz w:val="21"/>
                      <w:szCs w:val="21"/>
                      <w:lang w:val="en-US" w:eastAsia="zh-CN" w:bidi="ar-SA"/>
                    </w:rPr>
                  </w:pPr>
                  <w:r>
                    <w:rPr>
                      <w:rFonts w:hint="default" w:ascii="Times New Roman" w:hAnsi="Times New Roman" w:eastAsia="宋体" w:cs="Times New Roman"/>
                      <w:color w:val="0000FF"/>
                      <w:szCs w:val="21"/>
                    </w:rPr>
                    <w:t>1</w:t>
                  </w:r>
                </w:p>
              </w:tc>
              <w:tc>
                <w:tcPr>
                  <w:tcW w:w="537" w:type="pct"/>
                  <w:shd w:val="clear" w:color="auto" w:fill="auto"/>
                  <w:vAlign w:val="center"/>
                </w:tcPr>
                <w:p w14:paraId="105BAE5C">
                  <w:pPr>
                    <w:keepNext w:val="0"/>
                    <w:keepLines w:val="0"/>
                    <w:suppressLineNumbers w:val="0"/>
                    <w:spacing w:before="0" w:beforeAutospacing="0" w:after="0" w:afterAutospacing="0"/>
                    <w:ind w:left="0" w:leftChars="0" w:right="0" w:rightChars="0"/>
                    <w:jc w:val="center"/>
                    <w:rPr>
                      <w:rFonts w:hint="eastAsia" w:ascii="Times New Roman" w:hAnsi="Times New Roman" w:eastAsia="宋体" w:cs="Times New Roman"/>
                      <w:color w:val="0000FF"/>
                      <w:kern w:val="2"/>
                      <w:sz w:val="21"/>
                      <w:szCs w:val="21"/>
                      <w:lang w:val="en-US" w:eastAsia="zh-CN" w:bidi="ar-SA"/>
                    </w:rPr>
                  </w:pPr>
                  <w:r>
                    <w:rPr>
                      <w:rFonts w:hint="default" w:ascii="Times New Roman" w:hAnsi="Times New Roman" w:eastAsia="宋体" w:cs="Times New Roman"/>
                      <w:color w:val="0000FF"/>
                      <w:szCs w:val="21"/>
                    </w:rPr>
                    <w:t>+1</w:t>
                  </w:r>
                </w:p>
              </w:tc>
              <w:tc>
                <w:tcPr>
                  <w:tcW w:w="536" w:type="pct"/>
                  <w:gridSpan w:val="2"/>
                  <w:vMerge w:val="continue"/>
                  <w:vAlign w:val="center"/>
                </w:tcPr>
                <w:p w14:paraId="1F7C8A96">
                  <w:pPr>
                    <w:keepNext w:val="0"/>
                    <w:keepLines w:val="0"/>
                    <w:suppressLineNumbers w:val="0"/>
                    <w:spacing w:before="0" w:beforeAutospacing="0" w:after="0" w:afterAutospacing="0"/>
                    <w:ind w:left="0" w:right="0"/>
                    <w:jc w:val="center"/>
                    <w:rPr>
                      <w:rFonts w:hint="eastAsia" w:ascii="Times New Roman" w:hAnsi="Times New Roman" w:eastAsia="宋体" w:cs="Times New Roman"/>
                      <w:b w:val="0"/>
                      <w:bCs w:val="0"/>
                      <w:color w:val="0000FF"/>
                      <w:szCs w:val="21"/>
                      <w:highlight w:val="none"/>
                      <w:lang w:val="en-US" w:eastAsia="zh-CN"/>
                    </w:rPr>
                  </w:pPr>
                </w:p>
              </w:tc>
              <w:tc>
                <w:tcPr>
                  <w:tcW w:w="320" w:type="pct"/>
                  <w:shd w:val="clear" w:color="auto" w:fill="auto"/>
                  <w:vAlign w:val="center"/>
                </w:tcPr>
                <w:p w14:paraId="49E0576F">
                  <w:pPr>
                    <w:keepNext w:val="0"/>
                    <w:keepLines w:val="0"/>
                    <w:suppressLineNumbers w:val="0"/>
                    <w:spacing w:before="0" w:beforeAutospacing="0" w:after="0" w:afterAutospacing="0" w:line="240" w:lineRule="auto"/>
                    <w:ind w:left="0" w:right="0"/>
                    <w:jc w:val="center"/>
                    <w:rPr>
                      <w:rFonts w:hint="default" w:ascii="Times New Roman" w:hAnsi="Times New Roman" w:eastAsia="宋体" w:cs="Times New Roman"/>
                      <w:b w:val="0"/>
                      <w:bCs w:val="0"/>
                      <w:color w:val="0000FF"/>
                      <w:kern w:val="2"/>
                      <w:sz w:val="21"/>
                      <w:szCs w:val="21"/>
                      <w:highlight w:val="none"/>
                      <w:lang w:val="en-US" w:eastAsia="zh-CN" w:bidi="ar-SA"/>
                    </w:rPr>
                  </w:pPr>
                  <w:r>
                    <w:rPr>
                      <w:rFonts w:hint="default" w:ascii="Times New Roman" w:hAnsi="Times New Roman" w:eastAsia="宋体" w:cs="Times New Roman"/>
                      <w:b w:val="0"/>
                      <w:bCs w:val="0"/>
                      <w:color w:val="0000FF"/>
                      <w:sz w:val="21"/>
                      <w:szCs w:val="21"/>
                      <w:highlight w:val="none"/>
                      <w:lang w:val="en-US" w:eastAsia="zh-CN"/>
                    </w:rPr>
                    <w:t>新增</w:t>
                  </w:r>
                </w:p>
              </w:tc>
            </w:tr>
            <w:tr w14:paraId="46C296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291" w:type="pct"/>
                  <w:shd w:val="clear" w:color="auto" w:fill="auto"/>
                  <w:vAlign w:val="center"/>
                </w:tcPr>
                <w:p w14:paraId="4F71D255">
                  <w:pPr>
                    <w:keepNext w:val="0"/>
                    <w:keepLines w:val="0"/>
                    <w:suppressLineNumbers w:val="0"/>
                    <w:spacing w:before="0" w:beforeAutospacing="0" w:after="0" w:afterAutospacing="0"/>
                    <w:ind w:left="0" w:right="0"/>
                    <w:jc w:val="center"/>
                    <w:rPr>
                      <w:rFonts w:hint="default" w:ascii="Times New Roman" w:hAnsi="Times New Roman" w:eastAsia="宋体" w:cs="Times New Roman"/>
                      <w:b w:val="0"/>
                      <w:bCs w:val="0"/>
                      <w:color w:val="0000FF"/>
                      <w:szCs w:val="21"/>
                      <w:highlight w:val="none"/>
                      <w:lang w:val="en-US" w:eastAsia="zh-CN"/>
                    </w:rPr>
                  </w:pPr>
                  <w:r>
                    <w:rPr>
                      <w:rFonts w:hint="default" w:ascii="Times New Roman" w:hAnsi="Times New Roman" w:eastAsia="宋体" w:cs="Times New Roman"/>
                      <w:b w:val="0"/>
                      <w:bCs w:val="0"/>
                      <w:color w:val="0000FF"/>
                      <w:szCs w:val="21"/>
                      <w:highlight w:val="none"/>
                      <w:lang w:val="en-US" w:eastAsia="zh-CN"/>
                    </w:rPr>
                    <w:t>16</w:t>
                  </w:r>
                </w:p>
              </w:tc>
              <w:tc>
                <w:tcPr>
                  <w:tcW w:w="394" w:type="pct"/>
                  <w:vMerge w:val="continue"/>
                  <w:vAlign w:val="center"/>
                </w:tcPr>
                <w:p w14:paraId="3CA2D680">
                  <w:pPr>
                    <w:keepNext w:val="0"/>
                    <w:keepLines w:val="0"/>
                    <w:suppressLineNumbers w:val="0"/>
                    <w:spacing w:before="0" w:beforeAutospacing="0" w:after="0" w:afterAutospacing="0"/>
                    <w:ind w:left="0" w:right="0"/>
                    <w:jc w:val="center"/>
                    <w:rPr>
                      <w:rFonts w:hint="default" w:ascii="Times New Roman" w:hAnsi="Times New Roman" w:eastAsia="宋体" w:cs="Times New Roman"/>
                      <w:b w:val="0"/>
                      <w:bCs w:val="0"/>
                      <w:color w:val="0000FF"/>
                      <w:szCs w:val="21"/>
                      <w:highlight w:val="none"/>
                    </w:rPr>
                  </w:pPr>
                </w:p>
              </w:tc>
              <w:tc>
                <w:tcPr>
                  <w:tcW w:w="660" w:type="pct"/>
                  <w:shd w:val="clear" w:color="auto" w:fill="auto"/>
                  <w:vAlign w:val="center"/>
                </w:tcPr>
                <w:p w14:paraId="7551415D">
                  <w:pPr>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color w:val="0000FF"/>
                      <w:kern w:val="2"/>
                      <w:sz w:val="21"/>
                      <w:szCs w:val="21"/>
                      <w:lang w:val="en-US" w:eastAsia="zh-CN" w:bidi="ar-SA"/>
                    </w:rPr>
                  </w:pPr>
                  <w:r>
                    <w:rPr>
                      <w:rFonts w:hint="default" w:ascii="Times New Roman" w:hAnsi="Times New Roman" w:eastAsia="宋体" w:cs="Times New Roman"/>
                      <w:color w:val="0000FF"/>
                      <w:szCs w:val="21"/>
                    </w:rPr>
                    <w:t>600L压机</w:t>
                  </w:r>
                </w:p>
              </w:tc>
              <w:tc>
                <w:tcPr>
                  <w:tcW w:w="766" w:type="pct"/>
                  <w:shd w:val="clear" w:color="auto" w:fill="auto"/>
                  <w:vAlign w:val="center"/>
                </w:tcPr>
                <w:p w14:paraId="5DBF8F75">
                  <w:pPr>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color w:val="0000FF"/>
                      <w:kern w:val="2"/>
                      <w:sz w:val="21"/>
                      <w:szCs w:val="21"/>
                      <w:lang w:val="en-US" w:eastAsia="zh-CN" w:bidi="ar-SA"/>
                    </w:rPr>
                  </w:pPr>
                  <w:r>
                    <w:rPr>
                      <w:rFonts w:hint="default" w:ascii="Times New Roman" w:hAnsi="Times New Roman" w:eastAsia="宋体" w:cs="Times New Roman"/>
                      <w:color w:val="0000FF"/>
                      <w:szCs w:val="21"/>
                    </w:rPr>
                    <w:t>600L</w:t>
                  </w:r>
                </w:p>
              </w:tc>
              <w:tc>
                <w:tcPr>
                  <w:tcW w:w="483" w:type="pct"/>
                  <w:shd w:val="clear" w:color="auto" w:fill="auto"/>
                  <w:vAlign w:val="center"/>
                </w:tcPr>
                <w:p w14:paraId="741C102E">
                  <w:pPr>
                    <w:keepNext w:val="0"/>
                    <w:keepLines w:val="0"/>
                    <w:suppressLineNumbers w:val="0"/>
                    <w:spacing w:before="0" w:beforeAutospacing="0" w:after="0" w:afterAutospacing="0"/>
                    <w:ind w:left="0" w:leftChars="0" w:right="0" w:rightChars="0"/>
                    <w:jc w:val="center"/>
                    <w:rPr>
                      <w:rFonts w:hint="eastAsia" w:ascii="Times New Roman" w:hAnsi="Times New Roman" w:eastAsia="宋体" w:cs="Times New Roman"/>
                      <w:color w:val="0000FF"/>
                      <w:kern w:val="2"/>
                      <w:sz w:val="21"/>
                      <w:szCs w:val="21"/>
                      <w:lang w:val="en-US" w:eastAsia="zh-CN" w:bidi="ar-SA"/>
                    </w:rPr>
                  </w:pPr>
                  <w:r>
                    <w:rPr>
                      <w:rFonts w:hint="default" w:ascii="Times New Roman" w:hAnsi="Times New Roman" w:eastAsia="宋体" w:cs="Times New Roman"/>
                      <w:color w:val="0000FF"/>
                      <w:szCs w:val="21"/>
                    </w:rPr>
                    <w:t>1</w:t>
                  </w:r>
                </w:p>
              </w:tc>
              <w:tc>
                <w:tcPr>
                  <w:tcW w:w="417" w:type="pct"/>
                  <w:shd w:val="clear" w:color="auto" w:fill="auto"/>
                  <w:vAlign w:val="center"/>
                </w:tcPr>
                <w:p w14:paraId="153E7898">
                  <w:pPr>
                    <w:keepNext w:val="0"/>
                    <w:keepLines w:val="0"/>
                    <w:suppressLineNumbers w:val="0"/>
                    <w:spacing w:before="0" w:beforeAutospacing="0" w:after="0" w:afterAutospacing="0"/>
                    <w:ind w:left="0" w:leftChars="0" w:right="0" w:rightChars="0"/>
                    <w:jc w:val="center"/>
                    <w:rPr>
                      <w:rFonts w:hint="eastAsia" w:ascii="Times New Roman" w:hAnsi="Times New Roman" w:eastAsia="宋体" w:cs="Times New Roman"/>
                      <w:color w:val="0000FF"/>
                      <w:kern w:val="2"/>
                      <w:sz w:val="21"/>
                      <w:szCs w:val="21"/>
                      <w:lang w:val="en-US" w:eastAsia="zh-CN" w:bidi="ar-SA"/>
                    </w:rPr>
                  </w:pPr>
                  <w:r>
                    <w:rPr>
                      <w:rFonts w:hint="default" w:ascii="Times New Roman" w:hAnsi="Times New Roman" w:eastAsia="宋体" w:cs="Times New Roman"/>
                      <w:color w:val="0000FF"/>
                      <w:szCs w:val="21"/>
                    </w:rPr>
                    <w:t>1</w:t>
                  </w:r>
                </w:p>
              </w:tc>
              <w:tc>
                <w:tcPr>
                  <w:tcW w:w="592" w:type="pct"/>
                  <w:shd w:val="clear" w:color="auto" w:fill="auto"/>
                  <w:vAlign w:val="center"/>
                </w:tcPr>
                <w:p w14:paraId="4F6B4D3F">
                  <w:pPr>
                    <w:keepNext w:val="0"/>
                    <w:keepLines w:val="0"/>
                    <w:suppressLineNumbers w:val="0"/>
                    <w:spacing w:before="0" w:beforeAutospacing="0" w:after="0" w:afterAutospacing="0"/>
                    <w:ind w:left="0" w:leftChars="0" w:right="0" w:rightChars="0"/>
                    <w:jc w:val="center"/>
                    <w:rPr>
                      <w:rFonts w:hint="eastAsia" w:ascii="Times New Roman" w:hAnsi="Times New Roman" w:eastAsia="宋体" w:cs="Times New Roman"/>
                      <w:color w:val="0000FF"/>
                      <w:kern w:val="2"/>
                      <w:sz w:val="21"/>
                      <w:szCs w:val="21"/>
                      <w:lang w:val="en-US" w:eastAsia="zh-CN" w:bidi="ar-SA"/>
                    </w:rPr>
                  </w:pPr>
                  <w:r>
                    <w:rPr>
                      <w:rFonts w:hint="default" w:ascii="Times New Roman" w:hAnsi="Times New Roman" w:eastAsia="宋体" w:cs="Times New Roman"/>
                      <w:color w:val="0000FF"/>
                      <w:szCs w:val="21"/>
                    </w:rPr>
                    <w:t>1</w:t>
                  </w:r>
                </w:p>
              </w:tc>
              <w:tc>
                <w:tcPr>
                  <w:tcW w:w="537" w:type="pct"/>
                  <w:shd w:val="clear" w:color="auto" w:fill="auto"/>
                  <w:vAlign w:val="center"/>
                </w:tcPr>
                <w:p w14:paraId="0D4B2F75">
                  <w:pPr>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color w:val="0000FF"/>
                      <w:kern w:val="2"/>
                      <w:sz w:val="21"/>
                      <w:szCs w:val="21"/>
                      <w:lang w:val="en-US" w:eastAsia="zh-CN" w:bidi="ar-SA"/>
                    </w:rPr>
                  </w:pPr>
                  <w:r>
                    <w:rPr>
                      <w:rFonts w:hint="default" w:ascii="Times New Roman" w:hAnsi="Times New Roman" w:eastAsia="宋体" w:cs="Times New Roman"/>
                      <w:color w:val="0000FF"/>
                      <w:szCs w:val="21"/>
                    </w:rPr>
                    <w:t>0</w:t>
                  </w:r>
                </w:p>
              </w:tc>
              <w:tc>
                <w:tcPr>
                  <w:tcW w:w="536" w:type="pct"/>
                  <w:gridSpan w:val="2"/>
                  <w:vMerge w:val="continue"/>
                  <w:vAlign w:val="center"/>
                </w:tcPr>
                <w:p w14:paraId="44811707">
                  <w:pPr>
                    <w:keepNext w:val="0"/>
                    <w:keepLines w:val="0"/>
                    <w:suppressLineNumbers w:val="0"/>
                    <w:spacing w:before="0" w:beforeAutospacing="0" w:after="0" w:afterAutospacing="0"/>
                    <w:ind w:left="0" w:right="0"/>
                    <w:jc w:val="center"/>
                    <w:rPr>
                      <w:rFonts w:hint="eastAsia" w:ascii="Times New Roman" w:hAnsi="Times New Roman" w:eastAsia="宋体" w:cs="Times New Roman"/>
                      <w:b w:val="0"/>
                      <w:bCs w:val="0"/>
                      <w:color w:val="0000FF"/>
                      <w:szCs w:val="21"/>
                      <w:highlight w:val="none"/>
                      <w:lang w:val="en-US" w:eastAsia="zh-CN"/>
                    </w:rPr>
                  </w:pPr>
                </w:p>
              </w:tc>
              <w:tc>
                <w:tcPr>
                  <w:tcW w:w="320" w:type="pct"/>
                  <w:shd w:val="clear" w:color="auto" w:fill="auto"/>
                  <w:vAlign w:val="center"/>
                </w:tcPr>
                <w:p w14:paraId="3CBB1E3A">
                  <w:pPr>
                    <w:keepNext w:val="0"/>
                    <w:keepLines w:val="0"/>
                    <w:suppressLineNumbers w:val="0"/>
                    <w:spacing w:before="0" w:beforeAutospacing="0" w:after="0" w:afterAutospacing="0" w:line="240" w:lineRule="auto"/>
                    <w:ind w:left="0" w:right="0"/>
                    <w:jc w:val="center"/>
                    <w:rPr>
                      <w:rFonts w:hint="default" w:ascii="Times New Roman" w:hAnsi="Times New Roman" w:eastAsia="宋体" w:cs="Times New Roman"/>
                      <w:b w:val="0"/>
                      <w:bCs w:val="0"/>
                      <w:color w:val="0000FF"/>
                      <w:kern w:val="2"/>
                      <w:sz w:val="21"/>
                      <w:szCs w:val="21"/>
                      <w:highlight w:val="none"/>
                      <w:lang w:val="en-US" w:eastAsia="zh-CN" w:bidi="ar-SA"/>
                    </w:rPr>
                  </w:pPr>
                  <w:r>
                    <w:rPr>
                      <w:rFonts w:hint="default" w:ascii="Times New Roman" w:hAnsi="Times New Roman" w:eastAsia="宋体" w:cs="Times New Roman"/>
                      <w:b w:val="0"/>
                      <w:bCs w:val="0"/>
                      <w:color w:val="0000FF"/>
                      <w:sz w:val="21"/>
                      <w:szCs w:val="21"/>
                      <w:highlight w:val="none"/>
                      <w:lang w:val="en-US" w:eastAsia="zh-CN"/>
                    </w:rPr>
                    <w:t>/</w:t>
                  </w:r>
                </w:p>
              </w:tc>
            </w:tr>
            <w:tr w14:paraId="393E5E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291" w:type="pct"/>
                  <w:shd w:val="clear" w:color="auto" w:fill="auto"/>
                  <w:vAlign w:val="center"/>
                </w:tcPr>
                <w:p w14:paraId="141A9088">
                  <w:pPr>
                    <w:keepNext w:val="0"/>
                    <w:keepLines w:val="0"/>
                    <w:suppressLineNumbers w:val="0"/>
                    <w:spacing w:before="0" w:beforeAutospacing="0" w:after="0" w:afterAutospacing="0"/>
                    <w:ind w:left="0" w:right="0"/>
                    <w:jc w:val="center"/>
                    <w:rPr>
                      <w:rFonts w:hint="default" w:ascii="Times New Roman" w:hAnsi="Times New Roman" w:eastAsia="宋体" w:cs="Times New Roman"/>
                      <w:b w:val="0"/>
                      <w:bCs w:val="0"/>
                      <w:color w:val="0000FF"/>
                      <w:szCs w:val="21"/>
                      <w:highlight w:val="none"/>
                      <w:lang w:val="en-US" w:eastAsia="zh-CN"/>
                    </w:rPr>
                  </w:pPr>
                  <w:r>
                    <w:rPr>
                      <w:rFonts w:hint="default" w:ascii="Times New Roman" w:hAnsi="Times New Roman" w:eastAsia="宋体" w:cs="Times New Roman"/>
                      <w:b w:val="0"/>
                      <w:bCs w:val="0"/>
                      <w:color w:val="0000FF"/>
                      <w:szCs w:val="21"/>
                      <w:highlight w:val="none"/>
                      <w:lang w:val="en-US" w:eastAsia="zh-CN"/>
                    </w:rPr>
                    <w:t>17</w:t>
                  </w:r>
                </w:p>
              </w:tc>
              <w:tc>
                <w:tcPr>
                  <w:tcW w:w="394" w:type="pct"/>
                  <w:vMerge w:val="continue"/>
                  <w:vAlign w:val="center"/>
                </w:tcPr>
                <w:p w14:paraId="6575182D">
                  <w:pPr>
                    <w:keepNext w:val="0"/>
                    <w:keepLines w:val="0"/>
                    <w:suppressLineNumbers w:val="0"/>
                    <w:spacing w:before="0" w:beforeAutospacing="0" w:after="0" w:afterAutospacing="0"/>
                    <w:ind w:left="0" w:right="0"/>
                    <w:jc w:val="center"/>
                    <w:rPr>
                      <w:rFonts w:hint="default" w:ascii="Times New Roman" w:hAnsi="Times New Roman" w:eastAsia="宋体" w:cs="Times New Roman"/>
                      <w:b w:val="0"/>
                      <w:bCs w:val="0"/>
                      <w:color w:val="0000FF"/>
                      <w:szCs w:val="21"/>
                      <w:highlight w:val="none"/>
                    </w:rPr>
                  </w:pPr>
                </w:p>
              </w:tc>
              <w:tc>
                <w:tcPr>
                  <w:tcW w:w="660" w:type="pct"/>
                  <w:shd w:val="clear" w:color="auto" w:fill="auto"/>
                  <w:vAlign w:val="center"/>
                </w:tcPr>
                <w:p w14:paraId="562A2BF0">
                  <w:pPr>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color w:val="0000FF"/>
                      <w:kern w:val="2"/>
                      <w:sz w:val="21"/>
                      <w:szCs w:val="21"/>
                      <w:lang w:val="en-US" w:eastAsia="zh-CN" w:bidi="ar-SA"/>
                    </w:rPr>
                  </w:pPr>
                  <w:r>
                    <w:rPr>
                      <w:rFonts w:hint="default" w:ascii="Times New Roman" w:hAnsi="Times New Roman" w:eastAsia="宋体" w:cs="Times New Roman"/>
                      <w:color w:val="0000FF"/>
                      <w:szCs w:val="21"/>
                    </w:rPr>
                    <w:t>双组份打胶机</w:t>
                  </w:r>
                </w:p>
              </w:tc>
              <w:tc>
                <w:tcPr>
                  <w:tcW w:w="766" w:type="pct"/>
                  <w:shd w:val="clear" w:color="auto" w:fill="auto"/>
                  <w:vAlign w:val="center"/>
                </w:tcPr>
                <w:p w14:paraId="6A213A7B">
                  <w:pPr>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color w:val="0000FF"/>
                      <w:kern w:val="2"/>
                      <w:sz w:val="21"/>
                      <w:szCs w:val="21"/>
                      <w:lang w:val="en-US" w:eastAsia="zh-CN" w:bidi="ar-SA"/>
                    </w:rPr>
                  </w:pPr>
                  <w:r>
                    <w:rPr>
                      <w:rFonts w:hint="default" w:ascii="Times New Roman" w:hAnsi="Times New Roman" w:eastAsia="宋体" w:cs="Times New Roman"/>
                      <w:color w:val="0000FF"/>
                      <w:szCs w:val="21"/>
                    </w:rPr>
                    <w:t>自制</w:t>
                  </w:r>
                </w:p>
              </w:tc>
              <w:tc>
                <w:tcPr>
                  <w:tcW w:w="483" w:type="pct"/>
                  <w:shd w:val="clear" w:color="auto" w:fill="auto"/>
                  <w:vAlign w:val="center"/>
                </w:tcPr>
                <w:p w14:paraId="47C86976">
                  <w:pPr>
                    <w:keepNext w:val="0"/>
                    <w:keepLines w:val="0"/>
                    <w:suppressLineNumbers w:val="0"/>
                    <w:spacing w:before="0" w:beforeAutospacing="0" w:after="0" w:afterAutospacing="0"/>
                    <w:ind w:left="0" w:leftChars="0" w:right="0" w:rightChars="0"/>
                    <w:jc w:val="center"/>
                    <w:rPr>
                      <w:rFonts w:hint="eastAsia" w:ascii="Times New Roman" w:hAnsi="Times New Roman" w:eastAsia="宋体" w:cs="Times New Roman"/>
                      <w:color w:val="0000FF"/>
                      <w:kern w:val="2"/>
                      <w:sz w:val="21"/>
                      <w:szCs w:val="21"/>
                      <w:lang w:val="en-US" w:eastAsia="zh-CN" w:bidi="ar-SA"/>
                    </w:rPr>
                  </w:pPr>
                  <w:r>
                    <w:rPr>
                      <w:rFonts w:hint="default" w:ascii="Times New Roman" w:hAnsi="Times New Roman" w:eastAsia="宋体" w:cs="Times New Roman"/>
                      <w:color w:val="0000FF"/>
                      <w:szCs w:val="21"/>
                    </w:rPr>
                    <w:t>23</w:t>
                  </w:r>
                </w:p>
              </w:tc>
              <w:tc>
                <w:tcPr>
                  <w:tcW w:w="417" w:type="pct"/>
                  <w:shd w:val="clear" w:color="auto" w:fill="auto"/>
                  <w:vAlign w:val="center"/>
                </w:tcPr>
                <w:p w14:paraId="3352FB76">
                  <w:pPr>
                    <w:keepNext w:val="0"/>
                    <w:keepLines w:val="0"/>
                    <w:suppressLineNumbers w:val="0"/>
                    <w:spacing w:before="0" w:beforeAutospacing="0" w:after="0" w:afterAutospacing="0"/>
                    <w:ind w:left="0" w:leftChars="0" w:right="0" w:rightChars="0"/>
                    <w:jc w:val="center"/>
                    <w:rPr>
                      <w:rFonts w:hint="eastAsia" w:ascii="Times New Roman" w:hAnsi="Times New Roman" w:eastAsia="宋体" w:cs="Times New Roman"/>
                      <w:color w:val="0000FF"/>
                      <w:kern w:val="2"/>
                      <w:sz w:val="21"/>
                      <w:szCs w:val="21"/>
                      <w:lang w:val="en-US" w:eastAsia="zh-CN" w:bidi="ar-SA"/>
                    </w:rPr>
                  </w:pPr>
                  <w:r>
                    <w:rPr>
                      <w:rFonts w:hint="default" w:ascii="Times New Roman" w:hAnsi="Times New Roman" w:eastAsia="宋体" w:cs="Times New Roman"/>
                      <w:color w:val="0000FF"/>
                      <w:szCs w:val="21"/>
                    </w:rPr>
                    <w:t>17</w:t>
                  </w:r>
                </w:p>
              </w:tc>
              <w:tc>
                <w:tcPr>
                  <w:tcW w:w="592" w:type="pct"/>
                  <w:shd w:val="clear" w:color="auto" w:fill="auto"/>
                  <w:vAlign w:val="center"/>
                </w:tcPr>
                <w:p w14:paraId="012AFA10">
                  <w:pPr>
                    <w:keepNext w:val="0"/>
                    <w:keepLines w:val="0"/>
                    <w:suppressLineNumbers w:val="0"/>
                    <w:spacing w:before="0" w:beforeAutospacing="0" w:after="0" w:afterAutospacing="0"/>
                    <w:ind w:left="0" w:leftChars="0" w:right="0" w:rightChars="0"/>
                    <w:jc w:val="center"/>
                    <w:rPr>
                      <w:rFonts w:hint="eastAsia" w:ascii="Times New Roman" w:hAnsi="Times New Roman" w:eastAsia="宋体" w:cs="Times New Roman"/>
                      <w:color w:val="0000FF"/>
                      <w:kern w:val="2"/>
                      <w:sz w:val="21"/>
                      <w:szCs w:val="21"/>
                      <w:lang w:val="en-US" w:eastAsia="zh-CN" w:bidi="ar-SA"/>
                    </w:rPr>
                  </w:pPr>
                  <w:r>
                    <w:rPr>
                      <w:rFonts w:hint="default" w:ascii="Times New Roman" w:hAnsi="Times New Roman" w:eastAsia="宋体" w:cs="Times New Roman"/>
                      <w:color w:val="0000FF"/>
                      <w:szCs w:val="21"/>
                    </w:rPr>
                    <w:t>17</w:t>
                  </w:r>
                </w:p>
              </w:tc>
              <w:tc>
                <w:tcPr>
                  <w:tcW w:w="537" w:type="pct"/>
                  <w:shd w:val="clear" w:color="auto" w:fill="auto"/>
                  <w:vAlign w:val="center"/>
                </w:tcPr>
                <w:p w14:paraId="24073EA8">
                  <w:pPr>
                    <w:keepNext w:val="0"/>
                    <w:keepLines w:val="0"/>
                    <w:suppressLineNumbers w:val="0"/>
                    <w:spacing w:before="0" w:beforeAutospacing="0" w:after="0" w:afterAutospacing="0"/>
                    <w:ind w:left="0" w:leftChars="0" w:right="0" w:rightChars="0"/>
                    <w:jc w:val="center"/>
                    <w:rPr>
                      <w:rFonts w:hint="eastAsia" w:ascii="Times New Roman" w:hAnsi="Times New Roman" w:eastAsia="宋体" w:cs="Times New Roman"/>
                      <w:color w:val="0000FF"/>
                      <w:kern w:val="2"/>
                      <w:sz w:val="21"/>
                      <w:szCs w:val="21"/>
                      <w:lang w:val="en-US" w:eastAsia="zh-CN" w:bidi="ar-SA"/>
                    </w:rPr>
                  </w:pPr>
                  <w:r>
                    <w:rPr>
                      <w:rFonts w:hint="default" w:ascii="Times New Roman" w:hAnsi="Times New Roman" w:eastAsia="宋体" w:cs="Times New Roman"/>
                      <w:color w:val="0000FF"/>
                      <w:szCs w:val="21"/>
                    </w:rPr>
                    <w:t>-6</w:t>
                  </w:r>
                </w:p>
              </w:tc>
              <w:tc>
                <w:tcPr>
                  <w:tcW w:w="536" w:type="pct"/>
                  <w:gridSpan w:val="2"/>
                  <w:vMerge w:val="continue"/>
                  <w:vAlign w:val="center"/>
                </w:tcPr>
                <w:p w14:paraId="6A19A8AE">
                  <w:pPr>
                    <w:keepNext w:val="0"/>
                    <w:keepLines w:val="0"/>
                    <w:suppressLineNumbers w:val="0"/>
                    <w:spacing w:before="0" w:beforeAutospacing="0" w:after="0" w:afterAutospacing="0"/>
                    <w:ind w:left="0" w:right="0"/>
                    <w:jc w:val="center"/>
                    <w:rPr>
                      <w:rFonts w:hint="eastAsia" w:ascii="Times New Roman" w:hAnsi="Times New Roman" w:eastAsia="宋体" w:cs="Times New Roman"/>
                      <w:b w:val="0"/>
                      <w:bCs w:val="0"/>
                      <w:color w:val="0000FF"/>
                      <w:szCs w:val="21"/>
                      <w:highlight w:val="none"/>
                      <w:lang w:val="en-US" w:eastAsia="zh-CN"/>
                    </w:rPr>
                  </w:pPr>
                </w:p>
              </w:tc>
              <w:tc>
                <w:tcPr>
                  <w:tcW w:w="320" w:type="pct"/>
                  <w:shd w:val="clear" w:color="auto" w:fill="auto"/>
                  <w:vAlign w:val="center"/>
                </w:tcPr>
                <w:p w14:paraId="0299C8DE">
                  <w:pPr>
                    <w:keepNext w:val="0"/>
                    <w:keepLines w:val="0"/>
                    <w:suppressLineNumbers w:val="0"/>
                    <w:spacing w:before="0" w:beforeAutospacing="0" w:after="0" w:afterAutospacing="0" w:line="240" w:lineRule="auto"/>
                    <w:ind w:left="0" w:right="0"/>
                    <w:jc w:val="center"/>
                    <w:rPr>
                      <w:rFonts w:hint="default" w:ascii="Times New Roman" w:hAnsi="Times New Roman" w:eastAsia="宋体" w:cs="Times New Roman"/>
                      <w:b w:val="0"/>
                      <w:bCs w:val="0"/>
                      <w:color w:val="0000FF"/>
                      <w:kern w:val="2"/>
                      <w:sz w:val="21"/>
                      <w:szCs w:val="21"/>
                      <w:highlight w:val="none"/>
                      <w:lang w:val="en-US" w:eastAsia="zh-CN" w:bidi="ar-SA"/>
                    </w:rPr>
                  </w:pPr>
                  <w:r>
                    <w:rPr>
                      <w:rFonts w:hint="default" w:ascii="Times New Roman" w:hAnsi="Times New Roman" w:eastAsia="宋体" w:cs="Times New Roman"/>
                      <w:b w:val="0"/>
                      <w:bCs w:val="0"/>
                      <w:color w:val="0000FF"/>
                      <w:sz w:val="21"/>
                      <w:szCs w:val="21"/>
                      <w:highlight w:val="none"/>
                      <w:lang w:val="en-US" w:eastAsia="zh-CN"/>
                    </w:rPr>
                    <w:t>/</w:t>
                  </w:r>
                </w:p>
              </w:tc>
            </w:tr>
            <w:tr w14:paraId="52B26A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291" w:type="pct"/>
                  <w:shd w:val="clear" w:color="auto" w:fill="auto"/>
                  <w:vAlign w:val="center"/>
                </w:tcPr>
                <w:p w14:paraId="39842C8B">
                  <w:pPr>
                    <w:keepNext w:val="0"/>
                    <w:keepLines w:val="0"/>
                    <w:suppressLineNumbers w:val="0"/>
                    <w:spacing w:before="0" w:beforeAutospacing="0" w:after="0" w:afterAutospacing="0"/>
                    <w:ind w:left="0" w:right="0"/>
                    <w:jc w:val="center"/>
                    <w:rPr>
                      <w:rFonts w:hint="default" w:ascii="Times New Roman" w:hAnsi="Times New Roman" w:eastAsia="宋体" w:cs="Times New Roman"/>
                      <w:b w:val="0"/>
                      <w:bCs w:val="0"/>
                      <w:color w:val="0000FF"/>
                      <w:szCs w:val="21"/>
                      <w:highlight w:val="none"/>
                      <w:lang w:val="en-US" w:eastAsia="zh-CN"/>
                    </w:rPr>
                  </w:pPr>
                  <w:r>
                    <w:rPr>
                      <w:rFonts w:hint="default" w:ascii="Times New Roman" w:hAnsi="Times New Roman" w:eastAsia="宋体" w:cs="Times New Roman"/>
                      <w:b w:val="0"/>
                      <w:bCs w:val="0"/>
                      <w:color w:val="0000FF"/>
                      <w:szCs w:val="21"/>
                      <w:highlight w:val="none"/>
                      <w:lang w:val="en-US" w:eastAsia="zh-CN"/>
                    </w:rPr>
                    <w:t>18</w:t>
                  </w:r>
                </w:p>
              </w:tc>
              <w:tc>
                <w:tcPr>
                  <w:tcW w:w="394" w:type="pct"/>
                  <w:vMerge w:val="continue"/>
                  <w:vAlign w:val="center"/>
                </w:tcPr>
                <w:p w14:paraId="68594F5B">
                  <w:pPr>
                    <w:keepNext w:val="0"/>
                    <w:keepLines w:val="0"/>
                    <w:suppressLineNumbers w:val="0"/>
                    <w:spacing w:before="0" w:beforeAutospacing="0" w:after="0" w:afterAutospacing="0"/>
                    <w:ind w:left="0" w:right="0"/>
                    <w:jc w:val="center"/>
                    <w:rPr>
                      <w:rFonts w:hint="default" w:ascii="Times New Roman" w:hAnsi="Times New Roman" w:eastAsia="宋体" w:cs="Times New Roman"/>
                      <w:b w:val="0"/>
                      <w:bCs w:val="0"/>
                      <w:color w:val="0000FF"/>
                      <w:szCs w:val="21"/>
                      <w:highlight w:val="none"/>
                    </w:rPr>
                  </w:pPr>
                </w:p>
              </w:tc>
              <w:tc>
                <w:tcPr>
                  <w:tcW w:w="660" w:type="pct"/>
                  <w:vMerge w:val="restart"/>
                  <w:shd w:val="clear" w:color="auto" w:fill="auto"/>
                  <w:vAlign w:val="center"/>
                </w:tcPr>
                <w:p w14:paraId="4DB1F70B">
                  <w:pPr>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color w:val="0000FF"/>
                      <w:kern w:val="2"/>
                      <w:sz w:val="21"/>
                      <w:szCs w:val="21"/>
                      <w:lang w:val="en-US" w:eastAsia="zh-CN" w:bidi="ar-SA"/>
                    </w:rPr>
                  </w:pPr>
                  <w:r>
                    <w:rPr>
                      <w:rFonts w:hint="default" w:ascii="Times New Roman" w:hAnsi="Times New Roman" w:eastAsia="宋体" w:cs="Times New Roman"/>
                      <w:color w:val="0000FF"/>
                      <w:szCs w:val="21"/>
                    </w:rPr>
                    <w:t>压料机</w:t>
                  </w:r>
                </w:p>
              </w:tc>
              <w:tc>
                <w:tcPr>
                  <w:tcW w:w="766" w:type="pct"/>
                  <w:shd w:val="clear" w:color="auto" w:fill="auto"/>
                  <w:vAlign w:val="center"/>
                </w:tcPr>
                <w:p w14:paraId="5EF4D7C6">
                  <w:pPr>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color w:val="0000FF"/>
                      <w:kern w:val="2"/>
                      <w:sz w:val="21"/>
                      <w:szCs w:val="21"/>
                      <w:lang w:val="en-US" w:eastAsia="zh-CN" w:bidi="ar-SA"/>
                    </w:rPr>
                  </w:pPr>
                  <w:r>
                    <w:rPr>
                      <w:rFonts w:hint="default" w:ascii="Times New Roman" w:hAnsi="Times New Roman" w:eastAsia="宋体" w:cs="Times New Roman"/>
                      <w:color w:val="0000FF"/>
                      <w:szCs w:val="21"/>
                    </w:rPr>
                    <w:t>80-1100</w:t>
                  </w:r>
                </w:p>
              </w:tc>
              <w:tc>
                <w:tcPr>
                  <w:tcW w:w="483" w:type="pct"/>
                  <w:shd w:val="clear" w:color="auto" w:fill="auto"/>
                  <w:vAlign w:val="center"/>
                </w:tcPr>
                <w:p w14:paraId="49EC291D">
                  <w:pPr>
                    <w:keepNext w:val="0"/>
                    <w:keepLines w:val="0"/>
                    <w:suppressLineNumbers w:val="0"/>
                    <w:spacing w:before="0" w:beforeAutospacing="0" w:after="0" w:afterAutospacing="0"/>
                    <w:ind w:left="0" w:leftChars="0" w:right="0" w:rightChars="0"/>
                    <w:jc w:val="center"/>
                    <w:rPr>
                      <w:rFonts w:hint="eastAsia" w:ascii="Times New Roman" w:hAnsi="Times New Roman" w:eastAsia="宋体" w:cs="Times New Roman"/>
                      <w:color w:val="0000FF"/>
                      <w:kern w:val="2"/>
                      <w:sz w:val="21"/>
                      <w:szCs w:val="21"/>
                      <w:lang w:val="en-US" w:eastAsia="zh-CN" w:bidi="ar-SA"/>
                    </w:rPr>
                  </w:pPr>
                  <w:r>
                    <w:rPr>
                      <w:rFonts w:hint="default" w:ascii="Times New Roman" w:hAnsi="Times New Roman" w:eastAsia="宋体" w:cs="Times New Roman"/>
                      <w:color w:val="0000FF"/>
                      <w:szCs w:val="21"/>
                    </w:rPr>
                    <w:t>24</w:t>
                  </w:r>
                </w:p>
              </w:tc>
              <w:tc>
                <w:tcPr>
                  <w:tcW w:w="417" w:type="pct"/>
                  <w:shd w:val="clear" w:color="auto" w:fill="auto"/>
                  <w:vAlign w:val="center"/>
                </w:tcPr>
                <w:p w14:paraId="1E1ACCA9">
                  <w:pPr>
                    <w:keepNext w:val="0"/>
                    <w:keepLines w:val="0"/>
                    <w:suppressLineNumbers w:val="0"/>
                    <w:spacing w:before="0" w:beforeAutospacing="0" w:after="0" w:afterAutospacing="0"/>
                    <w:ind w:left="0" w:leftChars="0" w:right="0" w:rightChars="0"/>
                    <w:jc w:val="center"/>
                    <w:rPr>
                      <w:rFonts w:hint="eastAsia" w:ascii="Times New Roman" w:hAnsi="Times New Roman" w:eastAsia="宋体" w:cs="Times New Roman"/>
                      <w:color w:val="0000FF"/>
                      <w:kern w:val="2"/>
                      <w:sz w:val="21"/>
                      <w:szCs w:val="21"/>
                      <w:lang w:val="en-US" w:eastAsia="zh-CN" w:bidi="ar-SA"/>
                    </w:rPr>
                  </w:pPr>
                  <w:r>
                    <w:rPr>
                      <w:rFonts w:hint="default" w:ascii="Times New Roman" w:hAnsi="Times New Roman" w:eastAsia="宋体" w:cs="Times New Roman"/>
                      <w:color w:val="0000FF"/>
                      <w:szCs w:val="21"/>
                    </w:rPr>
                    <w:t>13</w:t>
                  </w:r>
                </w:p>
              </w:tc>
              <w:tc>
                <w:tcPr>
                  <w:tcW w:w="592" w:type="pct"/>
                  <w:shd w:val="clear" w:color="auto" w:fill="auto"/>
                  <w:vAlign w:val="center"/>
                </w:tcPr>
                <w:p w14:paraId="21405592">
                  <w:pPr>
                    <w:keepNext w:val="0"/>
                    <w:keepLines w:val="0"/>
                    <w:suppressLineNumbers w:val="0"/>
                    <w:spacing w:before="0" w:beforeAutospacing="0" w:after="0" w:afterAutospacing="0"/>
                    <w:ind w:left="0" w:leftChars="0" w:right="0" w:rightChars="0"/>
                    <w:jc w:val="center"/>
                    <w:rPr>
                      <w:rFonts w:hint="eastAsia" w:ascii="Times New Roman" w:hAnsi="Times New Roman" w:eastAsia="宋体" w:cs="Times New Roman"/>
                      <w:color w:val="0000FF"/>
                      <w:kern w:val="2"/>
                      <w:sz w:val="21"/>
                      <w:szCs w:val="21"/>
                      <w:lang w:val="en-US" w:eastAsia="zh-CN" w:bidi="ar-SA"/>
                    </w:rPr>
                  </w:pPr>
                  <w:r>
                    <w:rPr>
                      <w:rFonts w:hint="default" w:ascii="Times New Roman" w:hAnsi="Times New Roman" w:eastAsia="宋体" w:cs="Times New Roman"/>
                      <w:color w:val="0000FF"/>
                      <w:szCs w:val="21"/>
                    </w:rPr>
                    <w:t>13</w:t>
                  </w:r>
                </w:p>
              </w:tc>
              <w:tc>
                <w:tcPr>
                  <w:tcW w:w="537" w:type="pct"/>
                  <w:shd w:val="clear" w:color="auto" w:fill="auto"/>
                  <w:vAlign w:val="center"/>
                </w:tcPr>
                <w:p w14:paraId="0AA7C719">
                  <w:pPr>
                    <w:keepNext w:val="0"/>
                    <w:keepLines w:val="0"/>
                    <w:suppressLineNumbers w:val="0"/>
                    <w:spacing w:before="0" w:beforeAutospacing="0" w:after="0" w:afterAutospacing="0"/>
                    <w:ind w:left="0" w:leftChars="0" w:right="0" w:rightChars="0"/>
                    <w:jc w:val="center"/>
                    <w:rPr>
                      <w:rFonts w:hint="eastAsia" w:ascii="Times New Roman" w:hAnsi="Times New Roman" w:eastAsia="宋体" w:cs="Times New Roman"/>
                      <w:color w:val="0000FF"/>
                      <w:kern w:val="2"/>
                      <w:sz w:val="21"/>
                      <w:szCs w:val="21"/>
                      <w:lang w:val="en-US" w:eastAsia="zh-CN" w:bidi="ar-SA"/>
                    </w:rPr>
                  </w:pPr>
                  <w:r>
                    <w:rPr>
                      <w:rFonts w:hint="default" w:ascii="Times New Roman" w:hAnsi="Times New Roman" w:eastAsia="宋体" w:cs="Times New Roman"/>
                      <w:color w:val="0000FF"/>
                      <w:szCs w:val="21"/>
                    </w:rPr>
                    <w:t>-11</w:t>
                  </w:r>
                </w:p>
              </w:tc>
              <w:tc>
                <w:tcPr>
                  <w:tcW w:w="536" w:type="pct"/>
                  <w:gridSpan w:val="2"/>
                  <w:vMerge w:val="continue"/>
                  <w:vAlign w:val="center"/>
                </w:tcPr>
                <w:p w14:paraId="61A3E60A">
                  <w:pPr>
                    <w:keepNext w:val="0"/>
                    <w:keepLines w:val="0"/>
                    <w:suppressLineNumbers w:val="0"/>
                    <w:spacing w:before="0" w:beforeAutospacing="0" w:after="0" w:afterAutospacing="0"/>
                    <w:ind w:left="0" w:right="0"/>
                    <w:jc w:val="center"/>
                    <w:rPr>
                      <w:rFonts w:hint="eastAsia" w:ascii="Times New Roman" w:hAnsi="Times New Roman" w:eastAsia="宋体" w:cs="Times New Roman"/>
                      <w:b w:val="0"/>
                      <w:bCs w:val="0"/>
                      <w:color w:val="0000FF"/>
                      <w:szCs w:val="21"/>
                      <w:highlight w:val="none"/>
                      <w:lang w:val="en-US" w:eastAsia="zh-CN"/>
                    </w:rPr>
                  </w:pPr>
                </w:p>
              </w:tc>
              <w:tc>
                <w:tcPr>
                  <w:tcW w:w="320" w:type="pct"/>
                  <w:shd w:val="clear" w:color="auto" w:fill="auto"/>
                  <w:vAlign w:val="center"/>
                </w:tcPr>
                <w:p w14:paraId="21F4F165">
                  <w:pPr>
                    <w:keepNext w:val="0"/>
                    <w:keepLines w:val="0"/>
                    <w:suppressLineNumbers w:val="0"/>
                    <w:spacing w:before="0" w:beforeAutospacing="0" w:after="0" w:afterAutospacing="0" w:line="240" w:lineRule="auto"/>
                    <w:ind w:left="0" w:right="0"/>
                    <w:jc w:val="center"/>
                    <w:rPr>
                      <w:rFonts w:hint="default" w:ascii="Times New Roman" w:hAnsi="Times New Roman" w:eastAsia="宋体" w:cs="Times New Roman"/>
                      <w:b w:val="0"/>
                      <w:bCs w:val="0"/>
                      <w:color w:val="0000FF"/>
                      <w:kern w:val="2"/>
                      <w:sz w:val="21"/>
                      <w:szCs w:val="21"/>
                      <w:highlight w:val="none"/>
                      <w:lang w:val="en-US" w:eastAsia="zh-CN" w:bidi="ar-SA"/>
                    </w:rPr>
                  </w:pPr>
                  <w:r>
                    <w:rPr>
                      <w:rFonts w:hint="default" w:ascii="Times New Roman" w:hAnsi="Times New Roman" w:eastAsia="宋体" w:cs="Times New Roman"/>
                      <w:b w:val="0"/>
                      <w:bCs w:val="0"/>
                      <w:color w:val="0000FF"/>
                      <w:sz w:val="21"/>
                      <w:szCs w:val="21"/>
                      <w:highlight w:val="none"/>
                      <w:lang w:val="en-US" w:eastAsia="zh-CN"/>
                    </w:rPr>
                    <w:t>/</w:t>
                  </w:r>
                </w:p>
              </w:tc>
            </w:tr>
            <w:tr w14:paraId="7BCED3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291" w:type="pct"/>
                  <w:shd w:val="clear" w:color="auto" w:fill="auto"/>
                  <w:vAlign w:val="center"/>
                </w:tcPr>
                <w:p w14:paraId="6B0EE4A9">
                  <w:pPr>
                    <w:keepNext w:val="0"/>
                    <w:keepLines w:val="0"/>
                    <w:suppressLineNumbers w:val="0"/>
                    <w:spacing w:before="0" w:beforeAutospacing="0" w:after="0" w:afterAutospacing="0"/>
                    <w:ind w:left="0" w:right="0"/>
                    <w:jc w:val="center"/>
                    <w:rPr>
                      <w:rFonts w:hint="default" w:ascii="Times New Roman" w:hAnsi="Times New Roman" w:eastAsia="宋体" w:cs="Times New Roman"/>
                      <w:b w:val="0"/>
                      <w:bCs w:val="0"/>
                      <w:color w:val="0000FF"/>
                      <w:szCs w:val="21"/>
                      <w:highlight w:val="none"/>
                      <w:lang w:val="en-US" w:eastAsia="zh-CN"/>
                    </w:rPr>
                  </w:pPr>
                  <w:r>
                    <w:rPr>
                      <w:rFonts w:hint="default" w:ascii="Times New Roman" w:hAnsi="Times New Roman" w:eastAsia="宋体" w:cs="Times New Roman"/>
                      <w:b w:val="0"/>
                      <w:bCs w:val="0"/>
                      <w:color w:val="0000FF"/>
                      <w:szCs w:val="21"/>
                      <w:highlight w:val="none"/>
                      <w:lang w:val="en-US" w:eastAsia="zh-CN"/>
                    </w:rPr>
                    <w:t>19</w:t>
                  </w:r>
                </w:p>
              </w:tc>
              <w:tc>
                <w:tcPr>
                  <w:tcW w:w="394" w:type="pct"/>
                  <w:vMerge w:val="continue"/>
                  <w:vAlign w:val="center"/>
                </w:tcPr>
                <w:p w14:paraId="3A23424F">
                  <w:pPr>
                    <w:keepNext w:val="0"/>
                    <w:keepLines w:val="0"/>
                    <w:suppressLineNumbers w:val="0"/>
                    <w:spacing w:before="0" w:beforeAutospacing="0" w:after="0" w:afterAutospacing="0"/>
                    <w:ind w:left="0" w:right="0"/>
                    <w:jc w:val="center"/>
                    <w:rPr>
                      <w:rFonts w:hint="default" w:ascii="Times New Roman" w:hAnsi="Times New Roman" w:eastAsia="宋体" w:cs="Times New Roman"/>
                      <w:b w:val="0"/>
                      <w:bCs w:val="0"/>
                      <w:color w:val="0000FF"/>
                      <w:szCs w:val="21"/>
                      <w:highlight w:val="none"/>
                    </w:rPr>
                  </w:pPr>
                </w:p>
              </w:tc>
              <w:tc>
                <w:tcPr>
                  <w:tcW w:w="660" w:type="pct"/>
                  <w:vMerge w:val="continue"/>
                  <w:vAlign w:val="center"/>
                </w:tcPr>
                <w:p w14:paraId="02FCD693">
                  <w:pPr>
                    <w:keepNext w:val="0"/>
                    <w:keepLines w:val="0"/>
                    <w:suppressLineNumbers w:val="0"/>
                    <w:spacing w:before="0" w:beforeAutospacing="0" w:after="0" w:afterAutospacing="0"/>
                    <w:ind w:left="0" w:right="0"/>
                    <w:jc w:val="center"/>
                    <w:rPr>
                      <w:rFonts w:hint="default" w:ascii="Times New Roman" w:hAnsi="Times New Roman" w:eastAsia="宋体" w:cs="Times New Roman"/>
                      <w:b w:val="0"/>
                      <w:bCs w:val="0"/>
                      <w:color w:val="0000FF"/>
                      <w:szCs w:val="21"/>
                      <w:highlight w:val="none"/>
                    </w:rPr>
                  </w:pPr>
                </w:p>
              </w:tc>
              <w:tc>
                <w:tcPr>
                  <w:tcW w:w="766" w:type="pct"/>
                  <w:shd w:val="clear" w:color="auto" w:fill="auto"/>
                  <w:vAlign w:val="center"/>
                </w:tcPr>
                <w:p w14:paraId="39647CF3">
                  <w:pPr>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color w:val="0000FF"/>
                      <w:kern w:val="2"/>
                      <w:sz w:val="21"/>
                      <w:szCs w:val="21"/>
                      <w:lang w:val="en-US" w:eastAsia="zh-CN" w:bidi="ar-SA"/>
                    </w:rPr>
                  </w:pPr>
                  <w:r>
                    <w:rPr>
                      <w:rFonts w:hint="default" w:ascii="Times New Roman" w:hAnsi="Times New Roman" w:eastAsia="宋体" w:cs="Times New Roman"/>
                      <w:color w:val="0000FF"/>
                      <w:szCs w:val="21"/>
                    </w:rPr>
                    <w:t>120-1100</w:t>
                  </w:r>
                </w:p>
              </w:tc>
              <w:tc>
                <w:tcPr>
                  <w:tcW w:w="483" w:type="pct"/>
                  <w:shd w:val="clear" w:color="auto" w:fill="auto"/>
                  <w:vAlign w:val="center"/>
                </w:tcPr>
                <w:p w14:paraId="7BE57C6B">
                  <w:pPr>
                    <w:keepNext w:val="0"/>
                    <w:keepLines w:val="0"/>
                    <w:suppressLineNumbers w:val="0"/>
                    <w:spacing w:before="0" w:beforeAutospacing="0" w:after="0" w:afterAutospacing="0"/>
                    <w:ind w:left="0" w:leftChars="0" w:right="0" w:rightChars="0"/>
                    <w:jc w:val="center"/>
                    <w:rPr>
                      <w:rFonts w:hint="eastAsia" w:ascii="Times New Roman" w:hAnsi="Times New Roman" w:eastAsia="宋体" w:cs="Times New Roman"/>
                      <w:color w:val="0000FF"/>
                      <w:kern w:val="2"/>
                      <w:sz w:val="21"/>
                      <w:szCs w:val="21"/>
                      <w:lang w:val="en-US" w:eastAsia="zh-CN" w:bidi="ar-SA"/>
                    </w:rPr>
                  </w:pPr>
                  <w:r>
                    <w:rPr>
                      <w:rFonts w:hint="default" w:ascii="Times New Roman" w:hAnsi="Times New Roman" w:eastAsia="宋体" w:cs="Times New Roman"/>
                      <w:color w:val="0000FF"/>
                      <w:szCs w:val="21"/>
                    </w:rPr>
                    <w:t>3</w:t>
                  </w:r>
                </w:p>
              </w:tc>
              <w:tc>
                <w:tcPr>
                  <w:tcW w:w="417" w:type="pct"/>
                  <w:shd w:val="clear" w:color="auto" w:fill="auto"/>
                  <w:vAlign w:val="center"/>
                </w:tcPr>
                <w:p w14:paraId="3E6336FF">
                  <w:pPr>
                    <w:keepNext w:val="0"/>
                    <w:keepLines w:val="0"/>
                    <w:suppressLineNumbers w:val="0"/>
                    <w:spacing w:before="0" w:beforeAutospacing="0" w:after="0" w:afterAutospacing="0"/>
                    <w:ind w:left="0" w:leftChars="0" w:right="0" w:rightChars="0"/>
                    <w:jc w:val="center"/>
                    <w:rPr>
                      <w:rFonts w:hint="eastAsia" w:ascii="Times New Roman" w:hAnsi="Times New Roman" w:eastAsia="宋体" w:cs="Times New Roman"/>
                      <w:color w:val="0000FF"/>
                      <w:kern w:val="2"/>
                      <w:sz w:val="21"/>
                      <w:szCs w:val="21"/>
                      <w:lang w:val="en-US" w:eastAsia="zh-CN" w:bidi="ar-SA"/>
                    </w:rPr>
                  </w:pPr>
                  <w:r>
                    <w:rPr>
                      <w:rFonts w:hint="default" w:ascii="Times New Roman" w:hAnsi="Times New Roman" w:eastAsia="宋体" w:cs="Times New Roman"/>
                      <w:color w:val="0000FF"/>
                      <w:szCs w:val="21"/>
                    </w:rPr>
                    <w:t>2</w:t>
                  </w:r>
                </w:p>
              </w:tc>
              <w:tc>
                <w:tcPr>
                  <w:tcW w:w="592" w:type="pct"/>
                  <w:shd w:val="clear" w:color="auto" w:fill="auto"/>
                  <w:vAlign w:val="center"/>
                </w:tcPr>
                <w:p w14:paraId="30CF3A42">
                  <w:pPr>
                    <w:keepNext w:val="0"/>
                    <w:keepLines w:val="0"/>
                    <w:suppressLineNumbers w:val="0"/>
                    <w:spacing w:before="0" w:beforeAutospacing="0" w:after="0" w:afterAutospacing="0"/>
                    <w:ind w:left="0" w:leftChars="0" w:right="0" w:rightChars="0"/>
                    <w:jc w:val="center"/>
                    <w:rPr>
                      <w:rFonts w:hint="eastAsia" w:ascii="Times New Roman" w:hAnsi="Times New Roman" w:eastAsia="宋体" w:cs="Times New Roman"/>
                      <w:color w:val="0000FF"/>
                      <w:kern w:val="2"/>
                      <w:sz w:val="21"/>
                      <w:szCs w:val="21"/>
                      <w:lang w:val="en-US" w:eastAsia="zh-CN" w:bidi="ar-SA"/>
                    </w:rPr>
                  </w:pPr>
                  <w:r>
                    <w:rPr>
                      <w:rFonts w:hint="default" w:ascii="Times New Roman" w:hAnsi="Times New Roman" w:eastAsia="宋体" w:cs="Times New Roman"/>
                      <w:color w:val="0000FF"/>
                      <w:szCs w:val="21"/>
                    </w:rPr>
                    <w:t>2</w:t>
                  </w:r>
                </w:p>
              </w:tc>
              <w:tc>
                <w:tcPr>
                  <w:tcW w:w="537" w:type="pct"/>
                  <w:shd w:val="clear" w:color="auto" w:fill="auto"/>
                  <w:vAlign w:val="center"/>
                </w:tcPr>
                <w:p w14:paraId="43FE7FE4">
                  <w:pPr>
                    <w:keepNext w:val="0"/>
                    <w:keepLines w:val="0"/>
                    <w:suppressLineNumbers w:val="0"/>
                    <w:spacing w:before="0" w:beforeAutospacing="0" w:after="0" w:afterAutospacing="0"/>
                    <w:ind w:left="0" w:leftChars="0" w:right="0" w:rightChars="0"/>
                    <w:jc w:val="center"/>
                    <w:rPr>
                      <w:rFonts w:hint="eastAsia" w:ascii="Times New Roman" w:hAnsi="Times New Roman" w:eastAsia="宋体" w:cs="Times New Roman"/>
                      <w:color w:val="0000FF"/>
                      <w:kern w:val="2"/>
                      <w:sz w:val="21"/>
                      <w:szCs w:val="21"/>
                      <w:lang w:val="en-US" w:eastAsia="zh-CN" w:bidi="ar-SA"/>
                    </w:rPr>
                  </w:pPr>
                  <w:r>
                    <w:rPr>
                      <w:rFonts w:hint="default" w:ascii="Times New Roman" w:hAnsi="Times New Roman" w:eastAsia="宋体" w:cs="Times New Roman"/>
                      <w:color w:val="0000FF"/>
                      <w:szCs w:val="21"/>
                    </w:rPr>
                    <w:t>-1</w:t>
                  </w:r>
                </w:p>
              </w:tc>
              <w:tc>
                <w:tcPr>
                  <w:tcW w:w="536" w:type="pct"/>
                  <w:gridSpan w:val="2"/>
                  <w:vMerge w:val="continue"/>
                  <w:vAlign w:val="center"/>
                </w:tcPr>
                <w:p w14:paraId="2BC1362C">
                  <w:pPr>
                    <w:keepNext w:val="0"/>
                    <w:keepLines w:val="0"/>
                    <w:suppressLineNumbers w:val="0"/>
                    <w:spacing w:before="0" w:beforeAutospacing="0" w:after="0" w:afterAutospacing="0"/>
                    <w:ind w:left="0" w:right="0"/>
                    <w:jc w:val="center"/>
                    <w:rPr>
                      <w:rFonts w:hint="eastAsia" w:ascii="Times New Roman" w:hAnsi="Times New Roman" w:eastAsia="宋体" w:cs="Times New Roman"/>
                      <w:b w:val="0"/>
                      <w:bCs w:val="0"/>
                      <w:color w:val="0000FF"/>
                      <w:szCs w:val="21"/>
                      <w:highlight w:val="none"/>
                      <w:lang w:val="en-US" w:eastAsia="zh-CN"/>
                    </w:rPr>
                  </w:pPr>
                </w:p>
              </w:tc>
              <w:tc>
                <w:tcPr>
                  <w:tcW w:w="320" w:type="pct"/>
                  <w:shd w:val="clear" w:color="auto" w:fill="auto"/>
                  <w:vAlign w:val="center"/>
                </w:tcPr>
                <w:p w14:paraId="55018D0D">
                  <w:pPr>
                    <w:keepNext w:val="0"/>
                    <w:keepLines w:val="0"/>
                    <w:suppressLineNumbers w:val="0"/>
                    <w:spacing w:before="0" w:beforeAutospacing="0" w:after="0" w:afterAutospacing="0" w:line="240" w:lineRule="auto"/>
                    <w:ind w:left="0" w:right="0"/>
                    <w:jc w:val="center"/>
                    <w:rPr>
                      <w:rFonts w:hint="default" w:ascii="Times New Roman" w:hAnsi="Times New Roman" w:eastAsia="宋体" w:cs="Times New Roman"/>
                      <w:b w:val="0"/>
                      <w:bCs w:val="0"/>
                      <w:color w:val="0000FF"/>
                      <w:kern w:val="2"/>
                      <w:sz w:val="21"/>
                      <w:szCs w:val="21"/>
                      <w:highlight w:val="none"/>
                      <w:lang w:val="en-US" w:eastAsia="zh-CN" w:bidi="ar-SA"/>
                    </w:rPr>
                  </w:pPr>
                  <w:r>
                    <w:rPr>
                      <w:rFonts w:hint="default" w:ascii="Times New Roman" w:hAnsi="Times New Roman" w:eastAsia="宋体" w:cs="Times New Roman"/>
                      <w:b w:val="0"/>
                      <w:bCs w:val="0"/>
                      <w:color w:val="0000FF"/>
                      <w:sz w:val="21"/>
                      <w:szCs w:val="21"/>
                      <w:highlight w:val="none"/>
                      <w:lang w:val="en-US" w:eastAsia="zh-CN"/>
                    </w:rPr>
                    <w:t>/</w:t>
                  </w:r>
                </w:p>
              </w:tc>
            </w:tr>
            <w:tr w14:paraId="618870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291" w:type="pct"/>
                  <w:shd w:val="clear" w:color="auto" w:fill="auto"/>
                  <w:vAlign w:val="center"/>
                </w:tcPr>
                <w:p w14:paraId="6DE47503">
                  <w:pPr>
                    <w:keepNext w:val="0"/>
                    <w:keepLines w:val="0"/>
                    <w:suppressLineNumbers w:val="0"/>
                    <w:spacing w:before="0" w:beforeAutospacing="0" w:after="0" w:afterAutospacing="0"/>
                    <w:ind w:left="0" w:right="0"/>
                    <w:jc w:val="center"/>
                    <w:rPr>
                      <w:rFonts w:hint="default" w:ascii="Times New Roman" w:hAnsi="Times New Roman" w:eastAsia="宋体" w:cs="Times New Roman"/>
                      <w:b w:val="0"/>
                      <w:bCs w:val="0"/>
                      <w:color w:val="0000FF"/>
                      <w:szCs w:val="21"/>
                      <w:highlight w:val="none"/>
                      <w:lang w:val="en-US" w:eastAsia="zh-CN"/>
                    </w:rPr>
                  </w:pPr>
                  <w:r>
                    <w:rPr>
                      <w:rFonts w:hint="eastAsia" w:ascii="Times New Roman" w:hAnsi="Times New Roman" w:eastAsia="宋体" w:cs="Times New Roman"/>
                      <w:b w:val="0"/>
                      <w:bCs w:val="0"/>
                      <w:color w:val="0000FF"/>
                      <w:szCs w:val="21"/>
                      <w:highlight w:val="none"/>
                      <w:lang w:val="en-US" w:eastAsia="zh-CN"/>
                    </w:rPr>
                    <w:t>20</w:t>
                  </w:r>
                </w:p>
              </w:tc>
              <w:tc>
                <w:tcPr>
                  <w:tcW w:w="394" w:type="pct"/>
                  <w:vMerge w:val="continue"/>
                  <w:vAlign w:val="center"/>
                </w:tcPr>
                <w:p w14:paraId="392E33A7">
                  <w:pPr>
                    <w:keepNext w:val="0"/>
                    <w:keepLines w:val="0"/>
                    <w:suppressLineNumbers w:val="0"/>
                    <w:spacing w:before="0" w:beforeAutospacing="0" w:after="0" w:afterAutospacing="0"/>
                    <w:ind w:left="0" w:right="0"/>
                    <w:jc w:val="center"/>
                    <w:rPr>
                      <w:rFonts w:hint="default" w:ascii="Times New Roman" w:hAnsi="Times New Roman" w:eastAsia="宋体" w:cs="Times New Roman"/>
                      <w:b w:val="0"/>
                      <w:bCs w:val="0"/>
                      <w:color w:val="0000FF"/>
                      <w:szCs w:val="21"/>
                      <w:highlight w:val="none"/>
                    </w:rPr>
                  </w:pPr>
                </w:p>
              </w:tc>
              <w:tc>
                <w:tcPr>
                  <w:tcW w:w="660" w:type="pct"/>
                  <w:vMerge w:val="continue"/>
                  <w:vAlign w:val="center"/>
                </w:tcPr>
                <w:p w14:paraId="4FC2A580">
                  <w:pPr>
                    <w:keepNext w:val="0"/>
                    <w:keepLines w:val="0"/>
                    <w:suppressLineNumbers w:val="0"/>
                    <w:spacing w:before="0" w:beforeAutospacing="0" w:after="0" w:afterAutospacing="0"/>
                    <w:ind w:left="0" w:right="0"/>
                    <w:jc w:val="center"/>
                    <w:rPr>
                      <w:rFonts w:hint="default" w:ascii="Times New Roman" w:hAnsi="Times New Roman" w:eastAsia="宋体" w:cs="Times New Roman"/>
                      <w:b w:val="0"/>
                      <w:bCs w:val="0"/>
                      <w:color w:val="0000FF"/>
                      <w:szCs w:val="21"/>
                      <w:highlight w:val="none"/>
                    </w:rPr>
                  </w:pPr>
                </w:p>
              </w:tc>
              <w:tc>
                <w:tcPr>
                  <w:tcW w:w="766" w:type="pct"/>
                  <w:shd w:val="clear" w:color="auto" w:fill="auto"/>
                  <w:vAlign w:val="center"/>
                </w:tcPr>
                <w:p w14:paraId="2C6BAE6D">
                  <w:pPr>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color w:val="0000FF"/>
                      <w:kern w:val="2"/>
                      <w:sz w:val="21"/>
                      <w:szCs w:val="21"/>
                      <w:lang w:val="en-US" w:eastAsia="zh-CN" w:bidi="ar-SA"/>
                    </w:rPr>
                  </w:pPr>
                  <w:r>
                    <w:rPr>
                      <w:rFonts w:hint="default" w:ascii="Times New Roman" w:hAnsi="Times New Roman" w:eastAsia="宋体" w:cs="Times New Roman"/>
                      <w:color w:val="0000FF"/>
                      <w:szCs w:val="21"/>
                    </w:rPr>
                    <w:t>200</w:t>
                  </w:r>
                </w:p>
              </w:tc>
              <w:tc>
                <w:tcPr>
                  <w:tcW w:w="483" w:type="pct"/>
                  <w:shd w:val="clear" w:color="auto" w:fill="auto"/>
                  <w:vAlign w:val="center"/>
                </w:tcPr>
                <w:p w14:paraId="55FE6C5A">
                  <w:pPr>
                    <w:keepNext w:val="0"/>
                    <w:keepLines w:val="0"/>
                    <w:suppressLineNumbers w:val="0"/>
                    <w:spacing w:before="0" w:beforeAutospacing="0" w:after="0" w:afterAutospacing="0"/>
                    <w:ind w:left="0" w:leftChars="0" w:right="0" w:rightChars="0"/>
                    <w:jc w:val="center"/>
                    <w:rPr>
                      <w:rFonts w:hint="eastAsia" w:ascii="Times New Roman" w:hAnsi="Times New Roman" w:eastAsia="宋体" w:cs="Times New Roman"/>
                      <w:color w:val="0000FF"/>
                      <w:kern w:val="2"/>
                      <w:sz w:val="21"/>
                      <w:szCs w:val="21"/>
                      <w:lang w:val="en-US" w:eastAsia="zh-CN" w:bidi="ar-SA"/>
                    </w:rPr>
                  </w:pPr>
                  <w:r>
                    <w:rPr>
                      <w:rFonts w:hint="default" w:ascii="Times New Roman" w:hAnsi="Times New Roman" w:eastAsia="宋体" w:cs="Times New Roman"/>
                      <w:color w:val="0000FF"/>
                      <w:szCs w:val="21"/>
                    </w:rPr>
                    <w:t>16</w:t>
                  </w:r>
                </w:p>
              </w:tc>
              <w:tc>
                <w:tcPr>
                  <w:tcW w:w="417" w:type="pct"/>
                  <w:shd w:val="clear" w:color="auto" w:fill="auto"/>
                  <w:vAlign w:val="center"/>
                </w:tcPr>
                <w:p w14:paraId="75A5BC7B">
                  <w:pPr>
                    <w:keepNext w:val="0"/>
                    <w:keepLines w:val="0"/>
                    <w:suppressLineNumbers w:val="0"/>
                    <w:spacing w:before="0" w:beforeAutospacing="0" w:after="0" w:afterAutospacing="0"/>
                    <w:ind w:left="0" w:leftChars="0" w:right="0" w:rightChars="0"/>
                    <w:jc w:val="center"/>
                    <w:rPr>
                      <w:rFonts w:hint="eastAsia" w:ascii="Times New Roman" w:hAnsi="Times New Roman" w:eastAsia="宋体" w:cs="Times New Roman"/>
                      <w:color w:val="0000FF"/>
                      <w:kern w:val="2"/>
                      <w:sz w:val="21"/>
                      <w:szCs w:val="21"/>
                      <w:lang w:val="en-US" w:eastAsia="zh-CN" w:bidi="ar-SA"/>
                    </w:rPr>
                  </w:pPr>
                  <w:r>
                    <w:rPr>
                      <w:rFonts w:hint="default" w:ascii="Times New Roman" w:hAnsi="Times New Roman" w:eastAsia="宋体" w:cs="Times New Roman"/>
                      <w:color w:val="0000FF"/>
                      <w:szCs w:val="21"/>
                    </w:rPr>
                    <w:t>12</w:t>
                  </w:r>
                </w:p>
              </w:tc>
              <w:tc>
                <w:tcPr>
                  <w:tcW w:w="592" w:type="pct"/>
                  <w:shd w:val="clear" w:color="auto" w:fill="auto"/>
                  <w:vAlign w:val="center"/>
                </w:tcPr>
                <w:p w14:paraId="1D5C205A">
                  <w:pPr>
                    <w:keepNext w:val="0"/>
                    <w:keepLines w:val="0"/>
                    <w:suppressLineNumbers w:val="0"/>
                    <w:spacing w:before="0" w:beforeAutospacing="0" w:after="0" w:afterAutospacing="0"/>
                    <w:ind w:left="0" w:leftChars="0" w:right="0" w:rightChars="0"/>
                    <w:jc w:val="center"/>
                    <w:rPr>
                      <w:rFonts w:hint="eastAsia" w:ascii="Times New Roman" w:hAnsi="Times New Roman" w:eastAsia="宋体" w:cs="Times New Roman"/>
                      <w:color w:val="0000FF"/>
                      <w:kern w:val="2"/>
                      <w:sz w:val="21"/>
                      <w:szCs w:val="21"/>
                      <w:lang w:val="en-US" w:eastAsia="zh-CN" w:bidi="ar-SA"/>
                    </w:rPr>
                  </w:pPr>
                  <w:r>
                    <w:rPr>
                      <w:rFonts w:hint="default" w:ascii="Times New Roman" w:hAnsi="Times New Roman" w:eastAsia="宋体" w:cs="Times New Roman"/>
                      <w:color w:val="0000FF"/>
                      <w:szCs w:val="21"/>
                    </w:rPr>
                    <w:t>12</w:t>
                  </w:r>
                </w:p>
              </w:tc>
              <w:tc>
                <w:tcPr>
                  <w:tcW w:w="537" w:type="pct"/>
                  <w:shd w:val="clear" w:color="auto" w:fill="auto"/>
                  <w:vAlign w:val="center"/>
                </w:tcPr>
                <w:p w14:paraId="41A6DCF6">
                  <w:pPr>
                    <w:keepNext w:val="0"/>
                    <w:keepLines w:val="0"/>
                    <w:suppressLineNumbers w:val="0"/>
                    <w:spacing w:before="0" w:beforeAutospacing="0" w:after="0" w:afterAutospacing="0"/>
                    <w:ind w:left="0" w:leftChars="0" w:right="0" w:rightChars="0"/>
                    <w:jc w:val="center"/>
                    <w:rPr>
                      <w:rFonts w:hint="eastAsia" w:ascii="Times New Roman" w:hAnsi="Times New Roman" w:eastAsia="宋体" w:cs="Times New Roman"/>
                      <w:color w:val="0000FF"/>
                      <w:kern w:val="2"/>
                      <w:sz w:val="21"/>
                      <w:szCs w:val="21"/>
                      <w:lang w:val="en-US" w:eastAsia="zh-CN" w:bidi="ar-SA"/>
                    </w:rPr>
                  </w:pPr>
                  <w:r>
                    <w:rPr>
                      <w:rFonts w:hint="default" w:ascii="Times New Roman" w:hAnsi="Times New Roman" w:eastAsia="宋体" w:cs="Times New Roman"/>
                      <w:color w:val="0000FF"/>
                      <w:szCs w:val="21"/>
                    </w:rPr>
                    <w:t>-4</w:t>
                  </w:r>
                </w:p>
              </w:tc>
              <w:tc>
                <w:tcPr>
                  <w:tcW w:w="536" w:type="pct"/>
                  <w:gridSpan w:val="2"/>
                  <w:vMerge w:val="continue"/>
                  <w:vAlign w:val="center"/>
                </w:tcPr>
                <w:p w14:paraId="403E7656">
                  <w:pPr>
                    <w:keepNext w:val="0"/>
                    <w:keepLines w:val="0"/>
                    <w:suppressLineNumbers w:val="0"/>
                    <w:spacing w:before="0" w:beforeAutospacing="0" w:after="0" w:afterAutospacing="0"/>
                    <w:ind w:left="0" w:right="0"/>
                    <w:jc w:val="center"/>
                    <w:rPr>
                      <w:rFonts w:hint="eastAsia" w:ascii="Times New Roman" w:hAnsi="Times New Roman" w:eastAsia="宋体" w:cs="Times New Roman"/>
                      <w:b w:val="0"/>
                      <w:bCs w:val="0"/>
                      <w:color w:val="0000FF"/>
                      <w:szCs w:val="21"/>
                      <w:highlight w:val="none"/>
                      <w:lang w:val="en-US" w:eastAsia="zh-CN"/>
                    </w:rPr>
                  </w:pPr>
                </w:p>
              </w:tc>
              <w:tc>
                <w:tcPr>
                  <w:tcW w:w="320" w:type="pct"/>
                  <w:shd w:val="clear" w:color="auto" w:fill="auto"/>
                  <w:vAlign w:val="center"/>
                </w:tcPr>
                <w:p w14:paraId="43F1A3CB">
                  <w:pPr>
                    <w:keepNext w:val="0"/>
                    <w:keepLines w:val="0"/>
                    <w:suppressLineNumbers w:val="0"/>
                    <w:spacing w:before="0" w:beforeAutospacing="0" w:after="0" w:afterAutospacing="0" w:line="240" w:lineRule="auto"/>
                    <w:ind w:left="0" w:right="0"/>
                    <w:jc w:val="center"/>
                    <w:rPr>
                      <w:rFonts w:hint="default" w:ascii="Times New Roman" w:hAnsi="Times New Roman" w:eastAsia="宋体" w:cs="Times New Roman"/>
                      <w:b w:val="0"/>
                      <w:bCs w:val="0"/>
                      <w:color w:val="0000FF"/>
                      <w:kern w:val="2"/>
                      <w:sz w:val="21"/>
                      <w:szCs w:val="21"/>
                      <w:highlight w:val="none"/>
                      <w:lang w:val="en-US" w:eastAsia="zh-CN" w:bidi="ar-SA"/>
                    </w:rPr>
                  </w:pPr>
                  <w:r>
                    <w:rPr>
                      <w:rFonts w:hint="default" w:ascii="Times New Roman" w:hAnsi="Times New Roman" w:eastAsia="宋体" w:cs="Times New Roman"/>
                      <w:b w:val="0"/>
                      <w:bCs w:val="0"/>
                      <w:color w:val="0000FF"/>
                      <w:sz w:val="21"/>
                      <w:szCs w:val="21"/>
                      <w:highlight w:val="none"/>
                      <w:lang w:val="en-US" w:eastAsia="zh-CN"/>
                    </w:rPr>
                    <w:t>/</w:t>
                  </w:r>
                </w:p>
              </w:tc>
            </w:tr>
            <w:tr w14:paraId="6081E1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291" w:type="pct"/>
                  <w:shd w:val="clear" w:color="auto" w:fill="auto"/>
                  <w:vAlign w:val="center"/>
                </w:tcPr>
                <w:p w14:paraId="150C41E6">
                  <w:pPr>
                    <w:keepNext w:val="0"/>
                    <w:keepLines w:val="0"/>
                    <w:suppressLineNumbers w:val="0"/>
                    <w:spacing w:before="0" w:beforeAutospacing="0" w:after="0" w:afterAutospacing="0"/>
                    <w:ind w:left="0" w:right="0"/>
                    <w:jc w:val="center"/>
                    <w:rPr>
                      <w:rFonts w:hint="default" w:ascii="Times New Roman" w:hAnsi="Times New Roman" w:eastAsia="宋体" w:cs="Times New Roman"/>
                      <w:b w:val="0"/>
                      <w:bCs w:val="0"/>
                      <w:color w:val="0000FF"/>
                      <w:szCs w:val="21"/>
                      <w:highlight w:val="none"/>
                      <w:lang w:val="en-US" w:eastAsia="zh-CN"/>
                    </w:rPr>
                  </w:pPr>
                  <w:r>
                    <w:rPr>
                      <w:rFonts w:hint="eastAsia" w:ascii="Times New Roman" w:hAnsi="Times New Roman" w:eastAsia="宋体" w:cs="Times New Roman"/>
                      <w:b w:val="0"/>
                      <w:bCs w:val="0"/>
                      <w:color w:val="0000FF"/>
                      <w:szCs w:val="21"/>
                      <w:highlight w:val="none"/>
                      <w:lang w:val="en-US" w:eastAsia="zh-CN"/>
                    </w:rPr>
                    <w:t>21</w:t>
                  </w:r>
                </w:p>
              </w:tc>
              <w:tc>
                <w:tcPr>
                  <w:tcW w:w="394" w:type="pct"/>
                  <w:vMerge w:val="continue"/>
                  <w:vAlign w:val="center"/>
                </w:tcPr>
                <w:p w14:paraId="59FF2AF5">
                  <w:pPr>
                    <w:keepNext w:val="0"/>
                    <w:keepLines w:val="0"/>
                    <w:suppressLineNumbers w:val="0"/>
                    <w:spacing w:before="0" w:beforeAutospacing="0" w:after="0" w:afterAutospacing="0"/>
                    <w:ind w:left="0" w:right="0"/>
                    <w:jc w:val="center"/>
                    <w:rPr>
                      <w:rFonts w:hint="default" w:ascii="Times New Roman" w:hAnsi="Times New Roman" w:eastAsia="宋体" w:cs="Times New Roman"/>
                      <w:b w:val="0"/>
                      <w:bCs w:val="0"/>
                      <w:color w:val="0000FF"/>
                      <w:szCs w:val="21"/>
                      <w:highlight w:val="none"/>
                    </w:rPr>
                  </w:pPr>
                </w:p>
              </w:tc>
              <w:tc>
                <w:tcPr>
                  <w:tcW w:w="660" w:type="pct"/>
                  <w:vMerge w:val="restart"/>
                  <w:shd w:val="clear" w:color="auto" w:fill="auto"/>
                  <w:vAlign w:val="center"/>
                </w:tcPr>
                <w:p w14:paraId="4BDCFFBE">
                  <w:pPr>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color w:val="0000FF"/>
                      <w:kern w:val="2"/>
                      <w:sz w:val="21"/>
                      <w:szCs w:val="21"/>
                      <w:lang w:val="en-US" w:eastAsia="zh-CN" w:bidi="ar-SA"/>
                    </w:rPr>
                  </w:pPr>
                  <w:r>
                    <w:rPr>
                      <w:rFonts w:hint="default" w:ascii="Times New Roman" w:hAnsi="Times New Roman" w:eastAsia="宋体" w:cs="Times New Roman"/>
                      <w:color w:val="0000FF"/>
                      <w:szCs w:val="21"/>
                    </w:rPr>
                    <w:t>三辊压延机</w:t>
                  </w:r>
                </w:p>
              </w:tc>
              <w:tc>
                <w:tcPr>
                  <w:tcW w:w="766" w:type="pct"/>
                  <w:shd w:val="clear" w:color="auto" w:fill="auto"/>
                  <w:vAlign w:val="center"/>
                </w:tcPr>
                <w:p w14:paraId="189A37F3">
                  <w:pPr>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color w:val="0000FF"/>
                      <w:kern w:val="2"/>
                      <w:sz w:val="21"/>
                      <w:szCs w:val="21"/>
                      <w:lang w:val="en-US" w:eastAsia="zh-CN" w:bidi="ar-SA"/>
                    </w:rPr>
                  </w:pPr>
                  <w:r>
                    <w:rPr>
                      <w:rFonts w:hint="default" w:ascii="Times New Roman" w:hAnsi="Times New Roman" w:eastAsia="宋体" w:cs="Times New Roman"/>
                      <w:color w:val="0000FF"/>
                      <w:szCs w:val="21"/>
                    </w:rPr>
                    <w:t>DCM750-3S-D</w:t>
                  </w:r>
                </w:p>
              </w:tc>
              <w:tc>
                <w:tcPr>
                  <w:tcW w:w="483" w:type="pct"/>
                  <w:shd w:val="clear" w:color="auto" w:fill="auto"/>
                  <w:vAlign w:val="center"/>
                </w:tcPr>
                <w:p w14:paraId="3A52F1CB">
                  <w:pPr>
                    <w:keepNext w:val="0"/>
                    <w:keepLines w:val="0"/>
                    <w:suppressLineNumbers w:val="0"/>
                    <w:spacing w:before="0" w:beforeAutospacing="0" w:after="0" w:afterAutospacing="0"/>
                    <w:ind w:left="0" w:leftChars="0" w:right="0" w:rightChars="0"/>
                    <w:jc w:val="center"/>
                    <w:rPr>
                      <w:rFonts w:hint="eastAsia" w:ascii="Times New Roman" w:hAnsi="Times New Roman" w:eastAsia="宋体" w:cs="Times New Roman"/>
                      <w:color w:val="0000FF"/>
                      <w:kern w:val="2"/>
                      <w:sz w:val="21"/>
                      <w:szCs w:val="21"/>
                      <w:lang w:val="en-US" w:eastAsia="zh-CN" w:bidi="ar-SA"/>
                    </w:rPr>
                  </w:pPr>
                  <w:r>
                    <w:rPr>
                      <w:rFonts w:hint="default" w:ascii="Times New Roman" w:hAnsi="Times New Roman" w:eastAsia="宋体" w:cs="Times New Roman"/>
                      <w:color w:val="0000FF"/>
                      <w:szCs w:val="21"/>
                    </w:rPr>
                    <w:t>2</w:t>
                  </w:r>
                </w:p>
              </w:tc>
              <w:tc>
                <w:tcPr>
                  <w:tcW w:w="417" w:type="pct"/>
                  <w:shd w:val="clear" w:color="auto" w:fill="auto"/>
                  <w:vAlign w:val="center"/>
                </w:tcPr>
                <w:p w14:paraId="210BA60A">
                  <w:pPr>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color w:val="0000FF"/>
                      <w:kern w:val="2"/>
                      <w:sz w:val="21"/>
                      <w:szCs w:val="21"/>
                      <w:lang w:val="en-US" w:eastAsia="zh-CN" w:bidi="ar-SA"/>
                    </w:rPr>
                  </w:pPr>
                  <w:r>
                    <w:rPr>
                      <w:rFonts w:hint="default" w:ascii="Times New Roman" w:hAnsi="Times New Roman" w:eastAsia="宋体" w:cs="Times New Roman"/>
                      <w:color w:val="0000FF"/>
                      <w:szCs w:val="21"/>
                    </w:rPr>
                    <w:t>0</w:t>
                  </w:r>
                </w:p>
              </w:tc>
              <w:tc>
                <w:tcPr>
                  <w:tcW w:w="592" w:type="pct"/>
                  <w:shd w:val="clear" w:color="auto" w:fill="auto"/>
                  <w:vAlign w:val="center"/>
                </w:tcPr>
                <w:p w14:paraId="750A4010">
                  <w:pPr>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color w:val="0000FF"/>
                      <w:kern w:val="2"/>
                      <w:sz w:val="21"/>
                      <w:szCs w:val="21"/>
                      <w:lang w:val="en-US" w:eastAsia="zh-CN" w:bidi="ar-SA"/>
                    </w:rPr>
                  </w:pPr>
                  <w:r>
                    <w:rPr>
                      <w:rFonts w:hint="default" w:ascii="Times New Roman" w:hAnsi="Times New Roman" w:eastAsia="宋体" w:cs="Times New Roman"/>
                      <w:color w:val="0000FF"/>
                      <w:szCs w:val="21"/>
                    </w:rPr>
                    <w:t>0</w:t>
                  </w:r>
                </w:p>
              </w:tc>
              <w:tc>
                <w:tcPr>
                  <w:tcW w:w="537" w:type="pct"/>
                  <w:shd w:val="clear" w:color="auto" w:fill="auto"/>
                  <w:vAlign w:val="center"/>
                </w:tcPr>
                <w:p w14:paraId="5267BF1C">
                  <w:pPr>
                    <w:keepNext w:val="0"/>
                    <w:keepLines w:val="0"/>
                    <w:suppressLineNumbers w:val="0"/>
                    <w:spacing w:before="0" w:beforeAutospacing="0" w:after="0" w:afterAutospacing="0"/>
                    <w:ind w:left="0" w:leftChars="0" w:right="0" w:rightChars="0"/>
                    <w:jc w:val="center"/>
                    <w:rPr>
                      <w:rFonts w:hint="eastAsia" w:ascii="Times New Roman" w:hAnsi="Times New Roman" w:eastAsia="宋体" w:cs="Times New Roman"/>
                      <w:color w:val="0000FF"/>
                      <w:kern w:val="2"/>
                      <w:sz w:val="21"/>
                      <w:szCs w:val="21"/>
                      <w:lang w:val="en-US" w:eastAsia="zh-CN" w:bidi="ar-SA"/>
                    </w:rPr>
                  </w:pPr>
                  <w:r>
                    <w:rPr>
                      <w:rFonts w:hint="default" w:ascii="Times New Roman" w:hAnsi="Times New Roman" w:eastAsia="宋体" w:cs="Times New Roman"/>
                      <w:color w:val="0000FF"/>
                      <w:szCs w:val="21"/>
                    </w:rPr>
                    <w:t>-2</w:t>
                  </w:r>
                </w:p>
              </w:tc>
              <w:tc>
                <w:tcPr>
                  <w:tcW w:w="536" w:type="pct"/>
                  <w:gridSpan w:val="2"/>
                  <w:vMerge w:val="continue"/>
                  <w:vAlign w:val="center"/>
                </w:tcPr>
                <w:p w14:paraId="0FCBA3A9">
                  <w:pPr>
                    <w:keepNext w:val="0"/>
                    <w:keepLines w:val="0"/>
                    <w:suppressLineNumbers w:val="0"/>
                    <w:spacing w:before="0" w:beforeAutospacing="0" w:after="0" w:afterAutospacing="0"/>
                    <w:ind w:left="0" w:right="0"/>
                    <w:jc w:val="center"/>
                    <w:rPr>
                      <w:rFonts w:hint="eastAsia" w:ascii="Times New Roman" w:hAnsi="Times New Roman" w:eastAsia="宋体" w:cs="Times New Roman"/>
                      <w:b w:val="0"/>
                      <w:bCs w:val="0"/>
                      <w:color w:val="0000FF"/>
                      <w:szCs w:val="21"/>
                      <w:highlight w:val="none"/>
                      <w:lang w:val="en-US" w:eastAsia="zh-CN"/>
                    </w:rPr>
                  </w:pPr>
                </w:p>
              </w:tc>
              <w:tc>
                <w:tcPr>
                  <w:tcW w:w="320" w:type="pct"/>
                  <w:shd w:val="clear" w:color="auto" w:fill="auto"/>
                  <w:vAlign w:val="center"/>
                </w:tcPr>
                <w:p w14:paraId="34C82D5B">
                  <w:pPr>
                    <w:keepNext w:val="0"/>
                    <w:keepLines w:val="0"/>
                    <w:suppressLineNumbers w:val="0"/>
                    <w:spacing w:before="0" w:beforeAutospacing="0" w:after="0" w:afterAutospacing="0" w:line="240" w:lineRule="auto"/>
                    <w:ind w:left="0" w:right="0"/>
                    <w:jc w:val="center"/>
                    <w:rPr>
                      <w:rFonts w:hint="default" w:ascii="Times New Roman" w:hAnsi="Times New Roman" w:eastAsia="宋体" w:cs="Times New Roman"/>
                      <w:b w:val="0"/>
                      <w:bCs w:val="0"/>
                      <w:color w:val="0000FF"/>
                      <w:kern w:val="2"/>
                      <w:sz w:val="21"/>
                      <w:szCs w:val="21"/>
                      <w:highlight w:val="none"/>
                      <w:lang w:val="en-US" w:eastAsia="zh-CN" w:bidi="ar-SA"/>
                    </w:rPr>
                  </w:pPr>
                  <w:r>
                    <w:rPr>
                      <w:rFonts w:hint="default" w:ascii="Times New Roman" w:hAnsi="Times New Roman" w:eastAsia="宋体" w:cs="Times New Roman"/>
                      <w:b w:val="0"/>
                      <w:bCs w:val="0"/>
                      <w:color w:val="0000FF"/>
                      <w:sz w:val="21"/>
                      <w:szCs w:val="21"/>
                      <w:highlight w:val="none"/>
                      <w:lang w:val="en-US" w:eastAsia="zh-CN"/>
                    </w:rPr>
                    <w:t>/</w:t>
                  </w:r>
                </w:p>
              </w:tc>
            </w:tr>
            <w:tr w14:paraId="2DBC49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291" w:type="pct"/>
                  <w:shd w:val="clear" w:color="auto" w:fill="auto"/>
                  <w:vAlign w:val="center"/>
                </w:tcPr>
                <w:p w14:paraId="5EFB1218">
                  <w:pPr>
                    <w:keepNext w:val="0"/>
                    <w:keepLines w:val="0"/>
                    <w:suppressLineNumbers w:val="0"/>
                    <w:spacing w:before="0" w:beforeAutospacing="0" w:after="0" w:afterAutospacing="0"/>
                    <w:ind w:left="0" w:right="0"/>
                    <w:jc w:val="center"/>
                    <w:rPr>
                      <w:rFonts w:hint="default" w:ascii="Times New Roman" w:hAnsi="Times New Roman" w:eastAsia="宋体" w:cs="Times New Roman"/>
                      <w:b w:val="0"/>
                      <w:bCs w:val="0"/>
                      <w:color w:val="0000FF"/>
                      <w:szCs w:val="21"/>
                      <w:highlight w:val="none"/>
                      <w:lang w:val="en-US" w:eastAsia="zh-CN"/>
                    </w:rPr>
                  </w:pPr>
                  <w:r>
                    <w:rPr>
                      <w:rFonts w:hint="eastAsia" w:ascii="Times New Roman" w:hAnsi="Times New Roman" w:eastAsia="宋体" w:cs="Times New Roman"/>
                      <w:b w:val="0"/>
                      <w:bCs w:val="0"/>
                      <w:color w:val="0000FF"/>
                      <w:szCs w:val="21"/>
                      <w:highlight w:val="none"/>
                      <w:lang w:val="en-US" w:eastAsia="zh-CN"/>
                    </w:rPr>
                    <w:t>22</w:t>
                  </w:r>
                </w:p>
              </w:tc>
              <w:tc>
                <w:tcPr>
                  <w:tcW w:w="394" w:type="pct"/>
                  <w:vMerge w:val="continue"/>
                  <w:vAlign w:val="center"/>
                </w:tcPr>
                <w:p w14:paraId="4DBC2F4A">
                  <w:pPr>
                    <w:keepNext w:val="0"/>
                    <w:keepLines w:val="0"/>
                    <w:suppressLineNumbers w:val="0"/>
                    <w:spacing w:before="0" w:beforeAutospacing="0" w:after="0" w:afterAutospacing="0"/>
                    <w:ind w:left="0" w:right="0"/>
                    <w:jc w:val="center"/>
                    <w:rPr>
                      <w:rFonts w:hint="default" w:ascii="Times New Roman" w:hAnsi="Times New Roman" w:eastAsia="宋体" w:cs="Times New Roman"/>
                      <w:b w:val="0"/>
                      <w:bCs w:val="0"/>
                      <w:color w:val="0000FF"/>
                      <w:szCs w:val="21"/>
                      <w:highlight w:val="none"/>
                    </w:rPr>
                  </w:pPr>
                </w:p>
              </w:tc>
              <w:tc>
                <w:tcPr>
                  <w:tcW w:w="660" w:type="pct"/>
                  <w:vMerge w:val="continue"/>
                  <w:vAlign w:val="center"/>
                </w:tcPr>
                <w:p w14:paraId="3D723C78">
                  <w:pPr>
                    <w:keepNext w:val="0"/>
                    <w:keepLines w:val="0"/>
                    <w:suppressLineNumbers w:val="0"/>
                    <w:spacing w:before="0" w:beforeAutospacing="0" w:after="0" w:afterAutospacing="0"/>
                    <w:ind w:left="0" w:right="0"/>
                    <w:jc w:val="center"/>
                    <w:rPr>
                      <w:rFonts w:hint="default" w:ascii="Times New Roman" w:hAnsi="Times New Roman" w:eastAsia="宋体" w:cs="Times New Roman"/>
                      <w:b w:val="0"/>
                      <w:bCs w:val="0"/>
                      <w:color w:val="0000FF"/>
                      <w:szCs w:val="21"/>
                      <w:highlight w:val="none"/>
                    </w:rPr>
                  </w:pPr>
                </w:p>
              </w:tc>
              <w:tc>
                <w:tcPr>
                  <w:tcW w:w="766" w:type="pct"/>
                  <w:shd w:val="clear" w:color="auto" w:fill="auto"/>
                  <w:vAlign w:val="center"/>
                </w:tcPr>
                <w:p w14:paraId="688FBE8D">
                  <w:pPr>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color w:val="0000FF"/>
                      <w:kern w:val="2"/>
                      <w:sz w:val="21"/>
                      <w:szCs w:val="21"/>
                      <w:lang w:val="en-US" w:eastAsia="zh-CN" w:bidi="ar-SA"/>
                    </w:rPr>
                  </w:pPr>
                  <w:r>
                    <w:rPr>
                      <w:rFonts w:hint="default" w:ascii="Times New Roman" w:hAnsi="Times New Roman" w:eastAsia="宋体" w:cs="Times New Roman"/>
                      <w:color w:val="0000FF"/>
                      <w:szCs w:val="21"/>
                    </w:rPr>
                    <w:t>DCM1250-3S-D</w:t>
                  </w:r>
                </w:p>
              </w:tc>
              <w:tc>
                <w:tcPr>
                  <w:tcW w:w="483" w:type="pct"/>
                  <w:shd w:val="clear" w:color="auto" w:fill="auto"/>
                  <w:vAlign w:val="center"/>
                </w:tcPr>
                <w:p w14:paraId="63FE591A">
                  <w:pPr>
                    <w:keepNext w:val="0"/>
                    <w:keepLines w:val="0"/>
                    <w:suppressLineNumbers w:val="0"/>
                    <w:spacing w:before="0" w:beforeAutospacing="0" w:after="0" w:afterAutospacing="0"/>
                    <w:ind w:left="0" w:leftChars="0" w:right="0" w:rightChars="0"/>
                    <w:jc w:val="center"/>
                    <w:rPr>
                      <w:rFonts w:hint="eastAsia" w:ascii="Times New Roman" w:hAnsi="Times New Roman" w:eastAsia="宋体" w:cs="Times New Roman"/>
                      <w:color w:val="0000FF"/>
                      <w:kern w:val="2"/>
                      <w:sz w:val="21"/>
                      <w:szCs w:val="21"/>
                      <w:lang w:val="en-US" w:eastAsia="zh-CN" w:bidi="ar-SA"/>
                    </w:rPr>
                  </w:pPr>
                  <w:r>
                    <w:rPr>
                      <w:rFonts w:hint="default" w:ascii="Times New Roman" w:hAnsi="Times New Roman" w:eastAsia="宋体" w:cs="Times New Roman"/>
                      <w:color w:val="0000FF"/>
                      <w:szCs w:val="21"/>
                    </w:rPr>
                    <w:t>2</w:t>
                  </w:r>
                </w:p>
              </w:tc>
              <w:tc>
                <w:tcPr>
                  <w:tcW w:w="417" w:type="pct"/>
                  <w:shd w:val="clear" w:color="auto" w:fill="auto"/>
                  <w:vAlign w:val="center"/>
                </w:tcPr>
                <w:p w14:paraId="32CFA339">
                  <w:pPr>
                    <w:keepNext w:val="0"/>
                    <w:keepLines w:val="0"/>
                    <w:suppressLineNumbers w:val="0"/>
                    <w:spacing w:before="0" w:beforeAutospacing="0" w:after="0" w:afterAutospacing="0"/>
                    <w:ind w:left="0" w:leftChars="0" w:right="0" w:rightChars="0"/>
                    <w:jc w:val="center"/>
                    <w:rPr>
                      <w:rFonts w:hint="eastAsia" w:ascii="Times New Roman" w:hAnsi="Times New Roman" w:eastAsia="宋体" w:cs="Times New Roman"/>
                      <w:color w:val="0000FF"/>
                      <w:kern w:val="2"/>
                      <w:sz w:val="21"/>
                      <w:szCs w:val="21"/>
                      <w:lang w:val="en-US" w:eastAsia="zh-CN" w:bidi="ar-SA"/>
                    </w:rPr>
                  </w:pPr>
                  <w:r>
                    <w:rPr>
                      <w:rFonts w:hint="default" w:ascii="Times New Roman" w:hAnsi="Times New Roman" w:eastAsia="宋体" w:cs="Times New Roman"/>
                      <w:color w:val="0000FF"/>
                      <w:szCs w:val="21"/>
                    </w:rPr>
                    <w:t>2</w:t>
                  </w:r>
                </w:p>
              </w:tc>
              <w:tc>
                <w:tcPr>
                  <w:tcW w:w="592" w:type="pct"/>
                  <w:shd w:val="clear" w:color="auto" w:fill="auto"/>
                  <w:vAlign w:val="center"/>
                </w:tcPr>
                <w:p w14:paraId="1276FB2C">
                  <w:pPr>
                    <w:keepNext w:val="0"/>
                    <w:keepLines w:val="0"/>
                    <w:suppressLineNumbers w:val="0"/>
                    <w:spacing w:before="0" w:beforeAutospacing="0" w:after="0" w:afterAutospacing="0"/>
                    <w:ind w:left="0" w:leftChars="0" w:right="0" w:rightChars="0"/>
                    <w:jc w:val="center"/>
                    <w:rPr>
                      <w:rFonts w:hint="eastAsia" w:ascii="Times New Roman" w:hAnsi="Times New Roman" w:eastAsia="宋体" w:cs="Times New Roman"/>
                      <w:color w:val="0000FF"/>
                      <w:kern w:val="2"/>
                      <w:sz w:val="21"/>
                      <w:szCs w:val="21"/>
                      <w:lang w:val="en-US" w:eastAsia="zh-CN" w:bidi="ar-SA"/>
                    </w:rPr>
                  </w:pPr>
                  <w:r>
                    <w:rPr>
                      <w:rFonts w:hint="default" w:ascii="Times New Roman" w:hAnsi="Times New Roman" w:eastAsia="宋体" w:cs="Times New Roman"/>
                      <w:color w:val="0000FF"/>
                      <w:szCs w:val="21"/>
                    </w:rPr>
                    <w:t>2</w:t>
                  </w:r>
                </w:p>
              </w:tc>
              <w:tc>
                <w:tcPr>
                  <w:tcW w:w="537" w:type="pct"/>
                  <w:shd w:val="clear" w:color="auto" w:fill="auto"/>
                  <w:vAlign w:val="center"/>
                </w:tcPr>
                <w:p w14:paraId="5736B19E">
                  <w:pPr>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color w:val="0000FF"/>
                      <w:kern w:val="2"/>
                      <w:sz w:val="21"/>
                      <w:szCs w:val="21"/>
                      <w:lang w:val="en-US" w:eastAsia="zh-CN" w:bidi="ar-SA"/>
                    </w:rPr>
                  </w:pPr>
                  <w:r>
                    <w:rPr>
                      <w:rFonts w:hint="default" w:ascii="Times New Roman" w:hAnsi="Times New Roman" w:eastAsia="宋体" w:cs="Times New Roman"/>
                      <w:color w:val="0000FF"/>
                      <w:szCs w:val="21"/>
                    </w:rPr>
                    <w:t>0</w:t>
                  </w:r>
                </w:p>
              </w:tc>
              <w:tc>
                <w:tcPr>
                  <w:tcW w:w="536" w:type="pct"/>
                  <w:gridSpan w:val="2"/>
                  <w:vMerge w:val="continue"/>
                  <w:vAlign w:val="center"/>
                </w:tcPr>
                <w:p w14:paraId="48C03F5D">
                  <w:pPr>
                    <w:keepNext w:val="0"/>
                    <w:keepLines w:val="0"/>
                    <w:suppressLineNumbers w:val="0"/>
                    <w:spacing w:before="0" w:beforeAutospacing="0" w:after="0" w:afterAutospacing="0"/>
                    <w:ind w:left="0" w:right="0"/>
                    <w:jc w:val="center"/>
                    <w:rPr>
                      <w:rFonts w:hint="eastAsia" w:ascii="Times New Roman" w:hAnsi="Times New Roman" w:eastAsia="宋体" w:cs="Times New Roman"/>
                      <w:b w:val="0"/>
                      <w:bCs w:val="0"/>
                      <w:color w:val="0000FF"/>
                      <w:szCs w:val="21"/>
                      <w:highlight w:val="none"/>
                      <w:lang w:val="en-US" w:eastAsia="zh-CN"/>
                    </w:rPr>
                  </w:pPr>
                </w:p>
              </w:tc>
              <w:tc>
                <w:tcPr>
                  <w:tcW w:w="320" w:type="pct"/>
                  <w:shd w:val="clear" w:color="auto" w:fill="auto"/>
                  <w:vAlign w:val="center"/>
                </w:tcPr>
                <w:p w14:paraId="24210079">
                  <w:pPr>
                    <w:keepNext w:val="0"/>
                    <w:keepLines w:val="0"/>
                    <w:suppressLineNumbers w:val="0"/>
                    <w:spacing w:before="0" w:beforeAutospacing="0" w:after="0" w:afterAutospacing="0" w:line="240" w:lineRule="auto"/>
                    <w:ind w:left="0" w:right="0"/>
                    <w:jc w:val="center"/>
                    <w:rPr>
                      <w:rFonts w:hint="default" w:ascii="Times New Roman" w:hAnsi="Times New Roman" w:eastAsia="宋体" w:cs="Times New Roman"/>
                      <w:b w:val="0"/>
                      <w:bCs w:val="0"/>
                      <w:color w:val="0000FF"/>
                      <w:kern w:val="2"/>
                      <w:sz w:val="21"/>
                      <w:szCs w:val="21"/>
                      <w:highlight w:val="none"/>
                      <w:lang w:val="en-US" w:eastAsia="zh-CN" w:bidi="ar-SA"/>
                    </w:rPr>
                  </w:pPr>
                  <w:r>
                    <w:rPr>
                      <w:rFonts w:hint="default" w:ascii="Times New Roman" w:hAnsi="Times New Roman" w:eastAsia="宋体" w:cs="Times New Roman"/>
                      <w:b w:val="0"/>
                      <w:bCs w:val="0"/>
                      <w:color w:val="0000FF"/>
                      <w:sz w:val="21"/>
                      <w:szCs w:val="21"/>
                      <w:highlight w:val="none"/>
                      <w:lang w:val="en-US" w:eastAsia="zh-CN"/>
                    </w:rPr>
                    <w:t>/</w:t>
                  </w:r>
                </w:p>
              </w:tc>
            </w:tr>
            <w:tr w14:paraId="7A0DD3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291" w:type="pct"/>
                  <w:shd w:val="clear" w:color="auto" w:fill="auto"/>
                  <w:vAlign w:val="center"/>
                </w:tcPr>
                <w:p w14:paraId="6234C83A">
                  <w:pPr>
                    <w:keepNext w:val="0"/>
                    <w:keepLines w:val="0"/>
                    <w:suppressLineNumbers w:val="0"/>
                    <w:spacing w:before="0" w:beforeAutospacing="0" w:after="0" w:afterAutospacing="0"/>
                    <w:ind w:left="0" w:right="0"/>
                    <w:jc w:val="center"/>
                    <w:rPr>
                      <w:rFonts w:hint="default" w:ascii="Times New Roman" w:hAnsi="Times New Roman" w:eastAsia="宋体" w:cs="Times New Roman"/>
                      <w:b w:val="0"/>
                      <w:bCs w:val="0"/>
                      <w:color w:val="0000FF"/>
                      <w:szCs w:val="21"/>
                      <w:highlight w:val="none"/>
                      <w:lang w:val="en-US" w:eastAsia="zh-CN"/>
                    </w:rPr>
                  </w:pPr>
                  <w:r>
                    <w:rPr>
                      <w:rFonts w:hint="eastAsia" w:ascii="Times New Roman" w:hAnsi="Times New Roman" w:eastAsia="宋体" w:cs="Times New Roman"/>
                      <w:b w:val="0"/>
                      <w:bCs w:val="0"/>
                      <w:color w:val="0000FF"/>
                      <w:szCs w:val="21"/>
                      <w:highlight w:val="none"/>
                      <w:lang w:val="en-US" w:eastAsia="zh-CN"/>
                    </w:rPr>
                    <w:t>23</w:t>
                  </w:r>
                </w:p>
              </w:tc>
              <w:tc>
                <w:tcPr>
                  <w:tcW w:w="394" w:type="pct"/>
                  <w:vMerge w:val="continue"/>
                  <w:vAlign w:val="center"/>
                </w:tcPr>
                <w:p w14:paraId="7C434A74">
                  <w:pPr>
                    <w:keepNext w:val="0"/>
                    <w:keepLines w:val="0"/>
                    <w:suppressLineNumbers w:val="0"/>
                    <w:spacing w:before="0" w:beforeAutospacing="0" w:after="0" w:afterAutospacing="0"/>
                    <w:ind w:left="0" w:right="0"/>
                    <w:jc w:val="center"/>
                    <w:rPr>
                      <w:rFonts w:hint="default" w:ascii="Times New Roman" w:hAnsi="Times New Roman" w:eastAsia="宋体" w:cs="Times New Roman"/>
                      <w:b w:val="0"/>
                      <w:bCs w:val="0"/>
                      <w:color w:val="0000FF"/>
                      <w:szCs w:val="21"/>
                      <w:highlight w:val="none"/>
                    </w:rPr>
                  </w:pPr>
                </w:p>
              </w:tc>
              <w:tc>
                <w:tcPr>
                  <w:tcW w:w="660" w:type="pct"/>
                  <w:vMerge w:val="continue"/>
                  <w:vAlign w:val="center"/>
                </w:tcPr>
                <w:p w14:paraId="5F7BA58D">
                  <w:pPr>
                    <w:keepNext w:val="0"/>
                    <w:keepLines w:val="0"/>
                    <w:suppressLineNumbers w:val="0"/>
                    <w:spacing w:before="0" w:beforeAutospacing="0" w:after="0" w:afterAutospacing="0"/>
                    <w:ind w:left="0" w:right="0"/>
                    <w:jc w:val="center"/>
                    <w:rPr>
                      <w:rFonts w:hint="default" w:ascii="Times New Roman" w:hAnsi="Times New Roman" w:eastAsia="宋体" w:cs="Times New Roman"/>
                      <w:b w:val="0"/>
                      <w:bCs w:val="0"/>
                      <w:color w:val="0000FF"/>
                      <w:szCs w:val="21"/>
                      <w:highlight w:val="none"/>
                    </w:rPr>
                  </w:pPr>
                </w:p>
              </w:tc>
              <w:tc>
                <w:tcPr>
                  <w:tcW w:w="766" w:type="pct"/>
                  <w:shd w:val="clear" w:color="auto" w:fill="auto"/>
                  <w:vAlign w:val="center"/>
                </w:tcPr>
                <w:p w14:paraId="16738540">
                  <w:pPr>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color w:val="0000FF"/>
                      <w:kern w:val="2"/>
                      <w:sz w:val="21"/>
                      <w:szCs w:val="21"/>
                      <w:lang w:val="en-US" w:eastAsia="zh-CN" w:bidi="ar-SA"/>
                    </w:rPr>
                  </w:pPr>
                  <w:r>
                    <w:rPr>
                      <w:rFonts w:hint="default" w:ascii="Times New Roman" w:hAnsi="Times New Roman" w:eastAsia="宋体" w:cs="Times New Roman"/>
                      <w:color w:val="0000FF"/>
                      <w:szCs w:val="21"/>
                    </w:rPr>
                    <w:t>DCT1250-GS-D</w:t>
                  </w:r>
                </w:p>
              </w:tc>
              <w:tc>
                <w:tcPr>
                  <w:tcW w:w="483" w:type="pct"/>
                  <w:shd w:val="clear" w:color="auto" w:fill="auto"/>
                  <w:vAlign w:val="center"/>
                </w:tcPr>
                <w:p w14:paraId="5FC82061">
                  <w:pPr>
                    <w:keepNext w:val="0"/>
                    <w:keepLines w:val="0"/>
                    <w:suppressLineNumbers w:val="0"/>
                    <w:spacing w:before="0" w:beforeAutospacing="0" w:after="0" w:afterAutospacing="0"/>
                    <w:ind w:left="0" w:leftChars="0" w:right="0" w:rightChars="0"/>
                    <w:jc w:val="center"/>
                    <w:rPr>
                      <w:rFonts w:hint="eastAsia" w:ascii="Times New Roman" w:hAnsi="Times New Roman" w:eastAsia="宋体" w:cs="Times New Roman"/>
                      <w:color w:val="0000FF"/>
                      <w:kern w:val="2"/>
                      <w:sz w:val="21"/>
                      <w:szCs w:val="21"/>
                      <w:lang w:val="en-US" w:eastAsia="zh-CN" w:bidi="ar-SA"/>
                    </w:rPr>
                  </w:pPr>
                  <w:r>
                    <w:rPr>
                      <w:rFonts w:hint="default" w:ascii="Times New Roman" w:hAnsi="Times New Roman" w:eastAsia="宋体" w:cs="Times New Roman"/>
                      <w:color w:val="0000FF"/>
                      <w:szCs w:val="21"/>
                    </w:rPr>
                    <w:t>2</w:t>
                  </w:r>
                </w:p>
              </w:tc>
              <w:tc>
                <w:tcPr>
                  <w:tcW w:w="417" w:type="pct"/>
                  <w:shd w:val="clear" w:color="auto" w:fill="auto"/>
                  <w:vAlign w:val="center"/>
                </w:tcPr>
                <w:p w14:paraId="55DDB8DD">
                  <w:pPr>
                    <w:keepNext w:val="0"/>
                    <w:keepLines w:val="0"/>
                    <w:suppressLineNumbers w:val="0"/>
                    <w:spacing w:before="0" w:beforeAutospacing="0" w:after="0" w:afterAutospacing="0"/>
                    <w:ind w:left="0" w:leftChars="0" w:right="0" w:rightChars="0"/>
                    <w:jc w:val="center"/>
                    <w:rPr>
                      <w:rFonts w:hint="eastAsia" w:ascii="Times New Roman" w:hAnsi="Times New Roman" w:eastAsia="宋体" w:cs="Times New Roman"/>
                      <w:color w:val="0000FF"/>
                      <w:kern w:val="2"/>
                      <w:sz w:val="21"/>
                      <w:szCs w:val="21"/>
                      <w:lang w:val="en-US" w:eastAsia="zh-CN" w:bidi="ar-SA"/>
                    </w:rPr>
                  </w:pPr>
                  <w:r>
                    <w:rPr>
                      <w:rFonts w:hint="default" w:ascii="Times New Roman" w:hAnsi="Times New Roman" w:eastAsia="宋体" w:cs="Times New Roman"/>
                      <w:color w:val="0000FF"/>
                      <w:szCs w:val="21"/>
                    </w:rPr>
                    <w:t>2</w:t>
                  </w:r>
                </w:p>
              </w:tc>
              <w:tc>
                <w:tcPr>
                  <w:tcW w:w="592" w:type="pct"/>
                  <w:shd w:val="clear" w:color="auto" w:fill="auto"/>
                  <w:vAlign w:val="center"/>
                </w:tcPr>
                <w:p w14:paraId="09909690">
                  <w:pPr>
                    <w:keepNext w:val="0"/>
                    <w:keepLines w:val="0"/>
                    <w:suppressLineNumbers w:val="0"/>
                    <w:spacing w:before="0" w:beforeAutospacing="0" w:after="0" w:afterAutospacing="0"/>
                    <w:ind w:left="0" w:leftChars="0" w:right="0" w:rightChars="0"/>
                    <w:jc w:val="center"/>
                    <w:rPr>
                      <w:rFonts w:hint="eastAsia" w:ascii="Times New Roman" w:hAnsi="Times New Roman" w:eastAsia="宋体" w:cs="Times New Roman"/>
                      <w:color w:val="0000FF"/>
                      <w:kern w:val="2"/>
                      <w:sz w:val="21"/>
                      <w:szCs w:val="21"/>
                      <w:lang w:val="en-US" w:eastAsia="zh-CN" w:bidi="ar-SA"/>
                    </w:rPr>
                  </w:pPr>
                  <w:r>
                    <w:rPr>
                      <w:rFonts w:hint="default" w:ascii="Times New Roman" w:hAnsi="Times New Roman" w:eastAsia="宋体" w:cs="Times New Roman"/>
                      <w:color w:val="0000FF"/>
                      <w:szCs w:val="21"/>
                    </w:rPr>
                    <w:t>2</w:t>
                  </w:r>
                </w:p>
              </w:tc>
              <w:tc>
                <w:tcPr>
                  <w:tcW w:w="537" w:type="pct"/>
                  <w:shd w:val="clear" w:color="auto" w:fill="auto"/>
                  <w:vAlign w:val="center"/>
                </w:tcPr>
                <w:p w14:paraId="2E87F186">
                  <w:pPr>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color w:val="0000FF"/>
                      <w:kern w:val="2"/>
                      <w:sz w:val="21"/>
                      <w:szCs w:val="21"/>
                      <w:lang w:val="en-US" w:eastAsia="zh-CN" w:bidi="ar-SA"/>
                    </w:rPr>
                  </w:pPr>
                  <w:r>
                    <w:rPr>
                      <w:rFonts w:hint="default" w:ascii="Times New Roman" w:hAnsi="Times New Roman" w:eastAsia="宋体" w:cs="Times New Roman"/>
                      <w:color w:val="0000FF"/>
                      <w:szCs w:val="21"/>
                    </w:rPr>
                    <w:t>0</w:t>
                  </w:r>
                </w:p>
              </w:tc>
              <w:tc>
                <w:tcPr>
                  <w:tcW w:w="536" w:type="pct"/>
                  <w:gridSpan w:val="2"/>
                  <w:vMerge w:val="continue"/>
                  <w:vAlign w:val="center"/>
                </w:tcPr>
                <w:p w14:paraId="053879FC">
                  <w:pPr>
                    <w:keepNext w:val="0"/>
                    <w:keepLines w:val="0"/>
                    <w:suppressLineNumbers w:val="0"/>
                    <w:spacing w:before="0" w:beforeAutospacing="0" w:after="0" w:afterAutospacing="0"/>
                    <w:ind w:left="0" w:right="0"/>
                    <w:jc w:val="center"/>
                    <w:rPr>
                      <w:rFonts w:hint="eastAsia" w:ascii="Times New Roman" w:hAnsi="Times New Roman" w:eastAsia="宋体" w:cs="Times New Roman"/>
                      <w:b w:val="0"/>
                      <w:bCs w:val="0"/>
                      <w:color w:val="0000FF"/>
                      <w:szCs w:val="21"/>
                      <w:highlight w:val="none"/>
                      <w:lang w:val="en-US" w:eastAsia="zh-CN"/>
                    </w:rPr>
                  </w:pPr>
                </w:p>
              </w:tc>
              <w:tc>
                <w:tcPr>
                  <w:tcW w:w="320" w:type="pct"/>
                  <w:shd w:val="clear" w:color="auto" w:fill="auto"/>
                  <w:vAlign w:val="center"/>
                </w:tcPr>
                <w:p w14:paraId="7CABA441">
                  <w:pPr>
                    <w:keepNext w:val="0"/>
                    <w:keepLines w:val="0"/>
                    <w:suppressLineNumbers w:val="0"/>
                    <w:spacing w:before="0" w:beforeAutospacing="0" w:after="0" w:afterAutospacing="0" w:line="240" w:lineRule="auto"/>
                    <w:ind w:left="0" w:right="0"/>
                    <w:jc w:val="center"/>
                    <w:rPr>
                      <w:rFonts w:hint="default" w:ascii="Times New Roman" w:hAnsi="Times New Roman" w:eastAsia="宋体" w:cs="Times New Roman"/>
                      <w:b w:val="0"/>
                      <w:bCs w:val="0"/>
                      <w:color w:val="0000FF"/>
                      <w:kern w:val="2"/>
                      <w:sz w:val="21"/>
                      <w:szCs w:val="21"/>
                      <w:highlight w:val="none"/>
                      <w:lang w:val="en-US" w:eastAsia="zh-CN" w:bidi="ar-SA"/>
                    </w:rPr>
                  </w:pPr>
                  <w:r>
                    <w:rPr>
                      <w:rFonts w:hint="default" w:ascii="Times New Roman" w:hAnsi="Times New Roman" w:eastAsia="宋体" w:cs="Times New Roman"/>
                      <w:b w:val="0"/>
                      <w:bCs w:val="0"/>
                      <w:color w:val="0000FF"/>
                      <w:sz w:val="21"/>
                      <w:szCs w:val="21"/>
                      <w:highlight w:val="none"/>
                      <w:lang w:val="en-US" w:eastAsia="zh-CN"/>
                    </w:rPr>
                    <w:t>/</w:t>
                  </w:r>
                </w:p>
              </w:tc>
            </w:tr>
            <w:tr w14:paraId="1FAF2B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291" w:type="pct"/>
                  <w:shd w:val="clear" w:color="auto" w:fill="auto"/>
                  <w:vAlign w:val="center"/>
                </w:tcPr>
                <w:p w14:paraId="2F04F3CB">
                  <w:pPr>
                    <w:keepNext w:val="0"/>
                    <w:keepLines w:val="0"/>
                    <w:suppressLineNumbers w:val="0"/>
                    <w:spacing w:before="0" w:beforeAutospacing="0" w:after="0" w:afterAutospacing="0"/>
                    <w:ind w:left="0" w:right="0"/>
                    <w:jc w:val="center"/>
                    <w:rPr>
                      <w:rFonts w:hint="default" w:ascii="Times New Roman" w:hAnsi="Times New Roman" w:eastAsia="宋体" w:cs="Times New Roman"/>
                      <w:b w:val="0"/>
                      <w:bCs w:val="0"/>
                      <w:color w:val="0000FF"/>
                      <w:szCs w:val="21"/>
                      <w:highlight w:val="none"/>
                      <w:lang w:val="en-US" w:eastAsia="zh-CN"/>
                    </w:rPr>
                  </w:pPr>
                  <w:r>
                    <w:rPr>
                      <w:rFonts w:hint="eastAsia" w:ascii="Times New Roman" w:hAnsi="Times New Roman" w:eastAsia="宋体" w:cs="Times New Roman"/>
                      <w:b w:val="0"/>
                      <w:bCs w:val="0"/>
                      <w:color w:val="0000FF"/>
                      <w:szCs w:val="21"/>
                      <w:highlight w:val="none"/>
                      <w:lang w:val="en-US" w:eastAsia="zh-CN"/>
                    </w:rPr>
                    <w:t>24</w:t>
                  </w:r>
                </w:p>
              </w:tc>
              <w:tc>
                <w:tcPr>
                  <w:tcW w:w="394" w:type="pct"/>
                  <w:vMerge w:val="continue"/>
                  <w:vAlign w:val="center"/>
                </w:tcPr>
                <w:p w14:paraId="7818E06C">
                  <w:pPr>
                    <w:keepNext w:val="0"/>
                    <w:keepLines w:val="0"/>
                    <w:suppressLineNumbers w:val="0"/>
                    <w:spacing w:before="0" w:beforeAutospacing="0" w:after="0" w:afterAutospacing="0"/>
                    <w:ind w:left="0" w:right="0"/>
                    <w:jc w:val="center"/>
                    <w:rPr>
                      <w:rFonts w:hint="default" w:ascii="Times New Roman" w:hAnsi="Times New Roman" w:eastAsia="宋体" w:cs="Times New Roman"/>
                      <w:b w:val="0"/>
                      <w:bCs w:val="0"/>
                      <w:color w:val="0000FF"/>
                      <w:szCs w:val="21"/>
                      <w:highlight w:val="none"/>
                    </w:rPr>
                  </w:pPr>
                </w:p>
              </w:tc>
              <w:tc>
                <w:tcPr>
                  <w:tcW w:w="660" w:type="pct"/>
                  <w:vMerge w:val="continue"/>
                  <w:vAlign w:val="center"/>
                </w:tcPr>
                <w:p w14:paraId="47C9459C">
                  <w:pPr>
                    <w:keepNext w:val="0"/>
                    <w:keepLines w:val="0"/>
                    <w:suppressLineNumbers w:val="0"/>
                    <w:spacing w:before="0" w:beforeAutospacing="0" w:after="0" w:afterAutospacing="0"/>
                    <w:ind w:left="0" w:right="0"/>
                    <w:jc w:val="center"/>
                    <w:rPr>
                      <w:rFonts w:hint="default" w:ascii="Times New Roman" w:hAnsi="Times New Roman" w:eastAsia="宋体" w:cs="Times New Roman"/>
                      <w:b w:val="0"/>
                      <w:bCs w:val="0"/>
                      <w:color w:val="0000FF"/>
                      <w:szCs w:val="21"/>
                      <w:highlight w:val="none"/>
                    </w:rPr>
                  </w:pPr>
                </w:p>
              </w:tc>
              <w:tc>
                <w:tcPr>
                  <w:tcW w:w="766" w:type="pct"/>
                  <w:shd w:val="clear" w:color="auto" w:fill="auto"/>
                  <w:vAlign w:val="center"/>
                </w:tcPr>
                <w:p w14:paraId="3CE87626">
                  <w:pPr>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color w:val="0000FF"/>
                      <w:kern w:val="2"/>
                      <w:sz w:val="21"/>
                      <w:szCs w:val="21"/>
                      <w:lang w:val="en-US" w:eastAsia="zh-CN" w:bidi="ar-SA"/>
                    </w:rPr>
                  </w:pPr>
                  <w:r>
                    <w:rPr>
                      <w:rFonts w:hint="default" w:ascii="Times New Roman" w:hAnsi="Times New Roman" w:eastAsia="宋体" w:cs="Times New Roman"/>
                      <w:color w:val="0000FF"/>
                      <w:szCs w:val="21"/>
                    </w:rPr>
                    <w:t>COMMA+3L-1450-M型</w:t>
                  </w:r>
                </w:p>
              </w:tc>
              <w:tc>
                <w:tcPr>
                  <w:tcW w:w="483" w:type="pct"/>
                  <w:shd w:val="clear" w:color="auto" w:fill="auto"/>
                  <w:vAlign w:val="center"/>
                </w:tcPr>
                <w:p w14:paraId="64E570DA">
                  <w:pPr>
                    <w:keepNext w:val="0"/>
                    <w:keepLines w:val="0"/>
                    <w:suppressLineNumbers w:val="0"/>
                    <w:spacing w:before="0" w:beforeAutospacing="0" w:after="0" w:afterAutospacing="0"/>
                    <w:ind w:left="0" w:leftChars="0" w:right="0" w:rightChars="0"/>
                    <w:jc w:val="center"/>
                    <w:rPr>
                      <w:rFonts w:hint="eastAsia" w:ascii="Times New Roman" w:hAnsi="Times New Roman" w:eastAsia="宋体" w:cs="Times New Roman"/>
                      <w:color w:val="0000FF"/>
                      <w:kern w:val="2"/>
                      <w:sz w:val="21"/>
                      <w:szCs w:val="21"/>
                      <w:lang w:val="en-US" w:eastAsia="zh-CN" w:bidi="ar-SA"/>
                    </w:rPr>
                  </w:pPr>
                  <w:r>
                    <w:rPr>
                      <w:rFonts w:hint="default" w:ascii="Times New Roman" w:hAnsi="Times New Roman" w:eastAsia="宋体" w:cs="Times New Roman"/>
                      <w:color w:val="0000FF"/>
                      <w:szCs w:val="21"/>
                    </w:rPr>
                    <w:t>17</w:t>
                  </w:r>
                </w:p>
              </w:tc>
              <w:tc>
                <w:tcPr>
                  <w:tcW w:w="417" w:type="pct"/>
                  <w:shd w:val="clear" w:color="auto" w:fill="auto"/>
                  <w:vAlign w:val="center"/>
                </w:tcPr>
                <w:p w14:paraId="4860439C">
                  <w:pPr>
                    <w:keepNext w:val="0"/>
                    <w:keepLines w:val="0"/>
                    <w:suppressLineNumbers w:val="0"/>
                    <w:spacing w:before="0" w:beforeAutospacing="0" w:after="0" w:afterAutospacing="0"/>
                    <w:ind w:left="0" w:leftChars="0" w:right="0" w:rightChars="0"/>
                    <w:jc w:val="center"/>
                    <w:rPr>
                      <w:rFonts w:hint="eastAsia" w:ascii="Times New Roman" w:hAnsi="Times New Roman" w:eastAsia="宋体" w:cs="Times New Roman"/>
                      <w:color w:val="0000FF"/>
                      <w:kern w:val="2"/>
                      <w:sz w:val="21"/>
                      <w:szCs w:val="21"/>
                      <w:lang w:val="en-US" w:eastAsia="zh-CN" w:bidi="ar-SA"/>
                    </w:rPr>
                  </w:pPr>
                  <w:r>
                    <w:rPr>
                      <w:rFonts w:hint="default" w:ascii="Times New Roman" w:hAnsi="Times New Roman" w:eastAsia="宋体" w:cs="Times New Roman"/>
                      <w:color w:val="0000FF"/>
                      <w:szCs w:val="21"/>
                    </w:rPr>
                    <w:t>14</w:t>
                  </w:r>
                </w:p>
              </w:tc>
              <w:tc>
                <w:tcPr>
                  <w:tcW w:w="592" w:type="pct"/>
                  <w:shd w:val="clear" w:color="auto" w:fill="auto"/>
                  <w:vAlign w:val="center"/>
                </w:tcPr>
                <w:p w14:paraId="46C67FF3">
                  <w:pPr>
                    <w:keepNext w:val="0"/>
                    <w:keepLines w:val="0"/>
                    <w:suppressLineNumbers w:val="0"/>
                    <w:spacing w:before="0" w:beforeAutospacing="0" w:after="0" w:afterAutospacing="0"/>
                    <w:ind w:left="0" w:leftChars="0" w:right="0" w:rightChars="0"/>
                    <w:jc w:val="center"/>
                    <w:rPr>
                      <w:rFonts w:hint="eastAsia" w:ascii="Times New Roman" w:hAnsi="Times New Roman" w:eastAsia="宋体" w:cs="Times New Roman"/>
                      <w:color w:val="0000FF"/>
                      <w:kern w:val="2"/>
                      <w:sz w:val="21"/>
                      <w:szCs w:val="21"/>
                      <w:lang w:val="en-US" w:eastAsia="zh-CN" w:bidi="ar-SA"/>
                    </w:rPr>
                  </w:pPr>
                  <w:r>
                    <w:rPr>
                      <w:rFonts w:hint="default" w:ascii="Times New Roman" w:hAnsi="Times New Roman" w:eastAsia="宋体" w:cs="Times New Roman"/>
                      <w:color w:val="0000FF"/>
                      <w:szCs w:val="21"/>
                    </w:rPr>
                    <w:t>14</w:t>
                  </w:r>
                </w:p>
              </w:tc>
              <w:tc>
                <w:tcPr>
                  <w:tcW w:w="537" w:type="pct"/>
                  <w:shd w:val="clear" w:color="auto" w:fill="auto"/>
                  <w:vAlign w:val="center"/>
                </w:tcPr>
                <w:p w14:paraId="538E2241">
                  <w:pPr>
                    <w:keepNext w:val="0"/>
                    <w:keepLines w:val="0"/>
                    <w:suppressLineNumbers w:val="0"/>
                    <w:spacing w:before="0" w:beforeAutospacing="0" w:after="0" w:afterAutospacing="0"/>
                    <w:ind w:left="0" w:leftChars="0" w:right="0" w:rightChars="0"/>
                    <w:jc w:val="center"/>
                    <w:rPr>
                      <w:rFonts w:hint="eastAsia" w:ascii="Times New Roman" w:hAnsi="Times New Roman" w:eastAsia="宋体" w:cs="Times New Roman"/>
                      <w:color w:val="0000FF"/>
                      <w:kern w:val="2"/>
                      <w:sz w:val="21"/>
                      <w:szCs w:val="21"/>
                      <w:lang w:val="en-US" w:eastAsia="zh-CN" w:bidi="ar-SA"/>
                    </w:rPr>
                  </w:pPr>
                  <w:r>
                    <w:rPr>
                      <w:rFonts w:hint="default" w:ascii="Times New Roman" w:hAnsi="Times New Roman" w:eastAsia="宋体" w:cs="Times New Roman"/>
                      <w:color w:val="0000FF"/>
                      <w:szCs w:val="21"/>
                    </w:rPr>
                    <w:t>-3</w:t>
                  </w:r>
                </w:p>
              </w:tc>
              <w:tc>
                <w:tcPr>
                  <w:tcW w:w="536" w:type="pct"/>
                  <w:gridSpan w:val="2"/>
                  <w:vMerge w:val="continue"/>
                  <w:vAlign w:val="center"/>
                </w:tcPr>
                <w:p w14:paraId="1BDC6AF3">
                  <w:pPr>
                    <w:keepNext w:val="0"/>
                    <w:keepLines w:val="0"/>
                    <w:suppressLineNumbers w:val="0"/>
                    <w:spacing w:before="0" w:beforeAutospacing="0" w:after="0" w:afterAutospacing="0"/>
                    <w:ind w:left="0" w:right="0"/>
                    <w:jc w:val="center"/>
                    <w:rPr>
                      <w:rFonts w:hint="eastAsia" w:ascii="Times New Roman" w:hAnsi="Times New Roman" w:eastAsia="宋体" w:cs="Times New Roman"/>
                      <w:b w:val="0"/>
                      <w:bCs w:val="0"/>
                      <w:color w:val="0000FF"/>
                      <w:szCs w:val="21"/>
                      <w:highlight w:val="none"/>
                      <w:lang w:val="en-US" w:eastAsia="zh-CN"/>
                    </w:rPr>
                  </w:pPr>
                </w:p>
              </w:tc>
              <w:tc>
                <w:tcPr>
                  <w:tcW w:w="320" w:type="pct"/>
                  <w:shd w:val="clear" w:color="auto" w:fill="auto"/>
                  <w:vAlign w:val="center"/>
                </w:tcPr>
                <w:p w14:paraId="22CBC9A4">
                  <w:pPr>
                    <w:keepNext w:val="0"/>
                    <w:keepLines w:val="0"/>
                    <w:suppressLineNumbers w:val="0"/>
                    <w:spacing w:before="0" w:beforeAutospacing="0" w:after="0" w:afterAutospacing="0" w:line="240" w:lineRule="auto"/>
                    <w:ind w:left="0" w:right="0"/>
                    <w:jc w:val="center"/>
                    <w:rPr>
                      <w:rFonts w:hint="default" w:ascii="Times New Roman" w:hAnsi="Times New Roman" w:eastAsia="宋体" w:cs="Times New Roman"/>
                      <w:b w:val="0"/>
                      <w:bCs w:val="0"/>
                      <w:color w:val="0000FF"/>
                      <w:kern w:val="2"/>
                      <w:sz w:val="21"/>
                      <w:szCs w:val="21"/>
                      <w:highlight w:val="none"/>
                      <w:lang w:val="en-US" w:eastAsia="zh-CN" w:bidi="ar-SA"/>
                    </w:rPr>
                  </w:pPr>
                  <w:r>
                    <w:rPr>
                      <w:rFonts w:hint="default" w:ascii="Times New Roman" w:hAnsi="Times New Roman" w:eastAsia="宋体" w:cs="Times New Roman"/>
                      <w:b w:val="0"/>
                      <w:bCs w:val="0"/>
                      <w:color w:val="0000FF"/>
                      <w:sz w:val="21"/>
                      <w:szCs w:val="21"/>
                      <w:highlight w:val="none"/>
                      <w:lang w:val="en-US" w:eastAsia="zh-CN"/>
                    </w:rPr>
                    <w:t>/</w:t>
                  </w:r>
                </w:p>
              </w:tc>
            </w:tr>
            <w:tr w14:paraId="3B7CB1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291" w:type="pct"/>
                  <w:shd w:val="clear" w:color="auto" w:fill="auto"/>
                  <w:vAlign w:val="center"/>
                </w:tcPr>
                <w:p w14:paraId="02C24473">
                  <w:pPr>
                    <w:keepNext w:val="0"/>
                    <w:keepLines w:val="0"/>
                    <w:suppressLineNumbers w:val="0"/>
                    <w:spacing w:before="0" w:beforeAutospacing="0" w:after="0" w:afterAutospacing="0"/>
                    <w:ind w:left="0" w:right="0"/>
                    <w:jc w:val="center"/>
                    <w:rPr>
                      <w:rFonts w:hint="default" w:ascii="Times New Roman" w:hAnsi="Times New Roman" w:eastAsia="宋体" w:cs="Times New Roman"/>
                      <w:b w:val="0"/>
                      <w:bCs w:val="0"/>
                      <w:color w:val="0000FF"/>
                      <w:szCs w:val="21"/>
                      <w:highlight w:val="none"/>
                      <w:lang w:val="en-US" w:eastAsia="zh-CN"/>
                    </w:rPr>
                  </w:pPr>
                  <w:r>
                    <w:rPr>
                      <w:rFonts w:hint="eastAsia" w:ascii="Times New Roman" w:hAnsi="Times New Roman" w:eastAsia="宋体" w:cs="Times New Roman"/>
                      <w:b w:val="0"/>
                      <w:bCs w:val="0"/>
                      <w:color w:val="0000FF"/>
                      <w:szCs w:val="21"/>
                      <w:highlight w:val="none"/>
                      <w:lang w:val="en-US" w:eastAsia="zh-CN"/>
                    </w:rPr>
                    <w:t>25</w:t>
                  </w:r>
                </w:p>
              </w:tc>
              <w:tc>
                <w:tcPr>
                  <w:tcW w:w="394" w:type="pct"/>
                  <w:vMerge w:val="continue"/>
                  <w:vAlign w:val="center"/>
                </w:tcPr>
                <w:p w14:paraId="00EC5BAC">
                  <w:pPr>
                    <w:keepNext w:val="0"/>
                    <w:keepLines w:val="0"/>
                    <w:suppressLineNumbers w:val="0"/>
                    <w:spacing w:before="0" w:beforeAutospacing="0" w:after="0" w:afterAutospacing="0"/>
                    <w:ind w:left="0" w:right="0"/>
                    <w:jc w:val="center"/>
                    <w:rPr>
                      <w:rFonts w:hint="default" w:ascii="Times New Roman" w:hAnsi="Times New Roman" w:eastAsia="宋体" w:cs="Times New Roman"/>
                      <w:b w:val="0"/>
                      <w:bCs w:val="0"/>
                      <w:color w:val="0000FF"/>
                      <w:szCs w:val="21"/>
                      <w:highlight w:val="none"/>
                    </w:rPr>
                  </w:pPr>
                </w:p>
              </w:tc>
              <w:tc>
                <w:tcPr>
                  <w:tcW w:w="660" w:type="pct"/>
                  <w:vMerge w:val="restart"/>
                  <w:shd w:val="clear" w:color="auto" w:fill="auto"/>
                  <w:vAlign w:val="center"/>
                </w:tcPr>
                <w:p w14:paraId="5A95077B">
                  <w:pPr>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color w:val="0000FF"/>
                      <w:kern w:val="2"/>
                      <w:sz w:val="21"/>
                      <w:szCs w:val="21"/>
                      <w:lang w:val="en-US" w:eastAsia="zh-CN" w:bidi="ar-SA"/>
                    </w:rPr>
                  </w:pPr>
                  <w:r>
                    <w:rPr>
                      <w:rFonts w:hint="default" w:ascii="Times New Roman" w:hAnsi="Times New Roman" w:eastAsia="宋体" w:cs="Times New Roman"/>
                      <w:color w:val="0000FF"/>
                      <w:szCs w:val="21"/>
                    </w:rPr>
                    <w:t>隧道式烤箱</w:t>
                  </w:r>
                </w:p>
              </w:tc>
              <w:tc>
                <w:tcPr>
                  <w:tcW w:w="766" w:type="pct"/>
                  <w:shd w:val="clear" w:color="auto" w:fill="auto"/>
                  <w:vAlign w:val="center"/>
                </w:tcPr>
                <w:p w14:paraId="0DCA6E8A">
                  <w:pPr>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color w:val="0000FF"/>
                      <w:kern w:val="2"/>
                      <w:sz w:val="21"/>
                      <w:szCs w:val="21"/>
                      <w:lang w:val="en-US" w:eastAsia="zh-CN" w:bidi="ar-SA"/>
                    </w:rPr>
                  </w:pPr>
                  <w:r>
                    <w:rPr>
                      <w:rFonts w:hint="default" w:ascii="Times New Roman" w:hAnsi="Times New Roman" w:eastAsia="宋体" w:cs="Times New Roman"/>
                      <w:color w:val="0000FF"/>
                      <w:szCs w:val="21"/>
                    </w:rPr>
                    <w:t>TF1200-31000</w:t>
                  </w:r>
                </w:p>
              </w:tc>
              <w:tc>
                <w:tcPr>
                  <w:tcW w:w="483" w:type="pct"/>
                  <w:shd w:val="clear" w:color="auto" w:fill="auto"/>
                  <w:vAlign w:val="center"/>
                </w:tcPr>
                <w:p w14:paraId="70A0BAC5">
                  <w:pPr>
                    <w:keepNext w:val="0"/>
                    <w:keepLines w:val="0"/>
                    <w:suppressLineNumbers w:val="0"/>
                    <w:spacing w:before="0" w:beforeAutospacing="0" w:after="0" w:afterAutospacing="0"/>
                    <w:ind w:left="0" w:leftChars="0" w:right="0" w:rightChars="0"/>
                    <w:jc w:val="center"/>
                    <w:rPr>
                      <w:rFonts w:hint="eastAsia" w:ascii="Times New Roman" w:hAnsi="Times New Roman" w:eastAsia="宋体" w:cs="Times New Roman"/>
                      <w:color w:val="0000FF"/>
                      <w:kern w:val="2"/>
                      <w:sz w:val="21"/>
                      <w:szCs w:val="21"/>
                      <w:lang w:val="en-US" w:eastAsia="zh-CN" w:bidi="ar-SA"/>
                    </w:rPr>
                  </w:pPr>
                  <w:r>
                    <w:rPr>
                      <w:rFonts w:hint="default" w:ascii="Times New Roman" w:hAnsi="Times New Roman" w:eastAsia="宋体" w:cs="Times New Roman"/>
                      <w:color w:val="0000FF"/>
                      <w:szCs w:val="21"/>
                    </w:rPr>
                    <w:t>1</w:t>
                  </w:r>
                </w:p>
              </w:tc>
              <w:tc>
                <w:tcPr>
                  <w:tcW w:w="417" w:type="pct"/>
                  <w:shd w:val="clear" w:color="auto" w:fill="auto"/>
                  <w:vAlign w:val="center"/>
                </w:tcPr>
                <w:p w14:paraId="01B4D7E7">
                  <w:pPr>
                    <w:keepNext w:val="0"/>
                    <w:keepLines w:val="0"/>
                    <w:suppressLineNumbers w:val="0"/>
                    <w:spacing w:before="0" w:beforeAutospacing="0" w:after="0" w:afterAutospacing="0"/>
                    <w:ind w:left="0" w:leftChars="0" w:right="0" w:rightChars="0"/>
                    <w:jc w:val="center"/>
                    <w:rPr>
                      <w:rFonts w:hint="eastAsia" w:ascii="Times New Roman" w:hAnsi="Times New Roman" w:eastAsia="宋体" w:cs="Times New Roman"/>
                      <w:color w:val="0000FF"/>
                      <w:kern w:val="2"/>
                      <w:sz w:val="21"/>
                      <w:szCs w:val="21"/>
                      <w:lang w:val="en-US" w:eastAsia="zh-CN" w:bidi="ar-SA"/>
                    </w:rPr>
                  </w:pPr>
                  <w:r>
                    <w:rPr>
                      <w:rFonts w:hint="default" w:ascii="Times New Roman" w:hAnsi="Times New Roman" w:eastAsia="宋体" w:cs="Times New Roman"/>
                      <w:color w:val="0000FF"/>
                      <w:szCs w:val="21"/>
                    </w:rPr>
                    <w:t>3</w:t>
                  </w:r>
                </w:p>
              </w:tc>
              <w:tc>
                <w:tcPr>
                  <w:tcW w:w="592" w:type="pct"/>
                  <w:shd w:val="clear" w:color="auto" w:fill="auto"/>
                  <w:vAlign w:val="center"/>
                </w:tcPr>
                <w:p w14:paraId="0D3CE74B">
                  <w:pPr>
                    <w:keepNext w:val="0"/>
                    <w:keepLines w:val="0"/>
                    <w:suppressLineNumbers w:val="0"/>
                    <w:spacing w:before="0" w:beforeAutospacing="0" w:after="0" w:afterAutospacing="0"/>
                    <w:ind w:left="0" w:leftChars="0" w:right="0" w:rightChars="0"/>
                    <w:jc w:val="center"/>
                    <w:rPr>
                      <w:rFonts w:hint="eastAsia" w:ascii="Times New Roman" w:hAnsi="Times New Roman" w:eastAsia="宋体" w:cs="Times New Roman"/>
                      <w:color w:val="0000FF"/>
                      <w:kern w:val="2"/>
                      <w:sz w:val="21"/>
                      <w:szCs w:val="21"/>
                      <w:lang w:val="en-US" w:eastAsia="zh-CN" w:bidi="ar-SA"/>
                    </w:rPr>
                  </w:pPr>
                  <w:r>
                    <w:rPr>
                      <w:rFonts w:hint="default" w:ascii="Times New Roman" w:hAnsi="Times New Roman" w:eastAsia="宋体" w:cs="Times New Roman"/>
                      <w:color w:val="0000FF"/>
                      <w:szCs w:val="21"/>
                    </w:rPr>
                    <w:t>3</w:t>
                  </w:r>
                </w:p>
              </w:tc>
              <w:tc>
                <w:tcPr>
                  <w:tcW w:w="537" w:type="pct"/>
                  <w:shd w:val="clear" w:color="auto" w:fill="auto"/>
                  <w:vAlign w:val="center"/>
                </w:tcPr>
                <w:p w14:paraId="037285A6">
                  <w:pPr>
                    <w:keepNext w:val="0"/>
                    <w:keepLines w:val="0"/>
                    <w:suppressLineNumbers w:val="0"/>
                    <w:spacing w:before="0" w:beforeAutospacing="0" w:after="0" w:afterAutospacing="0"/>
                    <w:ind w:left="0" w:leftChars="0" w:right="0" w:rightChars="0"/>
                    <w:jc w:val="center"/>
                    <w:rPr>
                      <w:rFonts w:hint="eastAsia" w:ascii="Times New Roman" w:hAnsi="Times New Roman" w:eastAsia="宋体" w:cs="Times New Roman"/>
                      <w:color w:val="0000FF"/>
                      <w:kern w:val="2"/>
                      <w:sz w:val="21"/>
                      <w:szCs w:val="21"/>
                      <w:lang w:val="en-US" w:eastAsia="zh-CN" w:bidi="ar-SA"/>
                    </w:rPr>
                  </w:pPr>
                  <w:r>
                    <w:rPr>
                      <w:rFonts w:hint="default" w:ascii="Times New Roman" w:hAnsi="Times New Roman" w:eastAsia="宋体" w:cs="Times New Roman"/>
                      <w:color w:val="0000FF"/>
                      <w:szCs w:val="21"/>
                    </w:rPr>
                    <w:t>+2</w:t>
                  </w:r>
                </w:p>
              </w:tc>
              <w:tc>
                <w:tcPr>
                  <w:tcW w:w="536" w:type="pct"/>
                  <w:gridSpan w:val="2"/>
                  <w:vMerge w:val="continue"/>
                  <w:vAlign w:val="center"/>
                </w:tcPr>
                <w:p w14:paraId="4C0FEE6D">
                  <w:pPr>
                    <w:keepNext w:val="0"/>
                    <w:keepLines w:val="0"/>
                    <w:suppressLineNumbers w:val="0"/>
                    <w:spacing w:before="0" w:beforeAutospacing="0" w:after="0" w:afterAutospacing="0"/>
                    <w:ind w:left="0" w:right="0"/>
                    <w:jc w:val="center"/>
                    <w:rPr>
                      <w:rFonts w:hint="eastAsia" w:ascii="Times New Roman" w:hAnsi="Times New Roman" w:eastAsia="宋体" w:cs="Times New Roman"/>
                      <w:b w:val="0"/>
                      <w:bCs w:val="0"/>
                      <w:color w:val="0000FF"/>
                      <w:szCs w:val="21"/>
                      <w:highlight w:val="none"/>
                      <w:lang w:val="en-US" w:eastAsia="zh-CN"/>
                    </w:rPr>
                  </w:pPr>
                </w:p>
              </w:tc>
              <w:tc>
                <w:tcPr>
                  <w:tcW w:w="320" w:type="pct"/>
                  <w:shd w:val="clear" w:color="auto" w:fill="auto"/>
                  <w:vAlign w:val="center"/>
                </w:tcPr>
                <w:p w14:paraId="5F7A0892">
                  <w:pPr>
                    <w:keepNext w:val="0"/>
                    <w:keepLines w:val="0"/>
                    <w:suppressLineNumbers w:val="0"/>
                    <w:spacing w:before="0" w:beforeAutospacing="0" w:after="0" w:afterAutospacing="0" w:line="240" w:lineRule="auto"/>
                    <w:ind w:left="0" w:right="0"/>
                    <w:jc w:val="center"/>
                    <w:rPr>
                      <w:rFonts w:hint="default" w:ascii="Times New Roman" w:hAnsi="Times New Roman" w:eastAsia="宋体" w:cs="Times New Roman"/>
                      <w:b w:val="0"/>
                      <w:bCs w:val="0"/>
                      <w:color w:val="0000FF"/>
                      <w:kern w:val="2"/>
                      <w:sz w:val="21"/>
                      <w:szCs w:val="21"/>
                      <w:highlight w:val="none"/>
                      <w:lang w:val="en-US" w:eastAsia="zh-CN" w:bidi="ar-SA"/>
                    </w:rPr>
                  </w:pPr>
                  <w:r>
                    <w:rPr>
                      <w:rFonts w:hint="default" w:ascii="Times New Roman" w:hAnsi="Times New Roman" w:eastAsia="宋体" w:cs="Times New Roman"/>
                      <w:b w:val="0"/>
                      <w:bCs w:val="0"/>
                      <w:color w:val="0000FF"/>
                      <w:sz w:val="21"/>
                      <w:szCs w:val="21"/>
                      <w:highlight w:val="none"/>
                      <w:lang w:val="en-US" w:eastAsia="zh-CN"/>
                    </w:rPr>
                    <w:t>/</w:t>
                  </w:r>
                </w:p>
              </w:tc>
            </w:tr>
            <w:tr w14:paraId="432131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291" w:type="pct"/>
                  <w:shd w:val="clear" w:color="auto" w:fill="auto"/>
                  <w:vAlign w:val="center"/>
                </w:tcPr>
                <w:p w14:paraId="0D3B65EB">
                  <w:pPr>
                    <w:keepNext w:val="0"/>
                    <w:keepLines w:val="0"/>
                    <w:suppressLineNumbers w:val="0"/>
                    <w:spacing w:before="0" w:beforeAutospacing="0" w:after="0" w:afterAutospacing="0"/>
                    <w:ind w:left="0" w:right="0"/>
                    <w:jc w:val="center"/>
                    <w:rPr>
                      <w:rFonts w:hint="default" w:ascii="Times New Roman" w:hAnsi="Times New Roman" w:eastAsia="宋体" w:cs="Times New Roman"/>
                      <w:b w:val="0"/>
                      <w:bCs w:val="0"/>
                      <w:color w:val="0000FF"/>
                      <w:szCs w:val="21"/>
                      <w:highlight w:val="none"/>
                      <w:lang w:val="en-US" w:eastAsia="zh-CN"/>
                    </w:rPr>
                  </w:pPr>
                  <w:r>
                    <w:rPr>
                      <w:rFonts w:hint="eastAsia" w:ascii="Times New Roman" w:hAnsi="Times New Roman" w:eastAsia="宋体" w:cs="Times New Roman"/>
                      <w:b w:val="0"/>
                      <w:bCs w:val="0"/>
                      <w:color w:val="0000FF"/>
                      <w:szCs w:val="21"/>
                      <w:highlight w:val="none"/>
                      <w:lang w:val="en-US" w:eastAsia="zh-CN"/>
                    </w:rPr>
                    <w:t>26</w:t>
                  </w:r>
                </w:p>
              </w:tc>
              <w:tc>
                <w:tcPr>
                  <w:tcW w:w="394" w:type="pct"/>
                  <w:vMerge w:val="continue"/>
                  <w:vAlign w:val="center"/>
                </w:tcPr>
                <w:p w14:paraId="7E4C0B4D">
                  <w:pPr>
                    <w:keepNext w:val="0"/>
                    <w:keepLines w:val="0"/>
                    <w:suppressLineNumbers w:val="0"/>
                    <w:spacing w:before="0" w:beforeAutospacing="0" w:after="0" w:afterAutospacing="0"/>
                    <w:ind w:left="0" w:right="0"/>
                    <w:jc w:val="center"/>
                    <w:rPr>
                      <w:rFonts w:hint="default" w:ascii="Times New Roman" w:hAnsi="Times New Roman" w:eastAsia="宋体" w:cs="Times New Roman"/>
                      <w:b w:val="0"/>
                      <w:bCs w:val="0"/>
                      <w:color w:val="0000FF"/>
                      <w:szCs w:val="21"/>
                      <w:highlight w:val="none"/>
                    </w:rPr>
                  </w:pPr>
                </w:p>
              </w:tc>
              <w:tc>
                <w:tcPr>
                  <w:tcW w:w="660" w:type="pct"/>
                  <w:vMerge w:val="continue"/>
                  <w:vAlign w:val="center"/>
                </w:tcPr>
                <w:p w14:paraId="2BD1429C">
                  <w:pPr>
                    <w:keepNext w:val="0"/>
                    <w:keepLines w:val="0"/>
                    <w:suppressLineNumbers w:val="0"/>
                    <w:spacing w:before="0" w:beforeAutospacing="0" w:after="0" w:afterAutospacing="0"/>
                    <w:ind w:left="0" w:right="0"/>
                    <w:jc w:val="center"/>
                    <w:rPr>
                      <w:rFonts w:hint="default" w:ascii="Times New Roman" w:hAnsi="Times New Roman" w:eastAsia="宋体" w:cs="Times New Roman"/>
                      <w:b w:val="0"/>
                      <w:bCs w:val="0"/>
                      <w:color w:val="0000FF"/>
                      <w:szCs w:val="21"/>
                      <w:highlight w:val="none"/>
                    </w:rPr>
                  </w:pPr>
                </w:p>
              </w:tc>
              <w:tc>
                <w:tcPr>
                  <w:tcW w:w="766" w:type="pct"/>
                  <w:shd w:val="clear" w:color="auto" w:fill="auto"/>
                  <w:vAlign w:val="center"/>
                </w:tcPr>
                <w:p w14:paraId="75D1A67C">
                  <w:pPr>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color w:val="0000FF"/>
                      <w:kern w:val="2"/>
                      <w:sz w:val="21"/>
                      <w:szCs w:val="21"/>
                      <w:lang w:val="en-US" w:eastAsia="zh-CN" w:bidi="ar-SA"/>
                    </w:rPr>
                  </w:pPr>
                  <w:r>
                    <w:rPr>
                      <w:rFonts w:hint="default" w:ascii="Times New Roman" w:hAnsi="Times New Roman" w:eastAsia="宋体" w:cs="Times New Roman"/>
                      <w:color w:val="0000FF"/>
                      <w:szCs w:val="21"/>
                    </w:rPr>
                    <w:t>TF1300-2-28800</w:t>
                  </w:r>
                </w:p>
              </w:tc>
              <w:tc>
                <w:tcPr>
                  <w:tcW w:w="483" w:type="pct"/>
                  <w:shd w:val="clear" w:color="auto" w:fill="auto"/>
                  <w:vAlign w:val="center"/>
                </w:tcPr>
                <w:p w14:paraId="085CB258">
                  <w:pPr>
                    <w:keepNext w:val="0"/>
                    <w:keepLines w:val="0"/>
                    <w:suppressLineNumbers w:val="0"/>
                    <w:spacing w:before="0" w:beforeAutospacing="0" w:after="0" w:afterAutospacing="0"/>
                    <w:ind w:left="0" w:leftChars="0" w:right="0" w:rightChars="0"/>
                    <w:jc w:val="center"/>
                    <w:rPr>
                      <w:rFonts w:hint="eastAsia" w:ascii="Times New Roman" w:hAnsi="Times New Roman" w:eastAsia="宋体" w:cs="Times New Roman"/>
                      <w:color w:val="0000FF"/>
                      <w:kern w:val="2"/>
                      <w:sz w:val="21"/>
                      <w:szCs w:val="21"/>
                      <w:lang w:val="en-US" w:eastAsia="zh-CN" w:bidi="ar-SA"/>
                    </w:rPr>
                  </w:pPr>
                  <w:r>
                    <w:rPr>
                      <w:rFonts w:hint="default" w:ascii="Times New Roman" w:hAnsi="Times New Roman" w:eastAsia="宋体" w:cs="Times New Roman"/>
                      <w:color w:val="0000FF"/>
                      <w:szCs w:val="21"/>
                    </w:rPr>
                    <w:t>2</w:t>
                  </w:r>
                </w:p>
              </w:tc>
              <w:tc>
                <w:tcPr>
                  <w:tcW w:w="417" w:type="pct"/>
                  <w:shd w:val="clear" w:color="auto" w:fill="auto"/>
                  <w:vAlign w:val="center"/>
                </w:tcPr>
                <w:p w14:paraId="782E8E03">
                  <w:pPr>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color w:val="0000FF"/>
                      <w:kern w:val="2"/>
                      <w:sz w:val="21"/>
                      <w:szCs w:val="21"/>
                      <w:lang w:val="en-US" w:eastAsia="zh-CN" w:bidi="ar-SA"/>
                    </w:rPr>
                  </w:pPr>
                  <w:r>
                    <w:rPr>
                      <w:rFonts w:hint="default" w:ascii="Times New Roman" w:hAnsi="Times New Roman" w:eastAsia="宋体" w:cs="Times New Roman"/>
                      <w:color w:val="0000FF"/>
                      <w:szCs w:val="21"/>
                    </w:rPr>
                    <w:t>0</w:t>
                  </w:r>
                </w:p>
              </w:tc>
              <w:tc>
                <w:tcPr>
                  <w:tcW w:w="592" w:type="pct"/>
                  <w:shd w:val="clear" w:color="auto" w:fill="auto"/>
                  <w:vAlign w:val="center"/>
                </w:tcPr>
                <w:p w14:paraId="1BE288F3">
                  <w:pPr>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color w:val="0000FF"/>
                      <w:kern w:val="2"/>
                      <w:sz w:val="21"/>
                      <w:szCs w:val="21"/>
                      <w:lang w:val="en-US" w:eastAsia="zh-CN" w:bidi="ar-SA"/>
                    </w:rPr>
                  </w:pPr>
                  <w:r>
                    <w:rPr>
                      <w:rFonts w:hint="default" w:ascii="Times New Roman" w:hAnsi="Times New Roman" w:eastAsia="宋体" w:cs="Times New Roman"/>
                      <w:color w:val="0000FF"/>
                      <w:szCs w:val="21"/>
                    </w:rPr>
                    <w:t>0</w:t>
                  </w:r>
                </w:p>
              </w:tc>
              <w:tc>
                <w:tcPr>
                  <w:tcW w:w="537" w:type="pct"/>
                  <w:shd w:val="clear" w:color="auto" w:fill="auto"/>
                  <w:vAlign w:val="center"/>
                </w:tcPr>
                <w:p w14:paraId="1BCF66AA">
                  <w:pPr>
                    <w:keepNext w:val="0"/>
                    <w:keepLines w:val="0"/>
                    <w:suppressLineNumbers w:val="0"/>
                    <w:spacing w:before="0" w:beforeAutospacing="0" w:after="0" w:afterAutospacing="0"/>
                    <w:ind w:left="0" w:leftChars="0" w:right="0" w:rightChars="0"/>
                    <w:jc w:val="center"/>
                    <w:rPr>
                      <w:rFonts w:hint="eastAsia" w:ascii="Times New Roman" w:hAnsi="Times New Roman" w:eastAsia="宋体" w:cs="Times New Roman"/>
                      <w:color w:val="0000FF"/>
                      <w:kern w:val="2"/>
                      <w:sz w:val="21"/>
                      <w:szCs w:val="21"/>
                      <w:lang w:val="en-US" w:eastAsia="zh-CN" w:bidi="ar-SA"/>
                    </w:rPr>
                  </w:pPr>
                  <w:r>
                    <w:rPr>
                      <w:rFonts w:hint="default" w:ascii="Times New Roman" w:hAnsi="Times New Roman" w:eastAsia="宋体" w:cs="Times New Roman"/>
                      <w:color w:val="0000FF"/>
                      <w:szCs w:val="21"/>
                    </w:rPr>
                    <w:t>-2</w:t>
                  </w:r>
                </w:p>
              </w:tc>
              <w:tc>
                <w:tcPr>
                  <w:tcW w:w="536" w:type="pct"/>
                  <w:gridSpan w:val="2"/>
                  <w:vMerge w:val="continue"/>
                  <w:vAlign w:val="center"/>
                </w:tcPr>
                <w:p w14:paraId="1CE7546C">
                  <w:pPr>
                    <w:keepNext w:val="0"/>
                    <w:keepLines w:val="0"/>
                    <w:suppressLineNumbers w:val="0"/>
                    <w:spacing w:before="0" w:beforeAutospacing="0" w:after="0" w:afterAutospacing="0"/>
                    <w:ind w:left="0" w:right="0"/>
                    <w:jc w:val="center"/>
                    <w:rPr>
                      <w:rFonts w:hint="eastAsia" w:ascii="Times New Roman" w:hAnsi="Times New Roman" w:eastAsia="宋体" w:cs="Times New Roman"/>
                      <w:b w:val="0"/>
                      <w:bCs w:val="0"/>
                      <w:color w:val="0000FF"/>
                      <w:szCs w:val="21"/>
                      <w:highlight w:val="none"/>
                      <w:lang w:val="en-US" w:eastAsia="zh-CN"/>
                    </w:rPr>
                  </w:pPr>
                </w:p>
              </w:tc>
              <w:tc>
                <w:tcPr>
                  <w:tcW w:w="320" w:type="pct"/>
                  <w:shd w:val="clear" w:color="auto" w:fill="auto"/>
                  <w:vAlign w:val="center"/>
                </w:tcPr>
                <w:p w14:paraId="17FF75FC">
                  <w:pPr>
                    <w:keepNext w:val="0"/>
                    <w:keepLines w:val="0"/>
                    <w:suppressLineNumbers w:val="0"/>
                    <w:spacing w:before="0" w:beforeAutospacing="0" w:after="0" w:afterAutospacing="0" w:line="240" w:lineRule="auto"/>
                    <w:ind w:left="0" w:right="0"/>
                    <w:jc w:val="center"/>
                    <w:rPr>
                      <w:rFonts w:hint="default" w:ascii="Times New Roman" w:hAnsi="Times New Roman" w:eastAsia="宋体" w:cs="Times New Roman"/>
                      <w:b w:val="0"/>
                      <w:bCs w:val="0"/>
                      <w:color w:val="0000FF"/>
                      <w:kern w:val="2"/>
                      <w:sz w:val="21"/>
                      <w:szCs w:val="21"/>
                      <w:highlight w:val="none"/>
                      <w:lang w:val="en-US" w:eastAsia="zh-CN" w:bidi="ar-SA"/>
                    </w:rPr>
                  </w:pPr>
                  <w:r>
                    <w:rPr>
                      <w:rFonts w:hint="default" w:ascii="Times New Roman" w:hAnsi="Times New Roman" w:eastAsia="宋体" w:cs="Times New Roman"/>
                      <w:b w:val="0"/>
                      <w:bCs w:val="0"/>
                      <w:color w:val="0000FF"/>
                      <w:sz w:val="21"/>
                      <w:szCs w:val="21"/>
                      <w:highlight w:val="none"/>
                      <w:lang w:val="en-US" w:eastAsia="zh-CN"/>
                    </w:rPr>
                    <w:t>/</w:t>
                  </w:r>
                </w:p>
              </w:tc>
            </w:tr>
            <w:tr w14:paraId="11566A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291" w:type="pct"/>
                  <w:shd w:val="clear" w:color="auto" w:fill="auto"/>
                  <w:vAlign w:val="center"/>
                </w:tcPr>
                <w:p w14:paraId="58F6EC45">
                  <w:pPr>
                    <w:keepNext w:val="0"/>
                    <w:keepLines w:val="0"/>
                    <w:suppressLineNumbers w:val="0"/>
                    <w:spacing w:before="0" w:beforeAutospacing="0" w:after="0" w:afterAutospacing="0"/>
                    <w:ind w:left="0" w:right="0"/>
                    <w:jc w:val="center"/>
                    <w:rPr>
                      <w:rFonts w:hint="default" w:ascii="Times New Roman" w:hAnsi="Times New Roman" w:eastAsia="宋体" w:cs="Times New Roman"/>
                      <w:b w:val="0"/>
                      <w:bCs w:val="0"/>
                      <w:color w:val="0000FF"/>
                      <w:szCs w:val="21"/>
                      <w:highlight w:val="none"/>
                      <w:lang w:val="en-US" w:eastAsia="zh-CN"/>
                    </w:rPr>
                  </w:pPr>
                  <w:r>
                    <w:rPr>
                      <w:rFonts w:hint="eastAsia" w:ascii="Times New Roman" w:hAnsi="Times New Roman" w:eastAsia="宋体" w:cs="Times New Roman"/>
                      <w:b w:val="0"/>
                      <w:bCs w:val="0"/>
                      <w:color w:val="0000FF"/>
                      <w:szCs w:val="21"/>
                      <w:highlight w:val="none"/>
                      <w:lang w:val="en-US" w:eastAsia="zh-CN"/>
                    </w:rPr>
                    <w:t>27</w:t>
                  </w:r>
                </w:p>
              </w:tc>
              <w:tc>
                <w:tcPr>
                  <w:tcW w:w="394" w:type="pct"/>
                  <w:vMerge w:val="continue"/>
                  <w:vAlign w:val="center"/>
                </w:tcPr>
                <w:p w14:paraId="54412899">
                  <w:pPr>
                    <w:keepNext w:val="0"/>
                    <w:keepLines w:val="0"/>
                    <w:suppressLineNumbers w:val="0"/>
                    <w:spacing w:before="0" w:beforeAutospacing="0" w:after="0" w:afterAutospacing="0"/>
                    <w:ind w:left="0" w:right="0"/>
                    <w:jc w:val="center"/>
                    <w:rPr>
                      <w:rFonts w:hint="default" w:ascii="Times New Roman" w:hAnsi="Times New Roman" w:eastAsia="宋体" w:cs="Times New Roman"/>
                      <w:b w:val="0"/>
                      <w:bCs w:val="0"/>
                      <w:color w:val="0000FF"/>
                      <w:szCs w:val="21"/>
                      <w:highlight w:val="none"/>
                    </w:rPr>
                  </w:pPr>
                </w:p>
              </w:tc>
              <w:tc>
                <w:tcPr>
                  <w:tcW w:w="660" w:type="pct"/>
                  <w:vMerge w:val="continue"/>
                  <w:vAlign w:val="center"/>
                </w:tcPr>
                <w:p w14:paraId="55C19D5E">
                  <w:pPr>
                    <w:keepNext w:val="0"/>
                    <w:keepLines w:val="0"/>
                    <w:suppressLineNumbers w:val="0"/>
                    <w:spacing w:before="0" w:beforeAutospacing="0" w:after="0" w:afterAutospacing="0"/>
                    <w:ind w:left="0" w:right="0"/>
                    <w:jc w:val="center"/>
                    <w:rPr>
                      <w:rFonts w:hint="default" w:ascii="Times New Roman" w:hAnsi="Times New Roman" w:eastAsia="宋体" w:cs="Times New Roman"/>
                      <w:b w:val="0"/>
                      <w:bCs w:val="0"/>
                      <w:color w:val="0000FF"/>
                      <w:szCs w:val="21"/>
                      <w:highlight w:val="none"/>
                    </w:rPr>
                  </w:pPr>
                </w:p>
              </w:tc>
              <w:tc>
                <w:tcPr>
                  <w:tcW w:w="766" w:type="pct"/>
                  <w:shd w:val="clear" w:color="auto" w:fill="auto"/>
                  <w:vAlign w:val="center"/>
                </w:tcPr>
                <w:p w14:paraId="0FDD596A">
                  <w:pPr>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color w:val="0000FF"/>
                      <w:kern w:val="2"/>
                      <w:sz w:val="21"/>
                      <w:szCs w:val="21"/>
                      <w:lang w:val="en-US" w:eastAsia="zh-CN" w:bidi="ar-SA"/>
                    </w:rPr>
                  </w:pPr>
                  <w:r>
                    <w:rPr>
                      <w:rFonts w:hint="default" w:ascii="Times New Roman" w:hAnsi="Times New Roman" w:eastAsia="宋体" w:cs="Times New Roman"/>
                      <w:color w:val="0000FF"/>
                      <w:szCs w:val="21"/>
                    </w:rPr>
                    <w:t>TF1400-5-25000</w:t>
                  </w:r>
                </w:p>
              </w:tc>
              <w:tc>
                <w:tcPr>
                  <w:tcW w:w="483" w:type="pct"/>
                  <w:shd w:val="clear" w:color="auto" w:fill="auto"/>
                  <w:vAlign w:val="center"/>
                </w:tcPr>
                <w:p w14:paraId="3F1ECB82">
                  <w:pPr>
                    <w:keepNext w:val="0"/>
                    <w:keepLines w:val="0"/>
                    <w:suppressLineNumbers w:val="0"/>
                    <w:spacing w:before="0" w:beforeAutospacing="0" w:after="0" w:afterAutospacing="0"/>
                    <w:ind w:left="0" w:leftChars="0" w:right="0" w:rightChars="0"/>
                    <w:jc w:val="center"/>
                    <w:rPr>
                      <w:rFonts w:hint="eastAsia" w:ascii="Times New Roman" w:hAnsi="Times New Roman" w:eastAsia="宋体" w:cs="Times New Roman"/>
                      <w:color w:val="0000FF"/>
                      <w:kern w:val="2"/>
                      <w:sz w:val="21"/>
                      <w:szCs w:val="21"/>
                      <w:lang w:val="en-US" w:eastAsia="zh-CN" w:bidi="ar-SA"/>
                    </w:rPr>
                  </w:pPr>
                  <w:r>
                    <w:rPr>
                      <w:rFonts w:hint="default" w:ascii="Times New Roman" w:hAnsi="Times New Roman" w:eastAsia="宋体" w:cs="Times New Roman"/>
                      <w:color w:val="0000FF"/>
                      <w:szCs w:val="21"/>
                    </w:rPr>
                    <w:t>11</w:t>
                  </w:r>
                </w:p>
              </w:tc>
              <w:tc>
                <w:tcPr>
                  <w:tcW w:w="417" w:type="pct"/>
                  <w:shd w:val="clear" w:color="auto" w:fill="auto"/>
                  <w:vAlign w:val="center"/>
                </w:tcPr>
                <w:p w14:paraId="46AB0DA2">
                  <w:pPr>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color w:val="0000FF"/>
                      <w:kern w:val="2"/>
                      <w:sz w:val="21"/>
                      <w:szCs w:val="21"/>
                      <w:lang w:val="en-US" w:eastAsia="zh-CN" w:bidi="ar-SA"/>
                    </w:rPr>
                  </w:pPr>
                  <w:r>
                    <w:rPr>
                      <w:rFonts w:hint="default" w:ascii="Times New Roman" w:hAnsi="Times New Roman" w:eastAsia="宋体" w:cs="Times New Roman"/>
                      <w:color w:val="0000FF"/>
                      <w:szCs w:val="21"/>
                    </w:rPr>
                    <w:t>0</w:t>
                  </w:r>
                </w:p>
              </w:tc>
              <w:tc>
                <w:tcPr>
                  <w:tcW w:w="592" w:type="pct"/>
                  <w:shd w:val="clear" w:color="auto" w:fill="auto"/>
                  <w:vAlign w:val="center"/>
                </w:tcPr>
                <w:p w14:paraId="00019EDC">
                  <w:pPr>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color w:val="0000FF"/>
                      <w:kern w:val="2"/>
                      <w:sz w:val="21"/>
                      <w:szCs w:val="21"/>
                      <w:lang w:val="en-US" w:eastAsia="zh-CN" w:bidi="ar-SA"/>
                    </w:rPr>
                  </w:pPr>
                  <w:r>
                    <w:rPr>
                      <w:rFonts w:hint="default" w:ascii="Times New Roman" w:hAnsi="Times New Roman" w:eastAsia="宋体" w:cs="Times New Roman"/>
                      <w:color w:val="0000FF"/>
                      <w:szCs w:val="21"/>
                    </w:rPr>
                    <w:t>0</w:t>
                  </w:r>
                </w:p>
              </w:tc>
              <w:tc>
                <w:tcPr>
                  <w:tcW w:w="537" w:type="pct"/>
                  <w:shd w:val="clear" w:color="auto" w:fill="auto"/>
                  <w:vAlign w:val="center"/>
                </w:tcPr>
                <w:p w14:paraId="0CED5190">
                  <w:pPr>
                    <w:keepNext w:val="0"/>
                    <w:keepLines w:val="0"/>
                    <w:suppressLineNumbers w:val="0"/>
                    <w:spacing w:before="0" w:beforeAutospacing="0" w:after="0" w:afterAutospacing="0"/>
                    <w:ind w:left="0" w:leftChars="0" w:right="0" w:rightChars="0"/>
                    <w:jc w:val="center"/>
                    <w:rPr>
                      <w:rFonts w:hint="eastAsia" w:ascii="Times New Roman" w:hAnsi="Times New Roman" w:eastAsia="宋体" w:cs="Times New Roman"/>
                      <w:color w:val="0000FF"/>
                      <w:kern w:val="2"/>
                      <w:sz w:val="21"/>
                      <w:szCs w:val="21"/>
                      <w:lang w:val="en-US" w:eastAsia="zh-CN" w:bidi="ar-SA"/>
                    </w:rPr>
                  </w:pPr>
                  <w:r>
                    <w:rPr>
                      <w:rFonts w:hint="default" w:ascii="Times New Roman" w:hAnsi="Times New Roman" w:eastAsia="宋体" w:cs="Times New Roman"/>
                      <w:color w:val="0000FF"/>
                      <w:szCs w:val="21"/>
                    </w:rPr>
                    <w:t>-11</w:t>
                  </w:r>
                </w:p>
              </w:tc>
              <w:tc>
                <w:tcPr>
                  <w:tcW w:w="536" w:type="pct"/>
                  <w:gridSpan w:val="2"/>
                  <w:vMerge w:val="continue"/>
                  <w:vAlign w:val="center"/>
                </w:tcPr>
                <w:p w14:paraId="78B199D5">
                  <w:pPr>
                    <w:keepNext w:val="0"/>
                    <w:keepLines w:val="0"/>
                    <w:suppressLineNumbers w:val="0"/>
                    <w:spacing w:before="0" w:beforeAutospacing="0" w:after="0" w:afterAutospacing="0"/>
                    <w:ind w:left="0" w:right="0"/>
                    <w:jc w:val="center"/>
                    <w:rPr>
                      <w:rFonts w:hint="eastAsia" w:ascii="Times New Roman" w:hAnsi="Times New Roman" w:eastAsia="宋体" w:cs="Times New Roman"/>
                      <w:b w:val="0"/>
                      <w:bCs w:val="0"/>
                      <w:color w:val="0000FF"/>
                      <w:szCs w:val="21"/>
                      <w:highlight w:val="none"/>
                      <w:lang w:val="en-US" w:eastAsia="zh-CN"/>
                    </w:rPr>
                  </w:pPr>
                </w:p>
              </w:tc>
              <w:tc>
                <w:tcPr>
                  <w:tcW w:w="320" w:type="pct"/>
                  <w:shd w:val="clear" w:color="auto" w:fill="auto"/>
                  <w:vAlign w:val="center"/>
                </w:tcPr>
                <w:p w14:paraId="0CD7FDB8">
                  <w:pPr>
                    <w:keepNext w:val="0"/>
                    <w:keepLines w:val="0"/>
                    <w:suppressLineNumbers w:val="0"/>
                    <w:spacing w:before="0" w:beforeAutospacing="0" w:after="0" w:afterAutospacing="0" w:line="240" w:lineRule="auto"/>
                    <w:ind w:left="0" w:right="0"/>
                    <w:jc w:val="center"/>
                    <w:rPr>
                      <w:rFonts w:hint="default" w:ascii="Times New Roman" w:hAnsi="Times New Roman" w:eastAsia="宋体" w:cs="Times New Roman"/>
                      <w:b w:val="0"/>
                      <w:bCs w:val="0"/>
                      <w:color w:val="0000FF"/>
                      <w:kern w:val="2"/>
                      <w:sz w:val="21"/>
                      <w:szCs w:val="21"/>
                      <w:highlight w:val="none"/>
                      <w:lang w:val="en-US" w:eastAsia="zh-CN" w:bidi="ar-SA"/>
                    </w:rPr>
                  </w:pPr>
                  <w:r>
                    <w:rPr>
                      <w:rFonts w:hint="default" w:ascii="Times New Roman" w:hAnsi="Times New Roman" w:eastAsia="宋体" w:cs="Times New Roman"/>
                      <w:b w:val="0"/>
                      <w:bCs w:val="0"/>
                      <w:color w:val="0000FF"/>
                      <w:sz w:val="21"/>
                      <w:szCs w:val="21"/>
                      <w:highlight w:val="none"/>
                      <w:lang w:val="en-US" w:eastAsia="zh-CN"/>
                    </w:rPr>
                    <w:t>/</w:t>
                  </w:r>
                </w:p>
              </w:tc>
            </w:tr>
            <w:tr w14:paraId="48AE16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291" w:type="pct"/>
                  <w:shd w:val="clear" w:color="auto" w:fill="auto"/>
                  <w:vAlign w:val="center"/>
                </w:tcPr>
                <w:p w14:paraId="495829AE">
                  <w:pPr>
                    <w:keepNext w:val="0"/>
                    <w:keepLines w:val="0"/>
                    <w:suppressLineNumbers w:val="0"/>
                    <w:spacing w:before="0" w:beforeAutospacing="0" w:after="0" w:afterAutospacing="0"/>
                    <w:ind w:left="0" w:right="0"/>
                    <w:jc w:val="center"/>
                    <w:rPr>
                      <w:rFonts w:hint="default" w:ascii="Times New Roman" w:hAnsi="Times New Roman" w:eastAsia="宋体" w:cs="Times New Roman"/>
                      <w:b w:val="0"/>
                      <w:bCs w:val="0"/>
                      <w:color w:val="0000FF"/>
                      <w:szCs w:val="21"/>
                      <w:highlight w:val="none"/>
                      <w:lang w:val="en-US" w:eastAsia="zh-CN"/>
                    </w:rPr>
                  </w:pPr>
                  <w:r>
                    <w:rPr>
                      <w:rFonts w:hint="eastAsia" w:ascii="Times New Roman" w:hAnsi="Times New Roman" w:eastAsia="宋体" w:cs="Times New Roman"/>
                      <w:b w:val="0"/>
                      <w:bCs w:val="0"/>
                      <w:color w:val="0000FF"/>
                      <w:szCs w:val="21"/>
                      <w:highlight w:val="none"/>
                      <w:lang w:val="en-US" w:eastAsia="zh-CN"/>
                    </w:rPr>
                    <w:t>28</w:t>
                  </w:r>
                </w:p>
              </w:tc>
              <w:tc>
                <w:tcPr>
                  <w:tcW w:w="394" w:type="pct"/>
                  <w:vMerge w:val="continue"/>
                  <w:vAlign w:val="center"/>
                </w:tcPr>
                <w:p w14:paraId="60114EC2">
                  <w:pPr>
                    <w:keepNext w:val="0"/>
                    <w:keepLines w:val="0"/>
                    <w:suppressLineNumbers w:val="0"/>
                    <w:spacing w:before="0" w:beforeAutospacing="0" w:after="0" w:afterAutospacing="0"/>
                    <w:ind w:left="0" w:right="0"/>
                    <w:jc w:val="center"/>
                    <w:rPr>
                      <w:rFonts w:hint="default" w:ascii="Times New Roman" w:hAnsi="Times New Roman" w:eastAsia="宋体" w:cs="Times New Roman"/>
                      <w:b w:val="0"/>
                      <w:bCs w:val="0"/>
                      <w:color w:val="0000FF"/>
                      <w:szCs w:val="21"/>
                      <w:highlight w:val="none"/>
                    </w:rPr>
                  </w:pPr>
                </w:p>
              </w:tc>
              <w:tc>
                <w:tcPr>
                  <w:tcW w:w="660" w:type="pct"/>
                  <w:vMerge w:val="continue"/>
                  <w:vAlign w:val="center"/>
                </w:tcPr>
                <w:p w14:paraId="233FB751">
                  <w:pPr>
                    <w:keepNext w:val="0"/>
                    <w:keepLines w:val="0"/>
                    <w:suppressLineNumbers w:val="0"/>
                    <w:spacing w:before="0" w:beforeAutospacing="0" w:after="0" w:afterAutospacing="0"/>
                    <w:ind w:left="0" w:right="0"/>
                    <w:jc w:val="center"/>
                    <w:rPr>
                      <w:rFonts w:hint="default" w:ascii="Times New Roman" w:hAnsi="Times New Roman" w:eastAsia="宋体" w:cs="Times New Roman"/>
                      <w:b w:val="0"/>
                      <w:bCs w:val="0"/>
                      <w:color w:val="0000FF"/>
                      <w:szCs w:val="21"/>
                      <w:highlight w:val="none"/>
                    </w:rPr>
                  </w:pPr>
                </w:p>
              </w:tc>
              <w:tc>
                <w:tcPr>
                  <w:tcW w:w="766" w:type="pct"/>
                  <w:shd w:val="clear" w:color="auto" w:fill="auto"/>
                  <w:vAlign w:val="center"/>
                </w:tcPr>
                <w:p w14:paraId="088A77B2">
                  <w:pPr>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color w:val="0000FF"/>
                      <w:kern w:val="2"/>
                      <w:sz w:val="21"/>
                      <w:szCs w:val="21"/>
                      <w:lang w:val="en-US" w:eastAsia="zh-CN" w:bidi="ar-SA"/>
                    </w:rPr>
                  </w:pPr>
                  <w:r>
                    <w:rPr>
                      <w:rFonts w:hint="default" w:ascii="Times New Roman" w:hAnsi="Times New Roman" w:eastAsia="宋体" w:cs="Times New Roman"/>
                      <w:color w:val="0000FF"/>
                      <w:szCs w:val="21"/>
                    </w:rPr>
                    <w:t>TF1400-25000</w:t>
                  </w:r>
                </w:p>
              </w:tc>
              <w:tc>
                <w:tcPr>
                  <w:tcW w:w="483" w:type="pct"/>
                  <w:shd w:val="clear" w:color="auto" w:fill="auto"/>
                  <w:vAlign w:val="center"/>
                </w:tcPr>
                <w:p w14:paraId="300E05D8">
                  <w:pPr>
                    <w:keepNext w:val="0"/>
                    <w:keepLines w:val="0"/>
                    <w:suppressLineNumbers w:val="0"/>
                    <w:spacing w:before="0" w:beforeAutospacing="0" w:after="0" w:afterAutospacing="0"/>
                    <w:ind w:left="0" w:leftChars="0" w:right="0" w:rightChars="0"/>
                    <w:jc w:val="center"/>
                    <w:rPr>
                      <w:rFonts w:hint="eastAsia" w:ascii="Times New Roman" w:hAnsi="Times New Roman" w:eastAsia="宋体" w:cs="Times New Roman"/>
                      <w:color w:val="0000FF"/>
                      <w:kern w:val="2"/>
                      <w:sz w:val="21"/>
                      <w:szCs w:val="21"/>
                      <w:lang w:val="en-US" w:eastAsia="zh-CN" w:bidi="ar-SA"/>
                    </w:rPr>
                  </w:pPr>
                  <w:r>
                    <w:rPr>
                      <w:rFonts w:hint="default" w:ascii="Times New Roman" w:hAnsi="Times New Roman" w:eastAsia="宋体" w:cs="Times New Roman"/>
                      <w:color w:val="0000FF"/>
                      <w:szCs w:val="21"/>
                    </w:rPr>
                    <w:t>16</w:t>
                  </w:r>
                </w:p>
              </w:tc>
              <w:tc>
                <w:tcPr>
                  <w:tcW w:w="417" w:type="pct"/>
                  <w:shd w:val="clear" w:color="auto" w:fill="auto"/>
                  <w:vAlign w:val="center"/>
                </w:tcPr>
                <w:p w14:paraId="4FAC0E7F">
                  <w:pPr>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color w:val="0000FF"/>
                      <w:kern w:val="2"/>
                      <w:sz w:val="21"/>
                      <w:szCs w:val="21"/>
                      <w:lang w:val="en-US" w:eastAsia="zh-CN" w:bidi="ar-SA"/>
                    </w:rPr>
                  </w:pPr>
                  <w:r>
                    <w:rPr>
                      <w:rFonts w:hint="default" w:ascii="Times New Roman" w:hAnsi="Times New Roman" w:eastAsia="宋体" w:cs="Times New Roman"/>
                      <w:color w:val="0000FF"/>
                      <w:szCs w:val="21"/>
                    </w:rPr>
                    <w:t>0</w:t>
                  </w:r>
                </w:p>
              </w:tc>
              <w:tc>
                <w:tcPr>
                  <w:tcW w:w="592" w:type="pct"/>
                  <w:shd w:val="clear" w:color="auto" w:fill="auto"/>
                  <w:vAlign w:val="center"/>
                </w:tcPr>
                <w:p w14:paraId="4A9B1F9B">
                  <w:pPr>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color w:val="0000FF"/>
                      <w:kern w:val="2"/>
                      <w:sz w:val="21"/>
                      <w:szCs w:val="21"/>
                      <w:lang w:val="en-US" w:eastAsia="zh-CN" w:bidi="ar-SA"/>
                    </w:rPr>
                  </w:pPr>
                  <w:r>
                    <w:rPr>
                      <w:rFonts w:hint="default" w:ascii="Times New Roman" w:hAnsi="Times New Roman" w:eastAsia="宋体" w:cs="Times New Roman"/>
                      <w:color w:val="0000FF"/>
                      <w:szCs w:val="21"/>
                    </w:rPr>
                    <w:t>0</w:t>
                  </w:r>
                </w:p>
              </w:tc>
              <w:tc>
                <w:tcPr>
                  <w:tcW w:w="537" w:type="pct"/>
                  <w:shd w:val="clear" w:color="auto" w:fill="auto"/>
                  <w:vAlign w:val="center"/>
                </w:tcPr>
                <w:p w14:paraId="780BB3FD">
                  <w:pPr>
                    <w:keepNext w:val="0"/>
                    <w:keepLines w:val="0"/>
                    <w:suppressLineNumbers w:val="0"/>
                    <w:spacing w:before="0" w:beforeAutospacing="0" w:after="0" w:afterAutospacing="0"/>
                    <w:ind w:left="0" w:leftChars="0" w:right="0" w:rightChars="0"/>
                    <w:jc w:val="center"/>
                    <w:rPr>
                      <w:rFonts w:hint="eastAsia" w:ascii="Times New Roman" w:hAnsi="Times New Roman" w:eastAsia="宋体" w:cs="Times New Roman"/>
                      <w:color w:val="0000FF"/>
                      <w:kern w:val="2"/>
                      <w:sz w:val="21"/>
                      <w:szCs w:val="21"/>
                      <w:lang w:val="en-US" w:eastAsia="zh-CN" w:bidi="ar-SA"/>
                    </w:rPr>
                  </w:pPr>
                  <w:r>
                    <w:rPr>
                      <w:rFonts w:hint="default" w:ascii="Times New Roman" w:hAnsi="Times New Roman" w:eastAsia="宋体" w:cs="Times New Roman"/>
                      <w:color w:val="0000FF"/>
                      <w:szCs w:val="21"/>
                    </w:rPr>
                    <w:t>-16</w:t>
                  </w:r>
                </w:p>
              </w:tc>
              <w:tc>
                <w:tcPr>
                  <w:tcW w:w="536" w:type="pct"/>
                  <w:gridSpan w:val="2"/>
                  <w:vMerge w:val="continue"/>
                  <w:vAlign w:val="center"/>
                </w:tcPr>
                <w:p w14:paraId="6790FF82">
                  <w:pPr>
                    <w:keepNext w:val="0"/>
                    <w:keepLines w:val="0"/>
                    <w:suppressLineNumbers w:val="0"/>
                    <w:spacing w:before="0" w:beforeAutospacing="0" w:after="0" w:afterAutospacing="0"/>
                    <w:ind w:left="0" w:right="0"/>
                    <w:jc w:val="center"/>
                    <w:rPr>
                      <w:rFonts w:hint="eastAsia" w:ascii="Times New Roman" w:hAnsi="Times New Roman" w:eastAsia="宋体" w:cs="Times New Roman"/>
                      <w:b w:val="0"/>
                      <w:bCs w:val="0"/>
                      <w:color w:val="0000FF"/>
                      <w:szCs w:val="21"/>
                      <w:highlight w:val="none"/>
                      <w:lang w:val="en-US" w:eastAsia="zh-CN"/>
                    </w:rPr>
                  </w:pPr>
                </w:p>
              </w:tc>
              <w:tc>
                <w:tcPr>
                  <w:tcW w:w="320" w:type="pct"/>
                  <w:shd w:val="clear" w:color="auto" w:fill="auto"/>
                  <w:vAlign w:val="center"/>
                </w:tcPr>
                <w:p w14:paraId="028C726E">
                  <w:pPr>
                    <w:keepNext w:val="0"/>
                    <w:keepLines w:val="0"/>
                    <w:suppressLineNumbers w:val="0"/>
                    <w:spacing w:before="0" w:beforeAutospacing="0" w:after="0" w:afterAutospacing="0" w:line="240" w:lineRule="auto"/>
                    <w:ind w:left="0" w:right="0"/>
                    <w:jc w:val="center"/>
                    <w:rPr>
                      <w:rFonts w:hint="default" w:ascii="Times New Roman" w:hAnsi="Times New Roman" w:eastAsia="宋体" w:cs="Times New Roman"/>
                      <w:b w:val="0"/>
                      <w:bCs w:val="0"/>
                      <w:color w:val="0000FF"/>
                      <w:kern w:val="2"/>
                      <w:sz w:val="21"/>
                      <w:szCs w:val="21"/>
                      <w:highlight w:val="none"/>
                      <w:lang w:val="en-US" w:eastAsia="zh-CN" w:bidi="ar-SA"/>
                    </w:rPr>
                  </w:pPr>
                  <w:r>
                    <w:rPr>
                      <w:rFonts w:hint="default" w:ascii="Times New Roman" w:hAnsi="Times New Roman" w:eastAsia="宋体" w:cs="Times New Roman"/>
                      <w:b w:val="0"/>
                      <w:bCs w:val="0"/>
                      <w:color w:val="0000FF"/>
                      <w:sz w:val="21"/>
                      <w:szCs w:val="21"/>
                      <w:highlight w:val="none"/>
                      <w:lang w:val="en-US" w:eastAsia="zh-CN"/>
                    </w:rPr>
                    <w:t>/</w:t>
                  </w:r>
                </w:p>
              </w:tc>
            </w:tr>
            <w:tr w14:paraId="4C942D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291" w:type="pct"/>
                  <w:shd w:val="clear" w:color="auto" w:fill="auto"/>
                  <w:vAlign w:val="center"/>
                </w:tcPr>
                <w:p w14:paraId="302E951C">
                  <w:pPr>
                    <w:keepNext w:val="0"/>
                    <w:keepLines w:val="0"/>
                    <w:suppressLineNumbers w:val="0"/>
                    <w:spacing w:before="0" w:beforeAutospacing="0" w:after="0" w:afterAutospacing="0"/>
                    <w:ind w:left="0" w:right="0"/>
                    <w:jc w:val="center"/>
                    <w:rPr>
                      <w:rFonts w:hint="default" w:ascii="Times New Roman" w:hAnsi="Times New Roman" w:eastAsia="宋体" w:cs="Times New Roman"/>
                      <w:b w:val="0"/>
                      <w:bCs w:val="0"/>
                      <w:color w:val="0000FF"/>
                      <w:szCs w:val="21"/>
                      <w:highlight w:val="none"/>
                      <w:lang w:val="en-US" w:eastAsia="zh-CN"/>
                    </w:rPr>
                  </w:pPr>
                  <w:r>
                    <w:rPr>
                      <w:rFonts w:hint="eastAsia" w:ascii="Times New Roman" w:hAnsi="Times New Roman" w:eastAsia="宋体" w:cs="Times New Roman"/>
                      <w:b w:val="0"/>
                      <w:bCs w:val="0"/>
                      <w:color w:val="0000FF"/>
                      <w:szCs w:val="21"/>
                      <w:highlight w:val="none"/>
                      <w:lang w:val="en-US" w:eastAsia="zh-CN"/>
                    </w:rPr>
                    <w:t>29</w:t>
                  </w:r>
                </w:p>
              </w:tc>
              <w:tc>
                <w:tcPr>
                  <w:tcW w:w="394" w:type="pct"/>
                  <w:vMerge w:val="continue"/>
                  <w:vAlign w:val="center"/>
                </w:tcPr>
                <w:p w14:paraId="11BAA5D1">
                  <w:pPr>
                    <w:keepNext w:val="0"/>
                    <w:keepLines w:val="0"/>
                    <w:suppressLineNumbers w:val="0"/>
                    <w:spacing w:before="0" w:beforeAutospacing="0" w:after="0" w:afterAutospacing="0"/>
                    <w:ind w:left="0" w:right="0"/>
                    <w:jc w:val="center"/>
                    <w:rPr>
                      <w:rFonts w:hint="default" w:ascii="Times New Roman" w:hAnsi="Times New Roman" w:eastAsia="宋体" w:cs="Times New Roman"/>
                      <w:b w:val="0"/>
                      <w:bCs w:val="0"/>
                      <w:color w:val="0000FF"/>
                      <w:szCs w:val="21"/>
                      <w:highlight w:val="none"/>
                    </w:rPr>
                  </w:pPr>
                </w:p>
              </w:tc>
              <w:tc>
                <w:tcPr>
                  <w:tcW w:w="660" w:type="pct"/>
                  <w:vMerge w:val="continue"/>
                  <w:vAlign w:val="center"/>
                </w:tcPr>
                <w:p w14:paraId="0516DABF">
                  <w:pPr>
                    <w:keepNext w:val="0"/>
                    <w:keepLines w:val="0"/>
                    <w:suppressLineNumbers w:val="0"/>
                    <w:spacing w:before="0" w:beforeAutospacing="0" w:after="0" w:afterAutospacing="0"/>
                    <w:ind w:left="0" w:right="0"/>
                    <w:jc w:val="center"/>
                    <w:rPr>
                      <w:rFonts w:hint="default" w:ascii="Times New Roman" w:hAnsi="Times New Roman" w:eastAsia="宋体" w:cs="Times New Roman"/>
                      <w:b w:val="0"/>
                      <w:bCs w:val="0"/>
                      <w:color w:val="0000FF"/>
                      <w:szCs w:val="21"/>
                      <w:highlight w:val="none"/>
                    </w:rPr>
                  </w:pPr>
                </w:p>
              </w:tc>
              <w:tc>
                <w:tcPr>
                  <w:tcW w:w="766" w:type="pct"/>
                  <w:shd w:val="clear" w:color="auto" w:fill="auto"/>
                  <w:vAlign w:val="center"/>
                </w:tcPr>
                <w:p w14:paraId="63936AD0">
                  <w:pPr>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color w:val="0000FF"/>
                      <w:kern w:val="2"/>
                      <w:sz w:val="21"/>
                      <w:szCs w:val="21"/>
                      <w:lang w:val="en-US" w:eastAsia="zh-CN" w:bidi="ar-SA"/>
                    </w:rPr>
                  </w:pPr>
                  <w:r>
                    <w:rPr>
                      <w:rFonts w:hint="default" w:ascii="Times New Roman" w:hAnsi="Times New Roman" w:eastAsia="宋体" w:cs="Times New Roman"/>
                      <w:color w:val="0000FF"/>
                      <w:szCs w:val="21"/>
                    </w:rPr>
                    <w:t>750-E</w:t>
                  </w:r>
                </w:p>
              </w:tc>
              <w:tc>
                <w:tcPr>
                  <w:tcW w:w="483" w:type="pct"/>
                  <w:shd w:val="clear" w:color="auto" w:fill="auto"/>
                  <w:vAlign w:val="center"/>
                </w:tcPr>
                <w:p w14:paraId="6CDE07E5">
                  <w:pPr>
                    <w:keepNext w:val="0"/>
                    <w:keepLines w:val="0"/>
                    <w:suppressLineNumbers w:val="0"/>
                    <w:spacing w:before="0" w:beforeAutospacing="0" w:after="0" w:afterAutospacing="0"/>
                    <w:ind w:left="0" w:leftChars="0" w:right="0" w:rightChars="0"/>
                    <w:jc w:val="center"/>
                    <w:rPr>
                      <w:rFonts w:hint="eastAsia" w:ascii="Times New Roman" w:hAnsi="Times New Roman" w:eastAsia="宋体" w:cs="Times New Roman"/>
                      <w:color w:val="0000FF"/>
                      <w:kern w:val="2"/>
                      <w:sz w:val="21"/>
                      <w:szCs w:val="21"/>
                      <w:lang w:val="en-US" w:eastAsia="zh-CN" w:bidi="ar-SA"/>
                    </w:rPr>
                  </w:pPr>
                  <w:r>
                    <w:rPr>
                      <w:rFonts w:hint="default" w:ascii="Times New Roman" w:hAnsi="Times New Roman" w:eastAsia="宋体" w:cs="Times New Roman"/>
                      <w:color w:val="0000FF"/>
                      <w:szCs w:val="21"/>
                    </w:rPr>
                    <w:t>2</w:t>
                  </w:r>
                </w:p>
              </w:tc>
              <w:tc>
                <w:tcPr>
                  <w:tcW w:w="417" w:type="pct"/>
                  <w:shd w:val="clear" w:color="auto" w:fill="auto"/>
                  <w:vAlign w:val="center"/>
                </w:tcPr>
                <w:p w14:paraId="7A33EF31">
                  <w:pPr>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color w:val="0000FF"/>
                      <w:kern w:val="2"/>
                      <w:sz w:val="21"/>
                      <w:szCs w:val="21"/>
                      <w:lang w:val="en-US" w:eastAsia="zh-CN" w:bidi="ar-SA"/>
                    </w:rPr>
                  </w:pPr>
                  <w:r>
                    <w:rPr>
                      <w:rFonts w:hint="default" w:ascii="Times New Roman" w:hAnsi="Times New Roman" w:eastAsia="宋体" w:cs="Times New Roman"/>
                      <w:color w:val="0000FF"/>
                      <w:szCs w:val="21"/>
                    </w:rPr>
                    <w:t>0</w:t>
                  </w:r>
                </w:p>
              </w:tc>
              <w:tc>
                <w:tcPr>
                  <w:tcW w:w="592" w:type="pct"/>
                  <w:shd w:val="clear" w:color="auto" w:fill="auto"/>
                  <w:vAlign w:val="center"/>
                </w:tcPr>
                <w:p w14:paraId="12451CCD">
                  <w:pPr>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color w:val="0000FF"/>
                      <w:kern w:val="2"/>
                      <w:sz w:val="21"/>
                      <w:szCs w:val="21"/>
                      <w:lang w:val="en-US" w:eastAsia="zh-CN" w:bidi="ar-SA"/>
                    </w:rPr>
                  </w:pPr>
                  <w:r>
                    <w:rPr>
                      <w:rFonts w:hint="default" w:ascii="Times New Roman" w:hAnsi="Times New Roman" w:eastAsia="宋体" w:cs="Times New Roman"/>
                      <w:color w:val="0000FF"/>
                      <w:szCs w:val="21"/>
                    </w:rPr>
                    <w:t>0</w:t>
                  </w:r>
                </w:p>
              </w:tc>
              <w:tc>
                <w:tcPr>
                  <w:tcW w:w="537" w:type="pct"/>
                  <w:shd w:val="clear" w:color="auto" w:fill="auto"/>
                  <w:vAlign w:val="center"/>
                </w:tcPr>
                <w:p w14:paraId="73585430">
                  <w:pPr>
                    <w:keepNext w:val="0"/>
                    <w:keepLines w:val="0"/>
                    <w:suppressLineNumbers w:val="0"/>
                    <w:spacing w:before="0" w:beforeAutospacing="0" w:after="0" w:afterAutospacing="0"/>
                    <w:ind w:left="0" w:leftChars="0" w:right="0" w:rightChars="0"/>
                    <w:jc w:val="center"/>
                    <w:rPr>
                      <w:rFonts w:hint="eastAsia" w:ascii="Times New Roman" w:hAnsi="Times New Roman" w:eastAsia="宋体" w:cs="Times New Roman"/>
                      <w:color w:val="0000FF"/>
                      <w:kern w:val="2"/>
                      <w:sz w:val="21"/>
                      <w:szCs w:val="21"/>
                      <w:lang w:val="en-US" w:eastAsia="zh-CN" w:bidi="ar-SA"/>
                    </w:rPr>
                  </w:pPr>
                  <w:r>
                    <w:rPr>
                      <w:rFonts w:hint="default" w:ascii="Times New Roman" w:hAnsi="Times New Roman" w:eastAsia="宋体" w:cs="Times New Roman"/>
                      <w:color w:val="0000FF"/>
                      <w:szCs w:val="21"/>
                    </w:rPr>
                    <w:t>-2</w:t>
                  </w:r>
                </w:p>
              </w:tc>
              <w:tc>
                <w:tcPr>
                  <w:tcW w:w="536" w:type="pct"/>
                  <w:gridSpan w:val="2"/>
                  <w:vMerge w:val="continue"/>
                  <w:vAlign w:val="center"/>
                </w:tcPr>
                <w:p w14:paraId="7FCEC23C">
                  <w:pPr>
                    <w:keepNext w:val="0"/>
                    <w:keepLines w:val="0"/>
                    <w:suppressLineNumbers w:val="0"/>
                    <w:spacing w:before="0" w:beforeAutospacing="0" w:after="0" w:afterAutospacing="0"/>
                    <w:ind w:left="0" w:right="0"/>
                    <w:jc w:val="center"/>
                    <w:rPr>
                      <w:rFonts w:hint="eastAsia" w:ascii="Times New Roman" w:hAnsi="Times New Roman" w:eastAsia="宋体" w:cs="Times New Roman"/>
                      <w:b w:val="0"/>
                      <w:bCs w:val="0"/>
                      <w:color w:val="0000FF"/>
                      <w:szCs w:val="21"/>
                      <w:highlight w:val="none"/>
                      <w:lang w:val="en-US" w:eastAsia="zh-CN"/>
                    </w:rPr>
                  </w:pPr>
                </w:p>
              </w:tc>
              <w:tc>
                <w:tcPr>
                  <w:tcW w:w="320" w:type="pct"/>
                  <w:shd w:val="clear" w:color="auto" w:fill="auto"/>
                  <w:vAlign w:val="center"/>
                </w:tcPr>
                <w:p w14:paraId="5B6A060D">
                  <w:pPr>
                    <w:keepNext w:val="0"/>
                    <w:keepLines w:val="0"/>
                    <w:suppressLineNumbers w:val="0"/>
                    <w:spacing w:before="0" w:beforeAutospacing="0" w:after="0" w:afterAutospacing="0" w:line="240" w:lineRule="auto"/>
                    <w:ind w:left="0" w:right="0"/>
                    <w:jc w:val="center"/>
                    <w:rPr>
                      <w:rFonts w:hint="default" w:ascii="Times New Roman" w:hAnsi="Times New Roman" w:eastAsia="宋体" w:cs="Times New Roman"/>
                      <w:b w:val="0"/>
                      <w:bCs w:val="0"/>
                      <w:color w:val="0000FF"/>
                      <w:kern w:val="2"/>
                      <w:sz w:val="21"/>
                      <w:szCs w:val="21"/>
                      <w:highlight w:val="none"/>
                      <w:lang w:val="en-US" w:eastAsia="zh-CN" w:bidi="ar-SA"/>
                    </w:rPr>
                  </w:pPr>
                  <w:r>
                    <w:rPr>
                      <w:rFonts w:hint="default" w:ascii="Times New Roman" w:hAnsi="Times New Roman" w:eastAsia="宋体" w:cs="Times New Roman"/>
                      <w:b w:val="0"/>
                      <w:bCs w:val="0"/>
                      <w:color w:val="0000FF"/>
                      <w:sz w:val="21"/>
                      <w:szCs w:val="21"/>
                      <w:highlight w:val="none"/>
                      <w:lang w:val="en-US" w:eastAsia="zh-CN"/>
                    </w:rPr>
                    <w:t>/</w:t>
                  </w:r>
                </w:p>
              </w:tc>
            </w:tr>
            <w:tr w14:paraId="747C82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291" w:type="pct"/>
                  <w:shd w:val="clear" w:color="auto" w:fill="auto"/>
                  <w:vAlign w:val="center"/>
                </w:tcPr>
                <w:p w14:paraId="40951EF4">
                  <w:pPr>
                    <w:keepNext w:val="0"/>
                    <w:keepLines w:val="0"/>
                    <w:suppressLineNumbers w:val="0"/>
                    <w:spacing w:before="0" w:beforeAutospacing="0" w:after="0" w:afterAutospacing="0"/>
                    <w:ind w:left="0" w:right="0"/>
                    <w:jc w:val="center"/>
                    <w:rPr>
                      <w:rFonts w:hint="default" w:ascii="Times New Roman" w:hAnsi="Times New Roman" w:eastAsia="宋体" w:cs="Times New Roman"/>
                      <w:b w:val="0"/>
                      <w:bCs w:val="0"/>
                      <w:color w:val="0000FF"/>
                      <w:szCs w:val="21"/>
                      <w:highlight w:val="none"/>
                      <w:lang w:val="en-US" w:eastAsia="zh-CN"/>
                    </w:rPr>
                  </w:pPr>
                  <w:r>
                    <w:rPr>
                      <w:rFonts w:hint="eastAsia" w:ascii="Times New Roman" w:hAnsi="Times New Roman" w:eastAsia="宋体" w:cs="Times New Roman"/>
                      <w:b w:val="0"/>
                      <w:bCs w:val="0"/>
                      <w:color w:val="0000FF"/>
                      <w:szCs w:val="21"/>
                      <w:highlight w:val="none"/>
                      <w:lang w:val="en-US" w:eastAsia="zh-CN"/>
                    </w:rPr>
                    <w:t>30</w:t>
                  </w:r>
                </w:p>
              </w:tc>
              <w:tc>
                <w:tcPr>
                  <w:tcW w:w="394" w:type="pct"/>
                  <w:vMerge w:val="continue"/>
                  <w:vAlign w:val="center"/>
                </w:tcPr>
                <w:p w14:paraId="4C7FF4DE">
                  <w:pPr>
                    <w:keepNext w:val="0"/>
                    <w:keepLines w:val="0"/>
                    <w:suppressLineNumbers w:val="0"/>
                    <w:spacing w:before="0" w:beforeAutospacing="0" w:after="0" w:afterAutospacing="0"/>
                    <w:ind w:left="0" w:right="0"/>
                    <w:jc w:val="center"/>
                    <w:rPr>
                      <w:rFonts w:hint="default" w:ascii="Times New Roman" w:hAnsi="Times New Roman" w:eastAsia="宋体" w:cs="Times New Roman"/>
                      <w:b w:val="0"/>
                      <w:bCs w:val="0"/>
                      <w:color w:val="0000FF"/>
                      <w:szCs w:val="21"/>
                      <w:highlight w:val="none"/>
                    </w:rPr>
                  </w:pPr>
                </w:p>
              </w:tc>
              <w:tc>
                <w:tcPr>
                  <w:tcW w:w="660" w:type="pct"/>
                  <w:vMerge w:val="continue"/>
                  <w:vAlign w:val="center"/>
                </w:tcPr>
                <w:p w14:paraId="59D9EC6F">
                  <w:pPr>
                    <w:keepNext w:val="0"/>
                    <w:keepLines w:val="0"/>
                    <w:suppressLineNumbers w:val="0"/>
                    <w:spacing w:before="0" w:beforeAutospacing="0" w:after="0" w:afterAutospacing="0"/>
                    <w:ind w:left="0" w:right="0"/>
                    <w:jc w:val="center"/>
                    <w:rPr>
                      <w:rFonts w:hint="default" w:ascii="Times New Roman" w:hAnsi="Times New Roman" w:eastAsia="宋体" w:cs="Times New Roman"/>
                      <w:b w:val="0"/>
                      <w:bCs w:val="0"/>
                      <w:color w:val="0000FF"/>
                      <w:szCs w:val="21"/>
                      <w:highlight w:val="none"/>
                    </w:rPr>
                  </w:pPr>
                </w:p>
              </w:tc>
              <w:tc>
                <w:tcPr>
                  <w:tcW w:w="766" w:type="pct"/>
                  <w:shd w:val="clear" w:color="auto" w:fill="auto"/>
                  <w:vAlign w:val="center"/>
                </w:tcPr>
                <w:p w14:paraId="7403DD39">
                  <w:pPr>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color w:val="0000FF"/>
                      <w:kern w:val="2"/>
                      <w:sz w:val="21"/>
                      <w:szCs w:val="21"/>
                      <w:lang w:val="en-US" w:eastAsia="zh-CN" w:bidi="ar-SA"/>
                    </w:rPr>
                  </w:pPr>
                  <w:r>
                    <w:rPr>
                      <w:rFonts w:hint="default" w:ascii="Times New Roman" w:hAnsi="Times New Roman" w:eastAsia="宋体" w:cs="Times New Roman"/>
                      <w:color w:val="0000FF"/>
                      <w:szCs w:val="21"/>
                    </w:rPr>
                    <w:t>1200-E</w:t>
                  </w:r>
                </w:p>
              </w:tc>
              <w:tc>
                <w:tcPr>
                  <w:tcW w:w="483" w:type="pct"/>
                  <w:shd w:val="clear" w:color="auto" w:fill="auto"/>
                  <w:vAlign w:val="center"/>
                </w:tcPr>
                <w:p w14:paraId="13914B01">
                  <w:pPr>
                    <w:keepNext w:val="0"/>
                    <w:keepLines w:val="0"/>
                    <w:suppressLineNumbers w:val="0"/>
                    <w:spacing w:before="0" w:beforeAutospacing="0" w:after="0" w:afterAutospacing="0"/>
                    <w:ind w:left="0" w:leftChars="0" w:right="0" w:rightChars="0"/>
                    <w:jc w:val="center"/>
                    <w:rPr>
                      <w:rFonts w:hint="eastAsia" w:ascii="Times New Roman" w:hAnsi="Times New Roman" w:eastAsia="宋体" w:cs="Times New Roman"/>
                      <w:color w:val="0000FF"/>
                      <w:kern w:val="2"/>
                      <w:sz w:val="21"/>
                      <w:szCs w:val="21"/>
                      <w:lang w:val="en-US" w:eastAsia="zh-CN" w:bidi="ar-SA"/>
                    </w:rPr>
                  </w:pPr>
                  <w:r>
                    <w:rPr>
                      <w:rFonts w:hint="default" w:ascii="Times New Roman" w:hAnsi="Times New Roman" w:eastAsia="宋体" w:cs="Times New Roman"/>
                      <w:color w:val="0000FF"/>
                      <w:szCs w:val="21"/>
                    </w:rPr>
                    <w:t>5</w:t>
                  </w:r>
                </w:p>
              </w:tc>
              <w:tc>
                <w:tcPr>
                  <w:tcW w:w="417" w:type="pct"/>
                  <w:shd w:val="clear" w:color="auto" w:fill="auto"/>
                  <w:vAlign w:val="center"/>
                </w:tcPr>
                <w:p w14:paraId="160F022E">
                  <w:pPr>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color w:val="0000FF"/>
                      <w:kern w:val="2"/>
                      <w:sz w:val="21"/>
                      <w:szCs w:val="21"/>
                      <w:lang w:val="en-US" w:eastAsia="zh-CN" w:bidi="ar-SA"/>
                    </w:rPr>
                  </w:pPr>
                  <w:r>
                    <w:rPr>
                      <w:rFonts w:hint="default" w:ascii="Times New Roman" w:hAnsi="Times New Roman" w:eastAsia="宋体" w:cs="Times New Roman"/>
                      <w:color w:val="0000FF"/>
                      <w:szCs w:val="21"/>
                    </w:rPr>
                    <w:t>0</w:t>
                  </w:r>
                </w:p>
              </w:tc>
              <w:tc>
                <w:tcPr>
                  <w:tcW w:w="592" w:type="pct"/>
                  <w:shd w:val="clear" w:color="auto" w:fill="auto"/>
                  <w:vAlign w:val="center"/>
                </w:tcPr>
                <w:p w14:paraId="6057CA9B">
                  <w:pPr>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color w:val="0000FF"/>
                      <w:kern w:val="2"/>
                      <w:sz w:val="21"/>
                      <w:szCs w:val="21"/>
                      <w:lang w:val="en-US" w:eastAsia="zh-CN" w:bidi="ar-SA"/>
                    </w:rPr>
                  </w:pPr>
                  <w:r>
                    <w:rPr>
                      <w:rFonts w:hint="default" w:ascii="Times New Roman" w:hAnsi="Times New Roman" w:eastAsia="宋体" w:cs="Times New Roman"/>
                      <w:color w:val="0000FF"/>
                      <w:szCs w:val="21"/>
                    </w:rPr>
                    <w:t>0</w:t>
                  </w:r>
                </w:p>
              </w:tc>
              <w:tc>
                <w:tcPr>
                  <w:tcW w:w="537" w:type="pct"/>
                  <w:shd w:val="clear" w:color="auto" w:fill="auto"/>
                  <w:vAlign w:val="center"/>
                </w:tcPr>
                <w:p w14:paraId="6A6E8628">
                  <w:pPr>
                    <w:keepNext w:val="0"/>
                    <w:keepLines w:val="0"/>
                    <w:suppressLineNumbers w:val="0"/>
                    <w:spacing w:before="0" w:beforeAutospacing="0" w:after="0" w:afterAutospacing="0"/>
                    <w:ind w:left="0" w:leftChars="0" w:right="0" w:rightChars="0"/>
                    <w:jc w:val="center"/>
                    <w:rPr>
                      <w:rFonts w:hint="eastAsia" w:ascii="Times New Roman" w:hAnsi="Times New Roman" w:eastAsia="宋体" w:cs="Times New Roman"/>
                      <w:color w:val="0000FF"/>
                      <w:kern w:val="2"/>
                      <w:sz w:val="21"/>
                      <w:szCs w:val="21"/>
                      <w:lang w:val="en-US" w:eastAsia="zh-CN" w:bidi="ar-SA"/>
                    </w:rPr>
                  </w:pPr>
                  <w:r>
                    <w:rPr>
                      <w:rFonts w:hint="default" w:ascii="Times New Roman" w:hAnsi="Times New Roman" w:eastAsia="宋体" w:cs="Times New Roman"/>
                      <w:color w:val="0000FF"/>
                      <w:szCs w:val="21"/>
                    </w:rPr>
                    <w:t>-5</w:t>
                  </w:r>
                </w:p>
              </w:tc>
              <w:tc>
                <w:tcPr>
                  <w:tcW w:w="536" w:type="pct"/>
                  <w:gridSpan w:val="2"/>
                  <w:vMerge w:val="continue"/>
                  <w:vAlign w:val="center"/>
                </w:tcPr>
                <w:p w14:paraId="0F54542A">
                  <w:pPr>
                    <w:keepNext w:val="0"/>
                    <w:keepLines w:val="0"/>
                    <w:suppressLineNumbers w:val="0"/>
                    <w:spacing w:before="0" w:beforeAutospacing="0" w:after="0" w:afterAutospacing="0"/>
                    <w:ind w:left="0" w:right="0"/>
                    <w:jc w:val="center"/>
                    <w:rPr>
                      <w:rFonts w:hint="eastAsia" w:ascii="Times New Roman" w:hAnsi="Times New Roman" w:eastAsia="宋体" w:cs="Times New Roman"/>
                      <w:b w:val="0"/>
                      <w:bCs w:val="0"/>
                      <w:color w:val="0000FF"/>
                      <w:szCs w:val="21"/>
                      <w:highlight w:val="none"/>
                      <w:lang w:val="en-US" w:eastAsia="zh-CN"/>
                    </w:rPr>
                  </w:pPr>
                </w:p>
              </w:tc>
              <w:tc>
                <w:tcPr>
                  <w:tcW w:w="320" w:type="pct"/>
                  <w:shd w:val="clear" w:color="auto" w:fill="auto"/>
                  <w:vAlign w:val="center"/>
                </w:tcPr>
                <w:p w14:paraId="3BC1E6C7">
                  <w:pPr>
                    <w:keepNext w:val="0"/>
                    <w:keepLines w:val="0"/>
                    <w:suppressLineNumbers w:val="0"/>
                    <w:spacing w:before="0" w:beforeAutospacing="0" w:after="0" w:afterAutospacing="0" w:line="240" w:lineRule="auto"/>
                    <w:ind w:left="0" w:right="0"/>
                    <w:jc w:val="center"/>
                    <w:rPr>
                      <w:rFonts w:hint="default" w:ascii="Times New Roman" w:hAnsi="Times New Roman" w:eastAsia="宋体" w:cs="Times New Roman"/>
                      <w:b w:val="0"/>
                      <w:bCs w:val="0"/>
                      <w:color w:val="0000FF"/>
                      <w:kern w:val="2"/>
                      <w:sz w:val="21"/>
                      <w:szCs w:val="21"/>
                      <w:highlight w:val="none"/>
                      <w:lang w:val="en-US" w:eastAsia="zh-CN" w:bidi="ar-SA"/>
                    </w:rPr>
                  </w:pPr>
                  <w:r>
                    <w:rPr>
                      <w:rFonts w:hint="default" w:ascii="Times New Roman" w:hAnsi="Times New Roman" w:eastAsia="宋体" w:cs="Times New Roman"/>
                      <w:b w:val="0"/>
                      <w:bCs w:val="0"/>
                      <w:color w:val="0000FF"/>
                      <w:sz w:val="21"/>
                      <w:szCs w:val="21"/>
                      <w:highlight w:val="none"/>
                      <w:lang w:val="en-US" w:eastAsia="zh-CN"/>
                    </w:rPr>
                    <w:t>/</w:t>
                  </w:r>
                </w:p>
              </w:tc>
            </w:tr>
            <w:tr w14:paraId="0F0D89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291" w:type="pct"/>
                  <w:shd w:val="clear" w:color="auto" w:fill="auto"/>
                  <w:vAlign w:val="center"/>
                </w:tcPr>
                <w:p w14:paraId="52F18C46">
                  <w:pPr>
                    <w:keepNext w:val="0"/>
                    <w:keepLines w:val="0"/>
                    <w:suppressLineNumbers w:val="0"/>
                    <w:spacing w:before="0" w:beforeAutospacing="0" w:after="0" w:afterAutospacing="0"/>
                    <w:ind w:left="0" w:right="0"/>
                    <w:jc w:val="center"/>
                    <w:rPr>
                      <w:rFonts w:hint="default" w:ascii="Times New Roman" w:hAnsi="Times New Roman" w:eastAsia="宋体" w:cs="Times New Roman"/>
                      <w:b w:val="0"/>
                      <w:bCs w:val="0"/>
                      <w:color w:val="0000FF"/>
                      <w:szCs w:val="21"/>
                      <w:highlight w:val="none"/>
                      <w:lang w:val="en-US" w:eastAsia="zh-CN"/>
                    </w:rPr>
                  </w:pPr>
                  <w:r>
                    <w:rPr>
                      <w:rFonts w:hint="eastAsia" w:ascii="Times New Roman" w:hAnsi="Times New Roman" w:eastAsia="宋体" w:cs="Times New Roman"/>
                      <w:b w:val="0"/>
                      <w:bCs w:val="0"/>
                      <w:color w:val="0000FF"/>
                      <w:szCs w:val="21"/>
                      <w:highlight w:val="none"/>
                      <w:lang w:val="en-US" w:eastAsia="zh-CN"/>
                    </w:rPr>
                    <w:t>31</w:t>
                  </w:r>
                </w:p>
              </w:tc>
              <w:tc>
                <w:tcPr>
                  <w:tcW w:w="394" w:type="pct"/>
                  <w:vMerge w:val="continue"/>
                  <w:vAlign w:val="center"/>
                </w:tcPr>
                <w:p w14:paraId="08570ABC">
                  <w:pPr>
                    <w:keepNext w:val="0"/>
                    <w:keepLines w:val="0"/>
                    <w:suppressLineNumbers w:val="0"/>
                    <w:spacing w:before="0" w:beforeAutospacing="0" w:after="0" w:afterAutospacing="0"/>
                    <w:ind w:left="0" w:right="0"/>
                    <w:jc w:val="center"/>
                    <w:rPr>
                      <w:rFonts w:hint="default" w:ascii="Times New Roman" w:hAnsi="Times New Roman" w:eastAsia="宋体" w:cs="Times New Roman"/>
                      <w:b w:val="0"/>
                      <w:bCs w:val="0"/>
                      <w:color w:val="0000FF"/>
                      <w:szCs w:val="21"/>
                      <w:highlight w:val="none"/>
                    </w:rPr>
                  </w:pPr>
                </w:p>
              </w:tc>
              <w:tc>
                <w:tcPr>
                  <w:tcW w:w="660" w:type="pct"/>
                  <w:vMerge w:val="continue"/>
                  <w:vAlign w:val="center"/>
                </w:tcPr>
                <w:p w14:paraId="17F99D24">
                  <w:pPr>
                    <w:keepNext w:val="0"/>
                    <w:keepLines w:val="0"/>
                    <w:suppressLineNumbers w:val="0"/>
                    <w:spacing w:before="0" w:beforeAutospacing="0" w:after="0" w:afterAutospacing="0"/>
                    <w:ind w:left="0" w:right="0"/>
                    <w:jc w:val="center"/>
                    <w:rPr>
                      <w:rFonts w:hint="default" w:ascii="Times New Roman" w:hAnsi="Times New Roman" w:eastAsia="宋体" w:cs="Times New Roman"/>
                      <w:b w:val="0"/>
                      <w:bCs w:val="0"/>
                      <w:color w:val="0000FF"/>
                      <w:szCs w:val="21"/>
                      <w:highlight w:val="none"/>
                    </w:rPr>
                  </w:pPr>
                </w:p>
              </w:tc>
              <w:tc>
                <w:tcPr>
                  <w:tcW w:w="766" w:type="pct"/>
                  <w:shd w:val="clear" w:color="auto" w:fill="auto"/>
                  <w:vAlign w:val="center"/>
                </w:tcPr>
                <w:p w14:paraId="2295DB3E">
                  <w:pPr>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color w:val="0000FF"/>
                      <w:kern w:val="2"/>
                      <w:sz w:val="21"/>
                      <w:szCs w:val="21"/>
                      <w:lang w:val="en-US" w:eastAsia="zh-CN" w:bidi="ar-SA"/>
                    </w:rPr>
                  </w:pPr>
                  <w:r>
                    <w:rPr>
                      <w:rFonts w:hint="default" w:ascii="Times New Roman" w:hAnsi="Times New Roman" w:eastAsia="宋体" w:cs="Times New Roman"/>
                      <w:color w:val="0000FF"/>
                      <w:szCs w:val="21"/>
                    </w:rPr>
                    <w:t>1600-E</w:t>
                  </w:r>
                </w:p>
              </w:tc>
              <w:tc>
                <w:tcPr>
                  <w:tcW w:w="483" w:type="pct"/>
                  <w:shd w:val="clear" w:color="auto" w:fill="auto"/>
                  <w:vAlign w:val="center"/>
                </w:tcPr>
                <w:p w14:paraId="1B751F80">
                  <w:pPr>
                    <w:keepNext w:val="0"/>
                    <w:keepLines w:val="0"/>
                    <w:suppressLineNumbers w:val="0"/>
                    <w:spacing w:before="0" w:beforeAutospacing="0" w:after="0" w:afterAutospacing="0"/>
                    <w:ind w:left="0" w:leftChars="0" w:right="0" w:rightChars="0"/>
                    <w:jc w:val="center"/>
                    <w:rPr>
                      <w:rFonts w:hint="eastAsia" w:ascii="Times New Roman" w:hAnsi="Times New Roman" w:eastAsia="宋体" w:cs="Times New Roman"/>
                      <w:color w:val="0000FF"/>
                      <w:kern w:val="2"/>
                      <w:sz w:val="21"/>
                      <w:szCs w:val="21"/>
                      <w:lang w:val="en-US" w:eastAsia="zh-CN" w:bidi="ar-SA"/>
                    </w:rPr>
                  </w:pPr>
                  <w:r>
                    <w:rPr>
                      <w:rFonts w:hint="default" w:ascii="Times New Roman" w:hAnsi="Times New Roman" w:eastAsia="宋体" w:cs="Times New Roman"/>
                      <w:color w:val="0000FF"/>
                      <w:szCs w:val="21"/>
                    </w:rPr>
                    <w:t>1</w:t>
                  </w:r>
                </w:p>
              </w:tc>
              <w:tc>
                <w:tcPr>
                  <w:tcW w:w="417" w:type="pct"/>
                  <w:shd w:val="clear" w:color="auto" w:fill="auto"/>
                  <w:vAlign w:val="center"/>
                </w:tcPr>
                <w:p w14:paraId="436CF758">
                  <w:pPr>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color w:val="0000FF"/>
                      <w:kern w:val="2"/>
                      <w:sz w:val="21"/>
                      <w:szCs w:val="21"/>
                      <w:lang w:val="en-US" w:eastAsia="zh-CN" w:bidi="ar-SA"/>
                    </w:rPr>
                  </w:pPr>
                  <w:r>
                    <w:rPr>
                      <w:rFonts w:hint="default" w:ascii="Times New Roman" w:hAnsi="Times New Roman" w:eastAsia="宋体" w:cs="Times New Roman"/>
                      <w:color w:val="0000FF"/>
                      <w:szCs w:val="21"/>
                    </w:rPr>
                    <w:t>0</w:t>
                  </w:r>
                </w:p>
              </w:tc>
              <w:tc>
                <w:tcPr>
                  <w:tcW w:w="592" w:type="pct"/>
                  <w:shd w:val="clear" w:color="auto" w:fill="auto"/>
                  <w:vAlign w:val="center"/>
                </w:tcPr>
                <w:p w14:paraId="1C66802D">
                  <w:pPr>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color w:val="0000FF"/>
                      <w:kern w:val="2"/>
                      <w:sz w:val="21"/>
                      <w:szCs w:val="21"/>
                      <w:lang w:val="en-US" w:eastAsia="zh-CN" w:bidi="ar-SA"/>
                    </w:rPr>
                  </w:pPr>
                  <w:r>
                    <w:rPr>
                      <w:rFonts w:hint="default" w:ascii="Times New Roman" w:hAnsi="Times New Roman" w:eastAsia="宋体" w:cs="Times New Roman"/>
                      <w:color w:val="0000FF"/>
                      <w:szCs w:val="21"/>
                    </w:rPr>
                    <w:t>0</w:t>
                  </w:r>
                </w:p>
              </w:tc>
              <w:tc>
                <w:tcPr>
                  <w:tcW w:w="537" w:type="pct"/>
                  <w:shd w:val="clear" w:color="auto" w:fill="auto"/>
                  <w:vAlign w:val="center"/>
                </w:tcPr>
                <w:p w14:paraId="523CC952">
                  <w:pPr>
                    <w:keepNext w:val="0"/>
                    <w:keepLines w:val="0"/>
                    <w:suppressLineNumbers w:val="0"/>
                    <w:spacing w:before="0" w:beforeAutospacing="0" w:after="0" w:afterAutospacing="0"/>
                    <w:ind w:left="0" w:leftChars="0" w:right="0" w:rightChars="0"/>
                    <w:jc w:val="center"/>
                    <w:rPr>
                      <w:rFonts w:hint="eastAsia" w:ascii="Times New Roman" w:hAnsi="Times New Roman" w:eastAsia="宋体" w:cs="Times New Roman"/>
                      <w:color w:val="0000FF"/>
                      <w:kern w:val="2"/>
                      <w:sz w:val="21"/>
                      <w:szCs w:val="21"/>
                      <w:lang w:val="en-US" w:eastAsia="zh-CN" w:bidi="ar-SA"/>
                    </w:rPr>
                  </w:pPr>
                  <w:r>
                    <w:rPr>
                      <w:rFonts w:hint="default" w:ascii="Times New Roman" w:hAnsi="Times New Roman" w:eastAsia="宋体" w:cs="Times New Roman"/>
                      <w:color w:val="0000FF"/>
                      <w:szCs w:val="21"/>
                    </w:rPr>
                    <w:t>-1</w:t>
                  </w:r>
                </w:p>
              </w:tc>
              <w:tc>
                <w:tcPr>
                  <w:tcW w:w="536" w:type="pct"/>
                  <w:gridSpan w:val="2"/>
                  <w:vMerge w:val="continue"/>
                  <w:vAlign w:val="center"/>
                </w:tcPr>
                <w:p w14:paraId="451D40D2">
                  <w:pPr>
                    <w:keepNext w:val="0"/>
                    <w:keepLines w:val="0"/>
                    <w:suppressLineNumbers w:val="0"/>
                    <w:spacing w:before="0" w:beforeAutospacing="0" w:after="0" w:afterAutospacing="0"/>
                    <w:ind w:left="0" w:right="0"/>
                    <w:jc w:val="center"/>
                    <w:rPr>
                      <w:rFonts w:hint="eastAsia" w:ascii="Times New Roman" w:hAnsi="Times New Roman" w:eastAsia="宋体" w:cs="Times New Roman"/>
                      <w:b w:val="0"/>
                      <w:bCs w:val="0"/>
                      <w:color w:val="0000FF"/>
                      <w:szCs w:val="21"/>
                      <w:highlight w:val="none"/>
                      <w:lang w:val="en-US" w:eastAsia="zh-CN"/>
                    </w:rPr>
                  </w:pPr>
                </w:p>
              </w:tc>
              <w:tc>
                <w:tcPr>
                  <w:tcW w:w="320" w:type="pct"/>
                  <w:shd w:val="clear" w:color="auto" w:fill="auto"/>
                  <w:vAlign w:val="center"/>
                </w:tcPr>
                <w:p w14:paraId="4F79D7F5">
                  <w:pPr>
                    <w:keepNext w:val="0"/>
                    <w:keepLines w:val="0"/>
                    <w:suppressLineNumbers w:val="0"/>
                    <w:spacing w:before="0" w:beforeAutospacing="0" w:after="0" w:afterAutospacing="0" w:line="240" w:lineRule="auto"/>
                    <w:ind w:left="0" w:right="0"/>
                    <w:jc w:val="center"/>
                    <w:rPr>
                      <w:rFonts w:hint="default" w:ascii="Times New Roman" w:hAnsi="Times New Roman" w:eastAsia="宋体" w:cs="Times New Roman"/>
                      <w:b w:val="0"/>
                      <w:bCs w:val="0"/>
                      <w:color w:val="0000FF"/>
                      <w:kern w:val="2"/>
                      <w:sz w:val="21"/>
                      <w:szCs w:val="21"/>
                      <w:highlight w:val="none"/>
                      <w:lang w:val="en-US" w:eastAsia="zh-CN" w:bidi="ar-SA"/>
                    </w:rPr>
                  </w:pPr>
                  <w:r>
                    <w:rPr>
                      <w:rFonts w:hint="default" w:ascii="Times New Roman" w:hAnsi="Times New Roman" w:eastAsia="宋体" w:cs="Times New Roman"/>
                      <w:b w:val="0"/>
                      <w:bCs w:val="0"/>
                      <w:color w:val="0000FF"/>
                      <w:sz w:val="21"/>
                      <w:szCs w:val="21"/>
                      <w:highlight w:val="none"/>
                      <w:lang w:val="en-US" w:eastAsia="zh-CN"/>
                    </w:rPr>
                    <w:t>/</w:t>
                  </w:r>
                </w:p>
              </w:tc>
            </w:tr>
            <w:tr w14:paraId="33493F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291" w:type="pct"/>
                  <w:shd w:val="clear" w:color="auto" w:fill="auto"/>
                  <w:vAlign w:val="center"/>
                </w:tcPr>
                <w:p w14:paraId="279E749D">
                  <w:pPr>
                    <w:keepNext w:val="0"/>
                    <w:keepLines w:val="0"/>
                    <w:suppressLineNumbers w:val="0"/>
                    <w:spacing w:before="0" w:beforeAutospacing="0" w:after="0" w:afterAutospacing="0"/>
                    <w:ind w:left="0" w:right="0"/>
                    <w:jc w:val="center"/>
                    <w:rPr>
                      <w:rFonts w:hint="default" w:ascii="Times New Roman" w:hAnsi="Times New Roman" w:eastAsia="宋体" w:cs="Times New Roman"/>
                      <w:b w:val="0"/>
                      <w:bCs w:val="0"/>
                      <w:color w:val="0000FF"/>
                      <w:szCs w:val="21"/>
                      <w:highlight w:val="none"/>
                      <w:lang w:val="en-US" w:eastAsia="zh-CN"/>
                    </w:rPr>
                  </w:pPr>
                  <w:r>
                    <w:rPr>
                      <w:rFonts w:hint="eastAsia" w:ascii="Times New Roman" w:hAnsi="Times New Roman" w:eastAsia="宋体" w:cs="Times New Roman"/>
                      <w:b w:val="0"/>
                      <w:bCs w:val="0"/>
                      <w:color w:val="0000FF"/>
                      <w:szCs w:val="21"/>
                      <w:highlight w:val="none"/>
                      <w:lang w:val="en-US" w:eastAsia="zh-CN"/>
                    </w:rPr>
                    <w:t>32</w:t>
                  </w:r>
                </w:p>
              </w:tc>
              <w:tc>
                <w:tcPr>
                  <w:tcW w:w="394" w:type="pct"/>
                  <w:vMerge w:val="continue"/>
                  <w:vAlign w:val="center"/>
                </w:tcPr>
                <w:p w14:paraId="5C37BE5C">
                  <w:pPr>
                    <w:keepNext w:val="0"/>
                    <w:keepLines w:val="0"/>
                    <w:suppressLineNumbers w:val="0"/>
                    <w:spacing w:before="0" w:beforeAutospacing="0" w:after="0" w:afterAutospacing="0"/>
                    <w:ind w:left="0" w:right="0"/>
                    <w:jc w:val="center"/>
                    <w:rPr>
                      <w:rFonts w:hint="default" w:ascii="Times New Roman" w:hAnsi="Times New Roman" w:eastAsia="宋体" w:cs="Times New Roman"/>
                      <w:b w:val="0"/>
                      <w:bCs w:val="0"/>
                      <w:color w:val="0000FF"/>
                      <w:szCs w:val="21"/>
                      <w:highlight w:val="none"/>
                    </w:rPr>
                  </w:pPr>
                </w:p>
              </w:tc>
              <w:tc>
                <w:tcPr>
                  <w:tcW w:w="660" w:type="pct"/>
                  <w:vMerge w:val="continue"/>
                  <w:vAlign w:val="center"/>
                </w:tcPr>
                <w:p w14:paraId="72C6163D">
                  <w:pPr>
                    <w:keepNext w:val="0"/>
                    <w:keepLines w:val="0"/>
                    <w:suppressLineNumbers w:val="0"/>
                    <w:spacing w:before="0" w:beforeAutospacing="0" w:after="0" w:afterAutospacing="0"/>
                    <w:ind w:left="0" w:right="0"/>
                    <w:jc w:val="center"/>
                    <w:rPr>
                      <w:rFonts w:hint="default" w:ascii="Times New Roman" w:hAnsi="Times New Roman" w:eastAsia="宋体" w:cs="Times New Roman"/>
                      <w:b w:val="0"/>
                      <w:bCs w:val="0"/>
                      <w:color w:val="0000FF"/>
                      <w:szCs w:val="21"/>
                      <w:highlight w:val="none"/>
                    </w:rPr>
                  </w:pPr>
                </w:p>
              </w:tc>
              <w:tc>
                <w:tcPr>
                  <w:tcW w:w="766" w:type="pct"/>
                  <w:shd w:val="clear" w:color="auto" w:fill="auto"/>
                  <w:vAlign w:val="center"/>
                </w:tcPr>
                <w:p w14:paraId="7AB8E6A1">
                  <w:pPr>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color w:val="0000FF"/>
                      <w:kern w:val="2"/>
                      <w:sz w:val="21"/>
                      <w:szCs w:val="21"/>
                      <w:lang w:val="en-US" w:eastAsia="zh-CN" w:bidi="ar-SA"/>
                    </w:rPr>
                  </w:pPr>
                  <w:r>
                    <w:rPr>
                      <w:rFonts w:hint="default" w:ascii="Times New Roman" w:hAnsi="Times New Roman" w:eastAsia="宋体" w:cs="Times New Roman"/>
                      <w:color w:val="0000FF"/>
                      <w:szCs w:val="21"/>
                    </w:rPr>
                    <w:t>1400-3-25000</w:t>
                  </w:r>
                </w:p>
              </w:tc>
              <w:tc>
                <w:tcPr>
                  <w:tcW w:w="483" w:type="pct"/>
                  <w:shd w:val="clear" w:color="auto" w:fill="auto"/>
                  <w:vAlign w:val="center"/>
                </w:tcPr>
                <w:p w14:paraId="42FAFE72">
                  <w:pPr>
                    <w:keepNext w:val="0"/>
                    <w:keepLines w:val="0"/>
                    <w:suppressLineNumbers w:val="0"/>
                    <w:spacing w:before="0" w:beforeAutospacing="0" w:after="0" w:afterAutospacing="0"/>
                    <w:ind w:left="0" w:leftChars="0" w:right="0" w:rightChars="0"/>
                    <w:jc w:val="center"/>
                    <w:rPr>
                      <w:rFonts w:hint="eastAsia" w:ascii="Times New Roman" w:hAnsi="Times New Roman" w:eastAsia="宋体" w:cs="Times New Roman"/>
                      <w:color w:val="0000FF"/>
                      <w:kern w:val="2"/>
                      <w:sz w:val="21"/>
                      <w:szCs w:val="21"/>
                      <w:lang w:val="en-US" w:eastAsia="zh-CN" w:bidi="ar-SA"/>
                    </w:rPr>
                  </w:pPr>
                  <w:r>
                    <w:rPr>
                      <w:rFonts w:hint="default" w:ascii="Times New Roman" w:hAnsi="Times New Roman" w:eastAsia="宋体" w:cs="Times New Roman"/>
                      <w:color w:val="0000FF"/>
                      <w:szCs w:val="21"/>
                    </w:rPr>
                    <w:t>8</w:t>
                  </w:r>
                </w:p>
              </w:tc>
              <w:tc>
                <w:tcPr>
                  <w:tcW w:w="417" w:type="pct"/>
                  <w:shd w:val="clear" w:color="auto" w:fill="auto"/>
                  <w:vAlign w:val="center"/>
                </w:tcPr>
                <w:p w14:paraId="4929D0CF">
                  <w:pPr>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color w:val="0000FF"/>
                      <w:kern w:val="2"/>
                      <w:sz w:val="21"/>
                      <w:szCs w:val="21"/>
                      <w:lang w:val="en-US" w:eastAsia="zh-CN" w:bidi="ar-SA"/>
                    </w:rPr>
                  </w:pPr>
                  <w:r>
                    <w:rPr>
                      <w:rFonts w:hint="default" w:ascii="Times New Roman" w:hAnsi="Times New Roman" w:eastAsia="宋体" w:cs="Times New Roman"/>
                      <w:color w:val="0000FF"/>
                      <w:szCs w:val="21"/>
                    </w:rPr>
                    <w:t>0</w:t>
                  </w:r>
                </w:p>
              </w:tc>
              <w:tc>
                <w:tcPr>
                  <w:tcW w:w="592" w:type="pct"/>
                  <w:shd w:val="clear" w:color="auto" w:fill="auto"/>
                  <w:vAlign w:val="center"/>
                </w:tcPr>
                <w:p w14:paraId="181EB759">
                  <w:pPr>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color w:val="0000FF"/>
                      <w:kern w:val="2"/>
                      <w:sz w:val="21"/>
                      <w:szCs w:val="21"/>
                      <w:lang w:val="en-US" w:eastAsia="zh-CN" w:bidi="ar-SA"/>
                    </w:rPr>
                  </w:pPr>
                  <w:r>
                    <w:rPr>
                      <w:rFonts w:hint="default" w:ascii="Times New Roman" w:hAnsi="Times New Roman" w:eastAsia="宋体" w:cs="Times New Roman"/>
                      <w:color w:val="0000FF"/>
                      <w:szCs w:val="21"/>
                    </w:rPr>
                    <w:t>0</w:t>
                  </w:r>
                </w:p>
              </w:tc>
              <w:tc>
                <w:tcPr>
                  <w:tcW w:w="537" w:type="pct"/>
                  <w:shd w:val="clear" w:color="auto" w:fill="auto"/>
                  <w:vAlign w:val="center"/>
                </w:tcPr>
                <w:p w14:paraId="1CB71D5D">
                  <w:pPr>
                    <w:keepNext w:val="0"/>
                    <w:keepLines w:val="0"/>
                    <w:suppressLineNumbers w:val="0"/>
                    <w:spacing w:before="0" w:beforeAutospacing="0" w:after="0" w:afterAutospacing="0"/>
                    <w:ind w:left="0" w:leftChars="0" w:right="0" w:rightChars="0"/>
                    <w:jc w:val="center"/>
                    <w:rPr>
                      <w:rFonts w:hint="eastAsia" w:ascii="Times New Roman" w:hAnsi="Times New Roman" w:eastAsia="宋体" w:cs="Times New Roman"/>
                      <w:color w:val="0000FF"/>
                      <w:kern w:val="2"/>
                      <w:sz w:val="21"/>
                      <w:szCs w:val="21"/>
                      <w:lang w:val="en-US" w:eastAsia="zh-CN" w:bidi="ar-SA"/>
                    </w:rPr>
                  </w:pPr>
                  <w:r>
                    <w:rPr>
                      <w:rFonts w:hint="default" w:ascii="Times New Roman" w:hAnsi="Times New Roman" w:eastAsia="宋体" w:cs="Times New Roman"/>
                      <w:color w:val="0000FF"/>
                      <w:szCs w:val="21"/>
                    </w:rPr>
                    <w:t>-8</w:t>
                  </w:r>
                </w:p>
              </w:tc>
              <w:tc>
                <w:tcPr>
                  <w:tcW w:w="536" w:type="pct"/>
                  <w:gridSpan w:val="2"/>
                  <w:vMerge w:val="continue"/>
                  <w:vAlign w:val="center"/>
                </w:tcPr>
                <w:p w14:paraId="0CB990AA">
                  <w:pPr>
                    <w:keepNext w:val="0"/>
                    <w:keepLines w:val="0"/>
                    <w:suppressLineNumbers w:val="0"/>
                    <w:spacing w:before="0" w:beforeAutospacing="0" w:after="0" w:afterAutospacing="0"/>
                    <w:ind w:left="0" w:right="0"/>
                    <w:jc w:val="center"/>
                    <w:rPr>
                      <w:rFonts w:hint="eastAsia" w:ascii="Times New Roman" w:hAnsi="Times New Roman" w:eastAsia="宋体" w:cs="Times New Roman"/>
                      <w:b w:val="0"/>
                      <w:bCs w:val="0"/>
                      <w:color w:val="0000FF"/>
                      <w:szCs w:val="21"/>
                      <w:highlight w:val="none"/>
                      <w:lang w:val="en-US" w:eastAsia="zh-CN"/>
                    </w:rPr>
                  </w:pPr>
                </w:p>
              </w:tc>
              <w:tc>
                <w:tcPr>
                  <w:tcW w:w="320" w:type="pct"/>
                  <w:shd w:val="clear" w:color="auto" w:fill="auto"/>
                  <w:vAlign w:val="center"/>
                </w:tcPr>
                <w:p w14:paraId="68AFD2AC">
                  <w:pPr>
                    <w:keepNext w:val="0"/>
                    <w:keepLines w:val="0"/>
                    <w:suppressLineNumbers w:val="0"/>
                    <w:spacing w:before="0" w:beforeAutospacing="0" w:after="0" w:afterAutospacing="0" w:line="240" w:lineRule="auto"/>
                    <w:ind w:left="0" w:right="0"/>
                    <w:jc w:val="center"/>
                    <w:rPr>
                      <w:rFonts w:hint="default" w:ascii="Times New Roman" w:hAnsi="Times New Roman" w:eastAsia="宋体" w:cs="Times New Roman"/>
                      <w:b w:val="0"/>
                      <w:bCs w:val="0"/>
                      <w:color w:val="0000FF"/>
                      <w:kern w:val="2"/>
                      <w:sz w:val="21"/>
                      <w:szCs w:val="21"/>
                      <w:highlight w:val="none"/>
                      <w:lang w:val="en-US" w:eastAsia="zh-CN" w:bidi="ar-SA"/>
                    </w:rPr>
                  </w:pPr>
                  <w:r>
                    <w:rPr>
                      <w:rFonts w:hint="default" w:ascii="Times New Roman" w:hAnsi="Times New Roman" w:eastAsia="宋体" w:cs="Times New Roman"/>
                      <w:b w:val="0"/>
                      <w:bCs w:val="0"/>
                      <w:color w:val="0000FF"/>
                      <w:sz w:val="21"/>
                      <w:szCs w:val="21"/>
                      <w:highlight w:val="none"/>
                      <w:lang w:val="en-US" w:eastAsia="zh-CN"/>
                    </w:rPr>
                    <w:t>/</w:t>
                  </w:r>
                </w:p>
              </w:tc>
            </w:tr>
            <w:tr w14:paraId="3065FB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291" w:type="pct"/>
                  <w:shd w:val="clear" w:color="auto" w:fill="auto"/>
                  <w:vAlign w:val="center"/>
                </w:tcPr>
                <w:p w14:paraId="6C801FA6">
                  <w:pPr>
                    <w:keepNext w:val="0"/>
                    <w:keepLines w:val="0"/>
                    <w:suppressLineNumbers w:val="0"/>
                    <w:spacing w:before="0" w:beforeAutospacing="0" w:after="0" w:afterAutospacing="0"/>
                    <w:ind w:left="0" w:right="0"/>
                    <w:jc w:val="center"/>
                    <w:rPr>
                      <w:rFonts w:hint="default" w:ascii="Times New Roman" w:hAnsi="Times New Roman" w:eastAsia="宋体" w:cs="Times New Roman"/>
                      <w:b w:val="0"/>
                      <w:bCs w:val="0"/>
                      <w:color w:val="0000FF"/>
                      <w:szCs w:val="21"/>
                      <w:highlight w:val="none"/>
                      <w:lang w:val="en-US" w:eastAsia="zh-CN"/>
                    </w:rPr>
                  </w:pPr>
                  <w:r>
                    <w:rPr>
                      <w:rFonts w:hint="eastAsia" w:ascii="Times New Roman" w:hAnsi="Times New Roman" w:eastAsia="宋体" w:cs="Times New Roman"/>
                      <w:b w:val="0"/>
                      <w:bCs w:val="0"/>
                      <w:color w:val="0000FF"/>
                      <w:szCs w:val="21"/>
                      <w:highlight w:val="none"/>
                      <w:lang w:val="en-US" w:eastAsia="zh-CN"/>
                    </w:rPr>
                    <w:t>33</w:t>
                  </w:r>
                </w:p>
              </w:tc>
              <w:tc>
                <w:tcPr>
                  <w:tcW w:w="394" w:type="pct"/>
                  <w:vMerge w:val="continue"/>
                  <w:vAlign w:val="center"/>
                </w:tcPr>
                <w:p w14:paraId="4CDB71D9">
                  <w:pPr>
                    <w:keepNext w:val="0"/>
                    <w:keepLines w:val="0"/>
                    <w:suppressLineNumbers w:val="0"/>
                    <w:spacing w:before="0" w:beforeAutospacing="0" w:after="0" w:afterAutospacing="0"/>
                    <w:ind w:left="0" w:right="0"/>
                    <w:jc w:val="center"/>
                    <w:rPr>
                      <w:rFonts w:hint="default" w:ascii="Times New Roman" w:hAnsi="Times New Roman" w:eastAsia="宋体" w:cs="Times New Roman"/>
                      <w:b w:val="0"/>
                      <w:bCs w:val="0"/>
                      <w:color w:val="0000FF"/>
                      <w:szCs w:val="21"/>
                      <w:highlight w:val="none"/>
                    </w:rPr>
                  </w:pPr>
                </w:p>
              </w:tc>
              <w:tc>
                <w:tcPr>
                  <w:tcW w:w="660" w:type="pct"/>
                  <w:vMerge w:val="continue"/>
                  <w:vAlign w:val="center"/>
                </w:tcPr>
                <w:p w14:paraId="482CC301">
                  <w:pPr>
                    <w:keepNext w:val="0"/>
                    <w:keepLines w:val="0"/>
                    <w:suppressLineNumbers w:val="0"/>
                    <w:spacing w:before="0" w:beforeAutospacing="0" w:after="0" w:afterAutospacing="0"/>
                    <w:ind w:left="0" w:right="0"/>
                    <w:jc w:val="center"/>
                    <w:rPr>
                      <w:rFonts w:hint="default" w:ascii="Times New Roman" w:hAnsi="Times New Roman" w:eastAsia="宋体" w:cs="Times New Roman"/>
                      <w:b w:val="0"/>
                      <w:bCs w:val="0"/>
                      <w:color w:val="0000FF"/>
                      <w:szCs w:val="21"/>
                      <w:highlight w:val="none"/>
                    </w:rPr>
                  </w:pPr>
                </w:p>
              </w:tc>
              <w:tc>
                <w:tcPr>
                  <w:tcW w:w="766" w:type="pct"/>
                  <w:shd w:val="clear" w:color="auto" w:fill="auto"/>
                  <w:vAlign w:val="center"/>
                </w:tcPr>
                <w:p w14:paraId="0ED82511">
                  <w:pPr>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color w:val="0000FF"/>
                      <w:kern w:val="2"/>
                      <w:sz w:val="21"/>
                      <w:szCs w:val="21"/>
                      <w:lang w:val="en-US" w:eastAsia="zh-CN" w:bidi="ar-SA"/>
                    </w:rPr>
                  </w:pPr>
                  <w:r>
                    <w:rPr>
                      <w:rFonts w:hint="default" w:ascii="Times New Roman" w:hAnsi="Times New Roman" w:eastAsia="宋体" w:cs="Times New Roman"/>
                      <w:color w:val="0000FF"/>
                      <w:szCs w:val="21"/>
                    </w:rPr>
                    <w:t>DKX16000-E型</w:t>
                  </w:r>
                </w:p>
              </w:tc>
              <w:tc>
                <w:tcPr>
                  <w:tcW w:w="483" w:type="pct"/>
                  <w:shd w:val="clear" w:color="auto" w:fill="auto"/>
                  <w:vAlign w:val="center"/>
                </w:tcPr>
                <w:p w14:paraId="55A966A2">
                  <w:pPr>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color w:val="0000FF"/>
                      <w:kern w:val="2"/>
                      <w:sz w:val="21"/>
                      <w:szCs w:val="21"/>
                      <w:lang w:val="en-US" w:eastAsia="zh-CN" w:bidi="ar-SA"/>
                    </w:rPr>
                  </w:pPr>
                  <w:r>
                    <w:rPr>
                      <w:rFonts w:hint="default" w:ascii="Times New Roman" w:hAnsi="Times New Roman" w:eastAsia="宋体" w:cs="Times New Roman"/>
                      <w:color w:val="0000FF"/>
                      <w:szCs w:val="21"/>
                    </w:rPr>
                    <w:t>/</w:t>
                  </w:r>
                </w:p>
              </w:tc>
              <w:tc>
                <w:tcPr>
                  <w:tcW w:w="417" w:type="pct"/>
                  <w:shd w:val="clear" w:color="auto" w:fill="auto"/>
                  <w:vAlign w:val="center"/>
                </w:tcPr>
                <w:p w14:paraId="74DE5F1E">
                  <w:pPr>
                    <w:keepNext w:val="0"/>
                    <w:keepLines w:val="0"/>
                    <w:suppressLineNumbers w:val="0"/>
                    <w:spacing w:before="0" w:beforeAutospacing="0" w:after="0" w:afterAutospacing="0"/>
                    <w:ind w:left="0" w:leftChars="0" w:right="0" w:rightChars="0"/>
                    <w:jc w:val="center"/>
                    <w:rPr>
                      <w:rFonts w:hint="eastAsia" w:ascii="Times New Roman" w:hAnsi="Times New Roman" w:eastAsia="宋体" w:cs="Times New Roman"/>
                      <w:color w:val="0000FF"/>
                      <w:kern w:val="2"/>
                      <w:sz w:val="21"/>
                      <w:szCs w:val="21"/>
                      <w:lang w:val="en-US" w:eastAsia="zh-CN" w:bidi="ar-SA"/>
                    </w:rPr>
                  </w:pPr>
                  <w:r>
                    <w:rPr>
                      <w:rFonts w:hint="default" w:ascii="Times New Roman" w:hAnsi="Times New Roman" w:eastAsia="宋体" w:cs="Times New Roman"/>
                      <w:color w:val="0000FF"/>
                      <w:szCs w:val="21"/>
                    </w:rPr>
                    <w:t>1</w:t>
                  </w:r>
                </w:p>
              </w:tc>
              <w:tc>
                <w:tcPr>
                  <w:tcW w:w="592" w:type="pct"/>
                  <w:shd w:val="clear" w:color="auto" w:fill="auto"/>
                  <w:vAlign w:val="center"/>
                </w:tcPr>
                <w:p w14:paraId="1267B0D8">
                  <w:pPr>
                    <w:keepNext w:val="0"/>
                    <w:keepLines w:val="0"/>
                    <w:suppressLineNumbers w:val="0"/>
                    <w:spacing w:before="0" w:beforeAutospacing="0" w:after="0" w:afterAutospacing="0"/>
                    <w:ind w:left="0" w:leftChars="0" w:right="0" w:rightChars="0"/>
                    <w:jc w:val="center"/>
                    <w:rPr>
                      <w:rFonts w:hint="eastAsia" w:ascii="Times New Roman" w:hAnsi="Times New Roman" w:eastAsia="宋体" w:cs="Times New Roman"/>
                      <w:color w:val="0000FF"/>
                      <w:kern w:val="2"/>
                      <w:sz w:val="21"/>
                      <w:szCs w:val="21"/>
                      <w:lang w:val="en-US" w:eastAsia="zh-CN" w:bidi="ar-SA"/>
                    </w:rPr>
                  </w:pPr>
                  <w:r>
                    <w:rPr>
                      <w:rFonts w:hint="default" w:ascii="Times New Roman" w:hAnsi="Times New Roman" w:eastAsia="宋体" w:cs="Times New Roman"/>
                      <w:color w:val="0000FF"/>
                      <w:szCs w:val="21"/>
                    </w:rPr>
                    <w:t>1</w:t>
                  </w:r>
                </w:p>
              </w:tc>
              <w:tc>
                <w:tcPr>
                  <w:tcW w:w="537" w:type="pct"/>
                  <w:shd w:val="clear" w:color="auto" w:fill="auto"/>
                  <w:vAlign w:val="center"/>
                </w:tcPr>
                <w:p w14:paraId="3F4B6457">
                  <w:pPr>
                    <w:keepNext w:val="0"/>
                    <w:keepLines w:val="0"/>
                    <w:suppressLineNumbers w:val="0"/>
                    <w:spacing w:before="0" w:beforeAutospacing="0" w:after="0" w:afterAutospacing="0"/>
                    <w:ind w:left="0" w:leftChars="0" w:right="0" w:rightChars="0"/>
                    <w:jc w:val="center"/>
                    <w:rPr>
                      <w:rFonts w:hint="eastAsia" w:ascii="Times New Roman" w:hAnsi="Times New Roman" w:eastAsia="宋体" w:cs="Times New Roman"/>
                      <w:color w:val="0000FF"/>
                      <w:kern w:val="2"/>
                      <w:sz w:val="21"/>
                      <w:szCs w:val="21"/>
                      <w:lang w:val="en-US" w:eastAsia="zh-CN" w:bidi="ar-SA"/>
                    </w:rPr>
                  </w:pPr>
                  <w:r>
                    <w:rPr>
                      <w:rFonts w:hint="default" w:ascii="Times New Roman" w:hAnsi="Times New Roman" w:eastAsia="宋体" w:cs="Times New Roman"/>
                      <w:color w:val="0000FF"/>
                      <w:szCs w:val="21"/>
                    </w:rPr>
                    <w:t>+1</w:t>
                  </w:r>
                </w:p>
              </w:tc>
              <w:tc>
                <w:tcPr>
                  <w:tcW w:w="536" w:type="pct"/>
                  <w:gridSpan w:val="2"/>
                  <w:vMerge w:val="continue"/>
                  <w:vAlign w:val="center"/>
                </w:tcPr>
                <w:p w14:paraId="1A4B448A">
                  <w:pPr>
                    <w:keepNext w:val="0"/>
                    <w:keepLines w:val="0"/>
                    <w:suppressLineNumbers w:val="0"/>
                    <w:spacing w:before="0" w:beforeAutospacing="0" w:after="0" w:afterAutospacing="0"/>
                    <w:ind w:left="0" w:right="0"/>
                    <w:jc w:val="center"/>
                    <w:rPr>
                      <w:rFonts w:hint="eastAsia" w:ascii="Times New Roman" w:hAnsi="Times New Roman" w:eastAsia="宋体" w:cs="Times New Roman"/>
                      <w:b w:val="0"/>
                      <w:bCs w:val="0"/>
                      <w:color w:val="0000FF"/>
                      <w:szCs w:val="21"/>
                      <w:highlight w:val="none"/>
                      <w:lang w:val="en-US" w:eastAsia="zh-CN"/>
                    </w:rPr>
                  </w:pPr>
                </w:p>
              </w:tc>
              <w:tc>
                <w:tcPr>
                  <w:tcW w:w="320" w:type="pct"/>
                  <w:shd w:val="clear" w:color="auto" w:fill="auto"/>
                  <w:vAlign w:val="center"/>
                </w:tcPr>
                <w:p w14:paraId="66199023">
                  <w:pPr>
                    <w:keepNext w:val="0"/>
                    <w:keepLines w:val="0"/>
                    <w:suppressLineNumbers w:val="0"/>
                    <w:spacing w:before="0" w:beforeAutospacing="0" w:after="0" w:afterAutospacing="0" w:line="240" w:lineRule="auto"/>
                    <w:ind w:left="0" w:right="0"/>
                    <w:jc w:val="center"/>
                    <w:rPr>
                      <w:rFonts w:hint="default" w:ascii="Times New Roman" w:hAnsi="Times New Roman" w:eastAsia="宋体" w:cs="Times New Roman"/>
                      <w:b w:val="0"/>
                      <w:bCs w:val="0"/>
                      <w:color w:val="0000FF"/>
                      <w:kern w:val="2"/>
                      <w:sz w:val="21"/>
                      <w:szCs w:val="21"/>
                      <w:highlight w:val="none"/>
                      <w:lang w:val="en-US" w:eastAsia="zh-CN" w:bidi="ar-SA"/>
                    </w:rPr>
                  </w:pPr>
                  <w:r>
                    <w:rPr>
                      <w:rFonts w:hint="default" w:ascii="Times New Roman" w:hAnsi="Times New Roman" w:eastAsia="宋体" w:cs="Times New Roman"/>
                      <w:b w:val="0"/>
                      <w:bCs w:val="0"/>
                      <w:color w:val="0000FF"/>
                      <w:sz w:val="21"/>
                      <w:szCs w:val="21"/>
                      <w:highlight w:val="none"/>
                      <w:lang w:val="en-US" w:eastAsia="zh-CN"/>
                    </w:rPr>
                    <w:t>新增</w:t>
                  </w:r>
                </w:p>
              </w:tc>
            </w:tr>
            <w:tr w14:paraId="19C280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291" w:type="pct"/>
                  <w:shd w:val="clear" w:color="auto" w:fill="auto"/>
                  <w:vAlign w:val="center"/>
                </w:tcPr>
                <w:p w14:paraId="73CEC841">
                  <w:pPr>
                    <w:keepNext w:val="0"/>
                    <w:keepLines w:val="0"/>
                    <w:suppressLineNumbers w:val="0"/>
                    <w:spacing w:before="0" w:beforeAutospacing="0" w:after="0" w:afterAutospacing="0"/>
                    <w:ind w:left="0" w:right="0"/>
                    <w:jc w:val="center"/>
                    <w:rPr>
                      <w:rFonts w:hint="default" w:ascii="Times New Roman" w:hAnsi="Times New Roman" w:eastAsia="宋体" w:cs="Times New Roman"/>
                      <w:b w:val="0"/>
                      <w:bCs w:val="0"/>
                      <w:color w:val="0000FF"/>
                      <w:szCs w:val="21"/>
                      <w:highlight w:val="none"/>
                      <w:lang w:val="en-US" w:eastAsia="zh-CN"/>
                    </w:rPr>
                  </w:pPr>
                  <w:r>
                    <w:rPr>
                      <w:rFonts w:hint="eastAsia" w:ascii="Times New Roman" w:hAnsi="Times New Roman" w:eastAsia="宋体" w:cs="Times New Roman"/>
                      <w:b w:val="0"/>
                      <w:bCs w:val="0"/>
                      <w:color w:val="0000FF"/>
                      <w:szCs w:val="21"/>
                      <w:highlight w:val="none"/>
                      <w:lang w:val="en-US" w:eastAsia="zh-CN"/>
                    </w:rPr>
                    <w:t>34</w:t>
                  </w:r>
                </w:p>
              </w:tc>
              <w:tc>
                <w:tcPr>
                  <w:tcW w:w="394" w:type="pct"/>
                  <w:vMerge w:val="continue"/>
                  <w:vAlign w:val="center"/>
                </w:tcPr>
                <w:p w14:paraId="6619324F">
                  <w:pPr>
                    <w:keepNext w:val="0"/>
                    <w:keepLines w:val="0"/>
                    <w:suppressLineNumbers w:val="0"/>
                    <w:spacing w:before="0" w:beforeAutospacing="0" w:after="0" w:afterAutospacing="0"/>
                    <w:ind w:left="0" w:right="0"/>
                    <w:jc w:val="center"/>
                    <w:rPr>
                      <w:rFonts w:hint="default" w:ascii="Times New Roman" w:hAnsi="Times New Roman" w:eastAsia="宋体" w:cs="Times New Roman"/>
                      <w:b w:val="0"/>
                      <w:bCs w:val="0"/>
                      <w:color w:val="0000FF"/>
                      <w:szCs w:val="21"/>
                      <w:highlight w:val="none"/>
                    </w:rPr>
                  </w:pPr>
                </w:p>
              </w:tc>
              <w:tc>
                <w:tcPr>
                  <w:tcW w:w="660" w:type="pct"/>
                  <w:vMerge w:val="continue"/>
                  <w:vAlign w:val="center"/>
                </w:tcPr>
                <w:p w14:paraId="24C24F86">
                  <w:pPr>
                    <w:keepNext w:val="0"/>
                    <w:keepLines w:val="0"/>
                    <w:suppressLineNumbers w:val="0"/>
                    <w:spacing w:before="0" w:beforeAutospacing="0" w:after="0" w:afterAutospacing="0"/>
                    <w:ind w:left="0" w:right="0"/>
                    <w:jc w:val="center"/>
                    <w:rPr>
                      <w:rFonts w:hint="default" w:ascii="Times New Roman" w:hAnsi="Times New Roman" w:eastAsia="宋体" w:cs="Times New Roman"/>
                      <w:b w:val="0"/>
                      <w:bCs w:val="0"/>
                      <w:color w:val="0000FF"/>
                      <w:szCs w:val="21"/>
                      <w:highlight w:val="none"/>
                    </w:rPr>
                  </w:pPr>
                </w:p>
              </w:tc>
              <w:tc>
                <w:tcPr>
                  <w:tcW w:w="766" w:type="pct"/>
                  <w:shd w:val="clear" w:color="auto" w:fill="auto"/>
                  <w:vAlign w:val="center"/>
                </w:tcPr>
                <w:p w14:paraId="39703FBE">
                  <w:pPr>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color w:val="0000FF"/>
                      <w:kern w:val="2"/>
                      <w:sz w:val="21"/>
                      <w:szCs w:val="21"/>
                      <w:lang w:val="en-US" w:eastAsia="zh-CN" w:bidi="ar-SA"/>
                    </w:rPr>
                  </w:pPr>
                  <w:r>
                    <w:rPr>
                      <w:rFonts w:hint="default" w:ascii="Times New Roman" w:hAnsi="Times New Roman" w:eastAsia="宋体" w:cs="Times New Roman"/>
                      <w:color w:val="0000FF"/>
                      <w:szCs w:val="21"/>
                    </w:rPr>
                    <w:t>JK-S-20</w:t>
                  </w:r>
                </w:p>
              </w:tc>
              <w:tc>
                <w:tcPr>
                  <w:tcW w:w="483" w:type="pct"/>
                  <w:shd w:val="clear" w:color="auto" w:fill="auto"/>
                  <w:vAlign w:val="center"/>
                </w:tcPr>
                <w:p w14:paraId="79C84254">
                  <w:pPr>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color w:val="0000FF"/>
                      <w:kern w:val="2"/>
                      <w:sz w:val="21"/>
                      <w:szCs w:val="21"/>
                      <w:lang w:val="en-US" w:eastAsia="zh-CN" w:bidi="ar-SA"/>
                    </w:rPr>
                  </w:pPr>
                  <w:r>
                    <w:rPr>
                      <w:rFonts w:hint="default" w:ascii="Times New Roman" w:hAnsi="Times New Roman" w:eastAsia="宋体" w:cs="Times New Roman"/>
                      <w:color w:val="0000FF"/>
                      <w:szCs w:val="21"/>
                    </w:rPr>
                    <w:t>/</w:t>
                  </w:r>
                </w:p>
              </w:tc>
              <w:tc>
                <w:tcPr>
                  <w:tcW w:w="417" w:type="pct"/>
                  <w:shd w:val="clear" w:color="auto" w:fill="auto"/>
                  <w:vAlign w:val="center"/>
                </w:tcPr>
                <w:p w14:paraId="33366E8A">
                  <w:pPr>
                    <w:keepNext w:val="0"/>
                    <w:keepLines w:val="0"/>
                    <w:suppressLineNumbers w:val="0"/>
                    <w:spacing w:before="0" w:beforeAutospacing="0" w:after="0" w:afterAutospacing="0"/>
                    <w:ind w:left="0" w:leftChars="0" w:right="0" w:rightChars="0"/>
                    <w:jc w:val="center"/>
                    <w:rPr>
                      <w:rFonts w:hint="eastAsia" w:ascii="Times New Roman" w:hAnsi="Times New Roman" w:eastAsia="宋体" w:cs="Times New Roman"/>
                      <w:color w:val="0000FF"/>
                      <w:kern w:val="2"/>
                      <w:sz w:val="21"/>
                      <w:szCs w:val="21"/>
                      <w:lang w:val="en-US" w:eastAsia="zh-CN" w:bidi="ar-SA"/>
                    </w:rPr>
                  </w:pPr>
                  <w:r>
                    <w:rPr>
                      <w:rFonts w:hint="default" w:ascii="Times New Roman" w:hAnsi="Times New Roman" w:eastAsia="宋体" w:cs="Times New Roman"/>
                      <w:color w:val="0000FF"/>
                      <w:szCs w:val="21"/>
                    </w:rPr>
                    <w:t>1</w:t>
                  </w:r>
                </w:p>
              </w:tc>
              <w:tc>
                <w:tcPr>
                  <w:tcW w:w="592" w:type="pct"/>
                  <w:shd w:val="clear" w:color="auto" w:fill="auto"/>
                  <w:vAlign w:val="center"/>
                </w:tcPr>
                <w:p w14:paraId="1B75F40E">
                  <w:pPr>
                    <w:keepNext w:val="0"/>
                    <w:keepLines w:val="0"/>
                    <w:suppressLineNumbers w:val="0"/>
                    <w:spacing w:before="0" w:beforeAutospacing="0" w:after="0" w:afterAutospacing="0"/>
                    <w:ind w:left="0" w:leftChars="0" w:right="0" w:rightChars="0"/>
                    <w:jc w:val="center"/>
                    <w:rPr>
                      <w:rFonts w:hint="eastAsia" w:ascii="Times New Roman" w:hAnsi="Times New Roman" w:eastAsia="宋体" w:cs="Times New Roman"/>
                      <w:color w:val="0000FF"/>
                      <w:kern w:val="2"/>
                      <w:sz w:val="21"/>
                      <w:szCs w:val="21"/>
                      <w:lang w:val="en-US" w:eastAsia="zh-CN" w:bidi="ar-SA"/>
                    </w:rPr>
                  </w:pPr>
                  <w:r>
                    <w:rPr>
                      <w:rFonts w:hint="default" w:ascii="Times New Roman" w:hAnsi="Times New Roman" w:eastAsia="宋体" w:cs="Times New Roman"/>
                      <w:color w:val="0000FF"/>
                      <w:szCs w:val="21"/>
                    </w:rPr>
                    <w:t>1</w:t>
                  </w:r>
                </w:p>
              </w:tc>
              <w:tc>
                <w:tcPr>
                  <w:tcW w:w="537" w:type="pct"/>
                  <w:shd w:val="clear" w:color="auto" w:fill="auto"/>
                  <w:vAlign w:val="center"/>
                </w:tcPr>
                <w:p w14:paraId="7CE05071">
                  <w:pPr>
                    <w:keepNext w:val="0"/>
                    <w:keepLines w:val="0"/>
                    <w:suppressLineNumbers w:val="0"/>
                    <w:spacing w:before="0" w:beforeAutospacing="0" w:after="0" w:afterAutospacing="0"/>
                    <w:ind w:left="0" w:leftChars="0" w:right="0" w:rightChars="0"/>
                    <w:jc w:val="center"/>
                    <w:rPr>
                      <w:rFonts w:hint="eastAsia" w:ascii="Times New Roman" w:hAnsi="Times New Roman" w:eastAsia="宋体" w:cs="Times New Roman"/>
                      <w:color w:val="0000FF"/>
                      <w:kern w:val="2"/>
                      <w:sz w:val="21"/>
                      <w:szCs w:val="21"/>
                      <w:lang w:val="en-US" w:eastAsia="zh-CN" w:bidi="ar-SA"/>
                    </w:rPr>
                  </w:pPr>
                  <w:r>
                    <w:rPr>
                      <w:rFonts w:hint="default" w:ascii="Times New Roman" w:hAnsi="Times New Roman" w:eastAsia="宋体" w:cs="Times New Roman"/>
                      <w:color w:val="0000FF"/>
                      <w:szCs w:val="21"/>
                    </w:rPr>
                    <w:t>+1</w:t>
                  </w:r>
                </w:p>
              </w:tc>
              <w:tc>
                <w:tcPr>
                  <w:tcW w:w="536" w:type="pct"/>
                  <w:gridSpan w:val="2"/>
                  <w:vMerge w:val="continue"/>
                  <w:vAlign w:val="center"/>
                </w:tcPr>
                <w:p w14:paraId="4272EC7E">
                  <w:pPr>
                    <w:keepNext w:val="0"/>
                    <w:keepLines w:val="0"/>
                    <w:suppressLineNumbers w:val="0"/>
                    <w:spacing w:before="0" w:beforeAutospacing="0" w:after="0" w:afterAutospacing="0"/>
                    <w:ind w:left="0" w:right="0"/>
                    <w:jc w:val="center"/>
                    <w:rPr>
                      <w:rFonts w:hint="eastAsia" w:ascii="Times New Roman" w:hAnsi="Times New Roman" w:eastAsia="宋体" w:cs="Times New Roman"/>
                      <w:b w:val="0"/>
                      <w:bCs w:val="0"/>
                      <w:color w:val="0000FF"/>
                      <w:szCs w:val="21"/>
                      <w:highlight w:val="none"/>
                      <w:lang w:val="en-US" w:eastAsia="zh-CN"/>
                    </w:rPr>
                  </w:pPr>
                </w:p>
              </w:tc>
              <w:tc>
                <w:tcPr>
                  <w:tcW w:w="320" w:type="pct"/>
                  <w:shd w:val="clear" w:color="auto" w:fill="auto"/>
                  <w:vAlign w:val="center"/>
                </w:tcPr>
                <w:p w14:paraId="664B3BFA">
                  <w:pPr>
                    <w:keepNext w:val="0"/>
                    <w:keepLines w:val="0"/>
                    <w:suppressLineNumbers w:val="0"/>
                    <w:spacing w:before="0" w:beforeAutospacing="0" w:after="0" w:afterAutospacing="0" w:line="240" w:lineRule="auto"/>
                    <w:ind w:left="0" w:right="0"/>
                    <w:jc w:val="center"/>
                    <w:rPr>
                      <w:rFonts w:hint="default" w:ascii="Times New Roman" w:hAnsi="Times New Roman" w:eastAsia="宋体" w:cs="Times New Roman"/>
                      <w:b w:val="0"/>
                      <w:bCs w:val="0"/>
                      <w:color w:val="0000FF"/>
                      <w:kern w:val="2"/>
                      <w:sz w:val="21"/>
                      <w:szCs w:val="21"/>
                      <w:highlight w:val="none"/>
                      <w:lang w:val="en-US" w:eastAsia="zh-CN" w:bidi="ar-SA"/>
                    </w:rPr>
                  </w:pPr>
                  <w:r>
                    <w:rPr>
                      <w:rFonts w:hint="default" w:ascii="Times New Roman" w:hAnsi="Times New Roman" w:eastAsia="宋体" w:cs="Times New Roman"/>
                      <w:b w:val="0"/>
                      <w:bCs w:val="0"/>
                      <w:color w:val="0000FF"/>
                      <w:sz w:val="21"/>
                      <w:szCs w:val="21"/>
                      <w:highlight w:val="none"/>
                      <w:lang w:val="en-US" w:eastAsia="zh-CN"/>
                    </w:rPr>
                    <w:t>新增</w:t>
                  </w:r>
                </w:p>
              </w:tc>
            </w:tr>
            <w:tr w14:paraId="6F9768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291" w:type="pct"/>
                  <w:shd w:val="clear" w:color="auto" w:fill="auto"/>
                  <w:vAlign w:val="center"/>
                </w:tcPr>
                <w:p w14:paraId="4E1A3FF0">
                  <w:pPr>
                    <w:keepNext w:val="0"/>
                    <w:keepLines w:val="0"/>
                    <w:suppressLineNumbers w:val="0"/>
                    <w:spacing w:before="0" w:beforeAutospacing="0" w:after="0" w:afterAutospacing="0"/>
                    <w:ind w:left="0" w:right="0"/>
                    <w:jc w:val="center"/>
                    <w:rPr>
                      <w:rFonts w:hint="default" w:ascii="Times New Roman" w:hAnsi="Times New Roman" w:eastAsia="宋体" w:cs="Times New Roman"/>
                      <w:b w:val="0"/>
                      <w:bCs w:val="0"/>
                      <w:color w:val="0000FF"/>
                      <w:szCs w:val="21"/>
                      <w:highlight w:val="none"/>
                      <w:lang w:val="en-US" w:eastAsia="zh-CN"/>
                    </w:rPr>
                  </w:pPr>
                  <w:r>
                    <w:rPr>
                      <w:rFonts w:hint="eastAsia" w:ascii="Times New Roman" w:hAnsi="Times New Roman" w:eastAsia="宋体" w:cs="Times New Roman"/>
                      <w:b w:val="0"/>
                      <w:bCs w:val="0"/>
                      <w:color w:val="0000FF"/>
                      <w:szCs w:val="21"/>
                      <w:highlight w:val="none"/>
                      <w:lang w:val="en-US" w:eastAsia="zh-CN"/>
                    </w:rPr>
                    <w:t>35</w:t>
                  </w:r>
                </w:p>
              </w:tc>
              <w:tc>
                <w:tcPr>
                  <w:tcW w:w="394" w:type="pct"/>
                  <w:vMerge w:val="continue"/>
                  <w:vAlign w:val="center"/>
                </w:tcPr>
                <w:p w14:paraId="71F9FEE6">
                  <w:pPr>
                    <w:keepNext w:val="0"/>
                    <w:keepLines w:val="0"/>
                    <w:suppressLineNumbers w:val="0"/>
                    <w:spacing w:before="0" w:beforeAutospacing="0" w:after="0" w:afterAutospacing="0"/>
                    <w:ind w:left="0" w:right="0"/>
                    <w:jc w:val="center"/>
                    <w:rPr>
                      <w:rFonts w:hint="default" w:ascii="Times New Roman" w:hAnsi="Times New Roman" w:eastAsia="宋体" w:cs="Times New Roman"/>
                      <w:b w:val="0"/>
                      <w:bCs w:val="0"/>
                      <w:color w:val="0000FF"/>
                      <w:szCs w:val="21"/>
                      <w:highlight w:val="none"/>
                    </w:rPr>
                  </w:pPr>
                </w:p>
              </w:tc>
              <w:tc>
                <w:tcPr>
                  <w:tcW w:w="660" w:type="pct"/>
                  <w:vMerge w:val="continue"/>
                  <w:vAlign w:val="center"/>
                </w:tcPr>
                <w:p w14:paraId="1B9F18AC">
                  <w:pPr>
                    <w:keepNext w:val="0"/>
                    <w:keepLines w:val="0"/>
                    <w:suppressLineNumbers w:val="0"/>
                    <w:spacing w:before="0" w:beforeAutospacing="0" w:after="0" w:afterAutospacing="0"/>
                    <w:ind w:left="0" w:right="0"/>
                    <w:jc w:val="center"/>
                    <w:rPr>
                      <w:rFonts w:hint="default" w:ascii="Times New Roman" w:hAnsi="Times New Roman" w:eastAsia="宋体" w:cs="Times New Roman"/>
                      <w:b w:val="0"/>
                      <w:bCs w:val="0"/>
                      <w:color w:val="0000FF"/>
                      <w:szCs w:val="21"/>
                      <w:highlight w:val="none"/>
                    </w:rPr>
                  </w:pPr>
                </w:p>
              </w:tc>
              <w:tc>
                <w:tcPr>
                  <w:tcW w:w="766" w:type="pct"/>
                  <w:shd w:val="clear" w:color="auto" w:fill="auto"/>
                  <w:vAlign w:val="center"/>
                </w:tcPr>
                <w:p w14:paraId="354B5C11">
                  <w:pPr>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color w:val="0000FF"/>
                      <w:kern w:val="2"/>
                      <w:sz w:val="21"/>
                      <w:szCs w:val="21"/>
                      <w:lang w:val="en-US" w:eastAsia="zh-CN" w:bidi="ar-SA"/>
                    </w:rPr>
                  </w:pPr>
                  <w:r>
                    <w:rPr>
                      <w:rFonts w:hint="default" w:ascii="Times New Roman" w:hAnsi="Times New Roman" w:eastAsia="宋体" w:cs="Times New Roman"/>
                      <w:color w:val="0000FF"/>
                      <w:szCs w:val="21"/>
                    </w:rPr>
                    <w:t>L2600*W1200*H2700</w:t>
                  </w:r>
                </w:p>
              </w:tc>
              <w:tc>
                <w:tcPr>
                  <w:tcW w:w="483" w:type="pct"/>
                  <w:shd w:val="clear" w:color="auto" w:fill="auto"/>
                  <w:vAlign w:val="center"/>
                </w:tcPr>
                <w:p w14:paraId="507B191C">
                  <w:pPr>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color w:val="0000FF"/>
                      <w:kern w:val="2"/>
                      <w:sz w:val="21"/>
                      <w:szCs w:val="21"/>
                      <w:lang w:val="en-US" w:eastAsia="zh-CN" w:bidi="ar-SA"/>
                    </w:rPr>
                  </w:pPr>
                  <w:r>
                    <w:rPr>
                      <w:rFonts w:hint="default" w:ascii="Times New Roman" w:hAnsi="Times New Roman" w:eastAsia="宋体" w:cs="Times New Roman"/>
                      <w:color w:val="0000FF"/>
                      <w:szCs w:val="21"/>
                    </w:rPr>
                    <w:t>/</w:t>
                  </w:r>
                </w:p>
              </w:tc>
              <w:tc>
                <w:tcPr>
                  <w:tcW w:w="417" w:type="pct"/>
                  <w:shd w:val="clear" w:color="auto" w:fill="auto"/>
                  <w:vAlign w:val="center"/>
                </w:tcPr>
                <w:p w14:paraId="137C4FEC">
                  <w:pPr>
                    <w:keepNext w:val="0"/>
                    <w:keepLines w:val="0"/>
                    <w:suppressLineNumbers w:val="0"/>
                    <w:spacing w:before="0" w:beforeAutospacing="0" w:after="0" w:afterAutospacing="0"/>
                    <w:ind w:left="0" w:leftChars="0" w:right="0" w:rightChars="0"/>
                    <w:jc w:val="center"/>
                    <w:rPr>
                      <w:rFonts w:hint="eastAsia" w:ascii="Times New Roman" w:hAnsi="Times New Roman" w:eastAsia="宋体" w:cs="Times New Roman"/>
                      <w:color w:val="0000FF"/>
                      <w:kern w:val="2"/>
                      <w:sz w:val="21"/>
                      <w:szCs w:val="21"/>
                      <w:lang w:val="en-US" w:eastAsia="zh-CN" w:bidi="ar-SA"/>
                    </w:rPr>
                  </w:pPr>
                  <w:r>
                    <w:rPr>
                      <w:rFonts w:hint="default" w:ascii="Times New Roman" w:hAnsi="Times New Roman" w:eastAsia="宋体" w:cs="Times New Roman"/>
                      <w:color w:val="0000FF"/>
                      <w:szCs w:val="21"/>
                    </w:rPr>
                    <w:t>9</w:t>
                  </w:r>
                </w:p>
              </w:tc>
              <w:tc>
                <w:tcPr>
                  <w:tcW w:w="592" w:type="pct"/>
                  <w:shd w:val="clear" w:color="auto" w:fill="auto"/>
                  <w:vAlign w:val="center"/>
                </w:tcPr>
                <w:p w14:paraId="68EAF3DA">
                  <w:pPr>
                    <w:keepNext w:val="0"/>
                    <w:keepLines w:val="0"/>
                    <w:suppressLineNumbers w:val="0"/>
                    <w:spacing w:before="0" w:beforeAutospacing="0" w:after="0" w:afterAutospacing="0"/>
                    <w:ind w:left="0" w:leftChars="0" w:right="0" w:rightChars="0"/>
                    <w:jc w:val="center"/>
                    <w:rPr>
                      <w:rFonts w:hint="eastAsia" w:ascii="Times New Roman" w:hAnsi="Times New Roman" w:eastAsia="宋体" w:cs="Times New Roman"/>
                      <w:color w:val="0000FF"/>
                      <w:kern w:val="2"/>
                      <w:sz w:val="21"/>
                      <w:szCs w:val="21"/>
                      <w:lang w:val="en-US" w:eastAsia="zh-CN" w:bidi="ar-SA"/>
                    </w:rPr>
                  </w:pPr>
                  <w:r>
                    <w:rPr>
                      <w:rFonts w:hint="default" w:ascii="Times New Roman" w:hAnsi="Times New Roman" w:eastAsia="宋体" w:cs="Times New Roman"/>
                      <w:color w:val="0000FF"/>
                      <w:szCs w:val="21"/>
                    </w:rPr>
                    <w:t>9</w:t>
                  </w:r>
                </w:p>
              </w:tc>
              <w:tc>
                <w:tcPr>
                  <w:tcW w:w="537" w:type="pct"/>
                  <w:shd w:val="clear" w:color="auto" w:fill="auto"/>
                  <w:vAlign w:val="center"/>
                </w:tcPr>
                <w:p w14:paraId="73F039B3">
                  <w:pPr>
                    <w:keepNext w:val="0"/>
                    <w:keepLines w:val="0"/>
                    <w:suppressLineNumbers w:val="0"/>
                    <w:spacing w:before="0" w:beforeAutospacing="0" w:after="0" w:afterAutospacing="0"/>
                    <w:ind w:left="0" w:leftChars="0" w:right="0" w:rightChars="0"/>
                    <w:jc w:val="center"/>
                    <w:rPr>
                      <w:rFonts w:hint="eastAsia" w:ascii="Times New Roman" w:hAnsi="Times New Roman" w:eastAsia="宋体" w:cs="Times New Roman"/>
                      <w:color w:val="0000FF"/>
                      <w:kern w:val="2"/>
                      <w:sz w:val="21"/>
                      <w:szCs w:val="21"/>
                      <w:lang w:val="en-US" w:eastAsia="zh-CN" w:bidi="ar-SA"/>
                    </w:rPr>
                  </w:pPr>
                  <w:r>
                    <w:rPr>
                      <w:rFonts w:hint="default" w:ascii="Times New Roman" w:hAnsi="Times New Roman" w:eastAsia="宋体" w:cs="Times New Roman"/>
                      <w:color w:val="0000FF"/>
                      <w:szCs w:val="21"/>
                    </w:rPr>
                    <w:t>+9</w:t>
                  </w:r>
                </w:p>
              </w:tc>
              <w:tc>
                <w:tcPr>
                  <w:tcW w:w="536" w:type="pct"/>
                  <w:gridSpan w:val="2"/>
                  <w:vMerge w:val="continue"/>
                  <w:vAlign w:val="center"/>
                </w:tcPr>
                <w:p w14:paraId="1C352671">
                  <w:pPr>
                    <w:keepNext w:val="0"/>
                    <w:keepLines w:val="0"/>
                    <w:suppressLineNumbers w:val="0"/>
                    <w:spacing w:before="0" w:beforeAutospacing="0" w:after="0" w:afterAutospacing="0"/>
                    <w:ind w:left="0" w:right="0"/>
                    <w:jc w:val="center"/>
                    <w:rPr>
                      <w:rFonts w:hint="eastAsia" w:ascii="Times New Roman" w:hAnsi="Times New Roman" w:eastAsia="宋体" w:cs="Times New Roman"/>
                      <w:b w:val="0"/>
                      <w:bCs w:val="0"/>
                      <w:color w:val="0000FF"/>
                      <w:szCs w:val="21"/>
                      <w:highlight w:val="none"/>
                      <w:lang w:val="en-US" w:eastAsia="zh-CN"/>
                    </w:rPr>
                  </w:pPr>
                </w:p>
              </w:tc>
              <w:tc>
                <w:tcPr>
                  <w:tcW w:w="320" w:type="pct"/>
                  <w:shd w:val="clear" w:color="auto" w:fill="auto"/>
                  <w:vAlign w:val="center"/>
                </w:tcPr>
                <w:p w14:paraId="639A6ED4">
                  <w:pPr>
                    <w:keepNext w:val="0"/>
                    <w:keepLines w:val="0"/>
                    <w:suppressLineNumbers w:val="0"/>
                    <w:spacing w:before="0" w:beforeAutospacing="0" w:after="0" w:afterAutospacing="0" w:line="240" w:lineRule="auto"/>
                    <w:ind w:left="0" w:right="0"/>
                    <w:jc w:val="center"/>
                    <w:rPr>
                      <w:rFonts w:hint="default" w:ascii="Times New Roman" w:hAnsi="Times New Roman" w:eastAsia="宋体" w:cs="Times New Roman"/>
                      <w:b w:val="0"/>
                      <w:bCs w:val="0"/>
                      <w:color w:val="0000FF"/>
                      <w:kern w:val="2"/>
                      <w:sz w:val="21"/>
                      <w:szCs w:val="21"/>
                      <w:highlight w:val="none"/>
                      <w:lang w:val="en-US" w:eastAsia="zh-CN" w:bidi="ar-SA"/>
                    </w:rPr>
                  </w:pPr>
                  <w:r>
                    <w:rPr>
                      <w:rFonts w:hint="default" w:ascii="Times New Roman" w:hAnsi="Times New Roman" w:eastAsia="宋体" w:cs="Times New Roman"/>
                      <w:b w:val="0"/>
                      <w:bCs w:val="0"/>
                      <w:color w:val="0000FF"/>
                      <w:sz w:val="21"/>
                      <w:szCs w:val="21"/>
                      <w:highlight w:val="none"/>
                      <w:lang w:val="en-US" w:eastAsia="zh-CN"/>
                    </w:rPr>
                    <w:t>新增</w:t>
                  </w:r>
                </w:p>
              </w:tc>
            </w:tr>
            <w:tr w14:paraId="302E7F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291" w:type="pct"/>
                  <w:shd w:val="clear" w:color="auto" w:fill="auto"/>
                  <w:vAlign w:val="center"/>
                </w:tcPr>
                <w:p w14:paraId="206A0A6E">
                  <w:pPr>
                    <w:keepNext w:val="0"/>
                    <w:keepLines w:val="0"/>
                    <w:suppressLineNumbers w:val="0"/>
                    <w:spacing w:before="0" w:beforeAutospacing="0" w:after="0" w:afterAutospacing="0"/>
                    <w:ind w:left="0" w:right="0"/>
                    <w:jc w:val="center"/>
                    <w:rPr>
                      <w:rFonts w:hint="default" w:ascii="Times New Roman" w:hAnsi="Times New Roman" w:eastAsia="宋体" w:cs="Times New Roman"/>
                      <w:b w:val="0"/>
                      <w:bCs w:val="0"/>
                      <w:color w:val="0000FF"/>
                      <w:szCs w:val="21"/>
                      <w:highlight w:val="none"/>
                      <w:lang w:val="en-US" w:eastAsia="zh-CN"/>
                    </w:rPr>
                  </w:pPr>
                  <w:r>
                    <w:rPr>
                      <w:rFonts w:hint="eastAsia" w:ascii="Times New Roman" w:hAnsi="Times New Roman" w:eastAsia="宋体" w:cs="Times New Roman"/>
                      <w:b w:val="0"/>
                      <w:bCs w:val="0"/>
                      <w:color w:val="0000FF"/>
                      <w:szCs w:val="21"/>
                      <w:highlight w:val="none"/>
                      <w:lang w:val="en-US" w:eastAsia="zh-CN"/>
                    </w:rPr>
                    <w:t>36</w:t>
                  </w:r>
                </w:p>
              </w:tc>
              <w:tc>
                <w:tcPr>
                  <w:tcW w:w="394" w:type="pct"/>
                  <w:vMerge w:val="continue"/>
                  <w:vAlign w:val="center"/>
                </w:tcPr>
                <w:p w14:paraId="54BE387A">
                  <w:pPr>
                    <w:keepNext w:val="0"/>
                    <w:keepLines w:val="0"/>
                    <w:suppressLineNumbers w:val="0"/>
                    <w:spacing w:before="0" w:beforeAutospacing="0" w:after="0" w:afterAutospacing="0"/>
                    <w:ind w:left="0" w:right="0"/>
                    <w:jc w:val="center"/>
                    <w:rPr>
                      <w:rFonts w:hint="default" w:ascii="Times New Roman" w:hAnsi="Times New Roman" w:eastAsia="宋体" w:cs="Times New Roman"/>
                      <w:b w:val="0"/>
                      <w:bCs w:val="0"/>
                      <w:color w:val="0000FF"/>
                      <w:szCs w:val="21"/>
                      <w:highlight w:val="none"/>
                    </w:rPr>
                  </w:pPr>
                </w:p>
              </w:tc>
              <w:tc>
                <w:tcPr>
                  <w:tcW w:w="660" w:type="pct"/>
                  <w:vMerge w:val="continue"/>
                  <w:vAlign w:val="center"/>
                </w:tcPr>
                <w:p w14:paraId="1B0468B9">
                  <w:pPr>
                    <w:keepNext w:val="0"/>
                    <w:keepLines w:val="0"/>
                    <w:suppressLineNumbers w:val="0"/>
                    <w:spacing w:before="0" w:beforeAutospacing="0" w:after="0" w:afterAutospacing="0"/>
                    <w:ind w:left="0" w:right="0"/>
                    <w:jc w:val="center"/>
                    <w:rPr>
                      <w:rFonts w:hint="default" w:ascii="Times New Roman" w:hAnsi="Times New Roman" w:eastAsia="宋体" w:cs="Times New Roman"/>
                      <w:b w:val="0"/>
                      <w:bCs w:val="0"/>
                      <w:color w:val="0000FF"/>
                      <w:szCs w:val="21"/>
                      <w:highlight w:val="none"/>
                    </w:rPr>
                  </w:pPr>
                </w:p>
              </w:tc>
              <w:tc>
                <w:tcPr>
                  <w:tcW w:w="766" w:type="pct"/>
                  <w:shd w:val="clear" w:color="auto" w:fill="auto"/>
                  <w:vAlign w:val="center"/>
                </w:tcPr>
                <w:p w14:paraId="67806AE7">
                  <w:pPr>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color w:val="0000FF"/>
                      <w:kern w:val="2"/>
                      <w:sz w:val="21"/>
                      <w:szCs w:val="21"/>
                      <w:lang w:val="en-US" w:eastAsia="zh-CN" w:bidi="ar-SA"/>
                    </w:rPr>
                  </w:pPr>
                  <w:r>
                    <w:rPr>
                      <w:rFonts w:hint="default" w:ascii="Times New Roman" w:hAnsi="Times New Roman" w:eastAsia="宋体" w:cs="Times New Roman"/>
                      <w:color w:val="0000FF"/>
                      <w:szCs w:val="21"/>
                    </w:rPr>
                    <w:t>L26200*W1400*H1150</w:t>
                  </w:r>
                </w:p>
              </w:tc>
              <w:tc>
                <w:tcPr>
                  <w:tcW w:w="483" w:type="pct"/>
                  <w:shd w:val="clear" w:color="auto" w:fill="auto"/>
                  <w:vAlign w:val="center"/>
                </w:tcPr>
                <w:p w14:paraId="105F1B8D">
                  <w:pPr>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color w:val="0000FF"/>
                      <w:kern w:val="2"/>
                      <w:sz w:val="21"/>
                      <w:szCs w:val="21"/>
                      <w:lang w:val="en-US" w:eastAsia="zh-CN" w:bidi="ar-SA"/>
                    </w:rPr>
                  </w:pPr>
                  <w:r>
                    <w:rPr>
                      <w:rFonts w:hint="default" w:ascii="Times New Roman" w:hAnsi="Times New Roman" w:eastAsia="宋体" w:cs="Times New Roman"/>
                      <w:color w:val="0000FF"/>
                      <w:szCs w:val="21"/>
                    </w:rPr>
                    <w:t>/</w:t>
                  </w:r>
                </w:p>
              </w:tc>
              <w:tc>
                <w:tcPr>
                  <w:tcW w:w="417" w:type="pct"/>
                  <w:shd w:val="clear" w:color="auto" w:fill="auto"/>
                  <w:vAlign w:val="center"/>
                </w:tcPr>
                <w:p w14:paraId="7A6C5445">
                  <w:pPr>
                    <w:keepNext w:val="0"/>
                    <w:keepLines w:val="0"/>
                    <w:suppressLineNumbers w:val="0"/>
                    <w:spacing w:before="0" w:beforeAutospacing="0" w:after="0" w:afterAutospacing="0"/>
                    <w:ind w:left="0" w:leftChars="0" w:right="0" w:rightChars="0"/>
                    <w:jc w:val="center"/>
                    <w:rPr>
                      <w:rFonts w:hint="eastAsia" w:ascii="Times New Roman" w:hAnsi="Times New Roman" w:eastAsia="宋体" w:cs="Times New Roman"/>
                      <w:color w:val="0000FF"/>
                      <w:kern w:val="2"/>
                      <w:sz w:val="21"/>
                      <w:szCs w:val="21"/>
                      <w:lang w:val="en-US" w:eastAsia="zh-CN" w:bidi="ar-SA"/>
                    </w:rPr>
                  </w:pPr>
                  <w:r>
                    <w:rPr>
                      <w:rFonts w:hint="default" w:ascii="Times New Roman" w:hAnsi="Times New Roman" w:eastAsia="宋体" w:cs="Times New Roman"/>
                      <w:color w:val="0000FF"/>
                      <w:szCs w:val="21"/>
                    </w:rPr>
                    <w:t>8</w:t>
                  </w:r>
                </w:p>
              </w:tc>
              <w:tc>
                <w:tcPr>
                  <w:tcW w:w="592" w:type="pct"/>
                  <w:shd w:val="clear" w:color="auto" w:fill="auto"/>
                  <w:vAlign w:val="center"/>
                </w:tcPr>
                <w:p w14:paraId="7AE7ED75">
                  <w:pPr>
                    <w:keepNext w:val="0"/>
                    <w:keepLines w:val="0"/>
                    <w:suppressLineNumbers w:val="0"/>
                    <w:spacing w:before="0" w:beforeAutospacing="0" w:after="0" w:afterAutospacing="0"/>
                    <w:ind w:left="0" w:leftChars="0" w:right="0" w:rightChars="0"/>
                    <w:jc w:val="center"/>
                    <w:rPr>
                      <w:rFonts w:hint="eastAsia" w:ascii="Times New Roman" w:hAnsi="Times New Roman" w:eastAsia="宋体" w:cs="Times New Roman"/>
                      <w:color w:val="0000FF"/>
                      <w:kern w:val="2"/>
                      <w:sz w:val="21"/>
                      <w:szCs w:val="21"/>
                      <w:lang w:val="en-US" w:eastAsia="zh-CN" w:bidi="ar-SA"/>
                    </w:rPr>
                  </w:pPr>
                  <w:r>
                    <w:rPr>
                      <w:rFonts w:hint="default" w:ascii="Times New Roman" w:hAnsi="Times New Roman" w:eastAsia="宋体" w:cs="Times New Roman"/>
                      <w:color w:val="0000FF"/>
                      <w:szCs w:val="21"/>
                    </w:rPr>
                    <w:t>8</w:t>
                  </w:r>
                </w:p>
              </w:tc>
              <w:tc>
                <w:tcPr>
                  <w:tcW w:w="537" w:type="pct"/>
                  <w:shd w:val="clear" w:color="auto" w:fill="auto"/>
                  <w:vAlign w:val="center"/>
                </w:tcPr>
                <w:p w14:paraId="40BFA68B">
                  <w:pPr>
                    <w:keepNext w:val="0"/>
                    <w:keepLines w:val="0"/>
                    <w:suppressLineNumbers w:val="0"/>
                    <w:spacing w:before="0" w:beforeAutospacing="0" w:after="0" w:afterAutospacing="0"/>
                    <w:ind w:left="0" w:leftChars="0" w:right="0" w:rightChars="0"/>
                    <w:jc w:val="center"/>
                    <w:rPr>
                      <w:rFonts w:hint="eastAsia" w:ascii="Times New Roman" w:hAnsi="Times New Roman" w:eastAsia="宋体" w:cs="Times New Roman"/>
                      <w:color w:val="0000FF"/>
                      <w:kern w:val="2"/>
                      <w:sz w:val="21"/>
                      <w:szCs w:val="21"/>
                      <w:lang w:val="en-US" w:eastAsia="zh-CN" w:bidi="ar-SA"/>
                    </w:rPr>
                  </w:pPr>
                  <w:r>
                    <w:rPr>
                      <w:rFonts w:hint="default" w:ascii="Times New Roman" w:hAnsi="Times New Roman" w:eastAsia="宋体" w:cs="Times New Roman"/>
                      <w:color w:val="0000FF"/>
                      <w:szCs w:val="21"/>
                    </w:rPr>
                    <w:t>+8</w:t>
                  </w:r>
                </w:p>
              </w:tc>
              <w:tc>
                <w:tcPr>
                  <w:tcW w:w="536" w:type="pct"/>
                  <w:gridSpan w:val="2"/>
                  <w:vMerge w:val="continue"/>
                  <w:vAlign w:val="center"/>
                </w:tcPr>
                <w:p w14:paraId="07D6FEE9">
                  <w:pPr>
                    <w:keepNext w:val="0"/>
                    <w:keepLines w:val="0"/>
                    <w:suppressLineNumbers w:val="0"/>
                    <w:spacing w:before="0" w:beforeAutospacing="0" w:after="0" w:afterAutospacing="0"/>
                    <w:ind w:left="0" w:right="0"/>
                    <w:jc w:val="center"/>
                    <w:rPr>
                      <w:rFonts w:hint="eastAsia" w:ascii="Times New Roman" w:hAnsi="Times New Roman" w:eastAsia="宋体" w:cs="Times New Roman"/>
                      <w:b w:val="0"/>
                      <w:bCs w:val="0"/>
                      <w:color w:val="0000FF"/>
                      <w:szCs w:val="21"/>
                      <w:highlight w:val="none"/>
                      <w:lang w:val="en-US" w:eastAsia="zh-CN"/>
                    </w:rPr>
                  </w:pPr>
                </w:p>
              </w:tc>
              <w:tc>
                <w:tcPr>
                  <w:tcW w:w="320" w:type="pct"/>
                  <w:shd w:val="clear" w:color="auto" w:fill="auto"/>
                  <w:vAlign w:val="center"/>
                </w:tcPr>
                <w:p w14:paraId="7DB9A3F5">
                  <w:pPr>
                    <w:keepNext w:val="0"/>
                    <w:keepLines w:val="0"/>
                    <w:suppressLineNumbers w:val="0"/>
                    <w:spacing w:before="0" w:beforeAutospacing="0" w:after="0" w:afterAutospacing="0" w:line="240" w:lineRule="auto"/>
                    <w:ind w:left="0" w:right="0"/>
                    <w:jc w:val="center"/>
                    <w:rPr>
                      <w:rFonts w:hint="default" w:ascii="Times New Roman" w:hAnsi="Times New Roman" w:eastAsia="宋体" w:cs="Times New Roman"/>
                      <w:b w:val="0"/>
                      <w:bCs w:val="0"/>
                      <w:color w:val="0000FF"/>
                      <w:kern w:val="2"/>
                      <w:sz w:val="21"/>
                      <w:szCs w:val="21"/>
                      <w:highlight w:val="none"/>
                      <w:lang w:val="en-US" w:eastAsia="zh-CN" w:bidi="ar-SA"/>
                    </w:rPr>
                  </w:pPr>
                  <w:r>
                    <w:rPr>
                      <w:rFonts w:hint="default" w:ascii="Times New Roman" w:hAnsi="Times New Roman" w:eastAsia="宋体" w:cs="Times New Roman"/>
                      <w:b w:val="0"/>
                      <w:bCs w:val="0"/>
                      <w:color w:val="0000FF"/>
                      <w:sz w:val="21"/>
                      <w:szCs w:val="21"/>
                      <w:highlight w:val="none"/>
                      <w:lang w:val="en-US" w:eastAsia="zh-CN"/>
                    </w:rPr>
                    <w:t>新增</w:t>
                  </w:r>
                </w:p>
              </w:tc>
            </w:tr>
            <w:tr w14:paraId="6DDFC0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291" w:type="pct"/>
                  <w:shd w:val="clear" w:color="auto" w:fill="auto"/>
                  <w:vAlign w:val="center"/>
                </w:tcPr>
                <w:p w14:paraId="5B985900">
                  <w:pPr>
                    <w:keepNext w:val="0"/>
                    <w:keepLines w:val="0"/>
                    <w:suppressLineNumbers w:val="0"/>
                    <w:spacing w:before="0" w:beforeAutospacing="0" w:after="0" w:afterAutospacing="0"/>
                    <w:ind w:left="0" w:right="0"/>
                    <w:jc w:val="center"/>
                    <w:rPr>
                      <w:rFonts w:hint="default" w:ascii="Times New Roman" w:hAnsi="Times New Roman" w:eastAsia="宋体" w:cs="Times New Roman"/>
                      <w:b w:val="0"/>
                      <w:bCs w:val="0"/>
                      <w:color w:val="0000FF"/>
                      <w:szCs w:val="21"/>
                      <w:highlight w:val="none"/>
                      <w:lang w:val="en-US" w:eastAsia="zh-CN"/>
                    </w:rPr>
                  </w:pPr>
                  <w:r>
                    <w:rPr>
                      <w:rFonts w:hint="eastAsia" w:ascii="Times New Roman" w:hAnsi="Times New Roman" w:eastAsia="宋体" w:cs="Times New Roman"/>
                      <w:b w:val="0"/>
                      <w:bCs w:val="0"/>
                      <w:color w:val="0000FF"/>
                      <w:szCs w:val="21"/>
                      <w:highlight w:val="none"/>
                      <w:lang w:val="en-US" w:eastAsia="zh-CN"/>
                    </w:rPr>
                    <w:t>37</w:t>
                  </w:r>
                </w:p>
              </w:tc>
              <w:tc>
                <w:tcPr>
                  <w:tcW w:w="394" w:type="pct"/>
                  <w:vMerge w:val="continue"/>
                  <w:vAlign w:val="center"/>
                </w:tcPr>
                <w:p w14:paraId="20077FF4">
                  <w:pPr>
                    <w:keepNext w:val="0"/>
                    <w:keepLines w:val="0"/>
                    <w:suppressLineNumbers w:val="0"/>
                    <w:spacing w:before="0" w:beforeAutospacing="0" w:after="0" w:afterAutospacing="0"/>
                    <w:ind w:left="0" w:right="0"/>
                    <w:jc w:val="center"/>
                    <w:rPr>
                      <w:rFonts w:hint="default" w:ascii="Times New Roman" w:hAnsi="Times New Roman" w:eastAsia="宋体" w:cs="Times New Roman"/>
                      <w:b w:val="0"/>
                      <w:bCs w:val="0"/>
                      <w:color w:val="0000FF"/>
                      <w:szCs w:val="21"/>
                      <w:highlight w:val="none"/>
                    </w:rPr>
                  </w:pPr>
                </w:p>
              </w:tc>
              <w:tc>
                <w:tcPr>
                  <w:tcW w:w="660" w:type="pct"/>
                  <w:vMerge w:val="continue"/>
                  <w:vAlign w:val="center"/>
                </w:tcPr>
                <w:p w14:paraId="6111C3BA">
                  <w:pPr>
                    <w:keepNext w:val="0"/>
                    <w:keepLines w:val="0"/>
                    <w:suppressLineNumbers w:val="0"/>
                    <w:spacing w:before="0" w:beforeAutospacing="0" w:after="0" w:afterAutospacing="0"/>
                    <w:ind w:left="0" w:right="0"/>
                    <w:jc w:val="center"/>
                    <w:rPr>
                      <w:rFonts w:hint="default" w:ascii="Times New Roman" w:hAnsi="Times New Roman" w:eastAsia="宋体" w:cs="Times New Roman"/>
                      <w:b w:val="0"/>
                      <w:bCs w:val="0"/>
                      <w:color w:val="0000FF"/>
                      <w:szCs w:val="21"/>
                      <w:highlight w:val="none"/>
                    </w:rPr>
                  </w:pPr>
                </w:p>
              </w:tc>
              <w:tc>
                <w:tcPr>
                  <w:tcW w:w="766" w:type="pct"/>
                  <w:shd w:val="clear" w:color="auto" w:fill="auto"/>
                  <w:vAlign w:val="center"/>
                </w:tcPr>
                <w:p w14:paraId="5062D46F">
                  <w:pPr>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color w:val="0000FF"/>
                      <w:kern w:val="2"/>
                      <w:sz w:val="21"/>
                      <w:szCs w:val="21"/>
                      <w:lang w:val="en-US" w:eastAsia="zh-CN" w:bidi="ar-SA"/>
                    </w:rPr>
                  </w:pPr>
                  <w:r>
                    <w:rPr>
                      <w:rFonts w:hint="default" w:ascii="Times New Roman" w:hAnsi="Times New Roman" w:eastAsia="宋体" w:cs="Times New Roman"/>
                      <w:color w:val="0000FF"/>
                      <w:szCs w:val="21"/>
                    </w:rPr>
                    <w:t>TF1200-25000</w:t>
                  </w:r>
                </w:p>
              </w:tc>
              <w:tc>
                <w:tcPr>
                  <w:tcW w:w="483" w:type="pct"/>
                  <w:shd w:val="clear" w:color="auto" w:fill="auto"/>
                  <w:vAlign w:val="center"/>
                </w:tcPr>
                <w:p w14:paraId="0A81C0FD">
                  <w:pPr>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color w:val="0000FF"/>
                      <w:kern w:val="2"/>
                      <w:sz w:val="21"/>
                      <w:szCs w:val="21"/>
                      <w:lang w:val="en-US" w:eastAsia="zh-CN" w:bidi="ar-SA"/>
                    </w:rPr>
                  </w:pPr>
                  <w:r>
                    <w:rPr>
                      <w:rFonts w:hint="default" w:ascii="Times New Roman" w:hAnsi="Times New Roman" w:eastAsia="宋体" w:cs="Times New Roman"/>
                      <w:color w:val="0000FF"/>
                      <w:szCs w:val="21"/>
                    </w:rPr>
                    <w:t>/</w:t>
                  </w:r>
                </w:p>
              </w:tc>
              <w:tc>
                <w:tcPr>
                  <w:tcW w:w="417" w:type="pct"/>
                  <w:shd w:val="clear" w:color="auto" w:fill="auto"/>
                  <w:vAlign w:val="center"/>
                </w:tcPr>
                <w:p w14:paraId="32E43D5E">
                  <w:pPr>
                    <w:keepNext w:val="0"/>
                    <w:keepLines w:val="0"/>
                    <w:suppressLineNumbers w:val="0"/>
                    <w:spacing w:before="0" w:beforeAutospacing="0" w:after="0" w:afterAutospacing="0"/>
                    <w:ind w:left="0" w:leftChars="0" w:right="0" w:rightChars="0"/>
                    <w:jc w:val="center"/>
                    <w:rPr>
                      <w:rFonts w:hint="eastAsia" w:ascii="Times New Roman" w:hAnsi="Times New Roman" w:eastAsia="宋体" w:cs="Times New Roman"/>
                      <w:color w:val="0000FF"/>
                      <w:kern w:val="2"/>
                      <w:sz w:val="21"/>
                      <w:szCs w:val="21"/>
                      <w:lang w:val="en-US" w:eastAsia="zh-CN" w:bidi="ar-SA"/>
                    </w:rPr>
                  </w:pPr>
                  <w:r>
                    <w:rPr>
                      <w:rFonts w:hint="default" w:ascii="Times New Roman" w:hAnsi="Times New Roman" w:eastAsia="宋体" w:cs="Times New Roman"/>
                      <w:color w:val="0000FF"/>
                      <w:szCs w:val="21"/>
                    </w:rPr>
                    <w:t>1</w:t>
                  </w:r>
                </w:p>
              </w:tc>
              <w:tc>
                <w:tcPr>
                  <w:tcW w:w="592" w:type="pct"/>
                  <w:shd w:val="clear" w:color="auto" w:fill="auto"/>
                  <w:vAlign w:val="center"/>
                </w:tcPr>
                <w:p w14:paraId="00279DE2">
                  <w:pPr>
                    <w:keepNext w:val="0"/>
                    <w:keepLines w:val="0"/>
                    <w:suppressLineNumbers w:val="0"/>
                    <w:spacing w:before="0" w:beforeAutospacing="0" w:after="0" w:afterAutospacing="0"/>
                    <w:ind w:left="0" w:leftChars="0" w:right="0" w:rightChars="0"/>
                    <w:jc w:val="center"/>
                    <w:rPr>
                      <w:rFonts w:hint="eastAsia" w:ascii="Times New Roman" w:hAnsi="Times New Roman" w:eastAsia="宋体" w:cs="Times New Roman"/>
                      <w:color w:val="0000FF"/>
                      <w:kern w:val="2"/>
                      <w:sz w:val="21"/>
                      <w:szCs w:val="21"/>
                      <w:lang w:val="en-US" w:eastAsia="zh-CN" w:bidi="ar-SA"/>
                    </w:rPr>
                  </w:pPr>
                  <w:r>
                    <w:rPr>
                      <w:rFonts w:hint="default" w:ascii="Times New Roman" w:hAnsi="Times New Roman" w:eastAsia="宋体" w:cs="Times New Roman"/>
                      <w:color w:val="0000FF"/>
                      <w:szCs w:val="21"/>
                    </w:rPr>
                    <w:t>1</w:t>
                  </w:r>
                </w:p>
              </w:tc>
              <w:tc>
                <w:tcPr>
                  <w:tcW w:w="537" w:type="pct"/>
                  <w:shd w:val="clear" w:color="auto" w:fill="auto"/>
                  <w:vAlign w:val="center"/>
                </w:tcPr>
                <w:p w14:paraId="372C2988">
                  <w:pPr>
                    <w:keepNext w:val="0"/>
                    <w:keepLines w:val="0"/>
                    <w:suppressLineNumbers w:val="0"/>
                    <w:spacing w:before="0" w:beforeAutospacing="0" w:after="0" w:afterAutospacing="0"/>
                    <w:ind w:left="0" w:leftChars="0" w:right="0" w:rightChars="0"/>
                    <w:jc w:val="center"/>
                    <w:rPr>
                      <w:rFonts w:hint="eastAsia" w:ascii="Times New Roman" w:hAnsi="Times New Roman" w:eastAsia="宋体" w:cs="Times New Roman"/>
                      <w:color w:val="0000FF"/>
                      <w:kern w:val="2"/>
                      <w:sz w:val="21"/>
                      <w:szCs w:val="21"/>
                      <w:lang w:val="en-US" w:eastAsia="zh-CN" w:bidi="ar-SA"/>
                    </w:rPr>
                  </w:pPr>
                  <w:r>
                    <w:rPr>
                      <w:rFonts w:hint="default" w:ascii="Times New Roman" w:hAnsi="Times New Roman" w:eastAsia="宋体" w:cs="Times New Roman"/>
                      <w:color w:val="0000FF"/>
                      <w:szCs w:val="21"/>
                    </w:rPr>
                    <w:t>+1</w:t>
                  </w:r>
                </w:p>
              </w:tc>
              <w:tc>
                <w:tcPr>
                  <w:tcW w:w="536" w:type="pct"/>
                  <w:gridSpan w:val="2"/>
                  <w:vMerge w:val="continue"/>
                  <w:vAlign w:val="center"/>
                </w:tcPr>
                <w:p w14:paraId="74AE37BD">
                  <w:pPr>
                    <w:keepNext w:val="0"/>
                    <w:keepLines w:val="0"/>
                    <w:suppressLineNumbers w:val="0"/>
                    <w:spacing w:before="0" w:beforeAutospacing="0" w:after="0" w:afterAutospacing="0"/>
                    <w:ind w:left="0" w:right="0"/>
                    <w:jc w:val="center"/>
                    <w:rPr>
                      <w:rFonts w:hint="eastAsia" w:ascii="Times New Roman" w:hAnsi="Times New Roman" w:eastAsia="宋体" w:cs="Times New Roman"/>
                      <w:b w:val="0"/>
                      <w:bCs w:val="0"/>
                      <w:color w:val="0000FF"/>
                      <w:szCs w:val="21"/>
                      <w:highlight w:val="none"/>
                      <w:lang w:val="en-US" w:eastAsia="zh-CN"/>
                    </w:rPr>
                  </w:pPr>
                </w:p>
              </w:tc>
              <w:tc>
                <w:tcPr>
                  <w:tcW w:w="320" w:type="pct"/>
                  <w:shd w:val="clear" w:color="auto" w:fill="auto"/>
                  <w:vAlign w:val="center"/>
                </w:tcPr>
                <w:p w14:paraId="1F15414A">
                  <w:pPr>
                    <w:keepNext w:val="0"/>
                    <w:keepLines w:val="0"/>
                    <w:suppressLineNumbers w:val="0"/>
                    <w:spacing w:before="0" w:beforeAutospacing="0" w:after="0" w:afterAutospacing="0" w:line="240" w:lineRule="auto"/>
                    <w:ind w:left="0" w:right="0"/>
                    <w:jc w:val="center"/>
                    <w:rPr>
                      <w:rFonts w:hint="default" w:ascii="Times New Roman" w:hAnsi="Times New Roman" w:eastAsia="宋体" w:cs="Times New Roman"/>
                      <w:b w:val="0"/>
                      <w:bCs w:val="0"/>
                      <w:color w:val="0000FF"/>
                      <w:kern w:val="2"/>
                      <w:sz w:val="21"/>
                      <w:szCs w:val="21"/>
                      <w:highlight w:val="none"/>
                      <w:lang w:val="en-US" w:eastAsia="zh-CN" w:bidi="ar-SA"/>
                    </w:rPr>
                  </w:pPr>
                  <w:r>
                    <w:rPr>
                      <w:rFonts w:hint="default" w:ascii="Times New Roman" w:hAnsi="Times New Roman" w:eastAsia="宋体" w:cs="Times New Roman"/>
                      <w:b w:val="0"/>
                      <w:bCs w:val="0"/>
                      <w:color w:val="0000FF"/>
                      <w:sz w:val="21"/>
                      <w:szCs w:val="21"/>
                      <w:highlight w:val="none"/>
                      <w:lang w:val="en-US" w:eastAsia="zh-CN"/>
                    </w:rPr>
                    <w:t>新增</w:t>
                  </w:r>
                </w:p>
              </w:tc>
            </w:tr>
            <w:tr w14:paraId="3E7FA1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291" w:type="pct"/>
                  <w:shd w:val="clear" w:color="auto" w:fill="auto"/>
                  <w:vAlign w:val="center"/>
                </w:tcPr>
                <w:p w14:paraId="0CE47D5A">
                  <w:pPr>
                    <w:keepNext w:val="0"/>
                    <w:keepLines w:val="0"/>
                    <w:suppressLineNumbers w:val="0"/>
                    <w:spacing w:before="0" w:beforeAutospacing="0" w:after="0" w:afterAutospacing="0"/>
                    <w:ind w:left="0" w:right="0"/>
                    <w:jc w:val="center"/>
                    <w:rPr>
                      <w:rFonts w:hint="default" w:ascii="Times New Roman" w:hAnsi="Times New Roman" w:eastAsia="宋体" w:cs="Times New Roman"/>
                      <w:b w:val="0"/>
                      <w:bCs w:val="0"/>
                      <w:color w:val="0000FF"/>
                      <w:szCs w:val="21"/>
                      <w:highlight w:val="none"/>
                      <w:lang w:val="en-US" w:eastAsia="zh-CN"/>
                    </w:rPr>
                  </w:pPr>
                  <w:r>
                    <w:rPr>
                      <w:rFonts w:hint="eastAsia" w:ascii="Times New Roman" w:hAnsi="Times New Roman" w:eastAsia="宋体" w:cs="Times New Roman"/>
                      <w:b w:val="0"/>
                      <w:bCs w:val="0"/>
                      <w:color w:val="0000FF"/>
                      <w:szCs w:val="21"/>
                      <w:highlight w:val="none"/>
                      <w:lang w:val="en-US" w:eastAsia="zh-CN"/>
                    </w:rPr>
                    <w:t>38</w:t>
                  </w:r>
                </w:p>
              </w:tc>
              <w:tc>
                <w:tcPr>
                  <w:tcW w:w="394" w:type="pct"/>
                  <w:vMerge w:val="continue"/>
                  <w:vAlign w:val="center"/>
                </w:tcPr>
                <w:p w14:paraId="7C260F00">
                  <w:pPr>
                    <w:keepNext w:val="0"/>
                    <w:keepLines w:val="0"/>
                    <w:suppressLineNumbers w:val="0"/>
                    <w:spacing w:before="0" w:beforeAutospacing="0" w:after="0" w:afterAutospacing="0"/>
                    <w:ind w:left="0" w:right="0"/>
                    <w:jc w:val="center"/>
                    <w:rPr>
                      <w:rFonts w:hint="default" w:ascii="Times New Roman" w:hAnsi="Times New Roman" w:eastAsia="宋体" w:cs="Times New Roman"/>
                      <w:b w:val="0"/>
                      <w:bCs w:val="0"/>
                      <w:color w:val="0000FF"/>
                      <w:szCs w:val="21"/>
                      <w:highlight w:val="none"/>
                    </w:rPr>
                  </w:pPr>
                </w:p>
              </w:tc>
              <w:tc>
                <w:tcPr>
                  <w:tcW w:w="660" w:type="pct"/>
                  <w:vMerge w:val="continue"/>
                  <w:vAlign w:val="center"/>
                </w:tcPr>
                <w:p w14:paraId="2394C27D">
                  <w:pPr>
                    <w:keepNext w:val="0"/>
                    <w:keepLines w:val="0"/>
                    <w:suppressLineNumbers w:val="0"/>
                    <w:spacing w:before="0" w:beforeAutospacing="0" w:after="0" w:afterAutospacing="0"/>
                    <w:ind w:left="0" w:right="0"/>
                    <w:jc w:val="center"/>
                    <w:rPr>
                      <w:rFonts w:hint="default" w:ascii="Times New Roman" w:hAnsi="Times New Roman" w:eastAsia="宋体" w:cs="Times New Roman"/>
                      <w:b w:val="0"/>
                      <w:bCs w:val="0"/>
                      <w:color w:val="0000FF"/>
                      <w:szCs w:val="21"/>
                      <w:highlight w:val="none"/>
                    </w:rPr>
                  </w:pPr>
                </w:p>
              </w:tc>
              <w:tc>
                <w:tcPr>
                  <w:tcW w:w="766" w:type="pct"/>
                  <w:shd w:val="clear" w:color="auto" w:fill="auto"/>
                  <w:vAlign w:val="center"/>
                </w:tcPr>
                <w:p w14:paraId="43EA5FBF">
                  <w:pPr>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color w:val="0000FF"/>
                      <w:kern w:val="2"/>
                      <w:sz w:val="21"/>
                      <w:szCs w:val="21"/>
                      <w:lang w:val="en-US" w:eastAsia="zh-CN" w:bidi="ar-SA"/>
                    </w:rPr>
                  </w:pPr>
                  <w:r>
                    <w:rPr>
                      <w:rFonts w:hint="default" w:ascii="Times New Roman" w:hAnsi="Times New Roman" w:eastAsia="宋体" w:cs="Times New Roman"/>
                      <w:color w:val="0000FF"/>
                      <w:szCs w:val="21"/>
                    </w:rPr>
                    <w:t>双层</w:t>
                  </w:r>
                </w:p>
              </w:tc>
              <w:tc>
                <w:tcPr>
                  <w:tcW w:w="483" w:type="pct"/>
                  <w:shd w:val="clear" w:color="auto" w:fill="auto"/>
                  <w:vAlign w:val="center"/>
                </w:tcPr>
                <w:p w14:paraId="50492E0E">
                  <w:pPr>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color w:val="0000FF"/>
                      <w:kern w:val="2"/>
                      <w:sz w:val="21"/>
                      <w:szCs w:val="21"/>
                      <w:lang w:val="en-US" w:eastAsia="zh-CN" w:bidi="ar-SA"/>
                    </w:rPr>
                  </w:pPr>
                  <w:r>
                    <w:rPr>
                      <w:rFonts w:hint="default" w:ascii="Times New Roman" w:hAnsi="Times New Roman" w:eastAsia="宋体" w:cs="Times New Roman"/>
                      <w:color w:val="0000FF"/>
                      <w:szCs w:val="21"/>
                    </w:rPr>
                    <w:t>/</w:t>
                  </w:r>
                </w:p>
              </w:tc>
              <w:tc>
                <w:tcPr>
                  <w:tcW w:w="417" w:type="pct"/>
                  <w:shd w:val="clear" w:color="auto" w:fill="auto"/>
                  <w:vAlign w:val="center"/>
                </w:tcPr>
                <w:p w14:paraId="5646EAB4">
                  <w:pPr>
                    <w:keepNext w:val="0"/>
                    <w:keepLines w:val="0"/>
                    <w:suppressLineNumbers w:val="0"/>
                    <w:spacing w:before="0" w:beforeAutospacing="0" w:after="0" w:afterAutospacing="0"/>
                    <w:ind w:left="0" w:leftChars="0" w:right="0" w:rightChars="0"/>
                    <w:jc w:val="center"/>
                    <w:rPr>
                      <w:rFonts w:hint="eastAsia" w:ascii="Times New Roman" w:hAnsi="Times New Roman" w:eastAsia="宋体" w:cs="Times New Roman"/>
                      <w:color w:val="0000FF"/>
                      <w:kern w:val="2"/>
                      <w:sz w:val="21"/>
                      <w:szCs w:val="21"/>
                      <w:lang w:val="en-US" w:eastAsia="zh-CN" w:bidi="ar-SA"/>
                    </w:rPr>
                  </w:pPr>
                  <w:r>
                    <w:rPr>
                      <w:rFonts w:hint="default" w:ascii="Times New Roman" w:hAnsi="Times New Roman" w:eastAsia="宋体" w:cs="Times New Roman"/>
                      <w:color w:val="0000FF"/>
                      <w:szCs w:val="21"/>
                    </w:rPr>
                    <w:t>2</w:t>
                  </w:r>
                </w:p>
              </w:tc>
              <w:tc>
                <w:tcPr>
                  <w:tcW w:w="592" w:type="pct"/>
                  <w:shd w:val="clear" w:color="auto" w:fill="auto"/>
                  <w:vAlign w:val="center"/>
                </w:tcPr>
                <w:p w14:paraId="51CD22F7">
                  <w:pPr>
                    <w:keepNext w:val="0"/>
                    <w:keepLines w:val="0"/>
                    <w:suppressLineNumbers w:val="0"/>
                    <w:spacing w:before="0" w:beforeAutospacing="0" w:after="0" w:afterAutospacing="0"/>
                    <w:ind w:left="0" w:leftChars="0" w:right="0" w:rightChars="0"/>
                    <w:jc w:val="center"/>
                    <w:rPr>
                      <w:rFonts w:hint="eastAsia" w:ascii="Times New Roman" w:hAnsi="Times New Roman" w:eastAsia="宋体" w:cs="Times New Roman"/>
                      <w:color w:val="0000FF"/>
                      <w:kern w:val="2"/>
                      <w:sz w:val="21"/>
                      <w:szCs w:val="21"/>
                      <w:lang w:val="en-US" w:eastAsia="zh-CN" w:bidi="ar-SA"/>
                    </w:rPr>
                  </w:pPr>
                  <w:r>
                    <w:rPr>
                      <w:rFonts w:hint="default" w:ascii="Times New Roman" w:hAnsi="Times New Roman" w:eastAsia="宋体" w:cs="Times New Roman"/>
                      <w:color w:val="0000FF"/>
                      <w:szCs w:val="21"/>
                    </w:rPr>
                    <w:t>2</w:t>
                  </w:r>
                </w:p>
              </w:tc>
              <w:tc>
                <w:tcPr>
                  <w:tcW w:w="537" w:type="pct"/>
                  <w:shd w:val="clear" w:color="auto" w:fill="auto"/>
                  <w:vAlign w:val="center"/>
                </w:tcPr>
                <w:p w14:paraId="215588E7">
                  <w:pPr>
                    <w:keepNext w:val="0"/>
                    <w:keepLines w:val="0"/>
                    <w:suppressLineNumbers w:val="0"/>
                    <w:spacing w:before="0" w:beforeAutospacing="0" w:after="0" w:afterAutospacing="0"/>
                    <w:ind w:left="0" w:leftChars="0" w:right="0" w:rightChars="0"/>
                    <w:jc w:val="center"/>
                    <w:rPr>
                      <w:rFonts w:hint="eastAsia" w:ascii="Times New Roman" w:hAnsi="Times New Roman" w:eastAsia="宋体" w:cs="Times New Roman"/>
                      <w:color w:val="0000FF"/>
                      <w:kern w:val="2"/>
                      <w:sz w:val="21"/>
                      <w:szCs w:val="21"/>
                      <w:lang w:val="en-US" w:eastAsia="zh-CN" w:bidi="ar-SA"/>
                    </w:rPr>
                  </w:pPr>
                  <w:r>
                    <w:rPr>
                      <w:rFonts w:hint="default" w:ascii="Times New Roman" w:hAnsi="Times New Roman" w:eastAsia="宋体" w:cs="Times New Roman"/>
                      <w:color w:val="0000FF"/>
                      <w:szCs w:val="21"/>
                    </w:rPr>
                    <w:t>+2</w:t>
                  </w:r>
                </w:p>
              </w:tc>
              <w:tc>
                <w:tcPr>
                  <w:tcW w:w="536" w:type="pct"/>
                  <w:gridSpan w:val="2"/>
                  <w:vMerge w:val="continue"/>
                  <w:vAlign w:val="center"/>
                </w:tcPr>
                <w:p w14:paraId="08974DF7">
                  <w:pPr>
                    <w:keepNext w:val="0"/>
                    <w:keepLines w:val="0"/>
                    <w:suppressLineNumbers w:val="0"/>
                    <w:spacing w:before="0" w:beforeAutospacing="0" w:after="0" w:afterAutospacing="0"/>
                    <w:ind w:left="0" w:right="0"/>
                    <w:jc w:val="center"/>
                    <w:rPr>
                      <w:rFonts w:hint="eastAsia" w:ascii="Times New Roman" w:hAnsi="Times New Roman" w:eastAsia="宋体" w:cs="Times New Roman"/>
                      <w:b w:val="0"/>
                      <w:bCs w:val="0"/>
                      <w:color w:val="0000FF"/>
                      <w:szCs w:val="21"/>
                      <w:highlight w:val="none"/>
                      <w:lang w:val="en-US" w:eastAsia="zh-CN"/>
                    </w:rPr>
                  </w:pPr>
                </w:p>
              </w:tc>
              <w:tc>
                <w:tcPr>
                  <w:tcW w:w="320" w:type="pct"/>
                  <w:shd w:val="clear" w:color="auto" w:fill="auto"/>
                  <w:vAlign w:val="center"/>
                </w:tcPr>
                <w:p w14:paraId="489C4D71">
                  <w:pPr>
                    <w:keepNext w:val="0"/>
                    <w:keepLines w:val="0"/>
                    <w:suppressLineNumbers w:val="0"/>
                    <w:spacing w:before="0" w:beforeAutospacing="0" w:after="0" w:afterAutospacing="0" w:line="240" w:lineRule="auto"/>
                    <w:ind w:left="0" w:right="0"/>
                    <w:jc w:val="center"/>
                    <w:rPr>
                      <w:rFonts w:hint="default" w:ascii="Times New Roman" w:hAnsi="Times New Roman" w:eastAsia="宋体" w:cs="Times New Roman"/>
                      <w:b w:val="0"/>
                      <w:bCs w:val="0"/>
                      <w:color w:val="0000FF"/>
                      <w:kern w:val="2"/>
                      <w:sz w:val="21"/>
                      <w:szCs w:val="21"/>
                      <w:highlight w:val="none"/>
                      <w:lang w:val="en-US" w:eastAsia="zh-CN" w:bidi="ar-SA"/>
                    </w:rPr>
                  </w:pPr>
                  <w:r>
                    <w:rPr>
                      <w:rFonts w:hint="default" w:ascii="Times New Roman" w:hAnsi="Times New Roman" w:eastAsia="宋体" w:cs="Times New Roman"/>
                      <w:b w:val="0"/>
                      <w:bCs w:val="0"/>
                      <w:color w:val="0000FF"/>
                      <w:sz w:val="21"/>
                      <w:szCs w:val="21"/>
                      <w:highlight w:val="none"/>
                      <w:lang w:val="en-US" w:eastAsia="zh-CN"/>
                    </w:rPr>
                    <w:t>新增</w:t>
                  </w:r>
                </w:p>
              </w:tc>
            </w:tr>
            <w:tr w14:paraId="12143D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291" w:type="pct"/>
                  <w:shd w:val="clear" w:color="auto" w:fill="auto"/>
                  <w:vAlign w:val="center"/>
                </w:tcPr>
                <w:p w14:paraId="06870A0A">
                  <w:pPr>
                    <w:keepNext w:val="0"/>
                    <w:keepLines w:val="0"/>
                    <w:suppressLineNumbers w:val="0"/>
                    <w:spacing w:before="0" w:beforeAutospacing="0" w:after="0" w:afterAutospacing="0"/>
                    <w:ind w:left="0" w:right="0"/>
                    <w:jc w:val="center"/>
                    <w:rPr>
                      <w:rFonts w:hint="default" w:ascii="Times New Roman" w:hAnsi="Times New Roman" w:eastAsia="宋体" w:cs="Times New Roman"/>
                      <w:b w:val="0"/>
                      <w:bCs w:val="0"/>
                      <w:color w:val="0000FF"/>
                      <w:szCs w:val="21"/>
                      <w:highlight w:val="none"/>
                      <w:lang w:val="en-US" w:eastAsia="zh-CN"/>
                    </w:rPr>
                  </w:pPr>
                  <w:r>
                    <w:rPr>
                      <w:rFonts w:hint="eastAsia" w:ascii="Times New Roman" w:hAnsi="Times New Roman" w:eastAsia="宋体" w:cs="Times New Roman"/>
                      <w:b w:val="0"/>
                      <w:bCs w:val="0"/>
                      <w:color w:val="0000FF"/>
                      <w:szCs w:val="21"/>
                      <w:highlight w:val="none"/>
                      <w:lang w:val="en-US" w:eastAsia="zh-CN"/>
                    </w:rPr>
                    <w:t>39</w:t>
                  </w:r>
                </w:p>
              </w:tc>
              <w:tc>
                <w:tcPr>
                  <w:tcW w:w="394" w:type="pct"/>
                  <w:vMerge w:val="continue"/>
                  <w:vAlign w:val="center"/>
                </w:tcPr>
                <w:p w14:paraId="330EAA3F">
                  <w:pPr>
                    <w:keepNext w:val="0"/>
                    <w:keepLines w:val="0"/>
                    <w:suppressLineNumbers w:val="0"/>
                    <w:spacing w:before="0" w:beforeAutospacing="0" w:after="0" w:afterAutospacing="0"/>
                    <w:ind w:left="0" w:right="0"/>
                    <w:jc w:val="center"/>
                    <w:rPr>
                      <w:rFonts w:hint="default" w:ascii="Times New Roman" w:hAnsi="Times New Roman" w:eastAsia="宋体" w:cs="Times New Roman"/>
                      <w:b w:val="0"/>
                      <w:bCs w:val="0"/>
                      <w:color w:val="0000FF"/>
                      <w:szCs w:val="21"/>
                      <w:highlight w:val="none"/>
                    </w:rPr>
                  </w:pPr>
                </w:p>
              </w:tc>
              <w:tc>
                <w:tcPr>
                  <w:tcW w:w="660" w:type="pct"/>
                  <w:vMerge w:val="continue"/>
                  <w:vAlign w:val="center"/>
                </w:tcPr>
                <w:p w14:paraId="556D0390">
                  <w:pPr>
                    <w:keepNext w:val="0"/>
                    <w:keepLines w:val="0"/>
                    <w:suppressLineNumbers w:val="0"/>
                    <w:spacing w:before="0" w:beforeAutospacing="0" w:after="0" w:afterAutospacing="0"/>
                    <w:ind w:left="0" w:right="0"/>
                    <w:jc w:val="center"/>
                    <w:rPr>
                      <w:rFonts w:hint="default" w:ascii="Times New Roman" w:hAnsi="Times New Roman" w:eastAsia="宋体" w:cs="Times New Roman"/>
                      <w:b w:val="0"/>
                      <w:bCs w:val="0"/>
                      <w:color w:val="0000FF"/>
                      <w:szCs w:val="21"/>
                      <w:highlight w:val="none"/>
                    </w:rPr>
                  </w:pPr>
                </w:p>
              </w:tc>
              <w:tc>
                <w:tcPr>
                  <w:tcW w:w="766" w:type="pct"/>
                  <w:shd w:val="clear" w:color="auto" w:fill="auto"/>
                  <w:vAlign w:val="center"/>
                </w:tcPr>
                <w:p w14:paraId="328324B5">
                  <w:pPr>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color w:val="0000FF"/>
                      <w:kern w:val="2"/>
                      <w:sz w:val="21"/>
                      <w:szCs w:val="21"/>
                      <w:lang w:val="en-US" w:eastAsia="zh-CN" w:bidi="ar-SA"/>
                    </w:rPr>
                  </w:pPr>
                  <w:r>
                    <w:rPr>
                      <w:rFonts w:hint="default" w:ascii="Times New Roman" w:hAnsi="Times New Roman" w:eastAsia="宋体" w:cs="Times New Roman"/>
                      <w:color w:val="0000FF"/>
                      <w:szCs w:val="21"/>
                    </w:rPr>
                    <w:t>浸涂设备</w:t>
                  </w:r>
                </w:p>
              </w:tc>
              <w:tc>
                <w:tcPr>
                  <w:tcW w:w="483" w:type="pct"/>
                  <w:shd w:val="clear" w:color="auto" w:fill="auto"/>
                  <w:vAlign w:val="center"/>
                </w:tcPr>
                <w:p w14:paraId="7FE20AFC">
                  <w:pPr>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color w:val="0000FF"/>
                      <w:kern w:val="2"/>
                      <w:sz w:val="21"/>
                      <w:szCs w:val="21"/>
                      <w:lang w:val="en-US" w:eastAsia="zh-CN" w:bidi="ar-SA"/>
                    </w:rPr>
                  </w:pPr>
                  <w:r>
                    <w:rPr>
                      <w:rFonts w:hint="default" w:ascii="Times New Roman" w:hAnsi="Times New Roman" w:eastAsia="宋体" w:cs="Times New Roman"/>
                      <w:color w:val="0000FF"/>
                      <w:szCs w:val="21"/>
                    </w:rPr>
                    <w:t>/</w:t>
                  </w:r>
                </w:p>
              </w:tc>
              <w:tc>
                <w:tcPr>
                  <w:tcW w:w="417" w:type="pct"/>
                  <w:shd w:val="clear" w:color="auto" w:fill="auto"/>
                  <w:vAlign w:val="center"/>
                </w:tcPr>
                <w:p w14:paraId="674B3C1A">
                  <w:pPr>
                    <w:keepNext w:val="0"/>
                    <w:keepLines w:val="0"/>
                    <w:suppressLineNumbers w:val="0"/>
                    <w:spacing w:before="0" w:beforeAutospacing="0" w:after="0" w:afterAutospacing="0"/>
                    <w:ind w:left="0" w:leftChars="0" w:right="0" w:rightChars="0"/>
                    <w:jc w:val="center"/>
                    <w:rPr>
                      <w:rFonts w:hint="eastAsia" w:ascii="Times New Roman" w:hAnsi="Times New Roman" w:eastAsia="宋体" w:cs="Times New Roman"/>
                      <w:color w:val="0000FF"/>
                      <w:kern w:val="2"/>
                      <w:sz w:val="21"/>
                      <w:szCs w:val="21"/>
                      <w:lang w:val="en-US" w:eastAsia="zh-CN" w:bidi="ar-SA"/>
                    </w:rPr>
                  </w:pPr>
                  <w:r>
                    <w:rPr>
                      <w:rFonts w:hint="default" w:ascii="Times New Roman" w:hAnsi="Times New Roman" w:eastAsia="宋体" w:cs="Times New Roman"/>
                      <w:color w:val="0000FF"/>
                      <w:szCs w:val="21"/>
                    </w:rPr>
                    <w:t>3</w:t>
                  </w:r>
                </w:p>
              </w:tc>
              <w:tc>
                <w:tcPr>
                  <w:tcW w:w="592" w:type="pct"/>
                  <w:shd w:val="clear" w:color="auto" w:fill="auto"/>
                  <w:vAlign w:val="center"/>
                </w:tcPr>
                <w:p w14:paraId="012B4DC0">
                  <w:pPr>
                    <w:keepNext w:val="0"/>
                    <w:keepLines w:val="0"/>
                    <w:suppressLineNumbers w:val="0"/>
                    <w:spacing w:before="0" w:beforeAutospacing="0" w:after="0" w:afterAutospacing="0"/>
                    <w:ind w:left="0" w:leftChars="0" w:right="0" w:rightChars="0"/>
                    <w:jc w:val="center"/>
                    <w:rPr>
                      <w:rFonts w:hint="eastAsia" w:ascii="Times New Roman" w:hAnsi="Times New Roman" w:eastAsia="宋体" w:cs="Times New Roman"/>
                      <w:color w:val="0000FF"/>
                      <w:kern w:val="2"/>
                      <w:sz w:val="21"/>
                      <w:szCs w:val="21"/>
                      <w:lang w:val="en-US" w:eastAsia="zh-CN" w:bidi="ar-SA"/>
                    </w:rPr>
                  </w:pPr>
                  <w:r>
                    <w:rPr>
                      <w:rFonts w:hint="default" w:ascii="Times New Roman" w:hAnsi="Times New Roman" w:eastAsia="宋体" w:cs="Times New Roman"/>
                      <w:color w:val="0000FF"/>
                      <w:szCs w:val="21"/>
                    </w:rPr>
                    <w:t>3</w:t>
                  </w:r>
                </w:p>
              </w:tc>
              <w:tc>
                <w:tcPr>
                  <w:tcW w:w="537" w:type="pct"/>
                  <w:shd w:val="clear" w:color="auto" w:fill="auto"/>
                  <w:vAlign w:val="center"/>
                </w:tcPr>
                <w:p w14:paraId="0AE86C80">
                  <w:pPr>
                    <w:keepNext w:val="0"/>
                    <w:keepLines w:val="0"/>
                    <w:suppressLineNumbers w:val="0"/>
                    <w:spacing w:before="0" w:beforeAutospacing="0" w:after="0" w:afterAutospacing="0"/>
                    <w:ind w:left="0" w:leftChars="0" w:right="0" w:rightChars="0"/>
                    <w:jc w:val="center"/>
                    <w:rPr>
                      <w:rFonts w:hint="eastAsia" w:ascii="Times New Roman" w:hAnsi="Times New Roman" w:eastAsia="宋体" w:cs="Times New Roman"/>
                      <w:color w:val="0000FF"/>
                      <w:kern w:val="2"/>
                      <w:sz w:val="21"/>
                      <w:szCs w:val="21"/>
                      <w:lang w:val="en-US" w:eastAsia="zh-CN" w:bidi="ar-SA"/>
                    </w:rPr>
                  </w:pPr>
                  <w:r>
                    <w:rPr>
                      <w:rFonts w:hint="default" w:ascii="Times New Roman" w:hAnsi="Times New Roman" w:eastAsia="宋体" w:cs="Times New Roman"/>
                      <w:color w:val="0000FF"/>
                      <w:szCs w:val="21"/>
                    </w:rPr>
                    <w:t>+3</w:t>
                  </w:r>
                </w:p>
              </w:tc>
              <w:tc>
                <w:tcPr>
                  <w:tcW w:w="536" w:type="pct"/>
                  <w:gridSpan w:val="2"/>
                  <w:vMerge w:val="continue"/>
                  <w:vAlign w:val="center"/>
                </w:tcPr>
                <w:p w14:paraId="4CD8B780">
                  <w:pPr>
                    <w:keepNext w:val="0"/>
                    <w:keepLines w:val="0"/>
                    <w:suppressLineNumbers w:val="0"/>
                    <w:spacing w:before="0" w:beforeAutospacing="0" w:after="0" w:afterAutospacing="0"/>
                    <w:ind w:left="0" w:right="0"/>
                    <w:jc w:val="center"/>
                    <w:rPr>
                      <w:rFonts w:hint="eastAsia" w:ascii="Times New Roman" w:hAnsi="Times New Roman" w:eastAsia="宋体" w:cs="Times New Roman"/>
                      <w:b w:val="0"/>
                      <w:bCs w:val="0"/>
                      <w:color w:val="0000FF"/>
                      <w:szCs w:val="21"/>
                      <w:highlight w:val="none"/>
                      <w:lang w:val="en-US" w:eastAsia="zh-CN"/>
                    </w:rPr>
                  </w:pPr>
                </w:p>
              </w:tc>
              <w:tc>
                <w:tcPr>
                  <w:tcW w:w="320" w:type="pct"/>
                  <w:shd w:val="clear" w:color="auto" w:fill="auto"/>
                  <w:vAlign w:val="center"/>
                </w:tcPr>
                <w:p w14:paraId="42CEAB45">
                  <w:pPr>
                    <w:keepNext w:val="0"/>
                    <w:keepLines w:val="0"/>
                    <w:suppressLineNumbers w:val="0"/>
                    <w:spacing w:before="0" w:beforeAutospacing="0" w:after="0" w:afterAutospacing="0" w:line="240" w:lineRule="auto"/>
                    <w:ind w:left="0" w:right="0"/>
                    <w:jc w:val="center"/>
                    <w:rPr>
                      <w:rFonts w:hint="default" w:ascii="Times New Roman" w:hAnsi="Times New Roman" w:eastAsia="宋体" w:cs="Times New Roman"/>
                      <w:b w:val="0"/>
                      <w:bCs w:val="0"/>
                      <w:color w:val="0000FF"/>
                      <w:kern w:val="2"/>
                      <w:sz w:val="21"/>
                      <w:szCs w:val="21"/>
                      <w:highlight w:val="none"/>
                      <w:lang w:val="en-US" w:eastAsia="zh-CN" w:bidi="ar-SA"/>
                    </w:rPr>
                  </w:pPr>
                  <w:r>
                    <w:rPr>
                      <w:rFonts w:hint="default" w:ascii="Times New Roman" w:hAnsi="Times New Roman" w:eastAsia="宋体" w:cs="Times New Roman"/>
                      <w:b w:val="0"/>
                      <w:bCs w:val="0"/>
                      <w:color w:val="0000FF"/>
                      <w:sz w:val="21"/>
                      <w:szCs w:val="21"/>
                      <w:highlight w:val="none"/>
                      <w:lang w:val="en-US" w:eastAsia="zh-CN"/>
                    </w:rPr>
                    <w:t>新增</w:t>
                  </w:r>
                </w:p>
              </w:tc>
            </w:tr>
            <w:tr w14:paraId="5FF445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291" w:type="pct"/>
                  <w:shd w:val="clear" w:color="auto" w:fill="auto"/>
                  <w:vAlign w:val="center"/>
                </w:tcPr>
                <w:p w14:paraId="11C40149">
                  <w:pPr>
                    <w:keepNext w:val="0"/>
                    <w:keepLines w:val="0"/>
                    <w:suppressLineNumbers w:val="0"/>
                    <w:spacing w:before="0" w:beforeAutospacing="0" w:after="0" w:afterAutospacing="0"/>
                    <w:ind w:left="0" w:right="0"/>
                    <w:jc w:val="center"/>
                    <w:rPr>
                      <w:rFonts w:hint="default" w:ascii="Times New Roman" w:hAnsi="Times New Roman" w:eastAsia="宋体" w:cs="Times New Roman"/>
                      <w:b w:val="0"/>
                      <w:bCs w:val="0"/>
                      <w:color w:val="0000FF"/>
                      <w:szCs w:val="21"/>
                      <w:highlight w:val="none"/>
                      <w:lang w:val="en-US" w:eastAsia="zh-CN"/>
                    </w:rPr>
                  </w:pPr>
                  <w:r>
                    <w:rPr>
                      <w:rFonts w:hint="eastAsia" w:ascii="Times New Roman" w:hAnsi="Times New Roman" w:eastAsia="宋体" w:cs="Times New Roman"/>
                      <w:b w:val="0"/>
                      <w:bCs w:val="0"/>
                      <w:color w:val="0000FF"/>
                      <w:szCs w:val="21"/>
                      <w:highlight w:val="none"/>
                      <w:lang w:val="en-US" w:eastAsia="zh-CN"/>
                    </w:rPr>
                    <w:t>40</w:t>
                  </w:r>
                </w:p>
              </w:tc>
              <w:tc>
                <w:tcPr>
                  <w:tcW w:w="394" w:type="pct"/>
                  <w:vMerge w:val="continue"/>
                  <w:vAlign w:val="center"/>
                </w:tcPr>
                <w:p w14:paraId="44E8D49D">
                  <w:pPr>
                    <w:keepNext w:val="0"/>
                    <w:keepLines w:val="0"/>
                    <w:suppressLineNumbers w:val="0"/>
                    <w:spacing w:before="0" w:beforeAutospacing="0" w:after="0" w:afterAutospacing="0"/>
                    <w:ind w:left="0" w:right="0"/>
                    <w:jc w:val="center"/>
                    <w:rPr>
                      <w:rFonts w:hint="default" w:ascii="Times New Roman" w:hAnsi="Times New Roman" w:eastAsia="宋体" w:cs="Times New Roman"/>
                      <w:b w:val="0"/>
                      <w:bCs w:val="0"/>
                      <w:color w:val="0000FF"/>
                      <w:szCs w:val="21"/>
                      <w:highlight w:val="none"/>
                    </w:rPr>
                  </w:pPr>
                </w:p>
              </w:tc>
              <w:tc>
                <w:tcPr>
                  <w:tcW w:w="660" w:type="pct"/>
                  <w:vMerge w:val="continue"/>
                  <w:vAlign w:val="center"/>
                </w:tcPr>
                <w:p w14:paraId="52F6185A">
                  <w:pPr>
                    <w:keepNext w:val="0"/>
                    <w:keepLines w:val="0"/>
                    <w:suppressLineNumbers w:val="0"/>
                    <w:spacing w:before="0" w:beforeAutospacing="0" w:after="0" w:afterAutospacing="0"/>
                    <w:ind w:left="0" w:right="0"/>
                    <w:jc w:val="center"/>
                    <w:rPr>
                      <w:rFonts w:hint="default" w:ascii="Times New Roman" w:hAnsi="Times New Roman" w:eastAsia="宋体" w:cs="Times New Roman"/>
                      <w:b w:val="0"/>
                      <w:bCs w:val="0"/>
                      <w:color w:val="0000FF"/>
                      <w:szCs w:val="21"/>
                      <w:highlight w:val="none"/>
                    </w:rPr>
                  </w:pPr>
                </w:p>
              </w:tc>
              <w:tc>
                <w:tcPr>
                  <w:tcW w:w="766" w:type="pct"/>
                  <w:shd w:val="clear" w:color="auto" w:fill="auto"/>
                  <w:vAlign w:val="center"/>
                </w:tcPr>
                <w:p w14:paraId="04B576E3">
                  <w:pPr>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color w:val="0000FF"/>
                      <w:kern w:val="2"/>
                      <w:sz w:val="21"/>
                      <w:szCs w:val="21"/>
                      <w:lang w:val="en-US" w:eastAsia="zh-CN" w:bidi="ar-SA"/>
                    </w:rPr>
                  </w:pPr>
                  <w:r>
                    <w:rPr>
                      <w:rFonts w:hint="default" w:ascii="Times New Roman" w:hAnsi="Times New Roman" w:eastAsia="宋体" w:cs="Times New Roman"/>
                      <w:color w:val="0000FF"/>
                      <w:szCs w:val="21"/>
                    </w:rPr>
                    <w:t>L21200*1400*H1050</w:t>
                  </w:r>
                </w:p>
              </w:tc>
              <w:tc>
                <w:tcPr>
                  <w:tcW w:w="483" w:type="pct"/>
                  <w:shd w:val="clear" w:color="auto" w:fill="auto"/>
                  <w:vAlign w:val="center"/>
                </w:tcPr>
                <w:p w14:paraId="2F56521A">
                  <w:pPr>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color w:val="0000FF"/>
                      <w:kern w:val="2"/>
                      <w:sz w:val="21"/>
                      <w:szCs w:val="21"/>
                      <w:lang w:val="en-US" w:eastAsia="zh-CN" w:bidi="ar-SA"/>
                    </w:rPr>
                  </w:pPr>
                  <w:r>
                    <w:rPr>
                      <w:rFonts w:hint="default" w:ascii="Times New Roman" w:hAnsi="Times New Roman" w:eastAsia="宋体" w:cs="Times New Roman"/>
                      <w:color w:val="0000FF"/>
                      <w:szCs w:val="21"/>
                    </w:rPr>
                    <w:t>/</w:t>
                  </w:r>
                </w:p>
              </w:tc>
              <w:tc>
                <w:tcPr>
                  <w:tcW w:w="417" w:type="pct"/>
                  <w:shd w:val="clear" w:color="auto" w:fill="auto"/>
                  <w:vAlign w:val="center"/>
                </w:tcPr>
                <w:p w14:paraId="619F54F9">
                  <w:pPr>
                    <w:keepNext w:val="0"/>
                    <w:keepLines w:val="0"/>
                    <w:suppressLineNumbers w:val="0"/>
                    <w:spacing w:before="0" w:beforeAutospacing="0" w:after="0" w:afterAutospacing="0"/>
                    <w:ind w:left="0" w:leftChars="0" w:right="0" w:rightChars="0"/>
                    <w:jc w:val="center"/>
                    <w:rPr>
                      <w:rFonts w:hint="eastAsia" w:ascii="Times New Roman" w:hAnsi="Times New Roman" w:eastAsia="宋体" w:cs="Times New Roman"/>
                      <w:color w:val="0000FF"/>
                      <w:kern w:val="2"/>
                      <w:sz w:val="21"/>
                      <w:szCs w:val="21"/>
                      <w:lang w:val="en-US" w:eastAsia="zh-CN" w:bidi="ar-SA"/>
                    </w:rPr>
                  </w:pPr>
                  <w:r>
                    <w:rPr>
                      <w:rFonts w:hint="default" w:ascii="Times New Roman" w:hAnsi="Times New Roman" w:eastAsia="宋体" w:cs="Times New Roman"/>
                      <w:color w:val="0000FF"/>
                      <w:szCs w:val="21"/>
                    </w:rPr>
                    <w:t>2</w:t>
                  </w:r>
                </w:p>
              </w:tc>
              <w:tc>
                <w:tcPr>
                  <w:tcW w:w="592" w:type="pct"/>
                  <w:shd w:val="clear" w:color="auto" w:fill="auto"/>
                  <w:vAlign w:val="center"/>
                </w:tcPr>
                <w:p w14:paraId="21FB32B5">
                  <w:pPr>
                    <w:keepNext w:val="0"/>
                    <w:keepLines w:val="0"/>
                    <w:suppressLineNumbers w:val="0"/>
                    <w:spacing w:before="0" w:beforeAutospacing="0" w:after="0" w:afterAutospacing="0"/>
                    <w:ind w:left="0" w:leftChars="0" w:right="0" w:rightChars="0"/>
                    <w:jc w:val="center"/>
                    <w:rPr>
                      <w:rFonts w:hint="eastAsia" w:ascii="Times New Roman" w:hAnsi="Times New Roman" w:eastAsia="宋体" w:cs="Times New Roman"/>
                      <w:color w:val="0000FF"/>
                      <w:kern w:val="2"/>
                      <w:sz w:val="21"/>
                      <w:szCs w:val="21"/>
                      <w:lang w:val="en-US" w:eastAsia="zh-CN" w:bidi="ar-SA"/>
                    </w:rPr>
                  </w:pPr>
                  <w:r>
                    <w:rPr>
                      <w:rFonts w:hint="default" w:ascii="Times New Roman" w:hAnsi="Times New Roman" w:eastAsia="宋体" w:cs="Times New Roman"/>
                      <w:color w:val="0000FF"/>
                      <w:szCs w:val="21"/>
                    </w:rPr>
                    <w:t>2</w:t>
                  </w:r>
                </w:p>
              </w:tc>
              <w:tc>
                <w:tcPr>
                  <w:tcW w:w="537" w:type="pct"/>
                  <w:shd w:val="clear" w:color="auto" w:fill="auto"/>
                  <w:vAlign w:val="center"/>
                </w:tcPr>
                <w:p w14:paraId="70443098">
                  <w:pPr>
                    <w:keepNext w:val="0"/>
                    <w:keepLines w:val="0"/>
                    <w:suppressLineNumbers w:val="0"/>
                    <w:spacing w:before="0" w:beforeAutospacing="0" w:after="0" w:afterAutospacing="0"/>
                    <w:ind w:left="0" w:leftChars="0" w:right="0" w:rightChars="0"/>
                    <w:jc w:val="center"/>
                    <w:rPr>
                      <w:rFonts w:hint="eastAsia" w:ascii="Times New Roman" w:hAnsi="Times New Roman" w:eastAsia="宋体" w:cs="Times New Roman"/>
                      <w:color w:val="0000FF"/>
                      <w:kern w:val="2"/>
                      <w:sz w:val="21"/>
                      <w:szCs w:val="21"/>
                      <w:lang w:val="en-US" w:eastAsia="zh-CN" w:bidi="ar-SA"/>
                    </w:rPr>
                  </w:pPr>
                  <w:r>
                    <w:rPr>
                      <w:rFonts w:hint="default" w:ascii="Times New Roman" w:hAnsi="Times New Roman" w:eastAsia="宋体" w:cs="Times New Roman"/>
                      <w:color w:val="0000FF"/>
                      <w:szCs w:val="21"/>
                    </w:rPr>
                    <w:t>+2</w:t>
                  </w:r>
                </w:p>
              </w:tc>
              <w:tc>
                <w:tcPr>
                  <w:tcW w:w="536" w:type="pct"/>
                  <w:gridSpan w:val="2"/>
                  <w:vMerge w:val="continue"/>
                  <w:vAlign w:val="center"/>
                </w:tcPr>
                <w:p w14:paraId="06F915CC">
                  <w:pPr>
                    <w:keepNext w:val="0"/>
                    <w:keepLines w:val="0"/>
                    <w:suppressLineNumbers w:val="0"/>
                    <w:spacing w:before="0" w:beforeAutospacing="0" w:after="0" w:afterAutospacing="0"/>
                    <w:ind w:left="0" w:right="0"/>
                    <w:jc w:val="center"/>
                    <w:rPr>
                      <w:rFonts w:hint="eastAsia" w:ascii="Times New Roman" w:hAnsi="Times New Roman" w:eastAsia="宋体" w:cs="Times New Roman"/>
                      <w:b w:val="0"/>
                      <w:bCs w:val="0"/>
                      <w:color w:val="0000FF"/>
                      <w:szCs w:val="21"/>
                      <w:highlight w:val="none"/>
                      <w:lang w:val="en-US" w:eastAsia="zh-CN"/>
                    </w:rPr>
                  </w:pPr>
                </w:p>
              </w:tc>
              <w:tc>
                <w:tcPr>
                  <w:tcW w:w="320" w:type="pct"/>
                  <w:shd w:val="clear" w:color="auto" w:fill="auto"/>
                  <w:vAlign w:val="center"/>
                </w:tcPr>
                <w:p w14:paraId="461DEDDD">
                  <w:pPr>
                    <w:keepNext w:val="0"/>
                    <w:keepLines w:val="0"/>
                    <w:suppressLineNumbers w:val="0"/>
                    <w:spacing w:before="0" w:beforeAutospacing="0" w:after="0" w:afterAutospacing="0" w:line="240" w:lineRule="auto"/>
                    <w:ind w:left="0" w:right="0"/>
                    <w:jc w:val="center"/>
                    <w:rPr>
                      <w:rFonts w:hint="default" w:ascii="Times New Roman" w:hAnsi="Times New Roman" w:eastAsia="宋体" w:cs="Times New Roman"/>
                      <w:b w:val="0"/>
                      <w:bCs w:val="0"/>
                      <w:color w:val="0000FF"/>
                      <w:kern w:val="2"/>
                      <w:sz w:val="21"/>
                      <w:szCs w:val="21"/>
                      <w:highlight w:val="none"/>
                      <w:lang w:val="en-US" w:eastAsia="zh-CN" w:bidi="ar-SA"/>
                    </w:rPr>
                  </w:pPr>
                  <w:r>
                    <w:rPr>
                      <w:rFonts w:hint="default" w:ascii="Times New Roman" w:hAnsi="Times New Roman" w:eastAsia="宋体" w:cs="Times New Roman"/>
                      <w:b w:val="0"/>
                      <w:bCs w:val="0"/>
                      <w:color w:val="0000FF"/>
                      <w:sz w:val="21"/>
                      <w:szCs w:val="21"/>
                      <w:highlight w:val="none"/>
                      <w:lang w:val="en-US" w:eastAsia="zh-CN"/>
                    </w:rPr>
                    <w:t>新增</w:t>
                  </w:r>
                </w:p>
              </w:tc>
            </w:tr>
            <w:tr w14:paraId="460BD0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291" w:type="pct"/>
                  <w:shd w:val="clear" w:color="auto" w:fill="auto"/>
                  <w:vAlign w:val="center"/>
                </w:tcPr>
                <w:p w14:paraId="57DF2CA6">
                  <w:pPr>
                    <w:keepNext w:val="0"/>
                    <w:keepLines w:val="0"/>
                    <w:suppressLineNumbers w:val="0"/>
                    <w:spacing w:before="0" w:beforeAutospacing="0" w:after="0" w:afterAutospacing="0"/>
                    <w:ind w:left="0" w:right="0"/>
                    <w:jc w:val="center"/>
                    <w:rPr>
                      <w:rFonts w:hint="default" w:ascii="Times New Roman" w:hAnsi="Times New Roman" w:eastAsia="宋体" w:cs="Times New Roman"/>
                      <w:b w:val="0"/>
                      <w:bCs w:val="0"/>
                      <w:color w:val="0000FF"/>
                      <w:szCs w:val="21"/>
                      <w:highlight w:val="none"/>
                      <w:lang w:val="en-US" w:eastAsia="zh-CN"/>
                    </w:rPr>
                  </w:pPr>
                  <w:r>
                    <w:rPr>
                      <w:rFonts w:hint="eastAsia" w:ascii="Times New Roman" w:hAnsi="Times New Roman" w:eastAsia="宋体" w:cs="Times New Roman"/>
                      <w:b w:val="0"/>
                      <w:bCs w:val="0"/>
                      <w:color w:val="0000FF"/>
                      <w:szCs w:val="21"/>
                      <w:highlight w:val="none"/>
                      <w:lang w:val="en-US" w:eastAsia="zh-CN"/>
                    </w:rPr>
                    <w:t>41</w:t>
                  </w:r>
                </w:p>
              </w:tc>
              <w:tc>
                <w:tcPr>
                  <w:tcW w:w="394" w:type="pct"/>
                  <w:vMerge w:val="continue"/>
                  <w:vAlign w:val="center"/>
                </w:tcPr>
                <w:p w14:paraId="0446289A">
                  <w:pPr>
                    <w:keepNext w:val="0"/>
                    <w:keepLines w:val="0"/>
                    <w:suppressLineNumbers w:val="0"/>
                    <w:spacing w:before="0" w:beforeAutospacing="0" w:after="0" w:afterAutospacing="0"/>
                    <w:ind w:left="0" w:right="0"/>
                    <w:jc w:val="center"/>
                    <w:rPr>
                      <w:rFonts w:hint="default" w:ascii="Times New Roman" w:hAnsi="Times New Roman" w:eastAsia="宋体" w:cs="Times New Roman"/>
                      <w:b w:val="0"/>
                      <w:bCs w:val="0"/>
                      <w:color w:val="0000FF"/>
                      <w:szCs w:val="21"/>
                      <w:highlight w:val="none"/>
                    </w:rPr>
                  </w:pPr>
                </w:p>
              </w:tc>
              <w:tc>
                <w:tcPr>
                  <w:tcW w:w="660" w:type="pct"/>
                  <w:vMerge w:val="restart"/>
                  <w:shd w:val="clear" w:color="auto" w:fill="auto"/>
                  <w:vAlign w:val="center"/>
                </w:tcPr>
                <w:p w14:paraId="4CAA33D4">
                  <w:pPr>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color w:val="0000FF"/>
                      <w:kern w:val="2"/>
                      <w:sz w:val="21"/>
                      <w:szCs w:val="21"/>
                      <w:lang w:val="en-US" w:eastAsia="zh-CN" w:bidi="ar-SA"/>
                    </w:rPr>
                  </w:pPr>
                  <w:r>
                    <w:rPr>
                      <w:rFonts w:hint="default" w:ascii="Times New Roman" w:hAnsi="Times New Roman" w:eastAsia="宋体" w:cs="Times New Roman"/>
                      <w:color w:val="0000FF"/>
                      <w:szCs w:val="21"/>
                    </w:rPr>
                    <w:t>剥离收卷机</w:t>
                  </w:r>
                </w:p>
              </w:tc>
              <w:tc>
                <w:tcPr>
                  <w:tcW w:w="766" w:type="pct"/>
                  <w:shd w:val="clear" w:color="auto" w:fill="auto"/>
                  <w:vAlign w:val="center"/>
                </w:tcPr>
                <w:p w14:paraId="05382688">
                  <w:pPr>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color w:val="0000FF"/>
                      <w:kern w:val="2"/>
                      <w:sz w:val="21"/>
                      <w:szCs w:val="21"/>
                      <w:lang w:val="en-US" w:eastAsia="zh-CN" w:bidi="ar-SA"/>
                    </w:rPr>
                  </w:pPr>
                  <w:r>
                    <w:rPr>
                      <w:rFonts w:hint="default" w:ascii="Times New Roman" w:hAnsi="Times New Roman" w:eastAsia="宋体" w:cs="Times New Roman"/>
                      <w:color w:val="0000FF"/>
                      <w:szCs w:val="21"/>
                    </w:rPr>
                    <w:t>DPW1250-D</w:t>
                  </w:r>
                </w:p>
              </w:tc>
              <w:tc>
                <w:tcPr>
                  <w:tcW w:w="483" w:type="pct"/>
                  <w:shd w:val="clear" w:color="auto" w:fill="auto"/>
                  <w:vAlign w:val="center"/>
                </w:tcPr>
                <w:p w14:paraId="29450EF5">
                  <w:pPr>
                    <w:keepNext w:val="0"/>
                    <w:keepLines w:val="0"/>
                    <w:suppressLineNumbers w:val="0"/>
                    <w:spacing w:before="0" w:beforeAutospacing="0" w:after="0" w:afterAutospacing="0"/>
                    <w:ind w:left="0" w:leftChars="0" w:right="0" w:rightChars="0"/>
                    <w:jc w:val="center"/>
                    <w:rPr>
                      <w:rFonts w:hint="eastAsia" w:ascii="Times New Roman" w:hAnsi="Times New Roman" w:eastAsia="宋体" w:cs="Times New Roman"/>
                      <w:color w:val="0000FF"/>
                      <w:kern w:val="2"/>
                      <w:sz w:val="21"/>
                      <w:szCs w:val="21"/>
                      <w:lang w:val="en-US" w:eastAsia="zh-CN" w:bidi="ar-SA"/>
                    </w:rPr>
                  </w:pPr>
                  <w:r>
                    <w:rPr>
                      <w:rFonts w:hint="default" w:ascii="Times New Roman" w:hAnsi="Times New Roman" w:eastAsia="宋体" w:cs="Times New Roman"/>
                      <w:color w:val="0000FF"/>
                      <w:szCs w:val="21"/>
                    </w:rPr>
                    <w:t>2</w:t>
                  </w:r>
                </w:p>
              </w:tc>
              <w:tc>
                <w:tcPr>
                  <w:tcW w:w="417" w:type="pct"/>
                  <w:shd w:val="clear" w:color="auto" w:fill="auto"/>
                  <w:vAlign w:val="center"/>
                </w:tcPr>
                <w:p w14:paraId="7DD8C4E2">
                  <w:pPr>
                    <w:keepNext w:val="0"/>
                    <w:keepLines w:val="0"/>
                    <w:suppressLineNumbers w:val="0"/>
                    <w:spacing w:before="0" w:beforeAutospacing="0" w:after="0" w:afterAutospacing="0"/>
                    <w:ind w:left="0" w:leftChars="0" w:right="0" w:rightChars="0"/>
                    <w:jc w:val="center"/>
                    <w:rPr>
                      <w:rFonts w:hint="eastAsia" w:ascii="Times New Roman" w:hAnsi="Times New Roman" w:eastAsia="宋体" w:cs="Times New Roman"/>
                      <w:color w:val="0000FF"/>
                      <w:kern w:val="2"/>
                      <w:sz w:val="21"/>
                      <w:szCs w:val="21"/>
                      <w:lang w:val="en-US" w:eastAsia="zh-CN" w:bidi="ar-SA"/>
                    </w:rPr>
                  </w:pPr>
                  <w:r>
                    <w:rPr>
                      <w:rFonts w:hint="default" w:ascii="Times New Roman" w:hAnsi="Times New Roman" w:eastAsia="宋体" w:cs="Times New Roman"/>
                      <w:color w:val="0000FF"/>
                      <w:szCs w:val="21"/>
                    </w:rPr>
                    <w:t>1</w:t>
                  </w:r>
                </w:p>
              </w:tc>
              <w:tc>
                <w:tcPr>
                  <w:tcW w:w="592" w:type="pct"/>
                  <w:shd w:val="clear" w:color="auto" w:fill="auto"/>
                  <w:vAlign w:val="center"/>
                </w:tcPr>
                <w:p w14:paraId="23446DB4">
                  <w:pPr>
                    <w:keepNext w:val="0"/>
                    <w:keepLines w:val="0"/>
                    <w:suppressLineNumbers w:val="0"/>
                    <w:spacing w:before="0" w:beforeAutospacing="0" w:after="0" w:afterAutospacing="0"/>
                    <w:ind w:left="0" w:leftChars="0" w:right="0" w:rightChars="0"/>
                    <w:jc w:val="center"/>
                    <w:rPr>
                      <w:rFonts w:hint="eastAsia" w:ascii="Times New Roman" w:hAnsi="Times New Roman" w:eastAsia="宋体" w:cs="Times New Roman"/>
                      <w:color w:val="0000FF"/>
                      <w:kern w:val="2"/>
                      <w:sz w:val="21"/>
                      <w:szCs w:val="21"/>
                      <w:lang w:val="en-US" w:eastAsia="zh-CN" w:bidi="ar-SA"/>
                    </w:rPr>
                  </w:pPr>
                  <w:r>
                    <w:rPr>
                      <w:rFonts w:hint="default" w:ascii="Times New Roman" w:hAnsi="Times New Roman" w:eastAsia="宋体" w:cs="Times New Roman"/>
                      <w:color w:val="0000FF"/>
                      <w:szCs w:val="21"/>
                    </w:rPr>
                    <w:t>1</w:t>
                  </w:r>
                </w:p>
              </w:tc>
              <w:tc>
                <w:tcPr>
                  <w:tcW w:w="537" w:type="pct"/>
                  <w:shd w:val="clear" w:color="auto" w:fill="auto"/>
                  <w:vAlign w:val="center"/>
                </w:tcPr>
                <w:p w14:paraId="20946BC8">
                  <w:pPr>
                    <w:keepNext w:val="0"/>
                    <w:keepLines w:val="0"/>
                    <w:suppressLineNumbers w:val="0"/>
                    <w:spacing w:before="0" w:beforeAutospacing="0" w:after="0" w:afterAutospacing="0"/>
                    <w:ind w:left="0" w:leftChars="0" w:right="0" w:rightChars="0"/>
                    <w:jc w:val="center"/>
                    <w:rPr>
                      <w:rFonts w:hint="eastAsia" w:ascii="Times New Roman" w:hAnsi="Times New Roman" w:eastAsia="宋体" w:cs="Times New Roman"/>
                      <w:color w:val="0000FF"/>
                      <w:kern w:val="2"/>
                      <w:sz w:val="21"/>
                      <w:szCs w:val="21"/>
                      <w:lang w:val="en-US" w:eastAsia="zh-CN" w:bidi="ar-SA"/>
                    </w:rPr>
                  </w:pPr>
                  <w:r>
                    <w:rPr>
                      <w:rFonts w:hint="default" w:ascii="Times New Roman" w:hAnsi="Times New Roman" w:eastAsia="宋体" w:cs="Times New Roman"/>
                      <w:color w:val="0000FF"/>
                      <w:szCs w:val="21"/>
                    </w:rPr>
                    <w:t>-1</w:t>
                  </w:r>
                </w:p>
              </w:tc>
              <w:tc>
                <w:tcPr>
                  <w:tcW w:w="536" w:type="pct"/>
                  <w:gridSpan w:val="2"/>
                  <w:vMerge w:val="continue"/>
                  <w:vAlign w:val="center"/>
                </w:tcPr>
                <w:p w14:paraId="181EE3A4">
                  <w:pPr>
                    <w:keepNext w:val="0"/>
                    <w:keepLines w:val="0"/>
                    <w:suppressLineNumbers w:val="0"/>
                    <w:spacing w:before="0" w:beforeAutospacing="0" w:after="0" w:afterAutospacing="0"/>
                    <w:ind w:left="0" w:right="0"/>
                    <w:jc w:val="center"/>
                    <w:rPr>
                      <w:rFonts w:hint="eastAsia" w:ascii="Times New Roman" w:hAnsi="Times New Roman" w:eastAsia="宋体" w:cs="Times New Roman"/>
                      <w:b w:val="0"/>
                      <w:bCs w:val="0"/>
                      <w:color w:val="0000FF"/>
                      <w:szCs w:val="21"/>
                      <w:highlight w:val="none"/>
                      <w:lang w:val="en-US" w:eastAsia="zh-CN"/>
                    </w:rPr>
                  </w:pPr>
                </w:p>
              </w:tc>
              <w:tc>
                <w:tcPr>
                  <w:tcW w:w="320" w:type="pct"/>
                  <w:vAlign w:val="center"/>
                </w:tcPr>
                <w:p w14:paraId="75C316D8">
                  <w:pPr>
                    <w:keepNext w:val="0"/>
                    <w:keepLines w:val="0"/>
                    <w:suppressLineNumbers w:val="0"/>
                    <w:spacing w:before="0" w:beforeAutospacing="0" w:after="0" w:afterAutospacing="0"/>
                    <w:ind w:left="0" w:right="0"/>
                    <w:jc w:val="center"/>
                    <w:rPr>
                      <w:rFonts w:hint="eastAsia" w:ascii="Times New Roman" w:hAnsi="Times New Roman" w:eastAsia="宋体" w:cs="Times New Roman"/>
                      <w:b w:val="0"/>
                      <w:bCs w:val="0"/>
                      <w:color w:val="0000FF"/>
                      <w:szCs w:val="21"/>
                      <w:highlight w:val="none"/>
                      <w:lang w:val="en-US" w:eastAsia="zh-CN"/>
                    </w:rPr>
                  </w:pPr>
                  <w:r>
                    <w:rPr>
                      <w:rFonts w:hint="eastAsia" w:ascii="Times New Roman" w:hAnsi="Times New Roman" w:eastAsia="宋体" w:cs="Times New Roman"/>
                      <w:b w:val="0"/>
                      <w:bCs w:val="0"/>
                      <w:color w:val="0000FF"/>
                      <w:szCs w:val="21"/>
                      <w:highlight w:val="none"/>
                      <w:lang w:val="en-US" w:eastAsia="zh-CN"/>
                    </w:rPr>
                    <w:t>/</w:t>
                  </w:r>
                </w:p>
              </w:tc>
            </w:tr>
            <w:tr w14:paraId="5DB3CF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291" w:type="pct"/>
                  <w:shd w:val="clear" w:color="auto" w:fill="auto"/>
                  <w:vAlign w:val="center"/>
                </w:tcPr>
                <w:p w14:paraId="5672D2D9">
                  <w:pPr>
                    <w:keepNext w:val="0"/>
                    <w:keepLines w:val="0"/>
                    <w:suppressLineNumbers w:val="0"/>
                    <w:spacing w:before="0" w:beforeAutospacing="0" w:after="0" w:afterAutospacing="0"/>
                    <w:ind w:left="0" w:right="0"/>
                    <w:jc w:val="center"/>
                    <w:rPr>
                      <w:rFonts w:hint="default" w:ascii="Times New Roman" w:hAnsi="Times New Roman" w:eastAsia="宋体" w:cs="Times New Roman"/>
                      <w:b w:val="0"/>
                      <w:bCs w:val="0"/>
                      <w:color w:val="0000FF"/>
                      <w:szCs w:val="21"/>
                      <w:highlight w:val="none"/>
                      <w:lang w:val="en-US" w:eastAsia="zh-CN"/>
                    </w:rPr>
                  </w:pPr>
                  <w:r>
                    <w:rPr>
                      <w:rFonts w:hint="eastAsia" w:ascii="Times New Roman" w:hAnsi="Times New Roman" w:eastAsia="宋体" w:cs="Times New Roman"/>
                      <w:b w:val="0"/>
                      <w:bCs w:val="0"/>
                      <w:color w:val="0000FF"/>
                      <w:szCs w:val="21"/>
                      <w:highlight w:val="none"/>
                      <w:lang w:val="en-US" w:eastAsia="zh-CN"/>
                    </w:rPr>
                    <w:t>42</w:t>
                  </w:r>
                </w:p>
              </w:tc>
              <w:tc>
                <w:tcPr>
                  <w:tcW w:w="394" w:type="pct"/>
                  <w:vMerge w:val="continue"/>
                  <w:vAlign w:val="center"/>
                </w:tcPr>
                <w:p w14:paraId="30684964">
                  <w:pPr>
                    <w:keepNext w:val="0"/>
                    <w:keepLines w:val="0"/>
                    <w:suppressLineNumbers w:val="0"/>
                    <w:spacing w:before="0" w:beforeAutospacing="0" w:after="0" w:afterAutospacing="0"/>
                    <w:ind w:left="0" w:right="0"/>
                    <w:jc w:val="center"/>
                    <w:rPr>
                      <w:rFonts w:hint="default" w:ascii="Times New Roman" w:hAnsi="Times New Roman" w:eastAsia="宋体" w:cs="Times New Roman"/>
                      <w:b w:val="0"/>
                      <w:bCs w:val="0"/>
                      <w:color w:val="0000FF"/>
                      <w:szCs w:val="21"/>
                      <w:highlight w:val="none"/>
                    </w:rPr>
                  </w:pPr>
                </w:p>
              </w:tc>
              <w:tc>
                <w:tcPr>
                  <w:tcW w:w="660" w:type="pct"/>
                  <w:vMerge w:val="continue"/>
                  <w:vAlign w:val="center"/>
                </w:tcPr>
                <w:p w14:paraId="0CC74F9F">
                  <w:pPr>
                    <w:keepNext w:val="0"/>
                    <w:keepLines w:val="0"/>
                    <w:suppressLineNumbers w:val="0"/>
                    <w:spacing w:before="0" w:beforeAutospacing="0" w:after="0" w:afterAutospacing="0"/>
                    <w:ind w:left="0" w:right="0"/>
                    <w:jc w:val="center"/>
                    <w:rPr>
                      <w:rFonts w:hint="default" w:ascii="Times New Roman" w:hAnsi="Times New Roman" w:eastAsia="宋体" w:cs="Times New Roman"/>
                      <w:b w:val="0"/>
                      <w:bCs w:val="0"/>
                      <w:color w:val="0000FF"/>
                      <w:szCs w:val="21"/>
                      <w:highlight w:val="none"/>
                    </w:rPr>
                  </w:pPr>
                </w:p>
              </w:tc>
              <w:tc>
                <w:tcPr>
                  <w:tcW w:w="766" w:type="pct"/>
                  <w:shd w:val="clear" w:color="auto" w:fill="auto"/>
                  <w:vAlign w:val="center"/>
                </w:tcPr>
                <w:p w14:paraId="01811D52">
                  <w:pPr>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color w:val="0000FF"/>
                      <w:kern w:val="2"/>
                      <w:sz w:val="21"/>
                      <w:szCs w:val="21"/>
                      <w:lang w:val="en-US" w:eastAsia="zh-CN" w:bidi="ar-SA"/>
                    </w:rPr>
                  </w:pPr>
                  <w:r>
                    <w:rPr>
                      <w:rFonts w:hint="default" w:ascii="Times New Roman" w:hAnsi="Times New Roman" w:eastAsia="宋体" w:cs="Times New Roman"/>
                      <w:color w:val="0000FF"/>
                      <w:szCs w:val="21"/>
                    </w:rPr>
                    <w:t>DPW750-D</w:t>
                  </w:r>
                </w:p>
              </w:tc>
              <w:tc>
                <w:tcPr>
                  <w:tcW w:w="483" w:type="pct"/>
                  <w:shd w:val="clear" w:color="auto" w:fill="auto"/>
                  <w:vAlign w:val="center"/>
                </w:tcPr>
                <w:p w14:paraId="04B5F5E4">
                  <w:pPr>
                    <w:keepNext w:val="0"/>
                    <w:keepLines w:val="0"/>
                    <w:suppressLineNumbers w:val="0"/>
                    <w:spacing w:before="0" w:beforeAutospacing="0" w:after="0" w:afterAutospacing="0"/>
                    <w:ind w:left="0" w:leftChars="0" w:right="0" w:rightChars="0"/>
                    <w:jc w:val="center"/>
                    <w:rPr>
                      <w:rFonts w:hint="eastAsia" w:ascii="Times New Roman" w:hAnsi="Times New Roman" w:eastAsia="宋体" w:cs="Times New Roman"/>
                      <w:color w:val="0000FF"/>
                      <w:kern w:val="2"/>
                      <w:sz w:val="21"/>
                      <w:szCs w:val="21"/>
                      <w:lang w:val="en-US" w:eastAsia="zh-CN" w:bidi="ar-SA"/>
                    </w:rPr>
                  </w:pPr>
                  <w:r>
                    <w:rPr>
                      <w:rFonts w:hint="default" w:ascii="Times New Roman" w:hAnsi="Times New Roman" w:eastAsia="宋体" w:cs="Times New Roman"/>
                      <w:color w:val="0000FF"/>
                      <w:szCs w:val="21"/>
                    </w:rPr>
                    <w:t>2</w:t>
                  </w:r>
                </w:p>
              </w:tc>
              <w:tc>
                <w:tcPr>
                  <w:tcW w:w="417" w:type="pct"/>
                  <w:shd w:val="clear" w:color="auto" w:fill="auto"/>
                  <w:vAlign w:val="center"/>
                </w:tcPr>
                <w:p w14:paraId="090FFDCC">
                  <w:pPr>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color w:val="0000FF"/>
                      <w:kern w:val="2"/>
                      <w:sz w:val="21"/>
                      <w:szCs w:val="21"/>
                      <w:lang w:val="en-US" w:eastAsia="zh-CN" w:bidi="ar-SA"/>
                    </w:rPr>
                  </w:pPr>
                  <w:r>
                    <w:rPr>
                      <w:rFonts w:hint="default" w:ascii="Times New Roman" w:hAnsi="Times New Roman" w:eastAsia="宋体" w:cs="Times New Roman"/>
                      <w:color w:val="0000FF"/>
                      <w:szCs w:val="21"/>
                    </w:rPr>
                    <w:t>0</w:t>
                  </w:r>
                </w:p>
              </w:tc>
              <w:tc>
                <w:tcPr>
                  <w:tcW w:w="592" w:type="pct"/>
                  <w:shd w:val="clear" w:color="auto" w:fill="auto"/>
                  <w:vAlign w:val="center"/>
                </w:tcPr>
                <w:p w14:paraId="27D3B40C">
                  <w:pPr>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color w:val="0000FF"/>
                      <w:kern w:val="2"/>
                      <w:sz w:val="21"/>
                      <w:szCs w:val="21"/>
                      <w:lang w:val="en-US" w:eastAsia="zh-CN" w:bidi="ar-SA"/>
                    </w:rPr>
                  </w:pPr>
                  <w:r>
                    <w:rPr>
                      <w:rFonts w:hint="default" w:ascii="Times New Roman" w:hAnsi="Times New Roman" w:eastAsia="宋体" w:cs="Times New Roman"/>
                      <w:color w:val="0000FF"/>
                      <w:szCs w:val="21"/>
                    </w:rPr>
                    <w:t>0</w:t>
                  </w:r>
                </w:p>
              </w:tc>
              <w:tc>
                <w:tcPr>
                  <w:tcW w:w="537" w:type="pct"/>
                  <w:shd w:val="clear" w:color="auto" w:fill="auto"/>
                  <w:vAlign w:val="center"/>
                </w:tcPr>
                <w:p w14:paraId="449F527F">
                  <w:pPr>
                    <w:keepNext w:val="0"/>
                    <w:keepLines w:val="0"/>
                    <w:suppressLineNumbers w:val="0"/>
                    <w:spacing w:before="0" w:beforeAutospacing="0" w:after="0" w:afterAutospacing="0"/>
                    <w:ind w:left="0" w:leftChars="0" w:right="0" w:rightChars="0"/>
                    <w:jc w:val="center"/>
                    <w:rPr>
                      <w:rFonts w:hint="eastAsia" w:ascii="Times New Roman" w:hAnsi="Times New Roman" w:eastAsia="宋体" w:cs="Times New Roman"/>
                      <w:color w:val="0000FF"/>
                      <w:kern w:val="2"/>
                      <w:sz w:val="21"/>
                      <w:szCs w:val="21"/>
                      <w:lang w:val="en-US" w:eastAsia="zh-CN" w:bidi="ar-SA"/>
                    </w:rPr>
                  </w:pPr>
                  <w:r>
                    <w:rPr>
                      <w:rFonts w:hint="default" w:ascii="Times New Roman" w:hAnsi="Times New Roman" w:eastAsia="宋体" w:cs="Times New Roman"/>
                      <w:color w:val="0000FF"/>
                      <w:szCs w:val="21"/>
                    </w:rPr>
                    <w:t>-2</w:t>
                  </w:r>
                </w:p>
              </w:tc>
              <w:tc>
                <w:tcPr>
                  <w:tcW w:w="536" w:type="pct"/>
                  <w:gridSpan w:val="2"/>
                  <w:vMerge w:val="continue"/>
                  <w:vAlign w:val="center"/>
                </w:tcPr>
                <w:p w14:paraId="6CFD5368">
                  <w:pPr>
                    <w:keepNext w:val="0"/>
                    <w:keepLines w:val="0"/>
                    <w:suppressLineNumbers w:val="0"/>
                    <w:spacing w:before="0" w:beforeAutospacing="0" w:after="0" w:afterAutospacing="0"/>
                    <w:ind w:left="0" w:right="0"/>
                    <w:jc w:val="center"/>
                    <w:rPr>
                      <w:rFonts w:hint="eastAsia" w:ascii="Times New Roman" w:hAnsi="Times New Roman" w:eastAsia="宋体" w:cs="Times New Roman"/>
                      <w:b w:val="0"/>
                      <w:bCs w:val="0"/>
                      <w:color w:val="0000FF"/>
                      <w:szCs w:val="21"/>
                      <w:highlight w:val="none"/>
                      <w:lang w:val="en-US" w:eastAsia="zh-CN"/>
                    </w:rPr>
                  </w:pPr>
                </w:p>
              </w:tc>
              <w:tc>
                <w:tcPr>
                  <w:tcW w:w="320" w:type="pct"/>
                  <w:vAlign w:val="center"/>
                </w:tcPr>
                <w:p w14:paraId="146728AA">
                  <w:pPr>
                    <w:keepNext w:val="0"/>
                    <w:keepLines w:val="0"/>
                    <w:suppressLineNumbers w:val="0"/>
                    <w:spacing w:before="0" w:beforeAutospacing="0" w:after="0" w:afterAutospacing="0"/>
                    <w:ind w:left="0" w:right="0"/>
                    <w:jc w:val="center"/>
                    <w:rPr>
                      <w:rFonts w:hint="eastAsia" w:ascii="Times New Roman" w:hAnsi="Times New Roman" w:eastAsia="宋体" w:cs="Times New Roman"/>
                      <w:b w:val="0"/>
                      <w:bCs w:val="0"/>
                      <w:color w:val="0000FF"/>
                      <w:szCs w:val="21"/>
                      <w:highlight w:val="none"/>
                      <w:lang w:val="en-US" w:eastAsia="zh-CN"/>
                    </w:rPr>
                  </w:pPr>
                  <w:r>
                    <w:rPr>
                      <w:rFonts w:hint="eastAsia" w:ascii="Times New Roman" w:hAnsi="Times New Roman" w:eastAsia="宋体" w:cs="Times New Roman"/>
                      <w:b w:val="0"/>
                      <w:bCs w:val="0"/>
                      <w:color w:val="0000FF"/>
                      <w:szCs w:val="21"/>
                      <w:highlight w:val="none"/>
                      <w:lang w:val="en-US" w:eastAsia="zh-CN"/>
                    </w:rPr>
                    <w:t>/</w:t>
                  </w:r>
                </w:p>
              </w:tc>
            </w:tr>
            <w:tr w14:paraId="39CB9B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291" w:type="pct"/>
                  <w:shd w:val="clear" w:color="auto" w:fill="auto"/>
                  <w:vAlign w:val="center"/>
                </w:tcPr>
                <w:p w14:paraId="6E1A3D91">
                  <w:pPr>
                    <w:keepNext w:val="0"/>
                    <w:keepLines w:val="0"/>
                    <w:suppressLineNumbers w:val="0"/>
                    <w:spacing w:before="0" w:beforeAutospacing="0" w:after="0" w:afterAutospacing="0"/>
                    <w:ind w:left="0" w:right="0"/>
                    <w:jc w:val="center"/>
                    <w:rPr>
                      <w:rFonts w:hint="default" w:ascii="Times New Roman" w:hAnsi="Times New Roman" w:eastAsia="宋体" w:cs="Times New Roman"/>
                      <w:b w:val="0"/>
                      <w:bCs w:val="0"/>
                      <w:color w:val="0000FF"/>
                      <w:szCs w:val="21"/>
                      <w:highlight w:val="none"/>
                      <w:lang w:val="en-US" w:eastAsia="zh-CN"/>
                    </w:rPr>
                  </w:pPr>
                  <w:r>
                    <w:rPr>
                      <w:rFonts w:hint="eastAsia" w:ascii="Times New Roman" w:hAnsi="Times New Roman" w:eastAsia="宋体" w:cs="Times New Roman"/>
                      <w:b w:val="0"/>
                      <w:bCs w:val="0"/>
                      <w:color w:val="0000FF"/>
                      <w:szCs w:val="21"/>
                      <w:highlight w:val="none"/>
                      <w:lang w:val="en-US" w:eastAsia="zh-CN"/>
                    </w:rPr>
                    <w:t>43</w:t>
                  </w:r>
                </w:p>
              </w:tc>
              <w:tc>
                <w:tcPr>
                  <w:tcW w:w="394" w:type="pct"/>
                  <w:vMerge w:val="continue"/>
                  <w:vAlign w:val="center"/>
                </w:tcPr>
                <w:p w14:paraId="260433CD">
                  <w:pPr>
                    <w:keepNext w:val="0"/>
                    <w:keepLines w:val="0"/>
                    <w:suppressLineNumbers w:val="0"/>
                    <w:spacing w:before="0" w:beforeAutospacing="0" w:after="0" w:afterAutospacing="0"/>
                    <w:ind w:left="0" w:right="0"/>
                    <w:jc w:val="center"/>
                    <w:rPr>
                      <w:rFonts w:hint="default" w:ascii="Times New Roman" w:hAnsi="Times New Roman" w:eastAsia="宋体" w:cs="Times New Roman"/>
                      <w:b w:val="0"/>
                      <w:bCs w:val="0"/>
                      <w:color w:val="0000FF"/>
                      <w:szCs w:val="21"/>
                      <w:highlight w:val="none"/>
                    </w:rPr>
                  </w:pPr>
                </w:p>
              </w:tc>
              <w:tc>
                <w:tcPr>
                  <w:tcW w:w="660" w:type="pct"/>
                  <w:vMerge w:val="continue"/>
                  <w:vAlign w:val="center"/>
                </w:tcPr>
                <w:p w14:paraId="3CAD7947">
                  <w:pPr>
                    <w:keepNext w:val="0"/>
                    <w:keepLines w:val="0"/>
                    <w:suppressLineNumbers w:val="0"/>
                    <w:spacing w:before="0" w:beforeAutospacing="0" w:after="0" w:afterAutospacing="0"/>
                    <w:ind w:left="0" w:right="0"/>
                    <w:jc w:val="center"/>
                    <w:rPr>
                      <w:rFonts w:hint="default" w:ascii="Times New Roman" w:hAnsi="Times New Roman" w:eastAsia="宋体" w:cs="Times New Roman"/>
                      <w:b w:val="0"/>
                      <w:bCs w:val="0"/>
                      <w:color w:val="0000FF"/>
                      <w:szCs w:val="21"/>
                      <w:highlight w:val="none"/>
                    </w:rPr>
                  </w:pPr>
                </w:p>
              </w:tc>
              <w:tc>
                <w:tcPr>
                  <w:tcW w:w="766" w:type="pct"/>
                  <w:shd w:val="clear" w:color="auto" w:fill="auto"/>
                  <w:vAlign w:val="center"/>
                </w:tcPr>
                <w:p w14:paraId="4524B1CE">
                  <w:pPr>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color w:val="0000FF"/>
                      <w:kern w:val="2"/>
                      <w:sz w:val="21"/>
                      <w:szCs w:val="21"/>
                      <w:lang w:val="en-US" w:eastAsia="zh-CN" w:bidi="ar-SA"/>
                    </w:rPr>
                  </w:pPr>
                  <w:r>
                    <w:rPr>
                      <w:rFonts w:hint="default" w:ascii="Times New Roman" w:hAnsi="Times New Roman" w:eastAsia="宋体" w:cs="Times New Roman"/>
                      <w:color w:val="0000FF"/>
                      <w:szCs w:val="21"/>
                    </w:rPr>
                    <w:t>BLSJ1450-M</w:t>
                  </w:r>
                </w:p>
              </w:tc>
              <w:tc>
                <w:tcPr>
                  <w:tcW w:w="483" w:type="pct"/>
                  <w:shd w:val="clear" w:color="auto" w:fill="auto"/>
                  <w:vAlign w:val="center"/>
                </w:tcPr>
                <w:p w14:paraId="0C5A4769">
                  <w:pPr>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color w:val="0000FF"/>
                      <w:kern w:val="2"/>
                      <w:sz w:val="21"/>
                      <w:szCs w:val="21"/>
                      <w:lang w:val="en-US" w:eastAsia="zh-CN" w:bidi="ar-SA"/>
                    </w:rPr>
                  </w:pPr>
                  <w:r>
                    <w:rPr>
                      <w:rFonts w:hint="default" w:ascii="Times New Roman" w:hAnsi="Times New Roman" w:eastAsia="宋体" w:cs="Times New Roman"/>
                      <w:color w:val="0000FF"/>
                      <w:szCs w:val="21"/>
                    </w:rPr>
                    <w:t>/</w:t>
                  </w:r>
                </w:p>
              </w:tc>
              <w:tc>
                <w:tcPr>
                  <w:tcW w:w="417" w:type="pct"/>
                  <w:shd w:val="clear" w:color="auto" w:fill="auto"/>
                  <w:vAlign w:val="center"/>
                </w:tcPr>
                <w:p w14:paraId="788AD1E3">
                  <w:pPr>
                    <w:keepNext w:val="0"/>
                    <w:keepLines w:val="0"/>
                    <w:suppressLineNumbers w:val="0"/>
                    <w:spacing w:before="0" w:beforeAutospacing="0" w:after="0" w:afterAutospacing="0"/>
                    <w:ind w:left="0" w:leftChars="0" w:right="0" w:rightChars="0"/>
                    <w:jc w:val="center"/>
                    <w:rPr>
                      <w:rFonts w:hint="eastAsia" w:ascii="Times New Roman" w:hAnsi="Times New Roman" w:eastAsia="宋体" w:cs="Times New Roman"/>
                      <w:color w:val="0000FF"/>
                      <w:kern w:val="2"/>
                      <w:sz w:val="21"/>
                      <w:szCs w:val="21"/>
                      <w:lang w:val="en-US" w:eastAsia="zh-CN" w:bidi="ar-SA"/>
                    </w:rPr>
                  </w:pPr>
                  <w:r>
                    <w:rPr>
                      <w:rFonts w:hint="default" w:ascii="Times New Roman" w:hAnsi="Times New Roman" w:eastAsia="宋体" w:cs="Times New Roman"/>
                      <w:color w:val="0000FF"/>
                      <w:szCs w:val="21"/>
                    </w:rPr>
                    <w:t>5</w:t>
                  </w:r>
                </w:p>
              </w:tc>
              <w:tc>
                <w:tcPr>
                  <w:tcW w:w="592" w:type="pct"/>
                  <w:shd w:val="clear" w:color="auto" w:fill="auto"/>
                  <w:vAlign w:val="center"/>
                </w:tcPr>
                <w:p w14:paraId="2390AEEC">
                  <w:pPr>
                    <w:keepNext w:val="0"/>
                    <w:keepLines w:val="0"/>
                    <w:suppressLineNumbers w:val="0"/>
                    <w:spacing w:before="0" w:beforeAutospacing="0" w:after="0" w:afterAutospacing="0"/>
                    <w:ind w:left="0" w:leftChars="0" w:right="0" w:rightChars="0"/>
                    <w:jc w:val="center"/>
                    <w:rPr>
                      <w:rFonts w:hint="eastAsia" w:ascii="Times New Roman" w:hAnsi="Times New Roman" w:eastAsia="宋体" w:cs="Times New Roman"/>
                      <w:color w:val="0000FF"/>
                      <w:kern w:val="2"/>
                      <w:sz w:val="21"/>
                      <w:szCs w:val="21"/>
                      <w:lang w:val="en-US" w:eastAsia="zh-CN" w:bidi="ar-SA"/>
                    </w:rPr>
                  </w:pPr>
                  <w:r>
                    <w:rPr>
                      <w:rFonts w:hint="default" w:ascii="Times New Roman" w:hAnsi="Times New Roman" w:eastAsia="宋体" w:cs="Times New Roman"/>
                      <w:color w:val="0000FF"/>
                      <w:szCs w:val="21"/>
                    </w:rPr>
                    <w:t>5</w:t>
                  </w:r>
                </w:p>
              </w:tc>
              <w:tc>
                <w:tcPr>
                  <w:tcW w:w="537" w:type="pct"/>
                  <w:shd w:val="clear" w:color="auto" w:fill="auto"/>
                  <w:vAlign w:val="center"/>
                </w:tcPr>
                <w:p w14:paraId="0CE48742">
                  <w:pPr>
                    <w:keepNext w:val="0"/>
                    <w:keepLines w:val="0"/>
                    <w:suppressLineNumbers w:val="0"/>
                    <w:spacing w:before="0" w:beforeAutospacing="0" w:after="0" w:afterAutospacing="0"/>
                    <w:ind w:left="0" w:leftChars="0" w:right="0" w:rightChars="0"/>
                    <w:jc w:val="center"/>
                    <w:rPr>
                      <w:rFonts w:hint="eastAsia" w:ascii="Times New Roman" w:hAnsi="Times New Roman" w:eastAsia="宋体" w:cs="Times New Roman"/>
                      <w:color w:val="0000FF"/>
                      <w:kern w:val="2"/>
                      <w:sz w:val="21"/>
                      <w:szCs w:val="21"/>
                      <w:lang w:val="en-US" w:eastAsia="zh-CN" w:bidi="ar-SA"/>
                    </w:rPr>
                  </w:pPr>
                  <w:r>
                    <w:rPr>
                      <w:rFonts w:hint="default" w:ascii="Times New Roman" w:hAnsi="Times New Roman" w:eastAsia="宋体" w:cs="Times New Roman"/>
                      <w:color w:val="0000FF"/>
                      <w:szCs w:val="21"/>
                    </w:rPr>
                    <w:t>+5</w:t>
                  </w:r>
                </w:p>
              </w:tc>
              <w:tc>
                <w:tcPr>
                  <w:tcW w:w="536" w:type="pct"/>
                  <w:gridSpan w:val="2"/>
                  <w:vMerge w:val="continue"/>
                  <w:vAlign w:val="center"/>
                </w:tcPr>
                <w:p w14:paraId="44329C0B">
                  <w:pPr>
                    <w:keepNext w:val="0"/>
                    <w:keepLines w:val="0"/>
                    <w:suppressLineNumbers w:val="0"/>
                    <w:spacing w:before="0" w:beforeAutospacing="0" w:after="0" w:afterAutospacing="0"/>
                    <w:ind w:left="0" w:right="0"/>
                    <w:jc w:val="center"/>
                    <w:rPr>
                      <w:rFonts w:hint="eastAsia" w:ascii="Times New Roman" w:hAnsi="Times New Roman" w:eastAsia="宋体" w:cs="Times New Roman"/>
                      <w:b w:val="0"/>
                      <w:bCs w:val="0"/>
                      <w:color w:val="0000FF"/>
                      <w:szCs w:val="21"/>
                      <w:highlight w:val="none"/>
                      <w:lang w:val="en-US" w:eastAsia="zh-CN"/>
                    </w:rPr>
                  </w:pPr>
                </w:p>
              </w:tc>
              <w:tc>
                <w:tcPr>
                  <w:tcW w:w="320" w:type="pct"/>
                  <w:shd w:val="clear" w:color="auto" w:fill="auto"/>
                  <w:vAlign w:val="center"/>
                </w:tcPr>
                <w:p w14:paraId="6BD753A7">
                  <w:pPr>
                    <w:keepNext w:val="0"/>
                    <w:keepLines w:val="0"/>
                    <w:suppressLineNumbers w:val="0"/>
                    <w:spacing w:before="0" w:beforeAutospacing="0" w:after="0" w:afterAutospacing="0" w:line="240" w:lineRule="auto"/>
                    <w:ind w:left="0" w:right="0"/>
                    <w:jc w:val="center"/>
                    <w:rPr>
                      <w:rFonts w:hint="default" w:ascii="Times New Roman" w:hAnsi="Times New Roman" w:eastAsia="宋体" w:cs="Times New Roman"/>
                      <w:b w:val="0"/>
                      <w:bCs w:val="0"/>
                      <w:color w:val="0000FF"/>
                      <w:kern w:val="2"/>
                      <w:sz w:val="21"/>
                      <w:szCs w:val="21"/>
                      <w:highlight w:val="none"/>
                      <w:lang w:val="en-US" w:eastAsia="zh-CN" w:bidi="ar-SA"/>
                    </w:rPr>
                  </w:pPr>
                  <w:r>
                    <w:rPr>
                      <w:rFonts w:hint="default" w:ascii="Times New Roman" w:hAnsi="Times New Roman" w:eastAsia="宋体" w:cs="Times New Roman"/>
                      <w:b w:val="0"/>
                      <w:bCs w:val="0"/>
                      <w:color w:val="0000FF"/>
                      <w:sz w:val="21"/>
                      <w:szCs w:val="21"/>
                      <w:highlight w:val="none"/>
                      <w:lang w:val="en-US" w:eastAsia="zh-CN"/>
                    </w:rPr>
                    <w:t>新增</w:t>
                  </w:r>
                </w:p>
              </w:tc>
            </w:tr>
            <w:tr w14:paraId="57B2A2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291" w:type="pct"/>
                  <w:shd w:val="clear" w:color="auto" w:fill="auto"/>
                  <w:vAlign w:val="center"/>
                </w:tcPr>
                <w:p w14:paraId="5EAC3E28">
                  <w:pPr>
                    <w:keepNext w:val="0"/>
                    <w:keepLines w:val="0"/>
                    <w:suppressLineNumbers w:val="0"/>
                    <w:spacing w:before="0" w:beforeAutospacing="0" w:after="0" w:afterAutospacing="0"/>
                    <w:ind w:left="0" w:right="0"/>
                    <w:jc w:val="center"/>
                    <w:rPr>
                      <w:rFonts w:hint="default" w:ascii="Times New Roman" w:hAnsi="Times New Roman" w:eastAsia="宋体" w:cs="Times New Roman"/>
                      <w:b w:val="0"/>
                      <w:bCs w:val="0"/>
                      <w:color w:val="0000FF"/>
                      <w:szCs w:val="21"/>
                      <w:highlight w:val="none"/>
                      <w:lang w:val="en-US" w:eastAsia="zh-CN"/>
                    </w:rPr>
                  </w:pPr>
                  <w:r>
                    <w:rPr>
                      <w:rFonts w:hint="eastAsia" w:ascii="Times New Roman" w:hAnsi="Times New Roman" w:eastAsia="宋体" w:cs="Times New Roman"/>
                      <w:b w:val="0"/>
                      <w:bCs w:val="0"/>
                      <w:color w:val="0000FF"/>
                      <w:szCs w:val="21"/>
                      <w:highlight w:val="none"/>
                      <w:lang w:val="en-US" w:eastAsia="zh-CN"/>
                    </w:rPr>
                    <w:t>44</w:t>
                  </w:r>
                </w:p>
              </w:tc>
              <w:tc>
                <w:tcPr>
                  <w:tcW w:w="394" w:type="pct"/>
                  <w:vMerge w:val="continue"/>
                  <w:vAlign w:val="center"/>
                </w:tcPr>
                <w:p w14:paraId="4437D177">
                  <w:pPr>
                    <w:keepNext w:val="0"/>
                    <w:keepLines w:val="0"/>
                    <w:suppressLineNumbers w:val="0"/>
                    <w:spacing w:before="0" w:beforeAutospacing="0" w:after="0" w:afterAutospacing="0"/>
                    <w:ind w:left="0" w:right="0"/>
                    <w:jc w:val="center"/>
                    <w:rPr>
                      <w:rFonts w:hint="default" w:ascii="Times New Roman" w:hAnsi="Times New Roman" w:eastAsia="宋体" w:cs="Times New Roman"/>
                      <w:b w:val="0"/>
                      <w:bCs w:val="0"/>
                      <w:color w:val="0000FF"/>
                      <w:szCs w:val="21"/>
                      <w:highlight w:val="none"/>
                    </w:rPr>
                  </w:pPr>
                </w:p>
              </w:tc>
              <w:tc>
                <w:tcPr>
                  <w:tcW w:w="660" w:type="pct"/>
                  <w:vMerge w:val="continue"/>
                  <w:vAlign w:val="center"/>
                </w:tcPr>
                <w:p w14:paraId="6FEFEA40">
                  <w:pPr>
                    <w:keepNext w:val="0"/>
                    <w:keepLines w:val="0"/>
                    <w:suppressLineNumbers w:val="0"/>
                    <w:spacing w:before="0" w:beforeAutospacing="0" w:after="0" w:afterAutospacing="0"/>
                    <w:ind w:left="0" w:right="0"/>
                    <w:jc w:val="center"/>
                    <w:rPr>
                      <w:rFonts w:hint="default" w:ascii="Times New Roman" w:hAnsi="Times New Roman" w:eastAsia="宋体" w:cs="Times New Roman"/>
                      <w:b w:val="0"/>
                      <w:bCs w:val="0"/>
                      <w:color w:val="0000FF"/>
                      <w:szCs w:val="21"/>
                      <w:highlight w:val="none"/>
                    </w:rPr>
                  </w:pPr>
                </w:p>
              </w:tc>
              <w:tc>
                <w:tcPr>
                  <w:tcW w:w="766" w:type="pct"/>
                  <w:shd w:val="clear" w:color="auto" w:fill="auto"/>
                  <w:vAlign w:val="center"/>
                </w:tcPr>
                <w:p w14:paraId="498A38DC">
                  <w:pPr>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color w:val="0000FF"/>
                      <w:kern w:val="2"/>
                      <w:sz w:val="21"/>
                      <w:szCs w:val="21"/>
                      <w:lang w:val="en-US" w:eastAsia="zh-CN" w:bidi="ar-SA"/>
                    </w:rPr>
                  </w:pPr>
                  <w:r>
                    <w:rPr>
                      <w:rFonts w:hint="default" w:ascii="Times New Roman" w:hAnsi="Times New Roman" w:eastAsia="宋体" w:cs="Times New Roman"/>
                      <w:color w:val="0000FF"/>
                      <w:szCs w:val="21"/>
                    </w:rPr>
                    <w:t>DSP850-D</w:t>
                  </w:r>
                </w:p>
              </w:tc>
              <w:tc>
                <w:tcPr>
                  <w:tcW w:w="483" w:type="pct"/>
                  <w:shd w:val="clear" w:color="auto" w:fill="auto"/>
                  <w:vAlign w:val="center"/>
                </w:tcPr>
                <w:p w14:paraId="53D0EEEF">
                  <w:pPr>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color w:val="0000FF"/>
                      <w:kern w:val="2"/>
                      <w:sz w:val="21"/>
                      <w:szCs w:val="21"/>
                      <w:lang w:val="en-US" w:eastAsia="zh-CN" w:bidi="ar-SA"/>
                    </w:rPr>
                  </w:pPr>
                  <w:r>
                    <w:rPr>
                      <w:rFonts w:hint="default" w:ascii="Times New Roman" w:hAnsi="Times New Roman" w:eastAsia="宋体" w:cs="Times New Roman"/>
                      <w:color w:val="0000FF"/>
                      <w:szCs w:val="21"/>
                    </w:rPr>
                    <w:t>/</w:t>
                  </w:r>
                </w:p>
              </w:tc>
              <w:tc>
                <w:tcPr>
                  <w:tcW w:w="417" w:type="pct"/>
                  <w:shd w:val="clear" w:color="auto" w:fill="auto"/>
                  <w:vAlign w:val="center"/>
                </w:tcPr>
                <w:p w14:paraId="1ADAE6FC">
                  <w:pPr>
                    <w:keepNext w:val="0"/>
                    <w:keepLines w:val="0"/>
                    <w:suppressLineNumbers w:val="0"/>
                    <w:spacing w:before="0" w:beforeAutospacing="0" w:after="0" w:afterAutospacing="0"/>
                    <w:ind w:left="0" w:leftChars="0" w:right="0" w:rightChars="0"/>
                    <w:jc w:val="center"/>
                    <w:rPr>
                      <w:rFonts w:hint="eastAsia" w:ascii="Times New Roman" w:hAnsi="Times New Roman" w:eastAsia="宋体" w:cs="Times New Roman"/>
                      <w:color w:val="0000FF"/>
                      <w:kern w:val="2"/>
                      <w:sz w:val="21"/>
                      <w:szCs w:val="21"/>
                      <w:lang w:val="en-US" w:eastAsia="zh-CN" w:bidi="ar-SA"/>
                    </w:rPr>
                  </w:pPr>
                  <w:r>
                    <w:rPr>
                      <w:rFonts w:hint="default" w:ascii="Times New Roman" w:hAnsi="Times New Roman" w:eastAsia="宋体" w:cs="Times New Roman"/>
                      <w:color w:val="0000FF"/>
                      <w:szCs w:val="21"/>
                    </w:rPr>
                    <w:t>1</w:t>
                  </w:r>
                </w:p>
              </w:tc>
              <w:tc>
                <w:tcPr>
                  <w:tcW w:w="592" w:type="pct"/>
                  <w:shd w:val="clear" w:color="auto" w:fill="auto"/>
                  <w:vAlign w:val="center"/>
                </w:tcPr>
                <w:p w14:paraId="3A33EBD6">
                  <w:pPr>
                    <w:keepNext w:val="0"/>
                    <w:keepLines w:val="0"/>
                    <w:suppressLineNumbers w:val="0"/>
                    <w:spacing w:before="0" w:beforeAutospacing="0" w:after="0" w:afterAutospacing="0"/>
                    <w:ind w:left="0" w:leftChars="0" w:right="0" w:rightChars="0"/>
                    <w:jc w:val="center"/>
                    <w:rPr>
                      <w:rFonts w:hint="eastAsia" w:ascii="Times New Roman" w:hAnsi="Times New Roman" w:eastAsia="宋体" w:cs="Times New Roman"/>
                      <w:color w:val="0000FF"/>
                      <w:kern w:val="2"/>
                      <w:sz w:val="21"/>
                      <w:szCs w:val="21"/>
                      <w:lang w:val="en-US" w:eastAsia="zh-CN" w:bidi="ar-SA"/>
                    </w:rPr>
                  </w:pPr>
                  <w:r>
                    <w:rPr>
                      <w:rFonts w:hint="default" w:ascii="Times New Roman" w:hAnsi="Times New Roman" w:eastAsia="宋体" w:cs="Times New Roman"/>
                      <w:color w:val="0000FF"/>
                      <w:szCs w:val="21"/>
                    </w:rPr>
                    <w:t>1</w:t>
                  </w:r>
                </w:p>
              </w:tc>
              <w:tc>
                <w:tcPr>
                  <w:tcW w:w="537" w:type="pct"/>
                  <w:shd w:val="clear" w:color="auto" w:fill="auto"/>
                  <w:vAlign w:val="center"/>
                </w:tcPr>
                <w:p w14:paraId="26D691F6">
                  <w:pPr>
                    <w:keepNext w:val="0"/>
                    <w:keepLines w:val="0"/>
                    <w:suppressLineNumbers w:val="0"/>
                    <w:spacing w:before="0" w:beforeAutospacing="0" w:after="0" w:afterAutospacing="0"/>
                    <w:ind w:left="0" w:leftChars="0" w:right="0" w:rightChars="0"/>
                    <w:jc w:val="center"/>
                    <w:rPr>
                      <w:rFonts w:hint="eastAsia" w:ascii="Times New Roman" w:hAnsi="Times New Roman" w:eastAsia="宋体" w:cs="Times New Roman"/>
                      <w:color w:val="0000FF"/>
                      <w:kern w:val="2"/>
                      <w:sz w:val="21"/>
                      <w:szCs w:val="21"/>
                      <w:lang w:val="en-US" w:eastAsia="zh-CN" w:bidi="ar-SA"/>
                    </w:rPr>
                  </w:pPr>
                  <w:r>
                    <w:rPr>
                      <w:rFonts w:hint="default" w:ascii="Times New Roman" w:hAnsi="Times New Roman" w:eastAsia="宋体" w:cs="Times New Roman"/>
                      <w:color w:val="0000FF"/>
                      <w:szCs w:val="21"/>
                    </w:rPr>
                    <w:t>+1</w:t>
                  </w:r>
                </w:p>
              </w:tc>
              <w:tc>
                <w:tcPr>
                  <w:tcW w:w="536" w:type="pct"/>
                  <w:gridSpan w:val="2"/>
                  <w:vMerge w:val="continue"/>
                  <w:vAlign w:val="center"/>
                </w:tcPr>
                <w:p w14:paraId="49137D2F">
                  <w:pPr>
                    <w:keepNext w:val="0"/>
                    <w:keepLines w:val="0"/>
                    <w:suppressLineNumbers w:val="0"/>
                    <w:spacing w:before="0" w:beforeAutospacing="0" w:after="0" w:afterAutospacing="0"/>
                    <w:ind w:left="0" w:right="0"/>
                    <w:jc w:val="center"/>
                    <w:rPr>
                      <w:rFonts w:hint="eastAsia" w:ascii="Times New Roman" w:hAnsi="Times New Roman" w:eastAsia="宋体" w:cs="Times New Roman"/>
                      <w:b w:val="0"/>
                      <w:bCs w:val="0"/>
                      <w:color w:val="0000FF"/>
                      <w:szCs w:val="21"/>
                      <w:highlight w:val="none"/>
                      <w:lang w:val="en-US" w:eastAsia="zh-CN"/>
                    </w:rPr>
                  </w:pPr>
                </w:p>
              </w:tc>
              <w:tc>
                <w:tcPr>
                  <w:tcW w:w="320" w:type="pct"/>
                  <w:shd w:val="clear" w:color="auto" w:fill="auto"/>
                  <w:vAlign w:val="center"/>
                </w:tcPr>
                <w:p w14:paraId="36E99A6B">
                  <w:pPr>
                    <w:keepNext w:val="0"/>
                    <w:keepLines w:val="0"/>
                    <w:suppressLineNumbers w:val="0"/>
                    <w:spacing w:before="0" w:beforeAutospacing="0" w:after="0" w:afterAutospacing="0" w:line="240" w:lineRule="auto"/>
                    <w:ind w:left="0" w:right="0"/>
                    <w:jc w:val="center"/>
                    <w:rPr>
                      <w:rFonts w:hint="default" w:ascii="Times New Roman" w:hAnsi="Times New Roman" w:eastAsia="宋体" w:cs="Times New Roman"/>
                      <w:b w:val="0"/>
                      <w:bCs w:val="0"/>
                      <w:color w:val="0000FF"/>
                      <w:kern w:val="2"/>
                      <w:sz w:val="21"/>
                      <w:szCs w:val="21"/>
                      <w:highlight w:val="none"/>
                      <w:lang w:val="en-US" w:eastAsia="zh-CN" w:bidi="ar-SA"/>
                    </w:rPr>
                  </w:pPr>
                  <w:r>
                    <w:rPr>
                      <w:rFonts w:hint="default" w:ascii="Times New Roman" w:hAnsi="Times New Roman" w:eastAsia="宋体" w:cs="Times New Roman"/>
                      <w:b w:val="0"/>
                      <w:bCs w:val="0"/>
                      <w:color w:val="0000FF"/>
                      <w:sz w:val="21"/>
                      <w:szCs w:val="21"/>
                      <w:highlight w:val="none"/>
                      <w:lang w:val="en-US" w:eastAsia="zh-CN"/>
                    </w:rPr>
                    <w:t>新增</w:t>
                  </w:r>
                </w:p>
              </w:tc>
            </w:tr>
            <w:tr w14:paraId="33AAE4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291" w:type="pct"/>
                  <w:shd w:val="clear" w:color="auto" w:fill="auto"/>
                  <w:vAlign w:val="center"/>
                </w:tcPr>
                <w:p w14:paraId="4528D236">
                  <w:pPr>
                    <w:keepNext w:val="0"/>
                    <w:keepLines w:val="0"/>
                    <w:suppressLineNumbers w:val="0"/>
                    <w:spacing w:before="0" w:beforeAutospacing="0" w:after="0" w:afterAutospacing="0"/>
                    <w:ind w:left="0" w:right="0"/>
                    <w:jc w:val="center"/>
                    <w:rPr>
                      <w:rFonts w:hint="default" w:ascii="Times New Roman" w:hAnsi="Times New Roman" w:eastAsia="宋体" w:cs="Times New Roman"/>
                      <w:b w:val="0"/>
                      <w:bCs w:val="0"/>
                      <w:color w:val="0000FF"/>
                      <w:szCs w:val="21"/>
                      <w:highlight w:val="none"/>
                      <w:lang w:val="en-US" w:eastAsia="zh-CN"/>
                    </w:rPr>
                  </w:pPr>
                  <w:r>
                    <w:rPr>
                      <w:rFonts w:hint="eastAsia" w:ascii="Times New Roman" w:hAnsi="Times New Roman" w:eastAsia="宋体" w:cs="Times New Roman"/>
                      <w:b w:val="0"/>
                      <w:bCs w:val="0"/>
                      <w:color w:val="0000FF"/>
                      <w:szCs w:val="21"/>
                      <w:highlight w:val="none"/>
                      <w:lang w:val="en-US" w:eastAsia="zh-CN"/>
                    </w:rPr>
                    <w:t>45</w:t>
                  </w:r>
                </w:p>
              </w:tc>
              <w:tc>
                <w:tcPr>
                  <w:tcW w:w="394" w:type="pct"/>
                  <w:vMerge w:val="continue"/>
                  <w:vAlign w:val="center"/>
                </w:tcPr>
                <w:p w14:paraId="4F452CFA">
                  <w:pPr>
                    <w:keepNext w:val="0"/>
                    <w:keepLines w:val="0"/>
                    <w:suppressLineNumbers w:val="0"/>
                    <w:spacing w:before="0" w:beforeAutospacing="0" w:after="0" w:afterAutospacing="0"/>
                    <w:ind w:left="0" w:right="0"/>
                    <w:jc w:val="center"/>
                    <w:rPr>
                      <w:rFonts w:hint="default" w:ascii="Times New Roman" w:hAnsi="Times New Roman" w:eastAsia="宋体" w:cs="Times New Roman"/>
                      <w:b w:val="0"/>
                      <w:bCs w:val="0"/>
                      <w:color w:val="0000FF"/>
                      <w:szCs w:val="21"/>
                      <w:highlight w:val="none"/>
                    </w:rPr>
                  </w:pPr>
                </w:p>
              </w:tc>
              <w:tc>
                <w:tcPr>
                  <w:tcW w:w="660" w:type="pct"/>
                  <w:vMerge w:val="continue"/>
                  <w:vAlign w:val="center"/>
                </w:tcPr>
                <w:p w14:paraId="27B2F50E">
                  <w:pPr>
                    <w:keepNext w:val="0"/>
                    <w:keepLines w:val="0"/>
                    <w:suppressLineNumbers w:val="0"/>
                    <w:spacing w:before="0" w:beforeAutospacing="0" w:after="0" w:afterAutospacing="0"/>
                    <w:ind w:left="0" w:right="0"/>
                    <w:jc w:val="center"/>
                    <w:rPr>
                      <w:rFonts w:hint="default" w:ascii="Times New Roman" w:hAnsi="Times New Roman" w:eastAsia="宋体" w:cs="Times New Roman"/>
                      <w:b w:val="0"/>
                      <w:bCs w:val="0"/>
                      <w:color w:val="0000FF"/>
                      <w:szCs w:val="21"/>
                      <w:highlight w:val="none"/>
                    </w:rPr>
                  </w:pPr>
                </w:p>
              </w:tc>
              <w:tc>
                <w:tcPr>
                  <w:tcW w:w="766" w:type="pct"/>
                  <w:shd w:val="clear" w:color="auto" w:fill="auto"/>
                  <w:vAlign w:val="center"/>
                </w:tcPr>
                <w:p w14:paraId="781DEED9">
                  <w:pPr>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color w:val="0000FF"/>
                      <w:kern w:val="2"/>
                      <w:sz w:val="21"/>
                      <w:szCs w:val="21"/>
                      <w:lang w:val="en-US" w:eastAsia="zh-CN" w:bidi="ar-SA"/>
                    </w:rPr>
                  </w:pPr>
                  <w:r>
                    <w:rPr>
                      <w:rFonts w:hint="default" w:ascii="Times New Roman" w:hAnsi="Times New Roman" w:eastAsia="宋体" w:cs="Times New Roman"/>
                      <w:color w:val="0000FF"/>
                      <w:szCs w:val="21"/>
                    </w:rPr>
                    <w:t>SLF1200-M型</w:t>
                  </w:r>
                </w:p>
              </w:tc>
              <w:tc>
                <w:tcPr>
                  <w:tcW w:w="483" w:type="pct"/>
                  <w:shd w:val="clear" w:color="auto" w:fill="auto"/>
                  <w:vAlign w:val="center"/>
                </w:tcPr>
                <w:p w14:paraId="3321D6EE">
                  <w:pPr>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color w:val="0000FF"/>
                      <w:kern w:val="2"/>
                      <w:sz w:val="21"/>
                      <w:szCs w:val="21"/>
                      <w:lang w:val="en-US" w:eastAsia="zh-CN" w:bidi="ar-SA"/>
                    </w:rPr>
                  </w:pPr>
                  <w:r>
                    <w:rPr>
                      <w:rFonts w:hint="default" w:ascii="Times New Roman" w:hAnsi="Times New Roman" w:eastAsia="宋体" w:cs="Times New Roman"/>
                      <w:color w:val="0000FF"/>
                      <w:szCs w:val="21"/>
                    </w:rPr>
                    <w:t>/</w:t>
                  </w:r>
                </w:p>
              </w:tc>
              <w:tc>
                <w:tcPr>
                  <w:tcW w:w="417" w:type="pct"/>
                  <w:shd w:val="clear" w:color="auto" w:fill="auto"/>
                  <w:vAlign w:val="center"/>
                </w:tcPr>
                <w:p w14:paraId="51A0E212">
                  <w:pPr>
                    <w:keepNext w:val="0"/>
                    <w:keepLines w:val="0"/>
                    <w:suppressLineNumbers w:val="0"/>
                    <w:spacing w:before="0" w:beforeAutospacing="0" w:after="0" w:afterAutospacing="0"/>
                    <w:ind w:left="0" w:leftChars="0" w:right="0" w:rightChars="0"/>
                    <w:jc w:val="center"/>
                    <w:rPr>
                      <w:rFonts w:hint="eastAsia" w:ascii="Times New Roman" w:hAnsi="Times New Roman" w:eastAsia="宋体" w:cs="Times New Roman"/>
                      <w:color w:val="0000FF"/>
                      <w:kern w:val="2"/>
                      <w:sz w:val="21"/>
                      <w:szCs w:val="21"/>
                      <w:lang w:val="en-US" w:eastAsia="zh-CN" w:bidi="ar-SA"/>
                    </w:rPr>
                  </w:pPr>
                  <w:r>
                    <w:rPr>
                      <w:rFonts w:hint="default" w:ascii="Times New Roman" w:hAnsi="Times New Roman" w:eastAsia="宋体" w:cs="Times New Roman"/>
                      <w:color w:val="0000FF"/>
                      <w:szCs w:val="21"/>
                    </w:rPr>
                    <w:t>2</w:t>
                  </w:r>
                </w:p>
              </w:tc>
              <w:tc>
                <w:tcPr>
                  <w:tcW w:w="592" w:type="pct"/>
                  <w:shd w:val="clear" w:color="auto" w:fill="auto"/>
                  <w:vAlign w:val="center"/>
                </w:tcPr>
                <w:p w14:paraId="5D49F11A">
                  <w:pPr>
                    <w:keepNext w:val="0"/>
                    <w:keepLines w:val="0"/>
                    <w:suppressLineNumbers w:val="0"/>
                    <w:spacing w:before="0" w:beforeAutospacing="0" w:after="0" w:afterAutospacing="0"/>
                    <w:ind w:left="0" w:leftChars="0" w:right="0" w:rightChars="0"/>
                    <w:jc w:val="center"/>
                    <w:rPr>
                      <w:rFonts w:hint="eastAsia" w:ascii="Times New Roman" w:hAnsi="Times New Roman" w:eastAsia="宋体" w:cs="Times New Roman"/>
                      <w:color w:val="0000FF"/>
                      <w:kern w:val="2"/>
                      <w:sz w:val="21"/>
                      <w:szCs w:val="21"/>
                      <w:lang w:val="en-US" w:eastAsia="zh-CN" w:bidi="ar-SA"/>
                    </w:rPr>
                  </w:pPr>
                  <w:r>
                    <w:rPr>
                      <w:rFonts w:hint="default" w:ascii="Times New Roman" w:hAnsi="Times New Roman" w:eastAsia="宋体" w:cs="Times New Roman"/>
                      <w:color w:val="0000FF"/>
                      <w:szCs w:val="21"/>
                    </w:rPr>
                    <w:t>2</w:t>
                  </w:r>
                </w:p>
              </w:tc>
              <w:tc>
                <w:tcPr>
                  <w:tcW w:w="537" w:type="pct"/>
                  <w:shd w:val="clear" w:color="auto" w:fill="auto"/>
                  <w:vAlign w:val="center"/>
                </w:tcPr>
                <w:p w14:paraId="24CD19C1">
                  <w:pPr>
                    <w:keepNext w:val="0"/>
                    <w:keepLines w:val="0"/>
                    <w:suppressLineNumbers w:val="0"/>
                    <w:spacing w:before="0" w:beforeAutospacing="0" w:after="0" w:afterAutospacing="0"/>
                    <w:ind w:left="0" w:leftChars="0" w:right="0" w:rightChars="0"/>
                    <w:jc w:val="center"/>
                    <w:rPr>
                      <w:rFonts w:hint="eastAsia" w:ascii="Times New Roman" w:hAnsi="Times New Roman" w:eastAsia="宋体" w:cs="Times New Roman"/>
                      <w:color w:val="0000FF"/>
                      <w:kern w:val="2"/>
                      <w:sz w:val="21"/>
                      <w:szCs w:val="21"/>
                      <w:lang w:val="en-US" w:eastAsia="zh-CN" w:bidi="ar-SA"/>
                    </w:rPr>
                  </w:pPr>
                  <w:r>
                    <w:rPr>
                      <w:rFonts w:hint="default" w:ascii="Times New Roman" w:hAnsi="Times New Roman" w:eastAsia="宋体" w:cs="Times New Roman"/>
                      <w:color w:val="0000FF"/>
                      <w:szCs w:val="21"/>
                    </w:rPr>
                    <w:t>+2</w:t>
                  </w:r>
                </w:p>
              </w:tc>
              <w:tc>
                <w:tcPr>
                  <w:tcW w:w="536" w:type="pct"/>
                  <w:gridSpan w:val="2"/>
                  <w:vMerge w:val="continue"/>
                  <w:vAlign w:val="center"/>
                </w:tcPr>
                <w:p w14:paraId="31F9B0D4">
                  <w:pPr>
                    <w:keepNext w:val="0"/>
                    <w:keepLines w:val="0"/>
                    <w:suppressLineNumbers w:val="0"/>
                    <w:spacing w:before="0" w:beforeAutospacing="0" w:after="0" w:afterAutospacing="0"/>
                    <w:ind w:left="0" w:right="0"/>
                    <w:jc w:val="center"/>
                    <w:rPr>
                      <w:rFonts w:hint="eastAsia" w:ascii="Times New Roman" w:hAnsi="Times New Roman" w:eastAsia="宋体" w:cs="Times New Roman"/>
                      <w:b w:val="0"/>
                      <w:bCs w:val="0"/>
                      <w:color w:val="0000FF"/>
                      <w:szCs w:val="21"/>
                      <w:highlight w:val="none"/>
                      <w:lang w:val="en-US" w:eastAsia="zh-CN"/>
                    </w:rPr>
                  </w:pPr>
                </w:p>
              </w:tc>
              <w:tc>
                <w:tcPr>
                  <w:tcW w:w="320" w:type="pct"/>
                  <w:shd w:val="clear" w:color="auto" w:fill="auto"/>
                  <w:vAlign w:val="center"/>
                </w:tcPr>
                <w:p w14:paraId="0522BE6E">
                  <w:pPr>
                    <w:keepNext w:val="0"/>
                    <w:keepLines w:val="0"/>
                    <w:suppressLineNumbers w:val="0"/>
                    <w:spacing w:before="0" w:beforeAutospacing="0" w:after="0" w:afterAutospacing="0" w:line="240" w:lineRule="auto"/>
                    <w:ind w:left="0" w:right="0"/>
                    <w:jc w:val="center"/>
                    <w:rPr>
                      <w:rFonts w:hint="default" w:ascii="Times New Roman" w:hAnsi="Times New Roman" w:eastAsia="宋体" w:cs="Times New Roman"/>
                      <w:b w:val="0"/>
                      <w:bCs w:val="0"/>
                      <w:color w:val="0000FF"/>
                      <w:kern w:val="2"/>
                      <w:sz w:val="21"/>
                      <w:szCs w:val="21"/>
                      <w:highlight w:val="none"/>
                      <w:lang w:val="en-US" w:eastAsia="zh-CN" w:bidi="ar-SA"/>
                    </w:rPr>
                  </w:pPr>
                  <w:r>
                    <w:rPr>
                      <w:rFonts w:hint="default" w:ascii="Times New Roman" w:hAnsi="Times New Roman" w:eastAsia="宋体" w:cs="Times New Roman"/>
                      <w:b w:val="0"/>
                      <w:bCs w:val="0"/>
                      <w:color w:val="0000FF"/>
                      <w:sz w:val="21"/>
                      <w:szCs w:val="21"/>
                      <w:highlight w:val="none"/>
                      <w:lang w:val="en-US" w:eastAsia="zh-CN"/>
                    </w:rPr>
                    <w:t>新增</w:t>
                  </w:r>
                </w:p>
              </w:tc>
            </w:tr>
            <w:tr w14:paraId="3DFED2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291" w:type="pct"/>
                  <w:shd w:val="clear" w:color="auto" w:fill="auto"/>
                  <w:vAlign w:val="center"/>
                </w:tcPr>
                <w:p w14:paraId="1DA0822F">
                  <w:pPr>
                    <w:keepNext w:val="0"/>
                    <w:keepLines w:val="0"/>
                    <w:suppressLineNumbers w:val="0"/>
                    <w:spacing w:before="0" w:beforeAutospacing="0" w:after="0" w:afterAutospacing="0"/>
                    <w:ind w:left="0" w:right="0"/>
                    <w:jc w:val="center"/>
                    <w:rPr>
                      <w:rFonts w:hint="default" w:ascii="Times New Roman" w:hAnsi="Times New Roman" w:eastAsia="宋体" w:cs="Times New Roman"/>
                      <w:b w:val="0"/>
                      <w:bCs w:val="0"/>
                      <w:color w:val="0000FF"/>
                      <w:szCs w:val="21"/>
                      <w:highlight w:val="none"/>
                      <w:lang w:val="en-US" w:eastAsia="zh-CN"/>
                    </w:rPr>
                  </w:pPr>
                  <w:r>
                    <w:rPr>
                      <w:rFonts w:hint="eastAsia" w:ascii="Times New Roman" w:hAnsi="Times New Roman" w:eastAsia="宋体" w:cs="Times New Roman"/>
                      <w:b w:val="0"/>
                      <w:bCs w:val="0"/>
                      <w:color w:val="0000FF"/>
                      <w:szCs w:val="21"/>
                      <w:highlight w:val="none"/>
                      <w:lang w:val="en-US" w:eastAsia="zh-CN"/>
                    </w:rPr>
                    <w:t>46</w:t>
                  </w:r>
                </w:p>
              </w:tc>
              <w:tc>
                <w:tcPr>
                  <w:tcW w:w="394" w:type="pct"/>
                  <w:vMerge w:val="continue"/>
                  <w:vAlign w:val="center"/>
                </w:tcPr>
                <w:p w14:paraId="4C0A952F">
                  <w:pPr>
                    <w:keepNext w:val="0"/>
                    <w:keepLines w:val="0"/>
                    <w:suppressLineNumbers w:val="0"/>
                    <w:spacing w:before="0" w:beforeAutospacing="0" w:after="0" w:afterAutospacing="0"/>
                    <w:ind w:left="0" w:right="0"/>
                    <w:jc w:val="center"/>
                    <w:rPr>
                      <w:rFonts w:hint="default" w:ascii="Times New Roman" w:hAnsi="Times New Roman" w:eastAsia="宋体" w:cs="Times New Roman"/>
                      <w:b w:val="0"/>
                      <w:bCs w:val="0"/>
                      <w:color w:val="0000FF"/>
                      <w:szCs w:val="21"/>
                      <w:highlight w:val="none"/>
                    </w:rPr>
                  </w:pPr>
                </w:p>
              </w:tc>
              <w:tc>
                <w:tcPr>
                  <w:tcW w:w="660" w:type="pct"/>
                  <w:vMerge w:val="continue"/>
                  <w:vAlign w:val="center"/>
                </w:tcPr>
                <w:p w14:paraId="2E48CE03">
                  <w:pPr>
                    <w:keepNext w:val="0"/>
                    <w:keepLines w:val="0"/>
                    <w:suppressLineNumbers w:val="0"/>
                    <w:spacing w:before="0" w:beforeAutospacing="0" w:after="0" w:afterAutospacing="0"/>
                    <w:ind w:left="0" w:right="0"/>
                    <w:jc w:val="center"/>
                    <w:rPr>
                      <w:rFonts w:hint="default" w:ascii="Times New Roman" w:hAnsi="Times New Roman" w:eastAsia="宋体" w:cs="Times New Roman"/>
                      <w:b w:val="0"/>
                      <w:bCs w:val="0"/>
                      <w:color w:val="0000FF"/>
                      <w:szCs w:val="21"/>
                      <w:highlight w:val="none"/>
                    </w:rPr>
                  </w:pPr>
                </w:p>
              </w:tc>
              <w:tc>
                <w:tcPr>
                  <w:tcW w:w="766" w:type="pct"/>
                  <w:shd w:val="clear" w:color="auto" w:fill="auto"/>
                  <w:vAlign w:val="center"/>
                </w:tcPr>
                <w:p w14:paraId="0CA1E1CE">
                  <w:pPr>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color w:val="0000FF"/>
                      <w:kern w:val="2"/>
                      <w:sz w:val="21"/>
                      <w:szCs w:val="21"/>
                      <w:lang w:val="en-US" w:eastAsia="zh-CN" w:bidi="ar-SA"/>
                    </w:rPr>
                  </w:pPr>
                  <w:r>
                    <w:rPr>
                      <w:rFonts w:hint="default" w:ascii="Times New Roman" w:hAnsi="Times New Roman" w:eastAsia="宋体" w:cs="Times New Roman"/>
                      <w:color w:val="0000FF"/>
                      <w:szCs w:val="21"/>
                    </w:rPr>
                    <w:t>SLF1450-M型</w:t>
                  </w:r>
                </w:p>
              </w:tc>
              <w:tc>
                <w:tcPr>
                  <w:tcW w:w="483" w:type="pct"/>
                  <w:shd w:val="clear" w:color="auto" w:fill="auto"/>
                  <w:vAlign w:val="center"/>
                </w:tcPr>
                <w:p w14:paraId="3753CD92">
                  <w:pPr>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color w:val="0000FF"/>
                      <w:kern w:val="2"/>
                      <w:sz w:val="21"/>
                      <w:szCs w:val="21"/>
                      <w:lang w:val="en-US" w:eastAsia="zh-CN" w:bidi="ar-SA"/>
                    </w:rPr>
                  </w:pPr>
                  <w:r>
                    <w:rPr>
                      <w:rFonts w:hint="default" w:ascii="Times New Roman" w:hAnsi="Times New Roman" w:eastAsia="宋体" w:cs="Times New Roman"/>
                      <w:color w:val="0000FF"/>
                      <w:szCs w:val="21"/>
                    </w:rPr>
                    <w:t>/</w:t>
                  </w:r>
                </w:p>
              </w:tc>
              <w:tc>
                <w:tcPr>
                  <w:tcW w:w="417" w:type="pct"/>
                  <w:shd w:val="clear" w:color="auto" w:fill="auto"/>
                  <w:vAlign w:val="center"/>
                </w:tcPr>
                <w:p w14:paraId="316192EF">
                  <w:pPr>
                    <w:keepNext w:val="0"/>
                    <w:keepLines w:val="0"/>
                    <w:suppressLineNumbers w:val="0"/>
                    <w:spacing w:before="0" w:beforeAutospacing="0" w:after="0" w:afterAutospacing="0"/>
                    <w:ind w:left="0" w:leftChars="0" w:right="0" w:rightChars="0"/>
                    <w:jc w:val="center"/>
                    <w:rPr>
                      <w:rFonts w:hint="eastAsia" w:ascii="Times New Roman" w:hAnsi="Times New Roman" w:eastAsia="宋体" w:cs="Times New Roman"/>
                      <w:color w:val="0000FF"/>
                      <w:kern w:val="2"/>
                      <w:sz w:val="21"/>
                      <w:szCs w:val="21"/>
                      <w:lang w:val="en-US" w:eastAsia="zh-CN" w:bidi="ar-SA"/>
                    </w:rPr>
                  </w:pPr>
                  <w:r>
                    <w:rPr>
                      <w:rFonts w:hint="default" w:ascii="Times New Roman" w:hAnsi="Times New Roman" w:eastAsia="宋体" w:cs="Times New Roman"/>
                      <w:color w:val="0000FF"/>
                      <w:szCs w:val="21"/>
                    </w:rPr>
                    <w:t>5</w:t>
                  </w:r>
                </w:p>
              </w:tc>
              <w:tc>
                <w:tcPr>
                  <w:tcW w:w="592" w:type="pct"/>
                  <w:shd w:val="clear" w:color="auto" w:fill="auto"/>
                  <w:vAlign w:val="center"/>
                </w:tcPr>
                <w:p w14:paraId="1FE3B23B">
                  <w:pPr>
                    <w:keepNext w:val="0"/>
                    <w:keepLines w:val="0"/>
                    <w:suppressLineNumbers w:val="0"/>
                    <w:spacing w:before="0" w:beforeAutospacing="0" w:after="0" w:afterAutospacing="0"/>
                    <w:ind w:left="0" w:leftChars="0" w:right="0" w:rightChars="0"/>
                    <w:jc w:val="center"/>
                    <w:rPr>
                      <w:rFonts w:hint="eastAsia" w:ascii="Times New Roman" w:hAnsi="Times New Roman" w:eastAsia="宋体" w:cs="Times New Roman"/>
                      <w:color w:val="0000FF"/>
                      <w:kern w:val="2"/>
                      <w:sz w:val="21"/>
                      <w:szCs w:val="21"/>
                      <w:lang w:val="en-US" w:eastAsia="zh-CN" w:bidi="ar-SA"/>
                    </w:rPr>
                  </w:pPr>
                  <w:r>
                    <w:rPr>
                      <w:rFonts w:hint="default" w:ascii="Times New Roman" w:hAnsi="Times New Roman" w:eastAsia="宋体" w:cs="Times New Roman"/>
                      <w:color w:val="0000FF"/>
                      <w:szCs w:val="21"/>
                    </w:rPr>
                    <w:t>5</w:t>
                  </w:r>
                </w:p>
              </w:tc>
              <w:tc>
                <w:tcPr>
                  <w:tcW w:w="537" w:type="pct"/>
                  <w:shd w:val="clear" w:color="auto" w:fill="auto"/>
                  <w:vAlign w:val="center"/>
                </w:tcPr>
                <w:p w14:paraId="060E4959">
                  <w:pPr>
                    <w:keepNext w:val="0"/>
                    <w:keepLines w:val="0"/>
                    <w:suppressLineNumbers w:val="0"/>
                    <w:spacing w:before="0" w:beforeAutospacing="0" w:after="0" w:afterAutospacing="0"/>
                    <w:ind w:left="0" w:leftChars="0" w:right="0" w:rightChars="0"/>
                    <w:jc w:val="center"/>
                    <w:rPr>
                      <w:rFonts w:hint="eastAsia" w:ascii="Times New Roman" w:hAnsi="Times New Roman" w:eastAsia="宋体" w:cs="Times New Roman"/>
                      <w:color w:val="0000FF"/>
                      <w:kern w:val="2"/>
                      <w:sz w:val="21"/>
                      <w:szCs w:val="21"/>
                      <w:lang w:val="en-US" w:eastAsia="zh-CN" w:bidi="ar-SA"/>
                    </w:rPr>
                  </w:pPr>
                  <w:r>
                    <w:rPr>
                      <w:rFonts w:hint="default" w:ascii="Times New Roman" w:hAnsi="Times New Roman" w:eastAsia="宋体" w:cs="Times New Roman"/>
                      <w:color w:val="0000FF"/>
                      <w:szCs w:val="21"/>
                    </w:rPr>
                    <w:t>+5</w:t>
                  </w:r>
                </w:p>
              </w:tc>
              <w:tc>
                <w:tcPr>
                  <w:tcW w:w="536" w:type="pct"/>
                  <w:gridSpan w:val="2"/>
                  <w:vMerge w:val="continue"/>
                  <w:vAlign w:val="center"/>
                </w:tcPr>
                <w:p w14:paraId="4814B1C4">
                  <w:pPr>
                    <w:keepNext w:val="0"/>
                    <w:keepLines w:val="0"/>
                    <w:suppressLineNumbers w:val="0"/>
                    <w:spacing w:before="0" w:beforeAutospacing="0" w:after="0" w:afterAutospacing="0"/>
                    <w:ind w:left="0" w:right="0"/>
                    <w:jc w:val="center"/>
                    <w:rPr>
                      <w:rFonts w:hint="eastAsia" w:ascii="Times New Roman" w:hAnsi="Times New Roman" w:eastAsia="宋体" w:cs="Times New Roman"/>
                      <w:b w:val="0"/>
                      <w:bCs w:val="0"/>
                      <w:color w:val="0000FF"/>
                      <w:szCs w:val="21"/>
                      <w:highlight w:val="none"/>
                      <w:lang w:val="en-US" w:eastAsia="zh-CN"/>
                    </w:rPr>
                  </w:pPr>
                </w:p>
              </w:tc>
              <w:tc>
                <w:tcPr>
                  <w:tcW w:w="320" w:type="pct"/>
                  <w:shd w:val="clear" w:color="auto" w:fill="auto"/>
                  <w:vAlign w:val="center"/>
                </w:tcPr>
                <w:p w14:paraId="2F30FC48">
                  <w:pPr>
                    <w:keepNext w:val="0"/>
                    <w:keepLines w:val="0"/>
                    <w:suppressLineNumbers w:val="0"/>
                    <w:spacing w:before="0" w:beforeAutospacing="0" w:after="0" w:afterAutospacing="0" w:line="240" w:lineRule="auto"/>
                    <w:ind w:left="0" w:right="0"/>
                    <w:jc w:val="center"/>
                    <w:rPr>
                      <w:rFonts w:hint="default" w:ascii="Times New Roman" w:hAnsi="Times New Roman" w:eastAsia="宋体" w:cs="Times New Roman"/>
                      <w:b w:val="0"/>
                      <w:bCs w:val="0"/>
                      <w:color w:val="0000FF"/>
                      <w:kern w:val="2"/>
                      <w:sz w:val="21"/>
                      <w:szCs w:val="21"/>
                      <w:highlight w:val="none"/>
                      <w:lang w:val="en-US" w:eastAsia="zh-CN" w:bidi="ar-SA"/>
                    </w:rPr>
                  </w:pPr>
                  <w:r>
                    <w:rPr>
                      <w:rFonts w:hint="default" w:ascii="Times New Roman" w:hAnsi="Times New Roman" w:eastAsia="宋体" w:cs="Times New Roman"/>
                      <w:b w:val="0"/>
                      <w:bCs w:val="0"/>
                      <w:color w:val="0000FF"/>
                      <w:sz w:val="21"/>
                      <w:szCs w:val="21"/>
                      <w:highlight w:val="none"/>
                      <w:lang w:val="en-US" w:eastAsia="zh-CN"/>
                    </w:rPr>
                    <w:t>新增</w:t>
                  </w:r>
                </w:p>
              </w:tc>
            </w:tr>
            <w:tr w14:paraId="062439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291" w:type="pct"/>
                  <w:shd w:val="clear" w:color="auto" w:fill="auto"/>
                  <w:vAlign w:val="center"/>
                </w:tcPr>
                <w:p w14:paraId="0DC5EA2F">
                  <w:pPr>
                    <w:keepNext w:val="0"/>
                    <w:keepLines w:val="0"/>
                    <w:suppressLineNumbers w:val="0"/>
                    <w:spacing w:before="0" w:beforeAutospacing="0" w:after="0" w:afterAutospacing="0"/>
                    <w:ind w:left="0" w:right="0"/>
                    <w:jc w:val="center"/>
                    <w:rPr>
                      <w:rFonts w:hint="default" w:ascii="Times New Roman" w:hAnsi="Times New Roman" w:eastAsia="宋体" w:cs="Times New Roman"/>
                      <w:b w:val="0"/>
                      <w:bCs w:val="0"/>
                      <w:color w:val="0000FF"/>
                      <w:szCs w:val="21"/>
                      <w:highlight w:val="none"/>
                      <w:lang w:val="en-US" w:eastAsia="zh-CN"/>
                    </w:rPr>
                  </w:pPr>
                  <w:r>
                    <w:rPr>
                      <w:rFonts w:hint="eastAsia" w:ascii="Times New Roman" w:hAnsi="Times New Roman" w:eastAsia="宋体" w:cs="Times New Roman"/>
                      <w:b w:val="0"/>
                      <w:bCs w:val="0"/>
                      <w:color w:val="0000FF"/>
                      <w:szCs w:val="21"/>
                      <w:highlight w:val="none"/>
                      <w:lang w:val="en-US" w:eastAsia="zh-CN"/>
                    </w:rPr>
                    <w:t>47</w:t>
                  </w:r>
                </w:p>
              </w:tc>
              <w:tc>
                <w:tcPr>
                  <w:tcW w:w="394" w:type="pct"/>
                  <w:vMerge w:val="continue"/>
                  <w:vAlign w:val="center"/>
                </w:tcPr>
                <w:p w14:paraId="727FEBFF">
                  <w:pPr>
                    <w:keepNext w:val="0"/>
                    <w:keepLines w:val="0"/>
                    <w:suppressLineNumbers w:val="0"/>
                    <w:spacing w:before="0" w:beforeAutospacing="0" w:after="0" w:afterAutospacing="0"/>
                    <w:ind w:left="0" w:right="0"/>
                    <w:jc w:val="center"/>
                    <w:rPr>
                      <w:rFonts w:hint="default" w:ascii="Times New Roman" w:hAnsi="Times New Roman" w:eastAsia="宋体" w:cs="Times New Roman"/>
                      <w:b w:val="0"/>
                      <w:bCs w:val="0"/>
                      <w:color w:val="0000FF"/>
                      <w:szCs w:val="21"/>
                      <w:highlight w:val="none"/>
                    </w:rPr>
                  </w:pPr>
                </w:p>
              </w:tc>
              <w:tc>
                <w:tcPr>
                  <w:tcW w:w="660" w:type="pct"/>
                  <w:vMerge w:val="restart"/>
                  <w:shd w:val="clear" w:color="auto" w:fill="auto"/>
                  <w:vAlign w:val="center"/>
                </w:tcPr>
                <w:p w14:paraId="656E0D21">
                  <w:pPr>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color w:val="0000FF"/>
                      <w:kern w:val="2"/>
                      <w:sz w:val="21"/>
                      <w:szCs w:val="21"/>
                      <w:lang w:val="en-US" w:eastAsia="zh-CN" w:bidi="ar-SA"/>
                    </w:rPr>
                  </w:pPr>
                  <w:r>
                    <w:rPr>
                      <w:rFonts w:hint="default" w:ascii="Times New Roman" w:hAnsi="Times New Roman" w:eastAsia="宋体" w:cs="Times New Roman"/>
                      <w:color w:val="0000FF"/>
                      <w:szCs w:val="21"/>
                    </w:rPr>
                    <w:t>双面剥离收卷机</w:t>
                  </w:r>
                </w:p>
              </w:tc>
              <w:tc>
                <w:tcPr>
                  <w:tcW w:w="766" w:type="pct"/>
                  <w:shd w:val="clear" w:color="auto" w:fill="auto"/>
                  <w:vAlign w:val="center"/>
                </w:tcPr>
                <w:p w14:paraId="7749C70C">
                  <w:pPr>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color w:val="0000FF"/>
                      <w:kern w:val="2"/>
                      <w:sz w:val="21"/>
                      <w:szCs w:val="21"/>
                      <w:lang w:val="en-US" w:eastAsia="zh-CN" w:bidi="ar-SA"/>
                    </w:rPr>
                  </w:pPr>
                  <w:r>
                    <w:rPr>
                      <w:rFonts w:hint="default" w:ascii="Times New Roman" w:hAnsi="Times New Roman" w:eastAsia="宋体" w:cs="Times New Roman"/>
                      <w:color w:val="0000FF"/>
                      <w:szCs w:val="21"/>
                    </w:rPr>
                    <w:t>SLF1450-D型</w:t>
                  </w:r>
                </w:p>
              </w:tc>
              <w:tc>
                <w:tcPr>
                  <w:tcW w:w="483" w:type="pct"/>
                  <w:shd w:val="clear" w:color="auto" w:fill="auto"/>
                  <w:vAlign w:val="center"/>
                </w:tcPr>
                <w:p w14:paraId="62B2BDBD">
                  <w:pPr>
                    <w:keepNext w:val="0"/>
                    <w:keepLines w:val="0"/>
                    <w:suppressLineNumbers w:val="0"/>
                    <w:spacing w:before="0" w:beforeAutospacing="0" w:after="0" w:afterAutospacing="0"/>
                    <w:ind w:left="0" w:leftChars="0" w:right="0" w:rightChars="0"/>
                    <w:jc w:val="center"/>
                    <w:rPr>
                      <w:rFonts w:hint="eastAsia" w:ascii="Times New Roman" w:hAnsi="Times New Roman" w:eastAsia="宋体" w:cs="Times New Roman"/>
                      <w:color w:val="0000FF"/>
                      <w:kern w:val="2"/>
                      <w:sz w:val="21"/>
                      <w:szCs w:val="21"/>
                      <w:lang w:val="en-US" w:eastAsia="zh-CN" w:bidi="ar-SA"/>
                    </w:rPr>
                  </w:pPr>
                  <w:r>
                    <w:rPr>
                      <w:rFonts w:hint="default" w:ascii="Times New Roman" w:hAnsi="Times New Roman" w:eastAsia="宋体" w:cs="Times New Roman"/>
                      <w:color w:val="0000FF"/>
                      <w:szCs w:val="21"/>
                    </w:rPr>
                    <w:t>17</w:t>
                  </w:r>
                </w:p>
              </w:tc>
              <w:tc>
                <w:tcPr>
                  <w:tcW w:w="417" w:type="pct"/>
                  <w:shd w:val="clear" w:color="auto" w:fill="auto"/>
                  <w:vAlign w:val="center"/>
                </w:tcPr>
                <w:p w14:paraId="0660A894">
                  <w:pPr>
                    <w:keepNext w:val="0"/>
                    <w:keepLines w:val="0"/>
                    <w:suppressLineNumbers w:val="0"/>
                    <w:spacing w:before="0" w:beforeAutospacing="0" w:after="0" w:afterAutospacing="0"/>
                    <w:ind w:left="0" w:leftChars="0" w:right="0" w:rightChars="0"/>
                    <w:jc w:val="center"/>
                    <w:rPr>
                      <w:rFonts w:hint="eastAsia" w:ascii="Times New Roman" w:hAnsi="Times New Roman" w:eastAsia="宋体" w:cs="Times New Roman"/>
                      <w:color w:val="0000FF"/>
                      <w:kern w:val="2"/>
                      <w:sz w:val="21"/>
                      <w:szCs w:val="21"/>
                      <w:lang w:val="en-US" w:eastAsia="zh-CN" w:bidi="ar-SA"/>
                    </w:rPr>
                  </w:pPr>
                  <w:r>
                    <w:rPr>
                      <w:rFonts w:hint="default" w:ascii="Times New Roman" w:hAnsi="Times New Roman" w:eastAsia="宋体" w:cs="Times New Roman"/>
                      <w:color w:val="0000FF"/>
                      <w:szCs w:val="21"/>
                    </w:rPr>
                    <w:t>3</w:t>
                  </w:r>
                </w:p>
              </w:tc>
              <w:tc>
                <w:tcPr>
                  <w:tcW w:w="592" w:type="pct"/>
                  <w:shd w:val="clear" w:color="auto" w:fill="auto"/>
                  <w:vAlign w:val="center"/>
                </w:tcPr>
                <w:p w14:paraId="40A90A33">
                  <w:pPr>
                    <w:keepNext w:val="0"/>
                    <w:keepLines w:val="0"/>
                    <w:suppressLineNumbers w:val="0"/>
                    <w:spacing w:before="0" w:beforeAutospacing="0" w:after="0" w:afterAutospacing="0"/>
                    <w:ind w:left="0" w:leftChars="0" w:right="0" w:rightChars="0"/>
                    <w:jc w:val="center"/>
                    <w:rPr>
                      <w:rFonts w:hint="eastAsia" w:ascii="Times New Roman" w:hAnsi="Times New Roman" w:eastAsia="宋体" w:cs="Times New Roman"/>
                      <w:color w:val="0000FF"/>
                      <w:kern w:val="2"/>
                      <w:sz w:val="21"/>
                      <w:szCs w:val="21"/>
                      <w:lang w:val="en-US" w:eastAsia="zh-CN" w:bidi="ar-SA"/>
                    </w:rPr>
                  </w:pPr>
                  <w:r>
                    <w:rPr>
                      <w:rFonts w:hint="default" w:ascii="Times New Roman" w:hAnsi="Times New Roman" w:eastAsia="宋体" w:cs="Times New Roman"/>
                      <w:color w:val="0000FF"/>
                      <w:szCs w:val="21"/>
                    </w:rPr>
                    <w:t>3</w:t>
                  </w:r>
                </w:p>
              </w:tc>
              <w:tc>
                <w:tcPr>
                  <w:tcW w:w="537" w:type="pct"/>
                  <w:shd w:val="clear" w:color="auto" w:fill="auto"/>
                  <w:vAlign w:val="center"/>
                </w:tcPr>
                <w:p w14:paraId="371E5228">
                  <w:pPr>
                    <w:keepNext w:val="0"/>
                    <w:keepLines w:val="0"/>
                    <w:suppressLineNumbers w:val="0"/>
                    <w:spacing w:before="0" w:beforeAutospacing="0" w:after="0" w:afterAutospacing="0"/>
                    <w:ind w:left="0" w:leftChars="0" w:right="0" w:rightChars="0"/>
                    <w:jc w:val="center"/>
                    <w:rPr>
                      <w:rFonts w:hint="eastAsia" w:ascii="Times New Roman" w:hAnsi="Times New Roman" w:eastAsia="宋体" w:cs="Times New Roman"/>
                      <w:color w:val="0000FF"/>
                      <w:kern w:val="2"/>
                      <w:sz w:val="21"/>
                      <w:szCs w:val="21"/>
                      <w:lang w:val="en-US" w:eastAsia="zh-CN" w:bidi="ar-SA"/>
                    </w:rPr>
                  </w:pPr>
                  <w:r>
                    <w:rPr>
                      <w:rFonts w:hint="default" w:ascii="Times New Roman" w:hAnsi="Times New Roman" w:eastAsia="宋体" w:cs="Times New Roman"/>
                      <w:color w:val="0000FF"/>
                      <w:szCs w:val="21"/>
                    </w:rPr>
                    <w:t>-14</w:t>
                  </w:r>
                </w:p>
              </w:tc>
              <w:tc>
                <w:tcPr>
                  <w:tcW w:w="536" w:type="pct"/>
                  <w:gridSpan w:val="2"/>
                  <w:vMerge w:val="continue"/>
                  <w:vAlign w:val="center"/>
                </w:tcPr>
                <w:p w14:paraId="715D8106">
                  <w:pPr>
                    <w:keepNext w:val="0"/>
                    <w:keepLines w:val="0"/>
                    <w:suppressLineNumbers w:val="0"/>
                    <w:spacing w:before="0" w:beforeAutospacing="0" w:after="0" w:afterAutospacing="0"/>
                    <w:ind w:left="0" w:right="0"/>
                    <w:jc w:val="center"/>
                    <w:rPr>
                      <w:rFonts w:hint="eastAsia" w:ascii="Times New Roman" w:hAnsi="Times New Roman" w:eastAsia="宋体" w:cs="Times New Roman"/>
                      <w:b w:val="0"/>
                      <w:bCs w:val="0"/>
                      <w:color w:val="0000FF"/>
                      <w:szCs w:val="21"/>
                      <w:highlight w:val="none"/>
                      <w:lang w:val="en-US" w:eastAsia="zh-CN"/>
                    </w:rPr>
                  </w:pPr>
                </w:p>
              </w:tc>
              <w:tc>
                <w:tcPr>
                  <w:tcW w:w="320" w:type="pct"/>
                  <w:vAlign w:val="center"/>
                </w:tcPr>
                <w:p w14:paraId="738EC5A6">
                  <w:pPr>
                    <w:keepNext w:val="0"/>
                    <w:keepLines w:val="0"/>
                    <w:suppressLineNumbers w:val="0"/>
                    <w:spacing w:before="0" w:beforeAutospacing="0" w:after="0" w:afterAutospacing="0"/>
                    <w:ind w:left="0" w:right="0"/>
                    <w:jc w:val="center"/>
                    <w:rPr>
                      <w:rFonts w:hint="eastAsia" w:ascii="Times New Roman" w:hAnsi="Times New Roman" w:eastAsia="宋体" w:cs="Times New Roman"/>
                      <w:b w:val="0"/>
                      <w:bCs w:val="0"/>
                      <w:color w:val="0000FF"/>
                      <w:szCs w:val="21"/>
                      <w:highlight w:val="none"/>
                      <w:lang w:val="en-US" w:eastAsia="zh-CN"/>
                    </w:rPr>
                  </w:pPr>
                  <w:r>
                    <w:rPr>
                      <w:rFonts w:hint="eastAsia" w:ascii="Times New Roman" w:hAnsi="Times New Roman" w:eastAsia="宋体" w:cs="Times New Roman"/>
                      <w:b w:val="0"/>
                      <w:bCs w:val="0"/>
                      <w:color w:val="0000FF"/>
                      <w:szCs w:val="21"/>
                      <w:highlight w:val="none"/>
                      <w:lang w:val="en-US" w:eastAsia="zh-CN"/>
                    </w:rPr>
                    <w:t>/</w:t>
                  </w:r>
                </w:p>
              </w:tc>
            </w:tr>
            <w:tr w14:paraId="57E36B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291" w:type="pct"/>
                  <w:shd w:val="clear" w:color="auto" w:fill="auto"/>
                  <w:vAlign w:val="center"/>
                </w:tcPr>
                <w:p w14:paraId="67F8349B">
                  <w:pPr>
                    <w:keepNext w:val="0"/>
                    <w:keepLines w:val="0"/>
                    <w:suppressLineNumbers w:val="0"/>
                    <w:spacing w:before="0" w:beforeAutospacing="0" w:after="0" w:afterAutospacing="0"/>
                    <w:ind w:left="0" w:right="0"/>
                    <w:jc w:val="center"/>
                    <w:rPr>
                      <w:rFonts w:hint="default" w:ascii="Times New Roman" w:hAnsi="Times New Roman" w:eastAsia="宋体" w:cs="Times New Roman"/>
                      <w:b w:val="0"/>
                      <w:bCs w:val="0"/>
                      <w:color w:val="0000FF"/>
                      <w:szCs w:val="21"/>
                      <w:highlight w:val="none"/>
                      <w:lang w:val="en-US" w:eastAsia="zh-CN"/>
                    </w:rPr>
                  </w:pPr>
                  <w:r>
                    <w:rPr>
                      <w:rFonts w:hint="eastAsia" w:ascii="Times New Roman" w:hAnsi="Times New Roman" w:eastAsia="宋体" w:cs="Times New Roman"/>
                      <w:b w:val="0"/>
                      <w:bCs w:val="0"/>
                      <w:color w:val="0000FF"/>
                      <w:szCs w:val="21"/>
                      <w:highlight w:val="none"/>
                      <w:lang w:val="en-US" w:eastAsia="zh-CN"/>
                    </w:rPr>
                    <w:t>48</w:t>
                  </w:r>
                </w:p>
              </w:tc>
              <w:tc>
                <w:tcPr>
                  <w:tcW w:w="394" w:type="pct"/>
                  <w:vMerge w:val="continue"/>
                  <w:vAlign w:val="center"/>
                </w:tcPr>
                <w:p w14:paraId="1A58D7BF">
                  <w:pPr>
                    <w:keepNext w:val="0"/>
                    <w:keepLines w:val="0"/>
                    <w:suppressLineNumbers w:val="0"/>
                    <w:spacing w:before="0" w:beforeAutospacing="0" w:after="0" w:afterAutospacing="0"/>
                    <w:ind w:left="0" w:right="0"/>
                    <w:jc w:val="center"/>
                    <w:rPr>
                      <w:rFonts w:hint="default" w:ascii="Times New Roman" w:hAnsi="Times New Roman" w:eastAsia="宋体" w:cs="Times New Roman"/>
                      <w:b w:val="0"/>
                      <w:bCs w:val="0"/>
                      <w:color w:val="0000FF"/>
                      <w:szCs w:val="21"/>
                      <w:highlight w:val="none"/>
                    </w:rPr>
                  </w:pPr>
                </w:p>
              </w:tc>
              <w:tc>
                <w:tcPr>
                  <w:tcW w:w="660" w:type="pct"/>
                  <w:vMerge w:val="continue"/>
                  <w:vAlign w:val="center"/>
                </w:tcPr>
                <w:p w14:paraId="3F19DF5F">
                  <w:pPr>
                    <w:keepNext w:val="0"/>
                    <w:keepLines w:val="0"/>
                    <w:suppressLineNumbers w:val="0"/>
                    <w:spacing w:before="0" w:beforeAutospacing="0" w:after="0" w:afterAutospacing="0"/>
                    <w:ind w:left="0" w:right="0"/>
                    <w:jc w:val="center"/>
                    <w:rPr>
                      <w:rFonts w:hint="default" w:ascii="Times New Roman" w:hAnsi="Times New Roman" w:eastAsia="宋体" w:cs="Times New Roman"/>
                      <w:b w:val="0"/>
                      <w:bCs w:val="0"/>
                      <w:color w:val="0000FF"/>
                      <w:szCs w:val="21"/>
                      <w:highlight w:val="none"/>
                    </w:rPr>
                  </w:pPr>
                </w:p>
              </w:tc>
              <w:tc>
                <w:tcPr>
                  <w:tcW w:w="766" w:type="pct"/>
                  <w:shd w:val="clear" w:color="auto" w:fill="auto"/>
                  <w:vAlign w:val="center"/>
                </w:tcPr>
                <w:p w14:paraId="737FA213">
                  <w:pPr>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color w:val="0000FF"/>
                      <w:kern w:val="2"/>
                      <w:sz w:val="21"/>
                      <w:szCs w:val="21"/>
                      <w:lang w:val="en-US" w:eastAsia="zh-CN" w:bidi="ar-SA"/>
                    </w:rPr>
                  </w:pPr>
                  <w:r>
                    <w:rPr>
                      <w:rFonts w:hint="default" w:ascii="Times New Roman" w:hAnsi="Times New Roman" w:eastAsia="宋体" w:cs="Times New Roman"/>
                      <w:color w:val="0000FF"/>
                      <w:szCs w:val="21"/>
                    </w:rPr>
                    <w:t>1250-D-P</w:t>
                  </w:r>
                </w:p>
              </w:tc>
              <w:tc>
                <w:tcPr>
                  <w:tcW w:w="483" w:type="pct"/>
                  <w:shd w:val="clear" w:color="auto" w:fill="auto"/>
                  <w:vAlign w:val="center"/>
                </w:tcPr>
                <w:p w14:paraId="136508F0">
                  <w:pPr>
                    <w:keepNext w:val="0"/>
                    <w:keepLines w:val="0"/>
                    <w:suppressLineNumbers w:val="0"/>
                    <w:spacing w:before="0" w:beforeAutospacing="0" w:after="0" w:afterAutospacing="0"/>
                    <w:ind w:left="0" w:leftChars="0" w:right="0" w:rightChars="0"/>
                    <w:jc w:val="center"/>
                    <w:rPr>
                      <w:rFonts w:hint="eastAsia" w:ascii="Times New Roman" w:hAnsi="Times New Roman" w:eastAsia="宋体" w:cs="Times New Roman"/>
                      <w:color w:val="0000FF"/>
                      <w:kern w:val="2"/>
                      <w:sz w:val="21"/>
                      <w:szCs w:val="21"/>
                      <w:lang w:val="en-US" w:eastAsia="zh-CN" w:bidi="ar-SA"/>
                    </w:rPr>
                  </w:pPr>
                  <w:r>
                    <w:rPr>
                      <w:rFonts w:hint="default" w:ascii="Times New Roman" w:hAnsi="Times New Roman" w:eastAsia="宋体" w:cs="Times New Roman"/>
                      <w:color w:val="0000FF"/>
                      <w:szCs w:val="21"/>
                    </w:rPr>
                    <w:t>2</w:t>
                  </w:r>
                </w:p>
              </w:tc>
              <w:tc>
                <w:tcPr>
                  <w:tcW w:w="417" w:type="pct"/>
                  <w:shd w:val="clear" w:color="auto" w:fill="auto"/>
                  <w:vAlign w:val="center"/>
                </w:tcPr>
                <w:p w14:paraId="56F871B6">
                  <w:pPr>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color w:val="0000FF"/>
                      <w:kern w:val="2"/>
                      <w:sz w:val="21"/>
                      <w:szCs w:val="21"/>
                      <w:lang w:val="en-US" w:eastAsia="zh-CN" w:bidi="ar-SA"/>
                    </w:rPr>
                  </w:pPr>
                  <w:r>
                    <w:rPr>
                      <w:rFonts w:hint="default" w:ascii="Times New Roman" w:hAnsi="Times New Roman" w:eastAsia="宋体" w:cs="Times New Roman"/>
                      <w:color w:val="0000FF"/>
                      <w:szCs w:val="21"/>
                    </w:rPr>
                    <w:t>0</w:t>
                  </w:r>
                </w:p>
              </w:tc>
              <w:tc>
                <w:tcPr>
                  <w:tcW w:w="592" w:type="pct"/>
                  <w:shd w:val="clear" w:color="auto" w:fill="auto"/>
                  <w:vAlign w:val="center"/>
                </w:tcPr>
                <w:p w14:paraId="4AEF9AFC">
                  <w:pPr>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color w:val="0000FF"/>
                      <w:kern w:val="2"/>
                      <w:sz w:val="21"/>
                      <w:szCs w:val="21"/>
                      <w:lang w:val="en-US" w:eastAsia="zh-CN" w:bidi="ar-SA"/>
                    </w:rPr>
                  </w:pPr>
                  <w:r>
                    <w:rPr>
                      <w:rFonts w:hint="default" w:ascii="Times New Roman" w:hAnsi="Times New Roman" w:eastAsia="宋体" w:cs="Times New Roman"/>
                      <w:color w:val="0000FF"/>
                      <w:szCs w:val="21"/>
                    </w:rPr>
                    <w:t>0</w:t>
                  </w:r>
                </w:p>
              </w:tc>
              <w:tc>
                <w:tcPr>
                  <w:tcW w:w="537" w:type="pct"/>
                  <w:shd w:val="clear" w:color="auto" w:fill="auto"/>
                  <w:vAlign w:val="center"/>
                </w:tcPr>
                <w:p w14:paraId="5350CDB8">
                  <w:pPr>
                    <w:keepNext w:val="0"/>
                    <w:keepLines w:val="0"/>
                    <w:suppressLineNumbers w:val="0"/>
                    <w:spacing w:before="0" w:beforeAutospacing="0" w:after="0" w:afterAutospacing="0"/>
                    <w:ind w:left="0" w:leftChars="0" w:right="0" w:rightChars="0"/>
                    <w:jc w:val="center"/>
                    <w:rPr>
                      <w:rFonts w:hint="eastAsia" w:ascii="Times New Roman" w:hAnsi="Times New Roman" w:eastAsia="宋体" w:cs="Times New Roman"/>
                      <w:color w:val="0000FF"/>
                      <w:kern w:val="2"/>
                      <w:sz w:val="21"/>
                      <w:szCs w:val="21"/>
                      <w:lang w:val="en-US" w:eastAsia="zh-CN" w:bidi="ar-SA"/>
                    </w:rPr>
                  </w:pPr>
                  <w:r>
                    <w:rPr>
                      <w:rFonts w:hint="default" w:ascii="Times New Roman" w:hAnsi="Times New Roman" w:eastAsia="宋体" w:cs="Times New Roman"/>
                      <w:color w:val="0000FF"/>
                      <w:szCs w:val="21"/>
                    </w:rPr>
                    <w:t>-2</w:t>
                  </w:r>
                </w:p>
              </w:tc>
              <w:tc>
                <w:tcPr>
                  <w:tcW w:w="536" w:type="pct"/>
                  <w:gridSpan w:val="2"/>
                  <w:vMerge w:val="continue"/>
                  <w:vAlign w:val="center"/>
                </w:tcPr>
                <w:p w14:paraId="07CD9D3B">
                  <w:pPr>
                    <w:keepNext w:val="0"/>
                    <w:keepLines w:val="0"/>
                    <w:suppressLineNumbers w:val="0"/>
                    <w:spacing w:before="0" w:beforeAutospacing="0" w:after="0" w:afterAutospacing="0"/>
                    <w:ind w:left="0" w:right="0"/>
                    <w:jc w:val="center"/>
                    <w:rPr>
                      <w:rFonts w:hint="eastAsia" w:ascii="Times New Roman" w:hAnsi="Times New Roman" w:eastAsia="宋体" w:cs="Times New Roman"/>
                      <w:b w:val="0"/>
                      <w:bCs w:val="0"/>
                      <w:color w:val="0000FF"/>
                      <w:szCs w:val="21"/>
                      <w:highlight w:val="none"/>
                      <w:lang w:val="en-US" w:eastAsia="zh-CN"/>
                    </w:rPr>
                  </w:pPr>
                </w:p>
              </w:tc>
              <w:tc>
                <w:tcPr>
                  <w:tcW w:w="320" w:type="pct"/>
                  <w:vAlign w:val="center"/>
                </w:tcPr>
                <w:p w14:paraId="63547A53">
                  <w:pPr>
                    <w:keepNext w:val="0"/>
                    <w:keepLines w:val="0"/>
                    <w:suppressLineNumbers w:val="0"/>
                    <w:spacing w:before="0" w:beforeAutospacing="0" w:after="0" w:afterAutospacing="0"/>
                    <w:ind w:left="0" w:right="0"/>
                    <w:jc w:val="center"/>
                    <w:rPr>
                      <w:rFonts w:hint="eastAsia" w:ascii="Times New Roman" w:hAnsi="Times New Roman" w:eastAsia="宋体" w:cs="Times New Roman"/>
                      <w:b w:val="0"/>
                      <w:bCs w:val="0"/>
                      <w:color w:val="0000FF"/>
                      <w:szCs w:val="21"/>
                      <w:highlight w:val="none"/>
                      <w:lang w:val="en-US" w:eastAsia="zh-CN"/>
                    </w:rPr>
                  </w:pPr>
                  <w:r>
                    <w:rPr>
                      <w:rFonts w:hint="eastAsia" w:ascii="Times New Roman" w:hAnsi="Times New Roman" w:eastAsia="宋体" w:cs="Times New Roman"/>
                      <w:b w:val="0"/>
                      <w:bCs w:val="0"/>
                      <w:color w:val="0000FF"/>
                      <w:szCs w:val="21"/>
                      <w:highlight w:val="none"/>
                      <w:lang w:val="en-US" w:eastAsia="zh-CN"/>
                    </w:rPr>
                    <w:t>/</w:t>
                  </w:r>
                </w:p>
              </w:tc>
            </w:tr>
            <w:tr w14:paraId="445E61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291" w:type="pct"/>
                  <w:shd w:val="clear" w:color="auto" w:fill="auto"/>
                  <w:vAlign w:val="center"/>
                </w:tcPr>
                <w:p w14:paraId="43AAB23F">
                  <w:pPr>
                    <w:keepNext w:val="0"/>
                    <w:keepLines w:val="0"/>
                    <w:suppressLineNumbers w:val="0"/>
                    <w:spacing w:before="0" w:beforeAutospacing="0" w:after="0" w:afterAutospacing="0"/>
                    <w:ind w:left="0" w:right="0"/>
                    <w:jc w:val="center"/>
                    <w:rPr>
                      <w:rFonts w:hint="default" w:ascii="Times New Roman" w:hAnsi="Times New Roman" w:eastAsia="宋体" w:cs="Times New Roman"/>
                      <w:b w:val="0"/>
                      <w:bCs w:val="0"/>
                      <w:color w:val="0000FF"/>
                      <w:szCs w:val="21"/>
                      <w:highlight w:val="none"/>
                      <w:lang w:val="en-US" w:eastAsia="zh-CN"/>
                    </w:rPr>
                  </w:pPr>
                  <w:r>
                    <w:rPr>
                      <w:rFonts w:hint="eastAsia" w:ascii="Times New Roman" w:hAnsi="Times New Roman" w:eastAsia="宋体" w:cs="Times New Roman"/>
                      <w:b w:val="0"/>
                      <w:bCs w:val="0"/>
                      <w:color w:val="0000FF"/>
                      <w:szCs w:val="21"/>
                      <w:highlight w:val="none"/>
                      <w:lang w:val="en-US" w:eastAsia="zh-CN"/>
                    </w:rPr>
                    <w:t>49</w:t>
                  </w:r>
                </w:p>
              </w:tc>
              <w:tc>
                <w:tcPr>
                  <w:tcW w:w="394" w:type="pct"/>
                  <w:vMerge w:val="continue"/>
                  <w:vAlign w:val="center"/>
                </w:tcPr>
                <w:p w14:paraId="73C39A08">
                  <w:pPr>
                    <w:keepNext w:val="0"/>
                    <w:keepLines w:val="0"/>
                    <w:suppressLineNumbers w:val="0"/>
                    <w:spacing w:before="0" w:beforeAutospacing="0" w:after="0" w:afterAutospacing="0"/>
                    <w:ind w:left="0" w:right="0"/>
                    <w:jc w:val="center"/>
                    <w:rPr>
                      <w:rFonts w:hint="default" w:ascii="Times New Roman" w:hAnsi="Times New Roman" w:eastAsia="宋体" w:cs="Times New Roman"/>
                      <w:b w:val="0"/>
                      <w:bCs w:val="0"/>
                      <w:color w:val="0000FF"/>
                      <w:szCs w:val="21"/>
                      <w:highlight w:val="none"/>
                    </w:rPr>
                  </w:pPr>
                </w:p>
              </w:tc>
              <w:tc>
                <w:tcPr>
                  <w:tcW w:w="660" w:type="pct"/>
                  <w:vMerge w:val="continue"/>
                  <w:vAlign w:val="center"/>
                </w:tcPr>
                <w:p w14:paraId="7745B374">
                  <w:pPr>
                    <w:keepNext w:val="0"/>
                    <w:keepLines w:val="0"/>
                    <w:suppressLineNumbers w:val="0"/>
                    <w:spacing w:before="0" w:beforeAutospacing="0" w:after="0" w:afterAutospacing="0"/>
                    <w:ind w:left="0" w:right="0"/>
                    <w:jc w:val="center"/>
                    <w:rPr>
                      <w:rFonts w:hint="default" w:ascii="Times New Roman" w:hAnsi="Times New Roman" w:eastAsia="宋体" w:cs="Times New Roman"/>
                      <w:b w:val="0"/>
                      <w:bCs w:val="0"/>
                      <w:color w:val="0000FF"/>
                      <w:szCs w:val="21"/>
                      <w:highlight w:val="none"/>
                    </w:rPr>
                  </w:pPr>
                </w:p>
              </w:tc>
              <w:tc>
                <w:tcPr>
                  <w:tcW w:w="766" w:type="pct"/>
                  <w:shd w:val="clear" w:color="auto" w:fill="auto"/>
                  <w:vAlign w:val="center"/>
                </w:tcPr>
                <w:p w14:paraId="6ADB135E">
                  <w:pPr>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color w:val="0000FF"/>
                      <w:kern w:val="2"/>
                      <w:sz w:val="21"/>
                      <w:szCs w:val="21"/>
                      <w:lang w:val="en-US" w:eastAsia="zh-CN" w:bidi="ar-SA"/>
                    </w:rPr>
                  </w:pPr>
                  <w:r>
                    <w:rPr>
                      <w:rFonts w:hint="default" w:ascii="Times New Roman" w:hAnsi="Times New Roman" w:eastAsia="宋体" w:cs="Times New Roman"/>
                      <w:color w:val="0000FF"/>
                      <w:szCs w:val="21"/>
                    </w:rPr>
                    <w:t>L2600*W1400*H2700</w:t>
                  </w:r>
                </w:p>
              </w:tc>
              <w:tc>
                <w:tcPr>
                  <w:tcW w:w="483" w:type="pct"/>
                  <w:shd w:val="clear" w:color="auto" w:fill="auto"/>
                  <w:vAlign w:val="center"/>
                </w:tcPr>
                <w:p w14:paraId="043BD902">
                  <w:pPr>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color w:val="0000FF"/>
                      <w:kern w:val="2"/>
                      <w:sz w:val="21"/>
                      <w:szCs w:val="21"/>
                      <w:lang w:val="en-US" w:eastAsia="zh-CN" w:bidi="ar-SA"/>
                    </w:rPr>
                  </w:pPr>
                  <w:r>
                    <w:rPr>
                      <w:rFonts w:hint="default" w:ascii="Times New Roman" w:hAnsi="Times New Roman" w:eastAsia="宋体" w:cs="Times New Roman"/>
                      <w:color w:val="0000FF"/>
                      <w:szCs w:val="21"/>
                    </w:rPr>
                    <w:t>/</w:t>
                  </w:r>
                </w:p>
              </w:tc>
              <w:tc>
                <w:tcPr>
                  <w:tcW w:w="417" w:type="pct"/>
                  <w:shd w:val="clear" w:color="auto" w:fill="auto"/>
                  <w:vAlign w:val="center"/>
                </w:tcPr>
                <w:p w14:paraId="377FC5A2">
                  <w:pPr>
                    <w:keepNext w:val="0"/>
                    <w:keepLines w:val="0"/>
                    <w:suppressLineNumbers w:val="0"/>
                    <w:spacing w:before="0" w:beforeAutospacing="0" w:after="0" w:afterAutospacing="0"/>
                    <w:ind w:left="0" w:leftChars="0" w:right="0" w:rightChars="0"/>
                    <w:jc w:val="center"/>
                    <w:rPr>
                      <w:rFonts w:hint="eastAsia" w:ascii="Times New Roman" w:hAnsi="Times New Roman" w:eastAsia="宋体" w:cs="Times New Roman"/>
                      <w:color w:val="0000FF"/>
                      <w:kern w:val="2"/>
                      <w:sz w:val="21"/>
                      <w:szCs w:val="21"/>
                      <w:lang w:val="en-US" w:eastAsia="zh-CN" w:bidi="ar-SA"/>
                    </w:rPr>
                  </w:pPr>
                  <w:r>
                    <w:rPr>
                      <w:rFonts w:hint="default" w:ascii="Times New Roman" w:hAnsi="Times New Roman" w:eastAsia="宋体" w:cs="Times New Roman"/>
                      <w:color w:val="0000FF"/>
                      <w:szCs w:val="21"/>
                    </w:rPr>
                    <w:t>2</w:t>
                  </w:r>
                </w:p>
              </w:tc>
              <w:tc>
                <w:tcPr>
                  <w:tcW w:w="592" w:type="pct"/>
                  <w:shd w:val="clear" w:color="auto" w:fill="auto"/>
                  <w:vAlign w:val="center"/>
                </w:tcPr>
                <w:p w14:paraId="7864DC62">
                  <w:pPr>
                    <w:keepNext w:val="0"/>
                    <w:keepLines w:val="0"/>
                    <w:suppressLineNumbers w:val="0"/>
                    <w:spacing w:before="0" w:beforeAutospacing="0" w:after="0" w:afterAutospacing="0"/>
                    <w:ind w:left="0" w:leftChars="0" w:right="0" w:rightChars="0"/>
                    <w:jc w:val="center"/>
                    <w:rPr>
                      <w:rFonts w:hint="eastAsia" w:ascii="Times New Roman" w:hAnsi="Times New Roman" w:eastAsia="宋体" w:cs="Times New Roman"/>
                      <w:color w:val="0000FF"/>
                      <w:kern w:val="2"/>
                      <w:sz w:val="21"/>
                      <w:szCs w:val="21"/>
                      <w:lang w:val="en-US" w:eastAsia="zh-CN" w:bidi="ar-SA"/>
                    </w:rPr>
                  </w:pPr>
                  <w:r>
                    <w:rPr>
                      <w:rFonts w:hint="default" w:ascii="Times New Roman" w:hAnsi="Times New Roman" w:eastAsia="宋体" w:cs="Times New Roman"/>
                      <w:color w:val="0000FF"/>
                      <w:szCs w:val="21"/>
                    </w:rPr>
                    <w:t>2</w:t>
                  </w:r>
                </w:p>
              </w:tc>
              <w:tc>
                <w:tcPr>
                  <w:tcW w:w="537" w:type="pct"/>
                  <w:shd w:val="clear" w:color="auto" w:fill="auto"/>
                  <w:vAlign w:val="center"/>
                </w:tcPr>
                <w:p w14:paraId="19DC17BC">
                  <w:pPr>
                    <w:keepNext w:val="0"/>
                    <w:keepLines w:val="0"/>
                    <w:suppressLineNumbers w:val="0"/>
                    <w:spacing w:before="0" w:beforeAutospacing="0" w:after="0" w:afterAutospacing="0"/>
                    <w:ind w:left="0" w:leftChars="0" w:right="0" w:rightChars="0"/>
                    <w:jc w:val="center"/>
                    <w:rPr>
                      <w:rFonts w:hint="eastAsia" w:ascii="Times New Roman" w:hAnsi="Times New Roman" w:eastAsia="宋体" w:cs="Times New Roman"/>
                      <w:color w:val="0000FF"/>
                      <w:kern w:val="2"/>
                      <w:sz w:val="21"/>
                      <w:szCs w:val="21"/>
                      <w:lang w:val="en-US" w:eastAsia="zh-CN" w:bidi="ar-SA"/>
                    </w:rPr>
                  </w:pPr>
                  <w:r>
                    <w:rPr>
                      <w:rFonts w:hint="default" w:ascii="Times New Roman" w:hAnsi="Times New Roman" w:eastAsia="宋体" w:cs="Times New Roman"/>
                      <w:color w:val="0000FF"/>
                      <w:szCs w:val="21"/>
                    </w:rPr>
                    <w:t>+2</w:t>
                  </w:r>
                </w:p>
              </w:tc>
              <w:tc>
                <w:tcPr>
                  <w:tcW w:w="536" w:type="pct"/>
                  <w:gridSpan w:val="2"/>
                  <w:vMerge w:val="continue"/>
                  <w:vAlign w:val="center"/>
                </w:tcPr>
                <w:p w14:paraId="77C48290">
                  <w:pPr>
                    <w:keepNext w:val="0"/>
                    <w:keepLines w:val="0"/>
                    <w:suppressLineNumbers w:val="0"/>
                    <w:spacing w:before="0" w:beforeAutospacing="0" w:after="0" w:afterAutospacing="0"/>
                    <w:ind w:left="0" w:right="0"/>
                    <w:jc w:val="center"/>
                    <w:rPr>
                      <w:rFonts w:hint="eastAsia" w:ascii="Times New Roman" w:hAnsi="Times New Roman" w:eastAsia="宋体" w:cs="Times New Roman"/>
                      <w:b w:val="0"/>
                      <w:bCs w:val="0"/>
                      <w:color w:val="0000FF"/>
                      <w:szCs w:val="21"/>
                      <w:highlight w:val="none"/>
                      <w:lang w:val="en-US" w:eastAsia="zh-CN"/>
                    </w:rPr>
                  </w:pPr>
                </w:p>
              </w:tc>
              <w:tc>
                <w:tcPr>
                  <w:tcW w:w="320" w:type="pct"/>
                  <w:vAlign w:val="center"/>
                </w:tcPr>
                <w:p w14:paraId="3DEC7FD9">
                  <w:pPr>
                    <w:keepNext w:val="0"/>
                    <w:keepLines w:val="0"/>
                    <w:suppressLineNumbers w:val="0"/>
                    <w:spacing w:before="0" w:beforeAutospacing="0" w:after="0" w:afterAutospacing="0"/>
                    <w:ind w:left="0" w:right="0"/>
                    <w:jc w:val="center"/>
                    <w:rPr>
                      <w:rFonts w:hint="default" w:ascii="Times New Roman" w:hAnsi="Times New Roman" w:eastAsia="宋体" w:cs="Times New Roman"/>
                      <w:b w:val="0"/>
                      <w:bCs w:val="0"/>
                      <w:color w:val="0000FF"/>
                      <w:szCs w:val="21"/>
                      <w:highlight w:val="none"/>
                    </w:rPr>
                  </w:pPr>
                  <w:r>
                    <w:rPr>
                      <w:rFonts w:hint="default" w:ascii="Times New Roman" w:hAnsi="Times New Roman" w:eastAsia="宋体" w:cs="Times New Roman"/>
                      <w:b w:val="0"/>
                      <w:bCs w:val="0"/>
                      <w:color w:val="0000FF"/>
                      <w:szCs w:val="21"/>
                      <w:highlight w:val="none"/>
                      <w:lang w:val="en-US" w:eastAsia="zh-CN"/>
                    </w:rPr>
                    <w:t>新增</w:t>
                  </w:r>
                </w:p>
              </w:tc>
            </w:tr>
            <w:tr w14:paraId="4A7734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291" w:type="pct"/>
                  <w:shd w:val="clear" w:color="auto" w:fill="auto"/>
                  <w:vAlign w:val="center"/>
                </w:tcPr>
                <w:p w14:paraId="5C033107">
                  <w:pPr>
                    <w:keepNext w:val="0"/>
                    <w:keepLines w:val="0"/>
                    <w:suppressLineNumbers w:val="0"/>
                    <w:spacing w:before="0" w:beforeAutospacing="0" w:after="0" w:afterAutospacing="0"/>
                    <w:ind w:left="0" w:right="0"/>
                    <w:jc w:val="center"/>
                    <w:rPr>
                      <w:rFonts w:hint="default" w:ascii="Times New Roman" w:hAnsi="Times New Roman" w:eastAsia="宋体" w:cs="Times New Roman"/>
                      <w:b w:val="0"/>
                      <w:bCs w:val="0"/>
                      <w:color w:val="0000FF"/>
                      <w:szCs w:val="21"/>
                      <w:highlight w:val="none"/>
                      <w:lang w:val="en-US" w:eastAsia="zh-CN"/>
                    </w:rPr>
                  </w:pPr>
                  <w:r>
                    <w:rPr>
                      <w:rFonts w:hint="eastAsia" w:ascii="Times New Roman" w:hAnsi="Times New Roman" w:eastAsia="宋体" w:cs="Times New Roman"/>
                      <w:b w:val="0"/>
                      <w:bCs w:val="0"/>
                      <w:color w:val="0000FF"/>
                      <w:szCs w:val="21"/>
                      <w:highlight w:val="none"/>
                      <w:lang w:val="en-US" w:eastAsia="zh-CN"/>
                    </w:rPr>
                    <w:t>50</w:t>
                  </w:r>
                </w:p>
              </w:tc>
              <w:tc>
                <w:tcPr>
                  <w:tcW w:w="394" w:type="pct"/>
                  <w:vMerge w:val="continue"/>
                  <w:vAlign w:val="center"/>
                </w:tcPr>
                <w:p w14:paraId="15CBC039">
                  <w:pPr>
                    <w:keepNext w:val="0"/>
                    <w:keepLines w:val="0"/>
                    <w:suppressLineNumbers w:val="0"/>
                    <w:spacing w:before="0" w:beforeAutospacing="0" w:after="0" w:afterAutospacing="0"/>
                    <w:ind w:left="0" w:right="0"/>
                    <w:jc w:val="center"/>
                    <w:rPr>
                      <w:rFonts w:hint="default" w:ascii="Times New Roman" w:hAnsi="Times New Roman" w:eastAsia="宋体" w:cs="Times New Roman"/>
                      <w:b w:val="0"/>
                      <w:bCs w:val="0"/>
                      <w:color w:val="0000FF"/>
                      <w:szCs w:val="21"/>
                      <w:highlight w:val="none"/>
                    </w:rPr>
                  </w:pPr>
                </w:p>
              </w:tc>
              <w:tc>
                <w:tcPr>
                  <w:tcW w:w="660" w:type="pct"/>
                  <w:shd w:val="clear" w:color="auto" w:fill="auto"/>
                  <w:vAlign w:val="center"/>
                </w:tcPr>
                <w:p w14:paraId="18DDDCD9">
                  <w:pPr>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color w:val="0000FF"/>
                      <w:kern w:val="2"/>
                      <w:sz w:val="21"/>
                      <w:szCs w:val="21"/>
                      <w:lang w:val="en-US" w:eastAsia="zh-CN" w:bidi="ar-SA"/>
                    </w:rPr>
                  </w:pPr>
                  <w:r>
                    <w:rPr>
                      <w:rFonts w:hint="default" w:ascii="Times New Roman" w:hAnsi="Times New Roman" w:eastAsia="宋体" w:cs="Times New Roman"/>
                      <w:color w:val="0000FF"/>
                      <w:szCs w:val="21"/>
                    </w:rPr>
                    <w:t>复卷机-F（纠偏收卷机）</w:t>
                  </w:r>
                </w:p>
              </w:tc>
              <w:tc>
                <w:tcPr>
                  <w:tcW w:w="766" w:type="pct"/>
                  <w:shd w:val="clear" w:color="auto" w:fill="auto"/>
                  <w:vAlign w:val="center"/>
                </w:tcPr>
                <w:p w14:paraId="38610D75">
                  <w:pPr>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color w:val="0000FF"/>
                      <w:kern w:val="2"/>
                      <w:sz w:val="21"/>
                      <w:szCs w:val="21"/>
                      <w:lang w:val="en-US" w:eastAsia="zh-CN" w:bidi="ar-SA"/>
                    </w:rPr>
                  </w:pPr>
                  <w:r>
                    <w:rPr>
                      <w:rFonts w:hint="default" w:ascii="Times New Roman" w:hAnsi="Times New Roman" w:eastAsia="宋体" w:cs="Times New Roman"/>
                      <w:color w:val="0000FF"/>
                      <w:szCs w:val="21"/>
                    </w:rPr>
                    <w:t>SJ1450-M型</w:t>
                  </w:r>
                </w:p>
              </w:tc>
              <w:tc>
                <w:tcPr>
                  <w:tcW w:w="483" w:type="pct"/>
                  <w:shd w:val="clear" w:color="auto" w:fill="auto"/>
                  <w:vAlign w:val="center"/>
                </w:tcPr>
                <w:p w14:paraId="51DFC2BF">
                  <w:pPr>
                    <w:keepNext w:val="0"/>
                    <w:keepLines w:val="0"/>
                    <w:suppressLineNumbers w:val="0"/>
                    <w:spacing w:before="0" w:beforeAutospacing="0" w:after="0" w:afterAutospacing="0"/>
                    <w:ind w:left="0" w:leftChars="0" w:right="0" w:rightChars="0"/>
                    <w:jc w:val="center"/>
                    <w:rPr>
                      <w:rFonts w:hint="eastAsia" w:ascii="Times New Roman" w:hAnsi="Times New Roman" w:eastAsia="宋体" w:cs="Times New Roman"/>
                      <w:color w:val="0000FF"/>
                      <w:kern w:val="2"/>
                      <w:sz w:val="21"/>
                      <w:szCs w:val="21"/>
                      <w:lang w:val="en-US" w:eastAsia="zh-CN" w:bidi="ar-SA"/>
                    </w:rPr>
                  </w:pPr>
                  <w:r>
                    <w:rPr>
                      <w:rFonts w:hint="default" w:ascii="Times New Roman" w:hAnsi="Times New Roman" w:eastAsia="宋体" w:cs="Times New Roman"/>
                      <w:color w:val="0000FF"/>
                      <w:szCs w:val="21"/>
                    </w:rPr>
                    <w:t>12</w:t>
                  </w:r>
                </w:p>
              </w:tc>
              <w:tc>
                <w:tcPr>
                  <w:tcW w:w="417" w:type="pct"/>
                  <w:shd w:val="clear" w:color="auto" w:fill="auto"/>
                  <w:vAlign w:val="center"/>
                </w:tcPr>
                <w:p w14:paraId="2911A9FA">
                  <w:pPr>
                    <w:keepNext w:val="0"/>
                    <w:keepLines w:val="0"/>
                    <w:suppressLineNumbers w:val="0"/>
                    <w:spacing w:before="0" w:beforeAutospacing="0" w:after="0" w:afterAutospacing="0"/>
                    <w:ind w:left="0" w:leftChars="0" w:right="0" w:rightChars="0"/>
                    <w:jc w:val="center"/>
                    <w:rPr>
                      <w:rFonts w:hint="eastAsia" w:ascii="Times New Roman" w:hAnsi="Times New Roman" w:eastAsia="宋体" w:cs="Times New Roman"/>
                      <w:color w:val="0000FF"/>
                      <w:kern w:val="2"/>
                      <w:sz w:val="21"/>
                      <w:szCs w:val="21"/>
                      <w:lang w:val="en-US" w:eastAsia="zh-CN" w:bidi="ar-SA"/>
                    </w:rPr>
                  </w:pPr>
                  <w:r>
                    <w:rPr>
                      <w:rFonts w:hint="default" w:ascii="Times New Roman" w:hAnsi="Times New Roman" w:eastAsia="宋体" w:cs="Times New Roman"/>
                      <w:color w:val="0000FF"/>
                      <w:szCs w:val="21"/>
                    </w:rPr>
                    <w:t>3</w:t>
                  </w:r>
                </w:p>
              </w:tc>
              <w:tc>
                <w:tcPr>
                  <w:tcW w:w="592" w:type="pct"/>
                  <w:shd w:val="clear" w:color="auto" w:fill="auto"/>
                  <w:vAlign w:val="center"/>
                </w:tcPr>
                <w:p w14:paraId="59D089C3">
                  <w:pPr>
                    <w:keepNext w:val="0"/>
                    <w:keepLines w:val="0"/>
                    <w:suppressLineNumbers w:val="0"/>
                    <w:spacing w:before="0" w:beforeAutospacing="0" w:after="0" w:afterAutospacing="0"/>
                    <w:ind w:left="0" w:leftChars="0" w:right="0" w:rightChars="0"/>
                    <w:jc w:val="center"/>
                    <w:rPr>
                      <w:rFonts w:hint="eastAsia" w:ascii="Times New Roman" w:hAnsi="Times New Roman" w:eastAsia="宋体" w:cs="Times New Roman"/>
                      <w:color w:val="0000FF"/>
                      <w:kern w:val="2"/>
                      <w:sz w:val="21"/>
                      <w:szCs w:val="21"/>
                      <w:lang w:val="en-US" w:eastAsia="zh-CN" w:bidi="ar-SA"/>
                    </w:rPr>
                  </w:pPr>
                  <w:r>
                    <w:rPr>
                      <w:rFonts w:hint="default" w:ascii="Times New Roman" w:hAnsi="Times New Roman" w:eastAsia="宋体" w:cs="Times New Roman"/>
                      <w:color w:val="0000FF"/>
                      <w:szCs w:val="21"/>
                    </w:rPr>
                    <w:t>3</w:t>
                  </w:r>
                </w:p>
              </w:tc>
              <w:tc>
                <w:tcPr>
                  <w:tcW w:w="537" w:type="pct"/>
                  <w:shd w:val="clear" w:color="auto" w:fill="auto"/>
                  <w:vAlign w:val="center"/>
                </w:tcPr>
                <w:p w14:paraId="77646CD9">
                  <w:pPr>
                    <w:keepNext w:val="0"/>
                    <w:keepLines w:val="0"/>
                    <w:suppressLineNumbers w:val="0"/>
                    <w:spacing w:before="0" w:beforeAutospacing="0" w:after="0" w:afterAutospacing="0"/>
                    <w:ind w:left="0" w:leftChars="0" w:right="0" w:rightChars="0"/>
                    <w:jc w:val="center"/>
                    <w:rPr>
                      <w:rFonts w:hint="eastAsia" w:ascii="Times New Roman" w:hAnsi="Times New Roman" w:eastAsia="宋体" w:cs="Times New Roman"/>
                      <w:color w:val="0000FF"/>
                      <w:kern w:val="2"/>
                      <w:sz w:val="21"/>
                      <w:szCs w:val="21"/>
                      <w:lang w:val="en-US" w:eastAsia="zh-CN" w:bidi="ar-SA"/>
                    </w:rPr>
                  </w:pPr>
                  <w:r>
                    <w:rPr>
                      <w:rFonts w:hint="default" w:ascii="Times New Roman" w:hAnsi="Times New Roman" w:eastAsia="宋体" w:cs="Times New Roman"/>
                      <w:color w:val="0000FF"/>
                      <w:szCs w:val="21"/>
                    </w:rPr>
                    <w:t>-9</w:t>
                  </w:r>
                </w:p>
              </w:tc>
              <w:tc>
                <w:tcPr>
                  <w:tcW w:w="536" w:type="pct"/>
                  <w:gridSpan w:val="2"/>
                  <w:vMerge w:val="continue"/>
                  <w:vAlign w:val="center"/>
                </w:tcPr>
                <w:p w14:paraId="6E7743F8">
                  <w:pPr>
                    <w:keepNext w:val="0"/>
                    <w:keepLines w:val="0"/>
                    <w:suppressLineNumbers w:val="0"/>
                    <w:spacing w:before="0" w:beforeAutospacing="0" w:after="0" w:afterAutospacing="0"/>
                    <w:ind w:left="0" w:right="0"/>
                    <w:jc w:val="center"/>
                    <w:rPr>
                      <w:rFonts w:hint="eastAsia" w:ascii="Times New Roman" w:hAnsi="Times New Roman" w:eastAsia="宋体" w:cs="Times New Roman"/>
                      <w:b w:val="0"/>
                      <w:bCs w:val="0"/>
                      <w:color w:val="0000FF"/>
                      <w:szCs w:val="21"/>
                      <w:highlight w:val="none"/>
                      <w:lang w:val="en-US" w:eastAsia="zh-CN"/>
                    </w:rPr>
                  </w:pPr>
                </w:p>
              </w:tc>
              <w:tc>
                <w:tcPr>
                  <w:tcW w:w="320" w:type="pct"/>
                  <w:vAlign w:val="center"/>
                </w:tcPr>
                <w:p w14:paraId="201EDC0C">
                  <w:pPr>
                    <w:keepNext w:val="0"/>
                    <w:keepLines w:val="0"/>
                    <w:suppressLineNumbers w:val="0"/>
                    <w:spacing w:before="0" w:beforeAutospacing="0" w:after="0" w:afterAutospacing="0"/>
                    <w:ind w:left="0" w:right="0"/>
                    <w:jc w:val="center"/>
                    <w:rPr>
                      <w:rFonts w:hint="eastAsia" w:ascii="Times New Roman" w:hAnsi="Times New Roman" w:eastAsia="宋体" w:cs="Times New Roman"/>
                      <w:b w:val="0"/>
                      <w:bCs w:val="0"/>
                      <w:color w:val="0000FF"/>
                      <w:szCs w:val="21"/>
                      <w:highlight w:val="none"/>
                      <w:lang w:val="en-US" w:eastAsia="zh-CN"/>
                    </w:rPr>
                  </w:pPr>
                  <w:r>
                    <w:rPr>
                      <w:rFonts w:hint="eastAsia" w:ascii="Times New Roman" w:hAnsi="Times New Roman" w:eastAsia="宋体" w:cs="Times New Roman"/>
                      <w:b w:val="0"/>
                      <w:bCs w:val="0"/>
                      <w:color w:val="0000FF"/>
                      <w:szCs w:val="21"/>
                      <w:highlight w:val="none"/>
                      <w:lang w:val="en-US" w:eastAsia="zh-CN"/>
                    </w:rPr>
                    <w:t>/</w:t>
                  </w:r>
                </w:p>
              </w:tc>
            </w:tr>
            <w:tr w14:paraId="77FEFA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291" w:type="pct"/>
                  <w:shd w:val="clear" w:color="auto" w:fill="auto"/>
                  <w:vAlign w:val="center"/>
                </w:tcPr>
                <w:p w14:paraId="533C3065">
                  <w:pPr>
                    <w:keepNext w:val="0"/>
                    <w:keepLines w:val="0"/>
                    <w:suppressLineNumbers w:val="0"/>
                    <w:spacing w:before="0" w:beforeAutospacing="0" w:after="0" w:afterAutospacing="0"/>
                    <w:ind w:left="0" w:right="0"/>
                    <w:jc w:val="center"/>
                    <w:rPr>
                      <w:rFonts w:hint="default" w:ascii="Times New Roman" w:hAnsi="Times New Roman" w:eastAsia="宋体" w:cs="Times New Roman"/>
                      <w:b w:val="0"/>
                      <w:bCs w:val="0"/>
                      <w:color w:val="0000FF"/>
                      <w:szCs w:val="21"/>
                      <w:highlight w:val="none"/>
                      <w:lang w:val="en-US" w:eastAsia="zh-CN"/>
                    </w:rPr>
                  </w:pPr>
                  <w:r>
                    <w:rPr>
                      <w:rFonts w:hint="eastAsia" w:ascii="Times New Roman" w:hAnsi="Times New Roman" w:eastAsia="宋体" w:cs="Times New Roman"/>
                      <w:b w:val="0"/>
                      <w:bCs w:val="0"/>
                      <w:color w:val="0000FF"/>
                      <w:szCs w:val="21"/>
                      <w:highlight w:val="none"/>
                      <w:lang w:val="en-US" w:eastAsia="zh-CN"/>
                    </w:rPr>
                    <w:t>51</w:t>
                  </w:r>
                </w:p>
              </w:tc>
              <w:tc>
                <w:tcPr>
                  <w:tcW w:w="394" w:type="pct"/>
                  <w:vMerge w:val="continue"/>
                  <w:vAlign w:val="center"/>
                </w:tcPr>
                <w:p w14:paraId="5559BB38">
                  <w:pPr>
                    <w:keepNext w:val="0"/>
                    <w:keepLines w:val="0"/>
                    <w:suppressLineNumbers w:val="0"/>
                    <w:spacing w:before="0" w:beforeAutospacing="0" w:after="0" w:afterAutospacing="0"/>
                    <w:ind w:left="0" w:right="0"/>
                    <w:jc w:val="center"/>
                    <w:rPr>
                      <w:rFonts w:hint="default" w:ascii="Times New Roman" w:hAnsi="Times New Roman" w:eastAsia="宋体" w:cs="Times New Roman"/>
                      <w:b w:val="0"/>
                      <w:bCs w:val="0"/>
                      <w:color w:val="0000FF"/>
                      <w:szCs w:val="21"/>
                      <w:highlight w:val="none"/>
                    </w:rPr>
                  </w:pPr>
                </w:p>
              </w:tc>
              <w:tc>
                <w:tcPr>
                  <w:tcW w:w="660" w:type="pct"/>
                  <w:shd w:val="clear" w:color="auto" w:fill="auto"/>
                  <w:vAlign w:val="center"/>
                </w:tcPr>
                <w:p w14:paraId="78F1551F">
                  <w:pPr>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color w:val="0000FF"/>
                      <w:kern w:val="2"/>
                      <w:sz w:val="21"/>
                      <w:szCs w:val="21"/>
                      <w:lang w:val="en-US" w:eastAsia="zh-CN" w:bidi="ar-SA"/>
                    </w:rPr>
                  </w:pPr>
                  <w:r>
                    <w:rPr>
                      <w:rFonts w:hint="default" w:ascii="Times New Roman" w:hAnsi="Times New Roman" w:eastAsia="宋体" w:cs="Times New Roman"/>
                      <w:color w:val="0000FF"/>
                      <w:szCs w:val="21"/>
                    </w:rPr>
                    <w:t>收卷机-D（片材悬臂收卷机）</w:t>
                  </w:r>
                </w:p>
              </w:tc>
              <w:tc>
                <w:tcPr>
                  <w:tcW w:w="766" w:type="pct"/>
                  <w:shd w:val="clear" w:color="auto" w:fill="auto"/>
                  <w:vAlign w:val="center"/>
                </w:tcPr>
                <w:p w14:paraId="5E4DE256">
                  <w:pPr>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color w:val="0000FF"/>
                      <w:kern w:val="2"/>
                      <w:sz w:val="21"/>
                      <w:szCs w:val="21"/>
                      <w:lang w:val="en-US" w:eastAsia="zh-CN" w:bidi="ar-SA"/>
                    </w:rPr>
                  </w:pPr>
                  <w:r>
                    <w:rPr>
                      <w:rFonts w:hint="default" w:ascii="Times New Roman" w:hAnsi="Times New Roman" w:eastAsia="宋体" w:cs="Times New Roman"/>
                      <w:color w:val="0000FF"/>
                      <w:szCs w:val="21"/>
                    </w:rPr>
                    <w:t>1300</w:t>
                  </w:r>
                </w:p>
              </w:tc>
              <w:tc>
                <w:tcPr>
                  <w:tcW w:w="483" w:type="pct"/>
                  <w:shd w:val="clear" w:color="auto" w:fill="auto"/>
                  <w:vAlign w:val="center"/>
                </w:tcPr>
                <w:p w14:paraId="51C698B8">
                  <w:pPr>
                    <w:keepNext w:val="0"/>
                    <w:keepLines w:val="0"/>
                    <w:suppressLineNumbers w:val="0"/>
                    <w:spacing w:before="0" w:beforeAutospacing="0" w:after="0" w:afterAutospacing="0"/>
                    <w:ind w:left="0" w:leftChars="0" w:right="0" w:rightChars="0"/>
                    <w:jc w:val="center"/>
                    <w:rPr>
                      <w:rFonts w:hint="eastAsia" w:ascii="Times New Roman" w:hAnsi="Times New Roman" w:eastAsia="宋体" w:cs="Times New Roman"/>
                      <w:color w:val="0000FF"/>
                      <w:kern w:val="2"/>
                      <w:sz w:val="21"/>
                      <w:szCs w:val="21"/>
                      <w:lang w:val="en-US" w:eastAsia="zh-CN" w:bidi="ar-SA"/>
                    </w:rPr>
                  </w:pPr>
                  <w:r>
                    <w:rPr>
                      <w:rFonts w:hint="default" w:ascii="Times New Roman" w:hAnsi="Times New Roman" w:eastAsia="宋体" w:cs="Times New Roman"/>
                      <w:color w:val="0000FF"/>
                      <w:szCs w:val="21"/>
                    </w:rPr>
                    <w:t>23</w:t>
                  </w:r>
                </w:p>
              </w:tc>
              <w:tc>
                <w:tcPr>
                  <w:tcW w:w="417" w:type="pct"/>
                  <w:shd w:val="clear" w:color="auto" w:fill="auto"/>
                  <w:vAlign w:val="center"/>
                </w:tcPr>
                <w:p w14:paraId="4AB00CD1">
                  <w:pPr>
                    <w:keepNext w:val="0"/>
                    <w:keepLines w:val="0"/>
                    <w:suppressLineNumbers w:val="0"/>
                    <w:spacing w:before="0" w:beforeAutospacing="0" w:after="0" w:afterAutospacing="0"/>
                    <w:ind w:left="0" w:leftChars="0" w:right="0" w:rightChars="0"/>
                    <w:jc w:val="center"/>
                    <w:rPr>
                      <w:rFonts w:hint="eastAsia" w:ascii="Times New Roman" w:hAnsi="Times New Roman" w:eastAsia="宋体" w:cs="Times New Roman"/>
                      <w:color w:val="0000FF"/>
                      <w:kern w:val="2"/>
                      <w:sz w:val="21"/>
                      <w:szCs w:val="21"/>
                      <w:lang w:val="en-US" w:eastAsia="zh-CN" w:bidi="ar-SA"/>
                    </w:rPr>
                  </w:pPr>
                  <w:r>
                    <w:rPr>
                      <w:rFonts w:hint="default" w:ascii="Times New Roman" w:hAnsi="Times New Roman" w:eastAsia="宋体" w:cs="Times New Roman"/>
                      <w:color w:val="0000FF"/>
                      <w:szCs w:val="21"/>
                    </w:rPr>
                    <w:t>13</w:t>
                  </w:r>
                </w:p>
              </w:tc>
              <w:tc>
                <w:tcPr>
                  <w:tcW w:w="592" w:type="pct"/>
                  <w:shd w:val="clear" w:color="auto" w:fill="auto"/>
                  <w:vAlign w:val="center"/>
                </w:tcPr>
                <w:p w14:paraId="43462BAE">
                  <w:pPr>
                    <w:keepNext w:val="0"/>
                    <w:keepLines w:val="0"/>
                    <w:suppressLineNumbers w:val="0"/>
                    <w:spacing w:before="0" w:beforeAutospacing="0" w:after="0" w:afterAutospacing="0"/>
                    <w:ind w:left="0" w:leftChars="0" w:right="0" w:rightChars="0"/>
                    <w:jc w:val="center"/>
                    <w:rPr>
                      <w:rFonts w:hint="eastAsia" w:ascii="Times New Roman" w:hAnsi="Times New Roman" w:eastAsia="宋体" w:cs="Times New Roman"/>
                      <w:color w:val="0000FF"/>
                      <w:kern w:val="2"/>
                      <w:sz w:val="21"/>
                      <w:szCs w:val="21"/>
                      <w:lang w:val="en-US" w:eastAsia="zh-CN" w:bidi="ar-SA"/>
                    </w:rPr>
                  </w:pPr>
                  <w:r>
                    <w:rPr>
                      <w:rFonts w:hint="default" w:ascii="Times New Roman" w:hAnsi="Times New Roman" w:eastAsia="宋体" w:cs="Times New Roman"/>
                      <w:color w:val="0000FF"/>
                      <w:szCs w:val="21"/>
                    </w:rPr>
                    <w:t>13</w:t>
                  </w:r>
                </w:p>
              </w:tc>
              <w:tc>
                <w:tcPr>
                  <w:tcW w:w="537" w:type="pct"/>
                  <w:shd w:val="clear" w:color="auto" w:fill="auto"/>
                  <w:vAlign w:val="center"/>
                </w:tcPr>
                <w:p w14:paraId="6EC2C790">
                  <w:pPr>
                    <w:keepNext w:val="0"/>
                    <w:keepLines w:val="0"/>
                    <w:suppressLineNumbers w:val="0"/>
                    <w:spacing w:before="0" w:beforeAutospacing="0" w:after="0" w:afterAutospacing="0"/>
                    <w:ind w:left="0" w:leftChars="0" w:right="0" w:rightChars="0"/>
                    <w:jc w:val="center"/>
                    <w:rPr>
                      <w:rFonts w:hint="eastAsia" w:ascii="Times New Roman" w:hAnsi="Times New Roman" w:eastAsia="宋体" w:cs="Times New Roman"/>
                      <w:color w:val="0000FF"/>
                      <w:kern w:val="2"/>
                      <w:sz w:val="21"/>
                      <w:szCs w:val="21"/>
                      <w:lang w:val="en-US" w:eastAsia="zh-CN" w:bidi="ar-SA"/>
                    </w:rPr>
                  </w:pPr>
                  <w:r>
                    <w:rPr>
                      <w:rFonts w:hint="default" w:ascii="Times New Roman" w:hAnsi="Times New Roman" w:eastAsia="宋体" w:cs="Times New Roman"/>
                      <w:color w:val="0000FF"/>
                      <w:szCs w:val="21"/>
                    </w:rPr>
                    <w:t>-10</w:t>
                  </w:r>
                </w:p>
              </w:tc>
              <w:tc>
                <w:tcPr>
                  <w:tcW w:w="536" w:type="pct"/>
                  <w:gridSpan w:val="2"/>
                  <w:vMerge w:val="continue"/>
                  <w:vAlign w:val="center"/>
                </w:tcPr>
                <w:p w14:paraId="130B4A89">
                  <w:pPr>
                    <w:keepNext w:val="0"/>
                    <w:keepLines w:val="0"/>
                    <w:suppressLineNumbers w:val="0"/>
                    <w:spacing w:before="0" w:beforeAutospacing="0" w:after="0" w:afterAutospacing="0"/>
                    <w:ind w:left="0" w:right="0"/>
                    <w:jc w:val="center"/>
                    <w:rPr>
                      <w:rFonts w:hint="eastAsia" w:ascii="Times New Roman" w:hAnsi="Times New Roman" w:eastAsia="宋体" w:cs="Times New Roman"/>
                      <w:b w:val="0"/>
                      <w:bCs w:val="0"/>
                      <w:color w:val="0000FF"/>
                      <w:szCs w:val="21"/>
                      <w:highlight w:val="none"/>
                      <w:lang w:val="en-US" w:eastAsia="zh-CN"/>
                    </w:rPr>
                  </w:pPr>
                </w:p>
              </w:tc>
              <w:tc>
                <w:tcPr>
                  <w:tcW w:w="320" w:type="pct"/>
                  <w:vAlign w:val="center"/>
                </w:tcPr>
                <w:p w14:paraId="4E9E3622">
                  <w:pPr>
                    <w:keepNext w:val="0"/>
                    <w:keepLines w:val="0"/>
                    <w:suppressLineNumbers w:val="0"/>
                    <w:spacing w:before="0" w:beforeAutospacing="0" w:after="0" w:afterAutospacing="0"/>
                    <w:ind w:left="0" w:right="0"/>
                    <w:jc w:val="center"/>
                    <w:rPr>
                      <w:rFonts w:hint="eastAsia" w:ascii="Times New Roman" w:hAnsi="Times New Roman" w:eastAsia="宋体" w:cs="Times New Roman"/>
                      <w:b w:val="0"/>
                      <w:bCs w:val="0"/>
                      <w:color w:val="0000FF"/>
                      <w:szCs w:val="21"/>
                      <w:highlight w:val="none"/>
                      <w:lang w:val="en-US" w:eastAsia="zh-CN"/>
                    </w:rPr>
                  </w:pPr>
                  <w:r>
                    <w:rPr>
                      <w:rFonts w:hint="eastAsia" w:ascii="Times New Roman" w:hAnsi="Times New Roman" w:eastAsia="宋体" w:cs="Times New Roman"/>
                      <w:b w:val="0"/>
                      <w:bCs w:val="0"/>
                      <w:color w:val="0000FF"/>
                      <w:szCs w:val="21"/>
                      <w:highlight w:val="none"/>
                      <w:lang w:val="en-US" w:eastAsia="zh-CN"/>
                    </w:rPr>
                    <w:t>/</w:t>
                  </w:r>
                </w:p>
              </w:tc>
            </w:tr>
            <w:tr w14:paraId="19D9BA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291" w:type="pct"/>
                  <w:shd w:val="clear" w:color="auto" w:fill="auto"/>
                  <w:vAlign w:val="center"/>
                </w:tcPr>
                <w:p w14:paraId="4375E59F">
                  <w:pPr>
                    <w:keepNext w:val="0"/>
                    <w:keepLines w:val="0"/>
                    <w:suppressLineNumbers w:val="0"/>
                    <w:spacing w:before="0" w:beforeAutospacing="0" w:after="0" w:afterAutospacing="0"/>
                    <w:ind w:left="0" w:right="0"/>
                    <w:jc w:val="center"/>
                    <w:rPr>
                      <w:rFonts w:hint="default" w:ascii="Times New Roman" w:hAnsi="Times New Roman" w:eastAsia="宋体" w:cs="Times New Roman"/>
                      <w:b w:val="0"/>
                      <w:bCs w:val="0"/>
                      <w:color w:val="0000FF"/>
                      <w:szCs w:val="21"/>
                      <w:highlight w:val="none"/>
                      <w:lang w:val="en-US" w:eastAsia="zh-CN"/>
                    </w:rPr>
                  </w:pPr>
                  <w:r>
                    <w:rPr>
                      <w:rFonts w:hint="eastAsia" w:ascii="Times New Roman" w:hAnsi="Times New Roman" w:eastAsia="宋体" w:cs="Times New Roman"/>
                      <w:b w:val="0"/>
                      <w:bCs w:val="0"/>
                      <w:color w:val="0000FF"/>
                      <w:szCs w:val="21"/>
                      <w:highlight w:val="none"/>
                      <w:lang w:val="en-US" w:eastAsia="zh-CN"/>
                    </w:rPr>
                    <w:t>52</w:t>
                  </w:r>
                </w:p>
              </w:tc>
              <w:tc>
                <w:tcPr>
                  <w:tcW w:w="394" w:type="pct"/>
                  <w:vMerge w:val="restart"/>
                  <w:shd w:val="clear" w:color="auto" w:fill="auto"/>
                  <w:vAlign w:val="center"/>
                </w:tcPr>
                <w:p w14:paraId="00E4BBF7">
                  <w:pPr>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color w:val="0000FF"/>
                      <w:kern w:val="2"/>
                      <w:sz w:val="21"/>
                      <w:szCs w:val="21"/>
                      <w:lang w:val="en-US" w:eastAsia="zh-CN" w:bidi="ar-SA"/>
                    </w:rPr>
                  </w:pPr>
                  <w:r>
                    <w:rPr>
                      <w:rFonts w:hint="default" w:ascii="Times New Roman" w:hAnsi="Times New Roman" w:eastAsia="宋体" w:cs="Times New Roman"/>
                      <w:color w:val="0000FF"/>
                      <w:szCs w:val="21"/>
                    </w:rPr>
                    <w:t>分切加工</w:t>
                  </w:r>
                </w:p>
              </w:tc>
              <w:tc>
                <w:tcPr>
                  <w:tcW w:w="660" w:type="pct"/>
                  <w:shd w:val="clear" w:color="auto" w:fill="auto"/>
                  <w:vAlign w:val="center"/>
                </w:tcPr>
                <w:p w14:paraId="7E41FFBE">
                  <w:pPr>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color w:val="0000FF"/>
                      <w:kern w:val="2"/>
                      <w:sz w:val="21"/>
                      <w:szCs w:val="21"/>
                      <w:lang w:val="en-US" w:eastAsia="zh-CN" w:bidi="ar-SA"/>
                    </w:rPr>
                  </w:pPr>
                  <w:r>
                    <w:rPr>
                      <w:rFonts w:hint="default" w:ascii="Times New Roman" w:hAnsi="Times New Roman" w:eastAsia="宋体" w:cs="Times New Roman"/>
                      <w:color w:val="0000FF"/>
                      <w:szCs w:val="21"/>
                    </w:rPr>
                    <w:t>背胶线</w:t>
                  </w:r>
                </w:p>
              </w:tc>
              <w:tc>
                <w:tcPr>
                  <w:tcW w:w="766" w:type="pct"/>
                  <w:shd w:val="clear" w:color="auto" w:fill="auto"/>
                  <w:vAlign w:val="center"/>
                </w:tcPr>
                <w:p w14:paraId="10523F1B">
                  <w:pPr>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color w:val="0000FF"/>
                      <w:kern w:val="2"/>
                      <w:sz w:val="21"/>
                      <w:szCs w:val="21"/>
                      <w:lang w:val="en-US" w:eastAsia="zh-CN" w:bidi="ar-SA"/>
                    </w:rPr>
                  </w:pPr>
                  <w:r>
                    <w:rPr>
                      <w:rFonts w:hint="default" w:ascii="Times New Roman" w:hAnsi="Times New Roman" w:eastAsia="宋体" w:cs="Times New Roman"/>
                      <w:color w:val="0000FF"/>
                      <w:szCs w:val="21"/>
                    </w:rPr>
                    <w:t>650-1300</w:t>
                  </w:r>
                </w:p>
              </w:tc>
              <w:tc>
                <w:tcPr>
                  <w:tcW w:w="483" w:type="pct"/>
                  <w:shd w:val="clear" w:color="auto" w:fill="auto"/>
                  <w:vAlign w:val="center"/>
                </w:tcPr>
                <w:p w14:paraId="6D690BA2">
                  <w:pPr>
                    <w:keepNext w:val="0"/>
                    <w:keepLines w:val="0"/>
                    <w:suppressLineNumbers w:val="0"/>
                    <w:spacing w:before="0" w:beforeAutospacing="0" w:after="0" w:afterAutospacing="0"/>
                    <w:ind w:left="0" w:leftChars="0" w:right="0" w:rightChars="0"/>
                    <w:jc w:val="center"/>
                    <w:rPr>
                      <w:rFonts w:hint="eastAsia" w:ascii="Times New Roman" w:hAnsi="Times New Roman" w:eastAsia="宋体" w:cs="Times New Roman"/>
                      <w:color w:val="0000FF"/>
                      <w:kern w:val="2"/>
                      <w:sz w:val="21"/>
                      <w:szCs w:val="21"/>
                      <w:lang w:val="en-US" w:eastAsia="zh-CN" w:bidi="ar-SA"/>
                    </w:rPr>
                  </w:pPr>
                  <w:r>
                    <w:rPr>
                      <w:rFonts w:hint="default" w:ascii="Times New Roman" w:hAnsi="Times New Roman" w:eastAsia="宋体" w:cs="Times New Roman"/>
                      <w:color w:val="0000FF"/>
                      <w:szCs w:val="21"/>
                    </w:rPr>
                    <w:t>16</w:t>
                  </w:r>
                </w:p>
              </w:tc>
              <w:tc>
                <w:tcPr>
                  <w:tcW w:w="417" w:type="pct"/>
                  <w:shd w:val="clear" w:color="auto" w:fill="auto"/>
                  <w:vAlign w:val="center"/>
                </w:tcPr>
                <w:p w14:paraId="588EE809">
                  <w:pPr>
                    <w:keepNext w:val="0"/>
                    <w:keepLines w:val="0"/>
                    <w:suppressLineNumbers w:val="0"/>
                    <w:spacing w:before="0" w:beforeAutospacing="0" w:after="0" w:afterAutospacing="0"/>
                    <w:ind w:left="0" w:leftChars="0" w:right="0" w:rightChars="0"/>
                    <w:jc w:val="center"/>
                    <w:rPr>
                      <w:rFonts w:hint="eastAsia" w:ascii="Times New Roman" w:hAnsi="Times New Roman" w:eastAsia="宋体" w:cs="Times New Roman"/>
                      <w:color w:val="0000FF"/>
                      <w:kern w:val="2"/>
                      <w:sz w:val="21"/>
                      <w:szCs w:val="21"/>
                      <w:lang w:val="en-US" w:eastAsia="zh-CN" w:bidi="ar-SA"/>
                    </w:rPr>
                  </w:pPr>
                  <w:r>
                    <w:rPr>
                      <w:rFonts w:hint="default" w:ascii="Times New Roman" w:hAnsi="Times New Roman" w:eastAsia="宋体" w:cs="Times New Roman"/>
                      <w:color w:val="0000FF"/>
                      <w:szCs w:val="21"/>
                    </w:rPr>
                    <w:t>16</w:t>
                  </w:r>
                </w:p>
              </w:tc>
              <w:tc>
                <w:tcPr>
                  <w:tcW w:w="592" w:type="pct"/>
                  <w:shd w:val="clear" w:color="auto" w:fill="auto"/>
                  <w:vAlign w:val="center"/>
                </w:tcPr>
                <w:p w14:paraId="21ABE149">
                  <w:pPr>
                    <w:keepNext w:val="0"/>
                    <w:keepLines w:val="0"/>
                    <w:suppressLineNumbers w:val="0"/>
                    <w:spacing w:before="0" w:beforeAutospacing="0" w:after="0" w:afterAutospacing="0"/>
                    <w:ind w:left="0" w:leftChars="0" w:right="0" w:rightChars="0"/>
                    <w:jc w:val="center"/>
                    <w:rPr>
                      <w:rFonts w:hint="eastAsia" w:ascii="Times New Roman" w:hAnsi="Times New Roman" w:eastAsia="宋体" w:cs="Times New Roman"/>
                      <w:color w:val="0000FF"/>
                      <w:kern w:val="2"/>
                      <w:sz w:val="21"/>
                      <w:szCs w:val="21"/>
                      <w:lang w:val="en-US" w:eastAsia="zh-CN" w:bidi="ar-SA"/>
                    </w:rPr>
                  </w:pPr>
                  <w:r>
                    <w:rPr>
                      <w:rFonts w:hint="default" w:ascii="Times New Roman" w:hAnsi="Times New Roman" w:eastAsia="宋体" w:cs="Times New Roman"/>
                      <w:color w:val="0000FF"/>
                      <w:szCs w:val="21"/>
                    </w:rPr>
                    <w:t>16</w:t>
                  </w:r>
                </w:p>
              </w:tc>
              <w:tc>
                <w:tcPr>
                  <w:tcW w:w="537" w:type="pct"/>
                  <w:shd w:val="clear" w:color="auto" w:fill="auto"/>
                  <w:vAlign w:val="center"/>
                </w:tcPr>
                <w:p w14:paraId="7FD0F806">
                  <w:pPr>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color w:val="0000FF"/>
                      <w:kern w:val="2"/>
                      <w:sz w:val="21"/>
                      <w:szCs w:val="21"/>
                      <w:lang w:val="en-US" w:eastAsia="zh-CN" w:bidi="ar-SA"/>
                    </w:rPr>
                  </w:pPr>
                  <w:r>
                    <w:rPr>
                      <w:rFonts w:hint="default" w:ascii="Times New Roman" w:hAnsi="Times New Roman" w:eastAsia="宋体" w:cs="Times New Roman"/>
                      <w:color w:val="0000FF"/>
                      <w:szCs w:val="21"/>
                    </w:rPr>
                    <w:t>0</w:t>
                  </w:r>
                </w:p>
              </w:tc>
              <w:tc>
                <w:tcPr>
                  <w:tcW w:w="536" w:type="pct"/>
                  <w:gridSpan w:val="2"/>
                  <w:vMerge w:val="continue"/>
                  <w:vAlign w:val="center"/>
                </w:tcPr>
                <w:p w14:paraId="3FFDACD9">
                  <w:pPr>
                    <w:keepNext w:val="0"/>
                    <w:keepLines w:val="0"/>
                    <w:suppressLineNumbers w:val="0"/>
                    <w:spacing w:before="0" w:beforeAutospacing="0" w:after="0" w:afterAutospacing="0"/>
                    <w:ind w:left="0" w:right="0"/>
                    <w:jc w:val="center"/>
                    <w:rPr>
                      <w:rFonts w:hint="eastAsia" w:ascii="Times New Roman" w:hAnsi="Times New Roman" w:eastAsia="宋体" w:cs="Times New Roman"/>
                      <w:b w:val="0"/>
                      <w:bCs w:val="0"/>
                      <w:color w:val="0000FF"/>
                      <w:szCs w:val="21"/>
                      <w:highlight w:val="none"/>
                      <w:lang w:val="en-US" w:eastAsia="zh-CN"/>
                    </w:rPr>
                  </w:pPr>
                </w:p>
              </w:tc>
              <w:tc>
                <w:tcPr>
                  <w:tcW w:w="320" w:type="pct"/>
                  <w:vAlign w:val="center"/>
                </w:tcPr>
                <w:p w14:paraId="15B2B72E">
                  <w:pPr>
                    <w:keepNext w:val="0"/>
                    <w:keepLines w:val="0"/>
                    <w:suppressLineNumbers w:val="0"/>
                    <w:spacing w:before="0" w:beforeAutospacing="0" w:after="0" w:afterAutospacing="0"/>
                    <w:ind w:left="0" w:right="0"/>
                    <w:jc w:val="center"/>
                    <w:rPr>
                      <w:rFonts w:hint="default" w:ascii="Times New Roman" w:hAnsi="Times New Roman" w:eastAsia="宋体" w:cs="Times New Roman"/>
                      <w:b w:val="0"/>
                      <w:bCs w:val="0"/>
                      <w:color w:val="0000FF"/>
                      <w:szCs w:val="21"/>
                      <w:highlight w:val="none"/>
                    </w:rPr>
                  </w:pPr>
                  <w:r>
                    <w:rPr>
                      <w:rFonts w:hint="eastAsia" w:ascii="Times New Roman" w:hAnsi="Times New Roman" w:eastAsia="宋体" w:cs="Times New Roman"/>
                      <w:b w:val="0"/>
                      <w:bCs w:val="0"/>
                      <w:color w:val="0000FF"/>
                      <w:szCs w:val="21"/>
                      <w:highlight w:val="none"/>
                      <w:lang w:val="en-US" w:eastAsia="zh-CN"/>
                    </w:rPr>
                    <w:t>/</w:t>
                  </w:r>
                </w:p>
              </w:tc>
            </w:tr>
            <w:tr w14:paraId="6D930E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291" w:type="pct"/>
                  <w:shd w:val="clear" w:color="auto" w:fill="auto"/>
                  <w:vAlign w:val="center"/>
                </w:tcPr>
                <w:p w14:paraId="38AB967F">
                  <w:pPr>
                    <w:keepNext w:val="0"/>
                    <w:keepLines w:val="0"/>
                    <w:suppressLineNumbers w:val="0"/>
                    <w:spacing w:before="0" w:beforeAutospacing="0" w:after="0" w:afterAutospacing="0"/>
                    <w:ind w:left="0" w:right="0"/>
                    <w:jc w:val="center"/>
                    <w:rPr>
                      <w:rFonts w:hint="default" w:ascii="Times New Roman" w:hAnsi="Times New Roman" w:eastAsia="宋体" w:cs="Times New Roman"/>
                      <w:b w:val="0"/>
                      <w:bCs w:val="0"/>
                      <w:color w:val="0000FF"/>
                      <w:szCs w:val="21"/>
                      <w:highlight w:val="none"/>
                      <w:lang w:val="en-US" w:eastAsia="zh-CN"/>
                    </w:rPr>
                  </w:pPr>
                  <w:r>
                    <w:rPr>
                      <w:rFonts w:hint="eastAsia" w:ascii="Times New Roman" w:hAnsi="Times New Roman" w:eastAsia="宋体" w:cs="Times New Roman"/>
                      <w:b w:val="0"/>
                      <w:bCs w:val="0"/>
                      <w:color w:val="0000FF"/>
                      <w:szCs w:val="21"/>
                      <w:highlight w:val="none"/>
                      <w:lang w:val="en-US" w:eastAsia="zh-CN"/>
                    </w:rPr>
                    <w:t>53</w:t>
                  </w:r>
                </w:p>
              </w:tc>
              <w:tc>
                <w:tcPr>
                  <w:tcW w:w="394" w:type="pct"/>
                  <w:vMerge w:val="continue"/>
                  <w:vAlign w:val="center"/>
                </w:tcPr>
                <w:p w14:paraId="23AD4ADC">
                  <w:pPr>
                    <w:keepNext w:val="0"/>
                    <w:keepLines w:val="0"/>
                    <w:suppressLineNumbers w:val="0"/>
                    <w:spacing w:before="0" w:beforeAutospacing="0" w:after="0" w:afterAutospacing="0"/>
                    <w:ind w:left="0" w:right="0"/>
                    <w:jc w:val="center"/>
                    <w:rPr>
                      <w:rFonts w:hint="default" w:ascii="Times New Roman" w:hAnsi="Times New Roman" w:eastAsia="宋体" w:cs="Times New Roman"/>
                      <w:b w:val="0"/>
                      <w:bCs w:val="0"/>
                      <w:color w:val="0000FF"/>
                      <w:szCs w:val="21"/>
                      <w:highlight w:val="none"/>
                    </w:rPr>
                  </w:pPr>
                </w:p>
              </w:tc>
              <w:tc>
                <w:tcPr>
                  <w:tcW w:w="660" w:type="pct"/>
                  <w:shd w:val="clear" w:color="auto" w:fill="auto"/>
                  <w:vAlign w:val="center"/>
                </w:tcPr>
                <w:p w14:paraId="54AD7A88">
                  <w:pPr>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color w:val="0000FF"/>
                      <w:kern w:val="2"/>
                      <w:sz w:val="21"/>
                      <w:szCs w:val="21"/>
                      <w:lang w:val="en-US" w:eastAsia="zh-CN" w:bidi="ar-SA"/>
                    </w:rPr>
                  </w:pPr>
                  <w:r>
                    <w:rPr>
                      <w:rFonts w:hint="default" w:ascii="Times New Roman" w:hAnsi="Times New Roman" w:eastAsia="宋体" w:cs="Times New Roman"/>
                      <w:color w:val="0000FF"/>
                      <w:szCs w:val="21"/>
                    </w:rPr>
                    <w:t>卷料分切机</w:t>
                  </w:r>
                </w:p>
              </w:tc>
              <w:tc>
                <w:tcPr>
                  <w:tcW w:w="766" w:type="pct"/>
                  <w:shd w:val="clear" w:color="auto" w:fill="auto"/>
                  <w:vAlign w:val="center"/>
                </w:tcPr>
                <w:p w14:paraId="0DAFF45B">
                  <w:pPr>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color w:val="0000FF"/>
                      <w:kern w:val="2"/>
                      <w:sz w:val="21"/>
                      <w:szCs w:val="21"/>
                      <w:lang w:val="en-US" w:eastAsia="zh-CN" w:bidi="ar-SA"/>
                    </w:rPr>
                  </w:pPr>
                  <w:r>
                    <w:rPr>
                      <w:rFonts w:hint="default" w:ascii="Times New Roman" w:hAnsi="Times New Roman" w:eastAsia="宋体" w:cs="Times New Roman"/>
                      <w:color w:val="0000FF"/>
                      <w:szCs w:val="21"/>
                    </w:rPr>
                    <w:t>650-1300</w:t>
                  </w:r>
                </w:p>
              </w:tc>
              <w:tc>
                <w:tcPr>
                  <w:tcW w:w="483" w:type="pct"/>
                  <w:shd w:val="clear" w:color="auto" w:fill="auto"/>
                  <w:vAlign w:val="center"/>
                </w:tcPr>
                <w:p w14:paraId="4C27004D">
                  <w:pPr>
                    <w:keepNext w:val="0"/>
                    <w:keepLines w:val="0"/>
                    <w:suppressLineNumbers w:val="0"/>
                    <w:spacing w:before="0" w:beforeAutospacing="0" w:after="0" w:afterAutospacing="0"/>
                    <w:ind w:left="0" w:leftChars="0" w:right="0" w:rightChars="0"/>
                    <w:jc w:val="center"/>
                    <w:rPr>
                      <w:rFonts w:hint="eastAsia" w:ascii="Times New Roman" w:hAnsi="Times New Roman" w:eastAsia="宋体" w:cs="Times New Roman"/>
                      <w:color w:val="0000FF"/>
                      <w:kern w:val="2"/>
                      <w:sz w:val="21"/>
                      <w:szCs w:val="21"/>
                      <w:lang w:val="en-US" w:eastAsia="zh-CN" w:bidi="ar-SA"/>
                    </w:rPr>
                  </w:pPr>
                  <w:r>
                    <w:rPr>
                      <w:rFonts w:hint="default" w:ascii="Times New Roman" w:hAnsi="Times New Roman" w:eastAsia="宋体" w:cs="Times New Roman"/>
                      <w:color w:val="0000FF"/>
                      <w:szCs w:val="21"/>
                    </w:rPr>
                    <w:t>6</w:t>
                  </w:r>
                </w:p>
              </w:tc>
              <w:tc>
                <w:tcPr>
                  <w:tcW w:w="417" w:type="pct"/>
                  <w:shd w:val="clear" w:color="auto" w:fill="auto"/>
                  <w:vAlign w:val="center"/>
                </w:tcPr>
                <w:p w14:paraId="3F7658F2">
                  <w:pPr>
                    <w:keepNext w:val="0"/>
                    <w:keepLines w:val="0"/>
                    <w:suppressLineNumbers w:val="0"/>
                    <w:spacing w:before="0" w:beforeAutospacing="0" w:after="0" w:afterAutospacing="0"/>
                    <w:ind w:left="0" w:leftChars="0" w:right="0" w:rightChars="0"/>
                    <w:jc w:val="center"/>
                    <w:rPr>
                      <w:rFonts w:hint="eastAsia" w:ascii="Times New Roman" w:hAnsi="Times New Roman" w:eastAsia="宋体" w:cs="Times New Roman"/>
                      <w:color w:val="0000FF"/>
                      <w:kern w:val="2"/>
                      <w:sz w:val="21"/>
                      <w:szCs w:val="21"/>
                      <w:lang w:val="en-US" w:eastAsia="zh-CN" w:bidi="ar-SA"/>
                    </w:rPr>
                  </w:pPr>
                  <w:r>
                    <w:rPr>
                      <w:rFonts w:hint="default" w:ascii="Times New Roman" w:hAnsi="Times New Roman" w:eastAsia="宋体" w:cs="Times New Roman"/>
                      <w:color w:val="0000FF"/>
                      <w:szCs w:val="21"/>
                    </w:rPr>
                    <w:t>4</w:t>
                  </w:r>
                </w:p>
              </w:tc>
              <w:tc>
                <w:tcPr>
                  <w:tcW w:w="592" w:type="pct"/>
                  <w:shd w:val="clear" w:color="auto" w:fill="auto"/>
                  <w:vAlign w:val="center"/>
                </w:tcPr>
                <w:p w14:paraId="4A239AE1">
                  <w:pPr>
                    <w:keepNext w:val="0"/>
                    <w:keepLines w:val="0"/>
                    <w:suppressLineNumbers w:val="0"/>
                    <w:spacing w:before="0" w:beforeAutospacing="0" w:after="0" w:afterAutospacing="0"/>
                    <w:ind w:left="0" w:leftChars="0" w:right="0" w:rightChars="0"/>
                    <w:jc w:val="center"/>
                    <w:rPr>
                      <w:rFonts w:hint="eastAsia" w:ascii="Times New Roman" w:hAnsi="Times New Roman" w:eastAsia="宋体" w:cs="Times New Roman"/>
                      <w:color w:val="0000FF"/>
                      <w:kern w:val="2"/>
                      <w:sz w:val="21"/>
                      <w:szCs w:val="21"/>
                      <w:lang w:val="en-US" w:eastAsia="zh-CN" w:bidi="ar-SA"/>
                    </w:rPr>
                  </w:pPr>
                  <w:r>
                    <w:rPr>
                      <w:rFonts w:hint="default" w:ascii="Times New Roman" w:hAnsi="Times New Roman" w:eastAsia="宋体" w:cs="Times New Roman"/>
                      <w:color w:val="0000FF"/>
                      <w:szCs w:val="21"/>
                    </w:rPr>
                    <w:t>4</w:t>
                  </w:r>
                </w:p>
              </w:tc>
              <w:tc>
                <w:tcPr>
                  <w:tcW w:w="537" w:type="pct"/>
                  <w:shd w:val="clear" w:color="auto" w:fill="auto"/>
                  <w:vAlign w:val="center"/>
                </w:tcPr>
                <w:p w14:paraId="3B08E935">
                  <w:pPr>
                    <w:keepNext w:val="0"/>
                    <w:keepLines w:val="0"/>
                    <w:suppressLineNumbers w:val="0"/>
                    <w:spacing w:before="0" w:beforeAutospacing="0" w:after="0" w:afterAutospacing="0"/>
                    <w:ind w:left="0" w:leftChars="0" w:right="0" w:rightChars="0"/>
                    <w:jc w:val="center"/>
                    <w:rPr>
                      <w:rFonts w:hint="eastAsia" w:ascii="Times New Roman" w:hAnsi="Times New Roman" w:eastAsia="宋体" w:cs="Times New Roman"/>
                      <w:color w:val="0000FF"/>
                      <w:kern w:val="2"/>
                      <w:sz w:val="21"/>
                      <w:szCs w:val="21"/>
                      <w:lang w:val="en-US" w:eastAsia="zh-CN" w:bidi="ar-SA"/>
                    </w:rPr>
                  </w:pPr>
                  <w:r>
                    <w:rPr>
                      <w:rFonts w:hint="default" w:ascii="Times New Roman" w:hAnsi="Times New Roman" w:eastAsia="宋体" w:cs="Times New Roman"/>
                      <w:color w:val="0000FF"/>
                      <w:szCs w:val="21"/>
                    </w:rPr>
                    <w:t>-2</w:t>
                  </w:r>
                </w:p>
              </w:tc>
              <w:tc>
                <w:tcPr>
                  <w:tcW w:w="536" w:type="pct"/>
                  <w:gridSpan w:val="2"/>
                  <w:vMerge w:val="continue"/>
                  <w:vAlign w:val="center"/>
                </w:tcPr>
                <w:p w14:paraId="069BD391">
                  <w:pPr>
                    <w:keepNext w:val="0"/>
                    <w:keepLines w:val="0"/>
                    <w:suppressLineNumbers w:val="0"/>
                    <w:spacing w:before="0" w:beforeAutospacing="0" w:after="0" w:afterAutospacing="0"/>
                    <w:ind w:left="0" w:right="0"/>
                    <w:jc w:val="center"/>
                    <w:rPr>
                      <w:rFonts w:hint="eastAsia" w:ascii="Times New Roman" w:hAnsi="Times New Roman" w:eastAsia="宋体" w:cs="Times New Roman"/>
                      <w:b w:val="0"/>
                      <w:bCs w:val="0"/>
                      <w:color w:val="0000FF"/>
                      <w:szCs w:val="21"/>
                      <w:highlight w:val="none"/>
                      <w:lang w:val="en-US" w:eastAsia="zh-CN"/>
                    </w:rPr>
                  </w:pPr>
                </w:p>
              </w:tc>
              <w:tc>
                <w:tcPr>
                  <w:tcW w:w="320" w:type="pct"/>
                  <w:vAlign w:val="center"/>
                </w:tcPr>
                <w:p w14:paraId="304A29A9">
                  <w:pPr>
                    <w:keepNext w:val="0"/>
                    <w:keepLines w:val="0"/>
                    <w:suppressLineNumbers w:val="0"/>
                    <w:spacing w:before="0" w:beforeAutospacing="0" w:after="0" w:afterAutospacing="0"/>
                    <w:ind w:left="0" w:right="0"/>
                    <w:jc w:val="center"/>
                    <w:rPr>
                      <w:rFonts w:hint="default" w:ascii="Times New Roman" w:hAnsi="Times New Roman" w:eastAsia="宋体" w:cs="Times New Roman"/>
                      <w:b w:val="0"/>
                      <w:bCs w:val="0"/>
                      <w:color w:val="0000FF"/>
                      <w:szCs w:val="21"/>
                      <w:highlight w:val="none"/>
                    </w:rPr>
                  </w:pPr>
                  <w:r>
                    <w:rPr>
                      <w:rFonts w:hint="eastAsia" w:ascii="Times New Roman" w:hAnsi="Times New Roman" w:eastAsia="宋体" w:cs="Times New Roman"/>
                      <w:b w:val="0"/>
                      <w:bCs w:val="0"/>
                      <w:color w:val="0000FF"/>
                      <w:szCs w:val="21"/>
                      <w:highlight w:val="none"/>
                      <w:lang w:val="en-US" w:eastAsia="zh-CN"/>
                    </w:rPr>
                    <w:t>/</w:t>
                  </w:r>
                </w:p>
              </w:tc>
            </w:tr>
            <w:tr w14:paraId="430F42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291" w:type="pct"/>
                  <w:shd w:val="clear" w:color="auto" w:fill="auto"/>
                  <w:vAlign w:val="center"/>
                </w:tcPr>
                <w:p w14:paraId="445510DA">
                  <w:pPr>
                    <w:keepNext w:val="0"/>
                    <w:keepLines w:val="0"/>
                    <w:suppressLineNumbers w:val="0"/>
                    <w:spacing w:before="0" w:beforeAutospacing="0" w:after="0" w:afterAutospacing="0"/>
                    <w:ind w:left="0" w:right="0"/>
                    <w:jc w:val="center"/>
                    <w:rPr>
                      <w:rFonts w:hint="default" w:ascii="Times New Roman" w:hAnsi="Times New Roman" w:eastAsia="宋体" w:cs="Times New Roman"/>
                      <w:b w:val="0"/>
                      <w:bCs w:val="0"/>
                      <w:color w:val="0000FF"/>
                      <w:szCs w:val="21"/>
                      <w:highlight w:val="none"/>
                      <w:lang w:val="en-US" w:eastAsia="zh-CN"/>
                    </w:rPr>
                  </w:pPr>
                  <w:r>
                    <w:rPr>
                      <w:rFonts w:hint="eastAsia" w:ascii="Times New Roman" w:hAnsi="Times New Roman" w:eastAsia="宋体" w:cs="Times New Roman"/>
                      <w:b w:val="0"/>
                      <w:bCs w:val="0"/>
                      <w:color w:val="0000FF"/>
                      <w:szCs w:val="21"/>
                      <w:highlight w:val="none"/>
                      <w:lang w:val="en-US" w:eastAsia="zh-CN"/>
                    </w:rPr>
                    <w:t>54</w:t>
                  </w:r>
                </w:p>
              </w:tc>
              <w:tc>
                <w:tcPr>
                  <w:tcW w:w="394" w:type="pct"/>
                  <w:vMerge w:val="continue"/>
                  <w:vAlign w:val="center"/>
                </w:tcPr>
                <w:p w14:paraId="5AF1F228">
                  <w:pPr>
                    <w:keepNext w:val="0"/>
                    <w:keepLines w:val="0"/>
                    <w:suppressLineNumbers w:val="0"/>
                    <w:spacing w:before="0" w:beforeAutospacing="0" w:after="0" w:afterAutospacing="0"/>
                    <w:ind w:left="0" w:right="0"/>
                    <w:jc w:val="center"/>
                    <w:rPr>
                      <w:rFonts w:hint="default" w:ascii="Times New Roman" w:hAnsi="Times New Roman" w:eastAsia="宋体" w:cs="Times New Roman"/>
                      <w:b w:val="0"/>
                      <w:bCs w:val="0"/>
                      <w:color w:val="0000FF"/>
                      <w:szCs w:val="21"/>
                      <w:highlight w:val="none"/>
                    </w:rPr>
                  </w:pPr>
                </w:p>
              </w:tc>
              <w:tc>
                <w:tcPr>
                  <w:tcW w:w="660" w:type="pct"/>
                  <w:shd w:val="clear" w:color="auto" w:fill="auto"/>
                  <w:vAlign w:val="center"/>
                </w:tcPr>
                <w:p w14:paraId="7452A6AB">
                  <w:pPr>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color w:val="0000FF"/>
                      <w:kern w:val="2"/>
                      <w:sz w:val="21"/>
                      <w:szCs w:val="21"/>
                      <w:lang w:val="en-US" w:eastAsia="zh-CN" w:bidi="ar-SA"/>
                    </w:rPr>
                  </w:pPr>
                  <w:r>
                    <w:rPr>
                      <w:rFonts w:hint="default" w:ascii="Times New Roman" w:hAnsi="Times New Roman" w:eastAsia="宋体" w:cs="Times New Roman"/>
                      <w:color w:val="0000FF"/>
                      <w:szCs w:val="21"/>
                    </w:rPr>
                    <w:t>模切机</w:t>
                  </w:r>
                </w:p>
              </w:tc>
              <w:tc>
                <w:tcPr>
                  <w:tcW w:w="766" w:type="pct"/>
                  <w:shd w:val="clear" w:color="auto" w:fill="auto"/>
                  <w:vAlign w:val="center"/>
                </w:tcPr>
                <w:p w14:paraId="4ECA706B">
                  <w:pPr>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color w:val="0000FF"/>
                      <w:kern w:val="2"/>
                      <w:sz w:val="21"/>
                      <w:szCs w:val="21"/>
                      <w:lang w:val="en-US" w:eastAsia="zh-CN" w:bidi="ar-SA"/>
                    </w:rPr>
                  </w:pPr>
                  <w:r>
                    <w:rPr>
                      <w:rFonts w:hint="default" w:ascii="Times New Roman" w:hAnsi="Times New Roman" w:eastAsia="宋体" w:cs="Times New Roman"/>
                      <w:color w:val="0000FF"/>
                      <w:szCs w:val="21"/>
                    </w:rPr>
                    <w:t>550-1200</w:t>
                  </w:r>
                </w:p>
              </w:tc>
              <w:tc>
                <w:tcPr>
                  <w:tcW w:w="483" w:type="pct"/>
                  <w:shd w:val="clear" w:color="auto" w:fill="auto"/>
                  <w:vAlign w:val="center"/>
                </w:tcPr>
                <w:p w14:paraId="48332182">
                  <w:pPr>
                    <w:keepNext w:val="0"/>
                    <w:keepLines w:val="0"/>
                    <w:suppressLineNumbers w:val="0"/>
                    <w:spacing w:before="0" w:beforeAutospacing="0" w:after="0" w:afterAutospacing="0"/>
                    <w:ind w:left="0" w:leftChars="0" w:right="0" w:rightChars="0"/>
                    <w:jc w:val="center"/>
                    <w:rPr>
                      <w:rFonts w:hint="eastAsia" w:ascii="Times New Roman" w:hAnsi="Times New Roman" w:eastAsia="宋体" w:cs="Times New Roman"/>
                      <w:color w:val="0000FF"/>
                      <w:kern w:val="2"/>
                      <w:sz w:val="21"/>
                      <w:szCs w:val="21"/>
                      <w:lang w:val="en-US" w:eastAsia="zh-CN" w:bidi="ar-SA"/>
                    </w:rPr>
                  </w:pPr>
                  <w:r>
                    <w:rPr>
                      <w:rFonts w:hint="default" w:ascii="Times New Roman" w:hAnsi="Times New Roman" w:eastAsia="宋体" w:cs="Times New Roman"/>
                      <w:color w:val="0000FF"/>
                      <w:szCs w:val="21"/>
                    </w:rPr>
                    <w:t>18</w:t>
                  </w:r>
                </w:p>
              </w:tc>
              <w:tc>
                <w:tcPr>
                  <w:tcW w:w="417" w:type="pct"/>
                  <w:shd w:val="clear" w:color="auto" w:fill="auto"/>
                  <w:vAlign w:val="center"/>
                </w:tcPr>
                <w:p w14:paraId="1C9BFADF">
                  <w:pPr>
                    <w:keepNext w:val="0"/>
                    <w:keepLines w:val="0"/>
                    <w:suppressLineNumbers w:val="0"/>
                    <w:spacing w:before="0" w:beforeAutospacing="0" w:after="0" w:afterAutospacing="0"/>
                    <w:ind w:left="0" w:leftChars="0" w:right="0" w:rightChars="0"/>
                    <w:jc w:val="center"/>
                    <w:rPr>
                      <w:rFonts w:hint="eastAsia" w:ascii="Times New Roman" w:hAnsi="Times New Roman" w:eastAsia="宋体" w:cs="Times New Roman"/>
                      <w:color w:val="0000FF"/>
                      <w:kern w:val="2"/>
                      <w:sz w:val="21"/>
                      <w:szCs w:val="21"/>
                      <w:lang w:val="en-US" w:eastAsia="zh-CN" w:bidi="ar-SA"/>
                    </w:rPr>
                  </w:pPr>
                  <w:r>
                    <w:rPr>
                      <w:rFonts w:hint="default" w:ascii="Times New Roman" w:hAnsi="Times New Roman" w:eastAsia="宋体" w:cs="Times New Roman"/>
                      <w:color w:val="0000FF"/>
                      <w:szCs w:val="21"/>
                    </w:rPr>
                    <w:t>8</w:t>
                  </w:r>
                </w:p>
              </w:tc>
              <w:tc>
                <w:tcPr>
                  <w:tcW w:w="592" w:type="pct"/>
                  <w:shd w:val="clear" w:color="auto" w:fill="auto"/>
                  <w:vAlign w:val="center"/>
                </w:tcPr>
                <w:p w14:paraId="70AD68B6">
                  <w:pPr>
                    <w:keepNext w:val="0"/>
                    <w:keepLines w:val="0"/>
                    <w:suppressLineNumbers w:val="0"/>
                    <w:spacing w:before="0" w:beforeAutospacing="0" w:after="0" w:afterAutospacing="0"/>
                    <w:ind w:left="0" w:leftChars="0" w:right="0" w:rightChars="0"/>
                    <w:jc w:val="center"/>
                    <w:rPr>
                      <w:rFonts w:hint="eastAsia" w:ascii="Times New Roman" w:hAnsi="Times New Roman" w:eastAsia="宋体" w:cs="Times New Roman"/>
                      <w:color w:val="0000FF"/>
                      <w:kern w:val="2"/>
                      <w:sz w:val="21"/>
                      <w:szCs w:val="21"/>
                      <w:lang w:val="en-US" w:eastAsia="zh-CN" w:bidi="ar-SA"/>
                    </w:rPr>
                  </w:pPr>
                  <w:r>
                    <w:rPr>
                      <w:rFonts w:hint="default" w:ascii="Times New Roman" w:hAnsi="Times New Roman" w:eastAsia="宋体" w:cs="Times New Roman"/>
                      <w:color w:val="0000FF"/>
                      <w:szCs w:val="21"/>
                    </w:rPr>
                    <w:t>8</w:t>
                  </w:r>
                </w:p>
              </w:tc>
              <w:tc>
                <w:tcPr>
                  <w:tcW w:w="537" w:type="pct"/>
                  <w:shd w:val="clear" w:color="auto" w:fill="auto"/>
                  <w:vAlign w:val="center"/>
                </w:tcPr>
                <w:p w14:paraId="284629E6">
                  <w:pPr>
                    <w:keepNext w:val="0"/>
                    <w:keepLines w:val="0"/>
                    <w:suppressLineNumbers w:val="0"/>
                    <w:spacing w:before="0" w:beforeAutospacing="0" w:after="0" w:afterAutospacing="0"/>
                    <w:ind w:left="0" w:leftChars="0" w:right="0" w:rightChars="0"/>
                    <w:jc w:val="center"/>
                    <w:rPr>
                      <w:rFonts w:hint="eastAsia" w:ascii="Times New Roman" w:hAnsi="Times New Roman" w:eastAsia="宋体" w:cs="Times New Roman"/>
                      <w:color w:val="0000FF"/>
                      <w:kern w:val="2"/>
                      <w:sz w:val="21"/>
                      <w:szCs w:val="21"/>
                      <w:lang w:val="en-US" w:eastAsia="zh-CN" w:bidi="ar-SA"/>
                    </w:rPr>
                  </w:pPr>
                  <w:r>
                    <w:rPr>
                      <w:rFonts w:hint="default" w:ascii="Times New Roman" w:hAnsi="Times New Roman" w:eastAsia="宋体" w:cs="Times New Roman"/>
                      <w:color w:val="0000FF"/>
                      <w:szCs w:val="21"/>
                    </w:rPr>
                    <w:t>-10</w:t>
                  </w:r>
                </w:p>
              </w:tc>
              <w:tc>
                <w:tcPr>
                  <w:tcW w:w="536" w:type="pct"/>
                  <w:gridSpan w:val="2"/>
                  <w:vMerge w:val="continue"/>
                  <w:vAlign w:val="center"/>
                </w:tcPr>
                <w:p w14:paraId="120BA265">
                  <w:pPr>
                    <w:keepNext w:val="0"/>
                    <w:keepLines w:val="0"/>
                    <w:suppressLineNumbers w:val="0"/>
                    <w:spacing w:before="0" w:beforeAutospacing="0" w:after="0" w:afterAutospacing="0"/>
                    <w:ind w:left="0" w:right="0"/>
                    <w:jc w:val="center"/>
                    <w:rPr>
                      <w:rFonts w:hint="eastAsia" w:ascii="Times New Roman" w:hAnsi="Times New Roman" w:eastAsia="宋体" w:cs="Times New Roman"/>
                      <w:b w:val="0"/>
                      <w:bCs w:val="0"/>
                      <w:color w:val="0000FF"/>
                      <w:szCs w:val="21"/>
                      <w:highlight w:val="none"/>
                      <w:lang w:val="en-US" w:eastAsia="zh-CN"/>
                    </w:rPr>
                  </w:pPr>
                </w:p>
              </w:tc>
              <w:tc>
                <w:tcPr>
                  <w:tcW w:w="320" w:type="pct"/>
                  <w:vAlign w:val="center"/>
                </w:tcPr>
                <w:p w14:paraId="6270A456">
                  <w:pPr>
                    <w:keepNext w:val="0"/>
                    <w:keepLines w:val="0"/>
                    <w:suppressLineNumbers w:val="0"/>
                    <w:spacing w:before="0" w:beforeAutospacing="0" w:after="0" w:afterAutospacing="0"/>
                    <w:ind w:left="0" w:right="0"/>
                    <w:jc w:val="center"/>
                    <w:rPr>
                      <w:rFonts w:hint="default" w:ascii="Times New Roman" w:hAnsi="Times New Roman" w:eastAsia="宋体" w:cs="Times New Roman"/>
                      <w:b w:val="0"/>
                      <w:bCs w:val="0"/>
                      <w:color w:val="0000FF"/>
                      <w:szCs w:val="21"/>
                      <w:highlight w:val="none"/>
                    </w:rPr>
                  </w:pPr>
                  <w:r>
                    <w:rPr>
                      <w:rFonts w:hint="eastAsia" w:ascii="Times New Roman" w:hAnsi="Times New Roman" w:eastAsia="宋体" w:cs="Times New Roman"/>
                      <w:b w:val="0"/>
                      <w:bCs w:val="0"/>
                      <w:color w:val="0000FF"/>
                      <w:szCs w:val="21"/>
                      <w:highlight w:val="none"/>
                      <w:lang w:val="en-US" w:eastAsia="zh-CN"/>
                    </w:rPr>
                    <w:t>/</w:t>
                  </w:r>
                </w:p>
              </w:tc>
            </w:tr>
            <w:tr w14:paraId="62FD6B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291" w:type="pct"/>
                  <w:shd w:val="clear" w:color="auto" w:fill="auto"/>
                  <w:vAlign w:val="center"/>
                </w:tcPr>
                <w:p w14:paraId="4B8DD87B">
                  <w:pPr>
                    <w:keepNext w:val="0"/>
                    <w:keepLines w:val="0"/>
                    <w:suppressLineNumbers w:val="0"/>
                    <w:spacing w:before="0" w:beforeAutospacing="0" w:after="0" w:afterAutospacing="0"/>
                    <w:ind w:left="0" w:right="0"/>
                    <w:jc w:val="center"/>
                    <w:rPr>
                      <w:rFonts w:hint="default" w:ascii="Times New Roman" w:hAnsi="Times New Roman" w:eastAsia="宋体" w:cs="Times New Roman"/>
                      <w:b w:val="0"/>
                      <w:bCs w:val="0"/>
                      <w:color w:val="0000FF"/>
                      <w:szCs w:val="21"/>
                      <w:highlight w:val="none"/>
                      <w:lang w:val="en-US" w:eastAsia="zh-CN"/>
                    </w:rPr>
                  </w:pPr>
                  <w:r>
                    <w:rPr>
                      <w:rFonts w:hint="eastAsia" w:ascii="Times New Roman" w:hAnsi="Times New Roman" w:eastAsia="宋体" w:cs="Times New Roman"/>
                      <w:b w:val="0"/>
                      <w:bCs w:val="0"/>
                      <w:color w:val="0000FF"/>
                      <w:szCs w:val="21"/>
                      <w:highlight w:val="none"/>
                      <w:lang w:val="en-US" w:eastAsia="zh-CN"/>
                    </w:rPr>
                    <w:t>55</w:t>
                  </w:r>
                </w:p>
              </w:tc>
              <w:tc>
                <w:tcPr>
                  <w:tcW w:w="394" w:type="pct"/>
                  <w:vMerge w:val="continue"/>
                  <w:vAlign w:val="center"/>
                </w:tcPr>
                <w:p w14:paraId="239CACA7">
                  <w:pPr>
                    <w:keepNext w:val="0"/>
                    <w:keepLines w:val="0"/>
                    <w:suppressLineNumbers w:val="0"/>
                    <w:spacing w:before="0" w:beforeAutospacing="0" w:after="0" w:afterAutospacing="0"/>
                    <w:ind w:left="0" w:right="0"/>
                    <w:jc w:val="center"/>
                    <w:rPr>
                      <w:rFonts w:hint="default" w:ascii="Times New Roman" w:hAnsi="Times New Roman" w:eastAsia="宋体" w:cs="Times New Roman"/>
                      <w:b w:val="0"/>
                      <w:bCs w:val="0"/>
                      <w:color w:val="0000FF"/>
                      <w:szCs w:val="21"/>
                      <w:highlight w:val="none"/>
                    </w:rPr>
                  </w:pPr>
                </w:p>
              </w:tc>
              <w:tc>
                <w:tcPr>
                  <w:tcW w:w="660" w:type="pct"/>
                  <w:shd w:val="clear" w:color="auto" w:fill="auto"/>
                  <w:vAlign w:val="center"/>
                </w:tcPr>
                <w:p w14:paraId="009FA562">
                  <w:pPr>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color w:val="0000FF"/>
                      <w:kern w:val="2"/>
                      <w:sz w:val="21"/>
                      <w:szCs w:val="21"/>
                      <w:lang w:val="en-US" w:eastAsia="zh-CN" w:bidi="ar-SA"/>
                    </w:rPr>
                  </w:pPr>
                  <w:r>
                    <w:rPr>
                      <w:rFonts w:hint="default" w:ascii="Times New Roman" w:hAnsi="Times New Roman" w:eastAsia="宋体" w:cs="Times New Roman"/>
                      <w:color w:val="0000FF"/>
                      <w:szCs w:val="21"/>
                    </w:rPr>
                    <w:t>圆刀机</w:t>
                  </w:r>
                </w:p>
              </w:tc>
              <w:tc>
                <w:tcPr>
                  <w:tcW w:w="766" w:type="pct"/>
                  <w:shd w:val="clear" w:color="auto" w:fill="auto"/>
                  <w:vAlign w:val="center"/>
                </w:tcPr>
                <w:p w14:paraId="22B5E1BD">
                  <w:pPr>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color w:val="0000FF"/>
                      <w:kern w:val="2"/>
                      <w:sz w:val="21"/>
                      <w:szCs w:val="21"/>
                      <w:lang w:val="en-US" w:eastAsia="zh-CN" w:bidi="ar-SA"/>
                    </w:rPr>
                  </w:pPr>
                  <w:r>
                    <w:rPr>
                      <w:rFonts w:hint="default" w:ascii="Times New Roman" w:hAnsi="Times New Roman" w:eastAsia="宋体" w:cs="Times New Roman"/>
                      <w:color w:val="0000FF"/>
                      <w:szCs w:val="21"/>
                    </w:rPr>
                    <w:t>12-20</w:t>
                  </w:r>
                </w:p>
              </w:tc>
              <w:tc>
                <w:tcPr>
                  <w:tcW w:w="483" w:type="pct"/>
                  <w:shd w:val="clear" w:color="auto" w:fill="auto"/>
                  <w:vAlign w:val="center"/>
                </w:tcPr>
                <w:p w14:paraId="0F9504A8">
                  <w:pPr>
                    <w:keepNext w:val="0"/>
                    <w:keepLines w:val="0"/>
                    <w:suppressLineNumbers w:val="0"/>
                    <w:spacing w:before="0" w:beforeAutospacing="0" w:after="0" w:afterAutospacing="0"/>
                    <w:ind w:left="0" w:leftChars="0" w:right="0" w:rightChars="0"/>
                    <w:jc w:val="center"/>
                    <w:rPr>
                      <w:rFonts w:hint="eastAsia" w:ascii="Times New Roman" w:hAnsi="Times New Roman" w:eastAsia="宋体" w:cs="Times New Roman"/>
                      <w:color w:val="0000FF"/>
                      <w:kern w:val="2"/>
                      <w:sz w:val="21"/>
                      <w:szCs w:val="21"/>
                      <w:lang w:val="en-US" w:eastAsia="zh-CN" w:bidi="ar-SA"/>
                    </w:rPr>
                  </w:pPr>
                  <w:r>
                    <w:rPr>
                      <w:rFonts w:hint="default" w:ascii="Times New Roman" w:hAnsi="Times New Roman" w:eastAsia="宋体" w:cs="Times New Roman"/>
                      <w:color w:val="0000FF"/>
                      <w:szCs w:val="21"/>
                    </w:rPr>
                    <w:t>9</w:t>
                  </w:r>
                </w:p>
              </w:tc>
              <w:tc>
                <w:tcPr>
                  <w:tcW w:w="417" w:type="pct"/>
                  <w:shd w:val="clear" w:color="auto" w:fill="auto"/>
                  <w:vAlign w:val="center"/>
                </w:tcPr>
                <w:p w14:paraId="382584C2">
                  <w:pPr>
                    <w:keepNext w:val="0"/>
                    <w:keepLines w:val="0"/>
                    <w:suppressLineNumbers w:val="0"/>
                    <w:spacing w:before="0" w:beforeAutospacing="0" w:after="0" w:afterAutospacing="0"/>
                    <w:ind w:left="0" w:leftChars="0" w:right="0" w:rightChars="0"/>
                    <w:jc w:val="center"/>
                    <w:rPr>
                      <w:rFonts w:hint="eastAsia" w:ascii="Times New Roman" w:hAnsi="Times New Roman" w:eastAsia="宋体" w:cs="Times New Roman"/>
                      <w:color w:val="0000FF"/>
                      <w:kern w:val="2"/>
                      <w:sz w:val="21"/>
                      <w:szCs w:val="21"/>
                      <w:lang w:val="en-US" w:eastAsia="zh-CN" w:bidi="ar-SA"/>
                    </w:rPr>
                  </w:pPr>
                  <w:r>
                    <w:rPr>
                      <w:rFonts w:hint="default" w:ascii="Times New Roman" w:hAnsi="Times New Roman" w:eastAsia="宋体" w:cs="Times New Roman"/>
                      <w:color w:val="0000FF"/>
                      <w:szCs w:val="21"/>
                    </w:rPr>
                    <w:t>9</w:t>
                  </w:r>
                </w:p>
              </w:tc>
              <w:tc>
                <w:tcPr>
                  <w:tcW w:w="592" w:type="pct"/>
                  <w:shd w:val="clear" w:color="auto" w:fill="auto"/>
                  <w:vAlign w:val="center"/>
                </w:tcPr>
                <w:p w14:paraId="3129C614">
                  <w:pPr>
                    <w:keepNext w:val="0"/>
                    <w:keepLines w:val="0"/>
                    <w:suppressLineNumbers w:val="0"/>
                    <w:spacing w:before="0" w:beforeAutospacing="0" w:after="0" w:afterAutospacing="0"/>
                    <w:ind w:left="0" w:leftChars="0" w:right="0" w:rightChars="0"/>
                    <w:jc w:val="center"/>
                    <w:rPr>
                      <w:rFonts w:hint="eastAsia" w:ascii="Times New Roman" w:hAnsi="Times New Roman" w:eastAsia="宋体" w:cs="Times New Roman"/>
                      <w:color w:val="0000FF"/>
                      <w:kern w:val="2"/>
                      <w:sz w:val="21"/>
                      <w:szCs w:val="21"/>
                      <w:lang w:val="en-US" w:eastAsia="zh-CN" w:bidi="ar-SA"/>
                    </w:rPr>
                  </w:pPr>
                  <w:r>
                    <w:rPr>
                      <w:rFonts w:hint="default" w:ascii="Times New Roman" w:hAnsi="Times New Roman" w:eastAsia="宋体" w:cs="Times New Roman"/>
                      <w:color w:val="0000FF"/>
                      <w:szCs w:val="21"/>
                    </w:rPr>
                    <w:t>9</w:t>
                  </w:r>
                </w:p>
              </w:tc>
              <w:tc>
                <w:tcPr>
                  <w:tcW w:w="537" w:type="pct"/>
                  <w:shd w:val="clear" w:color="auto" w:fill="auto"/>
                  <w:vAlign w:val="center"/>
                </w:tcPr>
                <w:p w14:paraId="065E09A4">
                  <w:pPr>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color w:val="0000FF"/>
                      <w:kern w:val="2"/>
                      <w:sz w:val="21"/>
                      <w:szCs w:val="21"/>
                      <w:lang w:val="en-US" w:eastAsia="zh-CN" w:bidi="ar-SA"/>
                    </w:rPr>
                  </w:pPr>
                  <w:r>
                    <w:rPr>
                      <w:rFonts w:hint="default" w:ascii="Times New Roman" w:hAnsi="Times New Roman" w:eastAsia="宋体" w:cs="Times New Roman"/>
                      <w:color w:val="0000FF"/>
                      <w:szCs w:val="21"/>
                    </w:rPr>
                    <w:t>0</w:t>
                  </w:r>
                </w:p>
              </w:tc>
              <w:tc>
                <w:tcPr>
                  <w:tcW w:w="536" w:type="pct"/>
                  <w:gridSpan w:val="2"/>
                  <w:vMerge w:val="continue"/>
                  <w:vAlign w:val="center"/>
                </w:tcPr>
                <w:p w14:paraId="63305A19">
                  <w:pPr>
                    <w:keepNext w:val="0"/>
                    <w:keepLines w:val="0"/>
                    <w:suppressLineNumbers w:val="0"/>
                    <w:spacing w:before="0" w:beforeAutospacing="0" w:after="0" w:afterAutospacing="0"/>
                    <w:ind w:left="0" w:right="0"/>
                    <w:jc w:val="center"/>
                    <w:rPr>
                      <w:rFonts w:hint="eastAsia" w:ascii="Times New Roman" w:hAnsi="Times New Roman" w:eastAsia="宋体" w:cs="Times New Roman"/>
                      <w:b w:val="0"/>
                      <w:bCs w:val="0"/>
                      <w:color w:val="0000FF"/>
                      <w:szCs w:val="21"/>
                      <w:highlight w:val="none"/>
                      <w:lang w:val="en-US" w:eastAsia="zh-CN"/>
                    </w:rPr>
                  </w:pPr>
                </w:p>
              </w:tc>
              <w:tc>
                <w:tcPr>
                  <w:tcW w:w="320" w:type="pct"/>
                  <w:vAlign w:val="center"/>
                </w:tcPr>
                <w:p w14:paraId="0BCC622A">
                  <w:pPr>
                    <w:keepNext w:val="0"/>
                    <w:keepLines w:val="0"/>
                    <w:suppressLineNumbers w:val="0"/>
                    <w:spacing w:before="0" w:beforeAutospacing="0" w:after="0" w:afterAutospacing="0"/>
                    <w:ind w:left="0" w:right="0"/>
                    <w:jc w:val="center"/>
                    <w:rPr>
                      <w:rFonts w:hint="default" w:ascii="Times New Roman" w:hAnsi="Times New Roman" w:eastAsia="宋体" w:cs="Times New Roman"/>
                      <w:b w:val="0"/>
                      <w:bCs w:val="0"/>
                      <w:color w:val="0000FF"/>
                      <w:szCs w:val="21"/>
                      <w:highlight w:val="none"/>
                    </w:rPr>
                  </w:pPr>
                  <w:r>
                    <w:rPr>
                      <w:rFonts w:hint="eastAsia" w:ascii="Times New Roman" w:hAnsi="Times New Roman" w:eastAsia="宋体" w:cs="Times New Roman"/>
                      <w:b w:val="0"/>
                      <w:bCs w:val="0"/>
                      <w:color w:val="0000FF"/>
                      <w:szCs w:val="21"/>
                      <w:highlight w:val="none"/>
                      <w:lang w:val="en-US" w:eastAsia="zh-CN"/>
                    </w:rPr>
                    <w:t>/</w:t>
                  </w:r>
                </w:p>
              </w:tc>
            </w:tr>
            <w:tr w14:paraId="5111CC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291" w:type="pct"/>
                  <w:shd w:val="clear" w:color="auto" w:fill="auto"/>
                  <w:vAlign w:val="center"/>
                </w:tcPr>
                <w:p w14:paraId="2798B987">
                  <w:pPr>
                    <w:keepNext w:val="0"/>
                    <w:keepLines w:val="0"/>
                    <w:suppressLineNumbers w:val="0"/>
                    <w:spacing w:before="0" w:beforeAutospacing="0" w:after="0" w:afterAutospacing="0"/>
                    <w:ind w:left="0" w:right="0"/>
                    <w:jc w:val="center"/>
                    <w:rPr>
                      <w:rFonts w:hint="default" w:ascii="Times New Roman" w:hAnsi="Times New Roman" w:eastAsia="宋体" w:cs="Times New Roman"/>
                      <w:b w:val="0"/>
                      <w:bCs w:val="0"/>
                      <w:color w:val="0000FF"/>
                      <w:szCs w:val="21"/>
                      <w:highlight w:val="none"/>
                      <w:lang w:val="en-US" w:eastAsia="zh-CN"/>
                    </w:rPr>
                  </w:pPr>
                  <w:r>
                    <w:rPr>
                      <w:rFonts w:hint="eastAsia" w:ascii="Times New Roman" w:hAnsi="Times New Roman" w:eastAsia="宋体" w:cs="Times New Roman"/>
                      <w:b w:val="0"/>
                      <w:bCs w:val="0"/>
                      <w:color w:val="0000FF"/>
                      <w:szCs w:val="21"/>
                      <w:highlight w:val="none"/>
                      <w:lang w:val="en-US" w:eastAsia="zh-CN"/>
                    </w:rPr>
                    <w:t>56</w:t>
                  </w:r>
                </w:p>
              </w:tc>
              <w:tc>
                <w:tcPr>
                  <w:tcW w:w="394" w:type="pct"/>
                  <w:vMerge w:val="continue"/>
                  <w:vAlign w:val="center"/>
                </w:tcPr>
                <w:p w14:paraId="2854010D">
                  <w:pPr>
                    <w:keepNext w:val="0"/>
                    <w:keepLines w:val="0"/>
                    <w:suppressLineNumbers w:val="0"/>
                    <w:spacing w:before="0" w:beforeAutospacing="0" w:after="0" w:afterAutospacing="0"/>
                    <w:ind w:left="0" w:right="0"/>
                    <w:jc w:val="center"/>
                    <w:rPr>
                      <w:rFonts w:hint="default" w:ascii="Times New Roman" w:hAnsi="Times New Roman" w:eastAsia="宋体" w:cs="Times New Roman"/>
                      <w:b w:val="0"/>
                      <w:bCs w:val="0"/>
                      <w:color w:val="0000FF"/>
                      <w:szCs w:val="21"/>
                      <w:highlight w:val="none"/>
                    </w:rPr>
                  </w:pPr>
                </w:p>
              </w:tc>
              <w:tc>
                <w:tcPr>
                  <w:tcW w:w="660" w:type="pct"/>
                  <w:shd w:val="clear" w:color="auto" w:fill="auto"/>
                  <w:vAlign w:val="center"/>
                </w:tcPr>
                <w:p w14:paraId="196C3892">
                  <w:pPr>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color w:val="0000FF"/>
                      <w:kern w:val="2"/>
                      <w:sz w:val="21"/>
                      <w:szCs w:val="21"/>
                      <w:lang w:val="en-US" w:eastAsia="zh-CN" w:bidi="ar-SA"/>
                    </w:rPr>
                  </w:pPr>
                  <w:r>
                    <w:rPr>
                      <w:rFonts w:hint="default" w:ascii="Times New Roman" w:hAnsi="Times New Roman" w:eastAsia="宋体" w:cs="Times New Roman"/>
                      <w:color w:val="0000FF"/>
                      <w:szCs w:val="21"/>
                    </w:rPr>
                    <w:t>液压裁断机</w:t>
                  </w:r>
                </w:p>
              </w:tc>
              <w:tc>
                <w:tcPr>
                  <w:tcW w:w="766" w:type="pct"/>
                  <w:shd w:val="clear" w:color="auto" w:fill="auto"/>
                  <w:vAlign w:val="center"/>
                </w:tcPr>
                <w:p w14:paraId="6EC3C2F8">
                  <w:pPr>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color w:val="0000FF"/>
                      <w:kern w:val="2"/>
                      <w:sz w:val="21"/>
                      <w:szCs w:val="21"/>
                      <w:lang w:val="en-US" w:eastAsia="zh-CN" w:bidi="ar-SA"/>
                    </w:rPr>
                  </w:pPr>
                  <w:r>
                    <w:rPr>
                      <w:rFonts w:hint="default" w:ascii="Times New Roman" w:hAnsi="Times New Roman" w:eastAsia="宋体" w:cs="Times New Roman"/>
                      <w:color w:val="0000FF"/>
                      <w:szCs w:val="21"/>
                    </w:rPr>
                    <w:t>800-2500</w:t>
                  </w:r>
                </w:p>
              </w:tc>
              <w:tc>
                <w:tcPr>
                  <w:tcW w:w="483" w:type="pct"/>
                  <w:shd w:val="clear" w:color="auto" w:fill="auto"/>
                  <w:vAlign w:val="center"/>
                </w:tcPr>
                <w:p w14:paraId="3B7D5753">
                  <w:pPr>
                    <w:keepNext w:val="0"/>
                    <w:keepLines w:val="0"/>
                    <w:suppressLineNumbers w:val="0"/>
                    <w:spacing w:before="0" w:beforeAutospacing="0" w:after="0" w:afterAutospacing="0"/>
                    <w:ind w:left="0" w:leftChars="0" w:right="0" w:rightChars="0"/>
                    <w:jc w:val="center"/>
                    <w:rPr>
                      <w:rFonts w:hint="eastAsia" w:ascii="Times New Roman" w:hAnsi="Times New Roman" w:eastAsia="宋体" w:cs="Times New Roman"/>
                      <w:color w:val="0000FF"/>
                      <w:kern w:val="2"/>
                      <w:sz w:val="21"/>
                      <w:szCs w:val="21"/>
                      <w:lang w:val="en-US" w:eastAsia="zh-CN" w:bidi="ar-SA"/>
                    </w:rPr>
                  </w:pPr>
                  <w:r>
                    <w:rPr>
                      <w:rFonts w:hint="default" w:ascii="Times New Roman" w:hAnsi="Times New Roman" w:eastAsia="宋体" w:cs="Times New Roman"/>
                      <w:color w:val="0000FF"/>
                      <w:szCs w:val="21"/>
                    </w:rPr>
                    <w:t>11</w:t>
                  </w:r>
                </w:p>
              </w:tc>
              <w:tc>
                <w:tcPr>
                  <w:tcW w:w="417" w:type="pct"/>
                  <w:shd w:val="clear" w:color="auto" w:fill="auto"/>
                  <w:vAlign w:val="center"/>
                </w:tcPr>
                <w:p w14:paraId="7E91F91D">
                  <w:pPr>
                    <w:keepNext w:val="0"/>
                    <w:keepLines w:val="0"/>
                    <w:suppressLineNumbers w:val="0"/>
                    <w:spacing w:before="0" w:beforeAutospacing="0" w:after="0" w:afterAutospacing="0"/>
                    <w:ind w:left="0" w:leftChars="0" w:right="0" w:rightChars="0"/>
                    <w:jc w:val="center"/>
                    <w:rPr>
                      <w:rFonts w:hint="eastAsia" w:ascii="Times New Roman" w:hAnsi="Times New Roman" w:eastAsia="宋体" w:cs="Times New Roman"/>
                      <w:color w:val="0000FF"/>
                      <w:kern w:val="2"/>
                      <w:sz w:val="21"/>
                      <w:szCs w:val="21"/>
                      <w:lang w:val="en-US" w:eastAsia="zh-CN" w:bidi="ar-SA"/>
                    </w:rPr>
                  </w:pPr>
                  <w:r>
                    <w:rPr>
                      <w:rFonts w:hint="default" w:ascii="Times New Roman" w:hAnsi="Times New Roman" w:eastAsia="宋体" w:cs="Times New Roman"/>
                      <w:color w:val="0000FF"/>
                      <w:szCs w:val="21"/>
                    </w:rPr>
                    <w:t>9</w:t>
                  </w:r>
                </w:p>
              </w:tc>
              <w:tc>
                <w:tcPr>
                  <w:tcW w:w="592" w:type="pct"/>
                  <w:shd w:val="clear" w:color="auto" w:fill="auto"/>
                  <w:vAlign w:val="center"/>
                </w:tcPr>
                <w:p w14:paraId="7FCB5893">
                  <w:pPr>
                    <w:keepNext w:val="0"/>
                    <w:keepLines w:val="0"/>
                    <w:suppressLineNumbers w:val="0"/>
                    <w:spacing w:before="0" w:beforeAutospacing="0" w:after="0" w:afterAutospacing="0"/>
                    <w:ind w:left="0" w:leftChars="0" w:right="0" w:rightChars="0"/>
                    <w:jc w:val="center"/>
                    <w:rPr>
                      <w:rFonts w:hint="eastAsia" w:ascii="Times New Roman" w:hAnsi="Times New Roman" w:eastAsia="宋体" w:cs="Times New Roman"/>
                      <w:color w:val="0000FF"/>
                      <w:kern w:val="2"/>
                      <w:sz w:val="21"/>
                      <w:szCs w:val="21"/>
                      <w:lang w:val="en-US" w:eastAsia="zh-CN" w:bidi="ar-SA"/>
                    </w:rPr>
                  </w:pPr>
                  <w:r>
                    <w:rPr>
                      <w:rFonts w:hint="default" w:ascii="Times New Roman" w:hAnsi="Times New Roman" w:eastAsia="宋体" w:cs="Times New Roman"/>
                      <w:color w:val="0000FF"/>
                      <w:szCs w:val="21"/>
                    </w:rPr>
                    <w:t>9</w:t>
                  </w:r>
                </w:p>
              </w:tc>
              <w:tc>
                <w:tcPr>
                  <w:tcW w:w="537" w:type="pct"/>
                  <w:shd w:val="clear" w:color="auto" w:fill="auto"/>
                  <w:vAlign w:val="center"/>
                </w:tcPr>
                <w:p w14:paraId="49BBC147">
                  <w:pPr>
                    <w:keepNext w:val="0"/>
                    <w:keepLines w:val="0"/>
                    <w:suppressLineNumbers w:val="0"/>
                    <w:spacing w:before="0" w:beforeAutospacing="0" w:after="0" w:afterAutospacing="0"/>
                    <w:ind w:left="0" w:leftChars="0" w:right="0" w:rightChars="0"/>
                    <w:jc w:val="center"/>
                    <w:rPr>
                      <w:rFonts w:hint="eastAsia" w:ascii="Times New Roman" w:hAnsi="Times New Roman" w:eastAsia="宋体" w:cs="Times New Roman"/>
                      <w:color w:val="0000FF"/>
                      <w:kern w:val="2"/>
                      <w:sz w:val="21"/>
                      <w:szCs w:val="21"/>
                      <w:lang w:val="en-US" w:eastAsia="zh-CN" w:bidi="ar-SA"/>
                    </w:rPr>
                  </w:pPr>
                  <w:r>
                    <w:rPr>
                      <w:rFonts w:hint="default" w:ascii="Times New Roman" w:hAnsi="Times New Roman" w:eastAsia="宋体" w:cs="Times New Roman"/>
                      <w:color w:val="0000FF"/>
                      <w:szCs w:val="21"/>
                    </w:rPr>
                    <w:t>-2</w:t>
                  </w:r>
                </w:p>
              </w:tc>
              <w:tc>
                <w:tcPr>
                  <w:tcW w:w="536" w:type="pct"/>
                  <w:gridSpan w:val="2"/>
                  <w:vMerge w:val="continue"/>
                  <w:vAlign w:val="center"/>
                </w:tcPr>
                <w:p w14:paraId="3539B90E">
                  <w:pPr>
                    <w:keepNext w:val="0"/>
                    <w:keepLines w:val="0"/>
                    <w:suppressLineNumbers w:val="0"/>
                    <w:spacing w:before="0" w:beforeAutospacing="0" w:after="0" w:afterAutospacing="0"/>
                    <w:ind w:left="0" w:right="0"/>
                    <w:jc w:val="center"/>
                    <w:rPr>
                      <w:rFonts w:hint="eastAsia" w:ascii="Times New Roman" w:hAnsi="Times New Roman" w:eastAsia="宋体" w:cs="Times New Roman"/>
                      <w:b w:val="0"/>
                      <w:bCs w:val="0"/>
                      <w:color w:val="0000FF"/>
                      <w:szCs w:val="21"/>
                      <w:highlight w:val="none"/>
                      <w:lang w:val="en-US" w:eastAsia="zh-CN"/>
                    </w:rPr>
                  </w:pPr>
                </w:p>
              </w:tc>
              <w:tc>
                <w:tcPr>
                  <w:tcW w:w="320" w:type="pct"/>
                  <w:vAlign w:val="center"/>
                </w:tcPr>
                <w:p w14:paraId="7EB058F9">
                  <w:pPr>
                    <w:keepNext w:val="0"/>
                    <w:keepLines w:val="0"/>
                    <w:suppressLineNumbers w:val="0"/>
                    <w:spacing w:before="0" w:beforeAutospacing="0" w:after="0" w:afterAutospacing="0"/>
                    <w:ind w:left="0" w:right="0"/>
                    <w:jc w:val="center"/>
                    <w:rPr>
                      <w:rFonts w:hint="default" w:ascii="Times New Roman" w:hAnsi="Times New Roman" w:eastAsia="宋体" w:cs="Times New Roman"/>
                      <w:b w:val="0"/>
                      <w:bCs w:val="0"/>
                      <w:color w:val="0000FF"/>
                      <w:szCs w:val="21"/>
                      <w:highlight w:val="none"/>
                    </w:rPr>
                  </w:pPr>
                  <w:r>
                    <w:rPr>
                      <w:rFonts w:hint="eastAsia" w:ascii="Times New Roman" w:hAnsi="Times New Roman" w:eastAsia="宋体" w:cs="Times New Roman"/>
                      <w:b w:val="0"/>
                      <w:bCs w:val="0"/>
                      <w:color w:val="0000FF"/>
                      <w:szCs w:val="21"/>
                      <w:highlight w:val="none"/>
                      <w:lang w:val="en-US" w:eastAsia="zh-CN"/>
                    </w:rPr>
                    <w:t>/</w:t>
                  </w:r>
                </w:p>
              </w:tc>
            </w:tr>
            <w:tr w14:paraId="1F5D79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291" w:type="pct"/>
                  <w:shd w:val="clear" w:color="auto" w:fill="auto"/>
                  <w:vAlign w:val="center"/>
                </w:tcPr>
                <w:p w14:paraId="61471DD3">
                  <w:pPr>
                    <w:keepNext w:val="0"/>
                    <w:keepLines w:val="0"/>
                    <w:suppressLineNumbers w:val="0"/>
                    <w:spacing w:before="0" w:beforeAutospacing="0" w:after="0" w:afterAutospacing="0"/>
                    <w:ind w:left="0" w:right="0"/>
                    <w:jc w:val="center"/>
                    <w:rPr>
                      <w:rFonts w:hint="default" w:ascii="Times New Roman" w:hAnsi="Times New Roman" w:eastAsia="宋体" w:cs="Times New Roman"/>
                      <w:b w:val="0"/>
                      <w:bCs w:val="0"/>
                      <w:color w:val="0000FF"/>
                      <w:szCs w:val="21"/>
                      <w:highlight w:val="none"/>
                      <w:lang w:val="en-US" w:eastAsia="zh-CN"/>
                    </w:rPr>
                  </w:pPr>
                  <w:r>
                    <w:rPr>
                      <w:rFonts w:hint="eastAsia" w:ascii="Times New Roman" w:hAnsi="Times New Roman" w:eastAsia="宋体" w:cs="Times New Roman"/>
                      <w:b w:val="0"/>
                      <w:bCs w:val="0"/>
                      <w:color w:val="0000FF"/>
                      <w:szCs w:val="21"/>
                      <w:highlight w:val="none"/>
                      <w:lang w:val="en-US" w:eastAsia="zh-CN"/>
                    </w:rPr>
                    <w:t>57</w:t>
                  </w:r>
                </w:p>
              </w:tc>
              <w:tc>
                <w:tcPr>
                  <w:tcW w:w="394" w:type="pct"/>
                  <w:vMerge w:val="continue"/>
                  <w:vAlign w:val="center"/>
                </w:tcPr>
                <w:p w14:paraId="6353939A">
                  <w:pPr>
                    <w:keepNext w:val="0"/>
                    <w:keepLines w:val="0"/>
                    <w:suppressLineNumbers w:val="0"/>
                    <w:spacing w:before="0" w:beforeAutospacing="0" w:after="0" w:afterAutospacing="0"/>
                    <w:ind w:left="0" w:right="0"/>
                    <w:jc w:val="center"/>
                    <w:rPr>
                      <w:rFonts w:hint="default" w:ascii="Times New Roman" w:hAnsi="Times New Roman" w:eastAsia="宋体" w:cs="Times New Roman"/>
                      <w:b w:val="0"/>
                      <w:bCs w:val="0"/>
                      <w:color w:val="0000FF"/>
                      <w:szCs w:val="21"/>
                      <w:highlight w:val="none"/>
                    </w:rPr>
                  </w:pPr>
                </w:p>
              </w:tc>
              <w:tc>
                <w:tcPr>
                  <w:tcW w:w="660" w:type="pct"/>
                  <w:shd w:val="clear" w:color="auto" w:fill="auto"/>
                  <w:vAlign w:val="center"/>
                </w:tcPr>
                <w:p w14:paraId="65C262F7">
                  <w:pPr>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color w:val="0000FF"/>
                      <w:kern w:val="2"/>
                      <w:sz w:val="21"/>
                      <w:szCs w:val="21"/>
                      <w:lang w:val="en-US" w:eastAsia="zh-CN" w:bidi="ar-SA"/>
                    </w:rPr>
                  </w:pPr>
                  <w:r>
                    <w:rPr>
                      <w:rFonts w:hint="default" w:ascii="Times New Roman" w:hAnsi="Times New Roman" w:eastAsia="宋体" w:cs="Times New Roman"/>
                      <w:color w:val="0000FF"/>
                      <w:szCs w:val="21"/>
                    </w:rPr>
                    <w:t>贴胶机</w:t>
                  </w:r>
                </w:p>
              </w:tc>
              <w:tc>
                <w:tcPr>
                  <w:tcW w:w="766" w:type="pct"/>
                  <w:shd w:val="clear" w:color="auto" w:fill="auto"/>
                  <w:vAlign w:val="center"/>
                </w:tcPr>
                <w:p w14:paraId="78781BE4">
                  <w:pPr>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color w:val="0000FF"/>
                      <w:kern w:val="2"/>
                      <w:sz w:val="21"/>
                      <w:szCs w:val="21"/>
                      <w:lang w:val="en-US" w:eastAsia="zh-CN" w:bidi="ar-SA"/>
                    </w:rPr>
                  </w:pPr>
                  <w:r>
                    <w:rPr>
                      <w:rFonts w:hint="default" w:ascii="Times New Roman" w:hAnsi="Times New Roman" w:eastAsia="宋体" w:cs="Times New Roman"/>
                      <w:color w:val="0000FF"/>
                      <w:szCs w:val="21"/>
                    </w:rPr>
                    <w:t>400-1200</w:t>
                  </w:r>
                </w:p>
              </w:tc>
              <w:tc>
                <w:tcPr>
                  <w:tcW w:w="483" w:type="pct"/>
                  <w:shd w:val="clear" w:color="auto" w:fill="auto"/>
                  <w:vAlign w:val="center"/>
                </w:tcPr>
                <w:p w14:paraId="734193AA">
                  <w:pPr>
                    <w:keepNext w:val="0"/>
                    <w:keepLines w:val="0"/>
                    <w:suppressLineNumbers w:val="0"/>
                    <w:spacing w:before="0" w:beforeAutospacing="0" w:after="0" w:afterAutospacing="0"/>
                    <w:ind w:left="0" w:leftChars="0" w:right="0" w:rightChars="0"/>
                    <w:jc w:val="center"/>
                    <w:rPr>
                      <w:rFonts w:hint="eastAsia" w:ascii="Times New Roman" w:hAnsi="Times New Roman" w:eastAsia="宋体" w:cs="Times New Roman"/>
                      <w:color w:val="0000FF"/>
                      <w:kern w:val="2"/>
                      <w:sz w:val="21"/>
                      <w:szCs w:val="21"/>
                      <w:lang w:val="en-US" w:eastAsia="zh-CN" w:bidi="ar-SA"/>
                    </w:rPr>
                  </w:pPr>
                  <w:r>
                    <w:rPr>
                      <w:rFonts w:hint="default" w:ascii="Times New Roman" w:hAnsi="Times New Roman" w:eastAsia="宋体" w:cs="Times New Roman"/>
                      <w:color w:val="0000FF"/>
                      <w:szCs w:val="21"/>
                    </w:rPr>
                    <w:t>10</w:t>
                  </w:r>
                </w:p>
              </w:tc>
              <w:tc>
                <w:tcPr>
                  <w:tcW w:w="417" w:type="pct"/>
                  <w:shd w:val="clear" w:color="auto" w:fill="auto"/>
                  <w:vAlign w:val="center"/>
                </w:tcPr>
                <w:p w14:paraId="0DDB27A6">
                  <w:pPr>
                    <w:keepNext w:val="0"/>
                    <w:keepLines w:val="0"/>
                    <w:suppressLineNumbers w:val="0"/>
                    <w:spacing w:before="0" w:beforeAutospacing="0" w:after="0" w:afterAutospacing="0"/>
                    <w:ind w:left="0" w:leftChars="0" w:right="0" w:rightChars="0"/>
                    <w:jc w:val="center"/>
                    <w:rPr>
                      <w:rFonts w:hint="eastAsia" w:ascii="Times New Roman" w:hAnsi="Times New Roman" w:eastAsia="宋体" w:cs="Times New Roman"/>
                      <w:color w:val="0000FF"/>
                      <w:kern w:val="2"/>
                      <w:sz w:val="21"/>
                      <w:szCs w:val="21"/>
                      <w:lang w:val="en-US" w:eastAsia="zh-CN" w:bidi="ar-SA"/>
                    </w:rPr>
                  </w:pPr>
                  <w:r>
                    <w:rPr>
                      <w:rFonts w:hint="default" w:ascii="Times New Roman" w:hAnsi="Times New Roman" w:eastAsia="宋体" w:cs="Times New Roman"/>
                      <w:color w:val="0000FF"/>
                      <w:szCs w:val="21"/>
                    </w:rPr>
                    <w:t>4</w:t>
                  </w:r>
                </w:p>
              </w:tc>
              <w:tc>
                <w:tcPr>
                  <w:tcW w:w="592" w:type="pct"/>
                  <w:shd w:val="clear" w:color="auto" w:fill="auto"/>
                  <w:vAlign w:val="center"/>
                </w:tcPr>
                <w:p w14:paraId="02829E5C">
                  <w:pPr>
                    <w:keepNext w:val="0"/>
                    <w:keepLines w:val="0"/>
                    <w:suppressLineNumbers w:val="0"/>
                    <w:spacing w:before="0" w:beforeAutospacing="0" w:after="0" w:afterAutospacing="0"/>
                    <w:ind w:left="0" w:leftChars="0" w:right="0" w:rightChars="0"/>
                    <w:jc w:val="center"/>
                    <w:rPr>
                      <w:rFonts w:hint="eastAsia" w:ascii="Times New Roman" w:hAnsi="Times New Roman" w:eastAsia="宋体" w:cs="Times New Roman"/>
                      <w:color w:val="0000FF"/>
                      <w:kern w:val="2"/>
                      <w:sz w:val="21"/>
                      <w:szCs w:val="21"/>
                      <w:lang w:val="en-US" w:eastAsia="zh-CN" w:bidi="ar-SA"/>
                    </w:rPr>
                  </w:pPr>
                  <w:r>
                    <w:rPr>
                      <w:rFonts w:hint="default" w:ascii="Times New Roman" w:hAnsi="Times New Roman" w:eastAsia="宋体" w:cs="Times New Roman"/>
                      <w:color w:val="0000FF"/>
                      <w:szCs w:val="21"/>
                    </w:rPr>
                    <w:t>4</w:t>
                  </w:r>
                </w:p>
              </w:tc>
              <w:tc>
                <w:tcPr>
                  <w:tcW w:w="537" w:type="pct"/>
                  <w:shd w:val="clear" w:color="auto" w:fill="auto"/>
                  <w:vAlign w:val="center"/>
                </w:tcPr>
                <w:p w14:paraId="3D2F7EF7">
                  <w:pPr>
                    <w:keepNext w:val="0"/>
                    <w:keepLines w:val="0"/>
                    <w:suppressLineNumbers w:val="0"/>
                    <w:spacing w:before="0" w:beforeAutospacing="0" w:after="0" w:afterAutospacing="0"/>
                    <w:ind w:left="0" w:leftChars="0" w:right="0" w:rightChars="0"/>
                    <w:jc w:val="center"/>
                    <w:rPr>
                      <w:rFonts w:hint="eastAsia" w:ascii="Times New Roman" w:hAnsi="Times New Roman" w:eastAsia="宋体" w:cs="Times New Roman"/>
                      <w:color w:val="0000FF"/>
                      <w:kern w:val="2"/>
                      <w:sz w:val="21"/>
                      <w:szCs w:val="21"/>
                      <w:lang w:val="en-US" w:eastAsia="zh-CN" w:bidi="ar-SA"/>
                    </w:rPr>
                  </w:pPr>
                  <w:r>
                    <w:rPr>
                      <w:rFonts w:hint="default" w:ascii="Times New Roman" w:hAnsi="Times New Roman" w:eastAsia="宋体" w:cs="Times New Roman"/>
                      <w:color w:val="0000FF"/>
                      <w:szCs w:val="21"/>
                    </w:rPr>
                    <w:t>-6</w:t>
                  </w:r>
                </w:p>
              </w:tc>
              <w:tc>
                <w:tcPr>
                  <w:tcW w:w="536" w:type="pct"/>
                  <w:gridSpan w:val="2"/>
                  <w:vMerge w:val="continue"/>
                  <w:vAlign w:val="center"/>
                </w:tcPr>
                <w:p w14:paraId="25EB9CC8">
                  <w:pPr>
                    <w:keepNext w:val="0"/>
                    <w:keepLines w:val="0"/>
                    <w:suppressLineNumbers w:val="0"/>
                    <w:spacing w:before="0" w:beforeAutospacing="0" w:after="0" w:afterAutospacing="0"/>
                    <w:ind w:left="0" w:right="0"/>
                    <w:jc w:val="center"/>
                    <w:rPr>
                      <w:rFonts w:hint="eastAsia" w:ascii="Times New Roman" w:hAnsi="Times New Roman" w:eastAsia="宋体" w:cs="Times New Roman"/>
                      <w:b w:val="0"/>
                      <w:bCs w:val="0"/>
                      <w:color w:val="0000FF"/>
                      <w:szCs w:val="21"/>
                      <w:highlight w:val="none"/>
                      <w:lang w:val="en-US" w:eastAsia="zh-CN"/>
                    </w:rPr>
                  </w:pPr>
                </w:p>
              </w:tc>
              <w:tc>
                <w:tcPr>
                  <w:tcW w:w="320" w:type="pct"/>
                  <w:vAlign w:val="center"/>
                </w:tcPr>
                <w:p w14:paraId="5DDEE742">
                  <w:pPr>
                    <w:keepNext w:val="0"/>
                    <w:keepLines w:val="0"/>
                    <w:suppressLineNumbers w:val="0"/>
                    <w:spacing w:before="0" w:beforeAutospacing="0" w:after="0" w:afterAutospacing="0"/>
                    <w:ind w:left="0" w:right="0"/>
                    <w:jc w:val="center"/>
                    <w:rPr>
                      <w:rFonts w:hint="default" w:ascii="Times New Roman" w:hAnsi="Times New Roman" w:eastAsia="宋体" w:cs="Times New Roman"/>
                      <w:b w:val="0"/>
                      <w:bCs w:val="0"/>
                      <w:color w:val="0000FF"/>
                      <w:szCs w:val="21"/>
                      <w:highlight w:val="none"/>
                    </w:rPr>
                  </w:pPr>
                  <w:r>
                    <w:rPr>
                      <w:rFonts w:hint="eastAsia" w:ascii="Times New Roman" w:hAnsi="Times New Roman" w:eastAsia="宋体" w:cs="Times New Roman"/>
                      <w:b w:val="0"/>
                      <w:bCs w:val="0"/>
                      <w:color w:val="0000FF"/>
                      <w:szCs w:val="21"/>
                      <w:highlight w:val="none"/>
                      <w:lang w:val="en-US" w:eastAsia="zh-CN"/>
                    </w:rPr>
                    <w:t>/</w:t>
                  </w:r>
                </w:p>
              </w:tc>
            </w:tr>
            <w:tr w14:paraId="487156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291" w:type="pct"/>
                  <w:shd w:val="clear" w:color="auto" w:fill="auto"/>
                  <w:vAlign w:val="center"/>
                </w:tcPr>
                <w:p w14:paraId="06AAEE40">
                  <w:pPr>
                    <w:keepNext w:val="0"/>
                    <w:keepLines w:val="0"/>
                    <w:suppressLineNumbers w:val="0"/>
                    <w:spacing w:before="0" w:beforeAutospacing="0" w:after="0" w:afterAutospacing="0"/>
                    <w:ind w:left="0" w:right="0"/>
                    <w:jc w:val="center"/>
                    <w:rPr>
                      <w:rFonts w:hint="default" w:ascii="Times New Roman" w:hAnsi="Times New Roman" w:eastAsia="宋体" w:cs="Times New Roman"/>
                      <w:b w:val="0"/>
                      <w:bCs w:val="0"/>
                      <w:color w:val="0000FF"/>
                      <w:szCs w:val="21"/>
                      <w:highlight w:val="none"/>
                      <w:lang w:val="en-US" w:eastAsia="zh-CN"/>
                    </w:rPr>
                  </w:pPr>
                  <w:r>
                    <w:rPr>
                      <w:rFonts w:hint="eastAsia" w:ascii="Times New Roman" w:hAnsi="Times New Roman" w:eastAsia="宋体" w:cs="Times New Roman"/>
                      <w:b w:val="0"/>
                      <w:bCs w:val="0"/>
                      <w:color w:val="0000FF"/>
                      <w:szCs w:val="21"/>
                      <w:highlight w:val="none"/>
                      <w:lang w:val="en-US" w:eastAsia="zh-CN"/>
                    </w:rPr>
                    <w:t>58</w:t>
                  </w:r>
                </w:p>
              </w:tc>
              <w:tc>
                <w:tcPr>
                  <w:tcW w:w="394" w:type="pct"/>
                  <w:vMerge w:val="continue"/>
                  <w:vAlign w:val="center"/>
                </w:tcPr>
                <w:p w14:paraId="3B5E3DFA">
                  <w:pPr>
                    <w:keepNext w:val="0"/>
                    <w:keepLines w:val="0"/>
                    <w:suppressLineNumbers w:val="0"/>
                    <w:spacing w:before="0" w:beforeAutospacing="0" w:after="0" w:afterAutospacing="0"/>
                    <w:ind w:left="0" w:right="0"/>
                    <w:jc w:val="center"/>
                    <w:rPr>
                      <w:rFonts w:hint="default" w:ascii="Times New Roman" w:hAnsi="Times New Roman" w:eastAsia="宋体" w:cs="Times New Roman"/>
                      <w:b w:val="0"/>
                      <w:bCs w:val="0"/>
                      <w:color w:val="0000FF"/>
                      <w:szCs w:val="21"/>
                      <w:highlight w:val="none"/>
                    </w:rPr>
                  </w:pPr>
                </w:p>
              </w:tc>
              <w:tc>
                <w:tcPr>
                  <w:tcW w:w="660" w:type="pct"/>
                  <w:shd w:val="clear" w:color="auto" w:fill="auto"/>
                  <w:vAlign w:val="center"/>
                </w:tcPr>
                <w:p w14:paraId="7DED2584">
                  <w:pPr>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color w:val="0000FF"/>
                      <w:kern w:val="2"/>
                      <w:sz w:val="21"/>
                      <w:szCs w:val="21"/>
                      <w:lang w:val="en-US" w:eastAsia="zh-CN" w:bidi="ar-SA"/>
                    </w:rPr>
                  </w:pPr>
                  <w:r>
                    <w:rPr>
                      <w:rFonts w:hint="default" w:ascii="Times New Roman" w:hAnsi="Times New Roman" w:eastAsia="宋体" w:cs="Times New Roman"/>
                      <w:color w:val="0000FF"/>
                      <w:szCs w:val="21"/>
                    </w:rPr>
                    <w:t>高温热合机及烫金机</w:t>
                  </w:r>
                </w:p>
              </w:tc>
              <w:tc>
                <w:tcPr>
                  <w:tcW w:w="766" w:type="pct"/>
                  <w:shd w:val="clear" w:color="auto" w:fill="auto"/>
                  <w:vAlign w:val="center"/>
                </w:tcPr>
                <w:p w14:paraId="0EE702B1">
                  <w:pPr>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color w:val="0000FF"/>
                      <w:kern w:val="2"/>
                      <w:sz w:val="21"/>
                      <w:szCs w:val="21"/>
                      <w:lang w:val="en-US" w:eastAsia="zh-CN" w:bidi="ar-SA"/>
                    </w:rPr>
                  </w:pPr>
                  <w:r>
                    <w:rPr>
                      <w:rFonts w:hint="default" w:ascii="Times New Roman" w:hAnsi="Times New Roman" w:eastAsia="宋体" w:cs="Times New Roman"/>
                      <w:color w:val="0000FF"/>
                      <w:szCs w:val="21"/>
                    </w:rPr>
                    <w:t>/</w:t>
                  </w:r>
                </w:p>
              </w:tc>
              <w:tc>
                <w:tcPr>
                  <w:tcW w:w="483" w:type="pct"/>
                  <w:shd w:val="clear" w:color="auto" w:fill="auto"/>
                  <w:vAlign w:val="center"/>
                </w:tcPr>
                <w:p w14:paraId="7E77CDF2">
                  <w:pPr>
                    <w:keepNext w:val="0"/>
                    <w:keepLines w:val="0"/>
                    <w:suppressLineNumbers w:val="0"/>
                    <w:spacing w:before="0" w:beforeAutospacing="0" w:after="0" w:afterAutospacing="0"/>
                    <w:ind w:left="0" w:leftChars="0" w:right="0" w:rightChars="0"/>
                    <w:jc w:val="center"/>
                    <w:rPr>
                      <w:rFonts w:hint="eastAsia" w:ascii="Times New Roman" w:hAnsi="Times New Roman" w:eastAsia="宋体" w:cs="Times New Roman"/>
                      <w:color w:val="0000FF"/>
                      <w:kern w:val="2"/>
                      <w:sz w:val="21"/>
                      <w:szCs w:val="21"/>
                      <w:lang w:val="en-US" w:eastAsia="zh-CN" w:bidi="ar-SA"/>
                    </w:rPr>
                  </w:pPr>
                  <w:r>
                    <w:rPr>
                      <w:rFonts w:hint="default" w:ascii="Times New Roman" w:hAnsi="Times New Roman" w:eastAsia="宋体" w:cs="Times New Roman"/>
                      <w:color w:val="0000FF"/>
                      <w:szCs w:val="21"/>
                    </w:rPr>
                    <w:t>96</w:t>
                  </w:r>
                </w:p>
              </w:tc>
              <w:tc>
                <w:tcPr>
                  <w:tcW w:w="417" w:type="pct"/>
                  <w:shd w:val="clear" w:color="auto" w:fill="auto"/>
                  <w:vAlign w:val="center"/>
                </w:tcPr>
                <w:p w14:paraId="48A890FB">
                  <w:pPr>
                    <w:keepNext w:val="0"/>
                    <w:keepLines w:val="0"/>
                    <w:suppressLineNumbers w:val="0"/>
                    <w:spacing w:before="0" w:beforeAutospacing="0" w:after="0" w:afterAutospacing="0"/>
                    <w:ind w:left="0" w:leftChars="0" w:right="0" w:rightChars="0"/>
                    <w:jc w:val="center"/>
                    <w:rPr>
                      <w:rFonts w:hint="eastAsia" w:ascii="Times New Roman" w:hAnsi="Times New Roman" w:eastAsia="宋体" w:cs="Times New Roman"/>
                      <w:color w:val="0000FF"/>
                      <w:kern w:val="2"/>
                      <w:sz w:val="21"/>
                      <w:szCs w:val="21"/>
                      <w:lang w:val="en-US" w:eastAsia="zh-CN" w:bidi="ar-SA"/>
                    </w:rPr>
                  </w:pPr>
                  <w:r>
                    <w:rPr>
                      <w:rFonts w:hint="default" w:ascii="Times New Roman" w:hAnsi="Times New Roman" w:eastAsia="宋体" w:cs="Times New Roman"/>
                      <w:color w:val="0000FF"/>
                      <w:szCs w:val="21"/>
                    </w:rPr>
                    <w:t>78</w:t>
                  </w:r>
                </w:p>
              </w:tc>
              <w:tc>
                <w:tcPr>
                  <w:tcW w:w="592" w:type="pct"/>
                  <w:shd w:val="clear" w:color="auto" w:fill="auto"/>
                  <w:vAlign w:val="center"/>
                </w:tcPr>
                <w:p w14:paraId="33AC0A1B">
                  <w:pPr>
                    <w:keepNext w:val="0"/>
                    <w:keepLines w:val="0"/>
                    <w:suppressLineNumbers w:val="0"/>
                    <w:spacing w:before="0" w:beforeAutospacing="0" w:after="0" w:afterAutospacing="0"/>
                    <w:ind w:left="0" w:leftChars="0" w:right="0" w:rightChars="0"/>
                    <w:jc w:val="center"/>
                    <w:rPr>
                      <w:rFonts w:hint="eastAsia" w:ascii="Times New Roman" w:hAnsi="Times New Roman" w:eastAsia="宋体" w:cs="Times New Roman"/>
                      <w:color w:val="0000FF"/>
                      <w:kern w:val="2"/>
                      <w:sz w:val="21"/>
                      <w:szCs w:val="21"/>
                      <w:lang w:val="en-US" w:eastAsia="zh-CN" w:bidi="ar-SA"/>
                    </w:rPr>
                  </w:pPr>
                  <w:r>
                    <w:rPr>
                      <w:rFonts w:hint="default" w:ascii="Times New Roman" w:hAnsi="Times New Roman" w:eastAsia="宋体" w:cs="Times New Roman"/>
                      <w:color w:val="0000FF"/>
                      <w:szCs w:val="21"/>
                    </w:rPr>
                    <w:t>78</w:t>
                  </w:r>
                </w:p>
              </w:tc>
              <w:tc>
                <w:tcPr>
                  <w:tcW w:w="537" w:type="pct"/>
                  <w:shd w:val="clear" w:color="auto" w:fill="auto"/>
                  <w:vAlign w:val="center"/>
                </w:tcPr>
                <w:p w14:paraId="696BE7C8">
                  <w:pPr>
                    <w:keepNext w:val="0"/>
                    <w:keepLines w:val="0"/>
                    <w:suppressLineNumbers w:val="0"/>
                    <w:spacing w:before="0" w:beforeAutospacing="0" w:after="0" w:afterAutospacing="0"/>
                    <w:ind w:left="0" w:leftChars="0" w:right="0" w:rightChars="0"/>
                    <w:jc w:val="center"/>
                    <w:rPr>
                      <w:rFonts w:hint="eastAsia" w:ascii="Times New Roman" w:hAnsi="Times New Roman" w:eastAsia="宋体" w:cs="Times New Roman"/>
                      <w:color w:val="0000FF"/>
                      <w:kern w:val="2"/>
                      <w:sz w:val="21"/>
                      <w:szCs w:val="21"/>
                      <w:lang w:val="en-US" w:eastAsia="zh-CN" w:bidi="ar-SA"/>
                    </w:rPr>
                  </w:pPr>
                  <w:r>
                    <w:rPr>
                      <w:rFonts w:hint="default" w:ascii="Times New Roman" w:hAnsi="Times New Roman" w:eastAsia="宋体" w:cs="Times New Roman"/>
                      <w:color w:val="0000FF"/>
                      <w:szCs w:val="21"/>
                    </w:rPr>
                    <w:t>-18</w:t>
                  </w:r>
                </w:p>
              </w:tc>
              <w:tc>
                <w:tcPr>
                  <w:tcW w:w="536" w:type="pct"/>
                  <w:gridSpan w:val="2"/>
                  <w:vMerge w:val="continue"/>
                  <w:vAlign w:val="center"/>
                </w:tcPr>
                <w:p w14:paraId="17E26082">
                  <w:pPr>
                    <w:keepNext w:val="0"/>
                    <w:keepLines w:val="0"/>
                    <w:suppressLineNumbers w:val="0"/>
                    <w:spacing w:before="0" w:beforeAutospacing="0" w:after="0" w:afterAutospacing="0"/>
                    <w:ind w:left="0" w:right="0"/>
                    <w:jc w:val="center"/>
                    <w:rPr>
                      <w:rFonts w:hint="eastAsia" w:ascii="Times New Roman" w:hAnsi="Times New Roman" w:eastAsia="宋体" w:cs="Times New Roman"/>
                      <w:b w:val="0"/>
                      <w:bCs w:val="0"/>
                      <w:color w:val="0000FF"/>
                      <w:szCs w:val="21"/>
                      <w:highlight w:val="none"/>
                      <w:lang w:val="en-US" w:eastAsia="zh-CN"/>
                    </w:rPr>
                  </w:pPr>
                </w:p>
              </w:tc>
              <w:tc>
                <w:tcPr>
                  <w:tcW w:w="320" w:type="pct"/>
                  <w:vAlign w:val="center"/>
                </w:tcPr>
                <w:p w14:paraId="10FA829B">
                  <w:pPr>
                    <w:keepNext w:val="0"/>
                    <w:keepLines w:val="0"/>
                    <w:suppressLineNumbers w:val="0"/>
                    <w:spacing w:before="0" w:beforeAutospacing="0" w:after="0" w:afterAutospacing="0"/>
                    <w:ind w:left="0" w:right="0"/>
                    <w:jc w:val="center"/>
                    <w:rPr>
                      <w:rFonts w:hint="default" w:ascii="Times New Roman" w:hAnsi="Times New Roman" w:eastAsia="宋体" w:cs="Times New Roman"/>
                      <w:b w:val="0"/>
                      <w:bCs w:val="0"/>
                      <w:color w:val="0000FF"/>
                      <w:szCs w:val="21"/>
                      <w:highlight w:val="none"/>
                    </w:rPr>
                  </w:pPr>
                  <w:r>
                    <w:rPr>
                      <w:rFonts w:hint="eastAsia" w:ascii="Times New Roman" w:hAnsi="Times New Roman" w:eastAsia="宋体" w:cs="Times New Roman"/>
                      <w:b w:val="0"/>
                      <w:bCs w:val="0"/>
                      <w:color w:val="0000FF"/>
                      <w:szCs w:val="21"/>
                      <w:highlight w:val="none"/>
                      <w:lang w:val="en-US" w:eastAsia="zh-CN"/>
                    </w:rPr>
                    <w:t>/</w:t>
                  </w:r>
                </w:p>
              </w:tc>
            </w:tr>
            <w:tr w14:paraId="10C59A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291" w:type="pct"/>
                  <w:shd w:val="clear" w:color="auto" w:fill="auto"/>
                  <w:vAlign w:val="center"/>
                </w:tcPr>
                <w:p w14:paraId="0235AA74">
                  <w:pPr>
                    <w:keepNext w:val="0"/>
                    <w:keepLines w:val="0"/>
                    <w:suppressLineNumbers w:val="0"/>
                    <w:spacing w:before="0" w:beforeAutospacing="0" w:after="0" w:afterAutospacing="0"/>
                    <w:ind w:left="0" w:right="0"/>
                    <w:jc w:val="center"/>
                    <w:rPr>
                      <w:rFonts w:hint="default" w:ascii="Times New Roman" w:hAnsi="Times New Roman" w:eastAsia="宋体" w:cs="Times New Roman"/>
                      <w:b w:val="0"/>
                      <w:bCs w:val="0"/>
                      <w:color w:val="0000FF"/>
                      <w:szCs w:val="21"/>
                      <w:highlight w:val="none"/>
                      <w:lang w:val="en-US" w:eastAsia="zh-CN"/>
                    </w:rPr>
                  </w:pPr>
                  <w:r>
                    <w:rPr>
                      <w:rFonts w:hint="eastAsia" w:ascii="Times New Roman" w:hAnsi="Times New Roman" w:eastAsia="宋体" w:cs="Times New Roman"/>
                      <w:b w:val="0"/>
                      <w:bCs w:val="0"/>
                      <w:color w:val="0000FF"/>
                      <w:szCs w:val="21"/>
                      <w:highlight w:val="none"/>
                      <w:lang w:val="en-US" w:eastAsia="zh-CN"/>
                    </w:rPr>
                    <w:t>59</w:t>
                  </w:r>
                </w:p>
              </w:tc>
              <w:tc>
                <w:tcPr>
                  <w:tcW w:w="394" w:type="pct"/>
                  <w:vMerge w:val="restart"/>
                  <w:shd w:val="clear" w:color="auto" w:fill="auto"/>
                  <w:vAlign w:val="center"/>
                </w:tcPr>
                <w:p w14:paraId="6803A81C">
                  <w:pPr>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color w:val="0000FF"/>
                      <w:kern w:val="2"/>
                      <w:sz w:val="21"/>
                      <w:szCs w:val="21"/>
                      <w:lang w:val="en-US" w:eastAsia="zh-CN" w:bidi="ar-SA"/>
                    </w:rPr>
                  </w:pPr>
                  <w:r>
                    <w:rPr>
                      <w:rFonts w:hint="default" w:ascii="Times New Roman" w:hAnsi="Times New Roman" w:eastAsia="宋体" w:cs="Times New Roman"/>
                      <w:color w:val="0000FF"/>
                      <w:szCs w:val="21"/>
                    </w:rPr>
                    <w:t>检测</w:t>
                  </w:r>
                </w:p>
              </w:tc>
              <w:tc>
                <w:tcPr>
                  <w:tcW w:w="660" w:type="pct"/>
                  <w:shd w:val="clear" w:color="auto" w:fill="auto"/>
                  <w:vAlign w:val="center"/>
                </w:tcPr>
                <w:p w14:paraId="557AF7C8">
                  <w:pPr>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color w:val="0000FF"/>
                      <w:kern w:val="2"/>
                      <w:sz w:val="21"/>
                      <w:szCs w:val="21"/>
                      <w:lang w:val="en-US" w:eastAsia="zh-CN" w:bidi="ar-SA"/>
                    </w:rPr>
                  </w:pPr>
                  <w:r>
                    <w:rPr>
                      <w:rFonts w:hint="default" w:ascii="Times New Roman" w:hAnsi="Times New Roman" w:eastAsia="宋体" w:cs="Times New Roman"/>
                      <w:color w:val="0000FF"/>
                      <w:szCs w:val="21"/>
                    </w:rPr>
                    <w:t>智能数字式粘度计</w:t>
                  </w:r>
                </w:p>
              </w:tc>
              <w:tc>
                <w:tcPr>
                  <w:tcW w:w="766" w:type="pct"/>
                  <w:shd w:val="clear" w:color="auto" w:fill="auto"/>
                  <w:vAlign w:val="center"/>
                </w:tcPr>
                <w:p w14:paraId="419835C2">
                  <w:pPr>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color w:val="0000FF"/>
                      <w:kern w:val="2"/>
                      <w:sz w:val="21"/>
                      <w:szCs w:val="21"/>
                      <w:lang w:val="en-US" w:eastAsia="zh-CN" w:bidi="ar-SA"/>
                    </w:rPr>
                  </w:pPr>
                  <w:r>
                    <w:rPr>
                      <w:rFonts w:hint="default" w:ascii="Times New Roman" w:hAnsi="Times New Roman" w:eastAsia="宋体" w:cs="Times New Roman"/>
                      <w:color w:val="0000FF"/>
                      <w:szCs w:val="21"/>
                    </w:rPr>
                    <w:t>SNB-3</w:t>
                  </w:r>
                </w:p>
              </w:tc>
              <w:tc>
                <w:tcPr>
                  <w:tcW w:w="483" w:type="pct"/>
                  <w:shd w:val="clear" w:color="auto" w:fill="auto"/>
                  <w:vAlign w:val="center"/>
                </w:tcPr>
                <w:p w14:paraId="5E56B39C">
                  <w:pPr>
                    <w:keepNext w:val="0"/>
                    <w:keepLines w:val="0"/>
                    <w:suppressLineNumbers w:val="0"/>
                    <w:spacing w:before="0" w:beforeAutospacing="0" w:after="0" w:afterAutospacing="0"/>
                    <w:ind w:left="0" w:leftChars="0" w:right="0" w:rightChars="0"/>
                    <w:jc w:val="center"/>
                    <w:rPr>
                      <w:rFonts w:hint="eastAsia" w:ascii="Times New Roman" w:hAnsi="Times New Roman" w:eastAsia="宋体" w:cs="Times New Roman"/>
                      <w:color w:val="0000FF"/>
                      <w:kern w:val="2"/>
                      <w:sz w:val="21"/>
                      <w:szCs w:val="21"/>
                      <w:lang w:val="en-US" w:eastAsia="zh-CN" w:bidi="ar-SA"/>
                    </w:rPr>
                  </w:pPr>
                  <w:r>
                    <w:rPr>
                      <w:rFonts w:hint="default" w:ascii="Times New Roman" w:hAnsi="Times New Roman" w:eastAsia="宋体" w:cs="Times New Roman"/>
                      <w:color w:val="0000FF"/>
                      <w:szCs w:val="21"/>
                    </w:rPr>
                    <w:t>1</w:t>
                  </w:r>
                </w:p>
              </w:tc>
              <w:tc>
                <w:tcPr>
                  <w:tcW w:w="417" w:type="pct"/>
                  <w:shd w:val="clear" w:color="auto" w:fill="auto"/>
                  <w:vAlign w:val="center"/>
                </w:tcPr>
                <w:p w14:paraId="4B2634D9">
                  <w:pPr>
                    <w:keepNext w:val="0"/>
                    <w:keepLines w:val="0"/>
                    <w:suppressLineNumbers w:val="0"/>
                    <w:spacing w:before="0" w:beforeAutospacing="0" w:after="0" w:afterAutospacing="0"/>
                    <w:ind w:left="0" w:leftChars="0" w:right="0" w:rightChars="0"/>
                    <w:jc w:val="center"/>
                    <w:rPr>
                      <w:rFonts w:hint="eastAsia" w:ascii="Times New Roman" w:hAnsi="Times New Roman" w:eastAsia="宋体" w:cs="Times New Roman"/>
                      <w:color w:val="0000FF"/>
                      <w:kern w:val="2"/>
                      <w:sz w:val="21"/>
                      <w:szCs w:val="21"/>
                      <w:lang w:val="en-US" w:eastAsia="zh-CN" w:bidi="ar-SA"/>
                    </w:rPr>
                  </w:pPr>
                  <w:r>
                    <w:rPr>
                      <w:rFonts w:hint="default" w:ascii="Times New Roman" w:hAnsi="Times New Roman" w:eastAsia="宋体" w:cs="Times New Roman"/>
                      <w:color w:val="0000FF"/>
                      <w:szCs w:val="21"/>
                    </w:rPr>
                    <w:t>1</w:t>
                  </w:r>
                </w:p>
              </w:tc>
              <w:tc>
                <w:tcPr>
                  <w:tcW w:w="592" w:type="pct"/>
                  <w:shd w:val="clear" w:color="auto" w:fill="auto"/>
                  <w:vAlign w:val="center"/>
                </w:tcPr>
                <w:p w14:paraId="2F856D9A">
                  <w:pPr>
                    <w:keepNext w:val="0"/>
                    <w:keepLines w:val="0"/>
                    <w:suppressLineNumbers w:val="0"/>
                    <w:spacing w:before="0" w:beforeAutospacing="0" w:after="0" w:afterAutospacing="0"/>
                    <w:ind w:left="0" w:leftChars="0" w:right="0" w:rightChars="0"/>
                    <w:jc w:val="center"/>
                    <w:rPr>
                      <w:rFonts w:hint="eastAsia" w:ascii="Times New Roman" w:hAnsi="Times New Roman" w:eastAsia="宋体" w:cs="Times New Roman"/>
                      <w:color w:val="0000FF"/>
                      <w:kern w:val="2"/>
                      <w:sz w:val="21"/>
                      <w:szCs w:val="21"/>
                      <w:lang w:val="en-US" w:eastAsia="zh-CN" w:bidi="ar-SA"/>
                    </w:rPr>
                  </w:pPr>
                  <w:r>
                    <w:rPr>
                      <w:rFonts w:hint="default" w:ascii="Times New Roman" w:hAnsi="Times New Roman" w:eastAsia="宋体" w:cs="Times New Roman"/>
                      <w:color w:val="0000FF"/>
                      <w:szCs w:val="21"/>
                    </w:rPr>
                    <w:t>1</w:t>
                  </w:r>
                </w:p>
              </w:tc>
              <w:tc>
                <w:tcPr>
                  <w:tcW w:w="537" w:type="pct"/>
                  <w:shd w:val="clear" w:color="auto" w:fill="auto"/>
                  <w:vAlign w:val="center"/>
                </w:tcPr>
                <w:p w14:paraId="53D1EC28">
                  <w:pPr>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color w:val="0000FF"/>
                      <w:kern w:val="2"/>
                      <w:sz w:val="21"/>
                      <w:szCs w:val="21"/>
                      <w:lang w:val="en-US" w:eastAsia="zh-CN" w:bidi="ar-SA"/>
                    </w:rPr>
                  </w:pPr>
                  <w:r>
                    <w:rPr>
                      <w:rFonts w:hint="default" w:ascii="Times New Roman" w:hAnsi="Times New Roman" w:eastAsia="宋体" w:cs="Times New Roman"/>
                      <w:color w:val="0000FF"/>
                      <w:szCs w:val="21"/>
                    </w:rPr>
                    <w:t>0</w:t>
                  </w:r>
                </w:p>
              </w:tc>
              <w:tc>
                <w:tcPr>
                  <w:tcW w:w="536" w:type="pct"/>
                  <w:gridSpan w:val="2"/>
                  <w:vMerge w:val="continue"/>
                  <w:vAlign w:val="center"/>
                </w:tcPr>
                <w:p w14:paraId="0BF5046F">
                  <w:pPr>
                    <w:keepNext w:val="0"/>
                    <w:keepLines w:val="0"/>
                    <w:suppressLineNumbers w:val="0"/>
                    <w:spacing w:before="0" w:beforeAutospacing="0" w:after="0" w:afterAutospacing="0"/>
                    <w:ind w:left="0" w:right="0"/>
                    <w:jc w:val="center"/>
                    <w:rPr>
                      <w:rFonts w:hint="eastAsia" w:ascii="Times New Roman" w:hAnsi="Times New Roman" w:eastAsia="宋体" w:cs="Times New Roman"/>
                      <w:b w:val="0"/>
                      <w:bCs w:val="0"/>
                      <w:color w:val="0000FF"/>
                      <w:szCs w:val="21"/>
                      <w:highlight w:val="none"/>
                      <w:lang w:val="en-US" w:eastAsia="zh-CN"/>
                    </w:rPr>
                  </w:pPr>
                </w:p>
              </w:tc>
              <w:tc>
                <w:tcPr>
                  <w:tcW w:w="320" w:type="pct"/>
                  <w:vAlign w:val="center"/>
                </w:tcPr>
                <w:p w14:paraId="5214F44A">
                  <w:pPr>
                    <w:keepNext w:val="0"/>
                    <w:keepLines w:val="0"/>
                    <w:suppressLineNumbers w:val="0"/>
                    <w:spacing w:before="0" w:beforeAutospacing="0" w:after="0" w:afterAutospacing="0"/>
                    <w:ind w:left="0" w:right="0"/>
                    <w:jc w:val="center"/>
                    <w:rPr>
                      <w:rFonts w:hint="default" w:ascii="Times New Roman" w:hAnsi="Times New Roman" w:eastAsia="宋体" w:cs="Times New Roman"/>
                      <w:b w:val="0"/>
                      <w:bCs w:val="0"/>
                      <w:color w:val="0000FF"/>
                      <w:szCs w:val="21"/>
                      <w:highlight w:val="none"/>
                    </w:rPr>
                  </w:pPr>
                  <w:r>
                    <w:rPr>
                      <w:rFonts w:hint="eastAsia" w:ascii="Times New Roman" w:hAnsi="Times New Roman" w:eastAsia="宋体" w:cs="Times New Roman"/>
                      <w:b w:val="0"/>
                      <w:bCs w:val="0"/>
                      <w:color w:val="0000FF"/>
                      <w:szCs w:val="21"/>
                      <w:highlight w:val="none"/>
                      <w:lang w:val="en-US" w:eastAsia="zh-CN"/>
                    </w:rPr>
                    <w:t>/</w:t>
                  </w:r>
                </w:p>
              </w:tc>
            </w:tr>
            <w:tr w14:paraId="672022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291" w:type="pct"/>
                  <w:shd w:val="clear" w:color="auto" w:fill="auto"/>
                  <w:vAlign w:val="center"/>
                </w:tcPr>
                <w:p w14:paraId="186F36A4">
                  <w:pPr>
                    <w:keepNext w:val="0"/>
                    <w:keepLines w:val="0"/>
                    <w:suppressLineNumbers w:val="0"/>
                    <w:spacing w:before="0" w:beforeAutospacing="0" w:after="0" w:afterAutospacing="0"/>
                    <w:ind w:left="0" w:right="0"/>
                    <w:jc w:val="center"/>
                    <w:rPr>
                      <w:rFonts w:hint="default" w:ascii="Times New Roman" w:hAnsi="Times New Roman" w:eastAsia="宋体" w:cs="Times New Roman"/>
                      <w:b w:val="0"/>
                      <w:bCs w:val="0"/>
                      <w:color w:val="0000FF"/>
                      <w:szCs w:val="21"/>
                      <w:highlight w:val="none"/>
                      <w:lang w:val="en-US" w:eastAsia="zh-CN"/>
                    </w:rPr>
                  </w:pPr>
                  <w:r>
                    <w:rPr>
                      <w:rFonts w:hint="eastAsia" w:ascii="Times New Roman" w:hAnsi="Times New Roman" w:eastAsia="宋体" w:cs="Times New Roman"/>
                      <w:b w:val="0"/>
                      <w:bCs w:val="0"/>
                      <w:color w:val="0000FF"/>
                      <w:szCs w:val="21"/>
                      <w:highlight w:val="none"/>
                      <w:lang w:val="en-US" w:eastAsia="zh-CN"/>
                    </w:rPr>
                    <w:t>60</w:t>
                  </w:r>
                </w:p>
              </w:tc>
              <w:tc>
                <w:tcPr>
                  <w:tcW w:w="394" w:type="pct"/>
                  <w:vMerge w:val="continue"/>
                  <w:vAlign w:val="center"/>
                </w:tcPr>
                <w:p w14:paraId="4A3C639B">
                  <w:pPr>
                    <w:keepNext w:val="0"/>
                    <w:keepLines w:val="0"/>
                    <w:suppressLineNumbers w:val="0"/>
                    <w:spacing w:before="0" w:beforeAutospacing="0" w:after="0" w:afterAutospacing="0"/>
                    <w:ind w:left="0" w:right="0"/>
                    <w:jc w:val="center"/>
                    <w:rPr>
                      <w:rFonts w:hint="default" w:ascii="Times New Roman" w:hAnsi="Times New Roman" w:eastAsia="宋体" w:cs="Times New Roman"/>
                      <w:b w:val="0"/>
                      <w:bCs w:val="0"/>
                      <w:color w:val="0000FF"/>
                      <w:szCs w:val="21"/>
                      <w:highlight w:val="none"/>
                    </w:rPr>
                  </w:pPr>
                </w:p>
              </w:tc>
              <w:tc>
                <w:tcPr>
                  <w:tcW w:w="660" w:type="pct"/>
                  <w:shd w:val="clear" w:color="auto" w:fill="auto"/>
                  <w:vAlign w:val="center"/>
                </w:tcPr>
                <w:p w14:paraId="41FC1563">
                  <w:pPr>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color w:val="0000FF"/>
                      <w:kern w:val="2"/>
                      <w:sz w:val="21"/>
                      <w:szCs w:val="21"/>
                      <w:lang w:val="en-US" w:eastAsia="zh-CN" w:bidi="ar-SA"/>
                    </w:rPr>
                  </w:pPr>
                  <w:r>
                    <w:rPr>
                      <w:rFonts w:hint="default" w:ascii="Times New Roman" w:hAnsi="Times New Roman" w:eastAsia="宋体" w:cs="Times New Roman"/>
                      <w:color w:val="0000FF"/>
                      <w:szCs w:val="21"/>
                    </w:rPr>
                    <w:t>旋转粘度计</w:t>
                  </w:r>
                </w:p>
              </w:tc>
              <w:tc>
                <w:tcPr>
                  <w:tcW w:w="766" w:type="pct"/>
                  <w:shd w:val="clear" w:color="auto" w:fill="auto"/>
                  <w:vAlign w:val="center"/>
                </w:tcPr>
                <w:p w14:paraId="2B60BA84">
                  <w:pPr>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color w:val="0000FF"/>
                      <w:kern w:val="2"/>
                      <w:sz w:val="21"/>
                      <w:szCs w:val="21"/>
                      <w:lang w:val="en-US" w:eastAsia="zh-CN" w:bidi="ar-SA"/>
                    </w:rPr>
                  </w:pPr>
                  <w:r>
                    <w:rPr>
                      <w:rFonts w:hint="default" w:ascii="Times New Roman" w:hAnsi="Times New Roman" w:eastAsia="宋体" w:cs="Times New Roman"/>
                      <w:color w:val="0000FF"/>
                      <w:szCs w:val="21"/>
                    </w:rPr>
                    <w:t>NDJ-79</w:t>
                  </w:r>
                </w:p>
              </w:tc>
              <w:tc>
                <w:tcPr>
                  <w:tcW w:w="483" w:type="pct"/>
                  <w:shd w:val="clear" w:color="auto" w:fill="auto"/>
                  <w:vAlign w:val="center"/>
                </w:tcPr>
                <w:p w14:paraId="3B83F741">
                  <w:pPr>
                    <w:keepNext w:val="0"/>
                    <w:keepLines w:val="0"/>
                    <w:suppressLineNumbers w:val="0"/>
                    <w:spacing w:before="0" w:beforeAutospacing="0" w:after="0" w:afterAutospacing="0"/>
                    <w:ind w:left="0" w:leftChars="0" w:right="0" w:rightChars="0"/>
                    <w:jc w:val="center"/>
                    <w:rPr>
                      <w:rFonts w:hint="eastAsia" w:ascii="Times New Roman" w:hAnsi="Times New Roman" w:eastAsia="宋体" w:cs="Times New Roman"/>
                      <w:color w:val="0000FF"/>
                      <w:kern w:val="2"/>
                      <w:sz w:val="21"/>
                      <w:szCs w:val="21"/>
                      <w:lang w:val="en-US" w:eastAsia="zh-CN" w:bidi="ar-SA"/>
                    </w:rPr>
                  </w:pPr>
                  <w:r>
                    <w:rPr>
                      <w:rFonts w:hint="default" w:ascii="Times New Roman" w:hAnsi="Times New Roman" w:eastAsia="宋体" w:cs="Times New Roman"/>
                      <w:color w:val="0000FF"/>
                      <w:szCs w:val="21"/>
                    </w:rPr>
                    <w:t>1</w:t>
                  </w:r>
                </w:p>
              </w:tc>
              <w:tc>
                <w:tcPr>
                  <w:tcW w:w="417" w:type="pct"/>
                  <w:shd w:val="clear" w:color="auto" w:fill="auto"/>
                  <w:vAlign w:val="center"/>
                </w:tcPr>
                <w:p w14:paraId="659ADE9C">
                  <w:pPr>
                    <w:keepNext w:val="0"/>
                    <w:keepLines w:val="0"/>
                    <w:suppressLineNumbers w:val="0"/>
                    <w:spacing w:before="0" w:beforeAutospacing="0" w:after="0" w:afterAutospacing="0"/>
                    <w:ind w:left="0" w:leftChars="0" w:right="0" w:rightChars="0"/>
                    <w:jc w:val="center"/>
                    <w:rPr>
                      <w:rFonts w:hint="eastAsia" w:ascii="Times New Roman" w:hAnsi="Times New Roman" w:eastAsia="宋体" w:cs="Times New Roman"/>
                      <w:color w:val="0000FF"/>
                      <w:kern w:val="2"/>
                      <w:sz w:val="21"/>
                      <w:szCs w:val="21"/>
                      <w:lang w:val="en-US" w:eastAsia="zh-CN" w:bidi="ar-SA"/>
                    </w:rPr>
                  </w:pPr>
                  <w:r>
                    <w:rPr>
                      <w:rFonts w:hint="default" w:ascii="Times New Roman" w:hAnsi="Times New Roman" w:eastAsia="宋体" w:cs="Times New Roman"/>
                      <w:color w:val="0000FF"/>
                      <w:szCs w:val="21"/>
                    </w:rPr>
                    <w:t>1</w:t>
                  </w:r>
                </w:p>
              </w:tc>
              <w:tc>
                <w:tcPr>
                  <w:tcW w:w="592" w:type="pct"/>
                  <w:shd w:val="clear" w:color="auto" w:fill="auto"/>
                  <w:vAlign w:val="center"/>
                </w:tcPr>
                <w:p w14:paraId="5A2BBE2A">
                  <w:pPr>
                    <w:keepNext w:val="0"/>
                    <w:keepLines w:val="0"/>
                    <w:suppressLineNumbers w:val="0"/>
                    <w:spacing w:before="0" w:beforeAutospacing="0" w:after="0" w:afterAutospacing="0"/>
                    <w:ind w:left="0" w:leftChars="0" w:right="0" w:rightChars="0"/>
                    <w:jc w:val="center"/>
                    <w:rPr>
                      <w:rFonts w:hint="eastAsia" w:ascii="Times New Roman" w:hAnsi="Times New Roman" w:eastAsia="宋体" w:cs="Times New Roman"/>
                      <w:color w:val="0000FF"/>
                      <w:kern w:val="2"/>
                      <w:sz w:val="21"/>
                      <w:szCs w:val="21"/>
                      <w:lang w:val="en-US" w:eastAsia="zh-CN" w:bidi="ar-SA"/>
                    </w:rPr>
                  </w:pPr>
                  <w:r>
                    <w:rPr>
                      <w:rFonts w:hint="default" w:ascii="Times New Roman" w:hAnsi="Times New Roman" w:eastAsia="宋体" w:cs="Times New Roman"/>
                      <w:color w:val="0000FF"/>
                      <w:szCs w:val="21"/>
                    </w:rPr>
                    <w:t>1</w:t>
                  </w:r>
                </w:p>
              </w:tc>
              <w:tc>
                <w:tcPr>
                  <w:tcW w:w="537" w:type="pct"/>
                  <w:shd w:val="clear" w:color="auto" w:fill="auto"/>
                  <w:vAlign w:val="center"/>
                </w:tcPr>
                <w:p w14:paraId="661119A4">
                  <w:pPr>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color w:val="0000FF"/>
                      <w:kern w:val="2"/>
                      <w:sz w:val="21"/>
                      <w:szCs w:val="21"/>
                      <w:lang w:val="en-US" w:eastAsia="zh-CN" w:bidi="ar-SA"/>
                    </w:rPr>
                  </w:pPr>
                  <w:r>
                    <w:rPr>
                      <w:rFonts w:hint="default" w:ascii="Times New Roman" w:hAnsi="Times New Roman" w:eastAsia="宋体" w:cs="Times New Roman"/>
                      <w:color w:val="0000FF"/>
                      <w:szCs w:val="21"/>
                    </w:rPr>
                    <w:t>0</w:t>
                  </w:r>
                </w:p>
              </w:tc>
              <w:tc>
                <w:tcPr>
                  <w:tcW w:w="536" w:type="pct"/>
                  <w:gridSpan w:val="2"/>
                  <w:vMerge w:val="continue"/>
                  <w:vAlign w:val="center"/>
                </w:tcPr>
                <w:p w14:paraId="505D66B3">
                  <w:pPr>
                    <w:keepNext w:val="0"/>
                    <w:keepLines w:val="0"/>
                    <w:suppressLineNumbers w:val="0"/>
                    <w:spacing w:before="0" w:beforeAutospacing="0" w:after="0" w:afterAutospacing="0"/>
                    <w:ind w:left="0" w:right="0"/>
                    <w:jc w:val="center"/>
                    <w:rPr>
                      <w:rFonts w:hint="eastAsia" w:ascii="Times New Roman" w:hAnsi="Times New Roman" w:eastAsia="宋体" w:cs="Times New Roman"/>
                      <w:b w:val="0"/>
                      <w:bCs w:val="0"/>
                      <w:color w:val="0000FF"/>
                      <w:szCs w:val="21"/>
                      <w:highlight w:val="none"/>
                      <w:lang w:val="en-US" w:eastAsia="zh-CN"/>
                    </w:rPr>
                  </w:pPr>
                </w:p>
              </w:tc>
              <w:tc>
                <w:tcPr>
                  <w:tcW w:w="320" w:type="pct"/>
                  <w:vAlign w:val="center"/>
                </w:tcPr>
                <w:p w14:paraId="6F0D9B64">
                  <w:pPr>
                    <w:keepNext w:val="0"/>
                    <w:keepLines w:val="0"/>
                    <w:suppressLineNumbers w:val="0"/>
                    <w:spacing w:before="0" w:beforeAutospacing="0" w:after="0" w:afterAutospacing="0"/>
                    <w:ind w:left="0" w:right="0"/>
                    <w:jc w:val="center"/>
                    <w:rPr>
                      <w:rFonts w:hint="default" w:ascii="Times New Roman" w:hAnsi="Times New Roman" w:eastAsia="宋体" w:cs="Times New Roman"/>
                      <w:b w:val="0"/>
                      <w:bCs w:val="0"/>
                      <w:color w:val="0000FF"/>
                      <w:szCs w:val="21"/>
                      <w:highlight w:val="none"/>
                    </w:rPr>
                  </w:pPr>
                  <w:r>
                    <w:rPr>
                      <w:rFonts w:hint="eastAsia" w:ascii="Times New Roman" w:hAnsi="Times New Roman" w:eastAsia="宋体" w:cs="Times New Roman"/>
                      <w:b w:val="0"/>
                      <w:bCs w:val="0"/>
                      <w:color w:val="0000FF"/>
                      <w:szCs w:val="21"/>
                      <w:highlight w:val="none"/>
                      <w:lang w:val="en-US" w:eastAsia="zh-CN"/>
                    </w:rPr>
                    <w:t>/</w:t>
                  </w:r>
                </w:p>
              </w:tc>
            </w:tr>
            <w:tr w14:paraId="070D49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291" w:type="pct"/>
                  <w:shd w:val="clear" w:color="auto" w:fill="auto"/>
                  <w:vAlign w:val="center"/>
                </w:tcPr>
                <w:p w14:paraId="1A63CF38">
                  <w:pPr>
                    <w:keepNext w:val="0"/>
                    <w:keepLines w:val="0"/>
                    <w:suppressLineNumbers w:val="0"/>
                    <w:spacing w:before="0" w:beforeAutospacing="0" w:after="0" w:afterAutospacing="0"/>
                    <w:ind w:left="0" w:right="0"/>
                    <w:jc w:val="center"/>
                    <w:rPr>
                      <w:rFonts w:hint="default" w:ascii="Times New Roman" w:hAnsi="Times New Roman" w:eastAsia="宋体" w:cs="Times New Roman"/>
                      <w:b w:val="0"/>
                      <w:bCs w:val="0"/>
                      <w:color w:val="0000FF"/>
                      <w:szCs w:val="21"/>
                      <w:highlight w:val="none"/>
                      <w:lang w:val="en-US" w:eastAsia="zh-CN"/>
                    </w:rPr>
                  </w:pPr>
                  <w:r>
                    <w:rPr>
                      <w:rFonts w:hint="eastAsia" w:ascii="Times New Roman" w:hAnsi="Times New Roman" w:eastAsia="宋体" w:cs="Times New Roman"/>
                      <w:b w:val="0"/>
                      <w:bCs w:val="0"/>
                      <w:color w:val="0000FF"/>
                      <w:szCs w:val="21"/>
                      <w:highlight w:val="none"/>
                      <w:lang w:val="en-US" w:eastAsia="zh-CN"/>
                    </w:rPr>
                    <w:t>61</w:t>
                  </w:r>
                </w:p>
              </w:tc>
              <w:tc>
                <w:tcPr>
                  <w:tcW w:w="394" w:type="pct"/>
                  <w:vMerge w:val="continue"/>
                  <w:vAlign w:val="center"/>
                </w:tcPr>
                <w:p w14:paraId="3DBFF1AE">
                  <w:pPr>
                    <w:keepNext w:val="0"/>
                    <w:keepLines w:val="0"/>
                    <w:suppressLineNumbers w:val="0"/>
                    <w:spacing w:before="0" w:beforeAutospacing="0" w:after="0" w:afterAutospacing="0"/>
                    <w:ind w:left="0" w:right="0"/>
                    <w:jc w:val="center"/>
                    <w:rPr>
                      <w:rFonts w:hint="default" w:ascii="Times New Roman" w:hAnsi="Times New Roman" w:eastAsia="宋体" w:cs="Times New Roman"/>
                      <w:b w:val="0"/>
                      <w:bCs w:val="0"/>
                      <w:color w:val="0000FF"/>
                      <w:szCs w:val="21"/>
                      <w:highlight w:val="none"/>
                    </w:rPr>
                  </w:pPr>
                </w:p>
              </w:tc>
              <w:tc>
                <w:tcPr>
                  <w:tcW w:w="660" w:type="pct"/>
                  <w:shd w:val="clear" w:color="auto" w:fill="auto"/>
                  <w:vAlign w:val="center"/>
                </w:tcPr>
                <w:p w14:paraId="5A3E788A">
                  <w:pPr>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color w:val="0000FF"/>
                      <w:kern w:val="2"/>
                      <w:sz w:val="21"/>
                      <w:szCs w:val="21"/>
                      <w:lang w:val="en-US" w:eastAsia="zh-CN" w:bidi="ar-SA"/>
                    </w:rPr>
                  </w:pPr>
                  <w:r>
                    <w:rPr>
                      <w:rFonts w:hint="default" w:ascii="Times New Roman" w:hAnsi="Times New Roman" w:eastAsia="宋体" w:cs="Times New Roman"/>
                      <w:color w:val="0000FF"/>
                      <w:szCs w:val="21"/>
                    </w:rPr>
                    <w:t>阿贝折射仪</w:t>
                  </w:r>
                </w:p>
              </w:tc>
              <w:tc>
                <w:tcPr>
                  <w:tcW w:w="766" w:type="pct"/>
                  <w:shd w:val="clear" w:color="auto" w:fill="auto"/>
                  <w:vAlign w:val="center"/>
                </w:tcPr>
                <w:p w14:paraId="362C9991">
                  <w:pPr>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color w:val="0000FF"/>
                      <w:kern w:val="2"/>
                      <w:sz w:val="21"/>
                      <w:szCs w:val="21"/>
                      <w:lang w:val="en-US" w:eastAsia="zh-CN" w:bidi="ar-SA"/>
                    </w:rPr>
                  </w:pPr>
                  <w:r>
                    <w:rPr>
                      <w:rFonts w:hint="default" w:ascii="Times New Roman" w:hAnsi="Times New Roman" w:eastAsia="宋体" w:cs="Times New Roman"/>
                      <w:color w:val="0000FF"/>
                      <w:szCs w:val="21"/>
                    </w:rPr>
                    <w:t>2WAJ</w:t>
                  </w:r>
                </w:p>
              </w:tc>
              <w:tc>
                <w:tcPr>
                  <w:tcW w:w="483" w:type="pct"/>
                  <w:shd w:val="clear" w:color="auto" w:fill="auto"/>
                  <w:vAlign w:val="center"/>
                </w:tcPr>
                <w:p w14:paraId="408379A2">
                  <w:pPr>
                    <w:keepNext w:val="0"/>
                    <w:keepLines w:val="0"/>
                    <w:suppressLineNumbers w:val="0"/>
                    <w:spacing w:before="0" w:beforeAutospacing="0" w:after="0" w:afterAutospacing="0"/>
                    <w:ind w:left="0" w:leftChars="0" w:right="0" w:rightChars="0"/>
                    <w:jc w:val="center"/>
                    <w:rPr>
                      <w:rFonts w:hint="eastAsia" w:ascii="Times New Roman" w:hAnsi="Times New Roman" w:eastAsia="宋体" w:cs="Times New Roman"/>
                      <w:color w:val="0000FF"/>
                      <w:kern w:val="2"/>
                      <w:sz w:val="21"/>
                      <w:szCs w:val="21"/>
                      <w:lang w:val="en-US" w:eastAsia="zh-CN" w:bidi="ar-SA"/>
                    </w:rPr>
                  </w:pPr>
                  <w:r>
                    <w:rPr>
                      <w:rFonts w:hint="default" w:ascii="Times New Roman" w:hAnsi="Times New Roman" w:eastAsia="宋体" w:cs="Times New Roman"/>
                      <w:color w:val="0000FF"/>
                      <w:szCs w:val="21"/>
                    </w:rPr>
                    <w:t>1</w:t>
                  </w:r>
                </w:p>
              </w:tc>
              <w:tc>
                <w:tcPr>
                  <w:tcW w:w="417" w:type="pct"/>
                  <w:shd w:val="clear" w:color="auto" w:fill="auto"/>
                  <w:vAlign w:val="center"/>
                </w:tcPr>
                <w:p w14:paraId="321E6893">
                  <w:pPr>
                    <w:keepNext w:val="0"/>
                    <w:keepLines w:val="0"/>
                    <w:suppressLineNumbers w:val="0"/>
                    <w:spacing w:before="0" w:beforeAutospacing="0" w:after="0" w:afterAutospacing="0"/>
                    <w:ind w:left="0" w:leftChars="0" w:right="0" w:rightChars="0"/>
                    <w:jc w:val="center"/>
                    <w:rPr>
                      <w:rFonts w:hint="eastAsia" w:ascii="Times New Roman" w:hAnsi="Times New Roman" w:eastAsia="宋体" w:cs="Times New Roman"/>
                      <w:color w:val="0000FF"/>
                      <w:kern w:val="2"/>
                      <w:sz w:val="21"/>
                      <w:szCs w:val="21"/>
                      <w:lang w:val="en-US" w:eastAsia="zh-CN" w:bidi="ar-SA"/>
                    </w:rPr>
                  </w:pPr>
                  <w:r>
                    <w:rPr>
                      <w:rFonts w:hint="default" w:ascii="Times New Roman" w:hAnsi="Times New Roman" w:eastAsia="宋体" w:cs="Times New Roman"/>
                      <w:color w:val="0000FF"/>
                      <w:szCs w:val="21"/>
                    </w:rPr>
                    <w:t>1</w:t>
                  </w:r>
                </w:p>
              </w:tc>
              <w:tc>
                <w:tcPr>
                  <w:tcW w:w="592" w:type="pct"/>
                  <w:shd w:val="clear" w:color="auto" w:fill="auto"/>
                  <w:vAlign w:val="center"/>
                </w:tcPr>
                <w:p w14:paraId="68ADC803">
                  <w:pPr>
                    <w:keepNext w:val="0"/>
                    <w:keepLines w:val="0"/>
                    <w:suppressLineNumbers w:val="0"/>
                    <w:spacing w:before="0" w:beforeAutospacing="0" w:after="0" w:afterAutospacing="0"/>
                    <w:ind w:left="0" w:leftChars="0" w:right="0" w:rightChars="0"/>
                    <w:jc w:val="center"/>
                    <w:rPr>
                      <w:rFonts w:hint="eastAsia" w:ascii="Times New Roman" w:hAnsi="Times New Roman" w:eastAsia="宋体" w:cs="Times New Roman"/>
                      <w:color w:val="0000FF"/>
                      <w:kern w:val="2"/>
                      <w:sz w:val="21"/>
                      <w:szCs w:val="21"/>
                      <w:lang w:val="en-US" w:eastAsia="zh-CN" w:bidi="ar-SA"/>
                    </w:rPr>
                  </w:pPr>
                  <w:r>
                    <w:rPr>
                      <w:rFonts w:hint="default" w:ascii="Times New Roman" w:hAnsi="Times New Roman" w:eastAsia="宋体" w:cs="Times New Roman"/>
                      <w:color w:val="0000FF"/>
                      <w:szCs w:val="21"/>
                    </w:rPr>
                    <w:t>1</w:t>
                  </w:r>
                </w:p>
              </w:tc>
              <w:tc>
                <w:tcPr>
                  <w:tcW w:w="537" w:type="pct"/>
                  <w:shd w:val="clear" w:color="auto" w:fill="auto"/>
                  <w:vAlign w:val="center"/>
                </w:tcPr>
                <w:p w14:paraId="0D1B9D01">
                  <w:pPr>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color w:val="0000FF"/>
                      <w:kern w:val="2"/>
                      <w:sz w:val="21"/>
                      <w:szCs w:val="21"/>
                      <w:lang w:val="en-US" w:eastAsia="zh-CN" w:bidi="ar-SA"/>
                    </w:rPr>
                  </w:pPr>
                  <w:r>
                    <w:rPr>
                      <w:rFonts w:hint="default" w:ascii="Times New Roman" w:hAnsi="Times New Roman" w:eastAsia="宋体" w:cs="Times New Roman"/>
                      <w:color w:val="0000FF"/>
                      <w:szCs w:val="21"/>
                    </w:rPr>
                    <w:t>0</w:t>
                  </w:r>
                </w:p>
              </w:tc>
              <w:tc>
                <w:tcPr>
                  <w:tcW w:w="536" w:type="pct"/>
                  <w:gridSpan w:val="2"/>
                  <w:vMerge w:val="continue"/>
                  <w:vAlign w:val="center"/>
                </w:tcPr>
                <w:p w14:paraId="6AF64B2C">
                  <w:pPr>
                    <w:keepNext w:val="0"/>
                    <w:keepLines w:val="0"/>
                    <w:suppressLineNumbers w:val="0"/>
                    <w:spacing w:before="0" w:beforeAutospacing="0" w:after="0" w:afterAutospacing="0"/>
                    <w:ind w:left="0" w:right="0"/>
                    <w:jc w:val="center"/>
                    <w:rPr>
                      <w:rFonts w:hint="eastAsia" w:ascii="Times New Roman" w:hAnsi="Times New Roman" w:eastAsia="宋体" w:cs="Times New Roman"/>
                      <w:b w:val="0"/>
                      <w:bCs w:val="0"/>
                      <w:color w:val="0000FF"/>
                      <w:szCs w:val="21"/>
                      <w:highlight w:val="none"/>
                      <w:lang w:val="en-US" w:eastAsia="zh-CN"/>
                    </w:rPr>
                  </w:pPr>
                </w:p>
              </w:tc>
              <w:tc>
                <w:tcPr>
                  <w:tcW w:w="320" w:type="pct"/>
                  <w:vAlign w:val="center"/>
                </w:tcPr>
                <w:p w14:paraId="3B2D4878">
                  <w:pPr>
                    <w:keepNext w:val="0"/>
                    <w:keepLines w:val="0"/>
                    <w:suppressLineNumbers w:val="0"/>
                    <w:spacing w:before="0" w:beforeAutospacing="0" w:after="0" w:afterAutospacing="0"/>
                    <w:ind w:left="0" w:right="0"/>
                    <w:jc w:val="center"/>
                    <w:rPr>
                      <w:rFonts w:hint="default" w:ascii="Times New Roman" w:hAnsi="Times New Roman" w:eastAsia="宋体" w:cs="Times New Roman"/>
                      <w:b w:val="0"/>
                      <w:bCs w:val="0"/>
                      <w:color w:val="0000FF"/>
                      <w:szCs w:val="21"/>
                      <w:highlight w:val="none"/>
                    </w:rPr>
                  </w:pPr>
                  <w:r>
                    <w:rPr>
                      <w:rFonts w:hint="eastAsia" w:ascii="Times New Roman" w:hAnsi="Times New Roman" w:eastAsia="宋体" w:cs="Times New Roman"/>
                      <w:b w:val="0"/>
                      <w:bCs w:val="0"/>
                      <w:color w:val="0000FF"/>
                      <w:szCs w:val="21"/>
                      <w:highlight w:val="none"/>
                      <w:lang w:val="en-US" w:eastAsia="zh-CN"/>
                    </w:rPr>
                    <w:t>/</w:t>
                  </w:r>
                </w:p>
              </w:tc>
            </w:tr>
            <w:tr w14:paraId="4AF4AC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291" w:type="pct"/>
                  <w:shd w:val="clear" w:color="auto" w:fill="auto"/>
                  <w:vAlign w:val="center"/>
                </w:tcPr>
                <w:p w14:paraId="14424C0F">
                  <w:pPr>
                    <w:keepNext w:val="0"/>
                    <w:keepLines w:val="0"/>
                    <w:suppressLineNumbers w:val="0"/>
                    <w:spacing w:before="0" w:beforeAutospacing="0" w:after="0" w:afterAutospacing="0"/>
                    <w:ind w:left="0" w:right="0"/>
                    <w:jc w:val="center"/>
                    <w:rPr>
                      <w:rFonts w:hint="default" w:ascii="Times New Roman" w:hAnsi="Times New Roman" w:eastAsia="宋体" w:cs="Times New Roman"/>
                      <w:b w:val="0"/>
                      <w:bCs w:val="0"/>
                      <w:color w:val="0000FF"/>
                      <w:szCs w:val="21"/>
                      <w:highlight w:val="none"/>
                      <w:lang w:val="en-US" w:eastAsia="zh-CN"/>
                    </w:rPr>
                  </w:pPr>
                  <w:r>
                    <w:rPr>
                      <w:rFonts w:hint="eastAsia" w:ascii="Times New Roman" w:hAnsi="Times New Roman" w:eastAsia="宋体" w:cs="Times New Roman"/>
                      <w:b w:val="0"/>
                      <w:bCs w:val="0"/>
                      <w:color w:val="0000FF"/>
                      <w:szCs w:val="21"/>
                      <w:highlight w:val="none"/>
                      <w:lang w:val="en-US" w:eastAsia="zh-CN"/>
                    </w:rPr>
                    <w:t>62</w:t>
                  </w:r>
                </w:p>
              </w:tc>
              <w:tc>
                <w:tcPr>
                  <w:tcW w:w="394" w:type="pct"/>
                  <w:vMerge w:val="continue"/>
                  <w:vAlign w:val="center"/>
                </w:tcPr>
                <w:p w14:paraId="5C74E744">
                  <w:pPr>
                    <w:keepNext w:val="0"/>
                    <w:keepLines w:val="0"/>
                    <w:suppressLineNumbers w:val="0"/>
                    <w:spacing w:before="0" w:beforeAutospacing="0" w:after="0" w:afterAutospacing="0"/>
                    <w:ind w:left="0" w:right="0"/>
                    <w:jc w:val="center"/>
                    <w:rPr>
                      <w:rFonts w:hint="default" w:ascii="Times New Roman" w:hAnsi="Times New Roman" w:eastAsia="宋体" w:cs="Times New Roman"/>
                      <w:b w:val="0"/>
                      <w:bCs w:val="0"/>
                      <w:color w:val="0000FF"/>
                      <w:szCs w:val="21"/>
                      <w:highlight w:val="none"/>
                    </w:rPr>
                  </w:pPr>
                </w:p>
              </w:tc>
              <w:tc>
                <w:tcPr>
                  <w:tcW w:w="660" w:type="pct"/>
                  <w:vMerge w:val="restart"/>
                  <w:shd w:val="clear" w:color="auto" w:fill="auto"/>
                  <w:vAlign w:val="center"/>
                </w:tcPr>
                <w:p w14:paraId="2E3FBA0C">
                  <w:pPr>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color w:val="0000FF"/>
                      <w:kern w:val="2"/>
                      <w:sz w:val="21"/>
                      <w:szCs w:val="21"/>
                      <w:lang w:val="en-US" w:eastAsia="zh-CN" w:bidi="ar-SA"/>
                    </w:rPr>
                  </w:pPr>
                  <w:r>
                    <w:rPr>
                      <w:rFonts w:hint="default" w:ascii="Times New Roman" w:hAnsi="Times New Roman" w:eastAsia="宋体" w:cs="Times New Roman"/>
                      <w:color w:val="0000FF"/>
                      <w:szCs w:val="21"/>
                    </w:rPr>
                    <w:t>密度计</w:t>
                  </w:r>
                </w:p>
              </w:tc>
              <w:tc>
                <w:tcPr>
                  <w:tcW w:w="766" w:type="pct"/>
                  <w:shd w:val="clear" w:color="auto" w:fill="auto"/>
                  <w:vAlign w:val="center"/>
                </w:tcPr>
                <w:p w14:paraId="6C20BD84">
                  <w:pPr>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color w:val="0000FF"/>
                      <w:kern w:val="2"/>
                      <w:sz w:val="21"/>
                      <w:szCs w:val="21"/>
                      <w:lang w:val="en-US" w:eastAsia="zh-CN" w:bidi="ar-SA"/>
                    </w:rPr>
                  </w:pPr>
                  <w:r>
                    <w:rPr>
                      <w:rFonts w:hint="default" w:ascii="Times New Roman" w:hAnsi="Times New Roman" w:eastAsia="宋体" w:cs="Times New Roman"/>
                      <w:color w:val="0000FF"/>
                      <w:szCs w:val="21"/>
                    </w:rPr>
                    <w:t>0.8-0.9</w:t>
                  </w:r>
                </w:p>
              </w:tc>
              <w:tc>
                <w:tcPr>
                  <w:tcW w:w="483" w:type="pct"/>
                  <w:shd w:val="clear" w:color="auto" w:fill="auto"/>
                  <w:vAlign w:val="center"/>
                </w:tcPr>
                <w:p w14:paraId="55737D58">
                  <w:pPr>
                    <w:keepNext w:val="0"/>
                    <w:keepLines w:val="0"/>
                    <w:suppressLineNumbers w:val="0"/>
                    <w:spacing w:before="0" w:beforeAutospacing="0" w:after="0" w:afterAutospacing="0"/>
                    <w:ind w:left="0" w:leftChars="0" w:right="0" w:rightChars="0"/>
                    <w:jc w:val="center"/>
                    <w:rPr>
                      <w:rFonts w:hint="eastAsia" w:ascii="Times New Roman" w:hAnsi="Times New Roman" w:eastAsia="宋体" w:cs="Times New Roman"/>
                      <w:color w:val="0000FF"/>
                      <w:kern w:val="2"/>
                      <w:sz w:val="21"/>
                      <w:szCs w:val="21"/>
                      <w:lang w:val="en-US" w:eastAsia="zh-CN" w:bidi="ar-SA"/>
                    </w:rPr>
                  </w:pPr>
                  <w:r>
                    <w:rPr>
                      <w:rFonts w:hint="default" w:ascii="Times New Roman" w:hAnsi="Times New Roman" w:eastAsia="宋体" w:cs="Times New Roman"/>
                      <w:color w:val="0000FF"/>
                      <w:szCs w:val="21"/>
                    </w:rPr>
                    <w:t>1</w:t>
                  </w:r>
                </w:p>
              </w:tc>
              <w:tc>
                <w:tcPr>
                  <w:tcW w:w="417" w:type="pct"/>
                  <w:shd w:val="clear" w:color="auto" w:fill="auto"/>
                  <w:vAlign w:val="center"/>
                </w:tcPr>
                <w:p w14:paraId="6AF1C751">
                  <w:pPr>
                    <w:keepNext w:val="0"/>
                    <w:keepLines w:val="0"/>
                    <w:suppressLineNumbers w:val="0"/>
                    <w:spacing w:before="0" w:beforeAutospacing="0" w:after="0" w:afterAutospacing="0"/>
                    <w:ind w:left="0" w:leftChars="0" w:right="0" w:rightChars="0"/>
                    <w:jc w:val="center"/>
                    <w:rPr>
                      <w:rFonts w:hint="eastAsia" w:ascii="Times New Roman" w:hAnsi="Times New Roman" w:eastAsia="宋体" w:cs="Times New Roman"/>
                      <w:color w:val="0000FF"/>
                      <w:kern w:val="2"/>
                      <w:sz w:val="21"/>
                      <w:szCs w:val="21"/>
                      <w:lang w:val="en-US" w:eastAsia="zh-CN" w:bidi="ar-SA"/>
                    </w:rPr>
                  </w:pPr>
                  <w:r>
                    <w:rPr>
                      <w:rFonts w:hint="default" w:ascii="Times New Roman" w:hAnsi="Times New Roman" w:eastAsia="宋体" w:cs="Times New Roman"/>
                      <w:color w:val="0000FF"/>
                      <w:szCs w:val="21"/>
                    </w:rPr>
                    <w:t>1</w:t>
                  </w:r>
                </w:p>
              </w:tc>
              <w:tc>
                <w:tcPr>
                  <w:tcW w:w="592" w:type="pct"/>
                  <w:shd w:val="clear" w:color="auto" w:fill="auto"/>
                  <w:vAlign w:val="center"/>
                </w:tcPr>
                <w:p w14:paraId="00F11EC2">
                  <w:pPr>
                    <w:keepNext w:val="0"/>
                    <w:keepLines w:val="0"/>
                    <w:suppressLineNumbers w:val="0"/>
                    <w:spacing w:before="0" w:beforeAutospacing="0" w:after="0" w:afterAutospacing="0"/>
                    <w:ind w:left="0" w:leftChars="0" w:right="0" w:rightChars="0"/>
                    <w:jc w:val="center"/>
                    <w:rPr>
                      <w:rFonts w:hint="eastAsia" w:ascii="Times New Roman" w:hAnsi="Times New Roman" w:eastAsia="宋体" w:cs="Times New Roman"/>
                      <w:color w:val="0000FF"/>
                      <w:kern w:val="2"/>
                      <w:sz w:val="21"/>
                      <w:szCs w:val="21"/>
                      <w:lang w:val="en-US" w:eastAsia="zh-CN" w:bidi="ar-SA"/>
                    </w:rPr>
                  </w:pPr>
                  <w:r>
                    <w:rPr>
                      <w:rFonts w:hint="default" w:ascii="Times New Roman" w:hAnsi="Times New Roman" w:eastAsia="宋体" w:cs="Times New Roman"/>
                      <w:color w:val="0000FF"/>
                      <w:szCs w:val="21"/>
                    </w:rPr>
                    <w:t>1</w:t>
                  </w:r>
                </w:p>
              </w:tc>
              <w:tc>
                <w:tcPr>
                  <w:tcW w:w="537" w:type="pct"/>
                  <w:shd w:val="clear" w:color="auto" w:fill="auto"/>
                  <w:vAlign w:val="center"/>
                </w:tcPr>
                <w:p w14:paraId="0079769B">
                  <w:pPr>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color w:val="0000FF"/>
                      <w:kern w:val="2"/>
                      <w:sz w:val="21"/>
                      <w:szCs w:val="21"/>
                      <w:lang w:val="en-US" w:eastAsia="zh-CN" w:bidi="ar-SA"/>
                    </w:rPr>
                  </w:pPr>
                  <w:r>
                    <w:rPr>
                      <w:rFonts w:hint="default" w:ascii="Times New Roman" w:hAnsi="Times New Roman" w:eastAsia="宋体" w:cs="Times New Roman"/>
                      <w:color w:val="0000FF"/>
                      <w:szCs w:val="21"/>
                    </w:rPr>
                    <w:t>0</w:t>
                  </w:r>
                </w:p>
              </w:tc>
              <w:tc>
                <w:tcPr>
                  <w:tcW w:w="536" w:type="pct"/>
                  <w:gridSpan w:val="2"/>
                  <w:vMerge w:val="continue"/>
                  <w:vAlign w:val="center"/>
                </w:tcPr>
                <w:p w14:paraId="5ABB47E7">
                  <w:pPr>
                    <w:keepNext w:val="0"/>
                    <w:keepLines w:val="0"/>
                    <w:suppressLineNumbers w:val="0"/>
                    <w:spacing w:before="0" w:beforeAutospacing="0" w:after="0" w:afterAutospacing="0"/>
                    <w:ind w:left="0" w:right="0"/>
                    <w:jc w:val="center"/>
                    <w:rPr>
                      <w:rFonts w:hint="eastAsia" w:ascii="Times New Roman" w:hAnsi="Times New Roman" w:eastAsia="宋体" w:cs="Times New Roman"/>
                      <w:b w:val="0"/>
                      <w:bCs w:val="0"/>
                      <w:color w:val="0000FF"/>
                      <w:szCs w:val="21"/>
                      <w:highlight w:val="none"/>
                      <w:lang w:val="en-US" w:eastAsia="zh-CN"/>
                    </w:rPr>
                  </w:pPr>
                </w:p>
              </w:tc>
              <w:tc>
                <w:tcPr>
                  <w:tcW w:w="320" w:type="pct"/>
                  <w:vAlign w:val="center"/>
                </w:tcPr>
                <w:p w14:paraId="156F6B18">
                  <w:pPr>
                    <w:keepNext w:val="0"/>
                    <w:keepLines w:val="0"/>
                    <w:suppressLineNumbers w:val="0"/>
                    <w:spacing w:before="0" w:beforeAutospacing="0" w:after="0" w:afterAutospacing="0"/>
                    <w:ind w:left="0" w:right="0"/>
                    <w:jc w:val="center"/>
                    <w:rPr>
                      <w:rFonts w:hint="default" w:ascii="Times New Roman" w:hAnsi="Times New Roman" w:eastAsia="宋体" w:cs="Times New Roman"/>
                      <w:b w:val="0"/>
                      <w:bCs w:val="0"/>
                      <w:color w:val="0000FF"/>
                      <w:szCs w:val="21"/>
                      <w:highlight w:val="none"/>
                    </w:rPr>
                  </w:pPr>
                  <w:r>
                    <w:rPr>
                      <w:rFonts w:hint="eastAsia" w:ascii="Times New Roman" w:hAnsi="Times New Roman" w:eastAsia="宋体" w:cs="Times New Roman"/>
                      <w:b w:val="0"/>
                      <w:bCs w:val="0"/>
                      <w:color w:val="0000FF"/>
                      <w:szCs w:val="21"/>
                      <w:highlight w:val="none"/>
                      <w:lang w:val="en-US" w:eastAsia="zh-CN"/>
                    </w:rPr>
                    <w:t>/</w:t>
                  </w:r>
                </w:p>
              </w:tc>
            </w:tr>
            <w:tr w14:paraId="4A8126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291" w:type="pct"/>
                  <w:shd w:val="clear" w:color="auto" w:fill="auto"/>
                  <w:vAlign w:val="center"/>
                </w:tcPr>
                <w:p w14:paraId="7F50D4DC">
                  <w:pPr>
                    <w:keepNext w:val="0"/>
                    <w:keepLines w:val="0"/>
                    <w:suppressLineNumbers w:val="0"/>
                    <w:spacing w:before="0" w:beforeAutospacing="0" w:after="0" w:afterAutospacing="0"/>
                    <w:ind w:left="0" w:right="0"/>
                    <w:jc w:val="center"/>
                    <w:rPr>
                      <w:rFonts w:hint="default" w:ascii="Times New Roman" w:hAnsi="Times New Roman" w:eastAsia="宋体" w:cs="Times New Roman"/>
                      <w:b w:val="0"/>
                      <w:bCs w:val="0"/>
                      <w:color w:val="0000FF"/>
                      <w:szCs w:val="21"/>
                      <w:highlight w:val="none"/>
                      <w:lang w:val="en-US" w:eastAsia="zh-CN"/>
                    </w:rPr>
                  </w:pPr>
                  <w:r>
                    <w:rPr>
                      <w:rFonts w:hint="eastAsia" w:ascii="Times New Roman" w:hAnsi="Times New Roman" w:eastAsia="宋体" w:cs="Times New Roman"/>
                      <w:b w:val="0"/>
                      <w:bCs w:val="0"/>
                      <w:color w:val="0000FF"/>
                      <w:szCs w:val="21"/>
                      <w:highlight w:val="none"/>
                      <w:lang w:val="en-US" w:eastAsia="zh-CN"/>
                    </w:rPr>
                    <w:t>63</w:t>
                  </w:r>
                </w:p>
              </w:tc>
              <w:tc>
                <w:tcPr>
                  <w:tcW w:w="394" w:type="pct"/>
                  <w:vMerge w:val="continue"/>
                  <w:vAlign w:val="center"/>
                </w:tcPr>
                <w:p w14:paraId="7545DB39">
                  <w:pPr>
                    <w:keepNext w:val="0"/>
                    <w:keepLines w:val="0"/>
                    <w:suppressLineNumbers w:val="0"/>
                    <w:spacing w:before="0" w:beforeAutospacing="0" w:after="0" w:afterAutospacing="0"/>
                    <w:ind w:left="0" w:right="0"/>
                    <w:jc w:val="center"/>
                    <w:rPr>
                      <w:rFonts w:hint="default" w:ascii="Times New Roman" w:hAnsi="Times New Roman" w:eastAsia="宋体" w:cs="Times New Roman"/>
                      <w:b w:val="0"/>
                      <w:bCs w:val="0"/>
                      <w:color w:val="0000FF"/>
                      <w:szCs w:val="21"/>
                      <w:highlight w:val="none"/>
                    </w:rPr>
                  </w:pPr>
                </w:p>
              </w:tc>
              <w:tc>
                <w:tcPr>
                  <w:tcW w:w="660" w:type="pct"/>
                  <w:vMerge w:val="continue"/>
                  <w:vAlign w:val="center"/>
                </w:tcPr>
                <w:p w14:paraId="0C05905D">
                  <w:pPr>
                    <w:keepNext w:val="0"/>
                    <w:keepLines w:val="0"/>
                    <w:suppressLineNumbers w:val="0"/>
                    <w:spacing w:before="0" w:beforeAutospacing="0" w:after="0" w:afterAutospacing="0"/>
                    <w:ind w:left="0" w:right="0"/>
                    <w:jc w:val="center"/>
                    <w:rPr>
                      <w:rFonts w:hint="default" w:ascii="Times New Roman" w:hAnsi="Times New Roman" w:eastAsia="宋体" w:cs="Times New Roman"/>
                      <w:b w:val="0"/>
                      <w:bCs w:val="0"/>
                      <w:color w:val="0000FF"/>
                      <w:szCs w:val="21"/>
                      <w:highlight w:val="none"/>
                    </w:rPr>
                  </w:pPr>
                </w:p>
              </w:tc>
              <w:tc>
                <w:tcPr>
                  <w:tcW w:w="766" w:type="pct"/>
                  <w:shd w:val="clear" w:color="auto" w:fill="auto"/>
                  <w:vAlign w:val="center"/>
                </w:tcPr>
                <w:p w14:paraId="03B06FE8">
                  <w:pPr>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color w:val="0000FF"/>
                      <w:kern w:val="2"/>
                      <w:sz w:val="21"/>
                      <w:szCs w:val="21"/>
                      <w:lang w:val="en-US" w:eastAsia="zh-CN" w:bidi="ar-SA"/>
                    </w:rPr>
                  </w:pPr>
                  <w:r>
                    <w:rPr>
                      <w:rFonts w:hint="default" w:ascii="Times New Roman" w:hAnsi="Times New Roman" w:eastAsia="宋体" w:cs="Times New Roman"/>
                      <w:color w:val="0000FF"/>
                      <w:szCs w:val="21"/>
                    </w:rPr>
                    <w:t>0.9-1.0</w:t>
                  </w:r>
                </w:p>
              </w:tc>
              <w:tc>
                <w:tcPr>
                  <w:tcW w:w="483" w:type="pct"/>
                  <w:shd w:val="clear" w:color="auto" w:fill="auto"/>
                  <w:vAlign w:val="center"/>
                </w:tcPr>
                <w:p w14:paraId="53BBCBB0">
                  <w:pPr>
                    <w:keepNext w:val="0"/>
                    <w:keepLines w:val="0"/>
                    <w:suppressLineNumbers w:val="0"/>
                    <w:spacing w:before="0" w:beforeAutospacing="0" w:after="0" w:afterAutospacing="0"/>
                    <w:ind w:left="0" w:leftChars="0" w:right="0" w:rightChars="0"/>
                    <w:jc w:val="center"/>
                    <w:rPr>
                      <w:rFonts w:hint="eastAsia" w:ascii="Times New Roman" w:hAnsi="Times New Roman" w:eastAsia="宋体" w:cs="Times New Roman"/>
                      <w:color w:val="0000FF"/>
                      <w:kern w:val="2"/>
                      <w:sz w:val="21"/>
                      <w:szCs w:val="21"/>
                      <w:lang w:val="en-US" w:eastAsia="zh-CN" w:bidi="ar-SA"/>
                    </w:rPr>
                  </w:pPr>
                  <w:r>
                    <w:rPr>
                      <w:rFonts w:hint="default" w:ascii="Times New Roman" w:hAnsi="Times New Roman" w:eastAsia="宋体" w:cs="Times New Roman"/>
                      <w:color w:val="0000FF"/>
                      <w:szCs w:val="21"/>
                    </w:rPr>
                    <w:t>1</w:t>
                  </w:r>
                </w:p>
              </w:tc>
              <w:tc>
                <w:tcPr>
                  <w:tcW w:w="417" w:type="pct"/>
                  <w:shd w:val="clear" w:color="auto" w:fill="auto"/>
                  <w:vAlign w:val="center"/>
                </w:tcPr>
                <w:p w14:paraId="5A8920DA">
                  <w:pPr>
                    <w:keepNext w:val="0"/>
                    <w:keepLines w:val="0"/>
                    <w:suppressLineNumbers w:val="0"/>
                    <w:spacing w:before="0" w:beforeAutospacing="0" w:after="0" w:afterAutospacing="0"/>
                    <w:ind w:left="0" w:leftChars="0" w:right="0" w:rightChars="0"/>
                    <w:jc w:val="center"/>
                    <w:rPr>
                      <w:rFonts w:hint="eastAsia" w:ascii="Times New Roman" w:hAnsi="Times New Roman" w:eastAsia="宋体" w:cs="Times New Roman"/>
                      <w:color w:val="0000FF"/>
                      <w:kern w:val="2"/>
                      <w:sz w:val="21"/>
                      <w:szCs w:val="21"/>
                      <w:lang w:val="en-US" w:eastAsia="zh-CN" w:bidi="ar-SA"/>
                    </w:rPr>
                  </w:pPr>
                  <w:r>
                    <w:rPr>
                      <w:rFonts w:hint="default" w:ascii="Times New Roman" w:hAnsi="Times New Roman" w:eastAsia="宋体" w:cs="Times New Roman"/>
                      <w:color w:val="0000FF"/>
                      <w:szCs w:val="21"/>
                    </w:rPr>
                    <w:t>1</w:t>
                  </w:r>
                </w:p>
              </w:tc>
              <w:tc>
                <w:tcPr>
                  <w:tcW w:w="592" w:type="pct"/>
                  <w:shd w:val="clear" w:color="auto" w:fill="auto"/>
                  <w:vAlign w:val="center"/>
                </w:tcPr>
                <w:p w14:paraId="77575074">
                  <w:pPr>
                    <w:keepNext w:val="0"/>
                    <w:keepLines w:val="0"/>
                    <w:suppressLineNumbers w:val="0"/>
                    <w:spacing w:before="0" w:beforeAutospacing="0" w:after="0" w:afterAutospacing="0"/>
                    <w:ind w:left="0" w:leftChars="0" w:right="0" w:rightChars="0"/>
                    <w:jc w:val="center"/>
                    <w:rPr>
                      <w:rFonts w:hint="eastAsia" w:ascii="Times New Roman" w:hAnsi="Times New Roman" w:eastAsia="宋体" w:cs="Times New Roman"/>
                      <w:color w:val="0000FF"/>
                      <w:kern w:val="2"/>
                      <w:sz w:val="21"/>
                      <w:szCs w:val="21"/>
                      <w:lang w:val="en-US" w:eastAsia="zh-CN" w:bidi="ar-SA"/>
                    </w:rPr>
                  </w:pPr>
                  <w:r>
                    <w:rPr>
                      <w:rFonts w:hint="default" w:ascii="Times New Roman" w:hAnsi="Times New Roman" w:eastAsia="宋体" w:cs="Times New Roman"/>
                      <w:color w:val="0000FF"/>
                      <w:szCs w:val="21"/>
                    </w:rPr>
                    <w:t>1</w:t>
                  </w:r>
                </w:p>
              </w:tc>
              <w:tc>
                <w:tcPr>
                  <w:tcW w:w="537" w:type="pct"/>
                  <w:shd w:val="clear" w:color="auto" w:fill="auto"/>
                  <w:vAlign w:val="center"/>
                </w:tcPr>
                <w:p w14:paraId="501A1C85">
                  <w:pPr>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color w:val="0000FF"/>
                      <w:kern w:val="2"/>
                      <w:sz w:val="21"/>
                      <w:szCs w:val="21"/>
                      <w:lang w:val="en-US" w:eastAsia="zh-CN" w:bidi="ar-SA"/>
                    </w:rPr>
                  </w:pPr>
                  <w:r>
                    <w:rPr>
                      <w:rFonts w:hint="default" w:ascii="Times New Roman" w:hAnsi="Times New Roman" w:eastAsia="宋体" w:cs="Times New Roman"/>
                      <w:color w:val="0000FF"/>
                      <w:szCs w:val="21"/>
                    </w:rPr>
                    <w:t>0</w:t>
                  </w:r>
                </w:p>
              </w:tc>
              <w:tc>
                <w:tcPr>
                  <w:tcW w:w="536" w:type="pct"/>
                  <w:gridSpan w:val="2"/>
                  <w:vMerge w:val="continue"/>
                  <w:vAlign w:val="center"/>
                </w:tcPr>
                <w:p w14:paraId="43A240FD">
                  <w:pPr>
                    <w:keepNext w:val="0"/>
                    <w:keepLines w:val="0"/>
                    <w:suppressLineNumbers w:val="0"/>
                    <w:spacing w:before="0" w:beforeAutospacing="0" w:after="0" w:afterAutospacing="0"/>
                    <w:ind w:left="0" w:right="0"/>
                    <w:jc w:val="center"/>
                    <w:rPr>
                      <w:rFonts w:hint="eastAsia" w:ascii="Times New Roman" w:hAnsi="Times New Roman" w:eastAsia="宋体" w:cs="Times New Roman"/>
                      <w:b w:val="0"/>
                      <w:bCs w:val="0"/>
                      <w:color w:val="0000FF"/>
                      <w:szCs w:val="21"/>
                      <w:highlight w:val="none"/>
                      <w:lang w:val="en-US" w:eastAsia="zh-CN"/>
                    </w:rPr>
                  </w:pPr>
                </w:p>
              </w:tc>
              <w:tc>
                <w:tcPr>
                  <w:tcW w:w="320" w:type="pct"/>
                  <w:vAlign w:val="center"/>
                </w:tcPr>
                <w:p w14:paraId="600CA737">
                  <w:pPr>
                    <w:keepNext w:val="0"/>
                    <w:keepLines w:val="0"/>
                    <w:suppressLineNumbers w:val="0"/>
                    <w:spacing w:before="0" w:beforeAutospacing="0" w:after="0" w:afterAutospacing="0"/>
                    <w:ind w:left="0" w:right="0"/>
                    <w:jc w:val="center"/>
                    <w:rPr>
                      <w:rFonts w:hint="default" w:ascii="Times New Roman" w:hAnsi="Times New Roman" w:eastAsia="宋体" w:cs="Times New Roman"/>
                      <w:b w:val="0"/>
                      <w:bCs w:val="0"/>
                      <w:color w:val="0000FF"/>
                      <w:szCs w:val="21"/>
                      <w:highlight w:val="none"/>
                    </w:rPr>
                  </w:pPr>
                  <w:r>
                    <w:rPr>
                      <w:rFonts w:hint="eastAsia" w:ascii="Times New Roman" w:hAnsi="Times New Roman" w:eastAsia="宋体" w:cs="Times New Roman"/>
                      <w:b w:val="0"/>
                      <w:bCs w:val="0"/>
                      <w:color w:val="0000FF"/>
                      <w:szCs w:val="21"/>
                      <w:highlight w:val="none"/>
                      <w:lang w:val="en-US" w:eastAsia="zh-CN"/>
                    </w:rPr>
                    <w:t>/</w:t>
                  </w:r>
                </w:p>
              </w:tc>
            </w:tr>
            <w:tr w14:paraId="09AB68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291" w:type="pct"/>
                  <w:shd w:val="clear" w:color="auto" w:fill="auto"/>
                  <w:vAlign w:val="center"/>
                </w:tcPr>
                <w:p w14:paraId="1239777D">
                  <w:pPr>
                    <w:keepNext w:val="0"/>
                    <w:keepLines w:val="0"/>
                    <w:suppressLineNumbers w:val="0"/>
                    <w:spacing w:before="0" w:beforeAutospacing="0" w:after="0" w:afterAutospacing="0"/>
                    <w:ind w:left="0" w:right="0"/>
                    <w:jc w:val="center"/>
                    <w:rPr>
                      <w:rFonts w:hint="default" w:ascii="Times New Roman" w:hAnsi="Times New Roman" w:eastAsia="宋体" w:cs="Times New Roman"/>
                      <w:b w:val="0"/>
                      <w:bCs w:val="0"/>
                      <w:color w:val="0000FF"/>
                      <w:szCs w:val="21"/>
                      <w:highlight w:val="none"/>
                      <w:lang w:val="en-US" w:eastAsia="zh-CN"/>
                    </w:rPr>
                  </w:pPr>
                  <w:r>
                    <w:rPr>
                      <w:rFonts w:hint="eastAsia" w:ascii="Times New Roman" w:hAnsi="Times New Roman" w:eastAsia="宋体" w:cs="Times New Roman"/>
                      <w:b w:val="0"/>
                      <w:bCs w:val="0"/>
                      <w:color w:val="0000FF"/>
                      <w:szCs w:val="21"/>
                      <w:highlight w:val="none"/>
                      <w:lang w:val="en-US" w:eastAsia="zh-CN"/>
                    </w:rPr>
                    <w:t>64</w:t>
                  </w:r>
                </w:p>
              </w:tc>
              <w:tc>
                <w:tcPr>
                  <w:tcW w:w="394" w:type="pct"/>
                  <w:vMerge w:val="continue"/>
                  <w:vAlign w:val="center"/>
                </w:tcPr>
                <w:p w14:paraId="57C8CFBC">
                  <w:pPr>
                    <w:keepNext w:val="0"/>
                    <w:keepLines w:val="0"/>
                    <w:suppressLineNumbers w:val="0"/>
                    <w:spacing w:before="0" w:beforeAutospacing="0" w:after="0" w:afterAutospacing="0"/>
                    <w:ind w:left="0" w:right="0"/>
                    <w:jc w:val="center"/>
                    <w:rPr>
                      <w:rFonts w:hint="default" w:ascii="Times New Roman" w:hAnsi="Times New Roman" w:eastAsia="宋体" w:cs="Times New Roman"/>
                      <w:b w:val="0"/>
                      <w:bCs w:val="0"/>
                      <w:color w:val="0000FF"/>
                      <w:szCs w:val="21"/>
                      <w:highlight w:val="none"/>
                    </w:rPr>
                  </w:pPr>
                </w:p>
              </w:tc>
              <w:tc>
                <w:tcPr>
                  <w:tcW w:w="660" w:type="pct"/>
                  <w:vMerge w:val="continue"/>
                  <w:vAlign w:val="center"/>
                </w:tcPr>
                <w:p w14:paraId="6611EDE8">
                  <w:pPr>
                    <w:keepNext w:val="0"/>
                    <w:keepLines w:val="0"/>
                    <w:suppressLineNumbers w:val="0"/>
                    <w:spacing w:before="0" w:beforeAutospacing="0" w:after="0" w:afterAutospacing="0"/>
                    <w:ind w:left="0" w:right="0"/>
                    <w:jc w:val="center"/>
                    <w:rPr>
                      <w:rFonts w:hint="default" w:ascii="Times New Roman" w:hAnsi="Times New Roman" w:eastAsia="宋体" w:cs="Times New Roman"/>
                      <w:b w:val="0"/>
                      <w:bCs w:val="0"/>
                      <w:color w:val="0000FF"/>
                      <w:szCs w:val="21"/>
                      <w:highlight w:val="none"/>
                    </w:rPr>
                  </w:pPr>
                </w:p>
              </w:tc>
              <w:tc>
                <w:tcPr>
                  <w:tcW w:w="766" w:type="pct"/>
                  <w:shd w:val="clear" w:color="auto" w:fill="auto"/>
                  <w:vAlign w:val="center"/>
                </w:tcPr>
                <w:p w14:paraId="0431C16A">
                  <w:pPr>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color w:val="0000FF"/>
                      <w:kern w:val="2"/>
                      <w:sz w:val="21"/>
                      <w:szCs w:val="21"/>
                      <w:lang w:val="en-US" w:eastAsia="zh-CN" w:bidi="ar-SA"/>
                    </w:rPr>
                  </w:pPr>
                  <w:r>
                    <w:rPr>
                      <w:rFonts w:hint="default" w:ascii="Times New Roman" w:hAnsi="Times New Roman" w:eastAsia="宋体" w:cs="Times New Roman"/>
                      <w:color w:val="0000FF"/>
                      <w:szCs w:val="21"/>
                    </w:rPr>
                    <w:t>1.0-1.1</w:t>
                  </w:r>
                </w:p>
              </w:tc>
              <w:tc>
                <w:tcPr>
                  <w:tcW w:w="483" w:type="pct"/>
                  <w:shd w:val="clear" w:color="auto" w:fill="auto"/>
                  <w:vAlign w:val="center"/>
                </w:tcPr>
                <w:p w14:paraId="7167884F">
                  <w:pPr>
                    <w:keepNext w:val="0"/>
                    <w:keepLines w:val="0"/>
                    <w:suppressLineNumbers w:val="0"/>
                    <w:spacing w:before="0" w:beforeAutospacing="0" w:after="0" w:afterAutospacing="0"/>
                    <w:ind w:left="0" w:leftChars="0" w:right="0" w:rightChars="0"/>
                    <w:jc w:val="center"/>
                    <w:rPr>
                      <w:rFonts w:hint="eastAsia" w:ascii="Times New Roman" w:hAnsi="Times New Roman" w:eastAsia="宋体" w:cs="Times New Roman"/>
                      <w:color w:val="0000FF"/>
                      <w:kern w:val="2"/>
                      <w:sz w:val="21"/>
                      <w:szCs w:val="21"/>
                      <w:lang w:val="en-US" w:eastAsia="zh-CN" w:bidi="ar-SA"/>
                    </w:rPr>
                  </w:pPr>
                  <w:r>
                    <w:rPr>
                      <w:rFonts w:hint="default" w:ascii="Times New Roman" w:hAnsi="Times New Roman" w:eastAsia="宋体" w:cs="Times New Roman"/>
                      <w:color w:val="0000FF"/>
                      <w:szCs w:val="21"/>
                    </w:rPr>
                    <w:t>1</w:t>
                  </w:r>
                </w:p>
              </w:tc>
              <w:tc>
                <w:tcPr>
                  <w:tcW w:w="417" w:type="pct"/>
                  <w:shd w:val="clear" w:color="auto" w:fill="auto"/>
                  <w:vAlign w:val="center"/>
                </w:tcPr>
                <w:p w14:paraId="1F42D8E2">
                  <w:pPr>
                    <w:keepNext w:val="0"/>
                    <w:keepLines w:val="0"/>
                    <w:suppressLineNumbers w:val="0"/>
                    <w:spacing w:before="0" w:beforeAutospacing="0" w:after="0" w:afterAutospacing="0"/>
                    <w:ind w:left="0" w:leftChars="0" w:right="0" w:rightChars="0"/>
                    <w:jc w:val="center"/>
                    <w:rPr>
                      <w:rFonts w:hint="eastAsia" w:ascii="Times New Roman" w:hAnsi="Times New Roman" w:eastAsia="宋体" w:cs="Times New Roman"/>
                      <w:color w:val="0000FF"/>
                      <w:kern w:val="2"/>
                      <w:sz w:val="21"/>
                      <w:szCs w:val="21"/>
                      <w:lang w:val="en-US" w:eastAsia="zh-CN" w:bidi="ar-SA"/>
                    </w:rPr>
                  </w:pPr>
                  <w:r>
                    <w:rPr>
                      <w:rFonts w:hint="default" w:ascii="Times New Roman" w:hAnsi="Times New Roman" w:eastAsia="宋体" w:cs="Times New Roman"/>
                      <w:color w:val="0000FF"/>
                      <w:szCs w:val="21"/>
                    </w:rPr>
                    <w:t>1</w:t>
                  </w:r>
                </w:p>
              </w:tc>
              <w:tc>
                <w:tcPr>
                  <w:tcW w:w="592" w:type="pct"/>
                  <w:shd w:val="clear" w:color="auto" w:fill="auto"/>
                  <w:vAlign w:val="center"/>
                </w:tcPr>
                <w:p w14:paraId="0DEEB95B">
                  <w:pPr>
                    <w:keepNext w:val="0"/>
                    <w:keepLines w:val="0"/>
                    <w:suppressLineNumbers w:val="0"/>
                    <w:spacing w:before="0" w:beforeAutospacing="0" w:after="0" w:afterAutospacing="0"/>
                    <w:ind w:left="0" w:leftChars="0" w:right="0" w:rightChars="0"/>
                    <w:jc w:val="center"/>
                    <w:rPr>
                      <w:rFonts w:hint="eastAsia" w:ascii="Times New Roman" w:hAnsi="Times New Roman" w:eastAsia="宋体" w:cs="Times New Roman"/>
                      <w:color w:val="0000FF"/>
                      <w:kern w:val="2"/>
                      <w:sz w:val="21"/>
                      <w:szCs w:val="21"/>
                      <w:lang w:val="en-US" w:eastAsia="zh-CN" w:bidi="ar-SA"/>
                    </w:rPr>
                  </w:pPr>
                  <w:r>
                    <w:rPr>
                      <w:rFonts w:hint="default" w:ascii="Times New Roman" w:hAnsi="Times New Roman" w:eastAsia="宋体" w:cs="Times New Roman"/>
                      <w:color w:val="0000FF"/>
                      <w:szCs w:val="21"/>
                    </w:rPr>
                    <w:t>1</w:t>
                  </w:r>
                </w:p>
              </w:tc>
              <w:tc>
                <w:tcPr>
                  <w:tcW w:w="537" w:type="pct"/>
                  <w:shd w:val="clear" w:color="auto" w:fill="auto"/>
                  <w:vAlign w:val="center"/>
                </w:tcPr>
                <w:p w14:paraId="118F98BB">
                  <w:pPr>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color w:val="0000FF"/>
                      <w:kern w:val="2"/>
                      <w:sz w:val="21"/>
                      <w:szCs w:val="21"/>
                      <w:lang w:val="en-US" w:eastAsia="zh-CN" w:bidi="ar-SA"/>
                    </w:rPr>
                  </w:pPr>
                  <w:r>
                    <w:rPr>
                      <w:rFonts w:hint="default" w:ascii="Times New Roman" w:hAnsi="Times New Roman" w:eastAsia="宋体" w:cs="Times New Roman"/>
                      <w:color w:val="0000FF"/>
                      <w:szCs w:val="21"/>
                    </w:rPr>
                    <w:t>0</w:t>
                  </w:r>
                </w:p>
              </w:tc>
              <w:tc>
                <w:tcPr>
                  <w:tcW w:w="536" w:type="pct"/>
                  <w:gridSpan w:val="2"/>
                  <w:vMerge w:val="continue"/>
                  <w:vAlign w:val="center"/>
                </w:tcPr>
                <w:p w14:paraId="1535FBCF">
                  <w:pPr>
                    <w:keepNext w:val="0"/>
                    <w:keepLines w:val="0"/>
                    <w:suppressLineNumbers w:val="0"/>
                    <w:spacing w:before="0" w:beforeAutospacing="0" w:after="0" w:afterAutospacing="0"/>
                    <w:ind w:left="0" w:right="0"/>
                    <w:jc w:val="center"/>
                    <w:rPr>
                      <w:rFonts w:hint="eastAsia" w:ascii="Times New Roman" w:hAnsi="Times New Roman" w:eastAsia="宋体" w:cs="Times New Roman"/>
                      <w:b w:val="0"/>
                      <w:bCs w:val="0"/>
                      <w:color w:val="0000FF"/>
                      <w:szCs w:val="21"/>
                      <w:highlight w:val="none"/>
                      <w:lang w:val="en-US" w:eastAsia="zh-CN"/>
                    </w:rPr>
                  </w:pPr>
                </w:p>
              </w:tc>
              <w:tc>
                <w:tcPr>
                  <w:tcW w:w="320" w:type="pct"/>
                  <w:vAlign w:val="center"/>
                </w:tcPr>
                <w:p w14:paraId="2585C6D8">
                  <w:pPr>
                    <w:keepNext w:val="0"/>
                    <w:keepLines w:val="0"/>
                    <w:suppressLineNumbers w:val="0"/>
                    <w:spacing w:before="0" w:beforeAutospacing="0" w:after="0" w:afterAutospacing="0"/>
                    <w:ind w:left="0" w:right="0"/>
                    <w:jc w:val="center"/>
                    <w:rPr>
                      <w:rFonts w:hint="default" w:ascii="Times New Roman" w:hAnsi="Times New Roman" w:eastAsia="宋体" w:cs="Times New Roman"/>
                      <w:b w:val="0"/>
                      <w:bCs w:val="0"/>
                      <w:color w:val="0000FF"/>
                      <w:szCs w:val="21"/>
                      <w:highlight w:val="none"/>
                    </w:rPr>
                  </w:pPr>
                  <w:r>
                    <w:rPr>
                      <w:rFonts w:hint="eastAsia" w:ascii="Times New Roman" w:hAnsi="Times New Roman" w:eastAsia="宋体" w:cs="Times New Roman"/>
                      <w:b w:val="0"/>
                      <w:bCs w:val="0"/>
                      <w:color w:val="0000FF"/>
                      <w:szCs w:val="21"/>
                      <w:highlight w:val="none"/>
                      <w:lang w:val="en-US" w:eastAsia="zh-CN"/>
                    </w:rPr>
                    <w:t>/</w:t>
                  </w:r>
                </w:p>
              </w:tc>
            </w:tr>
            <w:tr w14:paraId="5C419F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291" w:type="pct"/>
                  <w:shd w:val="clear" w:color="auto" w:fill="auto"/>
                  <w:vAlign w:val="center"/>
                </w:tcPr>
                <w:p w14:paraId="3341DEC0">
                  <w:pPr>
                    <w:keepNext w:val="0"/>
                    <w:keepLines w:val="0"/>
                    <w:suppressLineNumbers w:val="0"/>
                    <w:spacing w:before="0" w:beforeAutospacing="0" w:after="0" w:afterAutospacing="0"/>
                    <w:ind w:left="0" w:right="0"/>
                    <w:jc w:val="center"/>
                    <w:rPr>
                      <w:rFonts w:hint="default" w:ascii="Times New Roman" w:hAnsi="Times New Roman" w:eastAsia="宋体" w:cs="Times New Roman"/>
                      <w:b w:val="0"/>
                      <w:bCs w:val="0"/>
                      <w:color w:val="0000FF"/>
                      <w:szCs w:val="21"/>
                      <w:highlight w:val="none"/>
                      <w:lang w:val="en-US" w:eastAsia="zh-CN"/>
                    </w:rPr>
                  </w:pPr>
                  <w:r>
                    <w:rPr>
                      <w:rFonts w:hint="eastAsia" w:ascii="Times New Roman" w:hAnsi="Times New Roman" w:eastAsia="宋体" w:cs="Times New Roman"/>
                      <w:b w:val="0"/>
                      <w:bCs w:val="0"/>
                      <w:color w:val="0000FF"/>
                      <w:szCs w:val="21"/>
                      <w:highlight w:val="none"/>
                      <w:lang w:val="en-US" w:eastAsia="zh-CN"/>
                    </w:rPr>
                    <w:t>65</w:t>
                  </w:r>
                </w:p>
              </w:tc>
              <w:tc>
                <w:tcPr>
                  <w:tcW w:w="394" w:type="pct"/>
                  <w:vMerge w:val="continue"/>
                  <w:vAlign w:val="center"/>
                </w:tcPr>
                <w:p w14:paraId="49946CE5">
                  <w:pPr>
                    <w:keepNext w:val="0"/>
                    <w:keepLines w:val="0"/>
                    <w:suppressLineNumbers w:val="0"/>
                    <w:spacing w:before="0" w:beforeAutospacing="0" w:after="0" w:afterAutospacing="0"/>
                    <w:ind w:left="0" w:right="0"/>
                    <w:jc w:val="center"/>
                    <w:rPr>
                      <w:rFonts w:hint="default" w:ascii="Times New Roman" w:hAnsi="Times New Roman" w:eastAsia="宋体" w:cs="Times New Roman"/>
                      <w:b w:val="0"/>
                      <w:bCs w:val="0"/>
                      <w:color w:val="0000FF"/>
                      <w:szCs w:val="21"/>
                      <w:highlight w:val="none"/>
                    </w:rPr>
                  </w:pPr>
                </w:p>
              </w:tc>
              <w:tc>
                <w:tcPr>
                  <w:tcW w:w="660" w:type="pct"/>
                  <w:shd w:val="clear" w:color="auto" w:fill="auto"/>
                  <w:vAlign w:val="center"/>
                </w:tcPr>
                <w:p w14:paraId="1255C70A">
                  <w:pPr>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color w:val="0000FF"/>
                      <w:kern w:val="2"/>
                      <w:sz w:val="21"/>
                      <w:szCs w:val="21"/>
                      <w:lang w:val="en-US" w:eastAsia="zh-CN" w:bidi="ar-SA"/>
                    </w:rPr>
                  </w:pPr>
                  <w:r>
                    <w:rPr>
                      <w:rFonts w:hint="default" w:ascii="Times New Roman" w:hAnsi="Times New Roman" w:eastAsia="宋体" w:cs="Times New Roman"/>
                      <w:color w:val="0000FF"/>
                      <w:szCs w:val="21"/>
                    </w:rPr>
                    <w:t>智能白度测定仪</w:t>
                  </w:r>
                </w:p>
              </w:tc>
              <w:tc>
                <w:tcPr>
                  <w:tcW w:w="766" w:type="pct"/>
                  <w:shd w:val="clear" w:color="auto" w:fill="auto"/>
                  <w:vAlign w:val="center"/>
                </w:tcPr>
                <w:p w14:paraId="424F4043">
                  <w:pPr>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color w:val="0000FF"/>
                      <w:kern w:val="2"/>
                      <w:sz w:val="21"/>
                      <w:szCs w:val="21"/>
                      <w:lang w:val="en-US" w:eastAsia="zh-CN" w:bidi="ar-SA"/>
                    </w:rPr>
                  </w:pPr>
                  <w:r>
                    <w:rPr>
                      <w:rFonts w:hint="default" w:ascii="Times New Roman" w:hAnsi="Times New Roman" w:eastAsia="宋体" w:cs="Times New Roman"/>
                      <w:color w:val="0000FF"/>
                      <w:szCs w:val="21"/>
                    </w:rPr>
                    <w:t>OD01-01</w:t>
                  </w:r>
                </w:p>
              </w:tc>
              <w:tc>
                <w:tcPr>
                  <w:tcW w:w="483" w:type="pct"/>
                  <w:shd w:val="clear" w:color="auto" w:fill="auto"/>
                  <w:vAlign w:val="center"/>
                </w:tcPr>
                <w:p w14:paraId="4E334D55">
                  <w:pPr>
                    <w:keepNext w:val="0"/>
                    <w:keepLines w:val="0"/>
                    <w:suppressLineNumbers w:val="0"/>
                    <w:spacing w:before="0" w:beforeAutospacing="0" w:after="0" w:afterAutospacing="0"/>
                    <w:ind w:left="0" w:leftChars="0" w:right="0" w:rightChars="0"/>
                    <w:jc w:val="center"/>
                    <w:rPr>
                      <w:rFonts w:hint="eastAsia" w:ascii="Times New Roman" w:hAnsi="Times New Roman" w:eastAsia="宋体" w:cs="Times New Roman"/>
                      <w:color w:val="0000FF"/>
                      <w:kern w:val="2"/>
                      <w:sz w:val="21"/>
                      <w:szCs w:val="21"/>
                      <w:lang w:val="en-US" w:eastAsia="zh-CN" w:bidi="ar-SA"/>
                    </w:rPr>
                  </w:pPr>
                  <w:r>
                    <w:rPr>
                      <w:rFonts w:hint="default" w:ascii="Times New Roman" w:hAnsi="Times New Roman" w:eastAsia="宋体" w:cs="Times New Roman"/>
                      <w:color w:val="0000FF"/>
                      <w:szCs w:val="21"/>
                    </w:rPr>
                    <w:t>1</w:t>
                  </w:r>
                </w:p>
              </w:tc>
              <w:tc>
                <w:tcPr>
                  <w:tcW w:w="417" w:type="pct"/>
                  <w:shd w:val="clear" w:color="auto" w:fill="auto"/>
                  <w:vAlign w:val="center"/>
                </w:tcPr>
                <w:p w14:paraId="4F951AD8">
                  <w:pPr>
                    <w:keepNext w:val="0"/>
                    <w:keepLines w:val="0"/>
                    <w:suppressLineNumbers w:val="0"/>
                    <w:spacing w:before="0" w:beforeAutospacing="0" w:after="0" w:afterAutospacing="0"/>
                    <w:ind w:left="0" w:leftChars="0" w:right="0" w:rightChars="0"/>
                    <w:jc w:val="center"/>
                    <w:rPr>
                      <w:rFonts w:hint="eastAsia" w:ascii="Times New Roman" w:hAnsi="Times New Roman" w:eastAsia="宋体" w:cs="Times New Roman"/>
                      <w:color w:val="0000FF"/>
                      <w:kern w:val="2"/>
                      <w:sz w:val="21"/>
                      <w:szCs w:val="21"/>
                      <w:lang w:val="en-US" w:eastAsia="zh-CN" w:bidi="ar-SA"/>
                    </w:rPr>
                  </w:pPr>
                  <w:r>
                    <w:rPr>
                      <w:rFonts w:hint="default" w:ascii="Times New Roman" w:hAnsi="Times New Roman" w:eastAsia="宋体" w:cs="Times New Roman"/>
                      <w:color w:val="0000FF"/>
                      <w:szCs w:val="21"/>
                    </w:rPr>
                    <w:t>1</w:t>
                  </w:r>
                </w:p>
              </w:tc>
              <w:tc>
                <w:tcPr>
                  <w:tcW w:w="592" w:type="pct"/>
                  <w:shd w:val="clear" w:color="auto" w:fill="auto"/>
                  <w:vAlign w:val="center"/>
                </w:tcPr>
                <w:p w14:paraId="54026E12">
                  <w:pPr>
                    <w:keepNext w:val="0"/>
                    <w:keepLines w:val="0"/>
                    <w:suppressLineNumbers w:val="0"/>
                    <w:spacing w:before="0" w:beforeAutospacing="0" w:after="0" w:afterAutospacing="0"/>
                    <w:ind w:left="0" w:leftChars="0" w:right="0" w:rightChars="0"/>
                    <w:jc w:val="center"/>
                    <w:rPr>
                      <w:rFonts w:hint="eastAsia" w:ascii="Times New Roman" w:hAnsi="Times New Roman" w:eastAsia="宋体" w:cs="Times New Roman"/>
                      <w:color w:val="0000FF"/>
                      <w:kern w:val="2"/>
                      <w:sz w:val="21"/>
                      <w:szCs w:val="21"/>
                      <w:lang w:val="en-US" w:eastAsia="zh-CN" w:bidi="ar-SA"/>
                    </w:rPr>
                  </w:pPr>
                  <w:r>
                    <w:rPr>
                      <w:rFonts w:hint="default" w:ascii="Times New Roman" w:hAnsi="Times New Roman" w:eastAsia="宋体" w:cs="Times New Roman"/>
                      <w:color w:val="0000FF"/>
                      <w:szCs w:val="21"/>
                    </w:rPr>
                    <w:t>1</w:t>
                  </w:r>
                </w:p>
              </w:tc>
              <w:tc>
                <w:tcPr>
                  <w:tcW w:w="537" w:type="pct"/>
                  <w:shd w:val="clear" w:color="auto" w:fill="auto"/>
                  <w:vAlign w:val="center"/>
                </w:tcPr>
                <w:p w14:paraId="0F23B203">
                  <w:pPr>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color w:val="0000FF"/>
                      <w:kern w:val="2"/>
                      <w:sz w:val="21"/>
                      <w:szCs w:val="21"/>
                      <w:lang w:val="en-US" w:eastAsia="zh-CN" w:bidi="ar-SA"/>
                    </w:rPr>
                  </w:pPr>
                  <w:r>
                    <w:rPr>
                      <w:rFonts w:hint="default" w:ascii="Times New Roman" w:hAnsi="Times New Roman" w:eastAsia="宋体" w:cs="Times New Roman"/>
                      <w:color w:val="0000FF"/>
                      <w:szCs w:val="21"/>
                    </w:rPr>
                    <w:t>0</w:t>
                  </w:r>
                </w:p>
              </w:tc>
              <w:tc>
                <w:tcPr>
                  <w:tcW w:w="536" w:type="pct"/>
                  <w:gridSpan w:val="2"/>
                  <w:vMerge w:val="continue"/>
                  <w:vAlign w:val="center"/>
                </w:tcPr>
                <w:p w14:paraId="0FF8A15A">
                  <w:pPr>
                    <w:keepNext w:val="0"/>
                    <w:keepLines w:val="0"/>
                    <w:suppressLineNumbers w:val="0"/>
                    <w:spacing w:before="0" w:beforeAutospacing="0" w:after="0" w:afterAutospacing="0"/>
                    <w:ind w:left="0" w:right="0"/>
                    <w:jc w:val="center"/>
                    <w:rPr>
                      <w:rFonts w:hint="eastAsia" w:ascii="Times New Roman" w:hAnsi="Times New Roman" w:eastAsia="宋体" w:cs="Times New Roman"/>
                      <w:b w:val="0"/>
                      <w:bCs w:val="0"/>
                      <w:color w:val="0000FF"/>
                      <w:szCs w:val="21"/>
                      <w:highlight w:val="none"/>
                      <w:lang w:val="en-US" w:eastAsia="zh-CN"/>
                    </w:rPr>
                  </w:pPr>
                </w:p>
              </w:tc>
              <w:tc>
                <w:tcPr>
                  <w:tcW w:w="320" w:type="pct"/>
                  <w:vAlign w:val="center"/>
                </w:tcPr>
                <w:p w14:paraId="5E79587C">
                  <w:pPr>
                    <w:keepNext w:val="0"/>
                    <w:keepLines w:val="0"/>
                    <w:suppressLineNumbers w:val="0"/>
                    <w:spacing w:before="0" w:beforeAutospacing="0" w:after="0" w:afterAutospacing="0"/>
                    <w:ind w:left="0" w:right="0"/>
                    <w:jc w:val="center"/>
                    <w:rPr>
                      <w:rFonts w:hint="default" w:ascii="Times New Roman" w:hAnsi="Times New Roman" w:eastAsia="宋体" w:cs="Times New Roman"/>
                      <w:b w:val="0"/>
                      <w:bCs w:val="0"/>
                      <w:color w:val="0000FF"/>
                      <w:szCs w:val="21"/>
                      <w:highlight w:val="none"/>
                    </w:rPr>
                  </w:pPr>
                  <w:r>
                    <w:rPr>
                      <w:rFonts w:hint="eastAsia" w:ascii="Times New Roman" w:hAnsi="Times New Roman" w:eastAsia="宋体" w:cs="Times New Roman"/>
                      <w:b w:val="0"/>
                      <w:bCs w:val="0"/>
                      <w:color w:val="0000FF"/>
                      <w:szCs w:val="21"/>
                      <w:highlight w:val="none"/>
                      <w:lang w:val="en-US" w:eastAsia="zh-CN"/>
                    </w:rPr>
                    <w:t>/</w:t>
                  </w:r>
                </w:p>
              </w:tc>
            </w:tr>
            <w:tr w14:paraId="7DE531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291" w:type="pct"/>
                  <w:shd w:val="clear" w:color="auto" w:fill="auto"/>
                  <w:vAlign w:val="center"/>
                </w:tcPr>
                <w:p w14:paraId="165FC821">
                  <w:pPr>
                    <w:keepNext w:val="0"/>
                    <w:keepLines w:val="0"/>
                    <w:suppressLineNumbers w:val="0"/>
                    <w:spacing w:before="0" w:beforeAutospacing="0" w:after="0" w:afterAutospacing="0"/>
                    <w:ind w:left="0" w:right="0"/>
                    <w:jc w:val="center"/>
                    <w:rPr>
                      <w:rFonts w:hint="default" w:ascii="Times New Roman" w:hAnsi="Times New Roman" w:eastAsia="宋体" w:cs="Times New Roman"/>
                      <w:b w:val="0"/>
                      <w:bCs w:val="0"/>
                      <w:color w:val="0000FF"/>
                      <w:szCs w:val="21"/>
                      <w:highlight w:val="none"/>
                      <w:lang w:val="en-US" w:eastAsia="zh-CN"/>
                    </w:rPr>
                  </w:pPr>
                  <w:r>
                    <w:rPr>
                      <w:rFonts w:hint="eastAsia" w:ascii="Times New Roman" w:hAnsi="Times New Roman" w:eastAsia="宋体" w:cs="Times New Roman"/>
                      <w:b w:val="0"/>
                      <w:bCs w:val="0"/>
                      <w:color w:val="0000FF"/>
                      <w:szCs w:val="21"/>
                      <w:highlight w:val="none"/>
                      <w:lang w:val="en-US" w:eastAsia="zh-CN"/>
                    </w:rPr>
                    <w:t>66</w:t>
                  </w:r>
                </w:p>
              </w:tc>
              <w:tc>
                <w:tcPr>
                  <w:tcW w:w="394" w:type="pct"/>
                  <w:vMerge w:val="continue"/>
                  <w:vAlign w:val="center"/>
                </w:tcPr>
                <w:p w14:paraId="5309CC0E">
                  <w:pPr>
                    <w:keepNext w:val="0"/>
                    <w:keepLines w:val="0"/>
                    <w:suppressLineNumbers w:val="0"/>
                    <w:spacing w:before="0" w:beforeAutospacing="0" w:after="0" w:afterAutospacing="0"/>
                    <w:ind w:left="0" w:right="0"/>
                    <w:jc w:val="center"/>
                    <w:rPr>
                      <w:rFonts w:hint="default" w:ascii="Times New Roman" w:hAnsi="Times New Roman" w:eastAsia="宋体" w:cs="Times New Roman"/>
                      <w:b w:val="0"/>
                      <w:bCs w:val="0"/>
                      <w:color w:val="0000FF"/>
                      <w:szCs w:val="21"/>
                      <w:highlight w:val="none"/>
                    </w:rPr>
                  </w:pPr>
                </w:p>
              </w:tc>
              <w:tc>
                <w:tcPr>
                  <w:tcW w:w="660" w:type="pct"/>
                  <w:shd w:val="clear" w:color="auto" w:fill="auto"/>
                  <w:vAlign w:val="center"/>
                </w:tcPr>
                <w:p w14:paraId="6B693ED1">
                  <w:pPr>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color w:val="0000FF"/>
                      <w:kern w:val="2"/>
                      <w:sz w:val="21"/>
                      <w:szCs w:val="21"/>
                      <w:lang w:val="en-US" w:eastAsia="zh-CN" w:bidi="ar-SA"/>
                    </w:rPr>
                  </w:pPr>
                  <w:r>
                    <w:rPr>
                      <w:rFonts w:hint="default" w:ascii="Times New Roman" w:hAnsi="Times New Roman" w:eastAsia="宋体" w:cs="Times New Roman"/>
                      <w:color w:val="0000FF"/>
                      <w:szCs w:val="21"/>
                    </w:rPr>
                    <w:t>厚漆、腻子稠度测定计</w:t>
                  </w:r>
                </w:p>
              </w:tc>
              <w:tc>
                <w:tcPr>
                  <w:tcW w:w="766" w:type="pct"/>
                  <w:shd w:val="clear" w:color="auto" w:fill="auto"/>
                  <w:vAlign w:val="center"/>
                </w:tcPr>
                <w:p w14:paraId="7975780B">
                  <w:pPr>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color w:val="0000FF"/>
                      <w:kern w:val="2"/>
                      <w:sz w:val="21"/>
                      <w:szCs w:val="21"/>
                      <w:lang w:val="en-US" w:eastAsia="zh-CN" w:bidi="ar-SA"/>
                    </w:rPr>
                  </w:pPr>
                  <w:r>
                    <w:rPr>
                      <w:rFonts w:hint="default" w:ascii="Times New Roman" w:hAnsi="Times New Roman" w:eastAsia="宋体" w:cs="Times New Roman"/>
                      <w:color w:val="0000FF"/>
                      <w:szCs w:val="21"/>
                    </w:rPr>
                    <w:t>QC01-01</w:t>
                  </w:r>
                </w:p>
              </w:tc>
              <w:tc>
                <w:tcPr>
                  <w:tcW w:w="483" w:type="pct"/>
                  <w:shd w:val="clear" w:color="auto" w:fill="auto"/>
                  <w:vAlign w:val="center"/>
                </w:tcPr>
                <w:p w14:paraId="3BCDEE3E">
                  <w:pPr>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color w:val="0000FF"/>
                      <w:kern w:val="2"/>
                      <w:sz w:val="21"/>
                      <w:szCs w:val="21"/>
                      <w:lang w:val="en-US" w:eastAsia="zh-CN" w:bidi="ar-SA"/>
                    </w:rPr>
                  </w:pPr>
                  <w:r>
                    <w:rPr>
                      <w:rFonts w:hint="default" w:ascii="Times New Roman" w:hAnsi="Times New Roman" w:eastAsia="宋体" w:cs="Times New Roman"/>
                      <w:color w:val="0000FF"/>
                      <w:szCs w:val="21"/>
                    </w:rPr>
                    <w:t>1</w:t>
                  </w:r>
                </w:p>
              </w:tc>
              <w:tc>
                <w:tcPr>
                  <w:tcW w:w="417" w:type="pct"/>
                  <w:shd w:val="clear" w:color="auto" w:fill="auto"/>
                  <w:vAlign w:val="center"/>
                </w:tcPr>
                <w:p w14:paraId="21690C65">
                  <w:pPr>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color w:val="0000FF"/>
                      <w:kern w:val="2"/>
                      <w:sz w:val="21"/>
                      <w:szCs w:val="21"/>
                      <w:lang w:val="en-US" w:eastAsia="zh-CN" w:bidi="ar-SA"/>
                    </w:rPr>
                  </w:pPr>
                  <w:r>
                    <w:rPr>
                      <w:rFonts w:hint="default" w:ascii="Times New Roman" w:hAnsi="Times New Roman" w:eastAsia="宋体" w:cs="Times New Roman"/>
                      <w:color w:val="0000FF"/>
                      <w:szCs w:val="21"/>
                    </w:rPr>
                    <w:t>1</w:t>
                  </w:r>
                </w:p>
              </w:tc>
              <w:tc>
                <w:tcPr>
                  <w:tcW w:w="592" w:type="pct"/>
                  <w:shd w:val="clear" w:color="auto" w:fill="auto"/>
                  <w:vAlign w:val="center"/>
                </w:tcPr>
                <w:p w14:paraId="06E1F6DD">
                  <w:pPr>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color w:val="0000FF"/>
                      <w:kern w:val="2"/>
                      <w:sz w:val="21"/>
                      <w:szCs w:val="21"/>
                      <w:lang w:val="en-US" w:eastAsia="zh-CN" w:bidi="ar-SA"/>
                    </w:rPr>
                  </w:pPr>
                  <w:r>
                    <w:rPr>
                      <w:rFonts w:hint="default" w:ascii="Times New Roman" w:hAnsi="Times New Roman" w:eastAsia="宋体" w:cs="Times New Roman"/>
                      <w:color w:val="0000FF"/>
                      <w:szCs w:val="21"/>
                    </w:rPr>
                    <w:t>1</w:t>
                  </w:r>
                </w:p>
              </w:tc>
              <w:tc>
                <w:tcPr>
                  <w:tcW w:w="537" w:type="pct"/>
                  <w:shd w:val="clear" w:color="auto" w:fill="auto"/>
                  <w:vAlign w:val="center"/>
                </w:tcPr>
                <w:p w14:paraId="64C9C76F">
                  <w:pPr>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color w:val="0000FF"/>
                      <w:kern w:val="2"/>
                      <w:sz w:val="21"/>
                      <w:szCs w:val="21"/>
                      <w:lang w:val="en-US" w:eastAsia="zh-CN" w:bidi="ar-SA"/>
                    </w:rPr>
                  </w:pPr>
                  <w:r>
                    <w:rPr>
                      <w:rFonts w:hint="default" w:ascii="Times New Roman" w:hAnsi="Times New Roman" w:eastAsia="宋体" w:cs="Times New Roman"/>
                      <w:color w:val="0000FF"/>
                      <w:szCs w:val="21"/>
                    </w:rPr>
                    <w:t>0</w:t>
                  </w:r>
                </w:p>
              </w:tc>
              <w:tc>
                <w:tcPr>
                  <w:tcW w:w="536" w:type="pct"/>
                  <w:gridSpan w:val="2"/>
                  <w:vMerge w:val="continue"/>
                  <w:vAlign w:val="center"/>
                </w:tcPr>
                <w:p w14:paraId="4856B2A7">
                  <w:pPr>
                    <w:keepNext w:val="0"/>
                    <w:keepLines w:val="0"/>
                    <w:suppressLineNumbers w:val="0"/>
                    <w:spacing w:before="0" w:beforeAutospacing="0" w:after="0" w:afterAutospacing="0"/>
                    <w:ind w:left="0" w:right="0"/>
                    <w:jc w:val="center"/>
                    <w:rPr>
                      <w:rFonts w:hint="eastAsia" w:ascii="Times New Roman" w:hAnsi="Times New Roman" w:eastAsia="宋体" w:cs="Times New Roman"/>
                      <w:b w:val="0"/>
                      <w:bCs w:val="0"/>
                      <w:color w:val="0000FF"/>
                      <w:szCs w:val="21"/>
                      <w:highlight w:val="none"/>
                      <w:lang w:val="en-US" w:eastAsia="zh-CN"/>
                    </w:rPr>
                  </w:pPr>
                </w:p>
              </w:tc>
              <w:tc>
                <w:tcPr>
                  <w:tcW w:w="320" w:type="pct"/>
                  <w:vAlign w:val="center"/>
                </w:tcPr>
                <w:p w14:paraId="4361EBBD">
                  <w:pPr>
                    <w:keepNext w:val="0"/>
                    <w:keepLines w:val="0"/>
                    <w:suppressLineNumbers w:val="0"/>
                    <w:spacing w:before="0" w:beforeAutospacing="0" w:after="0" w:afterAutospacing="0"/>
                    <w:ind w:left="0" w:right="0"/>
                    <w:jc w:val="center"/>
                    <w:rPr>
                      <w:rFonts w:hint="default" w:ascii="Times New Roman" w:hAnsi="Times New Roman" w:eastAsia="宋体" w:cs="Times New Roman"/>
                      <w:b w:val="0"/>
                      <w:bCs w:val="0"/>
                      <w:color w:val="0000FF"/>
                      <w:szCs w:val="21"/>
                      <w:highlight w:val="none"/>
                    </w:rPr>
                  </w:pPr>
                  <w:r>
                    <w:rPr>
                      <w:rFonts w:hint="eastAsia" w:ascii="Times New Roman" w:hAnsi="Times New Roman" w:eastAsia="宋体" w:cs="Times New Roman"/>
                      <w:b w:val="0"/>
                      <w:bCs w:val="0"/>
                      <w:color w:val="0000FF"/>
                      <w:szCs w:val="21"/>
                      <w:highlight w:val="none"/>
                      <w:lang w:val="en-US" w:eastAsia="zh-CN"/>
                    </w:rPr>
                    <w:t>/</w:t>
                  </w:r>
                </w:p>
              </w:tc>
            </w:tr>
            <w:tr w14:paraId="467950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291" w:type="pct"/>
                  <w:shd w:val="clear" w:color="auto" w:fill="auto"/>
                  <w:vAlign w:val="center"/>
                </w:tcPr>
                <w:p w14:paraId="4BAB80E2">
                  <w:pPr>
                    <w:keepNext w:val="0"/>
                    <w:keepLines w:val="0"/>
                    <w:suppressLineNumbers w:val="0"/>
                    <w:spacing w:before="0" w:beforeAutospacing="0" w:after="0" w:afterAutospacing="0"/>
                    <w:ind w:left="0" w:right="0"/>
                    <w:jc w:val="center"/>
                    <w:rPr>
                      <w:rFonts w:hint="default" w:ascii="Times New Roman" w:hAnsi="Times New Roman" w:eastAsia="宋体" w:cs="Times New Roman"/>
                      <w:b w:val="0"/>
                      <w:bCs w:val="0"/>
                      <w:color w:val="0000FF"/>
                      <w:szCs w:val="21"/>
                      <w:highlight w:val="none"/>
                      <w:lang w:val="en-US" w:eastAsia="zh-CN"/>
                    </w:rPr>
                  </w:pPr>
                  <w:r>
                    <w:rPr>
                      <w:rFonts w:hint="eastAsia" w:ascii="Times New Roman" w:hAnsi="Times New Roman" w:eastAsia="宋体" w:cs="Times New Roman"/>
                      <w:b w:val="0"/>
                      <w:bCs w:val="0"/>
                      <w:color w:val="0000FF"/>
                      <w:szCs w:val="21"/>
                      <w:highlight w:val="none"/>
                      <w:lang w:val="en-US" w:eastAsia="zh-CN"/>
                    </w:rPr>
                    <w:t>67</w:t>
                  </w:r>
                </w:p>
              </w:tc>
              <w:tc>
                <w:tcPr>
                  <w:tcW w:w="394" w:type="pct"/>
                  <w:vMerge w:val="continue"/>
                  <w:vAlign w:val="center"/>
                </w:tcPr>
                <w:p w14:paraId="4CC50A23">
                  <w:pPr>
                    <w:keepNext w:val="0"/>
                    <w:keepLines w:val="0"/>
                    <w:suppressLineNumbers w:val="0"/>
                    <w:spacing w:before="0" w:beforeAutospacing="0" w:after="0" w:afterAutospacing="0"/>
                    <w:ind w:left="0" w:right="0"/>
                    <w:jc w:val="center"/>
                    <w:rPr>
                      <w:rFonts w:hint="default" w:ascii="Times New Roman" w:hAnsi="Times New Roman" w:eastAsia="宋体" w:cs="Times New Roman"/>
                      <w:b w:val="0"/>
                      <w:bCs w:val="0"/>
                      <w:color w:val="0000FF"/>
                      <w:szCs w:val="21"/>
                      <w:highlight w:val="none"/>
                    </w:rPr>
                  </w:pPr>
                </w:p>
              </w:tc>
              <w:tc>
                <w:tcPr>
                  <w:tcW w:w="660" w:type="pct"/>
                  <w:vMerge w:val="restart"/>
                  <w:shd w:val="clear" w:color="auto" w:fill="auto"/>
                  <w:vAlign w:val="center"/>
                </w:tcPr>
                <w:p w14:paraId="080D6B04">
                  <w:pPr>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color w:val="0000FF"/>
                      <w:kern w:val="2"/>
                      <w:sz w:val="21"/>
                      <w:szCs w:val="21"/>
                      <w:lang w:val="en-US" w:eastAsia="zh-CN" w:bidi="ar-SA"/>
                    </w:rPr>
                  </w:pPr>
                  <w:r>
                    <w:rPr>
                      <w:rFonts w:hint="default" w:ascii="Times New Roman" w:hAnsi="Times New Roman" w:eastAsia="宋体" w:cs="Times New Roman"/>
                      <w:color w:val="0000FF"/>
                      <w:szCs w:val="21"/>
                    </w:rPr>
                    <w:t>电子万能实验机</w:t>
                  </w:r>
                </w:p>
              </w:tc>
              <w:tc>
                <w:tcPr>
                  <w:tcW w:w="766" w:type="pct"/>
                  <w:shd w:val="clear" w:color="auto" w:fill="auto"/>
                  <w:vAlign w:val="center"/>
                </w:tcPr>
                <w:p w14:paraId="65CD58DD">
                  <w:pPr>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color w:val="0000FF"/>
                      <w:kern w:val="2"/>
                      <w:sz w:val="21"/>
                      <w:szCs w:val="21"/>
                      <w:lang w:val="en-US" w:eastAsia="zh-CN" w:bidi="ar-SA"/>
                    </w:rPr>
                  </w:pPr>
                  <w:r>
                    <w:rPr>
                      <w:rFonts w:hint="default" w:ascii="Times New Roman" w:hAnsi="Times New Roman" w:eastAsia="宋体" w:cs="Times New Roman"/>
                      <w:color w:val="0000FF"/>
                      <w:szCs w:val="21"/>
                    </w:rPr>
                    <w:t>QJ210A-500N、100N</w:t>
                  </w:r>
                </w:p>
              </w:tc>
              <w:tc>
                <w:tcPr>
                  <w:tcW w:w="483" w:type="pct"/>
                  <w:shd w:val="clear" w:color="auto" w:fill="auto"/>
                  <w:vAlign w:val="center"/>
                </w:tcPr>
                <w:p w14:paraId="2CB9AC1F">
                  <w:pPr>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color w:val="0000FF"/>
                      <w:kern w:val="2"/>
                      <w:sz w:val="21"/>
                      <w:szCs w:val="21"/>
                      <w:lang w:val="en-US" w:eastAsia="zh-CN" w:bidi="ar-SA"/>
                    </w:rPr>
                  </w:pPr>
                  <w:r>
                    <w:rPr>
                      <w:rFonts w:hint="default" w:ascii="Times New Roman" w:hAnsi="Times New Roman" w:eastAsia="宋体" w:cs="Times New Roman"/>
                      <w:color w:val="0000FF"/>
                      <w:szCs w:val="21"/>
                    </w:rPr>
                    <w:t>2</w:t>
                  </w:r>
                </w:p>
              </w:tc>
              <w:tc>
                <w:tcPr>
                  <w:tcW w:w="417" w:type="pct"/>
                  <w:shd w:val="clear" w:color="auto" w:fill="auto"/>
                  <w:vAlign w:val="center"/>
                </w:tcPr>
                <w:p w14:paraId="4B852E7B">
                  <w:pPr>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color w:val="0000FF"/>
                      <w:kern w:val="2"/>
                      <w:sz w:val="21"/>
                      <w:szCs w:val="21"/>
                      <w:lang w:val="en-US" w:eastAsia="zh-CN" w:bidi="ar-SA"/>
                    </w:rPr>
                  </w:pPr>
                  <w:r>
                    <w:rPr>
                      <w:rFonts w:hint="default" w:ascii="Times New Roman" w:hAnsi="Times New Roman" w:eastAsia="宋体" w:cs="Times New Roman"/>
                      <w:color w:val="0000FF"/>
                      <w:szCs w:val="21"/>
                    </w:rPr>
                    <w:t>2</w:t>
                  </w:r>
                </w:p>
              </w:tc>
              <w:tc>
                <w:tcPr>
                  <w:tcW w:w="592" w:type="pct"/>
                  <w:shd w:val="clear" w:color="auto" w:fill="auto"/>
                  <w:vAlign w:val="center"/>
                </w:tcPr>
                <w:p w14:paraId="71A100E4">
                  <w:pPr>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color w:val="0000FF"/>
                      <w:kern w:val="2"/>
                      <w:sz w:val="21"/>
                      <w:szCs w:val="21"/>
                      <w:lang w:val="en-US" w:eastAsia="zh-CN" w:bidi="ar-SA"/>
                    </w:rPr>
                  </w:pPr>
                  <w:r>
                    <w:rPr>
                      <w:rFonts w:hint="default" w:ascii="Times New Roman" w:hAnsi="Times New Roman" w:eastAsia="宋体" w:cs="Times New Roman"/>
                      <w:color w:val="0000FF"/>
                      <w:szCs w:val="21"/>
                    </w:rPr>
                    <w:t>2</w:t>
                  </w:r>
                </w:p>
              </w:tc>
              <w:tc>
                <w:tcPr>
                  <w:tcW w:w="537" w:type="pct"/>
                  <w:shd w:val="clear" w:color="auto" w:fill="auto"/>
                  <w:vAlign w:val="center"/>
                </w:tcPr>
                <w:p w14:paraId="3E4FD022">
                  <w:pPr>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color w:val="0000FF"/>
                      <w:kern w:val="2"/>
                      <w:sz w:val="21"/>
                      <w:szCs w:val="21"/>
                      <w:lang w:val="en-US" w:eastAsia="zh-CN" w:bidi="ar-SA"/>
                    </w:rPr>
                  </w:pPr>
                  <w:r>
                    <w:rPr>
                      <w:rFonts w:hint="default" w:ascii="Times New Roman" w:hAnsi="Times New Roman" w:eastAsia="宋体" w:cs="Times New Roman"/>
                      <w:color w:val="0000FF"/>
                      <w:szCs w:val="21"/>
                    </w:rPr>
                    <w:t>0</w:t>
                  </w:r>
                </w:p>
              </w:tc>
              <w:tc>
                <w:tcPr>
                  <w:tcW w:w="536" w:type="pct"/>
                  <w:gridSpan w:val="2"/>
                  <w:vMerge w:val="continue"/>
                  <w:vAlign w:val="center"/>
                </w:tcPr>
                <w:p w14:paraId="36704201">
                  <w:pPr>
                    <w:keepNext w:val="0"/>
                    <w:keepLines w:val="0"/>
                    <w:suppressLineNumbers w:val="0"/>
                    <w:spacing w:before="0" w:beforeAutospacing="0" w:after="0" w:afterAutospacing="0"/>
                    <w:ind w:left="0" w:right="0"/>
                    <w:jc w:val="center"/>
                    <w:rPr>
                      <w:rFonts w:hint="eastAsia" w:ascii="Times New Roman" w:hAnsi="Times New Roman" w:eastAsia="宋体" w:cs="Times New Roman"/>
                      <w:b w:val="0"/>
                      <w:bCs w:val="0"/>
                      <w:color w:val="0000FF"/>
                      <w:szCs w:val="21"/>
                      <w:highlight w:val="none"/>
                      <w:lang w:val="en-US" w:eastAsia="zh-CN"/>
                    </w:rPr>
                  </w:pPr>
                </w:p>
              </w:tc>
              <w:tc>
                <w:tcPr>
                  <w:tcW w:w="320" w:type="pct"/>
                  <w:vAlign w:val="center"/>
                </w:tcPr>
                <w:p w14:paraId="6D1B8B4C">
                  <w:pPr>
                    <w:keepNext w:val="0"/>
                    <w:keepLines w:val="0"/>
                    <w:suppressLineNumbers w:val="0"/>
                    <w:spacing w:before="0" w:beforeAutospacing="0" w:after="0" w:afterAutospacing="0"/>
                    <w:ind w:left="0" w:right="0"/>
                    <w:jc w:val="center"/>
                    <w:rPr>
                      <w:rFonts w:hint="default" w:ascii="Times New Roman" w:hAnsi="Times New Roman" w:eastAsia="宋体" w:cs="Times New Roman"/>
                      <w:b w:val="0"/>
                      <w:bCs w:val="0"/>
                      <w:color w:val="0000FF"/>
                      <w:szCs w:val="21"/>
                      <w:highlight w:val="none"/>
                    </w:rPr>
                  </w:pPr>
                  <w:r>
                    <w:rPr>
                      <w:rFonts w:hint="eastAsia" w:ascii="Times New Roman" w:hAnsi="Times New Roman" w:eastAsia="宋体" w:cs="Times New Roman"/>
                      <w:b w:val="0"/>
                      <w:bCs w:val="0"/>
                      <w:color w:val="0000FF"/>
                      <w:szCs w:val="21"/>
                      <w:highlight w:val="none"/>
                      <w:lang w:val="en-US" w:eastAsia="zh-CN"/>
                    </w:rPr>
                    <w:t>/</w:t>
                  </w:r>
                </w:p>
              </w:tc>
            </w:tr>
            <w:tr w14:paraId="745C57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291" w:type="pct"/>
                  <w:shd w:val="clear" w:color="auto" w:fill="auto"/>
                  <w:vAlign w:val="center"/>
                </w:tcPr>
                <w:p w14:paraId="612309B7">
                  <w:pPr>
                    <w:keepNext w:val="0"/>
                    <w:keepLines w:val="0"/>
                    <w:suppressLineNumbers w:val="0"/>
                    <w:spacing w:before="0" w:beforeAutospacing="0" w:after="0" w:afterAutospacing="0"/>
                    <w:ind w:left="0" w:right="0"/>
                    <w:jc w:val="center"/>
                    <w:rPr>
                      <w:rFonts w:hint="default" w:ascii="Times New Roman" w:hAnsi="Times New Roman" w:eastAsia="宋体" w:cs="Times New Roman"/>
                      <w:b w:val="0"/>
                      <w:bCs w:val="0"/>
                      <w:color w:val="0000FF"/>
                      <w:szCs w:val="21"/>
                      <w:highlight w:val="none"/>
                      <w:lang w:val="en-US" w:eastAsia="zh-CN"/>
                    </w:rPr>
                  </w:pPr>
                  <w:r>
                    <w:rPr>
                      <w:rFonts w:hint="eastAsia" w:ascii="Times New Roman" w:hAnsi="Times New Roman" w:eastAsia="宋体" w:cs="Times New Roman"/>
                      <w:b w:val="0"/>
                      <w:bCs w:val="0"/>
                      <w:color w:val="0000FF"/>
                      <w:szCs w:val="21"/>
                      <w:highlight w:val="none"/>
                      <w:lang w:val="en-US" w:eastAsia="zh-CN"/>
                    </w:rPr>
                    <w:t>68</w:t>
                  </w:r>
                </w:p>
              </w:tc>
              <w:tc>
                <w:tcPr>
                  <w:tcW w:w="394" w:type="pct"/>
                  <w:vMerge w:val="continue"/>
                  <w:vAlign w:val="center"/>
                </w:tcPr>
                <w:p w14:paraId="6479E65F">
                  <w:pPr>
                    <w:keepNext w:val="0"/>
                    <w:keepLines w:val="0"/>
                    <w:suppressLineNumbers w:val="0"/>
                    <w:spacing w:before="0" w:beforeAutospacing="0" w:after="0" w:afterAutospacing="0"/>
                    <w:ind w:left="0" w:right="0"/>
                    <w:jc w:val="center"/>
                    <w:rPr>
                      <w:rFonts w:hint="default" w:ascii="Times New Roman" w:hAnsi="Times New Roman" w:eastAsia="宋体" w:cs="Times New Roman"/>
                      <w:b w:val="0"/>
                      <w:bCs w:val="0"/>
                      <w:color w:val="0000FF"/>
                      <w:szCs w:val="21"/>
                      <w:highlight w:val="none"/>
                    </w:rPr>
                  </w:pPr>
                </w:p>
              </w:tc>
              <w:tc>
                <w:tcPr>
                  <w:tcW w:w="660" w:type="pct"/>
                  <w:vMerge w:val="continue"/>
                  <w:vAlign w:val="center"/>
                </w:tcPr>
                <w:p w14:paraId="1890DDCF">
                  <w:pPr>
                    <w:keepNext w:val="0"/>
                    <w:keepLines w:val="0"/>
                    <w:suppressLineNumbers w:val="0"/>
                    <w:spacing w:before="0" w:beforeAutospacing="0" w:after="0" w:afterAutospacing="0"/>
                    <w:ind w:left="0" w:right="0"/>
                    <w:jc w:val="center"/>
                    <w:rPr>
                      <w:rFonts w:hint="default" w:ascii="Times New Roman" w:hAnsi="Times New Roman" w:eastAsia="宋体" w:cs="Times New Roman"/>
                      <w:b w:val="0"/>
                      <w:bCs w:val="0"/>
                      <w:color w:val="0000FF"/>
                      <w:szCs w:val="21"/>
                      <w:highlight w:val="none"/>
                    </w:rPr>
                  </w:pPr>
                </w:p>
              </w:tc>
              <w:tc>
                <w:tcPr>
                  <w:tcW w:w="766" w:type="pct"/>
                  <w:shd w:val="clear" w:color="auto" w:fill="auto"/>
                  <w:vAlign w:val="center"/>
                </w:tcPr>
                <w:p w14:paraId="769C6BD6">
                  <w:pPr>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color w:val="0000FF"/>
                      <w:kern w:val="2"/>
                      <w:sz w:val="21"/>
                      <w:szCs w:val="21"/>
                      <w:lang w:val="en-US" w:eastAsia="zh-CN" w:bidi="ar-SA"/>
                    </w:rPr>
                  </w:pPr>
                  <w:r>
                    <w:rPr>
                      <w:rFonts w:hint="default" w:ascii="Times New Roman" w:hAnsi="Times New Roman" w:eastAsia="宋体" w:cs="Times New Roman"/>
                      <w:color w:val="0000FF"/>
                      <w:szCs w:val="21"/>
                    </w:rPr>
                    <w:t>QJ211S系列</w:t>
                  </w:r>
                </w:p>
              </w:tc>
              <w:tc>
                <w:tcPr>
                  <w:tcW w:w="483" w:type="pct"/>
                  <w:shd w:val="clear" w:color="auto" w:fill="auto"/>
                  <w:vAlign w:val="center"/>
                </w:tcPr>
                <w:p w14:paraId="05A8DECD">
                  <w:pPr>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color w:val="0000FF"/>
                      <w:kern w:val="2"/>
                      <w:sz w:val="21"/>
                      <w:szCs w:val="21"/>
                      <w:lang w:val="en-US" w:eastAsia="zh-CN" w:bidi="ar-SA"/>
                    </w:rPr>
                  </w:pPr>
                  <w:r>
                    <w:rPr>
                      <w:rFonts w:hint="default" w:ascii="Times New Roman" w:hAnsi="Times New Roman" w:eastAsia="宋体" w:cs="Times New Roman"/>
                      <w:color w:val="0000FF"/>
                      <w:szCs w:val="21"/>
                    </w:rPr>
                    <w:t>2</w:t>
                  </w:r>
                </w:p>
              </w:tc>
              <w:tc>
                <w:tcPr>
                  <w:tcW w:w="417" w:type="pct"/>
                  <w:shd w:val="clear" w:color="auto" w:fill="auto"/>
                  <w:vAlign w:val="center"/>
                </w:tcPr>
                <w:p w14:paraId="19AF9E30">
                  <w:pPr>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color w:val="0000FF"/>
                      <w:kern w:val="2"/>
                      <w:sz w:val="21"/>
                      <w:szCs w:val="21"/>
                      <w:lang w:val="en-US" w:eastAsia="zh-CN" w:bidi="ar-SA"/>
                    </w:rPr>
                  </w:pPr>
                  <w:r>
                    <w:rPr>
                      <w:rFonts w:hint="default" w:ascii="Times New Roman" w:hAnsi="Times New Roman" w:eastAsia="宋体" w:cs="Times New Roman"/>
                      <w:color w:val="0000FF"/>
                      <w:szCs w:val="21"/>
                    </w:rPr>
                    <w:t>2</w:t>
                  </w:r>
                </w:p>
              </w:tc>
              <w:tc>
                <w:tcPr>
                  <w:tcW w:w="592" w:type="pct"/>
                  <w:shd w:val="clear" w:color="auto" w:fill="auto"/>
                  <w:vAlign w:val="center"/>
                </w:tcPr>
                <w:p w14:paraId="7B0D4464">
                  <w:pPr>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color w:val="0000FF"/>
                      <w:kern w:val="2"/>
                      <w:sz w:val="21"/>
                      <w:szCs w:val="21"/>
                      <w:lang w:val="en-US" w:eastAsia="zh-CN" w:bidi="ar-SA"/>
                    </w:rPr>
                  </w:pPr>
                  <w:r>
                    <w:rPr>
                      <w:rFonts w:hint="default" w:ascii="Times New Roman" w:hAnsi="Times New Roman" w:eastAsia="宋体" w:cs="Times New Roman"/>
                      <w:color w:val="0000FF"/>
                      <w:szCs w:val="21"/>
                    </w:rPr>
                    <w:t>2</w:t>
                  </w:r>
                </w:p>
              </w:tc>
              <w:tc>
                <w:tcPr>
                  <w:tcW w:w="537" w:type="pct"/>
                  <w:shd w:val="clear" w:color="auto" w:fill="auto"/>
                  <w:vAlign w:val="center"/>
                </w:tcPr>
                <w:p w14:paraId="2612FBF7">
                  <w:pPr>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color w:val="0000FF"/>
                      <w:kern w:val="2"/>
                      <w:sz w:val="21"/>
                      <w:szCs w:val="21"/>
                      <w:lang w:val="en-US" w:eastAsia="zh-CN" w:bidi="ar-SA"/>
                    </w:rPr>
                  </w:pPr>
                  <w:r>
                    <w:rPr>
                      <w:rFonts w:hint="default" w:ascii="Times New Roman" w:hAnsi="Times New Roman" w:eastAsia="宋体" w:cs="Times New Roman"/>
                      <w:color w:val="0000FF"/>
                      <w:szCs w:val="21"/>
                    </w:rPr>
                    <w:t>0</w:t>
                  </w:r>
                </w:p>
              </w:tc>
              <w:tc>
                <w:tcPr>
                  <w:tcW w:w="536" w:type="pct"/>
                  <w:gridSpan w:val="2"/>
                  <w:vMerge w:val="continue"/>
                  <w:vAlign w:val="center"/>
                </w:tcPr>
                <w:p w14:paraId="4DA23398">
                  <w:pPr>
                    <w:keepNext w:val="0"/>
                    <w:keepLines w:val="0"/>
                    <w:suppressLineNumbers w:val="0"/>
                    <w:spacing w:before="0" w:beforeAutospacing="0" w:after="0" w:afterAutospacing="0"/>
                    <w:ind w:left="0" w:right="0"/>
                    <w:jc w:val="center"/>
                    <w:rPr>
                      <w:rFonts w:hint="eastAsia" w:ascii="Times New Roman" w:hAnsi="Times New Roman" w:eastAsia="宋体" w:cs="Times New Roman"/>
                      <w:b w:val="0"/>
                      <w:bCs w:val="0"/>
                      <w:color w:val="0000FF"/>
                      <w:szCs w:val="21"/>
                      <w:highlight w:val="none"/>
                      <w:lang w:val="en-US" w:eastAsia="zh-CN"/>
                    </w:rPr>
                  </w:pPr>
                </w:p>
              </w:tc>
              <w:tc>
                <w:tcPr>
                  <w:tcW w:w="320" w:type="pct"/>
                  <w:vAlign w:val="center"/>
                </w:tcPr>
                <w:p w14:paraId="7696CA68">
                  <w:pPr>
                    <w:keepNext w:val="0"/>
                    <w:keepLines w:val="0"/>
                    <w:suppressLineNumbers w:val="0"/>
                    <w:spacing w:before="0" w:beforeAutospacing="0" w:after="0" w:afterAutospacing="0"/>
                    <w:ind w:left="0" w:right="0"/>
                    <w:jc w:val="center"/>
                    <w:rPr>
                      <w:rFonts w:hint="default" w:ascii="Times New Roman" w:hAnsi="Times New Roman" w:eastAsia="宋体" w:cs="Times New Roman"/>
                      <w:b w:val="0"/>
                      <w:bCs w:val="0"/>
                      <w:color w:val="0000FF"/>
                      <w:szCs w:val="21"/>
                      <w:highlight w:val="none"/>
                    </w:rPr>
                  </w:pPr>
                  <w:r>
                    <w:rPr>
                      <w:rFonts w:hint="eastAsia" w:ascii="Times New Roman" w:hAnsi="Times New Roman" w:eastAsia="宋体" w:cs="Times New Roman"/>
                      <w:b w:val="0"/>
                      <w:bCs w:val="0"/>
                      <w:color w:val="0000FF"/>
                      <w:szCs w:val="21"/>
                      <w:highlight w:val="none"/>
                      <w:lang w:val="en-US" w:eastAsia="zh-CN"/>
                    </w:rPr>
                    <w:t>/</w:t>
                  </w:r>
                </w:p>
              </w:tc>
            </w:tr>
            <w:tr w14:paraId="23DA8E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291" w:type="pct"/>
                  <w:shd w:val="clear" w:color="auto" w:fill="auto"/>
                  <w:vAlign w:val="center"/>
                </w:tcPr>
                <w:p w14:paraId="6B57D180">
                  <w:pPr>
                    <w:keepNext w:val="0"/>
                    <w:keepLines w:val="0"/>
                    <w:suppressLineNumbers w:val="0"/>
                    <w:spacing w:before="0" w:beforeAutospacing="0" w:after="0" w:afterAutospacing="0"/>
                    <w:ind w:left="0" w:right="0"/>
                    <w:jc w:val="center"/>
                    <w:rPr>
                      <w:rFonts w:hint="default" w:ascii="Times New Roman" w:hAnsi="Times New Roman" w:eastAsia="宋体" w:cs="Times New Roman"/>
                      <w:b w:val="0"/>
                      <w:bCs w:val="0"/>
                      <w:color w:val="0000FF"/>
                      <w:szCs w:val="21"/>
                      <w:highlight w:val="none"/>
                      <w:lang w:val="en-US" w:eastAsia="zh-CN"/>
                    </w:rPr>
                  </w:pPr>
                  <w:r>
                    <w:rPr>
                      <w:rFonts w:hint="eastAsia" w:ascii="Times New Roman" w:hAnsi="Times New Roman" w:eastAsia="宋体" w:cs="Times New Roman"/>
                      <w:b w:val="0"/>
                      <w:bCs w:val="0"/>
                      <w:color w:val="0000FF"/>
                      <w:szCs w:val="21"/>
                      <w:highlight w:val="none"/>
                      <w:lang w:val="en-US" w:eastAsia="zh-CN"/>
                    </w:rPr>
                    <w:t>69</w:t>
                  </w:r>
                </w:p>
              </w:tc>
              <w:tc>
                <w:tcPr>
                  <w:tcW w:w="394" w:type="pct"/>
                  <w:vMerge w:val="continue"/>
                  <w:vAlign w:val="center"/>
                </w:tcPr>
                <w:p w14:paraId="1268F42E">
                  <w:pPr>
                    <w:keepNext w:val="0"/>
                    <w:keepLines w:val="0"/>
                    <w:suppressLineNumbers w:val="0"/>
                    <w:spacing w:before="0" w:beforeAutospacing="0" w:after="0" w:afterAutospacing="0"/>
                    <w:ind w:left="0" w:right="0"/>
                    <w:jc w:val="center"/>
                    <w:rPr>
                      <w:rFonts w:hint="default" w:ascii="Times New Roman" w:hAnsi="Times New Roman" w:eastAsia="宋体" w:cs="Times New Roman"/>
                      <w:b w:val="0"/>
                      <w:bCs w:val="0"/>
                      <w:color w:val="0000FF"/>
                      <w:szCs w:val="21"/>
                      <w:highlight w:val="none"/>
                    </w:rPr>
                  </w:pPr>
                </w:p>
              </w:tc>
              <w:tc>
                <w:tcPr>
                  <w:tcW w:w="660" w:type="pct"/>
                  <w:vMerge w:val="restart"/>
                  <w:shd w:val="clear" w:color="auto" w:fill="auto"/>
                  <w:vAlign w:val="center"/>
                </w:tcPr>
                <w:p w14:paraId="30B01011">
                  <w:pPr>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color w:val="0000FF"/>
                      <w:kern w:val="2"/>
                      <w:sz w:val="21"/>
                      <w:szCs w:val="21"/>
                      <w:lang w:val="en-US" w:eastAsia="zh-CN" w:bidi="ar-SA"/>
                    </w:rPr>
                  </w:pPr>
                  <w:r>
                    <w:rPr>
                      <w:rFonts w:hint="default" w:ascii="Times New Roman" w:hAnsi="Times New Roman" w:eastAsia="宋体" w:cs="Times New Roman"/>
                      <w:color w:val="0000FF"/>
                      <w:szCs w:val="21"/>
                    </w:rPr>
                    <w:t>应力松弛仪</w:t>
                  </w:r>
                </w:p>
              </w:tc>
              <w:tc>
                <w:tcPr>
                  <w:tcW w:w="766" w:type="pct"/>
                  <w:shd w:val="clear" w:color="auto" w:fill="auto"/>
                  <w:vAlign w:val="center"/>
                </w:tcPr>
                <w:p w14:paraId="3A96529F">
                  <w:pPr>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color w:val="0000FF"/>
                      <w:kern w:val="2"/>
                      <w:sz w:val="21"/>
                      <w:szCs w:val="21"/>
                      <w:lang w:val="en-US" w:eastAsia="zh-CN" w:bidi="ar-SA"/>
                    </w:rPr>
                  </w:pPr>
                  <w:r>
                    <w:rPr>
                      <w:rFonts w:hint="default" w:ascii="Times New Roman" w:hAnsi="Times New Roman" w:eastAsia="宋体" w:cs="Times New Roman"/>
                      <w:color w:val="0000FF"/>
                      <w:szCs w:val="21"/>
                    </w:rPr>
                    <w:t>JZ-4019型</w:t>
                  </w:r>
                </w:p>
              </w:tc>
              <w:tc>
                <w:tcPr>
                  <w:tcW w:w="483" w:type="pct"/>
                  <w:shd w:val="clear" w:color="auto" w:fill="auto"/>
                  <w:vAlign w:val="center"/>
                </w:tcPr>
                <w:p w14:paraId="3DABC837">
                  <w:pPr>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color w:val="0000FF"/>
                      <w:kern w:val="2"/>
                      <w:sz w:val="21"/>
                      <w:szCs w:val="21"/>
                      <w:lang w:val="en-US" w:eastAsia="zh-CN" w:bidi="ar-SA"/>
                    </w:rPr>
                  </w:pPr>
                  <w:r>
                    <w:rPr>
                      <w:rFonts w:hint="default" w:ascii="Times New Roman" w:hAnsi="Times New Roman" w:eastAsia="宋体" w:cs="Times New Roman"/>
                      <w:color w:val="0000FF"/>
                      <w:szCs w:val="21"/>
                    </w:rPr>
                    <w:t>1</w:t>
                  </w:r>
                </w:p>
              </w:tc>
              <w:tc>
                <w:tcPr>
                  <w:tcW w:w="417" w:type="pct"/>
                  <w:shd w:val="clear" w:color="auto" w:fill="auto"/>
                  <w:vAlign w:val="center"/>
                </w:tcPr>
                <w:p w14:paraId="337B2F2F">
                  <w:pPr>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color w:val="0000FF"/>
                      <w:kern w:val="2"/>
                      <w:sz w:val="21"/>
                      <w:szCs w:val="21"/>
                      <w:lang w:val="en-US" w:eastAsia="zh-CN" w:bidi="ar-SA"/>
                    </w:rPr>
                  </w:pPr>
                  <w:r>
                    <w:rPr>
                      <w:rFonts w:hint="default" w:ascii="Times New Roman" w:hAnsi="Times New Roman" w:eastAsia="宋体" w:cs="Times New Roman"/>
                      <w:color w:val="0000FF"/>
                      <w:szCs w:val="21"/>
                    </w:rPr>
                    <w:t>1</w:t>
                  </w:r>
                </w:p>
              </w:tc>
              <w:tc>
                <w:tcPr>
                  <w:tcW w:w="592" w:type="pct"/>
                  <w:shd w:val="clear" w:color="auto" w:fill="auto"/>
                  <w:vAlign w:val="center"/>
                </w:tcPr>
                <w:p w14:paraId="0201C3CF">
                  <w:pPr>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color w:val="0000FF"/>
                      <w:kern w:val="2"/>
                      <w:sz w:val="21"/>
                      <w:szCs w:val="21"/>
                      <w:lang w:val="en-US" w:eastAsia="zh-CN" w:bidi="ar-SA"/>
                    </w:rPr>
                  </w:pPr>
                  <w:r>
                    <w:rPr>
                      <w:rFonts w:hint="default" w:ascii="Times New Roman" w:hAnsi="Times New Roman" w:eastAsia="宋体" w:cs="Times New Roman"/>
                      <w:color w:val="0000FF"/>
                      <w:szCs w:val="21"/>
                    </w:rPr>
                    <w:t>1</w:t>
                  </w:r>
                </w:p>
              </w:tc>
              <w:tc>
                <w:tcPr>
                  <w:tcW w:w="537" w:type="pct"/>
                  <w:shd w:val="clear" w:color="auto" w:fill="auto"/>
                  <w:vAlign w:val="center"/>
                </w:tcPr>
                <w:p w14:paraId="77D0B400">
                  <w:pPr>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color w:val="0000FF"/>
                      <w:kern w:val="2"/>
                      <w:sz w:val="21"/>
                      <w:szCs w:val="21"/>
                      <w:lang w:val="en-US" w:eastAsia="zh-CN" w:bidi="ar-SA"/>
                    </w:rPr>
                  </w:pPr>
                  <w:r>
                    <w:rPr>
                      <w:rFonts w:hint="default" w:ascii="Times New Roman" w:hAnsi="Times New Roman" w:eastAsia="宋体" w:cs="Times New Roman"/>
                      <w:color w:val="0000FF"/>
                      <w:szCs w:val="21"/>
                    </w:rPr>
                    <w:t>0</w:t>
                  </w:r>
                </w:p>
              </w:tc>
              <w:tc>
                <w:tcPr>
                  <w:tcW w:w="536" w:type="pct"/>
                  <w:gridSpan w:val="2"/>
                  <w:vMerge w:val="continue"/>
                  <w:vAlign w:val="center"/>
                </w:tcPr>
                <w:p w14:paraId="29AE3067">
                  <w:pPr>
                    <w:keepNext w:val="0"/>
                    <w:keepLines w:val="0"/>
                    <w:suppressLineNumbers w:val="0"/>
                    <w:spacing w:before="0" w:beforeAutospacing="0" w:after="0" w:afterAutospacing="0"/>
                    <w:ind w:left="0" w:right="0"/>
                    <w:jc w:val="center"/>
                    <w:rPr>
                      <w:rFonts w:hint="eastAsia" w:ascii="Times New Roman" w:hAnsi="Times New Roman" w:eastAsia="宋体" w:cs="Times New Roman"/>
                      <w:b w:val="0"/>
                      <w:bCs w:val="0"/>
                      <w:color w:val="0000FF"/>
                      <w:szCs w:val="21"/>
                      <w:highlight w:val="none"/>
                      <w:lang w:val="en-US" w:eastAsia="zh-CN"/>
                    </w:rPr>
                  </w:pPr>
                </w:p>
              </w:tc>
              <w:tc>
                <w:tcPr>
                  <w:tcW w:w="320" w:type="pct"/>
                  <w:vAlign w:val="center"/>
                </w:tcPr>
                <w:p w14:paraId="230F283C">
                  <w:pPr>
                    <w:keepNext w:val="0"/>
                    <w:keepLines w:val="0"/>
                    <w:suppressLineNumbers w:val="0"/>
                    <w:spacing w:before="0" w:beforeAutospacing="0" w:after="0" w:afterAutospacing="0"/>
                    <w:ind w:left="0" w:right="0"/>
                    <w:jc w:val="center"/>
                    <w:rPr>
                      <w:rFonts w:hint="default" w:ascii="Times New Roman" w:hAnsi="Times New Roman" w:eastAsia="宋体" w:cs="Times New Roman"/>
                      <w:b w:val="0"/>
                      <w:bCs w:val="0"/>
                      <w:color w:val="0000FF"/>
                      <w:szCs w:val="21"/>
                      <w:highlight w:val="none"/>
                    </w:rPr>
                  </w:pPr>
                  <w:r>
                    <w:rPr>
                      <w:rFonts w:hint="eastAsia" w:ascii="Times New Roman" w:hAnsi="Times New Roman" w:eastAsia="宋体" w:cs="Times New Roman"/>
                      <w:b w:val="0"/>
                      <w:bCs w:val="0"/>
                      <w:color w:val="0000FF"/>
                      <w:szCs w:val="21"/>
                      <w:highlight w:val="none"/>
                      <w:lang w:val="en-US" w:eastAsia="zh-CN"/>
                    </w:rPr>
                    <w:t>/</w:t>
                  </w:r>
                </w:p>
              </w:tc>
            </w:tr>
            <w:tr w14:paraId="316465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291" w:type="pct"/>
                  <w:shd w:val="clear" w:color="auto" w:fill="auto"/>
                  <w:vAlign w:val="center"/>
                </w:tcPr>
                <w:p w14:paraId="6FED5028">
                  <w:pPr>
                    <w:keepNext w:val="0"/>
                    <w:keepLines w:val="0"/>
                    <w:suppressLineNumbers w:val="0"/>
                    <w:spacing w:before="0" w:beforeAutospacing="0" w:after="0" w:afterAutospacing="0"/>
                    <w:ind w:left="0" w:right="0"/>
                    <w:jc w:val="center"/>
                    <w:rPr>
                      <w:rFonts w:hint="default" w:ascii="Times New Roman" w:hAnsi="Times New Roman" w:eastAsia="宋体" w:cs="Times New Roman"/>
                      <w:b w:val="0"/>
                      <w:bCs w:val="0"/>
                      <w:color w:val="0000FF"/>
                      <w:szCs w:val="21"/>
                      <w:highlight w:val="none"/>
                      <w:lang w:val="en-US" w:eastAsia="zh-CN"/>
                    </w:rPr>
                  </w:pPr>
                  <w:r>
                    <w:rPr>
                      <w:rFonts w:hint="eastAsia" w:ascii="Times New Roman" w:hAnsi="Times New Roman" w:eastAsia="宋体" w:cs="Times New Roman"/>
                      <w:b w:val="0"/>
                      <w:bCs w:val="0"/>
                      <w:color w:val="0000FF"/>
                      <w:szCs w:val="21"/>
                      <w:highlight w:val="none"/>
                      <w:lang w:val="en-US" w:eastAsia="zh-CN"/>
                    </w:rPr>
                    <w:t>70</w:t>
                  </w:r>
                </w:p>
              </w:tc>
              <w:tc>
                <w:tcPr>
                  <w:tcW w:w="394" w:type="pct"/>
                  <w:vMerge w:val="continue"/>
                  <w:vAlign w:val="center"/>
                </w:tcPr>
                <w:p w14:paraId="5E3B5C76">
                  <w:pPr>
                    <w:keepNext w:val="0"/>
                    <w:keepLines w:val="0"/>
                    <w:suppressLineNumbers w:val="0"/>
                    <w:spacing w:before="0" w:beforeAutospacing="0" w:after="0" w:afterAutospacing="0"/>
                    <w:ind w:left="0" w:right="0"/>
                    <w:jc w:val="center"/>
                    <w:rPr>
                      <w:rFonts w:hint="default" w:ascii="Times New Roman" w:hAnsi="Times New Roman" w:eastAsia="宋体" w:cs="Times New Roman"/>
                      <w:b w:val="0"/>
                      <w:bCs w:val="0"/>
                      <w:color w:val="0000FF"/>
                      <w:szCs w:val="21"/>
                      <w:highlight w:val="none"/>
                    </w:rPr>
                  </w:pPr>
                </w:p>
              </w:tc>
              <w:tc>
                <w:tcPr>
                  <w:tcW w:w="660" w:type="pct"/>
                  <w:vMerge w:val="continue"/>
                  <w:vAlign w:val="center"/>
                </w:tcPr>
                <w:p w14:paraId="5D48AE03">
                  <w:pPr>
                    <w:keepNext w:val="0"/>
                    <w:keepLines w:val="0"/>
                    <w:suppressLineNumbers w:val="0"/>
                    <w:spacing w:before="0" w:beforeAutospacing="0" w:after="0" w:afterAutospacing="0"/>
                    <w:ind w:left="0" w:right="0"/>
                    <w:jc w:val="center"/>
                    <w:rPr>
                      <w:rFonts w:hint="default" w:ascii="Times New Roman" w:hAnsi="Times New Roman" w:eastAsia="宋体" w:cs="Times New Roman"/>
                      <w:b w:val="0"/>
                      <w:bCs w:val="0"/>
                      <w:color w:val="0000FF"/>
                      <w:szCs w:val="21"/>
                      <w:highlight w:val="none"/>
                    </w:rPr>
                  </w:pPr>
                </w:p>
              </w:tc>
              <w:tc>
                <w:tcPr>
                  <w:tcW w:w="766" w:type="pct"/>
                  <w:shd w:val="clear" w:color="auto" w:fill="auto"/>
                  <w:vAlign w:val="center"/>
                </w:tcPr>
                <w:p w14:paraId="457917AF">
                  <w:pPr>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color w:val="0000FF"/>
                      <w:kern w:val="2"/>
                      <w:sz w:val="21"/>
                      <w:szCs w:val="21"/>
                      <w:lang w:val="en-US" w:eastAsia="zh-CN" w:bidi="ar-SA"/>
                    </w:rPr>
                  </w:pPr>
                  <w:r>
                    <w:rPr>
                      <w:rFonts w:hint="default" w:ascii="Times New Roman" w:hAnsi="Times New Roman" w:eastAsia="宋体" w:cs="Times New Roman"/>
                      <w:color w:val="0000FF"/>
                      <w:szCs w:val="21"/>
                    </w:rPr>
                    <w:t>MZ-4019型</w:t>
                  </w:r>
                </w:p>
              </w:tc>
              <w:tc>
                <w:tcPr>
                  <w:tcW w:w="483" w:type="pct"/>
                  <w:shd w:val="clear" w:color="auto" w:fill="auto"/>
                  <w:vAlign w:val="center"/>
                </w:tcPr>
                <w:p w14:paraId="3EABAA7F">
                  <w:pPr>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color w:val="0000FF"/>
                      <w:kern w:val="2"/>
                      <w:sz w:val="21"/>
                      <w:szCs w:val="21"/>
                      <w:lang w:val="en-US" w:eastAsia="zh-CN" w:bidi="ar-SA"/>
                    </w:rPr>
                  </w:pPr>
                  <w:r>
                    <w:rPr>
                      <w:rFonts w:hint="default" w:ascii="Times New Roman" w:hAnsi="Times New Roman" w:eastAsia="宋体" w:cs="Times New Roman"/>
                      <w:color w:val="0000FF"/>
                      <w:szCs w:val="21"/>
                    </w:rPr>
                    <w:t>1</w:t>
                  </w:r>
                </w:p>
              </w:tc>
              <w:tc>
                <w:tcPr>
                  <w:tcW w:w="417" w:type="pct"/>
                  <w:shd w:val="clear" w:color="auto" w:fill="auto"/>
                  <w:vAlign w:val="center"/>
                </w:tcPr>
                <w:p w14:paraId="0E9A6C57">
                  <w:pPr>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color w:val="0000FF"/>
                      <w:kern w:val="2"/>
                      <w:sz w:val="21"/>
                      <w:szCs w:val="21"/>
                      <w:lang w:val="en-US" w:eastAsia="zh-CN" w:bidi="ar-SA"/>
                    </w:rPr>
                  </w:pPr>
                  <w:r>
                    <w:rPr>
                      <w:rFonts w:hint="default" w:ascii="Times New Roman" w:hAnsi="Times New Roman" w:eastAsia="宋体" w:cs="Times New Roman"/>
                      <w:color w:val="0000FF"/>
                      <w:szCs w:val="21"/>
                    </w:rPr>
                    <w:t>1</w:t>
                  </w:r>
                </w:p>
              </w:tc>
              <w:tc>
                <w:tcPr>
                  <w:tcW w:w="592" w:type="pct"/>
                  <w:shd w:val="clear" w:color="auto" w:fill="auto"/>
                  <w:vAlign w:val="center"/>
                </w:tcPr>
                <w:p w14:paraId="1EDA9E8C">
                  <w:pPr>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color w:val="0000FF"/>
                      <w:kern w:val="2"/>
                      <w:sz w:val="21"/>
                      <w:szCs w:val="21"/>
                      <w:lang w:val="en-US" w:eastAsia="zh-CN" w:bidi="ar-SA"/>
                    </w:rPr>
                  </w:pPr>
                  <w:r>
                    <w:rPr>
                      <w:rFonts w:hint="default" w:ascii="Times New Roman" w:hAnsi="Times New Roman" w:eastAsia="宋体" w:cs="Times New Roman"/>
                      <w:color w:val="0000FF"/>
                      <w:szCs w:val="21"/>
                    </w:rPr>
                    <w:t>1</w:t>
                  </w:r>
                </w:p>
              </w:tc>
              <w:tc>
                <w:tcPr>
                  <w:tcW w:w="537" w:type="pct"/>
                  <w:shd w:val="clear" w:color="auto" w:fill="auto"/>
                  <w:vAlign w:val="center"/>
                </w:tcPr>
                <w:p w14:paraId="6165B5A5">
                  <w:pPr>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color w:val="0000FF"/>
                      <w:kern w:val="2"/>
                      <w:sz w:val="21"/>
                      <w:szCs w:val="21"/>
                      <w:lang w:val="en-US" w:eastAsia="zh-CN" w:bidi="ar-SA"/>
                    </w:rPr>
                  </w:pPr>
                  <w:r>
                    <w:rPr>
                      <w:rFonts w:hint="default" w:ascii="Times New Roman" w:hAnsi="Times New Roman" w:eastAsia="宋体" w:cs="Times New Roman"/>
                      <w:color w:val="0000FF"/>
                      <w:szCs w:val="21"/>
                    </w:rPr>
                    <w:t>0</w:t>
                  </w:r>
                </w:p>
              </w:tc>
              <w:tc>
                <w:tcPr>
                  <w:tcW w:w="536" w:type="pct"/>
                  <w:gridSpan w:val="2"/>
                  <w:vMerge w:val="continue"/>
                  <w:vAlign w:val="center"/>
                </w:tcPr>
                <w:p w14:paraId="497F8A88">
                  <w:pPr>
                    <w:keepNext w:val="0"/>
                    <w:keepLines w:val="0"/>
                    <w:suppressLineNumbers w:val="0"/>
                    <w:spacing w:before="0" w:beforeAutospacing="0" w:after="0" w:afterAutospacing="0"/>
                    <w:ind w:left="0" w:right="0"/>
                    <w:jc w:val="center"/>
                    <w:rPr>
                      <w:rFonts w:hint="eastAsia" w:ascii="Times New Roman" w:hAnsi="Times New Roman" w:eastAsia="宋体" w:cs="Times New Roman"/>
                      <w:b w:val="0"/>
                      <w:bCs w:val="0"/>
                      <w:color w:val="0000FF"/>
                      <w:szCs w:val="21"/>
                      <w:highlight w:val="none"/>
                      <w:lang w:val="en-US" w:eastAsia="zh-CN"/>
                    </w:rPr>
                  </w:pPr>
                </w:p>
              </w:tc>
              <w:tc>
                <w:tcPr>
                  <w:tcW w:w="320" w:type="pct"/>
                  <w:vAlign w:val="center"/>
                </w:tcPr>
                <w:p w14:paraId="32FAD5A2">
                  <w:pPr>
                    <w:keepNext w:val="0"/>
                    <w:keepLines w:val="0"/>
                    <w:suppressLineNumbers w:val="0"/>
                    <w:spacing w:before="0" w:beforeAutospacing="0" w:after="0" w:afterAutospacing="0"/>
                    <w:ind w:left="0" w:right="0"/>
                    <w:jc w:val="center"/>
                    <w:rPr>
                      <w:rFonts w:hint="default" w:ascii="Times New Roman" w:hAnsi="Times New Roman" w:eastAsia="宋体" w:cs="Times New Roman"/>
                      <w:b w:val="0"/>
                      <w:bCs w:val="0"/>
                      <w:color w:val="0000FF"/>
                      <w:szCs w:val="21"/>
                      <w:highlight w:val="none"/>
                    </w:rPr>
                  </w:pPr>
                  <w:r>
                    <w:rPr>
                      <w:rFonts w:hint="eastAsia" w:ascii="Times New Roman" w:hAnsi="Times New Roman" w:eastAsia="宋体" w:cs="Times New Roman"/>
                      <w:b w:val="0"/>
                      <w:bCs w:val="0"/>
                      <w:color w:val="0000FF"/>
                      <w:szCs w:val="21"/>
                      <w:highlight w:val="none"/>
                      <w:lang w:val="en-US" w:eastAsia="zh-CN"/>
                    </w:rPr>
                    <w:t>/</w:t>
                  </w:r>
                </w:p>
              </w:tc>
            </w:tr>
            <w:tr w14:paraId="30AD13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291" w:type="pct"/>
                  <w:shd w:val="clear" w:color="auto" w:fill="auto"/>
                  <w:vAlign w:val="center"/>
                </w:tcPr>
                <w:p w14:paraId="4CF3F344">
                  <w:pPr>
                    <w:keepNext w:val="0"/>
                    <w:keepLines w:val="0"/>
                    <w:suppressLineNumbers w:val="0"/>
                    <w:spacing w:before="0" w:beforeAutospacing="0" w:after="0" w:afterAutospacing="0"/>
                    <w:ind w:left="0" w:right="0"/>
                    <w:jc w:val="center"/>
                    <w:rPr>
                      <w:rFonts w:hint="default" w:ascii="Times New Roman" w:hAnsi="Times New Roman" w:eastAsia="宋体" w:cs="Times New Roman"/>
                      <w:b w:val="0"/>
                      <w:bCs w:val="0"/>
                      <w:color w:val="0000FF"/>
                      <w:szCs w:val="21"/>
                      <w:highlight w:val="none"/>
                      <w:lang w:val="en-US" w:eastAsia="zh-CN"/>
                    </w:rPr>
                  </w:pPr>
                  <w:r>
                    <w:rPr>
                      <w:rFonts w:hint="eastAsia" w:ascii="Times New Roman" w:hAnsi="Times New Roman" w:eastAsia="宋体" w:cs="Times New Roman"/>
                      <w:b w:val="0"/>
                      <w:bCs w:val="0"/>
                      <w:color w:val="0000FF"/>
                      <w:szCs w:val="21"/>
                      <w:highlight w:val="none"/>
                      <w:lang w:val="en-US" w:eastAsia="zh-CN"/>
                    </w:rPr>
                    <w:t>71</w:t>
                  </w:r>
                </w:p>
              </w:tc>
              <w:tc>
                <w:tcPr>
                  <w:tcW w:w="394" w:type="pct"/>
                  <w:vMerge w:val="continue"/>
                  <w:vAlign w:val="center"/>
                </w:tcPr>
                <w:p w14:paraId="1D1EAF7B">
                  <w:pPr>
                    <w:keepNext w:val="0"/>
                    <w:keepLines w:val="0"/>
                    <w:suppressLineNumbers w:val="0"/>
                    <w:spacing w:before="0" w:beforeAutospacing="0" w:after="0" w:afterAutospacing="0"/>
                    <w:ind w:left="0" w:right="0"/>
                    <w:jc w:val="center"/>
                    <w:rPr>
                      <w:rFonts w:hint="default" w:ascii="Times New Roman" w:hAnsi="Times New Roman" w:eastAsia="宋体" w:cs="Times New Roman"/>
                      <w:b w:val="0"/>
                      <w:bCs w:val="0"/>
                      <w:color w:val="0000FF"/>
                      <w:szCs w:val="21"/>
                      <w:highlight w:val="none"/>
                    </w:rPr>
                  </w:pPr>
                </w:p>
              </w:tc>
              <w:tc>
                <w:tcPr>
                  <w:tcW w:w="660" w:type="pct"/>
                  <w:shd w:val="clear" w:color="auto" w:fill="auto"/>
                  <w:vAlign w:val="center"/>
                </w:tcPr>
                <w:p w14:paraId="72A1DF83">
                  <w:pPr>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color w:val="0000FF"/>
                      <w:kern w:val="2"/>
                      <w:sz w:val="21"/>
                      <w:szCs w:val="21"/>
                      <w:lang w:val="en-US" w:eastAsia="zh-CN" w:bidi="ar-SA"/>
                    </w:rPr>
                  </w:pPr>
                  <w:r>
                    <w:rPr>
                      <w:rFonts w:hint="default" w:ascii="Times New Roman" w:hAnsi="Times New Roman" w:eastAsia="宋体" w:cs="Times New Roman"/>
                      <w:color w:val="0000FF"/>
                      <w:szCs w:val="21"/>
                    </w:rPr>
                    <w:t>电子天平</w:t>
                  </w:r>
                </w:p>
              </w:tc>
              <w:tc>
                <w:tcPr>
                  <w:tcW w:w="766" w:type="pct"/>
                  <w:shd w:val="clear" w:color="auto" w:fill="auto"/>
                  <w:vAlign w:val="center"/>
                </w:tcPr>
                <w:p w14:paraId="29D104AF">
                  <w:pPr>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color w:val="0000FF"/>
                      <w:kern w:val="2"/>
                      <w:sz w:val="21"/>
                      <w:szCs w:val="21"/>
                      <w:lang w:val="en-US" w:eastAsia="zh-CN" w:bidi="ar-SA"/>
                    </w:rPr>
                  </w:pPr>
                  <w:r>
                    <w:rPr>
                      <w:rFonts w:hint="default" w:ascii="Times New Roman" w:hAnsi="Times New Roman" w:eastAsia="宋体" w:cs="Times New Roman"/>
                      <w:color w:val="0000FF"/>
                      <w:szCs w:val="21"/>
                    </w:rPr>
                    <w:t>/</w:t>
                  </w:r>
                </w:p>
              </w:tc>
              <w:tc>
                <w:tcPr>
                  <w:tcW w:w="483" w:type="pct"/>
                  <w:shd w:val="clear" w:color="auto" w:fill="auto"/>
                  <w:vAlign w:val="center"/>
                </w:tcPr>
                <w:p w14:paraId="008525AE">
                  <w:pPr>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color w:val="0000FF"/>
                      <w:kern w:val="2"/>
                      <w:sz w:val="21"/>
                      <w:szCs w:val="21"/>
                      <w:lang w:val="en-US" w:eastAsia="zh-CN" w:bidi="ar-SA"/>
                    </w:rPr>
                  </w:pPr>
                  <w:r>
                    <w:rPr>
                      <w:rFonts w:hint="default" w:ascii="Times New Roman" w:hAnsi="Times New Roman" w:eastAsia="宋体" w:cs="Times New Roman"/>
                      <w:color w:val="0000FF"/>
                      <w:szCs w:val="21"/>
                    </w:rPr>
                    <w:t>5</w:t>
                  </w:r>
                </w:p>
              </w:tc>
              <w:tc>
                <w:tcPr>
                  <w:tcW w:w="417" w:type="pct"/>
                  <w:shd w:val="clear" w:color="auto" w:fill="auto"/>
                  <w:vAlign w:val="center"/>
                </w:tcPr>
                <w:p w14:paraId="0968C9C3">
                  <w:pPr>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color w:val="0000FF"/>
                      <w:kern w:val="2"/>
                      <w:sz w:val="21"/>
                      <w:szCs w:val="21"/>
                      <w:lang w:val="en-US" w:eastAsia="zh-CN" w:bidi="ar-SA"/>
                    </w:rPr>
                  </w:pPr>
                  <w:r>
                    <w:rPr>
                      <w:rFonts w:hint="default" w:ascii="Times New Roman" w:hAnsi="Times New Roman" w:eastAsia="宋体" w:cs="Times New Roman"/>
                      <w:color w:val="0000FF"/>
                      <w:szCs w:val="21"/>
                    </w:rPr>
                    <w:t>5</w:t>
                  </w:r>
                </w:p>
              </w:tc>
              <w:tc>
                <w:tcPr>
                  <w:tcW w:w="592" w:type="pct"/>
                  <w:shd w:val="clear" w:color="auto" w:fill="auto"/>
                  <w:vAlign w:val="center"/>
                </w:tcPr>
                <w:p w14:paraId="21C625CF">
                  <w:pPr>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color w:val="0000FF"/>
                      <w:kern w:val="2"/>
                      <w:sz w:val="21"/>
                      <w:szCs w:val="21"/>
                      <w:lang w:val="en-US" w:eastAsia="zh-CN" w:bidi="ar-SA"/>
                    </w:rPr>
                  </w:pPr>
                  <w:r>
                    <w:rPr>
                      <w:rFonts w:hint="default" w:ascii="Times New Roman" w:hAnsi="Times New Roman" w:eastAsia="宋体" w:cs="Times New Roman"/>
                      <w:color w:val="0000FF"/>
                      <w:szCs w:val="21"/>
                    </w:rPr>
                    <w:t>5</w:t>
                  </w:r>
                </w:p>
              </w:tc>
              <w:tc>
                <w:tcPr>
                  <w:tcW w:w="537" w:type="pct"/>
                  <w:shd w:val="clear" w:color="auto" w:fill="auto"/>
                  <w:vAlign w:val="center"/>
                </w:tcPr>
                <w:p w14:paraId="33DCAA27">
                  <w:pPr>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color w:val="0000FF"/>
                      <w:kern w:val="2"/>
                      <w:sz w:val="21"/>
                      <w:szCs w:val="21"/>
                      <w:lang w:val="en-US" w:eastAsia="zh-CN" w:bidi="ar-SA"/>
                    </w:rPr>
                  </w:pPr>
                  <w:r>
                    <w:rPr>
                      <w:rFonts w:hint="default" w:ascii="Times New Roman" w:hAnsi="Times New Roman" w:eastAsia="宋体" w:cs="Times New Roman"/>
                      <w:color w:val="0000FF"/>
                      <w:szCs w:val="21"/>
                    </w:rPr>
                    <w:t>0</w:t>
                  </w:r>
                </w:p>
              </w:tc>
              <w:tc>
                <w:tcPr>
                  <w:tcW w:w="536" w:type="pct"/>
                  <w:gridSpan w:val="2"/>
                  <w:vMerge w:val="continue"/>
                  <w:vAlign w:val="center"/>
                </w:tcPr>
                <w:p w14:paraId="5DF2056E">
                  <w:pPr>
                    <w:keepNext w:val="0"/>
                    <w:keepLines w:val="0"/>
                    <w:suppressLineNumbers w:val="0"/>
                    <w:spacing w:before="0" w:beforeAutospacing="0" w:after="0" w:afterAutospacing="0"/>
                    <w:ind w:left="0" w:right="0"/>
                    <w:jc w:val="center"/>
                    <w:rPr>
                      <w:rFonts w:hint="eastAsia" w:ascii="Times New Roman" w:hAnsi="Times New Roman" w:eastAsia="宋体" w:cs="Times New Roman"/>
                      <w:b w:val="0"/>
                      <w:bCs w:val="0"/>
                      <w:color w:val="0000FF"/>
                      <w:szCs w:val="21"/>
                      <w:highlight w:val="none"/>
                      <w:lang w:val="en-US" w:eastAsia="zh-CN"/>
                    </w:rPr>
                  </w:pPr>
                </w:p>
              </w:tc>
              <w:tc>
                <w:tcPr>
                  <w:tcW w:w="320" w:type="pct"/>
                  <w:vAlign w:val="center"/>
                </w:tcPr>
                <w:p w14:paraId="22E59A74">
                  <w:pPr>
                    <w:keepNext w:val="0"/>
                    <w:keepLines w:val="0"/>
                    <w:suppressLineNumbers w:val="0"/>
                    <w:spacing w:before="0" w:beforeAutospacing="0" w:after="0" w:afterAutospacing="0"/>
                    <w:ind w:left="0" w:right="0"/>
                    <w:jc w:val="center"/>
                    <w:rPr>
                      <w:rFonts w:hint="default" w:ascii="Times New Roman" w:hAnsi="Times New Roman" w:eastAsia="宋体" w:cs="Times New Roman"/>
                      <w:b w:val="0"/>
                      <w:bCs w:val="0"/>
                      <w:color w:val="0000FF"/>
                      <w:szCs w:val="21"/>
                      <w:highlight w:val="none"/>
                    </w:rPr>
                  </w:pPr>
                  <w:r>
                    <w:rPr>
                      <w:rFonts w:hint="eastAsia" w:ascii="Times New Roman" w:hAnsi="Times New Roman" w:eastAsia="宋体" w:cs="Times New Roman"/>
                      <w:b w:val="0"/>
                      <w:bCs w:val="0"/>
                      <w:color w:val="0000FF"/>
                      <w:szCs w:val="21"/>
                      <w:highlight w:val="none"/>
                      <w:lang w:val="en-US" w:eastAsia="zh-CN"/>
                    </w:rPr>
                    <w:t>/</w:t>
                  </w:r>
                </w:p>
              </w:tc>
            </w:tr>
            <w:tr w14:paraId="25248D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291" w:type="pct"/>
                  <w:shd w:val="clear" w:color="auto" w:fill="auto"/>
                  <w:vAlign w:val="center"/>
                </w:tcPr>
                <w:p w14:paraId="6B9B90A4">
                  <w:pPr>
                    <w:keepNext w:val="0"/>
                    <w:keepLines w:val="0"/>
                    <w:suppressLineNumbers w:val="0"/>
                    <w:spacing w:before="0" w:beforeAutospacing="0" w:after="0" w:afterAutospacing="0"/>
                    <w:ind w:left="0" w:right="0"/>
                    <w:jc w:val="center"/>
                    <w:rPr>
                      <w:rFonts w:hint="default" w:ascii="Times New Roman" w:hAnsi="Times New Roman" w:eastAsia="宋体" w:cs="Times New Roman"/>
                      <w:b w:val="0"/>
                      <w:bCs w:val="0"/>
                      <w:color w:val="0000FF"/>
                      <w:szCs w:val="21"/>
                      <w:highlight w:val="none"/>
                      <w:lang w:val="en-US" w:eastAsia="zh-CN"/>
                    </w:rPr>
                  </w:pPr>
                  <w:r>
                    <w:rPr>
                      <w:rFonts w:hint="eastAsia" w:ascii="Times New Roman" w:hAnsi="Times New Roman" w:eastAsia="宋体" w:cs="Times New Roman"/>
                      <w:b w:val="0"/>
                      <w:bCs w:val="0"/>
                      <w:color w:val="0000FF"/>
                      <w:szCs w:val="21"/>
                      <w:highlight w:val="none"/>
                      <w:lang w:val="en-US" w:eastAsia="zh-CN"/>
                    </w:rPr>
                    <w:t>72</w:t>
                  </w:r>
                </w:p>
              </w:tc>
              <w:tc>
                <w:tcPr>
                  <w:tcW w:w="394" w:type="pct"/>
                  <w:vMerge w:val="continue"/>
                  <w:vAlign w:val="center"/>
                </w:tcPr>
                <w:p w14:paraId="3CCAA600">
                  <w:pPr>
                    <w:keepNext w:val="0"/>
                    <w:keepLines w:val="0"/>
                    <w:suppressLineNumbers w:val="0"/>
                    <w:spacing w:before="0" w:beforeAutospacing="0" w:after="0" w:afterAutospacing="0"/>
                    <w:ind w:left="0" w:right="0"/>
                    <w:jc w:val="center"/>
                    <w:rPr>
                      <w:rFonts w:hint="default" w:ascii="Times New Roman" w:hAnsi="Times New Roman" w:eastAsia="宋体" w:cs="Times New Roman"/>
                      <w:b w:val="0"/>
                      <w:bCs w:val="0"/>
                      <w:color w:val="0000FF"/>
                      <w:szCs w:val="21"/>
                      <w:highlight w:val="none"/>
                    </w:rPr>
                  </w:pPr>
                </w:p>
              </w:tc>
              <w:tc>
                <w:tcPr>
                  <w:tcW w:w="660" w:type="pct"/>
                  <w:shd w:val="clear" w:color="auto" w:fill="auto"/>
                  <w:vAlign w:val="center"/>
                </w:tcPr>
                <w:p w14:paraId="6C62C542">
                  <w:pPr>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color w:val="0000FF"/>
                      <w:kern w:val="2"/>
                      <w:sz w:val="21"/>
                      <w:szCs w:val="21"/>
                      <w:lang w:val="en-US" w:eastAsia="zh-CN" w:bidi="ar-SA"/>
                    </w:rPr>
                  </w:pPr>
                  <w:r>
                    <w:rPr>
                      <w:rFonts w:hint="default" w:ascii="Times New Roman" w:hAnsi="Times New Roman" w:eastAsia="宋体" w:cs="Times New Roman"/>
                      <w:color w:val="0000FF"/>
                      <w:szCs w:val="21"/>
                    </w:rPr>
                    <w:t>全自动海绵密度测试仪</w:t>
                  </w:r>
                </w:p>
              </w:tc>
              <w:tc>
                <w:tcPr>
                  <w:tcW w:w="766" w:type="pct"/>
                  <w:shd w:val="clear" w:color="auto" w:fill="auto"/>
                  <w:vAlign w:val="center"/>
                </w:tcPr>
                <w:p w14:paraId="20775FDD">
                  <w:pPr>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color w:val="0000FF"/>
                      <w:kern w:val="2"/>
                      <w:sz w:val="21"/>
                      <w:szCs w:val="21"/>
                      <w:lang w:val="en-US" w:eastAsia="zh-CN" w:bidi="ar-SA"/>
                    </w:rPr>
                  </w:pPr>
                  <w:r>
                    <w:rPr>
                      <w:rFonts w:hint="default" w:ascii="Times New Roman" w:hAnsi="Times New Roman" w:eastAsia="宋体" w:cs="Times New Roman"/>
                      <w:color w:val="0000FF"/>
                      <w:szCs w:val="21"/>
                    </w:rPr>
                    <w:t>QDJ-120</w:t>
                  </w:r>
                </w:p>
              </w:tc>
              <w:tc>
                <w:tcPr>
                  <w:tcW w:w="483" w:type="pct"/>
                  <w:shd w:val="clear" w:color="auto" w:fill="auto"/>
                  <w:vAlign w:val="center"/>
                </w:tcPr>
                <w:p w14:paraId="1EAFD55B">
                  <w:pPr>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color w:val="0000FF"/>
                      <w:kern w:val="2"/>
                      <w:sz w:val="21"/>
                      <w:szCs w:val="21"/>
                      <w:lang w:val="en-US" w:eastAsia="zh-CN" w:bidi="ar-SA"/>
                    </w:rPr>
                  </w:pPr>
                  <w:r>
                    <w:rPr>
                      <w:rFonts w:hint="default" w:ascii="Times New Roman" w:hAnsi="Times New Roman" w:eastAsia="宋体" w:cs="Times New Roman"/>
                      <w:color w:val="0000FF"/>
                      <w:szCs w:val="21"/>
                    </w:rPr>
                    <w:t>2</w:t>
                  </w:r>
                </w:p>
              </w:tc>
              <w:tc>
                <w:tcPr>
                  <w:tcW w:w="417" w:type="pct"/>
                  <w:shd w:val="clear" w:color="auto" w:fill="auto"/>
                  <w:vAlign w:val="center"/>
                </w:tcPr>
                <w:p w14:paraId="484D84D0">
                  <w:pPr>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color w:val="0000FF"/>
                      <w:kern w:val="2"/>
                      <w:sz w:val="21"/>
                      <w:szCs w:val="21"/>
                      <w:lang w:val="en-US" w:eastAsia="zh-CN" w:bidi="ar-SA"/>
                    </w:rPr>
                  </w:pPr>
                  <w:r>
                    <w:rPr>
                      <w:rFonts w:hint="default" w:ascii="Times New Roman" w:hAnsi="Times New Roman" w:eastAsia="宋体" w:cs="Times New Roman"/>
                      <w:color w:val="0000FF"/>
                      <w:szCs w:val="21"/>
                    </w:rPr>
                    <w:t>2</w:t>
                  </w:r>
                </w:p>
              </w:tc>
              <w:tc>
                <w:tcPr>
                  <w:tcW w:w="592" w:type="pct"/>
                  <w:shd w:val="clear" w:color="auto" w:fill="auto"/>
                  <w:vAlign w:val="center"/>
                </w:tcPr>
                <w:p w14:paraId="28063663">
                  <w:pPr>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color w:val="0000FF"/>
                      <w:kern w:val="2"/>
                      <w:sz w:val="21"/>
                      <w:szCs w:val="21"/>
                      <w:lang w:val="en-US" w:eastAsia="zh-CN" w:bidi="ar-SA"/>
                    </w:rPr>
                  </w:pPr>
                  <w:r>
                    <w:rPr>
                      <w:rFonts w:hint="default" w:ascii="Times New Roman" w:hAnsi="Times New Roman" w:eastAsia="宋体" w:cs="Times New Roman"/>
                      <w:color w:val="0000FF"/>
                      <w:szCs w:val="21"/>
                    </w:rPr>
                    <w:t>2</w:t>
                  </w:r>
                </w:p>
              </w:tc>
              <w:tc>
                <w:tcPr>
                  <w:tcW w:w="537" w:type="pct"/>
                  <w:shd w:val="clear" w:color="auto" w:fill="auto"/>
                  <w:vAlign w:val="center"/>
                </w:tcPr>
                <w:p w14:paraId="7DD25BC1">
                  <w:pPr>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color w:val="0000FF"/>
                      <w:kern w:val="2"/>
                      <w:sz w:val="21"/>
                      <w:szCs w:val="21"/>
                      <w:lang w:val="en-US" w:eastAsia="zh-CN" w:bidi="ar-SA"/>
                    </w:rPr>
                  </w:pPr>
                  <w:r>
                    <w:rPr>
                      <w:rFonts w:hint="default" w:ascii="Times New Roman" w:hAnsi="Times New Roman" w:eastAsia="宋体" w:cs="Times New Roman"/>
                      <w:color w:val="0000FF"/>
                      <w:szCs w:val="21"/>
                    </w:rPr>
                    <w:t>0</w:t>
                  </w:r>
                </w:p>
              </w:tc>
              <w:tc>
                <w:tcPr>
                  <w:tcW w:w="536" w:type="pct"/>
                  <w:gridSpan w:val="2"/>
                  <w:vMerge w:val="continue"/>
                  <w:vAlign w:val="center"/>
                </w:tcPr>
                <w:p w14:paraId="4392BA48">
                  <w:pPr>
                    <w:keepNext w:val="0"/>
                    <w:keepLines w:val="0"/>
                    <w:suppressLineNumbers w:val="0"/>
                    <w:spacing w:before="0" w:beforeAutospacing="0" w:after="0" w:afterAutospacing="0"/>
                    <w:ind w:left="0" w:right="0"/>
                    <w:jc w:val="center"/>
                    <w:rPr>
                      <w:rFonts w:hint="eastAsia" w:ascii="Times New Roman" w:hAnsi="Times New Roman" w:eastAsia="宋体" w:cs="Times New Roman"/>
                      <w:b w:val="0"/>
                      <w:bCs w:val="0"/>
                      <w:color w:val="0000FF"/>
                      <w:szCs w:val="21"/>
                      <w:highlight w:val="none"/>
                      <w:lang w:val="en-US" w:eastAsia="zh-CN"/>
                    </w:rPr>
                  </w:pPr>
                </w:p>
              </w:tc>
              <w:tc>
                <w:tcPr>
                  <w:tcW w:w="320" w:type="pct"/>
                  <w:vAlign w:val="center"/>
                </w:tcPr>
                <w:p w14:paraId="4BBEE957">
                  <w:pPr>
                    <w:keepNext w:val="0"/>
                    <w:keepLines w:val="0"/>
                    <w:suppressLineNumbers w:val="0"/>
                    <w:spacing w:before="0" w:beforeAutospacing="0" w:after="0" w:afterAutospacing="0"/>
                    <w:ind w:left="0" w:right="0"/>
                    <w:jc w:val="center"/>
                    <w:rPr>
                      <w:rFonts w:hint="default" w:ascii="Times New Roman" w:hAnsi="Times New Roman" w:eastAsia="宋体" w:cs="Times New Roman"/>
                      <w:b w:val="0"/>
                      <w:bCs w:val="0"/>
                      <w:color w:val="0000FF"/>
                      <w:szCs w:val="21"/>
                      <w:highlight w:val="none"/>
                    </w:rPr>
                  </w:pPr>
                  <w:r>
                    <w:rPr>
                      <w:rFonts w:hint="eastAsia" w:ascii="Times New Roman" w:hAnsi="Times New Roman" w:eastAsia="宋体" w:cs="Times New Roman"/>
                      <w:b w:val="0"/>
                      <w:bCs w:val="0"/>
                      <w:color w:val="0000FF"/>
                      <w:szCs w:val="21"/>
                      <w:highlight w:val="none"/>
                      <w:lang w:val="en-US" w:eastAsia="zh-CN"/>
                    </w:rPr>
                    <w:t>/</w:t>
                  </w:r>
                </w:p>
              </w:tc>
            </w:tr>
            <w:tr w14:paraId="5310C8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291" w:type="pct"/>
                  <w:shd w:val="clear" w:color="auto" w:fill="auto"/>
                  <w:vAlign w:val="center"/>
                </w:tcPr>
                <w:p w14:paraId="13F78186">
                  <w:pPr>
                    <w:keepNext w:val="0"/>
                    <w:keepLines w:val="0"/>
                    <w:suppressLineNumbers w:val="0"/>
                    <w:spacing w:before="0" w:beforeAutospacing="0" w:after="0" w:afterAutospacing="0"/>
                    <w:ind w:left="0" w:right="0"/>
                    <w:jc w:val="center"/>
                    <w:rPr>
                      <w:rFonts w:hint="default" w:ascii="Times New Roman" w:hAnsi="Times New Roman" w:eastAsia="宋体" w:cs="Times New Roman"/>
                      <w:b w:val="0"/>
                      <w:bCs w:val="0"/>
                      <w:color w:val="0000FF"/>
                      <w:szCs w:val="21"/>
                      <w:highlight w:val="none"/>
                      <w:lang w:val="en-US" w:eastAsia="zh-CN"/>
                    </w:rPr>
                  </w:pPr>
                  <w:r>
                    <w:rPr>
                      <w:rFonts w:hint="eastAsia" w:ascii="Times New Roman" w:hAnsi="Times New Roman" w:eastAsia="宋体" w:cs="Times New Roman"/>
                      <w:b w:val="0"/>
                      <w:bCs w:val="0"/>
                      <w:color w:val="0000FF"/>
                      <w:szCs w:val="21"/>
                      <w:highlight w:val="none"/>
                      <w:lang w:val="en-US" w:eastAsia="zh-CN"/>
                    </w:rPr>
                    <w:t>73</w:t>
                  </w:r>
                </w:p>
              </w:tc>
              <w:tc>
                <w:tcPr>
                  <w:tcW w:w="394" w:type="pct"/>
                  <w:vMerge w:val="continue"/>
                  <w:vAlign w:val="center"/>
                </w:tcPr>
                <w:p w14:paraId="5A2FA4B5">
                  <w:pPr>
                    <w:keepNext w:val="0"/>
                    <w:keepLines w:val="0"/>
                    <w:suppressLineNumbers w:val="0"/>
                    <w:spacing w:before="0" w:beforeAutospacing="0" w:after="0" w:afterAutospacing="0"/>
                    <w:ind w:left="0" w:right="0"/>
                    <w:jc w:val="center"/>
                    <w:rPr>
                      <w:rFonts w:hint="default" w:ascii="Times New Roman" w:hAnsi="Times New Roman" w:eastAsia="宋体" w:cs="Times New Roman"/>
                      <w:b w:val="0"/>
                      <w:bCs w:val="0"/>
                      <w:color w:val="0000FF"/>
                      <w:szCs w:val="21"/>
                      <w:highlight w:val="none"/>
                    </w:rPr>
                  </w:pPr>
                </w:p>
              </w:tc>
              <w:tc>
                <w:tcPr>
                  <w:tcW w:w="660" w:type="pct"/>
                  <w:shd w:val="clear" w:color="auto" w:fill="auto"/>
                  <w:vAlign w:val="center"/>
                </w:tcPr>
                <w:p w14:paraId="6459BCA7">
                  <w:pPr>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color w:val="0000FF"/>
                      <w:kern w:val="2"/>
                      <w:sz w:val="21"/>
                      <w:szCs w:val="21"/>
                      <w:lang w:val="en-US" w:eastAsia="zh-CN" w:bidi="ar-SA"/>
                    </w:rPr>
                  </w:pPr>
                  <w:r>
                    <w:rPr>
                      <w:rFonts w:hint="default" w:ascii="Times New Roman" w:hAnsi="Times New Roman" w:eastAsia="宋体" w:cs="Times New Roman"/>
                      <w:color w:val="0000FF"/>
                      <w:szCs w:val="21"/>
                    </w:rPr>
                    <w:t>邵氏硬度计</w:t>
                  </w:r>
                </w:p>
              </w:tc>
              <w:tc>
                <w:tcPr>
                  <w:tcW w:w="766" w:type="pct"/>
                  <w:shd w:val="clear" w:color="auto" w:fill="auto"/>
                  <w:vAlign w:val="center"/>
                </w:tcPr>
                <w:p w14:paraId="2ADA9691">
                  <w:pPr>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color w:val="0000FF"/>
                      <w:kern w:val="2"/>
                      <w:sz w:val="21"/>
                      <w:szCs w:val="21"/>
                      <w:lang w:val="en-US" w:eastAsia="zh-CN" w:bidi="ar-SA"/>
                    </w:rPr>
                  </w:pPr>
                  <w:r>
                    <w:rPr>
                      <w:rFonts w:hint="default" w:ascii="Times New Roman" w:hAnsi="Times New Roman" w:eastAsia="宋体" w:cs="Times New Roman"/>
                      <w:color w:val="0000FF"/>
                      <w:szCs w:val="21"/>
                    </w:rPr>
                    <w:t>LX-系列</w:t>
                  </w:r>
                </w:p>
              </w:tc>
              <w:tc>
                <w:tcPr>
                  <w:tcW w:w="483" w:type="pct"/>
                  <w:shd w:val="clear" w:color="auto" w:fill="auto"/>
                  <w:vAlign w:val="center"/>
                </w:tcPr>
                <w:p w14:paraId="4C12AFEC">
                  <w:pPr>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color w:val="0000FF"/>
                      <w:kern w:val="2"/>
                      <w:sz w:val="21"/>
                      <w:szCs w:val="21"/>
                      <w:lang w:val="en-US" w:eastAsia="zh-CN" w:bidi="ar-SA"/>
                    </w:rPr>
                  </w:pPr>
                  <w:r>
                    <w:rPr>
                      <w:rFonts w:hint="default" w:ascii="Times New Roman" w:hAnsi="Times New Roman" w:eastAsia="宋体" w:cs="Times New Roman"/>
                      <w:color w:val="0000FF"/>
                      <w:szCs w:val="21"/>
                    </w:rPr>
                    <w:t>3</w:t>
                  </w:r>
                </w:p>
              </w:tc>
              <w:tc>
                <w:tcPr>
                  <w:tcW w:w="417" w:type="pct"/>
                  <w:shd w:val="clear" w:color="auto" w:fill="auto"/>
                  <w:vAlign w:val="center"/>
                </w:tcPr>
                <w:p w14:paraId="2FBCF046">
                  <w:pPr>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color w:val="0000FF"/>
                      <w:kern w:val="2"/>
                      <w:sz w:val="21"/>
                      <w:szCs w:val="21"/>
                      <w:lang w:val="en-US" w:eastAsia="zh-CN" w:bidi="ar-SA"/>
                    </w:rPr>
                  </w:pPr>
                  <w:r>
                    <w:rPr>
                      <w:rFonts w:hint="default" w:ascii="Times New Roman" w:hAnsi="Times New Roman" w:eastAsia="宋体" w:cs="Times New Roman"/>
                      <w:color w:val="0000FF"/>
                      <w:szCs w:val="21"/>
                    </w:rPr>
                    <w:t>3</w:t>
                  </w:r>
                </w:p>
              </w:tc>
              <w:tc>
                <w:tcPr>
                  <w:tcW w:w="592" w:type="pct"/>
                  <w:shd w:val="clear" w:color="auto" w:fill="auto"/>
                  <w:vAlign w:val="center"/>
                </w:tcPr>
                <w:p w14:paraId="0CE6AC93">
                  <w:pPr>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color w:val="0000FF"/>
                      <w:kern w:val="2"/>
                      <w:sz w:val="21"/>
                      <w:szCs w:val="21"/>
                      <w:lang w:val="en-US" w:eastAsia="zh-CN" w:bidi="ar-SA"/>
                    </w:rPr>
                  </w:pPr>
                  <w:r>
                    <w:rPr>
                      <w:rFonts w:hint="default" w:ascii="Times New Roman" w:hAnsi="Times New Roman" w:eastAsia="宋体" w:cs="Times New Roman"/>
                      <w:color w:val="0000FF"/>
                      <w:szCs w:val="21"/>
                    </w:rPr>
                    <w:t>3</w:t>
                  </w:r>
                </w:p>
              </w:tc>
              <w:tc>
                <w:tcPr>
                  <w:tcW w:w="537" w:type="pct"/>
                  <w:shd w:val="clear" w:color="auto" w:fill="auto"/>
                  <w:vAlign w:val="center"/>
                </w:tcPr>
                <w:p w14:paraId="08E8646C">
                  <w:pPr>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color w:val="0000FF"/>
                      <w:kern w:val="2"/>
                      <w:sz w:val="21"/>
                      <w:szCs w:val="21"/>
                      <w:lang w:val="en-US" w:eastAsia="zh-CN" w:bidi="ar-SA"/>
                    </w:rPr>
                  </w:pPr>
                  <w:r>
                    <w:rPr>
                      <w:rFonts w:hint="default" w:ascii="Times New Roman" w:hAnsi="Times New Roman" w:eastAsia="宋体" w:cs="Times New Roman"/>
                      <w:color w:val="0000FF"/>
                      <w:szCs w:val="21"/>
                    </w:rPr>
                    <w:t>0</w:t>
                  </w:r>
                </w:p>
              </w:tc>
              <w:tc>
                <w:tcPr>
                  <w:tcW w:w="536" w:type="pct"/>
                  <w:gridSpan w:val="2"/>
                  <w:vMerge w:val="continue"/>
                  <w:vAlign w:val="center"/>
                </w:tcPr>
                <w:p w14:paraId="55A50087">
                  <w:pPr>
                    <w:keepNext w:val="0"/>
                    <w:keepLines w:val="0"/>
                    <w:suppressLineNumbers w:val="0"/>
                    <w:spacing w:before="0" w:beforeAutospacing="0" w:after="0" w:afterAutospacing="0"/>
                    <w:ind w:left="0" w:right="0"/>
                    <w:jc w:val="center"/>
                    <w:rPr>
                      <w:rFonts w:hint="eastAsia" w:ascii="Times New Roman" w:hAnsi="Times New Roman" w:eastAsia="宋体" w:cs="Times New Roman"/>
                      <w:b w:val="0"/>
                      <w:bCs w:val="0"/>
                      <w:color w:val="0000FF"/>
                      <w:szCs w:val="21"/>
                      <w:highlight w:val="none"/>
                      <w:lang w:val="en-US" w:eastAsia="zh-CN"/>
                    </w:rPr>
                  </w:pPr>
                </w:p>
              </w:tc>
              <w:tc>
                <w:tcPr>
                  <w:tcW w:w="320" w:type="pct"/>
                  <w:vAlign w:val="center"/>
                </w:tcPr>
                <w:p w14:paraId="3E2479D0">
                  <w:pPr>
                    <w:keepNext w:val="0"/>
                    <w:keepLines w:val="0"/>
                    <w:suppressLineNumbers w:val="0"/>
                    <w:spacing w:before="0" w:beforeAutospacing="0" w:after="0" w:afterAutospacing="0"/>
                    <w:ind w:left="0" w:right="0"/>
                    <w:jc w:val="center"/>
                    <w:rPr>
                      <w:rFonts w:hint="default" w:ascii="Times New Roman" w:hAnsi="Times New Roman" w:eastAsia="宋体" w:cs="Times New Roman"/>
                      <w:b w:val="0"/>
                      <w:bCs w:val="0"/>
                      <w:color w:val="0000FF"/>
                      <w:szCs w:val="21"/>
                      <w:highlight w:val="none"/>
                    </w:rPr>
                  </w:pPr>
                  <w:r>
                    <w:rPr>
                      <w:rFonts w:hint="eastAsia" w:ascii="Times New Roman" w:hAnsi="Times New Roman" w:eastAsia="宋体" w:cs="Times New Roman"/>
                      <w:b w:val="0"/>
                      <w:bCs w:val="0"/>
                      <w:color w:val="0000FF"/>
                      <w:szCs w:val="21"/>
                      <w:highlight w:val="none"/>
                      <w:lang w:val="en-US" w:eastAsia="zh-CN"/>
                    </w:rPr>
                    <w:t>/</w:t>
                  </w:r>
                </w:p>
              </w:tc>
            </w:tr>
            <w:tr w14:paraId="4ED3E0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291" w:type="pct"/>
                  <w:shd w:val="clear" w:color="auto" w:fill="auto"/>
                  <w:vAlign w:val="center"/>
                </w:tcPr>
                <w:p w14:paraId="697BBE89">
                  <w:pPr>
                    <w:keepNext w:val="0"/>
                    <w:keepLines w:val="0"/>
                    <w:suppressLineNumbers w:val="0"/>
                    <w:spacing w:before="0" w:beforeAutospacing="0" w:after="0" w:afterAutospacing="0"/>
                    <w:ind w:left="0" w:right="0"/>
                    <w:jc w:val="center"/>
                    <w:rPr>
                      <w:rFonts w:hint="default" w:ascii="Times New Roman" w:hAnsi="Times New Roman" w:eastAsia="宋体" w:cs="Times New Roman"/>
                      <w:b w:val="0"/>
                      <w:bCs w:val="0"/>
                      <w:color w:val="0000FF"/>
                      <w:szCs w:val="21"/>
                      <w:highlight w:val="none"/>
                      <w:lang w:val="en-US" w:eastAsia="zh-CN"/>
                    </w:rPr>
                  </w:pPr>
                  <w:r>
                    <w:rPr>
                      <w:rFonts w:hint="eastAsia" w:ascii="Times New Roman" w:hAnsi="Times New Roman" w:eastAsia="宋体" w:cs="Times New Roman"/>
                      <w:b w:val="0"/>
                      <w:bCs w:val="0"/>
                      <w:color w:val="0000FF"/>
                      <w:szCs w:val="21"/>
                      <w:highlight w:val="none"/>
                      <w:lang w:val="en-US" w:eastAsia="zh-CN"/>
                    </w:rPr>
                    <w:t>74</w:t>
                  </w:r>
                </w:p>
              </w:tc>
              <w:tc>
                <w:tcPr>
                  <w:tcW w:w="394" w:type="pct"/>
                  <w:vMerge w:val="continue"/>
                  <w:vAlign w:val="center"/>
                </w:tcPr>
                <w:p w14:paraId="749571EB">
                  <w:pPr>
                    <w:keepNext w:val="0"/>
                    <w:keepLines w:val="0"/>
                    <w:suppressLineNumbers w:val="0"/>
                    <w:spacing w:before="0" w:beforeAutospacing="0" w:after="0" w:afterAutospacing="0"/>
                    <w:ind w:left="0" w:right="0"/>
                    <w:jc w:val="center"/>
                    <w:rPr>
                      <w:rFonts w:hint="default" w:ascii="Times New Roman" w:hAnsi="Times New Roman" w:eastAsia="宋体" w:cs="Times New Roman"/>
                      <w:b w:val="0"/>
                      <w:bCs w:val="0"/>
                      <w:color w:val="0000FF"/>
                      <w:szCs w:val="21"/>
                      <w:highlight w:val="none"/>
                    </w:rPr>
                  </w:pPr>
                </w:p>
              </w:tc>
              <w:tc>
                <w:tcPr>
                  <w:tcW w:w="660" w:type="pct"/>
                  <w:shd w:val="clear" w:color="auto" w:fill="auto"/>
                  <w:vAlign w:val="center"/>
                </w:tcPr>
                <w:p w14:paraId="5626098E">
                  <w:pPr>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color w:val="0000FF"/>
                      <w:kern w:val="2"/>
                      <w:sz w:val="21"/>
                      <w:szCs w:val="21"/>
                      <w:lang w:val="en-US" w:eastAsia="zh-CN" w:bidi="ar-SA"/>
                    </w:rPr>
                  </w:pPr>
                  <w:r>
                    <w:rPr>
                      <w:rFonts w:hint="default" w:ascii="Times New Roman" w:hAnsi="Times New Roman" w:eastAsia="宋体" w:cs="Times New Roman"/>
                      <w:color w:val="0000FF"/>
                      <w:szCs w:val="21"/>
                    </w:rPr>
                    <w:t>较柔软发泡材料硬度计</w:t>
                  </w:r>
                </w:p>
              </w:tc>
              <w:tc>
                <w:tcPr>
                  <w:tcW w:w="766" w:type="pct"/>
                  <w:shd w:val="clear" w:color="auto" w:fill="auto"/>
                  <w:vAlign w:val="center"/>
                </w:tcPr>
                <w:p w14:paraId="16B52797">
                  <w:pPr>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color w:val="0000FF"/>
                      <w:kern w:val="2"/>
                      <w:sz w:val="21"/>
                      <w:szCs w:val="21"/>
                      <w:lang w:val="en-US" w:eastAsia="zh-CN" w:bidi="ar-SA"/>
                    </w:rPr>
                  </w:pPr>
                  <w:r>
                    <w:rPr>
                      <w:rFonts w:hint="default" w:ascii="Times New Roman" w:hAnsi="Times New Roman" w:eastAsia="宋体" w:cs="Times New Roman"/>
                      <w:color w:val="0000FF"/>
                      <w:szCs w:val="21"/>
                    </w:rPr>
                    <w:t>LX-00</w:t>
                  </w:r>
                </w:p>
              </w:tc>
              <w:tc>
                <w:tcPr>
                  <w:tcW w:w="483" w:type="pct"/>
                  <w:shd w:val="clear" w:color="auto" w:fill="auto"/>
                  <w:vAlign w:val="center"/>
                </w:tcPr>
                <w:p w14:paraId="448F8A79">
                  <w:pPr>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color w:val="0000FF"/>
                      <w:kern w:val="2"/>
                      <w:sz w:val="21"/>
                      <w:szCs w:val="21"/>
                      <w:lang w:val="en-US" w:eastAsia="zh-CN" w:bidi="ar-SA"/>
                    </w:rPr>
                  </w:pPr>
                  <w:r>
                    <w:rPr>
                      <w:rFonts w:hint="default" w:ascii="Times New Roman" w:hAnsi="Times New Roman" w:eastAsia="宋体" w:cs="Times New Roman"/>
                      <w:color w:val="0000FF"/>
                      <w:szCs w:val="21"/>
                    </w:rPr>
                    <w:t>1</w:t>
                  </w:r>
                </w:p>
              </w:tc>
              <w:tc>
                <w:tcPr>
                  <w:tcW w:w="417" w:type="pct"/>
                  <w:shd w:val="clear" w:color="auto" w:fill="auto"/>
                  <w:vAlign w:val="center"/>
                </w:tcPr>
                <w:p w14:paraId="3C8F5CB6">
                  <w:pPr>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color w:val="0000FF"/>
                      <w:kern w:val="2"/>
                      <w:sz w:val="21"/>
                      <w:szCs w:val="21"/>
                      <w:lang w:val="en-US" w:eastAsia="zh-CN" w:bidi="ar-SA"/>
                    </w:rPr>
                  </w:pPr>
                  <w:r>
                    <w:rPr>
                      <w:rFonts w:hint="default" w:ascii="Times New Roman" w:hAnsi="Times New Roman" w:eastAsia="宋体" w:cs="Times New Roman"/>
                      <w:color w:val="0000FF"/>
                      <w:szCs w:val="21"/>
                    </w:rPr>
                    <w:t>1</w:t>
                  </w:r>
                </w:p>
              </w:tc>
              <w:tc>
                <w:tcPr>
                  <w:tcW w:w="592" w:type="pct"/>
                  <w:shd w:val="clear" w:color="auto" w:fill="auto"/>
                  <w:vAlign w:val="center"/>
                </w:tcPr>
                <w:p w14:paraId="7A9425BC">
                  <w:pPr>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color w:val="0000FF"/>
                      <w:kern w:val="2"/>
                      <w:sz w:val="21"/>
                      <w:szCs w:val="21"/>
                      <w:lang w:val="en-US" w:eastAsia="zh-CN" w:bidi="ar-SA"/>
                    </w:rPr>
                  </w:pPr>
                  <w:r>
                    <w:rPr>
                      <w:rFonts w:hint="default" w:ascii="Times New Roman" w:hAnsi="Times New Roman" w:eastAsia="宋体" w:cs="Times New Roman"/>
                      <w:color w:val="0000FF"/>
                      <w:szCs w:val="21"/>
                    </w:rPr>
                    <w:t>1</w:t>
                  </w:r>
                </w:p>
              </w:tc>
              <w:tc>
                <w:tcPr>
                  <w:tcW w:w="537" w:type="pct"/>
                  <w:shd w:val="clear" w:color="auto" w:fill="auto"/>
                  <w:vAlign w:val="center"/>
                </w:tcPr>
                <w:p w14:paraId="5C901C73">
                  <w:pPr>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color w:val="0000FF"/>
                      <w:kern w:val="2"/>
                      <w:sz w:val="21"/>
                      <w:szCs w:val="21"/>
                      <w:lang w:val="en-US" w:eastAsia="zh-CN" w:bidi="ar-SA"/>
                    </w:rPr>
                  </w:pPr>
                  <w:r>
                    <w:rPr>
                      <w:rFonts w:hint="default" w:ascii="Times New Roman" w:hAnsi="Times New Roman" w:eastAsia="宋体" w:cs="Times New Roman"/>
                      <w:color w:val="0000FF"/>
                      <w:szCs w:val="21"/>
                    </w:rPr>
                    <w:t>0</w:t>
                  </w:r>
                </w:p>
              </w:tc>
              <w:tc>
                <w:tcPr>
                  <w:tcW w:w="536" w:type="pct"/>
                  <w:gridSpan w:val="2"/>
                  <w:vMerge w:val="continue"/>
                  <w:vAlign w:val="center"/>
                </w:tcPr>
                <w:p w14:paraId="6C80EBBE">
                  <w:pPr>
                    <w:keepNext w:val="0"/>
                    <w:keepLines w:val="0"/>
                    <w:suppressLineNumbers w:val="0"/>
                    <w:spacing w:before="0" w:beforeAutospacing="0" w:after="0" w:afterAutospacing="0"/>
                    <w:ind w:left="0" w:right="0"/>
                    <w:jc w:val="center"/>
                    <w:rPr>
                      <w:rFonts w:hint="eastAsia" w:ascii="Times New Roman" w:hAnsi="Times New Roman" w:eastAsia="宋体" w:cs="Times New Roman"/>
                      <w:b w:val="0"/>
                      <w:bCs w:val="0"/>
                      <w:color w:val="0000FF"/>
                      <w:szCs w:val="21"/>
                      <w:highlight w:val="none"/>
                      <w:lang w:val="en-US" w:eastAsia="zh-CN"/>
                    </w:rPr>
                  </w:pPr>
                </w:p>
              </w:tc>
              <w:tc>
                <w:tcPr>
                  <w:tcW w:w="320" w:type="pct"/>
                  <w:vAlign w:val="center"/>
                </w:tcPr>
                <w:p w14:paraId="6756E68B">
                  <w:pPr>
                    <w:keepNext w:val="0"/>
                    <w:keepLines w:val="0"/>
                    <w:suppressLineNumbers w:val="0"/>
                    <w:spacing w:before="0" w:beforeAutospacing="0" w:after="0" w:afterAutospacing="0"/>
                    <w:ind w:left="0" w:right="0"/>
                    <w:jc w:val="center"/>
                    <w:rPr>
                      <w:rFonts w:hint="default" w:ascii="Times New Roman" w:hAnsi="Times New Roman" w:eastAsia="宋体" w:cs="Times New Roman"/>
                      <w:b w:val="0"/>
                      <w:bCs w:val="0"/>
                      <w:color w:val="0000FF"/>
                      <w:szCs w:val="21"/>
                      <w:highlight w:val="none"/>
                    </w:rPr>
                  </w:pPr>
                  <w:r>
                    <w:rPr>
                      <w:rFonts w:hint="eastAsia" w:ascii="Times New Roman" w:hAnsi="Times New Roman" w:eastAsia="宋体" w:cs="Times New Roman"/>
                      <w:b w:val="0"/>
                      <w:bCs w:val="0"/>
                      <w:color w:val="0000FF"/>
                      <w:szCs w:val="21"/>
                      <w:highlight w:val="none"/>
                      <w:lang w:val="en-US" w:eastAsia="zh-CN"/>
                    </w:rPr>
                    <w:t>/</w:t>
                  </w:r>
                </w:p>
              </w:tc>
            </w:tr>
            <w:tr w14:paraId="63CD89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291" w:type="pct"/>
                  <w:shd w:val="clear" w:color="auto" w:fill="auto"/>
                  <w:vAlign w:val="center"/>
                </w:tcPr>
                <w:p w14:paraId="6B99478D">
                  <w:pPr>
                    <w:keepNext w:val="0"/>
                    <w:keepLines w:val="0"/>
                    <w:suppressLineNumbers w:val="0"/>
                    <w:spacing w:before="0" w:beforeAutospacing="0" w:after="0" w:afterAutospacing="0"/>
                    <w:ind w:left="0" w:right="0"/>
                    <w:jc w:val="center"/>
                    <w:rPr>
                      <w:rFonts w:hint="default" w:ascii="Times New Roman" w:hAnsi="Times New Roman" w:eastAsia="宋体" w:cs="Times New Roman"/>
                      <w:b w:val="0"/>
                      <w:bCs w:val="0"/>
                      <w:color w:val="0000FF"/>
                      <w:szCs w:val="21"/>
                      <w:highlight w:val="none"/>
                      <w:lang w:val="en-US" w:eastAsia="zh-CN"/>
                    </w:rPr>
                  </w:pPr>
                  <w:r>
                    <w:rPr>
                      <w:rFonts w:hint="eastAsia" w:ascii="Times New Roman" w:hAnsi="Times New Roman" w:eastAsia="宋体" w:cs="Times New Roman"/>
                      <w:b w:val="0"/>
                      <w:bCs w:val="0"/>
                      <w:color w:val="0000FF"/>
                      <w:szCs w:val="21"/>
                      <w:highlight w:val="none"/>
                      <w:lang w:val="en-US" w:eastAsia="zh-CN"/>
                    </w:rPr>
                    <w:t>75</w:t>
                  </w:r>
                </w:p>
              </w:tc>
              <w:tc>
                <w:tcPr>
                  <w:tcW w:w="394" w:type="pct"/>
                  <w:vMerge w:val="continue"/>
                  <w:vAlign w:val="center"/>
                </w:tcPr>
                <w:p w14:paraId="6BFB12A6">
                  <w:pPr>
                    <w:keepNext w:val="0"/>
                    <w:keepLines w:val="0"/>
                    <w:suppressLineNumbers w:val="0"/>
                    <w:spacing w:before="0" w:beforeAutospacing="0" w:after="0" w:afterAutospacing="0"/>
                    <w:ind w:left="0" w:right="0"/>
                    <w:jc w:val="center"/>
                    <w:rPr>
                      <w:rFonts w:hint="default" w:ascii="Times New Roman" w:hAnsi="Times New Roman" w:eastAsia="宋体" w:cs="Times New Roman"/>
                      <w:b w:val="0"/>
                      <w:bCs w:val="0"/>
                      <w:color w:val="0000FF"/>
                      <w:szCs w:val="21"/>
                      <w:highlight w:val="none"/>
                    </w:rPr>
                  </w:pPr>
                </w:p>
              </w:tc>
              <w:tc>
                <w:tcPr>
                  <w:tcW w:w="660" w:type="pct"/>
                  <w:vMerge w:val="restart"/>
                  <w:shd w:val="clear" w:color="auto" w:fill="auto"/>
                  <w:vAlign w:val="center"/>
                </w:tcPr>
                <w:p w14:paraId="7C7DA6EB">
                  <w:pPr>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color w:val="0000FF"/>
                      <w:kern w:val="2"/>
                      <w:sz w:val="21"/>
                      <w:szCs w:val="21"/>
                      <w:lang w:val="en-US" w:eastAsia="zh-CN" w:bidi="ar-SA"/>
                    </w:rPr>
                  </w:pPr>
                  <w:r>
                    <w:rPr>
                      <w:rFonts w:hint="default" w:ascii="Times New Roman" w:hAnsi="Times New Roman" w:eastAsia="宋体" w:cs="Times New Roman"/>
                      <w:color w:val="0000FF"/>
                      <w:szCs w:val="21"/>
                    </w:rPr>
                    <w:t>电热鼓风干燥箱</w:t>
                  </w:r>
                </w:p>
              </w:tc>
              <w:tc>
                <w:tcPr>
                  <w:tcW w:w="766" w:type="pct"/>
                  <w:shd w:val="clear" w:color="auto" w:fill="auto"/>
                  <w:vAlign w:val="center"/>
                </w:tcPr>
                <w:p w14:paraId="5E5FA901">
                  <w:pPr>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color w:val="0000FF"/>
                      <w:kern w:val="2"/>
                      <w:sz w:val="21"/>
                      <w:szCs w:val="21"/>
                      <w:lang w:val="en-US" w:eastAsia="zh-CN" w:bidi="ar-SA"/>
                    </w:rPr>
                  </w:pPr>
                  <w:r>
                    <w:rPr>
                      <w:rFonts w:hint="default" w:ascii="Times New Roman" w:hAnsi="Times New Roman" w:eastAsia="宋体" w:cs="Times New Roman"/>
                      <w:color w:val="0000FF"/>
                      <w:szCs w:val="21"/>
                    </w:rPr>
                    <w:t>101A-2</w:t>
                  </w:r>
                </w:p>
              </w:tc>
              <w:tc>
                <w:tcPr>
                  <w:tcW w:w="483" w:type="pct"/>
                  <w:shd w:val="clear" w:color="auto" w:fill="auto"/>
                  <w:vAlign w:val="center"/>
                </w:tcPr>
                <w:p w14:paraId="1240901A">
                  <w:pPr>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color w:val="0000FF"/>
                      <w:kern w:val="2"/>
                      <w:sz w:val="21"/>
                      <w:szCs w:val="21"/>
                      <w:lang w:val="en-US" w:eastAsia="zh-CN" w:bidi="ar-SA"/>
                    </w:rPr>
                  </w:pPr>
                  <w:r>
                    <w:rPr>
                      <w:rFonts w:hint="default" w:ascii="Times New Roman" w:hAnsi="Times New Roman" w:eastAsia="宋体" w:cs="Times New Roman"/>
                      <w:color w:val="0000FF"/>
                      <w:szCs w:val="21"/>
                    </w:rPr>
                    <w:t>3</w:t>
                  </w:r>
                </w:p>
              </w:tc>
              <w:tc>
                <w:tcPr>
                  <w:tcW w:w="417" w:type="pct"/>
                  <w:shd w:val="clear" w:color="auto" w:fill="auto"/>
                  <w:vAlign w:val="center"/>
                </w:tcPr>
                <w:p w14:paraId="162DF608">
                  <w:pPr>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color w:val="0000FF"/>
                      <w:kern w:val="2"/>
                      <w:sz w:val="21"/>
                      <w:szCs w:val="21"/>
                      <w:lang w:val="en-US" w:eastAsia="zh-CN" w:bidi="ar-SA"/>
                    </w:rPr>
                  </w:pPr>
                  <w:r>
                    <w:rPr>
                      <w:rFonts w:hint="default" w:ascii="Times New Roman" w:hAnsi="Times New Roman" w:eastAsia="宋体" w:cs="Times New Roman"/>
                      <w:color w:val="0000FF"/>
                      <w:szCs w:val="21"/>
                    </w:rPr>
                    <w:t>3</w:t>
                  </w:r>
                </w:p>
              </w:tc>
              <w:tc>
                <w:tcPr>
                  <w:tcW w:w="592" w:type="pct"/>
                  <w:shd w:val="clear" w:color="auto" w:fill="auto"/>
                  <w:vAlign w:val="center"/>
                </w:tcPr>
                <w:p w14:paraId="1E01A4BC">
                  <w:pPr>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color w:val="0000FF"/>
                      <w:kern w:val="2"/>
                      <w:sz w:val="21"/>
                      <w:szCs w:val="21"/>
                      <w:lang w:val="en-US" w:eastAsia="zh-CN" w:bidi="ar-SA"/>
                    </w:rPr>
                  </w:pPr>
                  <w:r>
                    <w:rPr>
                      <w:rFonts w:hint="default" w:ascii="Times New Roman" w:hAnsi="Times New Roman" w:eastAsia="宋体" w:cs="Times New Roman"/>
                      <w:color w:val="0000FF"/>
                      <w:szCs w:val="21"/>
                    </w:rPr>
                    <w:t>3</w:t>
                  </w:r>
                </w:p>
              </w:tc>
              <w:tc>
                <w:tcPr>
                  <w:tcW w:w="537" w:type="pct"/>
                  <w:shd w:val="clear" w:color="auto" w:fill="auto"/>
                  <w:vAlign w:val="center"/>
                </w:tcPr>
                <w:p w14:paraId="28A249C4">
                  <w:pPr>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color w:val="0000FF"/>
                      <w:kern w:val="2"/>
                      <w:sz w:val="21"/>
                      <w:szCs w:val="21"/>
                      <w:lang w:val="en-US" w:eastAsia="zh-CN" w:bidi="ar-SA"/>
                    </w:rPr>
                  </w:pPr>
                  <w:r>
                    <w:rPr>
                      <w:rFonts w:hint="default" w:ascii="Times New Roman" w:hAnsi="Times New Roman" w:eastAsia="宋体" w:cs="Times New Roman"/>
                      <w:color w:val="0000FF"/>
                      <w:szCs w:val="21"/>
                    </w:rPr>
                    <w:t>0</w:t>
                  </w:r>
                </w:p>
              </w:tc>
              <w:tc>
                <w:tcPr>
                  <w:tcW w:w="536" w:type="pct"/>
                  <w:gridSpan w:val="2"/>
                  <w:vMerge w:val="continue"/>
                  <w:vAlign w:val="center"/>
                </w:tcPr>
                <w:p w14:paraId="7E769F18">
                  <w:pPr>
                    <w:keepNext w:val="0"/>
                    <w:keepLines w:val="0"/>
                    <w:suppressLineNumbers w:val="0"/>
                    <w:spacing w:before="0" w:beforeAutospacing="0" w:after="0" w:afterAutospacing="0"/>
                    <w:ind w:left="0" w:right="0"/>
                    <w:jc w:val="center"/>
                    <w:rPr>
                      <w:rFonts w:hint="eastAsia" w:ascii="Times New Roman" w:hAnsi="Times New Roman" w:eastAsia="宋体" w:cs="Times New Roman"/>
                      <w:b w:val="0"/>
                      <w:bCs w:val="0"/>
                      <w:color w:val="0000FF"/>
                      <w:szCs w:val="21"/>
                      <w:highlight w:val="none"/>
                      <w:lang w:val="en-US" w:eastAsia="zh-CN"/>
                    </w:rPr>
                  </w:pPr>
                </w:p>
              </w:tc>
              <w:tc>
                <w:tcPr>
                  <w:tcW w:w="320" w:type="pct"/>
                  <w:vAlign w:val="center"/>
                </w:tcPr>
                <w:p w14:paraId="53A8E8A0">
                  <w:pPr>
                    <w:keepNext w:val="0"/>
                    <w:keepLines w:val="0"/>
                    <w:suppressLineNumbers w:val="0"/>
                    <w:spacing w:before="0" w:beforeAutospacing="0" w:after="0" w:afterAutospacing="0"/>
                    <w:ind w:left="0" w:right="0"/>
                    <w:jc w:val="center"/>
                    <w:rPr>
                      <w:rFonts w:hint="default" w:ascii="Times New Roman" w:hAnsi="Times New Roman" w:eastAsia="宋体" w:cs="Times New Roman"/>
                      <w:b w:val="0"/>
                      <w:bCs w:val="0"/>
                      <w:color w:val="0000FF"/>
                      <w:szCs w:val="21"/>
                      <w:highlight w:val="none"/>
                    </w:rPr>
                  </w:pPr>
                  <w:r>
                    <w:rPr>
                      <w:rFonts w:hint="eastAsia" w:ascii="Times New Roman" w:hAnsi="Times New Roman" w:eastAsia="宋体" w:cs="Times New Roman"/>
                      <w:b w:val="0"/>
                      <w:bCs w:val="0"/>
                      <w:color w:val="0000FF"/>
                      <w:szCs w:val="21"/>
                      <w:highlight w:val="none"/>
                      <w:lang w:val="en-US" w:eastAsia="zh-CN"/>
                    </w:rPr>
                    <w:t>/</w:t>
                  </w:r>
                </w:p>
              </w:tc>
            </w:tr>
            <w:tr w14:paraId="0F9947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291" w:type="pct"/>
                  <w:shd w:val="clear" w:color="auto" w:fill="auto"/>
                  <w:vAlign w:val="center"/>
                </w:tcPr>
                <w:p w14:paraId="4F931ED9">
                  <w:pPr>
                    <w:keepNext w:val="0"/>
                    <w:keepLines w:val="0"/>
                    <w:suppressLineNumbers w:val="0"/>
                    <w:spacing w:before="0" w:beforeAutospacing="0" w:after="0" w:afterAutospacing="0"/>
                    <w:ind w:left="0" w:right="0"/>
                    <w:jc w:val="center"/>
                    <w:rPr>
                      <w:rFonts w:hint="default" w:ascii="Times New Roman" w:hAnsi="Times New Roman" w:eastAsia="宋体" w:cs="Times New Roman"/>
                      <w:b w:val="0"/>
                      <w:bCs w:val="0"/>
                      <w:color w:val="0000FF"/>
                      <w:szCs w:val="21"/>
                      <w:highlight w:val="none"/>
                      <w:lang w:val="en-US" w:eastAsia="zh-CN"/>
                    </w:rPr>
                  </w:pPr>
                  <w:r>
                    <w:rPr>
                      <w:rFonts w:hint="eastAsia" w:ascii="Times New Roman" w:hAnsi="Times New Roman" w:eastAsia="宋体" w:cs="Times New Roman"/>
                      <w:b w:val="0"/>
                      <w:bCs w:val="0"/>
                      <w:color w:val="0000FF"/>
                      <w:szCs w:val="21"/>
                      <w:highlight w:val="none"/>
                      <w:lang w:val="en-US" w:eastAsia="zh-CN"/>
                    </w:rPr>
                    <w:t>76</w:t>
                  </w:r>
                </w:p>
              </w:tc>
              <w:tc>
                <w:tcPr>
                  <w:tcW w:w="394" w:type="pct"/>
                  <w:vMerge w:val="continue"/>
                  <w:vAlign w:val="center"/>
                </w:tcPr>
                <w:p w14:paraId="496560A8">
                  <w:pPr>
                    <w:keepNext w:val="0"/>
                    <w:keepLines w:val="0"/>
                    <w:suppressLineNumbers w:val="0"/>
                    <w:spacing w:before="0" w:beforeAutospacing="0" w:after="0" w:afterAutospacing="0"/>
                    <w:ind w:left="0" w:right="0"/>
                    <w:jc w:val="center"/>
                    <w:rPr>
                      <w:rFonts w:hint="default" w:ascii="Times New Roman" w:hAnsi="Times New Roman" w:eastAsia="宋体" w:cs="Times New Roman"/>
                      <w:b w:val="0"/>
                      <w:bCs w:val="0"/>
                      <w:color w:val="0000FF"/>
                      <w:szCs w:val="21"/>
                      <w:highlight w:val="none"/>
                    </w:rPr>
                  </w:pPr>
                </w:p>
              </w:tc>
              <w:tc>
                <w:tcPr>
                  <w:tcW w:w="660" w:type="pct"/>
                  <w:vMerge w:val="continue"/>
                  <w:vAlign w:val="center"/>
                </w:tcPr>
                <w:p w14:paraId="59929D6E">
                  <w:pPr>
                    <w:keepNext w:val="0"/>
                    <w:keepLines w:val="0"/>
                    <w:suppressLineNumbers w:val="0"/>
                    <w:spacing w:before="0" w:beforeAutospacing="0" w:after="0" w:afterAutospacing="0"/>
                    <w:ind w:left="0" w:right="0"/>
                    <w:jc w:val="center"/>
                    <w:rPr>
                      <w:rFonts w:hint="default" w:ascii="Times New Roman" w:hAnsi="Times New Roman" w:eastAsia="宋体" w:cs="Times New Roman"/>
                      <w:b w:val="0"/>
                      <w:bCs w:val="0"/>
                      <w:color w:val="0000FF"/>
                      <w:szCs w:val="21"/>
                      <w:highlight w:val="none"/>
                    </w:rPr>
                  </w:pPr>
                </w:p>
              </w:tc>
              <w:tc>
                <w:tcPr>
                  <w:tcW w:w="766" w:type="pct"/>
                  <w:shd w:val="clear" w:color="auto" w:fill="auto"/>
                  <w:vAlign w:val="center"/>
                </w:tcPr>
                <w:p w14:paraId="2ED3645E">
                  <w:pPr>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color w:val="0000FF"/>
                      <w:kern w:val="2"/>
                      <w:sz w:val="21"/>
                      <w:szCs w:val="21"/>
                      <w:lang w:val="en-US" w:eastAsia="zh-CN" w:bidi="ar-SA"/>
                    </w:rPr>
                  </w:pPr>
                  <w:r>
                    <w:rPr>
                      <w:rFonts w:hint="default" w:ascii="Times New Roman" w:hAnsi="Times New Roman" w:eastAsia="宋体" w:cs="Times New Roman"/>
                      <w:color w:val="0000FF"/>
                      <w:szCs w:val="21"/>
                    </w:rPr>
                    <w:t>DHG-9038A</w:t>
                  </w:r>
                </w:p>
              </w:tc>
              <w:tc>
                <w:tcPr>
                  <w:tcW w:w="483" w:type="pct"/>
                  <w:shd w:val="clear" w:color="auto" w:fill="auto"/>
                  <w:vAlign w:val="center"/>
                </w:tcPr>
                <w:p w14:paraId="5623A3EE">
                  <w:pPr>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color w:val="0000FF"/>
                      <w:kern w:val="2"/>
                      <w:sz w:val="21"/>
                      <w:szCs w:val="21"/>
                      <w:lang w:val="en-US" w:eastAsia="zh-CN" w:bidi="ar-SA"/>
                    </w:rPr>
                  </w:pPr>
                  <w:r>
                    <w:rPr>
                      <w:rFonts w:hint="default" w:ascii="Times New Roman" w:hAnsi="Times New Roman" w:eastAsia="宋体" w:cs="Times New Roman"/>
                      <w:color w:val="0000FF"/>
                      <w:szCs w:val="21"/>
                    </w:rPr>
                    <w:t>1</w:t>
                  </w:r>
                </w:p>
              </w:tc>
              <w:tc>
                <w:tcPr>
                  <w:tcW w:w="417" w:type="pct"/>
                  <w:shd w:val="clear" w:color="auto" w:fill="auto"/>
                  <w:vAlign w:val="center"/>
                </w:tcPr>
                <w:p w14:paraId="56E9F70C">
                  <w:pPr>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color w:val="0000FF"/>
                      <w:kern w:val="2"/>
                      <w:sz w:val="21"/>
                      <w:szCs w:val="21"/>
                      <w:lang w:val="en-US" w:eastAsia="zh-CN" w:bidi="ar-SA"/>
                    </w:rPr>
                  </w:pPr>
                  <w:r>
                    <w:rPr>
                      <w:rFonts w:hint="default" w:ascii="Times New Roman" w:hAnsi="Times New Roman" w:eastAsia="宋体" w:cs="Times New Roman"/>
                      <w:color w:val="0000FF"/>
                      <w:szCs w:val="21"/>
                    </w:rPr>
                    <w:t>1</w:t>
                  </w:r>
                </w:p>
              </w:tc>
              <w:tc>
                <w:tcPr>
                  <w:tcW w:w="592" w:type="pct"/>
                  <w:shd w:val="clear" w:color="auto" w:fill="auto"/>
                  <w:vAlign w:val="center"/>
                </w:tcPr>
                <w:p w14:paraId="2D4062C7">
                  <w:pPr>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color w:val="0000FF"/>
                      <w:kern w:val="2"/>
                      <w:sz w:val="21"/>
                      <w:szCs w:val="21"/>
                      <w:lang w:val="en-US" w:eastAsia="zh-CN" w:bidi="ar-SA"/>
                    </w:rPr>
                  </w:pPr>
                  <w:r>
                    <w:rPr>
                      <w:rFonts w:hint="default" w:ascii="Times New Roman" w:hAnsi="Times New Roman" w:eastAsia="宋体" w:cs="Times New Roman"/>
                      <w:color w:val="0000FF"/>
                      <w:szCs w:val="21"/>
                    </w:rPr>
                    <w:t>1</w:t>
                  </w:r>
                </w:p>
              </w:tc>
              <w:tc>
                <w:tcPr>
                  <w:tcW w:w="537" w:type="pct"/>
                  <w:shd w:val="clear" w:color="auto" w:fill="auto"/>
                  <w:vAlign w:val="center"/>
                </w:tcPr>
                <w:p w14:paraId="592FFB50">
                  <w:pPr>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color w:val="0000FF"/>
                      <w:kern w:val="2"/>
                      <w:sz w:val="21"/>
                      <w:szCs w:val="21"/>
                      <w:lang w:val="en-US" w:eastAsia="zh-CN" w:bidi="ar-SA"/>
                    </w:rPr>
                  </w:pPr>
                  <w:r>
                    <w:rPr>
                      <w:rFonts w:hint="default" w:ascii="Times New Roman" w:hAnsi="Times New Roman" w:eastAsia="宋体" w:cs="Times New Roman"/>
                      <w:color w:val="0000FF"/>
                      <w:szCs w:val="21"/>
                    </w:rPr>
                    <w:t>0</w:t>
                  </w:r>
                </w:p>
              </w:tc>
              <w:tc>
                <w:tcPr>
                  <w:tcW w:w="536" w:type="pct"/>
                  <w:gridSpan w:val="2"/>
                  <w:vMerge w:val="continue"/>
                  <w:vAlign w:val="center"/>
                </w:tcPr>
                <w:p w14:paraId="4F4397D0">
                  <w:pPr>
                    <w:keepNext w:val="0"/>
                    <w:keepLines w:val="0"/>
                    <w:suppressLineNumbers w:val="0"/>
                    <w:spacing w:before="0" w:beforeAutospacing="0" w:after="0" w:afterAutospacing="0"/>
                    <w:ind w:left="0" w:right="0"/>
                    <w:jc w:val="center"/>
                    <w:rPr>
                      <w:rFonts w:hint="eastAsia" w:ascii="Times New Roman" w:hAnsi="Times New Roman" w:eastAsia="宋体" w:cs="Times New Roman"/>
                      <w:b w:val="0"/>
                      <w:bCs w:val="0"/>
                      <w:color w:val="0000FF"/>
                      <w:szCs w:val="21"/>
                      <w:highlight w:val="none"/>
                      <w:lang w:val="en-US" w:eastAsia="zh-CN"/>
                    </w:rPr>
                  </w:pPr>
                </w:p>
              </w:tc>
              <w:tc>
                <w:tcPr>
                  <w:tcW w:w="320" w:type="pct"/>
                  <w:vAlign w:val="center"/>
                </w:tcPr>
                <w:p w14:paraId="49CEBA0D">
                  <w:pPr>
                    <w:keepNext w:val="0"/>
                    <w:keepLines w:val="0"/>
                    <w:suppressLineNumbers w:val="0"/>
                    <w:spacing w:before="0" w:beforeAutospacing="0" w:after="0" w:afterAutospacing="0"/>
                    <w:ind w:left="0" w:right="0"/>
                    <w:jc w:val="center"/>
                    <w:rPr>
                      <w:rFonts w:hint="default" w:ascii="Times New Roman" w:hAnsi="Times New Roman" w:eastAsia="宋体" w:cs="Times New Roman"/>
                      <w:b w:val="0"/>
                      <w:bCs w:val="0"/>
                      <w:color w:val="0000FF"/>
                      <w:szCs w:val="21"/>
                      <w:highlight w:val="none"/>
                    </w:rPr>
                  </w:pPr>
                  <w:r>
                    <w:rPr>
                      <w:rFonts w:hint="eastAsia" w:ascii="Times New Roman" w:hAnsi="Times New Roman" w:eastAsia="宋体" w:cs="Times New Roman"/>
                      <w:b w:val="0"/>
                      <w:bCs w:val="0"/>
                      <w:color w:val="0000FF"/>
                      <w:szCs w:val="21"/>
                      <w:highlight w:val="none"/>
                      <w:lang w:val="en-US" w:eastAsia="zh-CN"/>
                    </w:rPr>
                    <w:t>/</w:t>
                  </w:r>
                </w:p>
              </w:tc>
            </w:tr>
            <w:tr w14:paraId="6C4F0B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291" w:type="pct"/>
                  <w:shd w:val="clear" w:color="auto" w:fill="auto"/>
                  <w:vAlign w:val="center"/>
                </w:tcPr>
                <w:p w14:paraId="04FE7F21">
                  <w:pPr>
                    <w:keepNext w:val="0"/>
                    <w:keepLines w:val="0"/>
                    <w:suppressLineNumbers w:val="0"/>
                    <w:spacing w:before="0" w:beforeAutospacing="0" w:after="0" w:afterAutospacing="0"/>
                    <w:ind w:left="0" w:right="0"/>
                    <w:jc w:val="center"/>
                    <w:rPr>
                      <w:rFonts w:hint="default" w:ascii="Times New Roman" w:hAnsi="Times New Roman" w:eastAsia="宋体" w:cs="Times New Roman"/>
                      <w:b w:val="0"/>
                      <w:bCs w:val="0"/>
                      <w:color w:val="0000FF"/>
                      <w:szCs w:val="21"/>
                      <w:highlight w:val="none"/>
                      <w:lang w:val="en-US" w:eastAsia="zh-CN"/>
                    </w:rPr>
                  </w:pPr>
                  <w:r>
                    <w:rPr>
                      <w:rFonts w:hint="eastAsia" w:ascii="Times New Roman" w:hAnsi="Times New Roman" w:eastAsia="宋体" w:cs="Times New Roman"/>
                      <w:b w:val="0"/>
                      <w:bCs w:val="0"/>
                      <w:color w:val="0000FF"/>
                      <w:szCs w:val="21"/>
                      <w:highlight w:val="none"/>
                      <w:lang w:val="en-US" w:eastAsia="zh-CN"/>
                    </w:rPr>
                    <w:t>77</w:t>
                  </w:r>
                </w:p>
              </w:tc>
              <w:tc>
                <w:tcPr>
                  <w:tcW w:w="394" w:type="pct"/>
                  <w:vMerge w:val="continue"/>
                  <w:vAlign w:val="center"/>
                </w:tcPr>
                <w:p w14:paraId="651595CD">
                  <w:pPr>
                    <w:keepNext w:val="0"/>
                    <w:keepLines w:val="0"/>
                    <w:suppressLineNumbers w:val="0"/>
                    <w:spacing w:before="0" w:beforeAutospacing="0" w:after="0" w:afterAutospacing="0"/>
                    <w:ind w:left="0" w:right="0"/>
                    <w:jc w:val="center"/>
                    <w:rPr>
                      <w:rFonts w:hint="default" w:ascii="Times New Roman" w:hAnsi="Times New Roman" w:eastAsia="宋体" w:cs="Times New Roman"/>
                      <w:b w:val="0"/>
                      <w:bCs w:val="0"/>
                      <w:color w:val="0000FF"/>
                      <w:szCs w:val="21"/>
                      <w:highlight w:val="none"/>
                    </w:rPr>
                  </w:pPr>
                </w:p>
              </w:tc>
              <w:tc>
                <w:tcPr>
                  <w:tcW w:w="660" w:type="pct"/>
                  <w:shd w:val="clear" w:color="auto" w:fill="auto"/>
                  <w:vAlign w:val="center"/>
                </w:tcPr>
                <w:p w14:paraId="54A09886">
                  <w:pPr>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color w:val="0000FF"/>
                      <w:kern w:val="2"/>
                      <w:sz w:val="21"/>
                      <w:szCs w:val="21"/>
                      <w:lang w:val="en-US" w:eastAsia="zh-CN" w:bidi="ar-SA"/>
                    </w:rPr>
                  </w:pPr>
                  <w:r>
                    <w:rPr>
                      <w:rFonts w:hint="default" w:ascii="Times New Roman" w:hAnsi="Times New Roman" w:eastAsia="宋体" w:cs="Times New Roman"/>
                      <w:color w:val="0000FF"/>
                      <w:szCs w:val="21"/>
                    </w:rPr>
                    <w:t>高低温湿热试验箱</w:t>
                  </w:r>
                </w:p>
              </w:tc>
              <w:tc>
                <w:tcPr>
                  <w:tcW w:w="766" w:type="pct"/>
                  <w:shd w:val="clear" w:color="auto" w:fill="auto"/>
                  <w:vAlign w:val="center"/>
                </w:tcPr>
                <w:p w14:paraId="3FB0CB10">
                  <w:pPr>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color w:val="0000FF"/>
                      <w:kern w:val="2"/>
                      <w:sz w:val="21"/>
                      <w:szCs w:val="21"/>
                      <w:lang w:val="en-US" w:eastAsia="zh-CN" w:bidi="ar-SA"/>
                    </w:rPr>
                  </w:pPr>
                  <w:r>
                    <w:rPr>
                      <w:rFonts w:hint="default" w:ascii="Times New Roman" w:hAnsi="Times New Roman" w:eastAsia="宋体" w:cs="Times New Roman"/>
                      <w:color w:val="0000FF"/>
                      <w:szCs w:val="21"/>
                    </w:rPr>
                    <w:t>PS-608A</w:t>
                  </w:r>
                </w:p>
              </w:tc>
              <w:tc>
                <w:tcPr>
                  <w:tcW w:w="483" w:type="pct"/>
                  <w:shd w:val="clear" w:color="auto" w:fill="auto"/>
                  <w:vAlign w:val="center"/>
                </w:tcPr>
                <w:p w14:paraId="71A25CBA">
                  <w:pPr>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color w:val="0000FF"/>
                      <w:kern w:val="2"/>
                      <w:sz w:val="21"/>
                      <w:szCs w:val="21"/>
                      <w:lang w:val="en-US" w:eastAsia="zh-CN" w:bidi="ar-SA"/>
                    </w:rPr>
                  </w:pPr>
                  <w:r>
                    <w:rPr>
                      <w:rFonts w:hint="default" w:ascii="Times New Roman" w:hAnsi="Times New Roman" w:eastAsia="宋体" w:cs="Times New Roman"/>
                      <w:color w:val="0000FF"/>
                      <w:szCs w:val="21"/>
                    </w:rPr>
                    <w:t>1</w:t>
                  </w:r>
                </w:p>
              </w:tc>
              <w:tc>
                <w:tcPr>
                  <w:tcW w:w="417" w:type="pct"/>
                  <w:shd w:val="clear" w:color="auto" w:fill="auto"/>
                  <w:vAlign w:val="center"/>
                </w:tcPr>
                <w:p w14:paraId="117F30D7">
                  <w:pPr>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color w:val="0000FF"/>
                      <w:kern w:val="2"/>
                      <w:sz w:val="21"/>
                      <w:szCs w:val="21"/>
                      <w:lang w:val="en-US" w:eastAsia="zh-CN" w:bidi="ar-SA"/>
                    </w:rPr>
                  </w:pPr>
                  <w:r>
                    <w:rPr>
                      <w:rFonts w:hint="default" w:ascii="Times New Roman" w:hAnsi="Times New Roman" w:eastAsia="宋体" w:cs="Times New Roman"/>
                      <w:color w:val="0000FF"/>
                      <w:szCs w:val="21"/>
                    </w:rPr>
                    <w:t>1</w:t>
                  </w:r>
                </w:p>
              </w:tc>
              <w:tc>
                <w:tcPr>
                  <w:tcW w:w="592" w:type="pct"/>
                  <w:shd w:val="clear" w:color="auto" w:fill="auto"/>
                  <w:vAlign w:val="center"/>
                </w:tcPr>
                <w:p w14:paraId="015784B3">
                  <w:pPr>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color w:val="0000FF"/>
                      <w:kern w:val="2"/>
                      <w:sz w:val="21"/>
                      <w:szCs w:val="21"/>
                      <w:lang w:val="en-US" w:eastAsia="zh-CN" w:bidi="ar-SA"/>
                    </w:rPr>
                  </w:pPr>
                  <w:r>
                    <w:rPr>
                      <w:rFonts w:hint="default" w:ascii="Times New Roman" w:hAnsi="Times New Roman" w:eastAsia="宋体" w:cs="Times New Roman"/>
                      <w:color w:val="0000FF"/>
                      <w:szCs w:val="21"/>
                    </w:rPr>
                    <w:t>1</w:t>
                  </w:r>
                </w:p>
              </w:tc>
              <w:tc>
                <w:tcPr>
                  <w:tcW w:w="537" w:type="pct"/>
                  <w:shd w:val="clear" w:color="auto" w:fill="auto"/>
                  <w:vAlign w:val="center"/>
                </w:tcPr>
                <w:p w14:paraId="3DB6088A">
                  <w:pPr>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color w:val="0000FF"/>
                      <w:kern w:val="2"/>
                      <w:sz w:val="21"/>
                      <w:szCs w:val="21"/>
                      <w:lang w:val="en-US" w:eastAsia="zh-CN" w:bidi="ar-SA"/>
                    </w:rPr>
                  </w:pPr>
                  <w:r>
                    <w:rPr>
                      <w:rFonts w:hint="default" w:ascii="Times New Roman" w:hAnsi="Times New Roman" w:eastAsia="宋体" w:cs="Times New Roman"/>
                      <w:color w:val="0000FF"/>
                      <w:szCs w:val="21"/>
                    </w:rPr>
                    <w:t>0</w:t>
                  </w:r>
                </w:p>
              </w:tc>
              <w:tc>
                <w:tcPr>
                  <w:tcW w:w="536" w:type="pct"/>
                  <w:gridSpan w:val="2"/>
                  <w:vMerge w:val="continue"/>
                  <w:vAlign w:val="center"/>
                </w:tcPr>
                <w:p w14:paraId="2946CC6E">
                  <w:pPr>
                    <w:keepNext w:val="0"/>
                    <w:keepLines w:val="0"/>
                    <w:suppressLineNumbers w:val="0"/>
                    <w:spacing w:before="0" w:beforeAutospacing="0" w:after="0" w:afterAutospacing="0"/>
                    <w:ind w:left="0" w:right="0"/>
                    <w:jc w:val="center"/>
                    <w:rPr>
                      <w:rFonts w:hint="eastAsia" w:ascii="Times New Roman" w:hAnsi="Times New Roman" w:eastAsia="宋体" w:cs="Times New Roman"/>
                      <w:b w:val="0"/>
                      <w:bCs w:val="0"/>
                      <w:color w:val="0000FF"/>
                      <w:szCs w:val="21"/>
                      <w:highlight w:val="none"/>
                      <w:lang w:val="en-US" w:eastAsia="zh-CN"/>
                    </w:rPr>
                  </w:pPr>
                </w:p>
              </w:tc>
              <w:tc>
                <w:tcPr>
                  <w:tcW w:w="320" w:type="pct"/>
                  <w:vAlign w:val="center"/>
                </w:tcPr>
                <w:p w14:paraId="30F4EB3A">
                  <w:pPr>
                    <w:keepNext w:val="0"/>
                    <w:keepLines w:val="0"/>
                    <w:suppressLineNumbers w:val="0"/>
                    <w:spacing w:before="0" w:beforeAutospacing="0" w:after="0" w:afterAutospacing="0"/>
                    <w:ind w:left="0" w:right="0"/>
                    <w:jc w:val="center"/>
                    <w:rPr>
                      <w:rFonts w:hint="default" w:ascii="Times New Roman" w:hAnsi="Times New Roman" w:eastAsia="宋体" w:cs="Times New Roman"/>
                      <w:b w:val="0"/>
                      <w:bCs w:val="0"/>
                      <w:color w:val="0000FF"/>
                      <w:szCs w:val="21"/>
                      <w:highlight w:val="none"/>
                    </w:rPr>
                  </w:pPr>
                  <w:r>
                    <w:rPr>
                      <w:rFonts w:hint="eastAsia" w:ascii="Times New Roman" w:hAnsi="Times New Roman" w:eastAsia="宋体" w:cs="Times New Roman"/>
                      <w:b w:val="0"/>
                      <w:bCs w:val="0"/>
                      <w:color w:val="0000FF"/>
                      <w:szCs w:val="21"/>
                      <w:highlight w:val="none"/>
                      <w:lang w:val="en-US" w:eastAsia="zh-CN"/>
                    </w:rPr>
                    <w:t>/</w:t>
                  </w:r>
                </w:p>
              </w:tc>
            </w:tr>
            <w:tr w14:paraId="7197C4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291" w:type="pct"/>
                  <w:shd w:val="clear" w:color="auto" w:fill="auto"/>
                  <w:vAlign w:val="center"/>
                </w:tcPr>
                <w:p w14:paraId="6A132958">
                  <w:pPr>
                    <w:keepNext w:val="0"/>
                    <w:keepLines w:val="0"/>
                    <w:suppressLineNumbers w:val="0"/>
                    <w:spacing w:before="0" w:beforeAutospacing="0" w:after="0" w:afterAutospacing="0"/>
                    <w:ind w:left="0" w:right="0"/>
                    <w:jc w:val="center"/>
                    <w:rPr>
                      <w:rFonts w:hint="default" w:ascii="Times New Roman" w:hAnsi="Times New Roman" w:eastAsia="宋体" w:cs="Times New Roman"/>
                      <w:b w:val="0"/>
                      <w:bCs w:val="0"/>
                      <w:color w:val="0000FF"/>
                      <w:szCs w:val="21"/>
                      <w:highlight w:val="none"/>
                      <w:lang w:val="en-US" w:eastAsia="zh-CN"/>
                    </w:rPr>
                  </w:pPr>
                  <w:r>
                    <w:rPr>
                      <w:rFonts w:hint="eastAsia" w:ascii="Times New Roman" w:hAnsi="Times New Roman" w:eastAsia="宋体" w:cs="Times New Roman"/>
                      <w:b w:val="0"/>
                      <w:bCs w:val="0"/>
                      <w:color w:val="0000FF"/>
                      <w:szCs w:val="21"/>
                      <w:highlight w:val="none"/>
                      <w:lang w:val="en-US" w:eastAsia="zh-CN"/>
                    </w:rPr>
                    <w:t>78</w:t>
                  </w:r>
                </w:p>
              </w:tc>
              <w:tc>
                <w:tcPr>
                  <w:tcW w:w="394" w:type="pct"/>
                  <w:vMerge w:val="continue"/>
                  <w:vAlign w:val="center"/>
                </w:tcPr>
                <w:p w14:paraId="1B3B4DA4">
                  <w:pPr>
                    <w:keepNext w:val="0"/>
                    <w:keepLines w:val="0"/>
                    <w:suppressLineNumbers w:val="0"/>
                    <w:spacing w:before="0" w:beforeAutospacing="0" w:after="0" w:afterAutospacing="0"/>
                    <w:ind w:left="0" w:right="0"/>
                    <w:jc w:val="center"/>
                    <w:rPr>
                      <w:rFonts w:hint="default" w:ascii="Times New Roman" w:hAnsi="Times New Roman" w:eastAsia="宋体" w:cs="Times New Roman"/>
                      <w:b w:val="0"/>
                      <w:bCs w:val="0"/>
                      <w:color w:val="0000FF"/>
                      <w:szCs w:val="21"/>
                      <w:highlight w:val="none"/>
                    </w:rPr>
                  </w:pPr>
                </w:p>
              </w:tc>
              <w:tc>
                <w:tcPr>
                  <w:tcW w:w="660" w:type="pct"/>
                  <w:shd w:val="clear" w:color="auto" w:fill="auto"/>
                  <w:vAlign w:val="center"/>
                </w:tcPr>
                <w:p w14:paraId="58892DAF">
                  <w:pPr>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color w:val="0000FF"/>
                      <w:kern w:val="2"/>
                      <w:sz w:val="21"/>
                      <w:szCs w:val="21"/>
                      <w:lang w:val="en-US" w:eastAsia="zh-CN" w:bidi="ar-SA"/>
                    </w:rPr>
                  </w:pPr>
                  <w:r>
                    <w:rPr>
                      <w:rFonts w:hint="default" w:ascii="Times New Roman" w:hAnsi="Times New Roman" w:eastAsia="宋体" w:cs="Times New Roman"/>
                      <w:color w:val="0000FF"/>
                      <w:szCs w:val="21"/>
                    </w:rPr>
                    <w:t>两厢冲击箱</w:t>
                  </w:r>
                </w:p>
              </w:tc>
              <w:tc>
                <w:tcPr>
                  <w:tcW w:w="766" w:type="pct"/>
                  <w:shd w:val="clear" w:color="auto" w:fill="auto"/>
                  <w:vAlign w:val="center"/>
                </w:tcPr>
                <w:p w14:paraId="07B070C9">
                  <w:pPr>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color w:val="0000FF"/>
                      <w:kern w:val="2"/>
                      <w:sz w:val="21"/>
                      <w:szCs w:val="21"/>
                      <w:lang w:val="en-US" w:eastAsia="zh-CN" w:bidi="ar-SA"/>
                    </w:rPr>
                  </w:pPr>
                  <w:r>
                    <w:rPr>
                      <w:rFonts w:hint="default" w:ascii="Times New Roman" w:hAnsi="Times New Roman" w:eastAsia="宋体" w:cs="Times New Roman"/>
                      <w:color w:val="0000FF"/>
                      <w:szCs w:val="21"/>
                    </w:rPr>
                    <w:t>TS-150UA</w:t>
                  </w:r>
                </w:p>
              </w:tc>
              <w:tc>
                <w:tcPr>
                  <w:tcW w:w="483" w:type="pct"/>
                  <w:shd w:val="clear" w:color="auto" w:fill="auto"/>
                  <w:vAlign w:val="center"/>
                </w:tcPr>
                <w:p w14:paraId="33F2FBAC">
                  <w:pPr>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color w:val="0000FF"/>
                      <w:kern w:val="2"/>
                      <w:sz w:val="21"/>
                      <w:szCs w:val="21"/>
                      <w:lang w:val="en-US" w:eastAsia="zh-CN" w:bidi="ar-SA"/>
                    </w:rPr>
                  </w:pPr>
                  <w:r>
                    <w:rPr>
                      <w:rFonts w:hint="default" w:ascii="Times New Roman" w:hAnsi="Times New Roman" w:eastAsia="宋体" w:cs="Times New Roman"/>
                      <w:color w:val="0000FF"/>
                      <w:szCs w:val="21"/>
                    </w:rPr>
                    <w:t>1</w:t>
                  </w:r>
                </w:p>
              </w:tc>
              <w:tc>
                <w:tcPr>
                  <w:tcW w:w="417" w:type="pct"/>
                  <w:shd w:val="clear" w:color="auto" w:fill="auto"/>
                  <w:vAlign w:val="center"/>
                </w:tcPr>
                <w:p w14:paraId="5F6D5BCF">
                  <w:pPr>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color w:val="0000FF"/>
                      <w:kern w:val="2"/>
                      <w:sz w:val="21"/>
                      <w:szCs w:val="21"/>
                      <w:lang w:val="en-US" w:eastAsia="zh-CN" w:bidi="ar-SA"/>
                    </w:rPr>
                  </w:pPr>
                  <w:r>
                    <w:rPr>
                      <w:rFonts w:hint="default" w:ascii="Times New Roman" w:hAnsi="Times New Roman" w:eastAsia="宋体" w:cs="Times New Roman"/>
                      <w:color w:val="0000FF"/>
                      <w:szCs w:val="21"/>
                    </w:rPr>
                    <w:t>1</w:t>
                  </w:r>
                </w:p>
              </w:tc>
              <w:tc>
                <w:tcPr>
                  <w:tcW w:w="592" w:type="pct"/>
                  <w:shd w:val="clear" w:color="auto" w:fill="auto"/>
                  <w:vAlign w:val="center"/>
                </w:tcPr>
                <w:p w14:paraId="664AB753">
                  <w:pPr>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color w:val="0000FF"/>
                      <w:kern w:val="2"/>
                      <w:sz w:val="21"/>
                      <w:szCs w:val="21"/>
                      <w:lang w:val="en-US" w:eastAsia="zh-CN" w:bidi="ar-SA"/>
                    </w:rPr>
                  </w:pPr>
                  <w:r>
                    <w:rPr>
                      <w:rFonts w:hint="default" w:ascii="Times New Roman" w:hAnsi="Times New Roman" w:eastAsia="宋体" w:cs="Times New Roman"/>
                      <w:color w:val="0000FF"/>
                      <w:szCs w:val="21"/>
                    </w:rPr>
                    <w:t>1</w:t>
                  </w:r>
                </w:p>
              </w:tc>
              <w:tc>
                <w:tcPr>
                  <w:tcW w:w="537" w:type="pct"/>
                  <w:shd w:val="clear" w:color="auto" w:fill="auto"/>
                  <w:vAlign w:val="center"/>
                </w:tcPr>
                <w:p w14:paraId="72C417EC">
                  <w:pPr>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color w:val="0000FF"/>
                      <w:kern w:val="2"/>
                      <w:sz w:val="21"/>
                      <w:szCs w:val="21"/>
                      <w:lang w:val="en-US" w:eastAsia="zh-CN" w:bidi="ar-SA"/>
                    </w:rPr>
                  </w:pPr>
                  <w:r>
                    <w:rPr>
                      <w:rFonts w:hint="default" w:ascii="Times New Roman" w:hAnsi="Times New Roman" w:eastAsia="宋体" w:cs="Times New Roman"/>
                      <w:color w:val="0000FF"/>
                      <w:szCs w:val="21"/>
                    </w:rPr>
                    <w:t>0</w:t>
                  </w:r>
                </w:p>
              </w:tc>
              <w:tc>
                <w:tcPr>
                  <w:tcW w:w="536" w:type="pct"/>
                  <w:gridSpan w:val="2"/>
                  <w:vMerge w:val="continue"/>
                  <w:vAlign w:val="center"/>
                </w:tcPr>
                <w:p w14:paraId="5DD185CF">
                  <w:pPr>
                    <w:keepNext w:val="0"/>
                    <w:keepLines w:val="0"/>
                    <w:suppressLineNumbers w:val="0"/>
                    <w:spacing w:before="0" w:beforeAutospacing="0" w:after="0" w:afterAutospacing="0"/>
                    <w:ind w:left="0" w:right="0"/>
                    <w:jc w:val="center"/>
                    <w:rPr>
                      <w:rFonts w:hint="eastAsia" w:ascii="Times New Roman" w:hAnsi="Times New Roman" w:eastAsia="宋体" w:cs="Times New Roman"/>
                      <w:b w:val="0"/>
                      <w:bCs w:val="0"/>
                      <w:color w:val="0000FF"/>
                      <w:szCs w:val="21"/>
                      <w:highlight w:val="none"/>
                      <w:lang w:val="en-US" w:eastAsia="zh-CN"/>
                    </w:rPr>
                  </w:pPr>
                </w:p>
              </w:tc>
              <w:tc>
                <w:tcPr>
                  <w:tcW w:w="320" w:type="pct"/>
                  <w:vAlign w:val="center"/>
                </w:tcPr>
                <w:p w14:paraId="7F622577">
                  <w:pPr>
                    <w:keepNext w:val="0"/>
                    <w:keepLines w:val="0"/>
                    <w:suppressLineNumbers w:val="0"/>
                    <w:spacing w:before="0" w:beforeAutospacing="0" w:after="0" w:afterAutospacing="0"/>
                    <w:ind w:left="0" w:right="0"/>
                    <w:jc w:val="center"/>
                    <w:rPr>
                      <w:rFonts w:hint="default" w:ascii="Times New Roman" w:hAnsi="Times New Roman" w:eastAsia="宋体" w:cs="Times New Roman"/>
                      <w:b w:val="0"/>
                      <w:bCs w:val="0"/>
                      <w:color w:val="0000FF"/>
                      <w:szCs w:val="21"/>
                      <w:highlight w:val="none"/>
                    </w:rPr>
                  </w:pPr>
                  <w:r>
                    <w:rPr>
                      <w:rFonts w:hint="eastAsia" w:ascii="Times New Roman" w:hAnsi="Times New Roman" w:eastAsia="宋体" w:cs="Times New Roman"/>
                      <w:b w:val="0"/>
                      <w:bCs w:val="0"/>
                      <w:color w:val="0000FF"/>
                      <w:szCs w:val="21"/>
                      <w:highlight w:val="none"/>
                      <w:lang w:val="en-US" w:eastAsia="zh-CN"/>
                    </w:rPr>
                    <w:t>/</w:t>
                  </w:r>
                </w:p>
              </w:tc>
            </w:tr>
            <w:tr w14:paraId="5AFECE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291" w:type="pct"/>
                  <w:shd w:val="clear" w:color="auto" w:fill="auto"/>
                  <w:vAlign w:val="center"/>
                </w:tcPr>
                <w:p w14:paraId="71C5A90C">
                  <w:pPr>
                    <w:keepNext w:val="0"/>
                    <w:keepLines w:val="0"/>
                    <w:suppressLineNumbers w:val="0"/>
                    <w:spacing w:before="0" w:beforeAutospacing="0" w:after="0" w:afterAutospacing="0"/>
                    <w:ind w:left="0" w:right="0"/>
                    <w:jc w:val="center"/>
                    <w:rPr>
                      <w:rFonts w:hint="default" w:ascii="Times New Roman" w:hAnsi="Times New Roman" w:eastAsia="宋体" w:cs="Times New Roman"/>
                      <w:b w:val="0"/>
                      <w:bCs w:val="0"/>
                      <w:color w:val="0000FF"/>
                      <w:szCs w:val="21"/>
                      <w:highlight w:val="none"/>
                      <w:lang w:val="en-US" w:eastAsia="zh-CN"/>
                    </w:rPr>
                  </w:pPr>
                  <w:r>
                    <w:rPr>
                      <w:rFonts w:hint="eastAsia" w:ascii="Times New Roman" w:hAnsi="Times New Roman" w:eastAsia="宋体" w:cs="Times New Roman"/>
                      <w:b w:val="0"/>
                      <w:bCs w:val="0"/>
                      <w:color w:val="0000FF"/>
                      <w:szCs w:val="21"/>
                      <w:highlight w:val="none"/>
                      <w:lang w:val="en-US" w:eastAsia="zh-CN"/>
                    </w:rPr>
                    <w:t>79</w:t>
                  </w:r>
                </w:p>
              </w:tc>
              <w:tc>
                <w:tcPr>
                  <w:tcW w:w="394" w:type="pct"/>
                  <w:vMerge w:val="continue"/>
                  <w:vAlign w:val="center"/>
                </w:tcPr>
                <w:p w14:paraId="06DB283A">
                  <w:pPr>
                    <w:keepNext w:val="0"/>
                    <w:keepLines w:val="0"/>
                    <w:suppressLineNumbers w:val="0"/>
                    <w:spacing w:before="0" w:beforeAutospacing="0" w:after="0" w:afterAutospacing="0"/>
                    <w:ind w:left="0" w:right="0"/>
                    <w:jc w:val="center"/>
                    <w:rPr>
                      <w:rFonts w:hint="default" w:ascii="Times New Roman" w:hAnsi="Times New Roman" w:eastAsia="宋体" w:cs="Times New Roman"/>
                      <w:b w:val="0"/>
                      <w:bCs w:val="0"/>
                      <w:color w:val="0000FF"/>
                      <w:szCs w:val="21"/>
                      <w:highlight w:val="none"/>
                    </w:rPr>
                  </w:pPr>
                </w:p>
              </w:tc>
              <w:tc>
                <w:tcPr>
                  <w:tcW w:w="660" w:type="pct"/>
                  <w:shd w:val="clear" w:color="auto" w:fill="auto"/>
                  <w:vAlign w:val="center"/>
                </w:tcPr>
                <w:p w14:paraId="27E7FFBC">
                  <w:pPr>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color w:val="0000FF"/>
                      <w:kern w:val="2"/>
                      <w:sz w:val="21"/>
                      <w:szCs w:val="21"/>
                      <w:lang w:val="en-US" w:eastAsia="zh-CN" w:bidi="ar-SA"/>
                    </w:rPr>
                  </w:pPr>
                  <w:r>
                    <w:rPr>
                      <w:rFonts w:hint="default" w:ascii="Times New Roman" w:hAnsi="Times New Roman" w:eastAsia="宋体" w:cs="Times New Roman"/>
                      <w:color w:val="0000FF"/>
                      <w:szCs w:val="21"/>
                    </w:rPr>
                    <w:t>真空烘箱</w:t>
                  </w:r>
                </w:p>
              </w:tc>
              <w:tc>
                <w:tcPr>
                  <w:tcW w:w="766" w:type="pct"/>
                  <w:shd w:val="clear" w:color="auto" w:fill="auto"/>
                  <w:vAlign w:val="center"/>
                </w:tcPr>
                <w:p w14:paraId="67330116">
                  <w:pPr>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color w:val="0000FF"/>
                      <w:kern w:val="2"/>
                      <w:sz w:val="21"/>
                      <w:szCs w:val="21"/>
                      <w:lang w:val="en-US" w:eastAsia="zh-CN" w:bidi="ar-SA"/>
                    </w:rPr>
                  </w:pPr>
                  <w:r>
                    <w:rPr>
                      <w:rFonts w:hint="default" w:ascii="Times New Roman" w:hAnsi="Times New Roman" w:eastAsia="宋体" w:cs="Times New Roman"/>
                      <w:color w:val="0000FF"/>
                      <w:szCs w:val="21"/>
                    </w:rPr>
                    <w:t>DZF-6050</w:t>
                  </w:r>
                </w:p>
              </w:tc>
              <w:tc>
                <w:tcPr>
                  <w:tcW w:w="483" w:type="pct"/>
                  <w:shd w:val="clear" w:color="auto" w:fill="auto"/>
                  <w:vAlign w:val="center"/>
                </w:tcPr>
                <w:p w14:paraId="4FB30DB9">
                  <w:pPr>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color w:val="0000FF"/>
                      <w:kern w:val="2"/>
                      <w:sz w:val="21"/>
                      <w:szCs w:val="21"/>
                      <w:lang w:val="en-US" w:eastAsia="zh-CN" w:bidi="ar-SA"/>
                    </w:rPr>
                  </w:pPr>
                  <w:r>
                    <w:rPr>
                      <w:rFonts w:hint="default" w:ascii="Times New Roman" w:hAnsi="Times New Roman" w:eastAsia="宋体" w:cs="Times New Roman"/>
                      <w:color w:val="0000FF"/>
                      <w:szCs w:val="21"/>
                    </w:rPr>
                    <w:t>1</w:t>
                  </w:r>
                </w:p>
              </w:tc>
              <w:tc>
                <w:tcPr>
                  <w:tcW w:w="417" w:type="pct"/>
                  <w:shd w:val="clear" w:color="auto" w:fill="auto"/>
                  <w:vAlign w:val="center"/>
                </w:tcPr>
                <w:p w14:paraId="2EC8E277">
                  <w:pPr>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color w:val="0000FF"/>
                      <w:kern w:val="2"/>
                      <w:sz w:val="21"/>
                      <w:szCs w:val="21"/>
                      <w:lang w:val="en-US" w:eastAsia="zh-CN" w:bidi="ar-SA"/>
                    </w:rPr>
                  </w:pPr>
                  <w:r>
                    <w:rPr>
                      <w:rFonts w:hint="default" w:ascii="Times New Roman" w:hAnsi="Times New Roman" w:eastAsia="宋体" w:cs="Times New Roman"/>
                      <w:color w:val="0000FF"/>
                      <w:szCs w:val="21"/>
                    </w:rPr>
                    <w:t>1</w:t>
                  </w:r>
                </w:p>
              </w:tc>
              <w:tc>
                <w:tcPr>
                  <w:tcW w:w="592" w:type="pct"/>
                  <w:shd w:val="clear" w:color="auto" w:fill="auto"/>
                  <w:vAlign w:val="center"/>
                </w:tcPr>
                <w:p w14:paraId="7E9489EB">
                  <w:pPr>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color w:val="0000FF"/>
                      <w:kern w:val="2"/>
                      <w:sz w:val="21"/>
                      <w:szCs w:val="21"/>
                      <w:lang w:val="en-US" w:eastAsia="zh-CN" w:bidi="ar-SA"/>
                    </w:rPr>
                  </w:pPr>
                  <w:r>
                    <w:rPr>
                      <w:rFonts w:hint="default" w:ascii="Times New Roman" w:hAnsi="Times New Roman" w:eastAsia="宋体" w:cs="Times New Roman"/>
                      <w:color w:val="0000FF"/>
                      <w:szCs w:val="21"/>
                    </w:rPr>
                    <w:t>1</w:t>
                  </w:r>
                </w:p>
              </w:tc>
              <w:tc>
                <w:tcPr>
                  <w:tcW w:w="537" w:type="pct"/>
                  <w:shd w:val="clear" w:color="auto" w:fill="auto"/>
                  <w:vAlign w:val="center"/>
                </w:tcPr>
                <w:p w14:paraId="12ED6B20">
                  <w:pPr>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color w:val="0000FF"/>
                      <w:kern w:val="2"/>
                      <w:sz w:val="21"/>
                      <w:szCs w:val="21"/>
                      <w:lang w:val="en-US" w:eastAsia="zh-CN" w:bidi="ar-SA"/>
                    </w:rPr>
                  </w:pPr>
                  <w:r>
                    <w:rPr>
                      <w:rFonts w:hint="default" w:ascii="Times New Roman" w:hAnsi="Times New Roman" w:eastAsia="宋体" w:cs="Times New Roman"/>
                      <w:color w:val="0000FF"/>
                      <w:szCs w:val="21"/>
                    </w:rPr>
                    <w:t>0</w:t>
                  </w:r>
                </w:p>
              </w:tc>
              <w:tc>
                <w:tcPr>
                  <w:tcW w:w="536" w:type="pct"/>
                  <w:gridSpan w:val="2"/>
                  <w:vMerge w:val="continue"/>
                  <w:vAlign w:val="center"/>
                </w:tcPr>
                <w:p w14:paraId="5814D0E2">
                  <w:pPr>
                    <w:keepNext w:val="0"/>
                    <w:keepLines w:val="0"/>
                    <w:suppressLineNumbers w:val="0"/>
                    <w:spacing w:before="0" w:beforeAutospacing="0" w:after="0" w:afterAutospacing="0"/>
                    <w:ind w:left="0" w:right="0"/>
                    <w:jc w:val="center"/>
                    <w:rPr>
                      <w:rFonts w:hint="eastAsia" w:ascii="Times New Roman" w:hAnsi="Times New Roman" w:eastAsia="宋体" w:cs="Times New Roman"/>
                      <w:b w:val="0"/>
                      <w:bCs w:val="0"/>
                      <w:color w:val="0000FF"/>
                      <w:szCs w:val="21"/>
                      <w:highlight w:val="none"/>
                      <w:lang w:val="en-US" w:eastAsia="zh-CN"/>
                    </w:rPr>
                  </w:pPr>
                </w:p>
              </w:tc>
              <w:tc>
                <w:tcPr>
                  <w:tcW w:w="320" w:type="pct"/>
                  <w:vAlign w:val="center"/>
                </w:tcPr>
                <w:p w14:paraId="0697CC79">
                  <w:pPr>
                    <w:keepNext w:val="0"/>
                    <w:keepLines w:val="0"/>
                    <w:suppressLineNumbers w:val="0"/>
                    <w:spacing w:before="0" w:beforeAutospacing="0" w:after="0" w:afterAutospacing="0"/>
                    <w:ind w:left="0" w:right="0"/>
                    <w:jc w:val="center"/>
                    <w:rPr>
                      <w:rFonts w:hint="default" w:ascii="Times New Roman" w:hAnsi="Times New Roman" w:eastAsia="宋体" w:cs="Times New Roman"/>
                      <w:b w:val="0"/>
                      <w:bCs w:val="0"/>
                      <w:color w:val="0000FF"/>
                      <w:szCs w:val="21"/>
                      <w:highlight w:val="none"/>
                    </w:rPr>
                  </w:pPr>
                  <w:r>
                    <w:rPr>
                      <w:rFonts w:hint="eastAsia" w:ascii="Times New Roman" w:hAnsi="Times New Roman" w:eastAsia="宋体" w:cs="Times New Roman"/>
                      <w:b w:val="0"/>
                      <w:bCs w:val="0"/>
                      <w:color w:val="0000FF"/>
                      <w:szCs w:val="21"/>
                      <w:highlight w:val="none"/>
                      <w:lang w:val="en-US" w:eastAsia="zh-CN"/>
                    </w:rPr>
                    <w:t>/</w:t>
                  </w:r>
                </w:p>
              </w:tc>
            </w:tr>
            <w:tr w14:paraId="4D37D3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291" w:type="pct"/>
                  <w:shd w:val="clear" w:color="auto" w:fill="auto"/>
                  <w:vAlign w:val="center"/>
                </w:tcPr>
                <w:p w14:paraId="0A0E57C8">
                  <w:pPr>
                    <w:keepNext w:val="0"/>
                    <w:keepLines w:val="0"/>
                    <w:suppressLineNumbers w:val="0"/>
                    <w:spacing w:before="0" w:beforeAutospacing="0" w:after="0" w:afterAutospacing="0"/>
                    <w:ind w:left="0" w:right="0"/>
                    <w:jc w:val="center"/>
                    <w:rPr>
                      <w:rFonts w:hint="default" w:ascii="Times New Roman" w:hAnsi="Times New Roman" w:eastAsia="宋体" w:cs="Times New Roman"/>
                      <w:b w:val="0"/>
                      <w:bCs w:val="0"/>
                      <w:color w:val="0000FF"/>
                      <w:szCs w:val="21"/>
                      <w:highlight w:val="none"/>
                      <w:lang w:val="en-US" w:eastAsia="zh-CN"/>
                    </w:rPr>
                  </w:pPr>
                  <w:r>
                    <w:rPr>
                      <w:rFonts w:hint="eastAsia" w:ascii="Times New Roman" w:hAnsi="Times New Roman" w:eastAsia="宋体" w:cs="Times New Roman"/>
                      <w:b w:val="0"/>
                      <w:bCs w:val="0"/>
                      <w:color w:val="0000FF"/>
                      <w:szCs w:val="21"/>
                      <w:highlight w:val="none"/>
                      <w:lang w:val="en-US" w:eastAsia="zh-CN"/>
                    </w:rPr>
                    <w:t>80</w:t>
                  </w:r>
                </w:p>
              </w:tc>
              <w:tc>
                <w:tcPr>
                  <w:tcW w:w="394" w:type="pct"/>
                  <w:vMerge w:val="continue"/>
                  <w:vAlign w:val="center"/>
                </w:tcPr>
                <w:p w14:paraId="050705C4">
                  <w:pPr>
                    <w:keepNext w:val="0"/>
                    <w:keepLines w:val="0"/>
                    <w:suppressLineNumbers w:val="0"/>
                    <w:spacing w:before="0" w:beforeAutospacing="0" w:after="0" w:afterAutospacing="0"/>
                    <w:ind w:left="0" w:right="0"/>
                    <w:jc w:val="center"/>
                    <w:rPr>
                      <w:rFonts w:hint="default" w:ascii="Times New Roman" w:hAnsi="Times New Roman" w:eastAsia="宋体" w:cs="Times New Roman"/>
                      <w:b w:val="0"/>
                      <w:bCs w:val="0"/>
                      <w:color w:val="0000FF"/>
                      <w:szCs w:val="21"/>
                      <w:highlight w:val="none"/>
                    </w:rPr>
                  </w:pPr>
                </w:p>
              </w:tc>
              <w:tc>
                <w:tcPr>
                  <w:tcW w:w="660" w:type="pct"/>
                  <w:shd w:val="clear" w:color="auto" w:fill="auto"/>
                  <w:vAlign w:val="center"/>
                </w:tcPr>
                <w:p w14:paraId="084843E8">
                  <w:pPr>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color w:val="0000FF"/>
                      <w:kern w:val="2"/>
                      <w:sz w:val="21"/>
                      <w:szCs w:val="21"/>
                      <w:lang w:val="en-US" w:eastAsia="zh-CN" w:bidi="ar-SA"/>
                    </w:rPr>
                  </w:pPr>
                  <w:r>
                    <w:rPr>
                      <w:rFonts w:hint="default" w:ascii="Times New Roman" w:hAnsi="Times New Roman" w:eastAsia="宋体" w:cs="Times New Roman"/>
                      <w:color w:val="0000FF"/>
                      <w:szCs w:val="21"/>
                    </w:rPr>
                    <w:t>多路测温仪</w:t>
                  </w:r>
                </w:p>
              </w:tc>
              <w:tc>
                <w:tcPr>
                  <w:tcW w:w="766" w:type="pct"/>
                  <w:shd w:val="clear" w:color="auto" w:fill="auto"/>
                  <w:vAlign w:val="center"/>
                </w:tcPr>
                <w:p w14:paraId="3D28041A">
                  <w:pPr>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color w:val="0000FF"/>
                      <w:kern w:val="2"/>
                      <w:sz w:val="21"/>
                      <w:szCs w:val="21"/>
                      <w:lang w:val="en-US" w:eastAsia="zh-CN" w:bidi="ar-SA"/>
                    </w:rPr>
                  </w:pPr>
                  <w:r>
                    <w:rPr>
                      <w:rFonts w:hint="default" w:ascii="Times New Roman" w:hAnsi="Times New Roman" w:eastAsia="宋体" w:cs="Times New Roman"/>
                      <w:color w:val="0000FF"/>
                      <w:szCs w:val="21"/>
                    </w:rPr>
                    <w:t>JK4008</w:t>
                  </w:r>
                </w:p>
              </w:tc>
              <w:tc>
                <w:tcPr>
                  <w:tcW w:w="483" w:type="pct"/>
                  <w:shd w:val="clear" w:color="auto" w:fill="auto"/>
                  <w:vAlign w:val="center"/>
                </w:tcPr>
                <w:p w14:paraId="59876ABE">
                  <w:pPr>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color w:val="0000FF"/>
                      <w:kern w:val="2"/>
                      <w:sz w:val="21"/>
                      <w:szCs w:val="21"/>
                      <w:lang w:val="en-US" w:eastAsia="zh-CN" w:bidi="ar-SA"/>
                    </w:rPr>
                  </w:pPr>
                  <w:r>
                    <w:rPr>
                      <w:rFonts w:hint="default" w:ascii="Times New Roman" w:hAnsi="Times New Roman" w:eastAsia="宋体" w:cs="Times New Roman"/>
                      <w:color w:val="0000FF"/>
                      <w:szCs w:val="21"/>
                    </w:rPr>
                    <w:t>1</w:t>
                  </w:r>
                </w:p>
              </w:tc>
              <w:tc>
                <w:tcPr>
                  <w:tcW w:w="417" w:type="pct"/>
                  <w:shd w:val="clear" w:color="auto" w:fill="auto"/>
                  <w:vAlign w:val="center"/>
                </w:tcPr>
                <w:p w14:paraId="51F7EC00">
                  <w:pPr>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color w:val="0000FF"/>
                      <w:kern w:val="2"/>
                      <w:sz w:val="21"/>
                      <w:szCs w:val="21"/>
                      <w:lang w:val="en-US" w:eastAsia="zh-CN" w:bidi="ar-SA"/>
                    </w:rPr>
                  </w:pPr>
                  <w:r>
                    <w:rPr>
                      <w:rFonts w:hint="default" w:ascii="Times New Roman" w:hAnsi="Times New Roman" w:eastAsia="宋体" w:cs="Times New Roman"/>
                      <w:color w:val="0000FF"/>
                      <w:szCs w:val="21"/>
                    </w:rPr>
                    <w:t>1</w:t>
                  </w:r>
                </w:p>
              </w:tc>
              <w:tc>
                <w:tcPr>
                  <w:tcW w:w="592" w:type="pct"/>
                  <w:shd w:val="clear" w:color="auto" w:fill="auto"/>
                  <w:vAlign w:val="center"/>
                </w:tcPr>
                <w:p w14:paraId="6956CA8F">
                  <w:pPr>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color w:val="0000FF"/>
                      <w:kern w:val="2"/>
                      <w:sz w:val="21"/>
                      <w:szCs w:val="21"/>
                      <w:lang w:val="en-US" w:eastAsia="zh-CN" w:bidi="ar-SA"/>
                    </w:rPr>
                  </w:pPr>
                  <w:r>
                    <w:rPr>
                      <w:rFonts w:hint="default" w:ascii="Times New Roman" w:hAnsi="Times New Roman" w:eastAsia="宋体" w:cs="Times New Roman"/>
                      <w:color w:val="0000FF"/>
                      <w:szCs w:val="21"/>
                    </w:rPr>
                    <w:t>1</w:t>
                  </w:r>
                </w:p>
              </w:tc>
              <w:tc>
                <w:tcPr>
                  <w:tcW w:w="537" w:type="pct"/>
                  <w:shd w:val="clear" w:color="auto" w:fill="auto"/>
                  <w:vAlign w:val="center"/>
                </w:tcPr>
                <w:p w14:paraId="75682494">
                  <w:pPr>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color w:val="0000FF"/>
                      <w:kern w:val="2"/>
                      <w:sz w:val="21"/>
                      <w:szCs w:val="21"/>
                      <w:lang w:val="en-US" w:eastAsia="zh-CN" w:bidi="ar-SA"/>
                    </w:rPr>
                  </w:pPr>
                  <w:r>
                    <w:rPr>
                      <w:rFonts w:hint="default" w:ascii="Times New Roman" w:hAnsi="Times New Roman" w:eastAsia="宋体" w:cs="Times New Roman"/>
                      <w:color w:val="0000FF"/>
                      <w:szCs w:val="21"/>
                    </w:rPr>
                    <w:t>0</w:t>
                  </w:r>
                </w:p>
              </w:tc>
              <w:tc>
                <w:tcPr>
                  <w:tcW w:w="536" w:type="pct"/>
                  <w:gridSpan w:val="2"/>
                  <w:vMerge w:val="continue"/>
                  <w:vAlign w:val="center"/>
                </w:tcPr>
                <w:p w14:paraId="5F9257F3">
                  <w:pPr>
                    <w:keepNext w:val="0"/>
                    <w:keepLines w:val="0"/>
                    <w:suppressLineNumbers w:val="0"/>
                    <w:spacing w:before="0" w:beforeAutospacing="0" w:after="0" w:afterAutospacing="0"/>
                    <w:ind w:left="0" w:right="0"/>
                    <w:jc w:val="center"/>
                    <w:rPr>
                      <w:rFonts w:hint="eastAsia" w:ascii="Times New Roman" w:hAnsi="Times New Roman" w:eastAsia="宋体" w:cs="Times New Roman"/>
                      <w:b w:val="0"/>
                      <w:bCs w:val="0"/>
                      <w:color w:val="0000FF"/>
                      <w:szCs w:val="21"/>
                      <w:highlight w:val="none"/>
                      <w:lang w:val="en-US" w:eastAsia="zh-CN"/>
                    </w:rPr>
                  </w:pPr>
                </w:p>
              </w:tc>
              <w:tc>
                <w:tcPr>
                  <w:tcW w:w="320" w:type="pct"/>
                  <w:vAlign w:val="center"/>
                </w:tcPr>
                <w:p w14:paraId="23FBEE2A">
                  <w:pPr>
                    <w:keepNext w:val="0"/>
                    <w:keepLines w:val="0"/>
                    <w:suppressLineNumbers w:val="0"/>
                    <w:spacing w:before="0" w:beforeAutospacing="0" w:after="0" w:afterAutospacing="0"/>
                    <w:ind w:left="0" w:right="0"/>
                    <w:jc w:val="center"/>
                    <w:rPr>
                      <w:rFonts w:hint="eastAsia" w:ascii="Times New Roman" w:hAnsi="Times New Roman" w:eastAsia="宋体" w:cs="Times New Roman"/>
                      <w:b w:val="0"/>
                      <w:bCs w:val="0"/>
                      <w:color w:val="0000FF"/>
                      <w:szCs w:val="21"/>
                      <w:highlight w:val="none"/>
                      <w:lang w:val="en-US" w:eastAsia="zh-CN"/>
                    </w:rPr>
                  </w:pPr>
                  <w:r>
                    <w:rPr>
                      <w:rFonts w:hint="eastAsia" w:ascii="Times New Roman" w:hAnsi="Times New Roman" w:eastAsia="宋体" w:cs="Times New Roman"/>
                      <w:b w:val="0"/>
                      <w:bCs w:val="0"/>
                      <w:color w:val="0000FF"/>
                      <w:szCs w:val="21"/>
                      <w:highlight w:val="none"/>
                      <w:lang w:val="en-US" w:eastAsia="zh-CN"/>
                    </w:rPr>
                    <w:t>/</w:t>
                  </w:r>
                </w:p>
              </w:tc>
            </w:tr>
            <w:tr w14:paraId="11EA20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291" w:type="pct"/>
                  <w:shd w:val="clear" w:color="auto" w:fill="auto"/>
                  <w:vAlign w:val="center"/>
                </w:tcPr>
                <w:p w14:paraId="5B6E598D">
                  <w:pPr>
                    <w:keepNext w:val="0"/>
                    <w:keepLines w:val="0"/>
                    <w:suppressLineNumbers w:val="0"/>
                    <w:spacing w:before="0" w:beforeAutospacing="0" w:after="0" w:afterAutospacing="0"/>
                    <w:ind w:left="0" w:right="0"/>
                    <w:jc w:val="center"/>
                    <w:rPr>
                      <w:rFonts w:hint="default" w:ascii="Times New Roman" w:hAnsi="Times New Roman" w:eastAsia="宋体" w:cs="Times New Roman"/>
                      <w:b w:val="0"/>
                      <w:bCs w:val="0"/>
                      <w:color w:val="0000FF"/>
                      <w:szCs w:val="21"/>
                      <w:highlight w:val="none"/>
                      <w:lang w:val="en-US" w:eastAsia="zh-CN"/>
                    </w:rPr>
                  </w:pPr>
                  <w:r>
                    <w:rPr>
                      <w:rFonts w:hint="eastAsia" w:ascii="Times New Roman" w:hAnsi="Times New Roman" w:eastAsia="宋体" w:cs="Times New Roman"/>
                      <w:b w:val="0"/>
                      <w:bCs w:val="0"/>
                      <w:color w:val="0000FF"/>
                      <w:szCs w:val="21"/>
                      <w:highlight w:val="none"/>
                      <w:lang w:val="en-US" w:eastAsia="zh-CN"/>
                    </w:rPr>
                    <w:t>81</w:t>
                  </w:r>
                </w:p>
              </w:tc>
              <w:tc>
                <w:tcPr>
                  <w:tcW w:w="394" w:type="pct"/>
                  <w:vMerge w:val="continue"/>
                  <w:vAlign w:val="center"/>
                </w:tcPr>
                <w:p w14:paraId="44E89CAC">
                  <w:pPr>
                    <w:keepNext w:val="0"/>
                    <w:keepLines w:val="0"/>
                    <w:suppressLineNumbers w:val="0"/>
                    <w:spacing w:before="0" w:beforeAutospacing="0" w:after="0" w:afterAutospacing="0"/>
                    <w:ind w:left="0" w:right="0"/>
                    <w:jc w:val="center"/>
                    <w:rPr>
                      <w:rFonts w:hint="default" w:ascii="Times New Roman" w:hAnsi="Times New Roman" w:eastAsia="宋体" w:cs="Times New Roman"/>
                      <w:b w:val="0"/>
                      <w:bCs w:val="0"/>
                      <w:color w:val="0000FF"/>
                      <w:szCs w:val="21"/>
                      <w:highlight w:val="none"/>
                    </w:rPr>
                  </w:pPr>
                </w:p>
              </w:tc>
              <w:tc>
                <w:tcPr>
                  <w:tcW w:w="660" w:type="pct"/>
                  <w:shd w:val="clear" w:color="auto" w:fill="auto"/>
                  <w:vAlign w:val="center"/>
                </w:tcPr>
                <w:p w14:paraId="6BDA367C">
                  <w:pPr>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color w:val="0000FF"/>
                      <w:kern w:val="2"/>
                      <w:sz w:val="21"/>
                      <w:szCs w:val="21"/>
                      <w:lang w:val="en-US" w:eastAsia="zh-CN" w:bidi="ar-SA"/>
                    </w:rPr>
                  </w:pPr>
                  <w:r>
                    <w:rPr>
                      <w:rFonts w:hint="default" w:ascii="Times New Roman" w:hAnsi="Times New Roman" w:eastAsia="宋体" w:cs="Times New Roman"/>
                      <w:color w:val="0000FF"/>
                      <w:szCs w:val="21"/>
                    </w:rPr>
                    <w:t>氧指数测定仪</w:t>
                  </w:r>
                </w:p>
              </w:tc>
              <w:tc>
                <w:tcPr>
                  <w:tcW w:w="766" w:type="pct"/>
                  <w:shd w:val="clear" w:color="auto" w:fill="auto"/>
                  <w:vAlign w:val="center"/>
                </w:tcPr>
                <w:p w14:paraId="4645B430">
                  <w:pPr>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color w:val="0000FF"/>
                      <w:kern w:val="2"/>
                      <w:sz w:val="21"/>
                      <w:szCs w:val="21"/>
                      <w:lang w:val="en-US" w:eastAsia="zh-CN" w:bidi="ar-SA"/>
                    </w:rPr>
                  </w:pPr>
                  <w:r>
                    <w:rPr>
                      <w:rFonts w:hint="default" w:ascii="Times New Roman" w:hAnsi="Times New Roman" w:eastAsia="宋体" w:cs="Times New Roman"/>
                      <w:color w:val="0000FF"/>
                      <w:szCs w:val="21"/>
                    </w:rPr>
                    <w:t>JF-3</w:t>
                  </w:r>
                </w:p>
              </w:tc>
              <w:tc>
                <w:tcPr>
                  <w:tcW w:w="483" w:type="pct"/>
                  <w:shd w:val="clear" w:color="auto" w:fill="auto"/>
                  <w:vAlign w:val="center"/>
                </w:tcPr>
                <w:p w14:paraId="524DACB9">
                  <w:pPr>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color w:val="0000FF"/>
                      <w:kern w:val="2"/>
                      <w:sz w:val="21"/>
                      <w:szCs w:val="21"/>
                      <w:lang w:val="en-US" w:eastAsia="zh-CN" w:bidi="ar-SA"/>
                    </w:rPr>
                  </w:pPr>
                  <w:r>
                    <w:rPr>
                      <w:rFonts w:hint="default" w:ascii="Times New Roman" w:hAnsi="Times New Roman" w:eastAsia="宋体" w:cs="Times New Roman"/>
                      <w:color w:val="0000FF"/>
                      <w:szCs w:val="21"/>
                    </w:rPr>
                    <w:t>1</w:t>
                  </w:r>
                </w:p>
              </w:tc>
              <w:tc>
                <w:tcPr>
                  <w:tcW w:w="417" w:type="pct"/>
                  <w:shd w:val="clear" w:color="auto" w:fill="auto"/>
                  <w:vAlign w:val="center"/>
                </w:tcPr>
                <w:p w14:paraId="6CA5EA5E">
                  <w:pPr>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color w:val="0000FF"/>
                      <w:kern w:val="2"/>
                      <w:sz w:val="21"/>
                      <w:szCs w:val="21"/>
                      <w:lang w:val="en-US" w:eastAsia="zh-CN" w:bidi="ar-SA"/>
                    </w:rPr>
                  </w:pPr>
                  <w:r>
                    <w:rPr>
                      <w:rFonts w:hint="default" w:ascii="Times New Roman" w:hAnsi="Times New Roman" w:eastAsia="宋体" w:cs="Times New Roman"/>
                      <w:color w:val="0000FF"/>
                      <w:szCs w:val="21"/>
                    </w:rPr>
                    <w:t>1</w:t>
                  </w:r>
                </w:p>
              </w:tc>
              <w:tc>
                <w:tcPr>
                  <w:tcW w:w="592" w:type="pct"/>
                  <w:shd w:val="clear" w:color="auto" w:fill="auto"/>
                  <w:vAlign w:val="center"/>
                </w:tcPr>
                <w:p w14:paraId="39339586">
                  <w:pPr>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color w:val="0000FF"/>
                      <w:kern w:val="2"/>
                      <w:sz w:val="21"/>
                      <w:szCs w:val="21"/>
                      <w:lang w:val="en-US" w:eastAsia="zh-CN" w:bidi="ar-SA"/>
                    </w:rPr>
                  </w:pPr>
                  <w:r>
                    <w:rPr>
                      <w:rFonts w:hint="default" w:ascii="Times New Roman" w:hAnsi="Times New Roman" w:eastAsia="宋体" w:cs="Times New Roman"/>
                      <w:color w:val="0000FF"/>
                      <w:szCs w:val="21"/>
                    </w:rPr>
                    <w:t>1</w:t>
                  </w:r>
                </w:p>
              </w:tc>
              <w:tc>
                <w:tcPr>
                  <w:tcW w:w="537" w:type="pct"/>
                  <w:shd w:val="clear" w:color="auto" w:fill="auto"/>
                  <w:vAlign w:val="center"/>
                </w:tcPr>
                <w:p w14:paraId="36A9DDB9">
                  <w:pPr>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color w:val="0000FF"/>
                      <w:kern w:val="2"/>
                      <w:sz w:val="21"/>
                      <w:szCs w:val="21"/>
                      <w:lang w:val="en-US" w:eastAsia="zh-CN" w:bidi="ar-SA"/>
                    </w:rPr>
                  </w:pPr>
                  <w:r>
                    <w:rPr>
                      <w:rFonts w:hint="default" w:ascii="Times New Roman" w:hAnsi="Times New Roman" w:eastAsia="宋体" w:cs="Times New Roman"/>
                      <w:color w:val="0000FF"/>
                      <w:szCs w:val="21"/>
                    </w:rPr>
                    <w:t>0</w:t>
                  </w:r>
                </w:p>
              </w:tc>
              <w:tc>
                <w:tcPr>
                  <w:tcW w:w="536" w:type="pct"/>
                  <w:gridSpan w:val="2"/>
                  <w:vMerge w:val="continue"/>
                  <w:vAlign w:val="center"/>
                </w:tcPr>
                <w:p w14:paraId="0E00948D">
                  <w:pPr>
                    <w:keepNext w:val="0"/>
                    <w:keepLines w:val="0"/>
                    <w:suppressLineNumbers w:val="0"/>
                    <w:spacing w:before="0" w:beforeAutospacing="0" w:after="0" w:afterAutospacing="0"/>
                    <w:ind w:left="0" w:right="0"/>
                    <w:jc w:val="center"/>
                    <w:rPr>
                      <w:rFonts w:hint="eastAsia" w:ascii="Times New Roman" w:hAnsi="Times New Roman" w:eastAsia="宋体" w:cs="Times New Roman"/>
                      <w:b w:val="0"/>
                      <w:bCs w:val="0"/>
                      <w:color w:val="0000FF"/>
                      <w:szCs w:val="21"/>
                      <w:highlight w:val="none"/>
                      <w:lang w:val="en-US" w:eastAsia="zh-CN"/>
                    </w:rPr>
                  </w:pPr>
                </w:p>
              </w:tc>
              <w:tc>
                <w:tcPr>
                  <w:tcW w:w="320" w:type="pct"/>
                  <w:vAlign w:val="center"/>
                </w:tcPr>
                <w:p w14:paraId="0813C93F">
                  <w:pPr>
                    <w:keepNext w:val="0"/>
                    <w:keepLines w:val="0"/>
                    <w:suppressLineNumbers w:val="0"/>
                    <w:spacing w:before="0" w:beforeAutospacing="0" w:after="0" w:afterAutospacing="0"/>
                    <w:ind w:left="0" w:right="0"/>
                    <w:jc w:val="center"/>
                    <w:rPr>
                      <w:rFonts w:hint="default" w:ascii="Times New Roman" w:hAnsi="Times New Roman" w:eastAsia="宋体" w:cs="Times New Roman"/>
                      <w:b w:val="0"/>
                      <w:bCs w:val="0"/>
                      <w:color w:val="0000FF"/>
                      <w:szCs w:val="21"/>
                      <w:highlight w:val="none"/>
                    </w:rPr>
                  </w:pPr>
                  <w:r>
                    <w:rPr>
                      <w:rFonts w:hint="eastAsia" w:ascii="Times New Roman" w:hAnsi="Times New Roman" w:eastAsia="宋体" w:cs="Times New Roman"/>
                      <w:b w:val="0"/>
                      <w:bCs w:val="0"/>
                      <w:color w:val="0000FF"/>
                      <w:szCs w:val="21"/>
                      <w:highlight w:val="none"/>
                      <w:lang w:val="en-US" w:eastAsia="zh-CN"/>
                    </w:rPr>
                    <w:t>/</w:t>
                  </w:r>
                </w:p>
              </w:tc>
            </w:tr>
            <w:tr w14:paraId="680DFD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291" w:type="pct"/>
                  <w:shd w:val="clear" w:color="auto" w:fill="auto"/>
                  <w:vAlign w:val="center"/>
                </w:tcPr>
                <w:p w14:paraId="3F6E3F82">
                  <w:pPr>
                    <w:keepNext w:val="0"/>
                    <w:keepLines w:val="0"/>
                    <w:suppressLineNumbers w:val="0"/>
                    <w:spacing w:before="0" w:beforeAutospacing="0" w:after="0" w:afterAutospacing="0"/>
                    <w:ind w:left="0" w:right="0"/>
                    <w:jc w:val="center"/>
                    <w:rPr>
                      <w:rFonts w:hint="default" w:ascii="Times New Roman" w:hAnsi="Times New Roman" w:eastAsia="宋体" w:cs="Times New Roman"/>
                      <w:b w:val="0"/>
                      <w:bCs w:val="0"/>
                      <w:color w:val="0000FF"/>
                      <w:szCs w:val="21"/>
                      <w:highlight w:val="none"/>
                      <w:lang w:val="en-US" w:eastAsia="zh-CN"/>
                    </w:rPr>
                  </w:pPr>
                  <w:r>
                    <w:rPr>
                      <w:rFonts w:hint="eastAsia" w:ascii="Times New Roman" w:hAnsi="Times New Roman" w:eastAsia="宋体" w:cs="Times New Roman"/>
                      <w:b w:val="0"/>
                      <w:bCs w:val="0"/>
                      <w:color w:val="0000FF"/>
                      <w:szCs w:val="21"/>
                      <w:highlight w:val="none"/>
                      <w:lang w:val="en-US" w:eastAsia="zh-CN"/>
                    </w:rPr>
                    <w:t>82</w:t>
                  </w:r>
                </w:p>
              </w:tc>
              <w:tc>
                <w:tcPr>
                  <w:tcW w:w="394" w:type="pct"/>
                  <w:vMerge w:val="continue"/>
                  <w:vAlign w:val="center"/>
                </w:tcPr>
                <w:p w14:paraId="356D0539">
                  <w:pPr>
                    <w:keepNext w:val="0"/>
                    <w:keepLines w:val="0"/>
                    <w:suppressLineNumbers w:val="0"/>
                    <w:spacing w:before="0" w:beforeAutospacing="0" w:after="0" w:afterAutospacing="0"/>
                    <w:ind w:left="0" w:right="0"/>
                    <w:jc w:val="center"/>
                    <w:rPr>
                      <w:rFonts w:hint="default" w:ascii="Times New Roman" w:hAnsi="Times New Roman" w:eastAsia="宋体" w:cs="Times New Roman"/>
                      <w:b w:val="0"/>
                      <w:bCs w:val="0"/>
                      <w:color w:val="0000FF"/>
                      <w:szCs w:val="21"/>
                      <w:highlight w:val="none"/>
                    </w:rPr>
                  </w:pPr>
                </w:p>
              </w:tc>
              <w:tc>
                <w:tcPr>
                  <w:tcW w:w="660" w:type="pct"/>
                  <w:shd w:val="clear" w:color="auto" w:fill="auto"/>
                  <w:vAlign w:val="center"/>
                </w:tcPr>
                <w:p w14:paraId="6309EB8C">
                  <w:pPr>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color w:val="0000FF"/>
                      <w:kern w:val="2"/>
                      <w:sz w:val="21"/>
                      <w:szCs w:val="21"/>
                      <w:lang w:val="en-US" w:eastAsia="zh-CN" w:bidi="ar-SA"/>
                    </w:rPr>
                  </w:pPr>
                  <w:r>
                    <w:rPr>
                      <w:rFonts w:hint="default" w:ascii="Times New Roman" w:hAnsi="Times New Roman" w:eastAsia="宋体" w:cs="Times New Roman"/>
                      <w:color w:val="0000FF"/>
                      <w:szCs w:val="21"/>
                    </w:rPr>
                    <w:t>50W水平垂直燃烧试验机</w:t>
                  </w:r>
                </w:p>
              </w:tc>
              <w:tc>
                <w:tcPr>
                  <w:tcW w:w="766" w:type="pct"/>
                  <w:shd w:val="clear" w:color="auto" w:fill="auto"/>
                  <w:vAlign w:val="center"/>
                </w:tcPr>
                <w:p w14:paraId="3B8152B9">
                  <w:pPr>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color w:val="0000FF"/>
                      <w:kern w:val="2"/>
                      <w:sz w:val="21"/>
                      <w:szCs w:val="21"/>
                      <w:lang w:val="en-US" w:eastAsia="zh-CN" w:bidi="ar-SA"/>
                    </w:rPr>
                  </w:pPr>
                  <w:r>
                    <w:rPr>
                      <w:rFonts w:hint="default" w:ascii="Times New Roman" w:hAnsi="Times New Roman" w:eastAsia="宋体" w:cs="Times New Roman"/>
                      <w:color w:val="0000FF"/>
                      <w:szCs w:val="21"/>
                    </w:rPr>
                    <w:t>CZF-5CD</w:t>
                  </w:r>
                </w:p>
              </w:tc>
              <w:tc>
                <w:tcPr>
                  <w:tcW w:w="483" w:type="pct"/>
                  <w:shd w:val="clear" w:color="auto" w:fill="auto"/>
                  <w:vAlign w:val="center"/>
                </w:tcPr>
                <w:p w14:paraId="3A1BF546">
                  <w:pPr>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color w:val="0000FF"/>
                      <w:kern w:val="2"/>
                      <w:sz w:val="21"/>
                      <w:szCs w:val="21"/>
                      <w:lang w:val="en-US" w:eastAsia="zh-CN" w:bidi="ar-SA"/>
                    </w:rPr>
                  </w:pPr>
                  <w:r>
                    <w:rPr>
                      <w:rFonts w:hint="default" w:ascii="Times New Roman" w:hAnsi="Times New Roman" w:eastAsia="宋体" w:cs="Times New Roman"/>
                      <w:color w:val="0000FF"/>
                      <w:szCs w:val="21"/>
                    </w:rPr>
                    <w:t>1</w:t>
                  </w:r>
                </w:p>
              </w:tc>
              <w:tc>
                <w:tcPr>
                  <w:tcW w:w="417" w:type="pct"/>
                  <w:shd w:val="clear" w:color="auto" w:fill="auto"/>
                  <w:vAlign w:val="center"/>
                </w:tcPr>
                <w:p w14:paraId="61A9CE74">
                  <w:pPr>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color w:val="0000FF"/>
                      <w:kern w:val="2"/>
                      <w:sz w:val="21"/>
                      <w:szCs w:val="21"/>
                      <w:lang w:val="en-US" w:eastAsia="zh-CN" w:bidi="ar-SA"/>
                    </w:rPr>
                  </w:pPr>
                  <w:r>
                    <w:rPr>
                      <w:rFonts w:hint="default" w:ascii="Times New Roman" w:hAnsi="Times New Roman" w:eastAsia="宋体" w:cs="Times New Roman"/>
                      <w:color w:val="0000FF"/>
                      <w:szCs w:val="21"/>
                    </w:rPr>
                    <w:t>1</w:t>
                  </w:r>
                </w:p>
              </w:tc>
              <w:tc>
                <w:tcPr>
                  <w:tcW w:w="592" w:type="pct"/>
                  <w:shd w:val="clear" w:color="auto" w:fill="auto"/>
                  <w:vAlign w:val="center"/>
                </w:tcPr>
                <w:p w14:paraId="3E8A595F">
                  <w:pPr>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color w:val="0000FF"/>
                      <w:kern w:val="2"/>
                      <w:sz w:val="21"/>
                      <w:szCs w:val="21"/>
                      <w:lang w:val="en-US" w:eastAsia="zh-CN" w:bidi="ar-SA"/>
                    </w:rPr>
                  </w:pPr>
                  <w:r>
                    <w:rPr>
                      <w:rFonts w:hint="default" w:ascii="Times New Roman" w:hAnsi="Times New Roman" w:eastAsia="宋体" w:cs="Times New Roman"/>
                      <w:color w:val="0000FF"/>
                      <w:szCs w:val="21"/>
                    </w:rPr>
                    <w:t>1</w:t>
                  </w:r>
                </w:p>
              </w:tc>
              <w:tc>
                <w:tcPr>
                  <w:tcW w:w="537" w:type="pct"/>
                  <w:shd w:val="clear" w:color="auto" w:fill="auto"/>
                  <w:vAlign w:val="center"/>
                </w:tcPr>
                <w:p w14:paraId="629FCB63">
                  <w:pPr>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color w:val="0000FF"/>
                      <w:kern w:val="2"/>
                      <w:sz w:val="21"/>
                      <w:szCs w:val="21"/>
                      <w:lang w:val="en-US" w:eastAsia="zh-CN" w:bidi="ar-SA"/>
                    </w:rPr>
                  </w:pPr>
                  <w:r>
                    <w:rPr>
                      <w:rFonts w:hint="default" w:ascii="Times New Roman" w:hAnsi="Times New Roman" w:eastAsia="宋体" w:cs="Times New Roman"/>
                      <w:color w:val="0000FF"/>
                      <w:szCs w:val="21"/>
                    </w:rPr>
                    <w:t>0</w:t>
                  </w:r>
                </w:p>
              </w:tc>
              <w:tc>
                <w:tcPr>
                  <w:tcW w:w="536" w:type="pct"/>
                  <w:gridSpan w:val="2"/>
                  <w:vMerge w:val="continue"/>
                  <w:vAlign w:val="center"/>
                </w:tcPr>
                <w:p w14:paraId="40E4420C">
                  <w:pPr>
                    <w:keepNext w:val="0"/>
                    <w:keepLines w:val="0"/>
                    <w:suppressLineNumbers w:val="0"/>
                    <w:spacing w:before="0" w:beforeAutospacing="0" w:after="0" w:afterAutospacing="0"/>
                    <w:ind w:left="0" w:right="0"/>
                    <w:jc w:val="center"/>
                    <w:rPr>
                      <w:rFonts w:hint="eastAsia" w:ascii="Times New Roman" w:hAnsi="Times New Roman" w:eastAsia="宋体" w:cs="Times New Roman"/>
                      <w:b w:val="0"/>
                      <w:bCs w:val="0"/>
                      <w:color w:val="0000FF"/>
                      <w:szCs w:val="21"/>
                      <w:highlight w:val="none"/>
                      <w:lang w:val="en-US" w:eastAsia="zh-CN"/>
                    </w:rPr>
                  </w:pPr>
                </w:p>
              </w:tc>
              <w:tc>
                <w:tcPr>
                  <w:tcW w:w="320" w:type="pct"/>
                  <w:vAlign w:val="center"/>
                </w:tcPr>
                <w:p w14:paraId="71DEDF9A">
                  <w:pPr>
                    <w:keepNext w:val="0"/>
                    <w:keepLines w:val="0"/>
                    <w:suppressLineNumbers w:val="0"/>
                    <w:spacing w:before="0" w:beforeAutospacing="0" w:after="0" w:afterAutospacing="0"/>
                    <w:ind w:left="0" w:right="0"/>
                    <w:jc w:val="center"/>
                    <w:rPr>
                      <w:rFonts w:hint="default" w:ascii="Times New Roman" w:hAnsi="Times New Roman" w:eastAsia="宋体" w:cs="Times New Roman"/>
                      <w:b w:val="0"/>
                      <w:bCs w:val="0"/>
                      <w:color w:val="0000FF"/>
                      <w:szCs w:val="21"/>
                      <w:highlight w:val="none"/>
                    </w:rPr>
                  </w:pPr>
                  <w:r>
                    <w:rPr>
                      <w:rFonts w:hint="eastAsia" w:ascii="Times New Roman" w:hAnsi="Times New Roman" w:eastAsia="宋体" w:cs="Times New Roman"/>
                      <w:b w:val="0"/>
                      <w:bCs w:val="0"/>
                      <w:color w:val="0000FF"/>
                      <w:szCs w:val="21"/>
                      <w:highlight w:val="none"/>
                      <w:lang w:val="en-US" w:eastAsia="zh-CN"/>
                    </w:rPr>
                    <w:t>/</w:t>
                  </w:r>
                </w:p>
              </w:tc>
            </w:tr>
            <w:tr w14:paraId="0D6C43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291" w:type="pct"/>
                  <w:shd w:val="clear" w:color="auto" w:fill="auto"/>
                  <w:vAlign w:val="center"/>
                </w:tcPr>
                <w:p w14:paraId="2029AD52">
                  <w:pPr>
                    <w:keepNext w:val="0"/>
                    <w:keepLines w:val="0"/>
                    <w:suppressLineNumbers w:val="0"/>
                    <w:spacing w:before="0" w:beforeAutospacing="0" w:after="0" w:afterAutospacing="0"/>
                    <w:ind w:left="0" w:right="0"/>
                    <w:jc w:val="center"/>
                    <w:rPr>
                      <w:rFonts w:hint="default" w:ascii="Times New Roman" w:hAnsi="Times New Roman" w:eastAsia="宋体" w:cs="Times New Roman"/>
                      <w:b w:val="0"/>
                      <w:bCs w:val="0"/>
                      <w:color w:val="0000FF"/>
                      <w:szCs w:val="21"/>
                      <w:highlight w:val="none"/>
                      <w:lang w:val="en-US" w:eastAsia="zh-CN"/>
                    </w:rPr>
                  </w:pPr>
                  <w:r>
                    <w:rPr>
                      <w:rFonts w:hint="eastAsia" w:ascii="Times New Roman" w:hAnsi="Times New Roman" w:eastAsia="宋体" w:cs="Times New Roman"/>
                      <w:b w:val="0"/>
                      <w:bCs w:val="0"/>
                      <w:color w:val="0000FF"/>
                      <w:szCs w:val="21"/>
                      <w:highlight w:val="none"/>
                      <w:lang w:val="en-US" w:eastAsia="zh-CN"/>
                    </w:rPr>
                    <w:t>83</w:t>
                  </w:r>
                </w:p>
              </w:tc>
              <w:tc>
                <w:tcPr>
                  <w:tcW w:w="394" w:type="pct"/>
                  <w:vMerge w:val="continue"/>
                  <w:vAlign w:val="center"/>
                </w:tcPr>
                <w:p w14:paraId="7CEFA9B8">
                  <w:pPr>
                    <w:keepNext w:val="0"/>
                    <w:keepLines w:val="0"/>
                    <w:suppressLineNumbers w:val="0"/>
                    <w:spacing w:before="0" w:beforeAutospacing="0" w:after="0" w:afterAutospacing="0"/>
                    <w:ind w:left="0" w:right="0"/>
                    <w:jc w:val="center"/>
                    <w:rPr>
                      <w:rFonts w:hint="default" w:ascii="Times New Roman" w:hAnsi="Times New Roman" w:eastAsia="宋体" w:cs="Times New Roman"/>
                      <w:b w:val="0"/>
                      <w:bCs w:val="0"/>
                      <w:color w:val="0000FF"/>
                      <w:szCs w:val="21"/>
                      <w:highlight w:val="none"/>
                    </w:rPr>
                  </w:pPr>
                </w:p>
              </w:tc>
              <w:tc>
                <w:tcPr>
                  <w:tcW w:w="660" w:type="pct"/>
                  <w:shd w:val="clear" w:color="auto" w:fill="auto"/>
                  <w:vAlign w:val="center"/>
                </w:tcPr>
                <w:p w14:paraId="3CFD7ECE">
                  <w:pPr>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color w:val="0000FF"/>
                      <w:kern w:val="2"/>
                      <w:sz w:val="21"/>
                      <w:szCs w:val="21"/>
                      <w:lang w:val="en-US" w:eastAsia="zh-CN" w:bidi="ar-SA"/>
                    </w:rPr>
                  </w:pPr>
                  <w:r>
                    <w:rPr>
                      <w:rFonts w:hint="default" w:ascii="Times New Roman" w:hAnsi="Times New Roman" w:eastAsia="宋体" w:cs="Times New Roman"/>
                      <w:color w:val="0000FF"/>
                      <w:szCs w:val="21"/>
                    </w:rPr>
                    <w:t>导热系数测量仪</w:t>
                  </w:r>
                </w:p>
              </w:tc>
              <w:tc>
                <w:tcPr>
                  <w:tcW w:w="766" w:type="pct"/>
                  <w:shd w:val="clear" w:color="auto" w:fill="auto"/>
                  <w:vAlign w:val="center"/>
                </w:tcPr>
                <w:p w14:paraId="40ED9B38">
                  <w:pPr>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color w:val="0000FF"/>
                      <w:kern w:val="2"/>
                      <w:sz w:val="21"/>
                      <w:szCs w:val="21"/>
                      <w:lang w:val="en-US" w:eastAsia="zh-CN" w:bidi="ar-SA"/>
                    </w:rPr>
                  </w:pPr>
                  <w:r>
                    <w:rPr>
                      <w:rFonts w:hint="default" w:ascii="Times New Roman" w:hAnsi="Times New Roman" w:eastAsia="宋体" w:cs="Times New Roman"/>
                      <w:color w:val="0000FF"/>
                      <w:szCs w:val="21"/>
                    </w:rPr>
                    <w:t>TC2200</w:t>
                  </w:r>
                </w:p>
              </w:tc>
              <w:tc>
                <w:tcPr>
                  <w:tcW w:w="483" w:type="pct"/>
                  <w:shd w:val="clear" w:color="auto" w:fill="auto"/>
                  <w:vAlign w:val="center"/>
                </w:tcPr>
                <w:p w14:paraId="470B7F15">
                  <w:pPr>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color w:val="0000FF"/>
                      <w:kern w:val="2"/>
                      <w:sz w:val="21"/>
                      <w:szCs w:val="21"/>
                      <w:lang w:val="en-US" w:eastAsia="zh-CN" w:bidi="ar-SA"/>
                    </w:rPr>
                  </w:pPr>
                  <w:r>
                    <w:rPr>
                      <w:rFonts w:hint="default" w:ascii="Times New Roman" w:hAnsi="Times New Roman" w:eastAsia="宋体" w:cs="Times New Roman"/>
                      <w:color w:val="0000FF"/>
                      <w:szCs w:val="21"/>
                    </w:rPr>
                    <w:t>1</w:t>
                  </w:r>
                </w:p>
              </w:tc>
              <w:tc>
                <w:tcPr>
                  <w:tcW w:w="417" w:type="pct"/>
                  <w:shd w:val="clear" w:color="auto" w:fill="auto"/>
                  <w:vAlign w:val="center"/>
                </w:tcPr>
                <w:p w14:paraId="7EC03E65">
                  <w:pPr>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color w:val="0000FF"/>
                      <w:kern w:val="2"/>
                      <w:sz w:val="21"/>
                      <w:szCs w:val="21"/>
                      <w:lang w:val="en-US" w:eastAsia="zh-CN" w:bidi="ar-SA"/>
                    </w:rPr>
                  </w:pPr>
                  <w:r>
                    <w:rPr>
                      <w:rFonts w:hint="default" w:ascii="Times New Roman" w:hAnsi="Times New Roman" w:eastAsia="宋体" w:cs="Times New Roman"/>
                      <w:color w:val="0000FF"/>
                      <w:szCs w:val="21"/>
                    </w:rPr>
                    <w:t>1</w:t>
                  </w:r>
                </w:p>
              </w:tc>
              <w:tc>
                <w:tcPr>
                  <w:tcW w:w="592" w:type="pct"/>
                  <w:shd w:val="clear" w:color="auto" w:fill="auto"/>
                  <w:vAlign w:val="center"/>
                </w:tcPr>
                <w:p w14:paraId="3A567977">
                  <w:pPr>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color w:val="0000FF"/>
                      <w:kern w:val="2"/>
                      <w:sz w:val="21"/>
                      <w:szCs w:val="21"/>
                      <w:lang w:val="en-US" w:eastAsia="zh-CN" w:bidi="ar-SA"/>
                    </w:rPr>
                  </w:pPr>
                  <w:r>
                    <w:rPr>
                      <w:rFonts w:hint="default" w:ascii="Times New Roman" w:hAnsi="Times New Roman" w:eastAsia="宋体" w:cs="Times New Roman"/>
                      <w:color w:val="0000FF"/>
                      <w:szCs w:val="21"/>
                    </w:rPr>
                    <w:t>1</w:t>
                  </w:r>
                </w:p>
              </w:tc>
              <w:tc>
                <w:tcPr>
                  <w:tcW w:w="537" w:type="pct"/>
                  <w:shd w:val="clear" w:color="auto" w:fill="auto"/>
                  <w:vAlign w:val="center"/>
                </w:tcPr>
                <w:p w14:paraId="01437266">
                  <w:pPr>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color w:val="0000FF"/>
                      <w:kern w:val="2"/>
                      <w:sz w:val="21"/>
                      <w:szCs w:val="21"/>
                      <w:lang w:val="en-US" w:eastAsia="zh-CN" w:bidi="ar-SA"/>
                    </w:rPr>
                  </w:pPr>
                  <w:r>
                    <w:rPr>
                      <w:rFonts w:hint="default" w:ascii="Times New Roman" w:hAnsi="Times New Roman" w:eastAsia="宋体" w:cs="Times New Roman"/>
                      <w:color w:val="0000FF"/>
                      <w:szCs w:val="21"/>
                    </w:rPr>
                    <w:t>0</w:t>
                  </w:r>
                </w:p>
              </w:tc>
              <w:tc>
                <w:tcPr>
                  <w:tcW w:w="536" w:type="pct"/>
                  <w:gridSpan w:val="2"/>
                  <w:vMerge w:val="continue"/>
                  <w:vAlign w:val="center"/>
                </w:tcPr>
                <w:p w14:paraId="267F5FFC">
                  <w:pPr>
                    <w:keepNext w:val="0"/>
                    <w:keepLines w:val="0"/>
                    <w:suppressLineNumbers w:val="0"/>
                    <w:spacing w:before="0" w:beforeAutospacing="0" w:after="0" w:afterAutospacing="0"/>
                    <w:ind w:left="0" w:right="0"/>
                    <w:jc w:val="center"/>
                    <w:rPr>
                      <w:rFonts w:hint="eastAsia" w:ascii="Times New Roman" w:hAnsi="Times New Roman" w:eastAsia="宋体" w:cs="Times New Roman"/>
                      <w:b w:val="0"/>
                      <w:bCs w:val="0"/>
                      <w:color w:val="0000FF"/>
                      <w:szCs w:val="21"/>
                      <w:highlight w:val="none"/>
                      <w:lang w:val="en-US" w:eastAsia="zh-CN"/>
                    </w:rPr>
                  </w:pPr>
                </w:p>
              </w:tc>
              <w:tc>
                <w:tcPr>
                  <w:tcW w:w="320" w:type="pct"/>
                  <w:vAlign w:val="center"/>
                </w:tcPr>
                <w:p w14:paraId="733DDA93">
                  <w:pPr>
                    <w:keepNext w:val="0"/>
                    <w:keepLines w:val="0"/>
                    <w:suppressLineNumbers w:val="0"/>
                    <w:spacing w:before="0" w:beforeAutospacing="0" w:after="0" w:afterAutospacing="0"/>
                    <w:ind w:left="0" w:right="0"/>
                    <w:jc w:val="center"/>
                    <w:rPr>
                      <w:rFonts w:hint="default" w:ascii="Times New Roman" w:hAnsi="Times New Roman" w:eastAsia="宋体" w:cs="Times New Roman"/>
                      <w:b w:val="0"/>
                      <w:bCs w:val="0"/>
                      <w:color w:val="0000FF"/>
                      <w:szCs w:val="21"/>
                      <w:highlight w:val="none"/>
                    </w:rPr>
                  </w:pPr>
                  <w:r>
                    <w:rPr>
                      <w:rFonts w:hint="eastAsia" w:ascii="Times New Roman" w:hAnsi="Times New Roman" w:eastAsia="宋体" w:cs="Times New Roman"/>
                      <w:b w:val="0"/>
                      <w:bCs w:val="0"/>
                      <w:color w:val="0000FF"/>
                      <w:szCs w:val="21"/>
                      <w:highlight w:val="none"/>
                      <w:lang w:val="en-US" w:eastAsia="zh-CN"/>
                    </w:rPr>
                    <w:t>/</w:t>
                  </w:r>
                </w:p>
              </w:tc>
            </w:tr>
            <w:tr w14:paraId="160FDF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291" w:type="pct"/>
                  <w:shd w:val="clear" w:color="auto" w:fill="auto"/>
                  <w:vAlign w:val="center"/>
                </w:tcPr>
                <w:p w14:paraId="53BB07B5">
                  <w:pPr>
                    <w:keepNext w:val="0"/>
                    <w:keepLines w:val="0"/>
                    <w:suppressLineNumbers w:val="0"/>
                    <w:spacing w:before="0" w:beforeAutospacing="0" w:after="0" w:afterAutospacing="0"/>
                    <w:ind w:left="0" w:right="0"/>
                    <w:jc w:val="center"/>
                    <w:rPr>
                      <w:rFonts w:hint="default" w:ascii="Times New Roman" w:hAnsi="Times New Roman" w:eastAsia="宋体" w:cs="Times New Roman"/>
                      <w:b w:val="0"/>
                      <w:bCs w:val="0"/>
                      <w:color w:val="0000FF"/>
                      <w:szCs w:val="21"/>
                      <w:highlight w:val="none"/>
                      <w:lang w:val="en-US" w:eastAsia="zh-CN"/>
                    </w:rPr>
                  </w:pPr>
                  <w:r>
                    <w:rPr>
                      <w:rFonts w:hint="eastAsia" w:ascii="Times New Roman" w:hAnsi="Times New Roman" w:eastAsia="宋体" w:cs="Times New Roman"/>
                      <w:b w:val="0"/>
                      <w:bCs w:val="0"/>
                      <w:color w:val="0000FF"/>
                      <w:szCs w:val="21"/>
                      <w:highlight w:val="none"/>
                      <w:lang w:val="en-US" w:eastAsia="zh-CN"/>
                    </w:rPr>
                    <w:t>84</w:t>
                  </w:r>
                </w:p>
              </w:tc>
              <w:tc>
                <w:tcPr>
                  <w:tcW w:w="394" w:type="pct"/>
                  <w:vMerge w:val="continue"/>
                  <w:vAlign w:val="center"/>
                </w:tcPr>
                <w:p w14:paraId="6C621AD2">
                  <w:pPr>
                    <w:keepNext w:val="0"/>
                    <w:keepLines w:val="0"/>
                    <w:suppressLineNumbers w:val="0"/>
                    <w:spacing w:before="0" w:beforeAutospacing="0" w:after="0" w:afterAutospacing="0"/>
                    <w:ind w:left="0" w:right="0"/>
                    <w:jc w:val="center"/>
                    <w:rPr>
                      <w:rFonts w:hint="default" w:ascii="Times New Roman" w:hAnsi="Times New Roman" w:eastAsia="宋体" w:cs="Times New Roman"/>
                      <w:b w:val="0"/>
                      <w:bCs w:val="0"/>
                      <w:color w:val="0000FF"/>
                      <w:szCs w:val="21"/>
                      <w:highlight w:val="none"/>
                    </w:rPr>
                  </w:pPr>
                </w:p>
              </w:tc>
              <w:tc>
                <w:tcPr>
                  <w:tcW w:w="660" w:type="pct"/>
                  <w:shd w:val="clear" w:color="auto" w:fill="auto"/>
                  <w:vAlign w:val="center"/>
                </w:tcPr>
                <w:p w14:paraId="09AA7930">
                  <w:pPr>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color w:val="0000FF"/>
                      <w:kern w:val="2"/>
                      <w:sz w:val="21"/>
                      <w:szCs w:val="21"/>
                      <w:lang w:val="en-US" w:eastAsia="zh-CN" w:bidi="ar-SA"/>
                    </w:rPr>
                  </w:pPr>
                  <w:r>
                    <w:rPr>
                      <w:rFonts w:hint="default" w:ascii="Times New Roman" w:hAnsi="Times New Roman" w:eastAsia="宋体" w:cs="Times New Roman"/>
                      <w:color w:val="0000FF"/>
                      <w:szCs w:val="21"/>
                    </w:rPr>
                    <w:t>高精度全自动循环浴（导热系数配套设备）</w:t>
                  </w:r>
                </w:p>
              </w:tc>
              <w:tc>
                <w:tcPr>
                  <w:tcW w:w="766" w:type="pct"/>
                  <w:shd w:val="clear" w:color="auto" w:fill="auto"/>
                  <w:vAlign w:val="center"/>
                </w:tcPr>
                <w:p w14:paraId="3733A124">
                  <w:pPr>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color w:val="0000FF"/>
                      <w:kern w:val="2"/>
                      <w:sz w:val="21"/>
                      <w:szCs w:val="21"/>
                      <w:lang w:val="en-US" w:eastAsia="zh-CN" w:bidi="ar-SA"/>
                    </w:rPr>
                  </w:pPr>
                  <w:r>
                    <w:rPr>
                      <w:rFonts w:hint="default" w:ascii="Times New Roman" w:hAnsi="Times New Roman" w:eastAsia="宋体" w:cs="Times New Roman"/>
                      <w:color w:val="0000FF"/>
                      <w:szCs w:val="21"/>
                    </w:rPr>
                    <w:t>C3150</w:t>
                  </w:r>
                </w:p>
              </w:tc>
              <w:tc>
                <w:tcPr>
                  <w:tcW w:w="483" w:type="pct"/>
                  <w:shd w:val="clear" w:color="auto" w:fill="auto"/>
                  <w:vAlign w:val="center"/>
                </w:tcPr>
                <w:p w14:paraId="7845D9F4">
                  <w:pPr>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color w:val="0000FF"/>
                      <w:kern w:val="2"/>
                      <w:sz w:val="21"/>
                      <w:szCs w:val="21"/>
                      <w:lang w:val="en-US" w:eastAsia="zh-CN" w:bidi="ar-SA"/>
                    </w:rPr>
                  </w:pPr>
                  <w:r>
                    <w:rPr>
                      <w:rFonts w:hint="default" w:ascii="Times New Roman" w:hAnsi="Times New Roman" w:eastAsia="宋体" w:cs="Times New Roman"/>
                      <w:color w:val="0000FF"/>
                      <w:szCs w:val="21"/>
                    </w:rPr>
                    <w:t>1</w:t>
                  </w:r>
                </w:p>
              </w:tc>
              <w:tc>
                <w:tcPr>
                  <w:tcW w:w="417" w:type="pct"/>
                  <w:shd w:val="clear" w:color="auto" w:fill="auto"/>
                  <w:vAlign w:val="center"/>
                </w:tcPr>
                <w:p w14:paraId="46396D36">
                  <w:pPr>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color w:val="0000FF"/>
                      <w:kern w:val="2"/>
                      <w:sz w:val="21"/>
                      <w:szCs w:val="21"/>
                      <w:lang w:val="en-US" w:eastAsia="zh-CN" w:bidi="ar-SA"/>
                    </w:rPr>
                  </w:pPr>
                  <w:r>
                    <w:rPr>
                      <w:rFonts w:hint="default" w:ascii="Times New Roman" w:hAnsi="Times New Roman" w:eastAsia="宋体" w:cs="Times New Roman"/>
                      <w:color w:val="0000FF"/>
                      <w:szCs w:val="21"/>
                    </w:rPr>
                    <w:t>1</w:t>
                  </w:r>
                </w:p>
              </w:tc>
              <w:tc>
                <w:tcPr>
                  <w:tcW w:w="592" w:type="pct"/>
                  <w:shd w:val="clear" w:color="auto" w:fill="auto"/>
                  <w:vAlign w:val="center"/>
                </w:tcPr>
                <w:p w14:paraId="1B631547">
                  <w:pPr>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color w:val="0000FF"/>
                      <w:kern w:val="2"/>
                      <w:sz w:val="21"/>
                      <w:szCs w:val="21"/>
                      <w:lang w:val="en-US" w:eastAsia="zh-CN" w:bidi="ar-SA"/>
                    </w:rPr>
                  </w:pPr>
                  <w:r>
                    <w:rPr>
                      <w:rFonts w:hint="default" w:ascii="Times New Roman" w:hAnsi="Times New Roman" w:eastAsia="宋体" w:cs="Times New Roman"/>
                      <w:color w:val="0000FF"/>
                      <w:szCs w:val="21"/>
                    </w:rPr>
                    <w:t>1</w:t>
                  </w:r>
                </w:p>
              </w:tc>
              <w:tc>
                <w:tcPr>
                  <w:tcW w:w="537" w:type="pct"/>
                  <w:shd w:val="clear" w:color="auto" w:fill="auto"/>
                  <w:vAlign w:val="center"/>
                </w:tcPr>
                <w:p w14:paraId="1D6D2531">
                  <w:pPr>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color w:val="0000FF"/>
                      <w:kern w:val="2"/>
                      <w:sz w:val="21"/>
                      <w:szCs w:val="21"/>
                      <w:lang w:val="en-US" w:eastAsia="zh-CN" w:bidi="ar-SA"/>
                    </w:rPr>
                  </w:pPr>
                  <w:r>
                    <w:rPr>
                      <w:rFonts w:hint="default" w:ascii="Times New Roman" w:hAnsi="Times New Roman" w:eastAsia="宋体" w:cs="Times New Roman"/>
                      <w:color w:val="0000FF"/>
                      <w:szCs w:val="21"/>
                    </w:rPr>
                    <w:t>0</w:t>
                  </w:r>
                </w:p>
              </w:tc>
              <w:tc>
                <w:tcPr>
                  <w:tcW w:w="536" w:type="pct"/>
                  <w:gridSpan w:val="2"/>
                  <w:vMerge w:val="continue"/>
                  <w:vAlign w:val="center"/>
                </w:tcPr>
                <w:p w14:paraId="3CE133DE">
                  <w:pPr>
                    <w:keepNext w:val="0"/>
                    <w:keepLines w:val="0"/>
                    <w:suppressLineNumbers w:val="0"/>
                    <w:spacing w:before="0" w:beforeAutospacing="0" w:after="0" w:afterAutospacing="0"/>
                    <w:ind w:left="0" w:right="0"/>
                    <w:jc w:val="center"/>
                    <w:rPr>
                      <w:rFonts w:hint="eastAsia" w:ascii="Times New Roman" w:hAnsi="Times New Roman" w:eastAsia="宋体" w:cs="Times New Roman"/>
                      <w:b w:val="0"/>
                      <w:bCs w:val="0"/>
                      <w:color w:val="0000FF"/>
                      <w:szCs w:val="21"/>
                      <w:highlight w:val="none"/>
                      <w:lang w:val="en-US" w:eastAsia="zh-CN"/>
                    </w:rPr>
                  </w:pPr>
                </w:p>
              </w:tc>
              <w:tc>
                <w:tcPr>
                  <w:tcW w:w="320" w:type="pct"/>
                  <w:vAlign w:val="center"/>
                </w:tcPr>
                <w:p w14:paraId="510A7DBF">
                  <w:pPr>
                    <w:keepNext w:val="0"/>
                    <w:keepLines w:val="0"/>
                    <w:suppressLineNumbers w:val="0"/>
                    <w:spacing w:before="0" w:beforeAutospacing="0" w:after="0" w:afterAutospacing="0"/>
                    <w:ind w:left="0" w:right="0"/>
                    <w:jc w:val="center"/>
                    <w:rPr>
                      <w:rFonts w:hint="default" w:ascii="Times New Roman" w:hAnsi="Times New Roman" w:eastAsia="宋体" w:cs="Times New Roman"/>
                      <w:b w:val="0"/>
                      <w:bCs w:val="0"/>
                      <w:color w:val="0000FF"/>
                      <w:szCs w:val="21"/>
                      <w:highlight w:val="none"/>
                    </w:rPr>
                  </w:pPr>
                  <w:r>
                    <w:rPr>
                      <w:rFonts w:hint="eastAsia" w:ascii="Times New Roman" w:hAnsi="Times New Roman" w:eastAsia="宋体" w:cs="Times New Roman"/>
                      <w:b w:val="0"/>
                      <w:bCs w:val="0"/>
                      <w:color w:val="0000FF"/>
                      <w:szCs w:val="21"/>
                      <w:highlight w:val="none"/>
                      <w:lang w:val="en-US" w:eastAsia="zh-CN"/>
                    </w:rPr>
                    <w:t>/</w:t>
                  </w:r>
                </w:p>
              </w:tc>
            </w:tr>
            <w:tr w14:paraId="6E3BC4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291" w:type="pct"/>
                  <w:shd w:val="clear" w:color="auto" w:fill="auto"/>
                  <w:vAlign w:val="center"/>
                </w:tcPr>
                <w:p w14:paraId="4870B539">
                  <w:pPr>
                    <w:keepNext w:val="0"/>
                    <w:keepLines w:val="0"/>
                    <w:suppressLineNumbers w:val="0"/>
                    <w:spacing w:before="0" w:beforeAutospacing="0" w:after="0" w:afterAutospacing="0"/>
                    <w:ind w:left="0" w:right="0"/>
                    <w:jc w:val="center"/>
                    <w:rPr>
                      <w:rFonts w:hint="default" w:ascii="Times New Roman" w:hAnsi="Times New Roman" w:eastAsia="宋体" w:cs="Times New Roman"/>
                      <w:b w:val="0"/>
                      <w:bCs w:val="0"/>
                      <w:color w:val="0000FF"/>
                      <w:szCs w:val="21"/>
                      <w:highlight w:val="none"/>
                      <w:lang w:val="en-US" w:eastAsia="zh-CN"/>
                    </w:rPr>
                  </w:pPr>
                  <w:r>
                    <w:rPr>
                      <w:rFonts w:hint="eastAsia" w:ascii="Times New Roman" w:hAnsi="Times New Roman" w:eastAsia="宋体" w:cs="Times New Roman"/>
                      <w:b w:val="0"/>
                      <w:bCs w:val="0"/>
                      <w:color w:val="0000FF"/>
                      <w:szCs w:val="21"/>
                      <w:highlight w:val="none"/>
                      <w:lang w:val="en-US" w:eastAsia="zh-CN"/>
                    </w:rPr>
                    <w:t>85</w:t>
                  </w:r>
                </w:p>
              </w:tc>
              <w:tc>
                <w:tcPr>
                  <w:tcW w:w="394" w:type="pct"/>
                  <w:vMerge w:val="continue"/>
                  <w:vAlign w:val="center"/>
                </w:tcPr>
                <w:p w14:paraId="68D24ADD">
                  <w:pPr>
                    <w:keepNext w:val="0"/>
                    <w:keepLines w:val="0"/>
                    <w:suppressLineNumbers w:val="0"/>
                    <w:spacing w:before="0" w:beforeAutospacing="0" w:after="0" w:afterAutospacing="0"/>
                    <w:ind w:left="0" w:right="0"/>
                    <w:jc w:val="center"/>
                    <w:rPr>
                      <w:rFonts w:hint="default" w:ascii="Times New Roman" w:hAnsi="Times New Roman" w:eastAsia="宋体" w:cs="Times New Roman"/>
                      <w:b w:val="0"/>
                      <w:bCs w:val="0"/>
                      <w:color w:val="0000FF"/>
                      <w:szCs w:val="21"/>
                      <w:highlight w:val="none"/>
                    </w:rPr>
                  </w:pPr>
                </w:p>
              </w:tc>
              <w:tc>
                <w:tcPr>
                  <w:tcW w:w="660" w:type="pct"/>
                  <w:shd w:val="clear" w:color="auto" w:fill="auto"/>
                  <w:vAlign w:val="center"/>
                </w:tcPr>
                <w:p w14:paraId="72C77764">
                  <w:pPr>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color w:val="0000FF"/>
                      <w:kern w:val="2"/>
                      <w:sz w:val="21"/>
                      <w:szCs w:val="21"/>
                      <w:lang w:val="en-US" w:eastAsia="zh-CN" w:bidi="ar-SA"/>
                    </w:rPr>
                  </w:pPr>
                  <w:r>
                    <w:rPr>
                      <w:rFonts w:hint="default" w:ascii="Times New Roman" w:hAnsi="Times New Roman" w:eastAsia="宋体" w:cs="Times New Roman"/>
                      <w:color w:val="0000FF"/>
                      <w:szCs w:val="21"/>
                    </w:rPr>
                    <w:t>交/直流耐压绝缘测试仪</w:t>
                  </w:r>
                </w:p>
              </w:tc>
              <w:tc>
                <w:tcPr>
                  <w:tcW w:w="766" w:type="pct"/>
                  <w:shd w:val="clear" w:color="auto" w:fill="auto"/>
                  <w:vAlign w:val="center"/>
                </w:tcPr>
                <w:p w14:paraId="130B2D7D">
                  <w:pPr>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color w:val="0000FF"/>
                      <w:kern w:val="2"/>
                      <w:sz w:val="21"/>
                      <w:szCs w:val="21"/>
                      <w:lang w:val="en-US" w:eastAsia="zh-CN" w:bidi="ar-SA"/>
                    </w:rPr>
                  </w:pPr>
                  <w:r>
                    <w:rPr>
                      <w:rFonts w:hint="default" w:ascii="Times New Roman" w:hAnsi="Times New Roman" w:eastAsia="宋体" w:cs="Times New Roman"/>
                      <w:color w:val="0000FF"/>
                      <w:szCs w:val="21"/>
                    </w:rPr>
                    <w:t>TH9320</w:t>
                  </w:r>
                </w:p>
              </w:tc>
              <w:tc>
                <w:tcPr>
                  <w:tcW w:w="483" w:type="pct"/>
                  <w:shd w:val="clear" w:color="auto" w:fill="auto"/>
                  <w:vAlign w:val="center"/>
                </w:tcPr>
                <w:p w14:paraId="783664E1">
                  <w:pPr>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color w:val="0000FF"/>
                      <w:kern w:val="2"/>
                      <w:sz w:val="21"/>
                      <w:szCs w:val="21"/>
                      <w:lang w:val="en-US" w:eastAsia="zh-CN" w:bidi="ar-SA"/>
                    </w:rPr>
                  </w:pPr>
                  <w:r>
                    <w:rPr>
                      <w:rFonts w:hint="default" w:ascii="Times New Roman" w:hAnsi="Times New Roman" w:eastAsia="宋体" w:cs="Times New Roman"/>
                      <w:color w:val="0000FF"/>
                      <w:szCs w:val="21"/>
                    </w:rPr>
                    <w:t>1</w:t>
                  </w:r>
                </w:p>
              </w:tc>
              <w:tc>
                <w:tcPr>
                  <w:tcW w:w="417" w:type="pct"/>
                  <w:shd w:val="clear" w:color="auto" w:fill="auto"/>
                  <w:vAlign w:val="center"/>
                </w:tcPr>
                <w:p w14:paraId="4057E61C">
                  <w:pPr>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color w:val="0000FF"/>
                      <w:kern w:val="2"/>
                      <w:sz w:val="21"/>
                      <w:szCs w:val="21"/>
                      <w:lang w:val="en-US" w:eastAsia="zh-CN" w:bidi="ar-SA"/>
                    </w:rPr>
                  </w:pPr>
                  <w:r>
                    <w:rPr>
                      <w:rFonts w:hint="default" w:ascii="Times New Roman" w:hAnsi="Times New Roman" w:eastAsia="宋体" w:cs="Times New Roman"/>
                      <w:color w:val="0000FF"/>
                      <w:szCs w:val="21"/>
                    </w:rPr>
                    <w:t>1</w:t>
                  </w:r>
                </w:p>
              </w:tc>
              <w:tc>
                <w:tcPr>
                  <w:tcW w:w="592" w:type="pct"/>
                  <w:shd w:val="clear" w:color="auto" w:fill="auto"/>
                  <w:vAlign w:val="center"/>
                </w:tcPr>
                <w:p w14:paraId="090341DF">
                  <w:pPr>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color w:val="0000FF"/>
                      <w:kern w:val="2"/>
                      <w:sz w:val="21"/>
                      <w:szCs w:val="21"/>
                      <w:lang w:val="en-US" w:eastAsia="zh-CN" w:bidi="ar-SA"/>
                    </w:rPr>
                  </w:pPr>
                  <w:r>
                    <w:rPr>
                      <w:rFonts w:hint="default" w:ascii="Times New Roman" w:hAnsi="Times New Roman" w:eastAsia="宋体" w:cs="Times New Roman"/>
                      <w:color w:val="0000FF"/>
                      <w:szCs w:val="21"/>
                    </w:rPr>
                    <w:t>1</w:t>
                  </w:r>
                </w:p>
              </w:tc>
              <w:tc>
                <w:tcPr>
                  <w:tcW w:w="537" w:type="pct"/>
                  <w:shd w:val="clear" w:color="auto" w:fill="auto"/>
                  <w:vAlign w:val="center"/>
                </w:tcPr>
                <w:p w14:paraId="68B35635">
                  <w:pPr>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color w:val="0000FF"/>
                      <w:kern w:val="2"/>
                      <w:sz w:val="21"/>
                      <w:szCs w:val="21"/>
                      <w:lang w:val="en-US" w:eastAsia="zh-CN" w:bidi="ar-SA"/>
                    </w:rPr>
                  </w:pPr>
                  <w:r>
                    <w:rPr>
                      <w:rFonts w:hint="default" w:ascii="Times New Roman" w:hAnsi="Times New Roman" w:eastAsia="宋体" w:cs="Times New Roman"/>
                      <w:color w:val="0000FF"/>
                      <w:szCs w:val="21"/>
                    </w:rPr>
                    <w:t>0</w:t>
                  </w:r>
                </w:p>
              </w:tc>
              <w:tc>
                <w:tcPr>
                  <w:tcW w:w="536" w:type="pct"/>
                  <w:gridSpan w:val="2"/>
                  <w:vMerge w:val="continue"/>
                  <w:vAlign w:val="center"/>
                </w:tcPr>
                <w:p w14:paraId="074BFB94">
                  <w:pPr>
                    <w:keepNext w:val="0"/>
                    <w:keepLines w:val="0"/>
                    <w:suppressLineNumbers w:val="0"/>
                    <w:spacing w:before="0" w:beforeAutospacing="0" w:after="0" w:afterAutospacing="0"/>
                    <w:ind w:left="0" w:right="0"/>
                    <w:jc w:val="center"/>
                    <w:rPr>
                      <w:rFonts w:hint="eastAsia" w:ascii="Times New Roman" w:hAnsi="Times New Roman" w:eastAsia="宋体" w:cs="Times New Roman"/>
                      <w:b w:val="0"/>
                      <w:bCs w:val="0"/>
                      <w:color w:val="0000FF"/>
                      <w:szCs w:val="21"/>
                      <w:highlight w:val="none"/>
                      <w:lang w:val="en-US" w:eastAsia="zh-CN"/>
                    </w:rPr>
                  </w:pPr>
                </w:p>
              </w:tc>
              <w:tc>
                <w:tcPr>
                  <w:tcW w:w="320" w:type="pct"/>
                  <w:vAlign w:val="center"/>
                </w:tcPr>
                <w:p w14:paraId="6225BC4E">
                  <w:pPr>
                    <w:keepNext w:val="0"/>
                    <w:keepLines w:val="0"/>
                    <w:suppressLineNumbers w:val="0"/>
                    <w:spacing w:before="0" w:beforeAutospacing="0" w:after="0" w:afterAutospacing="0"/>
                    <w:ind w:left="0" w:right="0"/>
                    <w:jc w:val="center"/>
                    <w:rPr>
                      <w:rFonts w:hint="default" w:ascii="Times New Roman" w:hAnsi="Times New Roman" w:eastAsia="宋体" w:cs="Times New Roman"/>
                      <w:b w:val="0"/>
                      <w:bCs w:val="0"/>
                      <w:color w:val="0000FF"/>
                      <w:szCs w:val="21"/>
                      <w:highlight w:val="none"/>
                    </w:rPr>
                  </w:pPr>
                  <w:r>
                    <w:rPr>
                      <w:rFonts w:hint="eastAsia" w:ascii="Times New Roman" w:hAnsi="Times New Roman" w:eastAsia="宋体" w:cs="Times New Roman"/>
                      <w:b w:val="0"/>
                      <w:bCs w:val="0"/>
                      <w:color w:val="0000FF"/>
                      <w:szCs w:val="21"/>
                      <w:highlight w:val="none"/>
                      <w:lang w:val="en-US" w:eastAsia="zh-CN"/>
                    </w:rPr>
                    <w:t>/</w:t>
                  </w:r>
                </w:p>
              </w:tc>
            </w:tr>
            <w:tr w14:paraId="7D3E6B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291" w:type="pct"/>
                  <w:shd w:val="clear" w:color="auto" w:fill="auto"/>
                  <w:vAlign w:val="center"/>
                </w:tcPr>
                <w:p w14:paraId="7D2E4D8A">
                  <w:pPr>
                    <w:keepNext w:val="0"/>
                    <w:keepLines w:val="0"/>
                    <w:suppressLineNumbers w:val="0"/>
                    <w:spacing w:before="0" w:beforeAutospacing="0" w:after="0" w:afterAutospacing="0"/>
                    <w:ind w:left="0" w:right="0"/>
                    <w:jc w:val="center"/>
                    <w:rPr>
                      <w:rFonts w:hint="default" w:ascii="Times New Roman" w:hAnsi="Times New Roman" w:eastAsia="宋体" w:cs="Times New Roman"/>
                      <w:b w:val="0"/>
                      <w:bCs w:val="0"/>
                      <w:color w:val="0000FF"/>
                      <w:szCs w:val="21"/>
                      <w:highlight w:val="none"/>
                      <w:lang w:val="en-US" w:eastAsia="zh-CN"/>
                    </w:rPr>
                  </w:pPr>
                  <w:r>
                    <w:rPr>
                      <w:rFonts w:hint="eastAsia" w:ascii="Times New Roman" w:hAnsi="Times New Roman" w:eastAsia="宋体" w:cs="Times New Roman"/>
                      <w:b w:val="0"/>
                      <w:bCs w:val="0"/>
                      <w:color w:val="0000FF"/>
                      <w:szCs w:val="21"/>
                      <w:highlight w:val="none"/>
                      <w:lang w:val="en-US" w:eastAsia="zh-CN"/>
                    </w:rPr>
                    <w:t>86</w:t>
                  </w:r>
                </w:p>
              </w:tc>
              <w:tc>
                <w:tcPr>
                  <w:tcW w:w="394" w:type="pct"/>
                  <w:vMerge w:val="continue"/>
                  <w:vAlign w:val="center"/>
                </w:tcPr>
                <w:p w14:paraId="5C4227A5">
                  <w:pPr>
                    <w:keepNext w:val="0"/>
                    <w:keepLines w:val="0"/>
                    <w:suppressLineNumbers w:val="0"/>
                    <w:spacing w:before="0" w:beforeAutospacing="0" w:after="0" w:afterAutospacing="0"/>
                    <w:ind w:left="0" w:right="0"/>
                    <w:jc w:val="center"/>
                    <w:rPr>
                      <w:rFonts w:hint="default" w:ascii="Times New Roman" w:hAnsi="Times New Roman" w:eastAsia="宋体" w:cs="Times New Roman"/>
                      <w:b w:val="0"/>
                      <w:bCs w:val="0"/>
                      <w:color w:val="0000FF"/>
                      <w:szCs w:val="21"/>
                      <w:highlight w:val="none"/>
                    </w:rPr>
                  </w:pPr>
                </w:p>
              </w:tc>
              <w:tc>
                <w:tcPr>
                  <w:tcW w:w="660" w:type="pct"/>
                  <w:shd w:val="clear" w:color="auto" w:fill="auto"/>
                  <w:vAlign w:val="center"/>
                </w:tcPr>
                <w:p w14:paraId="790E0F53">
                  <w:pPr>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color w:val="0000FF"/>
                      <w:kern w:val="2"/>
                      <w:sz w:val="21"/>
                      <w:szCs w:val="21"/>
                      <w:lang w:val="en-US" w:eastAsia="zh-CN" w:bidi="ar-SA"/>
                    </w:rPr>
                  </w:pPr>
                  <w:r>
                    <w:rPr>
                      <w:rFonts w:hint="default" w:ascii="Times New Roman" w:hAnsi="Times New Roman" w:eastAsia="宋体" w:cs="Times New Roman"/>
                      <w:color w:val="0000FF"/>
                      <w:szCs w:val="21"/>
                    </w:rPr>
                    <w:t>温湿度表</w:t>
                  </w:r>
                </w:p>
              </w:tc>
              <w:tc>
                <w:tcPr>
                  <w:tcW w:w="766" w:type="pct"/>
                  <w:shd w:val="clear" w:color="auto" w:fill="auto"/>
                  <w:vAlign w:val="center"/>
                </w:tcPr>
                <w:p w14:paraId="228DD9FB">
                  <w:pPr>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color w:val="0000FF"/>
                      <w:kern w:val="2"/>
                      <w:sz w:val="21"/>
                      <w:szCs w:val="21"/>
                      <w:lang w:val="en-US" w:eastAsia="zh-CN" w:bidi="ar-SA"/>
                    </w:rPr>
                  </w:pPr>
                  <w:r>
                    <w:rPr>
                      <w:rFonts w:hint="default" w:ascii="Times New Roman" w:hAnsi="Times New Roman" w:eastAsia="宋体" w:cs="Times New Roman"/>
                      <w:color w:val="0000FF"/>
                      <w:szCs w:val="21"/>
                    </w:rPr>
                    <w:t>WS-A1</w:t>
                  </w:r>
                </w:p>
              </w:tc>
              <w:tc>
                <w:tcPr>
                  <w:tcW w:w="483" w:type="pct"/>
                  <w:shd w:val="clear" w:color="auto" w:fill="auto"/>
                  <w:vAlign w:val="center"/>
                </w:tcPr>
                <w:p w14:paraId="09AC8198">
                  <w:pPr>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color w:val="0000FF"/>
                      <w:kern w:val="2"/>
                      <w:sz w:val="21"/>
                      <w:szCs w:val="21"/>
                      <w:lang w:val="en-US" w:eastAsia="zh-CN" w:bidi="ar-SA"/>
                    </w:rPr>
                  </w:pPr>
                  <w:r>
                    <w:rPr>
                      <w:rFonts w:hint="default" w:ascii="Times New Roman" w:hAnsi="Times New Roman" w:eastAsia="宋体" w:cs="Times New Roman"/>
                      <w:color w:val="0000FF"/>
                      <w:szCs w:val="21"/>
                    </w:rPr>
                    <w:t>3</w:t>
                  </w:r>
                </w:p>
              </w:tc>
              <w:tc>
                <w:tcPr>
                  <w:tcW w:w="417" w:type="pct"/>
                  <w:shd w:val="clear" w:color="auto" w:fill="auto"/>
                  <w:vAlign w:val="center"/>
                </w:tcPr>
                <w:p w14:paraId="68DAB096">
                  <w:pPr>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color w:val="0000FF"/>
                      <w:kern w:val="2"/>
                      <w:sz w:val="21"/>
                      <w:szCs w:val="21"/>
                      <w:lang w:val="en-US" w:eastAsia="zh-CN" w:bidi="ar-SA"/>
                    </w:rPr>
                  </w:pPr>
                  <w:r>
                    <w:rPr>
                      <w:rFonts w:hint="default" w:ascii="Times New Roman" w:hAnsi="Times New Roman" w:eastAsia="宋体" w:cs="Times New Roman"/>
                      <w:color w:val="0000FF"/>
                      <w:szCs w:val="21"/>
                    </w:rPr>
                    <w:t>3</w:t>
                  </w:r>
                </w:p>
              </w:tc>
              <w:tc>
                <w:tcPr>
                  <w:tcW w:w="592" w:type="pct"/>
                  <w:shd w:val="clear" w:color="auto" w:fill="auto"/>
                  <w:vAlign w:val="center"/>
                </w:tcPr>
                <w:p w14:paraId="515E0C15">
                  <w:pPr>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color w:val="0000FF"/>
                      <w:kern w:val="2"/>
                      <w:sz w:val="21"/>
                      <w:szCs w:val="21"/>
                      <w:lang w:val="en-US" w:eastAsia="zh-CN" w:bidi="ar-SA"/>
                    </w:rPr>
                  </w:pPr>
                  <w:r>
                    <w:rPr>
                      <w:rFonts w:hint="default" w:ascii="Times New Roman" w:hAnsi="Times New Roman" w:eastAsia="宋体" w:cs="Times New Roman"/>
                      <w:color w:val="0000FF"/>
                      <w:szCs w:val="21"/>
                    </w:rPr>
                    <w:t>3</w:t>
                  </w:r>
                </w:p>
              </w:tc>
              <w:tc>
                <w:tcPr>
                  <w:tcW w:w="537" w:type="pct"/>
                  <w:shd w:val="clear" w:color="auto" w:fill="auto"/>
                  <w:vAlign w:val="center"/>
                </w:tcPr>
                <w:p w14:paraId="2CEE2F4D">
                  <w:pPr>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color w:val="0000FF"/>
                      <w:kern w:val="2"/>
                      <w:sz w:val="21"/>
                      <w:szCs w:val="21"/>
                      <w:lang w:val="en-US" w:eastAsia="zh-CN" w:bidi="ar-SA"/>
                    </w:rPr>
                  </w:pPr>
                  <w:r>
                    <w:rPr>
                      <w:rFonts w:hint="default" w:ascii="Times New Roman" w:hAnsi="Times New Roman" w:eastAsia="宋体" w:cs="Times New Roman"/>
                      <w:color w:val="0000FF"/>
                      <w:szCs w:val="21"/>
                    </w:rPr>
                    <w:t>0</w:t>
                  </w:r>
                </w:p>
              </w:tc>
              <w:tc>
                <w:tcPr>
                  <w:tcW w:w="536" w:type="pct"/>
                  <w:gridSpan w:val="2"/>
                  <w:vMerge w:val="continue"/>
                  <w:vAlign w:val="center"/>
                </w:tcPr>
                <w:p w14:paraId="4680AF7E">
                  <w:pPr>
                    <w:keepNext w:val="0"/>
                    <w:keepLines w:val="0"/>
                    <w:suppressLineNumbers w:val="0"/>
                    <w:spacing w:before="0" w:beforeAutospacing="0" w:after="0" w:afterAutospacing="0"/>
                    <w:ind w:left="0" w:right="0"/>
                    <w:jc w:val="center"/>
                    <w:rPr>
                      <w:rFonts w:hint="eastAsia" w:ascii="Times New Roman" w:hAnsi="Times New Roman" w:eastAsia="宋体" w:cs="Times New Roman"/>
                      <w:b w:val="0"/>
                      <w:bCs w:val="0"/>
                      <w:color w:val="0000FF"/>
                      <w:szCs w:val="21"/>
                      <w:highlight w:val="none"/>
                      <w:lang w:val="en-US" w:eastAsia="zh-CN"/>
                    </w:rPr>
                  </w:pPr>
                </w:p>
              </w:tc>
              <w:tc>
                <w:tcPr>
                  <w:tcW w:w="320" w:type="pct"/>
                  <w:vAlign w:val="center"/>
                </w:tcPr>
                <w:p w14:paraId="7C7B11B5">
                  <w:pPr>
                    <w:keepNext w:val="0"/>
                    <w:keepLines w:val="0"/>
                    <w:suppressLineNumbers w:val="0"/>
                    <w:spacing w:before="0" w:beforeAutospacing="0" w:after="0" w:afterAutospacing="0"/>
                    <w:ind w:left="0" w:right="0"/>
                    <w:jc w:val="center"/>
                    <w:rPr>
                      <w:rFonts w:hint="default" w:ascii="Times New Roman" w:hAnsi="Times New Roman" w:eastAsia="宋体" w:cs="Times New Roman"/>
                      <w:b w:val="0"/>
                      <w:bCs w:val="0"/>
                      <w:color w:val="0000FF"/>
                      <w:szCs w:val="21"/>
                      <w:highlight w:val="none"/>
                    </w:rPr>
                  </w:pPr>
                  <w:r>
                    <w:rPr>
                      <w:rFonts w:hint="eastAsia" w:ascii="Times New Roman" w:hAnsi="Times New Roman" w:eastAsia="宋体" w:cs="Times New Roman"/>
                      <w:b w:val="0"/>
                      <w:bCs w:val="0"/>
                      <w:color w:val="0000FF"/>
                      <w:szCs w:val="21"/>
                      <w:highlight w:val="none"/>
                      <w:lang w:val="en-US" w:eastAsia="zh-CN"/>
                    </w:rPr>
                    <w:t>/</w:t>
                  </w:r>
                </w:p>
              </w:tc>
            </w:tr>
            <w:tr w14:paraId="391476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291" w:type="pct"/>
                  <w:shd w:val="clear" w:color="auto" w:fill="auto"/>
                  <w:vAlign w:val="center"/>
                </w:tcPr>
                <w:p w14:paraId="7590F745">
                  <w:pPr>
                    <w:keepNext w:val="0"/>
                    <w:keepLines w:val="0"/>
                    <w:suppressLineNumbers w:val="0"/>
                    <w:spacing w:before="0" w:beforeAutospacing="0" w:after="0" w:afterAutospacing="0"/>
                    <w:ind w:left="0" w:right="0"/>
                    <w:jc w:val="center"/>
                    <w:rPr>
                      <w:rFonts w:hint="default" w:ascii="Times New Roman" w:hAnsi="Times New Roman" w:eastAsia="宋体" w:cs="Times New Roman"/>
                      <w:b w:val="0"/>
                      <w:bCs w:val="0"/>
                      <w:color w:val="0000FF"/>
                      <w:szCs w:val="21"/>
                      <w:highlight w:val="none"/>
                      <w:lang w:val="en-US" w:eastAsia="zh-CN"/>
                    </w:rPr>
                  </w:pPr>
                  <w:r>
                    <w:rPr>
                      <w:rFonts w:hint="eastAsia" w:ascii="Times New Roman" w:hAnsi="Times New Roman" w:eastAsia="宋体" w:cs="Times New Roman"/>
                      <w:b w:val="0"/>
                      <w:bCs w:val="0"/>
                      <w:color w:val="0000FF"/>
                      <w:szCs w:val="21"/>
                      <w:highlight w:val="none"/>
                      <w:lang w:val="en-US" w:eastAsia="zh-CN"/>
                    </w:rPr>
                    <w:t>87</w:t>
                  </w:r>
                </w:p>
              </w:tc>
              <w:tc>
                <w:tcPr>
                  <w:tcW w:w="394" w:type="pct"/>
                  <w:vMerge w:val="continue"/>
                  <w:vAlign w:val="center"/>
                </w:tcPr>
                <w:p w14:paraId="33890909">
                  <w:pPr>
                    <w:keepNext w:val="0"/>
                    <w:keepLines w:val="0"/>
                    <w:suppressLineNumbers w:val="0"/>
                    <w:spacing w:before="0" w:beforeAutospacing="0" w:after="0" w:afterAutospacing="0"/>
                    <w:ind w:left="0" w:right="0"/>
                    <w:jc w:val="center"/>
                    <w:rPr>
                      <w:rFonts w:hint="default" w:ascii="Times New Roman" w:hAnsi="Times New Roman" w:eastAsia="宋体" w:cs="Times New Roman"/>
                      <w:b w:val="0"/>
                      <w:bCs w:val="0"/>
                      <w:color w:val="0000FF"/>
                      <w:szCs w:val="21"/>
                      <w:highlight w:val="none"/>
                    </w:rPr>
                  </w:pPr>
                </w:p>
              </w:tc>
              <w:tc>
                <w:tcPr>
                  <w:tcW w:w="660" w:type="pct"/>
                  <w:shd w:val="clear" w:color="auto" w:fill="auto"/>
                  <w:vAlign w:val="center"/>
                </w:tcPr>
                <w:p w14:paraId="08269418">
                  <w:pPr>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color w:val="0000FF"/>
                      <w:kern w:val="2"/>
                      <w:sz w:val="21"/>
                      <w:szCs w:val="21"/>
                      <w:lang w:val="en-US" w:eastAsia="zh-CN" w:bidi="ar-SA"/>
                    </w:rPr>
                  </w:pPr>
                  <w:r>
                    <w:rPr>
                      <w:rFonts w:hint="default" w:ascii="Times New Roman" w:hAnsi="Times New Roman" w:eastAsia="宋体" w:cs="Times New Roman"/>
                      <w:color w:val="0000FF"/>
                      <w:szCs w:val="21"/>
                    </w:rPr>
                    <w:t>平板硫化机</w:t>
                  </w:r>
                </w:p>
              </w:tc>
              <w:tc>
                <w:tcPr>
                  <w:tcW w:w="766" w:type="pct"/>
                  <w:shd w:val="clear" w:color="auto" w:fill="auto"/>
                  <w:vAlign w:val="center"/>
                </w:tcPr>
                <w:p w14:paraId="6BA6388E">
                  <w:pPr>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color w:val="0000FF"/>
                      <w:kern w:val="2"/>
                      <w:sz w:val="21"/>
                      <w:szCs w:val="21"/>
                      <w:lang w:val="en-US" w:eastAsia="zh-CN" w:bidi="ar-SA"/>
                    </w:rPr>
                  </w:pPr>
                  <w:r>
                    <w:rPr>
                      <w:rFonts w:hint="default" w:ascii="Times New Roman" w:hAnsi="Times New Roman" w:eastAsia="宋体" w:cs="Times New Roman"/>
                      <w:color w:val="0000FF"/>
                      <w:szCs w:val="21"/>
                    </w:rPr>
                    <w:t>YF-8017</w:t>
                  </w:r>
                </w:p>
              </w:tc>
              <w:tc>
                <w:tcPr>
                  <w:tcW w:w="483" w:type="pct"/>
                  <w:shd w:val="clear" w:color="auto" w:fill="auto"/>
                  <w:vAlign w:val="center"/>
                </w:tcPr>
                <w:p w14:paraId="39DC73ED">
                  <w:pPr>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color w:val="0000FF"/>
                      <w:kern w:val="2"/>
                      <w:sz w:val="21"/>
                      <w:szCs w:val="21"/>
                      <w:lang w:val="en-US" w:eastAsia="zh-CN" w:bidi="ar-SA"/>
                    </w:rPr>
                  </w:pPr>
                  <w:r>
                    <w:rPr>
                      <w:rFonts w:hint="default" w:ascii="Times New Roman" w:hAnsi="Times New Roman" w:eastAsia="宋体" w:cs="Times New Roman"/>
                      <w:color w:val="0000FF"/>
                      <w:szCs w:val="21"/>
                    </w:rPr>
                    <w:t>1</w:t>
                  </w:r>
                </w:p>
              </w:tc>
              <w:tc>
                <w:tcPr>
                  <w:tcW w:w="417" w:type="pct"/>
                  <w:shd w:val="clear" w:color="auto" w:fill="auto"/>
                  <w:vAlign w:val="center"/>
                </w:tcPr>
                <w:p w14:paraId="44C520AA">
                  <w:pPr>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color w:val="0000FF"/>
                      <w:kern w:val="2"/>
                      <w:sz w:val="21"/>
                      <w:szCs w:val="21"/>
                      <w:lang w:val="en-US" w:eastAsia="zh-CN" w:bidi="ar-SA"/>
                    </w:rPr>
                  </w:pPr>
                  <w:r>
                    <w:rPr>
                      <w:rFonts w:hint="default" w:ascii="Times New Roman" w:hAnsi="Times New Roman" w:eastAsia="宋体" w:cs="Times New Roman"/>
                      <w:color w:val="0000FF"/>
                      <w:szCs w:val="21"/>
                    </w:rPr>
                    <w:t>1</w:t>
                  </w:r>
                </w:p>
              </w:tc>
              <w:tc>
                <w:tcPr>
                  <w:tcW w:w="592" w:type="pct"/>
                  <w:shd w:val="clear" w:color="auto" w:fill="auto"/>
                  <w:vAlign w:val="center"/>
                </w:tcPr>
                <w:p w14:paraId="7CACAFFD">
                  <w:pPr>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color w:val="0000FF"/>
                      <w:kern w:val="2"/>
                      <w:sz w:val="21"/>
                      <w:szCs w:val="21"/>
                      <w:lang w:val="en-US" w:eastAsia="zh-CN" w:bidi="ar-SA"/>
                    </w:rPr>
                  </w:pPr>
                  <w:r>
                    <w:rPr>
                      <w:rFonts w:hint="default" w:ascii="Times New Roman" w:hAnsi="Times New Roman" w:eastAsia="宋体" w:cs="Times New Roman"/>
                      <w:color w:val="0000FF"/>
                      <w:szCs w:val="21"/>
                    </w:rPr>
                    <w:t>1</w:t>
                  </w:r>
                </w:p>
              </w:tc>
              <w:tc>
                <w:tcPr>
                  <w:tcW w:w="537" w:type="pct"/>
                  <w:shd w:val="clear" w:color="auto" w:fill="auto"/>
                  <w:vAlign w:val="center"/>
                </w:tcPr>
                <w:p w14:paraId="5762E5AF">
                  <w:pPr>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color w:val="0000FF"/>
                      <w:kern w:val="2"/>
                      <w:sz w:val="21"/>
                      <w:szCs w:val="21"/>
                      <w:lang w:val="en-US" w:eastAsia="zh-CN" w:bidi="ar-SA"/>
                    </w:rPr>
                  </w:pPr>
                  <w:r>
                    <w:rPr>
                      <w:rFonts w:hint="default" w:ascii="Times New Roman" w:hAnsi="Times New Roman" w:eastAsia="宋体" w:cs="Times New Roman"/>
                      <w:color w:val="0000FF"/>
                      <w:szCs w:val="21"/>
                    </w:rPr>
                    <w:t>0</w:t>
                  </w:r>
                </w:p>
              </w:tc>
              <w:tc>
                <w:tcPr>
                  <w:tcW w:w="536" w:type="pct"/>
                  <w:gridSpan w:val="2"/>
                  <w:vMerge w:val="continue"/>
                  <w:vAlign w:val="center"/>
                </w:tcPr>
                <w:p w14:paraId="76D39E63">
                  <w:pPr>
                    <w:keepNext w:val="0"/>
                    <w:keepLines w:val="0"/>
                    <w:suppressLineNumbers w:val="0"/>
                    <w:spacing w:before="0" w:beforeAutospacing="0" w:after="0" w:afterAutospacing="0"/>
                    <w:ind w:left="0" w:right="0"/>
                    <w:jc w:val="center"/>
                    <w:rPr>
                      <w:rFonts w:hint="eastAsia" w:ascii="Times New Roman" w:hAnsi="Times New Roman" w:eastAsia="宋体" w:cs="Times New Roman"/>
                      <w:b w:val="0"/>
                      <w:bCs w:val="0"/>
                      <w:color w:val="0000FF"/>
                      <w:szCs w:val="21"/>
                      <w:highlight w:val="none"/>
                      <w:lang w:val="en-US" w:eastAsia="zh-CN"/>
                    </w:rPr>
                  </w:pPr>
                </w:p>
              </w:tc>
              <w:tc>
                <w:tcPr>
                  <w:tcW w:w="320" w:type="pct"/>
                  <w:vAlign w:val="center"/>
                </w:tcPr>
                <w:p w14:paraId="39863CC4">
                  <w:pPr>
                    <w:keepNext w:val="0"/>
                    <w:keepLines w:val="0"/>
                    <w:suppressLineNumbers w:val="0"/>
                    <w:spacing w:before="0" w:beforeAutospacing="0" w:after="0" w:afterAutospacing="0"/>
                    <w:ind w:left="0" w:right="0"/>
                    <w:jc w:val="center"/>
                    <w:rPr>
                      <w:rFonts w:hint="default" w:ascii="Times New Roman" w:hAnsi="Times New Roman" w:eastAsia="宋体" w:cs="Times New Roman"/>
                      <w:b w:val="0"/>
                      <w:bCs w:val="0"/>
                      <w:color w:val="0000FF"/>
                      <w:szCs w:val="21"/>
                      <w:highlight w:val="none"/>
                    </w:rPr>
                  </w:pPr>
                  <w:r>
                    <w:rPr>
                      <w:rFonts w:hint="eastAsia" w:ascii="Times New Roman" w:hAnsi="Times New Roman" w:eastAsia="宋体" w:cs="Times New Roman"/>
                      <w:b w:val="0"/>
                      <w:bCs w:val="0"/>
                      <w:color w:val="0000FF"/>
                      <w:szCs w:val="21"/>
                      <w:highlight w:val="none"/>
                      <w:lang w:val="en-US" w:eastAsia="zh-CN"/>
                    </w:rPr>
                    <w:t>/</w:t>
                  </w:r>
                </w:p>
              </w:tc>
            </w:tr>
            <w:tr w14:paraId="4DFD79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291" w:type="pct"/>
                  <w:shd w:val="clear" w:color="auto" w:fill="auto"/>
                  <w:vAlign w:val="center"/>
                </w:tcPr>
                <w:p w14:paraId="28674A02">
                  <w:pPr>
                    <w:keepNext w:val="0"/>
                    <w:keepLines w:val="0"/>
                    <w:suppressLineNumbers w:val="0"/>
                    <w:spacing w:before="0" w:beforeAutospacing="0" w:after="0" w:afterAutospacing="0"/>
                    <w:ind w:left="0" w:right="0"/>
                    <w:jc w:val="center"/>
                    <w:rPr>
                      <w:rFonts w:hint="default" w:ascii="Times New Roman" w:hAnsi="Times New Roman" w:eastAsia="宋体" w:cs="Times New Roman"/>
                      <w:b w:val="0"/>
                      <w:bCs w:val="0"/>
                      <w:color w:val="0000FF"/>
                      <w:szCs w:val="21"/>
                      <w:highlight w:val="none"/>
                      <w:lang w:val="en-US" w:eastAsia="zh-CN"/>
                    </w:rPr>
                  </w:pPr>
                  <w:r>
                    <w:rPr>
                      <w:rFonts w:hint="eastAsia" w:ascii="Times New Roman" w:hAnsi="Times New Roman" w:eastAsia="宋体" w:cs="Times New Roman"/>
                      <w:b w:val="0"/>
                      <w:bCs w:val="0"/>
                      <w:color w:val="0000FF"/>
                      <w:szCs w:val="21"/>
                      <w:highlight w:val="none"/>
                      <w:lang w:val="en-US" w:eastAsia="zh-CN"/>
                    </w:rPr>
                    <w:t>88</w:t>
                  </w:r>
                </w:p>
              </w:tc>
              <w:tc>
                <w:tcPr>
                  <w:tcW w:w="394" w:type="pct"/>
                  <w:vMerge w:val="restart"/>
                  <w:shd w:val="clear" w:color="auto" w:fill="auto"/>
                  <w:vAlign w:val="center"/>
                </w:tcPr>
                <w:p w14:paraId="7A72714B">
                  <w:pPr>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color w:val="0000FF"/>
                      <w:kern w:val="2"/>
                      <w:sz w:val="21"/>
                      <w:szCs w:val="21"/>
                      <w:lang w:val="en-US" w:eastAsia="zh-CN" w:bidi="ar-SA"/>
                    </w:rPr>
                  </w:pPr>
                  <w:r>
                    <w:rPr>
                      <w:rFonts w:hint="default" w:ascii="Times New Roman" w:hAnsi="Times New Roman" w:eastAsia="宋体" w:cs="Times New Roman"/>
                      <w:color w:val="0000FF"/>
                      <w:szCs w:val="21"/>
                    </w:rPr>
                    <w:t>公用</w:t>
                  </w:r>
                </w:p>
              </w:tc>
              <w:tc>
                <w:tcPr>
                  <w:tcW w:w="660" w:type="pct"/>
                  <w:vMerge w:val="restart"/>
                  <w:shd w:val="clear" w:color="auto" w:fill="auto"/>
                  <w:vAlign w:val="center"/>
                </w:tcPr>
                <w:p w14:paraId="2322A469">
                  <w:pPr>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color w:val="0000FF"/>
                      <w:kern w:val="2"/>
                      <w:sz w:val="21"/>
                      <w:szCs w:val="21"/>
                      <w:lang w:val="en-US" w:eastAsia="zh-CN" w:bidi="ar-SA"/>
                    </w:rPr>
                  </w:pPr>
                  <w:r>
                    <w:rPr>
                      <w:rFonts w:hint="default" w:ascii="Times New Roman" w:hAnsi="Times New Roman" w:eastAsia="宋体" w:cs="Times New Roman"/>
                      <w:color w:val="0000FF"/>
                      <w:szCs w:val="21"/>
                    </w:rPr>
                    <w:t>螺杆式空压机</w:t>
                  </w:r>
                </w:p>
              </w:tc>
              <w:tc>
                <w:tcPr>
                  <w:tcW w:w="766" w:type="pct"/>
                  <w:shd w:val="clear" w:color="auto" w:fill="auto"/>
                  <w:vAlign w:val="center"/>
                </w:tcPr>
                <w:p w14:paraId="414151F2">
                  <w:pPr>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color w:val="0000FF"/>
                      <w:kern w:val="2"/>
                      <w:sz w:val="21"/>
                      <w:szCs w:val="21"/>
                      <w:lang w:val="en-US" w:eastAsia="zh-CN" w:bidi="ar-SA"/>
                    </w:rPr>
                  </w:pPr>
                  <w:r>
                    <w:rPr>
                      <w:rFonts w:hint="default" w:ascii="Times New Roman" w:hAnsi="Times New Roman" w:eastAsia="宋体" w:cs="Times New Roman"/>
                      <w:color w:val="0000FF"/>
                      <w:szCs w:val="21"/>
                    </w:rPr>
                    <w:t>捷豹XS-30/8，4.7m³/min</w:t>
                  </w:r>
                </w:p>
              </w:tc>
              <w:tc>
                <w:tcPr>
                  <w:tcW w:w="483" w:type="pct"/>
                  <w:shd w:val="clear" w:color="auto" w:fill="auto"/>
                  <w:vAlign w:val="center"/>
                </w:tcPr>
                <w:p w14:paraId="423875C6">
                  <w:pPr>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color w:val="0000FF"/>
                      <w:kern w:val="2"/>
                      <w:sz w:val="21"/>
                      <w:szCs w:val="21"/>
                      <w:lang w:val="en-US" w:eastAsia="zh-CN" w:bidi="ar-SA"/>
                    </w:rPr>
                  </w:pPr>
                  <w:r>
                    <w:rPr>
                      <w:rFonts w:hint="default" w:ascii="Times New Roman" w:hAnsi="Times New Roman" w:eastAsia="宋体" w:cs="Times New Roman"/>
                      <w:color w:val="0000FF"/>
                      <w:szCs w:val="21"/>
                    </w:rPr>
                    <w:t>1</w:t>
                  </w:r>
                </w:p>
              </w:tc>
              <w:tc>
                <w:tcPr>
                  <w:tcW w:w="417" w:type="pct"/>
                  <w:shd w:val="clear" w:color="auto" w:fill="auto"/>
                  <w:vAlign w:val="center"/>
                </w:tcPr>
                <w:p w14:paraId="2C5982C5">
                  <w:pPr>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color w:val="0000FF"/>
                      <w:kern w:val="2"/>
                      <w:sz w:val="21"/>
                      <w:szCs w:val="21"/>
                      <w:lang w:val="en-US" w:eastAsia="zh-CN" w:bidi="ar-SA"/>
                    </w:rPr>
                  </w:pPr>
                  <w:r>
                    <w:rPr>
                      <w:rFonts w:hint="default" w:ascii="Times New Roman" w:hAnsi="Times New Roman" w:eastAsia="宋体" w:cs="Times New Roman"/>
                      <w:color w:val="0000FF"/>
                      <w:szCs w:val="21"/>
                    </w:rPr>
                    <w:t>0</w:t>
                  </w:r>
                </w:p>
              </w:tc>
              <w:tc>
                <w:tcPr>
                  <w:tcW w:w="592" w:type="pct"/>
                  <w:shd w:val="clear" w:color="auto" w:fill="auto"/>
                  <w:vAlign w:val="center"/>
                </w:tcPr>
                <w:p w14:paraId="201AB93F">
                  <w:pPr>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color w:val="0000FF"/>
                      <w:kern w:val="2"/>
                      <w:sz w:val="21"/>
                      <w:szCs w:val="21"/>
                      <w:lang w:val="en-US" w:eastAsia="zh-CN" w:bidi="ar-SA"/>
                    </w:rPr>
                  </w:pPr>
                  <w:r>
                    <w:rPr>
                      <w:rFonts w:hint="default" w:ascii="Times New Roman" w:hAnsi="Times New Roman" w:eastAsia="宋体" w:cs="Times New Roman"/>
                      <w:color w:val="0000FF"/>
                      <w:szCs w:val="21"/>
                    </w:rPr>
                    <w:t>0</w:t>
                  </w:r>
                </w:p>
              </w:tc>
              <w:tc>
                <w:tcPr>
                  <w:tcW w:w="537" w:type="pct"/>
                  <w:shd w:val="clear" w:color="auto" w:fill="auto"/>
                  <w:vAlign w:val="center"/>
                </w:tcPr>
                <w:p w14:paraId="359F4B16">
                  <w:pPr>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color w:val="0000FF"/>
                      <w:kern w:val="2"/>
                      <w:sz w:val="21"/>
                      <w:szCs w:val="21"/>
                      <w:lang w:val="en-US" w:eastAsia="zh-CN" w:bidi="ar-SA"/>
                    </w:rPr>
                  </w:pPr>
                  <w:r>
                    <w:rPr>
                      <w:rFonts w:hint="default" w:ascii="Times New Roman" w:hAnsi="Times New Roman" w:eastAsia="宋体" w:cs="Times New Roman"/>
                      <w:color w:val="0000FF"/>
                      <w:szCs w:val="21"/>
                    </w:rPr>
                    <w:t>-1</w:t>
                  </w:r>
                </w:p>
              </w:tc>
              <w:tc>
                <w:tcPr>
                  <w:tcW w:w="536" w:type="pct"/>
                  <w:gridSpan w:val="2"/>
                  <w:vMerge w:val="continue"/>
                  <w:vAlign w:val="center"/>
                </w:tcPr>
                <w:p w14:paraId="6E2CEDD9">
                  <w:pPr>
                    <w:keepNext w:val="0"/>
                    <w:keepLines w:val="0"/>
                    <w:suppressLineNumbers w:val="0"/>
                    <w:spacing w:before="0" w:beforeAutospacing="0" w:after="0" w:afterAutospacing="0"/>
                    <w:ind w:left="0" w:right="0"/>
                    <w:jc w:val="center"/>
                    <w:rPr>
                      <w:rFonts w:hint="eastAsia" w:ascii="Times New Roman" w:hAnsi="Times New Roman" w:eastAsia="宋体" w:cs="Times New Roman"/>
                      <w:b w:val="0"/>
                      <w:bCs w:val="0"/>
                      <w:color w:val="0000FF"/>
                      <w:szCs w:val="21"/>
                      <w:highlight w:val="none"/>
                      <w:lang w:val="en-US" w:eastAsia="zh-CN"/>
                    </w:rPr>
                  </w:pPr>
                </w:p>
              </w:tc>
              <w:tc>
                <w:tcPr>
                  <w:tcW w:w="320" w:type="pct"/>
                  <w:vAlign w:val="center"/>
                </w:tcPr>
                <w:p w14:paraId="7DEAC2DD">
                  <w:pPr>
                    <w:keepNext w:val="0"/>
                    <w:keepLines w:val="0"/>
                    <w:suppressLineNumbers w:val="0"/>
                    <w:spacing w:before="0" w:beforeAutospacing="0" w:after="0" w:afterAutospacing="0"/>
                    <w:ind w:left="0" w:right="0"/>
                    <w:jc w:val="center"/>
                    <w:rPr>
                      <w:rFonts w:hint="default" w:ascii="Times New Roman" w:hAnsi="Times New Roman" w:eastAsia="宋体" w:cs="Times New Roman"/>
                      <w:b w:val="0"/>
                      <w:bCs w:val="0"/>
                      <w:color w:val="0000FF"/>
                      <w:szCs w:val="21"/>
                      <w:highlight w:val="none"/>
                    </w:rPr>
                  </w:pPr>
                  <w:r>
                    <w:rPr>
                      <w:rFonts w:hint="eastAsia" w:ascii="Times New Roman" w:hAnsi="Times New Roman" w:eastAsia="宋体" w:cs="Times New Roman"/>
                      <w:b w:val="0"/>
                      <w:bCs w:val="0"/>
                      <w:color w:val="0000FF"/>
                      <w:szCs w:val="21"/>
                      <w:highlight w:val="none"/>
                      <w:lang w:val="en-US" w:eastAsia="zh-CN"/>
                    </w:rPr>
                    <w:t>/</w:t>
                  </w:r>
                </w:p>
              </w:tc>
            </w:tr>
            <w:tr w14:paraId="70F9BA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291" w:type="pct"/>
                  <w:shd w:val="clear" w:color="auto" w:fill="auto"/>
                  <w:vAlign w:val="center"/>
                </w:tcPr>
                <w:p w14:paraId="5F0CBAE0">
                  <w:pPr>
                    <w:keepNext w:val="0"/>
                    <w:keepLines w:val="0"/>
                    <w:suppressLineNumbers w:val="0"/>
                    <w:spacing w:before="0" w:beforeAutospacing="0" w:after="0" w:afterAutospacing="0"/>
                    <w:ind w:left="0" w:right="0"/>
                    <w:jc w:val="center"/>
                    <w:rPr>
                      <w:rFonts w:hint="default" w:ascii="Times New Roman" w:hAnsi="Times New Roman" w:eastAsia="宋体" w:cs="Times New Roman"/>
                      <w:b w:val="0"/>
                      <w:bCs w:val="0"/>
                      <w:color w:val="0000FF"/>
                      <w:szCs w:val="21"/>
                      <w:highlight w:val="none"/>
                      <w:lang w:val="en-US" w:eastAsia="zh-CN"/>
                    </w:rPr>
                  </w:pPr>
                  <w:r>
                    <w:rPr>
                      <w:rFonts w:hint="eastAsia" w:ascii="Times New Roman" w:hAnsi="Times New Roman" w:eastAsia="宋体" w:cs="Times New Roman"/>
                      <w:b w:val="0"/>
                      <w:bCs w:val="0"/>
                      <w:color w:val="0000FF"/>
                      <w:szCs w:val="21"/>
                      <w:highlight w:val="none"/>
                      <w:lang w:val="en-US" w:eastAsia="zh-CN"/>
                    </w:rPr>
                    <w:t>89</w:t>
                  </w:r>
                </w:p>
              </w:tc>
              <w:tc>
                <w:tcPr>
                  <w:tcW w:w="394" w:type="pct"/>
                  <w:vMerge w:val="continue"/>
                  <w:vAlign w:val="center"/>
                </w:tcPr>
                <w:p w14:paraId="31A43793">
                  <w:pPr>
                    <w:keepNext w:val="0"/>
                    <w:keepLines w:val="0"/>
                    <w:suppressLineNumbers w:val="0"/>
                    <w:spacing w:before="0" w:beforeAutospacing="0" w:after="0" w:afterAutospacing="0"/>
                    <w:ind w:left="0" w:right="0"/>
                    <w:jc w:val="center"/>
                    <w:rPr>
                      <w:rFonts w:hint="default" w:ascii="Times New Roman" w:hAnsi="Times New Roman" w:eastAsia="宋体" w:cs="Times New Roman"/>
                      <w:b w:val="0"/>
                      <w:bCs w:val="0"/>
                      <w:color w:val="0000FF"/>
                      <w:szCs w:val="21"/>
                      <w:highlight w:val="none"/>
                    </w:rPr>
                  </w:pPr>
                </w:p>
              </w:tc>
              <w:tc>
                <w:tcPr>
                  <w:tcW w:w="660" w:type="pct"/>
                  <w:vMerge w:val="continue"/>
                  <w:vAlign w:val="center"/>
                </w:tcPr>
                <w:p w14:paraId="2BD29E8B">
                  <w:pPr>
                    <w:keepNext w:val="0"/>
                    <w:keepLines w:val="0"/>
                    <w:suppressLineNumbers w:val="0"/>
                    <w:spacing w:before="0" w:beforeAutospacing="0" w:after="0" w:afterAutospacing="0"/>
                    <w:ind w:left="0" w:right="0"/>
                    <w:jc w:val="center"/>
                    <w:rPr>
                      <w:rFonts w:hint="default" w:ascii="Times New Roman" w:hAnsi="Times New Roman" w:eastAsia="宋体" w:cs="Times New Roman"/>
                      <w:b w:val="0"/>
                      <w:bCs w:val="0"/>
                      <w:color w:val="0000FF"/>
                      <w:szCs w:val="21"/>
                      <w:highlight w:val="none"/>
                    </w:rPr>
                  </w:pPr>
                </w:p>
              </w:tc>
              <w:tc>
                <w:tcPr>
                  <w:tcW w:w="766" w:type="pct"/>
                  <w:shd w:val="clear" w:color="auto" w:fill="auto"/>
                  <w:vAlign w:val="center"/>
                </w:tcPr>
                <w:p w14:paraId="615ECE2E">
                  <w:pPr>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color w:val="0000FF"/>
                      <w:kern w:val="2"/>
                      <w:sz w:val="21"/>
                      <w:szCs w:val="21"/>
                      <w:lang w:val="en-US" w:eastAsia="zh-CN" w:bidi="ar-SA"/>
                    </w:rPr>
                  </w:pPr>
                  <w:r>
                    <w:rPr>
                      <w:rFonts w:hint="default" w:ascii="Times New Roman" w:hAnsi="Times New Roman" w:eastAsia="宋体" w:cs="Times New Roman"/>
                      <w:color w:val="0000FF"/>
                      <w:szCs w:val="21"/>
                    </w:rPr>
                    <w:t>捷豹ES-50/8，6.0m³/min</w:t>
                  </w:r>
                </w:p>
              </w:tc>
              <w:tc>
                <w:tcPr>
                  <w:tcW w:w="483" w:type="pct"/>
                  <w:shd w:val="clear" w:color="auto" w:fill="auto"/>
                  <w:vAlign w:val="center"/>
                </w:tcPr>
                <w:p w14:paraId="1F0FB0AF">
                  <w:pPr>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color w:val="0000FF"/>
                      <w:kern w:val="2"/>
                      <w:sz w:val="21"/>
                      <w:szCs w:val="21"/>
                      <w:lang w:val="en-US" w:eastAsia="zh-CN" w:bidi="ar-SA"/>
                    </w:rPr>
                  </w:pPr>
                  <w:r>
                    <w:rPr>
                      <w:rFonts w:hint="default" w:ascii="Times New Roman" w:hAnsi="Times New Roman" w:eastAsia="宋体" w:cs="Times New Roman"/>
                      <w:color w:val="0000FF"/>
                      <w:szCs w:val="21"/>
                    </w:rPr>
                    <w:t>/</w:t>
                  </w:r>
                </w:p>
              </w:tc>
              <w:tc>
                <w:tcPr>
                  <w:tcW w:w="417" w:type="pct"/>
                  <w:shd w:val="clear" w:color="auto" w:fill="auto"/>
                  <w:vAlign w:val="center"/>
                </w:tcPr>
                <w:p w14:paraId="34401A45">
                  <w:pPr>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color w:val="0000FF"/>
                      <w:kern w:val="2"/>
                      <w:sz w:val="21"/>
                      <w:szCs w:val="21"/>
                      <w:lang w:val="en-US" w:eastAsia="zh-CN" w:bidi="ar-SA"/>
                    </w:rPr>
                  </w:pPr>
                  <w:r>
                    <w:rPr>
                      <w:rFonts w:hint="default" w:ascii="Times New Roman" w:hAnsi="Times New Roman" w:eastAsia="宋体" w:cs="Times New Roman"/>
                      <w:color w:val="0000FF"/>
                      <w:szCs w:val="21"/>
                    </w:rPr>
                    <w:t>3</w:t>
                  </w:r>
                </w:p>
              </w:tc>
              <w:tc>
                <w:tcPr>
                  <w:tcW w:w="592" w:type="pct"/>
                  <w:shd w:val="clear" w:color="auto" w:fill="auto"/>
                  <w:vAlign w:val="center"/>
                </w:tcPr>
                <w:p w14:paraId="7A25CFA0">
                  <w:pPr>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color w:val="0000FF"/>
                      <w:kern w:val="2"/>
                      <w:sz w:val="21"/>
                      <w:szCs w:val="21"/>
                      <w:lang w:val="en-US" w:eastAsia="zh-CN" w:bidi="ar-SA"/>
                    </w:rPr>
                  </w:pPr>
                  <w:r>
                    <w:rPr>
                      <w:rFonts w:hint="default" w:ascii="Times New Roman" w:hAnsi="Times New Roman" w:eastAsia="宋体" w:cs="Times New Roman"/>
                      <w:color w:val="0000FF"/>
                      <w:szCs w:val="21"/>
                    </w:rPr>
                    <w:t>3</w:t>
                  </w:r>
                </w:p>
              </w:tc>
              <w:tc>
                <w:tcPr>
                  <w:tcW w:w="537" w:type="pct"/>
                  <w:shd w:val="clear" w:color="auto" w:fill="auto"/>
                  <w:vAlign w:val="center"/>
                </w:tcPr>
                <w:p w14:paraId="5E825B45">
                  <w:pPr>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color w:val="0000FF"/>
                      <w:kern w:val="2"/>
                      <w:sz w:val="21"/>
                      <w:szCs w:val="21"/>
                      <w:lang w:val="en-US" w:eastAsia="zh-CN" w:bidi="ar-SA"/>
                    </w:rPr>
                  </w:pPr>
                  <w:r>
                    <w:rPr>
                      <w:rFonts w:hint="default" w:ascii="Times New Roman" w:hAnsi="Times New Roman" w:eastAsia="宋体" w:cs="Times New Roman"/>
                      <w:color w:val="0000FF"/>
                      <w:szCs w:val="21"/>
                    </w:rPr>
                    <w:t>+3</w:t>
                  </w:r>
                </w:p>
              </w:tc>
              <w:tc>
                <w:tcPr>
                  <w:tcW w:w="536" w:type="pct"/>
                  <w:gridSpan w:val="2"/>
                  <w:vMerge w:val="continue"/>
                  <w:vAlign w:val="center"/>
                </w:tcPr>
                <w:p w14:paraId="01F8B716">
                  <w:pPr>
                    <w:keepNext w:val="0"/>
                    <w:keepLines w:val="0"/>
                    <w:suppressLineNumbers w:val="0"/>
                    <w:spacing w:before="0" w:beforeAutospacing="0" w:after="0" w:afterAutospacing="0"/>
                    <w:ind w:left="0" w:right="0"/>
                    <w:jc w:val="center"/>
                    <w:rPr>
                      <w:rFonts w:hint="eastAsia" w:ascii="Times New Roman" w:hAnsi="Times New Roman" w:eastAsia="宋体" w:cs="Times New Roman"/>
                      <w:b w:val="0"/>
                      <w:bCs w:val="0"/>
                      <w:color w:val="0000FF"/>
                      <w:szCs w:val="21"/>
                      <w:highlight w:val="none"/>
                      <w:lang w:val="en-US" w:eastAsia="zh-CN"/>
                    </w:rPr>
                  </w:pPr>
                </w:p>
              </w:tc>
              <w:tc>
                <w:tcPr>
                  <w:tcW w:w="320" w:type="pct"/>
                  <w:shd w:val="clear" w:color="auto" w:fill="auto"/>
                  <w:vAlign w:val="center"/>
                </w:tcPr>
                <w:p w14:paraId="60B088F3">
                  <w:pPr>
                    <w:keepNext w:val="0"/>
                    <w:keepLines w:val="0"/>
                    <w:suppressLineNumbers w:val="0"/>
                    <w:spacing w:before="0" w:beforeAutospacing="0" w:after="0" w:afterAutospacing="0" w:line="240" w:lineRule="auto"/>
                    <w:ind w:left="0" w:right="0"/>
                    <w:jc w:val="center"/>
                    <w:rPr>
                      <w:rFonts w:hint="default" w:ascii="Times New Roman" w:hAnsi="Times New Roman" w:eastAsia="宋体" w:cs="Times New Roman"/>
                      <w:b w:val="0"/>
                      <w:bCs w:val="0"/>
                      <w:color w:val="0000FF"/>
                      <w:kern w:val="2"/>
                      <w:sz w:val="21"/>
                      <w:szCs w:val="21"/>
                      <w:highlight w:val="none"/>
                      <w:lang w:val="en-US" w:eastAsia="zh-CN" w:bidi="ar-SA"/>
                    </w:rPr>
                  </w:pPr>
                  <w:r>
                    <w:rPr>
                      <w:rFonts w:hint="default" w:ascii="Times New Roman" w:hAnsi="Times New Roman" w:eastAsia="宋体" w:cs="Times New Roman"/>
                      <w:b w:val="0"/>
                      <w:bCs w:val="0"/>
                      <w:color w:val="0000FF"/>
                      <w:sz w:val="21"/>
                      <w:szCs w:val="21"/>
                      <w:highlight w:val="none"/>
                      <w:lang w:val="en-US" w:eastAsia="zh-CN"/>
                    </w:rPr>
                    <w:t>新增</w:t>
                  </w:r>
                </w:p>
              </w:tc>
            </w:tr>
            <w:tr w14:paraId="7EE940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291" w:type="pct"/>
                  <w:shd w:val="clear" w:color="auto" w:fill="auto"/>
                  <w:vAlign w:val="center"/>
                </w:tcPr>
                <w:p w14:paraId="773C4033">
                  <w:pPr>
                    <w:keepNext w:val="0"/>
                    <w:keepLines w:val="0"/>
                    <w:suppressLineNumbers w:val="0"/>
                    <w:spacing w:before="0" w:beforeAutospacing="0" w:after="0" w:afterAutospacing="0"/>
                    <w:ind w:left="0" w:right="0"/>
                    <w:jc w:val="center"/>
                    <w:rPr>
                      <w:rFonts w:hint="default" w:ascii="Times New Roman" w:hAnsi="Times New Roman" w:eastAsia="宋体" w:cs="Times New Roman"/>
                      <w:b w:val="0"/>
                      <w:bCs w:val="0"/>
                      <w:color w:val="0000FF"/>
                      <w:szCs w:val="21"/>
                      <w:highlight w:val="none"/>
                      <w:lang w:val="en-US" w:eastAsia="zh-CN"/>
                    </w:rPr>
                  </w:pPr>
                  <w:r>
                    <w:rPr>
                      <w:rFonts w:hint="eastAsia" w:ascii="Times New Roman" w:hAnsi="Times New Roman" w:eastAsia="宋体" w:cs="Times New Roman"/>
                      <w:b w:val="0"/>
                      <w:bCs w:val="0"/>
                      <w:color w:val="0000FF"/>
                      <w:szCs w:val="21"/>
                      <w:highlight w:val="none"/>
                      <w:lang w:val="en-US" w:eastAsia="zh-CN"/>
                    </w:rPr>
                    <w:t>90</w:t>
                  </w:r>
                </w:p>
              </w:tc>
              <w:tc>
                <w:tcPr>
                  <w:tcW w:w="394" w:type="pct"/>
                  <w:vMerge w:val="continue"/>
                  <w:vAlign w:val="center"/>
                </w:tcPr>
                <w:p w14:paraId="443AC5D2">
                  <w:pPr>
                    <w:keepNext w:val="0"/>
                    <w:keepLines w:val="0"/>
                    <w:suppressLineNumbers w:val="0"/>
                    <w:spacing w:before="0" w:beforeAutospacing="0" w:after="0" w:afterAutospacing="0"/>
                    <w:ind w:left="0" w:right="0"/>
                    <w:jc w:val="center"/>
                    <w:rPr>
                      <w:rFonts w:hint="default" w:ascii="Times New Roman" w:hAnsi="Times New Roman" w:eastAsia="宋体" w:cs="Times New Roman"/>
                      <w:b w:val="0"/>
                      <w:bCs w:val="0"/>
                      <w:color w:val="0000FF"/>
                      <w:szCs w:val="21"/>
                      <w:highlight w:val="none"/>
                    </w:rPr>
                  </w:pPr>
                </w:p>
              </w:tc>
              <w:tc>
                <w:tcPr>
                  <w:tcW w:w="660" w:type="pct"/>
                  <w:shd w:val="clear" w:color="auto" w:fill="auto"/>
                  <w:vAlign w:val="center"/>
                </w:tcPr>
                <w:p w14:paraId="41FABBA3">
                  <w:pPr>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color w:val="0000FF"/>
                      <w:kern w:val="2"/>
                      <w:sz w:val="21"/>
                      <w:szCs w:val="21"/>
                      <w:lang w:val="en-US" w:eastAsia="zh-CN" w:bidi="ar-SA"/>
                    </w:rPr>
                  </w:pPr>
                  <w:r>
                    <w:rPr>
                      <w:rFonts w:hint="default" w:ascii="Times New Roman" w:hAnsi="Times New Roman" w:eastAsia="宋体" w:cs="Times New Roman"/>
                      <w:color w:val="0000FF"/>
                      <w:szCs w:val="21"/>
                    </w:rPr>
                    <w:t>风冷式冷水机</w:t>
                  </w:r>
                </w:p>
              </w:tc>
              <w:tc>
                <w:tcPr>
                  <w:tcW w:w="766" w:type="pct"/>
                  <w:shd w:val="clear" w:color="auto" w:fill="auto"/>
                  <w:vAlign w:val="center"/>
                </w:tcPr>
                <w:p w14:paraId="1F52A989">
                  <w:pPr>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color w:val="0000FF"/>
                      <w:kern w:val="2"/>
                      <w:sz w:val="21"/>
                      <w:szCs w:val="21"/>
                      <w:lang w:val="en-US" w:eastAsia="zh-CN" w:bidi="ar-SA"/>
                    </w:rPr>
                  </w:pPr>
                  <w:r>
                    <w:rPr>
                      <w:rFonts w:hint="default" w:ascii="Times New Roman" w:hAnsi="Times New Roman" w:eastAsia="宋体" w:cs="Times New Roman"/>
                      <w:color w:val="0000FF"/>
                      <w:szCs w:val="21"/>
                    </w:rPr>
                    <w:t>5匹（QLB12EFC/UU）</w:t>
                  </w:r>
                </w:p>
              </w:tc>
              <w:tc>
                <w:tcPr>
                  <w:tcW w:w="483" w:type="pct"/>
                  <w:shd w:val="clear" w:color="auto" w:fill="auto"/>
                  <w:vAlign w:val="center"/>
                </w:tcPr>
                <w:p w14:paraId="55C68180">
                  <w:pPr>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color w:val="0000FF"/>
                      <w:kern w:val="2"/>
                      <w:sz w:val="21"/>
                      <w:szCs w:val="21"/>
                      <w:lang w:val="en-US" w:eastAsia="zh-CN" w:bidi="ar-SA"/>
                    </w:rPr>
                  </w:pPr>
                  <w:r>
                    <w:rPr>
                      <w:rFonts w:hint="default" w:ascii="Times New Roman" w:hAnsi="Times New Roman" w:eastAsia="宋体" w:cs="Times New Roman"/>
                      <w:color w:val="0000FF"/>
                      <w:szCs w:val="21"/>
                    </w:rPr>
                    <w:t>7</w:t>
                  </w:r>
                </w:p>
              </w:tc>
              <w:tc>
                <w:tcPr>
                  <w:tcW w:w="417" w:type="pct"/>
                  <w:shd w:val="clear" w:color="auto" w:fill="auto"/>
                  <w:vAlign w:val="center"/>
                </w:tcPr>
                <w:p w14:paraId="4CAA9F0E">
                  <w:pPr>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color w:val="0000FF"/>
                      <w:kern w:val="2"/>
                      <w:sz w:val="21"/>
                      <w:szCs w:val="21"/>
                      <w:lang w:val="en-US" w:eastAsia="zh-CN" w:bidi="ar-SA"/>
                    </w:rPr>
                  </w:pPr>
                  <w:r>
                    <w:rPr>
                      <w:rFonts w:hint="default" w:ascii="Times New Roman" w:hAnsi="Times New Roman" w:eastAsia="宋体" w:cs="Times New Roman"/>
                      <w:color w:val="0000FF"/>
                      <w:szCs w:val="21"/>
                    </w:rPr>
                    <w:t>7</w:t>
                  </w:r>
                </w:p>
              </w:tc>
              <w:tc>
                <w:tcPr>
                  <w:tcW w:w="592" w:type="pct"/>
                  <w:shd w:val="clear" w:color="auto" w:fill="auto"/>
                  <w:vAlign w:val="center"/>
                </w:tcPr>
                <w:p w14:paraId="63180C81">
                  <w:pPr>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color w:val="0000FF"/>
                      <w:kern w:val="2"/>
                      <w:sz w:val="21"/>
                      <w:szCs w:val="21"/>
                      <w:lang w:val="en-US" w:eastAsia="zh-CN" w:bidi="ar-SA"/>
                    </w:rPr>
                  </w:pPr>
                  <w:r>
                    <w:rPr>
                      <w:rFonts w:hint="default" w:ascii="Times New Roman" w:hAnsi="Times New Roman" w:eastAsia="宋体" w:cs="Times New Roman"/>
                      <w:color w:val="0000FF"/>
                      <w:szCs w:val="21"/>
                    </w:rPr>
                    <w:t>7</w:t>
                  </w:r>
                </w:p>
              </w:tc>
              <w:tc>
                <w:tcPr>
                  <w:tcW w:w="537" w:type="pct"/>
                  <w:shd w:val="clear" w:color="auto" w:fill="auto"/>
                  <w:vAlign w:val="center"/>
                </w:tcPr>
                <w:p w14:paraId="0301F08B">
                  <w:pPr>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color w:val="0000FF"/>
                      <w:kern w:val="2"/>
                      <w:sz w:val="21"/>
                      <w:szCs w:val="21"/>
                      <w:lang w:val="en-US" w:eastAsia="zh-CN" w:bidi="ar-SA"/>
                    </w:rPr>
                  </w:pPr>
                  <w:r>
                    <w:rPr>
                      <w:rFonts w:hint="default" w:ascii="Times New Roman" w:hAnsi="Times New Roman" w:eastAsia="宋体" w:cs="Times New Roman"/>
                      <w:color w:val="0000FF"/>
                      <w:szCs w:val="21"/>
                    </w:rPr>
                    <w:t>0</w:t>
                  </w:r>
                </w:p>
              </w:tc>
              <w:tc>
                <w:tcPr>
                  <w:tcW w:w="536" w:type="pct"/>
                  <w:gridSpan w:val="2"/>
                  <w:vMerge w:val="continue"/>
                  <w:vAlign w:val="center"/>
                </w:tcPr>
                <w:p w14:paraId="22BBF226">
                  <w:pPr>
                    <w:keepNext w:val="0"/>
                    <w:keepLines w:val="0"/>
                    <w:suppressLineNumbers w:val="0"/>
                    <w:spacing w:before="0" w:beforeAutospacing="0" w:after="0" w:afterAutospacing="0"/>
                    <w:ind w:left="0" w:right="0"/>
                    <w:jc w:val="center"/>
                    <w:rPr>
                      <w:rFonts w:hint="eastAsia" w:ascii="Times New Roman" w:hAnsi="Times New Roman" w:eastAsia="宋体" w:cs="Times New Roman"/>
                      <w:b w:val="0"/>
                      <w:bCs w:val="0"/>
                      <w:color w:val="0000FF"/>
                      <w:szCs w:val="21"/>
                      <w:highlight w:val="none"/>
                      <w:lang w:val="en-US" w:eastAsia="zh-CN"/>
                    </w:rPr>
                  </w:pPr>
                </w:p>
              </w:tc>
              <w:tc>
                <w:tcPr>
                  <w:tcW w:w="320" w:type="pct"/>
                  <w:shd w:val="clear" w:color="auto" w:fill="auto"/>
                  <w:vAlign w:val="center"/>
                </w:tcPr>
                <w:p w14:paraId="24C9233E">
                  <w:pPr>
                    <w:keepNext w:val="0"/>
                    <w:keepLines w:val="0"/>
                    <w:suppressLineNumbers w:val="0"/>
                    <w:spacing w:before="0" w:beforeAutospacing="0" w:after="0" w:afterAutospacing="0" w:line="240" w:lineRule="auto"/>
                    <w:ind w:left="0" w:right="0"/>
                    <w:jc w:val="center"/>
                    <w:rPr>
                      <w:rFonts w:hint="default" w:ascii="Times New Roman" w:hAnsi="Times New Roman" w:eastAsia="宋体" w:cs="Times New Roman"/>
                      <w:b w:val="0"/>
                      <w:bCs w:val="0"/>
                      <w:color w:val="0000FF"/>
                      <w:kern w:val="2"/>
                      <w:sz w:val="21"/>
                      <w:szCs w:val="21"/>
                      <w:highlight w:val="none"/>
                      <w:lang w:val="en-US" w:eastAsia="zh-CN" w:bidi="ar-SA"/>
                    </w:rPr>
                  </w:pPr>
                  <w:r>
                    <w:rPr>
                      <w:rFonts w:hint="default" w:ascii="Times New Roman" w:hAnsi="Times New Roman" w:eastAsia="宋体" w:cs="Times New Roman"/>
                      <w:b w:val="0"/>
                      <w:bCs w:val="0"/>
                      <w:color w:val="0000FF"/>
                      <w:sz w:val="21"/>
                      <w:szCs w:val="21"/>
                      <w:highlight w:val="none"/>
                      <w:lang w:val="en-US" w:eastAsia="zh-CN"/>
                    </w:rPr>
                    <w:t>/</w:t>
                  </w:r>
                </w:p>
              </w:tc>
            </w:tr>
            <w:tr w14:paraId="5DE64F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291" w:type="pct"/>
                  <w:shd w:val="clear" w:color="auto" w:fill="auto"/>
                  <w:vAlign w:val="center"/>
                </w:tcPr>
                <w:p w14:paraId="2F05DB0E">
                  <w:pPr>
                    <w:keepNext w:val="0"/>
                    <w:keepLines w:val="0"/>
                    <w:suppressLineNumbers w:val="0"/>
                    <w:spacing w:before="0" w:beforeAutospacing="0" w:after="0" w:afterAutospacing="0"/>
                    <w:ind w:left="0" w:right="0"/>
                    <w:jc w:val="center"/>
                    <w:rPr>
                      <w:rFonts w:hint="default" w:ascii="Times New Roman" w:hAnsi="Times New Roman" w:eastAsia="宋体" w:cs="Times New Roman"/>
                      <w:b w:val="0"/>
                      <w:bCs w:val="0"/>
                      <w:color w:val="0000FF"/>
                      <w:szCs w:val="21"/>
                      <w:highlight w:val="none"/>
                      <w:lang w:val="en-US" w:eastAsia="zh-CN"/>
                    </w:rPr>
                  </w:pPr>
                  <w:r>
                    <w:rPr>
                      <w:rFonts w:hint="eastAsia" w:ascii="Times New Roman" w:hAnsi="Times New Roman" w:eastAsia="宋体" w:cs="Times New Roman"/>
                      <w:b w:val="0"/>
                      <w:bCs w:val="0"/>
                      <w:color w:val="0000FF"/>
                      <w:szCs w:val="21"/>
                      <w:highlight w:val="none"/>
                      <w:lang w:val="en-US" w:eastAsia="zh-CN"/>
                    </w:rPr>
                    <w:t>91</w:t>
                  </w:r>
                </w:p>
              </w:tc>
              <w:tc>
                <w:tcPr>
                  <w:tcW w:w="394" w:type="pct"/>
                  <w:vMerge w:val="continue"/>
                  <w:vAlign w:val="center"/>
                </w:tcPr>
                <w:p w14:paraId="17D87A56">
                  <w:pPr>
                    <w:keepNext w:val="0"/>
                    <w:keepLines w:val="0"/>
                    <w:suppressLineNumbers w:val="0"/>
                    <w:spacing w:before="0" w:beforeAutospacing="0" w:after="0" w:afterAutospacing="0"/>
                    <w:ind w:left="0" w:right="0"/>
                    <w:jc w:val="center"/>
                    <w:rPr>
                      <w:rFonts w:hint="default" w:ascii="Times New Roman" w:hAnsi="Times New Roman" w:eastAsia="宋体" w:cs="Times New Roman"/>
                      <w:b w:val="0"/>
                      <w:bCs w:val="0"/>
                      <w:color w:val="0000FF"/>
                      <w:szCs w:val="21"/>
                      <w:highlight w:val="none"/>
                    </w:rPr>
                  </w:pPr>
                </w:p>
              </w:tc>
              <w:tc>
                <w:tcPr>
                  <w:tcW w:w="660" w:type="pct"/>
                  <w:shd w:val="clear" w:color="auto" w:fill="auto"/>
                  <w:vAlign w:val="center"/>
                </w:tcPr>
                <w:p w14:paraId="456B5F3E">
                  <w:pPr>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color w:val="0000FF"/>
                      <w:kern w:val="2"/>
                      <w:sz w:val="21"/>
                      <w:szCs w:val="21"/>
                      <w:lang w:val="en-US" w:eastAsia="zh-CN" w:bidi="ar-SA"/>
                    </w:rPr>
                  </w:pPr>
                  <w:r>
                    <w:rPr>
                      <w:rFonts w:hint="default" w:ascii="Times New Roman" w:hAnsi="Times New Roman" w:eastAsia="宋体" w:cs="Times New Roman"/>
                      <w:color w:val="0000FF"/>
                      <w:szCs w:val="21"/>
                    </w:rPr>
                    <w:t>冷冻水泵</w:t>
                  </w:r>
                </w:p>
              </w:tc>
              <w:tc>
                <w:tcPr>
                  <w:tcW w:w="766" w:type="pct"/>
                  <w:shd w:val="clear" w:color="auto" w:fill="auto"/>
                  <w:vAlign w:val="center"/>
                </w:tcPr>
                <w:p w14:paraId="27251E65">
                  <w:pPr>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color w:val="0000FF"/>
                      <w:kern w:val="2"/>
                      <w:sz w:val="21"/>
                      <w:szCs w:val="21"/>
                      <w:lang w:val="en-US" w:eastAsia="zh-CN" w:bidi="ar-SA"/>
                    </w:rPr>
                  </w:pPr>
                  <w:r>
                    <w:rPr>
                      <w:rFonts w:hint="default" w:ascii="Times New Roman" w:hAnsi="Times New Roman" w:eastAsia="宋体" w:cs="Times New Roman"/>
                      <w:color w:val="0000FF"/>
                      <w:szCs w:val="21"/>
                    </w:rPr>
                    <w:t>20t/h、H17m</w:t>
                  </w:r>
                </w:p>
              </w:tc>
              <w:tc>
                <w:tcPr>
                  <w:tcW w:w="483" w:type="pct"/>
                  <w:shd w:val="clear" w:color="auto" w:fill="auto"/>
                  <w:vAlign w:val="center"/>
                </w:tcPr>
                <w:p w14:paraId="5D078150">
                  <w:pPr>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color w:val="0000FF"/>
                      <w:kern w:val="2"/>
                      <w:sz w:val="21"/>
                      <w:szCs w:val="21"/>
                      <w:lang w:val="en-US" w:eastAsia="zh-CN" w:bidi="ar-SA"/>
                    </w:rPr>
                  </w:pPr>
                  <w:r>
                    <w:rPr>
                      <w:rFonts w:hint="default" w:ascii="Times New Roman" w:hAnsi="Times New Roman" w:eastAsia="宋体" w:cs="Times New Roman"/>
                      <w:color w:val="0000FF"/>
                      <w:szCs w:val="21"/>
                    </w:rPr>
                    <w:t>2</w:t>
                  </w:r>
                </w:p>
              </w:tc>
              <w:tc>
                <w:tcPr>
                  <w:tcW w:w="417" w:type="pct"/>
                  <w:shd w:val="clear" w:color="auto" w:fill="auto"/>
                  <w:vAlign w:val="center"/>
                </w:tcPr>
                <w:p w14:paraId="5A3331A8">
                  <w:pPr>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color w:val="0000FF"/>
                      <w:kern w:val="2"/>
                      <w:sz w:val="21"/>
                      <w:szCs w:val="21"/>
                      <w:lang w:val="en-US" w:eastAsia="zh-CN" w:bidi="ar-SA"/>
                    </w:rPr>
                  </w:pPr>
                  <w:r>
                    <w:rPr>
                      <w:rFonts w:hint="default" w:ascii="Times New Roman" w:hAnsi="Times New Roman" w:eastAsia="宋体" w:cs="Times New Roman"/>
                      <w:color w:val="0000FF"/>
                      <w:szCs w:val="21"/>
                    </w:rPr>
                    <w:t>3</w:t>
                  </w:r>
                </w:p>
              </w:tc>
              <w:tc>
                <w:tcPr>
                  <w:tcW w:w="592" w:type="pct"/>
                  <w:shd w:val="clear" w:color="auto" w:fill="auto"/>
                  <w:vAlign w:val="center"/>
                </w:tcPr>
                <w:p w14:paraId="44262547">
                  <w:pPr>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color w:val="0000FF"/>
                      <w:kern w:val="2"/>
                      <w:sz w:val="21"/>
                      <w:szCs w:val="21"/>
                      <w:lang w:val="en-US" w:eastAsia="zh-CN" w:bidi="ar-SA"/>
                    </w:rPr>
                  </w:pPr>
                  <w:r>
                    <w:rPr>
                      <w:rFonts w:hint="default" w:ascii="Times New Roman" w:hAnsi="Times New Roman" w:eastAsia="宋体" w:cs="Times New Roman"/>
                      <w:color w:val="0000FF"/>
                      <w:szCs w:val="21"/>
                    </w:rPr>
                    <w:t>3</w:t>
                  </w:r>
                </w:p>
              </w:tc>
              <w:tc>
                <w:tcPr>
                  <w:tcW w:w="537" w:type="pct"/>
                  <w:shd w:val="clear" w:color="auto" w:fill="auto"/>
                  <w:vAlign w:val="center"/>
                </w:tcPr>
                <w:p w14:paraId="32346661">
                  <w:pPr>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color w:val="0000FF"/>
                      <w:kern w:val="2"/>
                      <w:sz w:val="21"/>
                      <w:szCs w:val="21"/>
                      <w:lang w:val="en-US" w:eastAsia="zh-CN" w:bidi="ar-SA"/>
                    </w:rPr>
                  </w:pPr>
                  <w:r>
                    <w:rPr>
                      <w:rFonts w:hint="default" w:ascii="Times New Roman" w:hAnsi="Times New Roman" w:eastAsia="宋体" w:cs="Times New Roman"/>
                      <w:color w:val="0000FF"/>
                      <w:szCs w:val="21"/>
                    </w:rPr>
                    <w:t>+1</w:t>
                  </w:r>
                </w:p>
              </w:tc>
              <w:tc>
                <w:tcPr>
                  <w:tcW w:w="536" w:type="pct"/>
                  <w:gridSpan w:val="2"/>
                  <w:vMerge w:val="continue"/>
                  <w:vAlign w:val="center"/>
                </w:tcPr>
                <w:p w14:paraId="4E8AB81D">
                  <w:pPr>
                    <w:keepNext w:val="0"/>
                    <w:keepLines w:val="0"/>
                    <w:suppressLineNumbers w:val="0"/>
                    <w:spacing w:before="0" w:beforeAutospacing="0" w:after="0" w:afterAutospacing="0"/>
                    <w:ind w:left="0" w:right="0"/>
                    <w:jc w:val="center"/>
                    <w:rPr>
                      <w:rFonts w:hint="eastAsia" w:ascii="Times New Roman" w:hAnsi="Times New Roman" w:eastAsia="宋体" w:cs="Times New Roman"/>
                      <w:b w:val="0"/>
                      <w:bCs w:val="0"/>
                      <w:color w:val="0000FF"/>
                      <w:szCs w:val="21"/>
                      <w:highlight w:val="none"/>
                      <w:lang w:val="en-US" w:eastAsia="zh-CN"/>
                    </w:rPr>
                  </w:pPr>
                </w:p>
              </w:tc>
              <w:tc>
                <w:tcPr>
                  <w:tcW w:w="320" w:type="pct"/>
                  <w:shd w:val="clear" w:color="auto" w:fill="auto"/>
                  <w:vAlign w:val="center"/>
                </w:tcPr>
                <w:p w14:paraId="1C1DCE07">
                  <w:pPr>
                    <w:keepNext w:val="0"/>
                    <w:keepLines w:val="0"/>
                    <w:suppressLineNumbers w:val="0"/>
                    <w:spacing w:before="0" w:beforeAutospacing="0" w:after="0" w:afterAutospacing="0" w:line="240" w:lineRule="auto"/>
                    <w:ind w:left="0" w:right="0"/>
                    <w:jc w:val="center"/>
                    <w:rPr>
                      <w:rFonts w:hint="default" w:ascii="Times New Roman" w:hAnsi="Times New Roman" w:eastAsia="宋体" w:cs="Times New Roman"/>
                      <w:b w:val="0"/>
                      <w:bCs w:val="0"/>
                      <w:color w:val="0000FF"/>
                      <w:kern w:val="2"/>
                      <w:sz w:val="21"/>
                      <w:szCs w:val="21"/>
                      <w:highlight w:val="none"/>
                      <w:lang w:val="en-US" w:eastAsia="zh-CN" w:bidi="ar-SA"/>
                    </w:rPr>
                  </w:pPr>
                  <w:r>
                    <w:rPr>
                      <w:rFonts w:hint="default" w:ascii="Times New Roman" w:hAnsi="Times New Roman" w:eastAsia="宋体" w:cs="Times New Roman"/>
                      <w:b w:val="0"/>
                      <w:bCs w:val="0"/>
                      <w:color w:val="0000FF"/>
                      <w:sz w:val="21"/>
                      <w:szCs w:val="21"/>
                      <w:highlight w:val="none"/>
                      <w:lang w:val="en-US" w:eastAsia="zh-CN"/>
                    </w:rPr>
                    <w:t>/</w:t>
                  </w:r>
                </w:p>
              </w:tc>
            </w:tr>
            <w:tr w14:paraId="6D576F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291" w:type="pct"/>
                  <w:shd w:val="clear" w:color="auto" w:fill="auto"/>
                  <w:vAlign w:val="center"/>
                </w:tcPr>
                <w:p w14:paraId="1C1FE494">
                  <w:pPr>
                    <w:keepNext w:val="0"/>
                    <w:keepLines w:val="0"/>
                    <w:suppressLineNumbers w:val="0"/>
                    <w:spacing w:before="0" w:beforeAutospacing="0" w:after="0" w:afterAutospacing="0"/>
                    <w:ind w:left="0" w:right="0"/>
                    <w:jc w:val="center"/>
                    <w:rPr>
                      <w:rFonts w:hint="default" w:ascii="Times New Roman" w:hAnsi="Times New Roman" w:eastAsia="宋体" w:cs="Times New Roman"/>
                      <w:b w:val="0"/>
                      <w:bCs w:val="0"/>
                      <w:color w:val="0000FF"/>
                      <w:szCs w:val="21"/>
                      <w:highlight w:val="none"/>
                      <w:lang w:val="en-US" w:eastAsia="zh-CN"/>
                    </w:rPr>
                  </w:pPr>
                  <w:r>
                    <w:rPr>
                      <w:rFonts w:hint="eastAsia" w:ascii="Times New Roman" w:hAnsi="Times New Roman" w:eastAsia="宋体" w:cs="Times New Roman"/>
                      <w:b w:val="0"/>
                      <w:bCs w:val="0"/>
                      <w:color w:val="0000FF"/>
                      <w:szCs w:val="21"/>
                      <w:highlight w:val="none"/>
                      <w:lang w:val="en-US" w:eastAsia="zh-CN"/>
                    </w:rPr>
                    <w:t>92</w:t>
                  </w:r>
                </w:p>
              </w:tc>
              <w:tc>
                <w:tcPr>
                  <w:tcW w:w="394" w:type="pct"/>
                  <w:vMerge w:val="continue"/>
                  <w:vAlign w:val="center"/>
                </w:tcPr>
                <w:p w14:paraId="34FFF841">
                  <w:pPr>
                    <w:keepNext w:val="0"/>
                    <w:keepLines w:val="0"/>
                    <w:suppressLineNumbers w:val="0"/>
                    <w:spacing w:before="0" w:beforeAutospacing="0" w:after="0" w:afterAutospacing="0"/>
                    <w:ind w:left="0" w:right="0"/>
                    <w:jc w:val="center"/>
                    <w:rPr>
                      <w:rFonts w:hint="default" w:ascii="Times New Roman" w:hAnsi="Times New Roman" w:eastAsia="宋体" w:cs="Times New Roman"/>
                      <w:b w:val="0"/>
                      <w:bCs w:val="0"/>
                      <w:color w:val="0000FF"/>
                      <w:szCs w:val="21"/>
                      <w:highlight w:val="none"/>
                    </w:rPr>
                  </w:pPr>
                </w:p>
              </w:tc>
              <w:tc>
                <w:tcPr>
                  <w:tcW w:w="660" w:type="pct"/>
                  <w:vMerge w:val="restart"/>
                  <w:shd w:val="clear" w:color="auto" w:fill="auto"/>
                  <w:vAlign w:val="center"/>
                </w:tcPr>
                <w:p w14:paraId="132CC3CB">
                  <w:pPr>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color w:val="0000FF"/>
                      <w:kern w:val="2"/>
                      <w:sz w:val="21"/>
                      <w:szCs w:val="21"/>
                      <w:lang w:val="en-US" w:eastAsia="zh-CN" w:bidi="ar-SA"/>
                    </w:rPr>
                  </w:pPr>
                  <w:r>
                    <w:rPr>
                      <w:rFonts w:hint="default" w:ascii="Times New Roman" w:hAnsi="Times New Roman" w:eastAsia="宋体" w:cs="Times New Roman"/>
                      <w:color w:val="0000FF"/>
                      <w:szCs w:val="21"/>
                    </w:rPr>
                    <w:t>冷却塔</w:t>
                  </w:r>
                </w:p>
              </w:tc>
              <w:tc>
                <w:tcPr>
                  <w:tcW w:w="766" w:type="pct"/>
                  <w:shd w:val="clear" w:color="auto" w:fill="auto"/>
                  <w:vAlign w:val="center"/>
                </w:tcPr>
                <w:p w14:paraId="1CF4E540">
                  <w:pPr>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color w:val="0000FF"/>
                      <w:kern w:val="2"/>
                      <w:sz w:val="21"/>
                      <w:szCs w:val="21"/>
                      <w:lang w:val="en-US" w:eastAsia="zh-CN" w:bidi="ar-SA"/>
                    </w:rPr>
                  </w:pPr>
                  <w:r>
                    <w:rPr>
                      <w:rFonts w:hint="default" w:ascii="Times New Roman" w:hAnsi="Times New Roman" w:eastAsia="宋体" w:cs="Times New Roman"/>
                      <w:color w:val="0000FF"/>
                      <w:szCs w:val="21"/>
                    </w:rPr>
                    <w:t>YE3-200L2-2，50t/h</w:t>
                  </w:r>
                </w:p>
              </w:tc>
              <w:tc>
                <w:tcPr>
                  <w:tcW w:w="483" w:type="pct"/>
                  <w:shd w:val="clear" w:color="auto" w:fill="auto"/>
                  <w:vAlign w:val="center"/>
                </w:tcPr>
                <w:p w14:paraId="48B4C1F8">
                  <w:pPr>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color w:val="0000FF"/>
                      <w:kern w:val="2"/>
                      <w:sz w:val="21"/>
                      <w:szCs w:val="21"/>
                      <w:lang w:val="en-US" w:eastAsia="zh-CN" w:bidi="ar-SA"/>
                    </w:rPr>
                  </w:pPr>
                  <w:r>
                    <w:rPr>
                      <w:rFonts w:hint="default" w:ascii="Times New Roman" w:hAnsi="Times New Roman" w:eastAsia="宋体" w:cs="Times New Roman"/>
                      <w:color w:val="0000FF"/>
                      <w:szCs w:val="21"/>
                    </w:rPr>
                    <w:t>1</w:t>
                  </w:r>
                </w:p>
              </w:tc>
              <w:tc>
                <w:tcPr>
                  <w:tcW w:w="417" w:type="pct"/>
                  <w:shd w:val="clear" w:color="auto" w:fill="auto"/>
                  <w:vAlign w:val="center"/>
                </w:tcPr>
                <w:p w14:paraId="77FFBB36">
                  <w:pPr>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color w:val="0000FF"/>
                      <w:kern w:val="2"/>
                      <w:sz w:val="21"/>
                      <w:szCs w:val="21"/>
                      <w:lang w:val="en-US" w:eastAsia="zh-CN" w:bidi="ar-SA"/>
                    </w:rPr>
                  </w:pPr>
                  <w:r>
                    <w:rPr>
                      <w:rFonts w:hint="default" w:ascii="Times New Roman" w:hAnsi="Times New Roman" w:eastAsia="宋体" w:cs="Times New Roman"/>
                      <w:color w:val="0000FF"/>
                      <w:szCs w:val="21"/>
                    </w:rPr>
                    <w:t>0</w:t>
                  </w:r>
                </w:p>
              </w:tc>
              <w:tc>
                <w:tcPr>
                  <w:tcW w:w="592" w:type="pct"/>
                  <w:shd w:val="clear" w:color="auto" w:fill="auto"/>
                  <w:vAlign w:val="center"/>
                </w:tcPr>
                <w:p w14:paraId="592C4F6A">
                  <w:pPr>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color w:val="0000FF"/>
                      <w:kern w:val="2"/>
                      <w:sz w:val="21"/>
                      <w:szCs w:val="21"/>
                      <w:lang w:val="en-US" w:eastAsia="zh-CN" w:bidi="ar-SA"/>
                    </w:rPr>
                  </w:pPr>
                  <w:r>
                    <w:rPr>
                      <w:rFonts w:hint="default" w:ascii="Times New Roman" w:hAnsi="Times New Roman" w:eastAsia="宋体" w:cs="Times New Roman"/>
                      <w:color w:val="0000FF"/>
                      <w:szCs w:val="21"/>
                    </w:rPr>
                    <w:t>0</w:t>
                  </w:r>
                </w:p>
              </w:tc>
              <w:tc>
                <w:tcPr>
                  <w:tcW w:w="537" w:type="pct"/>
                  <w:shd w:val="clear" w:color="auto" w:fill="auto"/>
                  <w:vAlign w:val="center"/>
                </w:tcPr>
                <w:p w14:paraId="11D674FB">
                  <w:pPr>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color w:val="0000FF"/>
                      <w:kern w:val="2"/>
                      <w:sz w:val="21"/>
                      <w:szCs w:val="21"/>
                      <w:lang w:val="en-US" w:eastAsia="zh-CN" w:bidi="ar-SA"/>
                    </w:rPr>
                  </w:pPr>
                  <w:r>
                    <w:rPr>
                      <w:rFonts w:hint="default" w:ascii="Times New Roman" w:hAnsi="Times New Roman" w:eastAsia="宋体" w:cs="Times New Roman"/>
                      <w:color w:val="0000FF"/>
                      <w:szCs w:val="21"/>
                    </w:rPr>
                    <w:t>-1</w:t>
                  </w:r>
                </w:p>
              </w:tc>
              <w:tc>
                <w:tcPr>
                  <w:tcW w:w="536" w:type="pct"/>
                  <w:gridSpan w:val="2"/>
                  <w:vMerge w:val="continue"/>
                  <w:vAlign w:val="center"/>
                </w:tcPr>
                <w:p w14:paraId="0290D13C">
                  <w:pPr>
                    <w:keepNext w:val="0"/>
                    <w:keepLines w:val="0"/>
                    <w:suppressLineNumbers w:val="0"/>
                    <w:spacing w:before="0" w:beforeAutospacing="0" w:after="0" w:afterAutospacing="0"/>
                    <w:ind w:left="0" w:right="0"/>
                    <w:jc w:val="center"/>
                    <w:rPr>
                      <w:rFonts w:hint="eastAsia" w:ascii="Times New Roman" w:hAnsi="Times New Roman" w:eastAsia="宋体" w:cs="Times New Roman"/>
                      <w:b w:val="0"/>
                      <w:bCs w:val="0"/>
                      <w:color w:val="0000FF"/>
                      <w:szCs w:val="21"/>
                      <w:highlight w:val="none"/>
                      <w:lang w:val="en-US" w:eastAsia="zh-CN"/>
                    </w:rPr>
                  </w:pPr>
                </w:p>
              </w:tc>
              <w:tc>
                <w:tcPr>
                  <w:tcW w:w="320" w:type="pct"/>
                  <w:shd w:val="clear" w:color="auto" w:fill="auto"/>
                  <w:vAlign w:val="center"/>
                </w:tcPr>
                <w:p w14:paraId="5BB1CF43">
                  <w:pPr>
                    <w:keepNext w:val="0"/>
                    <w:keepLines w:val="0"/>
                    <w:suppressLineNumbers w:val="0"/>
                    <w:spacing w:before="0" w:beforeAutospacing="0" w:after="0" w:afterAutospacing="0" w:line="240" w:lineRule="auto"/>
                    <w:ind w:left="0" w:right="0"/>
                    <w:jc w:val="center"/>
                    <w:rPr>
                      <w:rFonts w:hint="default" w:ascii="Times New Roman" w:hAnsi="Times New Roman" w:eastAsia="宋体" w:cs="Times New Roman"/>
                      <w:b w:val="0"/>
                      <w:bCs w:val="0"/>
                      <w:color w:val="0000FF"/>
                      <w:kern w:val="2"/>
                      <w:sz w:val="21"/>
                      <w:szCs w:val="21"/>
                      <w:highlight w:val="none"/>
                      <w:lang w:val="en-US" w:eastAsia="zh-CN" w:bidi="ar-SA"/>
                    </w:rPr>
                  </w:pPr>
                  <w:r>
                    <w:rPr>
                      <w:rFonts w:hint="default" w:ascii="Times New Roman" w:hAnsi="Times New Roman" w:eastAsia="宋体" w:cs="Times New Roman"/>
                      <w:b w:val="0"/>
                      <w:bCs w:val="0"/>
                      <w:color w:val="0000FF"/>
                      <w:sz w:val="21"/>
                      <w:szCs w:val="21"/>
                      <w:highlight w:val="none"/>
                      <w:lang w:val="en-US" w:eastAsia="zh-CN"/>
                    </w:rPr>
                    <w:t>/</w:t>
                  </w:r>
                </w:p>
              </w:tc>
            </w:tr>
            <w:tr w14:paraId="38B213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291" w:type="pct"/>
                  <w:shd w:val="clear" w:color="auto" w:fill="auto"/>
                  <w:vAlign w:val="center"/>
                </w:tcPr>
                <w:p w14:paraId="071EF54D">
                  <w:pPr>
                    <w:keepNext w:val="0"/>
                    <w:keepLines w:val="0"/>
                    <w:suppressLineNumbers w:val="0"/>
                    <w:spacing w:before="0" w:beforeAutospacing="0" w:after="0" w:afterAutospacing="0"/>
                    <w:ind w:left="0" w:right="0"/>
                    <w:jc w:val="center"/>
                    <w:rPr>
                      <w:rFonts w:hint="default" w:ascii="Times New Roman" w:hAnsi="Times New Roman" w:eastAsia="宋体" w:cs="Times New Roman"/>
                      <w:b w:val="0"/>
                      <w:bCs w:val="0"/>
                      <w:color w:val="0000FF"/>
                      <w:szCs w:val="21"/>
                      <w:highlight w:val="none"/>
                      <w:lang w:val="en-US" w:eastAsia="zh-CN"/>
                    </w:rPr>
                  </w:pPr>
                  <w:r>
                    <w:rPr>
                      <w:rFonts w:hint="eastAsia" w:ascii="Times New Roman" w:hAnsi="Times New Roman" w:eastAsia="宋体" w:cs="Times New Roman"/>
                      <w:b w:val="0"/>
                      <w:bCs w:val="0"/>
                      <w:color w:val="0000FF"/>
                      <w:szCs w:val="21"/>
                      <w:highlight w:val="none"/>
                      <w:lang w:val="en-US" w:eastAsia="zh-CN"/>
                    </w:rPr>
                    <w:t>93</w:t>
                  </w:r>
                </w:p>
              </w:tc>
              <w:tc>
                <w:tcPr>
                  <w:tcW w:w="394" w:type="pct"/>
                  <w:vMerge w:val="continue"/>
                  <w:vAlign w:val="center"/>
                </w:tcPr>
                <w:p w14:paraId="6A58A3AB">
                  <w:pPr>
                    <w:keepNext w:val="0"/>
                    <w:keepLines w:val="0"/>
                    <w:suppressLineNumbers w:val="0"/>
                    <w:spacing w:before="0" w:beforeAutospacing="0" w:after="0" w:afterAutospacing="0"/>
                    <w:ind w:left="0" w:right="0"/>
                    <w:jc w:val="center"/>
                    <w:rPr>
                      <w:rFonts w:hint="default" w:ascii="Times New Roman" w:hAnsi="Times New Roman" w:eastAsia="宋体" w:cs="Times New Roman"/>
                      <w:b w:val="0"/>
                      <w:bCs w:val="0"/>
                      <w:color w:val="0000FF"/>
                      <w:szCs w:val="21"/>
                      <w:highlight w:val="none"/>
                    </w:rPr>
                  </w:pPr>
                </w:p>
              </w:tc>
              <w:tc>
                <w:tcPr>
                  <w:tcW w:w="660" w:type="pct"/>
                  <w:vMerge w:val="continue"/>
                  <w:vAlign w:val="center"/>
                </w:tcPr>
                <w:p w14:paraId="258D1072">
                  <w:pPr>
                    <w:keepNext w:val="0"/>
                    <w:keepLines w:val="0"/>
                    <w:suppressLineNumbers w:val="0"/>
                    <w:spacing w:before="0" w:beforeAutospacing="0" w:after="0" w:afterAutospacing="0"/>
                    <w:ind w:left="0" w:right="0"/>
                    <w:jc w:val="center"/>
                    <w:rPr>
                      <w:rFonts w:hint="default" w:ascii="Times New Roman" w:hAnsi="Times New Roman" w:eastAsia="宋体" w:cs="Times New Roman"/>
                      <w:b w:val="0"/>
                      <w:bCs w:val="0"/>
                      <w:color w:val="0000FF"/>
                      <w:szCs w:val="21"/>
                      <w:highlight w:val="none"/>
                    </w:rPr>
                  </w:pPr>
                </w:p>
              </w:tc>
              <w:tc>
                <w:tcPr>
                  <w:tcW w:w="766" w:type="pct"/>
                  <w:shd w:val="clear" w:color="auto" w:fill="auto"/>
                  <w:vAlign w:val="center"/>
                </w:tcPr>
                <w:p w14:paraId="481256E5">
                  <w:pPr>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color w:val="0000FF"/>
                      <w:kern w:val="2"/>
                      <w:sz w:val="21"/>
                      <w:szCs w:val="21"/>
                      <w:lang w:val="en-US" w:eastAsia="zh-CN" w:bidi="ar-SA"/>
                    </w:rPr>
                  </w:pPr>
                  <w:r>
                    <w:rPr>
                      <w:rFonts w:hint="default" w:ascii="Times New Roman" w:hAnsi="Times New Roman" w:eastAsia="宋体" w:cs="Times New Roman"/>
                      <w:color w:val="0000FF"/>
                      <w:szCs w:val="21"/>
                    </w:rPr>
                    <w:t>40t/h</w:t>
                  </w:r>
                </w:p>
              </w:tc>
              <w:tc>
                <w:tcPr>
                  <w:tcW w:w="483" w:type="pct"/>
                  <w:shd w:val="clear" w:color="auto" w:fill="auto"/>
                  <w:vAlign w:val="center"/>
                </w:tcPr>
                <w:p w14:paraId="4572383C">
                  <w:pPr>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color w:val="0000FF"/>
                      <w:kern w:val="2"/>
                      <w:sz w:val="21"/>
                      <w:szCs w:val="21"/>
                      <w:lang w:val="en-US" w:eastAsia="zh-CN" w:bidi="ar-SA"/>
                    </w:rPr>
                  </w:pPr>
                  <w:r>
                    <w:rPr>
                      <w:rFonts w:hint="default" w:ascii="Times New Roman" w:hAnsi="Times New Roman" w:eastAsia="宋体" w:cs="Times New Roman"/>
                      <w:color w:val="0000FF"/>
                      <w:szCs w:val="21"/>
                    </w:rPr>
                    <w:t>/</w:t>
                  </w:r>
                </w:p>
              </w:tc>
              <w:tc>
                <w:tcPr>
                  <w:tcW w:w="417" w:type="pct"/>
                  <w:shd w:val="clear" w:color="auto" w:fill="auto"/>
                  <w:vAlign w:val="center"/>
                </w:tcPr>
                <w:p w14:paraId="58B7EF38">
                  <w:pPr>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color w:val="0000FF"/>
                      <w:kern w:val="2"/>
                      <w:sz w:val="21"/>
                      <w:szCs w:val="21"/>
                      <w:lang w:val="en-US" w:eastAsia="zh-CN" w:bidi="ar-SA"/>
                    </w:rPr>
                  </w:pPr>
                  <w:r>
                    <w:rPr>
                      <w:rFonts w:hint="default" w:ascii="Times New Roman" w:hAnsi="Times New Roman" w:eastAsia="宋体" w:cs="Times New Roman"/>
                      <w:color w:val="0000FF"/>
                      <w:szCs w:val="21"/>
                    </w:rPr>
                    <w:t>2</w:t>
                  </w:r>
                </w:p>
              </w:tc>
              <w:tc>
                <w:tcPr>
                  <w:tcW w:w="592" w:type="pct"/>
                  <w:shd w:val="clear" w:color="auto" w:fill="auto"/>
                  <w:vAlign w:val="center"/>
                </w:tcPr>
                <w:p w14:paraId="33EF4863">
                  <w:pPr>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color w:val="0000FF"/>
                      <w:kern w:val="2"/>
                      <w:sz w:val="21"/>
                      <w:szCs w:val="21"/>
                      <w:lang w:val="en-US" w:eastAsia="zh-CN" w:bidi="ar-SA"/>
                    </w:rPr>
                  </w:pPr>
                  <w:r>
                    <w:rPr>
                      <w:rFonts w:hint="default" w:ascii="Times New Roman" w:hAnsi="Times New Roman" w:eastAsia="宋体" w:cs="Times New Roman"/>
                      <w:color w:val="0000FF"/>
                      <w:szCs w:val="21"/>
                    </w:rPr>
                    <w:t>2</w:t>
                  </w:r>
                </w:p>
              </w:tc>
              <w:tc>
                <w:tcPr>
                  <w:tcW w:w="537" w:type="pct"/>
                  <w:shd w:val="clear" w:color="auto" w:fill="auto"/>
                  <w:vAlign w:val="center"/>
                </w:tcPr>
                <w:p w14:paraId="1B826F20">
                  <w:pPr>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color w:val="0000FF"/>
                      <w:kern w:val="2"/>
                      <w:sz w:val="21"/>
                      <w:szCs w:val="21"/>
                      <w:lang w:val="en-US" w:eastAsia="zh-CN" w:bidi="ar-SA"/>
                    </w:rPr>
                  </w:pPr>
                  <w:r>
                    <w:rPr>
                      <w:rFonts w:hint="default" w:ascii="Times New Roman" w:hAnsi="Times New Roman" w:eastAsia="宋体" w:cs="Times New Roman"/>
                      <w:color w:val="0000FF"/>
                      <w:szCs w:val="21"/>
                    </w:rPr>
                    <w:t>+2</w:t>
                  </w:r>
                </w:p>
              </w:tc>
              <w:tc>
                <w:tcPr>
                  <w:tcW w:w="536" w:type="pct"/>
                  <w:gridSpan w:val="2"/>
                  <w:vMerge w:val="continue"/>
                  <w:vAlign w:val="center"/>
                </w:tcPr>
                <w:p w14:paraId="2FAB6EA3">
                  <w:pPr>
                    <w:keepNext w:val="0"/>
                    <w:keepLines w:val="0"/>
                    <w:suppressLineNumbers w:val="0"/>
                    <w:spacing w:before="0" w:beforeAutospacing="0" w:after="0" w:afterAutospacing="0"/>
                    <w:ind w:left="0" w:right="0"/>
                    <w:jc w:val="center"/>
                    <w:rPr>
                      <w:rFonts w:hint="eastAsia" w:ascii="Times New Roman" w:hAnsi="Times New Roman" w:eastAsia="宋体" w:cs="Times New Roman"/>
                      <w:b w:val="0"/>
                      <w:bCs w:val="0"/>
                      <w:color w:val="0000FF"/>
                      <w:szCs w:val="21"/>
                      <w:highlight w:val="none"/>
                      <w:lang w:val="en-US" w:eastAsia="zh-CN"/>
                    </w:rPr>
                  </w:pPr>
                </w:p>
              </w:tc>
              <w:tc>
                <w:tcPr>
                  <w:tcW w:w="320" w:type="pct"/>
                  <w:shd w:val="clear" w:color="auto" w:fill="auto"/>
                  <w:vAlign w:val="center"/>
                </w:tcPr>
                <w:p w14:paraId="1276AD8B">
                  <w:pPr>
                    <w:keepNext w:val="0"/>
                    <w:keepLines w:val="0"/>
                    <w:suppressLineNumbers w:val="0"/>
                    <w:spacing w:before="0" w:beforeAutospacing="0" w:after="0" w:afterAutospacing="0" w:line="240" w:lineRule="auto"/>
                    <w:ind w:left="0" w:right="0"/>
                    <w:jc w:val="center"/>
                    <w:rPr>
                      <w:rFonts w:hint="default" w:ascii="Times New Roman" w:hAnsi="Times New Roman" w:eastAsia="宋体" w:cs="Times New Roman"/>
                      <w:b w:val="0"/>
                      <w:bCs w:val="0"/>
                      <w:color w:val="0000FF"/>
                      <w:kern w:val="2"/>
                      <w:sz w:val="21"/>
                      <w:szCs w:val="21"/>
                      <w:highlight w:val="none"/>
                      <w:lang w:val="en-US" w:eastAsia="zh-CN" w:bidi="ar-SA"/>
                    </w:rPr>
                  </w:pPr>
                  <w:r>
                    <w:rPr>
                      <w:rFonts w:hint="default" w:ascii="Times New Roman" w:hAnsi="Times New Roman" w:eastAsia="宋体" w:cs="Times New Roman"/>
                      <w:b w:val="0"/>
                      <w:bCs w:val="0"/>
                      <w:color w:val="0000FF"/>
                      <w:sz w:val="21"/>
                      <w:szCs w:val="21"/>
                      <w:highlight w:val="none"/>
                      <w:lang w:val="en-US" w:eastAsia="zh-CN"/>
                    </w:rPr>
                    <w:t>新增</w:t>
                  </w:r>
                </w:p>
              </w:tc>
            </w:tr>
            <w:tr w14:paraId="3162BD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291" w:type="pct"/>
                  <w:vAlign w:val="center"/>
                </w:tcPr>
                <w:p w14:paraId="073406F2">
                  <w:pPr>
                    <w:keepNext w:val="0"/>
                    <w:keepLines w:val="0"/>
                    <w:suppressLineNumbers w:val="0"/>
                    <w:spacing w:before="0" w:beforeAutospacing="0" w:after="0" w:afterAutospacing="0"/>
                    <w:ind w:left="0" w:right="0"/>
                    <w:jc w:val="center"/>
                    <w:rPr>
                      <w:rFonts w:hint="default" w:ascii="Times New Roman" w:hAnsi="Times New Roman" w:eastAsia="宋体" w:cs="Times New Roman"/>
                      <w:b w:val="0"/>
                      <w:bCs w:val="0"/>
                      <w:color w:val="0000FF"/>
                      <w:szCs w:val="21"/>
                      <w:highlight w:val="none"/>
                      <w:lang w:val="en-US" w:eastAsia="zh-CN"/>
                    </w:rPr>
                  </w:pPr>
                  <w:r>
                    <w:rPr>
                      <w:rFonts w:hint="eastAsia" w:ascii="Times New Roman" w:hAnsi="Times New Roman" w:eastAsia="宋体" w:cs="Times New Roman"/>
                      <w:b w:val="0"/>
                      <w:bCs w:val="0"/>
                      <w:color w:val="0000FF"/>
                      <w:szCs w:val="21"/>
                      <w:highlight w:val="none"/>
                      <w:lang w:val="en-US" w:eastAsia="zh-CN"/>
                    </w:rPr>
                    <w:t>94</w:t>
                  </w:r>
                </w:p>
              </w:tc>
              <w:tc>
                <w:tcPr>
                  <w:tcW w:w="394" w:type="pct"/>
                  <w:vMerge w:val="continue"/>
                  <w:vAlign w:val="center"/>
                </w:tcPr>
                <w:p w14:paraId="15A8D51C">
                  <w:pPr>
                    <w:keepNext w:val="0"/>
                    <w:keepLines w:val="0"/>
                    <w:suppressLineNumbers w:val="0"/>
                    <w:spacing w:before="0" w:beforeAutospacing="0" w:after="0" w:afterAutospacing="0"/>
                    <w:ind w:left="0" w:right="0"/>
                    <w:jc w:val="center"/>
                    <w:rPr>
                      <w:rFonts w:hint="default" w:ascii="Times New Roman" w:hAnsi="Times New Roman" w:eastAsia="宋体" w:cs="Times New Roman"/>
                      <w:b w:val="0"/>
                      <w:bCs w:val="0"/>
                      <w:color w:val="0000FF"/>
                      <w:szCs w:val="21"/>
                      <w:highlight w:val="none"/>
                    </w:rPr>
                  </w:pPr>
                </w:p>
              </w:tc>
              <w:tc>
                <w:tcPr>
                  <w:tcW w:w="660" w:type="pct"/>
                  <w:vMerge w:val="restart"/>
                  <w:shd w:val="clear" w:color="auto" w:fill="auto"/>
                  <w:vAlign w:val="center"/>
                </w:tcPr>
                <w:p w14:paraId="3125CC73">
                  <w:pPr>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color w:val="0000FF"/>
                      <w:kern w:val="2"/>
                      <w:sz w:val="21"/>
                      <w:szCs w:val="21"/>
                      <w:lang w:val="en-US" w:eastAsia="zh-CN" w:bidi="ar-SA"/>
                    </w:rPr>
                  </w:pPr>
                  <w:r>
                    <w:rPr>
                      <w:rFonts w:hint="default" w:ascii="Times New Roman" w:hAnsi="Times New Roman" w:eastAsia="宋体" w:cs="Times New Roman"/>
                      <w:color w:val="0000FF"/>
                      <w:szCs w:val="21"/>
                    </w:rPr>
                    <w:t>冷却水泵</w:t>
                  </w:r>
                </w:p>
              </w:tc>
              <w:tc>
                <w:tcPr>
                  <w:tcW w:w="766" w:type="pct"/>
                  <w:shd w:val="clear" w:color="auto" w:fill="auto"/>
                  <w:vAlign w:val="center"/>
                </w:tcPr>
                <w:p w14:paraId="3B8D6EFB">
                  <w:pPr>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color w:val="0000FF"/>
                      <w:kern w:val="2"/>
                      <w:sz w:val="21"/>
                      <w:szCs w:val="21"/>
                      <w:lang w:val="en-US" w:eastAsia="zh-CN" w:bidi="ar-SA"/>
                    </w:rPr>
                  </w:pPr>
                  <w:r>
                    <w:rPr>
                      <w:rFonts w:hint="default" w:ascii="Times New Roman" w:hAnsi="Times New Roman" w:eastAsia="宋体" w:cs="Times New Roman"/>
                      <w:color w:val="0000FF"/>
                      <w:szCs w:val="21"/>
                    </w:rPr>
                    <w:t>50t/h、H28m</w:t>
                  </w:r>
                </w:p>
              </w:tc>
              <w:tc>
                <w:tcPr>
                  <w:tcW w:w="483" w:type="pct"/>
                  <w:shd w:val="clear" w:color="auto" w:fill="auto"/>
                  <w:vAlign w:val="center"/>
                </w:tcPr>
                <w:p w14:paraId="6414B61B">
                  <w:pPr>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color w:val="0000FF"/>
                      <w:kern w:val="2"/>
                      <w:sz w:val="21"/>
                      <w:szCs w:val="21"/>
                      <w:lang w:val="en-US" w:eastAsia="zh-CN" w:bidi="ar-SA"/>
                    </w:rPr>
                  </w:pPr>
                  <w:r>
                    <w:rPr>
                      <w:rFonts w:hint="default" w:ascii="Times New Roman" w:hAnsi="Times New Roman" w:eastAsia="宋体" w:cs="Times New Roman"/>
                      <w:color w:val="0000FF"/>
                      <w:szCs w:val="21"/>
                    </w:rPr>
                    <w:t>3（2用1备）</w:t>
                  </w:r>
                </w:p>
              </w:tc>
              <w:tc>
                <w:tcPr>
                  <w:tcW w:w="417" w:type="pct"/>
                  <w:shd w:val="clear" w:color="auto" w:fill="auto"/>
                  <w:vAlign w:val="center"/>
                </w:tcPr>
                <w:p w14:paraId="35C53CA4">
                  <w:pPr>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color w:val="0000FF"/>
                      <w:kern w:val="2"/>
                      <w:sz w:val="21"/>
                      <w:szCs w:val="21"/>
                      <w:lang w:val="en-US" w:eastAsia="zh-CN" w:bidi="ar-SA"/>
                    </w:rPr>
                  </w:pPr>
                  <w:r>
                    <w:rPr>
                      <w:rFonts w:hint="default" w:ascii="Times New Roman" w:hAnsi="Times New Roman" w:eastAsia="宋体" w:cs="Times New Roman"/>
                      <w:color w:val="0000FF"/>
                      <w:szCs w:val="21"/>
                    </w:rPr>
                    <w:t>0</w:t>
                  </w:r>
                </w:p>
              </w:tc>
              <w:tc>
                <w:tcPr>
                  <w:tcW w:w="592" w:type="pct"/>
                  <w:shd w:val="clear" w:color="auto" w:fill="auto"/>
                  <w:vAlign w:val="center"/>
                </w:tcPr>
                <w:p w14:paraId="318A951F">
                  <w:pPr>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color w:val="0000FF"/>
                      <w:kern w:val="2"/>
                      <w:sz w:val="21"/>
                      <w:szCs w:val="21"/>
                      <w:lang w:val="en-US" w:eastAsia="zh-CN" w:bidi="ar-SA"/>
                    </w:rPr>
                  </w:pPr>
                  <w:r>
                    <w:rPr>
                      <w:rFonts w:hint="default" w:ascii="Times New Roman" w:hAnsi="Times New Roman" w:eastAsia="宋体" w:cs="Times New Roman"/>
                      <w:color w:val="0000FF"/>
                      <w:szCs w:val="21"/>
                    </w:rPr>
                    <w:t>0</w:t>
                  </w:r>
                </w:p>
              </w:tc>
              <w:tc>
                <w:tcPr>
                  <w:tcW w:w="537" w:type="pct"/>
                  <w:shd w:val="clear" w:color="auto" w:fill="auto"/>
                  <w:vAlign w:val="center"/>
                </w:tcPr>
                <w:p w14:paraId="4DA7A46C">
                  <w:pPr>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color w:val="0000FF"/>
                      <w:kern w:val="2"/>
                      <w:sz w:val="21"/>
                      <w:szCs w:val="21"/>
                      <w:lang w:val="en-US" w:eastAsia="zh-CN" w:bidi="ar-SA"/>
                    </w:rPr>
                  </w:pPr>
                  <w:r>
                    <w:rPr>
                      <w:rFonts w:hint="default" w:ascii="Times New Roman" w:hAnsi="Times New Roman" w:eastAsia="宋体" w:cs="Times New Roman"/>
                      <w:color w:val="0000FF"/>
                      <w:szCs w:val="21"/>
                    </w:rPr>
                    <w:t>-3</w:t>
                  </w:r>
                </w:p>
              </w:tc>
              <w:tc>
                <w:tcPr>
                  <w:tcW w:w="536" w:type="pct"/>
                  <w:gridSpan w:val="2"/>
                  <w:vMerge w:val="continue"/>
                  <w:vAlign w:val="center"/>
                </w:tcPr>
                <w:p w14:paraId="2AD11FEA">
                  <w:pPr>
                    <w:keepNext w:val="0"/>
                    <w:keepLines w:val="0"/>
                    <w:suppressLineNumbers w:val="0"/>
                    <w:spacing w:before="0" w:beforeAutospacing="0" w:after="0" w:afterAutospacing="0"/>
                    <w:ind w:left="0" w:right="0"/>
                    <w:jc w:val="center"/>
                    <w:rPr>
                      <w:rFonts w:hint="eastAsia" w:ascii="Times New Roman" w:hAnsi="Times New Roman" w:eastAsia="宋体" w:cs="Times New Roman"/>
                      <w:b w:val="0"/>
                      <w:bCs w:val="0"/>
                      <w:color w:val="0000FF"/>
                      <w:szCs w:val="21"/>
                      <w:highlight w:val="none"/>
                      <w:lang w:val="en-US" w:eastAsia="zh-CN"/>
                    </w:rPr>
                  </w:pPr>
                </w:p>
              </w:tc>
              <w:tc>
                <w:tcPr>
                  <w:tcW w:w="320" w:type="pct"/>
                  <w:shd w:val="clear" w:color="auto" w:fill="auto"/>
                  <w:vAlign w:val="center"/>
                </w:tcPr>
                <w:p w14:paraId="6390C8B4">
                  <w:pPr>
                    <w:keepNext w:val="0"/>
                    <w:keepLines w:val="0"/>
                    <w:suppressLineNumbers w:val="0"/>
                    <w:spacing w:before="0" w:beforeAutospacing="0" w:after="0" w:afterAutospacing="0" w:line="240" w:lineRule="auto"/>
                    <w:ind w:left="0" w:right="0"/>
                    <w:jc w:val="center"/>
                    <w:rPr>
                      <w:rFonts w:hint="default" w:ascii="Times New Roman" w:hAnsi="Times New Roman" w:eastAsia="宋体" w:cs="Times New Roman"/>
                      <w:b w:val="0"/>
                      <w:bCs w:val="0"/>
                      <w:color w:val="0000FF"/>
                      <w:kern w:val="2"/>
                      <w:sz w:val="21"/>
                      <w:szCs w:val="21"/>
                      <w:highlight w:val="none"/>
                      <w:lang w:val="en-US" w:eastAsia="zh-CN" w:bidi="ar-SA"/>
                    </w:rPr>
                  </w:pPr>
                  <w:r>
                    <w:rPr>
                      <w:rFonts w:hint="default" w:ascii="Times New Roman" w:hAnsi="Times New Roman" w:eastAsia="宋体" w:cs="Times New Roman"/>
                      <w:b w:val="0"/>
                      <w:bCs w:val="0"/>
                      <w:color w:val="0000FF"/>
                      <w:sz w:val="21"/>
                      <w:szCs w:val="21"/>
                      <w:highlight w:val="none"/>
                      <w:lang w:val="en-US" w:eastAsia="zh-CN"/>
                    </w:rPr>
                    <w:t>/</w:t>
                  </w:r>
                </w:p>
              </w:tc>
            </w:tr>
            <w:tr w14:paraId="5C4784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291" w:type="pct"/>
                  <w:vAlign w:val="center"/>
                </w:tcPr>
                <w:p w14:paraId="0E285E03">
                  <w:pPr>
                    <w:keepNext w:val="0"/>
                    <w:keepLines w:val="0"/>
                    <w:suppressLineNumbers w:val="0"/>
                    <w:spacing w:before="0" w:beforeAutospacing="0" w:after="0" w:afterAutospacing="0"/>
                    <w:ind w:left="0" w:right="0"/>
                    <w:jc w:val="center"/>
                    <w:rPr>
                      <w:rFonts w:hint="default" w:ascii="Times New Roman" w:hAnsi="Times New Roman" w:eastAsia="宋体" w:cs="Times New Roman"/>
                      <w:b w:val="0"/>
                      <w:bCs w:val="0"/>
                      <w:color w:val="0000FF"/>
                      <w:szCs w:val="21"/>
                      <w:highlight w:val="none"/>
                      <w:lang w:val="en-US" w:eastAsia="zh-CN"/>
                    </w:rPr>
                  </w:pPr>
                  <w:r>
                    <w:rPr>
                      <w:rFonts w:hint="eastAsia" w:ascii="Times New Roman" w:hAnsi="Times New Roman" w:eastAsia="宋体" w:cs="Times New Roman"/>
                      <w:b w:val="0"/>
                      <w:bCs w:val="0"/>
                      <w:color w:val="0000FF"/>
                      <w:szCs w:val="21"/>
                      <w:highlight w:val="none"/>
                      <w:lang w:val="en-US" w:eastAsia="zh-CN"/>
                    </w:rPr>
                    <w:t>95</w:t>
                  </w:r>
                </w:p>
              </w:tc>
              <w:tc>
                <w:tcPr>
                  <w:tcW w:w="394" w:type="pct"/>
                  <w:vMerge w:val="continue"/>
                  <w:vAlign w:val="center"/>
                </w:tcPr>
                <w:p w14:paraId="5FDA97A1">
                  <w:pPr>
                    <w:keepNext w:val="0"/>
                    <w:keepLines w:val="0"/>
                    <w:suppressLineNumbers w:val="0"/>
                    <w:spacing w:before="0" w:beforeAutospacing="0" w:after="0" w:afterAutospacing="0"/>
                    <w:ind w:left="0" w:right="0"/>
                    <w:jc w:val="center"/>
                    <w:rPr>
                      <w:rFonts w:hint="default" w:ascii="Times New Roman" w:hAnsi="Times New Roman" w:eastAsia="宋体" w:cs="Times New Roman"/>
                      <w:b w:val="0"/>
                      <w:bCs w:val="0"/>
                      <w:color w:val="0000FF"/>
                      <w:szCs w:val="21"/>
                      <w:highlight w:val="none"/>
                    </w:rPr>
                  </w:pPr>
                </w:p>
              </w:tc>
              <w:tc>
                <w:tcPr>
                  <w:tcW w:w="660" w:type="pct"/>
                  <w:vMerge w:val="continue"/>
                  <w:vAlign w:val="center"/>
                </w:tcPr>
                <w:p w14:paraId="3BE99ECB">
                  <w:pPr>
                    <w:keepNext w:val="0"/>
                    <w:keepLines w:val="0"/>
                    <w:suppressLineNumbers w:val="0"/>
                    <w:spacing w:before="0" w:beforeAutospacing="0" w:after="0" w:afterAutospacing="0"/>
                    <w:ind w:left="0" w:right="0"/>
                    <w:jc w:val="center"/>
                    <w:rPr>
                      <w:rFonts w:hint="default" w:ascii="Times New Roman" w:hAnsi="Times New Roman" w:eastAsia="宋体" w:cs="Times New Roman"/>
                      <w:b w:val="0"/>
                      <w:bCs w:val="0"/>
                      <w:color w:val="0000FF"/>
                      <w:szCs w:val="21"/>
                      <w:highlight w:val="none"/>
                    </w:rPr>
                  </w:pPr>
                </w:p>
              </w:tc>
              <w:tc>
                <w:tcPr>
                  <w:tcW w:w="766" w:type="pct"/>
                  <w:shd w:val="clear" w:color="auto" w:fill="auto"/>
                  <w:vAlign w:val="center"/>
                </w:tcPr>
                <w:p w14:paraId="7A9D329F">
                  <w:pPr>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color w:val="0000FF"/>
                      <w:kern w:val="2"/>
                      <w:sz w:val="21"/>
                      <w:szCs w:val="21"/>
                      <w:lang w:val="en-US" w:eastAsia="zh-CN" w:bidi="ar-SA"/>
                    </w:rPr>
                  </w:pPr>
                  <w:r>
                    <w:rPr>
                      <w:rFonts w:hint="default" w:ascii="Times New Roman" w:hAnsi="Times New Roman" w:eastAsia="宋体" w:cs="Times New Roman"/>
                      <w:color w:val="0000FF"/>
                      <w:szCs w:val="21"/>
                    </w:rPr>
                    <w:t>40t/h、H8m</w:t>
                  </w:r>
                </w:p>
              </w:tc>
              <w:tc>
                <w:tcPr>
                  <w:tcW w:w="483" w:type="pct"/>
                  <w:shd w:val="clear" w:color="auto" w:fill="auto"/>
                  <w:vAlign w:val="center"/>
                </w:tcPr>
                <w:p w14:paraId="09FD51A3">
                  <w:pPr>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color w:val="0000FF"/>
                      <w:kern w:val="2"/>
                      <w:sz w:val="21"/>
                      <w:szCs w:val="21"/>
                      <w:lang w:val="en-US" w:eastAsia="zh-CN" w:bidi="ar-SA"/>
                    </w:rPr>
                  </w:pPr>
                  <w:r>
                    <w:rPr>
                      <w:rFonts w:hint="default" w:ascii="Times New Roman" w:hAnsi="Times New Roman" w:eastAsia="宋体" w:cs="Times New Roman"/>
                      <w:color w:val="0000FF"/>
                      <w:szCs w:val="21"/>
                    </w:rPr>
                    <w:t>/</w:t>
                  </w:r>
                </w:p>
              </w:tc>
              <w:tc>
                <w:tcPr>
                  <w:tcW w:w="417" w:type="pct"/>
                  <w:shd w:val="clear" w:color="auto" w:fill="auto"/>
                  <w:vAlign w:val="center"/>
                </w:tcPr>
                <w:p w14:paraId="34AF7D89">
                  <w:pPr>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color w:val="0000FF"/>
                      <w:kern w:val="2"/>
                      <w:sz w:val="21"/>
                      <w:szCs w:val="21"/>
                      <w:lang w:val="en-US" w:eastAsia="zh-CN" w:bidi="ar-SA"/>
                    </w:rPr>
                  </w:pPr>
                  <w:r>
                    <w:rPr>
                      <w:rFonts w:hint="default" w:ascii="Times New Roman" w:hAnsi="Times New Roman" w:eastAsia="宋体" w:cs="Times New Roman"/>
                      <w:color w:val="0000FF"/>
                      <w:szCs w:val="21"/>
                    </w:rPr>
                    <w:t>2</w:t>
                  </w:r>
                </w:p>
              </w:tc>
              <w:tc>
                <w:tcPr>
                  <w:tcW w:w="592" w:type="pct"/>
                  <w:shd w:val="clear" w:color="auto" w:fill="auto"/>
                  <w:vAlign w:val="center"/>
                </w:tcPr>
                <w:p w14:paraId="4B7B9D5E">
                  <w:pPr>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color w:val="0000FF"/>
                      <w:kern w:val="2"/>
                      <w:sz w:val="21"/>
                      <w:szCs w:val="21"/>
                      <w:lang w:val="en-US" w:eastAsia="zh-CN" w:bidi="ar-SA"/>
                    </w:rPr>
                  </w:pPr>
                  <w:r>
                    <w:rPr>
                      <w:rFonts w:hint="default" w:ascii="Times New Roman" w:hAnsi="Times New Roman" w:eastAsia="宋体" w:cs="Times New Roman"/>
                      <w:color w:val="0000FF"/>
                      <w:szCs w:val="21"/>
                    </w:rPr>
                    <w:t>2</w:t>
                  </w:r>
                </w:p>
              </w:tc>
              <w:tc>
                <w:tcPr>
                  <w:tcW w:w="537" w:type="pct"/>
                  <w:shd w:val="clear" w:color="auto" w:fill="auto"/>
                  <w:vAlign w:val="center"/>
                </w:tcPr>
                <w:p w14:paraId="11115513">
                  <w:pPr>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color w:val="0000FF"/>
                      <w:kern w:val="2"/>
                      <w:sz w:val="21"/>
                      <w:szCs w:val="21"/>
                      <w:lang w:val="en-US" w:eastAsia="zh-CN" w:bidi="ar-SA"/>
                    </w:rPr>
                  </w:pPr>
                  <w:r>
                    <w:rPr>
                      <w:rFonts w:hint="default" w:ascii="Times New Roman" w:hAnsi="Times New Roman" w:eastAsia="宋体" w:cs="Times New Roman"/>
                      <w:color w:val="0000FF"/>
                      <w:szCs w:val="21"/>
                    </w:rPr>
                    <w:t>+2</w:t>
                  </w:r>
                </w:p>
              </w:tc>
              <w:tc>
                <w:tcPr>
                  <w:tcW w:w="536" w:type="pct"/>
                  <w:gridSpan w:val="2"/>
                  <w:vMerge w:val="continue"/>
                  <w:vAlign w:val="center"/>
                </w:tcPr>
                <w:p w14:paraId="0E02269C">
                  <w:pPr>
                    <w:keepNext w:val="0"/>
                    <w:keepLines w:val="0"/>
                    <w:suppressLineNumbers w:val="0"/>
                    <w:spacing w:before="0" w:beforeAutospacing="0" w:after="0" w:afterAutospacing="0"/>
                    <w:ind w:left="0" w:right="0"/>
                    <w:jc w:val="center"/>
                    <w:rPr>
                      <w:rFonts w:hint="eastAsia" w:ascii="Times New Roman" w:hAnsi="Times New Roman" w:eastAsia="宋体" w:cs="Times New Roman"/>
                      <w:b w:val="0"/>
                      <w:bCs w:val="0"/>
                      <w:color w:val="0000FF"/>
                      <w:szCs w:val="21"/>
                      <w:highlight w:val="none"/>
                      <w:lang w:val="en-US" w:eastAsia="zh-CN"/>
                    </w:rPr>
                  </w:pPr>
                </w:p>
              </w:tc>
              <w:tc>
                <w:tcPr>
                  <w:tcW w:w="320" w:type="pct"/>
                  <w:shd w:val="clear" w:color="auto" w:fill="auto"/>
                  <w:vAlign w:val="center"/>
                </w:tcPr>
                <w:p w14:paraId="650B0A0F">
                  <w:pPr>
                    <w:keepNext w:val="0"/>
                    <w:keepLines w:val="0"/>
                    <w:suppressLineNumbers w:val="0"/>
                    <w:spacing w:before="0" w:beforeAutospacing="0" w:after="0" w:afterAutospacing="0" w:line="240" w:lineRule="auto"/>
                    <w:ind w:left="0" w:right="0"/>
                    <w:jc w:val="center"/>
                    <w:rPr>
                      <w:rFonts w:hint="default" w:ascii="Times New Roman" w:hAnsi="Times New Roman" w:eastAsia="宋体" w:cs="Times New Roman"/>
                      <w:b w:val="0"/>
                      <w:bCs w:val="0"/>
                      <w:color w:val="0000FF"/>
                      <w:kern w:val="2"/>
                      <w:sz w:val="21"/>
                      <w:szCs w:val="21"/>
                      <w:highlight w:val="none"/>
                      <w:lang w:val="en-US" w:eastAsia="zh-CN" w:bidi="ar-SA"/>
                    </w:rPr>
                  </w:pPr>
                  <w:r>
                    <w:rPr>
                      <w:rFonts w:hint="default" w:ascii="Times New Roman" w:hAnsi="Times New Roman" w:eastAsia="宋体" w:cs="Times New Roman"/>
                      <w:b w:val="0"/>
                      <w:bCs w:val="0"/>
                      <w:color w:val="0000FF"/>
                      <w:sz w:val="21"/>
                      <w:szCs w:val="21"/>
                      <w:highlight w:val="none"/>
                      <w:lang w:val="en-US" w:eastAsia="zh-CN"/>
                    </w:rPr>
                    <w:t>新增</w:t>
                  </w:r>
                </w:p>
              </w:tc>
            </w:tr>
            <w:tr w14:paraId="06C67B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291" w:type="pct"/>
                  <w:vAlign w:val="center"/>
                </w:tcPr>
                <w:p w14:paraId="76FD67B3">
                  <w:pPr>
                    <w:keepNext w:val="0"/>
                    <w:keepLines w:val="0"/>
                    <w:suppressLineNumbers w:val="0"/>
                    <w:spacing w:before="0" w:beforeAutospacing="0" w:after="0" w:afterAutospacing="0"/>
                    <w:ind w:left="0" w:right="0"/>
                    <w:jc w:val="center"/>
                    <w:rPr>
                      <w:rFonts w:hint="default" w:ascii="Times New Roman" w:hAnsi="Times New Roman" w:eastAsia="宋体" w:cs="Times New Roman"/>
                      <w:b w:val="0"/>
                      <w:bCs w:val="0"/>
                      <w:color w:val="0000FF"/>
                      <w:szCs w:val="21"/>
                      <w:highlight w:val="none"/>
                      <w:lang w:val="en-US" w:eastAsia="zh-CN"/>
                    </w:rPr>
                  </w:pPr>
                  <w:r>
                    <w:rPr>
                      <w:rFonts w:hint="eastAsia" w:ascii="Times New Roman" w:hAnsi="Times New Roman" w:eastAsia="宋体" w:cs="Times New Roman"/>
                      <w:b w:val="0"/>
                      <w:bCs w:val="0"/>
                      <w:color w:val="0000FF"/>
                      <w:szCs w:val="21"/>
                      <w:highlight w:val="none"/>
                      <w:lang w:val="en-US" w:eastAsia="zh-CN"/>
                    </w:rPr>
                    <w:t>96</w:t>
                  </w:r>
                </w:p>
              </w:tc>
              <w:tc>
                <w:tcPr>
                  <w:tcW w:w="394" w:type="pct"/>
                  <w:vMerge w:val="continue"/>
                  <w:vAlign w:val="center"/>
                </w:tcPr>
                <w:p w14:paraId="4E0C64A1">
                  <w:pPr>
                    <w:keepNext w:val="0"/>
                    <w:keepLines w:val="0"/>
                    <w:suppressLineNumbers w:val="0"/>
                    <w:spacing w:before="0" w:beforeAutospacing="0" w:after="0" w:afterAutospacing="0"/>
                    <w:ind w:left="0" w:right="0"/>
                    <w:jc w:val="center"/>
                    <w:rPr>
                      <w:rFonts w:hint="default" w:ascii="Times New Roman" w:hAnsi="Times New Roman" w:eastAsia="宋体" w:cs="Times New Roman"/>
                      <w:b w:val="0"/>
                      <w:bCs w:val="0"/>
                      <w:color w:val="0000FF"/>
                      <w:szCs w:val="21"/>
                      <w:highlight w:val="none"/>
                    </w:rPr>
                  </w:pPr>
                </w:p>
              </w:tc>
              <w:tc>
                <w:tcPr>
                  <w:tcW w:w="660" w:type="pct"/>
                  <w:shd w:val="clear" w:color="auto" w:fill="auto"/>
                  <w:vAlign w:val="center"/>
                </w:tcPr>
                <w:p w14:paraId="0C9EB650">
                  <w:pPr>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color w:val="0000FF"/>
                      <w:kern w:val="2"/>
                      <w:sz w:val="21"/>
                      <w:szCs w:val="21"/>
                      <w:lang w:val="en-US" w:eastAsia="zh-CN" w:bidi="ar-SA"/>
                    </w:rPr>
                  </w:pPr>
                  <w:r>
                    <w:rPr>
                      <w:rFonts w:hint="default" w:ascii="Times New Roman" w:hAnsi="Times New Roman" w:eastAsia="宋体" w:cs="Times New Roman"/>
                      <w:color w:val="0000FF"/>
                      <w:szCs w:val="21"/>
                    </w:rPr>
                    <w:t>废气处理系统</w:t>
                  </w:r>
                </w:p>
              </w:tc>
              <w:tc>
                <w:tcPr>
                  <w:tcW w:w="766" w:type="pct"/>
                  <w:shd w:val="clear" w:color="auto" w:fill="auto"/>
                  <w:vAlign w:val="center"/>
                </w:tcPr>
                <w:p w14:paraId="27C4D9C3">
                  <w:pPr>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color w:val="0000FF"/>
                      <w:kern w:val="2"/>
                      <w:sz w:val="21"/>
                      <w:szCs w:val="21"/>
                      <w:lang w:val="en-US" w:eastAsia="zh-CN" w:bidi="ar-SA"/>
                    </w:rPr>
                  </w:pPr>
                  <w:r>
                    <w:rPr>
                      <w:rFonts w:hint="default" w:ascii="Times New Roman" w:hAnsi="Times New Roman" w:eastAsia="宋体" w:cs="Times New Roman"/>
                      <w:color w:val="0000FF"/>
                      <w:szCs w:val="21"/>
                    </w:rPr>
                    <w:t>/</w:t>
                  </w:r>
                </w:p>
              </w:tc>
              <w:tc>
                <w:tcPr>
                  <w:tcW w:w="483" w:type="pct"/>
                  <w:shd w:val="clear" w:color="auto" w:fill="auto"/>
                  <w:vAlign w:val="center"/>
                </w:tcPr>
                <w:p w14:paraId="3D9A37AC">
                  <w:pPr>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color w:val="0000FF"/>
                      <w:kern w:val="2"/>
                      <w:sz w:val="21"/>
                      <w:szCs w:val="21"/>
                      <w:lang w:val="en-US" w:eastAsia="zh-CN" w:bidi="ar-SA"/>
                    </w:rPr>
                  </w:pPr>
                  <w:r>
                    <w:rPr>
                      <w:rFonts w:hint="default" w:ascii="Times New Roman" w:hAnsi="Times New Roman" w:eastAsia="宋体" w:cs="Times New Roman"/>
                      <w:color w:val="0000FF"/>
                      <w:szCs w:val="21"/>
                    </w:rPr>
                    <w:t>5</w:t>
                  </w:r>
                </w:p>
              </w:tc>
              <w:tc>
                <w:tcPr>
                  <w:tcW w:w="417" w:type="pct"/>
                  <w:shd w:val="clear" w:color="auto" w:fill="auto"/>
                  <w:vAlign w:val="center"/>
                </w:tcPr>
                <w:p w14:paraId="21045C73">
                  <w:pPr>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color w:val="0000FF"/>
                      <w:kern w:val="2"/>
                      <w:sz w:val="21"/>
                      <w:szCs w:val="21"/>
                      <w:lang w:val="en-US" w:eastAsia="zh-CN" w:bidi="ar-SA"/>
                    </w:rPr>
                  </w:pPr>
                  <w:r>
                    <w:rPr>
                      <w:rFonts w:hint="default" w:ascii="Times New Roman" w:hAnsi="Times New Roman" w:eastAsia="宋体" w:cs="Times New Roman"/>
                      <w:color w:val="0000FF"/>
                      <w:szCs w:val="21"/>
                    </w:rPr>
                    <w:t>4</w:t>
                  </w:r>
                </w:p>
              </w:tc>
              <w:tc>
                <w:tcPr>
                  <w:tcW w:w="592" w:type="pct"/>
                  <w:shd w:val="clear" w:color="auto" w:fill="auto"/>
                  <w:vAlign w:val="center"/>
                </w:tcPr>
                <w:p w14:paraId="22823E1D">
                  <w:pPr>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color w:val="0000FF"/>
                      <w:kern w:val="2"/>
                      <w:sz w:val="21"/>
                      <w:szCs w:val="21"/>
                      <w:lang w:val="en-US" w:eastAsia="zh-CN" w:bidi="ar-SA"/>
                    </w:rPr>
                  </w:pPr>
                  <w:r>
                    <w:rPr>
                      <w:rFonts w:hint="default" w:ascii="Times New Roman" w:hAnsi="Times New Roman" w:eastAsia="宋体" w:cs="Times New Roman"/>
                      <w:color w:val="0000FF"/>
                      <w:szCs w:val="21"/>
                    </w:rPr>
                    <w:t>4</w:t>
                  </w:r>
                </w:p>
              </w:tc>
              <w:tc>
                <w:tcPr>
                  <w:tcW w:w="537" w:type="pct"/>
                  <w:shd w:val="clear" w:color="auto" w:fill="auto"/>
                  <w:vAlign w:val="center"/>
                </w:tcPr>
                <w:p w14:paraId="3574D629">
                  <w:pPr>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color w:val="0000FF"/>
                      <w:kern w:val="2"/>
                      <w:sz w:val="21"/>
                      <w:szCs w:val="21"/>
                      <w:lang w:val="en-US" w:eastAsia="zh-CN" w:bidi="ar-SA"/>
                    </w:rPr>
                  </w:pPr>
                  <w:r>
                    <w:rPr>
                      <w:rFonts w:hint="default" w:ascii="Times New Roman" w:hAnsi="Times New Roman" w:eastAsia="宋体" w:cs="Times New Roman"/>
                      <w:color w:val="0000FF"/>
                      <w:szCs w:val="21"/>
                    </w:rPr>
                    <w:t>-1</w:t>
                  </w:r>
                </w:p>
              </w:tc>
              <w:tc>
                <w:tcPr>
                  <w:tcW w:w="536" w:type="pct"/>
                  <w:gridSpan w:val="2"/>
                  <w:vMerge w:val="continue"/>
                  <w:vAlign w:val="center"/>
                </w:tcPr>
                <w:p w14:paraId="2B59D7E5">
                  <w:pPr>
                    <w:keepNext w:val="0"/>
                    <w:keepLines w:val="0"/>
                    <w:suppressLineNumbers w:val="0"/>
                    <w:spacing w:before="0" w:beforeAutospacing="0" w:after="0" w:afterAutospacing="0"/>
                    <w:ind w:left="0" w:right="0"/>
                    <w:jc w:val="center"/>
                    <w:rPr>
                      <w:rFonts w:hint="eastAsia" w:ascii="Times New Roman" w:hAnsi="Times New Roman" w:eastAsia="宋体" w:cs="Times New Roman"/>
                      <w:b w:val="0"/>
                      <w:bCs w:val="0"/>
                      <w:color w:val="0000FF"/>
                      <w:szCs w:val="21"/>
                      <w:highlight w:val="none"/>
                      <w:lang w:val="en-US" w:eastAsia="zh-CN"/>
                    </w:rPr>
                  </w:pPr>
                </w:p>
              </w:tc>
              <w:tc>
                <w:tcPr>
                  <w:tcW w:w="320" w:type="pct"/>
                  <w:shd w:val="clear" w:color="auto" w:fill="auto"/>
                  <w:vAlign w:val="center"/>
                </w:tcPr>
                <w:p w14:paraId="21B3B285">
                  <w:pPr>
                    <w:keepNext w:val="0"/>
                    <w:keepLines w:val="0"/>
                    <w:suppressLineNumbers w:val="0"/>
                    <w:spacing w:before="0" w:beforeAutospacing="0" w:after="0" w:afterAutospacing="0" w:line="240" w:lineRule="auto"/>
                    <w:ind w:left="0" w:right="0"/>
                    <w:jc w:val="center"/>
                    <w:rPr>
                      <w:rFonts w:hint="default" w:ascii="Times New Roman" w:hAnsi="Times New Roman" w:eastAsia="宋体" w:cs="Times New Roman"/>
                      <w:b w:val="0"/>
                      <w:bCs w:val="0"/>
                      <w:color w:val="0000FF"/>
                      <w:kern w:val="2"/>
                      <w:sz w:val="21"/>
                      <w:szCs w:val="21"/>
                      <w:highlight w:val="none"/>
                      <w:lang w:val="en-US" w:eastAsia="zh-CN" w:bidi="ar-SA"/>
                    </w:rPr>
                  </w:pPr>
                  <w:r>
                    <w:rPr>
                      <w:rFonts w:hint="default" w:ascii="Times New Roman" w:hAnsi="Times New Roman" w:eastAsia="宋体" w:cs="Times New Roman"/>
                      <w:b w:val="0"/>
                      <w:bCs w:val="0"/>
                      <w:color w:val="0000FF"/>
                      <w:sz w:val="21"/>
                      <w:szCs w:val="21"/>
                      <w:highlight w:val="none"/>
                      <w:lang w:val="en-US" w:eastAsia="zh-CN"/>
                    </w:rPr>
                    <w:t>/</w:t>
                  </w:r>
                </w:p>
              </w:tc>
            </w:tr>
            <w:tr w14:paraId="4C9042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5000" w:type="pct"/>
                  <w:gridSpan w:val="11"/>
                  <w:vAlign w:val="center"/>
                </w:tcPr>
                <w:p w14:paraId="68BADB9A">
                  <w:pPr>
                    <w:keepNext w:val="0"/>
                    <w:keepLines w:val="0"/>
                    <w:suppressLineNumbers w:val="0"/>
                    <w:spacing w:before="0" w:beforeAutospacing="0" w:after="0" w:afterAutospacing="0"/>
                    <w:ind w:left="0" w:right="0"/>
                    <w:jc w:val="center"/>
                    <w:rPr>
                      <w:rFonts w:hint="default" w:ascii="Times New Roman" w:hAnsi="Times New Roman" w:eastAsia="宋体" w:cs="Times New Roman"/>
                      <w:b/>
                      <w:bCs/>
                      <w:color w:val="auto"/>
                      <w:szCs w:val="21"/>
                      <w:highlight w:val="none"/>
                    </w:rPr>
                  </w:pPr>
                  <w:r>
                    <w:rPr>
                      <w:rFonts w:hint="default" w:ascii="Times New Roman" w:hAnsi="Times New Roman" w:eastAsia="宋体" w:cs="Times New Roman"/>
                      <w:b/>
                      <w:bCs/>
                      <w:color w:val="auto"/>
                      <w:szCs w:val="21"/>
                      <w:highlight w:val="none"/>
                    </w:rPr>
                    <w:t>第二代动力电池高安全陶瓷化复合隔膜</w:t>
                  </w:r>
                  <w:r>
                    <w:rPr>
                      <w:rFonts w:hint="eastAsia" w:ascii="Times New Roman" w:hAnsi="Times New Roman" w:eastAsia="宋体" w:cs="Times New Roman"/>
                      <w:b/>
                      <w:bCs/>
                      <w:color w:val="auto"/>
                      <w:szCs w:val="21"/>
                      <w:highlight w:val="none"/>
                      <w:lang w:eastAsia="zh-CN"/>
                    </w:rPr>
                    <w:t>（</w:t>
                  </w:r>
                  <w:r>
                    <w:rPr>
                      <w:rFonts w:hint="eastAsia" w:ascii="Times New Roman" w:hAnsi="Times New Roman" w:eastAsia="宋体" w:cs="Times New Roman"/>
                      <w:b/>
                      <w:bCs/>
                      <w:color w:val="auto"/>
                      <w:szCs w:val="21"/>
                      <w:highlight w:val="none"/>
                      <w:lang w:val="en-US" w:eastAsia="zh-CN"/>
                    </w:rPr>
                    <w:t>本项目</w:t>
                  </w:r>
                  <w:r>
                    <w:rPr>
                      <w:rFonts w:hint="eastAsia" w:ascii="Times New Roman" w:hAnsi="Times New Roman" w:eastAsia="宋体" w:cs="Times New Roman"/>
                      <w:b/>
                      <w:bCs/>
                      <w:color w:val="auto"/>
                      <w:szCs w:val="21"/>
                      <w:highlight w:val="none"/>
                      <w:lang w:eastAsia="zh-CN"/>
                    </w:rPr>
                    <w:t>）</w:t>
                  </w:r>
                </w:p>
              </w:tc>
            </w:tr>
            <w:tr w14:paraId="228B6F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291" w:type="pct"/>
                  <w:shd w:val="clear" w:color="auto" w:fill="auto"/>
                  <w:vAlign w:val="center"/>
                </w:tcPr>
                <w:p w14:paraId="518F197C">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color w:val="auto"/>
                      <w:szCs w:val="21"/>
                      <w:highlight w:val="none"/>
                    </w:rPr>
                    <w:t>1</w:t>
                  </w:r>
                </w:p>
              </w:tc>
              <w:tc>
                <w:tcPr>
                  <w:tcW w:w="394" w:type="pct"/>
                  <w:shd w:val="clear" w:color="auto" w:fill="auto"/>
                  <w:vAlign w:val="center"/>
                </w:tcPr>
                <w:p w14:paraId="161E938A">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kern w:val="2"/>
                      <w:sz w:val="21"/>
                      <w:szCs w:val="21"/>
                      <w:highlight w:val="none"/>
                      <w:lang w:val="en-US" w:eastAsia="zh-CN" w:bidi="ar-SA"/>
                    </w:rPr>
                  </w:pPr>
                  <w:r>
                    <w:rPr>
                      <w:rFonts w:hint="eastAsia" w:ascii="Times New Roman" w:hAnsi="Times New Roman" w:eastAsia="宋体" w:cs="Times New Roman"/>
                      <w:color w:val="auto"/>
                      <w:szCs w:val="21"/>
                      <w:highlight w:val="none"/>
                      <w:lang w:val="en-US" w:eastAsia="zh-CN"/>
                    </w:rPr>
                    <w:t>辅料</w:t>
                  </w:r>
                  <w:r>
                    <w:rPr>
                      <w:rFonts w:hint="eastAsia" w:ascii="Times New Roman" w:hAnsi="Times New Roman" w:eastAsia="宋体" w:cs="Times New Roman"/>
                      <w:color w:val="auto"/>
                      <w:szCs w:val="21"/>
                      <w:highlight w:val="none"/>
                    </w:rPr>
                    <w:t>成型</w:t>
                  </w:r>
                </w:p>
              </w:tc>
              <w:tc>
                <w:tcPr>
                  <w:tcW w:w="660" w:type="pct"/>
                  <w:shd w:val="clear" w:color="auto" w:fill="auto"/>
                  <w:vAlign w:val="center"/>
                </w:tcPr>
                <w:p w14:paraId="00753405">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kern w:val="2"/>
                      <w:sz w:val="21"/>
                      <w:szCs w:val="21"/>
                      <w:highlight w:val="none"/>
                      <w:lang w:val="en-US" w:eastAsia="zh-CN" w:bidi="ar-SA"/>
                    </w:rPr>
                  </w:pPr>
                  <w:r>
                    <w:rPr>
                      <w:rFonts w:hint="eastAsia" w:ascii="Times New Roman" w:hAnsi="Times New Roman" w:eastAsia="宋体" w:cs="Times New Roman"/>
                      <w:color w:val="auto"/>
                      <w:szCs w:val="21"/>
                      <w:highlight w:val="none"/>
                    </w:rPr>
                    <w:t>立式液态射出成型机</w:t>
                  </w:r>
                </w:p>
              </w:tc>
              <w:tc>
                <w:tcPr>
                  <w:tcW w:w="766" w:type="pct"/>
                  <w:shd w:val="clear" w:color="auto" w:fill="auto"/>
                  <w:vAlign w:val="center"/>
                </w:tcPr>
                <w:p w14:paraId="1EAF72ED">
                  <w:pPr>
                    <w:keepNext w:val="0"/>
                    <w:keepLines w:val="0"/>
                    <w:suppressLineNumbers w:val="0"/>
                    <w:spacing w:before="0" w:beforeAutospacing="0" w:after="0" w:afterAutospacing="0"/>
                    <w:ind w:left="0" w:right="0"/>
                    <w:jc w:val="center"/>
                    <w:rPr>
                      <w:rFonts w:hint="eastAsia" w:ascii="Times New Roman" w:hAnsi="Times New Roman" w:eastAsia="宋体" w:cs="Times New Roman"/>
                      <w:color w:val="auto"/>
                      <w:kern w:val="2"/>
                      <w:sz w:val="21"/>
                      <w:szCs w:val="21"/>
                      <w:highlight w:val="none"/>
                      <w:lang w:val="en-US" w:eastAsia="zh-CN" w:bidi="ar-SA"/>
                    </w:rPr>
                  </w:pPr>
                  <w:r>
                    <w:rPr>
                      <w:rFonts w:hint="eastAsia" w:ascii="Times New Roman" w:hAnsi="Times New Roman" w:eastAsia="宋体" w:cs="Times New Roman"/>
                      <w:color w:val="auto"/>
                      <w:szCs w:val="21"/>
                      <w:highlight w:val="none"/>
                    </w:rPr>
                    <w:t>KT-VS200-2S</w:t>
                  </w:r>
                </w:p>
              </w:tc>
              <w:tc>
                <w:tcPr>
                  <w:tcW w:w="483" w:type="pct"/>
                  <w:shd w:val="clear" w:color="auto" w:fill="auto"/>
                  <w:vAlign w:val="center"/>
                </w:tcPr>
                <w:p w14:paraId="64B0693C">
                  <w:pPr>
                    <w:keepNext w:val="0"/>
                    <w:keepLines w:val="0"/>
                    <w:suppressLineNumbers w:val="0"/>
                    <w:spacing w:before="0" w:beforeAutospacing="0" w:after="0" w:afterAutospacing="0"/>
                    <w:ind w:left="0" w:leftChars="0" w:right="0" w:rightChars="0"/>
                    <w:jc w:val="center"/>
                    <w:rPr>
                      <w:rFonts w:hint="eastAsia" w:ascii="Times New Roman" w:hAnsi="Times New Roman" w:eastAsia="宋体" w:cs="Times New Roman"/>
                      <w:color w:val="auto"/>
                      <w:szCs w:val="21"/>
                      <w:highlight w:val="none"/>
                    </w:rPr>
                  </w:pPr>
                  <w:r>
                    <w:rPr>
                      <w:rFonts w:hint="eastAsia" w:ascii="Times New Roman" w:hAnsi="Times New Roman" w:eastAsia="宋体" w:cs="Times New Roman"/>
                      <w:color w:val="auto"/>
                      <w:szCs w:val="21"/>
                      <w:highlight w:val="none"/>
                      <w:lang w:val="en-US" w:eastAsia="zh-CN" w:bidi="ar"/>
                    </w:rPr>
                    <w:t>0</w:t>
                  </w:r>
                </w:p>
              </w:tc>
              <w:tc>
                <w:tcPr>
                  <w:tcW w:w="417" w:type="pct"/>
                  <w:shd w:val="clear" w:color="auto" w:fill="auto"/>
                  <w:vAlign w:val="center"/>
                </w:tcPr>
                <w:p w14:paraId="3706B29E">
                  <w:pPr>
                    <w:keepNext w:val="0"/>
                    <w:keepLines w:val="0"/>
                    <w:suppressLineNumbers w:val="0"/>
                    <w:spacing w:before="0" w:beforeAutospacing="0" w:after="0" w:afterAutospacing="0"/>
                    <w:ind w:left="0" w:leftChars="0" w:right="0" w:rightChars="0"/>
                    <w:jc w:val="center"/>
                    <w:rPr>
                      <w:rFonts w:hint="eastAsia" w:ascii="Times New Roman" w:hAnsi="Times New Roman" w:eastAsia="宋体" w:cs="Times New Roman"/>
                      <w:color w:val="auto"/>
                      <w:szCs w:val="21"/>
                      <w:highlight w:val="none"/>
                    </w:rPr>
                  </w:pPr>
                  <w:r>
                    <w:rPr>
                      <w:rFonts w:hint="eastAsia" w:ascii="Times New Roman" w:hAnsi="Times New Roman" w:eastAsia="宋体" w:cs="Times New Roman"/>
                      <w:color w:val="auto"/>
                      <w:szCs w:val="21"/>
                      <w:highlight w:val="none"/>
                      <w:lang w:val="en-US" w:eastAsia="zh-CN" w:bidi="ar"/>
                    </w:rPr>
                    <w:t>0</w:t>
                  </w:r>
                </w:p>
              </w:tc>
              <w:tc>
                <w:tcPr>
                  <w:tcW w:w="592" w:type="pct"/>
                  <w:shd w:val="clear" w:color="auto" w:fill="auto"/>
                  <w:vAlign w:val="center"/>
                </w:tcPr>
                <w:p w14:paraId="6535831E">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kern w:val="2"/>
                      <w:sz w:val="21"/>
                      <w:szCs w:val="21"/>
                      <w:highlight w:val="none"/>
                      <w:lang w:val="en-US" w:eastAsia="zh-CN" w:bidi="ar-SA"/>
                    </w:rPr>
                  </w:pPr>
                  <w:r>
                    <w:rPr>
                      <w:rFonts w:hint="eastAsia" w:ascii="Times New Roman" w:hAnsi="Times New Roman" w:eastAsia="宋体" w:cs="Times New Roman"/>
                      <w:color w:val="auto"/>
                      <w:szCs w:val="21"/>
                      <w:highlight w:val="none"/>
                    </w:rPr>
                    <w:t>1</w:t>
                  </w:r>
                </w:p>
              </w:tc>
              <w:tc>
                <w:tcPr>
                  <w:tcW w:w="537" w:type="pct"/>
                  <w:shd w:val="clear" w:color="auto" w:fill="auto"/>
                  <w:vAlign w:val="center"/>
                </w:tcPr>
                <w:p w14:paraId="3D900D7A">
                  <w:pPr>
                    <w:keepNext w:val="0"/>
                    <w:keepLines w:val="0"/>
                    <w:suppressLineNumbers w:val="0"/>
                    <w:spacing w:before="0" w:beforeAutospacing="0" w:after="0" w:afterAutospacing="0"/>
                    <w:ind w:left="0" w:leftChars="0" w:right="0" w:rightChars="0"/>
                    <w:jc w:val="center"/>
                    <w:rPr>
                      <w:rFonts w:hint="eastAsia" w:ascii="Times New Roman" w:hAnsi="Times New Roman" w:eastAsia="宋体" w:cs="Times New Roman"/>
                      <w:color w:val="auto"/>
                      <w:kern w:val="2"/>
                      <w:sz w:val="21"/>
                      <w:szCs w:val="21"/>
                      <w:highlight w:val="none"/>
                      <w:lang w:val="en-US" w:eastAsia="zh-CN" w:bidi="ar-SA"/>
                    </w:rPr>
                  </w:pPr>
                  <w:r>
                    <w:rPr>
                      <w:rFonts w:hint="eastAsia" w:ascii="Times New Roman" w:hAnsi="Times New Roman" w:eastAsia="宋体" w:cs="Times New Roman"/>
                      <w:color w:val="auto"/>
                      <w:szCs w:val="21"/>
                      <w:highlight w:val="none"/>
                      <w:lang w:val="en-US" w:eastAsia="zh-CN"/>
                    </w:rPr>
                    <w:t>+</w:t>
                  </w:r>
                  <w:r>
                    <w:rPr>
                      <w:rFonts w:hint="eastAsia" w:ascii="Times New Roman" w:hAnsi="Times New Roman" w:eastAsia="宋体" w:cs="Times New Roman"/>
                      <w:color w:val="auto"/>
                      <w:szCs w:val="21"/>
                      <w:highlight w:val="none"/>
                    </w:rPr>
                    <w:t>1</w:t>
                  </w:r>
                </w:p>
              </w:tc>
              <w:tc>
                <w:tcPr>
                  <w:tcW w:w="211" w:type="pct"/>
                  <w:vMerge w:val="restart"/>
                  <w:shd w:val="clear" w:color="auto" w:fill="auto"/>
                  <w:vAlign w:val="center"/>
                </w:tcPr>
                <w:p w14:paraId="70243499">
                  <w:pPr>
                    <w:keepNext w:val="0"/>
                    <w:keepLines w:val="0"/>
                    <w:widowControl w:val="0"/>
                    <w:suppressLineNumbers w:val="0"/>
                    <w:spacing w:before="0" w:beforeAutospacing="0" w:after="0" w:afterAutospacing="0"/>
                    <w:ind w:left="0" w:leftChars="0" w:right="0" w:rightChars="0"/>
                    <w:jc w:val="center"/>
                    <w:rPr>
                      <w:rFonts w:hint="eastAsia" w:ascii="Times New Roman" w:hAnsi="Times New Roman" w:eastAsia="宋体" w:cs="Times New Roman"/>
                      <w:color w:val="auto"/>
                      <w:kern w:val="2"/>
                      <w:sz w:val="21"/>
                      <w:szCs w:val="21"/>
                      <w:highlight w:val="none"/>
                      <w:lang w:val="en-US" w:eastAsia="zh-CN" w:bidi="ar-SA"/>
                    </w:rPr>
                  </w:pPr>
                  <w:r>
                    <w:rPr>
                      <w:rFonts w:hint="eastAsia" w:ascii="Times New Roman" w:hAnsi="Times New Roman" w:eastAsia="宋体" w:cs="Times New Roman"/>
                      <w:b w:val="0"/>
                      <w:bCs w:val="0"/>
                      <w:color w:val="0000E1"/>
                      <w:szCs w:val="21"/>
                      <w:highlight w:val="none"/>
                      <w:lang w:val="en-US" w:eastAsia="zh-CN"/>
                    </w:rPr>
                    <w:t>本项目租赁2</w:t>
                  </w:r>
                  <w:r>
                    <w:rPr>
                      <w:rFonts w:hint="default" w:ascii="Times New Roman" w:hAnsi="Times New Roman" w:eastAsia="宋体" w:cs="Times New Roman"/>
                      <w:b w:val="0"/>
                      <w:bCs w:val="0"/>
                      <w:color w:val="0000E1"/>
                      <w:szCs w:val="21"/>
                      <w:highlight w:val="none"/>
                      <w:lang w:val="en-US" w:eastAsia="zh-CN"/>
                    </w:rPr>
                    <w:t>#</w:t>
                  </w:r>
                  <w:r>
                    <w:rPr>
                      <w:rFonts w:hint="default" w:ascii="Times New Roman" w:hAnsi="Times New Roman" w:eastAsia="宋体" w:cs="Times New Roman"/>
                      <w:b w:val="0"/>
                      <w:bCs w:val="0"/>
                      <w:color w:val="0000E1"/>
                      <w:szCs w:val="21"/>
                      <w:highlight w:val="none"/>
                    </w:rPr>
                    <w:t>厂房</w:t>
                  </w:r>
                </w:p>
              </w:tc>
              <w:tc>
                <w:tcPr>
                  <w:tcW w:w="325" w:type="pct"/>
                  <w:shd w:val="clear" w:color="auto" w:fill="auto"/>
                  <w:vAlign w:val="center"/>
                </w:tcPr>
                <w:p w14:paraId="1DAC9846">
                  <w:pPr>
                    <w:keepNext w:val="0"/>
                    <w:keepLines w:val="0"/>
                    <w:widowControl w:val="0"/>
                    <w:suppressLineNumbers w:val="0"/>
                    <w:spacing w:before="0" w:beforeAutospacing="0" w:after="0" w:afterAutospacing="0"/>
                    <w:ind w:left="0" w:leftChars="0" w:right="0" w:rightChars="0"/>
                    <w:jc w:val="center"/>
                    <w:rPr>
                      <w:rFonts w:hint="eastAsia" w:ascii="Times New Roman" w:hAnsi="Times New Roman" w:eastAsia="宋体" w:cs="Times New Roman"/>
                      <w:color w:val="auto"/>
                      <w:kern w:val="2"/>
                      <w:sz w:val="21"/>
                      <w:szCs w:val="21"/>
                      <w:highlight w:val="none"/>
                      <w:lang w:val="en-US" w:eastAsia="zh-CN" w:bidi="ar-SA"/>
                    </w:rPr>
                  </w:pPr>
                  <w:r>
                    <w:rPr>
                      <w:rFonts w:hint="eastAsia" w:ascii="Times New Roman" w:hAnsi="Times New Roman" w:cs="Times New Roman"/>
                      <w:color w:val="auto"/>
                      <w:kern w:val="2"/>
                      <w:sz w:val="21"/>
                      <w:szCs w:val="21"/>
                      <w:highlight w:val="none"/>
                      <w:lang w:val="en-US" w:eastAsia="zh-CN"/>
                    </w:rPr>
                    <w:t>1楼</w:t>
                  </w:r>
                </w:p>
              </w:tc>
              <w:tc>
                <w:tcPr>
                  <w:tcW w:w="320" w:type="pct"/>
                  <w:vAlign w:val="center"/>
                </w:tcPr>
                <w:p w14:paraId="6E10AD3E">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highlight w:val="none"/>
                    </w:rPr>
                  </w:pPr>
                  <w:r>
                    <w:rPr>
                      <w:rFonts w:hint="default" w:ascii="Times New Roman" w:hAnsi="Times New Roman" w:eastAsia="宋体" w:cs="Times New Roman"/>
                      <w:color w:val="auto"/>
                      <w:szCs w:val="21"/>
                      <w:highlight w:val="none"/>
                    </w:rPr>
                    <w:t>新增</w:t>
                  </w:r>
                </w:p>
              </w:tc>
            </w:tr>
            <w:tr w14:paraId="28DBFD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291" w:type="pct"/>
                  <w:shd w:val="clear" w:color="auto" w:fill="auto"/>
                  <w:vAlign w:val="center"/>
                </w:tcPr>
                <w:p w14:paraId="7D0E7C48">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color w:val="auto"/>
                      <w:szCs w:val="21"/>
                      <w:highlight w:val="none"/>
                    </w:rPr>
                    <w:t>2</w:t>
                  </w:r>
                </w:p>
              </w:tc>
              <w:tc>
                <w:tcPr>
                  <w:tcW w:w="394" w:type="pct"/>
                  <w:vMerge w:val="restart"/>
                  <w:vAlign w:val="center"/>
                </w:tcPr>
                <w:p w14:paraId="33927B8B">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highlight w:val="none"/>
                    </w:rPr>
                  </w:pPr>
                  <w:r>
                    <w:rPr>
                      <w:rFonts w:hint="default" w:ascii="Times New Roman" w:hAnsi="Times New Roman" w:eastAsia="宋体" w:cs="Times New Roman"/>
                      <w:color w:val="auto"/>
                      <w:szCs w:val="21"/>
                      <w:highlight w:val="none"/>
                    </w:rPr>
                    <w:t>压延涂布</w:t>
                  </w:r>
                </w:p>
              </w:tc>
              <w:tc>
                <w:tcPr>
                  <w:tcW w:w="660" w:type="pct"/>
                  <w:vAlign w:val="center"/>
                </w:tcPr>
                <w:p w14:paraId="61D14BB8">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highlight w:val="none"/>
                    </w:rPr>
                  </w:pPr>
                  <w:r>
                    <w:rPr>
                      <w:rFonts w:hint="default" w:ascii="Times New Roman" w:hAnsi="Times New Roman" w:eastAsia="宋体" w:cs="Times New Roman"/>
                      <w:color w:val="FF0000"/>
                      <w:sz w:val="21"/>
                      <w:szCs w:val="21"/>
                      <w:highlight w:val="none"/>
                    </w:rPr>
                    <w:t>双组份</w:t>
                  </w:r>
                  <w:r>
                    <w:rPr>
                      <w:rFonts w:hint="default" w:ascii="Times New Roman" w:hAnsi="Times New Roman" w:eastAsia="宋体" w:cs="Times New Roman"/>
                      <w:color w:val="FF0000"/>
                      <w:szCs w:val="21"/>
                      <w:highlight w:val="none"/>
                    </w:rPr>
                    <w:t>打胶机</w:t>
                  </w:r>
                  <w:r>
                    <w:rPr>
                      <w:rFonts w:hint="default"/>
                    </w:rPr>
                    <w:commentReference w:id="27"/>
                  </w:r>
                </w:p>
              </w:tc>
              <w:tc>
                <w:tcPr>
                  <w:tcW w:w="766" w:type="pct"/>
                  <w:vAlign w:val="center"/>
                </w:tcPr>
                <w:p w14:paraId="3552AB9C">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highlight w:val="none"/>
                    </w:rPr>
                  </w:pPr>
                  <w:r>
                    <w:rPr>
                      <w:rFonts w:hint="default" w:ascii="Times New Roman" w:hAnsi="Times New Roman" w:eastAsia="宋体" w:cs="Times New Roman"/>
                      <w:color w:val="auto"/>
                      <w:szCs w:val="21"/>
                      <w:highlight w:val="none"/>
                    </w:rPr>
                    <w:t>自制</w:t>
                  </w:r>
                </w:p>
              </w:tc>
              <w:tc>
                <w:tcPr>
                  <w:tcW w:w="483" w:type="pct"/>
                  <w:vAlign w:val="center"/>
                </w:tcPr>
                <w:p w14:paraId="0EB49BF9">
                  <w:pPr>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color w:val="auto"/>
                      <w:szCs w:val="21"/>
                      <w:highlight w:val="none"/>
                    </w:rPr>
                  </w:pPr>
                  <w:r>
                    <w:rPr>
                      <w:rFonts w:hint="eastAsia" w:ascii="Times New Roman" w:hAnsi="Times New Roman" w:eastAsia="宋体" w:cs="Times New Roman"/>
                      <w:color w:val="auto"/>
                      <w:szCs w:val="21"/>
                      <w:highlight w:val="none"/>
                      <w:lang w:val="en-US" w:eastAsia="zh-CN" w:bidi="ar"/>
                    </w:rPr>
                    <w:t>0</w:t>
                  </w:r>
                </w:p>
              </w:tc>
              <w:tc>
                <w:tcPr>
                  <w:tcW w:w="417" w:type="pct"/>
                  <w:vAlign w:val="center"/>
                </w:tcPr>
                <w:p w14:paraId="3AC7350B">
                  <w:pPr>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color w:val="auto"/>
                      <w:szCs w:val="21"/>
                      <w:highlight w:val="none"/>
                    </w:rPr>
                  </w:pPr>
                  <w:r>
                    <w:rPr>
                      <w:rFonts w:hint="eastAsia" w:ascii="Times New Roman" w:hAnsi="Times New Roman" w:eastAsia="宋体" w:cs="Times New Roman"/>
                      <w:color w:val="auto"/>
                      <w:szCs w:val="21"/>
                      <w:highlight w:val="none"/>
                      <w:lang w:val="en-US" w:eastAsia="zh-CN" w:bidi="ar"/>
                    </w:rPr>
                    <w:t>0</w:t>
                  </w:r>
                </w:p>
              </w:tc>
              <w:tc>
                <w:tcPr>
                  <w:tcW w:w="592" w:type="pct"/>
                  <w:vAlign w:val="center"/>
                </w:tcPr>
                <w:p w14:paraId="3F8E4A60">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highlight w:val="none"/>
                    </w:rPr>
                  </w:pPr>
                  <w:r>
                    <w:rPr>
                      <w:rFonts w:hint="default" w:ascii="Times New Roman" w:hAnsi="Times New Roman" w:eastAsia="宋体" w:cs="Times New Roman"/>
                      <w:color w:val="auto"/>
                      <w:szCs w:val="21"/>
                      <w:highlight w:val="none"/>
                    </w:rPr>
                    <w:t>5</w:t>
                  </w:r>
                </w:p>
              </w:tc>
              <w:tc>
                <w:tcPr>
                  <w:tcW w:w="537" w:type="pct"/>
                  <w:shd w:val="clear" w:color="auto" w:fill="auto"/>
                  <w:vAlign w:val="center"/>
                </w:tcPr>
                <w:p w14:paraId="4F96F368">
                  <w:pPr>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color w:val="auto"/>
                      <w:kern w:val="2"/>
                      <w:sz w:val="21"/>
                      <w:szCs w:val="21"/>
                      <w:highlight w:val="none"/>
                      <w:lang w:val="en-US" w:eastAsia="zh-CN" w:bidi="ar-SA"/>
                    </w:rPr>
                  </w:pPr>
                  <w:r>
                    <w:rPr>
                      <w:rFonts w:hint="eastAsia" w:ascii="Times New Roman" w:hAnsi="Times New Roman" w:eastAsia="宋体" w:cs="Times New Roman"/>
                      <w:color w:val="auto"/>
                      <w:szCs w:val="21"/>
                      <w:highlight w:val="none"/>
                      <w:lang w:val="en-US" w:eastAsia="zh-CN"/>
                    </w:rPr>
                    <w:t>+</w:t>
                  </w:r>
                  <w:r>
                    <w:rPr>
                      <w:rFonts w:hint="default" w:ascii="Times New Roman" w:hAnsi="Times New Roman" w:eastAsia="宋体" w:cs="Times New Roman"/>
                      <w:color w:val="auto"/>
                      <w:szCs w:val="21"/>
                      <w:highlight w:val="none"/>
                    </w:rPr>
                    <w:t>5</w:t>
                  </w:r>
                </w:p>
              </w:tc>
              <w:tc>
                <w:tcPr>
                  <w:tcW w:w="211" w:type="pct"/>
                  <w:vMerge w:val="continue"/>
                  <w:shd w:val="clear" w:color="auto" w:fill="auto"/>
                  <w:vAlign w:val="center"/>
                </w:tcPr>
                <w:p w14:paraId="7FB4CEA1">
                  <w:pPr>
                    <w:keepNext w:val="0"/>
                    <w:keepLines w:val="0"/>
                    <w:widowControl w:val="0"/>
                    <w:suppressLineNumbers w:val="0"/>
                    <w:spacing w:before="0" w:beforeAutospacing="0" w:after="0" w:afterAutospacing="0"/>
                    <w:ind w:left="0" w:leftChars="0" w:right="0" w:rightChars="0"/>
                    <w:jc w:val="center"/>
                    <w:rPr>
                      <w:rFonts w:hint="default" w:ascii="Times New Roman" w:hAnsi="Times New Roman" w:eastAsia="宋体" w:cs="Times New Roman"/>
                      <w:color w:val="auto"/>
                      <w:kern w:val="2"/>
                      <w:sz w:val="21"/>
                      <w:szCs w:val="21"/>
                      <w:highlight w:val="none"/>
                      <w:lang w:val="en-US" w:eastAsia="zh-CN" w:bidi="ar-SA"/>
                    </w:rPr>
                  </w:pPr>
                </w:p>
              </w:tc>
              <w:tc>
                <w:tcPr>
                  <w:tcW w:w="325" w:type="pct"/>
                  <w:shd w:val="clear" w:color="auto" w:fill="auto"/>
                  <w:vAlign w:val="center"/>
                </w:tcPr>
                <w:p w14:paraId="1C705BC7">
                  <w:pPr>
                    <w:keepNext w:val="0"/>
                    <w:keepLines w:val="0"/>
                    <w:widowControl w:val="0"/>
                    <w:suppressLineNumbers w:val="0"/>
                    <w:spacing w:before="0" w:beforeAutospacing="0" w:after="0" w:afterAutospacing="0"/>
                    <w:ind w:left="0" w:leftChars="0" w:right="0" w:rightChars="0"/>
                    <w:jc w:val="center"/>
                    <w:rPr>
                      <w:rFonts w:hint="eastAsia" w:ascii="Times New Roman" w:hAnsi="Times New Roman" w:eastAsia="宋体" w:cs="Times New Roman"/>
                      <w:color w:val="auto"/>
                      <w:kern w:val="2"/>
                      <w:sz w:val="21"/>
                      <w:szCs w:val="21"/>
                      <w:highlight w:val="none"/>
                      <w:lang w:val="en-US" w:eastAsia="zh-CN" w:bidi="ar-SA"/>
                    </w:rPr>
                  </w:pPr>
                  <w:r>
                    <w:rPr>
                      <w:rFonts w:hint="eastAsia" w:ascii="Times New Roman" w:hAnsi="Times New Roman" w:cs="Times New Roman"/>
                      <w:color w:val="auto"/>
                      <w:kern w:val="2"/>
                      <w:sz w:val="21"/>
                      <w:szCs w:val="21"/>
                      <w:highlight w:val="none"/>
                      <w:lang w:val="en-US" w:eastAsia="zh-CN"/>
                    </w:rPr>
                    <w:t>1楼</w:t>
                  </w:r>
                </w:p>
              </w:tc>
              <w:tc>
                <w:tcPr>
                  <w:tcW w:w="320" w:type="pct"/>
                  <w:vAlign w:val="center"/>
                </w:tcPr>
                <w:p w14:paraId="50C82263">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highlight w:val="none"/>
                    </w:rPr>
                  </w:pPr>
                  <w:r>
                    <w:rPr>
                      <w:rFonts w:hint="default" w:ascii="Times New Roman" w:hAnsi="Times New Roman" w:eastAsia="宋体" w:cs="Times New Roman"/>
                      <w:color w:val="auto"/>
                      <w:szCs w:val="21"/>
                      <w:highlight w:val="none"/>
                    </w:rPr>
                    <w:t>新增</w:t>
                  </w:r>
                </w:p>
              </w:tc>
            </w:tr>
            <w:tr w14:paraId="163779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291" w:type="pct"/>
                  <w:shd w:val="clear" w:color="auto" w:fill="auto"/>
                  <w:vAlign w:val="center"/>
                </w:tcPr>
                <w:p w14:paraId="1AA50A34">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color w:val="auto"/>
                      <w:szCs w:val="21"/>
                      <w:highlight w:val="none"/>
                    </w:rPr>
                    <w:t>3</w:t>
                  </w:r>
                </w:p>
              </w:tc>
              <w:tc>
                <w:tcPr>
                  <w:tcW w:w="394" w:type="pct"/>
                  <w:vMerge w:val="continue"/>
                  <w:vAlign w:val="center"/>
                </w:tcPr>
                <w:p w14:paraId="4885271C">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highlight w:val="none"/>
                    </w:rPr>
                  </w:pPr>
                </w:p>
              </w:tc>
              <w:tc>
                <w:tcPr>
                  <w:tcW w:w="660" w:type="pct"/>
                  <w:vAlign w:val="center"/>
                </w:tcPr>
                <w:p w14:paraId="373A3C2F">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highlight w:val="none"/>
                    </w:rPr>
                  </w:pPr>
                  <w:r>
                    <w:rPr>
                      <w:rFonts w:hint="default" w:ascii="Times New Roman" w:hAnsi="Times New Roman" w:eastAsia="宋体" w:cs="Times New Roman"/>
                      <w:color w:val="FF0000"/>
                      <w:szCs w:val="21"/>
                      <w:highlight w:val="none"/>
                    </w:rPr>
                    <w:t>双组份压料机</w:t>
                  </w:r>
                </w:p>
              </w:tc>
              <w:tc>
                <w:tcPr>
                  <w:tcW w:w="766" w:type="pct"/>
                  <w:vAlign w:val="center"/>
                </w:tcPr>
                <w:p w14:paraId="502396D6">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highlight w:val="none"/>
                    </w:rPr>
                  </w:pPr>
                  <w:r>
                    <w:rPr>
                      <w:rFonts w:hint="default" w:ascii="Times New Roman" w:hAnsi="Times New Roman" w:eastAsia="宋体" w:cs="Times New Roman"/>
                      <w:color w:val="auto"/>
                      <w:szCs w:val="21"/>
                      <w:highlight w:val="none"/>
                    </w:rPr>
                    <w:t>TJ-200</w:t>
                  </w:r>
                </w:p>
              </w:tc>
              <w:tc>
                <w:tcPr>
                  <w:tcW w:w="483" w:type="pct"/>
                  <w:vAlign w:val="center"/>
                </w:tcPr>
                <w:p w14:paraId="06190703">
                  <w:pPr>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color w:val="auto"/>
                      <w:szCs w:val="21"/>
                      <w:highlight w:val="none"/>
                    </w:rPr>
                  </w:pPr>
                  <w:r>
                    <w:rPr>
                      <w:rFonts w:hint="eastAsia" w:ascii="Times New Roman" w:hAnsi="Times New Roman" w:eastAsia="宋体" w:cs="Times New Roman"/>
                      <w:color w:val="auto"/>
                      <w:szCs w:val="21"/>
                      <w:highlight w:val="none"/>
                      <w:lang w:val="en-US" w:eastAsia="zh-CN" w:bidi="ar"/>
                    </w:rPr>
                    <w:t>0</w:t>
                  </w:r>
                </w:p>
              </w:tc>
              <w:tc>
                <w:tcPr>
                  <w:tcW w:w="417" w:type="pct"/>
                  <w:vAlign w:val="center"/>
                </w:tcPr>
                <w:p w14:paraId="30F08363">
                  <w:pPr>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color w:val="auto"/>
                      <w:szCs w:val="21"/>
                      <w:highlight w:val="none"/>
                    </w:rPr>
                  </w:pPr>
                  <w:r>
                    <w:rPr>
                      <w:rFonts w:hint="eastAsia" w:ascii="Times New Roman" w:hAnsi="Times New Roman" w:eastAsia="宋体" w:cs="Times New Roman"/>
                      <w:color w:val="auto"/>
                      <w:szCs w:val="21"/>
                      <w:highlight w:val="none"/>
                      <w:lang w:val="en-US" w:eastAsia="zh-CN" w:bidi="ar"/>
                    </w:rPr>
                    <w:t>0</w:t>
                  </w:r>
                </w:p>
              </w:tc>
              <w:tc>
                <w:tcPr>
                  <w:tcW w:w="592" w:type="pct"/>
                  <w:vAlign w:val="center"/>
                </w:tcPr>
                <w:p w14:paraId="005E7FB0">
                  <w:pPr>
                    <w:keepNext w:val="0"/>
                    <w:keepLines w:val="0"/>
                    <w:suppressLineNumbers w:val="0"/>
                    <w:spacing w:before="0" w:beforeAutospacing="0" w:after="0" w:afterAutospacing="0"/>
                    <w:ind w:left="0" w:right="0"/>
                    <w:jc w:val="center"/>
                    <w:rPr>
                      <w:rFonts w:hint="eastAsia" w:ascii="Times New Roman" w:hAnsi="Times New Roman" w:eastAsia="宋体" w:cs="Times New Roman"/>
                      <w:color w:val="auto"/>
                      <w:szCs w:val="21"/>
                      <w:highlight w:val="none"/>
                    </w:rPr>
                  </w:pPr>
                  <w:r>
                    <w:rPr>
                      <w:rFonts w:hint="eastAsia" w:ascii="Times New Roman" w:hAnsi="Times New Roman" w:eastAsia="宋体" w:cs="Times New Roman"/>
                      <w:color w:val="auto"/>
                      <w:szCs w:val="21"/>
                      <w:highlight w:val="none"/>
                    </w:rPr>
                    <w:t>15</w:t>
                  </w:r>
                </w:p>
              </w:tc>
              <w:tc>
                <w:tcPr>
                  <w:tcW w:w="537" w:type="pct"/>
                  <w:shd w:val="clear" w:color="auto" w:fill="auto"/>
                  <w:vAlign w:val="center"/>
                </w:tcPr>
                <w:p w14:paraId="1BA9F8F9">
                  <w:pPr>
                    <w:keepNext w:val="0"/>
                    <w:keepLines w:val="0"/>
                    <w:suppressLineNumbers w:val="0"/>
                    <w:spacing w:before="0" w:beforeAutospacing="0" w:after="0" w:afterAutospacing="0"/>
                    <w:ind w:left="0" w:leftChars="0" w:right="0" w:rightChars="0"/>
                    <w:jc w:val="center"/>
                    <w:rPr>
                      <w:rFonts w:hint="eastAsia" w:ascii="Times New Roman" w:hAnsi="Times New Roman" w:eastAsia="宋体" w:cs="Times New Roman"/>
                      <w:color w:val="auto"/>
                      <w:kern w:val="2"/>
                      <w:sz w:val="21"/>
                      <w:szCs w:val="21"/>
                      <w:highlight w:val="none"/>
                      <w:lang w:val="en-US" w:eastAsia="zh-CN" w:bidi="ar-SA"/>
                    </w:rPr>
                  </w:pPr>
                  <w:r>
                    <w:rPr>
                      <w:rFonts w:hint="eastAsia" w:ascii="Times New Roman" w:hAnsi="Times New Roman" w:eastAsia="宋体" w:cs="Times New Roman"/>
                      <w:color w:val="auto"/>
                      <w:szCs w:val="21"/>
                      <w:highlight w:val="none"/>
                      <w:lang w:val="en-US" w:eastAsia="zh-CN"/>
                    </w:rPr>
                    <w:t>+</w:t>
                  </w:r>
                  <w:r>
                    <w:rPr>
                      <w:rFonts w:hint="eastAsia" w:ascii="Times New Roman" w:hAnsi="Times New Roman" w:eastAsia="宋体" w:cs="Times New Roman"/>
                      <w:color w:val="auto"/>
                      <w:szCs w:val="21"/>
                      <w:highlight w:val="none"/>
                    </w:rPr>
                    <w:t>15</w:t>
                  </w:r>
                </w:p>
              </w:tc>
              <w:tc>
                <w:tcPr>
                  <w:tcW w:w="211" w:type="pct"/>
                  <w:vMerge w:val="continue"/>
                  <w:shd w:val="clear" w:color="auto" w:fill="auto"/>
                  <w:vAlign w:val="center"/>
                </w:tcPr>
                <w:p w14:paraId="787ED0BD">
                  <w:pPr>
                    <w:keepNext w:val="0"/>
                    <w:keepLines w:val="0"/>
                    <w:widowControl w:val="0"/>
                    <w:suppressLineNumbers w:val="0"/>
                    <w:spacing w:before="0" w:beforeAutospacing="0" w:after="0" w:afterAutospacing="0"/>
                    <w:ind w:left="0" w:leftChars="0" w:right="0" w:rightChars="0"/>
                    <w:jc w:val="center"/>
                    <w:rPr>
                      <w:rFonts w:hint="eastAsia" w:ascii="Times New Roman" w:hAnsi="Times New Roman" w:eastAsia="宋体" w:cs="Times New Roman"/>
                      <w:color w:val="auto"/>
                      <w:kern w:val="2"/>
                      <w:sz w:val="21"/>
                      <w:szCs w:val="21"/>
                      <w:highlight w:val="none"/>
                      <w:lang w:val="en-US" w:eastAsia="zh-CN" w:bidi="ar-SA"/>
                    </w:rPr>
                  </w:pPr>
                </w:p>
              </w:tc>
              <w:tc>
                <w:tcPr>
                  <w:tcW w:w="325" w:type="pct"/>
                  <w:shd w:val="clear" w:color="auto" w:fill="auto"/>
                  <w:vAlign w:val="center"/>
                </w:tcPr>
                <w:p w14:paraId="6E01B59D">
                  <w:pPr>
                    <w:keepNext w:val="0"/>
                    <w:keepLines w:val="0"/>
                    <w:widowControl w:val="0"/>
                    <w:suppressLineNumbers w:val="0"/>
                    <w:spacing w:before="0" w:beforeAutospacing="0" w:after="0" w:afterAutospacing="0"/>
                    <w:ind w:left="0" w:leftChars="0" w:right="0" w:rightChars="0"/>
                    <w:jc w:val="center"/>
                    <w:rPr>
                      <w:rFonts w:hint="eastAsia" w:ascii="Times New Roman" w:hAnsi="Times New Roman" w:eastAsia="宋体" w:cs="Times New Roman"/>
                      <w:color w:val="auto"/>
                      <w:kern w:val="2"/>
                      <w:sz w:val="21"/>
                      <w:szCs w:val="21"/>
                      <w:highlight w:val="none"/>
                      <w:lang w:val="en-US" w:eastAsia="zh-CN" w:bidi="ar-SA"/>
                    </w:rPr>
                  </w:pPr>
                  <w:r>
                    <w:rPr>
                      <w:rFonts w:hint="eastAsia" w:ascii="Times New Roman" w:hAnsi="Times New Roman" w:cs="Times New Roman"/>
                      <w:color w:val="auto"/>
                      <w:kern w:val="2"/>
                      <w:sz w:val="21"/>
                      <w:szCs w:val="21"/>
                      <w:highlight w:val="none"/>
                      <w:lang w:val="en-US" w:eastAsia="zh-CN"/>
                    </w:rPr>
                    <w:t>1楼</w:t>
                  </w:r>
                </w:p>
              </w:tc>
              <w:tc>
                <w:tcPr>
                  <w:tcW w:w="320" w:type="pct"/>
                  <w:vAlign w:val="center"/>
                </w:tcPr>
                <w:p w14:paraId="445544A6">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highlight w:val="none"/>
                    </w:rPr>
                  </w:pPr>
                  <w:r>
                    <w:rPr>
                      <w:rFonts w:hint="default" w:ascii="Times New Roman" w:hAnsi="Times New Roman" w:eastAsia="宋体" w:cs="Times New Roman"/>
                      <w:color w:val="auto"/>
                      <w:szCs w:val="21"/>
                      <w:highlight w:val="none"/>
                    </w:rPr>
                    <w:t>新增</w:t>
                  </w:r>
                </w:p>
              </w:tc>
            </w:tr>
            <w:tr w14:paraId="72E818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291" w:type="pct"/>
                  <w:shd w:val="clear" w:color="auto" w:fill="auto"/>
                  <w:vAlign w:val="center"/>
                </w:tcPr>
                <w:p w14:paraId="69412DB6">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color w:val="auto"/>
                      <w:szCs w:val="21"/>
                      <w:highlight w:val="none"/>
                    </w:rPr>
                    <w:t>4</w:t>
                  </w:r>
                </w:p>
              </w:tc>
              <w:tc>
                <w:tcPr>
                  <w:tcW w:w="394" w:type="pct"/>
                  <w:vMerge w:val="continue"/>
                  <w:vAlign w:val="center"/>
                </w:tcPr>
                <w:p w14:paraId="0483895F">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highlight w:val="none"/>
                    </w:rPr>
                  </w:pPr>
                </w:p>
              </w:tc>
              <w:tc>
                <w:tcPr>
                  <w:tcW w:w="660" w:type="pct"/>
                  <w:vAlign w:val="center"/>
                </w:tcPr>
                <w:p w14:paraId="4539A45A">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highlight w:val="none"/>
                    </w:rPr>
                  </w:pPr>
                  <w:r>
                    <w:rPr>
                      <w:rFonts w:hint="default" w:ascii="Times New Roman" w:hAnsi="Times New Roman" w:eastAsia="宋体" w:cs="Times New Roman"/>
                      <w:color w:val="auto"/>
                      <w:szCs w:val="21"/>
                      <w:highlight w:val="none"/>
                    </w:rPr>
                    <w:t>压延涂布机</w:t>
                  </w:r>
                </w:p>
              </w:tc>
              <w:tc>
                <w:tcPr>
                  <w:tcW w:w="766" w:type="pct"/>
                  <w:vAlign w:val="center"/>
                </w:tcPr>
                <w:p w14:paraId="4F62FC4B">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highlight w:val="none"/>
                    </w:rPr>
                  </w:pPr>
                  <w:r>
                    <w:rPr>
                      <w:rFonts w:hint="default" w:ascii="Times New Roman" w:hAnsi="Times New Roman" w:eastAsia="宋体" w:cs="Times New Roman"/>
                      <w:color w:val="auto"/>
                      <w:szCs w:val="21"/>
                      <w:highlight w:val="none"/>
                    </w:rPr>
                    <w:t>1450-M</w:t>
                  </w:r>
                </w:p>
              </w:tc>
              <w:tc>
                <w:tcPr>
                  <w:tcW w:w="483" w:type="pct"/>
                  <w:vAlign w:val="center"/>
                </w:tcPr>
                <w:p w14:paraId="614033D9">
                  <w:pPr>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color w:val="auto"/>
                      <w:szCs w:val="21"/>
                      <w:highlight w:val="none"/>
                    </w:rPr>
                  </w:pPr>
                  <w:r>
                    <w:rPr>
                      <w:rFonts w:hint="eastAsia" w:ascii="Times New Roman" w:hAnsi="Times New Roman" w:eastAsia="宋体" w:cs="Times New Roman"/>
                      <w:color w:val="auto"/>
                      <w:szCs w:val="21"/>
                      <w:highlight w:val="none"/>
                      <w:lang w:val="en-US" w:eastAsia="zh-CN" w:bidi="ar"/>
                    </w:rPr>
                    <w:t>0</w:t>
                  </w:r>
                </w:p>
              </w:tc>
              <w:tc>
                <w:tcPr>
                  <w:tcW w:w="417" w:type="pct"/>
                  <w:vAlign w:val="center"/>
                </w:tcPr>
                <w:p w14:paraId="3AE4B927">
                  <w:pPr>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color w:val="auto"/>
                      <w:szCs w:val="21"/>
                      <w:highlight w:val="none"/>
                    </w:rPr>
                  </w:pPr>
                  <w:r>
                    <w:rPr>
                      <w:rFonts w:hint="eastAsia" w:ascii="Times New Roman" w:hAnsi="Times New Roman" w:eastAsia="宋体" w:cs="Times New Roman"/>
                      <w:color w:val="auto"/>
                      <w:szCs w:val="21"/>
                      <w:highlight w:val="none"/>
                      <w:lang w:val="en-US" w:eastAsia="zh-CN" w:bidi="ar"/>
                    </w:rPr>
                    <w:t>0</w:t>
                  </w:r>
                </w:p>
              </w:tc>
              <w:tc>
                <w:tcPr>
                  <w:tcW w:w="592" w:type="pct"/>
                  <w:vAlign w:val="center"/>
                </w:tcPr>
                <w:p w14:paraId="23759CCB">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highlight w:val="none"/>
                    </w:rPr>
                  </w:pPr>
                  <w:r>
                    <w:rPr>
                      <w:rFonts w:hint="default" w:ascii="Times New Roman" w:hAnsi="Times New Roman" w:eastAsia="宋体" w:cs="Times New Roman"/>
                      <w:color w:val="auto"/>
                      <w:szCs w:val="21"/>
                      <w:highlight w:val="none"/>
                    </w:rPr>
                    <w:t>5</w:t>
                  </w:r>
                </w:p>
              </w:tc>
              <w:tc>
                <w:tcPr>
                  <w:tcW w:w="537" w:type="pct"/>
                  <w:shd w:val="clear" w:color="auto" w:fill="auto"/>
                  <w:vAlign w:val="center"/>
                </w:tcPr>
                <w:p w14:paraId="06ECADCC">
                  <w:pPr>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color w:val="auto"/>
                      <w:kern w:val="2"/>
                      <w:sz w:val="21"/>
                      <w:szCs w:val="21"/>
                      <w:highlight w:val="none"/>
                      <w:lang w:val="en-US" w:eastAsia="zh-CN" w:bidi="ar-SA"/>
                    </w:rPr>
                  </w:pPr>
                  <w:r>
                    <w:rPr>
                      <w:rFonts w:hint="eastAsia" w:ascii="Times New Roman" w:hAnsi="Times New Roman" w:eastAsia="宋体" w:cs="Times New Roman"/>
                      <w:color w:val="auto"/>
                      <w:szCs w:val="21"/>
                      <w:highlight w:val="none"/>
                      <w:lang w:val="en-US" w:eastAsia="zh-CN"/>
                    </w:rPr>
                    <w:t>+</w:t>
                  </w:r>
                  <w:r>
                    <w:rPr>
                      <w:rFonts w:hint="default" w:ascii="Times New Roman" w:hAnsi="Times New Roman" w:eastAsia="宋体" w:cs="Times New Roman"/>
                      <w:color w:val="auto"/>
                      <w:szCs w:val="21"/>
                      <w:highlight w:val="none"/>
                    </w:rPr>
                    <w:t>5</w:t>
                  </w:r>
                </w:p>
              </w:tc>
              <w:tc>
                <w:tcPr>
                  <w:tcW w:w="211" w:type="pct"/>
                  <w:vMerge w:val="continue"/>
                  <w:shd w:val="clear" w:color="auto" w:fill="auto"/>
                  <w:vAlign w:val="center"/>
                </w:tcPr>
                <w:p w14:paraId="28B8A38E">
                  <w:pPr>
                    <w:keepNext w:val="0"/>
                    <w:keepLines w:val="0"/>
                    <w:widowControl w:val="0"/>
                    <w:suppressLineNumbers w:val="0"/>
                    <w:spacing w:before="0" w:beforeAutospacing="0" w:after="0" w:afterAutospacing="0"/>
                    <w:ind w:left="0" w:leftChars="0" w:right="0" w:rightChars="0"/>
                    <w:jc w:val="center"/>
                    <w:rPr>
                      <w:rFonts w:hint="default" w:ascii="Times New Roman" w:hAnsi="Times New Roman" w:eastAsia="宋体" w:cs="Times New Roman"/>
                      <w:color w:val="auto"/>
                      <w:kern w:val="2"/>
                      <w:sz w:val="21"/>
                      <w:szCs w:val="21"/>
                      <w:highlight w:val="none"/>
                      <w:lang w:val="en-US" w:eastAsia="zh-CN" w:bidi="ar-SA"/>
                    </w:rPr>
                  </w:pPr>
                </w:p>
              </w:tc>
              <w:tc>
                <w:tcPr>
                  <w:tcW w:w="325" w:type="pct"/>
                  <w:shd w:val="clear" w:color="auto" w:fill="auto"/>
                  <w:vAlign w:val="center"/>
                </w:tcPr>
                <w:p w14:paraId="0C9F64EA">
                  <w:pPr>
                    <w:keepNext w:val="0"/>
                    <w:keepLines w:val="0"/>
                    <w:widowControl w:val="0"/>
                    <w:suppressLineNumbers w:val="0"/>
                    <w:spacing w:before="0" w:beforeAutospacing="0" w:after="0" w:afterAutospacing="0"/>
                    <w:ind w:left="0" w:leftChars="0" w:right="0" w:rightChars="0"/>
                    <w:jc w:val="center"/>
                    <w:rPr>
                      <w:rFonts w:hint="eastAsia" w:ascii="Times New Roman" w:hAnsi="Times New Roman" w:eastAsia="宋体" w:cs="Times New Roman"/>
                      <w:color w:val="auto"/>
                      <w:kern w:val="2"/>
                      <w:sz w:val="21"/>
                      <w:szCs w:val="21"/>
                      <w:highlight w:val="none"/>
                      <w:lang w:val="en-US" w:eastAsia="zh-CN" w:bidi="ar-SA"/>
                    </w:rPr>
                  </w:pPr>
                  <w:r>
                    <w:rPr>
                      <w:rFonts w:hint="eastAsia" w:ascii="Times New Roman" w:hAnsi="Times New Roman" w:cs="Times New Roman"/>
                      <w:color w:val="auto"/>
                      <w:kern w:val="2"/>
                      <w:sz w:val="21"/>
                      <w:szCs w:val="21"/>
                      <w:highlight w:val="none"/>
                      <w:lang w:val="en-US" w:eastAsia="zh-CN"/>
                    </w:rPr>
                    <w:t>1楼</w:t>
                  </w:r>
                </w:p>
              </w:tc>
              <w:tc>
                <w:tcPr>
                  <w:tcW w:w="320" w:type="pct"/>
                  <w:vAlign w:val="center"/>
                </w:tcPr>
                <w:p w14:paraId="720CDF86">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highlight w:val="none"/>
                    </w:rPr>
                  </w:pPr>
                  <w:r>
                    <w:rPr>
                      <w:rFonts w:hint="default" w:ascii="Times New Roman" w:hAnsi="Times New Roman" w:eastAsia="宋体" w:cs="Times New Roman"/>
                      <w:color w:val="auto"/>
                      <w:szCs w:val="21"/>
                      <w:highlight w:val="none"/>
                    </w:rPr>
                    <w:t>新增</w:t>
                  </w:r>
                </w:p>
              </w:tc>
            </w:tr>
            <w:tr w14:paraId="0F31F1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291" w:type="pct"/>
                  <w:shd w:val="clear" w:color="auto" w:fill="auto"/>
                  <w:vAlign w:val="center"/>
                </w:tcPr>
                <w:p w14:paraId="4CFA4A12">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color w:val="auto"/>
                      <w:szCs w:val="21"/>
                      <w:highlight w:val="none"/>
                    </w:rPr>
                    <w:t>5</w:t>
                  </w:r>
                </w:p>
              </w:tc>
              <w:tc>
                <w:tcPr>
                  <w:tcW w:w="394" w:type="pct"/>
                  <w:vAlign w:val="center"/>
                </w:tcPr>
                <w:p w14:paraId="38F8829C">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highlight w:val="none"/>
                    </w:rPr>
                  </w:pPr>
                  <w:r>
                    <w:rPr>
                      <w:rFonts w:hint="default" w:ascii="Times New Roman" w:hAnsi="Times New Roman" w:eastAsia="宋体" w:cs="Times New Roman"/>
                      <w:color w:val="auto"/>
                      <w:szCs w:val="21"/>
                      <w:highlight w:val="none"/>
                    </w:rPr>
                    <w:t>压延涂布、烘烤固化</w:t>
                  </w:r>
                </w:p>
              </w:tc>
              <w:tc>
                <w:tcPr>
                  <w:tcW w:w="660" w:type="pct"/>
                  <w:vAlign w:val="center"/>
                </w:tcPr>
                <w:p w14:paraId="30B76DFE">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highlight w:val="none"/>
                    </w:rPr>
                  </w:pPr>
                  <w:r>
                    <w:rPr>
                      <w:rFonts w:hint="default" w:ascii="Times New Roman" w:hAnsi="Times New Roman" w:eastAsia="宋体" w:cs="Times New Roman"/>
                      <w:color w:val="auto"/>
                      <w:szCs w:val="21"/>
                      <w:highlight w:val="none"/>
                    </w:rPr>
                    <w:t>1450立式（浸涂）涂布生产线</w:t>
                  </w:r>
                </w:p>
              </w:tc>
              <w:tc>
                <w:tcPr>
                  <w:tcW w:w="766" w:type="pct"/>
                  <w:vAlign w:val="center"/>
                </w:tcPr>
                <w:p w14:paraId="08038284">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highlight w:val="none"/>
                    </w:rPr>
                  </w:pPr>
                  <w:r>
                    <w:rPr>
                      <w:rFonts w:hint="default" w:ascii="Times New Roman" w:hAnsi="Times New Roman" w:eastAsia="宋体" w:cs="Times New Roman"/>
                      <w:color w:val="auto"/>
                      <w:szCs w:val="21"/>
                      <w:highlight w:val="none"/>
                    </w:rPr>
                    <w:t>1450</w:t>
                  </w:r>
                </w:p>
              </w:tc>
              <w:tc>
                <w:tcPr>
                  <w:tcW w:w="483" w:type="pct"/>
                  <w:vAlign w:val="center"/>
                </w:tcPr>
                <w:p w14:paraId="725B5D2C">
                  <w:pPr>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color w:val="auto"/>
                      <w:szCs w:val="21"/>
                      <w:highlight w:val="none"/>
                    </w:rPr>
                  </w:pPr>
                  <w:r>
                    <w:rPr>
                      <w:rFonts w:hint="eastAsia" w:ascii="Times New Roman" w:hAnsi="Times New Roman" w:eastAsia="宋体" w:cs="Times New Roman"/>
                      <w:color w:val="auto"/>
                      <w:szCs w:val="21"/>
                      <w:highlight w:val="none"/>
                      <w:lang w:val="en-US" w:eastAsia="zh-CN" w:bidi="ar"/>
                    </w:rPr>
                    <w:t>0</w:t>
                  </w:r>
                </w:p>
              </w:tc>
              <w:tc>
                <w:tcPr>
                  <w:tcW w:w="417" w:type="pct"/>
                  <w:vAlign w:val="center"/>
                </w:tcPr>
                <w:p w14:paraId="1EAEB66E">
                  <w:pPr>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color w:val="auto"/>
                      <w:szCs w:val="21"/>
                      <w:highlight w:val="none"/>
                    </w:rPr>
                  </w:pPr>
                  <w:r>
                    <w:rPr>
                      <w:rFonts w:hint="eastAsia" w:ascii="Times New Roman" w:hAnsi="Times New Roman" w:eastAsia="宋体" w:cs="Times New Roman"/>
                      <w:color w:val="auto"/>
                      <w:szCs w:val="21"/>
                      <w:highlight w:val="none"/>
                      <w:lang w:val="en-US" w:eastAsia="zh-CN" w:bidi="ar"/>
                    </w:rPr>
                    <w:t>0</w:t>
                  </w:r>
                </w:p>
              </w:tc>
              <w:tc>
                <w:tcPr>
                  <w:tcW w:w="592" w:type="pct"/>
                  <w:vAlign w:val="center"/>
                </w:tcPr>
                <w:p w14:paraId="09B2C23F">
                  <w:pPr>
                    <w:keepNext w:val="0"/>
                    <w:keepLines w:val="0"/>
                    <w:suppressLineNumbers w:val="0"/>
                    <w:spacing w:before="0" w:beforeAutospacing="0" w:after="0" w:afterAutospacing="0"/>
                    <w:ind w:left="0" w:right="0"/>
                    <w:jc w:val="center"/>
                    <w:rPr>
                      <w:rFonts w:hint="eastAsia" w:ascii="Times New Roman" w:hAnsi="Times New Roman" w:eastAsia="宋体" w:cs="Times New Roman"/>
                      <w:color w:val="auto"/>
                      <w:szCs w:val="21"/>
                      <w:highlight w:val="none"/>
                    </w:rPr>
                  </w:pPr>
                  <w:r>
                    <w:rPr>
                      <w:rFonts w:hint="eastAsia" w:ascii="Times New Roman" w:hAnsi="Times New Roman" w:eastAsia="宋体" w:cs="Times New Roman"/>
                      <w:color w:val="auto"/>
                      <w:szCs w:val="21"/>
                      <w:highlight w:val="none"/>
                    </w:rPr>
                    <w:t>2</w:t>
                  </w:r>
                </w:p>
              </w:tc>
              <w:tc>
                <w:tcPr>
                  <w:tcW w:w="537" w:type="pct"/>
                  <w:shd w:val="clear" w:color="auto" w:fill="auto"/>
                  <w:vAlign w:val="center"/>
                </w:tcPr>
                <w:p w14:paraId="50134616">
                  <w:pPr>
                    <w:keepNext w:val="0"/>
                    <w:keepLines w:val="0"/>
                    <w:suppressLineNumbers w:val="0"/>
                    <w:spacing w:before="0" w:beforeAutospacing="0" w:after="0" w:afterAutospacing="0"/>
                    <w:ind w:left="0" w:leftChars="0" w:right="0" w:rightChars="0"/>
                    <w:jc w:val="center"/>
                    <w:rPr>
                      <w:rFonts w:hint="eastAsia" w:ascii="Times New Roman" w:hAnsi="Times New Roman" w:eastAsia="宋体" w:cs="Times New Roman"/>
                      <w:color w:val="auto"/>
                      <w:kern w:val="2"/>
                      <w:sz w:val="21"/>
                      <w:szCs w:val="21"/>
                      <w:highlight w:val="none"/>
                      <w:lang w:val="en-US" w:eastAsia="zh-CN" w:bidi="ar-SA"/>
                    </w:rPr>
                  </w:pPr>
                  <w:r>
                    <w:rPr>
                      <w:rFonts w:hint="eastAsia" w:ascii="Times New Roman" w:hAnsi="Times New Roman" w:eastAsia="宋体" w:cs="Times New Roman"/>
                      <w:color w:val="auto"/>
                      <w:szCs w:val="21"/>
                      <w:highlight w:val="none"/>
                      <w:lang w:val="en-US" w:eastAsia="zh-CN"/>
                    </w:rPr>
                    <w:t>+</w:t>
                  </w:r>
                  <w:r>
                    <w:rPr>
                      <w:rFonts w:hint="eastAsia" w:ascii="Times New Roman" w:hAnsi="Times New Roman" w:eastAsia="宋体" w:cs="Times New Roman"/>
                      <w:color w:val="auto"/>
                      <w:szCs w:val="21"/>
                      <w:highlight w:val="none"/>
                    </w:rPr>
                    <w:t>2</w:t>
                  </w:r>
                </w:p>
              </w:tc>
              <w:tc>
                <w:tcPr>
                  <w:tcW w:w="211" w:type="pct"/>
                  <w:vMerge w:val="continue"/>
                  <w:shd w:val="clear" w:color="auto" w:fill="auto"/>
                  <w:vAlign w:val="center"/>
                </w:tcPr>
                <w:p w14:paraId="5DFF1013">
                  <w:pPr>
                    <w:keepNext w:val="0"/>
                    <w:keepLines w:val="0"/>
                    <w:widowControl w:val="0"/>
                    <w:suppressLineNumbers w:val="0"/>
                    <w:spacing w:before="0" w:beforeAutospacing="0" w:after="0" w:afterAutospacing="0"/>
                    <w:ind w:left="0" w:leftChars="0" w:right="0" w:rightChars="0"/>
                    <w:jc w:val="center"/>
                    <w:rPr>
                      <w:rFonts w:hint="eastAsia" w:ascii="Times New Roman" w:hAnsi="Times New Roman" w:eastAsia="宋体" w:cs="Times New Roman"/>
                      <w:color w:val="auto"/>
                      <w:kern w:val="2"/>
                      <w:sz w:val="21"/>
                      <w:szCs w:val="21"/>
                      <w:highlight w:val="none"/>
                      <w:lang w:val="en-US" w:eastAsia="zh-CN" w:bidi="ar-SA"/>
                    </w:rPr>
                  </w:pPr>
                </w:p>
              </w:tc>
              <w:tc>
                <w:tcPr>
                  <w:tcW w:w="325" w:type="pct"/>
                  <w:shd w:val="clear" w:color="auto" w:fill="auto"/>
                  <w:vAlign w:val="center"/>
                </w:tcPr>
                <w:p w14:paraId="00C70AAE">
                  <w:pPr>
                    <w:keepNext w:val="0"/>
                    <w:keepLines w:val="0"/>
                    <w:widowControl w:val="0"/>
                    <w:suppressLineNumbers w:val="0"/>
                    <w:spacing w:before="0" w:beforeAutospacing="0" w:after="0" w:afterAutospacing="0"/>
                    <w:ind w:left="0" w:leftChars="0" w:right="0" w:rightChars="0"/>
                    <w:jc w:val="center"/>
                    <w:rPr>
                      <w:rFonts w:hint="eastAsia" w:ascii="Times New Roman" w:hAnsi="Times New Roman" w:eastAsia="宋体" w:cs="Times New Roman"/>
                      <w:color w:val="auto"/>
                      <w:kern w:val="2"/>
                      <w:sz w:val="21"/>
                      <w:szCs w:val="21"/>
                      <w:highlight w:val="none"/>
                      <w:lang w:val="en-US" w:eastAsia="zh-CN" w:bidi="ar-SA"/>
                    </w:rPr>
                  </w:pPr>
                  <w:r>
                    <w:rPr>
                      <w:rFonts w:hint="eastAsia" w:ascii="Times New Roman" w:hAnsi="Times New Roman" w:cs="Times New Roman"/>
                      <w:color w:val="auto"/>
                      <w:kern w:val="2"/>
                      <w:sz w:val="21"/>
                      <w:szCs w:val="21"/>
                      <w:highlight w:val="none"/>
                      <w:lang w:val="en-US" w:eastAsia="zh-CN"/>
                    </w:rPr>
                    <w:t>1楼</w:t>
                  </w:r>
                </w:p>
              </w:tc>
              <w:tc>
                <w:tcPr>
                  <w:tcW w:w="320" w:type="pct"/>
                  <w:vAlign w:val="center"/>
                </w:tcPr>
                <w:p w14:paraId="29D29885">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highlight w:val="none"/>
                    </w:rPr>
                  </w:pPr>
                  <w:r>
                    <w:rPr>
                      <w:rFonts w:hint="default" w:ascii="Times New Roman" w:hAnsi="Times New Roman" w:eastAsia="宋体" w:cs="Times New Roman"/>
                      <w:color w:val="auto"/>
                      <w:szCs w:val="21"/>
                      <w:highlight w:val="none"/>
                    </w:rPr>
                    <w:t>新增</w:t>
                  </w:r>
                </w:p>
              </w:tc>
            </w:tr>
            <w:tr w14:paraId="5628B0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291" w:type="pct"/>
                  <w:shd w:val="clear" w:color="auto" w:fill="auto"/>
                  <w:vAlign w:val="center"/>
                </w:tcPr>
                <w:p w14:paraId="0A0C496D">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color w:val="auto"/>
                      <w:szCs w:val="21"/>
                      <w:highlight w:val="none"/>
                    </w:rPr>
                    <w:t>6</w:t>
                  </w:r>
                </w:p>
              </w:tc>
              <w:tc>
                <w:tcPr>
                  <w:tcW w:w="394" w:type="pct"/>
                  <w:vMerge w:val="restart"/>
                  <w:vAlign w:val="center"/>
                </w:tcPr>
                <w:p w14:paraId="14698B9B">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highlight w:val="none"/>
                    </w:rPr>
                  </w:pPr>
                  <w:r>
                    <w:rPr>
                      <w:rFonts w:hint="default" w:ascii="Times New Roman" w:hAnsi="Times New Roman" w:eastAsia="宋体" w:cs="Times New Roman"/>
                      <w:color w:val="auto"/>
                      <w:szCs w:val="21"/>
                      <w:highlight w:val="none"/>
                    </w:rPr>
                    <w:t>烘烤固化</w:t>
                  </w:r>
                </w:p>
              </w:tc>
              <w:tc>
                <w:tcPr>
                  <w:tcW w:w="660" w:type="pct"/>
                  <w:vAlign w:val="center"/>
                </w:tcPr>
                <w:p w14:paraId="301D64D8">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highlight w:val="none"/>
                    </w:rPr>
                  </w:pPr>
                  <w:r>
                    <w:rPr>
                      <w:rFonts w:hint="default" w:ascii="Times New Roman" w:hAnsi="Times New Roman" w:eastAsia="宋体" w:cs="Times New Roman"/>
                      <w:color w:val="FF0000"/>
                      <w:szCs w:val="21"/>
                      <w:highlight w:val="none"/>
                    </w:rPr>
                    <w:t>隧道式烤箱</w:t>
                  </w:r>
                </w:p>
              </w:tc>
              <w:tc>
                <w:tcPr>
                  <w:tcW w:w="766" w:type="pct"/>
                  <w:vAlign w:val="center"/>
                </w:tcPr>
                <w:p w14:paraId="72B27A66">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highlight w:val="none"/>
                    </w:rPr>
                  </w:pPr>
                  <w:r>
                    <w:rPr>
                      <w:rFonts w:hint="default" w:ascii="Times New Roman" w:hAnsi="Times New Roman" w:eastAsia="宋体" w:cs="Times New Roman"/>
                      <w:color w:val="auto"/>
                      <w:szCs w:val="21"/>
                      <w:highlight w:val="none"/>
                    </w:rPr>
                    <w:t>1600-E</w:t>
                  </w:r>
                </w:p>
              </w:tc>
              <w:tc>
                <w:tcPr>
                  <w:tcW w:w="483" w:type="pct"/>
                  <w:vAlign w:val="center"/>
                </w:tcPr>
                <w:p w14:paraId="63580F63">
                  <w:pPr>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color w:val="auto"/>
                      <w:szCs w:val="21"/>
                      <w:highlight w:val="none"/>
                    </w:rPr>
                  </w:pPr>
                  <w:r>
                    <w:rPr>
                      <w:rFonts w:hint="eastAsia" w:ascii="Times New Roman" w:hAnsi="Times New Roman" w:eastAsia="宋体" w:cs="Times New Roman"/>
                      <w:color w:val="auto"/>
                      <w:szCs w:val="21"/>
                      <w:highlight w:val="none"/>
                      <w:lang w:val="en-US" w:eastAsia="zh-CN" w:bidi="ar"/>
                    </w:rPr>
                    <w:t>0</w:t>
                  </w:r>
                </w:p>
              </w:tc>
              <w:tc>
                <w:tcPr>
                  <w:tcW w:w="417" w:type="pct"/>
                  <w:vAlign w:val="center"/>
                </w:tcPr>
                <w:p w14:paraId="28233B67">
                  <w:pPr>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color w:val="auto"/>
                      <w:szCs w:val="21"/>
                      <w:highlight w:val="none"/>
                    </w:rPr>
                  </w:pPr>
                  <w:r>
                    <w:rPr>
                      <w:rFonts w:hint="eastAsia" w:ascii="Times New Roman" w:hAnsi="Times New Roman" w:eastAsia="宋体" w:cs="Times New Roman"/>
                      <w:color w:val="auto"/>
                      <w:szCs w:val="21"/>
                      <w:highlight w:val="none"/>
                      <w:lang w:val="en-US" w:eastAsia="zh-CN" w:bidi="ar"/>
                    </w:rPr>
                    <w:t>0</w:t>
                  </w:r>
                </w:p>
              </w:tc>
              <w:tc>
                <w:tcPr>
                  <w:tcW w:w="592" w:type="pct"/>
                  <w:vAlign w:val="center"/>
                </w:tcPr>
                <w:p w14:paraId="440E8348">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highlight w:val="none"/>
                    </w:rPr>
                  </w:pPr>
                  <w:r>
                    <w:rPr>
                      <w:rFonts w:hint="default" w:ascii="Times New Roman" w:hAnsi="Times New Roman" w:eastAsia="宋体" w:cs="Times New Roman"/>
                      <w:color w:val="auto"/>
                      <w:szCs w:val="21"/>
                      <w:highlight w:val="none"/>
                    </w:rPr>
                    <w:t>5</w:t>
                  </w:r>
                </w:p>
              </w:tc>
              <w:tc>
                <w:tcPr>
                  <w:tcW w:w="537" w:type="pct"/>
                  <w:shd w:val="clear" w:color="auto" w:fill="auto"/>
                  <w:vAlign w:val="center"/>
                </w:tcPr>
                <w:p w14:paraId="7D9FCB18">
                  <w:pPr>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color w:val="auto"/>
                      <w:kern w:val="2"/>
                      <w:sz w:val="21"/>
                      <w:szCs w:val="21"/>
                      <w:highlight w:val="none"/>
                      <w:lang w:val="en-US" w:eastAsia="zh-CN" w:bidi="ar-SA"/>
                    </w:rPr>
                  </w:pPr>
                  <w:r>
                    <w:rPr>
                      <w:rFonts w:hint="eastAsia" w:ascii="Times New Roman" w:hAnsi="Times New Roman" w:eastAsia="宋体" w:cs="Times New Roman"/>
                      <w:color w:val="auto"/>
                      <w:szCs w:val="21"/>
                      <w:highlight w:val="none"/>
                      <w:lang w:val="en-US" w:eastAsia="zh-CN"/>
                    </w:rPr>
                    <w:t>+</w:t>
                  </w:r>
                  <w:r>
                    <w:rPr>
                      <w:rFonts w:hint="default" w:ascii="Times New Roman" w:hAnsi="Times New Roman" w:eastAsia="宋体" w:cs="Times New Roman"/>
                      <w:color w:val="auto"/>
                      <w:szCs w:val="21"/>
                      <w:highlight w:val="none"/>
                    </w:rPr>
                    <w:t>5</w:t>
                  </w:r>
                </w:p>
              </w:tc>
              <w:tc>
                <w:tcPr>
                  <w:tcW w:w="211" w:type="pct"/>
                  <w:vMerge w:val="continue"/>
                  <w:shd w:val="clear" w:color="auto" w:fill="auto"/>
                  <w:vAlign w:val="center"/>
                </w:tcPr>
                <w:p w14:paraId="4FAB6838">
                  <w:pPr>
                    <w:keepNext w:val="0"/>
                    <w:keepLines w:val="0"/>
                    <w:widowControl w:val="0"/>
                    <w:suppressLineNumbers w:val="0"/>
                    <w:spacing w:before="0" w:beforeAutospacing="0" w:after="0" w:afterAutospacing="0"/>
                    <w:ind w:left="0" w:leftChars="0" w:right="0" w:rightChars="0"/>
                    <w:jc w:val="center"/>
                    <w:rPr>
                      <w:rFonts w:hint="default" w:ascii="Times New Roman" w:hAnsi="Times New Roman" w:eastAsia="宋体" w:cs="Times New Roman"/>
                      <w:color w:val="auto"/>
                      <w:kern w:val="2"/>
                      <w:sz w:val="21"/>
                      <w:szCs w:val="21"/>
                      <w:highlight w:val="none"/>
                      <w:lang w:val="en-US" w:eastAsia="zh-CN" w:bidi="ar-SA"/>
                    </w:rPr>
                  </w:pPr>
                </w:p>
              </w:tc>
              <w:tc>
                <w:tcPr>
                  <w:tcW w:w="325" w:type="pct"/>
                  <w:shd w:val="clear" w:color="auto" w:fill="auto"/>
                  <w:vAlign w:val="center"/>
                </w:tcPr>
                <w:p w14:paraId="43232488">
                  <w:pPr>
                    <w:keepNext w:val="0"/>
                    <w:keepLines w:val="0"/>
                    <w:widowControl w:val="0"/>
                    <w:suppressLineNumbers w:val="0"/>
                    <w:spacing w:before="0" w:beforeAutospacing="0" w:after="0" w:afterAutospacing="0"/>
                    <w:ind w:left="0" w:leftChars="0" w:right="0" w:rightChars="0"/>
                    <w:jc w:val="center"/>
                    <w:rPr>
                      <w:rFonts w:hint="eastAsia" w:ascii="Times New Roman" w:hAnsi="Times New Roman" w:eastAsia="宋体" w:cs="Times New Roman"/>
                      <w:color w:val="auto"/>
                      <w:kern w:val="2"/>
                      <w:sz w:val="21"/>
                      <w:szCs w:val="21"/>
                      <w:highlight w:val="none"/>
                      <w:lang w:val="en-US" w:eastAsia="zh-CN" w:bidi="ar-SA"/>
                    </w:rPr>
                  </w:pPr>
                  <w:r>
                    <w:rPr>
                      <w:rFonts w:hint="eastAsia" w:ascii="Times New Roman" w:hAnsi="Times New Roman" w:cs="Times New Roman"/>
                      <w:color w:val="auto"/>
                      <w:kern w:val="2"/>
                      <w:sz w:val="21"/>
                      <w:szCs w:val="21"/>
                      <w:highlight w:val="none"/>
                      <w:lang w:val="en-US" w:eastAsia="zh-CN"/>
                    </w:rPr>
                    <w:t>1楼</w:t>
                  </w:r>
                </w:p>
              </w:tc>
              <w:tc>
                <w:tcPr>
                  <w:tcW w:w="320" w:type="pct"/>
                  <w:vAlign w:val="center"/>
                </w:tcPr>
                <w:p w14:paraId="7BCF2E1B">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highlight w:val="none"/>
                    </w:rPr>
                  </w:pPr>
                  <w:r>
                    <w:rPr>
                      <w:rFonts w:hint="default" w:ascii="Times New Roman" w:hAnsi="Times New Roman" w:eastAsia="宋体" w:cs="Times New Roman"/>
                      <w:color w:val="auto"/>
                      <w:szCs w:val="21"/>
                      <w:highlight w:val="none"/>
                    </w:rPr>
                    <w:t>新增</w:t>
                  </w:r>
                </w:p>
              </w:tc>
            </w:tr>
            <w:tr w14:paraId="2DCDD0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291" w:type="pct"/>
                  <w:shd w:val="clear" w:color="auto" w:fill="auto"/>
                  <w:vAlign w:val="center"/>
                </w:tcPr>
                <w:p w14:paraId="7209FD0B">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color w:val="auto"/>
                      <w:szCs w:val="21"/>
                      <w:highlight w:val="none"/>
                    </w:rPr>
                    <w:t>7</w:t>
                  </w:r>
                </w:p>
              </w:tc>
              <w:tc>
                <w:tcPr>
                  <w:tcW w:w="394" w:type="pct"/>
                  <w:vMerge w:val="continue"/>
                  <w:vAlign w:val="center"/>
                </w:tcPr>
                <w:p w14:paraId="043D7773">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highlight w:val="none"/>
                    </w:rPr>
                  </w:pPr>
                </w:p>
              </w:tc>
              <w:tc>
                <w:tcPr>
                  <w:tcW w:w="660" w:type="pct"/>
                  <w:vAlign w:val="center"/>
                </w:tcPr>
                <w:p w14:paraId="451C3258">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highlight w:val="none"/>
                    </w:rPr>
                  </w:pPr>
                  <w:r>
                    <w:rPr>
                      <w:rFonts w:hint="eastAsia" w:ascii="Times New Roman" w:hAnsi="Times New Roman" w:eastAsia="宋体" w:cs="Times New Roman"/>
                      <w:color w:val="auto"/>
                      <w:szCs w:val="21"/>
                      <w:highlight w:val="none"/>
                    </w:rPr>
                    <w:t>1750</w:t>
                  </w:r>
                  <w:r>
                    <w:rPr>
                      <w:rFonts w:hint="default" w:ascii="Times New Roman" w:hAnsi="Times New Roman" w:eastAsia="宋体" w:cs="Times New Roman"/>
                      <w:color w:val="auto"/>
                      <w:szCs w:val="21"/>
                      <w:highlight w:val="none"/>
                    </w:rPr>
                    <w:t>立式（浸涂）涂布生产线</w:t>
                  </w:r>
                </w:p>
              </w:tc>
              <w:tc>
                <w:tcPr>
                  <w:tcW w:w="766" w:type="pct"/>
                  <w:vAlign w:val="center"/>
                </w:tcPr>
                <w:p w14:paraId="65C44351">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highlight w:val="none"/>
                    </w:rPr>
                  </w:pPr>
                  <w:r>
                    <w:rPr>
                      <w:rFonts w:hint="default" w:ascii="Times New Roman" w:hAnsi="Times New Roman" w:eastAsia="宋体" w:cs="Times New Roman"/>
                      <w:color w:val="auto"/>
                      <w:szCs w:val="21"/>
                      <w:highlight w:val="none"/>
                    </w:rPr>
                    <w:t>1750</w:t>
                  </w:r>
                </w:p>
              </w:tc>
              <w:tc>
                <w:tcPr>
                  <w:tcW w:w="483" w:type="pct"/>
                  <w:vAlign w:val="center"/>
                </w:tcPr>
                <w:p w14:paraId="0B938345">
                  <w:pPr>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color w:val="auto"/>
                      <w:szCs w:val="21"/>
                      <w:highlight w:val="none"/>
                    </w:rPr>
                  </w:pPr>
                  <w:r>
                    <w:rPr>
                      <w:rFonts w:hint="eastAsia" w:ascii="Times New Roman" w:hAnsi="Times New Roman" w:eastAsia="宋体" w:cs="Times New Roman"/>
                      <w:color w:val="auto"/>
                      <w:szCs w:val="21"/>
                      <w:highlight w:val="none"/>
                      <w:lang w:val="en-US" w:eastAsia="zh-CN" w:bidi="ar"/>
                    </w:rPr>
                    <w:t>0</w:t>
                  </w:r>
                </w:p>
              </w:tc>
              <w:tc>
                <w:tcPr>
                  <w:tcW w:w="417" w:type="pct"/>
                  <w:vAlign w:val="center"/>
                </w:tcPr>
                <w:p w14:paraId="35CDB332">
                  <w:pPr>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color w:val="auto"/>
                      <w:szCs w:val="21"/>
                      <w:highlight w:val="none"/>
                    </w:rPr>
                  </w:pPr>
                  <w:r>
                    <w:rPr>
                      <w:rFonts w:hint="eastAsia" w:ascii="Times New Roman" w:hAnsi="Times New Roman" w:eastAsia="宋体" w:cs="Times New Roman"/>
                      <w:color w:val="auto"/>
                      <w:szCs w:val="21"/>
                      <w:highlight w:val="none"/>
                      <w:lang w:val="en-US" w:eastAsia="zh-CN" w:bidi="ar"/>
                    </w:rPr>
                    <w:t>0</w:t>
                  </w:r>
                </w:p>
              </w:tc>
              <w:tc>
                <w:tcPr>
                  <w:tcW w:w="592" w:type="pct"/>
                  <w:vAlign w:val="center"/>
                </w:tcPr>
                <w:p w14:paraId="3557631A">
                  <w:pPr>
                    <w:keepNext w:val="0"/>
                    <w:keepLines w:val="0"/>
                    <w:suppressLineNumbers w:val="0"/>
                    <w:spacing w:before="0" w:beforeAutospacing="0" w:after="0" w:afterAutospacing="0"/>
                    <w:ind w:left="0" w:right="0"/>
                    <w:jc w:val="center"/>
                    <w:rPr>
                      <w:rFonts w:hint="eastAsia" w:ascii="Times New Roman" w:hAnsi="Times New Roman" w:eastAsia="宋体" w:cs="Times New Roman"/>
                      <w:color w:val="auto"/>
                      <w:szCs w:val="21"/>
                      <w:highlight w:val="none"/>
                    </w:rPr>
                  </w:pPr>
                  <w:r>
                    <w:rPr>
                      <w:rFonts w:hint="eastAsia" w:ascii="Times New Roman" w:hAnsi="Times New Roman" w:eastAsia="宋体" w:cs="Times New Roman"/>
                      <w:color w:val="auto"/>
                      <w:szCs w:val="21"/>
                      <w:highlight w:val="none"/>
                    </w:rPr>
                    <w:t>5</w:t>
                  </w:r>
                </w:p>
              </w:tc>
              <w:tc>
                <w:tcPr>
                  <w:tcW w:w="537" w:type="pct"/>
                  <w:shd w:val="clear" w:color="auto" w:fill="auto"/>
                  <w:vAlign w:val="center"/>
                </w:tcPr>
                <w:p w14:paraId="5A8900F0">
                  <w:pPr>
                    <w:keepNext w:val="0"/>
                    <w:keepLines w:val="0"/>
                    <w:suppressLineNumbers w:val="0"/>
                    <w:spacing w:before="0" w:beforeAutospacing="0" w:after="0" w:afterAutospacing="0"/>
                    <w:ind w:left="0" w:leftChars="0" w:right="0" w:rightChars="0"/>
                    <w:jc w:val="center"/>
                    <w:rPr>
                      <w:rFonts w:hint="eastAsia" w:ascii="Times New Roman" w:hAnsi="Times New Roman" w:eastAsia="宋体" w:cs="Times New Roman"/>
                      <w:color w:val="auto"/>
                      <w:kern w:val="2"/>
                      <w:sz w:val="21"/>
                      <w:szCs w:val="21"/>
                      <w:highlight w:val="none"/>
                      <w:lang w:val="en-US" w:eastAsia="zh-CN" w:bidi="ar-SA"/>
                    </w:rPr>
                  </w:pPr>
                  <w:r>
                    <w:rPr>
                      <w:rFonts w:hint="eastAsia" w:ascii="Times New Roman" w:hAnsi="Times New Roman" w:eastAsia="宋体" w:cs="Times New Roman"/>
                      <w:color w:val="auto"/>
                      <w:szCs w:val="21"/>
                      <w:highlight w:val="none"/>
                      <w:lang w:val="en-US" w:eastAsia="zh-CN"/>
                    </w:rPr>
                    <w:t>+</w:t>
                  </w:r>
                  <w:r>
                    <w:rPr>
                      <w:rFonts w:hint="eastAsia" w:ascii="Times New Roman" w:hAnsi="Times New Roman" w:eastAsia="宋体" w:cs="Times New Roman"/>
                      <w:color w:val="auto"/>
                      <w:szCs w:val="21"/>
                      <w:highlight w:val="none"/>
                    </w:rPr>
                    <w:t>5</w:t>
                  </w:r>
                </w:p>
              </w:tc>
              <w:tc>
                <w:tcPr>
                  <w:tcW w:w="211" w:type="pct"/>
                  <w:vMerge w:val="continue"/>
                  <w:shd w:val="clear" w:color="auto" w:fill="auto"/>
                  <w:vAlign w:val="center"/>
                </w:tcPr>
                <w:p w14:paraId="444E5DFB">
                  <w:pPr>
                    <w:keepNext w:val="0"/>
                    <w:keepLines w:val="0"/>
                    <w:widowControl w:val="0"/>
                    <w:suppressLineNumbers w:val="0"/>
                    <w:spacing w:before="0" w:beforeAutospacing="0" w:after="0" w:afterAutospacing="0"/>
                    <w:ind w:left="0" w:leftChars="0" w:right="0" w:rightChars="0"/>
                    <w:jc w:val="center"/>
                    <w:rPr>
                      <w:rFonts w:hint="eastAsia" w:ascii="Times New Roman" w:hAnsi="Times New Roman" w:eastAsia="宋体" w:cs="Times New Roman"/>
                      <w:color w:val="auto"/>
                      <w:kern w:val="2"/>
                      <w:sz w:val="21"/>
                      <w:szCs w:val="21"/>
                      <w:highlight w:val="none"/>
                      <w:lang w:val="en-US" w:eastAsia="zh-CN" w:bidi="ar-SA"/>
                    </w:rPr>
                  </w:pPr>
                </w:p>
              </w:tc>
              <w:tc>
                <w:tcPr>
                  <w:tcW w:w="325" w:type="pct"/>
                  <w:shd w:val="clear" w:color="auto" w:fill="auto"/>
                  <w:vAlign w:val="center"/>
                </w:tcPr>
                <w:p w14:paraId="7BE26B3D">
                  <w:pPr>
                    <w:keepNext w:val="0"/>
                    <w:keepLines w:val="0"/>
                    <w:widowControl w:val="0"/>
                    <w:suppressLineNumbers w:val="0"/>
                    <w:spacing w:before="0" w:beforeAutospacing="0" w:after="0" w:afterAutospacing="0"/>
                    <w:ind w:left="0" w:leftChars="0" w:right="0" w:rightChars="0"/>
                    <w:jc w:val="center"/>
                    <w:rPr>
                      <w:rFonts w:hint="eastAsia" w:ascii="Times New Roman" w:hAnsi="Times New Roman" w:eastAsia="宋体" w:cs="Times New Roman"/>
                      <w:color w:val="auto"/>
                      <w:kern w:val="2"/>
                      <w:sz w:val="21"/>
                      <w:szCs w:val="21"/>
                      <w:highlight w:val="none"/>
                      <w:lang w:val="en-US" w:eastAsia="zh-CN" w:bidi="ar-SA"/>
                    </w:rPr>
                  </w:pPr>
                  <w:r>
                    <w:rPr>
                      <w:rFonts w:hint="eastAsia" w:ascii="Times New Roman" w:hAnsi="Times New Roman" w:cs="Times New Roman"/>
                      <w:color w:val="auto"/>
                      <w:kern w:val="2"/>
                      <w:sz w:val="21"/>
                      <w:szCs w:val="21"/>
                      <w:highlight w:val="none"/>
                      <w:lang w:val="en-US" w:eastAsia="zh-CN"/>
                    </w:rPr>
                    <w:t>1楼</w:t>
                  </w:r>
                </w:p>
              </w:tc>
              <w:tc>
                <w:tcPr>
                  <w:tcW w:w="320" w:type="pct"/>
                  <w:vAlign w:val="center"/>
                </w:tcPr>
                <w:p w14:paraId="7481ACC4">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highlight w:val="none"/>
                    </w:rPr>
                  </w:pPr>
                  <w:r>
                    <w:rPr>
                      <w:rFonts w:hint="default" w:ascii="Times New Roman" w:hAnsi="Times New Roman" w:eastAsia="宋体" w:cs="Times New Roman"/>
                      <w:color w:val="auto"/>
                      <w:szCs w:val="21"/>
                      <w:highlight w:val="none"/>
                    </w:rPr>
                    <w:t>新增</w:t>
                  </w:r>
                </w:p>
              </w:tc>
            </w:tr>
            <w:tr w14:paraId="6DAB3A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291" w:type="pct"/>
                  <w:vAlign w:val="center"/>
                </w:tcPr>
                <w:p w14:paraId="4BC90927">
                  <w:pPr>
                    <w:keepNext w:val="0"/>
                    <w:keepLines w:val="0"/>
                    <w:suppressLineNumbers w:val="0"/>
                    <w:spacing w:before="0" w:beforeAutospacing="0" w:after="0" w:afterAutospacing="0"/>
                    <w:ind w:left="0" w:right="0"/>
                    <w:jc w:val="center"/>
                    <w:rPr>
                      <w:rFonts w:hint="eastAsia" w:ascii="Times New Roman" w:hAnsi="Times New Roman" w:eastAsia="宋体" w:cs="Times New Roman"/>
                      <w:color w:val="auto"/>
                      <w:szCs w:val="21"/>
                      <w:highlight w:val="none"/>
                      <w:lang w:eastAsia="zh-CN"/>
                    </w:rPr>
                  </w:pPr>
                  <w:r>
                    <w:rPr>
                      <w:rFonts w:hint="eastAsia" w:ascii="Times New Roman" w:hAnsi="Times New Roman" w:eastAsia="宋体" w:cs="Times New Roman"/>
                      <w:color w:val="auto"/>
                      <w:szCs w:val="21"/>
                      <w:highlight w:val="none"/>
                      <w:lang w:val="en-US" w:eastAsia="zh-CN"/>
                    </w:rPr>
                    <w:t>8</w:t>
                  </w:r>
                </w:p>
              </w:tc>
              <w:tc>
                <w:tcPr>
                  <w:tcW w:w="394" w:type="pct"/>
                  <w:vMerge w:val="restart"/>
                  <w:vAlign w:val="center"/>
                </w:tcPr>
                <w:p w14:paraId="7A70E924">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highlight w:val="none"/>
                    </w:rPr>
                  </w:pPr>
                  <w:r>
                    <w:rPr>
                      <w:rFonts w:hint="default" w:ascii="Times New Roman" w:hAnsi="Times New Roman" w:eastAsia="宋体" w:cs="Times New Roman"/>
                      <w:color w:val="auto"/>
                      <w:szCs w:val="21"/>
                      <w:highlight w:val="none"/>
                    </w:rPr>
                    <w:t>收卷</w:t>
                  </w:r>
                </w:p>
              </w:tc>
              <w:tc>
                <w:tcPr>
                  <w:tcW w:w="660" w:type="pct"/>
                  <w:vAlign w:val="center"/>
                </w:tcPr>
                <w:p w14:paraId="58AD1153">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highlight w:val="none"/>
                    </w:rPr>
                  </w:pPr>
                  <w:r>
                    <w:rPr>
                      <w:rFonts w:hint="default" w:ascii="Times New Roman" w:hAnsi="Times New Roman" w:eastAsia="宋体" w:cs="Times New Roman"/>
                      <w:color w:val="auto"/>
                      <w:szCs w:val="21"/>
                      <w:highlight w:val="none"/>
                    </w:rPr>
                    <w:t>剥离收卷机</w:t>
                  </w:r>
                </w:p>
                <w:p w14:paraId="027E71C0">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highlight w:val="none"/>
                    </w:rPr>
                  </w:pPr>
                  <w:r>
                    <w:rPr>
                      <w:rFonts w:hint="default" w:ascii="Times New Roman" w:hAnsi="Times New Roman" w:eastAsia="宋体" w:cs="Times New Roman"/>
                      <w:color w:val="auto"/>
                      <w:szCs w:val="21"/>
                      <w:highlight w:val="none"/>
                    </w:rPr>
                    <w:t>（双面剥离型）</w:t>
                  </w:r>
                </w:p>
              </w:tc>
              <w:tc>
                <w:tcPr>
                  <w:tcW w:w="766" w:type="pct"/>
                  <w:vAlign w:val="center"/>
                </w:tcPr>
                <w:p w14:paraId="47DE88FF">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highlight w:val="none"/>
                    </w:rPr>
                  </w:pPr>
                  <w:r>
                    <w:rPr>
                      <w:rFonts w:hint="default" w:ascii="Times New Roman" w:hAnsi="Times New Roman" w:eastAsia="宋体" w:cs="Times New Roman"/>
                      <w:color w:val="auto"/>
                      <w:szCs w:val="21"/>
                      <w:highlight w:val="none"/>
                    </w:rPr>
                    <w:t>SLF1450-M</w:t>
                  </w:r>
                </w:p>
              </w:tc>
              <w:tc>
                <w:tcPr>
                  <w:tcW w:w="483" w:type="pct"/>
                  <w:vAlign w:val="center"/>
                </w:tcPr>
                <w:p w14:paraId="40823ADB">
                  <w:pPr>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color w:val="auto"/>
                      <w:szCs w:val="21"/>
                      <w:highlight w:val="none"/>
                    </w:rPr>
                  </w:pPr>
                  <w:r>
                    <w:rPr>
                      <w:rFonts w:hint="eastAsia" w:ascii="Times New Roman" w:hAnsi="Times New Roman" w:eastAsia="宋体" w:cs="Times New Roman"/>
                      <w:color w:val="auto"/>
                      <w:szCs w:val="21"/>
                      <w:highlight w:val="none"/>
                      <w:lang w:val="en-US" w:eastAsia="zh-CN" w:bidi="ar"/>
                    </w:rPr>
                    <w:t>0</w:t>
                  </w:r>
                </w:p>
              </w:tc>
              <w:tc>
                <w:tcPr>
                  <w:tcW w:w="417" w:type="pct"/>
                  <w:vAlign w:val="center"/>
                </w:tcPr>
                <w:p w14:paraId="52356646">
                  <w:pPr>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color w:val="auto"/>
                      <w:szCs w:val="21"/>
                      <w:highlight w:val="none"/>
                    </w:rPr>
                  </w:pPr>
                  <w:r>
                    <w:rPr>
                      <w:rFonts w:hint="eastAsia" w:ascii="Times New Roman" w:hAnsi="Times New Roman" w:eastAsia="宋体" w:cs="Times New Roman"/>
                      <w:color w:val="auto"/>
                      <w:szCs w:val="21"/>
                      <w:highlight w:val="none"/>
                      <w:lang w:val="en-US" w:eastAsia="zh-CN" w:bidi="ar"/>
                    </w:rPr>
                    <w:t>0</w:t>
                  </w:r>
                </w:p>
              </w:tc>
              <w:tc>
                <w:tcPr>
                  <w:tcW w:w="592" w:type="pct"/>
                  <w:vAlign w:val="center"/>
                </w:tcPr>
                <w:p w14:paraId="3F3A8BF6">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highlight w:val="none"/>
                    </w:rPr>
                  </w:pPr>
                  <w:r>
                    <w:rPr>
                      <w:rFonts w:hint="default" w:ascii="Times New Roman" w:hAnsi="Times New Roman" w:eastAsia="宋体" w:cs="Times New Roman"/>
                      <w:color w:val="auto"/>
                      <w:szCs w:val="21"/>
                      <w:highlight w:val="none"/>
                    </w:rPr>
                    <w:t>5</w:t>
                  </w:r>
                </w:p>
              </w:tc>
              <w:tc>
                <w:tcPr>
                  <w:tcW w:w="537" w:type="pct"/>
                  <w:shd w:val="clear" w:color="auto" w:fill="auto"/>
                  <w:vAlign w:val="center"/>
                </w:tcPr>
                <w:p w14:paraId="4B8D500C">
                  <w:pPr>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color w:val="auto"/>
                      <w:kern w:val="2"/>
                      <w:sz w:val="21"/>
                      <w:szCs w:val="21"/>
                      <w:highlight w:val="none"/>
                      <w:lang w:val="en-US" w:eastAsia="zh-CN" w:bidi="ar-SA"/>
                    </w:rPr>
                  </w:pPr>
                  <w:r>
                    <w:rPr>
                      <w:rFonts w:hint="eastAsia" w:ascii="Times New Roman" w:hAnsi="Times New Roman" w:eastAsia="宋体" w:cs="Times New Roman"/>
                      <w:color w:val="auto"/>
                      <w:szCs w:val="21"/>
                      <w:highlight w:val="none"/>
                      <w:lang w:val="en-US" w:eastAsia="zh-CN"/>
                    </w:rPr>
                    <w:t>+</w:t>
                  </w:r>
                  <w:r>
                    <w:rPr>
                      <w:rFonts w:hint="default" w:ascii="Times New Roman" w:hAnsi="Times New Roman" w:eastAsia="宋体" w:cs="Times New Roman"/>
                      <w:color w:val="auto"/>
                      <w:szCs w:val="21"/>
                      <w:highlight w:val="none"/>
                    </w:rPr>
                    <w:t>5</w:t>
                  </w:r>
                </w:p>
              </w:tc>
              <w:tc>
                <w:tcPr>
                  <w:tcW w:w="211" w:type="pct"/>
                  <w:vMerge w:val="continue"/>
                  <w:shd w:val="clear" w:color="auto" w:fill="auto"/>
                  <w:vAlign w:val="center"/>
                </w:tcPr>
                <w:p w14:paraId="59C0DFE2">
                  <w:pPr>
                    <w:keepNext w:val="0"/>
                    <w:keepLines w:val="0"/>
                    <w:widowControl w:val="0"/>
                    <w:suppressLineNumbers w:val="0"/>
                    <w:spacing w:before="0" w:beforeAutospacing="0" w:after="0" w:afterAutospacing="0"/>
                    <w:ind w:left="0" w:leftChars="0" w:right="0" w:rightChars="0"/>
                    <w:jc w:val="center"/>
                    <w:rPr>
                      <w:rFonts w:hint="default" w:ascii="Times New Roman" w:hAnsi="Times New Roman" w:eastAsia="宋体" w:cs="Times New Roman"/>
                      <w:color w:val="auto"/>
                      <w:kern w:val="2"/>
                      <w:sz w:val="21"/>
                      <w:szCs w:val="21"/>
                      <w:highlight w:val="none"/>
                      <w:lang w:val="en-US" w:eastAsia="zh-CN" w:bidi="ar-SA"/>
                    </w:rPr>
                  </w:pPr>
                </w:p>
              </w:tc>
              <w:tc>
                <w:tcPr>
                  <w:tcW w:w="325" w:type="pct"/>
                  <w:shd w:val="clear" w:color="auto" w:fill="auto"/>
                  <w:vAlign w:val="center"/>
                </w:tcPr>
                <w:p w14:paraId="0C44932B">
                  <w:pPr>
                    <w:keepNext w:val="0"/>
                    <w:keepLines w:val="0"/>
                    <w:widowControl w:val="0"/>
                    <w:suppressLineNumbers w:val="0"/>
                    <w:spacing w:before="0" w:beforeAutospacing="0" w:after="0" w:afterAutospacing="0"/>
                    <w:ind w:left="0" w:leftChars="0" w:right="0" w:rightChars="0"/>
                    <w:jc w:val="center"/>
                    <w:rPr>
                      <w:rFonts w:hint="eastAsia" w:ascii="Times New Roman" w:hAnsi="Times New Roman" w:eastAsia="宋体" w:cs="Times New Roman"/>
                      <w:color w:val="auto"/>
                      <w:kern w:val="2"/>
                      <w:sz w:val="21"/>
                      <w:szCs w:val="21"/>
                      <w:highlight w:val="none"/>
                      <w:lang w:val="en-US" w:eastAsia="zh-CN" w:bidi="ar-SA"/>
                    </w:rPr>
                  </w:pPr>
                  <w:r>
                    <w:rPr>
                      <w:rFonts w:hint="eastAsia" w:ascii="Times New Roman" w:hAnsi="Times New Roman" w:cs="Times New Roman"/>
                      <w:color w:val="auto"/>
                      <w:kern w:val="2"/>
                      <w:sz w:val="21"/>
                      <w:szCs w:val="21"/>
                      <w:highlight w:val="none"/>
                      <w:lang w:val="en-US" w:eastAsia="zh-CN"/>
                    </w:rPr>
                    <w:t>1楼</w:t>
                  </w:r>
                </w:p>
              </w:tc>
              <w:tc>
                <w:tcPr>
                  <w:tcW w:w="320" w:type="pct"/>
                  <w:vAlign w:val="center"/>
                </w:tcPr>
                <w:p w14:paraId="4418275F">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highlight w:val="none"/>
                    </w:rPr>
                  </w:pPr>
                  <w:r>
                    <w:rPr>
                      <w:rFonts w:hint="default" w:ascii="Times New Roman" w:hAnsi="Times New Roman" w:eastAsia="宋体" w:cs="Times New Roman"/>
                      <w:color w:val="auto"/>
                      <w:szCs w:val="21"/>
                      <w:highlight w:val="none"/>
                    </w:rPr>
                    <w:t>新增</w:t>
                  </w:r>
                </w:p>
              </w:tc>
            </w:tr>
            <w:tr w14:paraId="54B9E7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291" w:type="pct"/>
                  <w:vAlign w:val="center"/>
                </w:tcPr>
                <w:p w14:paraId="563BDEBA">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highlight w:val="none"/>
                    </w:rPr>
                  </w:pPr>
                  <w:r>
                    <w:rPr>
                      <w:rFonts w:hint="default" w:ascii="Times New Roman" w:hAnsi="Times New Roman" w:eastAsia="宋体" w:cs="Times New Roman"/>
                      <w:color w:val="auto"/>
                      <w:szCs w:val="21"/>
                      <w:highlight w:val="none"/>
                    </w:rPr>
                    <w:t>9</w:t>
                  </w:r>
                </w:p>
              </w:tc>
              <w:tc>
                <w:tcPr>
                  <w:tcW w:w="394" w:type="pct"/>
                  <w:vMerge w:val="continue"/>
                  <w:vAlign w:val="center"/>
                </w:tcPr>
                <w:p w14:paraId="51DC6B06">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highlight w:val="none"/>
                    </w:rPr>
                  </w:pPr>
                </w:p>
              </w:tc>
              <w:tc>
                <w:tcPr>
                  <w:tcW w:w="660" w:type="pct"/>
                  <w:vAlign w:val="center"/>
                </w:tcPr>
                <w:p w14:paraId="10029CC6">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highlight w:val="none"/>
                    </w:rPr>
                  </w:pPr>
                  <w:r>
                    <w:rPr>
                      <w:rFonts w:hint="default" w:ascii="Times New Roman" w:hAnsi="Times New Roman" w:eastAsia="宋体" w:cs="Times New Roman"/>
                      <w:color w:val="auto"/>
                      <w:szCs w:val="21"/>
                      <w:highlight w:val="none"/>
                    </w:rPr>
                    <w:t>复卷检查机</w:t>
                  </w:r>
                </w:p>
              </w:tc>
              <w:tc>
                <w:tcPr>
                  <w:tcW w:w="766" w:type="pct"/>
                  <w:vAlign w:val="center"/>
                </w:tcPr>
                <w:p w14:paraId="4F45185E">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highlight w:val="none"/>
                    </w:rPr>
                  </w:pPr>
                  <w:r>
                    <w:rPr>
                      <w:rFonts w:hint="default" w:ascii="Times New Roman" w:hAnsi="Times New Roman" w:eastAsia="宋体" w:cs="Times New Roman"/>
                      <w:color w:val="auto"/>
                      <w:szCs w:val="21"/>
                      <w:highlight w:val="none"/>
                    </w:rPr>
                    <w:t>FJ1450-JC</w:t>
                  </w:r>
                </w:p>
              </w:tc>
              <w:tc>
                <w:tcPr>
                  <w:tcW w:w="483" w:type="pct"/>
                  <w:vAlign w:val="center"/>
                </w:tcPr>
                <w:p w14:paraId="471CA5C2">
                  <w:pPr>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color w:val="auto"/>
                      <w:szCs w:val="21"/>
                      <w:highlight w:val="none"/>
                    </w:rPr>
                  </w:pPr>
                  <w:r>
                    <w:rPr>
                      <w:rFonts w:hint="eastAsia" w:ascii="Times New Roman" w:hAnsi="Times New Roman" w:eastAsia="宋体" w:cs="Times New Roman"/>
                      <w:color w:val="auto"/>
                      <w:szCs w:val="21"/>
                      <w:highlight w:val="none"/>
                      <w:lang w:val="en-US" w:eastAsia="zh-CN" w:bidi="ar"/>
                    </w:rPr>
                    <w:t>0</w:t>
                  </w:r>
                </w:p>
              </w:tc>
              <w:tc>
                <w:tcPr>
                  <w:tcW w:w="417" w:type="pct"/>
                  <w:vAlign w:val="center"/>
                </w:tcPr>
                <w:p w14:paraId="53B1262F">
                  <w:pPr>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color w:val="auto"/>
                      <w:szCs w:val="21"/>
                      <w:highlight w:val="none"/>
                    </w:rPr>
                  </w:pPr>
                  <w:r>
                    <w:rPr>
                      <w:rFonts w:hint="eastAsia" w:ascii="Times New Roman" w:hAnsi="Times New Roman" w:eastAsia="宋体" w:cs="Times New Roman"/>
                      <w:color w:val="auto"/>
                      <w:szCs w:val="21"/>
                      <w:highlight w:val="none"/>
                      <w:lang w:val="en-US" w:eastAsia="zh-CN" w:bidi="ar"/>
                    </w:rPr>
                    <w:t>0</w:t>
                  </w:r>
                </w:p>
              </w:tc>
              <w:tc>
                <w:tcPr>
                  <w:tcW w:w="592" w:type="pct"/>
                  <w:vAlign w:val="center"/>
                </w:tcPr>
                <w:p w14:paraId="28C4B015">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highlight w:val="none"/>
                    </w:rPr>
                  </w:pPr>
                  <w:r>
                    <w:rPr>
                      <w:rFonts w:hint="default" w:ascii="Times New Roman" w:hAnsi="Times New Roman" w:eastAsia="宋体" w:cs="Times New Roman"/>
                      <w:color w:val="auto"/>
                      <w:szCs w:val="21"/>
                      <w:highlight w:val="none"/>
                    </w:rPr>
                    <w:t>5</w:t>
                  </w:r>
                </w:p>
              </w:tc>
              <w:tc>
                <w:tcPr>
                  <w:tcW w:w="537" w:type="pct"/>
                  <w:shd w:val="clear" w:color="auto" w:fill="auto"/>
                  <w:vAlign w:val="center"/>
                </w:tcPr>
                <w:p w14:paraId="2F7E8780">
                  <w:pPr>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color w:val="auto"/>
                      <w:kern w:val="2"/>
                      <w:sz w:val="21"/>
                      <w:szCs w:val="21"/>
                      <w:highlight w:val="none"/>
                      <w:lang w:val="en-US" w:eastAsia="zh-CN" w:bidi="ar-SA"/>
                    </w:rPr>
                  </w:pPr>
                  <w:r>
                    <w:rPr>
                      <w:rFonts w:hint="eastAsia" w:ascii="Times New Roman" w:hAnsi="Times New Roman" w:eastAsia="宋体" w:cs="Times New Roman"/>
                      <w:color w:val="auto"/>
                      <w:szCs w:val="21"/>
                      <w:highlight w:val="none"/>
                      <w:lang w:val="en-US" w:eastAsia="zh-CN"/>
                    </w:rPr>
                    <w:t>+</w:t>
                  </w:r>
                  <w:r>
                    <w:rPr>
                      <w:rFonts w:hint="default" w:ascii="Times New Roman" w:hAnsi="Times New Roman" w:eastAsia="宋体" w:cs="Times New Roman"/>
                      <w:color w:val="auto"/>
                      <w:szCs w:val="21"/>
                      <w:highlight w:val="none"/>
                    </w:rPr>
                    <w:t>5</w:t>
                  </w:r>
                </w:p>
              </w:tc>
              <w:tc>
                <w:tcPr>
                  <w:tcW w:w="211" w:type="pct"/>
                  <w:vMerge w:val="continue"/>
                  <w:shd w:val="clear" w:color="auto" w:fill="auto"/>
                  <w:vAlign w:val="center"/>
                </w:tcPr>
                <w:p w14:paraId="77F3BA88">
                  <w:pPr>
                    <w:keepNext w:val="0"/>
                    <w:keepLines w:val="0"/>
                    <w:widowControl w:val="0"/>
                    <w:suppressLineNumbers w:val="0"/>
                    <w:spacing w:before="0" w:beforeAutospacing="0" w:after="0" w:afterAutospacing="0"/>
                    <w:ind w:left="0" w:leftChars="0" w:right="0" w:rightChars="0"/>
                    <w:jc w:val="center"/>
                    <w:rPr>
                      <w:rFonts w:hint="default" w:ascii="Times New Roman" w:hAnsi="Times New Roman" w:eastAsia="宋体" w:cs="Times New Roman"/>
                      <w:color w:val="auto"/>
                      <w:kern w:val="2"/>
                      <w:sz w:val="21"/>
                      <w:szCs w:val="21"/>
                      <w:highlight w:val="none"/>
                      <w:lang w:val="en-US" w:eastAsia="zh-CN" w:bidi="ar-SA"/>
                    </w:rPr>
                  </w:pPr>
                </w:p>
              </w:tc>
              <w:tc>
                <w:tcPr>
                  <w:tcW w:w="325" w:type="pct"/>
                  <w:shd w:val="clear" w:color="auto" w:fill="auto"/>
                  <w:vAlign w:val="center"/>
                </w:tcPr>
                <w:p w14:paraId="72AC3E14">
                  <w:pPr>
                    <w:keepNext w:val="0"/>
                    <w:keepLines w:val="0"/>
                    <w:widowControl w:val="0"/>
                    <w:suppressLineNumbers w:val="0"/>
                    <w:spacing w:before="0" w:beforeAutospacing="0" w:after="0" w:afterAutospacing="0"/>
                    <w:ind w:left="0" w:leftChars="0" w:right="0" w:rightChars="0"/>
                    <w:jc w:val="center"/>
                    <w:rPr>
                      <w:rFonts w:hint="eastAsia" w:ascii="Times New Roman" w:hAnsi="Times New Roman" w:eastAsia="宋体" w:cs="Times New Roman"/>
                      <w:color w:val="auto"/>
                      <w:kern w:val="2"/>
                      <w:sz w:val="21"/>
                      <w:szCs w:val="21"/>
                      <w:highlight w:val="none"/>
                      <w:lang w:val="en-US" w:eastAsia="zh-CN" w:bidi="ar-SA"/>
                    </w:rPr>
                  </w:pPr>
                  <w:r>
                    <w:rPr>
                      <w:rFonts w:hint="eastAsia" w:ascii="Times New Roman" w:hAnsi="Times New Roman" w:cs="Times New Roman"/>
                      <w:color w:val="auto"/>
                      <w:kern w:val="2"/>
                      <w:sz w:val="21"/>
                      <w:szCs w:val="21"/>
                      <w:highlight w:val="none"/>
                      <w:lang w:val="en-US" w:eastAsia="zh-CN"/>
                    </w:rPr>
                    <w:t>1楼</w:t>
                  </w:r>
                </w:p>
              </w:tc>
              <w:tc>
                <w:tcPr>
                  <w:tcW w:w="320" w:type="pct"/>
                  <w:vAlign w:val="center"/>
                </w:tcPr>
                <w:p w14:paraId="1CA3D89E">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highlight w:val="none"/>
                    </w:rPr>
                  </w:pPr>
                  <w:r>
                    <w:rPr>
                      <w:rFonts w:hint="default" w:ascii="Times New Roman" w:hAnsi="Times New Roman" w:eastAsia="宋体" w:cs="Times New Roman"/>
                      <w:color w:val="auto"/>
                      <w:szCs w:val="21"/>
                      <w:highlight w:val="none"/>
                    </w:rPr>
                    <w:t>新增</w:t>
                  </w:r>
                </w:p>
              </w:tc>
            </w:tr>
            <w:tr w14:paraId="66EB7A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291" w:type="pct"/>
                  <w:vAlign w:val="center"/>
                </w:tcPr>
                <w:p w14:paraId="32A78853">
                  <w:pPr>
                    <w:keepNext w:val="0"/>
                    <w:keepLines w:val="0"/>
                    <w:suppressLineNumbers w:val="0"/>
                    <w:spacing w:before="0" w:beforeAutospacing="0" w:after="0" w:afterAutospacing="0"/>
                    <w:ind w:left="0" w:right="0"/>
                    <w:jc w:val="center"/>
                    <w:rPr>
                      <w:rFonts w:hint="eastAsia" w:ascii="Times New Roman" w:hAnsi="Times New Roman" w:eastAsia="宋体" w:cs="Times New Roman"/>
                      <w:color w:val="auto"/>
                      <w:szCs w:val="21"/>
                      <w:highlight w:val="none"/>
                      <w:lang w:val="en-US" w:eastAsia="zh-CN"/>
                    </w:rPr>
                  </w:pPr>
                  <w:r>
                    <w:rPr>
                      <w:rFonts w:hint="default" w:ascii="Times New Roman" w:hAnsi="Times New Roman" w:eastAsia="宋体" w:cs="Times New Roman"/>
                      <w:color w:val="auto"/>
                      <w:szCs w:val="21"/>
                      <w:highlight w:val="none"/>
                    </w:rPr>
                    <w:t>1</w:t>
                  </w:r>
                  <w:r>
                    <w:rPr>
                      <w:rFonts w:hint="eastAsia" w:ascii="Times New Roman" w:hAnsi="Times New Roman" w:eastAsia="宋体" w:cs="Times New Roman"/>
                      <w:color w:val="auto"/>
                      <w:szCs w:val="21"/>
                      <w:highlight w:val="none"/>
                      <w:lang w:val="en-US" w:eastAsia="zh-CN"/>
                    </w:rPr>
                    <w:t>0</w:t>
                  </w:r>
                </w:p>
              </w:tc>
              <w:tc>
                <w:tcPr>
                  <w:tcW w:w="394" w:type="pct"/>
                  <w:vMerge w:val="restart"/>
                  <w:vAlign w:val="center"/>
                </w:tcPr>
                <w:p w14:paraId="6025A2DB">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highlight w:val="none"/>
                    </w:rPr>
                  </w:pPr>
                  <w:r>
                    <w:rPr>
                      <w:rFonts w:hint="default" w:ascii="Times New Roman" w:hAnsi="Times New Roman" w:eastAsia="宋体" w:cs="Times New Roman"/>
                      <w:color w:val="auto"/>
                      <w:szCs w:val="21"/>
                      <w:highlight w:val="none"/>
                    </w:rPr>
                    <w:t>裁切</w:t>
                  </w:r>
                </w:p>
              </w:tc>
              <w:tc>
                <w:tcPr>
                  <w:tcW w:w="660" w:type="pct"/>
                  <w:vAlign w:val="center"/>
                </w:tcPr>
                <w:p w14:paraId="1EE58912">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highlight w:val="none"/>
                    </w:rPr>
                  </w:pPr>
                  <w:r>
                    <w:rPr>
                      <w:rFonts w:hint="default" w:ascii="Times New Roman" w:hAnsi="Times New Roman" w:eastAsia="宋体" w:cs="Times New Roman"/>
                      <w:color w:val="auto"/>
                      <w:szCs w:val="21"/>
                      <w:highlight w:val="none"/>
                    </w:rPr>
                    <w:t>大模切机</w:t>
                  </w:r>
                </w:p>
              </w:tc>
              <w:tc>
                <w:tcPr>
                  <w:tcW w:w="766" w:type="pct"/>
                  <w:vAlign w:val="center"/>
                </w:tcPr>
                <w:p w14:paraId="66C84563">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highlight w:val="none"/>
                    </w:rPr>
                  </w:pPr>
                  <w:r>
                    <w:rPr>
                      <w:rFonts w:hint="default" w:ascii="Times New Roman" w:hAnsi="Times New Roman" w:eastAsia="宋体" w:cs="Times New Roman"/>
                      <w:color w:val="auto"/>
                      <w:szCs w:val="21"/>
                      <w:highlight w:val="none"/>
                    </w:rPr>
                    <w:t>150吨</w:t>
                  </w:r>
                </w:p>
              </w:tc>
              <w:tc>
                <w:tcPr>
                  <w:tcW w:w="483" w:type="pct"/>
                  <w:vAlign w:val="center"/>
                </w:tcPr>
                <w:p w14:paraId="7FE0AAEF">
                  <w:pPr>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color w:val="auto"/>
                      <w:szCs w:val="21"/>
                      <w:highlight w:val="none"/>
                    </w:rPr>
                  </w:pPr>
                  <w:r>
                    <w:rPr>
                      <w:rFonts w:hint="eastAsia" w:ascii="Times New Roman" w:hAnsi="Times New Roman" w:eastAsia="宋体" w:cs="Times New Roman"/>
                      <w:color w:val="auto"/>
                      <w:szCs w:val="21"/>
                      <w:highlight w:val="none"/>
                      <w:lang w:val="en-US" w:eastAsia="zh-CN" w:bidi="ar"/>
                    </w:rPr>
                    <w:t>0</w:t>
                  </w:r>
                </w:p>
              </w:tc>
              <w:tc>
                <w:tcPr>
                  <w:tcW w:w="417" w:type="pct"/>
                  <w:vAlign w:val="center"/>
                </w:tcPr>
                <w:p w14:paraId="58A5FFE5">
                  <w:pPr>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color w:val="auto"/>
                      <w:szCs w:val="21"/>
                      <w:highlight w:val="none"/>
                    </w:rPr>
                  </w:pPr>
                  <w:r>
                    <w:rPr>
                      <w:rFonts w:hint="eastAsia" w:ascii="Times New Roman" w:hAnsi="Times New Roman" w:eastAsia="宋体" w:cs="Times New Roman"/>
                      <w:color w:val="auto"/>
                      <w:szCs w:val="21"/>
                      <w:highlight w:val="none"/>
                      <w:lang w:val="en-US" w:eastAsia="zh-CN" w:bidi="ar"/>
                    </w:rPr>
                    <w:t>0</w:t>
                  </w:r>
                </w:p>
              </w:tc>
              <w:tc>
                <w:tcPr>
                  <w:tcW w:w="592" w:type="pct"/>
                  <w:vAlign w:val="center"/>
                </w:tcPr>
                <w:p w14:paraId="2C1ADC9B">
                  <w:pPr>
                    <w:keepNext w:val="0"/>
                    <w:keepLines w:val="0"/>
                    <w:suppressLineNumbers w:val="0"/>
                    <w:spacing w:before="0" w:beforeAutospacing="0" w:after="0" w:afterAutospacing="0"/>
                    <w:ind w:left="0" w:right="0"/>
                    <w:jc w:val="center"/>
                    <w:rPr>
                      <w:rFonts w:hint="eastAsia" w:ascii="Times New Roman" w:hAnsi="Times New Roman" w:eastAsia="宋体" w:cs="Times New Roman"/>
                      <w:color w:val="auto"/>
                      <w:szCs w:val="21"/>
                      <w:highlight w:val="none"/>
                    </w:rPr>
                  </w:pPr>
                  <w:r>
                    <w:rPr>
                      <w:rFonts w:hint="eastAsia" w:ascii="Times New Roman" w:hAnsi="Times New Roman" w:eastAsia="宋体" w:cs="Times New Roman"/>
                      <w:color w:val="auto"/>
                      <w:szCs w:val="21"/>
                      <w:highlight w:val="none"/>
                    </w:rPr>
                    <w:t>4</w:t>
                  </w:r>
                </w:p>
              </w:tc>
              <w:tc>
                <w:tcPr>
                  <w:tcW w:w="537" w:type="pct"/>
                  <w:shd w:val="clear" w:color="auto" w:fill="auto"/>
                  <w:vAlign w:val="center"/>
                </w:tcPr>
                <w:p w14:paraId="464ECB69">
                  <w:pPr>
                    <w:keepNext w:val="0"/>
                    <w:keepLines w:val="0"/>
                    <w:suppressLineNumbers w:val="0"/>
                    <w:spacing w:before="0" w:beforeAutospacing="0" w:after="0" w:afterAutospacing="0"/>
                    <w:ind w:left="0" w:leftChars="0" w:right="0" w:rightChars="0"/>
                    <w:jc w:val="center"/>
                    <w:rPr>
                      <w:rFonts w:hint="eastAsia" w:ascii="Times New Roman" w:hAnsi="Times New Roman" w:eastAsia="宋体" w:cs="Times New Roman"/>
                      <w:color w:val="auto"/>
                      <w:kern w:val="2"/>
                      <w:sz w:val="21"/>
                      <w:szCs w:val="21"/>
                      <w:highlight w:val="none"/>
                      <w:lang w:val="en-US" w:eastAsia="zh-CN" w:bidi="ar-SA"/>
                    </w:rPr>
                  </w:pPr>
                  <w:r>
                    <w:rPr>
                      <w:rFonts w:hint="eastAsia" w:ascii="Times New Roman" w:hAnsi="Times New Roman" w:eastAsia="宋体" w:cs="Times New Roman"/>
                      <w:color w:val="auto"/>
                      <w:szCs w:val="21"/>
                      <w:highlight w:val="none"/>
                      <w:lang w:val="en-US" w:eastAsia="zh-CN"/>
                    </w:rPr>
                    <w:t>+</w:t>
                  </w:r>
                  <w:r>
                    <w:rPr>
                      <w:rFonts w:hint="eastAsia" w:ascii="Times New Roman" w:hAnsi="Times New Roman" w:eastAsia="宋体" w:cs="Times New Roman"/>
                      <w:color w:val="auto"/>
                      <w:szCs w:val="21"/>
                      <w:highlight w:val="none"/>
                    </w:rPr>
                    <w:t>4</w:t>
                  </w:r>
                </w:p>
              </w:tc>
              <w:tc>
                <w:tcPr>
                  <w:tcW w:w="211" w:type="pct"/>
                  <w:vMerge w:val="continue"/>
                  <w:shd w:val="clear" w:color="auto" w:fill="auto"/>
                  <w:vAlign w:val="center"/>
                </w:tcPr>
                <w:p w14:paraId="37111D32">
                  <w:pPr>
                    <w:keepNext w:val="0"/>
                    <w:keepLines w:val="0"/>
                    <w:widowControl w:val="0"/>
                    <w:suppressLineNumbers w:val="0"/>
                    <w:spacing w:before="0" w:beforeAutospacing="0" w:after="0" w:afterAutospacing="0"/>
                    <w:ind w:left="0" w:leftChars="0" w:right="0" w:rightChars="0"/>
                    <w:jc w:val="center"/>
                    <w:rPr>
                      <w:rFonts w:hint="eastAsia" w:ascii="Times New Roman" w:hAnsi="Times New Roman" w:eastAsia="宋体" w:cs="Times New Roman"/>
                      <w:color w:val="auto"/>
                      <w:kern w:val="2"/>
                      <w:sz w:val="21"/>
                      <w:szCs w:val="21"/>
                      <w:highlight w:val="none"/>
                      <w:lang w:val="en-US" w:eastAsia="zh-CN" w:bidi="ar-SA"/>
                    </w:rPr>
                  </w:pPr>
                </w:p>
              </w:tc>
              <w:tc>
                <w:tcPr>
                  <w:tcW w:w="325" w:type="pct"/>
                  <w:shd w:val="clear" w:color="auto" w:fill="auto"/>
                  <w:vAlign w:val="center"/>
                </w:tcPr>
                <w:p w14:paraId="5504AF85">
                  <w:pPr>
                    <w:keepNext w:val="0"/>
                    <w:keepLines w:val="0"/>
                    <w:widowControl w:val="0"/>
                    <w:suppressLineNumbers w:val="0"/>
                    <w:spacing w:before="0" w:beforeAutospacing="0" w:after="0" w:afterAutospacing="0"/>
                    <w:ind w:left="0" w:leftChars="0" w:right="0" w:rightChars="0"/>
                    <w:jc w:val="center"/>
                    <w:rPr>
                      <w:rFonts w:hint="eastAsia" w:ascii="Times New Roman" w:hAnsi="Times New Roman" w:eastAsia="宋体" w:cs="Times New Roman"/>
                      <w:color w:val="auto"/>
                      <w:kern w:val="2"/>
                      <w:sz w:val="21"/>
                      <w:szCs w:val="21"/>
                      <w:highlight w:val="none"/>
                      <w:lang w:val="en-US" w:eastAsia="zh-CN" w:bidi="ar-SA"/>
                    </w:rPr>
                  </w:pPr>
                  <w:r>
                    <w:rPr>
                      <w:rFonts w:hint="eastAsia" w:ascii="Times New Roman" w:hAnsi="Times New Roman" w:cs="Times New Roman"/>
                      <w:color w:val="auto"/>
                      <w:kern w:val="2"/>
                      <w:sz w:val="21"/>
                      <w:szCs w:val="21"/>
                      <w:highlight w:val="none"/>
                      <w:lang w:val="en-US" w:eastAsia="zh-CN"/>
                    </w:rPr>
                    <w:t>1楼</w:t>
                  </w:r>
                </w:p>
              </w:tc>
              <w:tc>
                <w:tcPr>
                  <w:tcW w:w="320" w:type="pct"/>
                  <w:vAlign w:val="center"/>
                </w:tcPr>
                <w:p w14:paraId="1D8DE088">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highlight w:val="none"/>
                    </w:rPr>
                  </w:pPr>
                  <w:r>
                    <w:rPr>
                      <w:rFonts w:hint="default" w:ascii="Times New Roman" w:hAnsi="Times New Roman" w:eastAsia="宋体" w:cs="Times New Roman"/>
                      <w:color w:val="auto"/>
                      <w:szCs w:val="21"/>
                      <w:highlight w:val="none"/>
                    </w:rPr>
                    <w:t>新增</w:t>
                  </w:r>
                </w:p>
              </w:tc>
            </w:tr>
            <w:tr w14:paraId="5FCDCC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291" w:type="pct"/>
                  <w:shd w:val="clear" w:color="auto" w:fill="auto"/>
                  <w:vAlign w:val="center"/>
                </w:tcPr>
                <w:p w14:paraId="72B62AD9">
                  <w:pPr>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color w:val="auto"/>
                      <w:szCs w:val="21"/>
                      <w:highlight w:val="none"/>
                    </w:rPr>
                    <w:t>11</w:t>
                  </w:r>
                </w:p>
              </w:tc>
              <w:tc>
                <w:tcPr>
                  <w:tcW w:w="394" w:type="pct"/>
                  <w:vMerge w:val="continue"/>
                  <w:vAlign w:val="center"/>
                </w:tcPr>
                <w:p w14:paraId="5196B6C6">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highlight w:val="none"/>
                    </w:rPr>
                  </w:pPr>
                </w:p>
              </w:tc>
              <w:tc>
                <w:tcPr>
                  <w:tcW w:w="660" w:type="pct"/>
                  <w:vAlign w:val="center"/>
                </w:tcPr>
                <w:p w14:paraId="1DEEB228">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highlight w:val="none"/>
                    </w:rPr>
                  </w:pPr>
                  <w:r>
                    <w:rPr>
                      <w:rFonts w:hint="default" w:ascii="Times New Roman" w:hAnsi="Times New Roman" w:eastAsia="宋体" w:cs="Times New Roman"/>
                      <w:color w:val="auto"/>
                      <w:szCs w:val="21"/>
                      <w:highlight w:val="none"/>
                    </w:rPr>
                    <w:t>圆刀机</w:t>
                  </w:r>
                </w:p>
              </w:tc>
              <w:tc>
                <w:tcPr>
                  <w:tcW w:w="766" w:type="pct"/>
                  <w:vAlign w:val="center"/>
                </w:tcPr>
                <w:p w14:paraId="69357568">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highlight w:val="none"/>
                    </w:rPr>
                  </w:pPr>
                  <w:r>
                    <w:rPr>
                      <w:rFonts w:hint="default" w:ascii="Times New Roman" w:hAnsi="Times New Roman" w:eastAsia="宋体" w:cs="Times New Roman"/>
                      <w:color w:val="auto"/>
                      <w:szCs w:val="21"/>
                      <w:highlight w:val="none"/>
                    </w:rPr>
                    <w:t>250</w:t>
                  </w:r>
                </w:p>
              </w:tc>
              <w:tc>
                <w:tcPr>
                  <w:tcW w:w="483" w:type="pct"/>
                  <w:vAlign w:val="center"/>
                </w:tcPr>
                <w:p w14:paraId="3C09473A">
                  <w:pPr>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color w:val="auto"/>
                      <w:szCs w:val="21"/>
                      <w:highlight w:val="none"/>
                    </w:rPr>
                  </w:pPr>
                  <w:r>
                    <w:rPr>
                      <w:rFonts w:hint="eastAsia" w:ascii="Times New Roman" w:hAnsi="Times New Roman" w:eastAsia="宋体" w:cs="Times New Roman"/>
                      <w:color w:val="auto"/>
                      <w:szCs w:val="21"/>
                      <w:highlight w:val="none"/>
                      <w:lang w:val="en-US" w:eastAsia="zh-CN" w:bidi="ar"/>
                    </w:rPr>
                    <w:t>0</w:t>
                  </w:r>
                </w:p>
              </w:tc>
              <w:tc>
                <w:tcPr>
                  <w:tcW w:w="417" w:type="pct"/>
                  <w:vAlign w:val="center"/>
                </w:tcPr>
                <w:p w14:paraId="297F276D">
                  <w:pPr>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color w:val="auto"/>
                      <w:szCs w:val="21"/>
                      <w:highlight w:val="none"/>
                    </w:rPr>
                  </w:pPr>
                  <w:r>
                    <w:rPr>
                      <w:rFonts w:hint="eastAsia" w:ascii="Times New Roman" w:hAnsi="Times New Roman" w:eastAsia="宋体" w:cs="Times New Roman"/>
                      <w:color w:val="auto"/>
                      <w:szCs w:val="21"/>
                      <w:highlight w:val="none"/>
                      <w:lang w:val="en-US" w:eastAsia="zh-CN" w:bidi="ar"/>
                    </w:rPr>
                    <w:t>0</w:t>
                  </w:r>
                </w:p>
              </w:tc>
              <w:tc>
                <w:tcPr>
                  <w:tcW w:w="592" w:type="pct"/>
                  <w:vAlign w:val="center"/>
                </w:tcPr>
                <w:p w14:paraId="42E5FE8F">
                  <w:pPr>
                    <w:keepNext w:val="0"/>
                    <w:keepLines w:val="0"/>
                    <w:suppressLineNumbers w:val="0"/>
                    <w:spacing w:before="0" w:beforeAutospacing="0" w:after="0" w:afterAutospacing="0"/>
                    <w:ind w:left="0" w:right="0"/>
                    <w:jc w:val="center"/>
                    <w:rPr>
                      <w:rFonts w:hint="eastAsia" w:ascii="Times New Roman" w:hAnsi="Times New Roman" w:eastAsia="宋体" w:cs="Times New Roman"/>
                      <w:color w:val="auto"/>
                      <w:szCs w:val="21"/>
                      <w:highlight w:val="none"/>
                    </w:rPr>
                  </w:pPr>
                  <w:r>
                    <w:rPr>
                      <w:rFonts w:hint="eastAsia" w:ascii="Times New Roman" w:hAnsi="Times New Roman" w:eastAsia="宋体" w:cs="Times New Roman"/>
                      <w:color w:val="auto"/>
                      <w:szCs w:val="21"/>
                      <w:highlight w:val="none"/>
                    </w:rPr>
                    <w:t>2</w:t>
                  </w:r>
                </w:p>
              </w:tc>
              <w:tc>
                <w:tcPr>
                  <w:tcW w:w="537" w:type="pct"/>
                  <w:shd w:val="clear" w:color="auto" w:fill="auto"/>
                  <w:vAlign w:val="center"/>
                </w:tcPr>
                <w:p w14:paraId="477147B9">
                  <w:pPr>
                    <w:keepNext w:val="0"/>
                    <w:keepLines w:val="0"/>
                    <w:suppressLineNumbers w:val="0"/>
                    <w:spacing w:before="0" w:beforeAutospacing="0" w:after="0" w:afterAutospacing="0"/>
                    <w:ind w:left="0" w:leftChars="0" w:right="0" w:rightChars="0"/>
                    <w:jc w:val="center"/>
                    <w:rPr>
                      <w:rFonts w:hint="eastAsia" w:ascii="Times New Roman" w:hAnsi="Times New Roman" w:eastAsia="宋体" w:cs="Times New Roman"/>
                      <w:color w:val="auto"/>
                      <w:kern w:val="2"/>
                      <w:sz w:val="21"/>
                      <w:szCs w:val="21"/>
                      <w:highlight w:val="none"/>
                      <w:lang w:val="en-US" w:eastAsia="zh-CN" w:bidi="ar-SA"/>
                    </w:rPr>
                  </w:pPr>
                  <w:r>
                    <w:rPr>
                      <w:rFonts w:hint="eastAsia" w:ascii="Times New Roman" w:hAnsi="Times New Roman" w:eastAsia="宋体" w:cs="Times New Roman"/>
                      <w:color w:val="auto"/>
                      <w:szCs w:val="21"/>
                      <w:highlight w:val="none"/>
                      <w:lang w:val="en-US" w:eastAsia="zh-CN"/>
                    </w:rPr>
                    <w:t>+</w:t>
                  </w:r>
                  <w:r>
                    <w:rPr>
                      <w:rFonts w:hint="eastAsia" w:ascii="Times New Roman" w:hAnsi="Times New Roman" w:eastAsia="宋体" w:cs="Times New Roman"/>
                      <w:color w:val="auto"/>
                      <w:szCs w:val="21"/>
                      <w:highlight w:val="none"/>
                    </w:rPr>
                    <w:t>2</w:t>
                  </w:r>
                </w:p>
              </w:tc>
              <w:tc>
                <w:tcPr>
                  <w:tcW w:w="211" w:type="pct"/>
                  <w:vMerge w:val="continue"/>
                  <w:shd w:val="clear" w:color="auto" w:fill="auto"/>
                  <w:vAlign w:val="center"/>
                </w:tcPr>
                <w:p w14:paraId="77955025">
                  <w:pPr>
                    <w:keepNext w:val="0"/>
                    <w:keepLines w:val="0"/>
                    <w:widowControl w:val="0"/>
                    <w:suppressLineNumbers w:val="0"/>
                    <w:spacing w:before="0" w:beforeAutospacing="0" w:after="0" w:afterAutospacing="0"/>
                    <w:ind w:left="0" w:leftChars="0" w:right="0" w:rightChars="0"/>
                    <w:jc w:val="center"/>
                    <w:rPr>
                      <w:rFonts w:hint="eastAsia" w:ascii="Times New Roman" w:hAnsi="Times New Roman" w:eastAsia="宋体" w:cs="Times New Roman"/>
                      <w:color w:val="auto"/>
                      <w:kern w:val="2"/>
                      <w:sz w:val="21"/>
                      <w:szCs w:val="21"/>
                      <w:highlight w:val="none"/>
                      <w:lang w:val="en-US" w:eastAsia="zh-CN" w:bidi="ar-SA"/>
                    </w:rPr>
                  </w:pPr>
                </w:p>
              </w:tc>
              <w:tc>
                <w:tcPr>
                  <w:tcW w:w="325" w:type="pct"/>
                  <w:shd w:val="clear" w:color="auto" w:fill="auto"/>
                  <w:vAlign w:val="center"/>
                </w:tcPr>
                <w:p w14:paraId="1189C9D5">
                  <w:pPr>
                    <w:keepNext w:val="0"/>
                    <w:keepLines w:val="0"/>
                    <w:widowControl w:val="0"/>
                    <w:suppressLineNumbers w:val="0"/>
                    <w:spacing w:before="0" w:beforeAutospacing="0" w:after="0" w:afterAutospacing="0"/>
                    <w:ind w:left="0" w:leftChars="0" w:right="0" w:rightChars="0"/>
                    <w:jc w:val="center"/>
                    <w:rPr>
                      <w:rFonts w:hint="eastAsia" w:ascii="Times New Roman" w:hAnsi="Times New Roman" w:eastAsia="宋体" w:cs="Times New Roman"/>
                      <w:color w:val="auto"/>
                      <w:kern w:val="2"/>
                      <w:sz w:val="21"/>
                      <w:szCs w:val="21"/>
                      <w:highlight w:val="none"/>
                      <w:lang w:val="en-US" w:eastAsia="zh-CN" w:bidi="ar-SA"/>
                    </w:rPr>
                  </w:pPr>
                  <w:r>
                    <w:rPr>
                      <w:rFonts w:hint="eastAsia" w:ascii="Times New Roman" w:hAnsi="Times New Roman" w:cs="Times New Roman"/>
                      <w:color w:val="auto"/>
                      <w:kern w:val="2"/>
                      <w:sz w:val="21"/>
                      <w:szCs w:val="21"/>
                      <w:highlight w:val="none"/>
                      <w:lang w:val="en-US" w:eastAsia="zh-CN"/>
                    </w:rPr>
                    <w:t>2楼</w:t>
                  </w:r>
                </w:p>
              </w:tc>
              <w:tc>
                <w:tcPr>
                  <w:tcW w:w="320" w:type="pct"/>
                  <w:vAlign w:val="center"/>
                </w:tcPr>
                <w:p w14:paraId="0C637D62">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highlight w:val="none"/>
                    </w:rPr>
                  </w:pPr>
                  <w:r>
                    <w:rPr>
                      <w:rFonts w:hint="default" w:ascii="Times New Roman" w:hAnsi="Times New Roman" w:eastAsia="宋体" w:cs="Times New Roman"/>
                      <w:color w:val="auto"/>
                      <w:szCs w:val="21"/>
                      <w:highlight w:val="none"/>
                    </w:rPr>
                    <w:t>新增</w:t>
                  </w:r>
                </w:p>
              </w:tc>
            </w:tr>
            <w:tr w14:paraId="28ABA2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291" w:type="pct"/>
                  <w:shd w:val="clear" w:color="auto" w:fill="auto"/>
                  <w:vAlign w:val="center"/>
                </w:tcPr>
                <w:p w14:paraId="75266C6B">
                  <w:pPr>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color w:val="auto"/>
                      <w:szCs w:val="21"/>
                      <w:highlight w:val="none"/>
                    </w:rPr>
                    <w:t>12</w:t>
                  </w:r>
                </w:p>
              </w:tc>
              <w:tc>
                <w:tcPr>
                  <w:tcW w:w="394" w:type="pct"/>
                  <w:vMerge w:val="continue"/>
                  <w:vAlign w:val="center"/>
                </w:tcPr>
                <w:p w14:paraId="5E1A3423">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highlight w:val="none"/>
                    </w:rPr>
                  </w:pPr>
                </w:p>
              </w:tc>
              <w:tc>
                <w:tcPr>
                  <w:tcW w:w="660" w:type="pct"/>
                  <w:vAlign w:val="center"/>
                </w:tcPr>
                <w:p w14:paraId="2E4F18E1">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highlight w:val="none"/>
                    </w:rPr>
                  </w:pPr>
                  <w:r>
                    <w:rPr>
                      <w:rFonts w:hint="default" w:ascii="Times New Roman" w:hAnsi="Times New Roman" w:eastAsia="宋体" w:cs="Times New Roman"/>
                      <w:color w:val="auto"/>
                      <w:szCs w:val="21"/>
                      <w:highlight w:val="none"/>
                    </w:rPr>
                    <w:t>圆刀机</w:t>
                  </w:r>
                </w:p>
              </w:tc>
              <w:tc>
                <w:tcPr>
                  <w:tcW w:w="766" w:type="pct"/>
                  <w:vAlign w:val="center"/>
                </w:tcPr>
                <w:p w14:paraId="2B7A3460">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highlight w:val="none"/>
                    </w:rPr>
                  </w:pPr>
                  <w:r>
                    <w:rPr>
                      <w:rFonts w:hint="default" w:ascii="Times New Roman" w:hAnsi="Times New Roman" w:eastAsia="宋体" w:cs="Times New Roman"/>
                      <w:color w:val="auto"/>
                      <w:szCs w:val="21"/>
                      <w:highlight w:val="none"/>
                    </w:rPr>
                    <w:t>350</w:t>
                  </w:r>
                </w:p>
              </w:tc>
              <w:tc>
                <w:tcPr>
                  <w:tcW w:w="483" w:type="pct"/>
                  <w:vAlign w:val="center"/>
                </w:tcPr>
                <w:p w14:paraId="7B5B95FC">
                  <w:pPr>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color w:val="auto"/>
                      <w:szCs w:val="21"/>
                      <w:highlight w:val="none"/>
                    </w:rPr>
                  </w:pPr>
                  <w:r>
                    <w:rPr>
                      <w:rFonts w:hint="eastAsia" w:ascii="Times New Roman" w:hAnsi="Times New Roman" w:eastAsia="宋体" w:cs="Times New Roman"/>
                      <w:color w:val="auto"/>
                      <w:szCs w:val="21"/>
                      <w:highlight w:val="none"/>
                      <w:lang w:val="en-US" w:eastAsia="zh-CN" w:bidi="ar"/>
                    </w:rPr>
                    <w:t>0</w:t>
                  </w:r>
                </w:p>
              </w:tc>
              <w:tc>
                <w:tcPr>
                  <w:tcW w:w="417" w:type="pct"/>
                  <w:vAlign w:val="center"/>
                </w:tcPr>
                <w:p w14:paraId="3F8B1E6E">
                  <w:pPr>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color w:val="auto"/>
                      <w:szCs w:val="21"/>
                      <w:highlight w:val="none"/>
                    </w:rPr>
                  </w:pPr>
                  <w:r>
                    <w:rPr>
                      <w:rFonts w:hint="eastAsia" w:ascii="Times New Roman" w:hAnsi="Times New Roman" w:eastAsia="宋体" w:cs="Times New Roman"/>
                      <w:color w:val="auto"/>
                      <w:szCs w:val="21"/>
                      <w:highlight w:val="none"/>
                      <w:lang w:val="en-US" w:eastAsia="zh-CN" w:bidi="ar"/>
                    </w:rPr>
                    <w:t>0</w:t>
                  </w:r>
                </w:p>
              </w:tc>
              <w:tc>
                <w:tcPr>
                  <w:tcW w:w="592" w:type="pct"/>
                  <w:vAlign w:val="center"/>
                </w:tcPr>
                <w:p w14:paraId="0A38090A">
                  <w:pPr>
                    <w:keepNext w:val="0"/>
                    <w:keepLines w:val="0"/>
                    <w:suppressLineNumbers w:val="0"/>
                    <w:spacing w:before="0" w:beforeAutospacing="0" w:after="0" w:afterAutospacing="0"/>
                    <w:ind w:left="0" w:right="0"/>
                    <w:jc w:val="center"/>
                    <w:rPr>
                      <w:rFonts w:hint="eastAsia" w:ascii="Times New Roman" w:hAnsi="Times New Roman" w:eastAsia="宋体" w:cs="Times New Roman"/>
                      <w:color w:val="auto"/>
                      <w:szCs w:val="21"/>
                      <w:highlight w:val="none"/>
                    </w:rPr>
                  </w:pPr>
                  <w:r>
                    <w:rPr>
                      <w:rFonts w:hint="eastAsia" w:ascii="Times New Roman" w:hAnsi="Times New Roman" w:eastAsia="宋体" w:cs="Times New Roman"/>
                      <w:color w:val="auto"/>
                      <w:szCs w:val="21"/>
                      <w:highlight w:val="none"/>
                    </w:rPr>
                    <w:t>4</w:t>
                  </w:r>
                </w:p>
              </w:tc>
              <w:tc>
                <w:tcPr>
                  <w:tcW w:w="537" w:type="pct"/>
                  <w:shd w:val="clear" w:color="auto" w:fill="auto"/>
                  <w:vAlign w:val="center"/>
                </w:tcPr>
                <w:p w14:paraId="0F8D4A18">
                  <w:pPr>
                    <w:keepNext w:val="0"/>
                    <w:keepLines w:val="0"/>
                    <w:suppressLineNumbers w:val="0"/>
                    <w:spacing w:before="0" w:beforeAutospacing="0" w:after="0" w:afterAutospacing="0"/>
                    <w:ind w:left="0" w:leftChars="0" w:right="0" w:rightChars="0"/>
                    <w:jc w:val="center"/>
                    <w:rPr>
                      <w:rFonts w:hint="eastAsia" w:ascii="Times New Roman" w:hAnsi="Times New Roman" w:eastAsia="宋体" w:cs="Times New Roman"/>
                      <w:color w:val="auto"/>
                      <w:kern w:val="2"/>
                      <w:sz w:val="21"/>
                      <w:szCs w:val="21"/>
                      <w:highlight w:val="none"/>
                      <w:lang w:val="en-US" w:eastAsia="zh-CN" w:bidi="ar-SA"/>
                    </w:rPr>
                  </w:pPr>
                  <w:r>
                    <w:rPr>
                      <w:rFonts w:hint="eastAsia" w:ascii="Times New Roman" w:hAnsi="Times New Roman" w:eastAsia="宋体" w:cs="Times New Roman"/>
                      <w:color w:val="auto"/>
                      <w:szCs w:val="21"/>
                      <w:highlight w:val="none"/>
                      <w:lang w:val="en-US" w:eastAsia="zh-CN"/>
                    </w:rPr>
                    <w:t>+</w:t>
                  </w:r>
                  <w:r>
                    <w:rPr>
                      <w:rFonts w:hint="eastAsia" w:ascii="Times New Roman" w:hAnsi="Times New Roman" w:eastAsia="宋体" w:cs="Times New Roman"/>
                      <w:color w:val="auto"/>
                      <w:szCs w:val="21"/>
                      <w:highlight w:val="none"/>
                    </w:rPr>
                    <w:t>4</w:t>
                  </w:r>
                </w:p>
              </w:tc>
              <w:tc>
                <w:tcPr>
                  <w:tcW w:w="211" w:type="pct"/>
                  <w:vMerge w:val="continue"/>
                  <w:shd w:val="clear" w:color="auto" w:fill="auto"/>
                  <w:vAlign w:val="center"/>
                </w:tcPr>
                <w:p w14:paraId="271AA314">
                  <w:pPr>
                    <w:keepNext w:val="0"/>
                    <w:keepLines w:val="0"/>
                    <w:widowControl w:val="0"/>
                    <w:suppressLineNumbers w:val="0"/>
                    <w:spacing w:before="0" w:beforeAutospacing="0" w:after="0" w:afterAutospacing="0"/>
                    <w:ind w:left="0" w:leftChars="0" w:right="0" w:rightChars="0"/>
                    <w:jc w:val="center"/>
                    <w:rPr>
                      <w:rFonts w:hint="eastAsia" w:ascii="Times New Roman" w:hAnsi="Times New Roman" w:eastAsia="宋体" w:cs="Times New Roman"/>
                      <w:color w:val="auto"/>
                      <w:kern w:val="2"/>
                      <w:sz w:val="21"/>
                      <w:szCs w:val="21"/>
                      <w:highlight w:val="none"/>
                      <w:lang w:val="en-US" w:eastAsia="zh-CN" w:bidi="ar-SA"/>
                    </w:rPr>
                  </w:pPr>
                </w:p>
              </w:tc>
              <w:tc>
                <w:tcPr>
                  <w:tcW w:w="325" w:type="pct"/>
                  <w:shd w:val="clear" w:color="auto" w:fill="auto"/>
                  <w:vAlign w:val="center"/>
                </w:tcPr>
                <w:p w14:paraId="7C66D7DC">
                  <w:pPr>
                    <w:keepNext w:val="0"/>
                    <w:keepLines w:val="0"/>
                    <w:widowControl w:val="0"/>
                    <w:suppressLineNumbers w:val="0"/>
                    <w:spacing w:before="0" w:beforeAutospacing="0" w:after="0" w:afterAutospacing="0"/>
                    <w:ind w:left="0" w:leftChars="0" w:right="0" w:rightChars="0"/>
                    <w:jc w:val="center"/>
                    <w:rPr>
                      <w:rFonts w:hint="eastAsia" w:ascii="Times New Roman" w:hAnsi="Times New Roman" w:eastAsia="宋体" w:cs="Times New Roman"/>
                      <w:color w:val="auto"/>
                      <w:kern w:val="2"/>
                      <w:sz w:val="21"/>
                      <w:szCs w:val="21"/>
                      <w:highlight w:val="none"/>
                      <w:lang w:val="en-US" w:eastAsia="zh-CN" w:bidi="ar-SA"/>
                    </w:rPr>
                  </w:pPr>
                  <w:r>
                    <w:rPr>
                      <w:rFonts w:hint="eastAsia" w:ascii="Times New Roman" w:hAnsi="Times New Roman" w:cs="Times New Roman"/>
                      <w:color w:val="auto"/>
                      <w:kern w:val="2"/>
                      <w:sz w:val="21"/>
                      <w:szCs w:val="21"/>
                      <w:highlight w:val="none"/>
                      <w:lang w:val="en-US" w:eastAsia="zh-CN"/>
                    </w:rPr>
                    <w:t>2楼</w:t>
                  </w:r>
                </w:p>
              </w:tc>
              <w:tc>
                <w:tcPr>
                  <w:tcW w:w="320" w:type="pct"/>
                  <w:vAlign w:val="center"/>
                </w:tcPr>
                <w:p w14:paraId="22BF8705">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highlight w:val="none"/>
                    </w:rPr>
                  </w:pPr>
                  <w:r>
                    <w:rPr>
                      <w:rFonts w:hint="default" w:ascii="Times New Roman" w:hAnsi="Times New Roman" w:eastAsia="宋体" w:cs="Times New Roman"/>
                      <w:color w:val="auto"/>
                      <w:szCs w:val="21"/>
                      <w:highlight w:val="none"/>
                    </w:rPr>
                    <w:t>新增</w:t>
                  </w:r>
                </w:p>
              </w:tc>
            </w:tr>
            <w:tr w14:paraId="725830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291" w:type="pct"/>
                  <w:shd w:val="clear" w:color="auto" w:fill="auto"/>
                  <w:vAlign w:val="center"/>
                </w:tcPr>
                <w:p w14:paraId="5B76D719">
                  <w:pPr>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color w:val="auto"/>
                      <w:szCs w:val="21"/>
                      <w:highlight w:val="none"/>
                    </w:rPr>
                    <w:t>13</w:t>
                  </w:r>
                </w:p>
              </w:tc>
              <w:tc>
                <w:tcPr>
                  <w:tcW w:w="394" w:type="pct"/>
                  <w:vMerge w:val="continue"/>
                  <w:vAlign w:val="center"/>
                </w:tcPr>
                <w:p w14:paraId="7926CC7F">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highlight w:val="none"/>
                    </w:rPr>
                  </w:pPr>
                </w:p>
              </w:tc>
              <w:tc>
                <w:tcPr>
                  <w:tcW w:w="660" w:type="pct"/>
                  <w:vAlign w:val="center"/>
                </w:tcPr>
                <w:p w14:paraId="60800BFC">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highlight w:val="none"/>
                    </w:rPr>
                  </w:pPr>
                  <w:r>
                    <w:rPr>
                      <w:rFonts w:hint="default" w:ascii="Times New Roman" w:hAnsi="Times New Roman" w:eastAsia="宋体" w:cs="Times New Roman"/>
                      <w:color w:val="auto"/>
                      <w:szCs w:val="21"/>
                      <w:highlight w:val="none"/>
                    </w:rPr>
                    <w:t>1350切卷机</w:t>
                  </w:r>
                </w:p>
              </w:tc>
              <w:tc>
                <w:tcPr>
                  <w:tcW w:w="766" w:type="pct"/>
                  <w:vAlign w:val="center"/>
                </w:tcPr>
                <w:p w14:paraId="2B58B976">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highlight w:val="none"/>
                    </w:rPr>
                  </w:pPr>
                  <w:r>
                    <w:rPr>
                      <w:rFonts w:hint="default" w:ascii="Times New Roman" w:hAnsi="Times New Roman" w:eastAsia="宋体" w:cs="Times New Roman"/>
                      <w:color w:val="auto"/>
                      <w:szCs w:val="21"/>
                      <w:highlight w:val="none"/>
                    </w:rPr>
                    <w:t>1350</w:t>
                  </w:r>
                </w:p>
              </w:tc>
              <w:tc>
                <w:tcPr>
                  <w:tcW w:w="483" w:type="pct"/>
                  <w:vAlign w:val="center"/>
                </w:tcPr>
                <w:p w14:paraId="62998651">
                  <w:pPr>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color w:val="auto"/>
                      <w:szCs w:val="21"/>
                      <w:highlight w:val="none"/>
                    </w:rPr>
                  </w:pPr>
                  <w:r>
                    <w:rPr>
                      <w:rFonts w:hint="eastAsia" w:ascii="Times New Roman" w:hAnsi="Times New Roman" w:eastAsia="宋体" w:cs="Times New Roman"/>
                      <w:color w:val="auto"/>
                      <w:szCs w:val="21"/>
                      <w:highlight w:val="none"/>
                      <w:lang w:val="en-US" w:eastAsia="zh-CN" w:bidi="ar"/>
                    </w:rPr>
                    <w:t>0</w:t>
                  </w:r>
                </w:p>
              </w:tc>
              <w:tc>
                <w:tcPr>
                  <w:tcW w:w="417" w:type="pct"/>
                  <w:vAlign w:val="center"/>
                </w:tcPr>
                <w:p w14:paraId="0EAB7ABF">
                  <w:pPr>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color w:val="auto"/>
                      <w:szCs w:val="21"/>
                      <w:highlight w:val="none"/>
                    </w:rPr>
                  </w:pPr>
                  <w:r>
                    <w:rPr>
                      <w:rFonts w:hint="eastAsia" w:ascii="Times New Roman" w:hAnsi="Times New Roman" w:eastAsia="宋体" w:cs="Times New Roman"/>
                      <w:color w:val="auto"/>
                      <w:szCs w:val="21"/>
                      <w:highlight w:val="none"/>
                      <w:lang w:val="en-US" w:eastAsia="zh-CN" w:bidi="ar"/>
                    </w:rPr>
                    <w:t>0</w:t>
                  </w:r>
                </w:p>
              </w:tc>
              <w:tc>
                <w:tcPr>
                  <w:tcW w:w="592" w:type="pct"/>
                  <w:vAlign w:val="center"/>
                </w:tcPr>
                <w:p w14:paraId="05CFA176">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highlight w:val="none"/>
                    </w:rPr>
                  </w:pPr>
                  <w:r>
                    <w:rPr>
                      <w:rFonts w:hint="default" w:ascii="Times New Roman" w:hAnsi="Times New Roman" w:eastAsia="宋体" w:cs="Times New Roman"/>
                      <w:color w:val="auto"/>
                      <w:szCs w:val="21"/>
                      <w:highlight w:val="none"/>
                    </w:rPr>
                    <w:t>1</w:t>
                  </w:r>
                </w:p>
              </w:tc>
              <w:tc>
                <w:tcPr>
                  <w:tcW w:w="537" w:type="pct"/>
                  <w:shd w:val="clear" w:color="auto" w:fill="auto"/>
                  <w:vAlign w:val="center"/>
                </w:tcPr>
                <w:p w14:paraId="3E326ACD">
                  <w:pPr>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color w:val="auto"/>
                      <w:kern w:val="2"/>
                      <w:sz w:val="21"/>
                      <w:szCs w:val="21"/>
                      <w:highlight w:val="none"/>
                      <w:lang w:val="en-US" w:eastAsia="zh-CN" w:bidi="ar-SA"/>
                    </w:rPr>
                  </w:pPr>
                  <w:r>
                    <w:rPr>
                      <w:rFonts w:hint="eastAsia" w:ascii="Times New Roman" w:hAnsi="Times New Roman" w:eastAsia="宋体" w:cs="Times New Roman"/>
                      <w:color w:val="auto"/>
                      <w:szCs w:val="21"/>
                      <w:highlight w:val="none"/>
                      <w:lang w:val="en-US" w:eastAsia="zh-CN"/>
                    </w:rPr>
                    <w:t>+</w:t>
                  </w:r>
                  <w:r>
                    <w:rPr>
                      <w:rFonts w:hint="default" w:ascii="Times New Roman" w:hAnsi="Times New Roman" w:eastAsia="宋体" w:cs="Times New Roman"/>
                      <w:color w:val="auto"/>
                      <w:szCs w:val="21"/>
                      <w:highlight w:val="none"/>
                    </w:rPr>
                    <w:t>1</w:t>
                  </w:r>
                </w:p>
              </w:tc>
              <w:tc>
                <w:tcPr>
                  <w:tcW w:w="211" w:type="pct"/>
                  <w:vMerge w:val="continue"/>
                  <w:shd w:val="clear" w:color="auto" w:fill="auto"/>
                  <w:vAlign w:val="center"/>
                </w:tcPr>
                <w:p w14:paraId="6B916BD6">
                  <w:pPr>
                    <w:keepNext w:val="0"/>
                    <w:keepLines w:val="0"/>
                    <w:widowControl w:val="0"/>
                    <w:suppressLineNumbers w:val="0"/>
                    <w:spacing w:before="0" w:beforeAutospacing="0" w:after="0" w:afterAutospacing="0"/>
                    <w:ind w:left="0" w:leftChars="0" w:right="0" w:rightChars="0"/>
                    <w:jc w:val="center"/>
                    <w:rPr>
                      <w:rFonts w:hint="default" w:ascii="Times New Roman" w:hAnsi="Times New Roman" w:eastAsia="宋体" w:cs="Times New Roman"/>
                      <w:color w:val="auto"/>
                      <w:kern w:val="2"/>
                      <w:sz w:val="21"/>
                      <w:szCs w:val="21"/>
                      <w:highlight w:val="none"/>
                      <w:lang w:val="en-US" w:eastAsia="zh-CN" w:bidi="ar-SA"/>
                    </w:rPr>
                  </w:pPr>
                </w:p>
              </w:tc>
              <w:tc>
                <w:tcPr>
                  <w:tcW w:w="325" w:type="pct"/>
                  <w:shd w:val="clear" w:color="auto" w:fill="auto"/>
                  <w:vAlign w:val="center"/>
                </w:tcPr>
                <w:p w14:paraId="7FBE8958">
                  <w:pPr>
                    <w:keepNext w:val="0"/>
                    <w:keepLines w:val="0"/>
                    <w:widowControl w:val="0"/>
                    <w:suppressLineNumbers w:val="0"/>
                    <w:spacing w:before="0" w:beforeAutospacing="0" w:after="0" w:afterAutospacing="0"/>
                    <w:ind w:left="0" w:leftChars="0" w:right="0" w:rightChars="0"/>
                    <w:jc w:val="center"/>
                    <w:rPr>
                      <w:rFonts w:hint="eastAsia" w:ascii="Times New Roman" w:hAnsi="Times New Roman" w:eastAsia="宋体" w:cs="Times New Roman"/>
                      <w:color w:val="auto"/>
                      <w:kern w:val="2"/>
                      <w:sz w:val="21"/>
                      <w:szCs w:val="21"/>
                      <w:highlight w:val="none"/>
                      <w:lang w:val="en-US" w:eastAsia="zh-CN" w:bidi="ar-SA"/>
                    </w:rPr>
                  </w:pPr>
                  <w:r>
                    <w:rPr>
                      <w:rFonts w:hint="eastAsia" w:ascii="Times New Roman" w:hAnsi="Times New Roman" w:cs="Times New Roman"/>
                      <w:color w:val="auto"/>
                      <w:kern w:val="2"/>
                      <w:sz w:val="21"/>
                      <w:szCs w:val="21"/>
                      <w:highlight w:val="none"/>
                      <w:lang w:val="en-US" w:eastAsia="zh-CN"/>
                    </w:rPr>
                    <w:t>2楼</w:t>
                  </w:r>
                </w:p>
              </w:tc>
              <w:tc>
                <w:tcPr>
                  <w:tcW w:w="320" w:type="pct"/>
                  <w:vAlign w:val="center"/>
                </w:tcPr>
                <w:p w14:paraId="0971EB2F">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highlight w:val="none"/>
                    </w:rPr>
                  </w:pPr>
                  <w:r>
                    <w:rPr>
                      <w:rFonts w:hint="default" w:ascii="Times New Roman" w:hAnsi="Times New Roman" w:eastAsia="宋体" w:cs="Times New Roman"/>
                      <w:color w:val="auto"/>
                      <w:szCs w:val="21"/>
                      <w:highlight w:val="none"/>
                    </w:rPr>
                    <w:t>新增</w:t>
                  </w:r>
                </w:p>
              </w:tc>
            </w:tr>
            <w:tr w14:paraId="126E91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291" w:type="pct"/>
                  <w:shd w:val="clear" w:color="auto" w:fill="auto"/>
                  <w:vAlign w:val="center"/>
                </w:tcPr>
                <w:p w14:paraId="3C3E3BB1">
                  <w:pPr>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color w:val="auto"/>
                      <w:szCs w:val="21"/>
                      <w:highlight w:val="none"/>
                    </w:rPr>
                    <w:t>14</w:t>
                  </w:r>
                </w:p>
              </w:tc>
              <w:tc>
                <w:tcPr>
                  <w:tcW w:w="394" w:type="pct"/>
                  <w:vMerge w:val="continue"/>
                  <w:vAlign w:val="center"/>
                </w:tcPr>
                <w:p w14:paraId="3A84D86E">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highlight w:val="none"/>
                    </w:rPr>
                  </w:pPr>
                </w:p>
              </w:tc>
              <w:tc>
                <w:tcPr>
                  <w:tcW w:w="660" w:type="pct"/>
                  <w:vAlign w:val="center"/>
                </w:tcPr>
                <w:p w14:paraId="156FD9B7">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highlight w:val="none"/>
                    </w:rPr>
                  </w:pPr>
                  <w:r>
                    <w:rPr>
                      <w:rFonts w:hint="default" w:ascii="Times New Roman" w:hAnsi="Times New Roman" w:eastAsia="宋体" w:cs="Times New Roman"/>
                      <w:color w:val="auto"/>
                      <w:szCs w:val="21"/>
                      <w:highlight w:val="none"/>
                    </w:rPr>
                    <w:t>450异步模切机</w:t>
                  </w:r>
                </w:p>
              </w:tc>
              <w:tc>
                <w:tcPr>
                  <w:tcW w:w="766" w:type="pct"/>
                  <w:vAlign w:val="center"/>
                </w:tcPr>
                <w:p w14:paraId="7F000E94">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highlight w:val="none"/>
                    </w:rPr>
                  </w:pPr>
                  <w:r>
                    <w:rPr>
                      <w:rFonts w:hint="default" w:ascii="Times New Roman" w:hAnsi="Times New Roman" w:eastAsia="宋体" w:cs="Times New Roman"/>
                      <w:color w:val="auto"/>
                      <w:szCs w:val="21"/>
                      <w:highlight w:val="none"/>
                    </w:rPr>
                    <w:t>450</w:t>
                  </w:r>
                </w:p>
              </w:tc>
              <w:tc>
                <w:tcPr>
                  <w:tcW w:w="483" w:type="pct"/>
                  <w:vAlign w:val="center"/>
                </w:tcPr>
                <w:p w14:paraId="45DCE8BC">
                  <w:pPr>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color w:val="auto"/>
                      <w:szCs w:val="21"/>
                      <w:highlight w:val="none"/>
                    </w:rPr>
                  </w:pPr>
                  <w:r>
                    <w:rPr>
                      <w:rFonts w:hint="eastAsia" w:ascii="Times New Roman" w:hAnsi="Times New Roman" w:eastAsia="宋体" w:cs="Times New Roman"/>
                      <w:color w:val="auto"/>
                      <w:szCs w:val="21"/>
                      <w:highlight w:val="none"/>
                      <w:lang w:val="en-US" w:eastAsia="zh-CN" w:bidi="ar"/>
                    </w:rPr>
                    <w:t>0</w:t>
                  </w:r>
                </w:p>
              </w:tc>
              <w:tc>
                <w:tcPr>
                  <w:tcW w:w="417" w:type="pct"/>
                  <w:vAlign w:val="center"/>
                </w:tcPr>
                <w:p w14:paraId="0DF69C0C">
                  <w:pPr>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color w:val="auto"/>
                      <w:szCs w:val="21"/>
                      <w:highlight w:val="none"/>
                    </w:rPr>
                  </w:pPr>
                  <w:r>
                    <w:rPr>
                      <w:rFonts w:hint="eastAsia" w:ascii="Times New Roman" w:hAnsi="Times New Roman" w:eastAsia="宋体" w:cs="Times New Roman"/>
                      <w:color w:val="auto"/>
                      <w:szCs w:val="21"/>
                      <w:highlight w:val="none"/>
                      <w:lang w:val="en-US" w:eastAsia="zh-CN" w:bidi="ar"/>
                    </w:rPr>
                    <w:t>0</w:t>
                  </w:r>
                </w:p>
              </w:tc>
              <w:tc>
                <w:tcPr>
                  <w:tcW w:w="592" w:type="pct"/>
                  <w:vAlign w:val="center"/>
                </w:tcPr>
                <w:p w14:paraId="403C4072">
                  <w:pPr>
                    <w:keepNext w:val="0"/>
                    <w:keepLines w:val="0"/>
                    <w:suppressLineNumbers w:val="0"/>
                    <w:spacing w:before="0" w:beforeAutospacing="0" w:after="0" w:afterAutospacing="0"/>
                    <w:ind w:left="0" w:right="0"/>
                    <w:jc w:val="center"/>
                    <w:rPr>
                      <w:rFonts w:hint="eastAsia" w:ascii="Times New Roman" w:hAnsi="Times New Roman" w:eastAsia="宋体" w:cs="Times New Roman"/>
                      <w:color w:val="auto"/>
                      <w:szCs w:val="21"/>
                      <w:highlight w:val="none"/>
                    </w:rPr>
                  </w:pPr>
                  <w:r>
                    <w:rPr>
                      <w:rFonts w:hint="eastAsia" w:ascii="Times New Roman" w:hAnsi="Times New Roman" w:eastAsia="宋体" w:cs="Times New Roman"/>
                      <w:color w:val="auto"/>
                      <w:szCs w:val="21"/>
                      <w:highlight w:val="none"/>
                    </w:rPr>
                    <w:t>4</w:t>
                  </w:r>
                </w:p>
              </w:tc>
              <w:tc>
                <w:tcPr>
                  <w:tcW w:w="537" w:type="pct"/>
                  <w:shd w:val="clear" w:color="auto" w:fill="auto"/>
                  <w:vAlign w:val="center"/>
                </w:tcPr>
                <w:p w14:paraId="116592B4">
                  <w:pPr>
                    <w:keepNext w:val="0"/>
                    <w:keepLines w:val="0"/>
                    <w:suppressLineNumbers w:val="0"/>
                    <w:spacing w:before="0" w:beforeAutospacing="0" w:after="0" w:afterAutospacing="0"/>
                    <w:ind w:left="0" w:leftChars="0" w:right="0" w:rightChars="0"/>
                    <w:jc w:val="center"/>
                    <w:rPr>
                      <w:rFonts w:hint="eastAsia" w:ascii="Times New Roman" w:hAnsi="Times New Roman" w:eastAsia="宋体" w:cs="Times New Roman"/>
                      <w:color w:val="auto"/>
                      <w:kern w:val="2"/>
                      <w:sz w:val="21"/>
                      <w:szCs w:val="21"/>
                      <w:highlight w:val="none"/>
                      <w:lang w:val="en-US" w:eastAsia="zh-CN" w:bidi="ar-SA"/>
                    </w:rPr>
                  </w:pPr>
                  <w:r>
                    <w:rPr>
                      <w:rFonts w:hint="eastAsia" w:ascii="Times New Roman" w:hAnsi="Times New Roman" w:eastAsia="宋体" w:cs="Times New Roman"/>
                      <w:color w:val="auto"/>
                      <w:szCs w:val="21"/>
                      <w:highlight w:val="none"/>
                      <w:lang w:val="en-US" w:eastAsia="zh-CN"/>
                    </w:rPr>
                    <w:t>+</w:t>
                  </w:r>
                  <w:r>
                    <w:rPr>
                      <w:rFonts w:hint="eastAsia" w:ascii="Times New Roman" w:hAnsi="Times New Roman" w:eastAsia="宋体" w:cs="Times New Roman"/>
                      <w:color w:val="auto"/>
                      <w:szCs w:val="21"/>
                      <w:highlight w:val="none"/>
                    </w:rPr>
                    <w:t>4</w:t>
                  </w:r>
                </w:p>
              </w:tc>
              <w:tc>
                <w:tcPr>
                  <w:tcW w:w="211" w:type="pct"/>
                  <w:vMerge w:val="continue"/>
                  <w:shd w:val="clear" w:color="auto" w:fill="auto"/>
                  <w:vAlign w:val="center"/>
                </w:tcPr>
                <w:p w14:paraId="298254C9">
                  <w:pPr>
                    <w:keepNext w:val="0"/>
                    <w:keepLines w:val="0"/>
                    <w:widowControl w:val="0"/>
                    <w:suppressLineNumbers w:val="0"/>
                    <w:spacing w:before="0" w:beforeAutospacing="0" w:after="0" w:afterAutospacing="0"/>
                    <w:ind w:left="0" w:leftChars="0" w:right="0" w:rightChars="0"/>
                    <w:jc w:val="center"/>
                    <w:rPr>
                      <w:rFonts w:hint="eastAsia" w:ascii="Times New Roman" w:hAnsi="Times New Roman" w:eastAsia="宋体" w:cs="Times New Roman"/>
                      <w:color w:val="auto"/>
                      <w:kern w:val="2"/>
                      <w:sz w:val="21"/>
                      <w:szCs w:val="21"/>
                      <w:highlight w:val="none"/>
                      <w:lang w:val="en-US" w:eastAsia="zh-CN" w:bidi="ar-SA"/>
                    </w:rPr>
                  </w:pPr>
                </w:p>
              </w:tc>
              <w:tc>
                <w:tcPr>
                  <w:tcW w:w="325" w:type="pct"/>
                  <w:shd w:val="clear" w:color="auto" w:fill="auto"/>
                  <w:vAlign w:val="center"/>
                </w:tcPr>
                <w:p w14:paraId="3BFDC29A">
                  <w:pPr>
                    <w:keepNext w:val="0"/>
                    <w:keepLines w:val="0"/>
                    <w:widowControl w:val="0"/>
                    <w:suppressLineNumbers w:val="0"/>
                    <w:spacing w:before="0" w:beforeAutospacing="0" w:after="0" w:afterAutospacing="0"/>
                    <w:ind w:left="0" w:leftChars="0" w:right="0" w:rightChars="0"/>
                    <w:jc w:val="center"/>
                    <w:rPr>
                      <w:rFonts w:hint="eastAsia" w:ascii="Times New Roman" w:hAnsi="Times New Roman" w:eastAsia="宋体" w:cs="Times New Roman"/>
                      <w:color w:val="auto"/>
                      <w:kern w:val="2"/>
                      <w:sz w:val="21"/>
                      <w:szCs w:val="21"/>
                      <w:highlight w:val="none"/>
                      <w:lang w:val="en-US" w:eastAsia="zh-CN" w:bidi="ar-SA"/>
                    </w:rPr>
                  </w:pPr>
                  <w:r>
                    <w:rPr>
                      <w:rFonts w:hint="eastAsia" w:ascii="Times New Roman" w:hAnsi="Times New Roman" w:cs="Times New Roman"/>
                      <w:color w:val="auto"/>
                      <w:kern w:val="2"/>
                      <w:sz w:val="21"/>
                      <w:szCs w:val="21"/>
                      <w:highlight w:val="none"/>
                      <w:lang w:val="en-US" w:eastAsia="zh-CN"/>
                    </w:rPr>
                    <w:t>2楼</w:t>
                  </w:r>
                </w:p>
              </w:tc>
              <w:tc>
                <w:tcPr>
                  <w:tcW w:w="320" w:type="pct"/>
                  <w:vAlign w:val="center"/>
                </w:tcPr>
                <w:p w14:paraId="628138D8">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highlight w:val="none"/>
                    </w:rPr>
                  </w:pPr>
                  <w:r>
                    <w:rPr>
                      <w:rFonts w:hint="default" w:ascii="Times New Roman" w:hAnsi="Times New Roman" w:eastAsia="宋体" w:cs="Times New Roman"/>
                      <w:color w:val="auto"/>
                      <w:szCs w:val="21"/>
                      <w:highlight w:val="none"/>
                    </w:rPr>
                    <w:t>新增</w:t>
                  </w:r>
                </w:p>
              </w:tc>
            </w:tr>
            <w:tr w14:paraId="38C10E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291" w:type="pct"/>
                  <w:shd w:val="clear" w:color="auto" w:fill="auto"/>
                  <w:vAlign w:val="center"/>
                </w:tcPr>
                <w:p w14:paraId="36D995EA">
                  <w:pPr>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color w:val="auto"/>
                      <w:szCs w:val="21"/>
                      <w:highlight w:val="none"/>
                    </w:rPr>
                    <w:t>15</w:t>
                  </w:r>
                </w:p>
              </w:tc>
              <w:tc>
                <w:tcPr>
                  <w:tcW w:w="394" w:type="pct"/>
                  <w:vMerge w:val="continue"/>
                  <w:vAlign w:val="center"/>
                </w:tcPr>
                <w:p w14:paraId="545909D3">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highlight w:val="none"/>
                    </w:rPr>
                  </w:pPr>
                </w:p>
              </w:tc>
              <w:tc>
                <w:tcPr>
                  <w:tcW w:w="660" w:type="pct"/>
                  <w:vAlign w:val="center"/>
                </w:tcPr>
                <w:p w14:paraId="76DAB8FE">
                  <w:pPr>
                    <w:keepNext w:val="0"/>
                    <w:keepLines w:val="0"/>
                    <w:suppressLineNumbers w:val="0"/>
                    <w:tabs>
                      <w:tab w:val="left" w:pos="1962"/>
                    </w:tabs>
                    <w:spacing w:before="0" w:beforeAutospacing="0" w:after="0" w:afterAutospacing="0"/>
                    <w:ind w:left="0" w:right="0"/>
                    <w:jc w:val="center"/>
                    <w:rPr>
                      <w:rFonts w:hint="default" w:ascii="Times New Roman" w:hAnsi="Times New Roman" w:eastAsia="宋体" w:cs="Times New Roman"/>
                      <w:color w:val="auto"/>
                      <w:szCs w:val="21"/>
                      <w:highlight w:val="none"/>
                    </w:rPr>
                  </w:pPr>
                  <w:r>
                    <w:rPr>
                      <w:rFonts w:hint="default" w:ascii="Times New Roman" w:hAnsi="Times New Roman" w:eastAsia="宋体" w:cs="Times New Roman"/>
                      <w:color w:val="auto"/>
                      <w:szCs w:val="21"/>
                      <w:highlight w:val="none"/>
                    </w:rPr>
                    <w:t>1500分条机</w:t>
                  </w:r>
                </w:p>
              </w:tc>
              <w:tc>
                <w:tcPr>
                  <w:tcW w:w="766" w:type="pct"/>
                  <w:vAlign w:val="center"/>
                </w:tcPr>
                <w:p w14:paraId="3FF7E435">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highlight w:val="none"/>
                    </w:rPr>
                  </w:pPr>
                  <w:r>
                    <w:rPr>
                      <w:rFonts w:hint="default" w:ascii="Times New Roman" w:hAnsi="Times New Roman" w:eastAsia="宋体" w:cs="Times New Roman"/>
                      <w:color w:val="auto"/>
                      <w:szCs w:val="21"/>
                      <w:highlight w:val="none"/>
                    </w:rPr>
                    <w:t>1500</w:t>
                  </w:r>
                </w:p>
              </w:tc>
              <w:tc>
                <w:tcPr>
                  <w:tcW w:w="483" w:type="pct"/>
                  <w:vAlign w:val="center"/>
                </w:tcPr>
                <w:p w14:paraId="43B2A257">
                  <w:pPr>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color w:val="auto"/>
                      <w:szCs w:val="21"/>
                      <w:highlight w:val="none"/>
                    </w:rPr>
                  </w:pPr>
                  <w:r>
                    <w:rPr>
                      <w:rFonts w:hint="eastAsia" w:ascii="Times New Roman" w:hAnsi="Times New Roman" w:eastAsia="宋体" w:cs="Times New Roman"/>
                      <w:color w:val="auto"/>
                      <w:szCs w:val="21"/>
                      <w:highlight w:val="none"/>
                      <w:lang w:val="en-US" w:eastAsia="zh-CN" w:bidi="ar"/>
                    </w:rPr>
                    <w:t>0</w:t>
                  </w:r>
                </w:p>
              </w:tc>
              <w:tc>
                <w:tcPr>
                  <w:tcW w:w="417" w:type="pct"/>
                  <w:vAlign w:val="center"/>
                </w:tcPr>
                <w:p w14:paraId="7EBD2762">
                  <w:pPr>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color w:val="auto"/>
                      <w:szCs w:val="21"/>
                      <w:highlight w:val="none"/>
                    </w:rPr>
                  </w:pPr>
                  <w:r>
                    <w:rPr>
                      <w:rFonts w:hint="eastAsia" w:ascii="Times New Roman" w:hAnsi="Times New Roman" w:eastAsia="宋体" w:cs="Times New Roman"/>
                      <w:color w:val="auto"/>
                      <w:szCs w:val="21"/>
                      <w:highlight w:val="none"/>
                      <w:lang w:val="en-US" w:eastAsia="zh-CN" w:bidi="ar"/>
                    </w:rPr>
                    <w:t>0</w:t>
                  </w:r>
                </w:p>
              </w:tc>
              <w:tc>
                <w:tcPr>
                  <w:tcW w:w="592" w:type="pct"/>
                  <w:vAlign w:val="center"/>
                </w:tcPr>
                <w:p w14:paraId="23FA8984">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highlight w:val="none"/>
                    </w:rPr>
                  </w:pPr>
                  <w:r>
                    <w:rPr>
                      <w:rFonts w:hint="default" w:ascii="Times New Roman" w:hAnsi="Times New Roman" w:eastAsia="宋体" w:cs="Times New Roman"/>
                      <w:color w:val="auto"/>
                      <w:szCs w:val="21"/>
                      <w:highlight w:val="none"/>
                    </w:rPr>
                    <w:t>1</w:t>
                  </w:r>
                </w:p>
              </w:tc>
              <w:tc>
                <w:tcPr>
                  <w:tcW w:w="537" w:type="pct"/>
                  <w:shd w:val="clear" w:color="auto" w:fill="auto"/>
                  <w:vAlign w:val="center"/>
                </w:tcPr>
                <w:p w14:paraId="07B58EB6">
                  <w:pPr>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color w:val="auto"/>
                      <w:kern w:val="2"/>
                      <w:sz w:val="21"/>
                      <w:szCs w:val="21"/>
                      <w:highlight w:val="none"/>
                      <w:lang w:val="en-US" w:eastAsia="zh-CN" w:bidi="ar-SA"/>
                    </w:rPr>
                  </w:pPr>
                  <w:r>
                    <w:rPr>
                      <w:rFonts w:hint="eastAsia" w:ascii="Times New Roman" w:hAnsi="Times New Roman" w:eastAsia="宋体" w:cs="Times New Roman"/>
                      <w:color w:val="auto"/>
                      <w:szCs w:val="21"/>
                      <w:highlight w:val="none"/>
                      <w:lang w:val="en-US" w:eastAsia="zh-CN"/>
                    </w:rPr>
                    <w:t>+</w:t>
                  </w:r>
                  <w:r>
                    <w:rPr>
                      <w:rFonts w:hint="default" w:ascii="Times New Roman" w:hAnsi="Times New Roman" w:eastAsia="宋体" w:cs="Times New Roman"/>
                      <w:color w:val="auto"/>
                      <w:szCs w:val="21"/>
                      <w:highlight w:val="none"/>
                    </w:rPr>
                    <w:t>1</w:t>
                  </w:r>
                </w:p>
              </w:tc>
              <w:tc>
                <w:tcPr>
                  <w:tcW w:w="211" w:type="pct"/>
                  <w:vMerge w:val="continue"/>
                  <w:shd w:val="clear" w:color="auto" w:fill="auto"/>
                  <w:vAlign w:val="center"/>
                </w:tcPr>
                <w:p w14:paraId="70067104">
                  <w:pPr>
                    <w:keepNext w:val="0"/>
                    <w:keepLines w:val="0"/>
                    <w:widowControl w:val="0"/>
                    <w:suppressLineNumbers w:val="0"/>
                    <w:spacing w:before="0" w:beforeAutospacing="0" w:after="0" w:afterAutospacing="0"/>
                    <w:ind w:left="0" w:leftChars="0" w:right="0" w:rightChars="0"/>
                    <w:jc w:val="center"/>
                    <w:rPr>
                      <w:rFonts w:hint="default" w:ascii="Times New Roman" w:hAnsi="Times New Roman" w:eastAsia="宋体" w:cs="Times New Roman"/>
                      <w:color w:val="auto"/>
                      <w:kern w:val="2"/>
                      <w:sz w:val="21"/>
                      <w:szCs w:val="21"/>
                      <w:highlight w:val="none"/>
                      <w:lang w:val="en-US" w:eastAsia="zh-CN" w:bidi="ar-SA"/>
                    </w:rPr>
                  </w:pPr>
                </w:p>
              </w:tc>
              <w:tc>
                <w:tcPr>
                  <w:tcW w:w="325" w:type="pct"/>
                  <w:shd w:val="clear" w:color="auto" w:fill="auto"/>
                  <w:vAlign w:val="center"/>
                </w:tcPr>
                <w:p w14:paraId="326C9C76">
                  <w:pPr>
                    <w:keepNext w:val="0"/>
                    <w:keepLines w:val="0"/>
                    <w:widowControl w:val="0"/>
                    <w:suppressLineNumbers w:val="0"/>
                    <w:spacing w:before="0" w:beforeAutospacing="0" w:after="0" w:afterAutospacing="0"/>
                    <w:ind w:left="0" w:leftChars="0" w:right="0" w:rightChars="0"/>
                    <w:jc w:val="center"/>
                    <w:rPr>
                      <w:rFonts w:hint="eastAsia" w:ascii="Times New Roman" w:hAnsi="Times New Roman" w:eastAsia="宋体" w:cs="Times New Roman"/>
                      <w:color w:val="auto"/>
                      <w:kern w:val="2"/>
                      <w:sz w:val="21"/>
                      <w:szCs w:val="21"/>
                      <w:highlight w:val="none"/>
                      <w:lang w:val="en-US" w:eastAsia="zh-CN" w:bidi="ar-SA"/>
                    </w:rPr>
                  </w:pPr>
                  <w:r>
                    <w:rPr>
                      <w:rFonts w:hint="eastAsia" w:ascii="Times New Roman" w:hAnsi="Times New Roman" w:cs="Times New Roman"/>
                      <w:color w:val="auto"/>
                      <w:kern w:val="2"/>
                      <w:sz w:val="21"/>
                      <w:szCs w:val="21"/>
                      <w:highlight w:val="none"/>
                      <w:lang w:val="en-US" w:eastAsia="zh-CN"/>
                    </w:rPr>
                    <w:t>2楼</w:t>
                  </w:r>
                </w:p>
              </w:tc>
              <w:tc>
                <w:tcPr>
                  <w:tcW w:w="320" w:type="pct"/>
                  <w:vAlign w:val="center"/>
                </w:tcPr>
                <w:p w14:paraId="5D7A52A3">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highlight w:val="none"/>
                    </w:rPr>
                  </w:pPr>
                  <w:r>
                    <w:rPr>
                      <w:rFonts w:hint="default" w:ascii="Times New Roman" w:hAnsi="Times New Roman" w:eastAsia="宋体" w:cs="Times New Roman"/>
                      <w:color w:val="auto"/>
                      <w:szCs w:val="21"/>
                      <w:highlight w:val="none"/>
                    </w:rPr>
                    <w:t>新增</w:t>
                  </w:r>
                </w:p>
              </w:tc>
            </w:tr>
            <w:tr w14:paraId="21C5BF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291" w:type="pct"/>
                  <w:shd w:val="clear" w:color="auto" w:fill="auto"/>
                  <w:vAlign w:val="center"/>
                </w:tcPr>
                <w:p w14:paraId="2726B018">
                  <w:pPr>
                    <w:keepNext w:val="0"/>
                    <w:keepLines w:val="0"/>
                    <w:suppressLineNumbers w:val="0"/>
                    <w:spacing w:before="0" w:beforeAutospacing="0" w:after="0" w:afterAutospacing="0"/>
                    <w:ind w:left="0" w:leftChars="0" w:right="0" w:rightChars="0"/>
                    <w:jc w:val="center"/>
                    <w:rPr>
                      <w:rFonts w:hint="eastAsia"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color w:val="auto"/>
                      <w:szCs w:val="21"/>
                      <w:highlight w:val="none"/>
                    </w:rPr>
                    <w:t>16</w:t>
                  </w:r>
                </w:p>
              </w:tc>
              <w:tc>
                <w:tcPr>
                  <w:tcW w:w="394" w:type="pct"/>
                  <w:vMerge w:val="continue"/>
                  <w:vAlign w:val="center"/>
                </w:tcPr>
                <w:p w14:paraId="123E45A3">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highlight w:val="none"/>
                    </w:rPr>
                  </w:pPr>
                </w:p>
              </w:tc>
              <w:tc>
                <w:tcPr>
                  <w:tcW w:w="660" w:type="pct"/>
                  <w:vAlign w:val="center"/>
                </w:tcPr>
                <w:p w14:paraId="7A024B8A">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highlight w:val="none"/>
                    </w:rPr>
                  </w:pPr>
                  <w:r>
                    <w:rPr>
                      <w:rFonts w:hint="default" w:ascii="Times New Roman" w:hAnsi="Times New Roman" w:eastAsia="宋体" w:cs="Times New Roman"/>
                      <w:color w:val="auto"/>
                      <w:szCs w:val="21"/>
                      <w:highlight w:val="none"/>
                    </w:rPr>
                    <w:t>电脑式裁切机</w:t>
                  </w:r>
                </w:p>
              </w:tc>
              <w:tc>
                <w:tcPr>
                  <w:tcW w:w="766" w:type="pct"/>
                  <w:vAlign w:val="center"/>
                </w:tcPr>
                <w:p w14:paraId="4518D85B">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highlight w:val="none"/>
                    </w:rPr>
                  </w:pPr>
                  <w:r>
                    <w:rPr>
                      <w:rFonts w:hint="default" w:ascii="Times New Roman" w:hAnsi="Times New Roman" w:eastAsia="宋体" w:cs="Times New Roman"/>
                      <w:color w:val="auto"/>
                      <w:szCs w:val="21"/>
                      <w:highlight w:val="none"/>
                    </w:rPr>
                    <w:t>450</w:t>
                  </w:r>
                </w:p>
              </w:tc>
              <w:tc>
                <w:tcPr>
                  <w:tcW w:w="483" w:type="pct"/>
                  <w:vAlign w:val="center"/>
                </w:tcPr>
                <w:p w14:paraId="651B088C">
                  <w:pPr>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color w:val="auto"/>
                      <w:szCs w:val="21"/>
                      <w:highlight w:val="none"/>
                    </w:rPr>
                  </w:pPr>
                  <w:r>
                    <w:rPr>
                      <w:rFonts w:hint="eastAsia" w:ascii="Times New Roman" w:hAnsi="Times New Roman" w:eastAsia="宋体" w:cs="Times New Roman"/>
                      <w:color w:val="auto"/>
                      <w:szCs w:val="21"/>
                      <w:highlight w:val="none"/>
                      <w:lang w:val="en-US" w:eastAsia="zh-CN" w:bidi="ar"/>
                    </w:rPr>
                    <w:t>0</w:t>
                  </w:r>
                </w:p>
              </w:tc>
              <w:tc>
                <w:tcPr>
                  <w:tcW w:w="417" w:type="pct"/>
                  <w:vAlign w:val="center"/>
                </w:tcPr>
                <w:p w14:paraId="7E5A263B">
                  <w:pPr>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color w:val="auto"/>
                      <w:szCs w:val="21"/>
                      <w:highlight w:val="none"/>
                    </w:rPr>
                  </w:pPr>
                  <w:r>
                    <w:rPr>
                      <w:rFonts w:hint="eastAsia" w:ascii="Times New Roman" w:hAnsi="Times New Roman" w:eastAsia="宋体" w:cs="Times New Roman"/>
                      <w:color w:val="auto"/>
                      <w:szCs w:val="21"/>
                      <w:highlight w:val="none"/>
                      <w:lang w:val="en-US" w:eastAsia="zh-CN" w:bidi="ar"/>
                    </w:rPr>
                    <w:t>0</w:t>
                  </w:r>
                </w:p>
              </w:tc>
              <w:tc>
                <w:tcPr>
                  <w:tcW w:w="592" w:type="pct"/>
                  <w:vAlign w:val="center"/>
                </w:tcPr>
                <w:p w14:paraId="6530F233">
                  <w:pPr>
                    <w:keepNext w:val="0"/>
                    <w:keepLines w:val="0"/>
                    <w:suppressLineNumbers w:val="0"/>
                    <w:spacing w:before="0" w:beforeAutospacing="0" w:after="0" w:afterAutospacing="0"/>
                    <w:ind w:left="0" w:right="0"/>
                    <w:jc w:val="center"/>
                    <w:rPr>
                      <w:rFonts w:hint="eastAsia" w:ascii="Times New Roman" w:hAnsi="Times New Roman" w:eastAsia="宋体" w:cs="Times New Roman"/>
                      <w:color w:val="auto"/>
                      <w:szCs w:val="21"/>
                      <w:highlight w:val="none"/>
                    </w:rPr>
                  </w:pPr>
                  <w:r>
                    <w:rPr>
                      <w:rFonts w:hint="eastAsia" w:ascii="Times New Roman" w:hAnsi="Times New Roman" w:eastAsia="宋体" w:cs="Times New Roman"/>
                      <w:color w:val="auto"/>
                      <w:szCs w:val="21"/>
                      <w:highlight w:val="none"/>
                    </w:rPr>
                    <w:t>4</w:t>
                  </w:r>
                </w:p>
              </w:tc>
              <w:tc>
                <w:tcPr>
                  <w:tcW w:w="537" w:type="pct"/>
                  <w:shd w:val="clear" w:color="auto" w:fill="auto"/>
                  <w:vAlign w:val="center"/>
                </w:tcPr>
                <w:p w14:paraId="2D4D98C7">
                  <w:pPr>
                    <w:keepNext w:val="0"/>
                    <w:keepLines w:val="0"/>
                    <w:suppressLineNumbers w:val="0"/>
                    <w:spacing w:before="0" w:beforeAutospacing="0" w:after="0" w:afterAutospacing="0"/>
                    <w:ind w:left="0" w:leftChars="0" w:right="0" w:rightChars="0"/>
                    <w:jc w:val="center"/>
                    <w:rPr>
                      <w:rFonts w:hint="eastAsia" w:ascii="Times New Roman" w:hAnsi="Times New Roman" w:eastAsia="宋体" w:cs="Times New Roman"/>
                      <w:color w:val="auto"/>
                      <w:kern w:val="2"/>
                      <w:sz w:val="21"/>
                      <w:szCs w:val="21"/>
                      <w:highlight w:val="none"/>
                      <w:lang w:val="en-US" w:eastAsia="zh-CN" w:bidi="ar-SA"/>
                    </w:rPr>
                  </w:pPr>
                  <w:r>
                    <w:rPr>
                      <w:rFonts w:hint="eastAsia" w:ascii="Times New Roman" w:hAnsi="Times New Roman" w:eastAsia="宋体" w:cs="Times New Roman"/>
                      <w:color w:val="auto"/>
                      <w:szCs w:val="21"/>
                      <w:highlight w:val="none"/>
                      <w:lang w:val="en-US" w:eastAsia="zh-CN"/>
                    </w:rPr>
                    <w:t>+</w:t>
                  </w:r>
                  <w:r>
                    <w:rPr>
                      <w:rFonts w:hint="eastAsia" w:ascii="Times New Roman" w:hAnsi="Times New Roman" w:eastAsia="宋体" w:cs="Times New Roman"/>
                      <w:color w:val="auto"/>
                      <w:szCs w:val="21"/>
                      <w:highlight w:val="none"/>
                    </w:rPr>
                    <w:t>4</w:t>
                  </w:r>
                </w:p>
              </w:tc>
              <w:tc>
                <w:tcPr>
                  <w:tcW w:w="211" w:type="pct"/>
                  <w:vMerge w:val="continue"/>
                  <w:shd w:val="clear" w:color="auto" w:fill="auto"/>
                  <w:vAlign w:val="center"/>
                </w:tcPr>
                <w:p w14:paraId="50394FCB">
                  <w:pPr>
                    <w:keepNext w:val="0"/>
                    <w:keepLines w:val="0"/>
                    <w:widowControl w:val="0"/>
                    <w:suppressLineNumbers w:val="0"/>
                    <w:spacing w:before="0" w:beforeAutospacing="0" w:after="0" w:afterAutospacing="0"/>
                    <w:ind w:left="0" w:leftChars="0" w:right="0" w:rightChars="0"/>
                    <w:jc w:val="center"/>
                    <w:rPr>
                      <w:rFonts w:hint="eastAsia" w:ascii="Times New Roman" w:hAnsi="Times New Roman" w:eastAsia="宋体" w:cs="Times New Roman"/>
                      <w:color w:val="auto"/>
                      <w:kern w:val="2"/>
                      <w:sz w:val="21"/>
                      <w:szCs w:val="21"/>
                      <w:highlight w:val="none"/>
                      <w:lang w:val="en-US" w:eastAsia="zh-CN" w:bidi="ar-SA"/>
                    </w:rPr>
                  </w:pPr>
                </w:p>
              </w:tc>
              <w:tc>
                <w:tcPr>
                  <w:tcW w:w="325" w:type="pct"/>
                  <w:shd w:val="clear" w:color="auto" w:fill="auto"/>
                  <w:vAlign w:val="center"/>
                </w:tcPr>
                <w:p w14:paraId="4C4898DF">
                  <w:pPr>
                    <w:keepNext w:val="0"/>
                    <w:keepLines w:val="0"/>
                    <w:widowControl w:val="0"/>
                    <w:suppressLineNumbers w:val="0"/>
                    <w:spacing w:before="0" w:beforeAutospacing="0" w:after="0" w:afterAutospacing="0"/>
                    <w:ind w:left="0" w:leftChars="0" w:right="0" w:rightChars="0"/>
                    <w:jc w:val="center"/>
                    <w:rPr>
                      <w:rFonts w:hint="eastAsia" w:ascii="Times New Roman" w:hAnsi="Times New Roman" w:eastAsia="宋体" w:cs="Times New Roman"/>
                      <w:color w:val="auto"/>
                      <w:kern w:val="2"/>
                      <w:sz w:val="21"/>
                      <w:szCs w:val="21"/>
                      <w:highlight w:val="none"/>
                      <w:lang w:val="en-US" w:eastAsia="zh-CN" w:bidi="ar-SA"/>
                    </w:rPr>
                  </w:pPr>
                  <w:r>
                    <w:rPr>
                      <w:rFonts w:hint="eastAsia" w:ascii="Times New Roman" w:hAnsi="Times New Roman" w:cs="Times New Roman"/>
                      <w:color w:val="auto"/>
                      <w:kern w:val="2"/>
                      <w:sz w:val="21"/>
                      <w:szCs w:val="21"/>
                      <w:highlight w:val="none"/>
                      <w:lang w:val="en-US" w:eastAsia="zh-CN"/>
                    </w:rPr>
                    <w:t>2楼</w:t>
                  </w:r>
                </w:p>
              </w:tc>
              <w:tc>
                <w:tcPr>
                  <w:tcW w:w="320" w:type="pct"/>
                  <w:vAlign w:val="center"/>
                </w:tcPr>
                <w:p w14:paraId="21C871E2">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highlight w:val="none"/>
                    </w:rPr>
                  </w:pPr>
                  <w:r>
                    <w:rPr>
                      <w:rFonts w:hint="default" w:ascii="Times New Roman" w:hAnsi="Times New Roman" w:eastAsia="宋体" w:cs="Times New Roman"/>
                      <w:color w:val="auto"/>
                      <w:szCs w:val="21"/>
                      <w:highlight w:val="none"/>
                    </w:rPr>
                    <w:t>新增</w:t>
                  </w:r>
                </w:p>
              </w:tc>
            </w:tr>
            <w:tr w14:paraId="403CB4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291" w:type="pct"/>
                  <w:shd w:val="clear" w:color="auto" w:fill="auto"/>
                  <w:vAlign w:val="center"/>
                </w:tcPr>
                <w:p w14:paraId="25886AE6">
                  <w:pPr>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color w:val="auto"/>
                      <w:szCs w:val="21"/>
                      <w:highlight w:val="none"/>
                    </w:rPr>
                    <w:t>1</w:t>
                  </w:r>
                  <w:r>
                    <w:rPr>
                      <w:rFonts w:hint="eastAsia" w:ascii="Times New Roman" w:hAnsi="Times New Roman" w:eastAsia="宋体" w:cs="Times New Roman"/>
                      <w:color w:val="auto"/>
                      <w:szCs w:val="21"/>
                      <w:highlight w:val="none"/>
                      <w:lang w:val="en-US" w:eastAsia="zh-CN"/>
                    </w:rPr>
                    <w:t>7</w:t>
                  </w:r>
                </w:p>
              </w:tc>
              <w:tc>
                <w:tcPr>
                  <w:tcW w:w="394" w:type="pct"/>
                  <w:vMerge w:val="continue"/>
                  <w:vAlign w:val="center"/>
                </w:tcPr>
                <w:p w14:paraId="7D79C4EE">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highlight w:val="none"/>
                    </w:rPr>
                  </w:pPr>
                </w:p>
              </w:tc>
              <w:tc>
                <w:tcPr>
                  <w:tcW w:w="660" w:type="pct"/>
                  <w:vAlign w:val="center"/>
                </w:tcPr>
                <w:p w14:paraId="4384D453">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highlight w:val="none"/>
                    </w:rPr>
                  </w:pPr>
                  <w:r>
                    <w:rPr>
                      <w:rFonts w:hint="default" w:ascii="Times New Roman" w:hAnsi="Times New Roman" w:eastAsia="宋体" w:cs="Times New Roman"/>
                      <w:color w:val="auto"/>
                      <w:szCs w:val="21"/>
                      <w:highlight w:val="none"/>
                    </w:rPr>
                    <w:t>激光打样机</w:t>
                  </w:r>
                </w:p>
              </w:tc>
              <w:tc>
                <w:tcPr>
                  <w:tcW w:w="766" w:type="pct"/>
                  <w:vAlign w:val="center"/>
                </w:tcPr>
                <w:p w14:paraId="59D2435A">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highlight w:val="none"/>
                    </w:rPr>
                  </w:pPr>
                  <w:r>
                    <w:rPr>
                      <w:rFonts w:hint="default" w:ascii="Times New Roman" w:hAnsi="Times New Roman" w:eastAsia="宋体" w:cs="Times New Roman"/>
                      <w:color w:val="auto"/>
                      <w:szCs w:val="21"/>
                      <w:highlight w:val="none"/>
                    </w:rPr>
                    <w:t>650</w:t>
                  </w:r>
                </w:p>
              </w:tc>
              <w:tc>
                <w:tcPr>
                  <w:tcW w:w="483" w:type="pct"/>
                  <w:vAlign w:val="center"/>
                </w:tcPr>
                <w:p w14:paraId="54F06FBC">
                  <w:pPr>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color w:val="auto"/>
                      <w:szCs w:val="21"/>
                      <w:highlight w:val="none"/>
                    </w:rPr>
                  </w:pPr>
                  <w:r>
                    <w:rPr>
                      <w:rFonts w:hint="eastAsia" w:ascii="Times New Roman" w:hAnsi="Times New Roman" w:eastAsia="宋体" w:cs="Times New Roman"/>
                      <w:color w:val="auto"/>
                      <w:szCs w:val="21"/>
                      <w:highlight w:val="none"/>
                      <w:lang w:val="en-US" w:eastAsia="zh-CN" w:bidi="ar"/>
                    </w:rPr>
                    <w:t>0</w:t>
                  </w:r>
                </w:p>
              </w:tc>
              <w:tc>
                <w:tcPr>
                  <w:tcW w:w="417" w:type="pct"/>
                  <w:vAlign w:val="center"/>
                </w:tcPr>
                <w:p w14:paraId="3D155E18">
                  <w:pPr>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color w:val="auto"/>
                      <w:szCs w:val="21"/>
                      <w:highlight w:val="none"/>
                    </w:rPr>
                  </w:pPr>
                  <w:r>
                    <w:rPr>
                      <w:rFonts w:hint="eastAsia" w:ascii="Times New Roman" w:hAnsi="Times New Roman" w:eastAsia="宋体" w:cs="Times New Roman"/>
                      <w:color w:val="auto"/>
                      <w:szCs w:val="21"/>
                      <w:highlight w:val="none"/>
                      <w:lang w:val="en-US" w:eastAsia="zh-CN" w:bidi="ar"/>
                    </w:rPr>
                    <w:t>0</w:t>
                  </w:r>
                </w:p>
              </w:tc>
              <w:tc>
                <w:tcPr>
                  <w:tcW w:w="592" w:type="pct"/>
                  <w:vAlign w:val="center"/>
                </w:tcPr>
                <w:p w14:paraId="726EAD4F">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highlight w:val="none"/>
                    </w:rPr>
                  </w:pPr>
                  <w:r>
                    <w:rPr>
                      <w:rFonts w:hint="default" w:ascii="Times New Roman" w:hAnsi="Times New Roman" w:eastAsia="宋体" w:cs="Times New Roman"/>
                      <w:color w:val="auto"/>
                      <w:szCs w:val="21"/>
                      <w:highlight w:val="none"/>
                    </w:rPr>
                    <w:t>1</w:t>
                  </w:r>
                </w:p>
              </w:tc>
              <w:tc>
                <w:tcPr>
                  <w:tcW w:w="537" w:type="pct"/>
                  <w:shd w:val="clear" w:color="auto" w:fill="auto"/>
                  <w:vAlign w:val="center"/>
                </w:tcPr>
                <w:p w14:paraId="0FA1ADAF">
                  <w:pPr>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color w:val="auto"/>
                      <w:kern w:val="2"/>
                      <w:sz w:val="21"/>
                      <w:szCs w:val="21"/>
                      <w:highlight w:val="none"/>
                      <w:lang w:val="en-US" w:eastAsia="zh-CN" w:bidi="ar-SA"/>
                    </w:rPr>
                  </w:pPr>
                  <w:r>
                    <w:rPr>
                      <w:rFonts w:hint="eastAsia" w:ascii="Times New Roman" w:hAnsi="Times New Roman" w:eastAsia="宋体" w:cs="Times New Roman"/>
                      <w:color w:val="auto"/>
                      <w:szCs w:val="21"/>
                      <w:highlight w:val="none"/>
                      <w:lang w:val="en-US" w:eastAsia="zh-CN"/>
                    </w:rPr>
                    <w:t>+</w:t>
                  </w:r>
                  <w:r>
                    <w:rPr>
                      <w:rFonts w:hint="default" w:ascii="Times New Roman" w:hAnsi="Times New Roman" w:eastAsia="宋体" w:cs="Times New Roman"/>
                      <w:color w:val="auto"/>
                      <w:szCs w:val="21"/>
                      <w:highlight w:val="none"/>
                    </w:rPr>
                    <w:t>1</w:t>
                  </w:r>
                </w:p>
              </w:tc>
              <w:tc>
                <w:tcPr>
                  <w:tcW w:w="211" w:type="pct"/>
                  <w:vMerge w:val="continue"/>
                  <w:shd w:val="clear" w:color="auto" w:fill="auto"/>
                  <w:vAlign w:val="center"/>
                </w:tcPr>
                <w:p w14:paraId="694B1B1E">
                  <w:pPr>
                    <w:keepNext w:val="0"/>
                    <w:keepLines w:val="0"/>
                    <w:widowControl w:val="0"/>
                    <w:suppressLineNumbers w:val="0"/>
                    <w:spacing w:before="0" w:beforeAutospacing="0" w:after="0" w:afterAutospacing="0"/>
                    <w:ind w:left="0" w:leftChars="0" w:right="0" w:rightChars="0"/>
                    <w:jc w:val="center"/>
                    <w:rPr>
                      <w:rFonts w:hint="default" w:ascii="Times New Roman" w:hAnsi="Times New Roman" w:eastAsia="宋体" w:cs="Times New Roman"/>
                      <w:color w:val="auto"/>
                      <w:kern w:val="2"/>
                      <w:sz w:val="21"/>
                      <w:szCs w:val="21"/>
                      <w:highlight w:val="none"/>
                      <w:lang w:val="en-US" w:eastAsia="zh-CN" w:bidi="ar-SA"/>
                    </w:rPr>
                  </w:pPr>
                </w:p>
              </w:tc>
              <w:tc>
                <w:tcPr>
                  <w:tcW w:w="325" w:type="pct"/>
                  <w:shd w:val="clear" w:color="auto" w:fill="auto"/>
                  <w:vAlign w:val="center"/>
                </w:tcPr>
                <w:p w14:paraId="2FF4226C">
                  <w:pPr>
                    <w:keepNext w:val="0"/>
                    <w:keepLines w:val="0"/>
                    <w:widowControl w:val="0"/>
                    <w:suppressLineNumbers w:val="0"/>
                    <w:spacing w:before="0" w:beforeAutospacing="0" w:after="0" w:afterAutospacing="0"/>
                    <w:ind w:left="0" w:leftChars="0" w:right="0" w:rightChars="0"/>
                    <w:jc w:val="center"/>
                    <w:rPr>
                      <w:rFonts w:hint="eastAsia" w:ascii="Times New Roman" w:hAnsi="Times New Roman" w:eastAsia="宋体" w:cs="Times New Roman"/>
                      <w:color w:val="auto"/>
                      <w:kern w:val="2"/>
                      <w:sz w:val="21"/>
                      <w:szCs w:val="21"/>
                      <w:highlight w:val="none"/>
                      <w:lang w:val="en-US" w:eastAsia="zh-CN" w:bidi="ar-SA"/>
                    </w:rPr>
                  </w:pPr>
                  <w:r>
                    <w:rPr>
                      <w:rFonts w:hint="eastAsia" w:ascii="Times New Roman" w:hAnsi="Times New Roman" w:cs="Times New Roman"/>
                      <w:color w:val="auto"/>
                      <w:kern w:val="2"/>
                      <w:sz w:val="21"/>
                      <w:szCs w:val="21"/>
                      <w:highlight w:val="none"/>
                      <w:lang w:val="en-US" w:eastAsia="zh-CN"/>
                    </w:rPr>
                    <w:t>2楼</w:t>
                  </w:r>
                </w:p>
              </w:tc>
              <w:tc>
                <w:tcPr>
                  <w:tcW w:w="320" w:type="pct"/>
                  <w:vAlign w:val="center"/>
                </w:tcPr>
                <w:p w14:paraId="1AFB92D5">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highlight w:val="none"/>
                    </w:rPr>
                  </w:pPr>
                  <w:r>
                    <w:rPr>
                      <w:rFonts w:hint="default" w:ascii="Times New Roman" w:hAnsi="Times New Roman" w:eastAsia="宋体" w:cs="Times New Roman"/>
                      <w:color w:val="auto"/>
                      <w:szCs w:val="21"/>
                      <w:highlight w:val="none"/>
                    </w:rPr>
                    <w:t>新增</w:t>
                  </w:r>
                </w:p>
              </w:tc>
            </w:tr>
            <w:tr w14:paraId="47F287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291" w:type="pct"/>
                  <w:shd w:val="clear" w:color="auto" w:fill="auto"/>
                  <w:vAlign w:val="center"/>
                </w:tcPr>
                <w:p w14:paraId="73F29689">
                  <w:pPr>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color w:val="auto"/>
                      <w:kern w:val="2"/>
                      <w:sz w:val="21"/>
                      <w:szCs w:val="21"/>
                      <w:highlight w:val="none"/>
                      <w:lang w:val="en-US" w:eastAsia="zh-CN" w:bidi="ar-SA"/>
                    </w:rPr>
                  </w:pPr>
                  <w:r>
                    <w:rPr>
                      <w:rFonts w:hint="eastAsia" w:ascii="Times New Roman" w:hAnsi="Times New Roman" w:eastAsia="宋体" w:cs="Times New Roman"/>
                      <w:color w:val="auto"/>
                      <w:szCs w:val="21"/>
                      <w:highlight w:val="none"/>
                      <w:lang w:val="en-US" w:eastAsia="zh-CN"/>
                    </w:rPr>
                    <w:t>18</w:t>
                  </w:r>
                </w:p>
              </w:tc>
              <w:tc>
                <w:tcPr>
                  <w:tcW w:w="394" w:type="pct"/>
                  <w:vMerge w:val="continue"/>
                  <w:vAlign w:val="center"/>
                </w:tcPr>
                <w:p w14:paraId="3C85FE54">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highlight w:val="none"/>
                    </w:rPr>
                  </w:pPr>
                </w:p>
              </w:tc>
              <w:tc>
                <w:tcPr>
                  <w:tcW w:w="660" w:type="pct"/>
                  <w:vAlign w:val="center"/>
                </w:tcPr>
                <w:p w14:paraId="7B7AC064">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highlight w:val="none"/>
                    </w:rPr>
                  </w:pPr>
                  <w:r>
                    <w:rPr>
                      <w:rFonts w:hint="default" w:ascii="Times New Roman" w:hAnsi="Times New Roman" w:eastAsia="宋体" w:cs="Times New Roman"/>
                      <w:color w:val="auto"/>
                      <w:szCs w:val="21"/>
                      <w:highlight w:val="none"/>
                    </w:rPr>
                    <w:t>多功能分条机</w:t>
                  </w:r>
                </w:p>
              </w:tc>
              <w:tc>
                <w:tcPr>
                  <w:tcW w:w="766" w:type="pct"/>
                  <w:vAlign w:val="center"/>
                </w:tcPr>
                <w:p w14:paraId="2F33C167">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highlight w:val="none"/>
                    </w:rPr>
                  </w:pPr>
                  <w:r>
                    <w:rPr>
                      <w:rFonts w:hint="default" w:ascii="Times New Roman" w:hAnsi="Times New Roman" w:eastAsia="宋体" w:cs="Times New Roman"/>
                      <w:color w:val="auto"/>
                      <w:szCs w:val="21"/>
                      <w:highlight w:val="none"/>
                    </w:rPr>
                    <w:t>350</w:t>
                  </w:r>
                </w:p>
              </w:tc>
              <w:tc>
                <w:tcPr>
                  <w:tcW w:w="483" w:type="pct"/>
                  <w:vAlign w:val="center"/>
                </w:tcPr>
                <w:p w14:paraId="4EEC77C1">
                  <w:pPr>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color w:val="auto"/>
                      <w:szCs w:val="21"/>
                      <w:highlight w:val="none"/>
                    </w:rPr>
                  </w:pPr>
                  <w:r>
                    <w:rPr>
                      <w:rFonts w:hint="eastAsia" w:ascii="Times New Roman" w:hAnsi="Times New Roman" w:eastAsia="宋体" w:cs="Times New Roman"/>
                      <w:color w:val="auto"/>
                      <w:szCs w:val="21"/>
                      <w:highlight w:val="none"/>
                      <w:lang w:val="en-US" w:eastAsia="zh-CN" w:bidi="ar"/>
                    </w:rPr>
                    <w:t>0</w:t>
                  </w:r>
                </w:p>
              </w:tc>
              <w:tc>
                <w:tcPr>
                  <w:tcW w:w="417" w:type="pct"/>
                  <w:vAlign w:val="center"/>
                </w:tcPr>
                <w:p w14:paraId="66F72318">
                  <w:pPr>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color w:val="auto"/>
                      <w:szCs w:val="21"/>
                      <w:highlight w:val="none"/>
                    </w:rPr>
                  </w:pPr>
                  <w:r>
                    <w:rPr>
                      <w:rFonts w:hint="eastAsia" w:ascii="Times New Roman" w:hAnsi="Times New Roman" w:eastAsia="宋体" w:cs="Times New Roman"/>
                      <w:color w:val="auto"/>
                      <w:szCs w:val="21"/>
                      <w:highlight w:val="none"/>
                      <w:lang w:val="en-US" w:eastAsia="zh-CN" w:bidi="ar"/>
                    </w:rPr>
                    <w:t>0</w:t>
                  </w:r>
                </w:p>
              </w:tc>
              <w:tc>
                <w:tcPr>
                  <w:tcW w:w="592" w:type="pct"/>
                  <w:vAlign w:val="center"/>
                </w:tcPr>
                <w:p w14:paraId="6F8F56AB">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highlight w:val="none"/>
                    </w:rPr>
                  </w:pPr>
                  <w:r>
                    <w:rPr>
                      <w:rFonts w:hint="default" w:ascii="Times New Roman" w:hAnsi="Times New Roman" w:eastAsia="宋体" w:cs="Times New Roman"/>
                      <w:color w:val="auto"/>
                      <w:szCs w:val="21"/>
                      <w:highlight w:val="none"/>
                    </w:rPr>
                    <w:t>1</w:t>
                  </w:r>
                </w:p>
              </w:tc>
              <w:tc>
                <w:tcPr>
                  <w:tcW w:w="537" w:type="pct"/>
                  <w:shd w:val="clear" w:color="auto" w:fill="auto"/>
                  <w:vAlign w:val="center"/>
                </w:tcPr>
                <w:p w14:paraId="11DCA885">
                  <w:pPr>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color w:val="auto"/>
                      <w:kern w:val="2"/>
                      <w:sz w:val="21"/>
                      <w:szCs w:val="21"/>
                      <w:highlight w:val="none"/>
                      <w:lang w:val="en-US" w:eastAsia="zh-CN" w:bidi="ar-SA"/>
                    </w:rPr>
                  </w:pPr>
                  <w:r>
                    <w:rPr>
                      <w:rFonts w:hint="eastAsia" w:ascii="Times New Roman" w:hAnsi="Times New Roman" w:eastAsia="宋体" w:cs="Times New Roman"/>
                      <w:color w:val="auto"/>
                      <w:szCs w:val="21"/>
                      <w:highlight w:val="none"/>
                      <w:lang w:val="en-US" w:eastAsia="zh-CN"/>
                    </w:rPr>
                    <w:t>+</w:t>
                  </w:r>
                  <w:r>
                    <w:rPr>
                      <w:rFonts w:hint="default" w:ascii="Times New Roman" w:hAnsi="Times New Roman" w:eastAsia="宋体" w:cs="Times New Roman"/>
                      <w:color w:val="auto"/>
                      <w:szCs w:val="21"/>
                      <w:highlight w:val="none"/>
                    </w:rPr>
                    <w:t>1</w:t>
                  </w:r>
                </w:p>
              </w:tc>
              <w:tc>
                <w:tcPr>
                  <w:tcW w:w="211" w:type="pct"/>
                  <w:vMerge w:val="continue"/>
                  <w:shd w:val="clear" w:color="auto" w:fill="auto"/>
                  <w:vAlign w:val="center"/>
                </w:tcPr>
                <w:p w14:paraId="454400A0">
                  <w:pPr>
                    <w:keepNext w:val="0"/>
                    <w:keepLines w:val="0"/>
                    <w:widowControl w:val="0"/>
                    <w:suppressLineNumbers w:val="0"/>
                    <w:spacing w:before="0" w:beforeAutospacing="0" w:after="0" w:afterAutospacing="0"/>
                    <w:ind w:left="0" w:leftChars="0" w:right="0" w:rightChars="0"/>
                    <w:jc w:val="center"/>
                    <w:rPr>
                      <w:rFonts w:hint="default" w:ascii="Times New Roman" w:hAnsi="Times New Roman" w:eastAsia="宋体" w:cs="Times New Roman"/>
                      <w:color w:val="auto"/>
                      <w:kern w:val="2"/>
                      <w:sz w:val="21"/>
                      <w:szCs w:val="21"/>
                      <w:highlight w:val="none"/>
                      <w:lang w:val="en-US" w:eastAsia="zh-CN" w:bidi="ar-SA"/>
                    </w:rPr>
                  </w:pPr>
                </w:p>
              </w:tc>
              <w:tc>
                <w:tcPr>
                  <w:tcW w:w="325" w:type="pct"/>
                  <w:shd w:val="clear" w:color="auto" w:fill="auto"/>
                  <w:vAlign w:val="center"/>
                </w:tcPr>
                <w:p w14:paraId="795A84F5">
                  <w:pPr>
                    <w:keepNext w:val="0"/>
                    <w:keepLines w:val="0"/>
                    <w:widowControl w:val="0"/>
                    <w:suppressLineNumbers w:val="0"/>
                    <w:spacing w:before="0" w:beforeAutospacing="0" w:after="0" w:afterAutospacing="0"/>
                    <w:ind w:left="0" w:leftChars="0" w:right="0" w:rightChars="0"/>
                    <w:jc w:val="center"/>
                    <w:rPr>
                      <w:rFonts w:hint="eastAsia" w:ascii="Times New Roman" w:hAnsi="Times New Roman" w:eastAsia="宋体" w:cs="Times New Roman"/>
                      <w:color w:val="auto"/>
                      <w:kern w:val="2"/>
                      <w:sz w:val="21"/>
                      <w:szCs w:val="21"/>
                      <w:highlight w:val="none"/>
                      <w:lang w:val="en-US" w:eastAsia="zh-CN" w:bidi="ar-SA"/>
                    </w:rPr>
                  </w:pPr>
                  <w:r>
                    <w:rPr>
                      <w:rFonts w:hint="eastAsia" w:ascii="Times New Roman" w:hAnsi="Times New Roman" w:cs="Times New Roman"/>
                      <w:color w:val="auto"/>
                      <w:kern w:val="2"/>
                      <w:sz w:val="21"/>
                      <w:szCs w:val="21"/>
                      <w:highlight w:val="none"/>
                      <w:lang w:val="en-US" w:eastAsia="zh-CN"/>
                    </w:rPr>
                    <w:t>2楼</w:t>
                  </w:r>
                </w:p>
              </w:tc>
              <w:tc>
                <w:tcPr>
                  <w:tcW w:w="320" w:type="pct"/>
                  <w:vAlign w:val="center"/>
                </w:tcPr>
                <w:p w14:paraId="68FCDE8C">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highlight w:val="none"/>
                    </w:rPr>
                  </w:pPr>
                  <w:r>
                    <w:rPr>
                      <w:rFonts w:hint="default" w:ascii="Times New Roman" w:hAnsi="Times New Roman" w:eastAsia="宋体" w:cs="Times New Roman"/>
                      <w:color w:val="auto"/>
                      <w:szCs w:val="21"/>
                      <w:highlight w:val="none"/>
                    </w:rPr>
                    <w:t>新增</w:t>
                  </w:r>
                </w:p>
              </w:tc>
            </w:tr>
            <w:tr w14:paraId="61140D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291" w:type="pct"/>
                  <w:shd w:val="clear" w:color="auto" w:fill="auto"/>
                  <w:vAlign w:val="center"/>
                </w:tcPr>
                <w:p w14:paraId="0E0FC6FE">
                  <w:pPr>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color w:val="auto"/>
                      <w:szCs w:val="21"/>
                      <w:highlight w:val="none"/>
                    </w:rPr>
                    <w:t>19</w:t>
                  </w:r>
                </w:p>
              </w:tc>
              <w:tc>
                <w:tcPr>
                  <w:tcW w:w="394" w:type="pct"/>
                  <w:vAlign w:val="center"/>
                </w:tcPr>
                <w:p w14:paraId="3C02C8DF">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highlight w:val="none"/>
                    </w:rPr>
                  </w:pPr>
                  <w:r>
                    <w:rPr>
                      <w:rFonts w:hint="default" w:ascii="Times New Roman" w:hAnsi="Times New Roman" w:eastAsia="宋体" w:cs="Times New Roman"/>
                      <w:color w:val="auto"/>
                      <w:szCs w:val="21"/>
                      <w:highlight w:val="none"/>
                      <w:lang w:val="en-US" w:eastAsia="zh-CN"/>
                    </w:rPr>
                    <w:t>背胶</w:t>
                  </w:r>
                </w:p>
              </w:tc>
              <w:tc>
                <w:tcPr>
                  <w:tcW w:w="660" w:type="pct"/>
                  <w:shd w:val="clear" w:color="auto" w:fill="auto"/>
                  <w:vAlign w:val="center"/>
                </w:tcPr>
                <w:p w14:paraId="2B1A420C">
                  <w:pPr>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color w:val="auto"/>
                      <w:szCs w:val="21"/>
                      <w:highlight w:val="none"/>
                    </w:rPr>
                    <w:t>650底涂机</w:t>
                  </w:r>
                </w:p>
              </w:tc>
              <w:tc>
                <w:tcPr>
                  <w:tcW w:w="766" w:type="pct"/>
                  <w:shd w:val="clear" w:color="auto" w:fill="auto"/>
                  <w:vAlign w:val="center"/>
                </w:tcPr>
                <w:p w14:paraId="46287993">
                  <w:pPr>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color w:val="auto"/>
                      <w:szCs w:val="21"/>
                      <w:highlight w:val="none"/>
                    </w:rPr>
                    <w:t>650</w:t>
                  </w:r>
                </w:p>
              </w:tc>
              <w:tc>
                <w:tcPr>
                  <w:tcW w:w="483" w:type="pct"/>
                  <w:shd w:val="clear" w:color="auto" w:fill="auto"/>
                  <w:vAlign w:val="center"/>
                </w:tcPr>
                <w:p w14:paraId="60A89806">
                  <w:pPr>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color w:val="auto"/>
                      <w:szCs w:val="21"/>
                      <w:highlight w:val="none"/>
                    </w:rPr>
                  </w:pPr>
                  <w:r>
                    <w:rPr>
                      <w:rFonts w:hint="eastAsia" w:ascii="Times New Roman" w:hAnsi="Times New Roman" w:eastAsia="宋体" w:cs="Times New Roman"/>
                      <w:color w:val="auto"/>
                      <w:szCs w:val="21"/>
                      <w:highlight w:val="none"/>
                      <w:lang w:val="en-US" w:eastAsia="zh-CN" w:bidi="ar"/>
                    </w:rPr>
                    <w:t>0</w:t>
                  </w:r>
                </w:p>
              </w:tc>
              <w:tc>
                <w:tcPr>
                  <w:tcW w:w="417" w:type="pct"/>
                  <w:shd w:val="clear" w:color="auto" w:fill="auto"/>
                  <w:vAlign w:val="center"/>
                </w:tcPr>
                <w:p w14:paraId="684B12BD">
                  <w:pPr>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color w:val="auto"/>
                      <w:szCs w:val="21"/>
                      <w:highlight w:val="none"/>
                    </w:rPr>
                  </w:pPr>
                  <w:r>
                    <w:rPr>
                      <w:rFonts w:hint="eastAsia" w:ascii="Times New Roman" w:hAnsi="Times New Roman" w:eastAsia="宋体" w:cs="Times New Roman"/>
                      <w:color w:val="auto"/>
                      <w:szCs w:val="21"/>
                      <w:highlight w:val="none"/>
                      <w:lang w:val="en-US" w:eastAsia="zh-CN" w:bidi="ar"/>
                    </w:rPr>
                    <w:t>0</w:t>
                  </w:r>
                </w:p>
              </w:tc>
              <w:tc>
                <w:tcPr>
                  <w:tcW w:w="592" w:type="pct"/>
                  <w:shd w:val="clear" w:color="auto" w:fill="auto"/>
                  <w:vAlign w:val="center"/>
                </w:tcPr>
                <w:p w14:paraId="7875FE15">
                  <w:pPr>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color w:val="auto"/>
                      <w:kern w:val="2"/>
                      <w:sz w:val="21"/>
                      <w:szCs w:val="21"/>
                      <w:highlight w:val="none"/>
                      <w:lang w:val="en-US" w:eastAsia="zh-CN" w:bidi="ar-SA"/>
                    </w:rPr>
                  </w:pPr>
                  <w:r>
                    <w:rPr>
                      <w:rFonts w:hint="eastAsia" w:ascii="Times New Roman" w:hAnsi="Times New Roman" w:eastAsia="宋体" w:cs="Times New Roman"/>
                      <w:color w:val="auto"/>
                      <w:szCs w:val="21"/>
                      <w:highlight w:val="none"/>
                    </w:rPr>
                    <w:t>2</w:t>
                  </w:r>
                </w:p>
              </w:tc>
              <w:tc>
                <w:tcPr>
                  <w:tcW w:w="537" w:type="pct"/>
                  <w:shd w:val="clear" w:color="auto" w:fill="auto"/>
                  <w:vAlign w:val="center"/>
                </w:tcPr>
                <w:p w14:paraId="447DB221">
                  <w:pPr>
                    <w:keepNext w:val="0"/>
                    <w:keepLines w:val="0"/>
                    <w:suppressLineNumbers w:val="0"/>
                    <w:spacing w:before="0" w:beforeAutospacing="0" w:after="0" w:afterAutospacing="0"/>
                    <w:ind w:left="0" w:leftChars="0" w:right="0" w:rightChars="0"/>
                    <w:jc w:val="center"/>
                    <w:rPr>
                      <w:rFonts w:hint="eastAsia" w:ascii="Times New Roman" w:hAnsi="Times New Roman" w:eastAsia="宋体" w:cs="Times New Roman"/>
                      <w:color w:val="auto"/>
                      <w:kern w:val="2"/>
                      <w:sz w:val="21"/>
                      <w:szCs w:val="21"/>
                      <w:highlight w:val="none"/>
                      <w:lang w:val="en-US" w:eastAsia="zh-CN" w:bidi="ar-SA"/>
                    </w:rPr>
                  </w:pPr>
                  <w:r>
                    <w:rPr>
                      <w:rFonts w:hint="eastAsia" w:ascii="Times New Roman" w:hAnsi="Times New Roman" w:eastAsia="宋体" w:cs="Times New Roman"/>
                      <w:color w:val="auto"/>
                      <w:szCs w:val="21"/>
                      <w:highlight w:val="none"/>
                      <w:lang w:val="en-US" w:eastAsia="zh-CN"/>
                    </w:rPr>
                    <w:t>+</w:t>
                  </w:r>
                  <w:r>
                    <w:rPr>
                      <w:rFonts w:hint="eastAsia" w:ascii="Times New Roman" w:hAnsi="Times New Roman" w:eastAsia="宋体" w:cs="Times New Roman"/>
                      <w:color w:val="auto"/>
                      <w:szCs w:val="21"/>
                      <w:highlight w:val="none"/>
                    </w:rPr>
                    <w:t>2</w:t>
                  </w:r>
                </w:p>
              </w:tc>
              <w:tc>
                <w:tcPr>
                  <w:tcW w:w="211" w:type="pct"/>
                  <w:vMerge w:val="continue"/>
                  <w:shd w:val="clear" w:color="auto" w:fill="auto"/>
                  <w:vAlign w:val="center"/>
                </w:tcPr>
                <w:p w14:paraId="3B00CB72">
                  <w:pPr>
                    <w:keepNext w:val="0"/>
                    <w:keepLines w:val="0"/>
                    <w:widowControl w:val="0"/>
                    <w:suppressLineNumbers w:val="0"/>
                    <w:spacing w:before="0" w:beforeAutospacing="0" w:after="0" w:afterAutospacing="0"/>
                    <w:ind w:left="0" w:leftChars="0" w:right="0" w:rightChars="0"/>
                    <w:jc w:val="center"/>
                    <w:rPr>
                      <w:rFonts w:hint="eastAsia" w:ascii="Times New Roman" w:hAnsi="Times New Roman" w:eastAsia="宋体" w:cs="Times New Roman"/>
                      <w:color w:val="auto"/>
                      <w:kern w:val="2"/>
                      <w:sz w:val="21"/>
                      <w:szCs w:val="21"/>
                      <w:highlight w:val="none"/>
                      <w:lang w:val="en-US" w:eastAsia="zh-CN" w:bidi="ar-SA"/>
                    </w:rPr>
                  </w:pPr>
                </w:p>
              </w:tc>
              <w:tc>
                <w:tcPr>
                  <w:tcW w:w="325" w:type="pct"/>
                  <w:shd w:val="clear" w:color="auto" w:fill="auto"/>
                  <w:vAlign w:val="center"/>
                </w:tcPr>
                <w:p w14:paraId="08AB45C3">
                  <w:pPr>
                    <w:keepNext w:val="0"/>
                    <w:keepLines w:val="0"/>
                    <w:widowControl w:val="0"/>
                    <w:suppressLineNumbers w:val="0"/>
                    <w:spacing w:before="0" w:beforeAutospacing="0" w:after="0" w:afterAutospacing="0"/>
                    <w:ind w:left="0" w:leftChars="0" w:right="0" w:rightChars="0"/>
                    <w:jc w:val="center"/>
                    <w:rPr>
                      <w:rFonts w:hint="eastAsia" w:ascii="Times New Roman" w:hAnsi="Times New Roman" w:eastAsia="宋体" w:cs="Times New Roman"/>
                      <w:color w:val="auto"/>
                      <w:kern w:val="2"/>
                      <w:sz w:val="21"/>
                      <w:szCs w:val="21"/>
                      <w:highlight w:val="none"/>
                      <w:lang w:val="en-US" w:eastAsia="zh-CN" w:bidi="ar-SA"/>
                    </w:rPr>
                  </w:pPr>
                  <w:r>
                    <w:rPr>
                      <w:rFonts w:hint="eastAsia" w:ascii="Times New Roman" w:hAnsi="Times New Roman" w:cs="Times New Roman"/>
                      <w:color w:val="auto"/>
                      <w:kern w:val="2"/>
                      <w:sz w:val="21"/>
                      <w:szCs w:val="21"/>
                      <w:highlight w:val="none"/>
                      <w:lang w:val="en-US" w:eastAsia="zh-CN"/>
                    </w:rPr>
                    <w:t>2楼</w:t>
                  </w:r>
                </w:p>
              </w:tc>
              <w:tc>
                <w:tcPr>
                  <w:tcW w:w="320" w:type="pct"/>
                  <w:shd w:val="clear" w:color="auto" w:fill="auto"/>
                  <w:vAlign w:val="center"/>
                </w:tcPr>
                <w:p w14:paraId="0EF09705">
                  <w:pPr>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color w:val="auto"/>
                      <w:szCs w:val="21"/>
                      <w:highlight w:val="none"/>
                    </w:rPr>
                    <w:t>新增</w:t>
                  </w:r>
                </w:p>
              </w:tc>
            </w:tr>
            <w:tr w14:paraId="3DF575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291" w:type="pct"/>
                  <w:shd w:val="clear" w:color="auto" w:fill="auto"/>
                  <w:vAlign w:val="center"/>
                </w:tcPr>
                <w:p w14:paraId="30DF7DDE">
                  <w:pPr>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color w:val="auto"/>
                      <w:szCs w:val="21"/>
                      <w:highlight w:val="none"/>
                    </w:rPr>
                    <w:t>20</w:t>
                  </w:r>
                </w:p>
              </w:tc>
              <w:tc>
                <w:tcPr>
                  <w:tcW w:w="394" w:type="pct"/>
                  <w:vAlign w:val="center"/>
                </w:tcPr>
                <w:p w14:paraId="4243CDA0">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highlight w:val="none"/>
                      <w:lang w:val="en-US" w:eastAsia="zh-CN"/>
                    </w:rPr>
                  </w:pPr>
                  <w:r>
                    <w:rPr>
                      <w:rFonts w:hint="default" w:ascii="Times New Roman" w:hAnsi="Times New Roman" w:eastAsia="宋体" w:cs="Times New Roman"/>
                      <w:color w:val="auto"/>
                      <w:szCs w:val="21"/>
                      <w:highlight w:val="none"/>
                      <w:lang w:val="en-US" w:eastAsia="zh-CN"/>
                    </w:rPr>
                    <w:t>贴合</w:t>
                  </w:r>
                </w:p>
              </w:tc>
              <w:tc>
                <w:tcPr>
                  <w:tcW w:w="660" w:type="pct"/>
                  <w:shd w:val="clear" w:color="auto" w:fill="auto"/>
                  <w:vAlign w:val="center"/>
                </w:tcPr>
                <w:p w14:paraId="09742505">
                  <w:pPr>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color w:val="auto"/>
                      <w:szCs w:val="21"/>
                      <w:highlight w:val="none"/>
                    </w:rPr>
                    <w:t>多工位贴合机</w:t>
                  </w:r>
                </w:p>
              </w:tc>
              <w:tc>
                <w:tcPr>
                  <w:tcW w:w="766" w:type="pct"/>
                  <w:shd w:val="clear" w:color="auto" w:fill="auto"/>
                  <w:vAlign w:val="center"/>
                </w:tcPr>
                <w:p w14:paraId="2772D3FB">
                  <w:pPr>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color w:val="auto"/>
                      <w:szCs w:val="21"/>
                      <w:highlight w:val="none"/>
                    </w:rPr>
                    <w:t>450</w:t>
                  </w:r>
                </w:p>
              </w:tc>
              <w:tc>
                <w:tcPr>
                  <w:tcW w:w="483" w:type="pct"/>
                  <w:shd w:val="clear" w:color="auto" w:fill="auto"/>
                  <w:vAlign w:val="center"/>
                </w:tcPr>
                <w:p w14:paraId="09B0D364">
                  <w:pPr>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color w:val="auto"/>
                      <w:szCs w:val="21"/>
                      <w:highlight w:val="none"/>
                    </w:rPr>
                  </w:pPr>
                  <w:r>
                    <w:rPr>
                      <w:rFonts w:hint="eastAsia" w:ascii="Times New Roman" w:hAnsi="Times New Roman" w:eastAsia="宋体" w:cs="Times New Roman"/>
                      <w:color w:val="auto"/>
                      <w:szCs w:val="21"/>
                      <w:highlight w:val="none"/>
                      <w:lang w:val="en-US" w:eastAsia="zh-CN" w:bidi="ar"/>
                    </w:rPr>
                    <w:t>0</w:t>
                  </w:r>
                </w:p>
              </w:tc>
              <w:tc>
                <w:tcPr>
                  <w:tcW w:w="417" w:type="pct"/>
                  <w:shd w:val="clear" w:color="auto" w:fill="auto"/>
                  <w:vAlign w:val="center"/>
                </w:tcPr>
                <w:p w14:paraId="45EBE388">
                  <w:pPr>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color w:val="auto"/>
                      <w:szCs w:val="21"/>
                      <w:highlight w:val="none"/>
                    </w:rPr>
                  </w:pPr>
                  <w:r>
                    <w:rPr>
                      <w:rFonts w:hint="eastAsia" w:ascii="Times New Roman" w:hAnsi="Times New Roman" w:eastAsia="宋体" w:cs="Times New Roman"/>
                      <w:color w:val="auto"/>
                      <w:szCs w:val="21"/>
                      <w:highlight w:val="none"/>
                      <w:lang w:val="en-US" w:eastAsia="zh-CN" w:bidi="ar"/>
                    </w:rPr>
                    <w:t>0</w:t>
                  </w:r>
                </w:p>
              </w:tc>
              <w:tc>
                <w:tcPr>
                  <w:tcW w:w="592" w:type="pct"/>
                  <w:shd w:val="clear" w:color="auto" w:fill="auto"/>
                  <w:vAlign w:val="center"/>
                </w:tcPr>
                <w:p w14:paraId="3F2AEF26">
                  <w:pPr>
                    <w:keepNext w:val="0"/>
                    <w:keepLines w:val="0"/>
                    <w:suppressLineNumbers w:val="0"/>
                    <w:spacing w:before="0" w:beforeAutospacing="0" w:after="0" w:afterAutospacing="0"/>
                    <w:ind w:left="0" w:leftChars="0" w:right="0" w:rightChars="0"/>
                    <w:jc w:val="center"/>
                    <w:rPr>
                      <w:rFonts w:hint="eastAsia" w:ascii="Times New Roman" w:hAnsi="Times New Roman" w:eastAsia="宋体" w:cs="Times New Roman"/>
                      <w:color w:val="auto"/>
                      <w:kern w:val="2"/>
                      <w:sz w:val="21"/>
                      <w:szCs w:val="21"/>
                      <w:highlight w:val="none"/>
                      <w:lang w:val="en-US" w:eastAsia="zh-CN" w:bidi="ar-SA"/>
                    </w:rPr>
                  </w:pPr>
                  <w:r>
                    <w:rPr>
                      <w:rFonts w:hint="eastAsia" w:ascii="Times New Roman" w:hAnsi="Times New Roman" w:eastAsia="宋体" w:cs="Times New Roman"/>
                      <w:color w:val="auto"/>
                      <w:szCs w:val="21"/>
                      <w:highlight w:val="none"/>
                    </w:rPr>
                    <w:t>4</w:t>
                  </w:r>
                </w:p>
              </w:tc>
              <w:tc>
                <w:tcPr>
                  <w:tcW w:w="537" w:type="pct"/>
                  <w:shd w:val="clear" w:color="auto" w:fill="auto"/>
                  <w:vAlign w:val="center"/>
                </w:tcPr>
                <w:p w14:paraId="0B8C7426">
                  <w:pPr>
                    <w:keepNext w:val="0"/>
                    <w:keepLines w:val="0"/>
                    <w:suppressLineNumbers w:val="0"/>
                    <w:spacing w:before="0" w:beforeAutospacing="0" w:after="0" w:afterAutospacing="0"/>
                    <w:ind w:left="0" w:leftChars="0" w:right="0" w:rightChars="0"/>
                    <w:jc w:val="center"/>
                    <w:rPr>
                      <w:rFonts w:hint="eastAsia" w:ascii="Times New Roman" w:hAnsi="Times New Roman" w:eastAsia="宋体" w:cs="Times New Roman"/>
                      <w:color w:val="auto"/>
                      <w:kern w:val="2"/>
                      <w:sz w:val="21"/>
                      <w:szCs w:val="21"/>
                      <w:highlight w:val="none"/>
                      <w:lang w:val="en-US" w:eastAsia="zh-CN" w:bidi="ar-SA"/>
                    </w:rPr>
                  </w:pPr>
                  <w:r>
                    <w:rPr>
                      <w:rFonts w:hint="eastAsia" w:ascii="Times New Roman" w:hAnsi="Times New Roman" w:eastAsia="宋体" w:cs="Times New Roman"/>
                      <w:color w:val="auto"/>
                      <w:szCs w:val="21"/>
                      <w:highlight w:val="none"/>
                      <w:lang w:val="en-US" w:eastAsia="zh-CN"/>
                    </w:rPr>
                    <w:t>+</w:t>
                  </w:r>
                  <w:r>
                    <w:rPr>
                      <w:rFonts w:hint="eastAsia" w:ascii="Times New Roman" w:hAnsi="Times New Roman" w:eastAsia="宋体" w:cs="Times New Roman"/>
                      <w:color w:val="auto"/>
                      <w:szCs w:val="21"/>
                      <w:highlight w:val="none"/>
                    </w:rPr>
                    <w:t>4</w:t>
                  </w:r>
                </w:p>
              </w:tc>
              <w:tc>
                <w:tcPr>
                  <w:tcW w:w="211" w:type="pct"/>
                  <w:vMerge w:val="continue"/>
                  <w:shd w:val="clear" w:color="auto" w:fill="auto"/>
                  <w:vAlign w:val="center"/>
                </w:tcPr>
                <w:p w14:paraId="43BD1368">
                  <w:pPr>
                    <w:keepNext w:val="0"/>
                    <w:keepLines w:val="0"/>
                    <w:widowControl w:val="0"/>
                    <w:suppressLineNumbers w:val="0"/>
                    <w:spacing w:before="0" w:beforeAutospacing="0" w:after="0" w:afterAutospacing="0"/>
                    <w:ind w:left="0" w:leftChars="0" w:right="0" w:rightChars="0"/>
                    <w:jc w:val="center"/>
                    <w:rPr>
                      <w:rFonts w:hint="eastAsia" w:ascii="Times New Roman" w:hAnsi="Times New Roman" w:eastAsia="宋体" w:cs="Times New Roman"/>
                      <w:color w:val="auto"/>
                      <w:kern w:val="2"/>
                      <w:sz w:val="21"/>
                      <w:szCs w:val="21"/>
                      <w:highlight w:val="none"/>
                      <w:lang w:val="en-US" w:eastAsia="zh-CN" w:bidi="ar-SA"/>
                    </w:rPr>
                  </w:pPr>
                </w:p>
              </w:tc>
              <w:tc>
                <w:tcPr>
                  <w:tcW w:w="325" w:type="pct"/>
                  <w:shd w:val="clear" w:color="auto" w:fill="auto"/>
                  <w:vAlign w:val="center"/>
                </w:tcPr>
                <w:p w14:paraId="50CB90F4">
                  <w:pPr>
                    <w:keepNext w:val="0"/>
                    <w:keepLines w:val="0"/>
                    <w:widowControl w:val="0"/>
                    <w:suppressLineNumbers w:val="0"/>
                    <w:spacing w:before="0" w:beforeAutospacing="0" w:after="0" w:afterAutospacing="0"/>
                    <w:ind w:left="0" w:leftChars="0" w:right="0" w:rightChars="0"/>
                    <w:jc w:val="center"/>
                    <w:rPr>
                      <w:rFonts w:hint="eastAsia" w:ascii="Times New Roman" w:hAnsi="Times New Roman" w:eastAsia="宋体" w:cs="Times New Roman"/>
                      <w:color w:val="auto"/>
                      <w:kern w:val="2"/>
                      <w:sz w:val="21"/>
                      <w:szCs w:val="21"/>
                      <w:highlight w:val="none"/>
                      <w:lang w:val="en-US" w:eastAsia="zh-CN" w:bidi="ar-SA"/>
                    </w:rPr>
                  </w:pPr>
                  <w:r>
                    <w:rPr>
                      <w:rFonts w:hint="eastAsia" w:ascii="Times New Roman" w:hAnsi="Times New Roman" w:cs="Times New Roman"/>
                      <w:color w:val="auto"/>
                      <w:kern w:val="2"/>
                      <w:sz w:val="21"/>
                      <w:szCs w:val="21"/>
                      <w:highlight w:val="none"/>
                      <w:lang w:val="en-US" w:eastAsia="zh-CN"/>
                    </w:rPr>
                    <w:t>2楼</w:t>
                  </w:r>
                </w:p>
              </w:tc>
              <w:tc>
                <w:tcPr>
                  <w:tcW w:w="320" w:type="pct"/>
                  <w:shd w:val="clear" w:color="auto" w:fill="auto"/>
                  <w:vAlign w:val="center"/>
                </w:tcPr>
                <w:p w14:paraId="51ABAA53">
                  <w:pPr>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color w:val="auto"/>
                      <w:szCs w:val="21"/>
                      <w:highlight w:val="none"/>
                    </w:rPr>
                    <w:t>新增</w:t>
                  </w:r>
                </w:p>
              </w:tc>
            </w:tr>
            <w:tr w14:paraId="07B9A9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291" w:type="pct"/>
                  <w:shd w:val="clear" w:color="auto" w:fill="auto"/>
                  <w:vAlign w:val="center"/>
                </w:tcPr>
                <w:p w14:paraId="3E486075">
                  <w:pPr>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color w:val="auto"/>
                      <w:szCs w:val="21"/>
                      <w:highlight w:val="none"/>
                    </w:rPr>
                    <w:t>21</w:t>
                  </w:r>
                </w:p>
              </w:tc>
              <w:tc>
                <w:tcPr>
                  <w:tcW w:w="394" w:type="pct"/>
                  <w:vAlign w:val="center"/>
                </w:tcPr>
                <w:p w14:paraId="79A92F9C">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highlight w:val="none"/>
                    </w:rPr>
                  </w:pPr>
                  <w:r>
                    <w:rPr>
                      <w:rFonts w:hint="default" w:ascii="Times New Roman" w:hAnsi="Times New Roman" w:eastAsia="宋体" w:cs="Times New Roman"/>
                      <w:color w:val="auto"/>
                      <w:szCs w:val="21"/>
                      <w:highlight w:val="none"/>
                    </w:rPr>
                    <w:t>检验</w:t>
                  </w:r>
                </w:p>
              </w:tc>
              <w:tc>
                <w:tcPr>
                  <w:tcW w:w="660" w:type="pct"/>
                  <w:vAlign w:val="center"/>
                </w:tcPr>
                <w:p w14:paraId="6A945BF8">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kern w:val="0"/>
                      <w:szCs w:val="21"/>
                      <w:highlight w:val="none"/>
                    </w:rPr>
                  </w:pPr>
                  <w:r>
                    <w:rPr>
                      <w:rFonts w:hint="default" w:ascii="Times New Roman" w:hAnsi="Times New Roman" w:eastAsia="宋体" w:cs="Times New Roman"/>
                      <w:color w:val="auto"/>
                      <w:szCs w:val="21"/>
                      <w:highlight w:val="none"/>
                    </w:rPr>
                    <w:t>电子</w:t>
                  </w:r>
                  <w:r>
                    <w:rPr>
                      <w:rFonts w:hint="eastAsia" w:ascii="Times New Roman" w:hAnsi="Times New Roman" w:eastAsia="宋体" w:cs="Times New Roman"/>
                      <w:color w:val="auto"/>
                      <w:szCs w:val="21"/>
                      <w:highlight w:val="none"/>
                    </w:rPr>
                    <w:t>秤</w:t>
                  </w:r>
                </w:p>
              </w:tc>
              <w:tc>
                <w:tcPr>
                  <w:tcW w:w="766" w:type="pct"/>
                  <w:vAlign w:val="center"/>
                </w:tcPr>
                <w:p w14:paraId="5899334D">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highlight w:val="none"/>
                    </w:rPr>
                  </w:pPr>
                  <w:r>
                    <w:rPr>
                      <w:rFonts w:hint="default" w:ascii="Times New Roman" w:hAnsi="Times New Roman" w:eastAsia="宋体" w:cs="Times New Roman"/>
                      <w:color w:val="auto"/>
                      <w:szCs w:val="21"/>
                      <w:highlight w:val="none"/>
                    </w:rPr>
                    <w:t>/</w:t>
                  </w:r>
                </w:p>
              </w:tc>
              <w:tc>
                <w:tcPr>
                  <w:tcW w:w="483" w:type="pct"/>
                  <w:vAlign w:val="center"/>
                </w:tcPr>
                <w:p w14:paraId="5511A3EE">
                  <w:pPr>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color w:val="auto"/>
                      <w:szCs w:val="21"/>
                      <w:highlight w:val="none"/>
                    </w:rPr>
                  </w:pPr>
                  <w:r>
                    <w:rPr>
                      <w:rFonts w:hint="eastAsia" w:ascii="Times New Roman" w:hAnsi="Times New Roman" w:eastAsia="宋体" w:cs="Times New Roman"/>
                      <w:color w:val="auto"/>
                      <w:szCs w:val="21"/>
                      <w:highlight w:val="none"/>
                      <w:lang w:val="en-US" w:eastAsia="zh-CN" w:bidi="ar"/>
                    </w:rPr>
                    <w:t>0</w:t>
                  </w:r>
                </w:p>
              </w:tc>
              <w:tc>
                <w:tcPr>
                  <w:tcW w:w="417" w:type="pct"/>
                  <w:vAlign w:val="center"/>
                </w:tcPr>
                <w:p w14:paraId="1322FC65">
                  <w:pPr>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color w:val="auto"/>
                      <w:szCs w:val="21"/>
                      <w:highlight w:val="none"/>
                    </w:rPr>
                  </w:pPr>
                  <w:r>
                    <w:rPr>
                      <w:rFonts w:hint="eastAsia" w:ascii="Times New Roman" w:hAnsi="Times New Roman" w:eastAsia="宋体" w:cs="Times New Roman"/>
                      <w:color w:val="auto"/>
                      <w:szCs w:val="21"/>
                      <w:highlight w:val="none"/>
                      <w:lang w:val="en-US" w:eastAsia="zh-CN" w:bidi="ar"/>
                    </w:rPr>
                    <w:t>0</w:t>
                  </w:r>
                </w:p>
              </w:tc>
              <w:tc>
                <w:tcPr>
                  <w:tcW w:w="592" w:type="pct"/>
                  <w:vAlign w:val="center"/>
                </w:tcPr>
                <w:p w14:paraId="0851F4A2">
                  <w:pPr>
                    <w:keepNext w:val="0"/>
                    <w:keepLines w:val="0"/>
                    <w:suppressLineNumbers w:val="0"/>
                    <w:spacing w:before="0" w:beforeAutospacing="0" w:after="0" w:afterAutospacing="0"/>
                    <w:ind w:left="0" w:right="0"/>
                    <w:jc w:val="center"/>
                    <w:rPr>
                      <w:rFonts w:hint="eastAsia" w:ascii="Times New Roman" w:hAnsi="Times New Roman" w:eastAsia="宋体" w:cs="Times New Roman"/>
                      <w:color w:val="auto"/>
                      <w:szCs w:val="21"/>
                      <w:highlight w:val="none"/>
                    </w:rPr>
                  </w:pPr>
                  <w:r>
                    <w:rPr>
                      <w:rFonts w:hint="eastAsia" w:ascii="Times New Roman" w:hAnsi="Times New Roman" w:eastAsia="宋体" w:cs="Times New Roman"/>
                      <w:color w:val="auto"/>
                      <w:szCs w:val="21"/>
                      <w:highlight w:val="none"/>
                    </w:rPr>
                    <w:t>8</w:t>
                  </w:r>
                </w:p>
              </w:tc>
              <w:tc>
                <w:tcPr>
                  <w:tcW w:w="537" w:type="pct"/>
                  <w:shd w:val="clear" w:color="auto" w:fill="auto"/>
                  <w:vAlign w:val="center"/>
                </w:tcPr>
                <w:p w14:paraId="4A82DC96">
                  <w:pPr>
                    <w:keepNext w:val="0"/>
                    <w:keepLines w:val="0"/>
                    <w:suppressLineNumbers w:val="0"/>
                    <w:spacing w:before="0" w:beforeAutospacing="0" w:after="0" w:afterAutospacing="0"/>
                    <w:ind w:left="0" w:leftChars="0" w:right="0" w:rightChars="0"/>
                    <w:jc w:val="center"/>
                    <w:rPr>
                      <w:rFonts w:hint="eastAsia" w:ascii="Times New Roman" w:hAnsi="Times New Roman" w:eastAsia="宋体" w:cs="Times New Roman"/>
                      <w:color w:val="auto"/>
                      <w:kern w:val="2"/>
                      <w:sz w:val="21"/>
                      <w:szCs w:val="21"/>
                      <w:highlight w:val="none"/>
                      <w:lang w:val="en-US" w:eastAsia="zh-CN" w:bidi="ar-SA"/>
                    </w:rPr>
                  </w:pPr>
                  <w:r>
                    <w:rPr>
                      <w:rFonts w:hint="eastAsia" w:ascii="Times New Roman" w:hAnsi="Times New Roman" w:eastAsia="宋体" w:cs="Times New Roman"/>
                      <w:color w:val="auto"/>
                      <w:szCs w:val="21"/>
                      <w:highlight w:val="none"/>
                      <w:lang w:val="en-US" w:eastAsia="zh-CN"/>
                    </w:rPr>
                    <w:t>+</w:t>
                  </w:r>
                  <w:r>
                    <w:rPr>
                      <w:rFonts w:hint="eastAsia" w:ascii="Times New Roman" w:hAnsi="Times New Roman" w:eastAsia="宋体" w:cs="Times New Roman"/>
                      <w:color w:val="auto"/>
                      <w:szCs w:val="21"/>
                      <w:highlight w:val="none"/>
                    </w:rPr>
                    <w:t>8</w:t>
                  </w:r>
                </w:p>
              </w:tc>
              <w:tc>
                <w:tcPr>
                  <w:tcW w:w="211" w:type="pct"/>
                  <w:vMerge w:val="continue"/>
                  <w:shd w:val="clear" w:color="auto" w:fill="auto"/>
                  <w:vAlign w:val="center"/>
                </w:tcPr>
                <w:p w14:paraId="0F60BE77">
                  <w:pPr>
                    <w:keepNext w:val="0"/>
                    <w:keepLines w:val="0"/>
                    <w:widowControl w:val="0"/>
                    <w:suppressLineNumbers w:val="0"/>
                    <w:spacing w:before="0" w:beforeAutospacing="0" w:after="0" w:afterAutospacing="0"/>
                    <w:ind w:left="0" w:leftChars="0" w:right="0" w:rightChars="0"/>
                    <w:jc w:val="center"/>
                    <w:rPr>
                      <w:rFonts w:hint="eastAsia" w:ascii="Times New Roman" w:hAnsi="Times New Roman" w:eastAsia="宋体" w:cs="Times New Roman"/>
                      <w:color w:val="auto"/>
                      <w:kern w:val="2"/>
                      <w:sz w:val="21"/>
                      <w:szCs w:val="21"/>
                      <w:highlight w:val="none"/>
                      <w:lang w:val="en-US" w:eastAsia="zh-CN" w:bidi="ar-SA"/>
                    </w:rPr>
                  </w:pPr>
                </w:p>
              </w:tc>
              <w:tc>
                <w:tcPr>
                  <w:tcW w:w="325" w:type="pct"/>
                  <w:shd w:val="clear" w:color="auto" w:fill="auto"/>
                  <w:vAlign w:val="center"/>
                </w:tcPr>
                <w:p w14:paraId="35A4BCE4">
                  <w:pPr>
                    <w:keepNext w:val="0"/>
                    <w:keepLines w:val="0"/>
                    <w:widowControl w:val="0"/>
                    <w:suppressLineNumbers w:val="0"/>
                    <w:spacing w:before="0" w:beforeAutospacing="0" w:after="0" w:afterAutospacing="0"/>
                    <w:ind w:left="0" w:leftChars="0" w:right="0" w:rightChars="0"/>
                    <w:jc w:val="center"/>
                    <w:rPr>
                      <w:rFonts w:hint="eastAsia" w:ascii="Times New Roman" w:hAnsi="Times New Roman" w:eastAsia="宋体" w:cs="Times New Roman"/>
                      <w:color w:val="auto"/>
                      <w:kern w:val="2"/>
                      <w:sz w:val="21"/>
                      <w:szCs w:val="21"/>
                      <w:highlight w:val="none"/>
                      <w:lang w:val="en-US" w:eastAsia="zh-CN" w:bidi="ar-SA"/>
                    </w:rPr>
                  </w:pPr>
                  <w:r>
                    <w:rPr>
                      <w:rFonts w:hint="eastAsia" w:ascii="Times New Roman" w:hAnsi="Times New Roman" w:cs="Times New Roman"/>
                      <w:color w:val="auto"/>
                      <w:kern w:val="2"/>
                      <w:sz w:val="21"/>
                      <w:szCs w:val="21"/>
                      <w:highlight w:val="none"/>
                      <w:lang w:val="en-US" w:eastAsia="zh-CN"/>
                    </w:rPr>
                    <w:t>2楼</w:t>
                  </w:r>
                </w:p>
              </w:tc>
              <w:tc>
                <w:tcPr>
                  <w:tcW w:w="320" w:type="pct"/>
                  <w:vAlign w:val="center"/>
                </w:tcPr>
                <w:p w14:paraId="4B228E4B">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highlight w:val="none"/>
                    </w:rPr>
                  </w:pPr>
                  <w:r>
                    <w:rPr>
                      <w:rFonts w:hint="default" w:ascii="Times New Roman" w:hAnsi="Times New Roman" w:eastAsia="宋体" w:cs="Times New Roman"/>
                      <w:color w:val="auto"/>
                      <w:szCs w:val="21"/>
                      <w:highlight w:val="none"/>
                    </w:rPr>
                    <w:t>新增</w:t>
                  </w:r>
                </w:p>
              </w:tc>
            </w:tr>
            <w:tr w14:paraId="4B34CD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291" w:type="pct"/>
                  <w:shd w:val="clear" w:color="auto" w:fill="auto"/>
                  <w:vAlign w:val="center"/>
                </w:tcPr>
                <w:p w14:paraId="78B65C39">
                  <w:pPr>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color w:val="auto"/>
                      <w:szCs w:val="21"/>
                      <w:highlight w:val="none"/>
                    </w:rPr>
                    <w:t>22</w:t>
                  </w:r>
                </w:p>
              </w:tc>
              <w:tc>
                <w:tcPr>
                  <w:tcW w:w="394" w:type="pct"/>
                  <w:vAlign w:val="center"/>
                </w:tcPr>
                <w:p w14:paraId="06FCE7DA">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highlight w:val="none"/>
                    </w:rPr>
                  </w:pPr>
                  <w:r>
                    <w:rPr>
                      <w:rFonts w:hint="default" w:ascii="Times New Roman" w:hAnsi="Times New Roman" w:eastAsia="宋体" w:cs="Times New Roman"/>
                      <w:color w:val="auto"/>
                      <w:szCs w:val="21"/>
                      <w:highlight w:val="none"/>
                    </w:rPr>
                    <w:t>检验</w:t>
                  </w:r>
                </w:p>
              </w:tc>
              <w:tc>
                <w:tcPr>
                  <w:tcW w:w="660" w:type="pct"/>
                  <w:vAlign w:val="center"/>
                </w:tcPr>
                <w:p w14:paraId="2F575476">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highlight w:val="none"/>
                    </w:rPr>
                  </w:pPr>
                  <w:r>
                    <w:rPr>
                      <w:rFonts w:hint="default" w:ascii="Times New Roman" w:hAnsi="Times New Roman" w:eastAsia="宋体" w:cs="Times New Roman"/>
                      <w:color w:val="auto"/>
                      <w:szCs w:val="21"/>
                      <w:highlight w:val="none"/>
                    </w:rPr>
                    <w:t>密度计</w:t>
                  </w:r>
                </w:p>
              </w:tc>
              <w:tc>
                <w:tcPr>
                  <w:tcW w:w="766" w:type="pct"/>
                  <w:vAlign w:val="center"/>
                </w:tcPr>
                <w:p w14:paraId="44500A89">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highlight w:val="none"/>
                    </w:rPr>
                  </w:pPr>
                  <w:r>
                    <w:rPr>
                      <w:rFonts w:hint="default" w:ascii="Times New Roman" w:hAnsi="Times New Roman" w:eastAsia="宋体" w:cs="Times New Roman"/>
                      <w:color w:val="auto"/>
                      <w:szCs w:val="21"/>
                      <w:highlight w:val="none"/>
                    </w:rPr>
                    <w:t>/</w:t>
                  </w:r>
                </w:p>
              </w:tc>
              <w:tc>
                <w:tcPr>
                  <w:tcW w:w="483" w:type="pct"/>
                  <w:vAlign w:val="center"/>
                </w:tcPr>
                <w:p w14:paraId="1E2F3C88">
                  <w:pPr>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color w:val="auto"/>
                      <w:szCs w:val="21"/>
                      <w:highlight w:val="none"/>
                    </w:rPr>
                  </w:pPr>
                  <w:r>
                    <w:rPr>
                      <w:rFonts w:hint="eastAsia" w:ascii="Times New Roman" w:hAnsi="Times New Roman" w:eastAsia="宋体" w:cs="Times New Roman"/>
                      <w:color w:val="auto"/>
                      <w:szCs w:val="21"/>
                      <w:highlight w:val="none"/>
                      <w:lang w:val="en-US" w:eastAsia="zh-CN" w:bidi="ar"/>
                    </w:rPr>
                    <w:t>0</w:t>
                  </w:r>
                </w:p>
              </w:tc>
              <w:tc>
                <w:tcPr>
                  <w:tcW w:w="417" w:type="pct"/>
                  <w:vAlign w:val="center"/>
                </w:tcPr>
                <w:p w14:paraId="01A1300A">
                  <w:pPr>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color w:val="auto"/>
                      <w:szCs w:val="21"/>
                      <w:highlight w:val="none"/>
                    </w:rPr>
                  </w:pPr>
                  <w:r>
                    <w:rPr>
                      <w:rFonts w:hint="eastAsia" w:ascii="Times New Roman" w:hAnsi="Times New Roman" w:eastAsia="宋体" w:cs="Times New Roman"/>
                      <w:color w:val="auto"/>
                      <w:szCs w:val="21"/>
                      <w:highlight w:val="none"/>
                      <w:lang w:val="en-US" w:eastAsia="zh-CN" w:bidi="ar"/>
                    </w:rPr>
                    <w:t>0</w:t>
                  </w:r>
                </w:p>
              </w:tc>
              <w:tc>
                <w:tcPr>
                  <w:tcW w:w="592" w:type="pct"/>
                  <w:vAlign w:val="center"/>
                </w:tcPr>
                <w:p w14:paraId="4DB0F12D">
                  <w:pPr>
                    <w:keepNext w:val="0"/>
                    <w:keepLines w:val="0"/>
                    <w:suppressLineNumbers w:val="0"/>
                    <w:spacing w:before="0" w:beforeAutospacing="0" w:after="0" w:afterAutospacing="0"/>
                    <w:ind w:left="0" w:right="0"/>
                    <w:jc w:val="center"/>
                    <w:rPr>
                      <w:rFonts w:hint="eastAsia" w:ascii="Times New Roman" w:hAnsi="Times New Roman" w:eastAsia="宋体" w:cs="Times New Roman"/>
                      <w:color w:val="auto"/>
                      <w:szCs w:val="21"/>
                      <w:highlight w:val="none"/>
                    </w:rPr>
                  </w:pPr>
                  <w:r>
                    <w:rPr>
                      <w:rFonts w:hint="eastAsia" w:ascii="Times New Roman" w:hAnsi="Times New Roman" w:eastAsia="宋体" w:cs="Times New Roman"/>
                      <w:color w:val="auto"/>
                      <w:szCs w:val="21"/>
                      <w:highlight w:val="none"/>
                    </w:rPr>
                    <w:t>2</w:t>
                  </w:r>
                </w:p>
              </w:tc>
              <w:tc>
                <w:tcPr>
                  <w:tcW w:w="537" w:type="pct"/>
                  <w:shd w:val="clear" w:color="auto" w:fill="auto"/>
                  <w:vAlign w:val="center"/>
                </w:tcPr>
                <w:p w14:paraId="1CBE5C17">
                  <w:pPr>
                    <w:keepNext w:val="0"/>
                    <w:keepLines w:val="0"/>
                    <w:suppressLineNumbers w:val="0"/>
                    <w:spacing w:before="0" w:beforeAutospacing="0" w:after="0" w:afterAutospacing="0"/>
                    <w:ind w:left="0" w:leftChars="0" w:right="0" w:rightChars="0"/>
                    <w:jc w:val="center"/>
                    <w:rPr>
                      <w:rFonts w:hint="eastAsia" w:ascii="Times New Roman" w:hAnsi="Times New Roman" w:eastAsia="宋体" w:cs="Times New Roman"/>
                      <w:color w:val="auto"/>
                      <w:kern w:val="2"/>
                      <w:sz w:val="21"/>
                      <w:szCs w:val="21"/>
                      <w:highlight w:val="none"/>
                      <w:lang w:val="en-US" w:eastAsia="zh-CN" w:bidi="ar-SA"/>
                    </w:rPr>
                  </w:pPr>
                  <w:r>
                    <w:rPr>
                      <w:rFonts w:hint="eastAsia" w:ascii="Times New Roman" w:hAnsi="Times New Roman" w:eastAsia="宋体" w:cs="Times New Roman"/>
                      <w:color w:val="auto"/>
                      <w:szCs w:val="21"/>
                      <w:highlight w:val="none"/>
                      <w:lang w:val="en-US" w:eastAsia="zh-CN"/>
                    </w:rPr>
                    <w:t>+</w:t>
                  </w:r>
                  <w:r>
                    <w:rPr>
                      <w:rFonts w:hint="eastAsia" w:ascii="Times New Roman" w:hAnsi="Times New Roman" w:eastAsia="宋体" w:cs="Times New Roman"/>
                      <w:color w:val="auto"/>
                      <w:szCs w:val="21"/>
                      <w:highlight w:val="none"/>
                    </w:rPr>
                    <w:t>2</w:t>
                  </w:r>
                </w:p>
              </w:tc>
              <w:tc>
                <w:tcPr>
                  <w:tcW w:w="211" w:type="pct"/>
                  <w:vMerge w:val="continue"/>
                  <w:shd w:val="clear" w:color="auto" w:fill="auto"/>
                  <w:vAlign w:val="center"/>
                </w:tcPr>
                <w:p w14:paraId="1D57A2CC">
                  <w:pPr>
                    <w:keepNext w:val="0"/>
                    <w:keepLines w:val="0"/>
                    <w:widowControl w:val="0"/>
                    <w:suppressLineNumbers w:val="0"/>
                    <w:spacing w:before="0" w:beforeAutospacing="0" w:after="0" w:afterAutospacing="0"/>
                    <w:ind w:left="0" w:leftChars="0" w:right="0" w:rightChars="0"/>
                    <w:jc w:val="center"/>
                    <w:rPr>
                      <w:rFonts w:hint="eastAsia" w:ascii="Times New Roman" w:hAnsi="Times New Roman" w:eastAsia="宋体" w:cs="Times New Roman"/>
                      <w:color w:val="auto"/>
                      <w:kern w:val="2"/>
                      <w:sz w:val="21"/>
                      <w:szCs w:val="21"/>
                      <w:highlight w:val="none"/>
                      <w:lang w:val="en-US" w:eastAsia="zh-CN" w:bidi="ar-SA"/>
                    </w:rPr>
                  </w:pPr>
                </w:p>
              </w:tc>
              <w:tc>
                <w:tcPr>
                  <w:tcW w:w="325" w:type="pct"/>
                  <w:shd w:val="clear" w:color="auto" w:fill="auto"/>
                  <w:vAlign w:val="center"/>
                </w:tcPr>
                <w:p w14:paraId="3D0EEBC6">
                  <w:pPr>
                    <w:keepNext w:val="0"/>
                    <w:keepLines w:val="0"/>
                    <w:widowControl w:val="0"/>
                    <w:suppressLineNumbers w:val="0"/>
                    <w:spacing w:before="0" w:beforeAutospacing="0" w:after="0" w:afterAutospacing="0"/>
                    <w:ind w:left="0" w:leftChars="0" w:right="0" w:rightChars="0"/>
                    <w:jc w:val="center"/>
                    <w:rPr>
                      <w:rFonts w:hint="eastAsia" w:ascii="Times New Roman" w:hAnsi="Times New Roman" w:eastAsia="宋体" w:cs="Times New Roman"/>
                      <w:color w:val="auto"/>
                      <w:kern w:val="2"/>
                      <w:sz w:val="21"/>
                      <w:szCs w:val="21"/>
                      <w:highlight w:val="none"/>
                      <w:lang w:val="en-US" w:eastAsia="zh-CN" w:bidi="ar-SA"/>
                    </w:rPr>
                  </w:pPr>
                  <w:r>
                    <w:rPr>
                      <w:rFonts w:hint="eastAsia" w:ascii="Times New Roman" w:hAnsi="Times New Roman" w:cs="Times New Roman"/>
                      <w:color w:val="auto"/>
                      <w:kern w:val="2"/>
                      <w:sz w:val="21"/>
                      <w:szCs w:val="21"/>
                      <w:highlight w:val="none"/>
                      <w:lang w:val="en-US" w:eastAsia="zh-CN"/>
                    </w:rPr>
                    <w:t>2楼</w:t>
                  </w:r>
                </w:p>
              </w:tc>
              <w:tc>
                <w:tcPr>
                  <w:tcW w:w="320" w:type="pct"/>
                  <w:vAlign w:val="center"/>
                </w:tcPr>
                <w:p w14:paraId="18212929">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highlight w:val="none"/>
                    </w:rPr>
                  </w:pPr>
                  <w:r>
                    <w:rPr>
                      <w:rFonts w:hint="default" w:ascii="Times New Roman" w:hAnsi="Times New Roman" w:eastAsia="宋体" w:cs="Times New Roman"/>
                      <w:color w:val="auto"/>
                      <w:szCs w:val="21"/>
                      <w:highlight w:val="none"/>
                    </w:rPr>
                    <w:t>新增</w:t>
                  </w:r>
                </w:p>
              </w:tc>
            </w:tr>
            <w:tr w14:paraId="130C55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291" w:type="pct"/>
                  <w:shd w:val="clear" w:color="auto" w:fill="auto"/>
                  <w:vAlign w:val="center"/>
                </w:tcPr>
                <w:p w14:paraId="086029AA">
                  <w:pPr>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color w:val="auto"/>
                      <w:szCs w:val="21"/>
                      <w:highlight w:val="none"/>
                    </w:rPr>
                    <w:t>23</w:t>
                  </w:r>
                </w:p>
              </w:tc>
              <w:tc>
                <w:tcPr>
                  <w:tcW w:w="394" w:type="pct"/>
                  <w:vMerge w:val="restart"/>
                  <w:vAlign w:val="center"/>
                </w:tcPr>
                <w:p w14:paraId="18A4E8DA">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highlight w:val="none"/>
                    </w:rPr>
                  </w:pPr>
                  <w:r>
                    <w:rPr>
                      <w:rFonts w:hint="default" w:ascii="Times New Roman" w:hAnsi="Times New Roman" w:eastAsia="宋体" w:cs="Times New Roman"/>
                      <w:color w:val="auto"/>
                      <w:szCs w:val="21"/>
                      <w:highlight w:val="none"/>
                    </w:rPr>
                    <w:t>冷却</w:t>
                  </w:r>
                </w:p>
              </w:tc>
              <w:tc>
                <w:tcPr>
                  <w:tcW w:w="660" w:type="pct"/>
                  <w:shd w:val="clear" w:color="auto" w:fill="auto"/>
                  <w:vAlign w:val="center"/>
                </w:tcPr>
                <w:p w14:paraId="182FD374">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highlight w:val="none"/>
                      <w:lang w:val="en-US" w:eastAsia="zh-CN" w:bidi="ar"/>
                    </w:rPr>
                  </w:pPr>
                  <w:r>
                    <w:rPr>
                      <w:rFonts w:hint="eastAsia" w:ascii="Times New Roman" w:hAnsi="Times New Roman" w:eastAsia="宋体" w:cs="Times New Roman"/>
                      <w:color w:val="auto"/>
                      <w:szCs w:val="21"/>
                      <w:highlight w:val="none"/>
                      <w:lang w:val="en-US" w:eastAsia="zh-CN" w:bidi="ar"/>
                    </w:rPr>
                    <w:t>冷却塔</w:t>
                  </w:r>
                </w:p>
              </w:tc>
              <w:tc>
                <w:tcPr>
                  <w:tcW w:w="766" w:type="pct"/>
                  <w:shd w:val="clear" w:color="auto" w:fill="auto"/>
                  <w:vAlign w:val="center"/>
                </w:tcPr>
                <w:p w14:paraId="79FC271E">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highlight w:val="none"/>
                      <w:lang w:val="en-US" w:eastAsia="zh-CN" w:bidi="ar"/>
                    </w:rPr>
                  </w:pPr>
                  <w:r>
                    <w:rPr>
                      <w:rFonts w:hint="eastAsia" w:ascii="Times New Roman" w:hAnsi="Times New Roman" w:eastAsia="宋体" w:cs="Times New Roman"/>
                      <w:color w:val="auto"/>
                      <w:szCs w:val="21"/>
                      <w:highlight w:val="none"/>
                      <w:lang w:val="en-US" w:eastAsia="zh-CN" w:bidi="ar"/>
                    </w:rPr>
                    <w:t>LYKL-50L、50m</w:t>
                  </w:r>
                  <w:r>
                    <w:rPr>
                      <w:rFonts w:hint="eastAsia" w:ascii="Times New Roman" w:hAnsi="Times New Roman" w:eastAsia="宋体" w:cs="Times New Roman"/>
                      <w:color w:val="auto"/>
                      <w:szCs w:val="21"/>
                      <w:highlight w:val="none"/>
                      <w:vertAlign w:val="superscript"/>
                      <w:lang w:val="en-US" w:eastAsia="zh-CN" w:bidi="ar"/>
                    </w:rPr>
                    <w:t>3</w:t>
                  </w:r>
                  <w:r>
                    <w:rPr>
                      <w:rFonts w:hint="eastAsia" w:ascii="Times New Roman" w:hAnsi="Times New Roman" w:eastAsia="宋体" w:cs="Times New Roman"/>
                      <w:color w:val="auto"/>
                      <w:szCs w:val="21"/>
                      <w:highlight w:val="none"/>
                      <w:lang w:val="en-US" w:eastAsia="zh-CN" w:bidi="ar"/>
                    </w:rPr>
                    <w:t>/h</w:t>
                  </w:r>
                </w:p>
              </w:tc>
              <w:tc>
                <w:tcPr>
                  <w:tcW w:w="483" w:type="pct"/>
                  <w:shd w:val="clear" w:color="auto" w:fill="auto"/>
                  <w:vAlign w:val="center"/>
                </w:tcPr>
                <w:p w14:paraId="7441D48E">
                  <w:pPr>
                    <w:keepNext w:val="0"/>
                    <w:keepLines w:val="0"/>
                    <w:suppressLineNumbers w:val="0"/>
                    <w:spacing w:before="0" w:beforeAutospacing="0" w:after="0" w:afterAutospacing="0"/>
                    <w:ind w:left="0" w:leftChars="0" w:right="0" w:rightChars="0"/>
                    <w:jc w:val="center"/>
                    <w:rPr>
                      <w:rFonts w:hint="eastAsia" w:ascii="Times New Roman" w:hAnsi="Times New Roman" w:eastAsia="宋体" w:cs="Times New Roman"/>
                      <w:color w:val="auto"/>
                      <w:szCs w:val="21"/>
                      <w:highlight w:val="none"/>
                      <w:lang w:val="en-US" w:eastAsia="zh-CN" w:bidi="ar"/>
                    </w:rPr>
                  </w:pPr>
                  <w:r>
                    <w:rPr>
                      <w:rFonts w:hint="eastAsia" w:ascii="Times New Roman" w:hAnsi="Times New Roman" w:eastAsia="宋体" w:cs="Times New Roman"/>
                      <w:color w:val="auto"/>
                      <w:szCs w:val="21"/>
                      <w:highlight w:val="none"/>
                      <w:lang w:val="en-US" w:eastAsia="zh-CN" w:bidi="ar"/>
                    </w:rPr>
                    <w:t>0</w:t>
                  </w:r>
                </w:p>
              </w:tc>
              <w:tc>
                <w:tcPr>
                  <w:tcW w:w="417" w:type="pct"/>
                  <w:shd w:val="clear" w:color="auto" w:fill="auto"/>
                  <w:vAlign w:val="center"/>
                </w:tcPr>
                <w:p w14:paraId="60936D3F">
                  <w:pPr>
                    <w:keepNext w:val="0"/>
                    <w:keepLines w:val="0"/>
                    <w:suppressLineNumbers w:val="0"/>
                    <w:spacing w:before="0" w:beforeAutospacing="0" w:after="0" w:afterAutospacing="0"/>
                    <w:ind w:left="0" w:leftChars="0" w:right="0" w:rightChars="0"/>
                    <w:jc w:val="center"/>
                    <w:rPr>
                      <w:rFonts w:hint="eastAsia" w:ascii="Times New Roman" w:hAnsi="Times New Roman" w:eastAsia="宋体" w:cs="Times New Roman"/>
                      <w:color w:val="auto"/>
                      <w:szCs w:val="21"/>
                      <w:highlight w:val="none"/>
                      <w:lang w:val="en-US" w:eastAsia="zh-CN" w:bidi="ar"/>
                    </w:rPr>
                  </w:pPr>
                  <w:r>
                    <w:rPr>
                      <w:rFonts w:hint="eastAsia" w:ascii="Times New Roman" w:hAnsi="Times New Roman" w:eastAsia="宋体" w:cs="Times New Roman"/>
                      <w:color w:val="auto"/>
                      <w:szCs w:val="21"/>
                      <w:highlight w:val="none"/>
                      <w:lang w:val="en-US" w:eastAsia="zh-CN" w:bidi="ar"/>
                    </w:rPr>
                    <w:t>0</w:t>
                  </w:r>
                </w:p>
              </w:tc>
              <w:tc>
                <w:tcPr>
                  <w:tcW w:w="592" w:type="pct"/>
                  <w:shd w:val="clear" w:color="auto" w:fill="auto"/>
                  <w:vAlign w:val="center"/>
                </w:tcPr>
                <w:p w14:paraId="3B48BFCB">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highlight w:val="none"/>
                      <w:lang w:val="en-US" w:eastAsia="zh-CN" w:bidi="ar"/>
                    </w:rPr>
                  </w:pPr>
                  <w:r>
                    <w:rPr>
                      <w:rFonts w:hint="default" w:ascii="Times New Roman" w:hAnsi="Times New Roman" w:eastAsia="宋体" w:cs="Times New Roman"/>
                      <w:color w:val="auto"/>
                      <w:szCs w:val="21"/>
                      <w:highlight w:val="none"/>
                      <w:lang w:val="en-US" w:eastAsia="zh-CN" w:bidi="ar"/>
                    </w:rPr>
                    <w:t>1</w:t>
                  </w:r>
                </w:p>
              </w:tc>
              <w:tc>
                <w:tcPr>
                  <w:tcW w:w="537" w:type="pct"/>
                  <w:shd w:val="clear" w:color="auto" w:fill="auto"/>
                  <w:vAlign w:val="center"/>
                </w:tcPr>
                <w:p w14:paraId="2F9B445B">
                  <w:pPr>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color w:val="auto"/>
                      <w:kern w:val="2"/>
                      <w:sz w:val="21"/>
                      <w:szCs w:val="21"/>
                      <w:highlight w:val="none"/>
                      <w:lang w:val="en-US" w:eastAsia="zh-CN" w:bidi="ar"/>
                    </w:rPr>
                  </w:pPr>
                  <w:r>
                    <w:rPr>
                      <w:rFonts w:hint="eastAsia" w:ascii="Times New Roman" w:hAnsi="Times New Roman" w:eastAsia="宋体" w:cs="Times New Roman"/>
                      <w:color w:val="auto"/>
                      <w:szCs w:val="21"/>
                      <w:highlight w:val="none"/>
                      <w:lang w:val="en-US" w:eastAsia="zh-CN" w:bidi="ar"/>
                    </w:rPr>
                    <w:t>+</w:t>
                  </w:r>
                  <w:r>
                    <w:rPr>
                      <w:rFonts w:hint="default" w:ascii="Times New Roman" w:hAnsi="Times New Roman" w:eastAsia="宋体" w:cs="Times New Roman"/>
                      <w:color w:val="auto"/>
                      <w:szCs w:val="21"/>
                      <w:highlight w:val="none"/>
                      <w:lang w:val="en-US" w:eastAsia="zh-CN" w:bidi="ar"/>
                    </w:rPr>
                    <w:t>1</w:t>
                  </w:r>
                </w:p>
              </w:tc>
              <w:tc>
                <w:tcPr>
                  <w:tcW w:w="211" w:type="pct"/>
                  <w:vMerge w:val="continue"/>
                  <w:shd w:val="clear" w:color="auto" w:fill="auto"/>
                  <w:vAlign w:val="center"/>
                </w:tcPr>
                <w:p w14:paraId="01D08A9E">
                  <w:pPr>
                    <w:keepNext w:val="0"/>
                    <w:keepLines w:val="0"/>
                    <w:widowControl w:val="0"/>
                    <w:suppressLineNumbers w:val="0"/>
                    <w:spacing w:before="0" w:beforeAutospacing="0" w:after="0" w:afterAutospacing="0"/>
                    <w:ind w:left="0" w:leftChars="0" w:right="0" w:rightChars="0"/>
                    <w:jc w:val="center"/>
                    <w:rPr>
                      <w:rFonts w:hint="eastAsia" w:ascii="Times New Roman" w:hAnsi="Times New Roman" w:cs="Times New Roman"/>
                      <w:color w:val="auto"/>
                      <w:kern w:val="2"/>
                      <w:sz w:val="21"/>
                      <w:szCs w:val="21"/>
                      <w:highlight w:val="none"/>
                      <w:lang w:val="en-US" w:eastAsia="zh-CN"/>
                    </w:rPr>
                  </w:pPr>
                </w:p>
              </w:tc>
              <w:tc>
                <w:tcPr>
                  <w:tcW w:w="325" w:type="pct"/>
                  <w:shd w:val="clear" w:color="auto" w:fill="auto"/>
                  <w:vAlign w:val="center"/>
                </w:tcPr>
                <w:p w14:paraId="7E091A43">
                  <w:pPr>
                    <w:keepNext w:val="0"/>
                    <w:keepLines w:val="0"/>
                    <w:widowControl w:val="0"/>
                    <w:suppressLineNumbers w:val="0"/>
                    <w:spacing w:before="0" w:beforeAutospacing="0" w:after="0" w:afterAutospacing="0"/>
                    <w:ind w:left="0" w:leftChars="0" w:right="0" w:rightChars="0"/>
                    <w:jc w:val="center"/>
                    <w:rPr>
                      <w:rFonts w:hint="eastAsia" w:ascii="Times New Roman" w:hAnsi="Times New Roman" w:cs="Times New Roman" w:eastAsiaTheme="minorEastAsia"/>
                      <w:color w:val="auto"/>
                      <w:kern w:val="2"/>
                      <w:sz w:val="21"/>
                      <w:szCs w:val="21"/>
                      <w:highlight w:val="none"/>
                      <w:lang w:val="en-US" w:eastAsia="zh-CN" w:bidi="ar-SA"/>
                    </w:rPr>
                  </w:pPr>
                  <w:r>
                    <w:rPr>
                      <w:rFonts w:hint="eastAsia" w:ascii="Times New Roman" w:hAnsi="Times New Roman" w:cs="Times New Roman"/>
                      <w:color w:val="auto"/>
                      <w:kern w:val="2"/>
                      <w:sz w:val="21"/>
                      <w:szCs w:val="21"/>
                      <w:highlight w:val="none"/>
                      <w:lang w:val="en-US" w:eastAsia="zh-CN"/>
                    </w:rPr>
                    <w:t>1楼</w:t>
                  </w:r>
                </w:p>
              </w:tc>
              <w:tc>
                <w:tcPr>
                  <w:tcW w:w="320" w:type="pct"/>
                  <w:vAlign w:val="center"/>
                </w:tcPr>
                <w:p w14:paraId="62835307">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highlight w:val="none"/>
                    </w:rPr>
                  </w:pPr>
                  <w:r>
                    <w:rPr>
                      <w:rFonts w:hint="default" w:ascii="Times New Roman" w:hAnsi="Times New Roman" w:eastAsia="宋体" w:cs="Times New Roman"/>
                      <w:color w:val="auto"/>
                      <w:szCs w:val="21"/>
                      <w:highlight w:val="none"/>
                    </w:rPr>
                    <w:t>新增</w:t>
                  </w:r>
                </w:p>
              </w:tc>
            </w:tr>
            <w:tr w14:paraId="4F4CA7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291" w:type="pct"/>
                  <w:shd w:val="clear" w:color="auto" w:fill="auto"/>
                  <w:vAlign w:val="center"/>
                </w:tcPr>
                <w:p w14:paraId="6E43F73C">
                  <w:pPr>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color w:val="auto"/>
                      <w:szCs w:val="21"/>
                      <w:highlight w:val="none"/>
                    </w:rPr>
                    <w:t>24</w:t>
                  </w:r>
                </w:p>
              </w:tc>
              <w:tc>
                <w:tcPr>
                  <w:tcW w:w="394" w:type="pct"/>
                  <w:vMerge w:val="continue"/>
                  <w:vAlign w:val="center"/>
                </w:tcPr>
                <w:p w14:paraId="644B9609">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highlight w:val="none"/>
                    </w:rPr>
                  </w:pPr>
                </w:p>
              </w:tc>
              <w:tc>
                <w:tcPr>
                  <w:tcW w:w="660" w:type="pct"/>
                  <w:shd w:val="clear" w:color="auto" w:fill="auto"/>
                  <w:vAlign w:val="center"/>
                </w:tcPr>
                <w:p w14:paraId="14BD4588">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highlight w:val="none"/>
                      <w:lang w:val="en-US" w:eastAsia="zh-CN" w:bidi="ar"/>
                    </w:rPr>
                  </w:pPr>
                  <w:r>
                    <w:rPr>
                      <w:rFonts w:hint="eastAsia" w:ascii="Times New Roman" w:hAnsi="Times New Roman" w:eastAsia="宋体" w:cs="Times New Roman"/>
                      <w:color w:val="auto"/>
                      <w:szCs w:val="21"/>
                      <w:highlight w:val="none"/>
                      <w:lang w:val="en-US" w:eastAsia="zh-CN" w:bidi="ar"/>
                    </w:rPr>
                    <w:t>冷却水泵</w:t>
                  </w:r>
                </w:p>
              </w:tc>
              <w:tc>
                <w:tcPr>
                  <w:tcW w:w="766" w:type="pct"/>
                  <w:shd w:val="clear" w:color="auto" w:fill="auto"/>
                  <w:vAlign w:val="center"/>
                </w:tcPr>
                <w:p w14:paraId="24ED39BB">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highlight w:val="none"/>
                      <w:lang w:val="en-US" w:eastAsia="zh-CN" w:bidi="ar"/>
                    </w:rPr>
                  </w:pPr>
                  <w:r>
                    <w:rPr>
                      <w:rFonts w:hint="eastAsia" w:ascii="Times New Roman" w:hAnsi="Times New Roman" w:eastAsia="宋体" w:cs="Times New Roman"/>
                      <w:color w:val="auto"/>
                      <w:szCs w:val="21"/>
                      <w:highlight w:val="none"/>
                      <w:lang w:val="en-US" w:eastAsia="zh-CN" w:bidi="ar"/>
                    </w:rPr>
                    <w:t>LYLR80-160</w:t>
                  </w:r>
                </w:p>
              </w:tc>
              <w:tc>
                <w:tcPr>
                  <w:tcW w:w="483" w:type="pct"/>
                  <w:shd w:val="clear" w:color="auto" w:fill="auto"/>
                  <w:vAlign w:val="center"/>
                </w:tcPr>
                <w:p w14:paraId="6C451C31">
                  <w:pPr>
                    <w:keepNext w:val="0"/>
                    <w:keepLines w:val="0"/>
                    <w:suppressLineNumbers w:val="0"/>
                    <w:spacing w:before="0" w:beforeAutospacing="0" w:after="0" w:afterAutospacing="0"/>
                    <w:ind w:left="0" w:leftChars="0" w:right="0" w:rightChars="0"/>
                    <w:jc w:val="center"/>
                    <w:rPr>
                      <w:rFonts w:hint="eastAsia" w:ascii="Times New Roman" w:hAnsi="Times New Roman" w:eastAsia="宋体" w:cs="Times New Roman"/>
                      <w:color w:val="auto"/>
                      <w:szCs w:val="21"/>
                      <w:highlight w:val="none"/>
                      <w:lang w:val="en-US" w:eastAsia="zh-CN" w:bidi="ar"/>
                    </w:rPr>
                  </w:pPr>
                  <w:r>
                    <w:rPr>
                      <w:rFonts w:hint="eastAsia" w:ascii="Times New Roman" w:hAnsi="Times New Roman" w:eastAsia="宋体" w:cs="Times New Roman"/>
                      <w:color w:val="auto"/>
                      <w:szCs w:val="21"/>
                      <w:highlight w:val="none"/>
                      <w:lang w:val="en-US" w:eastAsia="zh-CN" w:bidi="ar"/>
                    </w:rPr>
                    <w:t>0</w:t>
                  </w:r>
                </w:p>
              </w:tc>
              <w:tc>
                <w:tcPr>
                  <w:tcW w:w="417" w:type="pct"/>
                  <w:shd w:val="clear" w:color="auto" w:fill="auto"/>
                  <w:vAlign w:val="center"/>
                </w:tcPr>
                <w:p w14:paraId="1E9C1975">
                  <w:pPr>
                    <w:keepNext w:val="0"/>
                    <w:keepLines w:val="0"/>
                    <w:suppressLineNumbers w:val="0"/>
                    <w:spacing w:before="0" w:beforeAutospacing="0" w:after="0" w:afterAutospacing="0"/>
                    <w:ind w:left="0" w:leftChars="0" w:right="0" w:rightChars="0"/>
                    <w:jc w:val="center"/>
                    <w:rPr>
                      <w:rFonts w:hint="eastAsia" w:ascii="Times New Roman" w:hAnsi="Times New Roman" w:eastAsia="宋体" w:cs="Times New Roman"/>
                      <w:color w:val="auto"/>
                      <w:szCs w:val="21"/>
                      <w:highlight w:val="none"/>
                      <w:lang w:val="en-US" w:eastAsia="zh-CN" w:bidi="ar"/>
                    </w:rPr>
                  </w:pPr>
                  <w:r>
                    <w:rPr>
                      <w:rFonts w:hint="eastAsia" w:ascii="Times New Roman" w:hAnsi="Times New Roman" w:eastAsia="宋体" w:cs="Times New Roman"/>
                      <w:color w:val="auto"/>
                      <w:szCs w:val="21"/>
                      <w:highlight w:val="none"/>
                      <w:lang w:val="en-US" w:eastAsia="zh-CN" w:bidi="ar"/>
                    </w:rPr>
                    <w:t>0</w:t>
                  </w:r>
                </w:p>
              </w:tc>
              <w:tc>
                <w:tcPr>
                  <w:tcW w:w="592" w:type="pct"/>
                  <w:shd w:val="clear" w:color="auto" w:fill="auto"/>
                  <w:vAlign w:val="center"/>
                </w:tcPr>
                <w:p w14:paraId="13F326E9">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highlight w:val="none"/>
                      <w:lang w:val="en-US" w:eastAsia="zh-CN" w:bidi="ar"/>
                    </w:rPr>
                  </w:pPr>
                  <w:r>
                    <w:rPr>
                      <w:rFonts w:hint="eastAsia" w:ascii="Times New Roman" w:hAnsi="Times New Roman" w:eastAsia="宋体" w:cs="Times New Roman"/>
                      <w:color w:val="auto"/>
                      <w:szCs w:val="21"/>
                      <w:highlight w:val="none"/>
                      <w:lang w:val="en-US" w:eastAsia="zh-CN" w:bidi="ar"/>
                    </w:rPr>
                    <w:t>1</w:t>
                  </w:r>
                </w:p>
              </w:tc>
              <w:tc>
                <w:tcPr>
                  <w:tcW w:w="537" w:type="pct"/>
                  <w:shd w:val="clear" w:color="auto" w:fill="auto"/>
                  <w:vAlign w:val="center"/>
                </w:tcPr>
                <w:p w14:paraId="692327F2">
                  <w:pPr>
                    <w:keepNext w:val="0"/>
                    <w:keepLines w:val="0"/>
                    <w:suppressLineNumbers w:val="0"/>
                    <w:spacing w:before="0" w:beforeAutospacing="0" w:after="0" w:afterAutospacing="0"/>
                    <w:ind w:left="0" w:leftChars="0" w:right="0" w:rightChars="0"/>
                    <w:jc w:val="center"/>
                    <w:rPr>
                      <w:rFonts w:hint="eastAsia" w:ascii="Times New Roman" w:hAnsi="Times New Roman" w:eastAsia="宋体" w:cs="Times New Roman"/>
                      <w:color w:val="auto"/>
                      <w:kern w:val="2"/>
                      <w:sz w:val="21"/>
                      <w:szCs w:val="21"/>
                      <w:highlight w:val="none"/>
                      <w:lang w:val="en-US" w:eastAsia="zh-CN" w:bidi="ar"/>
                    </w:rPr>
                  </w:pPr>
                  <w:r>
                    <w:rPr>
                      <w:rFonts w:hint="eastAsia" w:ascii="Times New Roman" w:hAnsi="Times New Roman" w:eastAsia="宋体" w:cs="Times New Roman"/>
                      <w:color w:val="auto"/>
                      <w:szCs w:val="21"/>
                      <w:highlight w:val="none"/>
                      <w:lang w:val="en-US" w:eastAsia="zh-CN" w:bidi="ar"/>
                    </w:rPr>
                    <w:t>+1</w:t>
                  </w:r>
                </w:p>
              </w:tc>
              <w:tc>
                <w:tcPr>
                  <w:tcW w:w="211" w:type="pct"/>
                  <w:vMerge w:val="continue"/>
                  <w:shd w:val="clear" w:color="auto" w:fill="auto"/>
                  <w:vAlign w:val="center"/>
                </w:tcPr>
                <w:p w14:paraId="2ACD3DA0">
                  <w:pPr>
                    <w:keepNext w:val="0"/>
                    <w:keepLines w:val="0"/>
                    <w:widowControl w:val="0"/>
                    <w:suppressLineNumbers w:val="0"/>
                    <w:spacing w:before="0" w:beforeAutospacing="0" w:after="0" w:afterAutospacing="0"/>
                    <w:ind w:left="0" w:leftChars="0" w:right="0" w:rightChars="0"/>
                    <w:jc w:val="center"/>
                    <w:rPr>
                      <w:rFonts w:hint="eastAsia" w:ascii="Times New Roman" w:hAnsi="Times New Roman" w:cs="Times New Roman"/>
                      <w:color w:val="auto"/>
                      <w:kern w:val="2"/>
                      <w:sz w:val="21"/>
                      <w:szCs w:val="21"/>
                      <w:highlight w:val="none"/>
                      <w:lang w:val="en-US" w:eastAsia="zh-CN"/>
                    </w:rPr>
                  </w:pPr>
                </w:p>
              </w:tc>
              <w:tc>
                <w:tcPr>
                  <w:tcW w:w="325" w:type="pct"/>
                  <w:shd w:val="clear" w:color="auto" w:fill="auto"/>
                  <w:vAlign w:val="center"/>
                </w:tcPr>
                <w:p w14:paraId="0F507963">
                  <w:pPr>
                    <w:keepNext w:val="0"/>
                    <w:keepLines w:val="0"/>
                    <w:widowControl w:val="0"/>
                    <w:suppressLineNumbers w:val="0"/>
                    <w:spacing w:before="0" w:beforeAutospacing="0" w:after="0" w:afterAutospacing="0"/>
                    <w:ind w:left="0" w:leftChars="0" w:right="0" w:rightChars="0"/>
                    <w:jc w:val="center"/>
                    <w:rPr>
                      <w:rFonts w:hint="eastAsia" w:ascii="Times New Roman" w:hAnsi="Times New Roman" w:cs="Times New Roman" w:eastAsiaTheme="minorEastAsia"/>
                      <w:color w:val="auto"/>
                      <w:kern w:val="2"/>
                      <w:sz w:val="21"/>
                      <w:szCs w:val="21"/>
                      <w:highlight w:val="none"/>
                      <w:lang w:val="en-US" w:eastAsia="zh-CN" w:bidi="ar-SA"/>
                    </w:rPr>
                  </w:pPr>
                  <w:r>
                    <w:rPr>
                      <w:rFonts w:hint="eastAsia" w:ascii="Times New Roman" w:hAnsi="Times New Roman" w:cs="Times New Roman"/>
                      <w:color w:val="auto"/>
                      <w:kern w:val="2"/>
                      <w:sz w:val="21"/>
                      <w:szCs w:val="21"/>
                      <w:highlight w:val="none"/>
                      <w:lang w:val="en-US" w:eastAsia="zh-CN"/>
                    </w:rPr>
                    <w:t>1楼</w:t>
                  </w:r>
                </w:p>
              </w:tc>
              <w:tc>
                <w:tcPr>
                  <w:tcW w:w="320" w:type="pct"/>
                  <w:vAlign w:val="center"/>
                </w:tcPr>
                <w:p w14:paraId="30FBC120">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highlight w:val="none"/>
                    </w:rPr>
                  </w:pPr>
                  <w:r>
                    <w:rPr>
                      <w:rFonts w:hint="default" w:ascii="Times New Roman" w:hAnsi="Times New Roman" w:eastAsia="宋体" w:cs="Times New Roman"/>
                      <w:color w:val="auto"/>
                      <w:szCs w:val="21"/>
                      <w:highlight w:val="none"/>
                    </w:rPr>
                    <w:t>新增</w:t>
                  </w:r>
                </w:p>
              </w:tc>
            </w:tr>
            <w:tr w14:paraId="5B34FA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291" w:type="pct"/>
                  <w:shd w:val="clear" w:color="auto" w:fill="auto"/>
                  <w:vAlign w:val="center"/>
                </w:tcPr>
                <w:p w14:paraId="43B31BC4">
                  <w:pPr>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color w:val="auto"/>
                      <w:szCs w:val="21"/>
                      <w:highlight w:val="none"/>
                    </w:rPr>
                    <w:t>25</w:t>
                  </w:r>
                </w:p>
              </w:tc>
              <w:tc>
                <w:tcPr>
                  <w:tcW w:w="394" w:type="pct"/>
                  <w:vMerge w:val="continue"/>
                  <w:vAlign w:val="center"/>
                </w:tcPr>
                <w:p w14:paraId="493D1049">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highlight w:val="none"/>
                    </w:rPr>
                  </w:pPr>
                </w:p>
              </w:tc>
              <w:tc>
                <w:tcPr>
                  <w:tcW w:w="660" w:type="pct"/>
                  <w:vAlign w:val="center"/>
                </w:tcPr>
                <w:p w14:paraId="46A69171">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highlight w:val="none"/>
                    </w:rPr>
                  </w:pPr>
                  <w:r>
                    <w:rPr>
                      <w:rFonts w:hint="default" w:ascii="Times New Roman" w:hAnsi="Times New Roman" w:eastAsia="宋体" w:cs="Times New Roman"/>
                      <w:color w:val="auto"/>
                      <w:szCs w:val="21"/>
                      <w:highlight w:val="none"/>
                      <w:lang w:bidi="ar"/>
                    </w:rPr>
                    <w:t>风冷式冷水机</w:t>
                  </w:r>
                </w:p>
              </w:tc>
              <w:tc>
                <w:tcPr>
                  <w:tcW w:w="766" w:type="pct"/>
                  <w:vAlign w:val="center"/>
                </w:tcPr>
                <w:p w14:paraId="7F267C7B">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highlight w:val="none"/>
                    </w:rPr>
                  </w:pPr>
                  <w:r>
                    <w:rPr>
                      <w:rFonts w:hint="default" w:ascii="Times New Roman" w:hAnsi="Times New Roman" w:eastAsia="宋体" w:cs="Times New Roman"/>
                      <w:color w:val="auto"/>
                      <w:szCs w:val="21"/>
                      <w:highlight w:val="none"/>
                      <w:lang w:bidi="ar"/>
                    </w:rPr>
                    <w:t>RSIC-05A</w:t>
                  </w:r>
                </w:p>
              </w:tc>
              <w:tc>
                <w:tcPr>
                  <w:tcW w:w="483" w:type="pct"/>
                  <w:vAlign w:val="center"/>
                </w:tcPr>
                <w:p w14:paraId="0E0DF4F6">
                  <w:pPr>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color w:val="auto"/>
                      <w:szCs w:val="21"/>
                      <w:highlight w:val="none"/>
                      <w:lang w:bidi="ar"/>
                    </w:rPr>
                  </w:pPr>
                  <w:r>
                    <w:rPr>
                      <w:rFonts w:hint="eastAsia" w:ascii="Times New Roman" w:hAnsi="Times New Roman" w:eastAsia="宋体" w:cs="Times New Roman"/>
                      <w:color w:val="auto"/>
                      <w:szCs w:val="21"/>
                      <w:highlight w:val="none"/>
                      <w:lang w:val="en-US" w:eastAsia="zh-CN" w:bidi="ar"/>
                    </w:rPr>
                    <w:t>0</w:t>
                  </w:r>
                </w:p>
              </w:tc>
              <w:tc>
                <w:tcPr>
                  <w:tcW w:w="417" w:type="pct"/>
                  <w:vAlign w:val="center"/>
                </w:tcPr>
                <w:p w14:paraId="15773707">
                  <w:pPr>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color w:val="auto"/>
                      <w:szCs w:val="21"/>
                      <w:highlight w:val="none"/>
                      <w:lang w:bidi="ar"/>
                    </w:rPr>
                  </w:pPr>
                  <w:r>
                    <w:rPr>
                      <w:rFonts w:hint="eastAsia" w:ascii="Times New Roman" w:hAnsi="Times New Roman" w:eastAsia="宋体" w:cs="Times New Roman"/>
                      <w:color w:val="auto"/>
                      <w:szCs w:val="21"/>
                      <w:highlight w:val="none"/>
                      <w:lang w:val="en-US" w:eastAsia="zh-CN" w:bidi="ar"/>
                    </w:rPr>
                    <w:t>0</w:t>
                  </w:r>
                </w:p>
              </w:tc>
              <w:tc>
                <w:tcPr>
                  <w:tcW w:w="592" w:type="pct"/>
                  <w:vAlign w:val="center"/>
                </w:tcPr>
                <w:p w14:paraId="02827220">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highlight w:val="none"/>
                    </w:rPr>
                  </w:pPr>
                  <w:r>
                    <w:rPr>
                      <w:rFonts w:hint="default" w:ascii="Times New Roman" w:hAnsi="Times New Roman" w:eastAsia="宋体" w:cs="Times New Roman"/>
                      <w:color w:val="auto"/>
                      <w:szCs w:val="21"/>
                      <w:highlight w:val="none"/>
                      <w:lang w:bidi="ar"/>
                    </w:rPr>
                    <w:t>2</w:t>
                  </w:r>
                </w:p>
              </w:tc>
              <w:tc>
                <w:tcPr>
                  <w:tcW w:w="537" w:type="pct"/>
                  <w:shd w:val="clear" w:color="auto" w:fill="auto"/>
                  <w:vAlign w:val="center"/>
                </w:tcPr>
                <w:p w14:paraId="593710BE">
                  <w:pPr>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color w:val="auto"/>
                      <w:kern w:val="2"/>
                      <w:sz w:val="21"/>
                      <w:szCs w:val="21"/>
                      <w:highlight w:val="none"/>
                      <w:lang w:val="en-US" w:eastAsia="zh-CN" w:bidi="ar-SA"/>
                    </w:rPr>
                  </w:pPr>
                  <w:r>
                    <w:rPr>
                      <w:rFonts w:hint="eastAsia" w:ascii="Times New Roman" w:hAnsi="Times New Roman" w:eastAsia="宋体" w:cs="Times New Roman"/>
                      <w:color w:val="auto"/>
                      <w:szCs w:val="21"/>
                      <w:highlight w:val="none"/>
                      <w:lang w:val="en-US" w:eastAsia="zh-CN" w:bidi="ar"/>
                    </w:rPr>
                    <w:t>+</w:t>
                  </w:r>
                  <w:r>
                    <w:rPr>
                      <w:rFonts w:hint="default" w:ascii="Times New Roman" w:hAnsi="Times New Roman" w:eastAsia="宋体" w:cs="Times New Roman"/>
                      <w:color w:val="auto"/>
                      <w:szCs w:val="21"/>
                      <w:highlight w:val="none"/>
                      <w:lang w:bidi="ar"/>
                    </w:rPr>
                    <w:t>2</w:t>
                  </w:r>
                </w:p>
              </w:tc>
              <w:tc>
                <w:tcPr>
                  <w:tcW w:w="211" w:type="pct"/>
                  <w:vMerge w:val="continue"/>
                  <w:shd w:val="clear" w:color="auto" w:fill="auto"/>
                  <w:vAlign w:val="center"/>
                </w:tcPr>
                <w:p w14:paraId="5988C202">
                  <w:pPr>
                    <w:keepNext w:val="0"/>
                    <w:keepLines w:val="0"/>
                    <w:widowControl w:val="0"/>
                    <w:suppressLineNumbers w:val="0"/>
                    <w:spacing w:before="0" w:beforeAutospacing="0" w:after="0" w:afterAutospacing="0"/>
                    <w:ind w:left="0" w:leftChars="0" w:right="0" w:rightChars="0"/>
                    <w:jc w:val="center"/>
                    <w:rPr>
                      <w:rFonts w:hint="eastAsia" w:ascii="Times New Roman" w:hAnsi="Times New Roman" w:eastAsia="宋体" w:cs="Times New Roman"/>
                      <w:color w:val="auto"/>
                      <w:kern w:val="2"/>
                      <w:sz w:val="21"/>
                      <w:szCs w:val="21"/>
                      <w:highlight w:val="none"/>
                      <w:lang w:val="en-US" w:eastAsia="zh-CN" w:bidi="ar-SA"/>
                    </w:rPr>
                  </w:pPr>
                </w:p>
              </w:tc>
              <w:tc>
                <w:tcPr>
                  <w:tcW w:w="325" w:type="pct"/>
                  <w:shd w:val="clear" w:color="auto" w:fill="auto"/>
                  <w:vAlign w:val="center"/>
                </w:tcPr>
                <w:p w14:paraId="203BA528">
                  <w:pPr>
                    <w:keepNext w:val="0"/>
                    <w:keepLines w:val="0"/>
                    <w:widowControl w:val="0"/>
                    <w:suppressLineNumbers w:val="0"/>
                    <w:spacing w:before="0" w:beforeAutospacing="0" w:after="0" w:afterAutospacing="0"/>
                    <w:ind w:left="0" w:leftChars="0" w:right="0" w:rightChars="0"/>
                    <w:jc w:val="center"/>
                    <w:rPr>
                      <w:rFonts w:hint="eastAsia" w:ascii="Times New Roman" w:hAnsi="Times New Roman" w:eastAsia="宋体" w:cs="Times New Roman"/>
                      <w:color w:val="auto"/>
                      <w:kern w:val="2"/>
                      <w:sz w:val="21"/>
                      <w:szCs w:val="21"/>
                      <w:highlight w:val="none"/>
                      <w:lang w:val="en-US" w:eastAsia="zh-CN" w:bidi="ar-SA"/>
                    </w:rPr>
                  </w:pPr>
                  <w:r>
                    <w:rPr>
                      <w:rFonts w:hint="eastAsia" w:ascii="Times New Roman" w:hAnsi="Times New Roman" w:cs="Times New Roman"/>
                      <w:color w:val="auto"/>
                      <w:kern w:val="2"/>
                      <w:sz w:val="21"/>
                      <w:szCs w:val="21"/>
                      <w:highlight w:val="none"/>
                      <w:lang w:val="en-US" w:eastAsia="zh-CN"/>
                    </w:rPr>
                    <w:t>1楼</w:t>
                  </w:r>
                </w:p>
              </w:tc>
              <w:tc>
                <w:tcPr>
                  <w:tcW w:w="320" w:type="pct"/>
                  <w:vAlign w:val="center"/>
                </w:tcPr>
                <w:p w14:paraId="6160D76A">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highlight w:val="none"/>
                    </w:rPr>
                  </w:pPr>
                  <w:r>
                    <w:rPr>
                      <w:rFonts w:hint="default" w:ascii="Times New Roman" w:hAnsi="Times New Roman" w:eastAsia="宋体" w:cs="Times New Roman"/>
                      <w:color w:val="auto"/>
                      <w:szCs w:val="21"/>
                      <w:highlight w:val="none"/>
                    </w:rPr>
                    <w:t>新增</w:t>
                  </w:r>
                </w:p>
              </w:tc>
            </w:tr>
            <w:tr w14:paraId="44F3E4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291" w:type="pct"/>
                  <w:shd w:val="clear" w:color="auto" w:fill="auto"/>
                  <w:vAlign w:val="center"/>
                </w:tcPr>
                <w:p w14:paraId="1A803D19">
                  <w:pPr>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color w:val="auto"/>
                      <w:kern w:val="2"/>
                      <w:sz w:val="21"/>
                      <w:szCs w:val="21"/>
                      <w:highlight w:val="none"/>
                      <w:lang w:val="en-US" w:eastAsia="zh-CN" w:bidi="ar-SA"/>
                    </w:rPr>
                  </w:pPr>
                  <w:r>
                    <w:rPr>
                      <w:rFonts w:hint="eastAsia" w:ascii="Times New Roman" w:hAnsi="Times New Roman" w:eastAsia="宋体" w:cs="Times New Roman"/>
                      <w:color w:val="auto"/>
                      <w:szCs w:val="21"/>
                      <w:highlight w:val="none"/>
                      <w:lang w:val="en-US" w:eastAsia="zh-CN"/>
                    </w:rPr>
                    <w:t>26</w:t>
                  </w:r>
                </w:p>
              </w:tc>
              <w:tc>
                <w:tcPr>
                  <w:tcW w:w="394" w:type="pct"/>
                  <w:vMerge w:val="continue"/>
                  <w:vAlign w:val="center"/>
                </w:tcPr>
                <w:p w14:paraId="44B4A18D">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highlight w:val="none"/>
                    </w:rPr>
                  </w:pPr>
                </w:p>
              </w:tc>
              <w:tc>
                <w:tcPr>
                  <w:tcW w:w="660" w:type="pct"/>
                  <w:vAlign w:val="center"/>
                </w:tcPr>
                <w:p w14:paraId="60A68446">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highlight w:val="none"/>
                      <w:lang w:bidi="ar"/>
                    </w:rPr>
                  </w:pPr>
                  <w:r>
                    <w:rPr>
                      <w:rFonts w:hint="default" w:ascii="Times New Roman" w:hAnsi="Times New Roman" w:eastAsia="宋体" w:cs="Times New Roman"/>
                      <w:color w:val="auto"/>
                      <w:szCs w:val="21"/>
                      <w:highlight w:val="none"/>
                      <w:lang w:bidi="ar"/>
                    </w:rPr>
                    <w:t>冷冻水泵</w:t>
                  </w:r>
                </w:p>
              </w:tc>
              <w:tc>
                <w:tcPr>
                  <w:tcW w:w="766" w:type="pct"/>
                  <w:vAlign w:val="center"/>
                </w:tcPr>
                <w:p w14:paraId="6F2D5A67">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highlight w:val="none"/>
                      <w:lang w:bidi="ar"/>
                    </w:rPr>
                  </w:pPr>
                  <w:r>
                    <w:rPr>
                      <w:rFonts w:hint="default" w:ascii="Times New Roman" w:hAnsi="Times New Roman" w:eastAsia="宋体" w:cs="Times New Roman"/>
                      <w:color w:val="auto"/>
                      <w:szCs w:val="21"/>
                      <w:highlight w:val="none"/>
                      <w:lang w:bidi="ar"/>
                    </w:rPr>
                    <w:t>CM-50</w:t>
                  </w:r>
                </w:p>
              </w:tc>
              <w:tc>
                <w:tcPr>
                  <w:tcW w:w="483" w:type="pct"/>
                  <w:vAlign w:val="center"/>
                </w:tcPr>
                <w:p w14:paraId="44EFCC9A">
                  <w:pPr>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color w:val="auto"/>
                      <w:szCs w:val="21"/>
                      <w:highlight w:val="none"/>
                      <w:lang w:bidi="ar"/>
                    </w:rPr>
                  </w:pPr>
                  <w:r>
                    <w:rPr>
                      <w:rFonts w:hint="eastAsia" w:ascii="Times New Roman" w:hAnsi="Times New Roman" w:eastAsia="宋体" w:cs="Times New Roman"/>
                      <w:color w:val="auto"/>
                      <w:szCs w:val="21"/>
                      <w:highlight w:val="none"/>
                      <w:lang w:val="en-US" w:eastAsia="zh-CN" w:bidi="ar"/>
                    </w:rPr>
                    <w:t>0</w:t>
                  </w:r>
                </w:p>
              </w:tc>
              <w:tc>
                <w:tcPr>
                  <w:tcW w:w="417" w:type="pct"/>
                  <w:vAlign w:val="center"/>
                </w:tcPr>
                <w:p w14:paraId="28015577">
                  <w:pPr>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color w:val="auto"/>
                      <w:szCs w:val="21"/>
                      <w:highlight w:val="none"/>
                      <w:lang w:bidi="ar"/>
                    </w:rPr>
                  </w:pPr>
                  <w:r>
                    <w:rPr>
                      <w:rFonts w:hint="eastAsia" w:ascii="Times New Roman" w:hAnsi="Times New Roman" w:eastAsia="宋体" w:cs="Times New Roman"/>
                      <w:color w:val="auto"/>
                      <w:szCs w:val="21"/>
                      <w:highlight w:val="none"/>
                      <w:lang w:val="en-US" w:eastAsia="zh-CN" w:bidi="ar"/>
                    </w:rPr>
                    <w:t>0</w:t>
                  </w:r>
                </w:p>
              </w:tc>
              <w:tc>
                <w:tcPr>
                  <w:tcW w:w="592" w:type="pct"/>
                  <w:vAlign w:val="center"/>
                </w:tcPr>
                <w:p w14:paraId="39F20D9D">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highlight w:val="none"/>
                      <w:lang w:bidi="ar"/>
                    </w:rPr>
                  </w:pPr>
                  <w:r>
                    <w:rPr>
                      <w:rFonts w:hint="default" w:ascii="Times New Roman" w:hAnsi="Times New Roman" w:eastAsia="宋体" w:cs="Times New Roman"/>
                      <w:color w:val="auto"/>
                      <w:szCs w:val="21"/>
                      <w:highlight w:val="none"/>
                    </w:rPr>
                    <w:t>1</w:t>
                  </w:r>
                </w:p>
              </w:tc>
              <w:tc>
                <w:tcPr>
                  <w:tcW w:w="537" w:type="pct"/>
                  <w:shd w:val="clear" w:color="auto" w:fill="auto"/>
                  <w:vAlign w:val="center"/>
                </w:tcPr>
                <w:p w14:paraId="544A6203">
                  <w:pPr>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color w:val="auto"/>
                      <w:kern w:val="2"/>
                      <w:sz w:val="21"/>
                      <w:szCs w:val="21"/>
                      <w:highlight w:val="none"/>
                      <w:lang w:val="en-US" w:eastAsia="zh-CN" w:bidi="ar"/>
                    </w:rPr>
                  </w:pPr>
                  <w:r>
                    <w:rPr>
                      <w:rFonts w:hint="eastAsia" w:ascii="Times New Roman" w:hAnsi="Times New Roman" w:eastAsia="宋体" w:cs="Times New Roman"/>
                      <w:color w:val="auto"/>
                      <w:szCs w:val="21"/>
                      <w:highlight w:val="none"/>
                      <w:lang w:val="en-US" w:eastAsia="zh-CN"/>
                    </w:rPr>
                    <w:t>+</w:t>
                  </w:r>
                  <w:r>
                    <w:rPr>
                      <w:rFonts w:hint="default" w:ascii="Times New Roman" w:hAnsi="Times New Roman" w:eastAsia="宋体" w:cs="Times New Roman"/>
                      <w:color w:val="auto"/>
                      <w:szCs w:val="21"/>
                      <w:highlight w:val="none"/>
                    </w:rPr>
                    <w:t>1</w:t>
                  </w:r>
                </w:p>
              </w:tc>
              <w:tc>
                <w:tcPr>
                  <w:tcW w:w="211" w:type="pct"/>
                  <w:vMerge w:val="continue"/>
                  <w:shd w:val="clear" w:color="auto" w:fill="auto"/>
                  <w:vAlign w:val="center"/>
                </w:tcPr>
                <w:p w14:paraId="644BE5B3">
                  <w:pPr>
                    <w:keepNext w:val="0"/>
                    <w:keepLines w:val="0"/>
                    <w:widowControl w:val="0"/>
                    <w:suppressLineNumbers w:val="0"/>
                    <w:spacing w:before="0" w:beforeAutospacing="0" w:after="0" w:afterAutospacing="0"/>
                    <w:ind w:left="0" w:leftChars="0" w:right="0" w:rightChars="0"/>
                    <w:jc w:val="center"/>
                    <w:rPr>
                      <w:rFonts w:hint="default" w:ascii="Times New Roman" w:hAnsi="Times New Roman" w:eastAsia="宋体" w:cs="Times New Roman"/>
                      <w:color w:val="auto"/>
                      <w:kern w:val="2"/>
                      <w:sz w:val="21"/>
                      <w:szCs w:val="21"/>
                      <w:highlight w:val="none"/>
                      <w:lang w:val="en-US" w:eastAsia="zh-CN" w:bidi="ar-SA"/>
                    </w:rPr>
                  </w:pPr>
                </w:p>
              </w:tc>
              <w:tc>
                <w:tcPr>
                  <w:tcW w:w="325" w:type="pct"/>
                  <w:shd w:val="clear" w:color="auto" w:fill="auto"/>
                  <w:vAlign w:val="center"/>
                </w:tcPr>
                <w:p w14:paraId="609926E8">
                  <w:pPr>
                    <w:keepNext w:val="0"/>
                    <w:keepLines w:val="0"/>
                    <w:widowControl w:val="0"/>
                    <w:suppressLineNumbers w:val="0"/>
                    <w:spacing w:before="0" w:beforeAutospacing="0" w:after="0" w:afterAutospacing="0"/>
                    <w:ind w:left="0" w:leftChars="0" w:right="0" w:rightChars="0"/>
                    <w:jc w:val="center"/>
                    <w:rPr>
                      <w:rFonts w:hint="eastAsia" w:ascii="Times New Roman" w:hAnsi="Times New Roman" w:eastAsia="宋体" w:cs="Times New Roman"/>
                      <w:color w:val="auto"/>
                      <w:kern w:val="2"/>
                      <w:sz w:val="21"/>
                      <w:szCs w:val="21"/>
                      <w:highlight w:val="none"/>
                      <w:lang w:val="en-US" w:eastAsia="zh-CN" w:bidi="ar-SA"/>
                    </w:rPr>
                  </w:pPr>
                  <w:r>
                    <w:rPr>
                      <w:rFonts w:hint="eastAsia" w:ascii="Times New Roman" w:hAnsi="Times New Roman" w:cs="Times New Roman"/>
                      <w:color w:val="auto"/>
                      <w:kern w:val="2"/>
                      <w:sz w:val="21"/>
                      <w:szCs w:val="21"/>
                      <w:highlight w:val="none"/>
                      <w:lang w:val="en-US" w:eastAsia="zh-CN"/>
                    </w:rPr>
                    <w:t>1楼</w:t>
                  </w:r>
                </w:p>
              </w:tc>
              <w:tc>
                <w:tcPr>
                  <w:tcW w:w="320" w:type="pct"/>
                  <w:vAlign w:val="center"/>
                </w:tcPr>
                <w:p w14:paraId="160124F7">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highlight w:val="none"/>
                    </w:rPr>
                  </w:pPr>
                  <w:r>
                    <w:rPr>
                      <w:rFonts w:hint="default" w:ascii="Times New Roman" w:hAnsi="Times New Roman" w:eastAsia="宋体" w:cs="Times New Roman"/>
                      <w:color w:val="auto"/>
                      <w:szCs w:val="21"/>
                      <w:highlight w:val="none"/>
                    </w:rPr>
                    <w:t>新增</w:t>
                  </w:r>
                </w:p>
              </w:tc>
            </w:tr>
            <w:tr w14:paraId="0EF11C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291" w:type="pct"/>
                  <w:shd w:val="clear" w:color="auto" w:fill="auto"/>
                  <w:vAlign w:val="center"/>
                </w:tcPr>
                <w:p w14:paraId="0D10BAF8">
                  <w:pPr>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color w:val="auto"/>
                      <w:kern w:val="2"/>
                      <w:sz w:val="21"/>
                      <w:szCs w:val="21"/>
                      <w:highlight w:val="none"/>
                      <w:lang w:val="en-US" w:eastAsia="zh-CN" w:bidi="ar-SA"/>
                    </w:rPr>
                  </w:pPr>
                  <w:r>
                    <w:rPr>
                      <w:rFonts w:hint="eastAsia" w:ascii="Times New Roman" w:hAnsi="Times New Roman" w:eastAsia="宋体" w:cs="Times New Roman"/>
                      <w:color w:val="auto"/>
                      <w:szCs w:val="21"/>
                      <w:highlight w:val="none"/>
                      <w:lang w:val="en-US" w:eastAsia="zh-CN"/>
                    </w:rPr>
                    <w:t>27</w:t>
                  </w:r>
                </w:p>
              </w:tc>
              <w:tc>
                <w:tcPr>
                  <w:tcW w:w="394" w:type="pct"/>
                  <w:vAlign w:val="center"/>
                </w:tcPr>
                <w:p w14:paraId="55E17C15">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highlight w:val="none"/>
                    </w:rPr>
                  </w:pPr>
                  <w:r>
                    <w:rPr>
                      <w:rFonts w:hint="default" w:ascii="Times New Roman" w:hAnsi="Times New Roman" w:eastAsia="宋体" w:cs="Times New Roman"/>
                      <w:color w:val="auto"/>
                      <w:szCs w:val="21"/>
                      <w:highlight w:val="none"/>
                    </w:rPr>
                    <w:t>废气处理</w:t>
                  </w:r>
                </w:p>
              </w:tc>
              <w:tc>
                <w:tcPr>
                  <w:tcW w:w="660" w:type="pct"/>
                  <w:vAlign w:val="center"/>
                </w:tcPr>
                <w:p w14:paraId="4662101D">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highlight w:val="none"/>
                    </w:rPr>
                  </w:pPr>
                  <w:r>
                    <w:rPr>
                      <w:rFonts w:hint="default" w:ascii="Times New Roman" w:hAnsi="Times New Roman" w:eastAsia="宋体" w:cs="Times New Roman"/>
                      <w:color w:val="auto"/>
                      <w:szCs w:val="21"/>
                      <w:highlight w:val="none"/>
                      <w:lang w:bidi="ar"/>
                    </w:rPr>
                    <w:t>废气处理系统</w:t>
                  </w:r>
                </w:p>
              </w:tc>
              <w:tc>
                <w:tcPr>
                  <w:tcW w:w="766" w:type="pct"/>
                  <w:vAlign w:val="center"/>
                </w:tcPr>
                <w:p w14:paraId="3B11043F">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highlight w:val="none"/>
                    </w:rPr>
                  </w:pPr>
                  <w:r>
                    <w:rPr>
                      <w:rFonts w:hint="default" w:ascii="Times New Roman" w:hAnsi="Times New Roman" w:eastAsia="宋体" w:cs="Times New Roman"/>
                      <w:color w:val="auto"/>
                      <w:szCs w:val="21"/>
                      <w:highlight w:val="none"/>
                      <w:lang w:bidi="ar"/>
                    </w:rPr>
                    <w:t>/</w:t>
                  </w:r>
                </w:p>
              </w:tc>
              <w:tc>
                <w:tcPr>
                  <w:tcW w:w="483" w:type="pct"/>
                  <w:vAlign w:val="center"/>
                </w:tcPr>
                <w:p w14:paraId="65AECDE2">
                  <w:pPr>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color w:val="auto"/>
                      <w:szCs w:val="21"/>
                      <w:highlight w:val="none"/>
                      <w:lang w:bidi="ar"/>
                    </w:rPr>
                  </w:pPr>
                  <w:r>
                    <w:rPr>
                      <w:rFonts w:hint="eastAsia" w:ascii="Times New Roman" w:hAnsi="Times New Roman" w:eastAsia="宋体" w:cs="Times New Roman"/>
                      <w:color w:val="auto"/>
                      <w:szCs w:val="21"/>
                      <w:highlight w:val="none"/>
                      <w:lang w:val="en-US" w:eastAsia="zh-CN" w:bidi="ar"/>
                    </w:rPr>
                    <w:t>0</w:t>
                  </w:r>
                </w:p>
              </w:tc>
              <w:tc>
                <w:tcPr>
                  <w:tcW w:w="417" w:type="pct"/>
                  <w:vAlign w:val="center"/>
                </w:tcPr>
                <w:p w14:paraId="3B38E559">
                  <w:pPr>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color w:val="auto"/>
                      <w:szCs w:val="21"/>
                      <w:highlight w:val="none"/>
                      <w:lang w:bidi="ar"/>
                    </w:rPr>
                  </w:pPr>
                  <w:r>
                    <w:rPr>
                      <w:rFonts w:hint="eastAsia" w:ascii="Times New Roman" w:hAnsi="Times New Roman" w:eastAsia="宋体" w:cs="Times New Roman"/>
                      <w:color w:val="auto"/>
                      <w:szCs w:val="21"/>
                      <w:highlight w:val="none"/>
                      <w:lang w:val="en-US" w:eastAsia="zh-CN" w:bidi="ar"/>
                    </w:rPr>
                    <w:t>0</w:t>
                  </w:r>
                </w:p>
              </w:tc>
              <w:tc>
                <w:tcPr>
                  <w:tcW w:w="592" w:type="pct"/>
                  <w:vAlign w:val="center"/>
                </w:tcPr>
                <w:p w14:paraId="16DCCB51">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highlight w:val="none"/>
                    </w:rPr>
                  </w:pPr>
                  <w:r>
                    <w:rPr>
                      <w:rFonts w:hint="default" w:ascii="Times New Roman" w:hAnsi="Times New Roman" w:eastAsia="宋体" w:cs="Times New Roman"/>
                      <w:color w:val="auto"/>
                      <w:szCs w:val="21"/>
                      <w:highlight w:val="none"/>
                      <w:lang w:bidi="ar"/>
                    </w:rPr>
                    <w:t>1</w:t>
                  </w:r>
                </w:p>
              </w:tc>
              <w:tc>
                <w:tcPr>
                  <w:tcW w:w="537" w:type="pct"/>
                  <w:shd w:val="clear" w:color="auto" w:fill="auto"/>
                  <w:vAlign w:val="center"/>
                </w:tcPr>
                <w:p w14:paraId="44A5F18A">
                  <w:pPr>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color w:val="auto"/>
                      <w:kern w:val="2"/>
                      <w:sz w:val="21"/>
                      <w:szCs w:val="21"/>
                      <w:highlight w:val="none"/>
                      <w:lang w:val="en-US" w:eastAsia="zh-CN" w:bidi="ar-SA"/>
                    </w:rPr>
                  </w:pPr>
                  <w:r>
                    <w:rPr>
                      <w:rFonts w:hint="eastAsia" w:ascii="Times New Roman" w:hAnsi="Times New Roman" w:eastAsia="宋体" w:cs="Times New Roman"/>
                      <w:color w:val="auto"/>
                      <w:szCs w:val="21"/>
                      <w:highlight w:val="none"/>
                      <w:lang w:val="en-US" w:eastAsia="zh-CN" w:bidi="ar"/>
                    </w:rPr>
                    <w:t>+</w:t>
                  </w:r>
                  <w:r>
                    <w:rPr>
                      <w:rFonts w:hint="default" w:ascii="Times New Roman" w:hAnsi="Times New Roman" w:eastAsia="宋体" w:cs="Times New Roman"/>
                      <w:color w:val="auto"/>
                      <w:szCs w:val="21"/>
                      <w:highlight w:val="none"/>
                      <w:lang w:bidi="ar"/>
                    </w:rPr>
                    <w:t>1</w:t>
                  </w:r>
                </w:p>
              </w:tc>
              <w:tc>
                <w:tcPr>
                  <w:tcW w:w="211" w:type="pct"/>
                  <w:vMerge w:val="continue"/>
                  <w:shd w:val="clear" w:color="auto" w:fill="auto"/>
                  <w:vAlign w:val="center"/>
                </w:tcPr>
                <w:p w14:paraId="2CA54B7A">
                  <w:pPr>
                    <w:keepNext w:val="0"/>
                    <w:keepLines w:val="0"/>
                    <w:widowControl w:val="0"/>
                    <w:suppressLineNumbers w:val="0"/>
                    <w:spacing w:before="0" w:beforeAutospacing="0" w:after="0" w:afterAutospacing="0"/>
                    <w:ind w:left="0" w:leftChars="0" w:right="0" w:rightChars="0"/>
                    <w:jc w:val="center"/>
                    <w:rPr>
                      <w:rFonts w:hint="default" w:ascii="Times New Roman" w:hAnsi="Times New Roman" w:eastAsia="宋体" w:cs="Times New Roman"/>
                      <w:color w:val="auto"/>
                      <w:kern w:val="2"/>
                      <w:sz w:val="21"/>
                      <w:szCs w:val="21"/>
                      <w:highlight w:val="none"/>
                      <w:lang w:val="en-US" w:eastAsia="zh-CN" w:bidi="ar-SA"/>
                    </w:rPr>
                  </w:pPr>
                </w:p>
              </w:tc>
              <w:tc>
                <w:tcPr>
                  <w:tcW w:w="325" w:type="pct"/>
                  <w:shd w:val="clear" w:color="auto" w:fill="auto"/>
                  <w:vAlign w:val="center"/>
                </w:tcPr>
                <w:p w14:paraId="742074C2">
                  <w:pPr>
                    <w:keepNext w:val="0"/>
                    <w:keepLines w:val="0"/>
                    <w:widowControl w:val="0"/>
                    <w:suppressLineNumbers w:val="0"/>
                    <w:spacing w:before="0" w:beforeAutospacing="0" w:after="0" w:afterAutospacing="0"/>
                    <w:ind w:left="0" w:leftChars="0" w:right="0" w:rightChars="0"/>
                    <w:jc w:val="center"/>
                    <w:rPr>
                      <w:rFonts w:hint="eastAsia" w:ascii="Times New Roman" w:hAnsi="Times New Roman" w:eastAsia="宋体" w:cs="Times New Roman"/>
                      <w:color w:val="auto"/>
                      <w:kern w:val="2"/>
                      <w:sz w:val="21"/>
                      <w:szCs w:val="21"/>
                      <w:highlight w:val="none"/>
                      <w:lang w:val="en-US" w:eastAsia="zh-CN" w:bidi="ar-SA"/>
                    </w:rPr>
                  </w:pPr>
                  <w:r>
                    <w:rPr>
                      <w:rFonts w:hint="eastAsia" w:ascii="Times New Roman" w:hAnsi="Times New Roman" w:cs="Times New Roman"/>
                      <w:color w:val="auto"/>
                      <w:kern w:val="2"/>
                      <w:sz w:val="21"/>
                      <w:szCs w:val="21"/>
                      <w:highlight w:val="none"/>
                      <w:lang w:val="en-US" w:eastAsia="zh-CN"/>
                    </w:rPr>
                    <w:t>1楼</w:t>
                  </w:r>
                </w:p>
              </w:tc>
              <w:tc>
                <w:tcPr>
                  <w:tcW w:w="320" w:type="pct"/>
                  <w:vAlign w:val="center"/>
                </w:tcPr>
                <w:p w14:paraId="2F70A184">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highlight w:val="none"/>
                    </w:rPr>
                  </w:pPr>
                  <w:r>
                    <w:rPr>
                      <w:rFonts w:hint="default" w:ascii="Times New Roman" w:hAnsi="Times New Roman" w:eastAsia="宋体" w:cs="Times New Roman"/>
                      <w:color w:val="auto"/>
                      <w:szCs w:val="21"/>
                      <w:highlight w:val="none"/>
                    </w:rPr>
                    <w:t>新增</w:t>
                  </w:r>
                </w:p>
              </w:tc>
            </w:tr>
            <w:tr w14:paraId="5B3CAC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5000" w:type="pct"/>
                  <w:gridSpan w:val="11"/>
                  <w:vAlign w:val="center"/>
                </w:tcPr>
                <w:p w14:paraId="07C83B33">
                  <w:pPr>
                    <w:keepNext w:val="0"/>
                    <w:keepLines w:val="0"/>
                    <w:suppressLineNumbers w:val="0"/>
                    <w:spacing w:before="0" w:beforeAutospacing="0" w:after="0" w:afterAutospacing="0"/>
                    <w:ind w:left="0" w:right="0"/>
                    <w:jc w:val="center"/>
                    <w:rPr>
                      <w:rFonts w:hint="default" w:ascii="Times New Roman" w:hAnsi="Times New Roman" w:eastAsia="宋体" w:cs="Times New Roman"/>
                      <w:b/>
                      <w:bCs/>
                      <w:color w:val="auto"/>
                      <w:szCs w:val="21"/>
                      <w:highlight w:val="none"/>
                    </w:rPr>
                  </w:pPr>
                  <w:r>
                    <w:rPr>
                      <w:rFonts w:hint="default" w:ascii="Times New Roman" w:hAnsi="Times New Roman" w:eastAsia="宋体" w:cs="Times New Roman"/>
                      <w:b/>
                      <w:bCs/>
                      <w:color w:val="auto"/>
                      <w:szCs w:val="21"/>
                      <w:highlight w:val="none"/>
                    </w:rPr>
                    <w:t>纳米隔热板</w:t>
                  </w:r>
                  <w:r>
                    <w:rPr>
                      <w:rFonts w:hint="default" w:ascii="Times New Roman" w:hAnsi="Times New Roman" w:eastAsia="宋体" w:cs="Times New Roman"/>
                      <w:b/>
                      <w:bCs/>
                      <w:color w:val="auto"/>
                      <w:szCs w:val="21"/>
                      <w:highlight w:val="none"/>
                      <w:lang w:eastAsia="zh-CN"/>
                    </w:rPr>
                    <w:t>（</w:t>
                  </w:r>
                  <w:r>
                    <w:rPr>
                      <w:rFonts w:hint="default" w:ascii="Times New Roman" w:hAnsi="Times New Roman" w:eastAsia="宋体" w:cs="Times New Roman"/>
                      <w:b/>
                      <w:bCs/>
                      <w:color w:val="auto"/>
                      <w:szCs w:val="21"/>
                      <w:highlight w:val="none"/>
                      <w:lang w:val="en-US" w:eastAsia="zh-CN"/>
                    </w:rPr>
                    <w:t>本项目</w:t>
                  </w:r>
                  <w:r>
                    <w:rPr>
                      <w:rFonts w:hint="default" w:ascii="Times New Roman" w:hAnsi="Times New Roman" w:eastAsia="宋体" w:cs="Times New Roman"/>
                      <w:b/>
                      <w:bCs/>
                      <w:color w:val="auto"/>
                      <w:szCs w:val="21"/>
                      <w:highlight w:val="none"/>
                      <w:lang w:eastAsia="zh-CN"/>
                    </w:rPr>
                    <w:t>）</w:t>
                  </w:r>
                </w:p>
              </w:tc>
            </w:tr>
            <w:tr w14:paraId="02DE1D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291" w:type="pct"/>
                  <w:shd w:val="clear" w:color="auto" w:fill="auto"/>
                  <w:vAlign w:val="center"/>
                </w:tcPr>
                <w:p w14:paraId="0351077C">
                  <w:pPr>
                    <w:keepNext w:val="0"/>
                    <w:keepLines w:val="0"/>
                    <w:suppressLineNumbers w:val="0"/>
                    <w:autoSpaceDE w:val="0"/>
                    <w:autoSpaceDN w:val="0"/>
                    <w:spacing w:before="0" w:beforeAutospacing="0" w:after="0" w:afterAutospacing="0"/>
                    <w:ind w:left="0" w:leftChars="0" w:right="0" w:rightChars="0"/>
                    <w:jc w:val="center"/>
                    <w:rPr>
                      <w:rFonts w:hint="eastAsia" w:ascii="Times New Roman" w:hAnsi="Times New Roman" w:eastAsia="楷体" w:cs="Times New Roman"/>
                      <w:color w:val="auto"/>
                      <w:kern w:val="2"/>
                      <w:sz w:val="21"/>
                      <w:szCs w:val="21"/>
                      <w:highlight w:val="none"/>
                      <w:lang w:val="en-US" w:eastAsia="zh-CN" w:bidi="ar-SA"/>
                    </w:rPr>
                  </w:pPr>
                  <w:r>
                    <w:rPr>
                      <w:rFonts w:hint="eastAsia" w:ascii="Times New Roman" w:hAnsi="Times New Roman" w:eastAsia="楷体" w:cs="Times New Roman"/>
                      <w:color w:val="auto"/>
                      <w:szCs w:val="21"/>
                      <w:highlight w:val="none"/>
                      <w:lang w:val="en-US" w:eastAsia="zh-CN"/>
                    </w:rPr>
                    <w:t>28</w:t>
                  </w:r>
                </w:p>
              </w:tc>
              <w:tc>
                <w:tcPr>
                  <w:tcW w:w="394" w:type="pct"/>
                  <w:vAlign w:val="center"/>
                </w:tcPr>
                <w:p w14:paraId="5698E25B">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highlight w:val="none"/>
                    </w:rPr>
                  </w:pPr>
                  <w:r>
                    <w:rPr>
                      <w:rFonts w:hint="default" w:ascii="Times New Roman" w:hAnsi="Times New Roman" w:eastAsia="宋体" w:cs="Times New Roman"/>
                      <w:color w:val="auto"/>
                      <w:szCs w:val="21"/>
                      <w:highlight w:val="none"/>
                    </w:rPr>
                    <w:t>拆包</w:t>
                  </w:r>
                </w:p>
              </w:tc>
              <w:tc>
                <w:tcPr>
                  <w:tcW w:w="660" w:type="pct"/>
                  <w:vAlign w:val="center"/>
                </w:tcPr>
                <w:p w14:paraId="4230B3BF">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color w:val="auto"/>
                      <w:szCs w:val="21"/>
                      <w:highlight w:val="none"/>
                    </w:rPr>
                  </w:pPr>
                  <w:r>
                    <w:rPr>
                      <w:rFonts w:hint="default" w:ascii="Times New Roman" w:hAnsi="Times New Roman" w:eastAsia="宋体" w:cs="Times New Roman"/>
                      <w:color w:val="auto"/>
                      <w:kern w:val="0"/>
                      <w:szCs w:val="21"/>
                      <w:highlight w:val="none"/>
                      <w:lang w:bidi="ar"/>
                    </w:rPr>
                    <w:t>自动拆包机</w:t>
                  </w:r>
                </w:p>
              </w:tc>
              <w:tc>
                <w:tcPr>
                  <w:tcW w:w="766" w:type="pct"/>
                  <w:vAlign w:val="center"/>
                </w:tcPr>
                <w:p w14:paraId="616C8C70">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color w:val="auto"/>
                      <w:szCs w:val="21"/>
                      <w:highlight w:val="none"/>
                    </w:rPr>
                  </w:pPr>
                  <w:r>
                    <w:rPr>
                      <w:rFonts w:hint="default" w:ascii="Times New Roman" w:hAnsi="Times New Roman" w:eastAsia="宋体" w:cs="Times New Roman"/>
                      <w:color w:val="auto"/>
                      <w:kern w:val="0"/>
                      <w:szCs w:val="21"/>
                      <w:highlight w:val="none"/>
                      <w:lang w:bidi="ar"/>
                    </w:rPr>
                    <w:t>标准</w:t>
                  </w:r>
                </w:p>
              </w:tc>
              <w:tc>
                <w:tcPr>
                  <w:tcW w:w="483" w:type="pct"/>
                  <w:vAlign w:val="center"/>
                </w:tcPr>
                <w:p w14:paraId="645C4772">
                  <w:pPr>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color w:val="auto"/>
                      <w:kern w:val="0"/>
                      <w:szCs w:val="21"/>
                      <w:highlight w:val="none"/>
                      <w:lang w:bidi="ar"/>
                    </w:rPr>
                  </w:pPr>
                  <w:r>
                    <w:rPr>
                      <w:rFonts w:hint="eastAsia" w:ascii="Times New Roman" w:hAnsi="Times New Roman" w:eastAsia="宋体" w:cs="Times New Roman"/>
                      <w:color w:val="auto"/>
                      <w:szCs w:val="21"/>
                      <w:highlight w:val="none"/>
                      <w:lang w:val="en-US" w:eastAsia="zh-CN" w:bidi="ar"/>
                    </w:rPr>
                    <w:t>0</w:t>
                  </w:r>
                </w:p>
              </w:tc>
              <w:tc>
                <w:tcPr>
                  <w:tcW w:w="417" w:type="pct"/>
                  <w:vAlign w:val="center"/>
                </w:tcPr>
                <w:p w14:paraId="04FDBC93">
                  <w:pPr>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color w:val="auto"/>
                      <w:kern w:val="0"/>
                      <w:szCs w:val="21"/>
                      <w:highlight w:val="none"/>
                      <w:lang w:bidi="ar"/>
                    </w:rPr>
                  </w:pPr>
                  <w:r>
                    <w:rPr>
                      <w:rFonts w:hint="eastAsia" w:ascii="Times New Roman" w:hAnsi="Times New Roman" w:eastAsia="宋体" w:cs="Times New Roman"/>
                      <w:color w:val="auto"/>
                      <w:szCs w:val="21"/>
                      <w:highlight w:val="none"/>
                      <w:lang w:val="en-US" w:eastAsia="zh-CN" w:bidi="ar"/>
                    </w:rPr>
                    <w:t>0</w:t>
                  </w:r>
                </w:p>
              </w:tc>
              <w:tc>
                <w:tcPr>
                  <w:tcW w:w="592" w:type="pct"/>
                  <w:vAlign w:val="center"/>
                </w:tcPr>
                <w:p w14:paraId="1C548DAA">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color w:val="auto"/>
                      <w:szCs w:val="21"/>
                      <w:highlight w:val="none"/>
                    </w:rPr>
                  </w:pPr>
                  <w:r>
                    <w:rPr>
                      <w:rFonts w:hint="default" w:ascii="Times New Roman" w:hAnsi="Times New Roman" w:eastAsia="宋体" w:cs="Times New Roman"/>
                      <w:color w:val="auto"/>
                      <w:kern w:val="0"/>
                      <w:szCs w:val="21"/>
                      <w:highlight w:val="none"/>
                      <w:lang w:bidi="ar"/>
                    </w:rPr>
                    <w:t>1</w:t>
                  </w:r>
                </w:p>
              </w:tc>
              <w:tc>
                <w:tcPr>
                  <w:tcW w:w="537" w:type="pct"/>
                  <w:shd w:val="clear" w:color="auto" w:fill="auto"/>
                  <w:vAlign w:val="center"/>
                </w:tcPr>
                <w:p w14:paraId="6A42B554">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宋体" w:cs="Times New Roman"/>
                      <w:color w:val="auto"/>
                      <w:kern w:val="2"/>
                      <w:sz w:val="21"/>
                      <w:szCs w:val="21"/>
                      <w:highlight w:val="none"/>
                      <w:lang w:val="en-US" w:eastAsia="zh-CN" w:bidi="ar-SA"/>
                    </w:rPr>
                  </w:pPr>
                  <w:r>
                    <w:rPr>
                      <w:rFonts w:hint="eastAsia" w:ascii="Times New Roman" w:hAnsi="Times New Roman" w:eastAsia="宋体" w:cs="Times New Roman"/>
                      <w:color w:val="auto"/>
                      <w:kern w:val="0"/>
                      <w:szCs w:val="21"/>
                      <w:highlight w:val="none"/>
                      <w:lang w:val="en-US" w:eastAsia="zh-CN" w:bidi="ar"/>
                    </w:rPr>
                    <w:t>+</w:t>
                  </w:r>
                  <w:r>
                    <w:rPr>
                      <w:rFonts w:hint="default" w:ascii="Times New Roman" w:hAnsi="Times New Roman" w:eastAsia="宋体" w:cs="Times New Roman"/>
                      <w:color w:val="auto"/>
                      <w:kern w:val="0"/>
                      <w:szCs w:val="21"/>
                      <w:highlight w:val="none"/>
                      <w:lang w:bidi="ar"/>
                    </w:rPr>
                    <w:t>1</w:t>
                  </w:r>
                </w:p>
              </w:tc>
              <w:tc>
                <w:tcPr>
                  <w:tcW w:w="211" w:type="pct"/>
                  <w:vMerge w:val="restart"/>
                  <w:shd w:val="clear" w:color="auto" w:fill="auto"/>
                  <w:vAlign w:val="center"/>
                </w:tcPr>
                <w:p w14:paraId="4F608966">
                  <w:pPr>
                    <w:keepNext w:val="0"/>
                    <w:keepLines w:val="0"/>
                    <w:widowControl w:val="0"/>
                    <w:suppressLineNumbers w:val="0"/>
                    <w:spacing w:before="0" w:beforeAutospacing="0" w:after="0" w:afterAutospacing="0"/>
                    <w:ind w:left="0" w:leftChars="0" w:right="0" w:rightChars="0"/>
                    <w:jc w:val="center"/>
                    <w:rPr>
                      <w:rFonts w:hint="default" w:ascii="Times New Roman" w:hAnsi="Times New Roman" w:eastAsia="宋体" w:cs="Times New Roman"/>
                      <w:color w:val="auto"/>
                      <w:kern w:val="2"/>
                      <w:sz w:val="21"/>
                      <w:szCs w:val="21"/>
                      <w:highlight w:val="none"/>
                      <w:lang w:val="en-US" w:eastAsia="zh-CN" w:bidi="ar-SA"/>
                    </w:rPr>
                  </w:pPr>
                  <w:r>
                    <w:rPr>
                      <w:rFonts w:hint="eastAsia" w:ascii="Times New Roman" w:hAnsi="Times New Roman" w:eastAsia="宋体" w:cs="Times New Roman"/>
                      <w:color w:val="0000E1"/>
                      <w:kern w:val="2"/>
                      <w:sz w:val="21"/>
                      <w:szCs w:val="21"/>
                      <w:highlight w:val="none"/>
                      <w:lang w:val="en-US" w:eastAsia="zh-CN" w:bidi="ar-SA"/>
                    </w:rPr>
                    <w:t>本项目租赁1</w:t>
                  </w:r>
                  <w:r>
                    <w:rPr>
                      <w:rFonts w:hint="default" w:ascii="Times New Roman" w:hAnsi="Times New Roman" w:eastAsia="宋体" w:cs="Times New Roman"/>
                      <w:color w:val="0000E1"/>
                      <w:kern w:val="2"/>
                      <w:sz w:val="21"/>
                      <w:szCs w:val="21"/>
                      <w:highlight w:val="none"/>
                      <w:lang w:val="en-US" w:eastAsia="zh-CN" w:bidi="ar-SA"/>
                    </w:rPr>
                    <w:t>#厂房</w:t>
                  </w:r>
                </w:p>
              </w:tc>
              <w:tc>
                <w:tcPr>
                  <w:tcW w:w="325" w:type="pct"/>
                  <w:shd w:val="clear" w:color="auto" w:fill="auto"/>
                  <w:vAlign w:val="center"/>
                </w:tcPr>
                <w:p w14:paraId="757D263A">
                  <w:pPr>
                    <w:keepNext w:val="0"/>
                    <w:keepLines w:val="0"/>
                    <w:widowControl/>
                    <w:suppressLineNumbers w:val="0"/>
                    <w:spacing w:before="0" w:beforeAutospacing="0" w:after="0" w:afterAutospacing="0"/>
                    <w:ind w:left="0" w:leftChars="0" w:right="0" w:rightChars="0"/>
                    <w:jc w:val="center"/>
                    <w:textAlignment w:val="center"/>
                    <w:rPr>
                      <w:rFonts w:hint="eastAsia" w:ascii="Times New Roman" w:hAnsi="Times New Roman" w:eastAsia="宋体" w:cs="Times New Roman"/>
                      <w:color w:val="auto"/>
                      <w:kern w:val="0"/>
                      <w:sz w:val="21"/>
                      <w:szCs w:val="21"/>
                      <w:highlight w:val="none"/>
                      <w:lang w:val="en-US" w:eastAsia="zh-CN" w:bidi="ar-SA"/>
                    </w:rPr>
                  </w:pPr>
                  <w:r>
                    <w:rPr>
                      <w:rFonts w:hint="eastAsia" w:ascii="Times New Roman" w:hAnsi="Times New Roman" w:cs="Times New Roman"/>
                      <w:color w:val="auto"/>
                      <w:kern w:val="2"/>
                      <w:sz w:val="21"/>
                      <w:szCs w:val="21"/>
                      <w:highlight w:val="none"/>
                      <w:lang w:val="en-US" w:eastAsia="zh-CN"/>
                    </w:rPr>
                    <w:t>1楼</w:t>
                  </w:r>
                </w:p>
              </w:tc>
              <w:tc>
                <w:tcPr>
                  <w:tcW w:w="320" w:type="pct"/>
                  <w:vAlign w:val="center"/>
                </w:tcPr>
                <w:p w14:paraId="72CB7897">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highlight w:val="none"/>
                    </w:rPr>
                  </w:pPr>
                  <w:r>
                    <w:rPr>
                      <w:rFonts w:hint="default" w:ascii="Times New Roman" w:hAnsi="Times New Roman" w:eastAsia="宋体" w:cs="Times New Roman"/>
                      <w:color w:val="auto"/>
                      <w:szCs w:val="21"/>
                      <w:highlight w:val="none"/>
                    </w:rPr>
                    <w:t>新增</w:t>
                  </w:r>
                </w:p>
              </w:tc>
            </w:tr>
            <w:tr w14:paraId="3A3A0C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291" w:type="pct"/>
                  <w:shd w:val="clear" w:color="auto" w:fill="auto"/>
                  <w:vAlign w:val="center"/>
                </w:tcPr>
                <w:p w14:paraId="1E297546">
                  <w:pPr>
                    <w:keepNext w:val="0"/>
                    <w:keepLines w:val="0"/>
                    <w:suppressLineNumbers w:val="0"/>
                    <w:autoSpaceDE w:val="0"/>
                    <w:autoSpaceDN w:val="0"/>
                    <w:spacing w:before="0" w:beforeAutospacing="0" w:after="0" w:afterAutospacing="0"/>
                    <w:ind w:left="0" w:leftChars="0" w:right="0" w:rightChars="0"/>
                    <w:jc w:val="center"/>
                    <w:rPr>
                      <w:rFonts w:hint="default" w:ascii="Times New Roman" w:hAnsi="Times New Roman" w:eastAsia="楷体" w:cs="Times New Roman"/>
                      <w:color w:val="auto"/>
                      <w:kern w:val="2"/>
                      <w:sz w:val="21"/>
                      <w:szCs w:val="21"/>
                      <w:highlight w:val="none"/>
                      <w:lang w:val="en-US" w:eastAsia="zh-CN" w:bidi="ar-SA"/>
                    </w:rPr>
                  </w:pPr>
                  <w:r>
                    <w:rPr>
                      <w:rFonts w:hint="eastAsia" w:ascii="Times New Roman" w:hAnsi="Times New Roman" w:eastAsia="楷体" w:cs="Times New Roman"/>
                      <w:color w:val="auto"/>
                      <w:szCs w:val="21"/>
                      <w:highlight w:val="none"/>
                      <w:lang w:val="en-US" w:eastAsia="zh-CN"/>
                    </w:rPr>
                    <w:t>29</w:t>
                  </w:r>
                </w:p>
              </w:tc>
              <w:tc>
                <w:tcPr>
                  <w:tcW w:w="394" w:type="pct"/>
                  <w:vMerge w:val="restart"/>
                  <w:vAlign w:val="center"/>
                </w:tcPr>
                <w:p w14:paraId="3784BC53">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highlight w:val="none"/>
                      <w:lang w:bidi="ar"/>
                    </w:rPr>
                  </w:pPr>
                  <w:r>
                    <w:rPr>
                      <w:rFonts w:hint="default" w:ascii="Times New Roman" w:hAnsi="Times New Roman" w:eastAsia="宋体" w:cs="Times New Roman"/>
                      <w:color w:val="auto"/>
                      <w:szCs w:val="21"/>
                      <w:highlight w:val="none"/>
                      <w:lang w:bidi="ar"/>
                    </w:rPr>
                    <w:t>混合</w:t>
                  </w:r>
                </w:p>
              </w:tc>
              <w:tc>
                <w:tcPr>
                  <w:tcW w:w="660" w:type="pct"/>
                  <w:vAlign w:val="center"/>
                </w:tcPr>
                <w:p w14:paraId="7A3987FA">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color w:val="auto"/>
                      <w:szCs w:val="21"/>
                      <w:highlight w:val="none"/>
                    </w:rPr>
                  </w:pPr>
                  <w:r>
                    <w:rPr>
                      <w:rFonts w:hint="default" w:ascii="Times New Roman" w:hAnsi="Times New Roman" w:eastAsia="宋体" w:cs="Times New Roman"/>
                      <w:color w:val="auto"/>
                      <w:kern w:val="0"/>
                      <w:szCs w:val="21"/>
                      <w:highlight w:val="none"/>
                      <w:lang w:bidi="ar"/>
                    </w:rPr>
                    <w:t>隔膜泵</w:t>
                  </w:r>
                </w:p>
              </w:tc>
              <w:tc>
                <w:tcPr>
                  <w:tcW w:w="766" w:type="pct"/>
                  <w:vAlign w:val="center"/>
                </w:tcPr>
                <w:p w14:paraId="0C227B22">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color w:val="auto"/>
                      <w:szCs w:val="21"/>
                      <w:highlight w:val="none"/>
                    </w:rPr>
                  </w:pPr>
                  <w:r>
                    <w:rPr>
                      <w:rFonts w:hint="default" w:ascii="Times New Roman" w:hAnsi="Times New Roman" w:eastAsia="宋体" w:cs="Times New Roman"/>
                      <w:color w:val="auto"/>
                      <w:kern w:val="0"/>
                      <w:szCs w:val="21"/>
                      <w:highlight w:val="none"/>
                      <w:lang w:bidi="ar"/>
                    </w:rPr>
                    <w:t>S30B1A1EABS000-FB（3寸）</w:t>
                  </w:r>
                </w:p>
              </w:tc>
              <w:tc>
                <w:tcPr>
                  <w:tcW w:w="483" w:type="pct"/>
                  <w:vAlign w:val="center"/>
                </w:tcPr>
                <w:p w14:paraId="3CA8C6B7">
                  <w:pPr>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color w:val="auto"/>
                      <w:kern w:val="0"/>
                      <w:szCs w:val="21"/>
                      <w:highlight w:val="none"/>
                      <w:lang w:bidi="ar"/>
                    </w:rPr>
                  </w:pPr>
                  <w:r>
                    <w:rPr>
                      <w:rFonts w:hint="eastAsia" w:ascii="Times New Roman" w:hAnsi="Times New Roman" w:eastAsia="宋体" w:cs="Times New Roman"/>
                      <w:color w:val="auto"/>
                      <w:szCs w:val="21"/>
                      <w:highlight w:val="none"/>
                      <w:lang w:val="en-US" w:eastAsia="zh-CN" w:bidi="ar"/>
                    </w:rPr>
                    <w:t>0</w:t>
                  </w:r>
                </w:p>
              </w:tc>
              <w:tc>
                <w:tcPr>
                  <w:tcW w:w="417" w:type="pct"/>
                  <w:vAlign w:val="center"/>
                </w:tcPr>
                <w:p w14:paraId="2932BBFB">
                  <w:pPr>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color w:val="auto"/>
                      <w:kern w:val="0"/>
                      <w:szCs w:val="21"/>
                      <w:highlight w:val="none"/>
                      <w:lang w:bidi="ar"/>
                    </w:rPr>
                  </w:pPr>
                  <w:r>
                    <w:rPr>
                      <w:rFonts w:hint="eastAsia" w:ascii="Times New Roman" w:hAnsi="Times New Roman" w:eastAsia="宋体" w:cs="Times New Roman"/>
                      <w:color w:val="auto"/>
                      <w:szCs w:val="21"/>
                      <w:highlight w:val="none"/>
                      <w:lang w:val="en-US" w:eastAsia="zh-CN" w:bidi="ar"/>
                    </w:rPr>
                    <w:t>0</w:t>
                  </w:r>
                </w:p>
              </w:tc>
              <w:tc>
                <w:tcPr>
                  <w:tcW w:w="592" w:type="pct"/>
                  <w:vAlign w:val="center"/>
                </w:tcPr>
                <w:p w14:paraId="21DA7DD4">
                  <w:pPr>
                    <w:keepNext w:val="0"/>
                    <w:keepLines w:val="0"/>
                    <w:widowControl/>
                    <w:suppressLineNumbers w:val="0"/>
                    <w:spacing w:before="0" w:beforeAutospacing="0" w:after="0" w:afterAutospacing="0"/>
                    <w:ind w:left="0" w:right="0"/>
                    <w:jc w:val="center"/>
                    <w:textAlignment w:val="center"/>
                    <w:rPr>
                      <w:rFonts w:hint="eastAsia" w:ascii="Times New Roman" w:hAnsi="Times New Roman" w:eastAsia="宋体" w:cs="Times New Roman"/>
                      <w:color w:val="auto"/>
                      <w:szCs w:val="21"/>
                      <w:highlight w:val="none"/>
                    </w:rPr>
                  </w:pPr>
                  <w:r>
                    <w:rPr>
                      <w:rFonts w:hint="eastAsia" w:ascii="Times New Roman" w:hAnsi="Times New Roman" w:eastAsia="宋体" w:cs="Times New Roman"/>
                      <w:color w:val="auto"/>
                      <w:kern w:val="0"/>
                      <w:szCs w:val="21"/>
                      <w:highlight w:val="none"/>
                      <w:lang w:bidi="ar"/>
                    </w:rPr>
                    <w:t>14</w:t>
                  </w:r>
                </w:p>
              </w:tc>
              <w:tc>
                <w:tcPr>
                  <w:tcW w:w="537" w:type="pct"/>
                  <w:shd w:val="clear" w:color="auto" w:fill="auto"/>
                  <w:vAlign w:val="center"/>
                </w:tcPr>
                <w:p w14:paraId="58B88D19">
                  <w:pPr>
                    <w:keepNext w:val="0"/>
                    <w:keepLines w:val="0"/>
                    <w:widowControl/>
                    <w:suppressLineNumbers w:val="0"/>
                    <w:spacing w:before="0" w:beforeAutospacing="0" w:after="0" w:afterAutospacing="0"/>
                    <w:ind w:left="0" w:leftChars="0" w:right="0" w:rightChars="0"/>
                    <w:jc w:val="center"/>
                    <w:textAlignment w:val="center"/>
                    <w:rPr>
                      <w:rFonts w:hint="eastAsia" w:ascii="Times New Roman" w:hAnsi="Times New Roman" w:eastAsia="宋体" w:cs="Times New Roman"/>
                      <w:color w:val="auto"/>
                      <w:kern w:val="2"/>
                      <w:sz w:val="21"/>
                      <w:szCs w:val="21"/>
                      <w:highlight w:val="none"/>
                      <w:lang w:val="en-US" w:eastAsia="zh-CN" w:bidi="ar-SA"/>
                    </w:rPr>
                  </w:pPr>
                  <w:r>
                    <w:rPr>
                      <w:rFonts w:hint="eastAsia" w:ascii="Times New Roman" w:hAnsi="Times New Roman" w:eastAsia="宋体" w:cs="Times New Roman"/>
                      <w:color w:val="auto"/>
                      <w:kern w:val="0"/>
                      <w:szCs w:val="21"/>
                      <w:highlight w:val="none"/>
                      <w:lang w:val="en-US" w:eastAsia="zh-CN" w:bidi="ar"/>
                    </w:rPr>
                    <w:t>+</w:t>
                  </w:r>
                  <w:r>
                    <w:rPr>
                      <w:rFonts w:hint="eastAsia" w:ascii="Times New Roman" w:hAnsi="Times New Roman" w:eastAsia="宋体" w:cs="Times New Roman"/>
                      <w:color w:val="auto"/>
                      <w:kern w:val="0"/>
                      <w:szCs w:val="21"/>
                      <w:highlight w:val="none"/>
                      <w:lang w:bidi="ar"/>
                    </w:rPr>
                    <w:t>14</w:t>
                  </w:r>
                </w:p>
              </w:tc>
              <w:tc>
                <w:tcPr>
                  <w:tcW w:w="211" w:type="pct"/>
                  <w:vMerge w:val="continue"/>
                  <w:shd w:val="clear" w:color="auto" w:fill="auto"/>
                  <w:vAlign w:val="center"/>
                </w:tcPr>
                <w:p w14:paraId="0A509CBA">
                  <w:pPr>
                    <w:keepNext w:val="0"/>
                    <w:keepLines w:val="0"/>
                    <w:widowControl/>
                    <w:suppressLineNumbers w:val="0"/>
                    <w:spacing w:before="0" w:beforeAutospacing="0" w:after="0" w:afterAutospacing="0"/>
                    <w:ind w:left="0" w:leftChars="0" w:right="0" w:rightChars="0"/>
                    <w:jc w:val="center"/>
                    <w:textAlignment w:val="center"/>
                    <w:rPr>
                      <w:rFonts w:hint="eastAsia" w:ascii="Times New Roman" w:hAnsi="Times New Roman" w:eastAsia="宋体" w:cs="Times New Roman"/>
                      <w:color w:val="auto"/>
                      <w:kern w:val="0"/>
                      <w:sz w:val="21"/>
                      <w:szCs w:val="21"/>
                      <w:highlight w:val="none"/>
                      <w:lang w:val="en-US" w:eastAsia="zh-CN" w:bidi="ar-SA"/>
                    </w:rPr>
                  </w:pPr>
                </w:p>
              </w:tc>
              <w:tc>
                <w:tcPr>
                  <w:tcW w:w="325" w:type="pct"/>
                  <w:shd w:val="clear" w:color="auto" w:fill="auto"/>
                  <w:vAlign w:val="center"/>
                </w:tcPr>
                <w:p w14:paraId="0174C3CF">
                  <w:pPr>
                    <w:keepNext w:val="0"/>
                    <w:keepLines w:val="0"/>
                    <w:widowControl/>
                    <w:suppressLineNumbers w:val="0"/>
                    <w:spacing w:before="0" w:beforeAutospacing="0" w:after="0" w:afterAutospacing="0"/>
                    <w:ind w:left="0" w:leftChars="0" w:right="0" w:rightChars="0"/>
                    <w:jc w:val="center"/>
                    <w:textAlignment w:val="center"/>
                    <w:rPr>
                      <w:rFonts w:hint="eastAsia" w:ascii="Times New Roman" w:hAnsi="Times New Roman" w:eastAsia="宋体" w:cs="Times New Roman"/>
                      <w:color w:val="auto"/>
                      <w:kern w:val="0"/>
                      <w:sz w:val="21"/>
                      <w:szCs w:val="21"/>
                      <w:highlight w:val="none"/>
                      <w:lang w:val="en-US" w:eastAsia="zh-CN" w:bidi="ar-SA"/>
                    </w:rPr>
                  </w:pPr>
                  <w:r>
                    <w:rPr>
                      <w:rFonts w:hint="eastAsia" w:ascii="Times New Roman" w:hAnsi="Times New Roman" w:cs="Times New Roman"/>
                      <w:color w:val="auto"/>
                      <w:kern w:val="2"/>
                      <w:sz w:val="21"/>
                      <w:szCs w:val="21"/>
                      <w:highlight w:val="none"/>
                      <w:lang w:val="en-US" w:eastAsia="zh-CN"/>
                    </w:rPr>
                    <w:t>1楼</w:t>
                  </w:r>
                </w:p>
              </w:tc>
              <w:tc>
                <w:tcPr>
                  <w:tcW w:w="320" w:type="pct"/>
                  <w:vAlign w:val="center"/>
                </w:tcPr>
                <w:p w14:paraId="5619E383">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highlight w:val="none"/>
                    </w:rPr>
                  </w:pPr>
                  <w:r>
                    <w:rPr>
                      <w:rFonts w:hint="default" w:ascii="Times New Roman" w:hAnsi="Times New Roman" w:eastAsia="宋体" w:cs="Times New Roman"/>
                      <w:color w:val="auto"/>
                      <w:szCs w:val="21"/>
                      <w:highlight w:val="none"/>
                    </w:rPr>
                    <w:t>新增</w:t>
                  </w:r>
                </w:p>
              </w:tc>
            </w:tr>
            <w:tr w14:paraId="232E21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291" w:type="pct"/>
                  <w:shd w:val="clear" w:color="auto" w:fill="auto"/>
                  <w:vAlign w:val="center"/>
                </w:tcPr>
                <w:p w14:paraId="600FC9DA">
                  <w:pPr>
                    <w:keepNext w:val="0"/>
                    <w:keepLines w:val="0"/>
                    <w:suppressLineNumbers w:val="0"/>
                    <w:autoSpaceDE w:val="0"/>
                    <w:autoSpaceDN w:val="0"/>
                    <w:spacing w:before="0" w:beforeAutospacing="0" w:after="0" w:afterAutospacing="0"/>
                    <w:ind w:left="0" w:leftChars="0" w:right="0" w:rightChars="0"/>
                    <w:jc w:val="center"/>
                    <w:rPr>
                      <w:rFonts w:hint="default" w:ascii="Times New Roman" w:hAnsi="Times New Roman" w:eastAsia="楷体" w:cs="Times New Roman"/>
                      <w:color w:val="auto"/>
                      <w:kern w:val="2"/>
                      <w:sz w:val="21"/>
                      <w:szCs w:val="21"/>
                      <w:highlight w:val="none"/>
                      <w:lang w:val="en-US" w:eastAsia="zh-CN" w:bidi="ar-SA"/>
                    </w:rPr>
                  </w:pPr>
                  <w:r>
                    <w:rPr>
                      <w:rFonts w:hint="default" w:ascii="Times New Roman" w:hAnsi="Times New Roman" w:eastAsia="楷体" w:cs="Times New Roman"/>
                      <w:color w:val="auto"/>
                      <w:szCs w:val="21"/>
                      <w:highlight w:val="none"/>
                    </w:rPr>
                    <w:t>30</w:t>
                  </w:r>
                </w:p>
              </w:tc>
              <w:tc>
                <w:tcPr>
                  <w:tcW w:w="394" w:type="pct"/>
                  <w:vMerge w:val="continue"/>
                  <w:vAlign w:val="center"/>
                </w:tcPr>
                <w:p w14:paraId="58BF8889">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highlight w:val="none"/>
                      <w:lang w:bidi="ar"/>
                    </w:rPr>
                  </w:pPr>
                </w:p>
              </w:tc>
              <w:tc>
                <w:tcPr>
                  <w:tcW w:w="660" w:type="pct"/>
                  <w:vAlign w:val="center"/>
                </w:tcPr>
                <w:p w14:paraId="46E5CF87">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color w:val="auto"/>
                      <w:szCs w:val="21"/>
                      <w:highlight w:val="none"/>
                    </w:rPr>
                  </w:pPr>
                  <w:r>
                    <w:rPr>
                      <w:rFonts w:hint="default" w:ascii="Times New Roman" w:hAnsi="Times New Roman" w:eastAsia="宋体" w:cs="Times New Roman"/>
                      <w:color w:val="auto"/>
                      <w:kern w:val="0"/>
                      <w:szCs w:val="21"/>
                      <w:highlight w:val="none"/>
                      <w:lang w:bidi="ar"/>
                    </w:rPr>
                    <w:t>高速混合机</w:t>
                  </w:r>
                </w:p>
              </w:tc>
              <w:tc>
                <w:tcPr>
                  <w:tcW w:w="766" w:type="pct"/>
                  <w:vAlign w:val="center"/>
                </w:tcPr>
                <w:p w14:paraId="79574D20">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color w:val="auto"/>
                      <w:szCs w:val="21"/>
                      <w:highlight w:val="none"/>
                    </w:rPr>
                  </w:pPr>
                  <w:r>
                    <w:rPr>
                      <w:rFonts w:hint="default" w:ascii="Times New Roman" w:hAnsi="Times New Roman" w:eastAsia="宋体" w:cs="Times New Roman"/>
                      <w:color w:val="auto"/>
                      <w:kern w:val="0"/>
                      <w:szCs w:val="21"/>
                      <w:highlight w:val="none"/>
                      <w:lang w:bidi="ar"/>
                    </w:rPr>
                    <w:t>SHR1000L</w:t>
                  </w:r>
                </w:p>
              </w:tc>
              <w:tc>
                <w:tcPr>
                  <w:tcW w:w="483" w:type="pct"/>
                  <w:vAlign w:val="center"/>
                </w:tcPr>
                <w:p w14:paraId="48E88C37">
                  <w:pPr>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color w:val="auto"/>
                      <w:kern w:val="0"/>
                      <w:szCs w:val="21"/>
                      <w:highlight w:val="none"/>
                      <w:lang w:bidi="ar"/>
                    </w:rPr>
                  </w:pPr>
                  <w:r>
                    <w:rPr>
                      <w:rFonts w:hint="eastAsia" w:ascii="Times New Roman" w:hAnsi="Times New Roman" w:eastAsia="宋体" w:cs="Times New Roman"/>
                      <w:color w:val="auto"/>
                      <w:szCs w:val="21"/>
                      <w:highlight w:val="none"/>
                      <w:lang w:val="en-US" w:eastAsia="zh-CN" w:bidi="ar"/>
                    </w:rPr>
                    <w:t>0</w:t>
                  </w:r>
                </w:p>
              </w:tc>
              <w:tc>
                <w:tcPr>
                  <w:tcW w:w="417" w:type="pct"/>
                  <w:vAlign w:val="center"/>
                </w:tcPr>
                <w:p w14:paraId="233B7967">
                  <w:pPr>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color w:val="auto"/>
                      <w:kern w:val="0"/>
                      <w:szCs w:val="21"/>
                      <w:highlight w:val="none"/>
                      <w:lang w:bidi="ar"/>
                    </w:rPr>
                  </w:pPr>
                  <w:r>
                    <w:rPr>
                      <w:rFonts w:hint="eastAsia" w:ascii="Times New Roman" w:hAnsi="Times New Roman" w:eastAsia="宋体" w:cs="Times New Roman"/>
                      <w:color w:val="auto"/>
                      <w:szCs w:val="21"/>
                      <w:highlight w:val="none"/>
                      <w:lang w:val="en-US" w:eastAsia="zh-CN" w:bidi="ar"/>
                    </w:rPr>
                    <w:t>0</w:t>
                  </w:r>
                </w:p>
              </w:tc>
              <w:tc>
                <w:tcPr>
                  <w:tcW w:w="592" w:type="pct"/>
                  <w:vAlign w:val="center"/>
                </w:tcPr>
                <w:p w14:paraId="2536B1B9">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color w:val="auto"/>
                      <w:szCs w:val="21"/>
                      <w:highlight w:val="none"/>
                    </w:rPr>
                  </w:pPr>
                  <w:r>
                    <w:rPr>
                      <w:rFonts w:hint="default" w:ascii="Times New Roman" w:hAnsi="Times New Roman" w:eastAsia="宋体" w:cs="Times New Roman"/>
                      <w:color w:val="auto"/>
                      <w:kern w:val="0"/>
                      <w:szCs w:val="21"/>
                      <w:highlight w:val="none"/>
                      <w:lang w:bidi="ar"/>
                    </w:rPr>
                    <w:t>1</w:t>
                  </w:r>
                </w:p>
              </w:tc>
              <w:tc>
                <w:tcPr>
                  <w:tcW w:w="537" w:type="pct"/>
                  <w:shd w:val="clear" w:color="auto" w:fill="auto"/>
                  <w:vAlign w:val="center"/>
                </w:tcPr>
                <w:p w14:paraId="69DE5E5B">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宋体" w:cs="Times New Roman"/>
                      <w:color w:val="auto"/>
                      <w:kern w:val="2"/>
                      <w:sz w:val="21"/>
                      <w:szCs w:val="21"/>
                      <w:highlight w:val="none"/>
                      <w:lang w:val="en-US" w:eastAsia="zh-CN" w:bidi="ar-SA"/>
                    </w:rPr>
                  </w:pPr>
                  <w:r>
                    <w:rPr>
                      <w:rFonts w:hint="eastAsia" w:ascii="Times New Roman" w:hAnsi="Times New Roman" w:eastAsia="宋体" w:cs="Times New Roman"/>
                      <w:color w:val="auto"/>
                      <w:kern w:val="0"/>
                      <w:szCs w:val="21"/>
                      <w:highlight w:val="none"/>
                      <w:lang w:val="en-US" w:eastAsia="zh-CN" w:bidi="ar"/>
                    </w:rPr>
                    <w:t>+</w:t>
                  </w:r>
                  <w:r>
                    <w:rPr>
                      <w:rFonts w:hint="default" w:ascii="Times New Roman" w:hAnsi="Times New Roman" w:eastAsia="宋体" w:cs="Times New Roman"/>
                      <w:color w:val="auto"/>
                      <w:kern w:val="0"/>
                      <w:szCs w:val="21"/>
                      <w:highlight w:val="none"/>
                      <w:lang w:bidi="ar"/>
                    </w:rPr>
                    <w:t>1</w:t>
                  </w:r>
                </w:p>
              </w:tc>
              <w:tc>
                <w:tcPr>
                  <w:tcW w:w="211" w:type="pct"/>
                  <w:vMerge w:val="continue"/>
                  <w:shd w:val="clear" w:color="auto" w:fill="auto"/>
                  <w:vAlign w:val="center"/>
                </w:tcPr>
                <w:p w14:paraId="46C22D64">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宋体" w:cs="Times New Roman"/>
                      <w:color w:val="auto"/>
                      <w:kern w:val="0"/>
                      <w:sz w:val="21"/>
                      <w:szCs w:val="21"/>
                      <w:highlight w:val="none"/>
                      <w:lang w:val="en-US" w:eastAsia="zh-CN" w:bidi="ar-SA"/>
                    </w:rPr>
                  </w:pPr>
                </w:p>
              </w:tc>
              <w:tc>
                <w:tcPr>
                  <w:tcW w:w="325" w:type="pct"/>
                  <w:shd w:val="clear" w:color="auto" w:fill="auto"/>
                  <w:vAlign w:val="center"/>
                </w:tcPr>
                <w:p w14:paraId="25E1A617">
                  <w:pPr>
                    <w:keepNext w:val="0"/>
                    <w:keepLines w:val="0"/>
                    <w:widowControl/>
                    <w:suppressLineNumbers w:val="0"/>
                    <w:spacing w:before="0" w:beforeAutospacing="0" w:after="0" w:afterAutospacing="0"/>
                    <w:ind w:left="0" w:leftChars="0" w:right="0" w:rightChars="0"/>
                    <w:jc w:val="center"/>
                    <w:textAlignment w:val="center"/>
                    <w:rPr>
                      <w:rFonts w:hint="eastAsia" w:ascii="Times New Roman" w:hAnsi="Times New Roman" w:eastAsia="宋体" w:cs="Times New Roman"/>
                      <w:color w:val="auto"/>
                      <w:kern w:val="0"/>
                      <w:sz w:val="21"/>
                      <w:szCs w:val="21"/>
                      <w:highlight w:val="none"/>
                      <w:lang w:val="en-US" w:eastAsia="zh-CN" w:bidi="ar-SA"/>
                    </w:rPr>
                  </w:pPr>
                  <w:r>
                    <w:rPr>
                      <w:rFonts w:hint="eastAsia" w:ascii="Times New Roman" w:hAnsi="Times New Roman" w:cs="Times New Roman"/>
                      <w:color w:val="auto"/>
                      <w:kern w:val="2"/>
                      <w:sz w:val="21"/>
                      <w:szCs w:val="21"/>
                      <w:highlight w:val="none"/>
                      <w:lang w:val="en-US" w:eastAsia="zh-CN"/>
                    </w:rPr>
                    <w:t>1楼</w:t>
                  </w:r>
                </w:p>
              </w:tc>
              <w:tc>
                <w:tcPr>
                  <w:tcW w:w="320" w:type="pct"/>
                  <w:vAlign w:val="center"/>
                </w:tcPr>
                <w:p w14:paraId="3E4CCBAA">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highlight w:val="none"/>
                    </w:rPr>
                  </w:pPr>
                  <w:r>
                    <w:rPr>
                      <w:rFonts w:hint="default" w:ascii="Times New Roman" w:hAnsi="Times New Roman" w:eastAsia="宋体" w:cs="Times New Roman"/>
                      <w:color w:val="auto"/>
                      <w:szCs w:val="21"/>
                      <w:highlight w:val="none"/>
                    </w:rPr>
                    <w:t>新增</w:t>
                  </w:r>
                </w:p>
              </w:tc>
            </w:tr>
            <w:tr w14:paraId="6EE5A2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291" w:type="pct"/>
                  <w:shd w:val="clear" w:color="auto" w:fill="auto"/>
                  <w:vAlign w:val="center"/>
                </w:tcPr>
                <w:p w14:paraId="3BBCD009">
                  <w:pPr>
                    <w:keepNext w:val="0"/>
                    <w:keepLines w:val="0"/>
                    <w:suppressLineNumbers w:val="0"/>
                    <w:autoSpaceDE w:val="0"/>
                    <w:autoSpaceDN w:val="0"/>
                    <w:spacing w:before="0" w:beforeAutospacing="0" w:after="0" w:afterAutospacing="0"/>
                    <w:ind w:left="0" w:leftChars="0" w:right="0" w:rightChars="0"/>
                    <w:jc w:val="center"/>
                    <w:rPr>
                      <w:rFonts w:hint="default" w:ascii="Times New Roman" w:hAnsi="Times New Roman" w:eastAsia="楷体" w:cs="Times New Roman"/>
                      <w:color w:val="auto"/>
                      <w:kern w:val="2"/>
                      <w:sz w:val="21"/>
                      <w:szCs w:val="21"/>
                      <w:highlight w:val="none"/>
                      <w:lang w:val="en-US" w:eastAsia="zh-CN" w:bidi="ar-SA"/>
                    </w:rPr>
                  </w:pPr>
                  <w:r>
                    <w:rPr>
                      <w:rFonts w:hint="default" w:ascii="Times New Roman" w:hAnsi="Times New Roman" w:eastAsia="楷体" w:cs="Times New Roman"/>
                      <w:color w:val="auto"/>
                      <w:szCs w:val="21"/>
                      <w:highlight w:val="none"/>
                    </w:rPr>
                    <w:t>31</w:t>
                  </w:r>
                </w:p>
              </w:tc>
              <w:tc>
                <w:tcPr>
                  <w:tcW w:w="394" w:type="pct"/>
                  <w:vAlign w:val="center"/>
                </w:tcPr>
                <w:p w14:paraId="5585C4AE">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highlight w:val="none"/>
                      <w:lang w:bidi="ar"/>
                    </w:rPr>
                  </w:pPr>
                  <w:r>
                    <w:rPr>
                      <w:rFonts w:hint="default" w:ascii="Times New Roman" w:hAnsi="Times New Roman" w:eastAsia="宋体" w:cs="Times New Roman"/>
                      <w:color w:val="auto"/>
                      <w:szCs w:val="21"/>
                      <w:highlight w:val="none"/>
                      <w:lang w:bidi="ar"/>
                    </w:rPr>
                    <w:t>储料</w:t>
                  </w:r>
                </w:p>
              </w:tc>
              <w:tc>
                <w:tcPr>
                  <w:tcW w:w="660" w:type="pct"/>
                  <w:vAlign w:val="center"/>
                </w:tcPr>
                <w:p w14:paraId="07D73822">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color w:val="auto"/>
                      <w:szCs w:val="21"/>
                      <w:highlight w:val="none"/>
                    </w:rPr>
                  </w:pPr>
                  <w:r>
                    <w:rPr>
                      <w:rFonts w:hint="default" w:ascii="Times New Roman" w:hAnsi="Times New Roman" w:eastAsia="宋体" w:cs="Times New Roman"/>
                      <w:color w:val="auto"/>
                      <w:kern w:val="0"/>
                      <w:szCs w:val="21"/>
                      <w:highlight w:val="none"/>
                      <w:lang w:bidi="ar"/>
                    </w:rPr>
                    <w:t>方形储料桶</w:t>
                  </w:r>
                </w:p>
              </w:tc>
              <w:tc>
                <w:tcPr>
                  <w:tcW w:w="766" w:type="pct"/>
                  <w:vAlign w:val="center"/>
                </w:tcPr>
                <w:p w14:paraId="6691198F">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color w:val="auto"/>
                      <w:szCs w:val="21"/>
                      <w:highlight w:val="none"/>
                    </w:rPr>
                  </w:pPr>
                  <w:r>
                    <w:rPr>
                      <w:rFonts w:hint="default" w:ascii="Times New Roman" w:hAnsi="Times New Roman" w:eastAsia="宋体" w:cs="Times New Roman"/>
                      <w:color w:val="auto"/>
                      <w:kern w:val="0"/>
                      <w:szCs w:val="21"/>
                      <w:highlight w:val="none"/>
                      <w:lang w:bidi="ar"/>
                    </w:rPr>
                    <w:t>2000L</w:t>
                  </w:r>
                </w:p>
              </w:tc>
              <w:tc>
                <w:tcPr>
                  <w:tcW w:w="483" w:type="pct"/>
                  <w:vAlign w:val="center"/>
                </w:tcPr>
                <w:p w14:paraId="489AE90D">
                  <w:pPr>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color w:val="auto"/>
                      <w:kern w:val="0"/>
                      <w:szCs w:val="21"/>
                      <w:highlight w:val="none"/>
                      <w:lang w:bidi="ar"/>
                    </w:rPr>
                  </w:pPr>
                  <w:r>
                    <w:rPr>
                      <w:rFonts w:hint="eastAsia" w:ascii="Times New Roman" w:hAnsi="Times New Roman" w:eastAsia="宋体" w:cs="Times New Roman"/>
                      <w:color w:val="auto"/>
                      <w:szCs w:val="21"/>
                      <w:highlight w:val="none"/>
                      <w:lang w:val="en-US" w:eastAsia="zh-CN" w:bidi="ar"/>
                    </w:rPr>
                    <w:t>0</w:t>
                  </w:r>
                </w:p>
              </w:tc>
              <w:tc>
                <w:tcPr>
                  <w:tcW w:w="417" w:type="pct"/>
                  <w:vAlign w:val="center"/>
                </w:tcPr>
                <w:p w14:paraId="04F08C9B">
                  <w:pPr>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color w:val="auto"/>
                      <w:kern w:val="0"/>
                      <w:szCs w:val="21"/>
                      <w:highlight w:val="none"/>
                      <w:lang w:bidi="ar"/>
                    </w:rPr>
                  </w:pPr>
                  <w:r>
                    <w:rPr>
                      <w:rFonts w:hint="eastAsia" w:ascii="Times New Roman" w:hAnsi="Times New Roman" w:eastAsia="宋体" w:cs="Times New Roman"/>
                      <w:color w:val="auto"/>
                      <w:szCs w:val="21"/>
                      <w:highlight w:val="none"/>
                      <w:lang w:val="en-US" w:eastAsia="zh-CN" w:bidi="ar"/>
                    </w:rPr>
                    <w:t>0</w:t>
                  </w:r>
                </w:p>
              </w:tc>
              <w:tc>
                <w:tcPr>
                  <w:tcW w:w="592" w:type="pct"/>
                  <w:vAlign w:val="center"/>
                </w:tcPr>
                <w:p w14:paraId="678E7F67">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color w:val="auto"/>
                      <w:szCs w:val="21"/>
                      <w:highlight w:val="none"/>
                    </w:rPr>
                  </w:pPr>
                  <w:r>
                    <w:rPr>
                      <w:rFonts w:hint="default" w:ascii="Times New Roman" w:hAnsi="Times New Roman" w:eastAsia="宋体" w:cs="Times New Roman"/>
                      <w:color w:val="auto"/>
                      <w:kern w:val="0"/>
                      <w:szCs w:val="21"/>
                      <w:highlight w:val="none"/>
                      <w:lang w:bidi="ar"/>
                    </w:rPr>
                    <w:t>1</w:t>
                  </w:r>
                </w:p>
              </w:tc>
              <w:tc>
                <w:tcPr>
                  <w:tcW w:w="537" w:type="pct"/>
                  <w:shd w:val="clear" w:color="auto" w:fill="auto"/>
                  <w:vAlign w:val="center"/>
                </w:tcPr>
                <w:p w14:paraId="7D415B67">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宋体" w:cs="Times New Roman"/>
                      <w:color w:val="auto"/>
                      <w:kern w:val="2"/>
                      <w:sz w:val="21"/>
                      <w:szCs w:val="21"/>
                      <w:highlight w:val="none"/>
                      <w:lang w:val="en-US" w:eastAsia="zh-CN" w:bidi="ar-SA"/>
                    </w:rPr>
                  </w:pPr>
                  <w:r>
                    <w:rPr>
                      <w:rFonts w:hint="eastAsia" w:ascii="Times New Roman" w:hAnsi="Times New Roman" w:eastAsia="宋体" w:cs="Times New Roman"/>
                      <w:color w:val="auto"/>
                      <w:kern w:val="0"/>
                      <w:szCs w:val="21"/>
                      <w:highlight w:val="none"/>
                      <w:lang w:val="en-US" w:eastAsia="zh-CN" w:bidi="ar"/>
                    </w:rPr>
                    <w:t>+</w:t>
                  </w:r>
                  <w:r>
                    <w:rPr>
                      <w:rFonts w:hint="default" w:ascii="Times New Roman" w:hAnsi="Times New Roman" w:eastAsia="宋体" w:cs="Times New Roman"/>
                      <w:color w:val="auto"/>
                      <w:kern w:val="0"/>
                      <w:szCs w:val="21"/>
                      <w:highlight w:val="none"/>
                      <w:lang w:bidi="ar"/>
                    </w:rPr>
                    <w:t>1</w:t>
                  </w:r>
                </w:p>
              </w:tc>
              <w:tc>
                <w:tcPr>
                  <w:tcW w:w="211" w:type="pct"/>
                  <w:vMerge w:val="continue"/>
                  <w:shd w:val="clear" w:color="auto" w:fill="auto"/>
                  <w:vAlign w:val="center"/>
                </w:tcPr>
                <w:p w14:paraId="22C6EAA8">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宋体" w:cs="Times New Roman"/>
                      <w:color w:val="auto"/>
                      <w:kern w:val="0"/>
                      <w:sz w:val="21"/>
                      <w:szCs w:val="21"/>
                      <w:highlight w:val="none"/>
                      <w:lang w:val="en-US" w:eastAsia="zh-CN" w:bidi="ar-SA"/>
                    </w:rPr>
                  </w:pPr>
                </w:p>
              </w:tc>
              <w:tc>
                <w:tcPr>
                  <w:tcW w:w="325" w:type="pct"/>
                  <w:shd w:val="clear" w:color="auto" w:fill="auto"/>
                  <w:vAlign w:val="center"/>
                </w:tcPr>
                <w:p w14:paraId="15419731">
                  <w:pPr>
                    <w:keepNext w:val="0"/>
                    <w:keepLines w:val="0"/>
                    <w:widowControl/>
                    <w:suppressLineNumbers w:val="0"/>
                    <w:spacing w:before="0" w:beforeAutospacing="0" w:after="0" w:afterAutospacing="0"/>
                    <w:ind w:left="0" w:leftChars="0" w:right="0" w:rightChars="0"/>
                    <w:jc w:val="center"/>
                    <w:textAlignment w:val="center"/>
                    <w:rPr>
                      <w:rFonts w:hint="eastAsia" w:ascii="Times New Roman" w:hAnsi="Times New Roman" w:eastAsia="宋体" w:cs="Times New Roman"/>
                      <w:color w:val="auto"/>
                      <w:kern w:val="0"/>
                      <w:sz w:val="21"/>
                      <w:szCs w:val="21"/>
                      <w:highlight w:val="none"/>
                      <w:lang w:val="en-US" w:eastAsia="zh-CN" w:bidi="ar-SA"/>
                    </w:rPr>
                  </w:pPr>
                  <w:r>
                    <w:rPr>
                      <w:rFonts w:hint="eastAsia" w:ascii="Times New Roman" w:hAnsi="Times New Roman" w:cs="Times New Roman"/>
                      <w:color w:val="auto"/>
                      <w:kern w:val="2"/>
                      <w:sz w:val="21"/>
                      <w:szCs w:val="21"/>
                      <w:highlight w:val="none"/>
                      <w:lang w:val="en-US" w:eastAsia="zh-CN"/>
                    </w:rPr>
                    <w:t>1楼</w:t>
                  </w:r>
                </w:p>
              </w:tc>
              <w:tc>
                <w:tcPr>
                  <w:tcW w:w="320" w:type="pct"/>
                  <w:vAlign w:val="center"/>
                </w:tcPr>
                <w:p w14:paraId="60BA874E">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highlight w:val="none"/>
                    </w:rPr>
                  </w:pPr>
                  <w:r>
                    <w:rPr>
                      <w:rFonts w:hint="default" w:ascii="Times New Roman" w:hAnsi="Times New Roman" w:eastAsia="宋体" w:cs="Times New Roman"/>
                      <w:color w:val="auto"/>
                      <w:szCs w:val="21"/>
                      <w:highlight w:val="none"/>
                    </w:rPr>
                    <w:t>新增</w:t>
                  </w:r>
                </w:p>
              </w:tc>
            </w:tr>
            <w:tr w14:paraId="21FFF4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291" w:type="pct"/>
                  <w:shd w:val="clear" w:color="auto" w:fill="auto"/>
                  <w:vAlign w:val="center"/>
                </w:tcPr>
                <w:p w14:paraId="7AA99938">
                  <w:pPr>
                    <w:keepNext w:val="0"/>
                    <w:keepLines w:val="0"/>
                    <w:suppressLineNumbers w:val="0"/>
                    <w:autoSpaceDE w:val="0"/>
                    <w:autoSpaceDN w:val="0"/>
                    <w:spacing w:before="0" w:beforeAutospacing="0" w:after="0" w:afterAutospacing="0"/>
                    <w:ind w:left="0" w:leftChars="0" w:right="0" w:rightChars="0"/>
                    <w:jc w:val="center"/>
                    <w:rPr>
                      <w:rFonts w:hint="default" w:ascii="Times New Roman" w:hAnsi="Times New Roman" w:eastAsia="楷体" w:cs="Times New Roman"/>
                      <w:color w:val="auto"/>
                      <w:kern w:val="2"/>
                      <w:sz w:val="21"/>
                      <w:szCs w:val="21"/>
                      <w:highlight w:val="none"/>
                      <w:lang w:val="en-US" w:eastAsia="zh-CN" w:bidi="ar-SA"/>
                    </w:rPr>
                  </w:pPr>
                  <w:r>
                    <w:rPr>
                      <w:rFonts w:hint="default" w:ascii="Times New Roman" w:hAnsi="Times New Roman" w:eastAsia="楷体" w:cs="Times New Roman"/>
                      <w:color w:val="auto"/>
                      <w:szCs w:val="21"/>
                      <w:highlight w:val="none"/>
                    </w:rPr>
                    <w:t>32</w:t>
                  </w:r>
                </w:p>
              </w:tc>
              <w:tc>
                <w:tcPr>
                  <w:tcW w:w="394" w:type="pct"/>
                  <w:vAlign w:val="center"/>
                </w:tcPr>
                <w:p w14:paraId="5768023D">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highlight w:val="none"/>
                      <w:lang w:bidi="ar"/>
                    </w:rPr>
                  </w:pPr>
                  <w:r>
                    <w:rPr>
                      <w:rFonts w:hint="default" w:ascii="Times New Roman" w:hAnsi="Times New Roman" w:eastAsia="宋体" w:cs="Times New Roman"/>
                      <w:color w:val="auto"/>
                      <w:szCs w:val="21"/>
                      <w:highlight w:val="none"/>
                      <w:lang w:bidi="ar"/>
                    </w:rPr>
                    <w:t>成型</w:t>
                  </w:r>
                </w:p>
              </w:tc>
              <w:tc>
                <w:tcPr>
                  <w:tcW w:w="660" w:type="pct"/>
                  <w:vAlign w:val="center"/>
                </w:tcPr>
                <w:p w14:paraId="4C2AB29B">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color w:val="auto"/>
                      <w:szCs w:val="21"/>
                      <w:highlight w:val="none"/>
                    </w:rPr>
                  </w:pPr>
                  <w:r>
                    <w:rPr>
                      <w:rFonts w:hint="default" w:ascii="Times New Roman" w:hAnsi="Times New Roman" w:eastAsia="宋体" w:cs="Times New Roman"/>
                      <w:color w:val="auto"/>
                      <w:kern w:val="0"/>
                      <w:szCs w:val="21"/>
                      <w:highlight w:val="none"/>
                      <w:lang w:bidi="ar"/>
                    </w:rPr>
                    <w:t>超薄纳米板成型机</w:t>
                  </w:r>
                </w:p>
              </w:tc>
              <w:tc>
                <w:tcPr>
                  <w:tcW w:w="766" w:type="pct"/>
                  <w:vAlign w:val="center"/>
                </w:tcPr>
                <w:p w14:paraId="1D12B2FC">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color w:val="auto"/>
                      <w:szCs w:val="21"/>
                      <w:highlight w:val="none"/>
                    </w:rPr>
                  </w:pPr>
                  <w:r>
                    <w:rPr>
                      <w:rFonts w:hint="default" w:ascii="Times New Roman" w:hAnsi="Times New Roman" w:eastAsia="宋体" w:cs="Times New Roman"/>
                      <w:color w:val="auto"/>
                      <w:kern w:val="0"/>
                      <w:szCs w:val="21"/>
                      <w:highlight w:val="none"/>
                      <w:lang w:bidi="ar"/>
                    </w:rPr>
                    <w:t>SP5060</w:t>
                  </w:r>
                </w:p>
              </w:tc>
              <w:tc>
                <w:tcPr>
                  <w:tcW w:w="483" w:type="pct"/>
                  <w:vAlign w:val="center"/>
                </w:tcPr>
                <w:p w14:paraId="6B660662">
                  <w:pPr>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color w:val="auto"/>
                      <w:kern w:val="0"/>
                      <w:szCs w:val="21"/>
                      <w:highlight w:val="none"/>
                      <w:lang w:bidi="ar"/>
                    </w:rPr>
                  </w:pPr>
                  <w:r>
                    <w:rPr>
                      <w:rFonts w:hint="eastAsia" w:ascii="Times New Roman" w:hAnsi="Times New Roman" w:eastAsia="宋体" w:cs="Times New Roman"/>
                      <w:color w:val="auto"/>
                      <w:szCs w:val="21"/>
                      <w:highlight w:val="none"/>
                      <w:lang w:val="en-US" w:eastAsia="zh-CN" w:bidi="ar"/>
                    </w:rPr>
                    <w:t>0</w:t>
                  </w:r>
                </w:p>
              </w:tc>
              <w:tc>
                <w:tcPr>
                  <w:tcW w:w="417" w:type="pct"/>
                  <w:vAlign w:val="center"/>
                </w:tcPr>
                <w:p w14:paraId="0ED0F370">
                  <w:pPr>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color w:val="auto"/>
                      <w:kern w:val="0"/>
                      <w:szCs w:val="21"/>
                      <w:highlight w:val="none"/>
                      <w:lang w:bidi="ar"/>
                    </w:rPr>
                  </w:pPr>
                  <w:r>
                    <w:rPr>
                      <w:rFonts w:hint="eastAsia" w:ascii="Times New Roman" w:hAnsi="Times New Roman" w:eastAsia="宋体" w:cs="Times New Roman"/>
                      <w:color w:val="auto"/>
                      <w:szCs w:val="21"/>
                      <w:highlight w:val="none"/>
                      <w:lang w:val="en-US" w:eastAsia="zh-CN" w:bidi="ar"/>
                    </w:rPr>
                    <w:t>0</w:t>
                  </w:r>
                </w:p>
              </w:tc>
              <w:tc>
                <w:tcPr>
                  <w:tcW w:w="592" w:type="pct"/>
                  <w:vAlign w:val="center"/>
                </w:tcPr>
                <w:p w14:paraId="71693CBE">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color w:val="auto"/>
                      <w:szCs w:val="21"/>
                      <w:highlight w:val="none"/>
                    </w:rPr>
                  </w:pPr>
                  <w:r>
                    <w:rPr>
                      <w:rFonts w:hint="default" w:ascii="Times New Roman" w:hAnsi="Times New Roman" w:eastAsia="宋体" w:cs="Times New Roman"/>
                      <w:color w:val="auto"/>
                      <w:kern w:val="0"/>
                      <w:szCs w:val="21"/>
                      <w:highlight w:val="none"/>
                      <w:lang w:bidi="ar"/>
                    </w:rPr>
                    <w:t>6</w:t>
                  </w:r>
                </w:p>
              </w:tc>
              <w:tc>
                <w:tcPr>
                  <w:tcW w:w="537" w:type="pct"/>
                  <w:shd w:val="clear" w:color="auto" w:fill="auto"/>
                  <w:vAlign w:val="center"/>
                </w:tcPr>
                <w:p w14:paraId="20CFB63E">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宋体" w:cs="Times New Roman"/>
                      <w:color w:val="auto"/>
                      <w:kern w:val="2"/>
                      <w:sz w:val="21"/>
                      <w:szCs w:val="21"/>
                      <w:highlight w:val="none"/>
                      <w:lang w:val="en-US" w:eastAsia="zh-CN" w:bidi="ar-SA"/>
                    </w:rPr>
                  </w:pPr>
                  <w:r>
                    <w:rPr>
                      <w:rFonts w:hint="eastAsia" w:ascii="Times New Roman" w:hAnsi="Times New Roman" w:eastAsia="宋体" w:cs="Times New Roman"/>
                      <w:color w:val="auto"/>
                      <w:kern w:val="0"/>
                      <w:szCs w:val="21"/>
                      <w:highlight w:val="none"/>
                      <w:lang w:val="en-US" w:eastAsia="zh-CN" w:bidi="ar"/>
                    </w:rPr>
                    <w:t>+</w:t>
                  </w:r>
                  <w:r>
                    <w:rPr>
                      <w:rFonts w:hint="default" w:ascii="Times New Roman" w:hAnsi="Times New Roman" w:eastAsia="宋体" w:cs="Times New Roman"/>
                      <w:color w:val="auto"/>
                      <w:kern w:val="0"/>
                      <w:szCs w:val="21"/>
                      <w:highlight w:val="none"/>
                      <w:lang w:bidi="ar"/>
                    </w:rPr>
                    <w:t>6</w:t>
                  </w:r>
                </w:p>
              </w:tc>
              <w:tc>
                <w:tcPr>
                  <w:tcW w:w="211" w:type="pct"/>
                  <w:vMerge w:val="continue"/>
                  <w:shd w:val="clear" w:color="auto" w:fill="auto"/>
                  <w:vAlign w:val="center"/>
                </w:tcPr>
                <w:p w14:paraId="6632938B">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宋体" w:cs="Times New Roman"/>
                      <w:color w:val="auto"/>
                      <w:kern w:val="0"/>
                      <w:sz w:val="21"/>
                      <w:szCs w:val="21"/>
                      <w:highlight w:val="none"/>
                      <w:lang w:val="en-US" w:eastAsia="zh-CN" w:bidi="ar-SA"/>
                    </w:rPr>
                  </w:pPr>
                </w:p>
              </w:tc>
              <w:tc>
                <w:tcPr>
                  <w:tcW w:w="325" w:type="pct"/>
                  <w:shd w:val="clear" w:color="auto" w:fill="auto"/>
                  <w:vAlign w:val="center"/>
                </w:tcPr>
                <w:p w14:paraId="1056BA22">
                  <w:pPr>
                    <w:keepNext w:val="0"/>
                    <w:keepLines w:val="0"/>
                    <w:widowControl/>
                    <w:suppressLineNumbers w:val="0"/>
                    <w:spacing w:before="0" w:beforeAutospacing="0" w:after="0" w:afterAutospacing="0"/>
                    <w:ind w:left="0" w:leftChars="0" w:right="0" w:rightChars="0"/>
                    <w:jc w:val="center"/>
                    <w:textAlignment w:val="center"/>
                    <w:rPr>
                      <w:rFonts w:hint="eastAsia" w:ascii="Times New Roman" w:hAnsi="Times New Roman" w:eastAsia="宋体" w:cs="Times New Roman"/>
                      <w:color w:val="auto"/>
                      <w:kern w:val="0"/>
                      <w:sz w:val="21"/>
                      <w:szCs w:val="21"/>
                      <w:highlight w:val="none"/>
                      <w:lang w:val="en-US" w:eastAsia="zh-CN" w:bidi="ar-SA"/>
                    </w:rPr>
                  </w:pPr>
                  <w:r>
                    <w:rPr>
                      <w:rFonts w:hint="eastAsia" w:ascii="Times New Roman" w:hAnsi="Times New Roman" w:cs="Times New Roman"/>
                      <w:color w:val="auto"/>
                      <w:kern w:val="2"/>
                      <w:sz w:val="21"/>
                      <w:szCs w:val="21"/>
                      <w:highlight w:val="none"/>
                      <w:lang w:val="en-US" w:eastAsia="zh-CN"/>
                    </w:rPr>
                    <w:t>1楼</w:t>
                  </w:r>
                </w:p>
              </w:tc>
              <w:tc>
                <w:tcPr>
                  <w:tcW w:w="320" w:type="pct"/>
                  <w:vAlign w:val="center"/>
                </w:tcPr>
                <w:p w14:paraId="6D4C4500">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highlight w:val="none"/>
                    </w:rPr>
                  </w:pPr>
                  <w:r>
                    <w:rPr>
                      <w:rFonts w:hint="default" w:ascii="Times New Roman" w:hAnsi="Times New Roman" w:eastAsia="宋体" w:cs="Times New Roman"/>
                      <w:color w:val="auto"/>
                      <w:szCs w:val="21"/>
                      <w:highlight w:val="none"/>
                    </w:rPr>
                    <w:t>新增</w:t>
                  </w:r>
                </w:p>
              </w:tc>
            </w:tr>
            <w:tr w14:paraId="5BD506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291" w:type="pct"/>
                  <w:shd w:val="clear" w:color="auto" w:fill="auto"/>
                  <w:vAlign w:val="center"/>
                </w:tcPr>
                <w:p w14:paraId="73457BD0">
                  <w:pPr>
                    <w:keepNext w:val="0"/>
                    <w:keepLines w:val="0"/>
                    <w:suppressLineNumbers w:val="0"/>
                    <w:autoSpaceDE w:val="0"/>
                    <w:autoSpaceDN w:val="0"/>
                    <w:spacing w:before="0" w:beforeAutospacing="0" w:after="0" w:afterAutospacing="0"/>
                    <w:ind w:left="0" w:leftChars="0" w:right="0" w:rightChars="0"/>
                    <w:jc w:val="center"/>
                    <w:rPr>
                      <w:rFonts w:hint="default" w:ascii="Times New Roman" w:hAnsi="Times New Roman" w:eastAsia="楷体" w:cs="Times New Roman"/>
                      <w:color w:val="auto"/>
                      <w:kern w:val="2"/>
                      <w:sz w:val="21"/>
                      <w:szCs w:val="21"/>
                      <w:highlight w:val="none"/>
                      <w:lang w:val="en-US" w:eastAsia="zh-CN" w:bidi="ar-SA"/>
                    </w:rPr>
                  </w:pPr>
                  <w:r>
                    <w:rPr>
                      <w:rFonts w:hint="default" w:ascii="Times New Roman" w:hAnsi="Times New Roman" w:eastAsia="楷体" w:cs="Times New Roman"/>
                      <w:color w:val="auto"/>
                      <w:szCs w:val="21"/>
                      <w:highlight w:val="none"/>
                    </w:rPr>
                    <w:t>33</w:t>
                  </w:r>
                </w:p>
              </w:tc>
              <w:tc>
                <w:tcPr>
                  <w:tcW w:w="394" w:type="pct"/>
                  <w:vAlign w:val="center"/>
                </w:tcPr>
                <w:p w14:paraId="4BABD4FF">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highlight w:val="none"/>
                      <w:lang w:bidi="ar"/>
                    </w:rPr>
                  </w:pPr>
                  <w:r>
                    <w:rPr>
                      <w:rFonts w:hint="default" w:ascii="Times New Roman" w:hAnsi="Times New Roman" w:eastAsia="宋体" w:cs="Times New Roman"/>
                      <w:color w:val="auto"/>
                      <w:szCs w:val="21"/>
                      <w:highlight w:val="none"/>
                      <w:lang w:bidi="ar"/>
                    </w:rPr>
                    <w:t>整平</w:t>
                  </w:r>
                </w:p>
              </w:tc>
              <w:tc>
                <w:tcPr>
                  <w:tcW w:w="660" w:type="pct"/>
                  <w:vAlign w:val="center"/>
                </w:tcPr>
                <w:p w14:paraId="1A170CFC">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color w:val="auto"/>
                      <w:szCs w:val="21"/>
                      <w:highlight w:val="none"/>
                    </w:rPr>
                  </w:pPr>
                  <w:r>
                    <w:rPr>
                      <w:rFonts w:hint="default" w:ascii="Times New Roman" w:hAnsi="Times New Roman" w:eastAsia="宋体" w:cs="Times New Roman"/>
                      <w:color w:val="auto"/>
                      <w:kern w:val="0"/>
                      <w:szCs w:val="21"/>
                      <w:highlight w:val="none"/>
                      <w:lang w:bidi="ar"/>
                    </w:rPr>
                    <w:t>码垛整平机</w:t>
                  </w:r>
                </w:p>
              </w:tc>
              <w:tc>
                <w:tcPr>
                  <w:tcW w:w="766" w:type="pct"/>
                  <w:vAlign w:val="center"/>
                </w:tcPr>
                <w:p w14:paraId="0159EAEE">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color w:val="auto"/>
                      <w:szCs w:val="21"/>
                      <w:highlight w:val="none"/>
                    </w:rPr>
                  </w:pPr>
                  <w:r>
                    <w:rPr>
                      <w:rFonts w:hint="default" w:ascii="Times New Roman" w:hAnsi="Times New Roman" w:eastAsia="宋体" w:cs="Times New Roman"/>
                      <w:color w:val="auto"/>
                      <w:kern w:val="0"/>
                      <w:szCs w:val="21"/>
                      <w:highlight w:val="none"/>
                      <w:lang w:bidi="ar"/>
                    </w:rPr>
                    <w:t>适应超薄压机规格</w:t>
                  </w:r>
                </w:p>
              </w:tc>
              <w:tc>
                <w:tcPr>
                  <w:tcW w:w="483" w:type="pct"/>
                  <w:vAlign w:val="center"/>
                </w:tcPr>
                <w:p w14:paraId="1DA7A12E">
                  <w:pPr>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color w:val="auto"/>
                      <w:kern w:val="0"/>
                      <w:szCs w:val="21"/>
                      <w:highlight w:val="none"/>
                      <w:lang w:bidi="ar"/>
                    </w:rPr>
                  </w:pPr>
                  <w:r>
                    <w:rPr>
                      <w:rFonts w:hint="eastAsia" w:ascii="Times New Roman" w:hAnsi="Times New Roman" w:eastAsia="宋体" w:cs="Times New Roman"/>
                      <w:color w:val="auto"/>
                      <w:szCs w:val="21"/>
                      <w:highlight w:val="none"/>
                      <w:lang w:val="en-US" w:eastAsia="zh-CN" w:bidi="ar"/>
                    </w:rPr>
                    <w:t>0</w:t>
                  </w:r>
                </w:p>
              </w:tc>
              <w:tc>
                <w:tcPr>
                  <w:tcW w:w="417" w:type="pct"/>
                  <w:vAlign w:val="center"/>
                </w:tcPr>
                <w:p w14:paraId="3443242C">
                  <w:pPr>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color w:val="auto"/>
                      <w:kern w:val="0"/>
                      <w:szCs w:val="21"/>
                      <w:highlight w:val="none"/>
                      <w:lang w:bidi="ar"/>
                    </w:rPr>
                  </w:pPr>
                  <w:r>
                    <w:rPr>
                      <w:rFonts w:hint="eastAsia" w:ascii="Times New Roman" w:hAnsi="Times New Roman" w:eastAsia="宋体" w:cs="Times New Roman"/>
                      <w:color w:val="auto"/>
                      <w:szCs w:val="21"/>
                      <w:highlight w:val="none"/>
                      <w:lang w:val="en-US" w:eastAsia="zh-CN" w:bidi="ar"/>
                    </w:rPr>
                    <w:t>0</w:t>
                  </w:r>
                </w:p>
              </w:tc>
              <w:tc>
                <w:tcPr>
                  <w:tcW w:w="592" w:type="pct"/>
                  <w:vAlign w:val="center"/>
                </w:tcPr>
                <w:p w14:paraId="71965598">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color w:val="auto"/>
                      <w:szCs w:val="21"/>
                      <w:highlight w:val="none"/>
                    </w:rPr>
                  </w:pPr>
                  <w:r>
                    <w:rPr>
                      <w:rFonts w:hint="default" w:ascii="Times New Roman" w:hAnsi="Times New Roman" w:eastAsia="宋体" w:cs="Times New Roman"/>
                      <w:color w:val="auto"/>
                      <w:kern w:val="0"/>
                      <w:szCs w:val="21"/>
                      <w:highlight w:val="none"/>
                      <w:lang w:bidi="ar"/>
                    </w:rPr>
                    <w:t>6</w:t>
                  </w:r>
                </w:p>
              </w:tc>
              <w:tc>
                <w:tcPr>
                  <w:tcW w:w="537" w:type="pct"/>
                  <w:shd w:val="clear" w:color="auto" w:fill="auto"/>
                  <w:vAlign w:val="center"/>
                </w:tcPr>
                <w:p w14:paraId="6024F498">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宋体" w:cs="Times New Roman"/>
                      <w:color w:val="auto"/>
                      <w:kern w:val="2"/>
                      <w:sz w:val="21"/>
                      <w:szCs w:val="21"/>
                      <w:highlight w:val="none"/>
                      <w:lang w:val="en-US" w:eastAsia="zh-CN" w:bidi="ar-SA"/>
                    </w:rPr>
                  </w:pPr>
                  <w:r>
                    <w:rPr>
                      <w:rFonts w:hint="eastAsia" w:ascii="Times New Roman" w:hAnsi="Times New Roman" w:eastAsia="宋体" w:cs="Times New Roman"/>
                      <w:color w:val="auto"/>
                      <w:kern w:val="0"/>
                      <w:szCs w:val="21"/>
                      <w:highlight w:val="none"/>
                      <w:lang w:val="en-US" w:eastAsia="zh-CN" w:bidi="ar"/>
                    </w:rPr>
                    <w:t>+</w:t>
                  </w:r>
                  <w:r>
                    <w:rPr>
                      <w:rFonts w:hint="default" w:ascii="Times New Roman" w:hAnsi="Times New Roman" w:eastAsia="宋体" w:cs="Times New Roman"/>
                      <w:color w:val="auto"/>
                      <w:kern w:val="0"/>
                      <w:szCs w:val="21"/>
                      <w:highlight w:val="none"/>
                      <w:lang w:bidi="ar"/>
                    </w:rPr>
                    <w:t>6</w:t>
                  </w:r>
                </w:p>
              </w:tc>
              <w:tc>
                <w:tcPr>
                  <w:tcW w:w="211" w:type="pct"/>
                  <w:vMerge w:val="continue"/>
                  <w:shd w:val="clear" w:color="auto" w:fill="auto"/>
                  <w:vAlign w:val="center"/>
                </w:tcPr>
                <w:p w14:paraId="0F6933F9">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宋体" w:cs="Times New Roman"/>
                      <w:color w:val="auto"/>
                      <w:kern w:val="0"/>
                      <w:sz w:val="21"/>
                      <w:szCs w:val="21"/>
                      <w:highlight w:val="none"/>
                      <w:lang w:val="en-US" w:eastAsia="zh-CN" w:bidi="ar-SA"/>
                    </w:rPr>
                  </w:pPr>
                </w:p>
              </w:tc>
              <w:tc>
                <w:tcPr>
                  <w:tcW w:w="325" w:type="pct"/>
                  <w:shd w:val="clear" w:color="auto" w:fill="auto"/>
                  <w:vAlign w:val="center"/>
                </w:tcPr>
                <w:p w14:paraId="3A40DF4A">
                  <w:pPr>
                    <w:keepNext w:val="0"/>
                    <w:keepLines w:val="0"/>
                    <w:widowControl/>
                    <w:suppressLineNumbers w:val="0"/>
                    <w:spacing w:before="0" w:beforeAutospacing="0" w:after="0" w:afterAutospacing="0"/>
                    <w:ind w:left="0" w:leftChars="0" w:right="0" w:rightChars="0"/>
                    <w:jc w:val="center"/>
                    <w:textAlignment w:val="center"/>
                    <w:rPr>
                      <w:rFonts w:hint="eastAsia" w:ascii="Times New Roman" w:hAnsi="Times New Roman" w:eastAsia="宋体" w:cs="Times New Roman"/>
                      <w:color w:val="auto"/>
                      <w:kern w:val="0"/>
                      <w:sz w:val="21"/>
                      <w:szCs w:val="21"/>
                      <w:highlight w:val="none"/>
                      <w:lang w:val="en-US" w:eastAsia="zh-CN" w:bidi="ar-SA"/>
                    </w:rPr>
                  </w:pPr>
                  <w:r>
                    <w:rPr>
                      <w:rFonts w:hint="eastAsia" w:ascii="Times New Roman" w:hAnsi="Times New Roman" w:cs="Times New Roman"/>
                      <w:color w:val="auto"/>
                      <w:kern w:val="2"/>
                      <w:sz w:val="21"/>
                      <w:szCs w:val="21"/>
                      <w:highlight w:val="none"/>
                      <w:lang w:val="en-US" w:eastAsia="zh-CN"/>
                    </w:rPr>
                    <w:t>1楼</w:t>
                  </w:r>
                </w:p>
              </w:tc>
              <w:tc>
                <w:tcPr>
                  <w:tcW w:w="320" w:type="pct"/>
                  <w:vAlign w:val="center"/>
                </w:tcPr>
                <w:p w14:paraId="2F5E9DB5">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highlight w:val="none"/>
                    </w:rPr>
                  </w:pPr>
                  <w:r>
                    <w:rPr>
                      <w:rFonts w:hint="default" w:ascii="Times New Roman" w:hAnsi="Times New Roman" w:eastAsia="宋体" w:cs="Times New Roman"/>
                      <w:color w:val="auto"/>
                      <w:szCs w:val="21"/>
                      <w:highlight w:val="none"/>
                    </w:rPr>
                    <w:t>新增</w:t>
                  </w:r>
                </w:p>
              </w:tc>
            </w:tr>
            <w:tr w14:paraId="43C379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291" w:type="pct"/>
                  <w:shd w:val="clear" w:color="auto" w:fill="auto"/>
                  <w:vAlign w:val="center"/>
                </w:tcPr>
                <w:p w14:paraId="16780B64">
                  <w:pPr>
                    <w:keepNext w:val="0"/>
                    <w:keepLines w:val="0"/>
                    <w:suppressLineNumbers w:val="0"/>
                    <w:autoSpaceDE w:val="0"/>
                    <w:autoSpaceDN w:val="0"/>
                    <w:spacing w:before="0" w:beforeAutospacing="0" w:after="0" w:afterAutospacing="0"/>
                    <w:ind w:left="0" w:leftChars="0" w:right="0" w:rightChars="0"/>
                    <w:jc w:val="center"/>
                    <w:rPr>
                      <w:rFonts w:hint="default" w:ascii="Times New Roman" w:hAnsi="Times New Roman" w:eastAsia="楷体" w:cs="Times New Roman"/>
                      <w:color w:val="auto"/>
                      <w:kern w:val="2"/>
                      <w:sz w:val="21"/>
                      <w:szCs w:val="21"/>
                      <w:highlight w:val="none"/>
                      <w:lang w:val="en-US" w:eastAsia="zh-CN" w:bidi="ar-SA"/>
                    </w:rPr>
                  </w:pPr>
                  <w:r>
                    <w:rPr>
                      <w:rFonts w:hint="default" w:ascii="Times New Roman" w:hAnsi="Times New Roman" w:eastAsia="楷体" w:cs="Times New Roman"/>
                      <w:color w:val="auto"/>
                      <w:szCs w:val="21"/>
                      <w:highlight w:val="none"/>
                    </w:rPr>
                    <w:t>34</w:t>
                  </w:r>
                </w:p>
              </w:tc>
              <w:tc>
                <w:tcPr>
                  <w:tcW w:w="394" w:type="pct"/>
                  <w:vAlign w:val="center"/>
                </w:tcPr>
                <w:p w14:paraId="1659CBE1">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highlight w:val="none"/>
                      <w:lang w:bidi="ar"/>
                    </w:rPr>
                  </w:pPr>
                  <w:r>
                    <w:rPr>
                      <w:rFonts w:hint="default" w:ascii="Times New Roman" w:hAnsi="Times New Roman" w:eastAsia="宋体" w:cs="Times New Roman"/>
                      <w:color w:val="auto"/>
                      <w:szCs w:val="21"/>
                      <w:highlight w:val="none"/>
                      <w:lang w:bidi="ar"/>
                    </w:rPr>
                    <w:t>激光切割</w:t>
                  </w:r>
                </w:p>
              </w:tc>
              <w:tc>
                <w:tcPr>
                  <w:tcW w:w="660" w:type="pct"/>
                  <w:vAlign w:val="center"/>
                </w:tcPr>
                <w:p w14:paraId="0DEF3455">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color w:val="auto"/>
                      <w:szCs w:val="21"/>
                      <w:highlight w:val="none"/>
                    </w:rPr>
                  </w:pPr>
                  <w:r>
                    <w:rPr>
                      <w:rFonts w:hint="default" w:ascii="Times New Roman" w:hAnsi="Times New Roman" w:eastAsia="宋体" w:cs="Times New Roman"/>
                      <w:color w:val="auto"/>
                      <w:kern w:val="0"/>
                      <w:szCs w:val="21"/>
                      <w:highlight w:val="none"/>
                      <w:lang w:bidi="ar"/>
                    </w:rPr>
                    <w:t>激光切割机</w:t>
                  </w:r>
                </w:p>
              </w:tc>
              <w:tc>
                <w:tcPr>
                  <w:tcW w:w="766" w:type="pct"/>
                  <w:vAlign w:val="center"/>
                </w:tcPr>
                <w:p w14:paraId="2CB76032">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color w:val="auto"/>
                      <w:szCs w:val="21"/>
                      <w:highlight w:val="none"/>
                    </w:rPr>
                  </w:pPr>
                  <w:r>
                    <w:rPr>
                      <w:rFonts w:hint="default" w:ascii="Times New Roman" w:hAnsi="Times New Roman" w:eastAsia="宋体" w:cs="Times New Roman"/>
                      <w:color w:val="auto"/>
                      <w:kern w:val="0"/>
                      <w:szCs w:val="21"/>
                      <w:highlight w:val="none"/>
                      <w:lang w:bidi="ar"/>
                    </w:rPr>
                    <w:t>CO</w:t>
                  </w:r>
                  <w:r>
                    <w:rPr>
                      <w:rFonts w:hint="default" w:ascii="Times New Roman" w:hAnsi="Times New Roman" w:eastAsia="宋体" w:cs="Times New Roman"/>
                      <w:color w:val="auto"/>
                      <w:kern w:val="0"/>
                      <w:szCs w:val="21"/>
                      <w:highlight w:val="none"/>
                      <w:vertAlign w:val="subscript"/>
                      <w:lang w:bidi="ar"/>
                    </w:rPr>
                    <w:t>2</w:t>
                  </w:r>
                </w:p>
              </w:tc>
              <w:tc>
                <w:tcPr>
                  <w:tcW w:w="483" w:type="pct"/>
                  <w:vAlign w:val="center"/>
                </w:tcPr>
                <w:p w14:paraId="3EE47588">
                  <w:pPr>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color w:val="auto"/>
                      <w:kern w:val="0"/>
                      <w:szCs w:val="21"/>
                      <w:highlight w:val="none"/>
                      <w:lang w:bidi="ar"/>
                    </w:rPr>
                  </w:pPr>
                  <w:r>
                    <w:rPr>
                      <w:rFonts w:hint="eastAsia" w:ascii="Times New Roman" w:hAnsi="Times New Roman" w:eastAsia="宋体" w:cs="Times New Roman"/>
                      <w:color w:val="auto"/>
                      <w:szCs w:val="21"/>
                      <w:highlight w:val="none"/>
                      <w:lang w:val="en-US" w:eastAsia="zh-CN" w:bidi="ar"/>
                    </w:rPr>
                    <w:t>0</w:t>
                  </w:r>
                </w:p>
              </w:tc>
              <w:tc>
                <w:tcPr>
                  <w:tcW w:w="417" w:type="pct"/>
                  <w:vAlign w:val="center"/>
                </w:tcPr>
                <w:p w14:paraId="54F83437">
                  <w:pPr>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color w:val="auto"/>
                      <w:kern w:val="0"/>
                      <w:szCs w:val="21"/>
                      <w:highlight w:val="none"/>
                      <w:lang w:bidi="ar"/>
                    </w:rPr>
                  </w:pPr>
                  <w:r>
                    <w:rPr>
                      <w:rFonts w:hint="eastAsia" w:ascii="Times New Roman" w:hAnsi="Times New Roman" w:eastAsia="宋体" w:cs="Times New Roman"/>
                      <w:color w:val="auto"/>
                      <w:szCs w:val="21"/>
                      <w:highlight w:val="none"/>
                      <w:lang w:val="en-US" w:eastAsia="zh-CN" w:bidi="ar"/>
                    </w:rPr>
                    <w:t>0</w:t>
                  </w:r>
                </w:p>
              </w:tc>
              <w:tc>
                <w:tcPr>
                  <w:tcW w:w="592" w:type="pct"/>
                  <w:vAlign w:val="center"/>
                </w:tcPr>
                <w:p w14:paraId="11F2244D">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color w:val="auto"/>
                      <w:szCs w:val="21"/>
                      <w:highlight w:val="none"/>
                    </w:rPr>
                  </w:pPr>
                  <w:r>
                    <w:rPr>
                      <w:rFonts w:hint="default" w:ascii="Times New Roman" w:hAnsi="Times New Roman" w:eastAsia="宋体" w:cs="Times New Roman"/>
                      <w:color w:val="auto"/>
                      <w:kern w:val="0"/>
                      <w:szCs w:val="21"/>
                      <w:highlight w:val="none"/>
                      <w:lang w:bidi="ar"/>
                    </w:rPr>
                    <w:t>4</w:t>
                  </w:r>
                </w:p>
              </w:tc>
              <w:tc>
                <w:tcPr>
                  <w:tcW w:w="537" w:type="pct"/>
                  <w:shd w:val="clear" w:color="auto" w:fill="auto"/>
                  <w:vAlign w:val="center"/>
                </w:tcPr>
                <w:p w14:paraId="7CBC438A">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宋体" w:cs="Times New Roman"/>
                      <w:color w:val="auto"/>
                      <w:kern w:val="2"/>
                      <w:sz w:val="21"/>
                      <w:szCs w:val="21"/>
                      <w:highlight w:val="none"/>
                      <w:lang w:val="en-US" w:eastAsia="zh-CN" w:bidi="ar-SA"/>
                    </w:rPr>
                  </w:pPr>
                  <w:r>
                    <w:rPr>
                      <w:rFonts w:hint="eastAsia" w:ascii="Times New Roman" w:hAnsi="Times New Roman" w:eastAsia="宋体" w:cs="Times New Roman"/>
                      <w:color w:val="auto"/>
                      <w:kern w:val="0"/>
                      <w:szCs w:val="21"/>
                      <w:highlight w:val="none"/>
                      <w:lang w:val="en-US" w:eastAsia="zh-CN" w:bidi="ar"/>
                    </w:rPr>
                    <w:t>+</w:t>
                  </w:r>
                  <w:r>
                    <w:rPr>
                      <w:rFonts w:hint="default" w:ascii="Times New Roman" w:hAnsi="Times New Roman" w:eastAsia="宋体" w:cs="Times New Roman"/>
                      <w:color w:val="auto"/>
                      <w:kern w:val="0"/>
                      <w:szCs w:val="21"/>
                      <w:highlight w:val="none"/>
                      <w:lang w:bidi="ar"/>
                    </w:rPr>
                    <w:t>4</w:t>
                  </w:r>
                </w:p>
              </w:tc>
              <w:tc>
                <w:tcPr>
                  <w:tcW w:w="211" w:type="pct"/>
                  <w:vMerge w:val="continue"/>
                  <w:shd w:val="clear" w:color="auto" w:fill="auto"/>
                  <w:vAlign w:val="center"/>
                </w:tcPr>
                <w:p w14:paraId="42D2C6C4">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宋体" w:cs="Times New Roman"/>
                      <w:color w:val="auto"/>
                      <w:kern w:val="0"/>
                      <w:sz w:val="21"/>
                      <w:szCs w:val="21"/>
                      <w:highlight w:val="none"/>
                      <w:lang w:val="en-US" w:eastAsia="zh-CN" w:bidi="ar-SA"/>
                    </w:rPr>
                  </w:pPr>
                </w:p>
              </w:tc>
              <w:tc>
                <w:tcPr>
                  <w:tcW w:w="325" w:type="pct"/>
                  <w:shd w:val="clear" w:color="auto" w:fill="auto"/>
                  <w:vAlign w:val="center"/>
                </w:tcPr>
                <w:p w14:paraId="416F594F">
                  <w:pPr>
                    <w:keepNext w:val="0"/>
                    <w:keepLines w:val="0"/>
                    <w:widowControl/>
                    <w:suppressLineNumbers w:val="0"/>
                    <w:spacing w:before="0" w:beforeAutospacing="0" w:after="0" w:afterAutospacing="0"/>
                    <w:ind w:left="0" w:leftChars="0" w:right="0" w:rightChars="0"/>
                    <w:jc w:val="center"/>
                    <w:textAlignment w:val="center"/>
                    <w:rPr>
                      <w:rFonts w:hint="eastAsia" w:ascii="Times New Roman" w:hAnsi="Times New Roman" w:eastAsia="宋体" w:cs="Times New Roman"/>
                      <w:color w:val="auto"/>
                      <w:kern w:val="0"/>
                      <w:sz w:val="21"/>
                      <w:szCs w:val="21"/>
                      <w:highlight w:val="none"/>
                      <w:lang w:val="en-US" w:eastAsia="zh-CN" w:bidi="ar-SA"/>
                    </w:rPr>
                  </w:pPr>
                  <w:r>
                    <w:rPr>
                      <w:rFonts w:hint="eastAsia" w:ascii="Times New Roman" w:hAnsi="Times New Roman" w:cs="Times New Roman"/>
                      <w:color w:val="auto"/>
                      <w:kern w:val="2"/>
                      <w:sz w:val="21"/>
                      <w:szCs w:val="21"/>
                      <w:highlight w:val="none"/>
                      <w:lang w:val="en-US" w:eastAsia="zh-CN"/>
                    </w:rPr>
                    <w:t>1楼</w:t>
                  </w:r>
                </w:p>
              </w:tc>
              <w:tc>
                <w:tcPr>
                  <w:tcW w:w="320" w:type="pct"/>
                  <w:vAlign w:val="center"/>
                </w:tcPr>
                <w:p w14:paraId="1167520D">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highlight w:val="none"/>
                    </w:rPr>
                  </w:pPr>
                  <w:r>
                    <w:rPr>
                      <w:rFonts w:hint="default" w:ascii="Times New Roman" w:hAnsi="Times New Roman" w:eastAsia="宋体" w:cs="Times New Roman"/>
                      <w:color w:val="auto"/>
                      <w:szCs w:val="21"/>
                      <w:highlight w:val="none"/>
                    </w:rPr>
                    <w:t>新增</w:t>
                  </w:r>
                </w:p>
              </w:tc>
            </w:tr>
            <w:tr w14:paraId="0DA034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291" w:type="pct"/>
                  <w:shd w:val="clear" w:color="auto" w:fill="auto"/>
                  <w:vAlign w:val="center"/>
                </w:tcPr>
                <w:p w14:paraId="3D15B64B">
                  <w:pPr>
                    <w:keepNext w:val="0"/>
                    <w:keepLines w:val="0"/>
                    <w:suppressLineNumbers w:val="0"/>
                    <w:autoSpaceDE w:val="0"/>
                    <w:autoSpaceDN w:val="0"/>
                    <w:spacing w:before="0" w:beforeAutospacing="0" w:after="0" w:afterAutospacing="0"/>
                    <w:ind w:left="0" w:leftChars="0" w:right="0" w:rightChars="0"/>
                    <w:jc w:val="center"/>
                    <w:rPr>
                      <w:rFonts w:hint="default" w:ascii="Times New Roman" w:hAnsi="Times New Roman" w:eastAsia="楷体" w:cs="Times New Roman"/>
                      <w:color w:val="auto"/>
                      <w:kern w:val="2"/>
                      <w:sz w:val="21"/>
                      <w:szCs w:val="21"/>
                      <w:highlight w:val="none"/>
                      <w:lang w:val="en-US" w:eastAsia="zh-CN" w:bidi="ar-SA"/>
                    </w:rPr>
                  </w:pPr>
                  <w:r>
                    <w:rPr>
                      <w:rFonts w:hint="default" w:ascii="Times New Roman" w:hAnsi="Times New Roman" w:eastAsia="楷体" w:cs="Times New Roman"/>
                      <w:color w:val="auto"/>
                      <w:szCs w:val="21"/>
                      <w:highlight w:val="none"/>
                    </w:rPr>
                    <w:t>35</w:t>
                  </w:r>
                </w:p>
              </w:tc>
              <w:tc>
                <w:tcPr>
                  <w:tcW w:w="394" w:type="pct"/>
                  <w:vAlign w:val="center"/>
                </w:tcPr>
                <w:p w14:paraId="04FF2C79">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highlight w:val="none"/>
                      <w:lang w:bidi="ar"/>
                    </w:rPr>
                  </w:pPr>
                  <w:r>
                    <w:rPr>
                      <w:rFonts w:hint="default" w:ascii="Times New Roman" w:hAnsi="Times New Roman" w:eastAsia="宋体" w:cs="Times New Roman"/>
                      <w:color w:val="auto"/>
                      <w:szCs w:val="21"/>
                      <w:highlight w:val="none"/>
                      <w:lang w:bidi="ar"/>
                    </w:rPr>
                    <w:t>板材包裹</w:t>
                  </w:r>
                </w:p>
              </w:tc>
              <w:tc>
                <w:tcPr>
                  <w:tcW w:w="660" w:type="pct"/>
                  <w:vAlign w:val="center"/>
                </w:tcPr>
                <w:p w14:paraId="4C59CD89">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color w:val="auto"/>
                      <w:szCs w:val="21"/>
                      <w:highlight w:val="none"/>
                    </w:rPr>
                  </w:pPr>
                  <w:r>
                    <w:rPr>
                      <w:rFonts w:hint="default" w:ascii="Times New Roman" w:hAnsi="Times New Roman" w:eastAsia="宋体" w:cs="Times New Roman"/>
                      <w:color w:val="auto"/>
                      <w:kern w:val="0"/>
                      <w:szCs w:val="21"/>
                      <w:highlight w:val="none"/>
                      <w:lang w:bidi="ar"/>
                    </w:rPr>
                    <w:t>三工位贴合机</w:t>
                  </w:r>
                </w:p>
              </w:tc>
              <w:tc>
                <w:tcPr>
                  <w:tcW w:w="766" w:type="pct"/>
                  <w:vAlign w:val="center"/>
                </w:tcPr>
                <w:p w14:paraId="2C2EE7B9">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color w:val="auto"/>
                      <w:szCs w:val="21"/>
                      <w:highlight w:val="none"/>
                    </w:rPr>
                  </w:pPr>
                  <w:r>
                    <w:rPr>
                      <w:rFonts w:hint="default" w:ascii="Times New Roman" w:hAnsi="Times New Roman" w:eastAsia="宋体" w:cs="Times New Roman"/>
                      <w:color w:val="auto"/>
                      <w:kern w:val="0"/>
                      <w:szCs w:val="21"/>
                      <w:highlight w:val="none"/>
                      <w:lang w:bidi="ar"/>
                    </w:rPr>
                    <w:t>WD-T650-3</w:t>
                  </w:r>
                </w:p>
              </w:tc>
              <w:tc>
                <w:tcPr>
                  <w:tcW w:w="483" w:type="pct"/>
                  <w:vAlign w:val="center"/>
                </w:tcPr>
                <w:p w14:paraId="3E76ED05">
                  <w:pPr>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color w:val="auto"/>
                      <w:kern w:val="0"/>
                      <w:szCs w:val="21"/>
                      <w:highlight w:val="none"/>
                      <w:lang w:bidi="ar"/>
                    </w:rPr>
                  </w:pPr>
                  <w:r>
                    <w:rPr>
                      <w:rFonts w:hint="eastAsia" w:ascii="Times New Roman" w:hAnsi="Times New Roman" w:eastAsia="宋体" w:cs="Times New Roman"/>
                      <w:color w:val="auto"/>
                      <w:szCs w:val="21"/>
                      <w:highlight w:val="none"/>
                      <w:lang w:val="en-US" w:eastAsia="zh-CN" w:bidi="ar"/>
                    </w:rPr>
                    <w:t>0</w:t>
                  </w:r>
                </w:p>
              </w:tc>
              <w:tc>
                <w:tcPr>
                  <w:tcW w:w="417" w:type="pct"/>
                  <w:vAlign w:val="center"/>
                </w:tcPr>
                <w:p w14:paraId="6487E5A1">
                  <w:pPr>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color w:val="auto"/>
                      <w:kern w:val="0"/>
                      <w:szCs w:val="21"/>
                      <w:highlight w:val="none"/>
                      <w:lang w:bidi="ar"/>
                    </w:rPr>
                  </w:pPr>
                  <w:r>
                    <w:rPr>
                      <w:rFonts w:hint="eastAsia" w:ascii="Times New Roman" w:hAnsi="Times New Roman" w:eastAsia="宋体" w:cs="Times New Roman"/>
                      <w:color w:val="auto"/>
                      <w:szCs w:val="21"/>
                      <w:highlight w:val="none"/>
                      <w:lang w:val="en-US" w:eastAsia="zh-CN" w:bidi="ar"/>
                    </w:rPr>
                    <w:t>0</w:t>
                  </w:r>
                </w:p>
              </w:tc>
              <w:tc>
                <w:tcPr>
                  <w:tcW w:w="592" w:type="pct"/>
                  <w:vAlign w:val="center"/>
                </w:tcPr>
                <w:p w14:paraId="1E7C6DB7">
                  <w:pPr>
                    <w:keepNext w:val="0"/>
                    <w:keepLines w:val="0"/>
                    <w:widowControl/>
                    <w:suppressLineNumbers w:val="0"/>
                    <w:spacing w:before="0" w:beforeAutospacing="0" w:after="0" w:afterAutospacing="0"/>
                    <w:ind w:left="0" w:right="0"/>
                    <w:jc w:val="center"/>
                    <w:textAlignment w:val="center"/>
                    <w:rPr>
                      <w:rFonts w:hint="eastAsia" w:ascii="Times New Roman" w:hAnsi="Times New Roman" w:eastAsia="宋体" w:cs="Times New Roman"/>
                      <w:color w:val="auto"/>
                      <w:szCs w:val="21"/>
                      <w:highlight w:val="none"/>
                    </w:rPr>
                  </w:pPr>
                  <w:r>
                    <w:rPr>
                      <w:rFonts w:hint="eastAsia" w:ascii="Times New Roman" w:hAnsi="Times New Roman" w:eastAsia="宋体" w:cs="Times New Roman"/>
                      <w:color w:val="auto"/>
                      <w:kern w:val="0"/>
                      <w:szCs w:val="21"/>
                      <w:highlight w:val="none"/>
                      <w:lang w:bidi="ar"/>
                    </w:rPr>
                    <w:t>5</w:t>
                  </w:r>
                </w:p>
              </w:tc>
              <w:tc>
                <w:tcPr>
                  <w:tcW w:w="537" w:type="pct"/>
                  <w:shd w:val="clear" w:color="auto" w:fill="auto"/>
                  <w:vAlign w:val="center"/>
                </w:tcPr>
                <w:p w14:paraId="2423E339">
                  <w:pPr>
                    <w:keepNext w:val="0"/>
                    <w:keepLines w:val="0"/>
                    <w:widowControl/>
                    <w:suppressLineNumbers w:val="0"/>
                    <w:spacing w:before="0" w:beforeAutospacing="0" w:after="0" w:afterAutospacing="0"/>
                    <w:ind w:left="0" w:leftChars="0" w:right="0" w:rightChars="0"/>
                    <w:jc w:val="center"/>
                    <w:textAlignment w:val="center"/>
                    <w:rPr>
                      <w:rFonts w:hint="eastAsia" w:ascii="Times New Roman" w:hAnsi="Times New Roman" w:eastAsia="宋体" w:cs="Times New Roman"/>
                      <w:color w:val="auto"/>
                      <w:kern w:val="2"/>
                      <w:sz w:val="21"/>
                      <w:szCs w:val="21"/>
                      <w:highlight w:val="none"/>
                      <w:lang w:val="en-US" w:eastAsia="zh-CN" w:bidi="ar-SA"/>
                    </w:rPr>
                  </w:pPr>
                  <w:r>
                    <w:rPr>
                      <w:rFonts w:hint="eastAsia" w:ascii="Times New Roman" w:hAnsi="Times New Roman" w:eastAsia="宋体" w:cs="Times New Roman"/>
                      <w:color w:val="auto"/>
                      <w:kern w:val="0"/>
                      <w:szCs w:val="21"/>
                      <w:highlight w:val="none"/>
                      <w:lang w:val="en-US" w:eastAsia="zh-CN" w:bidi="ar"/>
                    </w:rPr>
                    <w:t>+</w:t>
                  </w:r>
                  <w:r>
                    <w:rPr>
                      <w:rFonts w:hint="eastAsia" w:ascii="Times New Roman" w:hAnsi="Times New Roman" w:eastAsia="宋体" w:cs="Times New Roman"/>
                      <w:color w:val="auto"/>
                      <w:kern w:val="0"/>
                      <w:szCs w:val="21"/>
                      <w:highlight w:val="none"/>
                      <w:lang w:bidi="ar"/>
                    </w:rPr>
                    <w:t>5</w:t>
                  </w:r>
                </w:p>
              </w:tc>
              <w:tc>
                <w:tcPr>
                  <w:tcW w:w="211" w:type="pct"/>
                  <w:vMerge w:val="continue"/>
                  <w:shd w:val="clear" w:color="auto" w:fill="auto"/>
                  <w:vAlign w:val="center"/>
                </w:tcPr>
                <w:p w14:paraId="17434954">
                  <w:pPr>
                    <w:keepNext w:val="0"/>
                    <w:keepLines w:val="0"/>
                    <w:widowControl/>
                    <w:suppressLineNumbers w:val="0"/>
                    <w:spacing w:before="0" w:beforeAutospacing="0" w:after="0" w:afterAutospacing="0"/>
                    <w:ind w:left="0" w:leftChars="0" w:right="0" w:rightChars="0"/>
                    <w:jc w:val="center"/>
                    <w:textAlignment w:val="center"/>
                    <w:rPr>
                      <w:rFonts w:hint="eastAsia" w:ascii="Times New Roman" w:hAnsi="Times New Roman" w:eastAsia="宋体" w:cs="Times New Roman"/>
                      <w:color w:val="auto"/>
                      <w:kern w:val="0"/>
                      <w:sz w:val="21"/>
                      <w:szCs w:val="21"/>
                      <w:highlight w:val="none"/>
                      <w:lang w:val="en-US" w:eastAsia="zh-CN" w:bidi="ar-SA"/>
                    </w:rPr>
                  </w:pPr>
                </w:p>
              </w:tc>
              <w:tc>
                <w:tcPr>
                  <w:tcW w:w="325" w:type="pct"/>
                  <w:shd w:val="clear" w:color="auto" w:fill="auto"/>
                  <w:vAlign w:val="center"/>
                </w:tcPr>
                <w:p w14:paraId="4983ED4E">
                  <w:pPr>
                    <w:keepNext w:val="0"/>
                    <w:keepLines w:val="0"/>
                    <w:widowControl/>
                    <w:suppressLineNumbers w:val="0"/>
                    <w:spacing w:before="0" w:beforeAutospacing="0" w:after="0" w:afterAutospacing="0"/>
                    <w:ind w:left="0" w:leftChars="0" w:right="0" w:rightChars="0"/>
                    <w:jc w:val="center"/>
                    <w:textAlignment w:val="center"/>
                    <w:rPr>
                      <w:rFonts w:hint="eastAsia" w:ascii="Times New Roman" w:hAnsi="Times New Roman" w:eastAsia="宋体" w:cs="Times New Roman"/>
                      <w:color w:val="auto"/>
                      <w:kern w:val="0"/>
                      <w:sz w:val="21"/>
                      <w:szCs w:val="21"/>
                      <w:highlight w:val="none"/>
                      <w:lang w:val="en-US" w:eastAsia="zh-CN" w:bidi="ar-SA"/>
                    </w:rPr>
                  </w:pPr>
                  <w:r>
                    <w:rPr>
                      <w:rFonts w:hint="eastAsia" w:ascii="Times New Roman" w:hAnsi="Times New Roman" w:cs="Times New Roman"/>
                      <w:color w:val="auto"/>
                      <w:kern w:val="2"/>
                      <w:sz w:val="21"/>
                      <w:szCs w:val="21"/>
                      <w:highlight w:val="none"/>
                      <w:lang w:val="en-US" w:eastAsia="zh-CN"/>
                    </w:rPr>
                    <w:t>1楼</w:t>
                  </w:r>
                </w:p>
              </w:tc>
              <w:tc>
                <w:tcPr>
                  <w:tcW w:w="320" w:type="pct"/>
                  <w:vAlign w:val="center"/>
                </w:tcPr>
                <w:p w14:paraId="2689C03A">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highlight w:val="none"/>
                    </w:rPr>
                  </w:pPr>
                  <w:r>
                    <w:rPr>
                      <w:rFonts w:hint="default" w:ascii="Times New Roman" w:hAnsi="Times New Roman" w:eastAsia="宋体" w:cs="Times New Roman"/>
                      <w:color w:val="auto"/>
                      <w:szCs w:val="21"/>
                      <w:highlight w:val="none"/>
                    </w:rPr>
                    <w:t>新增</w:t>
                  </w:r>
                </w:p>
              </w:tc>
            </w:tr>
            <w:tr w14:paraId="1216E0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291" w:type="pct"/>
                  <w:shd w:val="clear" w:color="auto" w:fill="auto"/>
                  <w:vAlign w:val="center"/>
                </w:tcPr>
                <w:p w14:paraId="55FCC5A1">
                  <w:pPr>
                    <w:keepNext w:val="0"/>
                    <w:keepLines w:val="0"/>
                    <w:suppressLineNumbers w:val="0"/>
                    <w:autoSpaceDE w:val="0"/>
                    <w:autoSpaceDN w:val="0"/>
                    <w:spacing w:before="0" w:beforeAutospacing="0" w:after="0" w:afterAutospacing="0"/>
                    <w:ind w:left="0" w:leftChars="0" w:right="0" w:rightChars="0"/>
                    <w:jc w:val="center"/>
                    <w:rPr>
                      <w:rFonts w:hint="default" w:ascii="Times New Roman" w:hAnsi="Times New Roman" w:eastAsia="楷体" w:cs="Times New Roman"/>
                      <w:color w:val="auto"/>
                      <w:kern w:val="2"/>
                      <w:sz w:val="21"/>
                      <w:szCs w:val="21"/>
                      <w:highlight w:val="none"/>
                      <w:lang w:val="en-US" w:eastAsia="zh-CN" w:bidi="ar-SA"/>
                    </w:rPr>
                  </w:pPr>
                  <w:r>
                    <w:rPr>
                      <w:rFonts w:hint="default" w:ascii="Times New Roman" w:hAnsi="Times New Roman" w:eastAsia="楷体" w:cs="Times New Roman"/>
                      <w:color w:val="auto"/>
                      <w:szCs w:val="21"/>
                      <w:highlight w:val="none"/>
                    </w:rPr>
                    <w:t>36</w:t>
                  </w:r>
                </w:p>
              </w:tc>
              <w:tc>
                <w:tcPr>
                  <w:tcW w:w="394" w:type="pct"/>
                  <w:vAlign w:val="center"/>
                </w:tcPr>
                <w:p w14:paraId="5D36A40D">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highlight w:val="none"/>
                      <w:lang w:bidi="ar"/>
                    </w:rPr>
                  </w:pPr>
                  <w:r>
                    <w:rPr>
                      <w:rFonts w:hint="default" w:ascii="Times New Roman" w:hAnsi="Times New Roman" w:eastAsia="宋体" w:cs="Times New Roman"/>
                      <w:color w:val="auto"/>
                      <w:szCs w:val="21"/>
                      <w:highlight w:val="none"/>
                      <w:lang w:bidi="ar"/>
                    </w:rPr>
                    <w:t>真空热合</w:t>
                  </w:r>
                </w:p>
              </w:tc>
              <w:tc>
                <w:tcPr>
                  <w:tcW w:w="660" w:type="pct"/>
                  <w:vAlign w:val="center"/>
                </w:tcPr>
                <w:p w14:paraId="14407C83">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color w:val="auto"/>
                      <w:szCs w:val="21"/>
                      <w:highlight w:val="none"/>
                    </w:rPr>
                  </w:pPr>
                  <w:r>
                    <w:rPr>
                      <w:rFonts w:hint="default" w:ascii="Times New Roman" w:hAnsi="Times New Roman" w:eastAsia="宋体" w:cs="Times New Roman"/>
                      <w:color w:val="auto"/>
                      <w:kern w:val="0"/>
                      <w:szCs w:val="21"/>
                      <w:highlight w:val="none"/>
                      <w:lang w:bidi="ar"/>
                    </w:rPr>
                    <w:t>真空热合机</w:t>
                  </w:r>
                </w:p>
              </w:tc>
              <w:tc>
                <w:tcPr>
                  <w:tcW w:w="766" w:type="pct"/>
                  <w:vAlign w:val="center"/>
                </w:tcPr>
                <w:p w14:paraId="08F575C0">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color w:val="auto"/>
                      <w:szCs w:val="21"/>
                      <w:highlight w:val="none"/>
                    </w:rPr>
                  </w:pPr>
                  <w:r>
                    <w:rPr>
                      <w:rFonts w:hint="default" w:ascii="Times New Roman" w:hAnsi="Times New Roman" w:eastAsia="宋体" w:cs="Times New Roman"/>
                      <w:color w:val="auto"/>
                      <w:kern w:val="0"/>
                      <w:szCs w:val="21"/>
                      <w:highlight w:val="none"/>
                      <w:lang w:bidi="ar"/>
                    </w:rPr>
                    <w:t>WD-RY60120</w:t>
                  </w:r>
                </w:p>
              </w:tc>
              <w:tc>
                <w:tcPr>
                  <w:tcW w:w="483" w:type="pct"/>
                  <w:vAlign w:val="center"/>
                </w:tcPr>
                <w:p w14:paraId="709B82C7">
                  <w:pPr>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color w:val="auto"/>
                      <w:kern w:val="0"/>
                      <w:szCs w:val="21"/>
                      <w:highlight w:val="none"/>
                      <w:lang w:bidi="ar"/>
                    </w:rPr>
                  </w:pPr>
                  <w:r>
                    <w:rPr>
                      <w:rFonts w:hint="eastAsia" w:ascii="Times New Roman" w:hAnsi="Times New Roman" w:eastAsia="宋体" w:cs="Times New Roman"/>
                      <w:color w:val="auto"/>
                      <w:szCs w:val="21"/>
                      <w:highlight w:val="none"/>
                      <w:lang w:val="en-US" w:eastAsia="zh-CN" w:bidi="ar"/>
                    </w:rPr>
                    <w:t>0</w:t>
                  </w:r>
                </w:p>
              </w:tc>
              <w:tc>
                <w:tcPr>
                  <w:tcW w:w="417" w:type="pct"/>
                  <w:vAlign w:val="center"/>
                </w:tcPr>
                <w:p w14:paraId="68FFFA6F">
                  <w:pPr>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color w:val="auto"/>
                      <w:kern w:val="0"/>
                      <w:szCs w:val="21"/>
                      <w:highlight w:val="none"/>
                      <w:lang w:bidi="ar"/>
                    </w:rPr>
                  </w:pPr>
                  <w:r>
                    <w:rPr>
                      <w:rFonts w:hint="eastAsia" w:ascii="Times New Roman" w:hAnsi="Times New Roman" w:eastAsia="宋体" w:cs="Times New Roman"/>
                      <w:color w:val="auto"/>
                      <w:szCs w:val="21"/>
                      <w:highlight w:val="none"/>
                      <w:lang w:val="en-US" w:eastAsia="zh-CN" w:bidi="ar"/>
                    </w:rPr>
                    <w:t>0</w:t>
                  </w:r>
                </w:p>
              </w:tc>
              <w:tc>
                <w:tcPr>
                  <w:tcW w:w="592" w:type="pct"/>
                  <w:vAlign w:val="center"/>
                </w:tcPr>
                <w:p w14:paraId="4BB2F727">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color w:val="auto"/>
                      <w:szCs w:val="21"/>
                      <w:highlight w:val="none"/>
                    </w:rPr>
                  </w:pPr>
                  <w:r>
                    <w:rPr>
                      <w:rFonts w:hint="default" w:ascii="Times New Roman" w:hAnsi="Times New Roman" w:eastAsia="宋体" w:cs="Times New Roman"/>
                      <w:color w:val="auto"/>
                      <w:kern w:val="0"/>
                      <w:szCs w:val="21"/>
                      <w:highlight w:val="none"/>
                      <w:lang w:bidi="ar"/>
                    </w:rPr>
                    <w:t>10</w:t>
                  </w:r>
                </w:p>
              </w:tc>
              <w:tc>
                <w:tcPr>
                  <w:tcW w:w="537" w:type="pct"/>
                  <w:shd w:val="clear" w:color="auto" w:fill="auto"/>
                  <w:vAlign w:val="center"/>
                </w:tcPr>
                <w:p w14:paraId="65113480">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宋体" w:cs="Times New Roman"/>
                      <w:color w:val="auto"/>
                      <w:kern w:val="2"/>
                      <w:sz w:val="21"/>
                      <w:szCs w:val="21"/>
                      <w:highlight w:val="none"/>
                      <w:lang w:val="en-US" w:eastAsia="zh-CN" w:bidi="ar-SA"/>
                    </w:rPr>
                  </w:pPr>
                  <w:r>
                    <w:rPr>
                      <w:rFonts w:hint="eastAsia" w:ascii="Times New Roman" w:hAnsi="Times New Roman" w:eastAsia="宋体" w:cs="Times New Roman"/>
                      <w:color w:val="auto"/>
                      <w:kern w:val="0"/>
                      <w:szCs w:val="21"/>
                      <w:highlight w:val="none"/>
                      <w:lang w:val="en-US" w:eastAsia="zh-CN" w:bidi="ar"/>
                    </w:rPr>
                    <w:t>+</w:t>
                  </w:r>
                  <w:r>
                    <w:rPr>
                      <w:rFonts w:hint="default" w:ascii="Times New Roman" w:hAnsi="Times New Roman" w:eastAsia="宋体" w:cs="Times New Roman"/>
                      <w:color w:val="auto"/>
                      <w:kern w:val="0"/>
                      <w:szCs w:val="21"/>
                      <w:highlight w:val="none"/>
                      <w:lang w:bidi="ar"/>
                    </w:rPr>
                    <w:t>10</w:t>
                  </w:r>
                </w:p>
              </w:tc>
              <w:tc>
                <w:tcPr>
                  <w:tcW w:w="211" w:type="pct"/>
                  <w:vMerge w:val="continue"/>
                  <w:shd w:val="clear" w:color="auto" w:fill="auto"/>
                  <w:vAlign w:val="center"/>
                </w:tcPr>
                <w:p w14:paraId="15FA928E">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宋体" w:cs="Times New Roman"/>
                      <w:color w:val="auto"/>
                      <w:kern w:val="0"/>
                      <w:sz w:val="21"/>
                      <w:szCs w:val="21"/>
                      <w:highlight w:val="none"/>
                      <w:lang w:val="en-US" w:eastAsia="zh-CN" w:bidi="ar-SA"/>
                    </w:rPr>
                  </w:pPr>
                </w:p>
              </w:tc>
              <w:tc>
                <w:tcPr>
                  <w:tcW w:w="325" w:type="pct"/>
                  <w:shd w:val="clear" w:color="auto" w:fill="auto"/>
                  <w:vAlign w:val="center"/>
                </w:tcPr>
                <w:p w14:paraId="52662F31">
                  <w:pPr>
                    <w:keepNext w:val="0"/>
                    <w:keepLines w:val="0"/>
                    <w:widowControl/>
                    <w:suppressLineNumbers w:val="0"/>
                    <w:spacing w:before="0" w:beforeAutospacing="0" w:after="0" w:afterAutospacing="0"/>
                    <w:ind w:left="0" w:leftChars="0" w:right="0" w:rightChars="0"/>
                    <w:jc w:val="center"/>
                    <w:textAlignment w:val="center"/>
                    <w:rPr>
                      <w:rFonts w:hint="eastAsia" w:ascii="Times New Roman" w:hAnsi="Times New Roman" w:eastAsia="宋体" w:cs="Times New Roman"/>
                      <w:color w:val="auto"/>
                      <w:kern w:val="0"/>
                      <w:sz w:val="21"/>
                      <w:szCs w:val="21"/>
                      <w:highlight w:val="none"/>
                      <w:lang w:val="en-US" w:eastAsia="zh-CN" w:bidi="ar-SA"/>
                    </w:rPr>
                  </w:pPr>
                  <w:r>
                    <w:rPr>
                      <w:rFonts w:hint="eastAsia" w:ascii="Times New Roman" w:hAnsi="Times New Roman" w:cs="Times New Roman"/>
                      <w:color w:val="auto"/>
                      <w:kern w:val="2"/>
                      <w:sz w:val="21"/>
                      <w:szCs w:val="21"/>
                      <w:highlight w:val="none"/>
                      <w:lang w:val="en-US" w:eastAsia="zh-CN"/>
                    </w:rPr>
                    <w:t>1楼</w:t>
                  </w:r>
                </w:p>
              </w:tc>
              <w:tc>
                <w:tcPr>
                  <w:tcW w:w="320" w:type="pct"/>
                  <w:vAlign w:val="center"/>
                </w:tcPr>
                <w:p w14:paraId="2BC07A0C">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highlight w:val="none"/>
                    </w:rPr>
                  </w:pPr>
                  <w:r>
                    <w:rPr>
                      <w:rFonts w:hint="default" w:ascii="Times New Roman" w:hAnsi="Times New Roman" w:eastAsia="宋体" w:cs="Times New Roman"/>
                      <w:color w:val="auto"/>
                      <w:szCs w:val="21"/>
                      <w:highlight w:val="none"/>
                    </w:rPr>
                    <w:t>新增</w:t>
                  </w:r>
                </w:p>
              </w:tc>
            </w:tr>
            <w:tr w14:paraId="00E213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291" w:type="pct"/>
                  <w:shd w:val="clear" w:color="auto" w:fill="auto"/>
                  <w:vAlign w:val="center"/>
                </w:tcPr>
                <w:p w14:paraId="12BE966C">
                  <w:pPr>
                    <w:keepNext w:val="0"/>
                    <w:keepLines w:val="0"/>
                    <w:suppressLineNumbers w:val="0"/>
                    <w:autoSpaceDE w:val="0"/>
                    <w:autoSpaceDN w:val="0"/>
                    <w:spacing w:before="0" w:beforeAutospacing="0" w:after="0" w:afterAutospacing="0"/>
                    <w:ind w:left="0" w:leftChars="0" w:right="0" w:rightChars="0"/>
                    <w:jc w:val="center"/>
                    <w:rPr>
                      <w:rFonts w:hint="default" w:ascii="Times New Roman" w:hAnsi="Times New Roman" w:eastAsia="楷体" w:cs="Times New Roman"/>
                      <w:color w:val="auto"/>
                      <w:kern w:val="2"/>
                      <w:sz w:val="21"/>
                      <w:szCs w:val="21"/>
                      <w:highlight w:val="none"/>
                      <w:lang w:val="en-US" w:eastAsia="zh-CN" w:bidi="ar-SA"/>
                    </w:rPr>
                  </w:pPr>
                  <w:r>
                    <w:rPr>
                      <w:rFonts w:hint="default" w:ascii="Times New Roman" w:hAnsi="Times New Roman" w:eastAsia="楷体" w:cs="Times New Roman"/>
                      <w:color w:val="auto"/>
                      <w:szCs w:val="21"/>
                      <w:highlight w:val="none"/>
                    </w:rPr>
                    <w:t>37</w:t>
                  </w:r>
                </w:p>
              </w:tc>
              <w:tc>
                <w:tcPr>
                  <w:tcW w:w="394" w:type="pct"/>
                  <w:vAlign w:val="center"/>
                </w:tcPr>
                <w:p w14:paraId="349D6FEC">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highlight w:val="none"/>
                      <w:lang w:bidi="ar"/>
                    </w:rPr>
                  </w:pPr>
                  <w:r>
                    <w:rPr>
                      <w:rFonts w:hint="default" w:ascii="Times New Roman" w:hAnsi="Times New Roman" w:eastAsia="宋体" w:cs="Times New Roman"/>
                      <w:color w:val="auto"/>
                      <w:szCs w:val="21"/>
                      <w:highlight w:val="none"/>
                      <w:lang w:bidi="ar"/>
                    </w:rPr>
                    <w:t>修边裁切</w:t>
                  </w:r>
                </w:p>
              </w:tc>
              <w:tc>
                <w:tcPr>
                  <w:tcW w:w="660" w:type="pct"/>
                  <w:vAlign w:val="center"/>
                </w:tcPr>
                <w:p w14:paraId="16DB7D8A">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color w:val="auto"/>
                      <w:szCs w:val="21"/>
                      <w:highlight w:val="none"/>
                    </w:rPr>
                  </w:pPr>
                  <w:r>
                    <w:rPr>
                      <w:rFonts w:hint="default" w:ascii="Times New Roman" w:hAnsi="Times New Roman" w:eastAsia="宋体" w:cs="Times New Roman"/>
                      <w:color w:val="auto"/>
                      <w:kern w:val="0"/>
                      <w:szCs w:val="21"/>
                      <w:highlight w:val="none"/>
                      <w:lang w:bidi="ar"/>
                    </w:rPr>
                    <w:t>贴合裁切一体机</w:t>
                  </w:r>
                </w:p>
              </w:tc>
              <w:tc>
                <w:tcPr>
                  <w:tcW w:w="766" w:type="pct"/>
                  <w:vAlign w:val="center"/>
                </w:tcPr>
                <w:p w14:paraId="7D6BD193">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color w:val="auto"/>
                      <w:szCs w:val="21"/>
                      <w:highlight w:val="none"/>
                    </w:rPr>
                  </w:pPr>
                  <w:r>
                    <w:rPr>
                      <w:rFonts w:hint="default" w:ascii="Times New Roman" w:hAnsi="Times New Roman" w:eastAsia="宋体" w:cs="Times New Roman"/>
                      <w:color w:val="auto"/>
                      <w:kern w:val="0"/>
                      <w:szCs w:val="21"/>
                      <w:highlight w:val="none"/>
                      <w:lang w:bidi="ar"/>
                    </w:rPr>
                    <w:t>WD-THJ750-3</w:t>
                  </w:r>
                </w:p>
              </w:tc>
              <w:tc>
                <w:tcPr>
                  <w:tcW w:w="483" w:type="pct"/>
                  <w:vAlign w:val="center"/>
                </w:tcPr>
                <w:p w14:paraId="606646F9">
                  <w:pPr>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color w:val="auto"/>
                      <w:kern w:val="0"/>
                      <w:szCs w:val="21"/>
                      <w:highlight w:val="none"/>
                      <w:lang w:bidi="ar"/>
                    </w:rPr>
                  </w:pPr>
                  <w:r>
                    <w:rPr>
                      <w:rFonts w:hint="eastAsia" w:ascii="Times New Roman" w:hAnsi="Times New Roman" w:eastAsia="宋体" w:cs="Times New Roman"/>
                      <w:color w:val="auto"/>
                      <w:szCs w:val="21"/>
                      <w:highlight w:val="none"/>
                      <w:lang w:val="en-US" w:eastAsia="zh-CN" w:bidi="ar"/>
                    </w:rPr>
                    <w:t>0</w:t>
                  </w:r>
                </w:p>
              </w:tc>
              <w:tc>
                <w:tcPr>
                  <w:tcW w:w="417" w:type="pct"/>
                  <w:vAlign w:val="center"/>
                </w:tcPr>
                <w:p w14:paraId="0AF794BF">
                  <w:pPr>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color w:val="auto"/>
                      <w:kern w:val="0"/>
                      <w:szCs w:val="21"/>
                      <w:highlight w:val="none"/>
                      <w:lang w:bidi="ar"/>
                    </w:rPr>
                  </w:pPr>
                  <w:r>
                    <w:rPr>
                      <w:rFonts w:hint="eastAsia" w:ascii="Times New Roman" w:hAnsi="Times New Roman" w:eastAsia="宋体" w:cs="Times New Roman"/>
                      <w:color w:val="auto"/>
                      <w:szCs w:val="21"/>
                      <w:highlight w:val="none"/>
                      <w:lang w:val="en-US" w:eastAsia="zh-CN" w:bidi="ar"/>
                    </w:rPr>
                    <w:t>0</w:t>
                  </w:r>
                </w:p>
              </w:tc>
              <w:tc>
                <w:tcPr>
                  <w:tcW w:w="592" w:type="pct"/>
                  <w:vAlign w:val="center"/>
                </w:tcPr>
                <w:p w14:paraId="2C53E851">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color w:val="auto"/>
                      <w:szCs w:val="21"/>
                      <w:highlight w:val="none"/>
                    </w:rPr>
                  </w:pPr>
                  <w:r>
                    <w:rPr>
                      <w:rFonts w:hint="default" w:ascii="Times New Roman" w:hAnsi="Times New Roman" w:eastAsia="宋体" w:cs="Times New Roman"/>
                      <w:color w:val="auto"/>
                      <w:kern w:val="0"/>
                      <w:szCs w:val="21"/>
                      <w:highlight w:val="none"/>
                      <w:lang w:bidi="ar"/>
                    </w:rPr>
                    <w:t>12</w:t>
                  </w:r>
                </w:p>
              </w:tc>
              <w:tc>
                <w:tcPr>
                  <w:tcW w:w="537" w:type="pct"/>
                  <w:shd w:val="clear" w:color="auto" w:fill="auto"/>
                  <w:vAlign w:val="center"/>
                </w:tcPr>
                <w:p w14:paraId="48C29840">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宋体" w:cs="Times New Roman"/>
                      <w:color w:val="auto"/>
                      <w:kern w:val="2"/>
                      <w:sz w:val="21"/>
                      <w:szCs w:val="21"/>
                      <w:highlight w:val="none"/>
                      <w:lang w:val="en-US" w:eastAsia="zh-CN" w:bidi="ar-SA"/>
                    </w:rPr>
                  </w:pPr>
                  <w:r>
                    <w:rPr>
                      <w:rFonts w:hint="eastAsia" w:ascii="Times New Roman" w:hAnsi="Times New Roman" w:eastAsia="宋体" w:cs="Times New Roman"/>
                      <w:color w:val="auto"/>
                      <w:kern w:val="0"/>
                      <w:szCs w:val="21"/>
                      <w:highlight w:val="none"/>
                      <w:lang w:val="en-US" w:eastAsia="zh-CN" w:bidi="ar"/>
                    </w:rPr>
                    <w:t>+</w:t>
                  </w:r>
                  <w:r>
                    <w:rPr>
                      <w:rFonts w:hint="default" w:ascii="Times New Roman" w:hAnsi="Times New Roman" w:eastAsia="宋体" w:cs="Times New Roman"/>
                      <w:color w:val="auto"/>
                      <w:kern w:val="0"/>
                      <w:szCs w:val="21"/>
                      <w:highlight w:val="none"/>
                      <w:lang w:bidi="ar"/>
                    </w:rPr>
                    <w:t>12</w:t>
                  </w:r>
                </w:p>
              </w:tc>
              <w:tc>
                <w:tcPr>
                  <w:tcW w:w="211" w:type="pct"/>
                  <w:vMerge w:val="continue"/>
                  <w:shd w:val="clear" w:color="auto" w:fill="auto"/>
                  <w:vAlign w:val="center"/>
                </w:tcPr>
                <w:p w14:paraId="6E8994E1">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宋体" w:cs="Times New Roman"/>
                      <w:color w:val="auto"/>
                      <w:kern w:val="0"/>
                      <w:sz w:val="21"/>
                      <w:szCs w:val="21"/>
                      <w:highlight w:val="none"/>
                      <w:lang w:val="en-US" w:eastAsia="zh-CN" w:bidi="ar-SA"/>
                    </w:rPr>
                  </w:pPr>
                </w:p>
              </w:tc>
              <w:tc>
                <w:tcPr>
                  <w:tcW w:w="325" w:type="pct"/>
                  <w:shd w:val="clear" w:color="auto" w:fill="auto"/>
                  <w:vAlign w:val="center"/>
                </w:tcPr>
                <w:p w14:paraId="195B3338">
                  <w:pPr>
                    <w:keepNext w:val="0"/>
                    <w:keepLines w:val="0"/>
                    <w:widowControl/>
                    <w:suppressLineNumbers w:val="0"/>
                    <w:spacing w:before="0" w:beforeAutospacing="0" w:after="0" w:afterAutospacing="0"/>
                    <w:ind w:left="0" w:leftChars="0" w:right="0" w:rightChars="0"/>
                    <w:jc w:val="center"/>
                    <w:textAlignment w:val="center"/>
                    <w:rPr>
                      <w:rFonts w:hint="eastAsia" w:ascii="Times New Roman" w:hAnsi="Times New Roman" w:eastAsia="宋体" w:cs="Times New Roman"/>
                      <w:color w:val="auto"/>
                      <w:kern w:val="0"/>
                      <w:sz w:val="21"/>
                      <w:szCs w:val="21"/>
                      <w:highlight w:val="none"/>
                      <w:lang w:val="en-US" w:eastAsia="zh-CN" w:bidi="ar-SA"/>
                    </w:rPr>
                  </w:pPr>
                  <w:r>
                    <w:rPr>
                      <w:rFonts w:hint="eastAsia" w:ascii="Times New Roman" w:hAnsi="Times New Roman" w:cs="Times New Roman"/>
                      <w:color w:val="auto"/>
                      <w:kern w:val="2"/>
                      <w:sz w:val="21"/>
                      <w:szCs w:val="21"/>
                      <w:highlight w:val="none"/>
                      <w:lang w:val="en-US" w:eastAsia="zh-CN"/>
                    </w:rPr>
                    <w:t>1楼</w:t>
                  </w:r>
                </w:p>
              </w:tc>
              <w:tc>
                <w:tcPr>
                  <w:tcW w:w="320" w:type="pct"/>
                  <w:vAlign w:val="center"/>
                </w:tcPr>
                <w:p w14:paraId="2A044544">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highlight w:val="none"/>
                    </w:rPr>
                  </w:pPr>
                  <w:r>
                    <w:rPr>
                      <w:rFonts w:hint="default" w:ascii="Times New Roman" w:hAnsi="Times New Roman" w:eastAsia="宋体" w:cs="Times New Roman"/>
                      <w:color w:val="auto"/>
                      <w:szCs w:val="21"/>
                      <w:highlight w:val="none"/>
                    </w:rPr>
                    <w:t>新增</w:t>
                  </w:r>
                </w:p>
              </w:tc>
            </w:tr>
            <w:tr w14:paraId="429143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291" w:type="pct"/>
                  <w:shd w:val="clear" w:color="auto" w:fill="auto"/>
                  <w:vAlign w:val="center"/>
                </w:tcPr>
                <w:p w14:paraId="7C0E2343">
                  <w:pPr>
                    <w:keepNext w:val="0"/>
                    <w:keepLines w:val="0"/>
                    <w:suppressLineNumbers w:val="0"/>
                    <w:autoSpaceDE w:val="0"/>
                    <w:autoSpaceDN w:val="0"/>
                    <w:spacing w:before="0" w:beforeAutospacing="0" w:after="0" w:afterAutospacing="0"/>
                    <w:ind w:left="0" w:leftChars="0" w:right="0" w:rightChars="0"/>
                    <w:jc w:val="center"/>
                    <w:rPr>
                      <w:rFonts w:hint="default" w:ascii="Times New Roman" w:hAnsi="Times New Roman" w:eastAsia="楷体" w:cs="Times New Roman"/>
                      <w:color w:val="auto"/>
                      <w:kern w:val="2"/>
                      <w:sz w:val="21"/>
                      <w:szCs w:val="21"/>
                      <w:highlight w:val="none"/>
                      <w:lang w:val="en-US" w:eastAsia="zh-CN" w:bidi="ar-SA"/>
                    </w:rPr>
                  </w:pPr>
                  <w:r>
                    <w:rPr>
                      <w:rFonts w:hint="default" w:ascii="Times New Roman" w:hAnsi="Times New Roman" w:eastAsia="楷体" w:cs="Times New Roman"/>
                      <w:color w:val="auto"/>
                      <w:szCs w:val="21"/>
                      <w:highlight w:val="none"/>
                    </w:rPr>
                    <w:t>38</w:t>
                  </w:r>
                </w:p>
              </w:tc>
              <w:tc>
                <w:tcPr>
                  <w:tcW w:w="394" w:type="pct"/>
                  <w:vAlign w:val="center"/>
                </w:tcPr>
                <w:p w14:paraId="456BB5EE">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highlight w:val="none"/>
                      <w:lang w:bidi="ar"/>
                    </w:rPr>
                  </w:pPr>
                  <w:r>
                    <w:rPr>
                      <w:rFonts w:hint="default" w:ascii="Times New Roman" w:hAnsi="Times New Roman" w:eastAsia="宋体" w:cs="Times New Roman"/>
                      <w:color w:val="auto"/>
                      <w:szCs w:val="21"/>
                      <w:highlight w:val="none"/>
                      <w:lang w:bidi="ar"/>
                    </w:rPr>
                    <w:t>修边裁切</w:t>
                  </w:r>
                </w:p>
              </w:tc>
              <w:tc>
                <w:tcPr>
                  <w:tcW w:w="660" w:type="pct"/>
                  <w:vAlign w:val="center"/>
                </w:tcPr>
                <w:p w14:paraId="502F42C0">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color w:val="auto"/>
                      <w:szCs w:val="21"/>
                      <w:highlight w:val="none"/>
                    </w:rPr>
                  </w:pPr>
                  <w:r>
                    <w:rPr>
                      <w:rFonts w:hint="default" w:ascii="Times New Roman" w:hAnsi="Times New Roman" w:eastAsia="宋体" w:cs="Times New Roman"/>
                      <w:color w:val="auto"/>
                      <w:kern w:val="0"/>
                      <w:szCs w:val="21"/>
                      <w:highlight w:val="none"/>
                      <w:lang w:bidi="ar"/>
                    </w:rPr>
                    <w:t>片材裁切机</w:t>
                  </w:r>
                </w:p>
              </w:tc>
              <w:tc>
                <w:tcPr>
                  <w:tcW w:w="766" w:type="pct"/>
                  <w:vAlign w:val="center"/>
                </w:tcPr>
                <w:p w14:paraId="4020B10B">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color w:val="auto"/>
                      <w:szCs w:val="21"/>
                      <w:highlight w:val="none"/>
                    </w:rPr>
                  </w:pPr>
                  <w:r>
                    <w:rPr>
                      <w:rFonts w:hint="default" w:ascii="Times New Roman" w:hAnsi="Times New Roman" w:eastAsia="宋体" w:cs="Times New Roman"/>
                      <w:color w:val="auto"/>
                      <w:kern w:val="0"/>
                      <w:szCs w:val="21"/>
                      <w:highlight w:val="none"/>
                      <w:lang w:bidi="ar"/>
                    </w:rPr>
                    <w:t>WD-YCP650*1050</w:t>
                  </w:r>
                </w:p>
              </w:tc>
              <w:tc>
                <w:tcPr>
                  <w:tcW w:w="483" w:type="pct"/>
                  <w:vAlign w:val="center"/>
                </w:tcPr>
                <w:p w14:paraId="0C68B5FD">
                  <w:pPr>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color w:val="auto"/>
                      <w:kern w:val="0"/>
                      <w:szCs w:val="21"/>
                      <w:highlight w:val="none"/>
                      <w:lang w:bidi="ar"/>
                    </w:rPr>
                  </w:pPr>
                  <w:r>
                    <w:rPr>
                      <w:rFonts w:hint="eastAsia" w:ascii="Times New Roman" w:hAnsi="Times New Roman" w:eastAsia="宋体" w:cs="Times New Roman"/>
                      <w:color w:val="auto"/>
                      <w:szCs w:val="21"/>
                      <w:highlight w:val="none"/>
                      <w:lang w:val="en-US" w:eastAsia="zh-CN" w:bidi="ar"/>
                    </w:rPr>
                    <w:t>0</w:t>
                  </w:r>
                </w:p>
              </w:tc>
              <w:tc>
                <w:tcPr>
                  <w:tcW w:w="417" w:type="pct"/>
                  <w:vAlign w:val="center"/>
                </w:tcPr>
                <w:p w14:paraId="09A4AD04">
                  <w:pPr>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color w:val="auto"/>
                      <w:kern w:val="0"/>
                      <w:szCs w:val="21"/>
                      <w:highlight w:val="none"/>
                      <w:lang w:bidi="ar"/>
                    </w:rPr>
                  </w:pPr>
                  <w:r>
                    <w:rPr>
                      <w:rFonts w:hint="eastAsia" w:ascii="Times New Roman" w:hAnsi="Times New Roman" w:eastAsia="宋体" w:cs="Times New Roman"/>
                      <w:color w:val="auto"/>
                      <w:szCs w:val="21"/>
                      <w:highlight w:val="none"/>
                      <w:lang w:val="en-US" w:eastAsia="zh-CN" w:bidi="ar"/>
                    </w:rPr>
                    <w:t>0</w:t>
                  </w:r>
                </w:p>
              </w:tc>
              <w:tc>
                <w:tcPr>
                  <w:tcW w:w="592" w:type="pct"/>
                  <w:vAlign w:val="center"/>
                </w:tcPr>
                <w:p w14:paraId="4134BF0C">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color w:val="auto"/>
                      <w:szCs w:val="21"/>
                      <w:highlight w:val="none"/>
                    </w:rPr>
                  </w:pPr>
                  <w:r>
                    <w:rPr>
                      <w:rFonts w:hint="default" w:ascii="Times New Roman" w:hAnsi="Times New Roman" w:eastAsia="宋体" w:cs="Times New Roman"/>
                      <w:color w:val="auto"/>
                      <w:kern w:val="0"/>
                      <w:szCs w:val="21"/>
                      <w:highlight w:val="none"/>
                      <w:lang w:bidi="ar"/>
                    </w:rPr>
                    <w:t>6</w:t>
                  </w:r>
                </w:p>
              </w:tc>
              <w:tc>
                <w:tcPr>
                  <w:tcW w:w="537" w:type="pct"/>
                  <w:shd w:val="clear" w:color="auto" w:fill="auto"/>
                  <w:vAlign w:val="center"/>
                </w:tcPr>
                <w:p w14:paraId="57338E10">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宋体" w:cs="Times New Roman"/>
                      <w:color w:val="auto"/>
                      <w:kern w:val="2"/>
                      <w:sz w:val="21"/>
                      <w:szCs w:val="21"/>
                      <w:highlight w:val="none"/>
                      <w:lang w:val="en-US" w:eastAsia="zh-CN" w:bidi="ar-SA"/>
                    </w:rPr>
                  </w:pPr>
                  <w:r>
                    <w:rPr>
                      <w:rFonts w:hint="eastAsia" w:ascii="Times New Roman" w:hAnsi="Times New Roman" w:eastAsia="宋体" w:cs="Times New Roman"/>
                      <w:color w:val="auto"/>
                      <w:kern w:val="0"/>
                      <w:szCs w:val="21"/>
                      <w:highlight w:val="none"/>
                      <w:lang w:val="en-US" w:eastAsia="zh-CN" w:bidi="ar"/>
                    </w:rPr>
                    <w:t>+</w:t>
                  </w:r>
                  <w:r>
                    <w:rPr>
                      <w:rFonts w:hint="default" w:ascii="Times New Roman" w:hAnsi="Times New Roman" w:eastAsia="宋体" w:cs="Times New Roman"/>
                      <w:color w:val="auto"/>
                      <w:kern w:val="0"/>
                      <w:szCs w:val="21"/>
                      <w:highlight w:val="none"/>
                      <w:lang w:bidi="ar"/>
                    </w:rPr>
                    <w:t>6</w:t>
                  </w:r>
                </w:p>
              </w:tc>
              <w:tc>
                <w:tcPr>
                  <w:tcW w:w="211" w:type="pct"/>
                  <w:vMerge w:val="continue"/>
                  <w:shd w:val="clear" w:color="auto" w:fill="auto"/>
                  <w:vAlign w:val="center"/>
                </w:tcPr>
                <w:p w14:paraId="7C6A0FBB">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宋体" w:cs="Times New Roman"/>
                      <w:color w:val="auto"/>
                      <w:kern w:val="0"/>
                      <w:sz w:val="21"/>
                      <w:szCs w:val="21"/>
                      <w:highlight w:val="none"/>
                      <w:lang w:val="en-US" w:eastAsia="zh-CN" w:bidi="ar-SA"/>
                    </w:rPr>
                  </w:pPr>
                </w:p>
              </w:tc>
              <w:tc>
                <w:tcPr>
                  <w:tcW w:w="325" w:type="pct"/>
                  <w:shd w:val="clear" w:color="auto" w:fill="auto"/>
                  <w:vAlign w:val="center"/>
                </w:tcPr>
                <w:p w14:paraId="3FA0DDFE">
                  <w:pPr>
                    <w:keepNext w:val="0"/>
                    <w:keepLines w:val="0"/>
                    <w:widowControl/>
                    <w:suppressLineNumbers w:val="0"/>
                    <w:spacing w:before="0" w:beforeAutospacing="0" w:after="0" w:afterAutospacing="0"/>
                    <w:ind w:left="0" w:leftChars="0" w:right="0" w:rightChars="0"/>
                    <w:jc w:val="center"/>
                    <w:textAlignment w:val="center"/>
                    <w:rPr>
                      <w:rFonts w:hint="eastAsia" w:ascii="Times New Roman" w:hAnsi="Times New Roman" w:eastAsia="宋体" w:cs="Times New Roman"/>
                      <w:color w:val="auto"/>
                      <w:kern w:val="0"/>
                      <w:sz w:val="21"/>
                      <w:szCs w:val="21"/>
                      <w:highlight w:val="none"/>
                      <w:lang w:val="en-US" w:eastAsia="zh-CN" w:bidi="ar-SA"/>
                    </w:rPr>
                  </w:pPr>
                  <w:r>
                    <w:rPr>
                      <w:rFonts w:hint="eastAsia" w:ascii="Times New Roman" w:hAnsi="Times New Roman" w:cs="Times New Roman"/>
                      <w:color w:val="auto"/>
                      <w:kern w:val="2"/>
                      <w:sz w:val="21"/>
                      <w:szCs w:val="21"/>
                      <w:highlight w:val="none"/>
                      <w:lang w:val="en-US" w:eastAsia="zh-CN"/>
                    </w:rPr>
                    <w:t>1楼</w:t>
                  </w:r>
                </w:p>
              </w:tc>
              <w:tc>
                <w:tcPr>
                  <w:tcW w:w="320" w:type="pct"/>
                  <w:vAlign w:val="center"/>
                </w:tcPr>
                <w:p w14:paraId="1F921736">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highlight w:val="none"/>
                    </w:rPr>
                  </w:pPr>
                  <w:r>
                    <w:rPr>
                      <w:rFonts w:hint="default" w:ascii="Times New Roman" w:hAnsi="Times New Roman" w:eastAsia="宋体" w:cs="Times New Roman"/>
                      <w:color w:val="auto"/>
                      <w:szCs w:val="21"/>
                      <w:highlight w:val="none"/>
                    </w:rPr>
                    <w:t>新增</w:t>
                  </w:r>
                </w:p>
              </w:tc>
            </w:tr>
            <w:tr w14:paraId="32DAD1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291" w:type="pct"/>
                  <w:shd w:val="clear" w:color="auto" w:fill="auto"/>
                  <w:vAlign w:val="center"/>
                </w:tcPr>
                <w:p w14:paraId="59C4C678">
                  <w:pPr>
                    <w:keepNext w:val="0"/>
                    <w:keepLines w:val="0"/>
                    <w:suppressLineNumbers w:val="0"/>
                    <w:autoSpaceDE w:val="0"/>
                    <w:autoSpaceDN w:val="0"/>
                    <w:spacing w:before="0" w:beforeAutospacing="0" w:after="0" w:afterAutospacing="0"/>
                    <w:ind w:left="0" w:leftChars="0" w:right="0" w:rightChars="0"/>
                    <w:jc w:val="center"/>
                    <w:rPr>
                      <w:rFonts w:hint="default" w:ascii="Times New Roman" w:hAnsi="Times New Roman" w:eastAsia="楷体" w:cs="Times New Roman"/>
                      <w:color w:val="auto"/>
                      <w:kern w:val="2"/>
                      <w:sz w:val="21"/>
                      <w:szCs w:val="21"/>
                      <w:highlight w:val="none"/>
                      <w:lang w:val="en-US" w:eastAsia="zh-CN" w:bidi="ar-SA"/>
                    </w:rPr>
                  </w:pPr>
                  <w:r>
                    <w:rPr>
                      <w:rFonts w:hint="default" w:ascii="Times New Roman" w:hAnsi="Times New Roman" w:eastAsia="楷体" w:cs="Times New Roman"/>
                      <w:color w:val="auto"/>
                      <w:szCs w:val="21"/>
                      <w:highlight w:val="none"/>
                    </w:rPr>
                    <w:t>39</w:t>
                  </w:r>
                </w:p>
              </w:tc>
              <w:tc>
                <w:tcPr>
                  <w:tcW w:w="394" w:type="pct"/>
                  <w:vAlign w:val="center"/>
                </w:tcPr>
                <w:p w14:paraId="6CFED783">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highlight w:val="none"/>
                      <w:lang w:bidi="ar"/>
                    </w:rPr>
                  </w:pPr>
                  <w:r>
                    <w:rPr>
                      <w:rFonts w:hint="default" w:ascii="Times New Roman" w:hAnsi="Times New Roman" w:eastAsia="宋体" w:cs="Times New Roman"/>
                      <w:color w:val="auto"/>
                      <w:szCs w:val="21"/>
                      <w:highlight w:val="none"/>
                      <w:lang w:bidi="ar"/>
                    </w:rPr>
                    <w:t>修边裁切</w:t>
                  </w:r>
                </w:p>
              </w:tc>
              <w:tc>
                <w:tcPr>
                  <w:tcW w:w="660" w:type="pct"/>
                  <w:vAlign w:val="center"/>
                </w:tcPr>
                <w:p w14:paraId="079EA857">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color w:val="auto"/>
                      <w:szCs w:val="21"/>
                      <w:highlight w:val="none"/>
                    </w:rPr>
                  </w:pPr>
                  <w:r>
                    <w:rPr>
                      <w:rFonts w:hint="default" w:ascii="Times New Roman" w:hAnsi="Times New Roman" w:eastAsia="宋体" w:cs="Times New Roman"/>
                      <w:color w:val="auto"/>
                      <w:kern w:val="0"/>
                      <w:szCs w:val="21"/>
                      <w:highlight w:val="none"/>
                      <w:lang w:bidi="ar"/>
                    </w:rPr>
                    <w:t>视觉模切机</w:t>
                  </w:r>
                </w:p>
              </w:tc>
              <w:tc>
                <w:tcPr>
                  <w:tcW w:w="766" w:type="pct"/>
                  <w:vAlign w:val="center"/>
                </w:tcPr>
                <w:p w14:paraId="6CACCCDF">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color w:val="auto"/>
                      <w:szCs w:val="21"/>
                      <w:highlight w:val="none"/>
                    </w:rPr>
                  </w:pPr>
                  <w:r>
                    <w:rPr>
                      <w:rFonts w:hint="default" w:ascii="Times New Roman" w:hAnsi="Times New Roman" w:eastAsia="宋体" w:cs="Times New Roman"/>
                      <w:color w:val="auto"/>
                      <w:kern w:val="0"/>
                      <w:szCs w:val="21"/>
                      <w:highlight w:val="none"/>
                      <w:lang w:bidi="ar"/>
                    </w:rPr>
                    <w:t>WD-CCD650</w:t>
                  </w:r>
                </w:p>
              </w:tc>
              <w:tc>
                <w:tcPr>
                  <w:tcW w:w="483" w:type="pct"/>
                  <w:vAlign w:val="center"/>
                </w:tcPr>
                <w:p w14:paraId="7936B8F7">
                  <w:pPr>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color w:val="auto"/>
                      <w:kern w:val="0"/>
                      <w:szCs w:val="21"/>
                      <w:highlight w:val="none"/>
                      <w:lang w:bidi="ar"/>
                    </w:rPr>
                  </w:pPr>
                  <w:r>
                    <w:rPr>
                      <w:rFonts w:hint="eastAsia" w:ascii="Times New Roman" w:hAnsi="Times New Roman" w:eastAsia="宋体" w:cs="Times New Roman"/>
                      <w:color w:val="auto"/>
                      <w:szCs w:val="21"/>
                      <w:highlight w:val="none"/>
                      <w:lang w:val="en-US" w:eastAsia="zh-CN" w:bidi="ar"/>
                    </w:rPr>
                    <w:t>0</w:t>
                  </w:r>
                </w:p>
              </w:tc>
              <w:tc>
                <w:tcPr>
                  <w:tcW w:w="417" w:type="pct"/>
                  <w:vAlign w:val="center"/>
                </w:tcPr>
                <w:p w14:paraId="5F843AE4">
                  <w:pPr>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color w:val="auto"/>
                      <w:kern w:val="0"/>
                      <w:szCs w:val="21"/>
                      <w:highlight w:val="none"/>
                      <w:lang w:bidi="ar"/>
                    </w:rPr>
                  </w:pPr>
                  <w:r>
                    <w:rPr>
                      <w:rFonts w:hint="eastAsia" w:ascii="Times New Roman" w:hAnsi="Times New Roman" w:eastAsia="宋体" w:cs="Times New Roman"/>
                      <w:color w:val="auto"/>
                      <w:szCs w:val="21"/>
                      <w:highlight w:val="none"/>
                      <w:lang w:val="en-US" w:eastAsia="zh-CN" w:bidi="ar"/>
                    </w:rPr>
                    <w:t>0</w:t>
                  </w:r>
                </w:p>
              </w:tc>
              <w:tc>
                <w:tcPr>
                  <w:tcW w:w="592" w:type="pct"/>
                  <w:vAlign w:val="center"/>
                </w:tcPr>
                <w:p w14:paraId="3C3C7ADA">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color w:val="auto"/>
                      <w:szCs w:val="21"/>
                      <w:highlight w:val="none"/>
                    </w:rPr>
                  </w:pPr>
                  <w:r>
                    <w:rPr>
                      <w:rFonts w:hint="default" w:ascii="Times New Roman" w:hAnsi="Times New Roman" w:eastAsia="宋体" w:cs="Times New Roman"/>
                      <w:color w:val="auto"/>
                      <w:kern w:val="0"/>
                      <w:szCs w:val="21"/>
                      <w:highlight w:val="none"/>
                      <w:lang w:bidi="ar"/>
                    </w:rPr>
                    <w:t>1</w:t>
                  </w:r>
                </w:p>
              </w:tc>
              <w:tc>
                <w:tcPr>
                  <w:tcW w:w="537" w:type="pct"/>
                  <w:shd w:val="clear" w:color="auto" w:fill="auto"/>
                  <w:vAlign w:val="center"/>
                </w:tcPr>
                <w:p w14:paraId="012F92E8">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宋体" w:cs="Times New Roman"/>
                      <w:color w:val="auto"/>
                      <w:kern w:val="2"/>
                      <w:sz w:val="21"/>
                      <w:szCs w:val="21"/>
                      <w:highlight w:val="none"/>
                      <w:lang w:val="en-US" w:eastAsia="zh-CN" w:bidi="ar-SA"/>
                    </w:rPr>
                  </w:pPr>
                  <w:r>
                    <w:rPr>
                      <w:rFonts w:hint="eastAsia" w:ascii="Times New Roman" w:hAnsi="Times New Roman" w:eastAsia="宋体" w:cs="Times New Roman"/>
                      <w:color w:val="auto"/>
                      <w:kern w:val="0"/>
                      <w:szCs w:val="21"/>
                      <w:highlight w:val="none"/>
                      <w:lang w:val="en-US" w:eastAsia="zh-CN" w:bidi="ar"/>
                    </w:rPr>
                    <w:t>+</w:t>
                  </w:r>
                  <w:r>
                    <w:rPr>
                      <w:rFonts w:hint="default" w:ascii="Times New Roman" w:hAnsi="Times New Roman" w:eastAsia="宋体" w:cs="Times New Roman"/>
                      <w:color w:val="auto"/>
                      <w:kern w:val="0"/>
                      <w:szCs w:val="21"/>
                      <w:highlight w:val="none"/>
                      <w:lang w:bidi="ar"/>
                    </w:rPr>
                    <w:t>1</w:t>
                  </w:r>
                </w:p>
              </w:tc>
              <w:tc>
                <w:tcPr>
                  <w:tcW w:w="211" w:type="pct"/>
                  <w:vMerge w:val="continue"/>
                  <w:shd w:val="clear" w:color="auto" w:fill="auto"/>
                  <w:vAlign w:val="center"/>
                </w:tcPr>
                <w:p w14:paraId="68AEE282">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宋体" w:cs="Times New Roman"/>
                      <w:color w:val="auto"/>
                      <w:kern w:val="0"/>
                      <w:sz w:val="21"/>
                      <w:szCs w:val="21"/>
                      <w:highlight w:val="none"/>
                      <w:lang w:val="en-US" w:eastAsia="zh-CN" w:bidi="ar-SA"/>
                    </w:rPr>
                  </w:pPr>
                </w:p>
              </w:tc>
              <w:tc>
                <w:tcPr>
                  <w:tcW w:w="325" w:type="pct"/>
                  <w:shd w:val="clear" w:color="auto" w:fill="auto"/>
                  <w:vAlign w:val="center"/>
                </w:tcPr>
                <w:p w14:paraId="78380969">
                  <w:pPr>
                    <w:keepNext w:val="0"/>
                    <w:keepLines w:val="0"/>
                    <w:widowControl/>
                    <w:suppressLineNumbers w:val="0"/>
                    <w:spacing w:before="0" w:beforeAutospacing="0" w:after="0" w:afterAutospacing="0"/>
                    <w:ind w:left="0" w:leftChars="0" w:right="0" w:rightChars="0"/>
                    <w:jc w:val="center"/>
                    <w:textAlignment w:val="center"/>
                    <w:rPr>
                      <w:rFonts w:hint="eastAsia" w:ascii="Times New Roman" w:hAnsi="Times New Roman" w:eastAsia="宋体" w:cs="Times New Roman"/>
                      <w:color w:val="auto"/>
                      <w:kern w:val="0"/>
                      <w:sz w:val="21"/>
                      <w:szCs w:val="21"/>
                      <w:highlight w:val="none"/>
                      <w:lang w:val="en-US" w:eastAsia="zh-CN" w:bidi="ar-SA"/>
                    </w:rPr>
                  </w:pPr>
                  <w:r>
                    <w:rPr>
                      <w:rFonts w:hint="eastAsia" w:ascii="Times New Roman" w:hAnsi="Times New Roman" w:cs="Times New Roman"/>
                      <w:color w:val="auto"/>
                      <w:kern w:val="2"/>
                      <w:sz w:val="21"/>
                      <w:szCs w:val="21"/>
                      <w:highlight w:val="none"/>
                      <w:lang w:val="en-US" w:eastAsia="zh-CN"/>
                    </w:rPr>
                    <w:t>1楼</w:t>
                  </w:r>
                </w:p>
              </w:tc>
              <w:tc>
                <w:tcPr>
                  <w:tcW w:w="320" w:type="pct"/>
                  <w:vAlign w:val="center"/>
                </w:tcPr>
                <w:p w14:paraId="7741D023">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highlight w:val="none"/>
                    </w:rPr>
                  </w:pPr>
                  <w:r>
                    <w:rPr>
                      <w:rFonts w:hint="default" w:ascii="Times New Roman" w:hAnsi="Times New Roman" w:eastAsia="宋体" w:cs="Times New Roman"/>
                      <w:color w:val="auto"/>
                      <w:szCs w:val="21"/>
                      <w:highlight w:val="none"/>
                    </w:rPr>
                    <w:t>新增</w:t>
                  </w:r>
                </w:p>
              </w:tc>
            </w:tr>
            <w:tr w14:paraId="09CA83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291" w:type="pct"/>
                  <w:shd w:val="clear" w:color="auto" w:fill="auto"/>
                  <w:vAlign w:val="center"/>
                </w:tcPr>
                <w:p w14:paraId="0FB0FA27">
                  <w:pPr>
                    <w:keepNext w:val="0"/>
                    <w:keepLines w:val="0"/>
                    <w:suppressLineNumbers w:val="0"/>
                    <w:autoSpaceDE w:val="0"/>
                    <w:autoSpaceDN w:val="0"/>
                    <w:spacing w:before="0" w:beforeAutospacing="0" w:after="0" w:afterAutospacing="0"/>
                    <w:ind w:left="0" w:leftChars="0" w:right="0" w:rightChars="0"/>
                    <w:jc w:val="center"/>
                    <w:rPr>
                      <w:rFonts w:hint="default" w:ascii="Times New Roman" w:hAnsi="Times New Roman" w:eastAsia="楷体" w:cs="Times New Roman"/>
                      <w:color w:val="auto"/>
                      <w:kern w:val="2"/>
                      <w:sz w:val="21"/>
                      <w:szCs w:val="21"/>
                      <w:highlight w:val="none"/>
                      <w:lang w:val="en-US" w:eastAsia="zh-CN" w:bidi="ar-SA"/>
                    </w:rPr>
                  </w:pPr>
                  <w:r>
                    <w:rPr>
                      <w:rFonts w:hint="default" w:ascii="Times New Roman" w:hAnsi="Times New Roman" w:eastAsia="楷体" w:cs="Times New Roman"/>
                      <w:color w:val="auto"/>
                      <w:szCs w:val="21"/>
                      <w:highlight w:val="none"/>
                    </w:rPr>
                    <w:t>40</w:t>
                  </w:r>
                </w:p>
              </w:tc>
              <w:tc>
                <w:tcPr>
                  <w:tcW w:w="394" w:type="pct"/>
                  <w:vAlign w:val="center"/>
                </w:tcPr>
                <w:p w14:paraId="137963DE">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highlight w:val="none"/>
                      <w:lang w:bidi="ar"/>
                    </w:rPr>
                  </w:pPr>
                  <w:r>
                    <w:rPr>
                      <w:rFonts w:hint="default" w:ascii="Times New Roman" w:hAnsi="Times New Roman" w:eastAsia="宋体" w:cs="Times New Roman"/>
                      <w:color w:val="auto"/>
                      <w:szCs w:val="21"/>
                      <w:highlight w:val="none"/>
                      <w:lang w:bidi="ar"/>
                    </w:rPr>
                    <w:t>修边裁切</w:t>
                  </w:r>
                </w:p>
              </w:tc>
              <w:tc>
                <w:tcPr>
                  <w:tcW w:w="660" w:type="pct"/>
                  <w:vAlign w:val="center"/>
                </w:tcPr>
                <w:p w14:paraId="32F8E9E1">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color w:val="auto"/>
                      <w:szCs w:val="21"/>
                      <w:highlight w:val="none"/>
                    </w:rPr>
                  </w:pPr>
                  <w:r>
                    <w:rPr>
                      <w:rFonts w:hint="default" w:ascii="Times New Roman" w:hAnsi="Times New Roman" w:eastAsia="宋体" w:cs="Times New Roman"/>
                      <w:color w:val="auto"/>
                      <w:kern w:val="0"/>
                      <w:szCs w:val="21"/>
                      <w:highlight w:val="none"/>
                      <w:lang w:bidi="ar"/>
                    </w:rPr>
                    <w:t>高速摸切机</w:t>
                  </w:r>
                </w:p>
              </w:tc>
              <w:tc>
                <w:tcPr>
                  <w:tcW w:w="766" w:type="pct"/>
                  <w:vAlign w:val="center"/>
                </w:tcPr>
                <w:p w14:paraId="1231395A">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color w:val="auto"/>
                      <w:szCs w:val="21"/>
                      <w:highlight w:val="none"/>
                    </w:rPr>
                  </w:pPr>
                  <w:r>
                    <w:rPr>
                      <w:rFonts w:hint="default" w:ascii="Times New Roman" w:hAnsi="Times New Roman" w:eastAsia="宋体" w:cs="Times New Roman"/>
                      <w:color w:val="auto"/>
                      <w:kern w:val="0"/>
                      <w:szCs w:val="21"/>
                      <w:highlight w:val="none"/>
                      <w:lang w:bidi="ar"/>
                    </w:rPr>
                    <w:t>WD-DP65</w:t>
                  </w:r>
                </w:p>
              </w:tc>
              <w:tc>
                <w:tcPr>
                  <w:tcW w:w="483" w:type="pct"/>
                  <w:vAlign w:val="center"/>
                </w:tcPr>
                <w:p w14:paraId="45345586">
                  <w:pPr>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color w:val="auto"/>
                      <w:kern w:val="0"/>
                      <w:szCs w:val="21"/>
                      <w:highlight w:val="none"/>
                      <w:lang w:bidi="ar"/>
                    </w:rPr>
                  </w:pPr>
                  <w:r>
                    <w:rPr>
                      <w:rFonts w:hint="eastAsia" w:ascii="Times New Roman" w:hAnsi="Times New Roman" w:eastAsia="宋体" w:cs="Times New Roman"/>
                      <w:color w:val="auto"/>
                      <w:szCs w:val="21"/>
                      <w:highlight w:val="none"/>
                      <w:lang w:val="en-US" w:eastAsia="zh-CN" w:bidi="ar"/>
                    </w:rPr>
                    <w:t>0</w:t>
                  </w:r>
                </w:p>
              </w:tc>
              <w:tc>
                <w:tcPr>
                  <w:tcW w:w="417" w:type="pct"/>
                  <w:vAlign w:val="center"/>
                </w:tcPr>
                <w:p w14:paraId="2AB588FD">
                  <w:pPr>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color w:val="auto"/>
                      <w:kern w:val="0"/>
                      <w:szCs w:val="21"/>
                      <w:highlight w:val="none"/>
                      <w:lang w:bidi="ar"/>
                    </w:rPr>
                  </w:pPr>
                  <w:r>
                    <w:rPr>
                      <w:rFonts w:hint="eastAsia" w:ascii="Times New Roman" w:hAnsi="Times New Roman" w:eastAsia="宋体" w:cs="Times New Roman"/>
                      <w:color w:val="auto"/>
                      <w:szCs w:val="21"/>
                      <w:highlight w:val="none"/>
                      <w:lang w:val="en-US" w:eastAsia="zh-CN" w:bidi="ar"/>
                    </w:rPr>
                    <w:t>0</w:t>
                  </w:r>
                </w:p>
              </w:tc>
              <w:tc>
                <w:tcPr>
                  <w:tcW w:w="592" w:type="pct"/>
                  <w:vAlign w:val="center"/>
                </w:tcPr>
                <w:p w14:paraId="0571F8A8">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color w:val="auto"/>
                      <w:szCs w:val="21"/>
                      <w:highlight w:val="none"/>
                    </w:rPr>
                  </w:pPr>
                  <w:r>
                    <w:rPr>
                      <w:rFonts w:hint="default" w:ascii="Times New Roman" w:hAnsi="Times New Roman" w:eastAsia="宋体" w:cs="Times New Roman"/>
                      <w:color w:val="auto"/>
                      <w:kern w:val="0"/>
                      <w:szCs w:val="21"/>
                      <w:highlight w:val="none"/>
                      <w:lang w:bidi="ar"/>
                    </w:rPr>
                    <w:t>1</w:t>
                  </w:r>
                </w:p>
              </w:tc>
              <w:tc>
                <w:tcPr>
                  <w:tcW w:w="537" w:type="pct"/>
                  <w:shd w:val="clear" w:color="auto" w:fill="auto"/>
                  <w:vAlign w:val="center"/>
                </w:tcPr>
                <w:p w14:paraId="217660B4">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宋体" w:cs="Times New Roman"/>
                      <w:color w:val="auto"/>
                      <w:kern w:val="2"/>
                      <w:sz w:val="21"/>
                      <w:szCs w:val="21"/>
                      <w:highlight w:val="none"/>
                      <w:lang w:val="en-US" w:eastAsia="zh-CN" w:bidi="ar-SA"/>
                    </w:rPr>
                  </w:pPr>
                  <w:r>
                    <w:rPr>
                      <w:rFonts w:hint="eastAsia" w:ascii="Times New Roman" w:hAnsi="Times New Roman" w:eastAsia="宋体" w:cs="Times New Roman"/>
                      <w:color w:val="auto"/>
                      <w:kern w:val="0"/>
                      <w:szCs w:val="21"/>
                      <w:highlight w:val="none"/>
                      <w:lang w:val="en-US" w:eastAsia="zh-CN" w:bidi="ar"/>
                    </w:rPr>
                    <w:t>+</w:t>
                  </w:r>
                  <w:r>
                    <w:rPr>
                      <w:rFonts w:hint="default" w:ascii="Times New Roman" w:hAnsi="Times New Roman" w:eastAsia="宋体" w:cs="Times New Roman"/>
                      <w:color w:val="auto"/>
                      <w:kern w:val="0"/>
                      <w:szCs w:val="21"/>
                      <w:highlight w:val="none"/>
                      <w:lang w:bidi="ar"/>
                    </w:rPr>
                    <w:t>1</w:t>
                  </w:r>
                </w:p>
              </w:tc>
              <w:tc>
                <w:tcPr>
                  <w:tcW w:w="211" w:type="pct"/>
                  <w:vMerge w:val="continue"/>
                  <w:shd w:val="clear" w:color="auto" w:fill="auto"/>
                  <w:vAlign w:val="center"/>
                </w:tcPr>
                <w:p w14:paraId="16C7E4FF">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宋体" w:cs="Times New Roman"/>
                      <w:color w:val="auto"/>
                      <w:kern w:val="0"/>
                      <w:sz w:val="21"/>
                      <w:szCs w:val="21"/>
                      <w:highlight w:val="none"/>
                      <w:lang w:val="en-US" w:eastAsia="zh-CN" w:bidi="ar-SA"/>
                    </w:rPr>
                  </w:pPr>
                </w:p>
              </w:tc>
              <w:tc>
                <w:tcPr>
                  <w:tcW w:w="325" w:type="pct"/>
                  <w:shd w:val="clear" w:color="auto" w:fill="auto"/>
                  <w:vAlign w:val="center"/>
                </w:tcPr>
                <w:p w14:paraId="5A24C7F9">
                  <w:pPr>
                    <w:keepNext w:val="0"/>
                    <w:keepLines w:val="0"/>
                    <w:widowControl/>
                    <w:suppressLineNumbers w:val="0"/>
                    <w:spacing w:before="0" w:beforeAutospacing="0" w:after="0" w:afterAutospacing="0"/>
                    <w:ind w:left="0" w:leftChars="0" w:right="0" w:rightChars="0"/>
                    <w:jc w:val="center"/>
                    <w:textAlignment w:val="center"/>
                    <w:rPr>
                      <w:rFonts w:hint="eastAsia" w:ascii="Times New Roman" w:hAnsi="Times New Roman" w:eastAsia="宋体" w:cs="Times New Roman"/>
                      <w:color w:val="auto"/>
                      <w:kern w:val="0"/>
                      <w:sz w:val="21"/>
                      <w:szCs w:val="21"/>
                      <w:highlight w:val="none"/>
                      <w:lang w:val="en-US" w:eastAsia="zh-CN" w:bidi="ar-SA"/>
                    </w:rPr>
                  </w:pPr>
                  <w:r>
                    <w:rPr>
                      <w:rFonts w:hint="eastAsia" w:ascii="Times New Roman" w:hAnsi="Times New Roman" w:cs="Times New Roman"/>
                      <w:color w:val="auto"/>
                      <w:kern w:val="2"/>
                      <w:sz w:val="21"/>
                      <w:szCs w:val="21"/>
                      <w:highlight w:val="none"/>
                      <w:lang w:val="en-US" w:eastAsia="zh-CN"/>
                    </w:rPr>
                    <w:t>1楼</w:t>
                  </w:r>
                </w:p>
              </w:tc>
              <w:tc>
                <w:tcPr>
                  <w:tcW w:w="320" w:type="pct"/>
                  <w:vAlign w:val="center"/>
                </w:tcPr>
                <w:p w14:paraId="005CF909">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highlight w:val="none"/>
                    </w:rPr>
                  </w:pPr>
                  <w:r>
                    <w:rPr>
                      <w:rFonts w:hint="default" w:ascii="Times New Roman" w:hAnsi="Times New Roman" w:eastAsia="宋体" w:cs="Times New Roman"/>
                      <w:color w:val="auto"/>
                      <w:szCs w:val="21"/>
                      <w:highlight w:val="none"/>
                    </w:rPr>
                    <w:t>新增</w:t>
                  </w:r>
                </w:p>
              </w:tc>
            </w:tr>
            <w:tr w14:paraId="6FAEBC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291" w:type="pct"/>
                  <w:shd w:val="clear" w:color="auto" w:fill="auto"/>
                  <w:vAlign w:val="center"/>
                </w:tcPr>
                <w:p w14:paraId="39368A2E">
                  <w:pPr>
                    <w:keepNext w:val="0"/>
                    <w:keepLines w:val="0"/>
                    <w:suppressLineNumbers w:val="0"/>
                    <w:autoSpaceDE w:val="0"/>
                    <w:autoSpaceDN w:val="0"/>
                    <w:spacing w:before="0" w:beforeAutospacing="0" w:after="0" w:afterAutospacing="0"/>
                    <w:ind w:left="0" w:leftChars="0" w:right="0" w:rightChars="0"/>
                    <w:jc w:val="center"/>
                    <w:rPr>
                      <w:rFonts w:hint="default" w:ascii="Times New Roman" w:hAnsi="Times New Roman" w:eastAsia="楷体" w:cs="Times New Roman"/>
                      <w:color w:val="auto"/>
                      <w:kern w:val="2"/>
                      <w:sz w:val="21"/>
                      <w:szCs w:val="21"/>
                      <w:highlight w:val="none"/>
                      <w:lang w:val="en-US" w:eastAsia="zh-CN" w:bidi="ar-SA"/>
                    </w:rPr>
                  </w:pPr>
                  <w:r>
                    <w:rPr>
                      <w:rFonts w:hint="default" w:ascii="Times New Roman" w:hAnsi="Times New Roman" w:eastAsia="楷体" w:cs="Times New Roman"/>
                      <w:color w:val="auto"/>
                      <w:szCs w:val="21"/>
                      <w:highlight w:val="none"/>
                    </w:rPr>
                    <w:t>41</w:t>
                  </w:r>
                </w:p>
              </w:tc>
              <w:tc>
                <w:tcPr>
                  <w:tcW w:w="394" w:type="pct"/>
                  <w:vMerge w:val="restart"/>
                  <w:vAlign w:val="center"/>
                </w:tcPr>
                <w:p w14:paraId="7C5FE5EF">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highlight w:val="none"/>
                      <w:lang w:bidi="ar"/>
                    </w:rPr>
                  </w:pPr>
                  <w:r>
                    <w:rPr>
                      <w:rFonts w:hint="default" w:ascii="Times New Roman" w:hAnsi="Times New Roman" w:eastAsia="宋体" w:cs="Times New Roman"/>
                      <w:color w:val="auto"/>
                      <w:szCs w:val="21"/>
                      <w:highlight w:val="none"/>
                      <w:lang w:bidi="ar"/>
                    </w:rPr>
                    <w:t>贴胶</w:t>
                  </w:r>
                </w:p>
              </w:tc>
              <w:tc>
                <w:tcPr>
                  <w:tcW w:w="660" w:type="pct"/>
                  <w:vAlign w:val="center"/>
                </w:tcPr>
                <w:p w14:paraId="0604ED93">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color w:val="auto"/>
                      <w:szCs w:val="21"/>
                      <w:highlight w:val="none"/>
                    </w:rPr>
                  </w:pPr>
                  <w:r>
                    <w:rPr>
                      <w:rFonts w:hint="default" w:ascii="Times New Roman" w:hAnsi="Times New Roman" w:eastAsia="宋体" w:cs="Times New Roman"/>
                      <w:color w:val="auto"/>
                      <w:kern w:val="0"/>
                      <w:szCs w:val="21"/>
                      <w:highlight w:val="none"/>
                      <w:lang w:bidi="ar"/>
                    </w:rPr>
                    <w:t>正反面贴胶机</w:t>
                  </w:r>
                </w:p>
              </w:tc>
              <w:tc>
                <w:tcPr>
                  <w:tcW w:w="766" w:type="pct"/>
                  <w:vAlign w:val="center"/>
                </w:tcPr>
                <w:p w14:paraId="061ADBAD">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color w:val="auto"/>
                      <w:szCs w:val="21"/>
                      <w:highlight w:val="none"/>
                    </w:rPr>
                  </w:pPr>
                  <w:r>
                    <w:rPr>
                      <w:rFonts w:hint="default" w:ascii="Times New Roman" w:hAnsi="Times New Roman" w:eastAsia="宋体" w:cs="Times New Roman"/>
                      <w:color w:val="auto"/>
                      <w:kern w:val="0"/>
                      <w:szCs w:val="21"/>
                      <w:highlight w:val="none"/>
                      <w:lang w:bidi="ar"/>
                    </w:rPr>
                    <w:t>WD-TP320自动贴合机</w:t>
                  </w:r>
                </w:p>
              </w:tc>
              <w:tc>
                <w:tcPr>
                  <w:tcW w:w="483" w:type="pct"/>
                  <w:vAlign w:val="center"/>
                </w:tcPr>
                <w:p w14:paraId="7D21D080">
                  <w:pPr>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color w:val="auto"/>
                      <w:kern w:val="0"/>
                      <w:szCs w:val="21"/>
                      <w:highlight w:val="none"/>
                      <w:lang w:bidi="ar"/>
                    </w:rPr>
                  </w:pPr>
                  <w:r>
                    <w:rPr>
                      <w:rFonts w:hint="eastAsia" w:ascii="Times New Roman" w:hAnsi="Times New Roman" w:eastAsia="宋体" w:cs="Times New Roman"/>
                      <w:color w:val="auto"/>
                      <w:szCs w:val="21"/>
                      <w:highlight w:val="none"/>
                      <w:lang w:val="en-US" w:eastAsia="zh-CN" w:bidi="ar"/>
                    </w:rPr>
                    <w:t>0</w:t>
                  </w:r>
                </w:p>
              </w:tc>
              <w:tc>
                <w:tcPr>
                  <w:tcW w:w="417" w:type="pct"/>
                  <w:vAlign w:val="center"/>
                </w:tcPr>
                <w:p w14:paraId="3ACC9EE6">
                  <w:pPr>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color w:val="auto"/>
                      <w:kern w:val="0"/>
                      <w:szCs w:val="21"/>
                      <w:highlight w:val="none"/>
                      <w:lang w:bidi="ar"/>
                    </w:rPr>
                  </w:pPr>
                  <w:r>
                    <w:rPr>
                      <w:rFonts w:hint="eastAsia" w:ascii="Times New Roman" w:hAnsi="Times New Roman" w:eastAsia="宋体" w:cs="Times New Roman"/>
                      <w:color w:val="auto"/>
                      <w:szCs w:val="21"/>
                      <w:highlight w:val="none"/>
                      <w:lang w:val="en-US" w:eastAsia="zh-CN" w:bidi="ar"/>
                    </w:rPr>
                    <w:t>0</w:t>
                  </w:r>
                </w:p>
              </w:tc>
              <w:tc>
                <w:tcPr>
                  <w:tcW w:w="592" w:type="pct"/>
                  <w:vAlign w:val="center"/>
                </w:tcPr>
                <w:p w14:paraId="4F6A22F6">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color w:val="auto"/>
                      <w:szCs w:val="21"/>
                      <w:highlight w:val="none"/>
                    </w:rPr>
                  </w:pPr>
                  <w:r>
                    <w:rPr>
                      <w:rFonts w:hint="default" w:ascii="Times New Roman" w:hAnsi="Times New Roman" w:eastAsia="宋体" w:cs="Times New Roman"/>
                      <w:color w:val="auto"/>
                      <w:kern w:val="0"/>
                      <w:szCs w:val="21"/>
                      <w:highlight w:val="none"/>
                      <w:lang w:bidi="ar"/>
                    </w:rPr>
                    <w:t>4</w:t>
                  </w:r>
                </w:p>
              </w:tc>
              <w:tc>
                <w:tcPr>
                  <w:tcW w:w="537" w:type="pct"/>
                  <w:shd w:val="clear" w:color="auto" w:fill="auto"/>
                  <w:vAlign w:val="center"/>
                </w:tcPr>
                <w:p w14:paraId="67BC0CEB">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宋体" w:cs="Times New Roman"/>
                      <w:color w:val="auto"/>
                      <w:kern w:val="2"/>
                      <w:sz w:val="21"/>
                      <w:szCs w:val="21"/>
                      <w:highlight w:val="none"/>
                      <w:lang w:val="en-US" w:eastAsia="zh-CN" w:bidi="ar-SA"/>
                    </w:rPr>
                  </w:pPr>
                  <w:r>
                    <w:rPr>
                      <w:rFonts w:hint="eastAsia" w:ascii="Times New Roman" w:hAnsi="Times New Roman" w:eastAsia="宋体" w:cs="Times New Roman"/>
                      <w:color w:val="auto"/>
                      <w:kern w:val="0"/>
                      <w:szCs w:val="21"/>
                      <w:highlight w:val="none"/>
                      <w:lang w:val="en-US" w:eastAsia="zh-CN" w:bidi="ar"/>
                    </w:rPr>
                    <w:t>+</w:t>
                  </w:r>
                  <w:r>
                    <w:rPr>
                      <w:rFonts w:hint="default" w:ascii="Times New Roman" w:hAnsi="Times New Roman" w:eastAsia="宋体" w:cs="Times New Roman"/>
                      <w:color w:val="auto"/>
                      <w:kern w:val="0"/>
                      <w:szCs w:val="21"/>
                      <w:highlight w:val="none"/>
                      <w:lang w:bidi="ar"/>
                    </w:rPr>
                    <w:t>4</w:t>
                  </w:r>
                </w:p>
              </w:tc>
              <w:tc>
                <w:tcPr>
                  <w:tcW w:w="211" w:type="pct"/>
                  <w:vMerge w:val="continue"/>
                  <w:shd w:val="clear" w:color="auto" w:fill="auto"/>
                  <w:vAlign w:val="center"/>
                </w:tcPr>
                <w:p w14:paraId="2F1EF673">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宋体" w:cs="Times New Roman"/>
                      <w:color w:val="auto"/>
                      <w:kern w:val="0"/>
                      <w:sz w:val="21"/>
                      <w:szCs w:val="21"/>
                      <w:highlight w:val="none"/>
                      <w:lang w:val="en-US" w:eastAsia="zh-CN" w:bidi="ar-SA"/>
                    </w:rPr>
                  </w:pPr>
                </w:p>
              </w:tc>
              <w:tc>
                <w:tcPr>
                  <w:tcW w:w="325" w:type="pct"/>
                  <w:shd w:val="clear" w:color="auto" w:fill="auto"/>
                  <w:vAlign w:val="center"/>
                </w:tcPr>
                <w:p w14:paraId="0886DC41">
                  <w:pPr>
                    <w:keepNext w:val="0"/>
                    <w:keepLines w:val="0"/>
                    <w:widowControl/>
                    <w:suppressLineNumbers w:val="0"/>
                    <w:spacing w:before="0" w:beforeAutospacing="0" w:after="0" w:afterAutospacing="0"/>
                    <w:ind w:left="0" w:leftChars="0" w:right="0" w:rightChars="0"/>
                    <w:jc w:val="center"/>
                    <w:textAlignment w:val="center"/>
                    <w:rPr>
                      <w:rFonts w:hint="eastAsia" w:ascii="Times New Roman" w:hAnsi="Times New Roman" w:eastAsia="宋体" w:cs="Times New Roman"/>
                      <w:color w:val="auto"/>
                      <w:kern w:val="0"/>
                      <w:sz w:val="21"/>
                      <w:szCs w:val="21"/>
                      <w:highlight w:val="none"/>
                      <w:lang w:val="en-US" w:eastAsia="zh-CN" w:bidi="ar-SA"/>
                    </w:rPr>
                  </w:pPr>
                  <w:r>
                    <w:rPr>
                      <w:rFonts w:hint="eastAsia" w:ascii="Times New Roman" w:hAnsi="Times New Roman" w:cs="Times New Roman"/>
                      <w:color w:val="auto"/>
                      <w:kern w:val="2"/>
                      <w:sz w:val="21"/>
                      <w:szCs w:val="21"/>
                      <w:highlight w:val="none"/>
                      <w:lang w:val="en-US" w:eastAsia="zh-CN"/>
                    </w:rPr>
                    <w:t>1楼</w:t>
                  </w:r>
                </w:p>
              </w:tc>
              <w:tc>
                <w:tcPr>
                  <w:tcW w:w="320" w:type="pct"/>
                  <w:vAlign w:val="center"/>
                </w:tcPr>
                <w:p w14:paraId="35CC0A2A">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highlight w:val="none"/>
                    </w:rPr>
                  </w:pPr>
                  <w:r>
                    <w:rPr>
                      <w:rFonts w:hint="default" w:ascii="Times New Roman" w:hAnsi="Times New Roman" w:eastAsia="宋体" w:cs="Times New Roman"/>
                      <w:color w:val="auto"/>
                      <w:szCs w:val="21"/>
                      <w:highlight w:val="none"/>
                    </w:rPr>
                    <w:t>新增</w:t>
                  </w:r>
                </w:p>
              </w:tc>
            </w:tr>
            <w:tr w14:paraId="1CE39A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291" w:type="pct"/>
                  <w:shd w:val="clear" w:color="auto" w:fill="auto"/>
                  <w:vAlign w:val="center"/>
                </w:tcPr>
                <w:p w14:paraId="1D724EC4">
                  <w:pPr>
                    <w:keepNext w:val="0"/>
                    <w:keepLines w:val="0"/>
                    <w:suppressLineNumbers w:val="0"/>
                    <w:autoSpaceDE w:val="0"/>
                    <w:autoSpaceDN w:val="0"/>
                    <w:spacing w:before="0" w:beforeAutospacing="0" w:after="0" w:afterAutospacing="0"/>
                    <w:ind w:left="0" w:leftChars="0" w:right="0" w:rightChars="0"/>
                    <w:jc w:val="center"/>
                    <w:rPr>
                      <w:rFonts w:hint="default" w:ascii="Times New Roman" w:hAnsi="Times New Roman" w:eastAsia="楷体" w:cs="Times New Roman"/>
                      <w:color w:val="auto"/>
                      <w:kern w:val="2"/>
                      <w:sz w:val="21"/>
                      <w:szCs w:val="21"/>
                      <w:highlight w:val="none"/>
                      <w:lang w:val="en-US" w:eastAsia="zh-CN" w:bidi="ar-SA"/>
                    </w:rPr>
                  </w:pPr>
                  <w:r>
                    <w:rPr>
                      <w:rFonts w:hint="default" w:ascii="Times New Roman" w:hAnsi="Times New Roman" w:eastAsia="楷体" w:cs="Times New Roman"/>
                      <w:color w:val="auto"/>
                      <w:szCs w:val="21"/>
                      <w:highlight w:val="none"/>
                    </w:rPr>
                    <w:t>42</w:t>
                  </w:r>
                </w:p>
              </w:tc>
              <w:tc>
                <w:tcPr>
                  <w:tcW w:w="394" w:type="pct"/>
                  <w:vMerge w:val="continue"/>
                  <w:vAlign w:val="center"/>
                </w:tcPr>
                <w:p w14:paraId="454486A6">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highlight w:val="none"/>
                      <w:lang w:bidi="ar"/>
                    </w:rPr>
                  </w:pPr>
                </w:p>
              </w:tc>
              <w:tc>
                <w:tcPr>
                  <w:tcW w:w="660" w:type="pct"/>
                  <w:vAlign w:val="center"/>
                </w:tcPr>
                <w:p w14:paraId="70EE7926">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color w:val="auto"/>
                      <w:szCs w:val="21"/>
                      <w:highlight w:val="none"/>
                    </w:rPr>
                  </w:pPr>
                  <w:r>
                    <w:rPr>
                      <w:rFonts w:hint="default" w:ascii="Times New Roman" w:hAnsi="Times New Roman" w:eastAsia="宋体" w:cs="Times New Roman"/>
                      <w:color w:val="auto"/>
                      <w:kern w:val="0"/>
                      <w:szCs w:val="21"/>
                      <w:highlight w:val="none"/>
                      <w:lang w:bidi="ar"/>
                    </w:rPr>
                    <w:t>视觉贴胶机</w:t>
                  </w:r>
                </w:p>
              </w:tc>
              <w:tc>
                <w:tcPr>
                  <w:tcW w:w="766" w:type="pct"/>
                  <w:vAlign w:val="center"/>
                </w:tcPr>
                <w:p w14:paraId="07AAA7C3">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color w:val="auto"/>
                      <w:szCs w:val="21"/>
                      <w:highlight w:val="none"/>
                    </w:rPr>
                  </w:pPr>
                  <w:r>
                    <w:rPr>
                      <w:rFonts w:hint="default" w:ascii="Times New Roman" w:hAnsi="Times New Roman" w:eastAsia="宋体" w:cs="Times New Roman"/>
                      <w:color w:val="auto"/>
                      <w:kern w:val="0"/>
                      <w:szCs w:val="21"/>
                      <w:highlight w:val="none"/>
                      <w:lang w:bidi="ar"/>
                    </w:rPr>
                    <w:t>CCD-320</w:t>
                  </w:r>
                </w:p>
              </w:tc>
              <w:tc>
                <w:tcPr>
                  <w:tcW w:w="483" w:type="pct"/>
                  <w:vAlign w:val="center"/>
                </w:tcPr>
                <w:p w14:paraId="1097A34D">
                  <w:pPr>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color w:val="auto"/>
                      <w:kern w:val="0"/>
                      <w:szCs w:val="21"/>
                      <w:highlight w:val="none"/>
                      <w:lang w:bidi="ar"/>
                    </w:rPr>
                  </w:pPr>
                  <w:r>
                    <w:rPr>
                      <w:rFonts w:hint="eastAsia" w:ascii="Times New Roman" w:hAnsi="Times New Roman" w:eastAsia="宋体" w:cs="Times New Roman"/>
                      <w:color w:val="auto"/>
                      <w:szCs w:val="21"/>
                      <w:highlight w:val="none"/>
                      <w:lang w:val="en-US" w:eastAsia="zh-CN" w:bidi="ar"/>
                    </w:rPr>
                    <w:t>0</w:t>
                  </w:r>
                </w:p>
              </w:tc>
              <w:tc>
                <w:tcPr>
                  <w:tcW w:w="417" w:type="pct"/>
                  <w:vAlign w:val="center"/>
                </w:tcPr>
                <w:p w14:paraId="7AB0671E">
                  <w:pPr>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color w:val="auto"/>
                      <w:kern w:val="0"/>
                      <w:szCs w:val="21"/>
                      <w:highlight w:val="none"/>
                      <w:lang w:bidi="ar"/>
                    </w:rPr>
                  </w:pPr>
                  <w:r>
                    <w:rPr>
                      <w:rFonts w:hint="eastAsia" w:ascii="Times New Roman" w:hAnsi="Times New Roman" w:eastAsia="宋体" w:cs="Times New Roman"/>
                      <w:color w:val="auto"/>
                      <w:szCs w:val="21"/>
                      <w:highlight w:val="none"/>
                      <w:lang w:val="en-US" w:eastAsia="zh-CN" w:bidi="ar"/>
                    </w:rPr>
                    <w:t>0</w:t>
                  </w:r>
                </w:p>
              </w:tc>
              <w:tc>
                <w:tcPr>
                  <w:tcW w:w="592" w:type="pct"/>
                  <w:vAlign w:val="center"/>
                </w:tcPr>
                <w:p w14:paraId="38F2882E">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color w:val="auto"/>
                      <w:szCs w:val="21"/>
                      <w:highlight w:val="none"/>
                    </w:rPr>
                  </w:pPr>
                  <w:r>
                    <w:rPr>
                      <w:rFonts w:hint="default" w:ascii="Times New Roman" w:hAnsi="Times New Roman" w:eastAsia="宋体" w:cs="Times New Roman"/>
                      <w:color w:val="auto"/>
                      <w:kern w:val="0"/>
                      <w:szCs w:val="21"/>
                      <w:highlight w:val="none"/>
                      <w:lang w:bidi="ar"/>
                    </w:rPr>
                    <w:t>1</w:t>
                  </w:r>
                </w:p>
              </w:tc>
              <w:tc>
                <w:tcPr>
                  <w:tcW w:w="537" w:type="pct"/>
                  <w:shd w:val="clear" w:color="auto" w:fill="auto"/>
                  <w:vAlign w:val="center"/>
                </w:tcPr>
                <w:p w14:paraId="08966D13">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宋体" w:cs="Times New Roman"/>
                      <w:color w:val="auto"/>
                      <w:kern w:val="2"/>
                      <w:sz w:val="21"/>
                      <w:szCs w:val="21"/>
                      <w:highlight w:val="none"/>
                      <w:lang w:val="en-US" w:eastAsia="zh-CN" w:bidi="ar-SA"/>
                    </w:rPr>
                  </w:pPr>
                  <w:r>
                    <w:rPr>
                      <w:rFonts w:hint="eastAsia" w:ascii="Times New Roman" w:hAnsi="Times New Roman" w:eastAsia="宋体" w:cs="Times New Roman"/>
                      <w:color w:val="auto"/>
                      <w:kern w:val="0"/>
                      <w:szCs w:val="21"/>
                      <w:highlight w:val="none"/>
                      <w:lang w:val="en-US" w:eastAsia="zh-CN" w:bidi="ar"/>
                    </w:rPr>
                    <w:t>+</w:t>
                  </w:r>
                  <w:r>
                    <w:rPr>
                      <w:rFonts w:hint="default" w:ascii="Times New Roman" w:hAnsi="Times New Roman" w:eastAsia="宋体" w:cs="Times New Roman"/>
                      <w:color w:val="auto"/>
                      <w:kern w:val="0"/>
                      <w:szCs w:val="21"/>
                      <w:highlight w:val="none"/>
                      <w:lang w:bidi="ar"/>
                    </w:rPr>
                    <w:t>1</w:t>
                  </w:r>
                </w:p>
              </w:tc>
              <w:tc>
                <w:tcPr>
                  <w:tcW w:w="211" w:type="pct"/>
                  <w:vMerge w:val="continue"/>
                  <w:shd w:val="clear" w:color="auto" w:fill="auto"/>
                  <w:vAlign w:val="center"/>
                </w:tcPr>
                <w:p w14:paraId="3652F069">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宋体" w:cs="Times New Roman"/>
                      <w:color w:val="auto"/>
                      <w:kern w:val="0"/>
                      <w:sz w:val="21"/>
                      <w:szCs w:val="21"/>
                      <w:highlight w:val="none"/>
                      <w:lang w:val="en-US" w:eastAsia="zh-CN" w:bidi="ar-SA"/>
                    </w:rPr>
                  </w:pPr>
                </w:p>
              </w:tc>
              <w:tc>
                <w:tcPr>
                  <w:tcW w:w="325" w:type="pct"/>
                  <w:shd w:val="clear" w:color="auto" w:fill="auto"/>
                  <w:vAlign w:val="center"/>
                </w:tcPr>
                <w:p w14:paraId="6ACBAB04">
                  <w:pPr>
                    <w:keepNext w:val="0"/>
                    <w:keepLines w:val="0"/>
                    <w:widowControl/>
                    <w:suppressLineNumbers w:val="0"/>
                    <w:spacing w:before="0" w:beforeAutospacing="0" w:after="0" w:afterAutospacing="0"/>
                    <w:ind w:left="0" w:leftChars="0" w:right="0" w:rightChars="0"/>
                    <w:jc w:val="center"/>
                    <w:textAlignment w:val="center"/>
                    <w:rPr>
                      <w:rFonts w:hint="eastAsia" w:ascii="Times New Roman" w:hAnsi="Times New Roman" w:eastAsia="宋体" w:cs="Times New Roman"/>
                      <w:color w:val="auto"/>
                      <w:kern w:val="0"/>
                      <w:sz w:val="21"/>
                      <w:szCs w:val="21"/>
                      <w:highlight w:val="none"/>
                      <w:lang w:val="en-US" w:eastAsia="zh-CN" w:bidi="ar-SA"/>
                    </w:rPr>
                  </w:pPr>
                  <w:r>
                    <w:rPr>
                      <w:rFonts w:hint="eastAsia" w:ascii="Times New Roman" w:hAnsi="Times New Roman" w:cs="Times New Roman"/>
                      <w:color w:val="auto"/>
                      <w:kern w:val="2"/>
                      <w:sz w:val="21"/>
                      <w:szCs w:val="21"/>
                      <w:highlight w:val="none"/>
                      <w:lang w:val="en-US" w:eastAsia="zh-CN"/>
                    </w:rPr>
                    <w:t>1楼</w:t>
                  </w:r>
                </w:p>
              </w:tc>
              <w:tc>
                <w:tcPr>
                  <w:tcW w:w="320" w:type="pct"/>
                  <w:vAlign w:val="center"/>
                </w:tcPr>
                <w:p w14:paraId="4B5F2A39">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highlight w:val="none"/>
                    </w:rPr>
                  </w:pPr>
                  <w:r>
                    <w:rPr>
                      <w:rFonts w:hint="default" w:ascii="Times New Roman" w:hAnsi="Times New Roman" w:eastAsia="宋体" w:cs="Times New Roman"/>
                      <w:color w:val="auto"/>
                      <w:szCs w:val="21"/>
                      <w:highlight w:val="none"/>
                    </w:rPr>
                    <w:t>新增</w:t>
                  </w:r>
                </w:p>
              </w:tc>
            </w:tr>
            <w:tr w14:paraId="4135F7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291" w:type="pct"/>
                  <w:shd w:val="clear" w:color="auto" w:fill="auto"/>
                  <w:vAlign w:val="center"/>
                </w:tcPr>
                <w:p w14:paraId="62AD2F39">
                  <w:pPr>
                    <w:keepNext w:val="0"/>
                    <w:keepLines w:val="0"/>
                    <w:suppressLineNumbers w:val="0"/>
                    <w:autoSpaceDE w:val="0"/>
                    <w:autoSpaceDN w:val="0"/>
                    <w:spacing w:before="0" w:beforeAutospacing="0" w:after="0" w:afterAutospacing="0"/>
                    <w:ind w:left="0" w:leftChars="0" w:right="0" w:rightChars="0"/>
                    <w:jc w:val="center"/>
                    <w:rPr>
                      <w:rFonts w:hint="default" w:ascii="Times New Roman" w:hAnsi="Times New Roman" w:eastAsia="楷体" w:cs="Times New Roman"/>
                      <w:color w:val="auto"/>
                      <w:kern w:val="2"/>
                      <w:sz w:val="21"/>
                      <w:szCs w:val="21"/>
                      <w:highlight w:val="none"/>
                      <w:lang w:val="en-US" w:eastAsia="zh-CN" w:bidi="ar-SA"/>
                    </w:rPr>
                  </w:pPr>
                  <w:r>
                    <w:rPr>
                      <w:rFonts w:hint="default" w:ascii="Times New Roman" w:hAnsi="Times New Roman" w:eastAsia="楷体" w:cs="Times New Roman"/>
                      <w:color w:val="auto"/>
                      <w:szCs w:val="21"/>
                      <w:highlight w:val="none"/>
                    </w:rPr>
                    <w:t>43</w:t>
                  </w:r>
                </w:p>
              </w:tc>
              <w:tc>
                <w:tcPr>
                  <w:tcW w:w="394" w:type="pct"/>
                  <w:vAlign w:val="center"/>
                </w:tcPr>
                <w:p w14:paraId="28F97E4B">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highlight w:val="none"/>
                      <w:lang w:bidi="ar"/>
                    </w:rPr>
                  </w:pPr>
                  <w:r>
                    <w:rPr>
                      <w:rFonts w:hint="default" w:ascii="Times New Roman" w:hAnsi="Times New Roman" w:eastAsia="宋体" w:cs="Times New Roman"/>
                      <w:color w:val="auto"/>
                      <w:szCs w:val="21"/>
                      <w:highlight w:val="none"/>
                      <w:lang w:bidi="ar"/>
                    </w:rPr>
                    <w:t>检测</w:t>
                  </w:r>
                </w:p>
              </w:tc>
              <w:tc>
                <w:tcPr>
                  <w:tcW w:w="660" w:type="pct"/>
                  <w:vAlign w:val="center"/>
                </w:tcPr>
                <w:p w14:paraId="066EBBE5">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color w:val="auto"/>
                      <w:szCs w:val="21"/>
                      <w:highlight w:val="none"/>
                    </w:rPr>
                  </w:pPr>
                  <w:r>
                    <w:rPr>
                      <w:rFonts w:hint="default" w:ascii="Times New Roman" w:hAnsi="Times New Roman" w:eastAsia="宋体" w:cs="Times New Roman"/>
                      <w:color w:val="auto"/>
                      <w:kern w:val="0"/>
                      <w:szCs w:val="21"/>
                      <w:highlight w:val="none"/>
                      <w:lang w:bidi="ar"/>
                    </w:rPr>
                    <w:t>成品检测机</w:t>
                  </w:r>
                  <w:r>
                    <w:rPr>
                      <w:rFonts w:hint="eastAsia" w:ascii="Times New Roman" w:hAnsi="Times New Roman" w:eastAsia="宋体" w:cs="Times New Roman"/>
                      <w:color w:val="auto"/>
                      <w:kern w:val="0"/>
                      <w:szCs w:val="21"/>
                      <w:highlight w:val="none"/>
                      <w:lang w:bidi="ar"/>
                    </w:rPr>
                    <w:t>（厚度、外观、尺寸）</w:t>
                  </w:r>
                </w:p>
              </w:tc>
              <w:tc>
                <w:tcPr>
                  <w:tcW w:w="766" w:type="pct"/>
                  <w:vAlign w:val="center"/>
                </w:tcPr>
                <w:p w14:paraId="612AFFF4">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highlight w:val="none"/>
                    </w:rPr>
                  </w:pPr>
                  <w:r>
                    <w:rPr>
                      <w:rFonts w:hint="default" w:ascii="Times New Roman" w:hAnsi="Times New Roman" w:eastAsia="宋体" w:cs="Times New Roman"/>
                      <w:color w:val="auto"/>
                      <w:szCs w:val="21"/>
                      <w:highlight w:val="none"/>
                    </w:rPr>
                    <w:t>/</w:t>
                  </w:r>
                </w:p>
              </w:tc>
              <w:tc>
                <w:tcPr>
                  <w:tcW w:w="483" w:type="pct"/>
                  <w:vAlign w:val="center"/>
                </w:tcPr>
                <w:p w14:paraId="621C4E0E">
                  <w:pPr>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color w:val="auto"/>
                      <w:szCs w:val="21"/>
                      <w:highlight w:val="none"/>
                    </w:rPr>
                  </w:pPr>
                  <w:r>
                    <w:rPr>
                      <w:rFonts w:hint="eastAsia" w:ascii="Times New Roman" w:hAnsi="Times New Roman" w:eastAsia="宋体" w:cs="Times New Roman"/>
                      <w:color w:val="auto"/>
                      <w:szCs w:val="21"/>
                      <w:highlight w:val="none"/>
                      <w:lang w:val="en-US" w:eastAsia="zh-CN" w:bidi="ar"/>
                    </w:rPr>
                    <w:t>0</w:t>
                  </w:r>
                </w:p>
              </w:tc>
              <w:tc>
                <w:tcPr>
                  <w:tcW w:w="417" w:type="pct"/>
                  <w:vAlign w:val="center"/>
                </w:tcPr>
                <w:p w14:paraId="5BA7DFB3">
                  <w:pPr>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color w:val="auto"/>
                      <w:szCs w:val="21"/>
                      <w:highlight w:val="none"/>
                    </w:rPr>
                  </w:pPr>
                  <w:r>
                    <w:rPr>
                      <w:rFonts w:hint="eastAsia" w:ascii="Times New Roman" w:hAnsi="Times New Roman" w:eastAsia="宋体" w:cs="Times New Roman"/>
                      <w:color w:val="auto"/>
                      <w:szCs w:val="21"/>
                      <w:highlight w:val="none"/>
                      <w:lang w:val="en-US" w:eastAsia="zh-CN" w:bidi="ar"/>
                    </w:rPr>
                    <w:t>0</w:t>
                  </w:r>
                </w:p>
              </w:tc>
              <w:tc>
                <w:tcPr>
                  <w:tcW w:w="592" w:type="pct"/>
                  <w:vAlign w:val="center"/>
                </w:tcPr>
                <w:p w14:paraId="49AA2395">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color w:val="auto"/>
                      <w:szCs w:val="21"/>
                      <w:highlight w:val="none"/>
                    </w:rPr>
                  </w:pPr>
                  <w:r>
                    <w:rPr>
                      <w:rFonts w:hint="default" w:ascii="Times New Roman" w:hAnsi="Times New Roman" w:eastAsia="宋体" w:cs="Times New Roman"/>
                      <w:color w:val="auto"/>
                      <w:kern w:val="0"/>
                      <w:szCs w:val="21"/>
                      <w:highlight w:val="none"/>
                      <w:lang w:bidi="ar"/>
                    </w:rPr>
                    <w:t>2</w:t>
                  </w:r>
                </w:p>
              </w:tc>
              <w:tc>
                <w:tcPr>
                  <w:tcW w:w="537" w:type="pct"/>
                  <w:shd w:val="clear" w:color="auto" w:fill="auto"/>
                  <w:vAlign w:val="center"/>
                </w:tcPr>
                <w:p w14:paraId="466A8050">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宋体" w:cs="Times New Roman"/>
                      <w:color w:val="auto"/>
                      <w:kern w:val="2"/>
                      <w:sz w:val="21"/>
                      <w:szCs w:val="21"/>
                      <w:highlight w:val="none"/>
                      <w:lang w:val="en-US" w:eastAsia="zh-CN" w:bidi="ar-SA"/>
                    </w:rPr>
                  </w:pPr>
                  <w:r>
                    <w:rPr>
                      <w:rFonts w:hint="eastAsia" w:ascii="Times New Roman" w:hAnsi="Times New Roman" w:eastAsia="宋体" w:cs="Times New Roman"/>
                      <w:color w:val="auto"/>
                      <w:kern w:val="0"/>
                      <w:szCs w:val="21"/>
                      <w:highlight w:val="none"/>
                      <w:lang w:val="en-US" w:eastAsia="zh-CN" w:bidi="ar"/>
                    </w:rPr>
                    <w:t>+</w:t>
                  </w:r>
                  <w:r>
                    <w:rPr>
                      <w:rFonts w:hint="default" w:ascii="Times New Roman" w:hAnsi="Times New Roman" w:eastAsia="宋体" w:cs="Times New Roman"/>
                      <w:color w:val="auto"/>
                      <w:kern w:val="0"/>
                      <w:szCs w:val="21"/>
                      <w:highlight w:val="none"/>
                      <w:lang w:bidi="ar"/>
                    </w:rPr>
                    <w:t>2</w:t>
                  </w:r>
                </w:p>
              </w:tc>
              <w:tc>
                <w:tcPr>
                  <w:tcW w:w="211" w:type="pct"/>
                  <w:vMerge w:val="continue"/>
                  <w:shd w:val="clear" w:color="auto" w:fill="auto"/>
                  <w:vAlign w:val="center"/>
                </w:tcPr>
                <w:p w14:paraId="04030869">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宋体" w:cs="Times New Roman"/>
                      <w:color w:val="auto"/>
                      <w:kern w:val="0"/>
                      <w:sz w:val="21"/>
                      <w:szCs w:val="21"/>
                      <w:highlight w:val="none"/>
                      <w:lang w:val="en-US" w:eastAsia="zh-CN" w:bidi="ar-SA"/>
                    </w:rPr>
                  </w:pPr>
                </w:p>
              </w:tc>
              <w:tc>
                <w:tcPr>
                  <w:tcW w:w="325" w:type="pct"/>
                  <w:shd w:val="clear" w:color="auto" w:fill="auto"/>
                  <w:vAlign w:val="center"/>
                </w:tcPr>
                <w:p w14:paraId="710D5803">
                  <w:pPr>
                    <w:keepNext w:val="0"/>
                    <w:keepLines w:val="0"/>
                    <w:widowControl/>
                    <w:suppressLineNumbers w:val="0"/>
                    <w:spacing w:before="0" w:beforeAutospacing="0" w:after="0" w:afterAutospacing="0"/>
                    <w:ind w:left="0" w:leftChars="0" w:right="0" w:rightChars="0"/>
                    <w:jc w:val="center"/>
                    <w:textAlignment w:val="center"/>
                    <w:rPr>
                      <w:rFonts w:hint="eastAsia" w:ascii="Times New Roman" w:hAnsi="Times New Roman" w:eastAsia="宋体" w:cs="Times New Roman"/>
                      <w:color w:val="auto"/>
                      <w:kern w:val="0"/>
                      <w:sz w:val="21"/>
                      <w:szCs w:val="21"/>
                      <w:highlight w:val="none"/>
                      <w:lang w:val="en-US" w:eastAsia="zh-CN" w:bidi="ar-SA"/>
                    </w:rPr>
                  </w:pPr>
                  <w:r>
                    <w:rPr>
                      <w:rFonts w:hint="eastAsia" w:ascii="Times New Roman" w:hAnsi="Times New Roman" w:cs="Times New Roman"/>
                      <w:color w:val="auto"/>
                      <w:kern w:val="2"/>
                      <w:sz w:val="21"/>
                      <w:szCs w:val="21"/>
                      <w:highlight w:val="none"/>
                      <w:lang w:val="en-US" w:eastAsia="zh-CN"/>
                    </w:rPr>
                    <w:t>1楼</w:t>
                  </w:r>
                </w:p>
              </w:tc>
              <w:tc>
                <w:tcPr>
                  <w:tcW w:w="320" w:type="pct"/>
                  <w:vAlign w:val="center"/>
                </w:tcPr>
                <w:p w14:paraId="1F23F335">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highlight w:val="none"/>
                    </w:rPr>
                  </w:pPr>
                  <w:r>
                    <w:rPr>
                      <w:rFonts w:hint="default" w:ascii="Times New Roman" w:hAnsi="Times New Roman" w:eastAsia="宋体" w:cs="Times New Roman"/>
                      <w:color w:val="auto"/>
                      <w:szCs w:val="21"/>
                      <w:highlight w:val="none"/>
                    </w:rPr>
                    <w:t>新增</w:t>
                  </w:r>
                </w:p>
              </w:tc>
            </w:tr>
            <w:tr w14:paraId="03F991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291" w:type="pct"/>
                  <w:shd w:val="clear" w:color="auto" w:fill="auto"/>
                  <w:vAlign w:val="center"/>
                </w:tcPr>
                <w:p w14:paraId="4E5902D1">
                  <w:pPr>
                    <w:keepNext w:val="0"/>
                    <w:keepLines w:val="0"/>
                    <w:suppressLineNumbers w:val="0"/>
                    <w:autoSpaceDE w:val="0"/>
                    <w:autoSpaceDN w:val="0"/>
                    <w:spacing w:before="0" w:beforeAutospacing="0" w:after="0" w:afterAutospacing="0"/>
                    <w:ind w:left="0" w:leftChars="0" w:right="0" w:rightChars="0"/>
                    <w:jc w:val="center"/>
                    <w:rPr>
                      <w:rFonts w:hint="default" w:ascii="Times New Roman" w:hAnsi="Times New Roman" w:eastAsia="楷体" w:cs="Times New Roman"/>
                      <w:color w:val="auto"/>
                      <w:kern w:val="2"/>
                      <w:sz w:val="21"/>
                      <w:szCs w:val="21"/>
                      <w:highlight w:val="none"/>
                      <w:lang w:val="en-US" w:eastAsia="zh-CN" w:bidi="ar-SA"/>
                    </w:rPr>
                  </w:pPr>
                  <w:r>
                    <w:rPr>
                      <w:rFonts w:hint="default" w:ascii="Times New Roman" w:hAnsi="Times New Roman" w:eastAsia="楷体" w:cs="Times New Roman"/>
                      <w:color w:val="auto"/>
                      <w:szCs w:val="21"/>
                      <w:highlight w:val="none"/>
                    </w:rPr>
                    <w:t>44</w:t>
                  </w:r>
                </w:p>
              </w:tc>
              <w:tc>
                <w:tcPr>
                  <w:tcW w:w="394" w:type="pct"/>
                  <w:vAlign w:val="center"/>
                </w:tcPr>
                <w:p w14:paraId="47CDFAF8">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highlight w:val="none"/>
                      <w:lang w:bidi="ar"/>
                    </w:rPr>
                  </w:pPr>
                  <w:r>
                    <w:rPr>
                      <w:rFonts w:hint="default" w:ascii="Times New Roman" w:hAnsi="Times New Roman" w:eastAsia="宋体" w:cs="Times New Roman"/>
                      <w:color w:val="auto"/>
                      <w:szCs w:val="21"/>
                      <w:highlight w:val="none"/>
                      <w:lang w:bidi="ar"/>
                    </w:rPr>
                    <w:t>打包</w:t>
                  </w:r>
                </w:p>
              </w:tc>
              <w:tc>
                <w:tcPr>
                  <w:tcW w:w="660" w:type="pct"/>
                  <w:vAlign w:val="center"/>
                </w:tcPr>
                <w:p w14:paraId="4421DD47">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color w:val="auto"/>
                      <w:szCs w:val="21"/>
                      <w:highlight w:val="none"/>
                    </w:rPr>
                  </w:pPr>
                  <w:r>
                    <w:rPr>
                      <w:rFonts w:hint="default" w:ascii="Times New Roman" w:hAnsi="Times New Roman" w:eastAsia="宋体" w:cs="Times New Roman"/>
                      <w:color w:val="auto"/>
                      <w:kern w:val="0"/>
                      <w:szCs w:val="21"/>
                      <w:highlight w:val="none"/>
                      <w:lang w:bidi="ar"/>
                    </w:rPr>
                    <w:t>纳米板包裹自动化设备</w:t>
                  </w:r>
                </w:p>
              </w:tc>
              <w:tc>
                <w:tcPr>
                  <w:tcW w:w="766" w:type="pct"/>
                  <w:vAlign w:val="center"/>
                </w:tcPr>
                <w:p w14:paraId="6232B6D2">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highlight w:val="none"/>
                    </w:rPr>
                  </w:pPr>
                  <w:r>
                    <w:rPr>
                      <w:rFonts w:hint="default" w:ascii="Times New Roman" w:hAnsi="Times New Roman" w:eastAsia="宋体" w:cs="Times New Roman"/>
                      <w:color w:val="auto"/>
                      <w:szCs w:val="21"/>
                      <w:highlight w:val="none"/>
                    </w:rPr>
                    <w:t>/</w:t>
                  </w:r>
                </w:p>
              </w:tc>
              <w:tc>
                <w:tcPr>
                  <w:tcW w:w="483" w:type="pct"/>
                  <w:vAlign w:val="center"/>
                </w:tcPr>
                <w:p w14:paraId="5C591C4C">
                  <w:pPr>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color w:val="auto"/>
                      <w:szCs w:val="21"/>
                      <w:highlight w:val="none"/>
                    </w:rPr>
                  </w:pPr>
                  <w:r>
                    <w:rPr>
                      <w:rFonts w:hint="eastAsia" w:ascii="Times New Roman" w:hAnsi="Times New Roman" w:eastAsia="宋体" w:cs="Times New Roman"/>
                      <w:color w:val="auto"/>
                      <w:szCs w:val="21"/>
                      <w:highlight w:val="none"/>
                      <w:lang w:val="en-US" w:eastAsia="zh-CN" w:bidi="ar"/>
                    </w:rPr>
                    <w:t>0</w:t>
                  </w:r>
                </w:p>
              </w:tc>
              <w:tc>
                <w:tcPr>
                  <w:tcW w:w="417" w:type="pct"/>
                  <w:vAlign w:val="center"/>
                </w:tcPr>
                <w:p w14:paraId="1735C221">
                  <w:pPr>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color w:val="auto"/>
                      <w:szCs w:val="21"/>
                      <w:highlight w:val="none"/>
                    </w:rPr>
                  </w:pPr>
                  <w:r>
                    <w:rPr>
                      <w:rFonts w:hint="eastAsia" w:ascii="Times New Roman" w:hAnsi="Times New Roman" w:eastAsia="宋体" w:cs="Times New Roman"/>
                      <w:color w:val="auto"/>
                      <w:szCs w:val="21"/>
                      <w:highlight w:val="none"/>
                      <w:lang w:val="en-US" w:eastAsia="zh-CN" w:bidi="ar"/>
                    </w:rPr>
                    <w:t>0</w:t>
                  </w:r>
                </w:p>
              </w:tc>
              <w:tc>
                <w:tcPr>
                  <w:tcW w:w="592" w:type="pct"/>
                  <w:vAlign w:val="center"/>
                </w:tcPr>
                <w:p w14:paraId="4E9C81D0">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color w:val="auto"/>
                      <w:szCs w:val="21"/>
                      <w:highlight w:val="none"/>
                    </w:rPr>
                  </w:pPr>
                  <w:r>
                    <w:rPr>
                      <w:rFonts w:hint="default" w:ascii="Times New Roman" w:hAnsi="Times New Roman" w:eastAsia="宋体" w:cs="Times New Roman"/>
                      <w:color w:val="auto"/>
                      <w:kern w:val="0"/>
                      <w:szCs w:val="21"/>
                      <w:highlight w:val="none"/>
                      <w:lang w:bidi="ar"/>
                    </w:rPr>
                    <w:t>2</w:t>
                  </w:r>
                </w:p>
              </w:tc>
              <w:tc>
                <w:tcPr>
                  <w:tcW w:w="537" w:type="pct"/>
                  <w:shd w:val="clear" w:color="auto" w:fill="auto"/>
                  <w:vAlign w:val="center"/>
                </w:tcPr>
                <w:p w14:paraId="2B009589">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宋体" w:cs="Times New Roman"/>
                      <w:color w:val="auto"/>
                      <w:kern w:val="2"/>
                      <w:sz w:val="21"/>
                      <w:szCs w:val="21"/>
                      <w:highlight w:val="none"/>
                      <w:lang w:val="en-US" w:eastAsia="zh-CN" w:bidi="ar-SA"/>
                    </w:rPr>
                  </w:pPr>
                  <w:r>
                    <w:rPr>
                      <w:rFonts w:hint="eastAsia" w:ascii="Times New Roman" w:hAnsi="Times New Roman" w:eastAsia="宋体" w:cs="Times New Roman"/>
                      <w:color w:val="auto"/>
                      <w:kern w:val="0"/>
                      <w:szCs w:val="21"/>
                      <w:highlight w:val="none"/>
                      <w:lang w:val="en-US" w:eastAsia="zh-CN" w:bidi="ar"/>
                    </w:rPr>
                    <w:t>+</w:t>
                  </w:r>
                  <w:r>
                    <w:rPr>
                      <w:rFonts w:hint="default" w:ascii="Times New Roman" w:hAnsi="Times New Roman" w:eastAsia="宋体" w:cs="Times New Roman"/>
                      <w:color w:val="auto"/>
                      <w:kern w:val="0"/>
                      <w:szCs w:val="21"/>
                      <w:highlight w:val="none"/>
                      <w:lang w:bidi="ar"/>
                    </w:rPr>
                    <w:t>2</w:t>
                  </w:r>
                </w:p>
              </w:tc>
              <w:tc>
                <w:tcPr>
                  <w:tcW w:w="211" w:type="pct"/>
                  <w:vMerge w:val="continue"/>
                  <w:shd w:val="clear" w:color="auto" w:fill="auto"/>
                  <w:vAlign w:val="center"/>
                </w:tcPr>
                <w:p w14:paraId="52321E8F">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宋体" w:cs="Times New Roman"/>
                      <w:color w:val="auto"/>
                      <w:kern w:val="0"/>
                      <w:sz w:val="21"/>
                      <w:szCs w:val="21"/>
                      <w:highlight w:val="none"/>
                      <w:lang w:val="en-US" w:eastAsia="zh-CN" w:bidi="ar-SA"/>
                    </w:rPr>
                  </w:pPr>
                </w:p>
              </w:tc>
              <w:tc>
                <w:tcPr>
                  <w:tcW w:w="325" w:type="pct"/>
                  <w:shd w:val="clear" w:color="auto" w:fill="auto"/>
                  <w:vAlign w:val="center"/>
                </w:tcPr>
                <w:p w14:paraId="2B827FC4">
                  <w:pPr>
                    <w:keepNext w:val="0"/>
                    <w:keepLines w:val="0"/>
                    <w:widowControl/>
                    <w:suppressLineNumbers w:val="0"/>
                    <w:spacing w:before="0" w:beforeAutospacing="0" w:after="0" w:afterAutospacing="0"/>
                    <w:ind w:left="0" w:leftChars="0" w:right="0" w:rightChars="0"/>
                    <w:jc w:val="center"/>
                    <w:textAlignment w:val="center"/>
                    <w:rPr>
                      <w:rFonts w:hint="eastAsia" w:ascii="Times New Roman" w:hAnsi="Times New Roman" w:eastAsia="宋体" w:cs="Times New Roman"/>
                      <w:color w:val="auto"/>
                      <w:kern w:val="0"/>
                      <w:sz w:val="21"/>
                      <w:szCs w:val="21"/>
                      <w:highlight w:val="none"/>
                      <w:lang w:val="en-US" w:eastAsia="zh-CN" w:bidi="ar-SA"/>
                    </w:rPr>
                  </w:pPr>
                  <w:r>
                    <w:rPr>
                      <w:rFonts w:hint="eastAsia" w:ascii="Times New Roman" w:hAnsi="Times New Roman" w:cs="Times New Roman"/>
                      <w:color w:val="auto"/>
                      <w:kern w:val="2"/>
                      <w:sz w:val="21"/>
                      <w:szCs w:val="21"/>
                      <w:highlight w:val="none"/>
                      <w:lang w:val="en-US" w:eastAsia="zh-CN"/>
                    </w:rPr>
                    <w:t>1楼</w:t>
                  </w:r>
                </w:p>
              </w:tc>
              <w:tc>
                <w:tcPr>
                  <w:tcW w:w="320" w:type="pct"/>
                  <w:vAlign w:val="center"/>
                </w:tcPr>
                <w:p w14:paraId="652CD523">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highlight w:val="none"/>
                    </w:rPr>
                  </w:pPr>
                  <w:r>
                    <w:rPr>
                      <w:rFonts w:hint="default" w:ascii="Times New Roman" w:hAnsi="Times New Roman" w:eastAsia="宋体" w:cs="Times New Roman"/>
                      <w:color w:val="auto"/>
                      <w:szCs w:val="21"/>
                      <w:highlight w:val="none"/>
                    </w:rPr>
                    <w:t>新增</w:t>
                  </w:r>
                </w:p>
              </w:tc>
            </w:tr>
            <w:tr w14:paraId="44E02C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291" w:type="pct"/>
                  <w:shd w:val="clear" w:color="auto" w:fill="auto"/>
                  <w:vAlign w:val="center"/>
                </w:tcPr>
                <w:p w14:paraId="1862241A">
                  <w:pPr>
                    <w:keepNext w:val="0"/>
                    <w:keepLines w:val="0"/>
                    <w:suppressLineNumbers w:val="0"/>
                    <w:autoSpaceDE w:val="0"/>
                    <w:autoSpaceDN w:val="0"/>
                    <w:spacing w:before="0" w:beforeAutospacing="0" w:after="0" w:afterAutospacing="0"/>
                    <w:ind w:left="0" w:right="0"/>
                    <w:jc w:val="center"/>
                    <w:rPr>
                      <w:rFonts w:hint="eastAsia" w:ascii="Times New Roman" w:hAnsi="Times New Roman" w:eastAsia="楷体" w:cs="Times New Roman"/>
                      <w:color w:val="auto"/>
                      <w:kern w:val="2"/>
                      <w:sz w:val="21"/>
                      <w:szCs w:val="21"/>
                      <w:highlight w:val="none"/>
                      <w:lang w:val="en-US" w:eastAsia="zh-CN" w:bidi="ar-SA"/>
                    </w:rPr>
                  </w:pPr>
                  <w:r>
                    <w:rPr>
                      <w:rFonts w:hint="default" w:ascii="Times New Roman" w:hAnsi="Times New Roman" w:eastAsia="楷体" w:cs="Times New Roman"/>
                      <w:color w:val="auto"/>
                      <w:szCs w:val="21"/>
                      <w:highlight w:val="none"/>
                    </w:rPr>
                    <w:t>4</w:t>
                  </w:r>
                  <w:r>
                    <w:rPr>
                      <w:rFonts w:hint="eastAsia" w:ascii="Times New Roman" w:hAnsi="Times New Roman" w:eastAsia="楷体" w:cs="Times New Roman"/>
                      <w:color w:val="auto"/>
                      <w:szCs w:val="21"/>
                      <w:highlight w:val="none"/>
                      <w:lang w:val="en-US" w:eastAsia="zh-CN"/>
                    </w:rPr>
                    <w:t>5</w:t>
                  </w:r>
                </w:p>
              </w:tc>
              <w:tc>
                <w:tcPr>
                  <w:tcW w:w="394" w:type="pct"/>
                  <w:vAlign w:val="center"/>
                </w:tcPr>
                <w:p w14:paraId="080FABBA">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highlight w:val="none"/>
                      <w:lang w:bidi="ar"/>
                    </w:rPr>
                  </w:pPr>
                  <w:r>
                    <w:rPr>
                      <w:rFonts w:hint="default" w:ascii="Times New Roman" w:hAnsi="Times New Roman" w:eastAsia="宋体" w:cs="Times New Roman"/>
                      <w:color w:val="auto"/>
                      <w:szCs w:val="21"/>
                      <w:highlight w:val="none"/>
                      <w:lang w:bidi="ar"/>
                    </w:rPr>
                    <w:t>辅助</w:t>
                  </w:r>
                </w:p>
              </w:tc>
              <w:tc>
                <w:tcPr>
                  <w:tcW w:w="660" w:type="pct"/>
                  <w:vAlign w:val="center"/>
                </w:tcPr>
                <w:p w14:paraId="5C3BAD79">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color w:val="auto"/>
                      <w:szCs w:val="21"/>
                      <w:highlight w:val="none"/>
                    </w:rPr>
                  </w:pPr>
                  <w:r>
                    <w:rPr>
                      <w:rFonts w:hint="default" w:ascii="Times New Roman" w:hAnsi="Times New Roman" w:eastAsia="宋体" w:cs="Times New Roman"/>
                      <w:color w:val="auto"/>
                      <w:kern w:val="0"/>
                      <w:szCs w:val="21"/>
                      <w:highlight w:val="none"/>
                      <w:lang w:bidi="ar"/>
                    </w:rPr>
                    <w:t>桁架机械手</w:t>
                  </w:r>
                </w:p>
              </w:tc>
              <w:tc>
                <w:tcPr>
                  <w:tcW w:w="766" w:type="pct"/>
                  <w:vAlign w:val="center"/>
                </w:tcPr>
                <w:p w14:paraId="787AEFEB">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highlight w:val="none"/>
                    </w:rPr>
                  </w:pPr>
                  <w:r>
                    <w:rPr>
                      <w:rFonts w:hint="default" w:ascii="Times New Roman" w:hAnsi="Times New Roman" w:eastAsia="宋体" w:cs="Times New Roman"/>
                      <w:color w:val="auto"/>
                      <w:szCs w:val="21"/>
                      <w:highlight w:val="none"/>
                    </w:rPr>
                    <w:t>/</w:t>
                  </w:r>
                </w:p>
              </w:tc>
              <w:tc>
                <w:tcPr>
                  <w:tcW w:w="483" w:type="pct"/>
                  <w:vAlign w:val="center"/>
                </w:tcPr>
                <w:p w14:paraId="521D1126">
                  <w:pPr>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color w:val="auto"/>
                      <w:szCs w:val="21"/>
                      <w:highlight w:val="none"/>
                    </w:rPr>
                  </w:pPr>
                  <w:r>
                    <w:rPr>
                      <w:rFonts w:hint="eastAsia" w:ascii="Times New Roman" w:hAnsi="Times New Roman" w:eastAsia="宋体" w:cs="Times New Roman"/>
                      <w:color w:val="auto"/>
                      <w:szCs w:val="21"/>
                      <w:highlight w:val="none"/>
                      <w:lang w:val="en-US" w:eastAsia="zh-CN" w:bidi="ar"/>
                    </w:rPr>
                    <w:t>0</w:t>
                  </w:r>
                </w:p>
              </w:tc>
              <w:tc>
                <w:tcPr>
                  <w:tcW w:w="417" w:type="pct"/>
                  <w:vAlign w:val="center"/>
                </w:tcPr>
                <w:p w14:paraId="4AC21BFC">
                  <w:pPr>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color w:val="auto"/>
                      <w:szCs w:val="21"/>
                      <w:highlight w:val="none"/>
                    </w:rPr>
                  </w:pPr>
                  <w:r>
                    <w:rPr>
                      <w:rFonts w:hint="eastAsia" w:ascii="Times New Roman" w:hAnsi="Times New Roman" w:eastAsia="宋体" w:cs="Times New Roman"/>
                      <w:color w:val="auto"/>
                      <w:szCs w:val="21"/>
                      <w:highlight w:val="none"/>
                      <w:lang w:val="en-US" w:eastAsia="zh-CN" w:bidi="ar"/>
                    </w:rPr>
                    <w:t>0</w:t>
                  </w:r>
                </w:p>
              </w:tc>
              <w:tc>
                <w:tcPr>
                  <w:tcW w:w="592" w:type="pct"/>
                  <w:vAlign w:val="center"/>
                </w:tcPr>
                <w:p w14:paraId="1F52F8F8">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color w:val="auto"/>
                      <w:szCs w:val="21"/>
                      <w:highlight w:val="none"/>
                    </w:rPr>
                  </w:pPr>
                  <w:r>
                    <w:rPr>
                      <w:rFonts w:hint="default" w:ascii="Times New Roman" w:hAnsi="Times New Roman" w:eastAsia="宋体" w:cs="Times New Roman"/>
                      <w:color w:val="auto"/>
                      <w:kern w:val="0"/>
                      <w:szCs w:val="21"/>
                      <w:highlight w:val="none"/>
                      <w:lang w:bidi="ar"/>
                    </w:rPr>
                    <w:t>2</w:t>
                  </w:r>
                </w:p>
              </w:tc>
              <w:tc>
                <w:tcPr>
                  <w:tcW w:w="537" w:type="pct"/>
                  <w:shd w:val="clear" w:color="auto" w:fill="auto"/>
                  <w:vAlign w:val="center"/>
                </w:tcPr>
                <w:p w14:paraId="2AF7F1FA">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宋体" w:cs="Times New Roman"/>
                      <w:color w:val="auto"/>
                      <w:kern w:val="2"/>
                      <w:sz w:val="21"/>
                      <w:szCs w:val="21"/>
                      <w:highlight w:val="none"/>
                      <w:lang w:val="en-US" w:eastAsia="zh-CN" w:bidi="ar-SA"/>
                    </w:rPr>
                  </w:pPr>
                  <w:r>
                    <w:rPr>
                      <w:rFonts w:hint="eastAsia" w:ascii="Times New Roman" w:hAnsi="Times New Roman" w:eastAsia="宋体" w:cs="Times New Roman"/>
                      <w:color w:val="auto"/>
                      <w:kern w:val="0"/>
                      <w:szCs w:val="21"/>
                      <w:highlight w:val="none"/>
                      <w:lang w:val="en-US" w:eastAsia="zh-CN" w:bidi="ar"/>
                    </w:rPr>
                    <w:t>+</w:t>
                  </w:r>
                  <w:r>
                    <w:rPr>
                      <w:rFonts w:hint="default" w:ascii="Times New Roman" w:hAnsi="Times New Roman" w:eastAsia="宋体" w:cs="Times New Roman"/>
                      <w:color w:val="auto"/>
                      <w:kern w:val="0"/>
                      <w:szCs w:val="21"/>
                      <w:highlight w:val="none"/>
                      <w:lang w:bidi="ar"/>
                    </w:rPr>
                    <w:t>2</w:t>
                  </w:r>
                </w:p>
              </w:tc>
              <w:tc>
                <w:tcPr>
                  <w:tcW w:w="211" w:type="pct"/>
                  <w:vMerge w:val="continue"/>
                  <w:shd w:val="clear" w:color="auto" w:fill="auto"/>
                  <w:vAlign w:val="center"/>
                </w:tcPr>
                <w:p w14:paraId="0C6184E5">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宋体" w:cs="Times New Roman"/>
                      <w:color w:val="auto"/>
                      <w:kern w:val="0"/>
                      <w:sz w:val="21"/>
                      <w:szCs w:val="21"/>
                      <w:highlight w:val="none"/>
                      <w:lang w:val="en-US" w:eastAsia="zh-CN" w:bidi="ar-SA"/>
                    </w:rPr>
                  </w:pPr>
                </w:p>
              </w:tc>
              <w:tc>
                <w:tcPr>
                  <w:tcW w:w="325" w:type="pct"/>
                  <w:shd w:val="clear" w:color="auto" w:fill="auto"/>
                  <w:vAlign w:val="center"/>
                </w:tcPr>
                <w:p w14:paraId="2E79316A">
                  <w:pPr>
                    <w:keepNext w:val="0"/>
                    <w:keepLines w:val="0"/>
                    <w:widowControl/>
                    <w:suppressLineNumbers w:val="0"/>
                    <w:spacing w:before="0" w:beforeAutospacing="0" w:after="0" w:afterAutospacing="0"/>
                    <w:ind w:left="0" w:leftChars="0" w:right="0" w:rightChars="0"/>
                    <w:jc w:val="center"/>
                    <w:textAlignment w:val="center"/>
                    <w:rPr>
                      <w:rFonts w:hint="eastAsia" w:ascii="Times New Roman" w:hAnsi="Times New Roman" w:eastAsia="宋体" w:cs="Times New Roman"/>
                      <w:color w:val="auto"/>
                      <w:kern w:val="0"/>
                      <w:sz w:val="21"/>
                      <w:szCs w:val="21"/>
                      <w:highlight w:val="none"/>
                      <w:lang w:val="en-US" w:eastAsia="zh-CN" w:bidi="ar-SA"/>
                    </w:rPr>
                  </w:pPr>
                  <w:r>
                    <w:rPr>
                      <w:rFonts w:hint="eastAsia" w:ascii="Times New Roman" w:hAnsi="Times New Roman" w:cs="Times New Roman"/>
                      <w:color w:val="auto"/>
                      <w:kern w:val="2"/>
                      <w:sz w:val="21"/>
                      <w:szCs w:val="21"/>
                      <w:highlight w:val="none"/>
                      <w:lang w:val="en-US" w:eastAsia="zh-CN"/>
                    </w:rPr>
                    <w:t>1楼</w:t>
                  </w:r>
                </w:p>
              </w:tc>
              <w:tc>
                <w:tcPr>
                  <w:tcW w:w="320" w:type="pct"/>
                  <w:vAlign w:val="center"/>
                </w:tcPr>
                <w:p w14:paraId="4D25F977">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highlight w:val="none"/>
                    </w:rPr>
                  </w:pPr>
                  <w:r>
                    <w:rPr>
                      <w:rFonts w:hint="default" w:ascii="Times New Roman" w:hAnsi="Times New Roman" w:eastAsia="宋体" w:cs="Times New Roman"/>
                      <w:color w:val="auto"/>
                      <w:szCs w:val="21"/>
                      <w:highlight w:val="none"/>
                    </w:rPr>
                    <w:t>新增</w:t>
                  </w:r>
                </w:p>
              </w:tc>
            </w:tr>
            <w:tr w14:paraId="7ABE12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291" w:type="pct"/>
                  <w:vAlign w:val="center"/>
                </w:tcPr>
                <w:p w14:paraId="672AA8D2">
                  <w:pPr>
                    <w:keepNext w:val="0"/>
                    <w:keepLines w:val="0"/>
                    <w:suppressLineNumbers w:val="0"/>
                    <w:spacing w:before="0" w:beforeAutospacing="0" w:after="0" w:afterAutospacing="0"/>
                    <w:ind w:left="0" w:right="0"/>
                    <w:jc w:val="center"/>
                    <w:rPr>
                      <w:rFonts w:hint="eastAsia" w:ascii="Times New Roman" w:hAnsi="Times New Roman" w:eastAsia="宋体" w:cs="Times New Roman"/>
                      <w:color w:val="auto"/>
                      <w:szCs w:val="21"/>
                      <w:highlight w:val="none"/>
                      <w:lang w:val="en-US" w:eastAsia="zh-CN"/>
                    </w:rPr>
                  </w:pPr>
                  <w:r>
                    <w:rPr>
                      <w:rFonts w:hint="default" w:ascii="Times New Roman" w:hAnsi="Times New Roman" w:eastAsia="宋体" w:cs="Times New Roman"/>
                      <w:color w:val="auto"/>
                      <w:szCs w:val="21"/>
                      <w:highlight w:val="none"/>
                    </w:rPr>
                    <w:t>4</w:t>
                  </w:r>
                  <w:r>
                    <w:rPr>
                      <w:rFonts w:hint="eastAsia" w:ascii="Times New Roman" w:hAnsi="Times New Roman" w:eastAsia="宋体" w:cs="Times New Roman"/>
                      <w:color w:val="auto"/>
                      <w:szCs w:val="21"/>
                      <w:highlight w:val="none"/>
                      <w:lang w:val="en-US" w:eastAsia="zh-CN"/>
                    </w:rPr>
                    <w:t>6</w:t>
                  </w:r>
                </w:p>
              </w:tc>
              <w:tc>
                <w:tcPr>
                  <w:tcW w:w="394" w:type="pct"/>
                  <w:vAlign w:val="center"/>
                </w:tcPr>
                <w:p w14:paraId="6A9B61FE">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highlight w:val="none"/>
                      <w:lang w:bidi="ar"/>
                    </w:rPr>
                  </w:pPr>
                  <w:r>
                    <w:rPr>
                      <w:rFonts w:hint="default" w:ascii="Times New Roman" w:hAnsi="Times New Roman" w:eastAsia="宋体" w:cs="Times New Roman"/>
                      <w:color w:val="auto"/>
                      <w:szCs w:val="21"/>
                      <w:highlight w:val="none"/>
                      <w:lang w:bidi="ar"/>
                    </w:rPr>
                    <w:t>废气处理</w:t>
                  </w:r>
                </w:p>
              </w:tc>
              <w:tc>
                <w:tcPr>
                  <w:tcW w:w="660" w:type="pct"/>
                  <w:vAlign w:val="center"/>
                </w:tcPr>
                <w:p w14:paraId="660B4814">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highlight w:val="none"/>
                    </w:rPr>
                  </w:pPr>
                  <w:r>
                    <w:rPr>
                      <w:rFonts w:hint="default" w:ascii="Times New Roman" w:hAnsi="Times New Roman" w:eastAsia="宋体" w:cs="Times New Roman"/>
                      <w:color w:val="auto"/>
                      <w:szCs w:val="21"/>
                      <w:highlight w:val="none"/>
                      <w:lang w:bidi="ar"/>
                    </w:rPr>
                    <w:t>废气处理系统</w:t>
                  </w:r>
                </w:p>
              </w:tc>
              <w:tc>
                <w:tcPr>
                  <w:tcW w:w="766" w:type="pct"/>
                  <w:vAlign w:val="center"/>
                </w:tcPr>
                <w:p w14:paraId="59D91C4D">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highlight w:val="none"/>
                    </w:rPr>
                  </w:pPr>
                  <w:r>
                    <w:rPr>
                      <w:rFonts w:hint="default" w:ascii="Times New Roman" w:hAnsi="Times New Roman" w:eastAsia="宋体" w:cs="Times New Roman"/>
                      <w:color w:val="auto"/>
                      <w:szCs w:val="21"/>
                      <w:highlight w:val="none"/>
                      <w:lang w:bidi="ar"/>
                    </w:rPr>
                    <w:t>/</w:t>
                  </w:r>
                </w:p>
              </w:tc>
              <w:tc>
                <w:tcPr>
                  <w:tcW w:w="483" w:type="pct"/>
                  <w:vAlign w:val="center"/>
                </w:tcPr>
                <w:p w14:paraId="79648A23">
                  <w:pPr>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color w:val="auto"/>
                      <w:szCs w:val="21"/>
                      <w:highlight w:val="none"/>
                      <w:lang w:bidi="ar"/>
                    </w:rPr>
                  </w:pPr>
                  <w:r>
                    <w:rPr>
                      <w:rFonts w:hint="eastAsia" w:ascii="Times New Roman" w:hAnsi="Times New Roman" w:eastAsia="宋体" w:cs="Times New Roman"/>
                      <w:color w:val="auto"/>
                      <w:szCs w:val="21"/>
                      <w:highlight w:val="none"/>
                      <w:lang w:val="en-US" w:eastAsia="zh-CN" w:bidi="ar"/>
                    </w:rPr>
                    <w:t>0</w:t>
                  </w:r>
                </w:p>
              </w:tc>
              <w:tc>
                <w:tcPr>
                  <w:tcW w:w="417" w:type="pct"/>
                  <w:vAlign w:val="center"/>
                </w:tcPr>
                <w:p w14:paraId="044188C4">
                  <w:pPr>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color w:val="auto"/>
                      <w:szCs w:val="21"/>
                      <w:highlight w:val="none"/>
                      <w:lang w:bidi="ar"/>
                    </w:rPr>
                  </w:pPr>
                  <w:r>
                    <w:rPr>
                      <w:rFonts w:hint="eastAsia" w:ascii="Times New Roman" w:hAnsi="Times New Roman" w:eastAsia="宋体" w:cs="Times New Roman"/>
                      <w:color w:val="auto"/>
                      <w:szCs w:val="21"/>
                      <w:highlight w:val="none"/>
                      <w:lang w:val="en-US" w:eastAsia="zh-CN" w:bidi="ar"/>
                    </w:rPr>
                    <w:t>0</w:t>
                  </w:r>
                </w:p>
              </w:tc>
              <w:tc>
                <w:tcPr>
                  <w:tcW w:w="592" w:type="pct"/>
                  <w:vAlign w:val="center"/>
                </w:tcPr>
                <w:p w14:paraId="791FAB88">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highlight w:val="none"/>
                    </w:rPr>
                  </w:pPr>
                  <w:r>
                    <w:rPr>
                      <w:rFonts w:hint="default" w:ascii="Times New Roman" w:hAnsi="Times New Roman" w:eastAsia="宋体" w:cs="Times New Roman"/>
                      <w:color w:val="auto"/>
                      <w:szCs w:val="21"/>
                      <w:highlight w:val="none"/>
                      <w:lang w:bidi="ar"/>
                    </w:rPr>
                    <w:t>1</w:t>
                  </w:r>
                </w:p>
              </w:tc>
              <w:tc>
                <w:tcPr>
                  <w:tcW w:w="537" w:type="pct"/>
                  <w:shd w:val="clear" w:color="auto" w:fill="auto"/>
                  <w:vAlign w:val="center"/>
                </w:tcPr>
                <w:p w14:paraId="548191F5">
                  <w:pPr>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color w:val="auto"/>
                      <w:kern w:val="2"/>
                      <w:sz w:val="21"/>
                      <w:szCs w:val="21"/>
                      <w:highlight w:val="none"/>
                      <w:lang w:val="en-US" w:eastAsia="zh-CN" w:bidi="ar-SA"/>
                    </w:rPr>
                  </w:pPr>
                  <w:r>
                    <w:rPr>
                      <w:rFonts w:hint="eastAsia" w:ascii="Times New Roman" w:hAnsi="Times New Roman" w:eastAsia="宋体" w:cs="Times New Roman"/>
                      <w:color w:val="auto"/>
                      <w:szCs w:val="21"/>
                      <w:highlight w:val="none"/>
                      <w:lang w:val="en-US" w:eastAsia="zh-CN" w:bidi="ar"/>
                    </w:rPr>
                    <w:t>+</w:t>
                  </w:r>
                  <w:r>
                    <w:rPr>
                      <w:rFonts w:hint="default" w:ascii="Times New Roman" w:hAnsi="Times New Roman" w:eastAsia="宋体" w:cs="Times New Roman"/>
                      <w:color w:val="auto"/>
                      <w:szCs w:val="21"/>
                      <w:highlight w:val="none"/>
                      <w:lang w:bidi="ar"/>
                    </w:rPr>
                    <w:t>1</w:t>
                  </w:r>
                </w:p>
              </w:tc>
              <w:tc>
                <w:tcPr>
                  <w:tcW w:w="211" w:type="pct"/>
                  <w:vMerge w:val="continue"/>
                  <w:shd w:val="clear" w:color="auto" w:fill="auto"/>
                  <w:vAlign w:val="center"/>
                </w:tcPr>
                <w:p w14:paraId="587AEEE3">
                  <w:pPr>
                    <w:keepNext w:val="0"/>
                    <w:keepLines w:val="0"/>
                    <w:widowControl w:val="0"/>
                    <w:suppressLineNumbers w:val="0"/>
                    <w:spacing w:before="0" w:beforeAutospacing="0" w:after="0" w:afterAutospacing="0"/>
                    <w:ind w:left="0" w:leftChars="0" w:right="0" w:rightChars="0"/>
                    <w:jc w:val="center"/>
                    <w:rPr>
                      <w:rFonts w:hint="default" w:ascii="Times New Roman" w:hAnsi="Times New Roman" w:eastAsia="宋体" w:cs="Times New Roman"/>
                      <w:color w:val="auto"/>
                      <w:kern w:val="2"/>
                      <w:sz w:val="21"/>
                      <w:szCs w:val="21"/>
                      <w:highlight w:val="none"/>
                      <w:lang w:val="en-US" w:eastAsia="zh-CN" w:bidi="ar-SA"/>
                    </w:rPr>
                  </w:pPr>
                </w:p>
              </w:tc>
              <w:tc>
                <w:tcPr>
                  <w:tcW w:w="325" w:type="pct"/>
                  <w:shd w:val="clear" w:color="auto" w:fill="auto"/>
                  <w:vAlign w:val="center"/>
                </w:tcPr>
                <w:p w14:paraId="547F56A8">
                  <w:pPr>
                    <w:keepNext w:val="0"/>
                    <w:keepLines w:val="0"/>
                    <w:widowControl w:val="0"/>
                    <w:suppressLineNumbers w:val="0"/>
                    <w:spacing w:before="0" w:beforeAutospacing="0" w:after="0" w:afterAutospacing="0"/>
                    <w:ind w:left="0" w:leftChars="0" w:right="0" w:rightChars="0"/>
                    <w:jc w:val="center"/>
                    <w:rPr>
                      <w:rFonts w:hint="eastAsia" w:ascii="Times New Roman" w:hAnsi="Times New Roman" w:eastAsia="宋体" w:cs="Times New Roman"/>
                      <w:color w:val="auto"/>
                      <w:kern w:val="2"/>
                      <w:sz w:val="21"/>
                      <w:szCs w:val="21"/>
                      <w:highlight w:val="none"/>
                      <w:lang w:val="en-US" w:eastAsia="zh-CN" w:bidi="ar-SA"/>
                    </w:rPr>
                  </w:pPr>
                  <w:r>
                    <w:rPr>
                      <w:rFonts w:hint="eastAsia" w:ascii="Times New Roman" w:hAnsi="Times New Roman" w:cs="Times New Roman"/>
                      <w:color w:val="auto"/>
                      <w:kern w:val="2"/>
                      <w:sz w:val="21"/>
                      <w:szCs w:val="21"/>
                      <w:highlight w:val="none"/>
                      <w:lang w:val="en-US" w:eastAsia="zh-CN"/>
                    </w:rPr>
                    <w:t>1楼</w:t>
                  </w:r>
                </w:p>
              </w:tc>
              <w:tc>
                <w:tcPr>
                  <w:tcW w:w="320" w:type="pct"/>
                  <w:vAlign w:val="center"/>
                </w:tcPr>
                <w:p w14:paraId="4F048062">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highlight w:val="none"/>
                    </w:rPr>
                  </w:pPr>
                  <w:r>
                    <w:rPr>
                      <w:rFonts w:hint="default" w:ascii="Times New Roman" w:hAnsi="Times New Roman" w:eastAsia="宋体" w:cs="Times New Roman"/>
                      <w:color w:val="auto"/>
                      <w:szCs w:val="21"/>
                      <w:highlight w:val="none"/>
                    </w:rPr>
                    <w:t>新增</w:t>
                  </w:r>
                </w:p>
              </w:tc>
            </w:tr>
            <w:tr w14:paraId="4B6EB4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5000" w:type="pct"/>
                  <w:gridSpan w:val="11"/>
                  <w:vAlign w:val="center"/>
                </w:tcPr>
                <w:p w14:paraId="34913C9A">
                  <w:pPr>
                    <w:keepNext w:val="0"/>
                    <w:keepLines w:val="0"/>
                    <w:suppressLineNumbers w:val="0"/>
                    <w:spacing w:before="0" w:beforeAutospacing="0" w:after="0" w:afterAutospacing="0"/>
                    <w:ind w:left="0" w:right="0"/>
                    <w:jc w:val="center"/>
                    <w:rPr>
                      <w:rFonts w:hint="eastAsia" w:ascii="Times New Roman" w:hAnsi="Times New Roman" w:eastAsia="宋体" w:cs="Times New Roman"/>
                      <w:b/>
                      <w:bCs/>
                      <w:color w:val="auto"/>
                      <w:szCs w:val="21"/>
                      <w:highlight w:val="none"/>
                      <w:lang w:eastAsia="zh-CN"/>
                    </w:rPr>
                  </w:pPr>
                  <w:r>
                    <w:rPr>
                      <w:rFonts w:hint="default" w:ascii="Times New Roman" w:hAnsi="Times New Roman" w:eastAsia="宋体" w:cs="Times New Roman"/>
                      <w:b/>
                      <w:bCs/>
                      <w:color w:val="auto"/>
                      <w:szCs w:val="21"/>
                      <w:highlight w:val="none"/>
                    </w:rPr>
                    <w:t>公用</w:t>
                  </w:r>
                  <w:r>
                    <w:rPr>
                      <w:rFonts w:hint="eastAsia" w:ascii="Times New Roman" w:hAnsi="Times New Roman" w:eastAsia="宋体" w:cs="Times New Roman"/>
                      <w:b/>
                      <w:bCs/>
                      <w:color w:val="auto"/>
                      <w:szCs w:val="21"/>
                      <w:highlight w:val="none"/>
                      <w:lang w:eastAsia="zh-CN"/>
                    </w:rPr>
                    <w:t>（</w:t>
                  </w:r>
                  <w:r>
                    <w:rPr>
                      <w:rFonts w:hint="eastAsia" w:ascii="Times New Roman" w:hAnsi="Times New Roman" w:eastAsia="宋体" w:cs="Times New Roman"/>
                      <w:b/>
                      <w:bCs/>
                      <w:color w:val="auto"/>
                      <w:szCs w:val="21"/>
                      <w:highlight w:val="none"/>
                      <w:lang w:val="en-US" w:eastAsia="zh-CN"/>
                    </w:rPr>
                    <w:t>本项目</w:t>
                  </w:r>
                  <w:r>
                    <w:rPr>
                      <w:rFonts w:hint="eastAsia" w:ascii="Times New Roman" w:hAnsi="Times New Roman" w:eastAsia="宋体" w:cs="Times New Roman"/>
                      <w:b/>
                      <w:bCs/>
                      <w:color w:val="auto"/>
                      <w:szCs w:val="21"/>
                      <w:highlight w:val="none"/>
                      <w:lang w:eastAsia="zh-CN"/>
                    </w:rPr>
                    <w:t>）</w:t>
                  </w:r>
                </w:p>
              </w:tc>
            </w:tr>
            <w:tr w14:paraId="0CB56D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291" w:type="pct"/>
                  <w:shd w:val="clear" w:color="auto" w:fill="auto"/>
                  <w:vAlign w:val="center"/>
                </w:tcPr>
                <w:p w14:paraId="60634BB1">
                  <w:pPr>
                    <w:keepNext w:val="0"/>
                    <w:keepLines w:val="0"/>
                    <w:suppressLineNumbers w:val="0"/>
                    <w:autoSpaceDE w:val="0"/>
                    <w:autoSpaceDN w:val="0"/>
                    <w:spacing w:before="0" w:beforeAutospacing="0" w:after="0" w:afterAutospacing="0"/>
                    <w:ind w:left="0" w:leftChars="0" w:right="0" w:rightChars="0"/>
                    <w:jc w:val="center"/>
                    <w:rPr>
                      <w:rFonts w:hint="eastAsia" w:ascii="Times New Roman" w:hAnsi="Times New Roman" w:eastAsia="楷体" w:cs="Times New Roman"/>
                      <w:color w:val="auto"/>
                      <w:kern w:val="2"/>
                      <w:sz w:val="21"/>
                      <w:szCs w:val="21"/>
                      <w:highlight w:val="none"/>
                      <w:lang w:val="en-US" w:eastAsia="zh-CN" w:bidi="ar-SA"/>
                    </w:rPr>
                  </w:pPr>
                  <w:r>
                    <w:rPr>
                      <w:rFonts w:hint="default" w:ascii="Times New Roman" w:hAnsi="Times New Roman" w:eastAsia="楷体" w:cs="Times New Roman"/>
                      <w:color w:val="auto"/>
                      <w:szCs w:val="21"/>
                      <w:highlight w:val="none"/>
                    </w:rPr>
                    <w:t>4</w:t>
                  </w:r>
                  <w:r>
                    <w:rPr>
                      <w:rFonts w:hint="eastAsia" w:ascii="Times New Roman" w:hAnsi="Times New Roman" w:eastAsia="楷体" w:cs="Times New Roman"/>
                      <w:color w:val="auto"/>
                      <w:szCs w:val="21"/>
                      <w:highlight w:val="none"/>
                      <w:lang w:val="en-US" w:eastAsia="zh-CN"/>
                    </w:rPr>
                    <w:t>7</w:t>
                  </w:r>
                </w:p>
              </w:tc>
              <w:tc>
                <w:tcPr>
                  <w:tcW w:w="394" w:type="pct"/>
                  <w:vMerge w:val="restart"/>
                  <w:vAlign w:val="center"/>
                </w:tcPr>
                <w:p w14:paraId="5C5BA07D">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highlight w:val="none"/>
                    </w:rPr>
                  </w:pPr>
                  <w:r>
                    <w:rPr>
                      <w:rFonts w:hint="default" w:ascii="Times New Roman" w:hAnsi="Times New Roman" w:eastAsia="宋体" w:cs="Times New Roman"/>
                      <w:color w:val="auto"/>
                      <w:szCs w:val="21"/>
                      <w:highlight w:val="none"/>
                    </w:rPr>
                    <w:t>公用</w:t>
                  </w:r>
                </w:p>
              </w:tc>
              <w:tc>
                <w:tcPr>
                  <w:tcW w:w="660" w:type="pct"/>
                  <w:vAlign w:val="center"/>
                </w:tcPr>
                <w:p w14:paraId="4228B76C">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highlight w:val="none"/>
                    </w:rPr>
                  </w:pPr>
                  <w:r>
                    <w:rPr>
                      <w:rFonts w:hint="default" w:ascii="Times New Roman" w:hAnsi="Times New Roman" w:eastAsia="宋体" w:cs="Times New Roman"/>
                      <w:color w:val="auto"/>
                      <w:szCs w:val="21"/>
                      <w:highlight w:val="none"/>
                      <w:lang w:bidi="ar"/>
                    </w:rPr>
                    <w:t>平板推车</w:t>
                  </w:r>
                </w:p>
              </w:tc>
              <w:tc>
                <w:tcPr>
                  <w:tcW w:w="766" w:type="pct"/>
                  <w:vAlign w:val="center"/>
                </w:tcPr>
                <w:p w14:paraId="2F11862C">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highlight w:val="none"/>
                    </w:rPr>
                  </w:pPr>
                  <w:r>
                    <w:rPr>
                      <w:rFonts w:hint="default" w:ascii="Times New Roman" w:hAnsi="Times New Roman" w:eastAsia="宋体" w:cs="Times New Roman"/>
                      <w:color w:val="auto"/>
                      <w:szCs w:val="21"/>
                      <w:highlight w:val="none"/>
                      <w:lang w:bidi="ar"/>
                    </w:rPr>
                    <w:t>/</w:t>
                  </w:r>
                </w:p>
              </w:tc>
              <w:tc>
                <w:tcPr>
                  <w:tcW w:w="483" w:type="pct"/>
                  <w:vAlign w:val="center"/>
                </w:tcPr>
                <w:p w14:paraId="7D1ACBCA">
                  <w:pPr>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color w:val="auto"/>
                      <w:szCs w:val="21"/>
                      <w:highlight w:val="none"/>
                      <w:lang w:bidi="ar"/>
                    </w:rPr>
                  </w:pPr>
                  <w:r>
                    <w:rPr>
                      <w:rFonts w:hint="eastAsia" w:ascii="Times New Roman" w:hAnsi="Times New Roman" w:eastAsia="宋体" w:cs="Times New Roman"/>
                      <w:color w:val="auto"/>
                      <w:szCs w:val="21"/>
                      <w:highlight w:val="none"/>
                      <w:lang w:val="en-US" w:eastAsia="zh-CN" w:bidi="ar"/>
                    </w:rPr>
                    <w:t>0</w:t>
                  </w:r>
                </w:p>
              </w:tc>
              <w:tc>
                <w:tcPr>
                  <w:tcW w:w="417" w:type="pct"/>
                  <w:vAlign w:val="center"/>
                </w:tcPr>
                <w:p w14:paraId="2534895F">
                  <w:pPr>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color w:val="auto"/>
                      <w:szCs w:val="21"/>
                      <w:highlight w:val="none"/>
                      <w:lang w:bidi="ar"/>
                    </w:rPr>
                  </w:pPr>
                  <w:r>
                    <w:rPr>
                      <w:rFonts w:hint="eastAsia" w:ascii="Times New Roman" w:hAnsi="Times New Roman" w:eastAsia="宋体" w:cs="Times New Roman"/>
                      <w:color w:val="auto"/>
                      <w:szCs w:val="21"/>
                      <w:highlight w:val="none"/>
                      <w:lang w:val="en-US" w:eastAsia="zh-CN" w:bidi="ar"/>
                    </w:rPr>
                    <w:t>0</w:t>
                  </w:r>
                </w:p>
              </w:tc>
              <w:tc>
                <w:tcPr>
                  <w:tcW w:w="592" w:type="pct"/>
                  <w:vAlign w:val="center"/>
                </w:tcPr>
                <w:p w14:paraId="4E551AF4">
                  <w:pPr>
                    <w:keepNext w:val="0"/>
                    <w:keepLines w:val="0"/>
                    <w:suppressLineNumbers w:val="0"/>
                    <w:spacing w:before="0" w:beforeAutospacing="0" w:after="0" w:afterAutospacing="0"/>
                    <w:ind w:left="0" w:right="0"/>
                    <w:jc w:val="center"/>
                    <w:rPr>
                      <w:rFonts w:hint="eastAsia" w:ascii="Times New Roman" w:hAnsi="Times New Roman" w:eastAsia="宋体" w:cs="Times New Roman"/>
                      <w:color w:val="auto"/>
                      <w:szCs w:val="21"/>
                      <w:highlight w:val="none"/>
                    </w:rPr>
                  </w:pPr>
                  <w:r>
                    <w:rPr>
                      <w:rFonts w:hint="eastAsia" w:ascii="Times New Roman" w:hAnsi="Times New Roman" w:eastAsia="宋体" w:cs="Times New Roman"/>
                      <w:color w:val="auto"/>
                      <w:szCs w:val="21"/>
                      <w:highlight w:val="none"/>
                      <w:lang w:bidi="ar"/>
                    </w:rPr>
                    <w:t>10</w:t>
                  </w:r>
                </w:p>
              </w:tc>
              <w:tc>
                <w:tcPr>
                  <w:tcW w:w="537" w:type="pct"/>
                  <w:shd w:val="clear" w:color="auto" w:fill="auto"/>
                  <w:vAlign w:val="center"/>
                </w:tcPr>
                <w:p w14:paraId="70BDDD4D">
                  <w:pPr>
                    <w:keepNext w:val="0"/>
                    <w:keepLines w:val="0"/>
                    <w:suppressLineNumbers w:val="0"/>
                    <w:spacing w:before="0" w:beforeAutospacing="0" w:after="0" w:afterAutospacing="0"/>
                    <w:ind w:left="0" w:leftChars="0" w:right="0" w:rightChars="0"/>
                    <w:jc w:val="center"/>
                    <w:rPr>
                      <w:rFonts w:hint="eastAsia" w:ascii="Times New Roman" w:hAnsi="Times New Roman" w:eastAsia="宋体" w:cs="Times New Roman"/>
                      <w:color w:val="auto"/>
                      <w:kern w:val="2"/>
                      <w:sz w:val="21"/>
                      <w:szCs w:val="21"/>
                      <w:highlight w:val="none"/>
                      <w:lang w:val="en-US" w:eastAsia="zh-CN" w:bidi="ar-SA"/>
                    </w:rPr>
                  </w:pPr>
                  <w:r>
                    <w:rPr>
                      <w:rFonts w:hint="eastAsia" w:ascii="Times New Roman" w:hAnsi="Times New Roman" w:eastAsia="宋体" w:cs="Times New Roman"/>
                      <w:color w:val="auto"/>
                      <w:szCs w:val="21"/>
                      <w:highlight w:val="none"/>
                      <w:lang w:val="en-US" w:eastAsia="zh-CN" w:bidi="ar"/>
                    </w:rPr>
                    <w:t>+</w:t>
                  </w:r>
                  <w:r>
                    <w:rPr>
                      <w:rFonts w:hint="eastAsia" w:ascii="Times New Roman" w:hAnsi="Times New Roman" w:eastAsia="宋体" w:cs="Times New Roman"/>
                      <w:color w:val="auto"/>
                      <w:szCs w:val="21"/>
                      <w:highlight w:val="none"/>
                      <w:lang w:bidi="ar"/>
                    </w:rPr>
                    <w:t>10</w:t>
                  </w:r>
                </w:p>
              </w:tc>
              <w:tc>
                <w:tcPr>
                  <w:tcW w:w="211" w:type="pct"/>
                  <w:vMerge w:val="restart"/>
                  <w:shd w:val="clear" w:color="auto" w:fill="auto"/>
                  <w:vAlign w:val="center"/>
                </w:tcPr>
                <w:p w14:paraId="5DE2F334">
                  <w:pPr>
                    <w:keepNext w:val="0"/>
                    <w:keepLines w:val="0"/>
                    <w:widowControl w:val="0"/>
                    <w:suppressLineNumbers w:val="0"/>
                    <w:spacing w:before="0" w:beforeAutospacing="0" w:after="0" w:afterAutospacing="0"/>
                    <w:ind w:left="0" w:leftChars="0" w:right="0" w:rightChars="0"/>
                    <w:jc w:val="center"/>
                    <w:rPr>
                      <w:rFonts w:hint="eastAsia" w:ascii="Times New Roman" w:hAnsi="Times New Roman" w:cs="Times New Roman"/>
                      <w:color w:val="auto"/>
                      <w:kern w:val="2"/>
                      <w:sz w:val="21"/>
                      <w:szCs w:val="21"/>
                      <w:highlight w:val="none"/>
                      <w:lang w:val="en-US" w:eastAsia="zh-CN"/>
                    </w:rPr>
                  </w:pPr>
                  <w:r>
                    <w:rPr>
                      <w:rFonts w:hint="eastAsia" w:ascii="Times New Roman" w:hAnsi="Times New Roman" w:cs="Times New Roman"/>
                      <w:color w:val="0000E1"/>
                      <w:kern w:val="2"/>
                      <w:sz w:val="21"/>
                      <w:szCs w:val="21"/>
                      <w:highlight w:val="none"/>
                      <w:lang w:val="en-US" w:eastAsia="zh-CN"/>
                    </w:rPr>
                    <w:t>本项目租赁2#厂房</w:t>
                  </w:r>
                </w:p>
              </w:tc>
              <w:tc>
                <w:tcPr>
                  <w:tcW w:w="325" w:type="pct"/>
                  <w:shd w:val="clear" w:color="auto" w:fill="auto"/>
                  <w:vAlign w:val="center"/>
                </w:tcPr>
                <w:p w14:paraId="0D850BC0">
                  <w:pPr>
                    <w:keepNext w:val="0"/>
                    <w:keepLines w:val="0"/>
                    <w:widowControl w:val="0"/>
                    <w:suppressLineNumbers w:val="0"/>
                    <w:spacing w:before="0" w:beforeAutospacing="0" w:after="0" w:afterAutospacing="0"/>
                    <w:ind w:left="0" w:leftChars="0" w:right="0" w:rightChars="0"/>
                    <w:jc w:val="center"/>
                    <w:rPr>
                      <w:rFonts w:hint="eastAsia" w:ascii="Times New Roman" w:hAnsi="Times New Roman" w:eastAsia="宋体" w:cs="Times New Roman"/>
                      <w:color w:val="auto"/>
                      <w:kern w:val="2"/>
                      <w:sz w:val="21"/>
                      <w:szCs w:val="21"/>
                      <w:highlight w:val="none"/>
                      <w:lang w:val="en-US" w:eastAsia="zh-CN" w:bidi="ar-SA"/>
                    </w:rPr>
                  </w:pPr>
                  <w:r>
                    <w:rPr>
                      <w:rFonts w:hint="eastAsia" w:ascii="Times New Roman" w:hAnsi="Times New Roman" w:cs="Times New Roman"/>
                      <w:color w:val="auto"/>
                      <w:kern w:val="2"/>
                      <w:sz w:val="21"/>
                      <w:szCs w:val="21"/>
                      <w:highlight w:val="none"/>
                      <w:lang w:val="en-US" w:eastAsia="zh-CN"/>
                    </w:rPr>
                    <w:t>1楼</w:t>
                  </w:r>
                </w:p>
              </w:tc>
              <w:tc>
                <w:tcPr>
                  <w:tcW w:w="320" w:type="pct"/>
                  <w:vAlign w:val="center"/>
                </w:tcPr>
                <w:p w14:paraId="31F7DBBB">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highlight w:val="none"/>
                    </w:rPr>
                  </w:pPr>
                  <w:r>
                    <w:rPr>
                      <w:rFonts w:hint="default" w:ascii="Times New Roman" w:hAnsi="Times New Roman" w:eastAsia="宋体" w:cs="Times New Roman"/>
                      <w:color w:val="auto"/>
                      <w:szCs w:val="21"/>
                      <w:highlight w:val="none"/>
                    </w:rPr>
                    <w:t>新增</w:t>
                  </w:r>
                </w:p>
              </w:tc>
            </w:tr>
            <w:tr w14:paraId="15163B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291" w:type="pct"/>
                  <w:shd w:val="clear" w:color="auto" w:fill="auto"/>
                  <w:vAlign w:val="center"/>
                </w:tcPr>
                <w:p w14:paraId="273C558B">
                  <w:pPr>
                    <w:keepNext w:val="0"/>
                    <w:keepLines w:val="0"/>
                    <w:suppressLineNumbers w:val="0"/>
                    <w:autoSpaceDE w:val="0"/>
                    <w:autoSpaceDN w:val="0"/>
                    <w:spacing w:before="0" w:beforeAutospacing="0" w:after="0" w:afterAutospacing="0"/>
                    <w:ind w:left="0" w:leftChars="0" w:right="0" w:rightChars="0"/>
                    <w:jc w:val="center"/>
                    <w:rPr>
                      <w:rFonts w:hint="eastAsia" w:ascii="Times New Roman" w:hAnsi="Times New Roman" w:eastAsia="楷体" w:cs="Times New Roman"/>
                      <w:color w:val="auto"/>
                      <w:kern w:val="2"/>
                      <w:sz w:val="21"/>
                      <w:szCs w:val="21"/>
                      <w:highlight w:val="none"/>
                      <w:lang w:val="en-US" w:eastAsia="zh-CN" w:bidi="ar-SA"/>
                    </w:rPr>
                  </w:pPr>
                  <w:r>
                    <w:rPr>
                      <w:rFonts w:hint="eastAsia" w:ascii="Times New Roman" w:hAnsi="Times New Roman" w:eastAsia="楷体" w:cs="Times New Roman"/>
                      <w:color w:val="auto"/>
                      <w:szCs w:val="21"/>
                      <w:highlight w:val="none"/>
                      <w:lang w:val="en-US" w:eastAsia="zh-CN"/>
                    </w:rPr>
                    <w:t>48</w:t>
                  </w:r>
                </w:p>
              </w:tc>
              <w:tc>
                <w:tcPr>
                  <w:tcW w:w="394" w:type="pct"/>
                  <w:vMerge w:val="continue"/>
                  <w:vAlign w:val="center"/>
                </w:tcPr>
                <w:p w14:paraId="50AA7FF9">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highlight w:val="none"/>
                    </w:rPr>
                  </w:pPr>
                </w:p>
              </w:tc>
              <w:tc>
                <w:tcPr>
                  <w:tcW w:w="660" w:type="pct"/>
                  <w:vAlign w:val="center"/>
                </w:tcPr>
                <w:p w14:paraId="37FC626D">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kern w:val="0"/>
                      <w:szCs w:val="21"/>
                      <w:highlight w:val="none"/>
                    </w:rPr>
                  </w:pPr>
                  <w:r>
                    <w:rPr>
                      <w:rFonts w:hint="default" w:ascii="Times New Roman" w:hAnsi="Times New Roman" w:eastAsia="宋体" w:cs="Times New Roman"/>
                      <w:color w:val="auto"/>
                      <w:kern w:val="0"/>
                      <w:szCs w:val="21"/>
                      <w:highlight w:val="none"/>
                      <w:lang w:bidi="ar"/>
                    </w:rPr>
                    <w:t>堆高车</w:t>
                  </w:r>
                </w:p>
              </w:tc>
              <w:tc>
                <w:tcPr>
                  <w:tcW w:w="766" w:type="pct"/>
                  <w:vAlign w:val="center"/>
                </w:tcPr>
                <w:p w14:paraId="6858C9CF">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highlight w:val="none"/>
                    </w:rPr>
                  </w:pPr>
                  <w:r>
                    <w:rPr>
                      <w:rFonts w:hint="default" w:ascii="Times New Roman" w:hAnsi="Times New Roman" w:eastAsia="宋体" w:cs="Times New Roman"/>
                      <w:color w:val="auto"/>
                      <w:szCs w:val="21"/>
                      <w:highlight w:val="none"/>
                      <w:lang w:bidi="ar"/>
                    </w:rPr>
                    <w:t>/</w:t>
                  </w:r>
                </w:p>
              </w:tc>
              <w:tc>
                <w:tcPr>
                  <w:tcW w:w="483" w:type="pct"/>
                  <w:vAlign w:val="center"/>
                </w:tcPr>
                <w:p w14:paraId="4EEA6DE4">
                  <w:pPr>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color w:val="auto"/>
                      <w:szCs w:val="21"/>
                      <w:highlight w:val="none"/>
                      <w:lang w:bidi="ar"/>
                    </w:rPr>
                  </w:pPr>
                  <w:r>
                    <w:rPr>
                      <w:rFonts w:hint="eastAsia" w:ascii="Times New Roman" w:hAnsi="Times New Roman" w:eastAsia="宋体" w:cs="Times New Roman"/>
                      <w:color w:val="auto"/>
                      <w:szCs w:val="21"/>
                      <w:highlight w:val="none"/>
                      <w:lang w:val="en-US" w:eastAsia="zh-CN" w:bidi="ar"/>
                    </w:rPr>
                    <w:t>0</w:t>
                  </w:r>
                </w:p>
              </w:tc>
              <w:tc>
                <w:tcPr>
                  <w:tcW w:w="417" w:type="pct"/>
                  <w:vAlign w:val="center"/>
                </w:tcPr>
                <w:p w14:paraId="1687AECB">
                  <w:pPr>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color w:val="auto"/>
                      <w:szCs w:val="21"/>
                      <w:highlight w:val="none"/>
                      <w:lang w:bidi="ar"/>
                    </w:rPr>
                  </w:pPr>
                  <w:r>
                    <w:rPr>
                      <w:rFonts w:hint="eastAsia" w:ascii="Times New Roman" w:hAnsi="Times New Roman" w:eastAsia="宋体" w:cs="Times New Roman"/>
                      <w:color w:val="auto"/>
                      <w:szCs w:val="21"/>
                      <w:highlight w:val="none"/>
                      <w:lang w:val="en-US" w:eastAsia="zh-CN" w:bidi="ar"/>
                    </w:rPr>
                    <w:t>0</w:t>
                  </w:r>
                </w:p>
              </w:tc>
              <w:tc>
                <w:tcPr>
                  <w:tcW w:w="592" w:type="pct"/>
                  <w:vAlign w:val="center"/>
                </w:tcPr>
                <w:p w14:paraId="3142FEB7">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highlight w:val="none"/>
                    </w:rPr>
                  </w:pPr>
                  <w:r>
                    <w:rPr>
                      <w:rFonts w:hint="default" w:ascii="Times New Roman" w:hAnsi="Times New Roman" w:eastAsia="宋体" w:cs="Times New Roman"/>
                      <w:color w:val="auto"/>
                      <w:szCs w:val="21"/>
                      <w:highlight w:val="none"/>
                      <w:lang w:bidi="ar"/>
                    </w:rPr>
                    <w:t>1</w:t>
                  </w:r>
                </w:p>
              </w:tc>
              <w:tc>
                <w:tcPr>
                  <w:tcW w:w="537" w:type="pct"/>
                  <w:shd w:val="clear" w:color="auto" w:fill="auto"/>
                  <w:vAlign w:val="center"/>
                </w:tcPr>
                <w:p w14:paraId="6EFF1DC8">
                  <w:pPr>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color w:val="auto"/>
                      <w:kern w:val="2"/>
                      <w:sz w:val="21"/>
                      <w:szCs w:val="21"/>
                      <w:highlight w:val="none"/>
                      <w:lang w:val="en-US" w:eastAsia="zh-CN" w:bidi="ar-SA"/>
                    </w:rPr>
                  </w:pPr>
                  <w:r>
                    <w:rPr>
                      <w:rFonts w:hint="eastAsia" w:ascii="Times New Roman" w:hAnsi="Times New Roman" w:eastAsia="宋体" w:cs="Times New Roman"/>
                      <w:color w:val="auto"/>
                      <w:szCs w:val="21"/>
                      <w:highlight w:val="none"/>
                      <w:lang w:val="en-US" w:eastAsia="zh-CN" w:bidi="ar"/>
                    </w:rPr>
                    <w:t>+</w:t>
                  </w:r>
                  <w:r>
                    <w:rPr>
                      <w:rFonts w:hint="default" w:ascii="Times New Roman" w:hAnsi="Times New Roman" w:eastAsia="宋体" w:cs="Times New Roman"/>
                      <w:color w:val="auto"/>
                      <w:szCs w:val="21"/>
                      <w:highlight w:val="none"/>
                      <w:lang w:bidi="ar"/>
                    </w:rPr>
                    <w:t>1</w:t>
                  </w:r>
                </w:p>
              </w:tc>
              <w:tc>
                <w:tcPr>
                  <w:tcW w:w="211" w:type="pct"/>
                  <w:vMerge w:val="continue"/>
                  <w:shd w:val="clear" w:color="auto" w:fill="auto"/>
                  <w:vAlign w:val="center"/>
                </w:tcPr>
                <w:p w14:paraId="4AEB6EB6">
                  <w:pPr>
                    <w:keepNext w:val="0"/>
                    <w:keepLines w:val="0"/>
                    <w:widowControl w:val="0"/>
                    <w:suppressLineNumbers w:val="0"/>
                    <w:spacing w:before="0" w:beforeAutospacing="0" w:after="0" w:afterAutospacing="0"/>
                    <w:ind w:left="0" w:leftChars="0" w:right="0" w:rightChars="0"/>
                    <w:jc w:val="center"/>
                    <w:rPr>
                      <w:rFonts w:hint="default" w:ascii="Times New Roman" w:hAnsi="Times New Roman" w:eastAsia="宋体" w:cs="Times New Roman"/>
                      <w:color w:val="auto"/>
                      <w:kern w:val="2"/>
                      <w:sz w:val="21"/>
                      <w:szCs w:val="21"/>
                      <w:highlight w:val="none"/>
                      <w:lang w:val="en-US" w:eastAsia="zh-CN" w:bidi="ar-SA"/>
                    </w:rPr>
                  </w:pPr>
                </w:p>
              </w:tc>
              <w:tc>
                <w:tcPr>
                  <w:tcW w:w="325" w:type="pct"/>
                  <w:shd w:val="clear" w:color="auto" w:fill="auto"/>
                  <w:vAlign w:val="center"/>
                </w:tcPr>
                <w:p w14:paraId="1F64F8A5">
                  <w:pPr>
                    <w:keepNext w:val="0"/>
                    <w:keepLines w:val="0"/>
                    <w:widowControl w:val="0"/>
                    <w:suppressLineNumbers w:val="0"/>
                    <w:spacing w:before="0" w:beforeAutospacing="0" w:after="0" w:afterAutospacing="0"/>
                    <w:ind w:left="0" w:leftChars="0" w:right="0" w:rightChars="0"/>
                    <w:jc w:val="center"/>
                    <w:rPr>
                      <w:rFonts w:hint="eastAsia" w:ascii="Times New Roman" w:hAnsi="Times New Roman" w:eastAsia="宋体" w:cs="Times New Roman"/>
                      <w:color w:val="auto"/>
                      <w:kern w:val="2"/>
                      <w:sz w:val="21"/>
                      <w:szCs w:val="21"/>
                      <w:highlight w:val="none"/>
                      <w:lang w:val="en-US" w:eastAsia="zh-CN" w:bidi="ar-SA"/>
                    </w:rPr>
                  </w:pPr>
                  <w:r>
                    <w:rPr>
                      <w:rFonts w:hint="eastAsia" w:ascii="Times New Roman" w:hAnsi="Times New Roman" w:cs="Times New Roman"/>
                      <w:color w:val="auto"/>
                      <w:kern w:val="2"/>
                      <w:sz w:val="21"/>
                      <w:szCs w:val="21"/>
                      <w:highlight w:val="none"/>
                      <w:lang w:val="en-US" w:eastAsia="zh-CN"/>
                    </w:rPr>
                    <w:t>1楼</w:t>
                  </w:r>
                </w:p>
              </w:tc>
              <w:tc>
                <w:tcPr>
                  <w:tcW w:w="320" w:type="pct"/>
                  <w:vAlign w:val="center"/>
                </w:tcPr>
                <w:p w14:paraId="72327743">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highlight w:val="none"/>
                    </w:rPr>
                  </w:pPr>
                  <w:r>
                    <w:rPr>
                      <w:rFonts w:hint="default" w:ascii="Times New Roman" w:hAnsi="Times New Roman" w:eastAsia="宋体" w:cs="Times New Roman"/>
                      <w:color w:val="auto"/>
                      <w:szCs w:val="21"/>
                      <w:highlight w:val="none"/>
                    </w:rPr>
                    <w:t>新增</w:t>
                  </w:r>
                </w:p>
              </w:tc>
            </w:tr>
            <w:tr w14:paraId="5D2AC6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291" w:type="pct"/>
                  <w:shd w:val="clear" w:color="auto" w:fill="auto"/>
                  <w:vAlign w:val="center"/>
                </w:tcPr>
                <w:p w14:paraId="1101080F">
                  <w:pPr>
                    <w:keepNext w:val="0"/>
                    <w:keepLines w:val="0"/>
                    <w:suppressLineNumbers w:val="0"/>
                    <w:autoSpaceDE w:val="0"/>
                    <w:autoSpaceDN w:val="0"/>
                    <w:spacing w:before="0" w:beforeAutospacing="0" w:after="0" w:afterAutospacing="0"/>
                    <w:ind w:left="0" w:leftChars="0" w:right="0" w:rightChars="0"/>
                    <w:jc w:val="center"/>
                    <w:rPr>
                      <w:rFonts w:hint="default" w:ascii="Times New Roman" w:hAnsi="Times New Roman" w:eastAsia="楷体" w:cs="Times New Roman"/>
                      <w:color w:val="auto"/>
                      <w:kern w:val="2"/>
                      <w:sz w:val="21"/>
                      <w:szCs w:val="21"/>
                      <w:highlight w:val="none"/>
                      <w:lang w:val="en-US" w:eastAsia="zh-CN" w:bidi="ar-SA"/>
                    </w:rPr>
                  </w:pPr>
                  <w:r>
                    <w:rPr>
                      <w:rFonts w:hint="eastAsia" w:ascii="Times New Roman" w:hAnsi="Times New Roman" w:eastAsia="楷体" w:cs="Times New Roman"/>
                      <w:color w:val="auto"/>
                      <w:szCs w:val="21"/>
                      <w:highlight w:val="none"/>
                      <w:lang w:val="en-US" w:eastAsia="zh-CN"/>
                    </w:rPr>
                    <w:t>49</w:t>
                  </w:r>
                </w:p>
              </w:tc>
              <w:tc>
                <w:tcPr>
                  <w:tcW w:w="394" w:type="pct"/>
                  <w:vMerge w:val="continue"/>
                  <w:vAlign w:val="center"/>
                </w:tcPr>
                <w:p w14:paraId="6F9EE018">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highlight w:val="none"/>
                    </w:rPr>
                  </w:pPr>
                </w:p>
              </w:tc>
              <w:tc>
                <w:tcPr>
                  <w:tcW w:w="660" w:type="pct"/>
                  <w:vAlign w:val="center"/>
                </w:tcPr>
                <w:p w14:paraId="3D07DED9">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highlight w:val="none"/>
                    </w:rPr>
                  </w:pPr>
                  <w:r>
                    <w:rPr>
                      <w:rFonts w:hint="default" w:ascii="Times New Roman" w:hAnsi="Times New Roman" w:eastAsia="宋体" w:cs="Times New Roman"/>
                      <w:color w:val="auto"/>
                      <w:szCs w:val="21"/>
                      <w:highlight w:val="none"/>
                      <w:lang w:bidi="ar"/>
                    </w:rPr>
                    <w:t>电动车</w:t>
                  </w:r>
                </w:p>
              </w:tc>
              <w:tc>
                <w:tcPr>
                  <w:tcW w:w="766" w:type="pct"/>
                  <w:vAlign w:val="center"/>
                </w:tcPr>
                <w:p w14:paraId="71FCF47C">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highlight w:val="none"/>
                    </w:rPr>
                  </w:pPr>
                  <w:r>
                    <w:rPr>
                      <w:rFonts w:hint="default" w:ascii="Times New Roman" w:hAnsi="Times New Roman" w:eastAsia="宋体" w:cs="Times New Roman"/>
                      <w:color w:val="auto"/>
                      <w:szCs w:val="21"/>
                      <w:highlight w:val="none"/>
                      <w:lang w:bidi="ar"/>
                    </w:rPr>
                    <w:t>/</w:t>
                  </w:r>
                </w:p>
              </w:tc>
              <w:tc>
                <w:tcPr>
                  <w:tcW w:w="483" w:type="pct"/>
                  <w:vAlign w:val="center"/>
                </w:tcPr>
                <w:p w14:paraId="4C8A65A8">
                  <w:pPr>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color w:val="auto"/>
                      <w:szCs w:val="21"/>
                      <w:highlight w:val="none"/>
                      <w:lang w:bidi="ar"/>
                    </w:rPr>
                  </w:pPr>
                  <w:r>
                    <w:rPr>
                      <w:rFonts w:hint="eastAsia" w:ascii="Times New Roman" w:hAnsi="Times New Roman" w:eastAsia="宋体" w:cs="Times New Roman"/>
                      <w:color w:val="auto"/>
                      <w:szCs w:val="21"/>
                      <w:highlight w:val="none"/>
                      <w:lang w:val="en-US" w:eastAsia="zh-CN" w:bidi="ar"/>
                    </w:rPr>
                    <w:t>0</w:t>
                  </w:r>
                </w:p>
              </w:tc>
              <w:tc>
                <w:tcPr>
                  <w:tcW w:w="417" w:type="pct"/>
                  <w:vAlign w:val="center"/>
                </w:tcPr>
                <w:p w14:paraId="746D6504">
                  <w:pPr>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color w:val="auto"/>
                      <w:szCs w:val="21"/>
                      <w:highlight w:val="none"/>
                      <w:lang w:bidi="ar"/>
                    </w:rPr>
                  </w:pPr>
                  <w:r>
                    <w:rPr>
                      <w:rFonts w:hint="eastAsia" w:ascii="Times New Roman" w:hAnsi="Times New Roman" w:eastAsia="宋体" w:cs="Times New Roman"/>
                      <w:color w:val="auto"/>
                      <w:szCs w:val="21"/>
                      <w:highlight w:val="none"/>
                      <w:lang w:val="en-US" w:eastAsia="zh-CN" w:bidi="ar"/>
                    </w:rPr>
                    <w:t>0</w:t>
                  </w:r>
                </w:p>
              </w:tc>
              <w:tc>
                <w:tcPr>
                  <w:tcW w:w="592" w:type="pct"/>
                  <w:vAlign w:val="center"/>
                </w:tcPr>
                <w:p w14:paraId="103C2818">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highlight w:val="none"/>
                    </w:rPr>
                  </w:pPr>
                  <w:r>
                    <w:rPr>
                      <w:rFonts w:hint="default" w:ascii="Times New Roman" w:hAnsi="Times New Roman" w:eastAsia="宋体" w:cs="Times New Roman"/>
                      <w:color w:val="auto"/>
                      <w:szCs w:val="21"/>
                      <w:highlight w:val="none"/>
                      <w:lang w:bidi="ar"/>
                    </w:rPr>
                    <w:t>1</w:t>
                  </w:r>
                </w:p>
              </w:tc>
              <w:tc>
                <w:tcPr>
                  <w:tcW w:w="537" w:type="pct"/>
                  <w:shd w:val="clear" w:color="auto" w:fill="auto"/>
                  <w:vAlign w:val="center"/>
                </w:tcPr>
                <w:p w14:paraId="2E9956BF">
                  <w:pPr>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color w:val="auto"/>
                      <w:kern w:val="2"/>
                      <w:sz w:val="21"/>
                      <w:szCs w:val="21"/>
                      <w:highlight w:val="none"/>
                      <w:lang w:val="en-US" w:eastAsia="zh-CN" w:bidi="ar-SA"/>
                    </w:rPr>
                  </w:pPr>
                  <w:r>
                    <w:rPr>
                      <w:rFonts w:hint="eastAsia" w:ascii="Times New Roman" w:hAnsi="Times New Roman" w:eastAsia="宋体" w:cs="Times New Roman"/>
                      <w:color w:val="auto"/>
                      <w:szCs w:val="21"/>
                      <w:highlight w:val="none"/>
                      <w:lang w:val="en-US" w:eastAsia="zh-CN" w:bidi="ar"/>
                    </w:rPr>
                    <w:t>+</w:t>
                  </w:r>
                  <w:r>
                    <w:rPr>
                      <w:rFonts w:hint="default" w:ascii="Times New Roman" w:hAnsi="Times New Roman" w:eastAsia="宋体" w:cs="Times New Roman"/>
                      <w:color w:val="auto"/>
                      <w:szCs w:val="21"/>
                      <w:highlight w:val="none"/>
                      <w:lang w:bidi="ar"/>
                    </w:rPr>
                    <w:t>1</w:t>
                  </w:r>
                </w:p>
              </w:tc>
              <w:tc>
                <w:tcPr>
                  <w:tcW w:w="211" w:type="pct"/>
                  <w:vMerge w:val="continue"/>
                  <w:shd w:val="clear" w:color="auto" w:fill="auto"/>
                  <w:vAlign w:val="center"/>
                </w:tcPr>
                <w:p w14:paraId="32284E23">
                  <w:pPr>
                    <w:keepNext w:val="0"/>
                    <w:keepLines w:val="0"/>
                    <w:widowControl w:val="0"/>
                    <w:suppressLineNumbers w:val="0"/>
                    <w:spacing w:before="0" w:beforeAutospacing="0" w:after="0" w:afterAutospacing="0"/>
                    <w:ind w:left="0" w:leftChars="0" w:right="0" w:rightChars="0"/>
                    <w:jc w:val="center"/>
                    <w:rPr>
                      <w:rFonts w:hint="default" w:ascii="Times New Roman" w:hAnsi="Times New Roman" w:eastAsia="宋体" w:cs="Times New Roman"/>
                      <w:color w:val="auto"/>
                      <w:kern w:val="2"/>
                      <w:sz w:val="21"/>
                      <w:szCs w:val="21"/>
                      <w:highlight w:val="none"/>
                      <w:lang w:val="en-US" w:eastAsia="zh-CN" w:bidi="ar-SA"/>
                    </w:rPr>
                  </w:pPr>
                </w:p>
              </w:tc>
              <w:tc>
                <w:tcPr>
                  <w:tcW w:w="325" w:type="pct"/>
                  <w:shd w:val="clear" w:color="auto" w:fill="auto"/>
                  <w:vAlign w:val="center"/>
                </w:tcPr>
                <w:p w14:paraId="771605D7">
                  <w:pPr>
                    <w:keepNext w:val="0"/>
                    <w:keepLines w:val="0"/>
                    <w:widowControl w:val="0"/>
                    <w:suppressLineNumbers w:val="0"/>
                    <w:spacing w:before="0" w:beforeAutospacing="0" w:after="0" w:afterAutospacing="0"/>
                    <w:ind w:left="0" w:leftChars="0" w:right="0" w:rightChars="0"/>
                    <w:jc w:val="center"/>
                    <w:rPr>
                      <w:rFonts w:hint="eastAsia" w:ascii="Times New Roman" w:hAnsi="Times New Roman" w:eastAsia="宋体" w:cs="Times New Roman"/>
                      <w:color w:val="auto"/>
                      <w:kern w:val="2"/>
                      <w:sz w:val="21"/>
                      <w:szCs w:val="21"/>
                      <w:highlight w:val="none"/>
                      <w:lang w:val="en-US" w:eastAsia="zh-CN" w:bidi="ar-SA"/>
                    </w:rPr>
                  </w:pPr>
                  <w:r>
                    <w:rPr>
                      <w:rFonts w:hint="eastAsia" w:ascii="Times New Roman" w:hAnsi="Times New Roman" w:cs="Times New Roman"/>
                      <w:color w:val="auto"/>
                      <w:kern w:val="2"/>
                      <w:sz w:val="21"/>
                      <w:szCs w:val="21"/>
                      <w:highlight w:val="none"/>
                      <w:lang w:val="en-US" w:eastAsia="zh-CN"/>
                    </w:rPr>
                    <w:t>1楼</w:t>
                  </w:r>
                </w:p>
              </w:tc>
              <w:tc>
                <w:tcPr>
                  <w:tcW w:w="320" w:type="pct"/>
                  <w:vAlign w:val="center"/>
                </w:tcPr>
                <w:p w14:paraId="6EDADBAF">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highlight w:val="none"/>
                    </w:rPr>
                  </w:pPr>
                  <w:r>
                    <w:rPr>
                      <w:rFonts w:hint="default" w:ascii="Times New Roman" w:hAnsi="Times New Roman" w:eastAsia="宋体" w:cs="Times New Roman"/>
                      <w:color w:val="auto"/>
                      <w:szCs w:val="21"/>
                      <w:highlight w:val="none"/>
                    </w:rPr>
                    <w:t>新增</w:t>
                  </w:r>
                </w:p>
              </w:tc>
            </w:tr>
            <w:tr w14:paraId="081F45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291" w:type="pct"/>
                  <w:shd w:val="clear" w:color="auto" w:fill="auto"/>
                  <w:vAlign w:val="center"/>
                </w:tcPr>
                <w:p w14:paraId="4D1D6F59">
                  <w:pPr>
                    <w:keepNext w:val="0"/>
                    <w:keepLines w:val="0"/>
                    <w:suppressLineNumbers w:val="0"/>
                    <w:autoSpaceDE w:val="0"/>
                    <w:autoSpaceDN w:val="0"/>
                    <w:spacing w:before="0" w:beforeAutospacing="0" w:after="0" w:afterAutospacing="0"/>
                    <w:ind w:left="0" w:leftChars="0" w:right="0" w:rightChars="0"/>
                    <w:jc w:val="center"/>
                    <w:rPr>
                      <w:rFonts w:hint="default" w:ascii="Times New Roman" w:hAnsi="Times New Roman" w:eastAsia="楷体" w:cs="Times New Roman"/>
                      <w:color w:val="auto"/>
                      <w:kern w:val="2"/>
                      <w:sz w:val="21"/>
                      <w:szCs w:val="21"/>
                      <w:highlight w:val="none"/>
                      <w:lang w:val="en-US" w:eastAsia="zh-CN" w:bidi="ar-SA"/>
                    </w:rPr>
                  </w:pPr>
                  <w:r>
                    <w:rPr>
                      <w:rFonts w:hint="eastAsia" w:ascii="Times New Roman" w:hAnsi="Times New Roman" w:eastAsia="楷体" w:cs="Times New Roman"/>
                      <w:color w:val="auto"/>
                      <w:szCs w:val="21"/>
                      <w:highlight w:val="none"/>
                      <w:lang w:val="en-US" w:eastAsia="zh-CN"/>
                    </w:rPr>
                    <w:t>50</w:t>
                  </w:r>
                </w:p>
              </w:tc>
              <w:tc>
                <w:tcPr>
                  <w:tcW w:w="394" w:type="pct"/>
                  <w:vMerge w:val="continue"/>
                  <w:vAlign w:val="center"/>
                </w:tcPr>
                <w:p w14:paraId="7D458497">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highlight w:val="none"/>
                    </w:rPr>
                  </w:pPr>
                </w:p>
              </w:tc>
              <w:tc>
                <w:tcPr>
                  <w:tcW w:w="660" w:type="pct"/>
                  <w:vAlign w:val="center"/>
                </w:tcPr>
                <w:p w14:paraId="6EFC9E32">
                  <w:pPr>
                    <w:keepNext w:val="0"/>
                    <w:keepLines w:val="0"/>
                    <w:suppressLineNumbers w:val="0"/>
                    <w:spacing w:before="0" w:beforeAutospacing="0" w:after="0" w:afterAutospacing="0"/>
                    <w:ind w:left="0" w:right="0"/>
                    <w:jc w:val="center"/>
                    <w:rPr>
                      <w:rFonts w:hint="eastAsia" w:ascii="Times New Roman" w:hAnsi="Times New Roman" w:eastAsia="宋体" w:cs="Times New Roman"/>
                      <w:color w:val="auto"/>
                      <w:szCs w:val="21"/>
                      <w:highlight w:val="none"/>
                    </w:rPr>
                  </w:pPr>
                  <w:r>
                    <w:rPr>
                      <w:rFonts w:hint="default" w:ascii="Times New Roman" w:hAnsi="Times New Roman" w:eastAsia="宋体" w:cs="Times New Roman"/>
                      <w:color w:val="auto"/>
                      <w:szCs w:val="21"/>
                      <w:highlight w:val="none"/>
                      <w:lang w:bidi="ar"/>
                    </w:rPr>
                    <w:t>变压器</w:t>
                  </w:r>
                </w:p>
              </w:tc>
              <w:tc>
                <w:tcPr>
                  <w:tcW w:w="766" w:type="pct"/>
                  <w:vAlign w:val="center"/>
                </w:tcPr>
                <w:p w14:paraId="6C4DE26A">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highlight w:val="none"/>
                    </w:rPr>
                  </w:pPr>
                  <w:r>
                    <w:rPr>
                      <w:rFonts w:hint="default" w:ascii="Times New Roman" w:hAnsi="Times New Roman" w:eastAsia="宋体" w:cs="Times New Roman"/>
                      <w:color w:val="auto"/>
                      <w:szCs w:val="21"/>
                      <w:highlight w:val="none"/>
                      <w:lang w:bidi="ar"/>
                    </w:rPr>
                    <w:t>SCB14-1000/10</w:t>
                  </w:r>
                </w:p>
              </w:tc>
              <w:tc>
                <w:tcPr>
                  <w:tcW w:w="483" w:type="pct"/>
                  <w:vAlign w:val="center"/>
                </w:tcPr>
                <w:p w14:paraId="142FF8D5">
                  <w:pPr>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color w:val="auto"/>
                      <w:szCs w:val="21"/>
                      <w:highlight w:val="none"/>
                      <w:lang w:bidi="ar"/>
                    </w:rPr>
                  </w:pPr>
                  <w:r>
                    <w:rPr>
                      <w:rFonts w:hint="eastAsia" w:ascii="Times New Roman" w:hAnsi="Times New Roman" w:eastAsia="宋体" w:cs="Times New Roman"/>
                      <w:color w:val="auto"/>
                      <w:szCs w:val="21"/>
                      <w:highlight w:val="none"/>
                      <w:lang w:val="en-US" w:eastAsia="zh-CN" w:bidi="ar"/>
                    </w:rPr>
                    <w:t>0</w:t>
                  </w:r>
                </w:p>
              </w:tc>
              <w:tc>
                <w:tcPr>
                  <w:tcW w:w="417" w:type="pct"/>
                  <w:vAlign w:val="center"/>
                </w:tcPr>
                <w:p w14:paraId="259018B1">
                  <w:pPr>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color w:val="auto"/>
                      <w:szCs w:val="21"/>
                      <w:highlight w:val="none"/>
                      <w:lang w:bidi="ar"/>
                    </w:rPr>
                  </w:pPr>
                  <w:r>
                    <w:rPr>
                      <w:rFonts w:hint="eastAsia" w:ascii="Times New Roman" w:hAnsi="Times New Roman" w:eastAsia="宋体" w:cs="Times New Roman"/>
                      <w:color w:val="auto"/>
                      <w:szCs w:val="21"/>
                      <w:highlight w:val="none"/>
                      <w:lang w:val="en-US" w:eastAsia="zh-CN" w:bidi="ar"/>
                    </w:rPr>
                    <w:t>0</w:t>
                  </w:r>
                </w:p>
              </w:tc>
              <w:tc>
                <w:tcPr>
                  <w:tcW w:w="592" w:type="pct"/>
                  <w:vAlign w:val="center"/>
                </w:tcPr>
                <w:p w14:paraId="02F3FF43">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highlight w:val="none"/>
                    </w:rPr>
                  </w:pPr>
                  <w:r>
                    <w:rPr>
                      <w:rFonts w:hint="default" w:ascii="Times New Roman" w:hAnsi="Times New Roman" w:eastAsia="宋体" w:cs="Times New Roman"/>
                      <w:color w:val="auto"/>
                      <w:szCs w:val="21"/>
                      <w:highlight w:val="none"/>
                      <w:lang w:bidi="ar"/>
                    </w:rPr>
                    <w:t>1</w:t>
                  </w:r>
                </w:p>
              </w:tc>
              <w:tc>
                <w:tcPr>
                  <w:tcW w:w="537" w:type="pct"/>
                  <w:shd w:val="clear" w:color="auto" w:fill="auto"/>
                  <w:vAlign w:val="center"/>
                </w:tcPr>
                <w:p w14:paraId="33448E03">
                  <w:pPr>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color w:val="auto"/>
                      <w:kern w:val="2"/>
                      <w:sz w:val="21"/>
                      <w:szCs w:val="21"/>
                      <w:highlight w:val="none"/>
                      <w:lang w:val="en-US" w:eastAsia="zh-CN" w:bidi="ar-SA"/>
                    </w:rPr>
                  </w:pPr>
                  <w:r>
                    <w:rPr>
                      <w:rFonts w:hint="eastAsia" w:ascii="Times New Roman" w:hAnsi="Times New Roman" w:eastAsia="宋体" w:cs="Times New Roman"/>
                      <w:color w:val="auto"/>
                      <w:szCs w:val="21"/>
                      <w:highlight w:val="none"/>
                      <w:lang w:val="en-US" w:eastAsia="zh-CN" w:bidi="ar"/>
                    </w:rPr>
                    <w:t>+</w:t>
                  </w:r>
                  <w:r>
                    <w:rPr>
                      <w:rFonts w:hint="default" w:ascii="Times New Roman" w:hAnsi="Times New Roman" w:eastAsia="宋体" w:cs="Times New Roman"/>
                      <w:color w:val="auto"/>
                      <w:szCs w:val="21"/>
                      <w:highlight w:val="none"/>
                      <w:lang w:bidi="ar"/>
                    </w:rPr>
                    <w:t>1</w:t>
                  </w:r>
                </w:p>
              </w:tc>
              <w:tc>
                <w:tcPr>
                  <w:tcW w:w="211" w:type="pct"/>
                  <w:vMerge w:val="continue"/>
                  <w:shd w:val="clear" w:color="auto" w:fill="auto"/>
                  <w:vAlign w:val="center"/>
                </w:tcPr>
                <w:p w14:paraId="49208AA3">
                  <w:pPr>
                    <w:keepNext w:val="0"/>
                    <w:keepLines w:val="0"/>
                    <w:widowControl w:val="0"/>
                    <w:suppressLineNumbers w:val="0"/>
                    <w:spacing w:before="0" w:beforeAutospacing="0" w:after="0" w:afterAutospacing="0"/>
                    <w:ind w:left="0" w:leftChars="0" w:right="0" w:rightChars="0"/>
                    <w:jc w:val="center"/>
                    <w:rPr>
                      <w:rFonts w:hint="default" w:ascii="Times New Roman" w:hAnsi="Times New Roman" w:eastAsia="宋体" w:cs="Times New Roman"/>
                      <w:color w:val="auto"/>
                      <w:kern w:val="2"/>
                      <w:sz w:val="21"/>
                      <w:szCs w:val="21"/>
                      <w:highlight w:val="none"/>
                      <w:lang w:val="en-US" w:eastAsia="zh-CN" w:bidi="ar-SA"/>
                    </w:rPr>
                  </w:pPr>
                </w:p>
              </w:tc>
              <w:tc>
                <w:tcPr>
                  <w:tcW w:w="325" w:type="pct"/>
                  <w:shd w:val="clear" w:color="auto" w:fill="auto"/>
                  <w:vAlign w:val="center"/>
                </w:tcPr>
                <w:p w14:paraId="079766C3">
                  <w:pPr>
                    <w:keepNext w:val="0"/>
                    <w:keepLines w:val="0"/>
                    <w:widowControl w:val="0"/>
                    <w:suppressLineNumbers w:val="0"/>
                    <w:spacing w:before="0" w:beforeAutospacing="0" w:after="0" w:afterAutospacing="0"/>
                    <w:ind w:left="0" w:leftChars="0" w:right="0" w:rightChars="0"/>
                    <w:jc w:val="center"/>
                    <w:rPr>
                      <w:rFonts w:hint="eastAsia" w:ascii="Times New Roman" w:hAnsi="Times New Roman" w:eastAsia="宋体" w:cs="Times New Roman"/>
                      <w:color w:val="auto"/>
                      <w:kern w:val="2"/>
                      <w:sz w:val="21"/>
                      <w:szCs w:val="21"/>
                      <w:highlight w:val="none"/>
                      <w:lang w:val="en-US" w:eastAsia="zh-CN" w:bidi="ar-SA"/>
                    </w:rPr>
                  </w:pPr>
                  <w:r>
                    <w:rPr>
                      <w:rFonts w:hint="eastAsia" w:ascii="Times New Roman" w:hAnsi="Times New Roman" w:cs="Times New Roman"/>
                      <w:color w:val="auto"/>
                      <w:kern w:val="2"/>
                      <w:sz w:val="21"/>
                      <w:szCs w:val="21"/>
                      <w:highlight w:val="none"/>
                      <w:lang w:val="en-US" w:eastAsia="zh-CN"/>
                    </w:rPr>
                    <w:t>1楼</w:t>
                  </w:r>
                </w:p>
              </w:tc>
              <w:tc>
                <w:tcPr>
                  <w:tcW w:w="320" w:type="pct"/>
                  <w:vAlign w:val="center"/>
                </w:tcPr>
                <w:p w14:paraId="65945F77">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highlight w:val="none"/>
                    </w:rPr>
                  </w:pPr>
                  <w:r>
                    <w:rPr>
                      <w:rFonts w:hint="default" w:ascii="Times New Roman" w:hAnsi="Times New Roman" w:eastAsia="宋体" w:cs="Times New Roman"/>
                      <w:color w:val="auto"/>
                      <w:szCs w:val="21"/>
                      <w:highlight w:val="none"/>
                    </w:rPr>
                    <w:t>新增</w:t>
                  </w:r>
                </w:p>
              </w:tc>
            </w:tr>
            <w:tr w14:paraId="5D0F46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291" w:type="pct"/>
                  <w:shd w:val="clear" w:color="auto" w:fill="auto"/>
                  <w:vAlign w:val="center"/>
                </w:tcPr>
                <w:p w14:paraId="32CA82F2">
                  <w:pPr>
                    <w:keepNext w:val="0"/>
                    <w:keepLines w:val="0"/>
                    <w:suppressLineNumbers w:val="0"/>
                    <w:autoSpaceDE w:val="0"/>
                    <w:autoSpaceDN w:val="0"/>
                    <w:spacing w:before="0" w:beforeAutospacing="0" w:after="0" w:afterAutospacing="0"/>
                    <w:ind w:left="0" w:leftChars="0" w:right="0" w:rightChars="0"/>
                    <w:jc w:val="center"/>
                    <w:rPr>
                      <w:rFonts w:hint="default" w:ascii="Times New Roman" w:hAnsi="Times New Roman" w:eastAsia="楷体" w:cs="Times New Roman"/>
                      <w:color w:val="auto"/>
                      <w:kern w:val="2"/>
                      <w:sz w:val="21"/>
                      <w:szCs w:val="21"/>
                      <w:highlight w:val="none"/>
                      <w:lang w:val="en-US" w:eastAsia="zh-CN" w:bidi="ar-SA"/>
                    </w:rPr>
                  </w:pPr>
                  <w:r>
                    <w:rPr>
                      <w:rFonts w:hint="eastAsia" w:ascii="Times New Roman" w:hAnsi="Times New Roman" w:eastAsia="楷体" w:cs="Times New Roman"/>
                      <w:color w:val="auto"/>
                      <w:szCs w:val="21"/>
                      <w:highlight w:val="none"/>
                      <w:lang w:val="en-US" w:eastAsia="zh-CN"/>
                    </w:rPr>
                    <w:t>51</w:t>
                  </w:r>
                </w:p>
              </w:tc>
              <w:tc>
                <w:tcPr>
                  <w:tcW w:w="394" w:type="pct"/>
                  <w:vMerge w:val="continue"/>
                  <w:vAlign w:val="center"/>
                </w:tcPr>
                <w:p w14:paraId="1E0E3C55">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highlight w:val="none"/>
                    </w:rPr>
                  </w:pPr>
                </w:p>
              </w:tc>
              <w:tc>
                <w:tcPr>
                  <w:tcW w:w="660" w:type="pct"/>
                  <w:vMerge w:val="restart"/>
                  <w:vAlign w:val="center"/>
                </w:tcPr>
                <w:p w14:paraId="232D481F">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highlight w:val="none"/>
                      <w:lang w:bidi="ar"/>
                    </w:rPr>
                  </w:pPr>
                  <w:r>
                    <w:rPr>
                      <w:rFonts w:hint="default" w:ascii="Times New Roman" w:hAnsi="Times New Roman" w:eastAsia="宋体" w:cs="Times New Roman"/>
                      <w:color w:val="auto"/>
                      <w:szCs w:val="21"/>
                      <w:highlight w:val="none"/>
                      <w:lang w:bidi="ar"/>
                    </w:rPr>
                    <w:t>空压机</w:t>
                  </w:r>
                </w:p>
              </w:tc>
              <w:tc>
                <w:tcPr>
                  <w:tcW w:w="766" w:type="pct"/>
                  <w:shd w:val="clear" w:color="auto" w:fill="auto"/>
                  <w:vAlign w:val="center"/>
                </w:tcPr>
                <w:p w14:paraId="1B348C6E">
                  <w:pPr>
                    <w:keepNext w:val="0"/>
                    <w:keepLines w:val="0"/>
                    <w:suppressLineNumbers w:val="0"/>
                    <w:spacing w:before="0" w:beforeAutospacing="0" w:after="0" w:afterAutospacing="0"/>
                    <w:ind w:left="0" w:right="0"/>
                    <w:jc w:val="center"/>
                    <w:rPr>
                      <w:rFonts w:hint="eastAsia" w:ascii="Times New Roman" w:hAnsi="Times New Roman" w:eastAsia="宋体" w:cs="Times New Roman"/>
                      <w:color w:val="auto"/>
                      <w:szCs w:val="21"/>
                      <w:highlight w:val="none"/>
                      <w:lang w:val="en-US" w:eastAsia="zh-CN" w:bidi="ar"/>
                    </w:rPr>
                  </w:pPr>
                  <w:r>
                    <w:rPr>
                      <w:rFonts w:hint="default" w:ascii="Times New Roman" w:hAnsi="Times New Roman" w:eastAsia="宋体" w:cs="Times New Roman"/>
                      <w:color w:val="auto"/>
                      <w:szCs w:val="21"/>
                      <w:highlight w:val="none"/>
                      <w:lang w:val="en-US" w:eastAsia="zh-CN" w:bidi="ar"/>
                    </w:rPr>
                    <w:t>XS-30</w:t>
                  </w:r>
                  <w:r>
                    <w:rPr>
                      <w:rFonts w:hint="eastAsia" w:ascii="Times New Roman" w:hAnsi="Times New Roman" w:eastAsia="宋体" w:cs="Times New Roman"/>
                      <w:color w:val="auto"/>
                      <w:szCs w:val="21"/>
                      <w:highlight w:val="none"/>
                      <w:lang w:val="en-US" w:eastAsia="zh-CN" w:bidi="ar"/>
                    </w:rPr>
                    <w:t>/</w:t>
                  </w:r>
                  <w:r>
                    <w:rPr>
                      <w:rFonts w:hint="default" w:ascii="Times New Roman" w:hAnsi="Times New Roman" w:eastAsia="宋体" w:cs="Times New Roman"/>
                      <w:color w:val="auto"/>
                      <w:szCs w:val="21"/>
                      <w:highlight w:val="none"/>
                      <w:lang w:val="en-US" w:eastAsia="zh-CN" w:bidi="ar"/>
                    </w:rPr>
                    <w:t>18</w:t>
                  </w:r>
                </w:p>
              </w:tc>
              <w:tc>
                <w:tcPr>
                  <w:tcW w:w="483" w:type="pct"/>
                  <w:shd w:val="clear" w:color="auto" w:fill="auto"/>
                  <w:vAlign w:val="center"/>
                </w:tcPr>
                <w:p w14:paraId="5FAB810B">
                  <w:pPr>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color w:val="auto"/>
                      <w:szCs w:val="21"/>
                      <w:highlight w:val="none"/>
                      <w:lang w:val="en-US" w:eastAsia="zh-CN" w:bidi="ar"/>
                    </w:rPr>
                  </w:pPr>
                  <w:r>
                    <w:rPr>
                      <w:rFonts w:hint="eastAsia" w:ascii="Times New Roman" w:hAnsi="Times New Roman" w:eastAsia="宋体" w:cs="Times New Roman"/>
                      <w:color w:val="auto"/>
                      <w:szCs w:val="21"/>
                      <w:highlight w:val="none"/>
                      <w:lang w:val="en-US" w:eastAsia="zh-CN" w:bidi="ar"/>
                    </w:rPr>
                    <w:t>0</w:t>
                  </w:r>
                </w:p>
              </w:tc>
              <w:tc>
                <w:tcPr>
                  <w:tcW w:w="417" w:type="pct"/>
                  <w:shd w:val="clear" w:color="auto" w:fill="auto"/>
                  <w:vAlign w:val="center"/>
                </w:tcPr>
                <w:p w14:paraId="46A98FDD">
                  <w:pPr>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color w:val="auto"/>
                      <w:szCs w:val="21"/>
                      <w:highlight w:val="none"/>
                      <w:lang w:val="en-US" w:eastAsia="zh-CN" w:bidi="ar"/>
                    </w:rPr>
                  </w:pPr>
                  <w:r>
                    <w:rPr>
                      <w:rFonts w:hint="eastAsia" w:ascii="Times New Roman" w:hAnsi="Times New Roman" w:eastAsia="宋体" w:cs="Times New Roman"/>
                      <w:color w:val="auto"/>
                      <w:szCs w:val="21"/>
                      <w:highlight w:val="none"/>
                      <w:lang w:val="en-US" w:eastAsia="zh-CN" w:bidi="ar"/>
                    </w:rPr>
                    <w:t>0</w:t>
                  </w:r>
                </w:p>
              </w:tc>
              <w:tc>
                <w:tcPr>
                  <w:tcW w:w="592" w:type="pct"/>
                  <w:shd w:val="clear" w:color="auto" w:fill="auto"/>
                  <w:vAlign w:val="center"/>
                </w:tcPr>
                <w:p w14:paraId="49FC1028">
                  <w:pPr>
                    <w:keepNext w:val="0"/>
                    <w:keepLines w:val="0"/>
                    <w:suppressLineNumbers w:val="0"/>
                    <w:spacing w:before="0" w:beforeAutospacing="0" w:after="0" w:afterAutospacing="0"/>
                    <w:ind w:left="0" w:right="0"/>
                    <w:jc w:val="center"/>
                    <w:rPr>
                      <w:rFonts w:hint="eastAsia" w:ascii="Times New Roman" w:hAnsi="Times New Roman" w:eastAsia="宋体" w:cs="Times New Roman"/>
                      <w:color w:val="auto"/>
                      <w:szCs w:val="21"/>
                      <w:highlight w:val="none"/>
                      <w:lang w:val="en-US" w:eastAsia="zh-CN" w:bidi="ar"/>
                    </w:rPr>
                  </w:pPr>
                  <w:r>
                    <w:rPr>
                      <w:rFonts w:hint="default" w:ascii="Times New Roman" w:hAnsi="Times New Roman" w:eastAsia="宋体" w:cs="Times New Roman"/>
                      <w:color w:val="auto"/>
                      <w:szCs w:val="21"/>
                      <w:highlight w:val="none"/>
                      <w:lang w:val="en-US" w:eastAsia="zh-CN" w:bidi="ar"/>
                    </w:rPr>
                    <w:t>1</w:t>
                  </w:r>
                </w:p>
              </w:tc>
              <w:tc>
                <w:tcPr>
                  <w:tcW w:w="537" w:type="pct"/>
                  <w:shd w:val="clear" w:color="auto" w:fill="auto"/>
                  <w:vAlign w:val="center"/>
                </w:tcPr>
                <w:p w14:paraId="12B08246">
                  <w:pPr>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color w:val="auto"/>
                      <w:kern w:val="2"/>
                      <w:sz w:val="21"/>
                      <w:szCs w:val="21"/>
                      <w:highlight w:val="none"/>
                      <w:lang w:val="en-US" w:eastAsia="zh-CN" w:bidi="ar"/>
                    </w:rPr>
                  </w:pPr>
                  <w:r>
                    <w:rPr>
                      <w:rFonts w:hint="eastAsia" w:ascii="Times New Roman" w:hAnsi="Times New Roman" w:eastAsia="宋体" w:cs="Times New Roman"/>
                      <w:color w:val="auto"/>
                      <w:szCs w:val="21"/>
                      <w:highlight w:val="none"/>
                      <w:lang w:val="en-US" w:eastAsia="zh-CN" w:bidi="ar"/>
                    </w:rPr>
                    <w:t>+</w:t>
                  </w:r>
                  <w:r>
                    <w:rPr>
                      <w:rFonts w:hint="default" w:ascii="Times New Roman" w:hAnsi="Times New Roman" w:eastAsia="宋体" w:cs="Times New Roman"/>
                      <w:color w:val="auto"/>
                      <w:szCs w:val="21"/>
                      <w:highlight w:val="none"/>
                      <w:lang w:val="en-US" w:eastAsia="zh-CN" w:bidi="ar"/>
                    </w:rPr>
                    <w:t>1</w:t>
                  </w:r>
                </w:p>
              </w:tc>
              <w:tc>
                <w:tcPr>
                  <w:tcW w:w="211" w:type="pct"/>
                  <w:vMerge w:val="continue"/>
                  <w:shd w:val="clear" w:color="auto" w:fill="auto"/>
                  <w:vAlign w:val="center"/>
                </w:tcPr>
                <w:p w14:paraId="68B78EC0">
                  <w:pPr>
                    <w:keepNext w:val="0"/>
                    <w:keepLines w:val="0"/>
                    <w:widowControl w:val="0"/>
                    <w:suppressLineNumbers w:val="0"/>
                    <w:spacing w:before="0" w:beforeAutospacing="0" w:after="0" w:afterAutospacing="0"/>
                    <w:ind w:left="0" w:leftChars="0" w:right="0" w:rightChars="0"/>
                    <w:jc w:val="center"/>
                    <w:rPr>
                      <w:rFonts w:hint="eastAsia" w:ascii="Times New Roman" w:hAnsi="Times New Roman" w:eastAsia="宋体" w:cs="Times New Roman"/>
                      <w:color w:val="auto"/>
                      <w:kern w:val="2"/>
                      <w:sz w:val="21"/>
                      <w:szCs w:val="21"/>
                      <w:highlight w:val="none"/>
                      <w:lang w:val="en-US" w:eastAsia="zh-CN" w:bidi="ar-SA"/>
                    </w:rPr>
                  </w:pPr>
                </w:p>
              </w:tc>
              <w:tc>
                <w:tcPr>
                  <w:tcW w:w="325" w:type="pct"/>
                  <w:shd w:val="clear" w:color="auto" w:fill="auto"/>
                  <w:vAlign w:val="center"/>
                </w:tcPr>
                <w:p w14:paraId="37A016E6">
                  <w:pPr>
                    <w:keepNext w:val="0"/>
                    <w:keepLines w:val="0"/>
                    <w:widowControl w:val="0"/>
                    <w:suppressLineNumbers w:val="0"/>
                    <w:spacing w:before="0" w:beforeAutospacing="0" w:after="0" w:afterAutospacing="0"/>
                    <w:ind w:left="0" w:leftChars="0" w:right="0" w:rightChars="0"/>
                    <w:jc w:val="center"/>
                    <w:rPr>
                      <w:rFonts w:hint="eastAsia" w:ascii="Times New Roman" w:hAnsi="Times New Roman" w:eastAsia="宋体" w:cs="Times New Roman"/>
                      <w:color w:val="auto"/>
                      <w:kern w:val="2"/>
                      <w:sz w:val="21"/>
                      <w:szCs w:val="21"/>
                      <w:highlight w:val="none"/>
                      <w:lang w:val="en-US" w:eastAsia="zh-CN" w:bidi="ar-SA"/>
                    </w:rPr>
                  </w:pPr>
                  <w:r>
                    <w:rPr>
                      <w:rFonts w:hint="eastAsia" w:ascii="Times New Roman" w:hAnsi="Times New Roman" w:cs="Times New Roman"/>
                      <w:color w:val="auto"/>
                      <w:kern w:val="2"/>
                      <w:sz w:val="21"/>
                      <w:szCs w:val="21"/>
                      <w:highlight w:val="none"/>
                      <w:lang w:val="en-US" w:eastAsia="zh-CN"/>
                    </w:rPr>
                    <w:t>1楼</w:t>
                  </w:r>
                </w:p>
              </w:tc>
              <w:tc>
                <w:tcPr>
                  <w:tcW w:w="320" w:type="pct"/>
                  <w:vAlign w:val="center"/>
                </w:tcPr>
                <w:p w14:paraId="6604B136">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highlight w:val="none"/>
                    </w:rPr>
                  </w:pPr>
                  <w:r>
                    <w:rPr>
                      <w:rFonts w:hint="default" w:ascii="Times New Roman" w:hAnsi="Times New Roman" w:eastAsia="宋体" w:cs="Times New Roman"/>
                      <w:color w:val="auto"/>
                      <w:szCs w:val="21"/>
                      <w:highlight w:val="none"/>
                    </w:rPr>
                    <w:t>新增</w:t>
                  </w:r>
                </w:p>
              </w:tc>
            </w:tr>
            <w:tr w14:paraId="148128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291" w:type="pct"/>
                  <w:shd w:val="clear" w:color="auto" w:fill="auto"/>
                  <w:vAlign w:val="center"/>
                </w:tcPr>
                <w:p w14:paraId="6283CCBB">
                  <w:pPr>
                    <w:keepNext w:val="0"/>
                    <w:keepLines w:val="0"/>
                    <w:suppressLineNumbers w:val="0"/>
                    <w:autoSpaceDE w:val="0"/>
                    <w:autoSpaceDN w:val="0"/>
                    <w:spacing w:before="0" w:beforeAutospacing="0" w:after="0" w:afterAutospacing="0"/>
                    <w:ind w:left="0" w:leftChars="0" w:right="0" w:rightChars="0"/>
                    <w:jc w:val="center"/>
                    <w:rPr>
                      <w:rFonts w:hint="default" w:ascii="Times New Roman" w:hAnsi="Times New Roman" w:eastAsia="楷体" w:cs="Times New Roman"/>
                      <w:color w:val="auto"/>
                      <w:kern w:val="2"/>
                      <w:sz w:val="21"/>
                      <w:szCs w:val="21"/>
                      <w:highlight w:val="none"/>
                      <w:lang w:val="en-US" w:eastAsia="zh-CN" w:bidi="ar-SA"/>
                    </w:rPr>
                  </w:pPr>
                  <w:r>
                    <w:rPr>
                      <w:rFonts w:hint="eastAsia" w:ascii="Times New Roman" w:hAnsi="Times New Roman" w:eastAsia="楷体" w:cs="Times New Roman"/>
                      <w:color w:val="auto"/>
                      <w:szCs w:val="21"/>
                      <w:highlight w:val="none"/>
                      <w:lang w:val="en-US" w:eastAsia="zh-CN"/>
                    </w:rPr>
                    <w:t>52</w:t>
                  </w:r>
                </w:p>
              </w:tc>
              <w:tc>
                <w:tcPr>
                  <w:tcW w:w="394" w:type="pct"/>
                  <w:vMerge w:val="continue"/>
                  <w:vAlign w:val="center"/>
                </w:tcPr>
                <w:p w14:paraId="5827EA14">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highlight w:val="none"/>
                    </w:rPr>
                  </w:pPr>
                </w:p>
              </w:tc>
              <w:tc>
                <w:tcPr>
                  <w:tcW w:w="660" w:type="pct"/>
                  <w:vMerge w:val="continue"/>
                  <w:vAlign w:val="center"/>
                </w:tcPr>
                <w:p w14:paraId="6C97459A">
                  <w:pPr>
                    <w:keepNext w:val="0"/>
                    <w:keepLines w:val="0"/>
                    <w:suppressLineNumbers w:val="0"/>
                    <w:spacing w:before="0" w:beforeAutospacing="0" w:after="0" w:afterAutospacing="0"/>
                    <w:ind w:left="0" w:right="0"/>
                    <w:jc w:val="center"/>
                    <w:rPr>
                      <w:rFonts w:hint="eastAsia" w:ascii="Times New Roman" w:hAnsi="Times New Roman" w:eastAsia="宋体" w:cs="Times New Roman"/>
                      <w:color w:val="auto"/>
                      <w:szCs w:val="21"/>
                      <w:highlight w:val="none"/>
                      <w:lang w:bidi="ar"/>
                    </w:rPr>
                  </w:pPr>
                </w:p>
              </w:tc>
              <w:tc>
                <w:tcPr>
                  <w:tcW w:w="766" w:type="pct"/>
                  <w:shd w:val="clear" w:color="auto" w:fill="auto"/>
                  <w:vAlign w:val="center"/>
                </w:tcPr>
                <w:p w14:paraId="7B6C2953">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highlight w:val="none"/>
                      <w:lang w:val="en-US" w:eastAsia="zh-CN" w:bidi="ar"/>
                    </w:rPr>
                  </w:pPr>
                  <w:r>
                    <w:rPr>
                      <w:rFonts w:hint="default" w:ascii="Times New Roman" w:hAnsi="Times New Roman" w:eastAsia="宋体" w:cs="Times New Roman"/>
                      <w:color w:val="auto"/>
                      <w:szCs w:val="21"/>
                      <w:highlight w:val="none"/>
                      <w:lang w:val="en-US" w:eastAsia="zh-CN" w:bidi="ar"/>
                    </w:rPr>
                    <w:t>ES-50/8</w:t>
                  </w:r>
                </w:p>
              </w:tc>
              <w:tc>
                <w:tcPr>
                  <w:tcW w:w="483" w:type="pct"/>
                  <w:shd w:val="clear" w:color="auto" w:fill="auto"/>
                  <w:vAlign w:val="center"/>
                </w:tcPr>
                <w:p w14:paraId="0FC7B777">
                  <w:pPr>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color w:val="auto"/>
                      <w:szCs w:val="21"/>
                      <w:highlight w:val="none"/>
                      <w:lang w:val="en-US" w:eastAsia="zh-CN" w:bidi="ar"/>
                    </w:rPr>
                  </w:pPr>
                  <w:r>
                    <w:rPr>
                      <w:rFonts w:hint="eastAsia" w:ascii="Times New Roman" w:hAnsi="Times New Roman" w:eastAsia="宋体" w:cs="Times New Roman"/>
                      <w:color w:val="auto"/>
                      <w:szCs w:val="21"/>
                      <w:highlight w:val="none"/>
                      <w:lang w:val="en-US" w:eastAsia="zh-CN" w:bidi="ar"/>
                    </w:rPr>
                    <w:t>0</w:t>
                  </w:r>
                </w:p>
              </w:tc>
              <w:tc>
                <w:tcPr>
                  <w:tcW w:w="417" w:type="pct"/>
                  <w:shd w:val="clear" w:color="auto" w:fill="auto"/>
                  <w:vAlign w:val="center"/>
                </w:tcPr>
                <w:p w14:paraId="2540234D">
                  <w:pPr>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color w:val="auto"/>
                      <w:szCs w:val="21"/>
                      <w:highlight w:val="none"/>
                      <w:lang w:val="en-US" w:eastAsia="zh-CN" w:bidi="ar"/>
                    </w:rPr>
                  </w:pPr>
                  <w:r>
                    <w:rPr>
                      <w:rFonts w:hint="eastAsia" w:ascii="Times New Roman" w:hAnsi="Times New Roman" w:eastAsia="宋体" w:cs="Times New Roman"/>
                      <w:color w:val="auto"/>
                      <w:szCs w:val="21"/>
                      <w:highlight w:val="none"/>
                      <w:lang w:val="en-US" w:eastAsia="zh-CN" w:bidi="ar"/>
                    </w:rPr>
                    <w:t>0</w:t>
                  </w:r>
                </w:p>
              </w:tc>
              <w:tc>
                <w:tcPr>
                  <w:tcW w:w="592" w:type="pct"/>
                  <w:shd w:val="clear" w:color="auto" w:fill="auto"/>
                  <w:vAlign w:val="center"/>
                </w:tcPr>
                <w:p w14:paraId="523EC634">
                  <w:pPr>
                    <w:keepNext w:val="0"/>
                    <w:keepLines w:val="0"/>
                    <w:suppressLineNumbers w:val="0"/>
                    <w:spacing w:before="0" w:beforeAutospacing="0" w:after="0" w:afterAutospacing="0"/>
                    <w:ind w:left="0" w:right="0"/>
                    <w:jc w:val="center"/>
                    <w:rPr>
                      <w:rFonts w:hint="eastAsia" w:ascii="Times New Roman" w:hAnsi="Times New Roman" w:eastAsia="宋体" w:cs="Times New Roman"/>
                      <w:color w:val="auto"/>
                      <w:szCs w:val="21"/>
                      <w:highlight w:val="none"/>
                      <w:lang w:val="en-US" w:eastAsia="zh-CN" w:bidi="ar"/>
                    </w:rPr>
                  </w:pPr>
                  <w:r>
                    <w:rPr>
                      <w:rFonts w:hint="eastAsia" w:ascii="Times New Roman" w:hAnsi="Times New Roman" w:eastAsia="宋体" w:cs="Times New Roman"/>
                      <w:color w:val="auto"/>
                      <w:szCs w:val="21"/>
                      <w:highlight w:val="none"/>
                      <w:lang w:val="en-US" w:eastAsia="zh-CN" w:bidi="ar"/>
                    </w:rPr>
                    <w:t>1</w:t>
                  </w:r>
                </w:p>
              </w:tc>
              <w:tc>
                <w:tcPr>
                  <w:tcW w:w="537" w:type="pct"/>
                  <w:shd w:val="clear" w:color="auto" w:fill="auto"/>
                  <w:vAlign w:val="center"/>
                </w:tcPr>
                <w:p w14:paraId="0CB15CBD">
                  <w:pPr>
                    <w:keepNext w:val="0"/>
                    <w:keepLines w:val="0"/>
                    <w:suppressLineNumbers w:val="0"/>
                    <w:spacing w:before="0" w:beforeAutospacing="0" w:after="0" w:afterAutospacing="0"/>
                    <w:ind w:left="0" w:leftChars="0" w:right="0" w:rightChars="0"/>
                    <w:jc w:val="center"/>
                    <w:rPr>
                      <w:rFonts w:hint="eastAsia" w:ascii="Times New Roman" w:hAnsi="Times New Roman" w:eastAsia="宋体" w:cs="Times New Roman"/>
                      <w:color w:val="auto"/>
                      <w:kern w:val="2"/>
                      <w:sz w:val="21"/>
                      <w:szCs w:val="21"/>
                      <w:highlight w:val="none"/>
                      <w:lang w:val="en-US" w:eastAsia="zh-CN" w:bidi="ar"/>
                    </w:rPr>
                  </w:pPr>
                  <w:r>
                    <w:rPr>
                      <w:rFonts w:hint="eastAsia" w:ascii="Times New Roman" w:hAnsi="Times New Roman" w:eastAsia="宋体" w:cs="Times New Roman"/>
                      <w:color w:val="auto"/>
                      <w:szCs w:val="21"/>
                      <w:highlight w:val="none"/>
                      <w:lang w:val="en-US" w:eastAsia="zh-CN" w:bidi="ar"/>
                    </w:rPr>
                    <w:t>+1</w:t>
                  </w:r>
                </w:p>
              </w:tc>
              <w:tc>
                <w:tcPr>
                  <w:tcW w:w="211" w:type="pct"/>
                  <w:vMerge w:val="continue"/>
                  <w:shd w:val="clear" w:color="auto" w:fill="auto"/>
                  <w:vAlign w:val="center"/>
                </w:tcPr>
                <w:p w14:paraId="30994A93">
                  <w:pPr>
                    <w:keepNext w:val="0"/>
                    <w:keepLines w:val="0"/>
                    <w:widowControl w:val="0"/>
                    <w:suppressLineNumbers w:val="0"/>
                    <w:spacing w:before="0" w:beforeAutospacing="0" w:after="0" w:afterAutospacing="0"/>
                    <w:ind w:left="0" w:leftChars="0" w:right="0" w:rightChars="0"/>
                    <w:jc w:val="center"/>
                    <w:rPr>
                      <w:rFonts w:hint="eastAsia" w:ascii="Times New Roman" w:hAnsi="Times New Roman" w:cs="Times New Roman"/>
                      <w:color w:val="auto"/>
                      <w:kern w:val="2"/>
                      <w:sz w:val="21"/>
                      <w:szCs w:val="21"/>
                      <w:highlight w:val="none"/>
                      <w:lang w:val="en-US" w:eastAsia="zh-CN"/>
                    </w:rPr>
                  </w:pPr>
                </w:p>
              </w:tc>
              <w:tc>
                <w:tcPr>
                  <w:tcW w:w="325" w:type="pct"/>
                  <w:shd w:val="clear" w:color="auto" w:fill="auto"/>
                  <w:vAlign w:val="center"/>
                </w:tcPr>
                <w:p w14:paraId="3AE33FB0">
                  <w:pPr>
                    <w:keepNext w:val="0"/>
                    <w:keepLines w:val="0"/>
                    <w:widowControl w:val="0"/>
                    <w:suppressLineNumbers w:val="0"/>
                    <w:spacing w:before="0" w:beforeAutospacing="0" w:after="0" w:afterAutospacing="0"/>
                    <w:ind w:left="0" w:leftChars="0" w:right="0" w:rightChars="0"/>
                    <w:jc w:val="center"/>
                    <w:rPr>
                      <w:rFonts w:hint="eastAsia" w:ascii="Times New Roman" w:hAnsi="Times New Roman" w:cs="Times New Roman" w:eastAsiaTheme="minorEastAsia"/>
                      <w:color w:val="auto"/>
                      <w:kern w:val="2"/>
                      <w:sz w:val="21"/>
                      <w:szCs w:val="21"/>
                      <w:highlight w:val="none"/>
                      <w:lang w:val="en-US" w:eastAsia="zh-CN" w:bidi="ar-SA"/>
                    </w:rPr>
                  </w:pPr>
                  <w:r>
                    <w:rPr>
                      <w:rFonts w:hint="eastAsia" w:ascii="Times New Roman" w:hAnsi="Times New Roman" w:cs="Times New Roman"/>
                      <w:color w:val="auto"/>
                      <w:kern w:val="2"/>
                      <w:sz w:val="21"/>
                      <w:szCs w:val="21"/>
                      <w:highlight w:val="none"/>
                      <w:lang w:val="en-US" w:eastAsia="zh-CN"/>
                    </w:rPr>
                    <w:t>1楼</w:t>
                  </w:r>
                </w:p>
              </w:tc>
              <w:tc>
                <w:tcPr>
                  <w:tcW w:w="320" w:type="pct"/>
                  <w:vAlign w:val="center"/>
                </w:tcPr>
                <w:p w14:paraId="14C7E0FD">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highlight w:val="none"/>
                    </w:rPr>
                  </w:pPr>
                  <w:r>
                    <w:rPr>
                      <w:rFonts w:hint="default" w:ascii="Times New Roman" w:hAnsi="Times New Roman" w:eastAsia="宋体" w:cs="Times New Roman"/>
                      <w:color w:val="auto"/>
                      <w:szCs w:val="21"/>
                      <w:highlight w:val="none"/>
                    </w:rPr>
                    <w:t>新增</w:t>
                  </w:r>
                </w:p>
              </w:tc>
            </w:tr>
            <w:tr w14:paraId="58C224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291" w:type="pct"/>
                  <w:vAlign w:val="center"/>
                </w:tcPr>
                <w:p w14:paraId="11C6DEDD">
                  <w:pPr>
                    <w:keepNext w:val="0"/>
                    <w:keepLines w:val="0"/>
                    <w:suppressLineNumbers w:val="0"/>
                    <w:autoSpaceDE w:val="0"/>
                    <w:autoSpaceDN w:val="0"/>
                    <w:spacing w:before="0" w:beforeAutospacing="0" w:after="0" w:afterAutospacing="0"/>
                    <w:ind w:left="0" w:right="0"/>
                    <w:jc w:val="center"/>
                    <w:rPr>
                      <w:rFonts w:hint="default" w:ascii="Times New Roman" w:hAnsi="Times New Roman" w:eastAsia="楷体" w:cs="Times New Roman"/>
                      <w:color w:val="auto"/>
                      <w:szCs w:val="21"/>
                      <w:highlight w:val="none"/>
                      <w:lang w:val="en-US" w:eastAsia="zh-CN"/>
                    </w:rPr>
                  </w:pPr>
                  <w:r>
                    <w:rPr>
                      <w:rFonts w:hint="eastAsia" w:ascii="Times New Roman" w:hAnsi="Times New Roman" w:eastAsia="楷体" w:cs="Times New Roman"/>
                      <w:color w:val="auto"/>
                      <w:szCs w:val="21"/>
                      <w:highlight w:val="none"/>
                      <w:lang w:val="en-US" w:eastAsia="zh-CN"/>
                    </w:rPr>
                    <w:t>53</w:t>
                  </w:r>
                </w:p>
              </w:tc>
              <w:tc>
                <w:tcPr>
                  <w:tcW w:w="394" w:type="pct"/>
                  <w:vMerge w:val="continue"/>
                  <w:vAlign w:val="center"/>
                </w:tcPr>
                <w:p w14:paraId="0003F093">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highlight w:val="none"/>
                    </w:rPr>
                  </w:pPr>
                </w:p>
              </w:tc>
              <w:tc>
                <w:tcPr>
                  <w:tcW w:w="660" w:type="pct"/>
                  <w:vMerge w:val="continue"/>
                  <w:vAlign w:val="center"/>
                </w:tcPr>
                <w:p w14:paraId="6946B2A5">
                  <w:pPr>
                    <w:keepNext w:val="0"/>
                    <w:keepLines w:val="0"/>
                    <w:suppressLineNumbers w:val="0"/>
                    <w:spacing w:before="0" w:beforeAutospacing="0" w:after="0" w:afterAutospacing="0"/>
                    <w:ind w:left="0" w:right="0"/>
                    <w:jc w:val="center"/>
                    <w:rPr>
                      <w:rFonts w:hint="eastAsia" w:ascii="Times New Roman" w:hAnsi="Times New Roman" w:eastAsia="宋体" w:cs="Times New Roman"/>
                      <w:color w:val="auto"/>
                      <w:szCs w:val="21"/>
                      <w:highlight w:val="none"/>
                      <w:lang w:bidi="ar"/>
                    </w:rPr>
                  </w:pPr>
                </w:p>
              </w:tc>
              <w:tc>
                <w:tcPr>
                  <w:tcW w:w="766" w:type="pct"/>
                  <w:shd w:val="clear" w:color="auto" w:fill="auto"/>
                  <w:vAlign w:val="center"/>
                </w:tcPr>
                <w:p w14:paraId="07588123">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highlight w:val="none"/>
                      <w:lang w:val="en-US" w:eastAsia="zh-CN" w:bidi="ar"/>
                    </w:rPr>
                  </w:pPr>
                  <w:r>
                    <w:rPr>
                      <w:rFonts w:hint="eastAsia" w:ascii="Times New Roman" w:hAnsi="Times New Roman" w:eastAsia="宋体" w:cs="Times New Roman"/>
                      <w:color w:val="auto"/>
                      <w:szCs w:val="21"/>
                      <w:highlight w:val="none"/>
                      <w:lang w:val="en-US" w:eastAsia="zh-CN" w:bidi="ar"/>
                    </w:rPr>
                    <w:t>ES-10e/8</w:t>
                  </w:r>
                </w:p>
              </w:tc>
              <w:tc>
                <w:tcPr>
                  <w:tcW w:w="483" w:type="pct"/>
                  <w:shd w:val="clear" w:color="auto" w:fill="auto"/>
                  <w:vAlign w:val="center"/>
                </w:tcPr>
                <w:p w14:paraId="4B63DDE5">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highlight w:val="none"/>
                      <w:lang w:val="en-US" w:eastAsia="zh-CN" w:bidi="ar"/>
                    </w:rPr>
                  </w:pPr>
                  <w:r>
                    <w:rPr>
                      <w:rFonts w:hint="eastAsia" w:ascii="Times New Roman" w:hAnsi="Times New Roman" w:eastAsia="宋体" w:cs="Times New Roman"/>
                      <w:color w:val="auto"/>
                      <w:szCs w:val="21"/>
                      <w:highlight w:val="none"/>
                      <w:lang w:val="en-US" w:eastAsia="zh-CN" w:bidi="ar"/>
                    </w:rPr>
                    <w:t>0</w:t>
                  </w:r>
                </w:p>
              </w:tc>
              <w:tc>
                <w:tcPr>
                  <w:tcW w:w="417" w:type="pct"/>
                  <w:shd w:val="clear" w:color="auto" w:fill="auto"/>
                  <w:vAlign w:val="center"/>
                </w:tcPr>
                <w:p w14:paraId="75C2FBEA">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highlight w:val="none"/>
                      <w:lang w:val="en-US" w:eastAsia="zh-CN" w:bidi="ar"/>
                    </w:rPr>
                  </w:pPr>
                  <w:r>
                    <w:rPr>
                      <w:rFonts w:hint="eastAsia" w:ascii="Times New Roman" w:hAnsi="Times New Roman" w:eastAsia="宋体" w:cs="Times New Roman"/>
                      <w:color w:val="auto"/>
                      <w:szCs w:val="21"/>
                      <w:highlight w:val="none"/>
                      <w:lang w:val="en-US" w:eastAsia="zh-CN" w:bidi="ar"/>
                    </w:rPr>
                    <w:t>0</w:t>
                  </w:r>
                </w:p>
              </w:tc>
              <w:tc>
                <w:tcPr>
                  <w:tcW w:w="592" w:type="pct"/>
                  <w:shd w:val="clear" w:color="auto" w:fill="auto"/>
                  <w:vAlign w:val="center"/>
                </w:tcPr>
                <w:p w14:paraId="47F0BFBA">
                  <w:pPr>
                    <w:keepNext w:val="0"/>
                    <w:keepLines w:val="0"/>
                    <w:suppressLineNumbers w:val="0"/>
                    <w:spacing w:before="0" w:beforeAutospacing="0" w:after="0" w:afterAutospacing="0"/>
                    <w:ind w:left="0" w:right="0"/>
                    <w:jc w:val="center"/>
                    <w:rPr>
                      <w:rFonts w:hint="eastAsia" w:ascii="Times New Roman" w:hAnsi="Times New Roman" w:eastAsia="宋体" w:cs="Times New Roman"/>
                      <w:color w:val="auto"/>
                      <w:szCs w:val="21"/>
                      <w:highlight w:val="none"/>
                      <w:lang w:val="en-US" w:eastAsia="zh-CN" w:bidi="ar"/>
                    </w:rPr>
                  </w:pPr>
                  <w:r>
                    <w:rPr>
                      <w:rFonts w:hint="eastAsia" w:ascii="Times New Roman" w:hAnsi="Times New Roman" w:eastAsia="宋体" w:cs="Times New Roman"/>
                      <w:color w:val="auto"/>
                      <w:szCs w:val="21"/>
                      <w:highlight w:val="none"/>
                      <w:lang w:val="en-US" w:eastAsia="zh-CN" w:bidi="ar"/>
                    </w:rPr>
                    <w:t>1</w:t>
                  </w:r>
                </w:p>
              </w:tc>
              <w:tc>
                <w:tcPr>
                  <w:tcW w:w="537" w:type="pct"/>
                  <w:shd w:val="clear" w:color="auto" w:fill="auto"/>
                  <w:vAlign w:val="center"/>
                </w:tcPr>
                <w:p w14:paraId="69CB019C">
                  <w:pPr>
                    <w:keepNext w:val="0"/>
                    <w:keepLines w:val="0"/>
                    <w:suppressLineNumbers w:val="0"/>
                    <w:spacing w:before="0" w:beforeAutospacing="0" w:after="0" w:afterAutospacing="0"/>
                    <w:ind w:left="0" w:leftChars="0" w:right="0" w:rightChars="0"/>
                    <w:jc w:val="center"/>
                    <w:rPr>
                      <w:rFonts w:hint="eastAsia" w:ascii="Times New Roman" w:hAnsi="Times New Roman" w:eastAsia="宋体" w:cs="Times New Roman"/>
                      <w:color w:val="auto"/>
                      <w:kern w:val="2"/>
                      <w:sz w:val="21"/>
                      <w:szCs w:val="21"/>
                      <w:highlight w:val="none"/>
                      <w:lang w:val="en-US" w:eastAsia="zh-CN" w:bidi="ar"/>
                    </w:rPr>
                  </w:pPr>
                  <w:r>
                    <w:rPr>
                      <w:rFonts w:hint="eastAsia" w:ascii="Times New Roman" w:hAnsi="Times New Roman" w:eastAsia="宋体" w:cs="Times New Roman"/>
                      <w:color w:val="auto"/>
                      <w:szCs w:val="21"/>
                      <w:highlight w:val="none"/>
                      <w:lang w:val="en-US" w:eastAsia="zh-CN" w:bidi="ar"/>
                    </w:rPr>
                    <w:t>+1</w:t>
                  </w:r>
                </w:p>
              </w:tc>
              <w:tc>
                <w:tcPr>
                  <w:tcW w:w="211" w:type="pct"/>
                  <w:vMerge w:val="continue"/>
                  <w:shd w:val="clear" w:color="auto" w:fill="auto"/>
                  <w:vAlign w:val="center"/>
                </w:tcPr>
                <w:p w14:paraId="1DE3404E">
                  <w:pPr>
                    <w:keepNext w:val="0"/>
                    <w:keepLines w:val="0"/>
                    <w:widowControl w:val="0"/>
                    <w:suppressLineNumbers w:val="0"/>
                    <w:spacing w:before="0" w:beforeAutospacing="0" w:after="0" w:afterAutospacing="0"/>
                    <w:ind w:left="0" w:leftChars="0" w:right="0" w:rightChars="0"/>
                    <w:jc w:val="center"/>
                    <w:rPr>
                      <w:rFonts w:hint="eastAsia" w:ascii="Times New Roman" w:hAnsi="Times New Roman" w:cs="Times New Roman"/>
                      <w:color w:val="auto"/>
                      <w:kern w:val="2"/>
                      <w:sz w:val="21"/>
                      <w:szCs w:val="21"/>
                      <w:highlight w:val="none"/>
                      <w:lang w:val="en-US" w:eastAsia="zh-CN"/>
                    </w:rPr>
                  </w:pPr>
                </w:p>
              </w:tc>
              <w:tc>
                <w:tcPr>
                  <w:tcW w:w="325" w:type="pct"/>
                  <w:shd w:val="clear" w:color="auto" w:fill="auto"/>
                  <w:vAlign w:val="center"/>
                </w:tcPr>
                <w:p w14:paraId="0175AFDF">
                  <w:pPr>
                    <w:keepNext w:val="0"/>
                    <w:keepLines w:val="0"/>
                    <w:widowControl w:val="0"/>
                    <w:suppressLineNumbers w:val="0"/>
                    <w:spacing w:before="0" w:beforeAutospacing="0" w:after="0" w:afterAutospacing="0"/>
                    <w:ind w:left="0" w:leftChars="0" w:right="0" w:rightChars="0"/>
                    <w:jc w:val="center"/>
                    <w:rPr>
                      <w:rFonts w:hint="eastAsia" w:ascii="Times New Roman" w:hAnsi="Times New Roman" w:cs="Times New Roman" w:eastAsiaTheme="minorEastAsia"/>
                      <w:color w:val="auto"/>
                      <w:kern w:val="2"/>
                      <w:sz w:val="21"/>
                      <w:szCs w:val="21"/>
                      <w:highlight w:val="none"/>
                      <w:lang w:val="en-US" w:eastAsia="zh-CN" w:bidi="ar-SA"/>
                    </w:rPr>
                  </w:pPr>
                  <w:r>
                    <w:rPr>
                      <w:rFonts w:hint="eastAsia" w:ascii="Times New Roman" w:hAnsi="Times New Roman" w:cs="Times New Roman"/>
                      <w:color w:val="auto"/>
                      <w:kern w:val="2"/>
                      <w:sz w:val="21"/>
                      <w:szCs w:val="21"/>
                      <w:highlight w:val="none"/>
                      <w:lang w:val="en-US" w:eastAsia="zh-CN"/>
                    </w:rPr>
                    <w:t>2楼</w:t>
                  </w:r>
                </w:p>
              </w:tc>
              <w:tc>
                <w:tcPr>
                  <w:tcW w:w="320" w:type="pct"/>
                  <w:vAlign w:val="center"/>
                </w:tcPr>
                <w:p w14:paraId="1C4546C3">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highlight w:val="none"/>
                    </w:rPr>
                  </w:pPr>
                  <w:r>
                    <w:rPr>
                      <w:rFonts w:hint="default" w:ascii="Times New Roman" w:hAnsi="Times New Roman" w:eastAsia="宋体" w:cs="Times New Roman"/>
                      <w:color w:val="auto"/>
                      <w:szCs w:val="21"/>
                      <w:highlight w:val="none"/>
                    </w:rPr>
                    <w:t>新增</w:t>
                  </w:r>
                </w:p>
              </w:tc>
            </w:tr>
            <w:tr w14:paraId="6F849A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5000" w:type="pct"/>
                  <w:gridSpan w:val="11"/>
                  <w:vAlign w:val="center"/>
                </w:tcPr>
                <w:p w14:paraId="2EB5A117">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highlight w:val="none"/>
                    </w:rPr>
                  </w:pPr>
                  <w:r>
                    <w:rPr>
                      <w:rFonts w:hint="eastAsia" w:ascii="Times New Roman" w:hAnsi="Times New Roman" w:eastAsia="宋体" w:cs="Times New Roman"/>
                      <w:color w:val="0000FF"/>
                      <w:szCs w:val="21"/>
                      <w:highlight w:val="none"/>
                      <w:lang w:val="en-US" w:eastAsia="zh-CN"/>
                    </w:rPr>
                    <w:t>注：</w:t>
                  </w:r>
                  <w:r>
                    <w:rPr>
                      <w:rFonts w:hint="default" w:ascii="Times New Roman" w:hAnsi="Times New Roman" w:eastAsia="宋体" w:cs="Times New Roman"/>
                      <w:color w:val="0000FF"/>
                      <w:szCs w:val="21"/>
                      <w:highlight w:val="none"/>
                    </w:rPr>
                    <w:t>本项目所有生产设备均为新增购置独立安装于租赁厂房内，与现有项目位于不同厂区，两厂区设备完全独立运行，不存在共用或调配使用情况。</w:t>
                  </w:r>
                </w:p>
              </w:tc>
            </w:tr>
          </w:tbl>
          <w:p w14:paraId="2E20B190">
            <w:pPr>
              <w:keepNext w:val="0"/>
              <w:keepLines w:val="0"/>
              <w:suppressLineNumbers w:val="0"/>
              <w:spacing w:before="0" w:beforeAutospacing="0" w:after="0" w:afterAutospacing="0" w:line="360" w:lineRule="auto"/>
              <w:ind w:left="0" w:right="0" w:firstLine="482" w:firstLineChars="200"/>
              <w:rPr>
                <w:rFonts w:hint="default" w:ascii="Times New Roman" w:hAnsi="Times New Roman" w:eastAsia="宋体" w:cs="Times New Roman"/>
                <w:b/>
                <w:bCs/>
                <w:color w:val="auto"/>
                <w:sz w:val="24"/>
              </w:rPr>
            </w:pPr>
            <w:r>
              <w:rPr>
                <w:rFonts w:hint="eastAsia" w:ascii="Times New Roman" w:hAnsi="Times New Roman" w:eastAsia="宋体" w:cs="Times New Roman"/>
                <w:b/>
                <w:bCs/>
                <w:color w:val="auto"/>
                <w:sz w:val="24"/>
              </w:rPr>
              <w:t>产能匹配性分析：</w:t>
            </w:r>
          </w:p>
          <w:p w14:paraId="3748B562">
            <w:pPr>
              <w:keepNext w:val="0"/>
              <w:keepLines w:val="0"/>
              <w:suppressLineNumbers w:val="0"/>
              <w:spacing w:before="0" w:beforeAutospacing="0" w:after="0" w:afterAutospacing="0" w:line="360" w:lineRule="auto"/>
              <w:ind w:left="0" w:right="0" w:firstLine="480" w:firstLineChars="200"/>
              <w:rPr>
                <w:rFonts w:hint="default" w:ascii="Times New Roman" w:hAnsi="Times New Roman" w:eastAsia="宋体" w:cs="Times New Roman"/>
                <w:color w:val="auto"/>
                <w:sz w:val="24"/>
              </w:rPr>
            </w:pPr>
            <w:r>
              <w:rPr>
                <w:rFonts w:hint="eastAsia" w:ascii="Times New Roman" w:hAnsi="Times New Roman" w:eastAsia="宋体" w:cs="Times New Roman"/>
                <w:color w:val="auto"/>
                <w:sz w:val="24"/>
              </w:rPr>
              <w:t>经现场调查并与企业生产主管人员核实，企业主要产能控制设备为</w:t>
            </w:r>
            <w:r>
              <w:rPr>
                <w:rFonts w:hint="default" w:ascii="Times New Roman" w:hAnsi="Times New Roman" w:eastAsia="宋体" w:cs="Times New Roman"/>
                <w:color w:val="auto"/>
                <w:sz w:val="24"/>
              </w:rPr>
              <w:t>压延涂布机、1450立式（浸涂）涂布生产线、</w:t>
            </w:r>
            <w:r>
              <w:rPr>
                <w:rFonts w:hint="default" w:ascii="Times New Roman" w:hAnsi="Times New Roman" w:eastAsia="宋体" w:cs="Times New Roman"/>
                <w:color w:val="FF0000"/>
                <w:sz w:val="24"/>
              </w:rPr>
              <w:t>隧道式烤箱</w:t>
            </w:r>
            <w:r>
              <w:rPr>
                <w:rFonts w:hint="default"/>
              </w:rPr>
              <w:commentReference w:id="28"/>
            </w:r>
            <w:r>
              <w:rPr>
                <w:rFonts w:hint="eastAsia" w:ascii="Times New Roman" w:hAnsi="Times New Roman" w:eastAsia="宋体" w:cs="Times New Roman"/>
                <w:color w:val="FF0000"/>
                <w:sz w:val="24"/>
                <w:lang w:eastAsia="zh-CN"/>
              </w:rPr>
              <w:t>、</w:t>
            </w:r>
            <w:r>
              <w:rPr>
                <w:rFonts w:hint="eastAsia" w:ascii="Times New Roman" w:hAnsi="Times New Roman" w:eastAsia="宋体" w:cs="Times New Roman"/>
                <w:color w:val="auto"/>
                <w:sz w:val="24"/>
                <w:lang w:eastAsia="zh-CN"/>
              </w:rPr>
              <w:t>超薄纳米板成型机</w:t>
            </w:r>
            <w:r>
              <w:rPr>
                <w:rFonts w:hint="eastAsia" w:ascii="Times New Roman" w:hAnsi="Times New Roman" w:eastAsia="宋体" w:cs="Times New Roman"/>
                <w:color w:val="auto"/>
                <w:sz w:val="24"/>
              </w:rPr>
              <w:t>。企业设备产能匹配性分析具体见下表。</w:t>
            </w:r>
          </w:p>
          <w:p w14:paraId="7B6342CB">
            <w:pPr>
              <w:keepNext w:val="0"/>
              <w:keepLines w:val="0"/>
              <w:suppressLineNumbers w:val="0"/>
              <w:spacing w:before="0" w:beforeAutospacing="0" w:after="0" w:afterAutospacing="0"/>
              <w:ind w:left="0" w:right="0"/>
              <w:jc w:val="center"/>
              <w:rPr>
                <w:rFonts w:hint="default" w:ascii="Times New Roman" w:hAnsi="Times New Roman" w:eastAsia="宋体" w:cs="Times New Roman"/>
                <w:b/>
                <w:bCs/>
                <w:color w:val="auto"/>
              </w:rPr>
            </w:pPr>
            <w:r>
              <w:rPr>
                <w:rFonts w:hint="eastAsia" w:ascii="Times New Roman" w:hAnsi="Times New Roman" w:eastAsia="宋体" w:cs="Times New Roman"/>
                <w:b/>
                <w:bCs/>
                <w:color w:val="auto"/>
              </w:rPr>
              <w:t>表2-</w:t>
            </w:r>
            <w:r>
              <w:rPr>
                <w:rFonts w:hint="eastAsia" w:ascii="Times New Roman" w:hAnsi="Times New Roman" w:eastAsia="宋体" w:cs="Times New Roman"/>
                <w:b/>
                <w:bCs/>
                <w:color w:val="auto"/>
                <w:lang w:val="en-US" w:eastAsia="zh-CN"/>
              </w:rPr>
              <w:t>6</w:t>
            </w:r>
            <w:r>
              <w:rPr>
                <w:rFonts w:hint="eastAsia" w:ascii="Times New Roman" w:hAnsi="Times New Roman" w:eastAsia="宋体" w:cs="Times New Roman"/>
                <w:b/>
                <w:bCs/>
                <w:color w:val="auto"/>
              </w:rPr>
              <w:t xml:space="preserve">  项目产能匹配性分析</w:t>
            </w:r>
          </w:p>
          <w:tbl>
            <w:tblPr>
              <w:tblStyle w:val="23"/>
              <w:tblW w:w="4998"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328"/>
              <w:gridCol w:w="981"/>
              <w:gridCol w:w="888"/>
              <w:gridCol w:w="1118"/>
              <w:gridCol w:w="840"/>
              <w:gridCol w:w="570"/>
              <w:gridCol w:w="780"/>
              <w:gridCol w:w="840"/>
              <w:gridCol w:w="827"/>
            </w:tblGrid>
            <w:tr w14:paraId="6DF829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812" w:type="pct"/>
                  <w:vAlign w:val="center"/>
                </w:tcPr>
                <w:p w14:paraId="54003BBF">
                  <w:pPr>
                    <w:keepNext w:val="0"/>
                    <w:keepLines w:val="0"/>
                    <w:widowControl/>
                    <w:suppressLineNumbers w:val="0"/>
                    <w:spacing w:before="0" w:beforeAutospacing="0" w:after="0" w:afterAutospacing="0"/>
                    <w:ind w:left="0" w:right="0"/>
                    <w:jc w:val="center"/>
                    <w:rPr>
                      <w:rFonts w:hint="default" w:ascii="Times New Roman" w:hAnsi="Times New Roman" w:eastAsia="宋体" w:cs="Times New Roman"/>
                      <w:b/>
                      <w:bCs/>
                      <w:color w:val="auto"/>
                      <w:kern w:val="0"/>
                      <w:szCs w:val="21"/>
                      <w:lang w:bidi="ar"/>
                    </w:rPr>
                  </w:pPr>
                  <w:r>
                    <w:rPr>
                      <w:rFonts w:hint="default" w:ascii="Times New Roman" w:hAnsi="Times New Roman" w:eastAsia="宋体" w:cs="Times New Roman"/>
                      <w:b/>
                      <w:bCs/>
                      <w:color w:val="auto"/>
                      <w:kern w:val="0"/>
                      <w:szCs w:val="21"/>
                      <w:lang w:bidi="ar"/>
                    </w:rPr>
                    <w:t>设备名称</w:t>
                  </w:r>
                </w:p>
              </w:tc>
              <w:tc>
                <w:tcPr>
                  <w:tcW w:w="600" w:type="pct"/>
                  <w:vAlign w:val="center"/>
                </w:tcPr>
                <w:p w14:paraId="28010320">
                  <w:pPr>
                    <w:keepNext w:val="0"/>
                    <w:keepLines w:val="0"/>
                    <w:widowControl/>
                    <w:suppressLineNumbers w:val="0"/>
                    <w:spacing w:before="0" w:beforeAutospacing="0" w:after="0" w:afterAutospacing="0"/>
                    <w:ind w:left="0" w:right="0"/>
                    <w:jc w:val="center"/>
                    <w:rPr>
                      <w:rFonts w:hint="default" w:ascii="Times New Roman" w:hAnsi="Times New Roman" w:eastAsia="宋体" w:cs="Times New Roman"/>
                      <w:b/>
                      <w:bCs/>
                      <w:color w:val="auto"/>
                      <w:kern w:val="0"/>
                      <w:szCs w:val="21"/>
                      <w:lang w:bidi="ar"/>
                    </w:rPr>
                  </w:pPr>
                  <w:r>
                    <w:rPr>
                      <w:rFonts w:hint="default" w:ascii="Times New Roman" w:hAnsi="Times New Roman" w:eastAsia="宋体" w:cs="Times New Roman"/>
                      <w:b/>
                      <w:bCs/>
                      <w:color w:val="auto"/>
                      <w:kern w:val="0"/>
                      <w:szCs w:val="21"/>
                      <w:lang w:bidi="ar"/>
                    </w:rPr>
                    <w:t>型号</w:t>
                  </w:r>
                </w:p>
              </w:tc>
              <w:tc>
                <w:tcPr>
                  <w:tcW w:w="543" w:type="pct"/>
                  <w:vAlign w:val="center"/>
                </w:tcPr>
                <w:p w14:paraId="49E1BC50">
                  <w:pPr>
                    <w:keepNext w:val="0"/>
                    <w:keepLines w:val="0"/>
                    <w:widowControl/>
                    <w:suppressLineNumbers w:val="0"/>
                    <w:spacing w:before="0" w:beforeAutospacing="0" w:after="0" w:afterAutospacing="0"/>
                    <w:ind w:left="0" w:right="0"/>
                    <w:jc w:val="center"/>
                    <w:rPr>
                      <w:rFonts w:hint="default" w:ascii="Times New Roman" w:hAnsi="Times New Roman" w:eastAsia="宋体" w:cs="Times New Roman"/>
                      <w:b/>
                      <w:bCs/>
                      <w:color w:val="auto"/>
                      <w:kern w:val="0"/>
                      <w:szCs w:val="21"/>
                      <w:lang w:bidi="ar"/>
                    </w:rPr>
                  </w:pPr>
                  <w:r>
                    <w:rPr>
                      <w:rFonts w:hint="default" w:ascii="Times New Roman" w:hAnsi="Times New Roman" w:eastAsia="宋体" w:cs="Times New Roman"/>
                      <w:b/>
                      <w:bCs/>
                      <w:color w:val="auto"/>
                      <w:kern w:val="0"/>
                      <w:szCs w:val="21"/>
                      <w:lang w:bidi="ar"/>
                    </w:rPr>
                    <w:t>数量</w:t>
                  </w:r>
                </w:p>
                <w:p w14:paraId="74023328">
                  <w:pPr>
                    <w:keepNext w:val="0"/>
                    <w:keepLines w:val="0"/>
                    <w:widowControl/>
                    <w:suppressLineNumbers w:val="0"/>
                    <w:spacing w:before="0" w:beforeAutospacing="0" w:after="0" w:afterAutospacing="0"/>
                    <w:ind w:left="0" w:right="0"/>
                    <w:jc w:val="center"/>
                    <w:rPr>
                      <w:rFonts w:hint="default" w:ascii="Times New Roman" w:hAnsi="Times New Roman" w:eastAsia="宋体" w:cs="Times New Roman"/>
                      <w:b/>
                      <w:bCs/>
                      <w:color w:val="auto"/>
                      <w:kern w:val="0"/>
                      <w:szCs w:val="21"/>
                      <w:lang w:bidi="ar"/>
                    </w:rPr>
                  </w:pPr>
                  <w:r>
                    <w:rPr>
                      <w:rFonts w:hint="default" w:ascii="Times New Roman" w:hAnsi="Times New Roman" w:eastAsia="宋体" w:cs="Times New Roman"/>
                      <w:b/>
                      <w:bCs/>
                      <w:color w:val="auto"/>
                      <w:kern w:val="0"/>
                      <w:szCs w:val="21"/>
                      <w:lang w:bidi="ar"/>
                    </w:rPr>
                    <w:t>（台）</w:t>
                  </w:r>
                </w:p>
              </w:tc>
              <w:tc>
                <w:tcPr>
                  <w:tcW w:w="684" w:type="pct"/>
                  <w:vAlign w:val="center"/>
                </w:tcPr>
                <w:p w14:paraId="29DAF075">
                  <w:pPr>
                    <w:keepNext w:val="0"/>
                    <w:keepLines w:val="0"/>
                    <w:widowControl/>
                    <w:suppressLineNumbers w:val="0"/>
                    <w:spacing w:before="0" w:beforeAutospacing="0" w:after="0" w:afterAutospacing="0"/>
                    <w:ind w:left="0" w:right="0"/>
                    <w:jc w:val="center"/>
                    <w:rPr>
                      <w:rFonts w:hint="default" w:ascii="Times New Roman" w:hAnsi="Times New Roman" w:eastAsia="宋体" w:cs="Times New Roman"/>
                      <w:b/>
                      <w:bCs/>
                      <w:color w:val="0000FF"/>
                      <w:kern w:val="0"/>
                      <w:szCs w:val="21"/>
                      <w:lang w:bidi="ar"/>
                    </w:rPr>
                  </w:pPr>
                  <w:r>
                    <w:rPr>
                      <w:rFonts w:hint="default" w:ascii="Times New Roman" w:hAnsi="Times New Roman" w:eastAsia="宋体" w:cs="Times New Roman"/>
                      <w:b/>
                      <w:bCs/>
                      <w:color w:val="0000FF"/>
                      <w:kern w:val="0"/>
                      <w:szCs w:val="21"/>
                      <w:lang w:bidi="ar"/>
                    </w:rPr>
                    <w:t>单台</w:t>
                  </w:r>
                </w:p>
                <w:p w14:paraId="13718D87">
                  <w:pPr>
                    <w:keepNext w:val="0"/>
                    <w:keepLines w:val="0"/>
                    <w:widowControl/>
                    <w:suppressLineNumbers w:val="0"/>
                    <w:spacing w:before="0" w:beforeAutospacing="0" w:after="0" w:afterAutospacing="0"/>
                    <w:ind w:left="0" w:right="0"/>
                    <w:jc w:val="center"/>
                    <w:rPr>
                      <w:rFonts w:hint="default" w:ascii="Times New Roman" w:hAnsi="Times New Roman" w:eastAsia="宋体" w:cs="Times New Roman"/>
                      <w:b/>
                      <w:bCs/>
                      <w:color w:val="0000FF"/>
                      <w:kern w:val="0"/>
                      <w:szCs w:val="21"/>
                      <w:lang w:bidi="ar"/>
                    </w:rPr>
                  </w:pPr>
                  <w:r>
                    <w:rPr>
                      <w:rFonts w:hint="default" w:ascii="Times New Roman" w:hAnsi="Times New Roman" w:eastAsia="宋体" w:cs="Times New Roman"/>
                      <w:b/>
                      <w:bCs/>
                      <w:color w:val="0000FF"/>
                      <w:kern w:val="0"/>
                      <w:szCs w:val="21"/>
                      <w:lang w:bidi="ar"/>
                    </w:rPr>
                    <w:t>产能（万</w:t>
                  </w:r>
                  <w:r>
                    <w:rPr>
                      <w:rFonts w:hint="default" w:ascii="Times New Roman" w:hAnsi="Times New Roman" w:eastAsia="宋体" w:cs="Times New Roman"/>
                      <w:b/>
                      <w:bCs/>
                      <w:color w:val="0000FF"/>
                      <w:kern w:val="0"/>
                      <w:szCs w:val="21"/>
                      <w:lang w:val="en-US" w:eastAsia="zh-CN" w:bidi="ar"/>
                    </w:rPr>
                    <w:t>m</w:t>
                  </w:r>
                  <w:r>
                    <w:rPr>
                      <w:rFonts w:hint="eastAsia" w:ascii="Times New Roman" w:hAnsi="Times New Roman" w:eastAsia="宋体" w:cs="Times New Roman"/>
                      <w:b/>
                      <w:bCs/>
                      <w:color w:val="0000FF"/>
                      <w:kern w:val="0"/>
                      <w:szCs w:val="21"/>
                      <w:vertAlign w:val="superscript"/>
                      <w:lang w:val="en-US" w:eastAsia="zh-CN" w:bidi="ar"/>
                    </w:rPr>
                    <w:t>2</w:t>
                  </w:r>
                  <w:r>
                    <w:rPr>
                      <w:rFonts w:hint="default" w:ascii="Times New Roman" w:hAnsi="Times New Roman" w:eastAsia="宋体" w:cs="Times New Roman"/>
                      <w:b/>
                      <w:bCs/>
                      <w:color w:val="0000FF"/>
                      <w:kern w:val="0"/>
                      <w:szCs w:val="21"/>
                      <w:lang w:bidi="ar"/>
                    </w:rPr>
                    <w:t>/a）</w:t>
                  </w:r>
                </w:p>
              </w:tc>
              <w:tc>
                <w:tcPr>
                  <w:tcW w:w="513" w:type="pct"/>
                  <w:vAlign w:val="center"/>
                </w:tcPr>
                <w:p w14:paraId="064F4199">
                  <w:pPr>
                    <w:keepNext w:val="0"/>
                    <w:keepLines w:val="0"/>
                    <w:widowControl/>
                    <w:suppressLineNumbers w:val="0"/>
                    <w:spacing w:before="0" w:beforeAutospacing="0" w:after="0" w:afterAutospacing="0"/>
                    <w:ind w:left="0" w:right="0"/>
                    <w:jc w:val="center"/>
                    <w:rPr>
                      <w:rFonts w:hint="eastAsia" w:ascii="Times New Roman" w:hAnsi="Times New Roman" w:eastAsia="宋体" w:cs="Times New Roman"/>
                      <w:b/>
                      <w:bCs/>
                      <w:color w:val="0000FF"/>
                      <w:kern w:val="0"/>
                      <w:szCs w:val="21"/>
                      <w:lang w:eastAsia="zh-CN" w:bidi="ar"/>
                    </w:rPr>
                  </w:pPr>
                  <w:r>
                    <w:rPr>
                      <w:rFonts w:hint="default" w:ascii="Times New Roman" w:hAnsi="Times New Roman" w:eastAsia="宋体" w:cs="Times New Roman"/>
                      <w:b/>
                      <w:bCs/>
                      <w:color w:val="0000FF"/>
                      <w:kern w:val="0"/>
                      <w:szCs w:val="21"/>
                      <w:lang w:bidi="ar"/>
                    </w:rPr>
                    <w:t>幅宽</w:t>
                  </w:r>
                  <w:r>
                    <w:rPr>
                      <w:rFonts w:hint="eastAsia" w:ascii="Times New Roman" w:hAnsi="Times New Roman" w:eastAsia="宋体" w:cs="Times New Roman"/>
                      <w:b/>
                      <w:bCs/>
                      <w:color w:val="0000FF"/>
                      <w:kern w:val="0"/>
                      <w:szCs w:val="21"/>
                      <w:lang w:eastAsia="zh-CN" w:bidi="ar"/>
                    </w:rPr>
                    <w:t>（</w:t>
                  </w:r>
                  <w:r>
                    <w:rPr>
                      <w:rFonts w:hint="eastAsia" w:ascii="Times New Roman" w:hAnsi="Times New Roman" w:eastAsia="宋体" w:cs="Times New Roman"/>
                      <w:b/>
                      <w:bCs/>
                      <w:color w:val="0000FF"/>
                      <w:kern w:val="0"/>
                      <w:szCs w:val="21"/>
                      <w:lang w:val="en-US" w:eastAsia="zh-CN" w:bidi="ar"/>
                    </w:rPr>
                    <w:t>m</w:t>
                  </w:r>
                  <w:r>
                    <w:rPr>
                      <w:rFonts w:hint="eastAsia" w:ascii="Times New Roman" w:hAnsi="Times New Roman" w:eastAsia="宋体" w:cs="Times New Roman"/>
                      <w:b/>
                      <w:bCs/>
                      <w:color w:val="0000FF"/>
                      <w:kern w:val="0"/>
                      <w:szCs w:val="21"/>
                      <w:lang w:eastAsia="zh-CN" w:bidi="ar"/>
                    </w:rPr>
                    <w:t>）</w:t>
                  </w:r>
                </w:p>
              </w:tc>
              <w:tc>
                <w:tcPr>
                  <w:tcW w:w="825" w:type="pct"/>
                  <w:gridSpan w:val="2"/>
                  <w:vAlign w:val="center"/>
                </w:tcPr>
                <w:p w14:paraId="371AB740">
                  <w:pPr>
                    <w:keepNext w:val="0"/>
                    <w:keepLines w:val="0"/>
                    <w:widowControl/>
                    <w:suppressLineNumbers w:val="0"/>
                    <w:spacing w:before="0" w:beforeAutospacing="0" w:after="0" w:afterAutospacing="0"/>
                    <w:ind w:left="0" w:right="0"/>
                    <w:jc w:val="center"/>
                    <w:rPr>
                      <w:rFonts w:hint="default" w:ascii="Times New Roman" w:hAnsi="Times New Roman" w:eastAsia="宋体" w:cs="Times New Roman"/>
                      <w:b/>
                      <w:bCs/>
                      <w:color w:val="auto"/>
                      <w:kern w:val="0"/>
                      <w:szCs w:val="21"/>
                      <w:lang w:bidi="ar"/>
                    </w:rPr>
                  </w:pPr>
                  <w:r>
                    <w:rPr>
                      <w:rFonts w:hint="default" w:ascii="Times New Roman" w:hAnsi="Times New Roman" w:eastAsia="宋体" w:cs="Times New Roman"/>
                      <w:b/>
                      <w:bCs/>
                      <w:color w:val="auto"/>
                      <w:kern w:val="0"/>
                      <w:szCs w:val="21"/>
                      <w:lang w:bidi="ar"/>
                    </w:rPr>
                    <w:t>设备年产能</w:t>
                  </w:r>
                </w:p>
              </w:tc>
              <w:tc>
                <w:tcPr>
                  <w:tcW w:w="513" w:type="pct"/>
                  <w:vAlign w:val="center"/>
                </w:tcPr>
                <w:p w14:paraId="4D9ED9B1">
                  <w:pPr>
                    <w:keepNext w:val="0"/>
                    <w:keepLines w:val="0"/>
                    <w:widowControl/>
                    <w:suppressLineNumbers w:val="0"/>
                    <w:spacing w:before="0" w:beforeAutospacing="0" w:after="0" w:afterAutospacing="0"/>
                    <w:ind w:left="0" w:right="0"/>
                    <w:jc w:val="center"/>
                    <w:rPr>
                      <w:rFonts w:hint="default" w:ascii="Times New Roman" w:hAnsi="Times New Roman" w:eastAsia="宋体" w:cs="Times New Roman"/>
                      <w:b/>
                      <w:bCs/>
                      <w:color w:val="auto"/>
                      <w:kern w:val="0"/>
                      <w:szCs w:val="21"/>
                      <w:lang w:bidi="ar"/>
                    </w:rPr>
                  </w:pPr>
                  <w:r>
                    <w:rPr>
                      <w:rFonts w:hint="default" w:ascii="Times New Roman" w:hAnsi="Times New Roman" w:eastAsia="宋体" w:cs="Times New Roman"/>
                      <w:b/>
                      <w:bCs/>
                      <w:color w:val="auto"/>
                      <w:kern w:val="0"/>
                      <w:szCs w:val="21"/>
                      <w:lang w:bidi="ar"/>
                    </w:rPr>
                    <w:t>本项目年产能</w:t>
                  </w:r>
                </w:p>
              </w:tc>
              <w:tc>
                <w:tcPr>
                  <w:tcW w:w="505" w:type="pct"/>
                  <w:vAlign w:val="center"/>
                </w:tcPr>
                <w:p w14:paraId="62122A93">
                  <w:pPr>
                    <w:keepNext w:val="0"/>
                    <w:keepLines w:val="0"/>
                    <w:widowControl/>
                    <w:suppressLineNumbers w:val="0"/>
                    <w:spacing w:before="0" w:beforeAutospacing="0" w:after="0" w:afterAutospacing="0"/>
                    <w:ind w:left="0" w:right="0"/>
                    <w:jc w:val="center"/>
                    <w:rPr>
                      <w:rFonts w:hint="default" w:ascii="Times New Roman" w:hAnsi="Times New Roman" w:eastAsia="宋体" w:cs="Times New Roman"/>
                      <w:b/>
                      <w:bCs/>
                      <w:color w:val="auto"/>
                      <w:kern w:val="0"/>
                      <w:szCs w:val="21"/>
                      <w:lang w:bidi="ar"/>
                    </w:rPr>
                  </w:pPr>
                  <w:r>
                    <w:rPr>
                      <w:rFonts w:hint="default" w:ascii="Times New Roman" w:hAnsi="Times New Roman" w:eastAsia="宋体" w:cs="Times New Roman"/>
                      <w:b/>
                      <w:bCs/>
                      <w:color w:val="auto"/>
                      <w:kern w:val="0"/>
                      <w:szCs w:val="21"/>
                      <w:lang w:bidi="ar"/>
                    </w:rPr>
                    <w:t>设备利用率</w:t>
                  </w:r>
                </w:p>
              </w:tc>
            </w:tr>
            <w:tr w14:paraId="7886B6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812" w:type="pct"/>
                  <w:vAlign w:val="center"/>
                </w:tcPr>
                <w:p w14:paraId="4B0A861B">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rPr>
                    <w:t>压延涂布机</w:t>
                  </w:r>
                </w:p>
              </w:tc>
              <w:tc>
                <w:tcPr>
                  <w:tcW w:w="600" w:type="pct"/>
                  <w:vAlign w:val="center"/>
                </w:tcPr>
                <w:p w14:paraId="6DC7A9C0">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rPr>
                    <w:t>1450-M</w:t>
                  </w:r>
                </w:p>
              </w:tc>
              <w:tc>
                <w:tcPr>
                  <w:tcW w:w="543" w:type="pct"/>
                  <w:vAlign w:val="center"/>
                </w:tcPr>
                <w:p w14:paraId="1FC812D4">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rPr>
                    <w:t>5</w:t>
                  </w:r>
                </w:p>
              </w:tc>
              <w:tc>
                <w:tcPr>
                  <w:tcW w:w="684" w:type="pct"/>
                  <w:shd w:val="clear" w:color="auto" w:fill="auto"/>
                  <w:vAlign w:val="center"/>
                </w:tcPr>
                <w:p w14:paraId="79417E80">
                  <w:pPr>
                    <w:keepNext w:val="0"/>
                    <w:keepLines w:val="0"/>
                    <w:widowControl w:val="0"/>
                    <w:suppressLineNumbers w:val="0"/>
                    <w:spacing w:before="0" w:beforeAutospacing="0" w:after="0" w:afterAutospacing="0"/>
                    <w:ind w:left="0" w:leftChars="0" w:right="0" w:rightChars="0"/>
                    <w:jc w:val="center"/>
                    <w:rPr>
                      <w:rFonts w:hint="default" w:ascii="Times New Roman" w:hAnsi="Times New Roman" w:eastAsia="宋体" w:cs="Times New Roman"/>
                      <w:color w:val="auto"/>
                      <w:kern w:val="2"/>
                      <w:sz w:val="21"/>
                      <w:szCs w:val="21"/>
                      <w:lang w:val="en-US" w:eastAsia="zh-CN" w:bidi="ar-SA"/>
                    </w:rPr>
                  </w:pPr>
                  <w:r>
                    <w:rPr>
                      <w:rFonts w:hint="default" w:ascii="Times New Roman" w:hAnsi="Times New Roman" w:eastAsia="宋体" w:cs="Times New Roman"/>
                      <w:color w:val="auto"/>
                      <w:kern w:val="2"/>
                      <w:sz w:val="21"/>
                      <w:szCs w:val="21"/>
                      <w:lang w:val="en-US" w:eastAsia="zh-CN"/>
                    </w:rPr>
                    <w:t>35</w:t>
                  </w:r>
                </w:p>
              </w:tc>
              <w:tc>
                <w:tcPr>
                  <w:tcW w:w="513" w:type="pct"/>
                  <w:shd w:val="clear" w:color="auto" w:fill="auto"/>
                  <w:vAlign w:val="center"/>
                </w:tcPr>
                <w:p w14:paraId="760A3AF6">
                  <w:pPr>
                    <w:keepNext w:val="0"/>
                    <w:keepLines w:val="0"/>
                    <w:widowControl w:val="0"/>
                    <w:suppressLineNumbers w:val="0"/>
                    <w:spacing w:before="0" w:beforeAutospacing="0" w:after="0" w:afterAutospacing="0"/>
                    <w:ind w:left="0" w:leftChars="0" w:right="0" w:rightChars="0"/>
                    <w:jc w:val="center"/>
                    <w:rPr>
                      <w:rFonts w:hint="default" w:ascii="Times New Roman" w:hAnsi="Times New Roman" w:eastAsia="宋体" w:cs="Times New Roman"/>
                      <w:color w:val="auto"/>
                      <w:kern w:val="2"/>
                      <w:sz w:val="21"/>
                      <w:szCs w:val="21"/>
                      <w:lang w:val="en-US" w:eastAsia="zh-CN" w:bidi="ar-SA"/>
                    </w:rPr>
                  </w:pPr>
                  <w:r>
                    <w:rPr>
                      <w:rFonts w:hint="default" w:ascii="Times New Roman" w:hAnsi="Times New Roman" w:eastAsia="宋体" w:cs="Times New Roman"/>
                      <w:color w:val="auto"/>
                      <w:kern w:val="2"/>
                      <w:sz w:val="21"/>
                      <w:szCs w:val="21"/>
                      <w:lang w:val="en-US" w:eastAsia="zh-CN"/>
                    </w:rPr>
                    <w:t>1.27</w:t>
                  </w:r>
                </w:p>
              </w:tc>
              <w:tc>
                <w:tcPr>
                  <w:tcW w:w="348" w:type="pct"/>
                  <w:shd w:val="clear" w:color="auto" w:fill="auto"/>
                  <w:vAlign w:val="center"/>
                </w:tcPr>
                <w:p w14:paraId="0184F74B">
                  <w:pPr>
                    <w:keepNext w:val="0"/>
                    <w:keepLines w:val="0"/>
                    <w:widowControl w:val="0"/>
                    <w:suppressLineNumbers w:val="0"/>
                    <w:spacing w:before="0" w:beforeAutospacing="0" w:after="0" w:afterAutospacing="0"/>
                    <w:ind w:left="0" w:leftChars="0" w:right="0" w:rightChars="0"/>
                    <w:jc w:val="center"/>
                    <w:rPr>
                      <w:rFonts w:hint="default" w:ascii="Times New Roman" w:hAnsi="Times New Roman" w:eastAsia="宋体" w:cs="Times New Roman"/>
                      <w:color w:val="auto"/>
                      <w:kern w:val="2"/>
                      <w:sz w:val="21"/>
                      <w:szCs w:val="21"/>
                      <w:lang w:val="en-US" w:eastAsia="zh-CN" w:bidi="ar-SA"/>
                    </w:rPr>
                  </w:pPr>
                  <w:r>
                    <w:rPr>
                      <w:rFonts w:hint="default" w:ascii="Times New Roman" w:hAnsi="Times New Roman" w:cs="Times New Roman"/>
                      <w:color w:val="auto"/>
                      <w:kern w:val="2"/>
                      <w:sz w:val="21"/>
                      <w:szCs w:val="21"/>
                      <w:lang w:val="en-US" w:eastAsia="zh-CN"/>
                    </w:rPr>
                    <w:t>175</w:t>
                  </w:r>
                </w:p>
              </w:tc>
              <w:tc>
                <w:tcPr>
                  <w:tcW w:w="477" w:type="pct"/>
                  <w:vMerge w:val="restart"/>
                  <w:shd w:val="clear" w:color="auto" w:fill="auto"/>
                  <w:vAlign w:val="center"/>
                </w:tcPr>
                <w:p w14:paraId="357EA4E5">
                  <w:pPr>
                    <w:keepNext w:val="0"/>
                    <w:keepLines w:val="0"/>
                    <w:widowControl w:val="0"/>
                    <w:suppressLineNumbers w:val="0"/>
                    <w:spacing w:before="0" w:beforeAutospacing="0" w:after="0" w:afterAutospacing="0"/>
                    <w:ind w:left="0" w:leftChars="0" w:right="0" w:rightChars="0"/>
                    <w:jc w:val="center"/>
                    <w:rPr>
                      <w:rFonts w:hint="default" w:ascii="Times New Roman" w:hAnsi="Times New Roman" w:cs="Times New Roman"/>
                      <w:color w:val="auto"/>
                      <w:kern w:val="2"/>
                      <w:sz w:val="21"/>
                      <w:szCs w:val="21"/>
                      <w:lang w:val="en-US" w:eastAsia="zh-CN" w:bidi="ar"/>
                    </w:rPr>
                  </w:pPr>
                  <w:r>
                    <w:rPr>
                      <w:rFonts w:hint="default" w:ascii="Times New Roman" w:hAnsi="Times New Roman" w:cs="Times New Roman"/>
                      <w:color w:val="auto"/>
                      <w:kern w:val="2"/>
                      <w:sz w:val="21"/>
                      <w:szCs w:val="21"/>
                      <w:lang w:val="en-US" w:eastAsia="zh-CN" w:bidi="ar"/>
                    </w:rPr>
                    <w:t>525</w:t>
                  </w:r>
                </w:p>
                <w:p w14:paraId="650F988A">
                  <w:pPr>
                    <w:keepNext w:val="0"/>
                    <w:keepLines w:val="0"/>
                    <w:widowControl w:val="0"/>
                    <w:suppressLineNumbers w:val="0"/>
                    <w:spacing w:before="0" w:beforeAutospacing="0" w:after="0" w:afterAutospacing="0"/>
                    <w:ind w:left="0" w:leftChars="0" w:right="0" w:rightChars="0"/>
                    <w:jc w:val="center"/>
                    <w:rPr>
                      <w:rFonts w:hint="default" w:ascii="Times New Roman" w:hAnsi="Times New Roman" w:eastAsia="宋体" w:cs="Times New Roman"/>
                      <w:color w:val="auto"/>
                      <w:kern w:val="2"/>
                      <w:sz w:val="21"/>
                      <w:szCs w:val="21"/>
                      <w:highlight w:val="yellow"/>
                      <w:lang w:val="en-US" w:eastAsia="zh-CN" w:bidi="ar-SA"/>
                    </w:rPr>
                  </w:pPr>
                  <w:r>
                    <w:rPr>
                      <w:rFonts w:hint="default" w:ascii="Times New Roman" w:hAnsi="Times New Roman" w:eastAsia="宋体" w:cs="Times New Roman"/>
                      <w:color w:val="auto"/>
                      <w:kern w:val="2"/>
                      <w:sz w:val="21"/>
                      <w:szCs w:val="21"/>
                      <w:lang w:val="en-US" w:eastAsia="zh-CN" w:bidi="ar"/>
                    </w:rPr>
                    <w:t>万m</w:t>
                  </w:r>
                  <w:r>
                    <w:rPr>
                      <w:rFonts w:hint="default" w:ascii="Times New Roman" w:hAnsi="Times New Roman" w:eastAsia="宋体" w:cs="Times New Roman"/>
                      <w:color w:val="auto"/>
                      <w:kern w:val="2"/>
                      <w:sz w:val="21"/>
                      <w:szCs w:val="21"/>
                      <w:vertAlign w:val="superscript"/>
                      <w:lang w:val="en-US" w:eastAsia="zh-CN" w:bidi="ar"/>
                    </w:rPr>
                    <w:t>2</w:t>
                  </w:r>
                </w:p>
              </w:tc>
              <w:tc>
                <w:tcPr>
                  <w:tcW w:w="513" w:type="pct"/>
                  <w:vMerge w:val="restart"/>
                  <w:vAlign w:val="center"/>
                </w:tcPr>
                <w:p w14:paraId="2993C105">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rPr>
                    <w:t>500</w:t>
                  </w:r>
                </w:p>
                <w:p w14:paraId="25FB45AD">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rPr>
                    <w:t>万m</w:t>
                  </w:r>
                  <w:r>
                    <w:rPr>
                      <w:rFonts w:hint="default" w:ascii="Times New Roman" w:hAnsi="Times New Roman" w:eastAsia="宋体" w:cs="Times New Roman"/>
                      <w:color w:val="auto"/>
                      <w:szCs w:val="21"/>
                      <w:vertAlign w:val="superscript"/>
                    </w:rPr>
                    <w:t>2</w:t>
                  </w:r>
                </w:p>
              </w:tc>
              <w:tc>
                <w:tcPr>
                  <w:tcW w:w="505" w:type="pct"/>
                  <w:shd w:val="clear" w:color="auto" w:fill="auto"/>
                  <w:vAlign w:val="center"/>
                </w:tcPr>
                <w:p w14:paraId="36871D95">
                  <w:pPr>
                    <w:keepNext w:val="0"/>
                    <w:keepLines w:val="0"/>
                    <w:widowControl w:val="0"/>
                    <w:suppressLineNumbers w:val="0"/>
                    <w:spacing w:before="0" w:beforeAutospacing="0" w:after="0" w:afterAutospacing="0"/>
                    <w:ind w:left="0" w:leftChars="0" w:right="0" w:rightChars="0"/>
                    <w:jc w:val="center"/>
                    <w:rPr>
                      <w:rFonts w:hint="default" w:ascii="Times New Roman" w:hAnsi="Times New Roman" w:eastAsia="宋体" w:cs="Times New Roman"/>
                      <w:color w:val="auto"/>
                      <w:kern w:val="2"/>
                      <w:sz w:val="21"/>
                      <w:szCs w:val="21"/>
                      <w:lang w:val="en-US" w:eastAsia="zh-CN" w:bidi="ar-SA"/>
                    </w:rPr>
                  </w:pPr>
                  <w:r>
                    <w:rPr>
                      <w:rFonts w:hint="default" w:ascii="Times New Roman" w:hAnsi="Times New Roman" w:eastAsia="宋体" w:cs="Times New Roman"/>
                      <w:color w:val="auto"/>
                      <w:kern w:val="2"/>
                      <w:sz w:val="21"/>
                      <w:szCs w:val="21"/>
                      <w:lang w:val="en-US" w:eastAsia="zh-CN"/>
                    </w:rPr>
                    <w:t>95.1%</w:t>
                  </w:r>
                </w:p>
              </w:tc>
            </w:tr>
            <w:tr w14:paraId="2F0723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1" w:hRule="atLeast"/>
                <w:jc w:val="center"/>
              </w:trPr>
              <w:tc>
                <w:tcPr>
                  <w:tcW w:w="812" w:type="pct"/>
                  <w:vAlign w:val="center"/>
                </w:tcPr>
                <w:p w14:paraId="6314DA8A">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rPr>
                    <w:t>1450立式（浸涂）涂布生产线</w:t>
                  </w:r>
                </w:p>
              </w:tc>
              <w:tc>
                <w:tcPr>
                  <w:tcW w:w="600" w:type="pct"/>
                  <w:vAlign w:val="center"/>
                </w:tcPr>
                <w:p w14:paraId="3210D240">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rPr>
                    <w:t>1450</w:t>
                  </w:r>
                </w:p>
              </w:tc>
              <w:tc>
                <w:tcPr>
                  <w:tcW w:w="543" w:type="pct"/>
                  <w:vAlign w:val="center"/>
                </w:tcPr>
                <w:p w14:paraId="2D286AF4">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lang w:val="en-US" w:eastAsia="zh-CN"/>
                    </w:rPr>
                  </w:pPr>
                  <w:r>
                    <w:rPr>
                      <w:rFonts w:hint="default" w:ascii="Times New Roman" w:hAnsi="Times New Roman" w:eastAsia="宋体" w:cs="Times New Roman"/>
                      <w:color w:val="auto"/>
                      <w:szCs w:val="21"/>
                      <w:lang w:val="en-US" w:eastAsia="zh-CN"/>
                    </w:rPr>
                    <w:t>2</w:t>
                  </w:r>
                </w:p>
              </w:tc>
              <w:tc>
                <w:tcPr>
                  <w:tcW w:w="684" w:type="pct"/>
                  <w:shd w:val="clear" w:color="auto" w:fill="auto"/>
                  <w:vAlign w:val="center"/>
                </w:tcPr>
                <w:p w14:paraId="31FFE58A">
                  <w:pPr>
                    <w:keepNext w:val="0"/>
                    <w:keepLines w:val="0"/>
                    <w:widowControl w:val="0"/>
                    <w:suppressLineNumbers w:val="0"/>
                    <w:spacing w:before="0" w:beforeAutospacing="0" w:after="0" w:afterAutospacing="0"/>
                    <w:ind w:left="0" w:leftChars="0" w:right="0" w:rightChars="0"/>
                    <w:jc w:val="center"/>
                    <w:rPr>
                      <w:rFonts w:hint="default" w:ascii="Times New Roman" w:hAnsi="Times New Roman" w:eastAsia="宋体" w:cs="Times New Roman"/>
                      <w:color w:val="auto"/>
                      <w:kern w:val="2"/>
                      <w:sz w:val="21"/>
                      <w:szCs w:val="21"/>
                      <w:lang w:val="en-US" w:eastAsia="zh-CN" w:bidi="ar-SA"/>
                    </w:rPr>
                  </w:pPr>
                  <w:r>
                    <w:rPr>
                      <w:rFonts w:hint="eastAsia" w:ascii="Times New Roman" w:hAnsi="Times New Roman" w:eastAsia="宋体" w:cs="Times New Roman"/>
                      <w:color w:val="0000FF"/>
                      <w:kern w:val="2"/>
                      <w:sz w:val="21"/>
                      <w:szCs w:val="21"/>
                      <w:lang w:val="en-US" w:eastAsia="zh-CN"/>
                    </w:rPr>
                    <w:t>50</w:t>
                  </w:r>
                </w:p>
              </w:tc>
              <w:tc>
                <w:tcPr>
                  <w:tcW w:w="513" w:type="pct"/>
                  <w:shd w:val="clear" w:color="auto" w:fill="auto"/>
                  <w:vAlign w:val="center"/>
                </w:tcPr>
                <w:p w14:paraId="4115AA37">
                  <w:pPr>
                    <w:keepNext w:val="0"/>
                    <w:keepLines w:val="0"/>
                    <w:widowControl w:val="0"/>
                    <w:suppressLineNumbers w:val="0"/>
                    <w:spacing w:before="0" w:beforeAutospacing="0" w:after="0" w:afterAutospacing="0"/>
                    <w:ind w:left="0" w:leftChars="0" w:right="0" w:rightChars="0"/>
                    <w:jc w:val="center"/>
                    <w:rPr>
                      <w:rFonts w:hint="default" w:ascii="Times New Roman" w:hAnsi="Times New Roman" w:eastAsia="宋体" w:cs="Times New Roman"/>
                      <w:color w:val="auto"/>
                      <w:kern w:val="2"/>
                      <w:sz w:val="21"/>
                      <w:szCs w:val="21"/>
                      <w:lang w:val="en-US" w:eastAsia="zh-CN" w:bidi="ar-SA"/>
                    </w:rPr>
                  </w:pPr>
                  <w:r>
                    <w:rPr>
                      <w:rFonts w:hint="default" w:ascii="Times New Roman" w:hAnsi="Times New Roman" w:eastAsia="宋体" w:cs="Times New Roman"/>
                      <w:color w:val="auto"/>
                      <w:kern w:val="2"/>
                      <w:sz w:val="21"/>
                      <w:szCs w:val="21"/>
                      <w:lang w:val="en-US" w:eastAsia="zh-CN"/>
                    </w:rPr>
                    <w:t>1.27</w:t>
                  </w:r>
                </w:p>
              </w:tc>
              <w:tc>
                <w:tcPr>
                  <w:tcW w:w="348" w:type="pct"/>
                  <w:shd w:val="clear" w:color="auto" w:fill="auto"/>
                  <w:vAlign w:val="center"/>
                </w:tcPr>
                <w:p w14:paraId="772FCA9B">
                  <w:pPr>
                    <w:keepNext w:val="0"/>
                    <w:keepLines w:val="0"/>
                    <w:widowControl w:val="0"/>
                    <w:suppressLineNumbers w:val="0"/>
                    <w:spacing w:before="0" w:beforeAutospacing="0" w:after="0" w:afterAutospacing="0"/>
                    <w:ind w:left="0" w:leftChars="0" w:right="0" w:rightChars="0"/>
                    <w:jc w:val="center"/>
                    <w:rPr>
                      <w:rFonts w:hint="default" w:ascii="Times New Roman" w:hAnsi="Times New Roman" w:eastAsia="宋体" w:cs="Times New Roman"/>
                      <w:color w:val="0000FF"/>
                      <w:kern w:val="2"/>
                      <w:sz w:val="21"/>
                      <w:szCs w:val="21"/>
                      <w:lang w:val="en-US" w:eastAsia="zh-CN" w:bidi="ar-SA"/>
                    </w:rPr>
                  </w:pPr>
                  <w:r>
                    <w:rPr>
                      <w:rFonts w:hint="eastAsia" w:ascii="Times New Roman" w:hAnsi="Times New Roman" w:cs="Times New Roman"/>
                      <w:color w:val="0000FF"/>
                      <w:kern w:val="2"/>
                      <w:sz w:val="21"/>
                      <w:szCs w:val="21"/>
                      <w:lang w:val="en-US" w:eastAsia="zh-CN"/>
                    </w:rPr>
                    <w:t>100</w:t>
                  </w:r>
                </w:p>
              </w:tc>
              <w:tc>
                <w:tcPr>
                  <w:tcW w:w="477" w:type="pct"/>
                  <w:vMerge w:val="continue"/>
                  <w:vAlign w:val="center"/>
                </w:tcPr>
                <w:p w14:paraId="7F7C9936">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highlight w:val="yellow"/>
                    </w:rPr>
                  </w:pPr>
                </w:p>
              </w:tc>
              <w:tc>
                <w:tcPr>
                  <w:tcW w:w="513" w:type="pct"/>
                  <w:vMerge w:val="continue"/>
                  <w:vAlign w:val="center"/>
                </w:tcPr>
                <w:p w14:paraId="6A0EA506">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p>
              </w:tc>
              <w:tc>
                <w:tcPr>
                  <w:tcW w:w="505" w:type="pct"/>
                  <w:shd w:val="clear" w:color="auto" w:fill="auto"/>
                  <w:vAlign w:val="center"/>
                </w:tcPr>
                <w:p w14:paraId="4EDDD37C">
                  <w:pPr>
                    <w:keepNext w:val="0"/>
                    <w:keepLines w:val="0"/>
                    <w:widowControl w:val="0"/>
                    <w:suppressLineNumbers w:val="0"/>
                    <w:spacing w:before="0" w:beforeAutospacing="0" w:after="0" w:afterAutospacing="0"/>
                    <w:ind w:left="0" w:leftChars="0" w:right="0" w:rightChars="0"/>
                    <w:jc w:val="center"/>
                    <w:rPr>
                      <w:rFonts w:hint="default" w:ascii="Times New Roman" w:hAnsi="Times New Roman" w:eastAsia="宋体" w:cs="Times New Roman"/>
                      <w:color w:val="auto"/>
                      <w:kern w:val="2"/>
                      <w:sz w:val="21"/>
                      <w:szCs w:val="21"/>
                      <w:lang w:val="en-US" w:eastAsia="zh-CN" w:bidi="ar-SA"/>
                    </w:rPr>
                  </w:pPr>
                  <w:r>
                    <w:rPr>
                      <w:rFonts w:hint="default" w:ascii="Times New Roman" w:hAnsi="Times New Roman" w:eastAsia="宋体" w:cs="Times New Roman"/>
                      <w:color w:val="auto"/>
                      <w:kern w:val="2"/>
                      <w:sz w:val="21"/>
                      <w:szCs w:val="21"/>
                      <w:lang w:val="en-US" w:eastAsia="zh-CN"/>
                    </w:rPr>
                    <w:t>95.3%</w:t>
                  </w:r>
                </w:p>
              </w:tc>
            </w:tr>
            <w:tr w14:paraId="0B1319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812" w:type="pct"/>
                  <w:shd w:val="clear" w:color="auto" w:fill="auto"/>
                  <w:vAlign w:val="center"/>
                </w:tcPr>
                <w:p w14:paraId="3FD68081">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kern w:val="2"/>
                      <w:sz w:val="21"/>
                      <w:szCs w:val="21"/>
                      <w:lang w:val="en-US" w:eastAsia="zh-CN" w:bidi="ar-SA"/>
                    </w:rPr>
                  </w:pPr>
                  <w:r>
                    <w:rPr>
                      <w:rFonts w:hint="default" w:ascii="Times New Roman" w:hAnsi="Times New Roman" w:eastAsia="宋体" w:cs="Times New Roman"/>
                      <w:color w:val="auto"/>
                      <w:szCs w:val="21"/>
                    </w:rPr>
                    <w:t>1750立式（浸涂）涂布生产线</w:t>
                  </w:r>
                </w:p>
              </w:tc>
              <w:tc>
                <w:tcPr>
                  <w:tcW w:w="600" w:type="pct"/>
                  <w:shd w:val="clear" w:color="auto" w:fill="auto"/>
                  <w:vAlign w:val="center"/>
                </w:tcPr>
                <w:p w14:paraId="230CB5F9">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kern w:val="2"/>
                      <w:sz w:val="21"/>
                      <w:szCs w:val="21"/>
                      <w:lang w:val="en-US" w:eastAsia="zh-CN" w:bidi="ar-SA"/>
                    </w:rPr>
                  </w:pPr>
                  <w:r>
                    <w:rPr>
                      <w:rFonts w:hint="default" w:ascii="Times New Roman" w:hAnsi="Times New Roman" w:eastAsia="宋体" w:cs="Times New Roman"/>
                      <w:color w:val="auto"/>
                      <w:szCs w:val="21"/>
                    </w:rPr>
                    <w:t>1750</w:t>
                  </w:r>
                </w:p>
              </w:tc>
              <w:tc>
                <w:tcPr>
                  <w:tcW w:w="543" w:type="pct"/>
                  <w:shd w:val="clear" w:color="auto" w:fill="auto"/>
                  <w:vAlign w:val="center"/>
                </w:tcPr>
                <w:p w14:paraId="39ADD485">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kern w:val="2"/>
                      <w:sz w:val="21"/>
                      <w:szCs w:val="21"/>
                      <w:lang w:val="en-US" w:eastAsia="zh-CN" w:bidi="ar-SA"/>
                    </w:rPr>
                  </w:pPr>
                  <w:r>
                    <w:rPr>
                      <w:rFonts w:hint="default" w:ascii="Times New Roman" w:hAnsi="Times New Roman" w:eastAsia="宋体" w:cs="Times New Roman"/>
                      <w:color w:val="auto"/>
                      <w:szCs w:val="21"/>
                    </w:rPr>
                    <w:t>5</w:t>
                  </w:r>
                </w:p>
              </w:tc>
              <w:tc>
                <w:tcPr>
                  <w:tcW w:w="684" w:type="pct"/>
                  <w:shd w:val="clear" w:color="auto" w:fill="auto"/>
                  <w:vAlign w:val="center"/>
                </w:tcPr>
                <w:p w14:paraId="1C2FA8C9">
                  <w:pPr>
                    <w:keepNext w:val="0"/>
                    <w:keepLines w:val="0"/>
                    <w:widowControl w:val="0"/>
                    <w:suppressLineNumbers w:val="0"/>
                    <w:spacing w:before="0" w:beforeAutospacing="0" w:after="0" w:afterAutospacing="0"/>
                    <w:ind w:left="0" w:leftChars="0" w:right="0" w:rightChars="0"/>
                    <w:jc w:val="center"/>
                    <w:rPr>
                      <w:rFonts w:hint="default" w:ascii="Times New Roman" w:hAnsi="Times New Roman" w:eastAsia="宋体" w:cs="Times New Roman"/>
                      <w:color w:val="auto"/>
                      <w:kern w:val="2"/>
                      <w:sz w:val="21"/>
                      <w:szCs w:val="21"/>
                      <w:lang w:val="en-US" w:eastAsia="zh-CN" w:bidi="ar-SA"/>
                    </w:rPr>
                  </w:pPr>
                  <w:r>
                    <w:rPr>
                      <w:rFonts w:hint="default" w:ascii="Times New Roman" w:hAnsi="Times New Roman" w:eastAsia="宋体" w:cs="Times New Roman"/>
                      <w:color w:val="auto"/>
                      <w:kern w:val="2"/>
                      <w:sz w:val="21"/>
                      <w:szCs w:val="21"/>
                      <w:lang w:val="en-US" w:eastAsia="zh-CN"/>
                    </w:rPr>
                    <w:t>50</w:t>
                  </w:r>
                </w:p>
              </w:tc>
              <w:tc>
                <w:tcPr>
                  <w:tcW w:w="513" w:type="pct"/>
                  <w:shd w:val="clear" w:color="auto" w:fill="auto"/>
                  <w:vAlign w:val="center"/>
                </w:tcPr>
                <w:p w14:paraId="6B6AF671">
                  <w:pPr>
                    <w:keepNext w:val="0"/>
                    <w:keepLines w:val="0"/>
                    <w:widowControl w:val="0"/>
                    <w:suppressLineNumbers w:val="0"/>
                    <w:spacing w:before="0" w:beforeAutospacing="0" w:after="0" w:afterAutospacing="0"/>
                    <w:ind w:left="0" w:leftChars="0" w:right="0" w:rightChars="0"/>
                    <w:jc w:val="center"/>
                    <w:rPr>
                      <w:rFonts w:hint="default" w:ascii="Times New Roman" w:hAnsi="Times New Roman" w:eastAsia="宋体" w:cs="Times New Roman"/>
                      <w:color w:val="auto"/>
                      <w:kern w:val="2"/>
                      <w:sz w:val="21"/>
                      <w:szCs w:val="21"/>
                      <w:lang w:val="en-US" w:eastAsia="zh-CN" w:bidi="ar-SA"/>
                    </w:rPr>
                  </w:pPr>
                  <w:r>
                    <w:rPr>
                      <w:rFonts w:hint="default" w:ascii="Times New Roman" w:hAnsi="Times New Roman" w:eastAsia="宋体" w:cs="Times New Roman"/>
                      <w:color w:val="auto"/>
                      <w:kern w:val="2"/>
                      <w:sz w:val="21"/>
                      <w:szCs w:val="21"/>
                      <w:lang w:val="en-US" w:eastAsia="zh-CN"/>
                    </w:rPr>
                    <w:t>1.27</w:t>
                  </w:r>
                </w:p>
              </w:tc>
              <w:tc>
                <w:tcPr>
                  <w:tcW w:w="348" w:type="pct"/>
                  <w:shd w:val="clear" w:color="auto" w:fill="auto"/>
                  <w:vAlign w:val="center"/>
                </w:tcPr>
                <w:p w14:paraId="017D3B93">
                  <w:pPr>
                    <w:keepNext w:val="0"/>
                    <w:keepLines w:val="0"/>
                    <w:widowControl w:val="0"/>
                    <w:suppressLineNumbers w:val="0"/>
                    <w:spacing w:before="0" w:beforeAutospacing="0" w:after="0" w:afterAutospacing="0"/>
                    <w:ind w:left="0" w:leftChars="0" w:right="0" w:rightChars="0"/>
                    <w:jc w:val="center"/>
                    <w:rPr>
                      <w:rFonts w:hint="default" w:ascii="Times New Roman" w:hAnsi="Times New Roman" w:eastAsia="宋体" w:cs="Times New Roman"/>
                      <w:color w:val="auto"/>
                      <w:kern w:val="2"/>
                      <w:sz w:val="21"/>
                      <w:szCs w:val="21"/>
                      <w:lang w:val="en-US" w:eastAsia="zh-CN" w:bidi="ar-SA"/>
                    </w:rPr>
                  </w:pPr>
                  <w:r>
                    <w:rPr>
                      <w:rFonts w:hint="default" w:ascii="Times New Roman" w:hAnsi="Times New Roman" w:cs="Times New Roman"/>
                      <w:color w:val="auto"/>
                      <w:kern w:val="2"/>
                      <w:sz w:val="21"/>
                      <w:szCs w:val="21"/>
                      <w:lang w:val="en-US" w:eastAsia="zh-CN"/>
                    </w:rPr>
                    <w:t>250</w:t>
                  </w:r>
                </w:p>
              </w:tc>
              <w:tc>
                <w:tcPr>
                  <w:tcW w:w="477" w:type="pct"/>
                  <w:vMerge w:val="continue"/>
                  <w:vAlign w:val="center"/>
                </w:tcPr>
                <w:p w14:paraId="3C6326E2">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highlight w:val="yellow"/>
                    </w:rPr>
                  </w:pPr>
                </w:p>
              </w:tc>
              <w:tc>
                <w:tcPr>
                  <w:tcW w:w="513" w:type="pct"/>
                  <w:vMerge w:val="continue"/>
                  <w:vAlign w:val="center"/>
                </w:tcPr>
                <w:p w14:paraId="42D77396">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p>
              </w:tc>
              <w:tc>
                <w:tcPr>
                  <w:tcW w:w="505" w:type="pct"/>
                  <w:shd w:val="clear" w:color="auto" w:fill="auto"/>
                  <w:vAlign w:val="center"/>
                </w:tcPr>
                <w:p w14:paraId="5E7A0B5F">
                  <w:pPr>
                    <w:keepNext w:val="0"/>
                    <w:keepLines w:val="0"/>
                    <w:widowControl w:val="0"/>
                    <w:suppressLineNumbers w:val="0"/>
                    <w:spacing w:before="0" w:beforeAutospacing="0" w:after="0" w:afterAutospacing="0"/>
                    <w:ind w:left="0" w:leftChars="0" w:right="0" w:rightChars="0"/>
                    <w:jc w:val="center"/>
                    <w:rPr>
                      <w:rFonts w:hint="default" w:ascii="Times New Roman" w:hAnsi="Times New Roman" w:eastAsia="宋体" w:cs="Times New Roman"/>
                      <w:color w:val="auto"/>
                      <w:kern w:val="2"/>
                      <w:sz w:val="21"/>
                      <w:szCs w:val="21"/>
                      <w:lang w:val="en-US" w:eastAsia="zh-CN" w:bidi="ar-SA"/>
                    </w:rPr>
                  </w:pPr>
                  <w:r>
                    <w:rPr>
                      <w:rFonts w:hint="default" w:ascii="Times New Roman" w:hAnsi="Times New Roman" w:eastAsia="宋体" w:cs="Times New Roman"/>
                      <w:color w:val="auto"/>
                      <w:kern w:val="2"/>
                      <w:sz w:val="21"/>
                      <w:szCs w:val="21"/>
                      <w:lang w:val="en-US" w:eastAsia="zh-CN"/>
                    </w:rPr>
                    <w:t>95%</w:t>
                  </w:r>
                </w:p>
              </w:tc>
            </w:tr>
            <w:tr w14:paraId="291978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812" w:type="pct"/>
                  <w:shd w:val="clear" w:color="auto" w:fill="auto"/>
                  <w:vAlign w:val="center"/>
                </w:tcPr>
                <w:p w14:paraId="76B6A8E6">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color w:val="auto"/>
                      <w:kern w:val="2"/>
                      <w:sz w:val="21"/>
                      <w:szCs w:val="21"/>
                      <w:lang w:val="en-US" w:eastAsia="zh-CN" w:bidi="ar-SA"/>
                    </w:rPr>
                  </w:pPr>
                  <w:r>
                    <w:rPr>
                      <w:rFonts w:hint="default" w:ascii="Times New Roman" w:hAnsi="Times New Roman" w:eastAsia="宋体" w:cs="Times New Roman"/>
                      <w:color w:val="auto"/>
                      <w:kern w:val="0"/>
                      <w:szCs w:val="21"/>
                      <w:lang w:bidi="ar"/>
                    </w:rPr>
                    <w:t>超薄纳米板成型机</w:t>
                  </w:r>
                </w:p>
              </w:tc>
              <w:tc>
                <w:tcPr>
                  <w:tcW w:w="600" w:type="pct"/>
                  <w:shd w:val="clear" w:color="auto" w:fill="auto"/>
                  <w:vAlign w:val="center"/>
                </w:tcPr>
                <w:p w14:paraId="587A7112">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color w:val="auto"/>
                      <w:kern w:val="2"/>
                      <w:sz w:val="21"/>
                      <w:szCs w:val="21"/>
                      <w:lang w:val="en-US" w:eastAsia="zh-CN" w:bidi="ar-SA"/>
                    </w:rPr>
                  </w:pPr>
                  <w:r>
                    <w:rPr>
                      <w:rFonts w:hint="default" w:ascii="Times New Roman" w:hAnsi="Times New Roman" w:eastAsia="宋体" w:cs="Times New Roman"/>
                      <w:color w:val="auto"/>
                      <w:kern w:val="0"/>
                      <w:szCs w:val="21"/>
                      <w:lang w:bidi="ar"/>
                    </w:rPr>
                    <w:t>SP5060</w:t>
                  </w:r>
                </w:p>
              </w:tc>
              <w:tc>
                <w:tcPr>
                  <w:tcW w:w="543" w:type="pct"/>
                  <w:shd w:val="clear" w:color="auto" w:fill="auto"/>
                  <w:vAlign w:val="center"/>
                </w:tcPr>
                <w:p w14:paraId="6C2CE37E">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color w:val="auto"/>
                      <w:kern w:val="2"/>
                      <w:sz w:val="21"/>
                      <w:szCs w:val="21"/>
                      <w:lang w:val="en-US" w:eastAsia="zh-CN" w:bidi="ar-SA"/>
                    </w:rPr>
                  </w:pPr>
                  <w:r>
                    <w:rPr>
                      <w:rFonts w:hint="default" w:ascii="Times New Roman" w:hAnsi="Times New Roman" w:eastAsia="宋体" w:cs="Times New Roman"/>
                      <w:color w:val="auto"/>
                      <w:kern w:val="0"/>
                      <w:szCs w:val="21"/>
                      <w:lang w:bidi="ar"/>
                    </w:rPr>
                    <w:t>6</w:t>
                  </w:r>
                </w:p>
              </w:tc>
              <w:tc>
                <w:tcPr>
                  <w:tcW w:w="684" w:type="pct"/>
                  <w:shd w:val="clear" w:color="auto" w:fill="auto"/>
                  <w:vAlign w:val="center"/>
                </w:tcPr>
                <w:p w14:paraId="1F2AD5C7">
                  <w:pPr>
                    <w:keepNext w:val="0"/>
                    <w:keepLines w:val="0"/>
                    <w:widowControl w:val="0"/>
                    <w:suppressLineNumbers w:val="0"/>
                    <w:spacing w:before="0" w:beforeAutospacing="0" w:after="0" w:afterAutospacing="0"/>
                    <w:ind w:left="0" w:leftChars="0" w:right="0" w:rightChars="0"/>
                    <w:jc w:val="center"/>
                    <w:rPr>
                      <w:rFonts w:hint="default" w:ascii="Times New Roman" w:hAnsi="Times New Roman" w:eastAsia="宋体" w:cs="Times New Roman"/>
                      <w:color w:val="auto"/>
                      <w:kern w:val="0"/>
                      <w:sz w:val="21"/>
                      <w:szCs w:val="21"/>
                      <w:lang w:val="en-US" w:eastAsia="zh-CN" w:bidi="ar-SA"/>
                    </w:rPr>
                  </w:pPr>
                  <w:r>
                    <w:rPr>
                      <w:rFonts w:hint="default" w:ascii="Times New Roman" w:hAnsi="Times New Roman" w:eastAsia="宋体" w:cs="Times New Roman"/>
                      <w:color w:val="auto"/>
                      <w:kern w:val="2"/>
                      <w:sz w:val="21"/>
                      <w:szCs w:val="21"/>
                      <w:lang w:val="en-US" w:eastAsia="zh-CN"/>
                    </w:rPr>
                    <w:t>350</w:t>
                  </w:r>
                </w:p>
              </w:tc>
              <w:tc>
                <w:tcPr>
                  <w:tcW w:w="513" w:type="pct"/>
                  <w:shd w:val="clear" w:color="auto" w:fill="auto"/>
                  <w:vAlign w:val="center"/>
                </w:tcPr>
                <w:p w14:paraId="495804F7">
                  <w:pPr>
                    <w:keepNext w:val="0"/>
                    <w:keepLines w:val="0"/>
                    <w:widowControl w:val="0"/>
                    <w:suppressLineNumbers w:val="0"/>
                    <w:spacing w:before="0" w:beforeAutospacing="0" w:after="0" w:afterAutospacing="0"/>
                    <w:ind w:left="0" w:leftChars="0" w:right="0" w:rightChars="0"/>
                    <w:jc w:val="center"/>
                    <w:rPr>
                      <w:rFonts w:hint="default" w:ascii="Times New Roman" w:hAnsi="Times New Roman" w:eastAsia="宋体" w:cs="Times New Roman"/>
                      <w:color w:val="auto"/>
                      <w:kern w:val="0"/>
                      <w:sz w:val="21"/>
                      <w:szCs w:val="21"/>
                      <w:lang w:val="en-US" w:eastAsia="zh-CN" w:bidi="ar-SA"/>
                    </w:rPr>
                  </w:pPr>
                  <w:r>
                    <w:rPr>
                      <w:rFonts w:hint="default" w:ascii="Times New Roman" w:hAnsi="Times New Roman" w:eastAsia="宋体" w:cs="Times New Roman"/>
                      <w:color w:val="auto"/>
                      <w:kern w:val="2"/>
                      <w:sz w:val="21"/>
                      <w:szCs w:val="21"/>
                      <w:lang w:val="en-US" w:eastAsia="zh-CN"/>
                    </w:rPr>
                    <w:t>/</w:t>
                  </w:r>
                </w:p>
              </w:tc>
              <w:tc>
                <w:tcPr>
                  <w:tcW w:w="348" w:type="pct"/>
                  <w:shd w:val="clear" w:color="auto" w:fill="auto"/>
                  <w:vAlign w:val="center"/>
                </w:tcPr>
                <w:p w14:paraId="50C3511F">
                  <w:pPr>
                    <w:keepNext w:val="0"/>
                    <w:keepLines w:val="0"/>
                    <w:widowControl w:val="0"/>
                    <w:suppressLineNumbers w:val="0"/>
                    <w:spacing w:before="0" w:beforeAutospacing="0" w:after="0" w:afterAutospacing="0"/>
                    <w:ind w:left="0" w:leftChars="0" w:right="0" w:rightChars="0"/>
                    <w:jc w:val="center"/>
                    <w:rPr>
                      <w:rFonts w:hint="default" w:ascii="Times New Roman" w:hAnsi="Times New Roman" w:eastAsia="宋体" w:cs="Times New Roman"/>
                      <w:color w:val="auto"/>
                      <w:kern w:val="2"/>
                      <w:sz w:val="21"/>
                      <w:szCs w:val="21"/>
                      <w:lang w:val="en-US" w:eastAsia="zh-CN" w:bidi="ar-SA"/>
                    </w:rPr>
                  </w:pPr>
                  <w:r>
                    <w:rPr>
                      <w:rFonts w:hint="default" w:ascii="Times New Roman" w:hAnsi="Times New Roman" w:cs="Times New Roman"/>
                      <w:color w:val="auto"/>
                      <w:kern w:val="2"/>
                      <w:sz w:val="21"/>
                      <w:szCs w:val="21"/>
                      <w:lang w:val="en-US" w:eastAsia="zh-CN"/>
                    </w:rPr>
                    <w:t>2100</w:t>
                  </w:r>
                </w:p>
              </w:tc>
              <w:tc>
                <w:tcPr>
                  <w:tcW w:w="477" w:type="pct"/>
                  <w:shd w:val="clear" w:color="auto" w:fill="auto"/>
                  <w:vAlign w:val="center"/>
                </w:tcPr>
                <w:p w14:paraId="6F48237C">
                  <w:pPr>
                    <w:keepNext w:val="0"/>
                    <w:keepLines w:val="0"/>
                    <w:widowControl w:val="0"/>
                    <w:suppressLineNumbers w:val="0"/>
                    <w:spacing w:before="0" w:beforeAutospacing="0" w:after="0" w:afterAutospacing="0"/>
                    <w:ind w:left="0" w:leftChars="0" w:right="0" w:rightChars="0"/>
                    <w:jc w:val="center"/>
                    <w:rPr>
                      <w:rFonts w:hint="default" w:ascii="Times New Roman" w:hAnsi="Times New Roman" w:cs="Times New Roman"/>
                      <w:color w:val="auto"/>
                      <w:kern w:val="2"/>
                      <w:sz w:val="21"/>
                      <w:szCs w:val="21"/>
                      <w:highlight w:val="none"/>
                      <w:lang w:val="en-US" w:eastAsia="zh-CN" w:bidi="ar"/>
                    </w:rPr>
                  </w:pPr>
                  <w:r>
                    <w:rPr>
                      <w:rFonts w:hint="default" w:ascii="Times New Roman" w:hAnsi="Times New Roman" w:cs="Times New Roman"/>
                      <w:color w:val="auto"/>
                      <w:kern w:val="2"/>
                      <w:sz w:val="21"/>
                      <w:szCs w:val="21"/>
                      <w:highlight w:val="none"/>
                      <w:lang w:val="en-US" w:eastAsia="zh-CN" w:bidi="ar"/>
                    </w:rPr>
                    <w:t>2100</w:t>
                  </w:r>
                </w:p>
                <w:p w14:paraId="700BE07C">
                  <w:pPr>
                    <w:keepNext w:val="0"/>
                    <w:keepLines w:val="0"/>
                    <w:widowControl w:val="0"/>
                    <w:suppressLineNumbers w:val="0"/>
                    <w:spacing w:before="0" w:beforeAutospacing="0" w:after="0" w:afterAutospacing="0"/>
                    <w:ind w:left="0" w:leftChars="0" w:right="0" w:rightChars="0"/>
                    <w:jc w:val="center"/>
                    <w:rPr>
                      <w:rFonts w:hint="default" w:ascii="Times New Roman" w:hAnsi="Times New Roman" w:eastAsia="宋体" w:cs="Times New Roman"/>
                      <w:color w:val="auto"/>
                      <w:kern w:val="2"/>
                      <w:sz w:val="21"/>
                      <w:szCs w:val="21"/>
                      <w:highlight w:val="yellow"/>
                      <w:lang w:val="en-US" w:eastAsia="zh-CN" w:bidi="ar-SA"/>
                    </w:rPr>
                  </w:pPr>
                  <w:r>
                    <w:rPr>
                      <w:rFonts w:hint="default" w:ascii="Times New Roman" w:hAnsi="Times New Roman" w:eastAsia="宋体" w:cs="Times New Roman"/>
                      <w:color w:val="auto"/>
                      <w:kern w:val="2"/>
                      <w:sz w:val="21"/>
                      <w:szCs w:val="21"/>
                      <w:highlight w:val="none"/>
                      <w:lang w:val="en-US" w:eastAsia="zh-CN" w:bidi="ar"/>
                    </w:rPr>
                    <w:t>万片</w:t>
                  </w:r>
                </w:p>
              </w:tc>
              <w:tc>
                <w:tcPr>
                  <w:tcW w:w="513" w:type="pct"/>
                  <w:vAlign w:val="center"/>
                </w:tcPr>
                <w:p w14:paraId="10F4323B">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highlight w:val="none"/>
                      <w:lang w:val="en-US" w:eastAsia="zh-CN"/>
                    </w:rPr>
                  </w:pPr>
                  <w:r>
                    <w:rPr>
                      <w:rFonts w:hint="default" w:ascii="Times New Roman" w:hAnsi="Times New Roman" w:eastAsia="宋体" w:cs="Times New Roman"/>
                      <w:color w:val="auto"/>
                      <w:szCs w:val="21"/>
                      <w:highlight w:val="none"/>
                      <w:lang w:val="en-US" w:eastAsia="zh-CN"/>
                    </w:rPr>
                    <w:t>2000</w:t>
                  </w:r>
                </w:p>
                <w:p w14:paraId="12AFE72A">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highlight w:val="none"/>
                      <w:lang w:val="en-US" w:eastAsia="zh-CN"/>
                    </w:rPr>
                    <w:t>万片</w:t>
                  </w:r>
                </w:p>
              </w:tc>
              <w:tc>
                <w:tcPr>
                  <w:tcW w:w="505" w:type="pct"/>
                  <w:shd w:val="clear" w:color="auto" w:fill="auto"/>
                  <w:vAlign w:val="center"/>
                </w:tcPr>
                <w:p w14:paraId="01440250">
                  <w:pPr>
                    <w:keepNext w:val="0"/>
                    <w:keepLines w:val="0"/>
                    <w:widowControl w:val="0"/>
                    <w:suppressLineNumbers w:val="0"/>
                    <w:spacing w:before="0" w:beforeAutospacing="0" w:after="0" w:afterAutospacing="0"/>
                    <w:ind w:left="0" w:leftChars="0" w:right="0" w:rightChars="0"/>
                    <w:jc w:val="center"/>
                    <w:rPr>
                      <w:rFonts w:hint="default" w:ascii="Times New Roman" w:hAnsi="Times New Roman" w:eastAsia="宋体" w:cs="Times New Roman"/>
                      <w:color w:val="auto"/>
                      <w:kern w:val="2"/>
                      <w:sz w:val="21"/>
                      <w:szCs w:val="21"/>
                      <w:lang w:val="en-US" w:eastAsia="zh-CN" w:bidi="ar-SA"/>
                    </w:rPr>
                  </w:pPr>
                  <w:r>
                    <w:rPr>
                      <w:rFonts w:hint="default" w:ascii="Times New Roman" w:hAnsi="Times New Roman" w:eastAsia="宋体" w:cs="Times New Roman"/>
                      <w:color w:val="auto"/>
                      <w:kern w:val="2"/>
                      <w:sz w:val="21"/>
                      <w:szCs w:val="21"/>
                      <w:lang w:val="en-US" w:eastAsia="zh-CN"/>
                    </w:rPr>
                    <w:t>95.2%</w:t>
                  </w:r>
                </w:p>
              </w:tc>
            </w:tr>
            <w:tr w14:paraId="3351AE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5000" w:type="pct"/>
                  <w:gridSpan w:val="9"/>
                  <w:vAlign w:val="center"/>
                </w:tcPr>
                <w:p w14:paraId="2EBEEEC6">
                  <w:pPr>
                    <w:keepNext w:val="0"/>
                    <w:keepLines w:val="0"/>
                    <w:widowControl/>
                    <w:suppressLineNumbers w:val="0"/>
                    <w:spacing w:before="0" w:beforeAutospacing="0" w:after="0" w:afterAutospacing="0"/>
                    <w:ind w:left="0" w:right="0"/>
                    <w:jc w:val="both"/>
                    <w:rPr>
                      <w:rFonts w:hint="default" w:ascii="Times New Roman" w:hAnsi="Times New Roman" w:eastAsia="宋体" w:cs="Times New Roman"/>
                      <w:color w:val="auto"/>
                      <w:kern w:val="0"/>
                      <w:szCs w:val="21"/>
                      <w:lang w:val="en-US" w:eastAsia="zh-CN" w:bidi="ar"/>
                    </w:rPr>
                  </w:pPr>
                  <w:r>
                    <w:rPr>
                      <w:rFonts w:hint="default" w:ascii="Times New Roman" w:hAnsi="Times New Roman" w:eastAsia="宋体" w:cs="Times New Roman"/>
                      <w:color w:val="auto"/>
                      <w:kern w:val="0"/>
                      <w:szCs w:val="21"/>
                      <w:lang w:bidi="ar"/>
                    </w:rPr>
                    <w:t>注：</w:t>
                  </w:r>
                  <w:r>
                    <w:rPr>
                      <w:rFonts w:hint="default" w:ascii="Times New Roman" w:hAnsi="Times New Roman" w:eastAsia="宋体" w:cs="Times New Roman"/>
                      <w:color w:val="auto"/>
                      <w:kern w:val="0"/>
                      <w:szCs w:val="21"/>
                      <w:lang w:val="en-US" w:eastAsia="zh-CN" w:bidi="ar"/>
                    </w:rPr>
                    <w:t>1、本项目生产线中，</w:t>
                  </w:r>
                  <w:r>
                    <w:rPr>
                      <w:rFonts w:hint="default" w:ascii="Times New Roman" w:hAnsi="Times New Roman" w:eastAsia="宋体" w:cs="Times New Roman"/>
                      <w:color w:val="FF0000"/>
                      <w:kern w:val="0"/>
                      <w:szCs w:val="21"/>
                      <w:lang w:val="en-US" w:eastAsia="zh-CN" w:bidi="ar"/>
                    </w:rPr>
                    <w:t>隧道式烤箱</w:t>
                  </w:r>
                  <w:r>
                    <w:rPr>
                      <w:rFonts w:hint="default" w:ascii="Times New Roman" w:hAnsi="Times New Roman" w:eastAsia="宋体" w:cs="Times New Roman"/>
                      <w:color w:val="auto"/>
                      <w:kern w:val="0"/>
                      <w:szCs w:val="21"/>
                      <w:lang w:val="en-US" w:eastAsia="zh-CN" w:bidi="ar"/>
                    </w:rPr>
                    <w:t>与</w:t>
                  </w:r>
                  <w:r>
                    <w:rPr>
                      <w:rFonts w:hint="default"/>
                    </w:rPr>
                    <w:commentReference w:id="29"/>
                  </w:r>
                  <w:r>
                    <w:rPr>
                      <w:rFonts w:hint="default" w:ascii="Times New Roman" w:hAnsi="Times New Roman" w:eastAsia="宋体" w:cs="Times New Roman"/>
                      <w:color w:val="auto"/>
                      <w:kern w:val="0"/>
                      <w:szCs w:val="21"/>
                      <w:lang w:val="en-US" w:eastAsia="zh-CN" w:bidi="ar"/>
                    </w:rPr>
                    <w:t>压延涂布机采用串联配置，二者产能相互匹配、同步运行。鉴于此，产能匹配性分析以压延涂布机为核心核算对象，隧道烤炉作为配套设备其产能已在主机设备中一体体现，不再单独计算，从而避免重复核算。</w:t>
                  </w:r>
                </w:p>
                <w:p w14:paraId="133A0154">
                  <w:pPr>
                    <w:keepNext w:val="0"/>
                    <w:keepLines w:val="0"/>
                    <w:widowControl/>
                    <w:suppressLineNumbers w:val="0"/>
                    <w:spacing w:before="0" w:beforeAutospacing="0" w:after="0" w:afterAutospacing="0"/>
                    <w:ind w:left="0" w:right="0" w:firstLine="420" w:firstLineChars="200"/>
                    <w:jc w:val="both"/>
                    <w:rPr>
                      <w:rFonts w:hint="default" w:ascii="Times New Roman" w:hAnsi="Times New Roman" w:eastAsia="宋体" w:cs="Times New Roman"/>
                      <w:color w:val="auto"/>
                      <w:kern w:val="0"/>
                      <w:szCs w:val="21"/>
                      <w:lang w:bidi="ar"/>
                    </w:rPr>
                  </w:pPr>
                  <w:r>
                    <w:rPr>
                      <w:rFonts w:hint="default" w:ascii="Times New Roman" w:hAnsi="Times New Roman" w:eastAsia="宋体" w:cs="Times New Roman"/>
                      <w:color w:val="auto"/>
                      <w:kern w:val="0"/>
                      <w:szCs w:val="21"/>
                      <w:lang w:val="en-US" w:eastAsia="zh-CN" w:bidi="ar"/>
                    </w:rPr>
                    <w:t>2、</w:t>
                  </w:r>
                  <w:r>
                    <w:rPr>
                      <w:rFonts w:hint="default" w:ascii="Times New Roman" w:hAnsi="Times New Roman" w:eastAsia="宋体" w:cs="Times New Roman"/>
                      <w:color w:val="auto"/>
                      <w:kern w:val="0"/>
                      <w:szCs w:val="21"/>
                      <w:lang w:bidi="ar"/>
                    </w:rPr>
                    <w:t>企业实行两班制生产（每班8h），年工作300天，则年运行时间</w:t>
                  </w:r>
                  <w:r>
                    <w:rPr>
                      <w:rFonts w:hint="default" w:ascii="Times New Roman" w:hAnsi="Times New Roman" w:eastAsia="宋体" w:cs="Times New Roman"/>
                      <w:color w:val="auto"/>
                      <w:kern w:val="0"/>
                      <w:szCs w:val="21"/>
                      <w:lang w:val="en-US" w:eastAsia="zh-CN" w:bidi="ar"/>
                    </w:rPr>
                    <w:t>4800</w:t>
                  </w:r>
                  <w:r>
                    <w:rPr>
                      <w:rFonts w:hint="default" w:ascii="Times New Roman" w:hAnsi="Times New Roman" w:eastAsia="宋体" w:cs="Times New Roman"/>
                      <w:color w:val="auto"/>
                      <w:kern w:val="0"/>
                      <w:szCs w:val="21"/>
                      <w:lang w:bidi="ar"/>
                    </w:rPr>
                    <w:t>h。</w:t>
                  </w:r>
                </w:p>
              </w:tc>
            </w:tr>
          </w:tbl>
          <w:p w14:paraId="5F9FA303">
            <w:pPr>
              <w:keepNext w:val="0"/>
              <w:keepLines w:val="0"/>
              <w:suppressLineNumbers w:val="0"/>
              <w:spacing w:before="0" w:beforeAutospacing="0" w:after="0" w:afterAutospacing="0" w:line="360" w:lineRule="auto"/>
              <w:ind w:left="0" w:right="0"/>
              <w:rPr>
                <w:rFonts w:hint="default" w:ascii="Times New Roman" w:hAnsi="Times New Roman" w:eastAsia="宋体" w:cs="Times New Roman"/>
                <w:b/>
                <w:bCs/>
                <w:color w:val="auto"/>
                <w:sz w:val="24"/>
              </w:rPr>
            </w:pPr>
            <w:r>
              <w:rPr>
                <w:rFonts w:hint="eastAsia" w:ascii="Times New Roman" w:hAnsi="Times New Roman" w:eastAsia="宋体" w:cs="Times New Roman"/>
                <w:b/>
                <w:bCs/>
                <w:color w:val="auto"/>
                <w:sz w:val="24"/>
              </w:rPr>
              <w:t>2.1.4主要原辅材料</w:t>
            </w:r>
          </w:p>
          <w:p w14:paraId="0A3D8D60">
            <w:pPr>
              <w:keepNext w:val="0"/>
              <w:keepLines w:val="0"/>
              <w:suppressLineNumbers w:val="0"/>
              <w:spacing w:before="0" w:beforeAutospacing="0" w:after="0" w:afterAutospacing="0" w:line="360" w:lineRule="auto"/>
              <w:ind w:left="0" w:right="0" w:firstLine="480" w:firstLineChars="200"/>
              <w:rPr>
                <w:rFonts w:hint="default" w:ascii="Times New Roman" w:hAnsi="Times New Roman" w:eastAsia="宋体" w:cs="Times New Roman"/>
                <w:color w:val="auto"/>
                <w:sz w:val="24"/>
              </w:rPr>
            </w:pPr>
            <w:r>
              <w:rPr>
                <w:rFonts w:hint="eastAsia" w:ascii="Times New Roman" w:hAnsi="Times New Roman" w:eastAsia="宋体" w:cs="Times New Roman"/>
                <w:color w:val="auto"/>
                <w:sz w:val="24"/>
              </w:rPr>
              <w:t>（1）主要原辅材料及能源消耗详见下表。</w:t>
            </w:r>
          </w:p>
          <w:p w14:paraId="766542D6">
            <w:pPr>
              <w:keepNext w:val="0"/>
              <w:keepLines w:val="0"/>
              <w:suppressLineNumbers w:val="0"/>
              <w:spacing w:before="0" w:beforeAutospacing="0" w:after="0" w:afterAutospacing="0"/>
              <w:ind w:left="0" w:right="0"/>
              <w:jc w:val="center"/>
              <w:rPr>
                <w:rFonts w:hint="default" w:ascii="Times New Roman" w:hAnsi="Times New Roman" w:eastAsia="宋体" w:cs="Times New Roman"/>
                <w:b/>
                <w:bCs/>
                <w:color w:val="auto"/>
              </w:rPr>
            </w:pPr>
            <w:r>
              <w:rPr>
                <w:rFonts w:hint="eastAsia" w:ascii="Times New Roman" w:hAnsi="Times New Roman" w:eastAsia="宋体" w:cs="Times New Roman"/>
                <w:b/>
                <w:bCs/>
                <w:color w:val="auto"/>
              </w:rPr>
              <w:t>表</w:t>
            </w:r>
            <w:r>
              <w:rPr>
                <w:rFonts w:hint="default" w:ascii="Times New Roman" w:hAnsi="Times New Roman" w:eastAsia="宋体" w:cs="Times New Roman"/>
                <w:b/>
                <w:bCs/>
                <w:color w:val="auto"/>
              </w:rPr>
              <w:t>2-</w:t>
            </w:r>
            <w:r>
              <w:rPr>
                <w:rFonts w:hint="eastAsia" w:ascii="Times New Roman" w:hAnsi="Times New Roman" w:eastAsia="宋体" w:cs="Times New Roman"/>
                <w:b/>
                <w:bCs/>
                <w:color w:val="auto"/>
                <w:lang w:val="en-US" w:eastAsia="zh-CN"/>
              </w:rPr>
              <w:t>7</w:t>
            </w:r>
            <w:r>
              <w:rPr>
                <w:rFonts w:hint="default" w:ascii="Times New Roman" w:hAnsi="Times New Roman" w:eastAsia="宋体" w:cs="Times New Roman"/>
                <w:b/>
                <w:bCs/>
                <w:color w:val="auto"/>
              </w:rPr>
              <w:t xml:space="preserve"> </w:t>
            </w:r>
            <w:r>
              <w:rPr>
                <w:rFonts w:hint="eastAsia" w:ascii="Times New Roman" w:hAnsi="Times New Roman" w:eastAsia="宋体" w:cs="Times New Roman"/>
                <w:b/>
                <w:bCs/>
                <w:color w:val="auto"/>
              </w:rPr>
              <w:t xml:space="preserve"> 项目主要原辅材料变化情况一览表</w:t>
            </w:r>
          </w:p>
          <w:tbl>
            <w:tblPr>
              <w:tblStyle w:val="23"/>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46"/>
              <w:gridCol w:w="606"/>
              <w:gridCol w:w="387"/>
              <w:gridCol w:w="938"/>
              <w:gridCol w:w="1056"/>
              <w:gridCol w:w="950"/>
              <w:gridCol w:w="845"/>
              <w:gridCol w:w="857"/>
              <w:gridCol w:w="934"/>
              <w:gridCol w:w="763"/>
              <w:gridCol w:w="393"/>
            </w:tblGrid>
            <w:tr w14:paraId="5AD877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97" w:hRule="atLeast"/>
              </w:trPr>
              <w:tc>
                <w:tcPr>
                  <w:tcW w:w="272" w:type="pct"/>
                  <w:vMerge w:val="restart"/>
                  <w:vAlign w:val="center"/>
                </w:tcPr>
                <w:p w14:paraId="25C1F6F7">
                  <w:pPr>
                    <w:keepNext w:val="0"/>
                    <w:keepLines w:val="0"/>
                    <w:widowControl/>
                    <w:suppressLineNumbers w:val="0"/>
                    <w:spacing w:before="0" w:beforeAutospacing="0" w:after="0" w:afterAutospacing="0"/>
                    <w:ind w:left="0" w:right="0"/>
                    <w:jc w:val="center"/>
                    <w:rPr>
                      <w:rFonts w:hint="default" w:ascii="Times New Roman" w:hAnsi="Times New Roman" w:eastAsia="宋体" w:cs="Times New Roman"/>
                      <w:b/>
                      <w:bCs/>
                      <w:color w:val="auto"/>
                      <w:szCs w:val="21"/>
                    </w:rPr>
                  </w:pPr>
                  <w:r>
                    <w:rPr>
                      <w:rFonts w:hint="default" w:ascii="Times New Roman" w:hAnsi="Times New Roman" w:eastAsia="宋体" w:cs="Times New Roman"/>
                      <w:b/>
                      <w:bCs/>
                      <w:color w:val="auto"/>
                      <w:kern w:val="0"/>
                      <w:szCs w:val="21"/>
                      <w:lang w:bidi="ar"/>
                    </w:rPr>
                    <w:t>序号</w:t>
                  </w:r>
                </w:p>
              </w:tc>
              <w:tc>
                <w:tcPr>
                  <w:tcW w:w="370" w:type="pct"/>
                  <w:vMerge w:val="restart"/>
                  <w:vAlign w:val="center"/>
                </w:tcPr>
                <w:p w14:paraId="1D2C38E0">
                  <w:pPr>
                    <w:keepNext w:val="0"/>
                    <w:keepLines w:val="0"/>
                    <w:widowControl/>
                    <w:suppressLineNumbers w:val="0"/>
                    <w:spacing w:before="0" w:beforeAutospacing="0" w:after="0" w:afterAutospacing="0"/>
                    <w:ind w:left="0" w:right="0"/>
                    <w:jc w:val="center"/>
                    <w:rPr>
                      <w:rFonts w:hint="default" w:ascii="Times New Roman" w:hAnsi="Times New Roman" w:eastAsia="宋体" w:cs="Times New Roman"/>
                      <w:b/>
                      <w:bCs/>
                      <w:color w:val="auto"/>
                      <w:kern w:val="0"/>
                      <w:szCs w:val="21"/>
                      <w:lang w:bidi="ar"/>
                    </w:rPr>
                  </w:pPr>
                  <w:r>
                    <w:rPr>
                      <w:rFonts w:hint="eastAsia" w:ascii="Times New Roman" w:hAnsi="Times New Roman" w:eastAsia="宋体" w:cs="Times New Roman"/>
                      <w:b/>
                      <w:bCs/>
                      <w:color w:val="auto"/>
                      <w:kern w:val="0"/>
                      <w:szCs w:val="21"/>
                      <w:lang w:bidi="ar"/>
                    </w:rPr>
                    <w:t>产品</w:t>
                  </w:r>
                </w:p>
              </w:tc>
              <w:tc>
                <w:tcPr>
                  <w:tcW w:w="810" w:type="pct"/>
                  <w:gridSpan w:val="2"/>
                  <w:vMerge w:val="restart"/>
                  <w:vAlign w:val="center"/>
                </w:tcPr>
                <w:p w14:paraId="448EA65E">
                  <w:pPr>
                    <w:keepNext w:val="0"/>
                    <w:keepLines w:val="0"/>
                    <w:widowControl/>
                    <w:suppressLineNumbers w:val="0"/>
                    <w:spacing w:before="0" w:beforeAutospacing="0" w:after="0" w:afterAutospacing="0"/>
                    <w:ind w:left="0" w:right="0"/>
                    <w:jc w:val="center"/>
                    <w:rPr>
                      <w:rFonts w:hint="default" w:ascii="Times New Roman" w:hAnsi="Times New Roman" w:eastAsia="宋体" w:cs="Times New Roman"/>
                      <w:b/>
                      <w:bCs/>
                      <w:color w:val="auto"/>
                      <w:szCs w:val="21"/>
                    </w:rPr>
                  </w:pPr>
                  <w:r>
                    <w:rPr>
                      <w:rFonts w:hint="eastAsia" w:ascii="Times New Roman" w:hAnsi="Times New Roman" w:eastAsia="宋体" w:cs="Times New Roman"/>
                      <w:b/>
                      <w:bCs/>
                      <w:color w:val="auto"/>
                      <w:kern w:val="0"/>
                      <w:szCs w:val="21"/>
                      <w:lang w:bidi="ar"/>
                    </w:rPr>
                    <w:t>原辅料</w:t>
                  </w:r>
                  <w:r>
                    <w:rPr>
                      <w:rFonts w:hint="default" w:ascii="Times New Roman" w:hAnsi="Times New Roman" w:eastAsia="宋体" w:cs="Times New Roman"/>
                      <w:b/>
                      <w:bCs/>
                      <w:color w:val="auto"/>
                      <w:kern w:val="0"/>
                      <w:szCs w:val="21"/>
                      <w:lang w:bidi="ar"/>
                    </w:rPr>
                    <w:t>名称</w:t>
                  </w:r>
                </w:p>
              </w:tc>
              <w:tc>
                <w:tcPr>
                  <w:tcW w:w="645" w:type="pct"/>
                  <w:vMerge w:val="restart"/>
                  <w:vAlign w:val="center"/>
                </w:tcPr>
                <w:p w14:paraId="2F913872">
                  <w:pPr>
                    <w:keepNext w:val="0"/>
                    <w:keepLines w:val="0"/>
                    <w:widowControl/>
                    <w:suppressLineNumbers w:val="0"/>
                    <w:spacing w:before="0" w:beforeAutospacing="0" w:after="0" w:afterAutospacing="0"/>
                    <w:ind w:left="0" w:right="0"/>
                    <w:jc w:val="center"/>
                    <w:rPr>
                      <w:rFonts w:hint="default" w:ascii="Times New Roman" w:hAnsi="Times New Roman" w:eastAsia="宋体" w:cs="Times New Roman"/>
                      <w:b/>
                      <w:bCs/>
                      <w:color w:val="auto"/>
                      <w:szCs w:val="21"/>
                    </w:rPr>
                  </w:pPr>
                  <w:r>
                    <w:rPr>
                      <w:rFonts w:hint="default" w:ascii="Times New Roman" w:hAnsi="Times New Roman" w:eastAsia="宋体" w:cs="Times New Roman"/>
                      <w:b/>
                      <w:bCs/>
                      <w:color w:val="auto"/>
                      <w:kern w:val="0"/>
                      <w:szCs w:val="21"/>
                      <w:lang w:bidi="ar"/>
                    </w:rPr>
                    <w:t>规格</w:t>
                  </w:r>
                </w:p>
              </w:tc>
              <w:tc>
                <w:tcPr>
                  <w:tcW w:w="1097" w:type="pct"/>
                  <w:gridSpan w:val="2"/>
                  <w:vAlign w:val="center"/>
                </w:tcPr>
                <w:p w14:paraId="562EB665">
                  <w:pPr>
                    <w:keepNext w:val="0"/>
                    <w:keepLines w:val="0"/>
                    <w:suppressLineNumbers w:val="0"/>
                    <w:spacing w:before="0" w:beforeAutospacing="0" w:after="0" w:afterAutospacing="0"/>
                    <w:ind w:left="0" w:right="0"/>
                    <w:jc w:val="center"/>
                    <w:rPr>
                      <w:rFonts w:hint="default" w:ascii="Times New Roman" w:hAnsi="Times New Roman" w:eastAsia="宋体" w:cs="Times New Roman"/>
                      <w:b/>
                      <w:bCs/>
                      <w:color w:val="0000FF"/>
                      <w:kern w:val="0"/>
                      <w:szCs w:val="21"/>
                      <w:lang w:bidi="ar"/>
                    </w:rPr>
                  </w:pPr>
                  <w:r>
                    <w:rPr>
                      <w:rFonts w:hint="default" w:ascii="Times New Roman" w:hAnsi="Times New Roman" w:eastAsia="宋体" w:cs="Times New Roman"/>
                      <w:b/>
                      <w:bCs/>
                      <w:color w:val="0000FF"/>
                      <w:kern w:val="0"/>
                      <w:szCs w:val="21"/>
                      <w:lang w:val="en-US" w:eastAsia="zh-CN" w:bidi="ar"/>
                    </w:rPr>
                    <w:t>扩建前</w:t>
                  </w:r>
                  <w:r>
                    <w:rPr>
                      <w:rFonts w:hint="default" w:ascii="Times New Roman" w:hAnsi="Times New Roman" w:eastAsia="宋体" w:cs="Times New Roman"/>
                      <w:b/>
                      <w:bCs/>
                      <w:color w:val="0000FF"/>
                      <w:kern w:val="0"/>
                      <w:szCs w:val="21"/>
                      <w:lang w:bidi="ar"/>
                    </w:rPr>
                    <w:t>年消耗量</w:t>
                  </w:r>
                </w:p>
              </w:tc>
              <w:tc>
                <w:tcPr>
                  <w:tcW w:w="524" w:type="pct"/>
                  <w:vMerge w:val="restart"/>
                  <w:vAlign w:val="center"/>
                </w:tcPr>
                <w:p w14:paraId="6A700335">
                  <w:pPr>
                    <w:keepNext w:val="0"/>
                    <w:keepLines w:val="0"/>
                    <w:suppressLineNumbers w:val="0"/>
                    <w:spacing w:before="0" w:beforeAutospacing="0" w:after="0" w:afterAutospacing="0"/>
                    <w:ind w:left="0" w:right="0"/>
                    <w:jc w:val="center"/>
                    <w:rPr>
                      <w:rFonts w:hint="default" w:ascii="Times New Roman" w:hAnsi="Times New Roman" w:eastAsia="宋体" w:cs="Times New Roman"/>
                      <w:b/>
                      <w:bCs/>
                      <w:color w:val="0000FF"/>
                      <w:kern w:val="0"/>
                      <w:szCs w:val="21"/>
                      <w:lang w:bidi="ar"/>
                    </w:rPr>
                  </w:pPr>
                  <w:r>
                    <w:rPr>
                      <w:rFonts w:hint="default" w:ascii="Times New Roman" w:hAnsi="Times New Roman" w:eastAsia="宋体" w:cs="Times New Roman"/>
                      <w:b/>
                      <w:bCs/>
                      <w:color w:val="0000FF"/>
                      <w:kern w:val="0"/>
                      <w:szCs w:val="21"/>
                      <w:lang w:val="en-US" w:eastAsia="zh-CN" w:bidi="ar"/>
                    </w:rPr>
                    <w:t>扩建后全厂年消耗量</w:t>
                  </w:r>
                </w:p>
              </w:tc>
              <w:tc>
                <w:tcPr>
                  <w:tcW w:w="571" w:type="pct"/>
                  <w:vMerge w:val="restart"/>
                  <w:vAlign w:val="center"/>
                </w:tcPr>
                <w:p w14:paraId="47277FA1">
                  <w:pPr>
                    <w:keepNext w:val="0"/>
                    <w:keepLines w:val="0"/>
                    <w:suppressLineNumbers w:val="0"/>
                    <w:spacing w:before="0" w:beforeAutospacing="0" w:after="0" w:afterAutospacing="0"/>
                    <w:ind w:left="0" w:right="0"/>
                    <w:jc w:val="center"/>
                    <w:rPr>
                      <w:rFonts w:hint="default" w:ascii="Times New Roman" w:hAnsi="Times New Roman" w:eastAsia="宋体" w:cs="Times New Roman"/>
                      <w:b/>
                      <w:bCs/>
                      <w:color w:val="0000FF"/>
                      <w:kern w:val="0"/>
                      <w:szCs w:val="21"/>
                      <w:highlight w:val="none"/>
                      <w:lang w:val="en-US" w:eastAsia="zh-CN" w:bidi="ar"/>
                    </w:rPr>
                  </w:pPr>
                  <w:r>
                    <w:rPr>
                      <w:rFonts w:hint="default" w:ascii="Times New Roman" w:hAnsi="Times New Roman" w:eastAsia="宋体" w:cs="Times New Roman"/>
                      <w:b/>
                      <w:bCs/>
                      <w:color w:val="0000FF"/>
                      <w:kern w:val="0"/>
                      <w:szCs w:val="21"/>
                      <w:highlight w:val="none"/>
                      <w:lang w:val="en-US" w:eastAsia="zh-CN" w:bidi="ar"/>
                    </w:rPr>
                    <w:t>变化量</w:t>
                  </w:r>
                </w:p>
              </w:tc>
              <w:tc>
                <w:tcPr>
                  <w:tcW w:w="466" w:type="pct"/>
                  <w:vMerge w:val="restart"/>
                  <w:vAlign w:val="center"/>
                </w:tcPr>
                <w:p w14:paraId="3A0A659C">
                  <w:pPr>
                    <w:keepNext w:val="0"/>
                    <w:keepLines w:val="0"/>
                    <w:widowControl/>
                    <w:suppressLineNumbers w:val="0"/>
                    <w:spacing w:before="0" w:beforeAutospacing="0" w:after="0" w:afterAutospacing="0"/>
                    <w:ind w:left="0" w:right="0"/>
                    <w:jc w:val="center"/>
                    <w:rPr>
                      <w:rFonts w:hint="default" w:ascii="Times New Roman" w:hAnsi="Times New Roman" w:eastAsia="宋体" w:cs="Times New Roman"/>
                      <w:b/>
                      <w:bCs/>
                      <w:color w:val="0000FF"/>
                      <w:kern w:val="0"/>
                      <w:szCs w:val="21"/>
                      <w:highlight w:val="none"/>
                      <w:lang w:bidi="ar"/>
                    </w:rPr>
                  </w:pPr>
                  <w:r>
                    <w:rPr>
                      <w:rFonts w:hint="default" w:ascii="Times New Roman" w:hAnsi="Times New Roman" w:eastAsia="宋体" w:cs="Times New Roman"/>
                      <w:b/>
                      <w:bCs/>
                      <w:color w:val="0000FF"/>
                      <w:kern w:val="0"/>
                      <w:szCs w:val="21"/>
                      <w:highlight w:val="none"/>
                      <w:lang w:bidi="ar"/>
                    </w:rPr>
                    <w:t>最大</w:t>
                  </w:r>
                </w:p>
                <w:p w14:paraId="3BE8EA9D">
                  <w:pPr>
                    <w:keepNext w:val="0"/>
                    <w:keepLines w:val="0"/>
                    <w:widowControl/>
                    <w:suppressLineNumbers w:val="0"/>
                    <w:spacing w:before="0" w:beforeAutospacing="0" w:after="0" w:afterAutospacing="0"/>
                    <w:ind w:left="0" w:right="0"/>
                    <w:jc w:val="center"/>
                    <w:rPr>
                      <w:rFonts w:hint="default" w:ascii="Times New Roman" w:hAnsi="Times New Roman" w:eastAsia="宋体" w:cs="Times New Roman"/>
                      <w:b/>
                      <w:bCs/>
                      <w:color w:val="0000FF"/>
                      <w:szCs w:val="21"/>
                      <w:highlight w:val="none"/>
                    </w:rPr>
                  </w:pPr>
                  <w:r>
                    <w:rPr>
                      <w:rFonts w:hint="default" w:ascii="Times New Roman" w:hAnsi="Times New Roman" w:eastAsia="宋体" w:cs="Times New Roman"/>
                      <w:b/>
                      <w:bCs/>
                      <w:color w:val="0000FF"/>
                      <w:kern w:val="0"/>
                      <w:szCs w:val="21"/>
                      <w:highlight w:val="none"/>
                      <w:lang w:bidi="ar"/>
                    </w:rPr>
                    <w:t>存储量</w:t>
                  </w:r>
                </w:p>
              </w:tc>
              <w:tc>
                <w:tcPr>
                  <w:tcW w:w="240" w:type="pct"/>
                  <w:vMerge w:val="restart"/>
                  <w:vAlign w:val="center"/>
                </w:tcPr>
                <w:p w14:paraId="172F05DF">
                  <w:pPr>
                    <w:keepNext w:val="0"/>
                    <w:keepLines w:val="0"/>
                    <w:widowControl/>
                    <w:suppressLineNumbers w:val="0"/>
                    <w:spacing w:before="0" w:beforeAutospacing="0" w:after="0" w:afterAutospacing="0"/>
                    <w:ind w:left="0" w:right="0"/>
                    <w:jc w:val="center"/>
                    <w:rPr>
                      <w:rFonts w:hint="eastAsia" w:ascii="Times New Roman" w:hAnsi="Times New Roman" w:eastAsia="宋体" w:cs="Times New Roman"/>
                      <w:b/>
                      <w:bCs/>
                      <w:color w:val="auto"/>
                      <w:kern w:val="0"/>
                      <w:szCs w:val="21"/>
                      <w:lang w:val="en-US" w:eastAsia="zh-CN" w:bidi="ar"/>
                    </w:rPr>
                  </w:pPr>
                  <w:r>
                    <w:rPr>
                      <w:rFonts w:hint="eastAsia" w:ascii="Times New Roman" w:hAnsi="Times New Roman" w:eastAsia="宋体" w:cs="Times New Roman"/>
                      <w:b/>
                      <w:bCs/>
                      <w:color w:val="auto"/>
                      <w:kern w:val="0"/>
                      <w:szCs w:val="21"/>
                      <w:lang w:val="en-US" w:eastAsia="zh-CN" w:bidi="ar"/>
                    </w:rPr>
                    <w:t>备注</w:t>
                  </w:r>
                </w:p>
              </w:tc>
            </w:tr>
            <w:tr w14:paraId="7ED3A7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272" w:type="pct"/>
                  <w:vMerge w:val="continue"/>
                  <w:vAlign w:val="center"/>
                </w:tcPr>
                <w:p w14:paraId="68746D1F">
                  <w:pPr>
                    <w:keepNext w:val="0"/>
                    <w:keepLines w:val="0"/>
                    <w:widowControl/>
                    <w:suppressLineNumbers w:val="0"/>
                    <w:spacing w:before="0" w:beforeAutospacing="0" w:after="0" w:afterAutospacing="0"/>
                    <w:ind w:left="0" w:right="0"/>
                    <w:jc w:val="center"/>
                    <w:rPr>
                      <w:rFonts w:hint="default" w:ascii="Times New Roman" w:hAnsi="Times New Roman" w:eastAsia="宋体" w:cs="Times New Roman"/>
                      <w:b/>
                      <w:bCs/>
                      <w:color w:val="auto"/>
                      <w:kern w:val="0"/>
                      <w:szCs w:val="21"/>
                      <w:lang w:bidi="ar"/>
                    </w:rPr>
                  </w:pPr>
                </w:p>
              </w:tc>
              <w:tc>
                <w:tcPr>
                  <w:tcW w:w="370" w:type="pct"/>
                  <w:vMerge w:val="continue"/>
                  <w:vAlign w:val="center"/>
                </w:tcPr>
                <w:p w14:paraId="188774A3">
                  <w:pPr>
                    <w:keepNext w:val="0"/>
                    <w:keepLines w:val="0"/>
                    <w:widowControl/>
                    <w:suppressLineNumbers w:val="0"/>
                    <w:spacing w:before="0" w:beforeAutospacing="0" w:after="0" w:afterAutospacing="0"/>
                    <w:ind w:left="0" w:right="0"/>
                    <w:jc w:val="center"/>
                    <w:rPr>
                      <w:rFonts w:hint="eastAsia" w:ascii="Times New Roman" w:hAnsi="Times New Roman" w:eastAsia="宋体" w:cs="Times New Roman"/>
                      <w:b/>
                      <w:bCs/>
                      <w:color w:val="auto"/>
                      <w:kern w:val="0"/>
                      <w:szCs w:val="21"/>
                      <w:lang w:bidi="ar"/>
                    </w:rPr>
                  </w:pPr>
                </w:p>
              </w:tc>
              <w:tc>
                <w:tcPr>
                  <w:tcW w:w="810" w:type="pct"/>
                  <w:gridSpan w:val="2"/>
                  <w:vMerge w:val="continue"/>
                  <w:vAlign w:val="center"/>
                </w:tcPr>
                <w:p w14:paraId="08345205">
                  <w:pPr>
                    <w:keepNext w:val="0"/>
                    <w:keepLines w:val="0"/>
                    <w:widowControl/>
                    <w:suppressLineNumbers w:val="0"/>
                    <w:spacing w:before="0" w:beforeAutospacing="0" w:after="0" w:afterAutospacing="0"/>
                    <w:ind w:left="0" w:right="0"/>
                    <w:jc w:val="center"/>
                    <w:rPr>
                      <w:rFonts w:hint="eastAsia" w:ascii="Times New Roman" w:hAnsi="Times New Roman" w:eastAsia="宋体" w:cs="Times New Roman"/>
                      <w:b/>
                      <w:bCs/>
                      <w:color w:val="auto"/>
                      <w:kern w:val="0"/>
                      <w:szCs w:val="21"/>
                      <w:lang w:bidi="ar"/>
                    </w:rPr>
                  </w:pPr>
                </w:p>
              </w:tc>
              <w:tc>
                <w:tcPr>
                  <w:tcW w:w="645" w:type="pct"/>
                  <w:vMerge w:val="continue"/>
                  <w:vAlign w:val="center"/>
                </w:tcPr>
                <w:p w14:paraId="564A5BF3">
                  <w:pPr>
                    <w:keepNext w:val="0"/>
                    <w:keepLines w:val="0"/>
                    <w:widowControl/>
                    <w:suppressLineNumbers w:val="0"/>
                    <w:spacing w:before="0" w:beforeAutospacing="0" w:after="0" w:afterAutospacing="0"/>
                    <w:ind w:left="0" w:right="0"/>
                    <w:jc w:val="center"/>
                    <w:rPr>
                      <w:rFonts w:hint="default" w:ascii="Times New Roman" w:hAnsi="Times New Roman" w:eastAsia="宋体" w:cs="Times New Roman"/>
                      <w:b/>
                      <w:bCs/>
                      <w:color w:val="auto"/>
                      <w:kern w:val="0"/>
                      <w:szCs w:val="21"/>
                      <w:lang w:bidi="ar"/>
                    </w:rPr>
                  </w:pPr>
                </w:p>
              </w:tc>
              <w:tc>
                <w:tcPr>
                  <w:tcW w:w="581" w:type="pct"/>
                  <w:shd w:val="clear" w:color="auto" w:fill="auto"/>
                  <w:vAlign w:val="center"/>
                </w:tcPr>
                <w:p w14:paraId="1F4FFB4E">
                  <w:pPr>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b/>
                      <w:bCs/>
                      <w:color w:val="0000FF"/>
                      <w:kern w:val="0"/>
                      <w:sz w:val="21"/>
                      <w:szCs w:val="21"/>
                      <w:lang w:val="en-US" w:eastAsia="zh-CN" w:bidi="ar"/>
                    </w:rPr>
                  </w:pPr>
                  <w:r>
                    <w:rPr>
                      <w:rFonts w:hint="eastAsia" w:ascii="Times New Roman" w:hAnsi="Times New Roman" w:eastAsia="宋体" w:cs="Times New Roman"/>
                      <w:b/>
                      <w:bCs/>
                      <w:color w:val="0000FF"/>
                      <w:kern w:val="0"/>
                      <w:szCs w:val="21"/>
                      <w:lang w:val="en-US" w:eastAsia="zh-CN" w:bidi="ar"/>
                    </w:rPr>
                    <w:t>审批</w:t>
                  </w:r>
                </w:p>
              </w:tc>
              <w:tc>
                <w:tcPr>
                  <w:tcW w:w="516" w:type="pct"/>
                  <w:shd w:val="clear" w:color="auto" w:fill="auto"/>
                  <w:vAlign w:val="center"/>
                </w:tcPr>
                <w:p w14:paraId="57AE55CD">
                  <w:pPr>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b/>
                      <w:bCs/>
                      <w:color w:val="0000FF"/>
                      <w:kern w:val="0"/>
                      <w:sz w:val="21"/>
                      <w:szCs w:val="21"/>
                      <w:lang w:val="en-US" w:eastAsia="zh-CN" w:bidi="ar"/>
                    </w:rPr>
                  </w:pPr>
                  <w:r>
                    <w:rPr>
                      <w:rFonts w:hint="default" w:ascii="Times New Roman" w:hAnsi="Times New Roman" w:eastAsia="宋体" w:cs="Times New Roman"/>
                      <w:b/>
                      <w:bCs/>
                      <w:color w:val="0000FF"/>
                      <w:kern w:val="0"/>
                      <w:szCs w:val="21"/>
                      <w:lang w:val="en-US" w:eastAsia="zh-CN" w:bidi="ar"/>
                    </w:rPr>
                    <w:t>验收</w:t>
                  </w:r>
                </w:p>
              </w:tc>
              <w:tc>
                <w:tcPr>
                  <w:tcW w:w="524" w:type="pct"/>
                  <w:vMerge w:val="continue"/>
                  <w:shd w:val="clear" w:color="auto" w:fill="auto"/>
                  <w:vAlign w:val="center"/>
                </w:tcPr>
                <w:p w14:paraId="38EF58C5">
                  <w:pPr>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b/>
                      <w:bCs/>
                      <w:color w:val="auto"/>
                      <w:kern w:val="0"/>
                      <w:sz w:val="21"/>
                      <w:szCs w:val="21"/>
                      <w:lang w:val="en-US" w:eastAsia="zh-CN" w:bidi="ar"/>
                    </w:rPr>
                  </w:pPr>
                </w:p>
              </w:tc>
              <w:tc>
                <w:tcPr>
                  <w:tcW w:w="571" w:type="pct"/>
                  <w:vMerge w:val="continue"/>
                  <w:vAlign w:val="center"/>
                </w:tcPr>
                <w:p w14:paraId="50DEF4D9">
                  <w:pPr>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b/>
                      <w:bCs/>
                      <w:color w:val="auto"/>
                      <w:kern w:val="0"/>
                      <w:sz w:val="21"/>
                      <w:szCs w:val="21"/>
                      <w:lang w:val="en-US" w:eastAsia="zh-CN" w:bidi="ar"/>
                    </w:rPr>
                  </w:pPr>
                </w:p>
              </w:tc>
              <w:tc>
                <w:tcPr>
                  <w:tcW w:w="466" w:type="pct"/>
                  <w:vMerge w:val="continue"/>
                  <w:vAlign w:val="center"/>
                </w:tcPr>
                <w:p w14:paraId="6919C7DF">
                  <w:pPr>
                    <w:keepNext w:val="0"/>
                    <w:keepLines w:val="0"/>
                    <w:widowControl/>
                    <w:suppressLineNumbers w:val="0"/>
                    <w:spacing w:before="0" w:beforeAutospacing="0" w:after="0" w:afterAutospacing="0"/>
                    <w:ind w:left="0" w:right="0"/>
                    <w:jc w:val="center"/>
                    <w:rPr>
                      <w:rFonts w:hint="default" w:ascii="Times New Roman" w:hAnsi="Times New Roman" w:eastAsia="宋体" w:cs="Times New Roman"/>
                      <w:b/>
                      <w:bCs/>
                      <w:color w:val="auto"/>
                      <w:kern w:val="0"/>
                      <w:szCs w:val="21"/>
                      <w:lang w:bidi="ar"/>
                    </w:rPr>
                  </w:pPr>
                </w:p>
              </w:tc>
              <w:tc>
                <w:tcPr>
                  <w:tcW w:w="240" w:type="pct"/>
                  <w:vMerge w:val="continue"/>
                  <w:vAlign w:val="center"/>
                </w:tcPr>
                <w:p w14:paraId="04AFF542">
                  <w:pPr>
                    <w:keepNext w:val="0"/>
                    <w:keepLines w:val="0"/>
                    <w:widowControl/>
                    <w:suppressLineNumbers w:val="0"/>
                    <w:spacing w:before="0" w:beforeAutospacing="0" w:after="0" w:afterAutospacing="0"/>
                    <w:ind w:left="0" w:right="0"/>
                    <w:jc w:val="center"/>
                    <w:rPr>
                      <w:rFonts w:hint="eastAsia" w:ascii="Times New Roman" w:hAnsi="Times New Roman" w:eastAsia="宋体" w:cs="Times New Roman"/>
                      <w:b/>
                      <w:bCs/>
                      <w:color w:val="auto"/>
                      <w:kern w:val="0"/>
                      <w:szCs w:val="21"/>
                      <w:lang w:val="en-US" w:eastAsia="zh-CN" w:bidi="ar"/>
                    </w:rPr>
                  </w:pPr>
                </w:p>
              </w:tc>
            </w:tr>
            <w:tr w14:paraId="6260BA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5000" w:type="pct"/>
                  <w:gridSpan w:val="11"/>
                  <w:vAlign w:val="center"/>
                </w:tcPr>
                <w:p w14:paraId="102D9491">
                  <w:pPr>
                    <w:keepNext w:val="0"/>
                    <w:keepLines w:val="0"/>
                    <w:widowControl/>
                    <w:suppressLineNumbers w:val="0"/>
                    <w:spacing w:before="0" w:beforeAutospacing="0" w:after="0" w:afterAutospacing="0"/>
                    <w:ind w:left="0" w:right="0"/>
                    <w:jc w:val="center"/>
                    <w:rPr>
                      <w:rFonts w:hint="eastAsia" w:ascii="Times New Roman" w:hAnsi="Times New Roman" w:eastAsia="宋体" w:cs="Times New Roman"/>
                      <w:b/>
                      <w:bCs/>
                      <w:color w:val="auto"/>
                      <w:kern w:val="0"/>
                      <w:szCs w:val="21"/>
                      <w:lang w:val="en-US" w:eastAsia="zh-CN" w:bidi="ar"/>
                    </w:rPr>
                  </w:pPr>
                  <w:r>
                    <w:rPr>
                      <w:rFonts w:hint="eastAsia" w:ascii="Times New Roman" w:hAnsi="Times New Roman" w:eastAsia="宋体" w:cs="Times New Roman"/>
                      <w:b/>
                      <w:bCs/>
                      <w:color w:val="0000FF"/>
                      <w:kern w:val="0"/>
                      <w:szCs w:val="21"/>
                      <w:lang w:val="en-US" w:eastAsia="zh-CN" w:bidi="ar"/>
                    </w:rPr>
                    <w:t>年产1000万平方米新能源汽车零部件（有机硅组件）建设项目（现有项目）</w:t>
                  </w:r>
                </w:p>
              </w:tc>
            </w:tr>
            <w:tr w14:paraId="05766D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272" w:type="pct"/>
                  <w:shd w:val="clear" w:color="auto" w:fill="auto"/>
                  <w:vAlign w:val="center"/>
                </w:tcPr>
                <w:p w14:paraId="0328A11C">
                  <w:pPr>
                    <w:keepNext w:val="0"/>
                    <w:keepLines w:val="0"/>
                    <w:suppressLineNumbers w:val="0"/>
                    <w:spacing w:before="0" w:beforeAutospacing="0" w:after="0" w:afterAutospacing="0" w:line="240" w:lineRule="auto"/>
                    <w:ind w:left="0" w:right="0"/>
                    <w:jc w:val="center"/>
                    <w:rPr>
                      <w:rFonts w:hint="default" w:ascii="Times New Roman" w:hAnsi="Times New Roman" w:eastAsia="宋体" w:cs="Times New Roman"/>
                      <w:b w:val="0"/>
                      <w:bCs w:val="0"/>
                      <w:color w:val="auto"/>
                      <w:kern w:val="2"/>
                      <w:sz w:val="21"/>
                      <w:szCs w:val="21"/>
                      <w:highlight w:val="none"/>
                      <w:lang w:val="en-US" w:eastAsia="zh-CN" w:bidi="ar-SA"/>
                    </w:rPr>
                  </w:pPr>
                  <w:r>
                    <w:rPr>
                      <w:rFonts w:hint="default" w:ascii="Times New Roman" w:hAnsi="Times New Roman" w:eastAsia="宋体" w:cs="Times New Roman"/>
                      <w:b w:val="0"/>
                      <w:bCs w:val="0"/>
                      <w:color w:val="auto"/>
                      <w:sz w:val="21"/>
                      <w:szCs w:val="21"/>
                      <w:highlight w:val="none"/>
                      <w:lang w:val="en-US" w:eastAsia="zh-CN"/>
                    </w:rPr>
                    <w:t>1</w:t>
                  </w:r>
                </w:p>
              </w:tc>
              <w:tc>
                <w:tcPr>
                  <w:tcW w:w="370" w:type="pct"/>
                  <w:vMerge w:val="restart"/>
                  <w:vAlign w:val="center"/>
                </w:tcPr>
                <w:p w14:paraId="11AF3F62">
                  <w:pPr>
                    <w:keepNext w:val="0"/>
                    <w:keepLines w:val="0"/>
                    <w:widowControl/>
                    <w:suppressLineNumbers w:val="0"/>
                    <w:spacing w:before="0" w:beforeAutospacing="0" w:after="0" w:afterAutospacing="0"/>
                    <w:ind w:left="0" w:right="0"/>
                    <w:jc w:val="center"/>
                    <w:rPr>
                      <w:rFonts w:hint="eastAsia" w:ascii="Times New Roman" w:hAnsi="Times New Roman" w:eastAsia="宋体" w:cs="Times New Roman"/>
                      <w:b/>
                      <w:bCs/>
                      <w:color w:val="auto"/>
                      <w:kern w:val="0"/>
                      <w:szCs w:val="21"/>
                      <w:lang w:bidi="ar"/>
                    </w:rPr>
                  </w:pPr>
                  <w:r>
                    <w:rPr>
                      <w:rFonts w:hint="eastAsia" w:ascii="Times New Roman" w:hAnsi="Times New Roman" w:eastAsia="宋体" w:cs="Times New Roman"/>
                      <w:b w:val="0"/>
                      <w:bCs w:val="0"/>
                      <w:color w:val="auto"/>
                      <w:kern w:val="0"/>
                      <w:szCs w:val="21"/>
                      <w:lang w:bidi="ar"/>
                    </w:rPr>
                    <w:t>有机硅片材</w:t>
                  </w:r>
                </w:p>
              </w:tc>
              <w:tc>
                <w:tcPr>
                  <w:tcW w:w="810" w:type="pct"/>
                  <w:gridSpan w:val="2"/>
                  <w:shd w:val="clear" w:color="auto" w:fill="auto"/>
                  <w:vAlign w:val="center"/>
                </w:tcPr>
                <w:p w14:paraId="35A48060">
                  <w:pPr>
                    <w:keepNext w:val="0"/>
                    <w:keepLines w:val="0"/>
                    <w:suppressLineNumbers w:val="0"/>
                    <w:spacing w:before="0" w:beforeAutospacing="0" w:after="0" w:afterAutospacing="0"/>
                    <w:ind w:left="0" w:leftChars="0" w:right="0" w:rightChars="0"/>
                    <w:jc w:val="center"/>
                    <w:rPr>
                      <w:rFonts w:hint="eastAsia" w:ascii="Times New Roman" w:hAnsi="Times New Roman" w:eastAsia="宋体" w:cs="Times New Roman"/>
                      <w:color w:val="auto"/>
                      <w:kern w:val="2"/>
                      <w:sz w:val="21"/>
                      <w:szCs w:val="21"/>
                      <w:lang w:val="en-US" w:eastAsia="zh-CN" w:bidi="ar-SA"/>
                    </w:rPr>
                  </w:pPr>
                  <w:r>
                    <w:rPr>
                      <w:rFonts w:hint="default" w:ascii="Times New Roman" w:hAnsi="Times New Roman" w:eastAsia="宋体" w:cs="Times New Roman"/>
                      <w:color w:val="auto"/>
                      <w:szCs w:val="21"/>
                    </w:rPr>
                    <w:t>乙烯基硅油</w:t>
                  </w:r>
                </w:p>
              </w:tc>
              <w:tc>
                <w:tcPr>
                  <w:tcW w:w="645" w:type="pct"/>
                  <w:shd w:val="clear" w:color="auto" w:fill="auto"/>
                  <w:vAlign w:val="center"/>
                </w:tcPr>
                <w:p w14:paraId="4FC78C10">
                  <w:pPr>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color w:val="auto"/>
                      <w:kern w:val="2"/>
                      <w:sz w:val="21"/>
                      <w:szCs w:val="21"/>
                      <w:lang w:val="en-US" w:eastAsia="zh-CN" w:bidi="ar-SA"/>
                    </w:rPr>
                  </w:pPr>
                  <w:r>
                    <w:rPr>
                      <w:rFonts w:hint="default" w:ascii="Times New Roman" w:hAnsi="Times New Roman" w:eastAsia="宋体" w:cs="Times New Roman"/>
                      <w:color w:val="auto"/>
                      <w:szCs w:val="21"/>
                    </w:rPr>
                    <w:t>190kg/铁桶</w:t>
                  </w:r>
                </w:p>
              </w:tc>
              <w:tc>
                <w:tcPr>
                  <w:tcW w:w="581" w:type="pct"/>
                  <w:shd w:val="clear" w:color="auto" w:fill="auto"/>
                  <w:vAlign w:val="center"/>
                </w:tcPr>
                <w:p w14:paraId="55B1D700">
                  <w:pPr>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color w:val="0000FF"/>
                      <w:kern w:val="2"/>
                      <w:sz w:val="21"/>
                      <w:szCs w:val="21"/>
                      <w:lang w:val="en-US" w:eastAsia="zh-CN" w:bidi="ar-SA"/>
                    </w:rPr>
                  </w:pPr>
                  <w:r>
                    <w:rPr>
                      <w:rFonts w:hint="default" w:ascii="Times New Roman" w:hAnsi="Times New Roman" w:eastAsia="宋体" w:cs="Times New Roman"/>
                      <w:color w:val="0000FF"/>
                      <w:szCs w:val="21"/>
                    </w:rPr>
                    <w:t>5440t</w:t>
                  </w:r>
                </w:p>
              </w:tc>
              <w:tc>
                <w:tcPr>
                  <w:tcW w:w="516" w:type="pct"/>
                  <w:shd w:val="clear" w:color="auto" w:fill="auto"/>
                  <w:vAlign w:val="center"/>
                </w:tcPr>
                <w:p w14:paraId="709E2BD7">
                  <w:pPr>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color w:val="0000FF"/>
                      <w:kern w:val="2"/>
                      <w:sz w:val="21"/>
                      <w:szCs w:val="21"/>
                      <w:lang w:val="en-US" w:eastAsia="zh-CN" w:bidi="ar-SA"/>
                    </w:rPr>
                  </w:pPr>
                  <w:r>
                    <w:rPr>
                      <w:rFonts w:hint="default" w:ascii="Times New Roman" w:hAnsi="Times New Roman" w:eastAsia="宋体" w:cs="Times New Roman"/>
                      <w:color w:val="0000FF"/>
                      <w:szCs w:val="21"/>
                    </w:rPr>
                    <w:t>4226t</w:t>
                  </w:r>
                </w:p>
              </w:tc>
              <w:tc>
                <w:tcPr>
                  <w:tcW w:w="524" w:type="pct"/>
                  <w:shd w:val="clear" w:color="auto" w:fill="auto"/>
                  <w:vAlign w:val="center"/>
                </w:tcPr>
                <w:p w14:paraId="0D583857">
                  <w:pPr>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color w:val="0000FF"/>
                      <w:kern w:val="2"/>
                      <w:sz w:val="21"/>
                      <w:szCs w:val="21"/>
                      <w:lang w:val="en-US" w:eastAsia="zh-CN" w:bidi="ar-SA"/>
                    </w:rPr>
                  </w:pPr>
                  <w:r>
                    <w:rPr>
                      <w:rFonts w:hint="default" w:ascii="Times New Roman" w:hAnsi="Times New Roman" w:eastAsia="宋体" w:cs="Times New Roman"/>
                      <w:color w:val="0000FF"/>
                      <w:szCs w:val="21"/>
                    </w:rPr>
                    <w:t>4226t</w:t>
                  </w:r>
                </w:p>
              </w:tc>
              <w:tc>
                <w:tcPr>
                  <w:tcW w:w="571" w:type="pct"/>
                  <w:shd w:val="clear" w:color="auto" w:fill="auto"/>
                  <w:vAlign w:val="center"/>
                </w:tcPr>
                <w:p w14:paraId="04D019D1">
                  <w:pPr>
                    <w:keepNext w:val="0"/>
                    <w:keepLines w:val="0"/>
                    <w:suppressLineNumbers w:val="0"/>
                    <w:spacing w:before="0" w:beforeAutospacing="0" w:after="0" w:afterAutospacing="0" w:line="240" w:lineRule="auto"/>
                    <w:ind w:left="0" w:right="0"/>
                    <w:jc w:val="center"/>
                    <w:rPr>
                      <w:rFonts w:hint="default" w:ascii="Times New Roman" w:hAnsi="Times New Roman" w:eastAsia="宋体" w:cs="Times New Roman"/>
                      <w:b w:val="0"/>
                      <w:bCs w:val="0"/>
                      <w:color w:val="0000FF"/>
                      <w:kern w:val="2"/>
                      <w:sz w:val="21"/>
                      <w:szCs w:val="21"/>
                      <w:highlight w:val="none"/>
                      <w:lang w:val="en-US" w:eastAsia="zh-CN" w:bidi="ar-SA"/>
                    </w:rPr>
                  </w:pPr>
                  <w:r>
                    <w:rPr>
                      <w:rFonts w:hint="default" w:ascii="Times New Roman" w:hAnsi="Times New Roman" w:eastAsia="宋体" w:cs="Times New Roman"/>
                      <w:b w:val="0"/>
                      <w:bCs w:val="0"/>
                      <w:color w:val="0000FF"/>
                      <w:sz w:val="21"/>
                      <w:szCs w:val="21"/>
                      <w:highlight w:val="none"/>
                      <w:lang w:val="en-US" w:eastAsia="zh-CN"/>
                    </w:rPr>
                    <w:t>-1214t</w:t>
                  </w:r>
                </w:p>
              </w:tc>
              <w:tc>
                <w:tcPr>
                  <w:tcW w:w="466" w:type="pct"/>
                  <w:vAlign w:val="center"/>
                </w:tcPr>
                <w:p w14:paraId="591C9A34">
                  <w:pPr>
                    <w:keepNext w:val="0"/>
                    <w:keepLines w:val="0"/>
                    <w:suppressLineNumbers w:val="0"/>
                    <w:spacing w:before="0" w:beforeAutospacing="0" w:after="0" w:afterAutospacing="0" w:line="240" w:lineRule="auto"/>
                    <w:ind w:left="0" w:right="0"/>
                    <w:jc w:val="center"/>
                    <w:rPr>
                      <w:rFonts w:hint="default" w:ascii="Times New Roman" w:hAnsi="Times New Roman" w:eastAsia="宋体" w:cs="Times New Roman"/>
                      <w:b w:val="0"/>
                      <w:bCs w:val="0"/>
                      <w:color w:val="0000FF"/>
                      <w:sz w:val="21"/>
                      <w:szCs w:val="21"/>
                      <w:highlight w:val="none"/>
                      <w:lang w:val="en-US" w:eastAsia="zh-CN"/>
                    </w:rPr>
                  </w:pPr>
                  <w:r>
                    <w:rPr>
                      <w:rFonts w:hint="eastAsia" w:ascii="Times New Roman" w:hAnsi="Times New Roman" w:eastAsia="宋体" w:cs="Times New Roman"/>
                      <w:b w:val="0"/>
                      <w:bCs w:val="0"/>
                      <w:color w:val="0000FF"/>
                      <w:sz w:val="21"/>
                      <w:szCs w:val="21"/>
                      <w:highlight w:val="none"/>
                      <w:lang w:val="en-US" w:eastAsia="zh-CN"/>
                    </w:rPr>
                    <w:t>704t</w:t>
                  </w:r>
                </w:p>
              </w:tc>
              <w:tc>
                <w:tcPr>
                  <w:tcW w:w="240" w:type="pct"/>
                  <w:vAlign w:val="center"/>
                </w:tcPr>
                <w:p w14:paraId="41144836">
                  <w:pPr>
                    <w:keepNext w:val="0"/>
                    <w:keepLines w:val="0"/>
                    <w:suppressLineNumbers w:val="0"/>
                    <w:spacing w:before="0" w:beforeAutospacing="0" w:after="0" w:afterAutospacing="0"/>
                    <w:ind w:left="0" w:leftChars="0" w:right="0" w:rightChars="0"/>
                    <w:jc w:val="center"/>
                    <w:rPr>
                      <w:rFonts w:hint="eastAsia" w:ascii="Times New Roman" w:hAnsi="Times New Roman" w:eastAsia="宋体" w:cs="Times New Roman"/>
                      <w:b/>
                      <w:bCs/>
                      <w:color w:val="auto"/>
                      <w:kern w:val="0"/>
                      <w:szCs w:val="21"/>
                      <w:lang w:val="en-US" w:eastAsia="zh-CN" w:bidi="ar"/>
                    </w:rPr>
                  </w:pPr>
                  <w:r>
                    <w:rPr>
                      <w:rFonts w:hint="eastAsia" w:ascii="Times New Roman" w:hAnsi="Times New Roman" w:eastAsia="宋体" w:cs="Times New Roman"/>
                      <w:color w:val="auto"/>
                      <w:szCs w:val="21"/>
                      <w:lang w:val="en-US" w:eastAsia="zh-CN"/>
                    </w:rPr>
                    <w:t>/</w:t>
                  </w:r>
                </w:p>
              </w:tc>
            </w:tr>
            <w:tr w14:paraId="45DAE1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272" w:type="pct"/>
                  <w:shd w:val="clear" w:color="auto" w:fill="auto"/>
                  <w:vAlign w:val="center"/>
                </w:tcPr>
                <w:p w14:paraId="7565B89D">
                  <w:pPr>
                    <w:keepNext w:val="0"/>
                    <w:keepLines w:val="0"/>
                    <w:suppressLineNumbers w:val="0"/>
                    <w:spacing w:before="0" w:beforeAutospacing="0" w:after="0" w:afterAutospacing="0" w:line="240" w:lineRule="auto"/>
                    <w:ind w:left="0" w:right="0"/>
                    <w:jc w:val="center"/>
                    <w:rPr>
                      <w:rFonts w:hint="default" w:ascii="Times New Roman" w:hAnsi="Times New Roman" w:eastAsia="宋体" w:cs="Times New Roman"/>
                      <w:b w:val="0"/>
                      <w:bCs w:val="0"/>
                      <w:color w:val="auto"/>
                      <w:kern w:val="2"/>
                      <w:sz w:val="21"/>
                      <w:szCs w:val="21"/>
                      <w:highlight w:val="none"/>
                      <w:lang w:val="en-US" w:eastAsia="zh-CN" w:bidi="ar-SA"/>
                    </w:rPr>
                  </w:pPr>
                  <w:r>
                    <w:rPr>
                      <w:rFonts w:hint="default" w:ascii="Times New Roman" w:hAnsi="Times New Roman" w:eastAsia="宋体" w:cs="Times New Roman"/>
                      <w:b w:val="0"/>
                      <w:bCs w:val="0"/>
                      <w:color w:val="auto"/>
                      <w:sz w:val="21"/>
                      <w:szCs w:val="21"/>
                      <w:highlight w:val="none"/>
                      <w:lang w:val="en-US" w:eastAsia="zh-CN"/>
                    </w:rPr>
                    <w:t>2</w:t>
                  </w:r>
                </w:p>
              </w:tc>
              <w:tc>
                <w:tcPr>
                  <w:tcW w:w="370" w:type="pct"/>
                  <w:vMerge w:val="continue"/>
                  <w:vAlign w:val="center"/>
                </w:tcPr>
                <w:p w14:paraId="1AD59A18">
                  <w:pPr>
                    <w:keepNext w:val="0"/>
                    <w:keepLines w:val="0"/>
                    <w:widowControl/>
                    <w:suppressLineNumbers w:val="0"/>
                    <w:spacing w:before="0" w:beforeAutospacing="0" w:after="0" w:afterAutospacing="0"/>
                    <w:ind w:left="0" w:right="0"/>
                    <w:jc w:val="center"/>
                    <w:rPr>
                      <w:rFonts w:hint="eastAsia" w:ascii="Times New Roman" w:hAnsi="Times New Roman" w:eastAsia="宋体" w:cs="Times New Roman"/>
                      <w:b/>
                      <w:bCs/>
                      <w:color w:val="auto"/>
                      <w:kern w:val="0"/>
                      <w:szCs w:val="21"/>
                      <w:lang w:bidi="ar"/>
                    </w:rPr>
                  </w:pPr>
                </w:p>
              </w:tc>
              <w:tc>
                <w:tcPr>
                  <w:tcW w:w="810" w:type="pct"/>
                  <w:gridSpan w:val="2"/>
                  <w:shd w:val="clear" w:color="auto" w:fill="auto"/>
                  <w:vAlign w:val="center"/>
                </w:tcPr>
                <w:p w14:paraId="29CEC901">
                  <w:pPr>
                    <w:keepNext w:val="0"/>
                    <w:keepLines w:val="0"/>
                    <w:suppressLineNumbers w:val="0"/>
                    <w:spacing w:before="0" w:beforeAutospacing="0" w:after="0" w:afterAutospacing="0"/>
                    <w:ind w:left="0" w:leftChars="0" w:right="0" w:rightChars="0"/>
                    <w:jc w:val="center"/>
                    <w:rPr>
                      <w:rFonts w:hint="eastAsia" w:ascii="Times New Roman" w:hAnsi="Times New Roman" w:eastAsia="宋体" w:cs="Times New Roman"/>
                      <w:color w:val="auto"/>
                      <w:kern w:val="2"/>
                      <w:sz w:val="21"/>
                      <w:szCs w:val="21"/>
                      <w:lang w:val="en-US" w:eastAsia="zh-CN" w:bidi="ar-SA"/>
                    </w:rPr>
                  </w:pPr>
                  <w:r>
                    <w:rPr>
                      <w:rFonts w:hint="default" w:ascii="Times New Roman" w:hAnsi="Times New Roman" w:eastAsia="宋体" w:cs="Times New Roman"/>
                      <w:color w:val="auto"/>
                      <w:szCs w:val="21"/>
                    </w:rPr>
                    <w:t>二氧化硅粉体</w:t>
                  </w:r>
                </w:p>
              </w:tc>
              <w:tc>
                <w:tcPr>
                  <w:tcW w:w="645" w:type="pct"/>
                  <w:shd w:val="clear" w:color="auto" w:fill="auto"/>
                  <w:vAlign w:val="center"/>
                </w:tcPr>
                <w:p w14:paraId="2F4CDF65">
                  <w:pPr>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color w:val="auto"/>
                      <w:kern w:val="2"/>
                      <w:sz w:val="21"/>
                      <w:szCs w:val="21"/>
                      <w:lang w:val="en-US" w:eastAsia="zh-CN" w:bidi="ar-SA"/>
                    </w:rPr>
                  </w:pPr>
                  <w:r>
                    <w:rPr>
                      <w:rFonts w:hint="default" w:ascii="Times New Roman" w:hAnsi="Times New Roman" w:eastAsia="宋体" w:cs="Times New Roman"/>
                      <w:color w:val="auto"/>
                      <w:szCs w:val="21"/>
                    </w:rPr>
                    <w:t>10kg/编织袋</w:t>
                  </w:r>
                </w:p>
              </w:tc>
              <w:tc>
                <w:tcPr>
                  <w:tcW w:w="581" w:type="pct"/>
                  <w:shd w:val="clear" w:color="auto" w:fill="auto"/>
                  <w:vAlign w:val="center"/>
                </w:tcPr>
                <w:p w14:paraId="5FC1045B">
                  <w:pPr>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color w:val="0000FF"/>
                      <w:kern w:val="2"/>
                      <w:sz w:val="21"/>
                      <w:szCs w:val="21"/>
                      <w:lang w:val="en-US" w:eastAsia="zh-CN" w:bidi="ar-SA"/>
                    </w:rPr>
                  </w:pPr>
                  <w:r>
                    <w:rPr>
                      <w:rFonts w:hint="default" w:ascii="Times New Roman" w:hAnsi="Times New Roman" w:eastAsia="宋体" w:cs="Times New Roman"/>
                      <w:color w:val="0000FF"/>
                      <w:szCs w:val="21"/>
                    </w:rPr>
                    <w:t>1360t</w:t>
                  </w:r>
                </w:p>
              </w:tc>
              <w:tc>
                <w:tcPr>
                  <w:tcW w:w="516" w:type="pct"/>
                  <w:shd w:val="clear" w:color="auto" w:fill="auto"/>
                  <w:vAlign w:val="center"/>
                </w:tcPr>
                <w:p w14:paraId="7E86FEB6">
                  <w:pPr>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color w:val="0000FF"/>
                      <w:kern w:val="2"/>
                      <w:sz w:val="21"/>
                      <w:szCs w:val="21"/>
                      <w:lang w:val="en-US" w:eastAsia="zh-CN" w:bidi="ar-SA"/>
                    </w:rPr>
                  </w:pPr>
                  <w:r>
                    <w:rPr>
                      <w:rFonts w:hint="default" w:ascii="Times New Roman" w:hAnsi="Times New Roman" w:eastAsia="宋体" w:cs="Times New Roman"/>
                      <w:color w:val="0000FF"/>
                      <w:szCs w:val="21"/>
                    </w:rPr>
                    <w:t>1064t</w:t>
                  </w:r>
                </w:p>
              </w:tc>
              <w:tc>
                <w:tcPr>
                  <w:tcW w:w="524" w:type="pct"/>
                  <w:shd w:val="clear" w:color="auto" w:fill="auto"/>
                  <w:vAlign w:val="center"/>
                </w:tcPr>
                <w:p w14:paraId="6D539486">
                  <w:pPr>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color w:val="0000FF"/>
                      <w:kern w:val="2"/>
                      <w:sz w:val="21"/>
                      <w:szCs w:val="21"/>
                      <w:lang w:val="en-US" w:eastAsia="zh-CN" w:bidi="ar-SA"/>
                    </w:rPr>
                  </w:pPr>
                  <w:r>
                    <w:rPr>
                      <w:rFonts w:hint="default" w:ascii="Times New Roman" w:hAnsi="Times New Roman" w:eastAsia="宋体" w:cs="Times New Roman"/>
                      <w:color w:val="0000FF"/>
                      <w:szCs w:val="21"/>
                    </w:rPr>
                    <w:t>1064t</w:t>
                  </w:r>
                </w:p>
              </w:tc>
              <w:tc>
                <w:tcPr>
                  <w:tcW w:w="571" w:type="pct"/>
                  <w:shd w:val="clear" w:color="auto" w:fill="auto"/>
                  <w:vAlign w:val="center"/>
                </w:tcPr>
                <w:p w14:paraId="75830EF9">
                  <w:pPr>
                    <w:keepNext w:val="0"/>
                    <w:keepLines w:val="0"/>
                    <w:suppressLineNumbers w:val="0"/>
                    <w:spacing w:before="0" w:beforeAutospacing="0" w:after="0" w:afterAutospacing="0" w:line="240" w:lineRule="auto"/>
                    <w:ind w:left="0" w:right="0"/>
                    <w:jc w:val="center"/>
                    <w:rPr>
                      <w:rFonts w:hint="default" w:ascii="Times New Roman" w:hAnsi="Times New Roman" w:eastAsia="宋体" w:cs="Times New Roman"/>
                      <w:b w:val="0"/>
                      <w:bCs w:val="0"/>
                      <w:color w:val="0000FF"/>
                      <w:kern w:val="2"/>
                      <w:sz w:val="21"/>
                      <w:szCs w:val="21"/>
                      <w:highlight w:val="none"/>
                      <w:lang w:val="en-US" w:eastAsia="zh-CN" w:bidi="ar-SA"/>
                    </w:rPr>
                  </w:pPr>
                  <w:r>
                    <w:rPr>
                      <w:rFonts w:hint="default" w:ascii="Times New Roman" w:hAnsi="Times New Roman" w:eastAsia="宋体" w:cs="Times New Roman"/>
                      <w:b w:val="0"/>
                      <w:bCs w:val="0"/>
                      <w:color w:val="0000FF"/>
                      <w:sz w:val="21"/>
                      <w:szCs w:val="21"/>
                      <w:highlight w:val="none"/>
                      <w:lang w:val="en-US" w:eastAsia="zh-CN"/>
                    </w:rPr>
                    <w:t>-296t</w:t>
                  </w:r>
                </w:p>
              </w:tc>
              <w:tc>
                <w:tcPr>
                  <w:tcW w:w="466" w:type="pct"/>
                  <w:vAlign w:val="center"/>
                </w:tcPr>
                <w:p w14:paraId="1011F8A5">
                  <w:pPr>
                    <w:keepNext w:val="0"/>
                    <w:keepLines w:val="0"/>
                    <w:suppressLineNumbers w:val="0"/>
                    <w:spacing w:before="0" w:beforeAutospacing="0" w:after="0" w:afterAutospacing="0" w:line="240" w:lineRule="auto"/>
                    <w:ind w:left="0" w:right="0"/>
                    <w:jc w:val="center"/>
                    <w:rPr>
                      <w:rFonts w:hint="default" w:ascii="Times New Roman" w:hAnsi="Times New Roman" w:eastAsia="宋体" w:cs="Times New Roman"/>
                      <w:b w:val="0"/>
                      <w:bCs w:val="0"/>
                      <w:color w:val="0000FF"/>
                      <w:sz w:val="21"/>
                      <w:szCs w:val="21"/>
                      <w:highlight w:val="none"/>
                      <w:lang w:val="en-US" w:eastAsia="zh-CN"/>
                    </w:rPr>
                  </w:pPr>
                  <w:r>
                    <w:rPr>
                      <w:rFonts w:hint="eastAsia" w:ascii="Times New Roman" w:hAnsi="Times New Roman" w:eastAsia="宋体" w:cs="Times New Roman"/>
                      <w:b w:val="0"/>
                      <w:bCs w:val="0"/>
                      <w:color w:val="0000FF"/>
                      <w:sz w:val="21"/>
                      <w:szCs w:val="21"/>
                      <w:highlight w:val="none"/>
                      <w:lang w:val="en-US" w:eastAsia="zh-CN"/>
                    </w:rPr>
                    <w:t>177t</w:t>
                  </w:r>
                </w:p>
              </w:tc>
              <w:tc>
                <w:tcPr>
                  <w:tcW w:w="240" w:type="pct"/>
                  <w:vAlign w:val="center"/>
                </w:tcPr>
                <w:p w14:paraId="7253F481">
                  <w:pPr>
                    <w:keepNext w:val="0"/>
                    <w:keepLines w:val="0"/>
                    <w:suppressLineNumbers w:val="0"/>
                    <w:spacing w:before="0" w:beforeAutospacing="0" w:after="0" w:afterAutospacing="0"/>
                    <w:ind w:left="0" w:leftChars="0" w:right="0" w:rightChars="0"/>
                    <w:jc w:val="center"/>
                    <w:rPr>
                      <w:rFonts w:hint="eastAsia" w:ascii="Times New Roman" w:hAnsi="Times New Roman" w:eastAsia="宋体" w:cs="Times New Roman"/>
                      <w:b/>
                      <w:bCs/>
                      <w:color w:val="auto"/>
                      <w:kern w:val="0"/>
                      <w:szCs w:val="21"/>
                      <w:lang w:val="en-US" w:eastAsia="zh-CN" w:bidi="ar"/>
                    </w:rPr>
                  </w:pPr>
                  <w:r>
                    <w:rPr>
                      <w:rFonts w:hint="eastAsia" w:ascii="Times New Roman" w:hAnsi="Times New Roman" w:eastAsia="宋体" w:cs="Times New Roman"/>
                      <w:color w:val="auto"/>
                      <w:szCs w:val="21"/>
                      <w:lang w:val="en-US" w:eastAsia="zh-CN"/>
                    </w:rPr>
                    <w:t>/</w:t>
                  </w:r>
                </w:p>
              </w:tc>
            </w:tr>
            <w:tr w14:paraId="702252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272" w:type="pct"/>
                  <w:shd w:val="clear" w:color="auto" w:fill="auto"/>
                  <w:vAlign w:val="center"/>
                </w:tcPr>
                <w:p w14:paraId="43C282EF">
                  <w:pPr>
                    <w:keepNext w:val="0"/>
                    <w:keepLines w:val="0"/>
                    <w:suppressLineNumbers w:val="0"/>
                    <w:spacing w:before="0" w:beforeAutospacing="0" w:after="0" w:afterAutospacing="0" w:line="240" w:lineRule="auto"/>
                    <w:ind w:left="0" w:right="0"/>
                    <w:jc w:val="center"/>
                    <w:rPr>
                      <w:rFonts w:hint="default" w:ascii="Times New Roman" w:hAnsi="Times New Roman" w:eastAsia="宋体" w:cs="Times New Roman"/>
                      <w:b w:val="0"/>
                      <w:bCs w:val="0"/>
                      <w:color w:val="auto"/>
                      <w:kern w:val="2"/>
                      <w:sz w:val="21"/>
                      <w:szCs w:val="21"/>
                      <w:highlight w:val="none"/>
                      <w:lang w:val="en-US" w:eastAsia="zh-CN" w:bidi="ar-SA"/>
                    </w:rPr>
                  </w:pPr>
                  <w:r>
                    <w:rPr>
                      <w:rFonts w:hint="default" w:ascii="Times New Roman" w:hAnsi="Times New Roman" w:eastAsia="宋体" w:cs="Times New Roman"/>
                      <w:b w:val="0"/>
                      <w:bCs w:val="0"/>
                      <w:color w:val="auto"/>
                      <w:sz w:val="21"/>
                      <w:szCs w:val="21"/>
                      <w:highlight w:val="none"/>
                      <w:lang w:val="en-US" w:eastAsia="zh-CN"/>
                    </w:rPr>
                    <w:t>3</w:t>
                  </w:r>
                </w:p>
              </w:tc>
              <w:tc>
                <w:tcPr>
                  <w:tcW w:w="370" w:type="pct"/>
                  <w:vMerge w:val="continue"/>
                  <w:vAlign w:val="center"/>
                </w:tcPr>
                <w:p w14:paraId="1BDDAB86">
                  <w:pPr>
                    <w:keepNext w:val="0"/>
                    <w:keepLines w:val="0"/>
                    <w:widowControl/>
                    <w:suppressLineNumbers w:val="0"/>
                    <w:spacing w:before="0" w:beforeAutospacing="0" w:after="0" w:afterAutospacing="0"/>
                    <w:ind w:left="0" w:right="0"/>
                    <w:jc w:val="center"/>
                    <w:rPr>
                      <w:rFonts w:hint="eastAsia" w:ascii="Times New Roman" w:hAnsi="Times New Roman" w:eastAsia="宋体" w:cs="Times New Roman"/>
                      <w:b/>
                      <w:bCs/>
                      <w:color w:val="auto"/>
                      <w:kern w:val="0"/>
                      <w:szCs w:val="21"/>
                      <w:lang w:bidi="ar"/>
                    </w:rPr>
                  </w:pPr>
                </w:p>
              </w:tc>
              <w:tc>
                <w:tcPr>
                  <w:tcW w:w="810" w:type="pct"/>
                  <w:gridSpan w:val="2"/>
                  <w:shd w:val="clear" w:color="auto" w:fill="auto"/>
                  <w:vAlign w:val="center"/>
                </w:tcPr>
                <w:p w14:paraId="2479FA83">
                  <w:pPr>
                    <w:keepNext w:val="0"/>
                    <w:keepLines w:val="0"/>
                    <w:suppressLineNumbers w:val="0"/>
                    <w:spacing w:before="0" w:beforeAutospacing="0" w:after="0" w:afterAutospacing="0"/>
                    <w:ind w:left="0" w:leftChars="0" w:right="0" w:rightChars="0"/>
                    <w:jc w:val="center"/>
                    <w:rPr>
                      <w:rFonts w:hint="eastAsia" w:ascii="Times New Roman" w:hAnsi="Times New Roman" w:eastAsia="宋体" w:cs="Times New Roman"/>
                      <w:color w:val="auto"/>
                      <w:kern w:val="2"/>
                      <w:sz w:val="21"/>
                      <w:szCs w:val="21"/>
                      <w:lang w:val="en-US" w:eastAsia="zh-CN" w:bidi="ar-SA"/>
                    </w:rPr>
                  </w:pPr>
                  <w:r>
                    <w:rPr>
                      <w:rFonts w:hint="default" w:ascii="Times New Roman" w:hAnsi="Times New Roman" w:eastAsia="宋体" w:cs="Times New Roman"/>
                      <w:color w:val="auto"/>
                      <w:szCs w:val="21"/>
                    </w:rPr>
                    <w:t>氢氧化铝粉体</w:t>
                  </w:r>
                </w:p>
              </w:tc>
              <w:tc>
                <w:tcPr>
                  <w:tcW w:w="645" w:type="pct"/>
                  <w:shd w:val="clear" w:color="auto" w:fill="auto"/>
                  <w:vAlign w:val="center"/>
                </w:tcPr>
                <w:p w14:paraId="7C984C4E">
                  <w:pPr>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color w:val="auto"/>
                      <w:kern w:val="2"/>
                      <w:sz w:val="21"/>
                      <w:szCs w:val="21"/>
                      <w:lang w:val="en-US" w:eastAsia="zh-CN" w:bidi="ar-SA"/>
                    </w:rPr>
                  </w:pPr>
                  <w:r>
                    <w:rPr>
                      <w:rFonts w:hint="default" w:ascii="Times New Roman" w:hAnsi="Times New Roman" w:eastAsia="宋体" w:cs="Times New Roman"/>
                      <w:color w:val="auto"/>
                      <w:szCs w:val="21"/>
                    </w:rPr>
                    <w:t>40kg/编织袋</w:t>
                  </w:r>
                </w:p>
              </w:tc>
              <w:tc>
                <w:tcPr>
                  <w:tcW w:w="581" w:type="pct"/>
                  <w:shd w:val="clear" w:color="auto" w:fill="auto"/>
                  <w:vAlign w:val="center"/>
                </w:tcPr>
                <w:p w14:paraId="63829371">
                  <w:pPr>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color w:val="0000FF"/>
                      <w:kern w:val="2"/>
                      <w:sz w:val="21"/>
                      <w:szCs w:val="21"/>
                      <w:lang w:val="en-US" w:eastAsia="zh-CN" w:bidi="ar-SA"/>
                    </w:rPr>
                  </w:pPr>
                  <w:r>
                    <w:rPr>
                      <w:rFonts w:hint="default" w:ascii="Times New Roman" w:hAnsi="Times New Roman" w:eastAsia="宋体" w:cs="Times New Roman"/>
                      <w:color w:val="0000FF"/>
                      <w:szCs w:val="21"/>
                    </w:rPr>
                    <w:t>6000t</w:t>
                  </w:r>
                </w:p>
              </w:tc>
              <w:tc>
                <w:tcPr>
                  <w:tcW w:w="516" w:type="pct"/>
                  <w:shd w:val="clear" w:color="auto" w:fill="auto"/>
                  <w:vAlign w:val="center"/>
                </w:tcPr>
                <w:p w14:paraId="6F443047">
                  <w:pPr>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color w:val="0000FF"/>
                      <w:kern w:val="2"/>
                      <w:sz w:val="21"/>
                      <w:szCs w:val="21"/>
                      <w:lang w:val="en-US" w:eastAsia="zh-CN" w:bidi="ar-SA"/>
                    </w:rPr>
                  </w:pPr>
                  <w:r>
                    <w:rPr>
                      <w:rFonts w:hint="default" w:ascii="Times New Roman" w:hAnsi="Times New Roman" w:eastAsia="宋体" w:cs="Times New Roman"/>
                      <w:color w:val="0000FF"/>
                      <w:szCs w:val="21"/>
                    </w:rPr>
                    <w:t>4696t</w:t>
                  </w:r>
                </w:p>
              </w:tc>
              <w:tc>
                <w:tcPr>
                  <w:tcW w:w="524" w:type="pct"/>
                  <w:shd w:val="clear" w:color="auto" w:fill="auto"/>
                  <w:vAlign w:val="center"/>
                </w:tcPr>
                <w:p w14:paraId="06D77BF9">
                  <w:pPr>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color w:val="0000FF"/>
                      <w:kern w:val="2"/>
                      <w:sz w:val="21"/>
                      <w:szCs w:val="21"/>
                      <w:lang w:val="en-US" w:eastAsia="zh-CN" w:bidi="ar-SA"/>
                    </w:rPr>
                  </w:pPr>
                  <w:r>
                    <w:rPr>
                      <w:rFonts w:hint="default" w:ascii="Times New Roman" w:hAnsi="Times New Roman" w:eastAsia="宋体" w:cs="Times New Roman"/>
                      <w:color w:val="0000FF"/>
                      <w:szCs w:val="21"/>
                    </w:rPr>
                    <w:t>4696t</w:t>
                  </w:r>
                </w:p>
              </w:tc>
              <w:tc>
                <w:tcPr>
                  <w:tcW w:w="571" w:type="pct"/>
                  <w:shd w:val="clear" w:color="auto" w:fill="auto"/>
                  <w:vAlign w:val="center"/>
                </w:tcPr>
                <w:p w14:paraId="56856C66">
                  <w:pPr>
                    <w:keepNext w:val="0"/>
                    <w:keepLines w:val="0"/>
                    <w:suppressLineNumbers w:val="0"/>
                    <w:spacing w:before="0" w:beforeAutospacing="0" w:after="0" w:afterAutospacing="0" w:line="240" w:lineRule="auto"/>
                    <w:ind w:left="0" w:right="0"/>
                    <w:jc w:val="center"/>
                    <w:rPr>
                      <w:rFonts w:hint="default" w:ascii="Times New Roman" w:hAnsi="Times New Roman" w:eastAsia="宋体" w:cs="Times New Roman"/>
                      <w:b w:val="0"/>
                      <w:bCs w:val="0"/>
                      <w:color w:val="0000FF"/>
                      <w:kern w:val="2"/>
                      <w:sz w:val="21"/>
                      <w:szCs w:val="21"/>
                      <w:highlight w:val="none"/>
                      <w:lang w:val="en-US" w:eastAsia="zh-CN" w:bidi="ar-SA"/>
                    </w:rPr>
                  </w:pPr>
                  <w:r>
                    <w:rPr>
                      <w:rFonts w:hint="default" w:ascii="Times New Roman" w:hAnsi="Times New Roman" w:eastAsia="宋体" w:cs="Times New Roman"/>
                      <w:b w:val="0"/>
                      <w:bCs w:val="0"/>
                      <w:color w:val="0000FF"/>
                      <w:sz w:val="21"/>
                      <w:szCs w:val="21"/>
                      <w:highlight w:val="none"/>
                      <w:lang w:val="en-US" w:eastAsia="zh-CN"/>
                    </w:rPr>
                    <w:t>-1304t</w:t>
                  </w:r>
                </w:p>
              </w:tc>
              <w:tc>
                <w:tcPr>
                  <w:tcW w:w="466" w:type="pct"/>
                  <w:vAlign w:val="center"/>
                </w:tcPr>
                <w:p w14:paraId="73465C40">
                  <w:pPr>
                    <w:keepNext w:val="0"/>
                    <w:keepLines w:val="0"/>
                    <w:suppressLineNumbers w:val="0"/>
                    <w:spacing w:before="0" w:beforeAutospacing="0" w:after="0" w:afterAutospacing="0" w:line="240" w:lineRule="auto"/>
                    <w:ind w:left="0" w:right="0"/>
                    <w:jc w:val="center"/>
                    <w:rPr>
                      <w:rFonts w:hint="default" w:ascii="Times New Roman" w:hAnsi="Times New Roman" w:eastAsia="宋体" w:cs="Times New Roman"/>
                      <w:b w:val="0"/>
                      <w:bCs w:val="0"/>
                      <w:color w:val="0000FF"/>
                      <w:sz w:val="21"/>
                      <w:szCs w:val="21"/>
                      <w:highlight w:val="none"/>
                      <w:lang w:val="en-US" w:eastAsia="zh-CN"/>
                    </w:rPr>
                  </w:pPr>
                  <w:r>
                    <w:rPr>
                      <w:rFonts w:hint="eastAsia" w:ascii="Times New Roman" w:hAnsi="Times New Roman" w:eastAsia="宋体" w:cs="Times New Roman"/>
                      <w:b w:val="0"/>
                      <w:bCs w:val="0"/>
                      <w:color w:val="0000FF"/>
                      <w:sz w:val="21"/>
                      <w:szCs w:val="21"/>
                      <w:highlight w:val="none"/>
                      <w:lang w:val="en-US" w:eastAsia="zh-CN"/>
                    </w:rPr>
                    <w:t>783t</w:t>
                  </w:r>
                </w:p>
              </w:tc>
              <w:tc>
                <w:tcPr>
                  <w:tcW w:w="240" w:type="pct"/>
                  <w:vAlign w:val="center"/>
                </w:tcPr>
                <w:p w14:paraId="7E368BBB">
                  <w:pPr>
                    <w:keepNext w:val="0"/>
                    <w:keepLines w:val="0"/>
                    <w:suppressLineNumbers w:val="0"/>
                    <w:spacing w:before="0" w:beforeAutospacing="0" w:after="0" w:afterAutospacing="0"/>
                    <w:ind w:left="0" w:leftChars="0" w:right="0" w:rightChars="0"/>
                    <w:jc w:val="center"/>
                    <w:rPr>
                      <w:rFonts w:hint="eastAsia" w:ascii="Times New Roman" w:hAnsi="Times New Roman" w:eastAsia="宋体" w:cs="Times New Roman"/>
                      <w:b/>
                      <w:bCs/>
                      <w:color w:val="auto"/>
                      <w:kern w:val="0"/>
                      <w:szCs w:val="21"/>
                      <w:lang w:val="en-US" w:eastAsia="zh-CN" w:bidi="ar"/>
                    </w:rPr>
                  </w:pPr>
                  <w:r>
                    <w:rPr>
                      <w:rFonts w:hint="eastAsia" w:ascii="Times New Roman" w:hAnsi="Times New Roman" w:eastAsia="宋体" w:cs="Times New Roman"/>
                      <w:color w:val="auto"/>
                      <w:szCs w:val="21"/>
                      <w:lang w:val="en-US" w:eastAsia="zh-CN"/>
                    </w:rPr>
                    <w:t>/</w:t>
                  </w:r>
                </w:p>
              </w:tc>
            </w:tr>
            <w:tr w14:paraId="5AB28B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272" w:type="pct"/>
                  <w:shd w:val="clear" w:color="auto" w:fill="auto"/>
                  <w:vAlign w:val="center"/>
                </w:tcPr>
                <w:p w14:paraId="64BFDD67">
                  <w:pPr>
                    <w:keepNext w:val="0"/>
                    <w:keepLines w:val="0"/>
                    <w:suppressLineNumbers w:val="0"/>
                    <w:spacing w:before="0" w:beforeAutospacing="0" w:after="0" w:afterAutospacing="0" w:line="240" w:lineRule="auto"/>
                    <w:ind w:left="0" w:right="0"/>
                    <w:jc w:val="center"/>
                    <w:rPr>
                      <w:rFonts w:hint="default" w:ascii="Times New Roman" w:hAnsi="Times New Roman" w:eastAsia="宋体" w:cs="Times New Roman"/>
                      <w:b w:val="0"/>
                      <w:bCs w:val="0"/>
                      <w:color w:val="auto"/>
                      <w:kern w:val="2"/>
                      <w:sz w:val="21"/>
                      <w:szCs w:val="21"/>
                      <w:highlight w:val="none"/>
                      <w:lang w:val="en-US" w:eastAsia="zh-CN" w:bidi="ar-SA"/>
                    </w:rPr>
                  </w:pPr>
                  <w:r>
                    <w:rPr>
                      <w:rFonts w:hint="default" w:ascii="Times New Roman" w:hAnsi="Times New Roman" w:eastAsia="宋体" w:cs="Times New Roman"/>
                      <w:b w:val="0"/>
                      <w:bCs w:val="0"/>
                      <w:color w:val="auto"/>
                      <w:sz w:val="21"/>
                      <w:szCs w:val="21"/>
                      <w:highlight w:val="none"/>
                      <w:lang w:val="en-US" w:eastAsia="zh-CN"/>
                    </w:rPr>
                    <w:t>4</w:t>
                  </w:r>
                </w:p>
              </w:tc>
              <w:tc>
                <w:tcPr>
                  <w:tcW w:w="370" w:type="pct"/>
                  <w:vMerge w:val="continue"/>
                  <w:vAlign w:val="center"/>
                </w:tcPr>
                <w:p w14:paraId="68EAA281">
                  <w:pPr>
                    <w:keepNext w:val="0"/>
                    <w:keepLines w:val="0"/>
                    <w:widowControl/>
                    <w:suppressLineNumbers w:val="0"/>
                    <w:spacing w:before="0" w:beforeAutospacing="0" w:after="0" w:afterAutospacing="0"/>
                    <w:ind w:left="0" w:right="0"/>
                    <w:jc w:val="center"/>
                    <w:rPr>
                      <w:rFonts w:hint="eastAsia" w:ascii="Times New Roman" w:hAnsi="Times New Roman" w:eastAsia="宋体" w:cs="Times New Roman"/>
                      <w:b/>
                      <w:bCs/>
                      <w:color w:val="auto"/>
                      <w:kern w:val="0"/>
                      <w:szCs w:val="21"/>
                      <w:lang w:bidi="ar"/>
                    </w:rPr>
                  </w:pPr>
                </w:p>
              </w:tc>
              <w:tc>
                <w:tcPr>
                  <w:tcW w:w="810" w:type="pct"/>
                  <w:gridSpan w:val="2"/>
                  <w:shd w:val="clear" w:color="auto" w:fill="auto"/>
                  <w:vAlign w:val="center"/>
                </w:tcPr>
                <w:p w14:paraId="0DEA0132">
                  <w:pPr>
                    <w:keepNext w:val="0"/>
                    <w:keepLines w:val="0"/>
                    <w:suppressLineNumbers w:val="0"/>
                    <w:spacing w:before="0" w:beforeAutospacing="0" w:after="0" w:afterAutospacing="0"/>
                    <w:ind w:left="0" w:leftChars="0" w:right="0" w:rightChars="0"/>
                    <w:jc w:val="center"/>
                    <w:rPr>
                      <w:rFonts w:hint="eastAsia" w:ascii="Times New Roman" w:hAnsi="Times New Roman" w:eastAsia="宋体" w:cs="Times New Roman"/>
                      <w:color w:val="auto"/>
                      <w:kern w:val="2"/>
                      <w:sz w:val="21"/>
                      <w:szCs w:val="21"/>
                      <w:lang w:val="en-US" w:eastAsia="zh-CN" w:bidi="ar-SA"/>
                    </w:rPr>
                  </w:pPr>
                  <w:r>
                    <w:rPr>
                      <w:rFonts w:hint="default" w:ascii="Times New Roman" w:hAnsi="Times New Roman" w:eastAsia="宋体" w:cs="Times New Roman"/>
                      <w:color w:val="auto"/>
                      <w:szCs w:val="21"/>
                    </w:rPr>
                    <w:t>氧化铝粉体</w:t>
                  </w:r>
                </w:p>
              </w:tc>
              <w:tc>
                <w:tcPr>
                  <w:tcW w:w="645" w:type="pct"/>
                  <w:shd w:val="clear" w:color="auto" w:fill="auto"/>
                  <w:vAlign w:val="center"/>
                </w:tcPr>
                <w:p w14:paraId="2E2166FE">
                  <w:pPr>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color w:val="auto"/>
                      <w:kern w:val="2"/>
                      <w:sz w:val="21"/>
                      <w:szCs w:val="21"/>
                      <w:lang w:val="en-US" w:eastAsia="zh-CN" w:bidi="ar-SA"/>
                    </w:rPr>
                  </w:pPr>
                  <w:r>
                    <w:rPr>
                      <w:rFonts w:hint="default" w:ascii="Times New Roman" w:hAnsi="Times New Roman" w:eastAsia="宋体" w:cs="Times New Roman"/>
                      <w:color w:val="auto"/>
                      <w:szCs w:val="21"/>
                    </w:rPr>
                    <w:t>40kg/编织袋</w:t>
                  </w:r>
                </w:p>
              </w:tc>
              <w:tc>
                <w:tcPr>
                  <w:tcW w:w="581" w:type="pct"/>
                  <w:shd w:val="clear" w:color="auto" w:fill="auto"/>
                  <w:vAlign w:val="center"/>
                </w:tcPr>
                <w:p w14:paraId="6114FF91">
                  <w:pPr>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color w:val="0000FF"/>
                      <w:kern w:val="2"/>
                      <w:sz w:val="21"/>
                      <w:szCs w:val="21"/>
                      <w:lang w:val="en-US" w:eastAsia="zh-CN" w:bidi="ar-SA"/>
                    </w:rPr>
                  </w:pPr>
                  <w:r>
                    <w:rPr>
                      <w:rFonts w:hint="default" w:ascii="Times New Roman" w:hAnsi="Times New Roman" w:eastAsia="宋体" w:cs="Times New Roman"/>
                      <w:color w:val="0000FF"/>
                      <w:szCs w:val="21"/>
                    </w:rPr>
                    <w:t>2040t</w:t>
                  </w:r>
                </w:p>
              </w:tc>
              <w:tc>
                <w:tcPr>
                  <w:tcW w:w="516" w:type="pct"/>
                  <w:shd w:val="clear" w:color="auto" w:fill="auto"/>
                  <w:vAlign w:val="center"/>
                </w:tcPr>
                <w:p w14:paraId="0CAC6255">
                  <w:pPr>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color w:val="0000FF"/>
                      <w:kern w:val="2"/>
                      <w:sz w:val="21"/>
                      <w:szCs w:val="21"/>
                      <w:lang w:val="en-US" w:eastAsia="zh-CN" w:bidi="ar-SA"/>
                    </w:rPr>
                  </w:pPr>
                  <w:r>
                    <w:rPr>
                      <w:rFonts w:hint="default" w:ascii="Times New Roman" w:hAnsi="Times New Roman" w:eastAsia="宋体" w:cs="Times New Roman"/>
                      <w:color w:val="0000FF"/>
                      <w:szCs w:val="21"/>
                    </w:rPr>
                    <w:t>1597t</w:t>
                  </w:r>
                </w:p>
              </w:tc>
              <w:tc>
                <w:tcPr>
                  <w:tcW w:w="524" w:type="pct"/>
                  <w:shd w:val="clear" w:color="auto" w:fill="auto"/>
                  <w:vAlign w:val="center"/>
                </w:tcPr>
                <w:p w14:paraId="46766251">
                  <w:pPr>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color w:val="0000FF"/>
                      <w:kern w:val="2"/>
                      <w:sz w:val="21"/>
                      <w:szCs w:val="21"/>
                      <w:lang w:val="en-US" w:eastAsia="zh-CN" w:bidi="ar-SA"/>
                    </w:rPr>
                  </w:pPr>
                  <w:r>
                    <w:rPr>
                      <w:rFonts w:hint="default" w:ascii="Times New Roman" w:hAnsi="Times New Roman" w:eastAsia="宋体" w:cs="Times New Roman"/>
                      <w:color w:val="0000FF"/>
                      <w:szCs w:val="21"/>
                    </w:rPr>
                    <w:t>1597t</w:t>
                  </w:r>
                </w:p>
              </w:tc>
              <w:tc>
                <w:tcPr>
                  <w:tcW w:w="571" w:type="pct"/>
                  <w:shd w:val="clear" w:color="auto" w:fill="auto"/>
                  <w:vAlign w:val="center"/>
                </w:tcPr>
                <w:p w14:paraId="17CE7604">
                  <w:pPr>
                    <w:keepNext w:val="0"/>
                    <w:keepLines w:val="0"/>
                    <w:suppressLineNumbers w:val="0"/>
                    <w:spacing w:before="0" w:beforeAutospacing="0" w:after="0" w:afterAutospacing="0" w:line="240" w:lineRule="auto"/>
                    <w:ind w:left="0" w:right="0"/>
                    <w:jc w:val="center"/>
                    <w:rPr>
                      <w:rFonts w:hint="default" w:ascii="Times New Roman" w:hAnsi="Times New Roman" w:eastAsia="宋体" w:cs="Times New Roman"/>
                      <w:b w:val="0"/>
                      <w:bCs w:val="0"/>
                      <w:color w:val="0000FF"/>
                      <w:kern w:val="2"/>
                      <w:sz w:val="21"/>
                      <w:szCs w:val="21"/>
                      <w:highlight w:val="none"/>
                      <w:lang w:val="en-US" w:eastAsia="zh-CN" w:bidi="ar-SA"/>
                    </w:rPr>
                  </w:pPr>
                  <w:r>
                    <w:rPr>
                      <w:rFonts w:hint="default" w:ascii="Times New Roman" w:hAnsi="Times New Roman" w:eastAsia="宋体" w:cs="Times New Roman"/>
                      <w:b w:val="0"/>
                      <w:bCs w:val="0"/>
                      <w:color w:val="0000FF"/>
                      <w:sz w:val="21"/>
                      <w:szCs w:val="21"/>
                      <w:highlight w:val="none"/>
                      <w:lang w:val="en-US" w:eastAsia="zh-CN"/>
                    </w:rPr>
                    <w:t>-443t</w:t>
                  </w:r>
                </w:p>
              </w:tc>
              <w:tc>
                <w:tcPr>
                  <w:tcW w:w="466" w:type="pct"/>
                  <w:vAlign w:val="center"/>
                </w:tcPr>
                <w:p w14:paraId="155D0B4F">
                  <w:pPr>
                    <w:keepNext w:val="0"/>
                    <w:keepLines w:val="0"/>
                    <w:suppressLineNumbers w:val="0"/>
                    <w:spacing w:before="0" w:beforeAutospacing="0" w:after="0" w:afterAutospacing="0" w:line="240" w:lineRule="auto"/>
                    <w:ind w:left="0" w:right="0"/>
                    <w:jc w:val="center"/>
                    <w:rPr>
                      <w:rFonts w:hint="default" w:ascii="Times New Roman" w:hAnsi="Times New Roman" w:eastAsia="宋体" w:cs="Times New Roman"/>
                      <w:b w:val="0"/>
                      <w:bCs w:val="0"/>
                      <w:color w:val="0000FF"/>
                      <w:sz w:val="21"/>
                      <w:szCs w:val="21"/>
                      <w:highlight w:val="none"/>
                      <w:lang w:val="en-US" w:eastAsia="zh-CN"/>
                    </w:rPr>
                  </w:pPr>
                  <w:r>
                    <w:rPr>
                      <w:rFonts w:hint="eastAsia" w:ascii="Times New Roman" w:hAnsi="Times New Roman" w:eastAsia="宋体" w:cs="Times New Roman"/>
                      <w:b w:val="0"/>
                      <w:bCs w:val="0"/>
                      <w:color w:val="0000FF"/>
                      <w:sz w:val="21"/>
                      <w:szCs w:val="21"/>
                      <w:highlight w:val="none"/>
                      <w:lang w:val="en-US" w:eastAsia="zh-CN"/>
                    </w:rPr>
                    <w:t>266t</w:t>
                  </w:r>
                </w:p>
              </w:tc>
              <w:tc>
                <w:tcPr>
                  <w:tcW w:w="240" w:type="pct"/>
                  <w:vAlign w:val="center"/>
                </w:tcPr>
                <w:p w14:paraId="11719C2C">
                  <w:pPr>
                    <w:keepNext w:val="0"/>
                    <w:keepLines w:val="0"/>
                    <w:suppressLineNumbers w:val="0"/>
                    <w:spacing w:before="0" w:beforeAutospacing="0" w:after="0" w:afterAutospacing="0"/>
                    <w:ind w:left="0" w:leftChars="0" w:right="0" w:rightChars="0"/>
                    <w:jc w:val="center"/>
                    <w:rPr>
                      <w:rFonts w:hint="eastAsia" w:ascii="Times New Roman" w:hAnsi="Times New Roman" w:eastAsia="宋体" w:cs="Times New Roman"/>
                      <w:b/>
                      <w:bCs/>
                      <w:color w:val="auto"/>
                      <w:kern w:val="0"/>
                      <w:szCs w:val="21"/>
                      <w:lang w:val="en-US" w:eastAsia="zh-CN" w:bidi="ar"/>
                    </w:rPr>
                  </w:pPr>
                  <w:r>
                    <w:rPr>
                      <w:rFonts w:hint="eastAsia" w:ascii="Times New Roman" w:hAnsi="Times New Roman" w:eastAsia="宋体" w:cs="Times New Roman"/>
                      <w:color w:val="auto"/>
                      <w:szCs w:val="21"/>
                      <w:lang w:val="en-US" w:eastAsia="zh-CN"/>
                    </w:rPr>
                    <w:t>/</w:t>
                  </w:r>
                </w:p>
              </w:tc>
            </w:tr>
            <w:tr w14:paraId="699010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272" w:type="pct"/>
                  <w:shd w:val="clear" w:color="auto" w:fill="auto"/>
                  <w:vAlign w:val="center"/>
                </w:tcPr>
                <w:p w14:paraId="23F0C416">
                  <w:pPr>
                    <w:keepNext w:val="0"/>
                    <w:keepLines w:val="0"/>
                    <w:suppressLineNumbers w:val="0"/>
                    <w:spacing w:before="0" w:beforeAutospacing="0" w:after="0" w:afterAutospacing="0" w:line="240" w:lineRule="auto"/>
                    <w:ind w:left="0" w:right="0"/>
                    <w:jc w:val="center"/>
                    <w:rPr>
                      <w:rFonts w:hint="default" w:ascii="Times New Roman" w:hAnsi="Times New Roman" w:eastAsia="宋体" w:cs="Times New Roman"/>
                      <w:b w:val="0"/>
                      <w:bCs w:val="0"/>
                      <w:color w:val="auto"/>
                      <w:kern w:val="2"/>
                      <w:sz w:val="21"/>
                      <w:szCs w:val="21"/>
                      <w:highlight w:val="none"/>
                      <w:lang w:val="en-US" w:eastAsia="zh-CN" w:bidi="ar-SA"/>
                    </w:rPr>
                  </w:pPr>
                  <w:r>
                    <w:rPr>
                      <w:rFonts w:hint="default" w:ascii="Times New Roman" w:hAnsi="Times New Roman" w:eastAsia="宋体" w:cs="Times New Roman"/>
                      <w:b w:val="0"/>
                      <w:bCs w:val="0"/>
                      <w:color w:val="auto"/>
                      <w:sz w:val="21"/>
                      <w:szCs w:val="21"/>
                      <w:highlight w:val="none"/>
                      <w:lang w:val="en-US" w:eastAsia="zh-CN"/>
                    </w:rPr>
                    <w:t>5</w:t>
                  </w:r>
                </w:p>
              </w:tc>
              <w:tc>
                <w:tcPr>
                  <w:tcW w:w="370" w:type="pct"/>
                  <w:vMerge w:val="continue"/>
                  <w:vAlign w:val="center"/>
                </w:tcPr>
                <w:p w14:paraId="7745E4F7">
                  <w:pPr>
                    <w:keepNext w:val="0"/>
                    <w:keepLines w:val="0"/>
                    <w:widowControl/>
                    <w:suppressLineNumbers w:val="0"/>
                    <w:spacing w:before="0" w:beforeAutospacing="0" w:after="0" w:afterAutospacing="0"/>
                    <w:ind w:left="0" w:right="0"/>
                    <w:jc w:val="center"/>
                    <w:rPr>
                      <w:rFonts w:hint="eastAsia" w:ascii="Times New Roman" w:hAnsi="Times New Roman" w:eastAsia="宋体" w:cs="Times New Roman"/>
                      <w:b/>
                      <w:bCs/>
                      <w:color w:val="auto"/>
                      <w:kern w:val="0"/>
                      <w:szCs w:val="21"/>
                      <w:lang w:bidi="ar"/>
                    </w:rPr>
                  </w:pPr>
                </w:p>
              </w:tc>
              <w:tc>
                <w:tcPr>
                  <w:tcW w:w="810" w:type="pct"/>
                  <w:gridSpan w:val="2"/>
                  <w:shd w:val="clear" w:color="auto" w:fill="auto"/>
                  <w:vAlign w:val="center"/>
                </w:tcPr>
                <w:p w14:paraId="60CB0856">
                  <w:pPr>
                    <w:keepNext w:val="0"/>
                    <w:keepLines w:val="0"/>
                    <w:suppressLineNumbers w:val="0"/>
                    <w:spacing w:before="0" w:beforeAutospacing="0" w:after="0" w:afterAutospacing="0"/>
                    <w:ind w:left="0" w:leftChars="0" w:right="0" w:rightChars="0"/>
                    <w:jc w:val="center"/>
                    <w:rPr>
                      <w:rFonts w:hint="eastAsia" w:ascii="Times New Roman" w:hAnsi="Times New Roman" w:eastAsia="宋体" w:cs="Times New Roman"/>
                      <w:color w:val="auto"/>
                      <w:kern w:val="2"/>
                      <w:sz w:val="21"/>
                      <w:szCs w:val="21"/>
                      <w:lang w:val="en-US" w:eastAsia="zh-CN" w:bidi="ar-SA"/>
                    </w:rPr>
                  </w:pPr>
                  <w:r>
                    <w:rPr>
                      <w:rFonts w:hint="default" w:ascii="Times New Roman" w:hAnsi="Times New Roman" w:eastAsia="宋体" w:cs="Times New Roman"/>
                      <w:color w:val="auto"/>
                      <w:szCs w:val="21"/>
                    </w:rPr>
                    <w:t>颜料</w:t>
                  </w:r>
                </w:p>
              </w:tc>
              <w:tc>
                <w:tcPr>
                  <w:tcW w:w="645" w:type="pct"/>
                  <w:shd w:val="clear" w:color="auto" w:fill="auto"/>
                  <w:vAlign w:val="center"/>
                </w:tcPr>
                <w:p w14:paraId="34C3630D">
                  <w:pPr>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color w:val="auto"/>
                      <w:kern w:val="2"/>
                      <w:sz w:val="21"/>
                      <w:szCs w:val="21"/>
                      <w:lang w:val="en-US" w:eastAsia="zh-CN" w:bidi="ar-SA"/>
                    </w:rPr>
                  </w:pPr>
                  <w:r>
                    <w:rPr>
                      <w:rFonts w:hint="default" w:ascii="Times New Roman" w:hAnsi="Times New Roman" w:eastAsia="宋体" w:cs="Times New Roman"/>
                      <w:color w:val="auto"/>
                      <w:szCs w:val="21"/>
                    </w:rPr>
                    <w:t>20kg、250kg/铁桶</w:t>
                  </w:r>
                </w:p>
              </w:tc>
              <w:tc>
                <w:tcPr>
                  <w:tcW w:w="581" w:type="pct"/>
                  <w:shd w:val="clear" w:color="auto" w:fill="auto"/>
                  <w:vAlign w:val="center"/>
                </w:tcPr>
                <w:p w14:paraId="3F008E57">
                  <w:pPr>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color w:val="0000FF"/>
                      <w:kern w:val="2"/>
                      <w:sz w:val="21"/>
                      <w:szCs w:val="21"/>
                      <w:lang w:val="en-US" w:eastAsia="zh-CN" w:bidi="ar-SA"/>
                    </w:rPr>
                  </w:pPr>
                  <w:r>
                    <w:rPr>
                      <w:rFonts w:hint="default" w:ascii="Times New Roman" w:hAnsi="Times New Roman" w:eastAsia="宋体" w:cs="Times New Roman"/>
                      <w:color w:val="0000FF"/>
                      <w:szCs w:val="21"/>
                    </w:rPr>
                    <w:t>/</w:t>
                  </w:r>
                </w:p>
              </w:tc>
              <w:tc>
                <w:tcPr>
                  <w:tcW w:w="516" w:type="pct"/>
                  <w:shd w:val="clear" w:color="auto" w:fill="auto"/>
                  <w:vAlign w:val="center"/>
                </w:tcPr>
                <w:p w14:paraId="752E2A53">
                  <w:pPr>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color w:val="0000FF"/>
                      <w:kern w:val="2"/>
                      <w:sz w:val="21"/>
                      <w:szCs w:val="21"/>
                      <w:lang w:val="en-US" w:eastAsia="zh-CN" w:bidi="ar-SA"/>
                    </w:rPr>
                  </w:pPr>
                  <w:r>
                    <w:rPr>
                      <w:rFonts w:hint="default" w:ascii="Times New Roman" w:hAnsi="Times New Roman" w:eastAsia="宋体" w:cs="Times New Roman"/>
                      <w:color w:val="0000FF"/>
                      <w:szCs w:val="21"/>
                    </w:rPr>
                    <w:t>8t</w:t>
                  </w:r>
                </w:p>
              </w:tc>
              <w:tc>
                <w:tcPr>
                  <w:tcW w:w="524" w:type="pct"/>
                  <w:shd w:val="clear" w:color="auto" w:fill="auto"/>
                  <w:vAlign w:val="center"/>
                </w:tcPr>
                <w:p w14:paraId="7F573310">
                  <w:pPr>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color w:val="0000FF"/>
                      <w:kern w:val="2"/>
                      <w:sz w:val="21"/>
                      <w:szCs w:val="21"/>
                      <w:lang w:val="en-US" w:eastAsia="zh-CN" w:bidi="ar-SA"/>
                    </w:rPr>
                  </w:pPr>
                  <w:r>
                    <w:rPr>
                      <w:rFonts w:hint="default" w:ascii="Times New Roman" w:hAnsi="Times New Roman" w:eastAsia="宋体" w:cs="Times New Roman"/>
                      <w:color w:val="0000FF"/>
                      <w:szCs w:val="21"/>
                    </w:rPr>
                    <w:t>8t</w:t>
                  </w:r>
                </w:p>
              </w:tc>
              <w:tc>
                <w:tcPr>
                  <w:tcW w:w="571" w:type="pct"/>
                  <w:shd w:val="clear" w:color="auto" w:fill="auto"/>
                  <w:vAlign w:val="center"/>
                </w:tcPr>
                <w:p w14:paraId="005024D8">
                  <w:pPr>
                    <w:keepNext w:val="0"/>
                    <w:keepLines w:val="0"/>
                    <w:suppressLineNumbers w:val="0"/>
                    <w:spacing w:before="0" w:beforeAutospacing="0" w:after="0" w:afterAutospacing="0" w:line="240" w:lineRule="auto"/>
                    <w:ind w:left="0" w:right="0"/>
                    <w:jc w:val="center"/>
                    <w:rPr>
                      <w:rFonts w:hint="default" w:ascii="Times New Roman" w:hAnsi="Times New Roman" w:eastAsia="宋体" w:cs="Times New Roman"/>
                      <w:b w:val="0"/>
                      <w:bCs w:val="0"/>
                      <w:color w:val="0000FF"/>
                      <w:kern w:val="2"/>
                      <w:sz w:val="21"/>
                      <w:szCs w:val="21"/>
                      <w:highlight w:val="none"/>
                      <w:lang w:val="en-US" w:eastAsia="zh-CN" w:bidi="ar-SA"/>
                    </w:rPr>
                  </w:pPr>
                  <w:r>
                    <w:rPr>
                      <w:rFonts w:hint="default" w:ascii="Times New Roman" w:hAnsi="Times New Roman" w:eastAsia="宋体" w:cs="Times New Roman"/>
                      <w:b w:val="0"/>
                      <w:bCs w:val="0"/>
                      <w:color w:val="0000FF"/>
                      <w:sz w:val="21"/>
                      <w:szCs w:val="21"/>
                      <w:highlight w:val="none"/>
                      <w:lang w:val="en-US" w:eastAsia="zh-CN"/>
                    </w:rPr>
                    <w:t>+8t</w:t>
                  </w:r>
                </w:p>
              </w:tc>
              <w:tc>
                <w:tcPr>
                  <w:tcW w:w="466" w:type="pct"/>
                  <w:vAlign w:val="center"/>
                </w:tcPr>
                <w:p w14:paraId="0AF3AC9D">
                  <w:pPr>
                    <w:keepNext w:val="0"/>
                    <w:keepLines w:val="0"/>
                    <w:suppressLineNumbers w:val="0"/>
                    <w:spacing w:before="0" w:beforeAutospacing="0" w:after="0" w:afterAutospacing="0" w:line="240" w:lineRule="auto"/>
                    <w:ind w:left="0" w:right="0"/>
                    <w:jc w:val="center"/>
                    <w:rPr>
                      <w:rFonts w:hint="default" w:ascii="Times New Roman" w:hAnsi="Times New Roman" w:eastAsia="宋体" w:cs="Times New Roman"/>
                      <w:b w:val="0"/>
                      <w:bCs w:val="0"/>
                      <w:color w:val="0000FF"/>
                      <w:sz w:val="21"/>
                      <w:szCs w:val="21"/>
                      <w:highlight w:val="none"/>
                      <w:lang w:val="en-US" w:eastAsia="zh-CN"/>
                    </w:rPr>
                  </w:pPr>
                  <w:r>
                    <w:rPr>
                      <w:rFonts w:hint="eastAsia" w:ascii="Times New Roman" w:hAnsi="Times New Roman" w:eastAsia="宋体" w:cs="Times New Roman"/>
                      <w:b w:val="0"/>
                      <w:bCs w:val="0"/>
                      <w:color w:val="0000FF"/>
                      <w:sz w:val="21"/>
                      <w:szCs w:val="21"/>
                      <w:highlight w:val="none"/>
                      <w:lang w:val="en-US" w:eastAsia="zh-CN"/>
                    </w:rPr>
                    <w:t>1t</w:t>
                  </w:r>
                </w:p>
              </w:tc>
              <w:tc>
                <w:tcPr>
                  <w:tcW w:w="240" w:type="pct"/>
                  <w:vAlign w:val="center"/>
                </w:tcPr>
                <w:p w14:paraId="77390236">
                  <w:pPr>
                    <w:keepNext w:val="0"/>
                    <w:keepLines w:val="0"/>
                    <w:suppressLineNumbers w:val="0"/>
                    <w:spacing w:before="0" w:beforeAutospacing="0" w:after="0" w:afterAutospacing="0"/>
                    <w:ind w:left="0" w:leftChars="0" w:right="0" w:rightChars="0"/>
                    <w:jc w:val="center"/>
                    <w:rPr>
                      <w:rFonts w:hint="eastAsia" w:ascii="Times New Roman" w:hAnsi="Times New Roman" w:eastAsia="宋体" w:cs="Times New Roman"/>
                      <w:b/>
                      <w:bCs/>
                      <w:color w:val="auto"/>
                      <w:kern w:val="0"/>
                      <w:szCs w:val="21"/>
                      <w:lang w:val="en-US" w:eastAsia="zh-CN" w:bidi="ar"/>
                    </w:rPr>
                  </w:pPr>
                  <w:r>
                    <w:rPr>
                      <w:rFonts w:hint="eastAsia" w:ascii="Times New Roman" w:hAnsi="Times New Roman" w:eastAsia="宋体" w:cs="Times New Roman"/>
                      <w:color w:val="auto"/>
                      <w:szCs w:val="21"/>
                      <w:lang w:val="en-US" w:eastAsia="zh-CN"/>
                    </w:rPr>
                    <w:t>/</w:t>
                  </w:r>
                </w:p>
              </w:tc>
            </w:tr>
            <w:tr w14:paraId="1573B8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272" w:type="pct"/>
                  <w:shd w:val="clear" w:color="auto" w:fill="auto"/>
                  <w:vAlign w:val="center"/>
                </w:tcPr>
                <w:p w14:paraId="52659041">
                  <w:pPr>
                    <w:keepNext w:val="0"/>
                    <w:keepLines w:val="0"/>
                    <w:suppressLineNumbers w:val="0"/>
                    <w:spacing w:before="0" w:beforeAutospacing="0" w:after="0" w:afterAutospacing="0" w:line="240" w:lineRule="auto"/>
                    <w:ind w:left="0" w:right="0"/>
                    <w:jc w:val="center"/>
                    <w:rPr>
                      <w:rFonts w:hint="default" w:ascii="Times New Roman" w:hAnsi="Times New Roman" w:eastAsia="宋体" w:cs="Times New Roman"/>
                      <w:b w:val="0"/>
                      <w:bCs w:val="0"/>
                      <w:color w:val="auto"/>
                      <w:kern w:val="2"/>
                      <w:sz w:val="21"/>
                      <w:szCs w:val="21"/>
                      <w:highlight w:val="none"/>
                      <w:lang w:val="en-US" w:eastAsia="zh-CN" w:bidi="ar-SA"/>
                    </w:rPr>
                  </w:pPr>
                  <w:r>
                    <w:rPr>
                      <w:rFonts w:hint="default" w:ascii="Times New Roman" w:hAnsi="Times New Roman" w:eastAsia="宋体" w:cs="Times New Roman"/>
                      <w:b w:val="0"/>
                      <w:bCs w:val="0"/>
                      <w:color w:val="auto"/>
                      <w:sz w:val="21"/>
                      <w:szCs w:val="21"/>
                      <w:highlight w:val="none"/>
                      <w:lang w:val="en-US" w:eastAsia="zh-CN"/>
                    </w:rPr>
                    <w:t>6</w:t>
                  </w:r>
                </w:p>
              </w:tc>
              <w:tc>
                <w:tcPr>
                  <w:tcW w:w="370" w:type="pct"/>
                  <w:vMerge w:val="continue"/>
                  <w:vAlign w:val="center"/>
                </w:tcPr>
                <w:p w14:paraId="28C31A52">
                  <w:pPr>
                    <w:keepNext w:val="0"/>
                    <w:keepLines w:val="0"/>
                    <w:widowControl/>
                    <w:suppressLineNumbers w:val="0"/>
                    <w:spacing w:before="0" w:beforeAutospacing="0" w:after="0" w:afterAutospacing="0"/>
                    <w:ind w:left="0" w:right="0"/>
                    <w:jc w:val="center"/>
                    <w:rPr>
                      <w:rFonts w:hint="eastAsia" w:ascii="Times New Roman" w:hAnsi="Times New Roman" w:eastAsia="宋体" w:cs="Times New Roman"/>
                      <w:b/>
                      <w:bCs/>
                      <w:color w:val="auto"/>
                      <w:kern w:val="0"/>
                      <w:szCs w:val="21"/>
                      <w:lang w:bidi="ar"/>
                    </w:rPr>
                  </w:pPr>
                </w:p>
              </w:tc>
              <w:tc>
                <w:tcPr>
                  <w:tcW w:w="810" w:type="pct"/>
                  <w:gridSpan w:val="2"/>
                  <w:shd w:val="clear" w:color="auto" w:fill="auto"/>
                  <w:vAlign w:val="center"/>
                </w:tcPr>
                <w:p w14:paraId="33281508">
                  <w:pPr>
                    <w:keepNext w:val="0"/>
                    <w:keepLines w:val="0"/>
                    <w:suppressLineNumbers w:val="0"/>
                    <w:spacing w:before="0" w:beforeAutospacing="0" w:after="0" w:afterAutospacing="0"/>
                    <w:ind w:left="0" w:leftChars="0" w:right="0" w:rightChars="0"/>
                    <w:jc w:val="center"/>
                    <w:rPr>
                      <w:rFonts w:hint="eastAsia" w:ascii="Times New Roman" w:hAnsi="Times New Roman" w:eastAsia="宋体" w:cs="Times New Roman"/>
                      <w:color w:val="auto"/>
                      <w:kern w:val="2"/>
                      <w:sz w:val="21"/>
                      <w:szCs w:val="21"/>
                      <w:lang w:val="en-US" w:eastAsia="zh-CN" w:bidi="ar-SA"/>
                    </w:rPr>
                  </w:pPr>
                  <w:r>
                    <w:rPr>
                      <w:rFonts w:hint="default" w:ascii="Times New Roman" w:hAnsi="Times New Roman" w:eastAsia="宋体" w:cs="Times New Roman"/>
                      <w:color w:val="auto"/>
                      <w:szCs w:val="21"/>
                    </w:rPr>
                    <w:t>有机硅树脂</w:t>
                  </w:r>
                </w:p>
              </w:tc>
              <w:tc>
                <w:tcPr>
                  <w:tcW w:w="645" w:type="pct"/>
                  <w:shd w:val="clear" w:color="auto" w:fill="auto"/>
                  <w:vAlign w:val="center"/>
                </w:tcPr>
                <w:p w14:paraId="230F88B7">
                  <w:pPr>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color w:val="auto"/>
                      <w:kern w:val="2"/>
                      <w:sz w:val="21"/>
                      <w:szCs w:val="21"/>
                      <w:lang w:val="en-US" w:eastAsia="zh-CN" w:bidi="ar-SA"/>
                    </w:rPr>
                  </w:pPr>
                  <w:r>
                    <w:rPr>
                      <w:rFonts w:hint="default" w:ascii="Times New Roman" w:hAnsi="Times New Roman" w:eastAsia="宋体" w:cs="Times New Roman"/>
                      <w:color w:val="auto"/>
                      <w:szCs w:val="21"/>
                    </w:rPr>
                    <w:t>190kg/铁桶</w:t>
                  </w:r>
                </w:p>
              </w:tc>
              <w:tc>
                <w:tcPr>
                  <w:tcW w:w="581" w:type="pct"/>
                  <w:shd w:val="clear" w:color="auto" w:fill="auto"/>
                  <w:vAlign w:val="center"/>
                </w:tcPr>
                <w:p w14:paraId="7CFA5853">
                  <w:pPr>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color w:val="0000FF"/>
                      <w:kern w:val="2"/>
                      <w:sz w:val="21"/>
                      <w:szCs w:val="21"/>
                      <w:lang w:val="en-US" w:eastAsia="zh-CN" w:bidi="ar-SA"/>
                    </w:rPr>
                  </w:pPr>
                  <w:r>
                    <w:rPr>
                      <w:rFonts w:hint="default" w:ascii="Times New Roman" w:hAnsi="Times New Roman" w:eastAsia="宋体" w:cs="Times New Roman"/>
                      <w:color w:val="0000FF"/>
                      <w:szCs w:val="21"/>
                    </w:rPr>
                    <w:t>2040t</w:t>
                  </w:r>
                </w:p>
              </w:tc>
              <w:tc>
                <w:tcPr>
                  <w:tcW w:w="516" w:type="pct"/>
                  <w:shd w:val="clear" w:color="auto" w:fill="auto"/>
                  <w:vAlign w:val="center"/>
                </w:tcPr>
                <w:p w14:paraId="3A2F28D5">
                  <w:pPr>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color w:val="0000FF"/>
                      <w:kern w:val="2"/>
                      <w:sz w:val="21"/>
                      <w:szCs w:val="21"/>
                      <w:lang w:val="en-US" w:eastAsia="zh-CN" w:bidi="ar-SA"/>
                    </w:rPr>
                  </w:pPr>
                  <w:r>
                    <w:rPr>
                      <w:rFonts w:hint="default" w:ascii="Times New Roman" w:hAnsi="Times New Roman" w:eastAsia="宋体" w:cs="Times New Roman"/>
                      <w:color w:val="0000FF"/>
                      <w:szCs w:val="21"/>
                    </w:rPr>
                    <w:t>1597t</w:t>
                  </w:r>
                </w:p>
              </w:tc>
              <w:tc>
                <w:tcPr>
                  <w:tcW w:w="524" w:type="pct"/>
                  <w:shd w:val="clear" w:color="auto" w:fill="auto"/>
                  <w:vAlign w:val="center"/>
                </w:tcPr>
                <w:p w14:paraId="507589A1">
                  <w:pPr>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color w:val="0000FF"/>
                      <w:kern w:val="2"/>
                      <w:sz w:val="21"/>
                      <w:szCs w:val="21"/>
                      <w:lang w:val="en-US" w:eastAsia="zh-CN" w:bidi="ar-SA"/>
                    </w:rPr>
                  </w:pPr>
                  <w:r>
                    <w:rPr>
                      <w:rFonts w:hint="default" w:ascii="Times New Roman" w:hAnsi="Times New Roman" w:eastAsia="宋体" w:cs="Times New Roman"/>
                      <w:color w:val="0000FF"/>
                      <w:szCs w:val="21"/>
                    </w:rPr>
                    <w:t>1597t</w:t>
                  </w:r>
                </w:p>
              </w:tc>
              <w:tc>
                <w:tcPr>
                  <w:tcW w:w="571" w:type="pct"/>
                  <w:shd w:val="clear" w:color="auto" w:fill="auto"/>
                  <w:vAlign w:val="center"/>
                </w:tcPr>
                <w:p w14:paraId="5A94E28A">
                  <w:pPr>
                    <w:keepNext w:val="0"/>
                    <w:keepLines w:val="0"/>
                    <w:suppressLineNumbers w:val="0"/>
                    <w:spacing w:before="0" w:beforeAutospacing="0" w:after="0" w:afterAutospacing="0" w:line="240" w:lineRule="auto"/>
                    <w:ind w:left="0" w:right="0"/>
                    <w:jc w:val="center"/>
                    <w:rPr>
                      <w:rFonts w:hint="default" w:ascii="Times New Roman" w:hAnsi="Times New Roman" w:eastAsia="宋体" w:cs="Times New Roman"/>
                      <w:b w:val="0"/>
                      <w:bCs w:val="0"/>
                      <w:color w:val="0000FF"/>
                      <w:kern w:val="2"/>
                      <w:sz w:val="21"/>
                      <w:szCs w:val="21"/>
                      <w:highlight w:val="none"/>
                      <w:lang w:val="en-US" w:eastAsia="zh-CN" w:bidi="ar-SA"/>
                    </w:rPr>
                  </w:pPr>
                  <w:r>
                    <w:rPr>
                      <w:rFonts w:hint="default" w:ascii="Times New Roman" w:hAnsi="Times New Roman" w:eastAsia="宋体" w:cs="Times New Roman"/>
                      <w:b w:val="0"/>
                      <w:bCs w:val="0"/>
                      <w:color w:val="0000FF"/>
                      <w:sz w:val="21"/>
                      <w:szCs w:val="21"/>
                      <w:highlight w:val="none"/>
                      <w:lang w:val="en-US" w:eastAsia="zh-CN"/>
                    </w:rPr>
                    <w:t>-443t</w:t>
                  </w:r>
                </w:p>
              </w:tc>
              <w:tc>
                <w:tcPr>
                  <w:tcW w:w="466" w:type="pct"/>
                  <w:vAlign w:val="center"/>
                </w:tcPr>
                <w:p w14:paraId="6CA982BD">
                  <w:pPr>
                    <w:keepNext w:val="0"/>
                    <w:keepLines w:val="0"/>
                    <w:suppressLineNumbers w:val="0"/>
                    <w:spacing w:before="0" w:beforeAutospacing="0" w:after="0" w:afterAutospacing="0" w:line="240" w:lineRule="auto"/>
                    <w:ind w:left="0" w:right="0"/>
                    <w:jc w:val="center"/>
                    <w:rPr>
                      <w:rFonts w:hint="default" w:ascii="Times New Roman" w:hAnsi="Times New Roman" w:eastAsia="宋体" w:cs="Times New Roman"/>
                      <w:b w:val="0"/>
                      <w:bCs w:val="0"/>
                      <w:color w:val="0000FF"/>
                      <w:sz w:val="21"/>
                      <w:szCs w:val="21"/>
                      <w:highlight w:val="none"/>
                      <w:lang w:val="en-US" w:eastAsia="zh-CN"/>
                    </w:rPr>
                  </w:pPr>
                  <w:r>
                    <w:rPr>
                      <w:rFonts w:hint="eastAsia" w:ascii="Times New Roman" w:hAnsi="Times New Roman" w:eastAsia="宋体" w:cs="Times New Roman"/>
                      <w:b w:val="0"/>
                      <w:bCs w:val="0"/>
                      <w:color w:val="0000FF"/>
                      <w:sz w:val="21"/>
                      <w:szCs w:val="21"/>
                      <w:highlight w:val="none"/>
                      <w:lang w:val="en-US" w:eastAsia="zh-CN"/>
                    </w:rPr>
                    <w:t>266t</w:t>
                  </w:r>
                </w:p>
              </w:tc>
              <w:tc>
                <w:tcPr>
                  <w:tcW w:w="240" w:type="pct"/>
                  <w:vAlign w:val="center"/>
                </w:tcPr>
                <w:p w14:paraId="79EFA4C9">
                  <w:pPr>
                    <w:keepNext w:val="0"/>
                    <w:keepLines w:val="0"/>
                    <w:suppressLineNumbers w:val="0"/>
                    <w:spacing w:before="0" w:beforeAutospacing="0" w:after="0" w:afterAutospacing="0"/>
                    <w:ind w:left="0" w:leftChars="0" w:right="0" w:rightChars="0"/>
                    <w:jc w:val="center"/>
                    <w:rPr>
                      <w:rFonts w:hint="eastAsia" w:ascii="Times New Roman" w:hAnsi="Times New Roman" w:eastAsia="宋体" w:cs="Times New Roman"/>
                      <w:b/>
                      <w:bCs/>
                      <w:color w:val="auto"/>
                      <w:kern w:val="0"/>
                      <w:szCs w:val="21"/>
                      <w:lang w:val="en-US" w:eastAsia="zh-CN" w:bidi="ar"/>
                    </w:rPr>
                  </w:pPr>
                  <w:r>
                    <w:rPr>
                      <w:rFonts w:hint="eastAsia" w:ascii="Times New Roman" w:hAnsi="Times New Roman" w:eastAsia="宋体" w:cs="Times New Roman"/>
                      <w:color w:val="auto"/>
                      <w:szCs w:val="21"/>
                      <w:lang w:val="en-US" w:eastAsia="zh-CN"/>
                    </w:rPr>
                    <w:t>/</w:t>
                  </w:r>
                </w:p>
              </w:tc>
            </w:tr>
            <w:tr w14:paraId="4EE861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272" w:type="pct"/>
                  <w:shd w:val="clear" w:color="auto" w:fill="auto"/>
                  <w:vAlign w:val="center"/>
                </w:tcPr>
                <w:p w14:paraId="48C9123B">
                  <w:pPr>
                    <w:keepNext w:val="0"/>
                    <w:keepLines w:val="0"/>
                    <w:suppressLineNumbers w:val="0"/>
                    <w:spacing w:before="0" w:beforeAutospacing="0" w:after="0" w:afterAutospacing="0" w:line="240" w:lineRule="auto"/>
                    <w:ind w:left="0" w:right="0"/>
                    <w:jc w:val="center"/>
                    <w:rPr>
                      <w:rFonts w:hint="default" w:ascii="Times New Roman" w:hAnsi="Times New Roman" w:eastAsia="宋体" w:cs="Times New Roman"/>
                      <w:b w:val="0"/>
                      <w:bCs w:val="0"/>
                      <w:color w:val="auto"/>
                      <w:kern w:val="2"/>
                      <w:sz w:val="21"/>
                      <w:szCs w:val="21"/>
                      <w:highlight w:val="none"/>
                      <w:lang w:val="en-US" w:eastAsia="zh-CN" w:bidi="ar-SA"/>
                    </w:rPr>
                  </w:pPr>
                  <w:r>
                    <w:rPr>
                      <w:rFonts w:hint="default" w:ascii="Times New Roman" w:hAnsi="Times New Roman" w:eastAsia="宋体" w:cs="Times New Roman"/>
                      <w:b w:val="0"/>
                      <w:bCs w:val="0"/>
                      <w:color w:val="auto"/>
                      <w:sz w:val="21"/>
                      <w:szCs w:val="21"/>
                      <w:highlight w:val="none"/>
                      <w:lang w:val="en-US" w:eastAsia="zh-CN"/>
                    </w:rPr>
                    <w:t>7</w:t>
                  </w:r>
                </w:p>
              </w:tc>
              <w:tc>
                <w:tcPr>
                  <w:tcW w:w="370" w:type="pct"/>
                  <w:vMerge w:val="continue"/>
                  <w:vAlign w:val="center"/>
                </w:tcPr>
                <w:p w14:paraId="37E27DFA">
                  <w:pPr>
                    <w:keepNext w:val="0"/>
                    <w:keepLines w:val="0"/>
                    <w:widowControl/>
                    <w:suppressLineNumbers w:val="0"/>
                    <w:spacing w:before="0" w:beforeAutospacing="0" w:after="0" w:afterAutospacing="0"/>
                    <w:ind w:left="0" w:right="0"/>
                    <w:jc w:val="center"/>
                    <w:rPr>
                      <w:rFonts w:hint="eastAsia" w:ascii="Times New Roman" w:hAnsi="Times New Roman" w:eastAsia="宋体" w:cs="Times New Roman"/>
                      <w:b/>
                      <w:bCs/>
                      <w:color w:val="auto"/>
                      <w:kern w:val="0"/>
                      <w:szCs w:val="21"/>
                      <w:lang w:bidi="ar"/>
                    </w:rPr>
                  </w:pPr>
                </w:p>
              </w:tc>
              <w:tc>
                <w:tcPr>
                  <w:tcW w:w="810" w:type="pct"/>
                  <w:gridSpan w:val="2"/>
                  <w:shd w:val="clear" w:color="auto" w:fill="auto"/>
                  <w:vAlign w:val="center"/>
                </w:tcPr>
                <w:p w14:paraId="4F16DC5C">
                  <w:pPr>
                    <w:keepNext w:val="0"/>
                    <w:keepLines w:val="0"/>
                    <w:suppressLineNumbers w:val="0"/>
                    <w:spacing w:before="0" w:beforeAutospacing="0" w:after="0" w:afterAutospacing="0"/>
                    <w:ind w:left="0" w:leftChars="0" w:right="0" w:rightChars="0"/>
                    <w:jc w:val="center"/>
                    <w:rPr>
                      <w:rFonts w:hint="eastAsia" w:ascii="Times New Roman" w:hAnsi="Times New Roman" w:eastAsia="宋体" w:cs="Times New Roman"/>
                      <w:color w:val="auto"/>
                      <w:kern w:val="2"/>
                      <w:sz w:val="21"/>
                      <w:szCs w:val="21"/>
                      <w:lang w:val="en-US" w:eastAsia="zh-CN" w:bidi="ar-SA"/>
                    </w:rPr>
                  </w:pPr>
                  <w:r>
                    <w:rPr>
                      <w:rFonts w:hint="default" w:ascii="Times New Roman" w:hAnsi="Times New Roman" w:eastAsia="宋体" w:cs="Times New Roman"/>
                      <w:color w:val="auto"/>
                      <w:szCs w:val="21"/>
                    </w:rPr>
                    <w:t>羟基硅油</w:t>
                  </w:r>
                </w:p>
              </w:tc>
              <w:tc>
                <w:tcPr>
                  <w:tcW w:w="645" w:type="pct"/>
                  <w:shd w:val="clear" w:color="auto" w:fill="auto"/>
                  <w:vAlign w:val="center"/>
                </w:tcPr>
                <w:p w14:paraId="79924528">
                  <w:pPr>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color w:val="auto"/>
                      <w:kern w:val="2"/>
                      <w:sz w:val="21"/>
                      <w:szCs w:val="21"/>
                      <w:lang w:val="en-US" w:eastAsia="zh-CN" w:bidi="ar-SA"/>
                    </w:rPr>
                  </w:pPr>
                  <w:r>
                    <w:rPr>
                      <w:rFonts w:hint="default" w:ascii="Times New Roman" w:hAnsi="Times New Roman" w:eastAsia="宋体" w:cs="Times New Roman"/>
                      <w:color w:val="auto"/>
                      <w:szCs w:val="21"/>
                    </w:rPr>
                    <w:t>190kg/铁桶</w:t>
                  </w:r>
                </w:p>
              </w:tc>
              <w:tc>
                <w:tcPr>
                  <w:tcW w:w="581" w:type="pct"/>
                  <w:shd w:val="clear" w:color="auto" w:fill="auto"/>
                  <w:vAlign w:val="center"/>
                </w:tcPr>
                <w:p w14:paraId="2AD6E081">
                  <w:pPr>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color w:val="0000FF"/>
                      <w:kern w:val="2"/>
                      <w:sz w:val="21"/>
                      <w:szCs w:val="21"/>
                      <w:lang w:val="en-US" w:eastAsia="zh-CN" w:bidi="ar-SA"/>
                    </w:rPr>
                  </w:pPr>
                  <w:r>
                    <w:rPr>
                      <w:rFonts w:hint="default" w:ascii="Times New Roman" w:hAnsi="Times New Roman" w:eastAsia="宋体" w:cs="Times New Roman"/>
                      <w:color w:val="0000FF"/>
                      <w:szCs w:val="21"/>
                    </w:rPr>
                    <w:t>680t</w:t>
                  </w:r>
                </w:p>
              </w:tc>
              <w:tc>
                <w:tcPr>
                  <w:tcW w:w="516" w:type="pct"/>
                  <w:shd w:val="clear" w:color="auto" w:fill="auto"/>
                  <w:vAlign w:val="center"/>
                </w:tcPr>
                <w:p w14:paraId="4FE8AA58">
                  <w:pPr>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color w:val="0000FF"/>
                      <w:kern w:val="2"/>
                      <w:sz w:val="21"/>
                      <w:szCs w:val="21"/>
                      <w:lang w:val="en-US" w:eastAsia="zh-CN" w:bidi="ar-SA"/>
                    </w:rPr>
                  </w:pPr>
                  <w:r>
                    <w:rPr>
                      <w:rFonts w:hint="default" w:ascii="Times New Roman" w:hAnsi="Times New Roman" w:eastAsia="宋体" w:cs="Times New Roman"/>
                      <w:color w:val="0000FF"/>
                      <w:szCs w:val="21"/>
                    </w:rPr>
                    <w:t>540t</w:t>
                  </w:r>
                </w:p>
              </w:tc>
              <w:tc>
                <w:tcPr>
                  <w:tcW w:w="524" w:type="pct"/>
                  <w:shd w:val="clear" w:color="auto" w:fill="auto"/>
                  <w:vAlign w:val="center"/>
                </w:tcPr>
                <w:p w14:paraId="7C9CA98F">
                  <w:pPr>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color w:val="0000FF"/>
                      <w:kern w:val="2"/>
                      <w:sz w:val="21"/>
                      <w:szCs w:val="21"/>
                      <w:lang w:val="en-US" w:eastAsia="zh-CN" w:bidi="ar-SA"/>
                    </w:rPr>
                  </w:pPr>
                  <w:r>
                    <w:rPr>
                      <w:rFonts w:hint="default" w:ascii="Times New Roman" w:hAnsi="Times New Roman" w:eastAsia="宋体" w:cs="Times New Roman"/>
                      <w:color w:val="0000FF"/>
                      <w:szCs w:val="21"/>
                    </w:rPr>
                    <w:t>540t</w:t>
                  </w:r>
                </w:p>
              </w:tc>
              <w:tc>
                <w:tcPr>
                  <w:tcW w:w="571" w:type="pct"/>
                  <w:shd w:val="clear" w:color="auto" w:fill="auto"/>
                  <w:vAlign w:val="center"/>
                </w:tcPr>
                <w:p w14:paraId="7B058A78">
                  <w:pPr>
                    <w:keepNext w:val="0"/>
                    <w:keepLines w:val="0"/>
                    <w:suppressLineNumbers w:val="0"/>
                    <w:spacing w:before="0" w:beforeAutospacing="0" w:after="0" w:afterAutospacing="0" w:line="240" w:lineRule="auto"/>
                    <w:ind w:left="0" w:right="0"/>
                    <w:jc w:val="center"/>
                    <w:rPr>
                      <w:rFonts w:hint="default" w:ascii="Times New Roman" w:hAnsi="Times New Roman" w:eastAsia="宋体" w:cs="Times New Roman"/>
                      <w:b w:val="0"/>
                      <w:bCs w:val="0"/>
                      <w:color w:val="0000FF"/>
                      <w:kern w:val="2"/>
                      <w:sz w:val="21"/>
                      <w:szCs w:val="21"/>
                      <w:highlight w:val="none"/>
                      <w:lang w:val="en-US" w:eastAsia="zh-CN" w:bidi="ar-SA"/>
                    </w:rPr>
                  </w:pPr>
                  <w:r>
                    <w:rPr>
                      <w:rFonts w:hint="default" w:ascii="Times New Roman" w:hAnsi="Times New Roman" w:eastAsia="宋体" w:cs="Times New Roman"/>
                      <w:b w:val="0"/>
                      <w:bCs w:val="0"/>
                      <w:color w:val="0000FF"/>
                      <w:sz w:val="21"/>
                      <w:szCs w:val="21"/>
                      <w:highlight w:val="none"/>
                      <w:lang w:val="en-US" w:eastAsia="zh-CN"/>
                    </w:rPr>
                    <w:t>-140t</w:t>
                  </w:r>
                </w:p>
              </w:tc>
              <w:tc>
                <w:tcPr>
                  <w:tcW w:w="466" w:type="pct"/>
                  <w:vAlign w:val="center"/>
                </w:tcPr>
                <w:p w14:paraId="013345CD">
                  <w:pPr>
                    <w:keepNext w:val="0"/>
                    <w:keepLines w:val="0"/>
                    <w:suppressLineNumbers w:val="0"/>
                    <w:spacing w:before="0" w:beforeAutospacing="0" w:after="0" w:afterAutospacing="0" w:line="240" w:lineRule="auto"/>
                    <w:ind w:left="0" w:right="0"/>
                    <w:jc w:val="center"/>
                    <w:rPr>
                      <w:rFonts w:hint="default" w:ascii="Times New Roman" w:hAnsi="Times New Roman" w:eastAsia="宋体" w:cs="Times New Roman"/>
                      <w:b w:val="0"/>
                      <w:bCs w:val="0"/>
                      <w:color w:val="0000FF"/>
                      <w:sz w:val="21"/>
                      <w:szCs w:val="21"/>
                      <w:highlight w:val="none"/>
                      <w:lang w:val="en-US" w:eastAsia="zh-CN"/>
                    </w:rPr>
                  </w:pPr>
                  <w:r>
                    <w:rPr>
                      <w:rFonts w:hint="eastAsia" w:ascii="Times New Roman" w:hAnsi="Times New Roman" w:eastAsia="宋体" w:cs="Times New Roman"/>
                      <w:b w:val="0"/>
                      <w:bCs w:val="0"/>
                      <w:color w:val="0000FF"/>
                      <w:sz w:val="21"/>
                      <w:szCs w:val="21"/>
                      <w:highlight w:val="none"/>
                      <w:lang w:val="en-US" w:eastAsia="zh-CN"/>
                    </w:rPr>
                    <w:t>90t</w:t>
                  </w:r>
                </w:p>
              </w:tc>
              <w:tc>
                <w:tcPr>
                  <w:tcW w:w="240" w:type="pct"/>
                  <w:vAlign w:val="center"/>
                </w:tcPr>
                <w:p w14:paraId="5E264F71">
                  <w:pPr>
                    <w:keepNext w:val="0"/>
                    <w:keepLines w:val="0"/>
                    <w:suppressLineNumbers w:val="0"/>
                    <w:spacing w:before="0" w:beforeAutospacing="0" w:after="0" w:afterAutospacing="0"/>
                    <w:ind w:left="0" w:leftChars="0" w:right="0" w:rightChars="0"/>
                    <w:jc w:val="center"/>
                    <w:rPr>
                      <w:rFonts w:hint="eastAsia" w:ascii="Times New Roman" w:hAnsi="Times New Roman" w:eastAsia="宋体" w:cs="Times New Roman"/>
                      <w:b/>
                      <w:bCs/>
                      <w:color w:val="auto"/>
                      <w:kern w:val="0"/>
                      <w:szCs w:val="21"/>
                      <w:lang w:val="en-US" w:eastAsia="zh-CN" w:bidi="ar"/>
                    </w:rPr>
                  </w:pPr>
                  <w:r>
                    <w:rPr>
                      <w:rFonts w:hint="eastAsia" w:ascii="Times New Roman" w:hAnsi="Times New Roman" w:eastAsia="宋体" w:cs="Times New Roman"/>
                      <w:color w:val="auto"/>
                      <w:szCs w:val="21"/>
                      <w:lang w:val="en-US" w:eastAsia="zh-CN"/>
                    </w:rPr>
                    <w:t>/</w:t>
                  </w:r>
                </w:p>
              </w:tc>
            </w:tr>
            <w:tr w14:paraId="53EF2F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272" w:type="pct"/>
                  <w:shd w:val="clear" w:color="auto" w:fill="auto"/>
                  <w:vAlign w:val="center"/>
                </w:tcPr>
                <w:p w14:paraId="69B9334D">
                  <w:pPr>
                    <w:keepNext w:val="0"/>
                    <w:keepLines w:val="0"/>
                    <w:suppressLineNumbers w:val="0"/>
                    <w:spacing w:before="0" w:beforeAutospacing="0" w:after="0" w:afterAutospacing="0" w:line="240" w:lineRule="auto"/>
                    <w:ind w:left="0" w:right="0"/>
                    <w:jc w:val="center"/>
                    <w:rPr>
                      <w:rFonts w:hint="default" w:ascii="Times New Roman" w:hAnsi="Times New Roman" w:eastAsia="宋体" w:cs="Times New Roman"/>
                      <w:b w:val="0"/>
                      <w:bCs w:val="0"/>
                      <w:color w:val="auto"/>
                      <w:kern w:val="2"/>
                      <w:sz w:val="21"/>
                      <w:szCs w:val="21"/>
                      <w:highlight w:val="none"/>
                      <w:lang w:val="en-US" w:eastAsia="zh-CN" w:bidi="ar-SA"/>
                    </w:rPr>
                  </w:pPr>
                  <w:r>
                    <w:rPr>
                      <w:rFonts w:hint="default" w:ascii="Times New Roman" w:hAnsi="Times New Roman" w:eastAsia="宋体" w:cs="Times New Roman"/>
                      <w:b w:val="0"/>
                      <w:bCs w:val="0"/>
                      <w:color w:val="auto"/>
                      <w:sz w:val="21"/>
                      <w:szCs w:val="21"/>
                      <w:highlight w:val="none"/>
                      <w:lang w:val="en-US" w:eastAsia="zh-CN"/>
                    </w:rPr>
                    <w:t>8</w:t>
                  </w:r>
                </w:p>
              </w:tc>
              <w:tc>
                <w:tcPr>
                  <w:tcW w:w="370" w:type="pct"/>
                  <w:vMerge w:val="continue"/>
                  <w:vAlign w:val="center"/>
                </w:tcPr>
                <w:p w14:paraId="70D684FC">
                  <w:pPr>
                    <w:keepNext w:val="0"/>
                    <w:keepLines w:val="0"/>
                    <w:widowControl/>
                    <w:suppressLineNumbers w:val="0"/>
                    <w:spacing w:before="0" w:beforeAutospacing="0" w:after="0" w:afterAutospacing="0"/>
                    <w:ind w:left="0" w:right="0"/>
                    <w:jc w:val="center"/>
                    <w:rPr>
                      <w:rFonts w:hint="eastAsia" w:ascii="Times New Roman" w:hAnsi="Times New Roman" w:eastAsia="宋体" w:cs="Times New Roman"/>
                      <w:b/>
                      <w:bCs/>
                      <w:color w:val="auto"/>
                      <w:kern w:val="0"/>
                      <w:szCs w:val="21"/>
                      <w:lang w:bidi="ar"/>
                    </w:rPr>
                  </w:pPr>
                </w:p>
              </w:tc>
              <w:tc>
                <w:tcPr>
                  <w:tcW w:w="810" w:type="pct"/>
                  <w:gridSpan w:val="2"/>
                  <w:shd w:val="clear" w:color="auto" w:fill="auto"/>
                  <w:vAlign w:val="center"/>
                </w:tcPr>
                <w:p w14:paraId="47933ADB">
                  <w:pPr>
                    <w:keepNext w:val="0"/>
                    <w:keepLines w:val="0"/>
                    <w:suppressLineNumbers w:val="0"/>
                    <w:spacing w:before="0" w:beforeAutospacing="0" w:after="0" w:afterAutospacing="0"/>
                    <w:ind w:left="0" w:leftChars="0" w:right="0" w:rightChars="0"/>
                    <w:jc w:val="center"/>
                    <w:rPr>
                      <w:rFonts w:hint="eastAsia" w:ascii="Times New Roman" w:hAnsi="Times New Roman" w:eastAsia="宋体" w:cs="Times New Roman"/>
                      <w:color w:val="auto"/>
                      <w:kern w:val="2"/>
                      <w:sz w:val="21"/>
                      <w:szCs w:val="21"/>
                      <w:lang w:val="en-US" w:eastAsia="zh-CN" w:bidi="ar-SA"/>
                    </w:rPr>
                  </w:pPr>
                  <w:r>
                    <w:rPr>
                      <w:rFonts w:hint="default" w:ascii="Times New Roman" w:hAnsi="Times New Roman" w:eastAsia="宋体" w:cs="Times New Roman"/>
                      <w:color w:val="auto"/>
                      <w:szCs w:val="21"/>
                    </w:rPr>
                    <w:t>甲基高含氢硅油</w:t>
                  </w:r>
                </w:p>
              </w:tc>
              <w:tc>
                <w:tcPr>
                  <w:tcW w:w="645" w:type="pct"/>
                  <w:shd w:val="clear" w:color="auto" w:fill="auto"/>
                  <w:vAlign w:val="center"/>
                </w:tcPr>
                <w:p w14:paraId="7E83C07E">
                  <w:pPr>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color w:val="auto"/>
                      <w:kern w:val="2"/>
                      <w:sz w:val="21"/>
                      <w:szCs w:val="21"/>
                      <w:lang w:val="en-US" w:eastAsia="zh-CN" w:bidi="ar-SA"/>
                    </w:rPr>
                  </w:pPr>
                  <w:r>
                    <w:rPr>
                      <w:rFonts w:hint="default" w:ascii="Times New Roman" w:hAnsi="Times New Roman" w:eastAsia="宋体" w:cs="Times New Roman"/>
                      <w:color w:val="auto"/>
                      <w:szCs w:val="21"/>
                    </w:rPr>
                    <w:t>25kg/塑料桶</w:t>
                  </w:r>
                </w:p>
              </w:tc>
              <w:tc>
                <w:tcPr>
                  <w:tcW w:w="581" w:type="pct"/>
                  <w:shd w:val="clear" w:color="auto" w:fill="auto"/>
                  <w:vAlign w:val="center"/>
                </w:tcPr>
                <w:p w14:paraId="4782AB0B">
                  <w:pPr>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color w:val="0000FF"/>
                      <w:kern w:val="2"/>
                      <w:sz w:val="21"/>
                      <w:szCs w:val="21"/>
                      <w:lang w:val="en-US" w:eastAsia="zh-CN" w:bidi="ar-SA"/>
                    </w:rPr>
                  </w:pPr>
                  <w:r>
                    <w:rPr>
                      <w:rFonts w:hint="default" w:ascii="Times New Roman" w:hAnsi="Times New Roman" w:eastAsia="宋体" w:cs="Times New Roman"/>
                      <w:color w:val="0000FF"/>
                      <w:szCs w:val="21"/>
                    </w:rPr>
                    <w:t>680t</w:t>
                  </w:r>
                </w:p>
              </w:tc>
              <w:tc>
                <w:tcPr>
                  <w:tcW w:w="516" w:type="pct"/>
                  <w:shd w:val="clear" w:color="auto" w:fill="auto"/>
                  <w:vAlign w:val="center"/>
                </w:tcPr>
                <w:p w14:paraId="7AC2AD13">
                  <w:pPr>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color w:val="0000FF"/>
                      <w:kern w:val="2"/>
                      <w:sz w:val="21"/>
                      <w:szCs w:val="21"/>
                      <w:lang w:val="en-US" w:eastAsia="zh-CN" w:bidi="ar-SA"/>
                    </w:rPr>
                  </w:pPr>
                  <w:r>
                    <w:rPr>
                      <w:rFonts w:hint="default" w:ascii="Times New Roman" w:hAnsi="Times New Roman" w:eastAsia="宋体" w:cs="Times New Roman"/>
                      <w:color w:val="0000FF"/>
                      <w:szCs w:val="21"/>
                    </w:rPr>
                    <w:t>540t</w:t>
                  </w:r>
                </w:p>
              </w:tc>
              <w:tc>
                <w:tcPr>
                  <w:tcW w:w="524" w:type="pct"/>
                  <w:shd w:val="clear" w:color="auto" w:fill="auto"/>
                  <w:vAlign w:val="center"/>
                </w:tcPr>
                <w:p w14:paraId="56A82D08">
                  <w:pPr>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color w:val="0000FF"/>
                      <w:kern w:val="2"/>
                      <w:sz w:val="21"/>
                      <w:szCs w:val="21"/>
                      <w:lang w:val="en-US" w:eastAsia="zh-CN" w:bidi="ar-SA"/>
                    </w:rPr>
                  </w:pPr>
                  <w:r>
                    <w:rPr>
                      <w:rFonts w:hint="default" w:ascii="Times New Roman" w:hAnsi="Times New Roman" w:eastAsia="宋体" w:cs="Times New Roman"/>
                      <w:color w:val="0000FF"/>
                      <w:szCs w:val="21"/>
                    </w:rPr>
                    <w:t>540t</w:t>
                  </w:r>
                </w:p>
              </w:tc>
              <w:tc>
                <w:tcPr>
                  <w:tcW w:w="571" w:type="pct"/>
                  <w:shd w:val="clear" w:color="auto" w:fill="auto"/>
                  <w:vAlign w:val="center"/>
                </w:tcPr>
                <w:p w14:paraId="19335D12">
                  <w:pPr>
                    <w:keepNext w:val="0"/>
                    <w:keepLines w:val="0"/>
                    <w:suppressLineNumbers w:val="0"/>
                    <w:spacing w:before="0" w:beforeAutospacing="0" w:after="0" w:afterAutospacing="0" w:line="240" w:lineRule="auto"/>
                    <w:ind w:left="0" w:right="0"/>
                    <w:jc w:val="center"/>
                    <w:rPr>
                      <w:rFonts w:hint="default" w:ascii="Times New Roman" w:hAnsi="Times New Roman" w:eastAsia="宋体" w:cs="Times New Roman"/>
                      <w:b w:val="0"/>
                      <w:bCs w:val="0"/>
                      <w:color w:val="0000FF"/>
                      <w:kern w:val="2"/>
                      <w:sz w:val="21"/>
                      <w:szCs w:val="21"/>
                      <w:highlight w:val="none"/>
                      <w:lang w:val="en-US" w:eastAsia="zh-CN" w:bidi="ar-SA"/>
                    </w:rPr>
                  </w:pPr>
                  <w:r>
                    <w:rPr>
                      <w:rFonts w:hint="default" w:ascii="Times New Roman" w:hAnsi="Times New Roman" w:eastAsia="宋体" w:cs="Times New Roman"/>
                      <w:b w:val="0"/>
                      <w:bCs w:val="0"/>
                      <w:color w:val="0000FF"/>
                      <w:sz w:val="21"/>
                      <w:szCs w:val="21"/>
                      <w:highlight w:val="none"/>
                      <w:lang w:val="en-US" w:eastAsia="zh-CN"/>
                    </w:rPr>
                    <w:t>-140t</w:t>
                  </w:r>
                </w:p>
              </w:tc>
              <w:tc>
                <w:tcPr>
                  <w:tcW w:w="466" w:type="pct"/>
                  <w:vAlign w:val="center"/>
                </w:tcPr>
                <w:p w14:paraId="46246AE1">
                  <w:pPr>
                    <w:keepNext w:val="0"/>
                    <w:keepLines w:val="0"/>
                    <w:suppressLineNumbers w:val="0"/>
                    <w:spacing w:before="0" w:beforeAutospacing="0" w:after="0" w:afterAutospacing="0" w:line="240" w:lineRule="auto"/>
                    <w:ind w:left="0" w:right="0"/>
                    <w:jc w:val="center"/>
                    <w:rPr>
                      <w:rFonts w:hint="default" w:ascii="Times New Roman" w:hAnsi="Times New Roman" w:eastAsia="宋体" w:cs="Times New Roman"/>
                      <w:b w:val="0"/>
                      <w:bCs w:val="0"/>
                      <w:color w:val="0000FF"/>
                      <w:sz w:val="21"/>
                      <w:szCs w:val="21"/>
                      <w:highlight w:val="none"/>
                      <w:lang w:val="en-US" w:eastAsia="zh-CN"/>
                    </w:rPr>
                  </w:pPr>
                  <w:r>
                    <w:rPr>
                      <w:rFonts w:hint="eastAsia" w:ascii="Times New Roman" w:hAnsi="Times New Roman" w:eastAsia="宋体" w:cs="Times New Roman"/>
                      <w:b w:val="0"/>
                      <w:bCs w:val="0"/>
                      <w:color w:val="0000FF"/>
                      <w:sz w:val="21"/>
                      <w:szCs w:val="21"/>
                      <w:highlight w:val="none"/>
                      <w:lang w:val="en-US" w:eastAsia="zh-CN"/>
                    </w:rPr>
                    <w:t>90t</w:t>
                  </w:r>
                </w:p>
              </w:tc>
              <w:tc>
                <w:tcPr>
                  <w:tcW w:w="240" w:type="pct"/>
                  <w:vAlign w:val="center"/>
                </w:tcPr>
                <w:p w14:paraId="2A13EF8D">
                  <w:pPr>
                    <w:keepNext w:val="0"/>
                    <w:keepLines w:val="0"/>
                    <w:suppressLineNumbers w:val="0"/>
                    <w:spacing w:before="0" w:beforeAutospacing="0" w:after="0" w:afterAutospacing="0"/>
                    <w:ind w:left="0" w:leftChars="0" w:right="0" w:rightChars="0"/>
                    <w:jc w:val="center"/>
                    <w:rPr>
                      <w:rFonts w:hint="eastAsia" w:ascii="Times New Roman" w:hAnsi="Times New Roman" w:eastAsia="宋体" w:cs="Times New Roman"/>
                      <w:b/>
                      <w:bCs/>
                      <w:color w:val="auto"/>
                      <w:kern w:val="0"/>
                      <w:szCs w:val="21"/>
                      <w:lang w:val="en-US" w:eastAsia="zh-CN" w:bidi="ar"/>
                    </w:rPr>
                  </w:pPr>
                  <w:r>
                    <w:rPr>
                      <w:rFonts w:hint="eastAsia" w:ascii="Times New Roman" w:hAnsi="Times New Roman" w:eastAsia="宋体" w:cs="Times New Roman"/>
                      <w:color w:val="auto"/>
                      <w:szCs w:val="21"/>
                      <w:lang w:val="en-US" w:eastAsia="zh-CN"/>
                    </w:rPr>
                    <w:t>/</w:t>
                  </w:r>
                </w:p>
              </w:tc>
            </w:tr>
            <w:tr w14:paraId="31BC67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272" w:type="pct"/>
                  <w:shd w:val="clear" w:color="auto" w:fill="auto"/>
                  <w:vAlign w:val="center"/>
                </w:tcPr>
                <w:p w14:paraId="3D0CD9CA">
                  <w:pPr>
                    <w:keepNext w:val="0"/>
                    <w:keepLines w:val="0"/>
                    <w:suppressLineNumbers w:val="0"/>
                    <w:spacing w:before="0" w:beforeAutospacing="0" w:after="0" w:afterAutospacing="0" w:line="240" w:lineRule="auto"/>
                    <w:ind w:left="0" w:right="0"/>
                    <w:jc w:val="center"/>
                    <w:rPr>
                      <w:rFonts w:hint="default" w:ascii="Times New Roman" w:hAnsi="Times New Roman" w:eastAsia="宋体" w:cs="Times New Roman"/>
                      <w:b w:val="0"/>
                      <w:bCs w:val="0"/>
                      <w:color w:val="auto"/>
                      <w:kern w:val="2"/>
                      <w:sz w:val="21"/>
                      <w:szCs w:val="21"/>
                      <w:highlight w:val="none"/>
                      <w:lang w:val="en-US" w:eastAsia="zh-CN" w:bidi="ar-SA"/>
                    </w:rPr>
                  </w:pPr>
                  <w:r>
                    <w:rPr>
                      <w:rFonts w:hint="default" w:ascii="Times New Roman" w:hAnsi="Times New Roman" w:eastAsia="宋体" w:cs="Times New Roman"/>
                      <w:b w:val="0"/>
                      <w:bCs w:val="0"/>
                      <w:color w:val="auto"/>
                      <w:sz w:val="21"/>
                      <w:szCs w:val="21"/>
                      <w:highlight w:val="none"/>
                      <w:lang w:val="en-US" w:eastAsia="zh-CN"/>
                    </w:rPr>
                    <w:t>9</w:t>
                  </w:r>
                </w:p>
              </w:tc>
              <w:tc>
                <w:tcPr>
                  <w:tcW w:w="370" w:type="pct"/>
                  <w:vMerge w:val="continue"/>
                  <w:vAlign w:val="center"/>
                </w:tcPr>
                <w:p w14:paraId="32137676">
                  <w:pPr>
                    <w:keepNext w:val="0"/>
                    <w:keepLines w:val="0"/>
                    <w:widowControl/>
                    <w:suppressLineNumbers w:val="0"/>
                    <w:spacing w:before="0" w:beforeAutospacing="0" w:after="0" w:afterAutospacing="0"/>
                    <w:ind w:left="0" w:right="0"/>
                    <w:jc w:val="center"/>
                    <w:rPr>
                      <w:rFonts w:hint="eastAsia" w:ascii="Times New Roman" w:hAnsi="Times New Roman" w:eastAsia="宋体" w:cs="Times New Roman"/>
                      <w:b/>
                      <w:bCs/>
                      <w:color w:val="auto"/>
                      <w:kern w:val="0"/>
                      <w:szCs w:val="21"/>
                      <w:lang w:bidi="ar"/>
                    </w:rPr>
                  </w:pPr>
                </w:p>
              </w:tc>
              <w:tc>
                <w:tcPr>
                  <w:tcW w:w="810" w:type="pct"/>
                  <w:gridSpan w:val="2"/>
                  <w:shd w:val="clear" w:color="auto" w:fill="auto"/>
                  <w:vAlign w:val="center"/>
                </w:tcPr>
                <w:p w14:paraId="636227DF">
                  <w:pPr>
                    <w:keepNext w:val="0"/>
                    <w:keepLines w:val="0"/>
                    <w:suppressLineNumbers w:val="0"/>
                    <w:spacing w:before="0" w:beforeAutospacing="0" w:after="0" w:afterAutospacing="0"/>
                    <w:ind w:left="0" w:leftChars="0" w:right="0" w:rightChars="0"/>
                    <w:jc w:val="center"/>
                    <w:rPr>
                      <w:rFonts w:hint="eastAsia" w:ascii="Times New Roman" w:hAnsi="Times New Roman" w:eastAsia="宋体" w:cs="Times New Roman"/>
                      <w:color w:val="auto"/>
                      <w:kern w:val="2"/>
                      <w:sz w:val="21"/>
                      <w:szCs w:val="21"/>
                      <w:lang w:val="en-US" w:eastAsia="zh-CN" w:bidi="ar-SA"/>
                    </w:rPr>
                  </w:pPr>
                  <w:r>
                    <w:rPr>
                      <w:rFonts w:hint="default" w:ascii="Times New Roman" w:hAnsi="Times New Roman" w:eastAsia="宋体" w:cs="Times New Roman"/>
                      <w:color w:val="auto"/>
                      <w:szCs w:val="21"/>
                    </w:rPr>
                    <w:t>交联剂</w:t>
                  </w:r>
                </w:p>
              </w:tc>
              <w:tc>
                <w:tcPr>
                  <w:tcW w:w="645" w:type="pct"/>
                  <w:shd w:val="clear" w:color="auto" w:fill="auto"/>
                  <w:vAlign w:val="center"/>
                </w:tcPr>
                <w:p w14:paraId="1B174A10">
                  <w:pPr>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color w:val="auto"/>
                      <w:kern w:val="2"/>
                      <w:sz w:val="21"/>
                      <w:szCs w:val="21"/>
                      <w:lang w:val="en-US" w:eastAsia="zh-CN" w:bidi="ar-SA"/>
                    </w:rPr>
                  </w:pPr>
                  <w:r>
                    <w:rPr>
                      <w:rFonts w:hint="default" w:ascii="Times New Roman" w:hAnsi="Times New Roman" w:eastAsia="宋体" w:cs="Times New Roman"/>
                      <w:color w:val="auto"/>
                      <w:szCs w:val="21"/>
                    </w:rPr>
                    <w:t>4kg/铁桶</w:t>
                  </w:r>
                </w:p>
              </w:tc>
              <w:tc>
                <w:tcPr>
                  <w:tcW w:w="581" w:type="pct"/>
                  <w:shd w:val="clear" w:color="auto" w:fill="auto"/>
                  <w:vAlign w:val="center"/>
                </w:tcPr>
                <w:p w14:paraId="5430BE47">
                  <w:pPr>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color w:val="0000FF"/>
                      <w:kern w:val="2"/>
                      <w:sz w:val="21"/>
                      <w:szCs w:val="21"/>
                      <w:lang w:val="en-US" w:eastAsia="zh-CN" w:bidi="ar-SA"/>
                    </w:rPr>
                  </w:pPr>
                  <w:r>
                    <w:rPr>
                      <w:rFonts w:hint="default" w:ascii="Times New Roman" w:hAnsi="Times New Roman" w:eastAsia="宋体" w:cs="Times New Roman"/>
                      <w:color w:val="0000FF"/>
                      <w:szCs w:val="21"/>
                    </w:rPr>
                    <w:t>5.1t</w:t>
                  </w:r>
                </w:p>
              </w:tc>
              <w:tc>
                <w:tcPr>
                  <w:tcW w:w="516" w:type="pct"/>
                  <w:shd w:val="clear" w:color="auto" w:fill="auto"/>
                  <w:vAlign w:val="center"/>
                </w:tcPr>
                <w:p w14:paraId="083BAC90">
                  <w:pPr>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color w:val="0000FF"/>
                      <w:kern w:val="2"/>
                      <w:sz w:val="21"/>
                      <w:szCs w:val="21"/>
                      <w:lang w:val="en-US" w:eastAsia="zh-CN" w:bidi="ar-SA"/>
                    </w:rPr>
                  </w:pPr>
                  <w:r>
                    <w:rPr>
                      <w:rFonts w:hint="default" w:ascii="Times New Roman" w:hAnsi="Times New Roman" w:eastAsia="宋体" w:cs="Times New Roman"/>
                      <w:color w:val="0000FF"/>
                      <w:szCs w:val="21"/>
                    </w:rPr>
                    <w:t>4t</w:t>
                  </w:r>
                </w:p>
              </w:tc>
              <w:tc>
                <w:tcPr>
                  <w:tcW w:w="524" w:type="pct"/>
                  <w:shd w:val="clear" w:color="auto" w:fill="auto"/>
                  <w:vAlign w:val="center"/>
                </w:tcPr>
                <w:p w14:paraId="24756C03">
                  <w:pPr>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color w:val="0000FF"/>
                      <w:kern w:val="2"/>
                      <w:sz w:val="21"/>
                      <w:szCs w:val="21"/>
                      <w:lang w:val="en-US" w:eastAsia="zh-CN" w:bidi="ar-SA"/>
                    </w:rPr>
                  </w:pPr>
                  <w:r>
                    <w:rPr>
                      <w:rFonts w:hint="default" w:ascii="Times New Roman" w:hAnsi="Times New Roman" w:eastAsia="宋体" w:cs="Times New Roman"/>
                      <w:color w:val="0000FF"/>
                      <w:szCs w:val="21"/>
                    </w:rPr>
                    <w:t>4t</w:t>
                  </w:r>
                </w:p>
              </w:tc>
              <w:tc>
                <w:tcPr>
                  <w:tcW w:w="571" w:type="pct"/>
                  <w:shd w:val="clear" w:color="auto" w:fill="auto"/>
                  <w:vAlign w:val="center"/>
                </w:tcPr>
                <w:p w14:paraId="7A631838">
                  <w:pPr>
                    <w:keepNext w:val="0"/>
                    <w:keepLines w:val="0"/>
                    <w:suppressLineNumbers w:val="0"/>
                    <w:spacing w:before="0" w:beforeAutospacing="0" w:after="0" w:afterAutospacing="0" w:line="240" w:lineRule="auto"/>
                    <w:ind w:left="0" w:right="0"/>
                    <w:jc w:val="center"/>
                    <w:rPr>
                      <w:rFonts w:hint="default" w:ascii="Times New Roman" w:hAnsi="Times New Roman" w:eastAsia="宋体" w:cs="Times New Roman"/>
                      <w:b w:val="0"/>
                      <w:bCs w:val="0"/>
                      <w:color w:val="0000FF"/>
                      <w:kern w:val="2"/>
                      <w:sz w:val="21"/>
                      <w:szCs w:val="21"/>
                      <w:highlight w:val="none"/>
                      <w:lang w:val="en-US" w:eastAsia="zh-CN" w:bidi="ar-SA"/>
                    </w:rPr>
                  </w:pPr>
                  <w:r>
                    <w:rPr>
                      <w:rFonts w:hint="default" w:ascii="Times New Roman" w:hAnsi="Times New Roman" w:eastAsia="宋体" w:cs="Times New Roman"/>
                      <w:b w:val="0"/>
                      <w:bCs w:val="0"/>
                      <w:color w:val="0000FF"/>
                      <w:sz w:val="21"/>
                      <w:szCs w:val="21"/>
                      <w:highlight w:val="none"/>
                      <w:lang w:val="en-US" w:eastAsia="zh-CN"/>
                    </w:rPr>
                    <w:t>-1.1t</w:t>
                  </w:r>
                </w:p>
              </w:tc>
              <w:tc>
                <w:tcPr>
                  <w:tcW w:w="466" w:type="pct"/>
                  <w:vAlign w:val="center"/>
                </w:tcPr>
                <w:p w14:paraId="3D010CFB">
                  <w:pPr>
                    <w:keepNext w:val="0"/>
                    <w:keepLines w:val="0"/>
                    <w:suppressLineNumbers w:val="0"/>
                    <w:spacing w:before="0" w:beforeAutospacing="0" w:after="0" w:afterAutospacing="0" w:line="240" w:lineRule="auto"/>
                    <w:ind w:left="0" w:right="0"/>
                    <w:jc w:val="center"/>
                    <w:rPr>
                      <w:rFonts w:hint="default" w:ascii="Times New Roman" w:hAnsi="Times New Roman" w:eastAsia="宋体" w:cs="Times New Roman"/>
                      <w:b w:val="0"/>
                      <w:bCs w:val="0"/>
                      <w:color w:val="0000FF"/>
                      <w:sz w:val="21"/>
                      <w:szCs w:val="21"/>
                      <w:highlight w:val="none"/>
                      <w:lang w:val="en-US" w:eastAsia="zh-CN"/>
                    </w:rPr>
                  </w:pPr>
                  <w:r>
                    <w:rPr>
                      <w:rFonts w:hint="eastAsia" w:ascii="Times New Roman" w:hAnsi="Times New Roman" w:eastAsia="宋体" w:cs="Times New Roman"/>
                      <w:b w:val="0"/>
                      <w:bCs w:val="0"/>
                      <w:color w:val="0000FF"/>
                      <w:sz w:val="21"/>
                      <w:szCs w:val="21"/>
                      <w:highlight w:val="none"/>
                      <w:lang w:val="en-US" w:eastAsia="zh-CN"/>
                    </w:rPr>
                    <w:t>1t</w:t>
                  </w:r>
                </w:p>
              </w:tc>
              <w:tc>
                <w:tcPr>
                  <w:tcW w:w="240" w:type="pct"/>
                  <w:vAlign w:val="center"/>
                </w:tcPr>
                <w:p w14:paraId="4A0CD745">
                  <w:pPr>
                    <w:keepNext w:val="0"/>
                    <w:keepLines w:val="0"/>
                    <w:suppressLineNumbers w:val="0"/>
                    <w:spacing w:before="0" w:beforeAutospacing="0" w:after="0" w:afterAutospacing="0"/>
                    <w:ind w:left="0" w:leftChars="0" w:right="0" w:rightChars="0"/>
                    <w:jc w:val="center"/>
                    <w:rPr>
                      <w:rFonts w:hint="eastAsia" w:ascii="Times New Roman" w:hAnsi="Times New Roman" w:eastAsia="宋体" w:cs="Times New Roman"/>
                      <w:b/>
                      <w:bCs/>
                      <w:color w:val="auto"/>
                      <w:kern w:val="0"/>
                      <w:szCs w:val="21"/>
                      <w:lang w:val="en-US" w:eastAsia="zh-CN" w:bidi="ar"/>
                    </w:rPr>
                  </w:pPr>
                  <w:r>
                    <w:rPr>
                      <w:rFonts w:hint="eastAsia" w:ascii="Times New Roman" w:hAnsi="Times New Roman" w:eastAsia="宋体" w:cs="Times New Roman"/>
                      <w:color w:val="auto"/>
                      <w:szCs w:val="21"/>
                      <w:lang w:val="en-US" w:eastAsia="zh-CN"/>
                    </w:rPr>
                    <w:t>/</w:t>
                  </w:r>
                </w:p>
              </w:tc>
            </w:tr>
            <w:tr w14:paraId="410EEF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272" w:type="pct"/>
                  <w:shd w:val="clear" w:color="auto" w:fill="auto"/>
                  <w:vAlign w:val="center"/>
                </w:tcPr>
                <w:p w14:paraId="6814E556">
                  <w:pPr>
                    <w:keepNext w:val="0"/>
                    <w:keepLines w:val="0"/>
                    <w:suppressLineNumbers w:val="0"/>
                    <w:spacing w:before="0" w:beforeAutospacing="0" w:after="0" w:afterAutospacing="0" w:line="240" w:lineRule="auto"/>
                    <w:ind w:left="0" w:right="0"/>
                    <w:jc w:val="center"/>
                    <w:rPr>
                      <w:rFonts w:hint="default" w:ascii="Times New Roman" w:hAnsi="Times New Roman" w:eastAsia="宋体" w:cs="Times New Roman"/>
                      <w:b w:val="0"/>
                      <w:bCs w:val="0"/>
                      <w:color w:val="auto"/>
                      <w:kern w:val="2"/>
                      <w:sz w:val="21"/>
                      <w:szCs w:val="21"/>
                      <w:highlight w:val="none"/>
                      <w:lang w:val="en-US" w:eastAsia="zh-CN" w:bidi="ar-SA"/>
                    </w:rPr>
                  </w:pPr>
                  <w:r>
                    <w:rPr>
                      <w:rFonts w:hint="default" w:ascii="Times New Roman" w:hAnsi="Times New Roman" w:eastAsia="宋体" w:cs="Times New Roman"/>
                      <w:b w:val="0"/>
                      <w:bCs w:val="0"/>
                      <w:color w:val="auto"/>
                      <w:sz w:val="21"/>
                      <w:szCs w:val="21"/>
                      <w:highlight w:val="none"/>
                      <w:lang w:val="en-US" w:eastAsia="zh-CN"/>
                    </w:rPr>
                    <w:t>10</w:t>
                  </w:r>
                </w:p>
              </w:tc>
              <w:tc>
                <w:tcPr>
                  <w:tcW w:w="370" w:type="pct"/>
                  <w:vMerge w:val="continue"/>
                  <w:vAlign w:val="center"/>
                </w:tcPr>
                <w:p w14:paraId="2E3C8A20">
                  <w:pPr>
                    <w:keepNext w:val="0"/>
                    <w:keepLines w:val="0"/>
                    <w:widowControl/>
                    <w:suppressLineNumbers w:val="0"/>
                    <w:spacing w:before="0" w:beforeAutospacing="0" w:after="0" w:afterAutospacing="0"/>
                    <w:ind w:left="0" w:right="0"/>
                    <w:jc w:val="center"/>
                    <w:rPr>
                      <w:rFonts w:hint="eastAsia" w:ascii="Times New Roman" w:hAnsi="Times New Roman" w:eastAsia="宋体" w:cs="Times New Roman"/>
                      <w:b/>
                      <w:bCs/>
                      <w:color w:val="auto"/>
                      <w:kern w:val="0"/>
                      <w:szCs w:val="21"/>
                      <w:lang w:bidi="ar"/>
                    </w:rPr>
                  </w:pPr>
                </w:p>
              </w:tc>
              <w:tc>
                <w:tcPr>
                  <w:tcW w:w="810" w:type="pct"/>
                  <w:gridSpan w:val="2"/>
                  <w:shd w:val="clear" w:color="auto" w:fill="auto"/>
                  <w:vAlign w:val="center"/>
                </w:tcPr>
                <w:p w14:paraId="16927C3E">
                  <w:pPr>
                    <w:keepNext w:val="0"/>
                    <w:keepLines w:val="0"/>
                    <w:suppressLineNumbers w:val="0"/>
                    <w:spacing w:before="0" w:beforeAutospacing="0" w:after="0" w:afterAutospacing="0"/>
                    <w:ind w:left="0" w:leftChars="0" w:right="0" w:rightChars="0"/>
                    <w:jc w:val="center"/>
                    <w:rPr>
                      <w:rFonts w:hint="eastAsia" w:ascii="Times New Roman" w:hAnsi="Times New Roman" w:eastAsia="宋体" w:cs="Times New Roman"/>
                      <w:color w:val="auto"/>
                      <w:kern w:val="2"/>
                      <w:sz w:val="21"/>
                      <w:szCs w:val="21"/>
                      <w:lang w:val="en-US" w:eastAsia="zh-CN" w:bidi="ar-SA"/>
                    </w:rPr>
                  </w:pPr>
                  <w:r>
                    <w:rPr>
                      <w:rFonts w:hint="default" w:ascii="Times New Roman" w:hAnsi="Times New Roman" w:eastAsia="宋体" w:cs="Times New Roman"/>
                      <w:color w:val="auto"/>
                      <w:szCs w:val="21"/>
                    </w:rPr>
                    <w:t>PET薄膜</w:t>
                  </w:r>
                </w:p>
              </w:tc>
              <w:tc>
                <w:tcPr>
                  <w:tcW w:w="645" w:type="pct"/>
                  <w:shd w:val="clear" w:color="auto" w:fill="auto"/>
                  <w:vAlign w:val="center"/>
                </w:tcPr>
                <w:p w14:paraId="76FA6332">
                  <w:pPr>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color w:val="auto"/>
                      <w:kern w:val="2"/>
                      <w:sz w:val="21"/>
                      <w:szCs w:val="21"/>
                      <w:lang w:val="en-US" w:eastAsia="zh-CN" w:bidi="ar-SA"/>
                    </w:rPr>
                  </w:pPr>
                  <w:r>
                    <w:rPr>
                      <w:rFonts w:hint="default" w:ascii="Times New Roman" w:hAnsi="Times New Roman" w:eastAsia="宋体" w:cs="Times New Roman"/>
                      <w:color w:val="auto"/>
                      <w:szCs w:val="21"/>
                    </w:rPr>
                    <w:t>卷材</w:t>
                  </w:r>
                </w:p>
              </w:tc>
              <w:tc>
                <w:tcPr>
                  <w:tcW w:w="581" w:type="pct"/>
                  <w:shd w:val="clear" w:color="auto" w:fill="auto"/>
                  <w:vAlign w:val="center"/>
                </w:tcPr>
                <w:p w14:paraId="2B9257BB">
                  <w:pPr>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color w:val="0000FF"/>
                      <w:kern w:val="2"/>
                      <w:sz w:val="21"/>
                      <w:szCs w:val="21"/>
                      <w:lang w:val="en-US" w:eastAsia="zh-CN" w:bidi="ar-SA"/>
                    </w:rPr>
                  </w:pPr>
                  <w:r>
                    <w:rPr>
                      <w:rFonts w:hint="default" w:ascii="Times New Roman" w:hAnsi="Times New Roman" w:eastAsia="宋体" w:cs="Times New Roman"/>
                      <w:color w:val="0000FF"/>
                      <w:szCs w:val="21"/>
                    </w:rPr>
                    <w:t>1000万m²</w:t>
                  </w:r>
                </w:p>
              </w:tc>
              <w:tc>
                <w:tcPr>
                  <w:tcW w:w="516" w:type="pct"/>
                  <w:shd w:val="clear" w:color="auto" w:fill="auto"/>
                  <w:vAlign w:val="center"/>
                </w:tcPr>
                <w:p w14:paraId="326AECF0">
                  <w:pPr>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color w:val="0000FF"/>
                      <w:kern w:val="2"/>
                      <w:sz w:val="21"/>
                      <w:szCs w:val="21"/>
                      <w:lang w:val="en-US" w:eastAsia="zh-CN" w:bidi="ar-SA"/>
                    </w:rPr>
                  </w:pPr>
                  <w:r>
                    <w:rPr>
                      <w:rFonts w:hint="default" w:ascii="Times New Roman" w:hAnsi="Times New Roman" w:eastAsia="宋体" w:cs="Times New Roman"/>
                      <w:color w:val="0000FF"/>
                      <w:szCs w:val="21"/>
                    </w:rPr>
                    <w:t>783万m²</w:t>
                  </w:r>
                </w:p>
              </w:tc>
              <w:tc>
                <w:tcPr>
                  <w:tcW w:w="524" w:type="pct"/>
                  <w:shd w:val="clear" w:color="auto" w:fill="auto"/>
                  <w:vAlign w:val="center"/>
                </w:tcPr>
                <w:p w14:paraId="283B1D37">
                  <w:pPr>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color w:val="0000FF"/>
                      <w:kern w:val="2"/>
                      <w:sz w:val="21"/>
                      <w:szCs w:val="21"/>
                      <w:lang w:val="en-US" w:eastAsia="zh-CN" w:bidi="ar-SA"/>
                    </w:rPr>
                  </w:pPr>
                  <w:r>
                    <w:rPr>
                      <w:rFonts w:hint="default" w:ascii="Times New Roman" w:hAnsi="Times New Roman" w:eastAsia="宋体" w:cs="Times New Roman"/>
                      <w:color w:val="0000FF"/>
                      <w:szCs w:val="21"/>
                    </w:rPr>
                    <w:t>783万m²</w:t>
                  </w:r>
                </w:p>
              </w:tc>
              <w:tc>
                <w:tcPr>
                  <w:tcW w:w="571" w:type="pct"/>
                  <w:shd w:val="clear" w:color="auto" w:fill="auto"/>
                  <w:vAlign w:val="center"/>
                </w:tcPr>
                <w:p w14:paraId="44018DA1">
                  <w:pPr>
                    <w:keepNext w:val="0"/>
                    <w:keepLines w:val="0"/>
                    <w:suppressLineNumbers w:val="0"/>
                    <w:spacing w:before="0" w:beforeAutospacing="0" w:after="0" w:afterAutospacing="0" w:line="240" w:lineRule="auto"/>
                    <w:ind w:left="0" w:right="0"/>
                    <w:jc w:val="center"/>
                    <w:rPr>
                      <w:rFonts w:hint="default" w:ascii="Times New Roman" w:hAnsi="Times New Roman" w:eastAsia="宋体" w:cs="Times New Roman"/>
                      <w:b w:val="0"/>
                      <w:bCs w:val="0"/>
                      <w:color w:val="0000FF"/>
                      <w:kern w:val="2"/>
                      <w:sz w:val="21"/>
                      <w:szCs w:val="21"/>
                      <w:highlight w:val="none"/>
                      <w:lang w:val="en-US" w:eastAsia="zh-CN" w:bidi="ar-SA"/>
                    </w:rPr>
                  </w:pPr>
                  <w:r>
                    <w:rPr>
                      <w:rFonts w:hint="default" w:ascii="Times New Roman" w:hAnsi="Times New Roman" w:eastAsia="宋体" w:cs="Times New Roman"/>
                      <w:b w:val="0"/>
                      <w:bCs w:val="0"/>
                      <w:color w:val="0000FF"/>
                      <w:sz w:val="21"/>
                      <w:szCs w:val="21"/>
                      <w:highlight w:val="none"/>
                      <w:lang w:val="en-US" w:eastAsia="zh-CN"/>
                    </w:rPr>
                    <w:t>-217万m²</w:t>
                  </w:r>
                </w:p>
              </w:tc>
              <w:tc>
                <w:tcPr>
                  <w:tcW w:w="466" w:type="pct"/>
                  <w:vAlign w:val="center"/>
                </w:tcPr>
                <w:p w14:paraId="7369D744">
                  <w:pPr>
                    <w:keepNext w:val="0"/>
                    <w:keepLines w:val="0"/>
                    <w:suppressLineNumbers w:val="0"/>
                    <w:spacing w:before="0" w:beforeAutospacing="0" w:after="0" w:afterAutospacing="0" w:line="240" w:lineRule="auto"/>
                    <w:ind w:left="0" w:right="0"/>
                    <w:jc w:val="center"/>
                    <w:rPr>
                      <w:rFonts w:hint="default" w:ascii="Times New Roman" w:hAnsi="Times New Roman" w:eastAsia="宋体" w:cs="Times New Roman"/>
                      <w:b w:val="0"/>
                      <w:bCs w:val="0"/>
                      <w:color w:val="0000FF"/>
                      <w:sz w:val="21"/>
                      <w:szCs w:val="21"/>
                      <w:highlight w:val="none"/>
                      <w:lang w:val="en-US" w:eastAsia="zh-CN"/>
                    </w:rPr>
                  </w:pPr>
                  <w:r>
                    <w:rPr>
                      <w:rFonts w:hint="default" w:ascii="Times New Roman" w:hAnsi="Times New Roman" w:eastAsia="宋体" w:cs="Times New Roman"/>
                      <w:b w:val="0"/>
                      <w:bCs w:val="0"/>
                      <w:color w:val="0000FF"/>
                      <w:sz w:val="21"/>
                      <w:szCs w:val="21"/>
                      <w:highlight w:val="none"/>
                      <w:lang w:val="en-US" w:eastAsia="zh-CN"/>
                    </w:rPr>
                    <w:t>131万m²</w:t>
                  </w:r>
                </w:p>
              </w:tc>
              <w:tc>
                <w:tcPr>
                  <w:tcW w:w="240" w:type="pct"/>
                  <w:vAlign w:val="center"/>
                </w:tcPr>
                <w:p w14:paraId="3809EE52">
                  <w:pPr>
                    <w:keepNext w:val="0"/>
                    <w:keepLines w:val="0"/>
                    <w:suppressLineNumbers w:val="0"/>
                    <w:spacing w:before="0" w:beforeAutospacing="0" w:after="0" w:afterAutospacing="0"/>
                    <w:ind w:left="0" w:leftChars="0" w:right="0" w:rightChars="0"/>
                    <w:jc w:val="center"/>
                    <w:rPr>
                      <w:rFonts w:hint="eastAsia" w:ascii="Times New Roman" w:hAnsi="Times New Roman" w:eastAsia="宋体" w:cs="Times New Roman"/>
                      <w:b/>
                      <w:bCs/>
                      <w:color w:val="auto"/>
                      <w:kern w:val="0"/>
                      <w:szCs w:val="21"/>
                      <w:lang w:val="en-US" w:eastAsia="zh-CN" w:bidi="ar"/>
                    </w:rPr>
                  </w:pPr>
                  <w:r>
                    <w:rPr>
                      <w:rFonts w:hint="eastAsia" w:ascii="Times New Roman" w:hAnsi="Times New Roman" w:eastAsia="宋体" w:cs="Times New Roman"/>
                      <w:color w:val="auto"/>
                      <w:szCs w:val="21"/>
                      <w:lang w:val="en-US" w:eastAsia="zh-CN"/>
                    </w:rPr>
                    <w:t>/</w:t>
                  </w:r>
                </w:p>
              </w:tc>
            </w:tr>
            <w:tr w14:paraId="1F457F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272" w:type="pct"/>
                  <w:shd w:val="clear" w:color="auto" w:fill="auto"/>
                  <w:vAlign w:val="center"/>
                </w:tcPr>
                <w:p w14:paraId="6FEB0C04">
                  <w:pPr>
                    <w:keepNext w:val="0"/>
                    <w:keepLines w:val="0"/>
                    <w:suppressLineNumbers w:val="0"/>
                    <w:spacing w:before="0" w:beforeAutospacing="0" w:after="0" w:afterAutospacing="0" w:line="240" w:lineRule="auto"/>
                    <w:ind w:left="0" w:right="0"/>
                    <w:jc w:val="center"/>
                    <w:rPr>
                      <w:rFonts w:hint="default" w:ascii="Times New Roman" w:hAnsi="Times New Roman" w:eastAsia="宋体" w:cs="Times New Roman"/>
                      <w:b w:val="0"/>
                      <w:bCs w:val="0"/>
                      <w:color w:val="auto"/>
                      <w:kern w:val="2"/>
                      <w:sz w:val="21"/>
                      <w:szCs w:val="21"/>
                      <w:highlight w:val="none"/>
                      <w:lang w:val="en-US" w:eastAsia="zh-CN" w:bidi="ar-SA"/>
                    </w:rPr>
                  </w:pPr>
                  <w:r>
                    <w:rPr>
                      <w:rFonts w:hint="default" w:ascii="Times New Roman" w:hAnsi="Times New Roman" w:eastAsia="宋体" w:cs="Times New Roman"/>
                      <w:b w:val="0"/>
                      <w:bCs w:val="0"/>
                      <w:color w:val="auto"/>
                      <w:sz w:val="21"/>
                      <w:szCs w:val="21"/>
                      <w:highlight w:val="none"/>
                      <w:lang w:val="en-US" w:eastAsia="zh-CN"/>
                    </w:rPr>
                    <w:t>11</w:t>
                  </w:r>
                </w:p>
              </w:tc>
              <w:tc>
                <w:tcPr>
                  <w:tcW w:w="370" w:type="pct"/>
                  <w:vMerge w:val="continue"/>
                  <w:vAlign w:val="center"/>
                </w:tcPr>
                <w:p w14:paraId="37CB91EC">
                  <w:pPr>
                    <w:keepNext w:val="0"/>
                    <w:keepLines w:val="0"/>
                    <w:widowControl/>
                    <w:suppressLineNumbers w:val="0"/>
                    <w:spacing w:before="0" w:beforeAutospacing="0" w:after="0" w:afterAutospacing="0"/>
                    <w:ind w:left="0" w:right="0"/>
                    <w:jc w:val="center"/>
                    <w:rPr>
                      <w:rFonts w:hint="eastAsia" w:ascii="Times New Roman" w:hAnsi="Times New Roman" w:eastAsia="宋体" w:cs="Times New Roman"/>
                      <w:b/>
                      <w:bCs/>
                      <w:color w:val="auto"/>
                      <w:kern w:val="0"/>
                      <w:szCs w:val="21"/>
                      <w:lang w:bidi="ar"/>
                    </w:rPr>
                  </w:pPr>
                </w:p>
              </w:tc>
              <w:tc>
                <w:tcPr>
                  <w:tcW w:w="810" w:type="pct"/>
                  <w:gridSpan w:val="2"/>
                  <w:shd w:val="clear" w:color="auto" w:fill="auto"/>
                  <w:vAlign w:val="center"/>
                </w:tcPr>
                <w:p w14:paraId="086EF0D0">
                  <w:pPr>
                    <w:keepNext w:val="0"/>
                    <w:keepLines w:val="0"/>
                    <w:suppressLineNumbers w:val="0"/>
                    <w:spacing w:before="0" w:beforeAutospacing="0" w:after="0" w:afterAutospacing="0"/>
                    <w:ind w:left="0" w:leftChars="0" w:right="0" w:rightChars="0"/>
                    <w:jc w:val="center"/>
                    <w:rPr>
                      <w:rFonts w:hint="eastAsia" w:ascii="Times New Roman" w:hAnsi="Times New Roman" w:eastAsia="宋体" w:cs="Times New Roman"/>
                      <w:color w:val="auto"/>
                      <w:kern w:val="2"/>
                      <w:sz w:val="21"/>
                      <w:szCs w:val="21"/>
                      <w:lang w:val="en-US" w:eastAsia="zh-CN" w:bidi="ar-SA"/>
                    </w:rPr>
                  </w:pPr>
                  <w:r>
                    <w:rPr>
                      <w:rFonts w:hint="default" w:ascii="Times New Roman" w:hAnsi="Times New Roman" w:eastAsia="宋体" w:cs="Times New Roman"/>
                      <w:color w:val="auto"/>
                      <w:szCs w:val="21"/>
                    </w:rPr>
                    <w:t>玻纤布</w:t>
                  </w:r>
                </w:p>
              </w:tc>
              <w:tc>
                <w:tcPr>
                  <w:tcW w:w="645" w:type="pct"/>
                  <w:shd w:val="clear" w:color="auto" w:fill="auto"/>
                  <w:vAlign w:val="center"/>
                </w:tcPr>
                <w:p w14:paraId="7CE151BC">
                  <w:pPr>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color w:val="auto"/>
                      <w:kern w:val="2"/>
                      <w:sz w:val="21"/>
                      <w:szCs w:val="21"/>
                      <w:lang w:val="en-US" w:eastAsia="zh-CN" w:bidi="ar-SA"/>
                    </w:rPr>
                  </w:pPr>
                  <w:r>
                    <w:rPr>
                      <w:rFonts w:hint="default" w:ascii="Times New Roman" w:hAnsi="Times New Roman" w:eastAsia="宋体" w:cs="Times New Roman"/>
                      <w:color w:val="auto"/>
                      <w:szCs w:val="21"/>
                    </w:rPr>
                    <w:t>卷材</w:t>
                  </w:r>
                </w:p>
              </w:tc>
              <w:tc>
                <w:tcPr>
                  <w:tcW w:w="581" w:type="pct"/>
                  <w:shd w:val="clear" w:color="auto" w:fill="auto"/>
                  <w:vAlign w:val="center"/>
                </w:tcPr>
                <w:p w14:paraId="78891F30">
                  <w:pPr>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color w:val="0000FF"/>
                      <w:kern w:val="2"/>
                      <w:sz w:val="21"/>
                      <w:szCs w:val="21"/>
                      <w:lang w:val="en-US" w:eastAsia="zh-CN" w:bidi="ar-SA"/>
                    </w:rPr>
                  </w:pPr>
                  <w:r>
                    <w:rPr>
                      <w:rFonts w:hint="default" w:ascii="Times New Roman" w:hAnsi="Times New Roman" w:eastAsia="宋体" w:cs="Times New Roman"/>
                      <w:color w:val="0000FF"/>
                      <w:szCs w:val="21"/>
                    </w:rPr>
                    <w:t>170万m²</w:t>
                  </w:r>
                </w:p>
              </w:tc>
              <w:tc>
                <w:tcPr>
                  <w:tcW w:w="516" w:type="pct"/>
                  <w:shd w:val="clear" w:color="auto" w:fill="auto"/>
                  <w:vAlign w:val="center"/>
                </w:tcPr>
                <w:p w14:paraId="2917E37D">
                  <w:pPr>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color w:val="0000FF"/>
                      <w:kern w:val="2"/>
                      <w:sz w:val="21"/>
                      <w:szCs w:val="21"/>
                      <w:lang w:val="en-US" w:eastAsia="zh-CN" w:bidi="ar-SA"/>
                    </w:rPr>
                  </w:pPr>
                  <w:r>
                    <w:rPr>
                      <w:rFonts w:hint="default" w:ascii="Times New Roman" w:hAnsi="Times New Roman" w:eastAsia="宋体" w:cs="Times New Roman"/>
                      <w:color w:val="0000FF"/>
                      <w:szCs w:val="21"/>
                    </w:rPr>
                    <w:t>133万m²</w:t>
                  </w:r>
                </w:p>
              </w:tc>
              <w:tc>
                <w:tcPr>
                  <w:tcW w:w="524" w:type="pct"/>
                  <w:shd w:val="clear" w:color="auto" w:fill="auto"/>
                  <w:vAlign w:val="center"/>
                </w:tcPr>
                <w:p w14:paraId="6C01458C">
                  <w:pPr>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color w:val="0000FF"/>
                      <w:kern w:val="2"/>
                      <w:sz w:val="21"/>
                      <w:szCs w:val="21"/>
                      <w:lang w:val="en-US" w:eastAsia="zh-CN" w:bidi="ar-SA"/>
                    </w:rPr>
                  </w:pPr>
                  <w:r>
                    <w:rPr>
                      <w:rFonts w:hint="default" w:ascii="Times New Roman" w:hAnsi="Times New Roman" w:eastAsia="宋体" w:cs="Times New Roman"/>
                      <w:color w:val="0000FF"/>
                      <w:szCs w:val="21"/>
                    </w:rPr>
                    <w:t>133万m²</w:t>
                  </w:r>
                </w:p>
              </w:tc>
              <w:tc>
                <w:tcPr>
                  <w:tcW w:w="571" w:type="pct"/>
                  <w:shd w:val="clear" w:color="auto" w:fill="auto"/>
                  <w:vAlign w:val="center"/>
                </w:tcPr>
                <w:p w14:paraId="6D4CF2B9">
                  <w:pPr>
                    <w:keepNext w:val="0"/>
                    <w:keepLines w:val="0"/>
                    <w:suppressLineNumbers w:val="0"/>
                    <w:spacing w:before="0" w:beforeAutospacing="0" w:after="0" w:afterAutospacing="0" w:line="240" w:lineRule="auto"/>
                    <w:ind w:left="0" w:right="0"/>
                    <w:jc w:val="center"/>
                    <w:rPr>
                      <w:rFonts w:hint="default" w:ascii="Times New Roman" w:hAnsi="Times New Roman" w:eastAsia="宋体" w:cs="Times New Roman"/>
                      <w:b w:val="0"/>
                      <w:bCs w:val="0"/>
                      <w:color w:val="0000FF"/>
                      <w:kern w:val="2"/>
                      <w:sz w:val="21"/>
                      <w:szCs w:val="21"/>
                      <w:highlight w:val="none"/>
                      <w:lang w:val="en-US" w:eastAsia="zh-CN" w:bidi="ar-SA"/>
                    </w:rPr>
                  </w:pPr>
                  <w:r>
                    <w:rPr>
                      <w:rFonts w:hint="default" w:ascii="Times New Roman" w:hAnsi="Times New Roman" w:eastAsia="宋体" w:cs="Times New Roman"/>
                      <w:b w:val="0"/>
                      <w:bCs w:val="0"/>
                      <w:color w:val="0000FF"/>
                      <w:sz w:val="21"/>
                      <w:szCs w:val="21"/>
                      <w:highlight w:val="none"/>
                      <w:lang w:val="en-US" w:eastAsia="zh-CN"/>
                    </w:rPr>
                    <w:t>-37万m²</w:t>
                  </w:r>
                </w:p>
              </w:tc>
              <w:tc>
                <w:tcPr>
                  <w:tcW w:w="466" w:type="pct"/>
                  <w:vAlign w:val="center"/>
                </w:tcPr>
                <w:p w14:paraId="001E8657">
                  <w:pPr>
                    <w:keepNext w:val="0"/>
                    <w:keepLines w:val="0"/>
                    <w:suppressLineNumbers w:val="0"/>
                    <w:spacing w:before="0" w:beforeAutospacing="0" w:after="0" w:afterAutospacing="0" w:line="240" w:lineRule="auto"/>
                    <w:ind w:left="0" w:right="0"/>
                    <w:jc w:val="center"/>
                    <w:rPr>
                      <w:rFonts w:hint="default" w:ascii="Times New Roman" w:hAnsi="Times New Roman" w:eastAsia="宋体" w:cs="Times New Roman"/>
                      <w:b w:val="0"/>
                      <w:bCs w:val="0"/>
                      <w:color w:val="0000FF"/>
                      <w:sz w:val="21"/>
                      <w:szCs w:val="21"/>
                      <w:highlight w:val="none"/>
                      <w:lang w:val="en-US" w:eastAsia="zh-CN"/>
                    </w:rPr>
                  </w:pPr>
                  <w:r>
                    <w:rPr>
                      <w:rFonts w:hint="default" w:ascii="Times New Roman" w:hAnsi="Times New Roman" w:eastAsia="宋体" w:cs="Times New Roman"/>
                      <w:b w:val="0"/>
                      <w:bCs w:val="0"/>
                      <w:color w:val="0000FF"/>
                      <w:sz w:val="21"/>
                      <w:szCs w:val="21"/>
                      <w:highlight w:val="none"/>
                      <w:lang w:val="en-US" w:eastAsia="zh-CN"/>
                    </w:rPr>
                    <w:t>22万m²</w:t>
                  </w:r>
                </w:p>
              </w:tc>
              <w:tc>
                <w:tcPr>
                  <w:tcW w:w="240" w:type="pct"/>
                  <w:vAlign w:val="center"/>
                </w:tcPr>
                <w:p w14:paraId="673A837A">
                  <w:pPr>
                    <w:keepNext w:val="0"/>
                    <w:keepLines w:val="0"/>
                    <w:suppressLineNumbers w:val="0"/>
                    <w:spacing w:before="0" w:beforeAutospacing="0" w:after="0" w:afterAutospacing="0"/>
                    <w:ind w:left="0" w:leftChars="0" w:right="0" w:rightChars="0"/>
                    <w:jc w:val="center"/>
                    <w:rPr>
                      <w:rFonts w:hint="eastAsia" w:ascii="Times New Roman" w:hAnsi="Times New Roman" w:eastAsia="宋体" w:cs="Times New Roman"/>
                      <w:b/>
                      <w:bCs/>
                      <w:color w:val="auto"/>
                      <w:kern w:val="0"/>
                      <w:szCs w:val="21"/>
                      <w:lang w:val="en-US" w:eastAsia="zh-CN" w:bidi="ar"/>
                    </w:rPr>
                  </w:pPr>
                  <w:r>
                    <w:rPr>
                      <w:rFonts w:hint="eastAsia" w:ascii="Times New Roman" w:hAnsi="Times New Roman" w:eastAsia="宋体" w:cs="Times New Roman"/>
                      <w:color w:val="auto"/>
                      <w:szCs w:val="21"/>
                      <w:lang w:val="en-US" w:eastAsia="zh-CN"/>
                    </w:rPr>
                    <w:t>/</w:t>
                  </w:r>
                </w:p>
              </w:tc>
            </w:tr>
            <w:tr w14:paraId="3B8D47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272" w:type="pct"/>
                  <w:shd w:val="clear" w:color="auto" w:fill="auto"/>
                  <w:vAlign w:val="center"/>
                </w:tcPr>
                <w:p w14:paraId="7BBD3DAB">
                  <w:pPr>
                    <w:keepNext w:val="0"/>
                    <w:keepLines w:val="0"/>
                    <w:suppressLineNumbers w:val="0"/>
                    <w:spacing w:before="0" w:beforeAutospacing="0" w:after="0" w:afterAutospacing="0" w:line="240" w:lineRule="auto"/>
                    <w:ind w:left="0" w:right="0"/>
                    <w:jc w:val="center"/>
                    <w:rPr>
                      <w:rFonts w:hint="default" w:ascii="Times New Roman" w:hAnsi="Times New Roman" w:eastAsia="宋体" w:cs="Times New Roman"/>
                      <w:b w:val="0"/>
                      <w:bCs w:val="0"/>
                      <w:color w:val="auto"/>
                      <w:kern w:val="2"/>
                      <w:sz w:val="21"/>
                      <w:szCs w:val="21"/>
                      <w:highlight w:val="none"/>
                      <w:lang w:val="en-US" w:eastAsia="zh-CN" w:bidi="ar-SA"/>
                    </w:rPr>
                  </w:pPr>
                  <w:r>
                    <w:rPr>
                      <w:rFonts w:hint="default" w:ascii="Times New Roman" w:hAnsi="Times New Roman" w:eastAsia="宋体" w:cs="Times New Roman"/>
                      <w:b w:val="0"/>
                      <w:bCs w:val="0"/>
                      <w:color w:val="auto"/>
                      <w:sz w:val="21"/>
                      <w:szCs w:val="21"/>
                      <w:highlight w:val="none"/>
                      <w:lang w:val="en-US" w:eastAsia="zh-CN"/>
                    </w:rPr>
                    <w:t>12</w:t>
                  </w:r>
                </w:p>
              </w:tc>
              <w:tc>
                <w:tcPr>
                  <w:tcW w:w="370" w:type="pct"/>
                  <w:vMerge w:val="continue"/>
                  <w:vAlign w:val="center"/>
                </w:tcPr>
                <w:p w14:paraId="6376331B">
                  <w:pPr>
                    <w:keepNext w:val="0"/>
                    <w:keepLines w:val="0"/>
                    <w:widowControl/>
                    <w:suppressLineNumbers w:val="0"/>
                    <w:spacing w:before="0" w:beforeAutospacing="0" w:after="0" w:afterAutospacing="0"/>
                    <w:ind w:left="0" w:right="0"/>
                    <w:jc w:val="center"/>
                    <w:rPr>
                      <w:rFonts w:hint="eastAsia" w:ascii="Times New Roman" w:hAnsi="Times New Roman" w:eastAsia="宋体" w:cs="Times New Roman"/>
                      <w:b/>
                      <w:bCs/>
                      <w:color w:val="auto"/>
                      <w:kern w:val="0"/>
                      <w:szCs w:val="21"/>
                      <w:lang w:bidi="ar"/>
                    </w:rPr>
                  </w:pPr>
                </w:p>
              </w:tc>
              <w:tc>
                <w:tcPr>
                  <w:tcW w:w="810" w:type="pct"/>
                  <w:gridSpan w:val="2"/>
                  <w:shd w:val="clear" w:color="auto" w:fill="auto"/>
                  <w:vAlign w:val="center"/>
                </w:tcPr>
                <w:p w14:paraId="1DAEE3FE">
                  <w:pPr>
                    <w:keepNext w:val="0"/>
                    <w:keepLines w:val="0"/>
                    <w:suppressLineNumbers w:val="0"/>
                    <w:spacing w:before="0" w:beforeAutospacing="0" w:after="0" w:afterAutospacing="0"/>
                    <w:ind w:left="0" w:leftChars="0" w:right="0" w:rightChars="0"/>
                    <w:jc w:val="center"/>
                    <w:rPr>
                      <w:rFonts w:hint="eastAsia" w:ascii="Times New Roman" w:hAnsi="Times New Roman" w:eastAsia="宋体" w:cs="Times New Roman"/>
                      <w:color w:val="auto"/>
                      <w:kern w:val="2"/>
                      <w:sz w:val="21"/>
                      <w:szCs w:val="21"/>
                      <w:lang w:val="en-US" w:eastAsia="zh-CN" w:bidi="ar-SA"/>
                    </w:rPr>
                  </w:pPr>
                  <w:r>
                    <w:rPr>
                      <w:rFonts w:hint="default" w:ascii="Times New Roman" w:hAnsi="Times New Roman" w:eastAsia="宋体" w:cs="Times New Roman"/>
                      <w:color w:val="auto"/>
                      <w:szCs w:val="21"/>
                    </w:rPr>
                    <w:t>背胶处理剂</w:t>
                  </w:r>
                </w:p>
              </w:tc>
              <w:tc>
                <w:tcPr>
                  <w:tcW w:w="645" w:type="pct"/>
                  <w:shd w:val="clear" w:color="auto" w:fill="auto"/>
                  <w:vAlign w:val="center"/>
                </w:tcPr>
                <w:p w14:paraId="3A5C9704">
                  <w:pPr>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color w:val="auto"/>
                      <w:kern w:val="2"/>
                      <w:sz w:val="21"/>
                      <w:szCs w:val="21"/>
                      <w:lang w:val="en-US" w:eastAsia="zh-CN" w:bidi="ar-SA"/>
                    </w:rPr>
                  </w:pPr>
                  <w:r>
                    <w:rPr>
                      <w:rFonts w:hint="default" w:ascii="Times New Roman" w:hAnsi="Times New Roman" w:eastAsia="宋体" w:cs="Times New Roman"/>
                      <w:color w:val="auto"/>
                      <w:szCs w:val="21"/>
                    </w:rPr>
                    <w:t>5kg/铁桶</w:t>
                  </w:r>
                </w:p>
              </w:tc>
              <w:tc>
                <w:tcPr>
                  <w:tcW w:w="581" w:type="pct"/>
                  <w:shd w:val="clear" w:color="auto" w:fill="auto"/>
                  <w:vAlign w:val="center"/>
                </w:tcPr>
                <w:p w14:paraId="278733C1">
                  <w:pPr>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color w:val="0000FF"/>
                      <w:kern w:val="2"/>
                      <w:sz w:val="21"/>
                      <w:szCs w:val="21"/>
                      <w:lang w:val="en-US" w:eastAsia="zh-CN" w:bidi="ar-SA"/>
                    </w:rPr>
                  </w:pPr>
                  <w:r>
                    <w:rPr>
                      <w:rFonts w:hint="default" w:ascii="Times New Roman" w:hAnsi="Times New Roman" w:eastAsia="宋体" w:cs="Times New Roman"/>
                      <w:color w:val="0000FF"/>
                      <w:szCs w:val="21"/>
                    </w:rPr>
                    <w:t>9.8t</w:t>
                  </w:r>
                </w:p>
              </w:tc>
              <w:tc>
                <w:tcPr>
                  <w:tcW w:w="516" w:type="pct"/>
                  <w:shd w:val="clear" w:color="auto" w:fill="auto"/>
                  <w:vAlign w:val="center"/>
                </w:tcPr>
                <w:p w14:paraId="5F6CDD92">
                  <w:pPr>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color w:val="0000FF"/>
                      <w:kern w:val="2"/>
                      <w:sz w:val="21"/>
                      <w:szCs w:val="21"/>
                      <w:lang w:val="en-US" w:eastAsia="zh-CN" w:bidi="ar-SA"/>
                    </w:rPr>
                  </w:pPr>
                  <w:r>
                    <w:rPr>
                      <w:rFonts w:hint="default" w:ascii="Times New Roman" w:hAnsi="Times New Roman" w:eastAsia="宋体" w:cs="Times New Roman"/>
                      <w:color w:val="0000FF"/>
                      <w:szCs w:val="21"/>
                    </w:rPr>
                    <w:t>8t</w:t>
                  </w:r>
                </w:p>
              </w:tc>
              <w:tc>
                <w:tcPr>
                  <w:tcW w:w="524" w:type="pct"/>
                  <w:shd w:val="clear" w:color="auto" w:fill="auto"/>
                  <w:vAlign w:val="center"/>
                </w:tcPr>
                <w:p w14:paraId="4D9010FE">
                  <w:pPr>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color w:val="0000FF"/>
                      <w:kern w:val="2"/>
                      <w:sz w:val="21"/>
                      <w:szCs w:val="21"/>
                      <w:lang w:val="en-US" w:eastAsia="zh-CN" w:bidi="ar-SA"/>
                    </w:rPr>
                  </w:pPr>
                  <w:r>
                    <w:rPr>
                      <w:rFonts w:hint="default" w:ascii="Times New Roman" w:hAnsi="Times New Roman" w:eastAsia="宋体" w:cs="Times New Roman"/>
                      <w:color w:val="0000FF"/>
                      <w:szCs w:val="21"/>
                    </w:rPr>
                    <w:t>8t</w:t>
                  </w:r>
                </w:p>
              </w:tc>
              <w:tc>
                <w:tcPr>
                  <w:tcW w:w="571" w:type="pct"/>
                  <w:shd w:val="clear" w:color="auto" w:fill="auto"/>
                  <w:vAlign w:val="center"/>
                </w:tcPr>
                <w:p w14:paraId="23650241">
                  <w:pPr>
                    <w:keepNext w:val="0"/>
                    <w:keepLines w:val="0"/>
                    <w:suppressLineNumbers w:val="0"/>
                    <w:spacing w:before="0" w:beforeAutospacing="0" w:after="0" w:afterAutospacing="0" w:line="240" w:lineRule="auto"/>
                    <w:ind w:left="0" w:right="0"/>
                    <w:jc w:val="center"/>
                    <w:rPr>
                      <w:rFonts w:hint="default" w:ascii="Times New Roman" w:hAnsi="Times New Roman" w:eastAsia="宋体" w:cs="Times New Roman"/>
                      <w:b w:val="0"/>
                      <w:bCs w:val="0"/>
                      <w:color w:val="0000FF"/>
                      <w:kern w:val="2"/>
                      <w:sz w:val="21"/>
                      <w:szCs w:val="21"/>
                      <w:highlight w:val="none"/>
                      <w:lang w:val="en-US" w:eastAsia="zh-CN" w:bidi="ar-SA"/>
                    </w:rPr>
                  </w:pPr>
                  <w:r>
                    <w:rPr>
                      <w:rFonts w:hint="default" w:ascii="Times New Roman" w:hAnsi="Times New Roman" w:eastAsia="宋体" w:cs="Times New Roman"/>
                      <w:b w:val="0"/>
                      <w:bCs w:val="0"/>
                      <w:color w:val="0000FF"/>
                      <w:sz w:val="21"/>
                      <w:szCs w:val="21"/>
                      <w:highlight w:val="none"/>
                      <w:lang w:val="en-US" w:eastAsia="zh-CN"/>
                    </w:rPr>
                    <w:t>-1.8t</w:t>
                  </w:r>
                </w:p>
              </w:tc>
              <w:tc>
                <w:tcPr>
                  <w:tcW w:w="466" w:type="pct"/>
                  <w:vAlign w:val="center"/>
                </w:tcPr>
                <w:p w14:paraId="04A4812F">
                  <w:pPr>
                    <w:keepNext w:val="0"/>
                    <w:keepLines w:val="0"/>
                    <w:suppressLineNumbers w:val="0"/>
                    <w:spacing w:before="0" w:beforeAutospacing="0" w:after="0" w:afterAutospacing="0" w:line="240" w:lineRule="auto"/>
                    <w:ind w:left="0" w:right="0"/>
                    <w:jc w:val="center"/>
                    <w:rPr>
                      <w:rFonts w:hint="default" w:ascii="Times New Roman" w:hAnsi="Times New Roman" w:eastAsia="宋体" w:cs="Times New Roman"/>
                      <w:b w:val="0"/>
                      <w:bCs w:val="0"/>
                      <w:color w:val="0000FF"/>
                      <w:sz w:val="21"/>
                      <w:szCs w:val="21"/>
                      <w:highlight w:val="none"/>
                      <w:lang w:val="en-US" w:eastAsia="zh-CN"/>
                    </w:rPr>
                  </w:pPr>
                  <w:r>
                    <w:rPr>
                      <w:rFonts w:hint="default" w:ascii="Times New Roman" w:hAnsi="Times New Roman" w:eastAsia="宋体" w:cs="Times New Roman"/>
                      <w:b w:val="0"/>
                      <w:bCs w:val="0"/>
                      <w:color w:val="0000FF"/>
                      <w:sz w:val="21"/>
                      <w:szCs w:val="21"/>
                      <w:highlight w:val="none"/>
                      <w:lang w:val="en-US" w:eastAsia="zh-CN"/>
                    </w:rPr>
                    <w:t>1.5t</w:t>
                  </w:r>
                </w:p>
              </w:tc>
              <w:tc>
                <w:tcPr>
                  <w:tcW w:w="240" w:type="pct"/>
                  <w:vAlign w:val="center"/>
                </w:tcPr>
                <w:p w14:paraId="1D6DBA93">
                  <w:pPr>
                    <w:keepNext w:val="0"/>
                    <w:keepLines w:val="0"/>
                    <w:suppressLineNumbers w:val="0"/>
                    <w:spacing w:before="0" w:beforeAutospacing="0" w:after="0" w:afterAutospacing="0"/>
                    <w:ind w:left="0" w:leftChars="0" w:right="0" w:rightChars="0"/>
                    <w:jc w:val="center"/>
                    <w:rPr>
                      <w:rFonts w:hint="eastAsia" w:ascii="Times New Roman" w:hAnsi="Times New Roman" w:eastAsia="宋体" w:cs="Times New Roman"/>
                      <w:b/>
                      <w:bCs/>
                      <w:color w:val="auto"/>
                      <w:kern w:val="0"/>
                      <w:szCs w:val="21"/>
                      <w:lang w:val="en-US" w:eastAsia="zh-CN" w:bidi="ar"/>
                    </w:rPr>
                  </w:pPr>
                  <w:r>
                    <w:rPr>
                      <w:rFonts w:hint="eastAsia" w:ascii="Times New Roman" w:hAnsi="Times New Roman" w:eastAsia="宋体" w:cs="Times New Roman"/>
                      <w:color w:val="auto"/>
                      <w:szCs w:val="21"/>
                      <w:lang w:val="en-US" w:eastAsia="zh-CN"/>
                    </w:rPr>
                    <w:t>/</w:t>
                  </w:r>
                </w:p>
              </w:tc>
            </w:tr>
            <w:tr w14:paraId="5CE371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272" w:type="pct"/>
                  <w:shd w:val="clear" w:color="auto" w:fill="auto"/>
                  <w:vAlign w:val="center"/>
                </w:tcPr>
                <w:p w14:paraId="24065D39">
                  <w:pPr>
                    <w:keepNext w:val="0"/>
                    <w:keepLines w:val="0"/>
                    <w:suppressLineNumbers w:val="0"/>
                    <w:spacing w:before="0" w:beforeAutospacing="0" w:after="0" w:afterAutospacing="0" w:line="240" w:lineRule="auto"/>
                    <w:ind w:left="0" w:right="0"/>
                    <w:jc w:val="center"/>
                    <w:rPr>
                      <w:rFonts w:hint="default" w:ascii="Times New Roman" w:hAnsi="Times New Roman" w:eastAsia="宋体" w:cs="Times New Roman"/>
                      <w:b w:val="0"/>
                      <w:bCs w:val="0"/>
                      <w:color w:val="auto"/>
                      <w:kern w:val="2"/>
                      <w:sz w:val="21"/>
                      <w:szCs w:val="21"/>
                      <w:highlight w:val="none"/>
                      <w:lang w:val="en-US" w:eastAsia="zh-CN" w:bidi="ar-SA"/>
                    </w:rPr>
                  </w:pPr>
                  <w:r>
                    <w:rPr>
                      <w:rFonts w:hint="default" w:ascii="Times New Roman" w:hAnsi="Times New Roman" w:eastAsia="宋体" w:cs="Times New Roman"/>
                      <w:b w:val="0"/>
                      <w:bCs w:val="0"/>
                      <w:color w:val="auto"/>
                      <w:sz w:val="21"/>
                      <w:szCs w:val="21"/>
                      <w:highlight w:val="none"/>
                      <w:lang w:val="en-US" w:eastAsia="zh-CN"/>
                    </w:rPr>
                    <w:t>13</w:t>
                  </w:r>
                </w:p>
              </w:tc>
              <w:tc>
                <w:tcPr>
                  <w:tcW w:w="370" w:type="pct"/>
                  <w:vMerge w:val="continue"/>
                  <w:vAlign w:val="center"/>
                </w:tcPr>
                <w:p w14:paraId="4242D8C0">
                  <w:pPr>
                    <w:keepNext w:val="0"/>
                    <w:keepLines w:val="0"/>
                    <w:widowControl/>
                    <w:suppressLineNumbers w:val="0"/>
                    <w:spacing w:before="0" w:beforeAutospacing="0" w:after="0" w:afterAutospacing="0"/>
                    <w:ind w:left="0" w:right="0"/>
                    <w:jc w:val="center"/>
                    <w:rPr>
                      <w:rFonts w:hint="eastAsia" w:ascii="Times New Roman" w:hAnsi="Times New Roman" w:eastAsia="宋体" w:cs="Times New Roman"/>
                      <w:b/>
                      <w:bCs/>
                      <w:color w:val="auto"/>
                      <w:kern w:val="0"/>
                      <w:szCs w:val="21"/>
                      <w:lang w:bidi="ar"/>
                    </w:rPr>
                  </w:pPr>
                </w:p>
              </w:tc>
              <w:tc>
                <w:tcPr>
                  <w:tcW w:w="810" w:type="pct"/>
                  <w:gridSpan w:val="2"/>
                  <w:shd w:val="clear" w:color="auto" w:fill="auto"/>
                  <w:vAlign w:val="center"/>
                </w:tcPr>
                <w:p w14:paraId="3DA97C82">
                  <w:pPr>
                    <w:keepNext w:val="0"/>
                    <w:keepLines w:val="0"/>
                    <w:suppressLineNumbers w:val="0"/>
                    <w:spacing w:before="0" w:beforeAutospacing="0" w:after="0" w:afterAutospacing="0"/>
                    <w:ind w:left="0" w:leftChars="0" w:right="0" w:rightChars="0"/>
                    <w:jc w:val="center"/>
                    <w:rPr>
                      <w:rFonts w:hint="eastAsia" w:ascii="Times New Roman" w:hAnsi="Times New Roman" w:eastAsia="宋体" w:cs="Times New Roman"/>
                      <w:color w:val="auto"/>
                      <w:kern w:val="2"/>
                      <w:sz w:val="21"/>
                      <w:szCs w:val="21"/>
                      <w:lang w:val="en-US" w:eastAsia="zh-CN" w:bidi="ar-SA"/>
                    </w:rPr>
                  </w:pPr>
                  <w:r>
                    <w:rPr>
                      <w:rFonts w:hint="default" w:ascii="Times New Roman" w:hAnsi="Times New Roman" w:eastAsia="宋体" w:cs="Times New Roman"/>
                      <w:color w:val="auto"/>
                      <w:szCs w:val="21"/>
                    </w:rPr>
                    <w:t>双面胶</w:t>
                  </w:r>
                </w:p>
              </w:tc>
              <w:tc>
                <w:tcPr>
                  <w:tcW w:w="645" w:type="pct"/>
                  <w:shd w:val="clear" w:color="auto" w:fill="auto"/>
                  <w:vAlign w:val="center"/>
                </w:tcPr>
                <w:p w14:paraId="79F26E3F">
                  <w:pPr>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color w:val="auto"/>
                      <w:kern w:val="2"/>
                      <w:sz w:val="21"/>
                      <w:szCs w:val="21"/>
                      <w:lang w:val="en-US" w:eastAsia="zh-CN" w:bidi="ar-SA"/>
                    </w:rPr>
                  </w:pPr>
                  <w:r>
                    <w:rPr>
                      <w:rFonts w:hint="default" w:ascii="Times New Roman" w:hAnsi="Times New Roman" w:eastAsia="宋体" w:cs="Times New Roman"/>
                      <w:color w:val="auto"/>
                      <w:szCs w:val="21"/>
                    </w:rPr>
                    <w:t>支装</w:t>
                  </w:r>
                </w:p>
              </w:tc>
              <w:tc>
                <w:tcPr>
                  <w:tcW w:w="581" w:type="pct"/>
                  <w:shd w:val="clear" w:color="auto" w:fill="auto"/>
                  <w:vAlign w:val="center"/>
                </w:tcPr>
                <w:p w14:paraId="0792EABA">
                  <w:pPr>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color w:val="0000FF"/>
                      <w:kern w:val="2"/>
                      <w:sz w:val="21"/>
                      <w:szCs w:val="21"/>
                      <w:lang w:val="en-US" w:eastAsia="zh-CN" w:bidi="ar-SA"/>
                    </w:rPr>
                  </w:pPr>
                  <w:r>
                    <w:rPr>
                      <w:rFonts w:hint="default" w:ascii="Times New Roman" w:hAnsi="Times New Roman" w:eastAsia="宋体" w:cs="Times New Roman"/>
                      <w:color w:val="0000FF"/>
                      <w:szCs w:val="21"/>
                    </w:rPr>
                    <w:t>136万m²</w:t>
                  </w:r>
                </w:p>
              </w:tc>
              <w:tc>
                <w:tcPr>
                  <w:tcW w:w="516" w:type="pct"/>
                  <w:shd w:val="clear" w:color="auto" w:fill="auto"/>
                  <w:vAlign w:val="center"/>
                </w:tcPr>
                <w:p w14:paraId="0841204E">
                  <w:pPr>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color w:val="0000FF"/>
                      <w:kern w:val="2"/>
                      <w:sz w:val="21"/>
                      <w:szCs w:val="21"/>
                      <w:lang w:val="en-US" w:eastAsia="zh-CN" w:bidi="ar-SA"/>
                    </w:rPr>
                  </w:pPr>
                  <w:r>
                    <w:rPr>
                      <w:rFonts w:hint="default" w:ascii="Times New Roman" w:hAnsi="Times New Roman" w:eastAsia="宋体" w:cs="Times New Roman"/>
                      <w:color w:val="0000FF"/>
                      <w:szCs w:val="21"/>
                    </w:rPr>
                    <w:t>106万m²</w:t>
                  </w:r>
                </w:p>
              </w:tc>
              <w:tc>
                <w:tcPr>
                  <w:tcW w:w="524" w:type="pct"/>
                  <w:shd w:val="clear" w:color="auto" w:fill="auto"/>
                  <w:vAlign w:val="center"/>
                </w:tcPr>
                <w:p w14:paraId="4415F41C">
                  <w:pPr>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color w:val="0000FF"/>
                      <w:kern w:val="2"/>
                      <w:sz w:val="21"/>
                      <w:szCs w:val="21"/>
                      <w:lang w:val="en-US" w:eastAsia="zh-CN" w:bidi="ar-SA"/>
                    </w:rPr>
                  </w:pPr>
                  <w:r>
                    <w:rPr>
                      <w:rFonts w:hint="default" w:ascii="Times New Roman" w:hAnsi="Times New Roman" w:eastAsia="宋体" w:cs="Times New Roman"/>
                      <w:color w:val="0000FF"/>
                      <w:szCs w:val="21"/>
                    </w:rPr>
                    <w:t>106万m²</w:t>
                  </w:r>
                </w:p>
              </w:tc>
              <w:tc>
                <w:tcPr>
                  <w:tcW w:w="571" w:type="pct"/>
                  <w:shd w:val="clear" w:color="auto" w:fill="auto"/>
                  <w:vAlign w:val="center"/>
                </w:tcPr>
                <w:p w14:paraId="51C7C5F6">
                  <w:pPr>
                    <w:keepNext w:val="0"/>
                    <w:keepLines w:val="0"/>
                    <w:suppressLineNumbers w:val="0"/>
                    <w:spacing w:before="0" w:beforeAutospacing="0" w:after="0" w:afterAutospacing="0" w:line="240" w:lineRule="auto"/>
                    <w:ind w:left="0" w:right="0"/>
                    <w:jc w:val="center"/>
                    <w:rPr>
                      <w:rFonts w:hint="default" w:ascii="Times New Roman" w:hAnsi="Times New Roman" w:eastAsia="宋体" w:cs="Times New Roman"/>
                      <w:b w:val="0"/>
                      <w:bCs w:val="0"/>
                      <w:color w:val="0000FF"/>
                      <w:kern w:val="2"/>
                      <w:sz w:val="21"/>
                      <w:szCs w:val="21"/>
                      <w:highlight w:val="none"/>
                      <w:lang w:val="en-US" w:eastAsia="zh-CN" w:bidi="ar-SA"/>
                    </w:rPr>
                  </w:pPr>
                  <w:r>
                    <w:rPr>
                      <w:rFonts w:hint="default" w:ascii="Times New Roman" w:hAnsi="Times New Roman" w:eastAsia="宋体" w:cs="Times New Roman"/>
                      <w:b w:val="0"/>
                      <w:bCs w:val="0"/>
                      <w:color w:val="0000FF"/>
                      <w:sz w:val="21"/>
                      <w:szCs w:val="21"/>
                      <w:highlight w:val="none"/>
                      <w:lang w:val="en-US" w:eastAsia="zh-CN"/>
                    </w:rPr>
                    <w:t>-30万m²</w:t>
                  </w:r>
                </w:p>
              </w:tc>
              <w:tc>
                <w:tcPr>
                  <w:tcW w:w="466" w:type="pct"/>
                  <w:vAlign w:val="center"/>
                </w:tcPr>
                <w:p w14:paraId="6E6D39FA">
                  <w:pPr>
                    <w:keepNext w:val="0"/>
                    <w:keepLines w:val="0"/>
                    <w:suppressLineNumbers w:val="0"/>
                    <w:spacing w:before="0" w:beforeAutospacing="0" w:after="0" w:afterAutospacing="0" w:line="240" w:lineRule="auto"/>
                    <w:ind w:left="0" w:right="0"/>
                    <w:jc w:val="center"/>
                    <w:rPr>
                      <w:rFonts w:hint="default" w:ascii="Times New Roman" w:hAnsi="Times New Roman" w:eastAsia="宋体" w:cs="Times New Roman"/>
                      <w:b w:val="0"/>
                      <w:bCs w:val="0"/>
                      <w:color w:val="0000FF"/>
                      <w:sz w:val="21"/>
                      <w:szCs w:val="21"/>
                      <w:highlight w:val="none"/>
                      <w:lang w:val="en-US" w:eastAsia="zh-CN"/>
                    </w:rPr>
                  </w:pPr>
                  <w:r>
                    <w:rPr>
                      <w:rFonts w:hint="default" w:ascii="Times New Roman" w:hAnsi="Times New Roman" w:eastAsia="宋体" w:cs="Times New Roman"/>
                      <w:b w:val="0"/>
                      <w:bCs w:val="0"/>
                      <w:color w:val="0000FF"/>
                      <w:sz w:val="21"/>
                      <w:szCs w:val="21"/>
                      <w:highlight w:val="none"/>
                      <w:lang w:val="en-US" w:eastAsia="zh-CN"/>
                    </w:rPr>
                    <w:t>18万m²</w:t>
                  </w:r>
                </w:p>
              </w:tc>
              <w:tc>
                <w:tcPr>
                  <w:tcW w:w="240" w:type="pct"/>
                  <w:vAlign w:val="center"/>
                </w:tcPr>
                <w:p w14:paraId="1A3B1C80">
                  <w:pPr>
                    <w:keepNext w:val="0"/>
                    <w:keepLines w:val="0"/>
                    <w:suppressLineNumbers w:val="0"/>
                    <w:spacing w:before="0" w:beforeAutospacing="0" w:after="0" w:afterAutospacing="0"/>
                    <w:ind w:left="0" w:leftChars="0" w:right="0" w:rightChars="0"/>
                    <w:jc w:val="center"/>
                    <w:rPr>
                      <w:rFonts w:hint="eastAsia" w:ascii="Times New Roman" w:hAnsi="Times New Roman" w:eastAsia="宋体" w:cs="Times New Roman"/>
                      <w:b/>
                      <w:bCs/>
                      <w:color w:val="auto"/>
                      <w:kern w:val="0"/>
                      <w:szCs w:val="21"/>
                      <w:lang w:val="en-US" w:eastAsia="zh-CN" w:bidi="ar"/>
                    </w:rPr>
                  </w:pPr>
                  <w:r>
                    <w:rPr>
                      <w:rFonts w:hint="eastAsia" w:ascii="Times New Roman" w:hAnsi="Times New Roman" w:eastAsia="宋体" w:cs="Times New Roman"/>
                      <w:color w:val="auto"/>
                      <w:szCs w:val="21"/>
                      <w:lang w:val="en-US" w:eastAsia="zh-CN"/>
                    </w:rPr>
                    <w:t>/</w:t>
                  </w:r>
                </w:p>
              </w:tc>
            </w:tr>
            <w:tr w14:paraId="3B55FF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272" w:type="pct"/>
                  <w:shd w:val="clear" w:color="auto" w:fill="auto"/>
                  <w:vAlign w:val="center"/>
                </w:tcPr>
                <w:p w14:paraId="4D25C2A9">
                  <w:pPr>
                    <w:keepNext w:val="0"/>
                    <w:keepLines w:val="0"/>
                    <w:suppressLineNumbers w:val="0"/>
                    <w:spacing w:before="0" w:beforeAutospacing="0" w:after="0" w:afterAutospacing="0" w:line="240" w:lineRule="auto"/>
                    <w:ind w:left="0" w:right="0"/>
                    <w:jc w:val="center"/>
                    <w:rPr>
                      <w:rFonts w:hint="default" w:ascii="Times New Roman" w:hAnsi="Times New Roman" w:eastAsia="宋体" w:cs="Times New Roman"/>
                      <w:b w:val="0"/>
                      <w:bCs w:val="0"/>
                      <w:color w:val="auto"/>
                      <w:kern w:val="2"/>
                      <w:sz w:val="21"/>
                      <w:szCs w:val="21"/>
                      <w:highlight w:val="none"/>
                      <w:lang w:val="en-US" w:eastAsia="zh-CN" w:bidi="ar-SA"/>
                    </w:rPr>
                  </w:pPr>
                  <w:r>
                    <w:rPr>
                      <w:rFonts w:hint="default" w:ascii="Times New Roman" w:hAnsi="Times New Roman" w:eastAsia="宋体" w:cs="Times New Roman"/>
                      <w:b w:val="0"/>
                      <w:bCs w:val="0"/>
                      <w:color w:val="auto"/>
                      <w:sz w:val="21"/>
                      <w:szCs w:val="21"/>
                      <w:highlight w:val="none"/>
                      <w:lang w:val="en-US" w:eastAsia="zh-CN"/>
                    </w:rPr>
                    <w:t>14</w:t>
                  </w:r>
                </w:p>
              </w:tc>
              <w:tc>
                <w:tcPr>
                  <w:tcW w:w="370" w:type="pct"/>
                  <w:vMerge w:val="continue"/>
                  <w:vAlign w:val="center"/>
                </w:tcPr>
                <w:p w14:paraId="4EC02735">
                  <w:pPr>
                    <w:keepNext w:val="0"/>
                    <w:keepLines w:val="0"/>
                    <w:widowControl/>
                    <w:suppressLineNumbers w:val="0"/>
                    <w:spacing w:before="0" w:beforeAutospacing="0" w:after="0" w:afterAutospacing="0"/>
                    <w:ind w:left="0" w:right="0"/>
                    <w:jc w:val="center"/>
                    <w:rPr>
                      <w:rFonts w:hint="eastAsia" w:ascii="Times New Roman" w:hAnsi="Times New Roman" w:eastAsia="宋体" w:cs="Times New Roman"/>
                      <w:b/>
                      <w:bCs/>
                      <w:color w:val="auto"/>
                      <w:kern w:val="0"/>
                      <w:szCs w:val="21"/>
                      <w:lang w:bidi="ar"/>
                    </w:rPr>
                  </w:pPr>
                </w:p>
              </w:tc>
              <w:tc>
                <w:tcPr>
                  <w:tcW w:w="810" w:type="pct"/>
                  <w:gridSpan w:val="2"/>
                  <w:shd w:val="clear" w:color="auto" w:fill="auto"/>
                  <w:vAlign w:val="center"/>
                </w:tcPr>
                <w:p w14:paraId="74B5F02D">
                  <w:pPr>
                    <w:keepNext w:val="0"/>
                    <w:keepLines w:val="0"/>
                    <w:suppressLineNumbers w:val="0"/>
                    <w:spacing w:before="0" w:beforeAutospacing="0" w:after="0" w:afterAutospacing="0"/>
                    <w:ind w:left="0" w:leftChars="0" w:right="0" w:rightChars="0"/>
                    <w:jc w:val="center"/>
                    <w:rPr>
                      <w:rFonts w:hint="eastAsia" w:ascii="Times New Roman" w:hAnsi="Times New Roman" w:eastAsia="宋体" w:cs="Times New Roman"/>
                      <w:color w:val="auto"/>
                      <w:kern w:val="2"/>
                      <w:sz w:val="21"/>
                      <w:szCs w:val="21"/>
                      <w:lang w:val="en-US" w:eastAsia="zh-CN" w:bidi="ar-SA"/>
                    </w:rPr>
                  </w:pPr>
                  <w:r>
                    <w:rPr>
                      <w:rFonts w:hint="default" w:ascii="Times New Roman" w:hAnsi="Times New Roman" w:eastAsia="宋体" w:cs="Times New Roman"/>
                      <w:color w:val="auto"/>
                      <w:szCs w:val="21"/>
                    </w:rPr>
                    <w:t>PE膜</w:t>
                  </w:r>
                </w:p>
              </w:tc>
              <w:tc>
                <w:tcPr>
                  <w:tcW w:w="645" w:type="pct"/>
                  <w:shd w:val="clear" w:color="auto" w:fill="auto"/>
                  <w:vAlign w:val="center"/>
                </w:tcPr>
                <w:p w14:paraId="60906708">
                  <w:pPr>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color w:val="auto"/>
                      <w:kern w:val="2"/>
                      <w:sz w:val="21"/>
                      <w:szCs w:val="21"/>
                      <w:lang w:val="en-US" w:eastAsia="zh-CN" w:bidi="ar-SA"/>
                    </w:rPr>
                  </w:pPr>
                  <w:r>
                    <w:rPr>
                      <w:rFonts w:hint="default" w:ascii="Times New Roman" w:hAnsi="Times New Roman" w:eastAsia="宋体" w:cs="Times New Roman"/>
                      <w:color w:val="auto"/>
                      <w:szCs w:val="21"/>
                    </w:rPr>
                    <w:t>卷材</w:t>
                  </w:r>
                </w:p>
              </w:tc>
              <w:tc>
                <w:tcPr>
                  <w:tcW w:w="581" w:type="pct"/>
                  <w:shd w:val="clear" w:color="auto" w:fill="auto"/>
                  <w:vAlign w:val="center"/>
                </w:tcPr>
                <w:p w14:paraId="5A538A6F">
                  <w:pPr>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color w:val="0000FF"/>
                      <w:kern w:val="2"/>
                      <w:sz w:val="21"/>
                      <w:szCs w:val="21"/>
                      <w:lang w:val="en-US" w:eastAsia="zh-CN" w:bidi="ar-SA"/>
                    </w:rPr>
                  </w:pPr>
                  <w:r>
                    <w:rPr>
                      <w:rFonts w:hint="default" w:ascii="Times New Roman" w:hAnsi="Times New Roman" w:eastAsia="宋体" w:cs="Times New Roman"/>
                      <w:color w:val="0000FF"/>
                      <w:szCs w:val="21"/>
                    </w:rPr>
                    <w:t>0.4t</w:t>
                  </w:r>
                </w:p>
              </w:tc>
              <w:tc>
                <w:tcPr>
                  <w:tcW w:w="516" w:type="pct"/>
                  <w:shd w:val="clear" w:color="auto" w:fill="auto"/>
                  <w:vAlign w:val="center"/>
                </w:tcPr>
                <w:p w14:paraId="22710D18">
                  <w:pPr>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color w:val="0000FF"/>
                      <w:kern w:val="2"/>
                      <w:sz w:val="21"/>
                      <w:szCs w:val="21"/>
                      <w:lang w:val="en-US" w:eastAsia="zh-CN" w:bidi="ar-SA"/>
                    </w:rPr>
                  </w:pPr>
                  <w:r>
                    <w:rPr>
                      <w:rFonts w:hint="default" w:ascii="Times New Roman" w:hAnsi="Times New Roman" w:eastAsia="宋体" w:cs="Times New Roman"/>
                      <w:color w:val="0000FF"/>
                      <w:szCs w:val="21"/>
                    </w:rPr>
                    <w:t>0.3t</w:t>
                  </w:r>
                </w:p>
              </w:tc>
              <w:tc>
                <w:tcPr>
                  <w:tcW w:w="524" w:type="pct"/>
                  <w:shd w:val="clear" w:color="auto" w:fill="auto"/>
                  <w:vAlign w:val="center"/>
                </w:tcPr>
                <w:p w14:paraId="2FFAF074">
                  <w:pPr>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color w:val="0000FF"/>
                      <w:kern w:val="2"/>
                      <w:sz w:val="21"/>
                      <w:szCs w:val="21"/>
                      <w:lang w:val="en-US" w:eastAsia="zh-CN" w:bidi="ar-SA"/>
                    </w:rPr>
                  </w:pPr>
                  <w:r>
                    <w:rPr>
                      <w:rFonts w:hint="default" w:ascii="Times New Roman" w:hAnsi="Times New Roman" w:eastAsia="宋体" w:cs="Times New Roman"/>
                      <w:color w:val="0000FF"/>
                      <w:szCs w:val="21"/>
                    </w:rPr>
                    <w:t>0.3t</w:t>
                  </w:r>
                </w:p>
              </w:tc>
              <w:tc>
                <w:tcPr>
                  <w:tcW w:w="571" w:type="pct"/>
                  <w:shd w:val="clear" w:color="auto" w:fill="auto"/>
                  <w:vAlign w:val="center"/>
                </w:tcPr>
                <w:p w14:paraId="5D1B96CE">
                  <w:pPr>
                    <w:keepNext w:val="0"/>
                    <w:keepLines w:val="0"/>
                    <w:suppressLineNumbers w:val="0"/>
                    <w:spacing w:before="0" w:beforeAutospacing="0" w:after="0" w:afterAutospacing="0" w:line="240" w:lineRule="auto"/>
                    <w:ind w:left="0" w:right="0"/>
                    <w:jc w:val="center"/>
                    <w:rPr>
                      <w:rFonts w:hint="default" w:ascii="Times New Roman" w:hAnsi="Times New Roman" w:eastAsia="宋体" w:cs="Times New Roman"/>
                      <w:b w:val="0"/>
                      <w:bCs w:val="0"/>
                      <w:color w:val="0000FF"/>
                      <w:kern w:val="2"/>
                      <w:sz w:val="21"/>
                      <w:szCs w:val="21"/>
                      <w:highlight w:val="none"/>
                      <w:lang w:val="en-US" w:eastAsia="zh-CN" w:bidi="ar-SA"/>
                    </w:rPr>
                  </w:pPr>
                  <w:r>
                    <w:rPr>
                      <w:rFonts w:hint="default" w:ascii="Times New Roman" w:hAnsi="Times New Roman" w:eastAsia="宋体" w:cs="Times New Roman"/>
                      <w:b w:val="0"/>
                      <w:bCs w:val="0"/>
                      <w:color w:val="0000FF"/>
                      <w:sz w:val="21"/>
                      <w:szCs w:val="21"/>
                      <w:highlight w:val="none"/>
                      <w:lang w:val="en-US" w:eastAsia="zh-CN"/>
                    </w:rPr>
                    <w:t>-0.1t</w:t>
                  </w:r>
                </w:p>
              </w:tc>
              <w:tc>
                <w:tcPr>
                  <w:tcW w:w="466" w:type="pct"/>
                  <w:vAlign w:val="center"/>
                </w:tcPr>
                <w:p w14:paraId="2C9023C6">
                  <w:pPr>
                    <w:keepNext w:val="0"/>
                    <w:keepLines w:val="0"/>
                    <w:suppressLineNumbers w:val="0"/>
                    <w:spacing w:before="0" w:beforeAutospacing="0" w:after="0" w:afterAutospacing="0" w:line="240" w:lineRule="auto"/>
                    <w:ind w:left="0" w:right="0"/>
                    <w:jc w:val="center"/>
                    <w:rPr>
                      <w:rFonts w:hint="default" w:ascii="Times New Roman" w:hAnsi="Times New Roman" w:eastAsia="宋体" w:cs="Times New Roman"/>
                      <w:b w:val="0"/>
                      <w:bCs w:val="0"/>
                      <w:color w:val="0000FF"/>
                      <w:sz w:val="21"/>
                      <w:szCs w:val="21"/>
                      <w:highlight w:val="none"/>
                      <w:lang w:val="en-US" w:eastAsia="zh-CN"/>
                    </w:rPr>
                  </w:pPr>
                  <w:r>
                    <w:rPr>
                      <w:rFonts w:hint="default" w:ascii="Times New Roman" w:hAnsi="Times New Roman" w:eastAsia="宋体" w:cs="Times New Roman"/>
                      <w:b w:val="0"/>
                      <w:bCs w:val="0"/>
                      <w:color w:val="0000FF"/>
                      <w:sz w:val="21"/>
                      <w:szCs w:val="21"/>
                      <w:highlight w:val="none"/>
                      <w:lang w:val="en-US" w:eastAsia="zh-CN"/>
                    </w:rPr>
                    <w:t>0.05t</w:t>
                  </w:r>
                </w:p>
              </w:tc>
              <w:tc>
                <w:tcPr>
                  <w:tcW w:w="240" w:type="pct"/>
                  <w:vAlign w:val="center"/>
                </w:tcPr>
                <w:p w14:paraId="2AD072A6">
                  <w:pPr>
                    <w:keepNext w:val="0"/>
                    <w:keepLines w:val="0"/>
                    <w:suppressLineNumbers w:val="0"/>
                    <w:spacing w:before="0" w:beforeAutospacing="0" w:after="0" w:afterAutospacing="0"/>
                    <w:ind w:left="0" w:leftChars="0" w:right="0" w:rightChars="0"/>
                    <w:jc w:val="center"/>
                    <w:rPr>
                      <w:rFonts w:hint="eastAsia" w:ascii="Times New Roman" w:hAnsi="Times New Roman" w:eastAsia="宋体" w:cs="Times New Roman"/>
                      <w:b/>
                      <w:bCs/>
                      <w:color w:val="auto"/>
                      <w:kern w:val="0"/>
                      <w:szCs w:val="21"/>
                      <w:lang w:val="en-US" w:eastAsia="zh-CN" w:bidi="ar"/>
                    </w:rPr>
                  </w:pPr>
                  <w:r>
                    <w:rPr>
                      <w:rFonts w:hint="eastAsia" w:ascii="Times New Roman" w:hAnsi="Times New Roman" w:eastAsia="宋体" w:cs="Times New Roman"/>
                      <w:color w:val="auto"/>
                      <w:szCs w:val="21"/>
                      <w:lang w:val="en-US" w:eastAsia="zh-CN"/>
                    </w:rPr>
                    <w:t>/</w:t>
                  </w:r>
                </w:p>
              </w:tc>
            </w:tr>
            <w:tr w14:paraId="322F89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272" w:type="pct"/>
                  <w:shd w:val="clear" w:color="auto" w:fill="auto"/>
                  <w:vAlign w:val="center"/>
                </w:tcPr>
                <w:p w14:paraId="6BEC6D6D">
                  <w:pPr>
                    <w:keepNext w:val="0"/>
                    <w:keepLines w:val="0"/>
                    <w:suppressLineNumbers w:val="0"/>
                    <w:spacing w:before="0" w:beforeAutospacing="0" w:after="0" w:afterAutospacing="0" w:line="240" w:lineRule="auto"/>
                    <w:ind w:left="0" w:right="0"/>
                    <w:jc w:val="center"/>
                    <w:rPr>
                      <w:rFonts w:hint="default" w:ascii="Times New Roman" w:hAnsi="Times New Roman" w:eastAsia="宋体" w:cs="Times New Roman"/>
                      <w:b w:val="0"/>
                      <w:bCs w:val="0"/>
                      <w:color w:val="auto"/>
                      <w:kern w:val="2"/>
                      <w:sz w:val="21"/>
                      <w:szCs w:val="21"/>
                      <w:highlight w:val="none"/>
                      <w:lang w:val="en-US" w:eastAsia="zh-CN" w:bidi="ar-SA"/>
                    </w:rPr>
                  </w:pPr>
                  <w:r>
                    <w:rPr>
                      <w:rFonts w:hint="default" w:ascii="Times New Roman" w:hAnsi="Times New Roman" w:eastAsia="宋体" w:cs="Times New Roman"/>
                      <w:b w:val="0"/>
                      <w:bCs w:val="0"/>
                      <w:color w:val="auto"/>
                      <w:sz w:val="21"/>
                      <w:szCs w:val="21"/>
                      <w:highlight w:val="none"/>
                      <w:lang w:val="en-US" w:eastAsia="zh-CN"/>
                    </w:rPr>
                    <w:t>15</w:t>
                  </w:r>
                </w:p>
              </w:tc>
              <w:tc>
                <w:tcPr>
                  <w:tcW w:w="370" w:type="pct"/>
                  <w:vMerge w:val="continue"/>
                  <w:vAlign w:val="center"/>
                </w:tcPr>
                <w:p w14:paraId="0954FC70">
                  <w:pPr>
                    <w:keepNext w:val="0"/>
                    <w:keepLines w:val="0"/>
                    <w:widowControl/>
                    <w:suppressLineNumbers w:val="0"/>
                    <w:spacing w:before="0" w:beforeAutospacing="0" w:after="0" w:afterAutospacing="0"/>
                    <w:ind w:left="0" w:right="0"/>
                    <w:jc w:val="center"/>
                    <w:rPr>
                      <w:rFonts w:hint="eastAsia" w:ascii="Times New Roman" w:hAnsi="Times New Roman" w:eastAsia="宋体" w:cs="Times New Roman"/>
                      <w:b/>
                      <w:bCs/>
                      <w:color w:val="auto"/>
                      <w:kern w:val="0"/>
                      <w:szCs w:val="21"/>
                      <w:lang w:bidi="ar"/>
                    </w:rPr>
                  </w:pPr>
                </w:p>
              </w:tc>
              <w:tc>
                <w:tcPr>
                  <w:tcW w:w="810" w:type="pct"/>
                  <w:gridSpan w:val="2"/>
                  <w:shd w:val="clear" w:color="auto" w:fill="auto"/>
                  <w:vAlign w:val="center"/>
                </w:tcPr>
                <w:p w14:paraId="6490CA43">
                  <w:pPr>
                    <w:keepNext w:val="0"/>
                    <w:keepLines w:val="0"/>
                    <w:suppressLineNumbers w:val="0"/>
                    <w:spacing w:before="0" w:beforeAutospacing="0" w:after="0" w:afterAutospacing="0"/>
                    <w:ind w:left="0" w:leftChars="0" w:right="0" w:rightChars="0"/>
                    <w:jc w:val="center"/>
                    <w:rPr>
                      <w:rFonts w:hint="eastAsia" w:ascii="Times New Roman" w:hAnsi="Times New Roman" w:eastAsia="宋体" w:cs="Times New Roman"/>
                      <w:color w:val="auto"/>
                      <w:kern w:val="2"/>
                      <w:sz w:val="21"/>
                      <w:szCs w:val="21"/>
                      <w:lang w:val="en-US" w:eastAsia="zh-CN" w:bidi="ar-SA"/>
                    </w:rPr>
                  </w:pPr>
                  <w:r>
                    <w:rPr>
                      <w:rFonts w:hint="default" w:ascii="Times New Roman" w:hAnsi="Times New Roman" w:eastAsia="宋体" w:cs="Times New Roman"/>
                      <w:color w:val="auto"/>
                      <w:szCs w:val="21"/>
                    </w:rPr>
                    <w:t>液压油</w:t>
                  </w:r>
                </w:p>
              </w:tc>
              <w:tc>
                <w:tcPr>
                  <w:tcW w:w="645" w:type="pct"/>
                  <w:shd w:val="clear" w:color="auto" w:fill="auto"/>
                  <w:vAlign w:val="center"/>
                </w:tcPr>
                <w:p w14:paraId="29D987EB">
                  <w:pPr>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color w:val="auto"/>
                      <w:kern w:val="2"/>
                      <w:sz w:val="21"/>
                      <w:szCs w:val="21"/>
                      <w:lang w:val="en-US" w:eastAsia="zh-CN" w:bidi="ar-SA"/>
                    </w:rPr>
                  </w:pPr>
                  <w:r>
                    <w:rPr>
                      <w:rFonts w:hint="default" w:ascii="Times New Roman" w:hAnsi="Times New Roman" w:eastAsia="宋体" w:cs="Times New Roman"/>
                      <w:color w:val="auto"/>
                      <w:szCs w:val="21"/>
                    </w:rPr>
                    <w:t>170kg/铁桶</w:t>
                  </w:r>
                </w:p>
              </w:tc>
              <w:tc>
                <w:tcPr>
                  <w:tcW w:w="581" w:type="pct"/>
                  <w:shd w:val="clear" w:color="auto" w:fill="auto"/>
                  <w:vAlign w:val="center"/>
                </w:tcPr>
                <w:p w14:paraId="0E3FD9E5">
                  <w:pPr>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color w:val="0000FF"/>
                      <w:kern w:val="2"/>
                      <w:sz w:val="21"/>
                      <w:szCs w:val="21"/>
                      <w:lang w:val="en-US" w:eastAsia="zh-CN" w:bidi="ar-SA"/>
                    </w:rPr>
                  </w:pPr>
                  <w:r>
                    <w:rPr>
                      <w:rFonts w:hint="default" w:ascii="Times New Roman" w:hAnsi="Times New Roman" w:eastAsia="宋体" w:cs="Times New Roman"/>
                      <w:color w:val="0000FF"/>
                      <w:szCs w:val="21"/>
                    </w:rPr>
                    <w:t>5.2t/5年</w:t>
                  </w:r>
                </w:p>
              </w:tc>
              <w:tc>
                <w:tcPr>
                  <w:tcW w:w="516" w:type="pct"/>
                  <w:shd w:val="clear" w:color="auto" w:fill="auto"/>
                  <w:vAlign w:val="center"/>
                </w:tcPr>
                <w:p w14:paraId="3AF99AC3">
                  <w:pPr>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color w:val="0000FF"/>
                      <w:kern w:val="2"/>
                      <w:sz w:val="21"/>
                      <w:szCs w:val="21"/>
                      <w:lang w:val="en-US" w:eastAsia="zh-CN" w:bidi="ar-SA"/>
                    </w:rPr>
                  </w:pPr>
                  <w:r>
                    <w:rPr>
                      <w:rFonts w:hint="default" w:ascii="Times New Roman" w:hAnsi="Times New Roman" w:eastAsia="宋体" w:cs="Times New Roman"/>
                      <w:color w:val="0000FF"/>
                      <w:szCs w:val="21"/>
                    </w:rPr>
                    <w:t>5.2t/5年</w:t>
                  </w:r>
                </w:p>
              </w:tc>
              <w:tc>
                <w:tcPr>
                  <w:tcW w:w="524" w:type="pct"/>
                  <w:shd w:val="clear" w:color="auto" w:fill="auto"/>
                  <w:vAlign w:val="center"/>
                </w:tcPr>
                <w:p w14:paraId="15ED0D14">
                  <w:pPr>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color w:val="0000FF"/>
                      <w:kern w:val="2"/>
                      <w:sz w:val="21"/>
                      <w:szCs w:val="21"/>
                      <w:lang w:val="en-US" w:eastAsia="zh-CN" w:bidi="ar-SA"/>
                    </w:rPr>
                  </w:pPr>
                  <w:r>
                    <w:rPr>
                      <w:rFonts w:hint="default" w:ascii="Times New Roman" w:hAnsi="Times New Roman" w:eastAsia="宋体" w:cs="Times New Roman"/>
                      <w:color w:val="0000FF"/>
                      <w:szCs w:val="21"/>
                    </w:rPr>
                    <w:t>5.2t/5年</w:t>
                  </w:r>
                </w:p>
              </w:tc>
              <w:tc>
                <w:tcPr>
                  <w:tcW w:w="571" w:type="pct"/>
                  <w:shd w:val="clear" w:color="auto" w:fill="auto"/>
                  <w:vAlign w:val="center"/>
                </w:tcPr>
                <w:p w14:paraId="219D5DDE">
                  <w:pPr>
                    <w:keepNext w:val="0"/>
                    <w:keepLines w:val="0"/>
                    <w:suppressLineNumbers w:val="0"/>
                    <w:spacing w:before="0" w:beforeAutospacing="0" w:after="0" w:afterAutospacing="0" w:line="240" w:lineRule="auto"/>
                    <w:ind w:left="0" w:right="0"/>
                    <w:jc w:val="center"/>
                    <w:rPr>
                      <w:rFonts w:hint="default" w:ascii="Times New Roman" w:hAnsi="Times New Roman" w:eastAsia="宋体" w:cs="Times New Roman"/>
                      <w:b w:val="0"/>
                      <w:bCs w:val="0"/>
                      <w:color w:val="0000FF"/>
                      <w:kern w:val="2"/>
                      <w:sz w:val="21"/>
                      <w:szCs w:val="21"/>
                      <w:highlight w:val="none"/>
                      <w:lang w:val="en-US" w:eastAsia="zh-CN" w:bidi="ar-SA"/>
                    </w:rPr>
                  </w:pPr>
                  <w:r>
                    <w:rPr>
                      <w:rFonts w:hint="default" w:ascii="Times New Roman" w:hAnsi="Times New Roman" w:eastAsia="宋体" w:cs="Times New Roman"/>
                      <w:b w:val="0"/>
                      <w:bCs w:val="0"/>
                      <w:color w:val="0000FF"/>
                      <w:sz w:val="21"/>
                      <w:szCs w:val="21"/>
                      <w:highlight w:val="none"/>
                      <w:lang w:val="en-US" w:eastAsia="zh-CN"/>
                    </w:rPr>
                    <w:t>0</w:t>
                  </w:r>
                </w:p>
              </w:tc>
              <w:tc>
                <w:tcPr>
                  <w:tcW w:w="466" w:type="pct"/>
                  <w:shd w:val="clear" w:color="auto" w:fill="auto"/>
                  <w:vAlign w:val="center"/>
                </w:tcPr>
                <w:p w14:paraId="780E6C75">
                  <w:pPr>
                    <w:keepNext w:val="0"/>
                    <w:keepLines w:val="0"/>
                    <w:suppressLineNumbers w:val="0"/>
                    <w:spacing w:before="0" w:beforeAutospacing="0" w:after="0" w:afterAutospacing="0" w:line="240" w:lineRule="auto"/>
                    <w:ind w:left="0" w:right="0"/>
                    <w:jc w:val="center"/>
                    <w:rPr>
                      <w:rFonts w:hint="default" w:ascii="Times New Roman" w:hAnsi="Times New Roman" w:eastAsia="宋体" w:cs="Times New Roman"/>
                      <w:b w:val="0"/>
                      <w:bCs w:val="0"/>
                      <w:color w:val="0000FF"/>
                      <w:sz w:val="21"/>
                      <w:szCs w:val="21"/>
                      <w:highlight w:val="none"/>
                      <w:lang w:val="en-US" w:eastAsia="zh-CN"/>
                    </w:rPr>
                  </w:pPr>
                  <w:r>
                    <w:rPr>
                      <w:rFonts w:hint="default" w:ascii="Times New Roman" w:hAnsi="Times New Roman" w:eastAsia="宋体" w:cs="Times New Roman"/>
                      <w:b w:val="0"/>
                      <w:bCs w:val="0"/>
                      <w:color w:val="0000FF"/>
                      <w:sz w:val="21"/>
                      <w:szCs w:val="21"/>
                      <w:highlight w:val="none"/>
                      <w:lang w:val="en-US" w:eastAsia="zh-CN"/>
                    </w:rPr>
                    <w:t>0.17t</w:t>
                  </w:r>
                </w:p>
              </w:tc>
              <w:tc>
                <w:tcPr>
                  <w:tcW w:w="240" w:type="pct"/>
                  <w:vAlign w:val="center"/>
                </w:tcPr>
                <w:p w14:paraId="0FC7E463">
                  <w:pPr>
                    <w:keepNext w:val="0"/>
                    <w:keepLines w:val="0"/>
                    <w:suppressLineNumbers w:val="0"/>
                    <w:spacing w:before="0" w:beforeAutospacing="0" w:after="0" w:afterAutospacing="0"/>
                    <w:ind w:left="0" w:leftChars="0" w:right="0" w:rightChars="0"/>
                    <w:jc w:val="center"/>
                    <w:rPr>
                      <w:rFonts w:hint="eastAsia" w:ascii="Times New Roman" w:hAnsi="Times New Roman" w:eastAsia="宋体" w:cs="Times New Roman"/>
                      <w:b/>
                      <w:bCs/>
                      <w:color w:val="auto"/>
                      <w:kern w:val="0"/>
                      <w:szCs w:val="21"/>
                      <w:lang w:val="en-US" w:eastAsia="zh-CN" w:bidi="ar"/>
                    </w:rPr>
                  </w:pPr>
                  <w:r>
                    <w:rPr>
                      <w:rFonts w:hint="eastAsia" w:ascii="Times New Roman" w:hAnsi="Times New Roman" w:eastAsia="宋体" w:cs="Times New Roman"/>
                      <w:color w:val="auto"/>
                      <w:szCs w:val="21"/>
                      <w:lang w:val="en-US" w:eastAsia="zh-CN"/>
                    </w:rPr>
                    <w:t>/</w:t>
                  </w:r>
                </w:p>
              </w:tc>
            </w:tr>
            <w:tr w14:paraId="003B19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272" w:type="pct"/>
                  <w:shd w:val="clear" w:color="auto" w:fill="auto"/>
                  <w:vAlign w:val="center"/>
                </w:tcPr>
                <w:p w14:paraId="7007089B">
                  <w:pPr>
                    <w:keepNext w:val="0"/>
                    <w:keepLines w:val="0"/>
                    <w:suppressLineNumbers w:val="0"/>
                    <w:spacing w:before="0" w:beforeAutospacing="0" w:after="0" w:afterAutospacing="0" w:line="240" w:lineRule="auto"/>
                    <w:ind w:left="0" w:right="0"/>
                    <w:jc w:val="center"/>
                    <w:rPr>
                      <w:rFonts w:hint="default" w:ascii="Times New Roman" w:hAnsi="Times New Roman" w:eastAsia="宋体" w:cs="Times New Roman"/>
                      <w:b w:val="0"/>
                      <w:bCs w:val="0"/>
                      <w:color w:val="auto"/>
                      <w:kern w:val="2"/>
                      <w:sz w:val="21"/>
                      <w:szCs w:val="21"/>
                      <w:highlight w:val="none"/>
                      <w:lang w:val="en-US" w:eastAsia="zh-CN" w:bidi="ar-SA"/>
                    </w:rPr>
                  </w:pPr>
                  <w:r>
                    <w:rPr>
                      <w:rFonts w:hint="default" w:ascii="Times New Roman" w:hAnsi="Times New Roman" w:eastAsia="宋体" w:cs="Times New Roman"/>
                      <w:b w:val="0"/>
                      <w:bCs w:val="0"/>
                      <w:color w:val="auto"/>
                      <w:sz w:val="21"/>
                      <w:szCs w:val="21"/>
                      <w:highlight w:val="none"/>
                      <w:lang w:val="en-US" w:eastAsia="zh-CN"/>
                    </w:rPr>
                    <w:t>16</w:t>
                  </w:r>
                </w:p>
              </w:tc>
              <w:tc>
                <w:tcPr>
                  <w:tcW w:w="370" w:type="pct"/>
                  <w:vMerge w:val="continue"/>
                  <w:vAlign w:val="center"/>
                </w:tcPr>
                <w:p w14:paraId="7D8BD4AC">
                  <w:pPr>
                    <w:keepNext w:val="0"/>
                    <w:keepLines w:val="0"/>
                    <w:widowControl/>
                    <w:suppressLineNumbers w:val="0"/>
                    <w:spacing w:before="0" w:beforeAutospacing="0" w:after="0" w:afterAutospacing="0"/>
                    <w:ind w:left="0" w:right="0"/>
                    <w:jc w:val="center"/>
                    <w:rPr>
                      <w:rFonts w:hint="eastAsia" w:ascii="Times New Roman" w:hAnsi="Times New Roman" w:eastAsia="宋体" w:cs="Times New Roman"/>
                      <w:b/>
                      <w:bCs/>
                      <w:color w:val="auto"/>
                      <w:kern w:val="0"/>
                      <w:szCs w:val="21"/>
                      <w:lang w:bidi="ar"/>
                    </w:rPr>
                  </w:pPr>
                </w:p>
              </w:tc>
              <w:tc>
                <w:tcPr>
                  <w:tcW w:w="810" w:type="pct"/>
                  <w:gridSpan w:val="2"/>
                  <w:shd w:val="clear" w:color="auto" w:fill="auto"/>
                  <w:vAlign w:val="center"/>
                </w:tcPr>
                <w:p w14:paraId="6FF15789">
                  <w:pPr>
                    <w:keepNext w:val="0"/>
                    <w:keepLines w:val="0"/>
                    <w:suppressLineNumbers w:val="0"/>
                    <w:spacing w:before="0" w:beforeAutospacing="0" w:after="0" w:afterAutospacing="0"/>
                    <w:ind w:left="0" w:leftChars="0" w:right="0" w:rightChars="0"/>
                    <w:jc w:val="center"/>
                    <w:rPr>
                      <w:rFonts w:hint="eastAsia" w:ascii="Times New Roman" w:hAnsi="Times New Roman" w:eastAsia="宋体" w:cs="Times New Roman"/>
                      <w:color w:val="auto"/>
                      <w:kern w:val="2"/>
                      <w:sz w:val="21"/>
                      <w:szCs w:val="21"/>
                      <w:lang w:val="en-US" w:eastAsia="zh-CN" w:bidi="ar-SA"/>
                    </w:rPr>
                  </w:pPr>
                  <w:r>
                    <w:rPr>
                      <w:rFonts w:hint="default" w:ascii="Times New Roman" w:hAnsi="Times New Roman" w:eastAsia="宋体" w:cs="Times New Roman"/>
                      <w:color w:val="auto"/>
                      <w:szCs w:val="21"/>
                    </w:rPr>
                    <w:t>导热油</w:t>
                  </w:r>
                </w:p>
              </w:tc>
              <w:tc>
                <w:tcPr>
                  <w:tcW w:w="645" w:type="pct"/>
                  <w:shd w:val="clear" w:color="auto" w:fill="auto"/>
                  <w:vAlign w:val="center"/>
                </w:tcPr>
                <w:p w14:paraId="3DF52D1C">
                  <w:pPr>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color w:val="auto"/>
                      <w:kern w:val="2"/>
                      <w:sz w:val="21"/>
                      <w:szCs w:val="21"/>
                      <w:lang w:val="en-US" w:eastAsia="zh-CN" w:bidi="ar-SA"/>
                    </w:rPr>
                  </w:pPr>
                  <w:r>
                    <w:rPr>
                      <w:rFonts w:hint="default" w:ascii="Times New Roman" w:hAnsi="Times New Roman" w:eastAsia="宋体" w:cs="Times New Roman"/>
                      <w:color w:val="auto"/>
                      <w:szCs w:val="21"/>
                    </w:rPr>
                    <w:t>170kg/铁桶</w:t>
                  </w:r>
                </w:p>
              </w:tc>
              <w:tc>
                <w:tcPr>
                  <w:tcW w:w="581" w:type="pct"/>
                  <w:shd w:val="clear" w:color="auto" w:fill="auto"/>
                  <w:vAlign w:val="center"/>
                </w:tcPr>
                <w:p w14:paraId="6A05C33F">
                  <w:pPr>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color w:val="0000FF"/>
                      <w:kern w:val="2"/>
                      <w:sz w:val="21"/>
                      <w:szCs w:val="21"/>
                      <w:lang w:val="en-US" w:eastAsia="zh-CN" w:bidi="ar-SA"/>
                    </w:rPr>
                  </w:pPr>
                  <w:r>
                    <w:rPr>
                      <w:rFonts w:hint="default" w:ascii="Times New Roman" w:hAnsi="Times New Roman" w:eastAsia="宋体" w:cs="Times New Roman"/>
                      <w:color w:val="0000FF"/>
                      <w:szCs w:val="21"/>
                    </w:rPr>
                    <w:t>2.6t/5年</w:t>
                  </w:r>
                </w:p>
              </w:tc>
              <w:tc>
                <w:tcPr>
                  <w:tcW w:w="516" w:type="pct"/>
                  <w:shd w:val="clear" w:color="auto" w:fill="auto"/>
                  <w:vAlign w:val="center"/>
                </w:tcPr>
                <w:p w14:paraId="36AD2482">
                  <w:pPr>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color w:val="0000FF"/>
                      <w:kern w:val="2"/>
                      <w:sz w:val="21"/>
                      <w:szCs w:val="21"/>
                      <w:lang w:val="en-US" w:eastAsia="zh-CN" w:bidi="ar-SA"/>
                    </w:rPr>
                  </w:pPr>
                  <w:r>
                    <w:rPr>
                      <w:rFonts w:hint="default" w:ascii="Times New Roman" w:hAnsi="Times New Roman" w:eastAsia="宋体" w:cs="Times New Roman"/>
                      <w:color w:val="0000FF"/>
                      <w:szCs w:val="21"/>
                    </w:rPr>
                    <w:t>2.6t/5年</w:t>
                  </w:r>
                </w:p>
              </w:tc>
              <w:tc>
                <w:tcPr>
                  <w:tcW w:w="524" w:type="pct"/>
                  <w:shd w:val="clear" w:color="auto" w:fill="auto"/>
                  <w:vAlign w:val="center"/>
                </w:tcPr>
                <w:p w14:paraId="5C3A568E">
                  <w:pPr>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color w:val="0000FF"/>
                      <w:kern w:val="2"/>
                      <w:sz w:val="21"/>
                      <w:szCs w:val="21"/>
                      <w:lang w:val="en-US" w:eastAsia="zh-CN" w:bidi="ar-SA"/>
                    </w:rPr>
                  </w:pPr>
                  <w:r>
                    <w:rPr>
                      <w:rFonts w:hint="default" w:ascii="Times New Roman" w:hAnsi="Times New Roman" w:eastAsia="宋体" w:cs="Times New Roman"/>
                      <w:color w:val="0000FF"/>
                      <w:szCs w:val="21"/>
                    </w:rPr>
                    <w:t>2.6t/5年</w:t>
                  </w:r>
                </w:p>
              </w:tc>
              <w:tc>
                <w:tcPr>
                  <w:tcW w:w="571" w:type="pct"/>
                  <w:shd w:val="clear" w:color="auto" w:fill="auto"/>
                  <w:vAlign w:val="center"/>
                </w:tcPr>
                <w:p w14:paraId="75398D86">
                  <w:pPr>
                    <w:keepNext w:val="0"/>
                    <w:keepLines w:val="0"/>
                    <w:suppressLineNumbers w:val="0"/>
                    <w:spacing w:before="0" w:beforeAutospacing="0" w:after="0" w:afterAutospacing="0" w:line="240" w:lineRule="auto"/>
                    <w:ind w:left="0" w:right="0"/>
                    <w:jc w:val="center"/>
                    <w:rPr>
                      <w:rFonts w:hint="default" w:ascii="Times New Roman" w:hAnsi="Times New Roman" w:eastAsia="宋体" w:cs="Times New Roman"/>
                      <w:b w:val="0"/>
                      <w:bCs w:val="0"/>
                      <w:color w:val="0000FF"/>
                      <w:kern w:val="2"/>
                      <w:sz w:val="21"/>
                      <w:szCs w:val="21"/>
                      <w:highlight w:val="none"/>
                      <w:lang w:val="en-US" w:eastAsia="zh-CN" w:bidi="ar-SA"/>
                    </w:rPr>
                  </w:pPr>
                  <w:r>
                    <w:rPr>
                      <w:rFonts w:hint="default" w:ascii="Times New Roman" w:hAnsi="Times New Roman" w:eastAsia="宋体" w:cs="Times New Roman"/>
                      <w:b w:val="0"/>
                      <w:bCs w:val="0"/>
                      <w:color w:val="0000FF"/>
                      <w:sz w:val="21"/>
                      <w:szCs w:val="21"/>
                      <w:highlight w:val="none"/>
                      <w:lang w:val="en-US" w:eastAsia="zh-CN"/>
                    </w:rPr>
                    <w:t>0</w:t>
                  </w:r>
                </w:p>
              </w:tc>
              <w:tc>
                <w:tcPr>
                  <w:tcW w:w="466" w:type="pct"/>
                  <w:shd w:val="clear" w:color="auto" w:fill="auto"/>
                  <w:vAlign w:val="center"/>
                </w:tcPr>
                <w:p w14:paraId="088A68C8">
                  <w:pPr>
                    <w:keepNext w:val="0"/>
                    <w:keepLines w:val="0"/>
                    <w:suppressLineNumbers w:val="0"/>
                    <w:spacing w:before="0" w:beforeAutospacing="0" w:after="0" w:afterAutospacing="0" w:line="240" w:lineRule="auto"/>
                    <w:ind w:left="0" w:right="0"/>
                    <w:jc w:val="center"/>
                    <w:rPr>
                      <w:rFonts w:hint="default" w:ascii="Times New Roman" w:hAnsi="Times New Roman" w:eastAsia="宋体" w:cs="Times New Roman"/>
                      <w:b w:val="0"/>
                      <w:bCs w:val="0"/>
                      <w:color w:val="0000FF"/>
                      <w:sz w:val="21"/>
                      <w:szCs w:val="21"/>
                      <w:highlight w:val="none"/>
                      <w:lang w:val="en-US" w:eastAsia="zh-CN"/>
                    </w:rPr>
                  </w:pPr>
                  <w:r>
                    <w:rPr>
                      <w:rFonts w:hint="default" w:ascii="Times New Roman" w:hAnsi="Times New Roman" w:eastAsia="宋体" w:cs="Times New Roman"/>
                      <w:b w:val="0"/>
                      <w:bCs w:val="0"/>
                      <w:color w:val="0000FF"/>
                      <w:sz w:val="21"/>
                      <w:szCs w:val="21"/>
                      <w:highlight w:val="none"/>
                      <w:lang w:val="en-US" w:eastAsia="zh-CN"/>
                    </w:rPr>
                    <w:t>0.17t</w:t>
                  </w:r>
                </w:p>
              </w:tc>
              <w:tc>
                <w:tcPr>
                  <w:tcW w:w="240" w:type="pct"/>
                  <w:vAlign w:val="center"/>
                </w:tcPr>
                <w:p w14:paraId="07E889CA">
                  <w:pPr>
                    <w:keepNext w:val="0"/>
                    <w:keepLines w:val="0"/>
                    <w:suppressLineNumbers w:val="0"/>
                    <w:spacing w:before="0" w:beforeAutospacing="0" w:after="0" w:afterAutospacing="0"/>
                    <w:ind w:left="0" w:leftChars="0" w:right="0" w:rightChars="0"/>
                    <w:jc w:val="center"/>
                    <w:rPr>
                      <w:rFonts w:hint="eastAsia" w:ascii="Times New Roman" w:hAnsi="Times New Roman" w:eastAsia="宋体" w:cs="Times New Roman"/>
                      <w:b/>
                      <w:bCs/>
                      <w:color w:val="auto"/>
                      <w:kern w:val="0"/>
                      <w:szCs w:val="21"/>
                      <w:lang w:val="en-US" w:eastAsia="zh-CN" w:bidi="ar"/>
                    </w:rPr>
                  </w:pPr>
                  <w:r>
                    <w:rPr>
                      <w:rFonts w:hint="eastAsia" w:ascii="Times New Roman" w:hAnsi="Times New Roman" w:eastAsia="宋体" w:cs="Times New Roman"/>
                      <w:color w:val="auto"/>
                      <w:szCs w:val="21"/>
                      <w:lang w:val="en-US" w:eastAsia="zh-CN"/>
                    </w:rPr>
                    <w:t>/</w:t>
                  </w:r>
                </w:p>
              </w:tc>
            </w:tr>
            <w:tr w14:paraId="74C6FA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272" w:type="pct"/>
                  <w:shd w:val="clear" w:color="auto" w:fill="auto"/>
                  <w:vAlign w:val="center"/>
                </w:tcPr>
                <w:p w14:paraId="7250FA08">
                  <w:pPr>
                    <w:keepNext w:val="0"/>
                    <w:keepLines w:val="0"/>
                    <w:suppressLineNumbers w:val="0"/>
                    <w:spacing w:before="0" w:beforeAutospacing="0" w:after="0" w:afterAutospacing="0" w:line="240" w:lineRule="auto"/>
                    <w:ind w:left="0" w:right="0"/>
                    <w:jc w:val="center"/>
                    <w:rPr>
                      <w:rFonts w:hint="default" w:ascii="Times New Roman" w:hAnsi="Times New Roman" w:eastAsia="宋体" w:cs="Times New Roman"/>
                      <w:b w:val="0"/>
                      <w:bCs w:val="0"/>
                      <w:color w:val="auto"/>
                      <w:kern w:val="2"/>
                      <w:sz w:val="21"/>
                      <w:szCs w:val="21"/>
                      <w:highlight w:val="none"/>
                      <w:lang w:val="en-US" w:eastAsia="zh-CN" w:bidi="ar-SA"/>
                    </w:rPr>
                  </w:pPr>
                  <w:r>
                    <w:rPr>
                      <w:rFonts w:hint="default" w:ascii="Times New Roman" w:hAnsi="Times New Roman" w:eastAsia="宋体" w:cs="Times New Roman"/>
                      <w:b w:val="0"/>
                      <w:bCs w:val="0"/>
                      <w:color w:val="auto"/>
                      <w:sz w:val="21"/>
                      <w:szCs w:val="21"/>
                      <w:highlight w:val="none"/>
                      <w:lang w:val="en-US" w:eastAsia="zh-CN"/>
                    </w:rPr>
                    <w:t>17</w:t>
                  </w:r>
                </w:p>
              </w:tc>
              <w:tc>
                <w:tcPr>
                  <w:tcW w:w="370" w:type="pct"/>
                  <w:vMerge w:val="continue"/>
                  <w:vAlign w:val="center"/>
                </w:tcPr>
                <w:p w14:paraId="7C631F61">
                  <w:pPr>
                    <w:keepNext w:val="0"/>
                    <w:keepLines w:val="0"/>
                    <w:widowControl/>
                    <w:suppressLineNumbers w:val="0"/>
                    <w:spacing w:before="0" w:beforeAutospacing="0" w:after="0" w:afterAutospacing="0"/>
                    <w:ind w:left="0" w:right="0"/>
                    <w:jc w:val="center"/>
                    <w:rPr>
                      <w:rFonts w:hint="eastAsia" w:ascii="Times New Roman" w:hAnsi="Times New Roman" w:eastAsia="宋体" w:cs="Times New Roman"/>
                      <w:b/>
                      <w:bCs/>
                      <w:color w:val="auto"/>
                      <w:kern w:val="0"/>
                      <w:szCs w:val="21"/>
                      <w:lang w:bidi="ar"/>
                    </w:rPr>
                  </w:pPr>
                </w:p>
              </w:tc>
              <w:tc>
                <w:tcPr>
                  <w:tcW w:w="810" w:type="pct"/>
                  <w:gridSpan w:val="2"/>
                  <w:shd w:val="clear" w:color="auto" w:fill="auto"/>
                  <w:vAlign w:val="center"/>
                </w:tcPr>
                <w:p w14:paraId="2C979675">
                  <w:pPr>
                    <w:keepNext w:val="0"/>
                    <w:keepLines w:val="0"/>
                    <w:suppressLineNumbers w:val="0"/>
                    <w:spacing w:before="0" w:beforeAutospacing="0" w:after="0" w:afterAutospacing="0"/>
                    <w:ind w:left="0" w:leftChars="0" w:right="0" w:rightChars="0"/>
                    <w:jc w:val="center"/>
                    <w:rPr>
                      <w:rFonts w:hint="eastAsia" w:ascii="Times New Roman" w:hAnsi="Times New Roman" w:eastAsia="宋体" w:cs="Times New Roman"/>
                      <w:color w:val="auto"/>
                      <w:kern w:val="2"/>
                      <w:sz w:val="21"/>
                      <w:szCs w:val="21"/>
                      <w:lang w:val="en-US" w:eastAsia="zh-CN" w:bidi="ar-SA"/>
                    </w:rPr>
                  </w:pPr>
                  <w:r>
                    <w:rPr>
                      <w:rFonts w:hint="default" w:ascii="Times New Roman" w:hAnsi="Times New Roman" w:eastAsia="宋体" w:cs="Times New Roman"/>
                      <w:color w:val="auto"/>
                      <w:szCs w:val="21"/>
                    </w:rPr>
                    <w:t>润滑油</w:t>
                  </w:r>
                </w:p>
              </w:tc>
              <w:tc>
                <w:tcPr>
                  <w:tcW w:w="645" w:type="pct"/>
                  <w:shd w:val="clear" w:color="auto" w:fill="auto"/>
                  <w:vAlign w:val="center"/>
                </w:tcPr>
                <w:p w14:paraId="3B491A1C">
                  <w:pPr>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color w:val="auto"/>
                      <w:kern w:val="2"/>
                      <w:sz w:val="21"/>
                      <w:szCs w:val="21"/>
                      <w:lang w:val="en-US" w:eastAsia="zh-CN" w:bidi="ar-SA"/>
                    </w:rPr>
                  </w:pPr>
                  <w:r>
                    <w:rPr>
                      <w:rFonts w:hint="default" w:ascii="Times New Roman" w:hAnsi="Times New Roman" w:eastAsia="宋体" w:cs="Times New Roman"/>
                      <w:color w:val="auto"/>
                      <w:szCs w:val="21"/>
                    </w:rPr>
                    <w:t>170kg/铁桶</w:t>
                  </w:r>
                </w:p>
              </w:tc>
              <w:tc>
                <w:tcPr>
                  <w:tcW w:w="581" w:type="pct"/>
                  <w:shd w:val="clear" w:color="auto" w:fill="auto"/>
                  <w:vAlign w:val="center"/>
                </w:tcPr>
                <w:p w14:paraId="12305D75">
                  <w:pPr>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color w:val="0000FF"/>
                      <w:kern w:val="2"/>
                      <w:sz w:val="21"/>
                      <w:szCs w:val="21"/>
                      <w:lang w:val="en-US" w:eastAsia="zh-CN" w:bidi="ar-SA"/>
                    </w:rPr>
                  </w:pPr>
                  <w:r>
                    <w:rPr>
                      <w:rFonts w:hint="default" w:ascii="Times New Roman" w:hAnsi="Times New Roman" w:eastAsia="宋体" w:cs="Times New Roman"/>
                      <w:color w:val="0000FF"/>
                      <w:szCs w:val="21"/>
                    </w:rPr>
                    <w:t>1.2t</w:t>
                  </w:r>
                </w:p>
              </w:tc>
              <w:tc>
                <w:tcPr>
                  <w:tcW w:w="516" w:type="pct"/>
                  <w:shd w:val="clear" w:color="auto" w:fill="auto"/>
                  <w:vAlign w:val="center"/>
                </w:tcPr>
                <w:p w14:paraId="3EAB0A84">
                  <w:pPr>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color w:val="0000FF"/>
                      <w:kern w:val="2"/>
                      <w:sz w:val="21"/>
                      <w:szCs w:val="21"/>
                      <w:lang w:val="en-US" w:eastAsia="zh-CN" w:bidi="ar-SA"/>
                    </w:rPr>
                  </w:pPr>
                  <w:r>
                    <w:rPr>
                      <w:rFonts w:hint="default" w:ascii="Times New Roman" w:hAnsi="Times New Roman" w:eastAsia="宋体" w:cs="Times New Roman"/>
                      <w:color w:val="0000FF"/>
                      <w:szCs w:val="21"/>
                    </w:rPr>
                    <w:t>1.2t</w:t>
                  </w:r>
                </w:p>
              </w:tc>
              <w:tc>
                <w:tcPr>
                  <w:tcW w:w="524" w:type="pct"/>
                  <w:shd w:val="clear" w:color="auto" w:fill="auto"/>
                  <w:vAlign w:val="center"/>
                </w:tcPr>
                <w:p w14:paraId="6DF7A698">
                  <w:pPr>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color w:val="0000FF"/>
                      <w:kern w:val="2"/>
                      <w:sz w:val="21"/>
                      <w:szCs w:val="21"/>
                      <w:lang w:val="en-US" w:eastAsia="zh-CN" w:bidi="ar-SA"/>
                    </w:rPr>
                  </w:pPr>
                  <w:r>
                    <w:rPr>
                      <w:rFonts w:hint="default" w:ascii="Times New Roman" w:hAnsi="Times New Roman" w:eastAsia="宋体" w:cs="Times New Roman"/>
                      <w:color w:val="0000FF"/>
                      <w:szCs w:val="21"/>
                    </w:rPr>
                    <w:t>1.2t</w:t>
                  </w:r>
                </w:p>
              </w:tc>
              <w:tc>
                <w:tcPr>
                  <w:tcW w:w="571" w:type="pct"/>
                  <w:shd w:val="clear" w:color="auto" w:fill="auto"/>
                  <w:vAlign w:val="center"/>
                </w:tcPr>
                <w:p w14:paraId="0AAAF9A1">
                  <w:pPr>
                    <w:keepNext w:val="0"/>
                    <w:keepLines w:val="0"/>
                    <w:suppressLineNumbers w:val="0"/>
                    <w:spacing w:before="0" w:beforeAutospacing="0" w:after="0" w:afterAutospacing="0" w:line="240" w:lineRule="auto"/>
                    <w:ind w:left="0" w:right="0"/>
                    <w:jc w:val="center"/>
                    <w:rPr>
                      <w:rFonts w:hint="default" w:ascii="Times New Roman" w:hAnsi="Times New Roman" w:eastAsia="宋体" w:cs="Times New Roman"/>
                      <w:b w:val="0"/>
                      <w:bCs w:val="0"/>
                      <w:color w:val="auto"/>
                      <w:kern w:val="2"/>
                      <w:sz w:val="21"/>
                      <w:szCs w:val="21"/>
                      <w:highlight w:val="none"/>
                      <w:lang w:val="en-US" w:eastAsia="zh-CN" w:bidi="ar-SA"/>
                    </w:rPr>
                  </w:pPr>
                  <w:r>
                    <w:rPr>
                      <w:rFonts w:hint="default" w:ascii="Times New Roman" w:hAnsi="Times New Roman" w:eastAsia="宋体" w:cs="Times New Roman"/>
                      <w:b w:val="0"/>
                      <w:bCs w:val="0"/>
                      <w:color w:val="auto"/>
                      <w:sz w:val="21"/>
                      <w:szCs w:val="21"/>
                      <w:highlight w:val="none"/>
                      <w:lang w:val="en-US" w:eastAsia="zh-CN"/>
                    </w:rPr>
                    <w:t>0</w:t>
                  </w:r>
                </w:p>
              </w:tc>
              <w:tc>
                <w:tcPr>
                  <w:tcW w:w="466" w:type="pct"/>
                  <w:shd w:val="clear" w:color="auto" w:fill="auto"/>
                  <w:vAlign w:val="center"/>
                </w:tcPr>
                <w:p w14:paraId="1537AFA3">
                  <w:pPr>
                    <w:keepNext w:val="0"/>
                    <w:keepLines w:val="0"/>
                    <w:suppressLineNumbers w:val="0"/>
                    <w:spacing w:before="0" w:beforeAutospacing="0" w:after="0" w:afterAutospacing="0" w:line="240" w:lineRule="auto"/>
                    <w:ind w:left="0" w:right="0"/>
                    <w:jc w:val="center"/>
                    <w:rPr>
                      <w:rFonts w:hint="default" w:ascii="Times New Roman" w:hAnsi="Times New Roman" w:eastAsia="宋体" w:cs="Times New Roman"/>
                      <w:b w:val="0"/>
                      <w:bCs w:val="0"/>
                      <w:color w:val="0000FF"/>
                      <w:sz w:val="21"/>
                      <w:szCs w:val="21"/>
                      <w:highlight w:val="none"/>
                      <w:lang w:val="en-US" w:eastAsia="zh-CN"/>
                    </w:rPr>
                  </w:pPr>
                  <w:r>
                    <w:rPr>
                      <w:rFonts w:hint="default" w:ascii="Times New Roman" w:hAnsi="Times New Roman" w:eastAsia="宋体" w:cs="Times New Roman"/>
                      <w:b w:val="0"/>
                      <w:bCs w:val="0"/>
                      <w:color w:val="0000FF"/>
                      <w:sz w:val="21"/>
                      <w:szCs w:val="21"/>
                      <w:highlight w:val="none"/>
                      <w:lang w:val="en-US" w:eastAsia="zh-CN"/>
                    </w:rPr>
                    <w:t>0.17t</w:t>
                  </w:r>
                </w:p>
              </w:tc>
              <w:tc>
                <w:tcPr>
                  <w:tcW w:w="240" w:type="pct"/>
                  <w:vAlign w:val="center"/>
                </w:tcPr>
                <w:p w14:paraId="55E7008C">
                  <w:pPr>
                    <w:keepNext w:val="0"/>
                    <w:keepLines w:val="0"/>
                    <w:suppressLineNumbers w:val="0"/>
                    <w:spacing w:before="0" w:beforeAutospacing="0" w:after="0" w:afterAutospacing="0"/>
                    <w:ind w:left="0" w:leftChars="0" w:right="0" w:rightChars="0"/>
                    <w:jc w:val="center"/>
                    <w:rPr>
                      <w:rFonts w:hint="eastAsia" w:ascii="Times New Roman" w:hAnsi="Times New Roman" w:eastAsia="宋体" w:cs="Times New Roman"/>
                      <w:b/>
                      <w:bCs/>
                      <w:color w:val="auto"/>
                      <w:kern w:val="0"/>
                      <w:szCs w:val="21"/>
                      <w:lang w:val="en-US" w:eastAsia="zh-CN" w:bidi="ar"/>
                    </w:rPr>
                  </w:pPr>
                  <w:r>
                    <w:rPr>
                      <w:rFonts w:hint="eastAsia" w:ascii="Times New Roman" w:hAnsi="Times New Roman" w:eastAsia="宋体" w:cs="Times New Roman"/>
                      <w:color w:val="auto"/>
                      <w:szCs w:val="21"/>
                      <w:lang w:val="en-US" w:eastAsia="zh-CN"/>
                    </w:rPr>
                    <w:t>/</w:t>
                  </w:r>
                </w:p>
              </w:tc>
            </w:tr>
            <w:tr w14:paraId="3A3103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272" w:type="pct"/>
                  <w:shd w:val="clear" w:color="auto" w:fill="auto"/>
                  <w:vAlign w:val="center"/>
                </w:tcPr>
                <w:p w14:paraId="25156D03">
                  <w:pPr>
                    <w:keepNext w:val="0"/>
                    <w:keepLines w:val="0"/>
                    <w:suppressLineNumbers w:val="0"/>
                    <w:spacing w:before="0" w:beforeAutospacing="0" w:after="0" w:afterAutospacing="0" w:line="240" w:lineRule="auto"/>
                    <w:ind w:left="0" w:right="0"/>
                    <w:jc w:val="center"/>
                    <w:rPr>
                      <w:rFonts w:hint="default" w:ascii="Times New Roman" w:hAnsi="Times New Roman" w:eastAsia="宋体" w:cs="Times New Roman"/>
                      <w:b w:val="0"/>
                      <w:bCs w:val="0"/>
                      <w:color w:val="auto"/>
                      <w:kern w:val="2"/>
                      <w:sz w:val="21"/>
                      <w:szCs w:val="21"/>
                      <w:highlight w:val="none"/>
                      <w:lang w:val="en-US" w:eastAsia="zh-CN" w:bidi="ar-SA"/>
                    </w:rPr>
                  </w:pPr>
                  <w:r>
                    <w:rPr>
                      <w:rFonts w:hint="default" w:ascii="Times New Roman" w:hAnsi="Times New Roman" w:eastAsia="宋体" w:cs="Times New Roman"/>
                      <w:b w:val="0"/>
                      <w:bCs w:val="0"/>
                      <w:color w:val="auto"/>
                      <w:sz w:val="21"/>
                      <w:szCs w:val="21"/>
                      <w:highlight w:val="none"/>
                      <w:lang w:val="en-US" w:eastAsia="zh-CN"/>
                    </w:rPr>
                    <w:t>18</w:t>
                  </w:r>
                </w:p>
              </w:tc>
              <w:tc>
                <w:tcPr>
                  <w:tcW w:w="370" w:type="pct"/>
                  <w:vMerge w:val="continue"/>
                  <w:vAlign w:val="center"/>
                </w:tcPr>
                <w:p w14:paraId="2BB3378E">
                  <w:pPr>
                    <w:keepNext w:val="0"/>
                    <w:keepLines w:val="0"/>
                    <w:widowControl/>
                    <w:suppressLineNumbers w:val="0"/>
                    <w:spacing w:before="0" w:beforeAutospacing="0" w:after="0" w:afterAutospacing="0"/>
                    <w:ind w:left="0" w:right="0"/>
                    <w:jc w:val="center"/>
                    <w:rPr>
                      <w:rFonts w:hint="eastAsia" w:ascii="Times New Roman" w:hAnsi="Times New Roman" w:eastAsia="宋体" w:cs="Times New Roman"/>
                      <w:b/>
                      <w:bCs/>
                      <w:color w:val="auto"/>
                      <w:kern w:val="0"/>
                      <w:szCs w:val="21"/>
                      <w:lang w:bidi="ar"/>
                    </w:rPr>
                  </w:pPr>
                </w:p>
              </w:tc>
              <w:tc>
                <w:tcPr>
                  <w:tcW w:w="810" w:type="pct"/>
                  <w:gridSpan w:val="2"/>
                  <w:shd w:val="clear" w:color="auto" w:fill="auto"/>
                  <w:vAlign w:val="center"/>
                </w:tcPr>
                <w:p w14:paraId="0C493C41">
                  <w:pPr>
                    <w:keepNext w:val="0"/>
                    <w:keepLines w:val="0"/>
                    <w:suppressLineNumbers w:val="0"/>
                    <w:spacing w:before="0" w:beforeAutospacing="0" w:after="0" w:afterAutospacing="0"/>
                    <w:ind w:left="0" w:leftChars="0" w:right="0" w:rightChars="0"/>
                    <w:jc w:val="center"/>
                    <w:rPr>
                      <w:rFonts w:hint="eastAsia" w:ascii="Times New Roman" w:hAnsi="Times New Roman" w:eastAsia="宋体" w:cs="Times New Roman"/>
                      <w:color w:val="auto"/>
                      <w:kern w:val="2"/>
                      <w:sz w:val="21"/>
                      <w:szCs w:val="21"/>
                      <w:lang w:val="en-US" w:eastAsia="zh-CN" w:bidi="ar-SA"/>
                    </w:rPr>
                  </w:pPr>
                  <w:r>
                    <w:rPr>
                      <w:rFonts w:hint="default" w:ascii="Times New Roman" w:hAnsi="Times New Roman" w:eastAsia="宋体" w:cs="Times New Roman"/>
                      <w:color w:val="auto"/>
                      <w:szCs w:val="21"/>
                    </w:rPr>
                    <w:t>水</w:t>
                  </w:r>
                </w:p>
              </w:tc>
              <w:tc>
                <w:tcPr>
                  <w:tcW w:w="645" w:type="pct"/>
                  <w:shd w:val="clear" w:color="auto" w:fill="auto"/>
                  <w:vAlign w:val="center"/>
                </w:tcPr>
                <w:p w14:paraId="3EC6FF0A">
                  <w:pPr>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color w:val="auto"/>
                      <w:kern w:val="2"/>
                      <w:sz w:val="21"/>
                      <w:szCs w:val="21"/>
                      <w:lang w:val="en-US" w:eastAsia="zh-CN" w:bidi="ar-SA"/>
                    </w:rPr>
                  </w:pPr>
                  <w:r>
                    <w:rPr>
                      <w:rFonts w:hint="default" w:ascii="Times New Roman" w:hAnsi="Times New Roman" w:eastAsia="宋体" w:cs="Times New Roman"/>
                      <w:color w:val="auto"/>
                      <w:szCs w:val="21"/>
                    </w:rPr>
                    <w:t>/</w:t>
                  </w:r>
                </w:p>
              </w:tc>
              <w:tc>
                <w:tcPr>
                  <w:tcW w:w="581" w:type="pct"/>
                  <w:shd w:val="clear" w:color="auto" w:fill="auto"/>
                  <w:vAlign w:val="center"/>
                </w:tcPr>
                <w:p w14:paraId="5C841B36">
                  <w:pPr>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color w:val="0000FF"/>
                      <w:kern w:val="2"/>
                      <w:sz w:val="21"/>
                      <w:szCs w:val="21"/>
                      <w:lang w:val="en-US" w:eastAsia="zh-CN" w:bidi="ar-SA"/>
                    </w:rPr>
                  </w:pPr>
                  <w:r>
                    <w:rPr>
                      <w:rFonts w:hint="default" w:ascii="Times New Roman" w:hAnsi="Times New Roman" w:eastAsia="宋体" w:cs="Times New Roman"/>
                      <w:color w:val="0000FF"/>
                      <w:szCs w:val="21"/>
                    </w:rPr>
                    <w:t>30348t</w:t>
                  </w:r>
                </w:p>
              </w:tc>
              <w:tc>
                <w:tcPr>
                  <w:tcW w:w="516" w:type="pct"/>
                  <w:shd w:val="clear" w:color="auto" w:fill="auto"/>
                  <w:vAlign w:val="center"/>
                </w:tcPr>
                <w:p w14:paraId="58C548B2">
                  <w:pPr>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color w:val="0000FF"/>
                      <w:kern w:val="2"/>
                      <w:sz w:val="21"/>
                      <w:szCs w:val="21"/>
                      <w:lang w:val="en-US" w:eastAsia="zh-CN" w:bidi="ar-SA"/>
                    </w:rPr>
                  </w:pPr>
                  <w:r>
                    <w:rPr>
                      <w:rFonts w:hint="default" w:ascii="Times New Roman" w:hAnsi="Times New Roman" w:eastAsia="宋体" w:cs="Times New Roman"/>
                      <w:color w:val="0000FF"/>
                      <w:szCs w:val="21"/>
                    </w:rPr>
                    <w:t>34020t</w:t>
                  </w:r>
                </w:p>
              </w:tc>
              <w:tc>
                <w:tcPr>
                  <w:tcW w:w="524" w:type="pct"/>
                  <w:shd w:val="clear" w:color="auto" w:fill="auto"/>
                  <w:vAlign w:val="center"/>
                </w:tcPr>
                <w:p w14:paraId="5C25431A">
                  <w:pPr>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color w:val="0000FF"/>
                      <w:kern w:val="2"/>
                      <w:sz w:val="21"/>
                      <w:szCs w:val="21"/>
                      <w:lang w:val="en-US" w:eastAsia="zh-CN" w:bidi="ar-SA"/>
                    </w:rPr>
                  </w:pPr>
                  <w:r>
                    <w:rPr>
                      <w:rFonts w:hint="default" w:ascii="Times New Roman" w:hAnsi="Times New Roman" w:eastAsia="宋体" w:cs="Times New Roman"/>
                      <w:color w:val="0000FF"/>
                      <w:szCs w:val="21"/>
                    </w:rPr>
                    <w:t>34020t</w:t>
                  </w:r>
                </w:p>
              </w:tc>
              <w:tc>
                <w:tcPr>
                  <w:tcW w:w="571" w:type="pct"/>
                  <w:shd w:val="clear" w:color="auto" w:fill="auto"/>
                  <w:vAlign w:val="center"/>
                </w:tcPr>
                <w:p w14:paraId="1303225D">
                  <w:pPr>
                    <w:keepNext w:val="0"/>
                    <w:keepLines w:val="0"/>
                    <w:suppressLineNumbers w:val="0"/>
                    <w:spacing w:before="0" w:beforeAutospacing="0" w:after="0" w:afterAutospacing="0" w:line="240" w:lineRule="auto"/>
                    <w:ind w:left="0" w:right="0"/>
                    <w:jc w:val="center"/>
                    <w:rPr>
                      <w:rFonts w:hint="default" w:ascii="Times New Roman" w:hAnsi="Times New Roman" w:eastAsia="宋体" w:cs="Times New Roman"/>
                      <w:b w:val="0"/>
                      <w:bCs w:val="0"/>
                      <w:color w:val="auto"/>
                      <w:kern w:val="2"/>
                      <w:sz w:val="21"/>
                      <w:szCs w:val="21"/>
                      <w:highlight w:val="none"/>
                      <w:lang w:val="en-US" w:eastAsia="zh-CN" w:bidi="ar-SA"/>
                    </w:rPr>
                  </w:pPr>
                  <w:r>
                    <w:rPr>
                      <w:rFonts w:hint="default" w:ascii="Times New Roman" w:hAnsi="Times New Roman" w:eastAsia="宋体" w:cs="Times New Roman"/>
                      <w:b w:val="0"/>
                      <w:bCs w:val="0"/>
                      <w:color w:val="auto"/>
                      <w:sz w:val="21"/>
                      <w:szCs w:val="21"/>
                      <w:highlight w:val="none"/>
                      <w:lang w:val="en-US" w:eastAsia="zh-CN"/>
                    </w:rPr>
                    <w:t>+3672t</w:t>
                  </w:r>
                </w:p>
              </w:tc>
              <w:tc>
                <w:tcPr>
                  <w:tcW w:w="466" w:type="pct"/>
                  <w:vAlign w:val="center"/>
                </w:tcPr>
                <w:p w14:paraId="25EDF7F5">
                  <w:pPr>
                    <w:keepNext w:val="0"/>
                    <w:keepLines w:val="0"/>
                    <w:suppressLineNumbers w:val="0"/>
                    <w:spacing w:before="0" w:beforeAutospacing="0" w:after="0" w:afterAutospacing="0" w:line="240" w:lineRule="auto"/>
                    <w:ind w:left="0" w:right="0"/>
                    <w:jc w:val="center"/>
                    <w:rPr>
                      <w:rFonts w:hint="default" w:ascii="Times New Roman" w:hAnsi="Times New Roman" w:eastAsia="宋体" w:cs="Times New Roman"/>
                      <w:b w:val="0"/>
                      <w:bCs w:val="0"/>
                      <w:color w:val="0000FF"/>
                      <w:sz w:val="21"/>
                      <w:szCs w:val="21"/>
                      <w:highlight w:val="none"/>
                      <w:lang w:val="en-US" w:eastAsia="zh-CN"/>
                    </w:rPr>
                  </w:pPr>
                  <w:r>
                    <w:rPr>
                      <w:rFonts w:hint="default" w:ascii="Times New Roman" w:hAnsi="Times New Roman" w:eastAsia="宋体" w:cs="Times New Roman"/>
                      <w:b w:val="0"/>
                      <w:bCs w:val="0"/>
                      <w:color w:val="0000FF"/>
                      <w:sz w:val="21"/>
                      <w:szCs w:val="21"/>
                      <w:highlight w:val="none"/>
                      <w:lang w:val="en-US" w:eastAsia="zh-CN"/>
                    </w:rPr>
                    <w:t>/</w:t>
                  </w:r>
                </w:p>
              </w:tc>
              <w:tc>
                <w:tcPr>
                  <w:tcW w:w="240" w:type="pct"/>
                  <w:vAlign w:val="center"/>
                </w:tcPr>
                <w:p w14:paraId="47AE6EA8">
                  <w:pPr>
                    <w:keepNext w:val="0"/>
                    <w:keepLines w:val="0"/>
                    <w:suppressLineNumbers w:val="0"/>
                    <w:spacing w:before="0" w:beforeAutospacing="0" w:after="0" w:afterAutospacing="0"/>
                    <w:ind w:left="0" w:leftChars="0" w:right="0" w:rightChars="0"/>
                    <w:jc w:val="center"/>
                    <w:rPr>
                      <w:rFonts w:hint="eastAsia" w:ascii="Times New Roman" w:hAnsi="Times New Roman" w:eastAsia="宋体" w:cs="Times New Roman"/>
                      <w:b/>
                      <w:bCs/>
                      <w:color w:val="auto"/>
                      <w:kern w:val="0"/>
                      <w:szCs w:val="21"/>
                      <w:lang w:val="en-US" w:eastAsia="zh-CN" w:bidi="ar"/>
                    </w:rPr>
                  </w:pPr>
                  <w:r>
                    <w:rPr>
                      <w:rFonts w:hint="eastAsia" w:ascii="Times New Roman" w:hAnsi="Times New Roman" w:eastAsia="宋体" w:cs="Times New Roman"/>
                      <w:color w:val="auto"/>
                      <w:szCs w:val="21"/>
                      <w:lang w:val="en-US" w:eastAsia="zh-CN"/>
                    </w:rPr>
                    <w:t>/</w:t>
                  </w:r>
                </w:p>
              </w:tc>
            </w:tr>
            <w:tr w14:paraId="6A7481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272" w:type="pct"/>
                  <w:shd w:val="clear" w:color="auto" w:fill="auto"/>
                  <w:vAlign w:val="center"/>
                </w:tcPr>
                <w:p w14:paraId="1E1D1BF7">
                  <w:pPr>
                    <w:keepNext w:val="0"/>
                    <w:keepLines w:val="0"/>
                    <w:suppressLineNumbers w:val="0"/>
                    <w:spacing w:before="0" w:beforeAutospacing="0" w:after="0" w:afterAutospacing="0" w:line="240" w:lineRule="auto"/>
                    <w:ind w:left="0" w:right="0"/>
                    <w:jc w:val="center"/>
                    <w:rPr>
                      <w:rFonts w:hint="default" w:ascii="Times New Roman" w:hAnsi="Times New Roman" w:eastAsia="宋体" w:cs="Times New Roman"/>
                      <w:b w:val="0"/>
                      <w:bCs w:val="0"/>
                      <w:color w:val="auto"/>
                      <w:kern w:val="2"/>
                      <w:sz w:val="21"/>
                      <w:szCs w:val="21"/>
                      <w:highlight w:val="none"/>
                      <w:lang w:val="en-US" w:eastAsia="zh-CN" w:bidi="ar-SA"/>
                    </w:rPr>
                  </w:pPr>
                  <w:r>
                    <w:rPr>
                      <w:rFonts w:hint="default" w:ascii="Times New Roman" w:hAnsi="Times New Roman" w:eastAsia="宋体" w:cs="Times New Roman"/>
                      <w:b w:val="0"/>
                      <w:bCs w:val="0"/>
                      <w:color w:val="auto"/>
                      <w:sz w:val="21"/>
                      <w:szCs w:val="21"/>
                      <w:highlight w:val="none"/>
                      <w:lang w:val="en-US" w:eastAsia="zh-CN"/>
                    </w:rPr>
                    <w:t>19</w:t>
                  </w:r>
                </w:p>
              </w:tc>
              <w:tc>
                <w:tcPr>
                  <w:tcW w:w="370" w:type="pct"/>
                  <w:vMerge w:val="continue"/>
                  <w:vAlign w:val="center"/>
                </w:tcPr>
                <w:p w14:paraId="4EBA53DA">
                  <w:pPr>
                    <w:keepNext w:val="0"/>
                    <w:keepLines w:val="0"/>
                    <w:widowControl/>
                    <w:suppressLineNumbers w:val="0"/>
                    <w:spacing w:before="0" w:beforeAutospacing="0" w:after="0" w:afterAutospacing="0"/>
                    <w:ind w:left="0" w:right="0"/>
                    <w:jc w:val="center"/>
                    <w:rPr>
                      <w:rFonts w:hint="eastAsia" w:ascii="Times New Roman" w:hAnsi="Times New Roman" w:eastAsia="宋体" w:cs="Times New Roman"/>
                      <w:b/>
                      <w:bCs/>
                      <w:color w:val="auto"/>
                      <w:kern w:val="0"/>
                      <w:szCs w:val="21"/>
                      <w:lang w:bidi="ar"/>
                    </w:rPr>
                  </w:pPr>
                </w:p>
              </w:tc>
              <w:tc>
                <w:tcPr>
                  <w:tcW w:w="810" w:type="pct"/>
                  <w:gridSpan w:val="2"/>
                  <w:shd w:val="clear" w:color="auto" w:fill="auto"/>
                  <w:vAlign w:val="center"/>
                </w:tcPr>
                <w:p w14:paraId="6CE7A2CD">
                  <w:pPr>
                    <w:keepNext w:val="0"/>
                    <w:keepLines w:val="0"/>
                    <w:suppressLineNumbers w:val="0"/>
                    <w:spacing w:before="0" w:beforeAutospacing="0" w:after="0" w:afterAutospacing="0"/>
                    <w:ind w:left="0" w:leftChars="0" w:right="0" w:rightChars="0"/>
                    <w:jc w:val="center"/>
                    <w:rPr>
                      <w:rFonts w:hint="eastAsia" w:ascii="Times New Roman" w:hAnsi="Times New Roman" w:eastAsia="宋体" w:cs="Times New Roman"/>
                      <w:color w:val="auto"/>
                      <w:kern w:val="2"/>
                      <w:sz w:val="21"/>
                      <w:szCs w:val="21"/>
                      <w:lang w:val="en-US" w:eastAsia="zh-CN" w:bidi="ar-SA"/>
                    </w:rPr>
                  </w:pPr>
                  <w:r>
                    <w:rPr>
                      <w:rFonts w:hint="default" w:ascii="Times New Roman" w:hAnsi="Times New Roman" w:eastAsia="宋体" w:cs="Times New Roman"/>
                      <w:color w:val="auto"/>
                      <w:szCs w:val="21"/>
                    </w:rPr>
                    <w:t>电</w:t>
                  </w:r>
                </w:p>
              </w:tc>
              <w:tc>
                <w:tcPr>
                  <w:tcW w:w="645" w:type="pct"/>
                  <w:shd w:val="clear" w:color="auto" w:fill="auto"/>
                  <w:vAlign w:val="center"/>
                </w:tcPr>
                <w:p w14:paraId="50BA8CA0">
                  <w:pPr>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color w:val="auto"/>
                      <w:kern w:val="2"/>
                      <w:sz w:val="21"/>
                      <w:szCs w:val="21"/>
                      <w:lang w:val="en-US" w:eastAsia="zh-CN" w:bidi="ar-SA"/>
                    </w:rPr>
                  </w:pPr>
                  <w:r>
                    <w:rPr>
                      <w:rFonts w:hint="default" w:ascii="Times New Roman" w:hAnsi="Times New Roman" w:eastAsia="宋体" w:cs="Times New Roman"/>
                      <w:color w:val="auto"/>
                      <w:szCs w:val="21"/>
                    </w:rPr>
                    <w:t>/</w:t>
                  </w:r>
                </w:p>
              </w:tc>
              <w:tc>
                <w:tcPr>
                  <w:tcW w:w="581" w:type="pct"/>
                  <w:shd w:val="clear" w:color="auto" w:fill="auto"/>
                  <w:vAlign w:val="center"/>
                </w:tcPr>
                <w:p w14:paraId="147FA8A8">
                  <w:pPr>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color w:val="0000FF"/>
                      <w:kern w:val="2"/>
                      <w:sz w:val="21"/>
                      <w:szCs w:val="21"/>
                      <w:lang w:val="en-US" w:eastAsia="zh-CN" w:bidi="ar-SA"/>
                    </w:rPr>
                  </w:pPr>
                  <w:r>
                    <w:rPr>
                      <w:rFonts w:hint="default" w:ascii="Times New Roman" w:hAnsi="Times New Roman" w:eastAsia="宋体" w:cs="Times New Roman"/>
                      <w:color w:val="0000FF"/>
                      <w:szCs w:val="21"/>
                    </w:rPr>
                    <w:t>3560万kWh</w:t>
                  </w:r>
                </w:p>
              </w:tc>
              <w:tc>
                <w:tcPr>
                  <w:tcW w:w="516" w:type="pct"/>
                  <w:shd w:val="clear" w:color="auto" w:fill="auto"/>
                  <w:vAlign w:val="center"/>
                </w:tcPr>
                <w:p w14:paraId="5973FB9C">
                  <w:pPr>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color w:val="0000FF"/>
                      <w:kern w:val="2"/>
                      <w:sz w:val="21"/>
                      <w:szCs w:val="21"/>
                      <w:lang w:val="en-US" w:eastAsia="zh-CN" w:bidi="ar-SA"/>
                    </w:rPr>
                  </w:pPr>
                  <w:r>
                    <w:rPr>
                      <w:rFonts w:hint="default" w:ascii="Times New Roman" w:hAnsi="Times New Roman" w:eastAsia="宋体" w:cs="Times New Roman"/>
                      <w:color w:val="0000FF"/>
                      <w:szCs w:val="21"/>
                    </w:rPr>
                    <w:t>2271万kWh</w:t>
                  </w:r>
                </w:p>
              </w:tc>
              <w:tc>
                <w:tcPr>
                  <w:tcW w:w="524" w:type="pct"/>
                  <w:shd w:val="clear" w:color="auto" w:fill="auto"/>
                  <w:vAlign w:val="center"/>
                </w:tcPr>
                <w:p w14:paraId="423B8A47">
                  <w:pPr>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color w:val="0000FF"/>
                      <w:kern w:val="2"/>
                      <w:sz w:val="21"/>
                      <w:szCs w:val="21"/>
                      <w:lang w:val="en-US" w:eastAsia="zh-CN" w:bidi="ar-SA"/>
                    </w:rPr>
                  </w:pPr>
                  <w:r>
                    <w:rPr>
                      <w:rFonts w:hint="default" w:ascii="Times New Roman" w:hAnsi="Times New Roman" w:eastAsia="宋体" w:cs="Times New Roman"/>
                      <w:color w:val="0000FF"/>
                      <w:szCs w:val="21"/>
                    </w:rPr>
                    <w:t>2271万kWh</w:t>
                  </w:r>
                </w:p>
              </w:tc>
              <w:tc>
                <w:tcPr>
                  <w:tcW w:w="571" w:type="pct"/>
                  <w:shd w:val="clear" w:color="auto" w:fill="auto"/>
                  <w:vAlign w:val="center"/>
                </w:tcPr>
                <w:p w14:paraId="176C4B5B">
                  <w:pPr>
                    <w:keepNext w:val="0"/>
                    <w:keepLines w:val="0"/>
                    <w:suppressLineNumbers w:val="0"/>
                    <w:spacing w:before="0" w:beforeAutospacing="0" w:after="0" w:afterAutospacing="0" w:line="240" w:lineRule="auto"/>
                    <w:ind w:left="0" w:right="0"/>
                    <w:jc w:val="center"/>
                    <w:rPr>
                      <w:rFonts w:hint="default" w:ascii="Times New Roman" w:hAnsi="Times New Roman" w:eastAsia="宋体" w:cs="Times New Roman"/>
                      <w:b w:val="0"/>
                      <w:bCs w:val="0"/>
                      <w:color w:val="auto"/>
                      <w:kern w:val="2"/>
                      <w:sz w:val="21"/>
                      <w:szCs w:val="21"/>
                      <w:highlight w:val="none"/>
                      <w:lang w:val="en-US" w:eastAsia="zh-CN" w:bidi="ar-SA"/>
                    </w:rPr>
                  </w:pPr>
                  <w:r>
                    <w:rPr>
                      <w:rFonts w:hint="default" w:ascii="Times New Roman" w:hAnsi="Times New Roman" w:eastAsia="宋体" w:cs="Times New Roman"/>
                      <w:b w:val="0"/>
                      <w:bCs w:val="0"/>
                      <w:color w:val="auto"/>
                      <w:sz w:val="21"/>
                      <w:szCs w:val="21"/>
                      <w:highlight w:val="none"/>
                      <w:lang w:val="en-US" w:eastAsia="zh-CN"/>
                    </w:rPr>
                    <w:t>-1289万kWh</w:t>
                  </w:r>
                </w:p>
              </w:tc>
              <w:tc>
                <w:tcPr>
                  <w:tcW w:w="466" w:type="pct"/>
                  <w:vAlign w:val="center"/>
                </w:tcPr>
                <w:p w14:paraId="0CFACBE8">
                  <w:pPr>
                    <w:keepNext w:val="0"/>
                    <w:keepLines w:val="0"/>
                    <w:suppressLineNumbers w:val="0"/>
                    <w:spacing w:before="0" w:beforeAutospacing="0" w:after="0" w:afterAutospacing="0" w:line="240" w:lineRule="auto"/>
                    <w:ind w:left="0" w:right="0"/>
                    <w:jc w:val="center"/>
                    <w:rPr>
                      <w:rFonts w:hint="default" w:ascii="Times New Roman" w:hAnsi="Times New Roman" w:eastAsia="宋体" w:cs="Times New Roman"/>
                      <w:b w:val="0"/>
                      <w:bCs w:val="0"/>
                      <w:color w:val="0000FF"/>
                      <w:sz w:val="21"/>
                      <w:szCs w:val="21"/>
                      <w:highlight w:val="none"/>
                      <w:lang w:val="en-US" w:eastAsia="zh-CN"/>
                    </w:rPr>
                  </w:pPr>
                  <w:r>
                    <w:rPr>
                      <w:rFonts w:hint="default" w:ascii="Times New Roman" w:hAnsi="Times New Roman" w:eastAsia="宋体" w:cs="Times New Roman"/>
                      <w:b w:val="0"/>
                      <w:bCs w:val="0"/>
                      <w:color w:val="0000FF"/>
                      <w:sz w:val="21"/>
                      <w:szCs w:val="21"/>
                      <w:highlight w:val="none"/>
                      <w:lang w:val="en-US" w:eastAsia="zh-CN"/>
                    </w:rPr>
                    <w:t>/</w:t>
                  </w:r>
                </w:p>
              </w:tc>
              <w:tc>
                <w:tcPr>
                  <w:tcW w:w="240" w:type="pct"/>
                  <w:vAlign w:val="center"/>
                </w:tcPr>
                <w:p w14:paraId="16162456">
                  <w:pPr>
                    <w:keepNext w:val="0"/>
                    <w:keepLines w:val="0"/>
                    <w:suppressLineNumbers w:val="0"/>
                    <w:spacing w:before="0" w:beforeAutospacing="0" w:after="0" w:afterAutospacing="0"/>
                    <w:ind w:left="0" w:leftChars="0" w:right="0" w:rightChars="0"/>
                    <w:jc w:val="center"/>
                    <w:rPr>
                      <w:rFonts w:hint="eastAsia" w:ascii="Times New Roman" w:hAnsi="Times New Roman" w:eastAsia="宋体" w:cs="Times New Roman"/>
                      <w:b/>
                      <w:bCs/>
                      <w:color w:val="auto"/>
                      <w:kern w:val="0"/>
                      <w:szCs w:val="21"/>
                      <w:lang w:val="en-US" w:eastAsia="zh-CN" w:bidi="ar"/>
                    </w:rPr>
                  </w:pPr>
                  <w:r>
                    <w:rPr>
                      <w:rFonts w:hint="eastAsia" w:ascii="Times New Roman" w:hAnsi="Times New Roman" w:eastAsia="宋体" w:cs="Times New Roman"/>
                      <w:color w:val="auto"/>
                      <w:szCs w:val="21"/>
                      <w:lang w:val="en-US" w:eastAsia="zh-CN"/>
                    </w:rPr>
                    <w:t>/</w:t>
                  </w:r>
                </w:p>
              </w:tc>
            </w:tr>
            <w:tr w14:paraId="518A54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5000" w:type="pct"/>
                  <w:gridSpan w:val="11"/>
                  <w:vAlign w:val="center"/>
                </w:tcPr>
                <w:p w14:paraId="6E063E62">
                  <w:pPr>
                    <w:keepNext w:val="0"/>
                    <w:keepLines w:val="0"/>
                    <w:widowControl/>
                    <w:suppressLineNumbers w:val="0"/>
                    <w:spacing w:before="0" w:beforeAutospacing="0" w:after="0" w:afterAutospacing="0"/>
                    <w:ind w:left="0" w:right="0"/>
                    <w:jc w:val="center"/>
                    <w:rPr>
                      <w:rFonts w:hint="eastAsia" w:ascii="Times New Roman" w:hAnsi="Times New Roman" w:eastAsia="宋体" w:cs="Times New Roman"/>
                      <w:b/>
                      <w:bCs/>
                      <w:color w:val="0000FF"/>
                      <w:kern w:val="0"/>
                      <w:szCs w:val="21"/>
                      <w:lang w:val="en-US" w:eastAsia="zh-CN" w:bidi="ar"/>
                    </w:rPr>
                  </w:pPr>
                  <w:r>
                    <w:rPr>
                      <w:rFonts w:hint="eastAsia" w:ascii="Times New Roman" w:hAnsi="Times New Roman" w:eastAsia="宋体" w:cs="Times New Roman"/>
                      <w:b/>
                      <w:bCs/>
                      <w:color w:val="0000FF"/>
                      <w:kern w:val="0"/>
                      <w:szCs w:val="21"/>
                      <w:lang w:val="en-US" w:eastAsia="zh-CN" w:bidi="ar"/>
                    </w:rPr>
                    <w:t>年产500万平方米第二代动力电池高安全陶瓷化复合隔膜及2000万片纳米隔热板项目（本项目）</w:t>
                  </w:r>
                </w:p>
              </w:tc>
            </w:tr>
            <w:tr w14:paraId="6C19BC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272" w:type="pct"/>
                  <w:vAlign w:val="center"/>
                </w:tcPr>
                <w:p w14:paraId="7005370A">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rPr>
                    <w:t>1</w:t>
                  </w:r>
                </w:p>
              </w:tc>
              <w:tc>
                <w:tcPr>
                  <w:tcW w:w="370" w:type="pct"/>
                  <w:vMerge w:val="restart"/>
                  <w:vAlign w:val="center"/>
                </w:tcPr>
                <w:p w14:paraId="131D6ACE">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rPr>
                    <w:t>陶瓷化</w:t>
                  </w:r>
                </w:p>
                <w:p w14:paraId="6A97112A">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rPr>
                    <w:t>复合隔膜</w:t>
                  </w:r>
                </w:p>
              </w:tc>
              <w:tc>
                <w:tcPr>
                  <w:tcW w:w="810" w:type="pct"/>
                  <w:gridSpan w:val="2"/>
                  <w:vAlign w:val="center"/>
                </w:tcPr>
                <w:p w14:paraId="407A582B">
                  <w:pPr>
                    <w:keepNext w:val="0"/>
                    <w:keepLines w:val="0"/>
                    <w:suppressLineNumbers w:val="0"/>
                    <w:spacing w:before="0" w:beforeAutospacing="0" w:after="0" w:afterAutospacing="0"/>
                    <w:ind w:left="0" w:right="0"/>
                    <w:jc w:val="center"/>
                    <w:rPr>
                      <w:rFonts w:hint="eastAsia" w:ascii="Times New Roman" w:hAnsi="Times New Roman" w:eastAsia="宋体" w:cs="Times New Roman"/>
                      <w:color w:val="auto"/>
                      <w:szCs w:val="21"/>
                      <w:lang w:val="en-US" w:eastAsia="zh-CN"/>
                    </w:rPr>
                  </w:pPr>
                  <w:r>
                    <w:rPr>
                      <w:rFonts w:hint="eastAsia" w:ascii="Times New Roman" w:hAnsi="Times New Roman" w:eastAsia="宋体" w:cs="Times New Roman"/>
                      <w:color w:val="auto"/>
                      <w:szCs w:val="21"/>
                    </w:rPr>
                    <w:t>陶瓷基料</w:t>
                  </w:r>
                  <w:r>
                    <w:rPr>
                      <w:rFonts w:hint="eastAsia" w:ascii="Times New Roman" w:hAnsi="Times New Roman" w:eastAsia="宋体" w:cs="Times New Roman"/>
                      <w:color w:val="auto"/>
                      <w:szCs w:val="21"/>
                      <w:lang w:val="en-US" w:eastAsia="zh-CN"/>
                    </w:rPr>
                    <w:t>混合物</w:t>
                  </w:r>
                </w:p>
              </w:tc>
              <w:tc>
                <w:tcPr>
                  <w:tcW w:w="645" w:type="pct"/>
                  <w:vAlign w:val="center"/>
                </w:tcPr>
                <w:p w14:paraId="30953048">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rPr>
                    <w:t>230kg/铁桶</w:t>
                  </w:r>
                </w:p>
              </w:tc>
              <w:tc>
                <w:tcPr>
                  <w:tcW w:w="581" w:type="pct"/>
                  <w:vAlign w:val="center"/>
                </w:tcPr>
                <w:p w14:paraId="6669F8A5">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jc w:val="center"/>
                    <w:textAlignment w:val="auto"/>
                    <w:rPr>
                      <w:rFonts w:hint="eastAsia" w:ascii="Times New Roman" w:hAnsi="Times New Roman" w:eastAsia="宋体" w:cs="Times New Roman"/>
                      <w:color w:val="0000E1"/>
                      <w:szCs w:val="21"/>
                      <w:lang w:val="en-US" w:eastAsia="zh-CN"/>
                    </w:rPr>
                  </w:pPr>
                  <w:r>
                    <w:rPr>
                      <w:rFonts w:hint="eastAsia" w:ascii="Times New Roman" w:hAnsi="Times New Roman" w:eastAsia="宋体" w:cs="Times New Roman"/>
                      <w:color w:val="0000E1"/>
                      <w:szCs w:val="21"/>
                      <w:lang w:val="en-US" w:eastAsia="zh-CN"/>
                    </w:rPr>
                    <w:t>0</w:t>
                  </w:r>
                </w:p>
              </w:tc>
              <w:tc>
                <w:tcPr>
                  <w:tcW w:w="516" w:type="pct"/>
                  <w:vAlign w:val="center"/>
                </w:tcPr>
                <w:p w14:paraId="5C00CA52">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jc w:val="center"/>
                    <w:textAlignment w:val="auto"/>
                    <w:rPr>
                      <w:rFonts w:hint="eastAsia" w:ascii="Times New Roman" w:hAnsi="Times New Roman" w:eastAsia="宋体" w:cs="Times New Roman"/>
                      <w:color w:val="0000E1"/>
                      <w:szCs w:val="21"/>
                      <w:lang w:val="en-US" w:eastAsia="zh-CN"/>
                    </w:rPr>
                  </w:pPr>
                  <w:r>
                    <w:rPr>
                      <w:rFonts w:hint="eastAsia" w:ascii="Times New Roman" w:hAnsi="Times New Roman" w:eastAsia="宋体" w:cs="Times New Roman"/>
                      <w:color w:val="0000E1"/>
                      <w:szCs w:val="21"/>
                      <w:lang w:val="en-US" w:eastAsia="zh-CN"/>
                    </w:rPr>
                    <w:t>0</w:t>
                  </w:r>
                </w:p>
              </w:tc>
              <w:tc>
                <w:tcPr>
                  <w:tcW w:w="524" w:type="pct"/>
                  <w:vAlign w:val="center"/>
                </w:tcPr>
                <w:p w14:paraId="4945E44B">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leftChars="0" w:right="0" w:rightChars="0"/>
                    <w:jc w:val="center"/>
                    <w:textAlignment w:val="auto"/>
                    <w:rPr>
                      <w:rFonts w:hint="eastAsia" w:ascii="Times New Roman" w:hAnsi="Times New Roman" w:eastAsia="宋体" w:cs="Times New Roman"/>
                      <w:color w:val="0000E1"/>
                      <w:szCs w:val="21"/>
                      <w:lang w:val="en-US" w:eastAsia="zh-CN"/>
                    </w:rPr>
                  </w:pPr>
                  <w:r>
                    <w:rPr>
                      <w:rFonts w:hint="eastAsia" w:ascii="Times New Roman" w:hAnsi="Times New Roman" w:eastAsia="宋体" w:cs="Times New Roman"/>
                      <w:color w:val="0000E1"/>
                      <w:szCs w:val="21"/>
                      <w:lang w:val="en-US" w:eastAsia="zh-CN"/>
                    </w:rPr>
                    <w:t>11771.25</w:t>
                  </w:r>
                  <w:r>
                    <w:rPr>
                      <w:rFonts w:hint="default" w:ascii="Times New Roman" w:hAnsi="Times New Roman" w:eastAsia="宋体" w:cs="Times New Roman"/>
                      <w:color w:val="0000E1"/>
                      <w:szCs w:val="21"/>
                    </w:rPr>
                    <w:t>t</w:t>
                  </w:r>
                </w:p>
              </w:tc>
              <w:tc>
                <w:tcPr>
                  <w:tcW w:w="571" w:type="pct"/>
                  <w:vAlign w:val="center"/>
                </w:tcPr>
                <w:p w14:paraId="19F254C8">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leftChars="0" w:right="0" w:rightChars="0"/>
                    <w:jc w:val="center"/>
                    <w:textAlignment w:val="auto"/>
                    <w:rPr>
                      <w:rFonts w:hint="eastAsia" w:ascii="Times New Roman" w:hAnsi="Times New Roman" w:eastAsia="宋体" w:cs="Times New Roman"/>
                      <w:color w:val="0000E1"/>
                      <w:szCs w:val="21"/>
                      <w:lang w:val="en-US" w:eastAsia="zh-CN"/>
                    </w:rPr>
                  </w:pPr>
                  <w:r>
                    <w:rPr>
                      <w:rFonts w:hint="eastAsia" w:ascii="Times New Roman" w:hAnsi="Times New Roman" w:eastAsia="宋体" w:cs="Times New Roman"/>
                      <w:color w:val="0000E1"/>
                      <w:szCs w:val="21"/>
                      <w:lang w:val="en-US" w:eastAsia="zh-CN"/>
                    </w:rPr>
                    <w:t>11771.25</w:t>
                  </w:r>
                  <w:r>
                    <w:rPr>
                      <w:rFonts w:hint="default" w:ascii="Times New Roman" w:hAnsi="Times New Roman" w:eastAsia="宋体" w:cs="Times New Roman"/>
                      <w:color w:val="0000E1"/>
                      <w:szCs w:val="21"/>
                    </w:rPr>
                    <w:t>t</w:t>
                  </w:r>
                </w:p>
              </w:tc>
              <w:tc>
                <w:tcPr>
                  <w:tcW w:w="466" w:type="pct"/>
                  <w:vAlign w:val="center"/>
                </w:tcPr>
                <w:p w14:paraId="0A74BE84">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jc w:val="center"/>
                    <w:textAlignment w:val="auto"/>
                    <w:rPr>
                      <w:rFonts w:hint="default" w:ascii="Times New Roman" w:hAnsi="Times New Roman" w:eastAsia="宋体" w:cs="Times New Roman"/>
                      <w:color w:val="0000E1"/>
                      <w:szCs w:val="21"/>
                      <w:lang w:val="en-US" w:eastAsia="zh-CN"/>
                    </w:rPr>
                  </w:pPr>
                  <w:r>
                    <w:rPr>
                      <w:rFonts w:hint="eastAsia" w:ascii="Times New Roman" w:hAnsi="Times New Roman" w:eastAsia="宋体" w:cs="Times New Roman"/>
                      <w:color w:val="0000E1"/>
                      <w:szCs w:val="21"/>
                      <w:lang w:val="en-US" w:eastAsia="zh-CN"/>
                    </w:rPr>
                    <w:t>3923.8t</w:t>
                  </w:r>
                </w:p>
              </w:tc>
              <w:tc>
                <w:tcPr>
                  <w:tcW w:w="240" w:type="pct"/>
                  <w:vAlign w:val="center"/>
                </w:tcPr>
                <w:p w14:paraId="5C0F5851">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lang w:val="en-US" w:eastAsia="zh-CN"/>
                    </w:rPr>
                  </w:pPr>
                  <w:r>
                    <w:rPr>
                      <w:rFonts w:hint="eastAsia" w:ascii="Times New Roman" w:hAnsi="Times New Roman" w:eastAsia="宋体" w:cs="Times New Roman"/>
                      <w:color w:val="auto"/>
                      <w:szCs w:val="21"/>
                      <w:lang w:val="en-US" w:eastAsia="zh-CN"/>
                    </w:rPr>
                    <w:t>外购</w:t>
                  </w:r>
                </w:p>
              </w:tc>
            </w:tr>
            <w:tr w14:paraId="7E938F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272" w:type="pct"/>
                  <w:vAlign w:val="center"/>
                </w:tcPr>
                <w:p w14:paraId="713D7D91">
                  <w:pPr>
                    <w:keepNext w:val="0"/>
                    <w:keepLines w:val="0"/>
                    <w:suppressLineNumbers w:val="0"/>
                    <w:spacing w:before="0" w:beforeAutospacing="0" w:after="0" w:afterAutospacing="0"/>
                    <w:ind w:left="0" w:right="0"/>
                    <w:jc w:val="center"/>
                    <w:rPr>
                      <w:rFonts w:hint="eastAsia" w:ascii="Times New Roman" w:hAnsi="Times New Roman" w:eastAsia="宋体" w:cs="Times New Roman"/>
                      <w:color w:val="auto"/>
                      <w:szCs w:val="21"/>
                      <w:lang w:eastAsia="zh-CN"/>
                    </w:rPr>
                  </w:pPr>
                  <w:r>
                    <w:rPr>
                      <w:rFonts w:hint="eastAsia" w:ascii="Times New Roman" w:hAnsi="Times New Roman" w:eastAsia="宋体" w:cs="Times New Roman"/>
                      <w:color w:val="auto"/>
                      <w:szCs w:val="21"/>
                      <w:lang w:val="en-US" w:eastAsia="zh-CN"/>
                    </w:rPr>
                    <w:t>2</w:t>
                  </w:r>
                </w:p>
              </w:tc>
              <w:tc>
                <w:tcPr>
                  <w:tcW w:w="370" w:type="pct"/>
                  <w:vMerge w:val="continue"/>
                  <w:vAlign w:val="center"/>
                </w:tcPr>
                <w:p w14:paraId="5F072932">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p>
              </w:tc>
              <w:tc>
                <w:tcPr>
                  <w:tcW w:w="810" w:type="pct"/>
                  <w:gridSpan w:val="2"/>
                  <w:vAlign w:val="center"/>
                </w:tcPr>
                <w:p w14:paraId="30C45761">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rPr>
                    <w:t>玻纤布</w:t>
                  </w:r>
                </w:p>
              </w:tc>
              <w:tc>
                <w:tcPr>
                  <w:tcW w:w="645" w:type="pct"/>
                  <w:vAlign w:val="center"/>
                </w:tcPr>
                <w:p w14:paraId="7758F382">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r>
                    <w:rPr>
                      <w:rFonts w:hint="eastAsia" w:ascii="Times New Roman" w:hAnsi="Times New Roman" w:eastAsia="宋体" w:cs="Times New Roman"/>
                      <w:color w:val="auto"/>
                      <w:szCs w:val="21"/>
                    </w:rPr>
                    <w:t>3500米/卷</w:t>
                  </w:r>
                </w:p>
              </w:tc>
              <w:tc>
                <w:tcPr>
                  <w:tcW w:w="581" w:type="pct"/>
                  <w:vAlign w:val="center"/>
                </w:tcPr>
                <w:p w14:paraId="2A82C92D">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jc w:val="center"/>
                    <w:textAlignment w:val="auto"/>
                    <w:rPr>
                      <w:rFonts w:hint="eastAsia" w:ascii="Times New Roman" w:hAnsi="Times New Roman" w:eastAsia="宋体" w:cs="Times New Roman"/>
                      <w:color w:val="auto"/>
                      <w:szCs w:val="21"/>
                      <w:lang w:eastAsia="zh-CN"/>
                    </w:rPr>
                  </w:pPr>
                  <w:r>
                    <w:rPr>
                      <w:rFonts w:hint="eastAsia" w:ascii="Times New Roman" w:hAnsi="Times New Roman" w:eastAsia="宋体" w:cs="Times New Roman"/>
                      <w:color w:val="0000E1"/>
                      <w:szCs w:val="21"/>
                      <w:lang w:val="en-US" w:eastAsia="zh-CN"/>
                    </w:rPr>
                    <w:t>0</w:t>
                  </w:r>
                </w:p>
              </w:tc>
              <w:tc>
                <w:tcPr>
                  <w:tcW w:w="516" w:type="pct"/>
                  <w:vAlign w:val="center"/>
                </w:tcPr>
                <w:p w14:paraId="7E9F58E4">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jc w:val="center"/>
                    <w:textAlignment w:val="auto"/>
                    <w:rPr>
                      <w:rFonts w:hint="eastAsia" w:ascii="Times New Roman" w:hAnsi="Times New Roman" w:eastAsia="宋体" w:cs="Times New Roman"/>
                      <w:color w:val="auto"/>
                      <w:szCs w:val="21"/>
                    </w:rPr>
                  </w:pPr>
                  <w:r>
                    <w:rPr>
                      <w:rFonts w:hint="eastAsia" w:ascii="Times New Roman" w:hAnsi="Times New Roman" w:eastAsia="宋体" w:cs="Times New Roman"/>
                      <w:color w:val="0000E1"/>
                      <w:szCs w:val="21"/>
                      <w:lang w:val="en-US" w:eastAsia="zh-CN"/>
                    </w:rPr>
                    <w:t>0</w:t>
                  </w:r>
                </w:p>
              </w:tc>
              <w:tc>
                <w:tcPr>
                  <w:tcW w:w="524" w:type="pct"/>
                  <w:vAlign w:val="center"/>
                </w:tcPr>
                <w:p w14:paraId="5D32F97D">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leftChars="0" w:right="0" w:rightChars="0"/>
                    <w:jc w:val="center"/>
                    <w:textAlignment w:val="auto"/>
                    <w:rPr>
                      <w:rFonts w:hint="eastAsia" w:ascii="Times New Roman" w:hAnsi="Times New Roman" w:eastAsia="宋体" w:cs="Times New Roman"/>
                      <w:color w:val="auto"/>
                      <w:szCs w:val="21"/>
                    </w:rPr>
                  </w:pPr>
                  <w:r>
                    <w:rPr>
                      <w:rFonts w:hint="eastAsia" w:ascii="Times New Roman" w:hAnsi="Times New Roman" w:eastAsia="宋体" w:cs="Times New Roman"/>
                      <w:color w:val="auto"/>
                      <w:szCs w:val="21"/>
                    </w:rPr>
                    <w:t>300</w:t>
                  </w:r>
                  <w:r>
                    <w:rPr>
                      <w:rFonts w:hint="default" w:ascii="Times New Roman" w:hAnsi="Times New Roman" w:eastAsia="宋体" w:cs="Times New Roman"/>
                      <w:color w:val="auto"/>
                      <w:szCs w:val="21"/>
                    </w:rPr>
                    <w:t>万m</w:t>
                  </w:r>
                  <w:r>
                    <w:rPr>
                      <w:rFonts w:hint="eastAsia" w:ascii="Times New Roman" w:hAnsi="Times New Roman" w:eastAsia="宋体" w:cs="Times New Roman"/>
                      <w:color w:val="auto"/>
                      <w:szCs w:val="21"/>
                      <w:vertAlign w:val="superscript"/>
                    </w:rPr>
                    <w:t>2</w:t>
                  </w:r>
                  <w:r>
                    <w:rPr>
                      <w:rFonts w:hint="eastAsia" w:ascii="Times New Roman" w:hAnsi="Times New Roman" w:eastAsia="宋体" w:cs="Times New Roman"/>
                      <w:color w:val="auto"/>
                      <w:szCs w:val="21"/>
                      <w:vertAlign w:val="baseline"/>
                      <w:lang w:eastAsia="zh-CN"/>
                    </w:rPr>
                    <w:t>（</w:t>
                  </w:r>
                  <w:r>
                    <w:rPr>
                      <w:rFonts w:hint="eastAsia" w:ascii="Times New Roman" w:hAnsi="Times New Roman" w:eastAsia="宋体" w:cs="Times New Roman"/>
                      <w:color w:val="auto"/>
                      <w:szCs w:val="21"/>
                      <w:vertAlign w:val="baseline"/>
                      <w:lang w:val="en-US" w:eastAsia="zh-CN"/>
                    </w:rPr>
                    <w:t>3180t</w:t>
                  </w:r>
                  <w:r>
                    <w:rPr>
                      <w:rFonts w:hint="eastAsia" w:ascii="Times New Roman" w:hAnsi="Times New Roman" w:eastAsia="宋体" w:cs="Times New Roman"/>
                      <w:color w:val="auto"/>
                      <w:szCs w:val="21"/>
                      <w:vertAlign w:val="baseline"/>
                      <w:lang w:eastAsia="zh-CN"/>
                    </w:rPr>
                    <w:t>）</w:t>
                  </w:r>
                </w:p>
              </w:tc>
              <w:tc>
                <w:tcPr>
                  <w:tcW w:w="571" w:type="pct"/>
                  <w:vAlign w:val="center"/>
                </w:tcPr>
                <w:p w14:paraId="77490BC3">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leftChars="0" w:right="0" w:rightChars="0"/>
                    <w:jc w:val="center"/>
                    <w:textAlignment w:val="auto"/>
                    <w:rPr>
                      <w:rFonts w:hint="eastAsia" w:ascii="Times New Roman" w:hAnsi="Times New Roman" w:eastAsia="宋体" w:cs="Times New Roman"/>
                      <w:color w:val="auto"/>
                      <w:szCs w:val="21"/>
                    </w:rPr>
                  </w:pPr>
                  <w:r>
                    <w:rPr>
                      <w:rFonts w:hint="eastAsia" w:ascii="Times New Roman" w:hAnsi="Times New Roman" w:eastAsia="宋体" w:cs="Times New Roman"/>
                      <w:color w:val="auto"/>
                      <w:szCs w:val="21"/>
                    </w:rPr>
                    <w:t>300</w:t>
                  </w:r>
                  <w:r>
                    <w:rPr>
                      <w:rFonts w:hint="default" w:ascii="Times New Roman" w:hAnsi="Times New Roman" w:eastAsia="宋体" w:cs="Times New Roman"/>
                      <w:color w:val="auto"/>
                      <w:szCs w:val="21"/>
                    </w:rPr>
                    <w:t>万m</w:t>
                  </w:r>
                  <w:r>
                    <w:rPr>
                      <w:rFonts w:hint="eastAsia" w:ascii="Times New Roman" w:hAnsi="Times New Roman" w:eastAsia="宋体" w:cs="Times New Roman"/>
                      <w:color w:val="auto"/>
                      <w:szCs w:val="21"/>
                      <w:vertAlign w:val="superscript"/>
                    </w:rPr>
                    <w:t>2</w:t>
                  </w:r>
                  <w:r>
                    <w:rPr>
                      <w:rFonts w:hint="eastAsia" w:ascii="Times New Roman" w:hAnsi="Times New Roman" w:eastAsia="宋体" w:cs="Times New Roman"/>
                      <w:color w:val="auto"/>
                      <w:szCs w:val="21"/>
                      <w:vertAlign w:val="baseline"/>
                      <w:lang w:eastAsia="zh-CN"/>
                    </w:rPr>
                    <w:t>（</w:t>
                  </w:r>
                  <w:r>
                    <w:rPr>
                      <w:rFonts w:hint="eastAsia" w:ascii="Times New Roman" w:hAnsi="Times New Roman" w:eastAsia="宋体" w:cs="Times New Roman"/>
                      <w:color w:val="auto"/>
                      <w:szCs w:val="21"/>
                      <w:vertAlign w:val="baseline"/>
                      <w:lang w:val="en-US" w:eastAsia="zh-CN"/>
                    </w:rPr>
                    <w:t>3180t</w:t>
                  </w:r>
                  <w:r>
                    <w:rPr>
                      <w:rFonts w:hint="eastAsia" w:ascii="Times New Roman" w:hAnsi="Times New Roman" w:eastAsia="宋体" w:cs="Times New Roman"/>
                      <w:color w:val="auto"/>
                      <w:szCs w:val="21"/>
                      <w:vertAlign w:val="baseline"/>
                      <w:lang w:eastAsia="zh-CN"/>
                    </w:rPr>
                    <w:t>）</w:t>
                  </w:r>
                </w:p>
              </w:tc>
              <w:tc>
                <w:tcPr>
                  <w:tcW w:w="466" w:type="pct"/>
                  <w:vAlign w:val="center"/>
                </w:tcPr>
                <w:p w14:paraId="766C7C11">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jc w:val="center"/>
                    <w:textAlignment w:val="auto"/>
                    <w:rPr>
                      <w:rFonts w:hint="default" w:ascii="Times New Roman" w:hAnsi="Times New Roman" w:eastAsia="宋体" w:cs="Times New Roman"/>
                      <w:color w:val="auto"/>
                      <w:szCs w:val="21"/>
                    </w:rPr>
                  </w:pPr>
                  <w:r>
                    <w:rPr>
                      <w:rFonts w:hint="eastAsia" w:ascii="Times New Roman" w:hAnsi="Times New Roman" w:eastAsia="宋体" w:cs="Times New Roman"/>
                      <w:color w:val="auto"/>
                      <w:szCs w:val="21"/>
                      <w:lang w:val="en-US" w:eastAsia="zh-CN"/>
                    </w:rPr>
                    <w:t>1</w:t>
                  </w:r>
                  <w:r>
                    <w:rPr>
                      <w:rFonts w:hint="default" w:ascii="Times New Roman" w:hAnsi="Times New Roman" w:eastAsia="宋体" w:cs="Times New Roman"/>
                      <w:color w:val="auto"/>
                      <w:szCs w:val="21"/>
                    </w:rPr>
                    <w:t>00万m</w:t>
                  </w:r>
                  <w:r>
                    <w:rPr>
                      <w:rFonts w:hint="default" w:ascii="Times New Roman" w:hAnsi="Times New Roman" w:eastAsia="宋体" w:cs="Times New Roman"/>
                      <w:color w:val="auto"/>
                      <w:szCs w:val="21"/>
                      <w:vertAlign w:val="superscript"/>
                    </w:rPr>
                    <w:t>2</w:t>
                  </w:r>
                  <w:r>
                    <w:rPr>
                      <w:rFonts w:hint="default" w:ascii="Times New Roman" w:hAnsi="Times New Roman" w:eastAsia="宋体" w:cs="Times New Roman"/>
                      <w:color w:val="auto"/>
                      <w:szCs w:val="21"/>
                      <w:lang w:eastAsia="zh-CN"/>
                    </w:rPr>
                    <w:t>（</w:t>
                  </w:r>
                  <w:r>
                    <w:rPr>
                      <w:rFonts w:hint="eastAsia" w:ascii="Times New Roman" w:hAnsi="Times New Roman" w:eastAsia="宋体" w:cs="Times New Roman"/>
                      <w:color w:val="auto"/>
                      <w:szCs w:val="21"/>
                      <w:lang w:val="en-US" w:eastAsia="zh-CN"/>
                    </w:rPr>
                    <w:t>1060</w:t>
                  </w:r>
                  <w:r>
                    <w:rPr>
                      <w:rFonts w:hint="default" w:ascii="Times New Roman" w:hAnsi="Times New Roman" w:eastAsia="宋体" w:cs="Times New Roman"/>
                      <w:color w:val="auto"/>
                      <w:szCs w:val="21"/>
                      <w:lang w:val="en-US" w:eastAsia="zh-CN"/>
                    </w:rPr>
                    <w:t>t</w:t>
                  </w:r>
                  <w:r>
                    <w:rPr>
                      <w:rFonts w:hint="default" w:ascii="Times New Roman" w:hAnsi="Times New Roman" w:eastAsia="宋体" w:cs="Times New Roman"/>
                      <w:color w:val="auto"/>
                      <w:szCs w:val="21"/>
                      <w:lang w:eastAsia="zh-CN"/>
                    </w:rPr>
                    <w:t>）</w:t>
                  </w:r>
                </w:p>
              </w:tc>
              <w:tc>
                <w:tcPr>
                  <w:tcW w:w="240" w:type="pct"/>
                  <w:vAlign w:val="center"/>
                </w:tcPr>
                <w:p w14:paraId="5B0C6395">
                  <w:pPr>
                    <w:keepNext w:val="0"/>
                    <w:keepLines w:val="0"/>
                    <w:suppressLineNumbers w:val="0"/>
                    <w:spacing w:before="0" w:beforeAutospacing="0" w:after="0" w:afterAutospacing="0"/>
                    <w:ind w:left="0" w:right="0"/>
                    <w:jc w:val="center"/>
                    <w:rPr>
                      <w:rFonts w:hint="eastAsia" w:ascii="Times New Roman" w:hAnsi="Times New Roman" w:eastAsia="宋体" w:cs="Times New Roman"/>
                      <w:color w:val="auto"/>
                      <w:szCs w:val="21"/>
                      <w:lang w:val="en-US" w:eastAsia="zh-CN"/>
                    </w:rPr>
                  </w:pPr>
                  <w:r>
                    <w:rPr>
                      <w:rFonts w:hint="eastAsia" w:ascii="Times New Roman" w:hAnsi="Times New Roman" w:eastAsia="宋体" w:cs="Times New Roman"/>
                      <w:color w:val="auto"/>
                      <w:szCs w:val="21"/>
                      <w:lang w:val="en-US" w:eastAsia="zh-CN"/>
                    </w:rPr>
                    <w:t>外购</w:t>
                  </w:r>
                </w:p>
              </w:tc>
            </w:tr>
            <w:tr w14:paraId="0DA345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272" w:type="pct"/>
                  <w:shd w:val="clear" w:color="auto" w:fill="auto"/>
                  <w:vAlign w:val="center"/>
                </w:tcPr>
                <w:p w14:paraId="526593E3">
                  <w:pPr>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color w:val="auto"/>
                      <w:kern w:val="2"/>
                      <w:sz w:val="21"/>
                      <w:szCs w:val="21"/>
                      <w:lang w:val="en-US" w:eastAsia="zh-CN" w:bidi="ar-SA"/>
                    </w:rPr>
                  </w:pPr>
                  <w:r>
                    <w:rPr>
                      <w:rFonts w:hint="default" w:ascii="Times New Roman" w:hAnsi="Times New Roman" w:eastAsia="宋体" w:cs="Times New Roman"/>
                      <w:color w:val="auto"/>
                      <w:szCs w:val="21"/>
                    </w:rPr>
                    <w:t>3</w:t>
                  </w:r>
                </w:p>
              </w:tc>
              <w:tc>
                <w:tcPr>
                  <w:tcW w:w="370" w:type="pct"/>
                  <w:vMerge w:val="continue"/>
                  <w:vAlign w:val="center"/>
                </w:tcPr>
                <w:p w14:paraId="1DE753EB">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p>
              </w:tc>
              <w:tc>
                <w:tcPr>
                  <w:tcW w:w="810" w:type="pct"/>
                  <w:gridSpan w:val="2"/>
                  <w:vAlign w:val="center"/>
                </w:tcPr>
                <w:p w14:paraId="4E8B19CA">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rPr>
                    <w:t>PET膜</w:t>
                  </w:r>
                </w:p>
              </w:tc>
              <w:tc>
                <w:tcPr>
                  <w:tcW w:w="645" w:type="pct"/>
                  <w:vAlign w:val="center"/>
                </w:tcPr>
                <w:p w14:paraId="496935CC">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r>
                    <w:rPr>
                      <w:rFonts w:hint="eastAsia" w:ascii="Times New Roman" w:hAnsi="Times New Roman" w:eastAsia="宋体" w:cs="Times New Roman"/>
                      <w:color w:val="auto"/>
                      <w:szCs w:val="21"/>
                    </w:rPr>
                    <w:t>2000米/卷</w:t>
                  </w:r>
                </w:p>
              </w:tc>
              <w:tc>
                <w:tcPr>
                  <w:tcW w:w="581" w:type="pct"/>
                  <w:vAlign w:val="center"/>
                </w:tcPr>
                <w:p w14:paraId="3DC520CC">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jc w:val="center"/>
                    <w:textAlignment w:val="auto"/>
                    <w:rPr>
                      <w:rFonts w:hint="eastAsia" w:eastAsia="宋体"/>
                      <w:color w:val="auto"/>
                      <w:lang w:eastAsia="zh-CN"/>
                    </w:rPr>
                  </w:pPr>
                  <w:r>
                    <w:rPr>
                      <w:rFonts w:hint="eastAsia" w:ascii="Times New Roman" w:hAnsi="Times New Roman" w:eastAsia="宋体" w:cs="Times New Roman"/>
                      <w:color w:val="0000E1"/>
                      <w:szCs w:val="21"/>
                      <w:lang w:val="en-US" w:eastAsia="zh-CN"/>
                    </w:rPr>
                    <w:t>0</w:t>
                  </w:r>
                </w:p>
              </w:tc>
              <w:tc>
                <w:tcPr>
                  <w:tcW w:w="516" w:type="pct"/>
                  <w:vAlign w:val="center"/>
                </w:tcPr>
                <w:p w14:paraId="343E131F">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jc w:val="center"/>
                    <w:textAlignment w:val="auto"/>
                    <w:rPr>
                      <w:rFonts w:hint="eastAsia" w:ascii="Times New Roman" w:hAnsi="Times New Roman" w:eastAsia="宋体" w:cs="Times New Roman"/>
                      <w:color w:val="auto"/>
                      <w:szCs w:val="21"/>
                      <w:vertAlign w:val="baseline"/>
                      <w:lang w:eastAsia="zh-CN"/>
                    </w:rPr>
                  </w:pPr>
                  <w:r>
                    <w:rPr>
                      <w:rFonts w:hint="eastAsia" w:ascii="Times New Roman" w:hAnsi="Times New Roman" w:eastAsia="宋体" w:cs="Times New Roman"/>
                      <w:color w:val="0000E1"/>
                      <w:szCs w:val="21"/>
                      <w:lang w:val="en-US" w:eastAsia="zh-CN"/>
                    </w:rPr>
                    <w:t>0</w:t>
                  </w:r>
                </w:p>
              </w:tc>
              <w:tc>
                <w:tcPr>
                  <w:tcW w:w="524" w:type="pct"/>
                  <w:vAlign w:val="center"/>
                </w:tcPr>
                <w:p w14:paraId="67B5194C">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jc w:val="center"/>
                    <w:textAlignment w:val="auto"/>
                    <w:rPr>
                      <w:rFonts w:hint="eastAsia" w:ascii="Times New Roman" w:hAnsi="Times New Roman" w:eastAsia="宋体" w:cs="Times New Roman"/>
                      <w:color w:val="auto"/>
                      <w:szCs w:val="21"/>
                      <w:vertAlign w:val="baseline"/>
                      <w:lang w:eastAsia="zh-CN"/>
                    </w:rPr>
                  </w:pPr>
                  <w:r>
                    <w:rPr>
                      <w:rFonts w:hint="eastAsia" w:ascii="Times New Roman" w:hAnsi="Times New Roman" w:eastAsia="宋体" w:cs="Times New Roman"/>
                      <w:color w:val="auto"/>
                      <w:szCs w:val="21"/>
                      <w:vertAlign w:val="baseline"/>
                      <w:lang w:eastAsia="zh-CN"/>
                    </w:rPr>
                    <w:t>50</w:t>
                  </w:r>
                  <w:r>
                    <w:rPr>
                      <w:rFonts w:hint="default" w:ascii="Times New Roman" w:hAnsi="Times New Roman" w:eastAsia="宋体" w:cs="Times New Roman"/>
                      <w:color w:val="auto"/>
                      <w:szCs w:val="21"/>
                      <w:vertAlign w:val="baseline"/>
                      <w:lang w:eastAsia="zh-CN"/>
                    </w:rPr>
                    <w:t>0万m</w:t>
                  </w:r>
                  <w:r>
                    <w:rPr>
                      <w:rFonts w:hint="eastAsia" w:ascii="Times New Roman" w:hAnsi="Times New Roman" w:eastAsia="宋体" w:cs="Times New Roman"/>
                      <w:color w:val="auto"/>
                      <w:szCs w:val="21"/>
                      <w:vertAlign w:val="superscript"/>
                      <w:lang w:eastAsia="zh-CN"/>
                    </w:rPr>
                    <w:t>2</w:t>
                  </w:r>
                </w:p>
                <w:p w14:paraId="264AA4D0">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leftChars="0" w:right="0" w:rightChars="0"/>
                    <w:jc w:val="center"/>
                    <w:textAlignment w:val="auto"/>
                    <w:rPr>
                      <w:rFonts w:hint="eastAsia" w:ascii="Times New Roman" w:hAnsi="Times New Roman" w:eastAsia="宋体" w:cs="Times New Roman"/>
                      <w:color w:val="auto"/>
                      <w:szCs w:val="21"/>
                      <w:vertAlign w:val="baseline"/>
                      <w:lang w:eastAsia="zh-CN"/>
                    </w:rPr>
                  </w:pPr>
                  <w:r>
                    <w:rPr>
                      <w:rFonts w:hint="eastAsia" w:ascii="Times New Roman" w:hAnsi="Times New Roman" w:eastAsia="宋体" w:cs="Times New Roman"/>
                      <w:color w:val="0000E1"/>
                      <w:szCs w:val="21"/>
                      <w:vertAlign w:val="baseline"/>
                      <w:lang w:eastAsia="zh-CN"/>
                    </w:rPr>
                    <w:t>（</w:t>
                  </w:r>
                  <w:r>
                    <w:rPr>
                      <w:rFonts w:hint="eastAsia" w:ascii="Times New Roman" w:hAnsi="Times New Roman" w:eastAsia="宋体" w:cs="Times New Roman"/>
                      <w:color w:val="0000E1"/>
                      <w:szCs w:val="21"/>
                      <w:vertAlign w:val="baseline"/>
                      <w:lang w:val="en-US" w:eastAsia="zh-CN"/>
                    </w:rPr>
                    <w:t>517.5t</w:t>
                  </w:r>
                  <w:r>
                    <w:rPr>
                      <w:rFonts w:hint="eastAsia" w:ascii="Times New Roman" w:hAnsi="Times New Roman" w:eastAsia="宋体" w:cs="Times New Roman"/>
                      <w:color w:val="0000E1"/>
                      <w:szCs w:val="21"/>
                      <w:vertAlign w:val="baseline"/>
                      <w:lang w:eastAsia="zh-CN"/>
                    </w:rPr>
                    <w:t>）</w:t>
                  </w:r>
                </w:p>
              </w:tc>
              <w:tc>
                <w:tcPr>
                  <w:tcW w:w="571" w:type="pct"/>
                  <w:vAlign w:val="center"/>
                </w:tcPr>
                <w:p w14:paraId="4DBD09E3">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jc w:val="center"/>
                    <w:textAlignment w:val="auto"/>
                    <w:rPr>
                      <w:rFonts w:hint="eastAsia" w:ascii="Times New Roman" w:hAnsi="Times New Roman" w:eastAsia="宋体" w:cs="Times New Roman"/>
                      <w:color w:val="auto"/>
                      <w:szCs w:val="21"/>
                      <w:vertAlign w:val="baseline"/>
                      <w:lang w:eastAsia="zh-CN"/>
                    </w:rPr>
                  </w:pPr>
                  <w:r>
                    <w:rPr>
                      <w:rFonts w:hint="eastAsia" w:ascii="Times New Roman" w:hAnsi="Times New Roman" w:eastAsia="宋体" w:cs="Times New Roman"/>
                      <w:color w:val="auto"/>
                      <w:szCs w:val="21"/>
                      <w:vertAlign w:val="baseline"/>
                      <w:lang w:eastAsia="zh-CN"/>
                    </w:rPr>
                    <w:t>50</w:t>
                  </w:r>
                  <w:r>
                    <w:rPr>
                      <w:rFonts w:hint="default" w:ascii="Times New Roman" w:hAnsi="Times New Roman" w:eastAsia="宋体" w:cs="Times New Roman"/>
                      <w:color w:val="auto"/>
                      <w:szCs w:val="21"/>
                      <w:vertAlign w:val="baseline"/>
                      <w:lang w:eastAsia="zh-CN"/>
                    </w:rPr>
                    <w:t>0万m</w:t>
                  </w:r>
                  <w:r>
                    <w:rPr>
                      <w:rFonts w:hint="eastAsia" w:ascii="Times New Roman" w:hAnsi="Times New Roman" w:eastAsia="宋体" w:cs="Times New Roman"/>
                      <w:color w:val="auto"/>
                      <w:szCs w:val="21"/>
                      <w:vertAlign w:val="superscript"/>
                      <w:lang w:eastAsia="zh-CN"/>
                    </w:rPr>
                    <w:t>2</w:t>
                  </w:r>
                </w:p>
                <w:p w14:paraId="62D6C84D">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leftChars="0" w:right="0" w:rightChars="0"/>
                    <w:jc w:val="center"/>
                    <w:textAlignment w:val="auto"/>
                    <w:rPr>
                      <w:rFonts w:hint="eastAsia" w:ascii="Times New Roman" w:hAnsi="Times New Roman" w:eastAsia="宋体" w:cs="Times New Roman"/>
                      <w:color w:val="auto"/>
                      <w:szCs w:val="21"/>
                      <w:vertAlign w:val="baseline"/>
                      <w:lang w:eastAsia="zh-CN"/>
                    </w:rPr>
                  </w:pPr>
                  <w:r>
                    <w:rPr>
                      <w:rFonts w:hint="eastAsia" w:ascii="Times New Roman" w:hAnsi="Times New Roman" w:eastAsia="宋体" w:cs="Times New Roman"/>
                      <w:color w:val="0000E1"/>
                      <w:szCs w:val="21"/>
                      <w:vertAlign w:val="baseline"/>
                      <w:lang w:eastAsia="zh-CN"/>
                    </w:rPr>
                    <w:t>（</w:t>
                  </w:r>
                  <w:r>
                    <w:rPr>
                      <w:rFonts w:hint="eastAsia" w:ascii="Times New Roman" w:hAnsi="Times New Roman" w:eastAsia="宋体" w:cs="Times New Roman"/>
                      <w:color w:val="0000E1"/>
                      <w:szCs w:val="21"/>
                      <w:vertAlign w:val="baseline"/>
                      <w:lang w:val="en-US" w:eastAsia="zh-CN"/>
                    </w:rPr>
                    <w:t>517.5t</w:t>
                  </w:r>
                  <w:r>
                    <w:rPr>
                      <w:rFonts w:hint="eastAsia" w:ascii="Times New Roman" w:hAnsi="Times New Roman" w:eastAsia="宋体" w:cs="Times New Roman"/>
                      <w:color w:val="0000E1"/>
                      <w:szCs w:val="21"/>
                      <w:vertAlign w:val="baseline"/>
                      <w:lang w:eastAsia="zh-CN"/>
                    </w:rPr>
                    <w:t>）</w:t>
                  </w:r>
                </w:p>
              </w:tc>
              <w:tc>
                <w:tcPr>
                  <w:tcW w:w="466" w:type="pct"/>
                  <w:vAlign w:val="center"/>
                </w:tcPr>
                <w:p w14:paraId="104205DF">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jc w:val="center"/>
                    <w:textAlignment w:val="auto"/>
                    <w:rPr>
                      <w:rFonts w:hint="eastAsia" w:ascii="Times New Roman" w:hAnsi="Times New Roman" w:eastAsia="宋体" w:cs="Times New Roman"/>
                      <w:color w:val="auto"/>
                      <w:szCs w:val="21"/>
                      <w:lang w:val="en-US" w:eastAsia="zh-CN"/>
                    </w:rPr>
                  </w:pPr>
                  <w:r>
                    <w:rPr>
                      <w:rFonts w:hint="eastAsia" w:ascii="Times New Roman" w:hAnsi="Times New Roman" w:eastAsia="宋体" w:cs="Times New Roman"/>
                      <w:color w:val="auto"/>
                      <w:szCs w:val="21"/>
                      <w:lang w:val="en-US" w:eastAsia="zh-CN"/>
                    </w:rPr>
                    <w:t>167万m</w:t>
                  </w:r>
                  <w:r>
                    <w:rPr>
                      <w:rFonts w:hint="eastAsia" w:ascii="Times New Roman" w:hAnsi="Times New Roman" w:eastAsia="宋体" w:cs="Times New Roman"/>
                      <w:color w:val="auto"/>
                      <w:szCs w:val="21"/>
                      <w:vertAlign w:val="superscript"/>
                      <w:lang w:val="en-US" w:eastAsia="zh-CN"/>
                    </w:rPr>
                    <w:t>2</w:t>
                  </w:r>
                </w:p>
                <w:p w14:paraId="549C3C08">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jc w:val="center"/>
                    <w:textAlignment w:val="auto"/>
                    <w:rPr>
                      <w:rFonts w:hint="default" w:ascii="Times New Roman" w:hAnsi="Times New Roman" w:eastAsia="宋体" w:cs="Times New Roman"/>
                      <w:color w:val="auto"/>
                      <w:szCs w:val="21"/>
                      <w:lang w:val="en-US" w:eastAsia="zh-CN"/>
                    </w:rPr>
                  </w:pPr>
                  <w:r>
                    <w:rPr>
                      <w:rFonts w:hint="default" w:ascii="Times New Roman" w:hAnsi="Times New Roman" w:eastAsia="宋体" w:cs="Times New Roman"/>
                      <w:color w:val="0000E1"/>
                      <w:szCs w:val="21"/>
                      <w:lang w:val="en-US" w:eastAsia="zh-CN"/>
                    </w:rPr>
                    <w:t>（</w:t>
                  </w:r>
                  <w:r>
                    <w:rPr>
                      <w:rFonts w:hint="eastAsia" w:ascii="Times New Roman" w:hAnsi="Times New Roman" w:eastAsia="宋体" w:cs="Times New Roman"/>
                      <w:color w:val="0000E1"/>
                      <w:szCs w:val="21"/>
                      <w:lang w:val="en-US" w:eastAsia="zh-CN"/>
                    </w:rPr>
                    <w:t>172.8</w:t>
                  </w:r>
                  <w:r>
                    <w:rPr>
                      <w:rFonts w:hint="default" w:ascii="Times New Roman" w:hAnsi="Times New Roman" w:eastAsia="宋体" w:cs="Times New Roman"/>
                      <w:color w:val="0000E1"/>
                      <w:szCs w:val="21"/>
                      <w:lang w:val="en-US" w:eastAsia="zh-CN"/>
                    </w:rPr>
                    <w:t>t）</w:t>
                  </w:r>
                </w:p>
              </w:tc>
              <w:tc>
                <w:tcPr>
                  <w:tcW w:w="240" w:type="pct"/>
                  <w:vAlign w:val="center"/>
                </w:tcPr>
                <w:p w14:paraId="3C9997BC">
                  <w:pPr>
                    <w:keepNext w:val="0"/>
                    <w:keepLines w:val="0"/>
                    <w:suppressLineNumbers w:val="0"/>
                    <w:spacing w:before="0" w:beforeAutospacing="0" w:after="0" w:afterAutospacing="0"/>
                    <w:ind w:left="0" w:right="0"/>
                    <w:jc w:val="center"/>
                    <w:rPr>
                      <w:rFonts w:hint="eastAsia" w:ascii="Times New Roman" w:hAnsi="Times New Roman" w:eastAsia="宋体" w:cs="Times New Roman"/>
                      <w:color w:val="auto"/>
                      <w:szCs w:val="21"/>
                      <w:lang w:val="en-US" w:eastAsia="zh-CN"/>
                    </w:rPr>
                  </w:pPr>
                  <w:r>
                    <w:rPr>
                      <w:rFonts w:hint="eastAsia" w:ascii="Times New Roman" w:hAnsi="Times New Roman" w:eastAsia="宋体" w:cs="Times New Roman"/>
                      <w:color w:val="auto"/>
                      <w:szCs w:val="21"/>
                      <w:lang w:val="en-US" w:eastAsia="zh-CN"/>
                    </w:rPr>
                    <w:t>外购</w:t>
                  </w:r>
                </w:p>
              </w:tc>
            </w:tr>
            <w:tr w14:paraId="568EA9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272" w:type="pct"/>
                  <w:shd w:val="clear" w:color="auto" w:fill="auto"/>
                  <w:vAlign w:val="center"/>
                </w:tcPr>
                <w:p w14:paraId="14F533FE">
                  <w:pPr>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color w:val="auto"/>
                      <w:kern w:val="2"/>
                      <w:sz w:val="21"/>
                      <w:szCs w:val="21"/>
                      <w:lang w:val="en-US" w:eastAsia="zh-CN" w:bidi="ar-SA"/>
                    </w:rPr>
                  </w:pPr>
                  <w:r>
                    <w:rPr>
                      <w:rFonts w:hint="default" w:ascii="Times New Roman" w:hAnsi="Times New Roman" w:eastAsia="宋体" w:cs="Times New Roman"/>
                      <w:color w:val="auto"/>
                      <w:szCs w:val="21"/>
                    </w:rPr>
                    <w:t>4</w:t>
                  </w:r>
                </w:p>
              </w:tc>
              <w:tc>
                <w:tcPr>
                  <w:tcW w:w="370" w:type="pct"/>
                  <w:vMerge w:val="continue"/>
                  <w:vAlign w:val="center"/>
                </w:tcPr>
                <w:p w14:paraId="26073B2A">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p>
              </w:tc>
              <w:tc>
                <w:tcPr>
                  <w:tcW w:w="810" w:type="pct"/>
                  <w:gridSpan w:val="2"/>
                  <w:vAlign w:val="center"/>
                </w:tcPr>
                <w:p w14:paraId="16683839">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lang w:val="en-US" w:eastAsia="zh-CN"/>
                    </w:rPr>
                    <w:t>背胶处理剂</w:t>
                  </w:r>
                </w:p>
              </w:tc>
              <w:tc>
                <w:tcPr>
                  <w:tcW w:w="645" w:type="pct"/>
                  <w:vAlign w:val="center"/>
                </w:tcPr>
                <w:p w14:paraId="46746D3A">
                  <w:pPr>
                    <w:keepNext w:val="0"/>
                    <w:keepLines w:val="0"/>
                    <w:suppressLineNumbers w:val="0"/>
                    <w:spacing w:before="0" w:beforeAutospacing="0" w:after="0" w:afterAutospacing="0"/>
                    <w:ind w:left="0" w:right="0"/>
                    <w:jc w:val="center"/>
                    <w:rPr>
                      <w:rFonts w:hint="eastAsia" w:ascii="Times New Roman" w:hAnsi="Times New Roman" w:eastAsia="宋体" w:cs="Times New Roman"/>
                      <w:color w:val="auto"/>
                      <w:szCs w:val="21"/>
                    </w:rPr>
                  </w:pPr>
                  <w:r>
                    <w:rPr>
                      <w:rFonts w:hint="eastAsia" w:ascii="Times New Roman" w:hAnsi="Times New Roman" w:eastAsia="宋体" w:cs="Times New Roman"/>
                      <w:color w:val="auto"/>
                      <w:szCs w:val="21"/>
                      <w:lang w:val="en-US" w:eastAsia="zh-CN"/>
                    </w:rPr>
                    <w:t>5kg/铁桶</w:t>
                  </w:r>
                </w:p>
              </w:tc>
              <w:tc>
                <w:tcPr>
                  <w:tcW w:w="581" w:type="pct"/>
                  <w:vAlign w:val="center"/>
                </w:tcPr>
                <w:p w14:paraId="7689A90F">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jc w:val="center"/>
                    <w:textAlignment w:val="auto"/>
                    <w:rPr>
                      <w:rFonts w:hint="default" w:ascii="Times New Roman" w:hAnsi="Times New Roman" w:eastAsia="宋体" w:cs="Times New Roman"/>
                      <w:color w:val="auto"/>
                      <w:szCs w:val="21"/>
                      <w:lang w:val="en-US" w:eastAsia="zh-CN"/>
                    </w:rPr>
                  </w:pPr>
                  <w:r>
                    <w:rPr>
                      <w:rFonts w:hint="eastAsia" w:ascii="Times New Roman" w:hAnsi="Times New Roman" w:eastAsia="宋体" w:cs="Times New Roman"/>
                      <w:color w:val="0000E1"/>
                      <w:szCs w:val="21"/>
                      <w:lang w:val="en-US" w:eastAsia="zh-CN"/>
                    </w:rPr>
                    <w:t>0</w:t>
                  </w:r>
                </w:p>
              </w:tc>
              <w:tc>
                <w:tcPr>
                  <w:tcW w:w="516" w:type="pct"/>
                  <w:vAlign w:val="center"/>
                </w:tcPr>
                <w:p w14:paraId="5D97B264">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jc w:val="center"/>
                    <w:textAlignment w:val="auto"/>
                    <w:rPr>
                      <w:rFonts w:hint="eastAsia" w:ascii="Times New Roman" w:hAnsi="Times New Roman" w:eastAsia="宋体" w:cs="Times New Roman"/>
                      <w:color w:val="auto"/>
                      <w:szCs w:val="21"/>
                      <w:lang w:val="en-US" w:eastAsia="zh-CN"/>
                    </w:rPr>
                  </w:pPr>
                  <w:r>
                    <w:rPr>
                      <w:rFonts w:hint="eastAsia" w:ascii="Times New Roman" w:hAnsi="Times New Roman" w:eastAsia="宋体" w:cs="Times New Roman"/>
                      <w:color w:val="0000E1"/>
                      <w:szCs w:val="21"/>
                      <w:lang w:val="en-US" w:eastAsia="zh-CN"/>
                    </w:rPr>
                    <w:t>0</w:t>
                  </w:r>
                </w:p>
              </w:tc>
              <w:tc>
                <w:tcPr>
                  <w:tcW w:w="524" w:type="pct"/>
                  <w:vAlign w:val="center"/>
                </w:tcPr>
                <w:p w14:paraId="475C9247">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leftChars="0" w:right="0" w:rightChars="0"/>
                    <w:jc w:val="center"/>
                    <w:textAlignment w:val="auto"/>
                    <w:rPr>
                      <w:rFonts w:hint="eastAsia" w:ascii="Times New Roman" w:hAnsi="Times New Roman" w:eastAsia="宋体" w:cs="Times New Roman"/>
                      <w:color w:val="auto"/>
                      <w:szCs w:val="21"/>
                      <w:lang w:val="en-US" w:eastAsia="zh-CN"/>
                    </w:rPr>
                  </w:pPr>
                  <w:r>
                    <w:rPr>
                      <w:rFonts w:hint="eastAsia" w:ascii="Times New Roman" w:hAnsi="Times New Roman" w:eastAsia="宋体" w:cs="Times New Roman"/>
                      <w:color w:val="auto"/>
                      <w:szCs w:val="21"/>
                      <w:lang w:val="en-US" w:eastAsia="zh-CN"/>
                    </w:rPr>
                    <w:t>0.49t</w:t>
                  </w:r>
                </w:p>
              </w:tc>
              <w:tc>
                <w:tcPr>
                  <w:tcW w:w="571" w:type="pct"/>
                  <w:vAlign w:val="center"/>
                </w:tcPr>
                <w:p w14:paraId="68EE23A8">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leftChars="0" w:right="0" w:rightChars="0"/>
                    <w:jc w:val="center"/>
                    <w:textAlignment w:val="auto"/>
                    <w:rPr>
                      <w:rFonts w:hint="eastAsia" w:ascii="Times New Roman" w:hAnsi="Times New Roman" w:eastAsia="宋体" w:cs="Times New Roman"/>
                      <w:color w:val="auto"/>
                      <w:szCs w:val="21"/>
                      <w:lang w:val="en-US" w:eastAsia="zh-CN"/>
                    </w:rPr>
                  </w:pPr>
                  <w:r>
                    <w:rPr>
                      <w:rFonts w:hint="eastAsia" w:ascii="Times New Roman" w:hAnsi="Times New Roman" w:eastAsia="宋体" w:cs="Times New Roman"/>
                      <w:color w:val="auto"/>
                      <w:szCs w:val="21"/>
                      <w:lang w:val="en-US" w:eastAsia="zh-CN"/>
                    </w:rPr>
                    <w:t>0.49t</w:t>
                  </w:r>
                </w:p>
              </w:tc>
              <w:tc>
                <w:tcPr>
                  <w:tcW w:w="466" w:type="pct"/>
                  <w:vAlign w:val="center"/>
                </w:tcPr>
                <w:p w14:paraId="3CFA3211">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jc w:val="center"/>
                    <w:textAlignment w:val="auto"/>
                    <w:rPr>
                      <w:rFonts w:hint="default" w:ascii="Times New Roman" w:hAnsi="Times New Roman" w:eastAsia="宋体" w:cs="Times New Roman"/>
                      <w:color w:val="auto"/>
                      <w:szCs w:val="21"/>
                      <w:lang w:val="en-US" w:eastAsia="zh-CN"/>
                    </w:rPr>
                  </w:pPr>
                  <w:r>
                    <w:rPr>
                      <w:rFonts w:hint="eastAsia" w:ascii="Times New Roman" w:hAnsi="Times New Roman" w:eastAsia="宋体" w:cs="Times New Roman"/>
                      <w:color w:val="auto"/>
                      <w:szCs w:val="21"/>
                      <w:lang w:val="en-US" w:eastAsia="zh-CN"/>
                    </w:rPr>
                    <w:t>0.165</w:t>
                  </w:r>
                </w:p>
              </w:tc>
              <w:tc>
                <w:tcPr>
                  <w:tcW w:w="240" w:type="pct"/>
                  <w:vAlign w:val="center"/>
                </w:tcPr>
                <w:p w14:paraId="3E0B4060">
                  <w:pPr>
                    <w:keepNext w:val="0"/>
                    <w:keepLines w:val="0"/>
                    <w:suppressLineNumbers w:val="0"/>
                    <w:spacing w:before="0" w:beforeAutospacing="0" w:after="0" w:afterAutospacing="0"/>
                    <w:ind w:left="0" w:right="0"/>
                    <w:jc w:val="center"/>
                    <w:rPr>
                      <w:rFonts w:hint="eastAsia" w:ascii="Times New Roman" w:hAnsi="Times New Roman" w:eastAsia="宋体" w:cs="Times New Roman"/>
                      <w:color w:val="auto"/>
                      <w:szCs w:val="21"/>
                      <w:lang w:val="en-US" w:eastAsia="zh-CN"/>
                    </w:rPr>
                  </w:pPr>
                  <w:r>
                    <w:rPr>
                      <w:rFonts w:hint="eastAsia" w:ascii="Times New Roman" w:hAnsi="Times New Roman" w:eastAsia="宋体" w:cs="Times New Roman"/>
                      <w:color w:val="auto"/>
                      <w:szCs w:val="21"/>
                      <w:lang w:val="en-US" w:eastAsia="zh-CN"/>
                    </w:rPr>
                    <w:t>外购</w:t>
                  </w:r>
                </w:p>
              </w:tc>
            </w:tr>
            <w:tr w14:paraId="636959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272" w:type="pct"/>
                  <w:shd w:val="clear" w:color="auto" w:fill="auto"/>
                  <w:vAlign w:val="center"/>
                </w:tcPr>
                <w:p w14:paraId="6A0C8AFB">
                  <w:pPr>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color w:val="auto"/>
                      <w:kern w:val="2"/>
                      <w:sz w:val="21"/>
                      <w:szCs w:val="21"/>
                      <w:lang w:val="en-US" w:eastAsia="zh-CN" w:bidi="ar-SA"/>
                    </w:rPr>
                  </w:pPr>
                  <w:r>
                    <w:rPr>
                      <w:rFonts w:hint="default" w:ascii="Times New Roman" w:hAnsi="Times New Roman" w:eastAsia="宋体" w:cs="Times New Roman"/>
                      <w:color w:val="auto"/>
                      <w:szCs w:val="21"/>
                    </w:rPr>
                    <w:t>5</w:t>
                  </w:r>
                </w:p>
              </w:tc>
              <w:tc>
                <w:tcPr>
                  <w:tcW w:w="370" w:type="pct"/>
                  <w:vMerge w:val="restart"/>
                  <w:vAlign w:val="center"/>
                </w:tcPr>
                <w:p w14:paraId="7E3CA6CE">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rPr>
                    <w:t>纳米隔热板</w:t>
                  </w:r>
                </w:p>
              </w:tc>
              <w:tc>
                <w:tcPr>
                  <w:tcW w:w="810" w:type="pct"/>
                  <w:gridSpan w:val="2"/>
                  <w:vAlign w:val="center"/>
                </w:tcPr>
                <w:p w14:paraId="77D8350D">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r>
                    <w:rPr>
                      <w:rFonts w:hint="eastAsia" w:ascii="Times New Roman" w:hAnsi="Times New Roman" w:eastAsia="宋体" w:cs="Times New Roman"/>
                      <w:color w:val="auto"/>
                      <w:szCs w:val="21"/>
                    </w:rPr>
                    <w:t>气相法二氧化硅</w:t>
                  </w:r>
                </w:p>
              </w:tc>
              <w:tc>
                <w:tcPr>
                  <w:tcW w:w="645" w:type="pct"/>
                  <w:vAlign w:val="center"/>
                </w:tcPr>
                <w:p w14:paraId="3C783C9E">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lang w:bidi="ar"/>
                    </w:rPr>
                  </w:pPr>
                  <w:r>
                    <w:rPr>
                      <w:rFonts w:hint="default" w:ascii="Times New Roman" w:hAnsi="Times New Roman" w:eastAsia="宋体" w:cs="Times New Roman"/>
                      <w:color w:val="auto"/>
                      <w:szCs w:val="21"/>
                      <w:lang w:bidi="ar"/>
                    </w:rPr>
                    <w:t>10</w:t>
                  </w:r>
                  <w:r>
                    <w:rPr>
                      <w:rFonts w:hint="eastAsia" w:ascii="Times New Roman" w:hAnsi="Times New Roman" w:eastAsia="宋体" w:cs="Times New Roman"/>
                      <w:color w:val="auto"/>
                      <w:szCs w:val="21"/>
                      <w:lang w:bidi="ar"/>
                    </w:rPr>
                    <w:t>k</w:t>
                  </w:r>
                  <w:r>
                    <w:rPr>
                      <w:rFonts w:hint="default" w:ascii="Times New Roman" w:hAnsi="Times New Roman" w:eastAsia="宋体" w:cs="Times New Roman"/>
                      <w:color w:val="auto"/>
                      <w:szCs w:val="21"/>
                      <w:lang w:bidi="ar"/>
                    </w:rPr>
                    <w:t>g/包</w:t>
                  </w:r>
                </w:p>
              </w:tc>
              <w:tc>
                <w:tcPr>
                  <w:tcW w:w="581" w:type="pct"/>
                  <w:vAlign w:val="center"/>
                </w:tcPr>
                <w:p w14:paraId="6BBA4DD7">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jc w:val="center"/>
                    <w:textAlignment w:val="auto"/>
                    <w:rPr>
                      <w:rFonts w:hint="default" w:ascii="Times New Roman" w:hAnsi="Times New Roman" w:eastAsia="宋体" w:cs="Times New Roman"/>
                      <w:color w:val="auto"/>
                      <w:szCs w:val="21"/>
                    </w:rPr>
                  </w:pPr>
                  <w:r>
                    <w:rPr>
                      <w:rFonts w:hint="eastAsia" w:ascii="Times New Roman" w:hAnsi="Times New Roman" w:eastAsia="宋体" w:cs="Times New Roman"/>
                      <w:color w:val="0000E1"/>
                      <w:szCs w:val="21"/>
                      <w:lang w:val="en-US" w:eastAsia="zh-CN"/>
                    </w:rPr>
                    <w:t>0</w:t>
                  </w:r>
                </w:p>
              </w:tc>
              <w:tc>
                <w:tcPr>
                  <w:tcW w:w="516" w:type="pct"/>
                  <w:vAlign w:val="center"/>
                </w:tcPr>
                <w:p w14:paraId="174166A1">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jc w:val="center"/>
                    <w:textAlignment w:val="auto"/>
                    <w:rPr>
                      <w:rFonts w:hint="eastAsia" w:ascii="Times New Roman" w:hAnsi="Times New Roman" w:eastAsia="宋体" w:cs="Times New Roman"/>
                      <w:color w:val="auto"/>
                      <w:szCs w:val="21"/>
                    </w:rPr>
                  </w:pPr>
                  <w:r>
                    <w:rPr>
                      <w:rFonts w:hint="eastAsia" w:ascii="Times New Roman" w:hAnsi="Times New Roman" w:eastAsia="宋体" w:cs="Times New Roman"/>
                      <w:color w:val="0000E1"/>
                      <w:szCs w:val="21"/>
                      <w:lang w:val="en-US" w:eastAsia="zh-CN"/>
                    </w:rPr>
                    <w:t>0</w:t>
                  </w:r>
                </w:p>
              </w:tc>
              <w:tc>
                <w:tcPr>
                  <w:tcW w:w="524" w:type="pct"/>
                  <w:vAlign w:val="center"/>
                </w:tcPr>
                <w:p w14:paraId="7B248D98">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leftChars="0" w:right="0" w:rightChars="0"/>
                    <w:jc w:val="center"/>
                    <w:textAlignment w:val="auto"/>
                    <w:rPr>
                      <w:rFonts w:hint="eastAsia" w:ascii="Times New Roman" w:hAnsi="Times New Roman" w:eastAsia="宋体" w:cs="Times New Roman"/>
                      <w:color w:val="auto"/>
                      <w:szCs w:val="21"/>
                    </w:rPr>
                  </w:pPr>
                  <w:r>
                    <w:rPr>
                      <w:rFonts w:hint="eastAsia" w:ascii="Times New Roman" w:hAnsi="Times New Roman" w:eastAsia="宋体" w:cs="Times New Roman"/>
                      <w:color w:val="auto"/>
                      <w:szCs w:val="21"/>
                    </w:rPr>
                    <w:t>533</w:t>
                  </w:r>
                  <w:r>
                    <w:rPr>
                      <w:rFonts w:hint="eastAsia" w:ascii="Times New Roman" w:hAnsi="Times New Roman" w:eastAsia="宋体" w:cs="Times New Roman"/>
                      <w:color w:val="auto"/>
                      <w:szCs w:val="21"/>
                      <w:lang w:val="en-US" w:eastAsia="zh-CN"/>
                    </w:rPr>
                    <w:t>t</w:t>
                  </w:r>
                </w:p>
              </w:tc>
              <w:tc>
                <w:tcPr>
                  <w:tcW w:w="571" w:type="pct"/>
                  <w:vAlign w:val="center"/>
                </w:tcPr>
                <w:p w14:paraId="1E248DAB">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leftChars="0" w:right="0" w:rightChars="0"/>
                    <w:jc w:val="center"/>
                    <w:textAlignment w:val="auto"/>
                    <w:rPr>
                      <w:rFonts w:hint="eastAsia" w:ascii="Times New Roman" w:hAnsi="Times New Roman" w:eastAsia="宋体" w:cs="Times New Roman"/>
                      <w:color w:val="auto"/>
                      <w:szCs w:val="21"/>
                    </w:rPr>
                  </w:pPr>
                  <w:r>
                    <w:rPr>
                      <w:rFonts w:hint="eastAsia" w:ascii="Times New Roman" w:hAnsi="Times New Roman" w:eastAsia="宋体" w:cs="Times New Roman"/>
                      <w:color w:val="auto"/>
                      <w:szCs w:val="21"/>
                    </w:rPr>
                    <w:t>533</w:t>
                  </w:r>
                  <w:r>
                    <w:rPr>
                      <w:rFonts w:hint="eastAsia" w:ascii="Times New Roman" w:hAnsi="Times New Roman" w:eastAsia="宋体" w:cs="Times New Roman"/>
                      <w:color w:val="auto"/>
                      <w:szCs w:val="21"/>
                      <w:lang w:val="en-US" w:eastAsia="zh-CN"/>
                    </w:rPr>
                    <w:t>t</w:t>
                  </w:r>
                </w:p>
              </w:tc>
              <w:tc>
                <w:tcPr>
                  <w:tcW w:w="466" w:type="pct"/>
                  <w:vAlign w:val="center"/>
                </w:tcPr>
                <w:p w14:paraId="65492624">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jc w:val="center"/>
                    <w:textAlignment w:val="auto"/>
                    <w:rPr>
                      <w:rFonts w:hint="default" w:ascii="Times New Roman" w:hAnsi="Times New Roman" w:eastAsia="宋体" w:cs="Times New Roman"/>
                      <w:color w:val="auto"/>
                      <w:szCs w:val="21"/>
                      <w:lang w:val="en-US" w:eastAsia="zh-CN"/>
                    </w:rPr>
                  </w:pPr>
                  <w:r>
                    <w:rPr>
                      <w:rFonts w:hint="eastAsia" w:ascii="Times New Roman" w:hAnsi="Times New Roman" w:eastAsia="宋体" w:cs="Times New Roman"/>
                      <w:color w:val="auto"/>
                      <w:szCs w:val="21"/>
                      <w:lang w:val="en-US" w:eastAsia="zh-CN"/>
                    </w:rPr>
                    <w:t>178t</w:t>
                  </w:r>
                </w:p>
              </w:tc>
              <w:tc>
                <w:tcPr>
                  <w:tcW w:w="240" w:type="pct"/>
                  <w:vAlign w:val="center"/>
                </w:tcPr>
                <w:p w14:paraId="7CBF7EA6">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r>
                    <w:rPr>
                      <w:rFonts w:hint="eastAsia" w:ascii="Times New Roman" w:hAnsi="Times New Roman" w:eastAsia="宋体" w:cs="Times New Roman"/>
                      <w:color w:val="auto"/>
                      <w:szCs w:val="21"/>
                      <w:lang w:val="en-US" w:eastAsia="zh-CN"/>
                    </w:rPr>
                    <w:t>外购</w:t>
                  </w:r>
                </w:p>
              </w:tc>
            </w:tr>
            <w:tr w14:paraId="04CE9A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272" w:type="pct"/>
                  <w:shd w:val="clear" w:color="auto" w:fill="auto"/>
                  <w:vAlign w:val="center"/>
                </w:tcPr>
                <w:p w14:paraId="0BAEB4F0">
                  <w:pPr>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color w:val="auto"/>
                      <w:kern w:val="2"/>
                      <w:sz w:val="21"/>
                      <w:szCs w:val="21"/>
                      <w:lang w:val="en-US" w:eastAsia="zh-CN" w:bidi="ar-SA"/>
                    </w:rPr>
                  </w:pPr>
                  <w:r>
                    <w:rPr>
                      <w:rFonts w:hint="default" w:ascii="Times New Roman" w:hAnsi="Times New Roman" w:eastAsia="宋体" w:cs="Times New Roman"/>
                      <w:color w:val="auto"/>
                      <w:szCs w:val="21"/>
                    </w:rPr>
                    <w:t>6</w:t>
                  </w:r>
                </w:p>
              </w:tc>
              <w:tc>
                <w:tcPr>
                  <w:tcW w:w="370" w:type="pct"/>
                  <w:vMerge w:val="continue"/>
                  <w:vAlign w:val="center"/>
                </w:tcPr>
                <w:p w14:paraId="48600FB6">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p>
              </w:tc>
              <w:tc>
                <w:tcPr>
                  <w:tcW w:w="810" w:type="pct"/>
                  <w:gridSpan w:val="2"/>
                  <w:vAlign w:val="center"/>
                </w:tcPr>
                <w:p w14:paraId="28479F9F">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r>
                    <w:rPr>
                      <w:rFonts w:hint="eastAsia" w:ascii="Times New Roman" w:hAnsi="Times New Roman" w:eastAsia="宋体" w:cs="Times New Roman"/>
                      <w:color w:val="auto"/>
                      <w:szCs w:val="21"/>
                    </w:rPr>
                    <w:t>高含硅烧结纤丝</w:t>
                  </w:r>
                </w:p>
              </w:tc>
              <w:tc>
                <w:tcPr>
                  <w:tcW w:w="645" w:type="pct"/>
                  <w:vAlign w:val="center"/>
                </w:tcPr>
                <w:p w14:paraId="5EC35CD1">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lang w:bidi="ar"/>
                    </w:rPr>
                  </w:pPr>
                  <w:r>
                    <w:rPr>
                      <w:rFonts w:hint="default" w:ascii="Times New Roman" w:hAnsi="Times New Roman" w:eastAsia="宋体" w:cs="Times New Roman"/>
                      <w:color w:val="auto"/>
                      <w:szCs w:val="21"/>
                      <w:lang w:bidi="ar"/>
                    </w:rPr>
                    <w:t>10</w:t>
                  </w:r>
                  <w:r>
                    <w:rPr>
                      <w:rFonts w:hint="eastAsia" w:ascii="Times New Roman" w:hAnsi="Times New Roman" w:eastAsia="宋体" w:cs="Times New Roman"/>
                      <w:color w:val="auto"/>
                      <w:szCs w:val="21"/>
                      <w:lang w:bidi="ar"/>
                    </w:rPr>
                    <w:t>k</w:t>
                  </w:r>
                  <w:r>
                    <w:rPr>
                      <w:rFonts w:hint="default" w:ascii="Times New Roman" w:hAnsi="Times New Roman" w:eastAsia="宋体" w:cs="Times New Roman"/>
                      <w:color w:val="auto"/>
                      <w:szCs w:val="21"/>
                      <w:lang w:bidi="ar"/>
                    </w:rPr>
                    <w:t>g/包</w:t>
                  </w:r>
                </w:p>
              </w:tc>
              <w:tc>
                <w:tcPr>
                  <w:tcW w:w="581" w:type="pct"/>
                  <w:vAlign w:val="center"/>
                </w:tcPr>
                <w:p w14:paraId="07CCB7C3">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jc w:val="center"/>
                    <w:textAlignment w:val="auto"/>
                    <w:rPr>
                      <w:rFonts w:hint="default" w:ascii="Times New Roman" w:hAnsi="Times New Roman" w:eastAsia="宋体" w:cs="Times New Roman"/>
                      <w:color w:val="auto"/>
                      <w:szCs w:val="21"/>
                    </w:rPr>
                  </w:pPr>
                  <w:r>
                    <w:rPr>
                      <w:rFonts w:hint="eastAsia" w:ascii="Times New Roman" w:hAnsi="Times New Roman" w:eastAsia="宋体" w:cs="Times New Roman"/>
                      <w:color w:val="0000E1"/>
                      <w:szCs w:val="21"/>
                      <w:lang w:val="en-US" w:eastAsia="zh-CN"/>
                    </w:rPr>
                    <w:t>0</w:t>
                  </w:r>
                </w:p>
              </w:tc>
              <w:tc>
                <w:tcPr>
                  <w:tcW w:w="516" w:type="pct"/>
                  <w:vAlign w:val="center"/>
                </w:tcPr>
                <w:p w14:paraId="3523DAAF">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jc w:val="center"/>
                    <w:textAlignment w:val="auto"/>
                    <w:rPr>
                      <w:rFonts w:hint="eastAsia" w:ascii="Times New Roman" w:hAnsi="Times New Roman" w:eastAsia="宋体" w:cs="Times New Roman"/>
                      <w:color w:val="auto"/>
                      <w:szCs w:val="21"/>
                    </w:rPr>
                  </w:pPr>
                  <w:r>
                    <w:rPr>
                      <w:rFonts w:hint="eastAsia" w:ascii="Times New Roman" w:hAnsi="Times New Roman" w:eastAsia="宋体" w:cs="Times New Roman"/>
                      <w:color w:val="0000E1"/>
                      <w:szCs w:val="21"/>
                      <w:lang w:val="en-US" w:eastAsia="zh-CN"/>
                    </w:rPr>
                    <w:t>0</w:t>
                  </w:r>
                </w:p>
              </w:tc>
              <w:tc>
                <w:tcPr>
                  <w:tcW w:w="524" w:type="pct"/>
                  <w:vAlign w:val="center"/>
                </w:tcPr>
                <w:p w14:paraId="5CD734B5">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leftChars="0" w:right="0" w:rightChars="0"/>
                    <w:jc w:val="center"/>
                    <w:textAlignment w:val="auto"/>
                    <w:rPr>
                      <w:rFonts w:hint="eastAsia" w:ascii="Times New Roman" w:hAnsi="Times New Roman" w:eastAsia="宋体" w:cs="Times New Roman"/>
                      <w:color w:val="auto"/>
                      <w:szCs w:val="21"/>
                    </w:rPr>
                  </w:pPr>
                  <w:r>
                    <w:rPr>
                      <w:rFonts w:hint="eastAsia" w:ascii="Times New Roman" w:hAnsi="Times New Roman" w:eastAsia="宋体" w:cs="Times New Roman"/>
                      <w:color w:val="auto"/>
                      <w:szCs w:val="21"/>
                    </w:rPr>
                    <w:t>46</w:t>
                  </w:r>
                  <w:r>
                    <w:rPr>
                      <w:rFonts w:hint="eastAsia" w:ascii="Times New Roman" w:hAnsi="Times New Roman" w:eastAsia="宋体" w:cs="Times New Roman"/>
                      <w:color w:val="auto"/>
                      <w:szCs w:val="21"/>
                      <w:lang w:val="en-US" w:eastAsia="zh-CN"/>
                    </w:rPr>
                    <w:t>t</w:t>
                  </w:r>
                </w:p>
              </w:tc>
              <w:tc>
                <w:tcPr>
                  <w:tcW w:w="571" w:type="pct"/>
                  <w:vAlign w:val="center"/>
                </w:tcPr>
                <w:p w14:paraId="3F0DFE61">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leftChars="0" w:right="0" w:rightChars="0"/>
                    <w:jc w:val="center"/>
                    <w:textAlignment w:val="auto"/>
                    <w:rPr>
                      <w:rFonts w:hint="eastAsia" w:ascii="Times New Roman" w:hAnsi="Times New Roman" w:eastAsia="宋体" w:cs="Times New Roman"/>
                      <w:color w:val="auto"/>
                      <w:szCs w:val="21"/>
                    </w:rPr>
                  </w:pPr>
                  <w:r>
                    <w:rPr>
                      <w:rFonts w:hint="eastAsia" w:ascii="Times New Roman" w:hAnsi="Times New Roman" w:eastAsia="宋体" w:cs="Times New Roman"/>
                      <w:color w:val="auto"/>
                      <w:szCs w:val="21"/>
                    </w:rPr>
                    <w:t>46</w:t>
                  </w:r>
                  <w:r>
                    <w:rPr>
                      <w:rFonts w:hint="eastAsia" w:ascii="Times New Roman" w:hAnsi="Times New Roman" w:eastAsia="宋体" w:cs="Times New Roman"/>
                      <w:color w:val="auto"/>
                      <w:szCs w:val="21"/>
                      <w:lang w:val="en-US" w:eastAsia="zh-CN"/>
                    </w:rPr>
                    <w:t>t</w:t>
                  </w:r>
                </w:p>
              </w:tc>
              <w:tc>
                <w:tcPr>
                  <w:tcW w:w="466" w:type="pct"/>
                  <w:vAlign w:val="center"/>
                </w:tcPr>
                <w:p w14:paraId="53B274A7">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jc w:val="center"/>
                    <w:textAlignment w:val="auto"/>
                    <w:rPr>
                      <w:rFonts w:hint="default" w:ascii="Times New Roman" w:hAnsi="Times New Roman" w:eastAsia="宋体" w:cs="Times New Roman"/>
                      <w:color w:val="auto"/>
                      <w:szCs w:val="21"/>
                      <w:lang w:val="en-US" w:eastAsia="zh-CN"/>
                    </w:rPr>
                  </w:pPr>
                  <w:r>
                    <w:rPr>
                      <w:rFonts w:hint="eastAsia" w:ascii="Times New Roman" w:hAnsi="Times New Roman" w:eastAsia="宋体" w:cs="Times New Roman"/>
                      <w:color w:val="auto"/>
                      <w:szCs w:val="21"/>
                      <w:lang w:val="en-US" w:eastAsia="zh-CN"/>
                    </w:rPr>
                    <w:t>15t</w:t>
                  </w:r>
                </w:p>
              </w:tc>
              <w:tc>
                <w:tcPr>
                  <w:tcW w:w="240" w:type="pct"/>
                  <w:vAlign w:val="center"/>
                </w:tcPr>
                <w:p w14:paraId="7D7F23A3">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r>
                    <w:rPr>
                      <w:rFonts w:hint="eastAsia" w:ascii="Times New Roman" w:hAnsi="Times New Roman" w:eastAsia="宋体" w:cs="Times New Roman"/>
                      <w:color w:val="auto"/>
                      <w:szCs w:val="21"/>
                      <w:lang w:val="en-US" w:eastAsia="zh-CN"/>
                    </w:rPr>
                    <w:t>外购</w:t>
                  </w:r>
                </w:p>
              </w:tc>
            </w:tr>
            <w:tr w14:paraId="428FBC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272" w:type="pct"/>
                  <w:shd w:val="clear" w:color="auto" w:fill="auto"/>
                  <w:vAlign w:val="center"/>
                </w:tcPr>
                <w:p w14:paraId="1A931903">
                  <w:pPr>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color w:val="auto"/>
                      <w:kern w:val="2"/>
                      <w:sz w:val="21"/>
                      <w:szCs w:val="21"/>
                      <w:lang w:val="en-US" w:eastAsia="zh-CN" w:bidi="ar-SA"/>
                    </w:rPr>
                  </w:pPr>
                  <w:r>
                    <w:rPr>
                      <w:rFonts w:hint="default" w:ascii="Times New Roman" w:hAnsi="Times New Roman" w:eastAsia="宋体" w:cs="Times New Roman"/>
                      <w:color w:val="auto"/>
                      <w:szCs w:val="21"/>
                    </w:rPr>
                    <w:t>7</w:t>
                  </w:r>
                </w:p>
              </w:tc>
              <w:tc>
                <w:tcPr>
                  <w:tcW w:w="370" w:type="pct"/>
                  <w:vMerge w:val="continue"/>
                  <w:vAlign w:val="center"/>
                </w:tcPr>
                <w:p w14:paraId="18334C47">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p>
              </w:tc>
              <w:tc>
                <w:tcPr>
                  <w:tcW w:w="810" w:type="pct"/>
                  <w:gridSpan w:val="2"/>
                  <w:vAlign w:val="center"/>
                </w:tcPr>
                <w:p w14:paraId="03020CE1">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r>
                    <w:rPr>
                      <w:rFonts w:hint="eastAsia" w:ascii="Times New Roman" w:hAnsi="Times New Roman" w:eastAsia="宋体" w:cs="Times New Roman"/>
                      <w:color w:val="auto"/>
                      <w:szCs w:val="21"/>
                    </w:rPr>
                    <w:t>碳化硅</w:t>
                  </w:r>
                </w:p>
              </w:tc>
              <w:tc>
                <w:tcPr>
                  <w:tcW w:w="645" w:type="pct"/>
                  <w:vAlign w:val="center"/>
                </w:tcPr>
                <w:p w14:paraId="00B4CB8C">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lang w:bidi="ar"/>
                    </w:rPr>
                  </w:pPr>
                  <w:r>
                    <w:rPr>
                      <w:rFonts w:hint="default" w:ascii="Times New Roman" w:hAnsi="Times New Roman" w:eastAsia="宋体" w:cs="Times New Roman"/>
                      <w:color w:val="auto"/>
                      <w:szCs w:val="21"/>
                      <w:lang w:bidi="ar"/>
                    </w:rPr>
                    <w:t>25</w:t>
                  </w:r>
                  <w:r>
                    <w:rPr>
                      <w:rFonts w:hint="eastAsia" w:ascii="Times New Roman" w:hAnsi="Times New Roman" w:eastAsia="宋体" w:cs="Times New Roman"/>
                      <w:color w:val="auto"/>
                      <w:szCs w:val="21"/>
                      <w:lang w:bidi="ar"/>
                    </w:rPr>
                    <w:t>k</w:t>
                  </w:r>
                  <w:r>
                    <w:rPr>
                      <w:rFonts w:hint="default" w:ascii="Times New Roman" w:hAnsi="Times New Roman" w:eastAsia="宋体" w:cs="Times New Roman"/>
                      <w:color w:val="auto"/>
                      <w:szCs w:val="21"/>
                      <w:lang w:bidi="ar"/>
                    </w:rPr>
                    <w:t>g/包</w:t>
                  </w:r>
                </w:p>
              </w:tc>
              <w:tc>
                <w:tcPr>
                  <w:tcW w:w="581" w:type="pct"/>
                  <w:vAlign w:val="center"/>
                </w:tcPr>
                <w:p w14:paraId="32F15B30">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jc w:val="center"/>
                    <w:textAlignment w:val="auto"/>
                    <w:rPr>
                      <w:rFonts w:hint="default" w:ascii="Times New Roman" w:hAnsi="Times New Roman" w:eastAsia="宋体" w:cs="Times New Roman"/>
                      <w:color w:val="auto"/>
                      <w:szCs w:val="21"/>
                    </w:rPr>
                  </w:pPr>
                  <w:r>
                    <w:rPr>
                      <w:rFonts w:hint="eastAsia" w:ascii="Times New Roman" w:hAnsi="Times New Roman" w:eastAsia="宋体" w:cs="Times New Roman"/>
                      <w:color w:val="0000E1"/>
                      <w:szCs w:val="21"/>
                      <w:lang w:val="en-US" w:eastAsia="zh-CN"/>
                    </w:rPr>
                    <w:t>0</w:t>
                  </w:r>
                </w:p>
              </w:tc>
              <w:tc>
                <w:tcPr>
                  <w:tcW w:w="516" w:type="pct"/>
                  <w:vAlign w:val="center"/>
                </w:tcPr>
                <w:p w14:paraId="456E9935">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jc w:val="center"/>
                    <w:textAlignment w:val="auto"/>
                    <w:rPr>
                      <w:rFonts w:hint="eastAsia" w:ascii="Times New Roman" w:hAnsi="Times New Roman" w:eastAsia="宋体" w:cs="Times New Roman"/>
                      <w:color w:val="auto"/>
                      <w:szCs w:val="21"/>
                    </w:rPr>
                  </w:pPr>
                  <w:r>
                    <w:rPr>
                      <w:rFonts w:hint="eastAsia" w:ascii="Times New Roman" w:hAnsi="Times New Roman" w:eastAsia="宋体" w:cs="Times New Roman"/>
                      <w:color w:val="0000E1"/>
                      <w:szCs w:val="21"/>
                      <w:lang w:val="en-US" w:eastAsia="zh-CN"/>
                    </w:rPr>
                    <w:t>0</w:t>
                  </w:r>
                </w:p>
              </w:tc>
              <w:tc>
                <w:tcPr>
                  <w:tcW w:w="524" w:type="pct"/>
                  <w:vAlign w:val="center"/>
                </w:tcPr>
                <w:p w14:paraId="6DAF5B70">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leftChars="0" w:right="0" w:rightChars="0"/>
                    <w:jc w:val="center"/>
                    <w:textAlignment w:val="auto"/>
                    <w:rPr>
                      <w:rFonts w:hint="eastAsia" w:ascii="Times New Roman" w:hAnsi="Times New Roman" w:eastAsia="宋体" w:cs="Times New Roman"/>
                      <w:color w:val="auto"/>
                      <w:szCs w:val="21"/>
                    </w:rPr>
                  </w:pPr>
                  <w:r>
                    <w:rPr>
                      <w:rFonts w:hint="eastAsia" w:ascii="Times New Roman" w:hAnsi="Times New Roman" w:eastAsia="宋体" w:cs="Times New Roman"/>
                      <w:color w:val="auto"/>
                      <w:szCs w:val="21"/>
                    </w:rPr>
                    <w:t>100</w:t>
                  </w:r>
                  <w:r>
                    <w:rPr>
                      <w:rFonts w:hint="eastAsia" w:ascii="Times New Roman" w:hAnsi="Times New Roman" w:eastAsia="宋体" w:cs="Times New Roman"/>
                      <w:color w:val="auto"/>
                      <w:szCs w:val="21"/>
                      <w:lang w:val="en-US" w:eastAsia="zh-CN"/>
                    </w:rPr>
                    <w:t>t</w:t>
                  </w:r>
                </w:p>
              </w:tc>
              <w:tc>
                <w:tcPr>
                  <w:tcW w:w="571" w:type="pct"/>
                  <w:vAlign w:val="center"/>
                </w:tcPr>
                <w:p w14:paraId="7AAA8047">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leftChars="0" w:right="0" w:rightChars="0"/>
                    <w:jc w:val="center"/>
                    <w:textAlignment w:val="auto"/>
                    <w:rPr>
                      <w:rFonts w:hint="eastAsia" w:ascii="Times New Roman" w:hAnsi="Times New Roman" w:eastAsia="宋体" w:cs="Times New Roman"/>
                      <w:color w:val="auto"/>
                      <w:szCs w:val="21"/>
                    </w:rPr>
                  </w:pPr>
                  <w:r>
                    <w:rPr>
                      <w:rFonts w:hint="eastAsia" w:ascii="Times New Roman" w:hAnsi="Times New Roman" w:eastAsia="宋体" w:cs="Times New Roman"/>
                      <w:color w:val="auto"/>
                      <w:szCs w:val="21"/>
                    </w:rPr>
                    <w:t>100</w:t>
                  </w:r>
                  <w:r>
                    <w:rPr>
                      <w:rFonts w:hint="eastAsia" w:ascii="Times New Roman" w:hAnsi="Times New Roman" w:eastAsia="宋体" w:cs="Times New Roman"/>
                      <w:color w:val="auto"/>
                      <w:szCs w:val="21"/>
                      <w:lang w:val="en-US" w:eastAsia="zh-CN"/>
                    </w:rPr>
                    <w:t>t</w:t>
                  </w:r>
                </w:p>
              </w:tc>
              <w:tc>
                <w:tcPr>
                  <w:tcW w:w="466" w:type="pct"/>
                  <w:vAlign w:val="center"/>
                </w:tcPr>
                <w:p w14:paraId="70440C3D">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jc w:val="center"/>
                    <w:textAlignment w:val="auto"/>
                    <w:rPr>
                      <w:rFonts w:hint="default" w:ascii="Times New Roman" w:hAnsi="Times New Roman" w:eastAsia="宋体" w:cs="Times New Roman"/>
                      <w:color w:val="auto"/>
                      <w:szCs w:val="21"/>
                      <w:lang w:val="en-US" w:eastAsia="zh-CN"/>
                    </w:rPr>
                  </w:pPr>
                  <w:r>
                    <w:rPr>
                      <w:rFonts w:hint="eastAsia" w:ascii="Times New Roman" w:hAnsi="Times New Roman" w:eastAsia="宋体" w:cs="Times New Roman"/>
                      <w:color w:val="auto"/>
                      <w:szCs w:val="21"/>
                      <w:lang w:val="en-US" w:eastAsia="zh-CN"/>
                    </w:rPr>
                    <w:t>33t</w:t>
                  </w:r>
                </w:p>
              </w:tc>
              <w:tc>
                <w:tcPr>
                  <w:tcW w:w="240" w:type="pct"/>
                  <w:vAlign w:val="center"/>
                </w:tcPr>
                <w:p w14:paraId="3F00D50F">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r>
                    <w:rPr>
                      <w:rFonts w:hint="eastAsia" w:ascii="Times New Roman" w:hAnsi="Times New Roman" w:eastAsia="宋体" w:cs="Times New Roman"/>
                      <w:color w:val="auto"/>
                      <w:szCs w:val="21"/>
                      <w:lang w:val="en-US" w:eastAsia="zh-CN"/>
                    </w:rPr>
                    <w:t>外购</w:t>
                  </w:r>
                </w:p>
              </w:tc>
            </w:tr>
            <w:tr w14:paraId="298130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272" w:type="pct"/>
                  <w:shd w:val="clear" w:color="auto" w:fill="auto"/>
                  <w:vAlign w:val="center"/>
                </w:tcPr>
                <w:p w14:paraId="0F0E30EF">
                  <w:pPr>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color w:val="auto"/>
                      <w:kern w:val="2"/>
                      <w:sz w:val="21"/>
                      <w:szCs w:val="21"/>
                      <w:lang w:val="en-US" w:eastAsia="zh-CN" w:bidi="ar-SA"/>
                    </w:rPr>
                  </w:pPr>
                  <w:r>
                    <w:rPr>
                      <w:rFonts w:hint="default" w:ascii="Times New Roman" w:hAnsi="Times New Roman" w:eastAsia="宋体" w:cs="Times New Roman"/>
                      <w:color w:val="auto"/>
                      <w:szCs w:val="21"/>
                    </w:rPr>
                    <w:t>8</w:t>
                  </w:r>
                </w:p>
              </w:tc>
              <w:tc>
                <w:tcPr>
                  <w:tcW w:w="370" w:type="pct"/>
                  <w:vMerge w:val="continue"/>
                  <w:vAlign w:val="center"/>
                </w:tcPr>
                <w:p w14:paraId="2E78004A">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p>
              </w:tc>
              <w:tc>
                <w:tcPr>
                  <w:tcW w:w="810" w:type="pct"/>
                  <w:gridSpan w:val="2"/>
                  <w:vAlign w:val="center"/>
                </w:tcPr>
                <w:p w14:paraId="4CAFEAF4">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r>
                    <w:rPr>
                      <w:rFonts w:hint="eastAsia" w:ascii="Times New Roman" w:hAnsi="Times New Roman" w:eastAsia="宋体" w:cs="Times New Roman"/>
                      <w:color w:val="auto"/>
                      <w:szCs w:val="21"/>
                    </w:rPr>
                    <w:t>PET膜</w:t>
                  </w:r>
                </w:p>
              </w:tc>
              <w:tc>
                <w:tcPr>
                  <w:tcW w:w="645" w:type="pct"/>
                  <w:vAlign w:val="center"/>
                </w:tcPr>
                <w:p w14:paraId="13D564D7">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rPr>
                    <w:t>175平方/卷</w:t>
                  </w:r>
                </w:p>
              </w:tc>
              <w:tc>
                <w:tcPr>
                  <w:tcW w:w="581" w:type="pct"/>
                  <w:vAlign w:val="center"/>
                </w:tcPr>
                <w:p w14:paraId="7C8A498B">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jc w:val="center"/>
                    <w:textAlignment w:val="auto"/>
                    <w:rPr>
                      <w:rFonts w:hint="default" w:ascii="Times New Roman" w:hAnsi="Times New Roman" w:eastAsia="宋体" w:cs="Times New Roman"/>
                      <w:color w:val="auto"/>
                      <w:szCs w:val="21"/>
                    </w:rPr>
                  </w:pPr>
                  <w:r>
                    <w:rPr>
                      <w:rFonts w:hint="eastAsia" w:ascii="Times New Roman" w:hAnsi="Times New Roman" w:eastAsia="宋体" w:cs="Times New Roman"/>
                      <w:color w:val="0000E1"/>
                      <w:szCs w:val="21"/>
                      <w:lang w:val="en-US" w:eastAsia="zh-CN"/>
                    </w:rPr>
                    <w:t>0</w:t>
                  </w:r>
                </w:p>
              </w:tc>
              <w:tc>
                <w:tcPr>
                  <w:tcW w:w="516" w:type="pct"/>
                  <w:vAlign w:val="center"/>
                </w:tcPr>
                <w:p w14:paraId="29DBFB8C">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jc w:val="center"/>
                    <w:textAlignment w:val="auto"/>
                    <w:rPr>
                      <w:rFonts w:hint="eastAsia" w:ascii="Times New Roman" w:hAnsi="Times New Roman" w:eastAsia="宋体" w:cs="Times New Roman"/>
                      <w:color w:val="auto"/>
                      <w:szCs w:val="21"/>
                    </w:rPr>
                  </w:pPr>
                  <w:r>
                    <w:rPr>
                      <w:rFonts w:hint="eastAsia" w:ascii="Times New Roman" w:hAnsi="Times New Roman" w:eastAsia="宋体" w:cs="Times New Roman"/>
                      <w:color w:val="0000E1"/>
                      <w:szCs w:val="21"/>
                      <w:lang w:val="en-US" w:eastAsia="zh-CN"/>
                    </w:rPr>
                    <w:t>0</w:t>
                  </w:r>
                </w:p>
              </w:tc>
              <w:tc>
                <w:tcPr>
                  <w:tcW w:w="524" w:type="pct"/>
                  <w:vAlign w:val="center"/>
                </w:tcPr>
                <w:p w14:paraId="0913762D">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leftChars="0" w:right="0" w:rightChars="0"/>
                    <w:jc w:val="center"/>
                    <w:textAlignment w:val="auto"/>
                    <w:rPr>
                      <w:rFonts w:hint="eastAsia" w:ascii="Times New Roman" w:hAnsi="Times New Roman" w:eastAsia="宋体" w:cs="Times New Roman"/>
                      <w:color w:val="auto"/>
                      <w:szCs w:val="21"/>
                    </w:rPr>
                  </w:pPr>
                  <w:r>
                    <w:rPr>
                      <w:rFonts w:hint="eastAsia" w:ascii="Times New Roman" w:hAnsi="Times New Roman" w:eastAsia="宋体" w:cs="Times New Roman"/>
                      <w:color w:val="auto"/>
                      <w:szCs w:val="21"/>
                    </w:rPr>
                    <w:t>152.32万</w:t>
                  </w:r>
                  <w:r>
                    <w:rPr>
                      <w:rFonts w:hint="eastAsia" w:ascii="Times New Roman" w:hAnsi="Times New Roman" w:eastAsia="宋体" w:cs="Times New Roman"/>
                      <w:color w:val="auto"/>
                      <w:szCs w:val="21"/>
                      <w:lang w:eastAsia="zh-CN"/>
                    </w:rPr>
                    <w:t>m</w:t>
                  </w:r>
                  <w:r>
                    <w:rPr>
                      <w:rFonts w:hint="eastAsia" w:ascii="Times New Roman" w:hAnsi="Times New Roman" w:eastAsia="宋体" w:cs="Times New Roman"/>
                      <w:color w:val="auto"/>
                      <w:szCs w:val="21"/>
                      <w:vertAlign w:val="superscript"/>
                      <w:lang w:eastAsia="zh-CN"/>
                    </w:rPr>
                    <w:t>2</w:t>
                  </w:r>
                  <w:r>
                    <w:rPr>
                      <w:rFonts w:hint="eastAsia" w:ascii="Times New Roman" w:hAnsi="Times New Roman" w:eastAsia="宋体" w:cs="Times New Roman"/>
                      <w:color w:val="auto"/>
                      <w:szCs w:val="21"/>
                      <w:vertAlign w:val="baseline"/>
                      <w:lang w:val="en-US" w:eastAsia="zh-CN"/>
                    </w:rPr>
                    <w:t>（15.76t）</w:t>
                  </w:r>
                </w:p>
              </w:tc>
              <w:tc>
                <w:tcPr>
                  <w:tcW w:w="571" w:type="pct"/>
                  <w:vAlign w:val="center"/>
                </w:tcPr>
                <w:p w14:paraId="189682F5">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leftChars="0" w:right="0" w:rightChars="0"/>
                    <w:jc w:val="center"/>
                    <w:textAlignment w:val="auto"/>
                    <w:rPr>
                      <w:rFonts w:hint="eastAsia" w:ascii="Times New Roman" w:hAnsi="Times New Roman" w:eastAsia="宋体" w:cs="Times New Roman"/>
                      <w:color w:val="auto"/>
                      <w:szCs w:val="21"/>
                    </w:rPr>
                  </w:pPr>
                  <w:r>
                    <w:rPr>
                      <w:rFonts w:hint="eastAsia" w:ascii="Times New Roman" w:hAnsi="Times New Roman" w:eastAsia="宋体" w:cs="Times New Roman"/>
                      <w:color w:val="auto"/>
                      <w:szCs w:val="21"/>
                    </w:rPr>
                    <w:t>152.32万</w:t>
                  </w:r>
                  <w:r>
                    <w:rPr>
                      <w:rFonts w:hint="eastAsia" w:ascii="Times New Roman" w:hAnsi="Times New Roman" w:eastAsia="宋体" w:cs="Times New Roman"/>
                      <w:color w:val="auto"/>
                      <w:szCs w:val="21"/>
                      <w:lang w:eastAsia="zh-CN"/>
                    </w:rPr>
                    <w:t>m</w:t>
                  </w:r>
                  <w:r>
                    <w:rPr>
                      <w:rFonts w:hint="eastAsia" w:ascii="Times New Roman" w:hAnsi="Times New Roman" w:eastAsia="宋体" w:cs="Times New Roman"/>
                      <w:color w:val="auto"/>
                      <w:szCs w:val="21"/>
                      <w:vertAlign w:val="superscript"/>
                      <w:lang w:eastAsia="zh-CN"/>
                    </w:rPr>
                    <w:t>2</w:t>
                  </w:r>
                  <w:r>
                    <w:rPr>
                      <w:rFonts w:hint="eastAsia" w:ascii="Times New Roman" w:hAnsi="Times New Roman" w:eastAsia="宋体" w:cs="Times New Roman"/>
                      <w:color w:val="auto"/>
                      <w:szCs w:val="21"/>
                      <w:vertAlign w:val="baseline"/>
                      <w:lang w:val="en-US" w:eastAsia="zh-CN"/>
                    </w:rPr>
                    <w:t>（15.76t）</w:t>
                  </w:r>
                </w:p>
              </w:tc>
              <w:tc>
                <w:tcPr>
                  <w:tcW w:w="466" w:type="pct"/>
                  <w:vAlign w:val="center"/>
                </w:tcPr>
                <w:p w14:paraId="60345799">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jc w:val="center"/>
                    <w:textAlignment w:val="auto"/>
                    <w:rPr>
                      <w:rFonts w:hint="default" w:ascii="Times New Roman" w:hAnsi="Times New Roman" w:eastAsia="宋体" w:cs="Times New Roman"/>
                      <w:color w:val="auto"/>
                      <w:szCs w:val="21"/>
                      <w:lang w:val="en-US" w:eastAsia="zh-CN"/>
                    </w:rPr>
                  </w:pPr>
                  <w:r>
                    <w:rPr>
                      <w:rFonts w:hint="eastAsia" w:ascii="Times New Roman" w:hAnsi="Times New Roman" w:eastAsia="宋体" w:cs="Times New Roman"/>
                      <w:color w:val="auto"/>
                      <w:szCs w:val="21"/>
                      <w:lang w:val="en-US" w:eastAsia="zh-CN"/>
                    </w:rPr>
                    <w:t>507675m</w:t>
                  </w:r>
                  <w:r>
                    <w:rPr>
                      <w:rFonts w:hint="eastAsia" w:ascii="Times New Roman" w:hAnsi="Times New Roman" w:eastAsia="宋体" w:cs="Times New Roman"/>
                      <w:color w:val="auto"/>
                      <w:szCs w:val="21"/>
                      <w:vertAlign w:val="superscript"/>
                      <w:lang w:val="en-US" w:eastAsia="zh-CN"/>
                    </w:rPr>
                    <w:t>2</w:t>
                  </w:r>
                  <w:r>
                    <w:rPr>
                      <w:rFonts w:hint="eastAsia" w:ascii="Times New Roman" w:hAnsi="Times New Roman" w:eastAsia="宋体" w:cs="Times New Roman"/>
                      <w:color w:val="auto"/>
                      <w:szCs w:val="21"/>
                      <w:lang w:val="en-US" w:eastAsia="zh-CN"/>
                    </w:rPr>
                    <w:t>（5.25t）</w:t>
                  </w:r>
                </w:p>
              </w:tc>
              <w:tc>
                <w:tcPr>
                  <w:tcW w:w="240" w:type="pct"/>
                  <w:vAlign w:val="center"/>
                </w:tcPr>
                <w:p w14:paraId="669619E1">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r>
                    <w:rPr>
                      <w:rFonts w:hint="eastAsia" w:ascii="Times New Roman" w:hAnsi="Times New Roman" w:eastAsia="宋体" w:cs="Times New Roman"/>
                      <w:color w:val="auto"/>
                      <w:szCs w:val="21"/>
                      <w:lang w:val="en-US" w:eastAsia="zh-CN"/>
                    </w:rPr>
                    <w:t>外购</w:t>
                  </w:r>
                </w:p>
              </w:tc>
            </w:tr>
            <w:tr w14:paraId="051DDC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272" w:type="pct"/>
                  <w:shd w:val="clear" w:color="auto" w:fill="auto"/>
                  <w:vAlign w:val="center"/>
                </w:tcPr>
                <w:p w14:paraId="3F09E3FC">
                  <w:pPr>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color w:val="auto"/>
                      <w:kern w:val="2"/>
                      <w:sz w:val="21"/>
                      <w:szCs w:val="21"/>
                      <w:lang w:val="en-US" w:eastAsia="zh-CN" w:bidi="ar-SA"/>
                    </w:rPr>
                  </w:pPr>
                  <w:r>
                    <w:rPr>
                      <w:rFonts w:hint="default" w:ascii="Times New Roman" w:hAnsi="Times New Roman" w:eastAsia="宋体" w:cs="Times New Roman"/>
                      <w:color w:val="auto"/>
                      <w:szCs w:val="21"/>
                    </w:rPr>
                    <w:t>9</w:t>
                  </w:r>
                </w:p>
              </w:tc>
              <w:tc>
                <w:tcPr>
                  <w:tcW w:w="370" w:type="pct"/>
                  <w:vMerge w:val="continue"/>
                  <w:vAlign w:val="center"/>
                </w:tcPr>
                <w:p w14:paraId="65546AEA">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p>
              </w:tc>
              <w:tc>
                <w:tcPr>
                  <w:tcW w:w="236" w:type="pct"/>
                  <w:vMerge w:val="restart"/>
                  <w:shd w:val="clear" w:color="auto" w:fill="auto"/>
                  <w:vAlign w:val="center"/>
                </w:tcPr>
                <w:p w14:paraId="6294DA5A">
                  <w:pPr>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color w:val="0000E1"/>
                      <w:kern w:val="2"/>
                      <w:sz w:val="21"/>
                      <w:szCs w:val="21"/>
                      <w:lang w:val="en-US" w:eastAsia="zh-CN" w:bidi="ar-SA"/>
                    </w:rPr>
                  </w:pPr>
                  <w:r>
                    <w:rPr>
                      <w:rFonts w:hint="eastAsia" w:ascii="Times New Roman" w:hAnsi="Times New Roman" w:eastAsia="宋体" w:cs="Times New Roman"/>
                      <w:color w:val="0000E1"/>
                      <w:kern w:val="2"/>
                      <w:sz w:val="21"/>
                      <w:szCs w:val="21"/>
                      <w:lang w:val="en-US" w:eastAsia="zh-CN" w:bidi="ar-SA"/>
                    </w:rPr>
                    <w:t>辅料*</w:t>
                  </w:r>
                </w:p>
              </w:tc>
              <w:tc>
                <w:tcPr>
                  <w:tcW w:w="573" w:type="pct"/>
                  <w:shd w:val="clear" w:color="auto" w:fill="auto"/>
                  <w:vAlign w:val="center"/>
                </w:tcPr>
                <w:p w14:paraId="109CA166">
                  <w:pPr>
                    <w:keepNext w:val="0"/>
                    <w:keepLines w:val="0"/>
                    <w:suppressLineNumbers w:val="0"/>
                    <w:spacing w:before="0" w:beforeAutospacing="0" w:after="0" w:afterAutospacing="0"/>
                    <w:ind w:left="0" w:leftChars="0" w:right="0" w:rightChars="0"/>
                    <w:jc w:val="center"/>
                    <w:rPr>
                      <w:rFonts w:hint="eastAsia" w:ascii="Times New Roman" w:hAnsi="Times New Roman" w:eastAsia="宋体" w:cs="Times New Roman"/>
                      <w:color w:val="0000E1"/>
                      <w:kern w:val="2"/>
                      <w:sz w:val="21"/>
                      <w:szCs w:val="21"/>
                      <w:lang w:val="en-US" w:eastAsia="zh-CN" w:bidi="ar-SA"/>
                    </w:rPr>
                  </w:pPr>
                  <w:r>
                    <w:rPr>
                      <w:rFonts w:hint="eastAsia" w:ascii="Times New Roman" w:hAnsi="Times New Roman" w:eastAsia="宋体" w:cs="Times New Roman"/>
                      <w:color w:val="0000E1"/>
                      <w:szCs w:val="21"/>
                    </w:rPr>
                    <w:t>陶瓷基料</w:t>
                  </w:r>
                  <w:r>
                    <w:rPr>
                      <w:rFonts w:hint="eastAsia" w:ascii="Times New Roman" w:hAnsi="Times New Roman" w:eastAsia="宋体" w:cs="Times New Roman"/>
                      <w:color w:val="0000E1"/>
                      <w:szCs w:val="21"/>
                      <w:lang w:val="en-US" w:eastAsia="zh-CN"/>
                    </w:rPr>
                    <w:t>混合物</w:t>
                  </w:r>
                </w:p>
              </w:tc>
              <w:tc>
                <w:tcPr>
                  <w:tcW w:w="1056" w:type="dxa"/>
                  <w:shd w:val="clear" w:color="auto" w:fill="auto"/>
                  <w:vAlign w:val="center"/>
                </w:tcPr>
                <w:p w14:paraId="47BA1428">
                  <w:pPr>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color w:val="0000E1"/>
                      <w:kern w:val="2"/>
                      <w:sz w:val="21"/>
                      <w:szCs w:val="21"/>
                      <w:lang w:val="en-US" w:eastAsia="zh-CN" w:bidi="ar-SA"/>
                    </w:rPr>
                  </w:pPr>
                  <w:r>
                    <w:rPr>
                      <w:rFonts w:hint="eastAsia" w:ascii="Times New Roman" w:hAnsi="Times New Roman" w:eastAsia="宋体" w:cs="Times New Roman"/>
                      <w:color w:val="0000E1"/>
                      <w:szCs w:val="21"/>
                      <w:lang w:val="en-US" w:eastAsia="zh-CN"/>
                    </w:rPr>
                    <w:t>230kg/铁桶</w:t>
                  </w:r>
                </w:p>
              </w:tc>
              <w:tc>
                <w:tcPr>
                  <w:tcW w:w="581" w:type="pct"/>
                  <w:vAlign w:val="center"/>
                </w:tcPr>
                <w:p w14:paraId="57EA60FC">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jc w:val="center"/>
                    <w:textAlignment w:val="auto"/>
                    <w:rPr>
                      <w:rFonts w:hint="default" w:ascii="Times New Roman" w:hAnsi="Times New Roman" w:eastAsia="宋体" w:cs="Times New Roman"/>
                      <w:color w:val="0000E1"/>
                      <w:szCs w:val="21"/>
                      <w:lang w:val="en-US" w:eastAsia="zh-CN"/>
                    </w:rPr>
                  </w:pPr>
                  <w:r>
                    <w:rPr>
                      <w:rFonts w:hint="eastAsia" w:ascii="Times New Roman" w:hAnsi="Times New Roman" w:eastAsia="宋体" w:cs="Times New Roman"/>
                      <w:color w:val="0000E1"/>
                      <w:szCs w:val="21"/>
                      <w:lang w:val="en-US" w:eastAsia="zh-CN"/>
                    </w:rPr>
                    <w:t>0</w:t>
                  </w:r>
                </w:p>
              </w:tc>
              <w:tc>
                <w:tcPr>
                  <w:tcW w:w="845" w:type="dxa"/>
                  <w:vAlign w:val="center"/>
                </w:tcPr>
                <w:p w14:paraId="45BFF6A9">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leftChars="0" w:right="0" w:rightChars="0"/>
                    <w:jc w:val="center"/>
                    <w:textAlignment w:val="auto"/>
                    <w:rPr>
                      <w:rFonts w:hint="eastAsia" w:ascii="Times New Roman" w:hAnsi="Times New Roman" w:eastAsia="宋体" w:cs="Times New Roman"/>
                      <w:color w:val="0000E1"/>
                      <w:szCs w:val="21"/>
                      <w:lang w:val="en-US" w:eastAsia="zh-CN"/>
                    </w:rPr>
                  </w:pPr>
                  <w:r>
                    <w:rPr>
                      <w:rFonts w:hint="eastAsia" w:ascii="Times New Roman" w:hAnsi="Times New Roman" w:eastAsia="宋体" w:cs="Times New Roman"/>
                      <w:color w:val="0000E1"/>
                      <w:szCs w:val="21"/>
                      <w:lang w:val="en-US" w:eastAsia="zh-CN"/>
                    </w:rPr>
                    <w:t>0</w:t>
                  </w:r>
                </w:p>
              </w:tc>
              <w:tc>
                <w:tcPr>
                  <w:tcW w:w="524" w:type="pct"/>
                  <w:vAlign w:val="center"/>
                </w:tcPr>
                <w:p w14:paraId="00C2C0B9">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leftChars="0" w:right="0" w:rightChars="0"/>
                    <w:jc w:val="center"/>
                    <w:textAlignment w:val="auto"/>
                    <w:rPr>
                      <w:rFonts w:hint="eastAsia" w:ascii="Times New Roman" w:hAnsi="Times New Roman" w:eastAsia="宋体" w:cs="Times New Roman"/>
                      <w:color w:val="0000E1"/>
                      <w:szCs w:val="21"/>
                      <w:lang w:val="en-US" w:eastAsia="zh-CN"/>
                    </w:rPr>
                  </w:pPr>
                  <w:r>
                    <w:rPr>
                      <w:rFonts w:hint="eastAsia" w:ascii="Times New Roman" w:hAnsi="Times New Roman" w:eastAsia="宋体" w:cs="Times New Roman"/>
                      <w:color w:val="0000E1"/>
                      <w:szCs w:val="21"/>
                      <w:lang w:val="en-US" w:eastAsia="zh-CN"/>
                    </w:rPr>
                    <w:t>228.75t</w:t>
                  </w:r>
                </w:p>
              </w:tc>
              <w:tc>
                <w:tcPr>
                  <w:tcW w:w="571" w:type="pct"/>
                  <w:vAlign w:val="center"/>
                </w:tcPr>
                <w:p w14:paraId="7D59670E">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leftChars="0" w:right="0" w:rightChars="0"/>
                    <w:jc w:val="center"/>
                    <w:textAlignment w:val="auto"/>
                    <w:rPr>
                      <w:rFonts w:hint="eastAsia" w:ascii="Times New Roman" w:hAnsi="Times New Roman" w:eastAsia="宋体" w:cs="Times New Roman"/>
                      <w:color w:val="0000E1"/>
                      <w:szCs w:val="21"/>
                      <w:lang w:val="en-US" w:eastAsia="zh-CN"/>
                    </w:rPr>
                  </w:pPr>
                  <w:r>
                    <w:rPr>
                      <w:rFonts w:hint="eastAsia" w:ascii="Times New Roman" w:hAnsi="Times New Roman" w:eastAsia="宋体" w:cs="Times New Roman"/>
                      <w:color w:val="0000E1"/>
                      <w:szCs w:val="21"/>
                      <w:lang w:val="en-US" w:eastAsia="zh-CN"/>
                    </w:rPr>
                    <w:t>228.75t</w:t>
                  </w:r>
                </w:p>
              </w:tc>
              <w:tc>
                <w:tcPr>
                  <w:tcW w:w="466" w:type="pct"/>
                  <w:vAlign w:val="center"/>
                </w:tcPr>
                <w:p w14:paraId="5F52BE46">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jc w:val="center"/>
                    <w:textAlignment w:val="auto"/>
                    <w:rPr>
                      <w:rFonts w:hint="default" w:ascii="Times New Roman" w:hAnsi="Times New Roman" w:eastAsia="宋体" w:cs="Times New Roman"/>
                      <w:color w:val="0000E1"/>
                      <w:szCs w:val="21"/>
                      <w:lang w:val="en-US" w:eastAsia="zh-CN"/>
                    </w:rPr>
                  </w:pPr>
                  <w:r>
                    <w:rPr>
                      <w:rFonts w:hint="eastAsia" w:ascii="Times New Roman" w:hAnsi="Times New Roman" w:eastAsia="宋体" w:cs="Times New Roman"/>
                      <w:color w:val="0000E1"/>
                      <w:szCs w:val="21"/>
                      <w:lang w:val="en-US" w:eastAsia="zh-CN"/>
                    </w:rPr>
                    <w:t>76.36t</w:t>
                  </w:r>
                </w:p>
              </w:tc>
              <w:tc>
                <w:tcPr>
                  <w:tcW w:w="240" w:type="pct"/>
                  <w:vAlign w:val="center"/>
                </w:tcPr>
                <w:p w14:paraId="0A48A846">
                  <w:pPr>
                    <w:keepNext w:val="0"/>
                    <w:keepLines w:val="0"/>
                    <w:suppressLineNumbers w:val="0"/>
                    <w:spacing w:before="0" w:beforeAutospacing="0" w:after="0" w:afterAutospacing="0"/>
                    <w:ind w:left="0" w:right="0"/>
                    <w:jc w:val="center"/>
                    <w:rPr>
                      <w:rFonts w:hint="eastAsia" w:ascii="Times New Roman" w:hAnsi="Times New Roman" w:eastAsia="宋体" w:cs="Times New Roman"/>
                      <w:color w:val="auto"/>
                      <w:szCs w:val="21"/>
                      <w:lang w:val="en-US" w:eastAsia="zh-CN"/>
                    </w:rPr>
                  </w:pPr>
                  <w:r>
                    <w:rPr>
                      <w:rFonts w:hint="eastAsia" w:ascii="Times New Roman" w:hAnsi="Times New Roman" w:eastAsia="宋体" w:cs="Times New Roman"/>
                      <w:color w:val="auto"/>
                      <w:szCs w:val="21"/>
                      <w:lang w:val="en-US" w:eastAsia="zh-CN"/>
                    </w:rPr>
                    <w:t>外购</w:t>
                  </w:r>
                </w:p>
              </w:tc>
            </w:tr>
            <w:tr w14:paraId="22FEE5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272" w:type="pct"/>
                  <w:shd w:val="clear" w:color="auto" w:fill="auto"/>
                  <w:vAlign w:val="center"/>
                </w:tcPr>
                <w:p w14:paraId="61046C59">
                  <w:pPr>
                    <w:keepNext w:val="0"/>
                    <w:keepLines w:val="0"/>
                    <w:suppressLineNumbers w:val="0"/>
                    <w:spacing w:before="0" w:beforeAutospacing="0" w:after="0" w:afterAutospacing="0"/>
                    <w:ind w:left="0" w:leftChars="0" w:right="0" w:rightChars="0"/>
                    <w:jc w:val="center"/>
                    <w:rPr>
                      <w:rFonts w:hint="eastAsia" w:ascii="Times New Roman" w:hAnsi="Times New Roman" w:eastAsia="宋体" w:cs="Times New Roman"/>
                      <w:color w:val="auto"/>
                      <w:kern w:val="2"/>
                      <w:sz w:val="21"/>
                      <w:szCs w:val="21"/>
                      <w:lang w:val="en-US" w:eastAsia="zh-CN" w:bidi="ar-SA"/>
                    </w:rPr>
                  </w:pPr>
                  <w:r>
                    <w:rPr>
                      <w:rFonts w:hint="default" w:ascii="Times New Roman" w:hAnsi="Times New Roman" w:eastAsia="宋体" w:cs="Times New Roman"/>
                      <w:color w:val="auto"/>
                      <w:szCs w:val="21"/>
                    </w:rPr>
                    <w:t>1</w:t>
                  </w:r>
                  <w:r>
                    <w:rPr>
                      <w:rFonts w:hint="eastAsia" w:ascii="Times New Roman" w:hAnsi="Times New Roman" w:eastAsia="宋体" w:cs="Times New Roman"/>
                      <w:color w:val="auto"/>
                      <w:szCs w:val="21"/>
                      <w:lang w:val="en-US" w:eastAsia="zh-CN"/>
                    </w:rPr>
                    <w:t>0</w:t>
                  </w:r>
                </w:p>
              </w:tc>
              <w:tc>
                <w:tcPr>
                  <w:tcW w:w="370" w:type="pct"/>
                  <w:vMerge w:val="continue"/>
                  <w:vAlign w:val="center"/>
                </w:tcPr>
                <w:p w14:paraId="01BD7850">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p>
              </w:tc>
              <w:tc>
                <w:tcPr>
                  <w:tcW w:w="236" w:type="pct"/>
                  <w:vMerge w:val="continue"/>
                  <w:vAlign w:val="center"/>
                </w:tcPr>
                <w:p w14:paraId="5CBD50B4">
                  <w:pPr>
                    <w:keepNext w:val="0"/>
                    <w:keepLines w:val="0"/>
                    <w:suppressLineNumbers w:val="0"/>
                    <w:spacing w:before="0" w:beforeAutospacing="0" w:after="0" w:afterAutospacing="0"/>
                    <w:ind w:left="0" w:right="0"/>
                    <w:jc w:val="center"/>
                    <w:rPr>
                      <w:rFonts w:hint="eastAsia" w:ascii="Times New Roman" w:hAnsi="Times New Roman" w:eastAsia="宋体" w:cs="Times New Roman"/>
                      <w:color w:val="auto"/>
                      <w:szCs w:val="21"/>
                      <w:lang w:eastAsia="zh-CN"/>
                    </w:rPr>
                  </w:pPr>
                </w:p>
              </w:tc>
              <w:tc>
                <w:tcPr>
                  <w:tcW w:w="573" w:type="pct"/>
                  <w:shd w:val="clear" w:color="auto" w:fill="auto"/>
                  <w:vAlign w:val="center"/>
                </w:tcPr>
                <w:p w14:paraId="75C782B3">
                  <w:pPr>
                    <w:keepNext w:val="0"/>
                    <w:keepLines w:val="0"/>
                    <w:suppressLineNumbers w:val="0"/>
                    <w:spacing w:before="0" w:beforeAutospacing="0" w:after="0" w:afterAutospacing="0"/>
                    <w:ind w:left="0" w:leftChars="0" w:right="0" w:rightChars="0"/>
                    <w:jc w:val="center"/>
                    <w:rPr>
                      <w:rFonts w:hint="eastAsia" w:ascii="Times New Roman" w:hAnsi="Times New Roman" w:eastAsia="宋体" w:cs="Times New Roman"/>
                      <w:color w:val="auto"/>
                      <w:szCs w:val="21"/>
                      <w:highlight w:val="none"/>
                    </w:rPr>
                  </w:pPr>
                  <w:r>
                    <w:rPr>
                      <w:rFonts w:hint="eastAsia" w:ascii="Times New Roman" w:hAnsi="Times New Roman" w:eastAsia="宋体" w:cs="Times New Roman"/>
                      <w:color w:val="auto"/>
                      <w:szCs w:val="21"/>
                      <w:highlight w:val="none"/>
                    </w:rPr>
                    <w:t>泡棉条</w:t>
                  </w:r>
                </w:p>
                <w:p w14:paraId="049D2DC2">
                  <w:pPr>
                    <w:keepNext w:val="0"/>
                    <w:keepLines w:val="0"/>
                    <w:suppressLineNumbers w:val="0"/>
                    <w:spacing w:before="0" w:beforeAutospacing="0" w:after="0" w:afterAutospacing="0"/>
                    <w:ind w:left="0" w:leftChars="0" w:right="0" w:rightChars="0"/>
                    <w:jc w:val="center"/>
                    <w:rPr>
                      <w:rFonts w:hint="eastAsia" w:ascii="Times New Roman" w:hAnsi="Times New Roman" w:eastAsia="宋体" w:cs="Times New Roman"/>
                      <w:color w:val="auto"/>
                      <w:kern w:val="2"/>
                      <w:sz w:val="21"/>
                      <w:szCs w:val="21"/>
                      <w:lang w:val="en-US" w:eastAsia="zh-CN" w:bidi="ar-SA"/>
                    </w:rPr>
                  </w:pPr>
                  <w:r>
                    <w:rPr>
                      <w:rFonts w:hint="eastAsia" w:ascii="Times New Roman" w:hAnsi="Times New Roman" w:eastAsia="宋体" w:cs="Times New Roman"/>
                      <w:color w:val="auto"/>
                      <w:szCs w:val="21"/>
                      <w:highlight w:val="none"/>
                      <w:lang w:eastAsia="zh-CN"/>
                    </w:rPr>
                    <w:t>（</w:t>
                  </w:r>
                  <w:r>
                    <w:rPr>
                      <w:rFonts w:hint="eastAsia" w:ascii="Times New Roman" w:hAnsi="Times New Roman" w:eastAsia="宋体" w:cs="Times New Roman"/>
                      <w:color w:val="auto"/>
                      <w:szCs w:val="21"/>
                      <w:highlight w:val="none"/>
                      <w:lang w:val="en-US" w:eastAsia="zh-CN"/>
                    </w:rPr>
                    <w:t>硅基条</w:t>
                  </w:r>
                  <w:r>
                    <w:rPr>
                      <w:rFonts w:hint="eastAsia" w:ascii="Times New Roman" w:hAnsi="Times New Roman" w:eastAsia="宋体" w:cs="Times New Roman"/>
                      <w:color w:val="auto"/>
                      <w:szCs w:val="21"/>
                      <w:highlight w:val="none"/>
                      <w:lang w:eastAsia="zh-CN"/>
                    </w:rPr>
                    <w:t>）</w:t>
                  </w:r>
                </w:p>
              </w:tc>
              <w:tc>
                <w:tcPr>
                  <w:tcW w:w="1056" w:type="dxa"/>
                  <w:vAlign w:val="center"/>
                </w:tcPr>
                <w:p w14:paraId="65CDF9B5">
                  <w:pPr>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color w:val="auto"/>
                      <w:szCs w:val="21"/>
                      <w:lang w:val="en-US" w:eastAsia="zh-CN"/>
                    </w:rPr>
                  </w:pPr>
                  <w:r>
                    <w:rPr>
                      <w:rFonts w:hint="eastAsia" w:ascii="Times New Roman" w:hAnsi="Times New Roman" w:eastAsia="宋体" w:cs="Times New Roman"/>
                      <w:color w:val="0000E1"/>
                      <w:szCs w:val="21"/>
                      <w:lang w:val="en-US" w:eastAsia="zh-CN"/>
                    </w:rPr>
                    <w:t>10kg/卷</w:t>
                  </w:r>
                </w:p>
              </w:tc>
              <w:tc>
                <w:tcPr>
                  <w:tcW w:w="581" w:type="pct"/>
                  <w:vAlign w:val="center"/>
                </w:tcPr>
                <w:p w14:paraId="29F19050">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jc w:val="center"/>
                    <w:textAlignment w:val="auto"/>
                    <w:rPr>
                      <w:rFonts w:hint="default" w:ascii="Times New Roman" w:hAnsi="Times New Roman" w:eastAsia="宋体" w:cs="Times New Roman"/>
                      <w:color w:val="auto"/>
                      <w:szCs w:val="21"/>
                    </w:rPr>
                  </w:pPr>
                  <w:r>
                    <w:rPr>
                      <w:rFonts w:hint="eastAsia" w:ascii="Times New Roman" w:hAnsi="Times New Roman" w:eastAsia="宋体" w:cs="Times New Roman"/>
                      <w:color w:val="0000E1"/>
                      <w:szCs w:val="21"/>
                      <w:lang w:val="en-US" w:eastAsia="zh-CN"/>
                    </w:rPr>
                    <w:t>0</w:t>
                  </w:r>
                </w:p>
              </w:tc>
              <w:tc>
                <w:tcPr>
                  <w:tcW w:w="845" w:type="dxa"/>
                  <w:vAlign w:val="center"/>
                </w:tcPr>
                <w:p w14:paraId="35E7035C">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leftChars="0" w:right="0" w:rightChars="0"/>
                    <w:jc w:val="center"/>
                    <w:textAlignment w:val="auto"/>
                    <w:rPr>
                      <w:rFonts w:hint="eastAsia" w:ascii="Times New Roman" w:hAnsi="Times New Roman" w:eastAsia="宋体" w:cs="Times New Roman"/>
                      <w:color w:val="auto"/>
                      <w:szCs w:val="21"/>
                    </w:rPr>
                  </w:pPr>
                  <w:r>
                    <w:rPr>
                      <w:rFonts w:hint="eastAsia" w:ascii="Times New Roman" w:hAnsi="Times New Roman" w:eastAsia="宋体" w:cs="Times New Roman"/>
                      <w:color w:val="0000E1"/>
                      <w:szCs w:val="21"/>
                      <w:lang w:val="en-US" w:eastAsia="zh-CN"/>
                    </w:rPr>
                    <w:t>0</w:t>
                  </w:r>
                </w:p>
              </w:tc>
              <w:tc>
                <w:tcPr>
                  <w:tcW w:w="524" w:type="pct"/>
                  <w:vAlign w:val="center"/>
                </w:tcPr>
                <w:p w14:paraId="61180278">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leftChars="0" w:right="0" w:rightChars="0"/>
                    <w:jc w:val="center"/>
                    <w:textAlignment w:val="auto"/>
                    <w:rPr>
                      <w:rFonts w:hint="eastAsia" w:ascii="Times New Roman" w:hAnsi="Times New Roman" w:eastAsia="宋体" w:cs="Times New Roman"/>
                      <w:color w:val="auto"/>
                      <w:szCs w:val="21"/>
                    </w:rPr>
                  </w:pPr>
                  <w:r>
                    <w:rPr>
                      <w:rFonts w:hint="eastAsia" w:ascii="Times New Roman" w:hAnsi="Times New Roman" w:eastAsia="宋体" w:cs="Times New Roman"/>
                      <w:color w:val="auto"/>
                      <w:szCs w:val="21"/>
                    </w:rPr>
                    <w:t>9.15万</w:t>
                  </w:r>
                  <w:r>
                    <w:rPr>
                      <w:rFonts w:hint="eastAsia" w:ascii="Times New Roman" w:hAnsi="Times New Roman" w:eastAsia="宋体" w:cs="Times New Roman"/>
                      <w:color w:val="auto"/>
                      <w:szCs w:val="21"/>
                      <w:lang w:eastAsia="zh-CN"/>
                    </w:rPr>
                    <w:t>m</w:t>
                  </w:r>
                  <w:r>
                    <w:rPr>
                      <w:rFonts w:hint="eastAsia" w:ascii="Times New Roman" w:hAnsi="Times New Roman" w:eastAsia="宋体" w:cs="Times New Roman"/>
                      <w:color w:val="auto"/>
                      <w:szCs w:val="21"/>
                      <w:vertAlign w:val="superscript"/>
                      <w:lang w:eastAsia="zh-CN"/>
                    </w:rPr>
                    <w:t>2</w:t>
                  </w:r>
                  <w:r>
                    <w:rPr>
                      <w:rFonts w:hint="eastAsia" w:ascii="Times New Roman" w:hAnsi="Times New Roman" w:eastAsia="宋体" w:cs="Times New Roman"/>
                      <w:color w:val="auto"/>
                      <w:szCs w:val="21"/>
                      <w:vertAlign w:val="baseline"/>
                      <w:lang w:val="en-US" w:eastAsia="zh-CN"/>
                    </w:rPr>
                    <w:t>（183t）</w:t>
                  </w:r>
                </w:p>
              </w:tc>
              <w:tc>
                <w:tcPr>
                  <w:tcW w:w="571" w:type="pct"/>
                  <w:vAlign w:val="center"/>
                </w:tcPr>
                <w:p w14:paraId="60958B8A">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leftChars="0" w:right="0" w:rightChars="0"/>
                    <w:jc w:val="center"/>
                    <w:textAlignment w:val="auto"/>
                    <w:rPr>
                      <w:rFonts w:hint="eastAsia" w:ascii="Times New Roman" w:hAnsi="Times New Roman" w:eastAsia="宋体" w:cs="Times New Roman"/>
                      <w:color w:val="auto"/>
                      <w:szCs w:val="21"/>
                    </w:rPr>
                  </w:pPr>
                  <w:r>
                    <w:rPr>
                      <w:rFonts w:hint="eastAsia" w:ascii="Times New Roman" w:hAnsi="Times New Roman" w:eastAsia="宋体" w:cs="Times New Roman"/>
                      <w:color w:val="auto"/>
                      <w:szCs w:val="21"/>
                    </w:rPr>
                    <w:t>9.15万</w:t>
                  </w:r>
                  <w:r>
                    <w:rPr>
                      <w:rFonts w:hint="eastAsia" w:ascii="Times New Roman" w:hAnsi="Times New Roman" w:eastAsia="宋体" w:cs="Times New Roman"/>
                      <w:color w:val="auto"/>
                      <w:szCs w:val="21"/>
                      <w:lang w:eastAsia="zh-CN"/>
                    </w:rPr>
                    <w:t>m</w:t>
                  </w:r>
                  <w:r>
                    <w:rPr>
                      <w:rFonts w:hint="eastAsia" w:ascii="Times New Roman" w:hAnsi="Times New Roman" w:eastAsia="宋体" w:cs="Times New Roman"/>
                      <w:color w:val="auto"/>
                      <w:szCs w:val="21"/>
                      <w:vertAlign w:val="superscript"/>
                      <w:lang w:eastAsia="zh-CN"/>
                    </w:rPr>
                    <w:t>2</w:t>
                  </w:r>
                  <w:r>
                    <w:rPr>
                      <w:rFonts w:hint="eastAsia" w:ascii="Times New Roman" w:hAnsi="Times New Roman" w:eastAsia="宋体" w:cs="Times New Roman"/>
                      <w:color w:val="auto"/>
                      <w:szCs w:val="21"/>
                      <w:vertAlign w:val="baseline"/>
                      <w:lang w:val="en-US" w:eastAsia="zh-CN"/>
                    </w:rPr>
                    <w:t>（183t）</w:t>
                  </w:r>
                </w:p>
              </w:tc>
              <w:tc>
                <w:tcPr>
                  <w:tcW w:w="466" w:type="pct"/>
                  <w:vAlign w:val="center"/>
                </w:tcPr>
                <w:p w14:paraId="333A14B2">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jc w:val="center"/>
                    <w:textAlignment w:val="auto"/>
                    <w:rPr>
                      <w:rFonts w:hint="eastAsia" w:ascii="Times New Roman" w:hAnsi="Times New Roman" w:eastAsia="宋体" w:cs="Times New Roman"/>
                      <w:color w:val="auto"/>
                      <w:szCs w:val="21"/>
                      <w:lang w:val="en-US" w:eastAsia="zh-CN"/>
                    </w:rPr>
                  </w:pPr>
                  <w:r>
                    <w:rPr>
                      <w:rFonts w:hint="eastAsia" w:ascii="Times New Roman" w:hAnsi="Times New Roman" w:eastAsia="宋体" w:cs="Times New Roman"/>
                      <w:color w:val="auto"/>
                      <w:szCs w:val="21"/>
                      <w:lang w:val="en-US" w:eastAsia="zh-CN"/>
                    </w:rPr>
                    <w:t>3.05万m</w:t>
                  </w:r>
                  <w:r>
                    <w:rPr>
                      <w:rFonts w:hint="eastAsia" w:ascii="Times New Roman" w:hAnsi="Times New Roman" w:eastAsia="宋体" w:cs="Times New Roman"/>
                      <w:color w:val="auto"/>
                      <w:szCs w:val="21"/>
                      <w:vertAlign w:val="superscript"/>
                      <w:lang w:val="en-US" w:eastAsia="zh-CN"/>
                    </w:rPr>
                    <w:t>2</w:t>
                  </w:r>
                </w:p>
                <w:p w14:paraId="7087E010">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jc w:val="center"/>
                    <w:textAlignment w:val="auto"/>
                    <w:rPr>
                      <w:rFonts w:hint="default" w:ascii="Times New Roman" w:hAnsi="Times New Roman" w:eastAsia="宋体" w:cs="Times New Roman"/>
                      <w:color w:val="auto"/>
                      <w:szCs w:val="21"/>
                      <w:lang w:val="en-US" w:eastAsia="zh-CN"/>
                    </w:rPr>
                  </w:pPr>
                  <w:r>
                    <w:rPr>
                      <w:rFonts w:hint="eastAsia" w:ascii="Times New Roman" w:hAnsi="Times New Roman" w:eastAsia="宋体" w:cs="Times New Roman"/>
                      <w:color w:val="auto"/>
                      <w:szCs w:val="21"/>
                      <w:lang w:val="en-US" w:eastAsia="zh-CN"/>
                    </w:rPr>
                    <w:t>（61t）</w:t>
                  </w:r>
                </w:p>
              </w:tc>
              <w:tc>
                <w:tcPr>
                  <w:tcW w:w="240" w:type="pct"/>
                  <w:vAlign w:val="center"/>
                </w:tcPr>
                <w:p w14:paraId="60D4A5E8">
                  <w:pPr>
                    <w:keepNext w:val="0"/>
                    <w:keepLines w:val="0"/>
                    <w:suppressLineNumbers w:val="0"/>
                    <w:spacing w:before="0" w:beforeAutospacing="0" w:after="0" w:afterAutospacing="0"/>
                    <w:ind w:left="0" w:right="0"/>
                    <w:jc w:val="center"/>
                    <w:rPr>
                      <w:rFonts w:hint="eastAsia" w:ascii="Times New Roman" w:hAnsi="Times New Roman" w:eastAsia="宋体" w:cs="Times New Roman"/>
                      <w:color w:val="auto"/>
                      <w:szCs w:val="21"/>
                      <w:lang w:val="en-US" w:eastAsia="zh-CN"/>
                    </w:rPr>
                  </w:pPr>
                  <w:r>
                    <w:rPr>
                      <w:rFonts w:hint="eastAsia" w:ascii="Times New Roman" w:hAnsi="Times New Roman" w:eastAsia="宋体" w:cs="Times New Roman"/>
                      <w:color w:val="auto"/>
                      <w:szCs w:val="21"/>
                      <w:lang w:val="en-US" w:eastAsia="zh-CN"/>
                    </w:rPr>
                    <w:t>自制</w:t>
                  </w:r>
                </w:p>
              </w:tc>
            </w:tr>
            <w:tr w14:paraId="7ED4A1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272" w:type="pct"/>
                  <w:shd w:val="clear" w:color="auto" w:fill="auto"/>
                  <w:vAlign w:val="center"/>
                </w:tcPr>
                <w:p w14:paraId="772663F1">
                  <w:pPr>
                    <w:keepNext w:val="0"/>
                    <w:keepLines w:val="0"/>
                    <w:suppressLineNumbers w:val="0"/>
                    <w:spacing w:before="0" w:beforeAutospacing="0" w:after="0" w:afterAutospacing="0"/>
                    <w:ind w:left="0" w:leftChars="0" w:right="0" w:rightChars="0"/>
                    <w:jc w:val="center"/>
                    <w:rPr>
                      <w:rFonts w:hint="eastAsia" w:ascii="Times New Roman" w:hAnsi="Times New Roman" w:eastAsia="宋体" w:cs="Times New Roman"/>
                      <w:color w:val="auto"/>
                      <w:kern w:val="2"/>
                      <w:sz w:val="21"/>
                      <w:szCs w:val="21"/>
                      <w:lang w:val="en-US" w:eastAsia="zh-CN" w:bidi="ar-SA"/>
                    </w:rPr>
                  </w:pPr>
                  <w:r>
                    <w:rPr>
                      <w:rFonts w:hint="default" w:ascii="Times New Roman" w:hAnsi="Times New Roman" w:eastAsia="宋体" w:cs="Times New Roman"/>
                      <w:color w:val="auto"/>
                      <w:szCs w:val="21"/>
                    </w:rPr>
                    <w:t>1</w:t>
                  </w:r>
                  <w:r>
                    <w:rPr>
                      <w:rFonts w:hint="eastAsia" w:ascii="Times New Roman" w:hAnsi="Times New Roman" w:eastAsia="宋体" w:cs="Times New Roman"/>
                      <w:color w:val="auto"/>
                      <w:szCs w:val="21"/>
                      <w:lang w:val="en-US" w:eastAsia="zh-CN"/>
                    </w:rPr>
                    <w:t>1</w:t>
                  </w:r>
                </w:p>
              </w:tc>
              <w:tc>
                <w:tcPr>
                  <w:tcW w:w="370" w:type="pct"/>
                  <w:vMerge w:val="continue"/>
                  <w:vAlign w:val="center"/>
                </w:tcPr>
                <w:p w14:paraId="16D50818">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p>
              </w:tc>
              <w:tc>
                <w:tcPr>
                  <w:tcW w:w="810" w:type="pct"/>
                  <w:gridSpan w:val="2"/>
                  <w:vAlign w:val="center"/>
                </w:tcPr>
                <w:p w14:paraId="05A437CC">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lang w:bidi="ar"/>
                    </w:rPr>
                  </w:pPr>
                  <w:r>
                    <w:rPr>
                      <w:rFonts w:hint="eastAsia" w:ascii="Times New Roman" w:hAnsi="Times New Roman" w:eastAsia="宋体" w:cs="Times New Roman"/>
                      <w:color w:val="auto"/>
                      <w:szCs w:val="21"/>
                      <w:lang w:bidi="ar"/>
                    </w:rPr>
                    <w:t>双面胶</w:t>
                  </w:r>
                </w:p>
              </w:tc>
              <w:tc>
                <w:tcPr>
                  <w:tcW w:w="645" w:type="pct"/>
                  <w:vAlign w:val="center"/>
                </w:tcPr>
                <w:p w14:paraId="07FD2DA2">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r>
                    <w:rPr>
                      <w:rFonts w:hint="eastAsia" w:ascii="Times New Roman" w:hAnsi="Times New Roman" w:eastAsia="宋体" w:cs="Times New Roman"/>
                      <w:color w:val="auto"/>
                      <w:szCs w:val="21"/>
                      <w:lang w:val="en-US" w:eastAsia="zh-CN"/>
                    </w:rPr>
                    <w:t>15kg/卷</w:t>
                  </w:r>
                </w:p>
              </w:tc>
              <w:tc>
                <w:tcPr>
                  <w:tcW w:w="581" w:type="pct"/>
                  <w:vAlign w:val="center"/>
                </w:tcPr>
                <w:p w14:paraId="16CC4CE3">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r>
                    <w:rPr>
                      <w:rFonts w:hint="eastAsia" w:ascii="Times New Roman" w:hAnsi="Times New Roman" w:eastAsia="宋体" w:cs="Times New Roman"/>
                      <w:color w:val="0000E1"/>
                      <w:szCs w:val="21"/>
                      <w:lang w:val="en-US" w:eastAsia="zh-CN"/>
                    </w:rPr>
                    <w:t>0</w:t>
                  </w:r>
                </w:p>
              </w:tc>
              <w:tc>
                <w:tcPr>
                  <w:tcW w:w="516" w:type="pct"/>
                  <w:vAlign w:val="center"/>
                </w:tcPr>
                <w:p w14:paraId="01D6C790">
                  <w:pPr>
                    <w:keepNext w:val="0"/>
                    <w:keepLines w:val="0"/>
                    <w:suppressLineNumbers w:val="0"/>
                    <w:spacing w:before="0" w:beforeAutospacing="0" w:after="0" w:afterAutospacing="0"/>
                    <w:ind w:left="0" w:right="0"/>
                    <w:jc w:val="center"/>
                    <w:rPr>
                      <w:rFonts w:hint="eastAsia" w:ascii="Times New Roman" w:hAnsi="Times New Roman" w:eastAsia="宋体" w:cs="Times New Roman"/>
                      <w:color w:val="auto"/>
                      <w:szCs w:val="21"/>
                      <w:lang w:val="en-US" w:eastAsia="zh-CN"/>
                    </w:rPr>
                  </w:pPr>
                  <w:r>
                    <w:rPr>
                      <w:rFonts w:hint="eastAsia" w:ascii="Times New Roman" w:hAnsi="Times New Roman" w:eastAsia="宋体" w:cs="Times New Roman"/>
                      <w:color w:val="0000E1"/>
                      <w:szCs w:val="21"/>
                      <w:lang w:val="en-US" w:eastAsia="zh-CN"/>
                    </w:rPr>
                    <w:t>0</w:t>
                  </w:r>
                </w:p>
              </w:tc>
              <w:tc>
                <w:tcPr>
                  <w:tcW w:w="524" w:type="pct"/>
                  <w:vAlign w:val="center"/>
                </w:tcPr>
                <w:p w14:paraId="20DB59AF">
                  <w:pPr>
                    <w:keepNext w:val="0"/>
                    <w:keepLines w:val="0"/>
                    <w:suppressLineNumbers w:val="0"/>
                    <w:spacing w:before="0" w:beforeAutospacing="0" w:after="0" w:afterAutospacing="0"/>
                    <w:ind w:left="0" w:leftChars="0" w:right="0" w:rightChars="0"/>
                    <w:jc w:val="center"/>
                    <w:rPr>
                      <w:rFonts w:hint="eastAsia" w:ascii="Times New Roman" w:hAnsi="Times New Roman" w:eastAsia="宋体" w:cs="Times New Roman"/>
                      <w:color w:val="auto"/>
                      <w:szCs w:val="21"/>
                      <w:lang w:val="en-US" w:eastAsia="zh-CN"/>
                    </w:rPr>
                  </w:pPr>
                  <w:r>
                    <w:rPr>
                      <w:rFonts w:hint="eastAsia" w:ascii="Times New Roman" w:hAnsi="Times New Roman" w:eastAsia="宋体" w:cs="Times New Roman"/>
                      <w:color w:val="auto"/>
                      <w:szCs w:val="21"/>
                      <w:lang w:val="en-US" w:eastAsia="zh-CN"/>
                    </w:rPr>
                    <w:t>50</w:t>
                  </w:r>
                  <w:r>
                    <w:rPr>
                      <w:rFonts w:hint="eastAsia" w:ascii="Times New Roman" w:hAnsi="Times New Roman" w:eastAsia="宋体" w:cs="Times New Roman"/>
                      <w:color w:val="auto"/>
                      <w:szCs w:val="21"/>
                    </w:rPr>
                    <w:t>万</w:t>
                  </w:r>
                  <w:r>
                    <w:rPr>
                      <w:rFonts w:hint="eastAsia" w:ascii="Times New Roman" w:hAnsi="Times New Roman" w:eastAsia="宋体" w:cs="Times New Roman"/>
                      <w:color w:val="auto"/>
                      <w:szCs w:val="21"/>
                      <w:lang w:eastAsia="zh-CN"/>
                    </w:rPr>
                    <w:t>m</w:t>
                  </w:r>
                  <w:r>
                    <w:rPr>
                      <w:rFonts w:hint="eastAsia" w:ascii="Times New Roman" w:hAnsi="Times New Roman" w:eastAsia="宋体" w:cs="Times New Roman"/>
                      <w:color w:val="auto"/>
                      <w:szCs w:val="21"/>
                      <w:vertAlign w:val="superscript"/>
                      <w:lang w:eastAsia="zh-CN"/>
                    </w:rPr>
                    <w:t>2</w:t>
                  </w:r>
                  <w:r>
                    <w:rPr>
                      <w:rFonts w:hint="eastAsia" w:ascii="Times New Roman" w:hAnsi="Times New Roman" w:eastAsia="宋体" w:cs="Times New Roman"/>
                      <w:color w:val="auto"/>
                      <w:szCs w:val="21"/>
                      <w:vertAlign w:val="baseline"/>
                      <w:lang w:val="en-US" w:eastAsia="zh-CN"/>
                    </w:rPr>
                    <w:t>（10t）</w:t>
                  </w:r>
                </w:p>
              </w:tc>
              <w:tc>
                <w:tcPr>
                  <w:tcW w:w="571" w:type="pct"/>
                  <w:vAlign w:val="center"/>
                </w:tcPr>
                <w:p w14:paraId="22280B43">
                  <w:pPr>
                    <w:keepNext w:val="0"/>
                    <w:keepLines w:val="0"/>
                    <w:suppressLineNumbers w:val="0"/>
                    <w:spacing w:before="0" w:beforeAutospacing="0" w:after="0" w:afterAutospacing="0"/>
                    <w:ind w:left="0" w:leftChars="0" w:right="0" w:rightChars="0"/>
                    <w:jc w:val="center"/>
                    <w:rPr>
                      <w:rFonts w:hint="eastAsia" w:ascii="Times New Roman" w:hAnsi="Times New Roman" w:eastAsia="宋体" w:cs="Times New Roman"/>
                      <w:color w:val="auto"/>
                      <w:szCs w:val="21"/>
                      <w:lang w:val="en-US" w:eastAsia="zh-CN"/>
                    </w:rPr>
                  </w:pPr>
                  <w:r>
                    <w:rPr>
                      <w:rFonts w:hint="eastAsia" w:ascii="Times New Roman" w:hAnsi="Times New Roman" w:eastAsia="宋体" w:cs="Times New Roman"/>
                      <w:color w:val="auto"/>
                      <w:szCs w:val="21"/>
                      <w:lang w:val="en-US" w:eastAsia="zh-CN"/>
                    </w:rPr>
                    <w:t>50</w:t>
                  </w:r>
                  <w:r>
                    <w:rPr>
                      <w:rFonts w:hint="eastAsia" w:ascii="Times New Roman" w:hAnsi="Times New Roman" w:eastAsia="宋体" w:cs="Times New Roman"/>
                      <w:color w:val="auto"/>
                      <w:szCs w:val="21"/>
                    </w:rPr>
                    <w:t>万</w:t>
                  </w:r>
                  <w:r>
                    <w:rPr>
                      <w:rFonts w:hint="eastAsia" w:ascii="Times New Roman" w:hAnsi="Times New Roman" w:eastAsia="宋体" w:cs="Times New Roman"/>
                      <w:color w:val="auto"/>
                      <w:szCs w:val="21"/>
                      <w:lang w:eastAsia="zh-CN"/>
                    </w:rPr>
                    <w:t>m</w:t>
                  </w:r>
                  <w:r>
                    <w:rPr>
                      <w:rFonts w:hint="eastAsia" w:ascii="Times New Roman" w:hAnsi="Times New Roman" w:eastAsia="宋体" w:cs="Times New Roman"/>
                      <w:color w:val="auto"/>
                      <w:szCs w:val="21"/>
                      <w:vertAlign w:val="superscript"/>
                      <w:lang w:eastAsia="zh-CN"/>
                    </w:rPr>
                    <w:t>2</w:t>
                  </w:r>
                  <w:r>
                    <w:rPr>
                      <w:rFonts w:hint="eastAsia" w:ascii="Times New Roman" w:hAnsi="Times New Roman" w:eastAsia="宋体" w:cs="Times New Roman"/>
                      <w:color w:val="auto"/>
                      <w:szCs w:val="21"/>
                      <w:vertAlign w:val="baseline"/>
                      <w:lang w:val="en-US" w:eastAsia="zh-CN"/>
                    </w:rPr>
                    <w:t>（10t）</w:t>
                  </w:r>
                </w:p>
              </w:tc>
              <w:tc>
                <w:tcPr>
                  <w:tcW w:w="466" w:type="pct"/>
                  <w:vAlign w:val="center"/>
                </w:tcPr>
                <w:p w14:paraId="36AE5A4F">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lang w:val="en-US" w:eastAsia="zh-CN"/>
                    </w:rPr>
                  </w:pPr>
                  <w:r>
                    <w:rPr>
                      <w:rFonts w:hint="eastAsia" w:ascii="Times New Roman" w:hAnsi="Times New Roman" w:eastAsia="宋体" w:cs="Times New Roman"/>
                      <w:color w:val="0000FF"/>
                      <w:szCs w:val="21"/>
                      <w:lang w:val="en-US" w:eastAsia="zh-CN"/>
                    </w:rPr>
                    <w:t>3t</w:t>
                  </w:r>
                </w:p>
              </w:tc>
              <w:tc>
                <w:tcPr>
                  <w:tcW w:w="240" w:type="pct"/>
                  <w:vAlign w:val="center"/>
                </w:tcPr>
                <w:p w14:paraId="0878C69E">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lang w:val="en-US" w:eastAsia="zh-CN"/>
                    </w:rPr>
                    <w:t>外购</w:t>
                  </w:r>
                </w:p>
              </w:tc>
            </w:tr>
            <w:tr w14:paraId="52D227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272" w:type="pct"/>
                  <w:shd w:val="clear" w:color="auto" w:fill="auto"/>
                  <w:vAlign w:val="center"/>
                </w:tcPr>
                <w:p w14:paraId="4C9090AB">
                  <w:pPr>
                    <w:keepNext w:val="0"/>
                    <w:keepLines w:val="0"/>
                    <w:suppressLineNumbers w:val="0"/>
                    <w:spacing w:before="0" w:beforeAutospacing="0" w:after="0" w:afterAutospacing="0"/>
                    <w:ind w:left="0" w:leftChars="0" w:right="0" w:rightChars="0"/>
                    <w:jc w:val="center"/>
                    <w:rPr>
                      <w:rFonts w:hint="eastAsia" w:ascii="Times New Roman" w:hAnsi="Times New Roman" w:eastAsia="宋体" w:cs="Times New Roman"/>
                      <w:color w:val="auto"/>
                      <w:kern w:val="2"/>
                      <w:sz w:val="21"/>
                      <w:szCs w:val="21"/>
                      <w:lang w:val="en-US" w:eastAsia="zh-CN" w:bidi="ar-SA"/>
                    </w:rPr>
                  </w:pPr>
                  <w:r>
                    <w:rPr>
                      <w:rFonts w:hint="default" w:ascii="Times New Roman" w:hAnsi="Times New Roman" w:eastAsia="宋体" w:cs="Times New Roman"/>
                      <w:color w:val="auto"/>
                      <w:szCs w:val="21"/>
                    </w:rPr>
                    <w:t>1</w:t>
                  </w:r>
                  <w:r>
                    <w:rPr>
                      <w:rFonts w:hint="eastAsia" w:ascii="Times New Roman" w:hAnsi="Times New Roman" w:eastAsia="宋体" w:cs="Times New Roman"/>
                      <w:color w:val="auto"/>
                      <w:szCs w:val="21"/>
                      <w:lang w:val="en-US" w:eastAsia="zh-CN"/>
                    </w:rPr>
                    <w:t>2</w:t>
                  </w:r>
                </w:p>
              </w:tc>
              <w:tc>
                <w:tcPr>
                  <w:tcW w:w="370" w:type="pct"/>
                  <w:vMerge w:val="restart"/>
                  <w:vAlign w:val="center"/>
                </w:tcPr>
                <w:p w14:paraId="610AC95C">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rPr>
                    <w:t>全厂共用</w:t>
                  </w:r>
                </w:p>
              </w:tc>
              <w:tc>
                <w:tcPr>
                  <w:tcW w:w="810" w:type="pct"/>
                  <w:gridSpan w:val="2"/>
                  <w:vAlign w:val="center"/>
                </w:tcPr>
                <w:p w14:paraId="75DBB512">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r>
                    <w:rPr>
                      <w:rFonts w:hint="eastAsia" w:ascii="Times New Roman" w:hAnsi="Times New Roman" w:eastAsia="宋体" w:cs="Times New Roman"/>
                      <w:color w:val="auto"/>
                      <w:szCs w:val="21"/>
                    </w:rPr>
                    <w:t>润滑油</w:t>
                  </w:r>
                </w:p>
              </w:tc>
              <w:tc>
                <w:tcPr>
                  <w:tcW w:w="645" w:type="pct"/>
                  <w:vAlign w:val="center"/>
                </w:tcPr>
                <w:p w14:paraId="08BE6DE7">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r>
                    <w:rPr>
                      <w:rFonts w:hint="eastAsia" w:ascii="Times New Roman" w:hAnsi="Times New Roman" w:eastAsia="宋体" w:cs="Times New Roman"/>
                      <w:color w:val="auto"/>
                      <w:szCs w:val="21"/>
                      <w:lang w:val="en-US" w:eastAsia="zh-CN" w:bidi="ar"/>
                    </w:rPr>
                    <w:t>20</w:t>
                  </w:r>
                  <w:r>
                    <w:rPr>
                      <w:rFonts w:hint="default" w:ascii="Times New Roman" w:hAnsi="Times New Roman" w:eastAsia="宋体" w:cs="Times New Roman"/>
                      <w:color w:val="auto"/>
                      <w:szCs w:val="21"/>
                      <w:lang w:bidi="ar"/>
                    </w:rPr>
                    <w:t>kg/</w:t>
                  </w:r>
                  <w:r>
                    <w:rPr>
                      <w:rFonts w:hint="eastAsia" w:ascii="宋体" w:hAnsi="宋体" w:eastAsia="宋体" w:cs="宋体"/>
                      <w:color w:val="auto"/>
                      <w:szCs w:val="21"/>
                      <w:lang w:bidi="ar"/>
                    </w:rPr>
                    <w:t>铁桶</w:t>
                  </w:r>
                </w:p>
              </w:tc>
              <w:tc>
                <w:tcPr>
                  <w:tcW w:w="581" w:type="pct"/>
                  <w:vAlign w:val="center"/>
                </w:tcPr>
                <w:p w14:paraId="0C8ADBDC">
                  <w:pPr>
                    <w:keepNext w:val="0"/>
                    <w:keepLines w:val="0"/>
                    <w:suppressLineNumbers w:val="0"/>
                    <w:spacing w:before="0" w:beforeAutospacing="0" w:after="0" w:afterAutospacing="0"/>
                    <w:ind w:left="0" w:right="0"/>
                    <w:jc w:val="center"/>
                    <w:rPr>
                      <w:rFonts w:hint="eastAsia" w:ascii="等线" w:hAnsi="等线" w:eastAsia="等线" w:cs="等线"/>
                      <w:color w:val="auto"/>
                      <w:sz w:val="24"/>
                    </w:rPr>
                  </w:pPr>
                  <w:r>
                    <w:rPr>
                      <w:rFonts w:hint="eastAsia" w:ascii="Times New Roman" w:hAnsi="Times New Roman" w:eastAsia="宋体" w:cs="Times New Roman"/>
                      <w:color w:val="0000E1"/>
                      <w:szCs w:val="21"/>
                      <w:lang w:val="en-US" w:eastAsia="zh-CN"/>
                    </w:rPr>
                    <w:t>0</w:t>
                  </w:r>
                </w:p>
              </w:tc>
              <w:tc>
                <w:tcPr>
                  <w:tcW w:w="516" w:type="pct"/>
                  <w:vAlign w:val="center"/>
                </w:tcPr>
                <w:p w14:paraId="38CD4932">
                  <w:pPr>
                    <w:keepNext w:val="0"/>
                    <w:keepLines w:val="0"/>
                    <w:suppressLineNumbers w:val="0"/>
                    <w:spacing w:before="0" w:beforeAutospacing="0" w:after="0" w:afterAutospacing="0"/>
                    <w:ind w:left="0" w:right="0"/>
                    <w:jc w:val="center"/>
                    <w:rPr>
                      <w:rFonts w:hint="eastAsia" w:ascii="Times New Roman" w:hAnsi="Times New Roman" w:eastAsia="宋体" w:cs="Times New Roman"/>
                      <w:color w:val="auto"/>
                      <w:szCs w:val="21"/>
                      <w:lang w:val="en-US" w:eastAsia="zh-CN" w:bidi="ar"/>
                    </w:rPr>
                  </w:pPr>
                  <w:r>
                    <w:rPr>
                      <w:rFonts w:hint="eastAsia" w:ascii="Times New Roman" w:hAnsi="Times New Roman" w:eastAsia="宋体" w:cs="Times New Roman"/>
                      <w:color w:val="0000E1"/>
                      <w:szCs w:val="21"/>
                      <w:lang w:val="en-US" w:eastAsia="zh-CN"/>
                    </w:rPr>
                    <w:t>0</w:t>
                  </w:r>
                </w:p>
              </w:tc>
              <w:tc>
                <w:tcPr>
                  <w:tcW w:w="524" w:type="pct"/>
                  <w:vAlign w:val="center"/>
                </w:tcPr>
                <w:p w14:paraId="46371737">
                  <w:pPr>
                    <w:keepNext w:val="0"/>
                    <w:keepLines w:val="0"/>
                    <w:suppressLineNumbers w:val="0"/>
                    <w:spacing w:before="0" w:beforeAutospacing="0" w:after="0" w:afterAutospacing="0"/>
                    <w:ind w:left="0" w:leftChars="0" w:right="0" w:rightChars="0"/>
                    <w:jc w:val="center"/>
                    <w:rPr>
                      <w:rFonts w:hint="eastAsia" w:ascii="Times New Roman" w:hAnsi="Times New Roman" w:eastAsia="宋体" w:cs="Times New Roman"/>
                      <w:color w:val="auto"/>
                      <w:szCs w:val="21"/>
                      <w:lang w:val="en-US" w:eastAsia="zh-CN" w:bidi="ar"/>
                    </w:rPr>
                  </w:pPr>
                  <w:r>
                    <w:rPr>
                      <w:rFonts w:hint="eastAsia" w:ascii="Times New Roman" w:hAnsi="Times New Roman" w:eastAsia="宋体" w:cs="Times New Roman"/>
                      <w:color w:val="auto"/>
                      <w:szCs w:val="21"/>
                      <w:lang w:val="en-US" w:eastAsia="zh-CN" w:bidi="ar"/>
                    </w:rPr>
                    <w:t>0.1</w:t>
                  </w:r>
                  <w:r>
                    <w:rPr>
                      <w:rFonts w:hint="default" w:ascii="Times New Roman" w:hAnsi="Times New Roman" w:eastAsia="宋体" w:cs="Times New Roman"/>
                      <w:color w:val="auto"/>
                      <w:szCs w:val="21"/>
                      <w:lang w:bidi="ar"/>
                    </w:rPr>
                    <w:t>t</w:t>
                  </w:r>
                </w:p>
              </w:tc>
              <w:tc>
                <w:tcPr>
                  <w:tcW w:w="571" w:type="pct"/>
                  <w:vAlign w:val="center"/>
                </w:tcPr>
                <w:p w14:paraId="44C47C86">
                  <w:pPr>
                    <w:keepNext w:val="0"/>
                    <w:keepLines w:val="0"/>
                    <w:suppressLineNumbers w:val="0"/>
                    <w:spacing w:before="0" w:beforeAutospacing="0" w:after="0" w:afterAutospacing="0"/>
                    <w:ind w:left="0" w:leftChars="0" w:right="0" w:rightChars="0"/>
                    <w:jc w:val="center"/>
                    <w:rPr>
                      <w:rFonts w:hint="eastAsia" w:ascii="Times New Roman" w:hAnsi="Times New Roman" w:eastAsia="宋体" w:cs="Times New Roman"/>
                      <w:color w:val="auto"/>
                      <w:szCs w:val="21"/>
                      <w:lang w:val="en-US" w:eastAsia="zh-CN" w:bidi="ar"/>
                    </w:rPr>
                  </w:pPr>
                  <w:r>
                    <w:rPr>
                      <w:rFonts w:hint="eastAsia" w:ascii="Times New Roman" w:hAnsi="Times New Roman" w:eastAsia="宋体" w:cs="Times New Roman"/>
                      <w:color w:val="auto"/>
                      <w:szCs w:val="21"/>
                      <w:lang w:val="en-US" w:eastAsia="zh-CN" w:bidi="ar"/>
                    </w:rPr>
                    <w:t>0.1</w:t>
                  </w:r>
                  <w:r>
                    <w:rPr>
                      <w:rFonts w:hint="default" w:ascii="Times New Roman" w:hAnsi="Times New Roman" w:eastAsia="宋体" w:cs="Times New Roman"/>
                      <w:color w:val="auto"/>
                      <w:szCs w:val="21"/>
                      <w:lang w:bidi="ar"/>
                    </w:rPr>
                    <w:t>t</w:t>
                  </w:r>
                </w:p>
              </w:tc>
              <w:tc>
                <w:tcPr>
                  <w:tcW w:w="466" w:type="pct"/>
                  <w:vAlign w:val="center"/>
                </w:tcPr>
                <w:p w14:paraId="46214F74">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lang w:val="en-US" w:eastAsia="zh-CN"/>
                    </w:rPr>
                  </w:pPr>
                  <w:r>
                    <w:rPr>
                      <w:rFonts w:hint="eastAsia" w:ascii="Times New Roman" w:hAnsi="Times New Roman" w:eastAsia="宋体" w:cs="Times New Roman"/>
                      <w:color w:val="auto"/>
                      <w:szCs w:val="21"/>
                      <w:lang w:val="en-US" w:eastAsia="zh-CN"/>
                    </w:rPr>
                    <w:t>0.04t</w:t>
                  </w:r>
                </w:p>
              </w:tc>
              <w:tc>
                <w:tcPr>
                  <w:tcW w:w="240" w:type="pct"/>
                  <w:vAlign w:val="center"/>
                </w:tcPr>
                <w:p w14:paraId="1FBBF641">
                  <w:pPr>
                    <w:keepNext w:val="0"/>
                    <w:keepLines w:val="0"/>
                    <w:suppressLineNumbers w:val="0"/>
                    <w:spacing w:before="0" w:beforeAutospacing="0" w:after="0" w:afterAutospacing="0"/>
                    <w:ind w:left="0" w:right="0"/>
                    <w:jc w:val="center"/>
                    <w:rPr>
                      <w:rFonts w:hint="eastAsia" w:ascii="Times New Roman" w:hAnsi="Times New Roman" w:eastAsia="宋体" w:cs="Times New Roman"/>
                      <w:color w:val="auto"/>
                      <w:szCs w:val="21"/>
                      <w:lang w:val="en-US" w:eastAsia="zh-CN"/>
                    </w:rPr>
                  </w:pPr>
                  <w:r>
                    <w:rPr>
                      <w:rFonts w:hint="eastAsia" w:ascii="Times New Roman" w:hAnsi="Times New Roman" w:eastAsia="宋体" w:cs="Times New Roman"/>
                      <w:color w:val="auto"/>
                      <w:szCs w:val="21"/>
                      <w:lang w:val="en-US" w:eastAsia="zh-CN"/>
                    </w:rPr>
                    <w:t>外购</w:t>
                  </w:r>
                </w:p>
              </w:tc>
            </w:tr>
            <w:tr w14:paraId="5AD552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2" w:hRule="atLeast"/>
              </w:trPr>
              <w:tc>
                <w:tcPr>
                  <w:tcW w:w="272" w:type="pct"/>
                  <w:shd w:val="clear" w:color="auto" w:fill="auto"/>
                  <w:vAlign w:val="center"/>
                </w:tcPr>
                <w:p w14:paraId="096CF03D">
                  <w:pPr>
                    <w:keepNext w:val="0"/>
                    <w:keepLines w:val="0"/>
                    <w:suppressLineNumbers w:val="0"/>
                    <w:spacing w:before="0" w:beforeAutospacing="0" w:after="0" w:afterAutospacing="0"/>
                    <w:ind w:left="0" w:leftChars="0" w:right="0" w:rightChars="0"/>
                    <w:jc w:val="center"/>
                    <w:rPr>
                      <w:rFonts w:hint="eastAsia" w:ascii="Times New Roman" w:hAnsi="Times New Roman" w:eastAsia="宋体" w:cs="Times New Roman"/>
                      <w:color w:val="auto"/>
                      <w:kern w:val="2"/>
                      <w:sz w:val="21"/>
                      <w:szCs w:val="21"/>
                      <w:lang w:val="en-US" w:eastAsia="zh-CN" w:bidi="ar-SA"/>
                    </w:rPr>
                  </w:pPr>
                  <w:r>
                    <w:rPr>
                      <w:rFonts w:hint="default" w:ascii="Times New Roman" w:hAnsi="Times New Roman" w:eastAsia="宋体" w:cs="Times New Roman"/>
                      <w:color w:val="auto"/>
                      <w:szCs w:val="21"/>
                    </w:rPr>
                    <w:t>1</w:t>
                  </w:r>
                  <w:r>
                    <w:rPr>
                      <w:rFonts w:hint="eastAsia" w:ascii="Times New Roman" w:hAnsi="Times New Roman" w:eastAsia="宋体" w:cs="Times New Roman"/>
                      <w:color w:val="auto"/>
                      <w:szCs w:val="21"/>
                      <w:lang w:val="en-US" w:eastAsia="zh-CN"/>
                    </w:rPr>
                    <w:t>3</w:t>
                  </w:r>
                </w:p>
              </w:tc>
              <w:tc>
                <w:tcPr>
                  <w:tcW w:w="370" w:type="pct"/>
                  <w:vMerge w:val="continue"/>
                  <w:vAlign w:val="center"/>
                </w:tcPr>
                <w:p w14:paraId="33491892">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p>
              </w:tc>
              <w:tc>
                <w:tcPr>
                  <w:tcW w:w="810" w:type="pct"/>
                  <w:gridSpan w:val="2"/>
                  <w:vAlign w:val="center"/>
                </w:tcPr>
                <w:p w14:paraId="16406CA9">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rPr>
                    <w:t>水</w:t>
                  </w:r>
                </w:p>
              </w:tc>
              <w:tc>
                <w:tcPr>
                  <w:tcW w:w="645" w:type="pct"/>
                  <w:vAlign w:val="center"/>
                </w:tcPr>
                <w:p w14:paraId="40955E25">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rPr>
                    <w:t>/</w:t>
                  </w:r>
                </w:p>
              </w:tc>
              <w:tc>
                <w:tcPr>
                  <w:tcW w:w="581" w:type="pct"/>
                  <w:vAlign w:val="center"/>
                </w:tcPr>
                <w:p w14:paraId="3D49879C">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r>
                    <w:rPr>
                      <w:rFonts w:hint="eastAsia" w:ascii="Times New Roman" w:hAnsi="Times New Roman" w:eastAsia="宋体" w:cs="Times New Roman"/>
                      <w:color w:val="0000E1"/>
                      <w:szCs w:val="21"/>
                      <w:lang w:val="en-US" w:eastAsia="zh-CN"/>
                    </w:rPr>
                    <w:t>0</w:t>
                  </w:r>
                </w:p>
              </w:tc>
              <w:tc>
                <w:tcPr>
                  <w:tcW w:w="516" w:type="pct"/>
                  <w:vAlign w:val="center"/>
                </w:tcPr>
                <w:p w14:paraId="230E7188">
                  <w:pPr>
                    <w:keepNext w:val="0"/>
                    <w:keepLines w:val="0"/>
                    <w:suppressLineNumbers w:val="0"/>
                    <w:spacing w:before="0" w:beforeAutospacing="0" w:after="0" w:afterAutospacing="0"/>
                    <w:ind w:left="0" w:right="0"/>
                    <w:jc w:val="center"/>
                    <w:rPr>
                      <w:rFonts w:hint="eastAsia" w:ascii="Times New Roman" w:hAnsi="Times New Roman" w:eastAsia="宋体" w:cs="Times New Roman"/>
                      <w:color w:val="auto"/>
                      <w:szCs w:val="21"/>
                      <w:lang w:val="en-US" w:eastAsia="zh-CN"/>
                    </w:rPr>
                  </w:pPr>
                  <w:r>
                    <w:rPr>
                      <w:rFonts w:hint="eastAsia" w:ascii="Times New Roman" w:hAnsi="Times New Roman" w:eastAsia="宋体" w:cs="Times New Roman"/>
                      <w:color w:val="0000E1"/>
                      <w:szCs w:val="21"/>
                      <w:lang w:val="en-US" w:eastAsia="zh-CN"/>
                    </w:rPr>
                    <w:t>0</w:t>
                  </w:r>
                </w:p>
              </w:tc>
              <w:tc>
                <w:tcPr>
                  <w:tcW w:w="524" w:type="pct"/>
                  <w:vAlign w:val="center"/>
                </w:tcPr>
                <w:p w14:paraId="552C2BA5">
                  <w:pPr>
                    <w:keepNext w:val="0"/>
                    <w:keepLines w:val="0"/>
                    <w:suppressLineNumbers w:val="0"/>
                    <w:spacing w:before="0" w:beforeAutospacing="0" w:after="0" w:afterAutospacing="0"/>
                    <w:ind w:left="0" w:leftChars="0" w:right="0" w:rightChars="0"/>
                    <w:jc w:val="center"/>
                    <w:rPr>
                      <w:rFonts w:hint="eastAsia" w:ascii="Times New Roman" w:hAnsi="Times New Roman" w:eastAsia="宋体" w:cs="Times New Roman"/>
                      <w:color w:val="auto"/>
                      <w:szCs w:val="21"/>
                      <w:lang w:val="en-US" w:eastAsia="zh-CN"/>
                    </w:rPr>
                  </w:pPr>
                  <w:r>
                    <w:rPr>
                      <w:rFonts w:hint="eastAsia" w:ascii="Times New Roman" w:hAnsi="Times New Roman" w:eastAsia="宋体" w:cs="Times New Roman"/>
                      <w:color w:val="auto"/>
                      <w:szCs w:val="21"/>
                      <w:lang w:val="en-US" w:eastAsia="zh-CN"/>
                    </w:rPr>
                    <w:t>6444</w:t>
                  </w:r>
                  <w:r>
                    <w:rPr>
                      <w:rFonts w:hint="default" w:ascii="Times New Roman" w:hAnsi="Times New Roman" w:eastAsia="宋体" w:cs="Times New Roman"/>
                      <w:color w:val="auto"/>
                      <w:szCs w:val="21"/>
                    </w:rPr>
                    <w:t>t</w:t>
                  </w:r>
                </w:p>
              </w:tc>
              <w:tc>
                <w:tcPr>
                  <w:tcW w:w="571" w:type="pct"/>
                  <w:vAlign w:val="center"/>
                </w:tcPr>
                <w:p w14:paraId="420237F9">
                  <w:pPr>
                    <w:keepNext w:val="0"/>
                    <w:keepLines w:val="0"/>
                    <w:suppressLineNumbers w:val="0"/>
                    <w:spacing w:before="0" w:beforeAutospacing="0" w:after="0" w:afterAutospacing="0"/>
                    <w:ind w:left="0" w:leftChars="0" w:right="0" w:rightChars="0"/>
                    <w:jc w:val="center"/>
                    <w:rPr>
                      <w:rFonts w:hint="eastAsia" w:ascii="Times New Roman" w:hAnsi="Times New Roman" w:eastAsia="宋体" w:cs="Times New Roman"/>
                      <w:color w:val="auto"/>
                      <w:szCs w:val="21"/>
                      <w:lang w:val="en-US" w:eastAsia="zh-CN"/>
                    </w:rPr>
                  </w:pPr>
                  <w:r>
                    <w:rPr>
                      <w:rFonts w:hint="eastAsia" w:ascii="Times New Roman" w:hAnsi="Times New Roman" w:eastAsia="宋体" w:cs="Times New Roman"/>
                      <w:color w:val="auto"/>
                      <w:szCs w:val="21"/>
                      <w:lang w:val="en-US" w:eastAsia="zh-CN"/>
                    </w:rPr>
                    <w:t>6444</w:t>
                  </w:r>
                  <w:r>
                    <w:rPr>
                      <w:rFonts w:hint="default" w:ascii="Times New Roman" w:hAnsi="Times New Roman" w:eastAsia="宋体" w:cs="Times New Roman"/>
                      <w:color w:val="auto"/>
                      <w:szCs w:val="21"/>
                    </w:rPr>
                    <w:t>t</w:t>
                  </w:r>
                </w:p>
              </w:tc>
              <w:tc>
                <w:tcPr>
                  <w:tcW w:w="466" w:type="pct"/>
                  <w:vAlign w:val="center"/>
                </w:tcPr>
                <w:p w14:paraId="48E4412A">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rPr>
                    <w:t>/</w:t>
                  </w:r>
                </w:p>
              </w:tc>
              <w:tc>
                <w:tcPr>
                  <w:tcW w:w="240" w:type="pct"/>
                  <w:vAlign w:val="center"/>
                </w:tcPr>
                <w:p w14:paraId="2F91B374">
                  <w:pPr>
                    <w:keepNext w:val="0"/>
                    <w:keepLines w:val="0"/>
                    <w:suppressLineNumbers w:val="0"/>
                    <w:spacing w:before="0" w:beforeAutospacing="0" w:after="0" w:afterAutospacing="0"/>
                    <w:ind w:left="0" w:right="0"/>
                    <w:jc w:val="center"/>
                    <w:rPr>
                      <w:rFonts w:hint="eastAsia" w:ascii="Times New Roman" w:hAnsi="Times New Roman" w:eastAsia="宋体" w:cs="Times New Roman"/>
                      <w:color w:val="auto"/>
                      <w:szCs w:val="21"/>
                      <w:lang w:val="en-US" w:eastAsia="zh-CN"/>
                    </w:rPr>
                  </w:pPr>
                  <w:r>
                    <w:rPr>
                      <w:rFonts w:hint="eastAsia" w:ascii="Times New Roman" w:hAnsi="Times New Roman" w:eastAsia="宋体" w:cs="Times New Roman"/>
                      <w:color w:val="auto"/>
                      <w:szCs w:val="21"/>
                      <w:lang w:val="en-US" w:eastAsia="zh-CN"/>
                    </w:rPr>
                    <w:t>/</w:t>
                  </w:r>
                </w:p>
              </w:tc>
            </w:tr>
            <w:tr w14:paraId="62B5C8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272" w:type="pct"/>
                  <w:shd w:val="clear" w:color="auto" w:fill="auto"/>
                  <w:vAlign w:val="center"/>
                </w:tcPr>
                <w:p w14:paraId="0829DA13">
                  <w:pPr>
                    <w:keepNext w:val="0"/>
                    <w:keepLines w:val="0"/>
                    <w:suppressLineNumbers w:val="0"/>
                    <w:spacing w:before="0" w:beforeAutospacing="0" w:after="0" w:afterAutospacing="0"/>
                    <w:ind w:left="0" w:leftChars="0" w:right="0" w:rightChars="0"/>
                    <w:jc w:val="center"/>
                    <w:rPr>
                      <w:rFonts w:hint="eastAsia" w:ascii="Times New Roman" w:hAnsi="Times New Roman" w:eastAsia="宋体" w:cs="Times New Roman"/>
                      <w:color w:val="auto"/>
                      <w:kern w:val="2"/>
                      <w:sz w:val="21"/>
                      <w:szCs w:val="21"/>
                      <w:lang w:val="en-US" w:eastAsia="zh-CN" w:bidi="ar-SA"/>
                    </w:rPr>
                  </w:pPr>
                  <w:r>
                    <w:rPr>
                      <w:rFonts w:hint="default" w:ascii="Times New Roman" w:hAnsi="Times New Roman" w:eastAsia="宋体" w:cs="Times New Roman"/>
                      <w:color w:val="auto"/>
                      <w:szCs w:val="21"/>
                    </w:rPr>
                    <w:t>1</w:t>
                  </w:r>
                  <w:r>
                    <w:rPr>
                      <w:rFonts w:hint="eastAsia" w:ascii="Times New Roman" w:hAnsi="Times New Roman" w:eastAsia="宋体" w:cs="Times New Roman"/>
                      <w:color w:val="auto"/>
                      <w:szCs w:val="21"/>
                      <w:lang w:val="en-US" w:eastAsia="zh-CN"/>
                    </w:rPr>
                    <w:t>4</w:t>
                  </w:r>
                </w:p>
              </w:tc>
              <w:tc>
                <w:tcPr>
                  <w:tcW w:w="370" w:type="pct"/>
                  <w:vMerge w:val="continue"/>
                  <w:vAlign w:val="center"/>
                </w:tcPr>
                <w:p w14:paraId="489FC379">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p>
              </w:tc>
              <w:tc>
                <w:tcPr>
                  <w:tcW w:w="810" w:type="pct"/>
                  <w:gridSpan w:val="2"/>
                  <w:vAlign w:val="center"/>
                </w:tcPr>
                <w:p w14:paraId="341AD81E">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rPr>
                    <w:t>电</w:t>
                  </w:r>
                </w:p>
              </w:tc>
              <w:tc>
                <w:tcPr>
                  <w:tcW w:w="645" w:type="pct"/>
                  <w:vAlign w:val="center"/>
                </w:tcPr>
                <w:p w14:paraId="04E1C49A">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rPr>
                    <w:t>/</w:t>
                  </w:r>
                </w:p>
              </w:tc>
              <w:tc>
                <w:tcPr>
                  <w:tcW w:w="581" w:type="pct"/>
                  <w:vAlign w:val="center"/>
                </w:tcPr>
                <w:p w14:paraId="64400948">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r>
                    <w:rPr>
                      <w:rFonts w:hint="eastAsia" w:ascii="Times New Roman" w:hAnsi="Times New Roman" w:eastAsia="宋体" w:cs="Times New Roman"/>
                      <w:color w:val="0000E1"/>
                      <w:szCs w:val="21"/>
                      <w:lang w:val="en-US" w:eastAsia="zh-CN"/>
                    </w:rPr>
                    <w:t>0</w:t>
                  </w:r>
                </w:p>
              </w:tc>
              <w:tc>
                <w:tcPr>
                  <w:tcW w:w="516" w:type="pct"/>
                  <w:vAlign w:val="center"/>
                </w:tcPr>
                <w:p w14:paraId="7481A0CD">
                  <w:pPr>
                    <w:keepNext w:val="0"/>
                    <w:keepLines w:val="0"/>
                    <w:suppressLineNumbers w:val="0"/>
                    <w:spacing w:before="0" w:beforeAutospacing="0" w:after="0" w:afterAutospacing="0"/>
                    <w:ind w:left="0" w:right="0"/>
                    <w:jc w:val="center"/>
                    <w:rPr>
                      <w:rFonts w:hint="eastAsia" w:ascii="Times New Roman" w:hAnsi="Times New Roman" w:eastAsia="宋体" w:cs="Times New Roman"/>
                      <w:color w:val="auto"/>
                      <w:szCs w:val="21"/>
                      <w:highlight w:val="none"/>
                      <w:lang w:val="en-US" w:eastAsia="zh-CN"/>
                    </w:rPr>
                  </w:pPr>
                  <w:r>
                    <w:rPr>
                      <w:rFonts w:hint="eastAsia" w:ascii="Times New Roman" w:hAnsi="Times New Roman" w:eastAsia="宋体" w:cs="Times New Roman"/>
                      <w:color w:val="0000E1"/>
                      <w:szCs w:val="21"/>
                      <w:lang w:val="en-US" w:eastAsia="zh-CN"/>
                    </w:rPr>
                    <w:t>0</w:t>
                  </w:r>
                </w:p>
              </w:tc>
              <w:tc>
                <w:tcPr>
                  <w:tcW w:w="524" w:type="pct"/>
                  <w:vAlign w:val="center"/>
                </w:tcPr>
                <w:p w14:paraId="1E1ADCF5">
                  <w:pPr>
                    <w:keepNext w:val="0"/>
                    <w:keepLines w:val="0"/>
                    <w:suppressLineNumbers w:val="0"/>
                    <w:spacing w:before="0" w:beforeAutospacing="0" w:after="0" w:afterAutospacing="0"/>
                    <w:ind w:left="0" w:leftChars="0" w:right="0" w:rightChars="0"/>
                    <w:jc w:val="center"/>
                    <w:rPr>
                      <w:rFonts w:hint="eastAsia" w:ascii="Times New Roman" w:hAnsi="Times New Roman" w:eastAsia="宋体" w:cs="Times New Roman"/>
                      <w:color w:val="auto"/>
                      <w:szCs w:val="21"/>
                      <w:highlight w:val="none"/>
                      <w:lang w:val="en-US" w:eastAsia="zh-CN"/>
                    </w:rPr>
                  </w:pPr>
                  <w:r>
                    <w:rPr>
                      <w:rFonts w:hint="eastAsia" w:ascii="Times New Roman" w:hAnsi="Times New Roman" w:eastAsia="宋体" w:cs="Times New Roman"/>
                      <w:color w:val="auto"/>
                      <w:szCs w:val="21"/>
                      <w:highlight w:val="none"/>
                      <w:lang w:val="en-US" w:eastAsia="zh-CN"/>
                    </w:rPr>
                    <w:t>518.34</w:t>
                  </w:r>
                  <w:r>
                    <w:rPr>
                      <w:rFonts w:hint="default" w:ascii="Times New Roman" w:hAnsi="Times New Roman" w:eastAsia="宋体" w:cs="Times New Roman"/>
                      <w:color w:val="auto"/>
                      <w:szCs w:val="21"/>
                      <w:highlight w:val="none"/>
                    </w:rPr>
                    <w:t>万kWh</w:t>
                  </w:r>
                </w:p>
              </w:tc>
              <w:tc>
                <w:tcPr>
                  <w:tcW w:w="571" w:type="pct"/>
                  <w:vAlign w:val="center"/>
                </w:tcPr>
                <w:p w14:paraId="1F9547C7">
                  <w:pPr>
                    <w:keepNext w:val="0"/>
                    <w:keepLines w:val="0"/>
                    <w:suppressLineNumbers w:val="0"/>
                    <w:spacing w:before="0" w:beforeAutospacing="0" w:after="0" w:afterAutospacing="0"/>
                    <w:ind w:left="0" w:leftChars="0" w:right="0" w:rightChars="0"/>
                    <w:jc w:val="center"/>
                    <w:rPr>
                      <w:rFonts w:hint="eastAsia" w:ascii="Times New Roman" w:hAnsi="Times New Roman" w:eastAsia="宋体" w:cs="Times New Roman"/>
                      <w:color w:val="auto"/>
                      <w:szCs w:val="21"/>
                      <w:highlight w:val="none"/>
                      <w:lang w:val="en-US" w:eastAsia="zh-CN"/>
                    </w:rPr>
                  </w:pPr>
                  <w:r>
                    <w:rPr>
                      <w:rFonts w:hint="eastAsia" w:ascii="Times New Roman" w:hAnsi="Times New Roman" w:eastAsia="宋体" w:cs="Times New Roman"/>
                      <w:color w:val="auto"/>
                      <w:szCs w:val="21"/>
                      <w:highlight w:val="none"/>
                      <w:lang w:val="en-US" w:eastAsia="zh-CN"/>
                    </w:rPr>
                    <w:t>518.34</w:t>
                  </w:r>
                  <w:r>
                    <w:rPr>
                      <w:rFonts w:hint="default" w:ascii="Times New Roman" w:hAnsi="Times New Roman" w:eastAsia="宋体" w:cs="Times New Roman"/>
                      <w:color w:val="auto"/>
                      <w:szCs w:val="21"/>
                      <w:highlight w:val="none"/>
                    </w:rPr>
                    <w:t>万kWh</w:t>
                  </w:r>
                </w:p>
              </w:tc>
              <w:tc>
                <w:tcPr>
                  <w:tcW w:w="466" w:type="pct"/>
                  <w:vAlign w:val="center"/>
                </w:tcPr>
                <w:p w14:paraId="07B0F7FC">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rPr>
                    <w:t>/</w:t>
                  </w:r>
                </w:p>
              </w:tc>
              <w:tc>
                <w:tcPr>
                  <w:tcW w:w="240" w:type="pct"/>
                  <w:vAlign w:val="center"/>
                </w:tcPr>
                <w:p w14:paraId="1A1506BA">
                  <w:pPr>
                    <w:keepNext w:val="0"/>
                    <w:keepLines w:val="0"/>
                    <w:suppressLineNumbers w:val="0"/>
                    <w:spacing w:before="0" w:beforeAutospacing="0" w:after="0" w:afterAutospacing="0"/>
                    <w:ind w:left="0" w:right="0"/>
                    <w:jc w:val="center"/>
                    <w:rPr>
                      <w:rFonts w:hint="eastAsia" w:ascii="Times New Roman" w:hAnsi="Times New Roman" w:eastAsia="宋体" w:cs="Times New Roman"/>
                      <w:color w:val="auto"/>
                      <w:szCs w:val="21"/>
                      <w:lang w:val="en-US" w:eastAsia="zh-CN"/>
                    </w:rPr>
                  </w:pPr>
                  <w:r>
                    <w:rPr>
                      <w:rFonts w:hint="eastAsia" w:ascii="Times New Roman" w:hAnsi="Times New Roman" w:eastAsia="宋体" w:cs="Times New Roman"/>
                      <w:color w:val="auto"/>
                      <w:szCs w:val="21"/>
                      <w:lang w:val="en-US" w:eastAsia="zh-CN"/>
                    </w:rPr>
                    <w:t>/</w:t>
                  </w:r>
                </w:p>
              </w:tc>
            </w:tr>
            <w:tr w14:paraId="682F16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5000" w:type="pct"/>
                  <w:gridSpan w:val="11"/>
                  <w:shd w:val="clear" w:color="auto" w:fill="auto"/>
                  <w:vAlign w:val="center"/>
                </w:tcPr>
                <w:p w14:paraId="3827963E">
                  <w:pPr>
                    <w:keepNext w:val="0"/>
                    <w:keepLines w:val="0"/>
                    <w:suppressLineNumbers w:val="0"/>
                    <w:spacing w:before="0" w:beforeAutospacing="0" w:after="0" w:afterAutospacing="0"/>
                    <w:ind w:left="0" w:right="0"/>
                    <w:jc w:val="center"/>
                    <w:rPr>
                      <w:rFonts w:hint="eastAsia" w:ascii="Times New Roman" w:hAnsi="Times New Roman" w:cs="Times New Roman" w:eastAsiaTheme="minorEastAsia"/>
                      <w:color w:val="0000E1"/>
                      <w:szCs w:val="21"/>
                      <w:lang w:val="en-US" w:eastAsia="zh-CN"/>
                    </w:rPr>
                  </w:pPr>
                  <w:r>
                    <w:rPr>
                      <w:rFonts w:hint="eastAsia" w:ascii="Times New Roman" w:hAnsi="Times New Roman" w:eastAsia="宋体" w:cs="Times New Roman"/>
                      <w:color w:val="0000E1"/>
                      <w:szCs w:val="21"/>
                      <w:lang w:val="en-US" w:eastAsia="zh-CN"/>
                    </w:rPr>
                    <w:t>注：*本项目泡棉条（硅基条）由陶瓷基料混合物自制而成，属于厂内成型中间件</w:t>
                  </w:r>
                  <w:r>
                    <w:rPr>
                      <w:rFonts w:hint="eastAsia"/>
                      <w:lang w:eastAsia="zh-CN"/>
                    </w:rPr>
                    <w:t>。</w:t>
                  </w:r>
                </w:p>
              </w:tc>
            </w:tr>
          </w:tbl>
          <w:p w14:paraId="74037A38">
            <w:pPr>
              <w:keepNext w:val="0"/>
              <w:keepLines w:val="0"/>
              <w:suppressLineNumbers w:val="0"/>
              <w:spacing w:before="0" w:beforeAutospacing="0" w:after="0" w:afterAutospacing="0" w:line="360" w:lineRule="auto"/>
              <w:ind w:left="0" w:right="0" w:firstLine="480" w:firstLineChars="200"/>
              <w:rPr>
                <w:rFonts w:hint="default" w:ascii="Times New Roman" w:hAnsi="Times New Roman" w:eastAsia="宋体" w:cs="Times New Roman"/>
                <w:color w:val="auto"/>
                <w:sz w:val="24"/>
              </w:rPr>
            </w:pPr>
            <w:r>
              <w:rPr>
                <w:rFonts w:hint="eastAsia" w:ascii="Times New Roman" w:hAnsi="Times New Roman" w:eastAsia="宋体" w:cs="Times New Roman"/>
                <w:color w:val="auto"/>
                <w:sz w:val="24"/>
              </w:rPr>
              <w:t>（2）</w:t>
            </w:r>
            <w:r>
              <w:rPr>
                <w:rFonts w:hint="eastAsia" w:ascii="Times New Roman" w:hAnsi="Times New Roman" w:eastAsia="宋体" w:cs="Times New Roman"/>
                <w:color w:val="0000FF"/>
                <w:sz w:val="24"/>
                <w:lang w:val="en-US" w:eastAsia="zh-CN"/>
              </w:rPr>
              <w:t>本项目</w:t>
            </w:r>
            <w:r>
              <w:rPr>
                <w:rFonts w:hint="eastAsia" w:ascii="Times New Roman" w:hAnsi="Times New Roman" w:eastAsia="宋体" w:cs="Times New Roman"/>
                <w:color w:val="auto"/>
                <w:sz w:val="24"/>
              </w:rPr>
              <w:t>主要原辅材料的理化性质</w:t>
            </w:r>
          </w:p>
          <w:p w14:paraId="4474A922">
            <w:pPr>
              <w:keepNext w:val="0"/>
              <w:keepLines w:val="0"/>
              <w:suppressLineNumbers w:val="0"/>
              <w:spacing w:before="0" w:beforeAutospacing="0" w:after="0" w:afterAutospacing="0"/>
              <w:ind w:left="0" w:right="0"/>
              <w:jc w:val="center"/>
              <w:rPr>
                <w:rFonts w:hint="default" w:ascii="Times New Roman" w:hAnsi="Times New Roman" w:eastAsia="宋体" w:cs="Times New Roman"/>
                <w:b/>
                <w:bCs/>
                <w:color w:val="auto"/>
              </w:rPr>
            </w:pPr>
            <w:r>
              <w:rPr>
                <w:rFonts w:hint="eastAsia" w:ascii="Times New Roman" w:hAnsi="Times New Roman" w:eastAsia="宋体" w:cs="Times New Roman"/>
                <w:b/>
                <w:bCs/>
                <w:color w:val="auto"/>
              </w:rPr>
              <w:t>表</w:t>
            </w:r>
            <w:r>
              <w:rPr>
                <w:rFonts w:hint="default" w:ascii="Times New Roman" w:hAnsi="Times New Roman" w:eastAsia="宋体" w:cs="Times New Roman"/>
                <w:b/>
                <w:bCs/>
                <w:color w:val="auto"/>
              </w:rPr>
              <w:t>2-</w:t>
            </w:r>
            <w:r>
              <w:rPr>
                <w:rFonts w:hint="eastAsia" w:ascii="Times New Roman" w:hAnsi="Times New Roman" w:eastAsia="宋体" w:cs="Times New Roman"/>
                <w:b/>
                <w:bCs/>
                <w:color w:val="auto"/>
                <w:lang w:val="en-US" w:eastAsia="zh-CN"/>
              </w:rPr>
              <w:t>8</w:t>
            </w:r>
            <w:r>
              <w:rPr>
                <w:rFonts w:hint="default" w:ascii="Times New Roman" w:hAnsi="Times New Roman" w:eastAsia="宋体" w:cs="Times New Roman"/>
                <w:b/>
                <w:bCs/>
                <w:color w:val="0000FF"/>
              </w:rPr>
              <w:t xml:space="preserve"> </w:t>
            </w:r>
            <w:r>
              <w:rPr>
                <w:rFonts w:hint="eastAsia" w:ascii="Times New Roman" w:hAnsi="Times New Roman" w:eastAsia="宋体" w:cs="Times New Roman"/>
                <w:b/>
                <w:bCs/>
                <w:color w:val="0000FF"/>
              </w:rPr>
              <w:t xml:space="preserve"> </w:t>
            </w:r>
            <w:r>
              <w:rPr>
                <w:rFonts w:hint="eastAsia" w:ascii="Times New Roman" w:hAnsi="Times New Roman" w:eastAsia="宋体" w:cs="Times New Roman"/>
                <w:b/>
                <w:bCs/>
                <w:color w:val="0000FF"/>
                <w:lang w:val="en-US" w:eastAsia="zh-CN"/>
              </w:rPr>
              <w:t>本项目</w:t>
            </w:r>
            <w:r>
              <w:rPr>
                <w:rFonts w:hint="eastAsia" w:ascii="Times New Roman" w:hAnsi="Times New Roman" w:eastAsia="宋体" w:cs="Times New Roman"/>
                <w:b/>
                <w:bCs/>
                <w:color w:val="auto"/>
              </w:rPr>
              <w:t>主要原辅材料简介</w:t>
            </w:r>
          </w:p>
          <w:tbl>
            <w:tblPr>
              <w:tblStyle w:val="23"/>
              <w:tblW w:w="8185"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951"/>
              <w:gridCol w:w="6234"/>
            </w:tblGrid>
            <w:tr w14:paraId="121A18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1951" w:type="dxa"/>
                  <w:vAlign w:val="center"/>
                </w:tcPr>
                <w:p w14:paraId="4A8961AE">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jc w:val="center"/>
                    <w:textAlignment w:val="auto"/>
                    <w:rPr>
                      <w:rFonts w:hint="default" w:ascii="Times New Roman" w:hAnsi="Times New Roman" w:eastAsia="宋体" w:cs="Times New Roman"/>
                      <w:b/>
                      <w:bCs/>
                      <w:color w:val="auto"/>
                      <w:szCs w:val="21"/>
                    </w:rPr>
                  </w:pPr>
                  <w:r>
                    <w:rPr>
                      <w:rFonts w:hint="default" w:ascii="Times New Roman" w:hAnsi="Times New Roman" w:eastAsia="宋体" w:cs="Times New Roman"/>
                      <w:b/>
                      <w:bCs/>
                      <w:color w:val="auto"/>
                      <w:szCs w:val="21"/>
                    </w:rPr>
                    <w:t>原辅料名称</w:t>
                  </w:r>
                </w:p>
              </w:tc>
              <w:tc>
                <w:tcPr>
                  <w:tcW w:w="6234" w:type="dxa"/>
                  <w:vAlign w:val="center"/>
                </w:tcPr>
                <w:p w14:paraId="1375325F">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jc w:val="center"/>
                    <w:textAlignment w:val="auto"/>
                    <w:rPr>
                      <w:rFonts w:hint="default" w:ascii="Times New Roman" w:hAnsi="Times New Roman" w:eastAsia="宋体" w:cs="Times New Roman"/>
                      <w:b/>
                      <w:bCs/>
                      <w:color w:val="auto"/>
                      <w:szCs w:val="21"/>
                    </w:rPr>
                  </w:pPr>
                  <w:r>
                    <w:rPr>
                      <w:rFonts w:hint="default" w:ascii="Times New Roman" w:hAnsi="Times New Roman" w:eastAsia="宋体" w:cs="Times New Roman"/>
                      <w:b/>
                      <w:bCs/>
                      <w:color w:val="auto"/>
                      <w:szCs w:val="21"/>
                    </w:rPr>
                    <w:t>理化性质</w:t>
                  </w:r>
                </w:p>
              </w:tc>
            </w:tr>
            <w:tr w14:paraId="06C440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1951" w:type="dxa"/>
                  <w:vAlign w:val="center"/>
                </w:tcPr>
                <w:p w14:paraId="0E1913F3">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jc w:val="center"/>
                    <w:textAlignment w:val="auto"/>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rPr>
                    <w:t>陶瓷基料</w:t>
                  </w:r>
                  <w:r>
                    <w:rPr>
                      <w:rFonts w:hint="default" w:ascii="Times New Roman" w:hAnsi="Times New Roman" w:eastAsia="宋体" w:cs="Times New Roman"/>
                      <w:color w:val="auto"/>
                      <w:szCs w:val="21"/>
                      <w:lang w:val="en-US" w:eastAsia="zh-CN"/>
                    </w:rPr>
                    <w:t>混合物</w:t>
                  </w:r>
                </w:p>
              </w:tc>
              <w:tc>
                <w:tcPr>
                  <w:tcW w:w="6234" w:type="dxa"/>
                  <w:vAlign w:val="center"/>
                </w:tcPr>
                <w:p w14:paraId="731EFC5C">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jc w:val="center"/>
                    <w:textAlignment w:val="auto"/>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rPr>
                    <w:t>根据企业提供的MSDS可知，陶瓷基料</w:t>
                  </w:r>
                  <w:r>
                    <w:rPr>
                      <w:rFonts w:hint="default" w:ascii="Times New Roman" w:hAnsi="Times New Roman" w:eastAsia="宋体" w:cs="Times New Roman"/>
                      <w:color w:val="auto"/>
                      <w:szCs w:val="21"/>
                      <w:lang w:val="en-US" w:eastAsia="zh-CN"/>
                    </w:rPr>
                    <w:t>混合物</w:t>
                  </w:r>
                  <w:r>
                    <w:rPr>
                      <w:rFonts w:hint="default" w:ascii="Times New Roman" w:hAnsi="Times New Roman" w:eastAsia="宋体" w:cs="Times New Roman"/>
                      <w:color w:val="auto"/>
                      <w:szCs w:val="21"/>
                    </w:rPr>
                    <w:t>为聚二甲基硅氧烷类固态复合物料外观呈灰色、橙色或黑色，无明显气味，密度 1.6~1.8g/cm</w:t>
                  </w:r>
                  <w:r>
                    <w:rPr>
                      <w:rFonts w:hint="default" w:ascii="Times New Roman" w:hAnsi="Times New Roman" w:eastAsia="宋体" w:cs="Times New Roman"/>
                      <w:color w:val="auto"/>
                      <w:szCs w:val="21"/>
                      <w:vertAlign w:val="superscript"/>
                    </w:rPr>
                    <w:t>3</w:t>
                  </w:r>
                  <w:r>
                    <w:rPr>
                      <w:rFonts w:hint="default" w:ascii="Times New Roman" w:hAnsi="Times New Roman" w:eastAsia="宋体" w:cs="Times New Roman"/>
                      <w:color w:val="auto"/>
                      <w:szCs w:val="21"/>
                    </w:rPr>
                    <w:t>；主要组分包含聚二甲基硅氧烷、端乙烯基聚二甲基硅氧烷、聚甲基氢硅氧烷、云母粉、氢氧化铝，常温下化学性质稳定，无粉尘产生，阻燃性能优良，在350~800℃及以上高温下可陶瓷化烧结形成多孔自支撑陶瓷体，正常工况无明显毒性，燃烧分解产生二氧化碳、微量碳化物及二氧化硅。</w:t>
                  </w:r>
                </w:p>
              </w:tc>
            </w:tr>
            <w:tr w14:paraId="039955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1951" w:type="dxa"/>
                  <w:vMerge w:val="restart"/>
                  <w:vAlign w:val="center"/>
                </w:tcPr>
                <w:p w14:paraId="5D5CEFFF">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jc w:val="center"/>
                    <w:textAlignment w:val="auto"/>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lang w:val="en-US" w:eastAsia="zh-CN"/>
                    </w:rPr>
                    <w:t>背胶处理剂</w:t>
                  </w:r>
                </w:p>
              </w:tc>
              <w:tc>
                <w:tcPr>
                  <w:tcW w:w="6234" w:type="dxa"/>
                  <w:shd w:val="clear" w:color="auto" w:fill="auto"/>
                  <w:vAlign w:val="center"/>
                </w:tcPr>
                <w:p w14:paraId="711FE439">
                  <w:pPr>
                    <w:keepNext w:val="0"/>
                    <w:keepLines w:val="0"/>
                    <w:suppressLineNumbers w:val="0"/>
                    <w:spacing w:before="0" w:beforeAutospacing="0" w:after="0" w:afterAutospacing="0" w:line="240" w:lineRule="auto"/>
                    <w:ind w:left="0" w:right="0"/>
                    <w:jc w:val="center"/>
                    <w:rPr>
                      <w:rFonts w:hint="default" w:ascii="Times New Roman" w:hAnsi="Times New Roman" w:eastAsia="宋体" w:cs="Times New Roman"/>
                      <w:color w:val="auto"/>
                      <w:kern w:val="2"/>
                      <w:sz w:val="21"/>
                      <w:szCs w:val="21"/>
                      <w:lang w:val="en-US" w:eastAsia="zh-CN" w:bidi="ar-SA"/>
                    </w:rPr>
                  </w:pPr>
                  <w:r>
                    <w:rPr>
                      <w:rFonts w:hint="default" w:ascii="Times New Roman" w:hAnsi="Times New Roman" w:eastAsia="宋体" w:cs="Times New Roman"/>
                      <w:color w:val="auto"/>
                      <w:sz w:val="21"/>
                      <w:szCs w:val="21"/>
                      <w:lang w:val="en-US" w:eastAsia="zh-CN"/>
                    </w:rPr>
                    <w:t>外观与性状：透明液体。颜色：透明。密度：0.72±0.03</w:t>
                  </w:r>
                  <w:r>
                    <w:rPr>
                      <w:rFonts w:hint="eastAsia" w:ascii="Times New Roman" w:hAnsi="Times New Roman" w:eastAsia="宋体" w:cs="Times New Roman"/>
                      <w:color w:val="auto"/>
                      <w:sz w:val="21"/>
                      <w:szCs w:val="21"/>
                      <w:lang w:val="en-US" w:eastAsia="zh-CN"/>
                    </w:rPr>
                    <w:t>（</w:t>
                  </w:r>
                  <w:r>
                    <w:rPr>
                      <w:rFonts w:hint="default" w:ascii="Times New Roman" w:hAnsi="Times New Roman" w:eastAsia="宋体" w:cs="Times New Roman"/>
                      <w:color w:val="auto"/>
                      <w:sz w:val="21"/>
                      <w:szCs w:val="21"/>
                      <w:lang w:val="en-US" w:eastAsia="zh-CN"/>
                    </w:rPr>
                    <w:t>水＝1</w:t>
                  </w:r>
                  <w:r>
                    <w:rPr>
                      <w:rFonts w:hint="eastAsia" w:ascii="Times New Roman" w:hAnsi="Times New Roman" w:eastAsia="宋体" w:cs="Times New Roman"/>
                      <w:color w:val="auto"/>
                      <w:sz w:val="21"/>
                      <w:szCs w:val="21"/>
                      <w:lang w:val="en-US" w:eastAsia="zh-CN"/>
                    </w:rPr>
                    <w:t>）</w:t>
                  </w:r>
                  <w:r>
                    <w:rPr>
                      <w:rFonts w:hint="default" w:ascii="Times New Roman" w:hAnsi="Times New Roman" w:eastAsia="宋体" w:cs="Times New Roman"/>
                      <w:color w:val="auto"/>
                      <w:sz w:val="21"/>
                      <w:szCs w:val="21"/>
                      <w:lang w:val="en-US" w:eastAsia="zh-CN"/>
                    </w:rPr>
                    <w:t>。溶解性：不溶于水，易溶于苯类，酯类等非极性溶剂。自然温度</w:t>
                  </w:r>
                  <w:r>
                    <w:rPr>
                      <w:rFonts w:hint="eastAsia" w:ascii="Times New Roman" w:hAnsi="Times New Roman" w:eastAsia="宋体" w:cs="Times New Roman"/>
                      <w:color w:val="auto"/>
                      <w:sz w:val="21"/>
                      <w:szCs w:val="21"/>
                      <w:lang w:val="en-US" w:eastAsia="zh-CN"/>
                    </w:rPr>
                    <w:t>（</w:t>
                  </w:r>
                  <w:r>
                    <w:rPr>
                      <w:rFonts w:hint="default" w:ascii="Times New Roman" w:hAnsi="Times New Roman" w:eastAsia="宋体" w:cs="Times New Roman"/>
                      <w:color w:val="auto"/>
                      <w:sz w:val="21"/>
                      <w:szCs w:val="21"/>
                      <w:lang w:val="en-US" w:eastAsia="zh-CN"/>
                    </w:rPr>
                    <w:t>℃</w:t>
                  </w:r>
                  <w:r>
                    <w:rPr>
                      <w:rFonts w:hint="eastAsia" w:ascii="Times New Roman" w:hAnsi="Times New Roman" w:eastAsia="宋体" w:cs="Times New Roman"/>
                      <w:color w:val="auto"/>
                      <w:sz w:val="21"/>
                      <w:szCs w:val="21"/>
                      <w:lang w:val="en-US" w:eastAsia="zh-CN"/>
                    </w:rPr>
                    <w:t>）</w:t>
                  </w:r>
                  <w:r>
                    <w:rPr>
                      <w:rFonts w:hint="default" w:ascii="Times New Roman" w:hAnsi="Times New Roman" w:eastAsia="宋体" w:cs="Times New Roman"/>
                      <w:color w:val="auto"/>
                      <w:sz w:val="21"/>
                      <w:szCs w:val="21"/>
                      <w:lang w:val="en-US" w:eastAsia="zh-CN"/>
                    </w:rPr>
                    <w:t>：204。沸点</w:t>
                  </w:r>
                  <w:r>
                    <w:rPr>
                      <w:rFonts w:hint="eastAsia" w:ascii="Times New Roman" w:hAnsi="Times New Roman" w:eastAsia="宋体" w:cs="Times New Roman"/>
                      <w:color w:val="auto"/>
                      <w:sz w:val="21"/>
                      <w:szCs w:val="21"/>
                      <w:lang w:val="en-US" w:eastAsia="zh-CN"/>
                    </w:rPr>
                    <w:t>（</w:t>
                  </w:r>
                  <w:r>
                    <w:rPr>
                      <w:rFonts w:hint="default" w:ascii="Times New Roman" w:hAnsi="Times New Roman" w:eastAsia="宋体" w:cs="Times New Roman"/>
                      <w:color w:val="auto"/>
                      <w:sz w:val="21"/>
                      <w:szCs w:val="21"/>
                      <w:lang w:val="en-US" w:eastAsia="zh-CN"/>
                    </w:rPr>
                    <w:t>℃</w:t>
                  </w:r>
                  <w:r>
                    <w:rPr>
                      <w:rFonts w:hint="eastAsia" w:ascii="Times New Roman" w:hAnsi="Times New Roman" w:eastAsia="宋体" w:cs="Times New Roman"/>
                      <w:color w:val="auto"/>
                      <w:sz w:val="21"/>
                      <w:szCs w:val="21"/>
                      <w:lang w:val="en-US" w:eastAsia="zh-CN"/>
                    </w:rPr>
                    <w:t>）</w:t>
                  </w:r>
                  <w:r>
                    <w:rPr>
                      <w:rFonts w:hint="default" w:ascii="Times New Roman" w:hAnsi="Times New Roman" w:eastAsia="宋体" w:cs="Times New Roman"/>
                      <w:color w:val="auto"/>
                      <w:sz w:val="21"/>
                      <w:szCs w:val="21"/>
                      <w:lang w:val="en-US" w:eastAsia="zh-CN"/>
                    </w:rPr>
                    <w:t>：98.5。闪点</w:t>
                  </w:r>
                  <w:r>
                    <w:rPr>
                      <w:rFonts w:hint="eastAsia" w:ascii="Times New Roman" w:hAnsi="Times New Roman" w:eastAsia="宋体" w:cs="Times New Roman"/>
                      <w:color w:val="auto"/>
                      <w:sz w:val="21"/>
                      <w:szCs w:val="21"/>
                      <w:lang w:val="en-US" w:eastAsia="zh-CN"/>
                    </w:rPr>
                    <w:t>（</w:t>
                  </w:r>
                  <w:r>
                    <w:rPr>
                      <w:rFonts w:hint="default" w:ascii="Times New Roman" w:hAnsi="Times New Roman" w:eastAsia="宋体" w:cs="Times New Roman"/>
                      <w:color w:val="auto"/>
                      <w:sz w:val="21"/>
                      <w:szCs w:val="21"/>
                      <w:lang w:val="en-US" w:eastAsia="zh-CN"/>
                    </w:rPr>
                    <w:t>℃</w:t>
                  </w:r>
                  <w:r>
                    <w:rPr>
                      <w:rFonts w:hint="eastAsia" w:ascii="Times New Roman" w:hAnsi="Times New Roman" w:eastAsia="宋体" w:cs="Times New Roman"/>
                      <w:color w:val="auto"/>
                      <w:sz w:val="21"/>
                      <w:szCs w:val="21"/>
                      <w:lang w:val="en-US" w:eastAsia="zh-CN"/>
                    </w:rPr>
                    <w:t>）</w:t>
                  </w:r>
                  <w:r>
                    <w:rPr>
                      <w:rFonts w:hint="default" w:ascii="Times New Roman" w:hAnsi="Times New Roman" w:eastAsia="宋体" w:cs="Times New Roman"/>
                      <w:color w:val="auto"/>
                      <w:sz w:val="21"/>
                      <w:szCs w:val="21"/>
                      <w:lang w:val="en-US" w:eastAsia="zh-CN"/>
                    </w:rPr>
                    <w:t>：-4。主要用途：用于硅橡胶贴双面胶的快速干燥型底涂。成分信息：八甲基环四硅氧烷96.5%，正庚烷3.5%</w:t>
                  </w:r>
                  <w:r>
                    <w:rPr>
                      <w:rFonts w:hint="eastAsia" w:ascii="Times New Roman" w:hAnsi="Times New Roman" w:eastAsia="宋体" w:cs="Times New Roman"/>
                      <w:color w:val="auto"/>
                      <w:sz w:val="21"/>
                      <w:szCs w:val="21"/>
                      <w:lang w:val="en-US" w:eastAsia="zh-CN"/>
                    </w:rPr>
                    <w:t>。</w:t>
                  </w:r>
                </w:p>
              </w:tc>
            </w:tr>
            <w:tr w14:paraId="2CC328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1951" w:type="dxa"/>
                  <w:vMerge w:val="continue"/>
                  <w:vAlign w:val="center"/>
                </w:tcPr>
                <w:p w14:paraId="7673BFCB">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jc w:val="center"/>
                    <w:textAlignment w:val="auto"/>
                    <w:rPr>
                      <w:rFonts w:hint="default" w:ascii="Times New Roman" w:hAnsi="Times New Roman" w:eastAsia="宋体" w:cs="Times New Roman"/>
                      <w:color w:val="auto"/>
                      <w:szCs w:val="21"/>
                      <w:lang w:val="en-US" w:eastAsia="zh-CN"/>
                    </w:rPr>
                  </w:pPr>
                </w:p>
              </w:tc>
              <w:tc>
                <w:tcPr>
                  <w:tcW w:w="6234" w:type="dxa"/>
                  <w:shd w:val="clear" w:color="auto" w:fill="auto"/>
                  <w:vAlign w:val="center"/>
                </w:tcPr>
                <w:p w14:paraId="656B943F">
                  <w:pPr>
                    <w:keepNext w:val="0"/>
                    <w:keepLines w:val="0"/>
                    <w:suppressLineNumbers w:val="0"/>
                    <w:spacing w:before="0" w:beforeAutospacing="0" w:after="0" w:afterAutospacing="0" w:line="240" w:lineRule="auto"/>
                    <w:ind w:left="0" w:right="0"/>
                    <w:jc w:val="center"/>
                    <w:rPr>
                      <w:rFonts w:hint="default"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sz w:val="21"/>
                      <w:szCs w:val="21"/>
                      <w:lang w:val="en-US" w:eastAsia="zh-CN"/>
                    </w:rPr>
                    <w:t>根据《胶粘剂挥发性有机化合物限量》（GB33372-2020）表3中的要求：</w:t>
                  </w:r>
                  <w:r>
                    <w:rPr>
                      <w:rFonts w:hint="eastAsia" w:ascii="Times New Roman" w:hAnsi="Times New Roman" w:eastAsia="宋体" w:cs="Times New Roman"/>
                      <w:color w:val="auto"/>
                      <w:sz w:val="21"/>
                      <w:szCs w:val="21"/>
                      <w:lang w:val="en-US" w:eastAsia="zh-CN"/>
                    </w:rPr>
                    <w:t>“</w:t>
                  </w:r>
                  <w:r>
                    <w:rPr>
                      <w:rFonts w:hint="default" w:ascii="Times New Roman" w:hAnsi="Times New Roman" w:eastAsia="宋体" w:cs="Times New Roman"/>
                      <w:color w:val="auto"/>
                      <w:sz w:val="21"/>
                      <w:szCs w:val="21"/>
                      <w:lang w:val="en-US" w:eastAsia="zh-CN"/>
                    </w:rPr>
                    <w:t>其他</w:t>
                  </w:r>
                  <w:r>
                    <w:rPr>
                      <w:rFonts w:hint="eastAsia" w:ascii="Times New Roman" w:hAnsi="Times New Roman" w:eastAsia="宋体" w:cs="Times New Roman"/>
                      <w:color w:val="auto"/>
                      <w:sz w:val="21"/>
                      <w:szCs w:val="21"/>
                      <w:lang w:val="en-US" w:eastAsia="zh-CN"/>
                    </w:rPr>
                    <w:t>”</w:t>
                  </w:r>
                  <w:r>
                    <w:rPr>
                      <w:rFonts w:hint="default" w:ascii="Times New Roman" w:hAnsi="Times New Roman" w:eastAsia="宋体" w:cs="Times New Roman"/>
                      <w:color w:val="auto"/>
                      <w:sz w:val="21"/>
                      <w:szCs w:val="21"/>
                      <w:lang w:val="en-US" w:eastAsia="zh-CN"/>
                    </w:rPr>
                    <w:t>应用领域中的</w:t>
                  </w:r>
                  <w:r>
                    <w:rPr>
                      <w:rFonts w:hint="eastAsia" w:ascii="Times New Roman" w:hAnsi="Times New Roman" w:eastAsia="宋体" w:cs="Times New Roman"/>
                      <w:color w:val="auto"/>
                      <w:sz w:val="21"/>
                      <w:szCs w:val="21"/>
                      <w:lang w:val="en-US" w:eastAsia="zh-CN"/>
                    </w:rPr>
                    <w:t>“</w:t>
                  </w:r>
                  <w:r>
                    <w:rPr>
                      <w:rFonts w:hint="default" w:ascii="Times New Roman" w:hAnsi="Times New Roman" w:eastAsia="宋体" w:cs="Times New Roman"/>
                      <w:color w:val="auto"/>
                      <w:sz w:val="21"/>
                      <w:szCs w:val="21"/>
                      <w:lang w:val="en-US" w:eastAsia="zh-CN"/>
                    </w:rPr>
                    <w:t>其他</w:t>
                  </w:r>
                  <w:r>
                    <w:rPr>
                      <w:rFonts w:hint="eastAsia" w:ascii="Times New Roman" w:hAnsi="Times New Roman" w:eastAsia="宋体" w:cs="Times New Roman"/>
                      <w:color w:val="auto"/>
                      <w:sz w:val="21"/>
                      <w:szCs w:val="21"/>
                      <w:lang w:val="en-US" w:eastAsia="zh-CN"/>
                    </w:rPr>
                    <w:t>”</w:t>
                  </w:r>
                  <w:r>
                    <w:rPr>
                      <w:rFonts w:hint="default" w:ascii="Times New Roman" w:hAnsi="Times New Roman" w:eastAsia="宋体" w:cs="Times New Roman"/>
                      <w:color w:val="auto"/>
                      <w:sz w:val="21"/>
                      <w:szCs w:val="21"/>
                      <w:lang w:val="en-US" w:eastAsia="zh-CN"/>
                    </w:rPr>
                    <w:t>本体型胶粘剂VOC含量限量值为≤50g/kg。根据企业提供资料，项目使用的胶粘剂中正庚烷含量为3.5%（按全部挥发计），则本项目胶粘剂中的VOC含量为35g/kg，符合上述要求</w:t>
                  </w:r>
                  <w:r>
                    <w:rPr>
                      <w:rFonts w:hint="eastAsia" w:ascii="Times New Roman" w:hAnsi="Times New Roman" w:eastAsia="宋体" w:cs="Times New Roman"/>
                      <w:color w:val="auto"/>
                      <w:sz w:val="21"/>
                      <w:szCs w:val="21"/>
                      <w:lang w:val="en-US" w:eastAsia="zh-CN"/>
                    </w:rPr>
                    <w:t>。</w:t>
                  </w:r>
                </w:p>
              </w:tc>
            </w:tr>
            <w:tr w14:paraId="1E5F71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1951" w:type="dxa"/>
                  <w:vAlign w:val="center"/>
                </w:tcPr>
                <w:p w14:paraId="31E271CE">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jc w:val="center"/>
                    <w:textAlignment w:val="auto"/>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rPr>
                    <w:t>气相法二氧化硅</w:t>
                  </w:r>
                </w:p>
              </w:tc>
              <w:tc>
                <w:tcPr>
                  <w:tcW w:w="6234" w:type="dxa"/>
                  <w:vAlign w:val="center"/>
                </w:tcPr>
                <w:p w14:paraId="5734C466">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jc w:val="center"/>
                    <w:textAlignment w:val="auto"/>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rPr>
                    <w:t>气相法二氧化硅又称气相白炭黑，主要成分为无定形二氧化硅，外观为白色蓬松纳米粉末，化学性质稳定，不溶于水、普通酸类，具备高比表面积、良好增稠、补强、抗沉降特性；常温下不易燃，无自反应性，粉尘具有扬尘风险，吸入细微粉尘可刺激呼吸道，不属于有机高分子物料，常作为填料添加于树脂、胶黏剂、高分子材料体系</w:t>
                  </w:r>
                  <w:r>
                    <w:rPr>
                      <w:rFonts w:hint="eastAsia" w:ascii="Times New Roman" w:hAnsi="Times New Roman" w:eastAsia="宋体" w:cs="Times New Roman"/>
                      <w:color w:val="auto"/>
                      <w:szCs w:val="21"/>
                    </w:rPr>
                    <w:t>。</w:t>
                  </w:r>
                </w:p>
              </w:tc>
            </w:tr>
            <w:tr w14:paraId="6163FE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1951" w:type="dxa"/>
                  <w:vAlign w:val="center"/>
                </w:tcPr>
                <w:p w14:paraId="4E9A7290">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jc w:val="center"/>
                    <w:textAlignment w:val="auto"/>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rPr>
                    <w:t>高含硅烧结纤丝</w:t>
                  </w:r>
                </w:p>
              </w:tc>
              <w:tc>
                <w:tcPr>
                  <w:tcW w:w="6234" w:type="dxa"/>
                  <w:vAlign w:val="center"/>
                </w:tcPr>
                <w:p w14:paraId="1629EC89">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jc w:val="center"/>
                    <w:textAlignment w:val="auto"/>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rPr>
                    <w:t>高含硅烧结纤丝为二氧化硅含量 96% 以上的无机耐火纤维材料，丝状固态，耐高温、抗氧化、绝热绝缘性能优异，耐酸碱腐蚀；本身不可燃，无挥发性有机物释放，脆性较强，加工裁切过程易产生细小无机纤维粉尘，长期吸入纤维尘存在呼吸道刺激风险，属于无机硅酸盐耐火材料</w:t>
                  </w:r>
                  <w:r>
                    <w:rPr>
                      <w:rFonts w:hint="eastAsia" w:ascii="Times New Roman" w:hAnsi="Times New Roman" w:eastAsia="宋体" w:cs="Times New Roman"/>
                      <w:color w:val="auto"/>
                      <w:szCs w:val="21"/>
                    </w:rPr>
                    <w:t>。</w:t>
                  </w:r>
                </w:p>
              </w:tc>
            </w:tr>
            <w:tr w14:paraId="59BA4B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1951" w:type="dxa"/>
                  <w:vAlign w:val="center"/>
                </w:tcPr>
                <w:p w14:paraId="542D90C1">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jc w:val="center"/>
                    <w:textAlignment w:val="auto"/>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rPr>
                    <w:t>碳化硅</w:t>
                  </w:r>
                </w:p>
              </w:tc>
              <w:tc>
                <w:tcPr>
                  <w:tcW w:w="6234" w:type="dxa"/>
                  <w:vAlign w:val="center"/>
                </w:tcPr>
                <w:p w14:paraId="73172383">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jc w:val="center"/>
                    <w:textAlignment w:val="auto"/>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rPr>
                    <w:t>碳化硅（SiC）为无机共价晶体材料，常态为黑色/墨绿色晶体颗粒或粉末，化学稳定性极强，耐高温、硬度高、耐磨耐腐蚀，常温下不燃、不挥发；正常工况无有害物质逸散，破碎、打磨工序会产生无机粉尘，无有机组分，常用作磨料、功能填料、陶瓷基材</w:t>
                  </w:r>
                  <w:r>
                    <w:rPr>
                      <w:rFonts w:hint="eastAsia" w:ascii="Times New Roman" w:hAnsi="Times New Roman" w:eastAsia="宋体" w:cs="Times New Roman"/>
                      <w:color w:val="auto"/>
                      <w:szCs w:val="21"/>
                    </w:rPr>
                    <w:t>。</w:t>
                  </w:r>
                </w:p>
              </w:tc>
            </w:tr>
            <w:tr w14:paraId="168116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1951" w:type="dxa"/>
                  <w:vAlign w:val="center"/>
                </w:tcPr>
                <w:p w14:paraId="5AFECBBC">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jc w:val="center"/>
                    <w:textAlignment w:val="auto"/>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rPr>
                    <w:t>PET膜</w:t>
                  </w:r>
                </w:p>
              </w:tc>
              <w:tc>
                <w:tcPr>
                  <w:tcW w:w="6234" w:type="dxa"/>
                  <w:vAlign w:val="center"/>
                </w:tcPr>
                <w:p w14:paraId="7BDADDEF">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jc w:val="center"/>
                    <w:textAlignment w:val="auto"/>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rPr>
                    <w:t>耐热性、耐寒性能优异，熔点高达260°C，在170-180°C时的收缩率小于1%-2%，软化点为264°C</w:t>
                  </w:r>
                </w:p>
              </w:tc>
            </w:tr>
            <w:tr w14:paraId="07E2FE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1951" w:type="dxa"/>
                  <w:vAlign w:val="center"/>
                </w:tcPr>
                <w:p w14:paraId="2FF8FCA5">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jc w:val="center"/>
                    <w:textAlignment w:val="auto"/>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rPr>
                    <w:t>双面胶</w:t>
                  </w:r>
                </w:p>
              </w:tc>
              <w:tc>
                <w:tcPr>
                  <w:tcW w:w="6234" w:type="dxa"/>
                  <w:vAlign w:val="center"/>
                </w:tcPr>
                <w:p w14:paraId="7E010328">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jc w:val="center"/>
                    <w:textAlignment w:val="auto"/>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rPr>
                    <w:t>双面胶基材为PET薄膜，两面涂布丙烯酸系压敏胶，高分子复合材料；常温具备粘性</w:t>
                  </w:r>
                  <w:r>
                    <w:rPr>
                      <w:rFonts w:hint="eastAsia" w:ascii="Times New Roman" w:hAnsi="Times New Roman" w:eastAsia="宋体" w:cs="Times New Roman"/>
                      <w:color w:val="auto"/>
                      <w:szCs w:val="21"/>
                    </w:rPr>
                    <w:t>。</w:t>
                  </w:r>
                </w:p>
              </w:tc>
            </w:tr>
            <w:tr w14:paraId="74683B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1951" w:type="dxa"/>
                  <w:vAlign w:val="center"/>
                </w:tcPr>
                <w:p w14:paraId="09799A70">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jc w:val="center"/>
                    <w:textAlignment w:val="auto"/>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rPr>
                    <w:t>润滑油</w:t>
                  </w:r>
                </w:p>
              </w:tc>
              <w:tc>
                <w:tcPr>
                  <w:tcW w:w="6234" w:type="dxa"/>
                  <w:vAlign w:val="center"/>
                </w:tcPr>
                <w:p w14:paraId="19267BCE">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jc w:val="center"/>
                    <w:textAlignment w:val="auto"/>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rPr>
                    <w:t>用在各种类型机械设备上以减少摩擦，保护机械及加工件的液体或半</w:t>
                  </w:r>
                  <w:r>
                    <w:rPr>
                      <w:rFonts w:hint="default" w:ascii="Times New Roman" w:hAnsi="Times New Roman" w:eastAsia="宋体" w:cs="Times New Roman"/>
                      <w:color w:val="auto"/>
                      <w:szCs w:val="21"/>
                    </w:rPr>
                    <w:fldChar w:fldCharType="begin"/>
                  </w:r>
                  <w:r>
                    <w:rPr>
                      <w:rFonts w:hint="default" w:ascii="Times New Roman" w:hAnsi="Times New Roman" w:eastAsia="宋体" w:cs="Times New Roman"/>
                      <w:color w:val="auto"/>
                      <w:szCs w:val="21"/>
                    </w:rPr>
                    <w:instrText xml:space="preserve"> HYPERLINK "https://baike.baidu.com/item/%E5%9B%BA%E4%BD%93%E6%B6%A6%E6%BB%91%E5%89%82/3395034?fromModule=lemma_inlink" \t "https://baike.baidu.com/item/%E6%B6%A6%E6%BB%91%E6%B2%B9/_blank" </w:instrText>
                  </w:r>
                  <w:r>
                    <w:rPr>
                      <w:rFonts w:hint="default" w:ascii="Times New Roman" w:hAnsi="Times New Roman" w:eastAsia="宋体" w:cs="Times New Roman"/>
                      <w:color w:val="auto"/>
                      <w:szCs w:val="21"/>
                    </w:rPr>
                    <w:fldChar w:fldCharType="separate"/>
                  </w:r>
                  <w:r>
                    <w:rPr>
                      <w:rFonts w:hint="default" w:ascii="Times New Roman" w:hAnsi="Times New Roman" w:eastAsia="宋体" w:cs="Times New Roman"/>
                      <w:color w:val="auto"/>
                      <w:szCs w:val="21"/>
                    </w:rPr>
                    <w:t>固体润滑剂</w:t>
                  </w:r>
                  <w:r>
                    <w:rPr>
                      <w:rFonts w:hint="default" w:ascii="Times New Roman" w:hAnsi="Times New Roman" w:eastAsia="宋体" w:cs="Times New Roman"/>
                      <w:color w:val="auto"/>
                      <w:szCs w:val="21"/>
                    </w:rPr>
                    <w:fldChar w:fldCharType="end"/>
                  </w:r>
                  <w:r>
                    <w:rPr>
                      <w:rFonts w:hint="default" w:ascii="Times New Roman" w:hAnsi="Times New Roman" w:eastAsia="宋体" w:cs="Times New Roman"/>
                      <w:color w:val="auto"/>
                      <w:szCs w:val="21"/>
                    </w:rPr>
                    <w:t>，主要起润滑、辅助冷却、</w:t>
                  </w:r>
                  <w:r>
                    <w:rPr>
                      <w:rFonts w:hint="default"/>
                      <w:color w:val="auto"/>
                    </w:rPr>
                    <w:fldChar w:fldCharType="begin"/>
                  </w:r>
                  <w:r>
                    <w:rPr>
                      <w:rFonts w:hint="default"/>
                      <w:color w:val="auto"/>
                    </w:rPr>
                    <w:instrText xml:space="preserve"> HYPERLINK "https://baike.baidu.com/item/%E9%98%B2%E9%94%88/4591680?fromModule=lemma_inlink" \t "https://baike.baidu.com/item/%E6%B6%A6%E6%BB%91%E6%B2%B9/_blank" </w:instrText>
                  </w:r>
                  <w:r>
                    <w:rPr>
                      <w:rFonts w:hint="default"/>
                      <w:color w:val="auto"/>
                    </w:rPr>
                    <w:fldChar w:fldCharType="separate"/>
                  </w:r>
                  <w:r>
                    <w:rPr>
                      <w:rFonts w:hint="default" w:ascii="Times New Roman" w:hAnsi="Times New Roman" w:eastAsia="宋体" w:cs="Times New Roman"/>
                      <w:color w:val="auto"/>
                      <w:szCs w:val="21"/>
                    </w:rPr>
                    <w:t>防锈</w:t>
                  </w:r>
                  <w:r>
                    <w:rPr>
                      <w:rFonts w:hint="default" w:ascii="Times New Roman" w:hAnsi="Times New Roman" w:eastAsia="宋体" w:cs="Times New Roman"/>
                      <w:color w:val="auto"/>
                      <w:szCs w:val="21"/>
                    </w:rPr>
                    <w:fldChar w:fldCharType="end"/>
                  </w:r>
                  <w:r>
                    <w:rPr>
                      <w:rFonts w:hint="default" w:ascii="Times New Roman" w:hAnsi="Times New Roman" w:eastAsia="宋体" w:cs="Times New Roman"/>
                      <w:color w:val="auto"/>
                      <w:szCs w:val="21"/>
                    </w:rPr>
                    <w:t>、</w:t>
                  </w:r>
                  <w:r>
                    <w:rPr>
                      <w:rFonts w:hint="default"/>
                      <w:color w:val="auto"/>
                    </w:rPr>
                    <w:fldChar w:fldCharType="begin"/>
                  </w:r>
                  <w:r>
                    <w:rPr>
                      <w:rFonts w:hint="default"/>
                      <w:color w:val="auto"/>
                    </w:rPr>
                    <w:instrText xml:space="preserve"> HYPERLINK "https://baike.baidu.com/item/%E6%B8%85%E6%B4%81/20384805?fromModule=lemma_inlink" \t "https://baike.baidu.com/item/%E6%B6%A6%E6%BB%91%E6%B2%B9/_blank" </w:instrText>
                  </w:r>
                  <w:r>
                    <w:rPr>
                      <w:rFonts w:hint="default"/>
                      <w:color w:val="auto"/>
                    </w:rPr>
                    <w:fldChar w:fldCharType="separate"/>
                  </w:r>
                  <w:r>
                    <w:rPr>
                      <w:rFonts w:hint="default" w:ascii="Times New Roman" w:hAnsi="Times New Roman" w:eastAsia="宋体" w:cs="Times New Roman"/>
                      <w:color w:val="auto"/>
                      <w:szCs w:val="21"/>
                    </w:rPr>
                    <w:t>清洁</w:t>
                  </w:r>
                  <w:r>
                    <w:rPr>
                      <w:rFonts w:hint="default" w:ascii="Times New Roman" w:hAnsi="Times New Roman" w:eastAsia="宋体" w:cs="Times New Roman"/>
                      <w:color w:val="auto"/>
                      <w:szCs w:val="21"/>
                    </w:rPr>
                    <w:fldChar w:fldCharType="end"/>
                  </w:r>
                  <w:r>
                    <w:rPr>
                      <w:rFonts w:hint="default" w:ascii="Times New Roman" w:hAnsi="Times New Roman" w:eastAsia="宋体" w:cs="Times New Roman"/>
                      <w:color w:val="auto"/>
                      <w:szCs w:val="21"/>
                    </w:rPr>
                    <w:t>、</w:t>
                  </w:r>
                  <w:r>
                    <w:rPr>
                      <w:rFonts w:hint="default"/>
                      <w:color w:val="auto"/>
                    </w:rPr>
                    <w:fldChar w:fldCharType="begin"/>
                  </w:r>
                  <w:r>
                    <w:rPr>
                      <w:rFonts w:hint="default"/>
                      <w:color w:val="auto"/>
                    </w:rPr>
                    <w:instrText xml:space="preserve"> HYPERLINK "https://baike.baidu.com/item/%E5%AF%86%E5%B0%81/7558996?fromModule=lemma_inlink" \t "https://baike.baidu.com/item/%E6%B6%A6%E6%BB%91%E6%B2%B9/_blank" </w:instrText>
                  </w:r>
                  <w:r>
                    <w:rPr>
                      <w:rFonts w:hint="default"/>
                      <w:color w:val="auto"/>
                    </w:rPr>
                    <w:fldChar w:fldCharType="separate"/>
                  </w:r>
                  <w:r>
                    <w:rPr>
                      <w:rFonts w:hint="default" w:ascii="Times New Roman" w:hAnsi="Times New Roman" w:eastAsia="宋体" w:cs="Times New Roman"/>
                      <w:color w:val="auto"/>
                      <w:szCs w:val="21"/>
                    </w:rPr>
                    <w:t>密封</w:t>
                  </w:r>
                  <w:r>
                    <w:rPr>
                      <w:rFonts w:hint="default" w:ascii="Times New Roman" w:hAnsi="Times New Roman" w:eastAsia="宋体" w:cs="Times New Roman"/>
                      <w:color w:val="auto"/>
                      <w:szCs w:val="21"/>
                    </w:rPr>
                    <w:fldChar w:fldCharType="end"/>
                  </w:r>
                  <w:r>
                    <w:rPr>
                      <w:rFonts w:hint="default" w:ascii="Times New Roman" w:hAnsi="Times New Roman" w:eastAsia="宋体" w:cs="Times New Roman"/>
                      <w:color w:val="auto"/>
                      <w:szCs w:val="21"/>
                    </w:rPr>
                    <w:t>和缓冲等作用</w:t>
                  </w:r>
                </w:p>
              </w:tc>
            </w:tr>
          </w:tbl>
          <w:p w14:paraId="5DBB55F3">
            <w:pPr>
              <w:keepNext w:val="0"/>
              <w:keepLines w:val="0"/>
              <w:suppressLineNumbers w:val="0"/>
              <w:spacing w:before="0" w:beforeAutospacing="0" w:after="0" w:afterAutospacing="0" w:line="360" w:lineRule="auto"/>
              <w:ind w:left="0" w:right="0"/>
              <w:rPr>
                <w:rFonts w:hint="default" w:ascii="Times New Roman" w:hAnsi="Times New Roman" w:eastAsia="宋体" w:cs="Times New Roman"/>
                <w:b/>
                <w:bCs/>
                <w:color w:val="auto"/>
                <w:sz w:val="24"/>
              </w:rPr>
            </w:pPr>
            <w:r>
              <w:rPr>
                <w:rFonts w:hint="eastAsia" w:ascii="Times New Roman" w:hAnsi="Times New Roman" w:eastAsia="宋体" w:cs="Times New Roman"/>
                <w:b/>
                <w:bCs/>
                <w:color w:val="auto"/>
                <w:sz w:val="24"/>
              </w:rPr>
              <w:t>2.1.5物料平衡</w:t>
            </w:r>
          </w:p>
          <w:p w14:paraId="76DD3765">
            <w:pPr>
              <w:keepNext w:val="0"/>
              <w:keepLines w:val="0"/>
              <w:suppressLineNumbers w:val="0"/>
              <w:spacing w:before="0" w:beforeAutospacing="0" w:after="0" w:afterAutospacing="0" w:line="360" w:lineRule="auto"/>
              <w:ind w:left="0" w:right="0" w:firstLine="480" w:firstLineChars="200"/>
              <w:rPr>
                <w:rFonts w:hint="default" w:ascii="Times New Roman" w:hAnsi="Times New Roman" w:eastAsia="宋体" w:cs="Times New Roman"/>
                <w:color w:val="auto"/>
                <w:sz w:val="24"/>
              </w:rPr>
            </w:pPr>
            <w:r>
              <w:rPr>
                <w:rFonts w:hint="default" w:ascii="Times New Roman" w:hAnsi="Times New Roman" w:eastAsia="宋体" w:cs="Times New Roman"/>
                <w:color w:val="auto"/>
                <w:sz w:val="24"/>
              </w:rPr>
              <w:t>根据建设单位提供资料，本项目年产</w:t>
            </w:r>
            <w:r>
              <w:rPr>
                <w:rFonts w:hint="eastAsia" w:ascii="Times New Roman" w:hAnsi="Times New Roman" w:eastAsia="宋体" w:cs="Times New Roman"/>
                <w:color w:val="auto"/>
                <w:sz w:val="24"/>
              </w:rPr>
              <w:t>500万平方米</w:t>
            </w:r>
            <w:r>
              <w:rPr>
                <w:rFonts w:hint="default" w:ascii="Times New Roman" w:hAnsi="Times New Roman" w:eastAsia="宋体" w:cs="Times New Roman"/>
                <w:color w:val="auto"/>
                <w:sz w:val="24"/>
              </w:rPr>
              <w:t>第二代动力电池高安全陶瓷化复合隔膜，产量折重量约</w:t>
            </w:r>
            <w:r>
              <w:rPr>
                <w:rFonts w:hint="eastAsia" w:ascii="Times New Roman" w:hAnsi="Times New Roman" w:eastAsia="宋体" w:cs="Times New Roman"/>
                <w:color w:val="auto"/>
                <w:sz w:val="24"/>
              </w:rPr>
              <w:t>9000</w:t>
            </w:r>
            <w:r>
              <w:rPr>
                <w:rFonts w:hint="default" w:ascii="Times New Roman" w:hAnsi="Times New Roman" w:eastAsia="宋体" w:cs="Times New Roman"/>
                <w:color w:val="auto"/>
                <w:sz w:val="24"/>
              </w:rPr>
              <w:t>t</w:t>
            </w:r>
            <w:r>
              <w:rPr>
                <w:rFonts w:hint="eastAsia" w:ascii="Times New Roman" w:hAnsi="Times New Roman" w:eastAsia="宋体" w:cs="Times New Roman"/>
                <w:color w:val="auto"/>
                <w:sz w:val="24"/>
                <w:lang w:eastAsia="zh-CN"/>
              </w:rPr>
              <w:t>；2000万片纳米隔热板，产量折重量约</w:t>
            </w:r>
            <w:r>
              <w:rPr>
                <w:rFonts w:hint="eastAsia" w:ascii="Times New Roman" w:hAnsi="Times New Roman" w:eastAsia="宋体" w:cs="Times New Roman"/>
                <w:color w:val="auto"/>
                <w:sz w:val="24"/>
                <w:lang w:val="en-US" w:eastAsia="zh-CN"/>
              </w:rPr>
              <w:t>678.1t。</w:t>
            </w:r>
            <w:r>
              <w:rPr>
                <w:rFonts w:hint="default" w:ascii="Times New Roman" w:hAnsi="Times New Roman" w:eastAsia="宋体" w:cs="Times New Roman"/>
                <w:color w:val="auto"/>
                <w:sz w:val="24"/>
              </w:rPr>
              <w:t>生产过程总物料平衡见下表。</w:t>
            </w:r>
          </w:p>
          <w:p w14:paraId="1FA32204">
            <w:pPr>
              <w:keepNext w:val="0"/>
              <w:keepLines w:val="0"/>
              <w:suppressLineNumbers w:val="0"/>
              <w:spacing w:before="0" w:beforeAutospacing="0" w:after="0" w:afterAutospacing="0"/>
              <w:ind w:left="0" w:right="0"/>
              <w:jc w:val="center"/>
              <w:rPr>
                <w:rFonts w:hint="default" w:ascii="Times New Roman" w:hAnsi="Times New Roman" w:eastAsia="宋体" w:cs="Times New Roman"/>
                <w:b/>
                <w:bCs/>
                <w:color w:val="auto"/>
              </w:rPr>
            </w:pPr>
            <w:r>
              <w:rPr>
                <w:rFonts w:hint="eastAsia" w:ascii="Times New Roman" w:hAnsi="Times New Roman" w:eastAsia="宋体" w:cs="Times New Roman"/>
                <w:b/>
                <w:bCs/>
                <w:color w:val="auto"/>
              </w:rPr>
              <w:t>表</w:t>
            </w:r>
            <w:r>
              <w:rPr>
                <w:rFonts w:hint="default" w:ascii="Times New Roman" w:hAnsi="Times New Roman" w:eastAsia="宋体" w:cs="Times New Roman"/>
                <w:b/>
                <w:bCs/>
                <w:color w:val="auto"/>
              </w:rPr>
              <w:t>2-</w:t>
            </w:r>
            <w:r>
              <w:rPr>
                <w:rFonts w:hint="eastAsia" w:ascii="Times New Roman" w:hAnsi="Times New Roman" w:eastAsia="宋体" w:cs="Times New Roman"/>
                <w:b/>
                <w:bCs/>
                <w:color w:val="auto"/>
                <w:lang w:val="en-US" w:eastAsia="zh-CN"/>
              </w:rPr>
              <w:t>9</w:t>
            </w:r>
            <w:r>
              <w:rPr>
                <w:rFonts w:hint="default" w:ascii="Times New Roman" w:hAnsi="Times New Roman" w:eastAsia="宋体" w:cs="Times New Roman"/>
                <w:b/>
                <w:bCs/>
                <w:color w:val="auto"/>
              </w:rPr>
              <w:t xml:space="preserve"> </w:t>
            </w:r>
            <w:r>
              <w:rPr>
                <w:rFonts w:hint="eastAsia" w:ascii="Times New Roman" w:hAnsi="Times New Roman" w:eastAsia="宋体" w:cs="Times New Roman"/>
                <w:b/>
                <w:bCs/>
                <w:color w:val="auto"/>
              </w:rPr>
              <w:t xml:space="preserve"> 第二代动力电池高安全陶瓷化复合隔膜生产过程总物料平衡表</w:t>
            </w:r>
          </w:p>
          <w:tbl>
            <w:tblPr>
              <w:tblStyle w:val="23"/>
              <w:tblW w:w="8185"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560"/>
              <w:gridCol w:w="1875"/>
              <w:gridCol w:w="1860"/>
              <w:gridCol w:w="1141"/>
              <w:gridCol w:w="1545"/>
              <w:gridCol w:w="1204"/>
            </w:tblGrid>
            <w:tr w14:paraId="2FCDBF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560" w:type="dxa"/>
                  <w:vMerge w:val="restart"/>
                  <w:vAlign w:val="center"/>
                </w:tcPr>
                <w:p w14:paraId="505CC4E6">
                  <w:pPr>
                    <w:keepNext w:val="0"/>
                    <w:keepLines w:val="0"/>
                    <w:suppressLineNumbers w:val="0"/>
                    <w:spacing w:before="0" w:beforeAutospacing="0" w:after="0" w:afterAutospacing="0"/>
                    <w:ind w:left="0" w:right="0"/>
                    <w:jc w:val="center"/>
                    <w:rPr>
                      <w:rFonts w:hint="default" w:ascii="Times New Roman" w:hAnsi="Times New Roman" w:eastAsia="宋体" w:cs="Times New Roman"/>
                      <w:b/>
                      <w:bCs/>
                      <w:color w:val="auto"/>
                      <w:szCs w:val="21"/>
                    </w:rPr>
                  </w:pPr>
                  <w:r>
                    <w:rPr>
                      <w:rFonts w:hint="default" w:ascii="Times New Roman" w:hAnsi="Times New Roman" w:eastAsia="宋体" w:cs="Times New Roman"/>
                      <w:b/>
                      <w:bCs/>
                      <w:color w:val="auto"/>
                      <w:szCs w:val="21"/>
                    </w:rPr>
                    <w:t>序号</w:t>
                  </w:r>
                </w:p>
              </w:tc>
              <w:tc>
                <w:tcPr>
                  <w:tcW w:w="3735" w:type="dxa"/>
                  <w:gridSpan w:val="2"/>
                  <w:vAlign w:val="center"/>
                </w:tcPr>
                <w:p w14:paraId="11FA9668">
                  <w:pPr>
                    <w:pStyle w:val="10"/>
                    <w:keepNext w:val="0"/>
                    <w:keepLines w:val="0"/>
                    <w:suppressLineNumbers w:val="0"/>
                    <w:spacing w:before="0" w:beforeAutospacing="0" w:after="0" w:afterAutospacing="0"/>
                    <w:ind w:left="0" w:right="0"/>
                    <w:jc w:val="center"/>
                    <w:rPr>
                      <w:rFonts w:hint="default" w:ascii="Times New Roman" w:hAnsi="Times New Roman" w:eastAsia="宋体" w:cs="Times New Roman"/>
                      <w:b/>
                      <w:bCs/>
                      <w:color w:val="auto"/>
                      <w:szCs w:val="21"/>
                    </w:rPr>
                  </w:pPr>
                  <w:r>
                    <w:rPr>
                      <w:rFonts w:hint="default" w:ascii="Times New Roman" w:hAnsi="Times New Roman" w:eastAsia="宋体" w:cs="Times New Roman"/>
                      <w:b/>
                      <w:bCs/>
                      <w:color w:val="auto"/>
                      <w:szCs w:val="21"/>
                    </w:rPr>
                    <w:t>投入量（t/a）</w:t>
                  </w:r>
                </w:p>
              </w:tc>
              <w:tc>
                <w:tcPr>
                  <w:tcW w:w="3890" w:type="dxa"/>
                  <w:gridSpan w:val="3"/>
                  <w:vAlign w:val="center"/>
                </w:tcPr>
                <w:p w14:paraId="5568C801">
                  <w:pPr>
                    <w:pStyle w:val="10"/>
                    <w:keepNext w:val="0"/>
                    <w:keepLines w:val="0"/>
                    <w:suppressLineNumbers w:val="0"/>
                    <w:spacing w:before="0" w:beforeAutospacing="0" w:after="0" w:afterAutospacing="0"/>
                    <w:ind w:left="0" w:right="0"/>
                    <w:jc w:val="center"/>
                    <w:rPr>
                      <w:rFonts w:hint="default" w:ascii="Times New Roman" w:hAnsi="Times New Roman" w:eastAsia="宋体" w:cs="Times New Roman"/>
                      <w:b/>
                      <w:bCs/>
                      <w:color w:val="auto"/>
                      <w:szCs w:val="21"/>
                    </w:rPr>
                  </w:pPr>
                  <w:r>
                    <w:rPr>
                      <w:rFonts w:hint="default" w:ascii="Times New Roman" w:hAnsi="Times New Roman" w:eastAsia="宋体" w:cs="Times New Roman"/>
                      <w:b/>
                      <w:bCs/>
                      <w:color w:val="auto"/>
                      <w:szCs w:val="21"/>
                    </w:rPr>
                    <w:t>产出物料（t/a）</w:t>
                  </w:r>
                </w:p>
              </w:tc>
            </w:tr>
            <w:tr w14:paraId="111681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560" w:type="dxa"/>
                  <w:vMerge w:val="continue"/>
                  <w:vAlign w:val="center"/>
                </w:tcPr>
                <w:p w14:paraId="0332DC9B">
                  <w:pPr>
                    <w:keepNext w:val="0"/>
                    <w:keepLines w:val="0"/>
                    <w:suppressLineNumbers w:val="0"/>
                    <w:spacing w:before="0" w:beforeAutospacing="0" w:after="0" w:afterAutospacing="0"/>
                    <w:ind w:left="0" w:right="0"/>
                    <w:jc w:val="center"/>
                    <w:rPr>
                      <w:rFonts w:hint="default" w:ascii="Times New Roman" w:hAnsi="Times New Roman" w:eastAsia="宋体" w:cs="Times New Roman"/>
                      <w:b/>
                      <w:bCs/>
                      <w:color w:val="auto"/>
                      <w:szCs w:val="21"/>
                    </w:rPr>
                  </w:pPr>
                </w:p>
              </w:tc>
              <w:tc>
                <w:tcPr>
                  <w:tcW w:w="1875" w:type="dxa"/>
                  <w:vAlign w:val="center"/>
                </w:tcPr>
                <w:p w14:paraId="5145D1EB">
                  <w:pPr>
                    <w:pStyle w:val="10"/>
                    <w:keepNext w:val="0"/>
                    <w:keepLines w:val="0"/>
                    <w:suppressLineNumbers w:val="0"/>
                    <w:spacing w:before="0" w:beforeAutospacing="0" w:after="0" w:afterAutospacing="0"/>
                    <w:ind w:left="0" w:right="0"/>
                    <w:jc w:val="center"/>
                    <w:rPr>
                      <w:rFonts w:hint="default" w:ascii="Times New Roman" w:hAnsi="Times New Roman" w:eastAsia="宋体" w:cs="Times New Roman"/>
                      <w:b/>
                      <w:bCs/>
                      <w:color w:val="auto"/>
                      <w:szCs w:val="21"/>
                    </w:rPr>
                  </w:pPr>
                  <w:r>
                    <w:rPr>
                      <w:rFonts w:hint="default" w:ascii="Times New Roman" w:hAnsi="Times New Roman" w:eastAsia="宋体" w:cs="Times New Roman"/>
                      <w:b/>
                      <w:bCs/>
                      <w:color w:val="auto"/>
                      <w:szCs w:val="21"/>
                    </w:rPr>
                    <w:t>物料名称</w:t>
                  </w:r>
                </w:p>
              </w:tc>
              <w:tc>
                <w:tcPr>
                  <w:tcW w:w="1860" w:type="dxa"/>
                  <w:vAlign w:val="center"/>
                </w:tcPr>
                <w:p w14:paraId="7E92F345">
                  <w:pPr>
                    <w:pStyle w:val="10"/>
                    <w:keepNext w:val="0"/>
                    <w:keepLines w:val="0"/>
                    <w:suppressLineNumbers w:val="0"/>
                    <w:spacing w:before="0" w:beforeAutospacing="0" w:after="0" w:afterAutospacing="0"/>
                    <w:ind w:left="0" w:right="0"/>
                    <w:jc w:val="center"/>
                    <w:rPr>
                      <w:rFonts w:hint="default" w:ascii="Times New Roman" w:hAnsi="Times New Roman" w:eastAsia="宋体" w:cs="Times New Roman"/>
                      <w:b/>
                      <w:bCs/>
                      <w:color w:val="auto"/>
                      <w:szCs w:val="21"/>
                    </w:rPr>
                  </w:pPr>
                  <w:r>
                    <w:rPr>
                      <w:rFonts w:hint="default" w:ascii="Times New Roman" w:hAnsi="Times New Roman" w:eastAsia="宋体" w:cs="Times New Roman"/>
                      <w:b/>
                      <w:bCs/>
                      <w:color w:val="auto"/>
                      <w:szCs w:val="21"/>
                    </w:rPr>
                    <w:t>投入量</w:t>
                  </w:r>
                </w:p>
              </w:tc>
              <w:tc>
                <w:tcPr>
                  <w:tcW w:w="2686" w:type="dxa"/>
                  <w:gridSpan w:val="2"/>
                  <w:vAlign w:val="center"/>
                </w:tcPr>
                <w:p w14:paraId="668B992C">
                  <w:pPr>
                    <w:pStyle w:val="10"/>
                    <w:keepNext w:val="0"/>
                    <w:keepLines w:val="0"/>
                    <w:suppressLineNumbers w:val="0"/>
                    <w:spacing w:before="0" w:beforeAutospacing="0" w:after="0" w:afterAutospacing="0"/>
                    <w:ind w:left="0" w:right="0"/>
                    <w:jc w:val="center"/>
                    <w:rPr>
                      <w:rFonts w:hint="default" w:ascii="Times New Roman" w:hAnsi="Times New Roman" w:eastAsia="宋体" w:cs="Times New Roman"/>
                      <w:b/>
                      <w:bCs/>
                      <w:color w:val="auto"/>
                      <w:szCs w:val="21"/>
                    </w:rPr>
                  </w:pPr>
                  <w:r>
                    <w:rPr>
                      <w:rFonts w:hint="default" w:ascii="Times New Roman" w:hAnsi="Times New Roman" w:eastAsia="宋体" w:cs="Times New Roman"/>
                      <w:b/>
                      <w:bCs/>
                      <w:color w:val="auto"/>
                      <w:szCs w:val="21"/>
                    </w:rPr>
                    <w:t>物料名称</w:t>
                  </w:r>
                </w:p>
              </w:tc>
              <w:tc>
                <w:tcPr>
                  <w:tcW w:w="1204" w:type="dxa"/>
                  <w:vAlign w:val="center"/>
                </w:tcPr>
                <w:p w14:paraId="1480179C">
                  <w:pPr>
                    <w:pStyle w:val="10"/>
                    <w:keepNext w:val="0"/>
                    <w:keepLines w:val="0"/>
                    <w:suppressLineNumbers w:val="0"/>
                    <w:spacing w:before="0" w:beforeAutospacing="0" w:after="0" w:afterAutospacing="0"/>
                    <w:ind w:left="0" w:right="0"/>
                    <w:jc w:val="center"/>
                    <w:rPr>
                      <w:rFonts w:hint="default" w:ascii="Times New Roman" w:hAnsi="Times New Roman" w:eastAsia="宋体" w:cs="Times New Roman"/>
                      <w:b/>
                      <w:bCs/>
                      <w:color w:val="auto"/>
                      <w:szCs w:val="21"/>
                    </w:rPr>
                  </w:pPr>
                  <w:r>
                    <w:rPr>
                      <w:rFonts w:hint="default" w:ascii="Times New Roman" w:hAnsi="Times New Roman" w:eastAsia="宋体" w:cs="Times New Roman"/>
                      <w:b/>
                      <w:bCs/>
                      <w:color w:val="auto"/>
                      <w:szCs w:val="21"/>
                    </w:rPr>
                    <w:t>产出量</w:t>
                  </w:r>
                </w:p>
              </w:tc>
            </w:tr>
            <w:tr w14:paraId="15F809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560" w:type="dxa"/>
                  <w:vAlign w:val="center"/>
                </w:tcPr>
                <w:p w14:paraId="276D570D">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rPr>
                    <w:t>1</w:t>
                  </w:r>
                </w:p>
              </w:tc>
              <w:tc>
                <w:tcPr>
                  <w:tcW w:w="1875" w:type="dxa"/>
                  <w:shd w:val="clear" w:color="auto" w:fill="auto"/>
                  <w:vAlign w:val="center"/>
                </w:tcPr>
                <w:p w14:paraId="28B16325">
                  <w:pPr>
                    <w:keepNext w:val="0"/>
                    <w:keepLines w:val="0"/>
                    <w:widowControl w:val="0"/>
                    <w:suppressLineNumbers w:val="0"/>
                    <w:spacing w:before="0" w:beforeAutospacing="0" w:after="0" w:afterAutospacing="0"/>
                    <w:ind w:left="0" w:leftChars="0" w:right="0" w:rightChars="0"/>
                    <w:jc w:val="center"/>
                    <w:rPr>
                      <w:rFonts w:hint="default" w:ascii="Times New Roman" w:hAnsi="Times New Roman" w:eastAsia="宋体" w:cs="Times New Roman"/>
                      <w:color w:val="auto"/>
                      <w:kern w:val="2"/>
                      <w:sz w:val="21"/>
                      <w:szCs w:val="21"/>
                      <w:lang w:val="en-US" w:eastAsia="zh-CN" w:bidi="ar-SA"/>
                    </w:rPr>
                  </w:pPr>
                  <w:r>
                    <w:rPr>
                      <w:rFonts w:hint="default" w:ascii="Times New Roman" w:hAnsi="Times New Roman" w:eastAsia="宋体" w:cs="Times New Roman"/>
                      <w:color w:val="auto"/>
                      <w:kern w:val="2"/>
                      <w:sz w:val="21"/>
                      <w:szCs w:val="21"/>
                      <w:lang w:val="en-US" w:eastAsia="zh-CN" w:bidi="ar"/>
                    </w:rPr>
                    <w:t>陶瓷基料混合物</w:t>
                  </w:r>
                </w:p>
              </w:tc>
              <w:tc>
                <w:tcPr>
                  <w:tcW w:w="1860" w:type="dxa"/>
                  <w:vAlign w:val="center"/>
                </w:tcPr>
                <w:p w14:paraId="3835389E">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lang w:val="en-US" w:eastAsia="zh-CN"/>
                    </w:rPr>
                  </w:pPr>
                  <w:r>
                    <w:rPr>
                      <w:rFonts w:hint="eastAsia" w:ascii="Times New Roman" w:hAnsi="Times New Roman" w:eastAsia="宋体" w:cs="Times New Roman"/>
                      <w:color w:val="0000E1"/>
                      <w:szCs w:val="21"/>
                      <w:lang w:val="en-US" w:eastAsia="zh-CN"/>
                    </w:rPr>
                    <w:t>11771.25</w:t>
                  </w:r>
                </w:p>
              </w:tc>
              <w:tc>
                <w:tcPr>
                  <w:tcW w:w="1141" w:type="dxa"/>
                  <w:vAlign w:val="center"/>
                </w:tcPr>
                <w:p w14:paraId="6CC9C563">
                  <w:pPr>
                    <w:pStyle w:val="10"/>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rPr>
                    <w:t>产品</w:t>
                  </w:r>
                </w:p>
              </w:tc>
              <w:tc>
                <w:tcPr>
                  <w:tcW w:w="1545" w:type="dxa"/>
                  <w:vAlign w:val="center"/>
                </w:tcPr>
                <w:p w14:paraId="13A64574">
                  <w:pPr>
                    <w:pStyle w:val="10"/>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rPr>
                    <w:t>第二代动力电池高安全陶瓷化复合隔膜</w:t>
                  </w:r>
                </w:p>
              </w:tc>
              <w:tc>
                <w:tcPr>
                  <w:tcW w:w="1204" w:type="dxa"/>
                  <w:vAlign w:val="center"/>
                </w:tcPr>
                <w:p w14:paraId="6CC32890">
                  <w:pPr>
                    <w:pStyle w:val="10"/>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r>
                    <w:rPr>
                      <w:rFonts w:hint="eastAsia" w:ascii="Times New Roman" w:hAnsi="Times New Roman" w:eastAsia="宋体" w:cs="Times New Roman"/>
                      <w:color w:val="auto"/>
                      <w:szCs w:val="21"/>
                    </w:rPr>
                    <w:t>9000</w:t>
                  </w:r>
                </w:p>
              </w:tc>
            </w:tr>
            <w:tr w14:paraId="10A088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560" w:type="dxa"/>
                  <w:shd w:val="clear" w:color="auto" w:fill="auto"/>
                  <w:vAlign w:val="center"/>
                </w:tcPr>
                <w:p w14:paraId="68BBB974">
                  <w:pPr>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color w:val="auto"/>
                      <w:kern w:val="2"/>
                      <w:sz w:val="21"/>
                      <w:szCs w:val="21"/>
                      <w:lang w:val="en-US" w:eastAsia="zh-CN" w:bidi="ar-SA"/>
                    </w:rPr>
                  </w:pPr>
                  <w:r>
                    <w:rPr>
                      <w:rFonts w:hint="default" w:ascii="Times New Roman" w:hAnsi="Times New Roman" w:eastAsia="宋体" w:cs="Times New Roman"/>
                      <w:color w:val="auto"/>
                      <w:szCs w:val="21"/>
                    </w:rPr>
                    <w:t>2</w:t>
                  </w:r>
                </w:p>
              </w:tc>
              <w:tc>
                <w:tcPr>
                  <w:tcW w:w="1875" w:type="dxa"/>
                  <w:shd w:val="clear" w:color="auto" w:fill="auto"/>
                  <w:vAlign w:val="center"/>
                </w:tcPr>
                <w:p w14:paraId="40AD908A">
                  <w:pPr>
                    <w:keepNext w:val="0"/>
                    <w:keepLines w:val="0"/>
                    <w:widowControl w:val="0"/>
                    <w:suppressLineNumbers w:val="0"/>
                    <w:spacing w:before="0" w:beforeAutospacing="0" w:after="0" w:afterAutospacing="0"/>
                    <w:ind w:left="0" w:leftChars="0" w:right="0" w:rightChars="0"/>
                    <w:jc w:val="center"/>
                    <w:rPr>
                      <w:rFonts w:hint="default" w:ascii="Times New Roman" w:hAnsi="Times New Roman" w:eastAsia="宋体" w:cs="Times New Roman"/>
                      <w:color w:val="auto"/>
                      <w:kern w:val="2"/>
                      <w:sz w:val="21"/>
                      <w:szCs w:val="21"/>
                      <w:lang w:val="en-US" w:eastAsia="zh-CN" w:bidi="ar"/>
                    </w:rPr>
                  </w:pPr>
                  <w:r>
                    <w:rPr>
                      <w:rFonts w:hint="default" w:ascii="Times New Roman" w:hAnsi="Times New Roman" w:eastAsia="宋体" w:cs="Times New Roman"/>
                      <w:color w:val="auto"/>
                      <w:kern w:val="2"/>
                      <w:sz w:val="21"/>
                      <w:szCs w:val="21"/>
                      <w:lang w:val="en-US" w:eastAsia="zh-CN" w:bidi="ar"/>
                    </w:rPr>
                    <w:t>PET膜</w:t>
                  </w:r>
                </w:p>
              </w:tc>
              <w:tc>
                <w:tcPr>
                  <w:tcW w:w="1860" w:type="dxa"/>
                  <w:vAlign w:val="center"/>
                </w:tcPr>
                <w:p w14:paraId="11EC75E2">
                  <w:pPr>
                    <w:keepNext w:val="0"/>
                    <w:keepLines w:val="0"/>
                    <w:suppressLineNumbers w:val="0"/>
                    <w:spacing w:before="0" w:beforeAutospacing="0" w:after="0" w:afterAutospacing="0"/>
                    <w:ind w:left="0" w:right="0"/>
                    <w:jc w:val="center"/>
                    <w:rPr>
                      <w:rFonts w:hint="eastAsia" w:ascii="Times New Roman" w:hAnsi="Times New Roman" w:eastAsia="宋体" w:cs="Times New Roman"/>
                      <w:color w:val="auto"/>
                      <w:szCs w:val="21"/>
                      <w:lang w:val="en-US" w:eastAsia="zh-CN"/>
                    </w:rPr>
                  </w:pPr>
                  <w:r>
                    <w:rPr>
                      <w:rFonts w:hint="eastAsia" w:ascii="Times New Roman" w:hAnsi="Times New Roman" w:eastAsia="宋体" w:cs="Times New Roman"/>
                      <w:color w:val="auto"/>
                      <w:szCs w:val="21"/>
                      <w:lang w:val="en-US" w:eastAsia="zh-CN"/>
                    </w:rPr>
                    <w:t>500万m</w:t>
                  </w:r>
                  <w:r>
                    <w:rPr>
                      <w:rFonts w:hint="eastAsia" w:ascii="Times New Roman" w:hAnsi="Times New Roman" w:eastAsia="宋体" w:cs="Times New Roman"/>
                      <w:color w:val="auto"/>
                      <w:szCs w:val="21"/>
                      <w:vertAlign w:val="superscript"/>
                      <w:lang w:val="en-US" w:eastAsia="zh-CN"/>
                    </w:rPr>
                    <w:t>2</w:t>
                  </w:r>
                </w:p>
                <w:p w14:paraId="1A5F114B">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lang w:val="en-US" w:eastAsia="zh-CN"/>
                    </w:rPr>
                  </w:pPr>
                  <w:r>
                    <w:rPr>
                      <w:rFonts w:hint="eastAsia" w:ascii="Times New Roman" w:hAnsi="Times New Roman" w:eastAsia="宋体" w:cs="Times New Roman"/>
                      <w:color w:val="0000E1"/>
                      <w:szCs w:val="21"/>
                      <w:lang w:val="en-US" w:eastAsia="zh-CN"/>
                    </w:rPr>
                    <w:t>（517.5t）</w:t>
                  </w:r>
                </w:p>
              </w:tc>
              <w:tc>
                <w:tcPr>
                  <w:tcW w:w="1141" w:type="dxa"/>
                  <w:vAlign w:val="center"/>
                </w:tcPr>
                <w:p w14:paraId="4C80469C">
                  <w:pPr>
                    <w:pStyle w:val="10"/>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rPr>
                    <w:t>固化废气</w:t>
                  </w:r>
                </w:p>
              </w:tc>
              <w:tc>
                <w:tcPr>
                  <w:tcW w:w="1545" w:type="dxa"/>
                  <w:vAlign w:val="center"/>
                </w:tcPr>
                <w:p w14:paraId="50057A4E">
                  <w:pPr>
                    <w:pStyle w:val="10"/>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lang w:val="en-US" w:eastAsia="zh-CN"/>
                    </w:rPr>
                  </w:pPr>
                  <w:r>
                    <w:rPr>
                      <w:rFonts w:hint="default" w:ascii="Times New Roman" w:hAnsi="Times New Roman" w:eastAsia="宋体" w:cs="Times New Roman"/>
                      <w:color w:val="auto"/>
                      <w:szCs w:val="21"/>
                    </w:rPr>
                    <w:t>非甲烷总烃</w:t>
                  </w:r>
                  <w:r>
                    <w:rPr>
                      <w:rFonts w:hint="eastAsia" w:ascii="Times New Roman" w:hAnsi="Times New Roman" w:eastAsia="宋体" w:cs="Times New Roman"/>
                      <w:color w:val="auto"/>
                      <w:szCs w:val="21"/>
                      <w:lang w:eastAsia="zh-CN"/>
                    </w:rPr>
                    <w:t>、</w:t>
                  </w:r>
                  <w:r>
                    <w:rPr>
                      <w:rFonts w:hint="eastAsia" w:ascii="Times New Roman" w:hAnsi="Times New Roman" w:eastAsia="宋体" w:cs="Times New Roman"/>
                      <w:color w:val="auto"/>
                      <w:szCs w:val="21"/>
                      <w:lang w:val="en-US" w:eastAsia="zh-CN"/>
                    </w:rPr>
                    <w:t>臭气浓度</w:t>
                  </w:r>
                </w:p>
              </w:tc>
              <w:tc>
                <w:tcPr>
                  <w:tcW w:w="1204" w:type="dxa"/>
                  <w:vAlign w:val="center"/>
                </w:tcPr>
                <w:p w14:paraId="72CF5284">
                  <w:pPr>
                    <w:pStyle w:val="10"/>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lang w:val="en-US" w:eastAsia="zh-CN"/>
                    </w:rPr>
                  </w:pPr>
                  <w:r>
                    <w:rPr>
                      <w:rFonts w:hint="eastAsia" w:ascii="Times New Roman" w:hAnsi="Times New Roman" w:eastAsia="宋体" w:cs="Times New Roman"/>
                      <w:color w:val="0000E1"/>
                      <w:szCs w:val="21"/>
                      <w:lang w:val="en-US" w:eastAsia="zh-CN"/>
                    </w:rPr>
                    <w:t>2.704</w:t>
                  </w:r>
                </w:p>
              </w:tc>
            </w:tr>
            <w:tr w14:paraId="090504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560" w:type="dxa"/>
                  <w:shd w:val="clear" w:color="auto" w:fill="auto"/>
                  <w:vAlign w:val="center"/>
                </w:tcPr>
                <w:p w14:paraId="67994615">
                  <w:pPr>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color w:val="auto"/>
                      <w:kern w:val="2"/>
                      <w:sz w:val="21"/>
                      <w:szCs w:val="21"/>
                      <w:lang w:val="en-US" w:eastAsia="zh-CN" w:bidi="ar-SA"/>
                    </w:rPr>
                  </w:pPr>
                  <w:r>
                    <w:rPr>
                      <w:rFonts w:hint="default" w:ascii="Times New Roman" w:hAnsi="Times New Roman" w:eastAsia="宋体" w:cs="Times New Roman"/>
                      <w:color w:val="auto"/>
                      <w:szCs w:val="21"/>
                    </w:rPr>
                    <w:t>3</w:t>
                  </w:r>
                </w:p>
              </w:tc>
              <w:tc>
                <w:tcPr>
                  <w:tcW w:w="1875" w:type="dxa"/>
                  <w:shd w:val="clear" w:color="auto" w:fill="auto"/>
                  <w:vAlign w:val="center"/>
                </w:tcPr>
                <w:p w14:paraId="7E2291F4">
                  <w:pPr>
                    <w:keepNext w:val="0"/>
                    <w:keepLines w:val="0"/>
                    <w:widowControl w:val="0"/>
                    <w:suppressLineNumbers w:val="0"/>
                    <w:spacing w:before="0" w:beforeAutospacing="0" w:after="0" w:afterAutospacing="0"/>
                    <w:ind w:left="0" w:leftChars="0" w:right="0" w:rightChars="0"/>
                    <w:jc w:val="center"/>
                    <w:rPr>
                      <w:rFonts w:hint="default" w:ascii="Times New Roman" w:hAnsi="Times New Roman" w:eastAsia="宋体" w:cs="Times New Roman"/>
                      <w:color w:val="auto"/>
                      <w:kern w:val="2"/>
                      <w:sz w:val="21"/>
                      <w:szCs w:val="21"/>
                      <w:lang w:val="en-US" w:eastAsia="zh-CN" w:bidi="ar-SA"/>
                    </w:rPr>
                  </w:pPr>
                  <w:r>
                    <w:rPr>
                      <w:rFonts w:hint="default" w:ascii="Times New Roman" w:hAnsi="Times New Roman" w:eastAsia="宋体" w:cs="Times New Roman"/>
                      <w:color w:val="auto"/>
                      <w:kern w:val="2"/>
                      <w:sz w:val="21"/>
                      <w:szCs w:val="21"/>
                      <w:lang w:val="en-US" w:eastAsia="zh-CN" w:bidi="ar"/>
                    </w:rPr>
                    <w:t>玻纤布</w:t>
                  </w:r>
                </w:p>
              </w:tc>
              <w:tc>
                <w:tcPr>
                  <w:tcW w:w="1860" w:type="dxa"/>
                  <w:vAlign w:val="center"/>
                </w:tcPr>
                <w:p w14:paraId="0F46474A">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r>
                    <w:rPr>
                      <w:rFonts w:hint="eastAsia" w:ascii="Times New Roman" w:hAnsi="Times New Roman" w:eastAsia="宋体" w:cs="Times New Roman"/>
                      <w:color w:val="auto"/>
                      <w:szCs w:val="21"/>
                      <w:lang w:val="en-US" w:eastAsia="zh-CN"/>
                    </w:rPr>
                    <w:t>300</w:t>
                  </w:r>
                  <w:r>
                    <w:rPr>
                      <w:rFonts w:hint="default" w:ascii="Times New Roman" w:hAnsi="Times New Roman" w:eastAsia="宋体" w:cs="Times New Roman"/>
                      <w:color w:val="auto"/>
                      <w:szCs w:val="21"/>
                    </w:rPr>
                    <w:t>万m</w:t>
                  </w:r>
                  <w:r>
                    <w:rPr>
                      <w:rFonts w:hint="default" w:ascii="Times New Roman" w:hAnsi="Times New Roman" w:eastAsia="宋体" w:cs="Times New Roman"/>
                      <w:color w:val="auto"/>
                      <w:szCs w:val="21"/>
                      <w:vertAlign w:val="superscript"/>
                    </w:rPr>
                    <w:t>2</w:t>
                  </w:r>
                  <w:r>
                    <w:rPr>
                      <w:rFonts w:hint="default" w:ascii="Times New Roman" w:hAnsi="Times New Roman" w:eastAsia="宋体" w:cs="Times New Roman"/>
                      <w:color w:val="auto"/>
                      <w:szCs w:val="21"/>
                    </w:rPr>
                    <w:t>（</w:t>
                  </w:r>
                  <w:r>
                    <w:rPr>
                      <w:rFonts w:hint="eastAsia" w:ascii="Times New Roman" w:hAnsi="Times New Roman" w:eastAsia="宋体" w:cs="Times New Roman"/>
                      <w:color w:val="auto"/>
                      <w:szCs w:val="21"/>
                      <w:lang w:val="en-US" w:eastAsia="zh-CN"/>
                    </w:rPr>
                    <w:t>3180</w:t>
                  </w:r>
                  <w:r>
                    <w:rPr>
                      <w:rFonts w:hint="default" w:ascii="Times New Roman" w:hAnsi="Times New Roman" w:eastAsia="宋体" w:cs="Times New Roman"/>
                      <w:color w:val="auto"/>
                      <w:szCs w:val="21"/>
                    </w:rPr>
                    <w:t>t）</w:t>
                  </w:r>
                </w:p>
              </w:tc>
              <w:tc>
                <w:tcPr>
                  <w:tcW w:w="1141" w:type="dxa"/>
                  <w:vAlign w:val="center"/>
                </w:tcPr>
                <w:p w14:paraId="162988EC">
                  <w:pPr>
                    <w:pStyle w:val="10"/>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rPr>
                    <w:t>背胶废气</w:t>
                  </w:r>
                </w:p>
              </w:tc>
              <w:tc>
                <w:tcPr>
                  <w:tcW w:w="1545" w:type="dxa"/>
                  <w:vAlign w:val="center"/>
                </w:tcPr>
                <w:p w14:paraId="52769190">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rPr>
                    <w:t>非甲烷总烃</w:t>
                  </w:r>
                  <w:r>
                    <w:rPr>
                      <w:rFonts w:hint="eastAsia" w:ascii="Times New Roman" w:hAnsi="Times New Roman" w:eastAsia="宋体" w:cs="Times New Roman"/>
                      <w:color w:val="auto"/>
                      <w:szCs w:val="21"/>
                      <w:lang w:eastAsia="zh-CN"/>
                    </w:rPr>
                    <w:t>、</w:t>
                  </w:r>
                  <w:r>
                    <w:rPr>
                      <w:rFonts w:hint="eastAsia" w:ascii="Times New Roman" w:hAnsi="Times New Roman" w:eastAsia="宋体" w:cs="Times New Roman"/>
                      <w:color w:val="auto"/>
                      <w:szCs w:val="21"/>
                      <w:lang w:val="en-US" w:eastAsia="zh-CN"/>
                    </w:rPr>
                    <w:t>臭气浓度</w:t>
                  </w:r>
                </w:p>
              </w:tc>
              <w:tc>
                <w:tcPr>
                  <w:tcW w:w="1204" w:type="dxa"/>
                  <w:vAlign w:val="center"/>
                </w:tcPr>
                <w:p w14:paraId="29BB1443">
                  <w:pPr>
                    <w:pStyle w:val="10"/>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lang w:val="en-US" w:eastAsia="zh-CN"/>
                    </w:rPr>
                  </w:pPr>
                  <w:r>
                    <w:rPr>
                      <w:rFonts w:hint="eastAsia" w:ascii="Times New Roman" w:hAnsi="Times New Roman" w:eastAsia="宋体" w:cs="Times New Roman"/>
                      <w:color w:val="auto"/>
                      <w:szCs w:val="21"/>
                      <w:lang w:val="en-US" w:eastAsia="zh-CN"/>
                    </w:rPr>
                    <w:t>0.017</w:t>
                  </w:r>
                </w:p>
              </w:tc>
            </w:tr>
            <w:tr w14:paraId="6732F4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560" w:type="dxa"/>
                  <w:shd w:val="clear" w:color="auto" w:fill="auto"/>
                  <w:vAlign w:val="center"/>
                </w:tcPr>
                <w:p w14:paraId="1A0ECA78">
                  <w:pPr>
                    <w:keepNext w:val="0"/>
                    <w:keepLines w:val="0"/>
                    <w:suppressLineNumbers w:val="0"/>
                    <w:spacing w:before="0" w:beforeAutospacing="0" w:after="0" w:afterAutospacing="0"/>
                    <w:ind w:left="0" w:leftChars="0" w:right="0" w:rightChars="0"/>
                    <w:jc w:val="center"/>
                    <w:rPr>
                      <w:rFonts w:hint="eastAsia" w:ascii="Times New Roman" w:hAnsi="Times New Roman" w:eastAsia="宋体" w:cs="Times New Roman"/>
                      <w:color w:val="auto"/>
                      <w:szCs w:val="21"/>
                      <w:lang w:val="en-US" w:eastAsia="zh-CN"/>
                    </w:rPr>
                  </w:pPr>
                  <w:r>
                    <w:rPr>
                      <w:rFonts w:hint="eastAsia" w:ascii="Times New Roman" w:hAnsi="Times New Roman" w:eastAsia="宋体" w:cs="Times New Roman"/>
                      <w:color w:val="auto"/>
                      <w:szCs w:val="21"/>
                      <w:lang w:val="en-US" w:eastAsia="zh-CN"/>
                    </w:rPr>
                    <w:t>4</w:t>
                  </w:r>
                </w:p>
              </w:tc>
              <w:tc>
                <w:tcPr>
                  <w:tcW w:w="1875" w:type="dxa"/>
                  <w:shd w:val="clear" w:color="auto" w:fill="auto"/>
                  <w:vAlign w:val="center"/>
                </w:tcPr>
                <w:p w14:paraId="3D849535">
                  <w:pPr>
                    <w:keepNext w:val="0"/>
                    <w:keepLines w:val="0"/>
                    <w:widowControl w:val="0"/>
                    <w:suppressLineNumbers w:val="0"/>
                    <w:spacing w:before="0" w:beforeAutospacing="0" w:after="0" w:afterAutospacing="0"/>
                    <w:ind w:left="0" w:leftChars="0" w:right="0" w:rightChars="0"/>
                    <w:jc w:val="center"/>
                    <w:rPr>
                      <w:rFonts w:hint="default" w:ascii="Times New Roman" w:hAnsi="Times New Roman" w:eastAsia="宋体" w:cs="Times New Roman"/>
                      <w:color w:val="auto"/>
                      <w:kern w:val="2"/>
                      <w:sz w:val="21"/>
                      <w:szCs w:val="21"/>
                      <w:lang w:val="en-US" w:eastAsia="zh-CN" w:bidi="ar-SA"/>
                    </w:rPr>
                  </w:pPr>
                  <w:r>
                    <w:rPr>
                      <w:rFonts w:hint="default" w:ascii="Times New Roman" w:hAnsi="Times New Roman" w:eastAsia="宋体" w:cs="Times New Roman"/>
                      <w:color w:val="auto"/>
                      <w:kern w:val="2"/>
                      <w:sz w:val="21"/>
                      <w:szCs w:val="21"/>
                      <w:lang w:val="en-US" w:eastAsia="zh-CN" w:bidi="ar"/>
                    </w:rPr>
                    <w:t>背胶处理剂</w:t>
                  </w:r>
                </w:p>
              </w:tc>
              <w:tc>
                <w:tcPr>
                  <w:tcW w:w="1860" w:type="dxa"/>
                  <w:shd w:val="clear" w:color="auto" w:fill="auto"/>
                  <w:vAlign w:val="center"/>
                </w:tcPr>
                <w:p w14:paraId="22E387E5">
                  <w:pPr>
                    <w:keepNext w:val="0"/>
                    <w:keepLines w:val="0"/>
                    <w:suppressLineNumbers w:val="0"/>
                    <w:spacing w:before="0" w:beforeAutospacing="0" w:after="0" w:afterAutospacing="0"/>
                    <w:ind w:left="0" w:leftChars="0" w:right="0" w:rightChars="0"/>
                    <w:jc w:val="center"/>
                    <w:rPr>
                      <w:rFonts w:hint="eastAsia" w:ascii="Times New Roman" w:hAnsi="Times New Roman" w:eastAsia="宋体" w:cs="Times New Roman"/>
                      <w:color w:val="auto"/>
                      <w:kern w:val="2"/>
                      <w:sz w:val="21"/>
                      <w:szCs w:val="21"/>
                      <w:lang w:val="en-US" w:eastAsia="zh-CN" w:bidi="ar-SA"/>
                    </w:rPr>
                  </w:pPr>
                  <w:r>
                    <w:rPr>
                      <w:rFonts w:hint="eastAsia" w:ascii="Times New Roman" w:hAnsi="Times New Roman" w:eastAsia="宋体" w:cs="Times New Roman"/>
                      <w:color w:val="auto"/>
                      <w:szCs w:val="21"/>
                      <w:lang w:val="en-US" w:eastAsia="zh-CN"/>
                    </w:rPr>
                    <w:t>0.49</w:t>
                  </w:r>
                </w:p>
              </w:tc>
              <w:tc>
                <w:tcPr>
                  <w:tcW w:w="1141" w:type="dxa"/>
                  <w:vAlign w:val="center"/>
                </w:tcPr>
                <w:p w14:paraId="024BEB96">
                  <w:pPr>
                    <w:pStyle w:val="10"/>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rPr>
                    <w:t>贴合废气</w:t>
                  </w:r>
                </w:p>
              </w:tc>
              <w:tc>
                <w:tcPr>
                  <w:tcW w:w="1545" w:type="dxa"/>
                  <w:vAlign w:val="center"/>
                </w:tcPr>
                <w:p w14:paraId="6AB3F274">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rPr>
                    <w:t>非甲烷总烃</w:t>
                  </w:r>
                  <w:r>
                    <w:rPr>
                      <w:rFonts w:hint="eastAsia" w:ascii="Times New Roman" w:hAnsi="Times New Roman" w:eastAsia="宋体" w:cs="Times New Roman"/>
                      <w:color w:val="auto"/>
                      <w:szCs w:val="21"/>
                      <w:lang w:eastAsia="zh-CN"/>
                    </w:rPr>
                    <w:t>、</w:t>
                  </w:r>
                  <w:r>
                    <w:rPr>
                      <w:rFonts w:hint="eastAsia" w:ascii="Times New Roman" w:hAnsi="Times New Roman" w:eastAsia="宋体" w:cs="Times New Roman"/>
                      <w:color w:val="auto"/>
                      <w:szCs w:val="21"/>
                      <w:lang w:val="en-US" w:eastAsia="zh-CN"/>
                    </w:rPr>
                    <w:t>臭气浓度</w:t>
                  </w:r>
                </w:p>
              </w:tc>
              <w:tc>
                <w:tcPr>
                  <w:tcW w:w="1204" w:type="dxa"/>
                  <w:vAlign w:val="center"/>
                </w:tcPr>
                <w:p w14:paraId="07192CE3">
                  <w:pPr>
                    <w:pStyle w:val="10"/>
                    <w:keepNext w:val="0"/>
                    <w:keepLines w:val="0"/>
                    <w:suppressLineNumbers w:val="0"/>
                    <w:spacing w:before="0" w:beforeAutospacing="0" w:after="0" w:afterAutospacing="0"/>
                    <w:ind w:left="0" w:right="0"/>
                    <w:jc w:val="center"/>
                    <w:rPr>
                      <w:rFonts w:hint="eastAsia" w:ascii="Times New Roman" w:hAnsi="Times New Roman" w:eastAsia="宋体" w:cs="Times New Roman"/>
                      <w:color w:val="auto"/>
                      <w:szCs w:val="21"/>
                      <w:lang w:val="en-US" w:eastAsia="zh-CN"/>
                    </w:rPr>
                  </w:pPr>
                  <w:r>
                    <w:rPr>
                      <w:rFonts w:hint="eastAsia" w:ascii="Times New Roman" w:hAnsi="Times New Roman" w:eastAsia="宋体" w:cs="Times New Roman"/>
                      <w:color w:val="auto"/>
                      <w:szCs w:val="21"/>
                      <w:lang w:val="en-US" w:eastAsia="zh-CN"/>
                    </w:rPr>
                    <w:t>/</w:t>
                  </w:r>
                </w:p>
              </w:tc>
            </w:tr>
            <w:tr w14:paraId="3447F8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9" w:hRule="atLeast"/>
                <w:jc w:val="center"/>
              </w:trPr>
              <w:tc>
                <w:tcPr>
                  <w:tcW w:w="560" w:type="dxa"/>
                  <w:shd w:val="clear" w:color="auto" w:fill="auto"/>
                  <w:vAlign w:val="center"/>
                </w:tcPr>
                <w:p w14:paraId="7A8942FA">
                  <w:pPr>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color w:val="auto"/>
                      <w:kern w:val="2"/>
                      <w:sz w:val="21"/>
                      <w:szCs w:val="21"/>
                      <w:lang w:val="en-US" w:eastAsia="zh-CN" w:bidi="ar-SA"/>
                    </w:rPr>
                  </w:pPr>
                  <w:r>
                    <w:rPr>
                      <w:rFonts w:hint="default" w:ascii="Times New Roman" w:hAnsi="Times New Roman" w:eastAsia="宋体" w:cs="Times New Roman"/>
                      <w:color w:val="auto"/>
                      <w:szCs w:val="21"/>
                    </w:rPr>
                    <w:t>5</w:t>
                  </w:r>
                </w:p>
              </w:tc>
              <w:tc>
                <w:tcPr>
                  <w:tcW w:w="1875" w:type="dxa"/>
                  <w:shd w:val="clear" w:color="auto" w:fill="auto"/>
                  <w:vAlign w:val="center"/>
                </w:tcPr>
                <w:p w14:paraId="7EDB766A">
                  <w:pPr>
                    <w:keepNext w:val="0"/>
                    <w:keepLines w:val="0"/>
                    <w:widowControl w:val="0"/>
                    <w:suppressLineNumbers w:val="0"/>
                    <w:spacing w:before="0" w:beforeAutospacing="0" w:after="0" w:afterAutospacing="0"/>
                    <w:ind w:left="0" w:leftChars="0" w:right="0" w:rightChars="0"/>
                    <w:jc w:val="center"/>
                    <w:rPr>
                      <w:rFonts w:hint="default" w:ascii="Times New Roman" w:hAnsi="Times New Roman" w:eastAsia="宋体" w:cs="Times New Roman"/>
                      <w:color w:val="auto"/>
                      <w:kern w:val="2"/>
                      <w:sz w:val="21"/>
                      <w:szCs w:val="21"/>
                      <w:lang w:val="en-US" w:eastAsia="zh-CN" w:bidi="ar-SA"/>
                    </w:rPr>
                  </w:pPr>
                </w:p>
              </w:tc>
              <w:tc>
                <w:tcPr>
                  <w:tcW w:w="1860" w:type="dxa"/>
                  <w:vAlign w:val="center"/>
                </w:tcPr>
                <w:p w14:paraId="445ABB9D">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p>
              </w:tc>
              <w:tc>
                <w:tcPr>
                  <w:tcW w:w="1141" w:type="dxa"/>
                  <w:vMerge w:val="restart"/>
                  <w:vAlign w:val="center"/>
                </w:tcPr>
                <w:p w14:paraId="67DC60A8">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rPr>
                    <w:t>固废</w:t>
                  </w:r>
                </w:p>
              </w:tc>
              <w:tc>
                <w:tcPr>
                  <w:tcW w:w="1545" w:type="dxa"/>
                  <w:vAlign w:val="center"/>
                </w:tcPr>
                <w:p w14:paraId="0C74F915">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rPr>
                    <w:t>废pet膜</w:t>
                  </w:r>
                </w:p>
              </w:tc>
              <w:tc>
                <w:tcPr>
                  <w:tcW w:w="1204" w:type="dxa"/>
                  <w:vAlign w:val="center"/>
                </w:tcPr>
                <w:p w14:paraId="7E844B41">
                  <w:pPr>
                    <w:pStyle w:val="10"/>
                    <w:keepNext w:val="0"/>
                    <w:keepLines w:val="0"/>
                    <w:suppressLineNumbers w:val="0"/>
                    <w:spacing w:before="0" w:beforeAutospacing="0" w:after="0" w:afterAutospacing="0"/>
                    <w:ind w:left="0" w:right="0"/>
                    <w:jc w:val="center"/>
                    <w:rPr>
                      <w:rFonts w:hint="default" w:ascii="Times New Roman" w:hAnsi="Times New Roman" w:eastAsia="宋体" w:cs="Times New Roman"/>
                      <w:color w:val="0000E1"/>
                      <w:szCs w:val="21"/>
                      <w:lang w:val="en-US" w:eastAsia="zh-CN"/>
                    </w:rPr>
                  </w:pPr>
                  <w:r>
                    <w:rPr>
                      <w:rFonts w:hint="eastAsia" w:ascii="Times New Roman" w:hAnsi="Times New Roman" w:eastAsia="宋体" w:cs="Times New Roman"/>
                      <w:color w:val="0000E1"/>
                      <w:szCs w:val="21"/>
                      <w:lang w:val="en-US" w:eastAsia="zh-CN"/>
                    </w:rPr>
                    <w:t>517.386</w:t>
                  </w:r>
                </w:p>
              </w:tc>
            </w:tr>
            <w:tr w14:paraId="733207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560" w:type="dxa"/>
                  <w:shd w:val="clear" w:color="auto" w:fill="auto"/>
                  <w:vAlign w:val="center"/>
                </w:tcPr>
                <w:p w14:paraId="4811173A">
                  <w:pPr>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color w:val="auto"/>
                      <w:kern w:val="2"/>
                      <w:sz w:val="21"/>
                      <w:szCs w:val="21"/>
                      <w:lang w:val="en-US" w:eastAsia="zh-CN" w:bidi="ar-SA"/>
                    </w:rPr>
                  </w:pPr>
                  <w:r>
                    <w:rPr>
                      <w:rFonts w:hint="default" w:ascii="Times New Roman" w:hAnsi="Times New Roman" w:eastAsia="宋体" w:cs="Times New Roman"/>
                      <w:color w:val="auto"/>
                      <w:szCs w:val="21"/>
                    </w:rPr>
                    <w:t>6</w:t>
                  </w:r>
                </w:p>
              </w:tc>
              <w:tc>
                <w:tcPr>
                  <w:tcW w:w="1875" w:type="dxa"/>
                  <w:vAlign w:val="center"/>
                </w:tcPr>
                <w:p w14:paraId="52B4F26C">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p>
              </w:tc>
              <w:tc>
                <w:tcPr>
                  <w:tcW w:w="1860" w:type="dxa"/>
                  <w:vAlign w:val="center"/>
                </w:tcPr>
                <w:p w14:paraId="02C4F7B9">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p>
              </w:tc>
              <w:tc>
                <w:tcPr>
                  <w:tcW w:w="1141" w:type="dxa"/>
                  <w:vMerge w:val="continue"/>
                  <w:vAlign w:val="center"/>
                </w:tcPr>
                <w:p w14:paraId="5960298E">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p>
              </w:tc>
              <w:tc>
                <w:tcPr>
                  <w:tcW w:w="1545" w:type="dxa"/>
                  <w:vAlign w:val="center"/>
                </w:tcPr>
                <w:p w14:paraId="59271304">
                  <w:pPr>
                    <w:keepNext w:val="0"/>
                    <w:keepLines w:val="0"/>
                    <w:suppressLineNumbers w:val="0"/>
                    <w:spacing w:before="0" w:beforeAutospacing="0" w:after="0" w:afterAutospacing="0"/>
                    <w:ind w:left="0" w:right="0"/>
                    <w:jc w:val="center"/>
                    <w:rPr>
                      <w:rFonts w:hint="eastAsia" w:ascii="Times New Roman" w:hAnsi="Times New Roman" w:eastAsia="宋体" w:cs="Times New Roman"/>
                      <w:color w:val="auto"/>
                      <w:szCs w:val="21"/>
                      <w:lang w:val="en-US" w:eastAsia="zh-CN"/>
                    </w:rPr>
                  </w:pPr>
                  <w:r>
                    <w:rPr>
                      <w:rFonts w:hint="eastAsia" w:ascii="Times New Roman" w:hAnsi="Times New Roman" w:eastAsia="宋体" w:cs="Times New Roman"/>
                      <w:color w:val="auto"/>
                      <w:szCs w:val="21"/>
                      <w:lang w:val="en-US" w:eastAsia="zh-CN"/>
                    </w:rPr>
                    <w:t>废</w:t>
                  </w:r>
                  <w:r>
                    <w:rPr>
                      <w:rFonts w:hint="default" w:ascii="Times New Roman" w:hAnsi="Times New Roman" w:eastAsia="宋体" w:cs="Times New Roman"/>
                      <w:color w:val="auto"/>
                      <w:szCs w:val="21"/>
                    </w:rPr>
                    <w:t>边角料</w:t>
                  </w:r>
                </w:p>
              </w:tc>
              <w:tc>
                <w:tcPr>
                  <w:tcW w:w="1204" w:type="dxa"/>
                  <w:vAlign w:val="center"/>
                </w:tcPr>
                <w:p w14:paraId="4B11568C">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0000E1"/>
                      <w:szCs w:val="21"/>
                      <w:lang w:val="en-US" w:eastAsia="zh-CN"/>
                    </w:rPr>
                  </w:pPr>
                  <w:r>
                    <w:rPr>
                      <w:rFonts w:hint="eastAsia" w:ascii="Times New Roman" w:hAnsi="Times New Roman" w:eastAsia="宋体" w:cs="Times New Roman"/>
                      <w:color w:val="0000E1"/>
                      <w:szCs w:val="21"/>
                      <w:lang w:val="en-US" w:eastAsia="zh-CN"/>
                    </w:rPr>
                    <w:t>2990.25</w:t>
                  </w:r>
                </w:p>
              </w:tc>
            </w:tr>
            <w:tr w14:paraId="44ED7A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560" w:type="dxa"/>
                  <w:shd w:val="clear" w:color="auto" w:fill="auto"/>
                  <w:vAlign w:val="center"/>
                </w:tcPr>
                <w:p w14:paraId="6476E864">
                  <w:pPr>
                    <w:keepNext w:val="0"/>
                    <w:keepLines w:val="0"/>
                    <w:suppressLineNumbers w:val="0"/>
                    <w:spacing w:before="0" w:beforeAutospacing="0" w:after="0" w:afterAutospacing="0"/>
                    <w:ind w:left="0" w:leftChars="0" w:right="0" w:rightChars="0"/>
                    <w:jc w:val="center"/>
                    <w:rPr>
                      <w:rFonts w:hint="eastAsia" w:ascii="Times New Roman" w:hAnsi="Times New Roman" w:eastAsia="宋体" w:cs="Times New Roman"/>
                      <w:color w:val="auto"/>
                      <w:szCs w:val="21"/>
                      <w:lang w:val="en-US" w:eastAsia="zh-CN"/>
                    </w:rPr>
                  </w:pPr>
                  <w:r>
                    <w:rPr>
                      <w:rFonts w:hint="eastAsia" w:ascii="Times New Roman" w:hAnsi="Times New Roman" w:eastAsia="宋体" w:cs="Times New Roman"/>
                      <w:color w:val="auto"/>
                      <w:szCs w:val="21"/>
                      <w:lang w:val="en-US" w:eastAsia="zh-CN"/>
                    </w:rPr>
                    <w:t>7</w:t>
                  </w:r>
                </w:p>
              </w:tc>
              <w:tc>
                <w:tcPr>
                  <w:tcW w:w="1875" w:type="dxa"/>
                  <w:vAlign w:val="center"/>
                </w:tcPr>
                <w:p w14:paraId="6272918A">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p>
              </w:tc>
              <w:tc>
                <w:tcPr>
                  <w:tcW w:w="1860" w:type="dxa"/>
                  <w:vAlign w:val="center"/>
                </w:tcPr>
                <w:p w14:paraId="59EB742A">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p>
              </w:tc>
              <w:tc>
                <w:tcPr>
                  <w:tcW w:w="1141" w:type="dxa"/>
                  <w:vMerge w:val="continue"/>
                  <w:vAlign w:val="center"/>
                </w:tcPr>
                <w:p w14:paraId="45F4EFD7">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p>
              </w:tc>
              <w:tc>
                <w:tcPr>
                  <w:tcW w:w="1545" w:type="dxa"/>
                  <w:vAlign w:val="center"/>
                </w:tcPr>
                <w:p w14:paraId="220D781A">
                  <w:pPr>
                    <w:keepNext w:val="0"/>
                    <w:keepLines w:val="0"/>
                    <w:suppressLineNumbers w:val="0"/>
                    <w:spacing w:before="0" w:beforeAutospacing="0" w:after="0" w:afterAutospacing="0"/>
                    <w:ind w:left="0" w:right="0"/>
                    <w:jc w:val="center"/>
                    <w:rPr>
                      <w:rFonts w:hint="eastAsia" w:ascii="Times New Roman" w:hAnsi="Times New Roman" w:eastAsia="宋体" w:cs="Times New Roman"/>
                      <w:color w:val="auto"/>
                      <w:szCs w:val="21"/>
                      <w:lang w:val="en-US" w:eastAsia="zh-CN"/>
                    </w:rPr>
                  </w:pPr>
                  <w:r>
                    <w:rPr>
                      <w:rFonts w:hint="eastAsia" w:ascii="Times New Roman" w:hAnsi="Times New Roman" w:eastAsia="宋体" w:cs="Times New Roman"/>
                      <w:color w:val="auto"/>
                      <w:szCs w:val="21"/>
                      <w:lang w:val="en-US" w:eastAsia="zh-CN"/>
                    </w:rPr>
                    <w:t>不合格品</w:t>
                  </w:r>
                </w:p>
              </w:tc>
              <w:tc>
                <w:tcPr>
                  <w:tcW w:w="1204" w:type="dxa"/>
                  <w:vAlign w:val="center"/>
                </w:tcPr>
                <w:p w14:paraId="27102537">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0000E1"/>
                      <w:szCs w:val="21"/>
                      <w:lang w:val="en-US" w:eastAsia="zh-CN"/>
                    </w:rPr>
                  </w:pPr>
                  <w:r>
                    <w:rPr>
                      <w:rFonts w:hint="eastAsia" w:ascii="Times New Roman" w:hAnsi="Times New Roman" w:eastAsia="宋体" w:cs="Times New Roman"/>
                      <w:color w:val="0000E1"/>
                      <w:szCs w:val="21"/>
                      <w:lang w:val="en-US" w:eastAsia="zh-CN"/>
                    </w:rPr>
                    <w:t>2958.883</w:t>
                  </w:r>
                </w:p>
              </w:tc>
            </w:tr>
            <w:tr w14:paraId="4D94E5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2435" w:type="dxa"/>
                  <w:gridSpan w:val="2"/>
                  <w:vAlign w:val="center"/>
                </w:tcPr>
                <w:p w14:paraId="21D34B61">
                  <w:pPr>
                    <w:keepNext w:val="0"/>
                    <w:keepLines w:val="0"/>
                    <w:suppressLineNumbers w:val="0"/>
                    <w:spacing w:before="0" w:beforeAutospacing="0" w:after="0" w:afterAutospacing="0"/>
                    <w:ind w:left="0" w:right="0"/>
                    <w:jc w:val="center"/>
                    <w:rPr>
                      <w:rFonts w:hint="default" w:ascii="Times New Roman" w:hAnsi="Times New Roman" w:eastAsia="宋体" w:cs="Times New Roman"/>
                      <w:b/>
                      <w:bCs/>
                      <w:color w:val="auto"/>
                      <w:szCs w:val="21"/>
                    </w:rPr>
                  </w:pPr>
                  <w:r>
                    <w:rPr>
                      <w:rFonts w:hint="default" w:ascii="Times New Roman" w:hAnsi="Times New Roman" w:eastAsia="宋体" w:cs="Times New Roman"/>
                      <w:b/>
                      <w:bCs/>
                      <w:color w:val="auto"/>
                      <w:szCs w:val="21"/>
                    </w:rPr>
                    <w:t>合计</w:t>
                  </w:r>
                </w:p>
              </w:tc>
              <w:tc>
                <w:tcPr>
                  <w:tcW w:w="1860" w:type="dxa"/>
                  <w:vAlign w:val="center"/>
                </w:tcPr>
                <w:p w14:paraId="41FF9617">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lang w:val="en-US" w:eastAsia="zh-CN"/>
                    </w:rPr>
                  </w:pPr>
                  <w:r>
                    <w:rPr>
                      <w:rFonts w:hint="eastAsia" w:ascii="Times New Roman" w:hAnsi="Times New Roman" w:eastAsia="宋体" w:cs="Times New Roman"/>
                      <w:color w:val="0000E1"/>
                      <w:szCs w:val="21"/>
                      <w:lang w:val="en-US" w:eastAsia="zh-CN"/>
                    </w:rPr>
                    <w:t>15469.24</w:t>
                  </w:r>
                </w:p>
              </w:tc>
              <w:tc>
                <w:tcPr>
                  <w:tcW w:w="2686" w:type="dxa"/>
                  <w:gridSpan w:val="2"/>
                  <w:vAlign w:val="center"/>
                </w:tcPr>
                <w:p w14:paraId="052DBFA2">
                  <w:pPr>
                    <w:keepNext w:val="0"/>
                    <w:keepLines w:val="0"/>
                    <w:suppressLineNumbers w:val="0"/>
                    <w:spacing w:before="0" w:beforeAutospacing="0" w:after="0" w:afterAutospacing="0"/>
                    <w:ind w:left="0" w:right="0"/>
                    <w:jc w:val="center"/>
                    <w:rPr>
                      <w:rFonts w:hint="default" w:ascii="Times New Roman" w:hAnsi="Times New Roman" w:eastAsia="宋体" w:cs="Times New Roman"/>
                      <w:b/>
                      <w:bCs/>
                      <w:color w:val="auto"/>
                      <w:szCs w:val="21"/>
                    </w:rPr>
                  </w:pPr>
                  <w:r>
                    <w:rPr>
                      <w:rFonts w:hint="default" w:ascii="Times New Roman" w:hAnsi="Times New Roman" w:eastAsia="宋体" w:cs="Times New Roman"/>
                      <w:b/>
                      <w:bCs/>
                      <w:color w:val="auto"/>
                      <w:szCs w:val="21"/>
                    </w:rPr>
                    <w:t>合计</w:t>
                  </w:r>
                </w:p>
              </w:tc>
              <w:tc>
                <w:tcPr>
                  <w:tcW w:w="1204" w:type="dxa"/>
                  <w:vAlign w:val="center"/>
                </w:tcPr>
                <w:p w14:paraId="471D6412">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0000E1"/>
                      <w:kern w:val="0"/>
                      <w:szCs w:val="21"/>
                      <w:highlight w:val="yellow"/>
                    </w:rPr>
                  </w:pPr>
                  <w:r>
                    <w:rPr>
                      <w:rFonts w:hint="default" w:ascii="Times New Roman" w:hAnsi="Times New Roman" w:eastAsia="宋体" w:cs="Times New Roman"/>
                      <w:color w:val="0000E1"/>
                      <w:kern w:val="0"/>
                      <w:szCs w:val="21"/>
                      <w:highlight w:val="none"/>
                      <w:lang w:val="en-US" w:eastAsia="zh-CN"/>
                    </w:rPr>
                    <w:t>15469.</w:t>
                  </w:r>
                  <w:r>
                    <w:rPr>
                      <w:rFonts w:hint="eastAsia" w:ascii="Times New Roman" w:hAnsi="Times New Roman" w:eastAsia="宋体" w:cs="Times New Roman"/>
                      <w:color w:val="0000E1"/>
                      <w:kern w:val="0"/>
                      <w:szCs w:val="21"/>
                      <w:highlight w:val="none"/>
                      <w:lang w:val="en-US" w:eastAsia="zh-CN"/>
                    </w:rPr>
                    <w:t>2</w:t>
                  </w:r>
                  <w:r>
                    <w:rPr>
                      <w:rFonts w:hint="default" w:ascii="Times New Roman" w:hAnsi="Times New Roman" w:eastAsia="宋体" w:cs="Times New Roman"/>
                      <w:color w:val="0000E1"/>
                      <w:kern w:val="0"/>
                      <w:szCs w:val="21"/>
                      <w:highlight w:val="none"/>
                      <w:lang w:val="en-US" w:eastAsia="zh-CN"/>
                    </w:rPr>
                    <w:t>4</w:t>
                  </w:r>
                </w:p>
              </w:tc>
            </w:tr>
            <w:tr w14:paraId="38DDF2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8185" w:type="dxa"/>
                  <w:gridSpan w:val="6"/>
                  <w:vAlign w:val="center"/>
                </w:tcPr>
                <w:p w14:paraId="12832048">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FF0000"/>
                      <w:kern w:val="0"/>
                      <w:szCs w:val="21"/>
                      <w:highlight w:val="none"/>
                      <w:lang w:val="en-US" w:eastAsia="zh-CN"/>
                    </w:rPr>
                  </w:pPr>
                  <w:r>
                    <w:rPr>
                      <w:rFonts w:hint="eastAsia" w:ascii="Times New Roman" w:hAnsi="Times New Roman" w:eastAsia="宋体" w:cs="Times New Roman"/>
                      <w:color w:val="0000E1"/>
                      <w:kern w:val="0"/>
                      <w:szCs w:val="21"/>
                      <w:highlight w:val="none"/>
                      <w:lang w:val="en-US" w:eastAsia="zh-CN"/>
                    </w:rPr>
                    <w:t>注：玻纤布</w:t>
                  </w:r>
                  <w:r>
                    <w:rPr>
                      <w:rFonts w:hint="default" w:ascii="Times New Roman" w:hAnsi="Times New Roman" w:eastAsia="宋体" w:cs="Times New Roman"/>
                      <w:color w:val="0000E1"/>
                      <w:kern w:val="0"/>
                      <w:szCs w:val="21"/>
                      <w:highlight w:val="none"/>
                      <w:lang w:val="en-US" w:eastAsia="zh-CN"/>
                    </w:rPr>
                    <w:t>作为增强骨架材料与压延胶料共同复合固化，作为复合隔膜组成部分随产品输出</w:t>
                  </w:r>
                  <w:r>
                    <w:rPr>
                      <w:rFonts w:hint="eastAsia" w:ascii="Times New Roman" w:hAnsi="Times New Roman" w:eastAsia="宋体" w:cs="Times New Roman"/>
                      <w:color w:val="0000E1"/>
                      <w:kern w:val="0"/>
                      <w:szCs w:val="21"/>
                      <w:highlight w:val="none"/>
                      <w:lang w:val="en-US" w:eastAsia="zh-CN"/>
                    </w:rPr>
                    <w:t>。</w:t>
                  </w:r>
                </w:p>
              </w:tc>
            </w:tr>
          </w:tbl>
          <w:p w14:paraId="595DB2F3">
            <w:pPr>
              <w:keepNext w:val="0"/>
              <w:keepLines w:val="0"/>
              <w:widowControl w:val="0"/>
              <w:suppressLineNumbers w:val="0"/>
              <w:spacing w:before="0" w:beforeAutospacing="0" w:after="0" w:afterAutospacing="0"/>
              <w:ind w:left="0" w:right="0"/>
              <w:jc w:val="center"/>
              <w:rPr>
                <w:rFonts w:hint="default" w:ascii="Times New Roman" w:hAnsi="Times New Roman" w:eastAsia="宋体" w:cs="Times New Roman"/>
                <w:b/>
                <w:bCs/>
                <w:color w:val="auto"/>
                <w:kern w:val="2"/>
                <w:sz w:val="21"/>
                <w:szCs w:val="21"/>
              </w:rPr>
            </w:pPr>
            <w:r>
              <w:rPr>
                <w:rFonts w:hint="eastAsia" w:ascii="宋体" w:hAnsi="宋体" w:eastAsia="宋体" w:cs="宋体"/>
                <w:b/>
                <w:bCs/>
                <w:color w:val="auto"/>
                <w:kern w:val="2"/>
                <w:sz w:val="21"/>
                <w:szCs w:val="21"/>
                <w:lang w:val="en-US" w:eastAsia="zh-CN" w:bidi="ar"/>
              </w:rPr>
              <w:t>表</w:t>
            </w:r>
            <w:r>
              <w:rPr>
                <w:rFonts w:hint="default" w:ascii="Times New Roman" w:hAnsi="Times New Roman" w:eastAsia="宋体" w:cs="Times New Roman"/>
                <w:b/>
                <w:bCs/>
                <w:color w:val="auto"/>
                <w:kern w:val="2"/>
                <w:sz w:val="21"/>
                <w:szCs w:val="21"/>
                <w:lang w:val="en-US" w:eastAsia="zh-CN" w:bidi="ar"/>
              </w:rPr>
              <w:t>2-</w:t>
            </w:r>
            <w:r>
              <w:rPr>
                <w:rFonts w:hint="eastAsia" w:ascii="Times New Roman" w:hAnsi="Times New Roman" w:eastAsia="宋体" w:cs="Times New Roman"/>
                <w:b/>
                <w:bCs/>
                <w:color w:val="auto"/>
                <w:kern w:val="2"/>
                <w:sz w:val="21"/>
                <w:szCs w:val="21"/>
                <w:lang w:val="en-US" w:eastAsia="zh-CN" w:bidi="ar"/>
              </w:rPr>
              <w:t>10</w:t>
            </w:r>
            <w:r>
              <w:rPr>
                <w:rFonts w:hint="default" w:ascii="Times New Roman" w:hAnsi="Times New Roman" w:eastAsia="宋体" w:cs="Times New Roman"/>
                <w:b/>
                <w:bCs/>
                <w:color w:val="auto"/>
                <w:kern w:val="2"/>
                <w:sz w:val="21"/>
                <w:szCs w:val="21"/>
                <w:lang w:val="en-US" w:eastAsia="zh-CN" w:bidi="ar"/>
              </w:rPr>
              <w:t xml:space="preserve"> </w:t>
            </w:r>
            <w:r>
              <w:rPr>
                <w:rFonts w:hint="eastAsia" w:ascii="Times New Roman" w:hAnsi="Times New Roman" w:eastAsia="宋体" w:cs="Times New Roman"/>
                <w:b/>
                <w:bCs/>
                <w:color w:val="auto"/>
                <w:kern w:val="2"/>
                <w:sz w:val="21"/>
                <w:szCs w:val="21"/>
                <w:lang w:val="en-US" w:eastAsia="zh-CN" w:bidi="ar"/>
              </w:rPr>
              <w:t xml:space="preserve"> </w:t>
            </w:r>
            <w:r>
              <w:rPr>
                <w:rFonts w:hint="eastAsia" w:ascii="宋体" w:hAnsi="宋体" w:eastAsia="宋体" w:cs="宋体"/>
                <w:b/>
                <w:bCs/>
                <w:color w:val="auto"/>
                <w:kern w:val="2"/>
                <w:sz w:val="21"/>
                <w:szCs w:val="21"/>
                <w:lang w:val="en-US" w:eastAsia="zh-CN" w:bidi="ar"/>
              </w:rPr>
              <w:t>纳米隔热板生产过程总物料平衡表</w:t>
            </w:r>
          </w:p>
          <w:tbl>
            <w:tblPr>
              <w:tblStyle w:val="23"/>
              <w:tblW w:w="8185"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Layout w:type="fixed"/>
              <w:tblCellMar>
                <w:top w:w="0" w:type="dxa"/>
                <w:left w:w="108" w:type="dxa"/>
                <w:bottom w:w="0" w:type="dxa"/>
                <w:right w:w="108" w:type="dxa"/>
              </w:tblCellMar>
            </w:tblPr>
            <w:tblGrid>
              <w:gridCol w:w="560"/>
              <w:gridCol w:w="1875"/>
              <w:gridCol w:w="1541"/>
              <w:gridCol w:w="1410"/>
              <w:gridCol w:w="1595"/>
              <w:gridCol w:w="1204"/>
            </w:tblGrid>
            <w:tr w14:paraId="704189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560" w:type="dxa"/>
                  <w:vMerge w:val="restart"/>
                  <w:tcBorders>
                    <w:top w:val="single" w:color="auto" w:sz="4" w:space="0"/>
                    <w:left w:val="single" w:color="auto" w:sz="4" w:space="0"/>
                    <w:bottom w:val="single" w:color="auto" w:sz="4" w:space="0"/>
                    <w:right w:val="single" w:color="auto" w:sz="4" w:space="0"/>
                  </w:tcBorders>
                  <w:shd w:val="clear" w:color="auto" w:fill="auto"/>
                  <w:vAlign w:val="center"/>
                </w:tcPr>
                <w:p w14:paraId="09E65C2C">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jc w:val="center"/>
                    <w:textAlignment w:val="auto"/>
                    <w:rPr>
                      <w:rFonts w:hint="default" w:ascii="Times New Roman" w:hAnsi="Times New Roman" w:eastAsia="宋体" w:cs="Times New Roman"/>
                      <w:b/>
                      <w:bCs/>
                      <w:color w:val="auto"/>
                      <w:kern w:val="2"/>
                      <w:sz w:val="21"/>
                      <w:szCs w:val="21"/>
                    </w:rPr>
                  </w:pPr>
                  <w:r>
                    <w:rPr>
                      <w:rFonts w:hint="eastAsia" w:ascii="宋体" w:hAnsi="宋体" w:eastAsia="宋体" w:cs="宋体"/>
                      <w:b/>
                      <w:bCs/>
                      <w:color w:val="auto"/>
                      <w:kern w:val="2"/>
                      <w:sz w:val="21"/>
                      <w:szCs w:val="21"/>
                      <w:lang w:val="en-US" w:eastAsia="zh-CN" w:bidi="ar"/>
                    </w:rPr>
                    <w:t>序号</w:t>
                  </w:r>
                </w:p>
              </w:tc>
              <w:tc>
                <w:tcPr>
                  <w:tcW w:w="3416" w:type="dxa"/>
                  <w:gridSpan w:val="2"/>
                  <w:tcBorders>
                    <w:top w:val="single" w:color="auto" w:sz="4" w:space="0"/>
                    <w:left w:val="single" w:color="auto" w:sz="4" w:space="0"/>
                    <w:bottom w:val="single" w:color="auto" w:sz="4" w:space="0"/>
                    <w:right w:val="single" w:color="auto" w:sz="4" w:space="0"/>
                  </w:tcBorders>
                  <w:shd w:val="clear" w:color="auto" w:fill="auto"/>
                  <w:vAlign w:val="center"/>
                </w:tcPr>
                <w:p w14:paraId="537D7BB0">
                  <w:pPr>
                    <w:pStyle w:val="19"/>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jc w:val="center"/>
                    <w:textAlignment w:val="auto"/>
                    <w:rPr>
                      <w:rFonts w:hint="default" w:ascii="Times New Roman" w:hAnsi="Times New Roman" w:eastAsia="宋体" w:cs="Times New Roman"/>
                      <w:b/>
                      <w:bCs/>
                      <w:color w:val="auto"/>
                      <w:kern w:val="2"/>
                      <w:sz w:val="21"/>
                      <w:szCs w:val="21"/>
                    </w:rPr>
                  </w:pPr>
                  <w:r>
                    <w:rPr>
                      <w:rFonts w:hint="eastAsia" w:ascii="宋体" w:hAnsi="宋体" w:eastAsia="宋体" w:cs="宋体"/>
                      <w:b/>
                      <w:bCs/>
                      <w:color w:val="auto"/>
                      <w:kern w:val="2"/>
                      <w:sz w:val="21"/>
                      <w:szCs w:val="21"/>
                      <w:lang w:val="en-US" w:eastAsia="zh-CN" w:bidi="ar"/>
                    </w:rPr>
                    <w:t>投入量</w:t>
                  </w:r>
                  <w:r>
                    <w:rPr>
                      <w:rFonts w:hint="eastAsia" w:cs="宋体"/>
                      <w:b/>
                      <w:bCs/>
                      <w:color w:val="00B050"/>
                      <w:kern w:val="2"/>
                      <w:sz w:val="21"/>
                      <w:szCs w:val="21"/>
                      <w:vertAlign w:val="superscript"/>
                      <w:lang w:val="en-US" w:eastAsia="zh-CN" w:bidi="ar"/>
                    </w:rPr>
                    <w:t>*</w:t>
                  </w:r>
                  <w:r>
                    <w:rPr>
                      <w:rFonts w:hint="eastAsia" w:ascii="宋体" w:hAnsi="宋体" w:eastAsia="宋体" w:cs="宋体"/>
                      <w:b/>
                      <w:bCs/>
                      <w:color w:val="auto"/>
                      <w:kern w:val="2"/>
                      <w:sz w:val="21"/>
                      <w:szCs w:val="21"/>
                      <w:lang w:val="en-US" w:eastAsia="zh-CN" w:bidi="ar"/>
                    </w:rPr>
                    <w:t>（</w:t>
                  </w:r>
                  <w:r>
                    <w:rPr>
                      <w:rFonts w:hint="default" w:ascii="Times New Roman" w:hAnsi="Times New Roman" w:eastAsia="宋体" w:cs="Times New Roman"/>
                      <w:b/>
                      <w:bCs/>
                      <w:color w:val="auto"/>
                      <w:kern w:val="2"/>
                      <w:sz w:val="21"/>
                      <w:szCs w:val="21"/>
                      <w:lang w:val="en-US" w:eastAsia="zh-CN" w:bidi="ar"/>
                    </w:rPr>
                    <w:t>t/a</w:t>
                  </w:r>
                  <w:r>
                    <w:rPr>
                      <w:rFonts w:hint="eastAsia" w:ascii="宋体" w:hAnsi="宋体" w:eastAsia="宋体" w:cs="宋体"/>
                      <w:b/>
                      <w:bCs/>
                      <w:color w:val="auto"/>
                      <w:kern w:val="2"/>
                      <w:sz w:val="21"/>
                      <w:szCs w:val="21"/>
                      <w:lang w:val="en-US" w:eastAsia="zh-CN" w:bidi="ar"/>
                    </w:rPr>
                    <w:t>）</w:t>
                  </w:r>
                </w:p>
              </w:tc>
              <w:tc>
                <w:tcPr>
                  <w:tcW w:w="4209" w:type="dxa"/>
                  <w:gridSpan w:val="3"/>
                  <w:tcBorders>
                    <w:top w:val="single" w:color="auto" w:sz="4" w:space="0"/>
                    <w:left w:val="single" w:color="auto" w:sz="4" w:space="0"/>
                    <w:bottom w:val="single" w:color="auto" w:sz="4" w:space="0"/>
                    <w:right w:val="single" w:color="auto" w:sz="4" w:space="0"/>
                  </w:tcBorders>
                  <w:shd w:val="clear" w:color="auto" w:fill="auto"/>
                  <w:vAlign w:val="center"/>
                </w:tcPr>
                <w:p w14:paraId="6032926E">
                  <w:pPr>
                    <w:pStyle w:val="19"/>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jc w:val="center"/>
                    <w:textAlignment w:val="auto"/>
                    <w:rPr>
                      <w:rFonts w:hint="default" w:ascii="Times New Roman" w:hAnsi="Times New Roman" w:eastAsia="宋体" w:cs="Times New Roman"/>
                      <w:b/>
                      <w:bCs/>
                      <w:color w:val="auto"/>
                      <w:kern w:val="2"/>
                      <w:sz w:val="21"/>
                      <w:szCs w:val="21"/>
                    </w:rPr>
                  </w:pPr>
                  <w:r>
                    <w:rPr>
                      <w:rFonts w:hint="eastAsia" w:ascii="宋体" w:hAnsi="宋体" w:eastAsia="宋体" w:cs="宋体"/>
                      <w:b/>
                      <w:bCs/>
                      <w:color w:val="auto"/>
                      <w:kern w:val="2"/>
                      <w:sz w:val="21"/>
                      <w:szCs w:val="21"/>
                      <w:lang w:val="en-US" w:eastAsia="zh-CN" w:bidi="ar"/>
                    </w:rPr>
                    <w:t>产出物料（</w:t>
                  </w:r>
                  <w:r>
                    <w:rPr>
                      <w:rFonts w:hint="default" w:ascii="Times New Roman" w:hAnsi="Times New Roman" w:eastAsia="宋体" w:cs="Times New Roman"/>
                      <w:b/>
                      <w:bCs/>
                      <w:color w:val="auto"/>
                      <w:kern w:val="2"/>
                      <w:sz w:val="21"/>
                      <w:szCs w:val="21"/>
                      <w:lang w:val="en-US" w:eastAsia="zh-CN" w:bidi="ar"/>
                    </w:rPr>
                    <w:t>t/a</w:t>
                  </w:r>
                  <w:r>
                    <w:rPr>
                      <w:rFonts w:hint="eastAsia" w:ascii="宋体" w:hAnsi="宋体" w:eastAsia="宋体" w:cs="宋体"/>
                      <w:b/>
                      <w:bCs/>
                      <w:color w:val="auto"/>
                      <w:kern w:val="2"/>
                      <w:sz w:val="21"/>
                      <w:szCs w:val="21"/>
                      <w:lang w:val="en-US" w:eastAsia="zh-CN" w:bidi="ar"/>
                    </w:rPr>
                    <w:t>）</w:t>
                  </w:r>
                </w:p>
              </w:tc>
            </w:tr>
            <w:tr w14:paraId="0E6C4C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397" w:hRule="atLeast"/>
                <w:jc w:val="center"/>
              </w:trPr>
              <w:tc>
                <w:tcPr>
                  <w:tcW w:w="560"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14:paraId="5F7B7945">
                  <w:pPr>
                    <w:keepNext w:val="0"/>
                    <w:keepLines w:val="0"/>
                    <w:pageBreakBefore w:val="0"/>
                    <w:suppressLineNumbers w:val="0"/>
                    <w:kinsoku/>
                    <w:wordWrap/>
                    <w:overflowPunct/>
                    <w:topLinePunct w:val="0"/>
                    <w:autoSpaceDE/>
                    <w:autoSpaceDN/>
                    <w:bidi w:val="0"/>
                    <w:adjustRightInd/>
                    <w:snapToGrid/>
                    <w:spacing w:before="0" w:beforeAutospacing="0" w:after="0" w:afterAutospacing="0"/>
                    <w:ind w:left="0" w:right="0"/>
                    <w:jc w:val="center"/>
                    <w:textAlignment w:val="auto"/>
                    <w:rPr>
                      <w:rFonts w:hint="default" w:ascii="Times New Roman" w:hAnsi="Times New Roman" w:cs="Times New Roman"/>
                      <w:color w:val="auto"/>
                      <w:sz w:val="20"/>
                      <w:szCs w:val="20"/>
                    </w:rPr>
                  </w:pPr>
                </w:p>
              </w:tc>
              <w:tc>
                <w:tcPr>
                  <w:tcW w:w="1875" w:type="dxa"/>
                  <w:tcBorders>
                    <w:top w:val="single" w:color="auto" w:sz="4" w:space="0"/>
                    <w:left w:val="single" w:color="auto" w:sz="4" w:space="0"/>
                    <w:bottom w:val="single" w:color="auto" w:sz="4" w:space="0"/>
                    <w:right w:val="single" w:color="auto" w:sz="4" w:space="0"/>
                  </w:tcBorders>
                  <w:shd w:val="clear" w:color="auto" w:fill="auto"/>
                  <w:vAlign w:val="center"/>
                </w:tcPr>
                <w:p w14:paraId="3128A59A">
                  <w:pPr>
                    <w:pStyle w:val="19"/>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jc w:val="center"/>
                    <w:textAlignment w:val="auto"/>
                    <w:rPr>
                      <w:rFonts w:hint="default" w:ascii="Times New Roman" w:hAnsi="Times New Roman" w:eastAsia="宋体" w:cs="Times New Roman"/>
                      <w:b/>
                      <w:bCs/>
                      <w:color w:val="auto"/>
                      <w:kern w:val="2"/>
                      <w:sz w:val="21"/>
                      <w:szCs w:val="21"/>
                    </w:rPr>
                  </w:pPr>
                  <w:r>
                    <w:rPr>
                      <w:rFonts w:hint="eastAsia" w:ascii="宋体" w:hAnsi="宋体" w:eastAsia="宋体" w:cs="宋体"/>
                      <w:b/>
                      <w:bCs/>
                      <w:color w:val="auto"/>
                      <w:kern w:val="2"/>
                      <w:sz w:val="21"/>
                      <w:szCs w:val="21"/>
                      <w:lang w:val="en-US" w:eastAsia="zh-CN" w:bidi="ar"/>
                    </w:rPr>
                    <w:t>物料名称</w:t>
                  </w:r>
                </w:p>
              </w:tc>
              <w:tc>
                <w:tcPr>
                  <w:tcW w:w="1541" w:type="dxa"/>
                  <w:tcBorders>
                    <w:top w:val="single" w:color="auto" w:sz="4" w:space="0"/>
                    <w:left w:val="single" w:color="auto" w:sz="4" w:space="0"/>
                    <w:bottom w:val="single" w:color="auto" w:sz="4" w:space="0"/>
                    <w:right w:val="single" w:color="auto" w:sz="4" w:space="0"/>
                  </w:tcBorders>
                  <w:shd w:val="clear" w:color="auto" w:fill="auto"/>
                  <w:vAlign w:val="center"/>
                </w:tcPr>
                <w:p w14:paraId="3FECBE11">
                  <w:pPr>
                    <w:pStyle w:val="19"/>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jc w:val="center"/>
                    <w:textAlignment w:val="auto"/>
                    <w:rPr>
                      <w:rFonts w:hint="default" w:ascii="Times New Roman" w:hAnsi="Times New Roman" w:eastAsia="宋体" w:cs="Times New Roman"/>
                      <w:b/>
                      <w:bCs/>
                      <w:color w:val="auto"/>
                      <w:kern w:val="2"/>
                      <w:sz w:val="21"/>
                      <w:szCs w:val="21"/>
                    </w:rPr>
                  </w:pPr>
                  <w:r>
                    <w:rPr>
                      <w:rFonts w:hint="eastAsia" w:ascii="宋体" w:hAnsi="宋体" w:eastAsia="宋体" w:cs="宋体"/>
                      <w:b/>
                      <w:bCs/>
                      <w:color w:val="auto"/>
                      <w:kern w:val="2"/>
                      <w:sz w:val="21"/>
                      <w:szCs w:val="21"/>
                      <w:lang w:val="en-US" w:eastAsia="zh-CN" w:bidi="ar"/>
                    </w:rPr>
                    <w:t>投入量</w:t>
                  </w:r>
                </w:p>
              </w:tc>
              <w:tc>
                <w:tcPr>
                  <w:tcW w:w="3005" w:type="dxa"/>
                  <w:gridSpan w:val="2"/>
                  <w:tcBorders>
                    <w:top w:val="single" w:color="auto" w:sz="4" w:space="0"/>
                    <w:left w:val="single" w:color="auto" w:sz="4" w:space="0"/>
                    <w:bottom w:val="single" w:color="auto" w:sz="4" w:space="0"/>
                    <w:right w:val="single" w:color="auto" w:sz="4" w:space="0"/>
                  </w:tcBorders>
                  <w:shd w:val="clear" w:color="auto" w:fill="auto"/>
                  <w:vAlign w:val="center"/>
                </w:tcPr>
                <w:p w14:paraId="39BADAF9">
                  <w:pPr>
                    <w:pStyle w:val="19"/>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jc w:val="center"/>
                    <w:textAlignment w:val="auto"/>
                    <w:rPr>
                      <w:rFonts w:hint="default" w:ascii="Times New Roman" w:hAnsi="Times New Roman" w:eastAsia="宋体" w:cs="Times New Roman"/>
                      <w:b/>
                      <w:bCs/>
                      <w:color w:val="auto"/>
                      <w:kern w:val="2"/>
                      <w:sz w:val="21"/>
                      <w:szCs w:val="21"/>
                    </w:rPr>
                  </w:pPr>
                  <w:r>
                    <w:rPr>
                      <w:rFonts w:hint="eastAsia" w:ascii="宋体" w:hAnsi="宋体" w:eastAsia="宋体" w:cs="宋体"/>
                      <w:b/>
                      <w:bCs/>
                      <w:color w:val="auto"/>
                      <w:kern w:val="2"/>
                      <w:sz w:val="21"/>
                      <w:szCs w:val="21"/>
                      <w:lang w:val="en-US" w:eastAsia="zh-CN" w:bidi="ar"/>
                    </w:rPr>
                    <w:t>物料名称</w:t>
                  </w:r>
                </w:p>
              </w:tc>
              <w:tc>
                <w:tcPr>
                  <w:tcW w:w="1204" w:type="dxa"/>
                  <w:tcBorders>
                    <w:top w:val="single" w:color="auto" w:sz="4" w:space="0"/>
                    <w:left w:val="single" w:color="auto" w:sz="4" w:space="0"/>
                    <w:bottom w:val="single" w:color="auto" w:sz="4" w:space="0"/>
                    <w:right w:val="single" w:color="auto" w:sz="4" w:space="0"/>
                  </w:tcBorders>
                  <w:shd w:val="clear" w:color="auto" w:fill="auto"/>
                  <w:vAlign w:val="center"/>
                </w:tcPr>
                <w:p w14:paraId="5CC1AA76">
                  <w:pPr>
                    <w:pStyle w:val="19"/>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jc w:val="center"/>
                    <w:textAlignment w:val="auto"/>
                    <w:rPr>
                      <w:rFonts w:hint="default" w:ascii="Times New Roman" w:hAnsi="Times New Roman" w:eastAsia="宋体" w:cs="Times New Roman"/>
                      <w:b/>
                      <w:bCs/>
                      <w:color w:val="auto"/>
                      <w:kern w:val="2"/>
                      <w:sz w:val="21"/>
                      <w:szCs w:val="21"/>
                    </w:rPr>
                  </w:pPr>
                  <w:r>
                    <w:rPr>
                      <w:rFonts w:hint="eastAsia" w:ascii="宋体" w:hAnsi="宋体" w:eastAsia="宋体" w:cs="宋体"/>
                      <w:b/>
                      <w:bCs/>
                      <w:color w:val="auto"/>
                      <w:kern w:val="2"/>
                      <w:sz w:val="21"/>
                      <w:szCs w:val="21"/>
                      <w:lang w:val="en-US" w:eastAsia="zh-CN" w:bidi="ar"/>
                    </w:rPr>
                    <w:t>产出量</w:t>
                  </w:r>
                </w:p>
              </w:tc>
            </w:tr>
            <w:tr w14:paraId="4550C9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560" w:type="dxa"/>
                  <w:tcBorders>
                    <w:top w:val="single" w:color="auto" w:sz="4" w:space="0"/>
                    <w:left w:val="single" w:color="auto" w:sz="4" w:space="0"/>
                    <w:bottom w:val="single" w:color="auto" w:sz="4" w:space="0"/>
                    <w:right w:val="single" w:color="auto" w:sz="4" w:space="0"/>
                  </w:tcBorders>
                  <w:shd w:val="clear" w:color="auto" w:fill="auto"/>
                  <w:vAlign w:val="center"/>
                </w:tcPr>
                <w:p w14:paraId="40EA6700">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jc w:val="center"/>
                    <w:textAlignment w:val="auto"/>
                    <w:rPr>
                      <w:rFonts w:hint="default" w:ascii="Times New Roman" w:hAnsi="Times New Roman" w:eastAsia="宋体" w:cs="Times New Roman"/>
                      <w:color w:val="auto"/>
                      <w:kern w:val="2"/>
                      <w:sz w:val="21"/>
                      <w:szCs w:val="21"/>
                    </w:rPr>
                  </w:pPr>
                  <w:r>
                    <w:rPr>
                      <w:rFonts w:hint="default" w:ascii="Times New Roman" w:hAnsi="Times New Roman" w:eastAsia="宋体" w:cs="Times New Roman"/>
                      <w:color w:val="auto"/>
                      <w:kern w:val="2"/>
                      <w:sz w:val="21"/>
                      <w:szCs w:val="21"/>
                      <w:lang w:val="en-US" w:eastAsia="zh-CN" w:bidi="ar"/>
                    </w:rPr>
                    <w:t>1</w:t>
                  </w:r>
                </w:p>
              </w:tc>
              <w:tc>
                <w:tcPr>
                  <w:tcW w:w="1875" w:type="dxa"/>
                  <w:tcBorders>
                    <w:top w:val="single" w:color="auto" w:sz="4" w:space="0"/>
                    <w:left w:val="single" w:color="auto" w:sz="4" w:space="0"/>
                    <w:bottom w:val="single" w:color="auto" w:sz="4" w:space="0"/>
                    <w:right w:val="single" w:color="auto" w:sz="4" w:space="0"/>
                  </w:tcBorders>
                  <w:shd w:val="clear" w:color="auto" w:fill="auto"/>
                  <w:vAlign w:val="center"/>
                </w:tcPr>
                <w:p w14:paraId="1455DB1E">
                  <w:pPr>
                    <w:keepNext w:val="0"/>
                    <w:keepLines w:val="0"/>
                    <w:pageBreakBefore w:val="0"/>
                    <w:suppressLineNumbers w:val="0"/>
                    <w:kinsoku/>
                    <w:wordWrap/>
                    <w:overflowPunct/>
                    <w:topLinePunct w:val="0"/>
                    <w:autoSpaceDE/>
                    <w:autoSpaceDN/>
                    <w:bidi w:val="0"/>
                    <w:adjustRightInd/>
                    <w:snapToGrid/>
                    <w:spacing w:before="0" w:beforeAutospacing="0" w:after="0" w:afterAutospacing="0"/>
                    <w:ind w:left="0" w:leftChars="0" w:right="0" w:rightChars="0"/>
                    <w:jc w:val="center"/>
                    <w:textAlignment w:val="auto"/>
                    <w:rPr>
                      <w:rFonts w:hint="default" w:ascii="Times New Roman" w:hAnsi="Times New Roman" w:eastAsia="宋体" w:cs="Times New Roman"/>
                      <w:color w:val="auto"/>
                      <w:kern w:val="2"/>
                      <w:sz w:val="21"/>
                      <w:szCs w:val="21"/>
                      <w:lang w:val="en-US" w:eastAsia="zh-CN" w:bidi="ar-SA"/>
                    </w:rPr>
                  </w:pPr>
                  <w:r>
                    <w:rPr>
                      <w:rFonts w:hint="eastAsia" w:ascii="Times New Roman" w:hAnsi="Times New Roman" w:eastAsia="宋体" w:cs="Times New Roman"/>
                      <w:color w:val="auto"/>
                      <w:szCs w:val="21"/>
                    </w:rPr>
                    <w:t>气相法二氧化硅</w:t>
                  </w:r>
                </w:p>
              </w:tc>
              <w:tc>
                <w:tcPr>
                  <w:tcW w:w="1541" w:type="dxa"/>
                  <w:tcBorders>
                    <w:top w:val="single" w:color="auto" w:sz="4" w:space="0"/>
                    <w:left w:val="single" w:color="auto" w:sz="4" w:space="0"/>
                    <w:bottom w:val="single" w:color="auto" w:sz="4" w:space="0"/>
                    <w:right w:val="single" w:color="auto" w:sz="4" w:space="0"/>
                  </w:tcBorders>
                  <w:shd w:val="clear" w:color="auto" w:fill="auto"/>
                  <w:vAlign w:val="center"/>
                </w:tcPr>
                <w:p w14:paraId="096B1A4B">
                  <w:pPr>
                    <w:keepNext w:val="0"/>
                    <w:keepLines w:val="0"/>
                    <w:pageBreakBefore w:val="0"/>
                    <w:suppressLineNumbers w:val="0"/>
                    <w:kinsoku/>
                    <w:wordWrap/>
                    <w:overflowPunct/>
                    <w:topLinePunct w:val="0"/>
                    <w:autoSpaceDE/>
                    <w:autoSpaceDN/>
                    <w:bidi w:val="0"/>
                    <w:adjustRightInd/>
                    <w:snapToGrid/>
                    <w:spacing w:before="0" w:beforeAutospacing="0" w:after="0" w:afterAutospacing="0"/>
                    <w:ind w:left="0" w:leftChars="0" w:right="0" w:rightChars="0"/>
                    <w:jc w:val="center"/>
                    <w:textAlignment w:val="auto"/>
                    <w:rPr>
                      <w:rFonts w:hint="default" w:ascii="Times New Roman" w:hAnsi="Times New Roman" w:eastAsia="宋体" w:cs="Times New Roman"/>
                      <w:color w:val="auto"/>
                      <w:kern w:val="2"/>
                      <w:sz w:val="21"/>
                      <w:szCs w:val="21"/>
                      <w:lang w:val="en-US" w:eastAsia="zh-CN" w:bidi="ar-SA"/>
                    </w:rPr>
                  </w:pPr>
                  <w:r>
                    <w:rPr>
                      <w:rFonts w:hint="eastAsia" w:ascii="Times New Roman" w:hAnsi="Times New Roman" w:eastAsia="宋体" w:cs="Times New Roman"/>
                      <w:color w:val="auto"/>
                      <w:szCs w:val="21"/>
                    </w:rPr>
                    <w:t>533吨</w:t>
                  </w:r>
                </w:p>
              </w:tc>
              <w:tc>
                <w:tcPr>
                  <w:tcW w:w="1410" w:type="dxa"/>
                  <w:tcBorders>
                    <w:top w:val="single" w:color="auto" w:sz="4" w:space="0"/>
                    <w:left w:val="single" w:color="auto" w:sz="4" w:space="0"/>
                    <w:bottom w:val="single" w:color="auto" w:sz="4" w:space="0"/>
                    <w:right w:val="single" w:color="auto" w:sz="4" w:space="0"/>
                  </w:tcBorders>
                  <w:shd w:val="clear" w:color="auto" w:fill="auto"/>
                  <w:vAlign w:val="center"/>
                </w:tcPr>
                <w:p w14:paraId="703487B2">
                  <w:pPr>
                    <w:pStyle w:val="10"/>
                    <w:keepNext w:val="0"/>
                    <w:keepLines w:val="0"/>
                    <w:pageBreakBefore w:val="0"/>
                    <w:suppressLineNumbers w:val="0"/>
                    <w:kinsoku/>
                    <w:wordWrap/>
                    <w:overflowPunct/>
                    <w:topLinePunct w:val="0"/>
                    <w:autoSpaceDE/>
                    <w:autoSpaceDN/>
                    <w:bidi w:val="0"/>
                    <w:adjustRightInd/>
                    <w:snapToGrid/>
                    <w:spacing w:before="0" w:beforeAutospacing="0" w:after="0" w:afterAutospacing="0"/>
                    <w:ind w:left="0" w:leftChars="0" w:right="0" w:rightChars="0"/>
                    <w:jc w:val="center"/>
                    <w:textAlignment w:val="auto"/>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rPr>
                    <w:t>产品</w:t>
                  </w:r>
                </w:p>
                <w:p w14:paraId="7A9B46DB">
                  <w:pPr>
                    <w:pStyle w:val="10"/>
                    <w:keepNext w:val="0"/>
                    <w:keepLines w:val="0"/>
                    <w:pageBreakBefore w:val="0"/>
                    <w:suppressLineNumbers w:val="0"/>
                    <w:kinsoku/>
                    <w:wordWrap/>
                    <w:overflowPunct/>
                    <w:topLinePunct w:val="0"/>
                    <w:autoSpaceDE/>
                    <w:autoSpaceDN/>
                    <w:bidi w:val="0"/>
                    <w:adjustRightInd/>
                    <w:snapToGrid/>
                    <w:spacing w:before="0" w:beforeAutospacing="0" w:after="0" w:afterAutospacing="0"/>
                    <w:ind w:left="0" w:leftChars="0" w:right="0" w:rightChars="0"/>
                    <w:jc w:val="center"/>
                    <w:textAlignment w:val="auto"/>
                    <w:rPr>
                      <w:rFonts w:hint="eastAsia" w:ascii="Times New Roman" w:hAnsi="Times New Roman" w:eastAsia="宋体" w:cs="Times New Roman"/>
                      <w:color w:val="auto"/>
                      <w:kern w:val="2"/>
                      <w:sz w:val="21"/>
                      <w:szCs w:val="21"/>
                      <w:lang w:val="en-US" w:eastAsia="zh-CN" w:bidi="ar-SA"/>
                    </w:rPr>
                  </w:pPr>
                  <w:r>
                    <w:rPr>
                      <w:rFonts w:hint="eastAsia" w:ascii="Times New Roman" w:hAnsi="Times New Roman" w:eastAsia="宋体" w:cs="Times New Roman"/>
                      <w:color w:val="0000E1"/>
                      <w:szCs w:val="21"/>
                      <w:lang w:eastAsia="zh-CN"/>
                    </w:rPr>
                    <w:t>（</w:t>
                  </w:r>
                  <w:r>
                    <w:rPr>
                      <w:rFonts w:hint="eastAsia" w:ascii="Times New Roman" w:hAnsi="Times New Roman" w:eastAsia="宋体" w:cs="Times New Roman"/>
                      <w:color w:val="0000E1"/>
                      <w:szCs w:val="21"/>
                      <w:lang w:val="en-US" w:eastAsia="zh-CN"/>
                    </w:rPr>
                    <w:t>含辅料</w:t>
                  </w:r>
                  <w:r>
                    <w:rPr>
                      <w:rFonts w:hint="eastAsia" w:ascii="Times New Roman" w:hAnsi="Times New Roman" w:eastAsia="宋体" w:cs="Times New Roman"/>
                      <w:color w:val="0000E1"/>
                      <w:szCs w:val="21"/>
                      <w:lang w:eastAsia="zh-CN"/>
                    </w:rPr>
                    <w:t>）</w:t>
                  </w:r>
                </w:p>
              </w:tc>
              <w:tc>
                <w:tcPr>
                  <w:tcW w:w="1595" w:type="dxa"/>
                  <w:tcBorders>
                    <w:top w:val="single" w:color="auto" w:sz="4" w:space="0"/>
                    <w:left w:val="single" w:color="auto" w:sz="4" w:space="0"/>
                    <w:bottom w:val="single" w:color="auto" w:sz="4" w:space="0"/>
                    <w:right w:val="single" w:color="auto" w:sz="4" w:space="0"/>
                  </w:tcBorders>
                  <w:shd w:val="clear" w:color="auto" w:fill="auto"/>
                  <w:vAlign w:val="center"/>
                </w:tcPr>
                <w:p w14:paraId="03E76038">
                  <w:pPr>
                    <w:pStyle w:val="19"/>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jc w:val="center"/>
                    <w:textAlignment w:val="auto"/>
                    <w:rPr>
                      <w:rFonts w:hint="default" w:ascii="Times New Roman" w:hAnsi="Times New Roman" w:eastAsia="宋体" w:cs="Times New Roman"/>
                      <w:color w:val="auto"/>
                      <w:kern w:val="2"/>
                      <w:sz w:val="21"/>
                      <w:szCs w:val="21"/>
                    </w:rPr>
                  </w:pPr>
                  <w:r>
                    <w:rPr>
                      <w:rFonts w:hint="default" w:ascii="Times New Roman" w:hAnsi="Times New Roman" w:eastAsia="宋体" w:cs="Times New Roman"/>
                      <w:color w:val="auto"/>
                      <w:kern w:val="2"/>
                      <w:sz w:val="21"/>
                      <w:szCs w:val="21"/>
                    </w:rPr>
                    <w:t>纳米隔热板</w:t>
                  </w:r>
                </w:p>
              </w:tc>
              <w:tc>
                <w:tcPr>
                  <w:tcW w:w="1204" w:type="dxa"/>
                  <w:tcBorders>
                    <w:top w:val="single" w:color="auto" w:sz="4" w:space="0"/>
                    <w:left w:val="single" w:color="auto" w:sz="4" w:space="0"/>
                    <w:bottom w:val="single" w:color="auto" w:sz="4" w:space="0"/>
                    <w:right w:val="single" w:color="auto" w:sz="4" w:space="0"/>
                  </w:tcBorders>
                  <w:shd w:val="clear" w:color="auto" w:fill="auto"/>
                  <w:vAlign w:val="center"/>
                </w:tcPr>
                <w:p w14:paraId="75BAF429">
                  <w:pPr>
                    <w:pStyle w:val="19"/>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jc w:val="center"/>
                    <w:textAlignment w:val="auto"/>
                    <w:rPr>
                      <w:rFonts w:hint="default" w:ascii="Times New Roman" w:hAnsi="Times New Roman" w:eastAsia="宋体" w:cs="Times New Roman"/>
                      <w:color w:val="auto"/>
                      <w:kern w:val="2"/>
                      <w:sz w:val="21"/>
                      <w:szCs w:val="21"/>
                    </w:rPr>
                  </w:pPr>
                  <w:r>
                    <w:rPr>
                      <w:rFonts w:hint="default" w:ascii="Times New Roman" w:hAnsi="Times New Roman" w:eastAsia="宋体" w:cs="Times New Roman"/>
                      <w:color w:val="auto"/>
                      <w:kern w:val="2"/>
                      <w:sz w:val="21"/>
                      <w:szCs w:val="21"/>
                    </w:rPr>
                    <w:t>678.1</w:t>
                  </w:r>
                </w:p>
              </w:tc>
            </w:tr>
            <w:tr w14:paraId="4E3DED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560" w:type="dxa"/>
                  <w:tcBorders>
                    <w:top w:val="single" w:color="auto" w:sz="4" w:space="0"/>
                    <w:left w:val="single" w:color="auto" w:sz="4" w:space="0"/>
                    <w:bottom w:val="single" w:color="auto" w:sz="4" w:space="0"/>
                    <w:right w:val="single" w:color="auto" w:sz="4" w:space="0"/>
                  </w:tcBorders>
                  <w:shd w:val="clear" w:color="auto" w:fill="auto"/>
                  <w:vAlign w:val="center"/>
                </w:tcPr>
                <w:p w14:paraId="1382AA91">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leftChars="0" w:right="0" w:rightChars="0"/>
                    <w:jc w:val="center"/>
                    <w:textAlignment w:val="auto"/>
                    <w:rPr>
                      <w:rFonts w:hint="default" w:ascii="Times New Roman" w:hAnsi="Times New Roman" w:eastAsia="宋体" w:cs="Times New Roman"/>
                      <w:color w:val="auto"/>
                      <w:kern w:val="2"/>
                      <w:sz w:val="21"/>
                      <w:szCs w:val="21"/>
                    </w:rPr>
                  </w:pPr>
                  <w:r>
                    <w:rPr>
                      <w:rFonts w:hint="default" w:ascii="Times New Roman" w:hAnsi="Times New Roman" w:eastAsia="宋体" w:cs="Times New Roman"/>
                      <w:color w:val="auto"/>
                      <w:kern w:val="2"/>
                      <w:sz w:val="21"/>
                      <w:szCs w:val="21"/>
                      <w:lang w:val="en-US" w:eastAsia="zh-CN" w:bidi="ar"/>
                    </w:rPr>
                    <w:t>2</w:t>
                  </w:r>
                </w:p>
              </w:tc>
              <w:tc>
                <w:tcPr>
                  <w:tcW w:w="1875" w:type="dxa"/>
                  <w:tcBorders>
                    <w:top w:val="single" w:color="auto" w:sz="4" w:space="0"/>
                    <w:left w:val="single" w:color="auto" w:sz="4" w:space="0"/>
                    <w:bottom w:val="single" w:color="auto" w:sz="4" w:space="0"/>
                    <w:right w:val="single" w:color="auto" w:sz="4" w:space="0"/>
                  </w:tcBorders>
                  <w:shd w:val="clear" w:color="auto" w:fill="auto"/>
                  <w:vAlign w:val="center"/>
                </w:tcPr>
                <w:p w14:paraId="01A83759">
                  <w:pPr>
                    <w:keepNext w:val="0"/>
                    <w:keepLines w:val="0"/>
                    <w:pageBreakBefore w:val="0"/>
                    <w:suppressLineNumbers w:val="0"/>
                    <w:kinsoku/>
                    <w:wordWrap/>
                    <w:overflowPunct/>
                    <w:topLinePunct w:val="0"/>
                    <w:autoSpaceDE/>
                    <w:autoSpaceDN/>
                    <w:bidi w:val="0"/>
                    <w:adjustRightInd/>
                    <w:snapToGrid/>
                    <w:spacing w:before="0" w:beforeAutospacing="0" w:after="0" w:afterAutospacing="0"/>
                    <w:ind w:left="0" w:leftChars="0" w:right="0" w:rightChars="0"/>
                    <w:jc w:val="center"/>
                    <w:textAlignment w:val="auto"/>
                    <w:rPr>
                      <w:rFonts w:hint="default" w:ascii="Times New Roman" w:hAnsi="Times New Roman" w:eastAsia="宋体" w:cs="Times New Roman"/>
                      <w:color w:val="auto"/>
                      <w:kern w:val="2"/>
                      <w:sz w:val="21"/>
                      <w:szCs w:val="21"/>
                      <w:lang w:val="en-US" w:eastAsia="zh-CN" w:bidi="ar-SA"/>
                    </w:rPr>
                  </w:pPr>
                  <w:r>
                    <w:rPr>
                      <w:rFonts w:hint="eastAsia" w:ascii="Times New Roman" w:hAnsi="Times New Roman" w:eastAsia="宋体" w:cs="Times New Roman"/>
                      <w:color w:val="auto"/>
                      <w:szCs w:val="21"/>
                    </w:rPr>
                    <w:t>高含硅烧结纤丝</w:t>
                  </w:r>
                </w:p>
              </w:tc>
              <w:tc>
                <w:tcPr>
                  <w:tcW w:w="1541" w:type="dxa"/>
                  <w:tcBorders>
                    <w:top w:val="single" w:color="auto" w:sz="4" w:space="0"/>
                    <w:left w:val="single" w:color="auto" w:sz="4" w:space="0"/>
                    <w:bottom w:val="single" w:color="auto" w:sz="4" w:space="0"/>
                    <w:right w:val="single" w:color="auto" w:sz="4" w:space="0"/>
                  </w:tcBorders>
                  <w:shd w:val="clear" w:color="auto" w:fill="auto"/>
                  <w:vAlign w:val="center"/>
                </w:tcPr>
                <w:p w14:paraId="11DE950B">
                  <w:pPr>
                    <w:keepNext w:val="0"/>
                    <w:keepLines w:val="0"/>
                    <w:pageBreakBefore w:val="0"/>
                    <w:suppressLineNumbers w:val="0"/>
                    <w:kinsoku/>
                    <w:wordWrap/>
                    <w:overflowPunct/>
                    <w:topLinePunct w:val="0"/>
                    <w:autoSpaceDE/>
                    <w:autoSpaceDN/>
                    <w:bidi w:val="0"/>
                    <w:adjustRightInd/>
                    <w:snapToGrid/>
                    <w:spacing w:before="0" w:beforeAutospacing="0" w:after="0" w:afterAutospacing="0"/>
                    <w:ind w:left="0" w:leftChars="0" w:right="0" w:rightChars="0"/>
                    <w:jc w:val="center"/>
                    <w:textAlignment w:val="auto"/>
                    <w:rPr>
                      <w:rFonts w:hint="default" w:ascii="Times New Roman" w:hAnsi="Times New Roman" w:eastAsia="宋体" w:cs="Times New Roman"/>
                      <w:color w:val="auto"/>
                      <w:kern w:val="2"/>
                      <w:sz w:val="21"/>
                      <w:szCs w:val="21"/>
                      <w:lang w:val="en-US" w:eastAsia="zh-CN" w:bidi="ar-SA"/>
                    </w:rPr>
                  </w:pPr>
                  <w:r>
                    <w:rPr>
                      <w:rFonts w:hint="eastAsia" w:ascii="Times New Roman" w:hAnsi="Times New Roman" w:eastAsia="宋体" w:cs="Times New Roman"/>
                      <w:color w:val="auto"/>
                      <w:szCs w:val="21"/>
                    </w:rPr>
                    <w:t>46吨</w:t>
                  </w:r>
                </w:p>
              </w:tc>
              <w:tc>
                <w:tcPr>
                  <w:tcW w:w="1410" w:type="dxa"/>
                  <w:tcBorders>
                    <w:top w:val="single" w:color="auto" w:sz="4" w:space="0"/>
                    <w:left w:val="single" w:color="auto" w:sz="4" w:space="0"/>
                    <w:bottom w:val="single" w:color="auto" w:sz="4" w:space="0"/>
                    <w:right w:val="single" w:color="auto" w:sz="4" w:space="0"/>
                  </w:tcBorders>
                  <w:shd w:val="clear" w:color="auto" w:fill="auto"/>
                  <w:vAlign w:val="center"/>
                </w:tcPr>
                <w:p w14:paraId="7E260123">
                  <w:pPr>
                    <w:pStyle w:val="10"/>
                    <w:keepNext w:val="0"/>
                    <w:keepLines w:val="0"/>
                    <w:pageBreakBefore w:val="0"/>
                    <w:suppressLineNumbers w:val="0"/>
                    <w:kinsoku/>
                    <w:wordWrap/>
                    <w:overflowPunct/>
                    <w:topLinePunct w:val="0"/>
                    <w:autoSpaceDE/>
                    <w:autoSpaceDN/>
                    <w:bidi w:val="0"/>
                    <w:adjustRightInd/>
                    <w:snapToGrid/>
                    <w:spacing w:before="0" w:beforeAutospacing="0" w:after="0" w:afterAutospacing="0"/>
                    <w:ind w:left="0" w:leftChars="0" w:right="0" w:rightChars="0"/>
                    <w:jc w:val="center"/>
                    <w:textAlignment w:val="auto"/>
                    <w:rPr>
                      <w:rFonts w:hint="default" w:ascii="Times New Roman" w:hAnsi="Times New Roman" w:eastAsia="宋体" w:cs="Times New Roman"/>
                      <w:color w:val="auto"/>
                      <w:kern w:val="2"/>
                      <w:sz w:val="21"/>
                      <w:szCs w:val="21"/>
                      <w:lang w:val="en-US" w:eastAsia="zh-CN" w:bidi="ar-SA"/>
                    </w:rPr>
                  </w:pPr>
                  <w:r>
                    <w:rPr>
                      <w:rFonts w:hint="default" w:ascii="Times New Roman" w:hAnsi="Times New Roman" w:eastAsia="宋体" w:cs="Times New Roman"/>
                      <w:color w:val="auto"/>
                      <w:szCs w:val="21"/>
                    </w:rPr>
                    <w:t>拆包粉尘、投料粉尘</w:t>
                  </w:r>
                </w:p>
              </w:tc>
              <w:tc>
                <w:tcPr>
                  <w:tcW w:w="1595" w:type="dxa"/>
                  <w:tcBorders>
                    <w:top w:val="single" w:color="auto" w:sz="4" w:space="0"/>
                    <w:left w:val="single" w:color="auto" w:sz="4" w:space="0"/>
                    <w:bottom w:val="single" w:color="auto" w:sz="4" w:space="0"/>
                    <w:right w:val="single" w:color="auto" w:sz="4" w:space="0"/>
                  </w:tcBorders>
                  <w:shd w:val="clear" w:color="auto" w:fill="auto"/>
                  <w:vAlign w:val="center"/>
                </w:tcPr>
                <w:p w14:paraId="213C6BE1">
                  <w:pPr>
                    <w:pStyle w:val="19"/>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jc w:val="center"/>
                    <w:textAlignment w:val="auto"/>
                    <w:rPr>
                      <w:rFonts w:hint="default" w:ascii="Times New Roman" w:hAnsi="Times New Roman" w:eastAsia="宋体" w:cs="Times New Roman"/>
                      <w:color w:val="auto"/>
                      <w:kern w:val="2"/>
                      <w:sz w:val="21"/>
                      <w:szCs w:val="21"/>
                    </w:rPr>
                  </w:pPr>
                  <w:r>
                    <w:rPr>
                      <w:rFonts w:hint="eastAsia" w:ascii="宋体" w:hAnsi="宋体" w:eastAsia="宋体" w:cs="宋体"/>
                      <w:color w:val="auto"/>
                      <w:kern w:val="2"/>
                      <w:sz w:val="21"/>
                      <w:szCs w:val="21"/>
                      <w:lang w:val="en-US" w:eastAsia="zh-CN" w:bidi="ar"/>
                    </w:rPr>
                    <w:t>颗粒物</w:t>
                  </w:r>
                </w:p>
              </w:tc>
              <w:tc>
                <w:tcPr>
                  <w:tcW w:w="1204" w:type="dxa"/>
                  <w:tcBorders>
                    <w:top w:val="single" w:color="auto" w:sz="4" w:space="0"/>
                    <w:left w:val="single" w:color="auto" w:sz="4" w:space="0"/>
                    <w:bottom w:val="single" w:color="auto" w:sz="4" w:space="0"/>
                    <w:right w:val="single" w:color="auto" w:sz="4" w:space="0"/>
                  </w:tcBorders>
                  <w:shd w:val="clear" w:color="auto" w:fill="auto"/>
                  <w:vAlign w:val="center"/>
                </w:tcPr>
                <w:p w14:paraId="11EE5447">
                  <w:pPr>
                    <w:pStyle w:val="19"/>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jc w:val="center"/>
                    <w:textAlignment w:val="auto"/>
                    <w:rPr>
                      <w:rFonts w:hint="default" w:ascii="Times New Roman" w:hAnsi="Times New Roman" w:eastAsia="宋体" w:cs="Times New Roman"/>
                      <w:color w:val="auto"/>
                      <w:kern w:val="2"/>
                      <w:sz w:val="21"/>
                      <w:szCs w:val="21"/>
                      <w:lang w:val="en-US" w:eastAsia="zh-CN"/>
                    </w:rPr>
                  </w:pPr>
                  <w:r>
                    <w:rPr>
                      <w:rFonts w:hint="eastAsia" w:ascii="Times New Roman" w:hAnsi="Times New Roman" w:eastAsia="宋体" w:cs="Times New Roman"/>
                      <w:color w:val="auto"/>
                      <w:kern w:val="2"/>
                      <w:sz w:val="21"/>
                      <w:szCs w:val="21"/>
                      <w:lang w:val="en-US" w:eastAsia="zh-CN"/>
                    </w:rPr>
                    <w:t>0.679</w:t>
                  </w:r>
                </w:p>
              </w:tc>
            </w:tr>
            <w:tr w14:paraId="415A7C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397" w:hRule="atLeast"/>
                <w:jc w:val="center"/>
              </w:trPr>
              <w:tc>
                <w:tcPr>
                  <w:tcW w:w="560" w:type="dxa"/>
                  <w:tcBorders>
                    <w:top w:val="single" w:color="auto" w:sz="4" w:space="0"/>
                    <w:left w:val="single" w:color="auto" w:sz="4" w:space="0"/>
                    <w:bottom w:val="single" w:color="auto" w:sz="4" w:space="0"/>
                    <w:right w:val="single" w:color="auto" w:sz="4" w:space="0"/>
                  </w:tcBorders>
                  <w:shd w:val="clear" w:color="auto" w:fill="auto"/>
                  <w:vAlign w:val="center"/>
                </w:tcPr>
                <w:p w14:paraId="6CDB6EBE">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leftChars="0" w:right="0" w:rightChars="0"/>
                    <w:jc w:val="center"/>
                    <w:textAlignment w:val="auto"/>
                    <w:rPr>
                      <w:rFonts w:hint="default" w:ascii="Times New Roman" w:hAnsi="Times New Roman" w:eastAsia="宋体" w:cs="Times New Roman"/>
                      <w:color w:val="auto"/>
                      <w:kern w:val="2"/>
                      <w:sz w:val="21"/>
                      <w:szCs w:val="21"/>
                    </w:rPr>
                  </w:pPr>
                  <w:r>
                    <w:rPr>
                      <w:rFonts w:hint="default" w:ascii="Times New Roman" w:hAnsi="Times New Roman" w:eastAsia="宋体" w:cs="Times New Roman"/>
                      <w:color w:val="auto"/>
                      <w:kern w:val="2"/>
                      <w:sz w:val="21"/>
                      <w:szCs w:val="21"/>
                      <w:lang w:val="en-US" w:eastAsia="zh-CN" w:bidi="ar"/>
                    </w:rPr>
                    <w:t>3</w:t>
                  </w:r>
                </w:p>
              </w:tc>
              <w:tc>
                <w:tcPr>
                  <w:tcW w:w="1875" w:type="dxa"/>
                  <w:tcBorders>
                    <w:top w:val="single" w:color="auto" w:sz="4" w:space="0"/>
                    <w:left w:val="single" w:color="auto" w:sz="4" w:space="0"/>
                    <w:bottom w:val="single" w:color="auto" w:sz="4" w:space="0"/>
                    <w:right w:val="single" w:color="auto" w:sz="4" w:space="0"/>
                  </w:tcBorders>
                  <w:shd w:val="clear" w:color="auto" w:fill="auto"/>
                  <w:vAlign w:val="center"/>
                </w:tcPr>
                <w:p w14:paraId="0769EB02">
                  <w:pPr>
                    <w:keepNext w:val="0"/>
                    <w:keepLines w:val="0"/>
                    <w:pageBreakBefore w:val="0"/>
                    <w:suppressLineNumbers w:val="0"/>
                    <w:kinsoku/>
                    <w:wordWrap/>
                    <w:overflowPunct/>
                    <w:topLinePunct w:val="0"/>
                    <w:autoSpaceDE/>
                    <w:autoSpaceDN/>
                    <w:bidi w:val="0"/>
                    <w:adjustRightInd/>
                    <w:snapToGrid/>
                    <w:spacing w:before="0" w:beforeAutospacing="0" w:after="0" w:afterAutospacing="0"/>
                    <w:ind w:left="0" w:leftChars="0" w:right="0" w:rightChars="0"/>
                    <w:jc w:val="center"/>
                    <w:textAlignment w:val="auto"/>
                    <w:rPr>
                      <w:rFonts w:hint="default" w:ascii="Times New Roman" w:hAnsi="Times New Roman" w:eastAsia="宋体" w:cs="Times New Roman"/>
                      <w:color w:val="auto"/>
                      <w:kern w:val="2"/>
                      <w:sz w:val="21"/>
                      <w:szCs w:val="21"/>
                      <w:lang w:val="en-US" w:eastAsia="zh-CN" w:bidi="ar-SA"/>
                    </w:rPr>
                  </w:pPr>
                  <w:r>
                    <w:rPr>
                      <w:rFonts w:hint="eastAsia" w:ascii="Times New Roman" w:hAnsi="Times New Roman" w:eastAsia="宋体" w:cs="Times New Roman"/>
                      <w:color w:val="auto"/>
                      <w:szCs w:val="21"/>
                    </w:rPr>
                    <w:t>碳化硅</w:t>
                  </w:r>
                </w:p>
              </w:tc>
              <w:tc>
                <w:tcPr>
                  <w:tcW w:w="1541" w:type="dxa"/>
                  <w:tcBorders>
                    <w:top w:val="single" w:color="auto" w:sz="4" w:space="0"/>
                    <w:left w:val="single" w:color="auto" w:sz="4" w:space="0"/>
                    <w:bottom w:val="single" w:color="auto" w:sz="4" w:space="0"/>
                    <w:right w:val="single" w:color="auto" w:sz="4" w:space="0"/>
                  </w:tcBorders>
                  <w:shd w:val="clear" w:color="auto" w:fill="auto"/>
                  <w:vAlign w:val="center"/>
                </w:tcPr>
                <w:p w14:paraId="7ED9B2AA">
                  <w:pPr>
                    <w:keepNext w:val="0"/>
                    <w:keepLines w:val="0"/>
                    <w:pageBreakBefore w:val="0"/>
                    <w:suppressLineNumbers w:val="0"/>
                    <w:kinsoku/>
                    <w:wordWrap/>
                    <w:overflowPunct/>
                    <w:topLinePunct w:val="0"/>
                    <w:autoSpaceDE/>
                    <w:autoSpaceDN/>
                    <w:bidi w:val="0"/>
                    <w:adjustRightInd/>
                    <w:snapToGrid/>
                    <w:spacing w:before="0" w:beforeAutospacing="0" w:after="0" w:afterAutospacing="0"/>
                    <w:ind w:left="0" w:leftChars="0" w:right="0" w:rightChars="0"/>
                    <w:jc w:val="center"/>
                    <w:textAlignment w:val="auto"/>
                    <w:rPr>
                      <w:rFonts w:hint="default" w:ascii="Times New Roman" w:hAnsi="Times New Roman" w:eastAsia="宋体" w:cs="Times New Roman"/>
                      <w:color w:val="auto"/>
                      <w:kern w:val="2"/>
                      <w:sz w:val="21"/>
                      <w:szCs w:val="21"/>
                      <w:lang w:val="en-US" w:eastAsia="zh-CN" w:bidi="ar-SA"/>
                    </w:rPr>
                  </w:pPr>
                  <w:r>
                    <w:rPr>
                      <w:rFonts w:hint="eastAsia" w:ascii="Times New Roman" w:hAnsi="Times New Roman" w:eastAsia="宋体" w:cs="Times New Roman"/>
                      <w:color w:val="auto"/>
                      <w:szCs w:val="21"/>
                    </w:rPr>
                    <w:t>100吨</w:t>
                  </w:r>
                </w:p>
              </w:tc>
              <w:tc>
                <w:tcPr>
                  <w:tcW w:w="1410" w:type="dxa"/>
                  <w:tcBorders>
                    <w:top w:val="single" w:color="auto" w:sz="4" w:space="0"/>
                    <w:left w:val="single" w:color="auto" w:sz="4" w:space="0"/>
                    <w:bottom w:val="single" w:color="auto" w:sz="4" w:space="0"/>
                    <w:right w:val="single" w:color="auto" w:sz="4" w:space="0"/>
                  </w:tcBorders>
                  <w:shd w:val="clear" w:color="auto" w:fill="auto"/>
                  <w:vAlign w:val="center"/>
                </w:tcPr>
                <w:p w14:paraId="283FE332">
                  <w:pPr>
                    <w:pStyle w:val="10"/>
                    <w:keepNext w:val="0"/>
                    <w:keepLines w:val="0"/>
                    <w:pageBreakBefore w:val="0"/>
                    <w:suppressLineNumbers w:val="0"/>
                    <w:kinsoku/>
                    <w:wordWrap/>
                    <w:overflowPunct/>
                    <w:topLinePunct w:val="0"/>
                    <w:autoSpaceDE/>
                    <w:autoSpaceDN/>
                    <w:bidi w:val="0"/>
                    <w:adjustRightInd/>
                    <w:snapToGrid/>
                    <w:spacing w:before="0" w:beforeAutospacing="0" w:after="0" w:afterAutospacing="0"/>
                    <w:ind w:left="0" w:leftChars="0" w:right="0" w:rightChars="0"/>
                    <w:jc w:val="center"/>
                    <w:textAlignment w:val="auto"/>
                    <w:rPr>
                      <w:rFonts w:hint="default" w:ascii="Times New Roman" w:hAnsi="Times New Roman" w:eastAsia="宋体" w:cs="Times New Roman"/>
                      <w:color w:val="auto"/>
                      <w:kern w:val="2"/>
                      <w:sz w:val="21"/>
                      <w:szCs w:val="21"/>
                      <w:lang w:val="en-US" w:eastAsia="zh-CN" w:bidi="ar-SA"/>
                    </w:rPr>
                  </w:pPr>
                  <w:r>
                    <w:rPr>
                      <w:rFonts w:hint="default" w:ascii="Times New Roman" w:hAnsi="Times New Roman" w:eastAsia="宋体" w:cs="Times New Roman"/>
                      <w:color w:val="auto"/>
                      <w:szCs w:val="21"/>
                    </w:rPr>
                    <w:t>出料粉尘</w:t>
                  </w:r>
                </w:p>
              </w:tc>
              <w:tc>
                <w:tcPr>
                  <w:tcW w:w="1595" w:type="dxa"/>
                  <w:tcBorders>
                    <w:top w:val="single" w:color="auto" w:sz="4" w:space="0"/>
                    <w:left w:val="single" w:color="auto" w:sz="4" w:space="0"/>
                    <w:bottom w:val="single" w:color="auto" w:sz="4" w:space="0"/>
                    <w:right w:val="single" w:color="auto" w:sz="4" w:space="0"/>
                  </w:tcBorders>
                  <w:shd w:val="clear" w:color="auto" w:fill="auto"/>
                  <w:vAlign w:val="center"/>
                </w:tcPr>
                <w:p w14:paraId="3A177FDD">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jc w:val="center"/>
                    <w:textAlignment w:val="auto"/>
                    <w:rPr>
                      <w:rFonts w:hint="default" w:ascii="Times New Roman" w:hAnsi="Times New Roman" w:eastAsia="宋体" w:cs="Times New Roman"/>
                      <w:color w:val="auto"/>
                      <w:kern w:val="2"/>
                      <w:sz w:val="21"/>
                      <w:szCs w:val="21"/>
                    </w:rPr>
                  </w:pPr>
                  <w:r>
                    <w:rPr>
                      <w:rFonts w:hint="eastAsia" w:ascii="宋体" w:hAnsi="宋体" w:eastAsia="宋体" w:cs="宋体"/>
                      <w:color w:val="auto"/>
                      <w:kern w:val="2"/>
                      <w:sz w:val="21"/>
                      <w:szCs w:val="21"/>
                      <w:lang w:val="en-US" w:eastAsia="zh-CN" w:bidi="ar"/>
                    </w:rPr>
                    <w:t>颗粒物</w:t>
                  </w:r>
                </w:p>
              </w:tc>
              <w:tc>
                <w:tcPr>
                  <w:tcW w:w="1204" w:type="dxa"/>
                  <w:tcBorders>
                    <w:top w:val="single" w:color="auto" w:sz="4" w:space="0"/>
                    <w:left w:val="single" w:color="auto" w:sz="4" w:space="0"/>
                    <w:bottom w:val="single" w:color="auto" w:sz="4" w:space="0"/>
                    <w:right w:val="single" w:color="auto" w:sz="4" w:space="0"/>
                  </w:tcBorders>
                  <w:shd w:val="clear" w:color="auto" w:fill="auto"/>
                  <w:vAlign w:val="center"/>
                </w:tcPr>
                <w:p w14:paraId="7BE96AF1">
                  <w:pPr>
                    <w:pStyle w:val="19"/>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jc w:val="center"/>
                    <w:textAlignment w:val="auto"/>
                    <w:rPr>
                      <w:rFonts w:hint="default" w:ascii="Times New Roman" w:hAnsi="Times New Roman" w:eastAsia="宋体" w:cs="Times New Roman"/>
                      <w:color w:val="auto"/>
                      <w:kern w:val="2"/>
                      <w:sz w:val="21"/>
                      <w:szCs w:val="21"/>
                      <w:lang w:val="en-US" w:eastAsia="zh-CN"/>
                    </w:rPr>
                  </w:pPr>
                  <w:r>
                    <w:rPr>
                      <w:rFonts w:hint="eastAsia" w:ascii="Times New Roman" w:hAnsi="Times New Roman" w:eastAsia="宋体" w:cs="Times New Roman"/>
                      <w:color w:val="auto"/>
                      <w:kern w:val="2"/>
                      <w:sz w:val="21"/>
                      <w:szCs w:val="21"/>
                      <w:lang w:val="en-US" w:eastAsia="zh-CN"/>
                    </w:rPr>
                    <w:t>0.106</w:t>
                  </w:r>
                </w:p>
              </w:tc>
            </w:tr>
            <w:tr w14:paraId="5D7BDF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560" w:type="dxa"/>
                  <w:tcBorders>
                    <w:top w:val="single" w:color="auto" w:sz="4" w:space="0"/>
                    <w:left w:val="single" w:color="auto" w:sz="4" w:space="0"/>
                    <w:bottom w:val="single" w:color="auto" w:sz="4" w:space="0"/>
                    <w:right w:val="single" w:color="auto" w:sz="4" w:space="0"/>
                  </w:tcBorders>
                  <w:shd w:val="clear" w:color="auto" w:fill="auto"/>
                  <w:vAlign w:val="center"/>
                </w:tcPr>
                <w:p w14:paraId="048D08FF">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leftChars="0" w:right="0" w:rightChars="0"/>
                    <w:jc w:val="center"/>
                    <w:textAlignment w:val="auto"/>
                    <w:rPr>
                      <w:rFonts w:hint="default" w:ascii="Times New Roman" w:hAnsi="Times New Roman" w:eastAsia="宋体" w:cs="Times New Roman"/>
                      <w:color w:val="auto"/>
                      <w:kern w:val="2"/>
                      <w:sz w:val="21"/>
                      <w:szCs w:val="21"/>
                      <w:lang w:val="en-US" w:eastAsia="zh-CN" w:bidi="ar-SA"/>
                    </w:rPr>
                  </w:pPr>
                  <w:r>
                    <w:rPr>
                      <w:rFonts w:hint="default" w:ascii="Times New Roman" w:hAnsi="Times New Roman" w:eastAsia="宋体" w:cs="Times New Roman"/>
                      <w:color w:val="auto"/>
                      <w:kern w:val="2"/>
                      <w:sz w:val="21"/>
                      <w:szCs w:val="21"/>
                      <w:lang w:val="en-US" w:eastAsia="zh-CN" w:bidi="ar"/>
                    </w:rPr>
                    <w:t>4</w:t>
                  </w:r>
                </w:p>
              </w:tc>
              <w:tc>
                <w:tcPr>
                  <w:tcW w:w="1875" w:type="dxa"/>
                  <w:tcBorders>
                    <w:top w:val="single" w:color="auto" w:sz="4" w:space="0"/>
                    <w:left w:val="single" w:color="auto" w:sz="4" w:space="0"/>
                    <w:bottom w:val="single" w:color="auto" w:sz="4" w:space="0"/>
                    <w:right w:val="single" w:color="auto" w:sz="4" w:space="0"/>
                  </w:tcBorders>
                  <w:shd w:val="clear" w:color="auto" w:fill="auto"/>
                  <w:vAlign w:val="center"/>
                </w:tcPr>
                <w:p w14:paraId="58848430">
                  <w:pPr>
                    <w:keepNext w:val="0"/>
                    <w:keepLines w:val="0"/>
                    <w:pageBreakBefore w:val="0"/>
                    <w:suppressLineNumbers w:val="0"/>
                    <w:kinsoku/>
                    <w:wordWrap/>
                    <w:overflowPunct/>
                    <w:topLinePunct w:val="0"/>
                    <w:autoSpaceDE/>
                    <w:autoSpaceDN/>
                    <w:bidi w:val="0"/>
                    <w:adjustRightInd/>
                    <w:snapToGrid/>
                    <w:spacing w:before="0" w:beforeAutospacing="0" w:after="0" w:afterAutospacing="0"/>
                    <w:ind w:left="0" w:leftChars="0" w:right="0" w:rightChars="0"/>
                    <w:jc w:val="center"/>
                    <w:textAlignment w:val="auto"/>
                    <w:rPr>
                      <w:rFonts w:hint="eastAsia" w:ascii="Times New Roman" w:hAnsi="Times New Roman" w:eastAsia="宋体" w:cs="Times New Roman"/>
                      <w:color w:val="auto"/>
                      <w:kern w:val="2"/>
                      <w:sz w:val="21"/>
                      <w:szCs w:val="21"/>
                      <w:lang w:val="en-US" w:eastAsia="zh-CN" w:bidi="ar-SA"/>
                    </w:rPr>
                  </w:pPr>
                  <w:r>
                    <w:rPr>
                      <w:rFonts w:hint="eastAsia" w:ascii="Times New Roman" w:hAnsi="Times New Roman" w:eastAsia="宋体" w:cs="Times New Roman"/>
                      <w:color w:val="auto"/>
                      <w:szCs w:val="21"/>
                    </w:rPr>
                    <w:t>PET膜</w:t>
                  </w:r>
                </w:p>
              </w:tc>
              <w:tc>
                <w:tcPr>
                  <w:tcW w:w="1541" w:type="dxa"/>
                  <w:tcBorders>
                    <w:top w:val="single" w:color="auto" w:sz="4" w:space="0"/>
                    <w:left w:val="single" w:color="auto" w:sz="4" w:space="0"/>
                    <w:bottom w:val="single" w:color="auto" w:sz="4" w:space="0"/>
                    <w:right w:val="single" w:color="auto" w:sz="4" w:space="0"/>
                  </w:tcBorders>
                  <w:shd w:val="clear" w:color="auto" w:fill="auto"/>
                  <w:vAlign w:val="center"/>
                </w:tcPr>
                <w:p w14:paraId="61AC5B63">
                  <w:pPr>
                    <w:keepNext w:val="0"/>
                    <w:keepLines w:val="0"/>
                    <w:suppressLineNumbers w:val="0"/>
                    <w:spacing w:before="0" w:beforeAutospacing="0" w:after="0" w:afterAutospacing="0"/>
                    <w:ind w:left="0" w:leftChars="0" w:right="0" w:rightChars="0"/>
                    <w:jc w:val="center"/>
                    <w:rPr>
                      <w:rFonts w:hint="eastAsia" w:ascii="Times New Roman" w:hAnsi="Times New Roman" w:eastAsia="宋体" w:cs="Times New Roman"/>
                      <w:color w:val="auto"/>
                      <w:kern w:val="2"/>
                      <w:sz w:val="21"/>
                      <w:szCs w:val="21"/>
                      <w:lang w:val="en-US" w:eastAsia="zh-CN" w:bidi="ar-SA"/>
                    </w:rPr>
                  </w:pPr>
                  <w:r>
                    <w:rPr>
                      <w:rFonts w:hint="eastAsia" w:ascii="Times New Roman" w:hAnsi="Times New Roman" w:eastAsia="宋体" w:cs="Times New Roman"/>
                      <w:color w:val="auto"/>
                      <w:szCs w:val="21"/>
                      <w:lang w:val="en-US" w:eastAsia="zh-CN"/>
                    </w:rPr>
                    <w:t>152.32万m</w:t>
                  </w:r>
                  <w:r>
                    <w:rPr>
                      <w:rFonts w:hint="eastAsia" w:ascii="Times New Roman" w:hAnsi="Times New Roman" w:eastAsia="宋体" w:cs="Times New Roman"/>
                      <w:color w:val="auto"/>
                      <w:szCs w:val="21"/>
                      <w:vertAlign w:val="superscript"/>
                      <w:lang w:val="en-US" w:eastAsia="zh-CN"/>
                    </w:rPr>
                    <w:t>2</w:t>
                  </w:r>
                  <w:r>
                    <w:rPr>
                      <w:rFonts w:hint="eastAsia" w:ascii="Times New Roman" w:hAnsi="Times New Roman" w:eastAsia="宋体" w:cs="Times New Roman"/>
                      <w:color w:val="auto"/>
                      <w:szCs w:val="21"/>
                      <w:lang w:val="en-US" w:eastAsia="zh-CN"/>
                    </w:rPr>
                    <w:t>（15.76）</w:t>
                  </w:r>
                </w:p>
              </w:tc>
              <w:tc>
                <w:tcPr>
                  <w:tcW w:w="1410" w:type="dxa"/>
                  <w:tcBorders>
                    <w:top w:val="single" w:color="auto" w:sz="4" w:space="0"/>
                    <w:left w:val="single" w:color="auto" w:sz="4" w:space="0"/>
                    <w:bottom w:val="single" w:color="auto" w:sz="4" w:space="0"/>
                    <w:right w:val="single" w:color="auto" w:sz="4" w:space="0"/>
                  </w:tcBorders>
                  <w:shd w:val="clear" w:color="auto" w:fill="auto"/>
                  <w:vAlign w:val="center"/>
                </w:tcPr>
                <w:p w14:paraId="5CF10FDD">
                  <w:pPr>
                    <w:pStyle w:val="10"/>
                    <w:keepNext w:val="0"/>
                    <w:keepLines w:val="0"/>
                    <w:pageBreakBefore w:val="0"/>
                    <w:suppressLineNumbers w:val="0"/>
                    <w:kinsoku/>
                    <w:wordWrap/>
                    <w:overflowPunct/>
                    <w:topLinePunct w:val="0"/>
                    <w:autoSpaceDE/>
                    <w:autoSpaceDN/>
                    <w:bidi w:val="0"/>
                    <w:adjustRightInd/>
                    <w:snapToGrid/>
                    <w:spacing w:before="0" w:beforeAutospacing="0" w:after="0" w:afterAutospacing="0"/>
                    <w:ind w:left="0" w:leftChars="0" w:right="0" w:rightChars="0"/>
                    <w:jc w:val="center"/>
                    <w:textAlignment w:val="auto"/>
                    <w:rPr>
                      <w:rFonts w:hint="default" w:ascii="Times New Roman" w:hAnsi="Times New Roman" w:eastAsia="宋体" w:cs="Times New Roman"/>
                      <w:color w:val="0000E1"/>
                      <w:szCs w:val="21"/>
                    </w:rPr>
                  </w:pPr>
                  <w:r>
                    <w:rPr>
                      <w:rFonts w:hint="default" w:ascii="Times New Roman" w:hAnsi="Times New Roman" w:eastAsia="宋体" w:cs="Times New Roman"/>
                      <w:color w:val="0000E1"/>
                      <w:szCs w:val="21"/>
                      <w:lang w:val="en-US" w:eastAsia="zh-CN"/>
                    </w:rPr>
                    <w:t>激光切割粉尘</w:t>
                  </w:r>
                </w:p>
              </w:tc>
              <w:tc>
                <w:tcPr>
                  <w:tcW w:w="1595" w:type="dxa"/>
                  <w:tcBorders>
                    <w:top w:val="single" w:color="auto" w:sz="4" w:space="0"/>
                    <w:left w:val="single" w:color="auto" w:sz="4" w:space="0"/>
                    <w:bottom w:val="single" w:color="auto" w:sz="4" w:space="0"/>
                    <w:right w:val="single" w:color="auto" w:sz="4" w:space="0"/>
                  </w:tcBorders>
                  <w:shd w:val="clear" w:color="auto" w:fill="auto"/>
                  <w:vAlign w:val="center"/>
                </w:tcPr>
                <w:p w14:paraId="1EC41ED6">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jc w:val="center"/>
                    <w:textAlignment w:val="auto"/>
                    <w:rPr>
                      <w:rFonts w:hint="eastAsia" w:ascii="宋体" w:hAnsi="宋体" w:eastAsia="宋体" w:cs="宋体"/>
                      <w:color w:val="0000E1"/>
                      <w:kern w:val="2"/>
                      <w:sz w:val="21"/>
                      <w:szCs w:val="21"/>
                      <w:lang w:val="en-US" w:eastAsia="zh-CN" w:bidi="ar"/>
                    </w:rPr>
                  </w:pPr>
                  <w:r>
                    <w:rPr>
                      <w:rFonts w:hint="eastAsia" w:ascii="宋体" w:hAnsi="宋体" w:eastAsia="宋体" w:cs="宋体"/>
                      <w:color w:val="0000E1"/>
                      <w:kern w:val="2"/>
                      <w:sz w:val="21"/>
                      <w:szCs w:val="21"/>
                      <w:lang w:val="en-US" w:eastAsia="zh-CN" w:bidi="ar"/>
                    </w:rPr>
                    <w:t>颗粒物</w:t>
                  </w:r>
                </w:p>
              </w:tc>
              <w:tc>
                <w:tcPr>
                  <w:tcW w:w="1204" w:type="dxa"/>
                  <w:tcBorders>
                    <w:top w:val="single" w:color="auto" w:sz="4" w:space="0"/>
                    <w:left w:val="single" w:color="auto" w:sz="4" w:space="0"/>
                    <w:bottom w:val="single" w:color="auto" w:sz="4" w:space="0"/>
                    <w:right w:val="single" w:color="auto" w:sz="4" w:space="0"/>
                  </w:tcBorders>
                  <w:shd w:val="clear" w:color="auto" w:fill="auto"/>
                  <w:vAlign w:val="center"/>
                </w:tcPr>
                <w:p w14:paraId="733F9240">
                  <w:pPr>
                    <w:pStyle w:val="19"/>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jc w:val="center"/>
                    <w:textAlignment w:val="auto"/>
                    <w:rPr>
                      <w:rFonts w:hint="default" w:ascii="Times New Roman" w:hAnsi="Times New Roman" w:eastAsia="宋体" w:cs="Times New Roman"/>
                      <w:color w:val="0000E1"/>
                      <w:kern w:val="2"/>
                      <w:sz w:val="21"/>
                      <w:szCs w:val="21"/>
                      <w:lang w:val="en-US" w:eastAsia="zh-CN"/>
                    </w:rPr>
                  </w:pPr>
                  <w:r>
                    <w:rPr>
                      <w:rFonts w:hint="eastAsia" w:ascii="Times New Roman" w:hAnsi="Times New Roman" w:cs="Times New Roman"/>
                      <w:color w:val="0000E1"/>
                      <w:kern w:val="2"/>
                      <w:sz w:val="21"/>
                      <w:szCs w:val="21"/>
                      <w:lang w:val="en-US" w:eastAsia="zh-CN"/>
                    </w:rPr>
                    <w:t>0.747</w:t>
                  </w:r>
                </w:p>
              </w:tc>
            </w:tr>
            <w:tr w14:paraId="045461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397" w:hRule="atLeast"/>
                <w:jc w:val="center"/>
              </w:trPr>
              <w:tc>
                <w:tcPr>
                  <w:tcW w:w="560" w:type="dxa"/>
                  <w:tcBorders>
                    <w:top w:val="single" w:color="auto" w:sz="4" w:space="0"/>
                    <w:left w:val="single" w:color="auto" w:sz="4" w:space="0"/>
                    <w:bottom w:val="single" w:color="auto" w:sz="4" w:space="0"/>
                    <w:right w:val="single" w:color="auto" w:sz="4" w:space="0"/>
                  </w:tcBorders>
                  <w:shd w:val="clear" w:color="auto" w:fill="auto"/>
                  <w:vAlign w:val="center"/>
                </w:tcPr>
                <w:p w14:paraId="1CB2567D">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leftChars="0" w:right="0" w:rightChars="0"/>
                    <w:jc w:val="center"/>
                    <w:textAlignment w:val="auto"/>
                    <w:rPr>
                      <w:rFonts w:hint="eastAsia" w:ascii="Times New Roman" w:hAnsi="Times New Roman" w:eastAsia="宋体" w:cs="Times New Roman"/>
                      <w:color w:val="auto"/>
                      <w:kern w:val="2"/>
                      <w:sz w:val="21"/>
                      <w:szCs w:val="21"/>
                      <w:lang w:val="en-US" w:eastAsia="zh-CN" w:bidi="ar-SA"/>
                    </w:rPr>
                  </w:pPr>
                  <w:r>
                    <w:rPr>
                      <w:rFonts w:hint="default" w:ascii="Times New Roman" w:hAnsi="Times New Roman" w:eastAsia="宋体" w:cs="Times New Roman"/>
                      <w:color w:val="auto"/>
                      <w:kern w:val="2"/>
                      <w:sz w:val="21"/>
                      <w:szCs w:val="21"/>
                      <w:lang w:val="en-US" w:eastAsia="zh-CN" w:bidi="ar"/>
                    </w:rPr>
                    <w:t>5</w:t>
                  </w:r>
                </w:p>
              </w:tc>
              <w:tc>
                <w:tcPr>
                  <w:tcW w:w="1875" w:type="dxa"/>
                  <w:tcBorders>
                    <w:top w:val="single" w:color="auto" w:sz="4" w:space="0"/>
                    <w:left w:val="single" w:color="auto" w:sz="4" w:space="0"/>
                    <w:bottom w:val="single" w:color="auto" w:sz="4" w:space="0"/>
                    <w:right w:val="single" w:color="auto" w:sz="4" w:space="0"/>
                  </w:tcBorders>
                  <w:shd w:val="clear" w:color="auto" w:fill="auto"/>
                  <w:vAlign w:val="center"/>
                </w:tcPr>
                <w:p w14:paraId="51878A6D">
                  <w:pPr>
                    <w:keepNext w:val="0"/>
                    <w:keepLines w:val="0"/>
                    <w:pageBreakBefore w:val="0"/>
                    <w:suppressLineNumbers w:val="0"/>
                    <w:kinsoku/>
                    <w:wordWrap/>
                    <w:overflowPunct/>
                    <w:topLinePunct w:val="0"/>
                    <w:autoSpaceDE/>
                    <w:autoSpaceDN/>
                    <w:bidi w:val="0"/>
                    <w:adjustRightInd/>
                    <w:snapToGrid/>
                    <w:spacing w:before="0" w:beforeAutospacing="0" w:after="0" w:afterAutospacing="0"/>
                    <w:ind w:left="0" w:leftChars="0" w:right="0" w:rightChars="0"/>
                    <w:jc w:val="center"/>
                    <w:textAlignment w:val="auto"/>
                    <w:rPr>
                      <w:rFonts w:hint="default" w:ascii="Times New Roman" w:hAnsi="Times New Roman" w:eastAsia="宋体" w:cs="Times New Roman"/>
                      <w:color w:val="0000E1"/>
                      <w:kern w:val="2"/>
                      <w:sz w:val="21"/>
                      <w:szCs w:val="21"/>
                      <w:highlight w:val="none"/>
                      <w:lang w:val="en-US" w:eastAsia="zh-CN" w:bidi="ar-SA"/>
                    </w:rPr>
                  </w:pPr>
                  <w:r>
                    <w:rPr>
                      <w:rFonts w:hint="eastAsia" w:ascii="Times New Roman" w:hAnsi="Times New Roman" w:eastAsia="宋体" w:cs="Times New Roman"/>
                      <w:color w:val="0000E1"/>
                      <w:szCs w:val="21"/>
                      <w:highlight w:val="none"/>
                      <w:lang w:val="en-US" w:eastAsia="zh-CN"/>
                    </w:rPr>
                    <w:t>陶瓷基料混合物</w:t>
                  </w:r>
                </w:p>
              </w:tc>
              <w:tc>
                <w:tcPr>
                  <w:tcW w:w="1541" w:type="dxa"/>
                  <w:tcBorders>
                    <w:top w:val="single" w:color="auto" w:sz="4" w:space="0"/>
                    <w:left w:val="single" w:color="auto" w:sz="4" w:space="0"/>
                    <w:bottom w:val="single" w:color="auto" w:sz="4" w:space="0"/>
                    <w:right w:val="single" w:color="auto" w:sz="4" w:space="0"/>
                  </w:tcBorders>
                  <w:shd w:val="clear" w:color="auto" w:fill="auto"/>
                  <w:vAlign w:val="center"/>
                </w:tcPr>
                <w:p w14:paraId="7F62A4F3">
                  <w:pPr>
                    <w:keepNext w:val="0"/>
                    <w:keepLines w:val="0"/>
                    <w:suppressLineNumbers w:val="0"/>
                    <w:spacing w:before="0" w:beforeAutospacing="0" w:after="0" w:afterAutospacing="0"/>
                    <w:ind w:left="0" w:leftChars="0" w:right="0" w:rightChars="0"/>
                    <w:jc w:val="center"/>
                    <w:rPr>
                      <w:rFonts w:hint="eastAsia" w:ascii="Times New Roman" w:hAnsi="Times New Roman" w:eastAsia="宋体" w:cs="Times New Roman"/>
                      <w:color w:val="0000E1"/>
                      <w:kern w:val="2"/>
                      <w:sz w:val="21"/>
                      <w:szCs w:val="21"/>
                      <w:lang w:val="en-US" w:eastAsia="zh-CN" w:bidi="ar-SA"/>
                    </w:rPr>
                  </w:pPr>
                  <w:r>
                    <w:rPr>
                      <w:rFonts w:hint="eastAsia" w:ascii="Times New Roman" w:hAnsi="Times New Roman" w:eastAsia="宋体" w:cs="Times New Roman"/>
                      <w:color w:val="0000E1"/>
                      <w:szCs w:val="21"/>
                      <w:lang w:val="en-US" w:eastAsia="zh-CN"/>
                    </w:rPr>
                    <w:t>228.75t</w:t>
                  </w:r>
                </w:p>
              </w:tc>
              <w:tc>
                <w:tcPr>
                  <w:tcW w:w="1410" w:type="dxa"/>
                  <w:tcBorders>
                    <w:top w:val="single" w:color="auto" w:sz="4" w:space="0"/>
                    <w:left w:val="single" w:color="auto" w:sz="4" w:space="0"/>
                    <w:bottom w:val="single" w:color="auto" w:sz="4" w:space="0"/>
                    <w:right w:val="single" w:color="auto" w:sz="4" w:space="0"/>
                  </w:tcBorders>
                  <w:shd w:val="clear" w:color="auto" w:fill="auto"/>
                  <w:vAlign w:val="center"/>
                </w:tcPr>
                <w:p w14:paraId="3472577E">
                  <w:pPr>
                    <w:pStyle w:val="10"/>
                    <w:keepNext w:val="0"/>
                    <w:keepLines w:val="0"/>
                    <w:pageBreakBefore w:val="0"/>
                    <w:suppressLineNumbers w:val="0"/>
                    <w:kinsoku/>
                    <w:wordWrap/>
                    <w:overflowPunct/>
                    <w:topLinePunct w:val="0"/>
                    <w:autoSpaceDE/>
                    <w:autoSpaceDN/>
                    <w:bidi w:val="0"/>
                    <w:adjustRightInd/>
                    <w:snapToGrid/>
                    <w:spacing w:before="0" w:beforeAutospacing="0" w:after="0" w:afterAutospacing="0"/>
                    <w:ind w:left="0" w:leftChars="0" w:right="0" w:rightChars="0"/>
                    <w:jc w:val="center"/>
                    <w:textAlignment w:val="auto"/>
                    <w:rPr>
                      <w:rFonts w:hint="default" w:ascii="Times New Roman" w:hAnsi="Times New Roman" w:eastAsia="宋体" w:cs="Times New Roman"/>
                      <w:color w:val="auto"/>
                      <w:kern w:val="2"/>
                      <w:sz w:val="21"/>
                      <w:szCs w:val="21"/>
                      <w:lang w:val="en-US" w:eastAsia="zh-CN" w:bidi="ar-SA"/>
                    </w:rPr>
                  </w:pPr>
                  <w:r>
                    <w:rPr>
                      <w:rFonts w:hint="default" w:ascii="Times New Roman" w:hAnsi="Times New Roman" w:eastAsia="宋体" w:cs="Times New Roman"/>
                      <w:color w:val="auto"/>
                      <w:szCs w:val="21"/>
                    </w:rPr>
                    <w:t>真空热合废气</w:t>
                  </w:r>
                </w:p>
              </w:tc>
              <w:tc>
                <w:tcPr>
                  <w:tcW w:w="1595" w:type="dxa"/>
                  <w:tcBorders>
                    <w:top w:val="single" w:color="auto" w:sz="4" w:space="0"/>
                    <w:left w:val="single" w:color="auto" w:sz="4" w:space="0"/>
                    <w:bottom w:val="single" w:color="auto" w:sz="4" w:space="0"/>
                    <w:right w:val="single" w:color="auto" w:sz="4" w:space="0"/>
                  </w:tcBorders>
                  <w:shd w:val="clear" w:color="auto" w:fill="auto"/>
                  <w:vAlign w:val="center"/>
                </w:tcPr>
                <w:p w14:paraId="11E658EF">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jc w:val="center"/>
                    <w:textAlignment w:val="auto"/>
                    <w:rPr>
                      <w:rFonts w:hint="default" w:ascii="Times New Roman" w:hAnsi="Times New Roman" w:eastAsia="宋体" w:cs="Times New Roman"/>
                      <w:color w:val="auto"/>
                      <w:kern w:val="2"/>
                      <w:sz w:val="21"/>
                      <w:szCs w:val="21"/>
                    </w:rPr>
                  </w:pPr>
                  <w:r>
                    <w:rPr>
                      <w:rFonts w:hint="eastAsia" w:ascii="宋体" w:hAnsi="宋体" w:eastAsia="宋体" w:cs="宋体"/>
                      <w:color w:val="auto"/>
                      <w:kern w:val="2"/>
                      <w:sz w:val="21"/>
                      <w:szCs w:val="21"/>
                      <w:lang w:val="en-US" w:eastAsia="zh-CN" w:bidi="ar"/>
                    </w:rPr>
                    <w:t>非甲烷总烃、臭气浓度</w:t>
                  </w:r>
                </w:p>
              </w:tc>
              <w:tc>
                <w:tcPr>
                  <w:tcW w:w="1204" w:type="dxa"/>
                  <w:tcBorders>
                    <w:top w:val="single" w:color="auto" w:sz="4" w:space="0"/>
                    <w:left w:val="single" w:color="auto" w:sz="4" w:space="0"/>
                    <w:bottom w:val="single" w:color="auto" w:sz="4" w:space="0"/>
                    <w:right w:val="single" w:color="auto" w:sz="4" w:space="0"/>
                  </w:tcBorders>
                  <w:shd w:val="clear" w:color="auto" w:fill="auto"/>
                  <w:vAlign w:val="center"/>
                </w:tcPr>
                <w:p w14:paraId="58F0CFFF">
                  <w:pPr>
                    <w:pStyle w:val="19"/>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jc w:val="center"/>
                    <w:textAlignment w:val="auto"/>
                    <w:rPr>
                      <w:rFonts w:hint="default" w:ascii="Times New Roman" w:hAnsi="Times New Roman" w:eastAsia="宋体" w:cs="Times New Roman"/>
                      <w:color w:val="auto"/>
                      <w:kern w:val="2"/>
                      <w:sz w:val="21"/>
                      <w:szCs w:val="21"/>
                      <w:lang w:val="en-US" w:eastAsia="zh-CN"/>
                    </w:rPr>
                  </w:pPr>
                  <w:r>
                    <w:rPr>
                      <w:rFonts w:hint="eastAsia" w:ascii="Times New Roman" w:hAnsi="Times New Roman" w:eastAsia="宋体" w:cs="Times New Roman"/>
                      <w:color w:val="auto"/>
                      <w:kern w:val="2"/>
                      <w:sz w:val="21"/>
                      <w:szCs w:val="21"/>
                      <w:lang w:val="en-US" w:eastAsia="zh-CN"/>
                    </w:rPr>
                    <w:t>0.003</w:t>
                  </w:r>
                </w:p>
              </w:tc>
            </w:tr>
            <w:tr w14:paraId="594279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560" w:type="dxa"/>
                  <w:tcBorders>
                    <w:top w:val="single" w:color="auto" w:sz="4" w:space="0"/>
                    <w:left w:val="single" w:color="auto" w:sz="4" w:space="0"/>
                    <w:bottom w:val="single" w:color="auto" w:sz="4" w:space="0"/>
                    <w:right w:val="single" w:color="auto" w:sz="4" w:space="0"/>
                  </w:tcBorders>
                  <w:shd w:val="clear" w:color="auto" w:fill="auto"/>
                  <w:vAlign w:val="center"/>
                </w:tcPr>
                <w:p w14:paraId="2E397240">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leftChars="0" w:right="0" w:rightChars="0"/>
                    <w:jc w:val="center"/>
                    <w:textAlignment w:val="auto"/>
                    <w:rPr>
                      <w:rFonts w:hint="default" w:ascii="Times New Roman" w:hAnsi="Times New Roman" w:eastAsia="宋体" w:cs="Times New Roman"/>
                      <w:color w:val="auto"/>
                      <w:kern w:val="2"/>
                      <w:sz w:val="21"/>
                      <w:szCs w:val="21"/>
                      <w:lang w:val="en-US" w:eastAsia="zh-CN" w:bidi="ar"/>
                    </w:rPr>
                  </w:pPr>
                  <w:r>
                    <w:rPr>
                      <w:rFonts w:hint="eastAsia" w:ascii="Times New Roman" w:hAnsi="Times New Roman" w:eastAsia="宋体" w:cs="Times New Roman"/>
                      <w:color w:val="auto"/>
                      <w:kern w:val="2"/>
                      <w:sz w:val="21"/>
                      <w:szCs w:val="21"/>
                      <w:lang w:val="en-US" w:eastAsia="zh-CN" w:bidi="ar"/>
                    </w:rPr>
                    <w:t>6</w:t>
                  </w:r>
                </w:p>
              </w:tc>
              <w:tc>
                <w:tcPr>
                  <w:tcW w:w="1875" w:type="dxa"/>
                  <w:tcBorders>
                    <w:top w:val="single" w:color="auto" w:sz="4" w:space="0"/>
                    <w:left w:val="single" w:color="auto" w:sz="4" w:space="0"/>
                    <w:right w:val="single" w:color="auto" w:sz="4" w:space="0"/>
                  </w:tcBorders>
                  <w:shd w:val="clear" w:color="auto" w:fill="auto"/>
                  <w:vAlign w:val="center"/>
                </w:tcPr>
                <w:p w14:paraId="4DB729F2">
                  <w:pPr>
                    <w:keepNext w:val="0"/>
                    <w:keepLines w:val="0"/>
                    <w:pageBreakBefore w:val="0"/>
                    <w:suppressLineNumbers w:val="0"/>
                    <w:kinsoku/>
                    <w:wordWrap/>
                    <w:overflowPunct/>
                    <w:topLinePunct w:val="0"/>
                    <w:autoSpaceDE/>
                    <w:autoSpaceDN/>
                    <w:bidi w:val="0"/>
                    <w:adjustRightInd/>
                    <w:snapToGrid/>
                    <w:spacing w:before="0" w:beforeAutospacing="0" w:after="0" w:afterAutospacing="0"/>
                    <w:ind w:left="0" w:leftChars="0" w:right="0" w:rightChars="0"/>
                    <w:jc w:val="center"/>
                    <w:textAlignment w:val="auto"/>
                    <w:rPr>
                      <w:rFonts w:hint="eastAsia" w:ascii="Times New Roman" w:hAnsi="Times New Roman" w:eastAsia="宋体" w:cs="Times New Roman"/>
                      <w:color w:val="auto"/>
                      <w:kern w:val="2"/>
                      <w:sz w:val="21"/>
                      <w:szCs w:val="21"/>
                      <w:lang w:val="en-US" w:eastAsia="zh-CN" w:bidi="ar"/>
                    </w:rPr>
                  </w:pPr>
                  <w:r>
                    <w:rPr>
                      <w:rFonts w:hint="eastAsia" w:ascii="Times New Roman" w:hAnsi="Times New Roman" w:eastAsia="宋体" w:cs="Times New Roman"/>
                      <w:color w:val="auto"/>
                      <w:szCs w:val="21"/>
                      <w:lang w:bidi="ar"/>
                    </w:rPr>
                    <w:t>双面胶</w:t>
                  </w:r>
                </w:p>
              </w:tc>
              <w:tc>
                <w:tcPr>
                  <w:tcW w:w="1541" w:type="dxa"/>
                  <w:tcBorders>
                    <w:top w:val="single" w:color="auto" w:sz="4" w:space="0"/>
                    <w:left w:val="single" w:color="auto" w:sz="4" w:space="0"/>
                    <w:right w:val="single" w:color="auto" w:sz="4" w:space="0"/>
                  </w:tcBorders>
                  <w:shd w:val="clear" w:color="auto" w:fill="auto"/>
                  <w:vAlign w:val="center"/>
                </w:tcPr>
                <w:p w14:paraId="4BD20BDF">
                  <w:pPr>
                    <w:keepNext w:val="0"/>
                    <w:keepLines w:val="0"/>
                    <w:suppressLineNumbers w:val="0"/>
                    <w:spacing w:before="0" w:beforeAutospacing="0" w:after="0" w:afterAutospacing="0"/>
                    <w:ind w:left="0" w:right="0"/>
                    <w:jc w:val="center"/>
                    <w:rPr>
                      <w:rFonts w:hint="eastAsia" w:ascii="Times New Roman" w:hAnsi="Times New Roman" w:eastAsia="宋体" w:cs="Times New Roman"/>
                      <w:color w:val="auto"/>
                      <w:szCs w:val="21"/>
                      <w:lang w:val="en-US" w:eastAsia="zh-CN"/>
                    </w:rPr>
                  </w:pPr>
                  <w:r>
                    <w:rPr>
                      <w:rFonts w:hint="eastAsia" w:ascii="Times New Roman" w:hAnsi="Times New Roman" w:eastAsia="宋体" w:cs="Times New Roman"/>
                      <w:color w:val="auto"/>
                      <w:szCs w:val="21"/>
                      <w:lang w:val="en-US" w:eastAsia="zh-CN"/>
                    </w:rPr>
                    <w:t>50万m</w:t>
                  </w:r>
                  <w:r>
                    <w:rPr>
                      <w:rFonts w:hint="eastAsia" w:ascii="Times New Roman" w:hAnsi="Times New Roman" w:eastAsia="宋体" w:cs="Times New Roman"/>
                      <w:color w:val="auto"/>
                      <w:szCs w:val="21"/>
                      <w:vertAlign w:val="superscript"/>
                      <w:lang w:val="en-US" w:eastAsia="zh-CN"/>
                    </w:rPr>
                    <w:t>2</w:t>
                  </w:r>
                </w:p>
                <w:p w14:paraId="5A9397F5">
                  <w:pPr>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color w:val="auto"/>
                      <w:kern w:val="2"/>
                      <w:sz w:val="21"/>
                      <w:szCs w:val="21"/>
                      <w:lang w:val="en-US" w:eastAsia="zh-CN" w:bidi="ar-SA"/>
                    </w:rPr>
                  </w:pPr>
                  <w:r>
                    <w:rPr>
                      <w:rFonts w:hint="eastAsia" w:ascii="Times New Roman" w:hAnsi="Times New Roman" w:eastAsia="宋体" w:cs="Times New Roman"/>
                      <w:color w:val="auto"/>
                      <w:szCs w:val="21"/>
                      <w:lang w:val="en-US" w:eastAsia="zh-CN"/>
                    </w:rPr>
                    <w:t>（10t）</w:t>
                  </w:r>
                </w:p>
              </w:tc>
              <w:tc>
                <w:tcPr>
                  <w:tcW w:w="1410" w:type="dxa"/>
                  <w:tcBorders>
                    <w:top w:val="single" w:color="auto" w:sz="4" w:space="0"/>
                    <w:left w:val="single" w:color="auto" w:sz="4" w:space="0"/>
                    <w:bottom w:val="single" w:color="auto" w:sz="4" w:space="0"/>
                    <w:right w:val="single" w:color="auto" w:sz="4" w:space="0"/>
                  </w:tcBorders>
                  <w:shd w:val="clear" w:color="auto" w:fill="auto"/>
                  <w:vAlign w:val="center"/>
                </w:tcPr>
                <w:p w14:paraId="66F31CC3">
                  <w:pPr>
                    <w:pStyle w:val="10"/>
                    <w:keepNext w:val="0"/>
                    <w:keepLines w:val="0"/>
                    <w:pageBreakBefore w:val="0"/>
                    <w:suppressLineNumbers w:val="0"/>
                    <w:kinsoku/>
                    <w:wordWrap/>
                    <w:overflowPunct/>
                    <w:topLinePunct w:val="0"/>
                    <w:autoSpaceDE/>
                    <w:autoSpaceDN/>
                    <w:bidi w:val="0"/>
                    <w:adjustRightInd/>
                    <w:snapToGrid/>
                    <w:spacing w:before="0" w:beforeAutospacing="0" w:after="0" w:afterAutospacing="0"/>
                    <w:ind w:left="0" w:leftChars="0" w:right="0" w:rightChars="0"/>
                    <w:jc w:val="center"/>
                    <w:textAlignment w:val="auto"/>
                    <w:rPr>
                      <w:rFonts w:hint="default" w:ascii="Times New Roman" w:hAnsi="Times New Roman" w:eastAsia="宋体" w:cs="Times New Roman"/>
                      <w:color w:val="auto"/>
                      <w:szCs w:val="21"/>
                      <w:lang w:val="en-US" w:eastAsia="zh-CN"/>
                    </w:rPr>
                  </w:pPr>
                  <w:r>
                    <w:rPr>
                      <w:rFonts w:hint="eastAsia" w:ascii="Times New Roman" w:hAnsi="Times New Roman" w:eastAsia="宋体" w:cs="Times New Roman"/>
                      <w:color w:val="auto"/>
                      <w:szCs w:val="21"/>
                      <w:lang w:val="en-US" w:eastAsia="zh-CN"/>
                    </w:rPr>
                    <w:t>辅料成型废气</w:t>
                  </w:r>
                </w:p>
              </w:tc>
              <w:tc>
                <w:tcPr>
                  <w:tcW w:w="1595" w:type="dxa"/>
                  <w:tcBorders>
                    <w:top w:val="single" w:color="auto" w:sz="4" w:space="0"/>
                    <w:left w:val="single" w:color="auto" w:sz="4" w:space="0"/>
                    <w:bottom w:val="single" w:color="auto" w:sz="4" w:space="0"/>
                    <w:right w:val="single" w:color="auto" w:sz="4" w:space="0"/>
                  </w:tcBorders>
                  <w:shd w:val="clear" w:color="auto" w:fill="auto"/>
                  <w:vAlign w:val="center"/>
                </w:tcPr>
                <w:p w14:paraId="4C0CA1D8">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jc w:val="center"/>
                    <w:textAlignment w:val="auto"/>
                    <w:rPr>
                      <w:rFonts w:hint="eastAsia" w:ascii="宋体" w:hAnsi="宋体" w:eastAsia="宋体" w:cs="宋体"/>
                      <w:color w:val="auto"/>
                      <w:kern w:val="2"/>
                      <w:sz w:val="21"/>
                      <w:szCs w:val="21"/>
                      <w:lang w:val="en-US" w:eastAsia="zh-CN" w:bidi="ar"/>
                    </w:rPr>
                  </w:pPr>
                  <w:r>
                    <w:rPr>
                      <w:rFonts w:hint="eastAsia" w:ascii="宋体" w:hAnsi="宋体" w:eastAsia="宋体" w:cs="宋体"/>
                      <w:color w:val="auto"/>
                      <w:kern w:val="2"/>
                      <w:sz w:val="21"/>
                      <w:szCs w:val="21"/>
                      <w:lang w:val="en-US" w:eastAsia="zh-CN" w:bidi="ar"/>
                    </w:rPr>
                    <w:t>非甲烷总烃、臭气浓度</w:t>
                  </w:r>
                </w:p>
              </w:tc>
              <w:tc>
                <w:tcPr>
                  <w:tcW w:w="1204" w:type="dxa"/>
                  <w:tcBorders>
                    <w:top w:val="single" w:color="auto" w:sz="4" w:space="0"/>
                    <w:left w:val="single" w:color="auto" w:sz="4" w:space="0"/>
                    <w:bottom w:val="single" w:color="auto" w:sz="4" w:space="0"/>
                    <w:right w:val="single" w:color="auto" w:sz="4" w:space="0"/>
                  </w:tcBorders>
                  <w:shd w:val="clear" w:color="auto" w:fill="auto"/>
                  <w:vAlign w:val="center"/>
                </w:tcPr>
                <w:p w14:paraId="7FDD93E9">
                  <w:pPr>
                    <w:pStyle w:val="19"/>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jc w:val="center"/>
                    <w:textAlignment w:val="auto"/>
                    <w:rPr>
                      <w:rFonts w:hint="default" w:ascii="Times New Roman" w:hAnsi="Times New Roman" w:eastAsia="宋体" w:cs="Times New Roman"/>
                      <w:color w:val="auto"/>
                      <w:kern w:val="2"/>
                      <w:sz w:val="21"/>
                      <w:szCs w:val="21"/>
                      <w:lang w:val="en-US" w:eastAsia="zh-CN" w:bidi="ar"/>
                    </w:rPr>
                  </w:pPr>
                  <w:r>
                    <w:rPr>
                      <w:rFonts w:hint="eastAsia" w:ascii="Times New Roman" w:hAnsi="Times New Roman" w:cs="Times New Roman"/>
                      <w:color w:val="0000E1"/>
                      <w:kern w:val="2"/>
                      <w:sz w:val="21"/>
                      <w:szCs w:val="21"/>
                      <w:lang w:val="en-US" w:eastAsia="zh-CN" w:bidi="ar"/>
                    </w:rPr>
                    <w:t>0.123</w:t>
                  </w:r>
                </w:p>
              </w:tc>
            </w:tr>
            <w:tr w14:paraId="79170B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442" w:hRule="atLeast"/>
                <w:jc w:val="center"/>
              </w:trPr>
              <w:tc>
                <w:tcPr>
                  <w:tcW w:w="560" w:type="dxa"/>
                  <w:tcBorders>
                    <w:top w:val="single" w:color="auto" w:sz="4" w:space="0"/>
                    <w:left w:val="single" w:color="auto" w:sz="4" w:space="0"/>
                    <w:bottom w:val="single" w:color="auto" w:sz="4" w:space="0"/>
                    <w:right w:val="single" w:color="auto" w:sz="4" w:space="0"/>
                  </w:tcBorders>
                  <w:shd w:val="clear" w:color="auto" w:fill="auto"/>
                  <w:vAlign w:val="center"/>
                </w:tcPr>
                <w:p w14:paraId="4B5A4F91">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leftChars="0" w:right="0" w:rightChars="0"/>
                    <w:jc w:val="center"/>
                    <w:textAlignment w:val="auto"/>
                    <w:rPr>
                      <w:rFonts w:hint="default" w:ascii="Times New Roman" w:hAnsi="Times New Roman" w:eastAsia="宋体" w:cs="Times New Roman"/>
                      <w:color w:val="auto"/>
                      <w:kern w:val="2"/>
                      <w:sz w:val="21"/>
                      <w:szCs w:val="21"/>
                      <w:lang w:val="en-US" w:eastAsia="zh-CN" w:bidi="ar-SA"/>
                    </w:rPr>
                  </w:pPr>
                  <w:r>
                    <w:rPr>
                      <w:rFonts w:hint="eastAsia" w:ascii="Times New Roman" w:hAnsi="Times New Roman" w:eastAsia="宋体" w:cs="Times New Roman"/>
                      <w:color w:val="auto"/>
                      <w:kern w:val="2"/>
                      <w:sz w:val="21"/>
                      <w:szCs w:val="21"/>
                      <w:lang w:val="en-US" w:eastAsia="zh-CN" w:bidi="ar-SA"/>
                    </w:rPr>
                    <w:t>7</w:t>
                  </w:r>
                </w:p>
              </w:tc>
              <w:tc>
                <w:tcPr>
                  <w:tcW w:w="1875" w:type="dxa"/>
                  <w:tcBorders>
                    <w:left w:val="single" w:color="auto" w:sz="4" w:space="0"/>
                    <w:bottom w:val="single" w:color="auto" w:sz="4" w:space="0"/>
                    <w:right w:val="single" w:color="auto" w:sz="4" w:space="0"/>
                  </w:tcBorders>
                  <w:shd w:val="clear" w:color="auto" w:fill="auto"/>
                  <w:vAlign w:val="center"/>
                </w:tcPr>
                <w:p w14:paraId="5FBDA67A">
                  <w:pPr>
                    <w:keepNext w:val="0"/>
                    <w:keepLines w:val="0"/>
                    <w:pageBreakBefore w:val="0"/>
                    <w:suppressLineNumbers w:val="0"/>
                    <w:kinsoku/>
                    <w:wordWrap/>
                    <w:overflowPunct/>
                    <w:topLinePunct w:val="0"/>
                    <w:autoSpaceDE/>
                    <w:autoSpaceDN/>
                    <w:bidi w:val="0"/>
                    <w:adjustRightInd/>
                    <w:snapToGrid/>
                    <w:spacing w:before="0" w:beforeAutospacing="0" w:after="0" w:afterAutospacing="0"/>
                    <w:ind w:left="0" w:leftChars="0" w:right="0" w:rightChars="0"/>
                    <w:jc w:val="center"/>
                    <w:textAlignment w:val="auto"/>
                    <w:rPr>
                      <w:rFonts w:hint="eastAsia" w:ascii="Times New Roman" w:hAnsi="Times New Roman" w:eastAsia="宋体" w:cs="Times New Roman"/>
                      <w:color w:val="auto"/>
                      <w:kern w:val="2"/>
                      <w:sz w:val="21"/>
                      <w:szCs w:val="21"/>
                      <w:lang w:val="en-US" w:eastAsia="zh-CN" w:bidi="ar"/>
                    </w:rPr>
                  </w:pPr>
                </w:p>
              </w:tc>
              <w:tc>
                <w:tcPr>
                  <w:tcW w:w="1541" w:type="dxa"/>
                  <w:tcBorders>
                    <w:left w:val="single" w:color="auto" w:sz="4" w:space="0"/>
                    <w:bottom w:val="single" w:color="auto" w:sz="4" w:space="0"/>
                    <w:right w:val="single" w:color="auto" w:sz="4" w:space="0"/>
                  </w:tcBorders>
                  <w:shd w:val="clear" w:color="auto" w:fill="auto"/>
                  <w:vAlign w:val="center"/>
                </w:tcPr>
                <w:p w14:paraId="52674737">
                  <w:pPr>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color w:val="auto"/>
                      <w:kern w:val="2"/>
                      <w:sz w:val="21"/>
                      <w:szCs w:val="21"/>
                      <w:lang w:val="en-US" w:eastAsia="zh-CN" w:bidi="ar-SA"/>
                    </w:rPr>
                  </w:pPr>
                </w:p>
              </w:tc>
              <w:tc>
                <w:tcPr>
                  <w:tcW w:w="1410" w:type="dxa"/>
                  <w:vMerge w:val="restart"/>
                  <w:tcBorders>
                    <w:top w:val="single" w:color="auto" w:sz="4" w:space="0"/>
                    <w:left w:val="single" w:color="auto" w:sz="4" w:space="0"/>
                    <w:right w:val="single" w:color="auto" w:sz="4" w:space="0"/>
                  </w:tcBorders>
                  <w:shd w:val="clear" w:color="auto" w:fill="auto"/>
                  <w:vAlign w:val="center"/>
                </w:tcPr>
                <w:p w14:paraId="3B8B63C5">
                  <w:pPr>
                    <w:pStyle w:val="10"/>
                    <w:keepNext w:val="0"/>
                    <w:keepLines w:val="0"/>
                    <w:pageBreakBefore w:val="0"/>
                    <w:suppressLineNumbers w:val="0"/>
                    <w:kinsoku/>
                    <w:wordWrap/>
                    <w:overflowPunct/>
                    <w:topLinePunct w:val="0"/>
                    <w:autoSpaceDE/>
                    <w:autoSpaceDN/>
                    <w:bidi w:val="0"/>
                    <w:adjustRightInd/>
                    <w:snapToGrid/>
                    <w:spacing w:before="0" w:beforeAutospacing="0" w:after="0" w:afterAutospacing="0"/>
                    <w:ind w:left="0" w:leftChars="0" w:right="0" w:rightChars="0"/>
                    <w:jc w:val="center"/>
                    <w:textAlignment w:val="auto"/>
                    <w:rPr>
                      <w:rFonts w:hint="default" w:ascii="Times New Roman" w:hAnsi="Times New Roman" w:eastAsia="宋体" w:cs="Times New Roman"/>
                      <w:color w:val="auto"/>
                      <w:szCs w:val="21"/>
                      <w:lang w:val="en-US" w:eastAsia="zh-CN"/>
                    </w:rPr>
                  </w:pPr>
                  <w:r>
                    <w:rPr>
                      <w:rFonts w:hint="default" w:ascii="Times New Roman" w:hAnsi="Times New Roman" w:eastAsia="宋体" w:cs="Times New Roman"/>
                      <w:color w:val="auto"/>
                      <w:szCs w:val="21"/>
                    </w:rPr>
                    <w:t>固废</w:t>
                  </w:r>
                </w:p>
              </w:tc>
              <w:tc>
                <w:tcPr>
                  <w:tcW w:w="1595" w:type="dxa"/>
                  <w:tcBorders>
                    <w:top w:val="single" w:color="auto" w:sz="4" w:space="0"/>
                    <w:left w:val="single" w:color="auto" w:sz="4" w:space="0"/>
                    <w:bottom w:val="single" w:color="auto" w:sz="4" w:space="0"/>
                    <w:right w:val="single" w:color="auto" w:sz="4" w:space="0"/>
                  </w:tcBorders>
                  <w:shd w:val="clear" w:color="auto" w:fill="auto"/>
                  <w:vAlign w:val="center"/>
                </w:tcPr>
                <w:p w14:paraId="45C9CEC2">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leftChars="0" w:right="0" w:rightChars="0"/>
                    <w:jc w:val="center"/>
                    <w:textAlignment w:val="auto"/>
                    <w:rPr>
                      <w:rFonts w:hint="eastAsia" w:ascii="Times New Roman" w:hAnsi="Times New Roman" w:eastAsia="宋体" w:cs="Times New Roman"/>
                      <w:color w:val="auto"/>
                      <w:kern w:val="2"/>
                      <w:sz w:val="21"/>
                      <w:szCs w:val="21"/>
                      <w:lang w:val="en-US" w:eastAsia="zh-CN" w:bidi="ar-SA"/>
                    </w:rPr>
                  </w:pPr>
                  <w:r>
                    <w:rPr>
                      <w:rFonts w:hint="eastAsia" w:ascii="宋体" w:hAnsi="宋体" w:eastAsia="宋体" w:cs="宋体"/>
                      <w:color w:val="auto"/>
                      <w:kern w:val="2"/>
                      <w:sz w:val="21"/>
                      <w:szCs w:val="21"/>
                      <w:lang w:val="en-US" w:eastAsia="zh-CN" w:bidi="ar"/>
                    </w:rPr>
                    <w:t>废保护膜</w:t>
                  </w:r>
                </w:p>
              </w:tc>
              <w:tc>
                <w:tcPr>
                  <w:tcW w:w="1204" w:type="dxa"/>
                  <w:tcBorders>
                    <w:top w:val="single" w:color="auto" w:sz="4" w:space="0"/>
                    <w:left w:val="single" w:color="auto" w:sz="4" w:space="0"/>
                    <w:bottom w:val="single" w:color="auto" w:sz="4" w:space="0"/>
                    <w:right w:val="single" w:color="auto" w:sz="4" w:space="0"/>
                  </w:tcBorders>
                  <w:shd w:val="clear" w:color="auto" w:fill="auto"/>
                  <w:vAlign w:val="center"/>
                </w:tcPr>
                <w:p w14:paraId="164202B0">
                  <w:pPr>
                    <w:pStyle w:val="19"/>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leftChars="0" w:right="0" w:rightChars="0"/>
                    <w:jc w:val="center"/>
                    <w:textAlignment w:val="auto"/>
                    <w:rPr>
                      <w:rFonts w:hint="default" w:ascii="Times New Roman" w:hAnsi="Times New Roman" w:eastAsia="宋体" w:cs="Times New Roman"/>
                      <w:color w:val="auto"/>
                      <w:kern w:val="2"/>
                      <w:sz w:val="21"/>
                      <w:szCs w:val="21"/>
                      <w:lang w:val="en-US" w:eastAsia="zh-CN" w:bidi="ar"/>
                    </w:rPr>
                  </w:pPr>
                  <w:r>
                    <w:rPr>
                      <w:rFonts w:hint="eastAsia" w:ascii="Times New Roman" w:hAnsi="Times New Roman" w:cs="Times New Roman"/>
                      <w:color w:val="0000FF"/>
                      <w:kern w:val="2"/>
                      <w:sz w:val="21"/>
                      <w:szCs w:val="21"/>
                      <w:lang w:val="en-US" w:eastAsia="zh-CN"/>
                    </w:rPr>
                    <w:t>71.625</w:t>
                  </w:r>
                </w:p>
              </w:tc>
            </w:tr>
            <w:tr w14:paraId="0C6AE2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9" w:hRule="atLeast"/>
                <w:jc w:val="center"/>
              </w:trPr>
              <w:tc>
                <w:tcPr>
                  <w:tcW w:w="560" w:type="dxa"/>
                  <w:tcBorders>
                    <w:top w:val="single" w:color="auto" w:sz="4" w:space="0"/>
                    <w:left w:val="single" w:color="auto" w:sz="4" w:space="0"/>
                    <w:bottom w:val="single" w:color="auto" w:sz="4" w:space="0"/>
                    <w:right w:val="single" w:color="auto" w:sz="4" w:space="0"/>
                  </w:tcBorders>
                  <w:shd w:val="clear" w:color="auto" w:fill="auto"/>
                  <w:vAlign w:val="center"/>
                </w:tcPr>
                <w:p w14:paraId="1C2FBBCD">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leftChars="0" w:right="0" w:rightChars="0"/>
                    <w:jc w:val="center"/>
                    <w:textAlignment w:val="auto"/>
                    <w:rPr>
                      <w:rFonts w:hint="default" w:ascii="Times New Roman" w:hAnsi="Times New Roman" w:eastAsia="宋体" w:cs="Times New Roman"/>
                      <w:color w:val="auto"/>
                      <w:kern w:val="2"/>
                      <w:sz w:val="21"/>
                      <w:szCs w:val="21"/>
                      <w:lang w:val="en-US" w:eastAsia="zh-CN" w:bidi="ar"/>
                    </w:rPr>
                  </w:pPr>
                  <w:r>
                    <w:rPr>
                      <w:rFonts w:hint="eastAsia" w:ascii="Times New Roman" w:hAnsi="Times New Roman" w:eastAsia="宋体" w:cs="Times New Roman"/>
                      <w:color w:val="auto"/>
                      <w:kern w:val="2"/>
                      <w:sz w:val="21"/>
                      <w:szCs w:val="21"/>
                      <w:lang w:val="en-US" w:eastAsia="zh-CN" w:bidi="ar"/>
                    </w:rPr>
                    <w:t>8</w:t>
                  </w:r>
                </w:p>
              </w:tc>
              <w:tc>
                <w:tcPr>
                  <w:tcW w:w="1875" w:type="dxa"/>
                  <w:tcBorders>
                    <w:top w:val="single" w:color="auto" w:sz="4" w:space="0"/>
                    <w:left w:val="single" w:color="auto" w:sz="4" w:space="0"/>
                    <w:bottom w:val="single" w:color="auto" w:sz="4" w:space="0"/>
                    <w:right w:val="single" w:color="auto" w:sz="4" w:space="0"/>
                  </w:tcBorders>
                  <w:shd w:val="clear" w:color="auto" w:fill="auto"/>
                  <w:vAlign w:val="center"/>
                </w:tcPr>
                <w:p w14:paraId="03F5BC61">
                  <w:pPr>
                    <w:keepNext w:val="0"/>
                    <w:keepLines w:val="0"/>
                    <w:pageBreakBefore w:val="0"/>
                    <w:suppressLineNumbers w:val="0"/>
                    <w:kinsoku/>
                    <w:wordWrap/>
                    <w:overflowPunct/>
                    <w:topLinePunct w:val="0"/>
                    <w:autoSpaceDE/>
                    <w:autoSpaceDN/>
                    <w:bidi w:val="0"/>
                    <w:adjustRightInd/>
                    <w:snapToGrid/>
                    <w:spacing w:before="0" w:beforeAutospacing="0" w:after="0" w:afterAutospacing="0"/>
                    <w:ind w:left="0" w:leftChars="0" w:right="0" w:rightChars="0"/>
                    <w:jc w:val="center"/>
                    <w:textAlignment w:val="auto"/>
                    <w:rPr>
                      <w:rFonts w:hint="default" w:ascii="Times New Roman" w:hAnsi="Times New Roman" w:eastAsia="宋体" w:cs="Times New Roman"/>
                      <w:color w:val="auto"/>
                      <w:kern w:val="2"/>
                      <w:sz w:val="21"/>
                      <w:szCs w:val="21"/>
                      <w:lang w:val="en-US" w:eastAsia="zh-CN" w:bidi="ar"/>
                    </w:rPr>
                  </w:pPr>
                </w:p>
              </w:tc>
              <w:tc>
                <w:tcPr>
                  <w:tcW w:w="1541" w:type="dxa"/>
                  <w:tcBorders>
                    <w:top w:val="single" w:color="auto" w:sz="4" w:space="0"/>
                    <w:left w:val="single" w:color="auto" w:sz="4" w:space="0"/>
                    <w:bottom w:val="single" w:color="auto" w:sz="4" w:space="0"/>
                    <w:right w:val="single" w:color="auto" w:sz="4" w:space="0"/>
                  </w:tcBorders>
                  <w:shd w:val="clear" w:color="auto" w:fill="auto"/>
                  <w:vAlign w:val="center"/>
                </w:tcPr>
                <w:p w14:paraId="7399D880">
                  <w:pPr>
                    <w:keepNext w:val="0"/>
                    <w:keepLines w:val="0"/>
                    <w:suppressLineNumbers w:val="0"/>
                    <w:spacing w:before="0" w:beforeAutospacing="0" w:after="0" w:afterAutospacing="0"/>
                    <w:ind w:left="0" w:right="0"/>
                    <w:jc w:val="center"/>
                    <w:rPr>
                      <w:rFonts w:hint="eastAsia" w:ascii="Times New Roman" w:hAnsi="Times New Roman" w:eastAsia="宋体" w:cs="Times New Roman"/>
                      <w:color w:val="auto"/>
                      <w:szCs w:val="21"/>
                      <w:lang w:val="en-US" w:eastAsia="zh-CN"/>
                    </w:rPr>
                  </w:pPr>
                </w:p>
              </w:tc>
              <w:tc>
                <w:tcPr>
                  <w:tcW w:w="1410" w:type="dxa"/>
                  <w:vMerge w:val="continue"/>
                  <w:tcBorders>
                    <w:left w:val="single" w:color="auto" w:sz="4" w:space="0"/>
                    <w:right w:val="single" w:color="auto" w:sz="4" w:space="0"/>
                  </w:tcBorders>
                  <w:shd w:val="clear" w:color="auto" w:fill="auto"/>
                  <w:vAlign w:val="center"/>
                </w:tcPr>
                <w:p w14:paraId="25D2761A">
                  <w:pPr>
                    <w:keepNext w:val="0"/>
                    <w:keepLines w:val="0"/>
                    <w:pageBreakBefore w:val="0"/>
                    <w:suppressLineNumbers w:val="0"/>
                    <w:kinsoku/>
                    <w:wordWrap/>
                    <w:overflowPunct/>
                    <w:topLinePunct w:val="0"/>
                    <w:autoSpaceDE/>
                    <w:autoSpaceDN/>
                    <w:bidi w:val="0"/>
                    <w:adjustRightInd/>
                    <w:snapToGrid/>
                    <w:spacing w:before="0" w:beforeAutospacing="0" w:after="0" w:afterAutospacing="0"/>
                    <w:ind w:left="0" w:leftChars="0" w:right="0" w:rightChars="0"/>
                    <w:jc w:val="center"/>
                    <w:textAlignment w:val="auto"/>
                    <w:rPr>
                      <w:rFonts w:hint="default" w:ascii="Times New Roman" w:hAnsi="Times New Roman" w:eastAsia="宋体" w:cs="Times New Roman"/>
                      <w:color w:val="auto"/>
                      <w:kern w:val="2"/>
                      <w:sz w:val="21"/>
                      <w:szCs w:val="21"/>
                      <w:lang w:val="en-US" w:eastAsia="zh-CN" w:bidi="ar-SA"/>
                    </w:rPr>
                  </w:pPr>
                </w:p>
              </w:tc>
              <w:tc>
                <w:tcPr>
                  <w:tcW w:w="1595" w:type="dxa"/>
                  <w:tcBorders>
                    <w:top w:val="single" w:color="auto" w:sz="4" w:space="0"/>
                    <w:left w:val="single" w:color="auto" w:sz="4" w:space="0"/>
                    <w:bottom w:val="single" w:color="auto" w:sz="4" w:space="0"/>
                    <w:right w:val="single" w:color="auto" w:sz="4" w:space="0"/>
                  </w:tcBorders>
                  <w:shd w:val="clear" w:color="auto" w:fill="auto"/>
                  <w:vAlign w:val="center"/>
                </w:tcPr>
                <w:p w14:paraId="7DABEE65">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jc w:val="center"/>
                    <w:textAlignment w:val="auto"/>
                    <w:rPr>
                      <w:rFonts w:hint="eastAsia" w:ascii="宋体" w:hAnsi="宋体" w:eastAsia="宋体" w:cs="宋体"/>
                      <w:color w:val="0000E1"/>
                      <w:kern w:val="2"/>
                      <w:sz w:val="21"/>
                      <w:szCs w:val="21"/>
                      <w:lang w:val="en-US" w:eastAsia="zh-CN" w:bidi="ar"/>
                    </w:rPr>
                  </w:pPr>
                  <w:r>
                    <w:rPr>
                      <w:rFonts w:hint="eastAsia" w:ascii="宋体" w:hAnsi="宋体" w:eastAsia="宋体" w:cs="宋体"/>
                      <w:color w:val="0000E1"/>
                      <w:kern w:val="2"/>
                      <w:sz w:val="21"/>
                      <w:szCs w:val="21"/>
                      <w:lang w:val="en-US" w:eastAsia="zh-CN" w:bidi="ar"/>
                    </w:rPr>
                    <w:t>废泡棉条</w:t>
                  </w:r>
                </w:p>
                <w:p w14:paraId="015459F3">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leftChars="0" w:right="0" w:rightChars="0"/>
                    <w:jc w:val="center"/>
                    <w:textAlignment w:val="auto"/>
                    <w:rPr>
                      <w:rFonts w:hint="default" w:ascii="宋体" w:hAnsi="宋体" w:eastAsia="宋体" w:cs="宋体"/>
                      <w:color w:val="0000E1"/>
                      <w:kern w:val="2"/>
                      <w:sz w:val="21"/>
                      <w:szCs w:val="21"/>
                      <w:lang w:val="en-US" w:eastAsia="zh-CN" w:bidi="ar"/>
                    </w:rPr>
                  </w:pPr>
                  <w:r>
                    <w:rPr>
                      <w:rFonts w:hint="eastAsia" w:ascii="宋体" w:hAnsi="宋体" w:eastAsia="宋体" w:cs="宋体"/>
                      <w:color w:val="0000E1"/>
                      <w:kern w:val="2"/>
                      <w:sz w:val="21"/>
                      <w:szCs w:val="21"/>
                      <w:lang w:val="en-US" w:eastAsia="zh-CN" w:bidi="ar"/>
                    </w:rPr>
                    <w:t>（硅基条）</w:t>
                  </w:r>
                </w:p>
              </w:tc>
              <w:tc>
                <w:tcPr>
                  <w:tcW w:w="1204" w:type="dxa"/>
                  <w:tcBorders>
                    <w:top w:val="single" w:color="auto" w:sz="4" w:space="0"/>
                    <w:left w:val="single" w:color="auto" w:sz="4" w:space="0"/>
                    <w:bottom w:val="single" w:color="auto" w:sz="4" w:space="0"/>
                    <w:right w:val="single" w:color="auto" w:sz="4" w:space="0"/>
                  </w:tcBorders>
                  <w:shd w:val="clear" w:color="auto" w:fill="auto"/>
                  <w:vAlign w:val="center"/>
                </w:tcPr>
                <w:p w14:paraId="107DE5A0">
                  <w:pPr>
                    <w:pStyle w:val="19"/>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leftChars="0" w:right="0" w:rightChars="0"/>
                    <w:jc w:val="center"/>
                    <w:textAlignment w:val="auto"/>
                    <w:rPr>
                      <w:rFonts w:hint="default" w:ascii="Times New Roman" w:hAnsi="Times New Roman" w:eastAsia="宋体" w:cs="Times New Roman"/>
                      <w:color w:val="0000E1"/>
                      <w:kern w:val="2"/>
                      <w:sz w:val="21"/>
                      <w:szCs w:val="21"/>
                      <w:lang w:val="en-US" w:eastAsia="zh-CN" w:bidi="ar"/>
                    </w:rPr>
                  </w:pPr>
                  <w:r>
                    <w:rPr>
                      <w:rFonts w:hint="eastAsia" w:ascii="Times New Roman" w:hAnsi="Times New Roman" w:cs="Times New Roman"/>
                      <w:color w:val="0000E1"/>
                      <w:kern w:val="2"/>
                      <w:sz w:val="21"/>
                      <w:szCs w:val="21"/>
                      <w:lang w:val="en-US" w:eastAsia="zh-CN"/>
                    </w:rPr>
                    <w:t>45.75</w:t>
                  </w:r>
                </w:p>
              </w:tc>
            </w:tr>
            <w:tr w14:paraId="5CAF97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9" w:hRule="atLeast"/>
                <w:jc w:val="center"/>
              </w:trPr>
              <w:tc>
                <w:tcPr>
                  <w:tcW w:w="560" w:type="dxa"/>
                  <w:tcBorders>
                    <w:top w:val="single" w:color="auto" w:sz="4" w:space="0"/>
                    <w:left w:val="single" w:color="auto" w:sz="4" w:space="0"/>
                    <w:bottom w:val="single" w:color="auto" w:sz="4" w:space="0"/>
                    <w:right w:val="single" w:color="auto" w:sz="4" w:space="0"/>
                  </w:tcBorders>
                  <w:shd w:val="clear" w:color="auto" w:fill="auto"/>
                  <w:vAlign w:val="center"/>
                </w:tcPr>
                <w:p w14:paraId="6537E7F3">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leftChars="0" w:right="0" w:rightChars="0"/>
                    <w:jc w:val="center"/>
                    <w:textAlignment w:val="auto"/>
                    <w:rPr>
                      <w:rFonts w:hint="default" w:ascii="Times New Roman" w:hAnsi="Times New Roman" w:eastAsia="宋体" w:cs="Times New Roman"/>
                      <w:color w:val="auto"/>
                      <w:kern w:val="2"/>
                      <w:sz w:val="21"/>
                      <w:szCs w:val="21"/>
                      <w:lang w:val="en-US" w:eastAsia="zh-CN" w:bidi="ar-SA"/>
                    </w:rPr>
                  </w:pPr>
                  <w:r>
                    <w:rPr>
                      <w:rFonts w:hint="eastAsia" w:ascii="Times New Roman" w:hAnsi="Times New Roman" w:eastAsia="宋体" w:cs="Times New Roman"/>
                      <w:color w:val="auto"/>
                      <w:kern w:val="2"/>
                      <w:sz w:val="21"/>
                      <w:szCs w:val="21"/>
                      <w:lang w:val="en-US" w:eastAsia="zh-CN"/>
                    </w:rPr>
                    <w:t>9</w:t>
                  </w:r>
                </w:p>
              </w:tc>
              <w:tc>
                <w:tcPr>
                  <w:tcW w:w="1875" w:type="dxa"/>
                  <w:tcBorders>
                    <w:top w:val="single" w:color="auto" w:sz="4" w:space="0"/>
                    <w:left w:val="single" w:color="auto" w:sz="4" w:space="0"/>
                    <w:bottom w:val="single" w:color="auto" w:sz="4" w:space="0"/>
                    <w:right w:val="single" w:color="auto" w:sz="4" w:space="0"/>
                  </w:tcBorders>
                  <w:shd w:val="clear" w:color="auto" w:fill="auto"/>
                  <w:vAlign w:val="center"/>
                </w:tcPr>
                <w:p w14:paraId="57D4621C">
                  <w:pPr>
                    <w:keepNext w:val="0"/>
                    <w:keepLines w:val="0"/>
                    <w:pageBreakBefore w:val="0"/>
                    <w:suppressLineNumbers w:val="0"/>
                    <w:kinsoku/>
                    <w:wordWrap/>
                    <w:overflowPunct/>
                    <w:topLinePunct w:val="0"/>
                    <w:autoSpaceDE/>
                    <w:autoSpaceDN/>
                    <w:bidi w:val="0"/>
                    <w:adjustRightInd/>
                    <w:snapToGrid/>
                    <w:spacing w:before="0" w:beforeAutospacing="0" w:after="0" w:afterAutospacing="0"/>
                    <w:ind w:left="0" w:leftChars="0" w:right="0" w:rightChars="0"/>
                    <w:jc w:val="center"/>
                    <w:textAlignment w:val="auto"/>
                    <w:rPr>
                      <w:rFonts w:hint="eastAsia" w:ascii="Times New Roman" w:hAnsi="Times New Roman" w:eastAsia="宋体" w:cs="Times New Roman"/>
                      <w:color w:val="auto"/>
                      <w:szCs w:val="21"/>
                      <w:lang w:bidi="ar"/>
                    </w:rPr>
                  </w:pPr>
                </w:p>
              </w:tc>
              <w:tc>
                <w:tcPr>
                  <w:tcW w:w="1541" w:type="dxa"/>
                  <w:tcBorders>
                    <w:top w:val="single" w:color="auto" w:sz="4" w:space="0"/>
                    <w:left w:val="single" w:color="auto" w:sz="4" w:space="0"/>
                    <w:bottom w:val="single" w:color="auto" w:sz="4" w:space="0"/>
                    <w:right w:val="single" w:color="auto" w:sz="4" w:space="0"/>
                  </w:tcBorders>
                  <w:shd w:val="clear" w:color="auto" w:fill="auto"/>
                  <w:vAlign w:val="center"/>
                </w:tcPr>
                <w:p w14:paraId="667DEF51">
                  <w:pPr>
                    <w:keepNext w:val="0"/>
                    <w:keepLines w:val="0"/>
                    <w:suppressLineNumbers w:val="0"/>
                    <w:spacing w:before="0" w:beforeAutospacing="0" w:after="0" w:afterAutospacing="0"/>
                    <w:ind w:left="0" w:right="0"/>
                    <w:jc w:val="center"/>
                    <w:rPr>
                      <w:rFonts w:hint="eastAsia" w:ascii="Times New Roman" w:hAnsi="Times New Roman" w:eastAsia="宋体" w:cs="Times New Roman"/>
                      <w:color w:val="auto"/>
                      <w:szCs w:val="21"/>
                      <w:lang w:val="en-US" w:eastAsia="zh-CN"/>
                    </w:rPr>
                  </w:pPr>
                </w:p>
              </w:tc>
              <w:tc>
                <w:tcPr>
                  <w:tcW w:w="1410" w:type="dxa"/>
                  <w:vMerge w:val="continue"/>
                  <w:tcBorders>
                    <w:left w:val="single" w:color="auto" w:sz="4" w:space="0"/>
                    <w:right w:val="single" w:color="auto" w:sz="4" w:space="0"/>
                  </w:tcBorders>
                  <w:shd w:val="clear" w:color="auto" w:fill="auto"/>
                  <w:vAlign w:val="center"/>
                </w:tcPr>
                <w:p w14:paraId="6F58EFA2">
                  <w:pPr>
                    <w:keepNext w:val="0"/>
                    <w:keepLines w:val="0"/>
                    <w:pageBreakBefore w:val="0"/>
                    <w:suppressLineNumbers w:val="0"/>
                    <w:kinsoku/>
                    <w:wordWrap/>
                    <w:overflowPunct/>
                    <w:topLinePunct w:val="0"/>
                    <w:autoSpaceDE/>
                    <w:autoSpaceDN/>
                    <w:bidi w:val="0"/>
                    <w:adjustRightInd/>
                    <w:snapToGrid/>
                    <w:spacing w:before="0" w:beforeAutospacing="0" w:after="0" w:afterAutospacing="0"/>
                    <w:ind w:left="0" w:leftChars="0" w:right="0" w:rightChars="0"/>
                    <w:jc w:val="center"/>
                    <w:textAlignment w:val="auto"/>
                    <w:rPr>
                      <w:rFonts w:hint="default" w:ascii="Times New Roman" w:hAnsi="Times New Roman" w:eastAsia="宋体" w:cs="Times New Roman"/>
                      <w:color w:val="auto"/>
                      <w:szCs w:val="21"/>
                    </w:rPr>
                  </w:pPr>
                </w:p>
              </w:tc>
              <w:tc>
                <w:tcPr>
                  <w:tcW w:w="1595" w:type="dxa"/>
                  <w:tcBorders>
                    <w:top w:val="single" w:color="auto" w:sz="4" w:space="0"/>
                    <w:left w:val="single" w:color="auto" w:sz="4" w:space="0"/>
                    <w:bottom w:val="single" w:color="auto" w:sz="4" w:space="0"/>
                    <w:right w:val="single" w:color="auto" w:sz="4" w:space="0"/>
                  </w:tcBorders>
                  <w:shd w:val="clear" w:color="auto" w:fill="auto"/>
                  <w:vAlign w:val="center"/>
                </w:tcPr>
                <w:p w14:paraId="12961C69">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leftChars="0" w:right="0" w:rightChars="0"/>
                    <w:jc w:val="center"/>
                    <w:textAlignment w:val="auto"/>
                    <w:rPr>
                      <w:rFonts w:hint="eastAsia" w:ascii="Times New Roman" w:hAnsi="Times New Roman" w:eastAsia="宋体" w:cs="Times New Roman"/>
                      <w:color w:val="auto"/>
                      <w:kern w:val="2"/>
                      <w:sz w:val="21"/>
                      <w:szCs w:val="21"/>
                      <w:lang w:val="en-US" w:eastAsia="zh-CN" w:bidi="ar-SA"/>
                    </w:rPr>
                  </w:pPr>
                  <w:r>
                    <w:rPr>
                      <w:rFonts w:hint="eastAsia" w:ascii="宋体" w:hAnsi="宋体" w:eastAsia="宋体" w:cs="宋体"/>
                      <w:color w:val="auto"/>
                      <w:kern w:val="2"/>
                      <w:sz w:val="21"/>
                      <w:szCs w:val="21"/>
                      <w:lang w:val="en-US" w:eastAsia="zh-CN" w:bidi="ar"/>
                    </w:rPr>
                    <w:t>废边角料</w:t>
                  </w:r>
                </w:p>
              </w:tc>
              <w:tc>
                <w:tcPr>
                  <w:tcW w:w="1204" w:type="dxa"/>
                  <w:tcBorders>
                    <w:top w:val="single" w:color="auto" w:sz="4" w:space="0"/>
                    <w:left w:val="single" w:color="auto" w:sz="4" w:space="0"/>
                    <w:bottom w:val="single" w:color="auto" w:sz="4" w:space="0"/>
                    <w:right w:val="single" w:color="auto" w:sz="4" w:space="0"/>
                  </w:tcBorders>
                  <w:shd w:val="clear" w:color="auto" w:fill="auto"/>
                  <w:vAlign w:val="center"/>
                </w:tcPr>
                <w:p w14:paraId="5C735BB8">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leftChars="0" w:right="0" w:rightChars="0"/>
                    <w:jc w:val="center"/>
                    <w:textAlignment w:val="auto"/>
                    <w:rPr>
                      <w:rFonts w:hint="default" w:ascii="Times New Roman" w:hAnsi="Times New Roman" w:eastAsia="宋体" w:cs="Times New Roman"/>
                      <w:color w:val="0000E1"/>
                      <w:kern w:val="2"/>
                      <w:sz w:val="21"/>
                      <w:szCs w:val="21"/>
                      <w:highlight w:val="none"/>
                      <w:lang w:val="en-US" w:eastAsia="zh-CN" w:bidi="ar-SA"/>
                    </w:rPr>
                  </w:pPr>
                  <w:r>
                    <w:rPr>
                      <w:rFonts w:hint="eastAsia" w:ascii="Times New Roman" w:hAnsi="Times New Roman" w:eastAsia="宋体" w:cs="Times New Roman"/>
                      <w:color w:val="0000E1"/>
                      <w:kern w:val="2"/>
                      <w:sz w:val="21"/>
                      <w:szCs w:val="21"/>
                      <w:highlight w:val="none"/>
                      <w:lang w:val="en-US" w:eastAsia="zh-CN"/>
                    </w:rPr>
                    <w:t>27.124</w:t>
                  </w:r>
                </w:p>
              </w:tc>
            </w:tr>
            <w:tr w14:paraId="574364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397" w:hRule="atLeast"/>
                <w:jc w:val="center"/>
              </w:trPr>
              <w:tc>
                <w:tcPr>
                  <w:tcW w:w="560" w:type="dxa"/>
                  <w:tcBorders>
                    <w:top w:val="single" w:color="auto" w:sz="4" w:space="0"/>
                    <w:left w:val="single" w:color="auto" w:sz="4" w:space="0"/>
                    <w:bottom w:val="single" w:color="auto" w:sz="4" w:space="0"/>
                    <w:right w:val="single" w:color="auto" w:sz="4" w:space="0"/>
                  </w:tcBorders>
                  <w:shd w:val="clear" w:color="auto" w:fill="auto"/>
                  <w:vAlign w:val="center"/>
                </w:tcPr>
                <w:p w14:paraId="5FA2E6C3">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leftChars="0" w:right="0" w:rightChars="0"/>
                    <w:jc w:val="center"/>
                    <w:textAlignment w:val="auto"/>
                    <w:rPr>
                      <w:rFonts w:hint="default" w:ascii="Times New Roman" w:hAnsi="Times New Roman" w:eastAsia="宋体" w:cs="Times New Roman"/>
                      <w:color w:val="auto"/>
                      <w:kern w:val="2"/>
                      <w:sz w:val="21"/>
                      <w:szCs w:val="21"/>
                      <w:lang w:val="en-US" w:eastAsia="zh-CN"/>
                    </w:rPr>
                  </w:pPr>
                  <w:r>
                    <w:rPr>
                      <w:rFonts w:hint="eastAsia" w:ascii="Times New Roman" w:hAnsi="Times New Roman" w:eastAsia="宋体" w:cs="Times New Roman"/>
                      <w:color w:val="auto"/>
                      <w:kern w:val="2"/>
                      <w:sz w:val="21"/>
                      <w:szCs w:val="21"/>
                      <w:lang w:val="en-US" w:eastAsia="zh-CN"/>
                    </w:rPr>
                    <w:t>10</w:t>
                  </w:r>
                </w:p>
              </w:tc>
              <w:tc>
                <w:tcPr>
                  <w:tcW w:w="1875" w:type="dxa"/>
                  <w:tcBorders>
                    <w:top w:val="single" w:color="auto" w:sz="4" w:space="0"/>
                    <w:left w:val="single" w:color="auto" w:sz="4" w:space="0"/>
                    <w:bottom w:val="single" w:color="auto" w:sz="4" w:space="0"/>
                    <w:right w:val="single" w:color="auto" w:sz="4" w:space="0"/>
                  </w:tcBorders>
                  <w:shd w:val="clear" w:color="auto" w:fill="auto"/>
                  <w:vAlign w:val="center"/>
                </w:tcPr>
                <w:p w14:paraId="1DD2B46C">
                  <w:pPr>
                    <w:keepNext w:val="0"/>
                    <w:keepLines w:val="0"/>
                    <w:pageBreakBefore w:val="0"/>
                    <w:suppressLineNumbers w:val="0"/>
                    <w:kinsoku/>
                    <w:wordWrap/>
                    <w:overflowPunct/>
                    <w:topLinePunct w:val="0"/>
                    <w:autoSpaceDE/>
                    <w:autoSpaceDN/>
                    <w:bidi w:val="0"/>
                    <w:adjustRightInd/>
                    <w:snapToGrid/>
                    <w:spacing w:before="0" w:beforeAutospacing="0" w:after="0" w:afterAutospacing="0"/>
                    <w:ind w:left="0" w:leftChars="0" w:right="0" w:rightChars="0"/>
                    <w:jc w:val="center"/>
                    <w:textAlignment w:val="auto"/>
                    <w:rPr>
                      <w:rFonts w:hint="default" w:ascii="Times New Roman" w:hAnsi="Times New Roman" w:eastAsia="宋体" w:cs="Times New Roman"/>
                      <w:color w:val="auto"/>
                      <w:kern w:val="2"/>
                      <w:sz w:val="21"/>
                      <w:szCs w:val="21"/>
                      <w:lang w:val="en-US" w:eastAsia="zh-CN" w:bidi="ar"/>
                    </w:rPr>
                  </w:pPr>
                </w:p>
              </w:tc>
              <w:tc>
                <w:tcPr>
                  <w:tcW w:w="1541" w:type="dxa"/>
                  <w:tcBorders>
                    <w:top w:val="single" w:color="auto" w:sz="4" w:space="0"/>
                    <w:left w:val="single" w:color="auto" w:sz="4" w:space="0"/>
                    <w:bottom w:val="single" w:color="auto" w:sz="4" w:space="0"/>
                    <w:right w:val="single" w:color="auto" w:sz="4" w:space="0"/>
                  </w:tcBorders>
                  <w:shd w:val="clear" w:color="auto" w:fill="auto"/>
                  <w:vAlign w:val="center"/>
                </w:tcPr>
                <w:p w14:paraId="5BB88F12">
                  <w:pPr>
                    <w:keepNext w:val="0"/>
                    <w:keepLines w:val="0"/>
                    <w:pageBreakBefore w:val="0"/>
                    <w:suppressLineNumbers w:val="0"/>
                    <w:kinsoku/>
                    <w:wordWrap/>
                    <w:overflowPunct/>
                    <w:topLinePunct w:val="0"/>
                    <w:autoSpaceDE/>
                    <w:autoSpaceDN/>
                    <w:bidi w:val="0"/>
                    <w:adjustRightInd/>
                    <w:snapToGrid/>
                    <w:spacing w:before="0" w:beforeAutospacing="0" w:after="0" w:afterAutospacing="0"/>
                    <w:ind w:left="0" w:leftChars="0" w:right="0" w:rightChars="0"/>
                    <w:jc w:val="center"/>
                    <w:textAlignment w:val="auto"/>
                    <w:rPr>
                      <w:rFonts w:hint="default" w:ascii="Times New Roman" w:hAnsi="Times New Roman" w:eastAsia="宋体" w:cs="Times New Roman"/>
                      <w:color w:val="auto"/>
                      <w:kern w:val="2"/>
                      <w:sz w:val="21"/>
                      <w:szCs w:val="21"/>
                      <w:lang w:val="en-US" w:eastAsia="zh-CN" w:bidi="ar-SA"/>
                    </w:rPr>
                  </w:pPr>
                </w:p>
              </w:tc>
              <w:tc>
                <w:tcPr>
                  <w:tcW w:w="1410" w:type="dxa"/>
                  <w:vMerge w:val="continue"/>
                  <w:tcBorders>
                    <w:left w:val="single" w:color="auto" w:sz="4" w:space="0"/>
                    <w:bottom w:val="single" w:color="auto" w:sz="4" w:space="0"/>
                    <w:right w:val="single" w:color="auto" w:sz="4" w:space="0"/>
                  </w:tcBorders>
                  <w:shd w:val="clear" w:color="auto" w:fill="auto"/>
                  <w:vAlign w:val="center"/>
                </w:tcPr>
                <w:p w14:paraId="2AEA8414">
                  <w:pPr>
                    <w:keepNext w:val="0"/>
                    <w:keepLines w:val="0"/>
                    <w:pageBreakBefore w:val="0"/>
                    <w:suppressLineNumbers w:val="0"/>
                    <w:kinsoku/>
                    <w:wordWrap/>
                    <w:overflowPunct/>
                    <w:topLinePunct w:val="0"/>
                    <w:autoSpaceDE/>
                    <w:autoSpaceDN/>
                    <w:bidi w:val="0"/>
                    <w:adjustRightInd/>
                    <w:snapToGrid/>
                    <w:spacing w:before="0" w:beforeAutospacing="0" w:after="0" w:afterAutospacing="0"/>
                    <w:ind w:left="0" w:leftChars="0" w:right="0" w:rightChars="0"/>
                    <w:jc w:val="center"/>
                    <w:textAlignment w:val="auto"/>
                    <w:rPr>
                      <w:rFonts w:hint="default" w:ascii="Times New Roman" w:hAnsi="Times New Roman" w:eastAsia="宋体" w:cs="Times New Roman"/>
                      <w:color w:val="auto"/>
                      <w:kern w:val="2"/>
                      <w:sz w:val="21"/>
                      <w:szCs w:val="21"/>
                      <w:lang w:val="en-US" w:eastAsia="zh-CN" w:bidi="ar-SA"/>
                    </w:rPr>
                  </w:pPr>
                </w:p>
              </w:tc>
              <w:tc>
                <w:tcPr>
                  <w:tcW w:w="1595" w:type="dxa"/>
                  <w:tcBorders>
                    <w:top w:val="single" w:color="auto" w:sz="4" w:space="0"/>
                    <w:left w:val="single" w:color="auto" w:sz="4" w:space="0"/>
                    <w:bottom w:val="single" w:color="auto" w:sz="4" w:space="0"/>
                    <w:right w:val="single" w:color="auto" w:sz="4" w:space="0"/>
                  </w:tcBorders>
                  <w:shd w:val="clear" w:color="auto" w:fill="auto"/>
                  <w:vAlign w:val="center"/>
                </w:tcPr>
                <w:p w14:paraId="63614E96">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leftChars="0" w:right="0" w:rightChars="0"/>
                    <w:jc w:val="center"/>
                    <w:textAlignment w:val="auto"/>
                    <w:rPr>
                      <w:rFonts w:hint="eastAsia" w:ascii="宋体" w:hAnsi="宋体" w:eastAsia="宋体" w:cs="宋体"/>
                      <w:color w:val="0000E1"/>
                      <w:kern w:val="2"/>
                      <w:sz w:val="21"/>
                      <w:szCs w:val="21"/>
                      <w:lang w:val="en-US" w:eastAsia="zh-CN" w:bidi="ar"/>
                    </w:rPr>
                  </w:pPr>
                  <w:r>
                    <w:rPr>
                      <w:rFonts w:hint="eastAsia" w:ascii="宋体" w:hAnsi="宋体" w:eastAsia="宋体" w:cs="宋体"/>
                      <w:color w:val="0000E1"/>
                      <w:kern w:val="2"/>
                      <w:sz w:val="21"/>
                      <w:szCs w:val="21"/>
                      <w:lang w:val="en-US" w:eastAsia="zh-CN" w:bidi="ar"/>
                    </w:rPr>
                    <w:t>不合格品</w:t>
                  </w:r>
                </w:p>
              </w:tc>
              <w:tc>
                <w:tcPr>
                  <w:tcW w:w="1204" w:type="dxa"/>
                  <w:tcBorders>
                    <w:top w:val="single" w:color="auto" w:sz="4" w:space="0"/>
                    <w:left w:val="single" w:color="auto" w:sz="4" w:space="0"/>
                    <w:bottom w:val="single" w:color="auto" w:sz="4" w:space="0"/>
                    <w:right w:val="single" w:color="auto" w:sz="4" w:space="0"/>
                  </w:tcBorders>
                  <w:shd w:val="clear" w:color="auto" w:fill="auto"/>
                  <w:vAlign w:val="center"/>
                </w:tcPr>
                <w:p w14:paraId="02282CC7">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leftChars="0" w:right="0" w:rightChars="0"/>
                    <w:jc w:val="center"/>
                    <w:textAlignment w:val="auto"/>
                    <w:rPr>
                      <w:rFonts w:hint="default" w:ascii="Times New Roman" w:hAnsi="Times New Roman" w:eastAsia="宋体" w:cs="Times New Roman"/>
                      <w:color w:val="0000E1"/>
                      <w:kern w:val="2"/>
                      <w:sz w:val="21"/>
                      <w:szCs w:val="21"/>
                      <w:highlight w:val="none"/>
                      <w:lang w:val="en-US" w:eastAsia="zh-CN" w:bidi="ar-SA"/>
                    </w:rPr>
                  </w:pPr>
                  <w:r>
                    <w:rPr>
                      <w:rFonts w:hint="eastAsia" w:ascii="Times New Roman" w:hAnsi="Times New Roman" w:eastAsia="宋体" w:cs="Times New Roman"/>
                      <w:color w:val="0000E1"/>
                      <w:kern w:val="2"/>
                      <w:sz w:val="21"/>
                      <w:szCs w:val="21"/>
                      <w:highlight w:val="none"/>
                      <w:lang w:val="en-US" w:eastAsia="zh-CN"/>
                    </w:rPr>
                    <w:t>109.253</w:t>
                  </w:r>
                </w:p>
              </w:tc>
            </w:tr>
            <w:tr w14:paraId="53CD8C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397" w:hRule="atLeast"/>
                <w:jc w:val="center"/>
              </w:trPr>
              <w:tc>
                <w:tcPr>
                  <w:tcW w:w="2435" w:type="dxa"/>
                  <w:gridSpan w:val="2"/>
                  <w:tcBorders>
                    <w:top w:val="single" w:color="auto" w:sz="4" w:space="0"/>
                    <w:left w:val="single" w:color="auto" w:sz="4" w:space="0"/>
                    <w:bottom w:val="single" w:color="auto" w:sz="4" w:space="0"/>
                    <w:right w:val="single" w:color="auto" w:sz="4" w:space="0"/>
                  </w:tcBorders>
                  <w:shd w:val="clear" w:color="auto" w:fill="auto"/>
                  <w:vAlign w:val="center"/>
                </w:tcPr>
                <w:p w14:paraId="68D9E425">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jc w:val="center"/>
                    <w:textAlignment w:val="auto"/>
                    <w:rPr>
                      <w:rFonts w:hint="default" w:ascii="Times New Roman" w:hAnsi="Times New Roman" w:eastAsia="宋体" w:cs="Times New Roman"/>
                      <w:b/>
                      <w:bCs/>
                      <w:color w:val="auto"/>
                      <w:kern w:val="2"/>
                      <w:sz w:val="21"/>
                      <w:szCs w:val="21"/>
                    </w:rPr>
                  </w:pPr>
                  <w:r>
                    <w:rPr>
                      <w:rFonts w:hint="eastAsia" w:ascii="宋体" w:hAnsi="宋体" w:eastAsia="宋体" w:cs="宋体"/>
                      <w:b/>
                      <w:bCs/>
                      <w:color w:val="auto"/>
                      <w:kern w:val="2"/>
                      <w:sz w:val="21"/>
                      <w:szCs w:val="21"/>
                      <w:lang w:val="en-US" w:eastAsia="zh-CN" w:bidi="ar"/>
                    </w:rPr>
                    <w:t>合计</w:t>
                  </w:r>
                </w:p>
              </w:tc>
              <w:tc>
                <w:tcPr>
                  <w:tcW w:w="1541" w:type="dxa"/>
                  <w:tcBorders>
                    <w:top w:val="single" w:color="auto" w:sz="4" w:space="0"/>
                    <w:left w:val="single" w:color="auto" w:sz="4" w:space="0"/>
                    <w:bottom w:val="single" w:color="auto" w:sz="4" w:space="0"/>
                    <w:right w:val="single" w:color="auto" w:sz="4" w:space="0"/>
                  </w:tcBorders>
                  <w:shd w:val="clear" w:color="auto" w:fill="auto"/>
                  <w:vAlign w:val="center"/>
                </w:tcPr>
                <w:p w14:paraId="5480293F">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jc w:val="center"/>
                    <w:textAlignment w:val="auto"/>
                    <w:rPr>
                      <w:rFonts w:hint="default" w:ascii="Times New Roman" w:hAnsi="Times New Roman" w:eastAsia="宋体" w:cs="Times New Roman"/>
                      <w:color w:val="auto"/>
                      <w:kern w:val="2"/>
                      <w:sz w:val="21"/>
                      <w:szCs w:val="21"/>
                      <w:lang w:val="en-US"/>
                    </w:rPr>
                  </w:pPr>
                  <w:r>
                    <w:rPr>
                      <w:rFonts w:hint="eastAsia" w:ascii="Times New Roman" w:hAnsi="Times New Roman" w:eastAsia="宋体" w:cs="Times New Roman"/>
                      <w:color w:val="auto"/>
                      <w:kern w:val="2"/>
                      <w:sz w:val="21"/>
                      <w:szCs w:val="21"/>
                      <w:lang w:val="en-US" w:eastAsia="zh-CN" w:bidi="ar"/>
                    </w:rPr>
                    <w:t>933.51</w:t>
                  </w:r>
                </w:p>
              </w:tc>
              <w:tc>
                <w:tcPr>
                  <w:tcW w:w="3005" w:type="dxa"/>
                  <w:gridSpan w:val="2"/>
                  <w:tcBorders>
                    <w:top w:val="single" w:color="auto" w:sz="4" w:space="0"/>
                    <w:left w:val="single" w:color="auto" w:sz="4" w:space="0"/>
                    <w:bottom w:val="single" w:color="auto" w:sz="4" w:space="0"/>
                    <w:right w:val="single" w:color="auto" w:sz="4" w:space="0"/>
                  </w:tcBorders>
                  <w:shd w:val="clear" w:color="auto" w:fill="auto"/>
                  <w:vAlign w:val="center"/>
                </w:tcPr>
                <w:p w14:paraId="48851634">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jc w:val="center"/>
                    <w:textAlignment w:val="auto"/>
                    <w:rPr>
                      <w:rFonts w:hint="default" w:ascii="Times New Roman" w:hAnsi="Times New Roman" w:eastAsia="宋体" w:cs="Times New Roman"/>
                      <w:b/>
                      <w:bCs/>
                      <w:color w:val="0000E1"/>
                      <w:kern w:val="2"/>
                      <w:sz w:val="21"/>
                      <w:szCs w:val="21"/>
                    </w:rPr>
                  </w:pPr>
                  <w:r>
                    <w:rPr>
                      <w:rFonts w:hint="eastAsia" w:ascii="宋体" w:hAnsi="宋体" w:eastAsia="宋体" w:cs="宋体"/>
                      <w:b/>
                      <w:bCs/>
                      <w:color w:val="0000E1"/>
                      <w:kern w:val="2"/>
                      <w:sz w:val="21"/>
                      <w:szCs w:val="21"/>
                      <w:lang w:val="en-US" w:eastAsia="zh-CN" w:bidi="ar"/>
                    </w:rPr>
                    <w:t>合计</w:t>
                  </w:r>
                </w:p>
              </w:tc>
              <w:tc>
                <w:tcPr>
                  <w:tcW w:w="1204" w:type="dxa"/>
                  <w:tcBorders>
                    <w:top w:val="single" w:color="auto" w:sz="4" w:space="0"/>
                    <w:left w:val="single" w:color="auto" w:sz="4" w:space="0"/>
                    <w:bottom w:val="single" w:color="auto" w:sz="4" w:space="0"/>
                    <w:right w:val="single" w:color="auto" w:sz="4" w:space="0"/>
                  </w:tcBorders>
                  <w:shd w:val="clear" w:color="auto" w:fill="auto"/>
                  <w:vAlign w:val="center"/>
                </w:tcPr>
                <w:p w14:paraId="663E491C">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jc w:val="center"/>
                    <w:textAlignment w:val="auto"/>
                    <w:rPr>
                      <w:rFonts w:hint="default" w:ascii="Times New Roman" w:hAnsi="Times New Roman" w:eastAsia="宋体" w:cs="Times New Roman"/>
                      <w:color w:val="0000E1"/>
                      <w:kern w:val="0"/>
                      <w:sz w:val="21"/>
                      <w:szCs w:val="21"/>
                      <w:highlight w:val="none"/>
                      <w:lang w:val="en-US"/>
                    </w:rPr>
                  </w:pPr>
                  <w:r>
                    <w:rPr>
                      <w:rFonts w:hint="eastAsia" w:ascii="Times New Roman" w:hAnsi="Times New Roman" w:eastAsia="宋体" w:cs="Times New Roman"/>
                      <w:color w:val="0000E1"/>
                      <w:kern w:val="0"/>
                      <w:sz w:val="21"/>
                      <w:szCs w:val="21"/>
                      <w:highlight w:val="none"/>
                      <w:lang w:val="en-US" w:eastAsia="zh-CN"/>
                    </w:rPr>
                    <w:t>933.51</w:t>
                  </w:r>
                </w:p>
              </w:tc>
            </w:tr>
            <w:tr w14:paraId="7B1D5E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8185" w:type="dxa"/>
                  <w:gridSpan w:val="6"/>
                  <w:tcBorders>
                    <w:top w:val="single" w:color="auto" w:sz="4" w:space="0"/>
                    <w:left w:val="single" w:color="auto" w:sz="4" w:space="0"/>
                    <w:bottom w:val="single" w:color="auto" w:sz="4" w:space="0"/>
                    <w:right w:val="single" w:color="auto" w:sz="4" w:space="0"/>
                  </w:tcBorders>
                  <w:shd w:val="clear" w:color="auto" w:fill="auto"/>
                  <w:vAlign w:val="center"/>
                </w:tcPr>
                <w:p w14:paraId="71ABB1C7">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jc w:val="center"/>
                    <w:textAlignment w:val="auto"/>
                    <w:rPr>
                      <w:rFonts w:hint="eastAsia" w:ascii="Times New Roman" w:hAnsi="Times New Roman" w:eastAsia="宋体" w:cs="Times New Roman"/>
                      <w:b w:val="0"/>
                      <w:bCs w:val="0"/>
                      <w:color w:val="00B050"/>
                      <w:kern w:val="0"/>
                      <w:sz w:val="21"/>
                      <w:szCs w:val="21"/>
                      <w:highlight w:val="none"/>
                      <w:lang w:val="en-US" w:eastAsia="zh-CN"/>
                    </w:rPr>
                  </w:pPr>
                  <w:r>
                    <w:rPr>
                      <w:rFonts w:hint="eastAsia" w:ascii="宋体" w:hAnsi="宋体" w:eastAsia="宋体" w:cs="宋体"/>
                      <w:b w:val="0"/>
                      <w:bCs w:val="0"/>
                      <w:color w:val="0000E1"/>
                      <w:kern w:val="2"/>
                      <w:sz w:val="21"/>
                      <w:szCs w:val="21"/>
                      <w:lang w:val="en-US" w:eastAsia="zh-CN" w:bidi="ar"/>
                    </w:rPr>
                    <w:t>注：*本项目泡棉条（硅基条）由陶瓷基料混合物自制而成，属于厂内成型中间件，不重复计入全厂总原料投入。</w:t>
                  </w:r>
                </w:p>
              </w:tc>
            </w:tr>
          </w:tbl>
          <w:p w14:paraId="643711FC">
            <w:pPr>
              <w:keepNext w:val="0"/>
              <w:keepLines w:val="0"/>
              <w:suppressLineNumbers w:val="0"/>
              <w:spacing w:before="0" w:beforeAutospacing="0" w:after="0" w:afterAutospacing="0" w:line="360" w:lineRule="auto"/>
              <w:ind w:left="0" w:right="0"/>
              <w:rPr>
                <w:rFonts w:hint="default" w:ascii="Times New Roman" w:hAnsi="Times New Roman" w:eastAsia="宋体" w:cs="Times New Roman"/>
                <w:b/>
                <w:bCs/>
                <w:color w:val="auto"/>
                <w:sz w:val="24"/>
              </w:rPr>
            </w:pPr>
            <w:r>
              <w:rPr>
                <w:rFonts w:hint="eastAsia" w:ascii="Times New Roman" w:hAnsi="Times New Roman" w:eastAsia="宋体" w:cs="Times New Roman"/>
                <w:b/>
                <w:bCs/>
                <w:color w:val="auto"/>
                <w:sz w:val="24"/>
              </w:rPr>
              <w:t>2.1.6水平衡</w:t>
            </w:r>
          </w:p>
          <w:p w14:paraId="2FB9E07E">
            <w:pPr>
              <w:keepNext w:val="0"/>
              <w:keepLines w:val="0"/>
              <w:suppressLineNumbers w:val="0"/>
              <w:spacing w:before="0" w:beforeAutospacing="0" w:after="0" w:afterAutospacing="0"/>
              <w:ind w:left="0" w:right="0"/>
              <w:jc w:val="center"/>
              <w:rPr>
                <w:rFonts w:hint="default" w:ascii="Times New Roman" w:hAnsi="Times New Roman" w:eastAsia="宋体" w:cs="Times New Roman"/>
                <w:b/>
                <w:bCs/>
                <w:color w:val="auto"/>
                <w:sz w:val="24"/>
              </w:rPr>
            </w:pPr>
            <w:r>
              <w:rPr>
                <w:rFonts w:hint="eastAsia" w:ascii="Times New Roman" w:hAnsi="Times New Roman" w:eastAsia="宋体" w:cs="Times New Roman"/>
                <w:b/>
                <w:bCs/>
                <w:color w:val="auto"/>
                <w:sz w:val="24"/>
              </w:rPr>
              <w:object>
                <v:shape id="_x0000_i1025" o:spt="75" type="#_x0000_t75" style="height:157.85pt;width:395.25pt;" o:ole="t" filled="f" o:preferrelative="t" stroked="f" coordsize="21600,21600">
                  <v:path/>
                  <v:fill on="f" focussize="0,0"/>
                  <v:stroke on="f"/>
                  <v:imagedata r:id="rId12" o:title=""/>
                  <o:lock v:ext="edit" aspectratio="f"/>
                  <w10:wrap type="none"/>
                  <w10:anchorlock/>
                </v:shape>
                <o:OLEObject Type="Embed" ProgID="Visio.Drawing.15" ShapeID="_x0000_i1025" DrawAspect="Content" ObjectID="_1468075725" r:id="rId11">
                  <o:LockedField>false</o:LockedField>
                </o:OLEObject>
              </w:object>
            </w:r>
          </w:p>
          <w:p w14:paraId="08E6037D">
            <w:pPr>
              <w:keepNext w:val="0"/>
              <w:keepLines w:val="0"/>
              <w:suppressLineNumbers w:val="0"/>
              <w:spacing w:before="0" w:beforeAutospacing="0" w:after="0" w:afterAutospacing="0"/>
              <w:ind w:left="0" w:right="0"/>
              <w:jc w:val="center"/>
              <w:rPr>
                <w:rFonts w:hint="eastAsia" w:ascii="Times New Roman" w:hAnsi="Times New Roman" w:eastAsia="宋体" w:cs="Times New Roman"/>
                <w:b/>
                <w:bCs/>
                <w:color w:val="auto"/>
                <w:szCs w:val="21"/>
                <w:highlight w:val="none"/>
              </w:rPr>
            </w:pPr>
            <w:r>
              <w:rPr>
                <w:rFonts w:hint="eastAsia" w:ascii="Times New Roman" w:hAnsi="Times New Roman" w:eastAsia="宋体" w:cs="Times New Roman"/>
                <w:b/>
                <w:bCs/>
                <w:color w:val="auto"/>
                <w:szCs w:val="21"/>
                <w:highlight w:val="none"/>
              </w:rPr>
              <w:t>图2-</w:t>
            </w:r>
            <w:r>
              <w:rPr>
                <w:rFonts w:hint="eastAsia" w:ascii="Times New Roman" w:hAnsi="Times New Roman" w:eastAsia="宋体" w:cs="Times New Roman"/>
                <w:b/>
                <w:bCs/>
                <w:color w:val="auto"/>
                <w:szCs w:val="21"/>
                <w:highlight w:val="none"/>
                <w:lang w:val="en-US" w:eastAsia="zh-CN"/>
              </w:rPr>
              <w:t>1</w:t>
            </w:r>
            <w:r>
              <w:rPr>
                <w:rFonts w:hint="eastAsia" w:ascii="Times New Roman" w:hAnsi="Times New Roman" w:eastAsia="宋体" w:cs="Times New Roman"/>
                <w:b/>
                <w:bCs/>
                <w:color w:val="auto"/>
                <w:szCs w:val="21"/>
                <w:highlight w:val="none"/>
              </w:rPr>
              <w:t xml:space="preserve">  本项目水平衡图（单位：t/a）</w:t>
            </w:r>
          </w:p>
          <w:p w14:paraId="38DEC2F5">
            <w:pPr>
              <w:keepNext w:val="0"/>
              <w:keepLines w:val="0"/>
              <w:suppressLineNumbers w:val="0"/>
              <w:spacing w:before="0" w:beforeAutospacing="0" w:after="0" w:afterAutospacing="0"/>
              <w:ind w:left="0" w:right="0"/>
              <w:jc w:val="center"/>
              <w:rPr>
                <w:rFonts w:hint="default" w:ascii="Times New Roman" w:hAnsi="Times New Roman" w:eastAsia="宋体" w:cs="Times New Roman"/>
                <w:b/>
                <w:bCs/>
                <w:color w:val="auto"/>
                <w:szCs w:val="21"/>
                <w:highlight w:val="none"/>
              </w:rPr>
            </w:pPr>
            <w:r>
              <w:rPr>
                <w:rFonts w:hint="default" w:ascii="Times New Roman" w:hAnsi="Times New Roman" w:eastAsia="宋体" w:cs="Times New Roman"/>
                <w:b/>
                <w:bCs/>
                <w:color w:val="auto"/>
                <w:szCs w:val="21"/>
                <w:highlight w:val="none"/>
              </w:rPr>
              <w:object>
                <v:shape id="_x0000_i1026" o:spt="75" type="#_x0000_t75" style="height:157.85pt;width:395.25pt;" o:ole="t" filled="f" o:preferrelative="t" stroked="f" coordsize="21600,21600">
                  <v:path/>
                  <v:fill on="f" focussize="0,0"/>
                  <v:stroke on="f"/>
                  <v:imagedata r:id="rId14" o:title=""/>
                  <o:lock v:ext="edit" aspectratio="f"/>
                  <w10:wrap type="none"/>
                  <w10:anchorlock/>
                </v:shape>
                <o:OLEObject Type="Embed" ProgID="Visio.Drawing.15" ShapeID="_x0000_i1026" DrawAspect="Content" ObjectID="_1468075726" r:id="rId13">
                  <o:LockedField>false</o:LockedField>
                </o:OLEObject>
              </w:object>
            </w:r>
          </w:p>
          <w:p w14:paraId="3B8F4262">
            <w:pPr>
              <w:keepNext w:val="0"/>
              <w:keepLines w:val="0"/>
              <w:suppressLineNumbers w:val="0"/>
              <w:spacing w:before="0" w:beforeAutospacing="0" w:after="0" w:afterAutospacing="0"/>
              <w:ind w:left="0" w:right="0"/>
              <w:jc w:val="center"/>
              <w:rPr>
                <w:rFonts w:hint="default" w:ascii="Times New Roman" w:hAnsi="Times New Roman" w:eastAsia="宋体" w:cs="Times New Roman"/>
                <w:b/>
                <w:bCs/>
                <w:color w:val="0000E1"/>
                <w:szCs w:val="21"/>
                <w:highlight w:val="none"/>
              </w:rPr>
            </w:pPr>
            <w:r>
              <w:rPr>
                <w:rFonts w:hint="default" w:ascii="Times New Roman" w:hAnsi="Times New Roman" w:eastAsia="宋体" w:cs="Times New Roman"/>
                <w:b/>
                <w:bCs/>
                <w:color w:val="0000E1"/>
                <w:szCs w:val="21"/>
                <w:highlight w:val="none"/>
              </w:rPr>
              <w:t>图2-</w:t>
            </w:r>
            <w:r>
              <w:rPr>
                <w:rFonts w:hint="eastAsia" w:ascii="Times New Roman" w:hAnsi="Times New Roman" w:eastAsia="宋体" w:cs="Times New Roman"/>
                <w:b/>
                <w:bCs/>
                <w:color w:val="0000E1"/>
                <w:szCs w:val="21"/>
                <w:highlight w:val="none"/>
                <w:lang w:val="en-US" w:eastAsia="zh-CN"/>
              </w:rPr>
              <w:t>2</w:t>
            </w:r>
            <w:r>
              <w:rPr>
                <w:rFonts w:hint="default" w:ascii="Times New Roman" w:hAnsi="Times New Roman" w:eastAsia="宋体" w:cs="Times New Roman"/>
                <w:b/>
                <w:bCs/>
                <w:color w:val="0000E1"/>
                <w:szCs w:val="21"/>
                <w:highlight w:val="none"/>
              </w:rPr>
              <w:t xml:space="preserve">  </w:t>
            </w:r>
            <w:r>
              <w:rPr>
                <w:rFonts w:hint="eastAsia" w:ascii="Times New Roman" w:hAnsi="Times New Roman" w:eastAsia="宋体" w:cs="Times New Roman"/>
                <w:b/>
                <w:bCs/>
                <w:color w:val="0000E1"/>
                <w:szCs w:val="21"/>
                <w:highlight w:val="none"/>
                <w:lang w:val="en-US" w:eastAsia="zh-CN"/>
              </w:rPr>
              <w:t>全厂</w:t>
            </w:r>
            <w:r>
              <w:rPr>
                <w:rFonts w:hint="default" w:ascii="Times New Roman" w:hAnsi="Times New Roman" w:eastAsia="宋体" w:cs="Times New Roman"/>
                <w:b/>
                <w:bCs/>
                <w:color w:val="0000E1"/>
                <w:szCs w:val="21"/>
                <w:highlight w:val="none"/>
              </w:rPr>
              <w:t>水平衡图（单位：t/a）</w:t>
            </w:r>
          </w:p>
          <w:p w14:paraId="2326FABC">
            <w:pPr>
              <w:pStyle w:val="10"/>
              <w:keepNext w:val="0"/>
              <w:keepLines w:val="0"/>
              <w:suppressLineNumbers w:val="0"/>
              <w:spacing w:before="0" w:beforeAutospacing="0" w:afterAutospacing="0"/>
              <w:ind w:left="0" w:right="0" w:firstLine="422" w:firstLineChars="200"/>
              <w:rPr>
                <w:rFonts w:hint="default" w:eastAsia="宋体"/>
                <w:lang w:val="en-US" w:eastAsia="zh-CN"/>
              </w:rPr>
            </w:pPr>
            <w:r>
              <w:rPr>
                <w:rFonts w:hint="eastAsia" w:ascii="Times New Roman" w:hAnsi="Times New Roman" w:eastAsia="宋体" w:cs="Times New Roman"/>
                <w:b/>
                <w:bCs/>
                <w:color w:val="0000E1"/>
                <w:szCs w:val="21"/>
                <w:highlight w:val="none"/>
                <w:lang w:val="en-US" w:eastAsia="zh-CN"/>
              </w:rPr>
              <w:t>注：现有项目用水按验收数据统计</w:t>
            </w:r>
            <w:r>
              <w:rPr>
                <w:rFonts w:hint="eastAsia" w:ascii="Times New Roman" w:hAnsi="Times New Roman" w:eastAsia="宋体" w:cs="Times New Roman"/>
                <w:b/>
                <w:bCs/>
                <w:color w:val="0000FF"/>
                <w:szCs w:val="21"/>
                <w:highlight w:val="none"/>
                <w:lang w:val="en-US" w:eastAsia="zh-CN"/>
              </w:rPr>
              <w:t>。</w:t>
            </w:r>
          </w:p>
          <w:p w14:paraId="7B209159">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textAlignment w:val="auto"/>
              <w:rPr>
                <w:rFonts w:hint="default" w:ascii="Times New Roman" w:hAnsi="Times New Roman" w:eastAsia="宋体" w:cs="Times New Roman"/>
                <w:b/>
                <w:bCs/>
                <w:color w:val="auto"/>
                <w:sz w:val="24"/>
                <w:highlight w:val="none"/>
              </w:rPr>
            </w:pPr>
            <w:r>
              <w:rPr>
                <w:rFonts w:hint="eastAsia" w:ascii="Times New Roman" w:hAnsi="Times New Roman" w:eastAsia="宋体" w:cs="Times New Roman"/>
                <w:b/>
                <w:bCs/>
                <w:color w:val="auto"/>
                <w:sz w:val="24"/>
                <w:highlight w:val="none"/>
              </w:rPr>
              <w:t>2.1.7定员与生产特点</w:t>
            </w:r>
          </w:p>
          <w:p w14:paraId="0524124E">
            <w:pPr>
              <w:keepNext w:val="0"/>
              <w:keepLines w:val="0"/>
              <w:suppressLineNumbers w:val="0"/>
              <w:spacing w:before="0" w:beforeAutospacing="0" w:after="0" w:afterAutospacing="0" w:line="360" w:lineRule="auto"/>
              <w:ind w:left="0" w:right="0" w:firstLine="480" w:firstLineChars="200"/>
              <w:rPr>
                <w:rFonts w:hint="eastAsia" w:ascii="Times New Roman" w:hAnsi="Times New Roman" w:eastAsia="宋体" w:cs="Times New Roman"/>
                <w:color w:val="auto"/>
                <w:sz w:val="24"/>
                <w:highlight w:val="none"/>
              </w:rPr>
            </w:pPr>
            <w:r>
              <w:rPr>
                <w:rFonts w:hint="eastAsia" w:ascii="Times New Roman" w:hAnsi="Times New Roman" w:eastAsia="宋体" w:cs="Times New Roman"/>
                <w:color w:val="auto"/>
                <w:sz w:val="24"/>
                <w:highlight w:val="none"/>
              </w:rPr>
              <w:t>本项目职工</w:t>
            </w:r>
            <w:r>
              <w:rPr>
                <w:rFonts w:hint="eastAsia" w:ascii="Times New Roman" w:hAnsi="Times New Roman" w:eastAsia="宋体" w:cs="Times New Roman"/>
                <w:color w:val="auto"/>
                <w:sz w:val="24"/>
                <w:highlight w:val="none"/>
                <w:lang w:val="en-US" w:eastAsia="zh-CN"/>
              </w:rPr>
              <w:t>定</w:t>
            </w:r>
            <w:r>
              <w:rPr>
                <w:rFonts w:hint="eastAsia" w:ascii="Times New Roman" w:hAnsi="Times New Roman" w:eastAsia="宋体" w:cs="Times New Roman"/>
                <w:color w:val="auto"/>
                <w:sz w:val="24"/>
                <w:highlight w:val="none"/>
              </w:rPr>
              <w:t>员</w:t>
            </w:r>
            <w:r>
              <w:rPr>
                <w:rFonts w:hint="eastAsia" w:ascii="Times New Roman" w:hAnsi="Times New Roman" w:eastAsia="宋体" w:cs="Times New Roman"/>
                <w:color w:val="auto"/>
                <w:sz w:val="24"/>
                <w:highlight w:val="none"/>
                <w:lang w:val="en-US" w:eastAsia="zh-CN"/>
              </w:rPr>
              <w:t>100</w:t>
            </w:r>
            <w:r>
              <w:rPr>
                <w:rFonts w:hint="eastAsia" w:ascii="Times New Roman" w:hAnsi="Times New Roman" w:eastAsia="宋体" w:cs="Times New Roman"/>
                <w:color w:val="auto"/>
                <w:sz w:val="24"/>
                <w:highlight w:val="none"/>
              </w:rPr>
              <w:t>人，</w:t>
            </w:r>
            <w:r>
              <w:rPr>
                <w:rFonts w:hint="eastAsia" w:ascii="Times New Roman" w:hAnsi="Times New Roman" w:eastAsia="宋体" w:cs="Times New Roman"/>
                <w:color w:val="auto"/>
                <w:sz w:val="24"/>
                <w:highlight w:val="none"/>
                <w:lang w:val="en-US" w:eastAsia="zh-CN"/>
              </w:rPr>
              <w:t>实行两班制生产</w:t>
            </w:r>
            <w:r>
              <w:rPr>
                <w:rFonts w:hint="eastAsia" w:ascii="Times New Roman" w:hAnsi="Times New Roman" w:eastAsia="宋体" w:cs="Times New Roman"/>
                <w:color w:val="FF0000"/>
                <w:sz w:val="24"/>
                <w:highlight w:val="none"/>
                <w:lang w:val="en-US" w:eastAsia="zh-CN"/>
              </w:rPr>
              <w:t>（每班8h，工作时间8：00-17:00,17:00-02:00，中间各1h休息）</w:t>
            </w:r>
            <w:commentRangeStart w:id="30"/>
            <w:commentRangeStart w:id="31"/>
            <w:r>
              <w:rPr>
                <w:rFonts w:hint="default"/>
              </w:rPr>
              <w:commentReference w:id="30"/>
            </w:r>
            <w:commentRangeEnd w:id="30"/>
            <w:commentRangeEnd w:id="31"/>
            <w:r>
              <w:commentReference w:id="31"/>
            </w:r>
            <w:r>
              <w:rPr>
                <w:rFonts w:hint="eastAsia" w:ascii="Times New Roman" w:hAnsi="Times New Roman" w:eastAsia="宋体" w:cs="Times New Roman"/>
                <w:color w:val="auto"/>
                <w:sz w:val="24"/>
                <w:highlight w:val="none"/>
                <w:lang w:val="en-US" w:eastAsia="zh-CN"/>
              </w:rPr>
              <w:t>，年工作300天</w:t>
            </w:r>
            <w:r>
              <w:rPr>
                <w:rFonts w:hint="eastAsia" w:ascii="Times New Roman" w:hAnsi="Times New Roman" w:eastAsia="宋体" w:cs="Times New Roman"/>
                <w:color w:val="auto"/>
                <w:sz w:val="24"/>
                <w:highlight w:val="none"/>
              </w:rPr>
              <w:t>。厂区内</w:t>
            </w:r>
            <w:r>
              <w:rPr>
                <w:rFonts w:hint="eastAsia" w:ascii="Times New Roman" w:hAnsi="Times New Roman" w:eastAsia="宋体" w:cs="Times New Roman"/>
                <w:color w:val="auto"/>
                <w:sz w:val="24"/>
                <w:highlight w:val="none"/>
                <w:lang w:val="en-US" w:eastAsia="zh-CN"/>
              </w:rPr>
              <w:t>不设置食堂和宿舍。</w:t>
            </w:r>
          </w:p>
          <w:p w14:paraId="40A88C73">
            <w:pPr>
              <w:keepNext w:val="0"/>
              <w:keepLines w:val="0"/>
              <w:suppressLineNumbers w:val="0"/>
              <w:spacing w:before="0" w:beforeAutospacing="0" w:after="0" w:afterAutospacing="0" w:line="360" w:lineRule="auto"/>
              <w:ind w:left="0" w:right="0"/>
              <w:rPr>
                <w:rFonts w:hint="default" w:ascii="Times New Roman" w:hAnsi="Times New Roman" w:eastAsia="宋体" w:cs="Times New Roman"/>
                <w:b/>
                <w:bCs/>
                <w:color w:val="auto"/>
                <w:sz w:val="24"/>
              </w:rPr>
            </w:pPr>
            <w:r>
              <w:rPr>
                <w:rFonts w:hint="eastAsia" w:ascii="Times New Roman" w:hAnsi="Times New Roman" w:eastAsia="宋体" w:cs="Times New Roman"/>
                <w:b/>
                <w:bCs/>
                <w:color w:val="auto"/>
                <w:sz w:val="24"/>
              </w:rPr>
              <w:t>2.1.8总平布置情况</w:t>
            </w:r>
            <w:commentRangeStart w:id="32"/>
            <w:commentRangeStart w:id="33"/>
            <w:r>
              <w:rPr>
                <w:rFonts w:hint="default"/>
              </w:rPr>
              <w:commentReference w:id="32"/>
            </w:r>
            <w:commentRangeEnd w:id="32"/>
            <w:commentRangeEnd w:id="33"/>
            <w:r>
              <w:commentReference w:id="33"/>
            </w:r>
          </w:p>
          <w:p w14:paraId="5C117B9E">
            <w:pPr>
              <w:keepNext w:val="0"/>
              <w:keepLines w:val="0"/>
              <w:suppressLineNumbers w:val="0"/>
              <w:spacing w:before="0" w:beforeAutospacing="0" w:after="0" w:afterAutospacing="0" w:line="360" w:lineRule="auto"/>
              <w:ind w:left="0" w:right="0" w:firstLine="480" w:firstLineChars="200"/>
              <w:rPr>
                <w:rFonts w:hint="eastAsia" w:ascii="Times New Roman" w:hAnsi="Times New Roman" w:eastAsia="宋体" w:cs="Times New Roman"/>
                <w:color w:val="auto"/>
                <w:kern w:val="2"/>
                <w:sz w:val="24"/>
                <w:szCs w:val="24"/>
                <w:lang w:val="en-US" w:eastAsia="zh-CN" w:bidi="ar-SA"/>
              </w:rPr>
            </w:pPr>
            <w:r>
              <w:rPr>
                <w:rFonts w:hint="eastAsia" w:ascii="Times New Roman" w:hAnsi="Times New Roman" w:eastAsia="宋体" w:cs="Times New Roman"/>
                <w:color w:val="auto"/>
                <w:sz w:val="24"/>
              </w:rPr>
              <w:t>本项目</w:t>
            </w:r>
            <w:r>
              <w:rPr>
                <w:rFonts w:hint="eastAsia" w:ascii="Times New Roman" w:hAnsi="Times New Roman" w:eastAsia="宋体" w:cs="Times New Roman"/>
                <w:color w:val="auto"/>
                <w:sz w:val="24"/>
                <w:lang w:val="en-US" w:eastAsia="zh-CN"/>
              </w:rPr>
              <w:t>位于浙江省湖州市安吉县天子湖镇长隆路398号</w:t>
            </w:r>
            <w:r>
              <w:rPr>
                <w:rFonts w:hint="eastAsia" w:ascii="Times New Roman" w:hAnsi="Times New Roman" w:eastAsia="宋体" w:cs="Times New Roman"/>
                <w:color w:val="0000E1"/>
                <w:sz w:val="24"/>
                <w:lang w:val="en-US" w:eastAsia="zh-CN"/>
              </w:rPr>
              <w:t>1号厂房1楼，2号厂房1楼、2楼</w:t>
            </w:r>
            <w:r>
              <w:rPr>
                <w:rFonts w:hint="eastAsia" w:ascii="Times New Roman" w:hAnsi="Times New Roman" w:eastAsia="宋体" w:cs="Times New Roman"/>
                <w:color w:val="auto"/>
                <w:sz w:val="24"/>
                <w:lang w:val="en-US" w:eastAsia="zh-CN"/>
              </w:rPr>
              <w:t>（浙江吉珈科技有限公司内），系租用</w:t>
            </w:r>
            <w:r>
              <w:rPr>
                <w:rFonts w:hint="eastAsia" w:ascii="Times New Roman" w:hAnsi="Times New Roman" w:eastAsia="宋体" w:cs="Times New Roman"/>
                <w:color w:val="auto"/>
                <w:kern w:val="2"/>
                <w:sz w:val="24"/>
                <w:szCs w:val="24"/>
                <w:lang w:val="en-US" w:eastAsia="zh-CN" w:bidi="ar-SA"/>
              </w:rPr>
              <w:t>浙江吉珈科技有限公司12909.36平方米闲置厂房组织生产。厂房共2幢，分别为1#厂房和2#厂房。</w:t>
            </w:r>
          </w:p>
          <w:p w14:paraId="6CF614A7">
            <w:pPr>
              <w:keepNext w:val="0"/>
              <w:keepLines w:val="0"/>
              <w:suppressLineNumbers w:val="0"/>
              <w:spacing w:before="0" w:beforeAutospacing="0" w:after="0" w:afterAutospacing="0" w:line="360" w:lineRule="auto"/>
              <w:ind w:left="0" w:right="0" w:firstLine="480" w:firstLineChars="200"/>
              <w:rPr>
                <w:rFonts w:hint="eastAsia" w:ascii="Times New Roman" w:hAnsi="Times New Roman" w:eastAsia="宋体" w:cs="Times New Roman"/>
                <w:color w:val="auto"/>
                <w:sz w:val="24"/>
                <w:lang w:val="en-US" w:eastAsia="zh-CN"/>
              </w:rPr>
            </w:pPr>
            <w:r>
              <w:rPr>
                <w:rFonts w:hint="eastAsia" w:ascii="Times New Roman" w:hAnsi="Times New Roman" w:eastAsia="宋体" w:cs="Times New Roman"/>
                <w:color w:val="auto"/>
                <w:sz w:val="24"/>
                <w:lang w:val="en-US" w:eastAsia="zh-CN"/>
              </w:rPr>
              <w:t>1#厂房，建筑面积4674.81m</w:t>
            </w:r>
            <w:r>
              <w:rPr>
                <w:rFonts w:hint="eastAsia" w:ascii="Times New Roman" w:hAnsi="Times New Roman" w:eastAsia="宋体" w:cs="Times New Roman"/>
                <w:color w:val="auto"/>
                <w:sz w:val="24"/>
                <w:vertAlign w:val="superscript"/>
                <w:lang w:val="en-US" w:eastAsia="zh-CN"/>
              </w:rPr>
              <w:t>2</w:t>
            </w:r>
            <w:r>
              <w:rPr>
                <w:rFonts w:hint="eastAsia" w:ascii="Times New Roman" w:hAnsi="Times New Roman" w:eastAsia="宋体" w:cs="Times New Roman"/>
                <w:color w:val="auto"/>
                <w:sz w:val="24"/>
                <w:lang w:val="en-US" w:eastAsia="zh-CN"/>
              </w:rPr>
              <w:t>，共</w:t>
            </w:r>
            <w:r>
              <w:rPr>
                <w:rFonts w:hint="eastAsia" w:ascii="Times New Roman" w:hAnsi="Times New Roman" w:eastAsia="宋体" w:cs="Times New Roman"/>
                <w:color w:val="FF0000"/>
                <w:sz w:val="24"/>
                <w:lang w:val="en-US" w:eastAsia="zh-CN"/>
              </w:rPr>
              <w:t>1楼</w:t>
            </w:r>
            <w:r>
              <w:rPr>
                <w:rFonts w:hint="eastAsia" w:ascii="Times New Roman" w:hAnsi="Times New Roman" w:eastAsia="宋体" w:cs="Times New Roman"/>
                <w:color w:val="auto"/>
                <w:sz w:val="24"/>
                <w:lang w:val="en-US" w:eastAsia="zh-CN"/>
              </w:rPr>
              <w:t>。主要设置有纳米板生产线、激光切割区、板材包裹区、真空热合区、修边裁切区、贴胶区、检测区、打包区、原料仓库和成品仓库等。2#厂房建筑面积8234.55m</w:t>
            </w:r>
            <w:r>
              <w:rPr>
                <w:rFonts w:hint="eastAsia" w:ascii="Times New Roman" w:hAnsi="Times New Roman" w:eastAsia="宋体" w:cs="Times New Roman"/>
                <w:color w:val="auto"/>
                <w:sz w:val="24"/>
                <w:vertAlign w:val="superscript"/>
                <w:lang w:val="en-US" w:eastAsia="zh-CN"/>
              </w:rPr>
              <w:t>2</w:t>
            </w:r>
            <w:r>
              <w:rPr>
                <w:rFonts w:hint="eastAsia" w:ascii="Times New Roman" w:hAnsi="Times New Roman" w:eastAsia="宋体" w:cs="Times New Roman"/>
                <w:color w:val="auto"/>
                <w:sz w:val="24"/>
                <w:lang w:val="en-US" w:eastAsia="zh-CN"/>
              </w:rPr>
              <w:t>，</w:t>
            </w:r>
            <w:r>
              <w:rPr>
                <w:rFonts w:hint="eastAsia" w:ascii="Times New Roman" w:hAnsi="Times New Roman" w:eastAsia="宋体" w:cs="Times New Roman"/>
                <w:color w:val="FF0000"/>
                <w:sz w:val="24"/>
                <w:lang w:val="en-US" w:eastAsia="zh-CN"/>
              </w:rPr>
              <w:t>共2楼。1楼</w:t>
            </w:r>
            <w:r>
              <w:rPr>
                <w:rFonts w:hint="eastAsia" w:ascii="Times New Roman" w:hAnsi="Times New Roman" w:eastAsia="宋体" w:cs="Times New Roman"/>
                <w:color w:val="auto"/>
                <w:sz w:val="24"/>
                <w:lang w:val="en-US" w:eastAsia="zh-CN"/>
              </w:rPr>
              <w:t>主要设置有辅料成型区、压延涂布区、烘烤固化区、收卷区、裁切区、检验区、</w:t>
            </w:r>
            <w:r>
              <w:rPr>
                <w:rFonts w:hint="eastAsia" w:ascii="Times New Roman" w:hAnsi="Times New Roman" w:eastAsia="宋体" w:cs="Times New Roman"/>
                <w:color w:val="0000E1"/>
                <w:sz w:val="24"/>
                <w:lang w:val="en-US" w:eastAsia="zh-CN"/>
              </w:rPr>
              <w:t>化学品仓库、一般固废仓库、固废分拣中心和车间办公区等</w:t>
            </w:r>
            <w:r>
              <w:rPr>
                <w:rFonts w:hint="eastAsia" w:ascii="Times New Roman" w:hAnsi="Times New Roman" w:eastAsia="宋体" w:cs="Times New Roman"/>
                <w:color w:val="auto"/>
                <w:sz w:val="24"/>
                <w:lang w:val="en-US" w:eastAsia="zh-CN"/>
              </w:rPr>
              <w:t>。</w:t>
            </w:r>
            <w:r>
              <w:rPr>
                <w:rFonts w:hint="eastAsia" w:ascii="Times New Roman" w:hAnsi="Times New Roman" w:eastAsia="宋体" w:cs="Times New Roman"/>
                <w:color w:val="FF0000"/>
                <w:sz w:val="24"/>
                <w:lang w:val="en-US" w:eastAsia="zh-CN"/>
              </w:rPr>
              <w:t>2楼</w:t>
            </w:r>
            <w:r>
              <w:rPr>
                <w:rFonts w:hint="eastAsia" w:ascii="Times New Roman" w:hAnsi="Times New Roman" w:eastAsia="宋体" w:cs="Times New Roman"/>
                <w:color w:val="auto"/>
                <w:sz w:val="24"/>
                <w:lang w:val="en-US" w:eastAsia="zh-CN"/>
              </w:rPr>
              <w:t>主要设置有</w:t>
            </w:r>
            <w:r>
              <w:rPr>
                <w:rFonts w:hint="eastAsia" w:ascii="Times New Roman" w:hAnsi="Times New Roman" w:eastAsia="宋体" w:cs="Times New Roman"/>
                <w:color w:val="auto"/>
                <w:sz w:val="24"/>
                <w:highlight w:val="none"/>
                <w:lang w:val="en-US" w:eastAsia="zh-CN"/>
              </w:rPr>
              <w:t>背胶贴合区</w:t>
            </w:r>
            <w:r>
              <w:rPr>
                <w:rFonts w:hint="eastAsia" w:ascii="Times New Roman" w:hAnsi="Times New Roman" w:eastAsia="宋体" w:cs="Times New Roman"/>
                <w:color w:val="auto"/>
                <w:sz w:val="24"/>
                <w:lang w:val="en-US" w:eastAsia="zh-CN"/>
              </w:rPr>
              <w:t>、裁切区、检验区、周转区、双面胶、PET膜等原料储存区、原料仓库、成品仓库和办公室等</w:t>
            </w:r>
            <w:r>
              <w:rPr>
                <w:rFonts w:hint="eastAsia" w:ascii="Times New Roman" w:hAnsi="Times New Roman" w:eastAsia="宋体" w:cs="Times New Roman"/>
                <w:color w:val="0000FF"/>
                <w:sz w:val="24"/>
                <w:lang w:val="en-US" w:eastAsia="zh-CN"/>
              </w:rPr>
              <w:t>。危废仓库设置于2#厂房外东北侧单独房间内。</w:t>
            </w:r>
          </w:p>
          <w:p w14:paraId="5D32A4B6">
            <w:pPr>
              <w:keepNext w:val="0"/>
              <w:keepLines w:val="0"/>
              <w:suppressLineNumbers w:val="0"/>
              <w:spacing w:before="0" w:beforeAutospacing="0" w:after="0" w:afterAutospacing="0" w:line="360" w:lineRule="auto"/>
              <w:ind w:left="0" w:right="0" w:firstLine="480" w:firstLineChars="200"/>
              <w:rPr>
                <w:rFonts w:hint="eastAsia" w:ascii="Times New Roman" w:hAnsi="Times New Roman" w:eastAsia="宋体" w:cs="Times New Roman"/>
                <w:color w:val="auto"/>
                <w:sz w:val="24"/>
                <w:lang w:val="en-US" w:eastAsia="zh-CN"/>
              </w:rPr>
            </w:pPr>
            <w:r>
              <w:rPr>
                <w:rFonts w:hint="eastAsia" w:ascii="Times New Roman" w:hAnsi="Times New Roman" w:eastAsia="宋体" w:cs="Times New Roman"/>
                <w:color w:val="auto"/>
                <w:sz w:val="24"/>
                <w:lang w:val="en-US" w:eastAsia="zh-CN"/>
              </w:rPr>
              <w:t>1#厂房东侧、北侧均设置出入口，2#厂房西侧、北侧均设置出入口。总平面布置将生产区、办公区分区布置，避免了生产对设计人员、办公人员的干扰。各区域功能明确，物料顺畅，便于操作和管理，提供工作效率。</w:t>
            </w:r>
          </w:p>
          <w:p w14:paraId="1D20FFEE">
            <w:pPr>
              <w:keepNext w:val="0"/>
              <w:keepLines w:val="0"/>
              <w:suppressLineNumbers w:val="0"/>
              <w:spacing w:before="0" w:beforeAutospacing="0" w:after="0" w:afterAutospacing="0" w:line="360" w:lineRule="auto"/>
              <w:ind w:left="0" w:right="0" w:firstLine="480" w:firstLineChars="200"/>
              <w:rPr>
                <w:rFonts w:hint="default" w:ascii="Times New Roman" w:hAnsi="Times New Roman" w:eastAsia="宋体" w:cs="Times New Roman"/>
                <w:color w:val="auto"/>
                <w:sz w:val="24"/>
              </w:rPr>
            </w:pPr>
            <w:r>
              <w:rPr>
                <w:rFonts w:hint="eastAsia" w:ascii="Times New Roman" w:hAnsi="Times New Roman" w:eastAsia="宋体" w:cs="Times New Roman"/>
                <w:color w:val="auto"/>
                <w:sz w:val="24"/>
                <w:lang w:val="en-US" w:eastAsia="zh-CN"/>
              </w:rPr>
              <w:t>综上所述，本项目平面布置较为合理</w:t>
            </w:r>
            <w:r>
              <w:rPr>
                <w:rFonts w:hint="eastAsia" w:ascii="Times New Roman" w:hAnsi="Times New Roman" w:eastAsia="宋体" w:cs="Times New Roman"/>
                <w:color w:val="auto"/>
                <w:sz w:val="24"/>
              </w:rPr>
              <w:t>，具体详见附图。</w:t>
            </w:r>
          </w:p>
          <w:p w14:paraId="1607135F">
            <w:pPr>
              <w:keepNext w:val="0"/>
              <w:keepLines w:val="0"/>
              <w:suppressLineNumbers w:val="0"/>
              <w:spacing w:before="0" w:beforeAutospacing="0" w:after="0" w:afterAutospacing="0" w:line="360" w:lineRule="auto"/>
              <w:ind w:left="0" w:right="0" w:firstLine="480" w:firstLineChars="200"/>
              <w:rPr>
                <w:rFonts w:hint="default" w:ascii="Times New Roman" w:hAnsi="Times New Roman" w:eastAsia="宋体" w:cs="Times New Roman"/>
                <w:color w:val="auto"/>
                <w:sz w:val="24"/>
              </w:rPr>
            </w:pPr>
            <w:r>
              <w:rPr>
                <w:rFonts w:hint="eastAsia" w:ascii="Times New Roman" w:hAnsi="Times New Roman" w:eastAsia="宋体" w:cs="Times New Roman"/>
                <w:color w:val="auto"/>
                <w:sz w:val="24"/>
              </w:rPr>
              <w:t>本项目及出租方周围环境状况如下表。</w:t>
            </w:r>
          </w:p>
          <w:p w14:paraId="287EE90C">
            <w:pPr>
              <w:keepNext w:val="0"/>
              <w:keepLines w:val="0"/>
              <w:suppressLineNumbers w:val="0"/>
              <w:spacing w:before="0" w:beforeAutospacing="0" w:after="0" w:afterAutospacing="0"/>
              <w:ind w:left="0" w:right="0"/>
              <w:jc w:val="center"/>
              <w:rPr>
                <w:rFonts w:hint="default" w:ascii="Times New Roman" w:hAnsi="Times New Roman" w:eastAsia="宋体" w:cs="Times New Roman"/>
                <w:b/>
                <w:bCs/>
                <w:color w:val="auto"/>
              </w:rPr>
            </w:pPr>
            <w:r>
              <w:rPr>
                <w:rFonts w:hint="eastAsia" w:ascii="Times New Roman" w:hAnsi="Times New Roman" w:eastAsia="宋体" w:cs="Times New Roman"/>
                <w:b/>
                <w:bCs/>
                <w:color w:val="auto"/>
              </w:rPr>
              <w:t>表2-</w:t>
            </w:r>
            <w:r>
              <w:rPr>
                <w:rFonts w:hint="eastAsia" w:ascii="Times New Roman" w:hAnsi="Times New Roman" w:eastAsia="宋体" w:cs="Times New Roman"/>
                <w:b/>
                <w:bCs/>
                <w:color w:val="auto"/>
                <w:lang w:val="en-US" w:eastAsia="zh-CN"/>
              </w:rPr>
              <w:t>11</w:t>
            </w:r>
            <w:r>
              <w:rPr>
                <w:rFonts w:hint="eastAsia" w:ascii="Times New Roman" w:hAnsi="Times New Roman" w:eastAsia="宋体" w:cs="Times New Roman"/>
                <w:b/>
                <w:bCs/>
                <w:color w:val="auto"/>
              </w:rPr>
              <w:t xml:space="preserve">  本项目周围环境状况表</w:t>
            </w:r>
          </w:p>
          <w:tbl>
            <w:tblPr>
              <w:tblStyle w:val="23"/>
              <w:tblW w:w="8185"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857"/>
              <w:gridCol w:w="6328"/>
            </w:tblGrid>
            <w:tr w14:paraId="61FB97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1857" w:type="dxa"/>
                  <w:vAlign w:val="center"/>
                </w:tcPr>
                <w:p w14:paraId="27BF3A6B">
                  <w:pPr>
                    <w:keepNext w:val="0"/>
                    <w:keepLines w:val="0"/>
                    <w:suppressLineNumbers w:val="0"/>
                    <w:spacing w:before="0" w:beforeAutospacing="0" w:after="0" w:afterAutospacing="0"/>
                    <w:ind w:left="0" w:right="0"/>
                    <w:jc w:val="center"/>
                    <w:rPr>
                      <w:rFonts w:hint="default" w:ascii="Times New Roman" w:hAnsi="Times New Roman" w:eastAsia="宋体" w:cs="Times New Roman"/>
                      <w:b/>
                      <w:bCs/>
                      <w:color w:val="auto"/>
                      <w:szCs w:val="21"/>
                    </w:rPr>
                  </w:pPr>
                  <w:r>
                    <w:rPr>
                      <w:rFonts w:hint="default" w:ascii="Times New Roman" w:hAnsi="Times New Roman" w:eastAsia="宋体" w:cs="Times New Roman"/>
                      <w:b/>
                      <w:bCs/>
                      <w:color w:val="auto"/>
                      <w:szCs w:val="21"/>
                    </w:rPr>
                    <w:t>方位</w:t>
                  </w:r>
                </w:p>
              </w:tc>
              <w:tc>
                <w:tcPr>
                  <w:tcW w:w="6328" w:type="dxa"/>
                  <w:vAlign w:val="center"/>
                </w:tcPr>
                <w:p w14:paraId="6E30D22A">
                  <w:pPr>
                    <w:keepNext w:val="0"/>
                    <w:keepLines w:val="0"/>
                    <w:suppressLineNumbers w:val="0"/>
                    <w:spacing w:before="0" w:beforeAutospacing="0" w:after="0" w:afterAutospacing="0"/>
                    <w:ind w:left="0" w:right="0"/>
                    <w:jc w:val="center"/>
                    <w:rPr>
                      <w:rFonts w:hint="default" w:ascii="Times New Roman" w:hAnsi="Times New Roman" w:eastAsia="宋体" w:cs="Times New Roman"/>
                      <w:b/>
                      <w:bCs/>
                      <w:color w:val="auto"/>
                      <w:szCs w:val="21"/>
                    </w:rPr>
                  </w:pPr>
                  <w:r>
                    <w:rPr>
                      <w:rFonts w:hint="default" w:ascii="Times New Roman" w:hAnsi="Times New Roman" w:eastAsia="宋体" w:cs="Times New Roman"/>
                      <w:b/>
                      <w:bCs/>
                      <w:color w:val="auto"/>
                      <w:szCs w:val="21"/>
                    </w:rPr>
                    <w:t>周围环境</w:t>
                  </w:r>
                </w:p>
              </w:tc>
            </w:tr>
            <w:tr w14:paraId="4923E6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1857" w:type="dxa"/>
                  <w:vAlign w:val="center"/>
                </w:tcPr>
                <w:p w14:paraId="0BEC5E41">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rPr>
                    <w:t>东侧</w:t>
                  </w:r>
                </w:p>
              </w:tc>
              <w:tc>
                <w:tcPr>
                  <w:tcW w:w="6328" w:type="dxa"/>
                  <w:vAlign w:val="center"/>
                </w:tcPr>
                <w:p w14:paraId="05E8A58E">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r>
                    <w:rPr>
                      <w:rFonts w:hint="eastAsia" w:ascii="Times New Roman" w:hAnsi="Times New Roman" w:eastAsia="宋体" w:cs="Times New Roman"/>
                      <w:color w:val="auto"/>
                      <w:szCs w:val="21"/>
                    </w:rPr>
                    <w:t>厂区内部路，路以东为电镀产业园</w:t>
                  </w:r>
                </w:p>
              </w:tc>
            </w:tr>
            <w:tr w14:paraId="1DA447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1857" w:type="dxa"/>
                  <w:vAlign w:val="center"/>
                </w:tcPr>
                <w:p w14:paraId="013DFDD6">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rPr>
                    <w:t>南侧</w:t>
                  </w:r>
                </w:p>
              </w:tc>
              <w:tc>
                <w:tcPr>
                  <w:tcW w:w="6328" w:type="dxa"/>
                  <w:vAlign w:val="center"/>
                </w:tcPr>
                <w:p w14:paraId="423F9E2F">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r>
                    <w:rPr>
                      <w:rFonts w:hint="eastAsia" w:ascii="Times New Roman" w:hAnsi="Times New Roman" w:eastAsia="宋体" w:cs="Times New Roman"/>
                      <w:color w:val="auto"/>
                      <w:szCs w:val="21"/>
                    </w:rPr>
                    <w:t>厂区内部路，路以南为</w:t>
                  </w:r>
                  <w:r>
                    <w:rPr>
                      <w:rFonts w:hint="default" w:ascii="Times New Roman" w:hAnsi="Times New Roman" w:eastAsia="宋体" w:cs="Times New Roman"/>
                      <w:color w:val="auto"/>
                      <w:szCs w:val="21"/>
                    </w:rPr>
                    <w:t>浙江凌志源科技股份有限公司</w:t>
                  </w:r>
                  <w:r>
                    <w:rPr>
                      <w:rFonts w:hint="eastAsia" w:ascii="Times New Roman" w:hAnsi="Times New Roman" w:eastAsia="宋体" w:cs="Times New Roman"/>
                      <w:color w:val="auto"/>
                      <w:szCs w:val="21"/>
                    </w:rPr>
                    <w:t>自有厂房</w:t>
                  </w:r>
                </w:p>
              </w:tc>
            </w:tr>
            <w:tr w14:paraId="560B52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1857" w:type="dxa"/>
                  <w:vAlign w:val="center"/>
                </w:tcPr>
                <w:p w14:paraId="425F35B4">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rPr>
                    <w:t>西侧</w:t>
                  </w:r>
                </w:p>
              </w:tc>
              <w:tc>
                <w:tcPr>
                  <w:tcW w:w="6328" w:type="dxa"/>
                  <w:vAlign w:val="center"/>
                </w:tcPr>
                <w:p w14:paraId="599C2384">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r>
                    <w:rPr>
                      <w:rFonts w:hint="eastAsia" w:ascii="Times New Roman" w:hAnsi="Times New Roman" w:eastAsia="宋体" w:cs="Times New Roman"/>
                      <w:color w:val="auto"/>
                      <w:szCs w:val="21"/>
                    </w:rPr>
                    <w:t>厂区内部路，路以西为兴盛路</w:t>
                  </w:r>
                </w:p>
              </w:tc>
            </w:tr>
            <w:tr w14:paraId="09F02F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1857" w:type="dxa"/>
                  <w:vAlign w:val="center"/>
                </w:tcPr>
                <w:p w14:paraId="0B715FE6">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rPr>
                    <w:t>北侧</w:t>
                  </w:r>
                </w:p>
              </w:tc>
              <w:tc>
                <w:tcPr>
                  <w:tcW w:w="6328" w:type="dxa"/>
                  <w:vAlign w:val="center"/>
                </w:tcPr>
                <w:p w14:paraId="1778A21F">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r>
                    <w:rPr>
                      <w:rFonts w:hint="eastAsia" w:ascii="Times New Roman" w:hAnsi="Times New Roman" w:eastAsia="宋体" w:cs="Times New Roman"/>
                      <w:color w:val="auto"/>
                      <w:szCs w:val="21"/>
                    </w:rPr>
                    <w:t>厂区内部路，路以北为长隆路</w:t>
                  </w:r>
                </w:p>
              </w:tc>
            </w:tr>
          </w:tbl>
          <w:p w14:paraId="5E4D548A">
            <w:pPr>
              <w:keepNext w:val="0"/>
              <w:keepLines w:val="0"/>
              <w:suppressLineNumbers w:val="0"/>
              <w:spacing w:before="0" w:beforeAutospacing="0" w:after="0" w:afterAutospacing="0"/>
              <w:ind w:left="0" w:right="0"/>
              <w:jc w:val="center"/>
              <w:rPr>
                <w:rFonts w:hint="default" w:ascii="Times New Roman" w:hAnsi="Times New Roman" w:eastAsia="宋体" w:cs="Times New Roman"/>
                <w:b/>
                <w:bCs/>
                <w:color w:val="auto"/>
              </w:rPr>
            </w:pPr>
            <w:r>
              <w:rPr>
                <w:rFonts w:hint="eastAsia" w:ascii="Times New Roman" w:hAnsi="Times New Roman" w:eastAsia="宋体" w:cs="Times New Roman"/>
                <w:b/>
                <w:bCs/>
                <w:color w:val="auto"/>
              </w:rPr>
              <w:t>表2-</w:t>
            </w:r>
            <w:r>
              <w:rPr>
                <w:rFonts w:hint="eastAsia" w:ascii="Times New Roman" w:hAnsi="Times New Roman" w:eastAsia="宋体" w:cs="Times New Roman"/>
                <w:b/>
                <w:bCs/>
                <w:color w:val="auto"/>
                <w:lang w:val="en-US" w:eastAsia="zh-CN"/>
              </w:rPr>
              <w:t>12</w:t>
            </w:r>
            <w:r>
              <w:rPr>
                <w:rFonts w:hint="eastAsia" w:ascii="Times New Roman" w:hAnsi="Times New Roman" w:eastAsia="宋体" w:cs="Times New Roman"/>
                <w:b/>
                <w:bCs/>
                <w:color w:val="auto"/>
              </w:rPr>
              <w:t xml:space="preserve">  出租方周围环境状况表</w:t>
            </w:r>
          </w:p>
          <w:tbl>
            <w:tblPr>
              <w:tblStyle w:val="23"/>
              <w:tblW w:w="8185"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857"/>
              <w:gridCol w:w="6328"/>
            </w:tblGrid>
            <w:tr w14:paraId="11CF64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1857" w:type="dxa"/>
                  <w:vAlign w:val="center"/>
                </w:tcPr>
                <w:p w14:paraId="57B11184">
                  <w:pPr>
                    <w:keepNext w:val="0"/>
                    <w:keepLines w:val="0"/>
                    <w:suppressLineNumbers w:val="0"/>
                    <w:spacing w:before="0" w:beforeAutospacing="0" w:after="0" w:afterAutospacing="0"/>
                    <w:ind w:left="0" w:right="0"/>
                    <w:jc w:val="center"/>
                    <w:rPr>
                      <w:rFonts w:hint="default" w:ascii="Times New Roman" w:hAnsi="Times New Roman" w:eastAsia="宋体" w:cs="Times New Roman"/>
                      <w:b/>
                      <w:bCs/>
                      <w:color w:val="auto"/>
                      <w:szCs w:val="21"/>
                    </w:rPr>
                  </w:pPr>
                  <w:r>
                    <w:rPr>
                      <w:rFonts w:hint="default" w:ascii="Times New Roman" w:hAnsi="Times New Roman" w:eastAsia="宋体" w:cs="Times New Roman"/>
                      <w:b/>
                      <w:bCs/>
                      <w:color w:val="auto"/>
                      <w:szCs w:val="21"/>
                    </w:rPr>
                    <w:t>方位</w:t>
                  </w:r>
                </w:p>
              </w:tc>
              <w:tc>
                <w:tcPr>
                  <w:tcW w:w="6328" w:type="dxa"/>
                  <w:vAlign w:val="center"/>
                </w:tcPr>
                <w:p w14:paraId="3EF9D78F">
                  <w:pPr>
                    <w:keepNext w:val="0"/>
                    <w:keepLines w:val="0"/>
                    <w:suppressLineNumbers w:val="0"/>
                    <w:spacing w:before="0" w:beforeAutospacing="0" w:after="0" w:afterAutospacing="0"/>
                    <w:ind w:left="0" w:right="0"/>
                    <w:jc w:val="center"/>
                    <w:rPr>
                      <w:rFonts w:hint="default" w:ascii="Times New Roman" w:hAnsi="Times New Roman" w:eastAsia="宋体" w:cs="Times New Roman"/>
                      <w:b/>
                      <w:bCs/>
                      <w:color w:val="auto"/>
                      <w:szCs w:val="21"/>
                    </w:rPr>
                  </w:pPr>
                  <w:r>
                    <w:rPr>
                      <w:rFonts w:hint="default" w:ascii="Times New Roman" w:hAnsi="Times New Roman" w:eastAsia="宋体" w:cs="Times New Roman"/>
                      <w:b/>
                      <w:bCs/>
                      <w:color w:val="auto"/>
                      <w:szCs w:val="21"/>
                    </w:rPr>
                    <w:t>周围环境</w:t>
                  </w:r>
                </w:p>
              </w:tc>
            </w:tr>
            <w:tr w14:paraId="5ADC3D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1857" w:type="dxa"/>
                  <w:vAlign w:val="center"/>
                </w:tcPr>
                <w:p w14:paraId="5C472E77">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rPr>
                    <w:t>东侧</w:t>
                  </w:r>
                </w:p>
              </w:tc>
              <w:tc>
                <w:tcPr>
                  <w:tcW w:w="6328" w:type="dxa"/>
                  <w:vAlign w:val="center"/>
                </w:tcPr>
                <w:p w14:paraId="31CE854A">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r>
                    <w:rPr>
                      <w:rFonts w:hint="eastAsia" w:ascii="Times New Roman" w:hAnsi="Times New Roman" w:eastAsia="宋体" w:cs="Times New Roman"/>
                      <w:color w:val="auto"/>
                      <w:szCs w:val="21"/>
                    </w:rPr>
                    <w:t>电镀产业园</w:t>
                  </w:r>
                </w:p>
              </w:tc>
            </w:tr>
            <w:tr w14:paraId="51E8D1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1857" w:type="dxa"/>
                  <w:vAlign w:val="center"/>
                </w:tcPr>
                <w:p w14:paraId="4E340EFE">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rPr>
                    <w:t>南侧</w:t>
                  </w:r>
                </w:p>
              </w:tc>
              <w:tc>
                <w:tcPr>
                  <w:tcW w:w="6328" w:type="dxa"/>
                  <w:vAlign w:val="center"/>
                </w:tcPr>
                <w:p w14:paraId="3E2FFC24">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rPr>
                    <w:t>浙江凌志源科技股份有限公司</w:t>
                  </w:r>
                  <w:r>
                    <w:rPr>
                      <w:rFonts w:hint="eastAsia" w:ascii="Times New Roman" w:hAnsi="Times New Roman" w:eastAsia="宋体" w:cs="Times New Roman"/>
                      <w:color w:val="auto"/>
                      <w:szCs w:val="21"/>
                    </w:rPr>
                    <w:t>自有厂房</w:t>
                  </w:r>
                </w:p>
              </w:tc>
            </w:tr>
            <w:tr w14:paraId="20637A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1857" w:type="dxa"/>
                  <w:vAlign w:val="center"/>
                </w:tcPr>
                <w:p w14:paraId="6BA92070">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rPr>
                    <w:t>西侧</w:t>
                  </w:r>
                </w:p>
              </w:tc>
              <w:tc>
                <w:tcPr>
                  <w:tcW w:w="6328" w:type="dxa"/>
                  <w:vAlign w:val="center"/>
                </w:tcPr>
                <w:p w14:paraId="524E496B">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r>
                    <w:rPr>
                      <w:rFonts w:hint="eastAsia" w:ascii="Times New Roman" w:hAnsi="Times New Roman" w:eastAsia="宋体" w:cs="Times New Roman"/>
                      <w:color w:val="auto"/>
                      <w:szCs w:val="21"/>
                    </w:rPr>
                    <w:t>兴盛路，路以西为浙江华缔药业集团有限责任公司</w:t>
                  </w:r>
                </w:p>
              </w:tc>
            </w:tr>
            <w:tr w14:paraId="7076A6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1857" w:type="dxa"/>
                  <w:vAlign w:val="center"/>
                </w:tcPr>
                <w:p w14:paraId="236E61AF">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rPr>
                    <w:t>北侧</w:t>
                  </w:r>
                </w:p>
              </w:tc>
              <w:tc>
                <w:tcPr>
                  <w:tcW w:w="6328" w:type="dxa"/>
                  <w:vAlign w:val="center"/>
                </w:tcPr>
                <w:p w14:paraId="5CA63CC8">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r>
                    <w:rPr>
                      <w:rFonts w:hint="eastAsia" w:ascii="Times New Roman" w:hAnsi="Times New Roman" w:eastAsia="宋体" w:cs="Times New Roman"/>
                      <w:color w:val="auto"/>
                      <w:szCs w:val="21"/>
                    </w:rPr>
                    <w:t>长隆路，路以北为浙江三有纺织机械科技有限公司</w:t>
                  </w:r>
                </w:p>
              </w:tc>
            </w:tr>
          </w:tbl>
          <w:p w14:paraId="12CD92C0">
            <w:pPr>
              <w:keepNext w:val="0"/>
              <w:keepLines w:val="0"/>
              <w:suppressLineNumbers w:val="0"/>
              <w:spacing w:before="0" w:beforeAutospacing="0" w:after="0" w:afterAutospacing="0" w:line="360" w:lineRule="auto"/>
              <w:ind w:left="0" w:right="0"/>
              <w:rPr>
                <w:rFonts w:hint="default"/>
                <w:color w:val="auto"/>
              </w:rPr>
            </w:pPr>
          </w:p>
          <w:p w14:paraId="77A8B461">
            <w:pPr>
              <w:keepNext w:val="0"/>
              <w:keepLines w:val="0"/>
              <w:suppressLineNumbers w:val="0"/>
              <w:spacing w:before="0" w:beforeAutospacing="0" w:after="0" w:afterAutospacing="0"/>
              <w:ind w:left="0" w:right="0"/>
              <w:rPr>
                <w:rFonts w:hint="default"/>
              </w:rPr>
            </w:pPr>
          </w:p>
        </w:tc>
      </w:tr>
      <w:tr w14:paraId="0E5E41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2" w:hRule="atLeast"/>
        </w:trPr>
        <w:tc>
          <w:tcPr>
            <w:tcW w:w="481" w:type="dxa"/>
            <w:vAlign w:val="center"/>
          </w:tcPr>
          <w:p w14:paraId="181D106F">
            <w:pPr>
              <w:keepNext w:val="0"/>
              <w:keepLines w:val="0"/>
              <w:suppressLineNumbers w:val="0"/>
              <w:spacing w:before="0" w:beforeAutospacing="0" w:after="0" w:afterAutospacing="0"/>
              <w:ind w:left="0" w:right="0"/>
              <w:jc w:val="center"/>
              <w:rPr>
                <w:rFonts w:hint="default" w:ascii="Times New Roman" w:hAnsi="Times New Roman" w:eastAsia="宋体" w:cs="Times New Roman"/>
                <w:b/>
                <w:bCs/>
                <w:color w:val="auto"/>
                <w:sz w:val="24"/>
              </w:rPr>
            </w:pPr>
            <w:r>
              <w:rPr>
                <w:rFonts w:hint="eastAsia" w:ascii="Times New Roman" w:hAnsi="Times New Roman" w:eastAsia="宋体" w:cs="Times New Roman"/>
                <w:b/>
                <w:bCs/>
                <w:color w:val="auto"/>
                <w:sz w:val="24"/>
              </w:rPr>
              <w:t>工艺流程和产排污环节</w:t>
            </w:r>
          </w:p>
        </w:tc>
        <w:tc>
          <w:tcPr>
            <w:tcW w:w="8401" w:type="dxa"/>
          </w:tcPr>
          <w:p w14:paraId="2E0C2FB1">
            <w:pPr>
              <w:keepNext w:val="0"/>
              <w:keepLines w:val="0"/>
              <w:suppressLineNumbers w:val="0"/>
              <w:spacing w:before="0" w:beforeAutospacing="0" w:after="0" w:afterAutospacing="0" w:line="360" w:lineRule="auto"/>
              <w:ind w:left="0" w:right="0"/>
              <w:rPr>
                <w:rFonts w:hint="default" w:ascii="Times New Roman" w:hAnsi="Times New Roman" w:eastAsia="宋体" w:cs="Times New Roman"/>
                <w:b/>
                <w:bCs/>
                <w:color w:val="auto"/>
                <w:sz w:val="24"/>
              </w:rPr>
            </w:pPr>
            <w:r>
              <w:rPr>
                <w:rFonts w:hint="eastAsia" w:ascii="Times New Roman" w:hAnsi="Times New Roman" w:eastAsia="宋体" w:cs="Times New Roman"/>
                <w:b/>
                <w:bCs/>
                <w:color w:val="auto"/>
                <w:sz w:val="24"/>
              </w:rPr>
              <w:t>2.2工艺流程和产排污</w:t>
            </w:r>
            <w:bookmarkStart w:id="5" w:name="工艺流程"/>
            <w:bookmarkEnd w:id="5"/>
            <w:r>
              <w:rPr>
                <w:rFonts w:hint="eastAsia" w:ascii="Times New Roman" w:hAnsi="Times New Roman" w:eastAsia="宋体" w:cs="Times New Roman"/>
                <w:b/>
                <w:bCs/>
                <w:color w:val="auto"/>
                <w:sz w:val="24"/>
              </w:rPr>
              <w:t>环节</w:t>
            </w:r>
          </w:p>
          <w:p w14:paraId="248E6A13">
            <w:pPr>
              <w:keepNext w:val="0"/>
              <w:keepLines w:val="0"/>
              <w:suppressLineNumbers w:val="0"/>
              <w:spacing w:before="0" w:beforeAutospacing="0" w:after="0" w:afterAutospacing="0" w:line="360" w:lineRule="auto"/>
              <w:ind w:left="0" w:right="0"/>
              <w:rPr>
                <w:rFonts w:hint="default" w:ascii="Times New Roman" w:hAnsi="Times New Roman" w:eastAsia="宋体" w:cs="Times New Roman"/>
                <w:b/>
                <w:bCs/>
                <w:color w:val="auto"/>
                <w:sz w:val="24"/>
              </w:rPr>
            </w:pPr>
            <w:r>
              <w:rPr>
                <w:rFonts w:hint="eastAsia" w:ascii="Times New Roman" w:hAnsi="Times New Roman" w:eastAsia="宋体" w:cs="Times New Roman"/>
                <w:b/>
                <w:bCs/>
                <w:color w:val="auto"/>
                <w:sz w:val="24"/>
              </w:rPr>
              <w:t>2.2.1工艺流程简述（图示及文字说明）</w:t>
            </w:r>
          </w:p>
          <w:p w14:paraId="06882D67">
            <w:pPr>
              <w:keepNext w:val="0"/>
              <w:keepLines w:val="0"/>
              <w:suppressLineNumbers w:val="0"/>
              <w:spacing w:before="0" w:beforeAutospacing="0" w:after="0" w:afterAutospacing="0" w:line="360" w:lineRule="auto"/>
              <w:ind w:left="0" w:right="0" w:firstLine="480" w:firstLineChars="200"/>
              <w:rPr>
                <w:rFonts w:hint="default" w:ascii="Times New Roman" w:hAnsi="Times New Roman" w:eastAsia="宋体" w:cs="Times New Roman"/>
                <w:color w:val="auto"/>
                <w:sz w:val="24"/>
              </w:rPr>
            </w:pPr>
            <w:r>
              <w:rPr>
                <w:rFonts w:hint="eastAsia" w:ascii="Times New Roman" w:hAnsi="Times New Roman" w:eastAsia="宋体" w:cs="Times New Roman"/>
                <w:color w:val="auto"/>
                <w:sz w:val="24"/>
              </w:rPr>
              <w:t>（1）第二代动力电池高安全陶瓷化复合隔膜生产工艺</w:t>
            </w:r>
          </w:p>
          <w:p w14:paraId="31427B5F">
            <w:pPr>
              <w:keepNext w:val="0"/>
              <w:keepLines w:val="0"/>
              <w:suppressLineNumbers w:val="0"/>
              <w:spacing w:before="0" w:beforeAutospacing="0" w:after="0" w:afterAutospacing="0" w:line="360" w:lineRule="auto"/>
              <w:ind w:left="0" w:right="0"/>
              <w:rPr>
                <w:rFonts w:hint="default" w:ascii="Times New Roman" w:hAnsi="Times New Roman" w:eastAsia="宋体" w:cs="Times New Roman"/>
                <w:b/>
                <w:bCs/>
                <w:color w:val="auto"/>
                <w:sz w:val="24"/>
              </w:rPr>
            </w:pPr>
            <w:r>
              <w:rPr>
                <w:rFonts w:hint="default" w:ascii="Times New Roman" w:hAnsi="Times New Roman" w:eastAsia="宋体" w:cs="Times New Roman"/>
                <w:b/>
                <w:bCs/>
                <w:color w:val="auto"/>
                <w:sz w:val="24"/>
              </w:rPr>
              <w:object>
                <v:shape id="_x0000_i1027" o:spt="75" type="#_x0000_t75" style="height:76.15pt;width:408.45pt;" o:ole="t" filled="f" o:preferrelative="t" stroked="f" coordsize="21600,21600">
                  <v:path/>
                  <v:fill on="f" focussize="0,0"/>
                  <v:stroke on="f"/>
                  <v:imagedata r:id="rId16" o:title=""/>
                  <o:lock v:ext="edit" aspectratio="f"/>
                  <w10:wrap type="none"/>
                  <w10:anchorlock/>
                </v:shape>
                <o:OLEObject Type="Embed" ProgID="Visio.Drawing.15" ShapeID="_x0000_i1027" DrawAspect="Content" ObjectID="_1468075727" r:id="rId15">
                  <o:LockedField>false</o:LockedField>
                </o:OLEObject>
              </w:object>
            </w:r>
          </w:p>
          <w:p w14:paraId="1B0ACDF9">
            <w:pPr>
              <w:keepNext w:val="0"/>
              <w:keepLines w:val="0"/>
              <w:suppressLineNumbers w:val="0"/>
              <w:spacing w:before="0" w:beforeAutospacing="0" w:after="0" w:afterAutospacing="0"/>
              <w:ind w:left="0" w:right="0"/>
              <w:jc w:val="center"/>
              <w:rPr>
                <w:rFonts w:hint="eastAsia" w:ascii="Times New Roman" w:hAnsi="Times New Roman" w:eastAsia="宋体" w:cs="Times New Roman"/>
                <w:b/>
                <w:bCs/>
                <w:color w:val="auto"/>
                <w:szCs w:val="21"/>
              </w:rPr>
            </w:pPr>
            <w:r>
              <w:rPr>
                <w:rFonts w:hint="eastAsia" w:ascii="Times New Roman" w:hAnsi="Times New Roman" w:eastAsia="宋体" w:cs="Times New Roman"/>
                <w:b/>
                <w:bCs/>
                <w:color w:val="auto"/>
                <w:szCs w:val="21"/>
              </w:rPr>
              <w:t>图2-</w:t>
            </w:r>
            <w:r>
              <w:rPr>
                <w:rFonts w:hint="eastAsia" w:ascii="Times New Roman" w:hAnsi="Times New Roman" w:eastAsia="宋体" w:cs="Times New Roman"/>
                <w:b/>
                <w:bCs/>
                <w:color w:val="auto"/>
                <w:szCs w:val="21"/>
                <w:lang w:val="en-US" w:eastAsia="zh-CN"/>
              </w:rPr>
              <w:t>3</w:t>
            </w:r>
            <w:r>
              <w:rPr>
                <w:rFonts w:hint="eastAsia" w:ascii="Times New Roman" w:hAnsi="Times New Roman" w:eastAsia="宋体" w:cs="Times New Roman"/>
                <w:b/>
                <w:bCs/>
                <w:color w:val="auto"/>
                <w:szCs w:val="21"/>
              </w:rPr>
              <w:t xml:space="preserve">  第二代动力电池高安全陶瓷化复合隔膜生产工艺流程及产污节点图</w:t>
            </w:r>
          </w:p>
          <w:p w14:paraId="5E83B2C4">
            <w:pPr>
              <w:keepNext w:val="0"/>
              <w:keepLines w:val="0"/>
              <w:suppressLineNumbers w:val="0"/>
              <w:spacing w:before="0" w:beforeAutospacing="0" w:after="0" w:afterAutospacing="0"/>
              <w:ind w:left="0" w:right="0"/>
              <w:jc w:val="center"/>
              <w:rPr>
                <w:rFonts w:hint="default" w:ascii="Times New Roman" w:hAnsi="Times New Roman" w:eastAsia="宋体" w:cs="Times New Roman"/>
                <w:b/>
                <w:bCs/>
                <w:color w:val="auto"/>
                <w:szCs w:val="21"/>
              </w:rPr>
            </w:pPr>
            <w:r>
              <w:rPr>
                <w:rFonts w:hint="eastAsia" w:ascii="Times New Roman" w:hAnsi="Times New Roman" w:eastAsia="宋体" w:cs="Times New Roman"/>
                <w:b/>
                <w:bCs/>
                <w:color w:val="auto"/>
                <w:szCs w:val="21"/>
              </w:rPr>
              <w:t>（噪声伴随整个工艺流程）</w:t>
            </w:r>
          </w:p>
          <w:p w14:paraId="7D6DFF70">
            <w:pPr>
              <w:keepNext w:val="0"/>
              <w:keepLines w:val="0"/>
              <w:suppressLineNumbers w:val="0"/>
              <w:spacing w:before="0" w:beforeAutospacing="0" w:after="0" w:afterAutospacing="0" w:line="360" w:lineRule="auto"/>
              <w:ind w:left="0" w:right="0" w:firstLine="482" w:firstLineChars="200"/>
              <w:rPr>
                <w:rFonts w:hint="default" w:ascii="Times New Roman" w:hAnsi="Times New Roman" w:eastAsia="宋体" w:cs="Times New Roman"/>
                <w:b/>
                <w:bCs/>
                <w:color w:val="auto"/>
                <w:sz w:val="24"/>
                <w:highlight w:val="none"/>
              </w:rPr>
            </w:pPr>
            <w:r>
              <w:rPr>
                <w:rFonts w:hint="eastAsia" w:ascii="Times New Roman" w:hAnsi="Times New Roman" w:eastAsia="宋体" w:cs="Times New Roman"/>
                <w:b/>
                <w:bCs/>
                <w:color w:val="auto"/>
                <w:sz w:val="24"/>
                <w:highlight w:val="none"/>
              </w:rPr>
              <w:t>工艺流程说明：</w:t>
            </w:r>
          </w:p>
          <w:p w14:paraId="7FED5DA6">
            <w:pPr>
              <w:keepNext w:val="0"/>
              <w:keepLines w:val="0"/>
              <w:suppressLineNumbers w:val="0"/>
              <w:spacing w:before="0" w:beforeAutospacing="0" w:after="0" w:afterAutospacing="0" w:line="360" w:lineRule="auto"/>
              <w:ind w:left="0" w:right="0" w:firstLine="480" w:firstLineChars="200"/>
              <w:rPr>
                <w:rFonts w:hint="default" w:ascii="Times New Roman" w:hAnsi="Times New Roman" w:eastAsia="宋体" w:cs="Times New Roman"/>
                <w:color w:val="auto"/>
                <w:sz w:val="24"/>
              </w:rPr>
            </w:pPr>
            <w:r>
              <w:rPr>
                <w:rFonts w:hint="default" w:ascii="Times New Roman" w:hAnsi="Times New Roman" w:eastAsia="宋体" w:cs="Times New Roman"/>
                <w:color w:val="auto"/>
                <w:sz w:val="24"/>
              </w:rPr>
              <w:t>①压延涂布：将</w:t>
            </w:r>
            <w:r>
              <w:rPr>
                <w:rFonts w:hint="default" w:ascii="Times New Roman" w:hAnsi="Times New Roman" w:eastAsia="宋体" w:cs="Times New Roman"/>
                <w:color w:val="auto"/>
                <w:sz w:val="24"/>
                <w:lang w:val="en-US" w:eastAsia="zh-CN"/>
              </w:rPr>
              <w:t>陶瓷基料混合物</w:t>
            </w:r>
            <w:r>
              <w:rPr>
                <w:rFonts w:hint="default" w:ascii="Times New Roman" w:hAnsi="Times New Roman" w:eastAsia="宋体" w:cs="Times New Roman"/>
                <w:color w:val="auto"/>
                <w:sz w:val="24"/>
              </w:rPr>
              <w:t>通过双组份压料机</w:t>
            </w:r>
            <w:r>
              <w:rPr>
                <w:rFonts w:hint="eastAsia" w:ascii="Times New Roman" w:hAnsi="Times New Roman" w:eastAsia="宋体" w:cs="Times New Roman"/>
                <w:color w:val="auto"/>
                <w:sz w:val="24"/>
                <w:lang w:val="en-US" w:eastAsia="zh-CN"/>
              </w:rPr>
              <w:t>压入</w:t>
            </w:r>
            <w:r>
              <w:rPr>
                <w:rFonts w:hint="default" w:ascii="Times New Roman" w:hAnsi="Times New Roman" w:eastAsia="宋体" w:cs="Times New Roman"/>
                <w:color w:val="auto"/>
                <w:sz w:val="24"/>
              </w:rPr>
              <w:t>双组份打胶机</w:t>
            </w:r>
            <w:r>
              <w:rPr>
                <w:rFonts w:hint="eastAsia" w:ascii="Times New Roman" w:hAnsi="Times New Roman" w:eastAsia="宋体" w:cs="Times New Roman"/>
                <w:color w:val="auto"/>
                <w:sz w:val="24"/>
                <w:lang w:eastAsia="zh-CN"/>
              </w:rPr>
              <w:t>，</w:t>
            </w:r>
            <w:r>
              <w:rPr>
                <w:rFonts w:hint="eastAsia" w:ascii="Times New Roman" w:hAnsi="Times New Roman" w:eastAsia="宋体" w:cs="Times New Roman"/>
                <w:color w:val="auto"/>
                <w:sz w:val="24"/>
                <w:lang w:val="en-US" w:eastAsia="zh-CN"/>
              </w:rPr>
              <w:t>然后通过计量泵精确输送</w:t>
            </w:r>
            <w:r>
              <w:rPr>
                <w:rFonts w:hint="default" w:ascii="Times New Roman" w:hAnsi="Times New Roman" w:eastAsia="宋体" w:cs="Times New Roman"/>
                <w:color w:val="auto"/>
                <w:sz w:val="24"/>
              </w:rPr>
              <w:t>压延涂布机</w:t>
            </w:r>
            <w:r>
              <w:rPr>
                <w:rFonts w:hint="eastAsia" w:ascii="Times New Roman" w:hAnsi="Times New Roman" w:eastAsia="宋体" w:cs="Times New Roman"/>
                <w:color w:val="auto"/>
                <w:sz w:val="24"/>
                <w:lang w:eastAsia="zh-CN"/>
              </w:rPr>
              <w:t>、</w:t>
            </w:r>
            <w:r>
              <w:rPr>
                <w:rFonts w:hint="eastAsia" w:ascii="Times New Roman" w:hAnsi="Times New Roman" w:eastAsia="宋体" w:cs="Times New Roman"/>
                <w:color w:val="auto"/>
                <w:sz w:val="24"/>
                <w:lang w:val="en-US" w:eastAsia="zh-CN"/>
              </w:rPr>
              <w:t>1450立式（浸涂）涂布生产线</w:t>
            </w:r>
            <w:r>
              <w:rPr>
                <w:rFonts w:hint="default" w:ascii="Times New Roman" w:hAnsi="Times New Roman" w:eastAsia="宋体" w:cs="Times New Roman"/>
                <w:color w:val="auto"/>
                <w:sz w:val="24"/>
              </w:rPr>
              <w:t>等</w:t>
            </w:r>
            <w:r>
              <w:rPr>
                <w:rFonts w:hint="eastAsia" w:ascii="Times New Roman" w:hAnsi="Times New Roman" w:eastAsia="宋体" w:cs="Times New Roman"/>
                <w:color w:val="auto"/>
                <w:sz w:val="24"/>
                <w:lang w:eastAsia="zh-CN"/>
              </w:rPr>
              <w:t>（</w:t>
            </w:r>
            <w:r>
              <w:rPr>
                <w:rFonts w:hint="eastAsia" w:ascii="Times New Roman" w:hAnsi="Times New Roman" w:eastAsia="宋体" w:cs="Times New Roman"/>
                <w:color w:val="auto"/>
                <w:sz w:val="24"/>
                <w:lang w:val="en-US" w:eastAsia="zh-CN"/>
              </w:rPr>
              <w:t>物料输送全过程密闭</w:t>
            </w:r>
            <w:r>
              <w:rPr>
                <w:rFonts w:hint="eastAsia" w:ascii="Times New Roman" w:hAnsi="Times New Roman" w:eastAsia="宋体" w:cs="Times New Roman"/>
                <w:color w:val="auto"/>
                <w:sz w:val="24"/>
                <w:lang w:eastAsia="zh-CN"/>
              </w:rPr>
              <w:t>）</w:t>
            </w:r>
            <w:r>
              <w:rPr>
                <w:rFonts w:hint="default" w:ascii="Times New Roman" w:hAnsi="Times New Roman" w:eastAsia="宋体" w:cs="Times New Roman"/>
                <w:color w:val="auto"/>
                <w:sz w:val="24"/>
              </w:rPr>
              <w:t>，同时双面包裹PET膜进行保护；在110~180℃工况下，以2~3m/min的走料速度，将液态胶料压制成规定厚度均匀薄片。</w:t>
            </w:r>
            <w:r>
              <w:rPr>
                <w:rFonts w:hint="default" w:ascii="Times New Roman" w:hAnsi="Times New Roman" w:eastAsia="宋体" w:cs="Times New Roman"/>
                <w:color w:val="auto"/>
                <w:sz w:val="24"/>
                <w:lang w:val="en-US" w:eastAsia="zh-CN"/>
              </w:rPr>
              <w:t>为连续进料出料过程，物料进出压延机只需要几秒</w:t>
            </w:r>
            <w:r>
              <w:rPr>
                <w:rFonts w:hint="eastAsia" w:ascii="Times New Roman" w:hAnsi="Times New Roman" w:eastAsia="宋体" w:cs="Times New Roman"/>
                <w:color w:val="auto"/>
                <w:sz w:val="24"/>
                <w:lang w:val="en-US" w:eastAsia="zh-CN"/>
              </w:rPr>
              <w:t>。此过程产生N1噪声。</w:t>
            </w:r>
          </w:p>
          <w:p w14:paraId="502EB425">
            <w:pPr>
              <w:keepNext w:val="0"/>
              <w:keepLines w:val="0"/>
              <w:suppressLineNumbers w:val="0"/>
              <w:spacing w:before="0" w:beforeAutospacing="0" w:after="0" w:afterAutospacing="0" w:line="360" w:lineRule="auto"/>
              <w:ind w:left="0" w:right="0" w:firstLine="480" w:firstLineChars="200"/>
              <w:rPr>
                <w:rFonts w:hint="default" w:ascii="Times New Roman" w:hAnsi="Times New Roman" w:eastAsia="宋体" w:cs="Times New Roman"/>
                <w:color w:val="auto"/>
                <w:sz w:val="24"/>
              </w:rPr>
            </w:pPr>
            <w:r>
              <w:rPr>
                <w:rFonts w:hint="default" w:ascii="Times New Roman" w:hAnsi="Times New Roman" w:eastAsia="宋体" w:cs="Times New Roman"/>
                <w:color w:val="auto"/>
                <w:sz w:val="24"/>
              </w:rPr>
              <w:t>②烘烤固化：压延成型的胶料薄片在辅助材料玻纤布的托举下进入</w:t>
            </w:r>
            <w:r>
              <w:rPr>
                <w:rFonts w:hint="default" w:ascii="Times New Roman" w:hAnsi="Times New Roman" w:eastAsia="宋体" w:cs="Times New Roman"/>
                <w:color w:val="FF0000"/>
                <w:sz w:val="24"/>
              </w:rPr>
              <w:t>隧道式烤箱</w:t>
            </w:r>
            <w:r>
              <w:rPr>
                <w:rFonts w:hint="default" w:ascii="Times New Roman" w:hAnsi="Times New Roman" w:eastAsia="宋体" w:cs="Times New Roman"/>
                <w:color w:val="auto"/>
                <w:sz w:val="24"/>
              </w:rPr>
              <w:t>、1450立式（浸涂）涂布生产线等，采用电加热方</w:t>
            </w:r>
            <w:bookmarkStart w:id="38" w:name="_GoBack"/>
            <w:bookmarkEnd w:id="38"/>
            <w:r>
              <w:rPr>
                <w:rFonts w:hint="default" w:ascii="Times New Roman" w:hAnsi="Times New Roman" w:eastAsia="宋体" w:cs="Times New Roman"/>
                <w:color w:val="auto"/>
                <w:sz w:val="24"/>
              </w:rPr>
              <w:t>式供热，烘道温度控制180~200℃，生产线走料速度1~2m/min；高温环境促使液态胶料发生交联反应，硬化形成弹性体片材，完成固化成型。</w:t>
            </w:r>
            <w:r>
              <w:rPr>
                <w:rFonts w:hint="eastAsia" w:ascii="Times New Roman" w:hAnsi="Times New Roman" w:eastAsia="宋体" w:cs="Times New Roman"/>
                <w:color w:val="auto"/>
                <w:sz w:val="24"/>
                <w:lang w:val="en-US" w:eastAsia="zh-CN"/>
              </w:rPr>
              <w:t>此过程产生固化废气G1和N1噪声。</w:t>
            </w:r>
          </w:p>
          <w:p w14:paraId="59E7E4B2">
            <w:pPr>
              <w:keepNext w:val="0"/>
              <w:keepLines w:val="0"/>
              <w:suppressLineNumbers w:val="0"/>
              <w:spacing w:before="0" w:beforeAutospacing="0" w:after="0" w:afterAutospacing="0" w:line="360" w:lineRule="auto"/>
              <w:ind w:left="0" w:right="0" w:firstLine="480" w:firstLineChars="200"/>
              <w:rPr>
                <w:rFonts w:hint="default" w:ascii="Times New Roman" w:hAnsi="Times New Roman" w:eastAsia="宋体" w:cs="Times New Roman"/>
                <w:color w:val="auto"/>
                <w:sz w:val="24"/>
              </w:rPr>
            </w:pPr>
            <w:r>
              <w:rPr>
                <w:rFonts w:hint="eastAsia" w:ascii="Times New Roman" w:hAnsi="Times New Roman" w:eastAsia="宋体" w:cs="Times New Roman"/>
                <w:color w:val="auto"/>
                <w:sz w:val="24"/>
              </w:rPr>
              <w:t>③收卷：自然冷却后的完整弹性片材通过收卷设备连续卷取，形成规整卷材。在收卷过程同时揭除双面包裹的PET膜。</w:t>
            </w:r>
            <w:r>
              <w:rPr>
                <w:rFonts w:hint="eastAsia" w:ascii="Times New Roman" w:hAnsi="Times New Roman" w:eastAsia="宋体" w:cs="Times New Roman"/>
                <w:color w:val="auto"/>
                <w:sz w:val="24"/>
                <w:lang w:val="en-US" w:eastAsia="zh-CN"/>
              </w:rPr>
              <w:t>此过程产生废PET膜S1、N1噪声。</w:t>
            </w:r>
          </w:p>
          <w:p w14:paraId="27201464">
            <w:pPr>
              <w:keepNext w:val="0"/>
              <w:keepLines w:val="0"/>
              <w:suppressLineNumbers w:val="0"/>
              <w:spacing w:before="0" w:beforeAutospacing="0" w:after="0" w:afterAutospacing="0" w:line="360" w:lineRule="auto"/>
              <w:ind w:left="0" w:right="0" w:firstLine="480" w:firstLineChars="200"/>
              <w:rPr>
                <w:rFonts w:hint="eastAsia" w:ascii="Times New Roman" w:hAnsi="Times New Roman" w:eastAsia="宋体" w:cs="Times New Roman"/>
                <w:color w:val="auto"/>
                <w:sz w:val="24"/>
              </w:rPr>
            </w:pPr>
            <w:r>
              <w:rPr>
                <w:rFonts w:hint="eastAsia" w:ascii="Times New Roman" w:hAnsi="Times New Roman" w:eastAsia="宋体" w:cs="Times New Roman"/>
                <w:color w:val="auto"/>
                <w:sz w:val="24"/>
              </w:rPr>
              <w:t>④裁切：根据成品规格需求，将整卷片材裁切成指定尺寸单片。</w:t>
            </w:r>
            <w:r>
              <w:rPr>
                <w:rFonts w:hint="eastAsia" w:ascii="Times New Roman" w:hAnsi="Times New Roman" w:eastAsia="宋体" w:cs="Times New Roman"/>
                <w:color w:val="auto"/>
                <w:sz w:val="24"/>
                <w:lang w:val="en-US" w:eastAsia="zh-CN"/>
              </w:rPr>
              <w:t>此过程产生边角料S2和N1噪声。</w:t>
            </w:r>
          </w:p>
          <w:p w14:paraId="751DC893">
            <w:pPr>
              <w:keepNext w:val="0"/>
              <w:keepLines w:val="0"/>
              <w:suppressLineNumbers w:val="0"/>
              <w:spacing w:before="0" w:beforeAutospacing="0" w:after="0" w:afterAutospacing="0" w:line="360" w:lineRule="auto"/>
              <w:ind w:left="0" w:right="0" w:firstLine="480" w:firstLineChars="200"/>
              <w:rPr>
                <w:rFonts w:hint="default" w:ascii="Times New Roman" w:hAnsi="Times New Roman" w:eastAsia="宋体" w:cs="Times New Roman"/>
                <w:color w:val="auto"/>
                <w:sz w:val="24"/>
                <w:szCs w:val="24"/>
                <w:lang w:val="en-US" w:eastAsia="zh-CN"/>
              </w:rPr>
            </w:pPr>
            <w:r>
              <w:rPr>
                <w:rFonts w:hint="default" w:ascii="Times New Roman" w:hAnsi="Times New Roman" w:eastAsia="宋体" w:cs="Times New Roman"/>
                <w:color w:val="auto"/>
                <w:sz w:val="24"/>
                <w:szCs w:val="24"/>
                <w:lang w:val="en-US" w:eastAsia="zh-CN"/>
              </w:rPr>
              <w:t>⑤背胶：背胶类产品约占总产品量的10%，背胶处理剂部分人工均匀涂抹在成品片材上，部分采用自动化机器流水线操作。此过程产生背胶</w:t>
            </w:r>
            <w:r>
              <w:rPr>
                <w:rFonts w:hint="eastAsia" w:ascii="Times New Roman" w:hAnsi="Times New Roman" w:eastAsia="宋体" w:cs="Times New Roman"/>
                <w:color w:val="auto"/>
                <w:sz w:val="24"/>
                <w:szCs w:val="24"/>
                <w:lang w:val="en-US" w:eastAsia="zh-CN"/>
              </w:rPr>
              <w:t>废气G</w:t>
            </w:r>
            <w:r>
              <w:rPr>
                <w:rFonts w:hint="default" w:ascii="Times New Roman" w:hAnsi="Times New Roman" w:eastAsia="宋体" w:cs="Times New Roman"/>
                <w:color w:val="auto"/>
                <w:sz w:val="24"/>
                <w:szCs w:val="24"/>
                <w:lang w:val="en-US" w:eastAsia="zh-CN"/>
              </w:rPr>
              <w:t>2和N1噪声。</w:t>
            </w:r>
          </w:p>
          <w:p w14:paraId="2A219B60">
            <w:pPr>
              <w:keepNext w:val="0"/>
              <w:keepLines w:val="0"/>
              <w:suppressLineNumbers w:val="0"/>
              <w:spacing w:before="0" w:beforeAutospacing="0" w:after="0" w:afterAutospacing="0" w:line="360" w:lineRule="auto"/>
              <w:ind w:left="0" w:right="0" w:firstLine="480" w:firstLineChars="200"/>
              <w:rPr>
                <w:rFonts w:hint="default" w:ascii="Times New Roman" w:hAnsi="Times New Roman" w:eastAsia="宋体" w:cs="Times New Roman"/>
                <w:color w:val="auto"/>
                <w:sz w:val="24"/>
                <w:szCs w:val="24"/>
                <w:lang w:val="en-US" w:eastAsia="zh-CN"/>
              </w:rPr>
            </w:pPr>
            <w:r>
              <w:rPr>
                <w:rFonts w:hint="default" w:ascii="Times New Roman" w:hAnsi="Times New Roman" w:eastAsia="宋体" w:cs="Times New Roman"/>
                <w:color w:val="auto"/>
                <w:sz w:val="24"/>
                <w:szCs w:val="24"/>
                <w:lang w:val="en-US" w:eastAsia="zh-CN"/>
              </w:rPr>
              <w:t>⑥贴合：贴合拼接类产品约占总产品量的5%，将裁切完成的片材在高温条件下贴合，温度150℃，鉴于贴合时间仅为几秒且贴合面积极小，故产生的挥发废气量极少，忽略不计。此过程产生贴合</w:t>
            </w:r>
            <w:r>
              <w:rPr>
                <w:rFonts w:hint="eastAsia" w:ascii="Times New Roman" w:hAnsi="Times New Roman" w:eastAsia="宋体" w:cs="Times New Roman"/>
                <w:color w:val="auto"/>
                <w:sz w:val="24"/>
                <w:szCs w:val="24"/>
                <w:lang w:val="en-US" w:eastAsia="zh-CN"/>
              </w:rPr>
              <w:t>废气</w:t>
            </w:r>
            <w:r>
              <w:rPr>
                <w:rFonts w:hint="default" w:ascii="Times New Roman" w:hAnsi="Times New Roman" w:eastAsia="宋体" w:cs="Times New Roman"/>
                <w:color w:val="auto"/>
                <w:sz w:val="24"/>
                <w:szCs w:val="24"/>
                <w:lang w:val="en-US" w:eastAsia="zh-CN"/>
              </w:rPr>
              <w:t>G</w:t>
            </w:r>
            <w:r>
              <w:rPr>
                <w:rFonts w:hint="eastAsia" w:ascii="Times New Roman" w:hAnsi="Times New Roman" w:eastAsia="宋体" w:cs="Times New Roman"/>
                <w:color w:val="auto"/>
                <w:sz w:val="24"/>
                <w:szCs w:val="24"/>
                <w:lang w:val="en-US" w:eastAsia="zh-CN"/>
              </w:rPr>
              <w:t>3</w:t>
            </w:r>
            <w:r>
              <w:rPr>
                <w:rFonts w:hint="default" w:ascii="Times New Roman" w:hAnsi="Times New Roman" w:eastAsia="宋体" w:cs="Times New Roman"/>
                <w:color w:val="auto"/>
                <w:sz w:val="24"/>
                <w:szCs w:val="24"/>
                <w:lang w:val="en-US" w:eastAsia="zh-CN"/>
              </w:rPr>
              <w:t>和N1噪声。</w:t>
            </w:r>
          </w:p>
          <w:p w14:paraId="6C4501D2">
            <w:pPr>
              <w:keepNext w:val="0"/>
              <w:keepLines w:val="0"/>
              <w:suppressLineNumbers w:val="0"/>
              <w:spacing w:before="0" w:beforeAutospacing="0" w:after="0" w:afterAutospacing="0" w:line="360" w:lineRule="auto"/>
              <w:ind w:left="0" w:right="0" w:firstLine="480" w:firstLineChars="200"/>
              <w:rPr>
                <w:rFonts w:hint="default" w:ascii="Times New Roman" w:hAnsi="Times New Roman" w:eastAsia="宋体" w:cs="Times New Roman"/>
                <w:color w:val="auto"/>
                <w:sz w:val="24"/>
                <w:szCs w:val="24"/>
                <w:lang w:val="en-US" w:eastAsia="zh-CN"/>
              </w:rPr>
            </w:pPr>
            <w:r>
              <w:rPr>
                <w:rFonts w:hint="eastAsia" w:ascii="Times New Roman" w:hAnsi="Times New Roman" w:eastAsia="宋体" w:cs="Times New Roman"/>
                <w:color w:val="auto"/>
                <w:sz w:val="24"/>
                <w:szCs w:val="24"/>
                <w:lang w:val="en-US" w:eastAsia="zh-CN"/>
              </w:rPr>
              <w:t>⑦检验、成品：对裁切后的片材开展外观、厚度、弹性等性能检测，检验合格即为最终成品。此过程产生不合格品S3和N1噪声。</w:t>
            </w:r>
          </w:p>
          <w:p w14:paraId="44C04E97">
            <w:pPr>
              <w:keepNext w:val="0"/>
              <w:keepLines w:val="0"/>
              <w:pageBreakBefore w:val="0"/>
              <w:widowControl w:val="0"/>
              <w:numPr>
                <w:ilvl w:val="0"/>
                <w:numId w:val="2"/>
              </w:numPr>
              <w:suppressLineNumbers w:val="0"/>
              <w:kinsoku/>
              <w:wordWrap/>
              <w:overflowPunct/>
              <w:topLinePunct w:val="0"/>
              <w:autoSpaceDE/>
              <w:autoSpaceDN/>
              <w:bidi w:val="0"/>
              <w:adjustRightInd/>
              <w:snapToGrid/>
              <w:spacing w:before="0" w:beforeAutospacing="0" w:after="0" w:afterAutospacing="0" w:line="360" w:lineRule="auto"/>
              <w:ind w:left="0" w:right="0" w:firstLine="480" w:firstLineChars="200"/>
              <w:textAlignment w:val="auto"/>
              <w:rPr>
                <w:rFonts w:hint="default" w:ascii="Times New Roman" w:hAnsi="Times New Roman" w:eastAsia="宋体" w:cs="Times New Roman"/>
                <w:color w:val="auto"/>
                <w:sz w:val="24"/>
              </w:rPr>
            </w:pPr>
            <w:r>
              <w:rPr>
                <w:rFonts w:hint="eastAsia" w:ascii="Times New Roman" w:hAnsi="Times New Roman" w:eastAsia="宋体" w:cs="Times New Roman"/>
                <w:color w:val="auto"/>
                <w:sz w:val="24"/>
              </w:rPr>
              <w:t>纳米隔热板生产工艺</w:t>
            </w:r>
          </w:p>
          <w:p w14:paraId="2093CE86">
            <w:pPr>
              <w:keepNext w:val="0"/>
              <w:keepLines w:val="0"/>
              <w:suppressLineNumbers w:val="0"/>
              <w:spacing w:before="0" w:beforeAutospacing="0" w:after="0" w:afterAutospacing="0" w:line="360" w:lineRule="auto"/>
              <w:ind w:left="0" w:right="0"/>
              <w:rPr>
                <w:rFonts w:hint="default" w:ascii="Times New Roman" w:hAnsi="Times New Roman" w:eastAsia="宋体" w:cs="Times New Roman"/>
                <w:color w:val="auto"/>
                <w:sz w:val="24"/>
              </w:rPr>
            </w:pPr>
            <w:r>
              <w:rPr>
                <w:rFonts w:hint="default" w:ascii="Times New Roman" w:hAnsi="Times New Roman" w:eastAsia="宋体" w:cs="Times New Roman"/>
                <w:color w:val="auto"/>
                <w:sz w:val="24"/>
              </w:rPr>
              <w:object>
                <v:shape id="_x0000_i1028" o:spt="75" type="#_x0000_t75" style="height:152.95pt;width:408.6pt;" o:ole="t" filled="f" o:preferrelative="t" stroked="f" coordsize="21600,21600">
                  <v:path/>
                  <v:fill on="f" focussize="0,0"/>
                  <v:stroke on="f"/>
                  <v:imagedata r:id="rId18" o:title=""/>
                  <o:lock v:ext="edit" aspectratio="f"/>
                  <w10:wrap type="none"/>
                  <w10:anchorlock/>
                </v:shape>
                <o:OLEObject Type="Embed" ProgID="Visio.Drawing.15" ShapeID="_x0000_i1028" DrawAspect="Content" ObjectID="_1468075728" r:id="rId17">
                  <o:LockedField>false</o:LockedField>
                </o:OLEObject>
              </w:object>
            </w:r>
          </w:p>
          <w:p w14:paraId="6166B216">
            <w:pPr>
              <w:keepNext w:val="0"/>
              <w:keepLines w:val="0"/>
              <w:suppressLineNumbers w:val="0"/>
              <w:spacing w:before="0" w:beforeAutospacing="0" w:after="0" w:afterAutospacing="0"/>
              <w:ind w:left="0" w:right="0"/>
              <w:jc w:val="center"/>
              <w:rPr>
                <w:rFonts w:hint="default" w:ascii="Times New Roman" w:hAnsi="Times New Roman" w:eastAsia="宋体" w:cs="Times New Roman"/>
                <w:b/>
                <w:bCs/>
                <w:color w:val="0000FF"/>
                <w:highlight w:val="none"/>
              </w:rPr>
            </w:pPr>
            <w:r>
              <w:rPr>
                <w:rFonts w:hint="eastAsia" w:ascii="Times New Roman" w:hAnsi="Times New Roman" w:eastAsia="宋体" w:cs="Times New Roman"/>
                <w:b/>
                <w:bCs/>
                <w:color w:val="0000FF"/>
                <w:highlight w:val="none"/>
              </w:rPr>
              <w:t>图</w:t>
            </w:r>
            <w:r>
              <w:rPr>
                <w:rFonts w:hint="default" w:ascii="Times New Roman" w:hAnsi="Times New Roman" w:eastAsia="宋体" w:cs="Times New Roman"/>
                <w:b/>
                <w:bCs/>
                <w:color w:val="0000FF"/>
                <w:highlight w:val="none"/>
              </w:rPr>
              <w:t>2-</w:t>
            </w:r>
            <w:r>
              <w:rPr>
                <w:rFonts w:hint="eastAsia" w:ascii="Times New Roman" w:hAnsi="Times New Roman" w:eastAsia="宋体" w:cs="Times New Roman"/>
                <w:b/>
                <w:bCs/>
                <w:color w:val="0000FF"/>
                <w:highlight w:val="none"/>
                <w:lang w:val="en-US" w:eastAsia="zh-CN"/>
              </w:rPr>
              <w:t>4</w:t>
            </w:r>
            <w:r>
              <w:rPr>
                <w:rFonts w:hint="eastAsia" w:ascii="Times New Roman" w:hAnsi="Times New Roman" w:eastAsia="宋体" w:cs="Times New Roman"/>
                <w:b/>
                <w:bCs/>
                <w:color w:val="0000FF"/>
                <w:highlight w:val="none"/>
              </w:rPr>
              <w:t xml:space="preserve"> </w:t>
            </w:r>
            <w:r>
              <w:rPr>
                <w:rFonts w:hint="default" w:ascii="Times New Roman" w:hAnsi="Times New Roman" w:eastAsia="宋体" w:cs="Times New Roman"/>
                <w:b/>
                <w:bCs/>
                <w:color w:val="0000FF"/>
                <w:highlight w:val="none"/>
              </w:rPr>
              <w:t xml:space="preserve"> 纳米隔热板</w:t>
            </w:r>
            <w:r>
              <w:rPr>
                <w:rFonts w:hint="eastAsia" w:ascii="Times New Roman" w:hAnsi="Times New Roman" w:eastAsia="宋体" w:cs="Times New Roman"/>
                <w:b/>
                <w:bCs/>
                <w:color w:val="0000FF"/>
                <w:highlight w:val="none"/>
              </w:rPr>
              <w:t>生产工艺流程及产污节点图（噪声伴随整个工艺流程）</w:t>
            </w:r>
          </w:p>
          <w:p w14:paraId="3BCAD3CE">
            <w:pPr>
              <w:keepNext w:val="0"/>
              <w:keepLines w:val="0"/>
              <w:suppressLineNumbers w:val="0"/>
              <w:spacing w:before="0" w:beforeAutospacing="0" w:after="0" w:afterAutospacing="0" w:line="360" w:lineRule="auto"/>
              <w:ind w:left="0" w:right="0" w:firstLine="482" w:firstLineChars="200"/>
              <w:rPr>
                <w:rFonts w:hint="default" w:ascii="Times New Roman" w:hAnsi="Times New Roman" w:eastAsia="宋体" w:cs="Times New Roman"/>
                <w:b/>
                <w:bCs/>
                <w:color w:val="auto"/>
                <w:sz w:val="24"/>
                <w:highlight w:val="none"/>
              </w:rPr>
            </w:pPr>
            <w:r>
              <w:rPr>
                <w:rFonts w:hint="eastAsia" w:ascii="Times New Roman" w:hAnsi="Times New Roman" w:eastAsia="宋体" w:cs="Times New Roman"/>
                <w:b/>
                <w:bCs/>
                <w:color w:val="auto"/>
                <w:sz w:val="24"/>
                <w:highlight w:val="none"/>
              </w:rPr>
              <w:t>工艺流程说明：</w:t>
            </w:r>
          </w:p>
          <w:p w14:paraId="16150B9F">
            <w:pPr>
              <w:keepNext w:val="0"/>
              <w:keepLines w:val="0"/>
              <w:suppressLineNumbers w:val="0"/>
              <w:spacing w:before="0" w:beforeAutospacing="0" w:after="0" w:afterAutospacing="0" w:line="360" w:lineRule="auto"/>
              <w:ind w:left="0" w:right="0" w:firstLine="480" w:firstLineChars="200"/>
              <w:rPr>
                <w:rFonts w:hint="eastAsia" w:ascii="Times New Roman" w:hAnsi="Times New Roman" w:eastAsia="宋体" w:cs="Times New Roman"/>
                <w:color w:val="auto"/>
                <w:sz w:val="24"/>
              </w:rPr>
            </w:pPr>
            <w:r>
              <w:rPr>
                <w:rFonts w:hint="eastAsia" w:ascii="Times New Roman" w:hAnsi="Times New Roman" w:eastAsia="宋体" w:cs="Times New Roman"/>
                <w:color w:val="auto"/>
                <w:sz w:val="24"/>
              </w:rPr>
              <w:t>①拆包：将外购袋装粉体原料（相法二氧化硅、高含硅烧结纤丝、碳化硅）运至车间，通过自动拆包机卸料。</w:t>
            </w:r>
            <w:r>
              <w:rPr>
                <w:rFonts w:hint="eastAsia" w:ascii="Times New Roman" w:hAnsi="Times New Roman" w:eastAsia="宋体" w:cs="Times New Roman"/>
                <w:color w:val="auto"/>
                <w:sz w:val="24"/>
                <w:lang w:val="en-US" w:eastAsia="zh-CN"/>
              </w:rPr>
              <w:t>此过程产生拆包粉尘G4和N1噪声。</w:t>
            </w:r>
          </w:p>
          <w:p w14:paraId="1100E852">
            <w:pPr>
              <w:keepNext w:val="0"/>
              <w:keepLines w:val="0"/>
              <w:suppressLineNumbers w:val="0"/>
              <w:spacing w:before="0" w:beforeAutospacing="0" w:after="0" w:afterAutospacing="0" w:line="360" w:lineRule="auto"/>
              <w:ind w:left="0" w:right="0" w:firstLine="480" w:firstLineChars="200"/>
              <w:rPr>
                <w:rFonts w:hint="default" w:ascii="Times New Roman" w:hAnsi="Times New Roman" w:eastAsia="宋体" w:cs="Times New Roman"/>
                <w:color w:val="auto"/>
                <w:sz w:val="24"/>
              </w:rPr>
            </w:pPr>
            <w:r>
              <w:rPr>
                <w:rFonts w:hint="eastAsia" w:ascii="Times New Roman" w:hAnsi="Times New Roman" w:eastAsia="宋体" w:cs="Times New Roman"/>
                <w:color w:val="auto"/>
                <w:sz w:val="24"/>
              </w:rPr>
              <w:t>②混合、储料：三种粉体原料投入密闭</w:t>
            </w:r>
            <w:r>
              <w:rPr>
                <w:rFonts w:hint="eastAsia" w:ascii="Times New Roman" w:hAnsi="Times New Roman" w:eastAsia="宋体" w:cs="Times New Roman"/>
                <w:color w:val="auto"/>
                <w:sz w:val="24"/>
                <w:lang w:val="en-US" w:eastAsia="zh-CN"/>
              </w:rPr>
              <w:t>的</w:t>
            </w:r>
            <w:r>
              <w:rPr>
                <w:rFonts w:hint="eastAsia" w:ascii="Times New Roman" w:hAnsi="Times New Roman" w:eastAsia="宋体" w:cs="Times New Roman"/>
                <w:color w:val="auto"/>
                <w:sz w:val="24"/>
              </w:rPr>
              <w:t>高速混合机内充分搅拌混合。混合完成的混合料密闭输送至单台方形储料桶暂存缓存。</w:t>
            </w:r>
            <w:r>
              <w:rPr>
                <w:rFonts w:hint="eastAsia" w:ascii="Times New Roman" w:hAnsi="Times New Roman" w:eastAsia="宋体" w:cs="Times New Roman"/>
                <w:color w:val="auto"/>
                <w:sz w:val="24"/>
                <w:lang w:val="en-US" w:eastAsia="zh-CN"/>
              </w:rPr>
              <w:t>此过程产生投料粉尘G5和N1噪声。</w:t>
            </w:r>
          </w:p>
          <w:p w14:paraId="00EB9345">
            <w:pPr>
              <w:keepNext w:val="0"/>
              <w:keepLines w:val="0"/>
              <w:suppressLineNumbers w:val="0"/>
              <w:spacing w:before="0" w:beforeAutospacing="0" w:after="0" w:afterAutospacing="0" w:line="360" w:lineRule="auto"/>
              <w:ind w:left="0" w:right="0" w:firstLine="480" w:firstLineChars="200"/>
              <w:rPr>
                <w:rFonts w:hint="default" w:ascii="Times New Roman" w:hAnsi="Times New Roman" w:eastAsia="宋体" w:cs="Times New Roman"/>
                <w:color w:val="auto"/>
                <w:sz w:val="24"/>
                <w:lang w:val="en-US" w:eastAsia="zh-CN"/>
              </w:rPr>
            </w:pPr>
            <w:r>
              <w:rPr>
                <w:rFonts w:hint="eastAsia" w:ascii="Times New Roman" w:hAnsi="Times New Roman" w:eastAsia="宋体" w:cs="Times New Roman"/>
                <w:color w:val="auto"/>
                <w:sz w:val="24"/>
              </w:rPr>
              <w:t>③成型：从方形储料桶匀速出料，将混合料输送至超薄纳米板成型机压制成标准厚度纳米板基材坯料，为后续激光切割提供规整基材。成型</w:t>
            </w:r>
            <w:r>
              <w:rPr>
                <w:rFonts w:hint="eastAsia" w:ascii="Times New Roman" w:hAnsi="Times New Roman" w:eastAsia="宋体" w:cs="Times New Roman"/>
                <w:color w:val="auto"/>
                <w:sz w:val="24"/>
                <w:lang w:val="en-US" w:eastAsia="zh-CN"/>
              </w:rPr>
              <w:t>出料过程中，会产生一定量的粉尘。此过程产生出料粉尘G6和N1噪声。</w:t>
            </w:r>
          </w:p>
          <w:p w14:paraId="46F904E4">
            <w:pPr>
              <w:keepNext w:val="0"/>
              <w:keepLines w:val="0"/>
              <w:suppressLineNumbers w:val="0"/>
              <w:spacing w:before="0" w:beforeAutospacing="0" w:after="0" w:afterAutospacing="0" w:line="360" w:lineRule="auto"/>
              <w:ind w:left="0" w:right="0" w:firstLine="480" w:firstLineChars="200"/>
              <w:rPr>
                <w:rFonts w:hint="default" w:ascii="Times New Roman" w:hAnsi="Times New Roman" w:eastAsia="宋体" w:cs="Times New Roman"/>
                <w:color w:val="auto"/>
                <w:sz w:val="24"/>
              </w:rPr>
            </w:pPr>
            <w:r>
              <w:rPr>
                <w:rFonts w:hint="eastAsia" w:ascii="Times New Roman" w:hAnsi="Times New Roman" w:eastAsia="宋体" w:cs="Times New Roman"/>
                <w:color w:val="auto"/>
                <w:sz w:val="24"/>
              </w:rPr>
              <w:t>④整平：压制成型后的坯料经码垛整平机校平，消除板材内部应力、翘曲凹凸缺陷，统一板材平面度与厚度尺寸，避免后续加工出现尺寸偏差。</w:t>
            </w:r>
            <w:r>
              <w:rPr>
                <w:rFonts w:hint="eastAsia" w:ascii="Times New Roman" w:hAnsi="Times New Roman" w:eastAsia="宋体" w:cs="Times New Roman"/>
                <w:color w:val="auto"/>
                <w:sz w:val="24"/>
                <w:lang w:val="en-US" w:eastAsia="zh-CN"/>
              </w:rPr>
              <w:t>此过程产生N1噪声。</w:t>
            </w:r>
          </w:p>
          <w:p w14:paraId="5A3D772B">
            <w:pPr>
              <w:keepNext w:val="0"/>
              <w:keepLines w:val="0"/>
              <w:suppressLineNumbers w:val="0"/>
              <w:spacing w:before="0" w:beforeAutospacing="0" w:after="0" w:afterAutospacing="0" w:line="360" w:lineRule="auto"/>
              <w:ind w:left="0" w:right="0" w:firstLine="480" w:firstLineChars="200"/>
              <w:rPr>
                <w:rFonts w:hint="default" w:ascii="Times New Roman" w:hAnsi="Times New Roman" w:eastAsia="宋体" w:cs="Times New Roman"/>
                <w:color w:val="auto"/>
                <w:sz w:val="24"/>
              </w:rPr>
            </w:pPr>
            <w:r>
              <w:rPr>
                <w:rFonts w:hint="eastAsia" w:ascii="Times New Roman" w:hAnsi="Times New Roman" w:eastAsia="宋体" w:cs="Times New Roman"/>
                <w:color w:val="auto"/>
                <w:sz w:val="24"/>
              </w:rPr>
              <w:t>⑤激光切割：依据产品尺寸规格，对压制成型基材开展精准激光分切。</w:t>
            </w:r>
            <w:r>
              <w:rPr>
                <w:rFonts w:hint="eastAsia" w:ascii="Times New Roman" w:hAnsi="Times New Roman" w:eastAsia="宋体" w:cs="Times New Roman"/>
                <w:color w:val="auto"/>
                <w:sz w:val="24"/>
                <w:lang w:val="en-US" w:eastAsia="zh-CN"/>
              </w:rPr>
              <w:t>此过程产生</w:t>
            </w:r>
            <w:r>
              <w:rPr>
                <w:rFonts w:hint="eastAsia" w:ascii="Times New Roman" w:hAnsi="Times New Roman" w:eastAsia="宋体" w:cs="Times New Roman"/>
                <w:color w:val="0000FF"/>
                <w:sz w:val="24"/>
                <w:lang w:val="en-US" w:eastAsia="zh-CN"/>
              </w:rPr>
              <w:t>激光切割粉尘G7、</w:t>
            </w:r>
            <w:r>
              <w:rPr>
                <w:rFonts w:hint="eastAsia" w:ascii="Times New Roman" w:hAnsi="Times New Roman" w:eastAsia="宋体" w:cs="Times New Roman"/>
                <w:color w:val="auto"/>
                <w:sz w:val="24"/>
                <w:lang w:val="en-US" w:eastAsia="zh-CN"/>
              </w:rPr>
              <w:t>废边角料S2和N1噪声。</w:t>
            </w:r>
          </w:p>
          <w:p w14:paraId="03118C62">
            <w:pPr>
              <w:keepNext w:val="0"/>
              <w:keepLines w:val="0"/>
              <w:suppressLineNumbers w:val="0"/>
              <w:spacing w:before="0" w:beforeAutospacing="0" w:after="0" w:afterAutospacing="0" w:line="360" w:lineRule="auto"/>
              <w:ind w:left="0" w:right="0" w:firstLine="480" w:firstLineChars="200"/>
              <w:rPr>
                <w:rFonts w:hint="default" w:ascii="Times New Roman" w:hAnsi="Times New Roman" w:eastAsia="宋体" w:cs="Times New Roman"/>
                <w:color w:val="auto"/>
                <w:sz w:val="24"/>
              </w:rPr>
            </w:pPr>
            <w:r>
              <w:rPr>
                <w:rFonts w:hint="eastAsia" w:ascii="Times New Roman" w:hAnsi="Times New Roman" w:eastAsia="宋体" w:cs="Times New Roman"/>
                <w:color w:val="auto"/>
                <w:sz w:val="24"/>
              </w:rPr>
              <w:t>⑥板材包裹：采用PET膜对切割后的基材整体包覆，为后续真空封装做预处理。</w:t>
            </w:r>
            <w:r>
              <w:rPr>
                <w:rFonts w:hint="eastAsia" w:ascii="Times New Roman" w:hAnsi="Times New Roman" w:eastAsia="宋体" w:cs="Times New Roman"/>
                <w:color w:val="auto"/>
                <w:sz w:val="24"/>
                <w:lang w:val="en-US" w:eastAsia="zh-CN"/>
              </w:rPr>
              <w:t>此过程产生N1噪声。</w:t>
            </w:r>
          </w:p>
          <w:p w14:paraId="53434452">
            <w:pPr>
              <w:keepNext w:val="0"/>
              <w:keepLines w:val="0"/>
              <w:suppressLineNumbers w:val="0"/>
              <w:spacing w:before="0" w:beforeAutospacing="0" w:after="0" w:afterAutospacing="0" w:line="360" w:lineRule="auto"/>
              <w:ind w:left="0" w:right="0" w:firstLine="480" w:firstLineChars="200"/>
              <w:rPr>
                <w:rFonts w:hint="default" w:ascii="Times New Roman" w:hAnsi="Times New Roman" w:eastAsia="宋体" w:cs="Times New Roman"/>
                <w:color w:val="auto"/>
                <w:sz w:val="24"/>
              </w:rPr>
            </w:pPr>
            <w:r>
              <w:rPr>
                <w:rFonts w:hint="eastAsia" w:ascii="Times New Roman" w:hAnsi="Times New Roman" w:eastAsia="宋体" w:cs="Times New Roman"/>
                <w:color w:val="auto"/>
                <w:sz w:val="24"/>
              </w:rPr>
              <w:t>⑦真空热合</w:t>
            </w:r>
            <w:r>
              <w:rPr>
                <w:rFonts w:hint="default" w:ascii="Times New Roman" w:hAnsi="Times New Roman" w:eastAsia="宋体" w:cs="Times New Roman"/>
                <w:color w:val="auto"/>
                <w:sz w:val="24"/>
              </w:rPr>
              <w:t>：在真空、110±20℃高温工况下对包覆板材热压密封成型，形成纳米隔热板基础板材。</w:t>
            </w:r>
            <w:r>
              <w:rPr>
                <w:rFonts w:hint="default" w:ascii="Times New Roman" w:hAnsi="Times New Roman" w:eastAsia="宋体" w:cs="Times New Roman"/>
                <w:color w:val="auto"/>
                <w:sz w:val="24"/>
                <w:lang w:val="en-US" w:eastAsia="zh-CN"/>
              </w:rPr>
              <w:t>此过程产生真空热合废气</w:t>
            </w:r>
            <w:r>
              <w:rPr>
                <w:rFonts w:hint="default" w:ascii="Times New Roman" w:hAnsi="Times New Roman" w:eastAsia="宋体" w:cs="Times New Roman"/>
                <w:color w:val="0000FF"/>
                <w:sz w:val="24"/>
                <w:lang w:val="en-US" w:eastAsia="zh-CN"/>
              </w:rPr>
              <w:t>G</w:t>
            </w:r>
            <w:r>
              <w:rPr>
                <w:rFonts w:hint="eastAsia" w:ascii="Times New Roman" w:hAnsi="Times New Roman" w:eastAsia="宋体" w:cs="Times New Roman"/>
                <w:color w:val="0000FF"/>
                <w:sz w:val="24"/>
                <w:lang w:val="en-US" w:eastAsia="zh-CN"/>
              </w:rPr>
              <w:t>8</w:t>
            </w:r>
            <w:r>
              <w:rPr>
                <w:rFonts w:hint="default" w:ascii="Times New Roman" w:hAnsi="Times New Roman" w:eastAsia="宋体" w:cs="Times New Roman"/>
                <w:color w:val="auto"/>
                <w:sz w:val="24"/>
                <w:lang w:val="en-US" w:eastAsia="zh-CN"/>
              </w:rPr>
              <w:t>和N1噪声。</w:t>
            </w:r>
          </w:p>
          <w:p w14:paraId="1CE66AF0">
            <w:pPr>
              <w:keepNext w:val="0"/>
              <w:keepLines w:val="0"/>
              <w:suppressLineNumbers w:val="0"/>
              <w:spacing w:before="0" w:beforeAutospacing="0" w:after="0" w:afterAutospacing="0" w:line="360" w:lineRule="auto"/>
              <w:ind w:left="0" w:right="0" w:firstLine="480" w:firstLineChars="200"/>
              <w:rPr>
                <w:rFonts w:hint="eastAsia" w:ascii="Times New Roman" w:hAnsi="Times New Roman" w:eastAsia="宋体" w:cs="Times New Roman"/>
                <w:color w:val="auto"/>
                <w:sz w:val="24"/>
              </w:rPr>
            </w:pPr>
            <w:r>
              <w:rPr>
                <w:rFonts w:hint="eastAsia" w:ascii="Times New Roman" w:hAnsi="Times New Roman" w:eastAsia="宋体" w:cs="Times New Roman"/>
                <w:color w:val="auto"/>
                <w:sz w:val="24"/>
              </w:rPr>
              <w:t>⑧修边裁切：对热合后的板材边缘修整、精裁，去除多余边角料，保证板材外形尺寸规整。</w:t>
            </w:r>
            <w:r>
              <w:rPr>
                <w:rFonts w:hint="eastAsia" w:ascii="Times New Roman" w:hAnsi="Times New Roman" w:eastAsia="宋体" w:cs="Times New Roman"/>
                <w:color w:val="0000FF"/>
                <w:sz w:val="24"/>
              </w:rPr>
              <w:t>修边裁切工序采用贴合裁切一体机</w:t>
            </w:r>
            <w:r>
              <w:rPr>
                <w:rFonts w:hint="eastAsia" w:ascii="Times New Roman" w:hAnsi="Times New Roman" w:eastAsia="宋体" w:cs="Times New Roman"/>
                <w:color w:val="0000FF"/>
                <w:sz w:val="24"/>
                <w:lang w:eastAsia="zh-CN"/>
              </w:rPr>
              <w:t>、</w:t>
            </w:r>
            <w:r>
              <w:rPr>
                <w:rFonts w:hint="eastAsia" w:ascii="Times New Roman" w:hAnsi="Times New Roman" w:eastAsia="宋体" w:cs="Times New Roman"/>
                <w:color w:val="0000FF"/>
                <w:sz w:val="24"/>
              </w:rPr>
              <w:t>片材裁切机</w:t>
            </w:r>
            <w:r>
              <w:rPr>
                <w:rFonts w:hint="eastAsia" w:ascii="Times New Roman" w:hAnsi="Times New Roman" w:eastAsia="宋体" w:cs="Times New Roman"/>
                <w:color w:val="0000FF"/>
                <w:sz w:val="24"/>
                <w:lang w:eastAsia="zh-CN"/>
              </w:rPr>
              <w:t>、</w:t>
            </w:r>
            <w:r>
              <w:rPr>
                <w:rFonts w:hint="eastAsia" w:ascii="Times New Roman" w:hAnsi="Times New Roman" w:eastAsia="宋体" w:cs="Times New Roman"/>
                <w:color w:val="0000FF"/>
                <w:sz w:val="24"/>
              </w:rPr>
              <w:t>视觉模切机</w:t>
            </w:r>
            <w:r>
              <w:rPr>
                <w:rFonts w:hint="eastAsia" w:ascii="Times New Roman" w:hAnsi="Times New Roman" w:eastAsia="宋体" w:cs="Times New Roman"/>
                <w:color w:val="0000FF"/>
                <w:sz w:val="24"/>
                <w:lang w:eastAsia="zh-CN"/>
              </w:rPr>
              <w:t>、</w:t>
            </w:r>
            <w:r>
              <w:rPr>
                <w:rFonts w:hint="eastAsia" w:ascii="Times New Roman" w:hAnsi="Times New Roman" w:eastAsia="宋体" w:cs="Times New Roman"/>
                <w:color w:val="0000FF"/>
                <w:sz w:val="24"/>
              </w:rPr>
              <w:t>高速</w:t>
            </w:r>
            <w:commentRangeStart w:id="34"/>
            <w:r>
              <w:rPr>
                <w:rFonts w:hint="eastAsia" w:ascii="Times New Roman" w:hAnsi="Times New Roman" w:eastAsia="宋体" w:cs="Times New Roman"/>
                <w:color w:val="0000FF"/>
                <w:sz w:val="24"/>
              </w:rPr>
              <w:t>摸</w:t>
            </w:r>
            <w:commentRangeEnd w:id="34"/>
            <w:r>
              <w:rPr>
                <w:rFonts w:hint="default"/>
              </w:rPr>
              <w:commentReference w:id="34"/>
            </w:r>
            <w:r>
              <w:rPr>
                <w:rFonts w:hint="eastAsia" w:ascii="Times New Roman" w:hAnsi="Times New Roman" w:eastAsia="宋体" w:cs="Times New Roman"/>
                <w:color w:val="0000FF"/>
                <w:sz w:val="24"/>
              </w:rPr>
              <w:t>切机</w:t>
            </w:r>
            <w:r>
              <w:rPr>
                <w:rFonts w:hint="eastAsia" w:ascii="Times New Roman" w:hAnsi="Times New Roman" w:eastAsia="宋体" w:cs="Times New Roman"/>
                <w:color w:val="0000FF"/>
                <w:sz w:val="24"/>
                <w:lang w:val="en-US" w:eastAsia="zh-CN"/>
              </w:rPr>
              <w:t>等进行冷模压分切，裁切过程无高速切割粉尘产生。</w:t>
            </w:r>
            <w:r>
              <w:rPr>
                <w:rFonts w:hint="eastAsia" w:ascii="Times New Roman" w:hAnsi="Times New Roman" w:eastAsia="宋体" w:cs="Times New Roman"/>
                <w:color w:val="auto"/>
                <w:sz w:val="24"/>
                <w:lang w:val="en-US" w:eastAsia="zh-CN"/>
              </w:rPr>
              <w:t>此过程产生废边角料S2和N1噪声。</w:t>
            </w:r>
          </w:p>
          <w:p w14:paraId="4AF17D3A">
            <w:pPr>
              <w:keepNext w:val="0"/>
              <w:keepLines w:val="0"/>
              <w:suppressLineNumbers w:val="0"/>
              <w:spacing w:before="0" w:beforeAutospacing="0" w:after="0" w:afterAutospacing="0" w:line="360" w:lineRule="auto"/>
              <w:ind w:left="0" w:right="0" w:firstLine="480" w:firstLineChars="200"/>
              <w:rPr>
                <w:rFonts w:hint="eastAsia" w:ascii="Times New Roman" w:hAnsi="Times New Roman" w:eastAsia="宋体" w:cs="Times New Roman"/>
                <w:color w:val="auto"/>
                <w:sz w:val="24"/>
              </w:rPr>
            </w:pPr>
            <w:r>
              <w:rPr>
                <w:rFonts w:hint="eastAsia" w:ascii="Times New Roman" w:hAnsi="Times New Roman" w:eastAsia="宋体" w:cs="Times New Roman"/>
                <w:color w:val="auto"/>
                <w:sz w:val="24"/>
              </w:rPr>
              <w:t>⑨贴胶：</w:t>
            </w:r>
            <w:r>
              <w:rPr>
                <w:rFonts w:hint="eastAsia" w:ascii="Times New Roman" w:hAnsi="Times New Roman" w:eastAsia="宋体" w:cs="Times New Roman"/>
                <w:color w:val="auto"/>
                <w:sz w:val="24"/>
                <w:lang w:val="en-US" w:eastAsia="zh-CN"/>
              </w:rPr>
              <w:t>同步将泡棉条（硅基条）、双面胶两种辅料</w:t>
            </w:r>
            <w:r>
              <w:rPr>
                <w:rFonts w:hint="eastAsia" w:ascii="Times New Roman" w:hAnsi="Times New Roman" w:eastAsia="宋体" w:cs="Times New Roman"/>
                <w:color w:val="0000FF"/>
                <w:sz w:val="24"/>
                <w:lang w:val="en-US" w:eastAsia="zh-CN"/>
              </w:rPr>
              <w:t>的保护膜剥离，</w:t>
            </w:r>
            <w:r>
              <w:rPr>
                <w:rFonts w:hint="eastAsia" w:ascii="Times New Roman" w:hAnsi="Times New Roman" w:eastAsia="宋体" w:cs="Times New Roman"/>
                <w:color w:val="auto"/>
                <w:sz w:val="24"/>
                <w:lang w:val="en-US" w:eastAsia="zh-CN"/>
              </w:rPr>
              <w:t>与纳米板基材贴合粘胶，完成半成品复合加工</w:t>
            </w:r>
            <w:r>
              <w:rPr>
                <w:rFonts w:hint="eastAsia" w:ascii="Times New Roman" w:hAnsi="Times New Roman" w:eastAsia="宋体" w:cs="Times New Roman"/>
                <w:color w:val="auto"/>
                <w:sz w:val="24"/>
              </w:rPr>
              <w:t>。</w:t>
            </w:r>
            <w:r>
              <w:rPr>
                <w:rFonts w:hint="eastAsia" w:ascii="Times New Roman" w:hAnsi="Times New Roman" w:eastAsia="宋体" w:cs="Times New Roman"/>
                <w:color w:val="auto"/>
                <w:sz w:val="24"/>
                <w:lang w:val="en-US" w:eastAsia="zh-CN"/>
              </w:rPr>
              <w:t>此过程产生废保护膜S4和N1噪声。</w:t>
            </w:r>
          </w:p>
          <w:p w14:paraId="7C5DFCF6">
            <w:pPr>
              <w:keepNext w:val="0"/>
              <w:keepLines w:val="0"/>
              <w:suppressLineNumbers w:val="0"/>
              <w:spacing w:before="0" w:beforeAutospacing="0" w:after="0" w:afterAutospacing="0" w:line="360" w:lineRule="auto"/>
              <w:ind w:left="0" w:right="0" w:firstLine="480" w:firstLineChars="200"/>
              <w:rPr>
                <w:rFonts w:hint="eastAsia" w:ascii="Times New Roman" w:hAnsi="Times New Roman" w:eastAsia="宋体" w:cs="Times New Roman"/>
                <w:color w:val="auto"/>
                <w:sz w:val="24"/>
              </w:rPr>
            </w:pPr>
            <w:r>
              <w:rPr>
                <w:rFonts w:hint="eastAsia" w:ascii="Times New Roman" w:hAnsi="Times New Roman" w:eastAsia="宋体" w:cs="Times New Roman"/>
                <w:color w:val="auto"/>
                <w:sz w:val="24"/>
              </w:rPr>
              <w:t>⑩检验、打包、成品：对复合完成的半成品开展外观、性能全项成品检测，检验合格后规范打包，打包后即为成品。</w:t>
            </w:r>
            <w:r>
              <w:rPr>
                <w:rFonts w:hint="eastAsia" w:ascii="Times New Roman" w:hAnsi="Times New Roman" w:eastAsia="宋体" w:cs="Times New Roman"/>
                <w:color w:val="auto"/>
                <w:sz w:val="24"/>
                <w:lang w:val="en-US" w:eastAsia="zh-CN"/>
              </w:rPr>
              <w:t>此过程产生不合格品S3和N1噪声。</w:t>
            </w:r>
          </w:p>
          <w:p w14:paraId="29DBCBAB">
            <w:pPr>
              <w:pStyle w:val="13"/>
              <w:keepNext w:val="0"/>
              <w:keepLines w:val="0"/>
              <w:suppressLineNumbers w:val="0"/>
              <w:spacing w:before="0" w:beforeAutospacing="0" w:after="0" w:afterAutospacing="0"/>
              <w:ind w:left="0" w:right="0" w:firstLine="480" w:firstLineChars="200"/>
              <w:rPr>
                <w:rFonts w:hint="default" w:ascii="Times New Roman" w:hAnsi="Times New Roman" w:eastAsia="宋体" w:cs="Times New Roman"/>
                <w:color w:val="auto"/>
                <w:sz w:val="24"/>
                <w:lang w:val="en-US" w:eastAsia="zh-CN"/>
              </w:rPr>
            </w:pPr>
            <w:r>
              <w:rPr>
                <w:rFonts w:hint="eastAsia" w:ascii="Times New Roman" w:hAnsi="Times New Roman" w:eastAsia="宋体" w:cs="Times New Roman"/>
                <w:color w:val="auto"/>
                <w:sz w:val="24"/>
                <w:lang w:eastAsia="zh-CN"/>
              </w:rPr>
              <w:t>（</w:t>
            </w:r>
            <w:r>
              <w:rPr>
                <w:rFonts w:hint="eastAsia" w:ascii="Times New Roman" w:hAnsi="Times New Roman" w:eastAsia="宋体" w:cs="Times New Roman"/>
                <w:color w:val="auto"/>
                <w:sz w:val="24"/>
                <w:lang w:val="en-US" w:eastAsia="zh-CN"/>
              </w:rPr>
              <w:t>3</w:t>
            </w:r>
            <w:r>
              <w:rPr>
                <w:rFonts w:hint="eastAsia" w:ascii="Times New Roman" w:hAnsi="Times New Roman" w:eastAsia="宋体" w:cs="Times New Roman"/>
                <w:color w:val="auto"/>
                <w:sz w:val="24"/>
                <w:lang w:eastAsia="zh-CN"/>
              </w:rPr>
              <w:t>）</w:t>
            </w:r>
            <w:r>
              <w:rPr>
                <w:rFonts w:hint="eastAsia" w:ascii="Times New Roman" w:hAnsi="Times New Roman" w:eastAsia="宋体" w:cs="Times New Roman"/>
                <w:color w:val="auto"/>
                <w:sz w:val="24"/>
                <w:lang w:val="en-US" w:eastAsia="zh-CN"/>
              </w:rPr>
              <w:t>辅料（硅基条）工艺</w:t>
            </w:r>
          </w:p>
          <w:p w14:paraId="79493F35">
            <w:pPr>
              <w:keepNext w:val="0"/>
              <w:keepLines w:val="0"/>
              <w:suppressLineNumbers w:val="0"/>
              <w:spacing w:before="0" w:beforeAutospacing="0" w:after="0" w:afterAutospacing="0"/>
              <w:ind w:left="0" w:right="0"/>
              <w:jc w:val="center"/>
              <w:rPr>
                <w:rFonts w:hint="eastAsia"/>
                <w:color w:val="auto"/>
                <w:lang w:eastAsia="zh-CN"/>
              </w:rPr>
            </w:pPr>
            <w:r>
              <w:rPr>
                <w:rFonts w:hint="eastAsia"/>
                <w:color w:val="auto"/>
                <w:lang w:eastAsia="zh-CN"/>
              </w:rPr>
              <w:object>
                <v:shape id="_x0000_i1029" o:spt="75" type="#_x0000_t75" style="height:80.25pt;width:171.75pt;" o:ole="t" filled="f" o:preferrelative="t" stroked="f" coordsize="21600,21600">
                  <v:path/>
                  <v:fill on="f" focussize="0,0"/>
                  <v:stroke on="f"/>
                  <v:imagedata r:id="rId20" o:title=""/>
                  <o:lock v:ext="edit" aspectratio="f"/>
                  <w10:wrap type="none"/>
                  <w10:anchorlock/>
                </v:shape>
                <o:OLEObject Type="Embed" ProgID="Visio.Drawing.15" ShapeID="_x0000_i1029" DrawAspect="Content" ObjectID="_1468075729" r:id="rId19">
                  <o:LockedField>false</o:LockedField>
                </o:OLEObject>
              </w:object>
            </w:r>
          </w:p>
          <w:p w14:paraId="4124668B">
            <w:pPr>
              <w:keepNext w:val="0"/>
              <w:keepLines w:val="0"/>
              <w:suppressLineNumbers w:val="0"/>
              <w:spacing w:before="0" w:beforeAutospacing="0" w:after="0" w:afterAutospacing="0"/>
              <w:ind w:left="0" w:right="0"/>
              <w:jc w:val="center"/>
              <w:rPr>
                <w:rFonts w:hint="default" w:ascii="Times New Roman" w:hAnsi="Times New Roman" w:eastAsia="宋体" w:cs="Times New Roman"/>
                <w:b/>
                <w:bCs/>
                <w:color w:val="auto"/>
                <w:highlight w:val="none"/>
                <w:lang w:val="en-US" w:eastAsia="zh-CN"/>
              </w:rPr>
            </w:pPr>
            <w:r>
              <w:rPr>
                <w:rFonts w:hint="eastAsia" w:ascii="Times New Roman" w:hAnsi="Times New Roman" w:eastAsia="宋体" w:cs="Times New Roman"/>
                <w:b/>
                <w:bCs/>
                <w:color w:val="0000E1"/>
                <w:highlight w:val="none"/>
                <w:lang w:val="en-US" w:eastAsia="zh-CN"/>
              </w:rPr>
              <w:t>图2-5  辅料泡棉条（硅基条）生产工艺流</w:t>
            </w:r>
            <w:r>
              <w:rPr>
                <w:rFonts w:hint="eastAsia" w:ascii="Times New Roman" w:hAnsi="Times New Roman" w:eastAsia="宋体" w:cs="Times New Roman"/>
                <w:b/>
                <w:bCs/>
                <w:color w:val="auto"/>
                <w:highlight w:val="none"/>
                <w:lang w:val="en-US" w:eastAsia="zh-CN"/>
              </w:rPr>
              <w:t>程及产污节点图（噪声伴随整个工艺流程）</w:t>
            </w:r>
          </w:p>
          <w:p w14:paraId="635CAA73">
            <w:pPr>
              <w:keepNext w:val="0"/>
              <w:keepLines w:val="0"/>
              <w:suppressLineNumbers w:val="0"/>
              <w:spacing w:before="0" w:beforeAutospacing="0" w:after="0" w:afterAutospacing="0" w:line="360" w:lineRule="auto"/>
              <w:ind w:left="0" w:right="0" w:firstLine="480" w:firstLineChars="200"/>
              <w:rPr>
                <w:rFonts w:hint="eastAsia" w:ascii="Times New Roman" w:hAnsi="Times New Roman" w:eastAsia="宋体" w:cs="Times New Roman"/>
                <w:b w:val="0"/>
                <w:bCs w:val="0"/>
                <w:color w:val="auto"/>
                <w:sz w:val="24"/>
              </w:rPr>
            </w:pPr>
            <w:r>
              <w:rPr>
                <w:rFonts w:hint="eastAsia" w:ascii="Times New Roman" w:hAnsi="Times New Roman" w:eastAsia="宋体" w:cs="Times New Roman"/>
                <w:b w:val="0"/>
                <w:bCs w:val="0"/>
                <w:color w:val="auto"/>
                <w:sz w:val="24"/>
                <w:lang w:val="en-US" w:eastAsia="zh-CN"/>
              </w:rPr>
              <w:t>将陶瓷基料混合物送入立式液态射出成型机，在</w:t>
            </w:r>
            <w:r>
              <w:rPr>
                <w:rFonts w:hint="default" w:ascii="Times New Roman" w:hAnsi="Times New Roman" w:eastAsia="宋体" w:cs="Times New Roman"/>
                <w:b w:val="0"/>
                <w:bCs w:val="0"/>
                <w:color w:val="auto"/>
                <w:sz w:val="24"/>
                <w:lang w:val="en-US" w:eastAsia="zh-CN"/>
              </w:rPr>
              <w:t>150-200℃条</w:t>
            </w:r>
            <w:r>
              <w:rPr>
                <w:rFonts w:hint="eastAsia" w:ascii="Times New Roman" w:hAnsi="Times New Roman" w:eastAsia="宋体" w:cs="Times New Roman"/>
                <w:b w:val="0"/>
                <w:bCs w:val="0"/>
                <w:color w:val="auto"/>
                <w:sz w:val="24"/>
                <w:lang w:val="en-US" w:eastAsia="zh-CN"/>
              </w:rPr>
              <w:t>件下完成液态物料的成型，得到辅料泡棉条（硅基条）。此过程产生</w:t>
            </w:r>
            <w:r>
              <w:rPr>
                <w:rFonts w:hint="eastAsia" w:ascii="Times New Roman" w:hAnsi="Times New Roman" w:eastAsia="宋体" w:cs="Times New Roman"/>
                <w:b w:val="0"/>
                <w:bCs w:val="0"/>
                <w:color w:val="0000FF"/>
                <w:sz w:val="24"/>
                <w:lang w:val="en-US" w:eastAsia="zh-CN"/>
              </w:rPr>
              <w:t>辅料成型废气G9</w:t>
            </w:r>
            <w:r>
              <w:rPr>
                <w:rFonts w:hint="eastAsia" w:ascii="Times New Roman" w:hAnsi="Times New Roman" w:eastAsia="宋体" w:cs="Times New Roman"/>
                <w:b w:val="0"/>
                <w:bCs w:val="0"/>
                <w:color w:val="auto"/>
                <w:sz w:val="24"/>
                <w:lang w:val="en-US" w:eastAsia="zh-CN"/>
              </w:rPr>
              <w:t>、</w:t>
            </w:r>
            <w:r>
              <w:rPr>
                <w:rFonts w:hint="eastAsia" w:ascii="Times New Roman" w:hAnsi="Times New Roman" w:eastAsia="宋体" w:cs="Times New Roman"/>
                <w:b w:val="0"/>
                <w:bCs w:val="0"/>
                <w:color w:val="0000E1"/>
                <w:sz w:val="24"/>
                <w:lang w:val="en-US" w:eastAsia="zh-CN"/>
              </w:rPr>
              <w:t>废泡棉条（硅基条）S5</w:t>
            </w:r>
            <w:r>
              <w:rPr>
                <w:rFonts w:hint="eastAsia" w:ascii="Times New Roman" w:hAnsi="Times New Roman" w:eastAsia="宋体" w:cs="Times New Roman"/>
                <w:b w:val="0"/>
                <w:bCs w:val="0"/>
                <w:color w:val="auto"/>
                <w:sz w:val="24"/>
                <w:lang w:val="en-US" w:eastAsia="zh-CN"/>
              </w:rPr>
              <w:t>和N1噪声。</w:t>
            </w:r>
          </w:p>
          <w:p w14:paraId="0387BA5E">
            <w:pPr>
              <w:keepNext w:val="0"/>
              <w:keepLines w:val="0"/>
              <w:suppressLineNumbers w:val="0"/>
              <w:spacing w:before="0" w:beforeAutospacing="0" w:after="0" w:afterAutospacing="0" w:line="360" w:lineRule="auto"/>
              <w:ind w:left="0" w:right="0"/>
              <w:rPr>
                <w:rFonts w:hint="default" w:ascii="Times New Roman" w:hAnsi="Times New Roman" w:eastAsia="宋体" w:cs="Times New Roman"/>
                <w:b/>
                <w:bCs/>
                <w:color w:val="auto"/>
                <w:sz w:val="24"/>
              </w:rPr>
            </w:pPr>
            <w:r>
              <w:rPr>
                <w:rFonts w:hint="eastAsia" w:ascii="Times New Roman" w:hAnsi="Times New Roman" w:eastAsia="宋体" w:cs="Times New Roman"/>
                <w:b/>
                <w:bCs/>
                <w:color w:val="auto"/>
                <w:sz w:val="24"/>
              </w:rPr>
              <w:t>2.2.2建设项目主要污染工序</w:t>
            </w:r>
          </w:p>
          <w:p w14:paraId="09056418">
            <w:pPr>
              <w:keepNext w:val="0"/>
              <w:keepLines w:val="0"/>
              <w:suppressLineNumbers w:val="0"/>
              <w:spacing w:before="0" w:beforeAutospacing="0" w:after="0" w:afterAutospacing="0"/>
              <w:ind w:left="0" w:right="0"/>
              <w:jc w:val="center"/>
              <w:rPr>
                <w:rFonts w:hint="default" w:ascii="Times New Roman" w:hAnsi="Times New Roman" w:eastAsia="宋体" w:cs="Times New Roman"/>
                <w:b/>
                <w:bCs/>
                <w:color w:val="auto"/>
              </w:rPr>
            </w:pPr>
            <w:r>
              <w:rPr>
                <w:rFonts w:hint="eastAsia" w:ascii="Times New Roman" w:hAnsi="Times New Roman" w:eastAsia="宋体" w:cs="Times New Roman"/>
                <w:b/>
                <w:bCs/>
                <w:color w:val="auto"/>
              </w:rPr>
              <w:t>表</w:t>
            </w:r>
            <w:r>
              <w:rPr>
                <w:rFonts w:hint="default" w:ascii="Times New Roman" w:hAnsi="Times New Roman" w:eastAsia="宋体" w:cs="Times New Roman"/>
                <w:b/>
                <w:bCs/>
                <w:color w:val="auto"/>
              </w:rPr>
              <w:t>2-</w:t>
            </w:r>
            <w:r>
              <w:rPr>
                <w:rFonts w:hint="eastAsia" w:ascii="Times New Roman" w:hAnsi="Times New Roman" w:eastAsia="宋体" w:cs="Times New Roman"/>
                <w:b/>
                <w:bCs/>
                <w:color w:val="auto"/>
              </w:rPr>
              <w:t>1</w:t>
            </w:r>
            <w:r>
              <w:rPr>
                <w:rFonts w:hint="eastAsia" w:ascii="Times New Roman" w:hAnsi="Times New Roman" w:eastAsia="宋体" w:cs="Times New Roman"/>
                <w:b/>
                <w:bCs/>
                <w:color w:val="auto"/>
                <w:lang w:val="en-US" w:eastAsia="zh-CN"/>
              </w:rPr>
              <w:t>3</w:t>
            </w:r>
            <w:r>
              <w:rPr>
                <w:rFonts w:hint="eastAsia" w:ascii="Times New Roman" w:hAnsi="Times New Roman" w:eastAsia="宋体" w:cs="Times New Roman"/>
                <w:b/>
                <w:bCs/>
                <w:color w:val="auto"/>
              </w:rPr>
              <w:t xml:space="preserve"> </w:t>
            </w:r>
            <w:r>
              <w:rPr>
                <w:rFonts w:hint="default" w:ascii="Times New Roman" w:hAnsi="Times New Roman" w:eastAsia="宋体" w:cs="Times New Roman"/>
                <w:b/>
                <w:bCs/>
                <w:color w:val="auto"/>
              </w:rPr>
              <w:t xml:space="preserve"> </w:t>
            </w:r>
            <w:r>
              <w:rPr>
                <w:rFonts w:hint="eastAsia" w:ascii="Times New Roman" w:hAnsi="Times New Roman" w:eastAsia="宋体" w:cs="Times New Roman"/>
                <w:b/>
                <w:bCs/>
                <w:color w:val="auto"/>
              </w:rPr>
              <w:t>营运期主要污染工序一览表</w:t>
            </w:r>
          </w:p>
          <w:tbl>
            <w:tblPr>
              <w:tblStyle w:val="23"/>
              <w:tblW w:w="8185"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57"/>
              <w:gridCol w:w="811"/>
              <w:gridCol w:w="1632"/>
              <w:gridCol w:w="1186"/>
              <w:gridCol w:w="1306"/>
              <w:gridCol w:w="2493"/>
            </w:tblGrid>
            <w:tr w14:paraId="027ED0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757" w:type="dxa"/>
                  <w:vAlign w:val="center"/>
                </w:tcPr>
                <w:p w14:paraId="2EDDAC2F">
                  <w:pPr>
                    <w:keepNext w:val="0"/>
                    <w:keepLines w:val="0"/>
                    <w:suppressLineNumbers w:val="0"/>
                    <w:spacing w:before="0" w:beforeAutospacing="0" w:after="0" w:afterAutospacing="0"/>
                    <w:ind w:left="0" w:right="0"/>
                    <w:jc w:val="center"/>
                    <w:rPr>
                      <w:rFonts w:hint="default" w:ascii="Times New Roman" w:hAnsi="Times New Roman" w:eastAsia="宋体" w:cs="Times New Roman"/>
                      <w:b/>
                      <w:bCs/>
                      <w:color w:val="auto"/>
                      <w:szCs w:val="21"/>
                    </w:rPr>
                  </w:pPr>
                  <w:r>
                    <w:rPr>
                      <w:rFonts w:hint="default" w:ascii="Times New Roman" w:hAnsi="Times New Roman" w:eastAsia="宋体" w:cs="Times New Roman"/>
                      <w:b/>
                      <w:bCs/>
                      <w:color w:val="auto"/>
                      <w:szCs w:val="21"/>
                    </w:rPr>
                    <w:t>种类</w:t>
                  </w:r>
                </w:p>
              </w:tc>
              <w:tc>
                <w:tcPr>
                  <w:tcW w:w="2443" w:type="dxa"/>
                  <w:gridSpan w:val="2"/>
                  <w:vAlign w:val="center"/>
                </w:tcPr>
                <w:p w14:paraId="09235B26">
                  <w:pPr>
                    <w:keepNext w:val="0"/>
                    <w:keepLines w:val="0"/>
                    <w:suppressLineNumbers w:val="0"/>
                    <w:spacing w:before="0" w:beforeAutospacing="0" w:after="0" w:afterAutospacing="0"/>
                    <w:ind w:left="0" w:right="0"/>
                    <w:jc w:val="center"/>
                    <w:rPr>
                      <w:rFonts w:hint="default" w:ascii="Times New Roman" w:hAnsi="Times New Roman" w:eastAsia="宋体" w:cs="Times New Roman"/>
                      <w:b/>
                      <w:bCs/>
                      <w:color w:val="auto"/>
                      <w:szCs w:val="21"/>
                    </w:rPr>
                  </w:pPr>
                  <w:r>
                    <w:rPr>
                      <w:rFonts w:hint="default" w:ascii="Times New Roman" w:hAnsi="Times New Roman" w:eastAsia="宋体" w:cs="Times New Roman"/>
                      <w:b/>
                      <w:bCs/>
                      <w:color w:val="auto"/>
                      <w:szCs w:val="21"/>
                    </w:rPr>
                    <w:t>污染物来源</w:t>
                  </w:r>
                </w:p>
              </w:tc>
              <w:tc>
                <w:tcPr>
                  <w:tcW w:w="2492" w:type="dxa"/>
                  <w:gridSpan w:val="2"/>
                  <w:vAlign w:val="center"/>
                </w:tcPr>
                <w:p w14:paraId="2C6C6CA4">
                  <w:pPr>
                    <w:keepNext w:val="0"/>
                    <w:keepLines w:val="0"/>
                    <w:suppressLineNumbers w:val="0"/>
                    <w:spacing w:before="0" w:beforeAutospacing="0" w:after="0" w:afterAutospacing="0"/>
                    <w:ind w:left="0" w:right="0"/>
                    <w:jc w:val="center"/>
                    <w:rPr>
                      <w:rFonts w:hint="default" w:ascii="Times New Roman" w:hAnsi="Times New Roman" w:eastAsia="宋体" w:cs="Times New Roman"/>
                      <w:b/>
                      <w:bCs/>
                      <w:color w:val="auto"/>
                      <w:szCs w:val="21"/>
                    </w:rPr>
                  </w:pPr>
                  <w:r>
                    <w:rPr>
                      <w:rFonts w:hint="default" w:ascii="Times New Roman" w:hAnsi="Times New Roman" w:eastAsia="宋体" w:cs="Times New Roman"/>
                      <w:b/>
                      <w:bCs/>
                      <w:color w:val="auto"/>
                      <w:szCs w:val="21"/>
                    </w:rPr>
                    <w:t>产生工序</w:t>
                  </w:r>
                </w:p>
              </w:tc>
              <w:tc>
                <w:tcPr>
                  <w:tcW w:w="2493" w:type="dxa"/>
                  <w:vAlign w:val="center"/>
                </w:tcPr>
                <w:p w14:paraId="56908D05">
                  <w:pPr>
                    <w:keepNext w:val="0"/>
                    <w:keepLines w:val="0"/>
                    <w:suppressLineNumbers w:val="0"/>
                    <w:spacing w:before="0" w:beforeAutospacing="0" w:after="0" w:afterAutospacing="0"/>
                    <w:ind w:left="0" w:right="0"/>
                    <w:jc w:val="center"/>
                    <w:rPr>
                      <w:rFonts w:hint="default" w:ascii="Times New Roman" w:hAnsi="Times New Roman" w:eastAsia="宋体" w:cs="Times New Roman"/>
                      <w:b/>
                      <w:bCs/>
                      <w:color w:val="auto"/>
                      <w:szCs w:val="21"/>
                    </w:rPr>
                  </w:pPr>
                  <w:r>
                    <w:rPr>
                      <w:rFonts w:hint="default" w:ascii="Times New Roman" w:hAnsi="Times New Roman" w:eastAsia="宋体" w:cs="Times New Roman"/>
                      <w:b/>
                      <w:bCs/>
                      <w:color w:val="auto"/>
                      <w:szCs w:val="21"/>
                    </w:rPr>
                    <w:t>主要成分</w:t>
                  </w:r>
                </w:p>
              </w:tc>
            </w:tr>
            <w:tr w14:paraId="44E544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757" w:type="dxa"/>
                  <w:vMerge w:val="restart"/>
                  <w:vAlign w:val="center"/>
                </w:tcPr>
                <w:p w14:paraId="5613CC53">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rPr>
                    <w:t>废气</w:t>
                  </w:r>
                </w:p>
              </w:tc>
              <w:tc>
                <w:tcPr>
                  <w:tcW w:w="811" w:type="dxa"/>
                  <w:vAlign w:val="center"/>
                </w:tcPr>
                <w:p w14:paraId="509265D8">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rPr>
                    <w:t>G1</w:t>
                  </w:r>
                </w:p>
              </w:tc>
              <w:tc>
                <w:tcPr>
                  <w:tcW w:w="1632" w:type="dxa"/>
                  <w:vAlign w:val="center"/>
                </w:tcPr>
                <w:p w14:paraId="1B59EA36">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r>
                    <w:rPr>
                      <w:rFonts w:hint="eastAsia" w:ascii="Times New Roman" w:hAnsi="Times New Roman" w:eastAsia="宋体" w:cs="Times New Roman"/>
                      <w:color w:val="auto"/>
                      <w:szCs w:val="21"/>
                    </w:rPr>
                    <w:t>固化废气</w:t>
                  </w:r>
                </w:p>
              </w:tc>
              <w:tc>
                <w:tcPr>
                  <w:tcW w:w="1186" w:type="dxa"/>
                  <w:vMerge w:val="restart"/>
                  <w:vAlign w:val="center"/>
                </w:tcPr>
                <w:p w14:paraId="00B52663">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rPr>
                    <w:t>复合隔膜</w:t>
                  </w:r>
                </w:p>
              </w:tc>
              <w:tc>
                <w:tcPr>
                  <w:tcW w:w="1306" w:type="dxa"/>
                  <w:shd w:val="clear" w:color="auto" w:fill="auto"/>
                  <w:vAlign w:val="center"/>
                </w:tcPr>
                <w:p w14:paraId="0863D8BD">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kern w:val="2"/>
                      <w:sz w:val="21"/>
                      <w:szCs w:val="21"/>
                      <w:lang w:val="en-US" w:eastAsia="zh-CN" w:bidi="ar-SA"/>
                    </w:rPr>
                  </w:pPr>
                  <w:r>
                    <w:rPr>
                      <w:rFonts w:hint="default" w:ascii="Times New Roman" w:hAnsi="Times New Roman" w:eastAsia="宋体" w:cs="Times New Roman"/>
                      <w:color w:val="auto"/>
                      <w:szCs w:val="21"/>
                    </w:rPr>
                    <w:t>烘烤固化</w:t>
                  </w:r>
                </w:p>
              </w:tc>
              <w:tc>
                <w:tcPr>
                  <w:tcW w:w="2493" w:type="dxa"/>
                  <w:vAlign w:val="center"/>
                </w:tcPr>
                <w:p w14:paraId="78EA0596">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rPr>
                    <w:t>非甲烷总烃、臭气浓度</w:t>
                  </w:r>
                </w:p>
              </w:tc>
            </w:tr>
            <w:tr w14:paraId="63BF00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757" w:type="dxa"/>
                  <w:vMerge w:val="continue"/>
                  <w:vAlign w:val="center"/>
                </w:tcPr>
                <w:p w14:paraId="43B66A6E">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p>
              </w:tc>
              <w:tc>
                <w:tcPr>
                  <w:tcW w:w="811" w:type="dxa"/>
                  <w:shd w:val="clear" w:color="auto" w:fill="auto"/>
                  <w:vAlign w:val="center"/>
                </w:tcPr>
                <w:p w14:paraId="68FCBE96">
                  <w:pPr>
                    <w:keepNext w:val="0"/>
                    <w:keepLines w:val="0"/>
                    <w:suppressLineNumbers w:val="0"/>
                    <w:spacing w:before="0" w:beforeAutospacing="0" w:after="0" w:afterAutospacing="0"/>
                    <w:ind w:left="0" w:right="0"/>
                    <w:jc w:val="center"/>
                    <w:rPr>
                      <w:rFonts w:hint="eastAsia" w:ascii="Times New Roman" w:hAnsi="Times New Roman" w:eastAsia="宋体" w:cs="Times New Roman"/>
                      <w:color w:val="auto"/>
                      <w:kern w:val="2"/>
                      <w:sz w:val="21"/>
                      <w:szCs w:val="21"/>
                      <w:lang w:val="en-US" w:eastAsia="zh-CN" w:bidi="ar-SA"/>
                    </w:rPr>
                  </w:pPr>
                  <w:r>
                    <w:rPr>
                      <w:rFonts w:hint="eastAsia" w:ascii="Times New Roman" w:hAnsi="Times New Roman" w:eastAsia="宋体" w:cs="Times New Roman"/>
                      <w:color w:val="auto"/>
                      <w:szCs w:val="21"/>
                    </w:rPr>
                    <w:t>G</w:t>
                  </w:r>
                  <w:r>
                    <w:rPr>
                      <w:rFonts w:hint="eastAsia" w:ascii="Times New Roman" w:hAnsi="Times New Roman" w:eastAsia="宋体" w:cs="Times New Roman"/>
                      <w:color w:val="auto"/>
                      <w:szCs w:val="21"/>
                      <w:lang w:val="en-US" w:eastAsia="zh-CN"/>
                    </w:rPr>
                    <w:t>2</w:t>
                  </w:r>
                </w:p>
              </w:tc>
              <w:tc>
                <w:tcPr>
                  <w:tcW w:w="1632" w:type="dxa"/>
                  <w:vAlign w:val="center"/>
                </w:tcPr>
                <w:p w14:paraId="246B3E3F">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lang w:val="en-US" w:eastAsia="zh-CN"/>
                    </w:rPr>
                  </w:pPr>
                  <w:r>
                    <w:rPr>
                      <w:rFonts w:hint="eastAsia" w:ascii="Times New Roman" w:hAnsi="Times New Roman" w:eastAsia="宋体" w:cs="Times New Roman"/>
                      <w:color w:val="auto"/>
                      <w:szCs w:val="21"/>
                      <w:lang w:val="en-US" w:eastAsia="zh-CN"/>
                    </w:rPr>
                    <w:t>背胶废气</w:t>
                  </w:r>
                </w:p>
              </w:tc>
              <w:tc>
                <w:tcPr>
                  <w:tcW w:w="1186" w:type="dxa"/>
                  <w:vMerge w:val="continue"/>
                  <w:vAlign w:val="center"/>
                </w:tcPr>
                <w:p w14:paraId="4A777F48">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p>
              </w:tc>
              <w:tc>
                <w:tcPr>
                  <w:tcW w:w="1306" w:type="dxa"/>
                  <w:shd w:val="clear" w:color="auto" w:fill="auto"/>
                  <w:vAlign w:val="center"/>
                </w:tcPr>
                <w:p w14:paraId="34B5D091">
                  <w:pPr>
                    <w:keepNext w:val="0"/>
                    <w:keepLines w:val="0"/>
                    <w:suppressLineNumbers w:val="0"/>
                    <w:spacing w:before="0" w:beforeAutospacing="0" w:after="0" w:afterAutospacing="0"/>
                    <w:ind w:left="0" w:right="0"/>
                    <w:jc w:val="center"/>
                    <w:rPr>
                      <w:rFonts w:hint="eastAsia" w:ascii="Times New Roman" w:hAnsi="Times New Roman" w:eastAsia="宋体" w:cs="Times New Roman"/>
                      <w:color w:val="auto"/>
                      <w:kern w:val="2"/>
                      <w:sz w:val="21"/>
                      <w:szCs w:val="21"/>
                      <w:lang w:val="en-US" w:eastAsia="zh-CN" w:bidi="ar-SA"/>
                    </w:rPr>
                  </w:pPr>
                  <w:r>
                    <w:rPr>
                      <w:rFonts w:hint="eastAsia" w:ascii="Times New Roman" w:hAnsi="Times New Roman" w:eastAsia="宋体" w:cs="Times New Roman"/>
                      <w:color w:val="auto"/>
                      <w:szCs w:val="21"/>
                      <w:lang w:val="en-US" w:eastAsia="zh-CN"/>
                    </w:rPr>
                    <w:t>背胶</w:t>
                  </w:r>
                </w:p>
              </w:tc>
              <w:tc>
                <w:tcPr>
                  <w:tcW w:w="2493" w:type="dxa"/>
                  <w:vAlign w:val="center"/>
                </w:tcPr>
                <w:p w14:paraId="1B56353D">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rPr>
                    <w:t>非甲烷总烃、臭气浓度</w:t>
                  </w:r>
                </w:p>
              </w:tc>
            </w:tr>
            <w:tr w14:paraId="0186ED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757" w:type="dxa"/>
                  <w:vMerge w:val="continue"/>
                  <w:vAlign w:val="center"/>
                </w:tcPr>
                <w:p w14:paraId="63A27341">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p>
              </w:tc>
              <w:tc>
                <w:tcPr>
                  <w:tcW w:w="811" w:type="dxa"/>
                  <w:shd w:val="clear" w:color="auto" w:fill="auto"/>
                  <w:vAlign w:val="center"/>
                </w:tcPr>
                <w:p w14:paraId="278E5483">
                  <w:pPr>
                    <w:keepNext w:val="0"/>
                    <w:keepLines w:val="0"/>
                    <w:suppressLineNumbers w:val="0"/>
                    <w:spacing w:before="0" w:beforeAutospacing="0" w:after="0" w:afterAutospacing="0"/>
                    <w:ind w:left="0" w:right="0"/>
                    <w:jc w:val="center"/>
                    <w:rPr>
                      <w:rFonts w:hint="eastAsia" w:ascii="Times New Roman" w:hAnsi="Times New Roman" w:eastAsia="宋体" w:cs="Times New Roman"/>
                      <w:color w:val="auto"/>
                      <w:szCs w:val="21"/>
                      <w:lang w:val="en-US" w:eastAsia="zh-CN"/>
                    </w:rPr>
                  </w:pPr>
                  <w:r>
                    <w:rPr>
                      <w:rFonts w:hint="eastAsia" w:ascii="Times New Roman" w:hAnsi="Times New Roman" w:eastAsia="宋体" w:cs="Times New Roman"/>
                      <w:color w:val="auto"/>
                      <w:szCs w:val="21"/>
                    </w:rPr>
                    <w:t>G</w:t>
                  </w:r>
                  <w:r>
                    <w:rPr>
                      <w:rFonts w:hint="eastAsia" w:ascii="Times New Roman" w:hAnsi="Times New Roman" w:eastAsia="宋体" w:cs="Times New Roman"/>
                      <w:color w:val="auto"/>
                      <w:szCs w:val="21"/>
                      <w:lang w:val="en-US" w:eastAsia="zh-CN"/>
                    </w:rPr>
                    <w:t>3</w:t>
                  </w:r>
                </w:p>
              </w:tc>
              <w:tc>
                <w:tcPr>
                  <w:tcW w:w="1632" w:type="dxa"/>
                  <w:vAlign w:val="center"/>
                </w:tcPr>
                <w:p w14:paraId="1BD8CDF1">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lang w:val="en-US" w:eastAsia="zh-CN"/>
                    </w:rPr>
                  </w:pPr>
                  <w:r>
                    <w:rPr>
                      <w:rFonts w:hint="eastAsia" w:ascii="Times New Roman" w:hAnsi="Times New Roman" w:eastAsia="宋体" w:cs="Times New Roman"/>
                      <w:color w:val="auto"/>
                      <w:szCs w:val="21"/>
                      <w:lang w:val="en-US" w:eastAsia="zh-CN"/>
                    </w:rPr>
                    <w:t>贴合废气</w:t>
                  </w:r>
                </w:p>
              </w:tc>
              <w:tc>
                <w:tcPr>
                  <w:tcW w:w="1186" w:type="dxa"/>
                  <w:vMerge w:val="continue"/>
                  <w:vAlign w:val="center"/>
                </w:tcPr>
                <w:p w14:paraId="7CA02954">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p>
              </w:tc>
              <w:tc>
                <w:tcPr>
                  <w:tcW w:w="1306" w:type="dxa"/>
                  <w:shd w:val="clear" w:color="auto" w:fill="auto"/>
                  <w:vAlign w:val="center"/>
                </w:tcPr>
                <w:p w14:paraId="62A245BD">
                  <w:pPr>
                    <w:keepNext w:val="0"/>
                    <w:keepLines w:val="0"/>
                    <w:suppressLineNumbers w:val="0"/>
                    <w:spacing w:before="0" w:beforeAutospacing="0" w:after="0" w:afterAutospacing="0"/>
                    <w:ind w:left="0" w:right="0"/>
                    <w:jc w:val="center"/>
                    <w:rPr>
                      <w:rFonts w:hint="eastAsia" w:ascii="Times New Roman" w:hAnsi="Times New Roman" w:eastAsia="宋体" w:cs="Times New Roman"/>
                      <w:color w:val="auto"/>
                      <w:szCs w:val="21"/>
                      <w:lang w:val="en-US" w:eastAsia="zh-CN"/>
                    </w:rPr>
                  </w:pPr>
                  <w:r>
                    <w:rPr>
                      <w:rFonts w:hint="eastAsia" w:ascii="Times New Roman" w:hAnsi="Times New Roman" w:eastAsia="宋体" w:cs="Times New Roman"/>
                      <w:color w:val="auto"/>
                      <w:szCs w:val="21"/>
                      <w:lang w:val="en-US" w:eastAsia="zh-CN"/>
                    </w:rPr>
                    <w:t>贴合</w:t>
                  </w:r>
                </w:p>
              </w:tc>
              <w:tc>
                <w:tcPr>
                  <w:tcW w:w="2493" w:type="dxa"/>
                  <w:vAlign w:val="center"/>
                </w:tcPr>
                <w:p w14:paraId="60E9E79E">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rPr>
                    <w:t>非甲烷总烃、臭气浓度</w:t>
                  </w:r>
                </w:p>
              </w:tc>
            </w:tr>
            <w:tr w14:paraId="56EA85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757" w:type="dxa"/>
                  <w:vMerge w:val="continue"/>
                  <w:vAlign w:val="center"/>
                </w:tcPr>
                <w:p w14:paraId="299B4D49">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p>
              </w:tc>
              <w:tc>
                <w:tcPr>
                  <w:tcW w:w="811" w:type="dxa"/>
                  <w:shd w:val="clear" w:color="auto" w:fill="auto"/>
                  <w:vAlign w:val="center"/>
                </w:tcPr>
                <w:p w14:paraId="0E864894">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kern w:val="2"/>
                      <w:sz w:val="21"/>
                      <w:szCs w:val="21"/>
                      <w:lang w:val="en-US" w:eastAsia="zh-CN" w:bidi="ar-SA"/>
                    </w:rPr>
                  </w:pPr>
                  <w:r>
                    <w:rPr>
                      <w:rFonts w:hint="default" w:ascii="Times New Roman" w:hAnsi="Times New Roman" w:eastAsia="宋体" w:cs="Times New Roman"/>
                      <w:color w:val="auto"/>
                      <w:szCs w:val="21"/>
                    </w:rPr>
                    <w:t>G</w:t>
                  </w:r>
                  <w:r>
                    <w:rPr>
                      <w:rFonts w:hint="eastAsia" w:ascii="Times New Roman" w:hAnsi="Times New Roman" w:eastAsia="宋体" w:cs="Times New Roman"/>
                      <w:color w:val="auto"/>
                      <w:szCs w:val="21"/>
                    </w:rPr>
                    <w:t>4</w:t>
                  </w:r>
                </w:p>
              </w:tc>
              <w:tc>
                <w:tcPr>
                  <w:tcW w:w="1632" w:type="dxa"/>
                  <w:vAlign w:val="center"/>
                </w:tcPr>
                <w:p w14:paraId="509B196D">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r>
                    <w:rPr>
                      <w:rFonts w:hint="eastAsia" w:ascii="Times New Roman" w:hAnsi="Times New Roman" w:eastAsia="宋体" w:cs="Times New Roman"/>
                      <w:color w:val="auto"/>
                      <w:szCs w:val="21"/>
                    </w:rPr>
                    <w:t>拆包粉尘</w:t>
                  </w:r>
                </w:p>
              </w:tc>
              <w:tc>
                <w:tcPr>
                  <w:tcW w:w="1186" w:type="dxa"/>
                  <w:vMerge w:val="restart"/>
                  <w:vAlign w:val="center"/>
                </w:tcPr>
                <w:p w14:paraId="75A23082">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rPr>
                    <w:t>纳米隔</w:t>
                  </w:r>
                </w:p>
                <w:p w14:paraId="3EE7AA6D">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rPr>
                    <w:t>热板</w:t>
                  </w:r>
                </w:p>
              </w:tc>
              <w:tc>
                <w:tcPr>
                  <w:tcW w:w="1306" w:type="dxa"/>
                  <w:shd w:val="clear" w:color="auto" w:fill="auto"/>
                  <w:vAlign w:val="center"/>
                </w:tcPr>
                <w:p w14:paraId="4FF7638E">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kern w:val="2"/>
                      <w:sz w:val="21"/>
                      <w:szCs w:val="21"/>
                      <w:lang w:val="en-US" w:eastAsia="zh-CN" w:bidi="ar-SA"/>
                    </w:rPr>
                  </w:pPr>
                  <w:r>
                    <w:rPr>
                      <w:rFonts w:hint="default" w:ascii="Times New Roman" w:hAnsi="Times New Roman" w:eastAsia="宋体" w:cs="Times New Roman"/>
                      <w:color w:val="auto"/>
                      <w:szCs w:val="21"/>
                    </w:rPr>
                    <w:t>拆包</w:t>
                  </w:r>
                </w:p>
              </w:tc>
              <w:tc>
                <w:tcPr>
                  <w:tcW w:w="2493" w:type="dxa"/>
                  <w:vAlign w:val="center"/>
                </w:tcPr>
                <w:p w14:paraId="3C0CECF0">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rPr>
                    <w:t>颗粒物</w:t>
                  </w:r>
                </w:p>
              </w:tc>
            </w:tr>
            <w:tr w14:paraId="6FCC38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757" w:type="dxa"/>
                  <w:vMerge w:val="continue"/>
                  <w:vAlign w:val="center"/>
                </w:tcPr>
                <w:p w14:paraId="7E148404">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p>
              </w:tc>
              <w:tc>
                <w:tcPr>
                  <w:tcW w:w="811" w:type="dxa"/>
                  <w:shd w:val="clear" w:color="auto" w:fill="auto"/>
                  <w:vAlign w:val="center"/>
                </w:tcPr>
                <w:p w14:paraId="74197F31">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kern w:val="2"/>
                      <w:sz w:val="21"/>
                      <w:szCs w:val="21"/>
                      <w:lang w:val="en-US" w:eastAsia="zh-CN" w:bidi="ar-SA"/>
                    </w:rPr>
                  </w:pPr>
                  <w:r>
                    <w:rPr>
                      <w:rFonts w:hint="default" w:ascii="Times New Roman" w:hAnsi="Times New Roman" w:eastAsia="宋体" w:cs="Times New Roman"/>
                      <w:color w:val="auto"/>
                      <w:szCs w:val="21"/>
                    </w:rPr>
                    <w:t>G</w:t>
                  </w:r>
                  <w:r>
                    <w:rPr>
                      <w:rFonts w:hint="eastAsia" w:ascii="Times New Roman" w:hAnsi="Times New Roman" w:eastAsia="宋体" w:cs="Times New Roman"/>
                      <w:color w:val="auto"/>
                      <w:szCs w:val="21"/>
                    </w:rPr>
                    <w:t>5</w:t>
                  </w:r>
                </w:p>
              </w:tc>
              <w:tc>
                <w:tcPr>
                  <w:tcW w:w="1632" w:type="dxa"/>
                  <w:vAlign w:val="center"/>
                </w:tcPr>
                <w:p w14:paraId="113170D1">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r>
                    <w:rPr>
                      <w:rFonts w:hint="eastAsia" w:ascii="Times New Roman" w:hAnsi="Times New Roman" w:eastAsia="宋体" w:cs="Times New Roman"/>
                      <w:color w:val="auto"/>
                      <w:szCs w:val="21"/>
                    </w:rPr>
                    <w:t>投料粉尘</w:t>
                  </w:r>
                </w:p>
              </w:tc>
              <w:tc>
                <w:tcPr>
                  <w:tcW w:w="1186" w:type="dxa"/>
                  <w:vMerge w:val="continue"/>
                  <w:vAlign w:val="center"/>
                </w:tcPr>
                <w:p w14:paraId="30C1B8B3">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p>
              </w:tc>
              <w:tc>
                <w:tcPr>
                  <w:tcW w:w="1306" w:type="dxa"/>
                  <w:shd w:val="clear" w:color="auto" w:fill="auto"/>
                  <w:vAlign w:val="center"/>
                </w:tcPr>
                <w:p w14:paraId="51105D04">
                  <w:pPr>
                    <w:keepNext w:val="0"/>
                    <w:keepLines w:val="0"/>
                    <w:suppressLineNumbers w:val="0"/>
                    <w:spacing w:before="0" w:beforeAutospacing="0" w:after="0" w:afterAutospacing="0"/>
                    <w:ind w:left="0" w:right="0"/>
                    <w:jc w:val="center"/>
                    <w:rPr>
                      <w:rFonts w:hint="eastAsia" w:ascii="Times New Roman" w:hAnsi="Times New Roman" w:eastAsia="宋体" w:cs="Times New Roman"/>
                      <w:color w:val="auto"/>
                      <w:kern w:val="2"/>
                      <w:sz w:val="21"/>
                      <w:szCs w:val="21"/>
                      <w:lang w:val="en-US" w:eastAsia="zh-CN" w:bidi="ar-SA"/>
                    </w:rPr>
                  </w:pPr>
                  <w:r>
                    <w:rPr>
                      <w:rFonts w:hint="eastAsia" w:ascii="Times New Roman" w:hAnsi="Times New Roman" w:eastAsia="宋体" w:cs="Times New Roman"/>
                      <w:color w:val="auto"/>
                      <w:szCs w:val="21"/>
                    </w:rPr>
                    <w:t>混合、储料</w:t>
                  </w:r>
                </w:p>
              </w:tc>
              <w:tc>
                <w:tcPr>
                  <w:tcW w:w="2493" w:type="dxa"/>
                  <w:vAlign w:val="center"/>
                </w:tcPr>
                <w:p w14:paraId="12D77C67">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rPr>
                    <w:t>颗粒物</w:t>
                  </w:r>
                </w:p>
              </w:tc>
            </w:tr>
            <w:tr w14:paraId="68DC0C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757" w:type="dxa"/>
                  <w:vMerge w:val="continue"/>
                  <w:vAlign w:val="center"/>
                </w:tcPr>
                <w:p w14:paraId="2F01D359">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p>
              </w:tc>
              <w:tc>
                <w:tcPr>
                  <w:tcW w:w="811" w:type="dxa"/>
                  <w:shd w:val="clear" w:color="auto" w:fill="auto"/>
                  <w:vAlign w:val="center"/>
                </w:tcPr>
                <w:p w14:paraId="7ECCDA13">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rPr>
                    <w:t>G</w:t>
                  </w:r>
                  <w:r>
                    <w:rPr>
                      <w:rFonts w:hint="eastAsia" w:ascii="Times New Roman" w:hAnsi="Times New Roman" w:eastAsia="宋体" w:cs="Times New Roman"/>
                      <w:color w:val="auto"/>
                      <w:szCs w:val="21"/>
                      <w:lang w:val="en-US" w:eastAsia="zh-CN"/>
                    </w:rPr>
                    <w:t>6</w:t>
                  </w:r>
                </w:p>
              </w:tc>
              <w:tc>
                <w:tcPr>
                  <w:tcW w:w="1632" w:type="dxa"/>
                  <w:vAlign w:val="center"/>
                </w:tcPr>
                <w:p w14:paraId="3D50FFBC">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lang w:val="en-US" w:eastAsia="zh-CN"/>
                    </w:rPr>
                  </w:pPr>
                  <w:r>
                    <w:rPr>
                      <w:rFonts w:hint="eastAsia" w:ascii="Times New Roman" w:hAnsi="Times New Roman" w:eastAsia="宋体" w:cs="Times New Roman"/>
                      <w:color w:val="auto"/>
                      <w:szCs w:val="21"/>
                      <w:lang w:val="en-US" w:eastAsia="zh-CN"/>
                    </w:rPr>
                    <w:t>出料粉尘</w:t>
                  </w:r>
                </w:p>
              </w:tc>
              <w:tc>
                <w:tcPr>
                  <w:tcW w:w="1186" w:type="dxa"/>
                  <w:vMerge w:val="continue"/>
                  <w:vAlign w:val="center"/>
                </w:tcPr>
                <w:p w14:paraId="7C7C02AE">
                  <w:pPr>
                    <w:keepNext w:val="0"/>
                    <w:keepLines w:val="0"/>
                    <w:suppressLineNumbers w:val="0"/>
                    <w:spacing w:before="0" w:beforeAutospacing="0" w:after="0" w:afterAutospacing="0"/>
                    <w:ind w:left="0" w:right="0"/>
                    <w:jc w:val="center"/>
                    <w:rPr>
                      <w:rFonts w:hint="eastAsia" w:ascii="Times New Roman" w:hAnsi="Times New Roman" w:eastAsia="宋体" w:cs="Times New Roman"/>
                      <w:color w:val="auto"/>
                      <w:szCs w:val="21"/>
                      <w:lang w:val="en-US" w:eastAsia="zh-CN"/>
                    </w:rPr>
                  </w:pPr>
                </w:p>
              </w:tc>
              <w:tc>
                <w:tcPr>
                  <w:tcW w:w="1306" w:type="dxa"/>
                  <w:shd w:val="clear" w:color="auto" w:fill="auto"/>
                  <w:vAlign w:val="center"/>
                </w:tcPr>
                <w:p w14:paraId="4BEAB90D">
                  <w:pPr>
                    <w:keepNext w:val="0"/>
                    <w:keepLines w:val="0"/>
                    <w:suppressLineNumbers w:val="0"/>
                    <w:spacing w:before="0" w:beforeAutospacing="0" w:after="0" w:afterAutospacing="0"/>
                    <w:ind w:left="0" w:right="0"/>
                    <w:jc w:val="center"/>
                    <w:rPr>
                      <w:rFonts w:hint="eastAsia" w:ascii="Times New Roman" w:hAnsi="Times New Roman" w:eastAsia="宋体" w:cs="Times New Roman"/>
                      <w:color w:val="auto"/>
                      <w:kern w:val="2"/>
                      <w:sz w:val="21"/>
                      <w:szCs w:val="21"/>
                      <w:lang w:val="en-US" w:eastAsia="zh-CN" w:bidi="ar-SA"/>
                    </w:rPr>
                  </w:pPr>
                  <w:r>
                    <w:rPr>
                      <w:rFonts w:hint="eastAsia" w:ascii="Times New Roman" w:hAnsi="Times New Roman" w:eastAsia="宋体" w:cs="Times New Roman"/>
                      <w:color w:val="auto"/>
                      <w:szCs w:val="21"/>
                      <w:lang w:val="en-US" w:eastAsia="zh-CN"/>
                    </w:rPr>
                    <w:t>成型</w:t>
                  </w:r>
                </w:p>
              </w:tc>
              <w:tc>
                <w:tcPr>
                  <w:tcW w:w="2493" w:type="dxa"/>
                  <w:vAlign w:val="center"/>
                </w:tcPr>
                <w:p w14:paraId="266118D4">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rPr>
                    <w:t>颗粒物</w:t>
                  </w:r>
                </w:p>
              </w:tc>
            </w:tr>
            <w:tr w14:paraId="261DBC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757" w:type="dxa"/>
                  <w:vMerge w:val="continue"/>
                  <w:vAlign w:val="center"/>
                </w:tcPr>
                <w:p w14:paraId="5888E483">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p>
              </w:tc>
              <w:tc>
                <w:tcPr>
                  <w:tcW w:w="811" w:type="dxa"/>
                  <w:shd w:val="clear" w:color="auto" w:fill="auto"/>
                  <w:vAlign w:val="center"/>
                </w:tcPr>
                <w:p w14:paraId="23B2AB93">
                  <w:pPr>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color w:val="0000FF"/>
                      <w:kern w:val="2"/>
                      <w:sz w:val="21"/>
                      <w:szCs w:val="21"/>
                      <w:lang w:val="en-US" w:eastAsia="zh-CN" w:bidi="ar-SA"/>
                    </w:rPr>
                  </w:pPr>
                  <w:r>
                    <w:rPr>
                      <w:rFonts w:hint="eastAsia" w:ascii="Times New Roman" w:hAnsi="Times New Roman" w:eastAsia="宋体" w:cs="Times New Roman"/>
                      <w:color w:val="0000FF"/>
                      <w:szCs w:val="21"/>
                      <w:lang w:val="en-US" w:eastAsia="zh-CN"/>
                    </w:rPr>
                    <w:t>G7</w:t>
                  </w:r>
                </w:p>
              </w:tc>
              <w:tc>
                <w:tcPr>
                  <w:tcW w:w="1632" w:type="dxa"/>
                  <w:vAlign w:val="center"/>
                </w:tcPr>
                <w:p w14:paraId="14068EEA">
                  <w:pPr>
                    <w:keepNext w:val="0"/>
                    <w:keepLines w:val="0"/>
                    <w:suppressLineNumbers w:val="0"/>
                    <w:spacing w:before="0" w:beforeAutospacing="0" w:after="0" w:afterAutospacing="0"/>
                    <w:ind w:left="0" w:right="0"/>
                    <w:jc w:val="center"/>
                    <w:rPr>
                      <w:rFonts w:hint="eastAsia" w:ascii="Times New Roman" w:hAnsi="Times New Roman" w:eastAsia="宋体" w:cs="Times New Roman"/>
                      <w:color w:val="0000FF"/>
                      <w:szCs w:val="21"/>
                      <w:lang w:val="en-US" w:eastAsia="zh-CN"/>
                    </w:rPr>
                  </w:pPr>
                  <w:r>
                    <w:rPr>
                      <w:rFonts w:hint="eastAsia" w:ascii="Times New Roman" w:hAnsi="Times New Roman" w:eastAsia="宋体" w:cs="Times New Roman"/>
                      <w:color w:val="0000FF"/>
                      <w:szCs w:val="21"/>
                      <w:lang w:val="en-US" w:eastAsia="zh-CN"/>
                    </w:rPr>
                    <w:t>激光切割粉尘</w:t>
                  </w:r>
                </w:p>
              </w:tc>
              <w:tc>
                <w:tcPr>
                  <w:tcW w:w="1186" w:type="dxa"/>
                  <w:vMerge w:val="continue"/>
                  <w:vAlign w:val="center"/>
                </w:tcPr>
                <w:p w14:paraId="301D49C0">
                  <w:pPr>
                    <w:keepNext w:val="0"/>
                    <w:keepLines w:val="0"/>
                    <w:suppressLineNumbers w:val="0"/>
                    <w:spacing w:before="0" w:beforeAutospacing="0" w:after="0" w:afterAutospacing="0"/>
                    <w:ind w:left="0" w:right="0"/>
                    <w:jc w:val="center"/>
                    <w:rPr>
                      <w:rFonts w:hint="eastAsia" w:ascii="Times New Roman" w:hAnsi="Times New Roman" w:eastAsia="宋体" w:cs="Times New Roman"/>
                      <w:color w:val="auto"/>
                      <w:szCs w:val="21"/>
                      <w:lang w:val="en-US" w:eastAsia="zh-CN"/>
                    </w:rPr>
                  </w:pPr>
                </w:p>
              </w:tc>
              <w:tc>
                <w:tcPr>
                  <w:tcW w:w="1306" w:type="dxa"/>
                  <w:shd w:val="clear" w:color="auto" w:fill="auto"/>
                  <w:vAlign w:val="center"/>
                </w:tcPr>
                <w:p w14:paraId="12570499">
                  <w:pPr>
                    <w:keepNext w:val="0"/>
                    <w:keepLines w:val="0"/>
                    <w:suppressLineNumbers w:val="0"/>
                    <w:spacing w:before="0" w:beforeAutospacing="0" w:after="0" w:afterAutospacing="0"/>
                    <w:ind w:left="0" w:right="0"/>
                    <w:jc w:val="center"/>
                    <w:rPr>
                      <w:rFonts w:hint="eastAsia" w:ascii="Times New Roman" w:hAnsi="Times New Roman" w:eastAsia="宋体" w:cs="Times New Roman"/>
                      <w:color w:val="auto"/>
                      <w:szCs w:val="21"/>
                      <w:lang w:val="en-US" w:eastAsia="zh-CN"/>
                    </w:rPr>
                  </w:pPr>
                  <w:r>
                    <w:rPr>
                      <w:rFonts w:hint="eastAsia" w:ascii="Times New Roman" w:hAnsi="Times New Roman" w:eastAsia="宋体" w:cs="Times New Roman"/>
                      <w:color w:val="auto"/>
                      <w:szCs w:val="21"/>
                      <w:lang w:val="en-US" w:eastAsia="zh-CN"/>
                    </w:rPr>
                    <w:t>激光切割</w:t>
                  </w:r>
                </w:p>
              </w:tc>
              <w:tc>
                <w:tcPr>
                  <w:tcW w:w="2493" w:type="dxa"/>
                  <w:vAlign w:val="center"/>
                </w:tcPr>
                <w:p w14:paraId="24A9A5B8">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r>
                    <w:rPr>
                      <w:rFonts w:hint="default" w:ascii="Times New Roman" w:hAnsi="Times New Roman" w:eastAsia="宋体" w:cs="Times New Roman"/>
                      <w:color w:val="0000FF"/>
                      <w:szCs w:val="21"/>
                    </w:rPr>
                    <w:t>颗粒物</w:t>
                  </w:r>
                </w:p>
              </w:tc>
            </w:tr>
            <w:tr w14:paraId="42B341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757" w:type="dxa"/>
                  <w:vMerge w:val="continue"/>
                  <w:vAlign w:val="center"/>
                </w:tcPr>
                <w:p w14:paraId="44A3EA17">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p>
              </w:tc>
              <w:tc>
                <w:tcPr>
                  <w:tcW w:w="811" w:type="dxa"/>
                  <w:shd w:val="clear" w:color="auto" w:fill="auto"/>
                  <w:vAlign w:val="center"/>
                </w:tcPr>
                <w:p w14:paraId="0A7ADD07">
                  <w:pPr>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color w:val="auto"/>
                      <w:kern w:val="2"/>
                      <w:sz w:val="21"/>
                      <w:szCs w:val="21"/>
                      <w:lang w:val="en-US" w:eastAsia="zh-CN" w:bidi="ar-SA"/>
                    </w:rPr>
                  </w:pPr>
                  <w:r>
                    <w:rPr>
                      <w:rFonts w:hint="eastAsia" w:ascii="Times New Roman" w:hAnsi="Times New Roman" w:eastAsia="宋体" w:cs="Times New Roman"/>
                      <w:color w:val="auto"/>
                      <w:szCs w:val="21"/>
                      <w:lang w:val="en-US" w:eastAsia="zh-CN"/>
                    </w:rPr>
                    <w:t>G8</w:t>
                  </w:r>
                </w:p>
              </w:tc>
              <w:tc>
                <w:tcPr>
                  <w:tcW w:w="1632" w:type="dxa"/>
                  <w:vAlign w:val="center"/>
                </w:tcPr>
                <w:p w14:paraId="267E093F">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r>
                    <w:rPr>
                      <w:rFonts w:hint="eastAsia" w:ascii="Times New Roman" w:hAnsi="Times New Roman" w:eastAsia="宋体" w:cs="Times New Roman"/>
                      <w:color w:val="auto"/>
                      <w:szCs w:val="21"/>
                    </w:rPr>
                    <w:t>真空热合废气</w:t>
                  </w:r>
                </w:p>
              </w:tc>
              <w:tc>
                <w:tcPr>
                  <w:tcW w:w="1186" w:type="dxa"/>
                  <w:vMerge w:val="continue"/>
                  <w:vAlign w:val="center"/>
                </w:tcPr>
                <w:p w14:paraId="4C35761A">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p>
              </w:tc>
              <w:tc>
                <w:tcPr>
                  <w:tcW w:w="1306" w:type="dxa"/>
                  <w:shd w:val="clear" w:color="auto" w:fill="auto"/>
                  <w:vAlign w:val="center"/>
                </w:tcPr>
                <w:p w14:paraId="5FB5D9AA">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kern w:val="2"/>
                      <w:sz w:val="21"/>
                      <w:szCs w:val="21"/>
                      <w:lang w:val="en-US" w:eastAsia="zh-CN" w:bidi="ar-SA"/>
                    </w:rPr>
                  </w:pPr>
                  <w:r>
                    <w:rPr>
                      <w:rFonts w:hint="default" w:ascii="Times New Roman" w:hAnsi="Times New Roman" w:eastAsia="宋体" w:cs="Times New Roman"/>
                      <w:color w:val="auto"/>
                      <w:szCs w:val="21"/>
                    </w:rPr>
                    <w:t>真空热合</w:t>
                  </w:r>
                </w:p>
              </w:tc>
              <w:tc>
                <w:tcPr>
                  <w:tcW w:w="2493" w:type="dxa"/>
                  <w:vAlign w:val="center"/>
                </w:tcPr>
                <w:p w14:paraId="3A009079">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rPr>
                    <w:t>非甲烷总烃、臭气浓度</w:t>
                  </w:r>
                </w:p>
              </w:tc>
            </w:tr>
            <w:tr w14:paraId="52F8EF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757" w:type="dxa"/>
                  <w:vMerge w:val="continue"/>
                  <w:vAlign w:val="center"/>
                </w:tcPr>
                <w:p w14:paraId="4F48F384">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p>
              </w:tc>
              <w:tc>
                <w:tcPr>
                  <w:tcW w:w="811" w:type="dxa"/>
                  <w:vAlign w:val="center"/>
                </w:tcPr>
                <w:p w14:paraId="5804A255">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lang w:val="en-US" w:eastAsia="zh-CN"/>
                    </w:rPr>
                  </w:pPr>
                  <w:r>
                    <w:rPr>
                      <w:rFonts w:hint="eastAsia" w:ascii="Times New Roman" w:hAnsi="Times New Roman" w:eastAsia="宋体" w:cs="Times New Roman"/>
                      <w:color w:val="auto"/>
                      <w:szCs w:val="21"/>
                      <w:lang w:val="en-US" w:eastAsia="zh-CN"/>
                    </w:rPr>
                    <w:t>G9</w:t>
                  </w:r>
                </w:p>
              </w:tc>
              <w:tc>
                <w:tcPr>
                  <w:tcW w:w="1632" w:type="dxa"/>
                  <w:vAlign w:val="center"/>
                </w:tcPr>
                <w:p w14:paraId="70DDDABC">
                  <w:pPr>
                    <w:keepNext w:val="0"/>
                    <w:keepLines w:val="0"/>
                    <w:suppressLineNumbers w:val="0"/>
                    <w:spacing w:before="0" w:beforeAutospacing="0" w:after="0" w:afterAutospacing="0"/>
                    <w:ind w:left="0" w:right="0"/>
                    <w:jc w:val="center"/>
                    <w:rPr>
                      <w:rFonts w:hint="eastAsia" w:ascii="Times New Roman" w:hAnsi="Times New Roman" w:eastAsia="宋体" w:cs="Times New Roman"/>
                      <w:color w:val="auto"/>
                      <w:szCs w:val="21"/>
                    </w:rPr>
                  </w:pPr>
                  <w:r>
                    <w:rPr>
                      <w:rFonts w:hint="eastAsia" w:ascii="Times New Roman" w:hAnsi="Times New Roman" w:eastAsia="宋体" w:cs="Times New Roman"/>
                      <w:color w:val="auto"/>
                      <w:szCs w:val="21"/>
                      <w:lang w:val="en-US" w:eastAsia="zh-CN"/>
                    </w:rPr>
                    <w:t>辅料成型废气</w:t>
                  </w:r>
                </w:p>
              </w:tc>
              <w:tc>
                <w:tcPr>
                  <w:tcW w:w="1186" w:type="dxa"/>
                  <w:vMerge w:val="continue"/>
                  <w:vAlign w:val="center"/>
                </w:tcPr>
                <w:p w14:paraId="1B6C4985">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p>
              </w:tc>
              <w:tc>
                <w:tcPr>
                  <w:tcW w:w="1306" w:type="dxa"/>
                  <w:shd w:val="clear" w:color="auto" w:fill="auto"/>
                  <w:vAlign w:val="center"/>
                </w:tcPr>
                <w:p w14:paraId="6B5DE05F">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r>
                    <w:rPr>
                      <w:rFonts w:hint="eastAsia" w:ascii="Times New Roman" w:hAnsi="Times New Roman" w:eastAsia="宋体" w:cs="Times New Roman"/>
                      <w:color w:val="auto"/>
                      <w:szCs w:val="21"/>
                      <w:lang w:val="en-US" w:eastAsia="zh-CN"/>
                    </w:rPr>
                    <w:t>辅料成型</w:t>
                  </w:r>
                </w:p>
              </w:tc>
              <w:tc>
                <w:tcPr>
                  <w:tcW w:w="2493" w:type="dxa"/>
                  <w:vAlign w:val="center"/>
                </w:tcPr>
                <w:p w14:paraId="39E436BE">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rPr>
                    <w:t>非甲烷总烃、臭气浓度</w:t>
                  </w:r>
                </w:p>
              </w:tc>
            </w:tr>
            <w:tr w14:paraId="01DA69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757" w:type="dxa"/>
                  <w:vMerge w:val="restart"/>
                  <w:vAlign w:val="center"/>
                </w:tcPr>
                <w:p w14:paraId="71DD34E2">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rPr>
                    <w:t>废水</w:t>
                  </w:r>
                </w:p>
              </w:tc>
              <w:tc>
                <w:tcPr>
                  <w:tcW w:w="811" w:type="dxa"/>
                  <w:vAlign w:val="center"/>
                </w:tcPr>
                <w:p w14:paraId="4E42C35A">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rPr>
                    <w:t>W1</w:t>
                  </w:r>
                </w:p>
              </w:tc>
              <w:tc>
                <w:tcPr>
                  <w:tcW w:w="1632" w:type="dxa"/>
                  <w:vAlign w:val="center"/>
                </w:tcPr>
                <w:p w14:paraId="724D3A45">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lang w:val="en-US" w:eastAsia="zh-CN"/>
                    </w:rPr>
                    <w:t>间接</w:t>
                  </w:r>
                  <w:r>
                    <w:rPr>
                      <w:rFonts w:hint="default" w:ascii="Times New Roman" w:hAnsi="Times New Roman" w:eastAsia="宋体" w:cs="Times New Roman"/>
                      <w:color w:val="auto"/>
                      <w:szCs w:val="21"/>
                    </w:rPr>
                    <w:t>冷却水</w:t>
                  </w:r>
                </w:p>
              </w:tc>
              <w:tc>
                <w:tcPr>
                  <w:tcW w:w="2492" w:type="dxa"/>
                  <w:gridSpan w:val="2"/>
                  <w:vAlign w:val="center"/>
                </w:tcPr>
                <w:p w14:paraId="17C15C75">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r>
                    <w:rPr>
                      <w:rFonts w:hint="eastAsia" w:ascii="Times New Roman" w:hAnsi="Times New Roman" w:eastAsia="宋体" w:cs="Times New Roman"/>
                      <w:color w:val="auto"/>
                      <w:szCs w:val="21"/>
                      <w:lang w:val="en-US" w:eastAsia="zh-CN"/>
                    </w:rPr>
                    <w:t>设备</w:t>
                  </w:r>
                  <w:r>
                    <w:rPr>
                      <w:rFonts w:hint="eastAsia" w:ascii="Times New Roman" w:hAnsi="Times New Roman" w:eastAsia="宋体" w:cs="Times New Roman"/>
                      <w:color w:val="auto"/>
                      <w:szCs w:val="21"/>
                    </w:rPr>
                    <w:t>冷却</w:t>
                  </w:r>
                </w:p>
              </w:tc>
              <w:tc>
                <w:tcPr>
                  <w:tcW w:w="2493" w:type="dxa"/>
                  <w:vAlign w:val="center"/>
                </w:tcPr>
                <w:p w14:paraId="7004C3DA">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rPr>
                    <w:t>热量</w:t>
                  </w:r>
                </w:p>
              </w:tc>
            </w:tr>
            <w:tr w14:paraId="649AFE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757" w:type="dxa"/>
                  <w:vMerge w:val="continue"/>
                  <w:vAlign w:val="center"/>
                </w:tcPr>
                <w:p w14:paraId="5CAC292F">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p>
              </w:tc>
              <w:tc>
                <w:tcPr>
                  <w:tcW w:w="811" w:type="dxa"/>
                  <w:vAlign w:val="center"/>
                </w:tcPr>
                <w:p w14:paraId="6779BCD5">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rPr>
                    <w:t>W2</w:t>
                  </w:r>
                </w:p>
              </w:tc>
              <w:tc>
                <w:tcPr>
                  <w:tcW w:w="1632" w:type="dxa"/>
                  <w:vAlign w:val="center"/>
                </w:tcPr>
                <w:p w14:paraId="55A390CC">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lang w:val="en-US" w:eastAsia="zh-CN"/>
                    </w:rPr>
                    <w:t>喷淋废水</w:t>
                  </w:r>
                </w:p>
              </w:tc>
              <w:tc>
                <w:tcPr>
                  <w:tcW w:w="2492" w:type="dxa"/>
                  <w:gridSpan w:val="2"/>
                  <w:vAlign w:val="center"/>
                </w:tcPr>
                <w:p w14:paraId="0E456215">
                  <w:pPr>
                    <w:keepNext w:val="0"/>
                    <w:keepLines w:val="0"/>
                    <w:suppressLineNumbers w:val="0"/>
                    <w:spacing w:before="0" w:beforeAutospacing="0" w:after="0" w:afterAutospacing="0"/>
                    <w:ind w:left="0" w:right="0"/>
                    <w:jc w:val="center"/>
                    <w:rPr>
                      <w:rFonts w:hint="eastAsia" w:ascii="Times New Roman" w:hAnsi="Times New Roman" w:eastAsia="宋体" w:cs="Times New Roman"/>
                      <w:color w:val="auto"/>
                      <w:szCs w:val="21"/>
                    </w:rPr>
                  </w:pPr>
                  <w:r>
                    <w:rPr>
                      <w:rFonts w:hint="eastAsia" w:ascii="Times New Roman" w:hAnsi="Times New Roman" w:eastAsia="宋体" w:cs="Times New Roman"/>
                      <w:color w:val="auto"/>
                      <w:szCs w:val="21"/>
                      <w:lang w:val="en-US" w:eastAsia="zh-CN"/>
                    </w:rPr>
                    <w:t>废气处理</w:t>
                  </w:r>
                </w:p>
              </w:tc>
              <w:tc>
                <w:tcPr>
                  <w:tcW w:w="2493" w:type="dxa"/>
                  <w:vAlign w:val="center"/>
                </w:tcPr>
                <w:p w14:paraId="4C0904F7">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rPr>
                    <w:t>COD</w:t>
                  </w:r>
                  <w:r>
                    <w:rPr>
                      <w:rFonts w:hint="default" w:ascii="Times New Roman" w:hAnsi="Times New Roman" w:eastAsia="宋体" w:cs="Times New Roman"/>
                      <w:color w:val="auto"/>
                      <w:szCs w:val="21"/>
                      <w:vertAlign w:val="subscript"/>
                    </w:rPr>
                    <w:t>Cr</w:t>
                  </w:r>
                  <w:r>
                    <w:rPr>
                      <w:rFonts w:hint="default" w:ascii="Times New Roman" w:hAnsi="Times New Roman" w:eastAsia="宋体" w:cs="Times New Roman"/>
                      <w:color w:val="auto"/>
                      <w:szCs w:val="21"/>
                    </w:rPr>
                    <w:t>、</w:t>
                  </w:r>
                  <w:r>
                    <w:rPr>
                      <w:rFonts w:hint="default" w:ascii="Times New Roman" w:hAnsi="Times New Roman" w:eastAsia="宋体" w:cs="Times New Roman"/>
                      <w:color w:val="auto"/>
                      <w:szCs w:val="21"/>
                      <w:lang w:val="en-US" w:eastAsia="zh-CN"/>
                    </w:rPr>
                    <w:t>SS</w:t>
                  </w:r>
                </w:p>
              </w:tc>
            </w:tr>
            <w:tr w14:paraId="42C345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757" w:type="dxa"/>
                  <w:vMerge w:val="continue"/>
                  <w:vAlign w:val="center"/>
                </w:tcPr>
                <w:p w14:paraId="3F0045E6">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p>
              </w:tc>
              <w:tc>
                <w:tcPr>
                  <w:tcW w:w="811" w:type="dxa"/>
                  <w:vAlign w:val="center"/>
                </w:tcPr>
                <w:p w14:paraId="2C4BE6AD">
                  <w:pPr>
                    <w:keepNext w:val="0"/>
                    <w:keepLines w:val="0"/>
                    <w:suppressLineNumbers w:val="0"/>
                    <w:spacing w:before="0" w:beforeAutospacing="0" w:after="0" w:afterAutospacing="0"/>
                    <w:ind w:left="0" w:right="0"/>
                    <w:jc w:val="center"/>
                    <w:rPr>
                      <w:rFonts w:hint="eastAsia" w:ascii="Times New Roman" w:hAnsi="Times New Roman" w:eastAsia="宋体" w:cs="Times New Roman"/>
                      <w:color w:val="auto"/>
                      <w:szCs w:val="21"/>
                      <w:lang w:val="en-US" w:eastAsia="zh-CN"/>
                    </w:rPr>
                  </w:pPr>
                  <w:r>
                    <w:rPr>
                      <w:rFonts w:hint="default" w:ascii="Times New Roman" w:hAnsi="Times New Roman" w:eastAsia="宋体" w:cs="Times New Roman"/>
                      <w:color w:val="auto"/>
                      <w:szCs w:val="21"/>
                    </w:rPr>
                    <w:t>W</w:t>
                  </w:r>
                  <w:r>
                    <w:rPr>
                      <w:rFonts w:hint="eastAsia" w:ascii="Times New Roman" w:hAnsi="Times New Roman" w:eastAsia="宋体" w:cs="Times New Roman"/>
                      <w:color w:val="auto"/>
                      <w:szCs w:val="21"/>
                      <w:lang w:val="en-US" w:eastAsia="zh-CN"/>
                    </w:rPr>
                    <w:t>3</w:t>
                  </w:r>
                </w:p>
              </w:tc>
              <w:tc>
                <w:tcPr>
                  <w:tcW w:w="1632" w:type="dxa"/>
                  <w:vAlign w:val="center"/>
                </w:tcPr>
                <w:p w14:paraId="76DD4FAA">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rPr>
                    <w:t>生活污水</w:t>
                  </w:r>
                </w:p>
              </w:tc>
              <w:tc>
                <w:tcPr>
                  <w:tcW w:w="2492" w:type="dxa"/>
                  <w:gridSpan w:val="2"/>
                  <w:vAlign w:val="center"/>
                </w:tcPr>
                <w:p w14:paraId="23461E47">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rPr>
                    <w:t>职工生活</w:t>
                  </w:r>
                </w:p>
              </w:tc>
              <w:tc>
                <w:tcPr>
                  <w:tcW w:w="2493" w:type="dxa"/>
                  <w:vAlign w:val="center"/>
                </w:tcPr>
                <w:p w14:paraId="54044476">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rPr>
                    <w:t>COD</w:t>
                  </w:r>
                  <w:r>
                    <w:rPr>
                      <w:rFonts w:hint="default" w:ascii="Times New Roman" w:hAnsi="Times New Roman" w:eastAsia="宋体" w:cs="Times New Roman"/>
                      <w:color w:val="auto"/>
                      <w:szCs w:val="21"/>
                      <w:vertAlign w:val="subscript"/>
                    </w:rPr>
                    <w:t>Cr</w:t>
                  </w:r>
                  <w:r>
                    <w:rPr>
                      <w:rFonts w:hint="default" w:ascii="Times New Roman" w:hAnsi="Times New Roman" w:eastAsia="宋体" w:cs="Times New Roman"/>
                      <w:color w:val="auto"/>
                      <w:szCs w:val="21"/>
                    </w:rPr>
                    <w:t>、NH</w:t>
                  </w:r>
                  <w:r>
                    <w:rPr>
                      <w:rFonts w:hint="default" w:ascii="Times New Roman" w:hAnsi="Times New Roman" w:eastAsia="宋体" w:cs="Times New Roman"/>
                      <w:color w:val="auto"/>
                      <w:szCs w:val="21"/>
                      <w:vertAlign w:val="subscript"/>
                    </w:rPr>
                    <w:t>3</w:t>
                  </w:r>
                  <w:r>
                    <w:rPr>
                      <w:rFonts w:hint="default" w:ascii="Times New Roman" w:hAnsi="Times New Roman" w:eastAsia="宋体" w:cs="Times New Roman"/>
                      <w:color w:val="auto"/>
                      <w:szCs w:val="21"/>
                    </w:rPr>
                    <w:t>-N</w:t>
                  </w:r>
                </w:p>
              </w:tc>
            </w:tr>
            <w:tr w14:paraId="629257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757" w:type="dxa"/>
                  <w:vMerge w:val="restart"/>
                  <w:vAlign w:val="center"/>
                </w:tcPr>
                <w:p w14:paraId="58474E8D">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rPr>
                    <w:t>固废</w:t>
                  </w:r>
                </w:p>
              </w:tc>
              <w:tc>
                <w:tcPr>
                  <w:tcW w:w="811" w:type="dxa"/>
                  <w:vAlign w:val="center"/>
                </w:tcPr>
                <w:p w14:paraId="429D696A">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rPr>
                    <w:t>S1</w:t>
                  </w:r>
                </w:p>
              </w:tc>
              <w:tc>
                <w:tcPr>
                  <w:tcW w:w="1632" w:type="dxa"/>
                  <w:vAlign w:val="center"/>
                </w:tcPr>
                <w:p w14:paraId="2BE1DA74">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r>
                    <w:rPr>
                      <w:rFonts w:hint="eastAsia" w:ascii="Times New Roman" w:hAnsi="Times New Roman" w:eastAsia="宋体" w:cs="Times New Roman"/>
                      <w:color w:val="auto"/>
                      <w:szCs w:val="21"/>
                    </w:rPr>
                    <w:t>废PET膜</w:t>
                  </w:r>
                </w:p>
              </w:tc>
              <w:tc>
                <w:tcPr>
                  <w:tcW w:w="2492" w:type="dxa"/>
                  <w:gridSpan w:val="2"/>
                  <w:vAlign w:val="center"/>
                </w:tcPr>
                <w:p w14:paraId="128670E8">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r>
                    <w:rPr>
                      <w:rFonts w:hint="eastAsia" w:ascii="Times New Roman" w:hAnsi="Times New Roman" w:eastAsia="宋体" w:cs="Times New Roman"/>
                      <w:color w:val="auto"/>
                      <w:szCs w:val="21"/>
                    </w:rPr>
                    <w:t>收卷</w:t>
                  </w:r>
                </w:p>
              </w:tc>
              <w:tc>
                <w:tcPr>
                  <w:tcW w:w="2493" w:type="dxa"/>
                  <w:vAlign w:val="center"/>
                </w:tcPr>
                <w:p w14:paraId="4AA622D0">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r>
                    <w:rPr>
                      <w:rFonts w:hint="eastAsia" w:ascii="Times New Roman" w:hAnsi="Times New Roman" w:eastAsia="宋体" w:cs="Times New Roman"/>
                      <w:color w:val="auto"/>
                      <w:szCs w:val="21"/>
                    </w:rPr>
                    <w:t>废PET膜</w:t>
                  </w:r>
                </w:p>
              </w:tc>
            </w:tr>
            <w:tr w14:paraId="58CBB9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757" w:type="dxa"/>
                  <w:vMerge w:val="continue"/>
                  <w:vAlign w:val="center"/>
                </w:tcPr>
                <w:p w14:paraId="233AB16A">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p>
              </w:tc>
              <w:tc>
                <w:tcPr>
                  <w:tcW w:w="811" w:type="dxa"/>
                  <w:vMerge w:val="restart"/>
                  <w:vAlign w:val="center"/>
                </w:tcPr>
                <w:p w14:paraId="1DB4E502">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rPr>
                    <w:t>S</w:t>
                  </w:r>
                  <w:r>
                    <w:rPr>
                      <w:rFonts w:hint="eastAsia" w:ascii="Times New Roman" w:hAnsi="Times New Roman" w:eastAsia="宋体" w:cs="Times New Roman"/>
                      <w:color w:val="auto"/>
                      <w:szCs w:val="21"/>
                    </w:rPr>
                    <w:t>2</w:t>
                  </w:r>
                </w:p>
              </w:tc>
              <w:tc>
                <w:tcPr>
                  <w:tcW w:w="1632" w:type="dxa"/>
                  <w:vMerge w:val="restart"/>
                  <w:vAlign w:val="center"/>
                </w:tcPr>
                <w:p w14:paraId="3FC24BBA">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r>
                    <w:rPr>
                      <w:rFonts w:hint="eastAsia" w:ascii="Times New Roman" w:hAnsi="Times New Roman" w:eastAsia="宋体" w:cs="Times New Roman"/>
                      <w:color w:val="auto"/>
                      <w:szCs w:val="21"/>
                    </w:rPr>
                    <w:t>边角料</w:t>
                  </w:r>
                </w:p>
              </w:tc>
              <w:tc>
                <w:tcPr>
                  <w:tcW w:w="1186" w:type="dxa"/>
                  <w:vAlign w:val="center"/>
                </w:tcPr>
                <w:p w14:paraId="1BDFFBC9">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r>
                    <w:rPr>
                      <w:rFonts w:hint="eastAsia" w:ascii="Times New Roman" w:hAnsi="Times New Roman" w:eastAsia="宋体" w:cs="Times New Roman"/>
                      <w:color w:val="auto"/>
                      <w:szCs w:val="21"/>
                    </w:rPr>
                    <w:t>复合隔膜</w:t>
                  </w:r>
                </w:p>
              </w:tc>
              <w:tc>
                <w:tcPr>
                  <w:tcW w:w="1306" w:type="dxa"/>
                  <w:vAlign w:val="center"/>
                </w:tcPr>
                <w:p w14:paraId="631D1178">
                  <w:pPr>
                    <w:keepNext w:val="0"/>
                    <w:keepLines w:val="0"/>
                    <w:suppressLineNumbers w:val="0"/>
                    <w:spacing w:before="0" w:beforeAutospacing="0" w:after="0" w:afterAutospacing="0"/>
                    <w:ind w:left="0" w:right="0"/>
                    <w:jc w:val="center"/>
                    <w:rPr>
                      <w:rFonts w:hint="eastAsia" w:ascii="Times New Roman" w:hAnsi="Times New Roman" w:eastAsia="宋体" w:cs="Times New Roman"/>
                      <w:color w:val="auto"/>
                      <w:szCs w:val="21"/>
                      <w:lang w:eastAsia="zh-CN"/>
                    </w:rPr>
                  </w:pPr>
                  <w:r>
                    <w:rPr>
                      <w:rFonts w:hint="eastAsia" w:ascii="Times New Roman" w:hAnsi="Times New Roman" w:eastAsia="宋体" w:cs="Times New Roman"/>
                      <w:color w:val="auto"/>
                      <w:szCs w:val="21"/>
                    </w:rPr>
                    <w:t>裁切</w:t>
                  </w:r>
                </w:p>
              </w:tc>
              <w:tc>
                <w:tcPr>
                  <w:tcW w:w="2493" w:type="dxa"/>
                  <w:vMerge w:val="restart"/>
                  <w:vAlign w:val="center"/>
                </w:tcPr>
                <w:p w14:paraId="7ACAFFFE">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r>
                    <w:rPr>
                      <w:rFonts w:hint="eastAsia" w:ascii="Times New Roman" w:hAnsi="Times New Roman" w:eastAsia="宋体" w:cs="Times New Roman"/>
                      <w:color w:val="auto"/>
                      <w:szCs w:val="21"/>
                    </w:rPr>
                    <w:t>边角料</w:t>
                  </w:r>
                </w:p>
              </w:tc>
            </w:tr>
            <w:tr w14:paraId="28B47D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757" w:type="dxa"/>
                  <w:vMerge w:val="continue"/>
                  <w:vAlign w:val="center"/>
                </w:tcPr>
                <w:p w14:paraId="076D3B86">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p>
              </w:tc>
              <w:tc>
                <w:tcPr>
                  <w:tcW w:w="811" w:type="dxa"/>
                  <w:vMerge w:val="continue"/>
                  <w:vAlign w:val="center"/>
                </w:tcPr>
                <w:p w14:paraId="28DD9A87">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p>
              </w:tc>
              <w:tc>
                <w:tcPr>
                  <w:tcW w:w="1632" w:type="dxa"/>
                  <w:vMerge w:val="continue"/>
                  <w:vAlign w:val="center"/>
                </w:tcPr>
                <w:p w14:paraId="72FD5D03">
                  <w:pPr>
                    <w:keepNext w:val="0"/>
                    <w:keepLines w:val="0"/>
                    <w:suppressLineNumbers w:val="0"/>
                    <w:spacing w:before="0" w:beforeAutospacing="0" w:after="0" w:afterAutospacing="0"/>
                    <w:ind w:left="0" w:right="0"/>
                    <w:jc w:val="center"/>
                    <w:rPr>
                      <w:rFonts w:hint="eastAsia" w:ascii="Times New Roman" w:hAnsi="Times New Roman" w:eastAsia="宋体" w:cs="Times New Roman"/>
                      <w:color w:val="auto"/>
                      <w:szCs w:val="21"/>
                    </w:rPr>
                  </w:pPr>
                </w:p>
              </w:tc>
              <w:tc>
                <w:tcPr>
                  <w:tcW w:w="1186" w:type="dxa"/>
                  <w:vAlign w:val="center"/>
                </w:tcPr>
                <w:p w14:paraId="74EBB0F7">
                  <w:pPr>
                    <w:keepNext w:val="0"/>
                    <w:keepLines w:val="0"/>
                    <w:suppressLineNumbers w:val="0"/>
                    <w:spacing w:before="0" w:beforeAutospacing="0" w:after="0" w:afterAutospacing="0"/>
                    <w:ind w:left="0" w:right="0"/>
                    <w:jc w:val="center"/>
                    <w:rPr>
                      <w:rFonts w:hint="eastAsia" w:ascii="Times New Roman" w:hAnsi="Times New Roman" w:eastAsia="宋体" w:cs="Times New Roman"/>
                      <w:color w:val="auto"/>
                      <w:szCs w:val="21"/>
                    </w:rPr>
                  </w:pPr>
                  <w:r>
                    <w:rPr>
                      <w:rFonts w:hint="eastAsia" w:ascii="Times New Roman" w:hAnsi="Times New Roman" w:eastAsia="宋体" w:cs="Times New Roman"/>
                      <w:color w:val="auto"/>
                      <w:szCs w:val="21"/>
                    </w:rPr>
                    <w:t>纳米隔</w:t>
                  </w:r>
                </w:p>
                <w:p w14:paraId="19441154">
                  <w:pPr>
                    <w:keepNext w:val="0"/>
                    <w:keepLines w:val="0"/>
                    <w:suppressLineNumbers w:val="0"/>
                    <w:spacing w:before="0" w:beforeAutospacing="0" w:after="0" w:afterAutospacing="0"/>
                    <w:ind w:left="0" w:right="0"/>
                    <w:jc w:val="center"/>
                    <w:rPr>
                      <w:rFonts w:hint="eastAsia" w:ascii="Times New Roman" w:hAnsi="Times New Roman" w:eastAsia="宋体" w:cs="Times New Roman"/>
                      <w:color w:val="auto"/>
                      <w:szCs w:val="21"/>
                    </w:rPr>
                  </w:pPr>
                  <w:r>
                    <w:rPr>
                      <w:rFonts w:hint="eastAsia" w:ascii="Times New Roman" w:hAnsi="Times New Roman" w:eastAsia="宋体" w:cs="Times New Roman"/>
                      <w:color w:val="auto"/>
                      <w:szCs w:val="21"/>
                    </w:rPr>
                    <w:t>热板</w:t>
                  </w:r>
                </w:p>
              </w:tc>
              <w:tc>
                <w:tcPr>
                  <w:tcW w:w="1306" w:type="dxa"/>
                  <w:vAlign w:val="center"/>
                </w:tcPr>
                <w:p w14:paraId="3DCE3CA7">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lang w:val="en-US" w:eastAsia="zh-CN"/>
                    </w:rPr>
                  </w:pPr>
                  <w:r>
                    <w:rPr>
                      <w:rFonts w:hint="eastAsia" w:ascii="Times New Roman" w:hAnsi="Times New Roman" w:eastAsia="宋体" w:cs="Times New Roman"/>
                      <w:color w:val="auto"/>
                      <w:szCs w:val="21"/>
                    </w:rPr>
                    <w:t>激光切割</w:t>
                  </w:r>
                  <w:r>
                    <w:rPr>
                      <w:rFonts w:hint="eastAsia" w:ascii="Times New Roman" w:hAnsi="Times New Roman" w:eastAsia="宋体" w:cs="Times New Roman"/>
                      <w:color w:val="auto"/>
                      <w:szCs w:val="21"/>
                      <w:lang w:eastAsia="zh-CN"/>
                    </w:rPr>
                    <w:t>、</w:t>
                  </w:r>
                  <w:r>
                    <w:rPr>
                      <w:rFonts w:hint="eastAsia" w:ascii="Times New Roman" w:hAnsi="Times New Roman" w:eastAsia="宋体" w:cs="Times New Roman"/>
                      <w:color w:val="auto"/>
                      <w:szCs w:val="21"/>
                      <w:lang w:val="en-US" w:eastAsia="zh-CN"/>
                    </w:rPr>
                    <w:t>修边裁切</w:t>
                  </w:r>
                </w:p>
              </w:tc>
              <w:tc>
                <w:tcPr>
                  <w:tcW w:w="2493" w:type="dxa"/>
                  <w:vMerge w:val="continue"/>
                  <w:vAlign w:val="center"/>
                </w:tcPr>
                <w:p w14:paraId="23E6EF48">
                  <w:pPr>
                    <w:keepNext w:val="0"/>
                    <w:keepLines w:val="0"/>
                    <w:suppressLineNumbers w:val="0"/>
                    <w:spacing w:before="0" w:beforeAutospacing="0" w:after="0" w:afterAutospacing="0"/>
                    <w:ind w:left="0" w:right="0"/>
                    <w:jc w:val="center"/>
                    <w:rPr>
                      <w:rFonts w:hint="eastAsia" w:ascii="Times New Roman" w:hAnsi="Times New Roman" w:eastAsia="宋体" w:cs="Times New Roman"/>
                      <w:color w:val="auto"/>
                      <w:szCs w:val="21"/>
                    </w:rPr>
                  </w:pPr>
                </w:p>
              </w:tc>
            </w:tr>
            <w:tr w14:paraId="5C2081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5" w:hRule="atLeast"/>
                <w:jc w:val="center"/>
              </w:trPr>
              <w:tc>
                <w:tcPr>
                  <w:tcW w:w="757" w:type="dxa"/>
                  <w:vMerge w:val="continue"/>
                  <w:vAlign w:val="center"/>
                </w:tcPr>
                <w:p w14:paraId="00AB0CEC">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p>
              </w:tc>
              <w:tc>
                <w:tcPr>
                  <w:tcW w:w="811" w:type="dxa"/>
                  <w:vAlign w:val="center"/>
                </w:tcPr>
                <w:p w14:paraId="430BF6C4">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rPr>
                    <w:t>S</w:t>
                  </w:r>
                  <w:r>
                    <w:rPr>
                      <w:rFonts w:hint="eastAsia" w:ascii="Times New Roman" w:hAnsi="Times New Roman" w:eastAsia="宋体" w:cs="Times New Roman"/>
                      <w:color w:val="auto"/>
                      <w:szCs w:val="21"/>
                    </w:rPr>
                    <w:t>3</w:t>
                  </w:r>
                </w:p>
              </w:tc>
              <w:tc>
                <w:tcPr>
                  <w:tcW w:w="1632" w:type="dxa"/>
                  <w:vAlign w:val="center"/>
                </w:tcPr>
                <w:p w14:paraId="3D06A0C9">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r>
                    <w:rPr>
                      <w:rFonts w:hint="eastAsia" w:ascii="Times New Roman" w:hAnsi="Times New Roman" w:eastAsia="宋体" w:cs="Times New Roman"/>
                      <w:color w:val="auto"/>
                      <w:szCs w:val="21"/>
                    </w:rPr>
                    <w:t>不合格品</w:t>
                  </w:r>
                </w:p>
              </w:tc>
              <w:tc>
                <w:tcPr>
                  <w:tcW w:w="2492" w:type="dxa"/>
                  <w:gridSpan w:val="2"/>
                  <w:vAlign w:val="center"/>
                </w:tcPr>
                <w:p w14:paraId="2AE1D17A">
                  <w:pPr>
                    <w:keepNext w:val="0"/>
                    <w:keepLines w:val="0"/>
                    <w:suppressLineNumbers w:val="0"/>
                    <w:spacing w:before="0" w:beforeAutospacing="0" w:after="0" w:afterAutospacing="0"/>
                    <w:ind w:left="0" w:right="0"/>
                    <w:jc w:val="center"/>
                    <w:rPr>
                      <w:rFonts w:hint="eastAsia" w:ascii="Times New Roman" w:hAnsi="Times New Roman" w:eastAsia="宋体" w:cs="Times New Roman"/>
                      <w:color w:val="auto"/>
                      <w:szCs w:val="21"/>
                    </w:rPr>
                  </w:pPr>
                  <w:r>
                    <w:rPr>
                      <w:rFonts w:hint="eastAsia" w:ascii="Times New Roman" w:hAnsi="Times New Roman" w:eastAsia="宋体" w:cs="Times New Roman"/>
                      <w:color w:val="auto"/>
                      <w:szCs w:val="21"/>
                    </w:rPr>
                    <w:t>检验</w:t>
                  </w:r>
                </w:p>
              </w:tc>
              <w:tc>
                <w:tcPr>
                  <w:tcW w:w="2493" w:type="dxa"/>
                  <w:vAlign w:val="center"/>
                </w:tcPr>
                <w:p w14:paraId="057B094D">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r>
                    <w:rPr>
                      <w:rFonts w:hint="eastAsia" w:ascii="Times New Roman" w:hAnsi="Times New Roman" w:eastAsia="宋体" w:cs="Times New Roman"/>
                      <w:color w:val="auto"/>
                      <w:szCs w:val="21"/>
                    </w:rPr>
                    <w:t>不合格品</w:t>
                  </w:r>
                </w:p>
              </w:tc>
            </w:tr>
            <w:tr w14:paraId="40A1DC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757" w:type="dxa"/>
                  <w:vMerge w:val="continue"/>
                  <w:vAlign w:val="center"/>
                </w:tcPr>
                <w:p w14:paraId="660869A5">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p>
              </w:tc>
              <w:tc>
                <w:tcPr>
                  <w:tcW w:w="811" w:type="dxa"/>
                  <w:vAlign w:val="center"/>
                </w:tcPr>
                <w:p w14:paraId="6BC9D806">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rPr>
                    <w:t>S</w:t>
                  </w:r>
                  <w:r>
                    <w:rPr>
                      <w:rFonts w:hint="eastAsia" w:ascii="Times New Roman" w:hAnsi="Times New Roman" w:eastAsia="宋体" w:cs="Times New Roman"/>
                      <w:color w:val="auto"/>
                      <w:szCs w:val="21"/>
                    </w:rPr>
                    <w:t>4</w:t>
                  </w:r>
                </w:p>
              </w:tc>
              <w:tc>
                <w:tcPr>
                  <w:tcW w:w="1632" w:type="dxa"/>
                  <w:vAlign w:val="center"/>
                </w:tcPr>
                <w:p w14:paraId="39714C66">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rPr>
                    <w:t>废</w:t>
                  </w:r>
                  <w:r>
                    <w:rPr>
                      <w:rFonts w:hint="eastAsia" w:ascii="Times New Roman" w:hAnsi="Times New Roman" w:eastAsia="宋体" w:cs="Times New Roman"/>
                      <w:color w:val="auto"/>
                      <w:szCs w:val="21"/>
                      <w:lang w:val="en-US" w:eastAsia="zh-CN"/>
                    </w:rPr>
                    <w:t>保护</w:t>
                  </w:r>
                  <w:r>
                    <w:rPr>
                      <w:rFonts w:hint="default" w:ascii="Times New Roman" w:hAnsi="Times New Roman" w:eastAsia="宋体" w:cs="Times New Roman"/>
                      <w:color w:val="auto"/>
                      <w:szCs w:val="21"/>
                    </w:rPr>
                    <w:t>膜</w:t>
                  </w:r>
                </w:p>
              </w:tc>
              <w:tc>
                <w:tcPr>
                  <w:tcW w:w="2492" w:type="dxa"/>
                  <w:gridSpan w:val="2"/>
                  <w:vAlign w:val="center"/>
                </w:tcPr>
                <w:p w14:paraId="4A8CC663">
                  <w:pPr>
                    <w:keepNext w:val="0"/>
                    <w:keepLines w:val="0"/>
                    <w:suppressLineNumbers w:val="0"/>
                    <w:spacing w:before="0" w:beforeAutospacing="0" w:after="0" w:afterAutospacing="0"/>
                    <w:ind w:left="0" w:right="0"/>
                    <w:jc w:val="center"/>
                    <w:rPr>
                      <w:rFonts w:hint="eastAsia" w:ascii="Times New Roman" w:hAnsi="Times New Roman" w:eastAsia="宋体" w:cs="Times New Roman"/>
                      <w:color w:val="auto"/>
                      <w:szCs w:val="21"/>
                      <w:lang w:eastAsia="zh-CN"/>
                    </w:rPr>
                  </w:pPr>
                  <w:r>
                    <w:rPr>
                      <w:rFonts w:hint="eastAsia" w:ascii="Times New Roman" w:hAnsi="Times New Roman" w:eastAsia="宋体" w:cs="Times New Roman"/>
                      <w:color w:val="auto"/>
                      <w:szCs w:val="21"/>
                      <w:lang w:val="en-US" w:eastAsia="zh-CN"/>
                    </w:rPr>
                    <w:t>贴胶</w:t>
                  </w:r>
                </w:p>
              </w:tc>
              <w:tc>
                <w:tcPr>
                  <w:tcW w:w="2493" w:type="dxa"/>
                  <w:vAlign w:val="center"/>
                </w:tcPr>
                <w:p w14:paraId="15A39BEF">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rPr>
                    <w:t>废</w:t>
                  </w:r>
                  <w:r>
                    <w:rPr>
                      <w:rFonts w:hint="eastAsia" w:ascii="Times New Roman" w:hAnsi="Times New Roman" w:eastAsia="宋体" w:cs="Times New Roman"/>
                      <w:color w:val="auto"/>
                      <w:szCs w:val="21"/>
                      <w:lang w:val="en-US" w:eastAsia="zh-CN"/>
                    </w:rPr>
                    <w:t>保护</w:t>
                  </w:r>
                  <w:r>
                    <w:rPr>
                      <w:rFonts w:hint="default" w:ascii="Times New Roman" w:hAnsi="Times New Roman" w:eastAsia="宋体" w:cs="Times New Roman"/>
                      <w:color w:val="auto"/>
                      <w:szCs w:val="21"/>
                    </w:rPr>
                    <w:t>膜</w:t>
                  </w:r>
                </w:p>
              </w:tc>
            </w:tr>
            <w:tr w14:paraId="20F39B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757" w:type="dxa"/>
                  <w:vMerge w:val="continue"/>
                  <w:vAlign w:val="center"/>
                </w:tcPr>
                <w:p w14:paraId="1B1D8CCC">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p>
              </w:tc>
              <w:tc>
                <w:tcPr>
                  <w:tcW w:w="811" w:type="dxa"/>
                  <w:shd w:val="clear" w:color="auto" w:fill="auto"/>
                  <w:vAlign w:val="center"/>
                </w:tcPr>
                <w:p w14:paraId="55A10876">
                  <w:pPr>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color w:val="0000E1"/>
                      <w:kern w:val="2"/>
                      <w:sz w:val="21"/>
                      <w:szCs w:val="21"/>
                      <w:lang w:val="en-US" w:eastAsia="zh-CN" w:bidi="ar-SA"/>
                    </w:rPr>
                  </w:pPr>
                  <w:r>
                    <w:rPr>
                      <w:rFonts w:hint="default" w:ascii="Times New Roman" w:hAnsi="Times New Roman" w:eastAsia="宋体" w:cs="Times New Roman"/>
                      <w:color w:val="0000E1"/>
                      <w:szCs w:val="21"/>
                    </w:rPr>
                    <w:t>S</w:t>
                  </w:r>
                  <w:r>
                    <w:rPr>
                      <w:rFonts w:hint="eastAsia" w:ascii="Times New Roman" w:hAnsi="Times New Roman" w:eastAsia="宋体" w:cs="Times New Roman"/>
                      <w:color w:val="0000E1"/>
                      <w:szCs w:val="21"/>
                      <w:lang w:val="en-US" w:eastAsia="zh-CN"/>
                    </w:rPr>
                    <w:t>5</w:t>
                  </w:r>
                </w:p>
              </w:tc>
              <w:tc>
                <w:tcPr>
                  <w:tcW w:w="1632" w:type="dxa"/>
                  <w:vAlign w:val="center"/>
                </w:tcPr>
                <w:p w14:paraId="76375340">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0000E1"/>
                      <w:szCs w:val="21"/>
                      <w:lang w:val="en-US" w:eastAsia="zh-CN"/>
                    </w:rPr>
                  </w:pPr>
                  <w:r>
                    <w:rPr>
                      <w:rFonts w:hint="default" w:ascii="Times New Roman" w:hAnsi="Times New Roman" w:eastAsia="宋体" w:cs="Times New Roman"/>
                      <w:color w:val="0000E1"/>
                      <w:szCs w:val="21"/>
                      <w:lang w:val="en-US" w:eastAsia="zh-CN"/>
                    </w:rPr>
                    <w:t>废泡棉条</w:t>
                  </w:r>
                </w:p>
                <w:p w14:paraId="674459A1">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0000E1"/>
                      <w:szCs w:val="21"/>
                    </w:rPr>
                  </w:pPr>
                  <w:r>
                    <w:rPr>
                      <w:rFonts w:hint="default" w:ascii="Times New Roman" w:hAnsi="Times New Roman" w:eastAsia="宋体" w:cs="Times New Roman"/>
                      <w:color w:val="0000E1"/>
                      <w:szCs w:val="21"/>
                      <w:lang w:val="en-US" w:eastAsia="zh-CN"/>
                    </w:rPr>
                    <w:t>（硅基条）</w:t>
                  </w:r>
                </w:p>
              </w:tc>
              <w:tc>
                <w:tcPr>
                  <w:tcW w:w="2492" w:type="dxa"/>
                  <w:gridSpan w:val="2"/>
                  <w:vAlign w:val="center"/>
                </w:tcPr>
                <w:p w14:paraId="37073CC9">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0000E1"/>
                      <w:szCs w:val="21"/>
                      <w:lang w:val="en-US" w:eastAsia="zh-CN"/>
                    </w:rPr>
                  </w:pPr>
                  <w:r>
                    <w:rPr>
                      <w:rFonts w:hint="eastAsia" w:ascii="Times New Roman" w:hAnsi="Times New Roman" w:eastAsia="宋体" w:cs="Times New Roman"/>
                      <w:color w:val="0000E1"/>
                      <w:szCs w:val="21"/>
                      <w:lang w:val="en-US" w:eastAsia="zh-CN"/>
                    </w:rPr>
                    <w:t>辅料成型</w:t>
                  </w:r>
                </w:p>
              </w:tc>
              <w:tc>
                <w:tcPr>
                  <w:tcW w:w="2493" w:type="dxa"/>
                  <w:vAlign w:val="center"/>
                </w:tcPr>
                <w:p w14:paraId="6814A4B7">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0000E1"/>
                      <w:szCs w:val="21"/>
                      <w:lang w:val="en-US" w:eastAsia="zh-CN"/>
                    </w:rPr>
                  </w:pPr>
                  <w:r>
                    <w:rPr>
                      <w:rFonts w:hint="default" w:ascii="Times New Roman" w:hAnsi="Times New Roman" w:eastAsia="宋体" w:cs="Times New Roman"/>
                      <w:color w:val="0000E1"/>
                      <w:szCs w:val="21"/>
                      <w:lang w:val="en-US" w:eastAsia="zh-CN"/>
                    </w:rPr>
                    <w:t>废泡棉条</w:t>
                  </w:r>
                </w:p>
                <w:p w14:paraId="20918B41">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0000E1"/>
                      <w:szCs w:val="21"/>
                    </w:rPr>
                  </w:pPr>
                  <w:r>
                    <w:rPr>
                      <w:rFonts w:hint="default" w:ascii="Times New Roman" w:hAnsi="Times New Roman" w:eastAsia="宋体" w:cs="Times New Roman"/>
                      <w:color w:val="0000E1"/>
                      <w:szCs w:val="21"/>
                      <w:lang w:val="en-US" w:eastAsia="zh-CN"/>
                    </w:rPr>
                    <w:t>（硅基条）</w:t>
                  </w:r>
                </w:p>
              </w:tc>
            </w:tr>
            <w:tr w14:paraId="6731FB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757" w:type="dxa"/>
                  <w:vMerge w:val="continue"/>
                  <w:vAlign w:val="center"/>
                </w:tcPr>
                <w:p w14:paraId="1E9A217A">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p>
              </w:tc>
              <w:tc>
                <w:tcPr>
                  <w:tcW w:w="811" w:type="dxa"/>
                  <w:shd w:val="clear" w:color="auto" w:fill="auto"/>
                  <w:vAlign w:val="center"/>
                </w:tcPr>
                <w:p w14:paraId="13918B5B">
                  <w:pPr>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color w:val="auto"/>
                      <w:kern w:val="2"/>
                      <w:sz w:val="21"/>
                      <w:szCs w:val="21"/>
                      <w:lang w:val="en-US" w:eastAsia="zh-CN" w:bidi="ar-SA"/>
                    </w:rPr>
                  </w:pPr>
                  <w:r>
                    <w:rPr>
                      <w:rFonts w:hint="default" w:ascii="Times New Roman" w:hAnsi="Times New Roman" w:eastAsia="宋体" w:cs="Times New Roman"/>
                      <w:color w:val="auto"/>
                      <w:szCs w:val="21"/>
                    </w:rPr>
                    <w:t>S</w:t>
                  </w:r>
                  <w:r>
                    <w:rPr>
                      <w:rFonts w:hint="eastAsia" w:ascii="Times New Roman" w:hAnsi="Times New Roman" w:eastAsia="宋体" w:cs="Times New Roman"/>
                      <w:color w:val="auto"/>
                      <w:szCs w:val="21"/>
                      <w:lang w:val="en-US" w:eastAsia="zh-CN"/>
                    </w:rPr>
                    <w:t>6</w:t>
                  </w:r>
                </w:p>
              </w:tc>
              <w:tc>
                <w:tcPr>
                  <w:tcW w:w="1632" w:type="dxa"/>
                  <w:vAlign w:val="center"/>
                </w:tcPr>
                <w:p w14:paraId="7EB399DA">
                  <w:pPr>
                    <w:keepNext w:val="0"/>
                    <w:keepLines w:val="0"/>
                    <w:suppressLineNumbers w:val="0"/>
                    <w:spacing w:before="0" w:beforeAutospacing="0" w:after="0" w:afterAutospacing="0"/>
                    <w:ind w:left="0" w:right="0"/>
                    <w:jc w:val="center"/>
                    <w:rPr>
                      <w:rFonts w:hint="eastAsia" w:ascii="Times New Roman" w:hAnsi="Times New Roman" w:eastAsia="宋体" w:cs="Times New Roman"/>
                      <w:color w:val="auto"/>
                      <w:szCs w:val="21"/>
                    </w:rPr>
                  </w:pPr>
                  <w:r>
                    <w:rPr>
                      <w:rFonts w:hint="default" w:ascii="Times New Roman" w:hAnsi="Times New Roman" w:eastAsia="宋体" w:cs="Times New Roman"/>
                      <w:color w:val="auto"/>
                      <w:kern w:val="0"/>
                      <w:szCs w:val="21"/>
                      <w:lang w:bidi="ar"/>
                    </w:rPr>
                    <w:t>废包装材料</w:t>
                  </w:r>
                </w:p>
              </w:tc>
              <w:tc>
                <w:tcPr>
                  <w:tcW w:w="2492" w:type="dxa"/>
                  <w:gridSpan w:val="2"/>
                  <w:vAlign w:val="center"/>
                </w:tcPr>
                <w:p w14:paraId="62EC4A64">
                  <w:pPr>
                    <w:keepNext w:val="0"/>
                    <w:keepLines w:val="0"/>
                    <w:suppressLineNumbers w:val="0"/>
                    <w:spacing w:before="0" w:beforeAutospacing="0" w:after="0" w:afterAutospacing="0"/>
                    <w:ind w:left="0" w:right="0"/>
                    <w:jc w:val="center"/>
                    <w:rPr>
                      <w:rFonts w:hint="eastAsia" w:ascii="Times New Roman" w:hAnsi="Times New Roman" w:eastAsia="宋体" w:cs="Times New Roman"/>
                      <w:color w:val="auto"/>
                      <w:szCs w:val="21"/>
                      <w:lang w:val="en-US" w:eastAsia="zh-CN"/>
                    </w:rPr>
                  </w:pPr>
                  <w:r>
                    <w:rPr>
                      <w:rFonts w:hint="eastAsia" w:ascii="Times New Roman" w:hAnsi="Times New Roman" w:eastAsia="宋体" w:cs="Times New Roman"/>
                      <w:color w:val="auto"/>
                      <w:szCs w:val="21"/>
                      <w:lang w:val="en-US" w:eastAsia="zh-CN"/>
                    </w:rPr>
                    <w:t>原辅材料使用后</w:t>
                  </w:r>
                </w:p>
              </w:tc>
              <w:tc>
                <w:tcPr>
                  <w:tcW w:w="2493" w:type="dxa"/>
                  <w:vAlign w:val="center"/>
                </w:tcPr>
                <w:p w14:paraId="14FBFBF2">
                  <w:pPr>
                    <w:keepNext w:val="0"/>
                    <w:keepLines w:val="0"/>
                    <w:suppressLineNumbers w:val="0"/>
                    <w:spacing w:before="0" w:beforeAutospacing="0" w:after="0" w:afterAutospacing="0"/>
                    <w:ind w:left="0" w:right="0"/>
                    <w:jc w:val="center"/>
                    <w:rPr>
                      <w:rFonts w:hint="eastAsia" w:ascii="Times New Roman" w:hAnsi="Times New Roman" w:eastAsia="宋体" w:cs="Times New Roman"/>
                      <w:color w:val="auto"/>
                      <w:szCs w:val="21"/>
                    </w:rPr>
                  </w:pPr>
                  <w:r>
                    <w:rPr>
                      <w:rFonts w:hint="eastAsia" w:ascii="Times New Roman" w:hAnsi="Times New Roman" w:eastAsia="宋体" w:cs="Times New Roman"/>
                      <w:color w:val="auto"/>
                      <w:szCs w:val="21"/>
                    </w:rPr>
                    <w:t>废包装材料</w:t>
                  </w:r>
                </w:p>
              </w:tc>
            </w:tr>
            <w:tr w14:paraId="0B13A2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757" w:type="dxa"/>
                  <w:vMerge w:val="continue"/>
                  <w:vAlign w:val="center"/>
                </w:tcPr>
                <w:p w14:paraId="3EE04266">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p>
              </w:tc>
              <w:tc>
                <w:tcPr>
                  <w:tcW w:w="811" w:type="dxa"/>
                  <w:shd w:val="clear" w:color="auto" w:fill="auto"/>
                  <w:vAlign w:val="center"/>
                </w:tcPr>
                <w:p w14:paraId="7BFE6B8D">
                  <w:pPr>
                    <w:keepNext w:val="0"/>
                    <w:keepLines w:val="0"/>
                    <w:suppressLineNumbers w:val="0"/>
                    <w:spacing w:before="0" w:beforeAutospacing="0" w:after="0" w:afterAutospacing="0"/>
                    <w:ind w:left="0" w:leftChars="0" w:right="0" w:rightChars="0"/>
                    <w:jc w:val="center"/>
                    <w:rPr>
                      <w:rFonts w:hint="eastAsia" w:ascii="Times New Roman" w:hAnsi="Times New Roman" w:eastAsia="宋体" w:cs="Times New Roman"/>
                      <w:color w:val="auto"/>
                      <w:kern w:val="2"/>
                      <w:sz w:val="21"/>
                      <w:szCs w:val="21"/>
                      <w:lang w:val="en-US" w:eastAsia="zh-CN" w:bidi="ar-SA"/>
                    </w:rPr>
                  </w:pPr>
                  <w:r>
                    <w:rPr>
                      <w:rFonts w:hint="default" w:ascii="Times New Roman" w:hAnsi="Times New Roman" w:eastAsia="宋体" w:cs="Times New Roman"/>
                      <w:color w:val="auto"/>
                      <w:szCs w:val="21"/>
                    </w:rPr>
                    <w:t>S</w:t>
                  </w:r>
                  <w:r>
                    <w:rPr>
                      <w:rFonts w:hint="eastAsia" w:ascii="Times New Roman" w:hAnsi="Times New Roman" w:eastAsia="宋体" w:cs="Times New Roman"/>
                      <w:color w:val="auto"/>
                      <w:szCs w:val="21"/>
                      <w:lang w:val="en-US" w:eastAsia="zh-CN"/>
                    </w:rPr>
                    <w:t>7</w:t>
                  </w:r>
                </w:p>
              </w:tc>
              <w:tc>
                <w:tcPr>
                  <w:tcW w:w="1632" w:type="dxa"/>
                  <w:vAlign w:val="center"/>
                </w:tcPr>
                <w:p w14:paraId="6A70FDA6">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r>
                    <w:rPr>
                      <w:rFonts w:hint="eastAsia" w:ascii="Times New Roman" w:hAnsi="Times New Roman" w:eastAsia="宋体" w:cs="Times New Roman"/>
                      <w:color w:val="auto"/>
                      <w:szCs w:val="21"/>
                    </w:rPr>
                    <w:t>破损的</w:t>
                  </w:r>
                  <w:r>
                    <w:rPr>
                      <w:rFonts w:hint="default" w:ascii="Times New Roman" w:hAnsi="Times New Roman" w:eastAsia="宋体" w:cs="Times New Roman"/>
                      <w:color w:val="auto"/>
                      <w:szCs w:val="21"/>
                    </w:rPr>
                    <w:t>废包装桶</w:t>
                  </w:r>
                </w:p>
              </w:tc>
              <w:tc>
                <w:tcPr>
                  <w:tcW w:w="2492" w:type="dxa"/>
                  <w:gridSpan w:val="2"/>
                  <w:vAlign w:val="center"/>
                </w:tcPr>
                <w:p w14:paraId="0BBFCC35">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r>
                    <w:rPr>
                      <w:rFonts w:hint="eastAsia" w:ascii="Times New Roman" w:hAnsi="Times New Roman" w:eastAsia="宋体" w:cs="Times New Roman"/>
                      <w:color w:val="auto"/>
                      <w:szCs w:val="21"/>
                      <w:lang w:val="en-US" w:eastAsia="zh-CN"/>
                    </w:rPr>
                    <w:t>原辅材料使用后</w:t>
                  </w:r>
                </w:p>
              </w:tc>
              <w:tc>
                <w:tcPr>
                  <w:tcW w:w="2493" w:type="dxa"/>
                  <w:vAlign w:val="center"/>
                </w:tcPr>
                <w:p w14:paraId="5809CD3E">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r>
                    <w:rPr>
                      <w:rFonts w:hint="eastAsia" w:ascii="Times New Roman" w:hAnsi="Times New Roman" w:eastAsia="宋体" w:cs="Times New Roman"/>
                      <w:color w:val="auto"/>
                      <w:szCs w:val="21"/>
                    </w:rPr>
                    <w:t>破损的</w:t>
                  </w:r>
                  <w:r>
                    <w:rPr>
                      <w:rFonts w:hint="default" w:ascii="Times New Roman" w:hAnsi="Times New Roman" w:eastAsia="宋体" w:cs="Times New Roman"/>
                      <w:color w:val="auto"/>
                      <w:szCs w:val="21"/>
                    </w:rPr>
                    <w:t>废包装桶</w:t>
                  </w:r>
                </w:p>
              </w:tc>
            </w:tr>
            <w:tr w14:paraId="3D3577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757" w:type="dxa"/>
                  <w:vMerge w:val="continue"/>
                  <w:vAlign w:val="center"/>
                </w:tcPr>
                <w:p w14:paraId="18004AAD">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p>
              </w:tc>
              <w:tc>
                <w:tcPr>
                  <w:tcW w:w="811" w:type="dxa"/>
                  <w:shd w:val="clear" w:color="auto" w:fill="auto"/>
                  <w:vAlign w:val="center"/>
                </w:tcPr>
                <w:p w14:paraId="5E3D8A1D">
                  <w:pPr>
                    <w:keepNext w:val="0"/>
                    <w:keepLines w:val="0"/>
                    <w:suppressLineNumbers w:val="0"/>
                    <w:spacing w:before="0" w:beforeAutospacing="0" w:after="0" w:afterAutospacing="0"/>
                    <w:ind w:left="0" w:leftChars="0" w:right="0" w:rightChars="0"/>
                    <w:jc w:val="center"/>
                    <w:rPr>
                      <w:rFonts w:hint="eastAsia" w:ascii="Times New Roman" w:hAnsi="Times New Roman" w:eastAsia="宋体" w:cs="Times New Roman"/>
                      <w:color w:val="auto"/>
                      <w:kern w:val="2"/>
                      <w:sz w:val="21"/>
                      <w:szCs w:val="21"/>
                      <w:lang w:val="en-US" w:eastAsia="zh-CN" w:bidi="ar-SA"/>
                    </w:rPr>
                  </w:pPr>
                  <w:r>
                    <w:rPr>
                      <w:rFonts w:hint="default" w:ascii="Times New Roman" w:hAnsi="Times New Roman" w:eastAsia="宋体" w:cs="Times New Roman"/>
                      <w:color w:val="auto"/>
                      <w:szCs w:val="21"/>
                    </w:rPr>
                    <w:t>S</w:t>
                  </w:r>
                  <w:r>
                    <w:rPr>
                      <w:rFonts w:hint="eastAsia" w:ascii="Times New Roman" w:hAnsi="Times New Roman" w:eastAsia="宋体" w:cs="Times New Roman"/>
                      <w:color w:val="auto"/>
                      <w:szCs w:val="21"/>
                      <w:lang w:val="en-US" w:eastAsia="zh-CN"/>
                    </w:rPr>
                    <w:t>8</w:t>
                  </w:r>
                </w:p>
              </w:tc>
              <w:tc>
                <w:tcPr>
                  <w:tcW w:w="1632" w:type="dxa"/>
                  <w:vAlign w:val="center"/>
                </w:tcPr>
                <w:p w14:paraId="79E86E5F">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rPr>
                    <w:t>废润滑油</w:t>
                  </w:r>
                </w:p>
              </w:tc>
              <w:tc>
                <w:tcPr>
                  <w:tcW w:w="2492" w:type="dxa"/>
                  <w:gridSpan w:val="2"/>
                  <w:vMerge w:val="restart"/>
                  <w:vAlign w:val="center"/>
                </w:tcPr>
                <w:p w14:paraId="64DF2BAB">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r>
                    <w:rPr>
                      <w:rFonts w:hint="eastAsia" w:ascii="Times New Roman" w:hAnsi="Times New Roman" w:eastAsia="宋体" w:cs="Times New Roman"/>
                      <w:color w:val="auto"/>
                      <w:szCs w:val="21"/>
                      <w:lang w:val="en-US" w:eastAsia="zh-CN"/>
                    </w:rPr>
                    <w:t>设备维护和保养</w:t>
                  </w:r>
                </w:p>
              </w:tc>
              <w:tc>
                <w:tcPr>
                  <w:tcW w:w="2493" w:type="dxa"/>
                  <w:vAlign w:val="center"/>
                </w:tcPr>
                <w:p w14:paraId="609B3462">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rPr>
                    <w:t>废润滑油</w:t>
                  </w:r>
                </w:p>
              </w:tc>
            </w:tr>
            <w:tr w14:paraId="366497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757" w:type="dxa"/>
                  <w:vMerge w:val="continue"/>
                  <w:vAlign w:val="center"/>
                </w:tcPr>
                <w:p w14:paraId="58FB9124">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p>
              </w:tc>
              <w:tc>
                <w:tcPr>
                  <w:tcW w:w="811" w:type="dxa"/>
                  <w:shd w:val="clear" w:color="auto" w:fill="auto"/>
                  <w:vAlign w:val="center"/>
                </w:tcPr>
                <w:p w14:paraId="45FBEACB">
                  <w:pPr>
                    <w:keepNext w:val="0"/>
                    <w:keepLines w:val="0"/>
                    <w:suppressLineNumbers w:val="0"/>
                    <w:spacing w:before="0" w:beforeAutospacing="0" w:after="0" w:afterAutospacing="0"/>
                    <w:ind w:left="0" w:leftChars="0" w:right="0" w:rightChars="0"/>
                    <w:jc w:val="center"/>
                    <w:rPr>
                      <w:rFonts w:hint="eastAsia" w:ascii="Times New Roman" w:hAnsi="Times New Roman" w:eastAsia="宋体" w:cs="Times New Roman"/>
                      <w:color w:val="auto"/>
                      <w:kern w:val="2"/>
                      <w:sz w:val="21"/>
                      <w:szCs w:val="21"/>
                      <w:lang w:val="en-US" w:eastAsia="zh-CN" w:bidi="ar-SA"/>
                    </w:rPr>
                  </w:pPr>
                  <w:r>
                    <w:rPr>
                      <w:rFonts w:hint="default" w:ascii="Times New Roman" w:hAnsi="Times New Roman" w:eastAsia="宋体" w:cs="Times New Roman"/>
                      <w:color w:val="auto"/>
                      <w:szCs w:val="21"/>
                    </w:rPr>
                    <w:t>S</w:t>
                  </w:r>
                  <w:r>
                    <w:rPr>
                      <w:rFonts w:hint="eastAsia" w:ascii="Times New Roman" w:hAnsi="Times New Roman" w:eastAsia="宋体" w:cs="Times New Roman"/>
                      <w:color w:val="auto"/>
                      <w:szCs w:val="21"/>
                      <w:lang w:val="en-US" w:eastAsia="zh-CN"/>
                    </w:rPr>
                    <w:t>9</w:t>
                  </w:r>
                </w:p>
              </w:tc>
              <w:tc>
                <w:tcPr>
                  <w:tcW w:w="1632" w:type="dxa"/>
                  <w:vAlign w:val="center"/>
                </w:tcPr>
                <w:p w14:paraId="6C6B49FB">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rPr>
                    <w:t>废润滑油桶</w:t>
                  </w:r>
                </w:p>
              </w:tc>
              <w:tc>
                <w:tcPr>
                  <w:tcW w:w="2492" w:type="dxa"/>
                  <w:gridSpan w:val="2"/>
                  <w:vMerge w:val="continue"/>
                  <w:vAlign w:val="center"/>
                </w:tcPr>
                <w:p w14:paraId="6B021306">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p>
              </w:tc>
              <w:tc>
                <w:tcPr>
                  <w:tcW w:w="2493" w:type="dxa"/>
                  <w:vAlign w:val="center"/>
                </w:tcPr>
                <w:p w14:paraId="49A0BC4C">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rPr>
                    <w:t>废润滑油桶</w:t>
                  </w:r>
                </w:p>
              </w:tc>
            </w:tr>
            <w:tr w14:paraId="07A102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757" w:type="dxa"/>
                  <w:vMerge w:val="continue"/>
                  <w:vAlign w:val="center"/>
                </w:tcPr>
                <w:p w14:paraId="4C21B99E">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p>
              </w:tc>
              <w:tc>
                <w:tcPr>
                  <w:tcW w:w="811" w:type="dxa"/>
                  <w:shd w:val="clear" w:color="auto" w:fill="auto"/>
                  <w:vAlign w:val="center"/>
                </w:tcPr>
                <w:p w14:paraId="44DACA2D">
                  <w:pPr>
                    <w:keepNext w:val="0"/>
                    <w:keepLines w:val="0"/>
                    <w:suppressLineNumbers w:val="0"/>
                    <w:spacing w:before="0" w:beforeAutospacing="0" w:after="0" w:afterAutospacing="0"/>
                    <w:ind w:left="0" w:leftChars="0" w:right="0" w:rightChars="0"/>
                    <w:jc w:val="center"/>
                    <w:rPr>
                      <w:rFonts w:hint="eastAsia" w:ascii="Times New Roman" w:hAnsi="Times New Roman" w:eastAsia="宋体" w:cs="Times New Roman"/>
                      <w:color w:val="auto"/>
                      <w:kern w:val="2"/>
                      <w:sz w:val="21"/>
                      <w:szCs w:val="21"/>
                      <w:lang w:val="en-US" w:eastAsia="zh-CN" w:bidi="ar-SA"/>
                    </w:rPr>
                  </w:pPr>
                  <w:r>
                    <w:rPr>
                      <w:rFonts w:hint="default" w:ascii="Times New Roman" w:hAnsi="Times New Roman" w:eastAsia="宋体" w:cs="Times New Roman"/>
                      <w:color w:val="auto"/>
                      <w:szCs w:val="21"/>
                    </w:rPr>
                    <w:t>S</w:t>
                  </w:r>
                  <w:r>
                    <w:rPr>
                      <w:rFonts w:hint="eastAsia" w:ascii="Times New Roman" w:hAnsi="Times New Roman" w:eastAsia="宋体" w:cs="Times New Roman"/>
                      <w:color w:val="auto"/>
                      <w:szCs w:val="21"/>
                      <w:lang w:val="en-US" w:eastAsia="zh-CN"/>
                    </w:rPr>
                    <w:t>10</w:t>
                  </w:r>
                </w:p>
              </w:tc>
              <w:tc>
                <w:tcPr>
                  <w:tcW w:w="1632" w:type="dxa"/>
                  <w:vAlign w:val="center"/>
                </w:tcPr>
                <w:p w14:paraId="188AE9C8">
                  <w:pPr>
                    <w:keepNext w:val="0"/>
                    <w:keepLines w:val="0"/>
                    <w:widowControl/>
                    <w:suppressLineNumbers w:val="0"/>
                    <w:spacing w:before="0" w:beforeAutospacing="0" w:after="0" w:afterAutospacing="0"/>
                    <w:ind w:left="0" w:right="0"/>
                    <w:jc w:val="center"/>
                    <w:rPr>
                      <w:rFonts w:hint="default" w:ascii="Times New Roman" w:hAnsi="Times New Roman" w:eastAsia="宋体" w:cs="Times New Roman"/>
                      <w:color w:val="auto"/>
                      <w:szCs w:val="21"/>
                    </w:rPr>
                  </w:pPr>
                  <w:r>
                    <w:rPr>
                      <w:rFonts w:hint="default" w:ascii="Times New Roman" w:hAnsi="Times New Roman" w:eastAsia="宋体" w:cs="Times New Roman"/>
                      <w:color w:val="auto"/>
                      <w:kern w:val="0"/>
                      <w:szCs w:val="21"/>
                      <w:lang w:bidi="ar"/>
                    </w:rPr>
                    <w:t>废弃的含油抹布及劳保用品</w:t>
                  </w:r>
                </w:p>
              </w:tc>
              <w:tc>
                <w:tcPr>
                  <w:tcW w:w="2492" w:type="dxa"/>
                  <w:gridSpan w:val="2"/>
                  <w:vAlign w:val="center"/>
                </w:tcPr>
                <w:p w14:paraId="2437516F">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rPr>
                    <w:t>职工工作和设备维修</w:t>
                  </w:r>
                </w:p>
              </w:tc>
              <w:tc>
                <w:tcPr>
                  <w:tcW w:w="2493" w:type="dxa"/>
                  <w:vAlign w:val="center"/>
                </w:tcPr>
                <w:p w14:paraId="793BD681">
                  <w:pPr>
                    <w:keepNext w:val="0"/>
                    <w:keepLines w:val="0"/>
                    <w:widowControl/>
                    <w:suppressLineNumbers w:val="0"/>
                    <w:spacing w:before="0" w:beforeAutospacing="0" w:after="0" w:afterAutospacing="0"/>
                    <w:ind w:left="0" w:right="0"/>
                    <w:jc w:val="center"/>
                    <w:rPr>
                      <w:rFonts w:hint="default" w:ascii="Times New Roman" w:hAnsi="Times New Roman" w:eastAsia="宋体" w:cs="Times New Roman"/>
                      <w:color w:val="auto"/>
                      <w:szCs w:val="21"/>
                    </w:rPr>
                  </w:pPr>
                  <w:r>
                    <w:rPr>
                      <w:rFonts w:hint="default" w:ascii="Times New Roman" w:hAnsi="Times New Roman" w:eastAsia="宋体" w:cs="Times New Roman"/>
                      <w:color w:val="auto"/>
                      <w:kern w:val="0"/>
                      <w:szCs w:val="21"/>
                      <w:lang w:bidi="ar"/>
                    </w:rPr>
                    <w:t>废弃的含油抹布及劳保用品</w:t>
                  </w:r>
                </w:p>
              </w:tc>
            </w:tr>
            <w:tr w14:paraId="4C3BBE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757" w:type="dxa"/>
                  <w:vMerge w:val="continue"/>
                  <w:vAlign w:val="center"/>
                </w:tcPr>
                <w:p w14:paraId="047D9E2E">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p>
              </w:tc>
              <w:tc>
                <w:tcPr>
                  <w:tcW w:w="811" w:type="dxa"/>
                  <w:shd w:val="clear" w:color="auto" w:fill="auto"/>
                  <w:vAlign w:val="center"/>
                </w:tcPr>
                <w:p w14:paraId="72E876CD">
                  <w:pPr>
                    <w:keepNext w:val="0"/>
                    <w:keepLines w:val="0"/>
                    <w:suppressLineNumbers w:val="0"/>
                    <w:spacing w:before="0" w:beforeAutospacing="0" w:after="0" w:afterAutospacing="0"/>
                    <w:ind w:left="0" w:leftChars="0" w:right="0" w:rightChars="0"/>
                    <w:jc w:val="center"/>
                    <w:rPr>
                      <w:rFonts w:hint="eastAsia" w:ascii="Times New Roman" w:hAnsi="Times New Roman" w:eastAsia="宋体" w:cs="Times New Roman"/>
                      <w:color w:val="auto"/>
                      <w:kern w:val="2"/>
                      <w:sz w:val="21"/>
                      <w:szCs w:val="21"/>
                      <w:lang w:val="en-US" w:eastAsia="zh-CN" w:bidi="ar-SA"/>
                    </w:rPr>
                  </w:pPr>
                  <w:r>
                    <w:rPr>
                      <w:rFonts w:hint="eastAsia" w:ascii="Times New Roman" w:hAnsi="Times New Roman" w:eastAsia="宋体" w:cs="Times New Roman"/>
                      <w:color w:val="auto"/>
                      <w:szCs w:val="21"/>
                      <w:lang w:val="en-US" w:eastAsia="zh-CN"/>
                    </w:rPr>
                    <w:t>S11</w:t>
                  </w:r>
                </w:p>
              </w:tc>
              <w:tc>
                <w:tcPr>
                  <w:tcW w:w="1632" w:type="dxa"/>
                  <w:vAlign w:val="center"/>
                </w:tcPr>
                <w:p w14:paraId="5B227EFF">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rPr>
                    <w:t>收集的粉尘</w:t>
                  </w:r>
                </w:p>
              </w:tc>
              <w:tc>
                <w:tcPr>
                  <w:tcW w:w="2492" w:type="dxa"/>
                  <w:gridSpan w:val="2"/>
                  <w:vMerge w:val="restart"/>
                  <w:vAlign w:val="center"/>
                </w:tcPr>
                <w:p w14:paraId="556EE576">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rPr>
                    <w:t>废气处理</w:t>
                  </w:r>
                </w:p>
              </w:tc>
              <w:tc>
                <w:tcPr>
                  <w:tcW w:w="2493" w:type="dxa"/>
                  <w:vAlign w:val="center"/>
                </w:tcPr>
                <w:p w14:paraId="1A65BE21">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rPr>
                    <w:t>收集的粉尘</w:t>
                  </w:r>
                </w:p>
              </w:tc>
            </w:tr>
            <w:tr w14:paraId="3FC6A7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757" w:type="dxa"/>
                  <w:vMerge w:val="continue"/>
                  <w:vAlign w:val="center"/>
                </w:tcPr>
                <w:p w14:paraId="17C26DBA">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p>
              </w:tc>
              <w:tc>
                <w:tcPr>
                  <w:tcW w:w="811" w:type="dxa"/>
                  <w:shd w:val="clear" w:color="auto" w:fill="auto"/>
                  <w:vAlign w:val="center"/>
                </w:tcPr>
                <w:p w14:paraId="7F169747">
                  <w:pPr>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color w:val="auto"/>
                      <w:kern w:val="2"/>
                      <w:sz w:val="21"/>
                      <w:szCs w:val="21"/>
                      <w:lang w:val="en-US" w:eastAsia="zh-CN" w:bidi="ar-SA"/>
                    </w:rPr>
                  </w:pPr>
                  <w:r>
                    <w:rPr>
                      <w:rFonts w:hint="default" w:ascii="Times New Roman" w:hAnsi="Times New Roman" w:eastAsia="宋体" w:cs="Times New Roman"/>
                      <w:color w:val="auto"/>
                      <w:szCs w:val="21"/>
                    </w:rPr>
                    <w:t>S1</w:t>
                  </w:r>
                  <w:r>
                    <w:rPr>
                      <w:rFonts w:hint="eastAsia" w:ascii="Times New Roman" w:hAnsi="Times New Roman" w:eastAsia="宋体" w:cs="Times New Roman"/>
                      <w:color w:val="auto"/>
                      <w:szCs w:val="21"/>
                      <w:lang w:val="en-US" w:eastAsia="zh-CN"/>
                    </w:rPr>
                    <w:t>2</w:t>
                  </w:r>
                </w:p>
              </w:tc>
              <w:tc>
                <w:tcPr>
                  <w:tcW w:w="1632" w:type="dxa"/>
                  <w:vAlign w:val="center"/>
                </w:tcPr>
                <w:p w14:paraId="78F7498E">
                  <w:pPr>
                    <w:keepNext w:val="0"/>
                    <w:keepLines w:val="0"/>
                    <w:suppressLineNumbers w:val="0"/>
                    <w:spacing w:before="0" w:beforeAutospacing="0" w:after="0" w:afterAutospacing="0"/>
                    <w:ind w:left="0" w:right="0"/>
                    <w:jc w:val="center"/>
                    <w:rPr>
                      <w:rFonts w:hint="eastAsia" w:ascii="Times New Roman" w:hAnsi="Times New Roman" w:eastAsia="宋体" w:cs="Times New Roman"/>
                      <w:color w:val="auto"/>
                      <w:szCs w:val="21"/>
                      <w:lang w:val="en-US" w:eastAsia="zh-CN"/>
                    </w:rPr>
                  </w:pPr>
                  <w:r>
                    <w:rPr>
                      <w:rFonts w:hint="eastAsia" w:ascii="Times New Roman" w:hAnsi="Times New Roman" w:eastAsia="宋体" w:cs="Times New Roman"/>
                      <w:color w:val="auto"/>
                      <w:szCs w:val="21"/>
                      <w:lang w:val="en-US" w:eastAsia="zh-CN"/>
                    </w:rPr>
                    <w:t>废布袋</w:t>
                  </w:r>
                </w:p>
              </w:tc>
              <w:tc>
                <w:tcPr>
                  <w:tcW w:w="2492" w:type="dxa"/>
                  <w:gridSpan w:val="2"/>
                  <w:vMerge w:val="continue"/>
                  <w:vAlign w:val="center"/>
                </w:tcPr>
                <w:p w14:paraId="66065DE6">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p>
              </w:tc>
              <w:tc>
                <w:tcPr>
                  <w:tcW w:w="2493" w:type="dxa"/>
                  <w:vAlign w:val="center"/>
                </w:tcPr>
                <w:p w14:paraId="0961FDD3">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r>
                    <w:rPr>
                      <w:rFonts w:hint="eastAsia" w:ascii="Times New Roman" w:hAnsi="Times New Roman" w:eastAsia="宋体" w:cs="Times New Roman"/>
                      <w:color w:val="auto"/>
                      <w:szCs w:val="21"/>
                      <w:lang w:val="en-US" w:eastAsia="zh-CN"/>
                    </w:rPr>
                    <w:t>废布袋</w:t>
                  </w:r>
                </w:p>
              </w:tc>
            </w:tr>
            <w:tr w14:paraId="0FFA66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757" w:type="dxa"/>
                  <w:vMerge w:val="continue"/>
                  <w:vAlign w:val="center"/>
                </w:tcPr>
                <w:p w14:paraId="0D557F59">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p>
              </w:tc>
              <w:tc>
                <w:tcPr>
                  <w:tcW w:w="811" w:type="dxa"/>
                  <w:shd w:val="clear" w:color="auto" w:fill="auto"/>
                  <w:vAlign w:val="center"/>
                </w:tcPr>
                <w:p w14:paraId="1B60380D">
                  <w:pPr>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color w:val="0000E1"/>
                      <w:kern w:val="2"/>
                      <w:sz w:val="21"/>
                      <w:szCs w:val="21"/>
                      <w:lang w:val="en-US" w:eastAsia="zh-CN" w:bidi="ar-SA"/>
                    </w:rPr>
                  </w:pPr>
                  <w:r>
                    <w:rPr>
                      <w:rFonts w:hint="default" w:ascii="Times New Roman" w:hAnsi="Times New Roman" w:eastAsia="宋体" w:cs="Times New Roman"/>
                      <w:color w:val="0000E1"/>
                      <w:szCs w:val="21"/>
                    </w:rPr>
                    <w:t>S1</w:t>
                  </w:r>
                  <w:r>
                    <w:rPr>
                      <w:rFonts w:hint="eastAsia" w:ascii="Times New Roman" w:hAnsi="Times New Roman" w:eastAsia="宋体" w:cs="Times New Roman"/>
                      <w:color w:val="0000E1"/>
                      <w:szCs w:val="21"/>
                      <w:lang w:val="en-US" w:eastAsia="zh-CN"/>
                    </w:rPr>
                    <w:t>3</w:t>
                  </w:r>
                </w:p>
              </w:tc>
              <w:tc>
                <w:tcPr>
                  <w:tcW w:w="1632" w:type="dxa"/>
                  <w:vAlign w:val="center"/>
                </w:tcPr>
                <w:p w14:paraId="29263E54">
                  <w:pPr>
                    <w:keepNext w:val="0"/>
                    <w:keepLines w:val="0"/>
                    <w:suppressLineNumbers w:val="0"/>
                    <w:spacing w:before="0" w:beforeAutospacing="0" w:after="0" w:afterAutospacing="0"/>
                    <w:ind w:left="0" w:right="0"/>
                    <w:jc w:val="center"/>
                    <w:rPr>
                      <w:rFonts w:hint="eastAsia" w:ascii="Times New Roman" w:hAnsi="Times New Roman" w:eastAsia="宋体" w:cs="Times New Roman"/>
                      <w:color w:val="0000E1"/>
                      <w:szCs w:val="21"/>
                      <w:lang w:val="en-US" w:eastAsia="zh-CN"/>
                    </w:rPr>
                  </w:pPr>
                  <w:r>
                    <w:rPr>
                      <w:rFonts w:hint="eastAsia" w:ascii="Times New Roman" w:hAnsi="Times New Roman" w:eastAsia="宋体" w:cs="Times New Roman"/>
                      <w:color w:val="0000E1"/>
                      <w:szCs w:val="21"/>
                      <w:lang w:val="en-US" w:eastAsia="zh-CN"/>
                    </w:rPr>
                    <w:t>废滤筒</w:t>
                  </w:r>
                </w:p>
              </w:tc>
              <w:tc>
                <w:tcPr>
                  <w:tcW w:w="2492" w:type="dxa"/>
                  <w:gridSpan w:val="2"/>
                  <w:vMerge w:val="continue"/>
                  <w:vAlign w:val="center"/>
                </w:tcPr>
                <w:p w14:paraId="567524CB">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00B050"/>
                      <w:szCs w:val="21"/>
                    </w:rPr>
                  </w:pPr>
                </w:p>
              </w:tc>
              <w:tc>
                <w:tcPr>
                  <w:tcW w:w="2493" w:type="dxa"/>
                  <w:vAlign w:val="center"/>
                </w:tcPr>
                <w:p w14:paraId="284035B7">
                  <w:pPr>
                    <w:keepNext w:val="0"/>
                    <w:keepLines w:val="0"/>
                    <w:suppressLineNumbers w:val="0"/>
                    <w:spacing w:before="0" w:beforeAutospacing="0" w:after="0" w:afterAutospacing="0"/>
                    <w:ind w:left="0" w:right="0"/>
                    <w:jc w:val="center"/>
                    <w:rPr>
                      <w:rFonts w:hint="eastAsia" w:ascii="Times New Roman" w:hAnsi="Times New Roman" w:eastAsia="宋体" w:cs="Times New Roman"/>
                      <w:color w:val="00B050"/>
                      <w:szCs w:val="21"/>
                      <w:lang w:val="en-US" w:eastAsia="zh-CN"/>
                    </w:rPr>
                  </w:pPr>
                  <w:r>
                    <w:rPr>
                      <w:rFonts w:hint="eastAsia" w:ascii="Times New Roman" w:hAnsi="Times New Roman" w:eastAsia="宋体" w:cs="Times New Roman"/>
                      <w:color w:val="0000E1"/>
                      <w:szCs w:val="21"/>
                      <w:lang w:val="en-US" w:eastAsia="zh-CN"/>
                    </w:rPr>
                    <w:t>废滤筒</w:t>
                  </w:r>
                </w:p>
              </w:tc>
            </w:tr>
            <w:tr w14:paraId="0CB41E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757" w:type="dxa"/>
                  <w:vMerge w:val="continue"/>
                  <w:vAlign w:val="center"/>
                </w:tcPr>
                <w:p w14:paraId="7924DE0E">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p>
              </w:tc>
              <w:tc>
                <w:tcPr>
                  <w:tcW w:w="811" w:type="dxa"/>
                  <w:shd w:val="clear" w:color="auto" w:fill="auto"/>
                  <w:vAlign w:val="center"/>
                </w:tcPr>
                <w:p w14:paraId="2204C01A">
                  <w:pPr>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color w:val="auto"/>
                      <w:kern w:val="2"/>
                      <w:sz w:val="21"/>
                      <w:szCs w:val="21"/>
                      <w:lang w:val="en-US" w:eastAsia="zh-CN" w:bidi="ar-SA"/>
                    </w:rPr>
                  </w:pPr>
                  <w:r>
                    <w:rPr>
                      <w:rFonts w:hint="default" w:ascii="Times New Roman" w:hAnsi="Times New Roman" w:eastAsia="宋体" w:cs="Times New Roman"/>
                      <w:color w:val="auto"/>
                      <w:szCs w:val="21"/>
                    </w:rPr>
                    <w:t>S1</w:t>
                  </w:r>
                  <w:r>
                    <w:rPr>
                      <w:rFonts w:hint="eastAsia" w:ascii="Times New Roman" w:hAnsi="Times New Roman" w:eastAsia="宋体" w:cs="Times New Roman"/>
                      <w:color w:val="auto"/>
                      <w:szCs w:val="21"/>
                      <w:lang w:val="en-US" w:eastAsia="zh-CN"/>
                    </w:rPr>
                    <w:t>4</w:t>
                  </w:r>
                </w:p>
              </w:tc>
              <w:tc>
                <w:tcPr>
                  <w:tcW w:w="1632" w:type="dxa"/>
                  <w:vAlign w:val="center"/>
                </w:tcPr>
                <w:p w14:paraId="2B4A613D">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rPr>
                    <w:t>喷淋废水</w:t>
                  </w:r>
                </w:p>
              </w:tc>
              <w:tc>
                <w:tcPr>
                  <w:tcW w:w="2492" w:type="dxa"/>
                  <w:gridSpan w:val="2"/>
                  <w:vMerge w:val="continue"/>
                  <w:vAlign w:val="center"/>
                </w:tcPr>
                <w:p w14:paraId="5F81390D">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p>
              </w:tc>
              <w:tc>
                <w:tcPr>
                  <w:tcW w:w="2493" w:type="dxa"/>
                  <w:vAlign w:val="center"/>
                </w:tcPr>
                <w:p w14:paraId="7B768408">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rPr>
                    <w:t>喷淋废水</w:t>
                  </w:r>
                </w:p>
              </w:tc>
            </w:tr>
            <w:tr w14:paraId="2D49EA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757" w:type="dxa"/>
                  <w:vMerge w:val="continue"/>
                  <w:vAlign w:val="center"/>
                </w:tcPr>
                <w:p w14:paraId="7558F945">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p>
              </w:tc>
              <w:tc>
                <w:tcPr>
                  <w:tcW w:w="811" w:type="dxa"/>
                  <w:shd w:val="clear" w:color="auto" w:fill="auto"/>
                  <w:vAlign w:val="center"/>
                </w:tcPr>
                <w:p w14:paraId="7DE34967">
                  <w:pPr>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color w:val="auto"/>
                      <w:kern w:val="2"/>
                      <w:sz w:val="21"/>
                      <w:szCs w:val="21"/>
                      <w:lang w:val="en-US" w:eastAsia="zh-CN" w:bidi="ar-SA"/>
                    </w:rPr>
                  </w:pPr>
                  <w:r>
                    <w:rPr>
                      <w:rFonts w:hint="default" w:ascii="Times New Roman" w:hAnsi="Times New Roman" w:eastAsia="宋体" w:cs="Times New Roman"/>
                      <w:color w:val="auto"/>
                      <w:szCs w:val="21"/>
                    </w:rPr>
                    <w:t>S1</w:t>
                  </w:r>
                  <w:r>
                    <w:rPr>
                      <w:rFonts w:hint="eastAsia" w:ascii="Times New Roman" w:hAnsi="Times New Roman" w:eastAsia="宋体" w:cs="Times New Roman"/>
                      <w:color w:val="auto"/>
                      <w:szCs w:val="21"/>
                      <w:lang w:val="en-US" w:eastAsia="zh-CN"/>
                    </w:rPr>
                    <w:t>5</w:t>
                  </w:r>
                </w:p>
              </w:tc>
              <w:tc>
                <w:tcPr>
                  <w:tcW w:w="1632" w:type="dxa"/>
                  <w:vAlign w:val="center"/>
                </w:tcPr>
                <w:p w14:paraId="0EB58DAF">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lang w:val="en-US" w:eastAsia="zh-CN"/>
                    </w:rPr>
                    <w:t>废过滤棉</w:t>
                  </w:r>
                </w:p>
              </w:tc>
              <w:tc>
                <w:tcPr>
                  <w:tcW w:w="2492" w:type="dxa"/>
                  <w:gridSpan w:val="2"/>
                  <w:vMerge w:val="continue"/>
                  <w:vAlign w:val="center"/>
                </w:tcPr>
                <w:p w14:paraId="58F69765">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p>
              </w:tc>
              <w:tc>
                <w:tcPr>
                  <w:tcW w:w="2493" w:type="dxa"/>
                  <w:vAlign w:val="center"/>
                </w:tcPr>
                <w:p w14:paraId="12701165">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lang w:val="en-US" w:eastAsia="zh-CN"/>
                    </w:rPr>
                    <w:t>废过滤棉</w:t>
                  </w:r>
                </w:p>
              </w:tc>
            </w:tr>
            <w:tr w14:paraId="60A86B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757" w:type="dxa"/>
                  <w:vMerge w:val="continue"/>
                  <w:vAlign w:val="center"/>
                </w:tcPr>
                <w:p w14:paraId="6B940A0E">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p>
              </w:tc>
              <w:tc>
                <w:tcPr>
                  <w:tcW w:w="811" w:type="dxa"/>
                  <w:shd w:val="clear" w:color="auto" w:fill="auto"/>
                  <w:vAlign w:val="center"/>
                </w:tcPr>
                <w:p w14:paraId="4B3F79F9">
                  <w:pPr>
                    <w:keepNext w:val="0"/>
                    <w:keepLines w:val="0"/>
                    <w:suppressLineNumbers w:val="0"/>
                    <w:spacing w:before="0" w:beforeAutospacing="0" w:after="0" w:afterAutospacing="0"/>
                    <w:ind w:left="0" w:leftChars="0" w:right="0" w:rightChars="0"/>
                    <w:jc w:val="center"/>
                    <w:rPr>
                      <w:rFonts w:hint="eastAsia" w:ascii="Times New Roman" w:hAnsi="Times New Roman" w:eastAsia="宋体" w:cs="Times New Roman"/>
                      <w:color w:val="auto"/>
                      <w:kern w:val="2"/>
                      <w:sz w:val="21"/>
                      <w:szCs w:val="21"/>
                      <w:lang w:val="en-US" w:eastAsia="zh-CN" w:bidi="ar-SA"/>
                    </w:rPr>
                  </w:pPr>
                  <w:r>
                    <w:rPr>
                      <w:rFonts w:hint="default" w:ascii="Times New Roman" w:hAnsi="Times New Roman" w:eastAsia="宋体" w:cs="Times New Roman"/>
                      <w:color w:val="auto"/>
                      <w:szCs w:val="21"/>
                    </w:rPr>
                    <w:t>S1</w:t>
                  </w:r>
                  <w:r>
                    <w:rPr>
                      <w:rFonts w:hint="eastAsia" w:ascii="Times New Roman" w:hAnsi="Times New Roman" w:eastAsia="宋体" w:cs="Times New Roman"/>
                      <w:color w:val="auto"/>
                      <w:szCs w:val="21"/>
                      <w:lang w:val="en-US" w:eastAsia="zh-CN"/>
                    </w:rPr>
                    <w:t>6</w:t>
                  </w:r>
                </w:p>
              </w:tc>
              <w:tc>
                <w:tcPr>
                  <w:tcW w:w="1632" w:type="dxa"/>
                  <w:vAlign w:val="center"/>
                </w:tcPr>
                <w:p w14:paraId="5D37327A">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rPr>
                    <w:t>废活性炭</w:t>
                  </w:r>
                </w:p>
              </w:tc>
              <w:tc>
                <w:tcPr>
                  <w:tcW w:w="2492" w:type="dxa"/>
                  <w:gridSpan w:val="2"/>
                  <w:vMerge w:val="continue"/>
                  <w:vAlign w:val="center"/>
                </w:tcPr>
                <w:p w14:paraId="2998572D">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p>
              </w:tc>
              <w:tc>
                <w:tcPr>
                  <w:tcW w:w="2493" w:type="dxa"/>
                  <w:vAlign w:val="center"/>
                </w:tcPr>
                <w:p w14:paraId="54551F8E">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rPr>
                    <w:t>废活性炭</w:t>
                  </w:r>
                </w:p>
              </w:tc>
            </w:tr>
            <w:tr w14:paraId="05AE36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757" w:type="dxa"/>
                  <w:vMerge w:val="continue"/>
                  <w:vAlign w:val="center"/>
                </w:tcPr>
                <w:p w14:paraId="3843CE35">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p>
              </w:tc>
              <w:tc>
                <w:tcPr>
                  <w:tcW w:w="811" w:type="dxa"/>
                  <w:vAlign w:val="center"/>
                </w:tcPr>
                <w:p w14:paraId="1C4AA66A">
                  <w:pPr>
                    <w:keepNext w:val="0"/>
                    <w:keepLines w:val="0"/>
                    <w:suppressLineNumbers w:val="0"/>
                    <w:spacing w:before="0" w:beforeAutospacing="0" w:after="0" w:afterAutospacing="0"/>
                    <w:ind w:left="0" w:right="0"/>
                    <w:jc w:val="center"/>
                    <w:rPr>
                      <w:rFonts w:hint="eastAsia" w:ascii="Times New Roman" w:hAnsi="Times New Roman" w:eastAsia="宋体" w:cs="Times New Roman"/>
                      <w:color w:val="auto"/>
                      <w:szCs w:val="21"/>
                      <w:lang w:val="en-US" w:eastAsia="zh-CN"/>
                    </w:rPr>
                  </w:pPr>
                  <w:r>
                    <w:rPr>
                      <w:rFonts w:hint="default" w:ascii="Times New Roman" w:hAnsi="Times New Roman" w:eastAsia="宋体" w:cs="Times New Roman"/>
                      <w:color w:val="auto"/>
                      <w:szCs w:val="21"/>
                    </w:rPr>
                    <w:t>S1</w:t>
                  </w:r>
                  <w:r>
                    <w:rPr>
                      <w:rFonts w:hint="eastAsia" w:ascii="Times New Roman" w:hAnsi="Times New Roman" w:eastAsia="宋体" w:cs="Times New Roman"/>
                      <w:color w:val="auto"/>
                      <w:szCs w:val="21"/>
                      <w:lang w:val="en-US" w:eastAsia="zh-CN"/>
                    </w:rPr>
                    <w:t>7</w:t>
                  </w:r>
                </w:p>
              </w:tc>
              <w:tc>
                <w:tcPr>
                  <w:tcW w:w="1632" w:type="dxa"/>
                  <w:vAlign w:val="center"/>
                </w:tcPr>
                <w:p w14:paraId="76DEFE35">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rPr>
                    <w:t>生活垃圾</w:t>
                  </w:r>
                </w:p>
              </w:tc>
              <w:tc>
                <w:tcPr>
                  <w:tcW w:w="2492" w:type="dxa"/>
                  <w:gridSpan w:val="2"/>
                  <w:vAlign w:val="center"/>
                </w:tcPr>
                <w:p w14:paraId="63CB1EF4">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rPr>
                    <w:t>职工生活</w:t>
                  </w:r>
                </w:p>
              </w:tc>
              <w:tc>
                <w:tcPr>
                  <w:tcW w:w="2493" w:type="dxa"/>
                  <w:vAlign w:val="center"/>
                </w:tcPr>
                <w:p w14:paraId="026F5F78">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rPr>
                    <w:t>生活垃圾</w:t>
                  </w:r>
                </w:p>
              </w:tc>
            </w:tr>
            <w:tr w14:paraId="0DB9AC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757" w:type="dxa"/>
                  <w:tcBorders>
                    <w:bottom w:val="single" w:color="auto" w:sz="4" w:space="0"/>
                  </w:tcBorders>
                  <w:vAlign w:val="center"/>
                </w:tcPr>
                <w:p w14:paraId="076D4696">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rPr>
                    <w:t>噪声</w:t>
                  </w:r>
                </w:p>
              </w:tc>
              <w:tc>
                <w:tcPr>
                  <w:tcW w:w="811" w:type="dxa"/>
                  <w:tcBorders>
                    <w:bottom w:val="single" w:color="auto" w:sz="4" w:space="0"/>
                  </w:tcBorders>
                  <w:vAlign w:val="center"/>
                </w:tcPr>
                <w:p w14:paraId="0639A58E">
                  <w:pPr>
                    <w:keepNext w:val="0"/>
                    <w:keepLines w:val="0"/>
                    <w:suppressLineNumbers w:val="0"/>
                    <w:spacing w:before="0" w:beforeAutospacing="0" w:after="0" w:afterAutospacing="0"/>
                    <w:ind w:left="0" w:right="0"/>
                    <w:jc w:val="center"/>
                    <w:rPr>
                      <w:rFonts w:hint="eastAsia" w:ascii="Times New Roman" w:hAnsi="Times New Roman" w:eastAsia="宋体" w:cs="Times New Roman"/>
                      <w:color w:val="auto"/>
                      <w:szCs w:val="21"/>
                      <w:lang w:val="en-US" w:eastAsia="zh-CN"/>
                    </w:rPr>
                  </w:pPr>
                  <w:r>
                    <w:rPr>
                      <w:rFonts w:hint="default" w:ascii="Times New Roman" w:hAnsi="Times New Roman" w:eastAsia="宋体" w:cs="Times New Roman"/>
                      <w:color w:val="auto"/>
                      <w:szCs w:val="21"/>
                    </w:rPr>
                    <w:t>N</w:t>
                  </w:r>
                  <w:r>
                    <w:rPr>
                      <w:rFonts w:hint="eastAsia" w:ascii="Times New Roman" w:hAnsi="Times New Roman" w:eastAsia="宋体" w:cs="Times New Roman"/>
                      <w:color w:val="auto"/>
                      <w:szCs w:val="21"/>
                      <w:lang w:val="en-US" w:eastAsia="zh-CN"/>
                    </w:rPr>
                    <w:t>1</w:t>
                  </w:r>
                </w:p>
              </w:tc>
              <w:tc>
                <w:tcPr>
                  <w:tcW w:w="1632" w:type="dxa"/>
                  <w:tcBorders>
                    <w:bottom w:val="single" w:color="auto" w:sz="4" w:space="0"/>
                  </w:tcBorders>
                  <w:vAlign w:val="center"/>
                </w:tcPr>
                <w:p w14:paraId="6C90DE3A">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rPr>
                    <w:t>噪声</w:t>
                  </w:r>
                </w:p>
              </w:tc>
              <w:tc>
                <w:tcPr>
                  <w:tcW w:w="2492" w:type="dxa"/>
                  <w:gridSpan w:val="2"/>
                  <w:tcBorders>
                    <w:bottom w:val="single" w:color="auto" w:sz="4" w:space="0"/>
                  </w:tcBorders>
                  <w:vAlign w:val="center"/>
                </w:tcPr>
                <w:p w14:paraId="0CAA3F5D">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rPr>
                    <w:t>设备运行</w:t>
                  </w:r>
                </w:p>
              </w:tc>
              <w:tc>
                <w:tcPr>
                  <w:tcW w:w="2493" w:type="dxa"/>
                  <w:tcBorders>
                    <w:bottom w:val="single" w:color="auto" w:sz="4" w:space="0"/>
                  </w:tcBorders>
                  <w:vAlign w:val="center"/>
                </w:tcPr>
                <w:p w14:paraId="7A4D977E">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rPr>
                    <w:t>噪声</w:t>
                  </w:r>
                </w:p>
              </w:tc>
            </w:tr>
            <w:tr w14:paraId="5ED806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757" w:type="dxa"/>
                  <w:tcBorders>
                    <w:top w:val="single" w:color="auto" w:sz="4" w:space="0"/>
                    <w:left w:val="nil"/>
                    <w:bottom w:val="nil"/>
                    <w:right w:val="nil"/>
                  </w:tcBorders>
                  <w:vAlign w:val="center"/>
                </w:tcPr>
                <w:p w14:paraId="7171D4FF">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p>
              </w:tc>
              <w:tc>
                <w:tcPr>
                  <w:tcW w:w="811" w:type="dxa"/>
                  <w:tcBorders>
                    <w:top w:val="single" w:color="auto" w:sz="4" w:space="0"/>
                    <w:left w:val="nil"/>
                    <w:bottom w:val="nil"/>
                    <w:right w:val="nil"/>
                  </w:tcBorders>
                  <w:vAlign w:val="center"/>
                </w:tcPr>
                <w:p w14:paraId="183E6D8C">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p>
              </w:tc>
              <w:tc>
                <w:tcPr>
                  <w:tcW w:w="1632" w:type="dxa"/>
                  <w:tcBorders>
                    <w:top w:val="single" w:color="auto" w:sz="4" w:space="0"/>
                    <w:left w:val="nil"/>
                    <w:bottom w:val="nil"/>
                    <w:right w:val="nil"/>
                  </w:tcBorders>
                  <w:vAlign w:val="center"/>
                </w:tcPr>
                <w:p w14:paraId="5C2FDBB7">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p>
              </w:tc>
              <w:tc>
                <w:tcPr>
                  <w:tcW w:w="2492" w:type="dxa"/>
                  <w:gridSpan w:val="2"/>
                  <w:tcBorders>
                    <w:top w:val="single" w:color="auto" w:sz="4" w:space="0"/>
                    <w:left w:val="nil"/>
                    <w:bottom w:val="nil"/>
                    <w:right w:val="nil"/>
                  </w:tcBorders>
                  <w:vAlign w:val="center"/>
                </w:tcPr>
                <w:p w14:paraId="3269DA63">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p>
              </w:tc>
              <w:tc>
                <w:tcPr>
                  <w:tcW w:w="2493" w:type="dxa"/>
                  <w:tcBorders>
                    <w:top w:val="single" w:color="auto" w:sz="4" w:space="0"/>
                    <w:left w:val="nil"/>
                    <w:bottom w:val="nil"/>
                    <w:right w:val="nil"/>
                  </w:tcBorders>
                  <w:vAlign w:val="center"/>
                </w:tcPr>
                <w:p w14:paraId="61ABD18A">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p>
              </w:tc>
            </w:tr>
            <w:tr w14:paraId="329B9A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757" w:type="dxa"/>
                  <w:tcBorders>
                    <w:top w:val="nil"/>
                    <w:left w:val="nil"/>
                    <w:bottom w:val="nil"/>
                    <w:right w:val="nil"/>
                  </w:tcBorders>
                  <w:vAlign w:val="center"/>
                </w:tcPr>
                <w:p w14:paraId="1B1597D8">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p>
                <w:p w14:paraId="7201C780">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p>
                <w:p w14:paraId="2573CDF9">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p>
                <w:p w14:paraId="4A87554D">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p>
                <w:p w14:paraId="00F4E29E">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p>
                <w:p w14:paraId="3B21E1D3">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p>
                <w:p w14:paraId="19A5CC44">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p>
                <w:p w14:paraId="37A95365">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p>
                <w:p w14:paraId="40AE4A40">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p>
                <w:p w14:paraId="0192CE84">
                  <w:pPr>
                    <w:keepNext w:val="0"/>
                    <w:keepLines w:val="0"/>
                    <w:suppressLineNumbers w:val="0"/>
                    <w:spacing w:before="0" w:beforeAutospacing="0" w:after="0" w:afterAutospacing="0"/>
                    <w:ind w:left="0" w:right="0"/>
                    <w:jc w:val="both"/>
                    <w:rPr>
                      <w:rFonts w:hint="default" w:ascii="Times New Roman" w:hAnsi="Times New Roman" w:eastAsia="宋体" w:cs="Times New Roman"/>
                      <w:color w:val="auto"/>
                      <w:szCs w:val="21"/>
                    </w:rPr>
                  </w:pPr>
                </w:p>
                <w:p w14:paraId="0E4F0CB5">
                  <w:pPr>
                    <w:keepNext w:val="0"/>
                    <w:keepLines w:val="0"/>
                    <w:suppressLineNumbers w:val="0"/>
                    <w:spacing w:before="0" w:beforeAutospacing="0" w:after="0" w:afterAutospacing="0"/>
                    <w:ind w:left="0" w:right="0"/>
                    <w:jc w:val="both"/>
                    <w:rPr>
                      <w:rFonts w:hint="default" w:ascii="Times New Roman" w:hAnsi="Times New Roman" w:eastAsia="宋体" w:cs="Times New Roman"/>
                      <w:color w:val="auto"/>
                      <w:szCs w:val="21"/>
                    </w:rPr>
                  </w:pPr>
                </w:p>
                <w:p w14:paraId="1CCF2D50">
                  <w:pPr>
                    <w:keepNext w:val="0"/>
                    <w:keepLines w:val="0"/>
                    <w:suppressLineNumbers w:val="0"/>
                    <w:spacing w:before="0" w:beforeAutospacing="0" w:after="0" w:afterAutospacing="0"/>
                    <w:ind w:left="0" w:right="0"/>
                    <w:jc w:val="both"/>
                    <w:rPr>
                      <w:rFonts w:hint="default" w:ascii="Times New Roman" w:hAnsi="Times New Roman" w:eastAsia="宋体" w:cs="Times New Roman"/>
                      <w:color w:val="auto"/>
                      <w:szCs w:val="21"/>
                    </w:rPr>
                  </w:pPr>
                </w:p>
                <w:p w14:paraId="0E4D0991">
                  <w:pPr>
                    <w:keepNext w:val="0"/>
                    <w:keepLines w:val="0"/>
                    <w:suppressLineNumbers w:val="0"/>
                    <w:spacing w:before="0" w:beforeAutospacing="0" w:after="0" w:afterAutospacing="0"/>
                    <w:ind w:left="0" w:right="0"/>
                    <w:jc w:val="both"/>
                    <w:rPr>
                      <w:rFonts w:hint="default" w:ascii="Times New Roman" w:hAnsi="Times New Roman" w:eastAsia="宋体" w:cs="Times New Roman"/>
                      <w:color w:val="auto"/>
                      <w:szCs w:val="21"/>
                    </w:rPr>
                  </w:pPr>
                </w:p>
                <w:p w14:paraId="5FDBBFB0">
                  <w:pPr>
                    <w:keepNext w:val="0"/>
                    <w:keepLines w:val="0"/>
                    <w:suppressLineNumbers w:val="0"/>
                    <w:spacing w:before="0" w:beforeAutospacing="0" w:after="0" w:afterAutospacing="0"/>
                    <w:ind w:left="0" w:right="0"/>
                    <w:jc w:val="both"/>
                    <w:rPr>
                      <w:rFonts w:hint="default" w:ascii="Times New Roman" w:hAnsi="Times New Roman" w:eastAsia="宋体" w:cs="Times New Roman"/>
                      <w:color w:val="auto"/>
                      <w:szCs w:val="21"/>
                    </w:rPr>
                  </w:pPr>
                </w:p>
                <w:p w14:paraId="163AB964">
                  <w:pPr>
                    <w:keepNext w:val="0"/>
                    <w:keepLines w:val="0"/>
                    <w:suppressLineNumbers w:val="0"/>
                    <w:spacing w:before="0" w:beforeAutospacing="0" w:after="0" w:afterAutospacing="0"/>
                    <w:ind w:left="0" w:right="0"/>
                    <w:jc w:val="both"/>
                    <w:rPr>
                      <w:rFonts w:hint="default" w:ascii="Times New Roman" w:hAnsi="Times New Roman" w:eastAsia="宋体" w:cs="Times New Roman"/>
                      <w:color w:val="auto"/>
                      <w:szCs w:val="21"/>
                    </w:rPr>
                  </w:pPr>
                </w:p>
                <w:p w14:paraId="5E2233D5">
                  <w:pPr>
                    <w:keepNext w:val="0"/>
                    <w:keepLines w:val="0"/>
                    <w:suppressLineNumbers w:val="0"/>
                    <w:spacing w:before="0" w:beforeAutospacing="0" w:after="0" w:afterAutospacing="0"/>
                    <w:ind w:left="0" w:right="0"/>
                    <w:jc w:val="both"/>
                    <w:rPr>
                      <w:rFonts w:hint="default" w:ascii="Times New Roman" w:hAnsi="Times New Roman" w:eastAsia="宋体" w:cs="Times New Roman"/>
                      <w:color w:val="auto"/>
                      <w:szCs w:val="21"/>
                    </w:rPr>
                  </w:pPr>
                </w:p>
                <w:p w14:paraId="0DBC9531">
                  <w:pPr>
                    <w:keepNext w:val="0"/>
                    <w:keepLines w:val="0"/>
                    <w:suppressLineNumbers w:val="0"/>
                    <w:spacing w:before="0" w:beforeAutospacing="0" w:after="0" w:afterAutospacing="0"/>
                    <w:ind w:left="0" w:right="0"/>
                    <w:jc w:val="both"/>
                    <w:rPr>
                      <w:rFonts w:hint="default" w:ascii="Times New Roman" w:hAnsi="Times New Roman" w:eastAsia="宋体" w:cs="Times New Roman"/>
                      <w:color w:val="auto"/>
                      <w:szCs w:val="21"/>
                    </w:rPr>
                  </w:pPr>
                </w:p>
              </w:tc>
              <w:tc>
                <w:tcPr>
                  <w:tcW w:w="811" w:type="dxa"/>
                  <w:tcBorders>
                    <w:top w:val="nil"/>
                    <w:left w:val="nil"/>
                    <w:bottom w:val="nil"/>
                    <w:right w:val="nil"/>
                  </w:tcBorders>
                  <w:vAlign w:val="center"/>
                </w:tcPr>
                <w:p w14:paraId="719FE308">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p>
              </w:tc>
              <w:tc>
                <w:tcPr>
                  <w:tcW w:w="1632" w:type="dxa"/>
                  <w:tcBorders>
                    <w:top w:val="nil"/>
                    <w:left w:val="nil"/>
                    <w:bottom w:val="nil"/>
                    <w:right w:val="nil"/>
                  </w:tcBorders>
                  <w:vAlign w:val="center"/>
                </w:tcPr>
                <w:p w14:paraId="13A6DE3A">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p>
              </w:tc>
              <w:tc>
                <w:tcPr>
                  <w:tcW w:w="2492" w:type="dxa"/>
                  <w:gridSpan w:val="2"/>
                  <w:tcBorders>
                    <w:top w:val="nil"/>
                    <w:left w:val="nil"/>
                    <w:bottom w:val="nil"/>
                    <w:right w:val="nil"/>
                  </w:tcBorders>
                  <w:vAlign w:val="center"/>
                </w:tcPr>
                <w:p w14:paraId="532A69D0">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p>
              </w:tc>
              <w:tc>
                <w:tcPr>
                  <w:tcW w:w="2493" w:type="dxa"/>
                  <w:tcBorders>
                    <w:top w:val="nil"/>
                    <w:left w:val="nil"/>
                    <w:bottom w:val="nil"/>
                    <w:right w:val="nil"/>
                  </w:tcBorders>
                  <w:vAlign w:val="center"/>
                </w:tcPr>
                <w:p w14:paraId="1AD5D3D4">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p>
              </w:tc>
            </w:tr>
          </w:tbl>
          <w:p w14:paraId="52DAD441">
            <w:pPr>
              <w:keepNext w:val="0"/>
              <w:keepLines w:val="0"/>
              <w:suppressLineNumbers w:val="0"/>
              <w:spacing w:before="0" w:beforeAutospacing="0" w:after="0" w:afterAutospacing="0"/>
              <w:ind w:left="0" w:right="0"/>
              <w:rPr>
                <w:rFonts w:hint="default"/>
                <w:color w:val="auto"/>
              </w:rPr>
            </w:pPr>
          </w:p>
        </w:tc>
      </w:tr>
      <w:tr w14:paraId="25B23C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81" w:type="dxa"/>
            <w:vAlign w:val="center"/>
          </w:tcPr>
          <w:p w14:paraId="51055F44">
            <w:pPr>
              <w:keepNext w:val="0"/>
              <w:keepLines w:val="0"/>
              <w:suppressLineNumbers w:val="0"/>
              <w:spacing w:before="0" w:beforeAutospacing="0" w:after="0" w:afterAutospacing="0"/>
              <w:ind w:left="0" w:right="0"/>
              <w:jc w:val="center"/>
              <w:rPr>
                <w:rFonts w:hint="default" w:ascii="Times New Roman" w:hAnsi="Times New Roman" w:eastAsia="宋体" w:cs="Times New Roman"/>
                <w:b/>
                <w:bCs/>
                <w:color w:val="auto"/>
                <w:sz w:val="24"/>
              </w:rPr>
            </w:pPr>
            <w:r>
              <w:rPr>
                <w:rFonts w:hint="eastAsia" w:ascii="Times New Roman" w:hAnsi="Times New Roman" w:eastAsia="宋体" w:cs="Times New Roman"/>
                <w:b/>
                <w:bCs/>
                <w:color w:val="auto"/>
                <w:sz w:val="24"/>
              </w:rPr>
              <w:t>与项目有关的原有环境污染问题</w:t>
            </w:r>
          </w:p>
        </w:tc>
        <w:tc>
          <w:tcPr>
            <w:tcW w:w="8401" w:type="dxa"/>
          </w:tcPr>
          <w:p w14:paraId="56249183">
            <w:pPr>
              <w:keepNext w:val="0"/>
              <w:keepLines w:val="0"/>
              <w:suppressLineNumbers w:val="0"/>
              <w:spacing w:before="0" w:beforeAutospacing="0" w:after="0" w:afterAutospacing="0" w:line="360" w:lineRule="auto"/>
              <w:ind w:left="0" w:right="0"/>
              <w:rPr>
                <w:rFonts w:hint="default" w:ascii="Times New Roman" w:hAnsi="Times New Roman" w:eastAsia="宋体" w:cs="Times New Roman"/>
                <w:b/>
                <w:bCs/>
                <w:color w:val="auto"/>
                <w:sz w:val="24"/>
              </w:rPr>
            </w:pPr>
            <w:r>
              <w:rPr>
                <w:rFonts w:hint="eastAsia" w:ascii="Times New Roman" w:hAnsi="Times New Roman" w:eastAsia="宋体" w:cs="Times New Roman"/>
                <w:b/>
                <w:bCs/>
                <w:color w:val="auto"/>
                <w:sz w:val="24"/>
              </w:rPr>
              <w:t>2.3现有项目环保手续履行情况</w:t>
            </w:r>
          </w:p>
          <w:p w14:paraId="53EF3850">
            <w:pPr>
              <w:keepNext w:val="0"/>
              <w:keepLines w:val="0"/>
              <w:suppressLineNumbers w:val="0"/>
              <w:spacing w:before="0" w:beforeAutospacing="0" w:after="0" w:afterAutospacing="0" w:line="360" w:lineRule="auto"/>
              <w:ind w:left="0" w:right="0"/>
              <w:rPr>
                <w:rFonts w:hint="default" w:ascii="Times New Roman" w:hAnsi="Times New Roman" w:eastAsia="宋体" w:cs="Times New Roman"/>
                <w:b/>
                <w:bCs/>
                <w:color w:val="auto"/>
                <w:sz w:val="24"/>
              </w:rPr>
            </w:pPr>
            <w:r>
              <w:rPr>
                <w:rFonts w:hint="eastAsia" w:ascii="Times New Roman" w:hAnsi="Times New Roman" w:eastAsia="宋体" w:cs="Times New Roman"/>
                <w:b/>
                <w:bCs/>
                <w:color w:val="auto"/>
                <w:sz w:val="24"/>
              </w:rPr>
              <w:t>2.3.1现有项目审批、验收及排污许可手续情况</w:t>
            </w:r>
          </w:p>
          <w:p w14:paraId="1B503A38">
            <w:pPr>
              <w:keepNext w:val="0"/>
              <w:keepLines w:val="0"/>
              <w:suppressLineNumbers w:val="0"/>
              <w:spacing w:before="0" w:beforeAutospacing="0" w:after="0" w:afterAutospacing="0" w:line="360" w:lineRule="auto"/>
              <w:ind w:left="0" w:right="0" w:firstLine="480" w:firstLineChars="200"/>
              <w:rPr>
                <w:rFonts w:hint="default" w:ascii="Times New Roman" w:hAnsi="Times New Roman" w:eastAsia="宋体" w:cs="Times New Roman"/>
                <w:color w:val="auto"/>
                <w:sz w:val="24"/>
              </w:rPr>
            </w:pPr>
            <w:r>
              <w:rPr>
                <w:rFonts w:hint="eastAsia" w:ascii="Times New Roman" w:hAnsi="Times New Roman" w:eastAsia="宋体" w:cs="Times New Roman"/>
                <w:color w:val="auto"/>
                <w:sz w:val="24"/>
              </w:rPr>
              <w:t>浙江凌志源科技股份有限公司原名为浙江凌志新能源科技有限公司，成立于2019年9月，注册地址为浙江省湖州市安吉县天子湖镇兴盛路1399号。企业于2025年12月完成工商名称变更，变更为浙江凌志源科技股份有限公司。浙江凌志源科技股份有限公司是一家</w:t>
            </w:r>
            <w:commentRangeStart w:id="35"/>
            <w:commentRangeStart w:id="36"/>
            <w:r>
              <w:rPr>
                <w:rFonts w:hint="eastAsia" w:ascii="Times New Roman" w:hAnsi="Times New Roman" w:eastAsia="宋体" w:cs="Times New Roman"/>
                <w:color w:val="FF0000"/>
                <w:sz w:val="24"/>
              </w:rPr>
              <w:t>从事</w:t>
            </w:r>
            <w:r>
              <w:rPr>
                <w:rFonts w:hint="eastAsia" w:ascii="Times New Roman" w:hAnsi="Times New Roman" w:eastAsia="宋体" w:cs="Times New Roman"/>
                <w:color w:val="FF0000"/>
                <w:sz w:val="24"/>
                <w:lang w:val="en-US" w:eastAsia="zh-CN"/>
              </w:rPr>
              <w:t>汽车零部件专用</w:t>
            </w:r>
            <w:r>
              <w:rPr>
                <w:rFonts w:hint="eastAsia" w:ascii="Times New Roman" w:hAnsi="Times New Roman" w:eastAsia="宋体" w:cs="Times New Roman"/>
                <w:color w:val="FF0000"/>
                <w:sz w:val="24"/>
              </w:rPr>
              <w:t>新材料技术研发</w:t>
            </w:r>
            <w:r>
              <w:rPr>
                <w:rFonts w:hint="eastAsia" w:ascii="Times New Roman" w:hAnsi="Times New Roman" w:eastAsia="宋体" w:cs="Times New Roman"/>
                <w:color w:val="FF0000"/>
                <w:sz w:val="24"/>
                <w:lang w:val="en-US" w:eastAsia="zh-CN"/>
              </w:rPr>
              <w:t>的公司</w:t>
            </w:r>
            <w:r>
              <w:rPr>
                <w:rFonts w:hint="eastAsia" w:ascii="Times New Roman" w:hAnsi="Times New Roman" w:eastAsia="宋体" w:cs="Times New Roman"/>
                <w:color w:val="FF0000"/>
                <w:sz w:val="24"/>
              </w:rPr>
              <w:t>。</w:t>
            </w:r>
            <w:commentRangeEnd w:id="35"/>
            <w:r>
              <w:rPr>
                <w:rFonts w:hint="default"/>
              </w:rPr>
              <w:commentReference w:id="35"/>
            </w:r>
            <w:commentRangeEnd w:id="36"/>
            <w:r>
              <w:rPr>
                <w:rFonts w:hint="default"/>
              </w:rPr>
              <w:commentReference w:id="36"/>
            </w:r>
            <w:r>
              <w:rPr>
                <w:rFonts w:hint="eastAsia" w:ascii="Times New Roman" w:hAnsi="Times New Roman" w:eastAsia="宋体" w:cs="Times New Roman"/>
                <w:color w:val="auto"/>
                <w:sz w:val="24"/>
              </w:rPr>
              <w:t>截止目前，浙江凌志源科技股份有限公司共申报过3个项目</w:t>
            </w:r>
            <w:r>
              <w:rPr>
                <w:rFonts w:hint="default" w:ascii="Times New Roman" w:hAnsi="Times New Roman" w:eastAsia="宋体" w:cs="Times New Roman"/>
                <w:color w:val="auto"/>
                <w:sz w:val="24"/>
              </w:rPr>
              <w:t>。</w:t>
            </w:r>
            <w:r>
              <w:rPr>
                <w:rFonts w:hint="eastAsia" w:ascii="Times New Roman" w:hAnsi="Times New Roman" w:eastAsia="宋体" w:cs="Times New Roman"/>
                <w:color w:val="auto"/>
                <w:sz w:val="24"/>
              </w:rPr>
              <w:t>企业现有项目环保手续履行情况见下表。</w:t>
            </w:r>
          </w:p>
          <w:p w14:paraId="6FD6320F">
            <w:pPr>
              <w:keepNext w:val="0"/>
              <w:keepLines w:val="0"/>
              <w:suppressLineNumbers w:val="0"/>
              <w:spacing w:before="0" w:beforeAutospacing="0" w:after="0" w:afterAutospacing="0"/>
              <w:ind w:left="0" w:right="0"/>
              <w:jc w:val="center"/>
              <w:rPr>
                <w:rFonts w:hint="default" w:ascii="Times New Roman" w:hAnsi="Times New Roman" w:eastAsia="宋体" w:cs="Times New Roman"/>
                <w:b/>
                <w:bCs/>
                <w:color w:val="auto"/>
              </w:rPr>
            </w:pPr>
            <w:r>
              <w:rPr>
                <w:rFonts w:hint="eastAsia" w:ascii="Times New Roman" w:hAnsi="Times New Roman" w:eastAsia="宋体" w:cs="Times New Roman"/>
                <w:b/>
                <w:bCs/>
                <w:color w:val="auto"/>
              </w:rPr>
              <w:t>表2-1</w:t>
            </w:r>
            <w:r>
              <w:rPr>
                <w:rFonts w:hint="eastAsia" w:ascii="Times New Roman" w:hAnsi="Times New Roman" w:eastAsia="宋体" w:cs="Times New Roman"/>
                <w:b/>
                <w:bCs/>
                <w:color w:val="auto"/>
                <w:lang w:val="en-US" w:eastAsia="zh-CN"/>
              </w:rPr>
              <w:t>4</w:t>
            </w:r>
            <w:r>
              <w:rPr>
                <w:rFonts w:hint="eastAsia" w:ascii="Times New Roman" w:hAnsi="Times New Roman" w:eastAsia="宋体" w:cs="Times New Roman"/>
                <w:b/>
                <w:bCs/>
                <w:color w:val="auto"/>
              </w:rPr>
              <w:t xml:space="preserve">  现有项目环保手续履行情况一览表</w:t>
            </w:r>
          </w:p>
          <w:tbl>
            <w:tblPr>
              <w:tblStyle w:val="23"/>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565"/>
              <w:gridCol w:w="1417"/>
              <w:gridCol w:w="1391"/>
              <w:gridCol w:w="1379"/>
              <w:gridCol w:w="1018"/>
              <w:gridCol w:w="1276"/>
              <w:gridCol w:w="1129"/>
            </w:tblGrid>
            <w:tr w14:paraId="080963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7" w:hRule="atLeast"/>
                <w:jc w:val="center"/>
              </w:trPr>
              <w:tc>
                <w:tcPr>
                  <w:tcW w:w="565" w:type="dxa"/>
                  <w:vMerge w:val="restart"/>
                  <w:tcBorders>
                    <w:top w:val="single" w:color="auto" w:sz="4" w:space="0"/>
                    <w:left w:val="single" w:color="auto" w:sz="4" w:space="0"/>
                    <w:bottom w:val="single" w:color="auto" w:sz="4" w:space="0"/>
                    <w:right w:val="single" w:color="auto" w:sz="4" w:space="0"/>
                  </w:tcBorders>
                  <w:vAlign w:val="center"/>
                </w:tcPr>
                <w:p w14:paraId="074B60BD">
                  <w:pPr>
                    <w:keepNext w:val="0"/>
                    <w:keepLines w:val="0"/>
                    <w:suppressLineNumbers w:val="0"/>
                    <w:autoSpaceDE w:val="0"/>
                    <w:spacing w:before="0" w:beforeAutospacing="0" w:after="0" w:afterAutospacing="0"/>
                    <w:ind w:left="0" w:right="0"/>
                    <w:jc w:val="center"/>
                    <w:rPr>
                      <w:rFonts w:hint="default" w:ascii="Times New Roman" w:hAnsi="Times New Roman" w:eastAsia="宋体" w:cs="Times New Roman"/>
                      <w:b/>
                      <w:bCs/>
                      <w:color w:val="auto"/>
                      <w:szCs w:val="21"/>
                    </w:rPr>
                  </w:pPr>
                  <w:r>
                    <w:rPr>
                      <w:rFonts w:hint="eastAsia" w:ascii="宋体" w:hAnsi="宋体" w:eastAsia="宋体" w:cs="宋体"/>
                      <w:b/>
                      <w:bCs/>
                      <w:color w:val="auto"/>
                      <w:szCs w:val="21"/>
                      <w:lang w:bidi="ar"/>
                    </w:rPr>
                    <w:t>序号</w:t>
                  </w:r>
                </w:p>
              </w:tc>
              <w:tc>
                <w:tcPr>
                  <w:tcW w:w="1417" w:type="dxa"/>
                  <w:vMerge w:val="restart"/>
                  <w:tcBorders>
                    <w:top w:val="single" w:color="auto" w:sz="4" w:space="0"/>
                    <w:left w:val="nil"/>
                    <w:bottom w:val="single" w:color="auto" w:sz="4" w:space="0"/>
                    <w:right w:val="single" w:color="auto" w:sz="4" w:space="0"/>
                  </w:tcBorders>
                  <w:vAlign w:val="center"/>
                </w:tcPr>
                <w:p w14:paraId="71CAECBA">
                  <w:pPr>
                    <w:keepNext w:val="0"/>
                    <w:keepLines w:val="0"/>
                    <w:suppressLineNumbers w:val="0"/>
                    <w:autoSpaceDE w:val="0"/>
                    <w:spacing w:before="0" w:beforeAutospacing="0" w:after="0" w:afterAutospacing="0"/>
                    <w:ind w:left="0" w:right="0"/>
                    <w:jc w:val="center"/>
                    <w:rPr>
                      <w:rFonts w:hint="default" w:ascii="Times New Roman" w:hAnsi="Times New Roman" w:eastAsia="宋体" w:cs="Times New Roman"/>
                      <w:b/>
                      <w:bCs/>
                      <w:color w:val="auto"/>
                      <w:szCs w:val="21"/>
                    </w:rPr>
                  </w:pPr>
                  <w:r>
                    <w:rPr>
                      <w:rFonts w:hint="eastAsia" w:ascii="宋体" w:hAnsi="宋体" w:eastAsia="宋体" w:cs="宋体"/>
                      <w:b/>
                      <w:bCs/>
                      <w:color w:val="auto"/>
                      <w:szCs w:val="21"/>
                      <w:lang w:bidi="ar"/>
                    </w:rPr>
                    <w:t>项目名称</w:t>
                  </w:r>
                </w:p>
              </w:tc>
              <w:tc>
                <w:tcPr>
                  <w:tcW w:w="5064" w:type="dxa"/>
                  <w:gridSpan w:val="4"/>
                  <w:tcBorders>
                    <w:top w:val="single" w:color="auto" w:sz="4" w:space="0"/>
                    <w:left w:val="nil"/>
                    <w:bottom w:val="single" w:color="auto" w:sz="4" w:space="0"/>
                    <w:right w:val="single" w:color="auto" w:sz="4" w:space="0"/>
                  </w:tcBorders>
                  <w:vAlign w:val="center"/>
                </w:tcPr>
                <w:p w14:paraId="10E89302">
                  <w:pPr>
                    <w:keepNext w:val="0"/>
                    <w:keepLines w:val="0"/>
                    <w:suppressLineNumbers w:val="0"/>
                    <w:autoSpaceDE w:val="0"/>
                    <w:spacing w:before="0" w:beforeAutospacing="0" w:after="0" w:afterAutospacing="0"/>
                    <w:ind w:left="0" w:right="0"/>
                    <w:jc w:val="center"/>
                    <w:rPr>
                      <w:rFonts w:hint="default" w:ascii="Times New Roman" w:hAnsi="Times New Roman" w:eastAsia="宋体" w:cs="Times New Roman"/>
                      <w:b/>
                      <w:bCs/>
                      <w:color w:val="auto"/>
                      <w:szCs w:val="21"/>
                    </w:rPr>
                  </w:pPr>
                  <w:r>
                    <w:rPr>
                      <w:rFonts w:hint="eastAsia" w:ascii="宋体" w:hAnsi="宋体" w:eastAsia="宋体" w:cs="宋体"/>
                      <w:b/>
                      <w:bCs/>
                      <w:color w:val="auto"/>
                      <w:szCs w:val="21"/>
                      <w:lang w:bidi="ar"/>
                    </w:rPr>
                    <w:t>环评</w:t>
                  </w:r>
                </w:p>
              </w:tc>
              <w:tc>
                <w:tcPr>
                  <w:tcW w:w="1129" w:type="dxa"/>
                  <w:vMerge w:val="restart"/>
                  <w:tcBorders>
                    <w:top w:val="single" w:color="auto" w:sz="4" w:space="0"/>
                    <w:left w:val="nil"/>
                    <w:bottom w:val="single" w:color="auto" w:sz="4" w:space="0"/>
                    <w:right w:val="single" w:color="auto" w:sz="4" w:space="0"/>
                  </w:tcBorders>
                  <w:vAlign w:val="center"/>
                </w:tcPr>
                <w:p w14:paraId="455C7BE2">
                  <w:pPr>
                    <w:keepNext w:val="0"/>
                    <w:keepLines w:val="0"/>
                    <w:suppressLineNumbers w:val="0"/>
                    <w:autoSpaceDE w:val="0"/>
                    <w:spacing w:before="0" w:beforeAutospacing="0" w:after="0" w:afterAutospacing="0"/>
                    <w:ind w:left="0" w:right="0"/>
                    <w:jc w:val="center"/>
                    <w:rPr>
                      <w:rFonts w:hint="default" w:ascii="Times New Roman" w:hAnsi="Times New Roman" w:eastAsia="宋体" w:cs="Times New Roman"/>
                      <w:b/>
                      <w:bCs/>
                      <w:color w:val="auto"/>
                      <w:szCs w:val="21"/>
                    </w:rPr>
                  </w:pPr>
                  <w:r>
                    <w:rPr>
                      <w:rFonts w:hint="eastAsia" w:ascii="宋体" w:hAnsi="宋体" w:eastAsia="宋体" w:cs="宋体"/>
                      <w:b/>
                      <w:bCs/>
                      <w:color w:val="auto"/>
                      <w:szCs w:val="21"/>
                      <w:lang w:bidi="ar"/>
                    </w:rPr>
                    <w:t>备注</w:t>
                  </w:r>
                </w:p>
              </w:tc>
            </w:tr>
            <w:tr w14:paraId="06A533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7" w:hRule="atLeast"/>
                <w:jc w:val="center"/>
              </w:trPr>
              <w:tc>
                <w:tcPr>
                  <w:tcW w:w="565" w:type="dxa"/>
                  <w:vMerge w:val="continue"/>
                  <w:tcBorders>
                    <w:top w:val="single" w:color="auto" w:sz="4" w:space="0"/>
                    <w:left w:val="single" w:color="auto" w:sz="4" w:space="0"/>
                    <w:bottom w:val="single" w:color="auto" w:sz="4" w:space="0"/>
                    <w:right w:val="single" w:color="auto" w:sz="4" w:space="0"/>
                  </w:tcBorders>
                  <w:vAlign w:val="center"/>
                </w:tcPr>
                <w:p w14:paraId="6B492286">
                  <w:pPr>
                    <w:keepNext w:val="0"/>
                    <w:keepLines w:val="0"/>
                    <w:suppressLineNumbers w:val="0"/>
                    <w:spacing w:before="0" w:beforeAutospacing="0" w:after="0" w:afterAutospacing="0"/>
                    <w:ind w:left="0" w:right="0"/>
                    <w:rPr>
                      <w:rFonts w:hint="default" w:ascii="Times New Roman" w:hAnsi="Times New Roman" w:cs="Times New Roman"/>
                      <w:color w:val="auto"/>
                      <w:sz w:val="20"/>
                      <w:szCs w:val="20"/>
                    </w:rPr>
                  </w:pPr>
                </w:p>
              </w:tc>
              <w:tc>
                <w:tcPr>
                  <w:tcW w:w="1417" w:type="dxa"/>
                  <w:vMerge w:val="continue"/>
                  <w:tcBorders>
                    <w:top w:val="single" w:color="auto" w:sz="4" w:space="0"/>
                    <w:left w:val="nil"/>
                    <w:bottom w:val="single" w:color="auto" w:sz="4" w:space="0"/>
                    <w:right w:val="single" w:color="auto" w:sz="4" w:space="0"/>
                  </w:tcBorders>
                  <w:vAlign w:val="center"/>
                </w:tcPr>
                <w:p w14:paraId="6FBE5794">
                  <w:pPr>
                    <w:keepNext w:val="0"/>
                    <w:keepLines w:val="0"/>
                    <w:suppressLineNumbers w:val="0"/>
                    <w:spacing w:before="0" w:beforeAutospacing="0" w:after="0" w:afterAutospacing="0"/>
                    <w:ind w:left="0" w:right="0"/>
                    <w:rPr>
                      <w:rFonts w:hint="default" w:ascii="Times New Roman" w:hAnsi="Times New Roman" w:cs="Times New Roman"/>
                      <w:color w:val="auto"/>
                      <w:sz w:val="20"/>
                      <w:szCs w:val="20"/>
                    </w:rPr>
                  </w:pPr>
                </w:p>
              </w:tc>
              <w:tc>
                <w:tcPr>
                  <w:tcW w:w="1391" w:type="dxa"/>
                  <w:tcBorders>
                    <w:top w:val="single" w:color="auto" w:sz="4" w:space="0"/>
                    <w:left w:val="nil"/>
                    <w:bottom w:val="single" w:color="auto" w:sz="4" w:space="0"/>
                    <w:right w:val="single" w:color="auto" w:sz="4" w:space="0"/>
                  </w:tcBorders>
                  <w:vAlign w:val="center"/>
                </w:tcPr>
                <w:p w14:paraId="7432ADFE">
                  <w:pPr>
                    <w:keepNext w:val="0"/>
                    <w:keepLines w:val="0"/>
                    <w:suppressLineNumbers w:val="0"/>
                    <w:autoSpaceDE w:val="0"/>
                    <w:spacing w:before="0" w:beforeAutospacing="0" w:after="0" w:afterAutospacing="0"/>
                    <w:ind w:left="0" w:right="0"/>
                    <w:jc w:val="center"/>
                    <w:rPr>
                      <w:rFonts w:hint="default" w:ascii="Times New Roman" w:hAnsi="Times New Roman" w:eastAsia="宋体" w:cs="Times New Roman"/>
                      <w:b/>
                      <w:bCs/>
                      <w:color w:val="auto"/>
                      <w:szCs w:val="21"/>
                    </w:rPr>
                  </w:pPr>
                  <w:r>
                    <w:rPr>
                      <w:rFonts w:hint="eastAsia" w:ascii="宋体" w:hAnsi="宋体" w:eastAsia="宋体" w:cs="宋体"/>
                      <w:b/>
                      <w:bCs/>
                      <w:color w:val="auto"/>
                      <w:szCs w:val="21"/>
                      <w:lang w:bidi="ar"/>
                    </w:rPr>
                    <w:t>审批信息</w:t>
                  </w:r>
                </w:p>
              </w:tc>
              <w:tc>
                <w:tcPr>
                  <w:tcW w:w="1379" w:type="dxa"/>
                  <w:tcBorders>
                    <w:top w:val="single" w:color="auto" w:sz="4" w:space="0"/>
                    <w:left w:val="nil"/>
                    <w:bottom w:val="single" w:color="auto" w:sz="4" w:space="0"/>
                    <w:right w:val="single" w:color="auto" w:sz="4" w:space="0"/>
                  </w:tcBorders>
                  <w:vAlign w:val="center"/>
                </w:tcPr>
                <w:p w14:paraId="5749D266">
                  <w:pPr>
                    <w:keepNext w:val="0"/>
                    <w:keepLines w:val="0"/>
                    <w:suppressLineNumbers w:val="0"/>
                    <w:autoSpaceDE w:val="0"/>
                    <w:spacing w:before="0" w:beforeAutospacing="0" w:after="0" w:afterAutospacing="0"/>
                    <w:ind w:left="0" w:right="0"/>
                    <w:jc w:val="center"/>
                    <w:rPr>
                      <w:rFonts w:hint="default" w:ascii="Times New Roman" w:hAnsi="Times New Roman" w:eastAsia="宋体" w:cs="Times New Roman"/>
                      <w:b/>
                      <w:bCs/>
                      <w:color w:val="auto"/>
                      <w:szCs w:val="21"/>
                    </w:rPr>
                  </w:pPr>
                  <w:r>
                    <w:rPr>
                      <w:rFonts w:hint="eastAsia" w:ascii="宋体" w:hAnsi="宋体" w:eastAsia="宋体" w:cs="宋体"/>
                      <w:b/>
                      <w:bCs/>
                      <w:color w:val="auto"/>
                      <w:szCs w:val="21"/>
                      <w:lang w:bidi="ar"/>
                    </w:rPr>
                    <w:t>审批内容</w:t>
                  </w:r>
                </w:p>
              </w:tc>
              <w:tc>
                <w:tcPr>
                  <w:tcW w:w="1018" w:type="dxa"/>
                  <w:tcBorders>
                    <w:top w:val="single" w:color="auto" w:sz="4" w:space="0"/>
                    <w:left w:val="nil"/>
                    <w:bottom w:val="single" w:color="auto" w:sz="4" w:space="0"/>
                    <w:right w:val="single" w:color="auto" w:sz="4" w:space="0"/>
                  </w:tcBorders>
                  <w:vAlign w:val="center"/>
                </w:tcPr>
                <w:p w14:paraId="461966E6">
                  <w:pPr>
                    <w:keepNext w:val="0"/>
                    <w:keepLines w:val="0"/>
                    <w:suppressLineNumbers w:val="0"/>
                    <w:autoSpaceDE w:val="0"/>
                    <w:spacing w:before="0" w:beforeAutospacing="0" w:after="0" w:afterAutospacing="0"/>
                    <w:ind w:left="0" w:right="0"/>
                    <w:jc w:val="center"/>
                    <w:rPr>
                      <w:rFonts w:hint="default" w:ascii="Times New Roman" w:hAnsi="Times New Roman" w:eastAsia="宋体" w:cs="Times New Roman"/>
                      <w:b/>
                      <w:bCs/>
                      <w:color w:val="auto"/>
                      <w:szCs w:val="21"/>
                    </w:rPr>
                  </w:pPr>
                  <w:r>
                    <w:rPr>
                      <w:rFonts w:hint="eastAsia" w:ascii="宋体" w:hAnsi="宋体" w:eastAsia="宋体" w:cs="宋体"/>
                      <w:b/>
                      <w:bCs/>
                      <w:color w:val="auto"/>
                      <w:szCs w:val="21"/>
                      <w:lang w:bidi="ar"/>
                    </w:rPr>
                    <w:t>验收情况</w:t>
                  </w:r>
                </w:p>
              </w:tc>
              <w:tc>
                <w:tcPr>
                  <w:tcW w:w="1276" w:type="dxa"/>
                  <w:tcBorders>
                    <w:top w:val="single" w:color="auto" w:sz="4" w:space="0"/>
                    <w:left w:val="nil"/>
                    <w:bottom w:val="single" w:color="auto" w:sz="4" w:space="0"/>
                    <w:right w:val="single" w:color="auto" w:sz="4" w:space="0"/>
                  </w:tcBorders>
                  <w:vAlign w:val="center"/>
                </w:tcPr>
                <w:p w14:paraId="578D6935">
                  <w:pPr>
                    <w:keepNext w:val="0"/>
                    <w:keepLines w:val="0"/>
                    <w:suppressLineNumbers w:val="0"/>
                    <w:autoSpaceDE w:val="0"/>
                    <w:spacing w:before="0" w:beforeAutospacing="0" w:after="0" w:afterAutospacing="0"/>
                    <w:ind w:left="0" w:right="0"/>
                    <w:jc w:val="center"/>
                    <w:rPr>
                      <w:rFonts w:hint="default" w:ascii="Times New Roman" w:hAnsi="Times New Roman" w:eastAsia="宋体" w:cs="Times New Roman"/>
                      <w:b/>
                      <w:bCs/>
                      <w:color w:val="auto"/>
                      <w:szCs w:val="21"/>
                    </w:rPr>
                  </w:pPr>
                  <w:r>
                    <w:rPr>
                      <w:rFonts w:hint="eastAsia" w:ascii="宋体" w:hAnsi="宋体" w:eastAsia="宋体" w:cs="宋体"/>
                      <w:b/>
                      <w:bCs/>
                      <w:color w:val="auto"/>
                      <w:szCs w:val="21"/>
                      <w:lang w:bidi="ar"/>
                    </w:rPr>
                    <w:t>验收内容</w:t>
                  </w:r>
                </w:p>
              </w:tc>
              <w:tc>
                <w:tcPr>
                  <w:tcW w:w="1129" w:type="dxa"/>
                  <w:vMerge w:val="continue"/>
                  <w:tcBorders>
                    <w:top w:val="single" w:color="auto" w:sz="4" w:space="0"/>
                    <w:left w:val="nil"/>
                    <w:bottom w:val="single" w:color="auto" w:sz="4" w:space="0"/>
                    <w:right w:val="single" w:color="auto" w:sz="4" w:space="0"/>
                  </w:tcBorders>
                  <w:vAlign w:val="center"/>
                </w:tcPr>
                <w:p w14:paraId="670A066B">
                  <w:pPr>
                    <w:keepNext w:val="0"/>
                    <w:keepLines w:val="0"/>
                    <w:suppressLineNumbers w:val="0"/>
                    <w:spacing w:before="0" w:beforeAutospacing="0" w:after="0" w:afterAutospacing="0"/>
                    <w:ind w:left="0" w:right="0"/>
                    <w:rPr>
                      <w:rFonts w:hint="default" w:ascii="Times New Roman" w:hAnsi="Times New Roman" w:cs="Times New Roman"/>
                      <w:color w:val="auto"/>
                      <w:sz w:val="20"/>
                      <w:szCs w:val="20"/>
                    </w:rPr>
                  </w:pPr>
                </w:p>
              </w:tc>
            </w:tr>
            <w:tr w14:paraId="1D4FD5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65" w:type="dxa"/>
                  <w:tcBorders>
                    <w:top w:val="single" w:color="auto" w:sz="4" w:space="0"/>
                    <w:left w:val="single" w:color="auto" w:sz="4" w:space="0"/>
                    <w:bottom w:val="single" w:color="auto" w:sz="4" w:space="0"/>
                    <w:right w:val="single" w:color="auto" w:sz="4" w:space="0"/>
                  </w:tcBorders>
                  <w:vAlign w:val="center"/>
                </w:tcPr>
                <w:p w14:paraId="0AC30B24">
                  <w:pPr>
                    <w:keepNext w:val="0"/>
                    <w:keepLines w:val="0"/>
                    <w:suppressLineNumbers w:val="0"/>
                    <w:autoSpaceDE w:val="0"/>
                    <w:spacing w:before="0" w:beforeAutospacing="0" w:after="0" w:afterAutospacing="0"/>
                    <w:ind w:left="0" w:right="0"/>
                    <w:jc w:val="center"/>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lang w:bidi="ar"/>
                    </w:rPr>
                    <w:t>1</w:t>
                  </w:r>
                </w:p>
              </w:tc>
              <w:tc>
                <w:tcPr>
                  <w:tcW w:w="1417" w:type="dxa"/>
                  <w:tcBorders>
                    <w:top w:val="single" w:color="auto" w:sz="4" w:space="0"/>
                    <w:left w:val="nil"/>
                    <w:bottom w:val="single" w:color="auto" w:sz="4" w:space="0"/>
                    <w:right w:val="single" w:color="auto" w:sz="4" w:space="0"/>
                  </w:tcBorders>
                  <w:vAlign w:val="center"/>
                </w:tcPr>
                <w:p w14:paraId="778F087D">
                  <w:pPr>
                    <w:keepNext w:val="0"/>
                    <w:keepLines w:val="0"/>
                    <w:suppressLineNumbers w:val="0"/>
                    <w:autoSpaceDE w:val="0"/>
                    <w:spacing w:before="0" w:beforeAutospacing="0" w:after="0" w:afterAutospacing="0"/>
                    <w:ind w:left="0" w:right="0"/>
                    <w:jc w:val="center"/>
                    <w:rPr>
                      <w:rFonts w:hint="default" w:ascii="Times New Roman" w:hAnsi="Times New Roman" w:eastAsia="宋体" w:cs="Times New Roman"/>
                      <w:color w:val="auto"/>
                      <w:szCs w:val="21"/>
                    </w:rPr>
                  </w:pPr>
                  <w:r>
                    <w:rPr>
                      <w:rFonts w:hint="eastAsia" w:ascii="宋体" w:hAnsi="宋体" w:eastAsia="宋体" w:cs="宋体"/>
                      <w:color w:val="auto"/>
                      <w:szCs w:val="21"/>
                      <w:lang w:bidi="ar"/>
                    </w:rPr>
                    <w:t>年产</w:t>
                  </w:r>
                  <w:r>
                    <w:rPr>
                      <w:rFonts w:hint="default" w:ascii="Times New Roman" w:hAnsi="Times New Roman" w:eastAsia="宋体" w:cs="Times New Roman"/>
                      <w:color w:val="auto"/>
                      <w:szCs w:val="21"/>
                      <w:lang w:bidi="ar"/>
                    </w:rPr>
                    <w:t>300</w:t>
                  </w:r>
                  <w:r>
                    <w:rPr>
                      <w:rFonts w:hint="eastAsia" w:ascii="宋体" w:hAnsi="宋体" w:eastAsia="宋体" w:cs="宋体"/>
                      <w:color w:val="auto"/>
                      <w:szCs w:val="21"/>
                      <w:lang w:bidi="ar"/>
                    </w:rPr>
                    <w:t>万平方米有机硅片材建设项目</w:t>
                  </w:r>
                </w:p>
              </w:tc>
              <w:tc>
                <w:tcPr>
                  <w:tcW w:w="1391" w:type="dxa"/>
                  <w:tcBorders>
                    <w:top w:val="single" w:color="auto" w:sz="4" w:space="0"/>
                    <w:left w:val="nil"/>
                    <w:bottom w:val="single" w:color="auto" w:sz="4" w:space="0"/>
                    <w:right w:val="single" w:color="auto" w:sz="4" w:space="0"/>
                  </w:tcBorders>
                  <w:vAlign w:val="center"/>
                </w:tcPr>
                <w:p w14:paraId="4545AE41">
                  <w:pPr>
                    <w:keepNext w:val="0"/>
                    <w:keepLines w:val="0"/>
                    <w:suppressLineNumbers w:val="0"/>
                    <w:autoSpaceDE w:val="0"/>
                    <w:spacing w:before="0" w:beforeAutospacing="0" w:after="0" w:afterAutospacing="0"/>
                    <w:ind w:left="0" w:right="0"/>
                    <w:jc w:val="center"/>
                    <w:rPr>
                      <w:rFonts w:hint="default" w:ascii="Times New Roman" w:hAnsi="Times New Roman" w:eastAsia="宋体" w:cs="Times New Roman"/>
                      <w:color w:val="auto"/>
                      <w:szCs w:val="21"/>
                    </w:rPr>
                  </w:pPr>
                  <w:r>
                    <w:rPr>
                      <w:rFonts w:hint="eastAsia" w:ascii="宋体" w:hAnsi="宋体" w:eastAsia="宋体" w:cs="宋体"/>
                      <w:color w:val="auto"/>
                      <w:szCs w:val="21"/>
                      <w:lang w:bidi="ar"/>
                    </w:rPr>
                    <w:t>湖长合环改备</w:t>
                  </w:r>
                  <w:r>
                    <w:rPr>
                      <w:rFonts w:hint="default" w:ascii="Times New Roman" w:hAnsi="Times New Roman" w:eastAsia="宋体" w:cs="Times New Roman"/>
                      <w:color w:val="auto"/>
                      <w:szCs w:val="21"/>
                      <w:lang w:bidi="ar"/>
                    </w:rPr>
                    <w:t>2022-3</w:t>
                  </w:r>
                  <w:r>
                    <w:rPr>
                      <w:rFonts w:hint="eastAsia" w:ascii="宋体" w:hAnsi="宋体" w:eastAsia="宋体" w:cs="宋体"/>
                      <w:color w:val="auto"/>
                      <w:szCs w:val="21"/>
                      <w:lang w:bidi="ar"/>
                    </w:rPr>
                    <w:t>号</w:t>
                  </w:r>
                </w:p>
              </w:tc>
              <w:tc>
                <w:tcPr>
                  <w:tcW w:w="1379" w:type="dxa"/>
                  <w:tcBorders>
                    <w:top w:val="single" w:color="auto" w:sz="4" w:space="0"/>
                    <w:left w:val="nil"/>
                    <w:bottom w:val="single" w:color="auto" w:sz="4" w:space="0"/>
                    <w:right w:val="single" w:color="auto" w:sz="4" w:space="0"/>
                  </w:tcBorders>
                  <w:vAlign w:val="center"/>
                </w:tcPr>
                <w:p w14:paraId="1D3ABD6C">
                  <w:pPr>
                    <w:keepNext w:val="0"/>
                    <w:keepLines w:val="0"/>
                    <w:suppressLineNumbers w:val="0"/>
                    <w:autoSpaceDE w:val="0"/>
                    <w:spacing w:before="0" w:beforeAutospacing="0" w:after="0" w:afterAutospacing="0"/>
                    <w:ind w:left="0" w:right="0"/>
                    <w:jc w:val="center"/>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lang w:bidi="ar"/>
                    </w:rPr>
                    <w:t>300</w:t>
                  </w:r>
                  <w:r>
                    <w:rPr>
                      <w:rFonts w:hint="eastAsia" w:ascii="宋体" w:hAnsi="宋体" w:eastAsia="宋体" w:cs="宋体"/>
                      <w:color w:val="auto"/>
                      <w:szCs w:val="21"/>
                      <w:lang w:bidi="ar"/>
                    </w:rPr>
                    <w:t>万平方米有机硅片材</w:t>
                  </w:r>
                </w:p>
              </w:tc>
              <w:tc>
                <w:tcPr>
                  <w:tcW w:w="1018" w:type="dxa"/>
                  <w:tcBorders>
                    <w:top w:val="single" w:color="auto" w:sz="4" w:space="0"/>
                    <w:left w:val="nil"/>
                    <w:bottom w:val="single" w:color="auto" w:sz="4" w:space="0"/>
                    <w:right w:val="single" w:color="auto" w:sz="4" w:space="0"/>
                  </w:tcBorders>
                  <w:vAlign w:val="center"/>
                </w:tcPr>
                <w:p w14:paraId="7181887C">
                  <w:pPr>
                    <w:keepNext w:val="0"/>
                    <w:keepLines w:val="0"/>
                    <w:suppressLineNumbers w:val="0"/>
                    <w:autoSpaceDE w:val="0"/>
                    <w:spacing w:before="0" w:beforeAutospacing="0" w:after="0" w:afterAutospacing="0"/>
                    <w:ind w:left="0" w:right="0"/>
                    <w:jc w:val="center"/>
                    <w:rPr>
                      <w:rFonts w:hint="default" w:ascii="Times New Roman" w:hAnsi="Times New Roman" w:eastAsia="宋体" w:cs="Times New Roman"/>
                      <w:color w:val="auto"/>
                      <w:szCs w:val="21"/>
                    </w:rPr>
                  </w:pPr>
                  <w:r>
                    <w:rPr>
                      <w:rFonts w:hint="eastAsia" w:ascii="宋体" w:hAnsi="宋体" w:eastAsia="宋体" w:cs="宋体"/>
                      <w:color w:val="auto"/>
                      <w:szCs w:val="21"/>
                      <w:lang w:bidi="ar"/>
                    </w:rPr>
                    <w:t>自主</w:t>
                  </w:r>
                </w:p>
                <w:p w14:paraId="115DFC5A">
                  <w:pPr>
                    <w:keepNext w:val="0"/>
                    <w:keepLines w:val="0"/>
                    <w:suppressLineNumbers w:val="0"/>
                    <w:autoSpaceDE w:val="0"/>
                    <w:spacing w:before="0" w:beforeAutospacing="0" w:after="0" w:afterAutospacing="0"/>
                    <w:ind w:left="0" w:right="0"/>
                    <w:jc w:val="center"/>
                    <w:rPr>
                      <w:rFonts w:hint="default" w:ascii="Times New Roman" w:hAnsi="Times New Roman" w:eastAsia="宋体" w:cs="Times New Roman"/>
                      <w:color w:val="auto"/>
                      <w:szCs w:val="21"/>
                    </w:rPr>
                  </w:pPr>
                  <w:r>
                    <w:rPr>
                      <w:rFonts w:hint="eastAsia" w:ascii="宋体" w:hAnsi="宋体" w:eastAsia="宋体" w:cs="宋体"/>
                      <w:color w:val="auto"/>
                      <w:szCs w:val="21"/>
                      <w:lang w:bidi="ar"/>
                    </w:rPr>
                    <w:t>验收</w:t>
                  </w:r>
                </w:p>
              </w:tc>
              <w:tc>
                <w:tcPr>
                  <w:tcW w:w="1276" w:type="dxa"/>
                  <w:tcBorders>
                    <w:top w:val="single" w:color="auto" w:sz="4" w:space="0"/>
                    <w:left w:val="nil"/>
                    <w:bottom w:val="single" w:color="auto" w:sz="4" w:space="0"/>
                    <w:right w:val="single" w:color="auto" w:sz="4" w:space="0"/>
                  </w:tcBorders>
                  <w:vAlign w:val="center"/>
                </w:tcPr>
                <w:p w14:paraId="5DA6D38C">
                  <w:pPr>
                    <w:keepNext w:val="0"/>
                    <w:keepLines w:val="0"/>
                    <w:suppressLineNumbers w:val="0"/>
                    <w:autoSpaceDE w:val="0"/>
                    <w:spacing w:before="0" w:beforeAutospacing="0" w:after="0" w:afterAutospacing="0"/>
                    <w:ind w:left="0" w:right="0"/>
                    <w:jc w:val="center"/>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lang w:bidi="ar"/>
                    </w:rPr>
                    <w:t>300</w:t>
                  </w:r>
                  <w:r>
                    <w:rPr>
                      <w:rFonts w:hint="eastAsia" w:ascii="宋体" w:hAnsi="宋体" w:eastAsia="宋体" w:cs="宋体"/>
                      <w:color w:val="auto"/>
                      <w:szCs w:val="21"/>
                      <w:lang w:bidi="ar"/>
                    </w:rPr>
                    <w:t>万平方米有机硅片材</w:t>
                  </w:r>
                </w:p>
              </w:tc>
              <w:tc>
                <w:tcPr>
                  <w:tcW w:w="1129" w:type="dxa"/>
                  <w:tcBorders>
                    <w:top w:val="single" w:color="auto" w:sz="4" w:space="0"/>
                    <w:left w:val="nil"/>
                    <w:bottom w:val="single" w:color="auto" w:sz="4" w:space="0"/>
                    <w:right w:val="single" w:color="auto" w:sz="4" w:space="0"/>
                  </w:tcBorders>
                  <w:vAlign w:val="center"/>
                </w:tcPr>
                <w:p w14:paraId="640E8D4E">
                  <w:pPr>
                    <w:keepNext w:val="0"/>
                    <w:keepLines w:val="0"/>
                    <w:suppressLineNumbers w:val="0"/>
                    <w:autoSpaceDE w:val="0"/>
                    <w:spacing w:before="0" w:beforeAutospacing="0" w:after="0" w:afterAutospacing="0"/>
                    <w:ind w:left="0" w:right="0"/>
                    <w:jc w:val="center"/>
                    <w:rPr>
                      <w:rFonts w:hint="default" w:ascii="Times New Roman" w:hAnsi="Times New Roman" w:eastAsia="宋体" w:cs="Times New Roman"/>
                      <w:color w:val="auto"/>
                      <w:szCs w:val="21"/>
                    </w:rPr>
                  </w:pPr>
                  <w:r>
                    <w:rPr>
                      <w:rFonts w:hint="eastAsia" w:ascii="宋体" w:hAnsi="宋体" w:eastAsia="宋体" w:cs="宋体"/>
                      <w:color w:val="auto"/>
                      <w:szCs w:val="21"/>
                      <w:lang w:bidi="ar"/>
                    </w:rPr>
                    <w:t>由于厂房满足不了设备长度布置，导致生产效率极低</w:t>
                  </w:r>
                  <w:commentRangeStart w:id="37"/>
                  <w:commentRangeStart w:id="38"/>
                  <w:r>
                    <w:rPr>
                      <w:rFonts w:hint="eastAsia" w:ascii="宋体" w:hAnsi="宋体" w:eastAsia="宋体" w:cs="宋体"/>
                      <w:color w:val="auto"/>
                      <w:szCs w:val="21"/>
                      <w:lang w:bidi="ar"/>
                    </w:rPr>
                    <w:t>，</w:t>
                  </w:r>
                  <w:commentRangeEnd w:id="37"/>
                  <w:r>
                    <w:rPr>
                      <w:rFonts w:hint="default"/>
                    </w:rPr>
                    <w:commentReference w:id="37"/>
                  </w:r>
                  <w:commentRangeEnd w:id="38"/>
                  <w:r>
                    <w:rPr>
                      <w:rFonts w:hint="default"/>
                    </w:rPr>
                    <w:commentReference w:id="38"/>
                  </w:r>
                  <w:r>
                    <w:rPr>
                      <w:rFonts w:hint="eastAsia" w:ascii="宋体" w:hAnsi="宋体" w:eastAsia="宋体" w:cs="宋体"/>
                      <w:color w:val="auto"/>
                      <w:szCs w:val="21"/>
                      <w:lang w:bidi="ar"/>
                    </w:rPr>
                    <w:t>已搬迁至项目</w:t>
                  </w:r>
                  <w:r>
                    <w:rPr>
                      <w:rFonts w:hint="default" w:ascii="Times New Roman" w:hAnsi="Times New Roman" w:eastAsia="宋体" w:cs="Times New Roman"/>
                      <w:color w:val="auto"/>
                      <w:szCs w:val="21"/>
                      <w:lang w:bidi="ar"/>
                    </w:rPr>
                    <w:t>2</w:t>
                  </w:r>
                </w:p>
              </w:tc>
            </w:tr>
            <w:tr w14:paraId="1A362A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65" w:type="dxa"/>
                  <w:tcBorders>
                    <w:top w:val="single" w:color="auto" w:sz="4" w:space="0"/>
                    <w:left w:val="single" w:color="auto" w:sz="4" w:space="0"/>
                    <w:bottom w:val="single" w:color="auto" w:sz="4" w:space="0"/>
                    <w:right w:val="single" w:color="auto" w:sz="4" w:space="0"/>
                  </w:tcBorders>
                  <w:vAlign w:val="center"/>
                </w:tcPr>
                <w:p w14:paraId="1AB707BA">
                  <w:pPr>
                    <w:keepNext w:val="0"/>
                    <w:keepLines w:val="0"/>
                    <w:suppressLineNumbers w:val="0"/>
                    <w:autoSpaceDE w:val="0"/>
                    <w:spacing w:before="0" w:beforeAutospacing="0" w:after="0" w:afterAutospacing="0"/>
                    <w:ind w:left="0" w:right="0"/>
                    <w:jc w:val="center"/>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lang w:bidi="ar"/>
                    </w:rPr>
                    <w:t>2</w:t>
                  </w:r>
                </w:p>
              </w:tc>
              <w:tc>
                <w:tcPr>
                  <w:tcW w:w="1417" w:type="dxa"/>
                  <w:tcBorders>
                    <w:top w:val="single" w:color="auto" w:sz="4" w:space="0"/>
                    <w:left w:val="nil"/>
                    <w:bottom w:val="single" w:color="auto" w:sz="4" w:space="0"/>
                    <w:right w:val="single" w:color="auto" w:sz="4" w:space="0"/>
                  </w:tcBorders>
                  <w:vAlign w:val="center"/>
                </w:tcPr>
                <w:p w14:paraId="7AB01DBE">
                  <w:pPr>
                    <w:keepNext w:val="0"/>
                    <w:keepLines w:val="0"/>
                    <w:suppressLineNumbers w:val="0"/>
                    <w:autoSpaceDE w:val="0"/>
                    <w:spacing w:before="0" w:beforeAutospacing="0" w:after="0" w:afterAutospacing="0"/>
                    <w:ind w:left="0" w:right="0"/>
                    <w:jc w:val="center"/>
                    <w:rPr>
                      <w:rFonts w:hint="default" w:ascii="Times New Roman" w:hAnsi="Times New Roman" w:eastAsia="宋体" w:cs="Times New Roman"/>
                      <w:color w:val="auto"/>
                      <w:szCs w:val="21"/>
                    </w:rPr>
                  </w:pPr>
                  <w:r>
                    <w:rPr>
                      <w:rFonts w:hint="eastAsia" w:ascii="宋体" w:hAnsi="宋体" w:eastAsia="宋体" w:cs="宋体"/>
                      <w:color w:val="auto"/>
                      <w:szCs w:val="21"/>
                      <w:lang w:bidi="ar"/>
                    </w:rPr>
                    <w:t>浙江凌志新能源科技有限公司年产</w:t>
                  </w:r>
                  <w:r>
                    <w:rPr>
                      <w:rFonts w:hint="default" w:ascii="Times New Roman" w:hAnsi="Times New Roman" w:eastAsia="宋体" w:cs="Times New Roman"/>
                      <w:color w:val="auto"/>
                      <w:szCs w:val="21"/>
                      <w:lang w:bidi="ar"/>
                    </w:rPr>
                    <w:t>500</w:t>
                  </w:r>
                  <w:r>
                    <w:rPr>
                      <w:rFonts w:hint="eastAsia" w:ascii="宋体" w:hAnsi="宋体" w:eastAsia="宋体" w:cs="宋体"/>
                      <w:color w:val="auto"/>
                      <w:szCs w:val="21"/>
                      <w:lang w:bidi="ar"/>
                    </w:rPr>
                    <w:t>万平方米有机硅片材建设项目</w:t>
                  </w:r>
                </w:p>
              </w:tc>
              <w:tc>
                <w:tcPr>
                  <w:tcW w:w="1391" w:type="dxa"/>
                  <w:tcBorders>
                    <w:top w:val="single" w:color="auto" w:sz="4" w:space="0"/>
                    <w:left w:val="nil"/>
                    <w:bottom w:val="single" w:color="auto" w:sz="4" w:space="0"/>
                    <w:right w:val="single" w:color="auto" w:sz="4" w:space="0"/>
                  </w:tcBorders>
                  <w:vAlign w:val="center"/>
                </w:tcPr>
                <w:p w14:paraId="5172048C">
                  <w:pPr>
                    <w:keepNext w:val="0"/>
                    <w:keepLines w:val="0"/>
                    <w:suppressLineNumbers w:val="0"/>
                    <w:autoSpaceDE w:val="0"/>
                    <w:spacing w:before="0" w:beforeAutospacing="0" w:after="0" w:afterAutospacing="0"/>
                    <w:ind w:left="0" w:right="0"/>
                    <w:jc w:val="center"/>
                    <w:rPr>
                      <w:rFonts w:hint="default" w:ascii="Times New Roman" w:hAnsi="Times New Roman" w:eastAsia="宋体" w:cs="Times New Roman"/>
                      <w:color w:val="auto"/>
                      <w:szCs w:val="21"/>
                    </w:rPr>
                  </w:pPr>
                  <w:r>
                    <w:rPr>
                      <w:rFonts w:hint="eastAsia" w:ascii="宋体" w:hAnsi="宋体" w:eastAsia="宋体" w:cs="宋体"/>
                      <w:color w:val="auto"/>
                      <w:szCs w:val="21"/>
                      <w:lang w:bidi="ar"/>
                    </w:rPr>
                    <w:t>湖长合环改备</w:t>
                  </w:r>
                  <w:r>
                    <w:rPr>
                      <w:rFonts w:hint="default" w:ascii="Times New Roman" w:hAnsi="Times New Roman" w:eastAsia="宋体" w:cs="Times New Roman"/>
                      <w:color w:val="auto"/>
                      <w:szCs w:val="21"/>
                      <w:lang w:bidi="ar"/>
                    </w:rPr>
                    <w:t>2023-9</w:t>
                  </w:r>
                  <w:r>
                    <w:rPr>
                      <w:rFonts w:hint="eastAsia" w:ascii="宋体" w:hAnsi="宋体" w:eastAsia="宋体" w:cs="宋体"/>
                      <w:color w:val="auto"/>
                      <w:szCs w:val="21"/>
                      <w:lang w:bidi="ar"/>
                    </w:rPr>
                    <w:t>号</w:t>
                  </w:r>
                </w:p>
              </w:tc>
              <w:tc>
                <w:tcPr>
                  <w:tcW w:w="1379" w:type="dxa"/>
                  <w:tcBorders>
                    <w:top w:val="single" w:color="auto" w:sz="4" w:space="0"/>
                    <w:left w:val="nil"/>
                    <w:bottom w:val="single" w:color="auto" w:sz="4" w:space="0"/>
                    <w:right w:val="single" w:color="auto" w:sz="4" w:space="0"/>
                  </w:tcBorders>
                  <w:vAlign w:val="center"/>
                </w:tcPr>
                <w:p w14:paraId="1E2558E3">
                  <w:pPr>
                    <w:keepNext w:val="0"/>
                    <w:keepLines w:val="0"/>
                    <w:suppressLineNumbers w:val="0"/>
                    <w:autoSpaceDE w:val="0"/>
                    <w:spacing w:before="0" w:beforeAutospacing="0" w:after="0" w:afterAutospacing="0"/>
                    <w:ind w:left="0" w:right="0"/>
                    <w:jc w:val="center"/>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lang w:bidi="ar"/>
                    </w:rPr>
                    <w:t>500</w:t>
                  </w:r>
                  <w:r>
                    <w:rPr>
                      <w:rFonts w:hint="eastAsia" w:ascii="宋体" w:hAnsi="宋体" w:eastAsia="宋体" w:cs="宋体"/>
                      <w:color w:val="auto"/>
                      <w:szCs w:val="21"/>
                      <w:lang w:bidi="ar"/>
                    </w:rPr>
                    <w:t>万平方米有机硅片</w:t>
                  </w:r>
                </w:p>
              </w:tc>
              <w:tc>
                <w:tcPr>
                  <w:tcW w:w="1018" w:type="dxa"/>
                  <w:tcBorders>
                    <w:top w:val="single" w:color="auto" w:sz="4" w:space="0"/>
                    <w:left w:val="nil"/>
                    <w:bottom w:val="single" w:color="auto" w:sz="4" w:space="0"/>
                    <w:right w:val="single" w:color="auto" w:sz="4" w:space="0"/>
                  </w:tcBorders>
                  <w:vAlign w:val="center"/>
                </w:tcPr>
                <w:p w14:paraId="19CFB0C4">
                  <w:pPr>
                    <w:keepNext w:val="0"/>
                    <w:keepLines w:val="0"/>
                    <w:suppressLineNumbers w:val="0"/>
                    <w:autoSpaceDE w:val="0"/>
                    <w:spacing w:before="0" w:beforeAutospacing="0" w:after="0" w:afterAutospacing="0"/>
                    <w:ind w:left="0" w:right="0"/>
                    <w:jc w:val="center"/>
                    <w:rPr>
                      <w:rFonts w:hint="default" w:ascii="Times New Roman" w:hAnsi="Times New Roman" w:eastAsia="宋体" w:cs="Times New Roman"/>
                      <w:color w:val="auto"/>
                      <w:szCs w:val="21"/>
                    </w:rPr>
                  </w:pPr>
                  <w:r>
                    <w:rPr>
                      <w:rFonts w:hint="eastAsia" w:ascii="宋体" w:hAnsi="宋体" w:eastAsia="宋体" w:cs="宋体"/>
                      <w:color w:val="auto"/>
                      <w:szCs w:val="21"/>
                      <w:lang w:bidi="ar"/>
                    </w:rPr>
                    <w:t>自主</w:t>
                  </w:r>
                </w:p>
                <w:p w14:paraId="4FBD20CD">
                  <w:pPr>
                    <w:keepNext w:val="0"/>
                    <w:keepLines w:val="0"/>
                    <w:suppressLineNumbers w:val="0"/>
                    <w:autoSpaceDE w:val="0"/>
                    <w:spacing w:before="0" w:beforeAutospacing="0" w:after="0" w:afterAutospacing="0"/>
                    <w:ind w:left="0" w:right="0"/>
                    <w:jc w:val="center"/>
                    <w:rPr>
                      <w:rFonts w:hint="default" w:ascii="Times New Roman" w:hAnsi="Times New Roman" w:eastAsia="宋体" w:cs="Times New Roman"/>
                      <w:color w:val="auto"/>
                      <w:szCs w:val="21"/>
                    </w:rPr>
                  </w:pPr>
                  <w:r>
                    <w:rPr>
                      <w:rFonts w:hint="eastAsia" w:ascii="宋体" w:hAnsi="宋体" w:eastAsia="宋体" w:cs="宋体"/>
                      <w:color w:val="auto"/>
                      <w:szCs w:val="21"/>
                      <w:lang w:bidi="ar"/>
                    </w:rPr>
                    <w:t>验收</w:t>
                  </w:r>
                </w:p>
              </w:tc>
              <w:tc>
                <w:tcPr>
                  <w:tcW w:w="1276" w:type="dxa"/>
                  <w:tcBorders>
                    <w:top w:val="single" w:color="auto" w:sz="4" w:space="0"/>
                    <w:left w:val="nil"/>
                    <w:bottom w:val="single" w:color="auto" w:sz="4" w:space="0"/>
                    <w:right w:val="single" w:color="auto" w:sz="4" w:space="0"/>
                  </w:tcBorders>
                  <w:vAlign w:val="center"/>
                </w:tcPr>
                <w:p w14:paraId="25A02AE5">
                  <w:pPr>
                    <w:keepNext w:val="0"/>
                    <w:keepLines w:val="0"/>
                    <w:suppressLineNumbers w:val="0"/>
                    <w:autoSpaceDE w:val="0"/>
                    <w:spacing w:before="0" w:beforeAutospacing="0" w:after="0" w:afterAutospacing="0"/>
                    <w:ind w:left="0" w:right="0"/>
                    <w:jc w:val="center"/>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lang w:bidi="ar"/>
                    </w:rPr>
                    <w:t>500</w:t>
                  </w:r>
                  <w:r>
                    <w:rPr>
                      <w:rFonts w:hint="eastAsia" w:ascii="宋体" w:hAnsi="宋体" w:eastAsia="宋体" w:cs="宋体"/>
                      <w:color w:val="auto"/>
                      <w:szCs w:val="21"/>
                      <w:lang w:bidi="ar"/>
                    </w:rPr>
                    <w:t>万平方米有机硅片</w:t>
                  </w:r>
                </w:p>
              </w:tc>
              <w:tc>
                <w:tcPr>
                  <w:tcW w:w="1129" w:type="dxa"/>
                  <w:tcBorders>
                    <w:top w:val="single" w:color="auto" w:sz="4" w:space="0"/>
                    <w:left w:val="nil"/>
                    <w:bottom w:val="single" w:color="auto" w:sz="4" w:space="0"/>
                    <w:right w:val="single" w:color="auto" w:sz="4" w:space="0"/>
                  </w:tcBorders>
                  <w:vAlign w:val="center"/>
                </w:tcPr>
                <w:p w14:paraId="0C9A658B">
                  <w:pPr>
                    <w:keepNext w:val="0"/>
                    <w:keepLines w:val="0"/>
                    <w:suppressLineNumbers w:val="0"/>
                    <w:autoSpaceDE w:val="0"/>
                    <w:spacing w:before="0" w:beforeAutospacing="0" w:after="0" w:afterAutospacing="0"/>
                    <w:ind w:left="0" w:right="0"/>
                    <w:jc w:val="center"/>
                    <w:rPr>
                      <w:rFonts w:hint="default" w:ascii="Times New Roman" w:hAnsi="Times New Roman" w:eastAsia="宋体" w:cs="Times New Roman"/>
                      <w:color w:val="auto"/>
                      <w:szCs w:val="21"/>
                    </w:rPr>
                  </w:pPr>
                  <w:r>
                    <w:rPr>
                      <w:rFonts w:hint="eastAsia" w:ascii="宋体" w:hAnsi="宋体" w:eastAsia="宋体" w:cs="宋体"/>
                      <w:color w:val="auto"/>
                      <w:szCs w:val="21"/>
                      <w:lang w:bidi="ar"/>
                    </w:rPr>
                    <w:t>目前已停产，搬迁至项目</w:t>
                  </w:r>
                  <w:r>
                    <w:rPr>
                      <w:rFonts w:hint="default" w:ascii="Times New Roman" w:hAnsi="Times New Roman" w:eastAsia="宋体" w:cs="Times New Roman"/>
                      <w:color w:val="auto"/>
                      <w:szCs w:val="21"/>
                      <w:lang w:bidi="ar"/>
                    </w:rPr>
                    <w:t>3</w:t>
                  </w:r>
                </w:p>
              </w:tc>
            </w:tr>
            <w:tr w14:paraId="5A1700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65" w:type="dxa"/>
                  <w:tcBorders>
                    <w:top w:val="single" w:color="auto" w:sz="4" w:space="0"/>
                    <w:left w:val="single" w:color="auto" w:sz="4" w:space="0"/>
                    <w:bottom w:val="single" w:color="auto" w:sz="4" w:space="0"/>
                    <w:right w:val="single" w:color="auto" w:sz="4" w:space="0"/>
                  </w:tcBorders>
                  <w:vAlign w:val="center"/>
                </w:tcPr>
                <w:p w14:paraId="2B09B317">
                  <w:pPr>
                    <w:keepNext w:val="0"/>
                    <w:keepLines w:val="0"/>
                    <w:suppressLineNumbers w:val="0"/>
                    <w:autoSpaceDE w:val="0"/>
                    <w:spacing w:before="0" w:beforeAutospacing="0" w:after="0" w:afterAutospacing="0"/>
                    <w:ind w:left="0" w:right="0"/>
                    <w:jc w:val="center"/>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lang w:bidi="ar"/>
                    </w:rPr>
                    <w:t>3</w:t>
                  </w:r>
                </w:p>
              </w:tc>
              <w:tc>
                <w:tcPr>
                  <w:tcW w:w="1417" w:type="dxa"/>
                  <w:tcBorders>
                    <w:top w:val="single" w:color="auto" w:sz="4" w:space="0"/>
                    <w:left w:val="nil"/>
                    <w:bottom w:val="single" w:color="auto" w:sz="4" w:space="0"/>
                    <w:right w:val="single" w:color="auto" w:sz="4" w:space="0"/>
                  </w:tcBorders>
                  <w:vAlign w:val="center"/>
                </w:tcPr>
                <w:p w14:paraId="2E28487B">
                  <w:pPr>
                    <w:keepNext w:val="0"/>
                    <w:keepLines w:val="0"/>
                    <w:suppressLineNumbers w:val="0"/>
                    <w:autoSpaceDE w:val="0"/>
                    <w:spacing w:before="0" w:beforeAutospacing="0" w:after="0" w:afterAutospacing="0"/>
                    <w:ind w:left="0" w:right="0"/>
                    <w:jc w:val="center"/>
                    <w:rPr>
                      <w:rFonts w:hint="default" w:ascii="Times New Roman" w:hAnsi="Times New Roman" w:eastAsia="宋体" w:cs="Times New Roman"/>
                      <w:color w:val="auto"/>
                      <w:szCs w:val="21"/>
                    </w:rPr>
                  </w:pPr>
                  <w:r>
                    <w:rPr>
                      <w:rFonts w:hint="eastAsia" w:ascii="宋体" w:hAnsi="宋体" w:eastAsia="宋体" w:cs="宋体"/>
                      <w:color w:val="auto"/>
                      <w:szCs w:val="21"/>
                      <w:lang w:bidi="ar"/>
                    </w:rPr>
                    <w:t>浙江凌志新能源科技有限公司年产</w:t>
                  </w:r>
                  <w:r>
                    <w:rPr>
                      <w:rFonts w:hint="default" w:ascii="Times New Roman" w:hAnsi="Times New Roman" w:eastAsia="宋体" w:cs="Times New Roman"/>
                      <w:color w:val="auto"/>
                      <w:szCs w:val="21"/>
                      <w:lang w:bidi="ar"/>
                    </w:rPr>
                    <w:t>1000</w:t>
                  </w:r>
                  <w:r>
                    <w:rPr>
                      <w:rFonts w:hint="eastAsia" w:ascii="宋体" w:hAnsi="宋体" w:eastAsia="宋体" w:cs="宋体"/>
                      <w:color w:val="auto"/>
                      <w:szCs w:val="21"/>
                      <w:lang w:bidi="ar"/>
                    </w:rPr>
                    <w:t>万平方米新能源汽车零部件（有机硅组件）建设项目</w:t>
                  </w:r>
                </w:p>
              </w:tc>
              <w:tc>
                <w:tcPr>
                  <w:tcW w:w="1391" w:type="dxa"/>
                  <w:tcBorders>
                    <w:top w:val="single" w:color="auto" w:sz="4" w:space="0"/>
                    <w:left w:val="nil"/>
                    <w:bottom w:val="single" w:color="auto" w:sz="4" w:space="0"/>
                    <w:right w:val="single" w:color="auto" w:sz="4" w:space="0"/>
                  </w:tcBorders>
                  <w:vAlign w:val="center"/>
                </w:tcPr>
                <w:p w14:paraId="5A716954">
                  <w:pPr>
                    <w:keepNext w:val="0"/>
                    <w:keepLines w:val="0"/>
                    <w:suppressLineNumbers w:val="0"/>
                    <w:autoSpaceDE w:val="0"/>
                    <w:spacing w:before="0" w:beforeAutospacing="0" w:after="0" w:afterAutospacing="0"/>
                    <w:ind w:left="0" w:right="0"/>
                    <w:jc w:val="center"/>
                    <w:rPr>
                      <w:rFonts w:hint="default" w:ascii="Times New Roman" w:hAnsi="Times New Roman" w:eastAsia="宋体" w:cs="Times New Roman"/>
                      <w:color w:val="auto"/>
                      <w:szCs w:val="21"/>
                    </w:rPr>
                  </w:pPr>
                  <w:r>
                    <w:rPr>
                      <w:rFonts w:hint="eastAsia" w:ascii="宋体" w:hAnsi="宋体" w:eastAsia="宋体" w:cs="宋体"/>
                      <w:color w:val="auto"/>
                      <w:szCs w:val="21"/>
                      <w:lang w:bidi="ar"/>
                    </w:rPr>
                    <w:t>湖长合环改备</w:t>
                  </w:r>
                  <w:r>
                    <w:rPr>
                      <w:rFonts w:hint="default" w:ascii="Times New Roman" w:hAnsi="Times New Roman" w:eastAsia="宋体" w:cs="Times New Roman"/>
                      <w:color w:val="auto"/>
                      <w:szCs w:val="21"/>
                      <w:lang w:bidi="ar"/>
                    </w:rPr>
                    <w:t>2024-23</w:t>
                  </w:r>
                  <w:r>
                    <w:rPr>
                      <w:rFonts w:hint="eastAsia" w:ascii="宋体" w:hAnsi="宋体" w:eastAsia="宋体" w:cs="宋体"/>
                      <w:color w:val="auto"/>
                      <w:szCs w:val="21"/>
                      <w:lang w:bidi="ar"/>
                    </w:rPr>
                    <w:t>号</w:t>
                  </w:r>
                </w:p>
              </w:tc>
              <w:tc>
                <w:tcPr>
                  <w:tcW w:w="1379" w:type="dxa"/>
                  <w:tcBorders>
                    <w:top w:val="single" w:color="auto" w:sz="4" w:space="0"/>
                    <w:left w:val="nil"/>
                    <w:bottom w:val="single" w:color="auto" w:sz="4" w:space="0"/>
                    <w:right w:val="single" w:color="auto" w:sz="4" w:space="0"/>
                  </w:tcBorders>
                  <w:vAlign w:val="center"/>
                </w:tcPr>
                <w:p w14:paraId="4BE2A2C4">
                  <w:pPr>
                    <w:keepNext w:val="0"/>
                    <w:keepLines w:val="0"/>
                    <w:suppressLineNumbers w:val="0"/>
                    <w:autoSpaceDE w:val="0"/>
                    <w:spacing w:before="0" w:beforeAutospacing="0" w:after="0" w:afterAutospacing="0"/>
                    <w:ind w:left="0" w:right="0"/>
                    <w:jc w:val="center"/>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lang w:bidi="ar"/>
                    </w:rPr>
                    <w:t>1000</w:t>
                  </w:r>
                  <w:r>
                    <w:rPr>
                      <w:rFonts w:hint="eastAsia" w:ascii="宋体" w:hAnsi="宋体" w:eastAsia="宋体" w:cs="宋体"/>
                      <w:color w:val="auto"/>
                      <w:szCs w:val="21"/>
                      <w:lang w:bidi="ar"/>
                    </w:rPr>
                    <w:t>万平方米新能源汽车零部件（有机硅组件）</w:t>
                  </w:r>
                </w:p>
              </w:tc>
              <w:tc>
                <w:tcPr>
                  <w:tcW w:w="1018" w:type="dxa"/>
                  <w:tcBorders>
                    <w:top w:val="single" w:color="auto" w:sz="4" w:space="0"/>
                    <w:left w:val="nil"/>
                    <w:bottom w:val="single" w:color="auto" w:sz="4" w:space="0"/>
                    <w:right w:val="single" w:color="auto" w:sz="4" w:space="0"/>
                  </w:tcBorders>
                  <w:vAlign w:val="center"/>
                </w:tcPr>
                <w:p w14:paraId="508B1E95">
                  <w:pPr>
                    <w:keepNext w:val="0"/>
                    <w:keepLines w:val="0"/>
                    <w:suppressLineNumbers w:val="0"/>
                    <w:autoSpaceDE w:val="0"/>
                    <w:spacing w:before="0" w:beforeAutospacing="0" w:after="0" w:afterAutospacing="0"/>
                    <w:ind w:left="0" w:right="0"/>
                    <w:jc w:val="center"/>
                    <w:rPr>
                      <w:rFonts w:hint="default" w:ascii="Times New Roman" w:hAnsi="Times New Roman" w:eastAsia="宋体" w:cs="Times New Roman"/>
                      <w:color w:val="auto"/>
                      <w:szCs w:val="21"/>
                    </w:rPr>
                  </w:pPr>
                  <w:r>
                    <w:rPr>
                      <w:rFonts w:hint="eastAsia" w:ascii="宋体" w:hAnsi="宋体" w:eastAsia="宋体" w:cs="宋体"/>
                      <w:color w:val="auto"/>
                      <w:szCs w:val="21"/>
                      <w:lang w:bidi="ar"/>
                    </w:rPr>
                    <w:t>自主</w:t>
                  </w:r>
                </w:p>
                <w:p w14:paraId="04210AC1">
                  <w:pPr>
                    <w:keepNext w:val="0"/>
                    <w:keepLines w:val="0"/>
                    <w:suppressLineNumbers w:val="0"/>
                    <w:autoSpaceDE w:val="0"/>
                    <w:spacing w:before="0" w:beforeAutospacing="0" w:after="0" w:afterAutospacing="0"/>
                    <w:ind w:left="0" w:right="0"/>
                    <w:jc w:val="center"/>
                    <w:rPr>
                      <w:rFonts w:hint="default" w:ascii="Times New Roman" w:hAnsi="Times New Roman" w:eastAsia="宋体" w:cs="Times New Roman"/>
                      <w:color w:val="auto"/>
                      <w:szCs w:val="21"/>
                    </w:rPr>
                  </w:pPr>
                  <w:r>
                    <w:rPr>
                      <w:rFonts w:hint="eastAsia" w:ascii="宋体" w:hAnsi="宋体" w:eastAsia="宋体" w:cs="宋体"/>
                      <w:color w:val="auto"/>
                      <w:szCs w:val="21"/>
                      <w:lang w:bidi="ar"/>
                    </w:rPr>
                    <w:t>验收</w:t>
                  </w:r>
                </w:p>
              </w:tc>
              <w:tc>
                <w:tcPr>
                  <w:tcW w:w="1276" w:type="dxa"/>
                  <w:tcBorders>
                    <w:top w:val="single" w:color="auto" w:sz="4" w:space="0"/>
                    <w:left w:val="nil"/>
                    <w:bottom w:val="single" w:color="auto" w:sz="4" w:space="0"/>
                    <w:right w:val="single" w:color="auto" w:sz="4" w:space="0"/>
                  </w:tcBorders>
                  <w:vAlign w:val="center"/>
                </w:tcPr>
                <w:p w14:paraId="02A652AD">
                  <w:pPr>
                    <w:keepNext w:val="0"/>
                    <w:keepLines w:val="0"/>
                    <w:suppressLineNumbers w:val="0"/>
                    <w:autoSpaceDE w:val="0"/>
                    <w:spacing w:before="0" w:beforeAutospacing="0" w:after="0" w:afterAutospacing="0"/>
                    <w:ind w:left="0" w:right="0"/>
                    <w:jc w:val="center"/>
                    <w:rPr>
                      <w:rFonts w:hint="default" w:ascii="Times New Roman" w:hAnsi="Times New Roman" w:eastAsia="宋体" w:cs="Times New Roman"/>
                      <w:color w:val="auto"/>
                      <w:szCs w:val="21"/>
                    </w:rPr>
                  </w:pPr>
                  <w:r>
                    <w:rPr>
                      <w:rFonts w:hint="default" w:ascii="Times New Roman" w:hAnsi="Times New Roman" w:eastAsia="宋体" w:cs="Times New Roman"/>
                      <w:color w:val="FF0000"/>
                      <w:szCs w:val="21"/>
                      <w:lang w:bidi="ar"/>
                    </w:rPr>
                    <w:t>782</w:t>
                  </w:r>
                  <w:commentRangeStart w:id="39"/>
                  <w:commentRangeStart w:id="40"/>
                  <w:r>
                    <w:rPr>
                      <w:rFonts w:hint="eastAsia" w:ascii="宋体" w:hAnsi="宋体" w:eastAsia="宋体" w:cs="宋体"/>
                      <w:color w:val="FF0000"/>
                      <w:szCs w:val="21"/>
                      <w:lang w:bidi="ar"/>
                    </w:rPr>
                    <w:t>万平方米新能源汽车零部件（有机硅组件）</w:t>
                  </w:r>
                  <w:commentRangeEnd w:id="39"/>
                  <w:r>
                    <w:rPr>
                      <w:rFonts w:hint="default"/>
                      <w:color w:val="FF0000"/>
                    </w:rPr>
                    <w:commentReference w:id="39"/>
                  </w:r>
                  <w:commentRangeEnd w:id="40"/>
                  <w:r>
                    <w:rPr>
                      <w:rFonts w:hint="default"/>
                    </w:rPr>
                    <w:commentReference w:id="40"/>
                  </w:r>
                </w:p>
              </w:tc>
              <w:tc>
                <w:tcPr>
                  <w:tcW w:w="1129" w:type="dxa"/>
                  <w:tcBorders>
                    <w:top w:val="single" w:color="auto" w:sz="4" w:space="0"/>
                    <w:left w:val="nil"/>
                    <w:bottom w:val="single" w:color="auto" w:sz="4" w:space="0"/>
                    <w:right w:val="single" w:color="auto" w:sz="4" w:space="0"/>
                  </w:tcBorders>
                  <w:vAlign w:val="center"/>
                </w:tcPr>
                <w:p w14:paraId="41BE720B">
                  <w:pPr>
                    <w:keepNext w:val="0"/>
                    <w:keepLines w:val="0"/>
                    <w:suppressLineNumbers w:val="0"/>
                    <w:autoSpaceDE w:val="0"/>
                    <w:spacing w:before="0" w:beforeAutospacing="0" w:after="0" w:afterAutospacing="0"/>
                    <w:ind w:left="0" w:right="0"/>
                    <w:jc w:val="center"/>
                    <w:rPr>
                      <w:rFonts w:hint="default" w:ascii="Times New Roman" w:hAnsi="Times New Roman" w:eastAsia="宋体" w:cs="Times New Roman"/>
                      <w:color w:val="auto"/>
                      <w:szCs w:val="21"/>
                    </w:rPr>
                  </w:pPr>
                  <w:r>
                    <w:rPr>
                      <w:rFonts w:hint="eastAsia" w:ascii="宋体" w:hAnsi="宋体" w:eastAsia="宋体" w:cs="宋体"/>
                      <w:color w:val="auto"/>
                      <w:szCs w:val="21"/>
                      <w:lang w:bidi="ar"/>
                    </w:rPr>
                    <w:t>已投产，</w:t>
                  </w:r>
                </w:p>
                <w:p w14:paraId="4229D682">
                  <w:pPr>
                    <w:keepNext w:val="0"/>
                    <w:keepLines w:val="0"/>
                    <w:suppressLineNumbers w:val="0"/>
                    <w:autoSpaceDE w:val="0"/>
                    <w:spacing w:before="0" w:beforeAutospacing="0" w:after="0" w:afterAutospacing="0"/>
                    <w:ind w:left="0" w:right="0"/>
                    <w:jc w:val="center"/>
                    <w:rPr>
                      <w:rFonts w:hint="default" w:ascii="Times New Roman" w:hAnsi="Times New Roman" w:eastAsia="宋体" w:cs="Times New Roman"/>
                      <w:color w:val="auto"/>
                      <w:szCs w:val="21"/>
                    </w:rPr>
                  </w:pPr>
                  <w:r>
                    <w:rPr>
                      <w:rFonts w:hint="eastAsia" w:ascii="宋体" w:hAnsi="宋体" w:eastAsia="宋体" w:cs="宋体"/>
                      <w:color w:val="auto"/>
                      <w:szCs w:val="21"/>
                      <w:lang w:bidi="ar"/>
                    </w:rPr>
                    <w:t>正常运行</w:t>
                  </w:r>
                </w:p>
              </w:tc>
            </w:tr>
            <w:tr w14:paraId="7BCF52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4" w:hRule="atLeast"/>
                <w:jc w:val="center"/>
              </w:trPr>
              <w:tc>
                <w:tcPr>
                  <w:tcW w:w="8175" w:type="dxa"/>
                  <w:gridSpan w:val="7"/>
                  <w:tcBorders>
                    <w:top w:val="single" w:color="auto" w:sz="4" w:space="0"/>
                    <w:left w:val="single" w:color="auto" w:sz="4" w:space="0"/>
                    <w:bottom w:val="single" w:color="auto" w:sz="4" w:space="0"/>
                    <w:right w:val="single" w:color="auto" w:sz="4" w:space="0"/>
                  </w:tcBorders>
                  <w:vAlign w:val="center"/>
                </w:tcPr>
                <w:p w14:paraId="3F85E467">
                  <w:pPr>
                    <w:keepNext w:val="0"/>
                    <w:keepLines w:val="0"/>
                    <w:suppressLineNumbers w:val="0"/>
                    <w:autoSpaceDE w:val="0"/>
                    <w:spacing w:before="0" w:beforeAutospacing="0" w:after="0" w:afterAutospacing="0"/>
                    <w:ind w:left="0" w:right="0"/>
                    <w:rPr>
                      <w:rFonts w:hint="default" w:ascii="Times New Roman" w:hAnsi="Times New Roman" w:eastAsia="宋体" w:cs="Times New Roman"/>
                      <w:color w:val="auto"/>
                      <w:szCs w:val="21"/>
                    </w:rPr>
                  </w:pPr>
                  <w:r>
                    <w:rPr>
                      <w:rFonts w:hint="eastAsia" w:ascii="宋体" w:hAnsi="宋体" w:eastAsia="宋体" w:cs="宋体"/>
                      <w:color w:val="auto"/>
                      <w:szCs w:val="21"/>
                      <w:lang w:bidi="ar"/>
                    </w:rPr>
                    <w:t>注</w:t>
                  </w:r>
                  <w:r>
                    <w:rPr>
                      <w:rFonts w:hint="default" w:ascii="Times New Roman" w:hAnsi="Times New Roman" w:eastAsia="宋体" w:cs="Times New Roman"/>
                      <w:color w:val="auto"/>
                      <w:szCs w:val="21"/>
                      <w:lang w:bidi="ar"/>
                    </w:rPr>
                    <w:t>：①项目1：年产300万平方米有机硅片材建设项目；</w:t>
                  </w:r>
                </w:p>
                <w:p w14:paraId="0E9824E7">
                  <w:pPr>
                    <w:keepNext w:val="0"/>
                    <w:keepLines w:val="0"/>
                    <w:suppressLineNumbers w:val="0"/>
                    <w:autoSpaceDE w:val="0"/>
                    <w:spacing w:before="0" w:beforeAutospacing="0" w:after="0" w:afterAutospacing="0"/>
                    <w:ind w:left="0" w:right="0" w:firstLine="630" w:firstLineChars="300"/>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lang w:bidi="ar"/>
                    </w:rPr>
                    <w:t>项目2：浙江凌志新能源科技有限公司年产500万平方米有机硅片材建设项目；</w:t>
                  </w:r>
                </w:p>
                <w:p w14:paraId="7DCC7174">
                  <w:pPr>
                    <w:keepNext w:val="0"/>
                    <w:keepLines w:val="0"/>
                    <w:suppressLineNumbers w:val="0"/>
                    <w:autoSpaceDE w:val="0"/>
                    <w:spacing w:before="0" w:beforeAutospacing="0" w:after="0" w:afterAutospacing="0"/>
                    <w:ind w:left="0" w:right="0" w:firstLine="630" w:firstLineChars="300"/>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lang w:bidi="ar"/>
                    </w:rPr>
                    <w:t>项目3：浙江凌志新能源科技有限公司年产1000万平方米新能源汽车零部件（有机硅组件）建设项目；</w:t>
                  </w:r>
                </w:p>
                <w:p w14:paraId="2729708B">
                  <w:pPr>
                    <w:keepNext w:val="0"/>
                    <w:keepLines w:val="0"/>
                    <w:suppressLineNumbers w:val="0"/>
                    <w:autoSpaceDE w:val="0"/>
                    <w:spacing w:before="0" w:beforeAutospacing="0" w:after="0" w:afterAutospacing="0"/>
                    <w:ind w:left="0" w:right="0" w:firstLine="420" w:firstLineChars="200"/>
                    <w:rPr>
                      <w:rFonts w:hint="eastAsia" w:ascii="宋体" w:hAnsi="宋体" w:eastAsia="宋体" w:cs="宋体"/>
                      <w:color w:val="auto"/>
                      <w:szCs w:val="21"/>
                      <w:lang w:bidi="ar"/>
                    </w:rPr>
                  </w:pPr>
                  <w:r>
                    <w:rPr>
                      <w:rFonts w:hint="default" w:ascii="Times New Roman" w:hAnsi="Times New Roman" w:eastAsia="宋体" w:cs="Times New Roman"/>
                      <w:color w:val="auto"/>
                      <w:szCs w:val="21"/>
                      <w:lang w:bidi="ar"/>
                    </w:rPr>
                    <w:t>②目前项目1已停产，搬迁至项目2；项目2已停产，搬迁至项目3，现有项目梳理时不再介绍，仅介绍项目3。</w:t>
                  </w:r>
                </w:p>
              </w:tc>
            </w:tr>
          </w:tbl>
          <w:p w14:paraId="5BA26F16">
            <w:pPr>
              <w:keepNext w:val="0"/>
              <w:keepLines w:val="0"/>
              <w:suppressLineNumbers w:val="0"/>
              <w:spacing w:before="0" w:beforeAutospacing="0" w:after="0" w:afterAutospacing="0" w:line="360" w:lineRule="auto"/>
              <w:ind w:left="0" w:right="0"/>
              <w:rPr>
                <w:rFonts w:hint="default" w:ascii="Times New Roman" w:hAnsi="Times New Roman" w:eastAsia="宋体" w:cs="Times New Roman"/>
                <w:b/>
                <w:bCs/>
                <w:color w:val="auto"/>
                <w:sz w:val="24"/>
              </w:rPr>
            </w:pPr>
            <w:r>
              <w:rPr>
                <w:rFonts w:hint="eastAsia" w:ascii="Times New Roman" w:hAnsi="Times New Roman" w:eastAsia="宋体" w:cs="Times New Roman"/>
                <w:b/>
                <w:bCs/>
                <w:color w:val="auto"/>
                <w:sz w:val="24"/>
              </w:rPr>
              <w:t>2.3.2现有项目基本情况</w:t>
            </w:r>
          </w:p>
          <w:p w14:paraId="018C959C">
            <w:pPr>
              <w:keepNext w:val="0"/>
              <w:keepLines w:val="0"/>
              <w:suppressLineNumbers w:val="0"/>
              <w:spacing w:before="0" w:beforeAutospacing="0" w:after="0" w:afterAutospacing="0" w:line="360" w:lineRule="auto"/>
              <w:ind w:left="0" w:right="0" w:firstLine="480" w:firstLineChars="200"/>
              <w:rPr>
                <w:rFonts w:hint="default" w:ascii="Times New Roman" w:hAnsi="Times New Roman" w:eastAsia="宋体" w:cs="Times New Roman"/>
                <w:color w:val="auto"/>
                <w:sz w:val="24"/>
              </w:rPr>
            </w:pPr>
            <w:r>
              <w:rPr>
                <w:rFonts w:hint="eastAsia" w:ascii="Times New Roman" w:hAnsi="Times New Roman" w:eastAsia="宋体" w:cs="Times New Roman"/>
                <w:color w:val="auto"/>
                <w:sz w:val="24"/>
              </w:rPr>
              <w:t>（1）产品方案</w:t>
            </w:r>
          </w:p>
          <w:p w14:paraId="09542365">
            <w:pPr>
              <w:keepNext w:val="0"/>
              <w:keepLines w:val="0"/>
              <w:suppressLineNumbers w:val="0"/>
              <w:spacing w:before="0" w:beforeAutospacing="0" w:after="0" w:afterAutospacing="0"/>
              <w:ind w:left="0" w:right="0"/>
              <w:jc w:val="center"/>
              <w:rPr>
                <w:rFonts w:hint="default" w:ascii="Times New Roman" w:hAnsi="Times New Roman" w:eastAsia="宋体" w:cs="Times New Roman"/>
                <w:b/>
                <w:bCs/>
                <w:color w:val="auto"/>
              </w:rPr>
            </w:pPr>
            <w:r>
              <w:rPr>
                <w:rFonts w:hint="eastAsia" w:ascii="Times New Roman" w:hAnsi="Times New Roman" w:eastAsia="宋体" w:cs="Times New Roman"/>
                <w:b/>
                <w:bCs/>
                <w:color w:val="auto"/>
              </w:rPr>
              <w:t>表2-1</w:t>
            </w:r>
            <w:r>
              <w:rPr>
                <w:rFonts w:hint="eastAsia" w:ascii="Times New Roman" w:hAnsi="Times New Roman" w:eastAsia="宋体" w:cs="Times New Roman"/>
                <w:b/>
                <w:bCs/>
                <w:color w:val="auto"/>
                <w:lang w:val="en-US" w:eastAsia="zh-CN"/>
              </w:rPr>
              <w:t>5</w:t>
            </w:r>
            <w:r>
              <w:rPr>
                <w:rFonts w:hint="eastAsia" w:ascii="Times New Roman" w:hAnsi="Times New Roman" w:eastAsia="宋体" w:cs="Times New Roman"/>
                <w:b/>
                <w:bCs/>
                <w:color w:val="auto"/>
              </w:rPr>
              <w:t xml:space="preserve">  现有项目产品方案一览表</w:t>
            </w:r>
          </w:p>
          <w:tbl>
            <w:tblPr>
              <w:tblStyle w:val="22"/>
              <w:tblW w:w="4998"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33"/>
              <w:gridCol w:w="1361"/>
              <w:gridCol w:w="1799"/>
              <w:gridCol w:w="1994"/>
              <w:gridCol w:w="2085"/>
            </w:tblGrid>
            <w:tr w14:paraId="07E66C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1403" w:type="pct"/>
                  <w:gridSpan w:val="2"/>
                  <w:vAlign w:val="center"/>
                </w:tcPr>
                <w:p w14:paraId="7BDE8320">
                  <w:pPr>
                    <w:keepNext w:val="0"/>
                    <w:keepLines w:val="0"/>
                    <w:suppressLineNumbers w:val="0"/>
                    <w:spacing w:before="0" w:beforeAutospacing="0" w:after="0" w:afterAutospacing="0"/>
                    <w:ind w:left="0" w:right="0"/>
                    <w:jc w:val="center"/>
                    <w:rPr>
                      <w:rFonts w:hint="default" w:ascii="Times New Roman" w:hAnsi="Times New Roman" w:eastAsia="宋体" w:cs="Times New Roman"/>
                      <w:b/>
                      <w:bCs/>
                      <w:color w:val="auto"/>
                      <w:szCs w:val="21"/>
                    </w:rPr>
                  </w:pPr>
                  <w:r>
                    <w:rPr>
                      <w:rFonts w:hint="default" w:ascii="Times New Roman" w:hAnsi="Times New Roman" w:eastAsia="宋体" w:cs="Times New Roman"/>
                      <w:b/>
                      <w:bCs/>
                      <w:color w:val="auto"/>
                      <w:szCs w:val="21"/>
                    </w:rPr>
                    <w:t>产品名称</w:t>
                  </w:r>
                </w:p>
              </w:tc>
              <w:tc>
                <w:tcPr>
                  <w:tcW w:w="1101" w:type="pct"/>
                  <w:vAlign w:val="center"/>
                </w:tcPr>
                <w:p w14:paraId="22595920">
                  <w:pPr>
                    <w:keepNext w:val="0"/>
                    <w:keepLines w:val="0"/>
                    <w:suppressLineNumbers w:val="0"/>
                    <w:spacing w:before="0" w:beforeAutospacing="0" w:after="0" w:afterAutospacing="0"/>
                    <w:ind w:left="0" w:right="0"/>
                    <w:jc w:val="center"/>
                    <w:rPr>
                      <w:rFonts w:hint="default" w:ascii="Times New Roman" w:hAnsi="Times New Roman" w:eastAsia="宋体" w:cs="Times New Roman"/>
                      <w:b/>
                      <w:bCs/>
                      <w:color w:val="auto"/>
                      <w:szCs w:val="21"/>
                    </w:rPr>
                  </w:pPr>
                  <w:r>
                    <w:rPr>
                      <w:rFonts w:hint="default" w:ascii="Times New Roman" w:hAnsi="Times New Roman" w:eastAsia="宋体" w:cs="Times New Roman"/>
                      <w:b/>
                      <w:bCs/>
                      <w:color w:val="auto"/>
                      <w:szCs w:val="21"/>
                    </w:rPr>
                    <w:t>环评审批</w:t>
                  </w:r>
                  <w:r>
                    <w:rPr>
                      <w:rFonts w:hint="eastAsia" w:ascii="Times New Roman" w:hAnsi="Times New Roman" w:eastAsia="宋体" w:cs="Times New Roman"/>
                      <w:b/>
                      <w:bCs/>
                      <w:color w:val="00B050"/>
                      <w:szCs w:val="21"/>
                      <w:lang w:val="en-US" w:eastAsia="zh-CN"/>
                    </w:rPr>
                    <w:t>年</w:t>
                  </w:r>
                  <w:r>
                    <w:rPr>
                      <w:rFonts w:hint="default" w:ascii="Times New Roman" w:hAnsi="Times New Roman" w:eastAsia="宋体" w:cs="Times New Roman"/>
                      <w:b/>
                      <w:bCs/>
                      <w:color w:val="auto"/>
                      <w:szCs w:val="21"/>
                    </w:rPr>
                    <w:t>产能</w:t>
                  </w:r>
                </w:p>
              </w:tc>
              <w:tc>
                <w:tcPr>
                  <w:tcW w:w="1220" w:type="pct"/>
                  <w:vAlign w:val="center"/>
                </w:tcPr>
                <w:p w14:paraId="58BCF179">
                  <w:pPr>
                    <w:keepNext w:val="0"/>
                    <w:keepLines w:val="0"/>
                    <w:suppressLineNumbers w:val="0"/>
                    <w:spacing w:before="0" w:beforeAutospacing="0" w:after="0" w:afterAutospacing="0"/>
                    <w:ind w:left="0" w:right="0"/>
                    <w:jc w:val="center"/>
                    <w:rPr>
                      <w:rFonts w:hint="default" w:ascii="Times New Roman" w:hAnsi="Times New Roman" w:eastAsia="宋体" w:cs="Times New Roman"/>
                      <w:b/>
                      <w:bCs/>
                      <w:color w:val="auto"/>
                      <w:szCs w:val="21"/>
                    </w:rPr>
                  </w:pPr>
                  <w:r>
                    <w:rPr>
                      <w:rFonts w:hint="eastAsia" w:ascii="Times New Roman" w:hAnsi="Times New Roman" w:eastAsia="宋体" w:cs="Times New Roman"/>
                      <w:b/>
                      <w:bCs/>
                      <w:color w:val="auto"/>
                      <w:szCs w:val="21"/>
                    </w:rPr>
                    <w:t>阶段性</w:t>
                  </w:r>
                  <w:r>
                    <w:rPr>
                      <w:rFonts w:hint="default" w:ascii="Times New Roman" w:hAnsi="Times New Roman" w:eastAsia="宋体" w:cs="Times New Roman"/>
                      <w:b/>
                      <w:bCs/>
                      <w:color w:val="auto"/>
                      <w:szCs w:val="21"/>
                    </w:rPr>
                    <w:t>验收</w:t>
                  </w:r>
                  <w:r>
                    <w:rPr>
                      <w:rFonts w:hint="default" w:ascii="Times New Roman" w:hAnsi="Times New Roman" w:eastAsia="宋体" w:cs="Times New Roman"/>
                      <w:b/>
                      <w:bCs/>
                      <w:color w:val="00B050"/>
                      <w:szCs w:val="21"/>
                      <w:lang w:val="en-US" w:eastAsia="zh-CN"/>
                    </w:rPr>
                    <w:t>年</w:t>
                  </w:r>
                  <w:r>
                    <w:rPr>
                      <w:rFonts w:hint="default" w:ascii="Times New Roman" w:hAnsi="Times New Roman" w:eastAsia="宋体" w:cs="Times New Roman"/>
                      <w:b/>
                      <w:bCs/>
                      <w:color w:val="auto"/>
                      <w:szCs w:val="21"/>
                    </w:rPr>
                    <w:t>产能</w:t>
                  </w:r>
                </w:p>
              </w:tc>
              <w:tc>
                <w:tcPr>
                  <w:tcW w:w="1274" w:type="pct"/>
                  <w:vAlign w:val="center"/>
                </w:tcPr>
                <w:p w14:paraId="6388886B">
                  <w:pPr>
                    <w:keepNext w:val="0"/>
                    <w:keepLines w:val="0"/>
                    <w:suppressLineNumbers w:val="0"/>
                    <w:spacing w:before="0" w:beforeAutospacing="0" w:after="0" w:afterAutospacing="0"/>
                    <w:ind w:left="0" w:right="0"/>
                    <w:jc w:val="center"/>
                    <w:rPr>
                      <w:rFonts w:hint="default" w:ascii="Times New Roman" w:hAnsi="Times New Roman" w:eastAsia="宋体" w:cs="Times New Roman"/>
                      <w:b/>
                      <w:bCs/>
                      <w:color w:val="auto"/>
                      <w:szCs w:val="21"/>
                    </w:rPr>
                  </w:pPr>
                  <w:r>
                    <w:rPr>
                      <w:rFonts w:hint="default" w:ascii="Times New Roman" w:hAnsi="Times New Roman" w:eastAsia="宋体" w:cs="Times New Roman"/>
                      <w:b/>
                      <w:bCs/>
                      <w:color w:val="auto"/>
                      <w:szCs w:val="21"/>
                    </w:rPr>
                    <w:t>实际</w:t>
                  </w:r>
                  <w:r>
                    <w:rPr>
                      <w:rFonts w:hint="default" w:ascii="Times New Roman" w:hAnsi="Times New Roman" w:eastAsia="宋体" w:cs="Times New Roman"/>
                      <w:b/>
                      <w:bCs/>
                      <w:color w:val="00B050"/>
                      <w:szCs w:val="21"/>
                      <w:lang w:val="en-US" w:eastAsia="zh-CN"/>
                    </w:rPr>
                    <w:t>年</w:t>
                  </w:r>
                  <w:r>
                    <w:rPr>
                      <w:rFonts w:hint="default" w:ascii="Times New Roman" w:hAnsi="Times New Roman" w:eastAsia="宋体" w:cs="Times New Roman"/>
                      <w:b/>
                      <w:bCs/>
                      <w:color w:val="auto"/>
                      <w:szCs w:val="21"/>
                    </w:rPr>
                    <w:t>产能</w:t>
                  </w:r>
                </w:p>
              </w:tc>
            </w:tr>
            <w:tr w14:paraId="410BF9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570" w:type="pct"/>
                  <w:vMerge w:val="restart"/>
                  <w:vAlign w:val="center"/>
                </w:tcPr>
                <w:p w14:paraId="2DDA7F98">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rPr>
                    <w:t>有机硅片材</w:t>
                  </w:r>
                </w:p>
              </w:tc>
              <w:tc>
                <w:tcPr>
                  <w:tcW w:w="832" w:type="pct"/>
                  <w:vAlign w:val="center"/>
                </w:tcPr>
                <w:p w14:paraId="325DB692">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rPr>
                    <w:t>多孔类片材</w:t>
                  </w:r>
                </w:p>
              </w:tc>
              <w:tc>
                <w:tcPr>
                  <w:tcW w:w="1101" w:type="pct"/>
                  <w:vAlign w:val="center"/>
                </w:tcPr>
                <w:p w14:paraId="5031DC66">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rPr>
                    <w:t>700万m²</w:t>
                  </w:r>
                </w:p>
              </w:tc>
              <w:tc>
                <w:tcPr>
                  <w:tcW w:w="1995" w:type="dxa"/>
                  <w:vAlign w:val="center"/>
                </w:tcPr>
                <w:p w14:paraId="23E11B55">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highlight w:val="yellow"/>
                    </w:rPr>
                  </w:pPr>
                  <w:r>
                    <w:rPr>
                      <w:rFonts w:hint="default" w:ascii="Times New Roman" w:hAnsi="Times New Roman" w:eastAsia="宋体" w:cs="Times New Roman"/>
                      <w:color w:val="auto"/>
                      <w:szCs w:val="21"/>
                    </w:rPr>
                    <w:t>548万m²</w:t>
                  </w:r>
                </w:p>
              </w:tc>
              <w:tc>
                <w:tcPr>
                  <w:tcW w:w="2083" w:type="dxa"/>
                  <w:vAlign w:val="center"/>
                </w:tcPr>
                <w:p w14:paraId="0DE26366">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highlight w:val="yellow"/>
                    </w:rPr>
                  </w:pPr>
                  <w:r>
                    <w:rPr>
                      <w:rFonts w:hint="default" w:ascii="Times New Roman" w:hAnsi="Times New Roman" w:eastAsia="宋体" w:cs="Times New Roman"/>
                      <w:color w:val="auto"/>
                      <w:szCs w:val="21"/>
                    </w:rPr>
                    <w:t>548万m²</w:t>
                  </w:r>
                </w:p>
              </w:tc>
            </w:tr>
            <w:tr w14:paraId="18005C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570" w:type="pct"/>
                  <w:vMerge w:val="continue"/>
                  <w:vAlign w:val="center"/>
                </w:tcPr>
                <w:p w14:paraId="03706FBC">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kern w:val="0"/>
                      <w:szCs w:val="21"/>
                      <w:lang w:bidi="ar"/>
                    </w:rPr>
                  </w:pPr>
                </w:p>
              </w:tc>
              <w:tc>
                <w:tcPr>
                  <w:tcW w:w="832" w:type="pct"/>
                  <w:vAlign w:val="center"/>
                </w:tcPr>
                <w:p w14:paraId="0B7B41E9">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rPr>
                    <w:t>实心片材</w:t>
                  </w:r>
                </w:p>
              </w:tc>
              <w:tc>
                <w:tcPr>
                  <w:tcW w:w="1101" w:type="pct"/>
                  <w:vAlign w:val="center"/>
                </w:tcPr>
                <w:p w14:paraId="129C4D7B">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rPr>
                    <w:t>100万m²</w:t>
                  </w:r>
                </w:p>
              </w:tc>
              <w:tc>
                <w:tcPr>
                  <w:tcW w:w="1995" w:type="dxa"/>
                  <w:vAlign w:val="center"/>
                </w:tcPr>
                <w:p w14:paraId="11552640">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rPr>
                    <w:t>78万m²</w:t>
                  </w:r>
                </w:p>
              </w:tc>
              <w:tc>
                <w:tcPr>
                  <w:tcW w:w="2083" w:type="dxa"/>
                  <w:vAlign w:val="center"/>
                </w:tcPr>
                <w:p w14:paraId="0AA9326E">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rPr>
                    <w:t>78万m²</w:t>
                  </w:r>
                </w:p>
              </w:tc>
            </w:tr>
            <w:tr w14:paraId="21714B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570" w:type="pct"/>
                  <w:vMerge w:val="continue"/>
                  <w:vAlign w:val="center"/>
                </w:tcPr>
                <w:p w14:paraId="60F82969">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kern w:val="0"/>
                      <w:szCs w:val="21"/>
                      <w:lang w:bidi="ar"/>
                    </w:rPr>
                  </w:pPr>
                </w:p>
              </w:tc>
              <w:tc>
                <w:tcPr>
                  <w:tcW w:w="832" w:type="pct"/>
                  <w:vAlign w:val="center"/>
                </w:tcPr>
                <w:p w14:paraId="2B597CC9">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rPr>
                    <w:t>导热类片材</w:t>
                  </w:r>
                </w:p>
              </w:tc>
              <w:tc>
                <w:tcPr>
                  <w:tcW w:w="1101" w:type="pct"/>
                  <w:vAlign w:val="center"/>
                </w:tcPr>
                <w:p w14:paraId="2314E41E">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rPr>
                    <w:t>100万m²</w:t>
                  </w:r>
                </w:p>
              </w:tc>
              <w:tc>
                <w:tcPr>
                  <w:tcW w:w="1995" w:type="dxa"/>
                  <w:vAlign w:val="center"/>
                </w:tcPr>
                <w:p w14:paraId="7380161B">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rPr>
                    <w:t>78万m²</w:t>
                  </w:r>
                </w:p>
              </w:tc>
              <w:tc>
                <w:tcPr>
                  <w:tcW w:w="2083" w:type="dxa"/>
                  <w:vAlign w:val="center"/>
                </w:tcPr>
                <w:p w14:paraId="13DD0764">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rPr>
                    <w:t>78万m²</w:t>
                  </w:r>
                </w:p>
              </w:tc>
            </w:tr>
            <w:tr w14:paraId="6A8448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570" w:type="pct"/>
                  <w:vMerge w:val="continue"/>
                  <w:vAlign w:val="center"/>
                </w:tcPr>
                <w:p w14:paraId="1262260F">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kern w:val="0"/>
                      <w:szCs w:val="21"/>
                      <w:lang w:bidi="ar"/>
                    </w:rPr>
                  </w:pPr>
                </w:p>
              </w:tc>
              <w:tc>
                <w:tcPr>
                  <w:tcW w:w="832" w:type="pct"/>
                  <w:vAlign w:val="center"/>
                </w:tcPr>
                <w:p w14:paraId="5A5ACE90">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rPr>
                    <w:t>陶瓷化片材</w:t>
                  </w:r>
                </w:p>
              </w:tc>
              <w:tc>
                <w:tcPr>
                  <w:tcW w:w="1101" w:type="pct"/>
                  <w:vAlign w:val="center"/>
                </w:tcPr>
                <w:p w14:paraId="68B33E3B">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rPr>
                    <w:t>100万m²</w:t>
                  </w:r>
                </w:p>
              </w:tc>
              <w:tc>
                <w:tcPr>
                  <w:tcW w:w="1995" w:type="dxa"/>
                  <w:vAlign w:val="center"/>
                </w:tcPr>
                <w:p w14:paraId="3F67480F">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rPr>
                    <w:t>78万m²</w:t>
                  </w:r>
                </w:p>
              </w:tc>
              <w:tc>
                <w:tcPr>
                  <w:tcW w:w="2083" w:type="dxa"/>
                  <w:vAlign w:val="center"/>
                </w:tcPr>
                <w:p w14:paraId="78442D21">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rPr>
                    <w:t>78万m²</w:t>
                  </w:r>
                </w:p>
              </w:tc>
            </w:tr>
            <w:tr w14:paraId="74CE76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1403" w:type="pct"/>
                  <w:gridSpan w:val="2"/>
                  <w:vAlign w:val="center"/>
                </w:tcPr>
                <w:p w14:paraId="6FD82D76">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r>
                    <w:rPr>
                      <w:rFonts w:hint="eastAsia" w:ascii="Times New Roman" w:hAnsi="Times New Roman" w:eastAsia="宋体" w:cs="Times New Roman"/>
                      <w:color w:val="auto"/>
                      <w:szCs w:val="21"/>
                    </w:rPr>
                    <w:t>合计</w:t>
                  </w:r>
                </w:p>
              </w:tc>
              <w:tc>
                <w:tcPr>
                  <w:tcW w:w="1101" w:type="pct"/>
                  <w:vAlign w:val="center"/>
                </w:tcPr>
                <w:p w14:paraId="5354EB5F">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rPr>
                    <w:t>1000万m²</w:t>
                  </w:r>
                </w:p>
              </w:tc>
              <w:tc>
                <w:tcPr>
                  <w:tcW w:w="1995" w:type="dxa"/>
                  <w:vAlign w:val="center"/>
                </w:tcPr>
                <w:p w14:paraId="7BD67DBD">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rPr>
                    <w:t>782万m²</w:t>
                  </w:r>
                </w:p>
              </w:tc>
              <w:tc>
                <w:tcPr>
                  <w:tcW w:w="2083" w:type="dxa"/>
                  <w:vAlign w:val="center"/>
                </w:tcPr>
                <w:p w14:paraId="6EA2C0E1">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rPr>
                    <w:t>782万m²</w:t>
                  </w:r>
                </w:p>
              </w:tc>
            </w:tr>
            <w:tr w14:paraId="0ECF40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5000" w:type="pct"/>
                  <w:gridSpan w:val="5"/>
                  <w:vAlign w:val="center"/>
                </w:tcPr>
                <w:p w14:paraId="2FA2ACE3">
                  <w:pPr>
                    <w:keepNext w:val="0"/>
                    <w:keepLines w:val="0"/>
                    <w:suppressLineNumbers w:val="0"/>
                    <w:spacing w:before="0" w:beforeAutospacing="0" w:after="0" w:afterAutospacing="0"/>
                    <w:ind w:left="0" w:right="0"/>
                    <w:jc w:val="center"/>
                    <w:rPr>
                      <w:rFonts w:hint="eastAsia" w:ascii="Times New Roman" w:hAnsi="Times New Roman" w:eastAsia="宋体" w:cs="Times New Roman"/>
                      <w:color w:val="auto"/>
                      <w:szCs w:val="21"/>
                      <w:lang w:eastAsia="zh-CN"/>
                    </w:rPr>
                  </w:pPr>
                  <w:r>
                    <w:rPr>
                      <w:rFonts w:hint="default" w:ascii="Times New Roman" w:hAnsi="Times New Roman" w:eastAsia="宋体" w:cs="Times New Roman"/>
                      <w:color w:val="auto"/>
                      <w:kern w:val="0"/>
                      <w:szCs w:val="21"/>
                      <w:lang w:bidi="ar"/>
                    </w:rPr>
                    <w:t>注：</w:t>
                  </w:r>
                  <w:r>
                    <w:rPr>
                      <w:rFonts w:hint="default" w:ascii="Times New Roman" w:hAnsi="Times New Roman" w:eastAsia="宋体" w:cs="Times New Roman"/>
                      <w:color w:val="auto"/>
                      <w:szCs w:val="21"/>
                    </w:rPr>
                    <w:t>年运行时间300天</w:t>
                  </w:r>
                  <w:r>
                    <w:rPr>
                      <w:rFonts w:hint="eastAsia" w:ascii="Times New Roman" w:hAnsi="Times New Roman" w:eastAsia="宋体" w:cs="Times New Roman"/>
                      <w:color w:val="auto"/>
                      <w:szCs w:val="21"/>
                      <w:lang w:eastAsia="zh-CN"/>
                    </w:rPr>
                    <w:t>；</w:t>
                  </w:r>
                  <w:r>
                    <w:rPr>
                      <w:rFonts w:hint="eastAsia" w:ascii="Times New Roman" w:hAnsi="Times New Roman" w:eastAsia="宋体" w:cs="Times New Roman"/>
                      <w:color w:val="FF0000"/>
                      <w:szCs w:val="21"/>
                      <w:lang w:eastAsia="zh-CN"/>
                    </w:rPr>
                    <w:t>原环评批复有机硅片材总产能1000万m²，企业已完成阶段性验收产能782万m²，</w:t>
                  </w:r>
                  <w:r>
                    <w:rPr>
                      <w:rFonts w:hint="eastAsia" w:ascii="Times New Roman" w:hAnsi="Times New Roman" w:eastAsia="宋体" w:cs="Times New Roman"/>
                      <w:color w:val="FF0000"/>
                      <w:szCs w:val="21"/>
                      <w:lang w:val="en-US" w:eastAsia="zh-CN"/>
                    </w:rPr>
                    <w:t>由于场地限制，</w:t>
                  </w:r>
                  <w:r>
                    <w:rPr>
                      <w:rFonts w:hint="eastAsia" w:ascii="Times New Roman" w:hAnsi="Times New Roman" w:eastAsia="宋体" w:cs="Times New Roman"/>
                      <w:color w:val="FF0000"/>
                      <w:szCs w:val="21"/>
                      <w:lang w:eastAsia="zh-CN"/>
                    </w:rPr>
                    <w:t>剩余218万m²产能企业不再实施，不再开展后续建设及验收，现有项目最终建成产能为782万m²/a。</w:t>
                  </w:r>
                  <w:r>
                    <w:rPr>
                      <w:rFonts w:hint="default"/>
                    </w:rPr>
                    <w:commentReference w:id="41"/>
                  </w:r>
                </w:p>
              </w:tc>
            </w:tr>
          </w:tbl>
          <w:p w14:paraId="3FDFE103">
            <w:pPr>
              <w:keepNext w:val="0"/>
              <w:keepLines w:val="0"/>
              <w:suppressLineNumbers w:val="0"/>
              <w:spacing w:before="0" w:beforeAutospacing="0" w:after="0" w:afterAutospacing="0" w:line="360" w:lineRule="auto"/>
              <w:ind w:left="0" w:right="0" w:firstLine="480" w:firstLineChars="200"/>
              <w:rPr>
                <w:rFonts w:hint="default" w:ascii="Times New Roman" w:hAnsi="Times New Roman" w:eastAsia="宋体" w:cs="Times New Roman"/>
                <w:color w:val="auto"/>
                <w:sz w:val="24"/>
              </w:rPr>
            </w:pPr>
            <w:r>
              <w:rPr>
                <w:rFonts w:hint="eastAsia" w:ascii="Times New Roman" w:hAnsi="Times New Roman" w:eastAsia="宋体" w:cs="Times New Roman"/>
                <w:color w:val="auto"/>
                <w:sz w:val="24"/>
              </w:rPr>
              <w:t>（2）主要生产设备设施</w:t>
            </w:r>
          </w:p>
          <w:p w14:paraId="0AC8182B">
            <w:pPr>
              <w:keepNext w:val="0"/>
              <w:keepLines w:val="0"/>
              <w:suppressLineNumbers w:val="0"/>
              <w:spacing w:before="0" w:beforeAutospacing="0" w:after="0" w:afterAutospacing="0"/>
              <w:ind w:left="0" w:right="0"/>
              <w:jc w:val="center"/>
              <w:rPr>
                <w:rFonts w:hint="default" w:ascii="Times New Roman" w:hAnsi="Times New Roman" w:eastAsia="宋体" w:cs="Times New Roman"/>
                <w:b/>
                <w:bCs/>
                <w:color w:val="auto"/>
              </w:rPr>
            </w:pPr>
            <w:r>
              <w:rPr>
                <w:rFonts w:hint="eastAsia" w:ascii="Times New Roman" w:hAnsi="Times New Roman" w:eastAsia="宋体" w:cs="Times New Roman"/>
                <w:b/>
                <w:bCs/>
                <w:color w:val="auto"/>
              </w:rPr>
              <w:t>表2-1</w:t>
            </w:r>
            <w:r>
              <w:rPr>
                <w:rFonts w:hint="eastAsia" w:ascii="Times New Roman" w:hAnsi="Times New Roman" w:eastAsia="宋体" w:cs="Times New Roman"/>
                <w:b/>
                <w:bCs/>
                <w:color w:val="auto"/>
                <w:lang w:val="en-US" w:eastAsia="zh-CN"/>
              </w:rPr>
              <w:t>6</w:t>
            </w:r>
            <w:r>
              <w:rPr>
                <w:rFonts w:hint="eastAsia" w:ascii="Times New Roman" w:hAnsi="Times New Roman" w:eastAsia="宋体" w:cs="Times New Roman"/>
                <w:b/>
                <w:bCs/>
                <w:color w:val="auto"/>
              </w:rPr>
              <w:t xml:space="preserve">  现有项目主要生产设备设施一览表</w:t>
            </w:r>
          </w:p>
          <w:tbl>
            <w:tblPr>
              <w:tblStyle w:val="22"/>
              <w:tblW w:w="4998"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29"/>
              <w:gridCol w:w="719"/>
              <w:gridCol w:w="1381"/>
              <w:gridCol w:w="1711"/>
              <w:gridCol w:w="899"/>
              <w:gridCol w:w="1141"/>
              <w:gridCol w:w="914"/>
              <w:gridCol w:w="778"/>
            </w:tblGrid>
            <w:tr w14:paraId="03409B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384" w:type="pct"/>
                  <w:vAlign w:val="center"/>
                </w:tcPr>
                <w:p w14:paraId="3953E890">
                  <w:pPr>
                    <w:keepNext w:val="0"/>
                    <w:keepLines w:val="0"/>
                    <w:suppressLineNumbers w:val="0"/>
                    <w:spacing w:before="0" w:beforeAutospacing="0" w:after="0" w:afterAutospacing="0"/>
                    <w:ind w:left="0" w:right="0"/>
                    <w:jc w:val="center"/>
                    <w:rPr>
                      <w:rFonts w:hint="default" w:ascii="Times New Roman" w:hAnsi="Times New Roman" w:eastAsia="宋体" w:cs="Times New Roman"/>
                      <w:b/>
                      <w:bCs/>
                      <w:color w:val="auto"/>
                      <w:szCs w:val="21"/>
                    </w:rPr>
                  </w:pPr>
                  <w:r>
                    <w:rPr>
                      <w:rFonts w:hint="default" w:ascii="Times New Roman" w:hAnsi="Times New Roman" w:eastAsia="宋体" w:cs="Times New Roman"/>
                      <w:b/>
                      <w:bCs/>
                      <w:color w:val="auto"/>
                      <w:szCs w:val="21"/>
                    </w:rPr>
                    <w:t>序号</w:t>
                  </w:r>
                </w:p>
              </w:tc>
              <w:tc>
                <w:tcPr>
                  <w:tcW w:w="440" w:type="pct"/>
                  <w:vAlign w:val="center"/>
                </w:tcPr>
                <w:p w14:paraId="630DA5F7">
                  <w:pPr>
                    <w:keepNext w:val="0"/>
                    <w:keepLines w:val="0"/>
                    <w:suppressLineNumbers w:val="0"/>
                    <w:spacing w:before="0" w:beforeAutospacing="0" w:after="0" w:afterAutospacing="0"/>
                    <w:ind w:left="0" w:right="0"/>
                    <w:jc w:val="center"/>
                    <w:rPr>
                      <w:rFonts w:hint="default" w:ascii="Times New Roman" w:hAnsi="Times New Roman" w:eastAsia="宋体" w:cs="Times New Roman"/>
                      <w:b/>
                      <w:bCs/>
                      <w:color w:val="auto"/>
                      <w:szCs w:val="21"/>
                    </w:rPr>
                  </w:pPr>
                  <w:r>
                    <w:rPr>
                      <w:rFonts w:hint="default" w:ascii="Times New Roman" w:hAnsi="Times New Roman" w:eastAsia="宋体" w:cs="Times New Roman"/>
                      <w:b/>
                      <w:bCs/>
                      <w:color w:val="auto"/>
                      <w:szCs w:val="21"/>
                    </w:rPr>
                    <w:t>对应工段</w:t>
                  </w:r>
                </w:p>
              </w:tc>
              <w:tc>
                <w:tcPr>
                  <w:tcW w:w="844" w:type="pct"/>
                  <w:vAlign w:val="center"/>
                </w:tcPr>
                <w:p w14:paraId="1DA4E3C7">
                  <w:pPr>
                    <w:keepNext w:val="0"/>
                    <w:keepLines w:val="0"/>
                    <w:suppressLineNumbers w:val="0"/>
                    <w:spacing w:before="0" w:beforeAutospacing="0" w:after="0" w:afterAutospacing="0"/>
                    <w:ind w:left="0" w:right="0"/>
                    <w:jc w:val="center"/>
                    <w:rPr>
                      <w:rFonts w:hint="default" w:ascii="Times New Roman" w:hAnsi="Times New Roman" w:eastAsia="宋体" w:cs="Times New Roman"/>
                      <w:b/>
                      <w:bCs/>
                      <w:color w:val="auto"/>
                      <w:szCs w:val="21"/>
                    </w:rPr>
                  </w:pPr>
                  <w:r>
                    <w:rPr>
                      <w:rFonts w:hint="default" w:ascii="Times New Roman" w:hAnsi="Times New Roman" w:eastAsia="宋体" w:cs="Times New Roman"/>
                      <w:b/>
                      <w:bCs/>
                      <w:color w:val="auto"/>
                      <w:szCs w:val="21"/>
                    </w:rPr>
                    <w:t>设备设施</w:t>
                  </w:r>
                </w:p>
                <w:p w14:paraId="59C3041C">
                  <w:pPr>
                    <w:keepNext w:val="0"/>
                    <w:keepLines w:val="0"/>
                    <w:suppressLineNumbers w:val="0"/>
                    <w:spacing w:before="0" w:beforeAutospacing="0" w:after="0" w:afterAutospacing="0"/>
                    <w:ind w:left="0" w:right="0"/>
                    <w:jc w:val="center"/>
                    <w:rPr>
                      <w:rFonts w:hint="default" w:ascii="Times New Roman" w:hAnsi="Times New Roman" w:eastAsia="宋体" w:cs="Times New Roman"/>
                      <w:b/>
                      <w:bCs/>
                      <w:color w:val="auto"/>
                      <w:szCs w:val="21"/>
                    </w:rPr>
                  </w:pPr>
                  <w:r>
                    <w:rPr>
                      <w:rFonts w:hint="default" w:ascii="Times New Roman" w:hAnsi="Times New Roman" w:eastAsia="宋体" w:cs="Times New Roman"/>
                      <w:b/>
                      <w:bCs/>
                      <w:color w:val="auto"/>
                      <w:szCs w:val="21"/>
                    </w:rPr>
                    <w:t>名称</w:t>
                  </w:r>
                </w:p>
              </w:tc>
              <w:tc>
                <w:tcPr>
                  <w:tcW w:w="1046" w:type="pct"/>
                  <w:vAlign w:val="center"/>
                </w:tcPr>
                <w:p w14:paraId="29819691">
                  <w:pPr>
                    <w:keepNext w:val="0"/>
                    <w:keepLines w:val="0"/>
                    <w:suppressLineNumbers w:val="0"/>
                    <w:spacing w:before="0" w:beforeAutospacing="0" w:after="0" w:afterAutospacing="0"/>
                    <w:ind w:left="0" w:right="0"/>
                    <w:jc w:val="center"/>
                    <w:rPr>
                      <w:rFonts w:hint="default" w:ascii="Times New Roman" w:hAnsi="Times New Roman" w:eastAsia="宋体" w:cs="Times New Roman"/>
                      <w:b/>
                      <w:bCs/>
                      <w:color w:val="auto"/>
                      <w:szCs w:val="21"/>
                    </w:rPr>
                  </w:pPr>
                  <w:r>
                    <w:rPr>
                      <w:rFonts w:hint="default" w:ascii="Times New Roman" w:hAnsi="Times New Roman" w:eastAsia="宋体" w:cs="Times New Roman"/>
                      <w:b/>
                      <w:bCs/>
                      <w:color w:val="auto"/>
                      <w:szCs w:val="21"/>
                    </w:rPr>
                    <w:t>型号/</w:t>
                  </w:r>
                </w:p>
                <w:p w14:paraId="6B79FDD5">
                  <w:pPr>
                    <w:keepNext w:val="0"/>
                    <w:keepLines w:val="0"/>
                    <w:suppressLineNumbers w:val="0"/>
                    <w:spacing w:before="0" w:beforeAutospacing="0" w:after="0" w:afterAutospacing="0"/>
                    <w:ind w:left="0" w:right="0"/>
                    <w:jc w:val="center"/>
                    <w:rPr>
                      <w:rFonts w:hint="default" w:ascii="Times New Roman" w:hAnsi="Times New Roman" w:eastAsia="宋体" w:cs="Times New Roman"/>
                      <w:b/>
                      <w:bCs/>
                      <w:color w:val="auto"/>
                      <w:szCs w:val="21"/>
                    </w:rPr>
                  </w:pPr>
                  <w:r>
                    <w:rPr>
                      <w:rFonts w:hint="default" w:ascii="Times New Roman" w:hAnsi="Times New Roman" w:eastAsia="宋体" w:cs="Times New Roman"/>
                      <w:b/>
                      <w:bCs/>
                      <w:color w:val="auto"/>
                      <w:szCs w:val="21"/>
                    </w:rPr>
                    <w:t>参数</w:t>
                  </w:r>
                </w:p>
              </w:tc>
              <w:tc>
                <w:tcPr>
                  <w:tcW w:w="550" w:type="pct"/>
                  <w:vAlign w:val="center"/>
                </w:tcPr>
                <w:p w14:paraId="420BC752">
                  <w:pPr>
                    <w:keepNext w:val="0"/>
                    <w:keepLines w:val="0"/>
                    <w:suppressLineNumbers w:val="0"/>
                    <w:spacing w:before="0" w:beforeAutospacing="0" w:after="0" w:afterAutospacing="0"/>
                    <w:ind w:left="0" w:right="0"/>
                    <w:jc w:val="center"/>
                    <w:rPr>
                      <w:rFonts w:hint="default" w:ascii="Times New Roman" w:hAnsi="Times New Roman" w:eastAsia="宋体" w:cs="Times New Roman"/>
                      <w:b/>
                      <w:bCs/>
                      <w:color w:val="auto"/>
                      <w:szCs w:val="21"/>
                    </w:rPr>
                  </w:pPr>
                  <w:r>
                    <w:rPr>
                      <w:rFonts w:hint="default" w:ascii="Times New Roman" w:hAnsi="Times New Roman" w:eastAsia="宋体" w:cs="Times New Roman"/>
                      <w:b/>
                      <w:bCs/>
                      <w:color w:val="auto"/>
                      <w:szCs w:val="21"/>
                    </w:rPr>
                    <w:t>环评审批数量</w:t>
                  </w:r>
                </w:p>
              </w:tc>
              <w:tc>
                <w:tcPr>
                  <w:tcW w:w="697" w:type="pct"/>
                  <w:vAlign w:val="center"/>
                </w:tcPr>
                <w:p w14:paraId="58EA60D7">
                  <w:pPr>
                    <w:keepNext w:val="0"/>
                    <w:keepLines w:val="0"/>
                    <w:suppressLineNumbers w:val="0"/>
                    <w:spacing w:before="0" w:beforeAutospacing="0" w:after="0" w:afterAutospacing="0"/>
                    <w:ind w:left="0" w:right="0"/>
                    <w:jc w:val="center"/>
                    <w:rPr>
                      <w:rFonts w:hint="default" w:ascii="Times New Roman" w:hAnsi="Times New Roman" w:eastAsia="宋体" w:cs="Times New Roman"/>
                      <w:b/>
                      <w:bCs/>
                      <w:color w:val="auto"/>
                      <w:szCs w:val="21"/>
                    </w:rPr>
                  </w:pPr>
                  <w:r>
                    <w:rPr>
                      <w:rFonts w:hint="eastAsia" w:ascii="Times New Roman" w:hAnsi="Times New Roman" w:eastAsia="宋体" w:cs="Times New Roman"/>
                      <w:b/>
                      <w:bCs/>
                      <w:color w:val="auto"/>
                      <w:szCs w:val="21"/>
                    </w:rPr>
                    <w:t>阶段性</w:t>
                  </w:r>
                  <w:r>
                    <w:rPr>
                      <w:rFonts w:hint="default" w:ascii="Times New Roman" w:hAnsi="Times New Roman" w:eastAsia="宋体" w:cs="Times New Roman"/>
                      <w:b/>
                      <w:bCs/>
                      <w:color w:val="auto"/>
                      <w:szCs w:val="21"/>
                    </w:rPr>
                    <w:t>验收数量</w:t>
                  </w:r>
                </w:p>
              </w:tc>
              <w:tc>
                <w:tcPr>
                  <w:tcW w:w="559" w:type="pct"/>
                  <w:vAlign w:val="center"/>
                </w:tcPr>
                <w:p w14:paraId="3291FFF5">
                  <w:pPr>
                    <w:keepNext w:val="0"/>
                    <w:keepLines w:val="0"/>
                    <w:suppressLineNumbers w:val="0"/>
                    <w:spacing w:before="0" w:beforeAutospacing="0" w:after="0" w:afterAutospacing="0"/>
                    <w:ind w:left="0" w:right="0"/>
                    <w:jc w:val="center"/>
                    <w:rPr>
                      <w:rFonts w:hint="default" w:ascii="Times New Roman" w:hAnsi="Times New Roman" w:eastAsia="宋体" w:cs="Times New Roman"/>
                      <w:b/>
                      <w:bCs/>
                      <w:color w:val="auto"/>
                      <w:szCs w:val="21"/>
                    </w:rPr>
                  </w:pPr>
                  <w:r>
                    <w:rPr>
                      <w:rFonts w:hint="default" w:ascii="Times New Roman" w:hAnsi="Times New Roman" w:eastAsia="宋体" w:cs="Times New Roman"/>
                      <w:b/>
                      <w:bCs/>
                      <w:color w:val="auto"/>
                      <w:szCs w:val="21"/>
                    </w:rPr>
                    <w:t>实际</w:t>
                  </w:r>
                </w:p>
                <w:p w14:paraId="26152A67">
                  <w:pPr>
                    <w:keepNext w:val="0"/>
                    <w:keepLines w:val="0"/>
                    <w:suppressLineNumbers w:val="0"/>
                    <w:spacing w:before="0" w:beforeAutospacing="0" w:after="0" w:afterAutospacing="0"/>
                    <w:ind w:left="0" w:right="0"/>
                    <w:jc w:val="center"/>
                    <w:rPr>
                      <w:rFonts w:hint="default" w:ascii="Times New Roman" w:hAnsi="Times New Roman" w:eastAsia="宋体" w:cs="Times New Roman"/>
                      <w:b/>
                      <w:bCs/>
                      <w:color w:val="auto"/>
                      <w:szCs w:val="21"/>
                    </w:rPr>
                  </w:pPr>
                  <w:r>
                    <w:rPr>
                      <w:rFonts w:hint="default" w:ascii="Times New Roman" w:hAnsi="Times New Roman" w:eastAsia="宋体" w:cs="Times New Roman"/>
                      <w:b/>
                      <w:bCs/>
                      <w:color w:val="auto"/>
                      <w:szCs w:val="21"/>
                    </w:rPr>
                    <w:t>数量</w:t>
                  </w:r>
                </w:p>
              </w:tc>
              <w:tc>
                <w:tcPr>
                  <w:tcW w:w="476" w:type="pct"/>
                  <w:vAlign w:val="center"/>
                </w:tcPr>
                <w:p w14:paraId="15088770">
                  <w:pPr>
                    <w:keepNext w:val="0"/>
                    <w:keepLines w:val="0"/>
                    <w:suppressLineNumbers w:val="0"/>
                    <w:spacing w:before="0" w:beforeAutospacing="0" w:after="0" w:afterAutospacing="0"/>
                    <w:ind w:left="0" w:right="0"/>
                    <w:jc w:val="center"/>
                    <w:rPr>
                      <w:rFonts w:hint="default" w:ascii="Times New Roman" w:hAnsi="Times New Roman" w:eastAsia="宋体" w:cs="Times New Roman"/>
                      <w:b/>
                      <w:bCs/>
                      <w:color w:val="auto"/>
                      <w:szCs w:val="21"/>
                    </w:rPr>
                  </w:pPr>
                  <w:r>
                    <w:rPr>
                      <w:rFonts w:hint="default" w:ascii="Times New Roman" w:hAnsi="Times New Roman" w:eastAsia="宋体" w:cs="Times New Roman"/>
                      <w:b/>
                      <w:bCs/>
                      <w:color w:val="auto"/>
                      <w:szCs w:val="21"/>
                    </w:rPr>
                    <w:t>变化量</w:t>
                  </w:r>
                </w:p>
              </w:tc>
            </w:tr>
            <w:tr w14:paraId="412BC3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384" w:type="pct"/>
                  <w:vMerge w:val="restart"/>
                  <w:vAlign w:val="center"/>
                </w:tcPr>
                <w:p w14:paraId="60908545">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rPr>
                    <w:t>1</w:t>
                  </w:r>
                </w:p>
              </w:tc>
              <w:tc>
                <w:tcPr>
                  <w:tcW w:w="440" w:type="pct"/>
                  <w:vMerge w:val="restart"/>
                  <w:vAlign w:val="center"/>
                </w:tcPr>
                <w:p w14:paraId="2355898D">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rPr>
                    <w:t>配料</w:t>
                  </w:r>
                </w:p>
              </w:tc>
              <w:tc>
                <w:tcPr>
                  <w:tcW w:w="844" w:type="pct"/>
                  <w:vMerge w:val="restart"/>
                  <w:vAlign w:val="center"/>
                </w:tcPr>
                <w:p w14:paraId="238ABCC4">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rPr>
                    <w:t>混合机</w:t>
                  </w:r>
                </w:p>
              </w:tc>
              <w:tc>
                <w:tcPr>
                  <w:tcW w:w="1046" w:type="pct"/>
                  <w:vAlign w:val="center"/>
                </w:tcPr>
                <w:p w14:paraId="1C787D2D">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rPr>
                    <w:t>NHG-1000</w:t>
                  </w:r>
                </w:p>
              </w:tc>
              <w:tc>
                <w:tcPr>
                  <w:tcW w:w="550" w:type="pct"/>
                  <w:vAlign w:val="center"/>
                </w:tcPr>
                <w:p w14:paraId="5566F63F">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rPr>
                    <w:t>1台</w:t>
                  </w:r>
                </w:p>
              </w:tc>
              <w:tc>
                <w:tcPr>
                  <w:tcW w:w="697" w:type="pct"/>
                  <w:vAlign w:val="center"/>
                </w:tcPr>
                <w:p w14:paraId="6A01B2FD">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rPr>
                    <w:t>1台</w:t>
                  </w:r>
                </w:p>
              </w:tc>
              <w:tc>
                <w:tcPr>
                  <w:tcW w:w="559" w:type="pct"/>
                  <w:vAlign w:val="center"/>
                </w:tcPr>
                <w:p w14:paraId="5E3C8786">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rPr>
                    <w:t>1台</w:t>
                  </w:r>
                </w:p>
              </w:tc>
              <w:tc>
                <w:tcPr>
                  <w:tcW w:w="476" w:type="pct"/>
                  <w:vAlign w:val="center"/>
                </w:tcPr>
                <w:p w14:paraId="532803EF">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rPr>
                    <w:t>0</w:t>
                  </w:r>
                </w:p>
              </w:tc>
            </w:tr>
            <w:tr w14:paraId="6CBB35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384" w:type="pct"/>
                  <w:vMerge w:val="continue"/>
                  <w:vAlign w:val="center"/>
                </w:tcPr>
                <w:p w14:paraId="46E5261A">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p>
              </w:tc>
              <w:tc>
                <w:tcPr>
                  <w:tcW w:w="440" w:type="pct"/>
                  <w:vMerge w:val="continue"/>
                  <w:vAlign w:val="center"/>
                </w:tcPr>
                <w:p w14:paraId="5FF38F61">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p>
              </w:tc>
              <w:tc>
                <w:tcPr>
                  <w:tcW w:w="844" w:type="pct"/>
                  <w:vMerge w:val="continue"/>
                  <w:vAlign w:val="center"/>
                </w:tcPr>
                <w:p w14:paraId="1DD07793">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p>
              </w:tc>
              <w:tc>
                <w:tcPr>
                  <w:tcW w:w="1046" w:type="pct"/>
                  <w:vAlign w:val="center"/>
                </w:tcPr>
                <w:p w14:paraId="6187F521">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rPr>
                    <w:t>NHG-2000</w:t>
                  </w:r>
                </w:p>
              </w:tc>
              <w:tc>
                <w:tcPr>
                  <w:tcW w:w="550" w:type="pct"/>
                  <w:vAlign w:val="center"/>
                </w:tcPr>
                <w:p w14:paraId="37D3CBB4">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rPr>
                    <w:t>2台</w:t>
                  </w:r>
                </w:p>
              </w:tc>
              <w:tc>
                <w:tcPr>
                  <w:tcW w:w="697" w:type="pct"/>
                  <w:vAlign w:val="center"/>
                </w:tcPr>
                <w:p w14:paraId="533A94A0">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rPr>
                    <w:t>2台</w:t>
                  </w:r>
                </w:p>
              </w:tc>
              <w:tc>
                <w:tcPr>
                  <w:tcW w:w="559" w:type="pct"/>
                  <w:vAlign w:val="center"/>
                </w:tcPr>
                <w:p w14:paraId="0964AEF8">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rPr>
                    <w:t>2台</w:t>
                  </w:r>
                </w:p>
              </w:tc>
              <w:tc>
                <w:tcPr>
                  <w:tcW w:w="476" w:type="pct"/>
                  <w:vAlign w:val="center"/>
                </w:tcPr>
                <w:p w14:paraId="769928B2">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rPr>
                    <w:t>0</w:t>
                  </w:r>
                </w:p>
              </w:tc>
            </w:tr>
            <w:tr w14:paraId="454FA0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384" w:type="pct"/>
                  <w:vMerge w:val="continue"/>
                  <w:vAlign w:val="center"/>
                </w:tcPr>
                <w:p w14:paraId="64F659AC">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p>
              </w:tc>
              <w:tc>
                <w:tcPr>
                  <w:tcW w:w="440" w:type="pct"/>
                  <w:vMerge w:val="continue"/>
                  <w:vAlign w:val="center"/>
                </w:tcPr>
                <w:p w14:paraId="59DB06B5">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p>
              </w:tc>
              <w:tc>
                <w:tcPr>
                  <w:tcW w:w="844" w:type="pct"/>
                  <w:vMerge w:val="continue"/>
                  <w:vAlign w:val="center"/>
                </w:tcPr>
                <w:p w14:paraId="429D24D2">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p>
              </w:tc>
              <w:tc>
                <w:tcPr>
                  <w:tcW w:w="1046" w:type="pct"/>
                  <w:vAlign w:val="center"/>
                </w:tcPr>
                <w:p w14:paraId="219A68AE">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rPr>
                    <w:t>NHG-5000</w:t>
                  </w:r>
                </w:p>
              </w:tc>
              <w:tc>
                <w:tcPr>
                  <w:tcW w:w="550" w:type="pct"/>
                  <w:vAlign w:val="center"/>
                </w:tcPr>
                <w:p w14:paraId="3BAE8D43">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rPr>
                    <w:t>1台</w:t>
                  </w:r>
                </w:p>
              </w:tc>
              <w:tc>
                <w:tcPr>
                  <w:tcW w:w="697" w:type="pct"/>
                  <w:vAlign w:val="center"/>
                </w:tcPr>
                <w:p w14:paraId="326E2A11">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rPr>
                    <w:t>2台</w:t>
                  </w:r>
                </w:p>
              </w:tc>
              <w:tc>
                <w:tcPr>
                  <w:tcW w:w="559" w:type="pct"/>
                  <w:vAlign w:val="center"/>
                </w:tcPr>
                <w:p w14:paraId="4750A923">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rPr>
                    <w:t>2台</w:t>
                  </w:r>
                </w:p>
              </w:tc>
              <w:tc>
                <w:tcPr>
                  <w:tcW w:w="476" w:type="pct"/>
                  <w:vAlign w:val="center"/>
                </w:tcPr>
                <w:p w14:paraId="7C75912F">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rPr>
                    <w:t>+1台</w:t>
                  </w:r>
                </w:p>
              </w:tc>
            </w:tr>
            <w:tr w14:paraId="1BDEAB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384" w:type="pct"/>
                  <w:vAlign w:val="center"/>
                </w:tcPr>
                <w:p w14:paraId="1AC856B9">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rPr>
                    <w:t>2</w:t>
                  </w:r>
                </w:p>
              </w:tc>
              <w:tc>
                <w:tcPr>
                  <w:tcW w:w="440" w:type="pct"/>
                  <w:vMerge w:val="continue"/>
                  <w:vAlign w:val="center"/>
                </w:tcPr>
                <w:p w14:paraId="12B3B480">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p>
              </w:tc>
              <w:tc>
                <w:tcPr>
                  <w:tcW w:w="844" w:type="pct"/>
                  <w:vAlign w:val="center"/>
                </w:tcPr>
                <w:p w14:paraId="13205C4F">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rPr>
                    <w:t>多功能分散混合机</w:t>
                  </w:r>
                </w:p>
              </w:tc>
              <w:tc>
                <w:tcPr>
                  <w:tcW w:w="1046" w:type="pct"/>
                  <w:vAlign w:val="center"/>
                </w:tcPr>
                <w:p w14:paraId="5B81F2F4">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rPr>
                    <w:t>KDF50L</w:t>
                  </w:r>
                </w:p>
              </w:tc>
              <w:tc>
                <w:tcPr>
                  <w:tcW w:w="550" w:type="pct"/>
                  <w:vAlign w:val="center"/>
                </w:tcPr>
                <w:p w14:paraId="23525395">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rPr>
                    <w:t>1台</w:t>
                  </w:r>
                </w:p>
              </w:tc>
              <w:tc>
                <w:tcPr>
                  <w:tcW w:w="697" w:type="pct"/>
                  <w:vAlign w:val="center"/>
                </w:tcPr>
                <w:p w14:paraId="285D45E9">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rPr>
                    <w:t>0</w:t>
                  </w:r>
                </w:p>
              </w:tc>
              <w:tc>
                <w:tcPr>
                  <w:tcW w:w="559" w:type="pct"/>
                  <w:vAlign w:val="center"/>
                </w:tcPr>
                <w:p w14:paraId="1D4FB9C3">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rPr>
                    <w:t>0</w:t>
                  </w:r>
                </w:p>
              </w:tc>
              <w:tc>
                <w:tcPr>
                  <w:tcW w:w="476" w:type="pct"/>
                  <w:vAlign w:val="center"/>
                </w:tcPr>
                <w:p w14:paraId="16963792">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rPr>
                    <w:t>-1台</w:t>
                  </w:r>
                </w:p>
              </w:tc>
            </w:tr>
            <w:tr w14:paraId="7167EA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384" w:type="pct"/>
                  <w:vAlign w:val="center"/>
                </w:tcPr>
                <w:p w14:paraId="486D5C00">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rPr>
                    <w:t>3</w:t>
                  </w:r>
                </w:p>
              </w:tc>
              <w:tc>
                <w:tcPr>
                  <w:tcW w:w="440" w:type="pct"/>
                  <w:vMerge w:val="continue"/>
                  <w:vAlign w:val="center"/>
                </w:tcPr>
                <w:p w14:paraId="266F3668">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p>
              </w:tc>
              <w:tc>
                <w:tcPr>
                  <w:tcW w:w="844" w:type="pct"/>
                  <w:vAlign w:val="center"/>
                </w:tcPr>
                <w:p w14:paraId="1386F56C">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rPr>
                    <w:t>三辊研</w:t>
                  </w:r>
                </w:p>
                <w:p w14:paraId="3B81E835">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rPr>
                    <w:t>磨机</w:t>
                  </w:r>
                </w:p>
              </w:tc>
              <w:tc>
                <w:tcPr>
                  <w:tcW w:w="1046" w:type="pct"/>
                  <w:vAlign w:val="center"/>
                </w:tcPr>
                <w:p w14:paraId="01B60709">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rPr>
                    <w:t>SG16*1000</w:t>
                  </w:r>
                </w:p>
              </w:tc>
              <w:tc>
                <w:tcPr>
                  <w:tcW w:w="550" w:type="pct"/>
                  <w:vAlign w:val="center"/>
                </w:tcPr>
                <w:p w14:paraId="3F388636">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rPr>
                    <w:t>1台</w:t>
                  </w:r>
                </w:p>
              </w:tc>
              <w:tc>
                <w:tcPr>
                  <w:tcW w:w="697" w:type="pct"/>
                  <w:vAlign w:val="center"/>
                </w:tcPr>
                <w:p w14:paraId="7681AA52">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rPr>
                    <w:t>0</w:t>
                  </w:r>
                </w:p>
              </w:tc>
              <w:tc>
                <w:tcPr>
                  <w:tcW w:w="559" w:type="pct"/>
                  <w:vAlign w:val="center"/>
                </w:tcPr>
                <w:p w14:paraId="6770016D">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rPr>
                    <w:t>0</w:t>
                  </w:r>
                </w:p>
              </w:tc>
              <w:tc>
                <w:tcPr>
                  <w:tcW w:w="476" w:type="pct"/>
                  <w:vAlign w:val="center"/>
                </w:tcPr>
                <w:p w14:paraId="4EF39354">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rPr>
                    <w:t>-1台</w:t>
                  </w:r>
                </w:p>
              </w:tc>
            </w:tr>
            <w:tr w14:paraId="40D9DE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384" w:type="pct"/>
                  <w:vMerge w:val="restart"/>
                  <w:vAlign w:val="center"/>
                </w:tcPr>
                <w:p w14:paraId="3A9A8EC1">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rPr>
                    <w:t>4</w:t>
                  </w:r>
                </w:p>
              </w:tc>
              <w:tc>
                <w:tcPr>
                  <w:tcW w:w="440" w:type="pct"/>
                  <w:vMerge w:val="continue"/>
                  <w:vAlign w:val="center"/>
                </w:tcPr>
                <w:p w14:paraId="56634C84">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p>
              </w:tc>
              <w:tc>
                <w:tcPr>
                  <w:tcW w:w="844" w:type="pct"/>
                  <w:vMerge w:val="restart"/>
                  <w:vAlign w:val="center"/>
                </w:tcPr>
                <w:p w14:paraId="3A7B4BF4">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rPr>
                    <w:t>行星搅拌机</w:t>
                  </w:r>
                </w:p>
              </w:tc>
              <w:tc>
                <w:tcPr>
                  <w:tcW w:w="1046" w:type="pct"/>
                  <w:vAlign w:val="center"/>
                </w:tcPr>
                <w:p w14:paraId="271DADFA">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rPr>
                    <w:t>SXJ-200L</w:t>
                  </w:r>
                </w:p>
              </w:tc>
              <w:tc>
                <w:tcPr>
                  <w:tcW w:w="550" w:type="pct"/>
                  <w:vAlign w:val="center"/>
                </w:tcPr>
                <w:p w14:paraId="38A81D99">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rPr>
                    <w:t>1台</w:t>
                  </w:r>
                </w:p>
              </w:tc>
              <w:tc>
                <w:tcPr>
                  <w:tcW w:w="697" w:type="pct"/>
                  <w:vAlign w:val="center"/>
                </w:tcPr>
                <w:p w14:paraId="24843EE4">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rPr>
                    <w:t>1台</w:t>
                  </w:r>
                </w:p>
              </w:tc>
              <w:tc>
                <w:tcPr>
                  <w:tcW w:w="559" w:type="pct"/>
                  <w:vAlign w:val="center"/>
                </w:tcPr>
                <w:p w14:paraId="006D6F2C">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rPr>
                    <w:t>1台</w:t>
                  </w:r>
                </w:p>
              </w:tc>
              <w:tc>
                <w:tcPr>
                  <w:tcW w:w="476" w:type="pct"/>
                  <w:vAlign w:val="center"/>
                </w:tcPr>
                <w:p w14:paraId="014EA342">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rPr>
                    <w:t>0</w:t>
                  </w:r>
                </w:p>
              </w:tc>
            </w:tr>
            <w:tr w14:paraId="05C2A9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384" w:type="pct"/>
                  <w:vMerge w:val="continue"/>
                  <w:vAlign w:val="center"/>
                </w:tcPr>
                <w:p w14:paraId="01309A07">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p>
              </w:tc>
              <w:tc>
                <w:tcPr>
                  <w:tcW w:w="440" w:type="pct"/>
                  <w:vMerge w:val="continue"/>
                  <w:vAlign w:val="center"/>
                </w:tcPr>
                <w:p w14:paraId="4091B611">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p>
              </w:tc>
              <w:tc>
                <w:tcPr>
                  <w:tcW w:w="844" w:type="pct"/>
                  <w:vMerge w:val="continue"/>
                  <w:vAlign w:val="center"/>
                </w:tcPr>
                <w:p w14:paraId="31027482">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p>
              </w:tc>
              <w:tc>
                <w:tcPr>
                  <w:tcW w:w="1046" w:type="pct"/>
                  <w:vAlign w:val="center"/>
                </w:tcPr>
                <w:p w14:paraId="463C655C">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rPr>
                    <w:t>SXLJ-1100L</w:t>
                  </w:r>
                </w:p>
              </w:tc>
              <w:tc>
                <w:tcPr>
                  <w:tcW w:w="550" w:type="pct"/>
                  <w:vAlign w:val="center"/>
                </w:tcPr>
                <w:p w14:paraId="160954DD">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rPr>
                    <w:t>6台</w:t>
                  </w:r>
                </w:p>
              </w:tc>
              <w:tc>
                <w:tcPr>
                  <w:tcW w:w="697" w:type="pct"/>
                  <w:vAlign w:val="center"/>
                </w:tcPr>
                <w:p w14:paraId="7F095EF9">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rPr>
                    <w:t>8台</w:t>
                  </w:r>
                </w:p>
              </w:tc>
              <w:tc>
                <w:tcPr>
                  <w:tcW w:w="559" w:type="pct"/>
                  <w:vAlign w:val="center"/>
                </w:tcPr>
                <w:p w14:paraId="258D7B9B">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rPr>
                    <w:t>8台</w:t>
                  </w:r>
                </w:p>
              </w:tc>
              <w:tc>
                <w:tcPr>
                  <w:tcW w:w="476" w:type="pct"/>
                  <w:vAlign w:val="center"/>
                </w:tcPr>
                <w:p w14:paraId="3FCBBA9B">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rPr>
                    <w:t>+2台</w:t>
                  </w:r>
                </w:p>
              </w:tc>
            </w:tr>
            <w:tr w14:paraId="4D8C07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384" w:type="pct"/>
                  <w:vMerge w:val="continue"/>
                  <w:vAlign w:val="center"/>
                </w:tcPr>
                <w:p w14:paraId="17E2AC2D">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p>
              </w:tc>
              <w:tc>
                <w:tcPr>
                  <w:tcW w:w="440" w:type="pct"/>
                  <w:vMerge w:val="continue"/>
                  <w:vAlign w:val="center"/>
                </w:tcPr>
                <w:p w14:paraId="6DF40439">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p>
              </w:tc>
              <w:tc>
                <w:tcPr>
                  <w:tcW w:w="844" w:type="pct"/>
                  <w:vMerge w:val="continue"/>
                  <w:vAlign w:val="center"/>
                </w:tcPr>
                <w:p w14:paraId="455302A8">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p>
              </w:tc>
              <w:tc>
                <w:tcPr>
                  <w:tcW w:w="1046" w:type="pct"/>
                  <w:vAlign w:val="center"/>
                </w:tcPr>
                <w:p w14:paraId="1C99BBED">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rPr>
                    <w:t>600L</w:t>
                  </w:r>
                </w:p>
              </w:tc>
              <w:tc>
                <w:tcPr>
                  <w:tcW w:w="550" w:type="pct"/>
                  <w:vAlign w:val="center"/>
                </w:tcPr>
                <w:p w14:paraId="50CB4538">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rPr>
                    <w:t>1台</w:t>
                  </w:r>
                </w:p>
              </w:tc>
              <w:tc>
                <w:tcPr>
                  <w:tcW w:w="697" w:type="pct"/>
                  <w:vAlign w:val="center"/>
                </w:tcPr>
                <w:p w14:paraId="212B522F">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rPr>
                    <w:t>1台</w:t>
                  </w:r>
                </w:p>
              </w:tc>
              <w:tc>
                <w:tcPr>
                  <w:tcW w:w="559" w:type="pct"/>
                  <w:vAlign w:val="center"/>
                </w:tcPr>
                <w:p w14:paraId="15FC8A93">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rPr>
                    <w:t>1台</w:t>
                  </w:r>
                </w:p>
              </w:tc>
              <w:tc>
                <w:tcPr>
                  <w:tcW w:w="476" w:type="pct"/>
                  <w:vAlign w:val="center"/>
                </w:tcPr>
                <w:p w14:paraId="145CF768">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rPr>
                    <w:t>0</w:t>
                  </w:r>
                </w:p>
              </w:tc>
            </w:tr>
            <w:tr w14:paraId="5D03A4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384" w:type="pct"/>
                  <w:vMerge w:val="continue"/>
                  <w:vAlign w:val="center"/>
                </w:tcPr>
                <w:p w14:paraId="100D83D5">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p>
              </w:tc>
              <w:tc>
                <w:tcPr>
                  <w:tcW w:w="440" w:type="pct"/>
                  <w:vMerge w:val="continue"/>
                  <w:vAlign w:val="center"/>
                </w:tcPr>
                <w:p w14:paraId="71873BC5">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p>
              </w:tc>
              <w:tc>
                <w:tcPr>
                  <w:tcW w:w="844" w:type="pct"/>
                  <w:vMerge w:val="continue"/>
                  <w:vAlign w:val="center"/>
                </w:tcPr>
                <w:p w14:paraId="6C0CFA03">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p>
              </w:tc>
              <w:tc>
                <w:tcPr>
                  <w:tcW w:w="1046" w:type="pct"/>
                  <w:vAlign w:val="center"/>
                </w:tcPr>
                <w:p w14:paraId="48E03243">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rPr>
                    <w:t>SXLJ-3000L</w:t>
                  </w:r>
                </w:p>
              </w:tc>
              <w:tc>
                <w:tcPr>
                  <w:tcW w:w="550" w:type="pct"/>
                  <w:vAlign w:val="center"/>
                </w:tcPr>
                <w:p w14:paraId="5BF500D7">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rPr>
                    <w:t>1台</w:t>
                  </w:r>
                </w:p>
              </w:tc>
              <w:tc>
                <w:tcPr>
                  <w:tcW w:w="697" w:type="pct"/>
                  <w:vAlign w:val="center"/>
                </w:tcPr>
                <w:p w14:paraId="612E2367">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rPr>
                    <w:t>0</w:t>
                  </w:r>
                </w:p>
              </w:tc>
              <w:tc>
                <w:tcPr>
                  <w:tcW w:w="559" w:type="pct"/>
                  <w:vAlign w:val="center"/>
                </w:tcPr>
                <w:p w14:paraId="42110474">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rPr>
                    <w:t>0</w:t>
                  </w:r>
                </w:p>
              </w:tc>
              <w:tc>
                <w:tcPr>
                  <w:tcW w:w="476" w:type="pct"/>
                  <w:vAlign w:val="center"/>
                </w:tcPr>
                <w:p w14:paraId="21E4AE69">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rPr>
                    <w:t>-1台</w:t>
                  </w:r>
                </w:p>
              </w:tc>
            </w:tr>
            <w:tr w14:paraId="04612C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384" w:type="pct"/>
                  <w:vAlign w:val="center"/>
                </w:tcPr>
                <w:p w14:paraId="6FCD583E">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rPr>
                    <w:t>5</w:t>
                  </w:r>
                </w:p>
              </w:tc>
              <w:tc>
                <w:tcPr>
                  <w:tcW w:w="440" w:type="pct"/>
                  <w:vMerge w:val="continue"/>
                  <w:vAlign w:val="center"/>
                </w:tcPr>
                <w:p w14:paraId="33BF2F3F">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p>
              </w:tc>
              <w:tc>
                <w:tcPr>
                  <w:tcW w:w="844" w:type="pct"/>
                  <w:vAlign w:val="center"/>
                </w:tcPr>
                <w:p w14:paraId="48844CF1">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rPr>
                    <w:t>立式无油真空泵</w:t>
                  </w:r>
                </w:p>
              </w:tc>
              <w:tc>
                <w:tcPr>
                  <w:tcW w:w="1046" w:type="pct"/>
                  <w:vAlign w:val="center"/>
                </w:tcPr>
                <w:p w14:paraId="16889737">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rPr>
                    <w:t>WLW-100</w:t>
                  </w:r>
                </w:p>
              </w:tc>
              <w:tc>
                <w:tcPr>
                  <w:tcW w:w="550" w:type="pct"/>
                  <w:vAlign w:val="center"/>
                </w:tcPr>
                <w:p w14:paraId="111DCE68">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rPr>
                    <w:t>3台</w:t>
                  </w:r>
                </w:p>
              </w:tc>
              <w:tc>
                <w:tcPr>
                  <w:tcW w:w="697" w:type="pct"/>
                  <w:vAlign w:val="center"/>
                </w:tcPr>
                <w:p w14:paraId="3F8432D0">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rPr>
                    <w:t>4台</w:t>
                  </w:r>
                </w:p>
              </w:tc>
              <w:tc>
                <w:tcPr>
                  <w:tcW w:w="559" w:type="pct"/>
                  <w:vAlign w:val="center"/>
                </w:tcPr>
                <w:p w14:paraId="4D9E36E5">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rPr>
                    <w:t>4台</w:t>
                  </w:r>
                </w:p>
              </w:tc>
              <w:tc>
                <w:tcPr>
                  <w:tcW w:w="476" w:type="pct"/>
                  <w:vAlign w:val="center"/>
                </w:tcPr>
                <w:p w14:paraId="49ACC728">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rPr>
                    <w:t>+1台</w:t>
                  </w:r>
                </w:p>
              </w:tc>
            </w:tr>
            <w:tr w14:paraId="3A885B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384" w:type="pct"/>
                  <w:vAlign w:val="center"/>
                </w:tcPr>
                <w:p w14:paraId="1F00F4E4">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rPr>
                    <w:t>6</w:t>
                  </w:r>
                </w:p>
              </w:tc>
              <w:tc>
                <w:tcPr>
                  <w:tcW w:w="440" w:type="pct"/>
                  <w:vMerge w:val="restart"/>
                  <w:vAlign w:val="center"/>
                </w:tcPr>
                <w:p w14:paraId="02BF93B1">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rPr>
                    <w:t>制片</w:t>
                  </w:r>
                </w:p>
              </w:tc>
              <w:tc>
                <w:tcPr>
                  <w:tcW w:w="844" w:type="pct"/>
                  <w:vAlign w:val="center"/>
                </w:tcPr>
                <w:p w14:paraId="0A919E02">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rPr>
                    <w:t>50T压机</w:t>
                  </w:r>
                </w:p>
              </w:tc>
              <w:tc>
                <w:tcPr>
                  <w:tcW w:w="1046" w:type="pct"/>
                  <w:vAlign w:val="center"/>
                </w:tcPr>
                <w:p w14:paraId="0F6768C1">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rPr>
                    <w:t>YGJ-50T-200L</w:t>
                  </w:r>
                </w:p>
              </w:tc>
              <w:tc>
                <w:tcPr>
                  <w:tcW w:w="550" w:type="pct"/>
                  <w:vAlign w:val="center"/>
                </w:tcPr>
                <w:p w14:paraId="0D2A7D2A">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rPr>
                    <w:t>1台</w:t>
                  </w:r>
                </w:p>
              </w:tc>
              <w:tc>
                <w:tcPr>
                  <w:tcW w:w="697" w:type="pct"/>
                  <w:vAlign w:val="center"/>
                </w:tcPr>
                <w:p w14:paraId="32105C4F">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rPr>
                    <w:t>1台</w:t>
                  </w:r>
                </w:p>
              </w:tc>
              <w:tc>
                <w:tcPr>
                  <w:tcW w:w="559" w:type="pct"/>
                  <w:vAlign w:val="center"/>
                </w:tcPr>
                <w:p w14:paraId="38B20CB1">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rPr>
                    <w:t>1台</w:t>
                  </w:r>
                </w:p>
              </w:tc>
              <w:tc>
                <w:tcPr>
                  <w:tcW w:w="476" w:type="pct"/>
                  <w:vAlign w:val="center"/>
                </w:tcPr>
                <w:p w14:paraId="219DB729">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rPr>
                    <w:t>0</w:t>
                  </w:r>
                </w:p>
              </w:tc>
            </w:tr>
            <w:tr w14:paraId="7462E9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384" w:type="pct"/>
                  <w:vAlign w:val="center"/>
                </w:tcPr>
                <w:p w14:paraId="1C26C759">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rPr>
                    <w:t>7</w:t>
                  </w:r>
                </w:p>
              </w:tc>
              <w:tc>
                <w:tcPr>
                  <w:tcW w:w="440" w:type="pct"/>
                  <w:vMerge w:val="continue"/>
                  <w:vAlign w:val="center"/>
                </w:tcPr>
                <w:p w14:paraId="16BA67C4">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p>
              </w:tc>
              <w:tc>
                <w:tcPr>
                  <w:tcW w:w="844" w:type="pct"/>
                  <w:vAlign w:val="center"/>
                </w:tcPr>
                <w:p w14:paraId="082B9A28">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rPr>
                    <w:t>80T压机</w:t>
                  </w:r>
                </w:p>
              </w:tc>
              <w:tc>
                <w:tcPr>
                  <w:tcW w:w="1046" w:type="pct"/>
                  <w:vAlign w:val="center"/>
                </w:tcPr>
                <w:p w14:paraId="0BC59CBE">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rPr>
                    <w:t>YGJ-80T-1100L</w:t>
                  </w:r>
                </w:p>
              </w:tc>
              <w:tc>
                <w:tcPr>
                  <w:tcW w:w="550" w:type="pct"/>
                  <w:vAlign w:val="center"/>
                </w:tcPr>
                <w:p w14:paraId="371ADEF2">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rPr>
                    <w:t>2台</w:t>
                  </w:r>
                </w:p>
              </w:tc>
              <w:tc>
                <w:tcPr>
                  <w:tcW w:w="697" w:type="pct"/>
                  <w:vAlign w:val="center"/>
                </w:tcPr>
                <w:p w14:paraId="1CE7AD0D">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rPr>
                    <w:t>2台</w:t>
                  </w:r>
                </w:p>
              </w:tc>
              <w:tc>
                <w:tcPr>
                  <w:tcW w:w="559" w:type="pct"/>
                  <w:vAlign w:val="center"/>
                </w:tcPr>
                <w:p w14:paraId="7EE69BF8">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rPr>
                    <w:t>2台</w:t>
                  </w:r>
                </w:p>
              </w:tc>
              <w:tc>
                <w:tcPr>
                  <w:tcW w:w="476" w:type="pct"/>
                  <w:vAlign w:val="center"/>
                </w:tcPr>
                <w:p w14:paraId="6FFA6789">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rPr>
                    <w:t>0</w:t>
                  </w:r>
                </w:p>
              </w:tc>
            </w:tr>
            <w:tr w14:paraId="4542B3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384" w:type="pct"/>
                  <w:vAlign w:val="center"/>
                </w:tcPr>
                <w:p w14:paraId="11949D47">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rPr>
                    <w:t>8</w:t>
                  </w:r>
                </w:p>
              </w:tc>
              <w:tc>
                <w:tcPr>
                  <w:tcW w:w="440" w:type="pct"/>
                  <w:vMerge w:val="continue"/>
                  <w:vAlign w:val="center"/>
                </w:tcPr>
                <w:p w14:paraId="0D626DC2">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p>
              </w:tc>
              <w:tc>
                <w:tcPr>
                  <w:tcW w:w="844" w:type="pct"/>
                  <w:vAlign w:val="center"/>
                </w:tcPr>
                <w:p w14:paraId="14197176">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rPr>
                    <w:t>120T压机</w:t>
                  </w:r>
                </w:p>
              </w:tc>
              <w:tc>
                <w:tcPr>
                  <w:tcW w:w="1046" w:type="pct"/>
                  <w:vAlign w:val="center"/>
                </w:tcPr>
                <w:p w14:paraId="2F22885F">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rPr>
                    <w:t>YGJ-120T-1100L</w:t>
                  </w:r>
                </w:p>
              </w:tc>
              <w:tc>
                <w:tcPr>
                  <w:tcW w:w="550" w:type="pct"/>
                  <w:vAlign w:val="center"/>
                </w:tcPr>
                <w:p w14:paraId="5AD66972">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rPr>
                    <w:t>5台</w:t>
                  </w:r>
                </w:p>
              </w:tc>
              <w:tc>
                <w:tcPr>
                  <w:tcW w:w="697" w:type="pct"/>
                  <w:vAlign w:val="center"/>
                </w:tcPr>
                <w:p w14:paraId="6E981872">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rPr>
                    <w:t>2台</w:t>
                  </w:r>
                </w:p>
              </w:tc>
              <w:tc>
                <w:tcPr>
                  <w:tcW w:w="559" w:type="pct"/>
                  <w:vAlign w:val="center"/>
                </w:tcPr>
                <w:p w14:paraId="5BEECC0B">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rPr>
                    <w:t>2台</w:t>
                  </w:r>
                </w:p>
              </w:tc>
              <w:tc>
                <w:tcPr>
                  <w:tcW w:w="476" w:type="pct"/>
                  <w:vAlign w:val="center"/>
                </w:tcPr>
                <w:p w14:paraId="73169AEF">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rPr>
                    <w:t>-3台</w:t>
                  </w:r>
                </w:p>
              </w:tc>
            </w:tr>
            <w:tr w14:paraId="62370E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384" w:type="pct"/>
                  <w:vMerge w:val="restart"/>
                  <w:vAlign w:val="center"/>
                </w:tcPr>
                <w:p w14:paraId="2AFEEF5C">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rPr>
                    <w:t>9</w:t>
                  </w:r>
                </w:p>
              </w:tc>
              <w:tc>
                <w:tcPr>
                  <w:tcW w:w="440" w:type="pct"/>
                  <w:vMerge w:val="continue"/>
                  <w:vAlign w:val="center"/>
                </w:tcPr>
                <w:p w14:paraId="11317417">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p>
              </w:tc>
              <w:tc>
                <w:tcPr>
                  <w:tcW w:w="844" w:type="pct"/>
                  <w:vMerge w:val="restart"/>
                  <w:vAlign w:val="center"/>
                </w:tcPr>
                <w:p w14:paraId="313F5DC3">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rPr>
                    <w:t>180T压机</w:t>
                  </w:r>
                </w:p>
              </w:tc>
              <w:tc>
                <w:tcPr>
                  <w:tcW w:w="1046" w:type="pct"/>
                  <w:vAlign w:val="center"/>
                </w:tcPr>
                <w:p w14:paraId="66FCDFA6">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rPr>
                    <w:t>YGJ-180T-3000L</w:t>
                  </w:r>
                </w:p>
              </w:tc>
              <w:tc>
                <w:tcPr>
                  <w:tcW w:w="550" w:type="pct"/>
                  <w:vAlign w:val="center"/>
                </w:tcPr>
                <w:p w14:paraId="0E1CCD08">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rPr>
                    <w:t>1台</w:t>
                  </w:r>
                </w:p>
              </w:tc>
              <w:tc>
                <w:tcPr>
                  <w:tcW w:w="697" w:type="pct"/>
                  <w:vAlign w:val="center"/>
                </w:tcPr>
                <w:p w14:paraId="01F26AB3">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rPr>
                    <w:t>0</w:t>
                  </w:r>
                </w:p>
              </w:tc>
              <w:tc>
                <w:tcPr>
                  <w:tcW w:w="559" w:type="pct"/>
                  <w:vAlign w:val="center"/>
                </w:tcPr>
                <w:p w14:paraId="4BF410BF">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rPr>
                    <w:t>0</w:t>
                  </w:r>
                </w:p>
              </w:tc>
              <w:tc>
                <w:tcPr>
                  <w:tcW w:w="476" w:type="pct"/>
                  <w:vAlign w:val="center"/>
                </w:tcPr>
                <w:p w14:paraId="6D33404F">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rPr>
                    <w:t>-1台</w:t>
                  </w:r>
                </w:p>
              </w:tc>
            </w:tr>
            <w:tr w14:paraId="3785D3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384" w:type="pct"/>
                  <w:vMerge w:val="continue"/>
                  <w:vAlign w:val="center"/>
                </w:tcPr>
                <w:p w14:paraId="75261CDE">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p>
              </w:tc>
              <w:tc>
                <w:tcPr>
                  <w:tcW w:w="440" w:type="pct"/>
                  <w:vMerge w:val="continue"/>
                  <w:vAlign w:val="center"/>
                </w:tcPr>
                <w:p w14:paraId="522E6DC7">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p>
              </w:tc>
              <w:tc>
                <w:tcPr>
                  <w:tcW w:w="844" w:type="pct"/>
                  <w:vMerge w:val="continue"/>
                  <w:vAlign w:val="center"/>
                </w:tcPr>
                <w:p w14:paraId="5A365251">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p>
              </w:tc>
              <w:tc>
                <w:tcPr>
                  <w:tcW w:w="1046" w:type="pct"/>
                  <w:vAlign w:val="center"/>
                </w:tcPr>
                <w:p w14:paraId="7100E442">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rPr>
                    <w:t>YGJ-180T-1000L</w:t>
                  </w:r>
                </w:p>
              </w:tc>
              <w:tc>
                <w:tcPr>
                  <w:tcW w:w="550" w:type="pct"/>
                  <w:vAlign w:val="center"/>
                </w:tcPr>
                <w:p w14:paraId="4A41BB53">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rPr>
                    <w:t>/</w:t>
                  </w:r>
                </w:p>
              </w:tc>
              <w:tc>
                <w:tcPr>
                  <w:tcW w:w="697" w:type="pct"/>
                  <w:vAlign w:val="center"/>
                </w:tcPr>
                <w:p w14:paraId="56BC4906">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rPr>
                    <w:t>1台</w:t>
                  </w:r>
                </w:p>
              </w:tc>
              <w:tc>
                <w:tcPr>
                  <w:tcW w:w="559" w:type="pct"/>
                  <w:vAlign w:val="center"/>
                </w:tcPr>
                <w:p w14:paraId="104A5E46">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rPr>
                    <w:t>1台</w:t>
                  </w:r>
                </w:p>
              </w:tc>
              <w:tc>
                <w:tcPr>
                  <w:tcW w:w="476" w:type="pct"/>
                  <w:vAlign w:val="center"/>
                </w:tcPr>
                <w:p w14:paraId="100F56E9">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rPr>
                    <w:t>+1台</w:t>
                  </w:r>
                </w:p>
              </w:tc>
            </w:tr>
            <w:tr w14:paraId="04BA3D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384" w:type="pct"/>
                  <w:vAlign w:val="center"/>
                </w:tcPr>
                <w:p w14:paraId="24211108">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rPr>
                    <w:t>10</w:t>
                  </w:r>
                </w:p>
              </w:tc>
              <w:tc>
                <w:tcPr>
                  <w:tcW w:w="440" w:type="pct"/>
                  <w:vMerge w:val="continue"/>
                  <w:vAlign w:val="center"/>
                </w:tcPr>
                <w:p w14:paraId="23972E22">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p>
              </w:tc>
              <w:tc>
                <w:tcPr>
                  <w:tcW w:w="844" w:type="pct"/>
                  <w:vAlign w:val="center"/>
                </w:tcPr>
                <w:p w14:paraId="79D19A1A">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rPr>
                    <w:t>600L压机</w:t>
                  </w:r>
                </w:p>
              </w:tc>
              <w:tc>
                <w:tcPr>
                  <w:tcW w:w="1046" w:type="pct"/>
                  <w:vAlign w:val="center"/>
                </w:tcPr>
                <w:p w14:paraId="7911C9C8">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rPr>
                    <w:t>600L</w:t>
                  </w:r>
                </w:p>
              </w:tc>
              <w:tc>
                <w:tcPr>
                  <w:tcW w:w="550" w:type="pct"/>
                  <w:vAlign w:val="center"/>
                </w:tcPr>
                <w:p w14:paraId="3A77050D">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rPr>
                    <w:t>1台</w:t>
                  </w:r>
                </w:p>
              </w:tc>
              <w:tc>
                <w:tcPr>
                  <w:tcW w:w="697" w:type="pct"/>
                  <w:vAlign w:val="center"/>
                </w:tcPr>
                <w:p w14:paraId="0309A642">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rPr>
                    <w:t>1台</w:t>
                  </w:r>
                </w:p>
              </w:tc>
              <w:tc>
                <w:tcPr>
                  <w:tcW w:w="559" w:type="pct"/>
                  <w:vAlign w:val="center"/>
                </w:tcPr>
                <w:p w14:paraId="243BDFFC">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rPr>
                    <w:t>1台</w:t>
                  </w:r>
                </w:p>
              </w:tc>
              <w:tc>
                <w:tcPr>
                  <w:tcW w:w="476" w:type="pct"/>
                  <w:vAlign w:val="center"/>
                </w:tcPr>
                <w:p w14:paraId="280C8E42">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rPr>
                    <w:t>0</w:t>
                  </w:r>
                </w:p>
              </w:tc>
            </w:tr>
            <w:tr w14:paraId="69A48B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384" w:type="pct"/>
                  <w:vAlign w:val="center"/>
                </w:tcPr>
                <w:p w14:paraId="77E6F05C">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rPr>
                    <w:t>11</w:t>
                  </w:r>
                </w:p>
              </w:tc>
              <w:tc>
                <w:tcPr>
                  <w:tcW w:w="440" w:type="pct"/>
                  <w:vMerge w:val="continue"/>
                  <w:vAlign w:val="center"/>
                </w:tcPr>
                <w:p w14:paraId="719FE0E5">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p>
              </w:tc>
              <w:tc>
                <w:tcPr>
                  <w:tcW w:w="844" w:type="pct"/>
                  <w:vAlign w:val="center"/>
                </w:tcPr>
                <w:p w14:paraId="1D83AB8D">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rPr>
                    <w:t>双组份打胶机</w:t>
                  </w:r>
                </w:p>
              </w:tc>
              <w:tc>
                <w:tcPr>
                  <w:tcW w:w="1046" w:type="pct"/>
                  <w:vAlign w:val="center"/>
                </w:tcPr>
                <w:p w14:paraId="5F590B86">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rPr>
                    <w:t>自制</w:t>
                  </w:r>
                </w:p>
              </w:tc>
              <w:tc>
                <w:tcPr>
                  <w:tcW w:w="550" w:type="pct"/>
                  <w:vAlign w:val="center"/>
                </w:tcPr>
                <w:p w14:paraId="761C0292">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rPr>
                    <w:t>23台</w:t>
                  </w:r>
                </w:p>
              </w:tc>
              <w:tc>
                <w:tcPr>
                  <w:tcW w:w="697" w:type="pct"/>
                  <w:vAlign w:val="center"/>
                </w:tcPr>
                <w:p w14:paraId="2B9B94A6">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rPr>
                    <w:t>17台</w:t>
                  </w:r>
                </w:p>
              </w:tc>
              <w:tc>
                <w:tcPr>
                  <w:tcW w:w="559" w:type="pct"/>
                  <w:vAlign w:val="center"/>
                </w:tcPr>
                <w:p w14:paraId="0AA276A8">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rPr>
                    <w:t>17台</w:t>
                  </w:r>
                </w:p>
              </w:tc>
              <w:tc>
                <w:tcPr>
                  <w:tcW w:w="476" w:type="pct"/>
                  <w:vAlign w:val="center"/>
                </w:tcPr>
                <w:p w14:paraId="15AEB00C">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rPr>
                    <w:t>-6台</w:t>
                  </w:r>
                </w:p>
              </w:tc>
            </w:tr>
            <w:tr w14:paraId="1D9EB9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384" w:type="pct"/>
                  <w:vMerge w:val="restart"/>
                  <w:vAlign w:val="center"/>
                </w:tcPr>
                <w:p w14:paraId="6896460B">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rPr>
                    <w:t>12</w:t>
                  </w:r>
                </w:p>
              </w:tc>
              <w:tc>
                <w:tcPr>
                  <w:tcW w:w="440" w:type="pct"/>
                  <w:vMerge w:val="continue"/>
                  <w:vAlign w:val="center"/>
                </w:tcPr>
                <w:p w14:paraId="680A0D01">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p>
              </w:tc>
              <w:tc>
                <w:tcPr>
                  <w:tcW w:w="844" w:type="pct"/>
                  <w:vMerge w:val="restart"/>
                  <w:vAlign w:val="center"/>
                </w:tcPr>
                <w:p w14:paraId="64A1C69D">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rPr>
                    <w:t>压料机</w:t>
                  </w:r>
                </w:p>
              </w:tc>
              <w:tc>
                <w:tcPr>
                  <w:tcW w:w="1046" w:type="pct"/>
                  <w:vAlign w:val="center"/>
                </w:tcPr>
                <w:p w14:paraId="2D4D5A6A">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rPr>
                    <w:t>80-1100</w:t>
                  </w:r>
                </w:p>
              </w:tc>
              <w:tc>
                <w:tcPr>
                  <w:tcW w:w="550" w:type="pct"/>
                  <w:vAlign w:val="center"/>
                </w:tcPr>
                <w:p w14:paraId="0B926522">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rPr>
                    <w:t>24台</w:t>
                  </w:r>
                </w:p>
              </w:tc>
              <w:tc>
                <w:tcPr>
                  <w:tcW w:w="697" w:type="pct"/>
                  <w:vAlign w:val="center"/>
                </w:tcPr>
                <w:p w14:paraId="0A3E8DEA">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rPr>
                    <w:t>13台</w:t>
                  </w:r>
                </w:p>
              </w:tc>
              <w:tc>
                <w:tcPr>
                  <w:tcW w:w="559" w:type="pct"/>
                  <w:vAlign w:val="center"/>
                </w:tcPr>
                <w:p w14:paraId="1CD70534">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rPr>
                    <w:t>13台</w:t>
                  </w:r>
                </w:p>
              </w:tc>
              <w:tc>
                <w:tcPr>
                  <w:tcW w:w="476" w:type="pct"/>
                  <w:vAlign w:val="center"/>
                </w:tcPr>
                <w:p w14:paraId="7FEF6265">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rPr>
                    <w:t>-11台</w:t>
                  </w:r>
                </w:p>
              </w:tc>
            </w:tr>
            <w:tr w14:paraId="2B0FC2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384" w:type="pct"/>
                  <w:vMerge w:val="continue"/>
                  <w:vAlign w:val="center"/>
                </w:tcPr>
                <w:p w14:paraId="6D5153E8">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p>
              </w:tc>
              <w:tc>
                <w:tcPr>
                  <w:tcW w:w="440" w:type="pct"/>
                  <w:vMerge w:val="continue"/>
                  <w:vAlign w:val="center"/>
                </w:tcPr>
                <w:p w14:paraId="640CCBF0">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p>
              </w:tc>
              <w:tc>
                <w:tcPr>
                  <w:tcW w:w="844" w:type="pct"/>
                  <w:vMerge w:val="continue"/>
                  <w:vAlign w:val="center"/>
                </w:tcPr>
                <w:p w14:paraId="59F89C50">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p>
              </w:tc>
              <w:tc>
                <w:tcPr>
                  <w:tcW w:w="1046" w:type="pct"/>
                  <w:vAlign w:val="center"/>
                </w:tcPr>
                <w:p w14:paraId="31919902">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rPr>
                    <w:t>120-1100</w:t>
                  </w:r>
                </w:p>
              </w:tc>
              <w:tc>
                <w:tcPr>
                  <w:tcW w:w="550" w:type="pct"/>
                  <w:vAlign w:val="center"/>
                </w:tcPr>
                <w:p w14:paraId="39A7A370">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rPr>
                    <w:t>3台</w:t>
                  </w:r>
                </w:p>
              </w:tc>
              <w:tc>
                <w:tcPr>
                  <w:tcW w:w="697" w:type="pct"/>
                  <w:vAlign w:val="center"/>
                </w:tcPr>
                <w:p w14:paraId="6F35E4FD">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rPr>
                    <w:t>2台</w:t>
                  </w:r>
                </w:p>
              </w:tc>
              <w:tc>
                <w:tcPr>
                  <w:tcW w:w="559" w:type="pct"/>
                  <w:vAlign w:val="center"/>
                </w:tcPr>
                <w:p w14:paraId="019EADEF">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rPr>
                    <w:t>2台</w:t>
                  </w:r>
                </w:p>
              </w:tc>
              <w:tc>
                <w:tcPr>
                  <w:tcW w:w="476" w:type="pct"/>
                  <w:vAlign w:val="center"/>
                </w:tcPr>
                <w:p w14:paraId="3F834C37">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rPr>
                    <w:t>-1台</w:t>
                  </w:r>
                </w:p>
              </w:tc>
            </w:tr>
            <w:tr w14:paraId="3196C6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384" w:type="pct"/>
                  <w:vMerge w:val="continue"/>
                  <w:vAlign w:val="center"/>
                </w:tcPr>
                <w:p w14:paraId="169763BA">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p>
              </w:tc>
              <w:tc>
                <w:tcPr>
                  <w:tcW w:w="440" w:type="pct"/>
                  <w:vMerge w:val="continue"/>
                  <w:vAlign w:val="center"/>
                </w:tcPr>
                <w:p w14:paraId="48D99416">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p>
              </w:tc>
              <w:tc>
                <w:tcPr>
                  <w:tcW w:w="844" w:type="pct"/>
                  <w:vMerge w:val="continue"/>
                  <w:vAlign w:val="center"/>
                </w:tcPr>
                <w:p w14:paraId="5E12EEB3">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p>
              </w:tc>
              <w:tc>
                <w:tcPr>
                  <w:tcW w:w="1046" w:type="pct"/>
                  <w:vAlign w:val="center"/>
                </w:tcPr>
                <w:p w14:paraId="175C39A6">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rPr>
                    <w:t>200</w:t>
                  </w:r>
                </w:p>
              </w:tc>
              <w:tc>
                <w:tcPr>
                  <w:tcW w:w="550" w:type="pct"/>
                  <w:vAlign w:val="center"/>
                </w:tcPr>
                <w:p w14:paraId="481C4901">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rPr>
                    <w:t>16台</w:t>
                  </w:r>
                </w:p>
              </w:tc>
              <w:tc>
                <w:tcPr>
                  <w:tcW w:w="697" w:type="pct"/>
                  <w:vAlign w:val="center"/>
                </w:tcPr>
                <w:p w14:paraId="002991F2">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rPr>
                    <w:t>12台</w:t>
                  </w:r>
                </w:p>
              </w:tc>
              <w:tc>
                <w:tcPr>
                  <w:tcW w:w="559" w:type="pct"/>
                  <w:vAlign w:val="center"/>
                </w:tcPr>
                <w:p w14:paraId="55D09793">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rPr>
                    <w:t>12台</w:t>
                  </w:r>
                </w:p>
              </w:tc>
              <w:tc>
                <w:tcPr>
                  <w:tcW w:w="476" w:type="pct"/>
                  <w:vAlign w:val="center"/>
                </w:tcPr>
                <w:p w14:paraId="3E53D81E">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rPr>
                    <w:t>-4台</w:t>
                  </w:r>
                </w:p>
              </w:tc>
            </w:tr>
            <w:tr w14:paraId="5F6671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384" w:type="pct"/>
                  <w:vMerge w:val="restart"/>
                  <w:vAlign w:val="center"/>
                </w:tcPr>
                <w:p w14:paraId="0048E60E">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rPr>
                    <w:t>13</w:t>
                  </w:r>
                </w:p>
              </w:tc>
              <w:tc>
                <w:tcPr>
                  <w:tcW w:w="440" w:type="pct"/>
                  <w:vMerge w:val="continue"/>
                  <w:vAlign w:val="center"/>
                </w:tcPr>
                <w:p w14:paraId="07AE4F40">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p>
              </w:tc>
              <w:tc>
                <w:tcPr>
                  <w:tcW w:w="844" w:type="pct"/>
                  <w:vMerge w:val="restart"/>
                  <w:vAlign w:val="center"/>
                </w:tcPr>
                <w:p w14:paraId="45230B84">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rPr>
                    <w:t>三辊压延机</w:t>
                  </w:r>
                </w:p>
              </w:tc>
              <w:tc>
                <w:tcPr>
                  <w:tcW w:w="1046" w:type="pct"/>
                  <w:vAlign w:val="center"/>
                </w:tcPr>
                <w:p w14:paraId="6C7D90D2">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rPr>
                    <w:t>DCM750-3S-D</w:t>
                  </w:r>
                </w:p>
              </w:tc>
              <w:tc>
                <w:tcPr>
                  <w:tcW w:w="550" w:type="pct"/>
                  <w:vAlign w:val="center"/>
                </w:tcPr>
                <w:p w14:paraId="2829BCF4">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rPr>
                    <w:t>2台</w:t>
                  </w:r>
                </w:p>
              </w:tc>
              <w:tc>
                <w:tcPr>
                  <w:tcW w:w="697" w:type="pct"/>
                  <w:vAlign w:val="center"/>
                </w:tcPr>
                <w:p w14:paraId="6442AF6F">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rPr>
                    <w:t>0</w:t>
                  </w:r>
                </w:p>
              </w:tc>
              <w:tc>
                <w:tcPr>
                  <w:tcW w:w="559" w:type="pct"/>
                  <w:vAlign w:val="center"/>
                </w:tcPr>
                <w:p w14:paraId="6D512A82">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rPr>
                    <w:t>0</w:t>
                  </w:r>
                </w:p>
              </w:tc>
              <w:tc>
                <w:tcPr>
                  <w:tcW w:w="476" w:type="pct"/>
                  <w:vAlign w:val="center"/>
                </w:tcPr>
                <w:p w14:paraId="5DD8C0B9">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rPr>
                    <w:t>-2台</w:t>
                  </w:r>
                </w:p>
              </w:tc>
            </w:tr>
            <w:tr w14:paraId="0D6C3F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384" w:type="pct"/>
                  <w:vMerge w:val="continue"/>
                  <w:vAlign w:val="center"/>
                </w:tcPr>
                <w:p w14:paraId="780A914C">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p>
              </w:tc>
              <w:tc>
                <w:tcPr>
                  <w:tcW w:w="440" w:type="pct"/>
                  <w:vMerge w:val="continue"/>
                  <w:vAlign w:val="center"/>
                </w:tcPr>
                <w:p w14:paraId="48751190">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p>
              </w:tc>
              <w:tc>
                <w:tcPr>
                  <w:tcW w:w="844" w:type="pct"/>
                  <w:vMerge w:val="continue"/>
                  <w:vAlign w:val="center"/>
                </w:tcPr>
                <w:p w14:paraId="4E2F8C04">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p>
              </w:tc>
              <w:tc>
                <w:tcPr>
                  <w:tcW w:w="1046" w:type="pct"/>
                  <w:vAlign w:val="center"/>
                </w:tcPr>
                <w:p w14:paraId="111B52F8">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rPr>
                    <w:t>DCM1250-3S-D</w:t>
                  </w:r>
                </w:p>
              </w:tc>
              <w:tc>
                <w:tcPr>
                  <w:tcW w:w="550" w:type="pct"/>
                  <w:vAlign w:val="center"/>
                </w:tcPr>
                <w:p w14:paraId="604A9B94">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rPr>
                    <w:t>2台</w:t>
                  </w:r>
                </w:p>
              </w:tc>
              <w:tc>
                <w:tcPr>
                  <w:tcW w:w="697" w:type="pct"/>
                  <w:vAlign w:val="center"/>
                </w:tcPr>
                <w:p w14:paraId="293F7268">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rPr>
                    <w:t>2台</w:t>
                  </w:r>
                </w:p>
              </w:tc>
              <w:tc>
                <w:tcPr>
                  <w:tcW w:w="559" w:type="pct"/>
                  <w:vAlign w:val="center"/>
                </w:tcPr>
                <w:p w14:paraId="0214BA01">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rPr>
                    <w:t>2台</w:t>
                  </w:r>
                </w:p>
              </w:tc>
              <w:tc>
                <w:tcPr>
                  <w:tcW w:w="476" w:type="pct"/>
                  <w:vAlign w:val="center"/>
                </w:tcPr>
                <w:p w14:paraId="70307102">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rPr>
                    <w:t>0</w:t>
                  </w:r>
                </w:p>
              </w:tc>
            </w:tr>
            <w:tr w14:paraId="57C32C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384" w:type="pct"/>
                  <w:vMerge w:val="continue"/>
                  <w:vAlign w:val="center"/>
                </w:tcPr>
                <w:p w14:paraId="0CDA9525">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p>
              </w:tc>
              <w:tc>
                <w:tcPr>
                  <w:tcW w:w="440" w:type="pct"/>
                  <w:vMerge w:val="continue"/>
                  <w:vAlign w:val="center"/>
                </w:tcPr>
                <w:p w14:paraId="38986517">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p>
              </w:tc>
              <w:tc>
                <w:tcPr>
                  <w:tcW w:w="844" w:type="pct"/>
                  <w:vMerge w:val="continue"/>
                  <w:vAlign w:val="center"/>
                </w:tcPr>
                <w:p w14:paraId="496AE31F">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p>
              </w:tc>
              <w:tc>
                <w:tcPr>
                  <w:tcW w:w="1046" w:type="pct"/>
                  <w:vAlign w:val="center"/>
                </w:tcPr>
                <w:p w14:paraId="2497E5D8">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rPr>
                    <w:t>DCT1250-GS-D</w:t>
                  </w:r>
                </w:p>
              </w:tc>
              <w:tc>
                <w:tcPr>
                  <w:tcW w:w="550" w:type="pct"/>
                  <w:vAlign w:val="center"/>
                </w:tcPr>
                <w:p w14:paraId="7259512E">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rPr>
                    <w:t>2台</w:t>
                  </w:r>
                </w:p>
              </w:tc>
              <w:tc>
                <w:tcPr>
                  <w:tcW w:w="697" w:type="pct"/>
                  <w:vAlign w:val="center"/>
                </w:tcPr>
                <w:p w14:paraId="678C3703">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rPr>
                    <w:t>2台</w:t>
                  </w:r>
                </w:p>
              </w:tc>
              <w:tc>
                <w:tcPr>
                  <w:tcW w:w="559" w:type="pct"/>
                  <w:vAlign w:val="center"/>
                </w:tcPr>
                <w:p w14:paraId="09275E1C">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rPr>
                    <w:t>2台</w:t>
                  </w:r>
                </w:p>
              </w:tc>
              <w:tc>
                <w:tcPr>
                  <w:tcW w:w="476" w:type="pct"/>
                  <w:vAlign w:val="center"/>
                </w:tcPr>
                <w:p w14:paraId="465220DA">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rPr>
                    <w:t>0</w:t>
                  </w:r>
                </w:p>
              </w:tc>
            </w:tr>
            <w:tr w14:paraId="7AC0C8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384" w:type="pct"/>
                  <w:vMerge w:val="continue"/>
                  <w:vAlign w:val="center"/>
                </w:tcPr>
                <w:p w14:paraId="758A4F44">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p>
              </w:tc>
              <w:tc>
                <w:tcPr>
                  <w:tcW w:w="440" w:type="pct"/>
                  <w:vMerge w:val="continue"/>
                  <w:vAlign w:val="center"/>
                </w:tcPr>
                <w:p w14:paraId="560FCF39">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p>
              </w:tc>
              <w:tc>
                <w:tcPr>
                  <w:tcW w:w="844" w:type="pct"/>
                  <w:vMerge w:val="continue"/>
                  <w:vAlign w:val="center"/>
                </w:tcPr>
                <w:p w14:paraId="378DB0B9">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p>
              </w:tc>
              <w:tc>
                <w:tcPr>
                  <w:tcW w:w="1046" w:type="pct"/>
                  <w:vAlign w:val="center"/>
                </w:tcPr>
                <w:p w14:paraId="51C17C14">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rPr>
                    <w:t>COMMA+3L-1450-M型</w:t>
                  </w:r>
                </w:p>
              </w:tc>
              <w:tc>
                <w:tcPr>
                  <w:tcW w:w="550" w:type="pct"/>
                  <w:vAlign w:val="center"/>
                </w:tcPr>
                <w:p w14:paraId="06C1E110">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rPr>
                    <w:t>17台</w:t>
                  </w:r>
                </w:p>
              </w:tc>
              <w:tc>
                <w:tcPr>
                  <w:tcW w:w="697" w:type="pct"/>
                  <w:vAlign w:val="center"/>
                </w:tcPr>
                <w:p w14:paraId="56E3D577">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rPr>
                    <w:t>14台</w:t>
                  </w:r>
                </w:p>
              </w:tc>
              <w:tc>
                <w:tcPr>
                  <w:tcW w:w="559" w:type="pct"/>
                  <w:vAlign w:val="center"/>
                </w:tcPr>
                <w:p w14:paraId="7D8107F9">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rPr>
                    <w:t>14台</w:t>
                  </w:r>
                </w:p>
              </w:tc>
              <w:tc>
                <w:tcPr>
                  <w:tcW w:w="476" w:type="pct"/>
                  <w:vAlign w:val="center"/>
                </w:tcPr>
                <w:p w14:paraId="5A1BE22D">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rPr>
                    <w:t>-3台</w:t>
                  </w:r>
                </w:p>
              </w:tc>
            </w:tr>
            <w:tr w14:paraId="2F3400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384" w:type="pct"/>
                  <w:vMerge w:val="restart"/>
                  <w:vAlign w:val="center"/>
                </w:tcPr>
                <w:p w14:paraId="50EA85CB">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rPr>
                    <w:t>14</w:t>
                  </w:r>
                </w:p>
              </w:tc>
              <w:tc>
                <w:tcPr>
                  <w:tcW w:w="440" w:type="pct"/>
                  <w:vMerge w:val="continue"/>
                  <w:vAlign w:val="center"/>
                </w:tcPr>
                <w:p w14:paraId="501BA379">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p>
              </w:tc>
              <w:tc>
                <w:tcPr>
                  <w:tcW w:w="844" w:type="pct"/>
                  <w:vMerge w:val="restart"/>
                  <w:vAlign w:val="center"/>
                </w:tcPr>
                <w:p w14:paraId="4F5B33EB">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rPr>
                    <w:t>隧道式烤箱</w:t>
                  </w:r>
                </w:p>
              </w:tc>
              <w:tc>
                <w:tcPr>
                  <w:tcW w:w="1046" w:type="pct"/>
                  <w:vAlign w:val="center"/>
                </w:tcPr>
                <w:p w14:paraId="78E3ABD7">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rPr>
                    <w:t>TF1200-31000</w:t>
                  </w:r>
                </w:p>
              </w:tc>
              <w:tc>
                <w:tcPr>
                  <w:tcW w:w="550" w:type="pct"/>
                  <w:vAlign w:val="center"/>
                </w:tcPr>
                <w:p w14:paraId="51443F68">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rPr>
                    <w:t>1台</w:t>
                  </w:r>
                </w:p>
              </w:tc>
              <w:tc>
                <w:tcPr>
                  <w:tcW w:w="697" w:type="pct"/>
                  <w:vAlign w:val="center"/>
                </w:tcPr>
                <w:p w14:paraId="42414CA0">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rPr>
                    <w:t>3台</w:t>
                  </w:r>
                </w:p>
              </w:tc>
              <w:tc>
                <w:tcPr>
                  <w:tcW w:w="559" w:type="pct"/>
                  <w:vAlign w:val="center"/>
                </w:tcPr>
                <w:p w14:paraId="5E2579C7">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rPr>
                    <w:t>3台</w:t>
                  </w:r>
                </w:p>
              </w:tc>
              <w:tc>
                <w:tcPr>
                  <w:tcW w:w="476" w:type="pct"/>
                  <w:vAlign w:val="center"/>
                </w:tcPr>
                <w:p w14:paraId="5EBDB776">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rPr>
                    <w:t>+2台</w:t>
                  </w:r>
                </w:p>
              </w:tc>
            </w:tr>
            <w:tr w14:paraId="4A7CC3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384" w:type="pct"/>
                  <w:vMerge w:val="continue"/>
                  <w:vAlign w:val="center"/>
                </w:tcPr>
                <w:p w14:paraId="79036DFC">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p>
              </w:tc>
              <w:tc>
                <w:tcPr>
                  <w:tcW w:w="440" w:type="pct"/>
                  <w:vMerge w:val="continue"/>
                  <w:vAlign w:val="center"/>
                </w:tcPr>
                <w:p w14:paraId="139F4DB1">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p>
              </w:tc>
              <w:tc>
                <w:tcPr>
                  <w:tcW w:w="844" w:type="pct"/>
                  <w:vMerge w:val="continue"/>
                  <w:vAlign w:val="center"/>
                </w:tcPr>
                <w:p w14:paraId="61743D91">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p>
              </w:tc>
              <w:tc>
                <w:tcPr>
                  <w:tcW w:w="1046" w:type="pct"/>
                  <w:vAlign w:val="center"/>
                </w:tcPr>
                <w:p w14:paraId="436ABB58">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rPr>
                    <w:t>TF1300-2-28800</w:t>
                  </w:r>
                </w:p>
              </w:tc>
              <w:tc>
                <w:tcPr>
                  <w:tcW w:w="550" w:type="pct"/>
                  <w:vAlign w:val="center"/>
                </w:tcPr>
                <w:p w14:paraId="70A1E65F">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rPr>
                    <w:t>2台</w:t>
                  </w:r>
                </w:p>
              </w:tc>
              <w:tc>
                <w:tcPr>
                  <w:tcW w:w="697" w:type="pct"/>
                  <w:vAlign w:val="center"/>
                </w:tcPr>
                <w:p w14:paraId="0E0FCEB0">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rPr>
                    <w:t>0</w:t>
                  </w:r>
                </w:p>
              </w:tc>
              <w:tc>
                <w:tcPr>
                  <w:tcW w:w="559" w:type="pct"/>
                  <w:vAlign w:val="center"/>
                </w:tcPr>
                <w:p w14:paraId="0F78F94D">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rPr>
                    <w:t>0</w:t>
                  </w:r>
                </w:p>
              </w:tc>
              <w:tc>
                <w:tcPr>
                  <w:tcW w:w="476" w:type="pct"/>
                  <w:vAlign w:val="center"/>
                </w:tcPr>
                <w:p w14:paraId="2F00BDC4">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rPr>
                    <w:t>-2台</w:t>
                  </w:r>
                </w:p>
              </w:tc>
            </w:tr>
            <w:tr w14:paraId="074671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384" w:type="pct"/>
                  <w:vMerge w:val="continue"/>
                  <w:vAlign w:val="center"/>
                </w:tcPr>
                <w:p w14:paraId="2F7505A9">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p>
              </w:tc>
              <w:tc>
                <w:tcPr>
                  <w:tcW w:w="440" w:type="pct"/>
                  <w:vMerge w:val="continue"/>
                  <w:vAlign w:val="center"/>
                </w:tcPr>
                <w:p w14:paraId="3766DE77">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p>
              </w:tc>
              <w:tc>
                <w:tcPr>
                  <w:tcW w:w="844" w:type="pct"/>
                  <w:vMerge w:val="continue"/>
                  <w:vAlign w:val="center"/>
                </w:tcPr>
                <w:p w14:paraId="00714C4F">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p>
              </w:tc>
              <w:tc>
                <w:tcPr>
                  <w:tcW w:w="1046" w:type="pct"/>
                  <w:vAlign w:val="center"/>
                </w:tcPr>
                <w:p w14:paraId="15891458">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rPr>
                    <w:t>TF1400-5-25000</w:t>
                  </w:r>
                </w:p>
              </w:tc>
              <w:tc>
                <w:tcPr>
                  <w:tcW w:w="550" w:type="pct"/>
                  <w:vAlign w:val="center"/>
                </w:tcPr>
                <w:p w14:paraId="46DE3CCD">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rPr>
                    <w:t>11台</w:t>
                  </w:r>
                </w:p>
              </w:tc>
              <w:tc>
                <w:tcPr>
                  <w:tcW w:w="697" w:type="pct"/>
                  <w:vAlign w:val="center"/>
                </w:tcPr>
                <w:p w14:paraId="56CF58BA">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rPr>
                    <w:t>0</w:t>
                  </w:r>
                </w:p>
              </w:tc>
              <w:tc>
                <w:tcPr>
                  <w:tcW w:w="559" w:type="pct"/>
                  <w:vAlign w:val="center"/>
                </w:tcPr>
                <w:p w14:paraId="6B8BCE67">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rPr>
                    <w:t>0</w:t>
                  </w:r>
                </w:p>
              </w:tc>
              <w:tc>
                <w:tcPr>
                  <w:tcW w:w="476" w:type="pct"/>
                  <w:vAlign w:val="center"/>
                </w:tcPr>
                <w:p w14:paraId="6D7A48C4">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rPr>
                    <w:t>-11台</w:t>
                  </w:r>
                </w:p>
              </w:tc>
            </w:tr>
            <w:tr w14:paraId="7DEFF2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384" w:type="pct"/>
                  <w:vMerge w:val="continue"/>
                  <w:vAlign w:val="center"/>
                </w:tcPr>
                <w:p w14:paraId="346CD911">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p>
              </w:tc>
              <w:tc>
                <w:tcPr>
                  <w:tcW w:w="440" w:type="pct"/>
                  <w:vMerge w:val="continue"/>
                  <w:vAlign w:val="center"/>
                </w:tcPr>
                <w:p w14:paraId="4ED041FC">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p>
              </w:tc>
              <w:tc>
                <w:tcPr>
                  <w:tcW w:w="844" w:type="pct"/>
                  <w:vMerge w:val="continue"/>
                  <w:vAlign w:val="center"/>
                </w:tcPr>
                <w:p w14:paraId="26802E19">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p>
              </w:tc>
              <w:tc>
                <w:tcPr>
                  <w:tcW w:w="1046" w:type="pct"/>
                  <w:vAlign w:val="center"/>
                </w:tcPr>
                <w:p w14:paraId="1E754ED9">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rPr>
                    <w:t>TF1400-25000</w:t>
                  </w:r>
                </w:p>
              </w:tc>
              <w:tc>
                <w:tcPr>
                  <w:tcW w:w="550" w:type="pct"/>
                  <w:vAlign w:val="center"/>
                </w:tcPr>
                <w:p w14:paraId="155EA58A">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rPr>
                    <w:t>16台</w:t>
                  </w:r>
                </w:p>
              </w:tc>
              <w:tc>
                <w:tcPr>
                  <w:tcW w:w="697" w:type="pct"/>
                  <w:vAlign w:val="center"/>
                </w:tcPr>
                <w:p w14:paraId="6B015647">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rPr>
                    <w:t>0</w:t>
                  </w:r>
                </w:p>
              </w:tc>
              <w:tc>
                <w:tcPr>
                  <w:tcW w:w="559" w:type="pct"/>
                  <w:vAlign w:val="center"/>
                </w:tcPr>
                <w:p w14:paraId="2D57D602">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rPr>
                    <w:t>0</w:t>
                  </w:r>
                </w:p>
              </w:tc>
              <w:tc>
                <w:tcPr>
                  <w:tcW w:w="476" w:type="pct"/>
                  <w:vAlign w:val="center"/>
                </w:tcPr>
                <w:p w14:paraId="1DB9DA14">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rPr>
                    <w:t>-16台</w:t>
                  </w:r>
                </w:p>
              </w:tc>
            </w:tr>
            <w:tr w14:paraId="29839B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384" w:type="pct"/>
                  <w:vMerge w:val="continue"/>
                  <w:vAlign w:val="center"/>
                </w:tcPr>
                <w:p w14:paraId="79352707">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p>
              </w:tc>
              <w:tc>
                <w:tcPr>
                  <w:tcW w:w="440" w:type="pct"/>
                  <w:vMerge w:val="continue"/>
                  <w:vAlign w:val="center"/>
                </w:tcPr>
                <w:p w14:paraId="07271E20">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p>
              </w:tc>
              <w:tc>
                <w:tcPr>
                  <w:tcW w:w="844" w:type="pct"/>
                  <w:vMerge w:val="continue"/>
                  <w:vAlign w:val="center"/>
                </w:tcPr>
                <w:p w14:paraId="02BB585E">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p>
              </w:tc>
              <w:tc>
                <w:tcPr>
                  <w:tcW w:w="1046" w:type="pct"/>
                  <w:vAlign w:val="center"/>
                </w:tcPr>
                <w:p w14:paraId="6839BE1A">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rPr>
                    <w:t>750-E</w:t>
                  </w:r>
                </w:p>
              </w:tc>
              <w:tc>
                <w:tcPr>
                  <w:tcW w:w="550" w:type="pct"/>
                  <w:vAlign w:val="center"/>
                </w:tcPr>
                <w:p w14:paraId="0A3ECEE2">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rPr>
                    <w:t>2台</w:t>
                  </w:r>
                </w:p>
              </w:tc>
              <w:tc>
                <w:tcPr>
                  <w:tcW w:w="697" w:type="pct"/>
                  <w:vAlign w:val="center"/>
                </w:tcPr>
                <w:p w14:paraId="269359A4">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rPr>
                    <w:t>0</w:t>
                  </w:r>
                </w:p>
              </w:tc>
              <w:tc>
                <w:tcPr>
                  <w:tcW w:w="559" w:type="pct"/>
                  <w:vAlign w:val="center"/>
                </w:tcPr>
                <w:p w14:paraId="7DE2C27D">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rPr>
                    <w:t>0</w:t>
                  </w:r>
                </w:p>
              </w:tc>
              <w:tc>
                <w:tcPr>
                  <w:tcW w:w="476" w:type="pct"/>
                  <w:vAlign w:val="center"/>
                </w:tcPr>
                <w:p w14:paraId="7F4C3469">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rPr>
                    <w:t>-2台</w:t>
                  </w:r>
                </w:p>
              </w:tc>
            </w:tr>
            <w:tr w14:paraId="4650C1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384" w:type="pct"/>
                  <w:vMerge w:val="continue"/>
                  <w:vAlign w:val="center"/>
                </w:tcPr>
                <w:p w14:paraId="38FECFD7">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p>
              </w:tc>
              <w:tc>
                <w:tcPr>
                  <w:tcW w:w="440" w:type="pct"/>
                  <w:vMerge w:val="continue"/>
                  <w:vAlign w:val="center"/>
                </w:tcPr>
                <w:p w14:paraId="22783630">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p>
              </w:tc>
              <w:tc>
                <w:tcPr>
                  <w:tcW w:w="844" w:type="pct"/>
                  <w:vMerge w:val="continue"/>
                  <w:vAlign w:val="center"/>
                </w:tcPr>
                <w:p w14:paraId="78C3830F">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p>
              </w:tc>
              <w:tc>
                <w:tcPr>
                  <w:tcW w:w="1046" w:type="pct"/>
                  <w:vAlign w:val="center"/>
                </w:tcPr>
                <w:p w14:paraId="7F87DC6B">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rPr>
                    <w:t>1200-E</w:t>
                  </w:r>
                </w:p>
              </w:tc>
              <w:tc>
                <w:tcPr>
                  <w:tcW w:w="550" w:type="pct"/>
                  <w:vAlign w:val="center"/>
                </w:tcPr>
                <w:p w14:paraId="1A1FEC62">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rPr>
                    <w:t>5台</w:t>
                  </w:r>
                </w:p>
              </w:tc>
              <w:tc>
                <w:tcPr>
                  <w:tcW w:w="697" w:type="pct"/>
                  <w:vAlign w:val="center"/>
                </w:tcPr>
                <w:p w14:paraId="55BC3AA6">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rPr>
                    <w:t>0</w:t>
                  </w:r>
                </w:p>
              </w:tc>
              <w:tc>
                <w:tcPr>
                  <w:tcW w:w="559" w:type="pct"/>
                  <w:vAlign w:val="center"/>
                </w:tcPr>
                <w:p w14:paraId="3122E459">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rPr>
                    <w:t>0</w:t>
                  </w:r>
                </w:p>
              </w:tc>
              <w:tc>
                <w:tcPr>
                  <w:tcW w:w="476" w:type="pct"/>
                  <w:vAlign w:val="center"/>
                </w:tcPr>
                <w:p w14:paraId="229EEF58">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rPr>
                    <w:t>-5台</w:t>
                  </w:r>
                </w:p>
              </w:tc>
            </w:tr>
            <w:tr w14:paraId="5D2F1D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384" w:type="pct"/>
                  <w:vMerge w:val="continue"/>
                  <w:vAlign w:val="center"/>
                </w:tcPr>
                <w:p w14:paraId="232051D2">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p>
              </w:tc>
              <w:tc>
                <w:tcPr>
                  <w:tcW w:w="440" w:type="pct"/>
                  <w:vMerge w:val="continue"/>
                  <w:vAlign w:val="center"/>
                </w:tcPr>
                <w:p w14:paraId="29EF9818">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p>
              </w:tc>
              <w:tc>
                <w:tcPr>
                  <w:tcW w:w="844" w:type="pct"/>
                  <w:vMerge w:val="continue"/>
                  <w:vAlign w:val="center"/>
                </w:tcPr>
                <w:p w14:paraId="67AA8A09">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p>
              </w:tc>
              <w:tc>
                <w:tcPr>
                  <w:tcW w:w="1046" w:type="pct"/>
                  <w:vAlign w:val="center"/>
                </w:tcPr>
                <w:p w14:paraId="147E79C0">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rPr>
                    <w:t>1600-E</w:t>
                  </w:r>
                </w:p>
              </w:tc>
              <w:tc>
                <w:tcPr>
                  <w:tcW w:w="550" w:type="pct"/>
                  <w:vAlign w:val="center"/>
                </w:tcPr>
                <w:p w14:paraId="5311859A">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rPr>
                    <w:t>1台</w:t>
                  </w:r>
                </w:p>
              </w:tc>
              <w:tc>
                <w:tcPr>
                  <w:tcW w:w="697" w:type="pct"/>
                  <w:vAlign w:val="center"/>
                </w:tcPr>
                <w:p w14:paraId="623F5064">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rPr>
                    <w:t>0</w:t>
                  </w:r>
                </w:p>
              </w:tc>
              <w:tc>
                <w:tcPr>
                  <w:tcW w:w="559" w:type="pct"/>
                  <w:vAlign w:val="center"/>
                </w:tcPr>
                <w:p w14:paraId="31FBF84D">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rPr>
                    <w:t>0</w:t>
                  </w:r>
                </w:p>
              </w:tc>
              <w:tc>
                <w:tcPr>
                  <w:tcW w:w="476" w:type="pct"/>
                  <w:vAlign w:val="center"/>
                </w:tcPr>
                <w:p w14:paraId="2A7171FF">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rPr>
                    <w:t>-1台</w:t>
                  </w:r>
                </w:p>
              </w:tc>
            </w:tr>
            <w:tr w14:paraId="6C0AD1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384" w:type="pct"/>
                  <w:vMerge w:val="continue"/>
                  <w:vAlign w:val="center"/>
                </w:tcPr>
                <w:p w14:paraId="737F2382">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p>
              </w:tc>
              <w:tc>
                <w:tcPr>
                  <w:tcW w:w="440" w:type="pct"/>
                  <w:vMerge w:val="continue"/>
                  <w:vAlign w:val="center"/>
                </w:tcPr>
                <w:p w14:paraId="6F821C19">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p>
              </w:tc>
              <w:tc>
                <w:tcPr>
                  <w:tcW w:w="844" w:type="pct"/>
                  <w:vMerge w:val="continue"/>
                  <w:vAlign w:val="center"/>
                </w:tcPr>
                <w:p w14:paraId="6D7CDE3F">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p>
              </w:tc>
              <w:tc>
                <w:tcPr>
                  <w:tcW w:w="1046" w:type="pct"/>
                  <w:vAlign w:val="center"/>
                </w:tcPr>
                <w:p w14:paraId="6A66F7C4">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rPr>
                    <w:t>1400-3-25000</w:t>
                  </w:r>
                </w:p>
              </w:tc>
              <w:tc>
                <w:tcPr>
                  <w:tcW w:w="550" w:type="pct"/>
                  <w:vAlign w:val="center"/>
                </w:tcPr>
                <w:p w14:paraId="0B3C152A">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rPr>
                    <w:t>8台</w:t>
                  </w:r>
                </w:p>
              </w:tc>
              <w:tc>
                <w:tcPr>
                  <w:tcW w:w="697" w:type="pct"/>
                  <w:vAlign w:val="center"/>
                </w:tcPr>
                <w:p w14:paraId="1B04A282">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rPr>
                    <w:t>0</w:t>
                  </w:r>
                </w:p>
              </w:tc>
              <w:tc>
                <w:tcPr>
                  <w:tcW w:w="559" w:type="pct"/>
                  <w:vAlign w:val="center"/>
                </w:tcPr>
                <w:p w14:paraId="1BDB1C30">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rPr>
                    <w:t>0</w:t>
                  </w:r>
                </w:p>
              </w:tc>
              <w:tc>
                <w:tcPr>
                  <w:tcW w:w="476" w:type="pct"/>
                  <w:vAlign w:val="center"/>
                </w:tcPr>
                <w:p w14:paraId="3FD51170">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rPr>
                    <w:t>-8台</w:t>
                  </w:r>
                </w:p>
              </w:tc>
            </w:tr>
            <w:tr w14:paraId="288188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384" w:type="pct"/>
                  <w:vMerge w:val="continue"/>
                  <w:vAlign w:val="center"/>
                </w:tcPr>
                <w:p w14:paraId="761E7BD5">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p>
              </w:tc>
              <w:tc>
                <w:tcPr>
                  <w:tcW w:w="440" w:type="pct"/>
                  <w:vMerge w:val="continue"/>
                  <w:vAlign w:val="center"/>
                </w:tcPr>
                <w:p w14:paraId="0A819198">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p>
              </w:tc>
              <w:tc>
                <w:tcPr>
                  <w:tcW w:w="844" w:type="pct"/>
                  <w:vMerge w:val="continue"/>
                  <w:vAlign w:val="center"/>
                </w:tcPr>
                <w:p w14:paraId="27BB2766">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p>
              </w:tc>
              <w:tc>
                <w:tcPr>
                  <w:tcW w:w="1046" w:type="pct"/>
                  <w:vAlign w:val="center"/>
                </w:tcPr>
                <w:p w14:paraId="51E329DA">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rPr>
                    <w:t>DKX16000-E型</w:t>
                  </w:r>
                </w:p>
              </w:tc>
              <w:tc>
                <w:tcPr>
                  <w:tcW w:w="550" w:type="pct"/>
                  <w:vAlign w:val="center"/>
                </w:tcPr>
                <w:p w14:paraId="12C97A12">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rPr>
                    <w:t>/</w:t>
                  </w:r>
                </w:p>
              </w:tc>
              <w:tc>
                <w:tcPr>
                  <w:tcW w:w="697" w:type="pct"/>
                  <w:vAlign w:val="center"/>
                </w:tcPr>
                <w:p w14:paraId="565CD144">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rPr>
                    <w:t>1台</w:t>
                  </w:r>
                </w:p>
              </w:tc>
              <w:tc>
                <w:tcPr>
                  <w:tcW w:w="559" w:type="pct"/>
                  <w:vAlign w:val="center"/>
                </w:tcPr>
                <w:p w14:paraId="41D4F78B">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rPr>
                    <w:t>1台</w:t>
                  </w:r>
                </w:p>
              </w:tc>
              <w:tc>
                <w:tcPr>
                  <w:tcW w:w="476" w:type="pct"/>
                  <w:vAlign w:val="center"/>
                </w:tcPr>
                <w:p w14:paraId="2229612C">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rPr>
                    <w:t>+1台</w:t>
                  </w:r>
                </w:p>
              </w:tc>
            </w:tr>
            <w:tr w14:paraId="38A37B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384" w:type="pct"/>
                  <w:vMerge w:val="continue"/>
                  <w:vAlign w:val="center"/>
                </w:tcPr>
                <w:p w14:paraId="0C4BA952">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p>
              </w:tc>
              <w:tc>
                <w:tcPr>
                  <w:tcW w:w="440" w:type="pct"/>
                  <w:vMerge w:val="continue"/>
                  <w:vAlign w:val="center"/>
                </w:tcPr>
                <w:p w14:paraId="4DAB542E">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p>
              </w:tc>
              <w:tc>
                <w:tcPr>
                  <w:tcW w:w="844" w:type="pct"/>
                  <w:vMerge w:val="continue"/>
                  <w:vAlign w:val="center"/>
                </w:tcPr>
                <w:p w14:paraId="40C934B0">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p>
              </w:tc>
              <w:tc>
                <w:tcPr>
                  <w:tcW w:w="1046" w:type="pct"/>
                  <w:vAlign w:val="center"/>
                </w:tcPr>
                <w:p w14:paraId="01F724D3">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rPr>
                    <w:t>JK-S-20</w:t>
                  </w:r>
                </w:p>
              </w:tc>
              <w:tc>
                <w:tcPr>
                  <w:tcW w:w="550" w:type="pct"/>
                  <w:vAlign w:val="center"/>
                </w:tcPr>
                <w:p w14:paraId="014C60D0">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rPr>
                    <w:t>/</w:t>
                  </w:r>
                </w:p>
              </w:tc>
              <w:tc>
                <w:tcPr>
                  <w:tcW w:w="697" w:type="pct"/>
                  <w:vAlign w:val="center"/>
                </w:tcPr>
                <w:p w14:paraId="6A2ABAD8">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rPr>
                    <w:t>1台</w:t>
                  </w:r>
                </w:p>
              </w:tc>
              <w:tc>
                <w:tcPr>
                  <w:tcW w:w="559" w:type="pct"/>
                  <w:vAlign w:val="center"/>
                </w:tcPr>
                <w:p w14:paraId="044ED28C">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rPr>
                    <w:t>1台</w:t>
                  </w:r>
                </w:p>
              </w:tc>
              <w:tc>
                <w:tcPr>
                  <w:tcW w:w="476" w:type="pct"/>
                  <w:vAlign w:val="center"/>
                </w:tcPr>
                <w:p w14:paraId="5EF002AC">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rPr>
                    <w:t>+1台</w:t>
                  </w:r>
                </w:p>
              </w:tc>
            </w:tr>
            <w:tr w14:paraId="1AB143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384" w:type="pct"/>
                  <w:vMerge w:val="continue"/>
                  <w:vAlign w:val="center"/>
                </w:tcPr>
                <w:p w14:paraId="72B51B4E">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p>
              </w:tc>
              <w:tc>
                <w:tcPr>
                  <w:tcW w:w="440" w:type="pct"/>
                  <w:vMerge w:val="continue"/>
                  <w:vAlign w:val="center"/>
                </w:tcPr>
                <w:p w14:paraId="28E58143">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p>
              </w:tc>
              <w:tc>
                <w:tcPr>
                  <w:tcW w:w="844" w:type="pct"/>
                  <w:vMerge w:val="continue"/>
                  <w:vAlign w:val="center"/>
                </w:tcPr>
                <w:p w14:paraId="079CBFFC">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p>
              </w:tc>
              <w:tc>
                <w:tcPr>
                  <w:tcW w:w="1046" w:type="pct"/>
                  <w:vAlign w:val="center"/>
                </w:tcPr>
                <w:p w14:paraId="237DD574">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rPr>
                    <w:t>L2600*W1200*H2700</w:t>
                  </w:r>
                </w:p>
              </w:tc>
              <w:tc>
                <w:tcPr>
                  <w:tcW w:w="550" w:type="pct"/>
                  <w:vAlign w:val="center"/>
                </w:tcPr>
                <w:p w14:paraId="2D7291BE">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rPr>
                    <w:t>/</w:t>
                  </w:r>
                </w:p>
              </w:tc>
              <w:tc>
                <w:tcPr>
                  <w:tcW w:w="697" w:type="pct"/>
                  <w:vAlign w:val="center"/>
                </w:tcPr>
                <w:p w14:paraId="1F4DEE42">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rPr>
                    <w:t>9台</w:t>
                  </w:r>
                </w:p>
              </w:tc>
              <w:tc>
                <w:tcPr>
                  <w:tcW w:w="559" w:type="pct"/>
                  <w:vAlign w:val="center"/>
                </w:tcPr>
                <w:p w14:paraId="0BBA115A">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rPr>
                    <w:t>9台</w:t>
                  </w:r>
                </w:p>
              </w:tc>
              <w:tc>
                <w:tcPr>
                  <w:tcW w:w="476" w:type="pct"/>
                  <w:vAlign w:val="center"/>
                </w:tcPr>
                <w:p w14:paraId="7C386616">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rPr>
                    <w:t>+9台</w:t>
                  </w:r>
                </w:p>
              </w:tc>
            </w:tr>
            <w:tr w14:paraId="6AD9DB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384" w:type="pct"/>
                  <w:vMerge w:val="continue"/>
                  <w:vAlign w:val="center"/>
                </w:tcPr>
                <w:p w14:paraId="1D6E697D">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p>
              </w:tc>
              <w:tc>
                <w:tcPr>
                  <w:tcW w:w="440" w:type="pct"/>
                  <w:vMerge w:val="continue"/>
                  <w:vAlign w:val="center"/>
                </w:tcPr>
                <w:p w14:paraId="2FD19576">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p>
              </w:tc>
              <w:tc>
                <w:tcPr>
                  <w:tcW w:w="844" w:type="pct"/>
                  <w:vMerge w:val="continue"/>
                  <w:vAlign w:val="center"/>
                </w:tcPr>
                <w:p w14:paraId="165F9A6C">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p>
              </w:tc>
              <w:tc>
                <w:tcPr>
                  <w:tcW w:w="1046" w:type="pct"/>
                  <w:vAlign w:val="center"/>
                </w:tcPr>
                <w:p w14:paraId="6CB3F0CE">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rPr>
                    <w:t>L26200*W1400*H1150</w:t>
                  </w:r>
                </w:p>
              </w:tc>
              <w:tc>
                <w:tcPr>
                  <w:tcW w:w="550" w:type="pct"/>
                  <w:vAlign w:val="center"/>
                </w:tcPr>
                <w:p w14:paraId="4E2A0B4B">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rPr>
                    <w:t>/</w:t>
                  </w:r>
                </w:p>
              </w:tc>
              <w:tc>
                <w:tcPr>
                  <w:tcW w:w="697" w:type="pct"/>
                  <w:vAlign w:val="center"/>
                </w:tcPr>
                <w:p w14:paraId="3E000AD9">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rPr>
                    <w:t>8台</w:t>
                  </w:r>
                </w:p>
              </w:tc>
              <w:tc>
                <w:tcPr>
                  <w:tcW w:w="559" w:type="pct"/>
                  <w:vAlign w:val="center"/>
                </w:tcPr>
                <w:p w14:paraId="22ACEF11">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rPr>
                    <w:t>8台</w:t>
                  </w:r>
                </w:p>
              </w:tc>
              <w:tc>
                <w:tcPr>
                  <w:tcW w:w="476" w:type="pct"/>
                  <w:vAlign w:val="center"/>
                </w:tcPr>
                <w:p w14:paraId="5F5C168C">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rPr>
                    <w:t>+8台</w:t>
                  </w:r>
                </w:p>
              </w:tc>
            </w:tr>
            <w:tr w14:paraId="4FD882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384" w:type="pct"/>
                  <w:vMerge w:val="continue"/>
                  <w:vAlign w:val="center"/>
                </w:tcPr>
                <w:p w14:paraId="42CAFF4F">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p>
              </w:tc>
              <w:tc>
                <w:tcPr>
                  <w:tcW w:w="440" w:type="pct"/>
                  <w:vMerge w:val="continue"/>
                  <w:vAlign w:val="center"/>
                </w:tcPr>
                <w:p w14:paraId="00B15B7C">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p>
              </w:tc>
              <w:tc>
                <w:tcPr>
                  <w:tcW w:w="844" w:type="pct"/>
                  <w:vMerge w:val="continue"/>
                  <w:vAlign w:val="center"/>
                </w:tcPr>
                <w:p w14:paraId="2F0F5919">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p>
              </w:tc>
              <w:tc>
                <w:tcPr>
                  <w:tcW w:w="1046" w:type="pct"/>
                  <w:vAlign w:val="center"/>
                </w:tcPr>
                <w:p w14:paraId="7AD9DEA2">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rPr>
                    <w:t>TF1200-25000</w:t>
                  </w:r>
                </w:p>
              </w:tc>
              <w:tc>
                <w:tcPr>
                  <w:tcW w:w="550" w:type="pct"/>
                  <w:vAlign w:val="center"/>
                </w:tcPr>
                <w:p w14:paraId="133EEE4B">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rPr>
                    <w:t>/</w:t>
                  </w:r>
                </w:p>
              </w:tc>
              <w:tc>
                <w:tcPr>
                  <w:tcW w:w="697" w:type="pct"/>
                  <w:vAlign w:val="center"/>
                </w:tcPr>
                <w:p w14:paraId="704871A9">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rPr>
                    <w:t>1台</w:t>
                  </w:r>
                </w:p>
              </w:tc>
              <w:tc>
                <w:tcPr>
                  <w:tcW w:w="559" w:type="pct"/>
                  <w:vAlign w:val="center"/>
                </w:tcPr>
                <w:p w14:paraId="263D4600">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rPr>
                    <w:t>1台</w:t>
                  </w:r>
                </w:p>
              </w:tc>
              <w:tc>
                <w:tcPr>
                  <w:tcW w:w="476" w:type="pct"/>
                  <w:vAlign w:val="center"/>
                </w:tcPr>
                <w:p w14:paraId="17B32D2B">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rPr>
                    <w:t>+1台</w:t>
                  </w:r>
                </w:p>
              </w:tc>
            </w:tr>
            <w:tr w14:paraId="24DEBF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384" w:type="pct"/>
                  <w:vMerge w:val="continue"/>
                  <w:vAlign w:val="center"/>
                </w:tcPr>
                <w:p w14:paraId="401F6E9B">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p>
              </w:tc>
              <w:tc>
                <w:tcPr>
                  <w:tcW w:w="440" w:type="pct"/>
                  <w:vMerge w:val="continue"/>
                  <w:vAlign w:val="center"/>
                </w:tcPr>
                <w:p w14:paraId="10E3129E">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p>
              </w:tc>
              <w:tc>
                <w:tcPr>
                  <w:tcW w:w="844" w:type="pct"/>
                  <w:vMerge w:val="continue"/>
                  <w:vAlign w:val="center"/>
                </w:tcPr>
                <w:p w14:paraId="724DF6DC">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p>
              </w:tc>
              <w:tc>
                <w:tcPr>
                  <w:tcW w:w="1046" w:type="pct"/>
                  <w:vAlign w:val="center"/>
                </w:tcPr>
                <w:p w14:paraId="3404505B">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rPr>
                    <w:t>双层</w:t>
                  </w:r>
                </w:p>
              </w:tc>
              <w:tc>
                <w:tcPr>
                  <w:tcW w:w="550" w:type="pct"/>
                  <w:vAlign w:val="center"/>
                </w:tcPr>
                <w:p w14:paraId="248B8568">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rPr>
                    <w:t>/</w:t>
                  </w:r>
                </w:p>
              </w:tc>
              <w:tc>
                <w:tcPr>
                  <w:tcW w:w="697" w:type="pct"/>
                  <w:vAlign w:val="center"/>
                </w:tcPr>
                <w:p w14:paraId="1789B229">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rPr>
                    <w:t>2台</w:t>
                  </w:r>
                </w:p>
              </w:tc>
              <w:tc>
                <w:tcPr>
                  <w:tcW w:w="559" w:type="pct"/>
                  <w:vAlign w:val="center"/>
                </w:tcPr>
                <w:p w14:paraId="18849E65">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rPr>
                    <w:t>2台</w:t>
                  </w:r>
                </w:p>
              </w:tc>
              <w:tc>
                <w:tcPr>
                  <w:tcW w:w="476" w:type="pct"/>
                  <w:vAlign w:val="center"/>
                </w:tcPr>
                <w:p w14:paraId="32BD57D1">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rPr>
                    <w:t>+2台</w:t>
                  </w:r>
                </w:p>
              </w:tc>
            </w:tr>
            <w:tr w14:paraId="4A81B5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384" w:type="pct"/>
                  <w:vMerge w:val="continue"/>
                  <w:vAlign w:val="center"/>
                </w:tcPr>
                <w:p w14:paraId="10682B4B">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p>
              </w:tc>
              <w:tc>
                <w:tcPr>
                  <w:tcW w:w="440" w:type="pct"/>
                  <w:vMerge w:val="continue"/>
                  <w:vAlign w:val="center"/>
                </w:tcPr>
                <w:p w14:paraId="07519B44">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p>
              </w:tc>
              <w:tc>
                <w:tcPr>
                  <w:tcW w:w="844" w:type="pct"/>
                  <w:vMerge w:val="continue"/>
                  <w:vAlign w:val="center"/>
                </w:tcPr>
                <w:p w14:paraId="60BE29F6">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p>
              </w:tc>
              <w:tc>
                <w:tcPr>
                  <w:tcW w:w="1046" w:type="pct"/>
                  <w:vAlign w:val="center"/>
                </w:tcPr>
                <w:p w14:paraId="7A5CAD49">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rPr>
                    <w:t>浸涂设备</w:t>
                  </w:r>
                </w:p>
              </w:tc>
              <w:tc>
                <w:tcPr>
                  <w:tcW w:w="550" w:type="pct"/>
                  <w:vAlign w:val="center"/>
                </w:tcPr>
                <w:p w14:paraId="5070D170">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rPr>
                    <w:t>/</w:t>
                  </w:r>
                </w:p>
              </w:tc>
              <w:tc>
                <w:tcPr>
                  <w:tcW w:w="697" w:type="pct"/>
                  <w:vAlign w:val="center"/>
                </w:tcPr>
                <w:p w14:paraId="131FA2B6">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rPr>
                    <w:t>3台</w:t>
                  </w:r>
                </w:p>
              </w:tc>
              <w:tc>
                <w:tcPr>
                  <w:tcW w:w="559" w:type="pct"/>
                  <w:vAlign w:val="center"/>
                </w:tcPr>
                <w:p w14:paraId="3FB1DE9C">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rPr>
                    <w:t>3台</w:t>
                  </w:r>
                </w:p>
              </w:tc>
              <w:tc>
                <w:tcPr>
                  <w:tcW w:w="476" w:type="pct"/>
                  <w:vAlign w:val="center"/>
                </w:tcPr>
                <w:p w14:paraId="25B5CCE2">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rPr>
                    <w:t>+3台</w:t>
                  </w:r>
                </w:p>
              </w:tc>
            </w:tr>
            <w:tr w14:paraId="0B2365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384" w:type="pct"/>
                  <w:vMerge w:val="continue"/>
                  <w:vAlign w:val="center"/>
                </w:tcPr>
                <w:p w14:paraId="6D0F2B60">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p>
              </w:tc>
              <w:tc>
                <w:tcPr>
                  <w:tcW w:w="440" w:type="pct"/>
                  <w:vMerge w:val="continue"/>
                  <w:vAlign w:val="center"/>
                </w:tcPr>
                <w:p w14:paraId="79FFE108">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p>
              </w:tc>
              <w:tc>
                <w:tcPr>
                  <w:tcW w:w="844" w:type="pct"/>
                  <w:vMerge w:val="continue"/>
                  <w:vAlign w:val="center"/>
                </w:tcPr>
                <w:p w14:paraId="6868E41E">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p>
              </w:tc>
              <w:tc>
                <w:tcPr>
                  <w:tcW w:w="1046" w:type="pct"/>
                  <w:vAlign w:val="center"/>
                </w:tcPr>
                <w:p w14:paraId="1B04489D">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rPr>
                    <w:t>L21200*1400*H1050</w:t>
                  </w:r>
                </w:p>
              </w:tc>
              <w:tc>
                <w:tcPr>
                  <w:tcW w:w="550" w:type="pct"/>
                  <w:vAlign w:val="center"/>
                </w:tcPr>
                <w:p w14:paraId="0E62703A">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rPr>
                    <w:t>/</w:t>
                  </w:r>
                </w:p>
              </w:tc>
              <w:tc>
                <w:tcPr>
                  <w:tcW w:w="697" w:type="pct"/>
                  <w:vAlign w:val="center"/>
                </w:tcPr>
                <w:p w14:paraId="71781598">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rPr>
                    <w:t>2台</w:t>
                  </w:r>
                </w:p>
              </w:tc>
              <w:tc>
                <w:tcPr>
                  <w:tcW w:w="559" w:type="pct"/>
                  <w:vAlign w:val="center"/>
                </w:tcPr>
                <w:p w14:paraId="26E14EB9">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rPr>
                    <w:t>2台</w:t>
                  </w:r>
                </w:p>
              </w:tc>
              <w:tc>
                <w:tcPr>
                  <w:tcW w:w="476" w:type="pct"/>
                  <w:vAlign w:val="center"/>
                </w:tcPr>
                <w:p w14:paraId="2C95D544">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rPr>
                    <w:t>+2台</w:t>
                  </w:r>
                </w:p>
              </w:tc>
            </w:tr>
            <w:tr w14:paraId="78827B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384" w:type="pct"/>
                  <w:vMerge w:val="restart"/>
                  <w:vAlign w:val="center"/>
                </w:tcPr>
                <w:p w14:paraId="67ED3029">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rPr>
                    <w:t>15</w:t>
                  </w:r>
                </w:p>
              </w:tc>
              <w:tc>
                <w:tcPr>
                  <w:tcW w:w="440" w:type="pct"/>
                  <w:vMerge w:val="continue"/>
                  <w:vAlign w:val="center"/>
                </w:tcPr>
                <w:p w14:paraId="115D734F">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p>
              </w:tc>
              <w:tc>
                <w:tcPr>
                  <w:tcW w:w="844" w:type="pct"/>
                  <w:vMerge w:val="restart"/>
                  <w:vAlign w:val="center"/>
                </w:tcPr>
                <w:p w14:paraId="491D4C14">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rPr>
                    <w:t>剥离收卷机</w:t>
                  </w:r>
                </w:p>
              </w:tc>
              <w:tc>
                <w:tcPr>
                  <w:tcW w:w="1046" w:type="pct"/>
                  <w:vAlign w:val="center"/>
                </w:tcPr>
                <w:p w14:paraId="03FC85D1">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rPr>
                    <w:t>DPW1250-D</w:t>
                  </w:r>
                </w:p>
              </w:tc>
              <w:tc>
                <w:tcPr>
                  <w:tcW w:w="550" w:type="pct"/>
                  <w:vAlign w:val="center"/>
                </w:tcPr>
                <w:p w14:paraId="09A661A5">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rPr>
                    <w:t>2台</w:t>
                  </w:r>
                </w:p>
              </w:tc>
              <w:tc>
                <w:tcPr>
                  <w:tcW w:w="697" w:type="pct"/>
                  <w:vAlign w:val="center"/>
                </w:tcPr>
                <w:p w14:paraId="4EFCABB1">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rPr>
                    <w:t>1台</w:t>
                  </w:r>
                </w:p>
              </w:tc>
              <w:tc>
                <w:tcPr>
                  <w:tcW w:w="559" w:type="pct"/>
                  <w:vAlign w:val="center"/>
                </w:tcPr>
                <w:p w14:paraId="4E537A58">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rPr>
                    <w:t>1台</w:t>
                  </w:r>
                </w:p>
              </w:tc>
              <w:tc>
                <w:tcPr>
                  <w:tcW w:w="476" w:type="pct"/>
                  <w:vAlign w:val="center"/>
                </w:tcPr>
                <w:p w14:paraId="73896206">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rPr>
                    <w:t>-1台</w:t>
                  </w:r>
                </w:p>
              </w:tc>
            </w:tr>
            <w:tr w14:paraId="3719DD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384" w:type="pct"/>
                  <w:vMerge w:val="continue"/>
                  <w:vAlign w:val="center"/>
                </w:tcPr>
                <w:p w14:paraId="40BACA67">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p>
              </w:tc>
              <w:tc>
                <w:tcPr>
                  <w:tcW w:w="440" w:type="pct"/>
                  <w:vMerge w:val="continue"/>
                  <w:vAlign w:val="center"/>
                </w:tcPr>
                <w:p w14:paraId="58F39F6B">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p>
              </w:tc>
              <w:tc>
                <w:tcPr>
                  <w:tcW w:w="844" w:type="pct"/>
                  <w:vMerge w:val="continue"/>
                  <w:vAlign w:val="center"/>
                </w:tcPr>
                <w:p w14:paraId="1537A916">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p>
              </w:tc>
              <w:tc>
                <w:tcPr>
                  <w:tcW w:w="1046" w:type="pct"/>
                  <w:vAlign w:val="center"/>
                </w:tcPr>
                <w:p w14:paraId="135E62F9">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rPr>
                    <w:t>DPW750-D</w:t>
                  </w:r>
                </w:p>
              </w:tc>
              <w:tc>
                <w:tcPr>
                  <w:tcW w:w="550" w:type="pct"/>
                  <w:vAlign w:val="center"/>
                </w:tcPr>
                <w:p w14:paraId="2707A3DB">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rPr>
                    <w:t>2台</w:t>
                  </w:r>
                </w:p>
              </w:tc>
              <w:tc>
                <w:tcPr>
                  <w:tcW w:w="697" w:type="pct"/>
                  <w:vAlign w:val="center"/>
                </w:tcPr>
                <w:p w14:paraId="6B25C147">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rPr>
                    <w:t>0</w:t>
                  </w:r>
                </w:p>
              </w:tc>
              <w:tc>
                <w:tcPr>
                  <w:tcW w:w="559" w:type="pct"/>
                  <w:vAlign w:val="center"/>
                </w:tcPr>
                <w:p w14:paraId="2274ADE4">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rPr>
                    <w:t>0</w:t>
                  </w:r>
                </w:p>
              </w:tc>
              <w:tc>
                <w:tcPr>
                  <w:tcW w:w="476" w:type="pct"/>
                  <w:vAlign w:val="center"/>
                </w:tcPr>
                <w:p w14:paraId="713FC949">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rPr>
                    <w:t>-2台</w:t>
                  </w:r>
                </w:p>
              </w:tc>
            </w:tr>
            <w:tr w14:paraId="4A1B41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384" w:type="pct"/>
                  <w:vMerge w:val="continue"/>
                  <w:vAlign w:val="center"/>
                </w:tcPr>
                <w:p w14:paraId="76655506">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p>
              </w:tc>
              <w:tc>
                <w:tcPr>
                  <w:tcW w:w="440" w:type="pct"/>
                  <w:vMerge w:val="continue"/>
                  <w:vAlign w:val="center"/>
                </w:tcPr>
                <w:p w14:paraId="287BB088">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p>
              </w:tc>
              <w:tc>
                <w:tcPr>
                  <w:tcW w:w="844" w:type="pct"/>
                  <w:vMerge w:val="continue"/>
                  <w:vAlign w:val="center"/>
                </w:tcPr>
                <w:p w14:paraId="2C3013DF">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p>
              </w:tc>
              <w:tc>
                <w:tcPr>
                  <w:tcW w:w="1046" w:type="pct"/>
                  <w:vAlign w:val="center"/>
                </w:tcPr>
                <w:p w14:paraId="4B7709E8">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rPr>
                    <w:t>BLSJ1450-M</w:t>
                  </w:r>
                </w:p>
              </w:tc>
              <w:tc>
                <w:tcPr>
                  <w:tcW w:w="550" w:type="pct"/>
                  <w:vAlign w:val="center"/>
                </w:tcPr>
                <w:p w14:paraId="30C3F674">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rPr>
                    <w:t>/</w:t>
                  </w:r>
                </w:p>
              </w:tc>
              <w:tc>
                <w:tcPr>
                  <w:tcW w:w="697" w:type="pct"/>
                  <w:vAlign w:val="center"/>
                </w:tcPr>
                <w:p w14:paraId="68D28C91">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rPr>
                    <w:t>5台</w:t>
                  </w:r>
                </w:p>
              </w:tc>
              <w:tc>
                <w:tcPr>
                  <w:tcW w:w="559" w:type="pct"/>
                  <w:vAlign w:val="center"/>
                </w:tcPr>
                <w:p w14:paraId="70677B01">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rPr>
                    <w:t>5台</w:t>
                  </w:r>
                </w:p>
              </w:tc>
              <w:tc>
                <w:tcPr>
                  <w:tcW w:w="476" w:type="pct"/>
                  <w:vAlign w:val="center"/>
                </w:tcPr>
                <w:p w14:paraId="4CE6B785">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rPr>
                    <w:t>+5台</w:t>
                  </w:r>
                </w:p>
              </w:tc>
            </w:tr>
            <w:tr w14:paraId="61C357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384" w:type="pct"/>
                  <w:vMerge w:val="continue"/>
                  <w:vAlign w:val="center"/>
                </w:tcPr>
                <w:p w14:paraId="12A72A4F">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p>
              </w:tc>
              <w:tc>
                <w:tcPr>
                  <w:tcW w:w="440" w:type="pct"/>
                  <w:vMerge w:val="continue"/>
                  <w:vAlign w:val="center"/>
                </w:tcPr>
                <w:p w14:paraId="320EE1E8">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p>
              </w:tc>
              <w:tc>
                <w:tcPr>
                  <w:tcW w:w="844" w:type="pct"/>
                  <w:vMerge w:val="continue"/>
                  <w:vAlign w:val="center"/>
                </w:tcPr>
                <w:p w14:paraId="7FFD4683">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p>
              </w:tc>
              <w:tc>
                <w:tcPr>
                  <w:tcW w:w="1046" w:type="pct"/>
                  <w:vAlign w:val="center"/>
                </w:tcPr>
                <w:p w14:paraId="32870980">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rPr>
                    <w:t>DSP850-D</w:t>
                  </w:r>
                </w:p>
              </w:tc>
              <w:tc>
                <w:tcPr>
                  <w:tcW w:w="550" w:type="pct"/>
                  <w:vAlign w:val="center"/>
                </w:tcPr>
                <w:p w14:paraId="01843B5C">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rPr>
                    <w:t>/</w:t>
                  </w:r>
                </w:p>
              </w:tc>
              <w:tc>
                <w:tcPr>
                  <w:tcW w:w="697" w:type="pct"/>
                  <w:vAlign w:val="center"/>
                </w:tcPr>
                <w:p w14:paraId="48E5F351">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rPr>
                    <w:t>1台</w:t>
                  </w:r>
                </w:p>
              </w:tc>
              <w:tc>
                <w:tcPr>
                  <w:tcW w:w="559" w:type="pct"/>
                  <w:vAlign w:val="center"/>
                </w:tcPr>
                <w:p w14:paraId="38B43B6D">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rPr>
                    <w:t>1台</w:t>
                  </w:r>
                </w:p>
              </w:tc>
              <w:tc>
                <w:tcPr>
                  <w:tcW w:w="476" w:type="pct"/>
                  <w:vAlign w:val="center"/>
                </w:tcPr>
                <w:p w14:paraId="75589119">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rPr>
                    <w:t>+1台</w:t>
                  </w:r>
                </w:p>
              </w:tc>
            </w:tr>
            <w:tr w14:paraId="7D2CB3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384" w:type="pct"/>
                  <w:vMerge w:val="continue"/>
                  <w:vAlign w:val="center"/>
                </w:tcPr>
                <w:p w14:paraId="1DFC0247">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p>
              </w:tc>
              <w:tc>
                <w:tcPr>
                  <w:tcW w:w="440" w:type="pct"/>
                  <w:vMerge w:val="continue"/>
                  <w:vAlign w:val="center"/>
                </w:tcPr>
                <w:p w14:paraId="67F00FB1">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p>
              </w:tc>
              <w:tc>
                <w:tcPr>
                  <w:tcW w:w="844" w:type="pct"/>
                  <w:vMerge w:val="continue"/>
                  <w:vAlign w:val="center"/>
                </w:tcPr>
                <w:p w14:paraId="7F96F873">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p>
              </w:tc>
              <w:tc>
                <w:tcPr>
                  <w:tcW w:w="1046" w:type="pct"/>
                  <w:vAlign w:val="center"/>
                </w:tcPr>
                <w:p w14:paraId="5DC65D58">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rPr>
                    <w:t>SLF1200-M型</w:t>
                  </w:r>
                </w:p>
              </w:tc>
              <w:tc>
                <w:tcPr>
                  <w:tcW w:w="550" w:type="pct"/>
                  <w:vAlign w:val="center"/>
                </w:tcPr>
                <w:p w14:paraId="1DF7E5B1">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rPr>
                    <w:t>/</w:t>
                  </w:r>
                </w:p>
              </w:tc>
              <w:tc>
                <w:tcPr>
                  <w:tcW w:w="697" w:type="pct"/>
                  <w:vAlign w:val="center"/>
                </w:tcPr>
                <w:p w14:paraId="4A338048">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rPr>
                    <w:t>2台</w:t>
                  </w:r>
                </w:p>
              </w:tc>
              <w:tc>
                <w:tcPr>
                  <w:tcW w:w="559" w:type="pct"/>
                  <w:vAlign w:val="center"/>
                </w:tcPr>
                <w:p w14:paraId="34CD20D9">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rPr>
                    <w:t>2台</w:t>
                  </w:r>
                </w:p>
              </w:tc>
              <w:tc>
                <w:tcPr>
                  <w:tcW w:w="476" w:type="pct"/>
                  <w:vAlign w:val="center"/>
                </w:tcPr>
                <w:p w14:paraId="3C7204BE">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rPr>
                    <w:t>+2台</w:t>
                  </w:r>
                </w:p>
              </w:tc>
            </w:tr>
            <w:tr w14:paraId="03A086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384" w:type="pct"/>
                  <w:vMerge w:val="continue"/>
                  <w:vAlign w:val="center"/>
                </w:tcPr>
                <w:p w14:paraId="36F5FF11">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p>
              </w:tc>
              <w:tc>
                <w:tcPr>
                  <w:tcW w:w="440" w:type="pct"/>
                  <w:vMerge w:val="continue"/>
                  <w:vAlign w:val="center"/>
                </w:tcPr>
                <w:p w14:paraId="1646F589">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p>
              </w:tc>
              <w:tc>
                <w:tcPr>
                  <w:tcW w:w="844" w:type="pct"/>
                  <w:vMerge w:val="continue"/>
                  <w:vAlign w:val="center"/>
                </w:tcPr>
                <w:p w14:paraId="3B4651C0">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p>
              </w:tc>
              <w:tc>
                <w:tcPr>
                  <w:tcW w:w="1046" w:type="pct"/>
                  <w:vAlign w:val="center"/>
                </w:tcPr>
                <w:p w14:paraId="13BB0972">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rPr>
                    <w:t>SLF1450-M型</w:t>
                  </w:r>
                </w:p>
              </w:tc>
              <w:tc>
                <w:tcPr>
                  <w:tcW w:w="550" w:type="pct"/>
                  <w:vAlign w:val="center"/>
                </w:tcPr>
                <w:p w14:paraId="096613F6">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rPr>
                    <w:t>/</w:t>
                  </w:r>
                </w:p>
              </w:tc>
              <w:tc>
                <w:tcPr>
                  <w:tcW w:w="697" w:type="pct"/>
                  <w:vAlign w:val="center"/>
                </w:tcPr>
                <w:p w14:paraId="2C188B07">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rPr>
                    <w:t>5台</w:t>
                  </w:r>
                </w:p>
              </w:tc>
              <w:tc>
                <w:tcPr>
                  <w:tcW w:w="559" w:type="pct"/>
                  <w:vAlign w:val="center"/>
                </w:tcPr>
                <w:p w14:paraId="449A4A09">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rPr>
                    <w:t>5台</w:t>
                  </w:r>
                </w:p>
              </w:tc>
              <w:tc>
                <w:tcPr>
                  <w:tcW w:w="476" w:type="pct"/>
                  <w:vAlign w:val="center"/>
                </w:tcPr>
                <w:p w14:paraId="6E17017A">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rPr>
                    <w:t>+5台</w:t>
                  </w:r>
                </w:p>
              </w:tc>
            </w:tr>
            <w:tr w14:paraId="37C443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384" w:type="pct"/>
                  <w:vMerge w:val="restart"/>
                  <w:vAlign w:val="center"/>
                </w:tcPr>
                <w:p w14:paraId="405D6C81">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rPr>
                    <w:t>16</w:t>
                  </w:r>
                </w:p>
              </w:tc>
              <w:tc>
                <w:tcPr>
                  <w:tcW w:w="440" w:type="pct"/>
                  <w:vMerge w:val="continue"/>
                  <w:vAlign w:val="center"/>
                </w:tcPr>
                <w:p w14:paraId="5B187005">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p>
              </w:tc>
              <w:tc>
                <w:tcPr>
                  <w:tcW w:w="844" w:type="pct"/>
                  <w:vMerge w:val="restart"/>
                  <w:vAlign w:val="center"/>
                </w:tcPr>
                <w:p w14:paraId="538E63E1">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rPr>
                    <w:t>双面剥离收卷机</w:t>
                  </w:r>
                </w:p>
              </w:tc>
              <w:tc>
                <w:tcPr>
                  <w:tcW w:w="1046" w:type="pct"/>
                  <w:vAlign w:val="center"/>
                </w:tcPr>
                <w:p w14:paraId="189A9671">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rPr>
                    <w:t>SLF1450-D型</w:t>
                  </w:r>
                </w:p>
              </w:tc>
              <w:tc>
                <w:tcPr>
                  <w:tcW w:w="550" w:type="pct"/>
                  <w:vAlign w:val="center"/>
                </w:tcPr>
                <w:p w14:paraId="7D8A2F82">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rPr>
                    <w:t>17台</w:t>
                  </w:r>
                </w:p>
              </w:tc>
              <w:tc>
                <w:tcPr>
                  <w:tcW w:w="697" w:type="pct"/>
                  <w:vAlign w:val="center"/>
                </w:tcPr>
                <w:p w14:paraId="394D92DA">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rPr>
                    <w:t>3台</w:t>
                  </w:r>
                </w:p>
              </w:tc>
              <w:tc>
                <w:tcPr>
                  <w:tcW w:w="559" w:type="pct"/>
                  <w:vAlign w:val="center"/>
                </w:tcPr>
                <w:p w14:paraId="70077C26">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rPr>
                    <w:t>3台</w:t>
                  </w:r>
                </w:p>
              </w:tc>
              <w:tc>
                <w:tcPr>
                  <w:tcW w:w="476" w:type="pct"/>
                  <w:vAlign w:val="center"/>
                </w:tcPr>
                <w:p w14:paraId="6A32BE87">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rPr>
                    <w:t>-14台</w:t>
                  </w:r>
                </w:p>
              </w:tc>
            </w:tr>
            <w:tr w14:paraId="06BFBB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384" w:type="pct"/>
                  <w:vMerge w:val="continue"/>
                  <w:vAlign w:val="center"/>
                </w:tcPr>
                <w:p w14:paraId="7F63DB6B">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p>
              </w:tc>
              <w:tc>
                <w:tcPr>
                  <w:tcW w:w="440" w:type="pct"/>
                  <w:vMerge w:val="continue"/>
                  <w:vAlign w:val="center"/>
                </w:tcPr>
                <w:p w14:paraId="34E586D7">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p>
              </w:tc>
              <w:tc>
                <w:tcPr>
                  <w:tcW w:w="844" w:type="pct"/>
                  <w:vMerge w:val="continue"/>
                  <w:vAlign w:val="center"/>
                </w:tcPr>
                <w:p w14:paraId="6472C064">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p>
              </w:tc>
              <w:tc>
                <w:tcPr>
                  <w:tcW w:w="1046" w:type="pct"/>
                  <w:vAlign w:val="center"/>
                </w:tcPr>
                <w:p w14:paraId="214BB7D0">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rPr>
                    <w:t>1250-D-P</w:t>
                  </w:r>
                </w:p>
              </w:tc>
              <w:tc>
                <w:tcPr>
                  <w:tcW w:w="550" w:type="pct"/>
                  <w:vAlign w:val="center"/>
                </w:tcPr>
                <w:p w14:paraId="70D76739">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rPr>
                    <w:t>2台</w:t>
                  </w:r>
                </w:p>
              </w:tc>
              <w:tc>
                <w:tcPr>
                  <w:tcW w:w="697" w:type="pct"/>
                  <w:vAlign w:val="center"/>
                </w:tcPr>
                <w:p w14:paraId="129FEC8C">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rPr>
                    <w:t>0</w:t>
                  </w:r>
                </w:p>
              </w:tc>
              <w:tc>
                <w:tcPr>
                  <w:tcW w:w="559" w:type="pct"/>
                  <w:vAlign w:val="center"/>
                </w:tcPr>
                <w:p w14:paraId="1C426DA2">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rPr>
                    <w:t>0</w:t>
                  </w:r>
                </w:p>
              </w:tc>
              <w:tc>
                <w:tcPr>
                  <w:tcW w:w="476" w:type="pct"/>
                  <w:vAlign w:val="center"/>
                </w:tcPr>
                <w:p w14:paraId="3B74B139">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rPr>
                    <w:t>-2台</w:t>
                  </w:r>
                </w:p>
              </w:tc>
            </w:tr>
            <w:tr w14:paraId="09A6A6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384" w:type="pct"/>
                  <w:vMerge w:val="continue"/>
                  <w:vAlign w:val="center"/>
                </w:tcPr>
                <w:p w14:paraId="048C4835">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p>
              </w:tc>
              <w:tc>
                <w:tcPr>
                  <w:tcW w:w="440" w:type="pct"/>
                  <w:vMerge w:val="continue"/>
                  <w:vAlign w:val="center"/>
                </w:tcPr>
                <w:p w14:paraId="14BABD26">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p>
              </w:tc>
              <w:tc>
                <w:tcPr>
                  <w:tcW w:w="844" w:type="pct"/>
                  <w:vMerge w:val="continue"/>
                  <w:vAlign w:val="center"/>
                </w:tcPr>
                <w:p w14:paraId="5AF70E81">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p>
              </w:tc>
              <w:tc>
                <w:tcPr>
                  <w:tcW w:w="1046" w:type="pct"/>
                  <w:vAlign w:val="center"/>
                </w:tcPr>
                <w:p w14:paraId="52F45170">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rPr>
                    <w:t>L2600*W1400*H2700</w:t>
                  </w:r>
                </w:p>
              </w:tc>
              <w:tc>
                <w:tcPr>
                  <w:tcW w:w="550" w:type="pct"/>
                  <w:vAlign w:val="center"/>
                </w:tcPr>
                <w:p w14:paraId="01E52915">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rPr>
                    <w:t>/</w:t>
                  </w:r>
                </w:p>
              </w:tc>
              <w:tc>
                <w:tcPr>
                  <w:tcW w:w="697" w:type="pct"/>
                  <w:vAlign w:val="center"/>
                </w:tcPr>
                <w:p w14:paraId="4F65B39D">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rPr>
                    <w:t>2台</w:t>
                  </w:r>
                </w:p>
              </w:tc>
              <w:tc>
                <w:tcPr>
                  <w:tcW w:w="559" w:type="pct"/>
                  <w:vAlign w:val="center"/>
                </w:tcPr>
                <w:p w14:paraId="0BA87598">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rPr>
                    <w:t>2台</w:t>
                  </w:r>
                </w:p>
              </w:tc>
              <w:tc>
                <w:tcPr>
                  <w:tcW w:w="476" w:type="pct"/>
                  <w:vAlign w:val="center"/>
                </w:tcPr>
                <w:p w14:paraId="58B3ED62">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rPr>
                    <w:t>+2台</w:t>
                  </w:r>
                </w:p>
              </w:tc>
            </w:tr>
            <w:tr w14:paraId="7B4443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384" w:type="pct"/>
                  <w:vAlign w:val="center"/>
                </w:tcPr>
                <w:p w14:paraId="593C9484">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rPr>
                    <w:t>17</w:t>
                  </w:r>
                </w:p>
              </w:tc>
              <w:tc>
                <w:tcPr>
                  <w:tcW w:w="440" w:type="pct"/>
                  <w:vMerge w:val="continue"/>
                  <w:vAlign w:val="center"/>
                </w:tcPr>
                <w:p w14:paraId="041A5F5A">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p>
              </w:tc>
              <w:tc>
                <w:tcPr>
                  <w:tcW w:w="844" w:type="pct"/>
                  <w:vAlign w:val="center"/>
                </w:tcPr>
                <w:p w14:paraId="02C8B98B">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rPr>
                    <w:t>复卷机-F（纠偏收卷机）</w:t>
                  </w:r>
                </w:p>
              </w:tc>
              <w:tc>
                <w:tcPr>
                  <w:tcW w:w="1046" w:type="pct"/>
                  <w:vAlign w:val="center"/>
                </w:tcPr>
                <w:p w14:paraId="6982C5A9">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rPr>
                    <w:t>SJ1450-M型</w:t>
                  </w:r>
                </w:p>
              </w:tc>
              <w:tc>
                <w:tcPr>
                  <w:tcW w:w="550" w:type="pct"/>
                  <w:vAlign w:val="center"/>
                </w:tcPr>
                <w:p w14:paraId="58E5DF21">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rPr>
                    <w:t>12台</w:t>
                  </w:r>
                </w:p>
              </w:tc>
              <w:tc>
                <w:tcPr>
                  <w:tcW w:w="697" w:type="pct"/>
                  <w:vAlign w:val="center"/>
                </w:tcPr>
                <w:p w14:paraId="05ADD3B4">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rPr>
                    <w:t>3台</w:t>
                  </w:r>
                </w:p>
              </w:tc>
              <w:tc>
                <w:tcPr>
                  <w:tcW w:w="559" w:type="pct"/>
                  <w:vAlign w:val="center"/>
                </w:tcPr>
                <w:p w14:paraId="789F4447">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rPr>
                    <w:t>3台</w:t>
                  </w:r>
                </w:p>
              </w:tc>
              <w:tc>
                <w:tcPr>
                  <w:tcW w:w="476" w:type="pct"/>
                  <w:vAlign w:val="center"/>
                </w:tcPr>
                <w:p w14:paraId="110B5839">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rPr>
                    <w:t>-9台</w:t>
                  </w:r>
                </w:p>
              </w:tc>
            </w:tr>
            <w:tr w14:paraId="7C6519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384" w:type="pct"/>
                  <w:vAlign w:val="center"/>
                </w:tcPr>
                <w:p w14:paraId="04CDE482">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rPr>
                    <w:t>18</w:t>
                  </w:r>
                </w:p>
              </w:tc>
              <w:tc>
                <w:tcPr>
                  <w:tcW w:w="440" w:type="pct"/>
                  <w:vMerge w:val="continue"/>
                  <w:vAlign w:val="center"/>
                </w:tcPr>
                <w:p w14:paraId="69C3F01E">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p>
              </w:tc>
              <w:tc>
                <w:tcPr>
                  <w:tcW w:w="844" w:type="pct"/>
                  <w:vAlign w:val="center"/>
                </w:tcPr>
                <w:p w14:paraId="1CDFA523">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rPr>
                    <w:t>收卷机-D（片材悬臂收卷机）</w:t>
                  </w:r>
                </w:p>
              </w:tc>
              <w:tc>
                <w:tcPr>
                  <w:tcW w:w="1046" w:type="pct"/>
                  <w:vAlign w:val="center"/>
                </w:tcPr>
                <w:p w14:paraId="4ACEFB51">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rPr>
                    <w:t>1300</w:t>
                  </w:r>
                </w:p>
              </w:tc>
              <w:tc>
                <w:tcPr>
                  <w:tcW w:w="550" w:type="pct"/>
                  <w:vAlign w:val="center"/>
                </w:tcPr>
                <w:p w14:paraId="018C36D5">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rPr>
                    <w:t>23台</w:t>
                  </w:r>
                </w:p>
              </w:tc>
              <w:tc>
                <w:tcPr>
                  <w:tcW w:w="697" w:type="pct"/>
                  <w:vAlign w:val="center"/>
                </w:tcPr>
                <w:p w14:paraId="7B204C23">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rPr>
                    <w:t>13台</w:t>
                  </w:r>
                </w:p>
              </w:tc>
              <w:tc>
                <w:tcPr>
                  <w:tcW w:w="559" w:type="pct"/>
                  <w:vAlign w:val="center"/>
                </w:tcPr>
                <w:p w14:paraId="2115D4DA">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rPr>
                    <w:t>13台</w:t>
                  </w:r>
                </w:p>
              </w:tc>
              <w:tc>
                <w:tcPr>
                  <w:tcW w:w="476" w:type="pct"/>
                  <w:vAlign w:val="center"/>
                </w:tcPr>
                <w:p w14:paraId="5D93710E">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rPr>
                    <w:t>-10台</w:t>
                  </w:r>
                </w:p>
              </w:tc>
            </w:tr>
            <w:tr w14:paraId="607275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384" w:type="pct"/>
                  <w:vAlign w:val="center"/>
                </w:tcPr>
                <w:p w14:paraId="4D896CED">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rPr>
                    <w:t>19</w:t>
                  </w:r>
                </w:p>
              </w:tc>
              <w:tc>
                <w:tcPr>
                  <w:tcW w:w="440" w:type="pct"/>
                  <w:vMerge w:val="restart"/>
                  <w:vAlign w:val="center"/>
                </w:tcPr>
                <w:p w14:paraId="2C24AFF8">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rPr>
                    <w:t>分切加工</w:t>
                  </w:r>
                </w:p>
              </w:tc>
              <w:tc>
                <w:tcPr>
                  <w:tcW w:w="844" w:type="pct"/>
                  <w:vAlign w:val="center"/>
                </w:tcPr>
                <w:p w14:paraId="167F77D7">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rPr>
                    <w:t>背胶线</w:t>
                  </w:r>
                </w:p>
              </w:tc>
              <w:tc>
                <w:tcPr>
                  <w:tcW w:w="1046" w:type="pct"/>
                  <w:vAlign w:val="center"/>
                </w:tcPr>
                <w:p w14:paraId="3325362B">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rPr>
                    <w:t>650-1300</w:t>
                  </w:r>
                </w:p>
              </w:tc>
              <w:tc>
                <w:tcPr>
                  <w:tcW w:w="550" w:type="pct"/>
                  <w:vAlign w:val="center"/>
                </w:tcPr>
                <w:p w14:paraId="359BD8E7">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rPr>
                    <w:t>16台</w:t>
                  </w:r>
                </w:p>
              </w:tc>
              <w:tc>
                <w:tcPr>
                  <w:tcW w:w="697" w:type="pct"/>
                  <w:vAlign w:val="center"/>
                </w:tcPr>
                <w:p w14:paraId="36DCE21F">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rPr>
                    <w:t>16台</w:t>
                  </w:r>
                </w:p>
              </w:tc>
              <w:tc>
                <w:tcPr>
                  <w:tcW w:w="559" w:type="pct"/>
                  <w:vAlign w:val="center"/>
                </w:tcPr>
                <w:p w14:paraId="52DB8EAF">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rPr>
                    <w:t>16台</w:t>
                  </w:r>
                </w:p>
              </w:tc>
              <w:tc>
                <w:tcPr>
                  <w:tcW w:w="476" w:type="pct"/>
                  <w:vAlign w:val="center"/>
                </w:tcPr>
                <w:p w14:paraId="4BFDBE18">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rPr>
                    <w:t>0</w:t>
                  </w:r>
                </w:p>
              </w:tc>
            </w:tr>
            <w:tr w14:paraId="6FCC3A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384" w:type="pct"/>
                  <w:vAlign w:val="center"/>
                </w:tcPr>
                <w:p w14:paraId="2211FCED">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rPr>
                    <w:t>20</w:t>
                  </w:r>
                </w:p>
              </w:tc>
              <w:tc>
                <w:tcPr>
                  <w:tcW w:w="440" w:type="pct"/>
                  <w:vMerge w:val="continue"/>
                  <w:vAlign w:val="center"/>
                </w:tcPr>
                <w:p w14:paraId="2720D2A3">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p>
              </w:tc>
              <w:tc>
                <w:tcPr>
                  <w:tcW w:w="844" w:type="pct"/>
                  <w:vAlign w:val="center"/>
                </w:tcPr>
                <w:p w14:paraId="313D7615">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rPr>
                    <w:t>卷料分切机</w:t>
                  </w:r>
                </w:p>
              </w:tc>
              <w:tc>
                <w:tcPr>
                  <w:tcW w:w="1046" w:type="pct"/>
                  <w:vAlign w:val="center"/>
                </w:tcPr>
                <w:p w14:paraId="1DE7C651">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rPr>
                    <w:t>650-1300</w:t>
                  </w:r>
                </w:p>
              </w:tc>
              <w:tc>
                <w:tcPr>
                  <w:tcW w:w="550" w:type="pct"/>
                  <w:vAlign w:val="center"/>
                </w:tcPr>
                <w:p w14:paraId="5FAFDE3A">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rPr>
                    <w:t>6台</w:t>
                  </w:r>
                </w:p>
              </w:tc>
              <w:tc>
                <w:tcPr>
                  <w:tcW w:w="697" w:type="pct"/>
                  <w:vAlign w:val="center"/>
                </w:tcPr>
                <w:p w14:paraId="78ED37E0">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rPr>
                    <w:t>4台</w:t>
                  </w:r>
                </w:p>
              </w:tc>
              <w:tc>
                <w:tcPr>
                  <w:tcW w:w="559" w:type="pct"/>
                  <w:vAlign w:val="center"/>
                </w:tcPr>
                <w:p w14:paraId="3F85804A">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rPr>
                    <w:t>4台</w:t>
                  </w:r>
                </w:p>
              </w:tc>
              <w:tc>
                <w:tcPr>
                  <w:tcW w:w="476" w:type="pct"/>
                  <w:vAlign w:val="center"/>
                </w:tcPr>
                <w:p w14:paraId="7F9770B8">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rPr>
                    <w:t>-2台</w:t>
                  </w:r>
                </w:p>
              </w:tc>
            </w:tr>
            <w:tr w14:paraId="1A619A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384" w:type="pct"/>
                  <w:vAlign w:val="center"/>
                </w:tcPr>
                <w:p w14:paraId="08FBA348">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rPr>
                    <w:t>21</w:t>
                  </w:r>
                </w:p>
              </w:tc>
              <w:tc>
                <w:tcPr>
                  <w:tcW w:w="440" w:type="pct"/>
                  <w:vMerge w:val="continue"/>
                  <w:vAlign w:val="center"/>
                </w:tcPr>
                <w:p w14:paraId="38B3B708">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p>
              </w:tc>
              <w:tc>
                <w:tcPr>
                  <w:tcW w:w="844" w:type="pct"/>
                  <w:vAlign w:val="center"/>
                </w:tcPr>
                <w:p w14:paraId="61817862">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rPr>
                    <w:t>模切机</w:t>
                  </w:r>
                </w:p>
              </w:tc>
              <w:tc>
                <w:tcPr>
                  <w:tcW w:w="1046" w:type="pct"/>
                  <w:vAlign w:val="center"/>
                </w:tcPr>
                <w:p w14:paraId="3EF43692">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rPr>
                    <w:t>550-1200</w:t>
                  </w:r>
                </w:p>
              </w:tc>
              <w:tc>
                <w:tcPr>
                  <w:tcW w:w="550" w:type="pct"/>
                  <w:vAlign w:val="center"/>
                </w:tcPr>
                <w:p w14:paraId="39DE5941">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rPr>
                    <w:t>18台</w:t>
                  </w:r>
                </w:p>
              </w:tc>
              <w:tc>
                <w:tcPr>
                  <w:tcW w:w="697" w:type="pct"/>
                  <w:vAlign w:val="center"/>
                </w:tcPr>
                <w:p w14:paraId="2212E0C4">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rPr>
                    <w:t>8台</w:t>
                  </w:r>
                </w:p>
              </w:tc>
              <w:tc>
                <w:tcPr>
                  <w:tcW w:w="559" w:type="pct"/>
                  <w:vAlign w:val="center"/>
                </w:tcPr>
                <w:p w14:paraId="494583FD">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rPr>
                    <w:t>8台</w:t>
                  </w:r>
                </w:p>
              </w:tc>
              <w:tc>
                <w:tcPr>
                  <w:tcW w:w="476" w:type="pct"/>
                  <w:vAlign w:val="center"/>
                </w:tcPr>
                <w:p w14:paraId="0AE55103">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rPr>
                    <w:t>-10台</w:t>
                  </w:r>
                </w:p>
              </w:tc>
            </w:tr>
            <w:tr w14:paraId="43C690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384" w:type="pct"/>
                  <w:vAlign w:val="center"/>
                </w:tcPr>
                <w:p w14:paraId="2D66C7D7">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rPr>
                    <w:t>22</w:t>
                  </w:r>
                </w:p>
              </w:tc>
              <w:tc>
                <w:tcPr>
                  <w:tcW w:w="440" w:type="pct"/>
                  <w:vMerge w:val="continue"/>
                  <w:vAlign w:val="center"/>
                </w:tcPr>
                <w:p w14:paraId="5B0D46FD">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p>
              </w:tc>
              <w:tc>
                <w:tcPr>
                  <w:tcW w:w="844" w:type="pct"/>
                  <w:vAlign w:val="center"/>
                </w:tcPr>
                <w:p w14:paraId="2769477B">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rPr>
                    <w:t>圆刀机</w:t>
                  </w:r>
                </w:p>
              </w:tc>
              <w:tc>
                <w:tcPr>
                  <w:tcW w:w="1046" w:type="pct"/>
                  <w:vAlign w:val="center"/>
                </w:tcPr>
                <w:p w14:paraId="0CE7FEEC">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rPr>
                    <w:t>12-20</w:t>
                  </w:r>
                </w:p>
              </w:tc>
              <w:tc>
                <w:tcPr>
                  <w:tcW w:w="550" w:type="pct"/>
                  <w:vAlign w:val="center"/>
                </w:tcPr>
                <w:p w14:paraId="3B2B50EB">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rPr>
                    <w:t>9台</w:t>
                  </w:r>
                </w:p>
              </w:tc>
              <w:tc>
                <w:tcPr>
                  <w:tcW w:w="697" w:type="pct"/>
                  <w:vAlign w:val="center"/>
                </w:tcPr>
                <w:p w14:paraId="07CC0F28">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rPr>
                    <w:t>9台</w:t>
                  </w:r>
                </w:p>
              </w:tc>
              <w:tc>
                <w:tcPr>
                  <w:tcW w:w="559" w:type="pct"/>
                  <w:vAlign w:val="center"/>
                </w:tcPr>
                <w:p w14:paraId="3A6E2575">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rPr>
                    <w:t>9台</w:t>
                  </w:r>
                </w:p>
              </w:tc>
              <w:tc>
                <w:tcPr>
                  <w:tcW w:w="476" w:type="pct"/>
                  <w:vAlign w:val="center"/>
                </w:tcPr>
                <w:p w14:paraId="2E9FCEA0">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rPr>
                    <w:t>0</w:t>
                  </w:r>
                </w:p>
              </w:tc>
            </w:tr>
            <w:tr w14:paraId="706A9A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384" w:type="pct"/>
                  <w:vAlign w:val="center"/>
                </w:tcPr>
                <w:p w14:paraId="33AD65DB">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rPr>
                    <w:t>23</w:t>
                  </w:r>
                </w:p>
              </w:tc>
              <w:tc>
                <w:tcPr>
                  <w:tcW w:w="440" w:type="pct"/>
                  <w:vMerge w:val="continue"/>
                  <w:vAlign w:val="center"/>
                </w:tcPr>
                <w:p w14:paraId="1E295F8C">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p>
              </w:tc>
              <w:tc>
                <w:tcPr>
                  <w:tcW w:w="844" w:type="pct"/>
                  <w:vAlign w:val="center"/>
                </w:tcPr>
                <w:p w14:paraId="3443414C">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rPr>
                    <w:t>液压裁断机</w:t>
                  </w:r>
                </w:p>
              </w:tc>
              <w:tc>
                <w:tcPr>
                  <w:tcW w:w="1046" w:type="pct"/>
                  <w:vAlign w:val="center"/>
                </w:tcPr>
                <w:p w14:paraId="132CC65F">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rPr>
                    <w:t>800-2500</w:t>
                  </w:r>
                </w:p>
              </w:tc>
              <w:tc>
                <w:tcPr>
                  <w:tcW w:w="550" w:type="pct"/>
                  <w:vAlign w:val="center"/>
                </w:tcPr>
                <w:p w14:paraId="37C2E21C">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rPr>
                    <w:t>11台</w:t>
                  </w:r>
                </w:p>
              </w:tc>
              <w:tc>
                <w:tcPr>
                  <w:tcW w:w="697" w:type="pct"/>
                  <w:vAlign w:val="center"/>
                </w:tcPr>
                <w:p w14:paraId="4A691D78">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rPr>
                    <w:t>9台</w:t>
                  </w:r>
                </w:p>
              </w:tc>
              <w:tc>
                <w:tcPr>
                  <w:tcW w:w="559" w:type="pct"/>
                  <w:vAlign w:val="center"/>
                </w:tcPr>
                <w:p w14:paraId="3D9C6181">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rPr>
                    <w:t>9台</w:t>
                  </w:r>
                </w:p>
              </w:tc>
              <w:tc>
                <w:tcPr>
                  <w:tcW w:w="476" w:type="pct"/>
                  <w:vAlign w:val="center"/>
                </w:tcPr>
                <w:p w14:paraId="335574B2">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rPr>
                    <w:t>-2台</w:t>
                  </w:r>
                </w:p>
              </w:tc>
            </w:tr>
            <w:tr w14:paraId="49E9B9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384" w:type="pct"/>
                  <w:vAlign w:val="center"/>
                </w:tcPr>
                <w:p w14:paraId="44B7A415">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rPr>
                    <w:t>24</w:t>
                  </w:r>
                </w:p>
              </w:tc>
              <w:tc>
                <w:tcPr>
                  <w:tcW w:w="440" w:type="pct"/>
                  <w:vMerge w:val="continue"/>
                  <w:vAlign w:val="center"/>
                </w:tcPr>
                <w:p w14:paraId="541E8E86">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p>
              </w:tc>
              <w:tc>
                <w:tcPr>
                  <w:tcW w:w="844" w:type="pct"/>
                  <w:vAlign w:val="center"/>
                </w:tcPr>
                <w:p w14:paraId="334E7CCD">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rPr>
                    <w:t>贴胶机</w:t>
                  </w:r>
                </w:p>
              </w:tc>
              <w:tc>
                <w:tcPr>
                  <w:tcW w:w="1046" w:type="pct"/>
                  <w:vAlign w:val="center"/>
                </w:tcPr>
                <w:p w14:paraId="6516A14F">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rPr>
                    <w:t>400-1200</w:t>
                  </w:r>
                </w:p>
              </w:tc>
              <w:tc>
                <w:tcPr>
                  <w:tcW w:w="550" w:type="pct"/>
                  <w:vAlign w:val="center"/>
                </w:tcPr>
                <w:p w14:paraId="30372F90">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rPr>
                    <w:t>10台</w:t>
                  </w:r>
                </w:p>
              </w:tc>
              <w:tc>
                <w:tcPr>
                  <w:tcW w:w="697" w:type="pct"/>
                  <w:vAlign w:val="center"/>
                </w:tcPr>
                <w:p w14:paraId="50287550">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rPr>
                    <w:t>4台</w:t>
                  </w:r>
                </w:p>
              </w:tc>
              <w:tc>
                <w:tcPr>
                  <w:tcW w:w="559" w:type="pct"/>
                  <w:vAlign w:val="center"/>
                </w:tcPr>
                <w:p w14:paraId="3B295B46">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rPr>
                    <w:t>4台</w:t>
                  </w:r>
                </w:p>
              </w:tc>
              <w:tc>
                <w:tcPr>
                  <w:tcW w:w="476" w:type="pct"/>
                  <w:vAlign w:val="center"/>
                </w:tcPr>
                <w:p w14:paraId="3C9F64C5">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rPr>
                    <w:t>-6台</w:t>
                  </w:r>
                </w:p>
              </w:tc>
            </w:tr>
            <w:tr w14:paraId="075918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384" w:type="pct"/>
                  <w:vAlign w:val="center"/>
                </w:tcPr>
                <w:p w14:paraId="2677843D">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rPr>
                    <w:t>25</w:t>
                  </w:r>
                </w:p>
              </w:tc>
              <w:tc>
                <w:tcPr>
                  <w:tcW w:w="440" w:type="pct"/>
                  <w:vMerge w:val="continue"/>
                  <w:vAlign w:val="center"/>
                </w:tcPr>
                <w:p w14:paraId="5218DEE4">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p>
              </w:tc>
              <w:tc>
                <w:tcPr>
                  <w:tcW w:w="844" w:type="pct"/>
                  <w:vAlign w:val="center"/>
                </w:tcPr>
                <w:p w14:paraId="1F2BBCA7">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rPr>
                    <w:t>高温热合机及烫金机</w:t>
                  </w:r>
                </w:p>
              </w:tc>
              <w:tc>
                <w:tcPr>
                  <w:tcW w:w="1046" w:type="pct"/>
                  <w:vAlign w:val="center"/>
                </w:tcPr>
                <w:p w14:paraId="6BF114C1">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rPr>
                    <w:t>/</w:t>
                  </w:r>
                </w:p>
              </w:tc>
              <w:tc>
                <w:tcPr>
                  <w:tcW w:w="550" w:type="pct"/>
                  <w:vAlign w:val="center"/>
                </w:tcPr>
                <w:p w14:paraId="1AB611E6">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rPr>
                    <w:t>96台</w:t>
                  </w:r>
                </w:p>
              </w:tc>
              <w:tc>
                <w:tcPr>
                  <w:tcW w:w="697" w:type="pct"/>
                  <w:vAlign w:val="center"/>
                </w:tcPr>
                <w:p w14:paraId="55D959AE">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rPr>
                    <w:t>78台</w:t>
                  </w:r>
                </w:p>
              </w:tc>
              <w:tc>
                <w:tcPr>
                  <w:tcW w:w="559" w:type="pct"/>
                  <w:vAlign w:val="center"/>
                </w:tcPr>
                <w:p w14:paraId="0E5239BC">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rPr>
                    <w:t>78台</w:t>
                  </w:r>
                </w:p>
              </w:tc>
              <w:tc>
                <w:tcPr>
                  <w:tcW w:w="476" w:type="pct"/>
                  <w:vAlign w:val="center"/>
                </w:tcPr>
                <w:p w14:paraId="037DACC1">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rPr>
                    <w:t>-18台</w:t>
                  </w:r>
                </w:p>
              </w:tc>
            </w:tr>
            <w:tr w14:paraId="31953D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384" w:type="pct"/>
                  <w:vAlign w:val="center"/>
                </w:tcPr>
                <w:p w14:paraId="0002E75A">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rPr>
                    <w:t>26</w:t>
                  </w:r>
                </w:p>
              </w:tc>
              <w:tc>
                <w:tcPr>
                  <w:tcW w:w="440" w:type="pct"/>
                  <w:vMerge w:val="restart"/>
                  <w:vAlign w:val="center"/>
                </w:tcPr>
                <w:p w14:paraId="0A72145B">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rPr>
                    <w:t>检测</w:t>
                  </w:r>
                </w:p>
              </w:tc>
              <w:tc>
                <w:tcPr>
                  <w:tcW w:w="844" w:type="pct"/>
                  <w:vAlign w:val="center"/>
                </w:tcPr>
                <w:p w14:paraId="5583A46D">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rPr>
                    <w:t>智能数字式粘度计</w:t>
                  </w:r>
                </w:p>
              </w:tc>
              <w:tc>
                <w:tcPr>
                  <w:tcW w:w="1046" w:type="pct"/>
                  <w:vAlign w:val="center"/>
                </w:tcPr>
                <w:p w14:paraId="3647C834">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rPr>
                    <w:t>SNB-3</w:t>
                  </w:r>
                </w:p>
              </w:tc>
              <w:tc>
                <w:tcPr>
                  <w:tcW w:w="550" w:type="pct"/>
                  <w:vAlign w:val="center"/>
                </w:tcPr>
                <w:p w14:paraId="7AD8551E">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rPr>
                    <w:t>1台</w:t>
                  </w:r>
                </w:p>
              </w:tc>
              <w:tc>
                <w:tcPr>
                  <w:tcW w:w="697" w:type="pct"/>
                  <w:vAlign w:val="center"/>
                </w:tcPr>
                <w:p w14:paraId="5846651F">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rPr>
                    <w:t>1台</w:t>
                  </w:r>
                </w:p>
              </w:tc>
              <w:tc>
                <w:tcPr>
                  <w:tcW w:w="559" w:type="pct"/>
                  <w:vAlign w:val="center"/>
                </w:tcPr>
                <w:p w14:paraId="1FA22E9B">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rPr>
                    <w:t>1台</w:t>
                  </w:r>
                </w:p>
              </w:tc>
              <w:tc>
                <w:tcPr>
                  <w:tcW w:w="476" w:type="pct"/>
                  <w:vAlign w:val="center"/>
                </w:tcPr>
                <w:p w14:paraId="2BE2A9B5">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rPr>
                    <w:t>0</w:t>
                  </w:r>
                </w:p>
              </w:tc>
            </w:tr>
            <w:tr w14:paraId="0540BA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384" w:type="pct"/>
                  <w:vAlign w:val="center"/>
                </w:tcPr>
                <w:p w14:paraId="4564380D">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rPr>
                    <w:t>27</w:t>
                  </w:r>
                </w:p>
              </w:tc>
              <w:tc>
                <w:tcPr>
                  <w:tcW w:w="440" w:type="pct"/>
                  <w:vMerge w:val="continue"/>
                  <w:vAlign w:val="center"/>
                </w:tcPr>
                <w:p w14:paraId="30C7368C">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p>
              </w:tc>
              <w:tc>
                <w:tcPr>
                  <w:tcW w:w="844" w:type="pct"/>
                  <w:vAlign w:val="center"/>
                </w:tcPr>
                <w:p w14:paraId="65845AF2">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rPr>
                    <w:t>旋转粘度计</w:t>
                  </w:r>
                </w:p>
              </w:tc>
              <w:tc>
                <w:tcPr>
                  <w:tcW w:w="1046" w:type="pct"/>
                  <w:vAlign w:val="center"/>
                </w:tcPr>
                <w:p w14:paraId="21A1D7B3">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rPr>
                    <w:t>NDJ-79</w:t>
                  </w:r>
                </w:p>
              </w:tc>
              <w:tc>
                <w:tcPr>
                  <w:tcW w:w="550" w:type="pct"/>
                  <w:vAlign w:val="center"/>
                </w:tcPr>
                <w:p w14:paraId="58DCA313">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rPr>
                    <w:t>1台</w:t>
                  </w:r>
                </w:p>
              </w:tc>
              <w:tc>
                <w:tcPr>
                  <w:tcW w:w="697" w:type="pct"/>
                  <w:vAlign w:val="center"/>
                </w:tcPr>
                <w:p w14:paraId="236900D2">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rPr>
                    <w:t>1台</w:t>
                  </w:r>
                </w:p>
              </w:tc>
              <w:tc>
                <w:tcPr>
                  <w:tcW w:w="559" w:type="pct"/>
                  <w:vAlign w:val="center"/>
                </w:tcPr>
                <w:p w14:paraId="0E5147DE">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rPr>
                    <w:t>1台</w:t>
                  </w:r>
                </w:p>
              </w:tc>
              <w:tc>
                <w:tcPr>
                  <w:tcW w:w="476" w:type="pct"/>
                  <w:vAlign w:val="center"/>
                </w:tcPr>
                <w:p w14:paraId="5F3EBF60">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rPr>
                    <w:t>0</w:t>
                  </w:r>
                </w:p>
              </w:tc>
            </w:tr>
            <w:tr w14:paraId="139150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384" w:type="pct"/>
                  <w:vAlign w:val="center"/>
                </w:tcPr>
                <w:p w14:paraId="1F49B278">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rPr>
                    <w:t>28</w:t>
                  </w:r>
                </w:p>
              </w:tc>
              <w:tc>
                <w:tcPr>
                  <w:tcW w:w="440" w:type="pct"/>
                  <w:vMerge w:val="continue"/>
                  <w:vAlign w:val="center"/>
                </w:tcPr>
                <w:p w14:paraId="69506116">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p>
              </w:tc>
              <w:tc>
                <w:tcPr>
                  <w:tcW w:w="844" w:type="pct"/>
                  <w:vAlign w:val="center"/>
                </w:tcPr>
                <w:p w14:paraId="4BA96B5F">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rPr>
                    <w:t>阿贝折射仪</w:t>
                  </w:r>
                </w:p>
              </w:tc>
              <w:tc>
                <w:tcPr>
                  <w:tcW w:w="1046" w:type="pct"/>
                  <w:vAlign w:val="center"/>
                </w:tcPr>
                <w:p w14:paraId="3D89084F">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rPr>
                    <w:t>2WAJ</w:t>
                  </w:r>
                </w:p>
              </w:tc>
              <w:tc>
                <w:tcPr>
                  <w:tcW w:w="550" w:type="pct"/>
                  <w:vAlign w:val="center"/>
                </w:tcPr>
                <w:p w14:paraId="4D108EA6">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rPr>
                    <w:t>1台</w:t>
                  </w:r>
                </w:p>
              </w:tc>
              <w:tc>
                <w:tcPr>
                  <w:tcW w:w="697" w:type="pct"/>
                  <w:vAlign w:val="center"/>
                </w:tcPr>
                <w:p w14:paraId="0F3D48E1">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rPr>
                    <w:t>1台</w:t>
                  </w:r>
                </w:p>
              </w:tc>
              <w:tc>
                <w:tcPr>
                  <w:tcW w:w="559" w:type="pct"/>
                  <w:vAlign w:val="center"/>
                </w:tcPr>
                <w:p w14:paraId="3D2199A9">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rPr>
                    <w:t>1台</w:t>
                  </w:r>
                </w:p>
              </w:tc>
              <w:tc>
                <w:tcPr>
                  <w:tcW w:w="476" w:type="pct"/>
                  <w:vAlign w:val="center"/>
                </w:tcPr>
                <w:p w14:paraId="4D10AB88">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rPr>
                    <w:t>0</w:t>
                  </w:r>
                </w:p>
              </w:tc>
            </w:tr>
            <w:tr w14:paraId="395C67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384" w:type="pct"/>
                  <w:vMerge w:val="restart"/>
                  <w:vAlign w:val="center"/>
                </w:tcPr>
                <w:p w14:paraId="48D0051D">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rPr>
                    <w:t>29</w:t>
                  </w:r>
                </w:p>
              </w:tc>
              <w:tc>
                <w:tcPr>
                  <w:tcW w:w="440" w:type="pct"/>
                  <w:vMerge w:val="continue"/>
                  <w:vAlign w:val="center"/>
                </w:tcPr>
                <w:p w14:paraId="6F60F955">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p>
              </w:tc>
              <w:tc>
                <w:tcPr>
                  <w:tcW w:w="844" w:type="pct"/>
                  <w:vMerge w:val="restart"/>
                  <w:vAlign w:val="center"/>
                </w:tcPr>
                <w:p w14:paraId="764A1CE0">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rPr>
                    <w:t>密度计</w:t>
                  </w:r>
                </w:p>
              </w:tc>
              <w:tc>
                <w:tcPr>
                  <w:tcW w:w="1046" w:type="pct"/>
                  <w:vAlign w:val="center"/>
                </w:tcPr>
                <w:p w14:paraId="1442A5E7">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rPr>
                    <w:t>0.8-0.9</w:t>
                  </w:r>
                </w:p>
              </w:tc>
              <w:tc>
                <w:tcPr>
                  <w:tcW w:w="550" w:type="pct"/>
                  <w:vAlign w:val="center"/>
                </w:tcPr>
                <w:p w14:paraId="5BE35161">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rPr>
                    <w:t>1台</w:t>
                  </w:r>
                </w:p>
              </w:tc>
              <w:tc>
                <w:tcPr>
                  <w:tcW w:w="697" w:type="pct"/>
                  <w:vAlign w:val="center"/>
                </w:tcPr>
                <w:p w14:paraId="3AB5D480">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rPr>
                    <w:t>1台</w:t>
                  </w:r>
                </w:p>
              </w:tc>
              <w:tc>
                <w:tcPr>
                  <w:tcW w:w="559" w:type="pct"/>
                  <w:vAlign w:val="center"/>
                </w:tcPr>
                <w:p w14:paraId="6CA5F94E">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rPr>
                    <w:t>1台</w:t>
                  </w:r>
                </w:p>
              </w:tc>
              <w:tc>
                <w:tcPr>
                  <w:tcW w:w="476" w:type="pct"/>
                  <w:vAlign w:val="center"/>
                </w:tcPr>
                <w:p w14:paraId="365A1821">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rPr>
                    <w:t>0</w:t>
                  </w:r>
                </w:p>
              </w:tc>
            </w:tr>
            <w:tr w14:paraId="404772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384" w:type="pct"/>
                  <w:vMerge w:val="continue"/>
                  <w:vAlign w:val="center"/>
                </w:tcPr>
                <w:p w14:paraId="290CDDCC">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p>
              </w:tc>
              <w:tc>
                <w:tcPr>
                  <w:tcW w:w="440" w:type="pct"/>
                  <w:vMerge w:val="continue"/>
                  <w:vAlign w:val="center"/>
                </w:tcPr>
                <w:p w14:paraId="6DA5B2FF">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p>
              </w:tc>
              <w:tc>
                <w:tcPr>
                  <w:tcW w:w="844" w:type="pct"/>
                  <w:vMerge w:val="continue"/>
                  <w:vAlign w:val="center"/>
                </w:tcPr>
                <w:p w14:paraId="08D0E351">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p>
              </w:tc>
              <w:tc>
                <w:tcPr>
                  <w:tcW w:w="1046" w:type="pct"/>
                  <w:vAlign w:val="center"/>
                </w:tcPr>
                <w:p w14:paraId="50AD4582">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rPr>
                    <w:t>0.9-1.0</w:t>
                  </w:r>
                </w:p>
              </w:tc>
              <w:tc>
                <w:tcPr>
                  <w:tcW w:w="550" w:type="pct"/>
                  <w:vAlign w:val="center"/>
                </w:tcPr>
                <w:p w14:paraId="22507714">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rPr>
                    <w:t>1台</w:t>
                  </w:r>
                </w:p>
              </w:tc>
              <w:tc>
                <w:tcPr>
                  <w:tcW w:w="697" w:type="pct"/>
                  <w:vAlign w:val="center"/>
                </w:tcPr>
                <w:p w14:paraId="03F4EE7F">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rPr>
                    <w:t>1台</w:t>
                  </w:r>
                </w:p>
              </w:tc>
              <w:tc>
                <w:tcPr>
                  <w:tcW w:w="559" w:type="pct"/>
                  <w:vAlign w:val="center"/>
                </w:tcPr>
                <w:p w14:paraId="666E2266">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rPr>
                    <w:t>1台</w:t>
                  </w:r>
                </w:p>
              </w:tc>
              <w:tc>
                <w:tcPr>
                  <w:tcW w:w="476" w:type="pct"/>
                  <w:vAlign w:val="center"/>
                </w:tcPr>
                <w:p w14:paraId="2A2A9FF6">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rPr>
                    <w:t>0</w:t>
                  </w:r>
                </w:p>
              </w:tc>
            </w:tr>
            <w:tr w14:paraId="04C0EA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384" w:type="pct"/>
                  <w:vMerge w:val="continue"/>
                  <w:vAlign w:val="center"/>
                </w:tcPr>
                <w:p w14:paraId="0FFA4282">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p>
              </w:tc>
              <w:tc>
                <w:tcPr>
                  <w:tcW w:w="440" w:type="pct"/>
                  <w:vMerge w:val="continue"/>
                  <w:vAlign w:val="center"/>
                </w:tcPr>
                <w:p w14:paraId="0ED632F9">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p>
              </w:tc>
              <w:tc>
                <w:tcPr>
                  <w:tcW w:w="844" w:type="pct"/>
                  <w:vMerge w:val="continue"/>
                  <w:vAlign w:val="center"/>
                </w:tcPr>
                <w:p w14:paraId="4A6E2158">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p>
              </w:tc>
              <w:tc>
                <w:tcPr>
                  <w:tcW w:w="1046" w:type="pct"/>
                  <w:vAlign w:val="center"/>
                </w:tcPr>
                <w:p w14:paraId="7E021138">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rPr>
                    <w:t>1.0-1.1</w:t>
                  </w:r>
                </w:p>
              </w:tc>
              <w:tc>
                <w:tcPr>
                  <w:tcW w:w="550" w:type="pct"/>
                  <w:vAlign w:val="center"/>
                </w:tcPr>
                <w:p w14:paraId="305B92E5">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rPr>
                    <w:t>1台</w:t>
                  </w:r>
                </w:p>
              </w:tc>
              <w:tc>
                <w:tcPr>
                  <w:tcW w:w="697" w:type="pct"/>
                  <w:vAlign w:val="center"/>
                </w:tcPr>
                <w:p w14:paraId="441F3747">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rPr>
                    <w:t>1台</w:t>
                  </w:r>
                </w:p>
              </w:tc>
              <w:tc>
                <w:tcPr>
                  <w:tcW w:w="559" w:type="pct"/>
                  <w:vAlign w:val="center"/>
                </w:tcPr>
                <w:p w14:paraId="7C9881B2">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rPr>
                    <w:t>1台</w:t>
                  </w:r>
                </w:p>
              </w:tc>
              <w:tc>
                <w:tcPr>
                  <w:tcW w:w="476" w:type="pct"/>
                  <w:vAlign w:val="center"/>
                </w:tcPr>
                <w:p w14:paraId="01B480E1">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rPr>
                    <w:t>0</w:t>
                  </w:r>
                </w:p>
              </w:tc>
            </w:tr>
            <w:tr w14:paraId="2F209A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384" w:type="pct"/>
                  <w:vAlign w:val="center"/>
                </w:tcPr>
                <w:p w14:paraId="7800EF2B">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rPr>
                    <w:t>30</w:t>
                  </w:r>
                </w:p>
              </w:tc>
              <w:tc>
                <w:tcPr>
                  <w:tcW w:w="440" w:type="pct"/>
                  <w:vMerge w:val="continue"/>
                  <w:vAlign w:val="center"/>
                </w:tcPr>
                <w:p w14:paraId="56E4457D">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p>
              </w:tc>
              <w:tc>
                <w:tcPr>
                  <w:tcW w:w="844" w:type="pct"/>
                  <w:vAlign w:val="center"/>
                </w:tcPr>
                <w:p w14:paraId="0E4AA74D">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rPr>
                    <w:t>智能白度测定仪</w:t>
                  </w:r>
                </w:p>
              </w:tc>
              <w:tc>
                <w:tcPr>
                  <w:tcW w:w="1046" w:type="pct"/>
                  <w:vAlign w:val="center"/>
                </w:tcPr>
                <w:p w14:paraId="6100F51C">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rPr>
                    <w:t>OD01-01</w:t>
                  </w:r>
                </w:p>
              </w:tc>
              <w:tc>
                <w:tcPr>
                  <w:tcW w:w="550" w:type="pct"/>
                  <w:vAlign w:val="center"/>
                </w:tcPr>
                <w:p w14:paraId="7CC81F97">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rPr>
                    <w:t>1台</w:t>
                  </w:r>
                </w:p>
              </w:tc>
              <w:tc>
                <w:tcPr>
                  <w:tcW w:w="697" w:type="pct"/>
                  <w:vAlign w:val="center"/>
                </w:tcPr>
                <w:p w14:paraId="2470DDB1">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rPr>
                    <w:t>1台</w:t>
                  </w:r>
                </w:p>
              </w:tc>
              <w:tc>
                <w:tcPr>
                  <w:tcW w:w="559" w:type="pct"/>
                  <w:vAlign w:val="center"/>
                </w:tcPr>
                <w:p w14:paraId="18F59044">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rPr>
                    <w:t>1台</w:t>
                  </w:r>
                </w:p>
              </w:tc>
              <w:tc>
                <w:tcPr>
                  <w:tcW w:w="476" w:type="pct"/>
                  <w:vAlign w:val="center"/>
                </w:tcPr>
                <w:p w14:paraId="1FAC46B0">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rPr>
                    <w:t>0</w:t>
                  </w:r>
                </w:p>
              </w:tc>
            </w:tr>
            <w:tr w14:paraId="7FACFB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384" w:type="pct"/>
                  <w:vAlign w:val="center"/>
                </w:tcPr>
                <w:p w14:paraId="10D1A5FD">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rPr>
                    <w:t>31</w:t>
                  </w:r>
                </w:p>
              </w:tc>
              <w:tc>
                <w:tcPr>
                  <w:tcW w:w="440" w:type="pct"/>
                  <w:vMerge w:val="continue"/>
                  <w:vAlign w:val="center"/>
                </w:tcPr>
                <w:p w14:paraId="55D99295">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p>
              </w:tc>
              <w:tc>
                <w:tcPr>
                  <w:tcW w:w="844" w:type="pct"/>
                  <w:vAlign w:val="center"/>
                </w:tcPr>
                <w:p w14:paraId="16D93666">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rPr>
                    <w:t>厚漆、腻子稠度测定计</w:t>
                  </w:r>
                </w:p>
              </w:tc>
              <w:tc>
                <w:tcPr>
                  <w:tcW w:w="1046" w:type="pct"/>
                  <w:vAlign w:val="center"/>
                </w:tcPr>
                <w:p w14:paraId="2608997C">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rPr>
                    <w:t>QC01-01</w:t>
                  </w:r>
                </w:p>
              </w:tc>
              <w:tc>
                <w:tcPr>
                  <w:tcW w:w="550" w:type="pct"/>
                  <w:vAlign w:val="center"/>
                </w:tcPr>
                <w:p w14:paraId="32F4E6E4">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rPr>
                    <w:t>1台</w:t>
                  </w:r>
                </w:p>
              </w:tc>
              <w:tc>
                <w:tcPr>
                  <w:tcW w:w="697" w:type="pct"/>
                  <w:vAlign w:val="center"/>
                </w:tcPr>
                <w:p w14:paraId="784A7F2F">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rPr>
                    <w:t>1台</w:t>
                  </w:r>
                </w:p>
              </w:tc>
              <w:tc>
                <w:tcPr>
                  <w:tcW w:w="559" w:type="pct"/>
                  <w:vAlign w:val="center"/>
                </w:tcPr>
                <w:p w14:paraId="5CFE1D6B">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rPr>
                    <w:t>1台</w:t>
                  </w:r>
                </w:p>
              </w:tc>
              <w:tc>
                <w:tcPr>
                  <w:tcW w:w="476" w:type="pct"/>
                  <w:vAlign w:val="center"/>
                </w:tcPr>
                <w:p w14:paraId="1BBB68B7">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rPr>
                    <w:t>0</w:t>
                  </w:r>
                </w:p>
              </w:tc>
            </w:tr>
            <w:tr w14:paraId="4B2069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384" w:type="pct"/>
                  <w:vMerge w:val="restart"/>
                  <w:vAlign w:val="center"/>
                </w:tcPr>
                <w:p w14:paraId="2A4AF126">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rPr>
                    <w:t>32</w:t>
                  </w:r>
                </w:p>
              </w:tc>
              <w:tc>
                <w:tcPr>
                  <w:tcW w:w="440" w:type="pct"/>
                  <w:vMerge w:val="continue"/>
                  <w:vAlign w:val="center"/>
                </w:tcPr>
                <w:p w14:paraId="1811FE1F">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p>
              </w:tc>
              <w:tc>
                <w:tcPr>
                  <w:tcW w:w="844" w:type="pct"/>
                  <w:vMerge w:val="restart"/>
                  <w:vAlign w:val="center"/>
                </w:tcPr>
                <w:p w14:paraId="054EB166">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rPr>
                    <w:t>电子万能实验机</w:t>
                  </w:r>
                </w:p>
              </w:tc>
              <w:tc>
                <w:tcPr>
                  <w:tcW w:w="1046" w:type="pct"/>
                  <w:vAlign w:val="center"/>
                </w:tcPr>
                <w:p w14:paraId="36F84A21">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rPr>
                    <w:t>QJ210A-500N、100N</w:t>
                  </w:r>
                </w:p>
              </w:tc>
              <w:tc>
                <w:tcPr>
                  <w:tcW w:w="550" w:type="pct"/>
                  <w:vAlign w:val="center"/>
                </w:tcPr>
                <w:p w14:paraId="6E40B70A">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rPr>
                    <w:t>2台</w:t>
                  </w:r>
                </w:p>
              </w:tc>
              <w:tc>
                <w:tcPr>
                  <w:tcW w:w="697" w:type="pct"/>
                  <w:vAlign w:val="center"/>
                </w:tcPr>
                <w:p w14:paraId="43BAFFC8">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rPr>
                    <w:t>2台</w:t>
                  </w:r>
                </w:p>
              </w:tc>
              <w:tc>
                <w:tcPr>
                  <w:tcW w:w="559" w:type="pct"/>
                  <w:vAlign w:val="center"/>
                </w:tcPr>
                <w:p w14:paraId="77F36CF3">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rPr>
                    <w:t>2台</w:t>
                  </w:r>
                </w:p>
              </w:tc>
              <w:tc>
                <w:tcPr>
                  <w:tcW w:w="476" w:type="pct"/>
                  <w:vAlign w:val="center"/>
                </w:tcPr>
                <w:p w14:paraId="50A7A98D">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rPr>
                    <w:t>0</w:t>
                  </w:r>
                </w:p>
              </w:tc>
            </w:tr>
            <w:tr w14:paraId="0FF4FF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384" w:type="pct"/>
                  <w:vMerge w:val="continue"/>
                  <w:vAlign w:val="center"/>
                </w:tcPr>
                <w:p w14:paraId="356B07F7">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p>
              </w:tc>
              <w:tc>
                <w:tcPr>
                  <w:tcW w:w="440" w:type="pct"/>
                  <w:vMerge w:val="continue"/>
                  <w:vAlign w:val="center"/>
                </w:tcPr>
                <w:p w14:paraId="661D6C50">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p>
              </w:tc>
              <w:tc>
                <w:tcPr>
                  <w:tcW w:w="844" w:type="pct"/>
                  <w:vMerge w:val="continue"/>
                  <w:vAlign w:val="center"/>
                </w:tcPr>
                <w:p w14:paraId="11D1343F">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p>
              </w:tc>
              <w:tc>
                <w:tcPr>
                  <w:tcW w:w="1046" w:type="pct"/>
                  <w:vAlign w:val="center"/>
                </w:tcPr>
                <w:p w14:paraId="21CE200B">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rPr>
                    <w:t>QJ211S系列</w:t>
                  </w:r>
                </w:p>
              </w:tc>
              <w:tc>
                <w:tcPr>
                  <w:tcW w:w="550" w:type="pct"/>
                  <w:vAlign w:val="center"/>
                </w:tcPr>
                <w:p w14:paraId="7BB00096">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rPr>
                    <w:t>2台</w:t>
                  </w:r>
                </w:p>
              </w:tc>
              <w:tc>
                <w:tcPr>
                  <w:tcW w:w="697" w:type="pct"/>
                  <w:vAlign w:val="center"/>
                </w:tcPr>
                <w:p w14:paraId="2A137C58">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rPr>
                    <w:t>2台</w:t>
                  </w:r>
                </w:p>
              </w:tc>
              <w:tc>
                <w:tcPr>
                  <w:tcW w:w="559" w:type="pct"/>
                  <w:vAlign w:val="center"/>
                </w:tcPr>
                <w:p w14:paraId="48960D91">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rPr>
                    <w:t>2台</w:t>
                  </w:r>
                </w:p>
              </w:tc>
              <w:tc>
                <w:tcPr>
                  <w:tcW w:w="476" w:type="pct"/>
                  <w:vAlign w:val="center"/>
                </w:tcPr>
                <w:p w14:paraId="3F934619">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rPr>
                    <w:t>0</w:t>
                  </w:r>
                </w:p>
              </w:tc>
            </w:tr>
            <w:tr w14:paraId="6A6D60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384" w:type="pct"/>
                  <w:vMerge w:val="restart"/>
                  <w:vAlign w:val="center"/>
                </w:tcPr>
                <w:p w14:paraId="44F7EA57">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rPr>
                    <w:t>33</w:t>
                  </w:r>
                </w:p>
              </w:tc>
              <w:tc>
                <w:tcPr>
                  <w:tcW w:w="440" w:type="pct"/>
                  <w:vMerge w:val="continue"/>
                  <w:vAlign w:val="center"/>
                </w:tcPr>
                <w:p w14:paraId="75E5DB1A">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p>
              </w:tc>
              <w:tc>
                <w:tcPr>
                  <w:tcW w:w="844" w:type="pct"/>
                  <w:vMerge w:val="restart"/>
                  <w:vAlign w:val="center"/>
                </w:tcPr>
                <w:p w14:paraId="0E1369F0">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rPr>
                    <w:t>应力松弛仪</w:t>
                  </w:r>
                </w:p>
              </w:tc>
              <w:tc>
                <w:tcPr>
                  <w:tcW w:w="1046" w:type="pct"/>
                  <w:vAlign w:val="center"/>
                </w:tcPr>
                <w:p w14:paraId="19D3C879">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rPr>
                    <w:t>JZ-4019型</w:t>
                  </w:r>
                </w:p>
              </w:tc>
              <w:tc>
                <w:tcPr>
                  <w:tcW w:w="550" w:type="pct"/>
                  <w:vAlign w:val="center"/>
                </w:tcPr>
                <w:p w14:paraId="6CBE8AD8">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rPr>
                    <w:t>1台</w:t>
                  </w:r>
                </w:p>
              </w:tc>
              <w:tc>
                <w:tcPr>
                  <w:tcW w:w="697" w:type="pct"/>
                  <w:vAlign w:val="center"/>
                </w:tcPr>
                <w:p w14:paraId="64E165D8">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rPr>
                    <w:t>1台</w:t>
                  </w:r>
                </w:p>
              </w:tc>
              <w:tc>
                <w:tcPr>
                  <w:tcW w:w="559" w:type="pct"/>
                  <w:vAlign w:val="center"/>
                </w:tcPr>
                <w:p w14:paraId="360D0688">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rPr>
                    <w:t>1台</w:t>
                  </w:r>
                </w:p>
              </w:tc>
              <w:tc>
                <w:tcPr>
                  <w:tcW w:w="476" w:type="pct"/>
                  <w:vAlign w:val="center"/>
                </w:tcPr>
                <w:p w14:paraId="2CC05AEF">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rPr>
                    <w:t>0</w:t>
                  </w:r>
                </w:p>
              </w:tc>
            </w:tr>
            <w:tr w14:paraId="4438AB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384" w:type="pct"/>
                  <w:vMerge w:val="continue"/>
                  <w:vAlign w:val="center"/>
                </w:tcPr>
                <w:p w14:paraId="0112B13A">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p>
              </w:tc>
              <w:tc>
                <w:tcPr>
                  <w:tcW w:w="440" w:type="pct"/>
                  <w:vMerge w:val="continue"/>
                  <w:vAlign w:val="center"/>
                </w:tcPr>
                <w:p w14:paraId="4525AB1A">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p>
              </w:tc>
              <w:tc>
                <w:tcPr>
                  <w:tcW w:w="844" w:type="pct"/>
                  <w:vMerge w:val="continue"/>
                  <w:vAlign w:val="center"/>
                </w:tcPr>
                <w:p w14:paraId="5121E4A7">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p>
              </w:tc>
              <w:tc>
                <w:tcPr>
                  <w:tcW w:w="1046" w:type="pct"/>
                  <w:vAlign w:val="center"/>
                </w:tcPr>
                <w:p w14:paraId="1C4DC8AA">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rPr>
                    <w:t>MZ-4019型</w:t>
                  </w:r>
                </w:p>
              </w:tc>
              <w:tc>
                <w:tcPr>
                  <w:tcW w:w="550" w:type="pct"/>
                  <w:vAlign w:val="center"/>
                </w:tcPr>
                <w:p w14:paraId="6F17EE1B">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rPr>
                    <w:t>1台</w:t>
                  </w:r>
                </w:p>
              </w:tc>
              <w:tc>
                <w:tcPr>
                  <w:tcW w:w="697" w:type="pct"/>
                  <w:vAlign w:val="center"/>
                </w:tcPr>
                <w:p w14:paraId="04168589">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rPr>
                    <w:t>1台</w:t>
                  </w:r>
                </w:p>
              </w:tc>
              <w:tc>
                <w:tcPr>
                  <w:tcW w:w="559" w:type="pct"/>
                  <w:vAlign w:val="center"/>
                </w:tcPr>
                <w:p w14:paraId="6F0D98D5">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rPr>
                    <w:t>1台</w:t>
                  </w:r>
                </w:p>
              </w:tc>
              <w:tc>
                <w:tcPr>
                  <w:tcW w:w="476" w:type="pct"/>
                  <w:vAlign w:val="center"/>
                </w:tcPr>
                <w:p w14:paraId="77AD08D4">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rPr>
                    <w:t>0</w:t>
                  </w:r>
                </w:p>
              </w:tc>
            </w:tr>
            <w:tr w14:paraId="1DD998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384" w:type="pct"/>
                  <w:vAlign w:val="center"/>
                </w:tcPr>
                <w:p w14:paraId="4D0992B6">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rPr>
                    <w:t>34</w:t>
                  </w:r>
                </w:p>
              </w:tc>
              <w:tc>
                <w:tcPr>
                  <w:tcW w:w="440" w:type="pct"/>
                  <w:vMerge w:val="continue"/>
                  <w:vAlign w:val="center"/>
                </w:tcPr>
                <w:p w14:paraId="034E30C7">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p>
              </w:tc>
              <w:tc>
                <w:tcPr>
                  <w:tcW w:w="844" w:type="pct"/>
                  <w:vAlign w:val="center"/>
                </w:tcPr>
                <w:p w14:paraId="69B201E8">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rPr>
                    <w:t>电子天平</w:t>
                  </w:r>
                </w:p>
              </w:tc>
              <w:tc>
                <w:tcPr>
                  <w:tcW w:w="1046" w:type="pct"/>
                  <w:vAlign w:val="center"/>
                </w:tcPr>
                <w:p w14:paraId="6D00034A">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rPr>
                    <w:t>/</w:t>
                  </w:r>
                </w:p>
              </w:tc>
              <w:tc>
                <w:tcPr>
                  <w:tcW w:w="550" w:type="pct"/>
                  <w:vAlign w:val="center"/>
                </w:tcPr>
                <w:p w14:paraId="348B0ED7">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rPr>
                    <w:t>5台</w:t>
                  </w:r>
                </w:p>
              </w:tc>
              <w:tc>
                <w:tcPr>
                  <w:tcW w:w="697" w:type="pct"/>
                  <w:vAlign w:val="center"/>
                </w:tcPr>
                <w:p w14:paraId="55C529BE">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rPr>
                    <w:t>5台</w:t>
                  </w:r>
                </w:p>
              </w:tc>
              <w:tc>
                <w:tcPr>
                  <w:tcW w:w="559" w:type="pct"/>
                  <w:vAlign w:val="center"/>
                </w:tcPr>
                <w:p w14:paraId="07DF3D7C">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rPr>
                    <w:t>5台</w:t>
                  </w:r>
                </w:p>
              </w:tc>
              <w:tc>
                <w:tcPr>
                  <w:tcW w:w="476" w:type="pct"/>
                  <w:vAlign w:val="center"/>
                </w:tcPr>
                <w:p w14:paraId="1A468143">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rPr>
                    <w:t>0</w:t>
                  </w:r>
                </w:p>
              </w:tc>
            </w:tr>
            <w:tr w14:paraId="236512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384" w:type="pct"/>
                  <w:vAlign w:val="center"/>
                </w:tcPr>
                <w:p w14:paraId="3FB07A20">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rPr>
                    <w:t>35</w:t>
                  </w:r>
                </w:p>
              </w:tc>
              <w:tc>
                <w:tcPr>
                  <w:tcW w:w="440" w:type="pct"/>
                  <w:vMerge w:val="continue"/>
                  <w:vAlign w:val="center"/>
                </w:tcPr>
                <w:p w14:paraId="7049EDCC">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p>
              </w:tc>
              <w:tc>
                <w:tcPr>
                  <w:tcW w:w="844" w:type="pct"/>
                  <w:vAlign w:val="center"/>
                </w:tcPr>
                <w:p w14:paraId="5F349295">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rPr>
                    <w:t>全自动海绵密度测试仪</w:t>
                  </w:r>
                </w:p>
              </w:tc>
              <w:tc>
                <w:tcPr>
                  <w:tcW w:w="1046" w:type="pct"/>
                  <w:vAlign w:val="center"/>
                </w:tcPr>
                <w:p w14:paraId="7EE8587C">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rPr>
                    <w:t>QDJ-120</w:t>
                  </w:r>
                </w:p>
              </w:tc>
              <w:tc>
                <w:tcPr>
                  <w:tcW w:w="550" w:type="pct"/>
                  <w:vAlign w:val="center"/>
                </w:tcPr>
                <w:p w14:paraId="32977EA4">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rPr>
                    <w:t>2台</w:t>
                  </w:r>
                </w:p>
              </w:tc>
              <w:tc>
                <w:tcPr>
                  <w:tcW w:w="697" w:type="pct"/>
                  <w:vAlign w:val="center"/>
                </w:tcPr>
                <w:p w14:paraId="78E21B23">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rPr>
                    <w:t>2台</w:t>
                  </w:r>
                </w:p>
              </w:tc>
              <w:tc>
                <w:tcPr>
                  <w:tcW w:w="559" w:type="pct"/>
                  <w:vAlign w:val="center"/>
                </w:tcPr>
                <w:p w14:paraId="15380B73">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rPr>
                    <w:t>2台</w:t>
                  </w:r>
                </w:p>
              </w:tc>
              <w:tc>
                <w:tcPr>
                  <w:tcW w:w="476" w:type="pct"/>
                  <w:vAlign w:val="center"/>
                </w:tcPr>
                <w:p w14:paraId="221BE676">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rPr>
                    <w:t>0</w:t>
                  </w:r>
                </w:p>
              </w:tc>
            </w:tr>
            <w:tr w14:paraId="6147DE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384" w:type="pct"/>
                  <w:vAlign w:val="center"/>
                </w:tcPr>
                <w:p w14:paraId="778C9647">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rPr>
                    <w:t>36</w:t>
                  </w:r>
                </w:p>
              </w:tc>
              <w:tc>
                <w:tcPr>
                  <w:tcW w:w="440" w:type="pct"/>
                  <w:vMerge w:val="continue"/>
                  <w:vAlign w:val="center"/>
                </w:tcPr>
                <w:p w14:paraId="676E15C8">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p>
              </w:tc>
              <w:tc>
                <w:tcPr>
                  <w:tcW w:w="844" w:type="pct"/>
                  <w:vAlign w:val="center"/>
                </w:tcPr>
                <w:p w14:paraId="05467A65">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rPr>
                    <w:t>邵氏硬度计</w:t>
                  </w:r>
                </w:p>
              </w:tc>
              <w:tc>
                <w:tcPr>
                  <w:tcW w:w="1046" w:type="pct"/>
                  <w:vAlign w:val="center"/>
                </w:tcPr>
                <w:p w14:paraId="7BD214E8">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rPr>
                    <w:t>LX-系列</w:t>
                  </w:r>
                </w:p>
              </w:tc>
              <w:tc>
                <w:tcPr>
                  <w:tcW w:w="550" w:type="pct"/>
                  <w:vAlign w:val="center"/>
                </w:tcPr>
                <w:p w14:paraId="45790C88">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rPr>
                    <w:t>3台</w:t>
                  </w:r>
                </w:p>
              </w:tc>
              <w:tc>
                <w:tcPr>
                  <w:tcW w:w="697" w:type="pct"/>
                  <w:vAlign w:val="center"/>
                </w:tcPr>
                <w:p w14:paraId="4FE287CF">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rPr>
                    <w:t>3台</w:t>
                  </w:r>
                </w:p>
              </w:tc>
              <w:tc>
                <w:tcPr>
                  <w:tcW w:w="559" w:type="pct"/>
                  <w:vAlign w:val="center"/>
                </w:tcPr>
                <w:p w14:paraId="4080F833">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rPr>
                    <w:t>3台</w:t>
                  </w:r>
                </w:p>
              </w:tc>
              <w:tc>
                <w:tcPr>
                  <w:tcW w:w="476" w:type="pct"/>
                  <w:vAlign w:val="center"/>
                </w:tcPr>
                <w:p w14:paraId="2EBE9ADD">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rPr>
                    <w:t>0</w:t>
                  </w:r>
                </w:p>
              </w:tc>
            </w:tr>
            <w:tr w14:paraId="1B630D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384" w:type="pct"/>
                  <w:vAlign w:val="center"/>
                </w:tcPr>
                <w:p w14:paraId="1D1ED41F">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rPr>
                    <w:t>37</w:t>
                  </w:r>
                </w:p>
              </w:tc>
              <w:tc>
                <w:tcPr>
                  <w:tcW w:w="440" w:type="pct"/>
                  <w:vMerge w:val="continue"/>
                  <w:vAlign w:val="center"/>
                </w:tcPr>
                <w:p w14:paraId="42BC679A">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p>
              </w:tc>
              <w:tc>
                <w:tcPr>
                  <w:tcW w:w="844" w:type="pct"/>
                  <w:vAlign w:val="center"/>
                </w:tcPr>
                <w:p w14:paraId="50DF5D94">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rPr>
                    <w:t>较柔软发泡材料硬度计</w:t>
                  </w:r>
                </w:p>
              </w:tc>
              <w:tc>
                <w:tcPr>
                  <w:tcW w:w="1046" w:type="pct"/>
                  <w:vAlign w:val="center"/>
                </w:tcPr>
                <w:p w14:paraId="2415E06B">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rPr>
                    <w:t>LX-00</w:t>
                  </w:r>
                </w:p>
              </w:tc>
              <w:tc>
                <w:tcPr>
                  <w:tcW w:w="550" w:type="pct"/>
                  <w:vAlign w:val="center"/>
                </w:tcPr>
                <w:p w14:paraId="764F20B1">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rPr>
                    <w:t>1台</w:t>
                  </w:r>
                </w:p>
              </w:tc>
              <w:tc>
                <w:tcPr>
                  <w:tcW w:w="697" w:type="pct"/>
                  <w:vAlign w:val="center"/>
                </w:tcPr>
                <w:p w14:paraId="54A60C81">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rPr>
                    <w:t>1台</w:t>
                  </w:r>
                </w:p>
              </w:tc>
              <w:tc>
                <w:tcPr>
                  <w:tcW w:w="559" w:type="pct"/>
                  <w:vAlign w:val="center"/>
                </w:tcPr>
                <w:p w14:paraId="013A816A">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rPr>
                    <w:t>1台</w:t>
                  </w:r>
                </w:p>
              </w:tc>
              <w:tc>
                <w:tcPr>
                  <w:tcW w:w="476" w:type="pct"/>
                  <w:vAlign w:val="center"/>
                </w:tcPr>
                <w:p w14:paraId="3C837D19">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rPr>
                    <w:t>0</w:t>
                  </w:r>
                </w:p>
              </w:tc>
            </w:tr>
            <w:tr w14:paraId="19EBEF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384" w:type="pct"/>
                  <w:vMerge w:val="restart"/>
                  <w:vAlign w:val="center"/>
                </w:tcPr>
                <w:p w14:paraId="4213C370">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rPr>
                    <w:t>38</w:t>
                  </w:r>
                </w:p>
              </w:tc>
              <w:tc>
                <w:tcPr>
                  <w:tcW w:w="440" w:type="pct"/>
                  <w:vMerge w:val="continue"/>
                  <w:vAlign w:val="center"/>
                </w:tcPr>
                <w:p w14:paraId="0B3D721D">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p>
              </w:tc>
              <w:tc>
                <w:tcPr>
                  <w:tcW w:w="844" w:type="pct"/>
                  <w:vMerge w:val="restart"/>
                  <w:vAlign w:val="center"/>
                </w:tcPr>
                <w:p w14:paraId="4F4F6E84">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rPr>
                    <w:t>电热鼓风干燥箱</w:t>
                  </w:r>
                </w:p>
              </w:tc>
              <w:tc>
                <w:tcPr>
                  <w:tcW w:w="1046" w:type="pct"/>
                  <w:vAlign w:val="center"/>
                </w:tcPr>
                <w:p w14:paraId="354FAFB2">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rPr>
                    <w:t>101A-2</w:t>
                  </w:r>
                </w:p>
              </w:tc>
              <w:tc>
                <w:tcPr>
                  <w:tcW w:w="550" w:type="pct"/>
                  <w:vAlign w:val="center"/>
                </w:tcPr>
                <w:p w14:paraId="4D140F2A">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rPr>
                    <w:t>3台</w:t>
                  </w:r>
                </w:p>
              </w:tc>
              <w:tc>
                <w:tcPr>
                  <w:tcW w:w="697" w:type="pct"/>
                  <w:vAlign w:val="center"/>
                </w:tcPr>
                <w:p w14:paraId="15968D63">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rPr>
                    <w:t>3台</w:t>
                  </w:r>
                </w:p>
              </w:tc>
              <w:tc>
                <w:tcPr>
                  <w:tcW w:w="559" w:type="pct"/>
                  <w:vAlign w:val="center"/>
                </w:tcPr>
                <w:p w14:paraId="4BBABB3F">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rPr>
                    <w:t>3台</w:t>
                  </w:r>
                </w:p>
              </w:tc>
              <w:tc>
                <w:tcPr>
                  <w:tcW w:w="476" w:type="pct"/>
                  <w:vAlign w:val="center"/>
                </w:tcPr>
                <w:p w14:paraId="55AE4723">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rPr>
                    <w:t>0</w:t>
                  </w:r>
                </w:p>
              </w:tc>
            </w:tr>
            <w:tr w14:paraId="073BC2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384" w:type="pct"/>
                  <w:vMerge w:val="continue"/>
                  <w:vAlign w:val="center"/>
                </w:tcPr>
                <w:p w14:paraId="0B403C58">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p>
              </w:tc>
              <w:tc>
                <w:tcPr>
                  <w:tcW w:w="440" w:type="pct"/>
                  <w:vMerge w:val="continue"/>
                  <w:vAlign w:val="center"/>
                </w:tcPr>
                <w:p w14:paraId="3A57C087">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p>
              </w:tc>
              <w:tc>
                <w:tcPr>
                  <w:tcW w:w="844" w:type="pct"/>
                  <w:vMerge w:val="continue"/>
                  <w:vAlign w:val="center"/>
                </w:tcPr>
                <w:p w14:paraId="5381DC99">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p>
              </w:tc>
              <w:tc>
                <w:tcPr>
                  <w:tcW w:w="1046" w:type="pct"/>
                  <w:vAlign w:val="center"/>
                </w:tcPr>
                <w:p w14:paraId="37F8C674">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rPr>
                    <w:t>DHG-9038A</w:t>
                  </w:r>
                </w:p>
              </w:tc>
              <w:tc>
                <w:tcPr>
                  <w:tcW w:w="550" w:type="pct"/>
                  <w:vAlign w:val="center"/>
                </w:tcPr>
                <w:p w14:paraId="5DE2270E">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rPr>
                    <w:t>1台</w:t>
                  </w:r>
                </w:p>
              </w:tc>
              <w:tc>
                <w:tcPr>
                  <w:tcW w:w="697" w:type="pct"/>
                  <w:vAlign w:val="center"/>
                </w:tcPr>
                <w:p w14:paraId="480138E6">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rPr>
                    <w:t>1台</w:t>
                  </w:r>
                </w:p>
              </w:tc>
              <w:tc>
                <w:tcPr>
                  <w:tcW w:w="559" w:type="pct"/>
                  <w:vAlign w:val="center"/>
                </w:tcPr>
                <w:p w14:paraId="71F0B036">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rPr>
                    <w:t>1台</w:t>
                  </w:r>
                </w:p>
              </w:tc>
              <w:tc>
                <w:tcPr>
                  <w:tcW w:w="476" w:type="pct"/>
                  <w:vAlign w:val="center"/>
                </w:tcPr>
                <w:p w14:paraId="39A4ED98">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rPr>
                    <w:t>0</w:t>
                  </w:r>
                </w:p>
              </w:tc>
            </w:tr>
            <w:tr w14:paraId="7617F2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384" w:type="pct"/>
                  <w:vAlign w:val="center"/>
                </w:tcPr>
                <w:p w14:paraId="1A99D4E6">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rPr>
                    <w:t>39</w:t>
                  </w:r>
                </w:p>
              </w:tc>
              <w:tc>
                <w:tcPr>
                  <w:tcW w:w="440" w:type="pct"/>
                  <w:vMerge w:val="continue"/>
                  <w:vAlign w:val="center"/>
                </w:tcPr>
                <w:p w14:paraId="1A8935A0">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p>
              </w:tc>
              <w:tc>
                <w:tcPr>
                  <w:tcW w:w="844" w:type="pct"/>
                  <w:vAlign w:val="center"/>
                </w:tcPr>
                <w:p w14:paraId="1CDB0C33">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rPr>
                    <w:t>高低温湿热试验箱</w:t>
                  </w:r>
                </w:p>
              </w:tc>
              <w:tc>
                <w:tcPr>
                  <w:tcW w:w="1046" w:type="pct"/>
                  <w:vAlign w:val="center"/>
                </w:tcPr>
                <w:p w14:paraId="1A6FC889">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rPr>
                    <w:t>PS-608A</w:t>
                  </w:r>
                </w:p>
              </w:tc>
              <w:tc>
                <w:tcPr>
                  <w:tcW w:w="550" w:type="pct"/>
                  <w:vAlign w:val="center"/>
                </w:tcPr>
                <w:p w14:paraId="4D6CF899">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rPr>
                    <w:t>1台</w:t>
                  </w:r>
                </w:p>
              </w:tc>
              <w:tc>
                <w:tcPr>
                  <w:tcW w:w="697" w:type="pct"/>
                  <w:vAlign w:val="center"/>
                </w:tcPr>
                <w:p w14:paraId="6889F4B3">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rPr>
                    <w:t>1台</w:t>
                  </w:r>
                </w:p>
              </w:tc>
              <w:tc>
                <w:tcPr>
                  <w:tcW w:w="559" w:type="pct"/>
                  <w:vAlign w:val="center"/>
                </w:tcPr>
                <w:p w14:paraId="0F7D5F2E">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rPr>
                    <w:t>1台</w:t>
                  </w:r>
                </w:p>
              </w:tc>
              <w:tc>
                <w:tcPr>
                  <w:tcW w:w="476" w:type="pct"/>
                  <w:vAlign w:val="center"/>
                </w:tcPr>
                <w:p w14:paraId="57B92D9E">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rPr>
                    <w:t>0</w:t>
                  </w:r>
                </w:p>
              </w:tc>
            </w:tr>
            <w:tr w14:paraId="0811BB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384" w:type="pct"/>
                  <w:vAlign w:val="center"/>
                </w:tcPr>
                <w:p w14:paraId="0FB716AB">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rPr>
                    <w:t>40</w:t>
                  </w:r>
                </w:p>
              </w:tc>
              <w:tc>
                <w:tcPr>
                  <w:tcW w:w="440" w:type="pct"/>
                  <w:vMerge w:val="continue"/>
                  <w:vAlign w:val="center"/>
                </w:tcPr>
                <w:p w14:paraId="7DED557D">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p>
              </w:tc>
              <w:tc>
                <w:tcPr>
                  <w:tcW w:w="844" w:type="pct"/>
                  <w:vAlign w:val="center"/>
                </w:tcPr>
                <w:p w14:paraId="14F5A588">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rPr>
                    <w:t>两厢冲击箱</w:t>
                  </w:r>
                </w:p>
              </w:tc>
              <w:tc>
                <w:tcPr>
                  <w:tcW w:w="1046" w:type="pct"/>
                  <w:vAlign w:val="center"/>
                </w:tcPr>
                <w:p w14:paraId="2EDC1578">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rPr>
                    <w:t>TS-150UA</w:t>
                  </w:r>
                </w:p>
              </w:tc>
              <w:tc>
                <w:tcPr>
                  <w:tcW w:w="550" w:type="pct"/>
                  <w:vAlign w:val="center"/>
                </w:tcPr>
                <w:p w14:paraId="4C3065E0">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rPr>
                    <w:t>1台</w:t>
                  </w:r>
                </w:p>
              </w:tc>
              <w:tc>
                <w:tcPr>
                  <w:tcW w:w="697" w:type="pct"/>
                  <w:vAlign w:val="center"/>
                </w:tcPr>
                <w:p w14:paraId="77C10E93">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rPr>
                    <w:t>1台</w:t>
                  </w:r>
                </w:p>
              </w:tc>
              <w:tc>
                <w:tcPr>
                  <w:tcW w:w="559" w:type="pct"/>
                  <w:vAlign w:val="center"/>
                </w:tcPr>
                <w:p w14:paraId="44591331">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rPr>
                    <w:t>1台</w:t>
                  </w:r>
                </w:p>
              </w:tc>
              <w:tc>
                <w:tcPr>
                  <w:tcW w:w="476" w:type="pct"/>
                  <w:vAlign w:val="center"/>
                </w:tcPr>
                <w:p w14:paraId="284206F5">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rPr>
                    <w:t>0</w:t>
                  </w:r>
                </w:p>
              </w:tc>
            </w:tr>
            <w:tr w14:paraId="572FE4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384" w:type="pct"/>
                  <w:vAlign w:val="center"/>
                </w:tcPr>
                <w:p w14:paraId="2B5D5B72">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rPr>
                    <w:t>41</w:t>
                  </w:r>
                </w:p>
              </w:tc>
              <w:tc>
                <w:tcPr>
                  <w:tcW w:w="440" w:type="pct"/>
                  <w:vMerge w:val="continue"/>
                  <w:vAlign w:val="center"/>
                </w:tcPr>
                <w:p w14:paraId="3789E6F4">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p>
              </w:tc>
              <w:tc>
                <w:tcPr>
                  <w:tcW w:w="844" w:type="pct"/>
                  <w:vAlign w:val="center"/>
                </w:tcPr>
                <w:p w14:paraId="406DDD81">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rPr>
                    <w:t>真空烘箱</w:t>
                  </w:r>
                </w:p>
              </w:tc>
              <w:tc>
                <w:tcPr>
                  <w:tcW w:w="1046" w:type="pct"/>
                  <w:vAlign w:val="center"/>
                </w:tcPr>
                <w:p w14:paraId="51D786E9">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rPr>
                    <w:t>DZF-6050</w:t>
                  </w:r>
                </w:p>
              </w:tc>
              <w:tc>
                <w:tcPr>
                  <w:tcW w:w="550" w:type="pct"/>
                  <w:vAlign w:val="center"/>
                </w:tcPr>
                <w:p w14:paraId="545F8BCF">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rPr>
                    <w:t>1台</w:t>
                  </w:r>
                </w:p>
              </w:tc>
              <w:tc>
                <w:tcPr>
                  <w:tcW w:w="697" w:type="pct"/>
                  <w:vAlign w:val="center"/>
                </w:tcPr>
                <w:p w14:paraId="70836501">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rPr>
                    <w:t>1台</w:t>
                  </w:r>
                </w:p>
              </w:tc>
              <w:tc>
                <w:tcPr>
                  <w:tcW w:w="559" w:type="pct"/>
                  <w:vAlign w:val="center"/>
                </w:tcPr>
                <w:p w14:paraId="7BC6CB46">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rPr>
                    <w:t>1台</w:t>
                  </w:r>
                </w:p>
              </w:tc>
              <w:tc>
                <w:tcPr>
                  <w:tcW w:w="476" w:type="pct"/>
                  <w:vAlign w:val="center"/>
                </w:tcPr>
                <w:p w14:paraId="14713CA3">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rPr>
                    <w:t>0</w:t>
                  </w:r>
                </w:p>
              </w:tc>
            </w:tr>
            <w:tr w14:paraId="344F93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384" w:type="pct"/>
                  <w:vAlign w:val="center"/>
                </w:tcPr>
                <w:p w14:paraId="6361A1F0">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rPr>
                    <w:t>42</w:t>
                  </w:r>
                </w:p>
              </w:tc>
              <w:tc>
                <w:tcPr>
                  <w:tcW w:w="440" w:type="pct"/>
                  <w:vMerge w:val="continue"/>
                  <w:vAlign w:val="center"/>
                </w:tcPr>
                <w:p w14:paraId="338E64A8">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p>
              </w:tc>
              <w:tc>
                <w:tcPr>
                  <w:tcW w:w="844" w:type="pct"/>
                  <w:vAlign w:val="center"/>
                </w:tcPr>
                <w:p w14:paraId="78B84D28">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rPr>
                    <w:t>多路测温仪</w:t>
                  </w:r>
                </w:p>
              </w:tc>
              <w:tc>
                <w:tcPr>
                  <w:tcW w:w="1046" w:type="pct"/>
                  <w:vAlign w:val="center"/>
                </w:tcPr>
                <w:p w14:paraId="5174E659">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rPr>
                    <w:t>JK4008</w:t>
                  </w:r>
                </w:p>
              </w:tc>
              <w:tc>
                <w:tcPr>
                  <w:tcW w:w="550" w:type="pct"/>
                  <w:vAlign w:val="center"/>
                </w:tcPr>
                <w:p w14:paraId="0CB5D70D">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rPr>
                    <w:t>1台</w:t>
                  </w:r>
                </w:p>
              </w:tc>
              <w:tc>
                <w:tcPr>
                  <w:tcW w:w="697" w:type="pct"/>
                  <w:vAlign w:val="center"/>
                </w:tcPr>
                <w:p w14:paraId="3707C4B9">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rPr>
                    <w:t>1台</w:t>
                  </w:r>
                </w:p>
              </w:tc>
              <w:tc>
                <w:tcPr>
                  <w:tcW w:w="559" w:type="pct"/>
                  <w:vAlign w:val="center"/>
                </w:tcPr>
                <w:p w14:paraId="4012AD1F">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rPr>
                    <w:t>1台</w:t>
                  </w:r>
                </w:p>
              </w:tc>
              <w:tc>
                <w:tcPr>
                  <w:tcW w:w="476" w:type="pct"/>
                  <w:vAlign w:val="center"/>
                </w:tcPr>
                <w:p w14:paraId="278855C8">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rPr>
                    <w:t>0</w:t>
                  </w:r>
                </w:p>
              </w:tc>
            </w:tr>
            <w:tr w14:paraId="207D14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384" w:type="pct"/>
                  <w:vAlign w:val="center"/>
                </w:tcPr>
                <w:p w14:paraId="6BCC18AD">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rPr>
                    <w:t>43</w:t>
                  </w:r>
                </w:p>
              </w:tc>
              <w:tc>
                <w:tcPr>
                  <w:tcW w:w="440" w:type="pct"/>
                  <w:vMerge w:val="continue"/>
                  <w:vAlign w:val="center"/>
                </w:tcPr>
                <w:p w14:paraId="0FDB8DD3">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p>
              </w:tc>
              <w:tc>
                <w:tcPr>
                  <w:tcW w:w="844" w:type="pct"/>
                  <w:vAlign w:val="center"/>
                </w:tcPr>
                <w:p w14:paraId="74DC9D8F">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rPr>
                    <w:t>氧指数测定仪</w:t>
                  </w:r>
                </w:p>
              </w:tc>
              <w:tc>
                <w:tcPr>
                  <w:tcW w:w="1046" w:type="pct"/>
                  <w:vAlign w:val="center"/>
                </w:tcPr>
                <w:p w14:paraId="4E9562D8">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rPr>
                    <w:t>JF-3</w:t>
                  </w:r>
                </w:p>
              </w:tc>
              <w:tc>
                <w:tcPr>
                  <w:tcW w:w="550" w:type="pct"/>
                  <w:vAlign w:val="center"/>
                </w:tcPr>
                <w:p w14:paraId="53FDE7E3">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rPr>
                    <w:t>1台</w:t>
                  </w:r>
                </w:p>
              </w:tc>
              <w:tc>
                <w:tcPr>
                  <w:tcW w:w="697" w:type="pct"/>
                  <w:vAlign w:val="center"/>
                </w:tcPr>
                <w:p w14:paraId="4EB5CD20">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rPr>
                    <w:t>1台</w:t>
                  </w:r>
                </w:p>
              </w:tc>
              <w:tc>
                <w:tcPr>
                  <w:tcW w:w="559" w:type="pct"/>
                  <w:vAlign w:val="center"/>
                </w:tcPr>
                <w:p w14:paraId="2F8B206A">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rPr>
                    <w:t>1台</w:t>
                  </w:r>
                </w:p>
              </w:tc>
              <w:tc>
                <w:tcPr>
                  <w:tcW w:w="476" w:type="pct"/>
                  <w:vAlign w:val="center"/>
                </w:tcPr>
                <w:p w14:paraId="0767498B">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rPr>
                    <w:t>0</w:t>
                  </w:r>
                </w:p>
              </w:tc>
            </w:tr>
            <w:tr w14:paraId="217DA0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629" w:type="dxa"/>
                  <w:vAlign w:val="center"/>
                </w:tcPr>
                <w:p w14:paraId="7986F131">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rPr>
                    <w:t>44</w:t>
                  </w:r>
                </w:p>
              </w:tc>
              <w:tc>
                <w:tcPr>
                  <w:tcW w:w="440" w:type="pct"/>
                  <w:vMerge w:val="continue"/>
                </w:tcPr>
                <w:p w14:paraId="48DFEE72">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p>
              </w:tc>
              <w:tc>
                <w:tcPr>
                  <w:tcW w:w="844" w:type="pct"/>
                  <w:vAlign w:val="center"/>
                </w:tcPr>
                <w:p w14:paraId="51CB58D0">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rPr>
                    <w:t>50W水平垂直燃烧试验机</w:t>
                  </w:r>
                </w:p>
              </w:tc>
              <w:tc>
                <w:tcPr>
                  <w:tcW w:w="1046" w:type="pct"/>
                  <w:vAlign w:val="center"/>
                </w:tcPr>
                <w:p w14:paraId="011B15C2">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rPr>
                    <w:t>CZF-5CD</w:t>
                  </w:r>
                </w:p>
              </w:tc>
              <w:tc>
                <w:tcPr>
                  <w:tcW w:w="550" w:type="pct"/>
                  <w:vAlign w:val="center"/>
                </w:tcPr>
                <w:p w14:paraId="071E6010">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rPr>
                    <w:t>1台</w:t>
                  </w:r>
                </w:p>
              </w:tc>
              <w:tc>
                <w:tcPr>
                  <w:tcW w:w="697" w:type="pct"/>
                  <w:vAlign w:val="center"/>
                </w:tcPr>
                <w:p w14:paraId="3357FC36">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rPr>
                    <w:t>1台</w:t>
                  </w:r>
                </w:p>
              </w:tc>
              <w:tc>
                <w:tcPr>
                  <w:tcW w:w="559" w:type="pct"/>
                  <w:vAlign w:val="center"/>
                </w:tcPr>
                <w:p w14:paraId="51738403">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rPr>
                    <w:t>1台</w:t>
                  </w:r>
                </w:p>
              </w:tc>
              <w:tc>
                <w:tcPr>
                  <w:tcW w:w="476" w:type="pct"/>
                  <w:vAlign w:val="center"/>
                </w:tcPr>
                <w:p w14:paraId="579C47DC">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rPr>
                    <w:t>0</w:t>
                  </w:r>
                </w:p>
              </w:tc>
            </w:tr>
            <w:tr w14:paraId="1E4169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629" w:type="dxa"/>
                  <w:vAlign w:val="center"/>
                </w:tcPr>
                <w:p w14:paraId="6B7510B1">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rPr>
                    <w:t>45</w:t>
                  </w:r>
                </w:p>
              </w:tc>
              <w:tc>
                <w:tcPr>
                  <w:tcW w:w="440" w:type="pct"/>
                  <w:vMerge w:val="continue"/>
                </w:tcPr>
                <w:p w14:paraId="050E3610">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p>
              </w:tc>
              <w:tc>
                <w:tcPr>
                  <w:tcW w:w="844" w:type="pct"/>
                  <w:vAlign w:val="center"/>
                </w:tcPr>
                <w:p w14:paraId="0D3CBCB0">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rPr>
                    <w:t>导热系数测量仪</w:t>
                  </w:r>
                </w:p>
              </w:tc>
              <w:tc>
                <w:tcPr>
                  <w:tcW w:w="1046" w:type="pct"/>
                  <w:vAlign w:val="center"/>
                </w:tcPr>
                <w:p w14:paraId="6E1F5A3E">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rPr>
                    <w:t>TC2200</w:t>
                  </w:r>
                </w:p>
              </w:tc>
              <w:tc>
                <w:tcPr>
                  <w:tcW w:w="550" w:type="pct"/>
                  <w:vAlign w:val="center"/>
                </w:tcPr>
                <w:p w14:paraId="43D5E01A">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rPr>
                    <w:t>1台</w:t>
                  </w:r>
                </w:p>
              </w:tc>
              <w:tc>
                <w:tcPr>
                  <w:tcW w:w="697" w:type="pct"/>
                  <w:vAlign w:val="center"/>
                </w:tcPr>
                <w:p w14:paraId="7F032EB7">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rPr>
                    <w:t>1台</w:t>
                  </w:r>
                </w:p>
              </w:tc>
              <w:tc>
                <w:tcPr>
                  <w:tcW w:w="559" w:type="pct"/>
                  <w:vAlign w:val="center"/>
                </w:tcPr>
                <w:p w14:paraId="38242A8D">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rPr>
                    <w:t>1台</w:t>
                  </w:r>
                </w:p>
              </w:tc>
              <w:tc>
                <w:tcPr>
                  <w:tcW w:w="476" w:type="pct"/>
                  <w:vAlign w:val="center"/>
                </w:tcPr>
                <w:p w14:paraId="5E8137AA">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rPr>
                    <w:t>0</w:t>
                  </w:r>
                </w:p>
              </w:tc>
            </w:tr>
            <w:tr w14:paraId="7AF6CE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629" w:type="dxa"/>
                  <w:vAlign w:val="center"/>
                </w:tcPr>
                <w:p w14:paraId="4E84864F">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rPr>
                    <w:t>46</w:t>
                  </w:r>
                </w:p>
              </w:tc>
              <w:tc>
                <w:tcPr>
                  <w:tcW w:w="440" w:type="pct"/>
                  <w:vMerge w:val="continue"/>
                </w:tcPr>
                <w:p w14:paraId="4D215E50">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p>
              </w:tc>
              <w:tc>
                <w:tcPr>
                  <w:tcW w:w="844" w:type="pct"/>
                  <w:vAlign w:val="center"/>
                </w:tcPr>
                <w:p w14:paraId="142C0632">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rPr>
                    <w:t>高精度全自动循环浴（导热系数配套设备）</w:t>
                  </w:r>
                </w:p>
              </w:tc>
              <w:tc>
                <w:tcPr>
                  <w:tcW w:w="1046" w:type="pct"/>
                  <w:vAlign w:val="center"/>
                </w:tcPr>
                <w:p w14:paraId="77F66B8D">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rPr>
                    <w:t>C3150</w:t>
                  </w:r>
                </w:p>
              </w:tc>
              <w:tc>
                <w:tcPr>
                  <w:tcW w:w="550" w:type="pct"/>
                  <w:vAlign w:val="center"/>
                </w:tcPr>
                <w:p w14:paraId="4388F3B0">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rPr>
                    <w:t>1台</w:t>
                  </w:r>
                </w:p>
              </w:tc>
              <w:tc>
                <w:tcPr>
                  <w:tcW w:w="697" w:type="pct"/>
                  <w:vAlign w:val="center"/>
                </w:tcPr>
                <w:p w14:paraId="77F97D54">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rPr>
                    <w:t>1台</w:t>
                  </w:r>
                </w:p>
              </w:tc>
              <w:tc>
                <w:tcPr>
                  <w:tcW w:w="559" w:type="pct"/>
                  <w:vAlign w:val="center"/>
                </w:tcPr>
                <w:p w14:paraId="3949E9EA">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rPr>
                    <w:t>1台</w:t>
                  </w:r>
                </w:p>
              </w:tc>
              <w:tc>
                <w:tcPr>
                  <w:tcW w:w="476" w:type="pct"/>
                  <w:vAlign w:val="center"/>
                </w:tcPr>
                <w:p w14:paraId="639F8D26">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rPr>
                    <w:t>0</w:t>
                  </w:r>
                </w:p>
              </w:tc>
            </w:tr>
            <w:tr w14:paraId="04F045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629" w:type="dxa"/>
                  <w:vAlign w:val="center"/>
                </w:tcPr>
                <w:p w14:paraId="694FCF30">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rPr>
                    <w:t>47</w:t>
                  </w:r>
                </w:p>
              </w:tc>
              <w:tc>
                <w:tcPr>
                  <w:tcW w:w="440" w:type="pct"/>
                  <w:vMerge w:val="continue"/>
                </w:tcPr>
                <w:p w14:paraId="35CC4B9D">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p>
              </w:tc>
              <w:tc>
                <w:tcPr>
                  <w:tcW w:w="844" w:type="pct"/>
                  <w:vAlign w:val="center"/>
                </w:tcPr>
                <w:p w14:paraId="797DA471">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rPr>
                    <w:t>交/直流耐压绝缘测试仪</w:t>
                  </w:r>
                </w:p>
              </w:tc>
              <w:tc>
                <w:tcPr>
                  <w:tcW w:w="1046" w:type="pct"/>
                  <w:vAlign w:val="center"/>
                </w:tcPr>
                <w:p w14:paraId="641A7E28">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rPr>
                    <w:t>TH9320</w:t>
                  </w:r>
                </w:p>
              </w:tc>
              <w:tc>
                <w:tcPr>
                  <w:tcW w:w="550" w:type="pct"/>
                  <w:vAlign w:val="center"/>
                </w:tcPr>
                <w:p w14:paraId="6766AF27">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rPr>
                    <w:t>1台</w:t>
                  </w:r>
                </w:p>
              </w:tc>
              <w:tc>
                <w:tcPr>
                  <w:tcW w:w="697" w:type="pct"/>
                  <w:vAlign w:val="center"/>
                </w:tcPr>
                <w:p w14:paraId="695A5736">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rPr>
                    <w:t>1台</w:t>
                  </w:r>
                </w:p>
              </w:tc>
              <w:tc>
                <w:tcPr>
                  <w:tcW w:w="559" w:type="pct"/>
                  <w:vAlign w:val="center"/>
                </w:tcPr>
                <w:p w14:paraId="49D0AFF9">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rPr>
                    <w:t>1台</w:t>
                  </w:r>
                </w:p>
              </w:tc>
              <w:tc>
                <w:tcPr>
                  <w:tcW w:w="476" w:type="pct"/>
                  <w:vAlign w:val="center"/>
                </w:tcPr>
                <w:p w14:paraId="65FBB8E0">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rPr>
                    <w:t>0</w:t>
                  </w:r>
                </w:p>
              </w:tc>
            </w:tr>
            <w:tr w14:paraId="5C7BEF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629" w:type="dxa"/>
                  <w:vAlign w:val="center"/>
                </w:tcPr>
                <w:p w14:paraId="10B6E200">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rPr>
                    <w:t>48</w:t>
                  </w:r>
                </w:p>
              </w:tc>
              <w:tc>
                <w:tcPr>
                  <w:tcW w:w="440" w:type="pct"/>
                  <w:vMerge w:val="continue"/>
                </w:tcPr>
                <w:p w14:paraId="5308D21F">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p>
              </w:tc>
              <w:tc>
                <w:tcPr>
                  <w:tcW w:w="844" w:type="pct"/>
                  <w:vAlign w:val="center"/>
                </w:tcPr>
                <w:p w14:paraId="1471CAFA">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rPr>
                    <w:t>温湿度表</w:t>
                  </w:r>
                </w:p>
              </w:tc>
              <w:tc>
                <w:tcPr>
                  <w:tcW w:w="1046" w:type="pct"/>
                  <w:vAlign w:val="center"/>
                </w:tcPr>
                <w:p w14:paraId="6C8498E2">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rPr>
                    <w:t>WS-A1</w:t>
                  </w:r>
                </w:p>
              </w:tc>
              <w:tc>
                <w:tcPr>
                  <w:tcW w:w="550" w:type="pct"/>
                  <w:vAlign w:val="center"/>
                </w:tcPr>
                <w:p w14:paraId="35E9FB8E">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rPr>
                    <w:t>3台</w:t>
                  </w:r>
                </w:p>
              </w:tc>
              <w:tc>
                <w:tcPr>
                  <w:tcW w:w="697" w:type="pct"/>
                  <w:vAlign w:val="center"/>
                </w:tcPr>
                <w:p w14:paraId="6C644E53">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rPr>
                    <w:t>3台</w:t>
                  </w:r>
                </w:p>
              </w:tc>
              <w:tc>
                <w:tcPr>
                  <w:tcW w:w="559" w:type="pct"/>
                  <w:vAlign w:val="center"/>
                </w:tcPr>
                <w:p w14:paraId="5F1DBAE4">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rPr>
                    <w:t>3台</w:t>
                  </w:r>
                </w:p>
              </w:tc>
              <w:tc>
                <w:tcPr>
                  <w:tcW w:w="476" w:type="pct"/>
                  <w:vAlign w:val="center"/>
                </w:tcPr>
                <w:p w14:paraId="129796AC">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rPr>
                    <w:t>0</w:t>
                  </w:r>
                </w:p>
              </w:tc>
            </w:tr>
            <w:tr w14:paraId="209E16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629" w:type="dxa"/>
                  <w:vAlign w:val="center"/>
                </w:tcPr>
                <w:p w14:paraId="19AB1823">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rPr>
                    <w:t>49</w:t>
                  </w:r>
                </w:p>
              </w:tc>
              <w:tc>
                <w:tcPr>
                  <w:tcW w:w="440" w:type="pct"/>
                  <w:vMerge w:val="continue"/>
                </w:tcPr>
                <w:p w14:paraId="53C9C4F0">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p>
              </w:tc>
              <w:tc>
                <w:tcPr>
                  <w:tcW w:w="844" w:type="pct"/>
                  <w:vAlign w:val="center"/>
                </w:tcPr>
                <w:p w14:paraId="7E951D4D">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rPr>
                    <w:t>平板硫化机</w:t>
                  </w:r>
                </w:p>
              </w:tc>
              <w:tc>
                <w:tcPr>
                  <w:tcW w:w="1046" w:type="pct"/>
                  <w:vAlign w:val="center"/>
                </w:tcPr>
                <w:p w14:paraId="39920550">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rPr>
                    <w:t>YF-8017</w:t>
                  </w:r>
                </w:p>
              </w:tc>
              <w:tc>
                <w:tcPr>
                  <w:tcW w:w="550" w:type="pct"/>
                  <w:vAlign w:val="center"/>
                </w:tcPr>
                <w:p w14:paraId="31E2AF19">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rPr>
                    <w:t>1台</w:t>
                  </w:r>
                </w:p>
              </w:tc>
              <w:tc>
                <w:tcPr>
                  <w:tcW w:w="697" w:type="pct"/>
                  <w:vAlign w:val="center"/>
                </w:tcPr>
                <w:p w14:paraId="60640E2C">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rPr>
                    <w:t>1台</w:t>
                  </w:r>
                </w:p>
              </w:tc>
              <w:tc>
                <w:tcPr>
                  <w:tcW w:w="559" w:type="pct"/>
                  <w:vAlign w:val="center"/>
                </w:tcPr>
                <w:p w14:paraId="7980A1BF">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rPr>
                    <w:t>1台</w:t>
                  </w:r>
                </w:p>
              </w:tc>
              <w:tc>
                <w:tcPr>
                  <w:tcW w:w="476" w:type="pct"/>
                  <w:vAlign w:val="center"/>
                </w:tcPr>
                <w:p w14:paraId="56CA0E94">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rPr>
                    <w:t>0</w:t>
                  </w:r>
                </w:p>
              </w:tc>
            </w:tr>
            <w:tr w14:paraId="11E721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384" w:type="pct"/>
                  <w:vMerge w:val="restart"/>
                  <w:vAlign w:val="center"/>
                </w:tcPr>
                <w:p w14:paraId="6BDA20E0">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rPr>
                    <w:t>50</w:t>
                  </w:r>
                </w:p>
              </w:tc>
              <w:tc>
                <w:tcPr>
                  <w:tcW w:w="440" w:type="pct"/>
                  <w:vMerge w:val="restart"/>
                  <w:vAlign w:val="center"/>
                </w:tcPr>
                <w:p w14:paraId="2A2C2CA2">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rPr>
                    <w:t>公用</w:t>
                  </w:r>
                </w:p>
              </w:tc>
              <w:tc>
                <w:tcPr>
                  <w:tcW w:w="844" w:type="pct"/>
                  <w:vMerge w:val="restart"/>
                  <w:vAlign w:val="center"/>
                </w:tcPr>
                <w:p w14:paraId="7BB9150B">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rPr>
                    <w:t>螺杆式空压机</w:t>
                  </w:r>
                </w:p>
              </w:tc>
              <w:tc>
                <w:tcPr>
                  <w:tcW w:w="1046" w:type="pct"/>
                  <w:vAlign w:val="center"/>
                </w:tcPr>
                <w:p w14:paraId="0669512B">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rPr>
                    <w:t>捷豹XS-30/8，4.7m³/min</w:t>
                  </w:r>
                </w:p>
              </w:tc>
              <w:tc>
                <w:tcPr>
                  <w:tcW w:w="550" w:type="pct"/>
                  <w:vAlign w:val="center"/>
                </w:tcPr>
                <w:p w14:paraId="115B9001">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rPr>
                    <w:t>1台</w:t>
                  </w:r>
                </w:p>
              </w:tc>
              <w:tc>
                <w:tcPr>
                  <w:tcW w:w="697" w:type="pct"/>
                  <w:vAlign w:val="center"/>
                </w:tcPr>
                <w:p w14:paraId="00B01E61">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rPr>
                    <w:t>0</w:t>
                  </w:r>
                </w:p>
              </w:tc>
              <w:tc>
                <w:tcPr>
                  <w:tcW w:w="559" w:type="pct"/>
                  <w:vAlign w:val="center"/>
                </w:tcPr>
                <w:p w14:paraId="7F8A2290">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rPr>
                    <w:t>0</w:t>
                  </w:r>
                </w:p>
              </w:tc>
              <w:tc>
                <w:tcPr>
                  <w:tcW w:w="476" w:type="pct"/>
                  <w:vAlign w:val="center"/>
                </w:tcPr>
                <w:p w14:paraId="715CD869">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rPr>
                    <w:t>-1台</w:t>
                  </w:r>
                </w:p>
              </w:tc>
            </w:tr>
            <w:tr w14:paraId="535904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384" w:type="pct"/>
                  <w:vMerge w:val="continue"/>
                </w:tcPr>
                <w:p w14:paraId="6AF5ECED">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p>
              </w:tc>
              <w:tc>
                <w:tcPr>
                  <w:tcW w:w="440" w:type="pct"/>
                  <w:vMerge w:val="continue"/>
                </w:tcPr>
                <w:p w14:paraId="778F2B64">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p>
              </w:tc>
              <w:tc>
                <w:tcPr>
                  <w:tcW w:w="844" w:type="pct"/>
                  <w:vMerge w:val="continue"/>
                </w:tcPr>
                <w:p w14:paraId="4A809FBA">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p>
              </w:tc>
              <w:tc>
                <w:tcPr>
                  <w:tcW w:w="1046" w:type="pct"/>
                  <w:vAlign w:val="center"/>
                </w:tcPr>
                <w:p w14:paraId="437C7AE9">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rPr>
                    <w:t>捷豹ES-50/8，6.0m³/min</w:t>
                  </w:r>
                </w:p>
              </w:tc>
              <w:tc>
                <w:tcPr>
                  <w:tcW w:w="550" w:type="pct"/>
                  <w:vAlign w:val="center"/>
                </w:tcPr>
                <w:p w14:paraId="19841C68">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rPr>
                    <w:t>/</w:t>
                  </w:r>
                </w:p>
              </w:tc>
              <w:tc>
                <w:tcPr>
                  <w:tcW w:w="697" w:type="pct"/>
                  <w:vAlign w:val="center"/>
                </w:tcPr>
                <w:p w14:paraId="7C427A80">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rPr>
                    <w:t>3台</w:t>
                  </w:r>
                </w:p>
              </w:tc>
              <w:tc>
                <w:tcPr>
                  <w:tcW w:w="559" w:type="pct"/>
                  <w:vAlign w:val="center"/>
                </w:tcPr>
                <w:p w14:paraId="1D626D99">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rPr>
                    <w:t>3台</w:t>
                  </w:r>
                </w:p>
              </w:tc>
              <w:tc>
                <w:tcPr>
                  <w:tcW w:w="476" w:type="pct"/>
                  <w:vAlign w:val="center"/>
                </w:tcPr>
                <w:p w14:paraId="64134C0A">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rPr>
                    <w:t>+3台</w:t>
                  </w:r>
                </w:p>
              </w:tc>
            </w:tr>
            <w:tr w14:paraId="69B4E3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629" w:type="dxa"/>
                  <w:vAlign w:val="center"/>
                </w:tcPr>
                <w:p w14:paraId="18FE7B6A">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rPr>
                    <w:t>51</w:t>
                  </w:r>
                </w:p>
              </w:tc>
              <w:tc>
                <w:tcPr>
                  <w:tcW w:w="440" w:type="pct"/>
                  <w:vMerge w:val="continue"/>
                </w:tcPr>
                <w:p w14:paraId="75D1468E">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p>
              </w:tc>
              <w:tc>
                <w:tcPr>
                  <w:tcW w:w="844" w:type="pct"/>
                  <w:vAlign w:val="center"/>
                </w:tcPr>
                <w:p w14:paraId="788CA680">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rPr>
                    <w:t>风冷式冷水机</w:t>
                  </w:r>
                </w:p>
              </w:tc>
              <w:tc>
                <w:tcPr>
                  <w:tcW w:w="1046" w:type="pct"/>
                  <w:vAlign w:val="center"/>
                </w:tcPr>
                <w:p w14:paraId="46DC7283">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rPr>
                    <w:t>5匹（QLB12EFC/UU）</w:t>
                  </w:r>
                </w:p>
              </w:tc>
              <w:tc>
                <w:tcPr>
                  <w:tcW w:w="550" w:type="pct"/>
                  <w:vAlign w:val="center"/>
                </w:tcPr>
                <w:p w14:paraId="1221E8BB">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rPr>
                    <w:t>7台</w:t>
                  </w:r>
                </w:p>
              </w:tc>
              <w:tc>
                <w:tcPr>
                  <w:tcW w:w="697" w:type="pct"/>
                  <w:vAlign w:val="center"/>
                </w:tcPr>
                <w:p w14:paraId="39E9F8F1">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rPr>
                    <w:t>7台</w:t>
                  </w:r>
                </w:p>
              </w:tc>
              <w:tc>
                <w:tcPr>
                  <w:tcW w:w="559" w:type="pct"/>
                  <w:vAlign w:val="center"/>
                </w:tcPr>
                <w:p w14:paraId="6000196E">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rPr>
                    <w:t>7台</w:t>
                  </w:r>
                </w:p>
              </w:tc>
              <w:tc>
                <w:tcPr>
                  <w:tcW w:w="476" w:type="pct"/>
                  <w:vAlign w:val="center"/>
                </w:tcPr>
                <w:p w14:paraId="7EDC6FAB">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rPr>
                    <w:t>0</w:t>
                  </w:r>
                </w:p>
              </w:tc>
            </w:tr>
            <w:tr w14:paraId="6E9149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629" w:type="dxa"/>
                  <w:vAlign w:val="center"/>
                </w:tcPr>
                <w:p w14:paraId="5B91A3CC">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rPr>
                    <w:t>52</w:t>
                  </w:r>
                </w:p>
              </w:tc>
              <w:tc>
                <w:tcPr>
                  <w:tcW w:w="440" w:type="pct"/>
                  <w:vMerge w:val="continue"/>
                </w:tcPr>
                <w:p w14:paraId="7D45B6A7">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p>
              </w:tc>
              <w:tc>
                <w:tcPr>
                  <w:tcW w:w="844" w:type="pct"/>
                  <w:vAlign w:val="center"/>
                </w:tcPr>
                <w:p w14:paraId="767D13EF">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rPr>
                    <w:t>冷冻水泵</w:t>
                  </w:r>
                </w:p>
              </w:tc>
              <w:tc>
                <w:tcPr>
                  <w:tcW w:w="1046" w:type="pct"/>
                  <w:vAlign w:val="center"/>
                </w:tcPr>
                <w:p w14:paraId="3772ADFD">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rPr>
                    <w:t>20t/h、H17m</w:t>
                  </w:r>
                </w:p>
              </w:tc>
              <w:tc>
                <w:tcPr>
                  <w:tcW w:w="550" w:type="pct"/>
                  <w:vAlign w:val="center"/>
                </w:tcPr>
                <w:p w14:paraId="4589879F">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rPr>
                    <w:t>2台</w:t>
                  </w:r>
                </w:p>
              </w:tc>
              <w:tc>
                <w:tcPr>
                  <w:tcW w:w="697" w:type="pct"/>
                  <w:vAlign w:val="center"/>
                </w:tcPr>
                <w:p w14:paraId="4824A7E4">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rPr>
                    <w:t>3台</w:t>
                  </w:r>
                </w:p>
              </w:tc>
              <w:tc>
                <w:tcPr>
                  <w:tcW w:w="559" w:type="pct"/>
                  <w:vAlign w:val="center"/>
                </w:tcPr>
                <w:p w14:paraId="4149BA75">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rPr>
                    <w:t>3台</w:t>
                  </w:r>
                </w:p>
              </w:tc>
              <w:tc>
                <w:tcPr>
                  <w:tcW w:w="476" w:type="pct"/>
                  <w:vAlign w:val="center"/>
                </w:tcPr>
                <w:p w14:paraId="4482F22C">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rPr>
                    <w:t>+1台</w:t>
                  </w:r>
                </w:p>
              </w:tc>
            </w:tr>
            <w:tr w14:paraId="5658CD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384" w:type="pct"/>
                  <w:vMerge w:val="restart"/>
                  <w:vAlign w:val="center"/>
                </w:tcPr>
                <w:p w14:paraId="56B95F23">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rPr>
                    <w:t>53</w:t>
                  </w:r>
                </w:p>
              </w:tc>
              <w:tc>
                <w:tcPr>
                  <w:tcW w:w="440" w:type="pct"/>
                  <w:vMerge w:val="continue"/>
                </w:tcPr>
                <w:p w14:paraId="2083AB71">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p>
              </w:tc>
              <w:tc>
                <w:tcPr>
                  <w:tcW w:w="844" w:type="pct"/>
                  <w:vMerge w:val="restart"/>
                  <w:vAlign w:val="center"/>
                </w:tcPr>
                <w:p w14:paraId="7654CCD6">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rPr>
                    <w:t>冷却塔</w:t>
                  </w:r>
                </w:p>
              </w:tc>
              <w:tc>
                <w:tcPr>
                  <w:tcW w:w="1046" w:type="pct"/>
                  <w:vAlign w:val="center"/>
                </w:tcPr>
                <w:p w14:paraId="2E433630">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rPr>
                    <w:t>YE3-200L2-2，50t/h</w:t>
                  </w:r>
                </w:p>
              </w:tc>
              <w:tc>
                <w:tcPr>
                  <w:tcW w:w="550" w:type="pct"/>
                  <w:vAlign w:val="center"/>
                </w:tcPr>
                <w:p w14:paraId="6382A06F">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rPr>
                    <w:t>1台</w:t>
                  </w:r>
                </w:p>
              </w:tc>
              <w:tc>
                <w:tcPr>
                  <w:tcW w:w="697" w:type="pct"/>
                  <w:vAlign w:val="center"/>
                </w:tcPr>
                <w:p w14:paraId="2551A9BA">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rPr>
                    <w:t>0</w:t>
                  </w:r>
                </w:p>
              </w:tc>
              <w:tc>
                <w:tcPr>
                  <w:tcW w:w="559" w:type="pct"/>
                  <w:vAlign w:val="center"/>
                </w:tcPr>
                <w:p w14:paraId="48E91185">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rPr>
                    <w:t>0</w:t>
                  </w:r>
                </w:p>
              </w:tc>
              <w:tc>
                <w:tcPr>
                  <w:tcW w:w="476" w:type="pct"/>
                  <w:vAlign w:val="center"/>
                </w:tcPr>
                <w:p w14:paraId="30520A10">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rPr>
                    <w:t>-1台</w:t>
                  </w:r>
                </w:p>
              </w:tc>
            </w:tr>
            <w:tr w14:paraId="5AABD0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384" w:type="pct"/>
                  <w:vMerge w:val="continue"/>
                </w:tcPr>
                <w:p w14:paraId="27C1F8C7">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p>
              </w:tc>
              <w:tc>
                <w:tcPr>
                  <w:tcW w:w="440" w:type="pct"/>
                  <w:vMerge w:val="continue"/>
                </w:tcPr>
                <w:p w14:paraId="5771ADF4">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p>
              </w:tc>
              <w:tc>
                <w:tcPr>
                  <w:tcW w:w="844" w:type="pct"/>
                  <w:vMerge w:val="continue"/>
                </w:tcPr>
                <w:p w14:paraId="3F2B444E">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p>
              </w:tc>
              <w:tc>
                <w:tcPr>
                  <w:tcW w:w="1046" w:type="pct"/>
                  <w:vAlign w:val="center"/>
                </w:tcPr>
                <w:p w14:paraId="79E835EE">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rPr>
                    <w:t>40t/h</w:t>
                  </w:r>
                </w:p>
              </w:tc>
              <w:tc>
                <w:tcPr>
                  <w:tcW w:w="550" w:type="pct"/>
                  <w:vAlign w:val="center"/>
                </w:tcPr>
                <w:p w14:paraId="5C69E43E">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rPr>
                    <w:t>/</w:t>
                  </w:r>
                </w:p>
              </w:tc>
              <w:tc>
                <w:tcPr>
                  <w:tcW w:w="697" w:type="pct"/>
                  <w:vAlign w:val="center"/>
                </w:tcPr>
                <w:p w14:paraId="6566173B">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rPr>
                    <w:t>2台</w:t>
                  </w:r>
                </w:p>
              </w:tc>
              <w:tc>
                <w:tcPr>
                  <w:tcW w:w="559" w:type="pct"/>
                  <w:vAlign w:val="center"/>
                </w:tcPr>
                <w:p w14:paraId="1896242D">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rPr>
                    <w:t>2台</w:t>
                  </w:r>
                </w:p>
              </w:tc>
              <w:tc>
                <w:tcPr>
                  <w:tcW w:w="476" w:type="pct"/>
                  <w:vAlign w:val="center"/>
                </w:tcPr>
                <w:p w14:paraId="52F6A1D9">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rPr>
                    <w:t>+2台</w:t>
                  </w:r>
                </w:p>
              </w:tc>
            </w:tr>
            <w:tr w14:paraId="74137F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384" w:type="pct"/>
                  <w:vMerge w:val="restart"/>
                  <w:vAlign w:val="center"/>
                </w:tcPr>
                <w:p w14:paraId="0C7C19A7">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rPr>
                    <w:t>54</w:t>
                  </w:r>
                </w:p>
              </w:tc>
              <w:tc>
                <w:tcPr>
                  <w:tcW w:w="440" w:type="pct"/>
                  <w:vMerge w:val="continue"/>
                </w:tcPr>
                <w:p w14:paraId="0FF0DC8F">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p>
              </w:tc>
              <w:tc>
                <w:tcPr>
                  <w:tcW w:w="844" w:type="pct"/>
                  <w:vMerge w:val="restart"/>
                  <w:vAlign w:val="center"/>
                </w:tcPr>
                <w:p w14:paraId="264A18F7">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rPr>
                    <w:t>冷却水泵</w:t>
                  </w:r>
                </w:p>
              </w:tc>
              <w:tc>
                <w:tcPr>
                  <w:tcW w:w="1046" w:type="pct"/>
                  <w:vAlign w:val="center"/>
                </w:tcPr>
                <w:p w14:paraId="03AC8C5B">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rPr>
                    <w:t>50t/h、H28m</w:t>
                  </w:r>
                </w:p>
              </w:tc>
              <w:tc>
                <w:tcPr>
                  <w:tcW w:w="550" w:type="pct"/>
                  <w:vAlign w:val="center"/>
                </w:tcPr>
                <w:p w14:paraId="0D91439F">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rPr>
                    <w:t>3台（2用1备）</w:t>
                  </w:r>
                </w:p>
              </w:tc>
              <w:tc>
                <w:tcPr>
                  <w:tcW w:w="697" w:type="pct"/>
                  <w:vAlign w:val="center"/>
                </w:tcPr>
                <w:p w14:paraId="18DBE5F5">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rPr>
                    <w:t>0</w:t>
                  </w:r>
                </w:p>
              </w:tc>
              <w:tc>
                <w:tcPr>
                  <w:tcW w:w="559" w:type="pct"/>
                  <w:vAlign w:val="center"/>
                </w:tcPr>
                <w:p w14:paraId="4711AE83">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rPr>
                    <w:t>0</w:t>
                  </w:r>
                </w:p>
              </w:tc>
              <w:tc>
                <w:tcPr>
                  <w:tcW w:w="476" w:type="pct"/>
                  <w:vAlign w:val="center"/>
                </w:tcPr>
                <w:p w14:paraId="0C60AE83">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rPr>
                    <w:t>-3台</w:t>
                  </w:r>
                </w:p>
              </w:tc>
            </w:tr>
            <w:tr w14:paraId="515445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384" w:type="pct"/>
                  <w:vMerge w:val="continue"/>
                </w:tcPr>
                <w:p w14:paraId="2B15F082">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p>
              </w:tc>
              <w:tc>
                <w:tcPr>
                  <w:tcW w:w="440" w:type="pct"/>
                  <w:vMerge w:val="continue"/>
                </w:tcPr>
                <w:p w14:paraId="03B86AFF">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p>
              </w:tc>
              <w:tc>
                <w:tcPr>
                  <w:tcW w:w="844" w:type="pct"/>
                  <w:vMerge w:val="continue"/>
                </w:tcPr>
                <w:p w14:paraId="54ED5BDA">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p>
              </w:tc>
              <w:tc>
                <w:tcPr>
                  <w:tcW w:w="1046" w:type="pct"/>
                  <w:vAlign w:val="center"/>
                </w:tcPr>
                <w:p w14:paraId="30E9A246">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rPr>
                    <w:t>40t/h、H8m</w:t>
                  </w:r>
                </w:p>
              </w:tc>
              <w:tc>
                <w:tcPr>
                  <w:tcW w:w="550" w:type="pct"/>
                  <w:vAlign w:val="center"/>
                </w:tcPr>
                <w:p w14:paraId="0E03165F">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rPr>
                    <w:t>/</w:t>
                  </w:r>
                </w:p>
              </w:tc>
              <w:tc>
                <w:tcPr>
                  <w:tcW w:w="697" w:type="pct"/>
                  <w:vAlign w:val="center"/>
                </w:tcPr>
                <w:p w14:paraId="277E042B">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rPr>
                    <w:t>2台</w:t>
                  </w:r>
                </w:p>
              </w:tc>
              <w:tc>
                <w:tcPr>
                  <w:tcW w:w="559" w:type="pct"/>
                  <w:vAlign w:val="center"/>
                </w:tcPr>
                <w:p w14:paraId="2872AE4E">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rPr>
                    <w:t>2台</w:t>
                  </w:r>
                </w:p>
              </w:tc>
              <w:tc>
                <w:tcPr>
                  <w:tcW w:w="476" w:type="pct"/>
                  <w:vAlign w:val="center"/>
                </w:tcPr>
                <w:p w14:paraId="5295A127">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rPr>
                    <w:t>+2台</w:t>
                  </w:r>
                </w:p>
              </w:tc>
            </w:tr>
            <w:tr w14:paraId="4227E3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629" w:type="dxa"/>
                  <w:vAlign w:val="center"/>
                </w:tcPr>
                <w:p w14:paraId="28FD6A79">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rPr>
                    <w:t>55</w:t>
                  </w:r>
                </w:p>
              </w:tc>
              <w:tc>
                <w:tcPr>
                  <w:tcW w:w="440" w:type="pct"/>
                  <w:vMerge w:val="continue"/>
                </w:tcPr>
                <w:p w14:paraId="1CEA7089">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p>
              </w:tc>
              <w:tc>
                <w:tcPr>
                  <w:tcW w:w="844" w:type="pct"/>
                  <w:vAlign w:val="center"/>
                </w:tcPr>
                <w:p w14:paraId="68EC03AB">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rPr>
                    <w:t>废气处理系统</w:t>
                  </w:r>
                </w:p>
              </w:tc>
              <w:tc>
                <w:tcPr>
                  <w:tcW w:w="1046" w:type="pct"/>
                  <w:vAlign w:val="center"/>
                </w:tcPr>
                <w:p w14:paraId="4155B766">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rPr>
                    <w:t>/</w:t>
                  </w:r>
                </w:p>
              </w:tc>
              <w:tc>
                <w:tcPr>
                  <w:tcW w:w="550" w:type="pct"/>
                  <w:vAlign w:val="center"/>
                </w:tcPr>
                <w:p w14:paraId="10699CB3">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rPr>
                    <w:t>5台</w:t>
                  </w:r>
                </w:p>
              </w:tc>
              <w:tc>
                <w:tcPr>
                  <w:tcW w:w="697" w:type="pct"/>
                  <w:vAlign w:val="center"/>
                </w:tcPr>
                <w:p w14:paraId="3EAD2DEF">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rPr>
                    <w:t>4台</w:t>
                  </w:r>
                </w:p>
              </w:tc>
              <w:tc>
                <w:tcPr>
                  <w:tcW w:w="559" w:type="pct"/>
                  <w:vAlign w:val="center"/>
                </w:tcPr>
                <w:p w14:paraId="14C7F86D">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rPr>
                    <w:t>4台</w:t>
                  </w:r>
                </w:p>
              </w:tc>
              <w:tc>
                <w:tcPr>
                  <w:tcW w:w="476" w:type="pct"/>
                  <w:vAlign w:val="center"/>
                </w:tcPr>
                <w:p w14:paraId="569235D4">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rPr>
                    <w:t>-1台</w:t>
                  </w:r>
                </w:p>
              </w:tc>
            </w:tr>
          </w:tbl>
          <w:p w14:paraId="0F591F82">
            <w:pPr>
              <w:keepNext w:val="0"/>
              <w:keepLines w:val="0"/>
              <w:suppressLineNumbers w:val="0"/>
              <w:spacing w:before="0" w:beforeAutospacing="0" w:after="0" w:afterAutospacing="0" w:line="360" w:lineRule="auto"/>
              <w:ind w:left="0" w:right="0" w:firstLine="480" w:firstLineChars="200"/>
              <w:rPr>
                <w:rFonts w:hint="default" w:ascii="Times New Roman" w:hAnsi="Times New Roman" w:eastAsia="宋体" w:cs="Times New Roman"/>
                <w:color w:val="auto"/>
                <w:sz w:val="24"/>
              </w:rPr>
            </w:pPr>
            <w:r>
              <w:rPr>
                <w:rFonts w:hint="eastAsia" w:ascii="Times New Roman" w:hAnsi="Times New Roman" w:eastAsia="宋体" w:cs="Times New Roman"/>
                <w:color w:val="auto"/>
                <w:sz w:val="24"/>
              </w:rPr>
              <w:t>（3）主要原辅材料及能源消耗</w:t>
            </w:r>
          </w:p>
          <w:p w14:paraId="691A8123">
            <w:pPr>
              <w:keepNext w:val="0"/>
              <w:keepLines w:val="0"/>
              <w:suppressLineNumbers w:val="0"/>
              <w:spacing w:before="0" w:beforeAutospacing="0" w:after="0" w:afterAutospacing="0"/>
              <w:ind w:left="0" w:right="0"/>
              <w:jc w:val="center"/>
              <w:rPr>
                <w:rFonts w:hint="default" w:ascii="Times New Roman" w:hAnsi="Times New Roman" w:eastAsia="宋体" w:cs="Times New Roman"/>
                <w:b/>
                <w:bCs/>
                <w:color w:val="auto"/>
              </w:rPr>
            </w:pPr>
            <w:r>
              <w:rPr>
                <w:rFonts w:hint="eastAsia" w:ascii="Times New Roman" w:hAnsi="Times New Roman" w:eastAsia="宋体" w:cs="Times New Roman"/>
                <w:b/>
                <w:bCs/>
                <w:color w:val="auto"/>
              </w:rPr>
              <w:t>表2-1</w:t>
            </w:r>
            <w:r>
              <w:rPr>
                <w:rFonts w:hint="eastAsia" w:ascii="Times New Roman" w:hAnsi="Times New Roman" w:eastAsia="宋体" w:cs="Times New Roman"/>
                <w:b/>
                <w:bCs/>
                <w:color w:val="auto"/>
                <w:lang w:val="en-US" w:eastAsia="zh-CN"/>
              </w:rPr>
              <w:t>7</w:t>
            </w:r>
            <w:r>
              <w:rPr>
                <w:rFonts w:hint="eastAsia" w:ascii="Times New Roman" w:hAnsi="Times New Roman" w:eastAsia="宋体" w:cs="Times New Roman"/>
                <w:b/>
                <w:bCs/>
                <w:color w:val="auto"/>
              </w:rPr>
              <w:t xml:space="preserve">  现有项目主要原辅材料及能源消耗一览表</w:t>
            </w:r>
          </w:p>
          <w:tbl>
            <w:tblPr>
              <w:tblStyle w:val="22"/>
              <w:tblW w:w="4998"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523"/>
              <w:gridCol w:w="1891"/>
              <w:gridCol w:w="1665"/>
              <w:gridCol w:w="1546"/>
              <w:gridCol w:w="1275"/>
              <w:gridCol w:w="1272"/>
            </w:tblGrid>
            <w:tr w14:paraId="42C4E9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320" w:type="pct"/>
                  <w:vAlign w:val="center"/>
                </w:tcPr>
                <w:p w14:paraId="38D8FD6C">
                  <w:pPr>
                    <w:keepNext w:val="0"/>
                    <w:keepLines w:val="0"/>
                    <w:suppressLineNumbers w:val="0"/>
                    <w:spacing w:before="0" w:beforeAutospacing="0" w:after="0" w:afterAutospacing="0"/>
                    <w:ind w:left="0" w:right="0"/>
                    <w:jc w:val="center"/>
                    <w:rPr>
                      <w:rFonts w:hint="default" w:ascii="Times New Roman" w:hAnsi="Times New Roman" w:eastAsia="宋体" w:cs="Times New Roman"/>
                      <w:b/>
                      <w:color w:val="auto"/>
                      <w:szCs w:val="21"/>
                    </w:rPr>
                  </w:pPr>
                  <w:r>
                    <w:rPr>
                      <w:rFonts w:hint="default" w:ascii="Times New Roman" w:hAnsi="Times New Roman" w:eastAsia="宋体" w:cs="Times New Roman"/>
                      <w:b/>
                      <w:color w:val="auto"/>
                      <w:szCs w:val="21"/>
                    </w:rPr>
                    <w:t>序号</w:t>
                  </w:r>
                </w:p>
              </w:tc>
              <w:tc>
                <w:tcPr>
                  <w:tcW w:w="1156" w:type="pct"/>
                  <w:vAlign w:val="center"/>
                </w:tcPr>
                <w:p w14:paraId="777EECAD">
                  <w:pPr>
                    <w:keepNext w:val="0"/>
                    <w:keepLines w:val="0"/>
                    <w:suppressLineNumbers w:val="0"/>
                    <w:spacing w:before="0" w:beforeAutospacing="0" w:after="0" w:afterAutospacing="0"/>
                    <w:ind w:left="0" w:right="0"/>
                    <w:jc w:val="center"/>
                    <w:rPr>
                      <w:rFonts w:hint="default" w:ascii="Times New Roman" w:hAnsi="Times New Roman" w:eastAsia="宋体" w:cs="Times New Roman"/>
                      <w:b/>
                      <w:color w:val="auto"/>
                      <w:szCs w:val="21"/>
                    </w:rPr>
                  </w:pPr>
                  <w:r>
                    <w:rPr>
                      <w:rFonts w:hint="default" w:ascii="Times New Roman" w:hAnsi="Times New Roman" w:eastAsia="宋体" w:cs="Times New Roman"/>
                      <w:b/>
                      <w:color w:val="auto"/>
                      <w:szCs w:val="21"/>
                    </w:rPr>
                    <w:t>名称</w:t>
                  </w:r>
                </w:p>
              </w:tc>
              <w:tc>
                <w:tcPr>
                  <w:tcW w:w="1018" w:type="pct"/>
                  <w:vAlign w:val="center"/>
                </w:tcPr>
                <w:p w14:paraId="5B4A9DE2">
                  <w:pPr>
                    <w:keepNext w:val="0"/>
                    <w:keepLines w:val="0"/>
                    <w:suppressLineNumbers w:val="0"/>
                    <w:spacing w:before="0" w:beforeAutospacing="0" w:after="0" w:afterAutospacing="0"/>
                    <w:ind w:left="0" w:right="0"/>
                    <w:jc w:val="center"/>
                    <w:rPr>
                      <w:rFonts w:hint="default" w:ascii="Times New Roman" w:hAnsi="Times New Roman" w:eastAsia="宋体" w:cs="Times New Roman"/>
                      <w:b/>
                      <w:color w:val="auto"/>
                      <w:szCs w:val="21"/>
                    </w:rPr>
                  </w:pPr>
                  <w:r>
                    <w:rPr>
                      <w:rFonts w:hint="default" w:ascii="Times New Roman" w:hAnsi="Times New Roman" w:eastAsia="宋体" w:cs="Times New Roman"/>
                      <w:b/>
                      <w:color w:val="auto"/>
                      <w:szCs w:val="21"/>
                    </w:rPr>
                    <w:t>包装/规格</w:t>
                  </w:r>
                </w:p>
              </w:tc>
              <w:tc>
                <w:tcPr>
                  <w:tcW w:w="945" w:type="pct"/>
                  <w:vAlign w:val="center"/>
                </w:tcPr>
                <w:p w14:paraId="5897DCD0">
                  <w:pPr>
                    <w:keepNext w:val="0"/>
                    <w:keepLines w:val="0"/>
                    <w:suppressLineNumbers w:val="0"/>
                    <w:spacing w:before="0" w:beforeAutospacing="0" w:after="0" w:afterAutospacing="0"/>
                    <w:ind w:left="0" w:right="0"/>
                    <w:jc w:val="center"/>
                    <w:rPr>
                      <w:rFonts w:hint="default" w:ascii="Times New Roman" w:hAnsi="Times New Roman" w:eastAsia="宋体" w:cs="Times New Roman"/>
                      <w:b/>
                      <w:color w:val="auto"/>
                      <w:szCs w:val="21"/>
                    </w:rPr>
                  </w:pPr>
                  <w:r>
                    <w:rPr>
                      <w:rFonts w:hint="default" w:ascii="Times New Roman" w:hAnsi="Times New Roman" w:eastAsia="宋体" w:cs="Times New Roman"/>
                      <w:b/>
                      <w:color w:val="auto"/>
                      <w:szCs w:val="21"/>
                    </w:rPr>
                    <w:t>环评审批</w:t>
                  </w:r>
                </w:p>
                <w:p w14:paraId="54FEFF1D">
                  <w:pPr>
                    <w:keepNext w:val="0"/>
                    <w:keepLines w:val="0"/>
                    <w:suppressLineNumbers w:val="0"/>
                    <w:spacing w:before="0" w:beforeAutospacing="0" w:after="0" w:afterAutospacing="0"/>
                    <w:ind w:left="0" w:right="0"/>
                    <w:jc w:val="center"/>
                    <w:rPr>
                      <w:rFonts w:hint="default" w:ascii="Times New Roman" w:hAnsi="Times New Roman" w:eastAsia="宋体" w:cs="Times New Roman"/>
                      <w:b/>
                      <w:color w:val="auto"/>
                      <w:szCs w:val="21"/>
                    </w:rPr>
                  </w:pPr>
                  <w:r>
                    <w:rPr>
                      <w:rFonts w:hint="default" w:ascii="Times New Roman" w:hAnsi="Times New Roman" w:eastAsia="宋体" w:cs="Times New Roman"/>
                      <w:b/>
                      <w:color w:val="auto"/>
                      <w:szCs w:val="21"/>
                    </w:rPr>
                    <w:t>年耗用量</w:t>
                  </w:r>
                </w:p>
              </w:tc>
              <w:tc>
                <w:tcPr>
                  <w:tcW w:w="780" w:type="pct"/>
                  <w:vAlign w:val="center"/>
                </w:tcPr>
                <w:p w14:paraId="558DD66C">
                  <w:pPr>
                    <w:keepNext w:val="0"/>
                    <w:keepLines w:val="0"/>
                    <w:suppressLineNumbers w:val="0"/>
                    <w:spacing w:before="0" w:beforeAutospacing="0" w:after="0" w:afterAutospacing="0"/>
                    <w:ind w:left="0" w:right="0"/>
                    <w:jc w:val="center"/>
                    <w:rPr>
                      <w:rFonts w:hint="default" w:ascii="Times New Roman" w:hAnsi="Times New Roman" w:eastAsia="宋体" w:cs="Times New Roman"/>
                      <w:b/>
                      <w:color w:val="auto"/>
                      <w:szCs w:val="21"/>
                    </w:rPr>
                  </w:pPr>
                  <w:r>
                    <w:rPr>
                      <w:rFonts w:hint="eastAsia" w:ascii="Times New Roman" w:hAnsi="Times New Roman" w:eastAsia="宋体" w:cs="Times New Roman"/>
                      <w:b/>
                      <w:color w:val="auto"/>
                      <w:szCs w:val="21"/>
                    </w:rPr>
                    <w:t>阶段性</w:t>
                  </w:r>
                  <w:r>
                    <w:rPr>
                      <w:rFonts w:hint="default" w:ascii="Times New Roman" w:hAnsi="Times New Roman" w:eastAsia="宋体" w:cs="Times New Roman"/>
                      <w:b/>
                      <w:color w:val="auto"/>
                      <w:szCs w:val="21"/>
                    </w:rPr>
                    <w:t>验收</w:t>
                  </w:r>
                </w:p>
                <w:p w14:paraId="3D67D3BD">
                  <w:pPr>
                    <w:keepNext w:val="0"/>
                    <w:keepLines w:val="0"/>
                    <w:suppressLineNumbers w:val="0"/>
                    <w:spacing w:before="0" w:beforeAutospacing="0" w:after="0" w:afterAutospacing="0"/>
                    <w:ind w:left="0" w:right="0"/>
                    <w:jc w:val="center"/>
                    <w:rPr>
                      <w:rFonts w:hint="default" w:ascii="Times New Roman" w:hAnsi="Times New Roman" w:eastAsia="宋体" w:cs="Times New Roman"/>
                      <w:b/>
                      <w:color w:val="auto"/>
                      <w:szCs w:val="21"/>
                    </w:rPr>
                  </w:pPr>
                  <w:r>
                    <w:rPr>
                      <w:rFonts w:hint="default" w:ascii="Times New Roman" w:hAnsi="Times New Roman" w:eastAsia="宋体" w:cs="Times New Roman"/>
                      <w:b/>
                      <w:color w:val="auto"/>
                      <w:szCs w:val="21"/>
                    </w:rPr>
                    <w:t>年耗用量</w:t>
                  </w:r>
                </w:p>
              </w:tc>
              <w:tc>
                <w:tcPr>
                  <w:tcW w:w="778" w:type="pct"/>
                  <w:vAlign w:val="center"/>
                </w:tcPr>
                <w:p w14:paraId="5332BFB8">
                  <w:pPr>
                    <w:keepNext w:val="0"/>
                    <w:keepLines w:val="0"/>
                    <w:suppressLineNumbers w:val="0"/>
                    <w:spacing w:before="0" w:beforeAutospacing="0" w:after="0" w:afterAutospacing="0"/>
                    <w:ind w:left="0" w:right="0"/>
                    <w:jc w:val="center"/>
                    <w:rPr>
                      <w:rFonts w:hint="default" w:ascii="Times New Roman" w:hAnsi="Times New Roman" w:eastAsia="宋体" w:cs="Times New Roman"/>
                      <w:b/>
                      <w:color w:val="auto"/>
                      <w:szCs w:val="21"/>
                    </w:rPr>
                  </w:pPr>
                  <w:r>
                    <w:rPr>
                      <w:rFonts w:hint="default" w:ascii="Times New Roman" w:hAnsi="Times New Roman" w:eastAsia="宋体" w:cs="Times New Roman"/>
                      <w:b/>
                      <w:color w:val="auto"/>
                      <w:szCs w:val="21"/>
                    </w:rPr>
                    <w:t>实际</w:t>
                  </w:r>
                </w:p>
                <w:p w14:paraId="5CF1C950">
                  <w:pPr>
                    <w:keepNext w:val="0"/>
                    <w:keepLines w:val="0"/>
                    <w:suppressLineNumbers w:val="0"/>
                    <w:spacing w:before="0" w:beforeAutospacing="0" w:after="0" w:afterAutospacing="0"/>
                    <w:ind w:left="0" w:right="0"/>
                    <w:jc w:val="center"/>
                    <w:rPr>
                      <w:rFonts w:hint="default" w:ascii="Times New Roman" w:hAnsi="Times New Roman" w:eastAsia="宋体" w:cs="Times New Roman"/>
                      <w:b/>
                      <w:color w:val="auto"/>
                      <w:szCs w:val="21"/>
                    </w:rPr>
                  </w:pPr>
                  <w:r>
                    <w:rPr>
                      <w:rFonts w:hint="default" w:ascii="Times New Roman" w:hAnsi="Times New Roman" w:eastAsia="宋体" w:cs="Times New Roman"/>
                      <w:b/>
                      <w:color w:val="auto"/>
                      <w:szCs w:val="21"/>
                    </w:rPr>
                    <w:t>年耗用量</w:t>
                  </w:r>
                </w:p>
              </w:tc>
            </w:tr>
            <w:tr w14:paraId="3758BC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320" w:type="pct"/>
                  <w:vAlign w:val="center"/>
                </w:tcPr>
                <w:p w14:paraId="1734A793">
                  <w:pPr>
                    <w:keepNext w:val="0"/>
                    <w:keepLines w:val="0"/>
                    <w:suppressLineNumbers w:val="0"/>
                    <w:spacing w:before="0" w:beforeAutospacing="0" w:after="0" w:afterAutospacing="0"/>
                    <w:ind w:left="0" w:right="0"/>
                    <w:jc w:val="center"/>
                    <w:rPr>
                      <w:rFonts w:hint="default" w:ascii="Times New Roman" w:hAnsi="Times New Roman" w:eastAsia="宋体" w:cs="Times New Roman"/>
                      <w:b/>
                      <w:color w:val="auto"/>
                      <w:szCs w:val="21"/>
                    </w:rPr>
                  </w:pPr>
                  <w:r>
                    <w:rPr>
                      <w:rFonts w:hint="default" w:ascii="Times New Roman" w:hAnsi="Times New Roman" w:eastAsia="宋体" w:cs="Times New Roman"/>
                      <w:color w:val="auto"/>
                      <w:szCs w:val="21"/>
                    </w:rPr>
                    <w:t>1</w:t>
                  </w:r>
                </w:p>
              </w:tc>
              <w:tc>
                <w:tcPr>
                  <w:tcW w:w="1156" w:type="pct"/>
                  <w:vAlign w:val="center"/>
                </w:tcPr>
                <w:p w14:paraId="5A0D60C8">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rPr>
                    <w:t>乙烯基硅油</w:t>
                  </w:r>
                </w:p>
              </w:tc>
              <w:tc>
                <w:tcPr>
                  <w:tcW w:w="1018" w:type="pct"/>
                  <w:vAlign w:val="center"/>
                </w:tcPr>
                <w:p w14:paraId="4E46C334">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rPr>
                    <w:t>190kg/铁桶</w:t>
                  </w:r>
                </w:p>
              </w:tc>
              <w:tc>
                <w:tcPr>
                  <w:tcW w:w="945" w:type="pct"/>
                  <w:vAlign w:val="center"/>
                </w:tcPr>
                <w:p w14:paraId="0BBB86F9">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rPr>
                    <w:t>5440t</w:t>
                  </w:r>
                </w:p>
              </w:tc>
              <w:tc>
                <w:tcPr>
                  <w:tcW w:w="780" w:type="pct"/>
                  <w:vAlign w:val="center"/>
                </w:tcPr>
                <w:p w14:paraId="3435B335">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rPr>
                    <w:t>4226t</w:t>
                  </w:r>
                </w:p>
              </w:tc>
              <w:tc>
                <w:tcPr>
                  <w:tcW w:w="778" w:type="pct"/>
                  <w:vAlign w:val="center"/>
                </w:tcPr>
                <w:p w14:paraId="0B28CD4D">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rPr>
                    <w:t>4226t</w:t>
                  </w:r>
                </w:p>
              </w:tc>
            </w:tr>
            <w:tr w14:paraId="3F1C92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320" w:type="pct"/>
                  <w:vAlign w:val="center"/>
                </w:tcPr>
                <w:p w14:paraId="624AC0B7">
                  <w:pPr>
                    <w:keepNext w:val="0"/>
                    <w:keepLines w:val="0"/>
                    <w:suppressLineNumbers w:val="0"/>
                    <w:spacing w:before="0" w:beforeAutospacing="0" w:after="0" w:afterAutospacing="0"/>
                    <w:ind w:left="0" w:right="0"/>
                    <w:jc w:val="center"/>
                    <w:rPr>
                      <w:rFonts w:hint="default" w:ascii="Times New Roman" w:hAnsi="Times New Roman" w:eastAsia="宋体" w:cs="Times New Roman"/>
                      <w:b/>
                      <w:color w:val="auto"/>
                      <w:szCs w:val="21"/>
                    </w:rPr>
                  </w:pPr>
                  <w:r>
                    <w:rPr>
                      <w:rFonts w:hint="default" w:ascii="Times New Roman" w:hAnsi="Times New Roman" w:eastAsia="宋体" w:cs="Times New Roman"/>
                      <w:color w:val="auto"/>
                      <w:szCs w:val="21"/>
                    </w:rPr>
                    <w:t>2</w:t>
                  </w:r>
                </w:p>
              </w:tc>
              <w:tc>
                <w:tcPr>
                  <w:tcW w:w="1156" w:type="pct"/>
                  <w:vAlign w:val="center"/>
                </w:tcPr>
                <w:p w14:paraId="68D00917">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rPr>
                    <w:t>二氧化硅粉体</w:t>
                  </w:r>
                </w:p>
              </w:tc>
              <w:tc>
                <w:tcPr>
                  <w:tcW w:w="1018" w:type="pct"/>
                  <w:vAlign w:val="center"/>
                </w:tcPr>
                <w:p w14:paraId="0FF9A4AE">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rPr>
                    <w:t>10kg/编织袋</w:t>
                  </w:r>
                </w:p>
              </w:tc>
              <w:tc>
                <w:tcPr>
                  <w:tcW w:w="945" w:type="pct"/>
                  <w:vAlign w:val="center"/>
                </w:tcPr>
                <w:p w14:paraId="772F5B35">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rPr>
                    <w:t>1360t</w:t>
                  </w:r>
                </w:p>
              </w:tc>
              <w:tc>
                <w:tcPr>
                  <w:tcW w:w="780" w:type="pct"/>
                  <w:vAlign w:val="center"/>
                </w:tcPr>
                <w:p w14:paraId="6ECB02B4">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rPr>
                    <w:t>1064t</w:t>
                  </w:r>
                </w:p>
              </w:tc>
              <w:tc>
                <w:tcPr>
                  <w:tcW w:w="778" w:type="pct"/>
                  <w:vAlign w:val="center"/>
                </w:tcPr>
                <w:p w14:paraId="7D33965E">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rPr>
                    <w:t>1064t</w:t>
                  </w:r>
                </w:p>
              </w:tc>
            </w:tr>
            <w:tr w14:paraId="281A22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320" w:type="pct"/>
                  <w:vAlign w:val="center"/>
                </w:tcPr>
                <w:p w14:paraId="462955CE">
                  <w:pPr>
                    <w:keepNext w:val="0"/>
                    <w:keepLines w:val="0"/>
                    <w:suppressLineNumbers w:val="0"/>
                    <w:spacing w:before="0" w:beforeAutospacing="0" w:after="0" w:afterAutospacing="0"/>
                    <w:ind w:left="0" w:right="0"/>
                    <w:jc w:val="center"/>
                    <w:rPr>
                      <w:rFonts w:hint="default" w:ascii="Times New Roman" w:hAnsi="Times New Roman" w:eastAsia="宋体" w:cs="Times New Roman"/>
                      <w:b/>
                      <w:color w:val="auto"/>
                      <w:szCs w:val="21"/>
                    </w:rPr>
                  </w:pPr>
                  <w:r>
                    <w:rPr>
                      <w:rFonts w:hint="default" w:ascii="Times New Roman" w:hAnsi="Times New Roman" w:eastAsia="宋体" w:cs="Times New Roman"/>
                      <w:color w:val="auto"/>
                      <w:szCs w:val="21"/>
                    </w:rPr>
                    <w:t>3</w:t>
                  </w:r>
                </w:p>
              </w:tc>
              <w:tc>
                <w:tcPr>
                  <w:tcW w:w="1156" w:type="pct"/>
                  <w:vAlign w:val="center"/>
                </w:tcPr>
                <w:p w14:paraId="3ACD9841">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rPr>
                    <w:t>氢氧化铝粉体</w:t>
                  </w:r>
                </w:p>
              </w:tc>
              <w:tc>
                <w:tcPr>
                  <w:tcW w:w="1018" w:type="pct"/>
                  <w:vAlign w:val="center"/>
                </w:tcPr>
                <w:p w14:paraId="7C56B5F9">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rPr>
                    <w:t>40kg/编织袋</w:t>
                  </w:r>
                </w:p>
              </w:tc>
              <w:tc>
                <w:tcPr>
                  <w:tcW w:w="945" w:type="pct"/>
                  <w:vAlign w:val="center"/>
                </w:tcPr>
                <w:p w14:paraId="259012C9">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rPr>
                    <w:t>6000t</w:t>
                  </w:r>
                </w:p>
              </w:tc>
              <w:tc>
                <w:tcPr>
                  <w:tcW w:w="780" w:type="pct"/>
                  <w:vAlign w:val="center"/>
                </w:tcPr>
                <w:p w14:paraId="232D7047">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rPr>
                    <w:t>4696t</w:t>
                  </w:r>
                </w:p>
              </w:tc>
              <w:tc>
                <w:tcPr>
                  <w:tcW w:w="778" w:type="pct"/>
                  <w:vAlign w:val="center"/>
                </w:tcPr>
                <w:p w14:paraId="213923AB">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rPr>
                    <w:t>4696t</w:t>
                  </w:r>
                </w:p>
              </w:tc>
            </w:tr>
            <w:tr w14:paraId="648FC4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320" w:type="pct"/>
                  <w:vAlign w:val="center"/>
                </w:tcPr>
                <w:p w14:paraId="0DB2F79D">
                  <w:pPr>
                    <w:keepNext w:val="0"/>
                    <w:keepLines w:val="0"/>
                    <w:suppressLineNumbers w:val="0"/>
                    <w:spacing w:before="0" w:beforeAutospacing="0" w:after="0" w:afterAutospacing="0"/>
                    <w:ind w:left="0" w:right="0"/>
                    <w:jc w:val="center"/>
                    <w:rPr>
                      <w:rFonts w:hint="default" w:ascii="Times New Roman" w:hAnsi="Times New Roman" w:eastAsia="宋体" w:cs="Times New Roman"/>
                      <w:b/>
                      <w:color w:val="auto"/>
                      <w:szCs w:val="21"/>
                    </w:rPr>
                  </w:pPr>
                  <w:r>
                    <w:rPr>
                      <w:rFonts w:hint="default" w:ascii="Times New Roman" w:hAnsi="Times New Roman" w:eastAsia="宋体" w:cs="Times New Roman"/>
                      <w:color w:val="auto"/>
                      <w:szCs w:val="21"/>
                    </w:rPr>
                    <w:t>4</w:t>
                  </w:r>
                </w:p>
              </w:tc>
              <w:tc>
                <w:tcPr>
                  <w:tcW w:w="1156" w:type="pct"/>
                  <w:vAlign w:val="center"/>
                </w:tcPr>
                <w:p w14:paraId="25D204CC">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rPr>
                    <w:t>氧化铝粉体</w:t>
                  </w:r>
                </w:p>
              </w:tc>
              <w:tc>
                <w:tcPr>
                  <w:tcW w:w="1018" w:type="pct"/>
                  <w:vAlign w:val="center"/>
                </w:tcPr>
                <w:p w14:paraId="050ED9E2">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rPr>
                    <w:t>40kg/编织袋</w:t>
                  </w:r>
                </w:p>
              </w:tc>
              <w:tc>
                <w:tcPr>
                  <w:tcW w:w="945" w:type="pct"/>
                  <w:vAlign w:val="center"/>
                </w:tcPr>
                <w:p w14:paraId="25C9696D">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rPr>
                    <w:t>2040t</w:t>
                  </w:r>
                </w:p>
              </w:tc>
              <w:tc>
                <w:tcPr>
                  <w:tcW w:w="780" w:type="pct"/>
                  <w:vAlign w:val="center"/>
                </w:tcPr>
                <w:p w14:paraId="3ADE4886">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rPr>
                    <w:t>1597t</w:t>
                  </w:r>
                </w:p>
              </w:tc>
              <w:tc>
                <w:tcPr>
                  <w:tcW w:w="778" w:type="pct"/>
                  <w:vAlign w:val="center"/>
                </w:tcPr>
                <w:p w14:paraId="7C9112EB">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rPr>
                    <w:t>1597t</w:t>
                  </w:r>
                </w:p>
              </w:tc>
            </w:tr>
            <w:tr w14:paraId="11873E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320" w:type="pct"/>
                  <w:vAlign w:val="center"/>
                </w:tcPr>
                <w:p w14:paraId="7A6691B2">
                  <w:pPr>
                    <w:keepNext w:val="0"/>
                    <w:keepLines w:val="0"/>
                    <w:suppressLineNumbers w:val="0"/>
                    <w:spacing w:before="0" w:beforeAutospacing="0" w:after="0" w:afterAutospacing="0"/>
                    <w:ind w:left="0" w:right="0"/>
                    <w:jc w:val="center"/>
                    <w:rPr>
                      <w:rFonts w:hint="default" w:ascii="Times New Roman" w:hAnsi="Times New Roman" w:eastAsia="宋体" w:cs="Times New Roman"/>
                      <w:b/>
                      <w:color w:val="auto"/>
                      <w:szCs w:val="21"/>
                    </w:rPr>
                  </w:pPr>
                  <w:r>
                    <w:rPr>
                      <w:rFonts w:hint="default" w:ascii="Times New Roman" w:hAnsi="Times New Roman" w:eastAsia="宋体" w:cs="Times New Roman"/>
                      <w:color w:val="auto"/>
                      <w:szCs w:val="21"/>
                    </w:rPr>
                    <w:t>5</w:t>
                  </w:r>
                </w:p>
              </w:tc>
              <w:tc>
                <w:tcPr>
                  <w:tcW w:w="1156" w:type="pct"/>
                  <w:vAlign w:val="center"/>
                </w:tcPr>
                <w:p w14:paraId="4BF04A35">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rPr>
                    <w:t>颜料</w:t>
                  </w:r>
                </w:p>
              </w:tc>
              <w:tc>
                <w:tcPr>
                  <w:tcW w:w="1018" w:type="pct"/>
                  <w:vAlign w:val="center"/>
                </w:tcPr>
                <w:p w14:paraId="5C5BA67F">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rPr>
                    <w:t>20kg、250kg/铁桶</w:t>
                  </w:r>
                </w:p>
              </w:tc>
              <w:tc>
                <w:tcPr>
                  <w:tcW w:w="945" w:type="pct"/>
                  <w:vAlign w:val="center"/>
                </w:tcPr>
                <w:p w14:paraId="430F4EC5">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rPr>
                    <w:t>/</w:t>
                  </w:r>
                </w:p>
              </w:tc>
              <w:tc>
                <w:tcPr>
                  <w:tcW w:w="780" w:type="pct"/>
                  <w:vAlign w:val="center"/>
                </w:tcPr>
                <w:p w14:paraId="3D4DC657">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rPr>
                    <w:t>8t</w:t>
                  </w:r>
                </w:p>
              </w:tc>
              <w:tc>
                <w:tcPr>
                  <w:tcW w:w="778" w:type="pct"/>
                  <w:vAlign w:val="center"/>
                </w:tcPr>
                <w:p w14:paraId="6BBECB39">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rPr>
                    <w:t>8t</w:t>
                  </w:r>
                </w:p>
              </w:tc>
            </w:tr>
            <w:tr w14:paraId="68A93C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320" w:type="pct"/>
                  <w:vAlign w:val="center"/>
                </w:tcPr>
                <w:p w14:paraId="0C81D489">
                  <w:pPr>
                    <w:keepNext w:val="0"/>
                    <w:keepLines w:val="0"/>
                    <w:suppressLineNumbers w:val="0"/>
                    <w:spacing w:before="0" w:beforeAutospacing="0" w:after="0" w:afterAutospacing="0"/>
                    <w:ind w:left="0" w:right="0"/>
                    <w:jc w:val="center"/>
                    <w:rPr>
                      <w:rFonts w:hint="default" w:ascii="Times New Roman" w:hAnsi="Times New Roman" w:eastAsia="宋体" w:cs="Times New Roman"/>
                      <w:b/>
                      <w:color w:val="auto"/>
                      <w:szCs w:val="21"/>
                    </w:rPr>
                  </w:pPr>
                  <w:r>
                    <w:rPr>
                      <w:rFonts w:hint="default" w:ascii="Times New Roman" w:hAnsi="Times New Roman" w:eastAsia="宋体" w:cs="Times New Roman"/>
                      <w:color w:val="auto"/>
                      <w:szCs w:val="21"/>
                    </w:rPr>
                    <w:t>6</w:t>
                  </w:r>
                </w:p>
              </w:tc>
              <w:tc>
                <w:tcPr>
                  <w:tcW w:w="1156" w:type="pct"/>
                  <w:vAlign w:val="center"/>
                </w:tcPr>
                <w:p w14:paraId="6BC341DE">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rPr>
                    <w:t>有机硅树脂</w:t>
                  </w:r>
                </w:p>
              </w:tc>
              <w:tc>
                <w:tcPr>
                  <w:tcW w:w="1018" w:type="pct"/>
                  <w:vAlign w:val="center"/>
                </w:tcPr>
                <w:p w14:paraId="3CC2C108">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rPr>
                    <w:t>190kg/铁桶</w:t>
                  </w:r>
                </w:p>
              </w:tc>
              <w:tc>
                <w:tcPr>
                  <w:tcW w:w="945" w:type="pct"/>
                  <w:vAlign w:val="center"/>
                </w:tcPr>
                <w:p w14:paraId="16743297">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rPr>
                    <w:t>2040t</w:t>
                  </w:r>
                </w:p>
              </w:tc>
              <w:tc>
                <w:tcPr>
                  <w:tcW w:w="780" w:type="pct"/>
                  <w:vAlign w:val="center"/>
                </w:tcPr>
                <w:p w14:paraId="02C586CD">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rPr>
                    <w:t>1597t</w:t>
                  </w:r>
                </w:p>
              </w:tc>
              <w:tc>
                <w:tcPr>
                  <w:tcW w:w="778" w:type="pct"/>
                  <w:vAlign w:val="center"/>
                </w:tcPr>
                <w:p w14:paraId="6ED125EF">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rPr>
                    <w:t>1597t</w:t>
                  </w:r>
                </w:p>
              </w:tc>
            </w:tr>
            <w:tr w14:paraId="4EF2ED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320" w:type="pct"/>
                  <w:vAlign w:val="center"/>
                </w:tcPr>
                <w:p w14:paraId="3F799940">
                  <w:pPr>
                    <w:keepNext w:val="0"/>
                    <w:keepLines w:val="0"/>
                    <w:suppressLineNumbers w:val="0"/>
                    <w:spacing w:before="0" w:beforeAutospacing="0" w:after="0" w:afterAutospacing="0"/>
                    <w:ind w:left="0" w:right="0"/>
                    <w:jc w:val="center"/>
                    <w:rPr>
                      <w:rFonts w:hint="default" w:ascii="Times New Roman" w:hAnsi="Times New Roman" w:eastAsia="宋体" w:cs="Times New Roman"/>
                      <w:b/>
                      <w:color w:val="auto"/>
                      <w:szCs w:val="21"/>
                    </w:rPr>
                  </w:pPr>
                  <w:r>
                    <w:rPr>
                      <w:rFonts w:hint="default" w:ascii="Times New Roman" w:hAnsi="Times New Roman" w:eastAsia="宋体" w:cs="Times New Roman"/>
                      <w:color w:val="auto"/>
                      <w:szCs w:val="21"/>
                    </w:rPr>
                    <w:t>7</w:t>
                  </w:r>
                </w:p>
              </w:tc>
              <w:tc>
                <w:tcPr>
                  <w:tcW w:w="1156" w:type="pct"/>
                  <w:vAlign w:val="center"/>
                </w:tcPr>
                <w:p w14:paraId="36F90DF5">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rPr>
                    <w:t>羟基硅油</w:t>
                  </w:r>
                </w:p>
              </w:tc>
              <w:tc>
                <w:tcPr>
                  <w:tcW w:w="1018" w:type="pct"/>
                  <w:vAlign w:val="center"/>
                </w:tcPr>
                <w:p w14:paraId="0B994474">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rPr>
                    <w:t>190kg/铁桶</w:t>
                  </w:r>
                </w:p>
              </w:tc>
              <w:tc>
                <w:tcPr>
                  <w:tcW w:w="945" w:type="pct"/>
                  <w:vAlign w:val="center"/>
                </w:tcPr>
                <w:p w14:paraId="11E3BE75">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rPr>
                    <w:t>680t</w:t>
                  </w:r>
                </w:p>
              </w:tc>
              <w:tc>
                <w:tcPr>
                  <w:tcW w:w="780" w:type="pct"/>
                  <w:vAlign w:val="center"/>
                </w:tcPr>
                <w:p w14:paraId="690E3756">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rPr>
                    <w:t>540t</w:t>
                  </w:r>
                </w:p>
              </w:tc>
              <w:tc>
                <w:tcPr>
                  <w:tcW w:w="778" w:type="pct"/>
                  <w:vAlign w:val="center"/>
                </w:tcPr>
                <w:p w14:paraId="616DDE38">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rPr>
                    <w:t>540t</w:t>
                  </w:r>
                </w:p>
              </w:tc>
            </w:tr>
            <w:tr w14:paraId="45D145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320" w:type="pct"/>
                  <w:vAlign w:val="center"/>
                </w:tcPr>
                <w:p w14:paraId="588D20B5">
                  <w:pPr>
                    <w:keepNext w:val="0"/>
                    <w:keepLines w:val="0"/>
                    <w:suppressLineNumbers w:val="0"/>
                    <w:spacing w:before="0" w:beforeAutospacing="0" w:after="0" w:afterAutospacing="0"/>
                    <w:ind w:left="0" w:right="0"/>
                    <w:jc w:val="center"/>
                    <w:rPr>
                      <w:rFonts w:hint="default" w:ascii="Times New Roman" w:hAnsi="Times New Roman" w:eastAsia="宋体" w:cs="Times New Roman"/>
                      <w:b/>
                      <w:color w:val="auto"/>
                      <w:szCs w:val="21"/>
                    </w:rPr>
                  </w:pPr>
                  <w:r>
                    <w:rPr>
                      <w:rFonts w:hint="default" w:ascii="Times New Roman" w:hAnsi="Times New Roman" w:eastAsia="宋体" w:cs="Times New Roman"/>
                      <w:color w:val="auto"/>
                      <w:szCs w:val="21"/>
                    </w:rPr>
                    <w:t>8</w:t>
                  </w:r>
                </w:p>
              </w:tc>
              <w:tc>
                <w:tcPr>
                  <w:tcW w:w="1156" w:type="pct"/>
                  <w:vAlign w:val="center"/>
                </w:tcPr>
                <w:p w14:paraId="392CB338">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rPr>
                    <w:t>甲基高含氢硅油</w:t>
                  </w:r>
                </w:p>
              </w:tc>
              <w:tc>
                <w:tcPr>
                  <w:tcW w:w="1018" w:type="pct"/>
                  <w:vAlign w:val="center"/>
                </w:tcPr>
                <w:p w14:paraId="02E441AA">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rPr>
                    <w:t>25kg/塑料桶</w:t>
                  </w:r>
                </w:p>
              </w:tc>
              <w:tc>
                <w:tcPr>
                  <w:tcW w:w="945" w:type="pct"/>
                  <w:vAlign w:val="center"/>
                </w:tcPr>
                <w:p w14:paraId="09B7D3D4">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rPr>
                    <w:t>680t</w:t>
                  </w:r>
                </w:p>
              </w:tc>
              <w:tc>
                <w:tcPr>
                  <w:tcW w:w="780" w:type="pct"/>
                  <w:vAlign w:val="center"/>
                </w:tcPr>
                <w:p w14:paraId="6C4620EA">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rPr>
                    <w:t>540t</w:t>
                  </w:r>
                </w:p>
              </w:tc>
              <w:tc>
                <w:tcPr>
                  <w:tcW w:w="778" w:type="pct"/>
                  <w:vAlign w:val="center"/>
                </w:tcPr>
                <w:p w14:paraId="5969AAFB">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rPr>
                    <w:t>540t</w:t>
                  </w:r>
                </w:p>
              </w:tc>
            </w:tr>
            <w:tr w14:paraId="1D9E22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320" w:type="pct"/>
                  <w:vAlign w:val="center"/>
                </w:tcPr>
                <w:p w14:paraId="085717E8">
                  <w:pPr>
                    <w:keepNext w:val="0"/>
                    <w:keepLines w:val="0"/>
                    <w:suppressLineNumbers w:val="0"/>
                    <w:spacing w:before="0" w:beforeAutospacing="0" w:after="0" w:afterAutospacing="0"/>
                    <w:ind w:left="0" w:right="0"/>
                    <w:jc w:val="center"/>
                    <w:rPr>
                      <w:rFonts w:hint="default" w:ascii="Times New Roman" w:hAnsi="Times New Roman" w:eastAsia="宋体" w:cs="Times New Roman"/>
                      <w:b/>
                      <w:color w:val="auto"/>
                      <w:szCs w:val="21"/>
                    </w:rPr>
                  </w:pPr>
                  <w:r>
                    <w:rPr>
                      <w:rFonts w:hint="default" w:ascii="Times New Roman" w:hAnsi="Times New Roman" w:eastAsia="宋体" w:cs="Times New Roman"/>
                      <w:color w:val="auto"/>
                      <w:szCs w:val="21"/>
                    </w:rPr>
                    <w:t>9</w:t>
                  </w:r>
                </w:p>
              </w:tc>
              <w:tc>
                <w:tcPr>
                  <w:tcW w:w="1156" w:type="pct"/>
                  <w:vAlign w:val="center"/>
                </w:tcPr>
                <w:p w14:paraId="103CC2E0">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rPr>
                    <w:t>交联剂</w:t>
                  </w:r>
                </w:p>
              </w:tc>
              <w:tc>
                <w:tcPr>
                  <w:tcW w:w="1018" w:type="pct"/>
                  <w:vAlign w:val="center"/>
                </w:tcPr>
                <w:p w14:paraId="060CC992">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rPr>
                    <w:t>4kg/铁桶</w:t>
                  </w:r>
                </w:p>
              </w:tc>
              <w:tc>
                <w:tcPr>
                  <w:tcW w:w="945" w:type="pct"/>
                  <w:vAlign w:val="center"/>
                </w:tcPr>
                <w:p w14:paraId="339D9060">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rPr>
                    <w:t>5.1t</w:t>
                  </w:r>
                </w:p>
              </w:tc>
              <w:tc>
                <w:tcPr>
                  <w:tcW w:w="780" w:type="pct"/>
                  <w:vAlign w:val="center"/>
                </w:tcPr>
                <w:p w14:paraId="3EB87E67">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rPr>
                    <w:t>4t</w:t>
                  </w:r>
                </w:p>
              </w:tc>
              <w:tc>
                <w:tcPr>
                  <w:tcW w:w="778" w:type="pct"/>
                  <w:vAlign w:val="center"/>
                </w:tcPr>
                <w:p w14:paraId="46D612DA">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rPr>
                    <w:t>4t</w:t>
                  </w:r>
                </w:p>
              </w:tc>
            </w:tr>
            <w:tr w14:paraId="74E723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320" w:type="pct"/>
                  <w:vAlign w:val="center"/>
                </w:tcPr>
                <w:p w14:paraId="569C1C72">
                  <w:pPr>
                    <w:keepNext w:val="0"/>
                    <w:keepLines w:val="0"/>
                    <w:suppressLineNumbers w:val="0"/>
                    <w:spacing w:before="0" w:beforeAutospacing="0" w:after="0" w:afterAutospacing="0"/>
                    <w:ind w:left="0" w:right="0"/>
                    <w:jc w:val="center"/>
                    <w:rPr>
                      <w:rFonts w:hint="default" w:ascii="Times New Roman" w:hAnsi="Times New Roman" w:eastAsia="宋体" w:cs="Times New Roman"/>
                      <w:b/>
                      <w:color w:val="auto"/>
                      <w:szCs w:val="21"/>
                    </w:rPr>
                  </w:pPr>
                  <w:r>
                    <w:rPr>
                      <w:rFonts w:hint="default" w:ascii="Times New Roman" w:hAnsi="Times New Roman" w:eastAsia="宋体" w:cs="Times New Roman"/>
                      <w:color w:val="auto"/>
                      <w:szCs w:val="21"/>
                    </w:rPr>
                    <w:t>10</w:t>
                  </w:r>
                </w:p>
              </w:tc>
              <w:tc>
                <w:tcPr>
                  <w:tcW w:w="1156" w:type="pct"/>
                  <w:vAlign w:val="center"/>
                </w:tcPr>
                <w:p w14:paraId="3DFC219F">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rPr>
                    <w:t>PET薄膜</w:t>
                  </w:r>
                </w:p>
              </w:tc>
              <w:tc>
                <w:tcPr>
                  <w:tcW w:w="1018" w:type="pct"/>
                  <w:vAlign w:val="center"/>
                </w:tcPr>
                <w:p w14:paraId="0CA2B34C">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rPr>
                    <w:t>卷材</w:t>
                  </w:r>
                </w:p>
              </w:tc>
              <w:tc>
                <w:tcPr>
                  <w:tcW w:w="945" w:type="pct"/>
                  <w:vAlign w:val="center"/>
                </w:tcPr>
                <w:p w14:paraId="58C5189D">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rPr>
                    <w:t>1000万m²</w:t>
                  </w:r>
                </w:p>
              </w:tc>
              <w:tc>
                <w:tcPr>
                  <w:tcW w:w="780" w:type="pct"/>
                  <w:vAlign w:val="center"/>
                </w:tcPr>
                <w:p w14:paraId="1C4E2D1B">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rPr>
                    <w:t>783万m²</w:t>
                  </w:r>
                </w:p>
              </w:tc>
              <w:tc>
                <w:tcPr>
                  <w:tcW w:w="778" w:type="pct"/>
                  <w:vAlign w:val="center"/>
                </w:tcPr>
                <w:p w14:paraId="7E253820">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rPr>
                    <w:t>783万m²</w:t>
                  </w:r>
                </w:p>
              </w:tc>
            </w:tr>
            <w:tr w14:paraId="7C388F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320" w:type="pct"/>
                  <w:vAlign w:val="center"/>
                </w:tcPr>
                <w:p w14:paraId="623F4ECC">
                  <w:pPr>
                    <w:keepNext w:val="0"/>
                    <w:keepLines w:val="0"/>
                    <w:suppressLineNumbers w:val="0"/>
                    <w:spacing w:before="0" w:beforeAutospacing="0" w:after="0" w:afterAutospacing="0"/>
                    <w:ind w:left="0" w:right="0"/>
                    <w:jc w:val="center"/>
                    <w:rPr>
                      <w:rFonts w:hint="default" w:ascii="Times New Roman" w:hAnsi="Times New Roman" w:eastAsia="宋体" w:cs="Times New Roman"/>
                      <w:bCs/>
                      <w:color w:val="auto"/>
                      <w:szCs w:val="21"/>
                    </w:rPr>
                  </w:pPr>
                  <w:r>
                    <w:rPr>
                      <w:rFonts w:hint="default" w:ascii="Times New Roman" w:hAnsi="Times New Roman" w:eastAsia="宋体" w:cs="Times New Roman"/>
                      <w:bCs/>
                      <w:color w:val="auto"/>
                      <w:szCs w:val="21"/>
                    </w:rPr>
                    <w:t>11</w:t>
                  </w:r>
                </w:p>
              </w:tc>
              <w:tc>
                <w:tcPr>
                  <w:tcW w:w="1156" w:type="pct"/>
                  <w:vAlign w:val="center"/>
                </w:tcPr>
                <w:p w14:paraId="31BEC326">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rPr>
                    <w:t>玻纤布</w:t>
                  </w:r>
                </w:p>
              </w:tc>
              <w:tc>
                <w:tcPr>
                  <w:tcW w:w="1018" w:type="pct"/>
                  <w:vAlign w:val="center"/>
                </w:tcPr>
                <w:p w14:paraId="7E5156E0">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rPr>
                    <w:t>卷材</w:t>
                  </w:r>
                </w:p>
              </w:tc>
              <w:tc>
                <w:tcPr>
                  <w:tcW w:w="945" w:type="pct"/>
                  <w:vAlign w:val="center"/>
                </w:tcPr>
                <w:p w14:paraId="117ED9EC">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rPr>
                    <w:t>170万m²</w:t>
                  </w:r>
                </w:p>
              </w:tc>
              <w:tc>
                <w:tcPr>
                  <w:tcW w:w="780" w:type="pct"/>
                  <w:vAlign w:val="center"/>
                </w:tcPr>
                <w:p w14:paraId="4A7AE0AA">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rPr>
                    <w:t>133万m²</w:t>
                  </w:r>
                </w:p>
              </w:tc>
              <w:tc>
                <w:tcPr>
                  <w:tcW w:w="778" w:type="pct"/>
                  <w:vAlign w:val="center"/>
                </w:tcPr>
                <w:p w14:paraId="6709C0DB">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rPr>
                    <w:t>133万m²</w:t>
                  </w:r>
                </w:p>
              </w:tc>
            </w:tr>
            <w:tr w14:paraId="4AE637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320" w:type="pct"/>
                  <w:vAlign w:val="center"/>
                </w:tcPr>
                <w:p w14:paraId="20E0BBA7">
                  <w:pPr>
                    <w:keepNext w:val="0"/>
                    <w:keepLines w:val="0"/>
                    <w:suppressLineNumbers w:val="0"/>
                    <w:spacing w:before="0" w:beforeAutospacing="0" w:after="0" w:afterAutospacing="0"/>
                    <w:ind w:left="0" w:right="0"/>
                    <w:jc w:val="center"/>
                    <w:rPr>
                      <w:rFonts w:hint="default" w:ascii="Times New Roman" w:hAnsi="Times New Roman" w:eastAsia="宋体" w:cs="Times New Roman"/>
                      <w:bCs/>
                      <w:color w:val="auto"/>
                      <w:szCs w:val="21"/>
                    </w:rPr>
                  </w:pPr>
                  <w:r>
                    <w:rPr>
                      <w:rFonts w:hint="default" w:ascii="Times New Roman" w:hAnsi="Times New Roman" w:eastAsia="宋体" w:cs="Times New Roman"/>
                      <w:bCs/>
                      <w:color w:val="auto"/>
                      <w:szCs w:val="21"/>
                    </w:rPr>
                    <w:t>12</w:t>
                  </w:r>
                </w:p>
              </w:tc>
              <w:tc>
                <w:tcPr>
                  <w:tcW w:w="1156" w:type="pct"/>
                  <w:vAlign w:val="center"/>
                </w:tcPr>
                <w:p w14:paraId="688BB9A0">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rPr>
                    <w:t>背胶处理剂</w:t>
                  </w:r>
                </w:p>
              </w:tc>
              <w:tc>
                <w:tcPr>
                  <w:tcW w:w="1018" w:type="pct"/>
                  <w:vAlign w:val="center"/>
                </w:tcPr>
                <w:p w14:paraId="535D25A9">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rPr>
                    <w:t>5kg/铁桶</w:t>
                  </w:r>
                </w:p>
              </w:tc>
              <w:tc>
                <w:tcPr>
                  <w:tcW w:w="945" w:type="pct"/>
                  <w:vAlign w:val="center"/>
                </w:tcPr>
                <w:p w14:paraId="377AABDF">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rPr>
                    <w:t>9.8t</w:t>
                  </w:r>
                </w:p>
              </w:tc>
              <w:tc>
                <w:tcPr>
                  <w:tcW w:w="780" w:type="pct"/>
                  <w:vAlign w:val="center"/>
                </w:tcPr>
                <w:p w14:paraId="78205DEE">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rPr>
                    <w:t>8t</w:t>
                  </w:r>
                </w:p>
              </w:tc>
              <w:tc>
                <w:tcPr>
                  <w:tcW w:w="778" w:type="pct"/>
                  <w:vAlign w:val="center"/>
                </w:tcPr>
                <w:p w14:paraId="0CC05E16">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rPr>
                    <w:t>8t</w:t>
                  </w:r>
                </w:p>
              </w:tc>
            </w:tr>
            <w:tr w14:paraId="0D3F41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320" w:type="pct"/>
                  <w:vAlign w:val="center"/>
                </w:tcPr>
                <w:p w14:paraId="7CF59EB5">
                  <w:pPr>
                    <w:keepNext w:val="0"/>
                    <w:keepLines w:val="0"/>
                    <w:suppressLineNumbers w:val="0"/>
                    <w:spacing w:before="0" w:beforeAutospacing="0" w:after="0" w:afterAutospacing="0"/>
                    <w:ind w:left="0" w:right="0"/>
                    <w:jc w:val="center"/>
                    <w:rPr>
                      <w:rFonts w:hint="default" w:ascii="Times New Roman" w:hAnsi="Times New Roman" w:eastAsia="宋体" w:cs="Times New Roman"/>
                      <w:bCs/>
                      <w:color w:val="auto"/>
                      <w:szCs w:val="21"/>
                    </w:rPr>
                  </w:pPr>
                  <w:r>
                    <w:rPr>
                      <w:rFonts w:hint="default" w:ascii="Times New Roman" w:hAnsi="Times New Roman" w:eastAsia="宋体" w:cs="Times New Roman"/>
                      <w:bCs/>
                      <w:color w:val="auto"/>
                      <w:szCs w:val="21"/>
                    </w:rPr>
                    <w:t>13</w:t>
                  </w:r>
                </w:p>
              </w:tc>
              <w:tc>
                <w:tcPr>
                  <w:tcW w:w="1156" w:type="pct"/>
                  <w:vAlign w:val="center"/>
                </w:tcPr>
                <w:p w14:paraId="75D67D69">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rPr>
                    <w:t>双面胶</w:t>
                  </w:r>
                </w:p>
              </w:tc>
              <w:tc>
                <w:tcPr>
                  <w:tcW w:w="1018" w:type="pct"/>
                  <w:vAlign w:val="center"/>
                </w:tcPr>
                <w:p w14:paraId="4096287E">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rPr>
                    <w:t>支装</w:t>
                  </w:r>
                </w:p>
              </w:tc>
              <w:tc>
                <w:tcPr>
                  <w:tcW w:w="945" w:type="pct"/>
                  <w:vAlign w:val="center"/>
                </w:tcPr>
                <w:p w14:paraId="5B9C53A5">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rPr>
                    <w:t>136万m²</w:t>
                  </w:r>
                </w:p>
              </w:tc>
              <w:tc>
                <w:tcPr>
                  <w:tcW w:w="780" w:type="pct"/>
                  <w:vAlign w:val="center"/>
                </w:tcPr>
                <w:p w14:paraId="1741D409">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rPr>
                    <w:t>106万m²</w:t>
                  </w:r>
                </w:p>
              </w:tc>
              <w:tc>
                <w:tcPr>
                  <w:tcW w:w="778" w:type="pct"/>
                  <w:vAlign w:val="center"/>
                </w:tcPr>
                <w:p w14:paraId="537010BF">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rPr>
                    <w:t>106万m²</w:t>
                  </w:r>
                </w:p>
              </w:tc>
            </w:tr>
            <w:tr w14:paraId="690D74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320" w:type="pct"/>
                  <w:vAlign w:val="center"/>
                </w:tcPr>
                <w:p w14:paraId="4EAFB5D7">
                  <w:pPr>
                    <w:keepNext w:val="0"/>
                    <w:keepLines w:val="0"/>
                    <w:suppressLineNumbers w:val="0"/>
                    <w:spacing w:before="0" w:beforeAutospacing="0" w:after="0" w:afterAutospacing="0"/>
                    <w:ind w:left="0" w:right="0"/>
                    <w:jc w:val="center"/>
                    <w:rPr>
                      <w:rFonts w:hint="default" w:ascii="Times New Roman" w:hAnsi="Times New Roman" w:eastAsia="宋体" w:cs="Times New Roman"/>
                      <w:bCs/>
                      <w:color w:val="auto"/>
                      <w:szCs w:val="21"/>
                    </w:rPr>
                  </w:pPr>
                  <w:r>
                    <w:rPr>
                      <w:rFonts w:hint="default" w:ascii="Times New Roman" w:hAnsi="Times New Roman" w:eastAsia="宋体" w:cs="Times New Roman"/>
                      <w:bCs/>
                      <w:color w:val="auto"/>
                      <w:szCs w:val="21"/>
                    </w:rPr>
                    <w:t>14</w:t>
                  </w:r>
                </w:p>
              </w:tc>
              <w:tc>
                <w:tcPr>
                  <w:tcW w:w="1156" w:type="pct"/>
                  <w:vAlign w:val="center"/>
                </w:tcPr>
                <w:p w14:paraId="45DFC755">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rPr>
                    <w:t>PE膜</w:t>
                  </w:r>
                </w:p>
              </w:tc>
              <w:tc>
                <w:tcPr>
                  <w:tcW w:w="1018" w:type="pct"/>
                  <w:vAlign w:val="center"/>
                </w:tcPr>
                <w:p w14:paraId="34EED3A2">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rPr>
                    <w:t>卷材</w:t>
                  </w:r>
                </w:p>
              </w:tc>
              <w:tc>
                <w:tcPr>
                  <w:tcW w:w="945" w:type="pct"/>
                  <w:vAlign w:val="center"/>
                </w:tcPr>
                <w:p w14:paraId="4939B9D4">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rPr>
                    <w:t>0.4t</w:t>
                  </w:r>
                </w:p>
              </w:tc>
              <w:tc>
                <w:tcPr>
                  <w:tcW w:w="780" w:type="pct"/>
                  <w:vAlign w:val="center"/>
                </w:tcPr>
                <w:p w14:paraId="469ADAE6">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rPr>
                    <w:t>0.3t</w:t>
                  </w:r>
                </w:p>
              </w:tc>
              <w:tc>
                <w:tcPr>
                  <w:tcW w:w="778" w:type="pct"/>
                  <w:vAlign w:val="center"/>
                </w:tcPr>
                <w:p w14:paraId="3DCC7E13">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rPr>
                    <w:t>0.3t</w:t>
                  </w:r>
                </w:p>
              </w:tc>
            </w:tr>
            <w:tr w14:paraId="01DFE3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320" w:type="pct"/>
                  <w:vAlign w:val="center"/>
                </w:tcPr>
                <w:p w14:paraId="443CE9F0">
                  <w:pPr>
                    <w:keepNext w:val="0"/>
                    <w:keepLines w:val="0"/>
                    <w:suppressLineNumbers w:val="0"/>
                    <w:spacing w:before="0" w:beforeAutospacing="0" w:after="0" w:afterAutospacing="0"/>
                    <w:ind w:left="0" w:right="0"/>
                    <w:jc w:val="center"/>
                    <w:rPr>
                      <w:rFonts w:hint="default" w:ascii="Times New Roman" w:hAnsi="Times New Roman" w:eastAsia="宋体" w:cs="Times New Roman"/>
                      <w:bCs/>
                      <w:color w:val="auto"/>
                      <w:szCs w:val="21"/>
                    </w:rPr>
                  </w:pPr>
                  <w:r>
                    <w:rPr>
                      <w:rFonts w:hint="default" w:ascii="Times New Roman" w:hAnsi="Times New Roman" w:eastAsia="宋体" w:cs="Times New Roman"/>
                      <w:bCs/>
                      <w:color w:val="auto"/>
                      <w:szCs w:val="21"/>
                    </w:rPr>
                    <w:t>15</w:t>
                  </w:r>
                </w:p>
              </w:tc>
              <w:tc>
                <w:tcPr>
                  <w:tcW w:w="1156" w:type="pct"/>
                  <w:vAlign w:val="center"/>
                </w:tcPr>
                <w:p w14:paraId="6FE7762C">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rPr>
                    <w:t>液压油</w:t>
                  </w:r>
                </w:p>
              </w:tc>
              <w:tc>
                <w:tcPr>
                  <w:tcW w:w="1018" w:type="pct"/>
                  <w:vAlign w:val="center"/>
                </w:tcPr>
                <w:p w14:paraId="1DAD7BF5">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rPr>
                    <w:t>170kg/铁桶</w:t>
                  </w:r>
                </w:p>
              </w:tc>
              <w:tc>
                <w:tcPr>
                  <w:tcW w:w="945" w:type="pct"/>
                  <w:vAlign w:val="center"/>
                </w:tcPr>
                <w:p w14:paraId="23793727">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rPr>
                    <w:t>5.2t/5年</w:t>
                  </w:r>
                </w:p>
              </w:tc>
              <w:tc>
                <w:tcPr>
                  <w:tcW w:w="780" w:type="pct"/>
                  <w:vAlign w:val="center"/>
                </w:tcPr>
                <w:p w14:paraId="7C45A224">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rPr>
                    <w:t>5.2t/5年</w:t>
                  </w:r>
                </w:p>
              </w:tc>
              <w:tc>
                <w:tcPr>
                  <w:tcW w:w="778" w:type="pct"/>
                  <w:vAlign w:val="center"/>
                </w:tcPr>
                <w:p w14:paraId="166A2A27">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rPr>
                    <w:t>5.2t/5年</w:t>
                  </w:r>
                </w:p>
              </w:tc>
            </w:tr>
            <w:tr w14:paraId="3B7A20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320" w:type="pct"/>
                  <w:vAlign w:val="center"/>
                </w:tcPr>
                <w:p w14:paraId="05229F1D">
                  <w:pPr>
                    <w:keepNext w:val="0"/>
                    <w:keepLines w:val="0"/>
                    <w:suppressLineNumbers w:val="0"/>
                    <w:spacing w:before="0" w:beforeAutospacing="0" w:after="0" w:afterAutospacing="0"/>
                    <w:ind w:left="0" w:right="0"/>
                    <w:jc w:val="center"/>
                    <w:rPr>
                      <w:rFonts w:hint="default" w:ascii="Times New Roman" w:hAnsi="Times New Roman" w:eastAsia="宋体" w:cs="Times New Roman"/>
                      <w:bCs/>
                      <w:color w:val="auto"/>
                      <w:szCs w:val="21"/>
                    </w:rPr>
                  </w:pPr>
                  <w:r>
                    <w:rPr>
                      <w:rFonts w:hint="default" w:ascii="Times New Roman" w:hAnsi="Times New Roman" w:eastAsia="宋体" w:cs="Times New Roman"/>
                      <w:bCs/>
                      <w:color w:val="auto"/>
                      <w:szCs w:val="21"/>
                    </w:rPr>
                    <w:t>16</w:t>
                  </w:r>
                </w:p>
              </w:tc>
              <w:tc>
                <w:tcPr>
                  <w:tcW w:w="1156" w:type="pct"/>
                  <w:vAlign w:val="center"/>
                </w:tcPr>
                <w:p w14:paraId="1C3EC8B9">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rPr>
                    <w:t>导热油</w:t>
                  </w:r>
                </w:p>
              </w:tc>
              <w:tc>
                <w:tcPr>
                  <w:tcW w:w="1018" w:type="pct"/>
                  <w:vAlign w:val="center"/>
                </w:tcPr>
                <w:p w14:paraId="2FA7199F">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rPr>
                    <w:t>170kg/铁桶</w:t>
                  </w:r>
                </w:p>
              </w:tc>
              <w:tc>
                <w:tcPr>
                  <w:tcW w:w="945" w:type="pct"/>
                  <w:vAlign w:val="center"/>
                </w:tcPr>
                <w:p w14:paraId="388EAABD">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rPr>
                    <w:t>2.6t/5年</w:t>
                  </w:r>
                </w:p>
              </w:tc>
              <w:tc>
                <w:tcPr>
                  <w:tcW w:w="780" w:type="pct"/>
                  <w:vAlign w:val="center"/>
                </w:tcPr>
                <w:p w14:paraId="5438D8CE">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rPr>
                    <w:t>2.6t/5年</w:t>
                  </w:r>
                </w:p>
              </w:tc>
              <w:tc>
                <w:tcPr>
                  <w:tcW w:w="778" w:type="pct"/>
                  <w:vAlign w:val="center"/>
                </w:tcPr>
                <w:p w14:paraId="23E24B94">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rPr>
                    <w:t>2.6t/5年</w:t>
                  </w:r>
                </w:p>
              </w:tc>
            </w:tr>
            <w:tr w14:paraId="61C89A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320" w:type="pct"/>
                  <w:vAlign w:val="center"/>
                </w:tcPr>
                <w:p w14:paraId="572DFC74">
                  <w:pPr>
                    <w:keepNext w:val="0"/>
                    <w:keepLines w:val="0"/>
                    <w:suppressLineNumbers w:val="0"/>
                    <w:spacing w:before="0" w:beforeAutospacing="0" w:after="0" w:afterAutospacing="0"/>
                    <w:ind w:left="0" w:right="0"/>
                    <w:jc w:val="center"/>
                    <w:rPr>
                      <w:rFonts w:hint="default" w:ascii="Times New Roman" w:hAnsi="Times New Roman" w:eastAsia="宋体" w:cs="Times New Roman"/>
                      <w:bCs/>
                      <w:color w:val="auto"/>
                      <w:szCs w:val="21"/>
                    </w:rPr>
                  </w:pPr>
                  <w:r>
                    <w:rPr>
                      <w:rFonts w:hint="default" w:ascii="Times New Roman" w:hAnsi="Times New Roman" w:eastAsia="宋体" w:cs="Times New Roman"/>
                      <w:bCs/>
                      <w:color w:val="auto"/>
                      <w:szCs w:val="21"/>
                    </w:rPr>
                    <w:t>17</w:t>
                  </w:r>
                </w:p>
              </w:tc>
              <w:tc>
                <w:tcPr>
                  <w:tcW w:w="1156" w:type="pct"/>
                  <w:vAlign w:val="center"/>
                </w:tcPr>
                <w:p w14:paraId="1A3ACFC6">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rPr>
                    <w:t>润滑油</w:t>
                  </w:r>
                </w:p>
              </w:tc>
              <w:tc>
                <w:tcPr>
                  <w:tcW w:w="1018" w:type="pct"/>
                  <w:vAlign w:val="center"/>
                </w:tcPr>
                <w:p w14:paraId="5D41AC67">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rPr>
                    <w:t>170kg/铁桶</w:t>
                  </w:r>
                </w:p>
              </w:tc>
              <w:tc>
                <w:tcPr>
                  <w:tcW w:w="945" w:type="pct"/>
                  <w:vAlign w:val="center"/>
                </w:tcPr>
                <w:p w14:paraId="3B7FE494">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rPr>
                    <w:t>1.2t</w:t>
                  </w:r>
                </w:p>
              </w:tc>
              <w:tc>
                <w:tcPr>
                  <w:tcW w:w="780" w:type="pct"/>
                  <w:vAlign w:val="center"/>
                </w:tcPr>
                <w:p w14:paraId="3470D097">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rPr>
                    <w:t>1.2t</w:t>
                  </w:r>
                </w:p>
              </w:tc>
              <w:tc>
                <w:tcPr>
                  <w:tcW w:w="778" w:type="pct"/>
                  <w:vAlign w:val="center"/>
                </w:tcPr>
                <w:p w14:paraId="66FF0DFD">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rPr>
                    <w:t>1.2t</w:t>
                  </w:r>
                </w:p>
              </w:tc>
            </w:tr>
            <w:tr w14:paraId="5B530D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320" w:type="pct"/>
                  <w:vAlign w:val="center"/>
                </w:tcPr>
                <w:p w14:paraId="67E18FD2">
                  <w:pPr>
                    <w:keepNext w:val="0"/>
                    <w:keepLines w:val="0"/>
                    <w:suppressLineNumbers w:val="0"/>
                    <w:spacing w:before="0" w:beforeAutospacing="0" w:after="0" w:afterAutospacing="0"/>
                    <w:ind w:left="0" w:right="0"/>
                    <w:jc w:val="center"/>
                    <w:rPr>
                      <w:rFonts w:hint="default" w:ascii="Times New Roman" w:hAnsi="Times New Roman" w:eastAsia="宋体" w:cs="Times New Roman"/>
                      <w:bCs/>
                      <w:color w:val="auto"/>
                      <w:szCs w:val="21"/>
                    </w:rPr>
                  </w:pPr>
                  <w:r>
                    <w:rPr>
                      <w:rFonts w:hint="default" w:ascii="Times New Roman" w:hAnsi="Times New Roman" w:eastAsia="宋体" w:cs="Times New Roman"/>
                      <w:bCs/>
                      <w:color w:val="auto"/>
                      <w:szCs w:val="21"/>
                    </w:rPr>
                    <w:t>18</w:t>
                  </w:r>
                </w:p>
              </w:tc>
              <w:tc>
                <w:tcPr>
                  <w:tcW w:w="1156" w:type="pct"/>
                  <w:vAlign w:val="center"/>
                </w:tcPr>
                <w:p w14:paraId="535749FF">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rPr>
                    <w:t>水</w:t>
                  </w:r>
                </w:p>
              </w:tc>
              <w:tc>
                <w:tcPr>
                  <w:tcW w:w="1018" w:type="pct"/>
                  <w:vAlign w:val="center"/>
                </w:tcPr>
                <w:p w14:paraId="56BEAC41">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rPr>
                    <w:t>/</w:t>
                  </w:r>
                </w:p>
              </w:tc>
              <w:tc>
                <w:tcPr>
                  <w:tcW w:w="945" w:type="pct"/>
                  <w:vAlign w:val="center"/>
                </w:tcPr>
                <w:p w14:paraId="6BE313AD">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rPr>
                    <w:t>30348t</w:t>
                  </w:r>
                </w:p>
              </w:tc>
              <w:tc>
                <w:tcPr>
                  <w:tcW w:w="780" w:type="pct"/>
                  <w:vAlign w:val="center"/>
                </w:tcPr>
                <w:p w14:paraId="0176BA6E">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rPr>
                    <w:t>34020t</w:t>
                  </w:r>
                </w:p>
              </w:tc>
              <w:tc>
                <w:tcPr>
                  <w:tcW w:w="778" w:type="pct"/>
                  <w:vAlign w:val="center"/>
                </w:tcPr>
                <w:p w14:paraId="42DAB4B3">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rPr>
                    <w:t>34020t</w:t>
                  </w:r>
                </w:p>
              </w:tc>
            </w:tr>
            <w:tr w14:paraId="3E7B29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524" w:type="dxa"/>
                </w:tcPr>
                <w:p w14:paraId="1C33D7DD">
                  <w:pPr>
                    <w:keepNext w:val="0"/>
                    <w:keepLines w:val="0"/>
                    <w:suppressLineNumbers w:val="0"/>
                    <w:spacing w:before="0" w:beforeAutospacing="0" w:after="0" w:afterAutospacing="0"/>
                    <w:ind w:left="0" w:right="0"/>
                    <w:jc w:val="center"/>
                    <w:rPr>
                      <w:rFonts w:hint="default" w:ascii="Times New Roman" w:hAnsi="Times New Roman" w:eastAsia="宋体" w:cs="Times New Roman"/>
                      <w:bCs/>
                      <w:color w:val="auto"/>
                      <w:szCs w:val="21"/>
                    </w:rPr>
                  </w:pPr>
                  <w:r>
                    <w:rPr>
                      <w:rFonts w:hint="eastAsia" w:ascii="Times New Roman" w:hAnsi="Times New Roman" w:eastAsia="宋体" w:cs="Times New Roman"/>
                      <w:bCs/>
                      <w:color w:val="auto"/>
                      <w:szCs w:val="21"/>
                    </w:rPr>
                    <w:t>19</w:t>
                  </w:r>
                </w:p>
              </w:tc>
              <w:tc>
                <w:tcPr>
                  <w:tcW w:w="1890" w:type="dxa"/>
                  <w:vAlign w:val="center"/>
                </w:tcPr>
                <w:p w14:paraId="0BED0C89">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rPr>
                    <w:t>电</w:t>
                  </w:r>
                </w:p>
              </w:tc>
              <w:tc>
                <w:tcPr>
                  <w:tcW w:w="1665" w:type="dxa"/>
                  <w:vAlign w:val="center"/>
                </w:tcPr>
                <w:p w14:paraId="20068FAE">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rPr>
                    <w:t>/</w:t>
                  </w:r>
                </w:p>
              </w:tc>
              <w:tc>
                <w:tcPr>
                  <w:tcW w:w="1545" w:type="dxa"/>
                  <w:vAlign w:val="center"/>
                </w:tcPr>
                <w:p w14:paraId="36C2CA9F">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rPr>
                    <w:t>3560万kWh</w:t>
                  </w:r>
                </w:p>
              </w:tc>
              <w:tc>
                <w:tcPr>
                  <w:tcW w:w="1275" w:type="dxa"/>
                  <w:vAlign w:val="center"/>
                </w:tcPr>
                <w:p w14:paraId="69E40961">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rPr>
                    <w:t>2271万kWh</w:t>
                  </w:r>
                </w:p>
              </w:tc>
              <w:tc>
                <w:tcPr>
                  <w:tcW w:w="1273" w:type="dxa"/>
                  <w:vAlign w:val="center"/>
                </w:tcPr>
                <w:p w14:paraId="6C48C359">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rPr>
                    <w:t>2271万kWh</w:t>
                  </w:r>
                </w:p>
              </w:tc>
            </w:tr>
          </w:tbl>
          <w:p w14:paraId="1601D8EE">
            <w:pPr>
              <w:keepNext w:val="0"/>
              <w:keepLines w:val="0"/>
              <w:suppressLineNumbers w:val="0"/>
              <w:spacing w:before="0" w:beforeAutospacing="0" w:after="0" w:afterAutospacing="0" w:line="360" w:lineRule="auto"/>
              <w:ind w:left="0" w:right="0"/>
              <w:rPr>
                <w:rFonts w:hint="default" w:ascii="Times New Roman" w:hAnsi="Times New Roman" w:eastAsia="宋体" w:cs="Times New Roman"/>
                <w:b/>
                <w:bCs/>
                <w:color w:val="auto"/>
                <w:sz w:val="24"/>
              </w:rPr>
            </w:pPr>
            <w:r>
              <w:rPr>
                <w:rFonts w:hint="eastAsia" w:ascii="Times New Roman" w:hAnsi="Times New Roman" w:eastAsia="宋体" w:cs="Times New Roman"/>
                <w:b/>
                <w:bCs/>
                <w:color w:val="auto"/>
                <w:sz w:val="24"/>
              </w:rPr>
              <w:t>2.3.3现有项目工艺流程</w:t>
            </w:r>
          </w:p>
          <w:p w14:paraId="5FEBED8A">
            <w:pPr>
              <w:keepNext w:val="0"/>
              <w:keepLines w:val="0"/>
              <w:suppressLineNumbers w:val="0"/>
              <w:spacing w:before="0" w:beforeAutospacing="0" w:after="0" w:afterAutospacing="0" w:line="360" w:lineRule="auto"/>
              <w:ind w:left="0" w:right="0" w:firstLine="480" w:firstLineChars="200"/>
              <w:rPr>
                <w:rFonts w:hint="eastAsia" w:ascii="宋体" w:hAnsi="宋体" w:eastAsia="宋体" w:cs="宋体"/>
                <w:color w:val="auto"/>
                <w:sz w:val="24"/>
                <w:lang w:bidi="ar"/>
              </w:rPr>
            </w:pPr>
            <w:r>
              <w:rPr>
                <w:rFonts w:hint="eastAsia" w:ascii="宋体" w:hAnsi="宋体" w:eastAsia="宋体" w:cs="宋体"/>
                <w:color w:val="auto"/>
                <w:sz w:val="24"/>
                <w:lang w:bidi="ar"/>
              </w:rPr>
              <w:t>现有项目产品主要为有机硅片材，实际工艺与环评对照，增加颜料，具体工艺流程如下。</w:t>
            </w:r>
          </w:p>
          <w:p w14:paraId="75911511">
            <w:pPr>
              <w:keepNext w:val="0"/>
              <w:keepLines w:val="0"/>
              <w:suppressLineNumbers w:val="0"/>
              <w:spacing w:before="0" w:beforeAutospacing="0" w:after="0" w:afterAutospacing="0" w:line="360" w:lineRule="auto"/>
              <w:ind w:left="0" w:right="0" w:firstLine="480" w:firstLineChars="200"/>
              <w:rPr>
                <w:rFonts w:hint="eastAsia" w:ascii="宋体" w:hAnsi="宋体" w:eastAsia="宋体" w:cs="宋体"/>
                <w:color w:val="auto"/>
                <w:sz w:val="24"/>
                <w:lang w:bidi="ar"/>
              </w:rPr>
            </w:pPr>
          </w:p>
          <w:p w14:paraId="2D97ED93">
            <w:pPr>
              <w:keepNext w:val="0"/>
              <w:keepLines w:val="0"/>
              <w:suppressLineNumbers w:val="0"/>
              <w:spacing w:before="0" w:beforeAutospacing="0" w:after="0" w:afterAutospacing="0" w:line="360" w:lineRule="auto"/>
              <w:ind w:left="0" w:right="0" w:firstLine="480" w:firstLineChars="200"/>
              <w:rPr>
                <w:rFonts w:hint="eastAsia" w:ascii="宋体" w:hAnsi="宋体" w:eastAsia="宋体" w:cs="宋体"/>
                <w:color w:val="auto"/>
                <w:sz w:val="24"/>
                <w:lang w:bidi="ar"/>
              </w:rPr>
            </w:pPr>
          </w:p>
          <w:p w14:paraId="30B5B4F2">
            <w:pPr>
              <w:keepNext w:val="0"/>
              <w:keepLines w:val="0"/>
              <w:suppressLineNumbers w:val="0"/>
              <w:spacing w:before="0" w:beforeAutospacing="0" w:after="0" w:afterAutospacing="0" w:line="360" w:lineRule="auto"/>
              <w:ind w:left="0" w:right="0" w:firstLine="480" w:firstLineChars="200"/>
              <w:rPr>
                <w:rFonts w:hint="eastAsia" w:ascii="宋体" w:hAnsi="宋体" w:eastAsia="宋体" w:cs="宋体"/>
                <w:color w:val="auto"/>
                <w:sz w:val="24"/>
                <w:lang w:bidi="ar"/>
              </w:rPr>
            </w:pPr>
          </w:p>
          <w:p w14:paraId="38779873">
            <w:pPr>
              <w:keepNext w:val="0"/>
              <w:keepLines w:val="0"/>
              <w:suppressLineNumbers w:val="0"/>
              <w:spacing w:before="0" w:beforeAutospacing="0" w:after="0" w:afterAutospacing="0" w:line="360" w:lineRule="auto"/>
              <w:ind w:left="0" w:right="0"/>
              <w:rPr>
                <w:rFonts w:hint="default" w:ascii="宋体" w:hAnsi="宋体" w:eastAsia="宋体" w:cs="宋体"/>
                <w:color w:val="auto"/>
                <w:sz w:val="24"/>
                <w:lang w:bidi="ar"/>
              </w:rPr>
            </w:pPr>
          </w:p>
          <w:p w14:paraId="7904A11E">
            <w:pPr>
              <w:keepNext w:val="0"/>
              <w:keepLines w:val="0"/>
              <w:suppressLineNumbers w:val="0"/>
              <w:spacing w:before="0" w:beforeAutospacing="0" w:after="0" w:afterAutospacing="0"/>
              <w:ind w:left="0" w:right="0"/>
              <w:jc w:val="center"/>
              <w:rPr>
                <w:rFonts w:hint="default" w:ascii="Times New Roman" w:hAnsi="Times New Roman" w:eastAsia="宋体" w:cs="Times New Roman"/>
                <w:b/>
                <w:bCs/>
                <w:color w:val="auto"/>
                <w:szCs w:val="21"/>
              </w:rPr>
            </w:pPr>
            <w:r>
              <w:rPr>
                <w:rFonts w:hint="default" w:ascii="Times New Roman" w:hAnsi="Times New Roman" w:eastAsia="宋体" w:cs="Times New Roman"/>
                <w:b/>
                <w:bCs/>
                <w:color w:val="auto"/>
                <w:szCs w:val="22"/>
              </w:rPr>
              <w:object>
                <v:shape id="_x0000_i1030" o:spt="75" type="#_x0000_t75" style="height:221.1pt;width:430.8pt;" o:ole="t" filled="f" o:preferrelative="t" stroked="f" coordsize="21600,21600">
                  <v:path/>
                  <v:fill on="f" focussize="0,0"/>
                  <v:stroke on="f" joinstyle="miter"/>
                  <v:imagedata r:id="rId22" cropleft="3016f" croptop="1593f" cropright="1832f" cropbottom="630f" o:title=""/>
                  <o:lock v:ext="edit" aspectratio="f"/>
                  <w10:wrap type="none"/>
                  <w10:anchorlock/>
                </v:shape>
                <o:OLEObject Type="Embed" ProgID="Visio.Drawing.11" ShapeID="_x0000_i1030" DrawAspect="Content" ObjectID="_1468075730" r:id="rId21">
                  <o:LockedField>false</o:LockedField>
                </o:OLEObject>
              </w:object>
            </w:r>
            <w:r>
              <w:rPr>
                <w:rFonts w:hint="eastAsia" w:ascii="宋体" w:hAnsi="宋体" w:eastAsia="宋体" w:cs="宋体"/>
                <w:b/>
                <w:bCs/>
                <w:color w:val="auto"/>
                <w:szCs w:val="21"/>
                <w:lang w:bidi="ar"/>
              </w:rPr>
              <w:t>图</w:t>
            </w:r>
            <w:r>
              <w:rPr>
                <w:rFonts w:hint="default" w:ascii="Times New Roman" w:hAnsi="Times New Roman" w:eastAsia="宋体" w:cs="Times New Roman"/>
                <w:b/>
                <w:bCs/>
                <w:color w:val="auto"/>
                <w:szCs w:val="21"/>
                <w:lang w:bidi="ar"/>
              </w:rPr>
              <w:t>2-</w:t>
            </w:r>
            <w:r>
              <w:rPr>
                <w:rFonts w:hint="eastAsia" w:ascii="Times New Roman" w:hAnsi="Times New Roman" w:eastAsia="宋体" w:cs="Times New Roman"/>
                <w:b/>
                <w:bCs/>
                <w:color w:val="auto"/>
                <w:szCs w:val="21"/>
                <w:lang w:val="en-US" w:eastAsia="zh-CN" w:bidi="ar"/>
              </w:rPr>
              <w:t>6</w:t>
            </w:r>
            <w:r>
              <w:rPr>
                <w:rFonts w:hint="default" w:ascii="Times New Roman" w:hAnsi="Times New Roman" w:eastAsia="宋体" w:cs="Times New Roman"/>
                <w:b/>
                <w:bCs/>
                <w:color w:val="auto"/>
                <w:szCs w:val="21"/>
                <w:lang w:bidi="ar"/>
              </w:rPr>
              <w:t xml:space="preserve">  </w:t>
            </w:r>
            <w:r>
              <w:rPr>
                <w:rFonts w:hint="eastAsia" w:ascii="宋体" w:hAnsi="宋体" w:eastAsia="宋体" w:cs="宋体"/>
                <w:b/>
                <w:bCs/>
                <w:color w:val="auto"/>
                <w:szCs w:val="21"/>
                <w:lang w:bidi="ar"/>
              </w:rPr>
              <w:t>生产工艺流程及产污节点图（噪声伴随整个工艺流程）</w:t>
            </w:r>
          </w:p>
          <w:p w14:paraId="41A601DF">
            <w:pPr>
              <w:keepNext w:val="0"/>
              <w:keepLines w:val="0"/>
              <w:suppressLineNumbers w:val="0"/>
              <w:spacing w:before="0" w:beforeAutospacing="0" w:after="0" w:afterAutospacing="0" w:line="360" w:lineRule="auto"/>
              <w:ind w:left="0" w:right="0" w:firstLine="482" w:firstLineChars="200"/>
              <w:rPr>
                <w:rFonts w:hint="default" w:ascii="Times New Roman" w:hAnsi="Times New Roman" w:eastAsia="宋体" w:cs="Times New Roman"/>
                <w:b/>
                <w:bCs/>
                <w:color w:val="auto"/>
                <w:sz w:val="24"/>
              </w:rPr>
            </w:pPr>
            <w:r>
              <w:rPr>
                <w:rFonts w:hint="default" w:ascii="Times New Roman" w:hAnsi="Times New Roman" w:eastAsia="宋体" w:cs="Times New Roman"/>
                <w:b/>
                <w:bCs/>
                <w:color w:val="auto"/>
                <w:sz w:val="24"/>
              </w:rPr>
              <w:t>工艺流程说明：</w:t>
            </w:r>
          </w:p>
          <w:p w14:paraId="18A29929">
            <w:pPr>
              <w:keepNext w:val="0"/>
              <w:keepLines w:val="0"/>
              <w:suppressLineNumbers w:val="0"/>
              <w:spacing w:before="0" w:beforeAutospacing="0" w:after="0" w:afterAutospacing="0" w:line="360" w:lineRule="auto"/>
              <w:ind w:left="0" w:right="0" w:firstLine="480" w:firstLineChars="200"/>
              <w:rPr>
                <w:rFonts w:hint="default" w:ascii="Times New Roman" w:hAnsi="Times New Roman" w:eastAsia="宋体" w:cs="Times New Roman"/>
                <w:color w:val="auto"/>
                <w:sz w:val="24"/>
              </w:rPr>
            </w:pPr>
            <w:r>
              <w:rPr>
                <w:rFonts w:hint="default" w:ascii="Times New Roman" w:hAnsi="Times New Roman" w:eastAsia="宋体" w:cs="Times New Roman"/>
                <w:color w:val="auto"/>
                <w:sz w:val="24"/>
              </w:rPr>
              <w:t>（1）投料：首先将混合机顶部盖子打开后通过人工操控提升机加入乙烯基硅油、颜料，之后关闭机盖使混合机处于密闭状态，然后将二氧化硅粉体、氢氧化铝粉体、氧化铝粉体采用手工投料的方式加入投料仓，通过螺杆驱动自动加入至混合机中。由于粉料投料方式为手工投料，因此在投入粉体料过程中会产生一定量的粉尘；液体料乙烯基硅油、颜料投料方式为人工投料，但其属于高沸点有机物且在常温下不挥发，因而加料时不会产生挥发废气。</w:t>
            </w:r>
          </w:p>
          <w:p w14:paraId="30DA88DF">
            <w:pPr>
              <w:keepNext w:val="0"/>
              <w:keepLines w:val="0"/>
              <w:suppressLineNumbers w:val="0"/>
              <w:spacing w:before="0" w:beforeAutospacing="0" w:after="0" w:afterAutospacing="0" w:line="360" w:lineRule="auto"/>
              <w:ind w:left="0" w:right="0" w:firstLine="480" w:firstLineChars="200"/>
              <w:rPr>
                <w:rFonts w:hint="default" w:ascii="Times New Roman" w:hAnsi="Times New Roman" w:eastAsia="宋体" w:cs="Times New Roman"/>
                <w:color w:val="auto"/>
                <w:sz w:val="24"/>
              </w:rPr>
            </w:pPr>
            <w:r>
              <w:rPr>
                <w:rFonts w:hint="default" w:ascii="Times New Roman" w:hAnsi="Times New Roman" w:eastAsia="宋体" w:cs="Times New Roman"/>
                <w:color w:val="auto"/>
                <w:sz w:val="24"/>
              </w:rPr>
              <w:t>（2）混合：投料完成后，混合机处于密闭状态并抽真空，乙烯基硅油与粉体进行初步混合，温度为100~150℃，混合时间约3小时。当温度达到100℃以上，抽真空有利于排除无机填料中的水分，也可以使得混合的胶料变得密实，然而会导致硅油中的挥发分挥发，因此会产生一定量的挥发废气。混合完成后的胶料由混合机的螺杆出料孔挤入到移动式不锈钢釜体，部分产品的胶料需经三辊碾磨后再流转至搅拌工序，剩余部分产品的胶料直接流转至搅拌工序。</w:t>
            </w:r>
          </w:p>
          <w:p w14:paraId="4AC197B8">
            <w:pPr>
              <w:keepNext w:val="0"/>
              <w:keepLines w:val="0"/>
              <w:suppressLineNumbers w:val="0"/>
              <w:spacing w:before="0" w:beforeAutospacing="0" w:after="0" w:afterAutospacing="0" w:line="360" w:lineRule="auto"/>
              <w:ind w:left="0" w:right="0" w:firstLine="480" w:firstLineChars="200"/>
              <w:rPr>
                <w:rFonts w:hint="default" w:ascii="Times New Roman" w:hAnsi="Times New Roman" w:eastAsia="宋体" w:cs="Times New Roman"/>
                <w:color w:val="auto"/>
                <w:sz w:val="24"/>
              </w:rPr>
            </w:pPr>
            <w:r>
              <w:rPr>
                <w:rFonts w:hint="default" w:ascii="Times New Roman" w:hAnsi="Times New Roman" w:eastAsia="宋体" w:cs="Times New Roman"/>
                <w:color w:val="auto"/>
                <w:sz w:val="24"/>
              </w:rPr>
              <w:t>（3）三辊碾磨：三辊研磨机主要是对膏状的胶料进行进一步研磨，这个过程是在室温下进行，污染物产生量极少忽略不计，因此不需要密闭。</w:t>
            </w:r>
          </w:p>
          <w:p w14:paraId="7FE65D55">
            <w:pPr>
              <w:keepNext w:val="0"/>
              <w:keepLines w:val="0"/>
              <w:suppressLineNumbers w:val="0"/>
              <w:spacing w:before="0" w:beforeAutospacing="0" w:after="0" w:afterAutospacing="0" w:line="360" w:lineRule="auto"/>
              <w:ind w:left="0" w:right="0" w:firstLine="480" w:firstLineChars="200"/>
              <w:rPr>
                <w:rFonts w:hint="default" w:ascii="Times New Roman" w:hAnsi="Times New Roman" w:eastAsia="宋体" w:cs="Times New Roman"/>
                <w:color w:val="auto"/>
                <w:sz w:val="24"/>
              </w:rPr>
            </w:pPr>
            <w:r>
              <w:rPr>
                <w:rFonts w:hint="default" w:ascii="Times New Roman" w:hAnsi="Times New Roman" w:eastAsia="宋体" w:cs="Times New Roman"/>
                <w:color w:val="auto"/>
                <w:sz w:val="24"/>
              </w:rPr>
              <w:t>（4）搅拌：通过人工操控提升机的方式加入有机硅树脂、羟基硅油、甲基高含氢硅油、交联剂，搅拌时间约120分钟。在搅拌过程中抽真空可以排除胶料中的气泡，然而会导致硅油中的挥发份挥发，因此会产生一定量的挥发废气。</w:t>
            </w:r>
          </w:p>
          <w:p w14:paraId="439790DF">
            <w:pPr>
              <w:keepNext w:val="0"/>
              <w:keepLines w:val="0"/>
              <w:suppressLineNumbers w:val="0"/>
              <w:spacing w:before="0" w:beforeAutospacing="0" w:after="0" w:afterAutospacing="0" w:line="360" w:lineRule="auto"/>
              <w:ind w:left="0" w:right="0" w:firstLine="480" w:firstLineChars="200"/>
              <w:rPr>
                <w:rFonts w:hint="default" w:ascii="Times New Roman" w:hAnsi="Times New Roman" w:eastAsia="宋体" w:cs="Times New Roman"/>
                <w:color w:val="auto"/>
                <w:sz w:val="24"/>
              </w:rPr>
            </w:pPr>
            <w:r>
              <w:rPr>
                <w:rFonts w:hint="default" w:ascii="Times New Roman" w:hAnsi="Times New Roman" w:eastAsia="宋体" w:cs="Times New Roman"/>
                <w:color w:val="auto"/>
                <w:sz w:val="24"/>
              </w:rPr>
              <w:t>（5）压延成片：将搅拌完成后的胶料通过压机或双组分打胶机送入压延机中，使用PET薄膜双面包裹压延成片。为连续进料出料过程，物料进出压延机只需要几秒，常温下进行。</w:t>
            </w:r>
          </w:p>
          <w:p w14:paraId="289D92C1">
            <w:pPr>
              <w:keepNext w:val="0"/>
              <w:keepLines w:val="0"/>
              <w:suppressLineNumbers w:val="0"/>
              <w:spacing w:before="0" w:beforeAutospacing="0" w:after="0" w:afterAutospacing="0" w:line="360" w:lineRule="auto"/>
              <w:ind w:left="0" w:right="0" w:firstLine="480" w:firstLineChars="200"/>
              <w:rPr>
                <w:rFonts w:hint="default" w:ascii="Times New Roman" w:hAnsi="Times New Roman" w:eastAsia="宋体" w:cs="Times New Roman"/>
                <w:color w:val="auto"/>
                <w:sz w:val="24"/>
              </w:rPr>
            </w:pPr>
            <w:r>
              <w:rPr>
                <w:rFonts w:hint="default" w:ascii="Times New Roman" w:hAnsi="Times New Roman" w:eastAsia="宋体" w:cs="Times New Roman"/>
                <w:color w:val="auto"/>
                <w:sz w:val="24"/>
              </w:rPr>
              <w:t>（6）烘烤固化收卷：压延后成薄片的胶料在辅助材料玻纤布的托举下进入烘道，胶料在烘道中固化（有机硅片材的交联和固化的机理为：在高温环境中，乙烯基硅油中乙烯基双键和甲基高含氢硅油在交联剂的作用下使得双键饱和，从而产生交联），变成片材成品，在收卷过程同时揭除双面包裹的PET薄膜。停留时间10分钟，采用电加热方式，温度60~150℃，此过程会产生一定量的挥发废气。</w:t>
            </w:r>
          </w:p>
          <w:p w14:paraId="4013C47D">
            <w:pPr>
              <w:keepNext w:val="0"/>
              <w:keepLines w:val="0"/>
              <w:suppressLineNumbers w:val="0"/>
              <w:spacing w:before="0" w:beforeAutospacing="0" w:after="0" w:afterAutospacing="0" w:line="360" w:lineRule="auto"/>
              <w:ind w:left="0" w:right="0" w:firstLine="480" w:firstLineChars="200"/>
              <w:rPr>
                <w:rFonts w:hint="default" w:ascii="Times New Roman" w:hAnsi="Times New Roman" w:eastAsia="宋体" w:cs="Times New Roman"/>
                <w:color w:val="auto"/>
                <w:sz w:val="24"/>
              </w:rPr>
            </w:pPr>
            <w:r>
              <w:rPr>
                <w:rFonts w:hint="default" w:ascii="Times New Roman" w:hAnsi="Times New Roman" w:eastAsia="宋体" w:cs="Times New Roman"/>
                <w:color w:val="auto"/>
                <w:sz w:val="24"/>
              </w:rPr>
              <w:t>（7）二次固化收卷：一次固化完成后的多孔类片材还要在高温烘道中再经历一次烘烤。停留时间100分钟，采用电加热，温度160~200℃，此过程会产生一定量的挥发废气。固化完成的片材由收卷机收卷，制成的卷材可以直接销售给终端客户，也可以进入下一步工序进行深加工。</w:t>
            </w:r>
          </w:p>
          <w:p w14:paraId="5165C919">
            <w:pPr>
              <w:keepNext w:val="0"/>
              <w:keepLines w:val="0"/>
              <w:suppressLineNumbers w:val="0"/>
              <w:spacing w:before="0" w:beforeAutospacing="0" w:after="0" w:afterAutospacing="0" w:line="360" w:lineRule="auto"/>
              <w:ind w:left="0" w:right="0" w:firstLine="480" w:firstLineChars="200"/>
              <w:rPr>
                <w:rFonts w:hint="default" w:ascii="Times New Roman" w:hAnsi="Times New Roman" w:eastAsia="宋体" w:cs="Times New Roman"/>
                <w:color w:val="auto"/>
                <w:sz w:val="24"/>
              </w:rPr>
            </w:pPr>
            <w:r>
              <w:rPr>
                <w:rFonts w:hint="default" w:ascii="Times New Roman" w:hAnsi="Times New Roman" w:eastAsia="宋体" w:cs="Times New Roman"/>
                <w:color w:val="auto"/>
                <w:sz w:val="24"/>
              </w:rPr>
              <w:t>（8）背胶：背胶类产品约占总产品量的10%，背胶处理剂部分人工均匀涂抹在成品片材上，部分采用自动化机器流水线操作，再与双面胶粘合，此过程会产生一定量的挥发废气。</w:t>
            </w:r>
          </w:p>
          <w:p w14:paraId="48E0AE2E">
            <w:pPr>
              <w:keepNext w:val="0"/>
              <w:keepLines w:val="0"/>
              <w:suppressLineNumbers w:val="0"/>
              <w:spacing w:before="0" w:beforeAutospacing="0" w:after="0" w:afterAutospacing="0" w:line="360" w:lineRule="auto"/>
              <w:ind w:left="0" w:right="0" w:firstLine="480" w:firstLineChars="200"/>
              <w:rPr>
                <w:rFonts w:hint="default" w:ascii="Times New Roman" w:hAnsi="Times New Roman" w:eastAsia="宋体" w:cs="Times New Roman"/>
                <w:color w:val="auto"/>
                <w:sz w:val="24"/>
              </w:rPr>
            </w:pPr>
            <w:r>
              <w:rPr>
                <w:rFonts w:hint="default" w:ascii="Times New Roman" w:hAnsi="Times New Roman" w:eastAsia="宋体" w:cs="Times New Roman"/>
                <w:color w:val="auto"/>
                <w:sz w:val="24"/>
              </w:rPr>
              <w:t>（9）裁剪：将片材成品（背胶或不背胶）通过分切机、模切机、圆刀机或裁断机切成需要的形状，室温进行。</w:t>
            </w:r>
          </w:p>
          <w:p w14:paraId="6E86FC57">
            <w:pPr>
              <w:keepNext w:val="0"/>
              <w:keepLines w:val="0"/>
              <w:suppressLineNumbers w:val="0"/>
              <w:spacing w:before="0" w:beforeAutospacing="0" w:after="0" w:afterAutospacing="0" w:line="360" w:lineRule="auto"/>
              <w:ind w:left="0" w:right="0" w:firstLine="480" w:firstLineChars="200"/>
              <w:rPr>
                <w:rFonts w:hint="default" w:ascii="Times New Roman" w:hAnsi="Times New Roman" w:eastAsia="宋体" w:cs="Times New Roman"/>
                <w:color w:val="auto"/>
                <w:sz w:val="24"/>
              </w:rPr>
            </w:pPr>
            <w:r>
              <w:rPr>
                <w:rFonts w:hint="default" w:ascii="Times New Roman" w:hAnsi="Times New Roman" w:eastAsia="宋体" w:cs="Times New Roman"/>
                <w:color w:val="auto"/>
                <w:sz w:val="24"/>
              </w:rPr>
              <w:t>（10）拼接：拼接类产品约占总产品量的5%，将裁剪完成的有机硅片材在高温条件下经有机硅树脂粘接起来，温度150℃，因有机硅树脂使用量较少，粘接时间仅为几秒且粘接面积极小，因此产生的挥发废气量极少，忽略不计。</w:t>
            </w:r>
          </w:p>
          <w:p w14:paraId="4B8B8972">
            <w:pPr>
              <w:keepNext w:val="0"/>
              <w:keepLines w:val="0"/>
              <w:suppressLineNumbers w:val="0"/>
              <w:spacing w:before="0" w:beforeAutospacing="0" w:after="0" w:afterAutospacing="0" w:line="360" w:lineRule="auto"/>
              <w:ind w:left="0" w:right="0" w:firstLine="480" w:firstLineChars="200"/>
              <w:rPr>
                <w:rFonts w:hint="default" w:ascii="Times New Roman" w:hAnsi="Times New Roman" w:eastAsia="宋体" w:cs="Times New Roman"/>
                <w:color w:val="auto"/>
                <w:sz w:val="24"/>
              </w:rPr>
            </w:pPr>
            <w:r>
              <w:rPr>
                <w:rFonts w:hint="default" w:ascii="Times New Roman" w:hAnsi="Times New Roman" w:eastAsia="宋体" w:cs="Times New Roman"/>
                <w:color w:val="auto"/>
                <w:sz w:val="24"/>
              </w:rPr>
              <w:t>（11）检测：用于检测成品，将成品送至检测室。此工序多为物理检测，因此不产生污染物。</w:t>
            </w:r>
          </w:p>
          <w:p w14:paraId="4324AD5C">
            <w:pPr>
              <w:keepNext w:val="0"/>
              <w:keepLines w:val="0"/>
              <w:suppressLineNumbers w:val="0"/>
              <w:spacing w:before="0" w:beforeAutospacing="0" w:after="0" w:afterAutospacing="0" w:line="360" w:lineRule="auto"/>
              <w:ind w:left="0" w:right="0" w:firstLine="480" w:firstLineChars="200"/>
              <w:rPr>
                <w:rFonts w:hint="default" w:ascii="Times New Roman" w:hAnsi="Times New Roman" w:eastAsia="宋体" w:cs="Times New Roman"/>
                <w:color w:val="auto"/>
                <w:sz w:val="24"/>
              </w:rPr>
            </w:pPr>
            <w:r>
              <w:rPr>
                <w:rFonts w:hint="default" w:ascii="Times New Roman" w:hAnsi="Times New Roman" w:eastAsia="宋体" w:cs="Times New Roman"/>
                <w:color w:val="auto"/>
                <w:sz w:val="24"/>
              </w:rPr>
              <w:t>（12）打包：检测合格后打包出售。</w:t>
            </w:r>
          </w:p>
          <w:p w14:paraId="711B7F2E">
            <w:pPr>
              <w:keepNext w:val="0"/>
              <w:keepLines w:val="0"/>
              <w:suppressLineNumbers w:val="0"/>
              <w:spacing w:before="0" w:beforeAutospacing="0" w:after="0" w:afterAutospacing="0"/>
              <w:ind w:left="0" w:right="0" w:firstLine="420" w:firstLineChars="200"/>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rPr>
              <w:t>注：现有项目桶装原料使用过程会产生少量的空包装桶，空包装桶经企业收集后由单独设置的存放间存放，定期由生产厂家回收仍作为原始用途使用。根据《固体废物鉴别标准通则》</w:t>
            </w:r>
            <w:r>
              <w:rPr>
                <w:rFonts w:hint="default" w:ascii="Times New Roman" w:hAnsi="Times New Roman" w:eastAsia="宋体" w:cs="Times New Roman"/>
                <w:color w:val="0000FF"/>
                <w:szCs w:val="21"/>
                <w:lang w:val="en-US" w:eastAsia="zh-CN"/>
              </w:rPr>
              <w:t>（GB 34330—2025）4.2.2 b不需要任何修复、加工，或存在功能缺陷但已恢复其原有使用功能的耐久性消费品（包含机电产品及零部件、元器件、生产装置、总成、容器），不作为固体废物管理</w:t>
            </w:r>
            <w:r>
              <w:rPr>
                <w:rFonts w:hint="default" w:ascii="Times New Roman" w:hAnsi="Times New Roman" w:eastAsia="宋体" w:cs="Times New Roman"/>
                <w:color w:val="0000FF"/>
                <w:szCs w:val="21"/>
              </w:rPr>
              <w:t>。</w:t>
            </w:r>
          </w:p>
          <w:p w14:paraId="46EB02F8">
            <w:pPr>
              <w:keepNext w:val="0"/>
              <w:keepLines w:val="0"/>
              <w:suppressLineNumbers w:val="0"/>
              <w:spacing w:before="0" w:beforeAutospacing="0" w:after="0" w:afterAutospacing="0" w:line="360" w:lineRule="auto"/>
              <w:ind w:left="0" w:right="0"/>
              <w:rPr>
                <w:rFonts w:hint="default" w:ascii="Times New Roman" w:hAnsi="Times New Roman" w:eastAsia="宋体" w:cs="Times New Roman"/>
                <w:b/>
                <w:bCs/>
                <w:color w:val="auto"/>
                <w:sz w:val="24"/>
              </w:rPr>
            </w:pPr>
            <w:r>
              <w:rPr>
                <w:rFonts w:hint="eastAsia" w:ascii="Times New Roman" w:hAnsi="Times New Roman" w:eastAsia="宋体" w:cs="Times New Roman"/>
                <w:b/>
                <w:bCs/>
                <w:color w:val="auto"/>
                <w:sz w:val="24"/>
              </w:rPr>
              <w:t>2.3.4现有项目源强分析</w:t>
            </w:r>
          </w:p>
          <w:p w14:paraId="40DDB64A">
            <w:pPr>
              <w:keepNext w:val="0"/>
              <w:keepLines w:val="0"/>
              <w:suppressLineNumbers w:val="0"/>
              <w:spacing w:before="0" w:beforeAutospacing="0" w:after="0" w:afterAutospacing="0" w:line="360" w:lineRule="auto"/>
              <w:ind w:left="0" w:right="0" w:firstLine="480" w:firstLineChars="200"/>
              <w:rPr>
                <w:rFonts w:hint="default" w:ascii="Times New Roman" w:hAnsi="Times New Roman" w:eastAsia="宋体" w:cs="Times New Roman"/>
                <w:color w:val="auto"/>
                <w:sz w:val="24"/>
              </w:rPr>
            </w:pPr>
            <w:r>
              <w:rPr>
                <w:rFonts w:hint="eastAsia" w:ascii="Times New Roman" w:hAnsi="Times New Roman" w:eastAsia="宋体" w:cs="Times New Roman"/>
                <w:color w:val="auto"/>
                <w:sz w:val="24"/>
              </w:rPr>
              <w:t>（1）废气</w:t>
            </w:r>
          </w:p>
          <w:p w14:paraId="14A718B1">
            <w:pPr>
              <w:keepNext w:val="0"/>
              <w:keepLines w:val="0"/>
              <w:suppressLineNumbers w:val="0"/>
              <w:spacing w:before="0" w:beforeAutospacing="0" w:after="0" w:afterAutospacing="0" w:line="360" w:lineRule="auto"/>
              <w:ind w:left="0" w:right="0" w:firstLine="480" w:firstLineChars="200"/>
              <w:rPr>
                <w:rFonts w:hint="default" w:ascii="Times New Roman" w:hAnsi="Times New Roman" w:eastAsia="宋体" w:cs="Times New Roman"/>
                <w:color w:val="auto"/>
                <w:sz w:val="24"/>
              </w:rPr>
            </w:pPr>
            <w:r>
              <w:rPr>
                <w:rFonts w:hint="eastAsia" w:ascii="Times New Roman" w:hAnsi="Times New Roman" w:eastAsia="宋体" w:cs="Times New Roman"/>
                <w:color w:val="auto"/>
                <w:sz w:val="24"/>
              </w:rPr>
              <w:t>①投料粉尘：现有项目在粉料投料仓上方设置一体式围挡式集气罩，只在操作面设置投料口，并做加盖设计，投料粉尘经收集后通过一套脉冲式布袋除尘器（TA001）处理，尾气由一根22m高的排气筒DA001排放</w:t>
            </w:r>
            <w:r>
              <w:rPr>
                <w:rFonts w:hint="default" w:ascii="Times New Roman" w:hAnsi="Times New Roman" w:eastAsia="宋体" w:cs="Times New Roman"/>
                <w:color w:val="auto"/>
                <w:sz w:val="24"/>
              </w:rPr>
              <w:t>。</w:t>
            </w:r>
          </w:p>
          <w:p w14:paraId="696AEFAD">
            <w:pPr>
              <w:keepNext w:val="0"/>
              <w:keepLines w:val="0"/>
              <w:suppressLineNumbers w:val="0"/>
              <w:spacing w:before="0" w:beforeAutospacing="0" w:after="0" w:afterAutospacing="0" w:line="360" w:lineRule="auto"/>
              <w:ind w:left="0" w:right="0" w:firstLine="480" w:firstLineChars="200"/>
              <w:rPr>
                <w:rFonts w:hint="default" w:ascii="Times New Roman" w:hAnsi="Times New Roman" w:eastAsia="宋体" w:cs="Times New Roman"/>
                <w:color w:val="auto"/>
                <w:sz w:val="24"/>
              </w:rPr>
            </w:pPr>
            <w:r>
              <w:rPr>
                <w:rFonts w:hint="eastAsia" w:ascii="Times New Roman" w:hAnsi="Times New Roman" w:eastAsia="宋体" w:cs="Times New Roman"/>
                <w:color w:val="auto"/>
                <w:sz w:val="24"/>
              </w:rPr>
              <w:t>根据湖州天亿环境检测有限公司出具的检测报告（报告编号：</w:t>
            </w:r>
            <w:r>
              <w:rPr>
                <w:rFonts w:hint="default" w:ascii="Times New Roman" w:hAnsi="Times New Roman" w:eastAsia="宋体" w:cs="Times New Roman"/>
                <w:color w:val="auto"/>
                <w:sz w:val="24"/>
              </w:rPr>
              <w:t>天亿检测（2025）检1463号</w:t>
            </w:r>
            <w:r>
              <w:rPr>
                <w:rFonts w:hint="eastAsia" w:ascii="Times New Roman" w:hAnsi="Times New Roman" w:eastAsia="宋体" w:cs="Times New Roman"/>
                <w:color w:val="auto"/>
                <w:sz w:val="24"/>
              </w:rPr>
              <w:t>），企业投料粉尘中的颗粒物排放情况见下表。</w:t>
            </w:r>
          </w:p>
          <w:p w14:paraId="4679B496">
            <w:pPr>
              <w:keepNext w:val="0"/>
              <w:keepLines w:val="0"/>
              <w:suppressLineNumbers w:val="0"/>
              <w:spacing w:before="0" w:beforeAutospacing="0" w:after="0" w:afterAutospacing="0"/>
              <w:ind w:left="0" w:right="0"/>
              <w:jc w:val="center"/>
              <w:rPr>
                <w:rFonts w:hint="default" w:ascii="Times New Roman" w:hAnsi="Times New Roman" w:eastAsia="宋体" w:cs="Times New Roman"/>
                <w:b/>
                <w:bCs/>
                <w:color w:val="auto"/>
              </w:rPr>
            </w:pPr>
            <w:r>
              <w:rPr>
                <w:rFonts w:hint="eastAsia" w:ascii="Times New Roman" w:hAnsi="Times New Roman" w:eastAsia="宋体" w:cs="Times New Roman"/>
                <w:b/>
                <w:bCs/>
                <w:color w:val="auto"/>
              </w:rPr>
              <w:t>表2-1</w:t>
            </w:r>
            <w:r>
              <w:rPr>
                <w:rFonts w:hint="eastAsia" w:ascii="Times New Roman" w:hAnsi="Times New Roman" w:eastAsia="宋体" w:cs="Times New Roman"/>
                <w:b/>
                <w:bCs/>
                <w:color w:val="auto"/>
                <w:lang w:val="en-US" w:eastAsia="zh-CN"/>
              </w:rPr>
              <w:t>8</w:t>
            </w:r>
            <w:r>
              <w:rPr>
                <w:rFonts w:hint="eastAsia" w:ascii="Times New Roman" w:hAnsi="Times New Roman" w:eastAsia="宋体" w:cs="Times New Roman"/>
                <w:b/>
                <w:bCs/>
                <w:color w:val="auto"/>
              </w:rPr>
              <w:t xml:space="preserve">  </w:t>
            </w:r>
            <w:r>
              <w:rPr>
                <w:rFonts w:hint="default" w:ascii="Times New Roman" w:hAnsi="Times New Roman" w:eastAsia="宋体" w:cs="Times New Roman"/>
                <w:b/>
                <w:bCs/>
                <w:color w:val="auto"/>
              </w:rPr>
              <w:t>投料粉尘</w:t>
            </w:r>
            <w:r>
              <w:rPr>
                <w:rFonts w:hint="eastAsia" w:ascii="Times New Roman" w:hAnsi="Times New Roman" w:eastAsia="宋体" w:cs="Times New Roman"/>
                <w:b/>
                <w:bCs/>
                <w:color w:val="auto"/>
              </w:rPr>
              <w:t>有组织排放情况表</w:t>
            </w:r>
          </w:p>
          <w:tbl>
            <w:tblPr>
              <w:tblStyle w:val="22"/>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432"/>
              <w:gridCol w:w="1050"/>
              <w:gridCol w:w="834"/>
              <w:gridCol w:w="1554"/>
              <w:gridCol w:w="1651"/>
              <w:gridCol w:w="1654"/>
            </w:tblGrid>
            <w:tr w14:paraId="30D3A6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9322" w:type="dxa"/>
                  <w:gridSpan w:val="6"/>
                  <w:tcBorders>
                    <w:top w:val="single" w:color="auto" w:sz="4" w:space="0"/>
                    <w:left w:val="single" w:color="auto" w:sz="4" w:space="0"/>
                    <w:bottom w:val="single" w:color="auto" w:sz="4" w:space="0"/>
                    <w:right w:val="single" w:color="auto" w:sz="4" w:space="0"/>
                  </w:tcBorders>
                  <w:vAlign w:val="center"/>
                </w:tcPr>
                <w:p w14:paraId="4611B82E">
                  <w:pPr>
                    <w:keepNext w:val="0"/>
                    <w:keepLines w:val="0"/>
                    <w:suppressLineNumbers w:val="0"/>
                    <w:spacing w:before="0" w:beforeAutospacing="0" w:after="0" w:afterAutospacing="0"/>
                    <w:ind w:left="0" w:right="0"/>
                    <w:jc w:val="left"/>
                    <w:rPr>
                      <w:rFonts w:hint="default" w:ascii="Times New Roman" w:hAnsi="Times New Roman" w:eastAsia="宋体" w:cs="Times New Roman"/>
                      <w:color w:val="auto"/>
                      <w:szCs w:val="21"/>
                    </w:rPr>
                  </w:pPr>
                  <w:r>
                    <w:rPr>
                      <w:rFonts w:hint="eastAsia" w:ascii="宋体" w:hAnsi="宋体" w:eastAsia="宋体" w:cs="宋体"/>
                      <w:color w:val="auto"/>
                      <w:szCs w:val="21"/>
                      <w:lang w:bidi="ar"/>
                    </w:rPr>
                    <w:t>采样点位：</w:t>
                  </w:r>
                  <w:r>
                    <w:rPr>
                      <w:rFonts w:hint="default" w:ascii="Times New Roman" w:hAnsi="Times New Roman" w:eastAsia="宋体" w:cs="Times New Roman"/>
                      <w:color w:val="auto"/>
                      <w:szCs w:val="21"/>
                      <w:u w:val="single"/>
                      <w:lang w:bidi="ar"/>
                    </w:rPr>
                    <w:t xml:space="preserve">   DA001</w:t>
                  </w:r>
                  <w:r>
                    <w:rPr>
                      <w:rFonts w:hint="eastAsia" w:ascii="宋体" w:hAnsi="宋体" w:eastAsia="宋体" w:cs="宋体"/>
                      <w:color w:val="auto"/>
                      <w:szCs w:val="21"/>
                      <w:u w:val="single"/>
                      <w:lang w:bidi="ar"/>
                    </w:rPr>
                    <w:t xml:space="preserve">投料粉尘废气处理设施进口   </w:t>
                  </w:r>
                  <w:r>
                    <w:rPr>
                      <w:rFonts w:hint="eastAsia" w:ascii="宋体" w:hAnsi="宋体" w:eastAsia="宋体" w:cs="宋体"/>
                      <w:color w:val="auto"/>
                      <w:szCs w:val="21"/>
                      <w:lang w:bidi="ar"/>
                    </w:rPr>
                    <w:t>采样日期：</w:t>
                  </w:r>
                  <w:r>
                    <w:rPr>
                      <w:rFonts w:hint="default" w:ascii="Times New Roman" w:hAnsi="Times New Roman" w:eastAsia="宋体" w:cs="Times New Roman"/>
                      <w:color w:val="auto"/>
                      <w:szCs w:val="21"/>
                      <w:u w:val="single"/>
                      <w:lang w:bidi="ar"/>
                    </w:rPr>
                    <w:t xml:space="preserve">   2025.11.19   </w:t>
                  </w:r>
                </w:p>
              </w:tc>
            </w:tr>
            <w:tr w14:paraId="0D1B81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2822" w:type="dxa"/>
                  <w:gridSpan w:val="2"/>
                  <w:tcBorders>
                    <w:top w:val="single" w:color="auto" w:sz="4" w:space="0"/>
                    <w:left w:val="single" w:color="auto" w:sz="4" w:space="0"/>
                    <w:bottom w:val="single" w:color="auto" w:sz="4" w:space="0"/>
                    <w:right w:val="single" w:color="auto" w:sz="4" w:space="0"/>
                  </w:tcBorders>
                  <w:vAlign w:val="center"/>
                </w:tcPr>
                <w:p w14:paraId="42B334D5">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r>
                    <w:rPr>
                      <w:rFonts w:hint="eastAsia" w:ascii="宋体" w:hAnsi="宋体" w:eastAsia="宋体" w:cs="宋体"/>
                      <w:color w:val="auto"/>
                      <w:szCs w:val="21"/>
                      <w:lang w:bidi="ar"/>
                    </w:rPr>
                    <w:t>检测项目</w:t>
                  </w:r>
                </w:p>
              </w:tc>
              <w:tc>
                <w:tcPr>
                  <w:tcW w:w="936" w:type="dxa"/>
                  <w:tcBorders>
                    <w:top w:val="single" w:color="auto" w:sz="4" w:space="0"/>
                    <w:left w:val="single" w:color="auto" w:sz="4" w:space="0"/>
                    <w:bottom w:val="single" w:color="auto" w:sz="4" w:space="0"/>
                    <w:right w:val="single" w:color="auto" w:sz="4" w:space="0"/>
                  </w:tcBorders>
                  <w:vAlign w:val="center"/>
                </w:tcPr>
                <w:p w14:paraId="6FFE9CDA">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r>
                    <w:rPr>
                      <w:rFonts w:hint="eastAsia" w:ascii="宋体" w:hAnsi="宋体" w:eastAsia="宋体" w:cs="宋体"/>
                      <w:color w:val="auto"/>
                      <w:szCs w:val="21"/>
                      <w:lang w:bidi="ar"/>
                    </w:rPr>
                    <w:t>单位</w:t>
                  </w:r>
                </w:p>
              </w:tc>
              <w:tc>
                <w:tcPr>
                  <w:tcW w:w="5564" w:type="dxa"/>
                  <w:gridSpan w:val="3"/>
                  <w:tcBorders>
                    <w:top w:val="single" w:color="auto" w:sz="4" w:space="0"/>
                    <w:left w:val="single" w:color="auto" w:sz="4" w:space="0"/>
                    <w:bottom w:val="single" w:color="auto" w:sz="4" w:space="0"/>
                    <w:right w:val="single" w:color="auto" w:sz="4" w:space="0"/>
                  </w:tcBorders>
                  <w:vAlign w:val="center"/>
                </w:tcPr>
                <w:p w14:paraId="15D4505B">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r>
                    <w:rPr>
                      <w:rFonts w:hint="eastAsia" w:ascii="宋体" w:hAnsi="宋体" w:eastAsia="宋体" w:cs="宋体"/>
                      <w:color w:val="auto"/>
                      <w:szCs w:val="21"/>
                      <w:lang w:bidi="ar"/>
                    </w:rPr>
                    <w:t>检测结果</w:t>
                  </w:r>
                </w:p>
              </w:tc>
            </w:tr>
            <w:tr w14:paraId="22F364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2822" w:type="dxa"/>
                  <w:gridSpan w:val="2"/>
                  <w:tcBorders>
                    <w:top w:val="single" w:color="auto" w:sz="4" w:space="0"/>
                    <w:left w:val="single" w:color="auto" w:sz="4" w:space="0"/>
                    <w:bottom w:val="single" w:color="auto" w:sz="4" w:space="0"/>
                    <w:right w:val="single" w:color="auto" w:sz="4" w:space="0"/>
                  </w:tcBorders>
                  <w:vAlign w:val="center"/>
                </w:tcPr>
                <w:p w14:paraId="7355781B">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r>
                    <w:rPr>
                      <w:rFonts w:hint="eastAsia" w:ascii="宋体" w:hAnsi="宋体" w:eastAsia="宋体" w:cs="宋体"/>
                      <w:color w:val="auto"/>
                      <w:szCs w:val="21"/>
                      <w:lang w:bidi="ar"/>
                    </w:rPr>
                    <w:t>检测管道截面积</w:t>
                  </w:r>
                </w:p>
              </w:tc>
              <w:tc>
                <w:tcPr>
                  <w:tcW w:w="936" w:type="dxa"/>
                  <w:tcBorders>
                    <w:top w:val="single" w:color="auto" w:sz="4" w:space="0"/>
                    <w:left w:val="single" w:color="auto" w:sz="4" w:space="0"/>
                    <w:bottom w:val="single" w:color="auto" w:sz="4" w:space="0"/>
                    <w:right w:val="single" w:color="auto" w:sz="4" w:space="0"/>
                  </w:tcBorders>
                  <w:vAlign w:val="center"/>
                </w:tcPr>
                <w:p w14:paraId="30ED976D">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lang w:bidi="ar"/>
                    </w:rPr>
                    <w:t>m²</w:t>
                  </w:r>
                </w:p>
              </w:tc>
              <w:tc>
                <w:tcPr>
                  <w:tcW w:w="1778" w:type="dxa"/>
                  <w:tcBorders>
                    <w:top w:val="single" w:color="auto" w:sz="4" w:space="0"/>
                    <w:left w:val="single" w:color="auto" w:sz="4" w:space="0"/>
                    <w:bottom w:val="single" w:color="auto" w:sz="4" w:space="0"/>
                    <w:right w:val="single" w:color="auto" w:sz="4" w:space="0"/>
                  </w:tcBorders>
                  <w:vAlign w:val="center"/>
                </w:tcPr>
                <w:p w14:paraId="25D6EE91">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lang w:bidi="ar"/>
                    </w:rPr>
                    <w:t>0.2827</w:t>
                  </w:r>
                </w:p>
              </w:tc>
              <w:tc>
                <w:tcPr>
                  <w:tcW w:w="1891" w:type="dxa"/>
                  <w:tcBorders>
                    <w:top w:val="single" w:color="auto" w:sz="4" w:space="0"/>
                    <w:left w:val="single" w:color="auto" w:sz="4" w:space="0"/>
                    <w:bottom w:val="single" w:color="auto" w:sz="4" w:space="0"/>
                    <w:right w:val="single" w:color="auto" w:sz="4" w:space="0"/>
                  </w:tcBorders>
                  <w:vAlign w:val="center"/>
                </w:tcPr>
                <w:p w14:paraId="418AEC78">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lang w:bidi="ar"/>
                    </w:rPr>
                    <w:t>0.2827</w:t>
                  </w:r>
                </w:p>
              </w:tc>
              <w:tc>
                <w:tcPr>
                  <w:tcW w:w="1895" w:type="dxa"/>
                  <w:tcBorders>
                    <w:top w:val="single" w:color="auto" w:sz="4" w:space="0"/>
                    <w:left w:val="single" w:color="auto" w:sz="4" w:space="0"/>
                    <w:bottom w:val="single" w:color="auto" w:sz="4" w:space="0"/>
                    <w:right w:val="single" w:color="auto" w:sz="4" w:space="0"/>
                  </w:tcBorders>
                  <w:vAlign w:val="center"/>
                </w:tcPr>
                <w:p w14:paraId="099E8F7D">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lang w:bidi="ar"/>
                    </w:rPr>
                    <w:t>0.2827</w:t>
                  </w:r>
                </w:p>
              </w:tc>
            </w:tr>
            <w:tr w14:paraId="78546C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2822" w:type="dxa"/>
                  <w:gridSpan w:val="2"/>
                  <w:tcBorders>
                    <w:top w:val="single" w:color="auto" w:sz="4" w:space="0"/>
                    <w:left w:val="single" w:color="auto" w:sz="4" w:space="0"/>
                    <w:bottom w:val="single" w:color="auto" w:sz="4" w:space="0"/>
                    <w:right w:val="single" w:color="auto" w:sz="4" w:space="0"/>
                  </w:tcBorders>
                  <w:vAlign w:val="center"/>
                </w:tcPr>
                <w:p w14:paraId="6E5DEEDE">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r>
                    <w:rPr>
                      <w:rFonts w:hint="eastAsia" w:ascii="宋体" w:hAnsi="宋体" w:eastAsia="宋体" w:cs="宋体"/>
                      <w:color w:val="auto"/>
                      <w:szCs w:val="21"/>
                      <w:lang w:bidi="ar"/>
                    </w:rPr>
                    <w:t>烟气温度</w:t>
                  </w:r>
                </w:p>
              </w:tc>
              <w:tc>
                <w:tcPr>
                  <w:tcW w:w="936" w:type="dxa"/>
                  <w:tcBorders>
                    <w:top w:val="single" w:color="auto" w:sz="4" w:space="0"/>
                    <w:left w:val="single" w:color="auto" w:sz="4" w:space="0"/>
                    <w:bottom w:val="single" w:color="auto" w:sz="4" w:space="0"/>
                    <w:right w:val="single" w:color="auto" w:sz="4" w:space="0"/>
                  </w:tcBorders>
                  <w:vAlign w:val="center"/>
                </w:tcPr>
                <w:p w14:paraId="24A1A580">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lang w:bidi="ar"/>
                    </w:rPr>
                    <w:t>℃</w:t>
                  </w:r>
                </w:p>
              </w:tc>
              <w:tc>
                <w:tcPr>
                  <w:tcW w:w="1778" w:type="dxa"/>
                  <w:tcBorders>
                    <w:top w:val="single" w:color="auto" w:sz="4" w:space="0"/>
                    <w:left w:val="single" w:color="auto" w:sz="4" w:space="0"/>
                    <w:bottom w:val="single" w:color="auto" w:sz="4" w:space="0"/>
                    <w:right w:val="single" w:color="auto" w:sz="4" w:space="0"/>
                  </w:tcBorders>
                  <w:vAlign w:val="center"/>
                </w:tcPr>
                <w:p w14:paraId="6856D3DF">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lang w:bidi="ar"/>
                    </w:rPr>
                    <w:t>13.3</w:t>
                  </w:r>
                </w:p>
              </w:tc>
              <w:tc>
                <w:tcPr>
                  <w:tcW w:w="1891" w:type="dxa"/>
                  <w:tcBorders>
                    <w:top w:val="single" w:color="auto" w:sz="4" w:space="0"/>
                    <w:left w:val="single" w:color="auto" w:sz="4" w:space="0"/>
                    <w:bottom w:val="single" w:color="auto" w:sz="4" w:space="0"/>
                    <w:right w:val="single" w:color="auto" w:sz="4" w:space="0"/>
                  </w:tcBorders>
                  <w:vAlign w:val="center"/>
                </w:tcPr>
                <w:p w14:paraId="660B10F0">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lang w:bidi="ar"/>
                    </w:rPr>
                    <w:t>13.7</w:t>
                  </w:r>
                </w:p>
              </w:tc>
              <w:tc>
                <w:tcPr>
                  <w:tcW w:w="1895" w:type="dxa"/>
                  <w:tcBorders>
                    <w:top w:val="single" w:color="auto" w:sz="4" w:space="0"/>
                    <w:left w:val="single" w:color="auto" w:sz="4" w:space="0"/>
                    <w:bottom w:val="single" w:color="auto" w:sz="4" w:space="0"/>
                    <w:right w:val="single" w:color="auto" w:sz="4" w:space="0"/>
                  </w:tcBorders>
                  <w:vAlign w:val="center"/>
                </w:tcPr>
                <w:p w14:paraId="5195BBDA">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lang w:bidi="ar"/>
                    </w:rPr>
                    <w:t>13.8</w:t>
                  </w:r>
                </w:p>
              </w:tc>
            </w:tr>
            <w:tr w14:paraId="358115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2822" w:type="dxa"/>
                  <w:gridSpan w:val="2"/>
                  <w:tcBorders>
                    <w:top w:val="single" w:color="auto" w:sz="4" w:space="0"/>
                    <w:left w:val="single" w:color="auto" w:sz="4" w:space="0"/>
                    <w:bottom w:val="single" w:color="auto" w:sz="4" w:space="0"/>
                    <w:right w:val="single" w:color="auto" w:sz="4" w:space="0"/>
                  </w:tcBorders>
                  <w:vAlign w:val="center"/>
                </w:tcPr>
                <w:p w14:paraId="59E33B3A">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r>
                    <w:rPr>
                      <w:rFonts w:hint="eastAsia" w:ascii="宋体" w:hAnsi="宋体" w:eastAsia="宋体" w:cs="宋体"/>
                      <w:color w:val="auto"/>
                      <w:szCs w:val="21"/>
                      <w:lang w:bidi="ar"/>
                    </w:rPr>
                    <w:t>烟气平均流速</w:t>
                  </w:r>
                </w:p>
              </w:tc>
              <w:tc>
                <w:tcPr>
                  <w:tcW w:w="936" w:type="dxa"/>
                  <w:tcBorders>
                    <w:top w:val="single" w:color="auto" w:sz="4" w:space="0"/>
                    <w:left w:val="single" w:color="auto" w:sz="4" w:space="0"/>
                    <w:bottom w:val="single" w:color="auto" w:sz="4" w:space="0"/>
                    <w:right w:val="single" w:color="auto" w:sz="4" w:space="0"/>
                  </w:tcBorders>
                  <w:vAlign w:val="center"/>
                </w:tcPr>
                <w:p w14:paraId="7D640166">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lang w:bidi="ar"/>
                    </w:rPr>
                    <w:t>m/s</w:t>
                  </w:r>
                </w:p>
              </w:tc>
              <w:tc>
                <w:tcPr>
                  <w:tcW w:w="1778" w:type="dxa"/>
                  <w:tcBorders>
                    <w:top w:val="single" w:color="auto" w:sz="4" w:space="0"/>
                    <w:left w:val="single" w:color="auto" w:sz="4" w:space="0"/>
                    <w:bottom w:val="single" w:color="auto" w:sz="4" w:space="0"/>
                    <w:right w:val="single" w:color="auto" w:sz="4" w:space="0"/>
                  </w:tcBorders>
                  <w:vAlign w:val="center"/>
                </w:tcPr>
                <w:p w14:paraId="0096A463">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lang w:bidi="ar"/>
                    </w:rPr>
                    <w:t>9.6</w:t>
                  </w:r>
                </w:p>
              </w:tc>
              <w:tc>
                <w:tcPr>
                  <w:tcW w:w="1891" w:type="dxa"/>
                  <w:tcBorders>
                    <w:top w:val="single" w:color="auto" w:sz="4" w:space="0"/>
                    <w:left w:val="single" w:color="auto" w:sz="4" w:space="0"/>
                    <w:bottom w:val="single" w:color="auto" w:sz="4" w:space="0"/>
                    <w:right w:val="single" w:color="auto" w:sz="4" w:space="0"/>
                  </w:tcBorders>
                  <w:vAlign w:val="center"/>
                </w:tcPr>
                <w:p w14:paraId="2E2D2708">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lang w:bidi="ar"/>
                    </w:rPr>
                    <w:t>9.7</w:t>
                  </w:r>
                </w:p>
              </w:tc>
              <w:tc>
                <w:tcPr>
                  <w:tcW w:w="1895" w:type="dxa"/>
                  <w:tcBorders>
                    <w:top w:val="single" w:color="auto" w:sz="4" w:space="0"/>
                    <w:left w:val="single" w:color="auto" w:sz="4" w:space="0"/>
                    <w:bottom w:val="single" w:color="auto" w:sz="4" w:space="0"/>
                    <w:right w:val="single" w:color="auto" w:sz="4" w:space="0"/>
                  </w:tcBorders>
                  <w:vAlign w:val="center"/>
                </w:tcPr>
                <w:p w14:paraId="153F392C">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lang w:bidi="ar"/>
                    </w:rPr>
                    <w:t>9.5</w:t>
                  </w:r>
                </w:p>
              </w:tc>
            </w:tr>
            <w:tr w14:paraId="6C9E52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2822" w:type="dxa"/>
                  <w:gridSpan w:val="2"/>
                  <w:tcBorders>
                    <w:top w:val="single" w:color="auto" w:sz="4" w:space="0"/>
                    <w:left w:val="single" w:color="auto" w:sz="4" w:space="0"/>
                    <w:bottom w:val="single" w:color="auto" w:sz="4" w:space="0"/>
                    <w:right w:val="single" w:color="auto" w:sz="4" w:space="0"/>
                  </w:tcBorders>
                  <w:vAlign w:val="center"/>
                </w:tcPr>
                <w:p w14:paraId="34136CE9">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r>
                    <w:rPr>
                      <w:rFonts w:hint="eastAsia" w:ascii="宋体" w:hAnsi="宋体" w:eastAsia="宋体" w:cs="宋体"/>
                      <w:color w:val="auto"/>
                      <w:szCs w:val="21"/>
                      <w:lang w:bidi="ar"/>
                    </w:rPr>
                    <w:t>标态干烟气量</w:t>
                  </w:r>
                </w:p>
              </w:tc>
              <w:tc>
                <w:tcPr>
                  <w:tcW w:w="936" w:type="dxa"/>
                  <w:tcBorders>
                    <w:top w:val="single" w:color="auto" w:sz="4" w:space="0"/>
                    <w:left w:val="single" w:color="auto" w:sz="4" w:space="0"/>
                    <w:bottom w:val="single" w:color="auto" w:sz="4" w:space="0"/>
                    <w:right w:val="single" w:color="auto" w:sz="4" w:space="0"/>
                  </w:tcBorders>
                  <w:vAlign w:val="center"/>
                </w:tcPr>
                <w:p w14:paraId="6845FC5C">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lang w:bidi="ar"/>
                    </w:rPr>
                    <w:t>m³/h</w:t>
                  </w:r>
                </w:p>
              </w:tc>
              <w:tc>
                <w:tcPr>
                  <w:tcW w:w="1778" w:type="dxa"/>
                  <w:tcBorders>
                    <w:top w:val="single" w:color="auto" w:sz="4" w:space="0"/>
                    <w:left w:val="single" w:color="auto" w:sz="4" w:space="0"/>
                    <w:bottom w:val="single" w:color="auto" w:sz="4" w:space="0"/>
                    <w:right w:val="single" w:color="auto" w:sz="4" w:space="0"/>
                  </w:tcBorders>
                  <w:vAlign w:val="center"/>
                </w:tcPr>
                <w:p w14:paraId="5FEF4DD4">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lang w:bidi="ar"/>
                    </w:rPr>
                    <w:t>9175</w:t>
                  </w:r>
                </w:p>
              </w:tc>
              <w:tc>
                <w:tcPr>
                  <w:tcW w:w="1891" w:type="dxa"/>
                  <w:tcBorders>
                    <w:top w:val="single" w:color="auto" w:sz="4" w:space="0"/>
                    <w:left w:val="single" w:color="auto" w:sz="4" w:space="0"/>
                    <w:bottom w:val="single" w:color="auto" w:sz="4" w:space="0"/>
                    <w:right w:val="single" w:color="auto" w:sz="4" w:space="0"/>
                  </w:tcBorders>
                  <w:vAlign w:val="center"/>
                </w:tcPr>
                <w:p w14:paraId="7A89BA3E">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lang w:bidi="ar"/>
                    </w:rPr>
                    <w:t>9257</w:t>
                  </w:r>
                </w:p>
              </w:tc>
              <w:tc>
                <w:tcPr>
                  <w:tcW w:w="1895" w:type="dxa"/>
                  <w:tcBorders>
                    <w:top w:val="single" w:color="auto" w:sz="4" w:space="0"/>
                    <w:left w:val="single" w:color="auto" w:sz="4" w:space="0"/>
                    <w:bottom w:val="single" w:color="auto" w:sz="4" w:space="0"/>
                    <w:right w:val="single" w:color="auto" w:sz="4" w:space="0"/>
                  </w:tcBorders>
                  <w:vAlign w:val="center"/>
                </w:tcPr>
                <w:p w14:paraId="10BAE2E0">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lang w:bidi="ar"/>
                    </w:rPr>
                    <w:t>9063</w:t>
                  </w:r>
                </w:p>
              </w:tc>
            </w:tr>
            <w:tr w14:paraId="55F940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1634" w:type="dxa"/>
                  <w:vMerge w:val="restart"/>
                  <w:tcBorders>
                    <w:top w:val="nil"/>
                    <w:left w:val="single" w:color="auto" w:sz="4" w:space="0"/>
                    <w:bottom w:val="single" w:color="auto" w:sz="4" w:space="0"/>
                    <w:right w:val="single" w:color="auto" w:sz="4" w:space="0"/>
                  </w:tcBorders>
                  <w:vAlign w:val="center"/>
                </w:tcPr>
                <w:p w14:paraId="10D7F7D2">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r>
                    <w:rPr>
                      <w:rFonts w:hint="eastAsia" w:ascii="宋体" w:hAnsi="宋体" w:eastAsia="宋体" w:cs="宋体"/>
                      <w:color w:val="auto"/>
                      <w:szCs w:val="21"/>
                      <w:lang w:bidi="ar"/>
                    </w:rPr>
                    <w:t>颗粒物</w:t>
                  </w:r>
                </w:p>
                <w:p w14:paraId="484AF5C0">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r>
                    <w:rPr>
                      <w:rFonts w:hint="eastAsia" w:ascii="宋体" w:hAnsi="宋体" w:eastAsia="宋体" w:cs="宋体"/>
                      <w:color w:val="auto"/>
                      <w:szCs w:val="21"/>
                      <w:lang w:bidi="ar"/>
                    </w:rPr>
                    <w:t>（烟尘、粉尘）</w:t>
                  </w:r>
                </w:p>
              </w:tc>
              <w:tc>
                <w:tcPr>
                  <w:tcW w:w="1188" w:type="dxa"/>
                  <w:tcBorders>
                    <w:top w:val="single" w:color="auto" w:sz="4" w:space="0"/>
                    <w:left w:val="single" w:color="auto" w:sz="4" w:space="0"/>
                    <w:bottom w:val="single" w:color="auto" w:sz="4" w:space="0"/>
                    <w:right w:val="single" w:color="auto" w:sz="4" w:space="0"/>
                  </w:tcBorders>
                  <w:vAlign w:val="center"/>
                </w:tcPr>
                <w:p w14:paraId="7EC2A502">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r>
                    <w:rPr>
                      <w:rFonts w:hint="eastAsia" w:ascii="宋体" w:hAnsi="宋体" w:eastAsia="宋体" w:cs="宋体"/>
                      <w:color w:val="auto"/>
                      <w:szCs w:val="21"/>
                      <w:lang w:bidi="ar"/>
                    </w:rPr>
                    <w:t>样品编号</w:t>
                  </w:r>
                </w:p>
              </w:tc>
              <w:tc>
                <w:tcPr>
                  <w:tcW w:w="936" w:type="dxa"/>
                  <w:tcBorders>
                    <w:top w:val="single" w:color="auto" w:sz="4" w:space="0"/>
                    <w:left w:val="single" w:color="auto" w:sz="4" w:space="0"/>
                    <w:bottom w:val="single" w:color="auto" w:sz="4" w:space="0"/>
                    <w:right w:val="single" w:color="auto" w:sz="4" w:space="0"/>
                  </w:tcBorders>
                  <w:vAlign w:val="center"/>
                </w:tcPr>
                <w:p w14:paraId="0C412AE7">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lang w:bidi="ar"/>
                    </w:rPr>
                    <w:t>/</w:t>
                  </w:r>
                </w:p>
              </w:tc>
              <w:tc>
                <w:tcPr>
                  <w:tcW w:w="1778" w:type="dxa"/>
                  <w:tcBorders>
                    <w:top w:val="single" w:color="auto" w:sz="4" w:space="0"/>
                    <w:left w:val="single" w:color="auto" w:sz="4" w:space="0"/>
                    <w:bottom w:val="single" w:color="auto" w:sz="4" w:space="0"/>
                    <w:right w:val="single" w:color="auto" w:sz="4" w:space="0"/>
                  </w:tcBorders>
                  <w:vAlign w:val="center"/>
                </w:tcPr>
                <w:p w14:paraId="3B17860F">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r>
                    <w:rPr>
                      <w:rFonts w:hint="eastAsia" w:ascii="宋体" w:hAnsi="宋体" w:eastAsia="宋体" w:cs="宋体"/>
                      <w:color w:val="auto"/>
                      <w:szCs w:val="21"/>
                      <w:lang w:bidi="ar"/>
                    </w:rPr>
                    <w:t>气</w:t>
                  </w:r>
                  <w:r>
                    <w:rPr>
                      <w:rFonts w:hint="default" w:ascii="Times New Roman" w:hAnsi="Times New Roman" w:eastAsia="宋体" w:cs="Times New Roman"/>
                      <w:color w:val="auto"/>
                      <w:szCs w:val="21"/>
                      <w:lang w:bidi="ar"/>
                    </w:rPr>
                    <w:t>251119078</w:t>
                  </w:r>
                </w:p>
              </w:tc>
              <w:tc>
                <w:tcPr>
                  <w:tcW w:w="1891" w:type="dxa"/>
                  <w:tcBorders>
                    <w:top w:val="single" w:color="auto" w:sz="4" w:space="0"/>
                    <w:left w:val="single" w:color="auto" w:sz="4" w:space="0"/>
                    <w:bottom w:val="single" w:color="auto" w:sz="4" w:space="0"/>
                    <w:right w:val="single" w:color="auto" w:sz="4" w:space="0"/>
                  </w:tcBorders>
                  <w:vAlign w:val="center"/>
                </w:tcPr>
                <w:p w14:paraId="107EB263">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r>
                    <w:rPr>
                      <w:rFonts w:hint="eastAsia" w:ascii="宋体" w:hAnsi="宋体" w:eastAsia="宋体" w:cs="宋体"/>
                      <w:color w:val="auto"/>
                      <w:szCs w:val="21"/>
                      <w:lang w:bidi="ar"/>
                    </w:rPr>
                    <w:t>气</w:t>
                  </w:r>
                  <w:r>
                    <w:rPr>
                      <w:rFonts w:hint="default" w:ascii="Times New Roman" w:hAnsi="Times New Roman" w:eastAsia="宋体" w:cs="Times New Roman"/>
                      <w:color w:val="auto"/>
                      <w:szCs w:val="21"/>
                      <w:lang w:bidi="ar"/>
                    </w:rPr>
                    <w:t>251119079</w:t>
                  </w:r>
                </w:p>
              </w:tc>
              <w:tc>
                <w:tcPr>
                  <w:tcW w:w="1895" w:type="dxa"/>
                  <w:tcBorders>
                    <w:top w:val="single" w:color="auto" w:sz="4" w:space="0"/>
                    <w:left w:val="single" w:color="auto" w:sz="4" w:space="0"/>
                    <w:bottom w:val="single" w:color="auto" w:sz="4" w:space="0"/>
                    <w:right w:val="single" w:color="auto" w:sz="4" w:space="0"/>
                  </w:tcBorders>
                  <w:vAlign w:val="center"/>
                </w:tcPr>
                <w:p w14:paraId="678E37A2">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r>
                    <w:rPr>
                      <w:rFonts w:hint="eastAsia" w:ascii="宋体" w:hAnsi="宋体" w:eastAsia="宋体" w:cs="宋体"/>
                      <w:color w:val="auto"/>
                      <w:szCs w:val="21"/>
                      <w:lang w:bidi="ar"/>
                    </w:rPr>
                    <w:t>气</w:t>
                  </w:r>
                  <w:r>
                    <w:rPr>
                      <w:rFonts w:hint="default" w:ascii="Times New Roman" w:hAnsi="Times New Roman" w:eastAsia="宋体" w:cs="Times New Roman"/>
                      <w:color w:val="auto"/>
                      <w:szCs w:val="21"/>
                      <w:lang w:bidi="ar"/>
                    </w:rPr>
                    <w:t>251119080</w:t>
                  </w:r>
                </w:p>
              </w:tc>
            </w:tr>
            <w:tr w14:paraId="6F7BBB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1634" w:type="dxa"/>
                  <w:vMerge w:val="continue"/>
                  <w:tcBorders>
                    <w:top w:val="nil"/>
                    <w:left w:val="single" w:color="auto" w:sz="4" w:space="0"/>
                    <w:bottom w:val="single" w:color="auto" w:sz="4" w:space="0"/>
                    <w:right w:val="single" w:color="auto" w:sz="4" w:space="0"/>
                  </w:tcBorders>
                  <w:vAlign w:val="center"/>
                </w:tcPr>
                <w:p w14:paraId="562B8779">
                  <w:pPr>
                    <w:keepNext w:val="0"/>
                    <w:keepLines w:val="0"/>
                    <w:suppressLineNumbers w:val="0"/>
                    <w:spacing w:before="0" w:beforeAutospacing="0" w:after="0" w:afterAutospacing="0"/>
                    <w:ind w:left="0" w:right="0"/>
                    <w:rPr>
                      <w:rFonts w:hint="default" w:ascii="Times New Roman" w:hAnsi="Times New Roman" w:cs="Times New Roman"/>
                      <w:color w:val="auto"/>
                      <w:sz w:val="20"/>
                      <w:szCs w:val="20"/>
                    </w:rPr>
                  </w:pPr>
                </w:p>
              </w:tc>
              <w:tc>
                <w:tcPr>
                  <w:tcW w:w="1188" w:type="dxa"/>
                  <w:tcBorders>
                    <w:top w:val="single" w:color="auto" w:sz="4" w:space="0"/>
                    <w:left w:val="single" w:color="auto" w:sz="4" w:space="0"/>
                    <w:bottom w:val="single" w:color="auto" w:sz="4" w:space="0"/>
                    <w:right w:val="single" w:color="auto" w:sz="4" w:space="0"/>
                  </w:tcBorders>
                  <w:vAlign w:val="center"/>
                </w:tcPr>
                <w:p w14:paraId="5EF91029">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r>
                    <w:rPr>
                      <w:rFonts w:hint="eastAsia" w:ascii="宋体" w:hAnsi="宋体" w:eastAsia="宋体" w:cs="宋体"/>
                      <w:color w:val="auto"/>
                      <w:szCs w:val="21"/>
                      <w:lang w:bidi="ar"/>
                    </w:rPr>
                    <w:t>排放浓度</w:t>
                  </w:r>
                </w:p>
              </w:tc>
              <w:tc>
                <w:tcPr>
                  <w:tcW w:w="936" w:type="dxa"/>
                  <w:tcBorders>
                    <w:top w:val="single" w:color="auto" w:sz="4" w:space="0"/>
                    <w:left w:val="single" w:color="auto" w:sz="4" w:space="0"/>
                    <w:bottom w:val="single" w:color="auto" w:sz="4" w:space="0"/>
                    <w:right w:val="single" w:color="auto" w:sz="4" w:space="0"/>
                  </w:tcBorders>
                  <w:vAlign w:val="center"/>
                </w:tcPr>
                <w:p w14:paraId="13EDE19E">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lang w:bidi="ar"/>
                    </w:rPr>
                    <w:t>mg/m³</w:t>
                  </w:r>
                </w:p>
              </w:tc>
              <w:tc>
                <w:tcPr>
                  <w:tcW w:w="1778" w:type="dxa"/>
                  <w:tcBorders>
                    <w:top w:val="single" w:color="auto" w:sz="4" w:space="0"/>
                    <w:left w:val="single" w:color="auto" w:sz="4" w:space="0"/>
                    <w:bottom w:val="single" w:color="auto" w:sz="4" w:space="0"/>
                    <w:right w:val="single" w:color="auto" w:sz="4" w:space="0"/>
                  </w:tcBorders>
                  <w:vAlign w:val="center"/>
                </w:tcPr>
                <w:p w14:paraId="27F53361">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lang w:bidi="ar"/>
                    </w:rPr>
                    <w:t>&lt;20</w:t>
                  </w:r>
                </w:p>
              </w:tc>
              <w:tc>
                <w:tcPr>
                  <w:tcW w:w="1891" w:type="dxa"/>
                  <w:tcBorders>
                    <w:top w:val="single" w:color="auto" w:sz="4" w:space="0"/>
                    <w:left w:val="single" w:color="auto" w:sz="4" w:space="0"/>
                    <w:bottom w:val="single" w:color="auto" w:sz="4" w:space="0"/>
                    <w:right w:val="single" w:color="auto" w:sz="4" w:space="0"/>
                  </w:tcBorders>
                  <w:vAlign w:val="center"/>
                </w:tcPr>
                <w:p w14:paraId="04C0E6EF">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lang w:bidi="ar"/>
                    </w:rPr>
                    <w:t>&lt;20</w:t>
                  </w:r>
                </w:p>
              </w:tc>
              <w:tc>
                <w:tcPr>
                  <w:tcW w:w="1895" w:type="dxa"/>
                  <w:tcBorders>
                    <w:top w:val="single" w:color="auto" w:sz="4" w:space="0"/>
                    <w:left w:val="single" w:color="auto" w:sz="4" w:space="0"/>
                    <w:bottom w:val="single" w:color="auto" w:sz="4" w:space="0"/>
                    <w:right w:val="single" w:color="auto" w:sz="4" w:space="0"/>
                  </w:tcBorders>
                  <w:vAlign w:val="center"/>
                </w:tcPr>
                <w:p w14:paraId="7768185E">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lang w:bidi="ar"/>
                    </w:rPr>
                    <w:t>&lt;20</w:t>
                  </w:r>
                </w:p>
              </w:tc>
            </w:tr>
            <w:tr w14:paraId="0534CE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1634" w:type="dxa"/>
                  <w:vMerge w:val="continue"/>
                  <w:tcBorders>
                    <w:top w:val="nil"/>
                    <w:left w:val="single" w:color="auto" w:sz="4" w:space="0"/>
                    <w:bottom w:val="single" w:color="auto" w:sz="4" w:space="0"/>
                    <w:right w:val="single" w:color="auto" w:sz="4" w:space="0"/>
                  </w:tcBorders>
                  <w:vAlign w:val="center"/>
                </w:tcPr>
                <w:p w14:paraId="78C8458C">
                  <w:pPr>
                    <w:keepNext w:val="0"/>
                    <w:keepLines w:val="0"/>
                    <w:suppressLineNumbers w:val="0"/>
                    <w:spacing w:before="0" w:beforeAutospacing="0" w:after="0" w:afterAutospacing="0"/>
                    <w:ind w:left="0" w:right="0"/>
                    <w:rPr>
                      <w:rFonts w:hint="default" w:ascii="Times New Roman" w:hAnsi="Times New Roman" w:cs="Times New Roman"/>
                      <w:color w:val="auto"/>
                      <w:sz w:val="20"/>
                      <w:szCs w:val="20"/>
                    </w:rPr>
                  </w:pPr>
                </w:p>
              </w:tc>
              <w:tc>
                <w:tcPr>
                  <w:tcW w:w="1188" w:type="dxa"/>
                  <w:tcBorders>
                    <w:top w:val="single" w:color="auto" w:sz="4" w:space="0"/>
                    <w:left w:val="single" w:color="auto" w:sz="4" w:space="0"/>
                    <w:bottom w:val="single" w:color="auto" w:sz="4" w:space="0"/>
                    <w:right w:val="single" w:color="auto" w:sz="4" w:space="0"/>
                  </w:tcBorders>
                  <w:vAlign w:val="center"/>
                </w:tcPr>
                <w:p w14:paraId="3620FF7A">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r>
                    <w:rPr>
                      <w:rFonts w:hint="eastAsia" w:ascii="宋体" w:hAnsi="宋体" w:eastAsia="宋体" w:cs="宋体"/>
                      <w:color w:val="auto"/>
                      <w:szCs w:val="21"/>
                      <w:lang w:bidi="ar"/>
                    </w:rPr>
                    <w:t>排放速率</w:t>
                  </w:r>
                </w:p>
              </w:tc>
              <w:tc>
                <w:tcPr>
                  <w:tcW w:w="936" w:type="dxa"/>
                  <w:tcBorders>
                    <w:top w:val="single" w:color="auto" w:sz="4" w:space="0"/>
                    <w:left w:val="single" w:color="auto" w:sz="4" w:space="0"/>
                    <w:bottom w:val="single" w:color="auto" w:sz="4" w:space="0"/>
                    <w:right w:val="single" w:color="auto" w:sz="4" w:space="0"/>
                  </w:tcBorders>
                  <w:vAlign w:val="center"/>
                </w:tcPr>
                <w:p w14:paraId="2AF5A94A">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lang w:bidi="ar"/>
                    </w:rPr>
                    <w:t>kg/h</w:t>
                  </w:r>
                </w:p>
              </w:tc>
              <w:tc>
                <w:tcPr>
                  <w:tcW w:w="1778" w:type="dxa"/>
                  <w:tcBorders>
                    <w:top w:val="single" w:color="auto" w:sz="4" w:space="0"/>
                    <w:left w:val="single" w:color="auto" w:sz="4" w:space="0"/>
                    <w:bottom w:val="single" w:color="auto" w:sz="4" w:space="0"/>
                    <w:right w:val="single" w:color="auto" w:sz="4" w:space="0"/>
                  </w:tcBorders>
                  <w:vAlign w:val="center"/>
                </w:tcPr>
                <w:p w14:paraId="2D6C37AD">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lang w:bidi="ar"/>
                    </w:rPr>
                    <w:t>9.18×10</w:t>
                  </w:r>
                  <w:r>
                    <w:rPr>
                      <w:rFonts w:hint="default" w:ascii="Times New Roman" w:hAnsi="Times New Roman" w:eastAsia="宋体" w:cs="Times New Roman"/>
                      <w:color w:val="auto"/>
                      <w:szCs w:val="21"/>
                      <w:vertAlign w:val="superscript"/>
                      <w:lang w:bidi="ar"/>
                    </w:rPr>
                    <w:t>-</w:t>
                  </w:r>
                  <w:r>
                    <w:rPr>
                      <w:rFonts w:hint="default" w:ascii="Times New Roman" w:hAnsi="Times New Roman" w:eastAsia="宋体" w:cs="Times New Roman"/>
                      <w:color w:val="auto"/>
                      <w:szCs w:val="21"/>
                      <w:lang w:bidi="ar"/>
                    </w:rPr>
                    <w:t>²</w:t>
                  </w:r>
                </w:p>
              </w:tc>
              <w:tc>
                <w:tcPr>
                  <w:tcW w:w="1891" w:type="dxa"/>
                  <w:tcBorders>
                    <w:top w:val="single" w:color="auto" w:sz="4" w:space="0"/>
                    <w:left w:val="single" w:color="auto" w:sz="4" w:space="0"/>
                    <w:bottom w:val="single" w:color="auto" w:sz="4" w:space="0"/>
                    <w:right w:val="single" w:color="auto" w:sz="4" w:space="0"/>
                  </w:tcBorders>
                  <w:vAlign w:val="center"/>
                </w:tcPr>
                <w:p w14:paraId="2BA0BFBD">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lang w:bidi="ar"/>
                    </w:rPr>
                    <w:t>9.26×10</w:t>
                  </w:r>
                  <w:r>
                    <w:rPr>
                      <w:rFonts w:hint="default" w:ascii="Times New Roman" w:hAnsi="Times New Roman" w:eastAsia="宋体" w:cs="Times New Roman"/>
                      <w:color w:val="auto"/>
                      <w:szCs w:val="21"/>
                      <w:vertAlign w:val="superscript"/>
                      <w:lang w:bidi="ar"/>
                    </w:rPr>
                    <w:t>-</w:t>
                  </w:r>
                  <w:r>
                    <w:rPr>
                      <w:rFonts w:hint="default" w:ascii="Times New Roman" w:hAnsi="Times New Roman" w:eastAsia="宋体" w:cs="Times New Roman"/>
                      <w:color w:val="auto"/>
                      <w:szCs w:val="21"/>
                      <w:lang w:bidi="ar"/>
                    </w:rPr>
                    <w:t>²</w:t>
                  </w:r>
                </w:p>
              </w:tc>
              <w:tc>
                <w:tcPr>
                  <w:tcW w:w="1895" w:type="dxa"/>
                  <w:tcBorders>
                    <w:top w:val="single" w:color="auto" w:sz="4" w:space="0"/>
                    <w:left w:val="single" w:color="auto" w:sz="4" w:space="0"/>
                    <w:bottom w:val="single" w:color="auto" w:sz="4" w:space="0"/>
                    <w:right w:val="single" w:color="auto" w:sz="4" w:space="0"/>
                  </w:tcBorders>
                  <w:vAlign w:val="center"/>
                </w:tcPr>
                <w:p w14:paraId="50E891F9">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lang w:bidi="ar"/>
                    </w:rPr>
                    <w:t>9.06×10</w:t>
                  </w:r>
                  <w:r>
                    <w:rPr>
                      <w:rFonts w:hint="default" w:ascii="Times New Roman" w:hAnsi="Times New Roman" w:eastAsia="宋体" w:cs="Times New Roman"/>
                      <w:color w:val="auto"/>
                      <w:szCs w:val="21"/>
                      <w:vertAlign w:val="superscript"/>
                      <w:lang w:bidi="ar"/>
                    </w:rPr>
                    <w:t>-</w:t>
                  </w:r>
                  <w:r>
                    <w:rPr>
                      <w:rFonts w:hint="default" w:ascii="Times New Roman" w:hAnsi="Times New Roman" w:eastAsia="宋体" w:cs="Times New Roman"/>
                      <w:color w:val="auto"/>
                      <w:szCs w:val="21"/>
                      <w:lang w:bidi="ar"/>
                    </w:rPr>
                    <w:t>²</w:t>
                  </w:r>
                </w:p>
              </w:tc>
            </w:tr>
            <w:tr w14:paraId="4E2A5F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9322" w:type="dxa"/>
                  <w:gridSpan w:val="6"/>
                  <w:tcBorders>
                    <w:top w:val="single" w:color="auto" w:sz="4" w:space="0"/>
                    <w:left w:val="single" w:color="auto" w:sz="4" w:space="0"/>
                    <w:bottom w:val="single" w:color="auto" w:sz="4" w:space="0"/>
                    <w:right w:val="single" w:color="auto" w:sz="4" w:space="0"/>
                  </w:tcBorders>
                  <w:vAlign w:val="center"/>
                </w:tcPr>
                <w:p w14:paraId="55F25EC4">
                  <w:pPr>
                    <w:keepNext w:val="0"/>
                    <w:keepLines w:val="0"/>
                    <w:suppressLineNumbers w:val="0"/>
                    <w:spacing w:before="0" w:beforeAutospacing="0" w:after="0" w:afterAutospacing="0"/>
                    <w:ind w:left="0" w:right="0"/>
                    <w:jc w:val="left"/>
                    <w:rPr>
                      <w:rFonts w:hint="default" w:ascii="Times New Roman" w:hAnsi="Times New Roman" w:eastAsia="宋体" w:cs="Times New Roman"/>
                      <w:color w:val="auto"/>
                      <w:szCs w:val="21"/>
                    </w:rPr>
                  </w:pPr>
                  <w:r>
                    <w:rPr>
                      <w:rFonts w:hint="eastAsia" w:ascii="宋体" w:hAnsi="宋体" w:eastAsia="宋体" w:cs="宋体"/>
                      <w:color w:val="auto"/>
                      <w:szCs w:val="21"/>
                      <w:lang w:bidi="ar"/>
                    </w:rPr>
                    <w:t>采样点位：</w:t>
                  </w:r>
                  <w:r>
                    <w:rPr>
                      <w:rFonts w:hint="default" w:ascii="Times New Roman" w:hAnsi="Times New Roman" w:eastAsia="宋体" w:cs="Times New Roman"/>
                      <w:color w:val="auto"/>
                      <w:szCs w:val="21"/>
                      <w:u w:val="single"/>
                      <w:lang w:bidi="ar"/>
                    </w:rPr>
                    <w:t xml:space="preserve">   DA001</w:t>
                  </w:r>
                  <w:r>
                    <w:rPr>
                      <w:rFonts w:hint="eastAsia" w:ascii="宋体" w:hAnsi="宋体" w:eastAsia="宋体" w:cs="宋体"/>
                      <w:color w:val="auto"/>
                      <w:szCs w:val="21"/>
                      <w:u w:val="single"/>
                      <w:lang w:bidi="ar"/>
                    </w:rPr>
                    <w:t xml:space="preserve">投料粉尘废气处理设施出口   </w:t>
                  </w:r>
                  <w:r>
                    <w:rPr>
                      <w:rFonts w:hint="eastAsia" w:ascii="宋体" w:hAnsi="宋体" w:eastAsia="宋体" w:cs="宋体"/>
                      <w:color w:val="auto"/>
                      <w:szCs w:val="21"/>
                      <w:lang w:bidi="ar"/>
                    </w:rPr>
                    <w:t>采样日期：</w:t>
                  </w:r>
                  <w:r>
                    <w:rPr>
                      <w:rFonts w:hint="default" w:ascii="Times New Roman" w:hAnsi="Times New Roman" w:eastAsia="宋体" w:cs="Times New Roman"/>
                      <w:color w:val="auto"/>
                      <w:szCs w:val="21"/>
                      <w:u w:val="single"/>
                      <w:lang w:bidi="ar"/>
                    </w:rPr>
                    <w:t xml:space="preserve">   2025.11.19   </w:t>
                  </w:r>
                </w:p>
              </w:tc>
            </w:tr>
            <w:tr w14:paraId="2E51BD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2822" w:type="dxa"/>
                  <w:gridSpan w:val="2"/>
                  <w:tcBorders>
                    <w:top w:val="single" w:color="auto" w:sz="4" w:space="0"/>
                    <w:left w:val="single" w:color="auto" w:sz="4" w:space="0"/>
                    <w:bottom w:val="single" w:color="auto" w:sz="4" w:space="0"/>
                    <w:right w:val="single" w:color="auto" w:sz="4" w:space="0"/>
                  </w:tcBorders>
                  <w:vAlign w:val="center"/>
                </w:tcPr>
                <w:p w14:paraId="4AA9B960">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r>
                    <w:rPr>
                      <w:rFonts w:hint="eastAsia" w:ascii="宋体" w:hAnsi="宋体" w:eastAsia="宋体" w:cs="宋体"/>
                      <w:color w:val="auto"/>
                      <w:szCs w:val="21"/>
                      <w:lang w:bidi="ar"/>
                    </w:rPr>
                    <w:t>检测项目</w:t>
                  </w:r>
                </w:p>
              </w:tc>
              <w:tc>
                <w:tcPr>
                  <w:tcW w:w="936" w:type="dxa"/>
                  <w:tcBorders>
                    <w:top w:val="single" w:color="auto" w:sz="4" w:space="0"/>
                    <w:left w:val="single" w:color="auto" w:sz="4" w:space="0"/>
                    <w:bottom w:val="single" w:color="auto" w:sz="4" w:space="0"/>
                    <w:right w:val="single" w:color="auto" w:sz="4" w:space="0"/>
                  </w:tcBorders>
                  <w:vAlign w:val="center"/>
                </w:tcPr>
                <w:p w14:paraId="6C396E6A">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r>
                    <w:rPr>
                      <w:rFonts w:hint="eastAsia" w:ascii="宋体" w:hAnsi="宋体" w:eastAsia="宋体" w:cs="宋体"/>
                      <w:color w:val="auto"/>
                      <w:szCs w:val="21"/>
                      <w:lang w:bidi="ar"/>
                    </w:rPr>
                    <w:t>单位</w:t>
                  </w:r>
                </w:p>
              </w:tc>
              <w:tc>
                <w:tcPr>
                  <w:tcW w:w="5564" w:type="dxa"/>
                  <w:gridSpan w:val="3"/>
                  <w:tcBorders>
                    <w:top w:val="single" w:color="auto" w:sz="4" w:space="0"/>
                    <w:left w:val="single" w:color="auto" w:sz="4" w:space="0"/>
                    <w:bottom w:val="single" w:color="auto" w:sz="4" w:space="0"/>
                    <w:right w:val="single" w:color="auto" w:sz="4" w:space="0"/>
                  </w:tcBorders>
                  <w:vAlign w:val="center"/>
                </w:tcPr>
                <w:p w14:paraId="724DD0D7">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r>
                    <w:rPr>
                      <w:rFonts w:hint="eastAsia" w:ascii="宋体" w:hAnsi="宋体" w:eastAsia="宋体" w:cs="宋体"/>
                      <w:color w:val="auto"/>
                      <w:szCs w:val="21"/>
                      <w:lang w:bidi="ar"/>
                    </w:rPr>
                    <w:t>检测结果</w:t>
                  </w:r>
                </w:p>
              </w:tc>
            </w:tr>
            <w:tr w14:paraId="36550B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2822" w:type="dxa"/>
                  <w:gridSpan w:val="2"/>
                  <w:tcBorders>
                    <w:top w:val="single" w:color="auto" w:sz="4" w:space="0"/>
                    <w:left w:val="single" w:color="auto" w:sz="4" w:space="0"/>
                    <w:bottom w:val="single" w:color="auto" w:sz="4" w:space="0"/>
                    <w:right w:val="single" w:color="auto" w:sz="4" w:space="0"/>
                  </w:tcBorders>
                  <w:vAlign w:val="center"/>
                </w:tcPr>
                <w:p w14:paraId="10E06312">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r>
                    <w:rPr>
                      <w:rFonts w:hint="eastAsia" w:ascii="宋体" w:hAnsi="宋体" w:eastAsia="宋体" w:cs="宋体"/>
                      <w:color w:val="auto"/>
                      <w:szCs w:val="21"/>
                      <w:lang w:bidi="ar"/>
                    </w:rPr>
                    <w:t>检测管道截面积</w:t>
                  </w:r>
                </w:p>
              </w:tc>
              <w:tc>
                <w:tcPr>
                  <w:tcW w:w="936" w:type="dxa"/>
                  <w:tcBorders>
                    <w:top w:val="single" w:color="auto" w:sz="4" w:space="0"/>
                    <w:left w:val="single" w:color="auto" w:sz="4" w:space="0"/>
                    <w:bottom w:val="single" w:color="auto" w:sz="4" w:space="0"/>
                    <w:right w:val="single" w:color="auto" w:sz="4" w:space="0"/>
                  </w:tcBorders>
                  <w:vAlign w:val="center"/>
                </w:tcPr>
                <w:p w14:paraId="0B457585">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lang w:bidi="ar"/>
                    </w:rPr>
                    <w:t>m²</w:t>
                  </w:r>
                </w:p>
              </w:tc>
              <w:tc>
                <w:tcPr>
                  <w:tcW w:w="1778" w:type="dxa"/>
                  <w:tcBorders>
                    <w:top w:val="single" w:color="auto" w:sz="4" w:space="0"/>
                    <w:left w:val="single" w:color="auto" w:sz="4" w:space="0"/>
                    <w:bottom w:val="single" w:color="auto" w:sz="4" w:space="0"/>
                    <w:right w:val="single" w:color="auto" w:sz="4" w:space="0"/>
                  </w:tcBorders>
                  <w:vAlign w:val="center"/>
                </w:tcPr>
                <w:p w14:paraId="02BA29D7">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lang w:bidi="ar"/>
                    </w:rPr>
                    <w:t>0.2827</w:t>
                  </w:r>
                </w:p>
              </w:tc>
              <w:tc>
                <w:tcPr>
                  <w:tcW w:w="1891" w:type="dxa"/>
                  <w:tcBorders>
                    <w:top w:val="single" w:color="auto" w:sz="4" w:space="0"/>
                    <w:left w:val="single" w:color="auto" w:sz="4" w:space="0"/>
                    <w:bottom w:val="single" w:color="auto" w:sz="4" w:space="0"/>
                    <w:right w:val="single" w:color="auto" w:sz="4" w:space="0"/>
                  </w:tcBorders>
                  <w:vAlign w:val="center"/>
                </w:tcPr>
                <w:p w14:paraId="3AE3CB43">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lang w:bidi="ar"/>
                    </w:rPr>
                    <w:t>0.2827</w:t>
                  </w:r>
                </w:p>
              </w:tc>
              <w:tc>
                <w:tcPr>
                  <w:tcW w:w="1895" w:type="dxa"/>
                  <w:tcBorders>
                    <w:top w:val="single" w:color="auto" w:sz="4" w:space="0"/>
                    <w:left w:val="single" w:color="auto" w:sz="4" w:space="0"/>
                    <w:bottom w:val="single" w:color="auto" w:sz="4" w:space="0"/>
                    <w:right w:val="single" w:color="auto" w:sz="4" w:space="0"/>
                  </w:tcBorders>
                  <w:vAlign w:val="center"/>
                </w:tcPr>
                <w:p w14:paraId="4FF99EFC">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lang w:bidi="ar"/>
                    </w:rPr>
                    <w:t>0.2827</w:t>
                  </w:r>
                </w:p>
              </w:tc>
            </w:tr>
            <w:tr w14:paraId="1986AE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2822" w:type="dxa"/>
                  <w:gridSpan w:val="2"/>
                  <w:tcBorders>
                    <w:top w:val="single" w:color="auto" w:sz="4" w:space="0"/>
                    <w:left w:val="single" w:color="auto" w:sz="4" w:space="0"/>
                    <w:bottom w:val="single" w:color="auto" w:sz="4" w:space="0"/>
                    <w:right w:val="single" w:color="auto" w:sz="4" w:space="0"/>
                  </w:tcBorders>
                  <w:vAlign w:val="center"/>
                </w:tcPr>
                <w:p w14:paraId="77ABF068">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r>
                    <w:rPr>
                      <w:rFonts w:hint="eastAsia" w:ascii="宋体" w:hAnsi="宋体" w:eastAsia="宋体" w:cs="宋体"/>
                      <w:color w:val="auto"/>
                      <w:szCs w:val="21"/>
                      <w:lang w:bidi="ar"/>
                    </w:rPr>
                    <w:t>烟气温度</w:t>
                  </w:r>
                </w:p>
              </w:tc>
              <w:tc>
                <w:tcPr>
                  <w:tcW w:w="936" w:type="dxa"/>
                  <w:tcBorders>
                    <w:top w:val="single" w:color="auto" w:sz="4" w:space="0"/>
                    <w:left w:val="single" w:color="auto" w:sz="4" w:space="0"/>
                    <w:bottom w:val="single" w:color="auto" w:sz="4" w:space="0"/>
                    <w:right w:val="single" w:color="auto" w:sz="4" w:space="0"/>
                  </w:tcBorders>
                  <w:vAlign w:val="center"/>
                </w:tcPr>
                <w:p w14:paraId="1A32CC94">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lang w:bidi="ar"/>
                    </w:rPr>
                    <w:t>℃</w:t>
                  </w:r>
                </w:p>
              </w:tc>
              <w:tc>
                <w:tcPr>
                  <w:tcW w:w="1778" w:type="dxa"/>
                  <w:tcBorders>
                    <w:top w:val="single" w:color="auto" w:sz="4" w:space="0"/>
                    <w:left w:val="single" w:color="auto" w:sz="4" w:space="0"/>
                    <w:bottom w:val="single" w:color="auto" w:sz="4" w:space="0"/>
                    <w:right w:val="single" w:color="auto" w:sz="4" w:space="0"/>
                  </w:tcBorders>
                  <w:vAlign w:val="center"/>
                </w:tcPr>
                <w:p w14:paraId="29DF1AEA">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lang w:bidi="ar"/>
                    </w:rPr>
                    <w:t>22.0</w:t>
                  </w:r>
                </w:p>
              </w:tc>
              <w:tc>
                <w:tcPr>
                  <w:tcW w:w="1891" w:type="dxa"/>
                  <w:tcBorders>
                    <w:top w:val="single" w:color="auto" w:sz="4" w:space="0"/>
                    <w:left w:val="single" w:color="auto" w:sz="4" w:space="0"/>
                    <w:bottom w:val="single" w:color="auto" w:sz="4" w:space="0"/>
                    <w:right w:val="single" w:color="auto" w:sz="4" w:space="0"/>
                  </w:tcBorders>
                  <w:vAlign w:val="center"/>
                </w:tcPr>
                <w:p w14:paraId="6F1851FB">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lang w:bidi="ar"/>
                    </w:rPr>
                    <w:t>21.9</w:t>
                  </w:r>
                </w:p>
              </w:tc>
              <w:tc>
                <w:tcPr>
                  <w:tcW w:w="1895" w:type="dxa"/>
                  <w:tcBorders>
                    <w:top w:val="single" w:color="auto" w:sz="4" w:space="0"/>
                    <w:left w:val="single" w:color="auto" w:sz="4" w:space="0"/>
                    <w:bottom w:val="single" w:color="auto" w:sz="4" w:space="0"/>
                    <w:right w:val="single" w:color="auto" w:sz="4" w:space="0"/>
                  </w:tcBorders>
                  <w:vAlign w:val="center"/>
                </w:tcPr>
                <w:p w14:paraId="130DF542">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lang w:bidi="ar"/>
                    </w:rPr>
                    <w:t>22.0</w:t>
                  </w:r>
                </w:p>
              </w:tc>
            </w:tr>
            <w:tr w14:paraId="179BD8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2822" w:type="dxa"/>
                  <w:gridSpan w:val="2"/>
                  <w:tcBorders>
                    <w:top w:val="single" w:color="auto" w:sz="4" w:space="0"/>
                    <w:left w:val="single" w:color="auto" w:sz="4" w:space="0"/>
                    <w:bottom w:val="single" w:color="auto" w:sz="4" w:space="0"/>
                    <w:right w:val="single" w:color="auto" w:sz="4" w:space="0"/>
                  </w:tcBorders>
                  <w:vAlign w:val="center"/>
                </w:tcPr>
                <w:p w14:paraId="5ED5064E">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r>
                    <w:rPr>
                      <w:rFonts w:hint="eastAsia" w:ascii="宋体" w:hAnsi="宋体" w:eastAsia="宋体" w:cs="宋体"/>
                      <w:color w:val="auto"/>
                      <w:szCs w:val="21"/>
                      <w:lang w:bidi="ar"/>
                    </w:rPr>
                    <w:t>烟气平均流速</w:t>
                  </w:r>
                </w:p>
              </w:tc>
              <w:tc>
                <w:tcPr>
                  <w:tcW w:w="936" w:type="dxa"/>
                  <w:tcBorders>
                    <w:top w:val="single" w:color="auto" w:sz="4" w:space="0"/>
                    <w:left w:val="single" w:color="auto" w:sz="4" w:space="0"/>
                    <w:bottom w:val="single" w:color="auto" w:sz="4" w:space="0"/>
                    <w:right w:val="single" w:color="auto" w:sz="4" w:space="0"/>
                  </w:tcBorders>
                  <w:vAlign w:val="center"/>
                </w:tcPr>
                <w:p w14:paraId="2D5FD83F">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lang w:bidi="ar"/>
                    </w:rPr>
                    <w:t>m/s</w:t>
                  </w:r>
                </w:p>
              </w:tc>
              <w:tc>
                <w:tcPr>
                  <w:tcW w:w="1778" w:type="dxa"/>
                  <w:tcBorders>
                    <w:top w:val="single" w:color="auto" w:sz="4" w:space="0"/>
                    <w:left w:val="single" w:color="auto" w:sz="4" w:space="0"/>
                    <w:bottom w:val="single" w:color="auto" w:sz="4" w:space="0"/>
                    <w:right w:val="single" w:color="auto" w:sz="4" w:space="0"/>
                  </w:tcBorders>
                  <w:vAlign w:val="center"/>
                </w:tcPr>
                <w:p w14:paraId="50F7B0AB">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lang w:bidi="ar"/>
                    </w:rPr>
                    <w:t>10.3</w:t>
                  </w:r>
                </w:p>
              </w:tc>
              <w:tc>
                <w:tcPr>
                  <w:tcW w:w="1891" w:type="dxa"/>
                  <w:tcBorders>
                    <w:top w:val="single" w:color="auto" w:sz="4" w:space="0"/>
                    <w:left w:val="single" w:color="auto" w:sz="4" w:space="0"/>
                    <w:bottom w:val="single" w:color="auto" w:sz="4" w:space="0"/>
                    <w:right w:val="single" w:color="auto" w:sz="4" w:space="0"/>
                  </w:tcBorders>
                  <w:vAlign w:val="center"/>
                </w:tcPr>
                <w:p w14:paraId="49416A69">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lang w:bidi="ar"/>
                    </w:rPr>
                    <w:t>10.3</w:t>
                  </w:r>
                </w:p>
              </w:tc>
              <w:tc>
                <w:tcPr>
                  <w:tcW w:w="1895" w:type="dxa"/>
                  <w:tcBorders>
                    <w:top w:val="single" w:color="auto" w:sz="4" w:space="0"/>
                    <w:left w:val="single" w:color="auto" w:sz="4" w:space="0"/>
                    <w:bottom w:val="single" w:color="auto" w:sz="4" w:space="0"/>
                    <w:right w:val="single" w:color="auto" w:sz="4" w:space="0"/>
                  </w:tcBorders>
                  <w:vAlign w:val="center"/>
                </w:tcPr>
                <w:p w14:paraId="6D9C1343">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lang w:bidi="ar"/>
                    </w:rPr>
                    <w:t>10.4</w:t>
                  </w:r>
                </w:p>
              </w:tc>
            </w:tr>
            <w:tr w14:paraId="2CAF9D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2822" w:type="dxa"/>
                  <w:gridSpan w:val="2"/>
                  <w:tcBorders>
                    <w:top w:val="single" w:color="auto" w:sz="4" w:space="0"/>
                    <w:left w:val="single" w:color="auto" w:sz="4" w:space="0"/>
                    <w:bottom w:val="single" w:color="auto" w:sz="4" w:space="0"/>
                    <w:right w:val="single" w:color="auto" w:sz="4" w:space="0"/>
                  </w:tcBorders>
                  <w:vAlign w:val="center"/>
                </w:tcPr>
                <w:p w14:paraId="50C85EB2">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r>
                    <w:rPr>
                      <w:rFonts w:hint="eastAsia" w:ascii="宋体" w:hAnsi="宋体" w:eastAsia="宋体" w:cs="宋体"/>
                      <w:color w:val="auto"/>
                      <w:szCs w:val="21"/>
                      <w:lang w:bidi="ar"/>
                    </w:rPr>
                    <w:t>标态干烟气量</w:t>
                  </w:r>
                </w:p>
              </w:tc>
              <w:tc>
                <w:tcPr>
                  <w:tcW w:w="936" w:type="dxa"/>
                  <w:tcBorders>
                    <w:top w:val="single" w:color="auto" w:sz="4" w:space="0"/>
                    <w:left w:val="single" w:color="auto" w:sz="4" w:space="0"/>
                    <w:bottom w:val="single" w:color="auto" w:sz="4" w:space="0"/>
                    <w:right w:val="single" w:color="auto" w:sz="4" w:space="0"/>
                  </w:tcBorders>
                  <w:vAlign w:val="center"/>
                </w:tcPr>
                <w:p w14:paraId="31E5B69F">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lang w:bidi="ar"/>
                    </w:rPr>
                    <w:t>m³/h</w:t>
                  </w:r>
                </w:p>
              </w:tc>
              <w:tc>
                <w:tcPr>
                  <w:tcW w:w="1778" w:type="dxa"/>
                  <w:tcBorders>
                    <w:top w:val="single" w:color="auto" w:sz="4" w:space="0"/>
                    <w:left w:val="single" w:color="auto" w:sz="4" w:space="0"/>
                    <w:bottom w:val="single" w:color="auto" w:sz="4" w:space="0"/>
                    <w:right w:val="single" w:color="auto" w:sz="4" w:space="0"/>
                  </w:tcBorders>
                  <w:vAlign w:val="center"/>
                </w:tcPr>
                <w:p w14:paraId="549BB113">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lang w:bidi="ar"/>
                    </w:rPr>
                    <w:t>9689</w:t>
                  </w:r>
                </w:p>
              </w:tc>
              <w:tc>
                <w:tcPr>
                  <w:tcW w:w="1891" w:type="dxa"/>
                  <w:tcBorders>
                    <w:top w:val="single" w:color="auto" w:sz="4" w:space="0"/>
                    <w:left w:val="single" w:color="auto" w:sz="4" w:space="0"/>
                    <w:bottom w:val="single" w:color="auto" w:sz="4" w:space="0"/>
                    <w:right w:val="single" w:color="auto" w:sz="4" w:space="0"/>
                  </w:tcBorders>
                  <w:vAlign w:val="center"/>
                </w:tcPr>
                <w:p w14:paraId="73E51265">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lang w:bidi="ar"/>
                    </w:rPr>
                    <w:t>9692</w:t>
                  </w:r>
                </w:p>
              </w:tc>
              <w:tc>
                <w:tcPr>
                  <w:tcW w:w="1895" w:type="dxa"/>
                  <w:tcBorders>
                    <w:top w:val="single" w:color="auto" w:sz="4" w:space="0"/>
                    <w:left w:val="single" w:color="auto" w:sz="4" w:space="0"/>
                    <w:bottom w:val="single" w:color="auto" w:sz="4" w:space="0"/>
                    <w:right w:val="single" w:color="auto" w:sz="4" w:space="0"/>
                  </w:tcBorders>
                  <w:vAlign w:val="center"/>
                </w:tcPr>
                <w:p w14:paraId="35FFAD7E">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lang w:bidi="ar"/>
                    </w:rPr>
                    <w:t>9783</w:t>
                  </w:r>
                </w:p>
              </w:tc>
            </w:tr>
            <w:tr w14:paraId="287002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1634" w:type="dxa"/>
                  <w:vMerge w:val="restart"/>
                  <w:tcBorders>
                    <w:top w:val="nil"/>
                    <w:left w:val="single" w:color="auto" w:sz="4" w:space="0"/>
                    <w:bottom w:val="single" w:color="auto" w:sz="4" w:space="0"/>
                    <w:right w:val="single" w:color="auto" w:sz="4" w:space="0"/>
                  </w:tcBorders>
                  <w:vAlign w:val="center"/>
                </w:tcPr>
                <w:p w14:paraId="68498CAB">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r>
                    <w:rPr>
                      <w:rFonts w:hint="eastAsia" w:ascii="宋体" w:hAnsi="宋体" w:eastAsia="宋体" w:cs="宋体"/>
                      <w:color w:val="auto"/>
                      <w:szCs w:val="21"/>
                      <w:lang w:bidi="ar"/>
                    </w:rPr>
                    <w:t>颗粒物</w:t>
                  </w:r>
                </w:p>
                <w:p w14:paraId="68A66F95">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r>
                    <w:rPr>
                      <w:rFonts w:hint="eastAsia" w:ascii="宋体" w:hAnsi="宋体" w:eastAsia="宋体" w:cs="宋体"/>
                      <w:color w:val="auto"/>
                      <w:szCs w:val="21"/>
                      <w:lang w:bidi="ar"/>
                    </w:rPr>
                    <w:t>（烟尘、粉尘）</w:t>
                  </w:r>
                </w:p>
              </w:tc>
              <w:tc>
                <w:tcPr>
                  <w:tcW w:w="1188" w:type="dxa"/>
                  <w:tcBorders>
                    <w:top w:val="single" w:color="auto" w:sz="4" w:space="0"/>
                    <w:left w:val="single" w:color="auto" w:sz="4" w:space="0"/>
                    <w:bottom w:val="single" w:color="auto" w:sz="4" w:space="0"/>
                    <w:right w:val="single" w:color="auto" w:sz="4" w:space="0"/>
                  </w:tcBorders>
                  <w:vAlign w:val="center"/>
                </w:tcPr>
                <w:p w14:paraId="5413A3CF">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r>
                    <w:rPr>
                      <w:rFonts w:hint="eastAsia" w:ascii="宋体" w:hAnsi="宋体" w:eastAsia="宋体" w:cs="宋体"/>
                      <w:color w:val="auto"/>
                      <w:szCs w:val="21"/>
                      <w:lang w:bidi="ar"/>
                    </w:rPr>
                    <w:t>样品编号</w:t>
                  </w:r>
                </w:p>
              </w:tc>
              <w:tc>
                <w:tcPr>
                  <w:tcW w:w="936" w:type="dxa"/>
                  <w:tcBorders>
                    <w:top w:val="single" w:color="auto" w:sz="4" w:space="0"/>
                    <w:left w:val="single" w:color="auto" w:sz="4" w:space="0"/>
                    <w:bottom w:val="single" w:color="auto" w:sz="4" w:space="0"/>
                    <w:right w:val="single" w:color="auto" w:sz="4" w:space="0"/>
                  </w:tcBorders>
                  <w:vAlign w:val="center"/>
                </w:tcPr>
                <w:p w14:paraId="10801FA2">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lang w:bidi="ar"/>
                    </w:rPr>
                    <w:t>/</w:t>
                  </w:r>
                </w:p>
              </w:tc>
              <w:tc>
                <w:tcPr>
                  <w:tcW w:w="1778" w:type="dxa"/>
                  <w:tcBorders>
                    <w:top w:val="single" w:color="auto" w:sz="4" w:space="0"/>
                    <w:left w:val="single" w:color="auto" w:sz="4" w:space="0"/>
                    <w:bottom w:val="single" w:color="auto" w:sz="4" w:space="0"/>
                    <w:right w:val="single" w:color="auto" w:sz="4" w:space="0"/>
                  </w:tcBorders>
                  <w:vAlign w:val="center"/>
                </w:tcPr>
                <w:p w14:paraId="1E4A3EC1">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r>
                    <w:rPr>
                      <w:rFonts w:hint="eastAsia" w:ascii="宋体" w:hAnsi="宋体" w:eastAsia="宋体" w:cs="宋体"/>
                      <w:color w:val="auto"/>
                      <w:szCs w:val="21"/>
                      <w:lang w:bidi="ar"/>
                    </w:rPr>
                    <w:t>气</w:t>
                  </w:r>
                  <w:r>
                    <w:rPr>
                      <w:rFonts w:hint="default" w:ascii="Times New Roman" w:hAnsi="Times New Roman" w:eastAsia="宋体" w:cs="Times New Roman"/>
                      <w:color w:val="auto"/>
                      <w:szCs w:val="21"/>
                      <w:lang w:bidi="ar"/>
                    </w:rPr>
                    <w:t>251119081</w:t>
                  </w:r>
                </w:p>
              </w:tc>
              <w:tc>
                <w:tcPr>
                  <w:tcW w:w="1891" w:type="dxa"/>
                  <w:tcBorders>
                    <w:top w:val="single" w:color="auto" w:sz="4" w:space="0"/>
                    <w:left w:val="single" w:color="auto" w:sz="4" w:space="0"/>
                    <w:bottom w:val="single" w:color="auto" w:sz="4" w:space="0"/>
                    <w:right w:val="single" w:color="auto" w:sz="4" w:space="0"/>
                  </w:tcBorders>
                  <w:vAlign w:val="center"/>
                </w:tcPr>
                <w:p w14:paraId="21562EBC">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r>
                    <w:rPr>
                      <w:rFonts w:hint="eastAsia" w:ascii="宋体" w:hAnsi="宋体" w:eastAsia="宋体" w:cs="宋体"/>
                      <w:color w:val="auto"/>
                      <w:szCs w:val="21"/>
                      <w:lang w:bidi="ar"/>
                    </w:rPr>
                    <w:t>气</w:t>
                  </w:r>
                  <w:r>
                    <w:rPr>
                      <w:rFonts w:hint="default" w:ascii="Times New Roman" w:hAnsi="Times New Roman" w:eastAsia="宋体" w:cs="Times New Roman"/>
                      <w:color w:val="auto"/>
                      <w:szCs w:val="21"/>
                      <w:lang w:bidi="ar"/>
                    </w:rPr>
                    <w:t>251119082</w:t>
                  </w:r>
                </w:p>
              </w:tc>
              <w:tc>
                <w:tcPr>
                  <w:tcW w:w="1895" w:type="dxa"/>
                  <w:tcBorders>
                    <w:top w:val="single" w:color="auto" w:sz="4" w:space="0"/>
                    <w:left w:val="single" w:color="auto" w:sz="4" w:space="0"/>
                    <w:bottom w:val="single" w:color="auto" w:sz="4" w:space="0"/>
                    <w:right w:val="single" w:color="auto" w:sz="4" w:space="0"/>
                  </w:tcBorders>
                  <w:vAlign w:val="center"/>
                </w:tcPr>
                <w:p w14:paraId="024B93C1">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r>
                    <w:rPr>
                      <w:rFonts w:hint="eastAsia" w:ascii="宋体" w:hAnsi="宋体" w:eastAsia="宋体" w:cs="宋体"/>
                      <w:color w:val="auto"/>
                      <w:szCs w:val="21"/>
                      <w:lang w:bidi="ar"/>
                    </w:rPr>
                    <w:t>气</w:t>
                  </w:r>
                  <w:r>
                    <w:rPr>
                      <w:rFonts w:hint="default" w:ascii="Times New Roman" w:hAnsi="Times New Roman" w:eastAsia="宋体" w:cs="Times New Roman"/>
                      <w:color w:val="auto"/>
                      <w:szCs w:val="21"/>
                      <w:lang w:bidi="ar"/>
                    </w:rPr>
                    <w:t>251119083</w:t>
                  </w:r>
                </w:p>
              </w:tc>
            </w:tr>
            <w:tr w14:paraId="729F05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1634" w:type="dxa"/>
                  <w:vMerge w:val="continue"/>
                  <w:tcBorders>
                    <w:top w:val="nil"/>
                    <w:left w:val="single" w:color="auto" w:sz="4" w:space="0"/>
                    <w:bottom w:val="single" w:color="auto" w:sz="4" w:space="0"/>
                    <w:right w:val="single" w:color="auto" w:sz="4" w:space="0"/>
                  </w:tcBorders>
                  <w:vAlign w:val="center"/>
                </w:tcPr>
                <w:p w14:paraId="6C0D2849">
                  <w:pPr>
                    <w:keepNext w:val="0"/>
                    <w:keepLines w:val="0"/>
                    <w:suppressLineNumbers w:val="0"/>
                    <w:spacing w:before="0" w:beforeAutospacing="0" w:after="0" w:afterAutospacing="0"/>
                    <w:ind w:left="0" w:right="0"/>
                    <w:rPr>
                      <w:rFonts w:hint="default" w:ascii="Times New Roman" w:hAnsi="Times New Roman" w:cs="Times New Roman"/>
                      <w:color w:val="auto"/>
                      <w:sz w:val="20"/>
                      <w:szCs w:val="20"/>
                    </w:rPr>
                  </w:pPr>
                </w:p>
              </w:tc>
              <w:tc>
                <w:tcPr>
                  <w:tcW w:w="1188" w:type="dxa"/>
                  <w:tcBorders>
                    <w:top w:val="single" w:color="auto" w:sz="4" w:space="0"/>
                    <w:left w:val="single" w:color="auto" w:sz="4" w:space="0"/>
                    <w:bottom w:val="single" w:color="auto" w:sz="4" w:space="0"/>
                    <w:right w:val="single" w:color="auto" w:sz="4" w:space="0"/>
                  </w:tcBorders>
                  <w:vAlign w:val="center"/>
                </w:tcPr>
                <w:p w14:paraId="4FCF79FF">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r>
                    <w:rPr>
                      <w:rFonts w:hint="eastAsia" w:ascii="宋体" w:hAnsi="宋体" w:eastAsia="宋体" w:cs="宋体"/>
                      <w:color w:val="auto"/>
                      <w:szCs w:val="21"/>
                      <w:lang w:bidi="ar"/>
                    </w:rPr>
                    <w:t>排放浓度</w:t>
                  </w:r>
                </w:p>
              </w:tc>
              <w:tc>
                <w:tcPr>
                  <w:tcW w:w="936" w:type="dxa"/>
                  <w:tcBorders>
                    <w:top w:val="single" w:color="auto" w:sz="4" w:space="0"/>
                    <w:left w:val="single" w:color="auto" w:sz="4" w:space="0"/>
                    <w:bottom w:val="single" w:color="auto" w:sz="4" w:space="0"/>
                    <w:right w:val="single" w:color="auto" w:sz="4" w:space="0"/>
                  </w:tcBorders>
                  <w:vAlign w:val="center"/>
                </w:tcPr>
                <w:p w14:paraId="658800AE">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lang w:bidi="ar"/>
                    </w:rPr>
                    <w:t>mg/m³</w:t>
                  </w:r>
                </w:p>
              </w:tc>
              <w:tc>
                <w:tcPr>
                  <w:tcW w:w="1778" w:type="dxa"/>
                  <w:tcBorders>
                    <w:top w:val="single" w:color="auto" w:sz="4" w:space="0"/>
                    <w:left w:val="single" w:color="auto" w:sz="4" w:space="0"/>
                    <w:bottom w:val="single" w:color="auto" w:sz="4" w:space="0"/>
                    <w:right w:val="single" w:color="auto" w:sz="4" w:space="0"/>
                  </w:tcBorders>
                  <w:vAlign w:val="center"/>
                </w:tcPr>
                <w:p w14:paraId="2D8EF345">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lang w:bidi="ar"/>
                    </w:rPr>
                    <w:t>2.1</w:t>
                  </w:r>
                </w:p>
              </w:tc>
              <w:tc>
                <w:tcPr>
                  <w:tcW w:w="1891" w:type="dxa"/>
                  <w:tcBorders>
                    <w:top w:val="single" w:color="auto" w:sz="4" w:space="0"/>
                    <w:left w:val="single" w:color="auto" w:sz="4" w:space="0"/>
                    <w:bottom w:val="single" w:color="auto" w:sz="4" w:space="0"/>
                    <w:right w:val="single" w:color="auto" w:sz="4" w:space="0"/>
                  </w:tcBorders>
                  <w:vAlign w:val="center"/>
                </w:tcPr>
                <w:p w14:paraId="601772A9">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lang w:bidi="ar"/>
                    </w:rPr>
                    <w:t>2.2</w:t>
                  </w:r>
                </w:p>
              </w:tc>
              <w:tc>
                <w:tcPr>
                  <w:tcW w:w="1895" w:type="dxa"/>
                  <w:tcBorders>
                    <w:top w:val="single" w:color="auto" w:sz="4" w:space="0"/>
                    <w:left w:val="single" w:color="auto" w:sz="4" w:space="0"/>
                    <w:bottom w:val="single" w:color="auto" w:sz="4" w:space="0"/>
                    <w:right w:val="single" w:color="auto" w:sz="4" w:space="0"/>
                  </w:tcBorders>
                  <w:vAlign w:val="center"/>
                </w:tcPr>
                <w:p w14:paraId="7E969A01">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lang w:bidi="ar"/>
                    </w:rPr>
                    <w:t>2.1</w:t>
                  </w:r>
                </w:p>
              </w:tc>
            </w:tr>
            <w:tr w14:paraId="3B1EBA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1634" w:type="dxa"/>
                  <w:vMerge w:val="continue"/>
                  <w:tcBorders>
                    <w:top w:val="nil"/>
                    <w:left w:val="single" w:color="auto" w:sz="4" w:space="0"/>
                    <w:bottom w:val="single" w:color="auto" w:sz="4" w:space="0"/>
                    <w:right w:val="single" w:color="auto" w:sz="4" w:space="0"/>
                  </w:tcBorders>
                  <w:vAlign w:val="center"/>
                </w:tcPr>
                <w:p w14:paraId="59A9E503">
                  <w:pPr>
                    <w:keepNext w:val="0"/>
                    <w:keepLines w:val="0"/>
                    <w:suppressLineNumbers w:val="0"/>
                    <w:spacing w:before="0" w:beforeAutospacing="0" w:after="0" w:afterAutospacing="0"/>
                    <w:ind w:left="0" w:right="0"/>
                    <w:rPr>
                      <w:rFonts w:hint="default" w:ascii="Times New Roman" w:hAnsi="Times New Roman" w:cs="Times New Roman"/>
                      <w:color w:val="auto"/>
                      <w:sz w:val="20"/>
                      <w:szCs w:val="20"/>
                    </w:rPr>
                  </w:pPr>
                </w:p>
              </w:tc>
              <w:tc>
                <w:tcPr>
                  <w:tcW w:w="1188" w:type="dxa"/>
                  <w:tcBorders>
                    <w:top w:val="single" w:color="auto" w:sz="4" w:space="0"/>
                    <w:left w:val="single" w:color="auto" w:sz="4" w:space="0"/>
                    <w:bottom w:val="single" w:color="auto" w:sz="4" w:space="0"/>
                    <w:right w:val="single" w:color="auto" w:sz="4" w:space="0"/>
                  </w:tcBorders>
                  <w:vAlign w:val="center"/>
                </w:tcPr>
                <w:p w14:paraId="65C38738">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r>
                    <w:rPr>
                      <w:rFonts w:hint="eastAsia" w:ascii="宋体" w:hAnsi="宋体" w:eastAsia="宋体" w:cs="宋体"/>
                      <w:color w:val="auto"/>
                      <w:szCs w:val="21"/>
                      <w:lang w:bidi="ar"/>
                    </w:rPr>
                    <w:t>排放速率</w:t>
                  </w:r>
                </w:p>
              </w:tc>
              <w:tc>
                <w:tcPr>
                  <w:tcW w:w="936" w:type="dxa"/>
                  <w:tcBorders>
                    <w:top w:val="single" w:color="auto" w:sz="4" w:space="0"/>
                    <w:left w:val="single" w:color="auto" w:sz="4" w:space="0"/>
                    <w:bottom w:val="single" w:color="auto" w:sz="4" w:space="0"/>
                    <w:right w:val="single" w:color="auto" w:sz="4" w:space="0"/>
                  </w:tcBorders>
                  <w:vAlign w:val="center"/>
                </w:tcPr>
                <w:p w14:paraId="19275519">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lang w:bidi="ar"/>
                    </w:rPr>
                    <w:t>kg/h</w:t>
                  </w:r>
                </w:p>
              </w:tc>
              <w:tc>
                <w:tcPr>
                  <w:tcW w:w="1778" w:type="dxa"/>
                  <w:tcBorders>
                    <w:top w:val="single" w:color="auto" w:sz="4" w:space="0"/>
                    <w:left w:val="single" w:color="auto" w:sz="4" w:space="0"/>
                    <w:bottom w:val="single" w:color="auto" w:sz="4" w:space="0"/>
                    <w:right w:val="single" w:color="auto" w:sz="4" w:space="0"/>
                  </w:tcBorders>
                  <w:vAlign w:val="center"/>
                </w:tcPr>
                <w:p w14:paraId="14F86D30">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lang w:bidi="ar"/>
                    </w:rPr>
                    <w:t>2.03×10</w:t>
                  </w:r>
                  <w:r>
                    <w:rPr>
                      <w:rFonts w:hint="default" w:ascii="Times New Roman" w:hAnsi="Times New Roman" w:eastAsia="宋体" w:cs="Times New Roman"/>
                      <w:color w:val="auto"/>
                      <w:szCs w:val="21"/>
                      <w:vertAlign w:val="superscript"/>
                      <w:lang w:bidi="ar"/>
                    </w:rPr>
                    <w:t>-</w:t>
                  </w:r>
                  <w:r>
                    <w:rPr>
                      <w:rFonts w:hint="default" w:ascii="Times New Roman" w:hAnsi="Times New Roman" w:eastAsia="宋体" w:cs="Times New Roman"/>
                      <w:color w:val="auto"/>
                      <w:szCs w:val="21"/>
                      <w:lang w:bidi="ar"/>
                    </w:rPr>
                    <w:t>²</w:t>
                  </w:r>
                </w:p>
              </w:tc>
              <w:tc>
                <w:tcPr>
                  <w:tcW w:w="1891" w:type="dxa"/>
                  <w:tcBorders>
                    <w:top w:val="single" w:color="auto" w:sz="4" w:space="0"/>
                    <w:left w:val="single" w:color="auto" w:sz="4" w:space="0"/>
                    <w:bottom w:val="single" w:color="auto" w:sz="4" w:space="0"/>
                    <w:right w:val="single" w:color="auto" w:sz="4" w:space="0"/>
                  </w:tcBorders>
                  <w:vAlign w:val="center"/>
                </w:tcPr>
                <w:p w14:paraId="19817A65">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lang w:bidi="ar"/>
                    </w:rPr>
                    <w:t>2.13×10</w:t>
                  </w:r>
                  <w:r>
                    <w:rPr>
                      <w:rFonts w:hint="default" w:ascii="Times New Roman" w:hAnsi="Times New Roman" w:eastAsia="宋体" w:cs="Times New Roman"/>
                      <w:color w:val="auto"/>
                      <w:szCs w:val="21"/>
                      <w:vertAlign w:val="superscript"/>
                      <w:lang w:bidi="ar"/>
                    </w:rPr>
                    <w:t>-</w:t>
                  </w:r>
                  <w:r>
                    <w:rPr>
                      <w:rFonts w:hint="default" w:ascii="Times New Roman" w:hAnsi="Times New Roman" w:eastAsia="宋体" w:cs="Times New Roman"/>
                      <w:color w:val="auto"/>
                      <w:szCs w:val="21"/>
                      <w:lang w:bidi="ar"/>
                    </w:rPr>
                    <w:t>²</w:t>
                  </w:r>
                </w:p>
              </w:tc>
              <w:tc>
                <w:tcPr>
                  <w:tcW w:w="1895" w:type="dxa"/>
                  <w:tcBorders>
                    <w:top w:val="single" w:color="auto" w:sz="4" w:space="0"/>
                    <w:left w:val="single" w:color="auto" w:sz="4" w:space="0"/>
                    <w:bottom w:val="single" w:color="auto" w:sz="4" w:space="0"/>
                    <w:right w:val="single" w:color="auto" w:sz="4" w:space="0"/>
                  </w:tcBorders>
                  <w:vAlign w:val="center"/>
                </w:tcPr>
                <w:p w14:paraId="174131C3">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lang w:bidi="ar"/>
                    </w:rPr>
                    <w:t>2.05×10</w:t>
                  </w:r>
                  <w:r>
                    <w:rPr>
                      <w:rFonts w:hint="default" w:ascii="Times New Roman" w:hAnsi="Times New Roman" w:eastAsia="宋体" w:cs="Times New Roman"/>
                      <w:color w:val="auto"/>
                      <w:szCs w:val="21"/>
                      <w:vertAlign w:val="superscript"/>
                      <w:lang w:bidi="ar"/>
                    </w:rPr>
                    <w:t>-</w:t>
                  </w:r>
                  <w:r>
                    <w:rPr>
                      <w:rFonts w:hint="default" w:ascii="Times New Roman" w:hAnsi="Times New Roman" w:eastAsia="宋体" w:cs="Times New Roman"/>
                      <w:color w:val="auto"/>
                      <w:szCs w:val="21"/>
                      <w:lang w:bidi="ar"/>
                    </w:rPr>
                    <w:t>²</w:t>
                  </w:r>
                </w:p>
              </w:tc>
            </w:tr>
            <w:tr w14:paraId="776DB6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9322" w:type="dxa"/>
                  <w:gridSpan w:val="6"/>
                  <w:tcBorders>
                    <w:top w:val="single" w:color="auto" w:sz="4" w:space="0"/>
                    <w:left w:val="single" w:color="auto" w:sz="4" w:space="0"/>
                    <w:bottom w:val="single" w:color="auto" w:sz="4" w:space="0"/>
                    <w:right w:val="single" w:color="auto" w:sz="4" w:space="0"/>
                  </w:tcBorders>
                  <w:vAlign w:val="center"/>
                </w:tcPr>
                <w:p w14:paraId="24EEC7A4">
                  <w:pPr>
                    <w:keepNext w:val="0"/>
                    <w:keepLines w:val="0"/>
                    <w:suppressLineNumbers w:val="0"/>
                    <w:spacing w:before="0" w:beforeAutospacing="0" w:after="0" w:afterAutospacing="0"/>
                    <w:ind w:left="0" w:right="0"/>
                    <w:rPr>
                      <w:rFonts w:hint="default" w:ascii="Times New Roman" w:hAnsi="Times New Roman" w:eastAsia="宋体" w:cs="Times New Roman"/>
                      <w:color w:val="auto"/>
                      <w:szCs w:val="21"/>
                    </w:rPr>
                  </w:pPr>
                  <w:r>
                    <w:rPr>
                      <w:rFonts w:hint="eastAsia" w:ascii="宋体" w:hAnsi="宋体" w:eastAsia="宋体" w:cs="宋体"/>
                      <w:color w:val="auto"/>
                      <w:szCs w:val="21"/>
                      <w:lang w:bidi="ar"/>
                    </w:rPr>
                    <w:t>采样点位：</w:t>
                  </w:r>
                  <w:r>
                    <w:rPr>
                      <w:rFonts w:hint="default" w:ascii="Times New Roman" w:hAnsi="Times New Roman" w:eastAsia="宋体" w:cs="Times New Roman"/>
                      <w:color w:val="auto"/>
                      <w:szCs w:val="21"/>
                      <w:u w:val="single"/>
                      <w:lang w:bidi="ar"/>
                    </w:rPr>
                    <w:t xml:space="preserve">   DA001</w:t>
                  </w:r>
                  <w:r>
                    <w:rPr>
                      <w:rFonts w:hint="eastAsia" w:ascii="宋体" w:hAnsi="宋体" w:eastAsia="宋体" w:cs="宋体"/>
                      <w:color w:val="auto"/>
                      <w:szCs w:val="21"/>
                      <w:u w:val="single"/>
                      <w:lang w:bidi="ar"/>
                    </w:rPr>
                    <w:t xml:space="preserve">投料粉尘废气处理设施进口   </w:t>
                  </w:r>
                  <w:r>
                    <w:rPr>
                      <w:rFonts w:hint="eastAsia" w:ascii="宋体" w:hAnsi="宋体" w:eastAsia="宋体" w:cs="宋体"/>
                      <w:color w:val="auto"/>
                      <w:szCs w:val="21"/>
                      <w:lang w:bidi="ar"/>
                    </w:rPr>
                    <w:t>采样日期：</w:t>
                  </w:r>
                  <w:r>
                    <w:rPr>
                      <w:rFonts w:hint="default" w:ascii="Times New Roman" w:hAnsi="Times New Roman" w:eastAsia="宋体" w:cs="Times New Roman"/>
                      <w:color w:val="auto"/>
                      <w:szCs w:val="21"/>
                      <w:u w:val="single"/>
                      <w:lang w:bidi="ar"/>
                    </w:rPr>
                    <w:t xml:space="preserve">   2025.11.20   </w:t>
                  </w:r>
                </w:p>
              </w:tc>
            </w:tr>
            <w:tr w14:paraId="4C4A9D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2822" w:type="dxa"/>
                  <w:gridSpan w:val="2"/>
                  <w:tcBorders>
                    <w:top w:val="single" w:color="auto" w:sz="4" w:space="0"/>
                    <w:left w:val="single" w:color="auto" w:sz="4" w:space="0"/>
                    <w:bottom w:val="single" w:color="auto" w:sz="4" w:space="0"/>
                    <w:right w:val="single" w:color="auto" w:sz="4" w:space="0"/>
                  </w:tcBorders>
                  <w:vAlign w:val="center"/>
                </w:tcPr>
                <w:p w14:paraId="46FB1609">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r>
                    <w:rPr>
                      <w:rFonts w:hint="eastAsia" w:ascii="宋体" w:hAnsi="宋体" w:eastAsia="宋体" w:cs="宋体"/>
                      <w:color w:val="auto"/>
                      <w:szCs w:val="21"/>
                      <w:lang w:bidi="ar"/>
                    </w:rPr>
                    <w:t>检测项目</w:t>
                  </w:r>
                </w:p>
              </w:tc>
              <w:tc>
                <w:tcPr>
                  <w:tcW w:w="936" w:type="dxa"/>
                  <w:tcBorders>
                    <w:top w:val="single" w:color="auto" w:sz="4" w:space="0"/>
                    <w:left w:val="single" w:color="auto" w:sz="4" w:space="0"/>
                    <w:bottom w:val="single" w:color="auto" w:sz="4" w:space="0"/>
                    <w:right w:val="single" w:color="auto" w:sz="4" w:space="0"/>
                  </w:tcBorders>
                  <w:vAlign w:val="center"/>
                </w:tcPr>
                <w:p w14:paraId="29892CEA">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r>
                    <w:rPr>
                      <w:rFonts w:hint="eastAsia" w:ascii="宋体" w:hAnsi="宋体" w:eastAsia="宋体" w:cs="宋体"/>
                      <w:color w:val="auto"/>
                      <w:szCs w:val="21"/>
                      <w:lang w:bidi="ar"/>
                    </w:rPr>
                    <w:t>单位</w:t>
                  </w:r>
                </w:p>
              </w:tc>
              <w:tc>
                <w:tcPr>
                  <w:tcW w:w="5564" w:type="dxa"/>
                  <w:gridSpan w:val="3"/>
                  <w:tcBorders>
                    <w:top w:val="single" w:color="auto" w:sz="4" w:space="0"/>
                    <w:left w:val="single" w:color="auto" w:sz="4" w:space="0"/>
                    <w:bottom w:val="single" w:color="auto" w:sz="4" w:space="0"/>
                    <w:right w:val="single" w:color="auto" w:sz="4" w:space="0"/>
                  </w:tcBorders>
                  <w:vAlign w:val="center"/>
                </w:tcPr>
                <w:p w14:paraId="0E8CD817">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r>
                    <w:rPr>
                      <w:rFonts w:hint="eastAsia" w:ascii="宋体" w:hAnsi="宋体" w:eastAsia="宋体" w:cs="宋体"/>
                      <w:color w:val="auto"/>
                      <w:szCs w:val="21"/>
                      <w:lang w:bidi="ar"/>
                    </w:rPr>
                    <w:t>检测结果</w:t>
                  </w:r>
                </w:p>
              </w:tc>
            </w:tr>
            <w:tr w14:paraId="712C02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2822" w:type="dxa"/>
                  <w:gridSpan w:val="2"/>
                  <w:tcBorders>
                    <w:top w:val="single" w:color="auto" w:sz="4" w:space="0"/>
                    <w:left w:val="single" w:color="auto" w:sz="4" w:space="0"/>
                    <w:bottom w:val="single" w:color="auto" w:sz="4" w:space="0"/>
                    <w:right w:val="single" w:color="auto" w:sz="4" w:space="0"/>
                  </w:tcBorders>
                  <w:vAlign w:val="center"/>
                </w:tcPr>
                <w:p w14:paraId="659B85CA">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r>
                    <w:rPr>
                      <w:rFonts w:hint="eastAsia" w:ascii="宋体" w:hAnsi="宋体" w:eastAsia="宋体" w:cs="宋体"/>
                      <w:color w:val="auto"/>
                      <w:szCs w:val="21"/>
                      <w:lang w:bidi="ar"/>
                    </w:rPr>
                    <w:t>检测管道截面积</w:t>
                  </w:r>
                </w:p>
              </w:tc>
              <w:tc>
                <w:tcPr>
                  <w:tcW w:w="936" w:type="dxa"/>
                  <w:tcBorders>
                    <w:top w:val="single" w:color="auto" w:sz="4" w:space="0"/>
                    <w:left w:val="single" w:color="auto" w:sz="4" w:space="0"/>
                    <w:bottom w:val="single" w:color="auto" w:sz="4" w:space="0"/>
                    <w:right w:val="single" w:color="auto" w:sz="4" w:space="0"/>
                  </w:tcBorders>
                  <w:vAlign w:val="center"/>
                </w:tcPr>
                <w:p w14:paraId="1A688DE5">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lang w:bidi="ar"/>
                    </w:rPr>
                    <w:t>m²</w:t>
                  </w:r>
                </w:p>
              </w:tc>
              <w:tc>
                <w:tcPr>
                  <w:tcW w:w="1778" w:type="dxa"/>
                  <w:tcBorders>
                    <w:top w:val="single" w:color="auto" w:sz="4" w:space="0"/>
                    <w:left w:val="single" w:color="auto" w:sz="4" w:space="0"/>
                    <w:bottom w:val="single" w:color="auto" w:sz="4" w:space="0"/>
                    <w:right w:val="single" w:color="auto" w:sz="4" w:space="0"/>
                  </w:tcBorders>
                  <w:vAlign w:val="center"/>
                </w:tcPr>
                <w:p w14:paraId="3818592B">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lang w:bidi="ar"/>
                    </w:rPr>
                    <w:t>0.2827</w:t>
                  </w:r>
                </w:p>
              </w:tc>
              <w:tc>
                <w:tcPr>
                  <w:tcW w:w="1891" w:type="dxa"/>
                  <w:tcBorders>
                    <w:top w:val="single" w:color="auto" w:sz="4" w:space="0"/>
                    <w:left w:val="single" w:color="auto" w:sz="4" w:space="0"/>
                    <w:bottom w:val="single" w:color="auto" w:sz="4" w:space="0"/>
                    <w:right w:val="single" w:color="auto" w:sz="4" w:space="0"/>
                  </w:tcBorders>
                  <w:vAlign w:val="center"/>
                </w:tcPr>
                <w:p w14:paraId="19218B55">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lang w:bidi="ar"/>
                    </w:rPr>
                    <w:t>0.2827</w:t>
                  </w:r>
                </w:p>
              </w:tc>
              <w:tc>
                <w:tcPr>
                  <w:tcW w:w="1895" w:type="dxa"/>
                  <w:tcBorders>
                    <w:top w:val="single" w:color="auto" w:sz="4" w:space="0"/>
                    <w:left w:val="single" w:color="auto" w:sz="4" w:space="0"/>
                    <w:bottom w:val="single" w:color="auto" w:sz="4" w:space="0"/>
                    <w:right w:val="single" w:color="auto" w:sz="4" w:space="0"/>
                  </w:tcBorders>
                  <w:vAlign w:val="center"/>
                </w:tcPr>
                <w:p w14:paraId="36EB0503">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lang w:bidi="ar"/>
                    </w:rPr>
                    <w:t>0.2827</w:t>
                  </w:r>
                </w:p>
              </w:tc>
            </w:tr>
            <w:tr w14:paraId="6586CA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2822" w:type="dxa"/>
                  <w:gridSpan w:val="2"/>
                  <w:tcBorders>
                    <w:top w:val="single" w:color="auto" w:sz="4" w:space="0"/>
                    <w:left w:val="single" w:color="auto" w:sz="4" w:space="0"/>
                    <w:bottom w:val="single" w:color="auto" w:sz="4" w:space="0"/>
                    <w:right w:val="single" w:color="auto" w:sz="4" w:space="0"/>
                  </w:tcBorders>
                  <w:vAlign w:val="center"/>
                </w:tcPr>
                <w:p w14:paraId="406334BA">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r>
                    <w:rPr>
                      <w:rFonts w:hint="eastAsia" w:ascii="宋体" w:hAnsi="宋体" w:eastAsia="宋体" w:cs="宋体"/>
                      <w:color w:val="auto"/>
                      <w:szCs w:val="21"/>
                      <w:lang w:bidi="ar"/>
                    </w:rPr>
                    <w:t>烟气温度</w:t>
                  </w:r>
                </w:p>
              </w:tc>
              <w:tc>
                <w:tcPr>
                  <w:tcW w:w="936" w:type="dxa"/>
                  <w:tcBorders>
                    <w:top w:val="single" w:color="auto" w:sz="4" w:space="0"/>
                    <w:left w:val="single" w:color="auto" w:sz="4" w:space="0"/>
                    <w:bottom w:val="single" w:color="auto" w:sz="4" w:space="0"/>
                    <w:right w:val="single" w:color="auto" w:sz="4" w:space="0"/>
                  </w:tcBorders>
                  <w:vAlign w:val="center"/>
                </w:tcPr>
                <w:p w14:paraId="38EA8B21">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lang w:bidi="ar"/>
                    </w:rPr>
                    <w:t>℃</w:t>
                  </w:r>
                </w:p>
              </w:tc>
              <w:tc>
                <w:tcPr>
                  <w:tcW w:w="1778" w:type="dxa"/>
                  <w:tcBorders>
                    <w:top w:val="single" w:color="auto" w:sz="4" w:space="0"/>
                    <w:left w:val="single" w:color="auto" w:sz="4" w:space="0"/>
                    <w:bottom w:val="single" w:color="auto" w:sz="4" w:space="0"/>
                    <w:right w:val="single" w:color="auto" w:sz="4" w:space="0"/>
                  </w:tcBorders>
                  <w:vAlign w:val="center"/>
                </w:tcPr>
                <w:p w14:paraId="18E83660">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lang w:bidi="ar"/>
                    </w:rPr>
                    <w:t>14.5</w:t>
                  </w:r>
                </w:p>
              </w:tc>
              <w:tc>
                <w:tcPr>
                  <w:tcW w:w="1891" w:type="dxa"/>
                  <w:tcBorders>
                    <w:top w:val="single" w:color="auto" w:sz="4" w:space="0"/>
                    <w:left w:val="single" w:color="auto" w:sz="4" w:space="0"/>
                    <w:bottom w:val="single" w:color="auto" w:sz="4" w:space="0"/>
                    <w:right w:val="single" w:color="auto" w:sz="4" w:space="0"/>
                  </w:tcBorders>
                  <w:vAlign w:val="center"/>
                </w:tcPr>
                <w:p w14:paraId="1F7ABBFF">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lang w:bidi="ar"/>
                    </w:rPr>
                    <w:t>14.7</w:t>
                  </w:r>
                </w:p>
              </w:tc>
              <w:tc>
                <w:tcPr>
                  <w:tcW w:w="1895" w:type="dxa"/>
                  <w:tcBorders>
                    <w:top w:val="single" w:color="auto" w:sz="4" w:space="0"/>
                    <w:left w:val="single" w:color="auto" w:sz="4" w:space="0"/>
                    <w:bottom w:val="single" w:color="auto" w:sz="4" w:space="0"/>
                    <w:right w:val="single" w:color="auto" w:sz="4" w:space="0"/>
                  </w:tcBorders>
                  <w:vAlign w:val="center"/>
                </w:tcPr>
                <w:p w14:paraId="428AE52D">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lang w:bidi="ar"/>
                    </w:rPr>
                    <w:t>14.7</w:t>
                  </w:r>
                </w:p>
              </w:tc>
            </w:tr>
            <w:tr w14:paraId="02426A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2822" w:type="dxa"/>
                  <w:gridSpan w:val="2"/>
                  <w:tcBorders>
                    <w:top w:val="single" w:color="auto" w:sz="4" w:space="0"/>
                    <w:left w:val="single" w:color="auto" w:sz="4" w:space="0"/>
                    <w:bottom w:val="single" w:color="auto" w:sz="4" w:space="0"/>
                    <w:right w:val="single" w:color="auto" w:sz="4" w:space="0"/>
                  </w:tcBorders>
                  <w:vAlign w:val="center"/>
                </w:tcPr>
                <w:p w14:paraId="7F0F0609">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r>
                    <w:rPr>
                      <w:rFonts w:hint="eastAsia" w:ascii="宋体" w:hAnsi="宋体" w:eastAsia="宋体" w:cs="宋体"/>
                      <w:color w:val="auto"/>
                      <w:szCs w:val="21"/>
                      <w:lang w:bidi="ar"/>
                    </w:rPr>
                    <w:t>烟气平均流速</w:t>
                  </w:r>
                </w:p>
              </w:tc>
              <w:tc>
                <w:tcPr>
                  <w:tcW w:w="936" w:type="dxa"/>
                  <w:tcBorders>
                    <w:top w:val="single" w:color="auto" w:sz="4" w:space="0"/>
                    <w:left w:val="single" w:color="auto" w:sz="4" w:space="0"/>
                    <w:bottom w:val="single" w:color="auto" w:sz="4" w:space="0"/>
                    <w:right w:val="single" w:color="auto" w:sz="4" w:space="0"/>
                  </w:tcBorders>
                  <w:vAlign w:val="center"/>
                </w:tcPr>
                <w:p w14:paraId="7E6791CF">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lang w:bidi="ar"/>
                    </w:rPr>
                    <w:t>m/s</w:t>
                  </w:r>
                </w:p>
              </w:tc>
              <w:tc>
                <w:tcPr>
                  <w:tcW w:w="1778" w:type="dxa"/>
                  <w:tcBorders>
                    <w:top w:val="single" w:color="auto" w:sz="4" w:space="0"/>
                    <w:left w:val="single" w:color="auto" w:sz="4" w:space="0"/>
                    <w:bottom w:val="single" w:color="auto" w:sz="4" w:space="0"/>
                    <w:right w:val="single" w:color="auto" w:sz="4" w:space="0"/>
                  </w:tcBorders>
                  <w:vAlign w:val="center"/>
                </w:tcPr>
                <w:p w14:paraId="6651ACDB">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lang w:bidi="ar"/>
                    </w:rPr>
                    <w:t>9.6</w:t>
                  </w:r>
                </w:p>
              </w:tc>
              <w:tc>
                <w:tcPr>
                  <w:tcW w:w="1891" w:type="dxa"/>
                  <w:tcBorders>
                    <w:top w:val="single" w:color="auto" w:sz="4" w:space="0"/>
                    <w:left w:val="single" w:color="auto" w:sz="4" w:space="0"/>
                    <w:bottom w:val="single" w:color="auto" w:sz="4" w:space="0"/>
                    <w:right w:val="single" w:color="auto" w:sz="4" w:space="0"/>
                  </w:tcBorders>
                  <w:vAlign w:val="center"/>
                </w:tcPr>
                <w:p w14:paraId="666134BC">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lang w:bidi="ar"/>
                    </w:rPr>
                    <w:t>9.5</w:t>
                  </w:r>
                </w:p>
              </w:tc>
              <w:tc>
                <w:tcPr>
                  <w:tcW w:w="1895" w:type="dxa"/>
                  <w:tcBorders>
                    <w:top w:val="single" w:color="auto" w:sz="4" w:space="0"/>
                    <w:left w:val="single" w:color="auto" w:sz="4" w:space="0"/>
                    <w:bottom w:val="single" w:color="auto" w:sz="4" w:space="0"/>
                    <w:right w:val="single" w:color="auto" w:sz="4" w:space="0"/>
                  </w:tcBorders>
                  <w:vAlign w:val="center"/>
                </w:tcPr>
                <w:p w14:paraId="3A30EEB5">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lang w:bidi="ar"/>
                    </w:rPr>
                    <w:t>9.6</w:t>
                  </w:r>
                </w:p>
              </w:tc>
            </w:tr>
            <w:tr w14:paraId="3BF4A8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2822" w:type="dxa"/>
                  <w:gridSpan w:val="2"/>
                  <w:tcBorders>
                    <w:top w:val="single" w:color="auto" w:sz="4" w:space="0"/>
                    <w:left w:val="single" w:color="auto" w:sz="4" w:space="0"/>
                    <w:bottom w:val="single" w:color="auto" w:sz="4" w:space="0"/>
                    <w:right w:val="single" w:color="auto" w:sz="4" w:space="0"/>
                  </w:tcBorders>
                  <w:vAlign w:val="center"/>
                </w:tcPr>
                <w:p w14:paraId="48FC74AF">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r>
                    <w:rPr>
                      <w:rFonts w:hint="eastAsia" w:ascii="宋体" w:hAnsi="宋体" w:eastAsia="宋体" w:cs="宋体"/>
                      <w:color w:val="auto"/>
                      <w:szCs w:val="21"/>
                      <w:lang w:bidi="ar"/>
                    </w:rPr>
                    <w:t>标态干烟气量</w:t>
                  </w:r>
                </w:p>
              </w:tc>
              <w:tc>
                <w:tcPr>
                  <w:tcW w:w="936" w:type="dxa"/>
                  <w:tcBorders>
                    <w:top w:val="single" w:color="auto" w:sz="4" w:space="0"/>
                    <w:left w:val="single" w:color="auto" w:sz="4" w:space="0"/>
                    <w:bottom w:val="single" w:color="auto" w:sz="4" w:space="0"/>
                    <w:right w:val="single" w:color="auto" w:sz="4" w:space="0"/>
                  </w:tcBorders>
                  <w:vAlign w:val="center"/>
                </w:tcPr>
                <w:p w14:paraId="181542A8">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lang w:bidi="ar"/>
                    </w:rPr>
                    <w:t>m³/h</w:t>
                  </w:r>
                </w:p>
              </w:tc>
              <w:tc>
                <w:tcPr>
                  <w:tcW w:w="1778" w:type="dxa"/>
                  <w:tcBorders>
                    <w:top w:val="single" w:color="auto" w:sz="4" w:space="0"/>
                    <w:left w:val="single" w:color="auto" w:sz="4" w:space="0"/>
                    <w:bottom w:val="single" w:color="auto" w:sz="4" w:space="0"/>
                    <w:right w:val="single" w:color="auto" w:sz="4" w:space="0"/>
                  </w:tcBorders>
                  <w:vAlign w:val="center"/>
                </w:tcPr>
                <w:p w14:paraId="02AAF2CA">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lang w:bidi="ar"/>
                    </w:rPr>
                    <w:t>9072</w:t>
                  </w:r>
                </w:p>
              </w:tc>
              <w:tc>
                <w:tcPr>
                  <w:tcW w:w="1891" w:type="dxa"/>
                  <w:tcBorders>
                    <w:top w:val="single" w:color="auto" w:sz="4" w:space="0"/>
                    <w:left w:val="single" w:color="auto" w:sz="4" w:space="0"/>
                    <w:bottom w:val="single" w:color="auto" w:sz="4" w:space="0"/>
                    <w:right w:val="single" w:color="auto" w:sz="4" w:space="0"/>
                  </w:tcBorders>
                  <w:vAlign w:val="center"/>
                </w:tcPr>
                <w:p w14:paraId="7330D4FE">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lang w:bidi="ar"/>
                    </w:rPr>
                    <w:t>8972</w:t>
                  </w:r>
                </w:p>
              </w:tc>
              <w:tc>
                <w:tcPr>
                  <w:tcW w:w="1895" w:type="dxa"/>
                  <w:tcBorders>
                    <w:top w:val="single" w:color="auto" w:sz="4" w:space="0"/>
                    <w:left w:val="single" w:color="auto" w:sz="4" w:space="0"/>
                    <w:bottom w:val="single" w:color="auto" w:sz="4" w:space="0"/>
                    <w:right w:val="single" w:color="auto" w:sz="4" w:space="0"/>
                  </w:tcBorders>
                  <w:vAlign w:val="center"/>
                </w:tcPr>
                <w:p w14:paraId="33681B86">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lang w:bidi="ar"/>
                    </w:rPr>
                    <w:t>9067</w:t>
                  </w:r>
                </w:p>
              </w:tc>
            </w:tr>
            <w:tr w14:paraId="5CF36C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1634" w:type="dxa"/>
                  <w:vMerge w:val="restart"/>
                  <w:tcBorders>
                    <w:top w:val="nil"/>
                    <w:left w:val="single" w:color="auto" w:sz="4" w:space="0"/>
                    <w:bottom w:val="single" w:color="auto" w:sz="4" w:space="0"/>
                    <w:right w:val="single" w:color="auto" w:sz="4" w:space="0"/>
                  </w:tcBorders>
                  <w:vAlign w:val="center"/>
                </w:tcPr>
                <w:p w14:paraId="33FE0CAF">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r>
                    <w:rPr>
                      <w:rFonts w:hint="eastAsia" w:ascii="宋体" w:hAnsi="宋体" w:eastAsia="宋体" w:cs="宋体"/>
                      <w:color w:val="auto"/>
                      <w:szCs w:val="21"/>
                      <w:lang w:bidi="ar"/>
                    </w:rPr>
                    <w:t>颗粒物</w:t>
                  </w:r>
                </w:p>
                <w:p w14:paraId="3439617A">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r>
                    <w:rPr>
                      <w:rFonts w:hint="eastAsia" w:ascii="宋体" w:hAnsi="宋体" w:eastAsia="宋体" w:cs="宋体"/>
                      <w:color w:val="auto"/>
                      <w:szCs w:val="21"/>
                      <w:lang w:bidi="ar"/>
                    </w:rPr>
                    <w:t>（烟尘、粉尘）</w:t>
                  </w:r>
                </w:p>
              </w:tc>
              <w:tc>
                <w:tcPr>
                  <w:tcW w:w="1188" w:type="dxa"/>
                  <w:tcBorders>
                    <w:top w:val="single" w:color="auto" w:sz="4" w:space="0"/>
                    <w:left w:val="single" w:color="auto" w:sz="4" w:space="0"/>
                    <w:bottom w:val="single" w:color="auto" w:sz="4" w:space="0"/>
                    <w:right w:val="single" w:color="auto" w:sz="4" w:space="0"/>
                  </w:tcBorders>
                  <w:vAlign w:val="center"/>
                </w:tcPr>
                <w:p w14:paraId="185D5F3D">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r>
                    <w:rPr>
                      <w:rFonts w:hint="eastAsia" w:ascii="宋体" w:hAnsi="宋体" w:eastAsia="宋体" w:cs="宋体"/>
                      <w:color w:val="auto"/>
                      <w:szCs w:val="21"/>
                      <w:lang w:bidi="ar"/>
                    </w:rPr>
                    <w:t>样品编号</w:t>
                  </w:r>
                </w:p>
              </w:tc>
              <w:tc>
                <w:tcPr>
                  <w:tcW w:w="936" w:type="dxa"/>
                  <w:tcBorders>
                    <w:top w:val="single" w:color="auto" w:sz="4" w:space="0"/>
                    <w:left w:val="single" w:color="auto" w:sz="4" w:space="0"/>
                    <w:bottom w:val="single" w:color="auto" w:sz="4" w:space="0"/>
                    <w:right w:val="single" w:color="auto" w:sz="4" w:space="0"/>
                  </w:tcBorders>
                  <w:vAlign w:val="center"/>
                </w:tcPr>
                <w:p w14:paraId="511B5970">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lang w:bidi="ar"/>
                    </w:rPr>
                    <w:t>/</w:t>
                  </w:r>
                </w:p>
              </w:tc>
              <w:tc>
                <w:tcPr>
                  <w:tcW w:w="1778" w:type="dxa"/>
                  <w:tcBorders>
                    <w:top w:val="single" w:color="auto" w:sz="4" w:space="0"/>
                    <w:left w:val="single" w:color="auto" w:sz="4" w:space="0"/>
                    <w:bottom w:val="single" w:color="auto" w:sz="4" w:space="0"/>
                    <w:right w:val="single" w:color="auto" w:sz="4" w:space="0"/>
                  </w:tcBorders>
                  <w:vAlign w:val="center"/>
                </w:tcPr>
                <w:p w14:paraId="2142F2F5">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r>
                    <w:rPr>
                      <w:rFonts w:hint="eastAsia" w:ascii="宋体" w:hAnsi="宋体" w:eastAsia="宋体" w:cs="宋体"/>
                      <w:color w:val="auto"/>
                      <w:szCs w:val="21"/>
                      <w:lang w:bidi="ar"/>
                    </w:rPr>
                    <w:t>气</w:t>
                  </w:r>
                  <w:r>
                    <w:rPr>
                      <w:rFonts w:hint="default" w:ascii="Times New Roman" w:hAnsi="Times New Roman" w:eastAsia="宋体" w:cs="Times New Roman"/>
                      <w:color w:val="auto"/>
                      <w:szCs w:val="21"/>
                      <w:lang w:bidi="ar"/>
                    </w:rPr>
                    <w:t>251120177</w:t>
                  </w:r>
                </w:p>
              </w:tc>
              <w:tc>
                <w:tcPr>
                  <w:tcW w:w="1891" w:type="dxa"/>
                  <w:tcBorders>
                    <w:top w:val="single" w:color="auto" w:sz="4" w:space="0"/>
                    <w:left w:val="single" w:color="auto" w:sz="4" w:space="0"/>
                    <w:bottom w:val="single" w:color="auto" w:sz="4" w:space="0"/>
                    <w:right w:val="single" w:color="auto" w:sz="4" w:space="0"/>
                  </w:tcBorders>
                  <w:vAlign w:val="center"/>
                </w:tcPr>
                <w:p w14:paraId="206F6F9B">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r>
                    <w:rPr>
                      <w:rFonts w:hint="eastAsia" w:ascii="宋体" w:hAnsi="宋体" w:eastAsia="宋体" w:cs="宋体"/>
                      <w:color w:val="auto"/>
                      <w:szCs w:val="21"/>
                      <w:lang w:bidi="ar"/>
                    </w:rPr>
                    <w:t>气</w:t>
                  </w:r>
                  <w:r>
                    <w:rPr>
                      <w:rFonts w:hint="default" w:ascii="Times New Roman" w:hAnsi="Times New Roman" w:eastAsia="宋体" w:cs="Times New Roman"/>
                      <w:color w:val="auto"/>
                      <w:szCs w:val="21"/>
                      <w:lang w:bidi="ar"/>
                    </w:rPr>
                    <w:t>251120178</w:t>
                  </w:r>
                </w:p>
              </w:tc>
              <w:tc>
                <w:tcPr>
                  <w:tcW w:w="1895" w:type="dxa"/>
                  <w:tcBorders>
                    <w:top w:val="single" w:color="auto" w:sz="4" w:space="0"/>
                    <w:left w:val="single" w:color="auto" w:sz="4" w:space="0"/>
                    <w:bottom w:val="single" w:color="auto" w:sz="4" w:space="0"/>
                    <w:right w:val="single" w:color="auto" w:sz="4" w:space="0"/>
                  </w:tcBorders>
                  <w:vAlign w:val="center"/>
                </w:tcPr>
                <w:p w14:paraId="6E195589">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r>
                    <w:rPr>
                      <w:rFonts w:hint="eastAsia" w:ascii="宋体" w:hAnsi="宋体" w:eastAsia="宋体" w:cs="宋体"/>
                      <w:color w:val="auto"/>
                      <w:szCs w:val="21"/>
                      <w:lang w:bidi="ar"/>
                    </w:rPr>
                    <w:t>气</w:t>
                  </w:r>
                  <w:r>
                    <w:rPr>
                      <w:rFonts w:hint="default" w:ascii="Times New Roman" w:hAnsi="Times New Roman" w:eastAsia="宋体" w:cs="Times New Roman"/>
                      <w:color w:val="auto"/>
                      <w:szCs w:val="21"/>
                      <w:lang w:bidi="ar"/>
                    </w:rPr>
                    <w:t>251120179</w:t>
                  </w:r>
                </w:p>
              </w:tc>
            </w:tr>
            <w:tr w14:paraId="695408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1634" w:type="dxa"/>
                  <w:vMerge w:val="continue"/>
                  <w:tcBorders>
                    <w:top w:val="nil"/>
                    <w:left w:val="single" w:color="auto" w:sz="4" w:space="0"/>
                    <w:bottom w:val="single" w:color="auto" w:sz="4" w:space="0"/>
                    <w:right w:val="single" w:color="auto" w:sz="4" w:space="0"/>
                  </w:tcBorders>
                  <w:vAlign w:val="center"/>
                </w:tcPr>
                <w:p w14:paraId="01A4637C">
                  <w:pPr>
                    <w:keepNext w:val="0"/>
                    <w:keepLines w:val="0"/>
                    <w:suppressLineNumbers w:val="0"/>
                    <w:spacing w:before="0" w:beforeAutospacing="0" w:after="0" w:afterAutospacing="0"/>
                    <w:ind w:left="0" w:right="0"/>
                    <w:rPr>
                      <w:rFonts w:hint="default" w:ascii="Times New Roman" w:hAnsi="Times New Roman" w:cs="Times New Roman"/>
                      <w:color w:val="auto"/>
                      <w:sz w:val="20"/>
                      <w:szCs w:val="20"/>
                    </w:rPr>
                  </w:pPr>
                </w:p>
              </w:tc>
              <w:tc>
                <w:tcPr>
                  <w:tcW w:w="1188" w:type="dxa"/>
                  <w:tcBorders>
                    <w:top w:val="single" w:color="auto" w:sz="4" w:space="0"/>
                    <w:left w:val="single" w:color="auto" w:sz="4" w:space="0"/>
                    <w:bottom w:val="single" w:color="auto" w:sz="4" w:space="0"/>
                    <w:right w:val="single" w:color="auto" w:sz="4" w:space="0"/>
                  </w:tcBorders>
                  <w:vAlign w:val="center"/>
                </w:tcPr>
                <w:p w14:paraId="1A892F91">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r>
                    <w:rPr>
                      <w:rFonts w:hint="eastAsia" w:ascii="宋体" w:hAnsi="宋体" w:eastAsia="宋体" w:cs="宋体"/>
                      <w:color w:val="auto"/>
                      <w:szCs w:val="21"/>
                      <w:lang w:bidi="ar"/>
                    </w:rPr>
                    <w:t>排放浓度</w:t>
                  </w:r>
                </w:p>
              </w:tc>
              <w:tc>
                <w:tcPr>
                  <w:tcW w:w="936" w:type="dxa"/>
                  <w:tcBorders>
                    <w:top w:val="single" w:color="auto" w:sz="4" w:space="0"/>
                    <w:left w:val="single" w:color="auto" w:sz="4" w:space="0"/>
                    <w:bottom w:val="single" w:color="auto" w:sz="4" w:space="0"/>
                    <w:right w:val="single" w:color="auto" w:sz="4" w:space="0"/>
                  </w:tcBorders>
                  <w:vAlign w:val="center"/>
                </w:tcPr>
                <w:p w14:paraId="1BF284E7">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lang w:bidi="ar"/>
                    </w:rPr>
                    <w:t>mg/m³</w:t>
                  </w:r>
                </w:p>
              </w:tc>
              <w:tc>
                <w:tcPr>
                  <w:tcW w:w="1778" w:type="dxa"/>
                  <w:tcBorders>
                    <w:top w:val="single" w:color="auto" w:sz="4" w:space="0"/>
                    <w:left w:val="single" w:color="auto" w:sz="4" w:space="0"/>
                    <w:bottom w:val="single" w:color="auto" w:sz="4" w:space="0"/>
                    <w:right w:val="single" w:color="auto" w:sz="4" w:space="0"/>
                  </w:tcBorders>
                  <w:vAlign w:val="center"/>
                </w:tcPr>
                <w:p w14:paraId="41E14BE0">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lang w:bidi="ar"/>
                    </w:rPr>
                    <w:t>&lt;20</w:t>
                  </w:r>
                </w:p>
              </w:tc>
              <w:tc>
                <w:tcPr>
                  <w:tcW w:w="1891" w:type="dxa"/>
                  <w:tcBorders>
                    <w:top w:val="single" w:color="auto" w:sz="4" w:space="0"/>
                    <w:left w:val="single" w:color="auto" w:sz="4" w:space="0"/>
                    <w:bottom w:val="single" w:color="auto" w:sz="4" w:space="0"/>
                    <w:right w:val="single" w:color="auto" w:sz="4" w:space="0"/>
                  </w:tcBorders>
                  <w:vAlign w:val="center"/>
                </w:tcPr>
                <w:p w14:paraId="7B28AA2C">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lang w:bidi="ar"/>
                    </w:rPr>
                    <w:t>&lt;20</w:t>
                  </w:r>
                </w:p>
              </w:tc>
              <w:tc>
                <w:tcPr>
                  <w:tcW w:w="1895" w:type="dxa"/>
                  <w:tcBorders>
                    <w:top w:val="single" w:color="auto" w:sz="4" w:space="0"/>
                    <w:left w:val="single" w:color="auto" w:sz="4" w:space="0"/>
                    <w:bottom w:val="single" w:color="auto" w:sz="4" w:space="0"/>
                    <w:right w:val="single" w:color="auto" w:sz="4" w:space="0"/>
                  </w:tcBorders>
                  <w:vAlign w:val="center"/>
                </w:tcPr>
                <w:p w14:paraId="621561C1">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lang w:bidi="ar"/>
                    </w:rPr>
                    <w:t>&lt;20</w:t>
                  </w:r>
                </w:p>
              </w:tc>
            </w:tr>
            <w:tr w14:paraId="68E7A6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1634" w:type="dxa"/>
                  <w:vMerge w:val="continue"/>
                  <w:tcBorders>
                    <w:top w:val="nil"/>
                    <w:left w:val="single" w:color="auto" w:sz="4" w:space="0"/>
                    <w:bottom w:val="single" w:color="auto" w:sz="4" w:space="0"/>
                    <w:right w:val="single" w:color="auto" w:sz="4" w:space="0"/>
                  </w:tcBorders>
                  <w:vAlign w:val="center"/>
                </w:tcPr>
                <w:p w14:paraId="57C59384">
                  <w:pPr>
                    <w:keepNext w:val="0"/>
                    <w:keepLines w:val="0"/>
                    <w:suppressLineNumbers w:val="0"/>
                    <w:spacing w:before="0" w:beforeAutospacing="0" w:after="0" w:afterAutospacing="0"/>
                    <w:ind w:left="0" w:right="0"/>
                    <w:rPr>
                      <w:rFonts w:hint="default" w:ascii="Times New Roman" w:hAnsi="Times New Roman" w:cs="Times New Roman"/>
                      <w:color w:val="auto"/>
                      <w:sz w:val="20"/>
                      <w:szCs w:val="20"/>
                    </w:rPr>
                  </w:pPr>
                </w:p>
              </w:tc>
              <w:tc>
                <w:tcPr>
                  <w:tcW w:w="1188" w:type="dxa"/>
                  <w:tcBorders>
                    <w:top w:val="single" w:color="auto" w:sz="4" w:space="0"/>
                    <w:left w:val="single" w:color="auto" w:sz="4" w:space="0"/>
                    <w:bottom w:val="single" w:color="auto" w:sz="4" w:space="0"/>
                    <w:right w:val="single" w:color="auto" w:sz="4" w:space="0"/>
                  </w:tcBorders>
                  <w:vAlign w:val="center"/>
                </w:tcPr>
                <w:p w14:paraId="51B92304">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r>
                    <w:rPr>
                      <w:rFonts w:hint="eastAsia" w:ascii="宋体" w:hAnsi="宋体" w:eastAsia="宋体" w:cs="宋体"/>
                      <w:color w:val="auto"/>
                      <w:szCs w:val="21"/>
                      <w:lang w:bidi="ar"/>
                    </w:rPr>
                    <w:t>排放速率</w:t>
                  </w:r>
                </w:p>
              </w:tc>
              <w:tc>
                <w:tcPr>
                  <w:tcW w:w="936" w:type="dxa"/>
                  <w:tcBorders>
                    <w:top w:val="single" w:color="auto" w:sz="4" w:space="0"/>
                    <w:left w:val="single" w:color="auto" w:sz="4" w:space="0"/>
                    <w:bottom w:val="single" w:color="auto" w:sz="4" w:space="0"/>
                    <w:right w:val="single" w:color="auto" w:sz="4" w:space="0"/>
                  </w:tcBorders>
                  <w:vAlign w:val="center"/>
                </w:tcPr>
                <w:p w14:paraId="46813827">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lang w:bidi="ar"/>
                    </w:rPr>
                    <w:t>kg/h</w:t>
                  </w:r>
                </w:p>
              </w:tc>
              <w:tc>
                <w:tcPr>
                  <w:tcW w:w="1778" w:type="dxa"/>
                  <w:tcBorders>
                    <w:top w:val="single" w:color="auto" w:sz="4" w:space="0"/>
                    <w:left w:val="single" w:color="auto" w:sz="4" w:space="0"/>
                    <w:bottom w:val="single" w:color="auto" w:sz="4" w:space="0"/>
                    <w:right w:val="single" w:color="auto" w:sz="4" w:space="0"/>
                  </w:tcBorders>
                  <w:vAlign w:val="center"/>
                </w:tcPr>
                <w:p w14:paraId="665418FE">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lang w:bidi="ar"/>
                    </w:rPr>
                    <w:t>9.07×10</w:t>
                  </w:r>
                  <w:r>
                    <w:rPr>
                      <w:rFonts w:hint="default" w:ascii="Times New Roman" w:hAnsi="Times New Roman" w:eastAsia="宋体" w:cs="Times New Roman"/>
                      <w:color w:val="auto"/>
                      <w:szCs w:val="21"/>
                      <w:vertAlign w:val="superscript"/>
                      <w:lang w:bidi="ar"/>
                    </w:rPr>
                    <w:t>-</w:t>
                  </w:r>
                  <w:r>
                    <w:rPr>
                      <w:rFonts w:hint="default" w:ascii="Times New Roman" w:hAnsi="Times New Roman" w:eastAsia="宋体" w:cs="Times New Roman"/>
                      <w:color w:val="auto"/>
                      <w:szCs w:val="21"/>
                      <w:lang w:bidi="ar"/>
                    </w:rPr>
                    <w:t>²</w:t>
                  </w:r>
                </w:p>
              </w:tc>
              <w:tc>
                <w:tcPr>
                  <w:tcW w:w="1891" w:type="dxa"/>
                  <w:tcBorders>
                    <w:top w:val="single" w:color="auto" w:sz="4" w:space="0"/>
                    <w:left w:val="single" w:color="auto" w:sz="4" w:space="0"/>
                    <w:bottom w:val="single" w:color="auto" w:sz="4" w:space="0"/>
                    <w:right w:val="single" w:color="auto" w:sz="4" w:space="0"/>
                  </w:tcBorders>
                  <w:vAlign w:val="center"/>
                </w:tcPr>
                <w:p w14:paraId="434FA689">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lang w:bidi="ar"/>
                    </w:rPr>
                    <w:t>8.97×10</w:t>
                  </w:r>
                  <w:r>
                    <w:rPr>
                      <w:rFonts w:hint="default" w:ascii="Times New Roman" w:hAnsi="Times New Roman" w:eastAsia="宋体" w:cs="Times New Roman"/>
                      <w:color w:val="auto"/>
                      <w:szCs w:val="21"/>
                      <w:vertAlign w:val="superscript"/>
                      <w:lang w:bidi="ar"/>
                    </w:rPr>
                    <w:t>-</w:t>
                  </w:r>
                  <w:r>
                    <w:rPr>
                      <w:rFonts w:hint="default" w:ascii="Times New Roman" w:hAnsi="Times New Roman" w:eastAsia="宋体" w:cs="Times New Roman"/>
                      <w:color w:val="auto"/>
                      <w:szCs w:val="21"/>
                      <w:lang w:bidi="ar"/>
                    </w:rPr>
                    <w:t>²</w:t>
                  </w:r>
                </w:p>
              </w:tc>
              <w:tc>
                <w:tcPr>
                  <w:tcW w:w="1895" w:type="dxa"/>
                  <w:tcBorders>
                    <w:top w:val="single" w:color="auto" w:sz="4" w:space="0"/>
                    <w:left w:val="single" w:color="auto" w:sz="4" w:space="0"/>
                    <w:bottom w:val="single" w:color="auto" w:sz="4" w:space="0"/>
                    <w:right w:val="single" w:color="auto" w:sz="4" w:space="0"/>
                  </w:tcBorders>
                  <w:vAlign w:val="center"/>
                </w:tcPr>
                <w:p w14:paraId="61B49C93">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lang w:bidi="ar"/>
                    </w:rPr>
                    <w:t>9.07×10</w:t>
                  </w:r>
                  <w:r>
                    <w:rPr>
                      <w:rFonts w:hint="default" w:ascii="Times New Roman" w:hAnsi="Times New Roman" w:eastAsia="宋体" w:cs="Times New Roman"/>
                      <w:color w:val="auto"/>
                      <w:szCs w:val="21"/>
                      <w:vertAlign w:val="superscript"/>
                      <w:lang w:bidi="ar"/>
                    </w:rPr>
                    <w:t>-</w:t>
                  </w:r>
                  <w:r>
                    <w:rPr>
                      <w:rFonts w:hint="default" w:ascii="Times New Roman" w:hAnsi="Times New Roman" w:eastAsia="宋体" w:cs="Times New Roman"/>
                      <w:color w:val="auto"/>
                      <w:szCs w:val="21"/>
                      <w:lang w:bidi="ar"/>
                    </w:rPr>
                    <w:t>²</w:t>
                  </w:r>
                </w:p>
              </w:tc>
            </w:tr>
            <w:tr w14:paraId="2FC2F6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9322" w:type="dxa"/>
                  <w:gridSpan w:val="6"/>
                  <w:tcBorders>
                    <w:top w:val="single" w:color="auto" w:sz="4" w:space="0"/>
                    <w:left w:val="single" w:color="auto" w:sz="4" w:space="0"/>
                    <w:bottom w:val="single" w:color="auto" w:sz="4" w:space="0"/>
                    <w:right w:val="single" w:color="auto" w:sz="4" w:space="0"/>
                  </w:tcBorders>
                  <w:vAlign w:val="center"/>
                </w:tcPr>
                <w:p w14:paraId="19DF8A22">
                  <w:pPr>
                    <w:keepNext w:val="0"/>
                    <w:keepLines w:val="0"/>
                    <w:suppressLineNumbers w:val="0"/>
                    <w:spacing w:before="0" w:beforeAutospacing="0" w:after="0" w:afterAutospacing="0"/>
                    <w:ind w:left="0" w:right="0"/>
                    <w:jc w:val="left"/>
                    <w:rPr>
                      <w:rFonts w:hint="default" w:ascii="Times New Roman" w:hAnsi="Times New Roman" w:eastAsia="宋体" w:cs="Times New Roman"/>
                      <w:color w:val="auto"/>
                      <w:szCs w:val="21"/>
                    </w:rPr>
                  </w:pPr>
                  <w:r>
                    <w:rPr>
                      <w:rFonts w:hint="eastAsia" w:ascii="宋体" w:hAnsi="宋体" w:eastAsia="宋体" w:cs="宋体"/>
                      <w:color w:val="auto"/>
                      <w:szCs w:val="21"/>
                      <w:lang w:bidi="ar"/>
                    </w:rPr>
                    <w:t>采样点位：</w:t>
                  </w:r>
                  <w:r>
                    <w:rPr>
                      <w:rFonts w:hint="default" w:ascii="Times New Roman" w:hAnsi="Times New Roman" w:eastAsia="宋体" w:cs="Times New Roman"/>
                      <w:color w:val="auto"/>
                      <w:szCs w:val="21"/>
                      <w:u w:val="single"/>
                      <w:lang w:bidi="ar"/>
                    </w:rPr>
                    <w:t xml:space="preserve">   DA001</w:t>
                  </w:r>
                  <w:r>
                    <w:rPr>
                      <w:rFonts w:hint="eastAsia" w:ascii="宋体" w:hAnsi="宋体" w:eastAsia="宋体" w:cs="宋体"/>
                      <w:color w:val="auto"/>
                      <w:szCs w:val="21"/>
                      <w:u w:val="single"/>
                      <w:lang w:bidi="ar"/>
                    </w:rPr>
                    <w:t xml:space="preserve">投料粉尘废气处理设施出口   </w:t>
                  </w:r>
                  <w:r>
                    <w:rPr>
                      <w:rFonts w:hint="eastAsia" w:ascii="宋体" w:hAnsi="宋体" w:eastAsia="宋体" w:cs="宋体"/>
                      <w:color w:val="auto"/>
                      <w:szCs w:val="21"/>
                      <w:lang w:bidi="ar"/>
                    </w:rPr>
                    <w:t>采样日期：</w:t>
                  </w:r>
                  <w:r>
                    <w:rPr>
                      <w:rFonts w:hint="default" w:ascii="Times New Roman" w:hAnsi="Times New Roman" w:eastAsia="宋体" w:cs="Times New Roman"/>
                      <w:color w:val="auto"/>
                      <w:szCs w:val="21"/>
                      <w:u w:val="single"/>
                      <w:lang w:bidi="ar"/>
                    </w:rPr>
                    <w:t xml:space="preserve">   2025.11.20   </w:t>
                  </w:r>
                </w:p>
              </w:tc>
            </w:tr>
            <w:tr w14:paraId="706626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2822" w:type="dxa"/>
                  <w:gridSpan w:val="2"/>
                  <w:tcBorders>
                    <w:top w:val="single" w:color="auto" w:sz="4" w:space="0"/>
                    <w:left w:val="single" w:color="auto" w:sz="4" w:space="0"/>
                    <w:bottom w:val="single" w:color="auto" w:sz="4" w:space="0"/>
                    <w:right w:val="single" w:color="auto" w:sz="4" w:space="0"/>
                  </w:tcBorders>
                  <w:vAlign w:val="center"/>
                </w:tcPr>
                <w:p w14:paraId="6569C155">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r>
                    <w:rPr>
                      <w:rFonts w:hint="eastAsia" w:ascii="宋体" w:hAnsi="宋体" w:eastAsia="宋体" w:cs="宋体"/>
                      <w:color w:val="auto"/>
                      <w:szCs w:val="21"/>
                      <w:lang w:bidi="ar"/>
                    </w:rPr>
                    <w:t>检测项目</w:t>
                  </w:r>
                </w:p>
              </w:tc>
              <w:tc>
                <w:tcPr>
                  <w:tcW w:w="936" w:type="dxa"/>
                  <w:tcBorders>
                    <w:top w:val="single" w:color="auto" w:sz="4" w:space="0"/>
                    <w:left w:val="single" w:color="auto" w:sz="4" w:space="0"/>
                    <w:bottom w:val="single" w:color="auto" w:sz="4" w:space="0"/>
                    <w:right w:val="single" w:color="auto" w:sz="4" w:space="0"/>
                  </w:tcBorders>
                  <w:vAlign w:val="center"/>
                </w:tcPr>
                <w:p w14:paraId="252AB631">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r>
                    <w:rPr>
                      <w:rFonts w:hint="eastAsia" w:ascii="宋体" w:hAnsi="宋体" w:eastAsia="宋体" w:cs="宋体"/>
                      <w:color w:val="auto"/>
                      <w:szCs w:val="21"/>
                      <w:lang w:bidi="ar"/>
                    </w:rPr>
                    <w:t>单位</w:t>
                  </w:r>
                </w:p>
              </w:tc>
              <w:tc>
                <w:tcPr>
                  <w:tcW w:w="5564" w:type="dxa"/>
                  <w:gridSpan w:val="3"/>
                  <w:tcBorders>
                    <w:top w:val="single" w:color="auto" w:sz="4" w:space="0"/>
                    <w:left w:val="single" w:color="auto" w:sz="4" w:space="0"/>
                    <w:bottom w:val="single" w:color="auto" w:sz="4" w:space="0"/>
                    <w:right w:val="single" w:color="auto" w:sz="4" w:space="0"/>
                  </w:tcBorders>
                  <w:vAlign w:val="center"/>
                </w:tcPr>
                <w:p w14:paraId="729C473F">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r>
                    <w:rPr>
                      <w:rFonts w:hint="eastAsia" w:ascii="宋体" w:hAnsi="宋体" w:eastAsia="宋体" w:cs="宋体"/>
                      <w:color w:val="auto"/>
                      <w:szCs w:val="21"/>
                      <w:lang w:bidi="ar"/>
                    </w:rPr>
                    <w:t>检测结果</w:t>
                  </w:r>
                </w:p>
              </w:tc>
            </w:tr>
            <w:tr w14:paraId="53E807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2822" w:type="dxa"/>
                  <w:gridSpan w:val="2"/>
                  <w:tcBorders>
                    <w:top w:val="single" w:color="auto" w:sz="4" w:space="0"/>
                    <w:left w:val="single" w:color="auto" w:sz="4" w:space="0"/>
                    <w:bottom w:val="single" w:color="auto" w:sz="4" w:space="0"/>
                    <w:right w:val="single" w:color="auto" w:sz="4" w:space="0"/>
                  </w:tcBorders>
                  <w:vAlign w:val="center"/>
                </w:tcPr>
                <w:p w14:paraId="19E8D50A">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r>
                    <w:rPr>
                      <w:rFonts w:hint="eastAsia" w:ascii="宋体" w:hAnsi="宋体" w:eastAsia="宋体" w:cs="宋体"/>
                      <w:color w:val="auto"/>
                      <w:szCs w:val="21"/>
                      <w:lang w:bidi="ar"/>
                    </w:rPr>
                    <w:t>检测管道截面积</w:t>
                  </w:r>
                </w:p>
              </w:tc>
              <w:tc>
                <w:tcPr>
                  <w:tcW w:w="936" w:type="dxa"/>
                  <w:tcBorders>
                    <w:top w:val="single" w:color="auto" w:sz="4" w:space="0"/>
                    <w:left w:val="single" w:color="auto" w:sz="4" w:space="0"/>
                    <w:bottom w:val="single" w:color="auto" w:sz="4" w:space="0"/>
                    <w:right w:val="single" w:color="auto" w:sz="4" w:space="0"/>
                  </w:tcBorders>
                  <w:vAlign w:val="center"/>
                </w:tcPr>
                <w:p w14:paraId="144192EA">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lang w:bidi="ar"/>
                    </w:rPr>
                    <w:t>m²</w:t>
                  </w:r>
                </w:p>
              </w:tc>
              <w:tc>
                <w:tcPr>
                  <w:tcW w:w="1778" w:type="dxa"/>
                  <w:tcBorders>
                    <w:top w:val="single" w:color="auto" w:sz="4" w:space="0"/>
                    <w:left w:val="single" w:color="auto" w:sz="4" w:space="0"/>
                    <w:bottom w:val="single" w:color="auto" w:sz="4" w:space="0"/>
                    <w:right w:val="single" w:color="auto" w:sz="4" w:space="0"/>
                  </w:tcBorders>
                  <w:vAlign w:val="center"/>
                </w:tcPr>
                <w:p w14:paraId="32ADC9EA">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lang w:bidi="ar"/>
                    </w:rPr>
                    <w:t>0.2827</w:t>
                  </w:r>
                </w:p>
              </w:tc>
              <w:tc>
                <w:tcPr>
                  <w:tcW w:w="1891" w:type="dxa"/>
                  <w:tcBorders>
                    <w:top w:val="single" w:color="auto" w:sz="4" w:space="0"/>
                    <w:left w:val="single" w:color="auto" w:sz="4" w:space="0"/>
                    <w:bottom w:val="single" w:color="auto" w:sz="4" w:space="0"/>
                    <w:right w:val="single" w:color="auto" w:sz="4" w:space="0"/>
                  </w:tcBorders>
                  <w:vAlign w:val="center"/>
                </w:tcPr>
                <w:p w14:paraId="5027E49B">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lang w:bidi="ar"/>
                    </w:rPr>
                    <w:t>0.2827</w:t>
                  </w:r>
                </w:p>
              </w:tc>
              <w:tc>
                <w:tcPr>
                  <w:tcW w:w="1895" w:type="dxa"/>
                  <w:tcBorders>
                    <w:top w:val="single" w:color="auto" w:sz="4" w:space="0"/>
                    <w:left w:val="single" w:color="auto" w:sz="4" w:space="0"/>
                    <w:bottom w:val="single" w:color="auto" w:sz="4" w:space="0"/>
                    <w:right w:val="single" w:color="auto" w:sz="4" w:space="0"/>
                  </w:tcBorders>
                  <w:vAlign w:val="center"/>
                </w:tcPr>
                <w:p w14:paraId="2579FCE8">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lang w:bidi="ar"/>
                    </w:rPr>
                    <w:t>0.2827</w:t>
                  </w:r>
                </w:p>
              </w:tc>
            </w:tr>
            <w:tr w14:paraId="6C8A0E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2822" w:type="dxa"/>
                  <w:gridSpan w:val="2"/>
                  <w:tcBorders>
                    <w:top w:val="single" w:color="auto" w:sz="4" w:space="0"/>
                    <w:left w:val="single" w:color="auto" w:sz="4" w:space="0"/>
                    <w:bottom w:val="single" w:color="auto" w:sz="4" w:space="0"/>
                    <w:right w:val="single" w:color="auto" w:sz="4" w:space="0"/>
                  </w:tcBorders>
                  <w:vAlign w:val="center"/>
                </w:tcPr>
                <w:p w14:paraId="077A746D">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r>
                    <w:rPr>
                      <w:rFonts w:hint="eastAsia" w:ascii="宋体" w:hAnsi="宋体" w:eastAsia="宋体" w:cs="宋体"/>
                      <w:color w:val="auto"/>
                      <w:szCs w:val="21"/>
                      <w:lang w:bidi="ar"/>
                    </w:rPr>
                    <w:t>烟气温度</w:t>
                  </w:r>
                </w:p>
              </w:tc>
              <w:tc>
                <w:tcPr>
                  <w:tcW w:w="936" w:type="dxa"/>
                  <w:tcBorders>
                    <w:top w:val="single" w:color="auto" w:sz="4" w:space="0"/>
                    <w:left w:val="single" w:color="auto" w:sz="4" w:space="0"/>
                    <w:bottom w:val="single" w:color="auto" w:sz="4" w:space="0"/>
                    <w:right w:val="single" w:color="auto" w:sz="4" w:space="0"/>
                  </w:tcBorders>
                  <w:vAlign w:val="center"/>
                </w:tcPr>
                <w:p w14:paraId="7FD13C81">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lang w:bidi="ar"/>
                    </w:rPr>
                    <w:t>℃</w:t>
                  </w:r>
                </w:p>
              </w:tc>
              <w:tc>
                <w:tcPr>
                  <w:tcW w:w="1778" w:type="dxa"/>
                  <w:tcBorders>
                    <w:top w:val="single" w:color="auto" w:sz="4" w:space="0"/>
                    <w:left w:val="single" w:color="auto" w:sz="4" w:space="0"/>
                    <w:bottom w:val="single" w:color="auto" w:sz="4" w:space="0"/>
                    <w:right w:val="single" w:color="auto" w:sz="4" w:space="0"/>
                  </w:tcBorders>
                  <w:vAlign w:val="center"/>
                </w:tcPr>
                <w:p w14:paraId="190B28F0">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lang w:bidi="ar"/>
                    </w:rPr>
                    <w:t>26.1</w:t>
                  </w:r>
                </w:p>
              </w:tc>
              <w:tc>
                <w:tcPr>
                  <w:tcW w:w="1891" w:type="dxa"/>
                  <w:tcBorders>
                    <w:top w:val="single" w:color="auto" w:sz="4" w:space="0"/>
                    <w:left w:val="single" w:color="auto" w:sz="4" w:space="0"/>
                    <w:bottom w:val="single" w:color="auto" w:sz="4" w:space="0"/>
                    <w:right w:val="single" w:color="auto" w:sz="4" w:space="0"/>
                  </w:tcBorders>
                  <w:vAlign w:val="center"/>
                </w:tcPr>
                <w:p w14:paraId="5C2E2D44">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lang w:bidi="ar"/>
                    </w:rPr>
                    <w:t>25.8</w:t>
                  </w:r>
                </w:p>
              </w:tc>
              <w:tc>
                <w:tcPr>
                  <w:tcW w:w="1895" w:type="dxa"/>
                  <w:tcBorders>
                    <w:top w:val="single" w:color="auto" w:sz="4" w:space="0"/>
                    <w:left w:val="single" w:color="auto" w:sz="4" w:space="0"/>
                    <w:bottom w:val="single" w:color="auto" w:sz="4" w:space="0"/>
                    <w:right w:val="single" w:color="auto" w:sz="4" w:space="0"/>
                  </w:tcBorders>
                  <w:vAlign w:val="center"/>
                </w:tcPr>
                <w:p w14:paraId="728B7EBD">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lang w:bidi="ar"/>
                    </w:rPr>
                    <w:t>25.9</w:t>
                  </w:r>
                </w:p>
              </w:tc>
            </w:tr>
            <w:tr w14:paraId="09D88A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2822" w:type="dxa"/>
                  <w:gridSpan w:val="2"/>
                  <w:tcBorders>
                    <w:top w:val="single" w:color="auto" w:sz="4" w:space="0"/>
                    <w:left w:val="single" w:color="auto" w:sz="4" w:space="0"/>
                    <w:bottom w:val="single" w:color="auto" w:sz="4" w:space="0"/>
                    <w:right w:val="single" w:color="auto" w:sz="4" w:space="0"/>
                  </w:tcBorders>
                  <w:vAlign w:val="center"/>
                </w:tcPr>
                <w:p w14:paraId="07507A66">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r>
                    <w:rPr>
                      <w:rFonts w:hint="eastAsia" w:ascii="宋体" w:hAnsi="宋体" w:eastAsia="宋体" w:cs="宋体"/>
                      <w:color w:val="auto"/>
                      <w:szCs w:val="21"/>
                      <w:lang w:bidi="ar"/>
                    </w:rPr>
                    <w:t>烟气平均流速</w:t>
                  </w:r>
                </w:p>
              </w:tc>
              <w:tc>
                <w:tcPr>
                  <w:tcW w:w="936" w:type="dxa"/>
                  <w:tcBorders>
                    <w:top w:val="single" w:color="auto" w:sz="4" w:space="0"/>
                    <w:left w:val="single" w:color="auto" w:sz="4" w:space="0"/>
                    <w:bottom w:val="single" w:color="auto" w:sz="4" w:space="0"/>
                    <w:right w:val="single" w:color="auto" w:sz="4" w:space="0"/>
                  </w:tcBorders>
                  <w:vAlign w:val="center"/>
                </w:tcPr>
                <w:p w14:paraId="35745EDE">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lang w:bidi="ar"/>
                    </w:rPr>
                    <w:t>m/s</w:t>
                  </w:r>
                </w:p>
              </w:tc>
              <w:tc>
                <w:tcPr>
                  <w:tcW w:w="1778" w:type="dxa"/>
                  <w:tcBorders>
                    <w:top w:val="single" w:color="auto" w:sz="4" w:space="0"/>
                    <w:left w:val="single" w:color="auto" w:sz="4" w:space="0"/>
                    <w:bottom w:val="single" w:color="auto" w:sz="4" w:space="0"/>
                    <w:right w:val="single" w:color="auto" w:sz="4" w:space="0"/>
                  </w:tcBorders>
                  <w:vAlign w:val="center"/>
                </w:tcPr>
                <w:p w14:paraId="4C682CE2">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lang w:bidi="ar"/>
                    </w:rPr>
                    <w:t>10.4</w:t>
                  </w:r>
                </w:p>
              </w:tc>
              <w:tc>
                <w:tcPr>
                  <w:tcW w:w="1891" w:type="dxa"/>
                  <w:tcBorders>
                    <w:top w:val="single" w:color="auto" w:sz="4" w:space="0"/>
                    <w:left w:val="single" w:color="auto" w:sz="4" w:space="0"/>
                    <w:bottom w:val="single" w:color="auto" w:sz="4" w:space="0"/>
                    <w:right w:val="single" w:color="auto" w:sz="4" w:space="0"/>
                  </w:tcBorders>
                  <w:vAlign w:val="center"/>
                </w:tcPr>
                <w:p w14:paraId="538EC9D2">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lang w:bidi="ar"/>
                    </w:rPr>
                    <w:t>10.6</w:t>
                  </w:r>
                </w:p>
              </w:tc>
              <w:tc>
                <w:tcPr>
                  <w:tcW w:w="1895" w:type="dxa"/>
                  <w:tcBorders>
                    <w:top w:val="single" w:color="auto" w:sz="4" w:space="0"/>
                    <w:left w:val="single" w:color="auto" w:sz="4" w:space="0"/>
                    <w:bottom w:val="single" w:color="auto" w:sz="4" w:space="0"/>
                    <w:right w:val="single" w:color="auto" w:sz="4" w:space="0"/>
                  </w:tcBorders>
                  <w:vAlign w:val="center"/>
                </w:tcPr>
                <w:p w14:paraId="27E15076">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lang w:bidi="ar"/>
                    </w:rPr>
                    <w:t>10.4</w:t>
                  </w:r>
                </w:p>
              </w:tc>
            </w:tr>
            <w:tr w14:paraId="6A5C63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2822" w:type="dxa"/>
                  <w:gridSpan w:val="2"/>
                  <w:tcBorders>
                    <w:top w:val="single" w:color="auto" w:sz="4" w:space="0"/>
                    <w:left w:val="single" w:color="auto" w:sz="4" w:space="0"/>
                    <w:bottom w:val="single" w:color="auto" w:sz="4" w:space="0"/>
                    <w:right w:val="single" w:color="auto" w:sz="4" w:space="0"/>
                  </w:tcBorders>
                  <w:vAlign w:val="center"/>
                </w:tcPr>
                <w:p w14:paraId="53398284">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r>
                    <w:rPr>
                      <w:rFonts w:hint="eastAsia" w:ascii="宋体" w:hAnsi="宋体" w:eastAsia="宋体" w:cs="宋体"/>
                      <w:color w:val="auto"/>
                      <w:szCs w:val="21"/>
                      <w:lang w:bidi="ar"/>
                    </w:rPr>
                    <w:t>标态干烟气量</w:t>
                  </w:r>
                </w:p>
              </w:tc>
              <w:tc>
                <w:tcPr>
                  <w:tcW w:w="936" w:type="dxa"/>
                  <w:tcBorders>
                    <w:top w:val="single" w:color="auto" w:sz="4" w:space="0"/>
                    <w:left w:val="single" w:color="auto" w:sz="4" w:space="0"/>
                    <w:bottom w:val="single" w:color="auto" w:sz="4" w:space="0"/>
                    <w:right w:val="single" w:color="auto" w:sz="4" w:space="0"/>
                  </w:tcBorders>
                  <w:vAlign w:val="center"/>
                </w:tcPr>
                <w:p w14:paraId="6050D532">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lang w:bidi="ar"/>
                    </w:rPr>
                    <w:t>m³/h</w:t>
                  </w:r>
                </w:p>
              </w:tc>
              <w:tc>
                <w:tcPr>
                  <w:tcW w:w="1778" w:type="dxa"/>
                  <w:tcBorders>
                    <w:top w:val="single" w:color="auto" w:sz="4" w:space="0"/>
                    <w:left w:val="single" w:color="auto" w:sz="4" w:space="0"/>
                    <w:bottom w:val="single" w:color="auto" w:sz="4" w:space="0"/>
                    <w:right w:val="single" w:color="auto" w:sz="4" w:space="0"/>
                  </w:tcBorders>
                  <w:vAlign w:val="center"/>
                </w:tcPr>
                <w:p w14:paraId="180FD7CD">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lang w:bidi="ar"/>
                    </w:rPr>
                    <w:t>9639</w:t>
                  </w:r>
                </w:p>
              </w:tc>
              <w:tc>
                <w:tcPr>
                  <w:tcW w:w="1891" w:type="dxa"/>
                  <w:tcBorders>
                    <w:top w:val="single" w:color="auto" w:sz="4" w:space="0"/>
                    <w:left w:val="single" w:color="auto" w:sz="4" w:space="0"/>
                    <w:bottom w:val="single" w:color="auto" w:sz="4" w:space="0"/>
                    <w:right w:val="single" w:color="auto" w:sz="4" w:space="0"/>
                  </w:tcBorders>
                  <w:vAlign w:val="center"/>
                </w:tcPr>
                <w:p w14:paraId="32D697E2">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lang w:bidi="ar"/>
                    </w:rPr>
                    <w:t>9812</w:t>
                  </w:r>
                </w:p>
              </w:tc>
              <w:tc>
                <w:tcPr>
                  <w:tcW w:w="1895" w:type="dxa"/>
                  <w:tcBorders>
                    <w:top w:val="single" w:color="auto" w:sz="4" w:space="0"/>
                    <w:left w:val="single" w:color="auto" w:sz="4" w:space="0"/>
                    <w:bottom w:val="single" w:color="auto" w:sz="4" w:space="0"/>
                    <w:right w:val="single" w:color="auto" w:sz="4" w:space="0"/>
                  </w:tcBorders>
                  <w:vAlign w:val="center"/>
                </w:tcPr>
                <w:p w14:paraId="6D8D8CB8">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lang w:bidi="ar"/>
                    </w:rPr>
                    <w:t>9626</w:t>
                  </w:r>
                </w:p>
              </w:tc>
            </w:tr>
            <w:tr w14:paraId="2BD2EB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1634" w:type="dxa"/>
                  <w:vMerge w:val="restart"/>
                  <w:tcBorders>
                    <w:top w:val="nil"/>
                    <w:left w:val="single" w:color="auto" w:sz="4" w:space="0"/>
                    <w:bottom w:val="single" w:color="auto" w:sz="4" w:space="0"/>
                    <w:right w:val="single" w:color="auto" w:sz="4" w:space="0"/>
                  </w:tcBorders>
                  <w:vAlign w:val="center"/>
                </w:tcPr>
                <w:p w14:paraId="7573843E">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r>
                    <w:rPr>
                      <w:rFonts w:hint="eastAsia" w:ascii="宋体" w:hAnsi="宋体" w:eastAsia="宋体" w:cs="宋体"/>
                      <w:color w:val="auto"/>
                      <w:szCs w:val="21"/>
                      <w:lang w:bidi="ar"/>
                    </w:rPr>
                    <w:t>颗粒物</w:t>
                  </w:r>
                </w:p>
                <w:p w14:paraId="6BA54159">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r>
                    <w:rPr>
                      <w:rFonts w:hint="eastAsia" w:ascii="宋体" w:hAnsi="宋体" w:eastAsia="宋体" w:cs="宋体"/>
                      <w:color w:val="auto"/>
                      <w:szCs w:val="21"/>
                      <w:lang w:bidi="ar"/>
                    </w:rPr>
                    <w:t>（烟尘、粉尘）</w:t>
                  </w:r>
                </w:p>
              </w:tc>
              <w:tc>
                <w:tcPr>
                  <w:tcW w:w="1188" w:type="dxa"/>
                  <w:tcBorders>
                    <w:top w:val="single" w:color="auto" w:sz="4" w:space="0"/>
                    <w:left w:val="single" w:color="auto" w:sz="4" w:space="0"/>
                    <w:bottom w:val="single" w:color="auto" w:sz="4" w:space="0"/>
                    <w:right w:val="single" w:color="auto" w:sz="4" w:space="0"/>
                  </w:tcBorders>
                  <w:vAlign w:val="center"/>
                </w:tcPr>
                <w:p w14:paraId="3DC8D2DE">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r>
                    <w:rPr>
                      <w:rFonts w:hint="eastAsia" w:ascii="宋体" w:hAnsi="宋体" w:eastAsia="宋体" w:cs="宋体"/>
                      <w:color w:val="auto"/>
                      <w:szCs w:val="21"/>
                      <w:lang w:bidi="ar"/>
                    </w:rPr>
                    <w:t>样品编号</w:t>
                  </w:r>
                </w:p>
              </w:tc>
              <w:tc>
                <w:tcPr>
                  <w:tcW w:w="936" w:type="dxa"/>
                  <w:tcBorders>
                    <w:top w:val="single" w:color="auto" w:sz="4" w:space="0"/>
                    <w:left w:val="single" w:color="auto" w:sz="4" w:space="0"/>
                    <w:bottom w:val="single" w:color="auto" w:sz="4" w:space="0"/>
                    <w:right w:val="single" w:color="auto" w:sz="4" w:space="0"/>
                  </w:tcBorders>
                  <w:vAlign w:val="center"/>
                </w:tcPr>
                <w:p w14:paraId="5C4E58E7">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lang w:bidi="ar"/>
                    </w:rPr>
                    <w:t>/</w:t>
                  </w:r>
                </w:p>
              </w:tc>
              <w:tc>
                <w:tcPr>
                  <w:tcW w:w="1778" w:type="dxa"/>
                  <w:tcBorders>
                    <w:top w:val="single" w:color="auto" w:sz="4" w:space="0"/>
                    <w:left w:val="single" w:color="auto" w:sz="4" w:space="0"/>
                    <w:bottom w:val="single" w:color="auto" w:sz="4" w:space="0"/>
                    <w:right w:val="single" w:color="auto" w:sz="4" w:space="0"/>
                  </w:tcBorders>
                  <w:vAlign w:val="center"/>
                </w:tcPr>
                <w:p w14:paraId="44B56FFB">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r>
                    <w:rPr>
                      <w:rFonts w:hint="eastAsia" w:ascii="宋体" w:hAnsi="宋体" w:eastAsia="宋体" w:cs="宋体"/>
                      <w:color w:val="auto"/>
                      <w:szCs w:val="21"/>
                      <w:lang w:bidi="ar"/>
                    </w:rPr>
                    <w:t>气</w:t>
                  </w:r>
                  <w:r>
                    <w:rPr>
                      <w:rFonts w:hint="default" w:ascii="Times New Roman" w:hAnsi="Times New Roman" w:eastAsia="宋体" w:cs="Times New Roman"/>
                      <w:color w:val="auto"/>
                      <w:szCs w:val="21"/>
                      <w:lang w:bidi="ar"/>
                    </w:rPr>
                    <w:t>251120180</w:t>
                  </w:r>
                </w:p>
              </w:tc>
              <w:tc>
                <w:tcPr>
                  <w:tcW w:w="1891" w:type="dxa"/>
                  <w:tcBorders>
                    <w:top w:val="single" w:color="auto" w:sz="4" w:space="0"/>
                    <w:left w:val="single" w:color="auto" w:sz="4" w:space="0"/>
                    <w:bottom w:val="single" w:color="auto" w:sz="4" w:space="0"/>
                    <w:right w:val="single" w:color="auto" w:sz="4" w:space="0"/>
                  </w:tcBorders>
                  <w:vAlign w:val="center"/>
                </w:tcPr>
                <w:p w14:paraId="7F95D6C2">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r>
                    <w:rPr>
                      <w:rFonts w:hint="eastAsia" w:ascii="宋体" w:hAnsi="宋体" w:eastAsia="宋体" w:cs="宋体"/>
                      <w:color w:val="auto"/>
                      <w:szCs w:val="21"/>
                      <w:lang w:bidi="ar"/>
                    </w:rPr>
                    <w:t>气</w:t>
                  </w:r>
                  <w:r>
                    <w:rPr>
                      <w:rFonts w:hint="default" w:ascii="Times New Roman" w:hAnsi="Times New Roman" w:eastAsia="宋体" w:cs="Times New Roman"/>
                      <w:color w:val="auto"/>
                      <w:szCs w:val="21"/>
                      <w:lang w:bidi="ar"/>
                    </w:rPr>
                    <w:t>251120181</w:t>
                  </w:r>
                </w:p>
              </w:tc>
              <w:tc>
                <w:tcPr>
                  <w:tcW w:w="1895" w:type="dxa"/>
                  <w:tcBorders>
                    <w:top w:val="single" w:color="auto" w:sz="4" w:space="0"/>
                    <w:left w:val="single" w:color="auto" w:sz="4" w:space="0"/>
                    <w:bottom w:val="single" w:color="auto" w:sz="4" w:space="0"/>
                    <w:right w:val="single" w:color="auto" w:sz="4" w:space="0"/>
                  </w:tcBorders>
                  <w:vAlign w:val="center"/>
                </w:tcPr>
                <w:p w14:paraId="325CC3DE">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r>
                    <w:rPr>
                      <w:rFonts w:hint="eastAsia" w:ascii="宋体" w:hAnsi="宋体" w:eastAsia="宋体" w:cs="宋体"/>
                      <w:color w:val="auto"/>
                      <w:szCs w:val="21"/>
                      <w:lang w:bidi="ar"/>
                    </w:rPr>
                    <w:t>气</w:t>
                  </w:r>
                  <w:r>
                    <w:rPr>
                      <w:rFonts w:hint="default" w:ascii="Times New Roman" w:hAnsi="Times New Roman" w:eastAsia="宋体" w:cs="Times New Roman"/>
                      <w:color w:val="auto"/>
                      <w:szCs w:val="21"/>
                      <w:lang w:bidi="ar"/>
                    </w:rPr>
                    <w:t>251120182</w:t>
                  </w:r>
                </w:p>
              </w:tc>
            </w:tr>
            <w:tr w14:paraId="42ED52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1634" w:type="dxa"/>
                  <w:vMerge w:val="continue"/>
                  <w:tcBorders>
                    <w:top w:val="nil"/>
                    <w:left w:val="single" w:color="auto" w:sz="4" w:space="0"/>
                    <w:bottom w:val="single" w:color="auto" w:sz="4" w:space="0"/>
                    <w:right w:val="single" w:color="auto" w:sz="4" w:space="0"/>
                  </w:tcBorders>
                  <w:vAlign w:val="center"/>
                </w:tcPr>
                <w:p w14:paraId="558E2030">
                  <w:pPr>
                    <w:keepNext w:val="0"/>
                    <w:keepLines w:val="0"/>
                    <w:suppressLineNumbers w:val="0"/>
                    <w:spacing w:before="0" w:beforeAutospacing="0" w:after="0" w:afterAutospacing="0"/>
                    <w:ind w:left="0" w:right="0"/>
                    <w:rPr>
                      <w:rFonts w:hint="default" w:ascii="Times New Roman" w:hAnsi="Times New Roman" w:cs="Times New Roman"/>
                      <w:color w:val="auto"/>
                      <w:sz w:val="20"/>
                      <w:szCs w:val="20"/>
                    </w:rPr>
                  </w:pPr>
                </w:p>
              </w:tc>
              <w:tc>
                <w:tcPr>
                  <w:tcW w:w="1188" w:type="dxa"/>
                  <w:tcBorders>
                    <w:top w:val="single" w:color="auto" w:sz="4" w:space="0"/>
                    <w:left w:val="single" w:color="auto" w:sz="4" w:space="0"/>
                    <w:bottom w:val="single" w:color="auto" w:sz="4" w:space="0"/>
                    <w:right w:val="single" w:color="auto" w:sz="4" w:space="0"/>
                  </w:tcBorders>
                  <w:vAlign w:val="center"/>
                </w:tcPr>
                <w:p w14:paraId="4875AC53">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r>
                    <w:rPr>
                      <w:rFonts w:hint="eastAsia" w:ascii="宋体" w:hAnsi="宋体" w:eastAsia="宋体" w:cs="宋体"/>
                      <w:color w:val="auto"/>
                      <w:szCs w:val="21"/>
                      <w:lang w:bidi="ar"/>
                    </w:rPr>
                    <w:t>排放浓度</w:t>
                  </w:r>
                </w:p>
              </w:tc>
              <w:tc>
                <w:tcPr>
                  <w:tcW w:w="936" w:type="dxa"/>
                  <w:tcBorders>
                    <w:top w:val="single" w:color="auto" w:sz="4" w:space="0"/>
                    <w:left w:val="single" w:color="auto" w:sz="4" w:space="0"/>
                    <w:bottom w:val="single" w:color="auto" w:sz="4" w:space="0"/>
                    <w:right w:val="single" w:color="auto" w:sz="4" w:space="0"/>
                  </w:tcBorders>
                  <w:vAlign w:val="center"/>
                </w:tcPr>
                <w:p w14:paraId="6560D2A7">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lang w:bidi="ar"/>
                    </w:rPr>
                    <w:t>mg/m³</w:t>
                  </w:r>
                </w:p>
              </w:tc>
              <w:tc>
                <w:tcPr>
                  <w:tcW w:w="1778" w:type="dxa"/>
                  <w:tcBorders>
                    <w:top w:val="single" w:color="auto" w:sz="4" w:space="0"/>
                    <w:left w:val="single" w:color="auto" w:sz="4" w:space="0"/>
                    <w:bottom w:val="single" w:color="auto" w:sz="4" w:space="0"/>
                    <w:right w:val="single" w:color="auto" w:sz="4" w:space="0"/>
                  </w:tcBorders>
                  <w:vAlign w:val="center"/>
                </w:tcPr>
                <w:p w14:paraId="4E7E3D17">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lang w:bidi="ar"/>
                    </w:rPr>
                    <w:t>2.3</w:t>
                  </w:r>
                </w:p>
              </w:tc>
              <w:tc>
                <w:tcPr>
                  <w:tcW w:w="1891" w:type="dxa"/>
                  <w:tcBorders>
                    <w:top w:val="single" w:color="auto" w:sz="4" w:space="0"/>
                    <w:left w:val="single" w:color="auto" w:sz="4" w:space="0"/>
                    <w:bottom w:val="single" w:color="auto" w:sz="4" w:space="0"/>
                    <w:right w:val="single" w:color="auto" w:sz="4" w:space="0"/>
                  </w:tcBorders>
                  <w:vAlign w:val="center"/>
                </w:tcPr>
                <w:p w14:paraId="5BFA6ED3">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lang w:bidi="ar"/>
                    </w:rPr>
                    <w:t>2.2</w:t>
                  </w:r>
                </w:p>
              </w:tc>
              <w:tc>
                <w:tcPr>
                  <w:tcW w:w="1895" w:type="dxa"/>
                  <w:tcBorders>
                    <w:top w:val="single" w:color="auto" w:sz="4" w:space="0"/>
                    <w:left w:val="single" w:color="auto" w:sz="4" w:space="0"/>
                    <w:bottom w:val="single" w:color="auto" w:sz="4" w:space="0"/>
                    <w:right w:val="single" w:color="auto" w:sz="4" w:space="0"/>
                  </w:tcBorders>
                  <w:vAlign w:val="center"/>
                </w:tcPr>
                <w:p w14:paraId="317A7BD4">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lang w:bidi="ar"/>
                    </w:rPr>
                    <w:t>2.5</w:t>
                  </w:r>
                </w:p>
              </w:tc>
            </w:tr>
            <w:tr w14:paraId="75AA59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1634" w:type="dxa"/>
                  <w:vMerge w:val="continue"/>
                  <w:tcBorders>
                    <w:top w:val="nil"/>
                    <w:left w:val="single" w:color="auto" w:sz="4" w:space="0"/>
                    <w:bottom w:val="single" w:color="auto" w:sz="4" w:space="0"/>
                    <w:right w:val="single" w:color="auto" w:sz="4" w:space="0"/>
                  </w:tcBorders>
                  <w:vAlign w:val="center"/>
                </w:tcPr>
                <w:p w14:paraId="257FF458">
                  <w:pPr>
                    <w:keepNext w:val="0"/>
                    <w:keepLines w:val="0"/>
                    <w:suppressLineNumbers w:val="0"/>
                    <w:spacing w:before="0" w:beforeAutospacing="0" w:after="0" w:afterAutospacing="0"/>
                    <w:ind w:left="0" w:right="0"/>
                    <w:rPr>
                      <w:rFonts w:hint="default" w:ascii="Times New Roman" w:hAnsi="Times New Roman" w:cs="Times New Roman"/>
                      <w:color w:val="auto"/>
                      <w:sz w:val="20"/>
                      <w:szCs w:val="20"/>
                    </w:rPr>
                  </w:pPr>
                </w:p>
              </w:tc>
              <w:tc>
                <w:tcPr>
                  <w:tcW w:w="1188" w:type="dxa"/>
                  <w:tcBorders>
                    <w:top w:val="single" w:color="auto" w:sz="4" w:space="0"/>
                    <w:left w:val="single" w:color="auto" w:sz="4" w:space="0"/>
                    <w:bottom w:val="single" w:color="auto" w:sz="4" w:space="0"/>
                    <w:right w:val="single" w:color="auto" w:sz="4" w:space="0"/>
                  </w:tcBorders>
                  <w:vAlign w:val="center"/>
                </w:tcPr>
                <w:p w14:paraId="38CD9827">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r>
                    <w:rPr>
                      <w:rFonts w:hint="eastAsia" w:ascii="宋体" w:hAnsi="宋体" w:eastAsia="宋体" w:cs="宋体"/>
                      <w:color w:val="auto"/>
                      <w:szCs w:val="21"/>
                      <w:lang w:bidi="ar"/>
                    </w:rPr>
                    <w:t>排放速率</w:t>
                  </w:r>
                </w:p>
              </w:tc>
              <w:tc>
                <w:tcPr>
                  <w:tcW w:w="936" w:type="dxa"/>
                  <w:tcBorders>
                    <w:top w:val="single" w:color="auto" w:sz="4" w:space="0"/>
                    <w:left w:val="single" w:color="auto" w:sz="4" w:space="0"/>
                    <w:bottom w:val="single" w:color="auto" w:sz="4" w:space="0"/>
                    <w:right w:val="single" w:color="auto" w:sz="4" w:space="0"/>
                  </w:tcBorders>
                  <w:vAlign w:val="center"/>
                </w:tcPr>
                <w:p w14:paraId="4252F53F">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lang w:bidi="ar"/>
                    </w:rPr>
                    <w:t>kg/h</w:t>
                  </w:r>
                </w:p>
              </w:tc>
              <w:tc>
                <w:tcPr>
                  <w:tcW w:w="1778" w:type="dxa"/>
                  <w:tcBorders>
                    <w:top w:val="single" w:color="auto" w:sz="4" w:space="0"/>
                    <w:left w:val="single" w:color="auto" w:sz="4" w:space="0"/>
                    <w:bottom w:val="single" w:color="auto" w:sz="4" w:space="0"/>
                    <w:right w:val="single" w:color="auto" w:sz="4" w:space="0"/>
                  </w:tcBorders>
                  <w:vAlign w:val="center"/>
                </w:tcPr>
                <w:p w14:paraId="03974D01">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lang w:bidi="ar"/>
                    </w:rPr>
                    <w:t>2.22×10</w:t>
                  </w:r>
                  <w:r>
                    <w:rPr>
                      <w:rFonts w:hint="default" w:ascii="Times New Roman" w:hAnsi="Times New Roman" w:eastAsia="宋体" w:cs="Times New Roman"/>
                      <w:color w:val="auto"/>
                      <w:szCs w:val="21"/>
                      <w:vertAlign w:val="superscript"/>
                      <w:lang w:bidi="ar"/>
                    </w:rPr>
                    <w:t>-</w:t>
                  </w:r>
                  <w:r>
                    <w:rPr>
                      <w:rFonts w:hint="default" w:ascii="Times New Roman" w:hAnsi="Times New Roman" w:eastAsia="宋体" w:cs="Times New Roman"/>
                      <w:color w:val="auto"/>
                      <w:szCs w:val="21"/>
                      <w:lang w:bidi="ar"/>
                    </w:rPr>
                    <w:t>²</w:t>
                  </w:r>
                </w:p>
              </w:tc>
              <w:tc>
                <w:tcPr>
                  <w:tcW w:w="1891" w:type="dxa"/>
                  <w:tcBorders>
                    <w:top w:val="single" w:color="auto" w:sz="4" w:space="0"/>
                    <w:left w:val="single" w:color="auto" w:sz="4" w:space="0"/>
                    <w:bottom w:val="single" w:color="auto" w:sz="4" w:space="0"/>
                    <w:right w:val="single" w:color="auto" w:sz="4" w:space="0"/>
                  </w:tcBorders>
                  <w:vAlign w:val="center"/>
                </w:tcPr>
                <w:p w14:paraId="5E71CE0B">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lang w:bidi="ar"/>
                    </w:rPr>
                    <w:t>2.16×10</w:t>
                  </w:r>
                  <w:r>
                    <w:rPr>
                      <w:rFonts w:hint="default" w:ascii="Times New Roman" w:hAnsi="Times New Roman" w:eastAsia="宋体" w:cs="Times New Roman"/>
                      <w:color w:val="auto"/>
                      <w:szCs w:val="21"/>
                      <w:vertAlign w:val="superscript"/>
                      <w:lang w:bidi="ar"/>
                    </w:rPr>
                    <w:t>-</w:t>
                  </w:r>
                  <w:r>
                    <w:rPr>
                      <w:rFonts w:hint="default" w:ascii="Times New Roman" w:hAnsi="Times New Roman" w:eastAsia="宋体" w:cs="Times New Roman"/>
                      <w:color w:val="auto"/>
                      <w:szCs w:val="21"/>
                      <w:lang w:bidi="ar"/>
                    </w:rPr>
                    <w:t>²</w:t>
                  </w:r>
                </w:p>
              </w:tc>
              <w:tc>
                <w:tcPr>
                  <w:tcW w:w="1895" w:type="dxa"/>
                  <w:tcBorders>
                    <w:top w:val="single" w:color="auto" w:sz="4" w:space="0"/>
                    <w:left w:val="single" w:color="auto" w:sz="4" w:space="0"/>
                    <w:bottom w:val="single" w:color="auto" w:sz="4" w:space="0"/>
                    <w:right w:val="single" w:color="auto" w:sz="4" w:space="0"/>
                  </w:tcBorders>
                  <w:vAlign w:val="center"/>
                </w:tcPr>
                <w:p w14:paraId="4EFA5C0E">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lang w:bidi="ar"/>
                    </w:rPr>
                    <w:t>2.41×10</w:t>
                  </w:r>
                  <w:r>
                    <w:rPr>
                      <w:rFonts w:hint="default" w:ascii="Times New Roman" w:hAnsi="Times New Roman" w:eastAsia="宋体" w:cs="Times New Roman"/>
                      <w:color w:val="auto"/>
                      <w:szCs w:val="21"/>
                      <w:vertAlign w:val="superscript"/>
                      <w:lang w:bidi="ar"/>
                    </w:rPr>
                    <w:t>-</w:t>
                  </w:r>
                  <w:r>
                    <w:rPr>
                      <w:rFonts w:hint="default" w:ascii="Times New Roman" w:hAnsi="Times New Roman" w:eastAsia="宋体" w:cs="Times New Roman"/>
                      <w:color w:val="auto"/>
                      <w:szCs w:val="21"/>
                      <w:lang w:bidi="ar"/>
                    </w:rPr>
                    <w:t>²</w:t>
                  </w:r>
                </w:p>
              </w:tc>
            </w:tr>
          </w:tbl>
          <w:p w14:paraId="233F44D3">
            <w:pPr>
              <w:keepNext w:val="0"/>
              <w:keepLines w:val="0"/>
              <w:suppressLineNumbers w:val="0"/>
              <w:spacing w:before="0" w:beforeAutospacing="0" w:after="0" w:afterAutospacing="0" w:line="360" w:lineRule="auto"/>
              <w:ind w:left="0" w:right="0" w:firstLine="480" w:firstLineChars="200"/>
              <w:rPr>
                <w:rFonts w:hint="default" w:ascii="Times New Roman" w:hAnsi="Times New Roman" w:eastAsia="宋体" w:cs="Times New Roman"/>
                <w:color w:val="auto"/>
                <w:sz w:val="24"/>
              </w:rPr>
            </w:pPr>
            <w:r>
              <w:rPr>
                <w:rFonts w:hint="eastAsia" w:ascii="Times New Roman" w:hAnsi="Times New Roman" w:eastAsia="宋体" w:cs="Times New Roman"/>
                <w:color w:val="auto"/>
                <w:sz w:val="24"/>
              </w:rPr>
              <w:t>由上表可知，企业投料粉尘排气筒DA001出口颗粒物排放满足《合成树脂工业污染物排放标准》（GB31572-2015，含2024年修改单）表5中的特别排放限值。</w:t>
            </w:r>
          </w:p>
          <w:p w14:paraId="4D40199C">
            <w:pPr>
              <w:keepNext w:val="0"/>
              <w:keepLines w:val="0"/>
              <w:suppressLineNumbers w:val="0"/>
              <w:spacing w:before="0" w:beforeAutospacing="0" w:after="0" w:afterAutospacing="0" w:line="360" w:lineRule="auto"/>
              <w:ind w:left="0" w:right="0" w:firstLine="480" w:firstLineChars="200"/>
              <w:rPr>
                <w:rFonts w:hint="default" w:ascii="Times New Roman" w:hAnsi="Times New Roman" w:eastAsia="宋体" w:cs="Times New Roman"/>
                <w:color w:val="auto"/>
                <w:sz w:val="24"/>
              </w:rPr>
            </w:pPr>
            <w:r>
              <w:rPr>
                <w:rFonts w:hint="eastAsia" w:ascii="Times New Roman" w:hAnsi="Times New Roman" w:eastAsia="宋体" w:cs="Times New Roman"/>
                <w:color w:val="auto"/>
                <w:sz w:val="24"/>
              </w:rPr>
              <w:t>现有项目投料工序全年生产时间为2400h（每天加料时间大约为8h），则投料</w:t>
            </w:r>
            <w:r>
              <w:rPr>
                <w:rFonts w:hint="default" w:ascii="Times New Roman" w:hAnsi="Times New Roman" w:eastAsia="宋体" w:cs="Times New Roman"/>
                <w:color w:val="auto"/>
                <w:sz w:val="24"/>
              </w:rPr>
              <w:t>粉尘</w:t>
            </w:r>
            <w:r>
              <w:rPr>
                <w:rFonts w:hint="eastAsia" w:ascii="Times New Roman" w:hAnsi="Times New Roman" w:eastAsia="宋体" w:cs="Times New Roman"/>
                <w:color w:val="auto"/>
                <w:sz w:val="24"/>
              </w:rPr>
              <w:t>中颗粒物排放量为0.052t/a，</w:t>
            </w:r>
            <w:r>
              <w:rPr>
                <w:rFonts w:hint="default"/>
              </w:rPr>
              <w:commentReference w:id="42"/>
            </w:r>
            <w:r>
              <w:rPr>
                <w:rFonts w:hint="eastAsia" w:ascii="Times New Roman" w:hAnsi="Times New Roman" w:eastAsia="宋体" w:cs="Times New Roman"/>
                <w:color w:val="auto"/>
                <w:sz w:val="24"/>
              </w:rPr>
              <w:t>满负荷排放量为0.397t/a（满负荷为年产782万平方米有机硅片材）。</w:t>
            </w:r>
          </w:p>
          <w:p w14:paraId="2F235009">
            <w:pPr>
              <w:keepNext w:val="0"/>
              <w:keepLines w:val="0"/>
              <w:suppressLineNumbers w:val="0"/>
              <w:spacing w:before="0" w:beforeAutospacing="0" w:after="0" w:afterAutospacing="0" w:line="360" w:lineRule="auto"/>
              <w:ind w:left="0" w:right="0" w:firstLine="480" w:firstLineChars="200"/>
              <w:rPr>
                <w:rFonts w:hint="default" w:ascii="Times New Roman" w:hAnsi="Times New Roman" w:eastAsia="宋体" w:cs="Times New Roman"/>
                <w:color w:val="auto"/>
                <w:sz w:val="24"/>
              </w:rPr>
            </w:pPr>
            <w:r>
              <w:rPr>
                <w:rFonts w:hint="eastAsia" w:ascii="Times New Roman" w:hAnsi="Times New Roman" w:eastAsia="宋体" w:cs="Times New Roman"/>
                <w:color w:val="auto"/>
                <w:sz w:val="24"/>
              </w:rPr>
              <w:t>根据湖州天亿环境检测有限公司出具的检测报告（报告编号：</w:t>
            </w:r>
            <w:r>
              <w:rPr>
                <w:rFonts w:hint="default" w:ascii="Times New Roman" w:hAnsi="Times New Roman" w:eastAsia="宋体" w:cs="Times New Roman"/>
                <w:color w:val="auto"/>
                <w:sz w:val="24"/>
              </w:rPr>
              <w:t>天亿检测（2025）检1463号</w:t>
            </w:r>
            <w:r>
              <w:rPr>
                <w:rFonts w:hint="eastAsia" w:ascii="Times New Roman" w:hAnsi="Times New Roman" w:eastAsia="宋体" w:cs="Times New Roman"/>
                <w:color w:val="auto"/>
                <w:sz w:val="24"/>
              </w:rPr>
              <w:t>），企业厂界颗粒物无组织排放情况见下表。</w:t>
            </w:r>
          </w:p>
          <w:p w14:paraId="78C2455A">
            <w:pPr>
              <w:keepNext w:val="0"/>
              <w:keepLines w:val="0"/>
              <w:suppressLineNumbers w:val="0"/>
              <w:spacing w:before="0" w:beforeAutospacing="0" w:after="0" w:afterAutospacing="0"/>
              <w:ind w:left="0" w:right="0"/>
              <w:jc w:val="center"/>
              <w:rPr>
                <w:rFonts w:hint="default" w:ascii="Times New Roman" w:hAnsi="Times New Roman" w:eastAsia="宋体" w:cs="Times New Roman"/>
                <w:b/>
                <w:bCs/>
                <w:color w:val="auto"/>
              </w:rPr>
            </w:pPr>
            <w:r>
              <w:rPr>
                <w:rFonts w:hint="eastAsia" w:ascii="Times New Roman" w:hAnsi="Times New Roman" w:eastAsia="宋体" w:cs="Times New Roman"/>
                <w:b/>
                <w:bCs/>
                <w:color w:val="auto"/>
              </w:rPr>
              <w:t>表2-1</w:t>
            </w:r>
            <w:r>
              <w:rPr>
                <w:rFonts w:hint="eastAsia" w:ascii="Times New Roman" w:hAnsi="Times New Roman" w:eastAsia="宋体" w:cs="Times New Roman"/>
                <w:b/>
                <w:bCs/>
                <w:color w:val="auto"/>
                <w:lang w:val="en-US" w:eastAsia="zh-CN"/>
              </w:rPr>
              <w:t>9</w:t>
            </w:r>
            <w:r>
              <w:rPr>
                <w:rFonts w:hint="eastAsia" w:ascii="Times New Roman" w:hAnsi="Times New Roman" w:eastAsia="宋体" w:cs="Times New Roman"/>
                <w:b/>
                <w:bCs/>
                <w:color w:val="auto"/>
              </w:rPr>
              <w:t xml:space="preserve">  厂界颗粒物无组织排放情况表</w:t>
            </w:r>
          </w:p>
          <w:tbl>
            <w:tblPr>
              <w:tblStyle w:val="22"/>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265"/>
              <w:gridCol w:w="1269"/>
              <w:gridCol w:w="1609"/>
              <w:gridCol w:w="1450"/>
              <w:gridCol w:w="1450"/>
              <w:gridCol w:w="1132"/>
            </w:tblGrid>
            <w:tr w14:paraId="674FBA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2534" w:type="dxa"/>
                  <w:gridSpan w:val="2"/>
                  <w:tcBorders>
                    <w:top w:val="single" w:color="auto" w:sz="4" w:space="0"/>
                    <w:left w:val="single" w:color="auto" w:sz="4" w:space="0"/>
                    <w:bottom w:val="single" w:color="auto" w:sz="4" w:space="0"/>
                    <w:right w:val="single" w:color="auto" w:sz="4" w:space="0"/>
                  </w:tcBorders>
                  <w:vAlign w:val="center"/>
                </w:tcPr>
                <w:p w14:paraId="4FEB96F7">
                  <w:pPr>
                    <w:keepNext w:val="0"/>
                    <w:keepLines w:val="0"/>
                    <w:suppressLineNumbers w:val="0"/>
                    <w:spacing w:before="0" w:beforeAutospacing="0" w:after="0" w:afterAutospacing="0"/>
                    <w:ind w:left="0" w:right="0"/>
                    <w:jc w:val="center"/>
                    <w:rPr>
                      <w:rFonts w:hint="default" w:ascii="Times New Roman" w:hAnsi="Times New Roman" w:eastAsia="宋体" w:cs="Times New Roman"/>
                      <w:b/>
                      <w:bCs/>
                      <w:color w:val="auto"/>
                      <w:szCs w:val="21"/>
                    </w:rPr>
                  </w:pPr>
                  <w:r>
                    <w:rPr>
                      <w:rFonts w:hint="eastAsia" w:ascii="宋体" w:hAnsi="宋体" w:eastAsia="宋体" w:cs="宋体"/>
                      <w:b/>
                      <w:bCs/>
                      <w:color w:val="auto"/>
                      <w:szCs w:val="21"/>
                      <w:lang w:bidi="ar"/>
                    </w:rPr>
                    <w:t>采样时间</w:t>
                  </w:r>
                </w:p>
              </w:tc>
              <w:tc>
                <w:tcPr>
                  <w:tcW w:w="1609" w:type="dxa"/>
                  <w:tcBorders>
                    <w:top w:val="single" w:color="auto" w:sz="4" w:space="0"/>
                    <w:left w:val="single" w:color="auto" w:sz="4" w:space="0"/>
                    <w:bottom w:val="single" w:color="auto" w:sz="4" w:space="0"/>
                    <w:right w:val="single" w:color="auto" w:sz="4" w:space="0"/>
                  </w:tcBorders>
                  <w:vAlign w:val="center"/>
                </w:tcPr>
                <w:p w14:paraId="1C0B5295">
                  <w:pPr>
                    <w:keepNext w:val="0"/>
                    <w:keepLines w:val="0"/>
                    <w:suppressLineNumbers w:val="0"/>
                    <w:spacing w:before="0" w:beforeAutospacing="0" w:after="0" w:afterAutospacing="0"/>
                    <w:ind w:left="0" w:right="0"/>
                    <w:jc w:val="center"/>
                    <w:rPr>
                      <w:rFonts w:hint="default" w:ascii="Times New Roman" w:hAnsi="Times New Roman" w:eastAsia="宋体" w:cs="Times New Roman"/>
                      <w:b/>
                      <w:bCs/>
                      <w:color w:val="auto"/>
                      <w:szCs w:val="21"/>
                    </w:rPr>
                  </w:pPr>
                  <w:r>
                    <w:rPr>
                      <w:rFonts w:hint="eastAsia" w:ascii="宋体" w:hAnsi="宋体" w:eastAsia="宋体" w:cs="宋体"/>
                      <w:b/>
                      <w:bCs/>
                      <w:color w:val="auto"/>
                      <w:szCs w:val="21"/>
                      <w:lang w:bidi="ar"/>
                    </w:rPr>
                    <w:t>检测项目</w:t>
                  </w:r>
                </w:p>
              </w:tc>
              <w:tc>
                <w:tcPr>
                  <w:tcW w:w="1450" w:type="dxa"/>
                  <w:tcBorders>
                    <w:top w:val="single" w:color="auto" w:sz="4" w:space="0"/>
                    <w:left w:val="single" w:color="auto" w:sz="4" w:space="0"/>
                    <w:bottom w:val="single" w:color="auto" w:sz="4" w:space="0"/>
                    <w:right w:val="single" w:color="auto" w:sz="4" w:space="0"/>
                  </w:tcBorders>
                  <w:vAlign w:val="center"/>
                </w:tcPr>
                <w:p w14:paraId="796BD13A">
                  <w:pPr>
                    <w:keepNext w:val="0"/>
                    <w:keepLines w:val="0"/>
                    <w:suppressLineNumbers w:val="0"/>
                    <w:spacing w:before="0" w:beforeAutospacing="0" w:after="0" w:afterAutospacing="0"/>
                    <w:ind w:left="0" w:right="0"/>
                    <w:jc w:val="center"/>
                    <w:rPr>
                      <w:rFonts w:hint="default" w:ascii="Times New Roman" w:hAnsi="Times New Roman" w:eastAsia="宋体" w:cs="Times New Roman"/>
                      <w:b/>
                      <w:bCs/>
                      <w:color w:val="auto"/>
                      <w:szCs w:val="21"/>
                    </w:rPr>
                  </w:pPr>
                  <w:r>
                    <w:rPr>
                      <w:rFonts w:hint="eastAsia" w:ascii="宋体" w:hAnsi="宋体" w:eastAsia="宋体" w:cs="宋体"/>
                      <w:b/>
                      <w:bCs/>
                      <w:color w:val="auto"/>
                      <w:szCs w:val="21"/>
                      <w:lang w:bidi="ar"/>
                    </w:rPr>
                    <w:t>采样点位</w:t>
                  </w:r>
                </w:p>
              </w:tc>
              <w:tc>
                <w:tcPr>
                  <w:tcW w:w="1450" w:type="dxa"/>
                  <w:tcBorders>
                    <w:top w:val="single" w:color="auto" w:sz="4" w:space="0"/>
                    <w:left w:val="single" w:color="auto" w:sz="4" w:space="0"/>
                    <w:bottom w:val="single" w:color="auto" w:sz="4" w:space="0"/>
                    <w:right w:val="single" w:color="auto" w:sz="4" w:space="0"/>
                  </w:tcBorders>
                  <w:vAlign w:val="center"/>
                </w:tcPr>
                <w:p w14:paraId="384699A1">
                  <w:pPr>
                    <w:keepNext w:val="0"/>
                    <w:keepLines w:val="0"/>
                    <w:suppressLineNumbers w:val="0"/>
                    <w:spacing w:before="0" w:beforeAutospacing="0" w:after="0" w:afterAutospacing="0"/>
                    <w:ind w:left="0" w:right="0"/>
                    <w:jc w:val="center"/>
                    <w:rPr>
                      <w:rFonts w:hint="default" w:ascii="Times New Roman" w:hAnsi="Times New Roman" w:eastAsia="宋体" w:cs="Times New Roman"/>
                      <w:b/>
                      <w:bCs/>
                      <w:color w:val="auto"/>
                      <w:szCs w:val="21"/>
                    </w:rPr>
                  </w:pPr>
                  <w:r>
                    <w:rPr>
                      <w:rFonts w:hint="eastAsia" w:ascii="宋体" w:hAnsi="宋体" w:eastAsia="宋体" w:cs="宋体"/>
                      <w:b/>
                      <w:bCs/>
                      <w:color w:val="auto"/>
                      <w:szCs w:val="21"/>
                      <w:lang w:bidi="ar"/>
                    </w:rPr>
                    <w:t>样品编号</w:t>
                  </w:r>
                </w:p>
              </w:tc>
              <w:tc>
                <w:tcPr>
                  <w:tcW w:w="1132" w:type="dxa"/>
                  <w:tcBorders>
                    <w:top w:val="single" w:color="auto" w:sz="4" w:space="0"/>
                    <w:left w:val="single" w:color="auto" w:sz="4" w:space="0"/>
                    <w:bottom w:val="single" w:color="auto" w:sz="4" w:space="0"/>
                    <w:right w:val="single" w:color="auto" w:sz="4" w:space="0"/>
                  </w:tcBorders>
                  <w:vAlign w:val="center"/>
                </w:tcPr>
                <w:p w14:paraId="07807D33">
                  <w:pPr>
                    <w:keepNext w:val="0"/>
                    <w:keepLines w:val="0"/>
                    <w:suppressLineNumbers w:val="0"/>
                    <w:spacing w:before="0" w:beforeAutospacing="0" w:after="0" w:afterAutospacing="0"/>
                    <w:ind w:left="0" w:right="0"/>
                    <w:jc w:val="center"/>
                    <w:rPr>
                      <w:rFonts w:hint="default" w:ascii="Times New Roman" w:hAnsi="Times New Roman" w:eastAsia="宋体" w:cs="Times New Roman"/>
                      <w:b/>
                      <w:bCs/>
                      <w:color w:val="auto"/>
                      <w:szCs w:val="21"/>
                    </w:rPr>
                  </w:pPr>
                  <w:r>
                    <w:rPr>
                      <w:rFonts w:hint="eastAsia" w:ascii="宋体" w:hAnsi="宋体" w:eastAsia="宋体" w:cs="宋体"/>
                      <w:b/>
                      <w:bCs/>
                      <w:color w:val="auto"/>
                      <w:szCs w:val="21"/>
                      <w:lang w:bidi="ar"/>
                    </w:rPr>
                    <w:t>检测结果</w:t>
                  </w:r>
                </w:p>
              </w:tc>
            </w:tr>
            <w:tr w14:paraId="24783B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1265" w:type="dxa"/>
                  <w:vMerge w:val="restart"/>
                  <w:tcBorders>
                    <w:top w:val="nil"/>
                    <w:left w:val="single" w:color="auto" w:sz="4" w:space="0"/>
                    <w:bottom w:val="single" w:color="auto" w:sz="4" w:space="0"/>
                    <w:right w:val="single" w:color="auto" w:sz="4" w:space="0"/>
                  </w:tcBorders>
                  <w:vAlign w:val="center"/>
                </w:tcPr>
                <w:p w14:paraId="78B20049">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lang w:bidi="ar"/>
                    </w:rPr>
                    <w:t>2025.11.19</w:t>
                  </w:r>
                </w:p>
              </w:tc>
              <w:tc>
                <w:tcPr>
                  <w:tcW w:w="1269" w:type="dxa"/>
                  <w:tcBorders>
                    <w:top w:val="single" w:color="auto" w:sz="4" w:space="0"/>
                    <w:left w:val="single" w:color="auto" w:sz="4" w:space="0"/>
                    <w:bottom w:val="single" w:color="auto" w:sz="4" w:space="0"/>
                    <w:right w:val="single" w:color="auto" w:sz="4" w:space="0"/>
                  </w:tcBorders>
                  <w:vAlign w:val="center"/>
                </w:tcPr>
                <w:p w14:paraId="5FC1D72B">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r>
                    <w:rPr>
                      <w:rFonts w:hint="eastAsia" w:ascii="宋体" w:hAnsi="宋体" w:eastAsia="宋体" w:cs="宋体"/>
                      <w:color w:val="auto"/>
                      <w:szCs w:val="21"/>
                      <w:lang w:bidi="ar"/>
                    </w:rPr>
                    <w:t>第一次</w:t>
                  </w:r>
                </w:p>
              </w:tc>
              <w:tc>
                <w:tcPr>
                  <w:tcW w:w="1609" w:type="dxa"/>
                  <w:vMerge w:val="restart"/>
                  <w:tcBorders>
                    <w:top w:val="nil"/>
                    <w:left w:val="single" w:color="auto" w:sz="4" w:space="0"/>
                    <w:bottom w:val="single" w:color="auto" w:sz="4" w:space="0"/>
                    <w:right w:val="single" w:color="auto" w:sz="4" w:space="0"/>
                  </w:tcBorders>
                  <w:vAlign w:val="center"/>
                </w:tcPr>
                <w:p w14:paraId="2A688721">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r>
                    <w:rPr>
                      <w:rFonts w:hint="eastAsia" w:ascii="宋体" w:hAnsi="宋体" w:eastAsia="宋体" w:cs="宋体"/>
                      <w:color w:val="auto"/>
                      <w:szCs w:val="21"/>
                      <w:lang w:bidi="ar"/>
                    </w:rPr>
                    <w:t>总悬浮颗粒物（</w:t>
                  </w:r>
                  <w:r>
                    <w:rPr>
                      <w:rFonts w:hint="default" w:ascii="Times New Roman" w:hAnsi="Times New Roman" w:eastAsia="宋体" w:cs="Times New Roman"/>
                      <w:color w:val="auto"/>
                      <w:szCs w:val="21"/>
                      <w:lang w:bidi="ar"/>
                    </w:rPr>
                    <w:t>μg/m³</w:t>
                  </w:r>
                  <w:r>
                    <w:rPr>
                      <w:rFonts w:hint="eastAsia" w:ascii="宋体" w:hAnsi="宋体" w:eastAsia="宋体" w:cs="宋体"/>
                      <w:color w:val="auto"/>
                      <w:szCs w:val="21"/>
                      <w:lang w:bidi="ar"/>
                    </w:rPr>
                    <w:t>）</w:t>
                  </w:r>
                </w:p>
              </w:tc>
              <w:tc>
                <w:tcPr>
                  <w:tcW w:w="1450" w:type="dxa"/>
                  <w:vMerge w:val="restart"/>
                  <w:tcBorders>
                    <w:top w:val="nil"/>
                    <w:left w:val="single" w:color="auto" w:sz="4" w:space="0"/>
                    <w:bottom w:val="single" w:color="auto" w:sz="4" w:space="0"/>
                    <w:right w:val="single" w:color="auto" w:sz="4" w:space="0"/>
                  </w:tcBorders>
                  <w:vAlign w:val="center"/>
                </w:tcPr>
                <w:p w14:paraId="0714D628">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r>
                    <w:rPr>
                      <w:rFonts w:hint="eastAsia" w:ascii="宋体" w:hAnsi="宋体" w:eastAsia="宋体" w:cs="宋体"/>
                      <w:color w:val="auto"/>
                      <w:szCs w:val="21"/>
                      <w:lang w:bidi="ar"/>
                    </w:rPr>
                    <w:t>厂界上风向</w:t>
                  </w:r>
                </w:p>
              </w:tc>
              <w:tc>
                <w:tcPr>
                  <w:tcW w:w="1450" w:type="dxa"/>
                  <w:tcBorders>
                    <w:top w:val="single" w:color="auto" w:sz="4" w:space="0"/>
                    <w:left w:val="single" w:color="auto" w:sz="4" w:space="0"/>
                    <w:bottom w:val="single" w:color="auto" w:sz="4" w:space="0"/>
                    <w:right w:val="single" w:color="auto" w:sz="4" w:space="0"/>
                  </w:tcBorders>
                  <w:vAlign w:val="center"/>
                </w:tcPr>
                <w:p w14:paraId="456875DA">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r>
                    <w:rPr>
                      <w:rFonts w:hint="eastAsia" w:ascii="宋体" w:hAnsi="宋体" w:eastAsia="宋体" w:cs="宋体"/>
                      <w:color w:val="auto"/>
                      <w:szCs w:val="21"/>
                      <w:lang w:bidi="ar"/>
                    </w:rPr>
                    <w:t>气</w:t>
                  </w:r>
                  <w:r>
                    <w:rPr>
                      <w:rFonts w:hint="default" w:ascii="Times New Roman" w:hAnsi="Times New Roman" w:eastAsia="宋体" w:cs="Times New Roman"/>
                      <w:color w:val="auto"/>
                      <w:szCs w:val="21"/>
                      <w:lang w:bidi="ar"/>
                    </w:rPr>
                    <w:t>251119008</w:t>
                  </w:r>
                </w:p>
              </w:tc>
              <w:tc>
                <w:tcPr>
                  <w:tcW w:w="1132" w:type="dxa"/>
                  <w:tcBorders>
                    <w:top w:val="single" w:color="auto" w:sz="4" w:space="0"/>
                    <w:left w:val="single" w:color="auto" w:sz="4" w:space="0"/>
                    <w:bottom w:val="single" w:color="auto" w:sz="4" w:space="0"/>
                    <w:right w:val="single" w:color="auto" w:sz="4" w:space="0"/>
                  </w:tcBorders>
                  <w:vAlign w:val="center"/>
                </w:tcPr>
                <w:p w14:paraId="537E044F">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lang w:bidi="ar"/>
                    </w:rPr>
                    <w:t>245</w:t>
                  </w:r>
                </w:p>
              </w:tc>
            </w:tr>
            <w:tr w14:paraId="452C82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1265" w:type="dxa"/>
                  <w:vMerge w:val="continue"/>
                  <w:tcBorders>
                    <w:top w:val="nil"/>
                    <w:left w:val="single" w:color="auto" w:sz="4" w:space="0"/>
                    <w:bottom w:val="single" w:color="auto" w:sz="4" w:space="0"/>
                    <w:right w:val="single" w:color="auto" w:sz="4" w:space="0"/>
                  </w:tcBorders>
                  <w:vAlign w:val="center"/>
                </w:tcPr>
                <w:p w14:paraId="339F6B75">
                  <w:pPr>
                    <w:keepNext w:val="0"/>
                    <w:keepLines w:val="0"/>
                    <w:suppressLineNumbers w:val="0"/>
                    <w:spacing w:before="0" w:beforeAutospacing="0" w:after="0" w:afterAutospacing="0"/>
                    <w:ind w:left="0" w:right="0"/>
                    <w:rPr>
                      <w:rFonts w:hint="default" w:ascii="Times New Roman" w:hAnsi="Times New Roman" w:cs="Times New Roman"/>
                      <w:color w:val="auto"/>
                      <w:sz w:val="20"/>
                      <w:szCs w:val="20"/>
                    </w:rPr>
                  </w:pPr>
                </w:p>
              </w:tc>
              <w:tc>
                <w:tcPr>
                  <w:tcW w:w="1269" w:type="dxa"/>
                  <w:tcBorders>
                    <w:top w:val="single" w:color="auto" w:sz="4" w:space="0"/>
                    <w:left w:val="single" w:color="auto" w:sz="4" w:space="0"/>
                    <w:bottom w:val="single" w:color="auto" w:sz="4" w:space="0"/>
                    <w:right w:val="single" w:color="auto" w:sz="4" w:space="0"/>
                  </w:tcBorders>
                  <w:vAlign w:val="center"/>
                </w:tcPr>
                <w:p w14:paraId="05EA2D1E">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r>
                    <w:rPr>
                      <w:rFonts w:hint="eastAsia" w:ascii="宋体" w:hAnsi="宋体" w:eastAsia="宋体" w:cs="宋体"/>
                      <w:color w:val="auto"/>
                      <w:szCs w:val="21"/>
                      <w:lang w:bidi="ar"/>
                    </w:rPr>
                    <w:t>第二次</w:t>
                  </w:r>
                </w:p>
              </w:tc>
              <w:tc>
                <w:tcPr>
                  <w:tcW w:w="1609" w:type="dxa"/>
                  <w:vMerge w:val="continue"/>
                  <w:tcBorders>
                    <w:top w:val="nil"/>
                    <w:left w:val="single" w:color="auto" w:sz="4" w:space="0"/>
                    <w:bottom w:val="single" w:color="auto" w:sz="4" w:space="0"/>
                    <w:right w:val="single" w:color="auto" w:sz="4" w:space="0"/>
                  </w:tcBorders>
                  <w:vAlign w:val="center"/>
                </w:tcPr>
                <w:p w14:paraId="03D18190">
                  <w:pPr>
                    <w:keepNext w:val="0"/>
                    <w:keepLines w:val="0"/>
                    <w:suppressLineNumbers w:val="0"/>
                    <w:spacing w:before="0" w:beforeAutospacing="0" w:after="0" w:afterAutospacing="0"/>
                    <w:ind w:left="0" w:right="0"/>
                    <w:rPr>
                      <w:rFonts w:hint="default" w:ascii="Times New Roman" w:hAnsi="Times New Roman" w:cs="Times New Roman"/>
                      <w:color w:val="auto"/>
                      <w:sz w:val="20"/>
                      <w:szCs w:val="20"/>
                    </w:rPr>
                  </w:pPr>
                </w:p>
              </w:tc>
              <w:tc>
                <w:tcPr>
                  <w:tcW w:w="1450" w:type="dxa"/>
                  <w:vMerge w:val="continue"/>
                  <w:tcBorders>
                    <w:top w:val="nil"/>
                    <w:left w:val="single" w:color="auto" w:sz="4" w:space="0"/>
                    <w:bottom w:val="single" w:color="auto" w:sz="4" w:space="0"/>
                    <w:right w:val="single" w:color="auto" w:sz="4" w:space="0"/>
                  </w:tcBorders>
                  <w:vAlign w:val="center"/>
                </w:tcPr>
                <w:p w14:paraId="1764247E">
                  <w:pPr>
                    <w:keepNext w:val="0"/>
                    <w:keepLines w:val="0"/>
                    <w:suppressLineNumbers w:val="0"/>
                    <w:spacing w:before="0" w:beforeAutospacing="0" w:after="0" w:afterAutospacing="0"/>
                    <w:ind w:left="0" w:right="0"/>
                    <w:rPr>
                      <w:rFonts w:hint="default" w:ascii="Times New Roman" w:hAnsi="Times New Roman" w:cs="Times New Roman"/>
                      <w:color w:val="auto"/>
                      <w:sz w:val="20"/>
                      <w:szCs w:val="20"/>
                    </w:rPr>
                  </w:pPr>
                </w:p>
              </w:tc>
              <w:tc>
                <w:tcPr>
                  <w:tcW w:w="1450" w:type="dxa"/>
                  <w:tcBorders>
                    <w:top w:val="single" w:color="auto" w:sz="4" w:space="0"/>
                    <w:left w:val="single" w:color="auto" w:sz="4" w:space="0"/>
                    <w:bottom w:val="single" w:color="auto" w:sz="4" w:space="0"/>
                    <w:right w:val="single" w:color="auto" w:sz="4" w:space="0"/>
                  </w:tcBorders>
                  <w:vAlign w:val="center"/>
                </w:tcPr>
                <w:p w14:paraId="77D8AB92">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r>
                    <w:rPr>
                      <w:rFonts w:hint="eastAsia" w:ascii="宋体" w:hAnsi="宋体" w:eastAsia="宋体" w:cs="宋体"/>
                      <w:color w:val="auto"/>
                      <w:szCs w:val="21"/>
                      <w:lang w:bidi="ar"/>
                    </w:rPr>
                    <w:t>气</w:t>
                  </w:r>
                  <w:r>
                    <w:rPr>
                      <w:rFonts w:hint="default" w:ascii="Times New Roman" w:hAnsi="Times New Roman" w:eastAsia="宋体" w:cs="Times New Roman"/>
                      <w:color w:val="auto"/>
                      <w:szCs w:val="21"/>
                      <w:lang w:bidi="ar"/>
                    </w:rPr>
                    <w:t>251119009</w:t>
                  </w:r>
                </w:p>
              </w:tc>
              <w:tc>
                <w:tcPr>
                  <w:tcW w:w="1132" w:type="dxa"/>
                  <w:tcBorders>
                    <w:top w:val="single" w:color="auto" w:sz="4" w:space="0"/>
                    <w:left w:val="single" w:color="auto" w:sz="4" w:space="0"/>
                    <w:bottom w:val="single" w:color="auto" w:sz="4" w:space="0"/>
                    <w:right w:val="single" w:color="auto" w:sz="4" w:space="0"/>
                  </w:tcBorders>
                  <w:vAlign w:val="center"/>
                </w:tcPr>
                <w:p w14:paraId="4E3AE9EA">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lang w:bidi="ar"/>
                    </w:rPr>
                    <w:t>260</w:t>
                  </w:r>
                </w:p>
              </w:tc>
            </w:tr>
            <w:tr w14:paraId="5E1AD2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1265" w:type="dxa"/>
                  <w:vMerge w:val="continue"/>
                  <w:tcBorders>
                    <w:top w:val="nil"/>
                    <w:left w:val="single" w:color="auto" w:sz="4" w:space="0"/>
                    <w:bottom w:val="single" w:color="auto" w:sz="4" w:space="0"/>
                    <w:right w:val="single" w:color="auto" w:sz="4" w:space="0"/>
                  </w:tcBorders>
                  <w:vAlign w:val="center"/>
                </w:tcPr>
                <w:p w14:paraId="57A32001">
                  <w:pPr>
                    <w:keepNext w:val="0"/>
                    <w:keepLines w:val="0"/>
                    <w:suppressLineNumbers w:val="0"/>
                    <w:spacing w:before="0" w:beforeAutospacing="0" w:after="0" w:afterAutospacing="0"/>
                    <w:ind w:left="0" w:right="0"/>
                    <w:rPr>
                      <w:rFonts w:hint="default" w:ascii="Times New Roman" w:hAnsi="Times New Roman" w:cs="Times New Roman"/>
                      <w:color w:val="auto"/>
                      <w:sz w:val="20"/>
                      <w:szCs w:val="20"/>
                    </w:rPr>
                  </w:pPr>
                </w:p>
              </w:tc>
              <w:tc>
                <w:tcPr>
                  <w:tcW w:w="1269" w:type="dxa"/>
                  <w:tcBorders>
                    <w:top w:val="single" w:color="auto" w:sz="4" w:space="0"/>
                    <w:left w:val="single" w:color="auto" w:sz="4" w:space="0"/>
                    <w:bottom w:val="single" w:color="auto" w:sz="4" w:space="0"/>
                    <w:right w:val="single" w:color="auto" w:sz="4" w:space="0"/>
                  </w:tcBorders>
                  <w:vAlign w:val="center"/>
                </w:tcPr>
                <w:p w14:paraId="280FBA47">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r>
                    <w:rPr>
                      <w:rFonts w:hint="eastAsia" w:ascii="宋体" w:hAnsi="宋体" w:eastAsia="宋体" w:cs="宋体"/>
                      <w:color w:val="auto"/>
                      <w:szCs w:val="21"/>
                      <w:lang w:bidi="ar"/>
                    </w:rPr>
                    <w:t>第三次</w:t>
                  </w:r>
                </w:p>
              </w:tc>
              <w:tc>
                <w:tcPr>
                  <w:tcW w:w="1609" w:type="dxa"/>
                  <w:vMerge w:val="continue"/>
                  <w:tcBorders>
                    <w:top w:val="nil"/>
                    <w:left w:val="single" w:color="auto" w:sz="4" w:space="0"/>
                    <w:bottom w:val="single" w:color="auto" w:sz="4" w:space="0"/>
                    <w:right w:val="single" w:color="auto" w:sz="4" w:space="0"/>
                  </w:tcBorders>
                  <w:vAlign w:val="center"/>
                </w:tcPr>
                <w:p w14:paraId="7E6A0F8E">
                  <w:pPr>
                    <w:keepNext w:val="0"/>
                    <w:keepLines w:val="0"/>
                    <w:suppressLineNumbers w:val="0"/>
                    <w:spacing w:before="0" w:beforeAutospacing="0" w:after="0" w:afterAutospacing="0"/>
                    <w:ind w:left="0" w:right="0"/>
                    <w:rPr>
                      <w:rFonts w:hint="default" w:ascii="Times New Roman" w:hAnsi="Times New Roman" w:cs="Times New Roman"/>
                      <w:color w:val="auto"/>
                      <w:sz w:val="20"/>
                      <w:szCs w:val="20"/>
                    </w:rPr>
                  </w:pPr>
                </w:p>
              </w:tc>
              <w:tc>
                <w:tcPr>
                  <w:tcW w:w="1450" w:type="dxa"/>
                  <w:vMerge w:val="continue"/>
                  <w:tcBorders>
                    <w:top w:val="nil"/>
                    <w:left w:val="single" w:color="auto" w:sz="4" w:space="0"/>
                    <w:bottom w:val="single" w:color="auto" w:sz="4" w:space="0"/>
                    <w:right w:val="single" w:color="auto" w:sz="4" w:space="0"/>
                  </w:tcBorders>
                  <w:vAlign w:val="center"/>
                </w:tcPr>
                <w:p w14:paraId="45E3ABA7">
                  <w:pPr>
                    <w:keepNext w:val="0"/>
                    <w:keepLines w:val="0"/>
                    <w:suppressLineNumbers w:val="0"/>
                    <w:spacing w:before="0" w:beforeAutospacing="0" w:after="0" w:afterAutospacing="0"/>
                    <w:ind w:left="0" w:right="0"/>
                    <w:rPr>
                      <w:rFonts w:hint="default" w:ascii="Times New Roman" w:hAnsi="Times New Roman" w:cs="Times New Roman"/>
                      <w:color w:val="auto"/>
                      <w:sz w:val="20"/>
                      <w:szCs w:val="20"/>
                    </w:rPr>
                  </w:pPr>
                </w:p>
              </w:tc>
              <w:tc>
                <w:tcPr>
                  <w:tcW w:w="1450" w:type="dxa"/>
                  <w:tcBorders>
                    <w:top w:val="single" w:color="auto" w:sz="4" w:space="0"/>
                    <w:left w:val="single" w:color="auto" w:sz="4" w:space="0"/>
                    <w:bottom w:val="single" w:color="auto" w:sz="4" w:space="0"/>
                    <w:right w:val="single" w:color="auto" w:sz="4" w:space="0"/>
                  </w:tcBorders>
                  <w:vAlign w:val="center"/>
                </w:tcPr>
                <w:p w14:paraId="4A3D0341">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r>
                    <w:rPr>
                      <w:rFonts w:hint="eastAsia" w:ascii="宋体" w:hAnsi="宋体" w:eastAsia="宋体" w:cs="宋体"/>
                      <w:color w:val="auto"/>
                      <w:szCs w:val="21"/>
                      <w:lang w:bidi="ar"/>
                    </w:rPr>
                    <w:t>气</w:t>
                  </w:r>
                  <w:r>
                    <w:rPr>
                      <w:rFonts w:hint="default" w:ascii="Times New Roman" w:hAnsi="Times New Roman" w:eastAsia="宋体" w:cs="Times New Roman"/>
                      <w:color w:val="auto"/>
                      <w:szCs w:val="21"/>
                      <w:lang w:bidi="ar"/>
                    </w:rPr>
                    <w:t>251119010</w:t>
                  </w:r>
                </w:p>
              </w:tc>
              <w:tc>
                <w:tcPr>
                  <w:tcW w:w="1132" w:type="dxa"/>
                  <w:tcBorders>
                    <w:top w:val="single" w:color="auto" w:sz="4" w:space="0"/>
                    <w:left w:val="single" w:color="auto" w:sz="4" w:space="0"/>
                    <w:bottom w:val="single" w:color="auto" w:sz="4" w:space="0"/>
                    <w:right w:val="single" w:color="auto" w:sz="4" w:space="0"/>
                  </w:tcBorders>
                  <w:vAlign w:val="center"/>
                </w:tcPr>
                <w:p w14:paraId="21B2A96F">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lang w:bidi="ar"/>
                    </w:rPr>
                    <w:t>232</w:t>
                  </w:r>
                </w:p>
              </w:tc>
            </w:tr>
            <w:tr w14:paraId="34A037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1265" w:type="dxa"/>
                  <w:vMerge w:val="continue"/>
                  <w:tcBorders>
                    <w:top w:val="nil"/>
                    <w:left w:val="single" w:color="auto" w:sz="4" w:space="0"/>
                    <w:bottom w:val="single" w:color="auto" w:sz="4" w:space="0"/>
                    <w:right w:val="single" w:color="auto" w:sz="4" w:space="0"/>
                  </w:tcBorders>
                  <w:vAlign w:val="center"/>
                </w:tcPr>
                <w:p w14:paraId="46097347">
                  <w:pPr>
                    <w:keepNext w:val="0"/>
                    <w:keepLines w:val="0"/>
                    <w:suppressLineNumbers w:val="0"/>
                    <w:spacing w:before="0" w:beforeAutospacing="0" w:after="0" w:afterAutospacing="0"/>
                    <w:ind w:left="0" w:right="0"/>
                    <w:rPr>
                      <w:rFonts w:hint="default" w:ascii="Times New Roman" w:hAnsi="Times New Roman" w:cs="Times New Roman"/>
                      <w:color w:val="auto"/>
                      <w:sz w:val="20"/>
                      <w:szCs w:val="20"/>
                    </w:rPr>
                  </w:pPr>
                </w:p>
              </w:tc>
              <w:tc>
                <w:tcPr>
                  <w:tcW w:w="1269" w:type="dxa"/>
                  <w:tcBorders>
                    <w:top w:val="single" w:color="auto" w:sz="4" w:space="0"/>
                    <w:left w:val="single" w:color="auto" w:sz="4" w:space="0"/>
                    <w:bottom w:val="single" w:color="auto" w:sz="4" w:space="0"/>
                    <w:right w:val="single" w:color="auto" w:sz="4" w:space="0"/>
                  </w:tcBorders>
                  <w:vAlign w:val="center"/>
                </w:tcPr>
                <w:p w14:paraId="73984647">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r>
                    <w:rPr>
                      <w:rFonts w:hint="eastAsia" w:ascii="宋体" w:hAnsi="宋体" w:eastAsia="宋体" w:cs="宋体"/>
                      <w:color w:val="auto"/>
                      <w:szCs w:val="21"/>
                      <w:lang w:bidi="ar"/>
                    </w:rPr>
                    <w:t>第一次</w:t>
                  </w:r>
                </w:p>
              </w:tc>
              <w:tc>
                <w:tcPr>
                  <w:tcW w:w="1609" w:type="dxa"/>
                  <w:vMerge w:val="continue"/>
                  <w:tcBorders>
                    <w:top w:val="nil"/>
                    <w:left w:val="single" w:color="auto" w:sz="4" w:space="0"/>
                    <w:bottom w:val="single" w:color="auto" w:sz="4" w:space="0"/>
                    <w:right w:val="single" w:color="auto" w:sz="4" w:space="0"/>
                  </w:tcBorders>
                  <w:vAlign w:val="center"/>
                </w:tcPr>
                <w:p w14:paraId="33CD09AE">
                  <w:pPr>
                    <w:keepNext w:val="0"/>
                    <w:keepLines w:val="0"/>
                    <w:suppressLineNumbers w:val="0"/>
                    <w:spacing w:before="0" w:beforeAutospacing="0" w:after="0" w:afterAutospacing="0"/>
                    <w:ind w:left="0" w:right="0"/>
                    <w:rPr>
                      <w:rFonts w:hint="default" w:ascii="Times New Roman" w:hAnsi="Times New Roman" w:cs="Times New Roman"/>
                      <w:color w:val="auto"/>
                      <w:sz w:val="20"/>
                      <w:szCs w:val="20"/>
                    </w:rPr>
                  </w:pPr>
                </w:p>
              </w:tc>
              <w:tc>
                <w:tcPr>
                  <w:tcW w:w="1450" w:type="dxa"/>
                  <w:vMerge w:val="restart"/>
                  <w:tcBorders>
                    <w:top w:val="nil"/>
                    <w:left w:val="single" w:color="auto" w:sz="4" w:space="0"/>
                    <w:bottom w:val="single" w:color="auto" w:sz="4" w:space="0"/>
                    <w:right w:val="single" w:color="auto" w:sz="4" w:space="0"/>
                  </w:tcBorders>
                  <w:vAlign w:val="center"/>
                </w:tcPr>
                <w:p w14:paraId="5BF923AA">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r>
                    <w:rPr>
                      <w:rFonts w:hint="eastAsia" w:ascii="宋体" w:hAnsi="宋体" w:eastAsia="宋体" w:cs="宋体"/>
                      <w:color w:val="auto"/>
                      <w:szCs w:val="21"/>
                      <w:lang w:bidi="ar"/>
                    </w:rPr>
                    <w:t>厂界下风向</w:t>
                  </w:r>
                  <w:r>
                    <w:rPr>
                      <w:rFonts w:hint="default" w:ascii="Times New Roman" w:hAnsi="Times New Roman" w:eastAsia="宋体" w:cs="Times New Roman"/>
                      <w:color w:val="auto"/>
                      <w:szCs w:val="21"/>
                      <w:lang w:bidi="ar"/>
                    </w:rPr>
                    <w:t>1</w:t>
                  </w:r>
                </w:p>
              </w:tc>
              <w:tc>
                <w:tcPr>
                  <w:tcW w:w="1450" w:type="dxa"/>
                  <w:tcBorders>
                    <w:top w:val="single" w:color="auto" w:sz="4" w:space="0"/>
                    <w:left w:val="single" w:color="auto" w:sz="4" w:space="0"/>
                    <w:bottom w:val="single" w:color="auto" w:sz="4" w:space="0"/>
                    <w:right w:val="single" w:color="auto" w:sz="4" w:space="0"/>
                  </w:tcBorders>
                  <w:vAlign w:val="center"/>
                </w:tcPr>
                <w:p w14:paraId="7FDA0739">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r>
                    <w:rPr>
                      <w:rFonts w:hint="eastAsia" w:ascii="宋体" w:hAnsi="宋体" w:eastAsia="宋体" w:cs="宋体"/>
                      <w:color w:val="auto"/>
                      <w:szCs w:val="21"/>
                      <w:lang w:bidi="ar"/>
                    </w:rPr>
                    <w:t>气</w:t>
                  </w:r>
                  <w:r>
                    <w:rPr>
                      <w:rFonts w:hint="default" w:ascii="Times New Roman" w:hAnsi="Times New Roman" w:eastAsia="宋体" w:cs="Times New Roman"/>
                      <w:color w:val="auto"/>
                      <w:szCs w:val="21"/>
                      <w:lang w:bidi="ar"/>
                    </w:rPr>
                    <w:t>251119011</w:t>
                  </w:r>
                </w:p>
              </w:tc>
              <w:tc>
                <w:tcPr>
                  <w:tcW w:w="1132" w:type="dxa"/>
                  <w:tcBorders>
                    <w:top w:val="single" w:color="auto" w:sz="4" w:space="0"/>
                    <w:left w:val="single" w:color="auto" w:sz="4" w:space="0"/>
                    <w:bottom w:val="single" w:color="auto" w:sz="4" w:space="0"/>
                    <w:right w:val="single" w:color="auto" w:sz="4" w:space="0"/>
                  </w:tcBorders>
                  <w:vAlign w:val="center"/>
                </w:tcPr>
                <w:p w14:paraId="6A540712">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lang w:bidi="ar"/>
                    </w:rPr>
                    <w:t>296</w:t>
                  </w:r>
                </w:p>
              </w:tc>
            </w:tr>
            <w:tr w14:paraId="038854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1265" w:type="dxa"/>
                  <w:vMerge w:val="continue"/>
                  <w:tcBorders>
                    <w:top w:val="nil"/>
                    <w:left w:val="single" w:color="auto" w:sz="4" w:space="0"/>
                    <w:bottom w:val="single" w:color="auto" w:sz="4" w:space="0"/>
                    <w:right w:val="single" w:color="auto" w:sz="4" w:space="0"/>
                  </w:tcBorders>
                  <w:vAlign w:val="center"/>
                </w:tcPr>
                <w:p w14:paraId="016ABF57">
                  <w:pPr>
                    <w:keepNext w:val="0"/>
                    <w:keepLines w:val="0"/>
                    <w:suppressLineNumbers w:val="0"/>
                    <w:spacing w:before="0" w:beforeAutospacing="0" w:after="0" w:afterAutospacing="0"/>
                    <w:ind w:left="0" w:right="0"/>
                    <w:rPr>
                      <w:rFonts w:hint="default" w:ascii="Times New Roman" w:hAnsi="Times New Roman" w:cs="Times New Roman"/>
                      <w:color w:val="auto"/>
                      <w:sz w:val="20"/>
                      <w:szCs w:val="20"/>
                    </w:rPr>
                  </w:pPr>
                </w:p>
              </w:tc>
              <w:tc>
                <w:tcPr>
                  <w:tcW w:w="1269" w:type="dxa"/>
                  <w:tcBorders>
                    <w:top w:val="single" w:color="auto" w:sz="4" w:space="0"/>
                    <w:left w:val="single" w:color="auto" w:sz="4" w:space="0"/>
                    <w:bottom w:val="single" w:color="auto" w:sz="4" w:space="0"/>
                    <w:right w:val="single" w:color="auto" w:sz="4" w:space="0"/>
                  </w:tcBorders>
                  <w:vAlign w:val="center"/>
                </w:tcPr>
                <w:p w14:paraId="773B12E4">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r>
                    <w:rPr>
                      <w:rFonts w:hint="eastAsia" w:ascii="宋体" w:hAnsi="宋体" w:eastAsia="宋体" w:cs="宋体"/>
                      <w:color w:val="auto"/>
                      <w:szCs w:val="21"/>
                      <w:lang w:bidi="ar"/>
                    </w:rPr>
                    <w:t>第二次</w:t>
                  </w:r>
                </w:p>
              </w:tc>
              <w:tc>
                <w:tcPr>
                  <w:tcW w:w="1609" w:type="dxa"/>
                  <w:vMerge w:val="continue"/>
                  <w:tcBorders>
                    <w:top w:val="nil"/>
                    <w:left w:val="single" w:color="auto" w:sz="4" w:space="0"/>
                    <w:bottom w:val="single" w:color="auto" w:sz="4" w:space="0"/>
                    <w:right w:val="single" w:color="auto" w:sz="4" w:space="0"/>
                  </w:tcBorders>
                  <w:vAlign w:val="center"/>
                </w:tcPr>
                <w:p w14:paraId="3050AE11">
                  <w:pPr>
                    <w:keepNext w:val="0"/>
                    <w:keepLines w:val="0"/>
                    <w:suppressLineNumbers w:val="0"/>
                    <w:spacing w:before="0" w:beforeAutospacing="0" w:after="0" w:afterAutospacing="0"/>
                    <w:ind w:left="0" w:right="0"/>
                    <w:rPr>
                      <w:rFonts w:hint="default" w:ascii="Times New Roman" w:hAnsi="Times New Roman" w:cs="Times New Roman"/>
                      <w:color w:val="auto"/>
                      <w:sz w:val="20"/>
                      <w:szCs w:val="20"/>
                    </w:rPr>
                  </w:pPr>
                </w:p>
              </w:tc>
              <w:tc>
                <w:tcPr>
                  <w:tcW w:w="1450" w:type="dxa"/>
                  <w:vMerge w:val="continue"/>
                  <w:tcBorders>
                    <w:top w:val="nil"/>
                    <w:left w:val="single" w:color="auto" w:sz="4" w:space="0"/>
                    <w:bottom w:val="single" w:color="auto" w:sz="4" w:space="0"/>
                    <w:right w:val="single" w:color="auto" w:sz="4" w:space="0"/>
                  </w:tcBorders>
                  <w:vAlign w:val="center"/>
                </w:tcPr>
                <w:p w14:paraId="22327D26">
                  <w:pPr>
                    <w:keepNext w:val="0"/>
                    <w:keepLines w:val="0"/>
                    <w:suppressLineNumbers w:val="0"/>
                    <w:spacing w:before="0" w:beforeAutospacing="0" w:after="0" w:afterAutospacing="0"/>
                    <w:ind w:left="0" w:right="0"/>
                    <w:rPr>
                      <w:rFonts w:hint="default" w:ascii="Times New Roman" w:hAnsi="Times New Roman" w:cs="Times New Roman"/>
                      <w:color w:val="auto"/>
                      <w:sz w:val="20"/>
                      <w:szCs w:val="20"/>
                    </w:rPr>
                  </w:pPr>
                </w:p>
              </w:tc>
              <w:tc>
                <w:tcPr>
                  <w:tcW w:w="1450" w:type="dxa"/>
                  <w:tcBorders>
                    <w:top w:val="single" w:color="auto" w:sz="4" w:space="0"/>
                    <w:left w:val="single" w:color="auto" w:sz="4" w:space="0"/>
                    <w:bottom w:val="single" w:color="auto" w:sz="4" w:space="0"/>
                    <w:right w:val="single" w:color="auto" w:sz="4" w:space="0"/>
                  </w:tcBorders>
                  <w:vAlign w:val="center"/>
                </w:tcPr>
                <w:p w14:paraId="05F7CC69">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r>
                    <w:rPr>
                      <w:rFonts w:hint="eastAsia" w:ascii="宋体" w:hAnsi="宋体" w:eastAsia="宋体" w:cs="宋体"/>
                      <w:color w:val="auto"/>
                      <w:szCs w:val="21"/>
                      <w:lang w:bidi="ar"/>
                    </w:rPr>
                    <w:t>气</w:t>
                  </w:r>
                  <w:r>
                    <w:rPr>
                      <w:rFonts w:hint="default" w:ascii="Times New Roman" w:hAnsi="Times New Roman" w:eastAsia="宋体" w:cs="Times New Roman"/>
                      <w:color w:val="auto"/>
                      <w:szCs w:val="21"/>
                      <w:lang w:bidi="ar"/>
                    </w:rPr>
                    <w:t>251119012</w:t>
                  </w:r>
                </w:p>
              </w:tc>
              <w:tc>
                <w:tcPr>
                  <w:tcW w:w="1132" w:type="dxa"/>
                  <w:tcBorders>
                    <w:top w:val="single" w:color="auto" w:sz="4" w:space="0"/>
                    <w:left w:val="single" w:color="auto" w:sz="4" w:space="0"/>
                    <w:bottom w:val="single" w:color="auto" w:sz="4" w:space="0"/>
                    <w:right w:val="single" w:color="auto" w:sz="4" w:space="0"/>
                  </w:tcBorders>
                  <w:vAlign w:val="center"/>
                </w:tcPr>
                <w:p w14:paraId="0E699511">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lang w:bidi="ar"/>
                    </w:rPr>
                    <w:t>291</w:t>
                  </w:r>
                </w:p>
              </w:tc>
            </w:tr>
            <w:tr w14:paraId="5539D5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1265" w:type="dxa"/>
                  <w:vMerge w:val="continue"/>
                  <w:tcBorders>
                    <w:top w:val="nil"/>
                    <w:left w:val="single" w:color="auto" w:sz="4" w:space="0"/>
                    <w:bottom w:val="single" w:color="auto" w:sz="4" w:space="0"/>
                    <w:right w:val="single" w:color="auto" w:sz="4" w:space="0"/>
                  </w:tcBorders>
                  <w:vAlign w:val="center"/>
                </w:tcPr>
                <w:p w14:paraId="2010ADF1">
                  <w:pPr>
                    <w:keepNext w:val="0"/>
                    <w:keepLines w:val="0"/>
                    <w:suppressLineNumbers w:val="0"/>
                    <w:spacing w:before="0" w:beforeAutospacing="0" w:after="0" w:afterAutospacing="0"/>
                    <w:ind w:left="0" w:right="0"/>
                    <w:rPr>
                      <w:rFonts w:hint="default" w:ascii="Times New Roman" w:hAnsi="Times New Roman" w:cs="Times New Roman"/>
                      <w:color w:val="auto"/>
                      <w:sz w:val="20"/>
                      <w:szCs w:val="20"/>
                    </w:rPr>
                  </w:pPr>
                </w:p>
              </w:tc>
              <w:tc>
                <w:tcPr>
                  <w:tcW w:w="1269" w:type="dxa"/>
                  <w:tcBorders>
                    <w:top w:val="single" w:color="auto" w:sz="4" w:space="0"/>
                    <w:left w:val="single" w:color="auto" w:sz="4" w:space="0"/>
                    <w:bottom w:val="single" w:color="auto" w:sz="4" w:space="0"/>
                    <w:right w:val="single" w:color="auto" w:sz="4" w:space="0"/>
                  </w:tcBorders>
                  <w:vAlign w:val="center"/>
                </w:tcPr>
                <w:p w14:paraId="3AEDA741">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r>
                    <w:rPr>
                      <w:rFonts w:hint="eastAsia" w:ascii="宋体" w:hAnsi="宋体" w:eastAsia="宋体" w:cs="宋体"/>
                      <w:color w:val="auto"/>
                      <w:szCs w:val="21"/>
                      <w:lang w:bidi="ar"/>
                    </w:rPr>
                    <w:t>第三次</w:t>
                  </w:r>
                </w:p>
              </w:tc>
              <w:tc>
                <w:tcPr>
                  <w:tcW w:w="1609" w:type="dxa"/>
                  <w:vMerge w:val="continue"/>
                  <w:tcBorders>
                    <w:top w:val="nil"/>
                    <w:left w:val="single" w:color="auto" w:sz="4" w:space="0"/>
                    <w:bottom w:val="single" w:color="auto" w:sz="4" w:space="0"/>
                    <w:right w:val="single" w:color="auto" w:sz="4" w:space="0"/>
                  </w:tcBorders>
                  <w:vAlign w:val="center"/>
                </w:tcPr>
                <w:p w14:paraId="4A364500">
                  <w:pPr>
                    <w:keepNext w:val="0"/>
                    <w:keepLines w:val="0"/>
                    <w:suppressLineNumbers w:val="0"/>
                    <w:spacing w:before="0" w:beforeAutospacing="0" w:after="0" w:afterAutospacing="0"/>
                    <w:ind w:left="0" w:right="0"/>
                    <w:rPr>
                      <w:rFonts w:hint="default" w:ascii="Times New Roman" w:hAnsi="Times New Roman" w:cs="Times New Roman"/>
                      <w:color w:val="auto"/>
                      <w:sz w:val="20"/>
                      <w:szCs w:val="20"/>
                    </w:rPr>
                  </w:pPr>
                </w:p>
              </w:tc>
              <w:tc>
                <w:tcPr>
                  <w:tcW w:w="1450" w:type="dxa"/>
                  <w:vMerge w:val="continue"/>
                  <w:tcBorders>
                    <w:top w:val="nil"/>
                    <w:left w:val="single" w:color="auto" w:sz="4" w:space="0"/>
                    <w:bottom w:val="single" w:color="auto" w:sz="4" w:space="0"/>
                    <w:right w:val="single" w:color="auto" w:sz="4" w:space="0"/>
                  </w:tcBorders>
                  <w:vAlign w:val="center"/>
                </w:tcPr>
                <w:p w14:paraId="1F01E96B">
                  <w:pPr>
                    <w:keepNext w:val="0"/>
                    <w:keepLines w:val="0"/>
                    <w:suppressLineNumbers w:val="0"/>
                    <w:spacing w:before="0" w:beforeAutospacing="0" w:after="0" w:afterAutospacing="0"/>
                    <w:ind w:left="0" w:right="0"/>
                    <w:rPr>
                      <w:rFonts w:hint="default" w:ascii="Times New Roman" w:hAnsi="Times New Roman" w:cs="Times New Roman"/>
                      <w:color w:val="auto"/>
                      <w:sz w:val="20"/>
                      <w:szCs w:val="20"/>
                    </w:rPr>
                  </w:pPr>
                </w:p>
              </w:tc>
              <w:tc>
                <w:tcPr>
                  <w:tcW w:w="1450" w:type="dxa"/>
                  <w:tcBorders>
                    <w:top w:val="single" w:color="auto" w:sz="4" w:space="0"/>
                    <w:left w:val="single" w:color="auto" w:sz="4" w:space="0"/>
                    <w:bottom w:val="single" w:color="auto" w:sz="4" w:space="0"/>
                    <w:right w:val="single" w:color="auto" w:sz="4" w:space="0"/>
                  </w:tcBorders>
                  <w:vAlign w:val="center"/>
                </w:tcPr>
                <w:p w14:paraId="27646E3C">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r>
                    <w:rPr>
                      <w:rFonts w:hint="eastAsia" w:ascii="宋体" w:hAnsi="宋体" w:eastAsia="宋体" w:cs="宋体"/>
                      <w:color w:val="auto"/>
                      <w:szCs w:val="21"/>
                      <w:lang w:bidi="ar"/>
                    </w:rPr>
                    <w:t>气</w:t>
                  </w:r>
                  <w:r>
                    <w:rPr>
                      <w:rFonts w:hint="default" w:ascii="Times New Roman" w:hAnsi="Times New Roman" w:eastAsia="宋体" w:cs="Times New Roman"/>
                      <w:color w:val="auto"/>
                      <w:szCs w:val="21"/>
                      <w:lang w:bidi="ar"/>
                    </w:rPr>
                    <w:t>251119013</w:t>
                  </w:r>
                </w:p>
              </w:tc>
              <w:tc>
                <w:tcPr>
                  <w:tcW w:w="1132" w:type="dxa"/>
                  <w:tcBorders>
                    <w:top w:val="single" w:color="auto" w:sz="4" w:space="0"/>
                    <w:left w:val="single" w:color="auto" w:sz="4" w:space="0"/>
                    <w:bottom w:val="single" w:color="auto" w:sz="4" w:space="0"/>
                    <w:right w:val="single" w:color="auto" w:sz="4" w:space="0"/>
                  </w:tcBorders>
                  <w:vAlign w:val="center"/>
                </w:tcPr>
                <w:p w14:paraId="52E5CEC2">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lang w:bidi="ar"/>
                    </w:rPr>
                    <w:t>304</w:t>
                  </w:r>
                </w:p>
              </w:tc>
            </w:tr>
            <w:tr w14:paraId="0C7580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1265" w:type="dxa"/>
                  <w:vMerge w:val="continue"/>
                  <w:tcBorders>
                    <w:top w:val="nil"/>
                    <w:left w:val="single" w:color="auto" w:sz="4" w:space="0"/>
                    <w:bottom w:val="single" w:color="auto" w:sz="4" w:space="0"/>
                    <w:right w:val="single" w:color="auto" w:sz="4" w:space="0"/>
                  </w:tcBorders>
                  <w:vAlign w:val="center"/>
                </w:tcPr>
                <w:p w14:paraId="26D18D37">
                  <w:pPr>
                    <w:keepNext w:val="0"/>
                    <w:keepLines w:val="0"/>
                    <w:suppressLineNumbers w:val="0"/>
                    <w:spacing w:before="0" w:beforeAutospacing="0" w:after="0" w:afterAutospacing="0"/>
                    <w:ind w:left="0" w:right="0"/>
                    <w:rPr>
                      <w:rFonts w:hint="default" w:ascii="Times New Roman" w:hAnsi="Times New Roman" w:cs="Times New Roman"/>
                      <w:color w:val="auto"/>
                      <w:sz w:val="20"/>
                      <w:szCs w:val="20"/>
                    </w:rPr>
                  </w:pPr>
                </w:p>
              </w:tc>
              <w:tc>
                <w:tcPr>
                  <w:tcW w:w="1269" w:type="dxa"/>
                  <w:tcBorders>
                    <w:top w:val="single" w:color="auto" w:sz="4" w:space="0"/>
                    <w:left w:val="single" w:color="auto" w:sz="4" w:space="0"/>
                    <w:bottom w:val="single" w:color="auto" w:sz="4" w:space="0"/>
                    <w:right w:val="single" w:color="auto" w:sz="4" w:space="0"/>
                  </w:tcBorders>
                  <w:vAlign w:val="center"/>
                </w:tcPr>
                <w:p w14:paraId="50234AD3">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r>
                    <w:rPr>
                      <w:rFonts w:hint="eastAsia" w:ascii="宋体" w:hAnsi="宋体" w:eastAsia="宋体" w:cs="宋体"/>
                      <w:color w:val="auto"/>
                      <w:szCs w:val="21"/>
                      <w:lang w:bidi="ar"/>
                    </w:rPr>
                    <w:t>第一次</w:t>
                  </w:r>
                </w:p>
              </w:tc>
              <w:tc>
                <w:tcPr>
                  <w:tcW w:w="1609" w:type="dxa"/>
                  <w:vMerge w:val="continue"/>
                  <w:tcBorders>
                    <w:top w:val="nil"/>
                    <w:left w:val="single" w:color="auto" w:sz="4" w:space="0"/>
                    <w:bottom w:val="single" w:color="auto" w:sz="4" w:space="0"/>
                    <w:right w:val="single" w:color="auto" w:sz="4" w:space="0"/>
                  </w:tcBorders>
                  <w:vAlign w:val="center"/>
                </w:tcPr>
                <w:p w14:paraId="74FA644E">
                  <w:pPr>
                    <w:keepNext w:val="0"/>
                    <w:keepLines w:val="0"/>
                    <w:suppressLineNumbers w:val="0"/>
                    <w:spacing w:before="0" w:beforeAutospacing="0" w:after="0" w:afterAutospacing="0"/>
                    <w:ind w:left="0" w:right="0"/>
                    <w:rPr>
                      <w:rFonts w:hint="default" w:ascii="Times New Roman" w:hAnsi="Times New Roman" w:cs="Times New Roman"/>
                      <w:color w:val="auto"/>
                      <w:sz w:val="20"/>
                      <w:szCs w:val="20"/>
                    </w:rPr>
                  </w:pPr>
                </w:p>
              </w:tc>
              <w:tc>
                <w:tcPr>
                  <w:tcW w:w="1450" w:type="dxa"/>
                  <w:vMerge w:val="restart"/>
                  <w:tcBorders>
                    <w:top w:val="nil"/>
                    <w:left w:val="single" w:color="auto" w:sz="4" w:space="0"/>
                    <w:bottom w:val="single" w:color="auto" w:sz="4" w:space="0"/>
                    <w:right w:val="single" w:color="auto" w:sz="4" w:space="0"/>
                  </w:tcBorders>
                  <w:vAlign w:val="center"/>
                </w:tcPr>
                <w:p w14:paraId="44E6F481">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r>
                    <w:rPr>
                      <w:rFonts w:hint="eastAsia" w:ascii="宋体" w:hAnsi="宋体" w:eastAsia="宋体" w:cs="宋体"/>
                      <w:color w:val="auto"/>
                      <w:szCs w:val="21"/>
                      <w:lang w:bidi="ar"/>
                    </w:rPr>
                    <w:t>厂界下风向</w:t>
                  </w:r>
                  <w:r>
                    <w:rPr>
                      <w:rFonts w:hint="default" w:ascii="Times New Roman" w:hAnsi="Times New Roman" w:eastAsia="宋体" w:cs="Times New Roman"/>
                      <w:color w:val="auto"/>
                      <w:szCs w:val="21"/>
                      <w:lang w:bidi="ar"/>
                    </w:rPr>
                    <w:t>2</w:t>
                  </w:r>
                </w:p>
              </w:tc>
              <w:tc>
                <w:tcPr>
                  <w:tcW w:w="1450" w:type="dxa"/>
                  <w:tcBorders>
                    <w:top w:val="single" w:color="auto" w:sz="4" w:space="0"/>
                    <w:left w:val="single" w:color="auto" w:sz="4" w:space="0"/>
                    <w:bottom w:val="single" w:color="auto" w:sz="4" w:space="0"/>
                    <w:right w:val="single" w:color="auto" w:sz="4" w:space="0"/>
                  </w:tcBorders>
                  <w:vAlign w:val="center"/>
                </w:tcPr>
                <w:p w14:paraId="6B3ECF8E">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r>
                    <w:rPr>
                      <w:rFonts w:hint="eastAsia" w:ascii="宋体" w:hAnsi="宋体" w:eastAsia="宋体" w:cs="宋体"/>
                      <w:color w:val="auto"/>
                      <w:szCs w:val="21"/>
                      <w:lang w:bidi="ar"/>
                    </w:rPr>
                    <w:t>气</w:t>
                  </w:r>
                  <w:r>
                    <w:rPr>
                      <w:rFonts w:hint="default" w:ascii="Times New Roman" w:hAnsi="Times New Roman" w:eastAsia="宋体" w:cs="Times New Roman"/>
                      <w:color w:val="auto"/>
                      <w:szCs w:val="21"/>
                      <w:lang w:bidi="ar"/>
                    </w:rPr>
                    <w:t>251119014</w:t>
                  </w:r>
                </w:p>
              </w:tc>
              <w:tc>
                <w:tcPr>
                  <w:tcW w:w="1132" w:type="dxa"/>
                  <w:tcBorders>
                    <w:top w:val="single" w:color="auto" w:sz="4" w:space="0"/>
                    <w:left w:val="single" w:color="auto" w:sz="4" w:space="0"/>
                    <w:bottom w:val="single" w:color="auto" w:sz="4" w:space="0"/>
                    <w:right w:val="single" w:color="auto" w:sz="4" w:space="0"/>
                  </w:tcBorders>
                  <w:vAlign w:val="center"/>
                </w:tcPr>
                <w:p w14:paraId="63AD5A7E">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lang w:bidi="ar"/>
                    </w:rPr>
                    <w:t>308</w:t>
                  </w:r>
                </w:p>
              </w:tc>
            </w:tr>
            <w:tr w14:paraId="1F928A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1265" w:type="dxa"/>
                  <w:vMerge w:val="continue"/>
                  <w:tcBorders>
                    <w:top w:val="nil"/>
                    <w:left w:val="single" w:color="auto" w:sz="4" w:space="0"/>
                    <w:bottom w:val="single" w:color="auto" w:sz="4" w:space="0"/>
                    <w:right w:val="single" w:color="auto" w:sz="4" w:space="0"/>
                  </w:tcBorders>
                  <w:vAlign w:val="center"/>
                </w:tcPr>
                <w:p w14:paraId="12DAD09A">
                  <w:pPr>
                    <w:keepNext w:val="0"/>
                    <w:keepLines w:val="0"/>
                    <w:suppressLineNumbers w:val="0"/>
                    <w:spacing w:before="0" w:beforeAutospacing="0" w:after="0" w:afterAutospacing="0"/>
                    <w:ind w:left="0" w:right="0"/>
                    <w:rPr>
                      <w:rFonts w:hint="default" w:ascii="Times New Roman" w:hAnsi="Times New Roman" w:cs="Times New Roman"/>
                      <w:color w:val="auto"/>
                      <w:sz w:val="20"/>
                      <w:szCs w:val="20"/>
                    </w:rPr>
                  </w:pPr>
                </w:p>
              </w:tc>
              <w:tc>
                <w:tcPr>
                  <w:tcW w:w="1269" w:type="dxa"/>
                  <w:tcBorders>
                    <w:top w:val="single" w:color="auto" w:sz="4" w:space="0"/>
                    <w:left w:val="single" w:color="auto" w:sz="4" w:space="0"/>
                    <w:bottom w:val="single" w:color="auto" w:sz="4" w:space="0"/>
                    <w:right w:val="single" w:color="auto" w:sz="4" w:space="0"/>
                  </w:tcBorders>
                  <w:vAlign w:val="center"/>
                </w:tcPr>
                <w:p w14:paraId="6F816A27">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r>
                    <w:rPr>
                      <w:rFonts w:hint="eastAsia" w:ascii="宋体" w:hAnsi="宋体" w:eastAsia="宋体" w:cs="宋体"/>
                      <w:color w:val="auto"/>
                      <w:szCs w:val="21"/>
                      <w:lang w:bidi="ar"/>
                    </w:rPr>
                    <w:t>第二次</w:t>
                  </w:r>
                </w:p>
              </w:tc>
              <w:tc>
                <w:tcPr>
                  <w:tcW w:w="1609" w:type="dxa"/>
                  <w:vMerge w:val="continue"/>
                  <w:tcBorders>
                    <w:top w:val="nil"/>
                    <w:left w:val="single" w:color="auto" w:sz="4" w:space="0"/>
                    <w:bottom w:val="single" w:color="auto" w:sz="4" w:space="0"/>
                    <w:right w:val="single" w:color="auto" w:sz="4" w:space="0"/>
                  </w:tcBorders>
                  <w:vAlign w:val="center"/>
                </w:tcPr>
                <w:p w14:paraId="52D23B93">
                  <w:pPr>
                    <w:keepNext w:val="0"/>
                    <w:keepLines w:val="0"/>
                    <w:suppressLineNumbers w:val="0"/>
                    <w:spacing w:before="0" w:beforeAutospacing="0" w:after="0" w:afterAutospacing="0"/>
                    <w:ind w:left="0" w:right="0"/>
                    <w:rPr>
                      <w:rFonts w:hint="default" w:ascii="Times New Roman" w:hAnsi="Times New Roman" w:cs="Times New Roman"/>
                      <w:color w:val="auto"/>
                      <w:sz w:val="20"/>
                      <w:szCs w:val="20"/>
                    </w:rPr>
                  </w:pPr>
                </w:p>
              </w:tc>
              <w:tc>
                <w:tcPr>
                  <w:tcW w:w="1450" w:type="dxa"/>
                  <w:vMerge w:val="continue"/>
                  <w:tcBorders>
                    <w:top w:val="nil"/>
                    <w:left w:val="single" w:color="auto" w:sz="4" w:space="0"/>
                    <w:bottom w:val="single" w:color="auto" w:sz="4" w:space="0"/>
                    <w:right w:val="single" w:color="auto" w:sz="4" w:space="0"/>
                  </w:tcBorders>
                  <w:vAlign w:val="center"/>
                </w:tcPr>
                <w:p w14:paraId="66445556">
                  <w:pPr>
                    <w:keepNext w:val="0"/>
                    <w:keepLines w:val="0"/>
                    <w:suppressLineNumbers w:val="0"/>
                    <w:spacing w:before="0" w:beforeAutospacing="0" w:after="0" w:afterAutospacing="0"/>
                    <w:ind w:left="0" w:right="0"/>
                    <w:rPr>
                      <w:rFonts w:hint="default" w:ascii="Times New Roman" w:hAnsi="Times New Roman" w:cs="Times New Roman"/>
                      <w:color w:val="auto"/>
                      <w:sz w:val="20"/>
                      <w:szCs w:val="20"/>
                    </w:rPr>
                  </w:pPr>
                </w:p>
              </w:tc>
              <w:tc>
                <w:tcPr>
                  <w:tcW w:w="1450" w:type="dxa"/>
                  <w:tcBorders>
                    <w:top w:val="single" w:color="auto" w:sz="4" w:space="0"/>
                    <w:left w:val="single" w:color="auto" w:sz="4" w:space="0"/>
                    <w:bottom w:val="single" w:color="auto" w:sz="4" w:space="0"/>
                    <w:right w:val="single" w:color="auto" w:sz="4" w:space="0"/>
                  </w:tcBorders>
                  <w:vAlign w:val="center"/>
                </w:tcPr>
                <w:p w14:paraId="668AA366">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r>
                    <w:rPr>
                      <w:rFonts w:hint="eastAsia" w:ascii="宋体" w:hAnsi="宋体" w:eastAsia="宋体" w:cs="宋体"/>
                      <w:color w:val="auto"/>
                      <w:szCs w:val="21"/>
                      <w:lang w:bidi="ar"/>
                    </w:rPr>
                    <w:t>气</w:t>
                  </w:r>
                  <w:r>
                    <w:rPr>
                      <w:rFonts w:hint="default" w:ascii="Times New Roman" w:hAnsi="Times New Roman" w:eastAsia="宋体" w:cs="Times New Roman"/>
                      <w:color w:val="auto"/>
                      <w:szCs w:val="21"/>
                      <w:lang w:bidi="ar"/>
                    </w:rPr>
                    <w:t>251119015</w:t>
                  </w:r>
                </w:p>
              </w:tc>
              <w:tc>
                <w:tcPr>
                  <w:tcW w:w="1132" w:type="dxa"/>
                  <w:tcBorders>
                    <w:top w:val="single" w:color="auto" w:sz="4" w:space="0"/>
                    <w:left w:val="single" w:color="auto" w:sz="4" w:space="0"/>
                    <w:bottom w:val="single" w:color="auto" w:sz="4" w:space="0"/>
                    <w:right w:val="single" w:color="auto" w:sz="4" w:space="0"/>
                  </w:tcBorders>
                  <w:vAlign w:val="center"/>
                </w:tcPr>
                <w:p w14:paraId="6FAB741E">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lang w:bidi="ar"/>
                    </w:rPr>
                    <w:t>303</w:t>
                  </w:r>
                </w:p>
              </w:tc>
            </w:tr>
            <w:tr w14:paraId="0746B2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1265" w:type="dxa"/>
                  <w:vMerge w:val="continue"/>
                  <w:tcBorders>
                    <w:top w:val="nil"/>
                    <w:left w:val="single" w:color="auto" w:sz="4" w:space="0"/>
                    <w:bottom w:val="single" w:color="auto" w:sz="4" w:space="0"/>
                    <w:right w:val="single" w:color="auto" w:sz="4" w:space="0"/>
                  </w:tcBorders>
                  <w:vAlign w:val="center"/>
                </w:tcPr>
                <w:p w14:paraId="53DBF868">
                  <w:pPr>
                    <w:keepNext w:val="0"/>
                    <w:keepLines w:val="0"/>
                    <w:suppressLineNumbers w:val="0"/>
                    <w:spacing w:before="0" w:beforeAutospacing="0" w:after="0" w:afterAutospacing="0"/>
                    <w:ind w:left="0" w:right="0"/>
                    <w:rPr>
                      <w:rFonts w:hint="default" w:ascii="Times New Roman" w:hAnsi="Times New Roman" w:cs="Times New Roman"/>
                      <w:color w:val="auto"/>
                      <w:sz w:val="20"/>
                      <w:szCs w:val="20"/>
                    </w:rPr>
                  </w:pPr>
                </w:p>
              </w:tc>
              <w:tc>
                <w:tcPr>
                  <w:tcW w:w="1269" w:type="dxa"/>
                  <w:tcBorders>
                    <w:top w:val="single" w:color="auto" w:sz="4" w:space="0"/>
                    <w:left w:val="single" w:color="auto" w:sz="4" w:space="0"/>
                    <w:bottom w:val="single" w:color="auto" w:sz="4" w:space="0"/>
                    <w:right w:val="single" w:color="auto" w:sz="4" w:space="0"/>
                  </w:tcBorders>
                  <w:vAlign w:val="center"/>
                </w:tcPr>
                <w:p w14:paraId="38D58C0B">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r>
                    <w:rPr>
                      <w:rFonts w:hint="eastAsia" w:ascii="宋体" w:hAnsi="宋体" w:eastAsia="宋体" w:cs="宋体"/>
                      <w:color w:val="auto"/>
                      <w:szCs w:val="21"/>
                      <w:lang w:bidi="ar"/>
                    </w:rPr>
                    <w:t>第三次</w:t>
                  </w:r>
                </w:p>
              </w:tc>
              <w:tc>
                <w:tcPr>
                  <w:tcW w:w="1609" w:type="dxa"/>
                  <w:vMerge w:val="continue"/>
                  <w:tcBorders>
                    <w:top w:val="nil"/>
                    <w:left w:val="single" w:color="auto" w:sz="4" w:space="0"/>
                    <w:bottom w:val="single" w:color="auto" w:sz="4" w:space="0"/>
                    <w:right w:val="single" w:color="auto" w:sz="4" w:space="0"/>
                  </w:tcBorders>
                  <w:vAlign w:val="center"/>
                </w:tcPr>
                <w:p w14:paraId="736A48CD">
                  <w:pPr>
                    <w:keepNext w:val="0"/>
                    <w:keepLines w:val="0"/>
                    <w:suppressLineNumbers w:val="0"/>
                    <w:spacing w:before="0" w:beforeAutospacing="0" w:after="0" w:afterAutospacing="0"/>
                    <w:ind w:left="0" w:right="0"/>
                    <w:rPr>
                      <w:rFonts w:hint="default" w:ascii="Times New Roman" w:hAnsi="Times New Roman" w:cs="Times New Roman"/>
                      <w:color w:val="auto"/>
                      <w:sz w:val="20"/>
                      <w:szCs w:val="20"/>
                    </w:rPr>
                  </w:pPr>
                </w:p>
              </w:tc>
              <w:tc>
                <w:tcPr>
                  <w:tcW w:w="1450" w:type="dxa"/>
                  <w:vMerge w:val="continue"/>
                  <w:tcBorders>
                    <w:top w:val="nil"/>
                    <w:left w:val="single" w:color="auto" w:sz="4" w:space="0"/>
                    <w:bottom w:val="single" w:color="auto" w:sz="4" w:space="0"/>
                    <w:right w:val="single" w:color="auto" w:sz="4" w:space="0"/>
                  </w:tcBorders>
                  <w:vAlign w:val="center"/>
                </w:tcPr>
                <w:p w14:paraId="4F77D343">
                  <w:pPr>
                    <w:keepNext w:val="0"/>
                    <w:keepLines w:val="0"/>
                    <w:suppressLineNumbers w:val="0"/>
                    <w:spacing w:before="0" w:beforeAutospacing="0" w:after="0" w:afterAutospacing="0"/>
                    <w:ind w:left="0" w:right="0"/>
                    <w:rPr>
                      <w:rFonts w:hint="default" w:ascii="Times New Roman" w:hAnsi="Times New Roman" w:cs="Times New Roman"/>
                      <w:color w:val="auto"/>
                      <w:sz w:val="20"/>
                      <w:szCs w:val="20"/>
                    </w:rPr>
                  </w:pPr>
                </w:p>
              </w:tc>
              <w:tc>
                <w:tcPr>
                  <w:tcW w:w="1450" w:type="dxa"/>
                  <w:tcBorders>
                    <w:top w:val="single" w:color="auto" w:sz="4" w:space="0"/>
                    <w:left w:val="single" w:color="auto" w:sz="4" w:space="0"/>
                    <w:bottom w:val="single" w:color="auto" w:sz="4" w:space="0"/>
                    <w:right w:val="single" w:color="auto" w:sz="4" w:space="0"/>
                  </w:tcBorders>
                  <w:vAlign w:val="center"/>
                </w:tcPr>
                <w:p w14:paraId="42F095AB">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r>
                    <w:rPr>
                      <w:rFonts w:hint="eastAsia" w:ascii="宋体" w:hAnsi="宋体" w:eastAsia="宋体" w:cs="宋体"/>
                      <w:color w:val="auto"/>
                      <w:szCs w:val="21"/>
                      <w:lang w:bidi="ar"/>
                    </w:rPr>
                    <w:t>气</w:t>
                  </w:r>
                  <w:r>
                    <w:rPr>
                      <w:rFonts w:hint="default" w:ascii="Times New Roman" w:hAnsi="Times New Roman" w:eastAsia="宋体" w:cs="Times New Roman"/>
                      <w:color w:val="auto"/>
                      <w:szCs w:val="21"/>
                      <w:lang w:bidi="ar"/>
                    </w:rPr>
                    <w:t>251119016</w:t>
                  </w:r>
                </w:p>
              </w:tc>
              <w:tc>
                <w:tcPr>
                  <w:tcW w:w="1132" w:type="dxa"/>
                  <w:tcBorders>
                    <w:top w:val="single" w:color="auto" w:sz="4" w:space="0"/>
                    <w:left w:val="single" w:color="auto" w:sz="4" w:space="0"/>
                    <w:bottom w:val="single" w:color="auto" w:sz="4" w:space="0"/>
                    <w:right w:val="single" w:color="auto" w:sz="4" w:space="0"/>
                  </w:tcBorders>
                  <w:vAlign w:val="center"/>
                </w:tcPr>
                <w:p w14:paraId="22AAA347">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lang w:bidi="ar"/>
                    </w:rPr>
                    <w:t>293</w:t>
                  </w:r>
                </w:p>
              </w:tc>
            </w:tr>
            <w:tr w14:paraId="6E81CC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1265" w:type="dxa"/>
                  <w:vMerge w:val="continue"/>
                  <w:tcBorders>
                    <w:top w:val="nil"/>
                    <w:left w:val="single" w:color="auto" w:sz="4" w:space="0"/>
                    <w:bottom w:val="single" w:color="auto" w:sz="4" w:space="0"/>
                    <w:right w:val="single" w:color="auto" w:sz="4" w:space="0"/>
                  </w:tcBorders>
                  <w:vAlign w:val="center"/>
                </w:tcPr>
                <w:p w14:paraId="3E41BFE3">
                  <w:pPr>
                    <w:keepNext w:val="0"/>
                    <w:keepLines w:val="0"/>
                    <w:suppressLineNumbers w:val="0"/>
                    <w:spacing w:before="0" w:beforeAutospacing="0" w:after="0" w:afterAutospacing="0"/>
                    <w:ind w:left="0" w:right="0"/>
                    <w:rPr>
                      <w:rFonts w:hint="default" w:ascii="Times New Roman" w:hAnsi="Times New Roman" w:cs="Times New Roman"/>
                      <w:color w:val="auto"/>
                      <w:sz w:val="20"/>
                      <w:szCs w:val="20"/>
                    </w:rPr>
                  </w:pPr>
                </w:p>
              </w:tc>
              <w:tc>
                <w:tcPr>
                  <w:tcW w:w="1269" w:type="dxa"/>
                  <w:tcBorders>
                    <w:top w:val="single" w:color="auto" w:sz="4" w:space="0"/>
                    <w:left w:val="single" w:color="auto" w:sz="4" w:space="0"/>
                    <w:bottom w:val="single" w:color="auto" w:sz="4" w:space="0"/>
                    <w:right w:val="single" w:color="auto" w:sz="4" w:space="0"/>
                  </w:tcBorders>
                  <w:vAlign w:val="center"/>
                </w:tcPr>
                <w:p w14:paraId="7B6B38E9">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r>
                    <w:rPr>
                      <w:rFonts w:hint="eastAsia" w:ascii="宋体" w:hAnsi="宋体" w:eastAsia="宋体" w:cs="宋体"/>
                      <w:color w:val="auto"/>
                      <w:szCs w:val="21"/>
                      <w:lang w:bidi="ar"/>
                    </w:rPr>
                    <w:t>第一次</w:t>
                  </w:r>
                </w:p>
              </w:tc>
              <w:tc>
                <w:tcPr>
                  <w:tcW w:w="1609" w:type="dxa"/>
                  <w:vMerge w:val="continue"/>
                  <w:tcBorders>
                    <w:top w:val="nil"/>
                    <w:left w:val="single" w:color="auto" w:sz="4" w:space="0"/>
                    <w:bottom w:val="single" w:color="auto" w:sz="4" w:space="0"/>
                    <w:right w:val="single" w:color="auto" w:sz="4" w:space="0"/>
                  </w:tcBorders>
                  <w:vAlign w:val="center"/>
                </w:tcPr>
                <w:p w14:paraId="5B732D7E">
                  <w:pPr>
                    <w:keepNext w:val="0"/>
                    <w:keepLines w:val="0"/>
                    <w:suppressLineNumbers w:val="0"/>
                    <w:spacing w:before="0" w:beforeAutospacing="0" w:after="0" w:afterAutospacing="0"/>
                    <w:ind w:left="0" w:right="0"/>
                    <w:rPr>
                      <w:rFonts w:hint="default" w:ascii="Times New Roman" w:hAnsi="Times New Roman" w:cs="Times New Roman"/>
                      <w:color w:val="auto"/>
                      <w:sz w:val="20"/>
                      <w:szCs w:val="20"/>
                    </w:rPr>
                  </w:pPr>
                </w:p>
              </w:tc>
              <w:tc>
                <w:tcPr>
                  <w:tcW w:w="1450" w:type="dxa"/>
                  <w:vMerge w:val="restart"/>
                  <w:tcBorders>
                    <w:top w:val="nil"/>
                    <w:left w:val="single" w:color="auto" w:sz="4" w:space="0"/>
                    <w:bottom w:val="single" w:color="auto" w:sz="4" w:space="0"/>
                    <w:right w:val="single" w:color="auto" w:sz="4" w:space="0"/>
                  </w:tcBorders>
                  <w:vAlign w:val="center"/>
                </w:tcPr>
                <w:p w14:paraId="6CA51582">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r>
                    <w:rPr>
                      <w:rFonts w:hint="eastAsia" w:ascii="宋体" w:hAnsi="宋体" w:eastAsia="宋体" w:cs="宋体"/>
                      <w:color w:val="auto"/>
                      <w:szCs w:val="21"/>
                      <w:lang w:bidi="ar"/>
                    </w:rPr>
                    <w:t>厂界下风向</w:t>
                  </w:r>
                  <w:r>
                    <w:rPr>
                      <w:rFonts w:hint="default" w:ascii="Times New Roman" w:hAnsi="Times New Roman" w:eastAsia="宋体" w:cs="Times New Roman"/>
                      <w:color w:val="auto"/>
                      <w:szCs w:val="21"/>
                      <w:lang w:bidi="ar"/>
                    </w:rPr>
                    <w:t>3</w:t>
                  </w:r>
                </w:p>
              </w:tc>
              <w:tc>
                <w:tcPr>
                  <w:tcW w:w="1450" w:type="dxa"/>
                  <w:tcBorders>
                    <w:top w:val="single" w:color="auto" w:sz="4" w:space="0"/>
                    <w:left w:val="single" w:color="auto" w:sz="4" w:space="0"/>
                    <w:bottom w:val="single" w:color="auto" w:sz="4" w:space="0"/>
                    <w:right w:val="single" w:color="auto" w:sz="4" w:space="0"/>
                  </w:tcBorders>
                  <w:vAlign w:val="center"/>
                </w:tcPr>
                <w:p w14:paraId="14371B28">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r>
                    <w:rPr>
                      <w:rFonts w:hint="eastAsia" w:ascii="宋体" w:hAnsi="宋体" w:eastAsia="宋体" w:cs="宋体"/>
                      <w:color w:val="auto"/>
                      <w:szCs w:val="21"/>
                      <w:lang w:bidi="ar"/>
                    </w:rPr>
                    <w:t>气</w:t>
                  </w:r>
                  <w:r>
                    <w:rPr>
                      <w:rFonts w:hint="default" w:ascii="Times New Roman" w:hAnsi="Times New Roman" w:eastAsia="宋体" w:cs="Times New Roman"/>
                      <w:color w:val="auto"/>
                      <w:szCs w:val="21"/>
                      <w:lang w:bidi="ar"/>
                    </w:rPr>
                    <w:t>251119017</w:t>
                  </w:r>
                </w:p>
              </w:tc>
              <w:tc>
                <w:tcPr>
                  <w:tcW w:w="1132" w:type="dxa"/>
                  <w:tcBorders>
                    <w:top w:val="single" w:color="auto" w:sz="4" w:space="0"/>
                    <w:left w:val="single" w:color="auto" w:sz="4" w:space="0"/>
                    <w:bottom w:val="single" w:color="auto" w:sz="4" w:space="0"/>
                    <w:right w:val="single" w:color="auto" w:sz="4" w:space="0"/>
                  </w:tcBorders>
                  <w:vAlign w:val="center"/>
                </w:tcPr>
                <w:p w14:paraId="21199BFC">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lang w:bidi="ar"/>
                    </w:rPr>
                    <w:t>296</w:t>
                  </w:r>
                </w:p>
              </w:tc>
            </w:tr>
            <w:tr w14:paraId="66AA00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1265" w:type="dxa"/>
                  <w:vMerge w:val="continue"/>
                  <w:tcBorders>
                    <w:top w:val="nil"/>
                    <w:left w:val="single" w:color="auto" w:sz="4" w:space="0"/>
                    <w:bottom w:val="single" w:color="auto" w:sz="4" w:space="0"/>
                    <w:right w:val="single" w:color="auto" w:sz="4" w:space="0"/>
                  </w:tcBorders>
                  <w:vAlign w:val="center"/>
                </w:tcPr>
                <w:p w14:paraId="049C3A16">
                  <w:pPr>
                    <w:keepNext w:val="0"/>
                    <w:keepLines w:val="0"/>
                    <w:suppressLineNumbers w:val="0"/>
                    <w:spacing w:before="0" w:beforeAutospacing="0" w:after="0" w:afterAutospacing="0"/>
                    <w:ind w:left="0" w:right="0"/>
                    <w:rPr>
                      <w:rFonts w:hint="default" w:ascii="Times New Roman" w:hAnsi="Times New Roman" w:cs="Times New Roman"/>
                      <w:color w:val="auto"/>
                      <w:sz w:val="20"/>
                      <w:szCs w:val="20"/>
                    </w:rPr>
                  </w:pPr>
                </w:p>
              </w:tc>
              <w:tc>
                <w:tcPr>
                  <w:tcW w:w="1269" w:type="dxa"/>
                  <w:tcBorders>
                    <w:top w:val="single" w:color="auto" w:sz="4" w:space="0"/>
                    <w:left w:val="single" w:color="auto" w:sz="4" w:space="0"/>
                    <w:bottom w:val="single" w:color="auto" w:sz="4" w:space="0"/>
                    <w:right w:val="single" w:color="auto" w:sz="4" w:space="0"/>
                  </w:tcBorders>
                  <w:vAlign w:val="center"/>
                </w:tcPr>
                <w:p w14:paraId="786D19B5">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r>
                    <w:rPr>
                      <w:rFonts w:hint="eastAsia" w:ascii="宋体" w:hAnsi="宋体" w:eastAsia="宋体" w:cs="宋体"/>
                      <w:color w:val="auto"/>
                      <w:szCs w:val="21"/>
                      <w:lang w:bidi="ar"/>
                    </w:rPr>
                    <w:t>第二次</w:t>
                  </w:r>
                </w:p>
              </w:tc>
              <w:tc>
                <w:tcPr>
                  <w:tcW w:w="1609" w:type="dxa"/>
                  <w:vMerge w:val="continue"/>
                  <w:tcBorders>
                    <w:top w:val="nil"/>
                    <w:left w:val="single" w:color="auto" w:sz="4" w:space="0"/>
                    <w:bottom w:val="single" w:color="auto" w:sz="4" w:space="0"/>
                    <w:right w:val="single" w:color="auto" w:sz="4" w:space="0"/>
                  </w:tcBorders>
                  <w:vAlign w:val="center"/>
                </w:tcPr>
                <w:p w14:paraId="0C802C0B">
                  <w:pPr>
                    <w:keepNext w:val="0"/>
                    <w:keepLines w:val="0"/>
                    <w:suppressLineNumbers w:val="0"/>
                    <w:spacing w:before="0" w:beforeAutospacing="0" w:after="0" w:afterAutospacing="0"/>
                    <w:ind w:left="0" w:right="0"/>
                    <w:rPr>
                      <w:rFonts w:hint="default" w:ascii="Times New Roman" w:hAnsi="Times New Roman" w:cs="Times New Roman"/>
                      <w:color w:val="auto"/>
                      <w:sz w:val="20"/>
                      <w:szCs w:val="20"/>
                    </w:rPr>
                  </w:pPr>
                </w:p>
              </w:tc>
              <w:tc>
                <w:tcPr>
                  <w:tcW w:w="1450" w:type="dxa"/>
                  <w:vMerge w:val="continue"/>
                  <w:tcBorders>
                    <w:top w:val="nil"/>
                    <w:left w:val="single" w:color="auto" w:sz="4" w:space="0"/>
                    <w:bottom w:val="single" w:color="auto" w:sz="4" w:space="0"/>
                    <w:right w:val="single" w:color="auto" w:sz="4" w:space="0"/>
                  </w:tcBorders>
                  <w:vAlign w:val="center"/>
                </w:tcPr>
                <w:p w14:paraId="2C265C11">
                  <w:pPr>
                    <w:keepNext w:val="0"/>
                    <w:keepLines w:val="0"/>
                    <w:suppressLineNumbers w:val="0"/>
                    <w:spacing w:before="0" w:beforeAutospacing="0" w:after="0" w:afterAutospacing="0"/>
                    <w:ind w:left="0" w:right="0"/>
                    <w:rPr>
                      <w:rFonts w:hint="default" w:ascii="Times New Roman" w:hAnsi="Times New Roman" w:cs="Times New Roman"/>
                      <w:color w:val="auto"/>
                      <w:sz w:val="20"/>
                      <w:szCs w:val="20"/>
                    </w:rPr>
                  </w:pPr>
                </w:p>
              </w:tc>
              <w:tc>
                <w:tcPr>
                  <w:tcW w:w="1450" w:type="dxa"/>
                  <w:tcBorders>
                    <w:top w:val="single" w:color="auto" w:sz="4" w:space="0"/>
                    <w:left w:val="single" w:color="auto" w:sz="4" w:space="0"/>
                    <w:bottom w:val="single" w:color="auto" w:sz="4" w:space="0"/>
                    <w:right w:val="single" w:color="auto" w:sz="4" w:space="0"/>
                  </w:tcBorders>
                  <w:vAlign w:val="center"/>
                </w:tcPr>
                <w:p w14:paraId="56A6C93F">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r>
                    <w:rPr>
                      <w:rFonts w:hint="eastAsia" w:ascii="宋体" w:hAnsi="宋体" w:eastAsia="宋体" w:cs="宋体"/>
                      <w:color w:val="auto"/>
                      <w:szCs w:val="21"/>
                      <w:lang w:bidi="ar"/>
                    </w:rPr>
                    <w:t>气</w:t>
                  </w:r>
                  <w:r>
                    <w:rPr>
                      <w:rFonts w:hint="default" w:ascii="Times New Roman" w:hAnsi="Times New Roman" w:eastAsia="宋体" w:cs="Times New Roman"/>
                      <w:color w:val="auto"/>
                      <w:szCs w:val="21"/>
                      <w:lang w:bidi="ar"/>
                    </w:rPr>
                    <w:t>251119018</w:t>
                  </w:r>
                </w:p>
              </w:tc>
              <w:tc>
                <w:tcPr>
                  <w:tcW w:w="1132" w:type="dxa"/>
                  <w:tcBorders>
                    <w:top w:val="single" w:color="auto" w:sz="4" w:space="0"/>
                    <w:left w:val="single" w:color="auto" w:sz="4" w:space="0"/>
                    <w:bottom w:val="single" w:color="auto" w:sz="4" w:space="0"/>
                    <w:right w:val="single" w:color="auto" w:sz="4" w:space="0"/>
                  </w:tcBorders>
                  <w:vAlign w:val="center"/>
                </w:tcPr>
                <w:p w14:paraId="57836441">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lang w:bidi="ar"/>
                    </w:rPr>
                    <w:t>304</w:t>
                  </w:r>
                </w:p>
              </w:tc>
            </w:tr>
            <w:tr w14:paraId="13FCCD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1265" w:type="dxa"/>
                  <w:vMerge w:val="continue"/>
                  <w:tcBorders>
                    <w:top w:val="nil"/>
                    <w:left w:val="single" w:color="auto" w:sz="4" w:space="0"/>
                    <w:bottom w:val="single" w:color="auto" w:sz="4" w:space="0"/>
                    <w:right w:val="single" w:color="auto" w:sz="4" w:space="0"/>
                  </w:tcBorders>
                  <w:vAlign w:val="center"/>
                </w:tcPr>
                <w:p w14:paraId="22EDCDF5">
                  <w:pPr>
                    <w:keepNext w:val="0"/>
                    <w:keepLines w:val="0"/>
                    <w:suppressLineNumbers w:val="0"/>
                    <w:spacing w:before="0" w:beforeAutospacing="0" w:after="0" w:afterAutospacing="0"/>
                    <w:ind w:left="0" w:right="0"/>
                    <w:rPr>
                      <w:rFonts w:hint="default" w:ascii="Times New Roman" w:hAnsi="Times New Roman" w:cs="Times New Roman"/>
                      <w:color w:val="auto"/>
                      <w:sz w:val="20"/>
                      <w:szCs w:val="20"/>
                    </w:rPr>
                  </w:pPr>
                </w:p>
              </w:tc>
              <w:tc>
                <w:tcPr>
                  <w:tcW w:w="1269" w:type="dxa"/>
                  <w:tcBorders>
                    <w:top w:val="single" w:color="auto" w:sz="4" w:space="0"/>
                    <w:left w:val="single" w:color="auto" w:sz="4" w:space="0"/>
                    <w:bottom w:val="single" w:color="auto" w:sz="4" w:space="0"/>
                    <w:right w:val="single" w:color="auto" w:sz="4" w:space="0"/>
                  </w:tcBorders>
                  <w:vAlign w:val="center"/>
                </w:tcPr>
                <w:p w14:paraId="1802F1CB">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r>
                    <w:rPr>
                      <w:rFonts w:hint="eastAsia" w:ascii="宋体" w:hAnsi="宋体" w:eastAsia="宋体" w:cs="宋体"/>
                      <w:color w:val="auto"/>
                      <w:szCs w:val="21"/>
                      <w:lang w:bidi="ar"/>
                    </w:rPr>
                    <w:t>第三次</w:t>
                  </w:r>
                </w:p>
              </w:tc>
              <w:tc>
                <w:tcPr>
                  <w:tcW w:w="1609" w:type="dxa"/>
                  <w:vMerge w:val="continue"/>
                  <w:tcBorders>
                    <w:top w:val="nil"/>
                    <w:left w:val="single" w:color="auto" w:sz="4" w:space="0"/>
                    <w:bottom w:val="single" w:color="auto" w:sz="4" w:space="0"/>
                    <w:right w:val="single" w:color="auto" w:sz="4" w:space="0"/>
                  </w:tcBorders>
                  <w:vAlign w:val="center"/>
                </w:tcPr>
                <w:p w14:paraId="4402BEA7">
                  <w:pPr>
                    <w:keepNext w:val="0"/>
                    <w:keepLines w:val="0"/>
                    <w:suppressLineNumbers w:val="0"/>
                    <w:spacing w:before="0" w:beforeAutospacing="0" w:after="0" w:afterAutospacing="0"/>
                    <w:ind w:left="0" w:right="0"/>
                    <w:rPr>
                      <w:rFonts w:hint="default" w:ascii="Times New Roman" w:hAnsi="Times New Roman" w:cs="Times New Roman"/>
                      <w:color w:val="auto"/>
                      <w:sz w:val="20"/>
                      <w:szCs w:val="20"/>
                    </w:rPr>
                  </w:pPr>
                </w:p>
              </w:tc>
              <w:tc>
                <w:tcPr>
                  <w:tcW w:w="1450" w:type="dxa"/>
                  <w:vMerge w:val="continue"/>
                  <w:tcBorders>
                    <w:top w:val="nil"/>
                    <w:left w:val="single" w:color="auto" w:sz="4" w:space="0"/>
                    <w:bottom w:val="single" w:color="auto" w:sz="4" w:space="0"/>
                    <w:right w:val="single" w:color="auto" w:sz="4" w:space="0"/>
                  </w:tcBorders>
                  <w:vAlign w:val="center"/>
                </w:tcPr>
                <w:p w14:paraId="3858F891">
                  <w:pPr>
                    <w:keepNext w:val="0"/>
                    <w:keepLines w:val="0"/>
                    <w:suppressLineNumbers w:val="0"/>
                    <w:spacing w:before="0" w:beforeAutospacing="0" w:after="0" w:afterAutospacing="0"/>
                    <w:ind w:left="0" w:right="0"/>
                    <w:rPr>
                      <w:rFonts w:hint="default" w:ascii="Times New Roman" w:hAnsi="Times New Roman" w:cs="Times New Roman"/>
                      <w:color w:val="auto"/>
                      <w:sz w:val="20"/>
                      <w:szCs w:val="20"/>
                    </w:rPr>
                  </w:pPr>
                </w:p>
              </w:tc>
              <w:tc>
                <w:tcPr>
                  <w:tcW w:w="1450" w:type="dxa"/>
                  <w:tcBorders>
                    <w:top w:val="single" w:color="auto" w:sz="4" w:space="0"/>
                    <w:left w:val="single" w:color="auto" w:sz="4" w:space="0"/>
                    <w:bottom w:val="single" w:color="auto" w:sz="4" w:space="0"/>
                    <w:right w:val="single" w:color="auto" w:sz="4" w:space="0"/>
                  </w:tcBorders>
                  <w:vAlign w:val="center"/>
                </w:tcPr>
                <w:p w14:paraId="48449BBB">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r>
                    <w:rPr>
                      <w:rFonts w:hint="eastAsia" w:ascii="宋体" w:hAnsi="宋体" w:eastAsia="宋体" w:cs="宋体"/>
                      <w:color w:val="auto"/>
                      <w:szCs w:val="21"/>
                      <w:lang w:bidi="ar"/>
                    </w:rPr>
                    <w:t>气</w:t>
                  </w:r>
                  <w:r>
                    <w:rPr>
                      <w:rFonts w:hint="default" w:ascii="Times New Roman" w:hAnsi="Times New Roman" w:eastAsia="宋体" w:cs="Times New Roman"/>
                      <w:color w:val="auto"/>
                      <w:szCs w:val="21"/>
                      <w:lang w:bidi="ar"/>
                    </w:rPr>
                    <w:t>251119019</w:t>
                  </w:r>
                </w:p>
              </w:tc>
              <w:tc>
                <w:tcPr>
                  <w:tcW w:w="1132" w:type="dxa"/>
                  <w:tcBorders>
                    <w:top w:val="single" w:color="auto" w:sz="4" w:space="0"/>
                    <w:left w:val="single" w:color="auto" w:sz="4" w:space="0"/>
                    <w:bottom w:val="single" w:color="auto" w:sz="4" w:space="0"/>
                    <w:right w:val="single" w:color="auto" w:sz="4" w:space="0"/>
                  </w:tcBorders>
                  <w:vAlign w:val="center"/>
                </w:tcPr>
                <w:p w14:paraId="0B173299">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lang w:bidi="ar"/>
                    </w:rPr>
                    <w:t>305</w:t>
                  </w:r>
                </w:p>
              </w:tc>
            </w:tr>
            <w:tr w14:paraId="776590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2534" w:type="dxa"/>
                  <w:gridSpan w:val="2"/>
                  <w:tcBorders>
                    <w:top w:val="single" w:color="auto" w:sz="4" w:space="0"/>
                    <w:left w:val="single" w:color="auto" w:sz="4" w:space="0"/>
                    <w:bottom w:val="single" w:color="auto" w:sz="4" w:space="0"/>
                    <w:right w:val="single" w:color="auto" w:sz="4" w:space="0"/>
                  </w:tcBorders>
                  <w:vAlign w:val="center"/>
                </w:tcPr>
                <w:p w14:paraId="64518CC2">
                  <w:pPr>
                    <w:keepNext w:val="0"/>
                    <w:keepLines w:val="0"/>
                    <w:suppressLineNumbers w:val="0"/>
                    <w:spacing w:before="0" w:beforeAutospacing="0" w:after="0" w:afterAutospacing="0"/>
                    <w:ind w:left="0" w:right="0"/>
                    <w:jc w:val="center"/>
                    <w:rPr>
                      <w:rFonts w:hint="default" w:ascii="Times New Roman" w:hAnsi="Times New Roman" w:eastAsia="宋体" w:cs="Times New Roman"/>
                      <w:b/>
                      <w:bCs/>
                      <w:color w:val="auto"/>
                      <w:szCs w:val="21"/>
                    </w:rPr>
                  </w:pPr>
                  <w:r>
                    <w:rPr>
                      <w:rFonts w:hint="eastAsia" w:ascii="宋体" w:hAnsi="宋体" w:eastAsia="宋体" w:cs="宋体"/>
                      <w:b/>
                      <w:bCs/>
                      <w:color w:val="auto"/>
                      <w:szCs w:val="21"/>
                      <w:lang w:bidi="ar"/>
                    </w:rPr>
                    <w:t>采样时间</w:t>
                  </w:r>
                </w:p>
              </w:tc>
              <w:tc>
                <w:tcPr>
                  <w:tcW w:w="1609" w:type="dxa"/>
                  <w:tcBorders>
                    <w:top w:val="single" w:color="auto" w:sz="4" w:space="0"/>
                    <w:left w:val="single" w:color="auto" w:sz="4" w:space="0"/>
                    <w:bottom w:val="single" w:color="auto" w:sz="4" w:space="0"/>
                    <w:right w:val="single" w:color="auto" w:sz="4" w:space="0"/>
                  </w:tcBorders>
                  <w:vAlign w:val="center"/>
                </w:tcPr>
                <w:p w14:paraId="2791CFCF">
                  <w:pPr>
                    <w:keepNext w:val="0"/>
                    <w:keepLines w:val="0"/>
                    <w:suppressLineNumbers w:val="0"/>
                    <w:spacing w:before="0" w:beforeAutospacing="0" w:after="0" w:afterAutospacing="0"/>
                    <w:ind w:left="0" w:right="0"/>
                    <w:jc w:val="center"/>
                    <w:rPr>
                      <w:rFonts w:hint="default" w:ascii="Times New Roman" w:hAnsi="Times New Roman" w:eastAsia="宋体" w:cs="Times New Roman"/>
                      <w:b/>
                      <w:bCs/>
                      <w:color w:val="auto"/>
                      <w:szCs w:val="21"/>
                    </w:rPr>
                  </w:pPr>
                  <w:r>
                    <w:rPr>
                      <w:rFonts w:hint="eastAsia" w:ascii="宋体" w:hAnsi="宋体" w:eastAsia="宋体" w:cs="宋体"/>
                      <w:b/>
                      <w:bCs/>
                      <w:color w:val="auto"/>
                      <w:szCs w:val="21"/>
                      <w:lang w:bidi="ar"/>
                    </w:rPr>
                    <w:t>检测项目</w:t>
                  </w:r>
                </w:p>
              </w:tc>
              <w:tc>
                <w:tcPr>
                  <w:tcW w:w="1450" w:type="dxa"/>
                  <w:tcBorders>
                    <w:top w:val="single" w:color="auto" w:sz="4" w:space="0"/>
                    <w:left w:val="single" w:color="auto" w:sz="4" w:space="0"/>
                    <w:bottom w:val="single" w:color="auto" w:sz="4" w:space="0"/>
                    <w:right w:val="single" w:color="auto" w:sz="4" w:space="0"/>
                  </w:tcBorders>
                  <w:vAlign w:val="center"/>
                </w:tcPr>
                <w:p w14:paraId="1FDE102B">
                  <w:pPr>
                    <w:keepNext w:val="0"/>
                    <w:keepLines w:val="0"/>
                    <w:suppressLineNumbers w:val="0"/>
                    <w:spacing w:before="0" w:beforeAutospacing="0" w:after="0" w:afterAutospacing="0"/>
                    <w:ind w:left="0" w:right="0"/>
                    <w:jc w:val="center"/>
                    <w:rPr>
                      <w:rFonts w:hint="default" w:ascii="Times New Roman" w:hAnsi="Times New Roman" w:eastAsia="宋体" w:cs="Times New Roman"/>
                      <w:b/>
                      <w:bCs/>
                      <w:color w:val="auto"/>
                      <w:szCs w:val="21"/>
                    </w:rPr>
                  </w:pPr>
                  <w:r>
                    <w:rPr>
                      <w:rFonts w:hint="eastAsia" w:ascii="宋体" w:hAnsi="宋体" w:eastAsia="宋体" w:cs="宋体"/>
                      <w:b/>
                      <w:bCs/>
                      <w:color w:val="auto"/>
                      <w:szCs w:val="21"/>
                      <w:lang w:bidi="ar"/>
                    </w:rPr>
                    <w:t>采样点位</w:t>
                  </w:r>
                </w:p>
              </w:tc>
              <w:tc>
                <w:tcPr>
                  <w:tcW w:w="1450" w:type="dxa"/>
                  <w:tcBorders>
                    <w:top w:val="single" w:color="auto" w:sz="4" w:space="0"/>
                    <w:left w:val="single" w:color="auto" w:sz="4" w:space="0"/>
                    <w:bottom w:val="single" w:color="auto" w:sz="4" w:space="0"/>
                    <w:right w:val="single" w:color="auto" w:sz="4" w:space="0"/>
                  </w:tcBorders>
                  <w:vAlign w:val="center"/>
                </w:tcPr>
                <w:p w14:paraId="251EFE8A">
                  <w:pPr>
                    <w:keepNext w:val="0"/>
                    <w:keepLines w:val="0"/>
                    <w:suppressLineNumbers w:val="0"/>
                    <w:spacing w:before="0" w:beforeAutospacing="0" w:after="0" w:afterAutospacing="0"/>
                    <w:ind w:left="0" w:right="0"/>
                    <w:jc w:val="center"/>
                    <w:rPr>
                      <w:rFonts w:hint="default" w:ascii="Times New Roman" w:hAnsi="Times New Roman" w:eastAsia="宋体" w:cs="Times New Roman"/>
                      <w:b/>
                      <w:bCs/>
                      <w:color w:val="auto"/>
                      <w:szCs w:val="21"/>
                    </w:rPr>
                  </w:pPr>
                  <w:r>
                    <w:rPr>
                      <w:rFonts w:hint="eastAsia" w:ascii="宋体" w:hAnsi="宋体" w:eastAsia="宋体" w:cs="宋体"/>
                      <w:b/>
                      <w:bCs/>
                      <w:color w:val="auto"/>
                      <w:szCs w:val="21"/>
                      <w:lang w:bidi="ar"/>
                    </w:rPr>
                    <w:t>样品编号</w:t>
                  </w:r>
                </w:p>
              </w:tc>
              <w:tc>
                <w:tcPr>
                  <w:tcW w:w="1132" w:type="dxa"/>
                  <w:tcBorders>
                    <w:top w:val="single" w:color="auto" w:sz="4" w:space="0"/>
                    <w:left w:val="single" w:color="auto" w:sz="4" w:space="0"/>
                    <w:bottom w:val="single" w:color="auto" w:sz="4" w:space="0"/>
                    <w:right w:val="single" w:color="auto" w:sz="4" w:space="0"/>
                  </w:tcBorders>
                  <w:vAlign w:val="center"/>
                </w:tcPr>
                <w:p w14:paraId="3117C176">
                  <w:pPr>
                    <w:keepNext w:val="0"/>
                    <w:keepLines w:val="0"/>
                    <w:suppressLineNumbers w:val="0"/>
                    <w:spacing w:before="0" w:beforeAutospacing="0" w:after="0" w:afterAutospacing="0"/>
                    <w:ind w:left="0" w:right="0"/>
                    <w:jc w:val="center"/>
                    <w:rPr>
                      <w:rFonts w:hint="default" w:ascii="Times New Roman" w:hAnsi="Times New Roman" w:eastAsia="宋体" w:cs="Times New Roman"/>
                      <w:b/>
                      <w:bCs/>
                      <w:color w:val="auto"/>
                      <w:szCs w:val="21"/>
                    </w:rPr>
                  </w:pPr>
                  <w:r>
                    <w:rPr>
                      <w:rFonts w:hint="eastAsia" w:ascii="宋体" w:hAnsi="宋体" w:eastAsia="宋体" w:cs="宋体"/>
                      <w:b/>
                      <w:bCs/>
                      <w:color w:val="auto"/>
                      <w:szCs w:val="21"/>
                      <w:lang w:bidi="ar"/>
                    </w:rPr>
                    <w:t>检测结果</w:t>
                  </w:r>
                </w:p>
              </w:tc>
            </w:tr>
            <w:tr w14:paraId="529103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1265" w:type="dxa"/>
                  <w:vMerge w:val="restart"/>
                  <w:tcBorders>
                    <w:top w:val="nil"/>
                    <w:left w:val="single" w:color="auto" w:sz="4" w:space="0"/>
                    <w:bottom w:val="single" w:color="auto" w:sz="4" w:space="0"/>
                    <w:right w:val="single" w:color="auto" w:sz="4" w:space="0"/>
                  </w:tcBorders>
                  <w:vAlign w:val="center"/>
                </w:tcPr>
                <w:p w14:paraId="0E6E06A4">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lang w:bidi="ar"/>
                    </w:rPr>
                    <w:t>2025.11.20</w:t>
                  </w:r>
                </w:p>
              </w:tc>
              <w:tc>
                <w:tcPr>
                  <w:tcW w:w="1269" w:type="dxa"/>
                  <w:tcBorders>
                    <w:top w:val="single" w:color="auto" w:sz="4" w:space="0"/>
                    <w:left w:val="single" w:color="auto" w:sz="4" w:space="0"/>
                    <w:bottom w:val="single" w:color="auto" w:sz="4" w:space="0"/>
                    <w:right w:val="single" w:color="auto" w:sz="4" w:space="0"/>
                  </w:tcBorders>
                  <w:vAlign w:val="center"/>
                </w:tcPr>
                <w:p w14:paraId="2E0177C1">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r>
                    <w:rPr>
                      <w:rFonts w:hint="eastAsia" w:ascii="宋体" w:hAnsi="宋体" w:eastAsia="宋体" w:cs="宋体"/>
                      <w:color w:val="auto"/>
                      <w:szCs w:val="21"/>
                      <w:lang w:bidi="ar"/>
                    </w:rPr>
                    <w:t>第一次</w:t>
                  </w:r>
                </w:p>
              </w:tc>
              <w:tc>
                <w:tcPr>
                  <w:tcW w:w="1609" w:type="dxa"/>
                  <w:vMerge w:val="restart"/>
                  <w:tcBorders>
                    <w:top w:val="nil"/>
                    <w:left w:val="single" w:color="auto" w:sz="4" w:space="0"/>
                    <w:bottom w:val="single" w:color="auto" w:sz="4" w:space="0"/>
                    <w:right w:val="single" w:color="auto" w:sz="4" w:space="0"/>
                  </w:tcBorders>
                  <w:vAlign w:val="center"/>
                </w:tcPr>
                <w:p w14:paraId="095BE71B">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r>
                    <w:rPr>
                      <w:rFonts w:hint="eastAsia" w:ascii="宋体" w:hAnsi="宋体" w:eastAsia="宋体" w:cs="宋体"/>
                      <w:color w:val="auto"/>
                      <w:szCs w:val="21"/>
                      <w:lang w:bidi="ar"/>
                    </w:rPr>
                    <w:t>总悬浮颗粒物（</w:t>
                  </w:r>
                  <w:r>
                    <w:rPr>
                      <w:rFonts w:hint="default" w:ascii="Times New Roman" w:hAnsi="Times New Roman" w:eastAsia="宋体" w:cs="Times New Roman"/>
                      <w:color w:val="auto"/>
                      <w:szCs w:val="21"/>
                      <w:lang w:bidi="ar"/>
                    </w:rPr>
                    <w:t>μg/m³</w:t>
                  </w:r>
                  <w:r>
                    <w:rPr>
                      <w:rFonts w:hint="eastAsia" w:ascii="宋体" w:hAnsi="宋体" w:eastAsia="宋体" w:cs="宋体"/>
                      <w:color w:val="auto"/>
                      <w:szCs w:val="21"/>
                      <w:lang w:bidi="ar"/>
                    </w:rPr>
                    <w:t>）</w:t>
                  </w:r>
                </w:p>
              </w:tc>
              <w:tc>
                <w:tcPr>
                  <w:tcW w:w="1450" w:type="dxa"/>
                  <w:vMerge w:val="restart"/>
                  <w:tcBorders>
                    <w:top w:val="nil"/>
                    <w:left w:val="single" w:color="auto" w:sz="4" w:space="0"/>
                    <w:bottom w:val="single" w:color="auto" w:sz="4" w:space="0"/>
                    <w:right w:val="single" w:color="auto" w:sz="4" w:space="0"/>
                  </w:tcBorders>
                  <w:vAlign w:val="center"/>
                </w:tcPr>
                <w:p w14:paraId="25BDAEEF">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r>
                    <w:rPr>
                      <w:rFonts w:hint="eastAsia" w:ascii="宋体" w:hAnsi="宋体" w:eastAsia="宋体" w:cs="宋体"/>
                      <w:color w:val="auto"/>
                      <w:szCs w:val="21"/>
                      <w:lang w:bidi="ar"/>
                    </w:rPr>
                    <w:t>厂界上风向</w:t>
                  </w:r>
                </w:p>
              </w:tc>
              <w:tc>
                <w:tcPr>
                  <w:tcW w:w="1450" w:type="dxa"/>
                  <w:tcBorders>
                    <w:top w:val="single" w:color="auto" w:sz="4" w:space="0"/>
                    <w:left w:val="single" w:color="auto" w:sz="4" w:space="0"/>
                    <w:bottom w:val="single" w:color="auto" w:sz="4" w:space="0"/>
                    <w:right w:val="single" w:color="auto" w:sz="4" w:space="0"/>
                  </w:tcBorders>
                  <w:vAlign w:val="center"/>
                </w:tcPr>
                <w:p w14:paraId="78ECBC2C">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r>
                    <w:rPr>
                      <w:rFonts w:hint="eastAsia" w:ascii="宋体" w:hAnsi="宋体" w:eastAsia="宋体" w:cs="宋体"/>
                      <w:color w:val="auto"/>
                      <w:szCs w:val="21"/>
                      <w:lang w:bidi="ar"/>
                    </w:rPr>
                    <w:t>气</w:t>
                  </w:r>
                  <w:r>
                    <w:rPr>
                      <w:rFonts w:hint="default" w:ascii="Times New Roman" w:hAnsi="Times New Roman" w:eastAsia="宋体" w:cs="Times New Roman"/>
                      <w:color w:val="auto"/>
                      <w:szCs w:val="21"/>
                      <w:lang w:bidi="ar"/>
                    </w:rPr>
                    <w:t>251120107</w:t>
                  </w:r>
                </w:p>
              </w:tc>
              <w:tc>
                <w:tcPr>
                  <w:tcW w:w="1132" w:type="dxa"/>
                  <w:tcBorders>
                    <w:top w:val="single" w:color="auto" w:sz="4" w:space="0"/>
                    <w:left w:val="single" w:color="auto" w:sz="4" w:space="0"/>
                    <w:bottom w:val="single" w:color="auto" w:sz="4" w:space="0"/>
                    <w:right w:val="single" w:color="auto" w:sz="4" w:space="0"/>
                  </w:tcBorders>
                  <w:vAlign w:val="center"/>
                </w:tcPr>
                <w:p w14:paraId="2CFBCA6A">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lang w:bidi="ar"/>
                    </w:rPr>
                    <w:t>254</w:t>
                  </w:r>
                </w:p>
              </w:tc>
            </w:tr>
            <w:tr w14:paraId="622F13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1265" w:type="dxa"/>
                  <w:vMerge w:val="continue"/>
                  <w:tcBorders>
                    <w:top w:val="nil"/>
                    <w:left w:val="single" w:color="auto" w:sz="4" w:space="0"/>
                    <w:bottom w:val="single" w:color="auto" w:sz="4" w:space="0"/>
                    <w:right w:val="single" w:color="auto" w:sz="4" w:space="0"/>
                  </w:tcBorders>
                  <w:vAlign w:val="center"/>
                </w:tcPr>
                <w:p w14:paraId="2046BC0C">
                  <w:pPr>
                    <w:keepNext w:val="0"/>
                    <w:keepLines w:val="0"/>
                    <w:suppressLineNumbers w:val="0"/>
                    <w:spacing w:before="0" w:beforeAutospacing="0" w:after="0" w:afterAutospacing="0"/>
                    <w:ind w:left="0" w:right="0"/>
                    <w:rPr>
                      <w:rFonts w:hint="default" w:ascii="Times New Roman" w:hAnsi="Times New Roman" w:cs="Times New Roman"/>
                      <w:color w:val="auto"/>
                      <w:sz w:val="20"/>
                      <w:szCs w:val="20"/>
                    </w:rPr>
                  </w:pPr>
                </w:p>
              </w:tc>
              <w:tc>
                <w:tcPr>
                  <w:tcW w:w="1269" w:type="dxa"/>
                  <w:tcBorders>
                    <w:top w:val="single" w:color="auto" w:sz="4" w:space="0"/>
                    <w:left w:val="single" w:color="auto" w:sz="4" w:space="0"/>
                    <w:bottom w:val="single" w:color="auto" w:sz="4" w:space="0"/>
                    <w:right w:val="single" w:color="auto" w:sz="4" w:space="0"/>
                  </w:tcBorders>
                  <w:vAlign w:val="center"/>
                </w:tcPr>
                <w:p w14:paraId="54A8D4AD">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r>
                    <w:rPr>
                      <w:rFonts w:hint="eastAsia" w:ascii="宋体" w:hAnsi="宋体" w:eastAsia="宋体" w:cs="宋体"/>
                      <w:color w:val="auto"/>
                      <w:szCs w:val="21"/>
                      <w:lang w:bidi="ar"/>
                    </w:rPr>
                    <w:t>第二次</w:t>
                  </w:r>
                </w:p>
              </w:tc>
              <w:tc>
                <w:tcPr>
                  <w:tcW w:w="1609" w:type="dxa"/>
                  <w:vMerge w:val="continue"/>
                  <w:tcBorders>
                    <w:top w:val="nil"/>
                    <w:left w:val="single" w:color="auto" w:sz="4" w:space="0"/>
                    <w:bottom w:val="single" w:color="auto" w:sz="4" w:space="0"/>
                    <w:right w:val="single" w:color="auto" w:sz="4" w:space="0"/>
                  </w:tcBorders>
                  <w:vAlign w:val="center"/>
                </w:tcPr>
                <w:p w14:paraId="6BF3D327">
                  <w:pPr>
                    <w:keepNext w:val="0"/>
                    <w:keepLines w:val="0"/>
                    <w:suppressLineNumbers w:val="0"/>
                    <w:spacing w:before="0" w:beforeAutospacing="0" w:after="0" w:afterAutospacing="0"/>
                    <w:ind w:left="0" w:right="0"/>
                    <w:rPr>
                      <w:rFonts w:hint="default" w:ascii="Times New Roman" w:hAnsi="Times New Roman" w:cs="Times New Roman"/>
                      <w:color w:val="auto"/>
                      <w:sz w:val="20"/>
                      <w:szCs w:val="20"/>
                    </w:rPr>
                  </w:pPr>
                </w:p>
              </w:tc>
              <w:tc>
                <w:tcPr>
                  <w:tcW w:w="1450" w:type="dxa"/>
                  <w:vMerge w:val="continue"/>
                  <w:tcBorders>
                    <w:top w:val="nil"/>
                    <w:left w:val="single" w:color="auto" w:sz="4" w:space="0"/>
                    <w:bottom w:val="single" w:color="auto" w:sz="4" w:space="0"/>
                    <w:right w:val="single" w:color="auto" w:sz="4" w:space="0"/>
                  </w:tcBorders>
                  <w:vAlign w:val="center"/>
                </w:tcPr>
                <w:p w14:paraId="03F86500">
                  <w:pPr>
                    <w:keepNext w:val="0"/>
                    <w:keepLines w:val="0"/>
                    <w:suppressLineNumbers w:val="0"/>
                    <w:spacing w:before="0" w:beforeAutospacing="0" w:after="0" w:afterAutospacing="0"/>
                    <w:ind w:left="0" w:right="0"/>
                    <w:rPr>
                      <w:rFonts w:hint="default" w:ascii="Times New Roman" w:hAnsi="Times New Roman" w:cs="Times New Roman"/>
                      <w:color w:val="auto"/>
                      <w:sz w:val="20"/>
                      <w:szCs w:val="20"/>
                    </w:rPr>
                  </w:pPr>
                </w:p>
              </w:tc>
              <w:tc>
                <w:tcPr>
                  <w:tcW w:w="1450" w:type="dxa"/>
                  <w:tcBorders>
                    <w:top w:val="single" w:color="auto" w:sz="4" w:space="0"/>
                    <w:left w:val="single" w:color="auto" w:sz="4" w:space="0"/>
                    <w:bottom w:val="single" w:color="auto" w:sz="4" w:space="0"/>
                    <w:right w:val="single" w:color="auto" w:sz="4" w:space="0"/>
                  </w:tcBorders>
                  <w:vAlign w:val="center"/>
                </w:tcPr>
                <w:p w14:paraId="6B475EC7">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r>
                    <w:rPr>
                      <w:rFonts w:hint="eastAsia" w:ascii="宋体" w:hAnsi="宋体" w:eastAsia="宋体" w:cs="宋体"/>
                      <w:color w:val="auto"/>
                      <w:szCs w:val="21"/>
                      <w:lang w:bidi="ar"/>
                    </w:rPr>
                    <w:t>气</w:t>
                  </w:r>
                  <w:r>
                    <w:rPr>
                      <w:rFonts w:hint="default" w:ascii="Times New Roman" w:hAnsi="Times New Roman" w:eastAsia="宋体" w:cs="Times New Roman"/>
                      <w:color w:val="auto"/>
                      <w:szCs w:val="21"/>
                      <w:lang w:bidi="ar"/>
                    </w:rPr>
                    <w:t>251120108</w:t>
                  </w:r>
                </w:p>
              </w:tc>
              <w:tc>
                <w:tcPr>
                  <w:tcW w:w="1132" w:type="dxa"/>
                  <w:tcBorders>
                    <w:top w:val="single" w:color="auto" w:sz="4" w:space="0"/>
                    <w:left w:val="single" w:color="auto" w:sz="4" w:space="0"/>
                    <w:bottom w:val="single" w:color="auto" w:sz="4" w:space="0"/>
                    <w:right w:val="single" w:color="auto" w:sz="4" w:space="0"/>
                  </w:tcBorders>
                  <w:vAlign w:val="center"/>
                </w:tcPr>
                <w:p w14:paraId="2C0BF7D3">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lang w:bidi="ar"/>
                    </w:rPr>
                    <w:t>247</w:t>
                  </w:r>
                </w:p>
              </w:tc>
            </w:tr>
            <w:tr w14:paraId="3B3F79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1265" w:type="dxa"/>
                  <w:vMerge w:val="continue"/>
                  <w:tcBorders>
                    <w:top w:val="nil"/>
                    <w:left w:val="single" w:color="auto" w:sz="4" w:space="0"/>
                    <w:bottom w:val="single" w:color="auto" w:sz="4" w:space="0"/>
                    <w:right w:val="single" w:color="auto" w:sz="4" w:space="0"/>
                  </w:tcBorders>
                  <w:vAlign w:val="center"/>
                </w:tcPr>
                <w:p w14:paraId="42FD7250">
                  <w:pPr>
                    <w:keepNext w:val="0"/>
                    <w:keepLines w:val="0"/>
                    <w:suppressLineNumbers w:val="0"/>
                    <w:spacing w:before="0" w:beforeAutospacing="0" w:after="0" w:afterAutospacing="0"/>
                    <w:ind w:left="0" w:right="0"/>
                    <w:rPr>
                      <w:rFonts w:hint="default" w:ascii="Times New Roman" w:hAnsi="Times New Roman" w:cs="Times New Roman"/>
                      <w:color w:val="auto"/>
                      <w:sz w:val="20"/>
                      <w:szCs w:val="20"/>
                    </w:rPr>
                  </w:pPr>
                </w:p>
              </w:tc>
              <w:tc>
                <w:tcPr>
                  <w:tcW w:w="1269" w:type="dxa"/>
                  <w:tcBorders>
                    <w:top w:val="single" w:color="auto" w:sz="4" w:space="0"/>
                    <w:left w:val="single" w:color="auto" w:sz="4" w:space="0"/>
                    <w:bottom w:val="single" w:color="auto" w:sz="4" w:space="0"/>
                    <w:right w:val="single" w:color="auto" w:sz="4" w:space="0"/>
                  </w:tcBorders>
                  <w:vAlign w:val="center"/>
                </w:tcPr>
                <w:p w14:paraId="1017500A">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r>
                    <w:rPr>
                      <w:rFonts w:hint="eastAsia" w:ascii="宋体" w:hAnsi="宋体" w:eastAsia="宋体" w:cs="宋体"/>
                      <w:color w:val="auto"/>
                      <w:szCs w:val="21"/>
                      <w:lang w:bidi="ar"/>
                    </w:rPr>
                    <w:t>第三次</w:t>
                  </w:r>
                </w:p>
              </w:tc>
              <w:tc>
                <w:tcPr>
                  <w:tcW w:w="1609" w:type="dxa"/>
                  <w:vMerge w:val="continue"/>
                  <w:tcBorders>
                    <w:top w:val="nil"/>
                    <w:left w:val="single" w:color="auto" w:sz="4" w:space="0"/>
                    <w:bottom w:val="single" w:color="auto" w:sz="4" w:space="0"/>
                    <w:right w:val="single" w:color="auto" w:sz="4" w:space="0"/>
                  </w:tcBorders>
                  <w:vAlign w:val="center"/>
                </w:tcPr>
                <w:p w14:paraId="69665577">
                  <w:pPr>
                    <w:keepNext w:val="0"/>
                    <w:keepLines w:val="0"/>
                    <w:suppressLineNumbers w:val="0"/>
                    <w:spacing w:before="0" w:beforeAutospacing="0" w:after="0" w:afterAutospacing="0"/>
                    <w:ind w:left="0" w:right="0"/>
                    <w:rPr>
                      <w:rFonts w:hint="default" w:ascii="Times New Roman" w:hAnsi="Times New Roman" w:cs="Times New Roman"/>
                      <w:color w:val="auto"/>
                      <w:sz w:val="20"/>
                      <w:szCs w:val="20"/>
                    </w:rPr>
                  </w:pPr>
                </w:p>
              </w:tc>
              <w:tc>
                <w:tcPr>
                  <w:tcW w:w="1450" w:type="dxa"/>
                  <w:vMerge w:val="continue"/>
                  <w:tcBorders>
                    <w:top w:val="nil"/>
                    <w:left w:val="single" w:color="auto" w:sz="4" w:space="0"/>
                    <w:bottom w:val="single" w:color="auto" w:sz="4" w:space="0"/>
                    <w:right w:val="single" w:color="auto" w:sz="4" w:space="0"/>
                  </w:tcBorders>
                  <w:vAlign w:val="center"/>
                </w:tcPr>
                <w:p w14:paraId="15E99B29">
                  <w:pPr>
                    <w:keepNext w:val="0"/>
                    <w:keepLines w:val="0"/>
                    <w:suppressLineNumbers w:val="0"/>
                    <w:spacing w:before="0" w:beforeAutospacing="0" w:after="0" w:afterAutospacing="0"/>
                    <w:ind w:left="0" w:right="0"/>
                    <w:rPr>
                      <w:rFonts w:hint="default" w:ascii="Times New Roman" w:hAnsi="Times New Roman" w:cs="Times New Roman"/>
                      <w:color w:val="auto"/>
                      <w:sz w:val="20"/>
                      <w:szCs w:val="20"/>
                    </w:rPr>
                  </w:pPr>
                </w:p>
              </w:tc>
              <w:tc>
                <w:tcPr>
                  <w:tcW w:w="1450" w:type="dxa"/>
                  <w:tcBorders>
                    <w:top w:val="single" w:color="auto" w:sz="4" w:space="0"/>
                    <w:left w:val="single" w:color="auto" w:sz="4" w:space="0"/>
                    <w:bottom w:val="single" w:color="auto" w:sz="4" w:space="0"/>
                    <w:right w:val="single" w:color="auto" w:sz="4" w:space="0"/>
                  </w:tcBorders>
                  <w:vAlign w:val="center"/>
                </w:tcPr>
                <w:p w14:paraId="3DF24112">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r>
                    <w:rPr>
                      <w:rFonts w:hint="eastAsia" w:ascii="宋体" w:hAnsi="宋体" w:eastAsia="宋体" w:cs="宋体"/>
                      <w:color w:val="auto"/>
                      <w:szCs w:val="21"/>
                      <w:lang w:bidi="ar"/>
                    </w:rPr>
                    <w:t>气</w:t>
                  </w:r>
                  <w:r>
                    <w:rPr>
                      <w:rFonts w:hint="default" w:ascii="Times New Roman" w:hAnsi="Times New Roman" w:eastAsia="宋体" w:cs="Times New Roman"/>
                      <w:color w:val="auto"/>
                      <w:szCs w:val="21"/>
                      <w:lang w:bidi="ar"/>
                    </w:rPr>
                    <w:t>251120109</w:t>
                  </w:r>
                </w:p>
              </w:tc>
              <w:tc>
                <w:tcPr>
                  <w:tcW w:w="1132" w:type="dxa"/>
                  <w:tcBorders>
                    <w:top w:val="single" w:color="auto" w:sz="4" w:space="0"/>
                    <w:left w:val="single" w:color="auto" w:sz="4" w:space="0"/>
                    <w:bottom w:val="single" w:color="auto" w:sz="4" w:space="0"/>
                    <w:right w:val="single" w:color="auto" w:sz="4" w:space="0"/>
                  </w:tcBorders>
                  <w:vAlign w:val="center"/>
                </w:tcPr>
                <w:p w14:paraId="11B72CD4">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lang w:bidi="ar"/>
                    </w:rPr>
                    <w:t>255</w:t>
                  </w:r>
                </w:p>
              </w:tc>
            </w:tr>
            <w:tr w14:paraId="1F8FED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1265" w:type="dxa"/>
                  <w:vMerge w:val="continue"/>
                  <w:tcBorders>
                    <w:top w:val="nil"/>
                    <w:left w:val="single" w:color="auto" w:sz="4" w:space="0"/>
                    <w:bottom w:val="single" w:color="auto" w:sz="4" w:space="0"/>
                    <w:right w:val="single" w:color="auto" w:sz="4" w:space="0"/>
                  </w:tcBorders>
                  <w:vAlign w:val="center"/>
                </w:tcPr>
                <w:p w14:paraId="0D36AE02">
                  <w:pPr>
                    <w:keepNext w:val="0"/>
                    <w:keepLines w:val="0"/>
                    <w:suppressLineNumbers w:val="0"/>
                    <w:spacing w:before="0" w:beforeAutospacing="0" w:after="0" w:afterAutospacing="0"/>
                    <w:ind w:left="0" w:right="0"/>
                    <w:rPr>
                      <w:rFonts w:hint="default" w:ascii="Times New Roman" w:hAnsi="Times New Roman" w:cs="Times New Roman"/>
                      <w:color w:val="auto"/>
                      <w:sz w:val="20"/>
                      <w:szCs w:val="20"/>
                    </w:rPr>
                  </w:pPr>
                </w:p>
              </w:tc>
              <w:tc>
                <w:tcPr>
                  <w:tcW w:w="1269" w:type="dxa"/>
                  <w:tcBorders>
                    <w:top w:val="single" w:color="auto" w:sz="4" w:space="0"/>
                    <w:left w:val="single" w:color="auto" w:sz="4" w:space="0"/>
                    <w:bottom w:val="single" w:color="auto" w:sz="4" w:space="0"/>
                    <w:right w:val="single" w:color="auto" w:sz="4" w:space="0"/>
                  </w:tcBorders>
                  <w:vAlign w:val="center"/>
                </w:tcPr>
                <w:p w14:paraId="05BE3BD3">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r>
                    <w:rPr>
                      <w:rFonts w:hint="eastAsia" w:ascii="宋体" w:hAnsi="宋体" w:eastAsia="宋体" w:cs="宋体"/>
                      <w:color w:val="auto"/>
                      <w:szCs w:val="21"/>
                      <w:lang w:bidi="ar"/>
                    </w:rPr>
                    <w:t>第一次</w:t>
                  </w:r>
                </w:p>
              </w:tc>
              <w:tc>
                <w:tcPr>
                  <w:tcW w:w="1609" w:type="dxa"/>
                  <w:vMerge w:val="continue"/>
                  <w:tcBorders>
                    <w:top w:val="nil"/>
                    <w:left w:val="single" w:color="auto" w:sz="4" w:space="0"/>
                    <w:bottom w:val="single" w:color="auto" w:sz="4" w:space="0"/>
                    <w:right w:val="single" w:color="auto" w:sz="4" w:space="0"/>
                  </w:tcBorders>
                  <w:vAlign w:val="center"/>
                </w:tcPr>
                <w:p w14:paraId="6E09D0DC">
                  <w:pPr>
                    <w:keepNext w:val="0"/>
                    <w:keepLines w:val="0"/>
                    <w:suppressLineNumbers w:val="0"/>
                    <w:spacing w:before="0" w:beforeAutospacing="0" w:after="0" w:afterAutospacing="0"/>
                    <w:ind w:left="0" w:right="0"/>
                    <w:rPr>
                      <w:rFonts w:hint="default" w:ascii="Times New Roman" w:hAnsi="Times New Roman" w:cs="Times New Roman"/>
                      <w:color w:val="auto"/>
                      <w:sz w:val="20"/>
                      <w:szCs w:val="20"/>
                    </w:rPr>
                  </w:pPr>
                </w:p>
              </w:tc>
              <w:tc>
                <w:tcPr>
                  <w:tcW w:w="1450" w:type="dxa"/>
                  <w:vMerge w:val="restart"/>
                  <w:tcBorders>
                    <w:top w:val="nil"/>
                    <w:left w:val="single" w:color="auto" w:sz="4" w:space="0"/>
                    <w:bottom w:val="single" w:color="auto" w:sz="4" w:space="0"/>
                    <w:right w:val="single" w:color="auto" w:sz="4" w:space="0"/>
                  </w:tcBorders>
                  <w:vAlign w:val="center"/>
                </w:tcPr>
                <w:p w14:paraId="099E8581">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r>
                    <w:rPr>
                      <w:rFonts w:hint="eastAsia" w:ascii="宋体" w:hAnsi="宋体" w:eastAsia="宋体" w:cs="宋体"/>
                      <w:color w:val="auto"/>
                      <w:szCs w:val="21"/>
                      <w:lang w:bidi="ar"/>
                    </w:rPr>
                    <w:t>厂界下风向</w:t>
                  </w:r>
                  <w:r>
                    <w:rPr>
                      <w:rFonts w:hint="default" w:ascii="Times New Roman" w:hAnsi="Times New Roman" w:eastAsia="宋体" w:cs="Times New Roman"/>
                      <w:color w:val="auto"/>
                      <w:szCs w:val="21"/>
                      <w:lang w:bidi="ar"/>
                    </w:rPr>
                    <w:t>1</w:t>
                  </w:r>
                </w:p>
              </w:tc>
              <w:tc>
                <w:tcPr>
                  <w:tcW w:w="1450" w:type="dxa"/>
                  <w:tcBorders>
                    <w:top w:val="single" w:color="auto" w:sz="4" w:space="0"/>
                    <w:left w:val="single" w:color="auto" w:sz="4" w:space="0"/>
                    <w:bottom w:val="single" w:color="auto" w:sz="4" w:space="0"/>
                    <w:right w:val="single" w:color="auto" w:sz="4" w:space="0"/>
                  </w:tcBorders>
                  <w:vAlign w:val="center"/>
                </w:tcPr>
                <w:p w14:paraId="217469D3">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r>
                    <w:rPr>
                      <w:rFonts w:hint="eastAsia" w:ascii="宋体" w:hAnsi="宋体" w:eastAsia="宋体" w:cs="宋体"/>
                      <w:color w:val="auto"/>
                      <w:szCs w:val="21"/>
                      <w:lang w:bidi="ar"/>
                    </w:rPr>
                    <w:t>气</w:t>
                  </w:r>
                  <w:r>
                    <w:rPr>
                      <w:rFonts w:hint="default" w:ascii="Times New Roman" w:hAnsi="Times New Roman" w:eastAsia="宋体" w:cs="Times New Roman"/>
                      <w:color w:val="auto"/>
                      <w:szCs w:val="21"/>
                      <w:lang w:bidi="ar"/>
                    </w:rPr>
                    <w:t>251120110</w:t>
                  </w:r>
                </w:p>
              </w:tc>
              <w:tc>
                <w:tcPr>
                  <w:tcW w:w="1132" w:type="dxa"/>
                  <w:tcBorders>
                    <w:top w:val="single" w:color="auto" w:sz="4" w:space="0"/>
                    <w:left w:val="single" w:color="auto" w:sz="4" w:space="0"/>
                    <w:bottom w:val="single" w:color="auto" w:sz="4" w:space="0"/>
                    <w:right w:val="single" w:color="auto" w:sz="4" w:space="0"/>
                  </w:tcBorders>
                  <w:vAlign w:val="center"/>
                </w:tcPr>
                <w:p w14:paraId="0A0C93D4">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lang w:bidi="ar"/>
                    </w:rPr>
                    <w:t>300</w:t>
                  </w:r>
                </w:p>
              </w:tc>
            </w:tr>
            <w:tr w14:paraId="2ACD3C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1265" w:type="dxa"/>
                  <w:vMerge w:val="continue"/>
                  <w:tcBorders>
                    <w:top w:val="nil"/>
                    <w:left w:val="single" w:color="auto" w:sz="4" w:space="0"/>
                    <w:bottom w:val="single" w:color="auto" w:sz="4" w:space="0"/>
                    <w:right w:val="single" w:color="auto" w:sz="4" w:space="0"/>
                  </w:tcBorders>
                  <w:vAlign w:val="center"/>
                </w:tcPr>
                <w:p w14:paraId="6F88DEE8">
                  <w:pPr>
                    <w:keepNext w:val="0"/>
                    <w:keepLines w:val="0"/>
                    <w:suppressLineNumbers w:val="0"/>
                    <w:spacing w:before="0" w:beforeAutospacing="0" w:after="0" w:afterAutospacing="0"/>
                    <w:ind w:left="0" w:right="0"/>
                    <w:rPr>
                      <w:rFonts w:hint="default" w:ascii="Times New Roman" w:hAnsi="Times New Roman" w:cs="Times New Roman"/>
                      <w:color w:val="auto"/>
                      <w:sz w:val="20"/>
                      <w:szCs w:val="20"/>
                    </w:rPr>
                  </w:pPr>
                </w:p>
              </w:tc>
              <w:tc>
                <w:tcPr>
                  <w:tcW w:w="1269" w:type="dxa"/>
                  <w:tcBorders>
                    <w:top w:val="single" w:color="auto" w:sz="4" w:space="0"/>
                    <w:left w:val="single" w:color="auto" w:sz="4" w:space="0"/>
                    <w:bottom w:val="single" w:color="auto" w:sz="4" w:space="0"/>
                    <w:right w:val="single" w:color="auto" w:sz="4" w:space="0"/>
                  </w:tcBorders>
                  <w:vAlign w:val="center"/>
                </w:tcPr>
                <w:p w14:paraId="70DC54E7">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r>
                    <w:rPr>
                      <w:rFonts w:hint="eastAsia" w:ascii="宋体" w:hAnsi="宋体" w:eastAsia="宋体" w:cs="宋体"/>
                      <w:color w:val="auto"/>
                      <w:szCs w:val="21"/>
                      <w:lang w:bidi="ar"/>
                    </w:rPr>
                    <w:t>第二次</w:t>
                  </w:r>
                </w:p>
              </w:tc>
              <w:tc>
                <w:tcPr>
                  <w:tcW w:w="1609" w:type="dxa"/>
                  <w:vMerge w:val="continue"/>
                  <w:tcBorders>
                    <w:top w:val="nil"/>
                    <w:left w:val="single" w:color="auto" w:sz="4" w:space="0"/>
                    <w:bottom w:val="single" w:color="auto" w:sz="4" w:space="0"/>
                    <w:right w:val="single" w:color="auto" w:sz="4" w:space="0"/>
                  </w:tcBorders>
                  <w:vAlign w:val="center"/>
                </w:tcPr>
                <w:p w14:paraId="4FB20E0A">
                  <w:pPr>
                    <w:keepNext w:val="0"/>
                    <w:keepLines w:val="0"/>
                    <w:suppressLineNumbers w:val="0"/>
                    <w:spacing w:before="0" w:beforeAutospacing="0" w:after="0" w:afterAutospacing="0"/>
                    <w:ind w:left="0" w:right="0"/>
                    <w:rPr>
                      <w:rFonts w:hint="default" w:ascii="Times New Roman" w:hAnsi="Times New Roman" w:cs="Times New Roman"/>
                      <w:color w:val="auto"/>
                      <w:sz w:val="20"/>
                      <w:szCs w:val="20"/>
                    </w:rPr>
                  </w:pPr>
                </w:p>
              </w:tc>
              <w:tc>
                <w:tcPr>
                  <w:tcW w:w="1450" w:type="dxa"/>
                  <w:vMerge w:val="continue"/>
                  <w:tcBorders>
                    <w:top w:val="nil"/>
                    <w:left w:val="single" w:color="auto" w:sz="4" w:space="0"/>
                    <w:bottom w:val="single" w:color="auto" w:sz="4" w:space="0"/>
                    <w:right w:val="single" w:color="auto" w:sz="4" w:space="0"/>
                  </w:tcBorders>
                  <w:vAlign w:val="center"/>
                </w:tcPr>
                <w:p w14:paraId="7CD173AA">
                  <w:pPr>
                    <w:keepNext w:val="0"/>
                    <w:keepLines w:val="0"/>
                    <w:suppressLineNumbers w:val="0"/>
                    <w:spacing w:before="0" w:beforeAutospacing="0" w:after="0" w:afterAutospacing="0"/>
                    <w:ind w:left="0" w:right="0"/>
                    <w:rPr>
                      <w:rFonts w:hint="default" w:ascii="Times New Roman" w:hAnsi="Times New Roman" w:cs="Times New Roman"/>
                      <w:color w:val="auto"/>
                      <w:sz w:val="20"/>
                      <w:szCs w:val="20"/>
                    </w:rPr>
                  </w:pPr>
                </w:p>
              </w:tc>
              <w:tc>
                <w:tcPr>
                  <w:tcW w:w="1450" w:type="dxa"/>
                  <w:tcBorders>
                    <w:top w:val="single" w:color="auto" w:sz="4" w:space="0"/>
                    <w:left w:val="single" w:color="auto" w:sz="4" w:space="0"/>
                    <w:bottom w:val="single" w:color="auto" w:sz="4" w:space="0"/>
                    <w:right w:val="single" w:color="auto" w:sz="4" w:space="0"/>
                  </w:tcBorders>
                  <w:vAlign w:val="center"/>
                </w:tcPr>
                <w:p w14:paraId="0A4F3F64">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r>
                    <w:rPr>
                      <w:rFonts w:hint="eastAsia" w:ascii="宋体" w:hAnsi="宋体" w:eastAsia="宋体" w:cs="宋体"/>
                      <w:color w:val="auto"/>
                      <w:szCs w:val="21"/>
                      <w:lang w:bidi="ar"/>
                    </w:rPr>
                    <w:t>气</w:t>
                  </w:r>
                  <w:r>
                    <w:rPr>
                      <w:rFonts w:hint="default" w:ascii="Times New Roman" w:hAnsi="Times New Roman" w:eastAsia="宋体" w:cs="Times New Roman"/>
                      <w:color w:val="auto"/>
                      <w:szCs w:val="21"/>
                      <w:lang w:bidi="ar"/>
                    </w:rPr>
                    <w:t>251120111</w:t>
                  </w:r>
                </w:p>
              </w:tc>
              <w:tc>
                <w:tcPr>
                  <w:tcW w:w="1132" w:type="dxa"/>
                  <w:tcBorders>
                    <w:top w:val="single" w:color="auto" w:sz="4" w:space="0"/>
                    <w:left w:val="single" w:color="auto" w:sz="4" w:space="0"/>
                    <w:bottom w:val="single" w:color="auto" w:sz="4" w:space="0"/>
                    <w:right w:val="single" w:color="auto" w:sz="4" w:space="0"/>
                  </w:tcBorders>
                  <w:vAlign w:val="center"/>
                </w:tcPr>
                <w:p w14:paraId="1D3F91E8">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lang w:bidi="ar"/>
                    </w:rPr>
                    <w:t>291</w:t>
                  </w:r>
                </w:p>
              </w:tc>
            </w:tr>
            <w:tr w14:paraId="4E2722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1265" w:type="dxa"/>
                  <w:vMerge w:val="continue"/>
                  <w:tcBorders>
                    <w:top w:val="nil"/>
                    <w:left w:val="single" w:color="auto" w:sz="4" w:space="0"/>
                    <w:bottom w:val="single" w:color="auto" w:sz="4" w:space="0"/>
                    <w:right w:val="single" w:color="auto" w:sz="4" w:space="0"/>
                  </w:tcBorders>
                  <w:vAlign w:val="center"/>
                </w:tcPr>
                <w:p w14:paraId="1E85EFEE">
                  <w:pPr>
                    <w:keepNext w:val="0"/>
                    <w:keepLines w:val="0"/>
                    <w:suppressLineNumbers w:val="0"/>
                    <w:spacing w:before="0" w:beforeAutospacing="0" w:after="0" w:afterAutospacing="0"/>
                    <w:ind w:left="0" w:right="0"/>
                    <w:rPr>
                      <w:rFonts w:hint="default" w:ascii="Times New Roman" w:hAnsi="Times New Roman" w:cs="Times New Roman"/>
                      <w:color w:val="auto"/>
                      <w:sz w:val="20"/>
                      <w:szCs w:val="20"/>
                    </w:rPr>
                  </w:pPr>
                </w:p>
              </w:tc>
              <w:tc>
                <w:tcPr>
                  <w:tcW w:w="1269" w:type="dxa"/>
                  <w:tcBorders>
                    <w:top w:val="single" w:color="auto" w:sz="4" w:space="0"/>
                    <w:left w:val="single" w:color="auto" w:sz="4" w:space="0"/>
                    <w:bottom w:val="single" w:color="auto" w:sz="4" w:space="0"/>
                    <w:right w:val="single" w:color="auto" w:sz="4" w:space="0"/>
                  </w:tcBorders>
                  <w:vAlign w:val="center"/>
                </w:tcPr>
                <w:p w14:paraId="13524732">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r>
                    <w:rPr>
                      <w:rFonts w:hint="eastAsia" w:ascii="宋体" w:hAnsi="宋体" w:eastAsia="宋体" w:cs="宋体"/>
                      <w:color w:val="auto"/>
                      <w:szCs w:val="21"/>
                      <w:lang w:bidi="ar"/>
                    </w:rPr>
                    <w:t>第三次</w:t>
                  </w:r>
                </w:p>
              </w:tc>
              <w:tc>
                <w:tcPr>
                  <w:tcW w:w="1609" w:type="dxa"/>
                  <w:vMerge w:val="continue"/>
                  <w:tcBorders>
                    <w:top w:val="nil"/>
                    <w:left w:val="single" w:color="auto" w:sz="4" w:space="0"/>
                    <w:bottom w:val="single" w:color="auto" w:sz="4" w:space="0"/>
                    <w:right w:val="single" w:color="auto" w:sz="4" w:space="0"/>
                  </w:tcBorders>
                  <w:vAlign w:val="center"/>
                </w:tcPr>
                <w:p w14:paraId="5681F273">
                  <w:pPr>
                    <w:keepNext w:val="0"/>
                    <w:keepLines w:val="0"/>
                    <w:suppressLineNumbers w:val="0"/>
                    <w:spacing w:before="0" w:beforeAutospacing="0" w:after="0" w:afterAutospacing="0"/>
                    <w:ind w:left="0" w:right="0"/>
                    <w:rPr>
                      <w:rFonts w:hint="default" w:ascii="Times New Roman" w:hAnsi="Times New Roman" w:cs="Times New Roman"/>
                      <w:color w:val="auto"/>
                      <w:sz w:val="20"/>
                      <w:szCs w:val="20"/>
                    </w:rPr>
                  </w:pPr>
                </w:p>
              </w:tc>
              <w:tc>
                <w:tcPr>
                  <w:tcW w:w="1450" w:type="dxa"/>
                  <w:vMerge w:val="continue"/>
                  <w:tcBorders>
                    <w:top w:val="nil"/>
                    <w:left w:val="single" w:color="auto" w:sz="4" w:space="0"/>
                    <w:bottom w:val="single" w:color="auto" w:sz="4" w:space="0"/>
                    <w:right w:val="single" w:color="auto" w:sz="4" w:space="0"/>
                  </w:tcBorders>
                  <w:vAlign w:val="center"/>
                </w:tcPr>
                <w:p w14:paraId="523F02D6">
                  <w:pPr>
                    <w:keepNext w:val="0"/>
                    <w:keepLines w:val="0"/>
                    <w:suppressLineNumbers w:val="0"/>
                    <w:spacing w:before="0" w:beforeAutospacing="0" w:after="0" w:afterAutospacing="0"/>
                    <w:ind w:left="0" w:right="0"/>
                    <w:rPr>
                      <w:rFonts w:hint="default" w:ascii="Times New Roman" w:hAnsi="Times New Roman" w:cs="Times New Roman"/>
                      <w:color w:val="auto"/>
                      <w:sz w:val="20"/>
                      <w:szCs w:val="20"/>
                    </w:rPr>
                  </w:pPr>
                </w:p>
              </w:tc>
              <w:tc>
                <w:tcPr>
                  <w:tcW w:w="1450" w:type="dxa"/>
                  <w:tcBorders>
                    <w:top w:val="single" w:color="auto" w:sz="4" w:space="0"/>
                    <w:left w:val="single" w:color="auto" w:sz="4" w:space="0"/>
                    <w:bottom w:val="single" w:color="auto" w:sz="4" w:space="0"/>
                    <w:right w:val="single" w:color="auto" w:sz="4" w:space="0"/>
                  </w:tcBorders>
                  <w:vAlign w:val="center"/>
                </w:tcPr>
                <w:p w14:paraId="565CBC82">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r>
                    <w:rPr>
                      <w:rFonts w:hint="eastAsia" w:ascii="宋体" w:hAnsi="宋体" w:eastAsia="宋体" w:cs="宋体"/>
                      <w:color w:val="auto"/>
                      <w:szCs w:val="21"/>
                      <w:lang w:bidi="ar"/>
                    </w:rPr>
                    <w:t>气</w:t>
                  </w:r>
                  <w:r>
                    <w:rPr>
                      <w:rFonts w:hint="default" w:ascii="Times New Roman" w:hAnsi="Times New Roman" w:eastAsia="宋体" w:cs="Times New Roman"/>
                      <w:color w:val="auto"/>
                      <w:szCs w:val="21"/>
                      <w:lang w:bidi="ar"/>
                    </w:rPr>
                    <w:t>251120112</w:t>
                  </w:r>
                </w:p>
              </w:tc>
              <w:tc>
                <w:tcPr>
                  <w:tcW w:w="1132" w:type="dxa"/>
                  <w:tcBorders>
                    <w:top w:val="single" w:color="auto" w:sz="4" w:space="0"/>
                    <w:left w:val="single" w:color="auto" w:sz="4" w:space="0"/>
                    <w:bottom w:val="single" w:color="auto" w:sz="4" w:space="0"/>
                    <w:right w:val="single" w:color="auto" w:sz="4" w:space="0"/>
                  </w:tcBorders>
                  <w:vAlign w:val="center"/>
                </w:tcPr>
                <w:p w14:paraId="3EB8AF3A">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lang w:bidi="ar"/>
                    </w:rPr>
                    <w:t>289</w:t>
                  </w:r>
                </w:p>
              </w:tc>
            </w:tr>
            <w:tr w14:paraId="328D0F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1265" w:type="dxa"/>
                  <w:vMerge w:val="continue"/>
                  <w:tcBorders>
                    <w:top w:val="nil"/>
                    <w:left w:val="single" w:color="auto" w:sz="4" w:space="0"/>
                    <w:bottom w:val="single" w:color="auto" w:sz="4" w:space="0"/>
                    <w:right w:val="single" w:color="auto" w:sz="4" w:space="0"/>
                  </w:tcBorders>
                  <w:vAlign w:val="center"/>
                </w:tcPr>
                <w:p w14:paraId="4E5FBD8E">
                  <w:pPr>
                    <w:keepNext w:val="0"/>
                    <w:keepLines w:val="0"/>
                    <w:suppressLineNumbers w:val="0"/>
                    <w:spacing w:before="0" w:beforeAutospacing="0" w:after="0" w:afterAutospacing="0"/>
                    <w:ind w:left="0" w:right="0"/>
                    <w:rPr>
                      <w:rFonts w:hint="default" w:ascii="Times New Roman" w:hAnsi="Times New Roman" w:cs="Times New Roman"/>
                      <w:color w:val="auto"/>
                      <w:sz w:val="20"/>
                      <w:szCs w:val="20"/>
                    </w:rPr>
                  </w:pPr>
                </w:p>
              </w:tc>
              <w:tc>
                <w:tcPr>
                  <w:tcW w:w="1269" w:type="dxa"/>
                  <w:tcBorders>
                    <w:top w:val="single" w:color="auto" w:sz="4" w:space="0"/>
                    <w:left w:val="single" w:color="auto" w:sz="4" w:space="0"/>
                    <w:bottom w:val="single" w:color="auto" w:sz="4" w:space="0"/>
                    <w:right w:val="single" w:color="auto" w:sz="4" w:space="0"/>
                  </w:tcBorders>
                  <w:vAlign w:val="center"/>
                </w:tcPr>
                <w:p w14:paraId="49F7DF41">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r>
                    <w:rPr>
                      <w:rFonts w:hint="eastAsia" w:ascii="宋体" w:hAnsi="宋体" w:eastAsia="宋体" w:cs="宋体"/>
                      <w:color w:val="auto"/>
                      <w:szCs w:val="21"/>
                      <w:lang w:bidi="ar"/>
                    </w:rPr>
                    <w:t>第一次</w:t>
                  </w:r>
                </w:p>
              </w:tc>
              <w:tc>
                <w:tcPr>
                  <w:tcW w:w="1609" w:type="dxa"/>
                  <w:vMerge w:val="continue"/>
                  <w:tcBorders>
                    <w:top w:val="nil"/>
                    <w:left w:val="single" w:color="auto" w:sz="4" w:space="0"/>
                    <w:bottom w:val="single" w:color="auto" w:sz="4" w:space="0"/>
                    <w:right w:val="single" w:color="auto" w:sz="4" w:space="0"/>
                  </w:tcBorders>
                  <w:vAlign w:val="center"/>
                </w:tcPr>
                <w:p w14:paraId="453CA551">
                  <w:pPr>
                    <w:keepNext w:val="0"/>
                    <w:keepLines w:val="0"/>
                    <w:suppressLineNumbers w:val="0"/>
                    <w:spacing w:before="0" w:beforeAutospacing="0" w:after="0" w:afterAutospacing="0"/>
                    <w:ind w:left="0" w:right="0"/>
                    <w:rPr>
                      <w:rFonts w:hint="default" w:ascii="Times New Roman" w:hAnsi="Times New Roman" w:cs="Times New Roman"/>
                      <w:color w:val="auto"/>
                      <w:sz w:val="20"/>
                      <w:szCs w:val="20"/>
                    </w:rPr>
                  </w:pPr>
                </w:p>
              </w:tc>
              <w:tc>
                <w:tcPr>
                  <w:tcW w:w="1450" w:type="dxa"/>
                  <w:vMerge w:val="restart"/>
                  <w:tcBorders>
                    <w:top w:val="nil"/>
                    <w:left w:val="single" w:color="auto" w:sz="4" w:space="0"/>
                    <w:bottom w:val="single" w:color="auto" w:sz="4" w:space="0"/>
                    <w:right w:val="single" w:color="auto" w:sz="4" w:space="0"/>
                  </w:tcBorders>
                  <w:vAlign w:val="center"/>
                </w:tcPr>
                <w:p w14:paraId="429EF30F">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r>
                    <w:rPr>
                      <w:rFonts w:hint="eastAsia" w:ascii="宋体" w:hAnsi="宋体" w:eastAsia="宋体" w:cs="宋体"/>
                      <w:color w:val="auto"/>
                      <w:szCs w:val="21"/>
                      <w:lang w:bidi="ar"/>
                    </w:rPr>
                    <w:t>厂界下风向</w:t>
                  </w:r>
                  <w:r>
                    <w:rPr>
                      <w:rFonts w:hint="default" w:ascii="Times New Roman" w:hAnsi="Times New Roman" w:eastAsia="宋体" w:cs="Times New Roman"/>
                      <w:color w:val="auto"/>
                      <w:szCs w:val="21"/>
                      <w:lang w:bidi="ar"/>
                    </w:rPr>
                    <w:t>2</w:t>
                  </w:r>
                </w:p>
              </w:tc>
              <w:tc>
                <w:tcPr>
                  <w:tcW w:w="1450" w:type="dxa"/>
                  <w:tcBorders>
                    <w:top w:val="single" w:color="auto" w:sz="4" w:space="0"/>
                    <w:left w:val="single" w:color="auto" w:sz="4" w:space="0"/>
                    <w:bottom w:val="single" w:color="auto" w:sz="4" w:space="0"/>
                    <w:right w:val="single" w:color="auto" w:sz="4" w:space="0"/>
                  </w:tcBorders>
                  <w:vAlign w:val="center"/>
                </w:tcPr>
                <w:p w14:paraId="66DF7019">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r>
                    <w:rPr>
                      <w:rFonts w:hint="eastAsia" w:ascii="宋体" w:hAnsi="宋体" w:eastAsia="宋体" w:cs="宋体"/>
                      <w:color w:val="auto"/>
                      <w:szCs w:val="21"/>
                      <w:lang w:bidi="ar"/>
                    </w:rPr>
                    <w:t>气</w:t>
                  </w:r>
                  <w:r>
                    <w:rPr>
                      <w:rFonts w:hint="default" w:ascii="Times New Roman" w:hAnsi="Times New Roman" w:eastAsia="宋体" w:cs="Times New Roman"/>
                      <w:color w:val="auto"/>
                      <w:szCs w:val="21"/>
                      <w:lang w:bidi="ar"/>
                    </w:rPr>
                    <w:t>251120113</w:t>
                  </w:r>
                </w:p>
              </w:tc>
              <w:tc>
                <w:tcPr>
                  <w:tcW w:w="1132" w:type="dxa"/>
                  <w:tcBorders>
                    <w:top w:val="single" w:color="auto" w:sz="4" w:space="0"/>
                    <w:left w:val="single" w:color="auto" w:sz="4" w:space="0"/>
                    <w:bottom w:val="single" w:color="auto" w:sz="4" w:space="0"/>
                    <w:right w:val="single" w:color="auto" w:sz="4" w:space="0"/>
                  </w:tcBorders>
                  <w:vAlign w:val="center"/>
                </w:tcPr>
                <w:p w14:paraId="24DC4D45">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lang w:bidi="ar"/>
                    </w:rPr>
                    <w:t>307</w:t>
                  </w:r>
                </w:p>
              </w:tc>
            </w:tr>
            <w:tr w14:paraId="6D33D1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1265" w:type="dxa"/>
                  <w:vMerge w:val="continue"/>
                  <w:tcBorders>
                    <w:top w:val="nil"/>
                    <w:left w:val="single" w:color="auto" w:sz="4" w:space="0"/>
                    <w:bottom w:val="single" w:color="auto" w:sz="4" w:space="0"/>
                    <w:right w:val="single" w:color="auto" w:sz="4" w:space="0"/>
                  </w:tcBorders>
                  <w:vAlign w:val="center"/>
                </w:tcPr>
                <w:p w14:paraId="68A807D4">
                  <w:pPr>
                    <w:keepNext w:val="0"/>
                    <w:keepLines w:val="0"/>
                    <w:suppressLineNumbers w:val="0"/>
                    <w:spacing w:before="0" w:beforeAutospacing="0" w:after="0" w:afterAutospacing="0"/>
                    <w:ind w:left="0" w:right="0"/>
                    <w:rPr>
                      <w:rFonts w:hint="default" w:ascii="Times New Roman" w:hAnsi="Times New Roman" w:cs="Times New Roman"/>
                      <w:color w:val="auto"/>
                      <w:sz w:val="20"/>
                      <w:szCs w:val="20"/>
                    </w:rPr>
                  </w:pPr>
                </w:p>
              </w:tc>
              <w:tc>
                <w:tcPr>
                  <w:tcW w:w="1269" w:type="dxa"/>
                  <w:tcBorders>
                    <w:top w:val="single" w:color="auto" w:sz="4" w:space="0"/>
                    <w:left w:val="single" w:color="auto" w:sz="4" w:space="0"/>
                    <w:bottom w:val="single" w:color="auto" w:sz="4" w:space="0"/>
                    <w:right w:val="single" w:color="auto" w:sz="4" w:space="0"/>
                  </w:tcBorders>
                  <w:vAlign w:val="center"/>
                </w:tcPr>
                <w:p w14:paraId="114133F9">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r>
                    <w:rPr>
                      <w:rFonts w:hint="eastAsia" w:ascii="宋体" w:hAnsi="宋体" w:eastAsia="宋体" w:cs="宋体"/>
                      <w:color w:val="auto"/>
                      <w:szCs w:val="21"/>
                      <w:lang w:bidi="ar"/>
                    </w:rPr>
                    <w:t>第二次</w:t>
                  </w:r>
                </w:p>
              </w:tc>
              <w:tc>
                <w:tcPr>
                  <w:tcW w:w="1609" w:type="dxa"/>
                  <w:vMerge w:val="continue"/>
                  <w:tcBorders>
                    <w:top w:val="nil"/>
                    <w:left w:val="single" w:color="auto" w:sz="4" w:space="0"/>
                    <w:bottom w:val="single" w:color="auto" w:sz="4" w:space="0"/>
                    <w:right w:val="single" w:color="auto" w:sz="4" w:space="0"/>
                  </w:tcBorders>
                  <w:vAlign w:val="center"/>
                </w:tcPr>
                <w:p w14:paraId="0D7396C6">
                  <w:pPr>
                    <w:keepNext w:val="0"/>
                    <w:keepLines w:val="0"/>
                    <w:suppressLineNumbers w:val="0"/>
                    <w:spacing w:before="0" w:beforeAutospacing="0" w:after="0" w:afterAutospacing="0"/>
                    <w:ind w:left="0" w:right="0"/>
                    <w:rPr>
                      <w:rFonts w:hint="default" w:ascii="Times New Roman" w:hAnsi="Times New Roman" w:cs="Times New Roman"/>
                      <w:color w:val="auto"/>
                      <w:sz w:val="20"/>
                      <w:szCs w:val="20"/>
                    </w:rPr>
                  </w:pPr>
                </w:p>
              </w:tc>
              <w:tc>
                <w:tcPr>
                  <w:tcW w:w="1450" w:type="dxa"/>
                  <w:vMerge w:val="continue"/>
                  <w:tcBorders>
                    <w:top w:val="nil"/>
                    <w:left w:val="single" w:color="auto" w:sz="4" w:space="0"/>
                    <w:bottom w:val="single" w:color="auto" w:sz="4" w:space="0"/>
                    <w:right w:val="single" w:color="auto" w:sz="4" w:space="0"/>
                  </w:tcBorders>
                  <w:vAlign w:val="center"/>
                </w:tcPr>
                <w:p w14:paraId="266BF011">
                  <w:pPr>
                    <w:keepNext w:val="0"/>
                    <w:keepLines w:val="0"/>
                    <w:suppressLineNumbers w:val="0"/>
                    <w:spacing w:before="0" w:beforeAutospacing="0" w:after="0" w:afterAutospacing="0"/>
                    <w:ind w:left="0" w:right="0"/>
                    <w:rPr>
                      <w:rFonts w:hint="default" w:ascii="Times New Roman" w:hAnsi="Times New Roman" w:cs="Times New Roman"/>
                      <w:color w:val="auto"/>
                      <w:sz w:val="20"/>
                      <w:szCs w:val="20"/>
                    </w:rPr>
                  </w:pPr>
                </w:p>
              </w:tc>
              <w:tc>
                <w:tcPr>
                  <w:tcW w:w="1450" w:type="dxa"/>
                  <w:tcBorders>
                    <w:top w:val="single" w:color="auto" w:sz="4" w:space="0"/>
                    <w:left w:val="single" w:color="auto" w:sz="4" w:space="0"/>
                    <w:bottom w:val="single" w:color="auto" w:sz="4" w:space="0"/>
                    <w:right w:val="single" w:color="auto" w:sz="4" w:space="0"/>
                  </w:tcBorders>
                  <w:vAlign w:val="center"/>
                </w:tcPr>
                <w:p w14:paraId="15E57041">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r>
                    <w:rPr>
                      <w:rFonts w:hint="eastAsia" w:ascii="宋体" w:hAnsi="宋体" w:eastAsia="宋体" w:cs="宋体"/>
                      <w:color w:val="auto"/>
                      <w:szCs w:val="21"/>
                      <w:lang w:bidi="ar"/>
                    </w:rPr>
                    <w:t>气</w:t>
                  </w:r>
                  <w:r>
                    <w:rPr>
                      <w:rFonts w:hint="default" w:ascii="Times New Roman" w:hAnsi="Times New Roman" w:eastAsia="宋体" w:cs="Times New Roman"/>
                      <w:color w:val="auto"/>
                      <w:szCs w:val="21"/>
                      <w:lang w:bidi="ar"/>
                    </w:rPr>
                    <w:t>251120114</w:t>
                  </w:r>
                </w:p>
              </w:tc>
              <w:tc>
                <w:tcPr>
                  <w:tcW w:w="1132" w:type="dxa"/>
                  <w:tcBorders>
                    <w:top w:val="single" w:color="auto" w:sz="4" w:space="0"/>
                    <w:left w:val="single" w:color="auto" w:sz="4" w:space="0"/>
                    <w:bottom w:val="single" w:color="auto" w:sz="4" w:space="0"/>
                    <w:right w:val="single" w:color="auto" w:sz="4" w:space="0"/>
                  </w:tcBorders>
                  <w:vAlign w:val="center"/>
                </w:tcPr>
                <w:p w14:paraId="1E102A4F">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lang w:bidi="ar"/>
                    </w:rPr>
                    <w:t>298</w:t>
                  </w:r>
                </w:p>
              </w:tc>
            </w:tr>
            <w:tr w14:paraId="7AA98C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1265" w:type="dxa"/>
                  <w:vMerge w:val="continue"/>
                  <w:tcBorders>
                    <w:top w:val="nil"/>
                    <w:left w:val="single" w:color="auto" w:sz="4" w:space="0"/>
                    <w:bottom w:val="single" w:color="auto" w:sz="4" w:space="0"/>
                    <w:right w:val="single" w:color="auto" w:sz="4" w:space="0"/>
                  </w:tcBorders>
                  <w:vAlign w:val="center"/>
                </w:tcPr>
                <w:p w14:paraId="77EA637B">
                  <w:pPr>
                    <w:keepNext w:val="0"/>
                    <w:keepLines w:val="0"/>
                    <w:suppressLineNumbers w:val="0"/>
                    <w:spacing w:before="0" w:beforeAutospacing="0" w:after="0" w:afterAutospacing="0"/>
                    <w:ind w:left="0" w:right="0"/>
                    <w:rPr>
                      <w:rFonts w:hint="default" w:ascii="Times New Roman" w:hAnsi="Times New Roman" w:cs="Times New Roman"/>
                      <w:color w:val="auto"/>
                      <w:sz w:val="20"/>
                      <w:szCs w:val="20"/>
                    </w:rPr>
                  </w:pPr>
                </w:p>
              </w:tc>
              <w:tc>
                <w:tcPr>
                  <w:tcW w:w="1269" w:type="dxa"/>
                  <w:tcBorders>
                    <w:top w:val="single" w:color="auto" w:sz="4" w:space="0"/>
                    <w:left w:val="single" w:color="auto" w:sz="4" w:space="0"/>
                    <w:bottom w:val="single" w:color="auto" w:sz="4" w:space="0"/>
                    <w:right w:val="single" w:color="auto" w:sz="4" w:space="0"/>
                  </w:tcBorders>
                  <w:vAlign w:val="center"/>
                </w:tcPr>
                <w:p w14:paraId="75F761FD">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r>
                    <w:rPr>
                      <w:rFonts w:hint="eastAsia" w:ascii="宋体" w:hAnsi="宋体" w:eastAsia="宋体" w:cs="宋体"/>
                      <w:color w:val="auto"/>
                      <w:szCs w:val="21"/>
                      <w:lang w:bidi="ar"/>
                    </w:rPr>
                    <w:t>第三次</w:t>
                  </w:r>
                </w:p>
              </w:tc>
              <w:tc>
                <w:tcPr>
                  <w:tcW w:w="1609" w:type="dxa"/>
                  <w:vMerge w:val="continue"/>
                  <w:tcBorders>
                    <w:top w:val="nil"/>
                    <w:left w:val="single" w:color="auto" w:sz="4" w:space="0"/>
                    <w:bottom w:val="single" w:color="auto" w:sz="4" w:space="0"/>
                    <w:right w:val="single" w:color="auto" w:sz="4" w:space="0"/>
                  </w:tcBorders>
                  <w:vAlign w:val="center"/>
                </w:tcPr>
                <w:p w14:paraId="2E770DF0">
                  <w:pPr>
                    <w:keepNext w:val="0"/>
                    <w:keepLines w:val="0"/>
                    <w:suppressLineNumbers w:val="0"/>
                    <w:spacing w:before="0" w:beforeAutospacing="0" w:after="0" w:afterAutospacing="0"/>
                    <w:ind w:left="0" w:right="0"/>
                    <w:rPr>
                      <w:rFonts w:hint="default" w:ascii="Times New Roman" w:hAnsi="Times New Roman" w:cs="Times New Roman"/>
                      <w:color w:val="auto"/>
                      <w:sz w:val="20"/>
                      <w:szCs w:val="20"/>
                    </w:rPr>
                  </w:pPr>
                </w:p>
              </w:tc>
              <w:tc>
                <w:tcPr>
                  <w:tcW w:w="1450" w:type="dxa"/>
                  <w:vMerge w:val="continue"/>
                  <w:tcBorders>
                    <w:top w:val="nil"/>
                    <w:left w:val="single" w:color="auto" w:sz="4" w:space="0"/>
                    <w:bottom w:val="single" w:color="auto" w:sz="4" w:space="0"/>
                    <w:right w:val="single" w:color="auto" w:sz="4" w:space="0"/>
                  </w:tcBorders>
                  <w:vAlign w:val="center"/>
                </w:tcPr>
                <w:p w14:paraId="285E80BD">
                  <w:pPr>
                    <w:keepNext w:val="0"/>
                    <w:keepLines w:val="0"/>
                    <w:suppressLineNumbers w:val="0"/>
                    <w:spacing w:before="0" w:beforeAutospacing="0" w:after="0" w:afterAutospacing="0"/>
                    <w:ind w:left="0" w:right="0"/>
                    <w:rPr>
                      <w:rFonts w:hint="default" w:ascii="Times New Roman" w:hAnsi="Times New Roman" w:cs="Times New Roman"/>
                      <w:color w:val="auto"/>
                      <w:sz w:val="20"/>
                      <w:szCs w:val="20"/>
                    </w:rPr>
                  </w:pPr>
                </w:p>
              </w:tc>
              <w:tc>
                <w:tcPr>
                  <w:tcW w:w="1450" w:type="dxa"/>
                  <w:tcBorders>
                    <w:top w:val="single" w:color="auto" w:sz="4" w:space="0"/>
                    <w:left w:val="single" w:color="auto" w:sz="4" w:space="0"/>
                    <w:bottom w:val="single" w:color="auto" w:sz="4" w:space="0"/>
                    <w:right w:val="single" w:color="auto" w:sz="4" w:space="0"/>
                  </w:tcBorders>
                  <w:vAlign w:val="center"/>
                </w:tcPr>
                <w:p w14:paraId="4C7D9040">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r>
                    <w:rPr>
                      <w:rFonts w:hint="eastAsia" w:ascii="宋体" w:hAnsi="宋体" w:eastAsia="宋体" w:cs="宋体"/>
                      <w:color w:val="auto"/>
                      <w:szCs w:val="21"/>
                      <w:lang w:bidi="ar"/>
                    </w:rPr>
                    <w:t>气</w:t>
                  </w:r>
                  <w:r>
                    <w:rPr>
                      <w:rFonts w:hint="default" w:ascii="Times New Roman" w:hAnsi="Times New Roman" w:eastAsia="宋体" w:cs="Times New Roman"/>
                      <w:color w:val="auto"/>
                      <w:szCs w:val="21"/>
                      <w:lang w:bidi="ar"/>
                    </w:rPr>
                    <w:t>251120115</w:t>
                  </w:r>
                </w:p>
              </w:tc>
              <w:tc>
                <w:tcPr>
                  <w:tcW w:w="1132" w:type="dxa"/>
                  <w:tcBorders>
                    <w:top w:val="single" w:color="auto" w:sz="4" w:space="0"/>
                    <w:left w:val="single" w:color="auto" w:sz="4" w:space="0"/>
                    <w:bottom w:val="single" w:color="auto" w:sz="4" w:space="0"/>
                    <w:right w:val="single" w:color="auto" w:sz="4" w:space="0"/>
                  </w:tcBorders>
                  <w:vAlign w:val="center"/>
                </w:tcPr>
                <w:p w14:paraId="0813CCEE">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lang w:bidi="ar"/>
                    </w:rPr>
                    <w:t>313</w:t>
                  </w:r>
                </w:p>
              </w:tc>
            </w:tr>
            <w:tr w14:paraId="691DB2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1265" w:type="dxa"/>
                  <w:vMerge w:val="continue"/>
                  <w:tcBorders>
                    <w:top w:val="nil"/>
                    <w:left w:val="single" w:color="auto" w:sz="4" w:space="0"/>
                    <w:bottom w:val="single" w:color="auto" w:sz="4" w:space="0"/>
                    <w:right w:val="single" w:color="auto" w:sz="4" w:space="0"/>
                  </w:tcBorders>
                  <w:vAlign w:val="center"/>
                </w:tcPr>
                <w:p w14:paraId="55837DA8">
                  <w:pPr>
                    <w:keepNext w:val="0"/>
                    <w:keepLines w:val="0"/>
                    <w:suppressLineNumbers w:val="0"/>
                    <w:spacing w:before="0" w:beforeAutospacing="0" w:after="0" w:afterAutospacing="0"/>
                    <w:ind w:left="0" w:right="0"/>
                    <w:rPr>
                      <w:rFonts w:hint="default" w:ascii="Times New Roman" w:hAnsi="Times New Roman" w:cs="Times New Roman"/>
                      <w:color w:val="auto"/>
                      <w:sz w:val="20"/>
                      <w:szCs w:val="20"/>
                    </w:rPr>
                  </w:pPr>
                </w:p>
              </w:tc>
              <w:tc>
                <w:tcPr>
                  <w:tcW w:w="1269" w:type="dxa"/>
                  <w:tcBorders>
                    <w:top w:val="single" w:color="auto" w:sz="4" w:space="0"/>
                    <w:left w:val="single" w:color="auto" w:sz="4" w:space="0"/>
                    <w:bottom w:val="single" w:color="auto" w:sz="4" w:space="0"/>
                    <w:right w:val="single" w:color="auto" w:sz="4" w:space="0"/>
                  </w:tcBorders>
                  <w:vAlign w:val="center"/>
                </w:tcPr>
                <w:p w14:paraId="3078792A">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r>
                    <w:rPr>
                      <w:rFonts w:hint="eastAsia" w:ascii="宋体" w:hAnsi="宋体" w:eastAsia="宋体" w:cs="宋体"/>
                      <w:color w:val="auto"/>
                      <w:szCs w:val="21"/>
                      <w:lang w:bidi="ar"/>
                    </w:rPr>
                    <w:t>第一次</w:t>
                  </w:r>
                </w:p>
              </w:tc>
              <w:tc>
                <w:tcPr>
                  <w:tcW w:w="1609" w:type="dxa"/>
                  <w:vMerge w:val="continue"/>
                  <w:tcBorders>
                    <w:top w:val="nil"/>
                    <w:left w:val="single" w:color="auto" w:sz="4" w:space="0"/>
                    <w:bottom w:val="single" w:color="auto" w:sz="4" w:space="0"/>
                    <w:right w:val="single" w:color="auto" w:sz="4" w:space="0"/>
                  </w:tcBorders>
                  <w:vAlign w:val="center"/>
                </w:tcPr>
                <w:p w14:paraId="18CCFFA6">
                  <w:pPr>
                    <w:keepNext w:val="0"/>
                    <w:keepLines w:val="0"/>
                    <w:suppressLineNumbers w:val="0"/>
                    <w:spacing w:before="0" w:beforeAutospacing="0" w:after="0" w:afterAutospacing="0"/>
                    <w:ind w:left="0" w:right="0"/>
                    <w:rPr>
                      <w:rFonts w:hint="default" w:ascii="Times New Roman" w:hAnsi="Times New Roman" w:cs="Times New Roman"/>
                      <w:color w:val="auto"/>
                      <w:sz w:val="20"/>
                      <w:szCs w:val="20"/>
                    </w:rPr>
                  </w:pPr>
                </w:p>
              </w:tc>
              <w:tc>
                <w:tcPr>
                  <w:tcW w:w="1450" w:type="dxa"/>
                  <w:vMerge w:val="restart"/>
                  <w:tcBorders>
                    <w:top w:val="nil"/>
                    <w:left w:val="single" w:color="auto" w:sz="4" w:space="0"/>
                    <w:bottom w:val="single" w:color="auto" w:sz="4" w:space="0"/>
                    <w:right w:val="single" w:color="auto" w:sz="4" w:space="0"/>
                  </w:tcBorders>
                  <w:vAlign w:val="center"/>
                </w:tcPr>
                <w:p w14:paraId="0B785069">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r>
                    <w:rPr>
                      <w:rFonts w:hint="eastAsia" w:ascii="宋体" w:hAnsi="宋体" w:eastAsia="宋体" w:cs="宋体"/>
                      <w:color w:val="auto"/>
                      <w:szCs w:val="21"/>
                      <w:lang w:bidi="ar"/>
                    </w:rPr>
                    <w:t>厂界下风向</w:t>
                  </w:r>
                  <w:r>
                    <w:rPr>
                      <w:rFonts w:hint="default" w:ascii="Times New Roman" w:hAnsi="Times New Roman" w:eastAsia="宋体" w:cs="Times New Roman"/>
                      <w:color w:val="auto"/>
                      <w:szCs w:val="21"/>
                      <w:lang w:bidi="ar"/>
                    </w:rPr>
                    <w:t>3</w:t>
                  </w:r>
                </w:p>
              </w:tc>
              <w:tc>
                <w:tcPr>
                  <w:tcW w:w="1450" w:type="dxa"/>
                  <w:tcBorders>
                    <w:top w:val="single" w:color="auto" w:sz="4" w:space="0"/>
                    <w:left w:val="single" w:color="auto" w:sz="4" w:space="0"/>
                    <w:bottom w:val="single" w:color="auto" w:sz="4" w:space="0"/>
                    <w:right w:val="single" w:color="auto" w:sz="4" w:space="0"/>
                  </w:tcBorders>
                  <w:vAlign w:val="center"/>
                </w:tcPr>
                <w:p w14:paraId="21B17C1A">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r>
                    <w:rPr>
                      <w:rFonts w:hint="eastAsia" w:ascii="宋体" w:hAnsi="宋体" w:eastAsia="宋体" w:cs="宋体"/>
                      <w:color w:val="auto"/>
                      <w:szCs w:val="21"/>
                      <w:lang w:bidi="ar"/>
                    </w:rPr>
                    <w:t>气</w:t>
                  </w:r>
                  <w:r>
                    <w:rPr>
                      <w:rFonts w:hint="default" w:ascii="Times New Roman" w:hAnsi="Times New Roman" w:eastAsia="宋体" w:cs="Times New Roman"/>
                      <w:color w:val="auto"/>
                      <w:szCs w:val="21"/>
                      <w:lang w:bidi="ar"/>
                    </w:rPr>
                    <w:t>251120116</w:t>
                  </w:r>
                </w:p>
              </w:tc>
              <w:tc>
                <w:tcPr>
                  <w:tcW w:w="1132" w:type="dxa"/>
                  <w:tcBorders>
                    <w:top w:val="single" w:color="auto" w:sz="4" w:space="0"/>
                    <w:left w:val="single" w:color="auto" w:sz="4" w:space="0"/>
                    <w:bottom w:val="single" w:color="auto" w:sz="4" w:space="0"/>
                    <w:right w:val="single" w:color="auto" w:sz="4" w:space="0"/>
                  </w:tcBorders>
                  <w:vAlign w:val="center"/>
                </w:tcPr>
                <w:p w14:paraId="30F2AE83">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lang w:bidi="ar"/>
                    </w:rPr>
                    <w:t>303</w:t>
                  </w:r>
                </w:p>
              </w:tc>
            </w:tr>
            <w:tr w14:paraId="725FCC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1265" w:type="dxa"/>
                  <w:vMerge w:val="continue"/>
                  <w:tcBorders>
                    <w:top w:val="nil"/>
                    <w:left w:val="single" w:color="auto" w:sz="4" w:space="0"/>
                    <w:bottom w:val="single" w:color="auto" w:sz="4" w:space="0"/>
                    <w:right w:val="single" w:color="auto" w:sz="4" w:space="0"/>
                  </w:tcBorders>
                  <w:vAlign w:val="center"/>
                </w:tcPr>
                <w:p w14:paraId="3363382D">
                  <w:pPr>
                    <w:keepNext w:val="0"/>
                    <w:keepLines w:val="0"/>
                    <w:suppressLineNumbers w:val="0"/>
                    <w:spacing w:before="0" w:beforeAutospacing="0" w:after="0" w:afterAutospacing="0"/>
                    <w:ind w:left="0" w:right="0"/>
                    <w:rPr>
                      <w:rFonts w:hint="default" w:ascii="Times New Roman" w:hAnsi="Times New Roman" w:cs="Times New Roman"/>
                      <w:color w:val="auto"/>
                      <w:sz w:val="20"/>
                      <w:szCs w:val="20"/>
                    </w:rPr>
                  </w:pPr>
                </w:p>
              </w:tc>
              <w:tc>
                <w:tcPr>
                  <w:tcW w:w="1269" w:type="dxa"/>
                  <w:tcBorders>
                    <w:top w:val="single" w:color="auto" w:sz="4" w:space="0"/>
                    <w:left w:val="single" w:color="auto" w:sz="4" w:space="0"/>
                    <w:bottom w:val="single" w:color="auto" w:sz="4" w:space="0"/>
                    <w:right w:val="single" w:color="auto" w:sz="4" w:space="0"/>
                  </w:tcBorders>
                  <w:vAlign w:val="center"/>
                </w:tcPr>
                <w:p w14:paraId="006EEE2B">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r>
                    <w:rPr>
                      <w:rFonts w:hint="eastAsia" w:ascii="宋体" w:hAnsi="宋体" w:eastAsia="宋体" w:cs="宋体"/>
                      <w:color w:val="auto"/>
                      <w:szCs w:val="21"/>
                      <w:lang w:bidi="ar"/>
                    </w:rPr>
                    <w:t>第二次</w:t>
                  </w:r>
                </w:p>
              </w:tc>
              <w:tc>
                <w:tcPr>
                  <w:tcW w:w="1609" w:type="dxa"/>
                  <w:vMerge w:val="continue"/>
                  <w:tcBorders>
                    <w:top w:val="nil"/>
                    <w:left w:val="single" w:color="auto" w:sz="4" w:space="0"/>
                    <w:bottom w:val="single" w:color="auto" w:sz="4" w:space="0"/>
                    <w:right w:val="single" w:color="auto" w:sz="4" w:space="0"/>
                  </w:tcBorders>
                  <w:vAlign w:val="center"/>
                </w:tcPr>
                <w:p w14:paraId="3AB3969A">
                  <w:pPr>
                    <w:keepNext w:val="0"/>
                    <w:keepLines w:val="0"/>
                    <w:suppressLineNumbers w:val="0"/>
                    <w:spacing w:before="0" w:beforeAutospacing="0" w:after="0" w:afterAutospacing="0"/>
                    <w:ind w:left="0" w:right="0"/>
                    <w:rPr>
                      <w:rFonts w:hint="default" w:ascii="Times New Roman" w:hAnsi="Times New Roman" w:cs="Times New Roman"/>
                      <w:color w:val="auto"/>
                      <w:sz w:val="20"/>
                      <w:szCs w:val="20"/>
                    </w:rPr>
                  </w:pPr>
                </w:p>
              </w:tc>
              <w:tc>
                <w:tcPr>
                  <w:tcW w:w="1450" w:type="dxa"/>
                  <w:vMerge w:val="continue"/>
                  <w:tcBorders>
                    <w:top w:val="nil"/>
                    <w:left w:val="single" w:color="auto" w:sz="4" w:space="0"/>
                    <w:bottom w:val="single" w:color="auto" w:sz="4" w:space="0"/>
                    <w:right w:val="single" w:color="auto" w:sz="4" w:space="0"/>
                  </w:tcBorders>
                  <w:vAlign w:val="center"/>
                </w:tcPr>
                <w:p w14:paraId="16A56784">
                  <w:pPr>
                    <w:keepNext w:val="0"/>
                    <w:keepLines w:val="0"/>
                    <w:suppressLineNumbers w:val="0"/>
                    <w:spacing w:before="0" w:beforeAutospacing="0" w:after="0" w:afterAutospacing="0"/>
                    <w:ind w:left="0" w:right="0"/>
                    <w:rPr>
                      <w:rFonts w:hint="default" w:ascii="Times New Roman" w:hAnsi="Times New Roman" w:cs="Times New Roman"/>
                      <w:color w:val="auto"/>
                      <w:sz w:val="20"/>
                      <w:szCs w:val="20"/>
                    </w:rPr>
                  </w:pPr>
                </w:p>
              </w:tc>
              <w:tc>
                <w:tcPr>
                  <w:tcW w:w="1450" w:type="dxa"/>
                  <w:tcBorders>
                    <w:top w:val="single" w:color="auto" w:sz="4" w:space="0"/>
                    <w:left w:val="single" w:color="auto" w:sz="4" w:space="0"/>
                    <w:bottom w:val="single" w:color="auto" w:sz="4" w:space="0"/>
                    <w:right w:val="single" w:color="auto" w:sz="4" w:space="0"/>
                  </w:tcBorders>
                  <w:vAlign w:val="center"/>
                </w:tcPr>
                <w:p w14:paraId="62810286">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r>
                    <w:rPr>
                      <w:rFonts w:hint="eastAsia" w:ascii="宋体" w:hAnsi="宋体" w:eastAsia="宋体" w:cs="宋体"/>
                      <w:color w:val="auto"/>
                      <w:szCs w:val="21"/>
                      <w:lang w:bidi="ar"/>
                    </w:rPr>
                    <w:t>气</w:t>
                  </w:r>
                  <w:r>
                    <w:rPr>
                      <w:rFonts w:hint="default" w:ascii="Times New Roman" w:hAnsi="Times New Roman" w:eastAsia="宋体" w:cs="Times New Roman"/>
                      <w:color w:val="auto"/>
                      <w:szCs w:val="21"/>
                      <w:lang w:bidi="ar"/>
                    </w:rPr>
                    <w:t>251120117</w:t>
                  </w:r>
                </w:p>
              </w:tc>
              <w:tc>
                <w:tcPr>
                  <w:tcW w:w="1132" w:type="dxa"/>
                  <w:tcBorders>
                    <w:top w:val="single" w:color="auto" w:sz="4" w:space="0"/>
                    <w:left w:val="single" w:color="auto" w:sz="4" w:space="0"/>
                    <w:bottom w:val="single" w:color="auto" w:sz="4" w:space="0"/>
                    <w:right w:val="single" w:color="auto" w:sz="4" w:space="0"/>
                  </w:tcBorders>
                  <w:vAlign w:val="center"/>
                </w:tcPr>
                <w:p w14:paraId="0A4ACB24">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lang w:bidi="ar"/>
                    </w:rPr>
                    <w:t>296</w:t>
                  </w:r>
                </w:p>
              </w:tc>
            </w:tr>
            <w:tr w14:paraId="5D1191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1265" w:type="dxa"/>
                  <w:vMerge w:val="continue"/>
                  <w:tcBorders>
                    <w:top w:val="nil"/>
                    <w:left w:val="single" w:color="auto" w:sz="4" w:space="0"/>
                    <w:bottom w:val="single" w:color="auto" w:sz="4" w:space="0"/>
                    <w:right w:val="single" w:color="auto" w:sz="4" w:space="0"/>
                  </w:tcBorders>
                  <w:vAlign w:val="center"/>
                </w:tcPr>
                <w:p w14:paraId="602B27C9">
                  <w:pPr>
                    <w:keepNext w:val="0"/>
                    <w:keepLines w:val="0"/>
                    <w:suppressLineNumbers w:val="0"/>
                    <w:spacing w:before="0" w:beforeAutospacing="0" w:after="0" w:afterAutospacing="0"/>
                    <w:ind w:left="0" w:right="0"/>
                    <w:rPr>
                      <w:rFonts w:hint="default" w:ascii="Times New Roman" w:hAnsi="Times New Roman" w:cs="Times New Roman"/>
                      <w:color w:val="auto"/>
                      <w:sz w:val="20"/>
                      <w:szCs w:val="20"/>
                    </w:rPr>
                  </w:pPr>
                </w:p>
              </w:tc>
              <w:tc>
                <w:tcPr>
                  <w:tcW w:w="1269" w:type="dxa"/>
                  <w:tcBorders>
                    <w:top w:val="single" w:color="auto" w:sz="4" w:space="0"/>
                    <w:left w:val="single" w:color="auto" w:sz="4" w:space="0"/>
                    <w:bottom w:val="single" w:color="auto" w:sz="4" w:space="0"/>
                    <w:right w:val="single" w:color="auto" w:sz="4" w:space="0"/>
                  </w:tcBorders>
                  <w:vAlign w:val="center"/>
                </w:tcPr>
                <w:p w14:paraId="72A22BF3">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r>
                    <w:rPr>
                      <w:rFonts w:hint="eastAsia" w:ascii="宋体" w:hAnsi="宋体" w:eastAsia="宋体" w:cs="宋体"/>
                      <w:color w:val="auto"/>
                      <w:szCs w:val="21"/>
                      <w:lang w:bidi="ar"/>
                    </w:rPr>
                    <w:t>第三次</w:t>
                  </w:r>
                </w:p>
              </w:tc>
              <w:tc>
                <w:tcPr>
                  <w:tcW w:w="1609" w:type="dxa"/>
                  <w:vMerge w:val="continue"/>
                  <w:tcBorders>
                    <w:top w:val="nil"/>
                    <w:left w:val="single" w:color="auto" w:sz="4" w:space="0"/>
                    <w:bottom w:val="single" w:color="auto" w:sz="4" w:space="0"/>
                    <w:right w:val="single" w:color="auto" w:sz="4" w:space="0"/>
                  </w:tcBorders>
                  <w:vAlign w:val="center"/>
                </w:tcPr>
                <w:p w14:paraId="527CF2A0">
                  <w:pPr>
                    <w:keepNext w:val="0"/>
                    <w:keepLines w:val="0"/>
                    <w:suppressLineNumbers w:val="0"/>
                    <w:spacing w:before="0" w:beforeAutospacing="0" w:after="0" w:afterAutospacing="0"/>
                    <w:ind w:left="0" w:right="0"/>
                    <w:rPr>
                      <w:rFonts w:hint="default" w:ascii="Times New Roman" w:hAnsi="Times New Roman" w:cs="Times New Roman"/>
                      <w:color w:val="auto"/>
                      <w:sz w:val="20"/>
                      <w:szCs w:val="20"/>
                    </w:rPr>
                  </w:pPr>
                </w:p>
              </w:tc>
              <w:tc>
                <w:tcPr>
                  <w:tcW w:w="1450" w:type="dxa"/>
                  <w:vMerge w:val="continue"/>
                  <w:tcBorders>
                    <w:top w:val="nil"/>
                    <w:left w:val="single" w:color="auto" w:sz="4" w:space="0"/>
                    <w:bottom w:val="single" w:color="auto" w:sz="4" w:space="0"/>
                    <w:right w:val="single" w:color="auto" w:sz="4" w:space="0"/>
                  </w:tcBorders>
                  <w:vAlign w:val="center"/>
                </w:tcPr>
                <w:p w14:paraId="1E74CCF4">
                  <w:pPr>
                    <w:keepNext w:val="0"/>
                    <w:keepLines w:val="0"/>
                    <w:suppressLineNumbers w:val="0"/>
                    <w:spacing w:before="0" w:beforeAutospacing="0" w:after="0" w:afterAutospacing="0"/>
                    <w:ind w:left="0" w:right="0"/>
                    <w:rPr>
                      <w:rFonts w:hint="default" w:ascii="Times New Roman" w:hAnsi="Times New Roman" w:cs="Times New Roman"/>
                      <w:color w:val="auto"/>
                      <w:sz w:val="20"/>
                      <w:szCs w:val="20"/>
                    </w:rPr>
                  </w:pPr>
                </w:p>
              </w:tc>
              <w:tc>
                <w:tcPr>
                  <w:tcW w:w="1450" w:type="dxa"/>
                  <w:tcBorders>
                    <w:top w:val="single" w:color="auto" w:sz="4" w:space="0"/>
                    <w:left w:val="single" w:color="auto" w:sz="4" w:space="0"/>
                    <w:bottom w:val="single" w:color="auto" w:sz="4" w:space="0"/>
                    <w:right w:val="single" w:color="auto" w:sz="4" w:space="0"/>
                  </w:tcBorders>
                  <w:vAlign w:val="center"/>
                </w:tcPr>
                <w:p w14:paraId="01E7648B">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r>
                    <w:rPr>
                      <w:rFonts w:hint="eastAsia" w:ascii="宋体" w:hAnsi="宋体" w:eastAsia="宋体" w:cs="宋体"/>
                      <w:color w:val="auto"/>
                      <w:szCs w:val="21"/>
                      <w:lang w:bidi="ar"/>
                    </w:rPr>
                    <w:t>气</w:t>
                  </w:r>
                  <w:r>
                    <w:rPr>
                      <w:rFonts w:hint="default" w:ascii="Times New Roman" w:hAnsi="Times New Roman" w:eastAsia="宋体" w:cs="Times New Roman"/>
                      <w:color w:val="auto"/>
                      <w:szCs w:val="21"/>
                      <w:lang w:bidi="ar"/>
                    </w:rPr>
                    <w:t>251120118</w:t>
                  </w:r>
                </w:p>
              </w:tc>
              <w:tc>
                <w:tcPr>
                  <w:tcW w:w="1132" w:type="dxa"/>
                  <w:tcBorders>
                    <w:top w:val="single" w:color="auto" w:sz="4" w:space="0"/>
                    <w:left w:val="single" w:color="auto" w:sz="4" w:space="0"/>
                    <w:bottom w:val="single" w:color="auto" w:sz="4" w:space="0"/>
                    <w:right w:val="single" w:color="auto" w:sz="4" w:space="0"/>
                  </w:tcBorders>
                  <w:vAlign w:val="center"/>
                </w:tcPr>
                <w:p w14:paraId="2508C8F1">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lang w:bidi="ar"/>
                    </w:rPr>
                    <w:t>292</w:t>
                  </w:r>
                </w:p>
              </w:tc>
            </w:tr>
          </w:tbl>
          <w:p w14:paraId="061A1F28">
            <w:pPr>
              <w:keepNext w:val="0"/>
              <w:keepLines w:val="0"/>
              <w:suppressLineNumbers w:val="0"/>
              <w:spacing w:before="0" w:beforeAutospacing="0" w:after="0" w:afterAutospacing="0" w:line="360" w:lineRule="auto"/>
              <w:ind w:left="0" w:right="0" w:firstLine="480" w:firstLineChars="200"/>
              <w:rPr>
                <w:rFonts w:hint="default" w:ascii="Times New Roman" w:hAnsi="Times New Roman" w:eastAsia="宋体" w:cs="Times New Roman"/>
                <w:color w:val="auto"/>
                <w:sz w:val="24"/>
              </w:rPr>
            </w:pPr>
            <w:r>
              <w:rPr>
                <w:rFonts w:hint="default" w:ascii="Times New Roman" w:hAnsi="Times New Roman" w:eastAsia="宋体" w:cs="Times New Roman"/>
                <w:color w:val="auto"/>
                <w:sz w:val="24"/>
              </w:rPr>
              <w:t>由上表可知，企业</w:t>
            </w:r>
            <w:r>
              <w:rPr>
                <w:rFonts w:hint="eastAsia" w:ascii="Times New Roman" w:hAnsi="Times New Roman" w:eastAsia="宋体" w:cs="Times New Roman"/>
                <w:color w:val="auto"/>
                <w:sz w:val="24"/>
              </w:rPr>
              <w:t>厂界总悬浮颗粒物无组织排放浓度满足《合成树脂工业污染物排放标准》（GB31572-2015，含2024年修改单）表9中的浓度限值。</w:t>
            </w:r>
          </w:p>
          <w:p w14:paraId="3329F442">
            <w:pPr>
              <w:keepNext w:val="0"/>
              <w:keepLines w:val="0"/>
              <w:suppressLineNumbers w:val="0"/>
              <w:spacing w:before="0" w:beforeAutospacing="0" w:after="0" w:afterAutospacing="0" w:line="360" w:lineRule="auto"/>
              <w:ind w:left="0" w:right="0" w:firstLine="480" w:firstLineChars="200"/>
              <w:rPr>
                <w:rFonts w:hint="default" w:ascii="Times New Roman" w:hAnsi="Times New Roman" w:eastAsia="宋体" w:cs="Times New Roman"/>
                <w:color w:val="auto"/>
                <w:sz w:val="24"/>
              </w:rPr>
            </w:pPr>
            <w:r>
              <w:rPr>
                <w:rFonts w:hint="default" w:ascii="Times New Roman" w:hAnsi="Times New Roman" w:eastAsia="宋体" w:cs="Times New Roman"/>
                <w:color w:val="auto"/>
                <w:sz w:val="24"/>
              </w:rPr>
              <w:t>（2）挥发废气：现有项目混合、搅拌工序采用真空泵进行抽气，隧道式烤箱均为全密闭隧道式设备，在一次烘道进出口设置全密闭风罩，仅留出进出口通道，保证通风排气效果且在隧道内形成微负压，减少无组织废气外排，废气经收集后通过一套干式过滤+热交换+静电除油+二级活性炭吸附装置（TA002）处理，尾气由一根22m高的排气筒DA002排放；现有项目二次固化除在进出口通道增加全密闭风罩外，每个烘道顶部还配有三个排气管道，废气经收集后通过一套干式过滤+热交换+静电除油+二级活性炭吸附装置（TA003）处理，尾气由一根22m高的排气筒DA003排放；现有项目背胶车间整体密闭，背胶工序挥发废气产生点多面广，在生产车间进行整体抽风，生产时车间必须与车间外区域进行隔离，人员及物流进出口（项目背胶车间仅设置一个进出口）在非必要情况下也必须处于关闭状态，使生产车间整体处于相对密闭状态，因此车间密闭性良好，仅在开关门时会有少量废气逸散，废气经收集后通过一套干式过滤+二级活性炭吸附装置（TA004）处理，尾气由一根22m高的排气筒DA004排放；现有项目拼接车间整体密闭，粘接时间仅为几秒且粘接面积极小，挥发废气源强极小，对环境影响较小，以无组织形式扩散。</w:t>
            </w:r>
          </w:p>
          <w:p w14:paraId="6B8C60B0">
            <w:pPr>
              <w:keepNext w:val="0"/>
              <w:keepLines w:val="0"/>
              <w:suppressLineNumbers w:val="0"/>
              <w:spacing w:before="0" w:beforeAutospacing="0" w:after="0" w:afterAutospacing="0" w:line="360" w:lineRule="auto"/>
              <w:ind w:left="0" w:right="0" w:firstLine="480" w:firstLineChars="200"/>
              <w:rPr>
                <w:rFonts w:hint="default" w:ascii="Times New Roman" w:hAnsi="Times New Roman" w:eastAsia="宋体" w:cs="Times New Roman"/>
                <w:color w:val="auto"/>
                <w:sz w:val="24"/>
              </w:rPr>
            </w:pPr>
            <w:r>
              <w:rPr>
                <w:rFonts w:hint="eastAsia" w:ascii="Times New Roman" w:hAnsi="Times New Roman" w:eastAsia="宋体" w:cs="Times New Roman"/>
                <w:color w:val="auto"/>
                <w:sz w:val="24"/>
              </w:rPr>
              <w:t>根据湖州天亿环境检测有限公司出具的检测报告（报告编号：</w:t>
            </w:r>
            <w:r>
              <w:rPr>
                <w:rFonts w:hint="default" w:ascii="Times New Roman" w:hAnsi="Times New Roman" w:eastAsia="宋体" w:cs="Times New Roman"/>
                <w:color w:val="auto"/>
                <w:sz w:val="24"/>
              </w:rPr>
              <w:t>天亿检测（2025）检1463号</w:t>
            </w:r>
            <w:r>
              <w:rPr>
                <w:rFonts w:hint="eastAsia" w:ascii="Times New Roman" w:hAnsi="Times New Roman" w:eastAsia="宋体" w:cs="Times New Roman"/>
                <w:color w:val="auto"/>
                <w:sz w:val="24"/>
              </w:rPr>
              <w:t>），</w:t>
            </w:r>
            <w:r>
              <w:rPr>
                <w:rFonts w:hint="default" w:ascii="Times New Roman" w:hAnsi="Times New Roman" w:eastAsia="宋体" w:cs="Times New Roman"/>
                <w:color w:val="auto"/>
                <w:sz w:val="24"/>
              </w:rPr>
              <w:t>企业挥发废气</w:t>
            </w:r>
            <w:r>
              <w:rPr>
                <w:rFonts w:hint="eastAsia" w:ascii="Times New Roman" w:hAnsi="Times New Roman" w:eastAsia="宋体" w:cs="Times New Roman"/>
                <w:color w:val="auto"/>
                <w:sz w:val="24"/>
              </w:rPr>
              <w:t>中的非甲烷总烃、臭气浓度有组织</w:t>
            </w:r>
            <w:r>
              <w:rPr>
                <w:rFonts w:hint="default" w:ascii="Times New Roman" w:hAnsi="Times New Roman" w:eastAsia="宋体" w:cs="Times New Roman"/>
                <w:color w:val="auto"/>
                <w:sz w:val="24"/>
              </w:rPr>
              <w:t>排放情况见</w:t>
            </w:r>
            <w:r>
              <w:rPr>
                <w:rFonts w:hint="eastAsia" w:ascii="Times New Roman" w:hAnsi="Times New Roman" w:eastAsia="宋体" w:cs="Times New Roman"/>
                <w:color w:val="auto"/>
                <w:sz w:val="24"/>
              </w:rPr>
              <w:t>下表</w:t>
            </w:r>
            <w:r>
              <w:rPr>
                <w:rFonts w:hint="default" w:ascii="Times New Roman" w:hAnsi="Times New Roman" w:eastAsia="宋体" w:cs="Times New Roman"/>
                <w:color w:val="auto"/>
                <w:sz w:val="24"/>
              </w:rPr>
              <w:t>。</w:t>
            </w:r>
          </w:p>
          <w:p w14:paraId="0366428B">
            <w:pPr>
              <w:keepNext w:val="0"/>
              <w:keepLines w:val="0"/>
              <w:suppressLineNumbers w:val="0"/>
              <w:spacing w:before="0" w:beforeAutospacing="0" w:after="0" w:afterAutospacing="0"/>
              <w:ind w:left="0" w:right="0"/>
              <w:jc w:val="center"/>
              <w:rPr>
                <w:rFonts w:hint="default" w:ascii="Times New Roman" w:hAnsi="Times New Roman" w:eastAsia="宋体" w:cs="Times New Roman"/>
                <w:b/>
                <w:bCs/>
                <w:color w:val="auto"/>
              </w:rPr>
            </w:pPr>
            <w:r>
              <w:rPr>
                <w:rFonts w:hint="eastAsia" w:ascii="Times New Roman" w:hAnsi="Times New Roman" w:eastAsia="宋体" w:cs="Times New Roman"/>
                <w:b/>
                <w:bCs/>
                <w:color w:val="auto"/>
              </w:rPr>
              <w:t>表2-</w:t>
            </w:r>
            <w:r>
              <w:rPr>
                <w:rFonts w:hint="eastAsia" w:ascii="Times New Roman" w:hAnsi="Times New Roman" w:eastAsia="宋体" w:cs="Times New Roman"/>
                <w:b/>
                <w:bCs/>
                <w:color w:val="auto"/>
                <w:lang w:val="en-US" w:eastAsia="zh-CN"/>
              </w:rPr>
              <w:t>20</w:t>
            </w:r>
            <w:r>
              <w:rPr>
                <w:rFonts w:hint="eastAsia" w:ascii="Times New Roman" w:hAnsi="Times New Roman" w:eastAsia="宋体" w:cs="Times New Roman"/>
                <w:b/>
                <w:bCs/>
                <w:color w:val="auto"/>
              </w:rPr>
              <w:t xml:space="preserve">  </w:t>
            </w:r>
            <w:r>
              <w:rPr>
                <w:rFonts w:hint="default" w:ascii="Times New Roman" w:hAnsi="Times New Roman" w:eastAsia="宋体" w:cs="Times New Roman"/>
                <w:b/>
                <w:bCs/>
                <w:color w:val="auto"/>
              </w:rPr>
              <w:t>挥发废气排气筒1  DA002进出口检测结果表</w:t>
            </w:r>
          </w:p>
          <w:tbl>
            <w:tblPr>
              <w:tblStyle w:val="22"/>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432"/>
              <w:gridCol w:w="1050"/>
              <w:gridCol w:w="834"/>
              <w:gridCol w:w="1554"/>
              <w:gridCol w:w="1651"/>
              <w:gridCol w:w="1654"/>
            </w:tblGrid>
            <w:tr w14:paraId="562399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9322" w:type="dxa"/>
                  <w:gridSpan w:val="6"/>
                  <w:tcBorders>
                    <w:top w:val="single" w:color="auto" w:sz="4" w:space="0"/>
                    <w:left w:val="single" w:color="auto" w:sz="4" w:space="0"/>
                    <w:bottom w:val="single" w:color="auto" w:sz="4" w:space="0"/>
                    <w:right w:val="single" w:color="auto" w:sz="4" w:space="0"/>
                  </w:tcBorders>
                  <w:vAlign w:val="center"/>
                </w:tcPr>
                <w:p w14:paraId="051372B1">
                  <w:pPr>
                    <w:keepNext w:val="0"/>
                    <w:keepLines w:val="0"/>
                    <w:suppressLineNumbers w:val="0"/>
                    <w:spacing w:before="0" w:beforeAutospacing="0" w:after="0" w:afterAutospacing="0"/>
                    <w:ind w:left="0" w:right="0"/>
                    <w:jc w:val="left"/>
                    <w:rPr>
                      <w:rFonts w:hint="default" w:ascii="Times New Roman" w:hAnsi="Times New Roman" w:eastAsia="宋体" w:cs="Times New Roman"/>
                      <w:color w:val="auto"/>
                      <w:szCs w:val="21"/>
                    </w:rPr>
                  </w:pPr>
                  <w:r>
                    <w:rPr>
                      <w:rFonts w:hint="eastAsia" w:ascii="宋体" w:hAnsi="宋体" w:eastAsia="宋体" w:cs="宋体"/>
                      <w:color w:val="auto"/>
                      <w:szCs w:val="21"/>
                      <w:lang w:bidi="ar"/>
                    </w:rPr>
                    <w:t>采样点位：</w:t>
                  </w:r>
                  <w:r>
                    <w:rPr>
                      <w:rFonts w:hint="default" w:ascii="Times New Roman" w:hAnsi="Times New Roman" w:eastAsia="宋体" w:cs="Times New Roman"/>
                      <w:color w:val="auto"/>
                      <w:szCs w:val="21"/>
                      <w:u w:val="single"/>
                      <w:lang w:bidi="ar"/>
                    </w:rPr>
                    <w:t xml:space="preserve">   DA002</w:t>
                  </w:r>
                  <w:r>
                    <w:rPr>
                      <w:rFonts w:hint="eastAsia" w:ascii="宋体" w:hAnsi="宋体" w:eastAsia="宋体" w:cs="宋体"/>
                      <w:color w:val="auto"/>
                      <w:szCs w:val="21"/>
                      <w:u w:val="single"/>
                      <w:lang w:bidi="ar"/>
                    </w:rPr>
                    <w:t xml:space="preserve">挥发废气处理设施进口   </w:t>
                  </w:r>
                  <w:r>
                    <w:rPr>
                      <w:rFonts w:hint="eastAsia" w:ascii="宋体" w:hAnsi="宋体" w:eastAsia="宋体" w:cs="宋体"/>
                      <w:color w:val="auto"/>
                      <w:szCs w:val="21"/>
                      <w:lang w:bidi="ar"/>
                    </w:rPr>
                    <w:t>采样日期：</w:t>
                  </w:r>
                  <w:r>
                    <w:rPr>
                      <w:rFonts w:hint="default" w:ascii="Times New Roman" w:hAnsi="Times New Roman" w:eastAsia="宋体" w:cs="Times New Roman"/>
                      <w:color w:val="auto"/>
                      <w:szCs w:val="21"/>
                      <w:u w:val="single"/>
                      <w:lang w:bidi="ar"/>
                    </w:rPr>
                    <w:t xml:space="preserve">   2025.11.20   </w:t>
                  </w:r>
                </w:p>
              </w:tc>
            </w:tr>
            <w:tr w14:paraId="429ED3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2822" w:type="dxa"/>
                  <w:gridSpan w:val="2"/>
                  <w:tcBorders>
                    <w:top w:val="single" w:color="auto" w:sz="4" w:space="0"/>
                    <w:left w:val="single" w:color="auto" w:sz="4" w:space="0"/>
                    <w:bottom w:val="single" w:color="auto" w:sz="4" w:space="0"/>
                    <w:right w:val="single" w:color="auto" w:sz="4" w:space="0"/>
                  </w:tcBorders>
                  <w:vAlign w:val="center"/>
                </w:tcPr>
                <w:p w14:paraId="2EC50CAF">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r>
                    <w:rPr>
                      <w:rFonts w:hint="eastAsia" w:ascii="宋体" w:hAnsi="宋体" w:eastAsia="宋体" w:cs="宋体"/>
                      <w:color w:val="auto"/>
                      <w:szCs w:val="21"/>
                      <w:lang w:bidi="ar"/>
                    </w:rPr>
                    <w:t>检测项目</w:t>
                  </w:r>
                </w:p>
              </w:tc>
              <w:tc>
                <w:tcPr>
                  <w:tcW w:w="936" w:type="dxa"/>
                  <w:tcBorders>
                    <w:top w:val="single" w:color="auto" w:sz="4" w:space="0"/>
                    <w:left w:val="single" w:color="auto" w:sz="4" w:space="0"/>
                    <w:bottom w:val="single" w:color="auto" w:sz="4" w:space="0"/>
                    <w:right w:val="single" w:color="auto" w:sz="4" w:space="0"/>
                  </w:tcBorders>
                  <w:vAlign w:val="center"/>
                </w:tcPr>
                <w:p w14:paraId="58846419">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r>
                    <w:rPr>
                      <w:rFonts w:hint="eastAsia" w:ascii="宋体" w:hAnsi="宋体" w:eastAsia="宋体" w:cs="宋体"/>
                      <w:color w:val="auto"/>
                      <w:szCs w:val="21"/>
                      <w:lang w:bidi="ar"/>
                    </w:rPr>
                    <w:t>单位</w:t>
                  </w:r>
                </w:p>
              </w:tc>
              <w:tc>
                <w:tcPr>
                  <w:tcW w:w="5564" w:type="dxa"/>
                  <w:gridSpan w:val="3"/>
                  <w:tcBorders>
                    <w:top w:val="single" w:color="auto" w:sz="4" w:space="0"/>
                    <w:left w:val="single" w:color="auto" w:sz="4" w:space="0"/>
                    <w:bottom w:val="single" w:color="auto" w:sz="4" w:space="0"/>
                    <w:right w:val="single" w:color="auto" w:sz="4" w:space="0"/>
                  </w:tcBorders>
                  <w:vAlign w:val="center"/>
                </w:tcPr>
                <w:p w14:paraId="6A00FAB5">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r>
                    <w:rPr>
                      <w:rFonts w:hint="eastAsia" w:ascii="宋体" w:hAnsi="宋体" w:eastAsia="宋体" w:cs="宋体"/>
                      <w:color w:val="auto"/>
                      <w:szCs w:val="21"/>
                      <w:lang w:bidi="ar"/>
                    </w:rPr>
                    <w:t>检测结果</w:t>
                  </w:r>
                </w:p>
              </w:tc>
            </w:tr>
            <w:tr w14:paraId="0A64C6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2822" w:type="dxa"/>
                  <w:gridSpan w:val="2"/>
                  <w:tcBorders>
                    <w:top w:val="single" w:color="auto" w:sz="4" w:space="0"/>
                    <w:left w:val="single" w:color="auto" w:sz="4" w:space="0"/>
                    <w:bottom w:val="single" w:color="auto" w:sz="4" w:space="0"/>
                    <w:right w:val="single" w:color="auto" w:sz="4" w:space="0"/>
                  </w:tcBorders>
                  <w:vAlign w:val="center"/>
                </w:tcPr>
                <w:p w14:paraId="6228EA0D">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r>
                    <w:rPr>
                      <w:rFonts w:hint="eastAsia" w:ascii="宋体" w:hAnsi="宋体" w:eastAsia="宋体" w:cs="宋体"/>
                      <w:color w:val="auto"/>
                      <w:szCs w:val="21"/>
                      <w:lang w:bidi="ar"/>
                    </w:rPr>
                    <w:t>检测管道截面积</w:t>
                  </w:r>
                </w:p>
              </w:tc>
              <w:tc>
                <w:tcPr>
                  <w:tcW w:w="936" w:type="dxa"/>
                  <w:tcBorders>
                    <w:top w:val="single" w:color="auto" w:sz="4" w:space="0"/>
                    <w:left w:val="single" w:color="auto" w:sz="4" w:space="0"/>
                    <w:bottom w:val="single" w:color="auto" w:sz="4" w:space="0"/>
                    <w:right w:val="single" w:color="auto" w:sz="4" w:space="0"/>
                  </w:tcBorders>
                  <w:vAlign w:val="center"/>
                </w:tcPr>
                <w:p w14:paraId="56A7E184">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lang w:bidi="ar"/>
                    </w:rPr>
                    <w:t>m²</w:t>
                  </w:r>
                </w:p>
              </w:tc>
              <w:tc>
                <w:tcPr>
                  <w:tcW w:w="1778" w:type="dxa"/>
                  <w:tcBorders>
                    <w:top w:val="single" w:color="auto" w:sz="4" w:space="0"/>
                    <w:left w:val="single" w:color="auto" w:sz="4" w:space="0"/>
                    <w:bottom w:val="single" w:color="auto" w:sz="4" w:space="0"/>
                    <w:right w:val="single" w:color="auto" w:sz="4" w:space="0"/>
                  </w:tcBorders>
                  <w:vAlign w:val="center"/>
                </w:tcPr>
                <w:p w14:paraId="01837B45">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lang w:bidi="ar"/>
                    </w:rPr>
                    <w:t>0.9503</w:t>
                  </w:r>
                </w:p>
              </w:tc>
              <w:tc>
                <w:tcPr>
                  <w:tcW w:w="1891" w:type="dxa"/>
                  <w:tcBorders>
                    <w:top w:val="single" w:color="auto" w:sz="4" w:space="0"/>
                    <w:left w:val="single" w:color="auto" w:sz="4" w:space="0"/>
                    <w:bottom w:val="single" w:color="auto" w:sz="4" w:space="0"/>
                    <w:right w:val="single" w:color="auto" w:sz="4" w:space="0"/>
                  </w:tcBorders>
                  <w:vAlign w:val="center"/>
                </w:tcPr>
                <w:p w14:paraId="2C1CB247">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lang w:bidi="ar"/>
                    </w:rPr>
                    <w:t>0.9503</w:t>
                  </w:r>
                </w:p>
              </w:tc>
              <w:tc>
                <w:tcPr>
                  <w:tcW w:w="1895" w:type="dxa"/>
                  <w:tcBorders>
                    <w:top w:val="single" w:color="auto" w:sz="4" w:space="0"/>
                    <w:left w:val="single" w:color="auto" w:sz="4" w:space="0"/>
                    <w:bottom w:val="single" w:color="auto" w:sz="4" w:space="0"/>
                    <w:right w:val="single" w:color="auto" w:sz="4" w:space="0"/>
                  </w:tcBorders>
                  <w:vAlign w:val="center"/>
                </w:tcPr>
                <w:p w14:paraId="63F007B6">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lang w:bidi="ar"/>
                    </w:rPr>
                    <w:t>0.9503</w:t>
                  </w:r>
                </w:p>
              </w:tc>
            </w:tr>
            <w:tr w14:paraId="2C86C0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2822" w:type="dxa"/>
                  <w:gridSpan w:val="2"/>
                  <w:tcBorders>
                    <w:top w:val="single" w:color="auto" w:sz="4" w:space="0"/>
                    <w:left w:val="single" w:color="auto" w:sz="4" w:space="0"/>
                    <w:bottom w:val="single" w:color="auto" w:sz="4" w:space="0"/>
                    <w:right w:val="single" w:color="auto" w:sz="4" w:space="0"/>
                  </w:tcBorders>
                  <w:vAlign w:val="center"/>
                </w:tcPr>
                <w:p w14:paraId="57114BC2">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r>
                    <w:rPr>
                      <w:rFonts w:hint="eastAsia" w:ascii="宋体" w:hAnsi="宋体" w:eastAsia="宋体" w:cs="宋体"/>
                      <w:color w:val="auto"/>
                      <w:szCs w:val="21"/>
                      <w:lang w:bidi="ar"/>
                    </w:rPr>
                    <w:t>烟气温度</w:t>
                  </w:r>
                </w:p>
              </w:tc>
              <w:tc>
                <w:tcPr>
                  <w:tcW w:w="936" w:type="dxa"/>
                  <w:tcBorders>
                    <w:top w:val="single" w:color="auto" w:sz="4" w:space="0"/>
                    <w:left w:val="single" w:color="auto" w:sz="4" w:space="0"/>
                    <w:bottom w:val="single" w:color="auto" w:sz="4" w:space="0"/>
                    <w:right w:val="single" w:color="auto" w:sz="4" w:space="0"/>
                  </w:tcBorders>
                  <w:vAlign w:val="center"/>
                </w:tcPr>
                <w:p w14:paraId="4D9429AB">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lang w:bidi="ar"/>
                    </w:rPr>
                    <w:t>℃</w:t>
                  </w:r>
                </w:p>
              </w:tc>
              <w:tc>
                <w:tcPr>
                  <w:tcW w:w="1778" w:type="dxa"/>
                  <w:tcBorders>
                    <w:top w:val="single" w:color="auto" w:sz="4" w:space="0"/>
                    <w:left w:val="single" w:color="auto" w:sz="4" w:space="0"/>
                    <w:bottom w:val="single" w:color="auto" w:sz="4" w:space="0"/>
                    <w:right w:val="single" w:color="auto" w:sz="4" w:space="0"/>
                  </w:tcBorders>
                  <w:vAlign w:val="center"/>
                </w:tcPr>
                <w:p w14:paraId="480F56F1">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lang w:bidi="ar"/>
                    </w:rPr>
                    <w:t>71.6</w:t>
                  </w:r>
                </w:p>
              </w:tc>
              <w:tc>
                <w:tcPr>
                  <w:tcW w:w="1891" w:type="dxa"/>
                  <w:tcBorders>
                    <w:top w:val="single" w:color="auto" w:sz="4" w:space="0"/>
                    <w:left w:val="single" w:color="auto" w:sz="4" w:space="0"/>
                    <w:bottom w:val="single" w:color="auto" w:sz="4" w:space="0"/>
                    <w:right w:val="single" w:color="auto" w:sz="4" w:space="0"/>
                  </w:tcBorders>
                  <w:vAlign w:val="center"/>
                </w:tcPr>
                <w:p w14:paraId="0F8742E1">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lang w:bidi="ar"/>
                    </w:rPr>
                    <w:t>71.7</w:t>
                  </w:r>
                </w:p>
              </w:tc>
              <w:tc>
                <w:tcPr>
                  <w:tcW w:w="1895" w:type="dxa"/>
                  <w:tcBorders>
                    <w:top w:val="single" w:color="auto" w:sz="4" w:space="0"/>
                    <w:left w:val="single" w:color="auto" w:sz="4" w:space="0"/>
                    <w:bottom w:val="single" w:color="auto" w:sz="4" w:space="0"/>
                    <w:right w:val="single" w:color="auto" w:sz="4" w:space="0"/>
                  </w:tcBorders>
                  <w:vAlign w:val="center"/>
                </w:tcPr>
                <w:p w14:paraId="531D77B8">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lang w:bidi="ar"/>
                    </w:rPr>
                    <w:t>71.5</w:t>
                  </w:r>
                </w:p>
              </w:tc>
            </w:tr>
            <w:tr w14:paraId="14354B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2822" w:type="dxa"/>
                  <w:gridSpan w:val="2"/>
                  <w:tcBorders>
                    <w:top w:val="single" w:color="auto" w:sz="4" w:space="0"/>
                    <w:left w:val="single" w:color="auto" w:sz="4" w:space="0"/>
                    <w:bottom w:val="single" w:color="auto" w:sz="4" w:space="0"/>
                    <w:right w:val="single" w:color="auto" w:sz="4" w:space="0"/>
                  </w:tcBorders>
                  <w:vAlign w:val="center"/>
                </w:tcPr>
                <w:p w14:paraId="489BCB0D">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r>
                    <w:rPr>
                      <w:rFonts w:hint="eastAsia" w:ascii="宋体" w:hAnsi="宋体" w:eastAsia="宋体" w:cs="宋体"/>
                      <w:color w:val="auto"/>
                      <w:szCs w:val="21"/>
                      <w:lang w:bidi="ar"/>
                    </w:rPr>
                    <w:t>烟气平均流速</w:t>
                  </w:r>
                </w:p>
              </w:tc>
              <w:tc>
                <w:tcPr>
                  <w:tcW w:w="936" w:type="dxa"/>
                  <w:tcBorders>
                    <w:top w:val="single" w:color="auto" w:sz="4" w:space="0"/>
                    <w:left w:val="single" w:color="auto" w:sz="4" w:space="0"/>
                    <w:bottom w:val="single" w:color="auto" w:sz="4" w:space="0"/>
                    <w:right w:val="single" w:color="auto" w:sz="4" w:space="0"/>
                  </w:tcBorders>
                  <w:vAlign w:val="center"/>
                </w:tcPr>
                <w:p w14:paraId="1BC98FC3">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lang w:bidi="ar"/>
                    </w:rPr>
                    <w:t>m/s</w:t>
                  </w:r>
                </w:p>
              </w:tc>
              <w:tc>
                <w:tcPr>
                  <w:tcW w:w="1778" w:type="dxa"/>
                  <w:tcBorders>
                    <w:top w:val="single" w:color="auto" w:sz="4" w:space="0"/>
                    <w:left w:val="single" w:color="auto" w:sz="4" w:space="0"/>
                    <w:bottom w:val="single" w:color="auto" w:sz="4" w:space="0"/>
                    <w:right w:val="single" w:color="auto" w:sz="4" w:space="0"/>
                  </w:tcBorders>
                  <w:vAlign w:val="center"/>
                </w:tcPr>
                <w:p w14:paraId="1E9CDDBF">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lang w:bidi="ar"/>
                    </w:rPr>
                    <w:t>10.7</w:t>
                  </w:r>
                </w:p>
              </w:tc>
              <w:tc>
                <w:tcPr>
                  <w:tcW w:w="1891" w:type="dxa"/>
                  <w:tcBorders>
                    <w:top w:val="single" w:color="auto" w:sz="4" w:space="0"/>
                    <w:left w:val="single" w:color="auto" w:sz="4" w:space="0"/>
                    <w:bottom w:val="single" w:color="auto" w:sz="4" w:space="0"/>
                    <w:right w:val="single" w:color="auto" w:sz="4" w:space="0"/>
                  </w:tcBorders>
                  <w:vAlign w:val="center"/>
                </w:tcPr>
                <w:p w14:paraId="02F39AD1">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lang w:bidi="ar"/>
                    </w:rPr>
                    <w:t>10.6</w:t>
                  </w:r>
                </w:p>
              </w:tc>
              <w:tc>
                <w:tcPr>
                  <w:tcW w:w="1895" w:type="dxa"/>
                  <w:tcBorders>
                    <w:top w:val="single" w:color="auto" w:sz="4" w:space="0"/>
                    <w:left w:val="single" w:color="auto" w:sz="4" w:space="0"/>
                    <w:bottom w:val="single" w:color="auto" w:sz="4" w:space="0"/>
                    <w:right w:val="single" w:color="auto" w:sz="4" w:space="0"/>
                  </w:tcBorders>
                  <w:vAlign w:val="center"/>
                </w:tcPr>
                <w:p w14:paraId="568700C4">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lang w:bidi="ar"/>
                    </w:rPr>
                    <w:t>10.6</w:t>
                  </w:r>
                </w:p>
              </w:tc>
            </w:tr>
            <w:tr w14:paraId="4524ED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2822" w:type="dxa"/>
                  <w:gridSpan w:val="2"/>
                  <w:tcBorders>
                    <w:top w:val="single" w:color="auto" w:sz="4" w:space="0"/>
                    <w:left w:val="single" w:color="auto" w:sz="4" w:space="0"/>
                    <w:bottom w:val="single" w:color="auto" w:sz="4" w:space="0"/>
                    <w:right w:val="single" w:color="auto" w:sz="4" w:space="0"/>
                  </w:tcBorders>
                  <w:vAlign w:val="center"/>
                </w:tcPr>
                <w:p w14:paraId="5BAEA314">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r>
                    <w:rPr>
                      <w:rFonts w:hint="eastAsia" w:ascii="宋体" w:hAnsi="宋体" w:eastAsia="宋体" w:cs="宋体"/>
                      <w:color w:val="auto"/>
                      <w:szCs w:val="21"/>
                      <w:lang w:bidi="ar"/>
                    </w:rPr>
                    <w:t>标态干烟气量</w:t>
                  </w:r>
                </w:p>
              </w:tc>
              <w:tc>
                <w:tcPr>
                  <w:tcW w:w="936" w:type="dxa"/>
                  <w:tcBorders>
                    <w:top w:val="single" w:color="auto" w:sz="4" w:space="0"/>
                    <w:left w:val="single" w:color="auto" w:sz="4" w:space="0"/>
                    <w:bottom w:val="single" w:color="auto" w:sz="4" w:space="0"/>
                    <w:right w:val="single" w:color="auto" w:sz="4" w:space="0"/>
                  </w:tcBorders>
                  <w:vAlign w:val="center"/>
                </w:tcPr>
                <w:p w14:paraId="55B32A41">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lang w:bidi="ar"/>
                    </w:rPr>
                    <w:t>m³/h</w:t>
                  </w:r>
                </w:p>
              </w:tc>
              <w:tc>
                <w:tcPr>
                  <w:tcW w:w="1778" w:type="dxa"/>
                  <w:tcBorders>
                    <w:top w:val="single" w:color="auto" w:sz="4" w:space="0"/>
                    <w:left w:val="single" w:color="auto" w:sz="4" w:space="0"/>
                    <w:bottom w:val="single" w:color="auto" w:sz="4" w:space="0"/>
                    <w:right w:val="single" w:color="auto" w:sz="4" w:space="0"/>
                  </w:tcBorders>
                  <w:vAlign w:val="center"/>
                </w:tcPr>
                <w:p w14:paraId="5568E058">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lang w:bidi="ar"/>
                    </w:rPr>
                    <w:t>28669</w:t>
                  </w:r>
                </w:p>
              </w:tc>
              <w:tc>
                <w:tcPr>
                  <w:tcW w:w="1891" w:type="dxa"/>
                  <w:tcBorders>
                    <w:top w:val="single" w:color="auto" w:sz="4" w:space="0"/>
                    <w:left w:val="single" w:color="auto" w:sz="4" w:space="0"/>
                    <w:bottom w:val="single" w:color="auto" w:sz="4" w:space="0"/>
                    <w:right w:val="single" w:color="auto" w:sz="4" w:space="0"/>
                  </w:tcBorders>
                  <w:vAlign w:val="center"/>
                </w:tcPr>
                <w:p w14:paraId="33737CEA">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lang w:bidi="ar"/>
                    </w:rPr>
                    <w:t>28392</w:t>
                  </w:r>
                </w:p>
              </w:tc>
              <w:tc>
                <w:tcPr>
                  <w:tcW w:w="1895" w:type="dxa"/>
                  <w:tcBorders>
                    <w:top w:val="single" w:color="auto" w:sz="4" w:space="0"/>
                    <w:left w:val="single" w:color="auto" w:sz="4" w:space="0"/>
                    <w:bottom w:val="single" w:color="auto" w:sz="4" w:space="0"/>
                    <w:right w:val="single" w:color="auto" w:sz="4" w:space="0"/>
                  </w:tcBorders>
                  <w:vAlign w:val="center"/>
                </w:tcPr>
                <w:p w14:paraId="708BFAE4">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lang w:bidi="ar"/>
                    </w:rPr>
                    <w:t>28403</w:t>
                  </w:r>
                </w:p>
              </w:tc>
            </w:tr>
            <w:tr w14:paraId="0A6473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1634" w:type="dxa"/>
                  <w:vMerge w:val="restart"/>
                  <w:tcBorders>
                    <w:top w:val="nil"/>
                    <w:left w:val="single" w:color="auto" w:sz="4" w:space="0"/>
                    <w:bottom w:val="single" w:color="auto" w:sz="4" w:space="0"/>
                    <w:right w:val="single" w:color="auto" w:sz="4" w:space="0"/>
                  </w:tcBorders>
                  <w:vAlign w:val="center"/>
                </w:tcPr>
                <w:p w14:paraId="34B8E859">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r>
                    <w:rPr>
                      <w:rFonts w:hint="eastAsia" w:ascii="宋体" w:hAnsi="宋体" w:eastAsia="宋体" w:cs="宋体"/>
                      <w:color w:val="auto"/>
                      <w:szCs w:val="21"/>
                      <w:lang w:bidi="ar"/>
                    </w:rPr>
                    <w:t>非甲烷总烃</w:t>
                  </w:r>
                </w:p>
              </w:tc>
              <w:tc>
                <w:tcPr>
                  <w:tcW w:w="1188" w:type="dxa"/>
                  <w:tcBorders>
                    <w:top w:val="single" w:color="auto" w:sz="4" w:space="0"/>
                    <w:left w:val="single" w:color="auto" w:sz="4" w:space="0"/>
                    <w:bottom w:val="single" w:color="auto" w:sz="4" w:space="0"/>
                    <w:right w:val="single" w:color="auto" w:sz="4" w:space="0"/>
                  </w:tcBorders>
                  <w:vAlign w:val="center"/>
                </w:tcPr>
                <w:p w14:paraId="34B680CA">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r>
                    <w:rPr>
                      <w:rFonts w:hint="eastAsia" w:ascii="宋体" w:hAnsi="宋体" w:eastAsia="宋体" w:cs="宋体"/>
                      <w:color w:val="auto"/>
                      <w:szCs w:val="21"/>
                      <w:lang w:bidi="ar"/>
                    </w:rPr>
                    <w:t>样品编号</w:t>
                  </w:r>
                </w:p>
              </w:tc>
              <w:tc>
                <w:tcPr>
                  <w:tcW w:w="936" w:type="dxa"/>
                  <w:tcBorders>
                    <w:top w:val="single" w:color="auto" w:sz="4" w:space="0"/>
                    <w:left w:val="single" w:color="auto" w:sz="4" w:space="0"/>
                    <w:bottom w:val="single" w:color="auto" w:sz="4" w:space="0"/>
                    <w:right w:val="single" w:color="auto" w:sz="4" w:space="0"/>
                  </w:tcBorders>
                  <w:vAlign w:val="center"/>
                </w:tcPr>
                <w:p w14:paraId="587792C8">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lang w:bidi="ar"/>
                    </w:rPr>
                    <w:t>/</w:t>
                  </w:r>
                </w:p>
              </w:tc>
              <w:tc>
                <w:tcPr>
                  <w:tcW w:w="1778" w:type="dxa"/>
                  <w:tcBorders>
                    <w:top w:val="single" w:color="auto" w:sz="4" w:space="0"/>
                    <w:left w:val="single" w:color="auto" w:sz="4" w:space="0"/>
                    <w:bottom w:val="single" w:color="auto" w:sz="4" w:space="0"/>
                    <w:right w:val="single" w:color="auto" w:sz="4" w:space="0"/>
                  </w:tcBorders>
                  <w:vAlign w:val="center"/>
                </w:tcPr>
                <w:p w14:paraId="7E46F4D8">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r>
                    <w:rPr>
                      <w:rFonts w:hint="eastAsia" w:ascii="宋体" w:hAnsi="宋体" w:eastAsia="宋体" w:cs="宋体"/>
                      <w:color w:val="auto"/>
                      <w:szCs w:val="21"/>
                      <w:lang w:bidi="ar"/>
                    </w:rPr>
                    <w:t>气</w:t>
                  </w:r>
                  <w:r>
                    <w:rPr>
                      <w:rFonts w:hint="default" w:ascii="Times New Roman" w:hAnsi="Times New Roman" w:eastAsia="宋体" w:cs="Times New Roman"/>
                      <w:color w:val="auto"/>
                      <w:szCs w:val="21"/>
                      <w:lang w:bidi="ar"/>
                    </w:rPr>
                    <w:t>251120150</w:t>
                  </w:r>
                </w:p>
              </w:tc>
              <w:tc>
                <w:tcPr>
                  <w:tcW w:w="1891" w:type="dxa"/>
                  <w:tcBorders>
                    <w:top w:val="single" w:color="auto" w:sz="4" w:space="0"/>
                    <w:left w:val="single" w:color="auto" w:sz="4" w:space="0"/>
                    <w:bottom w:val="single" w:color="auto" w:sz="4" w:space="0"/>
                    <w:right w:val="single" w:color="auto" w:sz="4" w:space="0"/>
                  </w:tcBorders>
                  <w:vAlign w:val="center"/>
                </w:tcPr>
                <w:p w14:paraId="032BFBC8">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r>
                    <w:rPr>
                      <w:rFonts w:hint="eastAsia" w:ascii="宋体" w:hAnsi="宋体" w:eastAsia="宋体" w:cs="宋体"/>
                      <w:color w:val="auto"/>
                      <w:szCs w:val="21"/>
                      <w:lang w:bidi="ar"/>
                    </w:rPr>
                    <w:t>气</w:t>
                  </w:r>
                  <w:r>
                    <w:rPr>
                      <w:rFonts w:hint="default" w:ascii="Times New Roman" w:hAnsi="Times New Roman" w:eastAsia="宋体" w:cs="Times New Roman"/>
                      <w:color w:val="auto"/>
                      <w:szCs w:val="21"/>
                      <w:lang w:bidi="ar"/>
                    </w:rPr>
                    <w:t>251120151</w:t>
                  </w:r>
                </w:p>
              </w:tc>
              <w:tc>
                <w:tcPr>
                  <w:tcW w:w="1895" w:type="dxa"/>
                  <w:tcBorders>
                    <w:top w:val="single" w:color="auto" w:sz="4" w:space="0"/>
                    <w:left w:val="single" w:color="auto" w:sz="4" w:space="0"/>
                    <w:bottom w:val="single" w:color="auto" w:sz="4" w:space="0"/>
                    <w:right w:val="single" w:color="auto" w:sz="4" w:space="0"/>
                  </w:tcBorders>
                  <w:vAlign w:val="center"/>
                </w:tcPr>
                <w:p w14:paraId="4966DE21">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r>
                    <w:rPr>
                      <w:rFonts w:hint="eastAsia" w:ascii="宋体" w:hAnsi="宋体" w:eastAsia="宋体" w:cs="宋体"/>
                      <w:color w:val="auto"/>
                      <w:szCs w:val="21"/>
                      <w:lang w:bidi="ar"/>
                    </w:rPr>
                    <w:t>气</w:t>
                  </w:r>
                  <w:r>
                    <w:rPr>
                      <w:rFonts w:hint="default" w:ascii="Times New Roman" w:hAnsi="Times New Roman" w:eastAsia="宋体" w:cs="Times New Roman"/>
                      <w:color w:val="auto"/>
                      <w:szCs w:val="21"/>
                      <w:lang w:bidi="ar"/>
                    </w:rPr>
                    <w:t>251120152</w:t>
                  </w:r>
                </w:p>
              </w:tc>
            </w:tr>
            <w:tr w14:paraId="15D79C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1634" w:type="dxa"/>
                  <w:vMerge w:val="continue"/>
                  <w:tcBorders>
                    <w:top w:val="nil"/>
                    <w:left w:val="single" w:color="auto" w:sz="4" w:space="0"/>
                    <w:bottom w:val="single" w:color="auto" w:sz="4" w:space="0"/>
                    <w:right w:val="single" w:color="auto" w:sz="4" w:space="0"/>
                  </w:tcBorders>
                  <w:vAlign w:val="center"/>
                </w:tcPr>
                <w:p w14:paraId="4ABD5733">
                  <w:pPr>
                    <w:keepNext w:val="0"/>
                    <w:keepLines w:val="0"/>
                    <w:suppressLineNumbers w:val="0"/>
                    <w:spacing w:before="0" w:beforeAutospacing="0" w:after="0" w:afterAutospacing="0"/>
                    <w:ind w:left="0" w:right="0"/>
                    <w:rPr>
                      <w:rFonts w:hint="default" w:ascii="Times New Roman" w:hAnsi="Times New Roman" w:cs="Times New Roman"/>
                      <w:color w:val="auto"/>
                      <w:sz w:val="20"/>
                      <w:szCs w:val="20"/>
                    </w:rPr>
                  </w:pPr>
                </w:p>
              </w:tc>
              <w:tc>
                <w:tcPr>
                  <w:tcW w:w="1188" w:type="dxa"/>
                  <w:tcBorders>
                    <w:top w:val="single" w:color="auto" w:sz="4" w:space="0"/>
                    <w:left w:val="single" w:color="auto" w:sz="4" w:space="0"/>
                    <w:bottom w:val="single" w:color="auto" w:sz="4" w:space="0"/>
                    <w:right w:val="single" w:color="auto" w:sz="4" w:space="0"/>
                  </w:tcBorders>
                  <w:vAlign w:val="center"/>
                </w:tcPr>
                <w:p w14:paraId="5CC713AC">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r>
                    <w:rPr>
                      <w:rFonts w:hint="eastAsia" w:ascii="宋体" w:hAnsi="宋体" w:eastAsia="宋体" w:cs="宋体"/>
                      <w:color w:val="auto"/>
                      <w:szCs w:val="21"/>
                      <w:lang w:bidi="ar"/>
                    </w:rPr>
                    <w:t>排放浓度</w:t>
                  </w:r>
                </w:p>
              </w:tc>
              <w:tc>
                <w:tcPr>
                  <w:tcW w:w="936" w:type="dxa"/>
                  <w:tcBorders>
                    <w:top w:val="single" w:color="auto" w:sz="4" w:space="0"/>
                    <w:left w:val="single" w:color="auto" w:sz="4" w:space="0"/>
                    <w:bottom w:val="single" w:color="auto" w:sz="4" w:space="0"/>
                    <w:right w:val="single" w:color="auto" w:sz="4" w:space="0"/>
                  </w:tcBorders>
                  <w:vAlign w:val="center"/>
                </w:tcPr>
                <w:p w14:paraId="5C4A86A6">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lang w:bidi="ar"/>
                    </w:rPr>
                    <w:t>mg/m³</w:t>
                  </w:r>
                </w:p>
              </w:tc>
              <w:tc>
                <w:tcPr>
                  <w:tcW w:w="1778" w:type="dxa"/>
                  <w:tcBorders>
                    <w:top w:val="single" w:color="auto" w:sz="4" w:space="0"/>
                    <w:left w:val="single" w:color="auto" w:sz="4" w:space="0"/>
                    <w:bottom w:val="single" w:color="auto" w:sz="4" w:space="0"/>
                    <w:right w:val="single" w:color="auto" w:sz="4" w:space="0"/>
                  </w:tcBorders>
                  <w:vAlign w:val="center"/>
                </w:tcPr>
                <w:p w14:paraId="321C6DFD">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lang w:bidi="ar"/>
                    </w:rPr>
                    <w:t>12.9</w:t>
                  </w:r>
                </w:p>
              </w:tc>
              <w:tc>
                <w:tcPr>
                  <w:tcW w:w="1891" w:type="dxa"/>
                  <w:tcBorders>
                    <w:top w:val="single" w:color="auto" w:sz="4" w:space="0"/>
                    <w:left w:val="single" w:color="auto" w:sz="4" w:space="0"/>
                    <w:bottom w:val="single" w:color="auto" w:sz="4" w:space="0"/>
                    <w:right w:val="single" w:color="auto" w:sz="4" w:space="0"/>
                  </w:tcBorders>
                  <w:vAlign w:val="center"/>
                </w:tcPr>
                <w:p w14:paraId="07B45B08">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lang w:bidi="ar"/>
                    </w:rPr>
                    <w:t>12.7</w:t>
                  </w:r>
                </w:p>
              </w:tc>
              <w:tc>
                <w:tcPr>
                  <w:tcW w:w="1895" w:type="dxa"/>
                  <w:tcBorders>
                    <w:top w:val="single" w:color="auto" w:sz="4" w:space="0"/>
                    <w:left w:val="single" w:color="auto" w:sz="4" w:space="0"/>
                    <w:bottom w:val="single" w:color="auto" w:sz="4" w:space="0"/>
                    <w:right w:val="single" w:color="auto" w:sz="4" w:space="0"/>
                  </w:tcBorders>
                  <w:vAlign w:val="center"/>
                </w:tcPr>
                <w:p w14:paraId="2D14E666">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lang w:bidi="ar"/>
                    </w:rPr>
                    <w:t>12.8</w:t>
                  </w:r>
                </w:p>
              </w:tc>
            </w:tr>
            <w:tr w14:paraId="1BC23F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1634" w:type="dxa"/>
                  <w:vMerge w:val="continue"/>
                  <w:tcBorders>
                    <w:top w:val="nil"/>
                    <w:left w:val="single" w:color="auto" w:sz="4" w:space="0"/>
                    <w:bottom w:val="single" w:color="auto" w:sz="4" w:space="0"/>
                    <w:right w:val="single" w:color="auto" w:sz="4" w:space="0"/>
                  </w:tcBorders>
                  <w:vAlign w:val="center"/>
                </w:tcPr>
                <w:p w14:paraId="0B8DD6B1">
                  <w:pPr>
                    <w:keepNext w:val="0"/>
                    <w:keepLines w:val="0"/>
                    <w:suppressLineNumbers w:val="0"/>
                    <w:spacing w:before="0" w:beforeAutospacing="0" w:after="0" w:afterAutospacing="0"/>
                    <w:ind w:left="0" w:right="0"/>
                    <w:rPr>
                      <w:rFonts w:hint="default" w:ascii="Times New Roman" w:hAnsi="Times New Roman" w:cs="Times New Roman"/>
                      <w:color w:val="auto"/>
                      <w:sz w:val="20"/>
                      <w:szCs w:val="20"/>
                    </w:rPr>
                  </w:pPr>
                </w:p>
              </w:tc>
              <w:tc>
                <w:tcPr>
                  <w:tcW w:w="1188" w:type="dxa"/>
                  <w:tcBorders>
                    <w:top w:val="single" w:color="auto" w:sz="4" w:space="0"/>
                    <w:left w:val="single" w:color="auto" w:sz="4" w:space="0"/>
                    <w:bottom w:val="single" w:color="auto" w:sz="4" w:space="0"/>
                    <w:right w:val="single" w:color="auto" w:sz="4" w:space="0"/>
                  </w:tcBorders>
                  <w:vAlign w:val="center"/>
                </w:tcPr>
                <w:p w14:paraId="5B71EDF6">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r>
                    <w:rPr>
                      <w:rFonts w:hint="eastAsia" w:ascii="宋体" w:hAnsi="宋体" w:eastAsia="宋体" w:cs="宋体"/>
                      <w:color w:val="auto"/>
                      <w:szCs w:val="21"/>
                      <w:lang w:bidi="ar"/>
                    </w:rPr>
                    <w:t>排放速率</w:t>
                  </w:r>
                </w:p>
              </w:tc>
              <w:tc>
                <w:tcPr>
                  <w:tcW w:w="936" w:type="dxa"/>
                  <w:tcBorders>
                    <w:top w:val="single" w:color="auto" w:sz="4" w:space="0"/>
                    <w:left w:val="single" w:color="auto" w:sz="4" w:space="0"/>
                    <w:bottom w:val="single" w:color="auto" w:sz="4" w:space="0"/>
                    <w:right w:val="single" w:color="auto" w:sz="4" w:space="0"/>
                  </w:tcBorders>
                  <w:vAlign w:val="center"/>
                </w:tcPr>
                <w:p w14:paraId="3CC2CFE8">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lang w:bidi="ar"/>
                    </w:rPr>
                    <w:t>kg/h</w:t>
                  </w:r>
                </w:p>
              </w:tc>
              <w:tc>
                <w:tcPr>
                  <w:tcW w:w="1778" w:type="dxa"/>
                  <w:tcBorders>
                    <w:top w:val="single" w:color="auto" w:sz="4" w:space="0"/>
                    <w:left w:val="single" w:color="auto" w:sz="4" w:space="0"/>
                    <w:bottom w:val="single" w:color="auto" w:sz="4" w:space="0"/>
                    <w:right w:val="single" w:color="auto" w:sz="4" w:space="0"/>
                  </w:tcBorders>
                  <w:vAlign w:val="center"/>
                </w:tcPr>
                <w:p w14:paraId="18AED372">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lang w:bidi="ar"/>
                    </w:rPr>
                    <w:t>0.370</w:t>
                  </w:r>
                </w:p>
              </w:tc>
              <w:tc>
                <w:tcPr>
                  <w:tcW w:w="1891" w:type="dxa"/>
                  <w:tcBorders>
                    <w:top w:val="single" w:color="auto" w:sz="4" w:space="0"/>
                    <w:left w:val="single" w:color="auto" w:sz="4" w:space="0"/>
                    <w:bottom w:val="single" w:color="auto" w:sz="4" w:space="0"/>
                    <w:right w:val="single" w:color="auto" w:sz="4" w:space="0"/>
                  </w:tcBorders>
                  <w:vAlign w:val="center"/>
                </w:tcPr>
                <w:p w14:paraId="05F27FEE">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lang w:bidi="ar"/>
                    </w:rPr>
                    <w:t>0.361</w:t>
                  </w:r>
                </w:p>
              </w:tc>
              <w:tc>
                <w:tcPr>
                  <w:tcW w:w="1895" w:type="dxa"/>
                  <w:tcBorders>
                    <w:top w:val="single" w:color="auto" w:sz="4" w:space="0"/>
                    <w:left w:val="single" w:color="auto" w:sz="4" w:space="0"/>
                    <w:bottom w:val="single" w:color="auto" w:sz="4" w:space="0"/>
                    <w:right w:val="single" w:color="auto" w:sz="4" w:space="0"/>
                  </w:tcBorders>
                  <w:vAlign w:val="center"/>
                </w:tcPr>
                <w:p w14:paraId="432273D3">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lang w:bidi="ar"/>
                    </w:rPr>
                    <w:t>0.364</w:t>
                  </w:r>
                </w:p>
              </w:tc>
            </w:tr>
            <w:tr w14:paraId="5F3A6C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9322" w:type="dxa"/>
                  <w:gridSpan w:val="6"/>
                  <w:tcBorders>
                    <w:top w:val="single" w:color="auto" w:sz="4" w:space="0"/>
                    <w:left w:val="single" w:color="auto" w:sz="4" w:space="0"/>
                    <w:bottom w:val="single" w:color="auto" w:sz="4" w:space="0"/>
                    <w:right w:val="single" w:color="auto" w:sz="4" w:space="0"/>
                  </w:tcBorders>
                  <w:vAlign w:val="center"/>
                </w:tcPr>
                <w:p w14:paraId="060A9673">
                  <w:pPr>
                    <w:keepNext w:val="0"/>
                    <w:keepLines w:val="0"/>
                    <w:suppressLineNumbers w:val="0"/>
                    <w:spacing w:before="0" w:beforeAutospacing="0" w:after="0" w:afterAutospacing="0"/>
                    <w:ind w:left="0" w:right="0"/>
                    <w:jc w:val="left"/>
                    <w:rPr>
                      <w:rFonts w:hint="default" w:ascii="Times New Roman" w:hAnsi="Times New Roman" w:eastAsia="宋体" w:cs="Times New Roman"/>
                      <w:color w:val="auto"/>
                      <w:szCs w:val="21"/>
                    </w:rPr>
                  </w:pPr>
                  <w:r>
                    <w:rPr>
                      <w:rFonts w:hint="eastAsia" w:ascii="宋体" w:hAnsi="宋体" w:eastAsia="宋体" w:cs="宋体"/>
                      <w:color w:val="auto"/>
                      <w:szCs w:val="21"/>
                      <w:lang w:bidi="ar"/>
                    </w:rPr>
                    <w:t>采样点位：</w:t>
                  </w:r>
                  <w:r>
                    <w:rPr>
                      <w:rFonts w:hint="default" w:ascii="Times New Roman" w:hAnsi="Times New Roman" w:eastAsia="宋体" w:cs="Times New Roman"/>
                      <w:color w:val="auto"/>
                      <w:szCs w:val="21"/>
                      <w:u w:val="single"/>
                      <w:lang w:bidi="ar"/>
                    </w:rPr>
                    <w:t xml:space="preserve">   DA002</w:t>
                  </w:r>
                  <w:r>
                    <w:rPr>
                      <w:rFonts w:hint="eastAsia" w:ascii="宋体" w:hAnsi="宋体" w:eastAsia="宋体" w:cs="宋体"/>
                      <w:color w:val="auto"/>
                      <w:szCs w:val="21"/>
                      <w:u w:val="single"/>
                      <w:lang w:bidi="ar"/>
                    </w:rPr>
                    <w:t xml:space="preserve">挥发废气处理设施出口   </w:t>
                  </w:r>
                  <w:r>
                    <w:rPr>
                      <w:rFonts w:hint="eastAsia" w:ascii="宋体" w:hAnsi="宋体" w:eastAsia="宋体" w:cs="宋体"/>
                      <w:color w:val="auto"/>
                      <w:szCs w:val="21"/>
                      <w:lang w:bidi="ar"/>
                    </w:rPr>
                    <w:t>采样日期：</w:t>
                  </w:r>
                  <w:r>
                    <w:rPr>
                      <w:rFonts w:hint="default" w:ascii="Times New Roman" w:hAnsi="Times New Roman" w:eastAsia="宋体" w:cs="Times New Roman"/>
                      <w:color w:val="auto"/>
                      <w:szCs w:val="21"/>
                      <w:u w:val="single"/>
                      <w:lang w:bidi="ar"/>
                    </w:rPr>
                    <w:t xml:space="preserve">   2025.11.20   </w:t>
                  </w:r>
                </w:p>
              </w:tc>
            </w:tr>
            <w:tr w14:paraId="19D79B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2822" w:type="dxa"/>
                  <w:gridSpan w:val="2"/>
                  <w:tcBorders>
                    <w:top w:val="single" w:color="auto" w:sz="4" w:space="0"/>
                    <w:left w:val="single" w:color="auto" w:sz="4" w:space="0"/>
                    <w:bottom w:val="single" w:color="auto" w:sz="4" w:space="0"/>
                    <w:right w:val="single" w:color="auto" w:sz="4" w:space="0"/>
                  </w:tcBorders>
                  <w:vAlign w:val="center"/>
                </w:tcPr>
                <w:p w14:paraId="5F6CE90F">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r>
                    <w:rPr>
                      <w:rFonts w:hint="eastAsia" w:ascii="宋体" w:hAnsi="宋体" w:eastAsia="宋体" w:cs="宋体"/>
                      <w:color w:val="auto"/>
                      <w:szCs w:val="21"/>
                      <w:lang w:bidi="ar"/>
                    </w:rPr>
                    <w:t>检测项目</w:t>
                  </w:r>
                </w:p>
              </w:tc>
              <w:tc>
                <w:tcPr>
                  <w:tcW w:w="936" w:type="dxa"/>
                  <w:tcBorders>
                    <w:top w:val="single" w:color="auto" w:sz="4" w:space="0"/>
                    <w:left w:val="single" w:color="auto" w:sz="4" w:space="0"/>
                    <w:bottom w:val="single" w:color="auto" w:sz="4" w:space="0"/>
                    <w:right w:val="single" w:color="auto" w:sz="4" w:space="0"/>
                  </w:tcBorders>
                  <w:vAlign w:val="center"/>
                </w:tcPr>
                <w:p w14:paraId="7035D690">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r>
                    <w:rPr>
                      <w:rFonts w:hint="eastAsia" w:ascii="宋体" w:hAnsi="宋体" w:eastAsia="宋体" w:cs="宋体"/>
                      <w:color w:val="auto"/>
                      <w:szCs w:val="21"/>
                      <w:lang w:bidi="ar"/>
                    </w:rPr>
                    <w:t>单位</w:t>
                  </w:r>
                </w:p>
              </w:tc>
              <w:tc>
                <w:tcPr>
                  <w:tcW w:w="5564" w:type="dxa"/>
                  <w:gridSpan w:val="3"/>
                  <w:tcBorders>
                    <w:top w:val="single" w:color="auto" w:sz="4" w:space="0"/>
                    <w:left w:val="single" w:color="auto" w:sz="4" w:space="0"/>
                    <w:bottom w:val="single" w:color="auto" w:sz="4" w:space="0"/>
                    <w:right w:val="single" w:color="auto" w:sz="4" w:space="0"/>
                  </w:tcBorders>
                  <w:vAlign w:val="center"/>
                </w:tcPr>
                <w:p w14:paraId="5C7544A7">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r>
                    <w:rPr>
                      <w:rFonts w:hint="eastAsia" w:ascii="宋体" w:hAnsi="宋体" w:eastAsia="宋体" w:cs="宋体"/>
                      <w:color w:val="auto"/>
                      <w:szCs w:val="21"/>
                      <w:lang w:bidi="ar"/>
                    </w:rPr>
                    <w:t>检测结果</w:t>
                  </w:r>
                </w:p>
              </w:tc>
            </w:tr>
            <w:tr w14:paraId="3371D1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2822" w:type="dxa"/>
                  <w:gridSpan w:val="2"/>
                  <w:tcBorders>
                    <w:top w:val="single" w:color="auto" w:sz="4" w:space="0"/>
                    <w:left w:val="single" w:color="auto" w:sz="4" w:space="0"/>
                    <w:bottom w:val="single" w:color="auto" w:sz="4" w:space="0"/>
                    <w:right w:val="single" w:color="auto" w:sz="4" w:space="0"/>
                  </w:tcBorders>
                  <w:vAlign w:val="center"/>
                </w:tcPr>
                <w:p w14:paraId="7F7D047B">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r>
                    <w:rPr>
                      <w:rFonts w:hint="eastAsia" w:ascii="宋体" w:hAnsi="宋体" w:eastAsia="宋体" w:cs="宋体"/>
                      <w:color w:val="auto"/>
                      <w:szCs w:val="21"/>
                      <w:lang w:bidi="ar"/>
                    </w:rPr>
                    <w:t>检测管道截面积</w:t>
                  </w:r>
                </w:p>
              </w:tc>
              <w:tc>
                <w:tcPr>
                  <w:tcW w:w="936" w:type="dxa"/>
                  <w:tcBorders>
                    <w:top w:val="single" w:color="auto" w:sz="4" w:space="0"/>
                    <w:left w:val="single" w:color="auto" w:sz="4" w:space="0"/>
                    <w:bottom w:val="single" w:color="auto" w:sz="4" w:space="0"/>
                    <w:right w:val="single" w:color="auto" w:sz="4" w:space="0"/>
                  </w:tcBorders>
                  <w:vAlign w:val="center"/>
                </w:tcPr>
                <w:p w14:paraId="7A21D672">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lang w:bidi="ar"/>
                    </w:rPr>
                    <w:t>m²</w:t>
                  </w:r>
                </w:p>
              </w:tc>
              <w:tc>
                <w:tcPr>
                  <w:tcW w:w="1778" w:type="dxa"/>
                  <w:tcBorders>
                    <w:top w:val="single" w:color="auto" w:sz="4" w:space="0"/>
                    <w:left w:val="single" w:color="auto" w:sz="4" w:space="0"/>
                    <w:bottom w:val="single" w:color="auto" w:sz="4" w:space="0"/>
                    <w:right w:val="single" w:color="auto" w:sz="4" w:space="0"/>
                  </w:tcBorders>
                  <w:vAlign w:val="center"/>
                </w:tcPr>
                <w:p w14:paraId="7F2CC5AD">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lang w:bidi="ar"/>
                    </w:rPr>
                    <w:t>0.9503</w:t>
                  </w:r>
                </w:p>
              </w:tc>
              <w:tc>
                <w:tcPr>
                  <w:tcW w:w="1891" w:type="dxa"/>
                  <w:tcBorders>
                    <w:top w:val="single" w:color="auto" w:sz="4" w:space="0"/>
                    <w:left w:val="single" w:color="auto" w:sz="4" w:space="0"/>
                    <w:bottom w:val="single" w:color="auto" w:sz="4" w:space="0"/>
                    <w:right w:val="single" w:color="auto" w:sz="4" w:space="0"/>
                  </w:tcBorders>
                  <w:vAlign w:val="center"/>
                </w:tcPr>
                <w:p w14:paraId="73A87E32">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lang w:bidi="ar"/>
                    </w:rPr>
                    <w:t>0.9503</w:t>
                  </w:r>
                </w:p>
              </w:tc>
              <w:tc>
                <w:tcPr>
                  <w:tcW w:w="1895" w:type="dxa"/>
                  <w:tcBorders>
                    <w:top w:val="single" w:color="auto" w:sz="4" w:space="0"/>
                    <w:left w:val="single" w:color="auto" w:sz="4" w:space="0"/>
                    <w:bottom w:val="single" w:color="auto" w:sz="4" w:space="0"/>
                    <w:right w:val="single" w:color="auto" w:sz="4" w:space="0"/>
                  </w:tcBorders>
                  <w:vAlign w:val="center"/>
                </w:tcPr>
                <w:p w14:paraId="21FE4A37">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lang w:bidi="ar"/>
                    </w:rPr>
                    <w:t>0.9503</w:t>
                  </w:r>
                </w:p>
              </w:tc>
            </w:tr>
            <w:tr w14:paraId="31C03B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2822" w:type="dxa"/>
                  <w:gridSpan w:val="2"/>
                  <w:tcBorders>
                    <w:top w:val="single" w:color="auto" w:sz="4" w:space="0"/>
                    <w:left w:val="single" w:color="auto" w:sz="4" w:space="0"/>
                    <w:bottom w:val="single" w:color="auto" w:sz="4" w:space="0"/>
                    <w:right w:val="single" w:color="auto" w:sz="4" w:space="0"/>
                  </w:tcBorders>
                  <w:vAlign w:val="center"/>
                </w:tcPr>
                <w:p w14:paraId="308AC406">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r>
                    <w:rPr>
                      <w:rFonts w:hint="eastAsia" w:ascii="宋体" w:hAnsi="宋体" w:eastAsia="宋体" w:cs="宋体"/>
                      <w:color w:val="auto"/>
                      <w:szCs w:val="21"/>
                      <w:lang w:bidi="ar"/>
                    </w:rPr>
                    <w:t>烟气温度</w:t>
                  </w:r>
                </w:p>
              </w:tc>
              <w:tc>
                <w:tcPr>
                  <w:tcW w:w="936" w:type="dxa"/>
                  <w:tcBorders>
                    <w:top w:val="single" w:color="auto" w:sz="4" w:space="0"/>
                    <w:left w:val="single" w:color="auto" w:sz="4" w:space="0"/>
                    <w:bottom w:val="single" w:color="auto" w:sz="4" w:space="0"/>
                    <w:right w:val="single" w:color="auto" w:sz="4" w:space="0"/>
                  </w:tcBorders>
                  <w:vAlign w:val="center"/>
                </w:tcPr>
                <w:p w14:paraId="568EDB24">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lang w:bidi="ar"/>
                    </w:rPr>
                    <w:t>℃</w:t>
                  </w:r>
                </w:p>
              </w:tc>
              <w:tc>
                <w:tcPr>
                  <w:tcW w:w="1778" w:type="dxa"/>
                  <w:tcBorders>
                    <w:top w:val="single" w:color="auto" w:sz="4" w:space="0"/>
                    <w:left w:val="single" w:color="auto" w:sz="4" w:space="0"/>
                    <w:bottom w:val="single" w:color="auto" w:sz="4" w:space="0"/>
                    <w:right w:val="single" w:color="auto" w:sz="4" w:space="0"/>
                  </w:tcBorders>
                  <w:vAlign w:val="center"/>
                </w:tcPr>
                <w:p w14:paraId="4179E06D">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lang w:bidi="ar"/>
                    </w:rPr>
                    <w:t>41.6</w:t>
                  </w:r>
                </w:p>
              </w:tc>
              <w:tc>
                <w:tcPr>
                  <w:tcW w:w="1891" w:type="dxa"/>
                  <w:tcBorders>
                    <w:top w:val="single" w:color="auto" w:sz="4" w:space="0"/>
                    <w:left w:val="single" w:color="auto" w:sz="4" w:space="0"/>
                    <w:bottom w:val="single" w:color="auto" w:sz="4" w:space="0"/>
                    <w:right w:val="single" w:color="auto" w:sz="4" w:space="0"/>
                  </w:tcBorders>
                  <w:vAlign w:val="center"/>
                </w:tcPr>
                <w:p w14:paraId="7BA38219">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lang w:bidi="ar"/>
                    </w:rPr>
                    <w:t>41.8</w:t>
                  </w:r>
                </w:p>
              </w:tc>
              <w:tc>
                <w:tcPr>
                  <w:tcW w:w="1895" w:type="dxa"/>
                  <w:tcBorders>
                    <w:top w:val="single" w:color="auto" w:sz="4" w:space="0"/>
                    <w:left w:val="single" w:color="auto" w:sz="4" w:space="0"/>
                    <w:bottom w:val="single" w:color="auto" w:sz="4" w:space="0"/>
                    <w:right w:val="single" w:color="auto" w:sz="4" w:space="0"/>
                  </w:tcBorders>
                  <w:vAlign w:val="center"/>
                </w:tcPr>
                <w:p w14:paraId="4AC2E461">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lang w:bidi="ar"/>
                    </w:rPr>
                    <w:t>42.0</w:t>
                  </w:r>
                </w:p>
              </w:tc>
            </w:tr>
            <w:tr w14:paraId="2E46B1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2822" w:type="dxa"/>
                  <w:gridSpan w:val="2"/>
                  <w:tcBorders>
                    <w:top w:val="single" w:color="auto" w:sz="4" w:space="0"/>
                    <w:left w:val="single" w:color="auto" w:sz="4" w:space="0"/>
                    <w:bottom w:val="single" w:color="auto" w:sz="4" w:space="0"/>
                    <w:right w:val="single" w:color="auto" w:sz="4" w:space="0"/>
                  </w:tcBorders>
                  <w:vAlign w:val="center"/>
                </w:tcPr>
                <w:p w14:paraId="36AEC4B2">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r>
                    <w:rPr>
                      <w:rFonts w:hint="eastAsia" w:ascii="宋体" w:hAnsi="宋体" w:eastAsia="宋体" w:cs="宋体"/>
                      <w:color w:val="auto"/>
                      <w:szCs w:val="21"/>
                      <w:lang w:bidi="ar"/>
                    </w:rPr>
                    <w:t>烟气平均流速</w:t>
                  </w:r>
                </w:p>
              </w:tc>
              <w:tc>
                <w:tcPr>
                  <w:tcW w:w="936" w:type="dxa"/>
                  <w:tcBorders>
                    <w:top w:val="single" w:color="auto" w:sz="4" w:space="0"/>
                    <w:left w:val="single" w:color="auto" w:sz="4" w:space="0"/>
                    <w:bottom w:val="single" w:color="auto" w:sz="4" w:space="0"/>
                    <w:right w:val="single" w:color="auto" w:sz="4" w:space="0"/>
                  </w:tcBorders>
                  <w:vAlign w:val="center"/>
                </w:tcPr>
                <w:p w14:paraId="69BCB974">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lang w:bidi="ar"/>
                    </w:rPr>
                    <w:t>m/s</w:t>
                  </w:r>
                </w:p>
              </w:tc>
              <w:tc>
                <w:tcPr>
                  <w:tcW w:w="1778" w:type="dxa"/>
                  <w:tcBorders>
                    <w:top w:val="single" w:color="auto" w:sz="4" w:space="0"/>
                    <w:left w:val="single" w:color="auto" w:sz="4" w:space="0"/>
                    <w:bottom w:val="single" w:color="auto" w:sz="4" w:space="0"/>
                    <w:right w:val="single" w:color="auto" w:sz="4" w:space="0"/>
                  </w:tcBorders>
                  <w:vAlign w:val="center"/>
                </w:tcPr>
                <w:p w14:paraId="08237A59">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lang w:bidi="ar"/>
                    </w:rPr>
                    <w:t>11.6</w:t>
                  </w:r>
                </w:p>
              </w:tc>
              <w:tc>
                <w:tcPr>
                  <w:tcW w:w="1891" w:type="dxa"/>
                  <w:tcBorders>
                    <w:top w:val="single" w:color="auto" w:sz="4" w:space="0"/>
                    <w:left w:val="single" w:color="auto" w:sz="4" w:space="0"/>
                    <w:bottom w:val="single" w:color="auto" w:sz="4" w:space="0"/>
                    <w:right w:val="single" w:color="auto" w:sz="4" w:space="0"/>
                  </w:tcBorders>
                  <w:vAlign w:val="center"/>
                </w:tcPr>
                <w:p w14:paraId="54196EB0">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lang w:bidi="ar"/>
                    </w:rPr>
                    <w:t>11.5</w:t>
                  </w:r>
                </w:p>
              </w:tc>
              <w:tc>
                <w:tcPr>
                  <w:tcW w:w="1895" w:type="dxa"/>
                  <w:tcBorders>
                    <w:top w:val="single" w:color="auto" w:sz="4" w:space="0"/>
                    <w:left w:val="single" w:color="auto" w:sz="4" w:space="0"/>
                    <w:bottom w:val="single" w:color="auto" w:sz="4" w:space="0"/>
                    <w:right w:val="single" w:color="auto" w:sz="4" w:space="0"/>
                  </w:tcBorders>
                  <w:vAlign w:val="center"/>
                </w:tcPr>
                <w:p w14:paraId="6EB84547">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lang w:bidi="ar"/>
                    </w:rPr>
                    <w:t>11.4</w:t>
                  </w:r>
                </w:p>
              </w:tc>
            </w:tr>
            <w:tr w14:paraId="7743AD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2822" w:type="dxa"/>
                  <w:gridSpan w:val="2"/>
                  <w:tcBorders>
                    <w:top w:val="single" w:color="auto" w:sz="4" w:space="0"/>
                    <w:left w:val="single" w:color="auto" w:sz="4" w:space="0"/>
                    <w:bottom w:val="single" w:color="auto" w:sz="4" w:space="0"/>
                    <w:right w:val="single" w:color="auto" w:sz="4" w:space="0"/>
                  </w:tcBorders>
                  <w:vAlign w:val="center"/>
                </w:tcPr>
                <w:p w14:paraId="6921B1D0">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r>
                    <w:rPr>
                      <w:rFonts w:hint="eastAsia" w:ascii="宋体" w:hAnsi="宋体" w:eastAsia="宋体" w:cs="宋体"/>
                      <w:color w:val="auto"/>
                      <w:szCs w:val="21"/>
                      <w:lang w:bidi="ar"/>
                    </w:rPr>
                    <w:t>标态干烟气量</w:t>
                  </w:r>
                </w:p>
              </w:tc>
              <w:tc>
                <w:tcPr>
                  <w:tcW w:w="936" w:type="dxa"/>
                  <w:tcBorders>
                    <w:top w:val="single" w:color="auto" w:sz="4" w:space="0"/>
                    <w:left w:val="single" w:color="auto" w:sz="4" w:space="0"/>
                    <w:bottom w:val="single" w:color="auto" w:sz="4" w:space="0"/>
                    <w:right w:val="single" w:color="auto" w:sz="4" w:space="0"/>
                  </w:tcBorders>
                  <w:vAlign w:val="center"/>
                </w:tcPr>
                <w:p w14:paraId="4CAF6C8D">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lang w:bidi="ar"/>
                    </w:rPr>
                    <w:t>m³/h</w:t>
                  </w:r>
                </w:p>
              </w:tc>
              <w:tc>
                <w:tcPr>
                  <w:tcW w:w="1778" w:type="dxa"/>
                  <w:tcBorders>
                    <w:top w:val="single" w:color="auto" w:sz="4" w:space="0"/>
                    <w:left w:val="single" w:color="auto" w:sz="4" w:space="0"/>
                    <w:bottom w:val="single" w:color="auto" w:sz="4" w:space="0"/>
                    <w:right w:val="single" w:color="auto" w:sz="4" w:space="0"/>
                  </w:tcBorders>
                  <w:vAlign w:val="center"/>
                </w:tcPr>
                <w:p w14:paraId="00E43DF6">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lang w:bidi="ar"/>
                    </w:rPr>
                    <w:t>34251</w:t>
                  </w:r>
                </w:p>
              </w:tc>
              <w:tc>
                <w:tcPr>
                  <w:tcW w:w="1891" w:type="dxa"/>
                  <w:tcBorders>
                    <w:top w:val="single" w:color="auto" w:sz="4" w:space="0"/>
                    <w:left w:val="single" w:color="auto" w:sz="4" w:space="0"/>
                    <w:bottom w:val="single" w:color="auto" w:sz="4" w:space="0"/>
                    <w:right w:val="single" w:color="auto" w:sz="4" w:space="0"/>
                  </w:tcBorders>
                  <w:vAlign w:val="center"/>
                </w:tcPr>
                <w:p w14:paraId="4F29A696">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lang w:bidi="ar"/>
                    </w:rPr>
                    <w:t>33934</w:t>
                  </w:r>
                </w:p>
              </w:tc>
              <w:tc>
                <w:tcPr>
                  <w:tcW w:w="1895" w:type="dxa"/>
                  <w:tcBorders>
                    <w:top w:val="single" w:color="auto" w:sz="4" w:space="0"/>
                    <w:left w:val="single" w:color="auto" w:sz="4" w:space="0"/>
                    <w:bottom w:val="single" w:color="auto" w:sz="4" w:space="0"/>
                    <w:right w:val="single" w:color="auto" w:sz="4" w:space="0"/>
                  </w:tcBorders>
                  <w:vAlign w:val="center"/>
                </w:tcPr>
                <w:p w14:paraId="0BE8A662">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lang w:bidi="ar"/>
                    </w:rPr>
                    <w:t>33618</w:t>
                  </w:r>
                </w:p>
              </w:tc>
            </w:tr>
            <w:tr w14:paraId="75753D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1634" w:type="dxa"/>
                  <w:vMerge w:val="restart"/>
                  <w:tcBorders>
                    <w:top w:val="nil"/>
                    <w:left w:val="single" w:color="auto" w:sz="4" w:space="0"/>
                    <w:bottom w:val="single" w:color="auto" w:sz="4" w:space="0"/>
                    <w:right w:val="single" w:color="auto" w:sz="4" w:space="0"/>
                  </w:tcBorders>
                  <w:vAlign w:val="center"/>
                </w:tcPr>
                <w:p w14:paraId="7A51E4EB">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r>
                    <w:rPr>
                      <w:rFonts w:hint="eastAsia" w:ascii="宋体" w:hAnsi="宋体" w:eastAsia="宋体" w:cs="宋体"/>
                      <w:color w:val="auto"/>
                      <w:szCs w:val="21"/>
                      <w:lang w:bidi="ar"/>
                    </w:rPr>
                    <w:t>非甲烷总烃</w:t>
                  </w:r>
                </w:p>
              </w:tc>
              <w:tc>
                <w:tcPr>
                  <w:tcW w:w="1188" w:type="dxa"/>
                  <w:tcBorders>
                    <w:top w:val="single" w:color="auto" w:sz="4" w:space="0"/>
                    <w:left w:val="single" w:color="auto" w:sz="4" w:space="0"/>
                    <w:bottom w:val="single" w:color="auto" w:sz="4" w:space="0"/>
                    <w:right w:val="single" w:color="auto" w:sz="4" w:space="0"/>
                  </w:tcBorders>
                  <w:vAlign w:val="center"/>
                </w:tcPr>
                <w:p w14:paraId="32C8037B">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r>
                    <w:rPr>
                      <w:rFonts w:hint="eastAsia" w:ascii="宋体" w:hAnsi="宋体" w:eastAsia="宋体" w:cs="宋体"/>
                      <w:color w:val="auto"/>
                      <w:szCs w:val="21"/>
                      <w:lang w:bidi="ar"/>
                    </w:rPr>
                    <w:t>样品编号</w:t>
                  </w:r>
                </w:p>
              </w:tc>
              <w:tc>
                <w:tcPr>
                  <w:tcW w:w="936" w:type="dxa"/>
                  <w:tcBorders>
                    <w:top w:val="single" w:color="auto" w:sz="4" w:space="0"/>
                    <w:left w:val="single" w:color="auto" w:sz="4" w:space="0"/>
                    <w:bottom w:val="single" w:color="auto" w:sz="4" w:space="0"/>
                    <w:right w:val="single" w:color="auto" w:sz="4" w:space="0"/>
                  </w:tcBorders>
                  <w:vAlign w:val="center"/>
                </w:tcPr>
                <w:p w14:paraId="3E3A661E">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lang w:bidi="ar"/>
                    </w:rPr>
                    <w:t>/</w:t>
                  </w:r>
                </w:p>
              </w:tc>
              <w:tc>
                <w:tcPr>
                  <w:tcW w:w="1778" w:type="dxa"/>
                  <w:tcBorders>
                    <w:top w:val="single" w:color="auto" w:sz="4" w:space="0"/>
                    <w:left w:val="single" w:color="auto" w:sz="4" w:space="0"/>
                    <w:bottom w:val="single" w:color="auto" w:sz="4" w:space="0"/>
                    <w:right w:val="single" w:color="auto" w:sz="4" w:space="0"/>
                  </w:tcBorders>
                  <w:vAlign w:val="center"/>
                </w:tcPr>
                <w:p w14:paraId="616C5DF8">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r>
                    <w:rPr>
                      <w:rFonts w:hint="eastAsia" w:ascii="宋体" w:hAnsi="宋体" w:eastAsia="宋体" w:cs="宋体"/>
                      <w:color w:val="auto"/>
                      <w:szCs w:val="21"/>
                      <w:lang w:bidi="ar"/>
                    </w:rPr>
                    <w:t>气</w:t>
                  </w:r>
                  <w:r>
                    <w:rPr>
                      <w:rFonts w:hint="default" w:ascii="Times New Roman" w:hAnsi="Times New Roman" w:eastAsia="宋体" w:cs="Times New Roman"/>
                      <w:color w:val="auto"/>
                      <w:szCs w:val="21"/>
                      <w:lang w:bidi="ar"/>
                    </w:rPr>
                    <w:t>251120153</w:t>
                  </w:r>
                </w:p>
              </w:tc>
              <w:tc>
                <w:tcPr>
                  <w:tcW w:w="1891" w:type="dxa"/>
                  <w:tcBorders>
                    <w:top w:val="single" w:color="auto" w:sz="4" w:space="0"/>
                    <w:left w:val="single" w:color="auto" w:sz="4" w:space="0"/>
                    <w:bottom w:val="single" w:color="auto" w:sz="4" w:space="0"/>
                    <w:right w:val="single" w:color="auto" w:sz="4" w:space="0"/>
                  </w:tcBorders>
                  <w:vAlign w:val="center"/>
                </w:tcPr>
                <w:p w14:paraId="155DE177">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r>
                    <w:rPr>
                      <w:rFonts w:hint="eastAsia" w:ascii="宋体" w:hAnsi="宋体" w:eastAsia="宋体" w:cs="宋体"/>
                      <w:color w:val="auto"/>
                      <w:szCs w:val="21"/>
                      <w:lang w:bidi="ar"/>
                    </w:rPr>
                    <w:t>气</w:t>
                  </w:r>
                  <w:r>
                    <w:rPr>
                      <w:rFonts w:hint="default" w:ascii="Times New Roman" w:hAnsi="Times New Roman" w:eastAsia="宋体" w:cs="Times New Roman"/>
                      <w:color w:val="auto"/>
                      <w:szCs w:val="21"/>
                      <w:lang w:bidi="ar"/>
                    </w:rPr>
                    <w:t>251120154</w:t>
                  </w:r>
                </w:p>
              </w:tc>
              <w:tc>
                <w:tcPr>
                  <w:tcW w:w="1895" w:type="dxa"/>
                  <w:tcBorders>
                    <w:top w:val="single" w:color="auto" w:sz="4" w:space="0"/>
                    <w:left w:val="single" w:color="auto" w:sz="4" w:space="0"/>
                    <w:bottom w:val="single" w:color="auto" w:sz="4" w:space="0"/>
                    <w:right w:val="single" w:color="auto" w:sz="4" w:space="0"/>
                  </w:tcBorders>
                  <w:vAlign w:val="center"/>
                </w:tcPr>
                <w:p w14:paraId="4D9F5B0F">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r>
                    <w:rPr>
                      <w:rFonts w:hint="eastAsia" w:ascii="宋体" w:hAnsi="宋体" w:eastAsia="宋体" w:cs="宋体"/>
                      <w:color w:val="auto"/>
                      <w:szCs w:val="21"/>
                      <w:lang w:bidi="ar"/>
                    </w:rPr>
                    <w:t>气</w:t>
                  </w:r>
                  <w:r>
                    <w:rPr>
                      <w:rFonts w:hint="default" w:ascii="Times New Roman" w:hAnsi="Times New Roman" w:eastAsia="宋体" w:cs="Times New Roman"/>
                      <w:color w:val="auto"/>
                      <w:szCs w:val="21"/>
                      <w:lang w:bidi="ar"/>
                    </w:rPr>
                    <w:t>251120155</w:t>
                  </w:r>
                </w:p>
              </w:tc>
            </w:tr>
            <w:tr w14:paraId="6774F7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1634" w:type="dxa"/>
                  <w:vMerge w:val="continue"/>
                  <w:tcBorders>
                    <w:top w:val="nil"/>
                    <w:left w:val="single" w:color="auto" w:sz="4" w:space="0"/>
                    <w:bottom w:val="single" w:color="auto" w:sz="4" w:space="0"/>
                    <w:right w:val="single" w:color="auto" w:sz="4" w:space="0"/>
                  </w:tcBorders>
                  <w:vAlign w:val="center"/>
                </w:tcPr>
                <w:p w14:paraId="2DC7CBD4">
                  <w:pPr>
                    <w:keepNext w:val="0"/>
                    <w:keepLines w:val="0"/>
                    <w:suppressLineNumbers w:val="0"/>
                    <w:spacing w:before="0" w:beforeAutospacing="0" w:after="0" w:afterAutospacing="0"/>
                    <w:ind w:left="0" w:right="0"/>
                    <w:rPr>
                      <w:rFonts w:hint="default" w:ascii="Times New Roman" w:hAnsi="Times New Roman" w:cs="Times New Roman"/>
                      <w:color w:val="auto"/>
                      <w:sz w:val="20"/>
                      <w:szCs w:val="20"/>
                    </w:rPr>
                  </w:pPr>
                </w:p>
              </w:tc>
              <w:tc>
                <w:tcPr>
                  <w:tcW w:w="1188" w:type="dxa"/>
                  <w:tcBorders>
                    <w:top w:val="single" w:color="auto" w:sz="4" w:space="0"/>
                    <w:left w:val="single" w:color="auto" w:sz="4" w:space="0"/>
                    <w:bottom w:val="single" w:color="auto" w:sz="4" w:space="0"/>
                    <w:right w:val="single" w:color="auto" w:sz="4" w:space="0"/>
                  </w:tcBorders>
                  <w:vAlign w:val="center"/>
                </w:tcPr>
                <w:p w14:paraId="64E34A12">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r>
                    <w:rPr>
                      <w:rFonts w:hint="eastAsia" w:ascii="宋体" w:hAnsi="宋体" w:eastAsia="宋体" w:cs="宋体"/>
                      <w:color w:val="auto"/>
                      <w:szCs w:val="21"/>
                      <w:lang w:bidi="ar"/>
                    </w:rPr>
                    <w:t>排放浓度</w:t>
                  </w:r>
                </w:p>
              </w:tc>
              <w:tc>
                <w:tcPr>
                  <w:tcW w:w="936" w:type="dxa"/>
                  <w:tcBorders>
                    <w:top w:val="single" w:color="auto" w:sz="4" w:space="0"/>
                    <w:left w:val="single" w:color="auto" w:sz="4" w:space="0"/>
                    <w:bottom w:val="single" w:color="auto" w:sz="4" w:space="0"/>
                    <w:right w:val="single" w:color="auto" w:sz="4" w:space="0"/>
                  </w:tcBorders>
                  <w:vAlign w:val="center"/>
                </w:tcPr>
                <w:p w14:paraId="7E9D8E5E">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lang w:bidi="ar"/>
                    </w:rPr>
                    <w:t>mg/m³</w:t>
                  </w:r>
                </w:p>
              </w:tc>
              <w:tc>
                <w:tcPr>
                  <w:tcW w:w="1778" w:type="dxa"/>
                  <w:tcBorders>
                    <w:top w:val="single" w:color="auto" w:sz="4" w:space="0"/>
                    <w:left w:val="single" w:color="auto" w:sz="4" w:space="0"/>
                    <w:bottom w:val="single" w:color="auto" w:sz="4" w:space="0"/>
                    <w:right w:val="single" w:color="auto" w:sz="4" w:space="0"/>
                  </w:tcBorders>
                  <w:vAlign w:val="center"/>
                </w:tcPr>
                <w:p w14:paraId="7D6BB9AF">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lang w:bidi="ar"/>
                    </w:rPr>
                    <w:t>1.15</w:t>
                  </w:r>
                </w:p>
              </w:tc>
              <w:tc>
                <w:tcPr>
                  <w:tcW w:w="1891" w:type="dxa"/>
                  <w:tcBorders>
                    <w:top w:val="single" w:color="auto" w:sz="4" w:space="0"/>
                    <w:left w:val="single" w:color="auto" w:sz="4" w:space="0"/>
                    <w:bottom w:val="single" w:color="auto" w:sz="4" w:space="0"/>
                    <w:right w:val="single" w:color="auto" w:sz="4" w:space="0"/>
                  </w:tcBorders>
                  <w:vAlign w:val="center"/>
                </w:tcPr>
                <w:p w14:paraId="28BF736D">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lang w:bidi="ar"/>
                    </w:rPr>
                    <w:t>1.21</w:t>
                  </w:r>
                </w:p>
              </w:tc>
              <w:tc>
                <w:tcPr>
                  <w:tcW w:w="1895" w:type="dxa"/>
                  <w:tcBorders>
                    <w:top w:val="single" w:color="auto" w:sz="4" w:space="0"/>
                    <w:left w:val="single" w:color="auto" w:sz="4" w:space="0"/>
                    <w:bottom w:val="single" w:color="auto" w:sz="4" w:space="0"/>
                    <w:right w:val="single" w:color="auto" w:sz="4" w:space="0"/>
                  </w:tcBorders>
                  <w:vAlign w:val="center"/>
                </w:tcPr>
                <w:p w14:paraId="53BBD205">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lang w:bidi="ar"/>
                    </w:rPr>
                    <w:t>1.17</w:t>
                  </w:r>
                </w:p>
              </w:tc>
            </w:tr>
            <w:tr w14:paraId="2F0F4F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1634" w:type="dxa"/>
                  <w:vMerge w:val="continue"/>
                  <w:tcBorders>
                    <w:top w:val="nil"/>
                    <w:left w:val="single" w:color="auto" w:sz="4" w:space="0"/>
                    <w:bottom w:val="single" w:color="auto" w:sz="4" w:space="0"/>
                    <w:right w:val="single" w:color="auto" w:sz="4" w:space="0"/>
                  </w:tcBorders>
                  <w:vAlign w:val="center"/>
                </w:tcPr>
                <w:p w14:paraId="0D3CB3F4">
                  <w:pPr>
                    <w:keepNext w:val="0"/>
                    <w:keepLines w:val="0"/>
                    <w:suppressLineNumbers w:val="0"/>
                    <w:spacing w:before="0" w:beforeAutospacing="0" w:after="0" w:afterAutospacing="0"/>
                    <w:ind w:left="0" w:right="0"/>
                    <w:rPr>
                      <w:rFonts w:hint="default" w:ascii="Times New Roman" w:hAnsi="Times New Roman" w:cs="Times New Roman"/>
                      <w:color w:val="auto"/>
                      <w:sz w:val="20"/>
                      <w:szCs w:val="20"/>
                    </w:rPr>
                  </w:pPr>
                </w:p>
              </w:tc>
              <w:tc>
                <w:tcPr>
                  <w:tcW w:w="1188" w:type="dxa"/>
                  <w:tcBorders>
                    <w:top w:val="single" w:color="auto" w:sz="4" w:space="0"/>
                    <w:left w:val="single" w:color="auto" w:sz="4" w:space="0"/>
                    <w:bottom w:val="single" w:color="auto" w:sz="4" w:space="0"/>
                    <w:right w:val="single" w:color="auto" w:sz="4" w:space="0"/>
                  </w:tcBorders>
                  <w:vAlign w:val="center"/>
                </w:tcPr>
                <w:p w14:paraId="6CD0493E">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r>
                    <w:rPr>
                      <w:rFonts w:hint="eastAsia" w:ascii="宋体" w:hAnsi="宋体" w:eastAsia="宋体" w:cs="宋体"/>
                      <w:color w:val="auto"/>
                      <w:szCs w:val="21"/>
                      <w:lang w:bidi="ar"/>
                    </w:rPr>
                    <w:t>排放速率</w:t>
                  </w:r>
                </w:p>
              </w:tc>
              <w:tc>
                <w:tcPr>
                  <w:tcW w:w="936" w:type="dxa"/>
                  <w:tcBorders>
                    <w:top w:val="single" w:color="auto" w:sz="4" w:space="0"/>
                    <w:left w:val="single" w:color="auto" w:sz="4" w:space="0"/>
                    <w:bottom w:val="single" w:color="auto" w:sz="4" w:space="0"/>
                    <w:right w:val="single" w:color="auto" w:sz="4" w:space="0"/>
                  </w:tcBorders>
                  <w:vAlign w:val="center"/>
                </w:tcPr>
                <w:p w14:paraId="0D96B2CF">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lang w:bidi="ar"/>
                    </w:rPr>
                    <w:t>kg/h</w:t>
                  </w:r>
                </w:p>
              </w:tc>
              <w:tc>
                <w:tcPr>
                  <w:tcW w:w="1778" w:type="dxa"/>
                  <w:tcBorders>
                    <w:top w:val="single" w:color="auto" w:sz="4" w:space="0"/>
                    <w:left w:val="single" w:color="auto" w:sz="4" w:space="0"/>
                    <w:bottom w:val="single" w:color="auto" w:sz="4" w:space="0"/>
                    <w:right w:val="single" w:color="auto" w:sz="4" w:space="0"/>
                  </w:tcBorders>
                  <w:vAlign w:val="center"/>
                </w:tcPr>
                <w:p w14:paraId="6956563C">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lang w:bidi="ar"/>
                    </w:rPr>
                    <w:t>3.94×10</w:t>
                  </w:r>
                  <w:r>
                    <w:rPr>
                      <w:rFonts w:hint="default" w:ascii="Times New Roman" w:hAnsi="Times New Roman" w:eastAsia="宋体" w:cs="Times New Roman"/>
                      <w:color w:val="auto"/>
                      <w:szCs w:val="21"/>
                      <w:vertAlign w:val="superscript"/>
                      <w:lang w:bidi="ar"/>
                    </w:rPr>
                    <w:t>-</w:t>
                  </w:r>
                  <w:r>
                    <w:rPr>
                      <w:rFonts w:hint="default" w:ascii="Times New Roman" w:hAnsi="Times New Roman" w:eastAsia="宋体" w:cs="Times New Roman"/>
                      <w:color w:val="auto"/>
                      <w:szCs w:val="21"/>
                      <w:lang w:bidi="ar"/>
                    </w:rPr>
                    <w:t>²</w:t>
                  </w:r>
                </w:p>
              </w:tc>
              <w:tc>
                <w:tcPr>
                  <w:tcW w:w="1891" w:type="dxa"/>
                  <w:tcBorders>
                    <w:top w:val="single" w:color="auto" w:sz="4" w:space="0"/>
                    <w:left w:val="single" w:color="auto" w:sz="4" w:space="0"/>
                    <w:bottom w:val="single" w:color="auto" w:sz="4" w:space="0"/>
                    <w:right w:val="single" w:color="auto" w:sz="4" w:space="0"/>
                  </w:tcBorders>
                  <w:vAlign w:val="center"/>
                </w:tcPr>
                <w:p w14:paraId="30372DFD">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lang w:bidi="ar"/>
                    </w:rPr>
                    <w:t>4.11×10</w:t>
                  </w:r>
                  <w:r>
                    <w:rPr>
                      <w:rFonts w:hint="default" w:ascii="Times New Roman" w:hAnsi="Times New Roman" w:eastAsia="宋体" w:cs="Times New Roman"/>
                      <w:color w:val="auto"/>
                      <w:szCs w:val="21"/>
                      <w:vertAlign w:val="superscript"/>
                      <w:lang w:bidi="ar"/>
                    </w:rPr>
                    <w:t>-</w:t>
                  </w:r>
                  <w:r>
                    <w:rPr>
                      <w:rFonts w:hint="default" w:ascii="Times New Roman" w:hAnsi="Times New Roman" w:eastAsia="宋体" w:cs="Times New Roman"/>
                      <w:color w:val="auto"/>
                      <w:szCs w:val="21"/>
                      <w:lang w:bidi="ar"/>
                    </w:rPr>
                    <w:t>²</w:t>
                  </w:r>
                </w:p>
              </w:tc>
              <w:tc>
                <w:tcPr>
                  <w:tcW w:w="1895" w:type="dxa"/>
                  <w:tcBorders>
                    <w:top w:val="single" w:color="auto" w:sz="4" w:space="0"/>
                    <w:left w:val="single" w:color="auto" w:sz="4" w:space="0"/>
                    <w:bottom w:val="single" w:color="auto" w:sz="4" w:space="0"/>
                    <w:right w:val="single" w:color="auto" w:sz="4" w:space="0"/>
                  </w:tcBorders>
                  <w:vAlign w:val="center"/>
                </w:tcPr>
                <w:p w14:paraId="4FEC15DB">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lang w:bidi="ar"/>
                    </w:rPr>
                    <w:t>3.93×10</w:t>
                  </w:r>
                  <w:r>
                    <w:rPr>
                      <w:rFonts w:hint="default" w:ascii="Times New Roman" w:hAnsi="Times New Roman" w:eastAsia="宋体" w:cs="Times New Roman"/>
                      <w:color w:val="auto"/>
                      <w:szCs w:val="21"/>
                      <w:vertAlign w:val="superscript"/>
                      <w:lang w:bidi="ar"/>
                    </w:rPr>
                    <w:t>-</w:t>
                  </w:r>
                  <w:r>
                    <w:rPr>
                      <w:rFonts w:hint="default" w:ascii="Times New Roman" w:hAnsi="Times New Roman" w:eastAsia="宋体" w:cs="Times New Roman"/>
                      <w:color w:val="auto"/>
                      <w:szCs w:val="21"/>
                      <w:lang w:bidi="ar"/>
                    </w:rPr>
                    <w:t>²</w:t>
                  </w:r>
                </w:p>
              </w:tc>
            </w:tr>
            <w:tr w14:paraId="43B517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1634" w:type="dxa"/>
                  <w:vMerge w:val="restart"/>
                  <w:tcBorders>
                    <w:top w:val="nil"/>
                    <w:left w:val="single" w:color="auto" w:sz="4" w:space="0"/>
                    <w:bottom w:val="single" w:color="auto" w:sz="4" w:space="0"/>
                    <w:right w:val="single" w:color="auto" w:sz="4" w:space="0"/>
                  </w:tcBorders>
                  <w:vAlign w:val="center"/>
                </w:tcPr>
                <w:p w14:paraId="7962D1AE">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r>
                    <w:rPr>
                      <w:rFonts w:hint="eastAsia" w:ascii="宋体" w:hAnsi="宋体" w:eastAsia="宋体" w:cs="宋体"/>
                      <w:color w:val="auto"/>
                      <w:szCs w:val="21"/>
                      <w:lang w:bidi="ar"/>
                    </w:rPr>
                    <w:t>臭气浓度</w:t>
                  </w:r>
                </w:p>
              </w:tc>
              <w:tc>
                <w:tcPr>
                  <w:tcW w:w="1188" w:type="dxa"/>
                  <w:tcBorders>
                    <w:top w:val="single" w:color="auto" w:sz="4" w:space="0"/>
                    <w:left w:val="single" w:color="auto" w:sz="4" w:space="0"/>
                    <w:bottom w:val="single" w:color="auto" w:sz="4" w:space="0"/>
                    <w:right w:val="single" w:color="auto" w:sz="4" w:space="0"/>
                  </w:tcBorders>
                  <w:vAlign w:val="center"/>
                </w:tcPr>
                <w:p w14:paraId="5F12F8B2">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r>
                    <w:rPr>
                      <w:rFonts w:hint="eastAsia" w:ascii="宋体" w:hAnsi="宋体" w:eastAsia="宋体" w:cs="宋体"/>
                      <w:color w:val="auto"/>
                      <w:szCs w:val="21"/>
                      <w:lang w:bidi="ar"/>
                    </w:rPr>
                    <w:t>样品编号</w:t>
                  </w:r>
                </w:p>
              </w:tc>
              <w:tc>
                <w:tcPr>
                  <w:tcW w:w="936" w:type="dxa"/>
                  <w:tcBorders>
                    <w:top w:val="single" w:color="auto" w:sz="4" w:space="0"/>
                    <w:left w:val="single" w:color="auto" w:sz="4" w:space="0"/>
                    <w:bottom w:val="single" w:color="auto" w:sz="4" w:space="0"/>
                    <w:right w:val="single" w:color="auto" w:sz="4" w:space="0"/>
                  </w:tcBorders>
                  <w:vAlign w:val="center"/>
                </w:tcPr>
                <w:p w14:paraId="75DBA17F">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lang w:bidi="ar"/>
                    </w:rPr>
                    <w:t>/</w:t>
                  </w:r>
                </w:p>
              </w:tc>
              <w:tc>
                <w:tcPr>
                  <w:tcW w:w="1778" w:type="dxa"/>
                  <w:tcBorders>
                    <w:top w:val="single" w:color="auto" w:sz="4" w:space="0"/>
                    <w:left w:val="single" w:color="auto" w:sz="4" w:space="0"/>
                    <w:bottom w:val="single" w:color="auto" w:sz="4" w:space="0"/>
                    <w:right w:val="single" w:color="auto" w:sz="4" w:space="0"/>
                  </w:tcBorders>
                  <w:vAlign w:val="center"/>
                </w:tcPr>
                <w:p w14:paraId="05CF875E">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r>
                    <w:rPr>
                      <w:rFonts w:hint="eastAsia" w:ascii="宋体" w:hAnsi="宋体" w:eastAsia="宋体" w:cs="宋体"/>
                      <w:color w:val="auto"/>
                      <w:szCs w:val="21"/>
                      <w:lang w:bidi="ar"/>
                    </w:rPr>
                    <w:t>气</w:t>
                  </w:r>
                  <w:r>
                    <w:rPr>
                      <w:rFonts w:hint="default" w:ascii="Times New Roman" w:hAnsi="Times New Roman" w:eastAsia="宋体" w:cs="Times New Roman"/>
                      <w:color w:val="auto"/>
                      <w:szCs w:val="21"/>
                      <w:lang w:bidi="ar"/>
                    </w:rPr>
                    <w:t>251120156</w:t>
                  </w:r>
                </w:p>
              </w:tc>
              <w:tc>
                <w:tcPr>
                  <w:tcW w:w="1891" w:type="dxa"/>
                  <w:tcBorders>
                    <w:top w:val="single" w:color="auto" w:sz="4" w:space="0"/>
                    <w:left w:val="single" w:color="auto" w:sz="4" w:space="0"/>
                    <w:bottom w:val="single" w:color="auto" w:sz="4" w:space="0"/>
                    <w:right w:val="single" w:color="auto" w:sz="4" w:space="0"/>
                  </w:tcBorders>
                  <w:vAlign w:val="center"/>
                </w:tcPr>
                <w:p w14:paraId="0588C8F0">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r>
                    <w:rPr>
                      <w:rFonts w:hint="eastAsia" w:ascii="宋体" w:hAnsi="宋体" w:eastAsia="宋体" w:cs="宋体"/>
                      <w:color w:val="auto"/>
                      <w:szCs w:val="21"/>
                      <w:lang w:bidi="ar"/>
                    </w:rPr>
                    <w:t>气</w:t>
                  </w:r>
                  <w:r>
                    <w:rPr>
                      <w:rFonts w:hint="default" w:ascii="Times New Roman" w:hAnsi="Times New Roman" w:eastAsia="宋体" w:cs="Times New Roman"/>
                      <w:color w:val="auto"/>
                      <w:szCs w:val="21"/>
                      <w:lang w:bidi="ar"/>
                    </w:rPr>
                    <w:t>251120157</w:t>
                  </w:r>
                </w:p>
              </w:tc>
              <w:tc>
                <w:tcPr>
                  <w:tcW w:w="1895" w:type="dxa"/>
                  <w:tcBorders>
                    <w:top w:val="single" w:color="auto" w:sz="4" w:space="0"/>
                    <w:left w:val="single" w:color="auto" w:sz="4" w:space="0"/>
                    <w:bottom w:val="single" w:color="auto" w:sz="4" w:space="0"/>
                    <w:right w:val="single" w:color="auto" w:sz="4" w:space="0"/>
                  </w:tcBorders>
                  <w:vAlign w:val="center"/>
                </w:tcPr>
                <w:p w14:paraId="6B9163F8">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r>
                    <w:rPr>
                      <w:rFonts w:hint="eastAsia" w:ascii="宋体" w:hAnsi="宋体" w:eastAsia="宋体" w:cs="宋体"/>
                      <w:color w:val="auto"/>
                      <w:szCs w:val="21"/>
                      <w:lang w:bidi="ar"/>
                    </w:rPr>
                    <w:t>气</w:t>
                  </w:r>
                  <w:r>
                    <w:rPr>
                      <w:rFonts w:hint="default" w:ascii="Times New Roman" w:hAnsi="Times New Roman" w:eastAsia="宋体" w:cs="Times New Roman"/>
                      <w:color w:val="auto"/>
                      <w:szCs w:val="21"/>
                      <w:lang w:bidi="ar"/>
                    </w:rPr>
                    <w:t>251120158</w:t>
                  </w:r>
                </w:p>
              </w:tc>
            </w:tr>
            <w:tr w14:paraId="58BE20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1634" w:type="dxa"/>
                  <w:vMerge w:val="continue"/>
                  <w:tcBorders>
                    <w:top w:val="nil"/>
                    <w:left w:val="single" w:color="auto" w:sz="4" w:space="0"/>
                    <w:bottom w:val="single" w:color="auto" w:sz="4" w:space="0"/>
                    <w:right w:val="single" w:color="auto" w:sz="4" w:space="0"/>
                  </w:tcBorders>
                  <w:vAlign w:val="center"/>
                </w:tcPr>
                <w:p w14:paraId="1555832C">
                  <w:pPr>
                    <w:keepNext w:val="0"/>
                    <w:keepLines w:val="0"/>
                    <w:suppressLineNumbers w:val="0"/>
                    <w:spacing w:before="0" w:beforeAutospacing="0" w:after="0" w:afterAutospacing="0"/>
                    <w:ind w:left="0" w:right="0"/>
                    <w:rPr>
                      <w:rFonts w:hint="default" w:ascii="Times New Roman" w:hAnsi="Times New Roman" w:cs="Times New Roman"/>
                      <w:color w:val="auto"/>
                      <w:sz w:val="20"/>
                      <w:szCs w:val="20"/>
                    </w:rPr>
                  </w:pPr>
                </w:p>
              </w:tc>
              <w:tc>
                <w:tcPr>
                  <w:tcW w:w="1188" w:type="dxa"/>
                  <w:tcBorders>
                    <w:top w:val="single" w:color="auto" w:sz="4" w:space="0"/>
                    <w:left w:val="single" w:color="auto" w:sz="4" w:space="0"/>
                    <w:bottom w:val="single" w:color="auto" w:sz="4" w:space="0"/>
                    <w:right w:val="single" w:color="auto" w:sz="4" w:space="0"/>
                  </w:tcBorders>
                  <w:vAlign w:val="center"/>
                </w:tcPr>
                <w:p w14:paraId="0C95E7A2">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r>
                    <w:rPr>
                      <w:rFonts w:hint="eastAsia" w:ascii="宋体" w:hAnsi="宋体" w:eastAsia="宋体" w:cs="宋体"/>
                      <w:color w:val="auto"/>
                      <w:szCs w:val="21"/>
                      <w:lang w:bidi="ar"/>
                    </w:rPr>
                    <w:t>排放浓度</w:t>
                  </w:r>
                </w:p>
              </w:tc>
              <w:tc>
                <w:tcPr>
                  <w:tcW w:w="936" w:type="dxa"/>
                  <w:tcBorders>
                    <w:top w:val="single" w:color="auto" w:sz="4" w:space="0"/>
                    <w:left w:val="single" w:color="auto" w:sz="4" w:space="0"/>
                    <w:bottom w:val="single" w:color="auto" w:sz="4" w:space="0"/>
                    <w:right w:val="single" w:color="auto" w:sz="4" w:space="0"/>
                  </w:tcBorders>
                  <w:vAlign w:val="center"/>
                </w:tcPr>
                <w:p w14:paraId="6DE3F19D">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r>
                    <w:rPr>
                      <w:rFonts w:hint="eastAsia" w:ascii="宋体" w:hAnsi="宋体" w:eastAsia="宋体" w:cs="宋体"/>
                      <w:color w:val="auto"/>
                      <w:szCs w:val="21"/>
                      <w:lang w:bidi="ar"/>
                    </w:rPr>
                    <w:t>无量纲</w:t>
                  </w:r>
                </w:p>
              </w:tc>
              <w:tc>
                <w:tcPr>
                  <w:tcW w:w="1778" w:type="dxa"/>
                  <w:tcBorders>
                    <w:top w:val="single" w:color="auto" w:sz="4" w:space="0"/>
                    <w:left w:val="single" w:color="auto" w:sz="4" w:space="0"/>
                    <w:bottom w:val="single" w:color="auto" w:sz="4" w:space="0"/>
                    <w:right w:val="single" w:color="auto" w:sz="4" w:space="0"/>
                  </w:tcBorders>
                  <w:vAlign w:val="center"/>
                </w:tcPr>
                <w:p w14:paraId="5CB903FA">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lang w:bidi="ar"/>
                    </w:rPr>
                    <w:t>229</w:t>
                  </w:r>
                </w:p>
              </w:tc>
              <w:tc>
                <w:tcPr>
                  <w:tcW w:w="1891" w:type="dxa"/>
                  <w:tcBorders>
                    <w:top w:val="single" w:color="auto" w:sz="4" w:space="0"/>
                    <w:left w:val="single" w:color="auto" w:sz="4" w:space="0"/>
                    <w:bottom w:val="single" w:color="auto" w:sz="4" w:space="0"/>
                    <w:right w:val="single" w:color="auto" w:sz="4" w:space="0"/>
                  </w:tcBorders>
                  <w:vAlign w:val="center"/>
                </w:tcPr>
                <w:p w14:paraId="40DA760C">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lang w:bidi="ar"/>
                    </w:rPr>
                    <w:t>229</w:t>
                  </w:r>
                </w:p>
              </w:tc>
              <w:tc>
                <w:tcPr>
                  <w:tcW w:w="1895" w:type="dxa"/>
                  <w:tcBorders>
                    <w:top w:val="single" w:color="auto" w:sz="4" w:space="0"/>
                    <w:left w:val="single" w:color="auto" w:sz="4" w:space="0"/>
                    <w:bottom w:val="single" w:color="auto" w:sz="4" w:space="0"/>
                    <w:right w:val="single" w:color="auto" w:sz="4" w:space="0"/>
                  </w:tcBorders>
                  <w:vAlign w:val="center"/>
                </w:tcPr>
                <w:p w14:paraId="17EF773D">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lang w:bidi="ar"/>
                    </w:rPr>
                    <w:t>229</w:t>
                  </w:r>
                </w:p>
              </w:tc>
            </w:tr>
            <w:tr w14:paraId="0C9975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9322" w:type="dxa"/>
                  <w:gridSpan w:val="6"/>
                  <w:tcBorders>
                    <w:top w:val="single" w:color="auto" w:sz="4" w:space="0"/>
                    <w:left w:val="single" w:color="auto" w:sz="4" w:space="0"/>
                    <w:bottom w:val="single" w:color="auto" w:sz="4" w:space="0"/>
                    <w:right w:val="single" w:color="auto" w:sz="4" w:space="0"/>
                  </w:tcBorders>
                  <w:vAlign w:val="center"/>
                </w:tcPr>
                <w:p w14:paraId="10F470D6">
                  <w:pPr>
                    <w:keepNext w:val="0"/>
                    <w:keepLines w:val="0"/>
                    <w:suppressLineNumbers w:val="0"/>
                    <w:spacing w:before="0" w:beforeAutospacing="0" w:after="0" w:afterAutospacing="0"/>
                    <w:ind w:left="0" w:right="0"/>
                    <w:jc w:val="left"/>
                    <w:rPr>
                      <w:rFonts w:hint="default" w:ascii="Times New Roman" w:hAnsi="Times New Roman" w:eastAsia="宋体" w:cs="Times New Roman"/>
                      <w:color w:val="auto"/>
                      <w:szCs w:val="21"/>
                    </w:rPr>
                  </w:pPr>
                  <w:r>
                    <w:rPr>
                      <w:rFonts w:hint="eastAsia" w:ascii="宋体" w:hAnsi="宋体" w:eastAsia="宋体" w:cs="宋体"/>
                      <w:color w:val="auto"/>
                      <w:szCs w:val="21"/>
                      <w:lang w:bidi="ar"/>
                    </w:rPr>
                    <w:t>采样点位：</w:t>
                  </w:r>
                  <w:r>
                    <w:rPr>
                      <w:rFonts w:hint="default" w:ascii="Times New Roman" w:hAnsi="Times New Roman" w:eastAsia="宋体" w:cs="Times New Roman"/>
                      <w:color w:val="auto"/>
                      <w:szCs w:val="21"/>
                      <w:u w:val="single"/>
                      <w:lang w:bidi="ar"/>
                    </w:rPr>
                    <w:t xml:space="preserve">   DA002</w:t>
                  </w:r>
                  <w:r>
                    <w:rPr>
                      <w:rFonts w:hint="eastAsia" w:ascii="宋体" w:hAnsi="宋体" w:eastAsia="宋体" w:cs="宋体"/>
                      <w:color w:val="auto"/>
                      <w:szCs w:val="21"/>
                      <w:u w:val="single"/>
                      <w:lang w:bidi="ar"/>
                    </w:rPr>
                    <w:t xml:space="preserve">挥发废气处理设施进口   </w:t>
                  </w:r>
                  <w:r>
                    <w:rPr>
                      <w:rFonts w:hint="eastAsia" w:ascii="宋体" w:hAnsi="宋体" w:eastAsia="宋体" w:cs="宋体"/>
                      <w:color w:val="auto"/>
                      <w:szCs w:val="21"/>
                      <w:lang w:bidi="ar"/>
                    </w:rPr>
                    <w:t>采样日期：</w:t>
                  </w:r>
                  <w:r>
                    <w:rPr>
                      <w:rFonts w:hint="default" w:ascii="Times New Roman" w:hAnsi="Times New Roman" w:eastAsia="宋体" w:cs="Times New Roman"/>
                      <w:color w:val="auto"/>
                      <w:szCs w:val="21"/>
                      <w:u w:val="single"/>
                      <w:lang w:bidi="ar"/>
                    </w:rPr>
                    <w:t xml:space="preserve">   2025.11.21   </w:t>
                  </w:r>
                </w:p>
              </w:tc>
            </w:tr>
            <w:tr w14:paraId="454CC6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2822" w:type="dxa"/>
                  <w:gridSpan w:val="2"/>
                  <w:tcBorders>
                    <w:top w:val="single" w:color="auto" w:sz="4" w:space="0"/>
                    <w:left w:val="single" w:color="auto" w:sz="4" w:space="0"/>
                    <w:bottom w:val="single" w:color="auto" w:sz="4" w:space="0"/>
                    <w:right w:val="single" w:color="auto" w:sz="4" w:space="0"/>
                  </w:tcBorders>
                  <w:vAlign w:val="center"/>
                </w:tcPr>
                <w:p w14:paraId="763E367F">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r>
                    <w:rPr>
                      <w:rFonts w:hint="eastAsia" w:ascii="宋体" w:hAnsi="宋体" w:eastAsia="宋体" w:cs="宋体"/>
                      <w:color w:val="auto"/>
                      <w:szCs w:val="21"/>
                      <w:lang w:bidi="ar"/>
                    </w:rPr>
                    <w:t>检测项目</w:t>
                  </w:r>
                </w:p>
              </w:tc>
              <w:tc>
                <w:tcPr>
                  <w:tcW w:w="936" w:type="dxa"/>
                  <w:tcBorders>
                    <w:top w:val="single" w:color="auto" w:sz="4" w:space="0"/>
                    <w:left w:val="single" w:color="auto" w:sz="4" w:space="0"/>
                    <w:bottom w:val="single" w:color="auto" w:sz="4" w:space="0"/>
                    <w:right w:val="single" w:color="auto" w:sz="4" w:space="0"/>
                  </w:tcBorders>
                  <w:vAlign w:val="center"/>
                </w:tcPr>
                <w:p w14:paraId="4BBD9568">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r>
                    <w:rPr>
                      <w:rFonts w:hint="eastAsia" w:ascii="宋体" w:hAnsi="宋体" w:eastAsia="宋体" w:cs="宋体"/>
                      <w:color w:val="auto"/>
                      <w:szCs w:val="21"/>
                      <w:lang w:bidi="ar"/>
                    </w:rPr>
                    <w:t>单位</w:t>
                  </w:r>
                </w:p>
              </w:tc>
              <w:tc>
                <w:tcPr>
                  <w:tcW w:w="5564" w:type="dxa"/>
                  <w:gridSpan w:val="3"/>
                  <w:tcBorders>
                    <w:top w:val="single" w:color="auto" w:sz="4" w:space="0"/>
                    <w:left w:val="single" w:color="auto" w:sz="4" w:space="0"/>
                    <w:bottom w:val="single" w:color="auto" w:sz="4" w:space="0"/>
                    <w:right w:val="single" w:color="auto" w:sz="4" w:space="0"/>
                  </w:tcBorders>
                  <w:vAlign w:val="center"/>
                </w:tcPr>
                <w:p w14:paraId="43198694">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r>
                    <w:rPr>
                      <w:rFonts w:hint="eastAsia" w:ascii="宋体" w:hAnsi="宋体" w:eastAsia="宋体" w:cs="宋体"/>
                      <w:color w:val="auto"/>
                      <w:szCs w:val="21"/>
                      <w:lang w:bidi="ar"/>
                    </w:rPr>
                    <w:t>检测结果</w:t>
                  </w:r>
                </w:p>
              </w:tc>
            </w:tr>
            <w:tr w14:paraId="3AF597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2822" w:type="dxa"/>
                  <w:gridSpan w:val="2"/>
                  <w:tcBorders>
                    <w:top w:val="single" w:color="auto" w:sz="4" w:space="0"/>
                    <w:left w:val="single" w:color="auto" w:sz="4" w:space="0"/>
                    <w:bottom w:val="single" w:color="auto" w:sz="4" w:space="0"/>
                    <w:right w:val="single" w:color="auto" w:sz="4" w:space="0"/>
                  </w:tcBorders>
                  <w:vAlign w:val="center"/>
                </w:tcPr>
                <w:p w14:paraId="2D720F5E">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r>
                    <w:rPr>
                      <w:rFonts w:hint="eastAsia" w:ascii="宋体" w:hAnsi="宋体" w:eastAsia="宋体" w:cs="宋体"/>
                      <w:color w:val="auto"/>
                      <w:szCs w:val="21"/>
                      <w:lang w:bidi="ar"/>
                    </w:rPr>
                    <w:t>检测管道截面积</w:t>
                  </w:r>
                </w:p>
              </w:tc>
              <w:tc>
                <w:tcPr>
                  <w:tcW w:w="936" w:type="dxa"/>
                  <w:tcBorders>
                    <w:top w:val="single" w:color="auto" w:sz="4" w:space="0"/>
                    <w:left w:val="single" w:color="auto" w:sz="4" w:space="0"/>
                    <w:bottom w:val="single" w:color="auto" w:sz="4" w:space="0"/>
                    <w:right w:val="single" w:color="auto" w:sz="4" w:space="0"/>
                  </w:tcBorders>
                  <w:vAlign w:val="center"/>
                </w:tcPr>
                <w:p w14:paraId="0BC44B8A">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lang w:bidi="ar"/>
                    </w:rPr>
                    <w:t>m²</w:t>
                  </w:r>
                </w:p>
              </w:tc>
              <w:tc>
                <w:tcPr>
                  <w:tcW w:w="1778" w:type="dxa"/>
                  <w:tcBorders>
                    <w:top w:val="single" w:color="auto" w:sz="4" w:space="0"/>
                    <w:left w:val="single" w:color="auto" w:sz="4" w:space="0"/>
                    <w:bottom w:val="single" w:color="auto" w:sz="4" w:space="0"/>
                    <w:right w:val="single" w:color="auto" w:sz="4" w:space="0"/>
                  </w:tcBorders>
                  <w:vAlign w:val="center"/>
                </w:tcPr>
                <w:p w14:paraId="04929E11">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lang w:bidi="ar"/>
                    </w:rPr>
                    <w:t>0.9503</w:t>
                  </w:r>
                </w:p>
              </w:tc>
              <w:tc>
                <w:tcPr>
                  <w:tcW w:w="1891" w:type="dxa"/>
                  <w:tcBorders>
                    <w:top w:val="single" w:color="auto" w:sz="4" w:space="0"/>
                    <w:left w:val="single" w:color="auto" w:sz="4" w:space="0"/>
                    <w:bottom w:val="single" w:color="auto" w:sz="4" w:space="0"/>
                    <w:right w:val="single" w:color="auto" w:sz="4" w:space="0"/>
                  </w:tcBorders>
                  <w:vAlign w:val="center"/>
                </w:tcPr>
                <w:p w14:paraId="07C696BF">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lang w:bidi="ar"/>
                    </w:rPr>
                    <w:t>0.9503</w:t>
                  </w:r>
                </w:p>
              </w:tc>
              <w:tc>
                <w:tcPr>
                  <w:tcW w:w="1895" w:type="dxa"/>
                  <w:tcBorders>
                    <w:top w:val="single" w:color="auto" w:sz="4" w:space="0"/>
                    <w:left w:val="single" w:color="auto" w:sz="4" w:space="0"/>
                    <w:bottom w:val="single" w:color="auto" w:sz="4" w:space="0"/>
                    <w:right w:val="single" w:color="auto" w:sz="4" w:space="0"/>
                  </w:tcBorders>
                  <w:vAlign w:val="center"/>
                </w:tcPr>
                <w:p w14:paraId="6891C313">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lang w:bidi="ar"/>
                    </w:rPr>
                    <w:t>0.9503</w:t>
                  </w:r>
                </w:p>
              </w:tc>
            </w:tr>
            <w:tr w14:paraId="3BDCA2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2822" w:type="dxa"/>
                  <w:gridSpan w:val="2"/>
                  <w:tcBorders>
                    <w:top w:val="single" w:color="auto" w:sz="4" w:space="0"/>
                    <w:left w:val="single" w:color="auto" w:sz="4" w:space="0"/>
                    <w:bottom w:val="single" w:color="auto" w:sz="4" w:space="0"/>
                    <w:right w:val="single" w:color="auto" w:sz="4" w:space="0"/>
                  </w:tcBorders>
                  <w:vAlign w:val="center"/>
                </w:tcPr>
                <w:p w14:paraId="7ACB9782">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r>
                    <w:rPr>
                      <w:rFonts w:hint="eastAsia" w:ascii="宋体" w:hAnsi="宋体" w:eastAsia="宋体" w:cs="宋体"/>
                      <w:color w:val="auto"/>
                      <w:szCs w:val="21"/>
                      <w:lang w:bidi="ar"/>
                    </w:rPr>
                    <w:t>烟气温度</w:t>
                  </w:r>
                </w:p>
              </w:tc>
              <w:tc>
                <w:tcPr>
                  <w:tcW w:w="936" w:type="dxa"/>
                  <w:tcBorders>
                    <w:top w:val="single" w:color="auto" w:sz="4" w:space="0"/>
                    <w:left w:val="single" w:color="auto" w:sz="4" w:space="0"/>
                    <w:bottom w:val="single" w:color="auto" w:sz="4" w:space="0"/>
                    <w:right w:val="single" w:color="auto" w:sz="4" w:space="0"/>
                  </w:tcBorders>
                  <w:vAlign w:val="center"/>
                </w:tcPr>
                <w:p w14:paraId="6F80529B">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lang w:bidi="ar"/>
                    </w:rPr>
                    <w:t>℃</w:t>
                  </w:r>
                </w:p>
              </w:tc>
              <w:tc>
                <w:tcPr>
                  <w:tcW w:w="1778" w:type="dxa"/>
                  <w:tcBorders>
                    <w:top w:val="single" w:color="auto" w:sz="4" w:space="0"/>
                    <w:left w:val="single" w:color="auto" w:sz="4" w:space="0"/>
                    <w:bottom w:val="single" w:color="auto" w:sz="4" w:space="0"/>
                    <w:right w:val="single" w:color="auto" w:sz="4" w:space="0"/>
                  </w:tcBorders>
                  <w:vAlign w:val="center"/>
                </w:tcPr>
                <w:p w14:paraId="28EDF23B">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lang w:bidi="ar"/>
                    </w:rPr>
                    <w:t>71.4</w:t>
                  </w:r>
                </w:p>
              </w:tc>
              <w:tc>
                <w:tcPr>
                  <w:tcW w:w="1891" w:type="dxa"/>
                  <w:tcBorders>
                    <w:top w:val="single" w:color="auto" w:sz="4" w:space="0"/>
                    <w:left w:val="single" w:color="auto" w:sz="4" w:space="0"/>
                    <w:bottom w:val="single" w:color="auto" w:sz="4" w:space="0"/>
                    <w:right w:val="single" w:color="auto" w:sz="4" w:space="0"/>
                  </w:tcBorders>
                  <w:vAlign w:val="center"/>
                </w:tcPr>
                <w:p w14:paraId="4B7286E4">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lang w:bidi="ar"/>
                    </w:rPr>
                    <w:t>71.9</w:t>
                  </w:r>
                </w:p>
              </w:tc>
              <w:tc>
                <w:tcPr>
                  <w:tcW w:w="1895" w:type="dxa"/>
                  <w:tcBorders>
                    <w:top w:val="single" w:color="auto" w:sz="4" w:space="0"/>
                    <w:left w:val="single" w:color="auto" w:sz="4" w:space="0"/>
                    <w:bottom w:val="single" w:color="auto" w:sz="4" w:space="0"/>
                    <w:right w:val="single" w:color="auto" w:sz="4" w:space="0"/>
                  </w:tcBorders>
                  <w:vAlign w:val="center"/>
                </w:tcPr>
                <w:p w14:paraId="03ADC148">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lang w:bidi="ar"/>
                    </w:rPr>
                    <w:t>72.4</w:t>
                  </w:r>
                </w:p>
              </w:tc>
            </w:tr>
            <w:tr w14:paraId="26C352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2822" w:type="dxa"/>
                  <w:gridSpan w:val="2"/>
                  <w:tcBorders>
                    <w:top w:val="single" w:color="auto" w:sz="4" w:space="0"/>
                    <w:left w:val="single" w:color="auto" w:sz="4" w:space="0"/>
                    <w:bottom w:val="single" w:color="auto" w:sz="4" w:space="0"/>
                    <w:right w:val="single" w:color="auto" w:sz="4" w:space="0"/>
                  </w:tcBorders>
                  <w:vAlign w:val="center"/>
                </w:tcPr>
                <w:p w14:paraId="1A55BCD1">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r>
                    <w:rPr>
                      <w:rFonts w:hint="eastAsia" w:ascii="宋体" w:hAnsi="宋体" w:eastAsia="宋体" w:cs="宋体"/>
                      <w:color w:val="auto"/>
                      <w:szCs w:val="21"/>
                      <w:lang w:bidi="ar"/>
                    </w:rPr>
                    <w:t>烟气平均流速</w:t>
                  </w:r>
                </w:p>
              </w:tc>
              <w:tc>
                <w:tcPr>
                  <w:tcW w:w="936" w:type="dxa"/>
                  <w:tcBorders>
                    <w:top w:val="single" w:color="auto" w:sz="4" w:space="0"/>
                    <w:left w:val="single" w:color="auto" w:sz="4" w:space="0"/>
                    <w:bottom w:val="single" w:color="auto" w:sz="4" w:space="0"/>
                    <w:right w:val="single" w:color="auto" w:sz="4" w:space="0"/>
                  </w:tcBorders>
                  <w:vAlign w:val="center"/>
                </w:tcPr>
                <w:p w14:paraId="6639687A">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lang w:bidi="ar"/>
                    </w:rPr>
                    <w:t>m/s</w:t>
                  </w:r>
                </w:p>
              </w:tc>
              <w:tc>
                <w:tcPr>
                  <w:tcW w:w="1778" w:type="dxa"/>
                  <w:tcBorders>
                    <w:top w:val="single" w:color="auto" w:sz="4" w:space="0"/>
                    <w:left w:val="single" w:color="auto" w:sz="4" w:space="0"/>
                    <w:bottom w:val="single" w:color="auto" w:sz="4" w:space="0"/>
                    <w:right w:val="single" w:color="auto" w:sz="4" w:space="0"/>
                  </w:tcBorders>
                  <w:vAlign w:val="center"/>
                </w:tcPr>
                <w:p w14:paraId="436A0642">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lang w:bidi="ar"/>
                    </w:rPr>
                    <w:t>10.8</w:t>
                  </w:r>
                </w:p>
              </w:tc>
              <w:tc>
                <w:tcPr>
                  <w:tcW w:w="1891" w:type="dxa"/>
                  <w:tcBorders>
                    <w:top w:val="single" w:color="auto" w:sz="4" w:space="0"/>
                    <w:left w:val="single" w:color="auto" w:sz="4" w:space="0"/>
                    <w:bottom w:val="single" w:color="auto" w:sz="4" w:space="0"/>
                    <w:right w:val="single" w:color="auto" w:sz="4" w:space="0"/>
                  </w:tcBorders>
                  <w:vAlign w:val="center"/>
                </w:tcPr>
                <w:p w14:paraId="557EE811">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lang w:bidi="ar"/>
                    </w:rPr>
                    <w:t>10.6</w:t>
                  </w:r>
                </w:p>
              </w:tc>
              <w:tc>
                <w:tcPr>
                  <w:tcW w:w="1895" w:type="dxa"/>
                  <w:tcBorders>
                    <w:top w:val="single" w:color="auto" w:sz="4" w:space="0"/>
                    <w:left w:val="single" w:color="auto" w:sz="4" w:space="0"/>
                    <w:bottom w:val="single" w:color="auto" w:sz="4" w:space="0"/>
                    <w:right w:val="single" w:color="auto" w:sz="4" w:space="0"/>
                  </w:tcBorders>
                  <w:vAlign w:val="center"/>
                </w:tcPr>
                <w:p w14:paraId="0099C911">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lang w:bidi="ar"/>
                    </w:rPr>
                    <w:t>10.7</w:t>
                  </w:r>
                </w:p>
              </w:tc>
            </w:tr>
            <w:tr w14:paraId="4BCEFB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2822" w:type="dxa"/>
                  <w:gridSpan w:val="2"/>
                  <w:tcBorders>
                    <w:top w:val="single" w:color="auto" w:sz="4" w:space="0"/>
                    <w:left w:val="single" w:color="auto" w:sz="4" w:space="0"/>
                    <w:bottom w:val="single" w:color="auto" w:sz="4" w:space="0"/>
                    <w:right w:val="single" w:color="auto" w:sz="4" w:space="0"/>
                  </w:tcBorders>
                  <w:vAlign w:val="center"/>
                </w:tcPr>
                <w:p w14:paraId="2E3E748C">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r>
                    <w:rPr>
                      <w:rFonts w:hint="eastAsia" w:ascii="宋体" w:hAnsi="宋体" w:eastAsia="宋体" w:cs="宋体"/>
                      <w:color w:val="auto"/>
                      <w:szCs w:val="21"/>
                      <w:lang w:bidi="ar"/>
                    </w:rPr>
                    <w:t>标态干烟气量</w:t>
                  </w:r>
                </w:p>
              </w:tc>
              <w:tc>
                <w:tcPr>
                  <w:tcW w:w="936" w:type="dxa"/>
                  <w:tcBorders>
                    <w:top w:val="single" w:color="auto" w:sz="4" w:space="0"/>
                    <w:left w:val="single" w:color="auto" w:sz="4" w:space="0"/>
                    <w:bottom w:val="single" w:color="auto" w:sz="4" w:space="0"/>
                    <w:right w:val="single" w:color="auto" w:sz="4" w:space="0"/>
                  </w:tcBorders>
                  <w:vAlign w:val="center"/>
                </w:tcPr>
                <w:p w14:paraId="2D09E661">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lang w:bidi="ar"/>
                    </w:rPr>
                    <w:t>m³/h</w:t>
                  </w:r>
                </w:p>
              </w:tc>
              <w:tc>
                <w:tcPr>
                  <w:tcW w:w="1778" w:type="dxa"/>
                  <w:tcBorders>
                    <w:top w:val="single" w:color="auto" w:sz="4" w:space="0"/>
                    <w:left w:val="single" w:color="auto" w:sz="4" w:space="0"/>
                    <w:bottom w:val="single" w:color="auto" w:sz="4" w:space="0"/>
                    <w:right w:val="single" w:color="auto" w:sz="4" w:space="0"/>
                  </w:tcBorders>
                  <w:vAlign w:val="center"/>
                </w:tcPr>
                <w:p w14:paraId="6FD7EC51">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lang w:bidi="ar"/>
                    </w:rPr>
                    <w:t>28987</w:t>
                  </w:r>
                </w:p>
              </w:tc>
              <w:tc>
                <w:tcPr>
                  <w:tcW w:w="1891" w:type="dxa"/>
                  <w:tcBorders>
                    <w:top w:val="single" w:color="auto" w:sz="4" w:space="0"/>
                    <w:left w:val="single" w:color="auto" w:sz="4" w:space="0"/>
                    <w:bottom w:val="single" w:color="auto" w:sz="4" w:space="0"/>
                    <w:right w:val="single" w:color="auto" w:sz="4" w:space="0"/>
                  </w:tcBorders>
                  <w:vAlign w:val="center"/>
                </w:tcPr>
                <w:p w14:paraId="4991D626">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lang w:bidi="ar"/>
                    </w:rPr>
                    <w:t>28407</w:t>
                  </w:r>
                </w:p>
              </w:tc>
              <w:tc>
                <w:tcPr>
                  <w:tcW w:w="1895" w:type="dxa"/>
                  <w:tcBorders>
                    <w:top w:val="single" w:color="auto" w:sz="4" w:space="0"/>
                    <w:left w:val="single" w:color="auto" w:sz="4" w:space="0"/>
                    <w:bottom w:val="single" w:color="auto" w:sz="4" w:space="0"/>
                    <w:right w:val="single" w:color="auto" w:sz="4" w:space="0"/>
                  </w:tcBorders>
                  <w:vAlign w:val="center"/>
                </w:tcPr>
                <w:p w14:paraId="7AD155A1">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lang w:bidi="ar"/>
                    </w:rPr>
                    <w:t>28638</w:t>
                  </w:r>
                </w:p>
              </w:tc>
            </w:tr>
            <w:tr w14:paraId="07664D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1634" w:type="dxa"/>
                  <w:vMerge w:val="restart"/>
                  <w:tcBorders>
                    <w:top w:val="nil"/>
                    <w:left w:val="single" w:color="auto" w:sz="4" w:space="0"/>
                    <w:bottom w:val="single" w:color="auto" w:sz="4" w:space="0"/>
                    <w:right w:val="single" w:color="auto" w:sz="4" w:space="0"/>
                  </w:tcBorders>
                  <w:vAlign w:val="center"/>
                </w:tcPr>
                <w:p w14:paraId="5EA35F14">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r>
                    <w:rPr>
                      <w:rFonts w:hint="eastAsia" w:ascii="宋体" w:hAnsi="宋体" w:eastAsia="宋体" w:cs="宋体"/>
                      <w:color w:val="auto"/>
                      <w:szCs w:val="21"/>
                      <w:lang w:bidi="ar"/>
                    </w:rPr>
                    <w:t>非甲烷总烃</w:t>
                  </w:r>
                </w:p>
              </w:tc>
              <w:tc>
                <w:tcPr>
                  <w:tcW w:w="1188" w:type="dxa"/>
                  <w:tcBorders>
                    <w:top w:val="single" w:color="auto" w:sz="4" w:space="0"/>
                    <w:left w:val="single" w:color="auto" w:sz="4" w:space="0"/>
                    <w:bottom w:val="single" w:color="auto" w:sz="4" w:space="0"/>
                    <w:right w:val="single" w:color="auto" w:sz="4" w:space="0"/>
                  </w:tcBorders>
                  <w:vAlign w:val="center"/>
                </w:tcPr>
                <w:p w14:paraId="3C837402">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r>
                    <w:rPr>
                      <w:rFonts w:hint="eastAsia" w:ascii="宋体" w:hAnsi="宋体" w:eastAsia="宋体" w:cs="宋体"/>
                      <w:color w:val="auto"/>
                      <w:szCs w:val="21"/>
                      <w:lang w:bidi="ar"/>
                    </w:rPr>
                    <w:t>样品编号</w:t>
                  </w:r>
                </w:p>
              </w:tc>
              <w:tc>
                <w:tcPr>
                  <w:tcW w:w="936" w:type="dxa"/>
                  <w:tcBorders>
                    <w:top w:val="single" w:color="auto" w:sz="4" w:space="0"/>
                    <w:left w:val="single" w:color="auto" w:sz="4" w:space="0"/>
                    <w:bottom w:val="single" w:color="auto" w:sz="4" w:space="0"/>
                    <w:right w:val="single" w:color="auto" w:sz="4" w:space="0"/>
                  </w:tcBorders>
                  <w:vAlign w:val="center"/>
                </w:tcPr>
                <w:p w14:paraId="1A06403A">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lang w:bidi="ar"/>
                    </w:rPr>
                    <w:t>/</w:t>
                  </w:r>
                </w:p>
              </w:tc>
              <w:tc>
                <w:tcPr>
                  <w:tcW w:w="1778" w:type="dxa"/>
                  <w:tcBorders>
                    <w:top w:val="single" w:color="auto" w:sz="4" w:space="0"/>
                    <w:left w:val="single" w:color="auto" w:sz="4" w:space="0"/>
                    <w:bottom w:val="single" w:color="auto" w:sz="4" w:space="0"/>
                    <w:right w:val="single" w:color="auto" w:sz="4" w:space="0"/>
                  </w:tcBorders>
                  <w:vAlign w:val="center"/>
                </w:tcPr>
                <w:p w14:paraId="7CDAC031">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r>
                    <w:rPr>
                      <w:rFonts w:hint="eastAsia" w:ascii="宋体" w:hAnsi="宋体" w:eastAsia="宋体" w:cs="宋体"/>
                      <w:color w:val="auto"/>
                      <w:szCs w:val="21"/>
                      <w:lang w:bidi="ar"/>
                    </w:rPr>
                    <w:t>气</w:t>
                  </w:r>
                  <w:r>
                    <w:rPr>
                      <w:rFonts w:hint="default" w:ascii="Times New Roman" w:hAnsi="Times New Roman" w:eastAsia="宋体" w:cs="Times New Roman"/>
                      <w:color w:val="auto"/>
                      <w:szCs w:val="21"/>
                      <w:lang w:bidi="ar"/>
                    </w:rPr>
                    <w:t>251121118</w:t>
                  </w:r>
                </w:p>
              </w:tc>
              <w:tc>
                <w:tcPr>
                  <w:tcW w:w="1891" w:type="dxa"/>
                  <w:tcBorders>
                    <w:top w:val="single" w:color="auto" w:sz="4" w:space="0"/>
                    <w:left w:val="single" w:color="auto" w:sz="4" w:space="0"/>
                    <w:bottom w:val="single" w:color="auto" w:sz="4" w:space="0"/>
                    <w:right w:val="single" w:color="auto" w:sz="4" w:space="0"/>
                  </w:tcBorders>
                  <w:vAlign w:val="center"/>
                </w:tcPr>
                <w:p w14:paraId="6F0C10CF">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r>
                    <w:rPr>
                      <w:rFonts w:hint="eastAsia" w:ascii="宋体" w:hAnsi="宋体" w:eastAsia="宋体" w:cs="宋体"/>
                      <w:color w:val="auto"/>
                      <w:szCs w:val="21"/>
                      <w:lang w:bidi="ar"/>
                    </w:rPr>
                    <w:t>气</w:t>
                  </w:r>
                  <w:r>
                    <w:rPr>
                      <w:rFonts w:hint="default" w:ascii="Times New Roman" w:hAnsi="Times New Roman" w:eastAsia="宋体" w:cs="Times New Roman"/>
                      <w:color w:val="auto"/>
                      <w:szCs w:val="21"/>
                      <w:lang w:bidi="ar"/>
                    </w:rPr>
                    <w:t>251121119</w:t>
                  </w:r>
                </w:p>
              </w:tc>
              <w:tc>
                <w:tcPr>
                  <w:tcW w:w="1895" w:type="dxa"/>
                  <w:tcBorders>
                    <w:top w:val="single" w:color="auto" w:sz="4" w:space="0"/>
                    <w:left w:val="single" w:color="auto" w:sz="4" w:space="0"/>
                    <w:bottom w:val="single" w:color="auto" w:sz="4" w:space="0"/>
                    <w:right w:val="single" w:color="auto" w:sz="4" w:space="0"/>
                  </w:tcBorders>
                  <w:vAlign w:val="center"/>
                </w:tcPr>
                <w:p w14:paraId="3CEDBC87">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r>
                    <w:rPr>
                      <w:rFonts w:hint="eastAsia" w:ascii="宋体" w:hAnsi="宋体" w:eastAsia="宋体" w:cs="宋体"/>
                      <w:color w:val="auto"/>
                      <w:szCs w:val="21"/>
                      <w:lang w:bidi="ar"/>
                    </w:rPr>
                    <w:t>气</w:t>
                  </w:r>
                  <w:r>
                    <w:rPr>
                      <w:rFonts w:hint="default" w:ascii="Times New Roman" w:hAnsi="Times New Roman" w:eastAsia="宋体" w:cs="Times New Roman"/>
                      <w:color w:val="auto"/>
                      <w:szCs w:val="21"/>
                      <w:lang w:bidi="ar"/>
                    </w:rPr>
                    <w:t>251121120</w:t>
                  </w:r>
                </w:p>
              </w:tc>
            </w:tr>
            <w:tr w14:paraId="5224D9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1634" w:type="dxa"/>
                  <w:vMerge w:val="continue"/>
                  <w:tcBorders>
                    <w:top w:val="nil"/>
                    <w:left w:val="single" w:color="auto" w:sz="4" w:space="0"/>
                    <w:bottom w:val="single" w:color="auto" w:sz="4" w:space="0"/>
                    <w:right w:val="single" w:color="auto" w:sz="4" w:space="0"/>
                  </w:tcBorders>
                  <w:vAlign w:val="center"/>
                </w:tcPr>
                <w:p w14:paraId="7AA8B1EA">
                  <w:pPr>
                    <w:keepNext w:val="0"/>
                    <w:keepLines w:val="0"/>
                    <w:suppressLineNumbers w:val="0"/>
                    <w:spacing w:before="0" w:beforeAutospacing="0" w:after="0" w:afterAutospacing="0"/>
                    <w:ind w:left="0" w:right="0"/>
                    <w:rPr>
                      <w:rFonts w:hint="default" w:ascii="Times New Roman" w:hAnsi="Times New Roman" w:cs="Times New Roman"/>
                      <w:color w:val="auto"/>
                      <w:sz w:val="20"/>
                      <w:szCs w:val="20"/>
                    </w:rPr>
                  </w:pPr>
                </w:p>
              </w:tc>
              <w:tc>
                <w:tcPr>
                  <w:tcW w:w="1188" w:type="dxa"/>
                  <w:tcBorders>
                    <w:top w:val="single" w:color="auto" w:sz="4" w:space="0"/>
                    <w:left w:val="single" w:color="auto" w:sz="4" w:space="0"/>
                    <w:bottom w:val="single" w:color="auto" w:sz="4" w:space="0"/>
                    <w:right w:val="single" w:color="auto" w:sz="4" w:space="0"/>
                  </w:tcBorders>
                  <w:vAlign w:val="center"/>
                </w:tcPr>
                <w:p w14:paraId="34BE452F">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r>
                    <w:rPr>
                      <w:rFonts w:hint="eastAsia" w:ascii="宋体" w:hAnsi="宋体" w:eastAsia="宋体" w:cs="宋体"/>
                      <w:color w:val="auto"/>
                      <w:szCs w:val="21"/>
                      <w:lang w:bidi="ar"/>
                    </w:rPr>
                    <w:t>排放浓度</w:t>
                  </w:r>
                </w:p>
              </w:tc>
              <w:tc>
                <w:tcPr>
                  <w:tcW w:w="936" w:type="dxa"/>
                  <w:tcBorders>
                    <w:top w:val="single" w:color="auto" w:sz="4" w:space="0"/>
                    <w:left w:val="single" w:color="auto" w:sz="4" w:space="0"/>
                    <w:bottom w:val="single" w:color="auto" w:sz="4" w:space="0"/>
                    <w:right w:val="single" w:color="auto" w:sz="4" w:space="0"/>
                  </w:tcBorders>
                  <w:vAlign w:val="center"/>
                </w:tcPr>
                <w:p w14:paraId="0270FA90">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lang w:bidi="ar"/>
                    </w:rPr>
                    <w:t>mg/m³</w:t>
                  </w:r>
                </w:p>
              </w:tc>
              <w:tc>
                <w:tcPr>
                  <w:tcW w:w="1778" w:type="dxa"/>
                  <w:tcBorders>
                    <w:top w:val="single" w:color="auto" w:sz="4" w:space="0"/>
                    <w:left w:val="single" w:color="auto" w:sz="4" w:space="0"/>
                    <w:bottom w:val="single" w:color="auto" w:sz="4" w:space="0"/>
                    <w:right w:val="single" w:color="auto" w:sz="4" w:space="0"/>
                  </w:tcBorders>
                  <w:vAlign w:val="center"/>
                </w:tcPr>
                <w:p w14:paraId="43491BA9">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lang w:bidi="ar"/>
                    </w:rPr>
                    <w:t>12.2</w:t>
                  </w:r>
                </w:p>
              </w:tc>
              <w:tc>
                <w:tcPr>
                  <w:tcW w:w="1891" w:type="dxa"/>
                  <w:tcBorders>
                    <w:top w:val="single" w:color="auto" w:sz="4" w:space="0"/>
                    <w:left w:val="single" w:color="auto" w:sz="4" w:space="0"/>
                    <w:bottom w:val="single" w:color="auto" w:sz="4" w:space="0"/>
                    <w:right w:val="single" w:color="auto" w:sz="4" w:space="0"/>
                  </w:tcBorders>
                  <w:vAlign w:val="center"/>
                </w:tcPr>
                <w:p w14:paraId="66B708D2">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lang w:bidi="ar"/>
                    </w:rPr>
                    <w:t>12.6</w:t>
                  </w:r>
                </w:p>
              </w:tc>
              <w:tc>
                <w:tcPr>
                  <w:tcW w:w="1895" w:type="dxa"/>
                  <w:tcBorders>
                    <w:top w:val="single" w:color="auto" w:sz="4" w:space="0"/>
                    <w:left w:val="single" w:color="auto" w:sz="4" w:space="0"/>
                    <w:bottom w:val="single" w:color="auto" w:sz="4" w:space="0"/>
                    <w:right w:val="single" w:color="auto" w:sz="4" w:space="0"/>
                  </w:tcBorders>
                  <w:vAlign w:val="center"/>
                </w:tcPr>
                <w:p w14:paraId="16DA5CBF">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lang w:bidi="ar"/>
                    </w:rPr>
                    <w:t>12.3</w:t>
                  </w:r>
                </w:p>
              </w:tc>
            </w:tr>
            <w:tr w14:paraId="044364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1634" w:type="dxa"/>
                  <w:vMerge w:val="continue"/>
                  <w:tcBorders>
                    <w:top w:val="nil"/>
                    <w:left w:val="single" w:color="auto" w:sz="4" w:space="0"/>
                    <w:bottom w:val="single" w:color="auto" w:sz="4" w:space="0"/>
                    <w:right w:val="single" w:color="auto" w:sz="4" w:space="0"/>
                  </w:tcBorders>
                  <w:vAlign w:val="center"/>
                </w:tcPr>
                <w:p w14:paraId="6AC8A745">
                  <w:pPr>
                    <w:keepNext w:val="0"/>
                    <w:keepLines w:val="0"/>
                    <w:suppressLineNumbers w:val="0"/>
                    <w:spacing w:before="0" w:beforeAutospacing="0" w:after="0" w:afterAutospacing="0"/>
                    <w:ind w:left="0" w:right="0"/>
                    <w:rPr>
                      <w:rFonts w:hint="default" w:ascii="Times New Roman" w:hAnsi="Times New Roman" w:cs="Times New Roman"/>
                      <w:color w:val="auto"/>
                      <w:sz w:val="20"/>
                      <w:szCs w:val="20"/>
                    </w:rPr>
                  </w:pPr>
                </w:p>
              </w:tc>
              <w:tc>
                <w:tcPr>
                  <w:tcW w:w="1188" w:type="dxa"/>
                  <w:tcBorders>
                    <w:top w:val="single" w:color="auto" w:sz="4" w:space="0"/>
                    <w:left w:val="single" w:color="auto" w:sz="4" w:space="0"/>
                    <w:bottom w:val="single" w:color="auto" w:sz="4" w:space="0"/>
                    <w:right w:val="single" w:color="auto" w:sz="4" w:space="0"/>
                  </w:tcBorders>
                  <w:vAlign w:val="center"/>
                </w:tcPr>
                <w:p w14:paraId="2EC5E3ED">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r>
                    <w:rPr>
                      <w:rFonts w:hint="eastAsia" w:ascii="宋体" w:hAnsi="宋体" w:eastAsia="宋体" w:cs="宋体"/>
                      <w:color w:val="auto"/>
                      <w:szCs w:val="21"/>
                      <w:lang w:bidi="ar"/>
                    </w:rPr>
                    <w:t>排放速率</w:t>
                  </w:r>
                </w:p>
              </w:tc>
              <w:tc>
                <w:tcPr>
                  <w:tcW w:w="936" w:type="dxa"/>
                  <w:tcBorders>
                    <w:top w:val="single" w:color="auto" w:sz="4" w:space="0"/>
                    <w:left w:val="single" w:color="auto" w:sz="4" w:space="0"/>
                    <w:bottom w:val="single" w:color="auto" w:sz="4" w:space="0"/>
                    <w:right w:val="single" w:color="auto" w:sz="4" w:space="0"/>
                  </w:tcBorders>
                  <w:vAlign w:val="center"/>
                </w:tcPr>
                <w:p w14:paraId="78C5B743">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lang w:bidi="ar"/>
                    </w:rPr>
                    <w:t>kg/h</w:t>
                  </w:r>
                </w:p>
              </w:tc>
              <w:tc>
                <w:tcPr>
                  <w:tcW w:w="1778" w:type="dxa"/>
                  <w:tcBorders>
                    <w:top w:val="single" w:color="auto" w:sz="4" w:space="0"/>
                    <w:left w:val="single" w:color="auto" w:sz="4" w:space="0"/>
                    <w:bottom w:val="single" w:color="auto" w:sz="4" w:space="0"/>
                    <w:right w:val="single" w:color="auto" w:sz="4" w:space="0"/>
                  </w:tcBorders>
                  <w:vAlign w:val="center"/>
                </w:tcPr>
                <w:p w14:paraId="54148012">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lang w:bidi="ar"/>
                    </w:rPr>
                    <w:t>0.354</w:t>
                  </w:r>
                </w:p>
              </w:tc>
              <w:tc>
                <w:tcPr>
                  <w:tcW w:w="1891" w:type="dxa"/>
                  <w:tcBorders>
                    <w:top w:val="single" w:color="auto" w:sz="4" w:space="0"/>
                    <w:left w:val="single" w:color="auto" w:sz="4" w:space="0"/>
                    <w:bottom w:val="single" w:color="auto" w:sz="4" w:space="0"/>
                    <w:right w:val="single" w:color="auto" w:sz="4" w:space="0"/>
                  </w:tcBorders>
                  <w:vAlign w:val="center"/>
                </w:tcPr>
                <w:p w14:paraId="318220C3">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lang w:bidi="ar"/>
                    </w:rPr>
                    <w:t>0.358</w:t>
                  </w:r>
                </w:p>
              </w:tc>
              <w:tc>
                <w:tcPr>
                  <w:tcW w:w="1895" w:type="dxa"/>
                  <w:tcBorders>
                    <w:top w:val="single" w:color="auto" w:sz="4" w:space="0"/>
                    <w:left w:val="single" w:color="auto" w:sz="4" w:space="0"/>
                    <w:bottom w:val="single" w:color="auto" w:sz="4" w:space="0"/>
                    <w:right w:val="single" w:color="auto" w:sz="4" w:space="0"/>
                  </w:tcBorders>
                  <w:vAlign w:val="center"/>
                </w:tcPr>
                <w:p w14:paraId="682F93BB">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lang w:bidi="ar"/>
                    </w:rPr>
                    <w:t>0.352</w:t>
                  </w:r>
                </w:p>
              </w:tc>
            </w:tr>
            <w:tr w14:paraId="3E0045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9322" w:type="dxa"/>
                  <w:gridSpan w:val="6"/>
                  <w:tcBorders>
                    <w:top w:val="single" w:color="auto" w:sz="4" w:space="0"/>
                    <w:left w:val="single" w:color="auto" w:sz="4" w:space="0"/>
                    <w:bottom w:val="single" w:color="auto" w:sz="4" w:space="0"/>
                    <w:right w:val="single" w:color="auto" w:sz="4" w:space="0"/>
                  </w:tcBorders>
                  <w:vAlign w:val="center"/>
                </w:tcPr>
                <w:p w14:paraId="286B78A6">
                  <w:pPr>
                    <w:keepNext w:val="0"/>
                    <w:keepLines w:val="0"/>
                    <w:suppressLineNumbers w:val="0"/>
                    <w:spacing w:before="0" w:beforeAutospacing="0" w:after="0" w:afterAutospacing="0"/>
                    <w:ind w:left="0" w:right="0"/>
                    <w:jc w:val="left"/>
                    <w:rPr>
                      <w:rFonts w:hint="default" w:ascii="Times New Roman" w:hAnsi="Times New Roman" w:eastAsia="宋体" w:cs="Times New Roman"/>
                      <w:color w:val="auto"/>
                      <w:szCs w:val="21"/>
                    </w:rPr>
                  </w:pPr>
                  <w:r>
                    <w:rPr>
                      <w:rFonts w:hint="eastAsia" w:ascii="宋体" w:hAnsi="宋体" w:eastAsia="宋体" w:cs="宋体"/>
                      <w:color w:val="auto"/>
                      <w:szCs w:val="21"/>
                      <w:lang w:bidi="ar"/>
                    </w:rPr>
                    <w:t>采样点位：</w:t>
                  </w:r>
                  <w:r>
                    <w:rPr>
                      <w:rFonts w:hint="default" w:ascii="Times New Roman" w:hAnsi="Times New Roman" w:eastAsia="宋体" w:cs="Times New Roman"/>
                      <w:color w:val="auto"/>
                      <w:szCs w:val="21"/>
                      <w:u w:val="single"/>
                      <w:lang w:bidi="ar"/>
                    </w:rPr>
                    <w:t xml:space="preserve">   DA002</w:t>
                  </w:r>
                  <w:r>
                    <w:rPr>
                      <w:rFonts w:hint="eastAsia" w:ascii="宋体" w:hAnsi="宋体" w:eastAsia="宋体" w:cs="宋体"/>
                      <w:color w:val="auto"/>
                      <w:szCs w:val="21"/>
                      <w:u w:val="single"/>
                      <w:lang w:bidi="ar"/>
                    </w:rPr>
                    <w:t xml:space="preserve">挥发废气处理设施出口   </w:t>
                  </w:r>
                  <w:r>
                    <w:rPr>
                      <w:rFonts w:hint="eastAsia" w:ascii="宋体" w:hAnsi="宋体" w:eastAsia="宋体" w:cs="宋体"/>
                      <w:color w:val="auto"/>
                      <w:szCs w:val="21"/>
                      <w:lang w:bidi="ar"/>
                    </w:rPr>
                    <w:t>采样日期：</w:t>
                  </w:r>
                  <w:r>
                    <w:rPr>
                      <w:rFonts w:hint="default" w:ascii="Times New Roman" w:hAnsi="Times New Roman" w:eastAsia="宋体" w:cs="Times New Roman"/>
                      <w:color w:val="auto"/>
                      <w:szCs w:val="21"/>
                      <w:u w:val="single"/>
                      <w:lang w:bidi="ar"/>
                    </w:rPr>
                    <w:t xml:space="preserve">   2025.11.21   </w:t>
                  </w:r>
                </w:p>
              </w:tc>
            </w:tr>
            <w:tr w14:paraId="3AB38E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2822" w:type="dxa"/>
                  <w:gridSpan w:val="2"/>
                  <w:tcBorders>
                    <w:top w:val="single" w:color="auto" w:sz="4" w:space="0"/>
                    <w:left w:val="single" w:color="auto" w:sz="4" w:space="0"/>
                    <w:bottom w:val="single" w:color="auto" w:sz="4" w:space="0"/>
                    <w:right w:val="single" w:color="auto" w:sz="4" w:space="0"/>
                  </w:tcBorders>
                  <w:vAlign w:val="center"/>
                </w:tcPr>
                <w:p w14:paraId="2B6DBD5C">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r>
                    <w:rPr>
                      <w:rFonts w:hint="eastAsia" w:ascii="宋体" w:hAnsi="宋体" w:eastAsia="宋体" w:cs="宋体"/>
                      <w:color w:val="auto"/>
                      <w:szCs w:val="21"/>
                      <w:lang w:bidi="ar"/>
                    </w:rPr>
                    <w:t>检测项目</w:t>
                  </w:r>
                </w:p>
              </w:tc>
              <w:tc>
                <w:tcPr>
                  <w:tcW w:w="936" w:type="dxa"/>
                  <w:tcBorders>
                    <w:top w:val="single" w:color="auto" w:sz="4" w:space="0"/>
                    <w:left w:val="single" w:color="auto" w:sz="4" w:space="0"/>
                    <w:bottom w:val="single" w:color="auto" w:sz="4" w:space="0"/>
                    <w:right w:val="single" w:color="auto" w:sz="4" w:space="0"/>
                  </w:tcBorders>
                  <w:vAlign w:val="center"/>
                </w:tcPr>
                <w:p w14:paraId="2C0637BB">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r>
                    <w:rPr>
                      <w:rFonts w:hint="eastAsia" w:ascii="宋体" w:hAnsi="宋体" w:eastAsia="宋体" w:cs="宋体"/>
                      <w:color w:val="auto"/>
                      <w:szCs w:val="21"/>
                      <w:lang w:bidi="ar"/>
                    </w:rPr>
                    <w:t>单位</w:t>
                  </w:r>
                </w:p>
              </w:tc>
              <w:tc>
                <w:tcPr>
                  <w:tcW w:w="5564" w:type="dxa"/>
                  <w:gridSpan w:val="3"/>
                  <w:tcBorders>
                    <w:top w:val="single" w:color="auto" w:sz="4" w:space="0"/>
                    <w:left w:val="single" w:color="auto" w:sz="4" w:space="0"/>
                    <w:bottom w:val="single" w:color="auto" w:sz="4" w:space="0"/>
                    <w:right w:val="single" w:color="auto" w:sz="4" w:space="0"/>
                  </w:tcBorders>
                  <w:vAlign w:val="center"/>
                </w:tcPr>
                <w:p w14:paraId="0594DB73">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r>
                    <w:rPr>
                      <w:rFonts w:hint="eastAsia" w:ascii="宋体" w:hAnsi="宋体" w:eastAsia="宋体" w:cs="宋体"/>
                      <w:color w:val="auto"/>
                      <w:szCs w:val="21"/>
                      <w:lang w:bidi="ar"/>
                    </w:rPr>
                    <w:t>检测结果</w:t>
                  </w:r>
                </w:p>
              </w:tc>
            </w:tr>
            <w:tr w14:paraId="7B364D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2822" w:type="dxa"/>
                  <w:gridSpan w:val="2"/>
                  <w:tcBorders>
                    <w:top w:val="single" w:color="auto" w:sz="4" w:space="0"/>
                    <w:left w:val="single" w:color="auto" w:sz="4" w:space="0"/>
                    <w:bottom w:val="single" w:color="auto" w:sz="4" w:space="0"/>
                    <w:right w:val="single" w:color="auto" w:sz="4" w:space="0"/>
                  </w:tcBorders>
                  <w:vAlign w:val="center"/>
                </w:tcPr>
                <w:p w14:paraId="156C395B">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r>
                    <w:rPr>
                      <w:rFonts w:hint="eastAsia" w:ascii="宋体" w:hAnsi="宋体" w:eastAsia="宋体" w:cs="宋体"/>
                      <w:color w:val="auto"/>
                      <w:szCs w:val="21"/>
                      <w:lang w:bidi="ar"/>
                    </w:rPr>
                    <w:t>检测管道截面积</w:t>
                  </w:r>
                </w:p>
              </w:tc>
              <w:tc>
                <w:tcPr>
                  <w:tcW w:w="936" w:type="dxa"/>
                  <w:tcBorders>
                    <w:top w:val="single" w:color="auto" w:sz="4" w:space="0"/>
                    <w:left w:val="single" w:color="auto" w:sz="4" w:space="0"/>
                    <w:bottom w:val="single" w:color="auto" w:sz="4" w:space="0"/>
                    <w:right w:val="single" w:color="auto" w:sz="4" w:space="0"/>
                  </w:tcBorders>
                  <w:vAlign w:val="center"/>
                </w:tcPr>
                <w:p w14:paraId="73E1034A">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lang w:bidi="ar"/>
                    </w:rPr>
                    <w:t>m²</w:t>
                  </w:r>
                </w:p>
              </w:tc>
              <w:tc>
                <w:tcPr>
                  <w:tcW w:w="1778" w:type="dxa"/>
                  <w:tcBorders>
                    <w:top w:val="single" w:color="auto" w:sz="4" w:space="0"/>
                    <w:left w:val="single" w:color="auto" w:sz="4" w:space="0"/>
                    <w:bottom w:val="single" w:color="auto" w:sz="4" w:space="0"/>
                    <w:right w:val="single" w:color="auto" w:sz="4" w:space="0"/>
                  </w:tcBorders>
                  <w:vAlign w:val="center"/>
                </w:tcPr>
                <w:p w14:paraId="1A4826AB">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lang w:bidi="ar"/>
                    </w:rPr>
                    <w:t>0.9503</w:t>
                  </w:r>
                </w:p>
              </w:tc>
              <w:tc>
                <w:tcPr>
                  <w:tcW w:w="1891" w:type="dxa"/>
                  <w:tcBorders>
                    <w:top w:val="single" w:color="auto" w:sz="4" w:space="0"/>
                    <w:left w:val="single" w:color="auto" w:sz="4" w:space="0"/>
                    <w:bottom w:val="single" w:color="auto" w:sz="4" w:space="0"/>
                    <w:right w:val="single" w:color="auto" w:sz="4" w:space="0"/>
                  </w:tcBorders>
                  <w:vAlign w:val="center"/>
                </w:tcPr>
                <w:p w14:paraId="5D004077">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lang w:bidi="ar"/>
                    </w:rPr>
                    <w:t>0.9503</w:t>
                  </w:r>
                </w:p>
              </w:tc>
              <w:tc>
                <w:tcPr>
                  <w:tcW w:w="1895" w:type="dxa"/>
                  <w:tcBorders>
                    <w:top w:val="single" w:color="auto" w:sz="4" w:space="0"/>
                    <w:left w:val="single" w:color="auto" w:sz="4" w:space="0"/>
                    <w:bottom w:val="single" w:color="auto" w:sz="4" w:space="0"/>
                    <w:right w:val="single" w:color="auto" w:sz="4" w:space="0"/>
                  </w:tcBorders>
                  <w:vAlign w:val="center"/>
                </w:tcPr>
                <w:p w14:paraId="6DB606F8">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lang w:bidi="ar"/>
                    </w:rPr>
                    <w:t>0.9503</w:t>
                  </w:r>
                </w:p>
              </w:tc>
            </w:tr>
            <w:tr w14:paraId="447F3C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2822" w:type="dxa"/>
                  <w:gridSpan w:val="2"/>
                  <w:tcBorders>
                    <w:top w:val="single" w:color="auto" w:sz="4" w:space="0"/>
                    <w:left w:val="single" w:color="auto" w:sz="4" w:space="0"/>
                    <w:bottom w:val="single" w:color="auto" w:sz="4" w:space="0"/>
                    <w:right w:val="single" w:color="auto" w:sz="4" w:space="0"/>
                  </w:tcBorders>
                  <w:vAlign w:val="center"/>
                </w:tcPr>
                <w:p w14:paraId="6D597F33">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r>
                    <w:rPr>
                      <w:rFonts w:hint="eastAsia" w:ascii="宋体" w:hAnsi="宋体" w:eastAsia="宋体" w:cs="宋体"/>
                      <w:color w:val="auto"/>
                      <w:szCs w:val="21"/>
                      <w:lang w:bidi="ar"/>
                    </w:rPr>
                    <w:t>烟气温度</w:t>
                  </w:r>
                </w:p>
              </w:tc>
              <w:tc>
                <w:tcPr>
                  <w:tcW w:w="936" w:type="dxa"/>
                  <w:tcBorders>
                    <w:top w:val="single" w:color="auto" w:sz="4" w:space="0"/>
                    <w:left w:val="single" w:color="auto" w:sz="4" w:space="0"/>
                    <w:bottom w:val="single" w:color="auto" w:sz="4" w:space="0"/>
                    <w:right w:val="single" w:color="auto" w:sz="4" w:space="0"/>
                  </w:tcBorders>
                  <w:vAlign w:val="center"/>
                </w:tcPr>
                <w:p w14:paraId="1D71C795">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lang w:bidi="ar"/>
                    </w:rPr>
                    <w:t>℃</w:t>
                  </w:r>
                </w:p>
              </w:tc>
              <w:tc>
                <w:tcPr>
                  <w:tcW w:w="1778" w:type="dxa"/>
                  <w:tcBorders>
                    <w:top w:val="single" w:color="auto" w:sz="4" w:space="0"/>
                    <w:left w:val="single" w:color="auto" w:sz="4" w:space="0"/>
                    <w:bottom w:val="single" w:color="auto" w:sz="4" w:space="0"/>
                    <w:right w:val="single" w:color="auto" w:sz="4" w:space="0"/>
                  </w:tcBorders>
                  <w:vAlign w:val="center"/>
                </w:tcPr>
                <w:p w14:paraId="310262F1">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lang w:bidi="ar"/>
                    </w:rPr>
                    <w:t>41.6</w:t>
                  </w:r>
                </w:p>
              </w:tc>
              <w:tc>
                <w:tcPr>
                  <w:tcW w:w="1891" w:type="dxa"/>
                  <w:tcBorders>
                    <w:top w:val="single" w:color="auto" w:sz="4" w:space="0"/>
                    <w:left w:val="single" w:color="auto" w:sz="4" w:space="0"/>
                    <w:bottom w:val="single" w:color="auto" w:sz="4" w:space="0"/>
                    <w:right w:val="single" w:color="auto" w:sz="4" w:space="0"/>
                  </w:tcBorders>
                  <w:vAlign w:val="center"/>
                </w:tcPr>
                <w:p w14:paraId="439A79CA">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lang w:bidi="ar"/>
                    </w:rPr>
                    <w:t>41.8</w:t>
                  </w:r>
                </w:p>
              </w:tc>
              <w:tc>
                <w:tcPr>
                  <w:tcW w:w="1895" w:type="dxa"/>
                  <w:tcBorders>
                    <w:top w:val="single" w:color="auto" w:sz="4" w:space="0"/>
                    <w:left w:val="single" w:color="auto" w:sz="4" w:space="0"/>
                    <w:bottom w:val="single" w:color="auto" w:sz="4" w:space="0"/>
                    <w:right w:val="single" w:color="auto" w:sz="4" w:space="0"/>
                  </w:tcBorders>
                  <w:vAlign w:val="center"/>
                </w:tcPr>
                <w:p w14:paraId="183F03BE">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lang w:bidi="ar"/>
                    </w:rPr>
                    <w:t>41.8</w:t>
                  </w:r>
                </w:p>
              </w:tc>
            </w:tr>
            <w:tr w14:paraId="0A61D2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2822" w:type="dxa"/>
                  <w:gridSpan w:val="2"/>
                  <w:tcBorders>
                    <w:top w:val="single" w:color="auto" w:sz="4" w:space="0"/>
                    <w:left w:val="single" w:color="auto" w:sz="4" w:space="0"/>
                    <w:bottom w:val="single" w:color="auto" w:sz="4" w:space="0"/>
                    <w:right w:val="single" w:color="auto" w:sz="4" w:space="0"/>
                  </w:tcBorders>
                  <w:vAlign w:val="center"/>
                </w:tcPr>
                <w:p w14:paraId="604D82AE">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r>
                    <w:rPr>
                      <w:rFonts w:hint="eastAsia" w:ascii="宋体" w:hAnsi="宋体" w:eastAsia="宋体" w:cs="宋体"/>
                      <w:color w:val="auto"/>
                      <w:szCs w:val="21"/>
                      <w:lang w:bidi="ar"/>
                    </w:rPr>
                    <w:t>烟气平均流速</w:t>
                  </w:r>
                </w:p>
              </w:tc>
              <w:tc>
                <w:tcPr>
                  <w:tcW w:w="936" w:type="dxa"/>
                  <w:tcBorders>
                    <w:top w:val="single" w:color="auto" w:sz="4" w:space="0"/>
                    <w:left w:val="single" w:color="auto" w:sz="4" w:space="0"/>
                    <w:bottom w:val="single" w:color="auto" w:sz="4" w:space="0"/>
                    <w:right w:val="single" w:color="auto" w:sz="4" w:space="0"/>
                  </w:tcBorders>
                  <w:vAlign w:val="center"/>
                </w:tcPr>
                <w:p w14:paraId="189B3C1C">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lang w:bidi="ar"/>
                    </w:rPr>
                    <w:t>m/s</w:t>
                  </w:r>
                </w:p>
              </w:tc>
              <w:tc>
                <w:tcPr>
                  <w:tcW w:w="1778" w:type="dxa"/>
                  <w:tcBorders>
                    <w:top w:val="single" w:color="auto" w:sz="4" w:space="0"/>
                    <w:left w:val="single" w:color="auto" w:sz="4" w:space="0"/>
                    <w:bottom w:val="single" w:color="auto" w:sz="4" w:space="0"/>
                    <w:right w:val="single" w:color="auto" w:sz="4" w:space="0"/>
                  </w:tcBorders>
                  <w:vAlign w:val="center"/>
                </w:tcPr>
                <w:p w14:paraId="165DAB0F">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lang w:bidi="ar"/>
                    </w:rPr>
                    <w:t>11.4</w:t>
                  </w:r>
                </w:p>
              </w:tc>
              <w:tc>
                <w:tcPr>
                  <w:tcW w:w="1891" w:type="dxa"/>
                  <w:tcBorders>
                    <w:top w:val="single" w:color="auto" w:sz="4" w:space="0"/>
                    <w:left w:val="single" w:color="auto" w:sz="4" w:space="0"/>
                    <w:bottom w:val="single" w:color="auto" w:sz="4" w:space="0"/>
                    <w:right w:val="single" w:color="auto" w:sz="4" w:space="0"/>
                  </w:tcBorders>
                  <w:vAlign w:val="center"/>
                </w:tcPr>
                <w:p w14:paraId="22780A5C">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lang w:bidi="ar"/>
                    </w:rPr>
                    <w:t>11.6</w:t>
                  </w:r>
                </w:p>
              </w:tc>
              <w:tc>
                <w:tcPr>
                  <w:tcW w:w="1895" w:type="dxa"/>
                  <w:tcBorders>
                    <w:top w:val="single" w:color="auto" w:sz="4" w:space="0"/>
                    <w:left w:val="single" w:color="auto" w:sz="4" w:space="0"/>
                    <w:bottom w:val="single" w:color="auto" w:sz="4" w:space="0"/>
                    <w:right w:val="single" w:color="auto" w:sz="4" w:space="0"/>
                  </w:tcBorders>
                  <w:vAlign w:val="center"/>
                </w:tcPr>
                <w:p w14:paraId="72322FD4">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lang w:bidi="ar"/>
                    </w:rPr>
                    <w:t>11.5</w:t>
                  </w:r>
                </w:p>
              </w:tc>
            </w:tr>
            <w:tr w14:paraId="3C6C58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2822" w:type="dxa"/>
                  <w:gridSpan w:val="2"/>
                  <w:tcBorders>
                    <w:top w:val="single" w:color="auto" w:sz="4" w:space="0"/>
                    <w:left w:val="single" w:color="auto" w:sz="4" w:space="0"/>
                    <w:bottom w:val="single" w:color="auto" w:sz="4" w:space="0"/>
                    <w:right w:val="single" w:color="auto" w:sz="4" w:space="0"/>
                  </w:tcBorders>
                  <w:vAlign w:val="center"/>
                </w:tcPr>
                <w:p w14:paraId="65C218BF">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r>
                    <w:rPr>
                      <w:rFonts w:hint="eastAsia" w:ascii="宋体" w:hAnsi="宋体" w:eastAsia="宋体" w:cs="宋体"/>
                      <w:color w:val="auto"/>
                      <w:szCs w:val="21"/>
                      <w:lang w:bidi="ar"/>
                    </w:rPr>
                    <w:t>标态干烟气量</w:t>
                  </w:r>
                </w:p>
              </w:tc>
              <w:tc>
                <w:tcPr>
                  <w:tcW w:w="936" w:type="dxa"/>
                  <w:tcBorders>
                    <w:top w:val="single" w:color="auto" w:sz="4" w:space="0"/>
                    <w:left w:val="single" w:color="auto" w:sz="4" w:space="0"/>
                    <w:bottom w:val="single" w:color="auto" w:sz="4" w:space="0"/>
                    <w:right w:val="single" w:color="auto" w:sz="4" w:space="0"/>
                  </w:tcBorders>
                  <w:vAlign w:val="center"/>
                </w:tcPr>
                <w:p w14:paraId="623C53EA">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lang w:bidi="ar"/>
                    </w:rPr>
                    <w:t>m³/h</w:t>
                  </w:r>
                </w:p>
              </w:tc>
              <w:tc>
                <w:tcPr>
                  <w:tcW w:w="1778" w:type="dxa"/>
                  <w:tcBorders>
                    <w:top w:val="single" w:color="auto" w:sz="4" w:space="0"/>
                    <w:left w:val="single" w:color="auto" w:sz="4" w:space="0"/>
                    <w:bottom w:val="single" w:color="auto" w:sz="4" w:space="0"/>
                    <w:right w:val="single" w:color="auto" w:sz="4" w:space="0"/>
                  </w:tcBorders>
                  <w:vAlign w:val="center"/>
                </w:tcPr>
                <w:p w14:paraId="3F6C33DD">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lang w:bidi="ar"/>
                    </w:rPr>
                    <w:t>33762</w:t>
                  </w:r>
                </w:p>
              </w:tc>
              <w:tc>
                <w:tcPr>
                  <w:tcW w:w="1891" w:type="dxa"/>
                  <w:tcBorders>
                    <w:top w:val="single" w:color="auto" w:sz="4" w:space="0"/>
                    <w:left w:val="single" w:color="auto" w:sz="4" w:space="0"/>
                    <w:bottom w:val="single" w:color="auto" w:sz="4" w:space="0"/>
                    <w:right w:val="single" w:color="auto" w:sz="4" w:space="0"/>
                  </w:tcBorders>
                  <w:vAlign w:val="center"/>
                </w:tcPr>
                <w:p w14:paraId="350E88CA">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lang w:bidi="ar"/>
                    </w:rPr>
                    <w:t>34335</w:t>
                  </w:r>
                </w:p>
              </w:tc>
              <w:tc>
                <w:tcPr>
                  <w:tcW w:w="1895" w:type="dxa"/>
                  <w:tcBorders>
                    <w:top w:val="single" w:color="auto" w:sz="4" w:space="0"/>
                    <w:left w:val="single" w:color="auto" w:sz="4" w:space="0"/>
                    <w:bottom w:val="single" w:color="auto" w:sz="4" w:space="0"/>
                    <w:right w:val="single" w:color="auto" w:sz="4" w:space="0"/>
                  </w:tcBorders>
                  <w:vAlign w:val="center"/>
                </w:tcPr>
                <w:p w14:paraId="09A28F9E">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lang w:bidi="ar"/>
                    </w:rPr>
                    <w:t>34032</w:t>
                  </w:r>
                </w:p>
              </w:tc>
            </w:tr>
            <w:tr w14:paraId="31CF70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1634" w:type="dxa"/>
                  <w:vMerge w:val="restart"/>
                  <w:tcBorders>
                    <w:top w:val="nil"/>
                    <w:left w:val="single" w:color="auto" w:sz="4" w:space="0"/>
                    <w:bottom w:val="single" w:color="auto" w:sz="4" w:space="0"/>
                    <w:right w:val="single" w:color="auto" w:sz="4" w:space="0"/>
                  </w:tcBorders>
                  <w:vAlign w:val="center"/>
                </w:tcPr>
                <w:p w14:paraId="239B2162">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r>
                    <w:rPr>
                      <w:rFonts w:hint="eastAsia" w:ascii="宋体" w:hAnsi="宋体" w:eastAsia="宋体" w:cs="宋体"/>
                      <w:color w:val="auto"/>
                      <w:szCs w:val="21"/>
                      <w:lang w:bidi="ar"/>
                    </w:rPr>
                    <w:t>非甲烷总烃</w:t>
                  </w:r>
                </w:p>
              </w:tc>
              <w:tc>
                <w:tcPr>
                  <w:tcW w:w="1188" w:type="dxa"/>
                  <w:tcBorders>
                    <w:top w:val="single" w:color="auto" w:sz="4" w:space="0"/>
                    <w:left w:val="single" w:color="auto" w:sz="4" w:space="0"/>
                    <w:bottom w:val="single" w:color="auto" w:sz="4" w:space="0"/>
                    <w:right w:val="single" w:color="auto" w:sz="4" w:space="0"/>
                  </w:tcBorders>
                  <w:vAlign w:val="center"/>
                </w:tcPr>
                <w:p w14:paraId="115C7E6D">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r>
                    <w:rPr>
                      <w:rFonts w:hint="eastAsia" w:ascii="宋体" w:hAnsi="宋体" w:eastAsia="宋体" w:cs="宋体"/>
                      <w:color w:val="auto"/>
                      <w:szCs w:val="21"/>
                      <w:lang w:bidi="ar"/>
                    </w:rPr>
                    <w:t>样品编号</w:t>
                  </w:r>
                </w:p>
              </w:tc>
              <w:tc>
                <w:tcPr>
                  <w:tcW w:w="936" w:type="dxa"/>
                  <w:tcBorders>
                    <w:top w:val="single" w:color="auto" w:sz="4" w:space="0"/>
                    <w:left w:val="single" w:color="auto" w:sz="4" w:space="0"/>
                    <w:bottom w:val="single" w:color="auto" w:sz="4" w:space="0"/>
                    <w:right w:val="single" w:color="auto" w:sz="4" w:space="0"/>
                  </w:tcBorders>
                  <w:vAlign w:val="center"/>
                </w:tcPr>
                <w:p w14:paraId="246ADC90">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lang w:bidi="ar"/>
                    </w:rPr>
                    <w:t>/</w:t>
                  </w:r>
                </w:p>
              </w:tc>
              <w:tc>
                <w:tcPr>
                  <w:tcW w:w="1778" w:type="dxa"/>
                  <w:tcBorders>
                    <w:top w:val="single" w:color="auto" w:sz="4" w:space="0"/>
                    <w:left w:val="single" w:color="auto" w:sz="4" w:space="0"/>
                    <w:bottom w:val="single" w:color="auto" w:sz="4" w:space="0"/>
                    <w:right w:val="single" w:color="auto" w:sz="4" w:space="0"/>
                  </w:tcBorders>
                  <w:vAlign w:val="center"/>
                </w:tcPr>
                <w:p w14:paraId="329C464C">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r>
                    <w:rPr>
                      <w:rFonts w:hint="eastAsia" w:ascii="宋体" w:hAnsi="宋体" w:eastAsia="宋体" w:cs="宋体"/>
                      <w:color w:val="auto"/>
                      <w:szCs w:val="21"/>
                      <w:lang w:bidi="ar"/>
                    </w:rPr>
                    <w:t>气</w:t>
                  </w:r>
                  <w:r>
                    <w:rPr>
                      <w:rFonts w:hint="default" w:ascii="Times New Roman" w:hAnsi="Times New Roman" w:eastAsia="宋体" w:cs="Times New Roman"/>
                      <w:color w:val="auto"/>
                      <w:szCs w:val="21"/>
                      <w:lang w:bidi="ar"/>
                    </w:rPr>
                    <w:t>251121121</w:t>
                  </w:r>
                </w:p>
              </w:tc>
              <w:tc>
                <w:tcPr>
                  <w:tcW w:w="1891" w:type="dxa"/>
                  <w:tcBorders>
                    <w:top w:val="single" w:color="auto" w:sz="4" w:space="0"/>
                    <w:left w:val="single" w:color="auto" w:sz="4" w:space="0"/>
                    <w:bottom w:val="single" w:color="auto" w:sz="4" w:space="0"/>
                    <w:right w:val="single" w:color="auto" w:sz="4" w:space="0"/>
                  </w:tcBorders>
                  <w:vAlign w:val="center"/>
                </w:tcPr>
                <w:p w14:paraId="30419E1D">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r>
                    <w:rPr>
                      <w:rFonts w:hint="eastAsia" w:ascii="宋体" w:hAnsi="宋体" w:eastAsia="宋体" w:cs="宋体"/>
                      <w:color w:val="auto"/>
                      <w:szCs w:val="21"/>
                      <w:lang w:bidi="ar"/>
                    </w:rPr>
                    <w:t>气</w:t>
                  </w:r>
                  <w:r>
                    <w:rPr>
                      <w:rFonts w:hint="default" w:ascii="Times New Roman" w:hAnsi="Times New Roman" w:eastAsia="宋体" w:cs="Times New Roman"/>
                      <w:color w:val="auto"/>
                      <w:szCs w:val="21"/>
                      <w:lang w:bidi="ar"/>
                    </w:rPr>
                    <w:t>251121122</w:t>
                  </w:r>
                </w:p>
              </w:tc>
              <w:tc>
                <w:tcPr>
                  <w:tcW w:w="1895" w:type="dxa"/>
                  <w:tcBorders>
                    <w:top w:val="single" w:color="auto" w:sz="4" w:space="0"/>
                    <w:left w:val="single" w:color="auto" w:sz="4" w:space="0"/>
                    <w:bottom w:val="single" w:color="auto" w:sz="4" w:space="0"/>
                    <w:right w:val="single" w:color="auto" w:sz="4" w:space="0"/>
                  </w:tcBorders>
                  <w:vAlign w:val="center"/>
                </w:tcPr>
                <w:p w14:paraId="605B8378">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r>
                    <w:rPr>
                      <w:rFonts w:hint="eastAsia" w:ascii="宋体" w:hAnsi="宋体" w:eastAsia="宋体" w:cs="宋体"/>
                      <w:color w:val="auto"/>
                      <w:szCs w:val="21"/>
                      <w:lang w:bidi="ar"/>
                    </w:rPr>
                    <w:t>气</w:t>
                  </w:r>
                  <w:r>
                    <w:rPr>
                      <w:rFonts w:hint="default" w:ascii="Times New Roman" w:hAnsi="Times New Roman" w:eastAsia="宋体" w:cs="Times New Roman"/>
                      <w:color w:val="auto"/>
                      <w:szCs w:val="21"/>
                      <w:lang w:bidi="ar"/>
                    </w:rPr>
                    <w:t>251121123</w:t>
                  </w:r>
                </w:p>
              </w:tc>
            </w:tr>
            <w:tr w14:paraId="62F8FE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1634" w:type="dxa"/>
                  <w:vMerge w:val="continue"/>
                  <w:tcBorders>
                    <w:top w:val="nil"/>
                    <w:left w:val="single" w:color="auto" w:sz="4" w:space="0"/>
                    <w:bottom w:val="single" w:color="auto" w:sz="4" w:space="0"/>
                    <w:right w:val="single" w:color="auto" w:sz="4" w:space="0"/>
                  </w:tcBorders>
                  <w:vAlign w:val="center"/>
                </w:tcPr>
                <w:p w14:paraId="7E20A8C0">
                  <w:pPr>
                    <w:keepNext w:val="0"/>
                    <w:keepLines w:val="0"/>
                    <w:suppressLineNumbers w:val="0"/>
                    <w:spacing w:before="0" w:beforeAutospacing="0" w:after="0" w:afterAutospacing="0"/>
                    <w:ind w:left="0" w:right="0"/>
                    <w:rPr>
                      <w:rFonts w:hint="default" w:ascii="Times New Roman" w:hAnsi="Times New Roman" w:cs="Times New Roman"/>
                      <w:color w:val="auto"/>
                      <w:sz w:val="20"/>
                      <w:szCs w:val="20"/>
                    </w:rPr>
                  </w:pPr>
                </w:p>
              </w:tc>
              <w:tc>
                <w:tcPr>
                  <w:tcW w:w="1188" w:type="dxa"/>
                  <w:tcBorders>
                    <w:top w:val="single" w:color="auto" w:sz="4" w:space="0"/>
                    <w:left w:val="single" w:color="auto" w:sz="4" w:space="0"/>
                    <w:bottom w:val="single" w:color="auto" w:sz="4" w:space="0"/>
                    <w:right w:val="single" w:color="auto" w:sz="4" w:space="0"/>
                  </w:tcBorders>
                  <w:vAlign w:val="center"/>
                </w:tcPr>
                <w:p w14:paraId="45F6CCE7">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r>
                    <w:rPr>
                      <w:rFonts w:hint="eastAsia" w:ascii="宋体" w:hAnsi="宋体" w:eastAsia="宋体" w:cs="宋体"/>
                      <w:color w:val="auto"/>
                      <w:szCs w:val="21"/>
                      <w:lang w:bidi="ar"/>
                    </w:rPr>
                    <w:t>排放浓度</w:t>
                  </w:r>
                </w:p>
              </w:tc>
              <w:tc>
                <w:tcPr>
                  <w:tcW w:w="936" w:type="dxa"/>
                  <w:tcBorders>
                    <w:top w:val="single" w:color="auto" w:sz="4" w:space="0"/>
                    <w:left w:val="single" w:color="auto" w:sz="4" w:space="0"/>
                    <w:bottom w:val="single" w:color="auto" w:sz="4" w:space="0"/>
                    <w:right w:val="single" w:color="auto" w:sz="4" w:space="0"/>
                  </w:tcBorders>
                  <w:vAlign w:val="center"/>
                </w:tcPr>
                <w:p w14:paraId="281F9D33">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lang w:bidi="ar"/>
                    </w:rPr>
                    <w:t>mg/m³</w:t>
                  </w:r>
                </w:p>
              </w:tc>
              <w:tc>
                <w:tcPr>
                  <w:tcW w:w="1778" w:type="dxa"/>
                  <w:tcBorders>
                    <w:top w:val="single" w:color="auto" w:sz="4" w:space="0"/>
                    <w:left w:val="single" w:color="auto" w:sz="4" w:space="0"/>
                    <w:bottom w:val="single" w:color="auto" w:sz="4" w:space="0"/>
                    <w:right w:val="single" w:color="auto" w:sz="4" w:space="0"/>
                  </w:tcBorders>
                  <w:vAlign w:val="center"/>
                </w:tcPr>
                <w:p w14:paraId="5FDE7ADA">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lang w:bidi="ar"/>
                    </w:rPr>
                    <w:t>1.21</w:t>
                  </w:r>
                </w:p>
              </w:tc>
              <w:tc>
                <w:tcPr>
                  <w:tcW w:w="1891" w:type="dxa"/>
                  <w:tcBorders>
                    <w:top w:val="single" w:color="auto" w:sz="4" w:space="0"/>
                    <w:left w:val="single" w:color="auto" w:sz="4" w:space="0"/>
                    <w:bottom w:val="single" w:color="auto" w:sz="4" w:space="0"/>
                    <w:right w:val="single" w:color="auto" w:sz="4" w:space="0"/>
                  </w:tcBorders>
                  <w:vAlign w:val="center"/>
                </w:tcPr>
                <w:p w14:paraId="751BE86A">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lang w:bidi="ar"/>
                    </w:rPr>
                    <w:t>1.19</w:t>
                  </w:r>
                </w:p>
              </w:tc>
              <w:tc>
                <w:tcPr>
                  <w:tcW w:w="1895" w:type="dxa"/>
                  <w:tcBorders>
                    <w:top w:val="single" w:color="auto" w:sz="4" w:space="0"/>
                    <w:left w:val="single" w:color="auto" w:sz="4" w:space="0"/>
                    <w:bottom w:val="single" w:color="auto" w:sz="4" w:space="0"/>
                    <w:right w:val="single" w:color="auto" w:sz="4" w:space="0"/>
                  </w:tcBorders>
                  <w:vAlign w:val="center"/>
                </w:tcPr>
                <w:p w14:paraId="4AB027F0">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lang w:bidi="ar"/>
                    </w:rPr>
                    <w:t>1.22</w:t>
                  </w:r>
                </w:p>
              </w:tc>
            </w:tr>
            <w:tr w14:paraId="7ED754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1634" w:type="dxa"/>
                  <w:vMerge w:val="continue"/>
                  <w:tcBorders>
                    <w:top w:val="nil"/>
                    <w:left w:val="single" w:color="auto" w:sz="4" w:space="0"/>
                    <w:bottom w:val="single" w:color="auto" w:sz="4" w:space="0"/>
                    <w:right w:val="single" w:color="auto" w:sz="4" w:space="0"/>
                  </w:tcBorders>
                  <w:vAlign w:val="center"/>
                </w:tcPr>
                <w:p w14:paraId="0550E590">
                  <w:pPr>
                    <w:keepNext w:val="0"/>
                    <w:keepLines w:val="0"/>
                    <w:suppressLineNumbers w:val="0"/>
                    <w:spacing w:before="0" w:beforeAutospacing="0" w:after="0" w:afterAutospacing="0"/>
                    <w:ind w:left="0" w:right="0"/>
                    <w:rPr>
                      <w:rFonts w:hint="default" w:ascii="Times New Roman" w:hAnsi="Times New Roman" w:cs="Times New Roman"/>
                      <w:color w:val="auto"/>
                      <w:sz w:val="20"/>
                      <w:szCs w:val="20"/>
                    </w:rPr>
                  </w:pPr>
                </w:p>
              </w:tc>
              <w:tc>
                <w:tcPr>
                  <w:tcW w:w="1188" w:type="dxa"/>
                  <w:tcBorders>
                    <w:top w:val="single" w:color="auto" w:sz="4" w:space="0"/>
                    <w:left w:val="single" w:color="auto" w:sz="4" w:space="0"/>
                    <w:bottom w:val="single" w:color="auto" w:sz="4" w:space="0"/>
                    <w:right w:val="single" w:color="auto" w:sz="4" w:space="0"/>
                  </w:tcBorders>
                  <w:vAlign w:val="center"/>
                </w:tcPr>
                <w:p w14:paraId="0B837D70">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r>
                    <w:rPr>
                      <w:rFonts w:hint="eastAsia" w:ascii="宋体" w:hAnsi="宋体" w:eastAsia="宋体" w:cs="宋体"/>
                      <w:color w:val="auto"/>
                      <w:szCs w:val="21"/>
                      <w:lang w:bidi="ar"/>
                    </w:rPr>
                    <w:t>排放速率</w:t>
                  </w:r>
                </w:p>
              </w:tc>
              <w:tc>
                <w:tcPr>
                  <w:tcW w:w="936" w:type="dxa"/>
                  <w:tcBorders>
                    <w:top w:val="single" w:color="auto" w:sz="4" w:space="0"/>
                    <w:left w:val="single" w:color="auto" w:sz="4" w:space="0"/>
                    <w:bottom w:val="single" w:color="auto" w:sz="4" w:space="0"/>
                    <w:right w:val="single" w:color="auto" w:sz="4" w:space="0"/>
                  </w:tcBorders>
                  <w:vAlign w:val="center"/>
                </w:tcPr>
                <w:p w14:paraId="4E6FE709">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lang w:bidi="ar"/>
                    </w:rPr>
                    <w:t>kg/h</w:t>
                  </w:r>
                </w:p>
              </w:tc>
              <w:tc>
                <w:tcPr>
                  <w:tcW w:w="1778" w:type="dxa"/>
                  <w:tcBorders>
                    <w:top w:val="single" w:color="auto" w:sz="4" w:space="0"/>
                    <w:left w:val="single" w:color="auto" w:sz="4" w:space="0"/>
                    <w:bottom w:val="single" w:color="auto" w:sz="4" w:space="0"/>
                    <w:right w:val="single" w:color="auto" w:sz="4" w:space="0"/>
                  </w:tcBorders>
                  <w:vAlign w:val="center"/>
                </w:tcPr>
                <w:p w14:paraId="35FF2AB3">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lang w:bidi="ar"/>
                    </w:rPr>
                    <w:t>4.09×10</w:t>
                  </w:r>
                  <w:r>
                    <w:rPr>
                      <w:rFonts w:hint="default" w:ascii="Times New Roman" w:hAnsi="Times New Roman" w:eastAsia="宋体" w:cs="Times New Roman"/>
                      <w:color w:val="auto"/>
                      <w:szCs w:val="21"/>
                      <w:vertAlign w:val="superscript"/>
                      <w:lang w:bidi="ar"/>
                    </w:rPr>
                    <w:t>-</w:t>
                  </w:r>
                  <w:r>
                    <w:rPr>
                      <w:rFonts w:hint="default" w:ascii="Times New Roman" w:hAnsi="Times New Roman" w:eastAsia="宋体" w:cs="Times New Roman"/>
                      <w:color w:val="auto"/>
                      <w:szCs w:val="21"/>
                      <w:lang w:bidi="ar"/>
                    </w:rPr>
                    <w:t>²</w:t>
                  </w:r>
                </w:p>
              </w:tc>
              <w:tc>
                <w:tcPr>
                  <w:tcW w:w="1891" w:type="dxa"/>
                  <w:tcBorders>
                    <w:top w:val="single" w:color="auto" w:sz="4" w:space="0"/>
                    <w:left w:val="single" w:color="auto" w:sz="4" w:space="0"/>
                    <w:bottom w:val="single" w:color="auto" w:sz="4" w:space="0"/>
                    <w:right w:val="single" w:color="auto" w:sz="4" w:space="0"/>
                  </w:tcBorders>
                  <w:vAlign w:val="center"/>
                </w:tcPr>
                <w:p w14:paraId="1915D41F">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lang w:bidi="ar"/>
                    </w:rPr>
                    <w:t>4.09×10</w:t>
                  </w:r>
                  <w:r>
                    <w:rPr>
                      <w:rFonts w:hint="default" w:ascii="Times New Roman" w:hAnsi="Times New Roman" w:eastAsia="宋体" w:cs="Times New Roman"/>
                      <w:color w:val="auto"/>
                      <w:szCs w:val="21"/>
                      <w:vertAlign w:val="superscript"/>
                      <w:lang w:bidi="ar"/>
                    </w:rPr>
                    <w:t>-</w:t>
                  </w:r>
                  <w:r>
                    <w:rPr>
                      <w:rFonts w:hint="default" w:ascii="Times New Roman" w:hAnsi="Times New Roman" w:eastAsia="宋体" w:cs="Times New Roman"/>
                      <w:color w:val="auto"/>
                      <w:szCs w:val="21"/>
                      <w:lang w:bidi="ar"/>
                    </w:rPr>
                    <w:t>²</w:t>
                  </w:r>
                </w:p>
              </w:tc>
              <w:tc>
                <w:tcPr>
                  <w:tcW w:w="1895" w:type="dxa"/>
                  <w:tcBorders>
                    <w:top w:val="single" w:color="auto" w:sz="4" w:space="0"/>
                    <w:left w:val="single" w:color="auto" w:sz="4" w:space="0"/>
                    <w:bottom w:val="single" w:color="auto" w:sz="4" w:space="0"/>
                    <w:right w:val="single" w:color="auto" w:sz="4" w:space="0"/>
                  </w:tcBorders>
                  <w:vAlign w:val="center"/>
                </w:tcPr>
                <w:p w14:paraId="75775A7D">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lang w:bidi="ar"/>
                    </w:rPr>
                    <w:t>4.15×10</w:t>
                  </w:r>
                  <w:r>
                    <w:rPr>
                      <w:rFonts w:hint="default" w:ascii="Times New Roman" w:hAnsi="Times New Roman" w:eastAsia="宋体" w:cs="Times New Roman"/>
                      <w:color w:val="auto"/>
                      <w:szCs w:val="21"/>
                      <w:vertAlign w:val="superscript"/>
                      <w:lang w:bidi="ar"/>
                    </w:rPr>
                    <w:t>-</w:t>
                  </w:r>
                  <w:r>
                    <w:rPr>
                      <w:rFonts w:hint="default" w:ascii="Times New Roman" w:hAnsi="Times New Roman" w:eastAsia="宋体" w:cs="Times New Roman"/>
                      <w:color w:val="auto"/>
                      <w:szCs w:val="21"/>
                      <w:lang w:bidi="ar"/>
                    </w:rPr>
                    <w:t>²</w:t>
                  </w:r>
                </w:p>
              </w:tc>
            </w:tr>
            <w:tr w14:paraId="00DA4E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1634" w:type="dxa"/>
                  <w:vMerge w:val="restart"/>
                  <w:tcBorders>
                    <w:top w:val="nil"/>
                    <w:left w:val="single" w:color="auto" w:sz="4" w:space="0"/>
                    <w:bottom w:val="single" w:color="auto" w:sz="4" w:space="0"/>
                    <w:right w:val="single" w:color="auto" w:sz="4" w:space="0"/>
                  </w:tcBorders>
                  <w:vAlign w:val="center"/>
                </w:tcPr>
                <w:p w14:paraId="25C67D8D">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r>
                    <w:rPr>
                      <w:rFonts w:hint="eastAsia" w:ascii="宋体" w:hAnsi="宋体" w:eastAsia="宋体" w:cs="宋体"/>
                      <w:color w:val="auto"/>
                      <w:szCs w:val="21"/>
                      <w:lang w:bidi="ar"/>
                    </w:rPr>
                    <w:t>臭气浓度</w:t>
                  </w:r>
                </w:p>
              </w:tc>
              <w:tc>
                <w:tcPr>
                  <w:tcW w:w="1188" w:type="dxa"/>
                  <w:tcBorders>
                    <w:top w:val="single" w:color="auto" w:sz="4" w:space="0"/>
                    <w:left w:val="single" w:color="auto" w:sz="4" w:space="0"/>
                    <w:bottom w:val="single" w:color="auto" w:sz="4" w:space="0"/>
                    <w:right w:val="single" w:color="auto" w:sz="4" w:space="0"/>
                  </w:tcBorders>
                  <w:vAlign w:val="center"/>
                </w:tcPr>
                <w:p w14:paraId="4ACB4D48">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r>
                    <w:rPr>
                      <w:rFonts w:hint="eastAsia" w:ascii="宋体" w:hAnsi="宋体" w:eastAsia="宋体" w:cs="宋体"/>
                      <w:color w:val="auto"/>
                      <w:szCs w:val="21"/>
                      <w:lang w:bidi="ar"/>
                    </w:rPr>
                    <w:t>样品编号</w:t>
                  </w:r>
                </w:p>
              </w:tc>
              <w:tc>
                <w:tcPr>
                  <w:tcW w:w="936" w:type="dxa"/>
                  <w:tcBorders>
                    <w:top w:val="single" w:color="auto" w:sz="4" w:space="0"/>
                    <w:left w:val="single" w:color="auto" w:sz="4" w:space="0"/>
                    <w:bottom w:val="single" w:color="auto" w:sz="4" w:space="0"/>
                    <w:right w:val="single" w:color="auto" w:sz="4" w:space="0"/>
                  </w:tcBorders>
                  <w:vAlign w:val="center"/>
                </w:tcPr>
                <w:p w14:paraId="7460B2CC">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lang w:bidi="ar"/>
                    </w:rPr>
                    <w:t>/</w:t>
                  </w:r>
                </w:p>
              </w:tc>
              <w:tc>
                <w:tcPr>
                  <w:tcW w:w="1778" w:type="dxa"/>
                  <w:tcBorders>
                    <w:top w:val="single" w:color="auto" w:sz="4" w:space="0"/>
                    <w:left w:val="single" w:color="auto" w:sz="4" w:space="0"/>
                    <w:bottom w:val="single" w:color="auto" w:sz="4" w:space="0"/>
                    <w:right w:val="single" w:color="auto" w:sz="4" w:space="0"/>
                  </w:tcBorders>
                  <w:vAlign w:val="center"/>
                </w:tcPr>
                <w:p w14:paraId="3CB82EAD">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r>
                    <w:rPr>
                      <w:rFonts w:hint="eastAsia" w:ascii="宋体" w:hAnsi="宋体" w:eastAsia="宋体" w:cs="宋体"/>
                      <w:color w:val="auto"/>
                      <w:szCs w:val="21"/>
                      <w:lang w:bidi="ar"/>
                    </w:rPr>
                    <w:t>气</w:t>
                  </w:r>
                  <w:r>
                    <w:rPr>
                      <w:rFonts w:hint="default" w:ascii="Times New Roman" w:hAnsi="Times New Roman" w:eastAsia="宋体" w:cs="Times New Roman"/>
                      <w:color w:val="auto"/>
                      <w:szCs w:val="21"/>
                      <w:lang w:bidi="ar"/>
                    </w:rPr>
                    <w:t>251121124</w:t>
                  </w:r>
                </w:p>
              </w:tc>
              <w:tc>
                <w:tcPr>
                  <w:tcW w:w="1891" w:type="dxa"/>
                  <w:tcBorders>
                    <w:top w:val="single" w:color="auto" w:sz="4" w:space="0"/>
                    <w:left w:val="single" w:color="auto" w:sz="4" w:space="0"/>
                    <w:bottom w:val="single" w:color="auto" w:sz="4" w:space="0"/>
                    <w:right w:val="single" w:color="auto" w:sz="4" w:space="0"/>
                  </w:tcBorders>
                  <w:vAlign w:val="center"/>
                </w:tcPr>
                <w:p w14:paraId="00E3725A">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r>
                    <w:rPr>
                      <w:rFonts w:hint="eastAsia" w:ascii="宋体" w:hAnsi="宋体" w:eastAsia="宋体" w:cs="宋体"/>
                      <w:color w:val="auto"/>
                      <w:szCs w:val="21"/>
                      <w:lang w:bidi="ar"/>
                    </w:rPr>
                    <w:t>气</w:t>
                  </w:r>
                  <w:r>
                    <w:rPr>
                      <w:rFonts w:hint="default" w:ascii="Times New Roman" w:hAnsi="Times New Roman" w:eastAsia="宋体" w:cs="Times New Roman"/>
                      <w:color w:val="auto"/>
                      <w:szCs w:val="21"/>
                      <w:lang w:bidi="ar"/>
                    </w:rPr>
                    <w:t>251121125</w:t>
                  </w:r>
                </w:p>
              </w:tc>
              <w:tc>
                <w:tcPr>
                  <w:tcW w:w="1895" w:type="dxa"/>
                  <w:tcBorders>
                    <w:top w:val="single" w:color="auto" w:sz="4" w:space="0"/>
                    <w:left w:val="single" w:color="auto" w:sz="4" w:space="0"/>
                    <w:bottom w:val="single" w:color="auto" w:sz="4" w:space="0"/>
                    <w:right w:val="single" w:color="auto" w:sz="4" w:space="0"/>
                  </w:tcBorders>
                  <w:vAlign w:val="center"/>
                </w:tcPr>
                <w:p w14:paraId="30A68F75">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r>
                    <w:rPr>
                      <w:rFonts w:hint="eastAsia" w:ascii="宋体" w:hAnsi="宋体" w:eastAsia="宋体" w:cs="宋体"/>
                      <w:color w:val="auto"/>
                      <w:szCs w:val="21"/>
                      <w:lang w:bidi="ar"/>
                    </w:rPr>
                    <w:t>气</w:t>
                  </w:r>
                  <w:r>
                    <w:rPr>
                      <w:rFonts w:hint="default" w:ascii="Times New Roman" w:hAnsi="Times New Roman" w:eastAsia="宋体" w:cs="Times New Roman"/>
                      <w:color w:val="auto"/>
                      <w:szCs w:val="21"/>
                      <w:lang w:bidi="ar"/>
                    </w:rPr>
                    <w:t>251121126</w:t>
                  </w:r>
                </w:p>
              </w:tc>
            </w:tr>
            <w:tr w14:paraId="30B0E3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1634" w:type="dxa"/>
                  <w:vMerge w:val="continue"/>
                  <w:tcBorders>
                    <w:top w:val="nil"/>
                    <w:left w:val="single" w:color="auto" w:sz="4" w:space="0"/>
                    <w:bottom w:val="single" w:color="auto" w:sz="4" w:space="0"/>
                    <w:right w:val="single" w:color="auto" w:sz="4" w:space="0"/>
                  </w:tcBorders>
                  <w:vAlign w:val="center"/>
                </w:tcPr>
                <w:p w14:paraId="51F4FA8E">
                  <w:pPr>
                    <w:keepNext w:val="0"/>
                    <w:keepLines w:val="0"/>
                    <w:suppressLineNumbers w:val="0"/>
                    <w:spacing w:before="0" w:beforeAutospacing="0" w:after="0" w:afterAutospacing="0"/>
                    <w:ind w:left="0" w:right="0"/>
                    <w:rPr>
                      <w:rFonts w:hint="default" w:ascii="Times New Roman" w:hAnsi="Times New Roman" w:cs="Times New Roman"/>
                      <w:color w:val="auto"/>
                      <w:sz w:val="20"/>
                      <w:szCs w:val="20"/>
                    </w:rPr>
                  </w:pPr>
                </w:p>
              </w:tc>
              <w:tc>
                <w:tcPr>
                  <w:tcW w:w="1188" w:type="dxa"/>
                  <w:tcBorders>
                    <w:top w:val="single" w:color="auto" w:sz="4" w:space="0"/>
                    <w:left w:val="single" w:color="auto" w:sz="4" w:space="0"/>
                    <w:bottom w:val="single" w:color="auto" w:sz="4" w:space="0"/>
                    <w:right w:val="single" w:color="auto" w:sz="4" w:space="0"/>
                  </w:tcBorders>
                  <w:vAlign w:val="center"/>
                </w:tcPr>
                <w:p w14:paraId="3E3D0D9D">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r>
                    <w:rPr>
                      <w:rFonts w:hint="eastAsia" w:ascii="宋体" w:hAnsi="宋体" w:eastAsia="宋体" w:cs="宋体"/>
                      <w:color w:val="auto"/>
                      <w:szCs w:val="21"/>
                      <w:lang w:bidi="ar"/>
                    </w:rPr>
                    <w:t>排放浓度</w:t>
                  </w:r>
                </w:p>
              </w:tc>
              <w:tc>
                <w:tcPr>
                  <w:tcW w:w="936" w:type="dxa"/>
                  <w:tcBorders>
                    <w:top w:val="single" w:color="auto" w:sz="4" w:space="0"/>
                    <w:left w:val="single" w:color="auto" w:sz="4" w:space="0"/>
                    <w:bottom w:val="single" w:color="auto" w:sz="4" w:space="0"/>
                    <w:right w:val="single" w:color="auto" w:sz="4" w:space="0"/>
                  </w:tcBorders>
                  <w:vAlign w:val="center"/>
                </w:tcPr>
                <w:p w14:paraId="47401C92">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r>
                    <w:rPr>
                      <w:rFonts w:hint="eastAsia" w:ascii="宋体" w:hAnsi="宋体" w:eastAsia="宋体" w:cs="宋体"/>
                      <w:color w:val="auto"/>
                      <w:szCs w:val="21"/>
                      <w:lang w:bidi="ar"/>
                    </w:rPr>
                    <w:t>无量纲</w:t>
                  </w:r>
                </w:p>
              </w:tc>
              <w:tc>
                <w:tcPr>
                  <w:tcW w:w="1778" w:type="dxa"/>
                  <w:tcBorders>
                    <w:top w:val="single" w:color="auto" w:sz="4" w:space="0"/>
                    <w:left w:val="single" w:color="auto" w:sz="4" w:space="0"/>
                    <w:bottom w:val="single" w:color="auto" w:sz="4" w:space="0"/>
                    <w:right w:val="single" w:color="auto" w:sz="4" w:space="0"/>
                  </w:tcBorders>
                  <w:vAlign w:val="center"/>
                </w:tcPr>
                <w:p w14:paraId="0194F365">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lang w:bidi="ar"/>
                    </w:rPr>
                    <w:t>229</w:t>
                  </w:r>
                </w:p>
              </w:tc>
              <w:tc>
                <w:tcPr>
                  <w:tcW w:w="1891" w:type="dxa"/>
                  <w:tcBorders>
                    <w:top w:val="single" w:color="auto" w:sz="4" w:space="0"/>
                    <w:left w:val="single" w:color="auto" w:sz="4" w:space="0"/>
                    <w:bottom w:val="single" w:color="auto" w:sz="4" w:space="0"/>
                    <w:right w:val="single" w:color="auto" w:sz="4" w:space="0"/>
                  </w:tcBorders>
                  <w:vAlign w:val="center"/>
                </w:tcPr>
                <w:p w14:paraId="4A4A21D0">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lang w:bidi="ar"/>
                    </w:rPr>
                    <w:t>229</w:t>
                  </w:r>
                </w:p>
              </w:tc>
              <w:tc>
                <w:tcPr>
                  <w:tcW w:w="1895" w:type="dxa"/>
                  <w:tcBorders>
                    <w:top w:val="single" w:color="auto" w:sz="4" w:space="0"/>
                    <w:left w:val="single" w:color="auto" w:sz="4" w:space="0"/>
                    <w:bottom w:val="single" w:color="auto" w:sz="4" w:space="0"/>
                    <w:right w:val="single" w:color="auto" w:sz="4" w:space="0"/>
                  </w:tcBorders>
                  <w:vAlign w:val="center"/>
                </w:tcPr>
                <w:p w14:paraId="19000447">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lang w:bidi="ar"/>
                    </w:rPr>
                    <w:t>229</w:t>
                  </w:r>
                </w:p>
              </w:tc>
            </w:tr>
          </w:tbl>
          <w:p w14:paraId="5E7BDDF3">
            <w:pPr>
              <w:keepNext w:val="0"/>
              <w:keepLines w:val="0"/>
              <w:suppressLineNumbers w:val="0"/>
              <w:spacing w:before="0" w:beforeAutospacing="0" w:after="0" w:afterAutospacing="0"/>
              <w:ind w:left="0" w:right="0"/>
              <w:jc w:val="center"/>
              <w:rPr>
                <w:rFonts w:hint="default" w:ascii="Times New Roman" w:hAnsi="Times New Roman" w:eastAsia="宋体" w:cs="Times New Roman"/>
                <w:b/>
                <w:bCs/>
                <w:color w:val="auto"/>
                <w:szCs w:val="21"/>
              </w:rPr>
            </w:pPr>
            <w:r>
              <w:rPr>
                <w:rFonts w:hint="eastAsia" w:ascii="宋体" w:hAnsi="宋体" w:eastAsia="宋体" w:cs="宋体"/>
                <w:b/>
                <w:bCs/>
                <w:color w:val="auto"/>
                <w:szCs w:val="21"/>
                <w:lang w:bidi="ar"/>
              </w:rPr>
              <w:t>表</w:t>
            </w:r>
            <w:r>
              <w:rPr>
                <w:rFonts w:hint="eastAsia" w:ascii="Times New Roman" w:hAnsi="Times New Roman" w:eastAsia="宋体" w:cs="Times New Roman"/>
                <w:b/>
                <w:bCs/>
                <w:color w:val="auto"/>
                <w:szCs w:val="21"/>
                <w:lang w:bidi="ar"/>
              </w:rPr>
              <w:t>2-</w:t>
            </w:r>
            <w:r>
              <w:rPr>
                <w:rFonts w:hint="eastAsia" w:ascii="Times New Roman" w:hAnsi="Times New Roman" w:eastAsia="宋体" w:cs="Times New Roman"/>
                <w:b/>
                <w:bCs/>
                <w:color w:val="auto"/>
                <w:szCs w:val="21"/>
                <w:lang w:val="en-US" w:eastAsia="zh-CN" w:bidi="ar"/>
              </w:rPr>
              <w:t>21</w:t>
            </w:r>
            <w:r>
              <w:rPr>
                <w:rFonts w:hint="default" w:ascii="Times New Roman" w:hAnsi="Times New Roman" w:eastAsia="宋体" w:cs="Times New Roman"/>
                <w:b/>
                <w:bCs/>
                <w:color w:val="auto"/>
                <w:szCs w:val="21"/>
                <w:lang w:bidi="ar"/>
              </w:rPr>
              <w:t xml:space="preserve">  </w:t>
            </w:r>
            <w:r>
              <w:rPr>
                <w:rFonts w:hint="eastAsia" w:ascii="宋体" w:hAnsi="宋体" w:eastAsia="宋体" w:cs="宋体"/>
                <w:b/>
                <w:bCs/>
                <w:color w:val="auto"/>
                <w:szCs w:val="21"/>
                <w:lang w:bidi="ar"/>
              </w:rPr>
              <w:t>挥发废气排气筒</w:t>
            </w:r>
            <w:r>
              <w:rPr>
                <w:rFonts w:hint="default" w:ascii="Times New Roman" w:hAnsi="Times New Roman" w:eastAsia="宋体" w:cs="Times New Roman"/>
                <w:b/>
                <w:bCs/>
                <w:color w:val="auto"/>
                <w:szCs w:val="21"/>
                <w:lang w:bidi="ar"/>
              </w:rPr>
              <w:t>2  DA003</w:t>
            </w:r>
            <w:r>
              <w:rPr>
                <w:rFonts w:hint="eastAsia" w:ascii="宋体" w:hAnsi="宋体" w:eastAsia="宋体" w:cs="宋体"/>
                <w:b/>
                <w:bCs/>
                <w:color w:val="auto"/>
                <w:szCs w:val="21"/>
                <w:lang w:bidi="ar"/>
              </w:rPr>
              <w:t>进出口检测结果表</w:t>
            </w:r>
          </w:p>
          <w:tbl>
            <w:tblPr>
              <w:tblStyle w:val="22"/>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432"/>
              <w:gridCol w:w="1050"/>
              <w:gridCol w:w="834"/>
              <w:gridCol w:w="1554"/>
              <w:gridCol w:w="1651"/>
              <w:gridCol w:w="1654"/>
            </w:tblGrid>
            <w:tr w14:paraId="554112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9322" w:type="dxa"/>
                  <w:gridSpan w:val="6"/>
                  <w:tcBorders>
                    <w:top w:val="single" w:color="auto" w:sz="4" w:space="0"/>
                    <w:left w:val="single" w:color="auto" w:sz="4" w:space="0"/>
                    <w:bottom w:val="single" w:color="auto" w:sz="4" w:space="0"/>
                    <w:right w:val="single" w:color="auto" w:sz="4" w:space="0"/>
                  </w:tcBorders>
                  <w:vAlign w:val="center"/>
                </w:tcPr>
                <w:p w14:paraId="50FEAD09">
                  <w:pPr>
                    <w:keepNext w:val="0"/>
                    <w:keepLines w:val="0"/>
                    <w:suppressLineNumbers w:val="0"/>
                    <w:spacing w:before="0" w:beforeAutospacing="0" w:after="0" w:afterAutospacing="0"/>
                    <w:ind w:left="0" w:right="0"/>
                    <w:jc w:val="left"/>
                    <w:rPr>
                      <w:rFonts w:hint="default" w:ascii="Times New Roman" w:hAnsi="Times New Roman" w:eastAsia="宋体" w:cs="Times New Roman"/>
                      <w:color w:val="auto"/>
                      <w:szCs w:val="21"/>
                    </w:rPr>
                  </w:pPr>
                  <w:r>
                    <w:rPr>
                      <w:rFonts w:hint="eastAsia" w:ascii="宋体" w:hAnsi="宋体" w:eastAsia="宋体" w:cs="宋体"/>
                      <w:color w:val="auto"/>
                      <w:szCs w:val="21"/>
                      <w:lang w:bidi="ar"/>
                    </w:rPr>
                    <w:t>采样点位：</w:t>
                  </w:r>
                  <w:r>
                    <w:rPr>
                      <w:rFonts w:hint="default" w:ascii="Times New Roman" w:hAnsi="Times New Roman" w:eastAsia="宋体" w:cs="Times New Roman"/>
                      <w:color w:val="auto"/>
                      <w:szCs w:val="21"/>
                      <w:u w:val="single"/>
                      <w:lang w:bidi="ar"/>
                    </w:rPr>
                    <w:t xml:space="preserve">   DA003</w:t>
                  </w:r>
                  <w:r>
                    <w:rPr>
                      <w:rFonts w:hint="eastAsia" w:ascii="宋体" w:hAnsi="宋体" w:eastAsia="宋体" w:cs="宋体"/>
                      <w:color w:val="auto"/>
                      <w:szCs w:val="21"/>
                      <w:u w:val="single"/>
                      <w:lang w:bidi="ar"/>
                    </w:rPr>
                    <w:t xml:space="preserve">挥发废气处理设施进口   </w:t>
                  </w:r>
                  <w:r>
                    <w:rPr>
                      <w:rFonts w:hint="eastAsia" w:ascii="宋体" w:hAnsi="宋体" w:eastAsia="宋体" w:cs="宋体"/>
                      <w:color w:val="auto"/>
                      <w:szCs w:val="21"/>
                      <w:lang w:bidi="ar"/>
                    </w:rPr>
                    <w:t>采样日期：</w:t>
                  </w:r>
                  <w:r>
                    <w:rPr>
                      <w:rFonts w:hint="default" w:ascii="Times New Roman" w:hAnsi="Times New Roman" w:eastAsia="宋体" w:cs="Times New Roman"/>
                      <w:color w:val="auto"/>
                      <w:szCs w:val="21"/>
                      <w:u w:val="single"/>
                      <w:lang w:bidi="ar"/>
                    </w:rPr>
                    <w:t xml:space="preserve">   2025.11.20   </w:t>
                  </w:r>
                </w:p>
              </w:tc>
            </w:tr>
            <w:tr w14:paraId="4B35F7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2822" w:type="dxa"/>
                  <w:gridSpan w:val="2"/>
                  <w:tcBorders>
                    <w:top w:val="single" w:color="auto" w:sz="4" w:space="0"/>
                    <w:left w:val="single" w:color="auto" w:sz="4" w:space="0"/>
                    <w:bottom w:val="single" w:color="auto" w:sz="4" w:space="0"/>
                    <w:right w:val="single" w:color="auto" w:sz="4" w:space="0"/>
                  </w:tcBorders>
                  <w:vAlign w:val="center"/>
                </w:tcPr>
                <w:p w14:paraId="3C6EB4DA">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r>
                    <w:rPr>
                      <w:rFonts w:hint="eastAsia" w:ascii="宋体" w:hAnsi="宋体" w:eastAsia="宋体" w:cs="宋体"/>
                      <w:color w:val="auto"/>
                      <w:szCs w:val="21"/>
                      <w:lang w:bidi="ar"/>
                    </w:rPr>
                    <w:t>检测项目</w:t>
                  </w:r>
                </w:p>
              </w:tc>
              <w:tc>
                <w:tcPr>
                  <w:tcW w:w="936" w:type="dxa"/>
                  <w:tcBorders>
                    <w:top w:val="single" w:color="auto" w:sz="4" w:space="0"/>
                    <w:left w:val="single" w:color="auto" w:sz="4" w:space="0"/>
                    <w:bottom w:val="single" w:color="auto" w:sz="4" w:space="0"/>
                    <w:right w:val="single" w:color="auto" w:sz="4" w:space="0"/>
                  </w:tcBorders>
                  <w:vAlign w:val="center"/>
                </w:tcPr>
                <w:p w14:paraId="7E1CE390">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r>
                    <w:rPr>
                      <w:rFonts w:hint="eastAsia" w:ascii="宋体" w:hAnsi="宋体" w:eastAsia="宋体" w:cs="宋体"/>
                      <w:color w:val="auto"/>
                      <w:szCs w:val="21"/>
                      <w:lang w:bidi="ar"/>
                    </w:rPr>
                    <w:t>单位</w:t>
                  </w:r>
                </w:p>
              </w:tc>
              <w:tc>
                <w:tcPr>
                  <w:tcW w:w="5564" w:type="dxa"/>
                  <w:gridSpan w:val="3"/>
                  <w:tcBorders>
                    <w:top w:val="single" w:color="auto" w:sz="4" w:space="0"/>
                    <w:left w:val="single" w:color="auto" w:sz="4" w:space="0"/>
                    <w:bottom w:val="single" w:color="auto" w:sz="4" w:space="0"/>
                    <w:right w:val="single" w:color="auto" w:sz="4" w:space="0"/>
                  </w:tcBorders>
                  <w:vAlign w:val="center"/>
                </w:tcPr>
                <w:p w14:paraId="3552F962">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r>
                    <w:rPr>
                      <w:rFonts w:hint="eastAsia" w:ascii="宋体" w:hAnsi="宋体" w:eastAsia="宋体" w:cs="宋体"/>
                      <w:color w:val="auto"/>
                      <w:szCs w:val="21"/>
                      <w:lang w:bidi="ar"/>
                    </w:rPr>
                    <w:t>检测结果</w:t>
                  </w:r>
                </w:p>
              </w:tc>
            </w:tr>
            <w:tr w14:paraId="49DD74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2822" w:type="dxa"/>
                  <w:gridSpan w:val="2"/>
                  <w:tcBorders>
                    <w:top w:val="single" w:color="auto" w:sz="4" w:space="0"/>
                    <w:left w:val="single" w:color="auto" w:sz="4" w:space="0"/>
                    <w:bottom w:val="single" w:color="auto" w:sz="4" w:space="0"/>
                    <w:right w:val="single" w:color="auto" w:sz="4" w:space="0"/>
                  </w:tcBorders>
                  <w:vAlign w:val="center"/>
                </w:tcPr>
                <w:p w14:paraId="7077D1D8">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r>
                    <w:rPr>
                      <w:rFonts w:hint="eastAsia" w:ascii="宋体" w:hAnsi="宋体" w:eastAsia="宋体" w:cs="宋体"/>
                      <w:color w:val="auto"/>
                      <w:szCs w:val="21"/>
                      <w:lang w:bidi="ar"/>
                    </w:rPr>
                    <w:t>检测管道截面积</w:t>
                  </w:r>
                </w:p>
              </w:tc>
              <w:tc>
                <w:tcPr>
                  <w:tcW w:w="936" w:type="dxa"/>
                  <w:tcBorders>
                    <w:top w:val="single" w:color="auto" w:sz="4" w:space="0"/>
                    <w:left w:val="single" w:color="auto" w:sz="4" w:space="0"/>
                    <w:bottom w:val="single" w:color="auto" w:sz="4" w:space="0"/>
                    <w:right w:val="single" w:color="auto" w:sz="4" w:space="0"/>
                  </w:tcBorders>
                  <w:vAlign w:val="center"/>
                </w:tcPr>
                <w:p w14:paraId="3FBA2E00">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lang w:bidi="ar"/>
                    </w:rPr>
                    <w:t>m²</w:t>
                  </w:r>
                </w:p>
              </w:tc>
              <w:tc>
                <w:tcPr>
                  <w:tcW w:w="1778" w:type="dxa"/>
                  <w:tcBorders>
                    <w:top w:val="single" w:color="auto" w:sz="4" w:space="0"/>
                    <w:left w:val="single" w:color="auto" w:sz="4" w:space="0"/>
                    <w:bottom w:val="single" w:color="auto" w:sz="4" w:space="0"/>
                    <w:right w:val="single" w:color="auto" w:sz="4" w:space="0"/>
                  </w:tcBorders>
                  <w:vAlign w:val="center"/>
                </w:tcPr>
                <w:p w14:paraId="64838A71">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lang w:bidi="ar"/>
                    </w:rPr>
                    <w:t>1.1310</w:t>
                  </w:r>
                </w:p>
              </w:tc>
              <w:tc>
                <w:tcPr>
                  <w:tcW w:w="1891" w:type="dxa"/>
                  <w:tcBorders>
                    <w:top w:val="single" w:color="auto" w:sz="4" w:space="0"/>
                    <w:left w:val="single" w:color="auto" w:sz="4" w:space="0"/>
                    <w:bottom w:val="single" w:color="auto" w:sz="4" w:space="0"/>
                    <w:right w:val="single" w:color="auto" w:sz="4" w:space="0"/>
                  </w:tcBorders>
                  <w:vAlign w:val="center"/>
                </w:tcPr>
                <w:p w14:paraId="25630617">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lang w:bidi="ar"/>
                    </w:rPr>
                    <w:t>1.1310</w:t>
                  </w:r>
                </w:p>
              </w:tc>
              <w:tc>
                <w:tcPr>
                  <w:tcW w:w="1895" w:type="dxa"/>
                  <w:tcBorders>
                    <w:top w:val="single" w:color="auto" w:sz="4" w:space="0"/>
                    <w:left w:val="single" w:color="auto" w:sz="4" w:space="0"/>
                    <w:bottom w:val="single" w:color="auto" w:sz="4" w:space="0"/>
                    <w:right w:val="single" w:color="auto" w:sz="4" w:space="0"/>
                  </w:tcBorders>
                  <w:vAlign w:val="center"/>
                </w:tcPr>
                <w:p w14:paraId="62ED6F8E">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lang w:bidi="ar"/>
                    </w:rPr>
                    <w:t>1.1310</w:t>
                  </w:r>
                </w:p>
              </w:tc>
            </w:tr>
            <w:tr w14:paraId="386EB6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2822" w:type="dxa"/>
                  <w:gridSpan w:val="2"/>
                  <w:tcBorders>
                    <w:top w:val="single" w:color="auto" w:sz="4" w:space="0"/>
                    <w:left w:val="single" w:color="auto" w:sz="4" w:space="0"/>
                    <w:bottom w:val="single" w:color="auto" w:sz="4" w:space="0"/>
                    <w:right w:val="single" w:color="auto" w:sz="4" w:space="0"/>
                  </w:tcBorders>
                  <w:vAlign w:val="center"/>
                </w:tcPr>
                <w:p w14:paraId="4FBFABA8">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r>
                    <w:rPr>
                      <w:rFonts w:hint="eastAsia" w:ascii="宋体" w:hAnsi="宋体" w:eastAsia="宋体" w:cs="宋体"/>
                      <w:color w:val="auto"/>
                      <w:szCs w:val="21"/>
                      <w:lang w:bidi="ar"/>
                    </w:rPr>
                    <w:t>烟气温度</w:t>
                  </w:r>
                </w:p>
              </w:tc>
              <w:tc>
                <w:tcPr>
                  <w:tcW w:w="936" w:type="dxa"/>
                  <w:tcBorders>
                    <w:top w:val="single" w:color="auto" w:sz="4" w:space="0"/>
                    <w:left w:val="single" w:color="auto" w:sz="4" w:space="0"/>
                    <w:bottom w:val="single" w:color="auto" w:sz="4" w:space="0"/>
                    <w:right w:val="single" w:color="auto" w:sz="4" w:space="0"/>
                  </w:tcBorders>
                  <w:vAlign w:val="center"/>
                </w:tcPr>
                <w:p w14:paraId="072931CA">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lang w:bidi="ar"/>
                    </w:rPr>
                    <w:t>℃</w:t>
                  </w:r>
                </w:p>
              </w:tc>
              <w:tc>
                <w:tcPr>
                  <w:tcW w:w="1778" w:type="dxa"/>
                  <w:tcBorders>
                    <w:top w:val="single" w:color="auto" w:sz="4" w:space="0"/>
                    <w:left w:val="single" w:color="auto" w:sz="4" w:space="0"/>
                    <w:bottom w:val="single" w:color="auto" w:sz="4" w:space="0"/>
                    <w:right w:val="single" w:color="auto" w:sz="4" w:space="0"/>
                  </w:tcBorders>
                  <w:vAlign w:val="center"/>
                </w:tcPr>
                <w:p w14:paraId="5267B91F">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lang w:bidi="ar"/>
                    </w:rPr>
                    <w:t>60.6</w:t>
                  </w:r>
                </w:p>
              </w:tc>
              <w:tc>
                <w:tcPr>
                  <w:tcW w:w="1891" w:type="dxa"/>
                  <w:tcBorders>
                    <w:top w:val="single" w:color="auto" w:sz="4" w:space="0"/>
                    <w:left w:val="single" w:color="auto" w:sz="4" w:space="0"/>
                    <w:bottom w:val="single" w:color="auto" w:sz="4" w:space="0"/>
                    <w:right w:val="single" w:color="auto" w:sz="4" w:space="0"/>
                  </w:tcBorders>
                  <w:vAlign w:val="center"/>
                </w:tcPr>
                <w:p w14:paraId="7035B094">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lang w:bidi="ar"/>
                    </w:rPr>
                    <w:t>61.2</w:t>
                  </w:r>
                </w:p>
              </w:tc>
              <w:tc>
                <w:tcPr>
                  <w:tcW w:w="1895" w:type="dxa"/>
                  <w:tcBorders>
                    <w:top w:val="single" w:color="auto" w:sz="4" w:space="0"/>
                    <w:left w:val="single" w:color="auto" w:sz="4" w:space="0"/>
                    <w:bottom w:val="single" w:color="auto" w:sz="4" w:space="0"/>
                    <w:right w:val="single" w:color="auto" w:sz="4" w:space="0"/>
                  </w:tcBorders>
                  <w:vAlign w:val="center"/>
                </w:tcPr>
                <w:p w14:paraId="56C40132">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lang w:bidi="ar"/>
                    </w:rPr>
                    <w:t>61.5</w:t>
                  </w:r>
                </w:p>
              </w:tc>
            </w:tr>
            <w:tr w14:paraId="14DA68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2822" w:type="dxa"/>
                  <w:gridSpan w:val="2"/>
                  <w:tcBorders>
                    <w:top w:val="single" w:color="auto" w:sz="4" w:space="0"/>
                    <w:left w:val="single" w:color="auto" w:sz="4" w:space="0"/>
                    <w:bottom w:val="single" w:color="auto" w:sz="4" w:space="0"/>
                    <w:right w:val="single" w:color="auto" w:sz="4" w:space="0"/>
                  </w:tcBorders>
                  <w:vAlign w:val="center"/>
                </w:tcPr>
                <w:p w14:paraId="0A5C3674">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r>
                    <w:rPr>
                      <w:rFonts w:hint="eastAsia" w:ascii="宋体" w:hAnsi="宋体" w:eastAsia="宋体" w:cs="宋体"/>
                      <w:color w:val="auto"/>
                      <w:szCs w:val="21"/>
                      <w:lang w:bidi="ar"/>
                    </w:rPr>
                    <w:t>烟气平均流速</w:t>
                  </w:r>
                </w:p>
              </w:tc>
              <w:tc>
                <w:tcPr>
                  <w:tcW w:w="936" w:type="dxa"/>
                  <w:tcBorders>
                    <w:top w:val="single" w:color="auto" w:sz="4" w:space="0"/>
                    <w:left w:val="single" w:color="auto" w:sz="4" w:space="0"/>
                    <w:bottom w:val="single" w:color="auto" w:sz="4" w:space="0"/>
                    <w:right w:val="single" w:color="auto" w:sz="4" w:space="0"/>
                  </w:tcBorders>
                  <w:vAlign w:val="center"/>
                </w:tcPr>
                <w:p w14:paraId="0EA1AD7A">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lang w:bidi="ar"/>
                    </w:rPr>
                    <w:t>m/s</w:t>
                  </w:r>
                </w:p>
              </w:tc>
              <w:tc>
                <w:tcPr>
                  <w:tcW w:w="1778" w:type="dxa"/>
                  <w:tcBorders>
                    <w:top w:val="single" w:color="auto" w:sz="4" w:space="0"/>
                    <w:left w:val="single" w:color="auto" w:sz="4" w:space="0"/>
                    <w:bottom w:val="single" w:color="auto" w:sz="4" w:space="0"/>
                    <w:right w:val="single" w:color="auto" w:sz="4" w:space="0"/>
                  </w:tcBorders>
                  <w:vAlign w:val="center"/>
                </w:tcPr>
                <w:p w14:paraId="6B88D0AC">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lang w:bidi="ar"/>
                    </w:rPr>
                    <w:t>10.4</w:t>
                  </w:r>
                </w:p>
              </w:tc>
              <w:tc>
                <w:tcPr>
                  <w:tcW w:w="1891" w:type="dxa"/>
                  <w:tcBorders>
                    <w:top w:val="single" w:color="auto" w:sz="4" w:space="0"/>
                    <w:left w:val="single" w:color="auto" w:sz="4" w:space="0"/>
                    <w:bottom w:val="single" w:color="auto" w:sz="4" w:space="0"/>
                    <w:right w:val="single" w:color="auto" w:sz="4" w:space="0"/>
                  </w:tcBorders>
                  <w:vAlign w:val="center"/>
                </w:tcPr>
                <w:p w14:paraId="7ABA4EE4">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lang w:bidi="ar"/>
                    </w:rPr>
                    <w:t>10.3</w:t>
                  </w:r>
                </w:p>
              </w:tc>
              <w:tc>
                <w:tcPr>
                  <w:tcW w:w="1895" w:type="dxa"/>
                  <w:tcBorders>
                    <w:top w:val="single" w:color="auto" w:sz="4" w:space="0"/>
                    <w:left w:val="single" w:color="auto" w:sz="4" w:space="0"/>
                    <w:bottom w:val="single" w:color="auto" w:sz="4" w:space="0"/>
                    <w:right w:val="single" w:color="auto" w:sz="4" w:space="0"/>
                  </w:tcBorders>
                  <w:vAlign w:val="center"/>
                </w:tcPr>
                <w:p w14:paraId="58717D22">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lang w:bidi="ar"/>
                    </w:rPr>
                    <w:t>10.4</w:t>
                  </w:r>
                </w:p>
              </w:tc>
            </w:tr>
            <w:tr w14:paraId="29F6DB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2822" w:type="dxa"/>
                  <w:gridSpan w:val="2"/>
                  <w:tcBorders>
                    <w:top w:val="single" w:color="auto" w:sz="4" w:space="0"/>
                    <w:left w:val="single" w:color="auto" w:sz="4" w:space="0"/>
                    <w:bottom w:val="single" w:color="auto" w:sz="4" w:space="0"/>
                    <w:right w:val="single" w:color="auto" w:sz="4" w:space="0"/>
                  </w:tcBorders>
                  <w:vAlign w:val="center"/>
                </w:tcPr>
                <w:p w14:paraId="19E321B7">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r>
                    <w:rPr>
                      <w:rFonts w:hint="eastAsia" w:ascii="宋体" w:hAnsi="宋体" w:eastAsia="宋体" w:cs="宋体"/>
                      <w:color w:val="auto"/>
                      <w:szCs w:val="21"/>
                      <w:lang w:bidi="ar"/>
                    </w:rPr>
                    <w:t>标态干烟气量</w:t>
                  </w:r>
                </w:p>
              </w:tc>
              <w:tc>
                <w:tcPr>
                  <w:tcW w:w="936" w:type="dxa"/>
                  <w:tcBorders>
                    <w:top w:val="single" w:color="auto" w:sz="4" w:space="0"/>
                    <w:left w:val="single" w:color="auto" w:sz="4" w:space="0"/>
                    <w:bottom w:val="single" w:color="auto" w:sz="4" w:space="0"/>
                    <w:right w:val="single" w:color="auto" w:sz="4" w:space="0"/>
                  </w:tcBorders>
                  <w:vAlign w:val="center"/>
                </w:tcPr>
                <w:p w14:paraId="3991201B">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lang w:bidi="ar"/>
                    </w:rPr>
                    <w:t>m³/h</w:t>
                  </w:r>
                </w:p>
              </w:tc>
              <w:tc>
                <w:tcPr>
                  <w:tcW w:w="1778" w:type="dxa"/>
                  <w:tcBorders>
                    <w:top w:val="single" w:color="auto" w:sz="4" w:space="0"/>
                    <w:left w:val="single" w:color="auto" w:sz="4" w:space="0"/>
                    <w:bottom w:val="single" w:color="auto" w:sz="4" w:space="0"/>
                    <w:right w:val="single" w:color="auto" w:sz="4" w:space="0"/>
                  </w:tcBorders>
                  <w:vAlign w:val="center"/>
                </w:tcPr>
                <w:p w14:paraId="0F896F3F">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lang w:bidi="ar"/>
                    </w:rPr>
                    <w:t>34246</w:t>
                  </w:r>
                </w:p>
              </w:tc>
              <w:tc>
                <w:tcPr>
                  <w:tcW w:w="1891" w:type="dxa"/>
                  <w:tcBorders>
                    <w:top w:val="single" w:color="auto" w:sz="4" w:space="0"/>
                    <w:left w:val="single" w:color="auto" w:sz="4" w:space="0"/>
                    <w:bottom w:val="single" w:color="auto" w:sz="4" w:space="0"/>
                    <w:right w:val="single" w:color="auto" w:sz="4" w:space="0"/>
                  </w:tcBorders>
                  <w:vAlign w:val="center"/>
                </w:tcPr>
                <w:p w14:paraId="267D89A6">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lang w:bidi="ar"/>
                    </w:rPr>
                    <w:t>33848</w:t>
                  </w:r>
                </w:p>
              </w:tc>
              <w:tc>
                <w:tcPr>
                  <w:tcW w:w="1895" w:type="dxa"/>
                  <w:tcBorders>
                    <w:top w:val="single" w:color="auto" w:sz="4" w:space="0"/>
                    <w:left w:val="single" w:color="auto" w:sz="4" w:space="0"/>
                    <w:bottom w:val="single" w:color="auto" w:sz="4" w:space="0"/>
                    <w:right w:val="single" w:color="auto" w:sz="4" w:space="0"/>
                  </w:tcBorders>
                  <w:vAlign w:val="center"/>
                </w:tcPr>
                <w:p w14:paraId="39165CE7">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lang w:bidi="ar"/>
                    </w:rPr>
                    <w:t>34149</w:t>
                  </w:r>
                </w:p>
              </w:tc>
            </w:tr>
            <w:tr w14:paraId="081F90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1634" w:type="dxa"/>
                  <w:vMerge w:val="restart"/>
                  <w:tcBorders>
                    <w:top w:val="nil"/>
                    <w:left w:val="single" w:color="auto" w:sz="4" w:space="0"/>
                    <w:bottom w:val="single" w:color="auto" w:sz="4" w:space="0"/>
                    <w:right w:val="single" w:color="auto" w:sz="4" w:space="0"/>
                  </w:tcBorders>
                  <w:vAlign w:val="center"/>
                </w:tcPr>
                <w:p w14:paraId="7E44A9E3">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r>
                    <w:rPr>
                      <w:rFonts w:hint="eastAsia" w:ascii="宋体" w:hAnsi="宋体" w:eastAsia="宋体" w:cs="宋体"/>
                      <w:color w:val="auto"/>
                      <w:szCs w:val="21"/>
                      <w:lang w:bidi="ar"/>
                    </w:rPr>
                    <w:t>非甲烷总烃</w:t>
                  </w:r>
                </w:p>
              </w:tc>
              <w:tc>
                <w:tcPr>
                  <w:tcW w:w="1188" w:type="dxa"/>
                  <w:tcBorders>
                    <w:top w:val="single" w:color="auto" w:sz="4" w:space="0"/>
                    <w:left w:val="single" w:color="auto" w:sz="4" w:space="0"/>
                    <w:bottom w:val="single" w:color="auto" w:sz="4" w:space="0"/>
                    <w:right w:val="single" w:color="auto" w:sz="4" w:space="0"/>
                  </w:tcBorders>
                  <w:vAlign w:val="center"/>
                </w:tcPr>
                <w:p w14:paraId="2B3672A9">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r>
                    <w:rPr>
                      <w:rFonts w:hint="eastAsia" w:ascii="宋体" w:hAnsi="宋体" w:eastAsia="宋体" w:cs="宋体"/>
                      <w:color w:val="auto"/>
                      <w:szCs w:val="21"/>
                      <w:lang w:bidi="ar"/>
                    </w:rPr>
                    <w:t>样品编号</w:t>
                  </w:r>
                </w:p>
              </w:tc>
              <w:tc>
                <w:tcPr>
                  <w:tcW w:w="936" w:type="dxa"/>
                  <w:tcBorders>
                    <w:top w:val="single" w:color="auto" w:sz="4" w:space="0"/>
                    <w:left w:val="single" w:color="auto" w:sz="4" w:space="0"/>
                    <w:bottom w:val="single" w:color="auto" w:sz="4" w:space="0"/>
                    <w:right w:val="single" w:color="auto" w:sz="4" w:space="0"/>
                  </w:tcBorders>
                  <w:vAlign w:val="center"/>
                </w:tcPr>
                <w:p w14:paraId="62D98759">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lang w:bidi="ar"/>
                    </w:rPr>
                    <w:t>/</w:t>
                  </w:r>
                </w:p>
              </w:tc>
              <w:tc>
                <w:tcPr>
                  <w:tcW w:w="1778" w:type="dxa"/>
                  <w:tcBorders>
                    <w:top w:val="single" w:color="auto" w:sz="4" w:space="0"/>
                    <w:left w:val="single" w:color="auto" w:sz="4" w:space="0"/>
                    <w:bottom w:val="single" w:color="auto" w:sz="4" w:space="0"/>
                    <w:right w:val="single" w:color="auto" w:sz="4" w:space="0"/>
                  </w:tcBorders>
                  <w:vAlign w:val="center"/>
                </w:tcPr>
                <w:p w14:paraId="4E2A45E3">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r>
                    <w:rPr>
                      <w:rFonts w:hint="eastAsia" w:ascii="宋体" w:hAnsi="宋体" w:eastAsia="宋体" w:cs="宋体"/>
                      <w:color w:val="auto"/>
                      <w:szCs w:val="21"/>
                      <w:lang w:bidi="ar"/>
                    </w:rPr>
                    <w:t>气</w:t>
                  </w:r>
                  <w:r>
                    <w:rPr>
                      <w:rFonts w:hint="default" w:ascii="Times New Roman" w:hAnsi="Times New Roman" w:eastAsia="宋体" w:cs="Times New Roman"/>
                      <w:color w:val="auto"/>
                      <w:szCs w:val="21"/>
                      <w:lang w:bidi="ar"/>
                    </w:rPr>
                    <w:t>251120159</w:t>
                  </w:r>
                </w:p>
              </w:tc>
              <w:tc>
                <w:tcPr>
                  <w:tcW w:w="1891" w:type="dxa"/>
                  <w:tcBorders>
                    <w:top w:val="single" w:color="auto" w:sz="4" w:space="0"/>
                    <w:left w:val="single" w:color="auto" w:sz="4" w:space="0"/>
                    <w:bottom w:val="single" w:color="auto" w:sz="4" w:space="0"/>
                    <w:right w:val="single" w:color="auto" w:sz="4" w:space="0"/>
                  </w:tcBorders>
                  <w:vAlign w:val="center"/>
                </w:tcPr>
                <w:p w14:paraId="46C7E62A">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r>
                    <w:rPr>
                      <w:rFonts w:hint="eastAsia" w:ascii="宋体" w:hAnsi="宋体" w:eastAsia="宋体" w:cs="宋体"/>
                      <w:color w:val="auto"/>
                      <w:szCs w:val="21"/>
                      <w:lang w:bidi="ar"/>
                    </w:rPr>
                    <w:t>气</w:t>
                  </w:r>
                  <w:r>
                    <w:rPr>
                      <w:rFonts w:hint="default" w:ascii="Times New Roman" w:hAnsi="Times New Roman" w:eastAsia="宋体" w:cs="Times New Roman"/>
                      <w:color w:val="auto"/>
                      <w:szCs w:val="21"/>
                      <w:lang w:bidi="ar"/>
                    </w:rPr>
                    <w:t>251120160</w:t>
                  </w:r>
                </w:p>
              </w:tc>
              <w:tc>
                <w:tcPr>
                  <w:tcW w:w="1895" w:type="dxa"/>
                  <w:tcBorders>
                    <w:top w:val="single" w:color="auto" w:sz="4" w:space="0"/>
                    <w:left w:val="single" w:color="auto" w:sz="4" w:space="0"/>
                    <w:bottom w:val="single" w:color="auto" w:sz="4" w:space="0"/>
                    <w:right w:val="single" w:color="auto" w:sz="4" w:space="0"/>
                  </w:tcBorders>
                  <w:vAlign w:val="center"/>
                </w:tcPr>
                <w:p w14:paraId="7DD5A4C8">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r>
                    <w:rPr>
                      <w:rFonts w:hint="eastAsia" w:ascii="宋体" w:hAnsi="宋体" w:eastAsia="宋体" w:cs="宋体"/>
                      <w:color w:val="auto"/>
                      <w:szCs w:val="21"/>
                      <w:lang w:bidi="ar"/>
                    </w:rPr>
                    <w:t>气</w:t>
                  </w:r>
                  <w:r>
                    <w:rPr>
                      <w:rFonts w:hint="default" w:ascii="Times New Roman" w:hAnsi="Times New Roman" w:eastAsia="宋体" w:cs="Times New Roman"/>
                      <w:color w:val="auto"/>
                      <w:szCs w:val="21"/>
                      <w:lang w:bidi="ar"/>
                    </w:rPr>
                    <w:t>251120161</w:t>
                  </w:r>
                </w:p>
              </w:tc>
            </w:tr>
            <w:tr w14:paraId="7903CB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1634" w:type="dxa"/>
                  <w:vMerge w:val="continue"/>
                  <w:tcBorders>
                    <w:top w:val="nil"/>
                    <w:left w:val="single" w:color="auto" w:sz="4" w:space="0"/>
                    <w:bottom w:val="single" w:color="auto" w:sz="4" w:space="0"/>
                    <w:right w:val="single" w:color="auto" w:sz="4" w:space="0"/>
                  </w:tcBorders>
                  <w:vAlign w:val="center"/>
                </w:tcPr>
                <w:p w14:paraId="3DF59F76">
                  <w:pPr>
                    <w:keepNext w:val="0"/>
                    <w:keepLines w:val="0"/>
                    <w:suppressLineNumbers w:val="0"/>
                    <w:spacing w:before="0" w:beforeAutospacing="0" w:after="0" w:afterAutospacing="0"/>
                    <w:ind w:left="0" w:right="0"/>
                    <w:rPr>
                      <w:rFonts w:hint="default" w:ascii="Times New Roman" w:hAnsi="Times New Roman" w:cs="Times New Roman"/>
                      <w:color w:val="auto"/>
                      <w:sz w:val="20"/>
                      <w:szCs w:val="20"/>
                    </w:rPr>
                  </w:pPr>
                </w:p>
              </w:tc>
              <w:tc>
                <w:tcPr>
                  <w:tcW w:w="1188" w:type="dxa"/>
                  <w:tcBorders>
                    <w:top w:val="single" w:color="auto" w:sz="4" w:space="0"/>
                    <w:left w:val="single" w:color="auto" w:sz="4" w:space="0"/>
                    <w:bottom w:val="single" w:color="auto" w:sz="4" w:space="0"/>
                    <w:right w:val="single" w:color="auto" w:sz="4" w:space="0"/>
                  </w:tcBorders>
                  <w:vAlign w:val="center"/>
                </w:tcPr>
                <w:p w14:paraId="12F34C3C">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r>
                    <w:rPr>
                      <w:rFonts w:hint="eastAsia" w:ascii="宋体" w:hAnsi="宋体" w:eastAsia="宋体" w:cs="宋体"/>
                      <w:color w:val="auto"/>
                      <w:szCs w:val="21"/>
                      <w:lang w:bidi="ar"/>
                    </w:rPr>
                    <w:t>排放浓度</w:t>
                  </w:r>
                </w:p>
              </w:tc>
              <w:tc>
                <w:tcPr>
                  <w:tcW w:w="936" w:type="dxa"/>
                  <w:tcBorders>
                    <w:top w:val="single" w:color="auto" w:sz="4" w:space="0"/>
                    <w:left w:val="single" w:color="auto" w:sz="4" w:space="0"/>
                    <w:bottom w:val="single" w:color="auto" w:sz="4" w:space="0"/>
                    <w:right w:val="single" w:color="auto" w:sz="4" w:space="0"/>
                  </w:tcBorders>
                  <w:vAlign w:val="center"/>
                </w:tcPr>
                <w:p w14:paraId="1AC04F86">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lang w:bidi="ar"/>
                    </w:rPr>
                    <w:t>mg/m³</w:t>
                  </w:r>
                </w:p>
              </w:tc>
              <w:tc>
                <w:tcPr>
                  <w:tcW w:w="1778" w:type="dxa"/>
                  <w:tcBorders>
                    <w:top w:val="single" w:color="auto" w:sz="4" w:space="0"/>
                    <w:left w:val="single" w:color="auto" w:sz="4" w:space="0"/>
                    <w:bottom w:val="single" w:color="auto" w:sz="4" w:space="0"/>
                    <w:right w:val="single" w:color="auto" w:sz="4" w:space="0"/>
                  </w:tcBorders>
                  <w:vAlign w:val="center"/>
                </w:tcPr>
                <w:p w14:paraId="5EB78438">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lang w:bidi="ar"/>
                    </w:rPr>
                    <w:t>18.7</w:t>
                  </w:r>
                </w:p>
              </w:tc>
              <w:tc>
                <w:tcPr>
                  <w:tcW w:w="1891" w:type="dxa"/>
                  <w:tcBorders>
                    <w:top w:val="single" w:color="auto" w:sz="4" w:space="0"/>
                    <w:left w:val="single" w:color="auto" w:sz="4" w:space="0"/>
                    <w:bottom w:val="single" w:color="auto" w:sz="4" w:space="0"/>
                    <w:right w:val="single" w:color="auto" w:sz="4" w:space="0"/>
                  </w:tcBorders>
                  <w:vAlign w:val="center"/>
                </w:tcPr>
                <w:p w14:paraId="41584F8E">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lang w:bidi="ar"/>
                    </w:rPr>
                    <w:t>18.8</w:t>
                  </w:r>
                </w:p>
              </w:tc>
              <w:tc>
                <w:tcPr>
                  <w:tcW w:w="1895" w:type="dxa"/>
                  <w:tcBorders>
                    <w:top w:val="single" w:color="auto" w:sz="4" w:space="0"/>
                    <w:left w:val="single" w:color="auto" w:sz="4" w:space="0"/>
                    <w:bottom w:val="single" w:color="auto" w:sz="4" w:space="0"/>
                    <w:right w:val="single" w:color="auto" w:sz="4" w:space="0"/>
                  </w:tcBorders>
                  <w:vAlign w:val="center"/>
                </w:tcPr>
                <w:p w14:paraId="73F0D40C">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lang w:bidi="ar"/>
                    </w:rPr>
                    <w:t>18.8</w:t>
                  </w:r>
                </w:p>
              </w:tc>
            </w:tr>
            <w:tr w14:paraId="509244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1634" w:type="dxa"/>
                  <w:vMerge w:val="continue"/>
                  <w:tcBorders>
                    <w:top w:val="nil"/>
                    <w:left w:val="single" w:color="auto" w:sz="4" w:space="0"/>
                    <w:bottom w:val="single" w:color="auto" w:sz="4" w:space="0"/>
                    <w:right w:val="single" w:color="auto" w:sz="4" w:space="0"/>
                  </w:tcBorders>
                  <w:vAlign w:val="center"/>
                </w:tcPr>
                <w:p w14:paraId="21B2BE14">
                  <w:pPr>
                    <w:keepNext w:val="0"/>
                    <w:keepLines w:val="0"/>
                    <w:suppressLineNumbers w:val="0"/>
                    <w:spacing w:before="0" w:beforeAutospacing="0" w:after="0" w:afterAutospacing="0"/>
                    <w:ind w:left="0" w:right="0"/>
                    <w:rPr>
                      <w:rFonts w:hint="default" w:ascii="Times New Roman" w:hAnsi="Times New Roman" w:cs="Times New Roman"/>
                      <w:color w:val="auto"/>
                      <w:sz w:val="20"/>
                      <w:szCs w:val="20"/>
                    </w:rPr>
                  </w:pPr>
                </w:p>
              </w:tc>
              <w:tc>
                <w:tcPr>
                  <w:tcW w:w="1188" w:type="dxa"/>
                  <w:tcBorders>
                    <w:top w:val="single" w:color="auto" w:sz="4" w:space="0"/>
                    <w:left w:val="single" w:color="auto" w:sz="4" w:space="0"/>
                    <w:bottom w:val="single" w:color="auto" w:sz="4" w:space="0"/>
                    <w:right w:val="single" w:color="auto" w:sz="4" w:space="0"/>
                  </w:tcBorders>
                  <w:vAlign w:val="center"/>
                </w:tcPr>
                <w:p w14:paraId="6132D8A9">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r>
                    <w:rPr>
                      <w:rFonts w:hint="eastAsia" w:ascii="宋体" w:hAnsi="宋体" w:eastAsia="宋体" w:cs="宋体"/>
                      <w:color w:val="auto"/>
                      <w:szCs w:val="21"/>
                      <w:lang w:bidi="ar"/>
                    </w:rPr>
                    <w:t>排放速率</w:t>
                  </w:r>
                </w:p>
              </w:tc>
              <w:tc>
                <w:tcPr>
                  <w:tcW w:w="936" w:type="dxa"/>
                  <w:tcBorders>
                    <w:top w:val="single" w:color="auto" w:sz="4" w:space="0"/>
                    <w:left w:val="single" w:color="auto" w:sz="4" w:space="0"/>
                    <w:bottom w:val="single" w:color="auto" w:sz="4" w:space="0"/>
                    <w:right w:val="single" w:color="auto" w:sz="4" w:space="0"/>
                  </w:tcBorders>
                  <w:vAlign w:val="center"/>
                </w:tcPr>
                <w:p w14:paraId="76AEAB99">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lang w:bidi="ar"/>
                    </w:rPr>
                    <w:t>kg/h</w:t>
                  </w:r>
                </w:p>
              </w:tc>
              <w:tc>
                <w:tcPr>
                  <w:tcW w:w="1778" w:type="dxa"/>
                  <w:tcBorders>
                    <w:top w:val="single" w:color="auto" w:sz="4" w:space="0"/>
                    <w:left w:val="single" w:color="auto" w:sz="4" w:space="0"/>
                    <w:bottom w:val="single" w:color="auto" w:sz="4" w:space="0"/>
                    <w:right w:val="single" w:color="auto" w:sz="4" w:space="0"/>
                  </w:tcBorders>
                  <w:vAlign w:val="center"/>
                </w:tcPr>
                <w:p w14:paraId="25FA157A">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lang w:bidi="ar"/>
                    </w:rPr>
                    <w:t>0.640</w:t>
                  </w:r>
                </w:p>
              </w:tc>
              <w:tc>
                <w:tcPr>
                  <w:tcW w:w="1891" w:type="dxa"/>
                  <w:tcBorders>
                    <w:top w:val="single" w:color="auto" w:sz="4" w:space="0"/>
                    <w:left w:val="single" w:color="auto" w:sz="4" w:space="0"/>
                    <w:bottom w:val="single" w:color="auto" w:sz="4" w:space="0"/>
                    <w:right w:val="single" w:color="auto" w:sz="4" w:space="0"/>
                  </w:tcBorders>
                  <w:vAlign w:val="center"/>
                </w:tcPr>
                <w:p w14:paraId="0616BDC5">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lang w:bidi="ar"/>
                    </w:rPr>
                    <w:t>0.636</w:t>
                  </w:r>
                </w:p>
              </w:tc>
              <w:tc>
                <w:tcPr>
                  <w:tcW w:w="1895" w:type="dxa"/>
                  <w:tcBorders>
                    <w:top w:val="single" w:color="auto" w:sz="4" w:space="0"/>
                    <w:left w:val="single" w:color="auto" w:sz="4" w:space="0"/>
                    <w:bottom w:val="single" w:color="auto" w:sz="4" w:space="0"/>
                    <w:right w:val="single" w:color="auto" w:sz="4" w:space="0"/>
                  </w:tcBorders>
                  <w:vAlign w:val="center"/>
                </w:tcPr>
                <w:p w14:paraId="317AD6E1">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lang w:bidi="ar"/>
                    </w:rPr>
                    <w:t>0.642</w:t>
                  </w:r>
                </w:p>
              </w:tc>
            </w:tr>
            <w:tr w14:paraId="35D28F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9322" w:type="dxa"/>
                  <w:gridSpan w:val="6"/>
                  <w:tcBorders>
                    <w:top w:val="single" w:color="auto" w:sz="4" w:space="0"/>
                    <w:left w:val="single" w:color="auto" w:sz="4" w:space="0"/>
                    <w:bottom w:val="single" w:color="auto" w:sz="4" w:space="0"/>
                    <w:right w:val="single" w:color="auto" w:sz="4" w:space="0"/>
                  </w:tcBorders>
                  <w:vAlign w:val="center"/>
                </w:tcPr>
                <w:p w14:paraId="166B84CE">
                  <w:pPr>
                    <w:keepNext w:val="0"/>
                    <w:keepLines w:val="0"/>
                    <w:suppressLineNumbers w:val="0"/>
                    <w:spacing w:before="0" w:beforeAutospacing="0" w:after="0" w:afterAutospacing="0"/>
                    <w:ind w:left="0" w:right="0"/>
                    <w:jc w:val="left"/>
                    <w:rPr>
                      <w:rFonts w:hint="default" w:ascii="Times New Roman" w:hAnsi="Times New Roman" w:eastAsia="宋体" w:cs="Times New Roman"/>
                      <w:color w:val="auto"/>
                      <w:szCs w:val="21"/>
                    </w:rPr>
                  </w:pPr>
                  <w:r>
                    <w:rPr>
                      <w:rFonts w:hint="eastAsia" w:ascii="宋体" w:hAnsi="宋体" w:eastAsia="宋体" w:cs="宋体"/>
                      <w:color w:val="auto"/>
                      <w:szCs w:val="21"/>
                      <w:lang w:bidi="ar"/>
                    </w:rPr>
                    <w:t>采样点位：</w:t>
                  </w:r>
                  <w:r>
                    <w:rPr>
                      <w:rFonts w:hint="default" w:ascii="Times New Roman" w:hAnsi="Times New Roman" w:eastAsia="宋体" w:cs="Times New Roman"/>
                      <w:color w:val="auto"/>
                      <w:szCs w:val="21"/>
                      <w:u w:val="single"/>
                      <w:lang w:bidi="ar"/>
                    </w:rPr>
                    <w:t xml:space="preserve">   DA003</w:t>
                  </w:r>
                  <w:r>
                    <w:rPr>
                      <w:rFonts w:hint="eastAsia" w:ascii="宋体" w:hAnsi="宋体" w:eastAsia="宋体" w:cs="宋体"/>
                      <w:color w:val="auto"/>
                      <w:szCs w:val="21"/>
                      <w:u w:val="single"/>
                      <w:lang w:bidi="ar"/>
                    </w:rPr>
                    <w:t xml:space="preserve">挥发废气处理设施出口   </w:t>
                  </w:r>
                  <w:r>
                    <w:rPr>
                      <w:rFonts w:hint="eastAsia" w:ascii="宋体" w:hAnsi="宋体" w:eastAsia="宋体" w:cs="宋体"/>
                      <w:color w:val="auto"/>
                      <w:szCs w:val="21"/>
                      <w:lang w:bidi="ar"/>
                    </w:rPr>
                    <w:t>采样日期：</w:t>
                  </w:r>
                  <w:r>
                    <w:rPr>
                      <w:rFonts w:hint="default" w:ascii="Times New Roman" w:hAnsi="Times New Roman" w:eastAsia="宋体" w:cs="Times New Roman"/>
                      <w:color w:val="auto"/>
                      <w:szCs w:val="21"/>
                      <w:u w:val="single"/>
                      <w:lang w:bidi="ar"/>
                    </w:rPr>
                    <w:t xml:space="preserve">   2025.11.20   </w:t>
                  </w:r>
                </w:p>
              </w:tc>
            </w:tr>
            <w:tr w14:paraId="6D2677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2822" w:type="dxa"/>
                  <w:gridSpan w:val="2"/>
                  <w:tcBorders>
                    <w:top w:val="single" w:color="auto" w:sz="4" w:space="0"/>
                    <w:left w:val="single" w:color="auto" w:sz="4" w:space="0"/>
                    <w:bottom w:val="single" w:color="auto" w:sz="4" w:space="0"/>
                    <w:right w:val="single" w:color="auto" w:sz="4" w:space="0"/>
                  </w:tcBorders>
                  <w:vAlign w:val="center"/>
                </w:tcPr>
                <w:p w14:paraId="69DBECB2">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r>
                    <w:rPr>
                      <w:rFonts w:hint="eastAsia" w:ascii="宋体" w:hAnsi="宋体" w:eastAsia="宋体" w:cs="宋体"/>
                      <w:color w:val="auto"/>
                      <w:szCs w:val="21"/>
                      <w:lang w:bidi="ar"/>
                    </w:rPr>
                    <w:t>检测项目</w:t>
                  </w:r>
                </w:p>
              </w:tc>
              <w:tc>
                <w:tcPr>
                  <w:tcW w:w="936" w:type="dxa"/>
                  <w:tcBorders>
                    <w:top w:val="single" w:color="auto" w:sz="4" w:space="0"/>
                    <w:left w:val="single" w:color="auto" w:sz="4" w:space="0"/>
                    <w:bottom w:val="single" w:color="auto" w:sz="4" w:space="0"/>
                    <w:right w:val="single" w:color="auto" w:sz="4" w:space="0"/>
                  </w:tcBorders>
                  <w:vAlign w:val="center"/>
                </w:tcPr>
                <w:p w14:paraId="35145C21">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r>
                    <w:rPr>
                      <w:rFonts w:hint="eastAsia" w:ascii="宋体" w:hAnsi="宋体" w:eastAsia="宋体" w:cs="宋体"/>
                      <w:color w:val="auto"/>
                      <w:szCs w:val="21"/>
                      <w:lang w:bidi="ar"/>
                    </w:rPr>
                    <w:t>单位</w:t>
                  </w:r>
                </w:p>
              </w:tc>
              <w:tc>
                <w:tcPr>
                  <w:tcW w:w="5564" w:type="dxa"/>
                  <w:gridSpan w:val="3"/>
                  <w:tcBorders>
                    <w:top w:val="single" w:color="auto" w:sz="4" w:space="0"/>
                    <w:left w:val="single" w:color="auto" w:sz="4" w:space="0"/>
                    <w:bottom w:val="single" w:color="auto" w:sz="4" w:space="0"/>
                    <w:right w:val="single" w:color="auto" w:sz="4" w:space="0"/>
                  </w:tcBorders>
                  <w:vAlign w:val="center"/>
                </w:tcPr>
                <w:p w14:paraId="691F344E">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r>
                    <w:rPr>
                      <w:rFonts w:hint="eastAsia" w:ascii="宋体" w:hAnsi="宋体" w:eastAsia="宋体" w:cs="宋体"/>
                      <w:color w:val="auto"/>
                      <w:szCs w:val="21"/>
                      <w:lang w:bidi="ar"/>
                    </w:rPr>
                    <w:t>检测结果</w:t>
                  </w:r>
                </w:p>
              </w:tc>
            </w:tr>
            <w:tr w14:paraId="42676D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2822" w:type="dxa"/>
                  <w:gridSpan w:val="2"/>
                  <w:tcBorders>
                    <w:top w:val="single" w:color="auto" w:sz="4" w:space="0"/>
                    <w:left w:val="single" w:color="auto" w:sz="4" w:space="0"/>
                    <w:bottom w:val="single" w:color="auto" w:sz="4" w:space="0"/>
                    <w:right w:val="single" w:color="auto" w:sz="4" w:space="0"/>
                  </w:tcBorders>
                  <w:vAlign w:val="center"/>
                </w:tcPr>
                <w:p w14:paraId="77CD7576">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r>
                    <w:rPr>
                      <w:rFonts w:hint="eastAsia" w:ascii="宋体" w:hAnsi="宋体" w:eastAsia="宋体" w:cs="宋体"/>
                      <w:color w:val="auto"/>
                      <w:szCs w:val="21"/>
                      <w:lang w:bidi="ar"/>
                    </w:rPr>
                    <w:t>检测管道截面积</w:t>
                  </w:r>
                </w:p>
              </w:tc>
              <w:tc>
                <w:tcPr>
                  <w:tcW w:w="936" w:type="dxa"/>
                  <w:tcBorders>
                    <w:top w:val="single" w:color="auto" w:sz="4" w:space="0"/>
                    <w:left w:val="single" w:color="auto" w:sz="4" w:space="0"/>
                    <w:bottom w:val="single" w:color="auto" w:sz="4" w:space="0"/>
                    <w:right w:val="single" w:color="auto" w:sz="4" w:space="0"/>
                  </w:tcBorders>
                  <w:vAlign w:val="center"/>
                </w:tcPr>
                <w:p w14:paraId="2020395D">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lang w:bidi="ar"/>
                    </w:rPr>
                    <w:t>m²</w:t>
                  </w:r>
                </w:p>
              </w:tc>
              <w:tc>
                <w:tcPr>
                  <w:tcW w:w="1778" w:type="dxa"/>
                  <w:tcBorders>
                    <w:top w:val="single" w:color="auto" w:sz="4" w:space="0"/>
                    <w:left w:val="single" w:color="auto" w:sz="4" w:space="0"/>
                    <w:bottom w:val="single" w:color="auto" w:sz="4" w:space="0"/>
                    <w:right w:val="single" w:color="auto" w:sz="4" w:space="0"/>
                  </w:tcBorders>
                  <w:vAlign w:val="center"/>
                </w:tcPr>
                <w:p w14:paraId="0F456441">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lang w:bidi="ar"/>
                    </w:rPr>
                    <w:t>1.1310</w:t>
                  </w:r>
                </w:p>
              </w:tc>
              <w:tc>
                <w:tcPr>
                  <w:tcW w:w="1891" w:type="dxa"/>
                  <w:tcBorders>
                    <w:top w:val="single" w:color="auto" w:sz="4" w:space="0"/>
                    <w:left w:val="single" w:color="auto" w:sz="4" w:space="0"/>
                    <w:bottom w:val="single" w:color="auto" w:sz="4" w:space="0"/>
                    <w:right w:val="single" w:color="auto" w:sz="4" w:space="0"/>
                  </w:tcBorders>
                  <w:vAlign w:val="center"/>
                </w:tcPr>
                <w:p w14:paraId="7423BF51">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lang w:bidi="ar"/>
                    </w:rPr>
                    <w:t>1.1310</w:t>
                  </w:r>
                </w:p>
              </w:tc>
              <w:tc>
                <w:tcPr>
                  <w:tcW w:w="1895" w:type="dxa"/>
                  <w:tcBorders>
                    <w:top w:val="single" w:color="auto" w:sz="4" w:space="0"/>
                    <w:left w:val="single" w:color="auto" w:sz="4" w:space="0"/>
                    <w:bottom w:val="single" w:color="auto" w:sz="4" w:space="0"/>
                    <w:right w:val="single" w:color="auto" w:sz="4" w:space="0"/>
                  </w:tcBorders>
                  <w:vAlign w:val="center"/>
                </w:tcPr>
                <w:p w14:paraId="1A6F7EFD">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lang w:bidi="ar"/>
                    </w:rPr>
                    <w:t>1.1310</w:t>
                  </w:r>
                </w:p>
              </w:tc>
            </w:tr>
            <w:tr w14:paraId="1BF7C1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2822" w:type="dxa"/>
                  <w:gridSpan w:val="2"/>
                  <w:tcBorders>
                    <w:top w:val="single" w:color="auto" w:sz="4" w:space="0"/>
                    <w:left w:val="single" w:color="auto" w:sz="4" w:space="0"/>
                    <w:bottom w:val="single" w:color="auto" w:sz="4" w:space="0"/>
                    <w:right w:val="single" w:color="auto" w:sz="4" w:space="0"/>
                  </w:tcBorders>
                  <w:vAlign w:val="center"/>
                </w:tcPr>
                <w:p w14:paraId="14DDCD4F">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r>
                    <w:rPr>
                      <w:rFonts w:hint="eastAsia" w:ascii="宋体" w:hAnsi="宋体" w:eastAsia="宋体" w:cs="宋体"/>
                      <w:color w:val="auto"/>
                      <w:szCs w:val="21"/>
                      <w:lang w:bidi="ar"/>
                    </w:rPr>
                    <w:t>烟气温度</w:t>
                  </w:r>
                </w:p>
              </w:tc>
              <w:tc>
                <w:tcPr>
                  <w:tcW w:w="936" w:type="dxa"/>
                  <w:tcBorders>
                    <w:top w:val="single" w:color="auto" w:sz="4" w:space="0"/>
                    <w:left w:val="single" w:color="auto" w:sz="4" w:space="0"/>
                    <w:bottom w:val="single" w:color="auto" w:sz="4" w:space="0"/>
                    <w:right w:val="single" w:color="auto" w:sz="4" w:space="0"/>
                  </w:tcBorders>
                  <w:vAlign w:val="center"/>
                </w:tcPr>
                <w:p w14:paraId="1C1A19F5">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lang w:bidi="ar"/>
                    </w:rPr>
                    <w:t>℃</w:t>
                  </w:r>
                </w:p>
              </w:tc>
              <w:tc>
                <w:tcPr>
                  <w:tcW w:w="1778" w:type="dxa"/>
                  <w:tcBorders>
                    <w:top w:val="single" w:color="auto" w:sz="4" w:space="0"/>
                    <w:left w:val="single" w:color="auto" w:sz="4" w:space="0"/>
                    <w:bottom w:val="single" w:color="auto" w:sz="4" w:space="0"/>
                    <w:right w:val="single" w:color="auto" w:sz="4" w:space="0"/>
                  </w:tcBorders>
                  <w:vAlign w:val="center"/>
                </w:tcPr>
                <w:p w14:paraId="30627FB5">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lang w:bidi="ar"/>
                    </w:rPr>
                    <w:t>47.8</w:t>
                  </w:r>
                </w:p>
              </w:tc>
              <w:tc>
                <w:tcPr>
                  <w:tcW w:w="1891" w:type="dxa"/>
                  <w:tcBorders>
                    <w:top w:val="single" w:color="auto" w:sz="4" w:space="0"/>
                    <w:left w:val="single" w:color="auto" w:sz="4" w:space="0"/>
                    <w:bottom w:val="single" w:color="auto" w:sz="4" w:space="0"/>
                    <w:right w:val="single" w:color="auto" w:sz="4" w:space="0"/>
                  </w:tcBorders>
                  <w:vAlign w:val="center"/>
                </w:tcPr>
                <w:p w14:paraId="4DCA02F8">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lang w:bidi="ar"/>
                    </w:rPr>
                    <w:t>47.9</w:t>
                  </w:r>
                </w:p>
              </w:tc>
              <w:tc>
                <w:tcPr>
                  <w:tcW w:w="1895" w:type="dxa"/>
                  <w:tcBorders>
                    <w:top w:val="single" w:color="auto" w:sz="4" w:space="0"/>
                    <w:left w:val="single" w:color="auto" w:sz="4" w:space="0"/>
                    <w:bottom w:val="single" w:color="auto" w:sz="4" w:space="0"/>
                    <w:right w:val="single" w:color="auto" w:sz="4" w:space="0"/>
                  </w:tcBorders>
                  <w:vAlign w:val="center"/>
                </w:tcPr>
                <w:p w14:paraId="59E0B11E">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lang w:bidi="ar"/>
                    </w:rPr>
                    <w:t>48.0</w:t>
                  </w:r>
                </w:p>
              </w:tc>
            </w:tr>
            <w:tr w14:paraId="2F0401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2822" w:type="dxa"/>
                  <w:gridSpan w:val="2"/>
                  <w:tcBorders>
                    <w:top w:val="single" w:color="auto" w:sz="4" w:space="0"/>
                    <w:left w:val="single" w:color="auto" w:sz="4" w:space="0"/>
                    <w:bottom w:val="single" w:color="auto" w:sz="4" w:space="0"/>
                    <w:right w:val="single" w:color="auto" w:sz="4" w:space="0"/>
                  </w:tcBorders>
                  <w:vAlign w:val="center"/>
                </w:tcPr>
                <w:p w14:paraId="0ACB653A">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r>
                    <w:rPr>
                      <w:rFonts w:hint="eastAsia" w:ascii="宋体" w:hAnsi="宋体" w:eastAsia="宋体" w:cs="宋体"/>
                      <w:color w:val="auto"/>
                      <w:szCs w:val="21"/>
                      <w:lang w:bidi="ar"/>
                    </w:rPr>
                    <w:t>烟气平均流速</w:t>
                  </w:r>
                </w:p>
              </w:tc>
              <w:tc>
                <w:tcPr>
                  <w:tcW w:w="936" w:type="dxa"/>
                  <w:tcBorders>
                    <w:top w:val="single" w:color="auto" w:sz="4" w:space="0"/>
                    <w:left w:val="single" w:color="auto" w:sz="4" w:space="0"/>
                    <w:bottom w:val="single" w:color="auto" w:sz="4" w:space="0"/>
                    <w:right w:val="single" w:color="auto" w:sz="4" w:space="0"/>
                  </w:tcBorders>
                  <w:vAlign w:val="center"/>
                </w:tcPr>
                <w:p w14:paraId="37F71699">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lang w:bidi="ar"/>
                    </w:rPr>
                    <w:t>m/s</w:t>
                  </w:r>
                </w:p>
              </w:tc>
              <w:tc>
                <w:tcPr>
                  <w:tcW w:w="1778" w:type="dxa"/>
                  <w:tcBorders>
                    <w:top w:val="single" w:color="auto" w:sz="4" w:space="0"/>
                    <w:left w:val="single" w:color="auto" w:sz="4" w:space="0"/>
                    <w:bottom w:val="single" w:color="auto" w:sz="4" w:space="0"/>
                    <w:right w:val="single" w:color="auto" w:sz="4" w:space="0"/>
                  </w:tcBorders>
                  <w:vAlign w:val="center"/>
                </w:tcPr>
                <w:p w14:paraId="1D2AABB9">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lang w:bidi="ar"/>
                    </w:rPr>
                    <w:t>11.1</w:t>
                  </w:r>
                </w:p>
              </w:tc>
              <w:tc>
                <w:tcPr>
                  <w:tcW w:w="1891" w:type="dxa"/>
                  <w:tcBorders>
                    <w:top w:val="single" w:color="auto" w:sz="4" w:space="0"/>
                    <w:left w:val="single" w:color="auto" w:sz="4" w:space="0"/>
                    <w:bottom w:val="single" w:color="auto" w:sz="4" w:space="0"/>
                    <w:right w:val="single" w:color="auto" w:sz="4" w:space="0"/>
                  </w:tcBorders>
                  <w:vAlign w:val="center"/>
                </w:tcPr>
                <w:p w14:paraId="090A9E45">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lang w:bidi="ar"/>
                    </w:rPr>
                    <w:t>11.3</w:t>
                  </w:r>
                </w:p>
              </w:tc>
              <w:tc>
                <w:tcPr>
                  <w:tcW w:w="1895" w:type="dxa"/>
                  <w:tcBorders>
                    <w:top w:val="single" w:color="auto" w:sz="4" w:space="0"/>
                    <w:left w:val="single" w:color="auto" w:sz="4" w:space="0"/>
                    <w:bottom w:val="single" w:color="auto" w:sz="4" w:space="0"/>
                    <w:right w:val="single" w:color="auto" w:sz="4" w:space="0"/>
                  </w:tcBorders>
                  <w:vAlign w:val="center"/>
                </w:tcPr>
                <w:p w14:paraId="77666A2C">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lang w:bidi="ar"/>
                    </w:rPr>
                    <w:t>11.3</w:t>
                  </w:r>
                </w:p>
              </w:tc>
            </w:tr>
            <w:tr w14:paraId="26C9E5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2822" w:type="dxa"/>
                  <w:gridSpan w:val="2"/>
                  <w:tcBorders>
                    <w:top w:val="single" w:color="auto" w:sz="4" w:space="0"/>
                    <w:left w:val="single" w:color="auto" w:sz="4" w:space="0"/>
                    <w:bottom w:val="single" w:color="auto" w:sz="4" w:space="0"/>
                    <w:right w:val="single" w:color="auto" w:sz="4" w:space="0"/>
                  </w:tcBorders>
                  <w:vAlign w:val="center"/>
                </w:tcPr>
                <w:p w14:paraId="47AD6061">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r>
                    <w:rPr>
                      <w:rFonts w:hint="eastAsia" w:ascii="宋体" w:hAnsi="宋体" w:eastAsia="宋体" w:cs="宋体"/>
                      <w:color w:val="auto"/>
                      <w:szCs w:val="21"/>
                      <w:lang w:bidi="ar"/>
                    </w:rPr>
                    <w:t>标态干烟气量</w:t>
                  </w:r>
                </w:p>
              </w:tc>
              <w:tc>
                <w:tcPr>
                  <w:tcW w:w="936" w:type="dxa"/>
                  <w:tcBorders>
                    <w:top w:val="single" w:color="auto" w:sz="4" w:space="0"/>
                    <w:left w:val="single" w:color="auto" w:sz="4" w:space="0"/>
                    <w:bottom w:val="single" w:color="auto" w:sz="4" w:space="0"/>
                    <w:right w:val="single" w:color="auto" w:sz="4" w:space="0"/>
                  </w:tcBorders>
                  <w:vAlign w:val="center"/>
                </w:tcPr>
                <w:p w14:paraId="615744F3">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lang w:bidi="ar"/>
                    </w:rPr>
                    <w:t>m³/h</w:t>
                  </w:r>
                </w:p>
              </w:tc>
              <w:tc>
                <w:tcPr>
                  <w:tcW w:w="1778" w:type="dxa"/>
                  <w:tcBorders>
                    <w:top w:val="single" w:color="auto" w:sz="4" w:space="0"/>
                    <w:left w:val="single" w:color="auto" w:sz="4" w:space="0"/>
                    <w:bottom w:val="single" w:color="auto" w:sz="4" w:space="0"/>
                    <w:right w:val="single" w:color="auto" w:sz="4" w:space="0"/>
                  </w:tcBorders>
                  <w:vAlign w:val="center"/>
                </w:tcPr>
                <w:p w14:paraId="6BFD04B4">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lang w:bidi="ar"/>
                    </w:rPr>
                    <w:t>38233</w:t>
                  </w:r>
                </w:p>
              </w:tc>
              <w:tc>
                <w:tcPr>
                  <w:tcW w:w="1891" w:type="dxa"/>
                  <w:tcBorders>
                    <w:top w:val="single" w:color="auto" w:sz="4" w:space="0"/>
                    <w:left w:val="single" w:color="auto" w:sz="4" w:space="0"/>
                    <w:bottom w:val="single" w:color="auto" w:sz="4" w:space="0"/>
                    <w:right w:val="single" w:color="auto" w:sz="4" w:space="0"/>
                  </w:tcBorders>
                  <w:vAlign w:val="center"/>
                </w:tcPr>
                <w:p w14:paraId="64AA52D7">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lang w:bidi="ar"/>
                    </w:rPr>
                    <w:t>38917</w:t>
                  </w:r>
                </w:p>
              </w:tc>
              <w:tc>
                <w:tcPr>
                  <w:tcW w:w="1895" w:type="dxa"/>
                  <w:tcBorders>
                    <w:top w:val="single" w:color="auto" w:sz="4" w:space="0"/>
                    <w:left w:val="single" w:color="auto" w:sz="4" w:space="0"/>
                    <w:bottom w:val="single" w:color="auto" w:sz="4" w:space="0"/>
                    <w:right w:val="single" w:color="auto" w:sz="4" w:space="0"/>
                  </w:tcBorders>
                  <w:vAlign w:val="center"/>
                </w:tcPr>
                <w:p w14:paraId="75390035">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lang w:bidi="ar"/>
                    </w:rPr>
                    <w:t>38900</w:t>
                  </w:r>
                </w:p>
              </w:tc>
            </w:tr>
            <w:tr w14:paraId="6B521D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1634" w:type="dxa"/>
                  <w:vMerge w:val="restart"/>
                  <w:tcBorders>
                    <w:top w:val="nil"/>
                    <w:left w:val="single" w:color="auto" w:sz="4" w:space="0"/>
                    <w:bottom w:val="single" w:color="auto" w:sz="4" w:space="0"/>
                    <w:right w:val="single" w:color="auto" w:sz="4" w:space="0"/>
                  </w:tcBorders>
                  <w:vAlign w:val="center"/>
                </w:tcPr>
                <w:p w14:paraId="2A891B1D">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r>
                    <w:rPr>
                      <w:rFonts w:hint="eastAsia" w:ascii="宋体" w:hAnsi="宋体" w:eastAsia="宋体" w:cs="宋体"/>
                      <w:color w:val="auto"/>
                      <w:szCs w:val="21"/>
                      <w:lang w:bidi="ar"/>
                    </w:rPr>
                    <w:t>非甲烷总烃</w:t>
                  </w:r>
                </w:p>
              </w:tc>
              <w:tc>
                <w:tcPr>
                  <w:tcW w:w="1188" w:type="dxa"/>
                  <w:tcBorders>
                    <w:top w:val="single" w:color="auto" w:sz="4" w:space="0"/>
                    <w:left w:val="single" w:color="auto" w:sz="4" w:space="0"/>
                    <w:bottom w:val="single" w:color="auto" w:sz="4" w:space="0"/>
                    <w:right w:val="single" w:color="auto" w:sz="4" w:space="0"/>
                  </w:tcBorders>
                  <w:vAlign w:val="center"/>
                </w:tcPr>
                <w:p w14:paraId="68E1F934">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r>
                    <w:rPr>
                      <w:rFonts w:hint="eastAsia" w:ascii="宋体" w:hAnsi="宋体" w:eastAsia="宋体" w:cs="宋体"/>
                      <w:color w:val="auto"/>
                      <w:szCs w:val="21"/>
                      <w:lang w:bidi="ar"/>
                    </w:rPr>
                    <w:t>样品编号</w:t>
                  </w:r>
                </w:p>
              </w:tc>
              <w:tc>
                <w:tcPr>
                  <w:tcW w:w="936" w:type="dxa"/>
                  <w:tcBorders>
                    <w:top w:val="single" w:color="auto" w:sz="4" w:space="0"/>
                    <w:left w:val="single" w:color="auto" w:sz="4" w:space="0"/>
                    <w:bottom w:val="single" w:color="auto" w:sz="4" w:space="0"/>
                    <w:right w:val="single" w:color="auto" w:sz="4" w:space="0"/>
                  </w:tcBorders>
                  <w:vAlign w:val="center"/>
                </w:tcPr>
                <w:p w14:paraId="40223FA5">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lang w:bidi="ar"/>
                    </w:rPr>
                    <w:t>/</w:t>
                  </w:r>
                </w:p>
              </w:tc>
              <w:tc>
                <w:tcPr>
                  <w:tcW w:w="1778" w:type="dxa"/>
                  <w:tcBorders>
                    <w:top w:val="single" w:color="auto" w:sz="4" w:space="0"/>
                    <w:left w:val="single" w:color="auto" w:sz="4" w:space="0"/>
                    <w:bottom w:val="single" w:color="auto" w:sz="4" w:space="0"/>
                    <w:right w:val="single" w:color="auto" w:sz="4" w:space="0"/>
                  </w:tcBorders>
                  <w:vAlign w:val="center"/>
                </w:tcPr>
                <w:p w14:paraId="7CF06B2A">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r>
                    <w:rPr>
                      <w:rFonts w:hint="eastAsia" w:ascii="宋体" w:hAnsi="宋体" w:eastAsia="宋体" w:cs="宋体"/>
                      <w:color w:val="auto"/>
                      <w:szCs w:val="21"/>
                      <w:lang w:bidi="ar"/>
                    </w:rPr>
                    <w:t>气</w:t>
                  </w:r>
                  <w:r>
                    <w:rPr>
                      <w:rFonts w:hint="default" w:ascii="Times New Roman" w:hAnsi="Times New Roman" w:eastAsia="宋体" w:cs="Times New Roman"/>
                      <w:color w:val="auto"/>
                      <w:szCs w:val="21"/>
                      <w:lang w:bidi="ar"/>
                    </w:rPr>
                    <w:t>251120162</w:t>
                  </w:r>
                </w:p>
              </w:tc>
              <w:tc>
                <w:tcPr>
                  <w:tcW w:w="1891" w:type="dxa"/>
                  <w:tcBorders>
                    <w:top w:val="single" w:color="auto" w:sz="4" w:space="0"/>
                    <w:left w:val="single" w:color="auto" w:sz="4" w:space="0"/>
                    <w:bottom w:val="single" w:color="auto" w:sz="4" w:space="0"/>
                    <w:right w:val="single" w:color="auto" w:sz="4" w:space="0"/>
                  </w:tcBorders>
                  <w:vAlign w:val="center"/>
                </w:tcPr>
                <w:p w14:paraId="2E4C1C60">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r>
                    <w:rPr>
                      <w:rFonts w:hint="eastAsia" w:ascii="宋体" w:hAnsi="宋体" w:eastAsia="宋体" w:cs="宋体"/>
                      <w:color w:val="auto"/>
                      <w:szCs w:val="21"/>
                      <w:lang w:bidi="ar"/>
                    </w:rPr>
                    <w:t>气</w:t>
                  </w:r>
                  <w:r>
                    <w:rPr>
                      <w:rFonts w:hint="default" w:ascii="Times New Roman" w:hAnsi="Times New Roman" w:eastAsia="宋体" w:cs="Times New Roman"/>
                      <w:color w:val="auto"/>
                      <w:szCs w:val="21"/>
                      <w:lang w:bidi="ar"/>
                    </w:rPr>
                    <w:t>251120163</w:t>
                  </w:r>
                </w:p>
              </w:tc>
              <w:tc>
                <w:tcPr>
                  <w:tcW w:w="1895" w:type="dxa"/>
                  <w:tcBorders>
                    <w:top w:val="single" w:color="auto" w:sz="4" w:space="0"/>
                    <w:left w:val="single" w:color="auto" w:sz="4" w:space="0"/>
                    <w:bottom w:val="single" w:color="auto" w:sz="4" w:space="0"/>
                    <w:right w:val="single" w:color="auto" w:sz="4" w:space="0"/>
                  </w:tcBorders>
                  <w:vAlign w:val="center"/>
                </w:tcPr>
                <w:p w14:paraId="38E95AEE">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r>
                    <w:rPr>
                      <w:rFonts w:hint="eastAsia" w:ascii="宋体" w:hAnsi="宋体" w:eastAsia="宋体" w:cs="宋体"/>
                      <w:color w:val="auto"/>
                      <w:szCs w:val="21"/>
                      <w:lang w:bidi="ar"/>
                    </w:rPr>
                    <w:t>气</w:t>
                  </w:r>
                  <w:r>
                    <w:rPr>
                      <w:rFonts w:hint="default" w:ascii="Times New Roman" w:hAnsi="Times New Roman" w:eastAsia="宋体" w:cs="Times New Roman"/>
                      <w:color w:val="auto"/>
                      <w:szCs w:val="21"/>
                      <w:lang w:bidi="ar"/>
                    </w:rPr>
                    <w:t>251120164</w:t>
                  </w:r>
                </w:p>
              </w:tc>
            </w:tr>
            <w:tr w14:paraId="7F75DF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1634" w:type="dxa"/>
                  <w:vMerge w:val="continue"/>
                  <w:tcBorders>
                    <w:top w:val="nil"/>
                    <w:left w:val="single" w:color="auto" w:sz="4" w:space="0"/>
                    <w:bottom w:val="single" w:color="auto" w:sz="4" w:space="0"/>
                    <w:right w:val="single" w:color="auto" w:sz="4" w:space="0"/>
                  </w:tcBorders>
                  <w:vAlign w:val="center"/>
                </w:tcPr>
                <w:p w14:paraId="4853C3AD">
                  <w:pPr>
                    <w:keepNext w:val="0"/>
                    <w:keepLines w:val="0"/>
                    <w:suppressLineNumbers w:val="0"/>
                    <w:spacing w:before="0" w:beforeAutospacing="0" w:after="0" w:afterAutospacing="0"/>
                    <w:ind w:left="0" w:right="0"/>
                    <w:rPr>
                      <w:rFonts w:hint="default" w:ascii="Times New Roman" w:hAnsi="Times New Roman" w:cs="Times New Roman"/>
                      <w:color w:val="auto"/>
                      <w:sz w:val="20"/>
                      <w:szCs w:val="20"/>
                    </w:rPr>
                  </w:pPr>
                </w:p>
              </w:tc>
              <w:tc>
                <w:tcPr>
                  <w:tcW w:w="1188" w:type="dxa"/>
                  <w:tcBorders>
                    <w:top w:val="single" w:color="auto" w:sz="4" w:space="0"/>
                    <w:left w:val="single" w:color="auto" w:sz="4" w:space="0"/>
                    <w:bottom w:val="single" w:color="auto" w:sz="4" w:space="0"/>
                    <w:right w:val="single" w:color="auto" w:sz="4" w:space="0"/>
                  </w:tcBorders>
                  <w:vAlign w:val="center"/>
                </w:tcPr>
                <w:p w14:paraId="508699F1">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r>
                    <w:rPr>
                      <w:rFonts w:hint="eastAsia" w:ascii="宋体" w:hAnsi="宋体" w:eastAsia="宋体" w:cs="宋体"/>
                      <w:color w:val="auto"/>
                      <w:szCs w:val="21"/>
                      <w:lang w:bidi="ar"/>
                    </w:rPr>
                    <w:t>排放浓度</w:t>
                  </w:r>
                </w:p>
              </w:tc>
              <w:tc>
                <w:tcPr>
                  <w:tcW w:w="936" w:type="dxa"/>
                  <w:tcBorders>
                    <w:top w:val="single" w:color="auto" w:sz="4" w:space="0"/>
                    <w:left w:val="single" w:color="auto" w:sz="4" w:space="0"/>
                    <w:bottom w:val="single" w:color="auto" w:sz="4" w:space="0"/>
                    <w:right w:val="single" w:color="auto" w:sz="4" w:space="0"/>
                  </w:tcBorders>
                  <w:vAlign w:val="center"/>
                </w:tcPr>
                <w:p w14:paraId="56CC8113">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lang w:bidi="ar"/>
                    </w:rPr>
                    <w:t>mg/m³</w:t>
                  </w:r>
                </w:p>
              </w:tc>
              <w:tc>
                <w:tcPr>
                  <w:tcW w:w="1778" w:type="dxa"/>
                  <w:tcBorders>
                    <w:top w:val="single" w:color="auto" w:sz="4" w:space="0"/>
                    <w:left w:val="single" w:color="auto" w:sz="4" w:space="0"/>
                    <w:bottom w:val="single" w:color="auto" w:sz="4" w:space="0"/>
                    <w:right w:val="single" w:color="auto" w:sz="4" w:space="0"/>
                  </w:tcBorders>
                  <w:vAlign w:val="center"/>
                </w:tcPr>
                <w:p w14:paraId="7E809D86">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lang w:bidi="ar"/>
                    </w:rPr>
                    <w:t>1.21</w:t>
                  </w:r>
                </w:p>
              </w:tc>
              <w:tc>
                <w:tcPr>
                  <w:tcW w:w="1891" w:type="dxa"/>
                  <w:tcBorders>
                    <w:top w:val="single" w:color="auto" w:sz="4" w:space="0"/>
                    <w:left w:val="single" w:color="auto" w:sz="4" w:space="0"/>
                    <w:bottom w:val="single" w:color="auto" w:sz="4" w:space="0"/>
                    <w:right w:val="single" w:color="auto" w:sz="4" w:space="0"/>
                  </w:tcBorders>
                  <w:vAlign w:val="center"/>
                </w:tcPr>
                <w:p w14:paraId="272825E7">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lang w:bidi="ar"/>
                    </w:rPr>
                    <w:t>1.18</w:t>
                  </w:r>
                </w:p>
              </w:tc>
              <w:tc>
                <w:tcPr>
                  <w:tcW w:w="1895" w:type="dxa"/>
                  <w:tcBorders>
                    <w:top w:val="single" w:color="auto" w:sz="4" w:space="0"/>
                    <w:left w:val="single" w:color="auto" w:sz="4" w:space="0"/>
                    <w:bottom w:val="single" w:color="auto" w:sz="4" w:space="0"/>
                    <w:right w:val="single" w:color="auto" w:sz="4" w:space="0"/>
                  </w:tcBorders>
                  <w:vAlign w:val="center"/>
                </w:tcPr>
                <w:p w14:paraId="4A42CB16">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lang w:bidi="ar"/>
                    </w:rPr>
                    <w:t>1.20</w:t>
                  </w:r>
                </w:p>
              </w:tc>
            </w:tr>
            <w:tr w14:paraId="18A7A1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1634" w:type="dxa"/>
                  <w:vMerge w:val="continue"/>
                  <w:tcBorders>
                    <w:top w:val="nil"/>
                    <w:left w:val="single" w:color="auto" w:sz="4" w:space="0"/>
                    <w:bottom w:val="single" w:color="auto" w:sz="4" w:space="0"/>
                    <w:right w:val="single" w:color="auto" w:sz="4" w:space="0"/>
                  </w:tcBorders>
                  <w:vAlign w:val="center"/>
                </w:tcPr>
                <w:p w14:paraId="6806BA7D">
                  <w:pPr>
                    <w:keepNext w:val="0"/>
                    <w:keepLines w:val="0"/>
                    <w:suppressLineNumbers w:val="0"/>
                    <w:spacing w:before="0" w:beforeAutospacing="0" w:after="0" w:afterAutospacing="0"/>
                    <w:ind w:left="0" w:right="0"/>
                    <w:rPr>
                      <w:rFonts w:hint="default" w:ascii="Times New Roman" w:hAnsi="Times New Roman" w:cs="Times New Roman"/>
                      <w:color w:val="auto"/>
                      <w:sz w:val="20"/>
                      <w:szCs w:val="20"/>
                    </w:rPr>
                  </w:pPr>
                </w:p>
              </w:tc>
              <w:tc>
                <w:tcPr>
                  <w:tcW w:w="1188" w:type="dxa"/>
                  <w:tcBorders>
                    <w:top w:val="single" w:color="auto" w:sz="4" w:space="0"/>
                    <w:left w:val="single" w:color="auto" w:sz="4" w:space="0"/>
                    <w:bottom w:val="single" w:color="auto" w:sz="4" w:space="0"/>
                    <w:right w:val="single" w:color="auto" w:sz="4" w:space="0"/>
                  </w:tcBorders>
                  <w:vAlign w:val="center"/>
                </w:tcPr>
                <w:p w14:paraId="652D472B">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r>
                    <w:rPr>
                      <w:rFonts w:hint="eastAsia" w:ascii="宋体" w:hAnsi="宋体" w:eastAsia="宋体" w:cs="宋体"/>
                      <w:color w:val="auto"/>
                      <w:szCs w:val="21"/>
                      <w:lang w:bidi="ar"/>
                    </w:rPr>
                    <w:t>排放速率</w:t>
                  </w:r>
                </w:p>
              </w:tc>
              <w:tc>
                <w:tcPr>
                  <w:tcW w:w="936" w:type="dxa"/>
                  <w:tcBorders>
                    <w:top w:val="single" w:color="auto" w:sz="4" w:space="0"/>
                    <w:left w:val="single" w:color="auto" w:sz="4" w:space="0"/>
                    <w:bottom w:val="single" w:color="auto" w:sz="4" w:space="0"/>
                    <w:right w:val="single" w:color="auto" w:sz="4" w:space="0"/>
                  </w:tcBorders>
                  <w:vAlign w:val="center"/>
                </w:tcPr>
                <w:p w14:paraId="15101CD5">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lang w:bidi="ar"/>
                    </w:rPr>
                    <w:t>kg/h</w:t>
                  </w:r>
                </w:p>
              </w:tc>
              <w:tc>
                <w:tcPr>
                  <w:tcW w:w="1778" w:type="dxa"/>
                  <w:tcBorders>
                    <w:top w:val="single" w:color="auto" w:sz="4" w:space="0"/>
                    <w:left w:val="single" w:color="auto" w:sz="4" w:space="0"/>
                    <w:bottom w:val="single" w:color="auto" w:sz="4" w:space="0"/>
                    <w:right w:val="single" w:color="auto" w:sz="4" w:space="0"/>
                  </w:tcBorders>
                  <w:vAlign w:val="center"/>
                </w:tcPr>
                <w:p w14:paraId="262ED38C">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lang w:bidi="ar"/>
                    </w:rPr>
                    <w:t>4.63×10</w:t>
                  </w:r>
                  <w:r>
                    <w:rPr>
                      <w:rFonts w:hint="default" w:ascii="Times New Roman" w:hAnsi="Times New Roman" w:eastAsia="宋体" w:cs="Times New Roman"/>
                      <w:color w:val="auto"/>
                      <w:szCs w:val="21"/>
                      <w:vertAlign w:val="superscript"/>
                      <w:lang w:bidi="ar"/>
                    </w:rPr>
                    <w:t>-</w:t>
                  </w:r>
                  <w:r>
                    <w:rPr>
                      <w:rFonts w:hint="default" w:ascii="Times New Roman" w:hAnsi="Times New Roman" w:eastAsia="宋体" w:cs="Times New Roman"/>
                      <w:color w:val="auto"/>
                      <w:szCs w:val="21"/>
                      <w:lang w:bidi="ar"/>
                    </w:rPr>
                    <w:t>²</w:t>
                  </w:r>
                </w:p>
              </w:tc>
              <w:tc>
                <w:tcPr>
                  <w:tcW w:w="1891" w:type="dxa"/>
                  <w:tcBorders>
                    <w:top w:val="single" w:color="auto" w:sz="4" w:space="0"/>
                    <w:left w:val="single" w:color="auto" w:sz="4" w:space="0"/>
                    <w:bottom w:val="single" w:color="auto" w:sz="4" w:space="0"/>
                    <w:right w:val="single" w:color="auto" w:sz="4" w:space="0"/>
                  </w:tcBorders>
                  <w:vAlign w:val="center"/>
                </w:tcPr>
                <w:p w14:paraId="6D76763A">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lang w:bidi="ar"/>
                    </w:rPr>
                    <w:t>4.59×10</w:t>
                  </w:r>
                  <w:r>
                    <w:rPr>
                      <w:rFonts w:hint="default" w:ascii="Times New Roman" w:hAnsi="Times New Roman" w:eastAsia="宋体" w:cs="Times New Roman"/>
                      <w:color w:val="auto"/>
                      <w:szCs w:val="21"/>
                      <w:vertAlign w:val="superscript"/>
                      <w:lang w:bidi="ar"/>
                    </w:rPr>
                    <w:t>-</w:t>
                  </w:r>
                  <w:r>
                    <w:rPr>
                      <w:rFonts w:hint="default" w:ascii="Times New Roman" w:hAnsi="Times New Roman" w:eastAsia="宋体" w:cs="Times New Roman"/>
                      <w:color w:val="auto"/>
                      <w:szCs w:val="21"/>
                      <w:lang w:bidi="ar"/>
                    </w:rPr>
                    <w:t>²</w:t>
                  </w:r>
                </w:p>
              </w:tc>
              <w:tc>
                <w:tcPr>
                  <w:tcW w:w="1895" w:type="dxa"/>
                  <w:tcBorders>
                    <w:top w:val="single" w:color="auto" w:sz="4" w:space="0"/>
                    <w:left w:val="single" w:color="auto" w:sz="4" w:space="0"/>
                    <w:bottom w:val="single" w:color="auto" w:sz="4" w:space="0"/>
                    <w:right w:val="single" w:color="auto" w:sz="4" w:space="0"/>
                  </w:tcBorders>
                  <w:vAlign w:val="center"/>
                </w:tcPr>
                <w:p w14:paraId="74A27D23">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lang w:bidi="ar"/>
                    </w:rPr>
                    <w:t>4.67×10</w:t>
                  </w:r>
                  <w:r>
                    <w:rPr>
                      <w:rFonts w:hint="default" w:ascii="Times New Roman" w:hAnsi="Times New Roman" w:eastAsia="宋体" w:cs="Times New Roman"/>
                      <w:color w:val="auto"/>
                      <w:szCs w:val="21"/>
                      <w:vertAlign w:val="superscript"/>
                      <w:lang w:bidi="ar"/>
                    </w:rPr>
                    <w:t>-</w:t>
                  </w:r>
                  <w:r>
                    <w:rPr>
                      <w:rFonts w:hint="default" w:ascii="Times New Roman" w:hAnsi="Times New Roman" w:eastAsia="宋体" w:cs="Times New Roman"/>
                      <w:color w:val="auto"/>
                      <w:szCs w:val="21"/>
                      <w:lang w:bidi="ar"/>
                    </w:rPr>
                    <w:t>²</w:t>
                  </w:r>
                </w:p>
              </w:tc>
            </w:tr>
            <w:tr w14:paraId="78D601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1634" w:type="dxa"/>
                  <w:vMerge w:val="restart"/>
                  <w:tcBorders>
                    <w:top w:val="nil"/>
                    <w:left w:val="single" w:color="auto" w:sz="4" w:space="0"/>
                    <w:bottom w:val="single" w:color="auto" w:sz="4" w:space="0"/>
                    <w:right w:val="single" w:color="auto" w:sz="4" w:space="0"/>
                  </w:tcBorders>
                  <w:vAlign w:val="center"/>
                </w:tcPr>
                <w:p w14:paraId="71EA7F3D">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r>
                    <w:rPr>
                      <w:rFonts w:hint="eastAsia" w:ascii="宋体" w:hAnsi="宋体" w:eastAsia="宋体" w:cs="宋体"/>
                      <w:color w:val="auto"/>
                      <w:szCs w:val="21"/>
                      <w:lang w:bidi="ar"/>
                    </w:rPr>
                    <w:t>臭气浓度</w:t>
                  </w:r>
                </w:p>
              </w:tc>
              <w:tc>
                <w:tcPr>
                  <w:tcW w:w="1188" w:type="dxa"/>
                  <w:tcBorders>
                    <w:top w:val="single" w:color="auto" w:sz="4" w:space="0"/>
                    <w:left w:val="single" w:color="auto" w:sz="4" w:space="0"/>
                    <w:bottom w:val="single" w:color="auto" w:sz="4" w:space="0"/>
                    <w:right w:val="single" w:color="auto" w:sz="4" w:space="0"/>
                  </w:tcBorders>
                  <w:vAlign w:val="center"/>
                </w:tcPr>
                <w:p w14:paraId="4C2030A9">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r>
                    <w:rPr>
                      <w:rFonts w:hint="eastAsia" w:ascii="宋体" w:hAnsi="宋体" w:eastAsia="宋体" w:cs="宋体"/>
                      <w:color w:val="auto"/>
                      <w:szCs w:val="21"/>
                      <w:lang w:bidi="ar"/>
                    </w:rPr>
                    <w:t>样品编号</w:t>
                  </w:r>
                </w:p>
              </w:tc>
              <w:tc>
                <w:tcPr>
                  <w:tcW w:w="936" w:type="dxa"/>
                  <w:tcBorders>
                    <w:top w:val="single" w:color="auto" w:sz="4" w:space="0"/>
                    <w:left w:val="single" w:color="auto" w:sz="4" w:space="0"/>
                    <w:bottom w:val="single" w:color="auto" w:sz="4" w:space="0"/>
                    <w:right w:val="single" w:color="auto" w:sz="4" w:space="0"/>
                  </w:tcBorders>
                  <w:vAlign w:val="center"/>
                </w:tcPr>
                <w:p w14:paraId="09F793A5">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lang w:bidi="ar"/>
                    </w:rPr>
                    <w:t>/</w:t>
                  </w:r>
                </w:p>
              </w:tc>
              <w:tc>
                <w:tcPr>
                  <w:tcW w:w="1778" w:type="dxa"/>
                  <w:tcBorders>
                    <w:top w:val="single" w:color="auto" w:sz="4" w:space="0"/>
                    <w:left w:val="single" w:color="auto" w:sz="4" w:space="0"/>
                    <w:bottom w:val="single" w:color="auto" w:sz="4" w:space="0"/>
                    <w:right w:val="single" w:color="auto" w:sz="4" w:space="0"/>
                  </w:tcBorders>
                  <w:vAlign w:val="center"/>
                </w:tcPr>
                <w:p w14:paraId="79E7E905">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r>
                    <w:rPr>
                      <w:rFonts w:hint="eastAsia" w:ascii="宋体" w:hAnsi="宋体" w:eastAsia="宋体" w:cs="宋体"/>
                      <w:color w:val="auto"/>
                      <w:szCs w:val="21"/>
                      <w:lang w:bidi="ar"/>
                    </w:rPr>
                    <w:t>气</w:t>
                  </w:r>
                  <w:r>
                    <w:rPr>
                      <w:rFonts w:hint="default" w:ascii="Times New Roman" w:hAnsi="Times New Roman" w:eastAsia="宋体" w:cs="Times New Roman"/>
                      <w:color w:val="auto"/>
                      <w:szCs w:val="21"/>
                      <w:lang w:bidi="ar"/>
                    </w:rPr>
                    <w:t>251120165</w:t>
                  </w:r>
                </w:p>
              </w:tc>
              <w:tc>
                <w:tcPr>
                  <w:tcW w:w="1891" w:type="dxa"/>
                  <w:tcBorders>
                    <w:top w:val="single" w:color="auto" w:sz="4" w:space="0"/>
                    <w:left w:val="single" w:color="auto" w:sz="4" w:space="0"/>
                    <w:bottom w:val="single" w:color="auto" w:sz="4" w:space="0"/>
                    <w:right w:val="single" w:color="auto" w:sz="4" w:space="0"/>
                  </w:tcBorders>
                  <w:vAlign w:val="center"/>
                </w:tcPr>
                <w:p w14:paraId="50E35AFA">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r>
                    <w:rPr>
                      <w:rFonts w:hint="eastAsia" w:ascii="宋体" w:hAnsi="宋体" w:eastAsia="宋体" w:cs="宋体"/>
                      <w:color w:val="auto"/>
                      <w:szCs w:val="21"/>
                      <w:lang w:bidi="ar"/>
                    </w:rPr>
                    <w:t>气</w:t>
                  </w:r>
                  <w:r>
                    <w:rPr>
                      <w:rFonts w:hint="default" w:ascii="Times New Roman" w:hAnsi="Times New Roman" w:eastAsia="宋体" w:cs="Times New Roman"/>
                      <w:color w:val="auto"/>
                      <w:szCs w:val="21"/>
                      <w:lang w:bidi="ar"/>
                    </w:rPr>
                    <w:t>251120166</w:t>
                  </w:r>
                </w:p>
              </w:tc>
              <w:tc>
                <w:tcPr>
                  <w:tcW w:w="1895" w:type="dxa"/>
                  <w:tcBorders>
                    <w:top w:val="single" w:color="auto" w:sz="4" w:space="0"/>
                    <w:left w:val="single" w:color="auto" w:sz="4" w:space="0"/>
                    <w:bottom w:val="single" w:color="auto" w:sz="4" w:space="0"/>
                    <w:right w:val="single" w:color="auto" w:sz="4" w:space="0"/>
                  </w:tcBorders>
                  <w:vAlign w:val="center"/>
                </w:tcPr>
                <w:p w14:paraId="3D2613E5">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r>
                    <w:rPr>
                      <w:rFonts w:hint="eastAsia" w:ascii="宋体" w:hAnsi="宋体" w:eastAsia="宋体" w:cs="宋体"/>
                      <w:color w:val="auto"/>
                      <w:szCs w:val="21"/>
                      <w:lang w:bidi="ar"/>
                    </w:rPr>
                    <w:t>气</w:t>
                  </w:r>
                  <w:r>
                    <w:rPr>
                      <w:rFonts w:hint="default" w:ascii="Times New Roman" w:hAnsi="Times New Roman" w:eastAsia="宋体" w:cs="Times New Roman"/>
                      <w:color w:val="auto"/>
                      <w:szCs w:val="21"/>
                      <w:lang w:bidi="ar"/>
                    </w:rPr>
                    <w:t>251120167</w:t>
                  </w:r>
                </w:p>
              </w:tc>
            </w:tr>
            <w:tr w14:paraId="04CEC1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1634" w:type="dxa"/>
                  <w:vMerge w:val="continue"/>
                  <w:tcBorders>
                    <w:top w:val="nil"/>
                    <w:left w:val="single" w:color="auto" w:sz="4" w:space="0"/>
                    <w:bottom w:val="single" w:color="auto" w:sz="4" w:space="0"/>
                    <w:right w:val="single" w:color="auto" w:sz="4" w:space="0"/>
                  </w:tcBorders>
                  <w:vAlign w:val="center"/>
                </w:tcPr>
                <w:p w14:paraId="44FD8B6B">
                  <w:pPr>
                    <w:keepNext w:val="0"/>
                    <w:keepLines w:val="0"/>
                    <w:suppressLineNumbers w:val="0"/>
                    <w:spacing w:before="0" w:beforeAutospacing="0" w:after="0" w:afterAutospacing="0"/>
                    <w:ind w:left="0" w:right="0"/>
                    <w:rPr>
                      <w:rFonts w:hint="default" w:ascii="Times New Roman" w:hAnsi="Times New Roman" w:cs="Times New Roman"/>
                      <w:color w:val="auto"/>
                      <w:sz w:val="20"/>
                      <w:szCs w:val="20"/>
                    </w:rPr>
                  </w:pPr>
                </w:p>
              </w:tc>
              <w:tc>
                <w:tcPr>
                  <w:tcW w:w="1188" w:type="dxa"/>
                  <w:tcBorders>
                    <w:top w:val="single" w:color="auto" w:sz="4" w:space="0"/>
                    <w:left w:val="single" w:color="auto" w:sz="4" w:space="0"/>
                    <w:bottom w:val="single" w:color="auto" w:sz="4" w:space="0"/>
                    <w:right w:val="single" w:color="auto" w:sz="4" w:space="0"/>
                  </w:tcBorders>
                  <w:vAlign w:val="center"/>
                </w:tcPr>
                <w:p w14:paraId="4DDA5F9D">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r>
                    <w:rPr>
                      <w:rFonts w:hint="eastAsia" w:ascii="宋体" w:hAnsi="宋体" w:eastAsia="宋体" w:cs="宋体"/>
                      <w:color w:val="auto"/>
                      <w:szCs w:val="21"/>
                      <w:lang w:bidi="ar"/>
                    </w:rPr>
                    <w:t>排放浓度</w:t>
                  </w:r>
                </w:p>
              </w:tc>
              <w:tc>
                <w:tcPr>
                  <w:tcW w:w="936" w:type="dxa"/>
                  <w:tcBorders>
                    <w:top w:val="single" w:color="auto" w:sz="4" w:space="0"/>
                    <w:left w:val="single" w:color="auto" w:sz="4" w:space="0"/>
                    <w:bottom w:val="single" w:color="auto" w:sz="4" w:space="0"/>
                    <w:right w:val="single" w:color="auto" w:sz="4" w:space="0"/>
                  </w:tcBorders>
                  <w:vAlign w:val="center"/>
                </w:tcPr>
                <w:p w14:paraId="4D92D869">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r>
                    <w:rPr>
                      <w:rFonts w:hint="eastAsia" w:ascii="宋体" w:hAnsi="宋体" w:eastAsia="宋体" w:cs="宋体"/>
                      <w:color w:val="auto"/>
                      <w:szCs w:val="21"/>
                      <w:lang w:bidi="ar"/>
                    </w:rPr>
                    <w:t>无量纲</w:t>
                  </w:r>
                </w:p>
              </w:tc>
              <w:tc>
                <w:tcPr>
                  <w:tcW w:w="1778" w:type="dxa"/>
                  <w:tcBorders>
                    <w:top w:val="single" w:color="auto" w:sz="4" w:space="0"/>
                    <w:left w:val="single" w:color="auto" w:sz="4" w:space="0"/>
                    <w:bottom w:val="single" w:color="auto" w:sz="4" w:space="0"/>
                    <w:right w:val="single" w:color="auto" w:sz="4" w:space="0"/>
                  </w:tcBorders>
                  <w:vAlign w:val="center"/>
                </w:tcPr>
                <w:p w14:paraId="15850DD6">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lang w:bidi="ar"/>
                    </w:rPr>
                    <w:t>269</w:t>
                  </w:r>
                </w:p>
              </w:tc>
              <w:tc>
                <w:tcPr>
                  <w:tcW w:w="1891" w:type="dxa"/>
                  <w:tcBorders>
                    <w:top w:val="single" w:color="auto" w:sz="4" w:space="0"/>
                    <w:left w:val="single" w:color="auto" w:sz="4" w:space="0"/>
                    <w:bottom w:val="single" w:color="auto" w:sz="4" w:space="0"/>
                    <w:right w:val="single" w:color="auto" w:sz="4" w:space="0"/>
                  </w:tcBorders>
                  <w:vAlign w:val="center"/>
                </w:tcPr>
                <w:p w14:paraId="2C708E7B">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lang w:bidi="ar"/>
                    </w:rPr>
                    <w:t>269</w:t>
                  </w:r>
                </w:p>
              </w:tc>
              <w:tc>
                <w:tcPr>
                  <w:tcW w:w="1895" w:type="dxa"/>
                  <w:tcBorders>
                    <w:top w:val="single" w:color="auto" w:sz="4" w:space="0"/>
                    <w:left w:val="single" w:color="auto" w:sz="4" w:space="0"/>
                    <w:bottom w:val="single" w:color="auto" w:sz="4" w:space="0"/>
                    <w:right w:val="single" w:color="auto" w:sz="4" w:space="0"/>
                  </w:tcBorders>
                  <w:vAlign w:val="center"/>
                </w:tcPr>
                <w:p w14:paraId="7516BFF3">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lang w:bidi="ar"/>
                    </w:rPr>
                    <w:t>269</w:t>
                  </w:r>
                </w:p>
              </w:tc>
            </w:tr>
            <w:tr w14:paraId="6C5031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9322" w:type="dxa"/>
                  <w:gridSpan w:val="6"/>
                  <w:tcBorders>
                    <w:top w:val="single" w:color="auto" w:sz="4" w:space="0"/>
                    <w:left w:val="single" w:color="auto" w:sz="4" w:space="0"/>
                    <w:bottom w:val="single" w:color="auto" w:sz="4" w:space="0"/>
                    <w:right w:val="single" w:color="auto" w:sz="4" w:space="0"/>
                  </w:tcBorders>
                  <w:vAlign w:val="center"/>
                </w:tcPr>
                <w:p w14:paraId="0AD36ED9">
                  <w:pPr>
                    <w:keepNext w:val="0"/>
                    <w:keepLines w:val="0"/>
                    <w:suppressLineNumbers w:val="0"/>
                    <w:spacing w:before="0" w:beforeAutospacing="0" w:after="0" w:afterAutospacing="0"/>
                    <w:ind w:left="0" w:right="0"/>
                    <w:jc w:val="left"/>
                    <w:rPr>
                      <w:rFonts w:hint="default" w:ascii="Times New Roman" w:hAnsi="Times New Roman" w:eastAsia="宋体" w:cs="Times New Roman"/>
                      <w:color w:val="auto"/>
                      <w:szCs w:val="21"/>
                    </w:rPr>
                  </w:pPr>
                  <w:r>
                    <w:rPr>
                      <w:rFonts w:hint="eastAsia" w:ascii="宋体" w:hAnsi="宋体" w:eastAsia="宋体" w:cs="宋体"/>
                      <w:color w:val="auto"/>
                      <w:szCs w:val="21"/>
                      <w:lang w:bidi="ar"/>
                    </w:rPr>
                    <w:t>采样点位：</w:t>
                  </w:r>
                  <w:r>
                    <w:rPr>
                      <w:rFonts w:hint="default" w:ascii="Times New Roman" w:hAnsi="Times New Roman" w:eastAsia="宋体" w:cs="Times New Roman"/>
                      <w:color w:val="auto"/>
                      <w:szCs w:val="21"/>
                      <w:u w:val="single"/>
                      <w:lang w:bidi="ar"/>
                    </w:rPr>
                    <w:t xml:space="preserve">   DA003</w:t>
                  </w:r>
                  <w:r>
                    <w:rPr>
                      <w:rFonts w:hint="eastAsia" w:ascii="宋体" w:hAnsi="宋体" w:eastAsia="宋体" w:cs="宋体"/>
                      <w:color w:val="auto"/>
                      <w:szCs w:val="21"/>
                      <w:u w:val="single"/>
                      <w:lang w:bidi="ar"/>
                    </w:rPr>
                    <w:t xml:space="preserve">挥发废气处理设施进口   </w:t>
                  </w:r>
                  <w:r>
                    <w:rPr>
                      <w:rFonts w:hint="eastAsia" w:ascii="宋体" w:hAnsi="宋体" w:eastAsia="宋体" w:cs="宋体"/>
                      <w:color w:val="auto"/>
                      <w:szCs w:val="21"/>
                      <w:lang w:bidi="ar"/>
                    </w:rPr>
                    <w:t>采样日期：</w:t>
                  </w:r>
                  <w:r>
                    <w:rPr>
                      <w:rFonts w:hint="default" w:ascii="Times New Roman" w:hAnsi="Times New Roman" w:eastAsia="宋体" w:cs="Times New Roman"/>
                      <w:color w:val="auto"/>
                      <w:szCs w:val="21"/>
                      <w:u w:val="single"/>
                      <w:lang w:bidi="ar"/>
                    </w:rPr>
                    <w:t xml:space="preserve">   2025.11.21   </w:t>
                  </w:r>
                </w:p>
              </w:tc>
            </w:tr>
            <w:tr w14:paraId="1A931F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2822" w:type="dxa"/>
                  <w:gridSpan w:val="2"/>
                  <w:tcBorders>
                    <w:top w:val="single" w:color="auto" w:sz="4" w:space="0"/>
                    <w:left w:val="single" w:color="auto" w:sz="4" w:space="0"/>
                    <w:bottom w:val="single" w:color="auto" w:sz="4" w:space="0"/>
                    <w:right w:val="single" w:color="auto" w:sz="4" w:space="0"/>
                  </w:tcBorders>
                  <w:vAlign w:val="center"/>
                </w:tcPr>
                <w:p w14:paraId="5B7D7953">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r>
                    <w:rPr>
                      <w:rFonts w:hint="eastAsia" w:ascii="宋体" w:hAnsi="宋体" w:eastAsia="宋体" w:cs="宋体"/>
                      <w:color w:val="auto"/>
                      <w:szCs w:val="21"/>
                      <w:lang w:bidi="ar"/>
                    </w:rPr>
                    <w:t>检测项目</w:t>
                  </w:r>
                </w:p>
              </w:tc>
              <w:tc>
                <w:tcPr>
                  <w:tcW w:w="936" w:type="dxa"/>
                  <w:tcBorders>
                    <w:top w:val="single" w:color="auto" w:sz="4" w:space="0"/>
                    <w:left w:val="single" w:color="auto" w:sz="4" w:space="0"/>
                    <w:bottom w:val="single" w:color="auto" w:sz="4" w:space="0"/>
                    <w:right w:val="single" w:color="auto" w:sz="4" w:space="0"/>
                  </w:tcBorders>
                  <w:vAlign w:val="center"/>
                </w:tcPr>
                <w:p w14:paraId="77A45DB5">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r>
                    <w:rPr>
                      <w:rFonts w:hint="eastAsia" w:ascii="宋体" w:hAnsi="宋体" w:eastAsia="宋体" w:cs="宋体"/>
                      <w:color w:val="auto"/>
                      <w:szCs w:val="21"/>
                      <w:lang w:bidi="ar"/>
                    </w:rPr>
                    <w:t>单位</w:t>
                  </w:r>
                </w:p>
              </w:tc>
              <w:tc>
                <w:tcPr>
                  <w:tcW w:w="5564" w:type="dxa"/>
                  <w:gridSpan w:val="3"/>
                  <w:tcBorders>
                    <w:top w:val="single" w:color="auto" w:sz="4" w:space="0"/>
                    <w:left w:val="single" w:color="auto" w:sz="4" w:space="0"/>
                    <w:bottom w:val="single" w:color="auto" w:sz="4" w:space="0"/>
                    <w:right w:val="single" w:color="auto" w:sz="4" w:space="0"/>
                  </w:tcBorders>
                  <w:vAlign w:val="center"/>
                </w:tcPr>
                <w:p w14:paraId="77ABF2EB">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r>
                    <w:rPr>
                      <w:rFonts w:hint="eastAsia" w:ascii="宋体" w:hAnsi="宋体" w:eastAsia="宋体" w:cs="宋体"/>
                      <w:color w:val="auto"/>
                      <w:szCs w:val="21"/>
                      <w:lang w:bidi="ar"/>
                    </w:rPr>
                    <w:t>检测结果</w:t>
                  </w:r>
                </w:p>
              </w:tc>
            </w:tr>
            <w:tr w14:paraId="36F8FE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2822" w:type="dxa"/>
                  <w:gridSpan w:val="2"/>
                  <w:tcBorders>
                    <w:top w:val="single" w:color="auto" w:sz="4" w:space="0"/>
                    <w:left w:val="single" w:color="auto" w:sz="4" w:space="0"/>
                    <w:bottom w:val="single" w:color="auto" w:sz="4" w:space="0"/>
                    <w:right w:val="single" w:color="auto" w:sz="4" w:space="0"/>
                  </w:tcBorders>
                  <w:vAlign w:val="center"/>
                </w:tcPr>
                <w:p w14:paraId="192B59C6">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r>
                    <w:rPr>
                      <w:rFonts w:hint="eastAsia" w:ascii="宋体" w:hAnsi="宋体" w:eastAsia="宋体" w:cs="宋体"/>
                      <w:color w:val="auto"/>
                      <w:szCs w:val="21"/>
                      <w:lang w:bidi="ar"/>
                    </w:rPr>
                    <w:t>检测管道截面积</w:t>
                  </w:r>
                </w:p>
              </w:tc>
              <w:tc>
                <w:tcPr>
                  <w:tcW w:w="936" w:type="dxa"/>
                  <w:tcBorders>
                    <w:top w:val="single" w:color="auto" w:sz="4" w:space="0"/>
                    <w:left w:val="single" w:color="auto" w:sz="4" w:space="0"/>
                    <w:bottom w:val="single" w:color="auto" w:sz="4" w:space="0"/>
                    <w:right w:val="single" w:color="auto" w:sz="4" w:space="0"/>
                  </w:tcBorders>
                  <w:vAlign w:val="center"/>
                </w:tcPr>
                <w:p w14:paraId="2F1FBB3A">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lang w:bidi="ar"/>
                    </w:rPr>
                    <w:t>m²</w:t>
                  </w:r>
                </w:p>
              </w:tc>
              <w:tc>
                <w:tcPr>
                  <w:tcW w:w="1778" w:type="dxa"/>
                  <w:tcBorders>
                    <w:top w:val="single" w:color="auto" w:sz="4" w:space="0"/>
                    <w:left w:val="single" w:color="auto" w:sz="4" w:space="0"/>
                    <w:bottom w:val="single" w:color="auto" w:sz="4" w:space="0"/>
                    <w:right w:val="single" w:color="auto" w:sz="4" w:space="0"/>
                  </w:tcBorders>
                  <w:vAlign w:val="center"/>
                </w:tcPr>
                <w:p w14:paraId="6F5E5FAF">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lang w:bidi="ar"/>
                    </w:rPr>
                    <w:t>1.1310</w:t>
                  </w:r>
                </w:p>
              </w:tc>
              <w:tc>
                <w:tcPr>
                  <w:tcW w:w="1891" w:type="dxa"/>
                  <w:tcBorders>
                    <w:top w:val="single" w:color="auto" w:sz="4" w:space="0"/>
                    <w:left w:val="single" w:color="auto" w:sz="4" w:space="0"/>
                    <w:bottom w:val="single" w:color="auto" w:sz="4" w:space="0"/>
                    <w:right w:val="single" w:color="auto" w:sz="4" w:space="0"/>
                  </w:tcBorders>
                  <w:vAlign w:val="center"/>
                </w:tcPr>
                <w:p w14:paraId="12899E95">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lang w:bidi="ar"/>
                    </w:rPr>
                    <w:t>1.1310</w:t>
                  </w:r>
                </w:p>
              </w:tc>
              <w:tc>
                <w:tcPr>
                  <w:tcW w:w="1895" w:type="dxa"/>
                  <w:tcBorders>
                    <w:top w:val="single" w:color="auto" w:sz="4" w:space="0"/>
                    <w:left w:val="single" w:color="auto" w:sz="4" w:space="0"/>
                    <w:bottom w:val="single" w:color="auto" w:sz="4" w:space="0"/>
                    <w:right w:val="single" w:color="auto" w:sz="4" w:space="0"/>
                  </w:tcBorders>
                  <w:vAlign w:val="center"/>
                </w:tcPr>
                <w:p w14:paraId="44958415">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lang w:bidi="ar"/>
                    </w:rPr>
                    <w:t>1.1310</w:t>
                  </w:r>
                </w:p>
              </w:tc>
            </w:tr>
            <w:tr w14:paraId="2DE3A5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2822" w:type="dxa"/>
                  <w:gridSpan w:val="2"/>
                  <w:tcBorders>
                    <w:top w:val="single" w:color="auto" w:sz="4" w:space="0"/>
                    <w:left w:val="single" w:color="auto" w:sz="4" w:space="0"/>
                    <w:bottom w:val="single" w:color="auto" w:sz="4" w:space="0"/>
                    <w:right w:val="single" w:color="auto" w:sz="4" w:space="0"/>
                  </w:tcBorders>
                  <w:vAlign w:val="center"/>
                </w:tcPr>
                <w:p w14:paraId="093C21C7">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r>
                    <w:rPr>
                      <w:rFonts w:hint="eastAsia" w:ascii="宋体" w:hAnsi="宋体" w:eastAsia="宋体" w:cs="宋体"/>
                      <w:color w:val="auto"/>
                      <w:szCs w:val="21"/>
                      <w:lang w:bidi="ar"/>
                    </w:rPr>
                    <w:t>烟气温度</w:t>
                  </w:r>
                </w:p>
              </w:tc>
              <w:tc>
                <w:tcPr>
                  <w:tcW w:w="936" w:type="dxa"/>
                  <w:tcBorders>
                    <w:top w:val="single" w:color="auto" w:sz="4" w:space="0"/>
                    <w:left w:val="single" w:color="auto" w:sz="4" w:space="0"/>
                    <w:bottom w:val="single" w:color="auto" w:sz="4" w:space="0"/>
                    <w:right w:val="single" w:color="auto" w:sz="4" w:space="0"/>
                  </w:tcBorders>
                  <w:vAlign w:val="center"/>
                </w:tcPr>
                <w:p w14:paraId="62E87475">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lang w:bidi="ar"/>
                    </w:rPr>
                    <w:t>℃</w:t>
                  </w:r>
                </w:p>
              </w:tc>
              <w:tc>
                <w:tcPr>
                  <w:tcW w:w="1778" w:type="dxa"/>
                  <w:tcBorders>
                    <w:top w:val="single" w:color="auto" w:sz="4" w:space="0"/>
                    <w:left w:val="single" w:color="auto" w:sz="4" w:space="0"/>
                    <w:bottom w:val="single" w:color="auto" w:sz="4" w:space="0"/>
                    <w:right w:val="single" w:color="auto" w:sz="4" w:space="0"/>
                  </w:tcBorders>
                  <w:vAlign w:val="center"/>
                </w:tcPr>
                <w:p w14:paraId="0AC889F1">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lang w:bidi="ar"/>
                    </w:rPr>
                    <w:t>69.0</w:t>
                  </w:r>
                </w:p>
              </w:tc>
              <w:tc>
                <w:tcPr>
                  <w:tcW w:w="1891" w:type="dxa"/>
                  <w:tcBorders>
                    <w:top w:val="single" w:color="auto" w:sz="4" w:space="0"/>
                    <w:left w:val="single" w:color="auto" w:sz="4" w:space="0"/>
                    <w:bottom w:val="single" w:color="auto" w:sz="4" w:space="0"/>
                    <w:right w:val="single" w:color="auto" w:sz="4" w:space="0"/>
                  </w:tcBorders>
                  <w:vAlign w:val="center"/>
                </w:tcPr>
                <w:p w14:paraId="4A60A96F">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lang w:bidi="ar"/>
                    </w:rPr>
                    <w:t>69.2</w:t>
                  </w:r>
                </w:p>
              </w:tc>
              <w:tc>
                <w:tcPr>
                  <w:tcW w:w="1895" w:type="dxa"/>
                  <w:tcBorders>
                    <w:top w:val="single" w:color="auto" w:sz="4" w:space="0"/>
                    <w:left w:val="single" w:color="auto" w:sz="4" w:space="0"/>
                    <w:bottom w:val="single" w:color="auto" w:sz="4" w:space="0"/>
                    <w:right w:val="single" w:color="auto" w:sz="4" w:space="0"/>
                  </w:tcBorders>
                  <w:vAlign w:val="center"/>
                </w:tcPr>
                <w:p w14:paraId="7950DAB7">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lang w:bidi="ar"/>
                    </w:rPr>
                    <w:t>69.6</w:t>
                  </w:r>
                </w:p>
              </w:tc>
            </w:tr>
            <w:tr w14:paraId="5ACA84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2822" w:type="dxa"/>
                  <w:gridSpan w:val="2"/>
                  <w:tcBorders>
                    <w:top w:val="single" w:color="auto" w:sz="4" w:space="0"/>
                    <w:left w:val="single" w:color="auto" w:sz="4" w:space="0"/>
                    <w:bottom w:val="single" w:color="auto" w:sz="4" w:space="0"/>
                    <w:right w:val="single" w:color="auto" w:sz="4" w:space="0"/>
                  </w:tcBorders>
                  <w:vAlign w:val="center"/>
                </w:tcPr>
                <w:p w14:paraId="113FC642">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r>
                    <w:rPr>
                      <w:rFonts w:hint="eastAsia" w:ascii="宋体" w:hAnsi="宋体" w:eastAsia="宋体" w:cs="宋体"/>
                      <w:color w:val="auto"/>
                      <w:szCs w:val="21"/>
                      <w:lang w:bidi="ar"/>
                    </w:rPr>
                    <w:t>烟气平均流速</w:t>
                  </w:r>
                </w:p>
              </w:tc>
              <w:tc>
                <w:tcPr>
                  <w:tcW w:w="936" w:type="dxa"/>
                  <w:tcBorders>
                    <w:top w:val="single" w:color="auto" w:sz="4" w:space="0"/>
                    <w:left w:val="single" w:color="auto" w:sz="4" w:space="0"/>
                    <w:bottom w:val="single" w:color="auto" w:sz="4" w:space="0"/>
                    <w:right w:val="single" w:color="auto" w:sz="4" w:space="0"/>
                  </w:tcBorders>
                  <w:vAlign w:val="center"/>
                </w:tcPr>
                <w:p w14:paraId="56A57FFB">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lang w:bidi="ar"/>
                    </w:rPr>
                    <w:t>m/s</w:t>
                  </w:r>
                </w:p>
              </w:tc>
              <w:tc>
                <w:tcPr>
                  <w:tcW w:w="1778" w:type="dxa"/>
                  <w:tcBorders>
                    <w:top w:val="single" w:color="auto" w:sz="4" w:space="0"/>
                    <w:left w:val="single" w:color="auto" w:sz="4" w:space="0"/>
                    <w:bottom w:val="single" w:color="auto" w:sz="4" w:space="0"/>
                    <w:right w:val="single" w:color="auto" w:sz="4" w:space="0"/>
                  </w:tcBorders>
                  <w:vAlign w:val="center"/>
                </w:tcPr>
                <w:p w14:paraId="262BAE41">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lang w:bidi="ar"/>
                    </w:rPr>
                    <w:t>10.4</w:t>
                  </w:r>
                </w:p>
              </w:tc>
              <w:tc>
                <w:tcPr>
                  <w:tcW w:w="1891" w:type="dxa"/>
                  <w:tcBorders>
                    <w:top w:val="single" w:color="auto" w:sz="4" w:space="0"/>
                    <w:left w:val="single" w:color="auto" w:sz="4" w:space="0"/>
                    <w:bottom w:val="single" w:color="auto" w:sz="4" w:space="0"/>
                    <w:right w:val="single" w:color="auto" w:sz="4" w:space="0"/>
                  </w:tcBorders>
                  <w:vAlign w:val="center"/>
                </w:tcPr>
                <w:p w14:paraId="74C8C6EE">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lang w:bidi="ar"/>
                    </w:rPr>
                    <w:t>10.4</w:t>
                  </w:r>
                </w:p>
              </w:tc>
              <w:tc>
                <w:tcPr>
                  <w:tcW w:w="1895" w:type="dxa"/>
                  <w:tcBorders>
                    <w:top w:val="single" w:color="auto" w:sz="4" w:space="0"/>
                    <w:left w:val="single" w:color="auto" w:sz="4" w:space="0"/>
                    <w:bottom w:val="single" w:color="auto" w:sz="4" w:space="0"/>
                    <w:right w:val="single" w:color="auto" w:sz="4" w:space="0"/>
                  </w:tcBorders>
                  <w:vAlign w:val="center"/>
                </w:tcPr>
                <w:p w14:paraId="55849810">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lang w:bidi="ar"/>
                    </w:rPr>
                    <w:t>10.3</w:t>
                  </w:r>
                </w:p>
              </w:tc>
            </w:tr>
            <w:tr w14:paraId="7A8761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2822" w:type="dxa"/>
                  <w:gridSpan w:val="2"/>
                  <w:tcBorders>
                    <w:top w:val="single" w:color="auto" w:sz="4" w:space="0"/>
                    <w:left w:val="single" w:color="auto" w:sz="4" w:space="0"/>
                    <w:bottom w:val="single" w:color="auto" w:sz="4" w:space="0"/>
                    <w:right w:val="single" w:color="auto" w:sz="4" w:space="0"/>
                  </w:tcBorders>
                  <w:vAlign w:val="center"/>
                </w:tcPr>
                <w:p w14:paraId="264B7D19">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r>
                    <w:rPr>
                      <w:rFonts w:hint="eastAsia" w:ascii="宋体" w:hAnsi="宋体" w:eastAsia="宋体" w:cs="宋体"/>
                      <w:color w:val="auto"/>
                      <w:szCs w:val="21"/>
                      <w:lang w:bidi="ar"/>
                    </w:rPr>
                    <w:t>标态干烟气量</w:t>
                  </w:r>
                </w:p>
              </w:tc>
              <w:tc>
                <w:tcPr>
                  <w:tcW w:w="936" w:type="dxa"/>
                  <w:tcBorders>
                    <w:top w:val="single" w:color="auto" w:sz="4" w:space="0"/>
                    <w:left w:val="single" w:color="auto" w:sz="4" w:space="0"/>
                    <w:bottom w:val="single" w:color="auto" w:sz="4" w:space="0"/>
                    <w:right w:val="single" w:color="auto" w:sz="4" w:space="0"/>
                  </w:tcBorders>
                  <w:vAlign w:val="center"/>
                </w:tcPr>
                <w:p w14:paraId="390AEF31">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lang w:bidi="ar"/>
                    </w:rPr>
                    <w:t>m³/h</w:t>
                  </w:r>
                </w:p>
              </w:tc>
              <w:tc>
                <w:tcPr>
                  <w:tcW w:w="1778" w:type="dxa"/>
                  <w:tcBorders>
                    <w:top w:val="single" w:color="auto" w:sz="4" w:space="0"/>
                    <w:left w:val="single" w:color="auto" w:sz="4" w:space="0"/>
                    <w:bottom w:val="single" w:color="auto" w:sz="4" w:space="0"/>
                    <w:right w:val="single" w:color="auto" w:sz="4" w:space="0"/>
                  </w:tcBorders>
                  <w:vAlign w:val="center"/>
                </w:tcPr>
                <w:p w14:paraId="7386ECBC">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lang w:bidi="ar"/>
                    </w:rPr>
                    <w:t>33456</w:t>
                  </w:r>
                </w:p>
              </w:tc>
              <w:tc>
                <w:tcPr>
                  <w:tcW w:w="1891" w:type="dxa"/>
                  <w:tcBorders>
                    <w:top w:val="single" w:color="auto" w:sz="4" w:space="0"/>
                    <w:left w:val="single" w:color="auto" w:sz="4" w:space="0"/>
                    <w:bottom w:val="single" w:color="auto" w:sz="4" w:space="0"/>
                    <w:right w:val="single" w:color="auto" w:sz="4" w:space="0"/>
                  </w:tcBorders>
                  <w:vAlign w:val="center"/>
                </w:tcPr>
                <w:p w14:paraId="1A34E282">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lang w:bidi="ar"/>
                    </w:rPr>
                    <w:t>33438</w:t>
                  </w:r>
                </w:p>
              </w:tc>
              <w:tc>
                <w:tcPr>
                  <w:tcW w:w="1895" w:type="dxa"/>
                  <w:tcBorders>
                    <w:top w:val="single" w:color="auto" w:sz="4" w:space="0"/>
                    <w:left w:val="single" w:color="auto" w:sz="4" w:space="0"/>
                    <w:bottom w:val="single" w:color="auto" w:sz="4" w:space="0"/>
                    <w:right w:val="single" w:color="auto" w:sz="4" w:space="0"/>
                  </w:tcBorders>
                  <w:vAlign w:val="center"/>
                </w:tcPr>
                <w:p w14:paraId="79E25297">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lang w:bidi="ar"/>
                    </w:rPr>
                    <w:t>33081</w:t>
                  </w:r>
                </w:p>
              </w:tc>
            </w:tr>
            <w:tr w14:paraId="63BC9E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1634" w:type="dxa"/>
                  <w:vMerge w:val="restart"/>
                  <w:tcBorders>
                    <w:top w:val="nil"/>
                    <w:left w:val="single" w:color="auto" w:sz="4" w:space="0"/>
                    <w:bottom w:val="single" w:color="auto" w:sz="4" w:space="0"/>
                    <w:right w:val="single" w:color="auto" w:sz="4" w:space="0"/>
                  </w:tcBorders>
                  <w:vAlign w:val="center"/>
                </w:tcPr>
                <w:p w14:paraId="36C71FEC">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r>
                    <w:rPr>
                      <w:rFonts w:hint="eastAsia" w:ascii="宋体" w:hAnsi="宋体" w:eastAsia="宋体" w:cs="宋体"/>
                      <w:color w:val="auto"/>
                      <w:szCs w:val="21"/>
                      <w:lang w:bidi="ar"/>
                    </w:rPr>
                    <w:t>非甲烷总烃</w:t>
                  </w:r>
                </w:p>
              </w:tc>
              <w:tc>
                <w:tcPr>
                  <w:tcW w:w="1188" w:type="dxa"/>
                  <w:tcBorders>
                    <w:top w:val="single" w:color="auto" w:sz="4" w:space="0"/>
                    <w:left w:val="single" w:color="auto" w:sz="4" w:space="0"/>
                    <w:bottom w:val="single" w:color="auto" w:sz="4" w:space="0"/>
                    <w:right w:val="single" w:color="auto" w:sz="4" w:space="0"/>
                  </w:tcBorders>
                  <w:vAlign w:val="center"/>
                </w:tcPr>
                <w:p w14:paraId="102061B3">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r>
                    <w:rPr>
                      <w:rFonts w:hint="eastAsia" w:ascii="宋体" w:hAnsi="宋体" w:eastAsia="宋体" w:cs="宋体"/>
                      <w:color w:val="auto"/>
                      <w:szCs w:val="21"/>
                      <w:lang w:bidi="ar"/>
                    </w:rPr>
                    <w:t>样品编号</w:t>
                  </w:r>
                </w:p>
              </w:tc>
              <w:tc>
                <w:tcPr>
                  <w:tcW w:w="936" w:type="dxa"/>
                  <w:tcBorders>
                    <w:top w:val="single" w:color="auto" w:sz="4" w:space="0"/>
                    <w:left w:val="single" w:color="auto" w:sz="4" w:space="0"/>
                    <w:bottom w:val="single" w:color="auto" w:sz="4" w:space="0"/>
                    <w:right w:val="single" w:color="auto" w:sz="4" w:space="0"/>
                  </w:tcBorders>
                  <w:vAlign w:val="center"/>
                </w:tcPr>
                <w:p w14:paraId="4550D603">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lang w:bidi="ar"/>
                    </w:rPr>
                    <w:t>/</w:t>
                  </w:r>
                </w:p>
              </w:tc>
              <w:tc>
                <w:tcPr>
                  <w:tcW w:w="1778" w:type="dxa"/>
                  <w:tcBorders>
                    <w:top w:val="single" w:color="auto" w:sz="4" w:space="0"/>
                    <w:left w:val="single" w:color="auto" w:sz="4" w:space="0"/>
                    <w:bottom w:val="single" w:color="auto" w:sz="4" w:space="0"/>
                    <w:right w:val="single" w:color="auto" w:sz="4" w:space="0"/>
                  </w:tcBorders>
                  <w:vAlign w:val="center"/>
                </w:tcPr>
                <w:p w14:paraId="492EFD97">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r>
                    <w:rPr>
                      <w:rFonts w:hint="eastAsia" w:ascii="宋体" w:hAnsi="宋体" w:eastAsia="宋体" w:cs="宋体"/>
                      <w:color w:val="auto"/>
                      <w:szCs w:val="21"/>
                      <w:lang w:bidi="ar"/>
                    </w:rPr>
                    <w:t>气</w:t>
                  </w:r>
                  <w:r>
                    <w:rPr>
                      <w:rFonts w:hint="default" w:ascii="Times New Roman" w:hAnsi="Times New Roman" w:eastAsia="宋体" w:cs="Times New Roman"/>
                      <w:color w:val="auto"/>
                      <w:szCs w:val="21"/>
                      <w:lang w:bidi="ar"/>
                    </w:rPr>
                    <w:t>251121127</w:t>
                  </w:r>
                </w:p>
              </w:tc>
              <w:tc>
                <w:tcPr>
                  <w:tcW w:w="1891" w:type="dxa"/>
                  <w:tcBorders>
                    <w:top w:val="single" w:color="auto" w:sz="4" w:space="0"/>
                    <w:left w:val="single" w:color="auto" w:sz="4" w:space="0"/>
                    <w:bottom w:val="single" w:color="auto" w:sz="4" w:space="0"/>
                    <w:right w:val="single" w:color="auto" w:sz="4" w:space="0"/>
                  </w:tcBorders>
                  <w:vAlign w:val="center"/>
                </w:tcPr>
                <w:p w14:paraId="2AC37528">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r>
                    <w:rPr>
                      <w:rFonts w:hint="eastAsia" w:ascii="宋体" w:hAnsi="宋体" w:eastAsia="宋体" w:cs="宋体"/>
                      <w:color w:val="auto"/>
                      <w:szCs w:val="21"/>
                      <w:lang w:bidi="ar"/>
                    </w:rPr>
                    <w:t>气</w:t>
                  </w:r>
                  <w:r>
                    <w:rPr>
                      <w:rFonts w:hint="default" w:ascii="Times New Roman" w:hAnsi="Times New Roman" w:eastAsia="宋体" w:cs="Times New Roman"/>
                      <w:color w:val="auto"/>
                      <w:szCs w:val="21"/>
                      <w:lang w:bidi="ar"/>
                    </w:rPr>
                    <w:t>251121128</w:t>
                  </w:r>
                </w:p>
              </w:tc>
              <w:tc>
                <w:tcPr>
                  <w:tcW w:w="1895" w:type="dxa"/>
                  <w:tcBorders>
                    <w:top w:val="single" w:color="auto" w:sz="4" w:space="0"/>
                    <w:left w:val="single" w:color="auto" w:sz="4" w:space="0"/>
                    <w:bottom w:val="single" w:color="auto" w:sz="4" w:space="0"/>
                    <w:right w:val="single" w:color="auto" w:sz="4" w:space="0"/>
                  </w:tcBorders>
                  <w:vAlign w:val="center"/>
                </w:tcPr>
                <w:p w14:paraId="27723734">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r>
                    <w:rPr>
                      <w:rFonts w:hint="eastAsia" w:ascii="宋体" w:hAnsi="宋体" w:eastAsia="宋体" w:cs="宋体"/>
                      <w:color w:val="auto"/>
                      <w:szCs w:val="21"/>
                      <w:lang w:bidi="ar"/>
                    </w:rPr>
                    <w:t>气</w:t>
                  </w:r>
                  <w:r>
                    <w:rPr>
                      <w:rFonts w:hint="default" w:ascii="Times New Roman" w:hAnsi="Times New Roman" w:eastAsia="宋体" w:cs="Times New Roman"/>
                      <w:color w:val="auto"/>
                      <w:szCs w:val="21"/>
                      <w:lang w:bidi="ar"/>
                    </w:rPr>
                    <w:t>251121129</w:t>
                  </w:r>
                </w:p>
              </w:tc>
            </w:tr>
            <w:tr w14:paraId="65EACD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1634" w:type="dxa"/>
                  <w:vMerge w:val="continue"/>
                  <w:tcBorders>
                    <w:top w:val="nil"/>
                    <w:left w:val="single" w:color="auto" w:sz="4" w:space="0"/>
                    <w:bottom w:val="single" w:color="auto" w:sz="4" w:space="0"/>
                    <w:right w:val="single" w:color="auto" w:sz="4" w:space="0"/>
                  </w:tcBorders>
                  <w:vAlign w:val="center"/>
                </w:tcPr>
                <w:p w14:paraId="560C3D52">
                  <w:pPr>
                    <w:keepNext w:val="0"/>
                    <w:keepLines w:val="0"/>
                    <w:suppressLineNumbers w:val="0"/>
                    <w:spacing w:before="0" w:beforeAutospacing="0" w:after="0" w:afterAutospacing="0"/>
                    <w:ind w:left="0" w:right="0"/>
                    <w:rPr>
                      <w:rFonts w:hint="default" w:ascii="Times New Roman" w:hAnsi="Times New Roman" w:cs="Times New Roman"/>
                      <w:color w:val="auto"/>
                      <w:sz w:val="20"/>
                      <w:szCs w:val="20"/>
                    </w:rPr>
                  </w:pPr>
                </w:p>
              </w:tc>
              <w:tc>
                <w:tcPr>
                  <w:tcW w:w="1188" w:type="dxa"/>
                  <w:tcBorders>
                    <w:top w:val="single" w:color="auto" w:sz="4" w:space="0"/>
                    <w:left w:val="single" w:color="auto" w:sz="4" w:space="0"/>
                    <w:bottom w:val="single" w:color="auto" w:sz="4" w:space="0"/>
                    <w:right w:val="single" w:color="auto" w:sz="4" w:space="0"/>
                  </w:tcBorders>
                  <w:vAlign w:val="center"/>
                </w:tcPr>
                <w:p w14:paraId="2E9955FF">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r>
                    <w:rPr>
                      <w:rFonts w:hint="eastAsia" w:ascii="宋体" w:hAnsi="宋体" w:eastAsia="宋体" w:cs="宋体"/>
                      <w:color w:val="auto"/>
                      <w:szCs w:val="21"/>
                      <w:lang w:bidi="ar"/>
                    </w:rPr>
                    <w:t>排放浓度</w:t>
                  </w:r>
                </w:p>
              </w:tc>
              <w:tc>
                <w:tcPr>
                  <w:tcW w:w="936" w:type="dxa"/>
                  <w:tcBorders>
                    <w:top w:val="single" w:color="auto" w:sz="4" w:space="0"/>
                    <w:left w:val="single" w:color="auto" w:sz="4" w:space="0"/>
                    <w:bottom w:val="single" w:color="auto" w:sz="4" w:space="0"/>
                    <w:right w:val="single" w:color="auto" w:sz="4" w:space="0"/>
                  </w:tcBorders>
                  <w:vAlign w:val="center"/>
                </w:tcPr>
                <w:p w14:paraId="4B84DDFE">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lang w:bidi="ar"/>
                    </w:rPr>
                    <w:t>mg/m³</w:t>
                  </w:r>
                </w:p>
              </w:tc>
              <w:tc>
                <w:tcPr>
                  <w:tcW w:w="1778" w:type="dxa"/>
                  <w:tcBorders>
                    <w:top w:val="single" w:color="auto" w:sz="4" w:space="0"/>
                    <w:left w:val="single" w:color="auto" w:sz="4" w:space="0"/>
                    <w:bottom w:val="single" w:color="auto" w:sz="4" w:space="0"/>
                    <w:right w:val="single" w:color="auto" w:sz="4" w:space="0"/>
                  </w:tcBorders>
                  <w:vAlign w:val="center"/>
                </w:tcPr>
                <w:p w14:paraId="4345489E">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lang w:bidi="ar"/>
                    </w:rPr>
                    <w:t>18.7</w:t>
                  </w:r>
                </w:p>
              </w:tc>
              <w:tc>
                <w:tcPr>
                  <w:tcW w:w="1891" w:type="dxa"/>
                  <w:tcBorders>
                    <w:top w:val="single" w:color="auto" w:sz="4" w:space="0"/>
                    <w:left w:val="single" w:color="auto" w:sz="4" w:space="0"/>
                    <w:bottom w:val="single" w:color="auto" w:sz="4" w:space="0"/>
                    <w:right w:val="single" w:color="auto" w:sz="4" w:space="0"/>
                  </w:tcBorders>
                  <w:vAlign w:val="center"/>
                </w:tcPr>
                <w:p w14:paraId="53FFAC17">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lang w:bidi="ar"/>
                    </w:rPr>
                    <w:t>18.6</w:t>
                  </w:r>
                </w:p>
              </w:tc>
              <w:tc>
                <w:tcPr>
                  <w:tcW w:w="1895" w:type="dxa"/>
                  <w:tcBorders>
                    <w:top w:val="single" w:color="auto" w:sz="4" w:space="0"/>
                    <w:left w:val="single" w:color="auto" w:sz="4" w:space="0"/>
                    <w:bottom w:val="single" w:color="auto" w:sz="4" w:space="0"/>
                    <w:right w:val="single" w:color="auto" w:sz="4" w:space="0"/>
                  </w:tcBorders>
                  <w:vAlign w:val="center"/>
                </w:tcPr>
                <w:p w14:paraId="1279CE44">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lang w:bidi="ar"/>
                    </w:rPr>
                    <w:t>18.8</w:t>
                  </w:r>
                </w:p>
              </w:tc>
            </w:tr>
            <w:tr w14:paraId="30F368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1634" w:type="dxa"/>
                  <w:vMerge w:val="continue"/>
                  <w:tcBorders>
                    <w:top w:val="nil"/>
                    <w:left w:val="single" w:color="auto" w:sz="4" w:space="0"/>
                    <w:bottom w:val="single" w:color="auto" w:sz="4" w:space="0"/>
                    <w:right w:val="single" w:color="auto" w:sz="4" w:space="0"/>
                  </w:tcBorders>
                  <w:vAlign w:val="center"/>
                </w:tcPr>
                <w:p w14:paraId="7BD52746">
                  <w:pPr>
                    <w:keepNext w:val="0"/>
                    <w:keepLines w:val="0"/>
                    <w:suppressLineNumbers w:val="0"/>
                    <w:spacing w:before="0" w:beforeAutospacing="0" w:after="0" w:afterAutospacing="0"/>
                    <w:ind w:left="0" w:right="0"/>
                    <w:rPr>
                      <w:rFonts w:hint="default" w:ascii="Times New Roman" w:hAnsi="Times New Roman" w:cs="Times New Roman"/>
                      <w:color w:val="auto"/>
                      <w:sz w:val="20"/>
                      <w:szCs w:val="20"/>
                    </w:rPr>
                  </w:pPr>
                </w:p>
              </w:tc>
              <w:tc>
                <w:tcPr>
                  <w:tcW w:w="1188" w:type="dxa"/>
                  <w:tcBorders>
                    <w:top w:val="single" w:color="auto" w:sz="4" w:space="0"/>
                    <w:left w:val="single" w:color="auto" w:sz="4" w:space="0"/>
                    <w:bottom w:val="single" w:color="auto" w:sz="4" w:space="0"/>
                    <w:right w:val="single" w:color="auto" w:sz="4" w:space="0"/>
                  </w:tcBorders>
                  <w:vAlign w:val="center"/>
                </w:tcPr>
                <w:p w14:paraId="3B509500">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r>
                    <w:rPr>
                      <w:rFonts w:hint="eastAsia" w:ascii="宋体" w:hAnsi="宋体" w:eastAsia="宋体" w:cs="宋体"/>
                      <w:color w:val="auto"/>
                      <w:szCs w:val="21"/>
                      <w:lang w:bidi="ar"/>
                    </w:rPr>
                    <w:t>排放速率</w:t>
                  </w:r>
                </w:p>
              </w:tc>
              <w:tc>
                <w:tcPr>
                  <w:tcW w:w="936" w:type="dxa"/>
                  <w:tcBorders>
                    <w:top w:val="single" w:color="auto" w:sz="4" w:space="0"/>
                    <w:left w:val="single" w:color="auto" w:sz="4" w:space="0"/>
                    <w:bottom w:val="single" w:color="auto" w:sz="4" w:space="0"/>
                    <w:right w:val="single" w:color="auto" w:sz="4" w:space="0"/>
                  </w:tcBorders>
                  <w:vAlign w:val="center"/>
                </w:tcPr>
                <w:p w14:paraId="1D71027C">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lang w:bidi="ar"/>
                    </w:rPr>
                    <w:t>kg/h</w:t>
                  </w:r>
                </w:p>
              </w:tc>
              <w:tc>
                <w:tcPr>
                  <w:tcW w:w="1778" w:type="dxa"/>
                  <w:tcBorders>
                    <w:top w:val="single" w:color="auto" w:sz="4" w:space="0"/>
                    <w:left w:val="single" w:color="auto" w:sz="4" w:space="0"/>
                    <w:bottom w:val="single" w:color="auto" w:sz="4" w:space="0"/>
                    <w:right w:val="single" w:color="auto" w:sz="4" w:space="0"/>
                  </w:tcBorders>
                  <w:vAlign w:val="center"/>
                </w:tcPr>
                <w:p w14:paraId="13790E97">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lang w:bidi="ar"/>
                    </w:rPr>
                    <w:t>0.626</w:t>
                  </w:r>
                </w:p>
              </w:tc>
              <w:tc>
                <w:tcPr>
                  <w:tcW w:w="1891" w:type="dxa"/>
                  <w:tcBorders>
                    <w:top w:val="single" w:color="auto" w:sz="4" w:space="0"/>
                    <w:left w:val="single" w:color="auto" w:sz="4" w:space="0"/>
                    <w:bottom w:val="single" w:color="auto" w:sz="4" w:space="0"/>
                    <w:right w:val="single" w:color="auto" w:sz="4" w:space="0"/>
                  </w:tcBorders>
                  <w:vAlign w:val="center"/>
                </w:tcPr>
                <w:p w14:paraId="26316B88">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lang w:bidi="ar"/>
                    </w:rPr>
                    <w:t>0.622</w:t>
                  </w:r>
                </w:p>
              </w:tc>
              <w:tc>
                <w:tcPr>
                  <w:tcW w:w="1895" w:type="dxa"/>
                  <w:tcBorders>
                    <w:top w:val="single" w:color="auto" w:sz="4" w:space="0"/>
                    <w:left w:val="single" w:color="auto" w:sz="4" w:space="0"/>
                    <w:bottom w:val="single" w:color="auto" w:sz="4" w:space="0"/>
                    <w:right w:val="single" w:color="auto" w:sz="4" w:space="0"/>
                  </w:tcBorders>
                  <w:vAlign w:val="center"/>
                </w:tcPr>
                <w:p w14:paraId="50F70E7B">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lang w:bidi="ar"/>
                    </w:rPr>
                    <w:t>0.622</w:t>
                  </w:r>
                </w:p>
              </w:tc>
            </w:tr>
            <w:tr w14:paraId="07A1C7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9322" w:type="dxa"/>
                  <w:gridSpan w:val="6"/>
                  <w:tcBorders>
                    <w:top w:val="single" w:color="auto" w:sz="4" w:space="0"/>
                    <w:left w:val="single" w:color="auto" w:sz="4" w:space="0"/>
                    <w:bottom w:val="single" w:color="auto" w:sz="4" w:space="0"/>
                    <w:right w:val="single" w:color="auto" w:sz="4" w:space="0"/>
                  </w:tcBorders>
                  <w:vAlign w:val="center"/>
                </w:tcPr>
                <w:p w14:paraId="050ABA82">
                  <w:pPr>
                    <w:keepNext w:val="0"/>
                    <w:keepLines w:val="0"/>
                    <w:suppressLineNumbers w:val="0"/>
                    <w:spacing w:before="0" w:beforeAutospacing="0" w:after="0" w:afterAutospacing="0"/>
                    <w:ind w:left="0" w:right="0"/>
                    <w:jc w:val="left"/>
                    <w:rPr>
                      <w:rFonts w:hint="default" w:ascii="Times New Roman" w:hAnsi="Times New Roman" w:eastAsia="宋体" w:cs="Times New Roman"/>
                      <w:color w:val="auto"/>
                      <w:szCs w:val="21"/>
                    </w:rPr>
                  </w:pPr>
                  <w:r>
                    <w:rPr>
                      <w:rFonts w:hint="eastAsia" w:ascii="宋体" w:hAnsi="宋体" w:eastAsia="宋体" w:cs="宋体"/>
                      <w:color w:val="auto"/>
                      <w:szCs w:val="21"/>
                      <w:lang w:bidi="ar"/>
                    </w:rPr>
                    <w:t>采样点位：</w:t>
                  </w:r>
                  <w:r>
                    <w:rPr>
                      <w:rFonts w:hint="default" w:ascii="Times New Roman" w:hAnsi="Times New Roman" w:eastAsia="宋体" w:cs="Times New Roman"/>
                      <w:color w:val="auto"/>
                      <w:szCs w:val="21"/>
                      <w:u w:val="single"/>
                      <w:lang w:bidi="ar"/>
                    </w:rPr>
                    <w:t xml:space="preserve">   DA003</w:t>
                  </w:r>
                  <w:r>
                    <w:rPr>
                      <w:rFonts w:hint="eastAsia" w:ascii="宋体" w:hAnsi="宋体" w:eastAsia="宋体" w:cs="宋体"/>
                      <w:color w:val="auto"/>
                      <w:szCs w:val="21"/>
                      <w:u w:val="single"/>
                      <w:lang w:bidi="ar"/>
                    </w:rPr>
                    <w:t xml:space="preserve">挥发废气处理设施出口   </w:t>
                  </w:r>
                  <w:r>
                    <w:rPr>
                      <w:rFonts w:hint="eastAsia" w:ascii="宋体" w:hAnsi="宋体" w:eastAsia="宋体" w:cs="宋体"/>
                      <w:color w:val="auto"/>
                      <w:szCs w:val="21"/>
                      <w:lang w:bidi="ar"/>
                    </w:rPr>
                    <w:t>采样日期：</w:t>
                  </w:r>
                  <w:r>
                    <w:rPr>
                      <w:rFonts w:hint="default" w:ascii="Times New Roman" w:hAnsi="Times New Roman" w:eastAsia="宋体" w:cs="Times New Roman"/>
                      <w:color w:val="auto"/>
                      <w:szCs w:val="21"/>
                      <w:u w:val="single"/>
                      <w:lang w:bidi="ar"/>
                    </w:rPr>
                    <w:t xml:space="preserve">   2025.11.21   </w:t>
                  </w:r>
                </w:p>
              </w:tc>
            </w:tr>
            <w:tr w14:paraId="6D31B8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2822" w:type="dxa"/>
                  <w:gridSpan w:val="2"/>
                  <w:tcBorders>
                    <w:top w:val="single" w:color="auto" w:sz="4" w:space="0"/>
                    <w:left w:val="single" w:color="auto" w:sz="4" w:space="0"/>
                    <w:bottom w:val="single" w:color="auto" w:sz="4" w:space="0"/>
                    <w:right w:val="single" w:color="auto" w:sz="4" w:space="0"/>
                  </w:tcBorders>
                  <w:vAlign w:val="center"/>
                </w:tcPr>
                <w:p w14:paraId="645C0032">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r>
                    <w:rPr>
                      <w:rFonts w:hint="eastAsia" w:ascii="宋体" w:hAnsi="宋体" w:eastAsia="宋体" w:cs="宋体"/>
                      <w:color w:val="auto"/>
                      <w:szCs w:val="21"/>
                      <w:lang w:bidi="ar"/>
                    </w:rPr>
                    <w:t>检测项目</w:t>
                  </w:r>
                </w:p>
              </w:tc>
              <w:tc>
                <w:tcPr>
                  <w:tcW w:w="936" w:type="dxa"/>
                  <w:tcBorders>
                    <w:top w:val="single" w:color="auto" w:sz="4" w:space="0"/>
                    <w:left w:val="single" w:color="auto" w:sz="4" w:space="0"/>
                    <w:bottom w:val="single" w:color="auto" w:sz="4" w:space="0"/>
                    <w:right w:val="single" w:color="auto" w:sz="4" w:space="0"/>
                  </w:tcBorders>
                  <w:vAlign w:val="center"/>
                </w:tcPr>
                <w:p w14:paraId="38807D05">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r>
                    <w:rPr>
                      <w:rFonts w:hint="eastAsia" w:ascii="宋体" w:hAnsi="宋体" w:eastAsia="宋体" w:cs="宋体"/>
                      <w:color w:val="auto"/>
                      <w:szCs w:val="21"/>
                      <w:lang w:bidi="ar"/>
                    </w:rPr>
                    <w:t>单位</w:t>
                  </w:r>
                </w:p>
              </w:tc>
              <w:tc>
                <w:tcPr>
                  <w:tcW w:w="5564" w:type="dxa"/>
                  <w:gridSpan w:val="3"/>
                  <w:tcBorders>
                    <w:top w:val="single" w:color="auto" w:sz="4" w:space="0"/>
                    <w:left w:val="single" w:color="auto" w:sz="4" w:space="0"/>
                    <w:bottom w:val="single" w:color="auto" w:sz="4" w:space="0"/>
                    <w:right w:val="single" w:color="auto" w:sz="4" w:space="0"/>
                  </w:tcBorders>
                  <w:vAlign w:val="center"/>
                </w:tcPr>
                <w:p w14:paraId="3448F026">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r>
                    <w:rPr>
                      <w:rFonts w:hint="eastAsia" w:ascii="宋体" w:hAnsi="宋体" w:eastAsia="宋体" w:cs="宋体"/>
                      <w:color w:val="auto"/>
                      <w:szCs w:val="21"/>
                      <w:lang w:bidi="ar"/>
                    </w:rPr>
                    <w:t>检测结果</w:t>
                  </w:r>
                </w:p>
              </w:tc>
            </w:tr>
            <w:tr w14:paraId="08E113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2822" w:type="dxa"/>
                  <w:gridSpan w:val="2"/>
                  <w:tcBorders>
                    <w:top w:val="single" w:color="auto" w:sz="4" w:space="0"/>
                    <w:left w:val="single" w:color="auto" w:sz="4" w:space="0"/>
                    <w:bottom w:val="single" w:color="auto" w:sz="4" w:space="0"/>
                    <w:right w:val="single" w:color="auto" w:sz="4" w:space="0"/>
                  </w:tcBorders>
                  <w:vAlign w:val="center"/>
                </w:tcPr>
                <w:p w14:paraId="27857FCA">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r>
                    <w:rPr>
                      <w:rFonts w:hint="eastAsia" w:ascii="宋体" w:hAnsi="宋体" w:eastAsia="宋体" w:cs="宋体"/>
                      <w:color w:val="auto"/>
                      <w:szCs w:val="21"/>
                      <w:lang w:bidi="ar"/>
                    </w:rPr>
                    <w:t>检测管道截面积</w:t>
                  </w:r>
                </w:p>
              </w:tc>
              <w:tc>
                <w:tcPr>
                  <w:tcW w:w="936" w:type="dxa"/>
                  <w:tcBorders>
                    <w:top w:val="single" w:color="auto" w:sz="4" w:space="0"/>
                    <w:left w:val="single" w:color="auto" w:sz="4" w:space="0"/>
                    <w:bottom w:val="single" w:color="auto" w:sz="4" w:space="0"/>
                    <w:right w:val="single" w:color="auto" w:sz="4" w:space="0"/>
                  </w:tcBorders>
                  <w:vAlign w:val="center"/>
                </w:tcPr>
                <w:p w14:paraId="478426F3">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lang w:bidi="ar"/>
                    </w:rPr>
                    <w:t>m²</w:t>
                  </w:r>
                </w:p>
              </w:tc>
              <w:tc>
                <w:tcPr>
                  <w:tcW w:w="1778" w:type="dxa"/>
                  <w:tcBorders>
                    <w:top w:val="single" w:color="auto" w:sz="4" w:space="0"/>
                    <w:left w:val="single" w:color="auto" w:sz="4" w:space="0"/>
                    <w:bottom w:val="single" w:color="auto" w:sz="4" w:space="0"/>
                    <w:right w:val="single" w:color="auto" w:sz="4" w:space="0"/>
                  </w:tcBorders>
                  <w:vAlign w:val="center"/>
                </w:tcPr>
                <w:p w14:paraId="33D70574">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lang w:bidi="ar"/>
                    </w:rPr>
                    <w:t>1.1310</w:t>
                  </w:r>
                </w:p>
              </w:tc>
              <w:tc>
                <w:tcPr>
                  <w:tcW w:w="1891" w:type="dxa"/>
                  <w:tcBorders>
                    <w:top w:val="single" w:color="auto" w:sz="4" w:space="0"/>
                    <w:left w:val="single" w:color="auto" w:sz="4" w:space="0"/>
                    <w:bottom w:val="single" w:color="auto" w:sz="4" w:space="0"/>
                    <w:right w:val="single" w:color="auto" w:sz="4" w:space="0"/>
                  </w:tcBorders>
                  <w:vAlign w:val="center"/>
                </w:tcPr>
                <w:p w14:paraId="5AF9106D">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lang w:bidi="ar"/>
                    </w:rPr>
                    <w:t>1.1310</w:t>
                  </w:r>
                </w:p>
              </w:tc>
              <w:tc>
                <w:tcPr>
                  <w:tcW w:w="1895" w:type="dxa"/>
                  <w:tcBorders>
                    <w:top w:val="single" w:color="auto" w:sz="4" w:space="0"/>
                    <w:left w:val="single" w:color="auto" w:sz="4" w:space="0"/>
                    <w:bottom w:val="single" w:color="auto" w:sz="4" w:space="0"/>
                    <w:right w:val="single" w:color="auto" w:sz="4" w:space="0"/>
                  </w:tcBorders>
                  <w:vAlign w:val="center"/>
                </w:tcPr>
                <w:p w14:paraId="1FF804E9">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lang w:bidi="ar"/>
                    </w:rPr>
                    <w:t>1.1310</w:t>
                  </w:r>
                </w:p>
              </w:tc>
            </w:tr>
            <w:tr w14:paraId="109400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2822" w:type="dxa"/>
                  <w:gridSpan w:val="2"/>
                  <w:tcBorders>
                    <w:top w:val="single" w:color="auto" w:sz="4" w:space="0"/>
                    <w:left w:val="single" w:color="auto" w:sz="4" w:space="0"/>
                    <w:bottom w:val="single" w:color="auto" w:sz="4" w:space="0"/>
                    <w:right w:val="single" w:color="auto" w:sz="4" w:space="0"/>
                  </w:tcBorders>
                  <w:vAlign w:val="center"/>
                </w:tcPr>
                <w:p w14:paraId="3DC5FDD5">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r>
                    <w:rPr>
                      <w:rFonts w:hint="eastAsia" w:ascii="宋体" w:hAnsi="宋体" w:eastAsia="宋体" w:cs="宋体"/>
                      <w:color w:val="auto"/>
                      <w:szCs w:val="21"/>
                      <w:lang w:bidi="ar"/>
                    </w:rPr>
                    <w:t>烟气温度</w:t>
                  </w:r>
                </w:p>
              </w:tc>
              <w:tc>
                <w:tcPr>
                  <w:tcW w:w="936" w:type="dxa"/>
                  <w:tcBorders>
                    <w:top w:val="single" w:color="auto" w:sz="4" w:space="0"/>
                    <w:left w:val="single" w:color="auto" w:sz="4" w:space="0"/>
                    <w:bottom w:val="single" w:color="auto" w:sz="4" w:space="0"/>
                    <w:right w:val="single" w:color="auto" w:sz="4" w:space="0"/>
                  </w:tcBorders>
                  <w:vAlign w:val="center"/>
                </w:tcPr>
                <w:p w14:paraId="6FA79796">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lang w:bidi="ar"/>
                    </w:rPr>
                    <w:t>℃</w:t>
                  </w:r>
                </w:p>
              </w:tc>
              <w:tc>
                <w:tcPr>
                  <w:tcW w:w="1778" w:type="dxa"/>
                  <w:tcBorders>
                    <w:top w:val="single" w:color="auto" w:sz="4" w:space="0"/>
                    <w:left w:val="single" w:color="auto" w:sz="4" w:space="0"/>
                    <w:bottom w:val="single" w:color="auto" w:sz="4" w:space="0"/>
                    <w:right w:val="single" w:color="auto" w:sz="4" w:space="0"/>
                  </w:tcBorders>
                  <w:vAlign w:val="center"/>
                </w:tcPr>
                <w:p w14:paraId="0B6F5313">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lang w:bidi="ar"/>
                    </w:rPr>
                    <w:t>48.0</w:t>
                  </w:r>
                </w:p>
              </w:tc>
              <w:tc>
                <w:tcPr>
                  <w:tcW w:w="1891" w:type="dxa"/>
                  <w:tcBorders>
                    <w:top w:val="single" w:color="auto" w:sz="4" w:space="0"/>
                    <w:left w:val="single" w:color="auto" w:sz="4" w:space="0"/>
                    <w:bottom w:val="single" w:color="auto" w:sz="4" w:space="0"/>
                    <w:right w:val="single" w:color="auto" w:sz="4" w:space="0"/>
                  </w:tcBorders>
                  <w:vAlign w:val="center"/>
                </w:tcPr>
                <w:p w14:paraId="48D2C3DD">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lang w:bidi="ar"/>
                    </w:rPr>
                    <w:t>48.0</w:t>
                  </w:r>
                </w:p>
              </w:tc>
              <w:tc>
                <w:tcPr>
                  <w:tcW w:w="1895" w:type="dxa"/>
                  <w:tcBorders>
                    <w:top w:val="single" w:color="auto" w:sz="4" w:space="0"/>
                    <w:left w:val="single" w:color="auto" w:sz="4" w:space="0"/>
                    <w:bottom w:val="single" w:color="auto" w:sz="4" w:space="0"/>
                    <w:right w:val="single" w:color="auto" w:sz="4" w:space="0"/>
                  </w:tcBorders>
                  <w:vAlign w:val="center"/>
                </w:tcPr>
                <w:p w14:paraId="58B0C575">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lang w:bidi="ar"/>
                    </w:rPr>
                    <w:t>48.0</w:t>
                  </w:r>
                </w:p>
              </w:tc>
            </w:tr>
            <w:tr w14:paraId="0D75E7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2822" w:type="dxa"/>
                  <w:gridSpan w:val="2"/>
                  <w:tcBorders>
                    <w:top w:val="single" w:color="auto" w:sz="4" w:space="0"/>
                    <w:left w:val="single" w:color="auto" w:sz="4" w:space="0"/>
                    <w:bottom w:val="single" w:color="auto" w:sz="4" w:space="0"/>
                    <w:right w:val="single" w:color="auto" w:sz="4" w:space="0"/>
                  </w:tcBorders>
                  <w:vAlign w:val="center"/>
                </w:tcPr>
                <w:p w14:paraId="18F6711B">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r>
                    <w:rPr>
                      <w:rFonts w:hint="eastAsia" w:ascii="宋体" w:hAnsi="宋体" w:eastAsia="宋体" w:cs="宋体"/>
                      <w:color w:val="auto"/>
                      <w:szCs w:val="21"/>
                      <w:lang w:bidi="ar"/>
                    </w:rPr>
                    <w:t>烟气平均流速</w:t>
                  </w:r>
                </w:p>
              </w:tc>
              <w:tc>
                <w:tcPr>
                  <w:tcW w:w="936" w:type="dxa"/>
                  <w:tcBorders>
                    <w:top w:val="single" w:color="auto" w:sz="4" w:space="0"/>
                    <w:left w:val="single" w:color="auto" w:sz="4" w:space="0"/>
                    <w:bottom w:val="single" w:color="auto" w:sz="4" w:space="0"/>
                    <w:right w:val="single" w:color="auto" w:sz="4" w:space="0"/>
                  </w:tcBorders>
                  <w:vAlign w:val="center"/>
                </w:tcPr>
                <w:p w14:paraId="415DDD12">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lang w:bidi="ar"/>
                    </w:rPr>
                    <w:t>m/s</w:t>
                  </w:r>
                </w:p>
              </w:tc>
              <w:tc>
                <w:tcPr>
                  <w:tcW w:w="1778" w:type="dxa"/>
                  <w:tcBorders>
                    <w:top w:val="single" w:color="auto" w:sz="4" w:space="0"/>
                    <w:left w:val="single" w:color="auto" w:sz="4" w:space="0"/>
                    <w:bottom w:val="single" w:color="auto" w:sz="4" w:space="0"/>
                    <w:right w:val="single" w:color="auto" w:sz="4" w:space="0"/>
                  </w:tcBorders>
                  <w:vAlign w:val="center"/>
                </w:tcPr>
                <w:p w14:paraId="48F6C139">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lang w:bidi="ar"/>
                    </w:rPr>
                    <w:t>11.1</w:t>
                  </w:r>
                </w:p>
              </w:tc>
              <w:tc>
                <w:tcPr>
                  <w:tcW w:w="1891" w:type="dxa"/>
                  <w:tcBorders>
                    <w:top w:val="single" w:color="auto" w:sz="4" w:space="0"/>
                    <w:left w:val="single" w:color="auto" w:sz="4" w:space="0"/>
                    <w:bottom w:val="single" w:color="auto" w:sz="4" w:space="0"/>
                    <w:right w:val="single" w:color="auto" w:sz="4" w:space="0"/>
                  </w:tcBorders>
                  <w:vAlign w:val="center"/>
                </w:tcPr>
                <w:p w14:paraId="3D5F7EB3">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lang w:bidi="ar"/>
                    </w:rPr>
                    <w:t>11.1</w:t>
                  </w:r>
                </w:p>
              </w:tc>
              <w:tc>
                <w:tcPr>
                  <w:tcW w:w="1895" w:type="dxa"/>
                  <w:tcBorders>
                    <w:top w:val="single" w:color="auto" w:sz="4" w:space="0"/>
                    <w:left w:val="single" w:color="auto" w:sz="4" w:space="0"/>
                    <w:bottom w:val="single" w:color="auto" w:sz="4" w:space="0"/>
                    <w:right w:val="single" w:color="auto" w:sz="4" w:space="0"/>
                  </w:tcBorders>
                  <w:vAlign w:val="center"/>
                </w:tcPr>
                <w:p w14:paraId="138C6E73">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lang w:bidi="ar"/>
                    </w:rPr>
                    <w:t>11.2</w:t>
                  </w:r>
                </w:p>
              </w:tc>
            </w:tr>
            <w:tr w14:paraId="7F9791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2822" w:type="dxa"/>
                  <w:gridSpan w:val="2"/>
                  <w:tcBorders>
                    <w:top w:val="single" w:color="auto" w:sz="4" w:space="0"/>
                    <w:left w:val="single" w:color="auto" w:sz="4" w:space="0"/>
                    <w:bottom w:val="single" w:color="auto" w:sz="4" w:space="0"/>
                    <w:right w:val="single" w:color="auto" w:sz="4" w:space="0"/>
                  </w:tcBorders>
                  <w:vAlign w:val="center"/>
                </w:tcPr>
                <w:p w14:paraId="7F503BA0">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r>
                    <w:rPr>
                      <w:rFonts w:hint="eastAsia" w:ascii="宋体" w:hAnsi="宋体" w:eastAsia="宋体" w:cs="宋体"/>
                      <w:color w:val="auto"/>
                      <w:szCs w:val="21"/>
                      <w:lang w:bidi="ar"/>
                    </w:rPr>
                    <w:t>标态干烟气量</w:t>
                  </w:r>
                </w:p>
              </w:tc>
              <w:tc>
                <w:tcPr>
                  <w:tcW w:w="936" w:type="dxa"/>
                  <w:tcBorders>
                    <w:top w:val="single" w:color="auto" w:sz="4" w:space="0"/>
                    <w:left w:val="single" w:color="auto" w:sz="4" w:space="0"/>
                    <w:bottom w:val="single" w:color="auto" w:sz="4" w:space="0"/>
                    <w:right w:val="single" w:color="auto" w:sz="4" w:space="0"/>
                  </w:tcBorders>
                  <w:vAlign w:val="center"/>
                </w:tcPr>
                <w:p w14:paraId="440C6DF9">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lang w:bidi="ar"/>
                    </w:rPr>
                    <w:t>m³/h</w:t>
                  </w:r>
                </w:p>
              </w:tc>
              <w:tc>
                <w:tcPr>
                  <w:tcW w:w="1778" w:type="dxa"/>
                  <w:tcBorders>
                    <w:top w:val="single" w:color="auto" w:sz="4" w:space="0"/>
                    <w:left w:val="single" w:color="auto" w:sz="4" w:space="0"/>
                    <w:bottom w:val="single" w:color="auto" w:sz="4" w:space="0"/>
                    <w:right w:val="single" w:color="auto" w:sz="4" w:space="0"/>
                  </w:tcBorders>
                  <w:vAlign w:val="center"/>
                </w:tcPr>
                <w:p w14:paraId="2BE3C53F">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lang w:bidi="ar"/>
                    </w:rPr>
                    <w:t>38329</w:t>
                  </w:r>
                </w:p>
              </w:tc>
              <w:tc>
                <w:tcPr>
                  <w:tcW w:w="1891" w:type="dxa"/>
                  <w:tcBorders>
                    <w:top w:val="single" w:color="auto" w:sz="4" w:space="0"/>
                    <w:left w:val="single" w:color="auto" w:sz="4" w:space="0"/>
                    <w:bottom w:val="single" w:color="auto" w:sz="4" w:space="0"/>
                    <w:right w:val="single" w:color="auto" w:sz="4" w:space="0"/>
                  </w:tcBorders>
                  <w:vAlign w:val="center"/>
                </w:tcPr>
                <w:p w14:paraId="5C12C8EB">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lang w:bidi="ar"/>
                    </w:rPr>
                    <w:t>38329</w:t>
                  </w:r>
                </w:p>
              </w:tc>
              <w:tc>
                <w:tcPr>
                  <w:tcW w:w="1895" w:type="dxa"/>
                  <w:tcBorders>
                    <w:top w:val="single" w:color="auto" w:sz="4" w:space="0"/>
                    <w:left w:val="single" w:color="auto" w:sz="4" w:space="0"/>
                    <w:bottom w:val="single" w:color="auto" w:sz="4" w:space="0"/>
                    <w:right w:val="single" w:color="auto" w:sz="4" w:space="0"/>
                  </w:tcBorders>
                  <w:vAlign w:val="center"/>
                </w:tcPr>
                <w:p w14:paraId="57B2C0B4">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lang w:bidi="ar"/>
                    </w:rPr>
                    <w:t>38678</w:t>
                  </w:r>
                </w:p>
              </w:tc>
            </w:tr>
            <w:tr w14:paraId="22CDAD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1634" w:type="dxa"/>
                  <w:vMerge w:val="restart"/>
                  <w:tcBorders>
                    <w:top w:val="nil"/>
                    <w:left w:val="single" w:color="auto" w:sz="4" w:space="0"/>
                    <w:bottom w:val="single" w:color="auto" w:sz="4" w:space="0"/>
                    <w:right w:val="single" w:color="auto" w:sz="4" w:space="0"/>
                  </w:tcBorders>
                  <w:vAlign w:val="center"/>
                </w:tcPr>
                <w:p w14:paraId="74B03356">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r>
                    <w:rPr>
                      <w:rFonts w:hint="eastAsia" w:ascii="宋体" w:hAnsi="宋体" w:eastAsia="宋体" w:cs="宋体"/>
                      <w:color w:val="auto"/>
                      <w:szCs w:val="21"/>
                      <w:lang w:bidi="ar"/>
                    </w:rPr>
                    <w:t>非甲烷总烃</w:t>
                  </w:r>
                </w:p>
              </w:tc>
              <w:tc>
                <w:tcPr>
                  <w:tcW w:w="1188" w:type="dxa"/>
                  <w:tcBorders>
                    <w:top w:val="single" w:color="auto" w:sz="4" w:space="0"/>
                    <w:left w:val="single" w:color="auto" w:sz="4" w:space="0"/>
                    <w:bottom w:val="single" w:color="auto" w:sz="4" w:space="0"/>
                    <w:right w:val="single" w:color="auto" w:sz="4" w:space="0"/>
                  </w:tcBorders>
                  <w:vAlign w:val="center"/>
                </w:tcPr>
                <w:p w14:paraId="26AE5E02">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r>
                    <w:rPr>
                      <w:rFonts w:hint="eastAsia" w:ascii="宋体" w:hAnsi="宋体" w:eastAsia="宋体" w:cs="宋体"/>
                      <w:color w:val="auto"/>
                      <w:szCs w:val="21"/>
                      <w:lang w:bidi="ar"/>
                    </w:rPr>
                    <w:t>样品编号</w:t>
                  </w:r>
                </w:p>
              </w:tc>
              <w:tc>
                <w:tcPr>
                  <w:tcW w:w="936" w:type="dxa"/>
                  <w:tcBorders>
                    <w:top w:val="single" w:color="auto" w:sz="4" w:space="0"/>
                    <w:left w:val="single" w:color="auto" w:sz="4" w:space="0"/>
                    <w:bottom w:val="single" w:color="auto" w:sz="4" w:space="0"/>
                    <w:right w:val="single" w:color="auto" w:sz="4" w:space="0"/>
                  </w:tcBorders>
                  <w:vAlign w:val="center"/>
                </w:tcPr>
                <w:p w14:paraId="0A593EA2">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lang w:bidi="ar"/>
                    </w:rPr>
                    <w:t>/</w:t>
                  </w:r>
                </w:p>
              </w:tc>
              <w:tc>
                <w:tcPr>
                  <w:tcW w:w="1778" w:type="dxa"/>
                  <w:tcBorders>
                    <w:top w:val="single" w:color="auto" w:sz="4" w:space="0"/>
                    <w:left w:val="single" w:color="auto" w:sz="4" w:space="0"/>
                    <w:bottom w:val="single" w:color="auto" w:sz="4" w:space="0"/>
                    <w:right w:val="single" w:color="auto" w:sz="4" w:space="0"/>
                  </w:tcBorders>
                  <w:vAlign w:val="center"/>
                </w:tcPr>
                <w:p w14:paraId="1CC48068">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r>
                    <w:rPr>
                      <w:rFonts w:hint="eastAsia" w:ascii="宋体" w:hAnsi="宋体" w:eastAsia="宋体" w:cs="宋体"/>
                      <w:color w:val="auto"/>
                      <w:szCs w:val="21"/>
                      <w:lang w:bidi="ar"/>
                    </w:rPr>
                    <w:t>气</w:t>
                  </w:r>
                  <w:r>
                    <w:rPr>
                      <w:rFonts w:hint="default" w:ascii="Times New Roman" w:hAnsi="Times New Roman" w:eastAsia="宋体" w:cs="Times New Roman"/>
                      <w:color w:val="auto"/>
                      <w:szCs w:val="21"/>
                      <w:lang w:bidi="ar"/>
                    </w:rPr>
                    <w:t>251121130</w:t>
                  </w:r>
                </w:p>
              </w:tc>
              <w:tc>
                <w:tcPr>
                  <w:tcW w:w="1891" w:type="dxa"/>
                  <w:tcBorders>
                    <w:top w:val="single" w:color="auto" w:sz="4" w:space="0"/>
                    <w:left w:val="single" w:color="auto" w:sz="4" w:space="0"/>
                    <w:bottom w:val="single" w:color="auto" w:sz="4" w:space="0"/>
                    <w:right w:val="single" w:color="auto" w:sz="4" w:space="0"/>
                  </w:tcBorders>
                  <w:vAlign w:val="center"/>
                </w:tcPr>
                <w:p w14:paraId="397EC80F">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r>
                    <w:rPr>
                      <w:rFonts w:hint="eastAsia" w:ascii="宋体" w:hAnsi="宋体" w:eastAsia="宋体" w:cs="宋体"/>
                      <w:color w:val="auto"/>
                      <w:szCs w:val="21"/>
                      <w:lang w:bidi="ar"/>
                    </w:rPr>
                    <w:t>气</w:t>
                  </w:r>
                  <w:r>
                    <w:rPr>
                      <w:rFonts w:hint="default" w:ascii="Times New Roman" w:hAnsi="Times New Roman" w:eastAsia="宋体" w:cs="Times New Roman"/>
                      <w:color w:val="auto"/>
                      <w:szCs w:val="21"/>
                      <w:lang w:bidi="ar"/>
                    </w:rPr>
                    <w:t>251121131</w:t>
                  </w:r>
                </w:p>
              </w:tc>
              <w:tc>
                <w:tcPr>
                  <w:tcW w:w="1895" w:type="dxa"/>
                  <w:tcBorders>
                    <w:top w:val="single" w:color="auto" w:sz="4" w:space="0"/>
                    <w:left w:val="single" w:color="auto" w:sz="4" w:space="0"/>
                    <w:bottom w:val="single" w:color="auto" w:sz="4" w:space="0"/>
                    <w:right w:val="single" w:color="auto" w:sz="4" w:space="0"/>
                  </w:tcBorders>
                  <w:vAlign w:val="center"/>
                </w:tcPr>
                <w:p w14:paraId="4FCDBCB8">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r>
                    <w:rPr>
                      <w:rFonts w:hint="eastAsia" w:ascii="宋体" w:hAnsi="宋体" w:eastAsia="宋体" w:cs="宋体"/>
                      <w:color w:val="auto"/>
                      <w:szCs w:val="21"/>
                      <w:lang w:bidi="ar"/>
                    </w:rPr>
                    <w:t>气</w:t>
                  </w:r>
                  <w:r>
                    <w:rPr>
                      <w:rFonts w:hint="default" w:ascii="Times New Roman" w:hAnsi="Times New Roman" w:eastAsia="宋体" w:cs="Times New Roman"/>
                      <w:color w:val="auto"/>
                      <w:szCs w:val="21"/>
                      <w:lang w:bidi="ar"/>
                    </w:rPr>
                    <w:t>251121132</w:t>
                  </w:r>
                </w:p>
              </w:tc>
            </w:tr>
            <w:tr w14:paraId="141F02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1634" w:type="dxa"/>
                  <w:vMerge w:val="continue"/>
                  <w:tcBorders>
                    <w:top w:val="nil"/>
                    <w:left w:val="single" w:color="auto" w:sz="4" w:space="0"/>
                    <w:bottom w:val="single" w:color="auto" w:sz="4" w:space="0"/>
                    <w:right w:val="single" w:color="auto" w:sz="4" w:space="0"/>
                  </w:tcBorders>
                  <w:vAlign w:val="center"/>
                </w:tcPr>
                <w:p w14:paraId="4783B6A5">
                  <w:pPr>
                    <w:keepNext w:val="0"/>
                    <w:keepLines w:val="0"/>
                    <w:suppressLineNumbers w:val="0"/>
                    <w:spacing w:before="0" w:beforeAutospacing="0" w:after="0" w:afterAutospacing="0"/>
                    <w:ind w:left="0" w:right="0"/>
                    <w:rPr>
                      <w:rFonts w:hint="default" w:ascii="Times New Roman" w:hAnsi="Times New Roman" w:cs="Times New Roman"/>
                      <w:color w:val="auto"/>
                      <w:sz w:val="20"/>
                      <w:szCs w:val="20"/>
                    </w:rPr>
                  </w:pPr>
                </w:p>
              </w:tc>
              <w:tc>
                <w:tcPr>
                  <w:tcW w:w="1188" w:type="dxa"/>
                  <w:tcBorders>
                    <w:top w:val="single" w:color="auto" w:sz="4" w:space="0"/>
                    <w:left w:val="single" w:color="auto" w:sz="4" w:space="0"/>
                    <w:bottom w:val="single" w:color="auto" w:sz="4" w:space="0"/>
                    <w:right w:val="single" w:color="auto" w:sz="4" w:space="0"/>
                  </w:tcBorders>
                  <w:vAlign w:val="center"/>
                </w:tcPr>
                <w:p w14:paraId="2302B5AE">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r>
                    <w:rPr>
                      <w:rFonts w:hint="eastAsia" w:ascii="宋体" w:hAnsi="宋体" w:eastAsia="宋体" w:cs="宋体"/>
                      <w:color w:val="auto"/>
                      <w:szCs w:val="21"/>
                      <w:lang w:bidi="ar"/>
                    </w:rPr>
                    <w:t>排放浓度</w:t>
                  </w:r>
                </w:p>
              </w:tc>
              <w:tc>
                <w:tcPr>
                  <w:tcW w:w="936" w:type="dxa"/>
                  <w:tcBorders>
                    <w:top w:val="single" w:color="auto" w:sz="4" w:space="0"/>
                    <w:left w:val="single" w:color="auto" w:sz="4" w:space="0"/>
                    <w:bottom w:val="single" w:color="auto" w:sz="4" w:space="0"/>
                    <w:right w:val="single" w:color="auto" w:sz="4" w:space="0"/>
                  </w:tcBorders>
                  <w:vAlign w:val="center"/>
                </w:tcPr>
                <w:p w14:paraId="3A00909B">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lang w:bidi="ar"/>
                    </w:rPr>
                    <w:t>mg/m³</w:t>
                  </w:r>
                </w:p>
              </w:tc>
              <w:tc>
                <w:tcPr>
                  <w:tcW w:w="1778" w:type="dxa"/>
                  <w:tcBorders>
                    <w:top w:val="single" w:color="auto" w:sz="4" w:space="0"/>
                    <w:left w:val="single" w:color="auto" w:sz="4" w:space="0"/>
                    <w:bottom w:val="single" w:color="auto" w:sz="4" w:space="0"/>
                    <w:right w:val="single" w:color="auto" w:sz="4" w:space="0"/>
                  </w:tcBorders>
                  <w:vAlign w:val="center"/>
                </w:tcPr>
                <w:p w14:paraId="42B84D38">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lang w:bidi="ar"/>
                    </w:rPr>
                    <w:t>1.19</w:t>
                  </w:r>
                </w:p>
              </w:tc>
              <w:tc>
                <w:tcPr>
                  <w:tcW w:w="1891" w:type="dxa"/>
                  <w:tcBorders>
                    <w:top w:val="single" w:color="auto" w:sz="4" w:space="0"/>
                    <w:left w:val="single" w:color="auto" w:sz="4" w:space="0"/>
                    <w:bottom w:val="single" w:color="auto" w:sz="4" w:space="0"/>
                    <w:right w:val="single" w:color="auto" w:sz="4" w:space="0"/>
                  </w:tcBorders>
                  <w:vAlign w:val="center"/>
                </w:tcPr>
                <w:p w14:paraId="33773F0D">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lang w:bidi="ar"/>
                    </w:rPr>
                    <w:t>1.19</w:t>
                  </w:r>
                </w:p>
              </w:tc>
              <w:tc>
                <w:tcPr>
                  <w:tcW w:w="1895" w:type="dxa"/>
                  <w:tcBorders>
                    <w:top w:val="single" w:color="auto" w:sz="4" w:space="0"/>
                    <w:left w:val="single" w:color="auto" w:sz="4" w:space="0"/>
                    <w:bottom w:val="single" w:color="auto" w:sz="4" w:space="0"/>
                    <w:right w:val="single" w:color="auto" w:sz="4" w:space="0"/>
                  </w:tcBorders>
                  <w:vAlign w:val="center"/>
                </w:tcPr>
                <w:p w14:paraId="00BAAA2C">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lang w:bidi="ar"/>
                    </w:rPr>
                    <w:t>1.22</w:t>
                  </w:r>
                </w:p>
              </w:tc>
            </w:tr>
            <w:tr w14:paraId="317B52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1634" w:type="dxa"/>
                  <w:vMerge w:val="continue"/>
                  <w:tcBorders>
                    <w:top w:val="nil"/>
                    <w:left w:val="single" w:color="auto" w:sz="4" w:space="0"/>
                    <w:bottom w:val="single" w:color="auto" w:sz="4" w:space="0"/>
                    <w:right w:val="single" w:color="auto" w:sz="4" w:space="0"/>
                  </w:tcBorders>
                  <w:vAlign w:val="center"/>
                </w:tcPr>
                <w:p w14:paraId="04A7ECD0">
                  <w:pPr>
                    <w:keepNext w:val="0"/>
                    <w:keepLines w:val="0"/>
                    <w:suppressLineNumbers w:val="0"/>
                    <w:spacing w:before="0" w:beforeAutospacing="0" w:after="0" w:afterAutospacing="0"/>
                    <w:ind w:left="0" w:right="0"/>
                    <w:rPr>
                      <w:rFonts w:hint="default" w:ascii="Times New Roman" w:hAnsi="Times New Roman" w:cs="Times New Roman"/>
                      <w:color w:val="auto"/>
                      <w:sz w:val="20"/>
                      <w:szCs w:val="20"/>
                    </w:rPr>
                  </w:pPr>
                </w:p>
              </w:tc>
              <w:tc>
                <w:tcPr>
                  <w:tcW w:w="1188" w:type="dxa"/>
                  <w:tcBorders>
                    <w:top w:val="single" w:color="auto" w:sz="4" w:space="0"/>
                    <w:left w:val="single" w:color="auto" w:sz="4" w:space="0"/>
                    <w:bottom w:val="single" w:color="auto" w:sz="4" w:space="0"/>
                    <w:right w:val="single" w:color="auto" w:sz="4" w:space="0"/>
                  </w:tcBorders>
                  <w:vAlign w:val="center"/>
                </w:tcPr>
                <w:p w14:paraId="3934A651">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r>
                    <w:rPr>
                      <w:rFonts w:hint="eastAsia" w:ascii="宋体" w:hAnsi="宋体" w:eastAsia="宋体" w:cs="宋体"/>
                      <w:color w:val="auto"/>
                      <w:szCs w:val="21"/>
                      <w:lang w:bidi="ar"/>
                    </w:rPr>
                    <w:t>排放速率</w:t>
                  </w:r>
                </w:p>
              </w:tc>
              <w:tc>
                <w:tcPr>
                  <w:tcW w:w="936" w:type="dxa"/>
                  <w:tcBorders>
                    <w:top w:val="single" w:color="auto" w:sz="4" w:space="0"/>
                    <w:left w:val="single" w:color="auto" w:sz="4" w:space="0"/>
                    <w:bottom w:val="single" w:color="auto" w:sz="4" w:space="0"/>
                    <w:right w:val="single" w:color="auto" w:sz="4" w:space="0"/>
                  </w:tcBorders>
                  <w:vAlign w:val="center"/>
                </w:tcPr>
                <w:p w14:paraId="33DD3CD8">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lang w:bidi="ar"/>
                    </w:rPr>
                    <w:t>kg/h</w:t>
                  </w:r>
                </w:p>
              </w:tc>
              <w:tc>
                <w:tcPr>
                  <w:tcW w:w="1778" w:type="dxa"/>
                  <w:tcBorders>
                    <w:top w:val="single" w:color="auto" w:sz="4" w:space="0"/>
                    <w:left w:val="single" w:color="auto" w:sz="4" w:space="0"/>
                    <w:bottom w:val="single" w:color="auto" w:sz="4" w:space="0"/>
                    <w:right w:val="single" w:color="auto" w:sz="4" w:space="0"/>
                  </w:tcBorders>
                  <w:vAlign w:val="center"/>
                </w:tcPr>
                <w:p w14:paraId="4973EA4F">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lang w:bidi="ar"/>
                    </w:rPr>
                    <w:t>4.56×10</w:t>
                  </w:r>
                  <w:r>
                    <w:rPr>
                      <w:rFonts w:hint="default" w:ascii="Times New Roman" w:hAnsi="Times New Roman" w:eastAsia="宋体" w:cs="Times New Roman"/>
                      <w:color w:val="auto"/>
                      <w:szCs w:val="21"/>
                      <w:vertAlign w:val="superscript"/>
                      <w:lang w:bidi="ar"/>
                    </w:rPr>
                    <w:t>-</w:t>
                  </w:r>
                  <w:r>
                    <w:rPr>
                      <w:rFonts w:hint="default" w:ascii="Times New Roman" w:hAnsi="Times New Roman" w:eastAsia="宋体" w:cs="Times New Roman"/>
                      <w:color w:val="auto"/>
                      <w:szCs w:val="21"/>
                      <w:lang w:bidi="ar"/>
                    </w:rPr>
                    <w:t>²</w:t>
                  </w:r>
                </w:p>
              </w:tc>
              <w:tc>
                <w:tcPr>
                  <w:tcW w:w="1891" w:type="dxa"/>
                  <w:tcBorders>
                    <w:top w:val="single" w:color="auto" w:sz="4" w:space="0"/>
                    <w:left w:val="single" w:color="auto" w:sz="4" w:space="0"/>
                    <w:bottom w:val="single" w:color="auto" w:sz="4" w:space="0"/>
                    <w:right w:val="single" w:color="auto" w:sz="4" w:space="0"/>
                  </w:tcBorders>
                  <w:vAlign w:val="center"/>
                </w:tcPr>
                <w:p w14:paraId="7EF0A93E">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lang w:bidi="ar"/>
                    </w:rPr>
                    <w:t>4.56×10</w:t>
                  </w:r>
                  <w:r>
                    <w:rPr>
                      <w:rFonts w:hint="default" w:ascii="Times New Roman" w:hAnsi="Times New Roman" w:eastAsia="宋体" w:cs="Times New Roman"/>
                      <w:color w:val="auto"/>
                      <w:szCs w:val="21"/>
                      <w:vertAlign w:val="superscript"/>
                      <w:lang w:bidi="ar"/>
                    </w:rPr>
                    <w:t>-</w:t>
                  </w:r>
                  <w:r>
                    <w:rPr>
                      <w:rFonts w:hint="default" w:ascii="Times New Roman" w:hAnsi="Times New Roman" w:eastAsia="宋体" w:cs="Times New Roman"/>
                      <w:color w:val="auto"/>
                      <w:szCs w:val="21"/>
                      <w:lang w:bidi="ar"/>
                    </w:rPr>
                    <w:t>²</w:t>
                  </w:r>
                </w:p>
              </w:tc>
              <w:tc>
                <w:tcPr>
                  <w:tcW w:w="1895" w:type="dxa"/>
                  <w:tcBorders>
                    <w:top w:val="single" w:color="auto" w:sz="4" w:space="0"/>
                    <w:left w:val="single" w:color="auto" w:sz="4" w:space="0"/>
                    <w:bottom w:val="single" w:color="auto" w:sz="4" w:space="0"/>
                    <w:right w:val="single" w:color="auto" w:sz="4" w:space="0"/>
                  </w:tcBorders>
                  <w:vAlign w:val="center"/>
                </w:tcPr>
                <w:p w14:paraId="7199B9D7">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lang w:bidi="ar"/>
                    </w:rPr>
                    <w:t>4.72×10</w:t>
                  </w:r>
                  <w:r>
                    <w:rPr>
                      <w:rFonts w:hint="default" w:ascii="Times New Roman" w:hAnsi="Times New Roman" w:eastAsia="宋体" w:cs="Times New Roman"/>
                      <w:color w:val="auto"/>
                      <w:szCs w:val="21"/>
                      <w:vertAlign w:val="superscript"/>
                      <w:lang w:bidi="ar"/>
                    </w:rPr>
                    <w:t>-</w:t>
                  </w:r>
                  <w:r>
                    <w:rPr>
                      <w:rFonts w:hint="default" w:ascii="Times New Roman" w:hAnsi="Times New Roman" w:eastAsia="宋体" w:cs="Times New Roman"/>
                      <w:color w:val="auto"/>
                      <w:szCs w:val="21"/>
                      <w:lang w:bidi="ar"/>
                    </w:rPr>
                    <w:t>²</w:t>
                  </w:r>
                </w:p>
              </w:tc>
            </w:tr>
            <w:tr w14:paraId="13D281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1634" w:type="dxa"/>
                  <w:vMerge w:val="restart"/>
                  <w:tcBorders>
                    <w:top w:val="nil"/>
                    <w:left w:val="single" w:color="auto" w:sz="4" w:space="0"/>
                    <w:bottom w:val="single" w:color="auto" w:sz="4" w:space="0"/>
                    <w:right w:val="single" w:color="auto" w:sz="4" w:space="0"/>
                  </w:tcBorders>
                  <w:vAlign w:val="center"/>
                </w:tcPr>
                <w:p w14:paraId="63296EF8">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r>
                    <w:rPr>
                      <w:rFonts w:hint="eastAsia" w:ascii="宋体" w:hAnsi="宋体" w:eastAsia="宋体" w:cs="宋体"/>
                      <w:color w:val="auto"/>
                      <w:szCs w:val="21"/>
                      <w:lang w:bidi="ar"/>
                    </w:rPr>
                    <w:t>臭气浓度</w:t>
                  </w:r>
                </w:p>
              </w:tc>
              <w:tc>
                <w:tcPr>
                  <w:tcW w:w="1188" w:type="dxa"/>
                  <w:tcBorders>
                    <w:top w:val="single" w:color="auto" w:sz="4" w:space="0"/>
                    <w:left w:val="single" w:color="auto" w:sz="4" w:space="0"/>
                    <w:bottom w:val="single" w:color="auto" w:sz="4" w:space="0"/>
                    <w:right w:val="single" w:color="auto" w:sz="4" w:space="0"/>
                  </w:tcBorders>
                  <w:vAlign w:val="center"/>
                </w:tcPr>
                <w:p w14:paraId="4792F942">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r>
                    <w:rPr>
                      <w:rFonts w:hint="eastAsia" w:ascii="宋体" w:hAnsi="宋体" w:eastAsia="宋体" w:cs="宋体"/>
                      <w:color w:val="auto"/>
                      <w:szCs w:val="21"/>
                      <w:lang w:bidi="ar"/>
                    </w:rPr>
                    <w:t>样品编号</w:t>
                  </w:r>
                </w:p>
              </w:tc>
              <w:tc>
                <w:tcPr>
                  <w:tcW w:w="936" w:type="dxa"/>
                  <w:tcBorders>
                    <w:top w:val="single" w:color="auto" w:sz="4" w:space="0"/>
                    <w:left w:val="single" w:color="auto" w:sz="4" w:space="0"/>
                    <w:bottom w:val="single" w:color="auto" w:sz="4" w:space="0"/>
                    <w:right w:val="single" w:color="auto" w:sz="4" w:space="0"/>
                  </w:tcBorders>
                  <w:vAlign w:val="center"/>
                </w:tcPr>
                <w:p w14:paraId="6C7138A8">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lang w:bidi="ar"/>
                    </w:rPr>
                    <w:t>/</w:t>
                  </w:r>
                </w:p>
              </w:tc>
              <w:tc>
                <w:tcPr>
                  <w:tcW w:w="1778" w:type="dxa"/>
                  <w:tcBorders>
                    <w:top w:val="single" w:color="auto" w:sz="4" w:space="0"/>
                    <w:left w:val="single" w:color="auto" w:sz="4" w:space="0"/>
                    <w:bottom w:val="single" w:color="auto" w:sz="4" w:space="0"/>
                    <w:right w:val="single" w:color="auto" w:sz="4" w:space="0"/>
                  </w:tcBorders>
                  <w:vAlign w:val="center"/>
                </w:tcPr>
                <w:p w14:paraId="4E978382">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r>
                    <w:rPr>
                      <w:rFonts w:hint="eastAsia" w:ascii="宋体" w:hAnsi="宋体" w:eastAsia="宋体" w:cs="宋体"/>
                      <w:color w:val="auto"/>
                      <w:szCs w:val="21"/>
                      <w:lang w:bidi="ar"/>
                    </w:rPr>
                    <w:t>气</w:t>
                  </w:r>
                  <w:r>
                    <w:rPr>
                      <w:rFonts w:hint="default" w:ascii="Times New Roman" w:hAnsi="Times New Roman" w:eastAsia="宋体" w:cs="Times New Roman"/>
                      <w:color w:val="auto"/>
                      <w:szCs w:val="21"/>
                      <w:lang w:bidi="ar"/>
                    </w:rPr>
                    <w:t>251121133</w:t>
                  </w:r>
                </w:p>
              </w:tc>
              <w:tc>
                <w:tcPr>
                  <w:tcW w:w="1891" w:type="dxa"/>
                  <w:tcBorders>
                    <w:top w:val="single" w:color="auto" w:sz="4" w:space="0"/>
                    <w:left w:val="single" w:color="auto" w:sz="4" w:space="0"/>
                    <w:bottom w:val="single" w:color="auto" w:sz="4" w:space="0"/>
                    <w:right w:val="single" w:color="auto" w:sz="4" w:space="0"/>
                  </w:tcBorders>
                  <w:vAlign w:val="center"/>
                </w:tcPr>
                <w:p w14:paraId="259D0372">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r>
                    <w:rPr>
                      <w:rFonts w:hint="eastAsia" w:ascii="宋体" w:hAnsi="宋体" w:eastAsia="宋体" w:cs="宋体"/>
                      <w:color w:val="auto"/>
                      <w:szCs w:val="21"/>
                      <w:lang w:bidi="ar"/>
                    </w:rPr>
                    <w:t>气</w:t>
                  </w:r>
                  <w:r>
                    <w:rPr>
                      <w:rFonts w:hint="default" w:ascii="Times New Roman" w:hAnsi="Times New Roman" w:eastAsia="宋体" w:cs="Times New Roman"/>
                      <w:color w:val="auto"/>
                      <w:szCs w:val="21"/>
                      <w:lang w:bidi="ar"/>
                    </w:rPr>
                    <w:t>251121134</w:t>
                  </w:r>
                </w:p>
              </w:tc>
              <w:tc>
                <w:tcPr>
                  <w:tcW w:w="1895" w:type="dxa"/>
                  <w:tcBorders>
                    <w:top w:val="single" w:color="auto" w:sz="4" w:space="0"/>
                    <w:left w:val="single" w:color="auto" w:sz="4" w:space="0"/>
                    <w:bottom w:val="single" w:color="auto" w:sz="4" w:space="0"/>
                    <w:right w:val="single" w:color="auto" w:sz="4" w:space="0"/>
                  </w:tcBorders>
                  <w:vAlign w:val="center"/>
                </w:tcPr>
                <w:p w14:paraId="1399F180">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r>
                    <w:rPr>
                      <w:rFonts w:hint="eastAsia" w:ascii="宋体" w:hAnsi="宋体" w:eastAsia="宋体" w:cs="宋体"/>
                      <w:color w:val="auto"/>
                      <w:szCs w:val="21"/>
                      <w:lang w:bidi="ar"/>
                    </w:rPr>
                    <w:t>气</w:t>
                  </w:r>
                  <w:r>
                    <w:rPr>
                      <w:rFonts w:hint="default" w:ascii="Times New Roman" w:hAnsi="Times New Roman" w:eastAsia="宋体" w:cs="Times New Roman"/>
                      <w:color w:val="auto"/>
                      <w:szCs w:val="21"/>
                      <w:lang w:bidi="ar"/>
                    </w:rPr>
                    <w:t>251121135</w:t>
                  </w:r>
                </w:p>
              </w:tc>
            </w:tr>
            <w:tr w14:paraId="548A4F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1634" w:type="dxa"/>
                  <w:vMerge w:val="continue"/>
                  <w:tcBorders>
                    <w:top w:val="nil"/>
                    <w:left w:val="single" w:color="auto" w:sz="4" w:space="0"/>
                    <w:bottom w:val="single" w:color="auto" w:sz="4" w:space="0"/>
                    <w:right w:val="single" w:color="auto" w:sz="4" w:space="0"/>
                  </w:tcBorders>
                  <w:vAlign w:val="center"/>
                </w:tcPr>
                <w:p w14:paraId="0DAFDF33">
                  <w:pPr>
                    <w:keepNext w:val="0"/>
                    <w:keepLines w:val="0"/>
                    <w:suppressLineNumbers w:val="0"/>
                    <w:spacing w:before="0" w:beforeAutospacing="0" w:after="0" w:afterAutospacing="0"/>
                    <w:ind w:left="0" w:right="0"/>
                    <w:rPr>
                      <w:rFonts w:hint="default" w:ascii="Times New Roman" w:hAnsi="Times New Roman" w:cs="Times New Roman"/>
                      <w:color w:val="auto"/>
                      <w:sz w:val="20"/>
                      <w:szCs w:val="20"/>
                    </w:rPr>
                  </w:pPr>
                </w:p>
              </w:tc>
              <w:tc>
                <w:tcPr>
                  <w:tcW w:w="1188" w:type="dxa"/>
                  <w:tcBorders>
                    <w:top w:val="single" w:color="auto" w:sz="4" w:space="0"/>
                    <w:left w:val="single" w:color="auto" w:sz="4" w:space="0"/>
                    <w:bottom w:val="single" w:color="auto" w:sz="4" w:space="0"/>
                    <w:right w:val="single" w:color="auto" w:sz="4" w:space="0"/>
                  </w:tcBorders>
                  <w:vAlign w:val="center"/>
                </w:tcPr>
                <w:p w14:paraId="2F125AB4">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r>
                    <w:rPr>
                      <w:rFonts w:hint="eastAsia" w:ascii="宋体" w:hAnsi="宋体" w:eastAsia="宋体" w:cs="宋体"/>
                      <w:color w:val="auto"/>
                      <w:szCs w:val="21"/>
                      <w:lang w:bidi="ar"/>
                    </w:rPr>
                    <w:t>排放浓度</w:t>
                  </w:r>
                </w:p>
              </w:tc>
              <w:tc>
                <w:tcPr>
                  <w:tcW w:w="936" w:type="dxa"/>
                  <w:tcBorders>
                    <w:top w:val="single" w:color="auto" w:sz="4" w:space="0"/>
                    <w:left w:val="single" w:color="auto" w:sz="4" w:space="0"/>
                    <w:bottom w:val="single" w:color="auto" w:sz="4" w:space="0"/>
                    <w:right w:val="single" w:color="auto" w:sz="4" w:space="0"/>
                  </w:tcBorders>
                  <w:vAlign w:val="center"/>
                </w:tcPr>
                <w:p w14:paraId="6E2E878D">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r>
                    <w:rPr>
                      <w:rFonts w:hint="eastAsia" w:ascii="宋体" w:hAnsi="宋体" w:eastAsia="宋体" w:cs="宋体"/>
                      <w:color w:val="auto"/>
                      <w:szCs w:val="21"/>
                      <w:lang w:bidi="ar"/>
                    </w:rPr>
                    <w:t>无量纲</w:t>
                  </w:r>
                </w:p>
              </w:tc>
              <w:tc>
                <w:tcPr>
                  <w:tcW w:w="1778" w:type="dxa"/>
                  <w:tcBorders>
                    <w:top w:val="single" w:color="auto" w:sz="4" w:space="0"/>
                    <w:left w:val="single" w:color="auto" w:sz="4" w:space="0"/>
                    <w:bottom w:val="single" w:color="auto" w:sz="4" w:space="0"/>
                    <w:right w:val="single" w:color="auto" w:sz="4" w:space="0"/>
                  </w:tcBorders>
                  <w:vAlign w:val="center"/>
                </w:tcPr>
                <w:p w14:paraId="0A13161A">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lang w:bidi="ar"/>
                    </w:rPr>
                    <w:t>229</w:t>
                  </w:r>
                </w:p>
              </w:tc>
              <w:tc>
                <w:tcPr>
                  <w:tcW w:w="1891" w:type="dxa"/>
                  <w:tcBorders>
                    <w:top w:val="single" w:color="auto" w:sz="4" w:space="0"/>
                    <w:left w:val="single" w:color="auto" w:sz="4" w:space="0"/>
                    <w:bottom w:val="single" w:color="auto" w:sz="4" w:space="0"/>
                    <w:right w:val="single" w:color="auto" w:sz="4" w:space="0"/>
                  </w:tcBorders>
                  <w:vAlign w:val="center"/>
                </w:tcPr>
                <w:p w14:paraId="194389E3">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lang w:bidi="ar"/>
                    </w:rPr>
                    <w:t>229</w:t>
                  </w:r>
                </w:p>
              </w:tc>
              <w:tc>
                <w:tcPr>
                  <w:tcW w:w="1895" w:type="dxa"/>
                  <w:tcBorders>
                    <w:top w:val="single" w:color="auto" w:sz="4" w:space="0"/>
                    <w:left w:val="single" w:color="auto" w:sz="4" w:space="0"/>
                    <w:bottom w:val="single" w:color="auto" w:sz="4" w:space="0"/>
                    <w:right w:val="single" w:color="auto" w:sz="4" w:space="0"/>
                  </w:tcBorders>
                  <w:vAlign w:val="center"/>
                </w:tcPr>
                <w:p w14:paraId="4F0D83E9">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lang w:bidi="ar"/>
                    </w:rPr>
                    <w:t>229</w:t>
                  </w:r>
                </w:p>
              </w:tc>
            </w:tr>
          </w:tbl>
          <w:p w14:paraId="590D0AED">
            <w:pPr>
              <w:keepNext w:val="0"/>
              <w:keepLines w:val="0"/>
              <w:suppressLineNumbers w:val="0"/>
              <w:spacing w:before="0" w:beforeAutospacing="0" w:after="0" w:afterAutospacing="0"/>
              <w:ind w:left="0" w:right="0"/>
              <w:jc w:val="center"/>
              <w:rPr>
                <w:rFonts w:hint="default" w:ascii="Times New Roman" w:hAnsi="Times New Roman" w:eastAsia="宋体" w:cs="Times New Roman"/>
                <w:b/>
                <w:bCs/>
                <w:color w:val="auto"/>
                <w:szCs w:val="21"/>
              </w:rPr>
            </w:pPr>
            <w:r>
              <w:rPr>
                <w:rFonts w:hint="eastAsia" w:ascii="宋体" w:hAnsi="宋体" w:eastAsia="宋体" w:cs="宋体"/>
                <w:b/>
                <w:bCs/>
                <w:color w:val="auto"/>
                <w:szCs w:val="21"/>
                <w:lang w:bidi="ar"/>
              </w:rPr>
              <w:t>表</w:t>
            </w:r>
            <w:r>
              <w:rPr>
                <w:rFonts w:hint="eastAsia" w:ascii="Times New Roman" w:hAnsi="Times New Roman" w:eastAsia="宋体" w:cs="Times New Roman"/>
                <w:b/>
                <w:bCs/>
                <w:color w:val="auto"/>
                <w:szCs w:val="21"/>
                <w:lang w:bidi="ar"/>
              </w:rPr>
              <w:t>2-</w:t>
            </w:r>
            <w:r>
              <w:rPr>
                <w:rFonts w:hint="eastAsia" w:ascii="Times New Roman" w:hAnsi="Times New Roman" w:eastAsia="宋体" w:cs="Times New Roman"/>
                <w:b/>
                <w:bCs/>
                <w:color w:val="auto"/>
                <w:szCs w:val="21"/>
                <w:lang w:val="en-US" w:eastAsia="zh-CN" w:bidi="ar"/>
              </w:rPr>
              <w:t>22</w:t>
            </w:r>
            <w:r>
              <w:rPr>
                <w:rFonts w:hint="default" w:ascii="Times New Roman" w:hAnsi="Times New Roman" w:eastAsia="宋体" w:cs="Times New Roman"/>
                <w:b/>
                <w:bCs/>
                <w:color w:val="auto"/>
                <w:szCs w:val="21"/>
                <w:lang w:bidi="ar"/>
              </w:rPr>
              <w:t xml:space="preserve">  </w:t>
            </w:r>
            <w:r>
              <w:rPr>
                <w:rFonts w:hint="eastAsia" w:ascii="宋体" w:hAnsi="宋体" w:eastAsia="宋体" w:cs="宋体"/>
                <w:b/>
                <w:bCs/>
                <w:color w:val="auto"/>
                <w:szCs w:val="21"/>
                <w:lang w:bidi="ar"/>
              </w:rPr>
              <w:t>背胶废气排气筒</w:t>
            </w:r>
            <w:r>
              <w:rPr>
                <w:rFonts w:hint="default" w:ascii="Times New Roman" w:hAnsi="Times New Roman" w:eastAsia="宋体" w:cs="Times New Roman"/>
                <w:b/>
                <w:bCs/>
                <w:color w:val="auto"/>
                <w:szCs w:val="21"/>
                <w:lang w:bidi="ar"/>
              </w:rPr>
              <w:t>DA004</w:t>
            </w:r>
            <w:r>
              <w:rPr>
                <w:rFonts w:hint="eastAsia" w:ascii="宋体" w:hAnsi="宋体" w:eastAsia="宋体" w:cs="宋体"/>
                <w:b/>
                <w:bCs/>
                <w:color w:val="auto"/>
                <w:szCs w:val="21"/>
                <w:lang w:bidi="ar"/>
              </w:rPr>
              <w:t>进出口检测结果表</w:t>
            </w:r>
          </w:p>
          <w:tbl>
            <w:tblPr>
              <w:tblStyle w:val="22"/>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381"/>
              <w:gridCol w:w="50"/>
              <w:gridCol w:w="1050"/>
              <w:gridCol w:w="834"/>
              <w:gridCol w:w="1552"/>
              <w:gridCol w:w="1651"/>
              <w:gridCol w:w="1657"/>
            </w:tblGrid>
            <w:tr w14:paraId="2EAA83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9322" w:type="dxa"/>
                  <w:gridSpan w:val="7"/>
                  <w:tcBorders>
                    <w:top w:val="single" w:color="auto" w:sz="4" w:space="0"/>
                    <w:left w:val="single" w:color="auto" w:sz="4" w:space="0"/>
                    <w:bottom w:val="single" w:color="auto" w:sz="4" w:space="0"/>
                    <w:right w:val="single" w:color="auto" w:sz="4" w:space="0"/>
                  </w:tcBorders>
                  <w:vAlign w:val="center"/>
                </w:tcPr>
                <w:p w14:paraId="6469172A">
                  <w:pPr>
                    <w:keepNext w:val="0"/>
                    <w:keepLines w:val="0"/>
                    <w:suppressLineNumbers w:val="0"/>
                    <w:spacing w:before="0" w:beforeAutospacing="0" w:after="0" w:afterAutospacing="0"/>
                    <w:ind w:left="0" w:right="0"/>
                    <w:jc w:val="left"/>
                    <w:rPr>
                      <w:rFonts w:hint="default" w:ascii="Times New Roman" w:hAnsi="Times New Roman" w:eastAsia="宋体" w:cs="Times New Roman"/>
                      <w:color w:val="auto"/>
                      <w:szCs w:val="21"/>
                    </w:rPr>
                  </w:pPr>
                  <w:r>
                    <w:rPr>
                      <w:rFonts w:hint="eastAsia" w:ascii="宋体" w:hAnsi="宋体" w:eastAsia="宋体" w:cs="宋体"/>
                      <w:color w:val="auto"/>
                      <w:szCs w:val="21"/>
                      <w:lang w:bidi="ar"/>
                    </w:rPr>
                    <w:t>采样点位：</w:t>
                  </w:r>
                  <w:r>
                    <w:rPr>
                      <w:rFonts w:hint="default" w:ascii="Times New Roman" w:hAnsi="Times New Roman" w:eastAsia="宋体" w:cs="Times New Roman"/>
                      <w:color w:val="auto"/>
                      <w:szCs w:val="21"/>
                      <w:u w:val="single"/>
                      <w:lang w:bidi="ar"/>
                    </w:rPr>
                    <w:t xml:space="preserve">   DA004</w:t>
                  </w:r>
                  <w:r>
                    <w:rPr>
                      <w:rFonts w:hint="eastAsia" w:ascii="宋体" w:hAnsi="宋体" w:eastAsia="宋体" w:cs="宋体"/>
                      <w:color w:val="auto"/>
                      <w:szCs w:val="21"/>
                      <w:u w:val="single"/>
                      <w:lang w:bidi="ar"/>
                    </w:rPr>
                    <w:t xml:space="preserve">背胶废气处理设施进口   </w:t>
                  </w:r>
                  <w:r>
                    <w:rPr>
                      <w:rFonts w:hint="eastAsia" w:ascii="宋体" w:hAnsi="宋体" w:eastAsia="宋体" w:cs="宋体"/>
                      <w:color w:val="auto"/>
                      <w:szCs w:val="21"/>
                      <w:lang w:bidi="ar"/>
                    </w:rPr>
                    <w:t>采样日期：</w:t>
                  </w:r>
                  <w:r>
                    <w:rPr>
                      <w:rFonts w:hint="default" w:ascii="Times New Roman" w:hAnsi="Times New Roman" w:eastAsia="宋体" w:cs="Times New Roman"/>
                      <w:color w:val="auto"/>
                      <w:szCs w:val="21"/>
                      <w:u w:val="single"/>
                      <w:lang w:bidi="ar"/>
                    </w:rPr>
                    <w:t xml:space="preserve">   2025.11.19   </w:t>
                  </w:r>
                </w:p>
              </w:tc>
            </w:tr>
            <w:tr w14:paraId="7F7A2B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2822" w:type="dxa"/>
                  <w:gridSpan w:val="3"/>
                  <w:tcBorders>
                    <w:top w:val="single" w:color="auto" w:sz="4" w:space="0"/>
                    <w:left w:val="single" w:color="auto" w:sz="4" w:space="0"/>
                    <w:bottom w:val="single" w:color="auto" w:sz="4" w:space="0"/>
                    <w:right w:val="single" w:color="auto" w:sz="4" w:space="0"/>
                  </w:tcBorders>
                  <w:vAlign w:val="center"/>
                </w:tcPr>
                <w:p w14:paraId="5E8DEA6A">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r>
                    <w:rPr>
                      <w:rFonts w:hint="eastAsia" w:ascii="宋体" w:hAnsi="宋体" w:eastAsia="宋体" w:cs="宋体"/>
                      <w:color w:val="auto"/>
                      <w:szCs w:val="21"/>
                      <w:lang w:bidi="ar"/>
                    </w:rPr>
                    <w:t>检测项目</w:t>
                  </w:r>
                </w:p>
              </w:tc>
              <w:tc>
                <w:tcPr>
                  <w:tcW w:w="936" w:type="dxa"/>
                  <w:tcBorders>
                    <w:top w:val="single" w:color="auto" w:sz="4" w:space="0"/>
                    <w:left w:val="single" w:color="auto" w:sz="4" w:space="0"/>
                    <w:bottom w:val="single" w:color="auto" w:sz="4" w:space="0"/>
                    <w:right w:val="single" w:color="auto" w:sz="4" w:space="0"/>
                  </w:tcBorders>
                  <w:vAlign w:val="center"/>
                </w:tcPr>
                <w:p w14:paraId="0566DA26">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r>
                    <w:rPr>
                      <w:rFonts w:hint="eastAsia" w:ascii="宋体" w:hAnsi="宋体" w:eastAsia="宋体" w:cs="宋体"/>
                      <w:color w:val="auto"/>
                      <w:szCs w:val="21"/>
                      <w:lang w:bidi="ar"/>
                    </w:rPr>
                    <w:t>单位</w:t>
                  </w:r>
                </w:p>
              </w:tc>
              <w:tc>
                <w:tcPr>
                  <w:tcW w:w="5564" w:type="dxa"/>
                  <w:gridSpan w:val="3"/>
                  <w:tcBorders>
                    <w:top w:val="single" w:color="auto" w:sz="4" w:space="0"/>
                    <w:left w:val="single" w:color="auto" w:sz="4" w:space="0"/>
                    <w:bottom w:val="single" w:color="auto" w:sz="4" w:space="0"/>
                    <w:right w:val="single" w:color="auto" w:sz="4" w:space="0"/>
                  </w:tcBorders>
                  <w:vAlign w:val="center"/>
                </w:tcPr>
                <w:p w14:paraId="55CB9E06">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r>
                    <w:rPr>
                      <w:rFonts w:hint="eastAsia" w:ascii="宋体" w:hAnsi="宋体" w:eastAsia="宋体" w:cs="宋体"/>
                      <w:color w:val="auto"/>
                      <w:szCs w:val="21"/>
                      <w:lang w:bidi="ar"/>
                    </w:rPr>
                    <w:t>检测结果</w:t>
                  </w:r>
                </w:p>
              </w:tc>
            </w:tr>
            <w:tr w14:paraId="4D7670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2822" w:type="dxa"/>
                  <w:gridSpan w:val="3"/>
                  <w:tcBorders>
                    <w:top w:val="single" w:color="auto" w:sz="4" w:space="0"/>
                    <w:left w:val="single" w:color="auto" w:sz="4" w:space="0"/>
                    <w:bottom w:val="single" w:color="auto" w:sz="4" w:space="0"/>
                    <w:right w:val="single" w:color="auto" w:sz="4" w:space="0"/>
                  </w:tcBorders>
                  <w:vAlign w:val="center"/>
                </w:tcPr>
                <w:p w14:paraId="0CD7B691">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r>
                    <w:rPr>
                      <w:rFonts w:hint="eastAsia" w:ascii="宋体" w:hAnsi="宋体" w:eastAsia="宋体" w:cs="宋体"/>
                      <w:color w:val="auto"/>
                      <w:szCs w:val="21"/>
                      <w:lang w:bidi="ar"/>
                    </w:rPr>
                    <w:t>检测管道截面积</w:t>
                  </w:r>
                </w:p>
              </w:tc>
              <w:tc>
                <w:tcPr>
                  <w:tcW w:w="936" w:type="dxa"/>
                  <w:tcBorders>
                    <w:top w:val="single" w:color="auto" w:sz="4" w:space="0"/>
                    <w:left w:val="single" w:color="auto" w:sz="4" w:space="0"/>
                    <w:bottom w:val="single" w:color="auto" w:sz="4" w:space="0"/>
                    <w:right w:val="single" w:color="auto" w:sz="4" w:space="0"/>
                  </w:tcBorders>
                  <w:vAlign w:val="center"/>
                </w:tcPr>
                <w:p w14:paraId="4A83A254">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lang w:bidi="ar"/>
                    </w:rPr>
                    <w:t>m²</w:t>
                  </w:r>
                </w:p>
              </w:tc>
              <w:tc>
                <w:tcPr>
                  <w:tcW w:w="1775" w:type="dxa"/>
                  <w:tcBorders>
                    <w:top w:val="single" w:color="auto" w:sz="4" w:space="0"/>
                    <w:left w:val="single" w:color="auto" w:sz="4" w:space="0"/>
                    <w:bottom w:val="single" w:color="auto" w:sz="4" w:space="0"/>
                    <w:right w:val="single" w:color="auto" w:sz="4" w:space="0"/>
                  </w:tcBorders>
                  <w:vAlign w:val="center"/>
                </w:tcPr>
                <w:p w14:paraId="36F75F8F">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lang w:bidi="ar"/>
                    </w:rPr>
                    <w:t>0.5027</w:t>
                  </w:r>
                </w:p>
              </w:tc>
              <w:tc>
                <w:tcPr>
                  <w:tcW w:w="1891" w:type="dxa"/>
                  <w:tcBorders>
                    <w:top w:val="single" w:color="auto" w:sz="4" w:space="0"/>
                    <w:left w:val="single" w:color="auto" w:sz="4" w:space="0"/>
                    <w:bottom w:val="single" w:color="auto" w:sz="4" w:space="0"/>
                    <w:right w:val="single" w:color="auto" w:sz="4" w:space="0"/>
                  </w:tcBorders>
                  <w:vAlign w:val="center"/>
                </w:tcPr>
                <w:p w14:paraId="4B19D222">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lang w:bidi="ar"/>
                    </w:rPr>
                    <w:t>0.5027</w:t>
                  </w:r>
                </w:p>
              </w:tc>
              <w:tc>
                <w:tcPr>
                  <w:tcW w:w="1898" w:type="dxa"/>
                  <w:tcBorders>
                    <w:top w:val="single" w:color="auto" w:sz="4" w:space="0"/>
                    <w:left w:val="single" w:color="auto" w:sz="4" w:space="0"/>
                    <w:bottom w:val="single" w:color="auto" w:sz="4" w:space="0"/>
                    <w:right w:val="single" w:color="auto" w:sz="4" w:space="0"/>
                  </w:tcBorders>
                  <w:vAlign w:val="center"/>
                </w:tcPr>
                <w:p w14:paraId="389F2C62">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lang w:bidi="ar"/>
                    </w:rPr>
                    <w:t>0.5027</w:t>
                  </w:r>
                </w:p>
              </w:tc>
            </w:tr>
            <w:tr w14:paraId="3627B5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2822" w:type="dxa"/>
                  <w:gridSpan w:val="3"/>
                  <w:tcBorders>
                    <w:top w:val="single" w:color="auto" w:sz="4" w:space="0"/>
                    <w:left w:val="single" w:color="auto" w:sz="4" w:space="0"/>
                    <w:bottom w:val="single" w:color="auto" w:sz="4" w:space="0"/>
                    <w:right w:val="single" w:color="auto" w:sz="4" w:space="0"/>
                  </w:tcBorders>
                  <w:vAlign w:val="center"/>
                </w:tcPr>
                <w:p w14:paraId="53D0B56A">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r>
                    <w:rPr>
                      <w:rFonts w:hint="eastAsia" w:ascii="宋体" w:hAnsi="宋体" w:eastAsia="宋体" w:cs="宋体"/>
                      <w:color w:val="auto"/>
                      <w:szCs w:val="21"/>
                      <w:lang w:bidi="ar"/>
                    </w:rPr>
                    <w:t>烟气温度</w:t>
                  </w:r>
                </w:p>
              </w:tc>
              <w:tc>
                <w:tcPr>
                  <w:tcW w:w="936" w:type="dxa"/>
                  <w:tcBorders>
                    <w:top w:val="single" w:color="auto" w:sz="4" w:space="0"/>
                    <w:left w:val="single" w:color="auto" w:sz="4" w:space="0"/>
                    <w:bottom w:val="single" w:color="auto" w:sz="4" w:space="0"/>
                    <w:right w:val="single" w:color="auto" w:sz="4" w:space="0"/>
                  </w:tcBorders>
                  <w:vAlign w:val="center"/>
                </w:tcPr>
                <w:p w14:paraId="08CC95C7">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lang w:bidi="ar"/>
                    </w:rPr>
                    <w:t>℃</w:t>
                  </w:r>
                </w:p>
              </w:tc>
              <w:tc>
                <w:tcPr>
                  <w:tcW w:w="1775" w:type="dxa"/>
                  <w:tcBorders>
                    <w:top w:val="single" w:color="auto" w:sz="4" w:space="0"/>
                    <w:left w:val="single" w:color="auto" w:sz="4" w:space="0"/>
                    <w:bottom w:val="single" w:color="auto" w:sz="4" w:space="0"/>
                    <w:right w:val="single" w:color="auto" w:sz="4" w:space="0"/>
                  </w:tcBorders>
                  <w:vAlign w:val="center"/>
                </w:tcPr>
                <w:p w14:paraId="2B9AA6D8">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lang w:bidi="ar"/>
                    </w:rPr>
                    <w:t>18.7</w:t>
                  </w:r>
                </w:p>
              </w:tc>
              <w:tc>
                <w:tcPr>
                  <w:tcW w:w="1891" w:type="dxa"/>
                  <w:tcBorders>
                    <w:top w:val="single" w:color="auto" w:sz="4" w:space="0"/>
                    <w:left w:val="single" w:color="auto" w:sz="4" w:space="0"/>
                    <w:bottom w:val="single" w:color="auto" w:sz="4" w:space="0"/>
                    <w:right w:val="single" w:color="auto" w:sz="4" w:space="0"/>
                  </w:tcBorders>
                  <w:vAlign w:val="center"/>
                </w:tcPr>
                <w:p w14:paraId="66FF851B">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lang w:bidi="ar"/>
                    </w:rPr>
                    <w:t>18.7</w:t>
                  </w:r>
                </w:p>
              </w:tc>
              <w:tc>
                <w:tcPr>
                  <w:tcW w:w="1898" w:type="dxa"/>
                  <w:tcBorders>
                    <w:top w:val="single" w:color="auto" w:sz="4" w:space="0"/>
                    <w:left w:val="single" w:color="auto" w:sz="4" w:space="0"/>
                    <w:bottom w:val="single" w:color="auto" w:sz="4" w:space="0"/>
                    <w:right w:val="single" w:color="auto" w:sz="4" w:space="0"/>
                  </w:tcBorders>
                  <w:vAlign w:val="center"/>
                </w:tcPr>
                <w:p w14:paraId="73A25870">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lang w:bidi="ar"/>
                    </w:rPr>
                    <w:t>18.7</w:t>
                  </w:r>
                </w:p>
              </w:tc>
            </w:tr>
            <w:tr w14:paraId="416634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2822" w:type="dxa"/>
                  <w:gridSpan w:val="3"/>
                  <w:tcBorders>
                    <w:top w:val="single" w:color="auto" w:sz="4" w:space="0"/>
                    <w:left w:val="single" w:color="auto" w:sz="4" w:space="0"/>
                    <w:bottom w:val="single" w:color="auto" w:sz="4" w:space="0"/>
                    <w:right w:val="single" w:color="auto" w:sz="4" w:space="0"/>
                  </w:tcBorders>
                  <w:vAlign w:val="center"/>
                </w:tcPr>
                <w:p w14:paraId="2C708FFA">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r>
                    <w:rPr>
                      <w:rFonts w:hint="eastAsia" w:ascii="宋体" w:hAnsi="宋体" w:eastAsia="宋体" w:cs="宋体"/>
                      <w:color w:val="auto"/>
                      <w:szCs w:val="21"/>
                      <w:lang w:bidi="ar"/>
                    </w:rPr>
                    <w:t>烟气平均流速</w:t>
                  </w:r>
                </w:p>
              </w:tc>
              <w:tc>
                <w:tcPr>
                  <w:tcW w:w="936" w:type="dxa"/>
                  <w:tcBorders>
                    <w:top w:val="single" w:color="auto" w:sz="4" w:space="0"/>
                    <w:left w:val="single" w:color="auto" w:sz="4" w:space="0"/>
                    <w:bottom w:val="single" w:color="auto" w:sz="4" w:space="0"/>
                    <w:right w:val="single" w:color="auto" w:sz="4" w:space="0"/>
                  </w:tcBorders>
                  <w:vAlign w:val="center"/>
                </w:tcPr>
                <w:p w14:paraId="75502828">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lang w:bidi="ar"/>
                    </w:rPr>
                    <w:t>m/s</w:t>
                  </w:r>
                </w:p>
              </w:tc>
              <w:tc>
                <w:tcPr>
                  <w:tcW w:w="1775" w:type="dxa"/>
                  <w:tcBorders>
                    <w:top w:val="single" w:color="auto" w:sz="4" w:space="0"/>
                    <w:left w:val="single" w:color="auto" w:sz="4" w:space="0"/>
                    <w:bottom w:val="single" w:color="auto" w:sz="4" w:space="0"/>
                    <w:right w:val="single" w:color="auto" w:sz="4" w:space="0"/>
                  </w:tcBorders>
                  <w:vAlign w:val="center"/>
                </w:tcPr>
                <w:p w14:paraId="1F218B88">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lang w:bidi="ar"/>
                    </w:rPr>
                    <w:t>16.8</w:t>
                  </w:r>
                </w:p>
              </w:tc>
              <w:tc>
                <w:tcPr>
                  <w:tcW w:w="1891" w:type="dxa"/>
                  <w:tcBorders>
                    <w:top w:val="single" w:color="auto" w:sz="4" w:space="0"/>
                    <w:left w:val="single" w:color="auto" w:sz="4" w:space="0"/>
                    <w:bottom w:val="single" w:color="auto" w:sz="4" w:space="0"/>
                    <w:right w:val="single" w:color="auto" w:sz="4" w:space="0"/>
                  </w:tcBorders>
                  <w:vAlign w:val="center"/>
                </w:tcPr>
                <w:p w14:paraId="64F2A3C4">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lang w:bidi="ar"/>
                    </w:rPr>
                    <w:t>16.9</w:t>
                  </w:r>
                </w:p>
              </w:tc>
              <w:tc>
                <w:tcPr>
                  <w:tcW w:w="1898" w:type="dxa"/>
                  <w:tcBorders>
                    <w:top w:val="single" w:color="auto" w:sz="4" w:space="0"/>
                    <w:left w:val="single" w:color="auto" w:sz="4" w:space="0"/>
                    <w:bottom w:val="single" w:color="auto" w:sz="4" w:space="0"/>
                    <w:right w:val="single" w:color="auto" w:sz="4" w:space="0"/>
                  </w:tcBorders>
                  <w:vAlign w:val="center"/>
                </w:tcPr>
                <w:p w14:paraId="4B817B5B">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lang w:bidi="ar"/>
                    </w:rPr>
                    <w:t>16.9</w:t>
                  </w:r>
                </w:p>
              </w:tc>
            </w:tr>
            <w:tr w14:paraId="0BE0C2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2822" w:type="dxa"/>
                  <w:gridSpan w:val="3"/>
                  <w:tcBorders>
                    <w:top w:val="single" w:color="auto" w:sz="4" w:space="0"/>
                    <w:left w:val="single" w:color="auto" w:sz="4" w:space="0"/>
                    <w:bottom w:val="single" w:color="auto" w:sz="4" w:space="0"/>
                    <w:right w:val="single" w:color="auto" w:sz="4" w:space="0"/>
                  </w:tcBorders>
                  <w:vAlign w:val="center"/>
                </w:tcPr>
                <w:p w14:paraId="08EB1A01">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r>
                    <w:rPr>
                      <w:rFonts w:hint="eastAsia" w:ascii="宋体" w:hAnsi="宋体" w:eastAsia="宋体" w:cs="宋体"/>
                      <w:color w:val="auto"/>
                      <w:szCs w:val="21"/>
                      <w:lang w:bidi="ar"/>
                    </w:rPr>
                    <w:t>标态干烟气量</w:t>
                  </w:r>
                </w:p>
              </w:tc>
              <w:tc>
                <w:tcPr>
                  <w:tcW w:w="936" w:type="dxa"/>
                  <w:tcBorders>
                    <w:top w:val="single" w:color="auto" w:sz="4" w:space="0"/>
                    <w:left w:val="single" w:color="auto" w:sz="4" w:space="0"/>
                    <w:bottom w:val="single" w:color="auto" w:sz="4" w:space="0"/>
                    <w:right w:val="single" w:color="auto" w:sz="4" w:space="0"/>
                  </w:tcBorders>
                  <w:vAlign w:val="center"/>
                </w:tcPr>
                <w:p w14:paraId="3E51526F">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lang w:bidi="ar"/>
                    </w:rPr>
                    <w:t>m³/h</w:t>
                  </w:r>
                </w:p>
              </w:tc>
              <w:tc>
                <w:tcPr>
                  <w:tcW w:w="1775" w:type="dxa"/>
                  <w:tcBorders>
                    <w:top w:val="single" w:color="auto" w:sz="4" w:space="0"/>
                    <w:left w:val="single" w:color="auto" w:sz="4" w:space="0"/>
                    <w:bottom w:val="single" w:color="auto" w:sz="4" w:space="0"/>
                    <w:right w:val="single" w:color="auto" w:sz="4" w:space="0"/>
                  </w:tcBorders>
                  <w:vAlign w:val="center"/>
                </w:tcPr>
                <w:p w14:paraId="50D43D65">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lang w:bidi="ar"/>
                    </w:rPr>
                    <w:t>28512</w:t>
                  </w:r>
                </w:p>
              </w:tc>
              <w:tc>
                <w:tcPr>
                  <w:tcW w:w="1891" w:type="dxa"/>
                  <w:tcBorders>
                    <w:top w:val="single" w:color="auto" w:sz="4" w:space="0"/>
                    <w:left w:val="single" w:color="auto" w:sz="4" w:space="0"/>
                    <w:bottom w:val="single" w:color="auto" w:sz="4" w:space="0"/>
                    <w:right w:val="single" w:color="auto" w:sz="4" w:space="0"/>
                  </w:tcBorders>
                  <w:vAlign w:val="center"/>
                </w:tcPr>
                <w:p w14:paraId="79443A0F">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lang w:bidi="ar"/>
                    </w:rPr>
                    <w:t>28658</w:t>
                  </w:r>
                </w:p>
              </w:tc>
              <w:tc>
                <w:tcPr>
                  <w:tcW w:w="1898" w:type="dxa"/>
                  <w:tcBorders>
                    <w:top w:val="single" w:color="auto" w:sz="4" w:space="0"/>
                    <w:left w:val="single" w:color="auto" w:sz="4" w:space="0"/>
                    <w:bottom w:val="single" w:color="auto" w:sz="4" w:space="0"/>
                    <w:right w:val="single" w:color="auto" w:sz="4" w:space="0"/>
                  </w:tcBorders>
                  <w:vAlign w:val="center"/>
                </w:tcPr>
                <w:p w14:paraId="497440A4">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lang w:bidi="ar"/>
                    </w:rPr>
                    <w:t>28677</w:t>
                  </w:r>
                </w:p>
              </w:tc>
            </w:tr>
            <w:tr w14:paraId="46CC02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1634" w:type="dxa"/>
                  <w:gridSpan w:val="2"/>
                  <w:vMerge w:val="restart"/>
                  <w:tcBorders>
                    <w:top w:val="nil"/>
                    <w:left w:val="single" w:color="auto" w:sz="4" w:space="0"/>
                    <w:bottom w:val="single" w:color="auto" w:sz="4" w:space="0"/>
                    <w:right w:val="single" w:color="auto" w:sz="4" w:space="0"/>
                  </w:tcBorders>
                  <w:vAlign w:val="center"/>
                </w:tcPr>
                <w:p w14:paraId="489A0ED0">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r>
                    <w:rPr>
                      <w:rFonts w:hint="eastAsia" w:ascii="宋体" w:hAnsi="宋体" w:eastAsia="宋体" w:cs="宋体"/>
                      <w:color w:val="auto"/>
                      <w:szCs w:val="21"/>
                      <w:lang w:bidi="ar"/>
                    </w:rPr>
                    <w:t>非甲烷总烃</w:t>
                  </w:r>
                </w:p>
              </w:tc>
              <w:tc>
                <w:tcPr>
                  <w:tcW w:w="1188" w:type="dxa"/>
                  <w:tcBorders>
                    <w:top w:val="single" w:color="auto" w:sz="4" w:space="0"/>
                    <w:left w:val="single" w:color="auto" w:sz="4" w:space="0"/>
                    <w:bottom w:val="single" w:color="auto" w:sz="4" w:space="0"/>
                    <w:right w:val="single" w:color="auto" w:sz="4" w:space="0"/>
                  </w:tcBorders>
                  <w:vAlign w:val="center"/>
                </w:tcPr>
                <w:p w14:paraId="59372DD5">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r>
                    <w:rPr>
                      <w:rFonts w:hint="eastAsia" w:ascii="宋体" w:hAnsi="宋体" w:eastAsia="宋体" w:cs="宋体"/>
                      <w:color w:val="auto"/>
                      <w:szCs w:val="21"/>
                      <w:lang w:bidi="ar"/>
                    </w:rPr>
                    <w:t>样品编号</w:t>
                  </w:r>
                </w:p>
              </w:tc>
              <w:tc>
                <w:tcPr>
                  <w:tcW w:w="936" w:type="dxa"/>
                  <w:tcBorders>
                    <w:top w:val="single" w:color="auto" w:sz="4" w:space="0"/>
                    <w:left w:val="single" w:color="auto" w:sz="4" w:space="0"/>
                    <w:bottom w:val="single" w:color="auto" w:sz="4" w:space="0"/>
                    <w:right w:val="single" w:color="auto" w:sz="4" w:space="0"/>
                  </w:tcBorders>
                  <w:vAlign w:val="center"/>
                </w:tcPr>
                <w:p w14:paraId="34E63047">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lang w:bidi="ar"/>
                    </w:rPr>
                    <w:t>/</w:t>
                  </w:r>
                </w:p>
              </w:tc>
              <w:tc>
                <w:tcPr>
                  <w:tcW w:w="1775" w:type="dxa"/>
                  <w:tcBorders>
                    <w:top w:val="single" w:color="auto" w:sz="4" w:space="0"/>
                    <w:left w:val="single" w:color="auto" w:sz="4" w:space="0"/>
                    <w:bottom w:val="single" w:color="auto" w:sz="4" w:space="0"/>
                    <w:right w:val="single" w:color="auto" w:sz="4" w:space="0"/>
                  </w:tcBorders>
                  <w:vAlign w:val="center"/>
                </w:tcPr>
                <w:p w14:paraId="7DD6DCD8">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r>
                    <w:rPr>
                      <w:rFonts w:hint="eastAsia" w:ascii="宋体" w:hAnsi="宋体" w:eastAsia="宋体" w:cs="宋体"/>
                      <w:color w:val="auto"/>
                      <w:szCs w:val="21"/>
                      <w:lang w:bidi="ar"/>
                    </w:rPr>
                    <w:t>气</w:t>
                  </w:r>
                  <w:r>
                    <w:rPr>
                      <w:rFonts w:hint="default" w:ascii="Times New Roman" w:hAnsi="Times New Roman" w:eastAsia="宋体" w:cs="Times New Roman"/>
                      <w:color w:val="auto"/>
                      <w:szCs w:val="21"/>
                      <w:lang w:bidi="ar"/>
                    </w:rPr>
                    <w:t>251119069</w:t>
                  </w:r>
                </w:p>
              </w:tc>
              <w:tc>
                <w:tcPr>
                  <w:tcW w:w="1891" w:type="dxa"/>
                  <w:tcBorders>
                    <w:top w:val="single" w:color="auto" w:sz="4" w:space="0"/>
                    <w:left w:val="single" w:color="auto" w:sz="4" w:space="0"/>
                    <w:bottom w:val="single" w:color="auto" w:sz="4" w:space="0"/>
                    <w:right w:val="single" w:color="auto" w:sz="4" w:space="0"/>
                  </w:tcBorders>
                  <w:vAlign w:val="center"/>
                </w:tcPr>
                <w:p w14:paraId="36E34E7E">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r>
                    <w:rPr>
                      <w:rFonts w:hint="eastAsia" w:ascii="宋体" w:hAnsi="宋体" w:eastAsia="宋体" w:cs="宋体"/>
                      <w:color w:val="auto"/>
                      <w:szCs w:val="21"/>
                      <w:lang w:bidi="ar"/>
                    </w:rPr>
                    <w:t>气</w:t>
                  </w:r>
                  <w:r>
                    <w:rPr>
                      <w:rFonts w:hint="default" w:ascii="Times New Roman" w:hAnsi="Times New Roman" w:eastAsia="宋体" w:cs="Times New Roman"/>
                      <w:color w:val="auto"/>
                      <w:szCs w:val="21"/>
                      <w:lang w:bidi="ar"/>
                    </w:rPr>
                    <w:t>251119070</w:t>
                  </w:r>
                </w:p>
              </w:tc>
              <w:tc>
                <w:tcPr>
                  <w:tcW w:w="1898" w:type="dxa"/>
                  <w:tcBorders>
                    <w:top w:val="single" w:color="auto" w:sz="4" w:space="0"/>
                    <w:left w:val="single" w:color="auto" w:sz="4" w:space="0"/>
                    <w:bottom w:val="single" w:color="auto" w:sz="4" w:space="0"/>
                    <w:right w:val="single" w:color="auto" w:sz="4" w:space="0"/>
                  </w:tcBorders>
                  <w:vAlign w:val="center"/>
                </w:tcPr>
                <w:p w14:paraId="494713B6">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r>
                    <w:rPr>
                      <w:rFonts w:hint="eastAsia" w:ascii="宋体" w:hAnsi="宋体" w:eastAsia="宋体" w:cs="宋体"/>
                      <w:color w:val="auto"/>
                      <w:szCs w:val="21"/>
                      <w:lang w:bidi="ar"/>
                    </w:rPr>
                    <w:t>气</w:t>
                  </w:r>
                  <w:r>
                    <w:rPr>
                      <w:rFonts w:hint="default" w:ascii="Times New Roman" w:hAnsi="Times New Roman" w:eastAsia="宋体" w:cs="Times New Roman"/>
                      <w:color w:val="auto"/>
                      <w:szCs w:val="21"/>
                      <w:lang w:bidi="ar"/>
                    </w:rPr>
                    <w:t>251119071</w:t>
                  </w:r>
                </w:p>
              </w:tc>
            </w:tr>
            <w:tr w14:paraId="23E446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1634" w:type="dxa"/>
                  <w:gridSpan w:val="2"/>
                  <w:vMerge w:val="continue"/>
                  <w:tcBorders>
                    <w:top w:val="nil"/>
                    <w:left w:val="single" w:color="auto" w:sz="4" w:space="0"/>
                    <w:bottom w:val="single" w:color="auto" w:sz="4" w:space="0"/>
                    <w:right w:val="single" w:color="auto" w:sz="4" w:space="0"/>
                  </w:tcBorders>
                  <w:vAlign w:val="center"/>
                </w:tcPr>
                <w:p w14:paraId="1B78DF16">
                  <w:pPr>
                    <w:keepNext w:val="0"/>
                    <w:keepLines w:val="0"/>
                    <w:suppressLineNumbers w:val="0"/>
                    <w:spacing w:before="0" w:beforeAutospacing="0" w:after="0" w:afterAutospacing="0"/>
                    <w:ind w:left="0" w:right="0"/>
                    <w:rPr>
                      <w:rFonts w:hint="default" w:ascii="Times New Roman" w:hAnsi="Times New Roman" w:cs="Times New Roman"/>
                      <w:color w:val="auto"/>
                      <w:sz w:val="20"/>
                      <w:szCs w:val="20"/>
                    </w:rPr>
                  </w:pPr>
                </w:p>
              </w:tc>
              <w:tc>
                <w:tcPr>
                  <w:tcW w:w="1188" w:type="dxa"/>
                  <w:tcBorders>
                    <w:top w:val="single" w:color="auto" w:sz="4" w:space="0"/>
                    <w:left w:val="single" w:color="auto" w:sz="4" w:space="0"/>
                    <w:bottom w:val="single" w:color="auto" w:sz="4" w:space="0"/>
                    <w:right w:val="single" w:color="auto" w:sz="4" w:space="0"/>
                  </w:tcBorders>
                  <w:vAlign w:val="center"/>
                </w:tcPr>
                <w:p w14:paraId="07130159">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r>
                    <w:rPr>
                      <w:rFonts w:hint="eastAsia" w:ascii="宋体" w:hAnsi="宋体" w:eastAsia="宋体" w:cs="宋体"/>
                      <w:color w:val="auto"/>
                      <w:szCs w:val="21"/>
                      <w:lang w:bidi="ar"/>
                    </w:rPr>
                    <w:t>排放浓度</w:t>
                  </w:r>
                </w:p>
              </w:tc>
              <w:tc>
                <w:tcPr>
                  <w:tcW w:w="936" w:type="dxa"/>
                  <w:tcBorders>
                    <w:top w:val="single" w:color="auto" w:sz="4" w:space="0"/>
                    <w:left w:val="single" w:color="auto" w:sz="4" w:space="0"/>
                    <w:bottom w:val="single" w:color="auto" w:sz="4" w:space="0"/>
                    <w:right w:val="single" w:color="auto" w:sz="4" w:space="0"/>
                  </w:tcBorders>
                  <w:vAlign w:val="center"/>
                </w:tcPr>
                <w:p w14:paraId="7F276934">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lang w:bidi="ar"/>
                    </w:rPr>
                    <w:t>mg/m³</w:t>
                  </w:r>
                </w:p>
              </w:tc>
              <w:tc>
                <w:tcPr>
                  <w:tcW w:w="1775" w:type="dxa"/>
                  <w:tcBorders>
                    <w:top w:val="single" w:color="auto" w:sz="4" w:space="0"/>
                    <w:left w:val="single" w:color="auto" w:sz="4" w:space="0"/>
                    <w:bottom w:val="single" w:color="auto" w:sz="4" w:space="0"/>
                    <w:right w:val="single" w:color="auto" w:sz="4" w:space="0"/>
                  </w:tcBorders>
                  <w:vAlign w:val="center"/>
                </w:tcPr>
                <w:p w14:paraId="25FBE0BC">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lang w:bidi="ar"/>
                    </w:rPr>
                    <w:t>12.1</w:t>
                  </w:r>
                </w:p>
              </w:tc>
              <w:tc>
                <w:tcPr>
                  <w:tcW w:w="1891" w:type="dxa"/>
                  <w:tcBorders>
                    <w:top w:val="single" w:color="auto" w:sz="4" w:space="0"/>
                    <w:left w:val="single" w:color="auto" w:sz="4" w:space="0"/>
                    <w:bottom w:val="single" w:color="auto" w:sz="4" w:space="0"/>
                    <w:right w:val="single" w:color="auto" w:sz="4" w:space="0"/>
                  </w:tcBorders>
                  <w:vAlign w:val="center"/>
                </w:tcPr>
                <w:p w14:paraId="4AE9550D">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lang w:bidi="ar"/>
                    </w:rPr>
                    <w:t>12.1</w:t>
                  </w:r>
                </w:p>
              </w:tc>
              <w:tc>
                <w:tcPr>
                  <w:tcW w:w="1898" w:type="dxa"/>
                  <w:tcBorders>
                    <w:top w:val="single" w:color="auto" w:sz="4" w:space="0"/>
                    <w:left w:val="single" w:color="auto" w:sz="4" w:space="0"/>
                    <w:bottom w:val="single" w:color="auto" w:sz="4" w:space="0"/>
                    <w:right w:val="single" w:color="auto" w:sz="4" w:space="0"/>
                  </w:tcBorders>
                  <w:vAlign w:val="center"/>
                </w:tcPr>
                <w:p w14:paraId="7470BBDF">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lang w:bidi="ar"/>
                    </w:rPr>
                    <w:t>12.0</w:t>
                  </w:r>
                </w:p>
              </w:tc>
            </w:tr>
            <w:tr w14:paraId="2AD07F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1634" w:type="dxa"/>
                  <w:gridSpan w:val="2"/>
                  <w:vMerge w:val="continue"/>
                  <w:tcBorders>
                    <w:top w:val="nil"/>
                    <w:left w:val="single" w:color="auto" w:sz="4" w:space="0"/>
                    <w:bottom w:val="single" w:color="auto" w:sz="4" w:space="0"/>
                    <w:right w:val="single" w:color="auto" w:sz="4" w:space="0"/>
                  </w:tcBorders>
                  <w:vAlign w:val="center"/>
                </w:tcPr>
                <w:p w14:paraId="07692422">
                  <w:pPr>
                    <w:keepNext w:val="0"/>
                    <w:keepLines w:val="0"/>
                    <w:suppressLineNumbers w:val="0"/>
                    <w:spacing w:before="0" w:beforeAutospacing="0" w:after="0" w:afterAutospacing="0"/>
                    <w:ind w:left="0" w:right="0"/>
                    <w:rPr>
                      <w:rFonts w:hint="default" w:ascii="Times New Roman" w:hAnsi="Times New Roman" w:cs="Times New Roman"/>
                      <w:color w:val="auto"/>
                      <w:sz w:val="20"/>
                      <w:szCs w:val="20"/>
                    </w:rPr>
                  </w:pPr>
                </w:p>
              </w:tc>
              <w:tc>
                <w:tcPr>
                  <w:tcW w:w="1188" w:type="dxa"/>
                  <w:tcBorders>
                    <w:top w:val="single" w:color="auto" w:sz="4" w:space="0"/>
                    <w:left w:val="single" w:color="auto" w:sz="4" w:space="0"/>
                    <w:bottom w:val="single" w:color="auto" w:sz="4" w:space="0"/>
                    <w:right w:val="single" w:color="auto" w:sz="4" w:space="0"/>
                  </w:tcBorders>
                  <w:vAlign w:val="center"/>
                </w:tcPr>
                <w:p w14:paraId="679BD602">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r>
                    <w:rPr>
                      <w:rFonts w:hint="eastAsia" w:ascii="宋体" w:hAnsi="宋体" w:eastAsia="宋体" w:cs="宋体"/>
                      <w:color w:val="auto"/>
                      <w:szCs w:val="21"/>
                      <w:lang w:bidi="ar"/>
                    </w:rPr>
                    <w:t>排放速率</w:t>
                  </w:r>
                </w:p>
              </w:tc>
              <w:tc>
                <w:tcPr>
                  <w:tcW w:w="936" w:type="dxa"/>
                  <w:tcBorders>
                    <w:top w:val="single" w:color="auto" w:sz="4" w:space="0"/>
                    <w:left w:val="single" w:color="auto" w:sz="4" w:space="0"/>
                    <w:bottom w:val="single" w:color="auto" w:sz="4" w:space="0"/>
                    <w:right w:val="single" w:color="auto" w:sz="4" w:space="0"/>
                  </w:tcBorders>
                  <w:vAlign w:val="center"/>
                </w:tcPr>
                <w:p w14:paraId="606E0AA1">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lang w:bidi="ar"/>
                    </w:rPr>
                    <w:t>kg/h</w:t>
                  </w:r>
                </w:p>
              </w:tc>
              <w:tc>
                <w:tcPr>
                  <w:tcW w:w="1775" w:type="dxa"/>
                  <w:tcBorders>
                    <w:top w:val="single" w:color="auto" w:sz="4" w:space="0"/>
                    <w:left w:val="single" w:color="auto" w:sz="4" w:space="0"/>
                    <w:bottom w:val="single" w:color="auto" w:sz="4" w:space="0"/>
                    <w:right w:val="single" w:color="auto" w:sz="4" w:space="0"/>
                  </w:tcBorders>
                  <w:vAlign w:val="center"/>
                </w:tcPr>
                <w:p w14:paraId="789A9EA6">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lang w:bidi="ar"/>
                    </w:rPr>
                    <w:t>0.345</w:t>
                  </w:r>
                </w:p>
              </w:tc>
              <w:tc>
                <w:tcPr>
                  <w:tcW w:w="1891" w:type="dxa"/>
                  <w:tcBorders>
                    <w:top w:val="single" w:color="auto" w:sz="4" w:space="0"/>
                    <w:left w:val="single" w:color="auto" w:sz="4" w:space="0"/>
                    <w:bottom w:val="single" w:color="auto" w:sz="4" w:space="0"/>
                    <w:right w:val="single" w:color="auto" w:sz="4" w:space="0"/>
                  </w:tcBorders>
                  <w:vAlign w:val="center"/>
                </w:tcPr>
                <w:p w14:paraId="5EC5302D">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lang w:bidi="ar"/>
                    </w:rPr>
                    <w:t>0.347</w:t>
                  </w:r>
                </w:p>
              </w:tc>
              <w:tc>
                <w:tcPr>
                  <w:tcW w:w="1898" w:type="dxa"/>
                  <w:tcBorders>
                    <w:top w:val="single" w:color="auto" w:sz="4" w:space="0"/>
                    <w:left w:val="single" w:color="auto" w:sz="4" w:space="0"/>
                    <w:bottom w:val="single" w:color="auto" w:sz="4" w:space="0"/>
                    <w:right w:val="single" w:color="auto" w:sz="4" w:space="0"/>
                  </w:tcBorders>
                  <w:vAlign w:val="center"/>
                </w:tcPr>
                <w:p w14:paraId="4DD62183">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lang w:bidi="ar"/>
                    </w:rPr>
                    <w:t>0.344</w:t>
                  </w:r>
                </w:p>
              </w:tc>
            </w:tr>
            <w:tr w14:paraId="6C12C9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9322" w:type="dxa"/>
                  <w:gridSpan w:val="7"/>
                  <w:tcBorders>
                    <w:top w:val="single" w:color="auto" w:sz="4" w:space="0"/>
                    <w:left w:val="single" w:color="auto" w:sz="4" w:space="0"/>
                    <w:bottom w:val="single" w:color="auto" w:sz="4" w:space="0"/>
                    <w:right w:val="single" w:color="auto" w:sz="4" w:space="0"/>
                  </w:tcBorders>
                  <w:vAlign w:val="center"/>
                </w:tcPr>
                <w:p w14:paraId="1BB4399C">
                  <w:pPr>
                    <w:keepNext w:val="0"/>
                    <w:keepLines w:val="0"/>
                    <w:suppressLineNumbers w:val="0"/>
                    <w:spacing w:before="0" w:beforeAutospacing="0" w:after="0" w:afterAutospacing="0"/>
                    <w:ind w:left="0" w:right="0"/>
                    <w:jc w:val="left"/>
                    <w:rPr>
                      <w:rFonts w:hint="default" w:ascii="Times New Roman" w:hAnsi="Times New Roman" w:eastAsia="宋体" w:cs="Times New Roman"/>
                      <w:color w:val="auto"/>
                      <w:szCs w:val="21"/>
                    </w:rPr>
                  </w:pPr>
                  <w:r>
                    <w:rPr>
                      <w:rFonts w:hint="eastAsia" w:ascii="宋体" w:hAnsi="宋体" w:eastAsia="宋体" w:cs="宋体"/>
                      <w:color w:val="auto"/>
                      <w:szCs w:val="21"/>
                      <w:lang w:bidi="ar"/>
                    </w:rPr>
                    <w:t>采样点位：</w:t>
                  </w:r>
                  <w:r>
                    <w:rPr>
                      <w:rFonts w:hint="default" w:ascii="Times New Roman" w:hAnsi="Times New Roman" w:eastAsia="宋体" w:cs="Times New Roman"/>
                      <w:color w:val="auto"/>
                      <w:szCs w:val="21"/>
                      <w:u w:val="single"/>
                      <w:lang w:bidi="ar"/>
                    </w:rPr>
                    <w:t xml:space="preserve">   DA004</w:t>
                  </w:r>
                  <w:r>
                    <w:rPr>
                      <w:rFonts w:hint="eastAsia" w:ascii="宋体" w:hAnsi="宋体" w:eastAsia="宋体" w:cs="宋体"/>
                      <w:color w:val="auto"/>
                      <w:szCs w:val="21"/>
                      <w:u w:val="single"/>
                      <w:lang w:bidi="ar"/>
                    </w:rPr>
                    <w:t xml:space="preserve">背胶废气处理设施出口   </w:t>
                  </w:r>
                  <w:r>
                    <w:rPr>
                      <w:rFonts w:hint="eastAsia" w:ascii="宋体" w:hAnsi="宋体" w:eastAsia="宋体" w:cs="宋体"/>
                      <w:color w:val="auto"/>
                      <w:szCs w:val="21"/>
                      <w:lang w:bidi="ar"/>
                    </w:rPr>
                    <w:t>采样日期：</w:t>
                  </w:r>
                  <w:r>
                    <w:rPr>
                      <w:rFonts w:hint="default" w:ascii="Times New Roman" w:hAnsi="Times New Roman" w:eastAsia="宋体" w:cs="Times New Roman"/>
                      <w:color w:val="auto"/>
                      <w:szCs w:val="21"/>
                      <w:u w:val="single"/>
                      <w:lang w:bidi="ar"/>
                    </w:rPr>
                    <w:t xml:space="preserve">   2025.11.19   </w:t>
                  </w:r>
                </w:p>
              </w:tc>
            </w:tr>
            <w:tr w14:paraId="19FE63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2822" w:type="dxa"/>
                  <w:gridSpan w:val="3"/>
                  <w:tcBorders>
                    <w:top w:val="single" w:color="auto" w:sz="4" w:space="0"/>
                    <w:left w:val="single" w:color="auto" w:sz="4" w:space="0"/>
                    <w:bottom w:val="single" w:color="auto" w:sz="4" w:space="0"/>
                    <w:right w:val="single" w:color="auto" w:sz="4" w:space="0"/>
                  </w:tcBorders>
                  <w:vAlign w:val="center"/>
                </w:tcPr>
                <w:p w14:paraId="27B8A89C">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r>
                    <w:rPr>
                      <w:rFonts w:hint="eastAsia" w:ascii="宋体" w:hAnsi="宋体" w:eastAsia="宋体" w:cs="宋体"/>
                      <w:color w:val="auto"/>
                      <w:szCs w:val="21"/>
                      <w:lang w:bidi="ar"/>
                    </w:rPr>
                    <w:t>检测项目</w:t>
                  </w:r>
                </w:p>
              </w:tc>
              <w:tc>
                <w:tcPr>
                  <w:tcW w:w="936" w:type="dxa"/>
                  <w:tcBorders>
                    <w:top w:val="single" w:color="auto" w:sz="4" w:space="0"/>
                    <w:left w:val="single" w:color="auto" w:sz="4" w:space="0"/>
                    <w:bottom w:val="single" w:color="auto" w:sz="4" w:space="0"/>
                    <w:right w:val="single" w:color="auto" w:sz="4" w:space="0"/>
                  </w:tcBorders>
                  <w:vAlign w:val="center"/>
                </w:tcPr>
                <w:p w14:paraId="72291FE4">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r>
                    <w:rPr>
                      <w:rFonts w:hint="eastAsia" w:ascii="宋体" w:hAnsi="宋体" w:eastAsia="宋体" w:cs="宋体"/>
                      <w:color w:val="auto"/>
                      <w:szCs w:val="21"/>
                      <w:lang w:bidi="ar"/>
                    </w:rPr>
                    <w:t>单位</w:t>
                  </w:r>
                </w:p>
              </w:tc>
              <w:tc>
                <w:tcPr>
                  <w:tcW w:w="5564" w:type="dxa"/>
                  <w:gridSpan w:val="3"/>
                  <w:tcBorders>
                    <w:top w:val="single" w:color="auto" w:sz="4" w:space="0"/>
                    <w:left w:val="single" w:color="auto" w:sz="4" w:space="0"/>
                    <w:bottom w:val="single" w:color="auto" w:sz="4" w:space="0"/>
                    <w:right w:val="single" w:color="auto" w:sz="4" w:space="0"/>
                  </w:tcBorders>
                  <w:vAlign w:val="center"/>
                </w:tcPr>
                <w:p w14:paraId="2EB96903">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r>
                    <w:rPr>
                      <w:rFonts w:hint="eastAsia" w:ascii="宋体" w:hAnsi="宋体" w:eastAsia="宋体" w:cs="宋体"/>
                      <w:color w:val="auto"/>
                      <w:szCs w:val="21"/>
                      <w:lang w:bidi="ar"/>
                    </w:rPr>
                    <w:t>检测结果</w:t>
                  </w:r>
                </w:p>
              </w:tc>
            </w:tr>
            <w:tr w14:paraId="0F006A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2822" w:type="dxa"/>
                  <w:gridSpan w:val="3"/>
                  <w:tcBorders>
                    <w:top w:val="single" w:color="auto" w:sz="4" w:space="0"/>
                    <w:left w:val="single" w:color="auto" w:sz="4" w:space="0"/>
                    <w:bottom w:val="single" w:color="auto" w:sz="4" w:space="0"/>
                    <w:right w:val="single" w:color="auto" w:sz="4" w:space="0"/>
                  </w:tcBorders>
                  <w:vAlign w:val="center"/>
                </w:tcPr>
                <w:p w14:paraId="4F32227B">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r>
                    <w:rPr>
                      <w:rFonts w:hint="eastAsia" w:ascii="宋体" w:hAnsi="宋体" w:eastAsia="宋体" w:cs="宋体"/>
                      <w:color w:val="auto"/>
                      <w:szCs w:val="21"/>
                      <w:lang w:bidi="ar"/>
                    </w:rPr>
                    <w:t>检测管道截面积</w:t>
                  </w:r>
                </w:p>
              </w:tc>
              <w:tc>
                <w:tcPr>
                  <w:tcW w:w="936" w:type="dxa"/>
                  <w:tcBorders>
                    <w:top w:val="single" w:color="auto" w:sz="4" w:space="0"/>
                    <w:left w:val="single" w:color="auto" w:sz="4" w:space="0"/>
                    <w:bottom w:val="single" w:color="auto" w:sz="4" w:space="0"/>
                    <w:right w:val="single" w:color="auto" w:sz="4" w:space="0"/>
                  </w:tcBorders>
                  <w:vAlign w:val="center"/>
                </w:tcPr>
                <w:p w14:paraId="5161A42C">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lang w:bidi="ar"/>
                    </w:rPr>
                    <w:t>m²</w:t>
                  </w:r>
                </w:p>
              </w:tc>
              <w:tc>
                <w:tcPr>
                  <w:tcW w:w="1775" w:type="dxa"/>
                  <w:tcBorders>
                    <w:top w:val="single" w:color="auto" w:sz="4" w:space="0"/>
                    <w:left w:val="single" w:color="auto" w:sz="4" w:space="0"/>
                    <w:bottom w:val="single" w:color="auto" w:sz="4" w:space="0"/>
                    <w:right w:val="single" w:color="auto" w:sz="4" w:space="0"/>
                  </w:tcBorders>
                  <w:vAlign w:val="center"/>
                </w:tcPr>
                <w:p w14:paraId="29E3FD82">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lang w:bidi="ar"/>
                    </w:rPr>
                    <w:t>0.5027</w:t>
                  </w:r>
                </w:p>
              </w:tc>
              <w:tc>
                <w:tcPr>
                  <w:tcW w:w="1891" w:type="dxa"/>
                  <w:tcBorders>
                    <w:top w:val="single" w:color="auto" w:sz="4" w:space="0"/>
                    <w:left w:val="single" w:color="auto" w:sz="4" w:space="0"/>
                    <w:bottom w:val="single" w:color="auto" w:sz="4" w:space="0"/>
                    <w:right w:val="single" w:color="auto" w:sz="4" w:space="0"/>
                  </w:tcBorders>
                  <w:vAlign w:val="center"/>
                </w:tcPr>
                <w:p w14:paraId="2A812FAE">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lang w:bidi="ar"/>
                    </w:rPr>
                    <w:t>0.5027</w:t>
                  </w:r>
                </w:p>
              </w:tc>
              <w:tc>
                <w:tcPr>
                  <w:tcW w:w="1898" w:type="dxa"/>
                  <w:tcBorders>
                    <w:top w:val="single" w:color="auto" w:sz="4" w:space="0"/>
                    <w:left w:val="single" w:color="auto" w:sz="4" w:space="0"/>
                    <w:bottom w:val="single" w:color="auto" w:sz="4" w:space="0"/>
                    <w:right w:val="single" w:color="auto" w:sz="4" w:space="0"/>
                  </w:tcBorders>
                  <w:vAlign w:val="center"/>
                </w:tcPr>
                <w:p w14:paraId="390EFCAE">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lang w:bidi="ar"/>
                    </w:rPr>
                    <w:t>0.5027</w:t>
                  </w:r>
                </w:p>
              </w:tc>
            </w:tr>
            <w:tr w14:paraId="12EDCB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2822" w:type="dxa"/>
                  <w:gridSpan w:val="3"/>
                  <w:tcBorders>
                    <w:top w:val="single" w:color="auto" w:sz="4" w:space="0"/>
                    <w:left w:val="single" w:color="auto" w:sz="4" w:space="0"/>
                    <w:bottom w:val="single" w:color="auto" w:sz="4" w:space="0"/>
                    <w:right w:val="single" w:color="auto" w:sz="4" w:space="0"/>
                  </w:tcBorders>
                  <w:vAlign w:val="center"/>
                </w:tcPr>
                <w:p w14:paraId="1DF79301">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r>
                    <w:rPr>
                      <w:rFonts w:hint="eastAsia" w:ascii="宋体" w:hAnsi="宋体" w:eastAsia="宋体" w:cs="宋体"/>
                      <w:color w:val="auto"/>
                      <w:szCs w:val="21"/>
                      <w:lang w:bidi="ar"/>
                    </w:rPr>
                    <w:t>烟气温度</w:t>
                  </w:r>
                </w:p>
              </w:tc>
              <w:tc>
                <w:tcPr>
                  <w:tcW w:w="936" w:type="dxa"/>
                  <w:tcBorders>
                    <w:top w:val="single" w:color="auto" w:sz="4" w:space="0"/>
                    <w:left w:val="single" w:color="auto" w:sz="4" w:space="0"/>
                    <w:bottom w:val="single" w:color="auto" w:sz="4" w:space="0"/>
                    <w:right w:val="single" w:color="auto" w:sz="4" w:space="0"/>
                  </w:tcBorders>
                  <w:vAlign w:val="center"/>
                </w:tcPr>
                <w:p w14:paraId="3DCF4ABB">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lang w:bidi="ar"/>
                    </w:rPr>
                    <w:t>℃</w:t>
                  </w:r>
                </w:p>
              </w:tc>
              <w:tc>
                <w:tcPr>
                  <w:tcW w:w="1775" w:type="dxa"/>
                  <w:tcBorders>
                    <w:top w:val="single" w:color="auto" w:sz="4" w:space="0"/>
                    <w:left w:val="single" w:color="auto" w:sz="4" w:space="0"/>
                    <w:bottom w:val="single" w:color="auto" w:sz="4" w:space="0"/>
                    <w:right w:val="single" w:color="auto" w:sz="4" w:space="0"/>
                  </w:tcBorders>
                  <w:vAlign w:val="center"/>
                </w:tcPr>
                <w:p w14:paraId="5472B8B5">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lang w:bidi="ar"/>
                    </w:rPr>
                    <w:t>25.3</w:t>
                  </w:r>
                </w:p>
              </w:tc>
              <w:tc>
                <w:tcPr>
                  <w:tcW w:w="1891" w:type="dxa"/>
                  <w:tcBorders>
                    <w:top w:val="single" w:color="auto" w:sz="4" w:space="0"/>
                    <w:left w:val="single" w:color="auto" w:sz="4" w:space="0"/>
                    <w:bottom w:val="single" w:color="auto" w:sz="4" w:space="0"/>
                    <w:right w:val="single" w:color="auto" w:sz="4" w:space="0"/>
                  </w:tcBorders>
                  <w:vAlign w:val="center"/>
                </w:tcPr>
                <w:p w14:paraId="5024CA40">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lang w:bidi="ar"/>
                    </w:rPr>
                    <w:t>25.5</w:t>
                  </w:r>
                </w:p>
              </w:tc>
              <w:tc>
                <w:tcPr>
                  <w:tcW w:w="1898" w:type="dxa"/>
                  <w:tcBorders>
                    <w:top w:val="single" w:color="auto" w:sz="4" w:space="0"/>
                    <w:left w:val="single" w:color="auto" w:sz="4" w:space="0"/>
                    <w:bottom w:val="single" w:color="auto" w:sz="4" w:space="0"/>
                    <w:right w:val="single" w:color="auto" w:sz="4" w:space="0"/>
                  </w:tcBorders>
                  <w:vAlign w:val="center"/>
                </w:tcPr>
                <w:p w14:paraId="2E6FD291">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lang w:bidi="ar"/>
                    </w:rPr>
                    <w:t>25.6</w:t>
                  </w:r>
                </w:p>
              </w:tc>
            </w:tr>
            <w:tr w14:paraId="5855BC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2822" w:type="dxa"/>
                  <w:gridSpan w:val="3"/>
                  <w:tcBorders>
                    <w:top w:val="single" w:color="auto" w:sz="4" w:space="0"/>
                    <w:left w:val="single" w:color="auto" w:sz="4" w:space="0"/>
                    <w:bottom w:val="single" w:color="auto" w:sz="4" w:space="0"/>
                    <w:right w:val="single" w:color="auto" w:sz="4" w:space="0"/>
                  </w:tcBorders>
                  <w:vAlign w:val="center"/>
                </w:tcPr>
                <w:p w14:paraId="47B55FB3">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r>
                    <w:rPr>
                      <w:rFonts w:hint="eastAsia" w:ascii="宋体" w:hAnsi="宋体" w:eastAsia="宋体" w:cs="宋体"/>
                      <w:color w:val="auto"/>
                      <w:szCs w:val="21"/>
                      <w:lang w:bidi="ar"/>
                    </w:rPr>
                    <w:t>烟气平均流速</w:t>
                  </w:r>
                </w:p>
              </w:tc>
              <w:tc>
                <w:tcPr>
                  <w:tcW w:w="936" w:type="dxa"/>
                  <w:tcBorders>
                    <w:top w:val="single" w:color="auto" w:sz="4" w:space="0"/>
                    <w:left w:val="single" w:color="auto" w:sz="4" w:space="0"/>
                    <w:bottom w:val="single" w:color="auto" w:sz="4" w:space="0"/>
                    <w:right w:val="single" w:color="auto" w:sz="4" w:space="0"/>
                  </w:tcBorders>
                  <w:vAlign w:val="center"/>
                </w:tcPr>
                <w:p w14:paraId="142521A2">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lang w:bidi="ar"/>
                    </w:rPr>
                    <w:t>m/s</w:t>
                  </w:r>
                </w:p>
              </w:tc>
              <w:tc>
                <w:tcPr>
                  <w:tcW w:w="1775" w:type="dxa"/>
                  <w:tcBorders>
                    <w:top w:val="single" w:color="auto" w:sz="4" w:space="0"/>
                    <w:left w:val="single" w:color="auto" w:sz="4" w:space="0"/>
                    <w:bottom w:val="single" w:color="auto" w:sz="4" w:space="0"/>
                    <w:right w:val="single" w:color="auto" w:sz="4" w:space="0"/>
                  </w:tcBorders>
                  <w:vAlign w:val="center"/>
                </w:tcPr>
                <w:p w14:paraId="6F8801E4">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lang w:bidi="ar"/>
                    </w:rPr>
                    <w:t>18.7</w:t>
                  </w:r>
                </w:p>
              </w:tc>
              <w:tc>
                <w:tcPr>
                  <w:tcW w:w="1891" w:type="dxa"/>
                  <w:tcBorders>
                    <w:top w:val="single" w:color="auto" w:sz="4" w:space="0"/>
                    <w:left w:val="single" w:color="auto" w:sz="4" w:space="0"/>
                    <w:bottom w:val="single" w:color="auto" w:sz="4" w:space="0"/>
                    <w:right w:val="single" w:color="auto" w:sz="4" w:space="0"/>
                  </w:tcBorders>
                  <w:vAlign w:val="center"/>
                </w:tcPr>
                <w:p w14:paraId="4FBD70F4">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lang w:bidi="ar"/>
                    </w:rPr>
                    <w:t>19</w:t>
                  </w:r>
                </w:p>
              </w:tc>
              <w:tc>
                <w:tcPr>
                  <w:tcW w:w="1898" w:type="dxa"/>
                  <w:tcBorders>
                    <w:top w:val="single" w:color="auto" w:sz="4" w:space="0"/>
                    <w:left w:val="single" w:color="auto" w:sz="4" w:space="0"/>
                    <w:bottom w:val="single" w:color="auto" w:sz="4" w:space="0"/>
                    <w:right w:val="single" w:color="auto" w:sz="4" w:space="0"/>
                  </w:tcBorders>
                  <w:vAlign w:val="center"/>
                </w:tcPr>
                <w:p w14:paraId="31A3147D">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lang w:bidi="ar"/>
                    </w:rPr>
                    <w:t>18.8</w:t>
                  </w:r>
                </w:p>
              </w:tc>
            </w:tr>
            <w:tr w14:paraId="3D1744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2822" w:type="dxa"/>
                  <w:gridSpan w:val="3"/>
                  <w:tcBorders>
                    <w:top w:val="single" w:color="auto" w:sz="4" w:space="0"/>
                    <w:left w:val="single" w:color="auto" w:sz="4" w:space="0"/>
                    <w:bottom w:val="single" w:color="auto" w:sz="4" w:space="0"/>
                    <w:right w:val="single" w:color="auto" w:sz="4" w:space="0"/>
                  </w:tcBorders>
                  <w:vAlign w:val="center"/>
                </w:tcPr>
                <w:p w14:paraId="6C350F31">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r>
                    <w:rPr>
                      <w:rFonts w:hint="eastAsia" w:ascii="宋体" w:hAnsi="宋体" w:eastAsia="宋体" w:cs="宋体"/>
                      <w:color w:val="auto"/>
                      <w:szCs w:val="21"/>
                      <w:lang w:bidi="ar"/>
                    </w:rPr>
                    <w:t>标态干烟气量</w:t>
                  </w:r>
                </w:p>
              </w:tc>
              <w:tc>
                <w:tcPr>
                  <w:tcW w:w="936" w:type="dxa"/>
                  <w:tcBorders>
                    <w:top w:val="single" w:color="auto" w:sz="4" w:space="0"/>
                    <w:left w:val="single" w:color="auto" w:sz="4" w:space="0"/>
                    <w:bottom w:val="single" w:color="auto" w:sz="4" w:space="0"/>
                    <w:right w:val="single" w:color="auto" w:sz="4" w:space="0"/>
                  </w:tcBorders>
                  <w:vAlign w:val="center"/>
                </w:tcPr>
                <w:p w14:paraId="4A94C7C8">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lang w:bidi="ar"/>
                    </w:rPr>
                    <w:t>m³/h</w:t>
                  </w:r>
                </w:p>
              </w:tc>
              <w:tc>
                <w:tcPr>
                  <w:tcW w:w="1775" w:type="dxa"/>
                  <w:tcBorders>
                    <w:top w:val="single" w:color="auto" w:sz="4" w:space="0"/>
                    <w:left w:val="single" w:color="auto" w:sz="4" w:space="0"/>
                    <w:bottom w:val="single" w:color="auto" w:sz="4" w:space="0"/>
                    <w:right w:val="single" w:color="auto" w:sz="4" w:space="0"/>
                  </w:tcBorders>
                  <w:vAlign w:val="center"/>
                </w:tcPr>
                <w:p w14:paraId="48C11C99">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lang w:bidi="ar"/>
                    </w:rPr>
                    <w:t>31031</w:t>
                  </w:r>
                </w:p>
              </w:tc>
              <w:tc>
                <w:tcPr>
                  <w:tcW w:w="1891" w:type="dxa"/>
                  <w:tcBorders>
                    <w:top w:val="single" w:color="auto" w:sz="4" w:space="0"/>
                    <w:left w:val="single" w:color="auto" w:sz="4" w:space="0"/>
                    <w:bottom w:val="single" w:color="auto" w:sz="4" w:space="0"/>
                    <w:right w:val="single" w:color="auto" w:sz="4" w:space="0"/>
                  </w:tcBorders>
                  <w:vAlign w:val="center"/>
                </w:tcPr>
                <w:p w14:paraId="3372E45D">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lang w:bidi="ar"/>
                    </w:rPr>
                    <w:t>31414</w:t>
                  </w:r>
                </w:p>
              </w:tc>
              <w:tc>
                <w:tcPr>
                  <w:tcW w:w="1898" w:type="dxa"/>
                  <w:tcBorders>
                    <w:top w:val="single" w:color="auto" w:sz="4" w:space="0"/>
                    <w:left w:val="single" w:color="auto" w:sz="4" w:space="0"/>
                    <w:bottom w:val="single" w:color="auto" w:sz="4" w:space="0"/>
                    <w:right w:val="single" w:color="auto" w:sz="4" w:space="0"/>
                  </w:tcBorders>
                  <w:vAlign w:val="center"/>
                </w:tcPr>
                <w:p w14:paraId="59AF81E6">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lang w:bidi="ar"/>
                    </w:rPr>
                    <w:t>31078</w:t>
                  </w:r>
                </w:p>
              </w:tc>
            </w:tr>
            <w:tr w14:paraId="6A6D5E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1576" w:type="dxa"/>
                  <w:vMerge w:val="restart"/>
                  <w:tcBorders>
                    <w:top w:val="nil"/>
                    <w:left w:val="single" w:color="auto" w:sz="4" w:space="0"/>
                    <w:bottom w:val="single" w:color="auto" w:sz="4" w:space="0"/>
                    <w:right w:val="single" w:color="auto" w:sz="4" w:space="0"/>
                  </w:tcBorders>
                  <w:vAlign w:val="center"/>
                </w:tcPr>
                <w:p w14:paraId="40B163F4">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r>
                    <w:rPr>
                      <w:rFonts w:hint="eastAsia" w:ascii="宋体" w:hAnsi="宋体" w:eastAsia="宋体" w:cs="宋体"/>
                      <w:color w:val="auto"/>
                      <w:szCs w:val="21"/>
                      <w:lang w:bidi="ar"/>
                    </w:rPr>
                    <w:t>非甲烷总烃</w:t>
                  </w:r>
                </w:p>
              </w:tc>
              <w:tc>
                <w:tcPr>
                  <w:tcW w:w="1246" w:type="dxa"/>
                  <w:gridSpan w:val="2"/>
                  <w:tcBorders>
                    <w:top w:val="single" w:color="auto" w:sz="4" w:space="0"/>
                    <w:left w:val="single" w:color="auto" w:sz="4" w:space="0"/>
                    <w:bottom w:val="single" w:color="auto" w:sz="4" w:space="0"/>
                    <w:right w:val="single" w:color="auto" w:sz="4" w:space="0"/>
                  </w:tcBorders>
                  <w:vAlign w:val="center"/>
                </w:tcPr>
                <w:p w14:paraId="705464B3">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r>
                    <w:rPr>
                      <w:rFonts w:hint="eastAsia" w:ascii="宋体" w:hAnsi="宋体" w:eastAsia="宋体" w:cs="宋体"/>
                      <w:color w:val="auto"/>
                      <w:szCs w:val="21"/>
                      <w:lang w:bidi="ar"/>
                    </w:rPr>
                    <w:t>样品编号</w:t>
                  </w:r>
                </w:p>
              </w:tc>
              <w:tc>
                <w:tcPr>
                  <w:tcW w:w="936" w:type="dxa"/>
                  <w:tcBorders>
                    <w:top w:val="single" w:color="auto" w:sz="4" w:space="0"/>
                    <w:left w:val="single" w:color="auto" w:sz="4" w:space="0"/>
                    <w:bottom w:val="single" w:color="auto" w:sz="4" w:space="0"/>
                    <w:right w:val="single" w:color="auto" w:sz="4" w:space="0"/>
                  </w:tcBorders>
                  <w:vAlign w:val="center"/>
                </w:tcPr>
                <w:p w14:paraId="70A817CB">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lang w:bidi="ar"/>
                    </w:rPr>
                    <w:t>/</w:t>
                  </w:r>
                </w:p>
              </w:tc>
              <w:tc>
                <w:tcPr>
                  <w:tcW w:w="1775" w:type="dxa"/>
                  <w:tcBorders>
                    <w:top w:val="single" w:color="auto" w:sz="4" w:space="0"/>
                    <w:left w:val="single" w:color="auto" w:sz="4" w:space="0"/>
                    <w:bottom w:val="single" w:color="auto" w:sz="4" w:space="0"/>
                    <w:right w:val="single" w:color="auto" w:sz="4" w:space="0"/>
                  </w:tcBorders>
                  <w:vAlign w:val="center"/>
                </w:tcPr>
                <w:p w14:paraId="7BA5AED1">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r>
                    <w:rPr>
                      <w:rFonts w:hint="eastAsia" w:ascii="宋体" w:hAnsi="宋体" w:eastAsia="宋体" w:cs="宋体"/>
                      <w:color w:val="auto"/>
                      <w:szCs w:val="21"/>
                      <w:lang w:bidi="ar"/>
                    </w:rPr>
                    <w:t>气</w:t>
                  </w:r>
                  <w:r>
                    <w:rPr>
                      <w:rFonts w:hint="default" w:ascii="Times New Roman" w:hAnsi="Times New Roman" w:eastAsia="宋体" w:cs="Times New Roman"/>
                      <w:color w:val="auto"/>
                      <w:szCs w:val="21"/>
                      <w:lang w:bidi="ar"/>
                    </w:rPr>
                    <w:t>251119072</w:t>
                  </w:r>
                </w:p>
              </w:tc>
              <w:tc>
                <w:tcPr>
                  <w:tcW w:w="1891" w:type="dxa"/>
                  <w:tcBorders>
                    <w:top w:val="single" w:color="auto" w:sz="4" w:space="0"/>
                    <w:left w:val="single" w:color="auto" w:sz="4" w:space="0"/>
                    <w:bottom w:val="single" w:color="auto" w:sz="4" w:space="0"/>
                    <w:right w:val="single" w:color="auto" w:sz="4" w:space="0"/>
                  </w:tcBorders>
                  <w:vAlign w:val="center"/>
                </w:tcPr>
                <w:p w14:paraId="1E3093AB">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r>
                    <w:rPr>
                      <w:rFonts w:hint="eastAsia" w:ascii="宋体" w:hAnsi="宋体" w:eastAsia="宋体" w:cs="宋体"/>
                      <w:color w:val="auto"/>
                      <w:szCs w:val="21"/>
                      <w:lang w:bidi="ar"/>
                    </w:rPr>
                    <w:t>气</w:t>
                  </w:r>
                  <w:r>
                    <w:rPr>
                      <w:rFonts w:hint="default" w:ascii="Times New Roman" w:hAnsi="Times New Roman" w:eastAsia="宋体" w:cs="Times New Roman"/>
                      <w:color w:val="auto"/>
                      <w:szCs w:val="21"/>
                      <w:lang w:bidi="ar"/>
                    </w:rPr>
                    <w:t>251119073</w:t>
                  </w:r>
                </w:p>
              </w:tc>
              <w:tc>
                <w:tcPr>
                  <w:tcW w:w="1898" w:type="dxa"/>
                  <w:tcBorders>
                    <w:top w:val="single" w:color="auto" w:sz="4" w:space="0"/>
                    <w:left w:val="single" w:color="auto" w:sz="4" w:space="0"/>
                    <w:bottom w:val="single" w:color="auto" w:sz="4" w:space="0"/>
                    <w:right w:val="single" w:color="auto" w:sz="4" w:space="0"/>
                  </w:tcBorders>
                  <w:vAlign w:val="center"/>
                </w:tcPr>
                <w:p w14:paraId="489DD7D2">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r>
                    <w:rPr>
                      <w:rFonts w:hint="eastAsia" w:ascii="宋体" w:hAnsi="宋体" w:eastAsia="宋体" w:cs="宋体"/>
                      <w:color w:val="auto"/>
                      <w:szCs w:val="21"/>
                      <w:lang w:bidi="ar"/>
                    </w:rPr>
                    <w:t>气</w:t>
                  </w:r>
                  <w:r>
                    <w:rPr>
                      <w:rFonts w:hint="default" w:ascii="Times New Roman" w:hAnsi="Times New Roman" w:eastAsia="宋体" w:cs="Times New Roman"/>
                      <w:color w:val="auto"/>
                      <w:szCs w:val="21"/>
                      <w:lang w:bidi="ar"/>
                    </w:rPr>
                    <w:t>251119074</w:t>
                  </w:r>
                </w:p>
              </w:tc>
            </w:tr>
            <w:tr w14:paraId="1FE045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1576" w:type="dxa"/>
                  <w:vMerge w:val="continue"/>
                  <w:tcBorders>
                    <w:top w:val="nil"/>
                    <w:left w:val="single" w:color="auto" w:sz="4" w:space="0"/>
                    <w:bottom w:val="single" w:color="auto" w:sz="4" w:space="0"/>
                    <w:right w:val="single" w:color="auto" w:sz="4" w:space="0"/>
                  </w:tcBorders>
                  <w:vAlign w:val="center"/>
                </w:tcPr>
                <w:p w14:paraId="00DB555E">
                  <w:pPr>
                    <w:keepNext w:val="0"/>
                    <w:keepLines w:val="0"/>
                    <w:suppressLineNumbers w:val="0"/>
                    <w:spacing w:before="0" w:beforeAutospacing="0" w:after="0" w:afterAutospacing="0"/>
                    <w:ind w:left="0" w:right="0"/>
                    <w:rPr>
                      <w:rFonts w:hint="default" w:ascii="Times New Roman" w:hAnsi="Times New Roman" w:cs="Times New Roman"/>
                      <w:color w:val="auto"/>
                      <w:sz w:val="20"/>
                      <w:szCs w:val="20"/>
                    </w:rPr>
                  </w:pPr>
                </w:p>
              </w:tc>
              <w:tc>
                <w:tcPr>
                  <w:tcW w:w="1246" w:type="dxa"/>
                  <w:gridSpan w:val="2"/>
                  <w:tcBorders>
                    <w:top w:val="single" w:color="auto" w:sz="4" w:space="0"/>
                    <w:left w:val="single" w:color="auto" w:sz="4" w:space="0"/>
                    <w:bottom w:val="single" w:color="auto" w:sz="4" w:space="0"/>
                    <w:right w:val="single" w:color="auto" w:sz="4" w:space="0"/>
                  </w:tcBorders>
                  <w:vAlign w:val="center"/>
                </w:tcPr>
                <w:p w14:paraId="796697AA">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r>
                    <w:rPr>
                      <w:rFonts w:hint="eastAsia" w:ascii="宋体" w:hAnsi="宋体" w:eastAsia="宋体" w:cs="宋体"/>
                      <w:color w:val="auto"/>
                      <w:szCs w:val="21"/>
                      <w:lang w:bidi="ar"/>
                    </w:rPr>
                    <w:t>排放浓度</w:t>
                  </w:r>
                </w:p>
              </w:tc>
              <w:tc>
                <w:tcPr>
                  <w:tcW w:w="936" w:type="dxa"/>
                  <w:tcBorders>
                    <w:top w:val="single" w:color="auto" w:sz="4" w:space="0"/>
                    <w:left w:val="single" w:color="auto" w:sz="4" w:space="0"/>
                    <w:bottom w:val="single" w:color="auto" w:sz="4" w:space="0"/>
                    <w:right w:val="single" w:color="auto" w:sz="4" w:space="0"/>
                  </w:tcBorders>
                  <w:vAlign w:val="center"/>
                </w:tcPr>
                <w:p w14:paraId="6FD54E84">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lang w:bidi="ar"/>
                    </w:rPr>
                    <w:t>mg/m³</w:t>
                  </w:r>
                </w:p>
              </w:tc>
              <w:tc>
                <w:tcPr>
                  <w:tcW w:w="1775" w:type="dxa"/>
                  <w:tcBorders>
                    <w:top w:val="single" w:color="auto" w:sz="4" w:space="0"/>
                    <w:left w:val="single" w:color="auto" w:sz="4" w:space="0"/>
                    <w:bottom w:val="single" w:color="auto" w:sz="4" w:space="0"/>
                    <w:right w:val="single" w:color="auto" w:sz="4" w:space="0"/>
                  </w:tcBorders>
                  <w:vAlign w:val="center"/>
                </w:tcPr>
                <w:p w14:paraId="653209C6">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lang w:bidi="ar"/>
                    </w:rPr>
                    <w:t>1.18</w:t>
                  </w:r>
                </w:p>
              </w:tc>
              <w:tc>
                <w:tcPr>
                  <w:tcW w:w="1891" w:type="dxa"/>
                  <w:tcBorders>
                    <w:top w:val="single" w:color="auto" w:sz="4" w:space="0"/>
                    <w:left w:val="single" w:color="auto" w:sz="4" w:space="0"/>
                    <w:bottom w:val="single" w:color="auto" w:sz="4" w:space="0"/>
                    <w:right w:val="single" w:color="auto" w:sz="4" w:space="0"/>
                  </w:tcBorders>
                  <w:vAlign w:val="center"/>
                </w:tcPr>
                <w:p w14:paraId="4BADD974">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lang w:bidi="ar"/>
                    </w:rPr>
                    <w:t>1.17</w:t>
                  </w:r>
                </w:p>
              </w:tc>
              <w:tc>
                <w:tcPr>
                  <w:tcW w:w="1898" w:type="dxa"/>
                  <w:tcBorders>
                    <w:top w:val="single" w:color="auto" w:sz="4" w:space="0"/>
                    <w:left w:val="single" w:color="auto" w:sz="4" w:space="0"/>
                    <w:bottom w:val="single" w:color="auto" w:sz="4" w:space="0"/>
                    <w:right w:val="single" w:color="auto" w:sz="4" w:space="0"/>
                  </w:tcBorders>
                  <w:vAlign w:val="center"/>
                </w:tcPr>
                <w:p w14:paraId="677C1FE3">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lang w:bidi="ar"/>
                    </w:rPr>
                    <w:t>1.19</w:t>
                  </w:r>
                </w:p>
              </w:tc>
            </w:tr>
            <w:tr w14:paraId="747FB3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1576" w:type="dxa"/>
                  <w:vMerge w:val="continue"/>
                  <w:tcBorders>
                    <w:top w:val="nil"/>
                    <w:left w:val="single" w:color="auto" w:sz="4" w:space="0"/>
                    <w:bottom w:val="single" w:color="auto" w:sz="4" w:space="0"/>
                    <w:right w:val="single" w:color="auto" w:sz="4" w:space="0"/>
                  </w:tcBorders>
                  <w:vAlign w:val="center"/>
                </w:tcPr>
                <w:p w14:paraId="79C88130">
                  <w:pPr>
                    <w:keepNext w:val="0"/>
                    <w:keepLines w:val="0"/>
                    <w:suppressLineNumbers w:val="0"/>
                    <w:spacing w:before="0" w:beforeAutospacing="0" w:after="0" w:afterAutospacing="0"/>
                    <w:ind w:left="0" w:right="0"/>
                    <w:rPr>
                      <w:rFonts w:hint="default" w:ascii="Times New Roman" w:hAnsi="Times New Roman" w:cs="Times New Roman"/>
                      <w:color w:val="auto"/>
                      <w:sz w:val="20"/>
                      <w:szCs w:val="20"/>
                    </w:rPr>
                  </w:pPr>
                </w:p>
              </w:tc>
              <w:tc>
                <w:tcPr>
                  <w:tcW w:w="1246" w:type="dxa"/>
                  <w:gridSpan w:val="2"/>
                  <w:tcBorders>
                    <w:top w:val="single" w:color="auto" w:sz="4" w:space="0"/>
                    <w:left w:val="single" w:color="auto" w:sz="4" w:space="0"/>
                    <w:bottom w:val="single" w:color="auto" w:sz="4" w:space="0"/>
                    <w:right w:val="single" w:color="auto" w:sz="4" w:space="0"/>
                  </w:tcBorders>
                  <w:vAlign w:val="center"/>
                </w:tcPr>
                <w:p w14:paraId="1C1100DB">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r>
                    <w:rPr>
                      <w:rFonts w:hint="eastAsia" w:ascii="宋体" w:hAnsi="宋体" w:eastAsia="宋体" w:cs="宋体"/>
                      <w:color w:val="auto"/>
                      <w:szCs w:val="21"/>
                      <w:lang w:bidi="ar"/>
                    </w:rPr>
                    <w:t>排放速率</w:t>
                  </w:r>
                </w:p>
              </w:tc>
              <w:tc>
                <w:tcPr>
                  <w:tcW w:w="936" w:type="dxa"/>
                  <w:tcBorders>
                    <w:top w:val="single" w:color="auto" w:sz="4" w:space="0"/>
                    <w:left w:val="single" w:color="auto" w:sz="4" w:space="0"/>
                    <w:bottom w:val="single" w:color="auto" w:sz="4" w:space="0"/>
                    <w:right w:val="single" w:color="auto" w:sz="4" w:space="0"/>
                  </w:tcBorders>
                  <w:vAlign w:val="center"/>
                </w:tcPr>
                <w:p w14:paraId="535A931F">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lang w:bidi="ar"/>
                    </w:rPr>
                    <w:t>kg/h</w:t>
                  </w:r>
                </w:p>
              </w:tc>
              <w:tc>
                <w:tcPr>
                  <w:tcW w:w="1775" w:type="dxa"/>
                  <w:tcBorders>
                    <w:top w:val="single" w:color="auto" w:sz="4" w:space="0"/>
                    <w:left w:val="single" w:color="auto" w:sz="4" w:space="0"/>
                    <w:bottom w:val="single" w:color="auto" w:sz="4" w:space="0"/>
                    <w:right w:val="single" w:color="auto" w:sz="4" w:space="0"/>
                  </w:tcBorders>
                  <w:vAlign w:val="center"/>
                </w:tcPr>
                <w:p w14:paraId="54CAE3A1">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lang w:bidi="ar"/>
                    </w:rPr>
                    <w:t>3.66×10</w:t>
                  </w:r>
                  <w:r>
                    <w:rPr>
                      <w:rFonts w:hint="default" w:ascii="Times New Roman" w:hAnsi="Times New Roman" w:eastAsia="宋体" w:cs="Times New Roman"/>
                      <w:color w:val="auto"/>
                      <w:szCs w:val="21"/>
                      <w:vertAlign w:val="superscript"/>
                      <w:lang w:bidi="ar"/>
                    </w:rPr>
                    <w:t>-</w:t>
                  </w:r>
                  <w:r>
                    <w:rPr>
                      <w:rFonts w:hint="default" w:ascii="Times New Roman" w:hAnsi="Times New Roman" w:eastAsia="宋体" w:cs="Times New Roman"/>
                      <w:color w:val="auto"/>
                      <w:szCs w:val="21"/>
                      <w:lang w:bidi="ar"/>
                    </w:rPr>
                    <w:t>²</w:t>
                  </w:r>
                </w:p>
              </w:tc>
              <w:tc>
                <w:tcPr>
                  <w:tcW w:w="1891" w:type="dxa"/>
                  <w:tcBorders>
                    <w:top w:val="single" w:color="auto" w:sz="4" w:space="0"/>
                    <w:left w:val="single" w:color="auto" w:sz="4" w:space="0"/>
                    <w:bottom w:val="single" w:color="auto" w:sz="4" w:space="0"/>
                    <w:right w:val="single" w:color="auto" w:sz="4" w:space="0"/>
                  </w:tcBorders>
                  <w:vAlign w:val="center"/>
                </w:tcPr>
                <w:p w14:paraId="068B6964">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lang w:bidi="ar"/>
                    </w:rPr>
                    <w:t>3.68×10</w:t>
                  </w:r>
                  <w:r>
                    <w:rPr>
                      <w:rFonts w:hint="default" w:ascii="Times New Roman" w:hAnsi="Times New Roman" w:eastAsia="宋体" w:cs="Times New Roman"/>
                      <w:color w:val="auto"/>
                      <w:szCs w:val="21"/>
                      <w:vertAlign w:val="superscript"/>
                      <w:lang w:bidi="ar"/>
                    </w:rPr>
                    <w:t>-</w:t>
                  </w:r>
                  <w:r>
                    <w:rPr>
                      <w:rFonts w:hint="default" w:ascii="Times New Roman" w:hAnsi="Times New Roman" w:eastAsia="宋体" w:cs="Times New Roman"/>
                      <w:color w:val="auto"/>
                      <w:szCs w:val="21"/>
                      <w:lang w:bidi="ar"/>
                    </w:rPr>
                    <w:t>²</w:t>
                  </w:r>
                </w:p>
              </w:tc>
              <w:tc>
                <w:tcPr>
                  <w:tcW w:w="1898" w:type="dxa"/>
                  <w:tcBorders>
                    <w:top w:val="single" w:color="auto" w:sz="4" w:space="0"/>
                    <w:left w:val="single" w:color="auto" w:sz="4" w:space="0"/>
                    <w:bottom w:val="single" w:color="auto" w:sz="4" w:space="0"/>
                    <w:right w:val="single" w:color="auto" w:sz="4" w:space="0"/>
                  </w:tcBorders>
                  <w:vAlign w:val="center"/>
                </w:tcPr>
                <w:p w14:paraId="2D56C2E6">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lang w:bidi="ar"/>
                    </w:rPr>
                    <w:t>3.70×10</w:t>
                  </w:r>
                  <w:r>
                    <w:rPr>
                      <w:rFonts w:hint="default" w:ascii="Times New Roman" w:hAnsi="Times New Roman" w:eastAsia="宋体" w:cs="Times New Roman"/>
                      <w:color w:val="auto"/>
                      <w:szCs w:val="21"/>
                      <w:vertAlign w:val="superscript"/>
                      <w:lang w:bidi="ar"/>
                    </w:rPr>
                    <w:t>-</w:t>
                  </w:r>
                  <w:r>
                    <w:rPr>
                      <w:rFonts w:hint="default" w:ascii="Times New Roman" w:hAnsi="Times New Roman" w:eastAsia="宋体" w:cs="Times New Roman"/>
                      <w:color w:val="auto"/>
                      <w:szCs w:val="21"/>
                      <w:lang w:bidi="ar"/>
                    </w:rPr>
                    <w:t>²</w:t>
                  </w:r>
                </w:p>
              </w:tc>
            </w:tr>
            <w:tr w14:paraId="74E466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1576" w:type="dxa"/>
                  <w:vMerge w:val="restart"/>
                  <w:tcBorders>
                    <w:top w:val="nil"/>
                    <w:left w:val="single" w:color="auto" w:sz="4" w:space="0"/>
                    <w:bottom w:val="single" w:color="auto" w:sz="4" w:space="0"/>
                    <w:right w:val="single" w:color="auto" w:sz="4" w:space="0"/>
                  </w:tcBorders>
                  <w:vAlign w:val="center"/>
                </w:tcPr>
                <w:p w14:paraId="6212DCBF">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r>
                    <w:rPr>
                      <w:rFonts w:hint="eastAsia" w:ascii="宋体" w:hAnsi="宋体" w:eastAsia="宋体" w:cs="宋体"/>
                      <w:color w:val="auto"/>
                      <w:szCs w:val="21"/>
                      <w:lang w:bidi="ar"/>
                    </w:rPr>
                    <w:t>臭气浓度</w:t>
                  </w:r>
                </w:p>
              </w:tc>
              <w:tc>
                <w:tcPr>
                  <w:tcW w:w="1246" w:type="dxa"/>
                  <w:gridSpan w:val="2"/>
                  <w:tcBorders>
                    <w:top w:val="single" w:color="auto" w:sz="4" w:space="0"/>
                    <w:left w:val="single" w:color="auto" w:sz="4" w:space="0"/>
                    <w:bottom w:val="single" w:color="auto" w:sz="4" w:space="0"/>
                    <w:right w:val="single" w:color="auto" w:sz="4" w:space="0"/>
                  </w:tcBorders>
                  <w:vAlign w:val="center"/>
                </w:tcPr>
                <w:p w14:paraId="08AB7351">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r>
                    <w:rPr>
                      <w:rFonts w:hint="eastAsia" w:ascii="宋体" w:hAnsi="宋体" w:eastAsia="宋体" w:cs="宋体"/>
                      <w:color w:val="auto"/>
                      <w:szCs w:val="21"/>
                      <w:lang w:bidi="ar"/>
                    </w:rPr>
                    <w:t>样品编号</w:t>
                  </w:r>
                </w:p>
              </w:tc>
              <w:tc>
                <w:tcPr>
                  <w:tcW w:w="936" w:type="dxa"/>
                  <w:tcBorders>
                    <w:top w:val="single" w:color="auto" w:sz="4" w:space="0"/>
                    <w:left w:val="single" w:color="auto" w:sz="4" w:space="0"/>
                    <w:bottom w:val="single" w:color="auto" w:sz="4" w:space="0"/>
                    <w:right w:val="single" w:color="auto" w:sz="4" w:space="0"/>
                  </w:tcBorders>
                  <w:vAlign w:val="center"/>
                </w:tcPr>
                <w:p w14:paraId="34739B6E">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lang w:bidi="ar"/>
                    </w:rPr>
                    <w:t>/</w:t>
                  </w:r>
                </w:p>
              </w:tc>
              <w:tc>
                <w:tcPr>
                  <w:tcW w:w="1775" w:type="dxa"/>
                  <w:tcBorders>
                    <w:top w:val="single" w:color="auto" w:sz="4" w:space="0"/>
                    <w:left w:val="single" w:color="auto" w:sz="4" w:space="0"/>
                    <w:bottom w:val="single" w:color="auto" w:sz="4" w:space="0"/>
                    <w:right w:val="single" w:color="auto" w:sz="4" w:space="0"/>
                  </w:tcBorders>
                  <w:vAlign w:val="center"/>
                </w:tcPr>
                <w:p w14:paraId="521E9CDB">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r>
                    <w:rPr>
                      <w:rFonts w:hint="eastAsia" w:ascii="宋体" w:hAnsi="宋体" w:eastAsia="宋体" w:cs="宋体"/>
                      <w:color w:val="auto"/>
                      <w:szCs w:val="21"/>
                      <w:lang w:bidi="ar"/>
                    </w:rPr>
                    <w:t>气</w:t>
                  </w:r>
                  <w:r>
                    <w:rPr>
                      <w:rFonts w:hint="default" w:ascii="Times New Roman" w:hAnsi="Times New Roman" w:eastAsia="宋体" w:cs="Times New Roman"/>
                      <w:color w:val="auto"/>
                      <w:szCs w:val="21"/>
                      <w:lang w:bidi="ar"/>
                    </w:rPr>
                    <w:t>251119075</w:t>
                  </w:r>
                </w:p>
              </w:tc>
              <w:tc>
                <w:tcPr>
                  <w:tcW w:w="1891" w:type="dxa"/>
                  <w:tcBorders>
                    <w:top w:val="single" w:color="auto" w:sz="4" w:space="0"/>
                    <w:left w:val="single" w:color="auto" w:sz="4" w:space="0"/>
                    <w:bottom w:val="single" w:color="auto" w:sz="4" w:space="0"/>
                    <w:right w:val="single" w:color="auto" w:sz="4" w:space="0"/>
                  </w:tcBorders>
                  <w:vAlign w:val="center"/>
                </w:tcPr>
                <w:p w14:paraId="7B746BDA">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r>
                    <w:rPr>
                      <w:rFonts w:hint="eastAsia" w:ascii="宋体" w:hAnsi="宋体" w:eastAsia="宋体" w:cs="宋体"/>
                      <w:color w:val="auto"/>
                      <w:szCs w:val="21"/>
                      <w:lang w:bidi="ar"/>
                    </w:rPr>
                    <w:t>气</w:t>
                  </w:r>
                  <w:r>
                    <w:rPr>
                      <w:rFonts w:hint="default" w:ascii="Times New Roman" w:hAnsi="Times New Roman" w:eastAsia="宋体" w:cs="Times New Roman"/>
                      <w:color w:val="auto"/>
                      <w:szCs w:val="21"/>
                      <w:lang w:bidi="ar"/>
                    </w:rPr>
                    <w:t>251119076</w:t>
                  </w:r>
                </w:p>
              </w:tc>
              <w:tc>
                <w:tcPr>
                  <w:tcW w:w="1898" w:type="dxa"/>
                  <w:tcBorders>
                    <w:top w:val="single" w:color="auto" w:sz="4" w:space="0"/>
                    <w:left w:val="single" w:color="auto" w:sz="4" w:space="0"/>
                    <w:bottom w:val="single" w:color="auto" w:sz="4" w:space="0"/>
                    <w:right w:val="single" w:color="auto" w:sz="4" w:space="0"/>
                  </w:tcBorders>
                  <w:vAlign w:val="center"/>
                </w:tcPr>
                <w:p w14:paraId="3C5A726C">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r>
                    <w:rPr>
                      <w:rFonts w:hint="eastAsia" w:ascii="宋体" w:hAnsi="宋体" w:eastAsia="宋体" w:cs="宋体"/>
                      <w:color w:val="auto"/>
                      <w:szCs w:val="21"/>
                      <w:lang w:bidi="ar"/>
                    </w:rPr>
                    <w:t>气</w:t>
                  </w:r>
                  <w:r>
                    <w:rPr>
                      <w:rFonts w:hint="default" w:ascii="Times New Roman" w:hAnsi="Times New Roman" w:eastAsia="宋体" w:cs="Times New Roman"/>
                      <w:color w:val="auto"/>
                      <w:szCs w:val="21"/>
                      <w:lang w:bidi="ar"/>
                    </w:rPr>
                    <w:t>251119077</w:t>
                  </w:r>
                </w:p>
              </w:tc>
            </w:tr>
            <w:tr w14:paraId="2D95A9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1576" w:type="dxa"/>
                  <w:vMerge w:val="continue"/>
                  <w:tcBorders>
                    <w:top w:val="nil"/>
                    <w:left w:val="single" w:color="auto" w:sz="4" w:space="0"/>
                    <w:bottom w:val="single" w:color="auto" w:sz="4" w:space="0"/>
                    <w:right w:val="single" w:color="auto" w:sz="4" w:space="0"/>
                  </w:tcBorders>
                  <w:vAlign w:val="center"/>
                </w:tcPr>
                <w:p w14:paraId="793107D1">
                  <w:pPr>
                    <w:keepNext w:val="0"/>
                    <w:keepLines w:val="0"/>
                    <w:suppressLineNumbers w:val="0"/>
                    <w:spacing w:before="0" w:beforeAutospacing="0" w:after="0" w:afterAutospacing="0"/>
                    <w:ind w:left="0" w:right="0"/>
                    <w:rPr>
                      <w:rFonts w:hint="default" w:ascii="Times New Roman" w:hAnsi="Times New Roman" w:cs="Times New Roman"/>
                      <w:color w:val="auto"/>
                      <w:sz w:val="20"/>
                      <w:szCs w:val="20"/>
                    </w:rPr>
                  </w:pPr>
                </w:p>
              </w:tc>
              <w:tc>
                <w:tcPr>
                  <w:tcW w:w="1246" w:type="dxa"/>
                  <w:gridSpan w:val="2"/>
                  <w:tcBorders>
                    <w:top w:val="single" w:color="auto" w:sz="4" w:space="0"/>
                    <w:left w:val="single" w:color="auto" w:sz="4" w:space="0"/>
                    <w:bottom w:val="single" w:color="auto" w:sz="4" w:space="0"/>
                    <w:right w:val="single" w:color="auto" w:sz="4" w:space="0"/>
                  </w:tcBorders>
                  <w:vAlign w:val="center"/>
                </w:tcPr>
                <w:p w14:paraId="6905C8BF">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r>
                    <w:rPr>
                      <w:rFonts w:hint="eastAsia" w:ascii="宋体" w:hAnsi="宋体" w:eastAsia="宋体" w:cs="宋体"/>
                      <w:color w:val="auto"/>
                      <w:szCs w:val="21"/>
                      <w:lang w:bidi="ar"/>
                    </w:rPr>
                    <w:t>排放浓度</w:t>
                  </w:r>
                </w:p>
              </w:tc>
              <w:tc>
                <w:tcPr>
                  <w:tcW w:w="936" w:type="dxa"/>
                  <w:tcBorders>
                    <w:top w:val="single" w:color="auto" w:sz="4" w:space="0"/>
                    <w:left w:val="single" w:color="auto" w:sz="4" w:space="0"/>
                    <w:bottom w:val="single" w:color="auto" w:sz="4" w:space="0"/>
                    <w:right w:val="single" w:color="auto" w:sz="4" w:space="0"/>
                  </w:tcBorders>
                  <w:vAlign w:val="center"/>
                </w:tcPr>
                <w:p w14:paraId="1DF32FEA">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r>
                    <w:rPr>
                      <w:rFonts w:hint="eastAsia" w:ascii="宋体" w:hAnsi="宋体" w:eastAsia="宋体" w:cs="宋体"/>
                      <w:color w:val="auto"/>
                      <w:szCs w:val="21"/>
                      <w:lang w:bidi="ar"/>
                    </w:rPr>
                    <w:t>无量纲</w:t>
                  </w:r>
                </w:p>
              </w:tc>
              <w:tc>
                <w:tcPr>
                  <w:tcW w:w="1775" w:type="dxa"/>
                  <w:tcBorders>
                    <w:top w:val="single" w:color="auto" w:sz="4" w:space="0"/>
                    <w:left w:val="single" w:color="auto" w:sz="4" w:space="0"/>
                    <w:bottom w:val="single" w:color="auto" w:sz="4" w:space="0"/>
                    <w:right w:val="single" w:color="auto" w:sz="4" w:space="0"/>
                  </w:tcBorders>
                  <w:vAlign w:val="center"/>
                </w:tcPr>
                <w:p w14:paraId="1581E666">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lang w:bidi="ar"/>
                    </w:rPr>
                    <w:t>269</w:t>
                  </w:r>
                </w:p>
              </w:tc>
              <w:tc>
                <w:tcPr>
                  <w:tcW w:w="1891" w:type="dxa"/>
                  <w:tcBorders>
                    <w:top w:val="single" w:color="auto" w:sz="4" w:space="0"/>
                    <w:left w:val="single" w:color="auto" w:sz="4" w:space="0"/>
                    <w:bottom w:val="single" w:color="auto" w:sz="4" w:space="0"/>
                    <w:right w:val="single" w:color="auto" w:sz="4" w:space="0"/>
                  </w:tcBorders>
                  <w:vAlign w:val="center"/>
                </w:tcPr>
                <w:p w14:paraId="337087FC">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lang w:bidi="ar"/>
                    </w:rPr>
                    <w:t>269</w:t>
                  </w:r>
                </w:p>
              </w:tc>
              <w:tc>
                <w:tcPr>
                  <w:tcW w:w="1898" w:type="dxa"/>
                  <w:tcBorders>
                    <w:top w:val="single" w:color="auto" w:sz="4" w:space="0"/>
                    <w:left w:val="single" w:color="auto" w:sz="4" w:space="0"/>
                    <w:bottom w:val="single" w:color="auto" w:sz="4" w:space="0"/>
                    <w:right w:val="single" w:color="auto" w:sz="4" w:space="0"/>
                  </w:tcBorders>
                  <w:vAlign w:val="center"/>
                </w:tcPr>
                <w:p w14:paraId="7F1D9979">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lang w:bidi="ar"/>
                    </w:rPr>
                    <w:t>269</w:t>
                  </w:r>
                </w:p>
              </w:tc>
            </w:tr>
            <w:tr w14:paraId="5A9865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9322" w:type="dxa"/>
                  <w:gridSpan w:val="7"/>
                  <w:tcBorders>
                    <w:top w:val="single" w:color="auto" w:sz="4" w:space="0"/>
                    <w:left w:val="single" w:color="auto" w:sz="4" w:space="0"/>
                    <w:bottom w:val="single" w:color="auto" w:sz="4" w:space="0"/>
                    <w:right w:val="single" w:color="auto" w:sz="4" w:space="0"/>
                  </w:tcBorders>
                  <w:vAlign w:val="center"/>
                </w:tcPr>
                <w:p w14:paraId="618F896F">
                  <w:pPr>
                    <w:keepNext w:val="0"/>
                    <w:keepLines w:val="0"/>
                    <w:suppressLineNumbers w:val="0"/>
                    <w:spacing w:before="0" w:beforeAutospacing="0" w:after="0" w:afterAutospacing="0"/>
                    <w:ind w:left="0" w:right="0"/>
                    <w:jc w:val="left"/>
                    <w:rPr>
                      <w:rFonts w:hint="default" w:ascii="Times New Roman" w:hAnsi="Times New Roman" w:eastAsia="宋体" w:cs="Times New Roman"/>
                      <w:color w:val="auto"/>
                      <w:szCs w:val="21"/>
                    </w:rPr>
                  </w:pPr>
                  <w:r>
                    <w:rPr>
                      <w:rFonts w:hint="eastAsia" w:ascii="宋体" w:hAnsi="宋体" w:eastAsia="宋体" w:cs="宋体"/>
                      <w:color w:val="auto"/>
                      <w:szCs w:val="21"/>
                      <w:lang w:bidi="ar"/>
                    </w:rPr>
                    <w:t>采样点位：</w:t>
                  </w:r>
                  <w:r>
                    <w:rPr>
                      <w:rFonts w:hint="default" w:ascii="Times New Roman" w:hAnsi="Times New Roman" w:eastAsia="宋体" w:cs="Times New Roman"/>
                      <w:color w:val="auto"/>
                      <w:szCs w:val="21"/>
                      <w:u w:val="single"/>
                      <w:lang w:bidi="ar"/>
                    </w:rPr>
                    <w:t xml:space="preserve">   DA004</w:t>
                  </w:r>
                  <w:r>
                    <w:rPr>
                      <w:rFonts w:hint="eastAsia" w:ascii="宋体" w:hAnsi="宋体" w:eastAsia="宋体" w:cs="宋体"/>
                      <w:color w:val="auto"/>
                      <w:szCs w:val="21"/>
                      <w:u w:val="single"/>
                      <w:lang w:bidi="ar"/>
                    </w:rPr>
                    <w:t xml:space="preserve">背胶废气处理设施进口   </w:t>
                  </w:r>
                  <w:r>
                    <w:rPr>
                      <w:rFonts w:hint="eastAsia" w:ascii="宋体" w:hAnsi="宋体" w:eastAsia="宋体" w:cs="宋体"/>
                      <w:color w:val="auto"/>
                      <w:szCs w:val="21"/>
                      <w:lang w:bidi="ar"/>
                    </w:rPr>
                    <w:t>采样日期：</w:t>
                  </w:r>
                  <w:r>
                    <w:rPr>
                      <w:rFonts w:hint="default" w:ascii="Times New Roman" w:hAnsi="Times New Roman" w:eastAsia="宋体" w:cs="Times New Roman"/>
                      <w:color w:val="auto"/>
                      <w:szCs w:val="21"/>
                      <w:u w:val="single"/>
                      <w:lang w:bidi="ar"/>
                    </w:rPr>
                    <w:t xml:space="preserve">   2025.11.20   </w:t>
                  </w:r>
                </w:p>
              </w:tc>
            </w:tr>
            <w:tr w14:paraId="6A0C61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2822" w:type="dxa"/>
                  <w:gridSpan w:val="3"/>
                  <w:tcBorders>
                    <w:top w:val="single" w:color="auto" w:sz="4" w:space="0"/>
                    <w:left w:val="single" w:color="auto" w:sz="4" w:space="0"/>
                    <w:bottom w:val="single" w:color="auto" w:sz="4" w:space="0"/>
                    <w:right w:val="single" w:color="auto" w:sz="4" w:space="0"/>
                  </w:tcBorders>
                  <w:vAlign w:val="center"/>
                </w:tcPr>
                <w:p w14:paraId="23699BFC">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r>
                    <w:rPr>
                      <w:rFonts w:hint="eastAsia" w:ascii="宋体" w:hAnsi="宋体" w:eastAsia="宋体" w:cs="宋体"/>
                      <w:color w:val="auto"/>
                      <w:szCs w:val="21"/>
                      <w:lang w:bidi="ar"/>
                    </w:rPr>
                    <w:t>检测项目</w:t>
                  </w:r>
                </w:p>
              </w:tc>
              <w:tc>
                <w:tcPr>
                  <w:tcW w:w="936" w:type="dxa"/>
                  <w:tcBorders>
                    <w:top w:val="single" w:color="auto" w:sz="4" w:space="0"/>
                    <w:left w:val="single" w:color="auto" w:sz="4" w:space="0"/>
                    <w:bottom w:val="single" w:color="auto" w:sz="4" w:space="0"/>
                    <w:right w:val="single" w:color="auto" w:sz="4" w:space="0"/>
                  </w:tcBorders>
                  <w:vAlign w:val="center"/>
                </w:tcPr>
                <w:p w14:paraId="2591DA7B">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r>
                    <w:rPr>
                      <w:rFonts w:hint="eastAsia" w:ascii="宋体" w:hAnsi="宋体" w:eastAsia="宋体" w:cs="宋体"/>
                      <w:color w:val="auto"/>
                      <w:szCs w:val="21"/>
                      <w:lang w:bidi="ar"/>
                    </w:rPr>
                    <w:t>单位</w:t>
                  </w:r>
                </w:p>
              </w:tc>
              <w:tc>
                <w:tcPr>
                  <w:tcW w:w="5564" w:type="dxa"/>
                  <w:gridSpan w:val="3"/>
                  <w:tcBorders>
                    <w:top w:val="single" w:color="auto" w:sz="4" w:space="0"/>
                    <w:left w:val="single" w:color="auto" w:sz="4" w:space="0"/>
                    <w:bottom w:val="single" w:color="auto" w:sz="4" w:space="0"/>
                    <w:right w:val="single" w:color="auto" w:sz="4" w:space="0"/>
                  </w:tcBorders>
                  <w:vAlign w:val="center"/>
                </w:tcPr>
                <w:p w14:paraId="6777628B">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r>
                    <w:rPr>
                      <w:rFonts w:hint="eastAsia" w:ascii="宋体" w:hAnsi="宋体" w:eastAsia="宋体" w:cs="宋体"/>
                      <w:color w:val="auto"/>
                      <w:szCs w:val="21"/>
                      <w:lang w:bidi="ar"/>
                    </w:rPr>
                    <w:t>检测结果</w:t>
                  </w:r>
                </w:p>
              </w:tc>
            </w:tr>
            <w:tr w14:paraId="1AF46D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2822" w:type="dxa"/>
                  <w:gridSpan w:val="3"/>
                  <w:tcBorders>
                    <w:top w:val="single" w:color="auto" w:sz="4" w:space="0"/>
                    <w:left w:val="single" w:color="auto" w:sz="4" w:space="0"/>
                    <w:bottom w:val="single" w:color="auto" w:sz="4" w:space="0"/>
                    <w:right w:val="single" w:color="auto" w:sz="4" w:space="0"/>
                  </w:tcBorders>
                  <w:vAlign w:val="center"/>
                </w:tcPr>
                <w:p w14:paraId="780E5112">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r>
                    <w:rPr>
                      <w:rFonts w:hint="eastAsia" w:ascii="宋体" w:hAnsi="宋体" w:eastAsia="宋体" w:cs="宋体"/>
                      <w:color w:val="auto"/>
                      <w:szCs w:val="21"/>
                      <w:lang w:bidi="ar"/>
                    </w:rPr>
                    <w:t>检测管道截面积</w:t>
                  </w:r>
                </w:p>
              </w:tc>
              <w:tc>
                <w:tcPr>
                  <w:tcW w:w="936" w:type="dxa"/>
                  <w:tcBorders>
                    <w:top w:val="single" w:color="auto" w:sz="4" w:space="0"/>
                    <w:left w:val="single" w:color="auto" w:sz="4" w:space="0"/>
                    <w:bottom w:val="single" w:color="auto" w:sz="4" w:space="0"/>
                    <w:right w:val="single" w:color="auto" w:sz="4" w:space="0"/>
                  </w:tcBorders>
                  <w:vAlign w:val="center"/>
                </w:tcPr>
                <w:p w14:paraId="58490F55">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lang w:bidi="ar"/>
                    </w:rPr>
                    <w:t>m²</w:t>
                  </w:r>
                </w:p>
              </w:tc>
              <w:tc>
                <w:tcPr>
                  <w:tcW w:w="1775" w:type="dxa"/>
                  <w:tcBorders>
                    <w:top w:val="single" w:color="auto" w:sz="4" w:space="0"/>
                    <w:left w:val="single" w:color="auto" w:sz="4" w:space="0"/>
                    <w:bottom w:val="single" w:color="auto" w:sz="4" w:space="0"/>
                    <w:right w:val="single" w:color="auto" w:sz="4" w:space="0"/>
                  </w:tcBorders>
                  <w:vAlign w:val="center"/>
                </w:tcPr>
                <w:p w14:paraId="05DE0A06">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lang w:bidi="ar"/>
                    </w:rPr>
                    <w:t>0.5027</w:t>
                  </w:r>
                </w:p>
              </w:tc>
              <w:tc>
                <w:tcPr>
                  <w:tcW w:w="1891" w:type="dxa"/>
                  <w:tcBorders>
                    <w:top w:val="single" w:color="auto" w:sz="4" w:space="0"/>
                    <w:left w:val="single" w:color="auto" w:sz="4" w:space="0"/>
                    <w:bottom w:val="single" w:color="auto" w:sz="4" w:space="0"/>
                    <w:right w:val="single" w:color="auto" w:sz="4" w:space="0"/>
                  </w:tcBorders>
                  <w:vAlign w:val="center"/>
                </w:tcPr>
                <w:p w14:paraId="32332900">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lang w:bidi="ar"/>
                    </w:rPr>
                    <w:t>0.5027</w:t>
                  </w:r>
                </w:p>
              </w:tc>
              <w:tc>
                <w:tcPr>
                  <w:tcW w:w="1898" w:type="dxa"/>
                  <w:tcBorders>
                    <w:top w:val="single" w:color="auto" w:sz="4" w:space="0"/>
                    <w:left w:val="single" w:color="auto" w:sz="4" w:space="0"/>
                    <w:bottom w:val="single" w:color="auto" w:sz="4" w:space="0"/>
                    <w:right w:val="single" w:color="auto" w:sz="4" w:space="0"/>
                  </w:tcBorders>
                  <w:vAlign w:val="center"/>
                </w:tcPr>
                <w:p w14:paraId="6FB8ADE7">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lang w:bidi="ar"/>
                    </w:rPr>
                    <w:t>0.5027</w:t>
                  </w:r>
                </w:p>
              </w:tc>
            </w:tr>
            <w:tr w14:paraId="1DA585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2822" w:type="dxa"/>
                  <w:gridSpan w:val="3"/>
                  <w:tcBorders>
                    <w:top w:val="single" w:color="auto" w:sz="4" w:space="0"/>
                    <w:left w:val="single" w:color="auto" w:sz="4" w:space="0"/>
                    <w:bottom w:val="single" w:color="auto" w:sz="4" w:space="0"/>
                    <w:right w:val="single" w:color="auto" w:sz="4" w:space="0"/>
                  </w:tcBorders>
                  <w:vAlign w:val="center"/>
                </w:tcPr>
                <w:p w14:paraId="2E06A365">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r>
                    <w:rPr>
                      <w:rFonts w:hint="eastAsia" w:ascii="宋体" w:hAnsi="宋体" w:eastAsia="宋体" w:cs="宋体"/>
                      <w:color w:val="auto"/>
                      <w:szCs w:val="21"/>
                      <w:lang w:bidi="ar"/>
                    </w:rPr>
                    <w:t>烟气温度</w:t>
                  </w:r>
                </w:p>
              </w:tc>
              <w:tc>
                <w:tcPr>
                  <w:tcW w:w="936" w:type="dxa"/>
                  <w:tcBorders>
                    <w:top w:val="single" w:color="auto" w:sz="4" w:space="0"/>
                    <w:left w:val="single" w:color="auto" w:sz="4" w:space="0"/>
                    <w:bottom w:val="single" w:color="auto" w:sz="4" w:space="0"/>
                    <w:right w:val="single" w:color="auto" w:sz="4" w:space="0"/>
                  </w:tcBorders>
                  <w:vAlign w:val="center"/>
                </w:tcPr>
                <w:p w14:paraId="4FB71FF9">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lang w:bidi="ar"/>
                    </w:rPr>
                    <w:t>℃</w:t>
                  </w:r>
                </w:p>
              </w:tc>
              <w:tc>
                <w:tcPr>
                  <w:tcW w:w="1775" w:type="dxa"/>
                  <w:tcBorders>
                    <w:top w:val="single" w:color="auto" w:sz="4" w:space="0"/>
                    <w:left w:val="single" w:color="auto" w:sz="4" w:space="0"/>
                    <w:bottom w:val="single" w:color="auto" w:sz="4" w:space="0"/>
                    <w:right w:val="single" w:color="auto" w:sz="4" w:space="0"/>
                  </w:tcBorders>
                  <w:vAlign w:val="center"/>
                </w:tcPr>
                <w:p w14:paraId="3F527BD5">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lang w:bidi="ar"/>
                    </w:rPr>
                    <w:t>19.5</w:t>
                  </w:r>
                </w:p>
              </w:tc>
              <w:tc>
                <w:tcPr>
                  <w:tcW w:w="1891" w:type="dxa"/>
                  <w:tcBorders>
                    <w:top w:val="single" w:color="auto" w:sz="4" w:space="0"/>
                    <w:left w:val="single" w:color="auto" w:sz="4" w:space="0"/>
                    <w:bottom w:val="single" w:color="auto" w:sz="4" w:space="0"/>
                    <w:right w:val="single" w:color="auto" w:sz="4" w:space="0"/>
                  </w:tcBorders>
                  <w:vAlign w:val="center"/>
                </w:tcPr>
                <w:p w14:paraId="5A657531">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lang w:bidi="ar"/>
                    </w:rPr>
                    <w:t>19.7</w:t>
                  </w:r>
                </w:p>
              </w:tc>
              <w:tc>
                <w:tcPr>
                  <w:tcW w:w="1898" w:type="dxa"/>
                  <w:tcBorders>
                    <w:top w:val="single" w:color="auto" w:sz="4" w:space="0"/>
                    <w:left w:val="single" w:color="auto" w:sz="4" w:space="0"/>
                    <w:bottom w:val="single" w:color="auto" w:sz="4" w:space="0"/>
                    <w:right w:val="single" w:color="auto" w:sz="4" w:space="0"/>
                  </w:tcBorders>
                  <w:vAlign w:val="center"/>
                </w:tcPr>
                <w:p w14:paraId="014DB857">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lang w:bidi="ar"/>
                    </w:rPr>
                    <w:t>19.7</w:t>
                  </w:r>
                </w:p>
              </w:tc>
            </w:tr>
            <w:tr w14:paraId="77785C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2822" w:type="dxa"/>
                  <w:gridSpan w:val="3"/>
                  <w:tcBorders>
                    <w:top w:val="single" w:color="auto" w:sz="4" w:space="0"/>
                    <w:left w:val="single" w:color="auto" w:sz="4" w:space="0"/>
                    <w:bottom w:val="single" w:color="auto" w:sz="4" w:space="0"/>
                    <w:right w:val="single" w:color="auto" w:sz="4" w:space="0"/>
                  </w:tcBorders>
                  <w:vAlign w:val="center"/>
                </w:tcPr>
                <w:p w14:paraId="71FC5354">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r>
                    <w:rPr>
                      <w:rFonts w:hint="eastAsia" w:ascii="宋体" w:hAnsi="宋体" w:eastAsia="宋体" w:cs="宋体"/>
                      <w:color w:val="auto"/>
                      <w:szCs w:val="21"/>
                      <w:lang w:bidi="ar"/>
                    </w:rPr>
                    <w:t>烟气平均流速</w:t>
                  </w:r>
                </w:p>
              </w:tc>
              <w:tc>
                <w:tcPr>
                  <w:tcW w:w="936" w:type="dxa"/>
                  <w:tcBorders>
                    <w:top w:val="single" w:color="auto" w:sz="4" w:space="0"/>
                    <w:left w:val="single" w:color="auto" w:sz="4" w:space="0"/>
                    <w:bottom w:val="single" w:color="auto" w:sz="4" w:space="0"/>
                    <w:right w:val="single" w:color="auto" w:sz="4" w:space="0"/>
                  </w:tcBorders>
                  <w:vAlign w:val="center"/>
                </w:tcPr>
                <w:p w14:paraId="7815B3B6">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lang w:bidi="ar"/>
                    </w:rPr>
                    <w:t>m/s</w:t>
                  </w:r>
                </w:p>
              </w:tc>
              <w:tc>
                <w:tcPr>
                  <w:tcW w:w="1775" w:type="dxa"/>
                  <w:tcBorders>
                    <w:top w:val="single" w:color="auto" w:sz="4" w:space="0"/>
                    <w:left w:val="single" w:color="auto" w:sz="4" w:space="0"/>
                    <w:bottom w:val="single" w:color="auto" w:sz="4" w:space="0"/>
                    <w:right w:val="single" w:color="auto" w:sz="4" w:space="0"/>
                  </w:tcBorders>
                  <w:vAlign w:val="center"/>
                </w:tcPr>
                <w:p w14:paraId="739C4ED1">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lang w:bidi="ar"/>
                    </w:rPr>
                    <w:t>16.8</w:t>
                  </w:r>
                </w:p>
              </w:tc>
              <w:tc>
                <w:tcPr>
                  <w:tcW w:w="1891" w:type="dxa"/>
                  <w:tcBorders>
                    <w:top w:val="single" w:color="auto" w:sz="4" w:space="0"/>
                    <w:left w:val="single" w:color="auto" w:sz="4" w:space="0"/>
                    <w:bottom w:val="single" w:color="auto" w:sz="4" w:space="0"/>
                    <w:right w:val="single" w:color="auto" w:sz="4" w:space="0"/>
                  </w:tcBorders>
                  <w:vAlign w:val="center"/>
                </w:tcPr>
                <w:p w14:paraId="4E8891F3">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lang w:bidi="ar"/>
                    </w:rPr>
                    <w:t>16.8</w:t>
                  </w:r>
                </w:p>
              </w:tc>
              <w:tc>
                <w:tcPr>
                  <w:tcW w:w="1898" w:type="dxa"/>
                  <w:tcBorders>
                    <w:top w:val="single" w:color="auto" w:sz="4" w:space="0"/>
                    <w:left w:val="single" w:color="auto" w:sz="4" w:space="0"/>
                    <w:bottom w:val="single" w:color="auto" w:sz="4" w:space="0"/>
                    <w:right w:val="single" w:color="auto" w:sz="4" w:space="0"/>
                  </w:tcBorders>
                  <w:vAlign w:val="center"/>
                </w:tcPr>
                <w:p w14:paraId="6853F203">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lang w:bidi="ar"/>
                    </w:rPr>
                    <w:t>16.9</w:t>
                  </w:r>
                </w:p>
              </w:tc>
            </w:tr>
            <w:tr w14:paraId="389829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2822" w:type="dxa"/>
                  <w:gridSpan w:val="3"/>
                  <w:tcBorders>
                    <w:top w:val="single" w:color="auto" w:sz="4" w:space="0"/>
                    <w:left w:val="single" w:color="auto" w:sz="4" w:space="0"/>
                    <w:bottom w:val="single" w:color="auto" w:sz="4" w:space="0"/>
                    <w:right w:val="single" w:color="auto" w:sz="4" w:space="0"/>
                  </w:tcBorders>
                  <w:vAlign w:val="center"/>
                </w:tcPr>
                <w:p w14:paraId="5F6EFA1D">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r>
                    <w:rPr>
                      <w:rFonts w:hint="eastAsia" w:ascii="宋体" w:hAnsi="宋体" w:eastAsia="宋体" w:cs="宋体"/>
                      <w:color w:val="auto"/>
                      <w:szCs w:val="21"/>
                      <w:lang w:bidi="ar"/>
                    </w:rPr>
                    <w:t>标态干烟气量</w:t>
                  </w:r>
                </w:p>
              </w:tc>
              <w:tc>
                <w:tcPr>
                  <w:tcW w:w="936" w:type="dxa"/>
                  <w:tcBorders>
                    <w:top w:val="single" w:color="auto" w:sz="4" w:space="0"/>
                    <w:left w:val="single" w:color="auto" w:sz="4" w:space="0"/>
                    <w:bottom w:val="single" w:color="auto" w:sz="4" w:space="0"/>
                    <w:right w:val="single" w:color="auto" w:sz="4" w:space="0"/>
                  </w:tcBorders>
                  <w:vAlign w:val="center"/>
                </w:tcPr>
                <w:p w14:paraId="3F7E23B2">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lang w:bidi="ar"/>
                    </w:rPr>
                    <w:t>m³/h</w:t>
                  </w:r>
                </w:p>
              </w:tc>
              <w:tc>
                <w:tcPr>
                  <w:tcW w:w="1775" w:type="dxa"/>
                  <w:tcBorders>
                    <w:top w:val="single" w:color="auto" w:sz="4" w:space="0"/>
                    <w:left w:val="single" w:color="auto" w:sz="4" w:space="0"/>
                    <w:bottom w:val="single" w:color="auto" w:sz="4" w:space="0"/>
                    <w:right w:val="single" w:color="auto" w:sz="4" w:space="0"/>
                  </w:tcBorders>
                  <w:vAlign w:val="center"/>
                </w:tcPr>
                <w:p w14:paraId="652C327D">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lang w:bidi="ar"/>
                    </w:rPr>
                    <w:t>28329</w:t>
                  </w:r>
                </w:p>
              </w:tc>
              <w:tc>
                <w:tcPr>
                  <w:tcW w:w="1891" w:type="dxa"/>
                  <w:tcBorders>
                    <w:top w:val="single" w:color="auto" w:sz="4" w:space="0"/>
                    <w:left w:val="single" w:color="auto" w:sz="4" w:space="0"/>
                    <w:bottom w:val="single" w:color="auto" w:sz="4" w:space="0"/>
                    <w:right w:val="single" w:color="auto" w:sz="4" w:space="0"/>
                  </w:tcBorders>
                  <w:vAlign w:val="center"/>
                </w:tcPr>
                <w:p w14:paraId="6B99C28B">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lang w:bidi="ar"/>
                    </w:rPr>
                    <w:t>28319</w:t>
                  </w:r>
                </w:p>
              </w:tc>
              <w:tc>
                <w:tcPr>
                  <w:tcW w:w="1898" w:type="dxa"/>
                  <w:tcBorders>
                    <w:top w:val="single" w:color="auto" w:sz="4" w:space="0"/>
                    <w:left w:val="single" w:color="auto" w:sz="4" w:space="0"/>
                    <w:bottom w:val="single" w:color="auto" w:sz="4" w:space="0"/>
                    <w:right w:val="single" w:color="auto" w:sz="4" w:space="0"/>
                  </w:tcBorders>
                  <w:vAlign w:val="center"/>
                </w:tcPr>
                <w:p w14:paraId="04C9463C">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lang w:bidi="ar"/>
                    </w:rPr>
                    <w:t>28417</w:t>
                  </w:r>
                </w:p>
              </w:tc>
            </w:tr>
            <w:tr w14:paraId="296535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1576" w:type="dxa"/>
                  <w:vMerge w:val="restart"/>
                  <w:tcBorders>
                    <w:top w:val="nil"/>
                    <w:left w:val="single" w:color="auto" w:sz="4" w:space="0"/>
                    <w:bottom w:val="single" w:color="auto" w:sz="4" w:space="0"/>
                    <w:right w:val="single" w:color="auto" w:sz="4" w:space="0"/>
                  </w:tcBorders>
                  <w:vAlign w:val="center"/>
                </w:tcPr>
                <w:p w14:paraId="407B8083">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r>
                    <w:rPr>
                      <w:rFonts w:hint="eastAsia" w:ascii="宋体" w:hAnsi="宋体" w:eastAsia="宋体" w:cs="宋体"/>
                      <w:color w:val="auto"/>
                      <w:szCs w:val="21"/>
                      <w:lang w:bidi="ar"/>
                    </w:rPr>
                    <w:t>非甲烷总烃</w:t>
                  </w:r>
                </w:p>
              </w:tc>
              <w:tc>
                <w:tcPr>
                  <w:tcW w:w="1246" w:type="dxa"/>
                  <w:gridSpan w:val="2"/>
                  <w:tcBorders>
                    <w:top w:val="single" w:color="auto" w:sz="4" w:space="0"/>
                    <w:left w:val="single" w:color="auto" w:sz="4" w:space="0"/>
                    <w:bottom w:val="single" w:color="auto" w:sz="4" w:space="0"/>
                    <w:right w:val="single" w:color="auto" w:sz="4" w:space="0"/>
                  </w:tcBorders>
                  <w:vAlign w:val="center"/>
                </w:tcPr>
                <w:p w14:paraId="5CFE09F7">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r>
                    <w:rPr>
                      <w:rFonts w:hint="eastAsia" w:ascii="宋体" w:hAnsi="宋体" w:eastAsia="宋体" w:cs="宋体"/>
                      <w:color w:val="auto"/>
                      <w:szCs w:val="21"/>
                      <w:lang w:bidi="ar"/>
                    </w:rPr>
                    <w:t>样品编号</w:t>
                  </w:r>
                </w:p>
              </w:tc>
              <w:tc>
                <w:tcPr>
                  <w:tcW w:w="936" w:type="dxa"/>
                  <w:tcBorders>
                    <w:top w:val="single" w:color="auto" w:sz="4" w:space="0"/>
                    <w:left w:val="single" w:color="auto" w:sz="4" w:space="0"/>
                    <w:bottom w:val="single" w:color="auto" w:sz="4" w:space="0"/>
                    <w:right w:val="single" w:color="auto" w:sz="4" w:space="0"/>
                  </w:tcBorders>
                  <w:vAlign w:val="center"/>
                </w:tcPr>
                <w:p w14:paraId="18D1238C">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lang w:bidi="ar"/>
                    </w:rPr>
                    <w:t>/</w:t>
                  </w:r>
                </w:p>
              </w:tc>
              <w:tc>
                <w:tcPr>
                  <w:tcW w:w="1775" w:type="dxa"/>
                  <w:tcBorders>
                    <w:top w:val="single" w:color="auto" w:sz="4" w:space="0"/>
                    <w:left w:val="single" w:color="auto" w:sz="4" w:space="0"/>
                    <w:bottom w:val="single" w:color="auto" w:sz="4" w:space="0"/>
                    <w:right w:val="single" w:color="auto" w:sz="4" w:space="0"/>
                  </w:tcBorders>
                  <w:vAlign w:val="center"/>
                </w:tcPr>
                <w:p w14:paraId="2A4D6B08">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r>
                    <w:rPr>
                      <w:rFonts w:hint="eastAsia" w:ascii="宋体" w:hAnsi="宋体" w:eastAsia="宋体" w:cs="宋体"/>
                      <w:color w:val="auto"/>
                      <w:szCs w:val="21"/>
                      <w:lang w:bidi="ar"/>
                    </w:rPr>
                    <w:t>气</w:t>
                  </w:r>
                  <w:r>
                    <w:rPr>
                      <w:rFonts w:hint="default" w:ascii="Times New Roman" w:hAnsi="Times New Roman" w:eastAsia="宋体" w:cs="Times New Roman"/>
                      <w:color w:val="auto"/>
                      <w:szCs w:val="21"/>
                      <w:lang w:bidi="ar"/>
                    </w:rPr>
                    <w:t>251120168</w:t>
                  </w:r>
                </w:p>
              </w:tc>
              <w:tc>
                <w:tcPr>
                  <w:tcW w:w="1891" w:type="dxa"/>
                  <w:tcBorders>
                    <w:top w:val="single" w:color="auto" w:sz="4" w:space="0"/>
                    <w:left w:val="single" w:color="auto" w:sz="4" w:space="0"/>
                    <w:bottom w:val="single" w:color="auto" w:sz="4" w:space="0"/>
                    <w:right w:val="single" w:color="auto" w:sz="4" w:space="0"/>
                  </w:tcBorders>
                  <w:vAlign w:val="center"/>
                </w:tcPr>
                <w:p w14:paraId="770FDC15">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r>
                    <w:rPr>
                      <w:rFonts w:hint="eastAsia" w:ascii="宋体" w:hAnsi="宋体" w:eastAsia="宋体" w:cs="宋体"/>
                      <w:color w:val="auto"/>
                      <w:szCs w:val="21"/>
                      <w:lang w:bidi="ar"/>
                    </w:rPr>
                    <w:t>气</w:t>
                  </w:r>
                  <w:r>
                    <w:rPr>
                      <w:rFonts w:hint="default" w:ascii="Times New Roman" w:hAnsi="Times New Roman" w:eastAsia="宋体" w:cs="Times New Roman"/>
                      <w:color w:val="auto"/>
                      <w:szCs w:val="21"/>
                      <w:lang w:bidi="ar"/>
                    </w:rPr>
                    <w:t>251120169</w:t>
                  </w:r>
                </w:p>
              </w:tc>
              <w:tc>
                <w:tcPr>
                  <w:tcW w:w="1898" w:type="dxa"/>
                  <w:tcBorders>
                    <w:top w:val="single" w:color="auto" w:sz="4" w:space="0"/>
                    <w:left w:val="single" w:color="auto" w:sz="4" w:space="0"/>
                    <w:bottom w:val="single" w:color="auto" w:sz="4" w:space="0"/>
                    <w:right w:val="single" w:color="auto" w:sz="4" w:space="0"/>
                  </w:tcBorders>
                  <w:vAlign w:val="center"/>
                </w:tcPr>
                <w:p w14:paraId="367B0B17">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r>
                    <w:rPr>
                      <w:rFonts w:hint="eastAsia" w:ascii="宋体" w:hAnsi="宋体" w:eastAsia="宋体" w:cs="宋体"/>
                      <w:color w:val="auto"/>
                      <w:szCs w:val="21"/>
                      <w:lang w:bidi="ar"/>
                    </w:rPr>
                    <w:t>气</w:t>
                  </w:r>
                  <w:r>
                    <w:rPr>
                      <w:rFonts w:hint="default" w:ascii="Times New Roman" w:hAnsi="Times New Roman" w:eastAsia="宋体" w:cs="Times New Roman"/>
                      <w:color w:val="auto"/>
                      <w:szCs w:val="21"/>
                      <w:lang w:bidi="ar"/>
                    </w:rPr>
                    <w:t>251120170</w:t>
                  </w:r>
                </w:p>
              </w:tc>
            </w:tr>
            <w:tr w14:paraId="059593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1576" w:type="dxa"/>
                  <w:vMerge w:val="continue"/>
                  <w:tcBorders>
                    <w:top w:val="nil"/>
                    <w:left w:val="single" w:color="auto" w:sz="4" w:space="0"/>
                    <w:bottom w:val="single" w:color="auto" w:sz="4" w:space="0"/>
                    <w:right w:val="single" w:color="auto" w:sz="4" w:space="0"/>
                  </w:tcBorders>
                  <w:vAlign w:val="center"/>
                </w:tcPr>
                <w:p w14:paraId="2ACC73D3">
                  <w:pPr>
                    <w:keepNext w:val="0"/>
                    <w:keepLines w:val="0"/>
                    <w:suppressLineNumbers w:val="0"/>
                    <w:spacing w:before="0" w:beforeAutospacing="0" w:after="0" w:afterAutospacing="0"/>
                    <w:ind w:left="0" w:right="0"/>
                    <w:rPr>
                      <w:rFonts w:hint="default" w:ascii="Times New Roman" w:hAnsi="Times New Roman" w:cs="Times New Roman"/>
                      <w:color w:val="auto"/>
                      <w:sz w:val="20"/>
                      <w:szCs w:val="20"/>
                    </w:rPr>
                  </w:pPr>
                </w:p>
              </w:tc>
              <w:tc>
                <w:tcPr>
                  <w:tcW w:w="1246" w:type="dxa"/>
                  <w:gridSpan w:val="2"/>
                  <w:tcBorders>
                    <w:top w:val="single" w:color="auto" w:sz="4" w:space="0"/>
                    <w:left w:val="single" w:color="auto" w:sz="4" w:space="0"/>
                    <w:bottom w:val="single" w:color="auto" w:sz="4" w:space="0"/>
                    <w:right w:val="single" w:color="auto" w:sz="4" w:space="0"/>
                  </w:tcBorders>
                  <w:vAlign w:val="center"/>
                </w:tcPr>
                <w:p w14:paraId="00843468">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r>
                    <w:rPr>
                      <w:rFonts w:hint="eastAsia" w:ascii="宋体" w:hAnsi="宋体" w:eastAsia="宋体" w:cs="宋体"/>
                      <w:color w:val="auto"/>
                      <w:szCs w:val="21"/>
                      <w:lang w:bidi="ar"/>
                    </w:rPr>
                    <w:t>排放浓度</w:t>
                  </w:r>
                </w:p>
              </w:tc>
              <w:tc>
                <w:tcPr>
                  <w:tcW w:w="936" w:type="dxa"/>
                  <w:tcBorders>
                    <w:top w:val="single" w:color="auto" w:sz="4" w:space="0"/>
                    <w:left w:val="single" w:color="auto" w:sz="4" w:space="0"/>
                    <w:bottom w:val="single" w:color="auto" w:sz="4" w:space="0"/>
                    <w:right w:val="single" w:color="auto" w:sz="4" w:space="0"/>
                  </w:tcBorders>
                  <w:vAlign w:val="center"/>
                </w:tcPr>
                <w:p w14:paraId="6ADB2995">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lang w:bidi="ar"/>
                    </w:rPr>
                    <w:t>mg/m³</w:t>
                  </w:r>
                </w:p>
              </w:tc>
              <w:tc>
                <w:tcPr>
                  <w:tcW w:w="1775" w:type="dxa"/>
                  <w:tcBorders>
                    <w:top w:val="single" w:color="auto" w:sz="4" w:space="0"/>
                    <w:left w:val="single" w:color="auto" w:sz="4" w:space="0"/>
                    <w:bottom w:val="single" w:color="auto" w:sz="4" w:space="0"/>
                    <w:right w:val="single" w:color="auto" w:sz="4" w:space="0"/>
                  </w:tcBorders>
                  <w:vAlign w:val="center"/>
                </w:tcPr>
                <w:p w14:paraId="74D734FC">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lang w:bidi="ar"/>
                    </w:rPr>
                    <w:t>11.8</w:t>
                  </w:r>
                </w:p>
              </w:tc>
              <w:tc>
                <w:tcPr>
                  <w:tcW w:w="1891" w:type="dxa"/>
                  <w:tcBorders>
                    <w:top w:val="single" w:color="auto" w:sz="4" w:space="0"/>
                    <w:left w:val="single" w:color="auto" w:sz="4" w:space="0"/>
                    <w:bottom w:val="single" w:color="auto" w:sz="4" w:space="0"/>
                    <w:right w:val="single" w:color="auto" w:sz="4" w:space="0"/>
                  </w:tcBorders>
                  <w:vAlign w:val="center"/>
                </w:tcPr>
                <w:p w14:paraId="7F1896A9">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lang w:bidi="ar"/>
                    </w:rPr>
                    <w:t>12.4</w:t>
                  </w:r>
                </w:p>
              </w:tc>
              <w:tc>
                <w:tcPr>
                  <w:tcW w:w="1898" w:type="dxa"/>
                  <w:tcBorders>
                    <w:top w:val="single" w:color="auto" w:sz="4" w:space="0"/>
                    <w:left w:val="single" w:color="auto" w:sz="4" w:space="0"/>
                    <w:bottom w:val="single" w:color="auto" w:sz="4" w:space="0"/>
                    <w:right w:val="single" w:color="auto" w:sz="4" w:space="0"/>
                  </w:tcBorders>
                  <w:vAlign w:val="center"/>
                </w:tcPr>
                <w:p w14:paraId="6D58DFFB">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lang w:bidi="ar"/>
                    </w:rPr>
                    <w:t>12.3</w:t>
                  </w:r>
                </w:p>
              </w:tc>
            </w:tr>
            <w:tr w14:paraId="14C453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1576" w:type="dxa"/>
                  <w:vMerge w:val="continue"/>
                  <w:tcBorders>
                    <w:top w:val="nil"/>
                    <w:left w:val="single" w:color="auto" w:sz="4" w:space="0"/>
                    <w:bottom w:val="single" w:color="auto" w:sz="4" w:space="0"/>
                    <w:right w:val="single" w:color="auto" w:sz="4" w:space="0"/>
                  </w:tcBorders>
                  <w:vAlign w:val="center"/>
                </w:tcPr>
                <w:p w14:paraId="56485DF4">
                  <w:pPr>
                    <w:keepNext w:val="0"/>
                    <w:keepLines w:val="0"/>
                    <w:suppressLineNumbers w:val="0"/>
                    <w:spacing w:before="0" w:beforeAutospacing="0" w:after="0" w:afterAutospacing="0"/>
                    <w:ind w:left="0" w:right="0"/>
                    <w:rPr>
                      <w:rFonts w:hint="default" w:ascii="Times New Roman" w:hAnsi="Times New Roman" w:cs="Times New Roman"/>
                      <w:color w:val="auto"/>
                      <w:sz w:val="20"/>
                      <w:szCs w:val="20"/>
                    </w:rPr>
                  </w:pPr>
                </w:p>
              </w:tc>
              <w:tc>
                <w:tcPr>
                  <w:tcW w:w="1246" w:type="dxa"/>
                  <w:gridSpan w:val="2"/>
                  <w:tcBorders>
                    <w:top w:val="single" w:color="auto" w:sz="4" w:space="0"/>
                    <w:left w:val="single" w:color="auto" w:sz="4" w:space="0"/>
                    <w:bottom w:val="single" w:color="auto" w:sz="4" w:space="0"/>
                    <w:right w:val="single" w:color="auto" w:sz="4" w:space="0"/>
                  </w:tcBorders>
                  <w:vAlign w:val="center"/>
                </w:tcPr>
                <w:p w14:paraId="31494C48">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r>
                    <w:rPr>
                      <w:rFonts w:hint="eastAsia" w:ascii="宋体" w:hAnsi="宋体" w:eastAsia="宋体" w:cs="宋体"/>
                      <w:color w:val="auto"/>
                      <w:szCs w:val="21"/>
                      <w:lang w:bidi="ar"/>
                    </w:rPr>
                    <w:t>排放速率</w:t>
                  </w:r>
                </w:p>
              </w:tc>
              <w:tc>
                <w:tcPr>
                  <w:tcW w:w="936" w:type="dxa"/>
                  <w:tcBorders>
                    <w:top w:val="single" w:color="auto" w:sz="4" w:space="0"/>
                    <w:left w:val="single" w:color="auto" w:sz="4" w:space="0"/>
                    <w:bottom w:val="single" w:color="auto" w:sz="4" w:space="0"/>
                    <w:right w:val="single" w:color="auto" w:sz="4" w:space="0"/>
                  </w:tcBorders>
                  <w:vAlign w:val="center"/>
                </w:tcPr>
                <w:p w14:paraId="64003C8C">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lang w:bidi="ar"/>
                    </w:rPr>
                    <w:t>kg/h</w:t>
                  </w:r>
                </w:p>
              </w:tc>
              <w:tc>
                <w:tcPr>
                  <w:tcW w:w="1775" w:type="dxa"/>
                  <w:tcBorders>
                    <w:top w:val="single" w:color="auto" w:sz="4" w:space="0"/>
                    <w:left w:val="single" w:color="auto" w:sz="4" w:space="0"/>
                    <w:bottom w:val="single" w:color="auto" w:sz="4" w:space="0"/>
                    <w:right w:val="single" w:color="auto" w:sz="4" w:space="0"/>
                  </w:tcBorders>
                  <w:vAlign w:val="center"/>
                </w:tcPr>
                <w:p w14:paraId="781FB141">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lang w:bidi="ar"/>
                    </w:rPr>
                    <w:t>0.334</w:t>
                  </w:r>
                </w:p>
              </w:tc>
              <w:tc>
                <w:tcPr>
                  <w:tcW w:w="1891" w:type="dxa"/>
                  <w:tcBorders>
                    <w:top w:val="single" w:color="auto" w:sz="4" w:space="0"/>
                    <w:left w:val="single" w:color="auto" w:sz="4" w:space="0"/>
                    <w:bottom w:val="single" w:color="auto" w:sz="4" w:space="0"/>
                    <w:right w:val="single" w:color="auto" w:sz="4" w:space="0"/>
                  </w:tcBorders>
                  <w:vAlign w:val="center"/>
                </w:tcPr>
                <w:p w14:paraId="72E0081E">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lang w:bidi="ar"/>
                    </w:rPr>
                    <w:t>0.351</w:t>
                  </w:r>
                </w:p>
              </w:tc>
              <w:tc>
                <w:tcPr>
                  <w:tcW w:w="1898" w:type="dxa"/>
                  <w:tcBorders>
                    <w:top w:val="single" w:color="auto" w:sz="4" w:space="0"/>
                    <w:left w:val="single" w:color="auto" w:sz="4" w:space="0"/>
                    <w:bottom w:val="single" w:color="auto" w:sz="4" w:space="0"/>
                    <w:right w:val="single" w:color="auto" w:sz="4" w:space="0"/>
                  </w:tcBorders>
                  <w:vAlign w:val="center"/>
                </w:tcPr>
                <w:p w14:paraId="17A44A55">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lang w:bidi="ar"/>
                    </w:rPr>
                    <w:t>0.350</w:t>
                  </w:r>
                </w:p>
              </w:tc>
            </w:tr>
            <w:tr w14:paraId="6B2BAB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9322" w:type="dxa"/>
                  <w:gridSpan w:val="7"/>
                  <w:tcBorders>
                    <w:top w:val="single" w:color="auto" w:sz="4" w:space="0"/>
                    <w:left w:val="single" w:color="auto" w:sz="4" w:space="0"/>
                    <w:bottom w:val="single" w:color="auto" w:sz="4" w:space="0"/>
                    <w:right w:val="single" w:color="auto" w:sz="4" w:space="0"/>
                  </w:tcBorders>
                  <w:vAlign w:val="center"/>
                </w:tcPr>
                <w:p w14:paraId="4AD1BC25">
                  <w:pPr>
                    <w:keepNext w:val="0"/>
                    <w:keepLines w:val="0"/>
                    <w:suppressLineNumbers w:val="0"/>
                    <w:spacing w:before="0" w:beforeAutospacing="0" w:after="0" w:afterAutospacing="0"/>
                    <w:ind w:left="0" w:right="0"/>
                    <w:jc w:val="left"/>
                    <w:rPr>
                      <w:rFonts w:hint="default" w:ascii="Times New Roman" w:hAnsi="Times New Roman" w:eastAsia="宋体" w:cs="Times New Roman"/>
                      <w:color w:val="auto"/>
                      <w:szCs w:val="21"/>
                    </w:rPr>
                  </w:pPr>
                  <w:r>
                    <w:rPr>
                      <w:rFonts w:hint="eastAsia" w:ascii="宋体" w:hAnsi="宋体" w:eastAsia="宋体" w:cs="宋体"/>
                      <w:color w:val="auto"/>
                      <w:szCs w:val="21"/>
                      <w:lang w:bidi="ar"/>
                    </w:rPr>
                    <w:t>采样点位：</w:t>
                  </w:r>
                  <w:r>
                    <w:rPr>
                      <w:rFonts w:hint="default" w:ascii="Times New Roman" w:hAnsi="Times New Roman" w:eastAsia="宋体" w:cs="Times New Roman"/>
                      <w:color w:val="auto"/>
                      <w:szCs w:val="21"/>
                      <w:u w:val="single"/>
                      <w:lang w:bidi="ar"/>
                    </w:rPr>
                    <w:t xml:space="preserve">   DA004</w:t>
                  </w:r>
                  <w:r>
                    <w:rPr>
                      <w:rFonts w:hint="eastAsia" w:ascii="宋体" w:hAnsi="宋体" w:eastAsia="宋体" w:cs="宋体"/>
                      <w:color w:val="auto"/>
                      <w:szCs w:val="21"/>
                      <w:u w:val="single"/>
                      <w:lang w:bidi="ar"/>
                    </w:rPr>
                    <w:t xml:space="preserve">背胶废气处理设施出口   </w:t>
                  </w:r>
                  <w:r>
                    <w:rPr>
                      <w:rFonts w:hint="eastAsia" w:ascii="宋体" w:hAnsi="宋体" w:eastAsia="宋体" w:cs="宋体"/>
                      <w:color w:val="auto"/>
                      <w:szCs w:val="21"/>
                      <w:lang w:bidi="ar"/>
                    </w:rPr>
                    <w:t>采样日期：</w:t>
                  </w:r>
                  <w:r>
                    <w:rPr>
                      <w:rFonts w:hint="default" w:ascii="Times New Roman" w:hAnsi="Times New Roman" w:eastAsia="宋体" w:cs="Times New Roman"/>
                      <w:color w:val="auto"/>
                      <w:szCs w:val="21"/>
                      <w:u w:val="single"/>
                      <w:lang w:bidi="ar"/>
                    </w:rPr>
                    <w:t xml:space="preserve">   2025.11.20   </w:t>
                  </w:r>
                </w:p>
              </w:tc>
            </w:tr>
            <w:tr w14:paraId="20CF06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2822" w:type="dxa"/>
                  <w:gridSpan w:val="3"/>
                  <w:tcBorders>
                    <w:top w:val="single" w:color="auto" w:sz="4" w:space="0"/>
                    <w:left w:val="single" w:color="auto" w:sz="4" w:space="0"/>
                    <w:bottom w:val="single" w:color="auto" w:sz="4" w:space="0"/>
                    <w:right w:val="single" w:color="auto" w:sz="4" w:space="0"/>
                  </w:tcBorders>
                  <w:vAlign w:val="center"/>
                </w:tcPr>
                <w:p w14:paraId="05513370">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r>
                    <w:rPr>
                      <w:rFonts w:hint="eastAsia" w:ascii="宋体" w:hAnsi="宋体" w:eastAsia="宋体" w:cs="宋体"/>
                      <w:color w:val="auto"/>
                      <w:szCs w:val="21"/>
                      <w:lang w:bidi="ar"/>
                    </w:rPr>
                    <w:t>检测项目</w:t>
                  </w:r>
                </w:p>
              </w:tc>
              <w:tc>
                <w:tcPr>
                  <w:tcW w:w="936" w:type="dxa"/>
                  <w:tcBorders>
                    <w:top w:val="single" w:color="auto" w:sz="4" w:space="0"/>
                    <w:left w:val="single" w:color="auto" w:sz="4" w:space="0"/>
                    <w:bottom w:val="single" w:color="auto" w:sz="4" w:space="0"/>
                    <w:right w:val="single" w:color="auto" w:sz="4" w:space="0"/>
                  </w:tcBorders>
                  <w:vAlign w:val="center"/>
                </w:tcPr>
                <w:p w14:paraId="172EFB60">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r>
                    <w:rPr>
                      <w:rFonts w:hint="eastAsia" w:ascii="宋体" w:hAnsi="宋体" w:eastAsia="宋体" w:cs="宋体"/>
                      <w:color w:val="auto"/>
                      <w:szCs w:val="21"/>
                      <w:lang w:bidi="ar"/>
                    </w:rPr>
                    <w:t>单位</w:t>
                  </w:r>
                </w:p>
              </w:tc>
              <w:tc>
                <w:tcPr>
                  <w:tcW w:w="5564" w:type="dxa"/>
                  <w:gridSpan w:val="3"/>
                  <w:tcBorders>
                    <w:top w:val="single" w:color="auto" w:sz="4" w:space="0"/>
                    <w:left w:val="single" w:color="auto" w:sz="4" w:space="0"/>
                    <w:bottom w:val="single" w:color="auto" w:sz="4" w:space="0"/>
                    <w:right w:val="single" w:color="auto" w:sz="4" w:space="0"/>
                  </w:tcBorders>
                  <w:vAlign w:val="center"/>
                </w:tcPr>
                <w:p w14:paraId="006E4162">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r>
                    <w:rPr>
                      <w:rFonts w:hint="eastAsia" w:ascii="宋体" w:hAnsi="宋体" w:eastAsia="宋体" w:cs="宋体"/>
                      <w:color w:val="auto"/>
                      <w:szCs w:val="21"/>
                      <w:lang w:bidi="ar"/>
                    </w:rPr>
                    <w:t>检测结果</w:t>
                  </w:r>
                </w:p>
              </w:tc>
            </w:tr>
            <w:tr w14:paraId="323B22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2822" w:type="dxa"/>
                  <w:gridSpan w:val="3"/>
                  <w:tcBorders>
                    <w:top w:val="single" w:color="auto" w:sz="4" w:space="0"/>
                    <w:left w:val="single" w:color="auto" w:sz="4" w:space="0"/>
                    <w:bottom w:val="single" w:color="auto" w:sz="4" w:space="0"/>
                    <w:right w:val="single" w:color="auto" w:sz="4" w:space="0"/>
                  </w:tcBorders>
                  <w:vAlign w:val="center"/>
                </w:tcPr>
                <w:p w14:paraId="412E8656">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r>
                    <w:rPr>
                      <w:rFonts w:hint="eastAsia" w:ascii="宋体" w:hAnsi="宋体" w:eastAsia="宋体" w:cs="宋体"/>
                      <w:color w:val="auto"/>
                      <w:szCs w:val="21"/>
                      <w:lang w:bidi="ar"/>
                    </w:rPr>
                    <w:t>检测管道截面积</w:t>
                  </w:r>
                </w:p>
              </w:tc>
              <w:tc>
                <w:tcPr>
                  <w:tcW w:w="936" w:type="dxa"/>
                  <w:tcBorders>
                    <w:top w:val="single" w:color="auto" w:sz="4" w:space="0"/>
                    <w:left w:val="single" w:color="auto" w:sz="4" w:space="0"/>
                    <w:bottom w:val="single" w:color="auto" w:sz="4" w:space="0"/>
                    <w:right w:val="single" w:color="auto" w:sz="4" w:space="0"/>
                  </w:tcBorders>
                  <w:vAlign w:val="center"/>
                </w:tcPr>
                <w:p w14:paraId="30E4571D">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lang w:bidi="ar"/>
                    </w:rPr>
                    <w:t>m²</w:t>
                  </w:r>
                </w:p>
              </w:tc>
              <w:tc>
                <w:tcPr>
                  <w:tcW w:w="1775" w:type="dxa"/>
                  <w:tcBorders>
                    <w:top w:val="single" w:color="auto" w:sz="4" w:space="0"/>
                    <w:left w:val="single" w:color="auto" w:sz="4" w:space="0"/>
                    <w:bottom w:val="single" w:color="auto" w:sz="4" w:space="0"/>
                    <w:right w:val="single" w:color="auto" w:sz="4" w:space="0"/>
                  </w:tcBorders>
                  <w:vAlign w:val="center"/>
                </w:tcPr>
                <w:p w14:paraId="42EEC8CE">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lang w:bidi="ar"/>
                    </w:rPr>
                    <w:t>0.5027</w:t>
                  </w:r>
                </w:p>
              </w:tc>
              <w:tc>
                <w:tcPr>
                  <w:tcW w:w="1891" w:type="dxa"/>
                  <w:tcBorders>
                    <w:top w:val="single" w:color="auto" w:sz="4" w:space="0"/>
                    <w:left w:val="single" w:color="auto" w:sz="4" w:space="0"/>
                    <w:bottom w:val="single" w:color="auto" w:sz="4" w:space="0"/>
                    <w:right w:val="single" w:color="auto" w:sz="4" w:space="0"/>
                  </w:tcBorders>
                  <w:vAlign w:val="center"/>
                </w:tcPr>
                <w:p w14:paraId="5D9A556F">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lang w:bidi="ar"/>
                    </w:rPr>
                    <w:t>0.5027</w:t>
                  </w:r>
                </w:p>
              </w:tc>
              <w:tc>
                <w:tcPr>
                  <w:tcW w:w="1898" w:type="dxa"/>
                  <w:tcBorders>
                    <w:top w:val="single" w:color="auto" w:sz="4" w:space="0"/>
                    <w:left w:val="single" w:color="auto" w:sz="4" w:space="0"/>
                    <w:bottom w:val="single" w:color="auto" w:sz="4" w:space="0"/>
                    <w:right w:val="single" w:color="auto" w:sz="4" w:space="0"/>
                  </w:tcBorders>
                  <w:vAlign w:val="center"/>
                </w:tcPr>
                <w:p w14:paraId="04CC71EC">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lang w:bidi="ar"/>
                    </w:rPr>
                    <w:t>0.5027</w:t>
                  </w:r>
                </w:p>
              </w:tc>
            </w:tr>
            <w:tr w14:paraId="5669E3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2822" w:type="dxa"/>
                  <w:gridSpan w:val="3"/>
                  <w:tcBorders>
                    <w:top w:val="single" w:color="auto" w:sz="4" w:space="0"/>
                    <w:left w:val="single" w:color="auto" w:sz="4" w:space="0"/>
                    <w:bottom w:val="single" w:color="auto" w:sz="4" w:space="0"/>
                    <w:right w:val="single" w:color="auto" w:sz="4" w:space="0"/>
                  </w:tcBorders>
                  <w:vAlign w:val="center"/>
                </w:tcPr>
                <w:p w14:paraId="21984891">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r>
                    <w:rPr>
                      <w:rFonts w:hint="eastAsia" w:ascii="宋体" w:hAnsi="宋体" w:eastAsia="宋体" w:cs="宋体"/>
                      <w:color w:val="auto"/>
                      <w:szCs w:val="21"/>
                      <w:lang w:bidi="ar"/>
                    </w:rPr>
                    <w:t>烟气温度</w:t>
                  </w:r>
                </w:p>
              </w:tc>
              <w:tc>
                <w:tcPr>
                  <w:tcW w:w="936" w:type="dxa"/>
                  <w:tcBorders>
                    <w:top w:val="single" w:color="auto" w:sz="4" w:space="0"/>
                    <w:left w:val="single" w:color="auto" w:sz="4" w:space="0"/>
                    <w:bottom w:val="single" w:color="auto" w:sz="4" w:space="0"/>
                    <w:right w:val="single" w:color="auto" w:sz="4" w:space="0"/>
                  </w:tcBorders>
                  <w:vAlign w:val="center"/>
                </w:tcPr>
                <w:p w14:paraId="6A24A596">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lang w:bidi="ar"/>
                    </w:rPr>
                    <w:t>℃</w:t>
                  </w:r>
                </w:p>
              </w:tc>
              <w:tc>
                <w:tcPr>
                  <w:tcW w:w="1775" w:type="dxa"/>
                  <w:tcBorders>
                    <w:top w:val="single" w:color="auto" w:sz="4" w:space="0"/>
                    <w:left w:val="single" w:color="auto" w:sz="4" w:space="0"/>
                    <w:bottom w:val="single" w:color="auto" w:sz="4" w:space="0"/>
                    <w:right w:val="single" w:color="auto" w:sz="4" w:space="0"/>
                  </w:tcBorders>
                  <w:vAlign w:val="center"/>
                </w:tcPr>
                <w:p w14:paraId="1AF14D34">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lang w:bidi="ar"/>
                    </w:rPr>
                    <w:t>29.2</w:t>
                  </w:r>
                </w:p>
              </w:tc>
              <w:tc>
                <w:tcPr>
                  <w:tcW w:w="1891" w:type="dxa"/>
                  <w:tcBorders>
                    <w:top w:val="single" w:color="auto" w:sz="4" w:space="0"/>
                    <w:left w:val="single" w:color="auto" w:sz="4" w:space="0"/>
                    <w:bottom w:val="single" w:color="auto" w:sz="4" w:space="0"/>
                    <w:right w:val="single" w:color="auto" w:sz="4" w:space="0"/>
                  </w:tcBorders>
                  <w:vAlign w:val="center"/>
                </w:tcPr>
                <w:p w14:paraId="362B71F9">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lang w:bidi="ar"/>
                    </w:rPr>
                    <w:t>29.2</w:t>
                  </w:r>
                </w:p>
              </w:tc>
              <w:tc>
                <w:tcPr>
                  <w:tcW w:w="1898" w:type="dxa"/>
                  <w:tcBorders>
                    <w:top w:val="single" w:color="auto" w:sz="4" w:space="0"/>
                    <w:left w:val="single" w:color="auto" w:sz="4" w:space="0"/>
                    <w:bottom w:val="single" w:color="auto" w:sz="4" w:space="0"/>
                    <w:right w:val="single" w:color="auto" w:sz="4" w:space="0"/>
                  </w:tcBorders>
                  <w:vAlign w:val="center"/>
                </w:tcPr>
                <w:p w14:paraId="3BC02C22">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lang w:bidi="ar"/>
                    </w:rPr>
                    <w:t>29.3</w:t>
                  </w:r>
                </w:p>
              </w:tc>
            </w:tr>
            <w:tr w14:paraId="33A585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2822" w:type="dxa"/>
                  <w:gridSpan w:val="3"/>
                  <w:tcBorders>
                    <w:top w:val="single" w:color="auto" w:sz="4" w:space="0"/>
                    <w:left w:val="single" w:color="auto" w:sz="4" w:space="0"/>
                    <w:bottom w:val="single" w:color="auto" w:sz="4" w:space="0"/>
                    <w:right w:val="single" w:color="auto" w:sz="4" w:space="0"/>
                  </w:tcBorders>
                  <w:vAlign w:val="center"/>
                </w:tcPr>
                <w:p w14:paraId="374B71D6">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r>
                    <w:rPr>
                      <w:rFonts w:hint="eastAsia" w:ascii="宋体" w:hAnsi="宋体" w:eastAsia="宋体" w:cs="宋体"/>
                      <w:color w:val="auto"/>
                      <w:szCs w:val="21"/>
                      <w:lang w:bidi="ar"/>
                    </w:rPr>
                    <w:t>烟气平均流速</w:t>
                  </w:r>
                </w:p>
              </w:tc>
              <w:tc>
                <w:tcPr>
                  <w:tcW w:w="936" w:type="dxa"/>
                  <w:tcBorders>
                    <w:top w:val="single" w:color="auto" w:sz="4" w:space="0"/>
                    <w:left w:val="single" w:color="auto" w:sz="4" w:space="0"/>
                    <w:bottom w:val="single" w:color="auto" w:sz="4" w:space="0"/>
                    <w:right w:val="single" w:color="auto" w:sz="4" w:space="0"/>
                  </w:tcBorders>
                  <w:vAlign w:val="center"/>
                </w:tcPr>
                <w:p w14:paraId="645B01DF">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lang w:bidi="ar"/>
                    </w:rPr>
                    <w:t>m/s</w:t>
                  </w:r>
                </w:p>
              </w:tc>
              <w:tc>
                <w:tcPr>
                  <w:tcW w:w="1775" w:type="dxa"/>
                  <w:tcBorders>
                    <w:top w:val="single" w:color="auto" w:sz="4" w:space="0"/>
                    <w:left w:val="single" w:color="auto" w:sz="4" w:space="0"/>
                    <w:bottom w:val="single" w:color="auto" w:sz="4" w:space="0"/>
                    <w:right w:val="single" w:color="auto" w:sz="4" w:space="0"/>
                  </w:tcBorders>
                  <w:vAlign w:val="center"/>
                </w:tcPr>
                <w:p w14:paraId="1263ADC4">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lang w:bidi="ar"/>
                    </w:rPr>
                    <w:t>18.9</w:t>
                  </w:r>
                </w:p>
              </w:tc>
              <w:tc>
                <w:tcPr>
                  <w:tcW w:w="1891" w:type="dxa"/>
                  <w:tcBorders>
                    <w:top w:val="single" w:color="auto" w:sz="4" w:space="0"/>
                    <w:left w:val="single" w:color="auto" w:sz="4" w:space="0"/>
                    <w:bottom w:val="single" w:color="auto" w:sz="4" w:space="0"/>
                    <w:right w:val="single" w:color="auto" w:sz="4" w:space="0"/>
                  </w:tcBorders>
                  <w:vAlign w:val="center"/>
                </w:tcPr>
                <w:p w14:paraId="150E054F">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lang w:bidi="ar"/>
                    </w:rPr>
                    <w:t>18.7</w:t>
                  </w:r>
                </w:p>
              </w:tc>
              <w:tc>
                <w:tcPr>
                  <w:tcW w:w="1898" w:type="dxa"/>
                  <w:tcBorders>
                    <w:top w:val="single" w:color="auto" w:sz="4" w:space="0"/>
                    <w:left w:val="single" w:color="auto" w:sz="4" w:space="0"/>
                    <w:bottom w:val="single" w:color="auto" w:sz="4" w:space="0"/>
                    <w:right w:val="single" w:color="auto" w:sz="4" w:space="0"/>
                  </w:tcBorders>
                  <w:vAlign w:val="center"/>
                </w:tcPr>
                <w:p w14:paraId="55EE57A7">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lang w:bidi="ar"/>
                    </w:rPr>
                    <w:t>18.9</w:t>
                  </w:r>
                </w:p>
              </w:tc>
            </w:tr>
            <w:tr w14:paraId="7B8C1B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2822" w:type="dxa"/>
                  <w:gridSpan w:val="3"/>
                  <w:tcBorders>
                    <w:top w:val="single" w:color="auto" w:sz="4" w:space="0"/>
                    <w:left w:val="single" w:color="auto" w:sz="4" w:space="0"/>
                    <w:bottom w:val="single" w:color="auto" w:sz="4" w:space="0"/>
                    <w:right w:val="single" w:color="auto" w:sz="4" w:space="0"/>
                  </w:tcBorders>
                  <w:vAlign w:val="center"/>
                </w:tcPr>
                <w:p w14:paraId="6FEFEB58">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r>
                    <w:rPr>
                      <w:rFonts w:hint="eastAsia" w:ascii="宋体" w:hAnsi="宋体" w:eastAsia="宋体" w:cs="宋体"/>
                      <w:color w:val="auto"/>
                      <w:szCs w:val="21"/>
                      <w:lang w:bidi="ar"/>
                    </w:rPr>
                    <w:t>标态干烟气量</w:t>
                  </w:r>
                </w:p>
              </w:tc>
              <w:tc>
                <w:tcPr>
                  <w:tcW w:w="936" w:type="dxa"/>
                  <w:tcBorders>
                    <w:top w:val="single" w:color="auto" w:sz="4" w:space="0"/>
                    <w:left w:val="single" w:color="auto" w:sz="4" w:space="0"/>
                    <w:bottom w:val="single" w:color="auto" w:sz="4" w:space="0"/>
                    <w:right w:val="single" w:color="auto" w:sz="4" w:space="0"/>
                  </w:tcBorders>
                  <w:vAlign w:val="center"/>
                </w:tcPr>
                <w:p w14:paraId="622471F3">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lang w:bidi="ar"/>
                    </w:rPr>
                    <w:t>m³/h</w:t>
                  </w:r>
                </w:p>
              </w:tc>
              <w:tc>
                <w:tcPr>
                  <w:tcW w:w="1775" w:type="dxa"/>
                  <w:tcBorders>
                    <w:top w:val="single" w:color="auto" w:sz="4" w:space="0"/>
                    <w:left w:val="single" w:color="auto" w:sz="4" w:space="0"/>
                    <w:bottom w:val="single" w:color="auto" w:sz="4" w:space="0"/>
                    <w:right w:val="single" w:color="auto" w:sz="4" w:space="0"/>
                  </w:tcBorders>
                  <w:vAlign w:val="center"/>
                </w:tcPr>
                <w:p w14:paraId="2B344F2B">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lang w:bidi="ar"/>
                    </w:rPr>
                    <w:t>30841</w:t>
                  </w:r>
                </w:p>
              </w:tc>
              <w:tc>
                <w:tcPr>
                  <w:tcW w:w="1891" w:type="dxa"/>
                  <w:tcBorders>
                    <w:top w:val="single" w:color="auto" w:sz="4" w:space="0"/>
                    <w:left w:val="single" w:color="auto" w:sz="4" w:space="0"/>
                    <w:bottom w:val="single" w:color="auto" w:sz="4" w:space="0"/>
                    <w:right w:val="single" w:color="auto" w:sz="4" w:space="0"/>
                  </w:tcBorders>
                  <w:vAlign w:val="center"/>
                </w:tcPr>
                <w:p w14:paraId="10CE00F0">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lang w:bidi="ar"/>
                    </w:rPr>
                    <w:t>30422</w:t>
                  </w:r>
                </w:p>
              </w:tc>
              <w:tc>
                <w:tcPr>
                  <w:tcW w:w="1898" w:type="dxa"/>
                  <w:tcBorders>
                    <w:top w:val="single" w:color="auto" w:sz="4" w:space="0"/>
                    <w:left w:val="single" w:color="auto" w:sz="4" w:space="0"/>
                    <w:bottom w:val="single" w:color="auto" w:sz="4" w:space="0"/>
                    <w:right w:val="single" w:color="auto" w:sz="4" w:space="0"/>
                  </w:tcBorders>
                  <w:vAlign w:val="center"/>
                </w:tcPr>
                <w:p w14:paraId="4A06A245">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lang w:bidi="ar"/>
                    </w:rPr>
                    <w:t>30798</w:t>
                  </w:r>
                </w:p>
              </w:tc>
            </w:tr>
            <w:tr w14:paraId="155DAC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1576" w:type="dxa"/>
                  <w:vMerge w:val="restart"/>
                  <w:tcBorders>
                    <w:top w:val="nil"/>
                    <w:left w:val="single" w:color="auto" w:sz="4" w:space="0"/>
                    <w:bottom w:val="single" w:color="auto" w:sz="4" w:space="0"/>
                    <w:right w:val="single" w:color="auto" w:sz="4" w:space="0"/>
                  </w:tcBorders>
                  <w:vAlign w:val="center"/>
                </w:tcPr>
                <w:p w14:paraId="4917BA99">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r>
                    <w:rPr>
                      <w:rFonts w:hint="eastAsia" w:ascii="宋体" w:hAnsi="宋体" w:eastAsia="宋体" w:cs="宋体"/>
                      <w:color w:val="auto"/>
                      <w:szCs w:val="21"/>
                      <w:lang w:bidi="ar"/>
                    </w:rPr>
                    <w:t>非甲烷总烃</w:t>
                  </w:r>
                </w:p>
              </w:tc>
              <w:tc>
                <w:tcPr>
                  <w:tcW w:w="1246" w:type="dxa"/>
                  <w:gridSpan w:val="2"/>
                  <w:tcBorders>
                    <w:top w:val="single" w:color="auto" w:sz="4" w:space="0"/>
                    <w:left w:val="single" w:color="auto" w:sz="4" w:space="0"/>
                    <w:bottom w:val="single" w:color="auto" w:sz="4" w:space="0"/>
                    <w:right w:val="single" w:color="auto" w:sz="4" w:space="0"/>
                  </w:tcBorders>
                  <w:vAlign w:val="center"/>
                </w:tcPr>
                <w:p w14:paraId="2E5E4A49">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r>
                    <w:rPr>
                      <w:rFonts w:hint="eastAsia" w:ascii="宋体" w:hAnsi="宋体" w:eastAsia="宋体" w:cs="宋体"/>
                      <w:color w:val="auto"/>
                      <w:szCs w:val="21"/>
                      <w:lang w:bidi="ar"/>
                    </w:rPr>
                    <w:t>样品编号</w:t>
                  </w:r>
                </w:p>
              </w:tc>
              <w:tc>
                <w:tcPr>
                  <w:tcW w:w="936" w:type="dxa"/>
                  <w:tcBorders>
                    <w:top w:val="single" w:color="auto" w:sz="4" w:space="0"/>
                    <w:left w:val="single" w:color="auto" w:sz="4" w:space="0"/>
                    <w:bottom w:val="single" w:color="auto" w:sz="4" w:space="0"/>
                    <w:right w:val="single" w:color="auto" w:sz="4" w:space="0"/>
                  </w:tcBorders>
                  <w:vAlign w:val="center"/>
                </w:tcPr>
                <w:p w14:paraId="7254B007">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lang w:bidi="ar"/>
                    </w:rPr>
                    <w:t>/</w:t>
                  </w:r>
                </w:p>
              </w:tc>
              <w:tc>
                <w:tcPr>
                  <w:tcW w:w="1775" w:type="dxa"/>
                  <w:tcBorders>
                    <w:top w:val="single" w:color="auto" w:sz="4" w:space="0"/>
                    <w:left w:val="single" w:color="auto" w:sz="4" w:space="0"/>
                    <w:bottom w:val="single" w:color="auto" w:sz="4" w:space="0"/>
                    <w:right w:val="single" w:color="auto" w:sz="4" w:space="0"/>
                  </w:tcBorders>
                  <w:vAlign w:val="center"/>
                </w:tcPr>
                <w:p w14:paraId="35F1F0C2">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r>
                    <w:rPr>
                      <w:rFonts w:hint="eastAsia" w:ascii="宋体" w:hAnsi="宋体" w:eastAsia="宋体" w:cs="宋体"/>
                      <w:color w:val="auto"/>
                      <w:szCs w:val="21"/>
                      <w:lang w:bidi="ar"/>
                    </w:rPr>
                    <w:t>气</w:t>
                  </w:r>
                  <w:r>
                    <w:rPr>
                      <w:rFonts w:hint="default" w:ascii="Times New Roman" w:hAnsi="Times New Roman" w:eastAsia="宋体" w:cs="Times New Roman"/>
                      <w:color w:val="auto"/>
                      <w:szCs w:val="21"/>
                      <w:lang w:bidi="ar"/>
                    </w:rPr>
                    <w:t>251120171</w:t>
                  </w:r>
                </w:p>
              </w:tc>
              <w:tc>
                <w:tcPr>
                  <w:tcW w:w="1891" w:type="dxa"/>
                  <w:tcBorders>
                    <w:top w:val="single" w:color="auto" w:sz="4" w:space="0"/>
                    <w:left w:val="single" w:color="auto" w:sz="4" w:space="0"/>
                    <w:bottom w:val="single" w:color="auto" w:sz="4" w:space="0"/>
                    <w:right w:val="single" w:color="auto" w:sz="4" w:space="0"/>
                  </w:tcBorders>
                  <w:vAlign w:val="center"/>
                </w:tcPr>
                <w:p w14:paraId="1DAE11D4">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r>
                    <w:rPr>
                      <w:rFonts w:hint="eastAsia" w:ascii="宋体" w:hAnsi="宋体" w:eastAsia="宋体" w:cs="宋体"/>
                      <w:color w:val="auto"/>
                      <w:szCs w:val="21"/>
                      <w:lang w:bidi="ar"/>
                    </w:rPr>
                    <w:t>气</w:t>
                  </w:r>
                  <w:r>
                    <w:rPr>
                      <w:rFonts w:hint="default" w:ascii="Times New Roman" w:hAnsi="Times New Roman" w:eastAsia="宋体" w:cs="Times New Roman"/>
                      <w:color w:val="auto"/>
                      <w:szCs w:val="21"/>
                      <w:lang w:bidi="ar"/>
                    </w:rPr>
                    <w:t>251120172</w:t>
                  </w:r>
                </w:p>
              </w:tc>
              <w:tc>
                <w:tcPr>
                  <w:tcW w:w="1898" w:type="dxa"/>
                  <w:tcBorders>
                    <w:top w:val="single" w:color="auto" w:sz="4" w:space="0"/>
                    <w:left w:val="single" w:color="auto" w:sz="4" w:space="0"/>
                    <w:bottom w:val="single" w:color="auto" w:sz="4" w:space="0"/>
                    <w:right w:val="single" w:color="auto" w:sz="4" w:space="0"/>
                  </w:tcBorders>
                  <w:vAlign w:val="center"/>
                </w:tcPr>
                <w:p w14:paraId="39EEB334">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r>
                    <w:rPr>
                      <w:rFonts w:hint="eastAsia" w:ascii="宋体" w:hAnsi="宋体" w:eastAsia="宋体" w:cs="宋体"/>
                      <w:color w:val="auto"/>
                      <w:szCs w:val="21"/>
                      <w:lang w:bidi="ar"/>
                    </w:rPr>
                    <w:t>气</w:t>
                  </w:r>
                  <w:r>
                    <w:rPr>
                      <w:rFonts w:hint="default" w:ascii="Times New Roman" w:hAnsi="Times New Roman" w:eastAsia="宋体" w:cs="Times New Roman"/>
                      <w:color w:val="auto"/>
                      <w:szCs w:val="21"/>
                      <w:lang w:bidi="ar"/>
                    </w:rPr>
                    <w:t>251120173</w:t>
                  </w:r>
                </w:p>
              </w:tc>
            </w:tr>
            <w:tr w14:paraId="5C42B7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1576" w:type="dxa"/>
                  <w:vMerge w:val="continue"/>
                  <w:tcBorders>
                    <w:top w:val="nil"/>
                    <w:left w:val="single" w:color="auto" w:sz="4" w:space="0"/>
                    <w:bottom w:val="single" w:color="auto" w:sz="4" w:space="0"/>
                    <w:right w:val="single" w:color="auto" w:sz="4" w:space="0"/>
                  </w:tcBorders>
                  <w:vAlign w:val="center"/>
                </w:tcPr>
                <w:p w14:paraId="45BA34CB">
                  <w:pPr>
                    <w:keepNext w:val="0"/>
                    <w:keepLines w:val="0"/>
                    <w:suppressLineNumbers w:val="0"/>
                    <w:spacing w:before="0" w:beforeAutospacing="0" w:after="0" w:afterAutospacing="0"/>
                    <w:ind w:left="0" w:right="0"/>
                    <w:rPr>
                      <w:rFonts w:hint="default" w:ascii="Times New Roman" w:hAnsi="Times New Roman" w:cs="Times New Roman"/>
                      <w:color w:val="auto"/>
                      <w:sz w:val="20"/>
                      <w:szCs w:val="20"/>
                    </w:rPr>
                  </w:pPr>
                </w:p>
              </w:tc>
              <w:tc>
                <w:tcPr>
                  <w:tcW w:w="1246" w:type="dxa"/>
                  <w:gridSpan w:val="2"/>
                  <w:tcBorders>
                    <w:top w:val="single" w:color="auto" w:sz="4" w:space="0"/>
                    <w:left w:val="single" w:color="auto" w:sz="4" w:space="0"/>
                    <w:bottom w:val="single" w:color="auto" w:sz="4" w:space="0"/>
                    <w:right w:val="single" w:color="auto" w:sz="4" w:space="0"/>
                  </w:tcBorders>
                  <w:vAlign w:val="center"/>
                </w:tcPr>
                <w:p w14:paraId="13883C2C">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r>
                    <w:rPr>
                      <w:rFonts w:hint="eastAsia" w:ascii="宋体" w:hAnsi="宋体" w:eastAsia="宋体" w:cs="宋体"/>
                      <w:color w:val="auto"/>
                      <w:szCs w:val="21"/>
                      <w:lang w:bidi="ar"/>
                    </w:rPr>
                    <w:t>排放浓度</w:t>
                  </w:r>
                </w:p>
              </w:tc>
              <w:tc>
                <w:tcPr>
                  <w:tcW w:w="936" w:type="dxa"/>
                  <w:tcBorders>
                    <w:top w:val="single" w:color="auto" w:sz="4" w:space="0"/>
                    <w:left w:val="single" w:color="auto" w:sz="4" w:space="0"/>
                    <w:bottom w:val="single" w:color="auto" w:sz="4" w:space="0"/>
                    <w:right w:val="single" w:color="auto" w:sz="4" w:space="0"/>
                  </w:tcBorders>
                  <w:vAlign w:val="center"/>
                </w:tcPr>
                <w:p w14:paraId="6C791117">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lang w:bidi="ar"/>
                    </w:rPr>
                    <w:t>mg/m³</w:t>
                  </w:r>
                </w:p>
              </w:tc>
              <w:tc>
                <w:tcPr>
                  <w:tcW w:w="1775" w:type="dxa"/>
                  <w:tcBorders>
                    <w:top w:val="single" w:color="auto" w:sz="4" w:space="0"/>
                    <w:left w:val="single" w:color="auto" w:sz="4" w:space="0"/>
                    <w:bottom w:val="single" w:color="auto" w:sz="4" w:space="0"/>
                    <w:right w:val="single" w:color="auto" w:sz="4" w:space="0"/>
                  </w:tcBorders>
                  <w:vAlign w:val="center"/>
                </w:tcPr>
                <w:p w14:paraId="7B918687">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lang w:bidi="ar"/>
                    </w:rPr>
                    <w:t>1.21</w:t>
                  </w:r>
                </w:p>
              </w:tc>
              <w:tc>
                <w:tcPr>
                  <w:tcW w:w="1891" w:type="dxa"/>
                  <w:tcBorders>
                    <w:top w:val="single" w:color="auto" w:sz="4" w:space="0"/>
                    <w:left w:val="single" w:color="auto" w:sz="4" w:space="0"/>
                    <w:bottom w:val="single" w:color="auto" w:sz="4" w:space="0"/>
                    <w:right w:val="single" w:color="auto" w:sz="4" w:space="0"/>
                  </w:tcBorders>
                  <w:vAlign w:val="center"/>
                </w:tcPr>
                <w:p w14:paraId="18E2EDE5">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lang w:bidi="ar"/>
                    </w:rPr>
                    <w:t>1.22</w:t>
                  </w:r>
                </w:p>
              </w:tc>
              <w:tc>
                <w:tcPr>
                  <w:tcW w:w="1898" w:type="dxa"/>
                  <w:tcBorders>
                    <w:top w:val="single" w:color="auto" w:sz="4" w:space="0"/>
                    <w:left w:val="single" w:color="auto" w:sz="4" w:space="0"/>
                    <w:bottom w:val="single" w:color="auto" w:sz="4" w:space="0"/>
                    <w:right w:val="single" w:color="auto" w:sz="4" w:space="0"/>
                  </w:tcBorders>
                  <w:vAlign w:val="center"/>
                </w:tcPr>
                <w:p w14:paraId="54CD1F9D">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lang w:bidi="ar"/>
                    </w:rPr>
                    <w:t>1.23</w:t>
                  </w:r>
                </w:p>
              </w:tc>
            </w:tr>
            <w:tr w14:paraId="52F7EB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1576" w:type="dxa"/>
                  <w:vMerge w:val="continue"/>
                  <w:tcBorders>
                    <w:top w:val="nil"/>
                    <w:left w:val="single" w:color="auto" w:sz="4" w:space="0"/>
                    <w:bottom w:val="single" w:color="auto" w:sz="4" w:space="0"/>
                    <w:right w:val="single" w:color="auto" w:sz="4" w:space="0"/>
                  </w:tcBorders>
                  <w:vAlign w:val="center"/>
                </w:tcPr>
                <w:p w14:paraId="0683D84C">
                  <w:pPr>
                    <w:keepNext w:val="0"/>
                    <w:keepLines w:val="0"/>
                    <w:suppressLineNumbers w:val="0"/>
                    <w:spacing w:before="0" w:beforeAutospacing="0" w:after="0" w:afterAutospacing="0"/>
                    <w:ind w:left="0" w:right="0"/>
                    <w:rPr>
                      <w:rFonts w:hint="default" w:ascii="Times New Roman" w:hAnsi="Times New Roman" w:cs="Times New Roman"/>
                      <w:color w:val="auto"/>
                      <w:sz w:val="20"/>
                      <w:szCs w:val="20"/>
                    </w:rPr>
                  </w:pPr>
                </w:p>
              </w:tc>
              <w:tc>
                <w:tcPr>
                  <w:tcW w:w="1246" w:type="dxa"/>
                  <w:gridSpan w:val="2"/>
                  <w:tcBorders>
                    <w:top w:val="single" w:color="auto" w:sz="4" w:space="0"/>
                    <w:left w:val="single" w:color="auto" w:sz="4" w:space="0"/>
                    <w:bottom w:val="single" w:color="auto" w:sz="4" w:space="0"/>
                    <w:right w:val="single" w:color="auto" w:sz="4" w:space="0"/>
                  </w:tcBorders>
                  <w:vAlign w:val="center"/>
                </w:tcPr>
                <w:p w14:paraId="0B0D8D37">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r>
                    <w:rPr>
                      <w:rFonts w:hint="eastAsia" w:ascii="宋体" w:hAnsi="宋体" w:eastAsia="宋体" w:cs="宋体"/>
                      <w:color w:val="auto"/>
                      <w:szCs w:val="21"/>
                      <w:lang w:bidi="ar"/>
                    </w:rPr>
                    <w:t>排放速率</w:t>
                  </w:r>
                </w:p>
              </w:tc>
              <w:tc>
                <w:tcPr>
                  <w:tcW w:w="936" w:type="dxa"/>
                  <w:tcBorders>
                    <w:top w:val="single" w:color="auto" w:sz="4" w:space="0"/>
                    <w:left w:val="single" w:color="auto" w:sz="4" w:space="0"/>
                    <w:bottom w:val="single" w:color="auto" w:sz="4" w:space="0"/>
                    <w:right w:val="single" w:color="auto" w:sz="4" w:space="0"/>
                  </w:tcBorders>
                  <w:vAlign w:val="center"/>
                </w:tcPr>
                <w:p w14:paraId="21EF33E6">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lang w:bidi="ar"/>
                    </w:rPr>
                    <w:t>kg/h</w:t>
                  </w:r>
                </w:p>
              </w:tc>
              <w:tc>
                <w:tcPr>
                  <w:tcW w:w="1775" w:type="dxa"/>
                  <w:tcBorders>
                    <w:top w:val="single" w:color="auto" w:sz="4" w:space="0"/>
                    <w:left w:val="single" w:color="auto" w:sz="4" w:space="0"/>
                    <w:bottom w:val="single" w:color="auto" w:sz="4" w:space="0"/>
                    <w:right w:val="single" w:color="auto" w:sz="4" w:space="0"/>
                  </w:tcBorders>
                  <w:vAlign w:val="center"/>
                </w:tcPr>
                <w:p w14:paraId="70A6CBE1">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lang w:bidi="ar"/>
                    </w:rPr>
                    <w:t>3.73×10</w:t>
                  </w:r>
                  <w:r>
                    <w:rPr>
                      <w:rFonts w:hint="default" w:ascii="Times New Roman" w:hAnsi="Times New Roman" w:eastAsia="宋体" w:cs="Times New Roman"/>
                      <w:color w:val="auto"/>
                      <w:szCs w:val="21"/>
                      <w:vertAlign w:val="superscript"/>
                      <w:lang w:bidi="ar"/>
                    </w:rPr>
                    <w:t>-</w:t>
                  </w:r>
                  <w:r>
                    <w:rPr>
                      <w:rFonts w:hint="default" w:ascii="Times New Roman" w:hAnsi="Times New Roman" w:eastAsia="宋体" w:cs="Times New Roman"/>
                      <w:color w:val="auto"/>
                      <w:szCs w:val="21"/>
                      <w:lang w:bidi="ar"/>
                    </w:rPr>
                    <w:t>²</w:t>
                  </w:r>
                </w:p>
              </w:tc>
              <w:tc>
                <w:tcPr>
                  <w:tcW w:w="1891" w:type="dxa"/>
                  <w:tcBorders>
                    <w:top w:val="single" w:color="auto" w:sz="4" w:space="0"/>
                    <w:left w:val="single" w:color="auto" w:sz="4" w:space="0"/>
                    <w:bottom w:val="single" w:color="auto" w:sz="4" w:space="0"/>
                    <w:right w:val="single" w:color="auto" w:sz="4" w:space="0"/>
                  </w:tcBorders>
                  <w:vAlign w:val="center"/>
                </w:tcPr>
                <w:p w14:paraId="49E861F6">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lang w:bidi="ar"/>
                    </w:rPr>
                    <w:t>3.71×10</w:t>
                  </w:r>
                  <w:r>
                    <w:rPr>
                      <w:rFonts w:hint="default" w:ascii="Times New Roman" w:hAnsi="Times New Roman" w:eastAsia="宋体" w:cs="Times New Roman"/>
                      <w:color w:val="auto"/>
                      <w:szCs w:val="21"/>
                      <w:vertAlign w:val="superscript"/>
                      <w:lang w:bidi="ar"/>
                    </w:rPr>
                    <w:t>-</w:t>
                  </w:r>
                  <w:r>
                    <w:rPr>
                      <w:rFonts w:hint="default" w:ascii="Times New Roman" w:hAnsi="Times New Roman" w:eastAsia="宋体" w:cs="Times New Roman"/>
                      <w:color w:val="auto"/>
                      <w:szCs w:val="21"/>
                      <w:lang w:bidi="ar"/>
                    </w:rPr>
                    <w:t>²</w:t>
                  </w:r>
                </w:p>
              </w:tc>
              <w:tc>
                <w:tcPr>
                  <w:tcW w:w="1898" w:type="dxa"/>
                  <w:tcBorders>
                    <w:top w:val="single" w:color="auto" w:sz="4" w:space="0"/>
                    <w:left w:val="single" w:color="auto" w:sz="4" w:space="0"/>
                    <w:bottom w:val="single" w:color="auto" w:sz="4" w:space="0"/>
                    <w:right w:val="single" w:color="auto" w:sz="4" w:space="0"/>
                  </w:tcBorders>
                  <w:vAlign w:val="center"/>
                </w:tcPr>
                <w:p w14:paraId="7302F182">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lang w:bidi="ar"/>
                    </w:rPr>
                    <w:t>3.79×10</w:t>
                  </w:r>
                  <w:r>
                    <w:rPr>
                      <w:rFonts w:hint="default" w:ascii="Times New Roman" w:hAnsi="Times New Roman" w:eastAsia="宋体" w:cs="Times New Roman"/>
                      <w:color w:val="auto"/>
                      <w:szCs w:val="21"/>
                      <w:vertAlign w:val="superscript"/>
                      <w:lang w:bidi="ar"/>
                    </w:rPr>
                    <w:t>-</w:t>
                  </w:r>
                  <w:r>
                    <w:rPr>
                      <w:rFonts w:hint="default" w:ascii="Times New Roman" w:hAnsi="Times New Roman" w:eastAsia="宋体" w:cs="Times New Roman"/>
                      <w:color w:val="auto"/>
                      <w:szCs w:val="21"/>
                      <w:lang w:bidi="ar"/>
                    </w:rPr>
                    <w:t>²</w:t>
                  </w:r>
                </w:p>
              </w:tc>
            </w:tr>
            <w:tr w14:paraId="1B7941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1576" w:type="dxa"/>
                  <w:vMerge w:val="restart"/>
                  <w:tcBorders>
                    <w:top w:val="nil"/>
                    <w:left w:val="single" w:color="auto" w:sz="4" w:space="0"/>
                    <w:bottom w:val="single" w:color="auto" w:sz="4" w:space="0"/>
                    <w:right w:val="single" w:color="auto" w:sz="4" w:space="0"/>
                  </w:tcBorders>
                  <w:vAlign w:val="center"/>
                </w:tcPr>
                <w:p w14:paraId="0C158794">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r>
                    <w:rPr>
                      <w:rFonts w:hint="eastAsia" w:ascii="宋体" w:hAnsi="宋体" w:eastAsia="宋体" w:cs="宋体"/>
                      <w:color w:val="auto"/>
                      <w:szCs w:val="21"/>
                      <w:lang w:bidi="ar"/>
                    </w:rPr>
                    <w:t>臭气浓度</w:t>
                  </w:r>
                </w:p>
              </w:tc>
              <w:tc>
                <w:tcPr>
                  <w:tcW w:w="1246" w:type="dxa"/>
                  <w:gridSpan w:val="2"/>
                  <w:tcBorders>
                    <w:top w:val="single" w:color="auto" w:sz="4" w:space="0"/>
                    <w:left w:val="single" w:color="auto" w:sz="4" w:space="0"/>
                    <w:bottom w:val="single" w:color="auto" w:sz="4" w:space="0"/>
                    <w:right w:val="single" w:color="auto" w:sz="4" w:space="0"/>
                  </w:tcBorders>
                  <w:vAlign w:val="center"/>
                </w:tcPr>
                <w:p w14:paraId="30FEE114">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r>
                    <w:rPr>
                      <w:rFonts w:hint="eastAsia" w:ascii="宋体" w:hAnsi="宋体" w:eastAsia="宋体" w:cs="宋体"/>
                      <w:color w:val="auto"/>
                      <w:szCs w:val="21"/>
                      <w:lang w:bidi="ar"/>
                    </w:rPr>
                    <w:t>样品编号</w:t>
                  </w:r>
                </w:p>
              </w:tc>
              <w:tc>
                <w:tcPr>
                  <w:tcW w:w="936" w:type="dxa"/>
                  <w:tcBorders>
                    <w:top w:val="single" w:color="auto" w:sz="4" w:space="0"/>
                    <w:left w:val="single" w:color="auto" w:sz="4" w:space="0"/>
                    <w:bottom w:val="single" w:color="auto" w:sz="4" w:space="0"/>
                    <w:right w:val="single" w:color="auto" w:sz="4" w:space="0"/>
                  </w:tcBorders>
                  <w:vAlign w:val="center"/>
                </w:tcPr>
                <w:p w14:paraId="3D0D8B77">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lang w:bidi="ar"/>
                    </w:rPr>
                    <w:t>/</w:t>
                  </w:r>
                </w:p>
              </w:tc>
              <w:tc>
                <w:tcPr>
                  <w:tcW w:w="1775" w:type="dxa"/>
                  <w:tcBorders>
                    <w:top w:val="single" w:color="auto" w:sz="4" w:space="0"/>
                    <w:left w:val="single" w:color="auto" w:sz="4" w:space="0"/>
                    <w:bottom w:val="single" w:color="auto" w:sz="4" w:space="0"/>
                    <w:right w:val="single" w:color="auto" w:sz="4" w:space="0"/>
                  </w:tcBorders>
                  <w:vAlign w:val="center"/>
                </w:tcPr>
                <w:p w14:paraId="4BAC2DD8">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r>
                    <w:rPr>
                      <w:rFonts w:hint="eastAsia" w:ascii="宋体" w:hAnsi="宋体" w:eastAsia="宋体" w:cs="宋体"/>
                      <w:color w:val="auto"/>
                      <w:szCs w:val="21"/>
                      <w:lang w:bidi="ar"/>
                    </w:rPr>
                    <w:t>气</w:t>
                  </w:r>
                  <w:r>
                    <w:rPr>
                      <w:rFonts w:hint="default" w:ascii="Times New Roman" w:hAnsi="Times New Roman" w:eastAsia="宋体" w:cs="Times New Roman"/>
                      <w:color w:val="auto"/>
                      <w:szCs w:val="21"/>
                      <w:lang w:bidi="ar"/>
                    </w:rPr>
                    <w:t>251120174</w:t>
                  </w:r>
                </w:p>
              </w:tc>
              <w:tc>
                <w:tcPr>
                  <w:tcW w:w="1891" w:type="dxa"/>
                  <w:tcBorders>
                    <w:top w:val="single" w:color="auto" w:sz="4" w:space="0"/>
                    <w:left w:val="single" w:color="auto" w:sz="4" w:space="0"/>
                    <w:bottom w:val="single" w:color="auto" w:sz="4" w:space="0"/>
                    <w:right w:val="single" w:color="auto" w:sz="4" w:space="0"/>
                  </w:tcBorders>
                  <w:vAlign w:val="center"/>
                </w:tcPr>
                <w:p w14:paraId="27679A9A">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r>
                    <w:rPr>
                      <w:rFonts w:hint="eastAsia" w:ascii="宋体" w:hAnsi="宋体" w:eastAsia="宋体" w:cs="宋体"/>
                      <w:color w:val="auto"/>
                      <w:szCs w:val="21"/>
                      <w:lang w:bidi="ar"/>
                    </w:rPr>
                    <w:t>气</w:t>
                  </w:r>
                  <w:r>
                    <w:rPr>
                      <w:rFonts w:hint="default" w:ascii="Times New Roman" w:hAnsi="Times New Roman" w:eastAsia="宋体" w:cs="Times New Roman"/>
                      <w:color w:val="auto"/>
                      <w:szCs w:val="21"/>
                      <w:lang w:bidi="ar"/>
                    </w:rPr>
                    <w:t>251120175</w:t>
                  </w:r>
                </w:p>
              </w:tc>
              <w:tc>
                <w:tcPr>
                  <w:tcW w:w="1898" w:type="dxa"/>
                  <w:tcBorders>
                    <w:top w:val="single" w:color="auto" w:sz="4" w:space="0"/>
                    <w:left w:val="single" w:color="auto" w:sz="4" w:space="0"/>
                    <w:bottom w:val="single" w:color="auto" w:sz="4" w:space="0"/>
                    <w:right w:val="single" w:color="auto" w:sz="4" w:space="0"/>
                  </w:tcBorders>
                  <w:vAlign w:val="center"/>
                </w:tcPr>
                <w:p w14:paraId="4CA2C556">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r>
                    <w:rPr>
                      <w:rFonts w:hint="eastAsia" w:ascii="宋体" w:hAnsi="宋体" w:eastAsia="宋体" w:cs="宋体"/>
                      <w:color w:val="auto"/>
                      <w:szCs w:val="21"/>
                      <w:lang w:bidi="ar"/>
                    </w:rPr>
                    <w:t>气</w:t>
                  </w:r>
                  <w:r>
                    <w:rPr>
                      <w:rFonts w:hint="default" w:ascii="Times New Roman" w:hAnsi="Times New Roman" w:eastAsia="宋体" w:cs="Times New Roman"/>
                      <w:color w:val="auto"/>
                      <w:szCs w:val="21"/>
                      <w:lang w:bidi="ar"/>
                    </w:rPr>
                    <w:t>251120176</w:t>
                  </w:r>
                </w:p>
              </w:tc>
            </w:tr>
            <w:tr w14:paraId="19133B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1576" w:type="dxa"/>
                  <w:vMerge w:val="continue"/>
                  <w:tcBorders>
                    <w:top w:val="nil"/>
                    <w:left w:val="single" w:color="auto" w:sz="4" w:space="0"/>
                    <w:bottom w:val="single" w:color="auto" w:sz="4" w:space="0"/>
                    <w:right w:val="single" w:color="auto" w:sz="4" w:space="0"/>
                  </w:tcBorders>
                  <w:vAlign w:val="center"/>
                </w:tcPr>
                <w:p w14:paraId="15CCA34A">
                  <w:pPr>
                    <w:keepNext w:val="0"/>
                    <w:keepLines w:val="0"/>
                    <w:suppressLineNumbers w:val="0"/>
                    <w:spacing w:before="0" w:beforeAutospacing="0" w:after="0" w:afterAutospacing="0"/>
                    <w:ind w:left="0" w:right="0"/>
                    <w:rPr>
                      <w:rFonts w:hint="default" w:ascii="Times New Roman" w:hAnsi="Times New Roman" w:cs="Times New Roman"/>
                      <w:color w:val="auto"/>
                      <w:sz w:val="20"/>
                      <w:szCs w:val="20"/>
                    </w:rPr>
                  </w:pPr>
                </w:p>
              </w:tc>
              <w:tc>
                <w:tcPr>
                  <w:tcW w:w="1246" w:type="dxa"/>
                  <w:gridSpan w:val="2"/>
                  <w:tcBorders>
                    <w:top w:val="single" w:color="auto" w:sz="4" w:space="0"/>
                    <w:left w:val="single" w:color="auto" w:sz="4" w:space="0"/>
                    <w:bottom w:val="single" w:color="auto" w:sz="4" w:space="0"/>
                    <w:right w:val="single" w:color="auto" w:sz="4" w:space="0"/>
                  </w:tcBorders>
                  <w:vAlign w:val="center"/>
                </w:tcPr>
                <w:p w14:paraId="66A10AF3">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r>
                    <w:rPr>
                      <w:rFonts w:hint="eastAsia" w:ascii="宋体" w:hAnsi="宋体" w:eastAsia="宋体" w:cs="宋体"/>
                      <w:color w:val="auto"/>
                      <w:szCs w:val="21"/>
                      <w:lang w:bidi="ar"/>
                    </w:rPr>
                    <w:t>排放浓度</w:t>
                  </w:r>
                </w:p>
              </w:tc>
              <w:tc>
                <w:tcPr>
                  <w:tcW w:w="936" w:type="dxa"/>
                  <w:tcBorders>
                    <w:top w:val="single" w:color="auto" w:sz="4" w:space="0"/>
                    <w:left w:val="single" w:color="auto" w:sz="4" w:space="0"/>
                    <w:bottom w:val="single" w:color="auto" w:sz="4" w:space="0"/>
                    <w:right w:val="single" w:color="auto" w:sz="4" w:space="0"/>
                  </w:tcBorders>
                  <w:vAlign w:val="center"/>
                </w:tcPr>
                <w:p w14:paraId="4B2DE78A">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r>
                    <w:rPr>
                      <w:rFonts w:hint="eastAsia" w:ascii="宋体" w:hAnsi="宋体" w:eastAsia="宋体" w:cs="宋体"/>
                      <w:color w:val="auto"/>
                      <w:szCs w:val="21"/>
                      <w:lang w:bidi="ar"/>
                    </w:rPr>
                    <w:t>无量纲</w:t>
                  </w:r>
                </w:p>
              </w:tc>
              <w:tc>
                <w:tcPr>
                  <w:tcW w:w="1775" w:type="dxa"/>
                  <w:tcBorders>
                    <w:top w:val="single" w:color="auto" w:sz="4" w:space="0"/>
                    <w:left w:val="single" w:color="auto" w:sz="4" w:space="0"/>
                    <w:bottom w:val="single" w:color="auto" w:sz="4" w:space="0"/>
                    <w:right w:val="single" w:color="auto" w:sz="4" w:space="0"/>
                  </w:tcBorders>
                  <w:vAlign w:val="center"/>
                </w:tcPr>
                <w:p w14:paraId="3B187C1D">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lang w:bidi="ar"/>
                    </w:rPr>
                    <w:t>229</w:t>
                  </w:r>
                </w:p>
              </w:tc>
              <w:tc>
                <w:tcPr>
                  <w:tcW w:w="1891" w:type="dxa"/>
                  <w:tcBorders>
                    <w:top w:val="single" w:color="auto" w:sz="4" w:space="0"/>
                    <w:left w:val="single" w:color="auto" w:sz="4" w:space="0"/>
                    <w:bottom w:val="single" w:color="auto" w:sz="4" w:space="0"/>
                    <w:right w:val="single" w:color="auto" w:sz="4" w:space="0"/>
                  </w:tcBorders>
                  <w:vAlign w:val="center"/>
                </w:tcPr>
                <w:p w14:paraId="355E3C5A">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lang w:bidi="ar"/>
                    </w:rPr>
                    <w:t>229</w:t>
                  </w:r>
                </w:p>
              </w:tc>
              <w:tc>
                <w:tcPr>
                  <w:tcW w:w="1898" w:type="dxa"/>
                  <w:tcBorders>
                    <w:top w:val="single" w:color="auto" w:sz="4" w:space="0"/>
                    <w:left w:val="single" w:color="auto" w:sz="4" w:space="0"/>
                    <w:bottom w:val="single" w:color="auto" w:sz="4" w:space="0"/>
                    <w:right w:val="single" w:color="auto" w:sz="4" w:space="0"/>
                  </w:tcBorders>
                  <w:vAlign w:val="center"/>
                </w:tcPr>
                <w:p w14:paraId="7B3E1E09">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lang w:bidi="ar"/>
                    </w:rPr>
                    <w:t>229</w:t>
                  </w:r>
                </w:p>
              </w:tc>
            </w:tr>
          </w:tbl>
          <w:p w14:paraId="11D2FE27">
            <w:pPr>
              <w:keepNext w:val="0"/>
              <w:keepLines w:val="0"/>
              <w:suppressLineNumbers w:val="0"/>
              <w:spacing w:before="0" w:beforeAutospacing="0" w:after="0" w:afterAutospacing="0" w:line="360" w:lineRule="auto"/>
              <w:ind w:left="0" w:right="0" w:firstLine="480" w:firstLineChars="200"/>
              <w:rPr>
                <w:rFonts w:hint="default" w:ascii="Times New Roman" w:hAnsi="Times New Roman" w:eastAsia="宋体" w:cs="Times New Roman"/>
                <w:color w:val="auto"/>
                <w:sz w:val="24"/>
              </w:rPr>
            </w:pPr>
            <w:r>
              <w:rPr>
                <w:rFonts w:hint="eastAsia" w:ascii="Times New Roman" w:hAnsi="Times New Roman" w:eastAsia="宋体" w:cs="Times New Roman"/>
                <w:color w:val="auto"/>
                <w:sz w:val="24"/>
              </w:rPr>
              <w:t>由上表可知，企业</w:t>
            </w:r>
            <w:r>
              <w:rPr>
                <w:rFonts w:hint="default" w:ascii="Times New Roman" w:hAnsi="Times New Roman" w:eastAsia="宋体" w:cs="Times New Roman"/>
                <w:color w:val="auto"/>
                <w:sz w:val="24"/>
              </w:rPr>
              <w:t>挥发废气排气筒DA002出口、DA003出口、背胶废气排气筒DA004出口非甲烷总烃排放满足《合成树脂工业污染物排放标准》（GB31572-2015，含2024年修改单）表5中的特别排放限值，臭气浓度排放满足《恶臭污染物排放标准》（GB14554-93）表2中的标准值、《湖州市塑料行业废气整治规范》中的较严格限值。</w:t>
            </w:r>
          </w:p>
          <w:p w14:paraId="666CE3D9">
            <w:pPr>
              <w:keepNext w:val="0"/>
              <w:keepLines w:val="0"/>
              <w:suppressLineNumbers w:val="0"/>
              <w:spacing w:before="0" w:beforeAutospacing="0" w:after="0" w:afterAutospacing="0" w:line="360" w:lineRule="auto"/>
              <w:ind w:left="0" w:right="0" w:firstLine="480" w:firstLineChars="200"/>
              <w:rPr>
                <w:rFonts w:hint="default" w:ascii="Times New Roman" w:hAnsi="Times New Roman" w:eastAsia="宋体" w:cs="Times New Roman"/>
                <w:color w:val="auto"/>
                <w:sz w:val="24"/>
              </w:rPr>
            </w:pPr>
            <w:r>
              <w:rPr>
                <w:rFonts w:hint="eastAsia" w:ascii="Times New Roman" w:hAnsi="Times New Roman" w:eastAsia="宋体" w:cs="Times New Roman"/>
                <w:color w:val="auto"/>
                <w:sz w:val="24"/>
              </w:rPr>
              <w:t>现有项目混合、搅拌、烘烤固化收卷、二次固化收卷工序全年生产时间为5400h、背胶工序全年生产时间为5000h，则挥发性有机物（VOCs）排放量为0.654</w:t>
            </w:r>
            <w:r>
              <w:rPr>
                <w:rFonts w:hint="default" w:ascii="Times New Roman" w:hAnsi="Times New Roman" w:eastAsia="宋体" w:cs="Times New Roman"/>
                <w:color w:val="auto"/>
                <w:sz w:val="24"/>
              </w:rPr>
              <w:t>t</w:t>
            </w:r>
            <w:r>
              <w:rPr>
                <w:rFonts w:hint="eastAsia" w:ascii="Times New Roman" w:hAnsi="Times New Roman" w:eastAsia="宋体" w:cs="Times New Roman"/>
                <w:color w:val="auto"/>
                <w:sz w:val="24"/>
              </w:rPr>
              <w:t>/a，</w:t>
            </w:r>
            <w:r>
              <w:rPr>
                <w:rFonts w:hint="default"/>
              </w:rPr>
              <w:commentReference w:id="43"/>
            </w:r>
            <w:r>
              <w:rPr>
                <w:rFonts w:hint="eastAsia" w:ascii="Times New Roman" w:hAnsi="Times New Roman" w:eastAsia="宋体" w:cs="Times New Roman"/>
                <w:color w:val="auto"/>
                <w:sz w:val="24"/>
              </w:rPr>
              <w:t>满负荷排放量为0.759t/a（满负荷为年产782万平方米有机硅片材）。</w:t>
            </w:r>
          </w:p>
          <w:p w14:paraId="7A6DF92F">
            <w:pPr>
              <w:keepNext w:val="0"/>
              <w:keepLines w:val="0"/>
              <w:suppressLineNumbers w:val="0"/>
              <w:spacing w:before="0" w:beforeAutospacing="0" w:after="0" w:afterAutospacing="0" w:line="360" w:lineRule="auto"/>
              <w:ind w:left="0" w:right="0" w:firstLine="480" w:firstLineChars="200"/>
              <w:rPr>
                <w:rFonts w:hint="default" w:ascii="Times New Roman" w:hAnsi="Times New Roman" w:eastAsia="宋体" w:cs="Times New Roman"/>
                <w:color w:val="auto"/>
                <w:sz w:val="24"/>
              </w:rPr>
            </w:pPr>
            <w:r>
              <w:rPr>
                <w:rFonts w:hint="eastAsia" w:ascii="Times New Roman" w:hAnsi="Times New Roman" w:eastAsia="宋体" w:cs="Times New Roman"/>
                <w:color w:val="auto"/>
                <w:sz w:val="24"/>
              </w:rPr>
              <w:t>根据湖州天亿环境检测有限公司出具的检测报告（报告编号：天亿检测（2025）检1463号），企业厂界非甲烷总烃、臭气浓度无组织排放情况见下表。</w:t>
            </w:r>
          </w:p>
          <w:p w14:paraId="67FD7BDB">
            <w:pPr>
              <w:keepNext w:val="0"/>
              <w:keepLines w:val="0"/>
              <w:suppressLineNumbers w:val="0"/>
              <w:spacing w:before="0" w:beforeAutospacing="0" w:after="0" w:afterAutospacing="0"/>
              <w:ind w:left="0" w:right="0"/>
              <w:jc w:val="center"/>
              <w:rPr>
                <w:rFonts w:hint="default" w:ascii="Times New Roman" w:hAnsi="Times New Roman" w:eastAsia="宋体" w:cs="Times New Roman"/>
                <w:b/>
                <w:bCs/>
                <w:color w:val="auto"/>
              </w:rPr>
            </w:pPr>
            <w:r>
              <w:rPr>
                <w:rFonts w:hint="eastAsia" w:ascii="Times New Roman" w:hAnsi="Times New Roman" w:eastAsia="宋体" w:cs="Times New Roman"/>
                <w:b/>
                <w:bCs/>
                <w:color w:val="auto"/>
              </w:rPr>
              <w:t>表2-</w:t>
            </w:r>
            <w:r>
              <w:rPr>
                <w:rFonts w:hint="eastAsia" w:ascii="Times New Roman" w:hAnsi="Times New Roman" w:eastAsia="宋体" w:cs="Times New Roman"/>
                <w:b/>
                <w:bCs/>
                <w:color w:val="auto"/>
                <w:lang w:val="en-US" w:eastAsia="zh-CN"/>
              </w:rPr>
              <w:t>23</w:t>
            </w:r>
            <w:r>
              <w:rPr>
                <w:rFonts w:hint="eastAsia" w:ascii="Times New Roman" w:hAnsi="Times New Roman" w:eastAsia="宋体" w:cs="Times New Roman"/>
                <w:b/>
                <w:bCs/>
                <w:color w:val="auto"/>
              </w:rPr>
              <w:t xml:space="preserve">  厂界非甲烷总烃、臭气浓度无组织排放情况表</w:t>
            </w:r>
          </w:p>
          <w:tbl>
            <w:tblPr>
              <w:tblStyle w:val="22"/>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265"/>
              <w:gridCol w:w="1269"/>
              <w:gridCol w:w="1609"/>
              <w:gridCol w:w="1450"/>
              <w:gridCol w:w="1450"/>
              <w:gridCol w:w="1132"/>
            </w:tblGrid>
            <w:tr w14:paraId="6559F2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2534" w:type="dxa"/>
                  <w:gridSpan w:val="2"/>
                  <w:tcBorders>
                    <w:top w:val="single" w:color="auto" w:sz="4" w:space="0"/>
                    <w:left w:val="single" w:color="auto" w:sz="4" w:space="0"/>
                    <w:bottom w:val="single" w:color="auto" w:sz="4" w:space="0"/>
                    <w:right w:val="single" w:color="auto" w:sz="4" w:space="0"/>
                  </w:tcBorders>
                  <w:vAlign w:val="center"/>
                </w:tcPr>
                <w:p w14:paraId="02855D19">
                  <w:pPr>
                    <w:keepNext w:val="0"/>
                    <w:keepLines w:val="0"/>
                    <w:suppressLineNumbers w:val="0"/>
                    <w:spacing w:before="0" w:beforeAutospacing="0" w:after="0" w:afterAutospacing="0"/>
                    <w:ind w:left="0" w:right="0"/>
                    <w:jc w:val="center"/>
                    <w:rPr>
                      <w:rFonts w:hint="default" w:ascii="Times New Roman" w:hAnsi="Times New Roman" w:eastAsia="宋体" w:cs="Times New Roman"/>
                      <w:b/>
                      <w:bCs/>
                      <w:color w:val="auto"/>
                      <w:szCs w:val="21"/>
                    </w:rPr>
                  </w:pPr>
                  <w:r>
                    <w:rPr>
                      <w:rFonts w:hint="eastAsia" w:ascii="宋体" w:hAnsi="宋体" w:eastAsia="宋体" w:cs="宋体"/>
                      <w:b/>
                      <w:bCs/>
                      <w:color w:val="auto"/>
                      <w:szCs w:val="21"/>
                      <w:lang w:bidi="ar"/>
                    </w:rPr>
                    <w:t>采样时间</w:t>
                  </w:r>
                </w:p>
              </w:tc>
              <w:tc>
                <w:tcPr>
                  <w:tcW w:w="1609" w:type="dxa"/>
                  <w:tcBorders>
                    <w:top w:val="single" w:color="auto" w:sz="4" w:space="0"/>
                    <w:left w:val="single" w:color="auto" w:sz="4" w:space="0"/>
                    <w:bottom w:val="single" w:color="auto" w:sz="4" w:space="0"/>
                    <w:right w:val="single" w:color="auto" w:sz="4" w:space="0"/>
                  </w:tcBorders>
                  <w:vAlign w:val="center"/>
                </w:tcPr>
                <w:p w14:paraId="51514812">
                  <w:pPr>
                    <w:keepNext w:val="0"/>
                    <w:keepLines w:val="0"/>
                    <w:suppressLineNumbers w:val="0"/>
                    <w:spacing w:before="0" w:beforeAutospacing="0" w:after="0" w:afterAutospacing="0"/>
                    <w:ind w:left="0" w:right="0"/>
                    <w:jc w:val="center"/>
                    <w:rPr>
                      <w:rFonts w:hint="default" w:ascii="Times New Roman" w:hAnsi="Times New Roman" w:eastAsia="宋体" w:cs="Times New Roman"/>
                      <w:b/>
                      <w:bCs/>
                      <w:color w:val="auto"/>
                      <w:szCs w:val="21"/>
                    </w:rPr>
                  </w:pPr>
                  <w:r>
                    <w:rPr>
                      <w:rFonts w:hint="eastAsia" w:ascii="宋体" w:hAnsi="宋体" w:eastAsia="宋体" w:cs="宋体"/>
                      <w:b/>
                      <w:bCs/>
                      <w:color w:val="auto"/>
                      <w:szCs w:val="21"/>
                      <w:lang w:bidi="ar"/>
                    </w:rPr>
                    <w:t>检测项目</w:t>
                  </w:r>
                </w:p>
              </w:tc>
              <w:tc>
                <w:tcPr>
                  <w:tcW w:w="1450" w:type="dxa"/>
                  <w:tcBorders>
                    <w:top w:val="single" w:color="auto" w:sz="4" w:space="0"/>
                    <w:left w:val="single" w:color="auto" w:sz="4" w:space="0"/>
                    <w:bottom w:val="single" w:color="auto" w:sz="4" w:space="0"/>
                    <w:right w:val="single" w:color="auto" w:sz="4" w:space="0"/>
                  </w:tcBorders>
                  <w:vAlign w:val="center"/>
                </w:tcPr>
                <w:p w14:paraId="3646B907">
                  <w:pPr>
                    <w:keepNext w:val="0"/>
                    <w:keepLines w:val="0"/>
                    <w:suppressLineNumbers w:val="0"/>
                    <w:spacing w:before="0" w:beforeAutospacing="0" w:after="0" w:afterAutospacing="0"/>
                    <w:ind w:left="0" w:right="0"/>
                    <w:jc w:val="center"/>
                    <w:rPr>
                      <w:rFonts w:hint="default" w:ascii="Times New Roman" w:hAnsi="Times New Roman" w:eastAsia="宋体" w:cs="Times New Roman"/>
                      <w:b/>
                      <w:bCs/>
                      <w:color w:val="auto"/>
                      <w:szCs w:val="21"/>
                    </w:rPr>
                  </w:pPr>
                  <w:r>
                    <w:rPr>
                      <w:rFonts w:hint="eastAsia" w:ascii="宋体" w:hAnsi="宋体" w:eastAsia="宋体" w:cs="宋体"/>
                      <w:b/>
                      <w:bCs/>
                      <w:color w:val="auto"/>
                      <w:szCs w:val="21"/>
                      <w:lang w:bidi="ar"/>
                    </w:rPr>
                    <w:t>采样点位</w:t>
                  </w:r>
                </w:p>
              </w:tc>
              <w:tc>
                <w:tcPr>
                  <w:tcW w:w="1450" w:type="dxa"/>
                  <w:tcBorders>
                    <w:top w:val="single" w:color="auto" w:sz="4" w:space="0"/>
                    <w:left w:val="single" w:color="auto" w:sz="4" w:space="0"/>
                    <w:bottom w:val="single" w:color="auto" w:sz="4" w:space="0"/>
                    <w:right w:val="single" w:color="auto" w:sz="4" w:space="0"/>
                  </w:tcBorders>
                  <w:vAlign w:val="center"/>
                </w:tcPr>
                <w:p w14:paraId="52350DE5">
                  <w:pPr>
                    <w:keepNext w:val="0"/>
                    <w:keepLines w:val="0"/>
                    <w:suppressLineNumbers w:val="0"/>
                    <w:spacing w:before="0" w:beforeAutospacing="0" w:after="0" w:afterAutospacing="0"/>
                    <w:ind w:left="0" w:right="0"/>
                    <w:jc w:val="center"/>
                    <w:rPr>
                      <w:rFonts w:hint="default" w:ascii="Times New Roman" w:hAnsi="Times New Roman" w:eastAsia="宋体" w:cs="Times New Roman"/>
                      <w:b/>
                      <w:bCs/>
                      <w:color w:val="auto"/>
                      <w:szCs w:val="21"/>
                    </w:rPr>
                  </w:pPr>
                  <w:r>
                    <w:rPr>
                      <w:rFonts w:hint="eastAsia" w:ascii="宋体" w:hAnsi="宋体" w:eastAsia="宋体" w:cs="宋体"/>
                      <w:b/>
                      <w:bCs/>
                      <w:color w:val="auto"/>
                      <w:szCs w:val="21"/>
                      <w:lang w:bidi="ar"/>
                    </w:rPr>
                    <w:t>样品编号</w:t>
                  </w:r>
                </w:p>
              </w:tc>
              <w:tc>
                <w:tcPr>
                  <w:tcW w:w="1132" w:type="dxa"/>
                  <w:tcBorders>
                    <w:top w:val="single" w:color="auto" w:sz="4" w:space="0"/>
                    <w:left w:val="single" w:color="auto" w:sz="4" w:space="0"/>
                    <w:bottom w:val="single" w:color="auto" w:sz="4" w:space="0"/>
                    <w:right w:val="single" w:color="auto" w:sz="4" w:space="0"/>
                  </w:tcBorders>
                  <w:vAlign w:val="center"/>
                </w:tcPr>
                <w:p w14:paraId="5862E78D">
                  <w:pPr>
                    <w:keepNext w:val="0"/>
                    <w:keepLines w:val="0"/>
                    <w:suppressLineNumbers w:val="0"/>
                    <w:spacing w:before="0" w:beforeAutospacing="0" w:after="0" w:afterAutospacing="0"/>
                    <w:ind w:left="0" w:right="0"/>
                    <w:jc w:val="center"/>
                    <w:rPr>
                      <w:rFonts w:hint="default" w:ascii="Times New Roman" w:hAnsi="Times New Roman" w:eastAsia="宋体" w:cs="Times New Roman"/>
                      <w:b/>
                      <w:bCs/>
                      <w:color w:val="auto"/>
                      <w:szCs w:val="21"/>
                    </w:rPr>
                  </w:pPr>
                  <w:r>
                    <w:rPr>
                      <w:rFonts w:hint="eastAsia" w:ascii="宋体" w:hAnsi="宋体" w:eastAsia="宋体" w:cs="宋体"/>
                      <w:b/>
                      <w:bCs/>
                      <w:color w:val="auto"/>
                      <w:szCs w:val="21"/>
                      <w:lang w:bidi="ar"/>
                    </w:rPr>
                    <w:t>检测结果</w:t>
                  </w:r>
                </w:p>
              </w:tc>
            </w:tr>
            <w:tr w14:paraId="2C791D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1265" w:type="dxa"/>
                  <w:vMerge w:val="restart"/>
                  <w:tcBorders>
                    <w:top w:val="nil"/>
                    <w:left w:val="single" w:color="auto" w:sz="4" w:space="0"/>
                    <w:right w:val="single" w:color="auto" w:sz="4" w:space="0"/>
                  </w:tcBorders>
                  <w:vAlign w:val="center"/>
                </w:tcPr>
                <w:p w14:paraId="46B8F004">
                  <w:pPr>
                    <w:keepNext w:val="0"/>
                    <w:keepLines w:val="0"/>
                    <w:suppressLineNumbers w:val="0"/>
                    <w:spacing w:before="0" w:beforeAutospacing="0" w:after="0" w:afterAutospacing="0"/>
                    <w:ind w:left="0" w:right="0"/>
                    <w:rPr>
                      <w:rFonts w:hint="default" w:ascii="Times New Roman" w:hAnsi="Times New Roman" w:cs="Times New Roman"/>
                      <w:color w:val="auto"/>
                      <w:sz w:val="20"/>
                      <w:szCs w:val="20"/>
                    </w:rPr>
                  </w:pPr>
                  <w:r>
                    <w:rPr>
                      <w:rFonts w:hint="default" w:ascii="Times New Roman" w:hAnsi="Times New Roman" w:eastAsia="宋体" w:cs="Times New Roman"/>
                      <w:color w:val="auto"/>
                      <w:szCs w:val="21"/>
                      <w:lang w:bidi="ar"/>
                    </w:rPr>
                    <w:t>2025.11.19</w:t>
                  </w:r>
                </w:p>
              </w:tc>
              <w:tc>
                <w:tcPr>
                  <w:tcW w:w="1269" w:type="dxa"/>
                  <w:tcBorders>
                    <w:top w:val="single" w:color="auto" w:sz="4" w:space="0"/>
                    <w:left w:val="single" w:color="auto" w:sz="4" w:space="0"/>
                    <w:bottom w:val="single" w:color="auto" w:sz="4" w:space="0"/>
                    <w:right w:val="single" w:color="auto" w:sz="4" w:space="0"/>
                  </w:tcBorders>
                  <w:vAlign w:val="center"/>
                </w:tcPr>
                <w:p w14:paraId="3FDCA949">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r>
                    <w:rPr>
                      <w:rFonts w:hint="eastAsia" w:ascii="宋体" w:hAnsi="宋体" w:eastAsia="宋体" w:cs="宋体"/>
                      <w:color w:val="auto"/>
                      <w:szCs w:val="21"/>
                      <w:lang w:bidi="ar"/>
                    </w:rPr>
                    <w:t>第一次</w:t>
                  </w:r>
                </w:p>
              </w:tc>
              <w:tc>
                <w:tcPr>
                  <w:tcW w:w="1609" w:type="dxa"/>
                  <w:vMerge w:val="restart"/>
                  <w:tcBorders>
                    <w:top w:val="nil"/>
                    <w:left w:val="single" w:color="auto" w:sz="4" w:space="0"/>
                    <w:bottom w:val="single" w:color="auto" w:sz="4" w:space="0"/>
                    <w:right w:val="single" w:color="auto" w:sz="4" w:space="0"/>
                  </w:tcBorders>
                  <w:vAlign w:val="center"/>
                </w:tcPr>
                <w:p w14:paraId="0F573B93">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r>
                    <w:rPr>
                      <w:rFonts w:hint="eastAsia" w:ascii="宋体" w:hAnsi="宋体" w:eastAsia="宋体" w:cs="宋体"/>
                      <w:color w:val="auto"/>
                      <w:szCs w:val="21"/>
                      <w:lang w:bidi="ar"/>
                    </w:rPr>
                    <w:t>非甲烷总烃（</w:t>
                  </w:r>
                  <w:r>
                    <w:rPr>
                      <w:rFonts w:hint="default" w:ascii="Times New Roman" w:hAnsi="Times New Roman" w:eastAsia="宋体" w:cs="Times New Roman"/>
                      <w:color w:val="auto"/>
                      <w:szCs w:val="21"/>
                      <w:lang w:bidi="ar"/>
                    </w:rPr>
                    <w:t>mg/m³</w:t>
                  </w:r>
                  <w:r>
                    <w:rPr>
                      <w:rFonts w:hint="eastAsia" w:ascii="宋体" w:hAnsi="宋体" w:eastAsia="宋体" w:cs="宋体"/>
                      <w:color w:val="auto"/>
                      <w:szCs w:val="21"/>
                      <w:lang w:bidi="ar"/>
                    </w:rPr>
                    <w:t>）</w:t>
                  </w:r>
                </w:p>
              </w:tc>
              <w:tc>
                <w:tcPr>
                  <w:tcW w:w="1450" w:type="dxa"/>
                  <w:vMerge w:val="restart"/>
                  <w:tcBorders>
                    <w:top w:val="nil"/>
                    <w:left w:val="single" w:color="auto" w:sz="4" w:space="0"/>
                    <w:bottom w:val="single" w:color="auto" w:sz="4" w:space="0"/>
                    <w:right w:val="single" w:color="auto" w:sz="4" w:space="0"/>
                  </w:tcBorders>
                  <w:vAlign w:val="center"/>
                </w:tcPr>
                <w:p w14:paraId="20953904">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r>
                    <w:rPr>
                      <w:rFonts w:hint="eastAsia" w:ascii="宋体" w:hAnsi="宋体" w:eastAsia="宋体" w:cs="宋体"/>
                      <w:color w:val="auto"/>
                      <w:szCs w:val="21"/>
                      <w:lang w:bidi="ar"/>
                    </w:rPr>
                    <w:t>厂界上风向</w:t>
                  </w:r>
                </w:p>
              </w:tc>
              <w:tc>
                <w:tcPr>
                  <w:tcW w:w="1450" w:type="dxa"/>
                  <w:tcBorders>
                    <w:top w:val="single" w:color="auto" w:sz="4" w:space="0"/>
                    <w:left w:val="single" w:color="auto" w:sz="4" w:space="0"/>
                    <w:bottom w:val="single" w:color="auto" w:sz="4" w:space="0"/>
                    <w:right w:val="single" w:color="auto" w:sz="4" w:space="0"/>
                  </w:tcBorders>
                  <w:vAlign w:val="center"/>
                </w:tcPr>
                <w:p w14:paraId="17B9144A">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r>
                    <w:rPr>
                      <w:rFonts w:hint="eastAsia" w:ascii="宋体" w:hAnsi="宋体" w:eastAsia="宋体" w:cs="宋体"/>
                      <w:color w:val="auto"/>
                      <w:szCs w:val="21"/>
                      <w:lang w:bidi="ar"/>
                    </w:rPr>
                    <w:t>气</w:t>
                  </w:r>
                  <w:r>
                    <w:rPr>
                      <w:rFonts w:hint="default" w:ascii="Times New Roman" w:hAnsi="Times New Roman" w:eastAsia="宋体" w:cs="Times New Roman"/>
                      <w:color w:val="auto"/>
                      <w:szCs w:val="21"/>
                      <w:lang w:bidi="ar"/>
                    </w:rPr>
                    <w:t>251119020</w:t>
                  </w:r>
                </w:p>
              </w:tc>
              <w:tc>
                <w:tcPr>
                  <w:tcW w:w="1132" w:type="dxa"/>
                  <w:tcBorders>
                    <w:top w:val="single" w:color="auto" w:sz="4" w:space="0"/>
                    <w:left w:val="single" w:color="auto" w:sz="4" w:space="0"/>
                    <w:bottom w:val="single" w:color="auto" w:sz="4" w:space="0"/>
                    <w:right w:val="single" w:color="auto" w:sz="4" w:space="0"/>
                  </w:tcBorders>
                  <w:vAlign w:val="center"/>
                </w:tcPr>
                <w:p w14:paraId="324C1973">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lang w:bidi="ar"/>
                    </w:rPr>
                    <w:t>1.08</w:t>
                  </w:r>
                </w:p>
              </w:tc>
            </w:tr>
            <w:tr w14:paraId="73AE46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1265" w:type="dxa"/>
                  <w:vMerge w:val="continue"/>
                  <w:tcBorders>
                    <w:left w:val="single" w:color="auto" w:sz="4" w:space="0"/>
                    <w:right w:val="single" w:color="auto" w:sz="4" w:space="0"/>
                  </w:tcBorders>
                  <w:vAlign w:val="center"/>
                </w:tcPr>
                <w:p w14:paraId="3D7EF6ED">
                  <w:pPr>
                    <w:keepNext w:val="0"/>
                    <w:keepLines w:val="0"/>
                    <w:suppressLineNumbers w:val="0"/>
                    <w:spacing w:before="0" w:beforeAutospacing="0" w:after="0" w:afterAutospacing="0"/>
                    <w:ind w:left="0" w:right="0"/>
                    <w:rPr>
                      <w:rFonts w:hint="default" w:ascii="Times New Roman" w:hAnsi="Times New Roman" w:cs="Times New Roman"/>
                      <w:color w:val="auto"/>
                      <w:sz w:val="20"/>
                      <w:szCs w:val="20"/>
                    </w:rPr>
                  </w:pPr>
                </w:p>
              </w:tc>
              <w:tc>
                <w:tcPr>
                  <w:tcW w:w="1269" w:type="dxa"/>
                  <w:tcBorders>
                    <w:top w:val="single" w:color="auto" w:sz="4" w:space="0"/>
                    <w:left w:val="single" w:color="auto" w:sz="4" w:space="0"/>
                    <w:bottom w:val="single" w:color="auto" w:sz="4" w:space="0"/>
                    <w:right w:val="single" w:color="auto" w:sz="4" w:space="0"/>
                  </w:tcBorders>
                  <w:vAlign w:val="center"/>
                </w:tcPr>
                <w:p w14:paraId="4AD3C168">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r>
                    <w:rPr>
                      <w:rFonts w:hint="eastAsia" w:ascii="宋体" w:hAnsi="宋体" w:eastAsia="宋体" w:cs="宋体"/>
                      <w:color w:val="auto"/>
                      <w:szCs w:val="21"/>
                      <w:lang w:bidi="ar"/>
                    </w:rPr>
                    <w:t>第二次</w:t>
                  </w:r>
                </w:p>
              </w:tc>
              <w:tc>
                <w:tcPr>
                  <w:tcW w:w="1609" w:type="dxa"/>
                  <w:vMerge w:val="continue"/>
                  <w:tcBorders>
                    <w:top w:val="nil"/>
                    <w:left w:val="single" w:color="auto" w:sz="4" w:space="0"/>
                    <w:bottom w:val="single" w:color="auto" w:sz="4" w:space="0"/>
                    <w:right w:val="single" w:color="auto" w:sz="4" w:space="0"/>
                  </w:tcBorders>
                  <w:vAlign w:val="center"/>
                </w:tcPr>
                <w:p w14:paraId="38AF8E6B">
                  <w:pPr>
                    <w:keepNext w:val="0"/>
                    <w:keepLines w:val="0"/>
                    <w:suppressLineNumbers w:val="0"/>
                    <w:spacing w:before="0" w:beforeAutospacing="0" w:after="0" w:afterAutospacing="0"/>
                    <w:ind w:left="0" w:right="0"/>
                    <w:rPr>
                      <w:rFonts w:hint="default" w:ascii="Times New Roman" w:hAnsi="Times New Roman" w:cs="Times New Roman"/>
                      <w:color w:val="auto"/>
                      <w:sz w:val="20"/>
                      <w:szCs w:val="20"/>
                    </w:rPr>
                  </w:pPr>
                </w:p>
              </w:tc>
              <w:tc>
                <w:tcPr>
                  <w:tcW w:w="1450" w:type="dxa"/>
                  <w:vMerge w:val="continue"/>
                  <w:tcBorders>
                    <w:top w:val="nil"/>
                    <w:left w:val="single" w:color="auto" w:sz="4" w:space="0"/>
                    <w:bottom w:val="single" w:color="auto" w:sz="4" w:space="0"/>
                    <w:right w:val="single" w:color="auto" w:sz="4" w:space="0"/>
                  </w:tcBorders>
                  <w:vAlign w:val="center"/>
                </w:tcPr>
                <w:p w14:paraId="41F77E54">
                  <w:pPr>
                    <w:keepNext w:val="0"/>
                    <w:keepLines w:val="0"/>
                    <w:suppressLineNumbers w:val="0"/>
                    <w:spacing w:before="0" w:beforeAutospacing="0" w:after="0" w:afterAutospacing="0"/>
                    <w:ind w:left="0" w:right="0"/>
                    <w:rPr>
                      <w:rFonts w:hint="default" w:ascii="Times New Roman" w:hAnsi="Times New Roman" w:cs="Times New Roman"/>
                      <w:color w:val="auto"/>
                      <w:sz w:val="20"/>
                      <w:szCs w:val="20"/>
                    </w:rPr>
                  </w:pPr>
                </w:p>
              </w:tc>
              <w:tc>
                <w:tcPr>
                  <w:tcW w:w="1450" w:type="dxa"/>
                  <w:tcBorders>
                    <w:top w:val="single" w:color="auto" w:sz="4" w:space="0"/>
                    <w:left w:val="single" w:color="auto" w:sz="4" w:space="0"/>
                    <w:bottom w:val="single" w:color="auto" w:sz="4" w:space="0"/>
                    <w:right w:val="single" w:color="auto" w:sz="4" w:space="0"/>
                  </w:tcBorders>
                  <w:vAlign w:val="center"/>
                </w:tcPr>
                <w:p w14:paraId="4EB64617">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r>
                    <w:rPr>
                      <w:rFonts w:hint="eastAsia" w:ascii="宋体" w:hAnsi="宋体" w:eastAsia="宋体" w:cs="宋体"/>
                      <w:color w:val="auto"/>
                      <w:szCs w:val="21"/>
                      <w:lang w:bidi="ar"/>
                    </w:rPr>
                    <w:t>气</w:t>
                  </w:r>
                  <w:r>
                    <w:rPr>
                      <w:rFonts w:hint="default" w:ascii="Times New Roman" w:hAnsi="Times New Roman" w:eastAsia="宋体" w:cs="Times New Roman"/>
                      <w:color w:val="auto"/>
                      <w:szCs w:val="21"/>
                      <w:lang w:bidi="ar"/>
                    </w:rPr>
                    <w:t>251119021</w:t>
                  </w:r>
                </w:p>
              </w:tc>
              <w:tc>
                <w:tcPr>
                  <w:tcW w:w="1132" w:type="dxa"/>
                  <w:tcBorders>
                    <w:top w:val="single" w:color="auto" w:sz="4" w:space="0"/>
                    <w:left w:val="single" w:color="auto" w:sz="4" w:space="0"/>
                    <w:bottom w:val="single" w:color="auto" w:sz="4" w:space="0"/>
                    <w:right w:val="single" w:color="auto" w:sz="4" w:space="0"/>
                  </w:tcBorders>
                  <w:vAlign w:val="center"/>
                </w:tcPr>
                <w:p w14:paraId="41ABB792">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lang w:bidi="ar"/>
                    </w:rPr>
                    <w:t>1.10</w:t>
                  </w:r>
                </w:p>
              </w:tc>
            </w:tr>
            <w:tr w14:paraId="08D0B3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1265" w:type="dxa"/>
                  <w:vMerge w:val="continue"/>
                  <w:tcBorders>
                    <w:left w:val="single" w:color="auto" w:sz="4" w:space="0"/>
                    <w:right w:val="single" w:color="auto" w:sz="4" w:space="0"/>
                  </w:tcBorders>
                  <w:vAlign w:val="center"/>
                </w:tcPr>
                <w:p w14:paraId="7FCE2DF4">
                  <w:pPr>
                    <w:keepNext w:val="0"/>
                    <w:keepLines w:val="0"/>
                    <w:suppressLineNumbers w:val="0"/>
                    <w:spacing w:before="0" w:beforeAutospacing="0" w:after="0" w:afterAutospacing="0"/>
                    <w:ind w:left="0" w:right="0"/>
                    <w:rPr>
                      <w:rFonts w:hint="default" w:ascii="Times New Roman" w:hAnsi="Times New Roman" w:cs="Times New Roman"/>
                      <w:color w:val="auto"/>
                      <w:sz w:val="20"/>
                      <w:szCs w:val="20"/>
                    </w:rPr>
                  </w:pPr>
                </w:p>
              </w:tc>
              <w:tc>
                <w:tcPr>
                  <w:tcW w:w="1269" w:type="dxa"/>
                  <w:tcBorders>
                    <w:top w:val="single" w:color="auto" w:sz="4" w:space="0"/>
                    <w:left w:val="single" w:color="auto" w:sz="4" w:space="0"/>
                    <w:bottom w:val="single" w:color="auto" w:sz="4" w:space="0"/>
                    <w:right w:val="single" w:color="auto" w:sz="4" w:space="0"/>
                  </w:tcBorders>
                  <w:vAlign w:val="center"/>
                </w:tcPr>
                <w:p w14:paraId="23C5F7A2">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r>
                    <w:rPr>
                      <w:rFonts w:hint="eastAsia" w:ascii="宋体" w:hAnsi="宋体" w:eastAsia="宋体" w:cs="宋体"/>
                      <w:color w:val="auto"/>
                      <w:szCs w:val="21"/>
                      <w:lang w:bidi="ar"/>
                    </w:rPr>
                    <w:t>第三次</w:t>
                  </w:r>
                </w:p>
              </w:tc>
              <w:tc>
                <w:tcPr>
                  <w:tcW w:w="1609" w:type="dxa"/>
                  <w:vMerge w:val="continue"/>
                  <w:tcBorders>
                    <w:top w:val="nil"/>
                    <w:left w:val="single" w:color="auto" w:sz="4" w:space="0"/>
                    <w:bottom w:val="single" w:color="auto" w:sz="4" w:space="0"/>
                    <w:right w:val="single" w:color="auto" w:sz="4" w:space="0"/>
                  </w:tcBorders>
                  <w:vAlign w:val="center"/>
                </w:tcPr>
                <w:p w14:paraId="7CB9BD6B">
                  <w:pPr>
                    <w:keepNext w:val="0"/>
                    <w:keepLines w:val="0"/>
                    <w:suppressLineNumbers w:val="0"/>
                    <w:spacing w:before="0" w:beforeAutospacing="0" w:after="0" w:afterAutospacing="0"/>
                    <w:ind w:left="0" w:right="0"/>
                    <w:rPr>
                      <w:rFonts w:hint="default" w:ascii="Times New Roman" w:hAnsi="Times New Roman" w:cs="Times New Roman"/>
                      <w:color w:val="auto"/>
                      <w:sz w:val="20"/>
                      <w:szCs w:val="20"/>
                    </w:rPr>
                  </w:pPr>
                </w:p>
              </w:tc>
              <w:tc>
                <w:tcPr>
                  <w:tcW w:w="1450" w:type="dxa"/>
                  <w:vMerge w:val="continue"/>
                  <w:tcBorders>
                    <w:top w:val="nil"/>
                    <w:left w:val="single" w:color="auto" w:sz="4" w:space="0"/>
                    <w:bottom w:val="single" w:color="auto" w:sz="4" w:space="0"/>
                    <w:right w:val="single" w:color="auto" w:sz="4" w:space="0"/>
                  </w:tcBorders>
                  <w:vAlign w:val="center"/>
                </w:tcPr>
                <w:p w14:paraId="7CA49B38">
                  <w:pPr>
                    <w:keepNext w:val="0"/>
                    <w:keepLines w:val="0"/>
                    <w:suppressLineNumbers w:val="0"/>
                    <w:spacing w:before="0" w:beforeAutospacing="0" w:after="0" w:afterAutospacing="0"/>
                    <w:ind w:left="0" w:right="0"/>
                    <w:rPr>
                      <w:rFonts w:hint="default" w:ascii="Times New Roman" w:hAnsi="Times New Roman" w:cs="Times New Roman"/>
                      <w:color w:val="auto"/>
                      <w:sz w:val="20"/>
                      <w:szCs w:val="20"/>
                    </w:rPr>
                  </w:pPr>
                </w:p>
              </w:tc>
              <w:tc>
                <w:tcPr>
                  <w:tcW w:w="1450" w:type="dxa"/>
                  <w:tcBorders>
                    <w:top w:val="single" w:color="auto" w:sz="4" w:space="0"/>
                    <w:left w:val="single" w:color="auto" w:sz="4" w:space="0"/>
                    <w:bottom w:val="single" w:color="auto" w:sz="4" w:space="0"/>
                    <w:right w:val="single" w:color="auto" w:sz="4" w:space="0"/>
                  </w:tcBorders>
                  <w:vAlign w:val="center"/>
                </w:tcPr>
                <w:p w14:paraId="51E39C2B">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r>
                    <w:rPr>
                      <w:rFonts w:hint="eastAsia" w:ascii="宋体" w:hAnsi="宋体" w:eastAsia="宋体" w:cs="宋体"/>
                      <w:color w:val="auto"/>
                      <w:szCs w:val="21"/>
                      <w:lang w:bidi="ar"/>
                    </w:rPr>
                    <w:t>气</w:t>
                  </w:r>
                  <w:r>
                    <w:rPr>
                      <w:rFonts w:hint="default" w:ascii="Times New Roman" w:hAnsi="Times New Roman" w:eastAsia="宋体" w:cs="Times New Roman"/>
                      <w:color w:val="auto"/>
                      <w:szCs w:val="21"/>
                      <w:lang w:bidi="ar"/>
                    </w:rPr>
                    <w:t>251119022</w:t>
                  </w:r>
                </w:p>
              </w:tc>
              <w:tc>
                <w:tcPr>
                  <w:tcW w:w="1132" w:type="dxa"/>
                  <w:tcBorders>
                    <w:top w:val="single" w:color="auto" w:sz="4" w:space="0"/>
                    <w:left w:val="single" w:color="auto" w:sz="4" w:space="0"/>
                    <w:bottom w:val="single" w:color="auto" w:sz="4" w:space="0"/>
                    <w:right w:val="single" w:color="auto" w:sz="4" w:space="0"/>
                  </w:tcBorders>
                  <w:vAlign w:val="center"/>
                </w:tcPr>
                <w:p w14:paraId="23EAFBF5">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lang w:bidi="ar"/>
                    </w:rPr>
                    <w:t>1.11</w:t>
                  </w:r>
                </w:p>
              </w:tc>
            </w:tr>
            <w:tr w14:paraId="4D67D1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1265" w:type="dxa"/>
                  <w:vMerge w:val="continue"/>
                  <w:tcBorders>
                    <w:left w:val="single" w:color="auto" w:sz="4" w:space="0"/>
                    <w:right w:val="single" w:color="auto" w:sz="4" w:space="0"/>
                  </w:tcBorders>
                  <w:vAlign w:val="center"/>
                </w:tcPr>
                <w:p w14:paraId="498DC7F6">
                  <w:pPr>
                    <w:keepNext w:val="0"/>
                    <w:keepLines w:val="0"/>
                    <w:suppressLineNumbers w:val="0"/>
                    <w:spacing w:before="0" w:beforeAutospacing="0" w:after="0" w:afterAutospacing="0"/>
                    <w:ind w:left="0" w:right="0"/>
                    <w:rPr>
                      <w:rFonts w:hint="default" w:ascii="Times New Roman" w:hAnsi="Times New Roman" w:cs="Times New Roman"/>
                      <w:color w:val="auto"/>
                      <w:sz w:val="20"/>
                      <w:szCs w:val="20"/>
                    </w:rPr>
                  </w:pPr>
                </w:p>
              </w:tc>
              <w:tc>
                <w:tcPr>
                  <w:tcW w:w="1269" w:type="dxa"/>
                  <w:tcBorders>
                    <w:top w:val="single" w:color="auto" w:sz="4" w:space="0"/>
                    <w:left w:val="single" w:color="auto" w:sz="4" w:space="0"/>
                    <w:bottom w:val="single" w:color="auto" w:sz="4" w:space="0"/>
                    <w:right w:val="single" w:color="auto" w:sz="4" w:space="0"/>
                  </w:tcBorders>
                  <w:vAlign w:val="center"/>
                </w:tcPr>
                <w:p w14:paraId="5F3D0D12">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r>
                    <w:rPr>
                      <w:rFonts w:hint="eastAsia" w:ascii="宋体" w:hAnsi="宋体" w:eastAsia="宋体" w:cs="宋体"/>
                      <w:color w:val="auto"/>
                      <w:szCs w:val="21"/>
                      <w:lang w:bidi="ar"/>
                    </w:rPr>
                    <w:t>第一次</w:t>
                  </w:r>
                </w:p>
              </w:tc>
              <w:tc>
                <w:tcPr>
                  <w:tcW w:w="1609" w:type="dxa"/>
                  <w:vMerge w:val="continue"/>
                  <w:tcBorders>
                    <w:top w:val="nil"/>
                    <w:left w:val="single" w:color="auto" w:sz="4" w:space="0"/>
                    <w:bottom w:val="single" w:color="auto" w:sz="4" w:space="0"/>
                    <w:right w:val="single" w:color="auto" w:sz="4" w:space="0"/>
                  </w:tcBorders>
                  <w:vAlign w:val="center"/>
                </w:tcPr>
                <w:p w14:paraId="442B4A2C">
                  <w:pPr>
                    <w:keepNext w:val="0"/>
                    <w:keepLines w:val="0"/>
                    <w:suppressLineNumbers w:val="0"/>
                    <w:spacing w:before="0" w:beforeAutospacing="0" w:after="0" w:afterAutospacing="0"/>
                    <w:ind w:left="0" w:right="0"/>
                    <w:rPr>
                      <w:rFonts w:hint="default" w:ascii="Times New Roman" w:hAnsi="Times New Roman" w:cs="Times New Roman"/>
                      <w:color w:val="auto"/>
                      <w:sz w:val="20"/>
                      <w:szCs w:val="20"/>
                    </w:rPr>
                  </w:pPr>
                </w:p>
              </w:tc>
              <w:tc>
                <w:tcPr>
                  <w:tcW w:w="1450" w:type="dxa"/>
                  <w:vMerge w:val="restart"/>
                  <w:tcBorders>
                    <w:top w:val="nil"/>
                    <w:left w:val="single" w:color="auto" w:sz="4" w:space="0"/>
                    <w:bottom w:val="single" w:color="auto" w:sz="4" w:space="0"/>
                    <w:right w:val="single" w:color="auto" w:sz="4" w:space="0"/>
                  </w:tcBorders>
                  <w:vAlign w:val="center"/>
                </w:tcPr>
                <w:p w14:paraId="4BC963A2">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r>
                    <w:rPr>
                      <w:rFonts w:hint="eastAsia" w:ascii="宋体" w:hAnsi="宋体" w:eastAsia="宋体" w:cs="宋体"/>
                      <w:color w:val="auto"/>
                      <w:szCs w:val="21"/>
                      <w:lang w:bidi="ar"/>
                    </w:rPr>
                    <w:t>厂界下风向</w:t>
                  </w:r>
                  <w:r>
                    <w:rPr>
                      <w:rFonts w:hint="default" w:ascii="Times New Roman" w:hAnsi="Times New Roman" w:eastAsia="宋体" w:cs="Times New Roman"/>
                      <w:color w:val="auto"/>
                      <w:szCs w:val="21"/>
                      <w:lang w:bidi="ar"/>
                    </w:rPr>
                    <w:t>1</w:t>
                  </w:r>
                </w:p>
              </w:tc>
              <w:tc>
                <w:tcPr>
                  <w:tcW w:w="1450" w:type="dxa"/>
                  <w:tcBorders>
                    <w:top w:val="single" w:color="auto" w:sz="4" w:space="0"/>
                    <w:left w:val="single" w:color="auto" w:sz="4" w:space="0"/>
                    <w:bottom w:val="single" w:color="auto" w:sz="4" w:space="0"/>
                    <w:right w:val="single" w:color="auto" w:sz="4" w:space="0"/>
                  </w:tcBorders>
                  <w:vAlign w:val="center"/>
                </w:tcPr>
                <w:p w14:paraId="08001C0A">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r>
                    <w:rPr>
                      <w:rFonts w:hint="eastAsia" w:ascii="宋体" w:hAnsi="宋体" w:eastAsia="宋体" w:cs="宋体"/>
                      <w:color w:val="auto"/>
                      <w:szCs w:val="21"/>
                      <w:lang w:bidi="ar"/>
                    </w:rPr>
                    <w:t>气</w:t>
                  </w:r>
                  <w:r>
                    <w:rPr>
                      <w:rFonts w:hint="default" w:ascii="Times New Roman" w:hAnsi="Times New Roman" w:eastAsia="宋体" w:cs="Times New Roman"/>
                      <w:color w:val="auto"/>
                      <w:szCs w:val="21"/>
                      <w:lang w:bidi="ar"/>
                    </w:rPr>
                    <w:t>251119023</w:t>
                  </w:r>
                </w:p>
              </w:tc>
              <w:tc>
                <w:tcPr>
                  <w:tcW w:w="1132" w:type="dxa"/>
                  <w:tcBorders>
                    <w:top w:val="single" w:color="auto" w:sz="4" w:space="0"/>
                    <w:left w:val="single" w:color="auto" w:sz="4" w:space="0"/>
                    <w:bottom w:val="single" w:color="auto" w:sz="4" w:space="0"/>
                    <w:right w:val="single" w:color="auto" w:sz="4" w:space="0"/>
                  </w:tcBorders>
                  <w:vAlign w:val="center"/>
                </w:tcPr>
                <w:p w14:paraId="07406B7A">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lang w:bidi="ar"/>
                    </w:rPr>
                    <w:t>1.09</w:t>
                  </w:r>
                </w:p>
              </w:tc>
            </w:tr>
            <w:tr w14:paraId="766251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1265" w:type="dxa"/>
                  <w:vMerge w:val="continue"/>
                  <w:tcBorders>
                    <w:left w:val="single" w:color="auto" w:sz="4" w:space="0"/>
                    <w:right w:val="single" w:color="auto" w:sz="4" w:space="0"/>
                  </w:tcBorders>
                  <w:vAlign w:val="center"/>
                </w:tcPr>
                <w:p w14:paraId="22DD25D2">
                  <w:pPr>
                    <w:keepNext w:val="0"/>
                    <w:keepLines w:val="0"/>
                    <w:suppressLineNumbers w:val="0"/>
                    <w:spacing w:before="0" w:beforeAutospacing="0" w:after="0" w:afterAutospacing="0"/>
                    <w:ind w:left="0" w:right="0"/>
                    <w:rPr>
                      <w:rFonts w:hint="default" w:ascii="Times New Roman" w:hAnsi="Times New Roman" w:cs="Times New Roman"/>
                      <w:color w:val="auto"/>
                      <w:sz w:val="20"/>
                      <w:szCs w:val="20"/>
                    </w:rPr>
                  </w:pPr>
                </w:p>
              </w:tc>
              <w:tc>
                <w:tcPr>
                  <w:tcW w:w="1269" w:type="dxa"/>
                  <w:tcBorders>
                    <w:top w:val="single" w:color="auto" w:sz="4" w:space="0"/>
                    <w:left w:val="single" w:color="auto" w:sz="4" w:space="0"/>
                    <w:bottom w:val="single" w:color="auto" w:sz="4" w:space="0"/>
                    <w:right w:val="single" w:color="auto" w:sz="4" w:space="0"/>
                  </w:tcBorders>
                  <w:vAlign w:val="center"/>
                </w:tcPr>
                <w:p w14:paraId="1900A89B">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r>
                    <w:rPr>
                      <w:rFonts w:hint="eastAsia" w:ascii="宋体" w:hAnsi="宋体" w:eastAsia="宋体" w:cs="宋体"/>
                      <w:color w:val="auto"/>
                      <w:szCs w:val="21"/>
                      <w:lang w:bidi="ar"/>
                    </w:rPr>
                    <w:t>第二次</w:t>
                  </w:r>
                </w:p>
              </w:tc>
              <w:tc>
                <w:tcPr>
                  <w:tcW w:w="1609" w:type="dxa"/>
                  <w:vMerge w:val="continue"/>
                  <w:tcBorders>
                    <w:top w:val="nil"/>
                    <w:left w:val="single" w:color="auto" w:sz="4" w:space="0"/>
                    <w:bottom w:val="single" w:color="auto" w:sz="4" w:space="0"/>
                    <w:right w:val="single" w:color="auto" w:sz="4" w:space="0"/>
                  </w:tcBorders>
                  <w:vAlign w:val="center"/>
                </w:tcPr>
                <w:p w14:paraId="49510871">
                  <w:pPr>
                    <w:keepNext w:val="0"/>
                    <w:keepLines w:val="0"/>
                    <w:suppressLineNumbers w:val="0"/>
                    <w:spacing w:before="0" w:beforeAutospacing="0" w:after="0" w:afterAutospacing="0"/>
                    <w:ind w:left="0" w:right="0"/>
                    <w:rPr>
                      <w:rFonts w:hint="default" w:ascii="Times New Roman" w:hAnsi="Times New Roman" w:cs="Times New Roman"/>
                      <w:color w:val="auto"/>
                      <w:sz w:val="20"/>
                      <w:szCs w:val="20"/>
                    </w:rPr>
                  </w:pPr>
                </w:p>
              </w:tc>
              <w:tc>
                <w:tcPr>
                  <w:tcW w:w="1450" w:type="dxa"/>
                  <w:vMerge w:val="continue"/>
                  <w:tcBorders>
                    <w:top w:val="nil"/>
                    <w:left w:val="single" w:color="auto" w:sz="4" w:space="0"/>
                    <w:bottom w:val="single" w:color="auto" w:sz="4" w:space="0"/>
                    <w:right w:val="single" w:color="auto" w:sz="4" w:space="0"/>
                  </w:tcBorders>
                  <w:vAlign w:val="center"/>
                </w:tcPr>
                <w:p w14:paraId="44BDB17D">
                  <w:pPr>
                    <w:keepNext w:val="0"/>
                    <w:keepLines w:val="0"/>
                    <w:suppressLineNumbers w:val="0"/>
                    <w:spacing w:before="0" w:beforeAutospacing="0" w:after="0" w:afterAutospacing="0"/>
                    <w:ind w:left="0" w:right="0"/>
                    <w:rPr>
                      <w:rFonts w:hint="default" w:ascii="Times New Roman" w:hAnsi="Times New Roman" w:cs="Times New Roman"/>
                      <w:color w:val="auto"/>
                      <w:sz w:val="20"/>
                      <w:szCs w:val="20"/>
                    </w:rPr>
                  </w:pPr>
                </w:p>
              </w:tc>
              <w:tc>
                <w:tcPr>
                  <w:tcW w:w="1450" w:type="dxa"/>
                  <w:tcBorders>
                    <w:top w:val="single" w:color="auto" w:sz="4" w:space="0"/>
                    <w:left w:val="single" w:color="auto" w:sz="4" w:space="0"/>
                    <w:bottom w:val="single" w:color="auto" w:sz="4" w:space="0"/>
                    <w:right w:val="single" w:color="auto" w:sz="4" w:space="0"/>
                  </w:tcBorders>
                  <w:vAlign w:val="center"/>
                </w:tcPr>
                <w:p w14:paraId="3C4EEB77">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r>
                    <w:rPr>
                      <w:rFonts w:hint="eastAsia" w:ascii="宋体" w:hAnsi="宋体" w:eastAsia="宋体" w:cs="宋体"/>
                      <w:color w:val="auto"/>
                      <w:szCs w:val="21"/>
                      <w:lang w:bidi="ar"/>
                    </w:rPr>
                    <w:t>气</w:t>
                  </w:r>
                  <w:r>
                    <w:rPr>
                      <w:rFonts w:hint="default" w:ascii="Times New Roman" w:hAnsi="Times New Roman" w:eastAsia="宋体" w:cs="Times New Roman"/>
                      <w:color w:val="auto"/>
                      <w:szCs w:val="21"/>
                      <w:lang w:bidi="ar"/>
                    </w:rPr>
                    <w:t>251119024</w:t>
                  </w:r>
                </w:p>
              </w:tc>
              <w:tc>
                <w:tcPr>
                  <w:tcW w:w="1132" w:type="dxa"/>
                  <w:tcBorders>
                    <w:top w:val="single" w:color="auto" w:sz="4" w:space="0"/>
                    <w:left w:val="single" w:color="auto" w:sz="4" w:space="0"/>
                    <w:bottom w:val="single" w:color="auto" w:sz="4" w:space="0"/>
                    <w:right w:val="single" w:color="auto" w:sz="4" w:space="0"/>
                  </w:tcBorders>
                  <w:vAlign w:val="center"/>
                </w:tcPr>
                <w:p w14:paraId="3AAC1304">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lang w:bidi="ar"/>
                    </w:rPr>
                    <w:t>1.07</w:t>
                  </w:r>
                </w:p>
              </w:tc>
            </w:tr>
            <w:tr w14:paraId="1100B9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1265" w:type="dxa"/>
                  <w:vMerge w:val="continue"/>
                  <w:tcBorders>
                    <w:left w:val="single" w:color="auto" w:sz="4" w:space="0"/>
                    <w:right w:val="single" w:color="auto" w:sz="4" w:space="0"/>
                  </w:tcBorders>
                  <w:vAlign w:val="center"/>
                </w:tcPr>
                <w:p w14:paraId="34E42FCB">
                  <w:pPr>
                    <w:keepNext w:val="0"/>
                    <w:keepLines w:val="0"/>
                    <w:suppressLineNumbers w:val="0"/>
                    <w:spacing w:before="0" w:beforeAutospacing="0" w:after="0" w:afterAutospacing="0"/>
                    <w:ind w:left="0" w:right="0"/>
                    <w:rPr>
                      <w:rFonts w:hint="default" w:ascii="Times New Roman" w:hAnsi="Times New Roman" w:cs="Times New Roman"/>
                      <w:color w:val="auto"/>
                      <w:sz w:val="20"/>
                      <w:szCs w:val="20"/>
                    </w:rPr>
                  </w:pPr>
                </w:p>
              </w:tc>
              <w:tc>
                <w:tcPr>
                  <w:tcW w:w="1269" w:type="dxa"/>
                  <w:tcBorders>
                    <w:top w:val="single" w:color="auto" w:sz="4" w:space="0"/>
                    <w:left w:val="single" w:color="auto" w:sz="4" w:space="0"/>
                    <w:bottom w:val="single" w:color="auto" w:sz="4" w:space="0"/>
                    <w:right w:val="single" w:color="auto" w:sz="4" w:space="0"/>
                  </w:tcBorders>
                  <w:vAlign w:val="center"/>
                </w:tcPr>
                <w:p w14:paraId="310A3F69">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r>
                    <w:rPr>
                      <w:rFonts w:hint="eastAsia" w:ascii="宋体" w:hAnsi="宋体" w:eastAsia="宋体" w:cs="宋体"/>
                      <w:color w:val="auto"/>
                      <w:szCs w:val="21"/>
                      <w:lang w:bidi="ar"/>
                    </w:rPr>
                    <w:t>第三次</w:t>
                  </w:r>
                </w:p>
              </w:tc>
              <w:tc>
                <w:tcPr>
                  <w:tcW w:w="1609" w:type="dxa"/>
                  <w:vMerge w:val="continue"/>
                  <w:tcBorders>
                    <w:top w:val="nil"/>
                    <w:left w:val="single" w:color="auto" w:sz="4" w:space="0"/>
                    <w:bottom w:val="single" w:color="auto" w:sz="4" w:space="0"/>
                    <w:right w:val="single" w:color="auto" w:sz="4" w:space="0"/>
                  </w:tcBorders>
                  <w:vAlign w:val="center"/>
                </w:tcPr>
                <w:p w14:paraId="712F6F9D">
                  <w:pPr>
                    <w:keepNext w:val="0"/>
                    <w:keepLines w:val="0"/>
                    <w:suppressLineNumbers w:val="0"/>
                    <w:spacing w:before="0" w:beforeAutospacing="0" w:after="0" w:afterAutospacing="0"/>
                    <w:ind w:left="0" w:right="0"/>
                    <w:rPr>
                      <w:rFonts w:hint="default" w:ascii="Times New Roman" w:hAnsi="Times New Roman" w:cs="Times New Roman"/>
                      <w:color w:val="auto"/>
                      <w:sz w:val="20"/>
                      <w:szCs w:val="20"/>
                    </w:rPr>
                  </w:pPr>
                </w:p>
              </w:tc>
              <w:tc>
                <w:tcPr>
                  <w:tcW w:w="1450" w:type="dxa"/>
                  <w:vMerge w:val="continue"/>
                  <w:tcBorders>
                    <w:top w:val="nil"/>
                    <w:left w:val="single" w:color="auto" w:sz="4" w:space="0"/>
                    <w:bottom w:val="single" w:color="auto" w:sz="4" w:space="0"/>
                    <w:right w:val="single" w:color="auto" w:sz="4" w:space="0"/>
                  </w:tcBorders>
                  <w:vAlign w:val="center"/>
                </w:tcPr>
                <w:p w14:paraId="43D9DD62">
                  <w:pPr>
                    <w:keepNext w:val="0"/>
                    <w:keepLines w:val="0"/>
                    <w:suppressLineNumbers w:val="0"/>
                    <w:spacing w:before="0" w:beforeAutospacing="0" w:after="0" w:afterAutospacing="0"/>
                    <w:ind w:left="0" w:right="0"/>
                    <w:rPr>
                      <w:rFonts w:hint="default" w:ascii="Times New Roman" w:hAnsi="Times New Roman" w:cs="Times New Roman"/>
                      <w:color w:val="auto"/>
                      <w:sz w:val="20"/>
                      <w:szCs w:val="20"/>
                    </w:rPr>
                  </w:pPr>
                </w:p>
              </w:tc>
              <w:tc>
                <w:tcPr>
                  <w:tcW w:w="1450" w:type="dxa"/>
                  <w:tcBorders>
                    <w:top w:val="single" w:color="auto" w:sz="4" w:space="0"/>
                    <w:left w:val="single" w:color="auto" w:sz="4" w:space="0"/>
                    <w:bottom w:val="single" w:color="auto" w:sz="4" w:space="0"/>
                    <w:right w:val="single" w:color="auto" w:sz="4" w:space="0"/>
                  </w:tcBorders>
                  <w:vAlign w:val="center"/>
                </w:tcPr>
                <w:p w14:paraId="180EE27A">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r>
                    <w:rPr>
                      <w:rFonts w:hint="eastAsia" w:ascii="宋体" w:hAnsi="宋体" w:eastAsia="宋体" w:cs="宋体"/>
                      <w:color w:val="auto"/>
                      <w:szCs w:val="21"/>
                      <w:lang w:bidi="ar"/>
                    </w:rPr>
                    <w:t>气</w:t>
                  </w:r>
                  <w:r>
                    <w:rPr>
                      <w:rFonts w:hint="default" w:ascii="Times New Roman" w:hAnsi="Times New Roman" w:eastAsia="宋体" w:cs="Times New Roman"/>
                      <w:color w:val="auto"/>
                      <w:szCs w:val="21"/>
                      <w:lang w:bidi="ar"/>
                    </w:rPr>
                    <w:t>251119025</w:t>
                  </w:r>
                </w:p>
              </w:tc>
              <w:tc>
                <w:tcPr>
                  <w:tcW w:w="1132" w:type="dxa"/>
                  <w:tcBorders>
                    <w:top w:val="single" w:color="auto" w:sz="4" w:space="0"/>
                    <w:left w:val="single" w:color="auto" w:sz="4" w:space="0"/>
                    <w:bottom w:val="single" w:color="auto" w:sz="4" w:space="0"/>
                    <w:right w:val="single" w:color="auto" w:sz="4" w:space="0"/>
                  </w:tcBorders>
                  <w:vAlign w:val="center"/>
                </w:tcPr>
                <w:p w14:paraId="0E132F0D">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lang w:bidi="ar"/>
                    </w:rPr>
                    <w:t>1.08</w:t>
                  </w:r>
                </w:p>
              </w:tc>
            </w:tr>
            <w:tr w14:paraId="3CA61B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1265" w:type="dxa"/>
                  <w:vMerge w:val="continue"/>
                  <w:tcBorders>
                    <w:left w:val="single" w:color="auto" w:sz="4" w:space="0"/>
                    <w:right w:val="single" w:color="auto" w:sz="4" w:space="0"/>
                  </w:tcBorders>
                  <w:vAlign w:val="center"/>
                </w:tcPr>
                <w:p w14:paraId="63CDAB33">
                  <w:pPr>
                    <w:keepNext w:val="0"/>
                    <w:keepLines w:val="0"/>
                    <w:suppressLineNumbers w:val="0"/>
                    <w:spacing w:before="0" w:beforeAutospacing="0" w:after="0" w:afterAutospacing="0"/>
                    <w:ind w:left="0" w:right="0"/>
                    <w:rPr>
                      <w:rFonts w:hint="default" w:ascii="Times New Roman" w:hAnsi="Times New Roman" w:cs="Times New Roman"/>
                      <w:color w:val="auto"/>
                      <w:sz w:val="20"/>
                      <w:szCs w:val="20"/>
                    </w:rPr>
                  </w:pPr>
                </w:p>
              </w:tc>
              <w:tc>
                <w:tcPr>
                  <w:tcW w:w="1269" w:type="dxa"/>
                  <w:tcBorders>
                    <w:top w:val="single" w:color="auto" w:sz="4" w:space="0"/>
                    <w:left w:val="single" w:color="auto" w:sz="4" w:space="0"/>
                    <w:bottom w:val="single" w:color="auto" w:sz="4" w:space="0"/>
                    <w:right w:val="single" w:color="auto" w:sz="4" w:space="0"/>
                  </w:tcBorders>
                  <w:vAlign w:val="center"/>
                </w:tcPr>
                <w:p w14:paraId="642D9CEA">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r>
                    <w:rPr>
                      <w:rFonts w:hint="eastAsia" w:ascii="宋体" w:hAnsi="宋体" w:eastAsia="宋体" w:cs="宋体"/>
                      <w:color w:val="auto"/>
                      <w:szCs w:val="21"/>
                      <w:lang w:bidi="ar"/>
                    </w:rPr>
                    <w:t>第一次</w:t>
                  </w:r>
                </w:p>
              </w:tc>
              <w:tc>
                <w:tcPr>
                  <w:tcW w:w="1609" w:type="dxa"/>
                  <w:vMerge w:val="continue"/>
                  <w:tcBorders>
                    <w:top w:val="nil"/>
                    <w:left w:val="single" w:color="auto" w:sz="4" w:space="0"/>
                    <w:bottom w:val="single" w:color="auto" w:sz="4" w:space="0"/>
                    <w:right w:val="single" w:color="auto" w:sz="4" w:space="0"/>
                  </w:tcBorders>
                  <w:vAlign w:val="center"/>
                </w:tcPr>
                <w:p w14:paraId="44E9B199">
                  <w:pPr>
                    <w:keepNext w:val="0"/>
                    <w:keepLines w:val="0"/>
                    <w:suppressLineNumbers w:val="0"/>
                    <w:spacing w:before="0" w:beforeAutospacing="0" w:after="0" w:afterAutospacing="0"/>
                    <w:ind w:left="0" w:right="0"/>
                    <w:rPr>
                      <w:rFonts w:hint="default" w:ascii="Times New Roman" w:hAnsi="Times New Roman" w:cs="Times New Roman"/>
                      <w:color w:val="auto"/>
                      <w:sz w:val="20"/>
                      <w:szCs w:val="20"/>
                    </w:rPr>
                  </w:pPr>
                </w:p>
              </w:tc>
              <w:tc>
                <w:tcPr>
                  <w:tcW w:w="1450" w:type="dxa"/>
                  <w:vMerge w:val="restart"/>
                  <w:tcBorders>
                    <w:top w:val="nil"/>
                    <w:left w:val="single" w:color="auto" w:sz="4" w:space="0"/>
                    <w:bottom w:val="single" w:color="auto" w:sz="4" w:space="0"/>
                    <w:right w:val="single" w:color="auto" w:sz="4" w:space="0"/>
                  </w:tcBorders>
                  <w:vAlign w:val="center"/>
                </w:tcPr>
                <w:p w14:paraId="544F0655">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r>
                    <w:rPr>
                      <w:rFonts w:hint="eastAsia" w:ascii="宋体" w:hAnsi="宋体" w:eastAsia="宋体" w:cs="宋体"/>
                      <w:color w:val="auto"/>
                      <w:szCs w:val="21"/>
                      <w:lang w:bidi="ar"/>
                    </w:rPr>
                    <w:t>厂界下风向</w:t>
                  </w:r>
                  <w:r>
                    <w:rPr>
                      <w:rFonts w:hint="default" w:ascii="Times New Roman" w:hAnsi="Times New Roman" w:eastAsia="宋体" w:cs="Times New Roman"/>
                      <w:color w:val="auto"/>
                      <w:szCs w:val="21"/>
                      <w:lang w:bidi="ar"/>
                    </w:rPr>
                    <w:t>2</w:t>
                  </w:r>
                </w:p>
              </w:tc>
              <w:tc>
                <w:tcPr>
                  <w:tcW w:w="1450" w:type="dxa"/>
                  <w:tcBorders>
                    <w:top w:val="single" w:color="auto" w:sz="4" w:space="0"/>
                    <w:left w:val="single" w:color="auto" w:sz="4" w:space="0"/>
                    <w:bottom w:val="single" w:color="auto" w:sz="4" w:space="0"/>
                    <w:right w:val="single" w:color="auto" w:sz="4" w:space="0"/>
                  </w:tcBorders>
                  <w:vAlign w:val="center"/>
                </w:tcPr>
                <w:p w14:paraId="76B2DD37">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r>
                    <w:rPr>
                      <w:rFonts w:hint="eastAsia" w:ascii="宋体" w:hAnsi="宋体" w:eastAsia="宋体" w:cs="宋体"/>
                      <w:color w:val="auto"/>
                      <w:szCs w:val="21"/>
                      <w:lang w:bidi="ar"/>
                    </w:rPr>
                    <w:t>气</w:t>
                  </w:r>
                  <w:r>
                    <w:rPr>
                      <w:rFonts w:hint="default" w:ascii="Times New Roman" w:hAnsi="Times New Roman" w:eastAsia="宋体" w:cs="Times New Roman"/>
                      <w:color w:val="auto"/>
                      <w:szCs w:val="21"/>
                      <w:lang w:bidi="ar"/>
                    </w:rPr>
                    <w:t>251119026</w:t>
                  </w:r>
                </w:p>
              </w:tc>
              <w:tc>
                <w:tcPr>
                  <w:tcW w:w="1132" w:type="dxa"/>
                  <w:tcBorders>
                    <w:top w:val="single" w:color="auto" w:sz="4" w:space="0"/>
                    <w:left w:val="single" w:color="auto" w:sz="4" w:space="0"/>
                    <w:bottom w:val="single" w:color="auto" w:sz="4" w:space="0"/>
                    <w:right w:val="single" w:color="auto" w:sz="4" w:space="0"/>
                  </w:tcBorders>
                  <w:vAlign w:val="center"/>
                </w:tcPr>
                <w:p w14:paraId="46DD8E3A">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lang w:bidi="ar"/>
                    </w:rPr>
                    <w:t>1.08</w:t>
                  </w:r>
                </w:p>
              </w:tc>
            </w:tr>
            <w:tr w14:paraId="4535E8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1265" w:type="dxa"/>
                  <w:vMerge w:val="continue"/>
                  <w:tcBorders>
                    <w:left w:val="single" w:color="auto" w:sz="4" w:space="0"/>
                    <w:right w:val="single" w:color="auto" w:sz="4" w:space="0"/>
                  </w:tcBorders>
                  <w:vAlign w:val="center"/>
                </w:tcPr>
                <w:p w14:paraId="4B80255E">
                  <w:pPr>
                    <w:keepNext w:val="0"/>
                    <w:keepLines w:val="0"/>
                    <w:suppressLineNumbers w:val="0"/>
                    <w:spacing w:before="0" w:beforeAutospacing="0" w:after="0" w:afterAutospacing="0"/>
                    <w:ind w:left="0" w:right="0"/>
                    <w:rPr>
                      <w:rFonts w:hint="default" w:ascii="Times New Roman" w:hAnsi="Times New Roman" w:cs="Times New Roman"/>
                      <w:color w:val="auto"/>
                      <w:sz w:val="20"/>
                      <w:szCs w:val="20"/>
                    </w:rPr>
                  </w:pPr>
                </w:p>
              </w:tc>
              <w:tc>
                <w:tcPr>
                  <w:tcW w:w="1269" w:type="dxa"/>
                  <w:tcBorders>
                    <w:top w:val="single" w:color="auto" w:sz="4" w:space="0"/>
                    <w:left w:val="single" w:color="auto" w:sz="4" w:space="0"/>
                    <w:bottom w:val="single" w:color="auto" w:sz="4" w:space="0"/>
                    <w:right w:val="single" w:color="auto" w:sz="4" w:space="0"/>
                  </w:tcBorders>
                  <w:vAlign w:val="center"/>
                </w:tcPr>
                <w:p w14:paraId="0E267479">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r>
                    <w:rPr>
                      <w:rFonts w:hint="eastAsia" w:ascii="宋体" w:hAnsi="宋体" w:eastAsia="宋体" w:cs="宋体"/>
                      <w:color w:val="auto"/>
                      <w:szCs w:val="21"/>
                      <w:lang w:bidi="ar"/>
                    </w:rPr>
                    <w:t>第二次</w:t>
                  </w:r>
                </w:p>
              </w:tc>
              <w:tc>
                <w:tcPr>
                  <w:tcW w:w="1609" w:type="dxa"/>
                  <w:vMerge w:val="continue"/>
                  <w:tcBorders>
                    <w:top w:val="nil"/>
                    <w:left w:val="single" w:color="auto" w:sz="4" w:space="0"/>
                    <w:bottom w:val="single" w:color="auto" w:sz="4" w:space="0"/>
                    <w:right w:val="single" w:color="auto" w:sz="4" w:space="0"/>
                  </w:tcBorders>
                  <w:vAlign w:val="center"/>
                </w:tcPr>
                <w:p w14:paraId="744EF9F4">
                  <w:pPr>
                    <w:keepNext w:val="0"/>
                    <w:keepLines w:val="0"/>
                    <w:suppressLineNumbers w:val="0"/>
                    <w:spacing w:before="0" w:beforeAutospacing="0" w:after="0" w:afterAutospacing="0"/>
                    <w:ind w:left="0" w:right="0"/>
                    <w:rPr>
                      <w:rFonts w:hint="default" w:ascii="Times New Roman" w:hAnsi="Times New Roman" w:cs="Times New Roman"/>
                      <w:color w:val="auto"/>
                      <w:sz w:val="20"/>
                      <w:szCs w:val="20"/>
                    </w:rPr>
                  </w:pPr>
                </w:p>
              </w:tc>
              <w:tc>
                <w:tcPr>
                  <w:tcW w:w="1450" w:type="dxa"/>
                  <w:vMerge w:val="continue"/>
                  <w:tcBorders>
                    <w:top w:val="nil"/>
                    <w:left w:val="single" w:color="auto" w:sz="4" w:space="0"/>
                    <w:bottom w:val="single" w:color="auto" w:sz="4" w:space="0"/>
                    <w:right w:val="single" w:color="auto" w:sz="4" w:space="0"/>
                  </w:tcBorders>
                  <w:vAlign w:val="center"/>
                </w:tcPr>
                <w:p w14:paraId="14D80818">
                  <w:pPr>
                    <w:keepNext w:val="0"/>
                    <w:keepLines w:val="0"/>
                    <w:suppressLineNumbers w:val="0"/>
                    <w:spacing w:before="0" w:beforeAutospacing="0" w:after="0" w:afterAutospacing="0"/>
                    <w:ind w:left="0" w:right="0"/>
                    <w:rPr>
                      <w:rFonts w:hint="default" w:ascii="Times New Roman" w:hAnsi="Times New Roman" w:cs="Times New Roman"/>
                      <w:color w:val="auto"/>
                      <w:sz w:val="20"/>
                      <w:szCs w:val="20"/>
                    </w:rPr>
                  </w:pPr>
                </w:p>
              </w:tc>
              <w:tc>
                <w:tcPr>
                  <w:tcW w:w="1450" w:type="dxa"/>
                  <w:tcBorders>
                    <w:top w:val="single" w:color="auto" w:sz="4" w:space="0"/>
                    <w:left w:val="single" w:color="auto" w:sz="4" w:space="0"/>
                    <w:bottom w:val="single" w:color="auto" w:sz="4" w:space="0"/>
                    <w:right w:val="single" w:color="auto" w:sz="4" w:space="0"/>
                  </w:tcBorders>
                  <w:vAlign w:val="center"/>
                </w:tcPr>
                <w:p w14:paraId="3EBB3D56">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r>
                    <w:rPr>
                      <w:rFonts w:hint="eastAsia" w:ascii="宋体" w:hAnsi="宋体" w:eastAsia="宋体" w:cs="宋体"/>
                      <w:color w:val="auto"/>
                      <w:szCs w:val="21"/>
                      <w:lang w:bidi="ar"/>
                    </w:rPr>
                    <w:t>气</w:t>
                  </w:r>
                  <w:r>
                    <w:rPr>
                      <w:rFonts w:hint="default" w:ascii="Times New Roman" w:hAnsi="Times New Roman" w:eastAsia="宋体" w:cs="Times New Roman"/>
                      <w:color w:val="auto"/>
                      <w:szCs w:val="21"/>
                      <w:lang w:bidi="ar"/>
                    </w:rPr>
                    <w:t>251119027</w:t>
                  </w:r>
                </w:p>
              </w:tc>
              <w:tc>
                <w:tcPr>
                  <w:tcW w:w="1132" w:type="dxa"/>
                  <w:tcBorders>
                    <w:top w:val="single" w:color="auto" w:sz="4" w:space="0"/>
                    <w:left w:val="single" w:color="auto" w:sz="4" w:space="0"/>
                    <w:bottom w:val="single" w:color="auto" w:sz="4" w:space="0"/>
                    <w:right w:val="single" w:color="auto" w:sz="4" w:space="0"/>
                  </w:tcBorders>
                  <w:vAlign w:val="center"/>
                </w:tcPr>
                <w:p w14:paraId="302CE40F">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lang w:bidi="ar"/>
                    </w:rPr>
                    <w:t>1.10</w:t>
                  </w:r>
                </w:p>
              </w:tc>
            </w:tr>
            <w:tr w14:paraId="12E9F3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1265" w:type="dxa"/>
                  <w:vMerge w:val="continue"/>
                  <w:tcBorders>
                    <w:left w:val="single" w:color="auto" w:sz="4" w:space="0"/>
                    <w:right w:val="single" w:color="auto" w:sz="4" w:space="0"/>
                  </w:tcBorders>
                  <w:vAlign w:val="center"/>
                </w:tcPr>
                <w:p w14:paraId="40308951">
                  <w:pPr>
                    <w:keepNext w:val="0"/>
                    <w:keepLines w:val="0"/>
                    <w:suppressLineNumbers w:val="0"/>
                    <w:spacing w:before="0" w:beforeAutospacing="0" w:after="0" w:afterAutospacing="0"/>
                    <w:ind w:left="0" w:right="0"/>
                    <w:rPr>
                      <w:rFonts w:hint="default" w:ascii="Times New Roman" w:hAnsi="Times New Roman" w:cs="Times New Roman"/>
                      <w:color w:val="auto"/>
                      <w:sz w:val="20"/>
                      <w:szCs w:val="20"/>
                    </w:rPr>
                  </w:pPr>
                </w:p>
              </w:tc>
              <w:tc>
                <w:tcPr>
                  <w:tcW w:w="1269" w:type="dxa"/>
                  <w:tcBorders>
                    <w:top w:val="single" w:color="auto" w:sz="4" w:space="0"/>
                    <w:left w:val="single" w:color="auto" w:sz="4" w:space="0"/>
                    <w:bottom w:val="single" w:color="auto" w:sz="4" w:space="0"/>
                    <w:right w:val="single" w:color="auto" w:sz="4" w:space="0"/>
                  </w:tcBorders>
                  <w:vAlign w:val="center"/>
                </w:tcPr>
                <w:p w14:paraId="2110AC8A">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r>
                    <w:rPr>
                      <w:rFonts w:hint="eastAsia" w:ascii="宋体" w:hAnsi="宋体" w:eastAsia="宋体" w:cs="宋体"/>
                      <w:color w:val="auto"/>
                      <w:szCs w:val="21"/>
                      <w:lang w:bidi="ar"/>
                    </w:rPr>
                    <w:t>第三次</w:t>
                  </w:r>
                </w:p>
              </w:tc>
              <w:tc>
                <w:tcPr>
                  <w:tcW w:w="1609" w:type="dxa"/>
                  <w:vMerge w:val="continue"/>
                  <w:tcBorders>
                    <w:top w:val="nil"/>
                    <w:left w:val="single" w:color="auto" w:sz="4" w:space="0"/>
                    <w:bottom w:val="single" w:color="auto" w:sz="4" w:space="0"/>
                    <w:right w:val="single" w:color="auto" w:sz="4" w:space="0"/>
                  </w:tcBorders>
                  <w:vAlign w:val="center"/>
                </w:tcPr>
                <w:p w14:paraId="17B7E1E2">
                  <w:pPr>
                    <w:keepNext w:val="0"/>
                    <w:keepLines w:val="0"/>
                    <w:suppressLineNumbers w:val="0"/>
                    <w:spacing w:before="0" w:beforeAutospacing="0" w:after="0" w:afterAutospacing="0"/>
                    <w:ind w:left="0" w:right="0"/>
                    <w:rPr>
                      <w:rFonts w:hint="default" w:ascii="Times New Roman" w:hAnsi="Times New Roman" w:cs="Times New Roman"/>
                      <w:color w:val="auto"/>
                      <w:sz w:val="20"/>
                      <w:szCs w:val="20"/>
                    </w:rPr>
                  </w:pPr>
                </w:p>
              </w:tc>
              <w:tc>
                <w:tcPr>
                  <w:tcW w:w="1450" w:type="dxa"/>
                  <w:vMerge w:val="continue"/>
                  <w:tcBorders>
                    <w:top w:val="nil"/>
                    <w:left w:val="single" w:color="auto" w:sz="4" w:space="0"/>
                    <w:bottom w:val="single" w:color="auto" w:sz="4" w:space="0"/>
                    <w:right w:val="single" w:color="auto" w:sz="4" w:space="0"/>
                  </w:tcBorders>
                  <w:vAlign w:val="center"/>
                </w:tcPr>
                <w:p w14:paraId="046153FA">
                  <w:pPr>
                    <w:keepNext w:val="0"/>
                    <w:keepLines w:val="0"/>
                    <w:suppressLineNumbers w:val="0"/>
                    <w:spacing w:before="0" w:beforeAutospacing="0" w:after="0" w:afterAutospacing="0"/>
                    <w:ind w:left="0" w:right="0"/>
                    <w:rPr>
                      <w:rFonts w:hint="default" w:ascii="Times New Roman" w:hAnsi="Times New Roman" w:cs="Times New Roman"/>
                      <w:color w:val="auto"/>
                      <w:sz w:val="20"/>
                      <w:szCs w:val="20"/>
                    </w:rPr>
                  </w:pPr>
                </w:p>
              </w:tc>
              <w:tc>
                <w:tcPr>
                  <w:tcW w:w="1450" w:type="dxa"/>
                  <w:tcBorders>
                    <w:top w:val="single" w:color="auto" w:sz="4" w:space="0"/>
                    <w:left w:val="single" w:color="auto" w:sz="4" w:space="0"/>
                    <w:bottom w:val="single" w:color="auto" w:sz="4" w:space="0"/>
                    <w:right w:val="single" w:color="auto" w:sz="4" w:space="0"/>
                  </w:tcBorders>
                  <w:vAlign w:val="center"/>
                </w:tcPr>
                <w:p w14:paraId="24DF4C21">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r>
                    <w:rPr>
                      <w:rFonts w:hint="eastAsia" w:ascii="宋体" w:hAnsi="宋体" w:eastAsia="宋体" w:cs="宋体"/>
                      <w:color w:val="auto"/>
                      <w:szCs w:val="21"/>
                      <w:lang w:bidi="ar"/>
                    </w:rPr>
                    <w:t>气</w:t>
                  </w:r>
                  <w:r>
                    <w:rPr>
                      <w:rFonts w:hint="default" w:ascii="Times New Roman" w:hAnsi="Times New Roman" w:eastAsia="宋体" w:cs="Times New Roman"/>
                      <w:color w:val="auto"/>
                      <w:szCs w:val="21"/>
                      <w:lang w:bidi="ar"/>
                    </w:rPr>
                    <w:t>251119028</w:t>
                  </w:r>
                </w:p>
              </w:tc>
              <w:tc>
                <w:tcPr>
                  <w:tcW w:w="1132" w:type="dxa"/>
                  <w:tcBorders>
                    <w:top w:val="single" w:color="auto" w:sz="4" w:space="0"/>
                    <w:left w:val="single" w:color="auto" w:sz="4" w:space="0"/>
                    <w:bottom w:val="single" w:color="auto" w:sz="4" w:space="0"/>
                    <w:right w:val="single" w:color="auto" w:sz="4" w:space="0"/>
                  </w:tcBorders>
                  <w:vAlign w:val="center"/>
                </w:tcPr>
                <w:p w14:paraId="25784B35">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lang w:bidi="ar"/>
                    </w:rPr>
                    <w:t>1.12</w:t>
                  </w:r>
                </w:p>
              </w:tc>
            </w:tr>
            <w:tr w14:paraId="007409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1265" w:type="dxa"/>
                  <w:vMerge w:val="continue"/>
                  <w:tcBorders>
                    <w:left w:val="single" w:color="auto" w:sz="4" w:space="0"/>
                    <w:right w:val="single" w:color="auto" w:sz="4" w:space="0"/>
                  </w:tcBorders>
                  <w:vAlign w:val="center"/>
                </w:tcPr>
                <w:p w14:paraId="341F9418">
                  <w:pPr>
                    <w:keepNext w:val="0"/>
                    <w:keepLines w:val="0"/>
                    <w:suppressLineNumbers w:val="0"/>
                    <w:spacing w:before="0" w:beforeAutospacing="0" w:after="0" w:afterAutospacing="0"/>
                    <w:ind w:left="0" w:right="0"/>
                    <w:rPr>
                      <w:rFonts w:hint="default" w:ascii="Times New Roman" w:hAnsi="Times New Roman" w:cs="Times New Roman"/>
                      <w:color w:val="auto"/>
                      <w:sz w:val="20"/>
                      <w:szCs w:val="20"/>
                    </w:rPr>
                  </w:pPr>
                </w:p>
              </w:tc>
              <w:tc>
                <w:tcPr>
                  <w:tcW w:w="1269" w:type="dxa"/>
                  <w:tcBorders>
                    <w:top w:val="single" w:color="auto" w:sz="4" w:space="0"/>
                    <w:left w:val="single" w:color="auto" w:sz="4" w:space="0"/>
                    <w:bottom w:val="single" w:color="auto" w:sz="4" w:space="0"/>
                    <w:right w:val="single" w:color="auto" w:sz="4" w:space="0"/>
                  </w:tcBorders>
                  <w:vAlign w:val="center"/>
                </w:tcPr>
                <w:p w14:paraId="3A813549">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r>
                    <w:rPr>
                      <w:rFonts w:hint="eastAsia" w:ascii="宋体" w:hAnsi="宋体" w:eastAsia="宋体" w:cs="宋体"/>
                      <w:color w:val="auto"/>
                      <w:szCs w:val="21"/>
                      <w:lang w:bidi="ar"/>
                    </w:rPr>
                    <w:t>第一次</w:t>
                  </w:r>
                </w:p>
              </w:tc>
              <w:tc>
                <w:tcPr>
                  <w:tcW w:w="1609" w:type="dxa"/>
                  <w:vMerge w:val="continue"/>
                  <w:tcBorders>
                    <w:top w:val="nil"/>
                    <w:left w:val="single" w:color="auto" w:sz="4" w:space="0"/>
                    <w:bottom w:val="single" w:color="auto" w:sz="4" w:space="0"/>
                    <w:right w:val="single" w:color="auto" w:sz="4" w:space="0"/>
                  </w:tcBorders>
                  <w:vAlign w:val="center"/>
                </w:tcPr>
                <w:p w14:paraId="09E5FFD3">
                  <w:pPr>
                    <w:keepNext w:val="0"/>
                    <w:keepLines w:val="0"/>
                    <w:suppressLineNumbers w:val="0"/>
                    <w:spacing w:before="0" w:beforeAutospacing="0" w:after="0" w:afterAutospacing="0"/>
                    <w:ind w:left="0" w:right="0"/>
                    <w:rPr>
                      <w:rFonts w:hint="default" w:ascii="Times New Roman" w:hAnsi="Times New Roman" w:cs="Times New Roman"/>
                      <w:color w:val="auto"/>
                      <w:sz w:val="20"/>
                      <w:szCs w:val="20"/>
                    </w:rPr>
                  </w:pPr>
                </w:p>
              </w:tc>
              <w:tc>
                <w:tcPr>
                  <w:tcW w:w="1450" w:type="dxa"/>
                  <w:vMerge w:val="restart"/>
                  <w:tcBorders>
                    <w:top w:val="nil"/>
                    <w:left w:val="single" w:color="auto" w:sz="4" w:space="0"/>
                    <w:bottom w:val="single" w:color="auto" w:sz="4" w:space="0"/>
                    <w:right w:val="single" w:color="auto" w:sz="4" w:space="0"/>
                  </w:tcBorders>
                  <w:vAlign w:val="center"/>
                </w:tcPr>
                <w:p w14:paraId="5793EE02">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r>
                    <w:rPr>
                      <w:rFonts w:hint="eastAsia" w:ascii="宋体" w:hAnsi="宋体" w:eastAsia="宋体" w:cs="宋体"/>
                      <w:color w:val="auto"/>
                      <w:szCs w:val="21"/>
                      <w:lang w:bidi="ar"/>
                    </w:rPr>
                    <w:t>厂界下风向</w:t>
                  </w:r>
                  <w:r>
                    <w:rPr>
                      <w:rFonts w:hint="default" w:ascii="Times New Roman" w:hAnsi="Times New Roman" w:eastAsia="宋体" w:cs="Times New Roman"/>
                      <w:color w:val="auto"/>
                      <w:szCs w:val="21"/>
                      <w:lang w:bidi="ar"/>
                    </w:rPr>
                    <w:t>3</w:t>
                  </w:r>
                </w:p>
              </w:tc>
              <w:tc>
                <w:tcPr>
                  <w:tcW w:w="1450" w:type="dxa"/>
                  <w:tcBorders>
                    <w:top w:val="single" w:color="auto" w:sz="4" w:space="0"/>
                    <w:left w:val="single" w:color="auto" w:sz="4" w:space="0"/>
                    <w:bottom w:val="single" w:color="auto" w:sz="4" w:space="0"/>
                    <w:right w:val="single" w:color="auto" w:sz="4" w:space="0"/>
                  </w:tcBorders>
                  <w:vAlign w:val="center"/>
                </w:tcPr>
                <w:p w14:paraId="611EB0F2">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r>
                    <w:rPr>
                      <w:rFonts w:hint="eastAsia" w:ascii="宋体" w:hAnsi="宋体" w:eastAsia="宋体" w:cs="宋体"/>
                      <w:color w:val="auto"/>
                      <w:szCs w:val="21"/>
                      <w:lang w:bidi="ar"/>
                    </w:rPr>
                    <w:t>气</w:t>
                  </w:r>
                  <w:r>
                    <w:rPr>
                      <w:rFonts w:hint="default" w:ascii="Times New Roman" w:hAnsi="Times New Roman" w:eastAsia="宋体" w:cs="Times New Roman"/>
                      <w:color w:val="auto"/>
                      <w:szCs w:val="21"/>
                      <w:lang w:bidi="ar"/>
                    </w:rPr>
                    <w:t>251119029</w:t>
                  </w:r>
                </w:p>
              </w:tc>
              <w:tc>
                <w:tcPr>
                  <w:tcW w:w="1132" w:type="dxa"/>
                  <w:tcBorders>
                    <w:top w:val="single" w:color="auto" w:sz="4" w:space="0"/>
                    <w:left w:val="single" w:color="auto" w:sz="4" w:space="0"/>
                    <w:bottom w:val="single" w:color="auto" w:sz="4" w:space="0"/>
                    <w:right w:val="single" w:color="auto" w:sz="4" w:space="0"/>
                  </w:tcBorders>
                  <w:vAlign w:val="center"/>
                </w:tcPr>
                <w:p w14:paraId="7177152B">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lang w:bidi="ar"/>
                    </w:rPr>
                    <w:t>1.10</w:t>
                  </w:r>
                </w:p>
              </w:tc>
            </w:tr>
            <w:tr w14:paraId="48616F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1265" w:type="dxa"/>
                  <w:vMerge w:val="continue"/>
                  <w:tcBorders>
                    <w:left w:val="single" w:color="auto" w:sz="4" w:space="0"/>
                    <w:right w:val="single" w:color="auto" w:sz="4" w:space="0"/>
                  </w:tcBorders>
                  <w:vAlign w:val="center"/>
                </w:tcPr>
                <w:p w14:paraId="7EAFC9A8">
                  <w:pPr>
                    <w:keepNext w:val="0"/>
                    <w:keepLines w:val="0"/>
                    <w:suppressLineNumbers w:val="0"/>
                    <w:spacing w:before="0" w:beforeAutospacing="0" w:after="0" w:afterAutospacing="0"/>
                    <w:ind w:left="0" w:right="0"/>
                    <w:rPr>
                      <w:rFonts w:hint="default" w:ascii="Times New Roman" w:hAnsi="Times New Roman" w:cs="Times New Roman"/>
                      <w:color w:val="auto"/>
                      <w:sz w:val="20"/>
                      <w:szCs w:val="20"/>
                    </w:rPr>
                  </w:pPr>
                </w:p>
              </w:tc>
              <w:tc>
                <w:tcPr>
                  <w:tcW w:w="1269" w:type="dxa"/>
                  <w:tcBorders>
                    <w:top w:val="single" w:color="auto" w:sz="4" w:space="0"/>
                    <w:left w:val="single" w:color="auto" w:sz="4" w:space="0"/>
                    <w:bottom w:val="single" w:color="auto" w:sz="4" w:space="0"/>
                    <w:right w:val="single" w:color="auto" w:sz="4" w:space="0"/>
                  </w:tcBorders>
                  <w:vAlign w:val="center"/>
                </w:tcPr>
                <w:p w14:paraId="38D82C51">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r>
                    <w:rPr>
                      <w:rFonts w:hint="eastAsia" w:ascii="宋体" w:hAnsi="宋体" w:eastAsia="宋体" w:cs="宋体"/>
                      <w:color w:val="auto"/>
                      <w:szCs w:val="21"/>
                      <w:lang w:bidi="ar"/>
                    </w:rPr>
                    <w:t>第二次</w:t>
                  </w:r>
                </w:p>
              </w:tc>
              <w:tc>
                <w:tcPr>
                  <w:tcW w:w="1609" w:type="dxa"/>
                  <w:vMerge w:val="continue"/>
                  <w:tcBorders>
                    <w:top w:val="nil"/>
                    <w:left w:val="single" w:color="auto" w:sz="4" w:space="0"/>
                    <w:bottom w:val="single" w:color="auto" w:sz="4" w:space="0"/>
                    <w:right w:val="single" w:color="auto" w:sz="4" w:space="0"/>
                  </w:tcBorders>
                  <w:vAlign w:val="center"/>
                </w:tcPr>
                <w:p w14:paraId="5828EF39">
                  <w:pPr>
                    <w:keepNext w:val="0"/>
                    <w:keepLines w:val="0"/>
                    <w:suppressLineNumbers w:val="0"/>
                    <w:spacing w:before="0" w:beforeAutospacing="0" w:after="0" w:afterAutospacing="0"/>
                    <w:ind w:left="0" w:right="0"/>
                    <w:rPr>
                      <w:rFonts w:hint="default" w:ascii="Times New Roman" w:hAnsi="Times New Roman" w:cs="Times New Roman"/>
                      <w:color w:val="auto"/>
                      <w:sz w:val="20"/>
                      <w:szCs w:val="20"/>
                    </w:rPr>
                  </w:pPr>
                </w:p>
              </w:tc>
              <w:tc>
                <w:tcPr>
                  <w:tcW w:w="1450" w:type="dxa"/>
                  <w:vMerge w:val="continue"/>
                  <w:tcBorders>
                    <w:top w:val="nil"/>
                    <w:left w:val="single" w:color="auto" w:sz="4" w:space="0"/>
                    <w:bottom w:val="single" w:color="auto" w:sz="4" w:space="0"/>
                    <w:right w:val="single" w:color="auto" w:sz="4" w:space="0"/>
                  </w:tcBorders>
                  <w:vAlign w:val="center"/>
                </w:tcPr>
                <w:p w14:paraId="356E48B5">
                  <w:pPr>
                    <w:keepNext w:val="0"/>
                    <w:keepLines w:val="0"/>
                    <w:suppressLineNumbers w:val="0"/>
                    <w:spacing w:before="0" w:beforeAutospacing="0" w:after="0" w:afterAutospacing="0"/>
                    <w:ind w:left="0" w:right="0"/>
                    <w:rPr>
                      <w:rFonts w:hint="default" w:ascii="Times New Roman" w:hAnsi="Times New Roman" w:cs="Times New Roman"/>
                      <w:color w:val="auto"/>
                      <w:sz w:val="20"/>
                      <w:szCs w:val="20"/>
                    </w:rPr>
                  </w:pPr>
                </w:p>
              </w:tc>
              <w:tc>
                <w:tcPr>
                  <w:tcW w:w="1450" w:type="dxa"/>
                  <w:tcBorders>
                    <w:top w:val="single" w:color="auto" w:sz="4" w:space="0"/>
                    <w:left w:val="single" w:color="auto" w:sz="4" w:space="0"/>
                    <w:bottom w:val="single" w:color="auto" w:sz="4" w:space="0"/>
                    <w:right w:val="single" w:color="auto" w:sz="4" w:space="0"/>
                  </w:tcBorders>
                  <w:vAlign w:val="center"/>
                </w:tcPr>
                <w:p w14:paraId="62E809EA">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r>
                    <w:rPr>
                      <w:rFonts w:hint="eastAsia" w:ascii="宋体" w:hAnsi="宋体" w:eastAsia="宋体" w:cs="宋体"/>
                      <w:color w:val="auto"/>
                      <w:szCs w:val="21"/>
                      <w:lang w:bidi="ar"/>
                    </w:rPr>
                    <w:t>气</w:t>
                  </w:r>
                  <w:r>
                    <w:rPr>
                      <w:rFonts w:hint="default" w:ascii="Times New Roman" w:hAnsi="Times New Roman" w:eastAsia="宋体" w:cs="Times New Roman"/>
                      <w:color w:val="auto"/>
                      <w:szCs w:val="21"/>
                      <w:lang w:bidi="ar"/>
                    </w:rPr>
                    <w:t>251119030</w:t>
                  </w:r>
                </w:p>
              </w:tc>
              <w:tc>
                <w:tcPr>
                  <w:tcW w:w="1132" w:type="dxa"/>
                  <w:tcBorders>
                    <w:top w:val="single" w:color="auto" w:sz="4" w:space="0"/>
                    <w:left w:val="single" w:color="auto" w:sz="4" w:space="0"/>
                    <w:bottom w:val="single" w:color="auto" w:sz="4" w:space="0"/>
                    <w:right w:val="single" w:color="auto" w:sz="4" w:space="0"/>
                  </w:tcBorders>
                  <w:vAlign w:val="center"/>
                </w:tcPr>
                <w:p w14:paraId="7AD13EC1">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lang w:bidi="ar"/>
                    </w:rPr>
                    <w:t>1.09</w:t>
                  </w:r>
                </w:p>
              </w:tc>
            </w:tr>
            <w:tr w14:paraId="00B555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1265" w:type="dxa"/>
                  <w:vMerge w:val="continue"/>
                  <w:tcBorders>
                    <w:left w:val="single" w:color="auto" w:sz="4" w:space="0"/>
                    <w:right w:val="single" w:color="auto" w:sz="4" w:space="0"/>
                  </w:tcBorders>
                  <w:vAlign w:val="center"/>
                </w:tcPr>
                <w:p w14:paraId="5D09A391">
                  <w:pPr>
                    <w:keepNext w:val="0"/>
                    <w:keepLines w:val="0"/>
                    <w:suppressLineNumbers w:val="0"/>
                    <w:spacing w:before="0" w:beforeAutospacing="0" w:after="0" w:afterAutospacing="0"/>
                    <w:ind w:left="0" w:right="0"/>
                    <w:rPr>
                      <w:rFonts w:hint="default" w:ascii="Times New Roman" w:hAnsi="Times New Roman" w:cs="Times New Roman"/>
                      <w:color w:val="auto"/>
                      <w:sz w:val="20"/>
                      <w:szCs w:val="20"/>
                    </w:rPr>
                  </w:pPr>
                </w:p>
              </w:tc>
              <w:tc>
                <w:tcPr>
                  <w:tcW w:w="1269" w:type="dxa"/>
                  <w:tcBorders>
                    <w:top w:val="single" w:color="auto" w:sz="4" w:space="0"/>
                    <w:left w:val="single" w:color="auto" w:sz="4" w:space="0"/>
                    <w:bottom w:val="single" w:color="auto" w:sz="4" w:space="0"/>
                    <w:right w:val="single" w:color="auto" w:sz="4" w:space="0"/>
                  </w:tcBorders>
                  <w:vAlign w:val="center"/>
                </w:tcPr>
                <w:p w14:paraId="55D4EB0F">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r>
                    <w:rPr>
                      <w:rFonts w:hint="eastAsia" w:ascii="宋体" w:hAnsi="宋体" w:eastAsia="宋体" w:cs="宋体"/>
                      <w:color w:val="auto"/>
                      <w:szCs w:val="21"/>
                      <w:lang w:bidi="ar"/>
                    </w:rPr>
                    <w:t>第三次</w:t>
                  </w:r>
                </w:p>
              </w:tc>
              <w:tc>
                <w:tcPr>
                  <w:tcW w:w="1609" w:type="dxa"/>
                  <w:vMerge w:val="continue"/>
                  <w:tcBorders>
                    <w:top w:val="nil"/>
                    <w:left w:val="single" w:color="auto" w:sz="4" w:space="0"/>
                    <w:bottom w:val="single" w:color="auto" w:sz="4" w:space="0"/>
                    <w:right w:val="single" w:color="auto" w:sz="4" w:space="0"/>
                  </w:tcBorders>
                  <w:vAlign w:val="center"/>
                </w:tcPr>
                <w:p w14:paraId="644A822D">
                  <w:pPr>
                    <w:keepNext w:val="0"/>
                    <w:keepLines w:val="0"/>
                    <w:suppressLineNumbers w:val="0"/>
                    <w:spacing w:before="0" w:beforeAutospacing="0" w:after="0" w:afterAutospacing="0"/>
                    <w:ind w:left="0" w:right="0"/>
                    <w:rPr>
                      <w:rFonts w:hint="default" w:ascii="Times New Roman" w:hAnsi="Times New Roman" w:cs="Times New Roman"/>
                      <w:color w:val="auto"/>
                      <w:sz w:val="20"/>
                      <w:szCs w:val="20"/>
                    </w:rPr>
                  </w:pPr>
                </w:p>
              </w:tc>
              <w:tc>
                <w:tcPr>
                  <w:tcW w:w="1450" w:type="dxa"/>
                  <w:vMerge w:val="continue"/>
                  <w:tcBorders>
                    <w:top w:val="nil"/>
                    <w:left w:val="single" w:color="auto" w:sz="4" w:space="0"/>
                    <w:bottom w:val="single" w:color="auto" w:sz="4" w:space="0"/>
                    <w:right w:val="single" w:color="auto" w:sz="4" w:space="0"/>
                  </w:tcBorders>
                  <w:vAlign w:val="center"/>
                </w:tcPr>
                <w:p w14:paraId="1970EF7C">
                  <w:pPr>
                    <w:keepNext w:val="0"/>
                    <w:keepLines w:val="0"/>
                    <w:suppressLineNumbers w:val="0"/>
                    <w:spacing w:before="0" w:beforeAutospacing="0" w:after="0" w:afterAutospacing="0"/>
                    <w:ind w:left="0" w:right="0"/>
                    <w:rPr>
                      <w:rFonts w:hint="default" w:ascii="Times New Roman" w:hAnsi="Times New Roman" w:cs="Times New Roman"/>
                      <w:color w:val="auto"/>
                      <w:sz w:val="20"/>
                      <w:szCs w:val="20"/>
                    </w:rPr>
                  </w:pPr>
                </w:p>
              </w:tc>
              <w:tc>
                <w:tcPr>
                  <w:tcW w:w="1450" w:type="dxa"/>
                  <w:tcBorders>
                    <w:top w:val="single" w:color="auto" w:sz="4" w:space="0"/>
                    <w:left w:val="single" w:color="auto" w:sz="4" w:space="0"/>
                    <w:bottom w:val="single" w:color="auto" w:sz="4" w:space="0"/>
                    <w:right w:val="single" w:color="auto" w:sz="4" w:space="0"/>
                  </w:tcBorders>
                  <w:vAlign w:val="center"/>
                </w:tcPr>
                <w:p w14:paraId="1CA03A8C">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r>
                    <w:rPr>
                      <w:rFonts w:hint="eastAsia" w:ascii="宋体" w:hAnsi="宋体" w:eastAsia="宋体" w:cs="宋体"/>
                      <w:color w:val="auto"/>
                      <w:szCs w:val="21"/>
                      <w:lang w:bidi="ar"/>
                    </w:rPr>
                    <w:t>气</w:t>
                  </w:r>
                  <w:r>
                    <w:rPr>
                      <w:rFonts w:hint="default" w:ascii="Times New Roman" w:hAnsi="Times New Roman" w:eastAsia="宋体" w:cs="Times New Roman"/>
                      <w:color w:val="auto"/>
                      <w:szCs w:val="21"/>
                      <w:lang w:bidi="ar"/>
                    </w:rPr>
                    <w:t>251119031</w:t>
                  </w:r>
                </w:p>
              </w:tc>
              <w:tc>
                <w:tcPr>
                  <w:tcW w:w="1132" w:type="dxa"/>
                  <w:tcBorders>
                    <w:top w:val="single" w:color="auto" w:sz="4" w:space="0"/>
                    <w:left w:val="single" w:color="auto" w:sz="4" w:space="0"/>
                    <w:bottom w:val="single" w:color="auto" w:sz="4" w:space="0"/>
                    <w:right w:val="single" w:color="auto" w:sz="4" w:space="0"/>
                  </w:tcBorders>
                  <w:vAlign w:val="center"/>
                </w:tcPr>
                <w:p w14:paraId="49F2BFCF">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lang w:bidi="ar"/>
                    </w:rPr>
                    <w:t>1.06</w:t>
                  </w:r>
                </w:p>
              </w:tc>
            </w:tr>
            <w:tr w14:paraId="6026B4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1265" w:type="dxa"/>
                  <w:vMerge w:val="continue"/>
                  <w:tcBorders>
                    <w:left w:val="single" w:color="auto" w:sz="4" w:space="0"/>
                    <w:right w:val="single" w:color="auto" w:sz="4" w:space="0"/>
                  </w:tcBorders>
                  <w:vAlign w:val="center"/>
                </w:tcPr>
                <w:p w14:paraId="47AA292A">
                  <w:pPr>
                    <w:keepNext w:val="0"/>
                    <w:keepLines w:val="0"/>
                    <w:suppressLineNumbers w:val="0"/>
                    <w:spacing w:before="0" w:beforeAutospacing="0" w:after="0" w:afterAutospacing="0"/>
                    <w:ind w:left="0" w:right="0"/>
                    <w:rPr>
                      <w:rFonts w:hint="default" w:ascii="Times New Roman" w:hAnsi="Times New Roman" w:cs="Times New Roman"/>
                      <w:color w:val="auto"/>
                      <w:sz w:val="20"/>
                      <w:szCs w:val="20"/>
                    </w:rPr>
                  </w:pPr>
                </w:p>
              </w:tc>
              <w:tc>
                <w:tcPr>
                  <w:tcW w:w="1269" w:type="dxa"/>
                  <w:tcBorders>
                    <w:top w:val="single" w:color="auto" w:sz="4" w:space="0"/>
                    <w:left w:val="single" w:color="auto" w:sz="4" w:space="0"/>
                    <w:bottom w:val="single" w:color="auto" w:sz="4" w:space="0"/>
                    <w:right w:val="single" w:color="auto" w:sz="4" w:space="0"/>
                  </w:tcBorders>
                  <w:vAlign w:val="center"/>
                </w:tcPr>
                <w:p w14:paraId="65F9FBDC">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r>
                    <w:rPr>
                      <w:rFonts w:hint="eastAsia" w:ascii="宋体" w:hAnsi="宋体" w:eastAsia="宋体" w:cs="宋体"/>
                      <w:color w:val="auto"/>
                      <w:szCs w:val="21"/>
                      <w:lang w:bidi="ar"/>
                    </w:rPr>
                    <w:t>第一次</w:t>
                  </w:r>
                </w:p>
              </w:tc>
              <w:tc>
                <w:tcPr>
                  <w:tcW w:w="1609" w:type="dxa"/>
                  <w:vMerge w:val="continue"/>
                  <w:tcBorders>
                    <w:top w:val="nil"/>
                    <w:left w:val="single" w:color="auto" w:sz="4" w:space="0"/>
                    <w:bottom w:val="single" w:color="auto" w:sz="4" w:space="0"/>
                    <w:right w:val="single" w:color="auto" w:sz="4" w:space="0"/>
                  </w:tcBorders>
                  <w:vAlign w:val="center"/>
                </w:tcPr>
                <w:p w14:paraId="424016CA">
                  <w:pPr>
                    <w:keepNext w:val="0"/>
                    <w:keepLines w:val="0"/>
                    <w:suppressLineNumbers w:val="0"/>
                    <w:spacing w:before="0" w:beforeAutospacing="0" w:after="0" w:afterAutospacing="0"/>
                    <w:ind w:left="0" w:right="0"/>
                    <w:rPr>
                      <w:rFonts w:hint="default" w:ascii="Times New Roman" w:hAnsi="Times New Roman" w:cs="Times New Roman"/>
                      <w:color w:val="auto"/>
                      <w:sz w:val="20"/>
                      <w:szCs w:val="20"/>
                    </w:rPr>
                  </w:pPr>
                </w:p>
              </w:tc>
              <w:tc>
                <w:tcPr>
                  <w:tcW w:w="1450" w:type="dxa"/>
                  <w:vMerge w:val="restart"/>
                  <w:tcBorders>
                    <w:top w:val="nil"/>
                    <w:left w:val="single" w:color="auto" w:sz="4" w:space="0"/>
                    <w:bottom w:val="single" w:color="auto" w:sz="4" w:space="0"/>
                    <w:right w:val="single" w:color="auto" w:sz="4" w:space="0"/>
                  </w:tcBorders>
                  <w:vAlign w:val="center"/>
                </w:tcPr>
                <w:p w14:paraId="2FB7247E">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r>
                    <w:rPr>
                      <w:rFonts w:hint="eastAsia" w:ascii="宋体" w:hAnsi="宋体" w:eastAsia="宋体" w:cs="宋体"/>
                      <w:color w:val="auto"/>
                      <w:szCs w:val="21"/>
                      <w:lang w:bidi="ar"/>
                    </w:rPr>
                    <w:t>厂区内</w:t>
                  </w:r>
                </w:p>
                <w:p w14:paraId="1FFFB8D6">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r>
                    <w:rPr>
                      <w:rFonts w:hint="eastAsia" w:ascii="宋体" w:hAnsi="宋体" w:eastAsia="宋体" w:cs="宋体"/>
                      <w:color w:val="auto"/>
                      <w:szCs w:val="21"/>
                      <w:lang w:bidi="ar"/>
                    </w:rPr>
                    <w:t>（背胶车间外）</w:t>
                  </w:r>
                </w:p>
              </w:tc>
              <w:tc>
                <w:tcPr>
                  <w:tcW w:w="1450" w:type="dxa"/>
                  <w:tcBorders>
                    <w:top w:val="single" w:color="auto" w:sz="4" w:space="0"/>
                    <w:left w:val="single" w:color="auto" w:sz="4" w:space="0"/>
                    <w:bottom w:val="single" w:color="auto" w:sz="4" w:space="0"/>
                    <w:right w:val="single" w:color="auto" w:sz="4" w:space="0"/>
                  </w:tcBorders>
                  <w:vAlign w:val="center"/>
                </w:tcPr>
                <w:p w14:paraId="3062B306">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r>
                    <w:rPr>
                      <w:rFonts w:hint="eastAsia" w:ascii="宋体" w:hAnsi="宋体" w:eastAsia="宋体" w:cs="宋体"/>
                      <w:color w:val="auto"/>
                      <w:szCs w:val="21"/>
                      <w:lang w:bidi="ar"/>
                    </w:rPr>
                    <w:t>气</w:t>
                  </w:r>
                  <w:r>
                    <w:rPr>
                      <w:rFonts w:hint="default" w:ascii="Times New Roman" w:hAnsi="Times New Roman" w:eastAsia="宋体" w:cs="Times New Roman"/>
                      <w:color w:val="auto"/>
                      <w:szCs w:val="21"/>
                      <w:lang w:bidi="ar"/>
                    </w:rPr>
                    <w:t>251119032</w:t>
                  </w:r>
                </w:p>
              </w:tc>
              <w:tc>
                <w:tcPr>
                  <w:tcW w:w="1132" w:type="dxa"/>
                  <w:tcBorders>
                    <w:top w:val="single" w:color="auto" w:sz="4" w:space="0"/>
                    <w:left w:val="single" w:color="auto" w:sz="4" w:space="0"/>
                    <w:bottom w:val="single" w:color="auto" w:sz="4" w:space="0"/>
                    <w:right w:val="single" w:color="auto" w:sz="4" w:space="0"/>
                  </w:tcBorders>
                  <w:vAlign w:val="center"/>
                </w:tcPr>
                <w:p w14:paraId="557AB961">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lang w:bidi="ar"/>
                    </w:rPr>
                    <w:t>1.13</w:t>
                  </w:r>
                </w:p>
              </w:tc>
            </w:tr>
            <w:tr w14:paraId="41DFC7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1265" w:type="dxa"/>
                  <w:vMerge w:val="continue"/>
                  <w:tcBorders>
                    <w:left w:val="single" w:color="auto" w:sz="4" w:space="0"/>
                    <w:right w:val="single" w:color="auto" w:sz="4" w:space="0"/>
                  </w:tcBorders>
                  <w:vAlign w:val="center"/>
                </w:tcPr>
                <w:p w14:paraId="47D538B3">
                  <w:pPr>
                    <w:keepNext w:val="0"/>
                    <w:keepLines w:val="0"/>
                    <w:suppressLineNumbers w:val="0"/>
                    <w:spacing w:before="0" w:beforeAutospacing="0" w:after="0" w:afterAutospacing="0"/>
                    <w:ind w:left="0" w:right="0"/>
                    <w:rPr>
                      <w:rFonts w:hint="default" w:ascii="Times New Roman" w:hAnsi="Times New Roman" w:cs="Times New Roman"/>
                      <w:color w:val="auto"/>
                      <w:sz w:val="20"/>
                      <w:szCs w:val="20"/>
                    </w:rPr>
                  </w:pPr>
                </w:p>
              </w:tc>
              <w:tc>
                <w:tcPr>
                  <w:tcW w:w="1269" w:type="dxa"/>
                  <w:tcBorders>
                    <w:top w:val="single" w:color="auto" w:sz="4" w:space="0"/>
                    <w:left w:val="single" w:color="auto" w:sz="4" w:space="0"/>
                    <w:bottom w:val="single" w:color="auto" w:sz="4" w:space="0"/>
                    <w:right w:val="single" w:color="auto" w:sz="4" w:space="0"/>
                  </w:tcBorders>
                  <w:vAlign w:val="center"/>
                </w:tcPr>
                <w:p w14:paraId="59ED01CB">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r>
                    <w:rPr>
                      <w:rFonts w:hint="eastAsia" w:ascii="宋体" w:hAnsi="宋体" w:eastAsia="宋体" w:cs="宋体"/>
                      <w:color w:val="auto"/>
                      <w:szCs w:val="21"/>
                      <w:lang w:bidi="ar"/>
                    </w:rPr>
                    <w:t>第二次</w:t>
                  </w:r>
                </w:p>
              </w:tc>
              <w:tc>
                <w:tcPr>
                  <w:tcW w:w="1609" w:type="dxa"/>
                  <w:vMerge w:val="continue"/>
                  <w:tcBorders>
                    <w:top w:val="nil"/>
                    <w:left w:val="single" w:color="auto" w:sz="4" w:space="0"/>
                    <w:bottom w:val="single" w:color="auto" w:sz="4" w:space="0"/>
                    <w:right w:val="single" w:color="auto" w:sz="4" w:space="0"/>
                  </w:tcBorders>
                  <w:vAlign w:val="center"/>
                </w:tcPr>
                <w:p w14:paraId="746AAF9F">
                  <w:pPr>
                    <w:keepNext w:val="0"/>
                    <w:keepLines w:val="0"/>
                    <w:suppressLineNumbers w:val="0"/>
                    <w:spacing w:before="0" w:beforeAutospacing="0" w:after="0" w:afterAutospacing="0"/>
                    <w:ind w:left="0" w:right="0"/>
                    <w:rPr>
                      <w:rFonts w:hint="default" w:ascii="Times New Roman" w:hAnsi="Times New Roman" w:cs="Times New Roman"/>
                      <w:color w:val="auto"/>
                      <w:sz w:val="20"/>
                      <w:szCs w:val="20"/>
                    </w:rPr>
                  </w:pPr>
                </w:p>
              </w:tc>
              <w:tc>
                <w:tcPr>
                  <w:tcW w:w="1450" w:type="dxa"/>
                  <w:vMerge w:val="continue"/>
                  <w:tcBorders>
                    <w:top w:val="nil"/>
                    <w:left w:val="single" w:color="auto" w:sz="4" w:space="0"/>
                    <w:bottom w:val="single" w:color="auto" w:sz="4" w:space="0"/>
                    <w:right w:val="single" w:color="auto" w:sz="4" w:space="0"/>
                  </w:tcBorders>
                  <w:vAlign w:val="center"/>
                </w:tcPr>
                <w:p w14:paraId="3BE04FA9">
                  <w:pPr>
                    <w:keepNext w:val="0"/>
                    <w:keepLines w:val="0"/>
                    <w:suppressLineNumbers w:val="0"/>
                    <w:spacing w:before="0" w:beforeAutospacing="0" w:after="0" w:afterAutospacing="0"/>
                    <w:ind w:left="0" w:right="0"/>
                    <w:rPr>
                      <w:rFonts w:hint="default" w:ascii="Times New Roman" w:hAnsi="Times New Roman" w:cs="Times New Roman"/>
                      <w:color w:val="auto"/>
                      <w:sz w:val="20"/>
                      <w:szCs w:val="20"/>
                    </w:rPr>
                  </w:pPr>
                </w:p>
              </w:tc>
              <w:tc>
                <w:tcPr>
                  <w:tcW w:w="1450" w:type="dxa"/>
                  <w:tcBorders>
                    <w:top w:val="single" w:color="auto" w:sz="4" w:space="0"/>
                    <w:left w:val="single" w:color="auto" w:sz="4" w:space="0"/>
                    <w:bottom w:val="single" w:color="auto" w:sz="4" w:space="0"/>
                    <w:right w:val="single" w:color="auto" w:sz="4" w:space="0"/>
                  </w:tcBorders>
                  <w:vAlign w:val="center"/>
                </w:tcPr>
                <w:p w14:paraId="275CEBA0">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r>
                    <w:rPr>
                      <w:rFonts w:hint="eastAsia" w:ascii="宋体" w:hAnsi="宋体" w:eastAsia="宋体" w:cs="宋体"/>
                      <w:color w:val="auto"/>
                      <w:szCs w:val="21"/>
                      <w:lang w:bidi="ar"/>
                    </w:rPr>
                    <w:t>气</w:t>
                  </w:r>
                  <w:r>
                    <w:rPr>
                      <w:rFonts w:hint="default" w:ascii="Times New Roman" w:hAnsi="Times New Roman" w:eastAsia="宋体" w:cs="Times New Roman"/>
                      <w:color w:val="auto"/>
                      <w:szCs w:val="21"/>
                      <w:lang w:bidi="ar"/>
                    </w:rPr>
                    <w:t>251119033</w:t>
                  </w:r>
                </w:p>
              </w:tc>
              <w:tc>
                <w:tcPr>
                  <w:tcW w:w="1132" w:type="dxa"/>
                  <w:tcBorders>
                    <w:top w:val="single" w:color="auto" w:sz="4" w:space="0"/>
                    <w:left w:val="single" w:color="auto" w:sz="4" w:space="0"/>
                    <w:bottom w:val="single" w:color="auto" w:sz="4" w:space="0"/>
                    <w:right w:val="single" w:color="auto" w:sz="4" w:space="0"/>
                  </w:tcBorders>
                  <w:vAlign w:val="center"/>
                </w:tcPr>
                <w:p w14:paraId="32C81BD0">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lang w:bidi="ar"/>
                    </w:rPr>
                    <w:t>1.17</w:t>
                  </w:r>
                </w:p>
              </w:tc>
            </w:tr>
            <w:tr w14:paraId="01B0DA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1265" w:type="dxa"/>
                  <w:vMerge w:val="continue"/>
                  <w:tcBorders>
                    <w:left w:val="single" w:color="auto" w:sz="4" w:space="0"/>
                    <w:right w:val="single" w:color="auto" w:sz="4" w:space="0"/>
                  </w:tcBorders>
                  <w:vAlign w:val="center"/>
                </w:tcPr>
                <w:p w14:paraId="40F01B98">
                  <w:pPr>
                    <w:keepNext w:val="0"/>
                    <w:keepLines w:val="0"/>
                    <w:suppressLineNumbers w:val="0"/>
                    <w:spacing w:before="0" w:beforeAutospacing="0" w:after="0" w:afterAutospacing="0"/>
                    <w:ind w:left="0" w:right="0"/>
                    <w:rPr>
                      <w:rFonts w:hint="default" w:ascii="Times New Roman" w:hAnsi="Times New Roman" w:cs="Times New Roman"/>
                      <w:color w:val="auto"/>
                      <w:sz w:val="20"/>
                      <w:szCs w:val="20"/>
                    </w:rPr>
                  </w:pPr>
                </w:p>
              </w:tc>
              <w:tc>
                <w:tcPr>
                  <w:tcW w:w="1269" w:type="dxa"/>
                  <w:tcBorders>
                    <w:top w:val="single" w:color="auto" w:sz="4" w:space="0"/>
                    <w:left w:val="single" w:color="auto" w:sz="4" w:space="0"/>
                    <w:bottom w:val="single" w:color="auto" w:sz="4" w:space="0"/>
                    <w:right w:val="single" w:color="auto" w:sz="4" w:space="0"/>
                  </w:tcBorders>
                  <w:vAlign w:val="center"/>
                </w:tcPr>
                <w:p w14:paraId="565F63C5">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r>
                    <w:rPr>
                      <w:rFonts w:hint="eastAsia" w:ascii="宋体" w:hAnsi="宋体" w:eastAsia="宋体" w:cs="宋体"/>
                      <w:color w:val="auto"/>
                      <w:szCs w:val="21"/>
                      <w:lang w:bidi="ar"/>
                    </w:rPr>
                    <w:t>第三次</w:t>
                  </w:r>
                </w:p>
              </w:tc>
              <w:tc>
                <w:tcPr>
                  <w:tcW w:w="1609" w:type="dxa"/>
                  <w:vMerge w:val="continue"/>
                  <w:tcBorders>
                    <w:top w:val="nil"/>
                    <w:left w:val="single" w:color="auto" w:sz="4" w:space="0"/>
                    <w:bottom w:val="single" w:color="auto" w:sz="4" w:space="0"/>
                    <w:right w:val="single" w:color="auto" w:sz="4" w:space="0"/>
                  </w:tcBorders>
                  <w:vAlign w:val="center"/>
                </w:tcPr>
                <w:p w14:paraId="24835655">
                  <w:pPr>
                    <w:keepNext w:val="0"/>
                    <w:keepLines w:val="0"/>
                    <w:suppressLineNumbers w:val="0"/>
                    <w:spacing w:before="0" w:beforeAutospacing="0" w:after="0" w:afterAutospacing="0"/>
                    <w:ind w:left="0" w:right="0"/>
                    <w:rPr>
                      <w:rFonts w:hint="default" w:ascii="Times New Roman" w:hAnsi="Times New Roman" w:cs="Times New Roman"/>
                      <w:color w:val="auto"/>
                      <w:sz w:val="20"/>
                      <w:szCs w:val="20"/>
                    </w:rPr>
                  </w:pPr>
                </w:p>
              </w:tc>
              <w:tc>
                <w:tcPr>
                  <w:tcW w:w="1450" w:type="dxa"/>
                  <w:vMerge w:val="continue"/>
                  <w:tcBorders>
                    <w:top w:val="nil"/>
                    <w:left w:val="single" w:color="auto" w:sz="4" w:space="0"/>
                    <w:bottom w:val="single" w:color="auto" w:sz="4" w:space="0"/>
                    <w:right w:val="single" w:color="auto" w:sz="4" w:space="0"/>
                  </w:tcBorders>
                  <w:vAlign w:val="center"/>
                </w:tcPr>
                <w:p w14:paraId="5D93C595">
                  <w:pPr>
                    <w:keepNext w:val="0"/>
                    <w:keepLines w:val="0"/>
                    <w:suppressLineNumbers w:val="0"/>
                    <w:spacing w:before="0" w:beforeAutospacing="0" w:after="0" w:afterAutospacing="0"/>
                    <w:ind w:left="0" w:right="0"/>
                    <w:rPr>
                      <w:rFonts w:hint="default" w:ascii="Times New Roman" w:hAnsi="Times New Roman" w:cs="Times New Roman"/>
                      <w:color w:val="auto"/>
                      <w:sz w:val="20"/>
                      <w:szCs w:val="20"/>
                    </w:rPr>
                  </w:pPr>
                </w:p>
              </w:tc>
              <w:tc>
                <w:tcPr>
                  <w:tcW w:w="1450" w:type="dxa"/>
                  <w:tcBorders>
                    <w:top w:val="single" w:color="auto" w:sz="4" w:space="0"/>
                    <w:left w:val="single" w:color="auto" w:sz="4" w:space="0"/>
                    <w:bottom w:val="single" w:color="auto" w:sz="4" w:space="0"/>
                    <w:right w:val="single" w:color="auto" w:sz="4" w:space="0"/>
                  </w:tcBorders>
                  <w:vAlign w:val="center"/>
                </w:tcPr>
                <w:p w14:paraId="090FC2A5">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r>
                    <w:rPr>
                      <w:rFonts w:hint="eastAsia" w:ascii="宋体" w:hAnsi="宋体" w:eastAsia="宋体" w:cs="宋体"/>
                      <w:color w:val="auto"/>
                      <w:szCs w:val="21"/>
                      <w:lang w:bidi="ar"/>
                    </w:rPr>
                    <w:t>气</w:t>
                  </w:r>
                  <w:r>
                    <w:rPr>
                      <w:rFonts w:hint="default" w:ascii="Times New Roman" w:hAnsi="Times New Roman" w:eastAsia="宋体" w:cs="Times New Roman"/>
                      <w:color w:val="auto"/>
                      <w:szCs w:val="21"/>
                      <w:lang w:bidi="ar"/>
                    </w:rPr>
                    <w:t>251119034</w:t>
                  </w:r>
                </w:p>
              </w:tc>
              <w:tc>
                <w:tcPr>
                  <w:tcW w:w="1132" w:type="dxa"/>
                  <w:tcBorders>
                    <w:top w:val="single" w:color="auto" w:sz="4" w:space="0"/>
                    <w:left w:val="single" w:color="auto" w:sz="4" w:space="0"/>
                    <w:bottom w:val="single" w:color="auto" w:sz="4" w:space="0"/>
                    <w:right w:val="single" w:color="auto" w:sz="4" w:space="0"/>
                  </w:tcBorders>
                  <w:vAlign w:val="center"/>
                </w:tcPr>
                <w:p w14:paraId="3CAADB6E">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lang w:bidi="ar"/>
                    </w:rPr>
                    <w:t>1.13</w:t>
                  </w:r>
                </w:p>
              </w:tc>
            </w:tr>
            <w:tr w14:paraId="54132F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1265" w:type="dxa"/>
                  <w:vMerge w:val="continue"/>
                  <w:tcBorders>
                    <w:left w:val="single" w:color="auto" w:sz="4" w:space="0"/>
                    <w:right w:val="single" w:color="auto" w:sz="4" w:space="0"/>
                  </w:tcBorders>
                  <w:vAlign w:val="center"/>
                </w:tcPr>
                <w:p w14:paraId="78B11060">
                  <w:pPr>
                    <w:keepNext w:val="0"/>
                    <w:keepLines w:val="0"/>
                    <w:suppressLineNumbers w:val="0"/>
                    <w:spacing w:before="0" w:beforeAutospacing="0" w:after="0" w:afterAutospacing="0"/>
                    <w:ind w:left="0" w:right="0"/>
                    <w:rPr>
                      <w:rFonts w:hint="default" w:ascii="Times New Roman" w:hAnsi="Times New Roman" w:cs="Times New Roman"/>
                      <w:color w:val="auto"/>
                      <w:sz w:val="20"/>
                      <w:szCs w:val="20"/>
                    </w:rPr>
                  </w:pPr>
                </w:p>
              </w:tc>
              <w:tc>
                <w:tcPr>
                  <w:tcW w:w="1269" w:type="dxa"/>
                  <w:tcBorders>
                    <w:top w:val="single" w:color="auto" w:sz="4" w:space="0"/>
                    <w:left w:val="single" w:color="auto" w:sz="4" w:space="0"/>
                    <w:bottom w:val="single" w:color="auto" w:sz="4" w:space="0"/>
                    <w:right w:val="single" w:color="auto" w:sz="4" w:space="0"/>
                  </w:tcBorders>
                  <w:vAlign w:val="center"/>
                </w:tcPr>
                <w:p w14:paraId="3BCE3840">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r>
                    <w:rPr>
                      <w:rFonts w:hint="eastAsia" w:ascii="宋体" w:hAnsi="宋体" w:eastAsia="宋体" w:cs="宋体"/>
                      <w:color w:val="auto"/>
                      <w:szCs w:val="21"/>
                      <w:lang w:bidi="ar"/>
                    </w:rPr>
                    <w:t>第一次</w:t>
                  </w:r>
                </w:p>
              </w:tc>
              <w:tc>
                <w:tcPr>
                  <w:tcW w:w="1609" w:type="dxa"/>
                  <w:vMerge w:val="restart"/>
                  <w:tcBorders>
                    <w:top w:val="nil"/>
                    <w:left w:val="single" w:color="auto" w:sz="4" w:space="0"/>
                    <w:bottom w:val="single" w:color="auto" w:sz="4" w:space="0"/>
                    <w:right w:val="single" w:color="auto" w:sz="4" w:space="0"/>
                  </w:tcBorders>
                  <w:vAlign w:val="center"/>
                </w:tcPr>
                <w:p w14:paraId="7150C617">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r>
                    <w:rPr>
                      <w:rFonts w:hint="eastAsia" w:ascii="宋体" w:hAnsi="宋体" w:eastAsia="宋体" w:cs="宋体"/>
                      <w:color w:val="auto"/>
                      <w:szCs w:val="21"/>
                      <w:lang w:bidi="ar"/>
                    </w:rPr>
                    <w:t>臭气浓度</w:t>
                  </w:r>
                </w:p>
                <w:p w14:paraId="42CC4E33">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r>
                    <w:rPr>
                      <w:rFonts w:hint="eastAsia" w:ascii="宋体" w:hAnsi="宋体" w:eastAsia="宋体" w:cs="宋体"/>
                      <w:color w:val="auto"/>
                      <w:szCs w:val="21"/>
                      <w:lang w:bidi="ar"/>
                    </w:rPr>
                    <w:t>（无量纲）</w:t>
                  </w:r>
                </w:p>
              </w:tc>
              <w:tc>
                <w:tcPr>
                  <w:tcW w:w="1450" w:type="dxa"/>
                  <w:vMerge w:val="restart"/>
                  <w:tcBorders>
                    <w:top w:val="nil"/>
                    <w:left w:val="single" w:color="auto" w:sz="4" w:space="0"/>
                    <w:bottom w:val="single" w:color="auto" w:sz="4" w:space="0"/>
                    <w:right w:val="single" w:color="auto" w:sz="4" w:space="0"/>
                  </w:tcBorders>
                  <w:vAlign w:val="center"/>
                </w:tcPr>
                <w:p w14:paraId="32E0DF75">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r>
                    <w:rPr>
                      <w:rFonts w:hint="eastAsia" w:ascii="宋体" w:hAnsi="宋体" w:eastAsia="宋体" w:cs="宋体"/>
                      <w:color w:val="auto"/>
                      <w:szCs w:val="21"/>
                      <w:lang w:bidi="ar"/>
                    </w:rPr>
                    <w:t>厂界上风向</w:t>
                  </w:r>
                </w:p>
              </w:tc>
              <w:tc>
                <w:tcPr>
                  <w:tcW w:w="1450" w:type="dxa"/>
                  <w:tcBorders>
                    <w:top w:val="single" w:color="auto" w:sz="4" w:space="0"/>
                    <w:left w:val="single" w:color="auto" w:sz="4" w:space="0"/>
                    <w:bottom w:val="single" w:color="auto" w:sz="4" w:space="0"/>
                    <w:right w:val="single" w:color="auto" w:sz="4" w:space="0"/>
                  </w:tcBorders>
                  <w:vAlign w:val="center"/>
                </w:tcPr>
                <w:p w14:paraId="77E958AD">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r>
                    <w:rPr>
                      <w:rFonts w:hint="eastAsia" w:ascii="宋体" w:hAnsi="宋体" w:eastAsia="宋体" w:cs="宋体"/>
                      <w:color w:val="auto"/>
                      <w:szCs w:val="21"/>
                      <w:lang w:bidi="ar"/>
                    </w:rPr>
                    <w:t>气</w:t>
                  </w:r>
                  <w:r>
                    <w:rPr>
                      <w:rFonts w:hint="default" w:ascii="Times New Roman" w:hAnsi="Times New Roman" w:eastAsia="宋体" w:cs="Times New Roman"/>
                      <w:color w:val="auto"/>
                      <w:szCs w:val="21"/>
                      <w:lang w:bidi="ar"/>
                    </w:rPr>
                    <w:t>251119035</w:t>
                  </w:r>
                </w:p>
              </w:tc>
              <w:tc>
                <w:tcPr>
                  <w:tcW w:w="1132" w:type="dxa"/>
                  <w:tcBorders>
                    <w:top w:val="single" w:color="auto" w:sz="4" w:space="0"/>
                    <w:left w:val="single" w:color="auto" w:sz="4" w:space="0"/>
                    <w:bottom w:val="single" w:color="auto" w:sz="4" w:space="0"/>
                    <w:right w:val="single" w:color="auto" w:sz="4" w:space="0"/>
                  </w:tcBorders>
                  <w:vAlign w:val="center"/>
                </w:tcPr>
                <w:p w14:paraId="4DFBE87F">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lang w:bidi="ar"/>
                    </w:rPr>
                    <w:t>&lt;10</w:t>
                  </w:r>
                </w:p>
              </w:tc>
            </w:tr>
            <w:tr w14:paraId="699F98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1265" w:type="dxa"/>
                  <w:vMerge w:val="continue"/>
                  <w:tcBorders>
                    <w:left w:val="single" w:color="auto" w:sz="4" w:space="0"/>
                    <w:right w:val="single" w:color="auto" w:sz="4" w:space="0"/>
                  </w:tcBorders>
                  <w:vAlign w:val="center"/>
                </w:tcPr>
                <w:p w14:paraId="7F12E3EB">
                  <w:pPr>
                    <w:keepNext w:val="0"/>
                    <w:keepLines w:val="0"/>
                    <w:suppressLineNumbers w:val="0"/>
                    <w:spacing w:before="0" w:beforeAutospacing="0" w:after="0" w:afterAutospacing="0"/>
                    <w:ind w:left="0" w:right="0"/>
                    <w:rPr>
                      <w:rFonts w:hint="default" w:ascii="Times New Roman" w:hAnsi="Times New Roman" w:cs="Times New Roman"/>
                      <w:color w:val="auto"/>
                      <w:sz w:val="20"/>
                      <w:szCs w:val="20"/>
                    </w:rPr>
                  </w:pPr>
                </w:p>
              </w:tc>
              <w:tc>
                <w:tcPr>
                  <w:tcW w:w="1269" w:type="dxa"/>
                  <w:tcBorders>
                    <w:top w:val="single" w:color="auto" w:sz="4" w:space="0"/>
                    <w:left w:val="single" w:color="auto" w:sz="4" w:space="0"/>
                    <w:bottom w:val="single" w:color="auto" w:sz="4" w:space="0"/>
                    <w:right w:val="single" w:color="auto" w:sz="4" w:space="0"/>
                  </w:tcBorders>
                  <w:vAlign w:val="center"/>
                </w:tcPr>
                <w:p w14:paraId="12BEB013">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r>
                    <w:rPr>
                      <w:rFonts w:hint="eastAsia" w:ascii="宋体" w:hAnsi="宋体" w:eastAsia="宋体" w:cs="宋体"/>
                      <w:color w:val="auto"/>
                      <w:szCs w:val="21"/>
                      <w:lang w:bidi="ar"/>
                    </w:rPr>
                    <w:t>第二次</w:t>
                  </w:r>
                </w:p>
              </w:tc>
              <w:tc>
                <w:tcPr>
                  <w:tcW w:w="1609" w:type="dxa"/>
                  <w:vMerge w:val="continue"/>
                  <w:tcBorders>
                    <w:top w:val="nil"/>
                    <w:left w:val="single" w:color="auto" w:sz="4" w:space="0"/>
                    <w:bottom w:val="single" w:color="auto" w:sz="4" w:space="0"/>
                    <w:right w:val="single" w:color="auto" w:sz="4" w:space="0"/>
                  </w:tcBorders>
                  <w:vAlign w:val="center"/>
                </w:tcPr>
                <w:p w14:paraId="38758C90">
                  <w:pPr>
                    <w:keepNext w:val="0"/>
                    <w:keepLines w:val="0"/>
                    <w:suppressLineNumbers w:val="0"/>
                    <w:spacing w:before="0" w:beforeAutospacing="0" w:after="0" w:afterAutospacing="0"/>
                    <w:ind w:left="0" w:right="0"/>
                    <w:rPr>
                      <w:rFonts w:hint="default" w:ascii="Times New Roman" w:hAnsi="Times New Roman" w:cs="Times New Roman"/>
                      <w:color w:val="auto"/>
                      <w:sz w:val="20"/>
                      <w:szCs w:val="20"/>
                    </w:rPr>
                  </w:pPr>
                </w:p>
              </w:tc>
              <w:tc>
                <w:tcPr>
                  <w:tcW w:w="1450" w:type="dxa"/>
                  <w:vMerge w:val="continue"/>
                  <w:tcBorders>
                    <w:top w:val="nil"/>
                    <w:left w:val="single" w:color="auto" w:sz="4" w:space="0"/>
                    <w:bottom w:val="single" w:color="auto" w:sz="4" w:space="0"/>
                    <w:right w:val="single" w:color="auto" w:sz="4" w:space="0"/>
                  </w:tcBorders>
                  <w:vAlign w:val="center"/>
                </w:tcPr>
                <w:p w14:paraId="109E4AFB">
                  <w:pPr>
                    <w:keepNext w:val="0"/>
                    <w:keepLines w:val="0"/>
                    <w:suppressLineNumbers w:val="0"/>
                    <w:spacing w:before="0" w:beforeAutospacing="0" w:after="0" w:afterAutospacing="0"/>
                    <w:ind w:left="0" w:right="0"/>
                    <w:rPr>
                      <w:rFonts w:hint="default" w:ascii="Times New Roman" w:hAnsi="Times New Roman" w:cs="Times New Roman"/>
                      <w:color w:val="auto"/>
                      <w:sz w:val="20"/>
                      <w:szCs w:val="20"/>
                    </w:rPr>
                  </w:pPr>
                </w:p>
              </w:tc>
              <w:tc>
                <w:tcPr>
                  <w:tcW w:w="1450" w:type="dxa"/>
                  <w:tcBorders>
                    <w:top w:val="single" w:color="auto" w:sz="4" w:space="0"/>
                    <w:left w:val="single" w:color="auto" w:sz="4" w:space="0"/>
                    <w:bottom w:val="single" w:color="auto" w:sz="4" w:space="0"/>
                    <w:right w:val="single" w:color="auto" w:sz="4" w:space="0"/>
                  </w:tcBorders>
                  <w:vAlign w:val="center"/>
                </w:tcPr>
                <w:p w14:paraId="23AF2A6B">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r>
                    <w:rPr>
                      <w:rFonts w:hint="eastAsia" w:ascii="宋体" w:hAnsi="宋体" w:eastAsia="宋体" w:cs="宋体"/>
                      <w:color w:val="auto"/>
                      <w:szCs w:val="21"/>
                      <w:lang w:bidi="ar"/>
                    </w:rPr>
                    <w:t>气</w:t>
                  </w:r>
                  <w:r>
                    <w:rPr>
                      <w:rFonts w:hint="default" w:ascii="Times New Roman" w:hAnsi="Times New Roman" w:eastAsia="宋体" w:cs="Times New Roman"/>
                      <w:color w:val="auto"/>
                      <w:szCs w:val="21"/>
                      <w:lang w:bidi="ar"/>
                    </w:rPr>
                    <w:t>251119036</w:t>
                  </w:r>
                </w:p>
              </w:tc>
              <w:tc>
                <w:tcPr>
                  <w:tcW w:w="1132" w:type="dxa"/>
                  <w:tcBorders>
                    <w:top w:val="single" w:color="auto" w:sz="4" w:space="0"/>
                    <w:left w:val="single" w:color="auto" w:sz="4" w:space="0"/>
                    <w:bottom w:val="single" w:color="auto" w:sz="4" w:space="0"/>
                    <w:right w:val="single" w:color="auto" w:sz="4" w:space="0"/>
                  </w:tcBorders>
                  <w:vAlign w:val="center"/>
                </w:tcPr>
                <w:p w14:paraId="11FB1D4C">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lang w:bidi="ar"/>
                    </w:rPr>
                    <w:t>&lt;10</w:t>
                  </w:r>
                </w:p>
              </w:tc>
            </w:tr>
            <w:tr w14:paraId="054F8C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1265" w:type="dxa"/>
                  <w:vMerge w:val="continue"/>
                  <w:tcBorders>
                    <w:left w:val="single" w:color="auto" w:sz="4" w:space="0"/>
                    <w:right w:val="single" w:color="auto" w:sz="4" w:space="0"/>
                  </w:tcBorders>
                  <w:vAlign w:val="center"/>
                </w:tcPr>
                <w:p w14:paraId="2AADCA99">
                  <w:pPr>
                    <w:keepNext w:val="0"/>
                    <w:keepLines w:val="0"/>
                    <w:suppressLineNumbers w:val="0"/>
                    <w:spacing w:before="0" w:beforeAutospacing="0" w:after="0" w:afterAutospacing="0"/>
                    <w:ind w:left="0" w:right="0"/>
                    <w:rPr>
                      <w:rFonts w:hint="default" w:ascii="Times New Roman" w:hAnsi="Times New Roman" w:cs="Times New Roman"/>
                      <w:color w:val="auto"/>
                      <w:sz w:val="20"/>
                      <w:szCs w:val="20"/>
                    </w:rPr>
                  </w:pPr>
                </w:p>
              </w:tc>
              <w:tc>
                <w:tcPr>
                  <w:tcW w:w="1269" w:type="dxa"/>
                  <w:tcBorders>
                    <w:top w:val="single" w:color="auto" w:sz="4" w:space="0"/>
                    <w:left w:val="single" w:color="auto" w:sz="4" w:space="0"/>
                    <w:bottom w:val="single" w:color="auto" w:sz="4" w:space="0"/>
                    <w:right w:val="single" w:color="auto" w:sz="4" w:space="0"/>
                  </w:tcBorders>
                  <w:vAlign w:val="center"/>
                </w:tcPr>
                <w:p w14:paraId="68421F14">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r>
                    <w:rPr>
                      <w:rFonts w:hint="eastAsia" w:ascii="宋体" w:hAnsi="宋体" w:eastAsia="宋体" w:cs="宋体"/>
                      <w:color w:val="auto"/>
                      <w:szCs w:val="21"/>
                      <w:lang w:bidi="ar"/>
                    </w:rPr>
                    <w:t>第三次</w:t>
                  </w:r>
                </w:p>
              </w:tc>
              <w:tc>
                <w:tcPr>
                  <w:tcW w:w="1609" w:type="dxa"/>
                  <w:vMerge w:val="continue"/>
                  <w:tcBorders>
                    <w:top w:val="nil"/>
                    <w:left w:val="single" w:color="auto" w:sz="4" w:space="0"/>
                    <w:bottom w:val="single" w:color="auto" w:sz="4" w:space="0"/>
                    <w:right w:val="single" w:color="auto" w:sz="4" w:space="0"/>
                  </w:tcBorders>
                  <w:vAlign w:val="center"/>
                </w:tcPr>
                <w:p w14:paraId="4BAF37C1">
                  <w:pPr>
                    <w:keepNext w:val="0"/>
                    <w:keepLines w:val="0"/>
                    <w:suppressLineNumbers w:val="0"/>
                    <w:spacing w:before="0" w:beforeAutospacing="0" w:after="0" w:afterAutospacing="0"/>
                    <w:ind w:left="0" w:right="0"/>
                    <w:rPr>
                      <w:rFonts w:hint="default" w:ascii="Times New Roman" w:hAnsi="Times New Roman" w:cs="Times New Roman"/>
                      <w:color w:val="auto"/>
                      <w:sz w:val="20"/>
                      <w:szCs w:val="20"/>
                    </w:rPr>
                  </w:pPr>
                </w:p>
              </w:tc>
              <w:tc>
                <w:tcPr>
                  <w:tcW w:w="1450" w:type="dxa"/>
                  <w:vMerge w:val="continue"/>
                  <w:tcBorders>
                    <w:top w:val="nil"/>
                    <w:left w:val="single" w:color="auto" w:sz="4" w:space="0"/>
                    <w:bottom w:val="single" w:color="auto" w:sz="4" w:space="0"/>
                    <w:right w:val="single" w:color="auto" w:sz="4" w:space="0"/>
                  </w:tcBorders>
                  <w:vAlign w:val="center"/>
                </w:tcPr>
                <w:p w14:paraId="1BFAB9C3">
                  <w:pPr>
                    <w:keepNext w:val="0"/>
                    <w:keepLines w:val="0"/>
                    <w:suppressLineNumbers w:val="0"/>
                    <w:spacing w:before="0" w:beforeAutospacing="0" w:after="0" w:afterAutospacing="0"/>
                    <w:ind w:left="0" w:right="0"/>
                    <w:rPr>
                      <w:rFonts w:hint="default" w:ascii="Times New Roman" w:hAnsi="Times New Roman" w:cs="Times New Roman"/>
                      <w:color w:val="auto"/>
                      <w:sz w:val="20"/>
                      <w:szCs w:val="20"/>
                    </w:rPr>
                  </w:pPr>
                </w:p>
              </w:tc>
              <w:tc>
                <w:tcPr>
                  <w:tcW w:w="1450" w:type="dxa"/>
                  <w:tcBorders>
                    <w:top w:val="single" w:color="auto" w:sz="4" w:space="0"/>
                    <w:left w:val="single" w:color="auto" w:sz="4" w:space="0"/>
                    <w:bottom w:val="single" w:color="auto" w:sz="4" w:space="0"/>
                    <w:right w:val="single" w:color="auto" w:sz="4" w:space="0"/>
                  </w:tcBorders>
                  <w:vAlign w:val="center"/>
                </w:tcPr>
                <w:p w14:paraId="7CB52EB9">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r>
                    <w:rPr>
                      <w:rFonts w:hint="eastAsia" w:ascii="宋体" w:hAnsi="宋体" w:eastAsia="宋体" w:cs="宋体"/>
                      <w:color w:val="auto"/>
                      <w:szCs w:val="21"/>
                      <w:lang w:bidi="ar"/>
                    </w:rPr>
                    <w:t>气</w:t>
                  </w:r>
                  <w:r>
                    <w:rPr>
                      <w:rFonts w:hint="default" w:ascii="Times New Roman" w:hAnsi="Times New Roman" w:eastAsia="宋体" w:cs="Times New Roman"/>
                      <w:color w:val="auto"/>
                      <w:szCs w:val="21"/>
                      <w:lang w:bidi="ar"/>
                    </w:rPr>
                    <w:t>251119037</w:t>
                  </w:r>
                </w:p>
              </w:tc>
              <w:tc>
                <w:tcPr>
                  <w:tcW w:w="1132" w:type="dxa"/>
                  <w:tcBorders>
                    <w:top w:val="single" w:color="auto" w:sz="4" w:space="0"/>
                    <w:left w:val="single" w:color="auto" w:sz="4" w:space="0"/>
                    <w:bottom w:val="single" w:color="auto" w:sz="4" w:space="0"/>
                    <w:right w:val="single" w:color="auto" w:sz="4" w:space="0"/>
                  </w:tcBorders>
                  <w:vAlign w:val="center"/>
                </w:tcPr>
                <w:p w14:paraId="4DCE7AF3">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lang w:bidi="ar"/>
                    </w:rPr>
                    <w:t>&lt;10</w:t>
                  </w:r>
                </w:p>
              </w:tc>
            </w:tr>
            <w:tr w14:paraId="705257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1265" w:type="dxa"/>
                  <w:vMerge w:val="continue"/>
                  <w:tcBorders>
                    <w:left w:val="single" w:color="auto" w:sz="4" w:space="0"/>
                    <w:right w:val="single" w:color="auto" w:sz="4" w:space="0"/>
                  </w:tcBorders>
                  <w:vAlign w:val="center"/>
                </w:tcPr>
                <w:p w14:paraId="57E01E59">
                  <w:pPr>
                    <w:keepNext w:val="0"/>
                    <w:keepLines w:val="0"/>
                    <w:suppressLineNumbers w:val="0"/>
                    <w:spacing w:before="0" w:beforeAutospacing="0" w:after="0" w:afterAutospacing="0"/>
                    <w:ind w:left="0" w:right="0"/>
                    <w:rPr>
                      <w:rFonts w:hint="default" w:ascii="Times New Roman" w:hAnsi="Times New Roman" w:cs="Times New Roman"/>
                      <w:color w:val="auto"/>
                      <w:sz w:val="20"/>
                      <w:szCs w:val="20"/>
                    </w:rPr>
                  </w:pPr>
                </w:p>
              </w:tc>
              <w:tc>
                <w:tcPr>
                  <w:tcW w:w="1269" w:type="dxa"/>
                  <w:tcBorders>
                    <w:top w:val="single" w:color="auto" w:sz="4" w:space="0"/>
                    <w:left w:val="single" w:color="auto" w:sz="4" w:space="0"/>
                    <w:bottom w:val="single" w:color="auto" w:sz="4" w:space="0"/>
                    <w:right w:val="single" w:color="auto" w:sz="4" w:space="0"/>
                  </w:tcBorders>
                  <w:vAlign w:val="center"/>
                </w:tcPr>
                <w:p w14:paraId="4BF919C4">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r>
                    <w:rPr>
                      <w:rFonts w:hint="eastAsia" w:ascii="宋体" w:hAnsi="宋体" w:eastAsia="宋体" w:cs="宋体"/>
                      <w:color w:val="auto"/>
                      <w:szCs w:val="21"/>
                      <w:lang w:bidi="ar"/>
                    </w:rPr>
                    <w:t>第四次</w:t>
                  </w:r>
                </w:p>
              </w:tc>
              <w:tc>
                <w:tcPr>
                  <w:tcW w:w="1609" w:type="dxa"/>
                  <w:vMerge w:val="continue"/>
                  <w:tcBorders>
                    <w:top w:val="nil"/>
                    <w:left w:val="single" w:color="auto" w:sz="4" w:space="0"/>
                    <w:bottom w:val="single" w:color="auto" w:sz="4" w:space="0"/>
                    <w:right w:val="single" w:color="auto" w:sz="4" w:space="0"/>
                  </w:tcBorders>
                  <w:vAlign w:val="center"/>
                </w:tcPr>
                <w:p w14:paraId="2E5E6173">
                  <w:pPr>
                    <w:keepNext w:val="0"/>
                    <w:keepLines w:val="0"/>
                    <w:suppressLineNumbers w:val="0"/>
                    <w:spacing w:before="0" w:beforeAutospacing="0" w:after="0" w:afterAutospacing="0"/>
                    <w:ind w:left="0" w:right="0"/>
                    <w:rPr>
                      <w:rFonts w:hint="default" w:ascii="Times New Roman" w:hAnsi="Times New Roman" w:cs="Times New Roman"/>
                      <w:color w:val="auto"/>
                      <w:sz w:val="20"/>
                      <w:szCs w:val="20"/>
                    </w:rPr>
                  </w:pPr>
                </w:p>
              </w:tc>
              <w:tc>
                <w:tcPr>
                  <w:tcW w:w="1450" w:type="dxa"/>
                  <w:vMerge w:val="continue"/>
                  <w:tcBorders>
                    <w:top w:val="nil"/>
                    <w:left w:val="single" w:color="auto" w:sz="4" w:space="0"/>
                    <w:bottom w:val="single" w:color="auto" w:sz="4" w:space="0"/>
                    <w:right w:val="single" w:color="auto" w:sz="4" w:space="0"/>
                  </w:tcBorders>
                  <w:vAlign w:val="center"/>
                </w:tcPr>
                <w:p w14:paraId="75CD4C2B">
                  <w:pPr>
                    <w:keepNext w:val="0"/>
                    <w:keepLines w:val="0"/>
                    <w:suppressLineNumbers w:val="0"/>
                    <w:spacing w:before="0" w:beforeAutospacing="0" w:after="0" w:afterAutospacing="0"/>
                    <w:ind w:left="0" w:right="0"/>
                    <w:rPr>
                      <w:rFonts w:hint="default" w:ascii="Times New Roman" w:hAnsi="Times New Roman" w:cs="Times New Roman"/>
                      <w:color w:val="auto"/>
                      <w:sz w:val="20"/>
                      <w:szCs w:val="20"/>
                    </w:rPr>
                  </w:pPr>
                </w:p>
              </w:tc>
              <w:tc>
                <w:tcPr>
                  <w:tcW w:w="1450" w:type="dxa"/>
                  <w:tcBorders>
                    <w:top w:val="single" w:color="auto" w:sz="4" w:space="0"/>
                    <w:left w:val="single" w:color="auto" w:sz="4" w:space="0"/>
                    <w:bottom w:val="single" w:color="auto" w:sz="4" w:space="0"/>
                    <w:right w:val="single" w:color="auto" w:sz="4" w:space="0"/>
                  </w:tcBorders>
                  <w:vAlign w:val="center"/>
                </w:tcPr>
                <w:p w14:paraId="5FF01431">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r>
                    <w:rPr>
                      <w:rFonts w:hint="eastAsia" w:ascii="宋体" w:hAnsi="宋体" w:eastAsia="宋体" w:cs="宋体"/>
                      <w:color w:val="auto"/>
                      <w:szCs w:val="21"/>
                      <w:lang w:bidi="ar"/>
                    </w:rPr>
                    <w:t>气</w:t>
                  </w:r>
                  <w:r>
                    <w:rPr>
                      <w:rFonts w:hint="default" w:ascii="Times New Roman" w:hAnsi="Times New Roman" w:eastAsia="宋体" w:cs="Times New Roman"/>
                      <w:color w:val="auto"/>
                      <w:szCs w:val="21"/>
                      <w:lang w:bidi="ar"/>
                    </w:rPr>
                    <w:t>251119038</w:t>
                  </w:r>
                </w:p>
              </w:tc>
              <w:tc>
                <w:tcPr>
                  <w:tcW w:w="1132" w:type="dxa"/>
                  <w:tcBorders>
                    <w:top w:val="single" w:color="auto" w:sz="4" w:space="0"/>
                    <w:left w:val="single" w:color="auto" w:sz="4" w:space="0"/>
                    <w:bottom w:val="single" w:color="auto" w:sz="4" w:space="0"/>
                    <w:right w:val="single" w:color="auto" w:sz="4" w:space="0"/>
                  </w:tcBorders>
                  <w:vAlign w:val="center"/>
                </w:tcPr>
                <w:p w14:paraId="18437E56">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lang w:bidi="ar"/>
                    </w:rPr>
                    <w:t>&lt;10</w:t>
                  </w:r>
                </w:p>
              </w:tc>
            </w:tr>
            <w:tr w14:paraId="1E82EE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1265" w:type="dxa"/>
                  <w:vMerge w:val="continue"/>
                  <w:tcBorders>
                    <w:left w:val="single" w:color="auto" w:sz="4" w:space="0"/>
                    <w:right w:val="single" w:color="auto" w:sz="4" w:space="0"/>
                  </w:tcBorders>
                  <w:vAlign w:val="center"/>
                </w:tcPr>
                <w:p w14:paraId="21E9F9F5">
                  <w:pPr>
                    <w:keepNext w:val="0"/>
                    <w:keepLines w:val="0"/>
                    <w:suppressLineNumbers w:val="0"/>
                    <w:spacing w:before="0" w:beforeAutospacing="0" w:after="0" w:afterAutospacing="0"/>
                    <w:ind w:left="0" w:right="0"/>
                    <w:rPr>
                      <w:rFonts w:hint="default" w:ascii="Times New Roman" w:hAnsi="Times New Roman" w:cs="Times New Roman"/>
                      <w:color w:val="auto"/>
                      <w:sz w:val="20"/>
                      <w:szCs w:val="20"/>
                    </w:rPr>
                  </w:pPr>
                </w:p>
              </w:tc>
              <w:tc>
                <w:tcPr>
                  <w:tcW w:w="1269" w:type="dxa"/>
                  <w:tcBorders>
                    <w:top w:val="single" w:color="auto" w:sz="4" w:space="0"/>
                    <w:left w:val="single" w:color="auto" w:sz="4" w:space="0"/>
                    <w:bottom w:val="single" w:color="auto" w:sz="4" w:space="0"/>
                    <w:right w:val="single" w:color="auto" w:sz="4" w:space="0"/>
                  </w:tcBorders>
                  <w:vAlign w:val="center"/>
                </w:tcPr>
                <w:p w14:paraId="2826FF67">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r>
                    <w:rPr>
                      <w:rFonts w:hint="eastAsia" w:ascii="宋体" w:hAnsi="宋体" w:eastAsia="宋体" w:cs="宋体"/>
                      <w:color w:val="auto"/>
                      <w:szCs w:val="21"/>
                      <w:lang w:bidi="ar"/>
                    </w:rPr>
                    <w:t>第一次</w:t>
                  </w:r>
                </w:p>
              </w:tc>
              <w:tc>
                <w:tcPr>
                  <w:tcW w:w="1609" w:type="dxa"/>
                  <w:vMerge w:val="continue"/>
                  <w:tcBorders>
                    <w:top w:val="nil"/>
                    <w:left w:val="single" w:color="auto" w:sz="4" w:space="0"/>
                    <w:bottom w:val="single" w:color="auto" w:sz="4" w:space="0"/>
                    <w:right w:val="single" w:color="auto" w:sz="4" w:space="0"/>
                  </w:tcBorders>
                  <w:vAlign w:val="center"/>
                </w:tcPr>
                <w:p w14:paraId="7B20CC42">
                  <w:pPr>
                    <w:keepNext w:val="0"/>
                    <w:keepLines w:val="0"/>
                    <w:suppressLineNumbers w:val="0"/>
                    <w:spacing w:before="0" w:beforeAutospacing="0" w:after="0" w:afterAutospacing="0"/>
                    <w:ind w:left="0" w:right="0"/>
                    <w:rPr>
                      <w:rFonts w:hint="default" w:ascii="Times New Roman" w:hAnsi="Times New Roman" w:cs="Times New Roman"/>
                      <w:color w:val="auto"/>
                      <w:sz w:val="20"/>
                      <w:szCs w:val="20"/>
                    </w:rPr>
                  </w:pPr>
                </w:p>
              </w:tc>
              <w:tc>
                <w:tcPr>
                  <w:tcW w:w="1450" w:type="dxa"/>
                  <w:vMerge w:val="restart"/>
                  <w:tcBorders>
                    <w:top w:val="nil"/>
                    <w:left w:val="single" w:color="auto" w:sz="4" w:space="0"/>
                    <w:bottom w:val="single" w:color="auto" w:sz="4" w:space="0"/>
                    <w:right w:val="single" w:color="auto" w:sz="4" w:space="0"/>
                  </w:tcBorders>
                  <w:vAlign w:val="center"/>
                </w:tcPr>
                <w:p w14:paraId="344908DF">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r>
                    <w:rPr>
                      <w:rFonts w:hint="eastAsia" w:ascii="宋体" w:hAnsi="宋体" w:eastAsia="宋体" w:cs="宋体"/>
                      <w:color w:val="auto"/>
                      <w:szCs w:val="21"/>
                      <w:lang w:bidi="ar"/>
                    </w:rPr>
                    <w:t>厂界下风向</w:t>
                  </w:r>
                  <w:r>
                    <w:rPr>
                      <w:rFonts w:hint="default" w:ascii="Times New Roman" w:hAnsi="Times New Roman" w:eastAsia="宋体" w:cs="Times New Roman"/>
                      <w:color w:val="auto"/>
                      <w:szCs w:val="21"/>
                      <w:lang w:bidi="ar"/>
                    </w:rPr>
                    <w:t>1</w:t>
                  </w:r>
                </w:p>
              </w:tc>
              <w:tc>
                <w:tcPr>
                  <w:tcW w:w="1450" w:type="dxa"/>
                  <w:tcBorders>
                    <w:top w:val="single" w:color="auto" w:sz="4" w:space="0"/>
                    <w:left w:val="single" w:color="auto" w:sz="4" w:space="0"/>
                    <w:bottom w:val="single" w:color="auto" w:sz="4" w:space="0"/>
                    <w:right w:val="single" w:color="auto" w:sz="4" w:space="0"/>
                  </w:tcBorders>
                  <w:vAlign w:val="center"/>
                </w:tcPr>
                <w:p w14:paraId="70E62774">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r>
                    <w:rPr>
                      <w:rFonts w:hint="eastAsia" w:ascii="宋体" w:hAnsi="宋体" w:eastAsia="宋体" w:cs="宋体"/>
                      <w:color w:val="auto"/>
                      <w:szCs w:val="21"/>
                      <w:lang w:bidi="ar"/>
                    </w:rPr>
                    <w:t>气</w:t>
                  </w:r>
                  <w:r>
                    <w:rPr>
                      <w:rFonts w:hint="default" w:ascii="Times New Roman" w:hAnsi="Times New Roman" w:eastAsia="宋体" w:cs="Times New Roman"/>
                      <w:color w:val="auto"/>
                      <w:szCs w:val="21"/>
                      <w:lang w:bidi="ar"/>
                    </w:rPr>
                    <w:t>251119039</w:t>
                  </w:r>
                </w:p>
              </w:tc>
              <w:tc>
                <w:tcPr>
                  <w:tcW w:w="1132" w:type="dxa"/>
                  <w:tcBorders>
                    <w:top w:val="single" w:color="auto" w:sz="4" w:space="0"/>
                    <w:left w:val="single" w:color="auto" w:sz="4" w:space="0"/>
                    <w:bottom w:val="single" w:color="auto" w:sz="4" w:space="0"/>
                    <w:right w:val="single" w:color="auto" w:sz="4" w:space="0"/>
                  </w:tcBorders>
                  <w:vAlign w:val="center"/>
                </w:tcPr>
                <w:p w14:paraId="4884822E">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lang w:bidi="ar"/>
                    </w:rPr>
                    <w:t>&lt;10</w:t>
                  </w:r>
                </w:p>
              </w:tc>
            </w:tr>
            <w:tr w14:paraId="0295EC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1265" w:type="dxa"/>
                  <w:vMerge w:val="continue"/>
                  <w:tcBorders>
                    <w:left w:val="single" w:color="auto" w:sz="4" w:space="0"/>
                    <w:right w:val="single" w:color="auto" w:sz="4" w:space="0"/>
                  </w:tcBorders>
                  <w:vAlign w:val="center"/>
                </w:tcPr>
                <w:p w14:paraId="1FF39D01">
                  <w:pPr>
                    <w:keepNext w:val="0"/>
                    <w:keepLines w:val="0"/>
                    <w:suppressLineNumbers w:val="0"/>
                    <w:spacing w:before="0" w:beforeAutospacing="0" w:after="0" w:afterAutospacing="0"/>
                    <w:ind w:left="0" w:right="0"/>
                    <w:rPr>
                      <w:rFonts w:hint="default" w:ascii="Times New Roman" w:hAnsi="Times New Roman" w:cs="Times New Roman"/>
                      <w:color w:val="auto"/>
                      <w:sz w:val="20"/>
                      <w:szCs w:val="20"/>
                    </w:rPr>
                  </w:pPr>
                </w:p>
              </w:tc>
              <w:tc>
                <w:tcPr>
                  <w:tcW w:w="1269" w:type="dxa"/>
                  <w:tcBorders>
                    <w:top w:val="single" w:color="auto" w:sz="4" w:space="0"/>
                    <w:left w:val="single" w:color="auto" w:sz="4" w:space="0"/>
                    <w:bottom w:val="single" w:color="auto" w:sz="4" w:space="0"/>
                    <w:right w:val="single" w:color="auto" w:sz="4" w:space="0"/>
                  </w:tcBorders>
                  <w:vAlign w:val="center"/>
                </w:tcPr>
                <w:p w14:paraId="5FDAE3E3">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r>
                    <w:rPr>
                      <w:rFonts w:hint="eastAsia" w:ascii="宋体" w:hAnsi="宋体" w:eastAsia="宋体" w:cs="宋体"/>
                      <w:color w:val="auto"/>
                      <w:szCs w:val="21"/>
                      <w:lang w:bidi="ar"/>
                    </w:rPr>
                    <w:t>第二次</w:t>
                  </w:r>
                </w:p>
              </w:tc>
              <w:tc>
                <w:tcPr>
                  <w:tcW w:w="1609" w:type="dxa"/>
                  <w:vMerge w:val="continue"/>
                  <w:tcBorders>
                    <w:top w:val="nil"/>
                    <w:left w:val="single" w:color="auto" w:sz="4" w:space="0"/>
                    <w:bottom w:val="single" w:color="auto" w:sz="4" w:space="0"/>
                    <w:right w:val="single" w:color="auto" w:sz="4" w:space="0"/>
                  </w:tcBorders>
                  <w:vAlign w:val="center"/>
                </w:tcPr>
                <w:p w14:paraId="6B6561F7">
                  <w:pPr>
                    <w:keepNext w:val="0"/>
                    <w:keepLines w:val="0"/>
                    <w:suppressLineNumbers w:val="0"/>
                    <w:spacing w:before="0" w:beforeAutospacing="0" w:after="0" w:afterAutospacing="0"/>
                    <w:ind w:left="0" w:right="0"/>
                    <w:rPr>
                      <w:rFonts w:hint="default" w:ascii="Times New Roman" w:hAnsi="Times New Roman" w:cs="Times New Roman"/>
                      <w:color w:val="auto"/>
                      <w:sz w:val="20"/>
                      <w:szCs w:val="20"/>
                    </w:rPr>
                  </w:pPr>
                </w:p>
              </w:tc>
              <w:tc>
                <w:tcPr>
                  <w:tcW w:w="1450" w:type="dxa"/>
                  <w:vMerge w:val="continue"/>
                  <w:tcBorders>
                    <w:top w:val="nil"/>
                    <w:left w:val="single" w:color="auto" w:sz="4" w:space="0"/>
                    <w:bottom w:val="single" w:color="auto" w:sz="4" w:space="0"/>
                    <w:right w:val="single" w:color="auto" w:sz="4" w:space="0"/>
                  </w:tcBorders>
                  <w:vAlign w:val="center"/>
                </w:tcPr>
                <w:p w14:paraId="2B6C2D27">
                  <w:pPr>
                    <w:keepNext w:val="0"/>
                    <w:keepLines w:val="0"/>
                    <w:suppressLineNumbers w:val="0"/>
                    <w:spacing w:before="0" w:beforeAutospacing="0" w:after="0" w:afterAutospacing="0"/>
                    <w:ind w:left="0" w:right="0"/>
                    <w:rPr>
                      <w:rFonts w:hint="default" w:ascii="Times New Roman" w:hAnsi="Times New Roman" w:cs="Times New Roman"/>
                      <w:color w:val="auto"/>
                      <w:sz w:val="20"/>
                      <w:szCs w:val="20"/>
                    </w:rPr>
                  </w:pPr>
                </w:p>
              </w:tc>
              <w:tc>
                <w:tcPr>
                  <w:tcW w:w="1450" w:type="dxa"/>
                  <w:tcBorders>
                    <w:top w:val="single" w:color="auto" w:sz="4" w:space="0"/>
                    <w:left w:val="single" w:color="auto" w:sz="4" w:space="0"/>
                    <w:bottom w:val="single" w:color="auto" w:sz="4" w:space="0"/>
                    <w:right w:val="single" w:color="auto" w:sz="4" w:space="0"/>
                  </w:tcBorders>
                  <w:vAlign w:val="center"/>
                </w:tcPr>
                <w:p w14:paraId="700D04B6">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r>
                    <w:rPr>
                      <w:rFonts w:hint="eastAsia" w:ascii="宋体" w:hAnsi="宋体" w:eastAsia="宋体" w:cs="宋体"/>
                      <w:color w:val="auto"/>
                      <w:szCs w:val="21"/>
                      <w:lang w:bidi="ar"/>
                    </w:rPr>
                    <w:t>气</w:t>
                  </w:r>
                  <w:r>
                    <w:rPr>
                      <w:rFonts w:hint="default" w:ascii="Times New Roman" w:hAnsi="Times New Roman" w:eastAsia="宋体" w:cs="Times New Roman"/>
                      <w:color w:val="auto"/>
                      <w:szCs w:val="21"/>
                      <w:lang w:bidi="ar"/>
                    </w:rPr>
                    <w:t>251119040</w:t>
                  </w:r>
                </w:p>
              </w:tc>
              <w:tc>
                <w:tcPr>
                  <w:tcW w:w="1132" w:type="dxa"/>
                  <w:tcBorders>
                    <w:top w:val="single" w:color="auto" w:sz="4" w:space="0"/>
                    <w:left w:val="single" w:color="auto" w:sz="4" w:space="0"/>
                    <w:bottom w:val="single" w:color="auto" w:sz="4" w:space="0"/>
                    <w:right w:val="single" w:color="auto" w:sz="4" w:space="0"/>
                  </w:tcBorders>
                  <w:vAlign w:val="center"/>
                </w:tcPr>
                <w:p w14:paraId="3E7AA843">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lang w:bidi="ar"/>
                    </w:rPr>
                    <w:t>&lt;10</w:t>
                  </w:r>
                </w:p>
              </w:tc>
            </w:tr>
            <w:tr w14:paraId="710B40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1265" w:type="dxa"/>
                  <w:vMerge w:val="continue"/>
                  <w:tcBorders>
                    <w:left w:val="single" w:color="auto" w:sz="4" w:space="0"/>
                    <w:right w:val="single" w:color="auto" w:sz="4" w:space="0"/>
                  </w:tcBorders>
                  <w:vAlign w:val="center"/>
                </w:tcPr>
                <w:p w14:paraId="4CA97159">
                  <w:pPr>
                    <w:keepNext w:val="0"/>
                    <w:keepLines w:val="0"/>
                    <w:suppressLineNumbers w:val="0"/>
                    <w:spacing w:before="0" w:beforeAutospacing="0" w:after="0" w:afterAutospacing="0"/>
                    <w:ind w:left="0" w:right="0"/>
                    <w:rPr>
                      <w:rFonts w:hint="default" w:ascii="Times New Roman" w:hAnsi="Times New Roman" w:cs="Times New Roman"/>
                      <w:color w:val="auto"/>
                      <w:sz w:val="20"/>
                      <w:szCs w:val="20"/>
                    </w:rPr>
                  </w:pPr>
                </w:p>
              </w:tc>
              <w:tc>
                <w:tcPr>
                  <w:tcW w:w="1269" w:type="dxa"/>
                  <w:tcBorders>
                    <w:top w:val="single" w:color="auto" w:sz="4" w:space="0"/>
                    <w:left w:val="single" w:color="auto" w:sz="4" w:space="0"/>
                    <w:bottom w:val="single" w:color="auto" w:sz="4" w:space="0"/>
                    <w:right w:val="single" w:color="auto" w:sz="4" w:space="0"/>
                  </w:tcBorders>
                  <w:vAlign w:val="center"/>
                </w:tcPr>
                <w:p w14:paraId="1B6E421F">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r>
                    <w:rPr>
                      <w:rFonts w:hint="eastAsia" w:ascii="宋体" w:hAnsi="宋体" w:eastAsia="宋体" w:cs="宋体"/>
                      <w:color w:val="auto"/>
                      <w:szCs w:val="21"/>
                      <w:lang w:bidi="ar"/>
                    </w:rPr>
                    <w:t>第三次</w:t>
                  </w:r>
                </w:p>
              </w:tc>
              <w:tc>
                <w:tcPr>
                  <w:tcW w:w="1609" w:type="dxa"/>
                  <w:vMerge w:val="continue"/>
                  <w:tcBorders>
                    <w:top w:val="nil"/>
                    <w:left w:val="single" w:color="auto" w:sz="4" w:space="0"/>
                    <w:bottom w:val="single" w:color="auto" w:sz="4" w:space="0"/>
                    <w:right w:val="single" w:color="auto" w:sz="4" w:space="0"/>
                  </w:tcBorders>
                  <w:vAlign w:val="center"/>
                </w:tcPr>
                <w:p w14:paraId="6FEB611F">
                  <w:pPr>
                    <w:keepNext w:val="0"/>
                    <w:keepLines w:val="0"/>
                    <w:suppressLineNumbers w:val="0"/>
                    <w:spacing w:before="0" w:beforeAutospacing="0" w:after="0" w:afterAutospacing="0"/>
                    <w:ind w:left="0" w:right="0"/>
                    <w:rPr>
                      <w:rFonts w:hint="default" w:ascii="Times New Roman" w:hAnsi="Times New Roman" w:cs="Times New Roman"/>
                      <w:color w:val="auto"/>
                      <w:sz w:val="20"/>
                      <w:szCs w:val="20"/>
                    </w:rPr>
                  </w:pPr>
                </w:p>
              </w:tc>
              <w:tc>
                <w:tcPr>
                  <w:tcW w:w="1450" w:type="dxa"/>
                  <w:vMerge w:val="continue"/>
                  <w:tcBorders>
                    <w:top w:val="nil"/>
                    <w:left w:val="single" w:color="auto" w:sz="4" w:space="0"/>
                    <w:bottom w:val="single" w:color="auto" w:sz="4" w:space="0"/>
                    <w:right w:val="single" w:color="auto" w:sz="4" w:space="0"/>
                  </w:tcBorders>
                  <w:vAlign w:val="center"/>
                </w:tcPr>
                <w:p w14:paraId="33F9D581">
                  <w:pPr>
                    <w:keepNext w:val="0"/>
                    <w:keepLines w:val="0"/>
                    <w:suppressLineNumbers w:val="0"/>
                    <w:spacing w:before="0" w:beforeAutospacing="0" w:after="0" w:afterAutospacing="0"/>
                    <w:ind w:left="0" w:right="0"/>
                    <w:rPr>
                      <w:rFonts w:hint="default" w:ascii="Times New Roman" w:hAnsi="Times New Roman" w:cs="Times New Roman"/>
                      <w:color w:val="auto"/>
                      <w:sz w:val="20"/>
                      <w:szCs w:val="20"/>
                    </w:rPr>
                  </w:pPr>
                </w:p>
              </w:tc>
              <w:tc>
                <w:tcPr>
                  <w:tcW w:w="1450" w:type="dxa"/>
                  <w:tcBorders>
                    <w:top w:val="single" w:color="auto" w:sz="4" w:space="0"/>
                    <w:left w:val="single" w:color="auto" w:sz="4" w:space="0"/>
                    <w:bottom w:val="single" w:color="auto" w:sz="4" w:space="0"/>
                    <w:right w:val="single" w:color="auto" w:sz="4" w:space="0"/>
                  </w:tcBorders>
                  <w:vAlign w:val="center"/>
                </w:tcPr>
                <w:p w14:paraId="1280776E">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r>
                    <w:rPr>
                      <w:rFonts w:hint="eastAsia" w:ascii="宋体" w:hAnsi="宋体" w:eastAsia="宋体" w:cs="宋体"/>
                      <w:color w:val="auto"/>
                      <w:szCs w:val="21"/>
                      <w:lang w:bidi="ar"/>
                    </w:rPr>
                    <w:t>气</w:t>
                  </w:r>
                  <w:r>
                    <w:rPr>
                      <w:rFonts w:hint="default" w:ascii="Times New Roman" w:hAnsi="Times New Roman" w:eastAsia="宋体" w:cs="Times New Roman"/>
                      <w:color w:val="auto"/>
                      <w:szCs w:val="21"/>
                      <w:lang w:bidi="ar"/>
                    </w:rPr>
                    <w:t>251119041</w:t>
                  </w:r>
                </w:p>
              </w:tc>
              <w:tc>
                <w:tcPr>
                  <w:tcW w:w="1132" w:type="dxa"/>
                  <w:tcBorders>
                    <w:top w:val="single" w:color="auto" w:sz="4" w:space="0"/>
                    <w:left w:val="single" w:color="auto" w:sz="4" w:space="0"/>
                    <w:bottom w:val="single" w:color="auto" w:sz="4" w:space="0"/>
                    <w:right w:val="single" w:color="auto" w:sz="4" w:space="0"/>
                  </w:tcBorders>
                  <w:vAlign w:val="center"/>
                </w:tcPr>
                <w:p w14:paraId="657267F6">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lang w:bidi="ar"/>
                    </w:rPr>
                    <w:t>&lt;10</w:t>
                  </w:r>
                </w:p>
              </w:tc>
            </w:tr>
            <w:tr w14:paraId="31C495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1265" w:type="dxa"/>
                  <w:vMerge w:val="continue"/>
                  <w:tcBorders>
                    <w:left w:val="single" w:color="auto" w:sz="4" w:space="0"/>
                    <w:right w:val="single" w:color="auto" w:sz="4" w:space="0"/>
                  </w:tcBorders>
                  <w:vAlign w:val="center"/>
                </w:tcPr>
                <w:p w14:paraId="57BB286B">
                  <w:pPr>
                    <w:keepNext w:val="0"/>
                    <w:keepLines w:val="0"/>
                    <w:suppressLineNumbers w:val="0"/>
                    <w:spacing w:before="0" w:beforeAutospacing="0" w:after="0" w:afterAutospacing="0"/>
                    <w:ind w:left="0" w:right="0"/>
                    <w:rPr>
                      <w:rFonts w:hint="default" w:ascii="Times New Roman" w:hAnsi="Times New Roman" w:cs="Times New Roman"/>
                      <w:color w:val="auto"/>
                      <w:sz w:val="20"/>
                      <w:szCs w:val="20"/>
                    </w:rPr>
                  </w:pPr>
                </w:p>
              </w:tc>
              <w:tc>
                <w:tcPr>
                  <w:tcW w:w="1269" w:type="dxa"/>
                  <w:tcBorders>
                    <w:top w:val="single" w:color="auto" w:sz="4" w:space="0"/>
                    <w:left w:val="single" w:color="auto" w:sz="4" w:space="0"/>
                    <w:bottom w:val="single" w:color="auto" w:sz="4" w:space="0"/>
                    <w:right w:val="single" w:color="auto" w:sz="4" w:space="0"/>
                  </w:tcBorders>
                  <w:vAlign w:val="center"/>
                </w:tcPr>
                <w:p w14:paraId="420A7919">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r>
                    <w:rPr>
                      <w:rFonts w:hint="eastAsia" w:ascii="宋体" w:hAnsi="宋体" w:eastAsia="宋体" w:cs="宋体"/>
                      <w:color w:val="auto"/>
                      <w:szCs w:val="21"/>
                      <w:lang w:bidi="ar"/>
                    </w:rPr>
                    <w:t>第四次</w:t>
                  </w:r>
                </w:p>
              </w:tc>
              <w:tc>
                <w:tcPr>
                  <w:tcW w:w="1609" w:type="dxa"/>
                  <w:vMerge w:val="continue"/>
                  <w:tcBorders>
                    <w:top w:val="nil"/>
                    <w:left w:val="single" w:color="auto" w:sz="4" w:space="0"/>
                    <w:bottom w:val="single" w:color="auto" w:sz="4" w:space="0"/>
                    <w:right w:val="single" w:color="auto" w:sz="4" w:space="0"/>
                  </w:tcBorders>
                  <w:vAlign w:val="center"/>
                </w:tcPr>
                <w:p w14:paraId="26D480F6">
                  <w:pPr>
                    <w:keepNext w:val="0"/>
                    <w:keepLines w:val="0"/>
                    <w:suppressLineNumbers w:val="0"/>
                    <w:spacing w:before="0" w:beforeAutospacing="0" w:after="0" w:afterAutospacing="0"/>
                    <w:ind w:left="0" w:right="0"/>
                    <w:rPr>
                      <w:rFonts w:hint="default" w:ascii="Times New Roman" w:hAnsi="Times New Roman" w:cs="Times New Roman"/>
                      <w:color w:val="auto"/>
                      <w:sz w:val="20"/>
                      <w:szCs w:val="20"/>
                    </w:rPr>
                  </w:pPr>
                </w:p>
              </w:tc>
              <w:tc>
                <w:tcPr>
                  <w:tcW w:w="1450" w:type="dxa"/>
                  <w:vMerge w:val="continue"/>
                  <w:tcBorders>
                    <w:top w:val="nil"/>
                    <w:left w:val="single" w:color="auto" w:sz="4" w:space="0"/>
                    <w:bottom w:val="single" w:color="auto" w:sz="4" w:space="0"/>
                    <w:right w:val="single" w:color="auto" w:sz="4" w:space="0"/>
                  </w:tcBorders>
                  <w:vAlign w:val="center"/>
                </w:tcPr>
                <w:p w14:paraId="41641EC8">
                  <w:pPr>
                    <w:keepNext w:val="0"/>
                    <w:keepLines w:val="0"/>
                    <w:suppressLineNumbers w:val="0"/>
                    <w:spacing w:before="0" w:beforeAutospacing="0" w:after="0" w:afterAutospacing="0"/>
                    <w:ind w:left="0" w:right="0"/>
                    <w:rPr>
                      <w:rFonts w:hint="default" w:ascii="Times New Roman" w:hAnsi="Times New Roman" w:cs="Times New Roman"/>
                      <w:color w:val="auto"/>
                      <w:sz w:val="20"/>
                      <w:szCs w:val="20"/>
                    </w:rPr>
                  </w:pPr>
                </w:p>
              </w:tc>
              <w:tc>
                <w:tcPr>
                  <w:tcW w:w="1450" w:type="dxa"/>
                  <w:tcBorders>
                    <w:top w:val="single" w:color="auto" w:sz="4" w:space="0"/>
                    <w:left w:val="single" w:color="auto" w:sz="4" w:space="0"/>
                    <w:bottom w:val="single" w:color="auto" w:sz="4" w:space="0"/>
                    <w:right w:val="single" w:color="auto" w:sz="4" w:space="0"/>
                  </w:tcBorders>
                  <w:vAlign w:val="center"/>
                </w:tcPr>
                <w:p w14:paraId="38FDA816">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r>
                    <w:rPr>
                      <w:rFonts w:hint="eastAsia" w:ascii="宋体" w:hAnsi="宋体" w:eastAsia="宋体" w:cs="宋体"/>
                      <w:color w:val="auto"/>
                      <w:szCs w:val="21"/>
                      <w:lang w:bidi="ar"/>
                    </w:rPr>
                    <w:t>气</w:t>
                  </w:r>
                  <w:r>
                    <w:rPr>
                      <w:rFonts w:hint="default" w:ascii="Times New Roman" w:hAnsi="Times New Roman" w:eastAsia="宋体" w:cs="Times New Roman"/>
                      <w:color w:val="auto"/>
                      <w:szCs w:val="21"/>
                      <w:lang w:bidi="ar"/>
                    </w:rPr>
                    <w:t>251119042</w:t>
                  </w:r>
                </w:p>
              </w:tc>
              <w:tc>
                <w:tcPr>
                  <w:tcW w:w="1132" w:type="dxa"/>
                  <w:tcBorders>
                    <w:top w:val="single" w:color="auto" w:sz="4" w:space="0"/>
                    <w:left w:val="single" w:color="auto" w:sz="4" w:space="0"/>
                    <w:bottom w:val="single" w:color="auto" w:sz="4" w:space="0"/>
                    <w:right w:val="single" w:color="auto" w:sz="4" w:space="0"/>
                  </w:tcBorders>
                  <w:vAlign w:val="center"/>
                </w:tcPr>
                <w:p w14:paraId="76262E21">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lang w:bidi="ar"/>
                    </w:rPr>
                    <w:t>&lt;10</w:t>
                  </w:r>
                </w:p>
              </w:tc>
            </w:tr>
            <w:tr w14:paraId="046366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1265" w:type="dxa"/>
                  <w:vMerge w:val="continue"/>
                  <w:tcBorders>
                    <w:left w:val="single" w:color="auto" w:sz="4" w:space="0"/>
                    <w:right w:val="single" w:color="auto" w:sz="4" w:space="0"/>
                  </w:tcBorders>
                  <w:vAlign w:val="center"/>
                </w:tcPr>
                <w:p w14:paraId="5DA971D3">
                  <w:pPr>
                    <w:keepNext w:val="0"/>
                    <w:keepLines w:val="0"/>
                    <w:suppressLineNumbers w:val="0"/>
                    <w:spacing w:before="0" w:beforeAutospacing="0" w:after="0" w:afterAutospacing="0"/>
                    <w:ind w:left="0" w:right="0"/>
                    <w:rPr>
                      <w:rFonts w:hint="default" w:ascii="Times New Roman" w:hAnsi="Times New Roman" w:cs="Times New Roman"/>
                      <w:color w:val="auto"/>
                      <w:sz w:val="20"/>
                      <w:szCs w:val="20"/>
                    </w:rPr>
                  </w:pPr>
                </w:p>
              </w:tc>
              <w:tc>
                <w:tcPr>
                  <w:tcW w:w="1269" w:type="dxa"/>
                  <w:tcBorders>
                    <w:top w:val="single" w:color="auto" w:sz="4" w:space="0"/>
                    <w:left w:val="single" w:color="auto" w:sz="4" w:space="0"/>
                    <w:bottom w:val="single" w:color="auto" w:sz="4" w:space="0"/>
                    <w:right w:val="single" w:color="auto" w:sz="4" w:space="0"/>
                  </w:tcBorders>
                  <w:vAlign w:val="center"/>
                </w:tcPr>
                <w:p w14:paraId="48808950">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r>
                    <w:rPr>
                      <w:rFonts w:hint="eastAsia" w:ascii="宋体" w:hAnsi="宋体" w:eastAsia="宋体" w:cs="宋体"/>
                      <w:color w:val="auto"/>
                      <w:szCs w:val="21"/>
                      <w:lang w:bidi="ar"/>
                    </w:rPr>
                    <w:t>第一次</w:t>
                  </w:r>
                </w:p>
              </w:tc>
              <w:tc>
                <w:tcPr>
                  <w:tcW w:w="1609" w:type="dxa"/>
                  <w:vMerge w:val="continue"/>
                  <w:tcBorders>
                    <w:top w:val="nil"/>
                    <w:left w:val="single" w:color="auto" w:sz="4" w:space="0"/>
                    <w:bottom w:val="single" w:color="auto" w:sz="4" w:space="0"/>
                    <w:right w:val="single" w:color="auto" w:sz="4" w:space="0"/>
                  </w:tcBorders>
                  <w:vAlign w:val="center"/>
                </w:tcPr>
                <w:p w14:paraId="06209DDA">
                  <w:pPr>
                    <w:keepNext w:val="0"/>
                    <w:keepLines w:val="0"/>
                    <w:suppressLineNumbers w:val="0"/>
                    <w:spacing w:before="0" w:beforeAutospacing="0" w:after="0" w:afterAutospacing="0"/>
                    <w:ind w:left="0" w:right="0"/>
                    <w:rPr>
                      <w:rFonts w:hint="default" w:ascii="Times New Roman" w:hAnsi="Times New Roman" w:cs="Times New Roman"/>
                      <w:color w:val="auto"/>
                      <w:sz w:val="20"/>
                      <w:szCs w:val="20"/>
                    </w:rPr>
                  </w:pPr>
                </w:p>
              </w:tc>
              <w:tc>
                <w:tcPr>
                  <w:tcW w:w="1450" w:type="dxa"/>
                  <w:vMerge w:val="restart"/>
                  <w:tcBorders>
                    <w:top w:val="nil"/>
                    <w:left w:val="single" w:color="auto" w:sz="4" w:space="0"/>
                    <w:bottom w:val="single" w:color="auto" w:sz="4" w:space="0"/>
                    <w:right w:val="single" w:color="auto" w:sz="4" w:space="0"/>
                  </w:tcBorders>
                  <w:vAlign w:val="center"/>
                </w:tcPr>
                <w:p w14:paraId="2C547B3B">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r>
                    <w:rPr>
                      <w:rFonts w:hint="eastAsia" w:ascii="宋体" w:hAnsi="宋体" w:eastAsia="宋体" w:cs="宋体"/>
                      <w:color w:val="auto"/>
                      <w:szCs w:val="21"/>
                      <w:lang w:bidi="ar"/>
                    </w:rPr>
                    <w:t>厂界下风向</w:t>
                  </w:r>
                  <w:r>
                    <w:rPr>
                      <w:rFonts w:hint="default" w:ascii="Times New Roman" w:hAnsi="Times New Roman" w:eastAsia="宋体" w:cs="Times New Roman"/>
                      <w:color w:val="auto"/>
                      <w:szCs w:val="21"/>
                      <w:lang w:bidi="ar"/>
                    </w:rPr>
                    <w:t>2</w:t>
                  </w:r>
                </w:p>
              </w:tc>
              <w:tc>
                <w:tcPr>
                  <w:tcW w:w="1450" w:type="dxa"/>
                  <w:tcBorders>
                    <w:top w:val="single" w:color="auto" w:sz="4" w:space="0"/>
                    <w:left w:val="single" w:color="auto" w:sz="4" w:space="0"/>
                    <w:bottom w:val="single" w:color="auto" w:sz="4" w:space="0"/>
                    <w:right w:val="single" w:color="auto" w:sz="4" w:space="0"/>
                  </w:tcBorders>
                  <w:vAlign w:val="center"/>
                </w:tcPr>
                <w:p w14:paraId="40084167">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r>
                    <w:rPr>
                      <w:rFonts w:hint="eastAsia" w:ascii="宋体" w:hAnsi="宋体" w:eastAsia="宋体" w:cs="宋体"/>
                      <w:color w:val="auto"/>
                      <w:szCs w:val="21"/>
                      <w:lang w:bidi="ar"/>
                    </w:rPr>
                    <w:t>气</w:t>
                  </w:r>
                  <w:r>
                    <w:rPr>
                      <w:rFonts w:hint="default" w:ascii="Times New Roman" w:hAnsi="Times New Roman" w:eastAsia="宋体" w:cs="Times New Roman"/>
                      <w:color w:val="auto"/>
                      <w:szCs w:val="21"/>
                      <w:lang w:bidi="ar"/>
                    </w:rPr>
                    <w:t>251119043</w:t>
                  </w:r>
                </w:p>
              </w:tc>
              <w:tc>
                <w:tcPr>
                  <w:tcW w:w="1132" w:type="dxa"/>
                  <w:tcBorders>
                    <w:top w:val="single" w:color="auto" w:sz="4" w:space="0"/>
                    <w:left w:val="single" w:color="auto" w:sz="4" w:space="0"/>
                    <w:bottom w:val="single" w:color="auto" w:sz="4" w:space="0"/>
                    <w:right w:val="single" w:color="auto" w:sz="4" w:space="0"/>
                  </w:tcBorders>
                  <w:vAlign w:val="center"/>
                </w:tcPr>
                <w:p w14:paraId="17C1E463">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lang w:bidi="ar"/>
                    </w:rPr>
                    <w:t>&lt;10</w:t>
                  </w:r>
                </w:p>
              </w:tc>
            </w:tr>
            <w:tr w14:paraId="06545E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1265" w:type="dxa"/>
                  <w:vMerge w:val="continue"/>
                  <w:tcBorders>
                    <w:left w:val="single" w:color="auto" w:sz="4" w:space="0"/>
                    <w:right w:val="single" w:color="auto" w:sz="4" w:space="0"/>
                  </w:tcBorders>
                  <w:vAlign w:val="center"/>
                </w:tcPr>
                <w:p w14:paraId="746EB96D">
                  <w:pPr>
                    <w:keepNext w:val="0"/>
                    <w:keepLines w:val="0"/>
                    <w:suppressLineNumbers w:val="0"/>
                    <w:spacing w:before="0" w:beforeAutospacing="0" w:after="0" w:afterAutospacing="0"/>
                    <w:ind w:left="0" w:right="0"/>
                    <w:rPr>
                      <w:rFonts w:hint="default" w:ascii="Times New Roman" w:hAnsi="Times New Roman" w:cs="Times New Roman"/>
                      <w:color w:val="auto"/>
                      <w:sz w:val="20"/>
                      <w:szCs w:val="20"/>
                    </w:rPr>
                  </w:pPr>
                </w:p>
              </w:tc>
              <w:tc>
                <w:tcPr>
                  <w:tcW w:w="1269" w:type="dxa"/>
                  <w:tcBorders>
                    <w:top w:val="single" w:color="auto" w:sz="4" w:space="0"/>
                    <w:left w:val="single" w:color="auto" w:sz="4" w:space="0"/>
                    <w:bottom w:val="single" w:color="auto" w:sz="4" w:space="0"/>
                    <w:right w:val="single" w:color="auto" w:sz="4" w:space="0"/>
                  </w:tcBorders>
                  <w:vAlign w:val="center"/>
                </w:tcPr>
                <w:p w14:paraId="56CC75D2">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r>
                    <w:rPr>
                      <w:rFonts w:hint="eastAsia" w:ascii="宋体" w:hAnsi="宋体" w:eastAsia="宋体" w:cs="宋体"/>
                      <w:color w:val="auto"/>
                      <w:szCs w:val="21"/>
                      <w:lang w:bidi="ar"/>
                    </w:rPr>
                    <w:t>第二次</w:t>
                  </w:r>
                </w:p>
              </w:tc>
              <w:tc>
                <w:tcPr>
                  <w:tcW w:w="1609" w:type="dxa"/>
                  <w:vMerge w:val="continue"/>
                  <w:tcBorders>
                    <w:top w:val="nil"/>
                    <w:left w:val="single" w:color="auto" w:sz="4" w:space="0"/>
                    <w:bottom w:val="single" w:color="auto" w:sz="4" w:space="0"/>
                    <w:right w:val="single" w:color="auto" w:sz="4" w:space="0"/>
                  </w:tcBorders>
                  <w:vAlign w:val="center"/>
                </w:tcPr>
                <w:p w14:paraId="7CD0D06D">
                  <w:pPr>
                    <w:keepNext w:val="0"/>
                    <w:keepLines w:val="0"/>
                    <w:suppressLineNumbers w:val="0"/>
                    <w:spacing w:before="0" w:beforeAutospacing="0" w:after="0" w:afterAutospacing="0"/>
                    <w:ind w:left="0" w:right="0"/>
                    <w:rPr>
                      <w:rFonts w:hint="default" w:ascii="Times New Roman" w:hAnsi="Times New Roman" w:cs="Times New Roman"/>
                      <w:color w:val="auto"/>
                      <w:sz w:val="20"/>
                      <w:szCs w:val="20"/>
                    </w:rPr>
                  </w:pPr>
                </w:p>
              </w:tc>
              <w:tc>
                <w:tcPr>
                  <w:tcW w:w="1450" w:type="dxa"/>
                  <w:vMerge w:val="continue"/>
                  <w:tcBorders>
                    <w:top w:val="nil"/>
                    <w:left w:val="single" w:color="auto" w:sz="4" w:space="0"/>
                    <w:bottom w:val="single" w:color="auto" w:sz="4" w:space="0"/>
                    <w:right w:val="single" w:color="auto" w:sz="4" w:space="0"/>
                  </w:tcBorders>
                  <w:vAlign w:val="center"/>
                </w:tcPr>
                <w:p w14:paraId="71D8EF50">
                  <w:pPr>
                    <w:keepNext w:val="0"/>
                    <w:keepLines w:val="0"/>
                    <w:suppressLineNumbers w:val="0"/>
                    <w:spacing w:before="0" w:beforeAutospacing="0" w:after="0" w:afterAutospacing="0"/>
                    <w:ind w:left="0" w:right="0"/>
                    <w:rPr>
                      <w:rFonts w:hint="default" w:ascii="Times New Roman" w:hAnsi="Times New Roman" w:cs="Times New Roman"/>
                      <w:color w:val="auto"/>
                      <w:sz w:val="20"/>
                      <w:szCs w:val="20"/>
                    </w:rPr>
                  </w:pPr>
                </w:p>
              </w:tc>
              <w:tc>
                <w:tcPr>
                  <w:tcW w:w="1450" w:type="dxa"/>
                  <w:tcBorders>
                    <w:top w:val="single" w:color="auto" w:sz="4" w:space="0"/>
                    <w:left w:val="single" w:color="auto" w:sz="4" w:space="0"/>
                    <w:bottom w:val="single" w:color="auto" w:sz="4" w:space="0"/>
                    <w:right w:val="single" w:color="auto" w:sz="4" w:space="0"/>
                  </w:tcBorders>
                  <w:vAlign w:val="center"/>
                </w:tcPr>
                <w:p w14:paraId="2A61CADF">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r>
                    <w:rPr>
                      <w:rFonts w:hint="eastAsia" w:ascii="宋体" w:hAnsi="宋体" w:eastAsia="宋体" w:cs="宋体"/>
                      <w:color w:val="auto"/>
                      <w:szCs w:val="21"/>
                      <w:lang w:bidi="ar"/>
                    </w:rPr>
                    <w:t>气</w:t>
                  </w:r>
                  <w:r>
                    <w:rPr>
                      <w:rFonts w:hint="default" w:ascii="Times New Roman" w:hAnsi="Times New Roman" w:eastAsia="宋体" w:cs="Times New Roman"/>
                      <w:color w:val="auto"/>
                      <w:szCs w:val="21"/>
                      <w:lang w:bidi="ar"/>
                    </w:rPr>
                    <w:t>251119044</w:t>
                  </w:r>
                </w:p>
              </w:tc>
              <w:tc>
                <w:tcPr>
                  <w:tcW w:w="1132" w:type="dxa"/>
                  <w:tcBorders>
                    <w:top w:val="single" w:color="auto" w:sz="4" w:space="0"/>
                    <w:left w:val="single" w:color="auto" w:sz="4" w:space="0"/>
                    <w:bottom w:val="single" w:color="auto" w:sz="4" w:space="0"/>
                    <w:right w:val="single" w:color="auto" w:sz="4" w:space="0"/>
                  </w:tcBorders>
                  <w:vAlign w:val="center"/>
                </w:tcPr>
                <w:p w14:paraId="04B09BC4">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lang w:bidi="ar"/>
                    </w:rPr>
                    <w:t>&lt;10</w:t>
                  </w:r>
                </w:p>
              </w:tc>
            </w:tr>
            <w:tr w14:paraId="1C8D9D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1265" w:type="dxa"/>
                  <w:vMerge w:val="continue"/>
                  <w:tcBorders>
                    <w:left w:val="single" w:color="auto" w:sz="4" w:space="0"/>
                    <w:right w:val="single" w:color="auto" w:sz="4" w:space="0"/>
                  </w:tcBorders>
                  <w:vAlign w:val="center"/>
                </w:tcPr>
                <w:p w14:paraId="6DA74838">
                  <w:pPr>
                    <w:keepNext w:val="0"/>
                    <w:keepLines w:val="0"/>
                    <w:suppressLineNumbers w:val="0"/>
                    <w:spacing w:before="0" w:beforeAutospacing="0" w:after="0" w:afterAutospacing="0"/>
                    <w:ind w:left="0" w:right="0"/>
                    <w:rPr>
                      <w:rFonts w:hint="default" w:ascii="Times New Roman" w:hAnsi="Times New Roman" w:cs="Times New Roman"/>
                      <w:color w:val="auto"/>
                      <w:sz w:val="20"/>
                      <w:szCs w:val="20"/>
                    </w:rPr>
                  </w:pPr>
                </w:p>
              </w:tc>
              <w:tc>
                <w:tcPr>
                  <w:tcW w:w="1269" w:type="dxa"/>
                  <w:tcBorders>
                    <w:top w:val="single" w:color="auto" w:sz="4" w:space="0"/>
                    <w:left w:val="single" w:color="auto" w:sz="4" w:space="0"/>
                    <w:bottom w:val="single" w:color="auto" w:sz="4" w:space="0"/>
                    <w:right w:val="single" w:color="auto" w:sz="4" w:space="0"/>
                  </w:tcBorders>
                  <w:vAlign w:val="center"/>
                </w:tcPr>
                <w:p w14:paraId="458A6FD9">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r>
                    <w:rPr>
                      <w:rFonts w:hint="eastAsia" w:ascii="宋体" w:hAnsi="宋体" w:eastAsia="宋体" w:cs="宋体"/>
                      <w:color w:val="auto"/>
                      <w:szCs w:val="21"/>
                      <w:lang w:bidi="ar"/>
                    </w:rPr>
                    <w:t>第三次</w:t>
                  </w:r>
                </w:p>
              </w:tc>
              <w:tc>
                <w:tcPr>
                  <w:tcW w:w="1609" w:type="dxa"/>
                  <w:vMerge w:val="continue"/>
                  <w:tcBorders>
                    <w:top w:val="nil"/>
                    <w:left w:val="single" w:color="auto" w:sz="4" w:space="0"/>
                    <w:bottom w:val="single" w:color="auto" w:sz="4" w:space="0"/>
                    <w:right w:val="single" w:color="auto" w:sz="4" w:space="0"/>
                  </w:tcBorders>
                  <w:vAlign w:val="center"/>
                </w:tcPr>
                <w:p w14:paraId="6AF1BA10">
                  <w:pPr>
                    <w:keepNext w:val="0"/>
                    <w:keepLines w:val="0"/>
                    <w:suppressLineNumbers w:val="0"/>
                    <w:spacing w:before="0" w:beforeAutospacing="0" w:after="0" w:afterAutospacing="0"/>
                    <w:ind w:left="0" w:right="0"/>
                    <w:rPr>
                      <w:rFonts w:hint="default" w:ascii="Times New Roman" w:hAnsi="Times New Roman" w:cs="Times New Roman"/>
                      <w:color w:val="auto"/>
                      <w:sz w:val="20"/>
                      <w:szCs w:val="20"/>
                    </w:rPr>
                  </w:pPr>
                </w:p>
              </w:tc>
              <w:tc>
                <w:tcPr>
                  <w:tcW w:w="1450" w:type="dxa"/>
                  <w:vMerge w:val="continue"/>
                  <w:tcBorders>
                    <w:top w:val="nil"/>
                    <w:left w:val="single" w:color="auto" w:sz="4" w:space="0"/>
                    <w:bottom w:val="single" w:color="auto" w:sz="4" w:space="0"/>
                    <w:right w:val="single" w:color="auto" w:sz="4" w:space="0"/>
                  </w:tcBorders>
                  <w:vAlign w:val="center"/>
                </w:tcPr>
                <w:p w14:paraId="567BD6AC">
                  <w:pPr>
                    <w:keepNext w:val="0"/>
                    <w:keepLines w:val="0"/>
                    <w:suppressLineNumbers w:val="0"/>
                    <w:spacing w:before="0" w:beforeAutospacing="0" w:after="0" w:afterAutospacing="0"/>
                    <w:ind w:left="0" w:right="0"/>
                    <w:rPr>
                      <w:rFonts w:hint="default" w:ascii="Times New Roman" w:hAnsi="Times New Roman" w:cs="Times New Roman"/>
                      <w:color w:val="auto"/>
                      <w:sz w:val="20"/>
                      <w:szCs w:val="20"/>
                    </w:rPr>
                  </w:pPr>
                </w:p>
              </w:tc>
              <w:tc>
                <w:tcPr>
                  <w:tcW w:w="1450" w:type="dxa"/>
                  <w:tcBorders>
                    <w:top w:val="single" w:color="auto" w:sz="4" w:space="0"/>
                    <w:left w:val="single" w:color="auto" w:sz="4" w:space="0"/>
                    <w:bottom w:val="single" w:color="auto" w:sz="4" w:space="0"/>
                    <w:right w:val="single" w:color="auto" w:sz="4" w:space="0"/>
                  </w:tcBorders>
                  <w:vAlign w:val="center"/>
                </w:tcPr>
                <w:p w14:paraId="67E75CD3">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r>
                    <w:rPr>
                      <w:rFonts w:hint="eastAsia" w:ascii="宋体" w:hAnsi="宋体" w:eastAsia="宋体" w:cs="宋体"/>
                      <w:color w:val="auto"/>
                      <w:szCs w:val="21"/>
                      <w:lang w:bidi="ar"/>
                    </w:rPr>
                    <w:t>气</w:t>
                  </w:r>
                  <w:r>
                    <w:rPr>
                      <w:rFonts w:hint="default" w:ascii="Times New Roman" w:hAnsi="Times New Roman" w:eastAsia="宋体" w:cs="Times New Roman"/>
                      <w:color w:val="auto"/>
                      <w:szCs w:val="21"/>
                      <w:lang w:bidi="ar"/>
                    </w:rPr>
                    <w:t>251119045</w:t>
                  </w:r>
                </w:p>
              </w:tc>
              <w:tc>
                <w:tcPr>
                  <w:tcW w:w="1132" w:type="dxa"/>
                  <w:tcBorders>
                    <w:top w:val="single" w:color="auto" w:sz="4" w:space="0"/>
                    <w:left w:val="single" w:color="auto" w:sz="4" w:space="0"/>
                    <w:bottom w:val="single" w:color="auto" w:sz="4" w:space="0"/>
                    <w:right w:val="single" w:color="auto" w:sz="4" w:space="0"/>
                  </w:tcBorders>
                  <w:vAlign w:val="center"/>
                </w:tcPr>
                <w:p w14:paraId="31E0EA69">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lang w:bidi="ar"/>
                    </w:rPr>
                    <w:t>&lt;10</w:t>
                  </w:r>
                </w:p>
              </w:tc>
            </w:tr>
            <w:tr w14:paraId="26EB5C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1265" w:type="dxa"/>
                  <w:vMerge w:val="continue"/>
                  <w:tcBorders>
                    <w:left w:val="single" w:color="auto" w:sz="4" w:space="0"/>
                    <w:right w:val="single" w:color="auto" w:sz="4" w:space="0"/>
                  </w:tcBorders>
                  <w:vAlign w:val="center"/>
                </w:tcPr>
                <w:p w14:paraId="7FD5A72A">
                  <w:pPr>
                    <w:keepNext w:val="0"/>
                    <w:keepLines w:val="0"/>
                    <w:suppressLineNumbers w:val="0"/>
                    <w:spacing w:before="0" w:beforeAutospacing="0" w:after="0" w:afterAutospacing="0"/>
                    <w:ind w:left="0" w:right="0"/>
                    <w:rPr>
                      <w:rFonts w:hint="default" w:ascii="Times New Roman" w:hAnsi="Times New Roman" w:cs="Times New Roman"/>
                      <w:color w:val="auto"/>
                      <w:sz w:val="20"/>
                      <w:szCs w:val="20"/>
                    </w:rPr>
                  </w:pPr>
                </w:p>
              </w:tc>
              <w:tc>
                <w:tcPr>
                  <w:tcW w:w="1269" w:type="dxa"/>
                  <w:tcBorders>
                    <w:top w:val="single" w:color="auto" w:sz="4" w:space="0"/>
                    <w:left w:val="single" w:color="auto" w:sz="4" w:space="0"/>
                    <w:bottom w:val="single" w:color="auto" w:sz="4" w:space="0"/>
                    <w:right w:val="single" w:color="auto" w:sz="4" w:space="0"/>
                  </w:tcBorders>
                  <w:vAlign w:val="center"/>
                </w:tcPr>
                <w:p w14:paraId="427AE214">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r>
                    <w:rPr>
                      <w:rFonts w:hint="eastAsia" w:ascii="宋体" w:hAnsi="宋体" w:eastAsia="宋体" w:cs="宋体"/>
                      <w:color w:val="auto"/>
                      <w:szCs w:val="21"/>
                      <w:lang w:bidi="ar"/>
                    </w:rPr>
                    <w:t>第四次</w:t>
                  </w:r>
                </w:p>
              </w:tc>
              <w:tc>
                <w:tcPr>
                  <w:tcW w:w="1609" w:type="dxa"/>
                  <w:vMerge w:val="continue"/>
                  <w:tcBorders>
                    <w:top w:val="nil"/>
                    <w:left w:val="single" w:color="auto" w:sz="4" w:space="0"/>
                    <w:bottom w:val="single" w:color="auto" w:sz="4" w:space="0"/>
                    <w:right w:val="single" w:color="auto" w:sz="4" w:space="0"/>
                  </w:tcBorders>
                  <w:vAlign w:val="center"/>
                </w:tcPr>
                <w:p w14:paraId="7F4001C9">
                  <w:pPr>
                    <w:keepNext w:val="0"/>
                    <w:keepLines w:val="0"/>
                    <w:suppressLineNumbers w:val="0"/>
                    <w:spacing w:before="0" w:beforeAutospacing="0" w:after="0" w:afterAutospacing="0"/>
                    <w:ind w:left="0" w:right="0"/>
                    <w:rPr>
                      <w:rFonts w:hint="default" w:ascii="Times New Roman" w:hAnsi="Times New Roman" w:cs="Times New Roman"/>
                      <w:color w:val="auto"/>
                      <w:sz w:val="20"/>
                      <w:szCs w:val="20"/>
                    </w:rPr>
                  </w:pPr>
                </w:p>
              </w:tc>
              <w:tc>
                <w:tcPr>
                  <w:tcW w:w="1450" w:type="dxa"/>
                  <w:vMerge w:val="continue"/>
                  <w:tcBorders>
                    <w:top w:val="nil"/>
                    <w:left w:val="single" w:color="auto" w:sz="4" w:space="0"/>
                    <w:bottom w:val="single" w:color="auto" w:sz="4" w:space="0"/>
                    <w:right w:val="single" w:color="auto" w:sz="4" w:space="0"/>
                  </w:tcBorders>
                  <w:vAlign w:val="center"/>
                </w:tcPr>
                <w:p w14:paraId="55918B22">
                  <w:pPr>
                    <w:keepNext w:val="0"/>
                    <w:keepLines w:val="0"/>
                    <w:suppressLineNumbers w:val="0"/>
                    <w:spacing w:before="0" w:beforeAutospacing="0" w:after="0" w:afterAutospacing="0"/>
                    <w:ind w:left="0" w:right="0"/>
                    <w:rPr>
                      <w:rFonts w:hint="default" w:ascii="Times New Roman" w:hAnsi="Times New Roman" w:cs="Times New Roman"/>
                      <w:color w:val="auto"/>
                      <w:sz w:val="20"/>
                      <w:szCs w:val="20"/>
                    </w:rPr>
                  </w:pPr>
                </w:p>
              </w:tc>
              <w:tc>
                <w:tcPr>
                  <w:tcW w:w="1450" w:type="dxa"/>
                  <w:tcBorders>
                    <w:top w:val="single" w:color="auto" w:sz="4" w:space="0"/>
                    <w:left w:val="single" w:color="auto" w:sz="4" w:space="0"/>
                    <w:bottom w:val="single" w:color="auto" w:sz="4" w:space="0"/>
                    <w:right w:val="single" w:color="auto" w:sz="4" w:space="0"/>
                  </w:tcBorders>
                  <w:vAlign w:val="center"/>
                </w:tcPr>
                <w:p w14:paraId="4B936ECB">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r>
                    <w:rPr>
                      <w:rFonts w:hint="eastAsia" w:ascii="宋体" w:hAnsi="宋体" w:eastAsia="宋体" w:cs="宋体"/>
                      <w:color w:val="auto"/>
                      <w:szCs w:val="21"/>
                      <w:lang w:bidi="ar"/>
                    </w:rPr>
                    <w:t>气</w:t>
                  </w:r>
                  <w:r>
                    <w:rPr>
                      <w:rFonts w:hint="default" w:ascii="Times New Roman" w:hAnsi="Times New Roman" w:eastAsia="宋体" w:cs="Times New Roman"/>
                      <w:color w:val="auto"/>
                      <w:szCs w:val="21"/>
                      <w:lang w:bidi="ar"/>
                    </w:rPr>
                    <w:t>251119046</w:t>
                  </w:r>
                </w:p>
              </w:tc>
              <w:tc>
                <w:tcPr>
                  <w:tcW w:w="1132" w:type="dxa"/>
                  <w:tcBorders>
                    <w:top w:val="single" w:color="auto" w:sz="4" w:space="0"/>
                    <w:left w:val="single" w:color="auto" w:sz="4" w:space="0"/>
                    <w:bottom w:val="single" w:color="auto" w:sz="4" w:space="0"/>
                    <w:right w:val="single" w:color="auto" w:sz="4" w:space="0"/>
                  </w:tcBorders>
                  <w:vAlign w:val="center"/>
                </w:tcPr>
                <w:p w14:paraId="720E3A9C">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lang w:bidi="ar"/>
                    </w:rPr>
                    <w:t>&lt;10</w:t>
                  </w:r>
                </w:p>
              </w:tc>
            </w:tr>
            <w:tr w14:paraId="4AC7E2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1265" w:type="dxa"/>
                  <w:vMerge w:val="continue"/>
                  <w:tcBorders>
                    <w:left w:val="single" w:color="auto" w:sz="4" w:space="0"/>
                    <w:right w:val="single" w:color="auto" w:sz="4" w:space="0"/>
                  </w:tcBorders>
                  <w:vAlign w:val="center"/>
                </w:tcPr>
                <w:p w14:paraId="2E55B325">
                  <w:pPr>
                    <w:keepNext w:val="0"/>
                    <w:keepLines w:val="0"/>
                    <w:suppressLineNumbers w:val="0"/>
                    <w:spacing w:before="0" w:beforeAutospacing="0" w:after="0" w:afterAutospacing="0"/>
                    <w:ind w:left="0" w:right="0"/>
                    <w:rPr>
                      <w:rFonts w:hint="default" w:ascii="Times New Roman" w:hAnsi="Times New Roman" w:cs="Times New Roman"/>
                      <w:color w:val="auto"/>
                      <w:sz w:val="20"/>
                      <w:szCs w:val="20"/>
                    </w:rPr>
                  </w:pPr>
                </w:p>
              </w:tc>
              <w:tc>
                <w:tcPr>
                  <w:tcW w:w="1269" w:type="dxa"/>
                  <w:tcBorders>
                    <w:top w:val="single" w:color="auto" w:sz="4" w:space="0"/>
                    <w:left w:val="single" w:color="auto" w:sz="4" w:space="0"/>
                    <w:bottom w:val="single" w:color="auto" w:sz="4" w:space="0"/>
                    <w:right w:val="single" w:color="auto" w:sz="4" w:space="0"/>
                  </w:tcBorders>
                  <w:vAlign w:val="center"/>
                </w:tcPr>
                <w:p w14:paraId="28C662C4">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r>
                    <w:rPr>
                      <w:rFonts w:hint="eastAsia" w:ascii="宋体" w:hAnsi="宋体" w:eastAsia="宋体" w:cs="宋体"/>
                      <w:color w:val="auto"/>
                      <w:szCs w:val="21"/>
                      <w:lang w:bidi="ar"/>
                    </w:rPr>
                    <w:t>第一次</w:t>
                  </w:r>
                </w:p>
              </w:tc>
              <w:tc>
                <w:tcPr>
                  <w:tcW w:w="1609" w:type="dxa"/>
                  <w:vMerge w:val="continue"/>
                  <w:tcBorders>
                    <w:top w:val="nil"/>
                    <w:left w:val="single" w:color="auto" w:sz="4" w:space="0"/>
                    <w:bottom w:val="single" w:color="auto" w:sz="4" w:space="0"/>
                    <w:right w:val="single" w:color="auto" w:sz="4" w:space="0"/>
                  </w:tcBorders>
                  <w:vAlign w:val="center"/>
                </w:tcPr>
                <w:p w14:paraId="5DC7C840">
                  <w:pPr>
                    <w:keepNext w:val="0"/>
                    <w:keepLines w:val="0"/>
                    <w:suppressLineNumbers w:val="0"/>
                    <w:spacing w:before="0" w:beforeAutospacing="0" w:after="0" w:afterAutospacing="0"/>
                    <w:ind w:left="0" w:right="0"/>
                    <w:rPr>
                      <w:rFonts w:hint="default" w:ascii="Times New Roman" w:hAnsi="Times New Roman" w:cs="Times New Roman"/>
                      <w:color w:val="auto"/>
                      <w:sz w:val="20"/>
                      <w:szCs w:val="20"/>
                    </w:rPr>
                  </w:pPr>
                </w:p>
              </w:tc>
              <w:tc>
                <w:tcPr>
                  <w:tcW w:w="1450" w:type="dxa"/>
                  <w:vMerge w:val="restart"/>
                  <w:tcBorders>
                    <w:top w:val="nil"/>
                    <w:left w:val="single" w:color="auto" w:sz="4" w:space="0"/>
                    <w:bottom w:val="single" w:color="auto" w:sz="4" w:space="0"/>
                    <w:right w:val="single" w:color="auto" w:sz="4" w:space="0"/>
                  </w:tcBorders>
                  <w:vAlign w:val="center"/>
                </w:tcPr>
                <w:p w14:paraId="545A314A">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r>
                    <w:rPr>
                      <w:rFonts w:hint="eastAsia" w:ascii="宋体" w:hAnsi="宋体" w:eastAsia="宋体" w:cs="宋体"/>
                      <w:color w:val="auto"/>
                      <w:szCs w:val="21"/>
                      <w:lang w:bidi="ar"/>
                    </w:rPr>
                    <w:t>厂界下风向</w:t>
                  </w:r>
                  <w:r>
                    <w:rPr>
                      <w:rFonts w:hint="default" w:ascii="Times New Roman" w:hAnsi="Times New Roman" w:eastAsia="宋体" w:cs="Times New Roman"/>
                      <w:color w:val="auto"/>
                      <w:szCs w:val="21"/>
                      <w:lang w:bidi="ar"/>
                    </w:rPr>
                    <w:t>3</w:t>
                  </w:r>
                </w:p>
              </w:tc>
              <w:tc>
                <w:tcPr>
                  <w:tcW w:w="1450" w:type="dxa"/>
                  <w:tcBorders>
                    <w:top w:val="single" w:color="auto" w:sz="4" w:space="0"/>
                    <w:left w:val="single" w:color="auto" w:sz="4" w:space="0"/>
                    <w:bottom w:val="single" w:color="auto" w:sz="4" w:space="0"/>
                    <w:right w:val="single" w:color="auto" w:sz="4" w:space="0"/>
                  </w:tcBorders>
                  <w:vAlign w:val="center"/>
                </w:tcPr>
                <w:p w14:paraId="2321CF42">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r>
                    <w:rPr>
                      <w:rFonts w:hint="eastAsia" w:ascii="宋体" w:hAnsi="宋体" w:eastAsia="宋体" w:cs="宋体"/>
                      <w:color w:val="auto"/>
                      <w:szCs w:val="21"/>
                      <w:lang w:bidi="ar"/>
                    </w:rPr>
                    <w:t>气</w:t>
                  </w:r>
                  <w:r>
                    <w:rPr>
                      <w:rFonts w:hint="default" w:ascii="Times New Roman" w:hAnsi="Times New Roman" w:eastAsia="宋体" w:cs="Times New Roman"/>
                      <w:color w:val="auto"/>
                      <w:szCs w:val="21"/>
                      <w:lang w:bidi="ar"/>
                    </w:rPr>
                    <w:t>251119047</w:t>
                  </w:r>
                </w:p>
              </w:tc>
              <w:tc>
                <w:tcPr>
                  <w:tcW w:w="1132" w:type="dxa"/>
                  <w:tcBorders>
                    <w:top w:val="single" w:color="auto" w:sz="4" w:space="0"/>
                    <w:left w:val="single" w:color="auto" w:sz="4" w:space="0"/>
                    <w:bottom w:val="single" w:color="auto" w:sz="4" w:space="0"/>
                    <w:right w:val="single" w:color="auto" w:sz="4" w:space="0"/>
                  </w:tcBorders>
                  <w:vAlign w:val="center"/>
                </w:tcPr>
                <w:p w14:paraId="6318D59D">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lang w:bidi="ar"/>
                    </w:rPr>
                    <w:t>&lt;10</w:t>
                  </w:r>
                </w:p>
              </w:tc>
            </w:tr>
            <w:tr w14:paraId="4E7AA5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1265" w:type="dxa"/>
                  <w:vMerge w:val="continue"/>
                  <w:tcBorders>
                    <w:left w:val="single" w:color="auto" w:sz="4" w:space="0"/>
                    <w:right w:val="single" w:color="auto" w:sz="4" w:space="0"/>
                  </w:tcBorders>
                  <w:vAlign w:val="center"/>
                </w:tcPr>
                <w:p w14:paraId="714AC7A8">
                  <w:pPr>
                    <w:keepNext w:val="0"/>
                    <w:keepLines w:val="0"/>
                    <w:suppressLineNumbers w:val="0"/>
                    <w:spacing w:before="0" w:beforeAutospacing="0" w:after="0" w:afterAutospacing="0"/>
                    <w:ind w:left="0" w:right="0"/>
                    <w:rPr>
                      <w:rFonts w:hint="default" w:ascii="Times New Roman" w:hAnsi="Times New Roman" w:cs="Times New Roman"/>
                      <w:color w:val="auto"/>
                      <w:sz w:val="20"/>
                      <w:szCs w:val="20"/>
                    </w:rPr>
                  </w:pPr>
                </w:p>
              </w:tc>
              <w:tc>
                <w:tcPr>
                  <w:tcW w:w="1269" w:type="dxa"/>
                  <w:tcBorders>
                    <w:top w:val="single" w:color="auto" w:sz="4" w:space="0"/>
                    <w:left w:val="single" w:color="auto" w:sz="4" w:space="0"/>
                    <w:bottom w:val="single" w:color="auto" w:sz="4" w:space="0"/>
                    <w:right w:val="single" w:color="auto" w:sz="4" w:space="0"/>
                  </w:tcBorders>
                  <w:vAlign w:val="center"/>
                </w:tcPr>
                <w:p w14:paraId="5CDA7E14">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r>
                    <w:rPr>
                      <w:rFonts w:hint="eastAsia" w:ascii="宋体" w:hAnsi="宋体" w:eastAsia="宋体" w:cs="宋体"/>
                      <w:color w:val="auto"/>
                      <w:szCs w:val="21"/>
                      <w:lang w:bidi="ar"/>
                    </w:rPr>
                    <w:t>第二次</w:t>
                  </w:r>
                </w:p>
              </w:tc>
              <w:tc>
                <w:tcPr>
                  <w:tcW w:w="1609" w:type="dxa"/>
                  <w:vMerge w:val="continue"/>
                  <w:tcBorders>
                    <w:top w:val="nil"/>
                    <w:left w:val="single" w:color="auto" w:sz="4" w:space="0"/>
                    <w:bottom w:val="single" w:color="auto" w:sz="4" w:space="0"/>
                    <w:right w:val="single" w:color="auto" w:sz="4" w:space="0"/>
                  </w:tcBorders>
                  <w:vAlign w:val="center"/>
                </w:tcPr>
                <w:p w14:paraId="45239D75">
                  <w:pPr>
                    <w:keepNext w:val="0"/>
                    <w:keepLines w:val="0"/>
                    <w:suppressLineNumbers w:val="0"/>
                    <w:spacing w:before="0" w:beforeAutospacing="0" w:after="0" w:afterAutospacing="0"/>
                    <w:ind w:left="0" w:right="0"/>
                    <w:rPr>
                      <w:rFonts w:hint="default" w:ascii="Times New Roman" w:hAnsi="Times New Roman" w:cs="Times New Roman"/>
                      <w:color w:val="auto"/>
                      <w:sz w:val="20"/>
                      <w:szCs w:val="20"/>
                    </w:rPr>
                  </w:pPr>
                </w:p>
              </w:tc>
              <w:tc>
                <w:tcPr>
                  <w:tcW w:w="1450" w:type="dxa"/>
                  <w:vMerge w:val="continue"/>
                  <w:tcBorders>
                    <w:top w:val="nil"/>
                    <w:left w:val="single" w:color="auto" w:sz="4" w:space="0"/>
                    <w:bottom w:val="single" w:color="auto" w:sz="4" w:space="0"/>
                    <w:right w:val="single" w:color="auto" w:sz="4" w:space="0"/>
                  </w:tcBorders>
                  <w:vAlign w:val="center"/>
                </w:tcPr>
                <w:p w14:paraId="025C6354">
                  <w:pPr>
                    <w:keepNext w:val="0"/>
                    <w:keepLines w:val="0"/>
                    <w:suppressLineNumbers w:val="0"/>
                    <w:spacing w:before="0" w:beforeAutospacing="0" w:after="0" w:afterAutospacing="0"/>
                    <w:ind w:left="0" w:right="0"/>
                    <w:rPr>
                      <w:rFonts w:hint="default" w:ascii="Times New Roman" w:hAnsi="Times New Roman" w:cs="Times New Roman"/>
                      <w:color w:val="auto"/>
                      <w:sz w:val="20"/>
                      <w:szCs w:val="20"/>
                    </w:rPr>
                  </w:pPr>
                </w:p>
              </w:tc>
              <w:tc>
                <w:tcPr>
                  <w:tcW w:w="1450" w:type="dxa"/>
                  <w:tcBorders>
                    <w:top w:val="single" w:color="auto" w:sz="4" w:space="0"/>
                    <w:left w:val="single" w:color="auto" w:sz="4" w:space="0"/>
                    <w:bottom w:val="single" w:color="auto" w:sz="4" w:space="0"/>
                    <w:right w:val="single" w:color="auto" w:sz="4" w:space="0"/>
                  </w:tcBorders>
                  <w:vAlign w:val="center"/>
                </w:tcPr>
                <w:p w14:paraId="2D5B4E7B">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r>
                    <w:rPr>
                      <w:rFonts w:hint="eastAsia" w:ascii="宋体" w:hAnsi="宋体" w:eastAsia="宋体" w:cs="宋体"/>
                      <w:color w:val="auto"/>
                      <w:szCs w:val="21"/>
                      <w:lang w:bidi="ar"/>
                    </w:rPr>
                    <w:t>气</w:t>
                  </w:r>
                  <w:r>
                    <w:rPr>
                      <w:rFonts w:hint="default" w:ascii="Times New Roman" w:hAnsi="Times New Roman" w:eastAsia="宋体" w:cs="Times New Roman"/>
                      <w:color w:val="auto"/>
                      <w:szCs w:val="21"/>
                      <w:lang w:bidi="ar"/>
                    </w:rPr>
                    <w:t>251119048</w:t>
                  </w:r>
                </w:p>
              </w:tc>
              <w:tc>
                <w:tcPr>
                  <w:tcW w:w="1132" w:type="dxa"/>
                  <w:tcBorders>
                    <w:top w:val="single" w:color="auto" w:sz="4" w:space="0"/>
                    <w:left w:val="single" w:color="auto" w:sz="4" w:space="0"/>
                    <w:bottom w:val="single" w:color="auto" w:sz="4" w:space="0"/>
                    <w:right w:val="single" w:color="auto" w:sz="4" w:space="0"/>
                  </w:tcBorders>
                  <w:vAlign w:val="center"/>
                </w:tcPr>
                <w:p w14:paraId="22DE8AAC">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lang w:bidi="ar"/>
                    </w:rPr>
                    <w:t>&lt;10</w:t>
                  </w:r>
                </w:p>
              </w:tc>
            </w:tr>
            <w:tr w14:paraId="540605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1265" w:type="dxa"/>
                  <w:vMerge w:val="continue"/>
                  <w:tcBorders>
                    <w:left w:val="single" w:color="auto" w:sz="4" w:space="0"/>
                    <w:right w:val="single" w:color="auto" w:sz="4" w:space="0"/>
                  </w:tcBorders>
                  <w:vAlign w:val="center"/>
                </w:tcPr>
                <w:p w14:paraId="5230CD5B">
                  <w:pPr>
                    <w:keepNext w:val="0"/>
                    <w:keepLines w:val="0"/>
                    <w:suppressLineNumbers w:val="0"/>
                    <w:spacing w:before="0" w:beforeAutospacing="0" w:after="0" w:afterAutospacing="0"/>
                    <w:ind w:left="0" w:right="0"/>
                    <w:rPr>
                      <w:rFonts w:hint="default" w:ascii="Times New Roman" w:hAnsi="Times New Roman" w:cs="Times New Roman"/>
                      <w:color w:val="auto"/>
                      <w:sz w:val="20"/>
                      <w:szCs w:val="20"/>
                    </w:rPr>
                  </w:pPr>
                </w:p>
              </w:tc>
              <w:tc>
                <w:tcPr>
                  <w:tcW w:w="1269" w:type="dxa"/>
                  <w:tcBorders>
                    <w:top w:val="single" w:color="auto" w:sz="4" w:space="0"/>
                    <w:left w:val="single" w:color="auto" w:sz="4" w:space="0"/>
                    <w:bottom w:val="single" w:color="auto" w:sz="4" w:space="0"/>
                    <w:right w:val="single" w:color="auto" w:sz="4" w:space="0"/>
                  </w:tcBorders>
                  <w:vAlign w:val="center"/>
                </w:tcPr>
                <w:p w14:paraId="3542FAEB">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r>
                    <w:rPr>
                      <w:rFonts w:hint="eastAsia" w:ascii="宋体" w:hAnsi="宋体" w:eastAsia="宋体" w:cs="宋体"/>
                      <w:color w:val="auto"/>
                      <w:szCs w:val="21"/>
                      <w:lang w:bidi="ar"/>
                    </w:rPr>
                    <w:t>第三次</w:t>
                  </w:r>
                </w:p>
              </w:tc>
              <w:tc>
                <w:tcPr>
                  <w:tcW w:w="1609" w:type="dxa"/>
                  <w:vMerge w:val="continue"/>
                  <w:tcBorders>
                    <w:top w:val="nil"/>
                    <w:left w:val="single" w:color="auto" w:sz="4" w:space="0"/>
                    <w:bottom w:val="single" w:color="auto" w:sz="4" w:space="0"/>
                    <w:right w:val="single" w:color="auto" w:sz="4" w:space="0"/>
                  </w:tcBorders>
                  <w:vAlign w:val="center"/>
                </w:tcPr>
                <w:p w14:paraId="65A0E18F">
                  <w:pPr>
                    <w:keepNext w:val="0"/>
                    <w:keepLines w:val="0"/>
                    <w:suppressLineNumbers w:val="0"/>
                    <w:spacing w:before="0" w:beforeAutospacing="0" w:after="0" w:afterAutospacing="0"/>
                    <w:ind w:left="0" w:right="0"/>
                    <w:rPr>
                      <w:rFonts w:hint="default" w:ascii="Times New Roman" w:hAnsi="Times New Roman" w:cs="Times New Roman"/>
                      <w:color w:val="auto"/>
                      <w:sz w:val="20"/>
                      <w:szCs w:val="20"/>
                    </w:rPr>
                  </w:pPr>
                </w:p>
              </w:tc>
              <w:tc>
                <w:tcPr>
                  <w:tcW w:w="1450" w:type="dxa"/>
                  <w:vMerge w:val="continue"/>
                  <w:tcBorders>
                    <w:top w:val="nil"/>
                    <w:left w:val="single" w:color="auto" w:sz="4" w:space="0"/>
                    <w:bottom w:val="single" w:color="auto" w:sz="4" w:space="0"/>
                    <w:right w:val="single" w:color="auto" w:sz="4" w:space="0"/>
                  </w:tcBorders>
                  <w:vAlign w:val="center"/>
                </w:tcPr>
                <w:p w14:paraId="67FA2322">
                  <w:pPr>
                    <w:keepNext w:val="0"/>
                    <w:keepLines w:val="0"/>
                    <w:suppressLineNumbers w:val="0"/>
                    <w:spacing w:before="0" w:beforeAutospacing="0" w:after="0" w:afterAutospacing="0"/>
                    <w:ind w:left="0" w:right="0"/>
                    <w:rPr>
                      <w:rFonts w:hint="default" w:ascii="Times New Roman" w:hAnsi="Times New Roman" w:cs="Times New Roman"/>
                      <w:color w:val="auto"/>
                      <w:sz w:val="20"/>
                      <w:szCs w:val="20"/>
                    </w:rPr>
                  </w:pPr>
                </w:p>
              </w:tc>
              <w:tc>
                <w:tcPr>
                  <w:tcW w:w="1450" w:type="dxa"/>
                  <w:tcBorders>
                    <w:top w:val="single" w:color="auto" w:sz="4" w:space="0"/>
                    <w:left w:val="single" w:color="auto" w:sz="4" w:space="0"/>
                    <w:bottom w:val="single" w:color="auto" w:sz="4" w:space="0"/>
                    <w:right w:val="single" w:color="auto" w:sz="4" w:space="0"/>
                  </w:tcBorders>
                  <w:vAlign w:val="center"/>
                </w:tcPr>
                <w:p w14:paraId="0222B6AF">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r>
                    <w:rPr>
                      <w:rFonts w:hint="eastAsia" w:ascii="宋体" w:hAnsi="宋体" w:eastAsia="宋体" w:cs="宋体"/>
                      <w:color w:val="auto"/>
                      <w:szCs w:val="21"/>
                      <w:lang w:bidi="ar"/>
                    </w:rPr>
                    <w:t>气</w:t>
                  </w:r>
                  <w:r>
                    <w:rPr>
                      <w:rFonts w:hint="default" w:ascii="Times New Roman" w:hAnsi="Times New Roman" w:eastAsia="宋体" w:cs="Times New Roman"/>
                      <w:color w:val="auto"/>
                      <w:szCs w:val="21"/>
                      <w:lang w:bidi="ar"/>
                    </w:rPr>
                    <w:t>251119049</w:t>
                  </w:r>
                </w:p>
              </w:tc>
              <w:tc>
                <w:tcPr>
                  <w:tcW w:w="1132" w:type="dxa"/>
                  <w:tcBorders>
                    <w:top w:val="single" w:color="auto" w:sz="4" w:space="0"/>
                    <w:left w:val="single" w:color="auto" w:sz="4" w:space="0"/>
                    <w:bottom w:val="single" w:color="auto" w:sz="4" w:space="0"/>
                    <w:right w:val="single" w:color="auto" w:sz="4" w:space="0"/>
                  </w:tcBorders>
                  <w:vAlign w:val="center"/>
                </w:tcPr>
                <w:p w14:paraId="08C6F733">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lang w:bidi="ar"/>
                    </w:rPr>
                    <w:t>&lt;10</w:t>
                  </w:r>
                </w:p>
              </w:tc>
            </w:tr>
            <w:tr w14:paraId="664064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1265" w:type="dxa"/>
                  <w:vMerge w:val="continue"/>
                  <w:tcBorders>
                    <w:left w:val="single" w:color="auto" w:sz="4" w:space="0"/>
                    <w:bottom w:val="single" w:color="auto" w:sz="4" w:space="0"/>
                    <w:right w:val="single" w:color="auto" w:sz="4" w:space="0"/>
                  </w:tcBorders>
                  <w:vAlign w:val="center"/>
                </w:tcPr>
                <w:p w14:paraId="06144D0D">
                  <w:pPr>
                    <w:keepNext w:val="0"/>
                    <w:keepLines w:val="0"/>
                    <w:suppressLineNumbers w:val="0"/>
                    <w:spacing w:before="0" w:beforeAutospacing="0" w:after="0" w:afterAutospacing="0"/>
                    <w:ind w:left="0" w:right="0"/>
                    <w:rPr>
                      <w:rFonts w:hint="default" w:ascii="Times New Roman" w:hAnsi="Times New Roman" w:cs="Times New Roman"/>
                      <w:color w:val="auto"/>
                      <w:sz w:val="20"/>
                      <w:szCs w:val="20"/>
                    </w:rPr>
                  </w:pPr>
                </w:p>
              </w:tc>
              <w:tc>
                <w:tcPr>
                  <w:tcW w:w="1269" w:type="dxa"/>
                  <w:tcBorders>
                    <w:top w:val="single" w:color="auto" w:sz="4" w:space="0"/>
                    <w:left w:val="single" w:color="auto" w:sz="4" w:space="0"/>
                    <w:bottom w:val="single" w:color="auto" w:sz="4" w:space="0"/>
                    <w:right w:val="single" w:color="auto" w:sz="4" w:space="0"/>
                  </w:tcBorders>
                  <w:vAlign w:val="center"/>
                </w:tcPr>
                <w:p w14:paraId="53DCB168">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r>
                    <w:rPr>
                      <w:rFonts w:hint="eastAsia" w:ascii="宋体" w:hAnsi="宋体" w:eastAsia="宋体" w:cs="宋体"/>
                      <w:color w:val="auto"/>
                      <w:szCs w:val="21"/>
                      <w:lang w:bidi="ar"/>
                    </w:rPr>
                    <w:t>第四次</w:t>
                  </w:r>
                </w:p>
              </w:tc>
              <w:tc>
                <w:tcPr>
                  <w:tcW w:w="1609" w:type="dxa"/>
                  <w:vMerge w:val="continue"/>
                  <w:tcBorders>
                    <w:top w:val="nil"/>
                    <w:left w:val="single" w:color="auto" w:sz="4" w:space="0"/>
                    <w:bottom w:val="single" w:color="auto" w:sz="4" w:space="0"/>
                    <w:right w:val="single" w:color="auto" w:sz="4" w:space="0"/>
                  </w:tcBorders>
                  <w:vAlign w:val="center"/>
                </w:tcPr>
                <w:p w14:paraId="548EB9C6">
                  <w:pPr>
                    <w:keepNext w:val="0"/>
                    <w:keepLines w:val="0"/>
                    <w:suppressLineNumbers w:val="0"/>
                    <w:spacing w:before="0" w:beforeAutospacing="0" w:after="0" w:afterAutospacing="0"/>
                    <w:ind w:left="0" w:right="0"/>
                    <w:rPr>
                      <w:rFonts w:hint="default" w:ascii="Times New Roman" w:hAnsi="Times New Roman" w:cs="Times New Roman"/>
                      <w:color w:val="auto"/>
                      <w:sz w:val="20"/>
                      <w:szCs w:val="20"/>
                    </w:rPr>
                  </w:pPr>
                </w:p>
              </w:tc>
              <w:tc>
                <w:tcPr>
                  <w:tcW w:w="1450" w:type="dxa"/>
                  <w:vMerge w:val="continue"/>
                  <w:tcBorders>
                    <w:top w:val="nil"/>
                    <w:left w:val="single" w:color="auto" w:sz="4" w:space="0"/>
                    <w:bottom w:val="single" w:color="auto" w:sz="4" w:space="0"/>
                    <w:right w:val="single" w:color="auto" w:sz="4" w:space="0"/>
                  </w:tcBorders>
                  <w:vAlign w:val="center"/>
                </w:tcPr>
                <w:p w14:paraId="0279B65A">
                  <w:pPr>
                    <w:keepNext w:val="0"/>
                    <w:keepLines w:val="0"/>
                    <w:suppressLineNumbers w:val="0"/>
                    <w:spacing w:before="0" w:beforeAutospacing="0" w:after="0" w:afterAutospacing="0"/>
                    <w:ind w:left="0" w:right="0"/>
                    <w:rPr>
                      <w:rFonts w:hint="default" w:ascii="Times New Roman" w:hAnsi="Times New Roman" w:cs="Times New Roman"/>
                      <w:color w:val="auto"/>
                      <w:sz w:val="20"/>
                      <w:szCs w:val="20"/>
                    </w:rPr>
                  </w:pPr>
                </w:p>
              </w:tc>
              <w:tc>
                <w:tcPr>
                  <w:tcW w:w="1450" w:type="dxa"/>
                  <w:tcBorders>
                    <w:top w:val="single" w:color="auto" w:sz="4" w:space="0"/>
                    <w:left w:val="single" w:color="auto" w:sz="4" w:space="0"/>
                    <w:bottom w:val="single" w:color="auto" w:sz="4" w:space="0"/>
                    <w:right w:val="single" w:color="auto" w:sz="4" w:space="0"/>
                  </w:tcBorders>
                  <w:vAlign w:val="center"/>
                </w:tcPr>
                <w:p w14:paraId="125550DF">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r>
                    <w:rPr>
                      <w:rFonts w:hint="eastAsia" w:ascii="宋体" w:hAnsi="宋体" w:eastAsia="宋体" w:cs="宋体"/>
                      <w:color w:val="auto"/>
                      <w:szCs w:val="21"/>
                      <w:lang w:bidi="ar"/>
                    </w:rPr>
                    <w:t>气</w:t>
                  </w:r>
                  <w:r>
                    <w:rPr>
                      <w:rFonts w:hint="default" w:ascii="Times New Roman" w:hAnsi="Times New Roman" w:eastAsia="宋体" w:cs="Times New Roman"/>
                      <w:color w:val="auto"/>
                      <w:szCs w:val="21"/>
                      <w:lang w:bidi="ar"/>
                    </w:rPr>
                    <w:t>251119050</w:t>
                  </w:r>
                </w:p>
              </w:tc>
              <w:tc>
                <w:tcPr>
                  <w:tcW w:w="1132" w:type="dxa"/>
                  <w:tcBorders>
                    <w:top w:val="single" w:color="auto" w:sz="4" w:space="0"/>
                    <w:left w:val="single" w:color="auto" w:sz="4" w:space="0"/>
                    <w:bottom w:val="single" w:color="auto" w:sz="4" w:space="0"/>
                    <w:right w:val="single" w:color="auto" w:sz="4" w:space="0"/>
                  </w:tcBorders>
                  <w:vAlign w:val="center"/>
                </w:tcPr>
                <w:p w14:paraId="6E0C3B00">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lang w:bidi="ar"/>
                    </w:rPr>
                    <w:t>&lt;10</w:t>
                  </w:r>
                </w:p>
              </w:tc>
            </w:tr>
            <w:tr w14:paraId="77E4CE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2534" w:type="dxa"/>
                  <w:gridSpan w:val="2"/>
                  <w:tcBorders>
                    <w:top w:val="single" w:color="auto" w:sz="4" w:space="0"/>
                    <w:left w:val="single" w:color="auto" w:sz="4" w:space="0"/>
                    <w:bottom w:val="single" w:color="auto" w:sz="4" w:space="0"/>
                    <w:right w:val="single" w:color="auto" w:sz="4" w:space="0"/>
                  </w:tcBorders>
                  <w:vAlign w:val="center"/>
                </w:tcPr>
                <w:p w14:paraId="4F5BE20E">
                  <w:pPr>
                    <w:keepNext w:val="0"/>
                    <w:keepLines w:val="0"/>
                    <w:suppressLineNumbers w:val="0"/>
                    <w:spacing w:before="0" w:beforeAutospacing="0" w:after="0" w:afterAutospacing="0"/>
                    <w:ind w:left="0" w:right="0"/>
                    <w:jc w:val="center"/>
                    <w:rPr>
                      <w:rFonts w:hint="default" w:ascii="Times New Roman" w:hAnsi="Times New Roman" w:eastAsia="宋体" w:cs="Times New Roman"/>
                      <w:b/>
                      <w:bCs/>
                      <w:color w:val="auto"/>
                      <w:szCs w:val="21"/>
                    </w:rPr>
                  </w:pPr>
                  <w:r>
                    <w:rPr>
                      <w:rFonts w:hint="eastAsia" w:ascii="宋体" w:hAnsi="宋体" w:eastAsia="宋体" w:cs="宋体"/>
                      <w:b/>
                      <w:bCs/>
                      <w:color w:val="auto"/>
                      <w:szCs w:val="21"/>
                      <w:lang w:bidi="ar"/>
                    </w:rPr>
                    <w:t>采样时间</w:t>
                  </w:r>
                </w:p>
              </w:tc>
              <w:tc>
                <w:tcPr>
                  <w:tcW w:w="1609" w:type="dxa"/>
                  <w:tcBorders>
                    <w:top w:val="single" w:color="auto" w:sz="4" w:space="0"/>
                    <w:left w:val="single" w:color="auto" w:sz="4" w:space="0"/>
                    <w:bottom w:val="single" w:color="auto" w:sz="4" w:space="0"/>
                    <w:right w:val="single" w:color="auto" w:sz="4" w:space="0"/>
                  </w:tcBorders>
                  <w:vAlign w:val="center"/>
                </w:tcPr>
                <w:p w14:paraId="12FC1A57">
                  <w:pPr>
                    <w:keepNext w:val="0"/>
                    <w:keepLines w:val="0"/>
                    <w:suppressLineNumbers w:val="0"/>
                    <w:spacing w:before="0" w:beforeAutospacing="0" w:after="0" w:afterAutospacing="0"/>
                    <w:ind w:left="0" w:right="0"/>
                    <w:jc w:val="center"/>
                    <w:rPr>
                      <w:rFonts w:hint="default" w:ascii="Times New Roman" w:hAnsi="Times New Roman" w:eastAsia="宋体" w:cs="Times New Roman"/>
                      <w:b/>
                      <w:bCs/>
                      <w:color w:val="auto"/>
                      <w:szCs w:val="21"/>
                    </w:rPr>
                  </w:pPr>
                  <w:r>
                    <w:rPr>
                      <w:rFonts w:hint="eastAsia" w:ascii="宋体" w:hAnsi="宋体" w:eastAsia="宋体" w:cs="宋体"/>
                      <w:b/>
                      <w:bCs/>
                      <w:color w:val="auto"/>
                      <w:szCs w:val="21"/>
                      <w:lang w:bidi="ar"/>
                    </w:rPr>
                    <w:t>检测项目</w:t>
                  </w:r>
                </w:p>
              </w:tc>
              <w:tc>
                <w:tcPr>
                  <w:tcW w:w="1450" w:type="dxa"/>
                  <w:tcBorders>
                    <w:top w:val="single" w:color="auto" w:sz="4" w:space="0"/>
                    <w:left w:val="single" w:color="auto" w:sz="4" w:space="0"/>
                    <w:bottom w:val="single" w:color="auto" w:sz="4" w:space="0"/>
                    <w:right w:val="single" w:color="auto" w:sz="4" w:space="0"/>
                  </w:tcBorders>
                  <w:vAlign w:val="center"/>
                </w:tcPr>
                <w:p w14:paraId="6C8B3A9E">
                  <w:pPr>
                    <w:keepNext w:val="0"/>
                    <w:keepLines w:val="0"/>
                    <w:suppressLineNumbers w:val="0"/>
                    <w:spacing w:before="0" w:beforeAutospacing="0" w:after="0" w:afterAutospacing="0"/>
                    <w:ind w:left="0" w:right="0"/>
                    <w:jc w:val="center"/>
                    <w:rPr>
                      <w:rFonts w:hint="default" w:ascii="Times New Roman" w:hAnsi="Times New Roman" w:eastAsia="宋体" w:cs="Times New Roman"/>
                      <w:b/>
                      <w:bCs/>
                      <w:color w:val="auto"/>
                      <w:szCs w:val="21"/>
                    </w:rPr>
                  </w:pPr>
                  <w:r>
                    <w:rPr>
                      <w:rFonts w:hint="eastAsia" w:ascii="宋体" w:hAnsi="宋体" w:eastAsia="宋体" w:cs="宋体"/>
                      <w:b/>
                      <w:bCs/>
                      <w:color w:val="auto"/>
                      <w:szCs w:val="21"/>
                      <w:lang w:bidi="ar"/>
                    </w:rPr>
                    <w:t>采样点位</w:t>
                  </w:r>
                </w:p>
              </w:tc>
              <w:tc>
                <w:tcPr>
                  <w:tcW w:w="1450" w:type="dxa"/>
                  <w:tcBorders>
                    <w:top w:val="single" w:color="auto" w:sz="4" w:space="0"/>
                    <w:left w:val="single" w:color="auto" w:sz="4" w:space="0"/>
                    <w:bottom w:val="single" w:color="auto" w:sz="4" w:space="0"/>
                    <w:right w:val="single" w:color="auto" w:sz="4" w:space="0"/>
                  </w:tcBorders>
                  <w:vAlign w:val="center"/>
                </w:tcPr>
                <w:p w14:paraId="3454B663">
                  <w:pPr>
                    <w:keepNext w:val="0"/>
                    <w:keepLines w:val="0"/>
                    <w:suppressLineNumbers w:val="0"/>
                    <w:spacing w:before="0" w:beforeAutospacing="0" w:after="0" w:afterAutospacing="0"/>
                    <w:ind w:left="0" w:right="0"/>
                    <w:jc w:val="center"/>
                    <w:rPr>
                      <w:rFonts w:hint="default" w:ascii="Times New Roman" w:hAnsi="Times New Roman" w:eastAsia="宋体" w:cs="Times New Roman"/>
                      <w:b/>
                      <w:bCs/>
                      <w:color w:val="auto"/>
                      <w:szCs w:val="21"/>
                    </w:rPr>
                  </w:pPr>
                  <w:r>
                    <w:rPr>
                      <w:rFonts w:hint="eastAsia" w:ascii="宋体" w:hAnsi="宋体" w:eastAsia="宋体" w:cs="宋体"/>
                      <w:b/>
                      <w:bCs/>
                      <w:color w:val="auto"/>
                      <w:szCs w:val="21"/>
                      <w:lang w:bidi="ar"/>
                    </w:rPr>
                    <w:t>样品编号</w:t>
                  </w:r>
                </w:p>
              </w:tc>
              <w:tc>
                <w:tcPr>
                  <w:tcW w:w="1132" w:type="dxa"/>
                  <w:tcBorders>
                    <w:top w:val="single" w:color="auto" w:sz="4" w:space="0"/>
                    <w:left w:val="single" w:color="auto" w:sz="4" w:space="0"/>
                    <w:bottom w:val="single" w:color="auto" w:sz="4" w:space="0"/>
                    <w:right w:val="single" w:color="auto" w:sz="4" w:space="0"/>
                  </w:tcBorders>
                  <w:vAlign w:val="center"/>
                </w:tcPr>
                <w:p w14:paraId="30E5B887">
                  <w:pPr>
                    <w:keepNext w:val="0"/>
                    <w:keepLines w:val="0"/>
                    <w:suppressLineNumbers w:val="0"/>
                    <w:spacing w:before="0" w:beforeAutospacing="0" w:after="0" w:afterAutospacing="0"/>
                    <w:ind w:left="0" w:right="0"/>
                    <w:jc w:val="center"/>
                    <w:rPr>
                      <w:rFonts w:hint="default" w:ascii="Times New Roman" w:hAnsi="Times New Roman" w:eastAsia="宋体" w:cs="Times New Roman"/>
                      <w:b/>
                      <w:bCs/>
                      <w:color w:val="auto"/>
                      <w:szCs w:val="21"/>
                    </w:rPr>
                  </w:pPr>
                  <w:r>
                    <w:rPr>
                      <w:rFonts w:hint="eastAsia" w:ascii="宋体" w:hAnsi="宋体" w:eastAsia="宋体" w:cs="宋体"/>
                      <w:b/>
                      <w:bCs/>
                      <w:color w:val="auto"/>
                      <w:szCs w:val="21"/>
                      <w:lang w:bidi="ar"/>
                    </w:rPr>
                    <w:t>检测结果</w:t>
                  </w:r>
                </w:p>
              </w:tc>
            </w:tr>
            <w:tr w14:paraId="542C57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1265" w:type="dxa"/>
                  <w:vMerge w:val="restart"/>
                  <w:tcBorders>
                    <w:top w:val="nil"/>
                    <w:left w:val="single" w:color="auto" w:sz="4" w:space="0"/>
                    <w:right w:val="single" w:color="auto" w:sz="4" w:space="0"/>
                  </w:tcBorders>
                  <w:vAlign w:val="center"/>
                </w:tcPr>
                <w:p w14:paraId="1FC8C0AC">
                  <w:pPr>
                    <w:keepNext w:val="0"/>
                    <w:keepLines w:val="0"/>
                    <w:suppressLineNumbers w:val="0"/>
                    <w:spacing w:before="0" w:beforeAutospacing="0" w:after="0" w:afterAutospacing="0"/>
                    <w:ind w:left="0" w:right="0"/>
                    <w:rPr>
                      <w:rFonts w:hint="default" w:ascii="Times New Roman" w:hAnsi="Times New Roman" w:cs="Times New Roman"/>
                      <w:color w:val="auto"/>
                      <w:sz w:val="20"/>
                      <w:szCs w:val="20"/>
                    </w:rPr>
                  </w:pPr>
                  <w:r>
                    <w:rPr>
                      <w:rFonts w:hint="default" w:ascii="Times New Roman" w:hAnsi="Times New Roman" w:eastAsia="宋体" w:cs="Times New Roman"/>
                      <w:color w:val="auto"/>
                      <w:szCs w:val="21"/>
                      <w:lang w:bidi="ar"/>
                    </w:rPr>
                    <w:t>2025.11.20</w:t>
                  </w:r>
                </w:p>
              </w:tc>
              <w:tc>
                <w:tcPr>
                  <w:tcW w:w="1269" w:type="dxa"/>
                  <w:tcBorders>
                    <w:top w:val="single" w:color="auto" w:sz="4" w:space="0"/>
                    <w:left w:val="single" w:color="auto" w:sz="4" w:space="0"/>
                    <w:bottom w:val="single" w:color="auto" w:sz="4" w:space="0"/>
                    <w:right w:val="single" w:color="auto" w:sz="4" w:space="0"/>
                  </w:tcBorders>
                  <w:vAlign w:val="center"/>
                </w:tcPr>
                <w:p w14:paraId="7394371C">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r>
                    <w:rPr>
                      <w:rFonts w:hint="eastAsia" w:ascii="宋体" w:hAnsi="宋体" w:eastAsia="宋体" w:cs="宋体"/>
                      <w:color w:val="auto"/>
                      <w:szCs w:val="21"/>
                      <w:lang w:bidi="ar"/>
                    </w:rPr>
                    <w:t>第一次</w:t>
                  </w:r>
                </w:p>
              </w:tc>
              <w:tc>
                <w:tcPr>
                  <w:tcW w:w="1609" w:type="dxa"/>
                  <w:vMerge w:val="restart"/>
                  <w:tcBorders>
                    <w:top w:val="nil"/>
                    <w:left w:val="single" w:color="auto" w:sz="4" w:space="0"/>
                    <w:bottom w:val="single" w:color="auto" w:sz="4" w:space="0"/>
                    <w:right w:val="single" w:color="auto" w:sz="4" w:space="0"/>
                  </w:tcBorders>
                  <w:vAlign w:val="center"/>
                </w:tcPr>
                <w:p w14:paraId="181328F5">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r>
                    <w:rPr>
                      <w:rFonts w:hint="eastAsia" w:ascii="宋体" w:hAnsi="宋体" w:eastAsia="宋体" w:cs="宋体"/>
                      <w:color w:val="auto"/>
                      <w:szCs w:val="21"/>
                      <w:lang w:bidi="ar"/>
                    </w:rPr>
                    <w:t>非甲烷总烃（</w:t>
                  </w:r>
                  <w:r>
                    <w:rPr>
                      <w:rFonts w:hint="default" w:ascii="Times New Roman" w:hAnsi="Times New Roman" w:eastAsia="宋体" w:cs="Times New Roman"/>
                      <w:color w:val="auto"/>
                      <w:szCs w:val="21"/>
                      <w:lang w:bidi="ar"/>
                    </w:rPr>
                    <w:t>mg/m³</w:t>
                  </w:r>
                  <w:r>
                    <w:rPr>
                      <w:rFonts w:hint="eastAsia" w:ascii="宋体" w:hAnsi="宋体" w:eastAsia="宋体" w:cs="宋体"/>
                      <w:color w:val="auto"/>
                      <w:szCs w:val="21"/>
                      <w:lang w:bidi="ar"/>
                    </w:rPr>
                    <w:t>）</w:t>
                  </w:r>
                </w:p>
              </w:tc>
              <w:tc>
                <w:tcPr>
                  <w:tcW w:w="1450" w:type="dxa"/>
                  <w:vMerge w:val="restart"/>
                  <w:tcBorders>
                    <w:top w:val="nil"/>
                    <w:left w:val="single" w:color="auto" w:sz="4" w:space="0"/>
                    <w:bottom w:val="single" w:color="auto" w:sz="4" w:space="0"/>
                    <w:right w:val="single" w:color="auto" w:sz="4" w:space="0"/>
                  </w:tcBorders>
                  <w:vAlign w:val="center"/>
                </w:tcPr>
                <w:p w14:paraId="3216F52E">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r>
                    <w:rPr>
                      <w:rFonts w:hint="eastAsia" w:ascii="宋体" w:hAnsi="宋体" w:eastAsia="宋体" w:cs="宋体"/>
                      <w:color w:val="auto"/>
                      <w:szCs w:val="21"/>
                      <w:lang w:bidi="ar"/>
                    </w:rPr>
                    <w:t>厂界上风向</w:t>
                  </w:r>
                </w:p>
              </w:tc>
              <w:tc>
                <w:tcPr>
                  <w:tcW w:w="1450" w:type="dxa"/>
                  <w:tcBorders>
                    <w:top w:val="single" w:color="auto" w:sz="4" w:space="0"/>
                    <w:left w:val="single" w:color="auto" w:sz="4" w:space="0"/>
                    <w:bottom w:val="single" w:color="auto" w:sz="4" w:space="0"/>
                    <w:right w:val="single" w:color="auto" w:sz="4" w:space="0"/>
                  </w:tcBorders>
                  <w:vAlign w:val="center"/>
                </w:tcPr>
                <w:p w14:paraId="35C8A5B3">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r>
                    <w:rPr>
                      <w:rFonts w:hint="eastAsia" w:ascii="宋体" w:hAnsi="宋体" w:eastAsia="宋体" w:cs="宋体"/>
                      <w:color w:val="auto"/>
                      <w:szCs w:val="21"/>
                      <w:lang w:bidi="ar"/>
                    </w:rPr>
                    <w:t>气</w:t>
                  </w:r>
                  <w:r>
                    <w:rPr>
                      <w:rFonts w:hint="default" w:ascii="Times New Roman" w:hAnsi="Times New Roman" w:eastAsia="宋体" w:cs="Times New Roman"/>
                      <w:color w:val="auto"/>
                      <w:szCs w:val="21"/>
                      <w:lang w:bidi="ar"/>
                    </w:rPr>
                    <w:t>251120119</w:t>
                  </w:r>
                </w:p>
              </w:tc>
              <w:tc>
                <w:tcPr>
                  <w:tcW w:w="1132" w:type="dxa"/>
                  <w:tcBorders>
                    <w:top w:val="single" w:color="auto" w:sz="4" w:space="0"/>
                    <w:left w:val="single" w:color="auto" w:sz="4" w:space="0"/>
                    <w:bottom w:val="single" w:color="auto" w:sz="4" w:space="0"/>
                    <w:right w:val="single" w:color="auto" w:sz="4" w:space="0"/>
                  </w:tcBorders>
                  <w:vAlign w:val="center"/>
                </w:tcPr>
                <w:p w14:paraId="6D89A282">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lang w:bidi="ar"/>
                    </w:rPr>
                    <w:t>1.10</w:t>
                  </w:r>
                </w:p>
              </w:tc>
            </w:tr>
            <w:tr w14:paraId="1CEA20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1265" w:type="dxa"/>
                  <w:vMerge w:val="continue"/>
                  <w:tcBorders>
                    <w:left w:val="single" w:color="auto" w:sz="4" w:space="0"/>
                    <w:right w:val="single" w:color="auto" w:sz="4" w:space="0"/>
                  </w:tcBorders>
                  <w:vAlign w:val="center"/>
                </w:tcPr>
                <w:p w14:paraId="441E0B66">
                  <w:pPr>
                    <w:keepNext w:val="0"/>
                    <w:keepLines w:val="0"/>
                    <w:suppressLineNumbers w:val="0"/>
                    <w:spacing w:before="0" w:beforeAutospacing="0" w:after="0" w:afterAutospacing="0"/>
                    <w:ind w:left="0" w:right="0"/>
                    <w:rPr>
                      <w:rFonts w:hint="default" w:ascii="Times New Roman" w:hAnsi="Times New Roman" w:cs="Times New Roman"/>
                      <w:color w:val="auto"/>
                      <w:sz w:val="20"/>
                      <w:szCs w:val="20"/>
                    </w:rPr>
                  </w:pPr>
                </w:p>
              </w:tc>
              <w:tc>
                <w:tcPr>
                  <w:tcW w:w="1269" w:type="dxa"/>
                  <w:tcBorders>
                    <w:top w:val="single" w:color="auto" w:sz="4" w:space="0"/>
                    <w:left w:val="single" w:color="auto" w:sz="4" w:space="0"/>
                    <w:bottom w:val="single" w:color="auto" w:sz="4" w:space="0"/>
                    <w:right w:val="single" w:color="auto" w:sz="4" w:space="0"/>
                  </w:tcBorders>
                  <w:vAlign w:val="center"/>
                </w:tcPr>
                <w:p w14:paraId="4FA82D82">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r>
                    <w:rPr>
                      <w:rFonts w:hint="eastAsia" w:ascii="宋体" w:hAnsi="宋体" w:eastAsia="宋体" w:cs="宋体"/>
                      <w:color w:val="auto"/>
                      <w:szCs w:val="21"/>
                      <w:lang w:bidi="ar"/>
                    </w:rPr>
                    <w:t>第二次</w:t>
                  </w:r>
                </w:p>
              </w:tc>
              <w:tc>
                <w:tcPr>
                  <w:tcW w:w="1609" w:type="dxa"/>
                  <w:vMerge w:val="continue"/>
                  <w:tcBorders>
                    <w:top w:val="nil"/>
                    <w:left w:val="single" w:color="auto" w:sz="4" w:space="0"/>
                    <w:bottom w:val="single" w:color="auto" w:sz="4" w:space="0"/>
                    <w:right w:val="single" w:color="auto" w:sz="4" w:space="0"/>
                  </w:tcBorders>
                  <w:vAlign w:val="center"/>
                </w:tcPr>
                <w:p w14:paraId="01E6ABD2">
                  <w:pPr>
                    <w:keepNext w:val="0"/>
                    <w:keepLines w:val="0"/>
                    <w:suppressLineNumbers w:val="0"/>
                    <w:spacing w:before="0" w:beforeAutospacing="0" w:after="0" w:afterAutospacing="0"/>
                    <w:ind w:left="0" w:right="0"/>
                    <w:rPr>
                      <w:rFonts w:hint="default" w:ascii="Times New Roman" w:hAnsi="Times New Roman" w:cs="Times New Roman"/>
                      <w:color w:val="auto"/>
                      <w:sz w:val="20"/>
                      <w:szCs w:val="20"/>
                    </w:rPr>
                  </w:pPr>
                </w:p>
              </w:tc>
              <w:tc>
                <w:tcPr>
                  <w:tcW w:w="1450" w:type="dxa"/>
                  <w:vMerge w:val="continue"/>
                  <w:tcBorders>
                    <w:top w:val="nil"/>
                    <w:left w:val="single" w:color="auto" w:sz="4" w:space="0"/>
                    <w:bottom w:val="single" w:color="auto" w:sz="4" w:space="0"/>
                    <w:right w:val="single" w:color="auto" w:sz="4" w:space="0"/>
                  </w:tcBorders>
                  <w:vAlign w:val="center"/>
                </w:tcPr>
                <w:p w14:paraId="095A57BB">
                  <w:pPr>
                    <w:keepNext w:val="0"/>
                    <w:keepLines w:val="0"/>
                    <w:suppressLineNumbers w:val="0"/>
                    <w:spacing w:before="0" w:beforeAutospacing="0" w:after="0" w:afterAutospacing="0"/>
                    <w:ind w:left="0" w:right="0"/>
                    <w:rPr>
                      <w:rFonts w:hint="default" w:ascii="Times New Roman" w:hAnsi="Times New Roman" w:cs="Times New Roman"/>
                      <w:color w:val="auto"/>
                      <w:sz w:val="20"/>
                      <w:szCs w:val="20"/>
                    </w:rPr>
                  </w:pPr>
                </w:p>
              </w:tc>
              <w:tc>
                <w:tcPr>
                  <w:tcW w:w="1450" w:type="dxa"/>
                  <w:tcBorders>
                    <w:top w:val="single" w:color="auto" w:sz="4" w:space="0"/>
                    <w:left w:val="single" w:color="auto" w:sz="4" w:space="0"/>
                    <w:bottom w:val="single" w:color="auto" w:sz="4" w:space="0"/>
                    <w:right w:val="single" w:color="auto" w:sz="4" w:space="0"/>
                  </w:tcBorders>
                  <w:vAlign w:val="center"/>
                </w:tcPr>
                <w:p w14:paraId="69E45C80">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r>
                    <w:rPr>
                      <w:rFonts w:hint="eastAsia" w:ascii="宋体" w:hAnsi="宋体" w:eastAsia="宋体" w:cs="宋体"/>
                      <w:color w:val="auto"/>
                      <w:szCs w:val="21"/>
                      <w:lang w:bidi="ar"/>
                    </w:rPr>
                    <w:t>气</w:t>
                  </w:r>
                  <w:r>
                    <w:rPr>
                      <w:rFonts w:hint="default" w:ascii="Times New Roman" w:hAnsi="Times New Roman" w:eastAsia="宋体" w:cs="Times New Roman"/>
                      <w:color w:val="auto"/>
                      <w:szCs w:val="21"/>
                      <w:lang w:bidi="ar"/>
                    </w:rPr>
                    <w:t>251120120</w:t>
                  </w:r>
                </w:p>
              </w:tc>
              <w:tc>
                <w:tcPr>
                  <w:tcW w:w="1132" w:type="dxa"/>
                  <w:tcBorders>
                    <w:top w:val="single" w:color="auto" w:sz="4" w:space="0"/>
                    <w:left w:val="single" w:color="auto" w:sz="4" w:space="0"/>
                    <w:bottom w:val="single" w:color="auto" w:sz="4" w:space="0"/>
                    <w:right w:val="single" w:color="auto" w:sz="4" w:space="0"/>
                  </w:tcBorders>
                  <w:vAlign w:val="center"/>
                </w:tcPr>
                <w:p w14:paraId="78BD9AD7">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lang w:bidi="ar"/>
                    </w:rPr>
                    <w:t>1.08</w:t>
                  </w:r>
                </w:p>
              </w:tc>
            </w:tr>
            <w:tr w14:paraId="0DED54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1265" w:type="dxa"/>
                  <w:vMerge w:val="continue"/>
                  <w:tcBorders>
                    <w:left w:val="single" w:color="auto" w:sz="4" w:space="0"/>
                    <w:right w:val="single" w:color="auto" w:sz="4" w:space="0"/>
                  </w:tcBorders>
                  <w:vAlign w:val="center"/>
                </w:tcPr>
                <w:p w14:paraId="5CF8DACB">
                  <w:pPr>
                    <w:keepNext w:val="0"/>
                    <w:keepLines w:val="0"/>
                    <w:suppressLineNumbers w:val="0"/>
                    <w:spacing w:before="0" w:beforeAutospacing="0" w:after="0" w:afterAutospacing="0"/>
                    <w:ind w:left="0" w:right="0"/>
                    <w:rPr>
                      <w:rFonts w:hint="default" w:ascii="Times New Roman" w:hAnsi="Times New Roman" w:cs="Times New Roman"/>
                      <w:color w:val="auto"/>
                      <w:sz w:val="20"/>
                      <w:szCs w:val="20"/>
                    </w:rPr>
                  </w:pPr>
                </w:p>
              </w:tc>
              <w:tc>
                <w:tcPr>
                  <w:tcW w:w="1269" w:type="dxa"/>
                  <w:tcBorders>
                    <w:top w:val="single" w:color="auto" w:sz="4" w:space="0"/>
                    <w:left w:val="single" w:color="auto" w:sz="4" w:space="0"/>
                    <w:bottom w:val="single" w:color="auto" w:sz="4" w:space="0"/>
                    <w:right w:val="single" w:color="auto" w:sz="4" w:space="0"/>
                  </w:tcBorders>
                  <w:vAlign w:val="center"/>
                </w:tcPr>
                <w:p w14:paraId="51EE8FC9">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r>
                    <w:rPr>
                      <w:rFonts w:hint="eastAsia" w:ascii="宋体" w:hAnsi="宋体" w:eastAsia="宋体" w:cs="宋体"/>
                      <w:color w:val="auto"/>
                      <w:szCs w:val="21"/>
                      <w:lang w:bidi="ar"/>
                    </w:rPr>
                    <w:t>第三次</w:t>
                  </w:r>
                </w:p>
              </w:tc>
              <w:tc>
                <w:tcPr>
                  <w:tcW w:w="1609" w:type="dxa"/>
                  <w:vMerge w:val="continue"/>
                  <w:tcBorders>
                    <w:top w:val="nil"/>
                    <w:left w:val="single" w:color="auto" w:sz="4" w:space="0"/>
                    <w:bottom w:val="single" w:color="auto" w:sz="4" w:space="0"/>
                    <w:right w:val="single" w:color="auto" w:sz="4" w:space="0"/>
                  </w:tcBorders>
                  <w:vAlign w:val="center"/>
                </w:tcPr>
                <w:p w14:paraId="480EFD64">
                  <w:pPr>
                    <w:keepNext w:val="0"/>
                    <w:keepLines w:val="0"/>
                    <w:suppressLineNumbers w:val="0"/>
                    <w:spacing w:before="0" w:beforeAutospacing="0" w:after="0" w:afterAutospacing="0"/>
                    <w:ind w:left="0" w:right="0"/>
                    <w:rPr>
                      <w:rFonts w:hint="default" w:ascii="Times New Roman" w:hAnsi="Times New Roman" w:cs="Times New Roman"/>
                      <w:color w:val="auto"/>
                      <w:sz w:val="20"/>
                      <w:szCs w:val="20"/>
                    </w:rPr>
                  </w:pPr>
                </w:p>
              </w:tc>
              <w:tc>
                <w:tcPr>
                  <w:tcW w:w="1450" w:type="dxa"/>
                  <w:vMerge w:val="continue"/>
                  <w:tcBorders>
                    <w:top w:val="nil"/>
                    <w:left w:val="single" w:color="auto" w:sz="4" w:space="0"/>
                    <w:bottom w:val="single" w:color="auto" w:sz="4" w:space="0"/>
                    <w:right w:val="single" w:color="auto" w:sz="4" w:space="0"/>
                  </w:tcBorders>
                  <w:vAlign w:val="center"/>
                </w:tcPr>
                <w:p w14:paraId="021BCA56">
                  <w:pPr>
                    <w:keepNext w:val="0"/>
                    <w:keepLines w:val="0"/>
                    <w:suppressLineNumbers w:val="0"/>
                    <w:spacing w:before="0" w:beforeAutospacing="0" w:after="0" w:afterAutospacing="0"/>
                    <w:ind w:left="0" w:right="0"/>
                    <w:rPr>
                      <w:rFonts w:hint="default" w:ascii="Times New Roman" w:hAnsi="Times New Roman" w:cs="Times New Roman"/>
                      <w:color w:val="auto"/>
                      <w:sz w:val="20"/>
                      <w:szCs w:val="20"/>
                    </w:rPr>
                  </w:pPr>
                </w:p>
              </w:tc>
              <w:tc>
                <w:tcPr>
                  <w:tcW w:w="1450" w:type="dxa"/>
                  <w:tcBorders>
                    <w:top w:val="single" w:color="auto" w:sz="4" w:space="0"/>
                    <w:left w:val="single" w:color="auto" w:sz="4" w:space="0"/>
                    <w:bottom w:val="single" w:color="auto" w:sz="4" w:space="0"/>
                    <w:right w:val="single" w:color="auto" w:sz="4" w:space="0"/>
                  </w:tcBorders>
                  <w:vAlign w:val="center"/>
                </w:tcPr>
                <w:p w14:paraId="7F2DF305">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r>
                    <w:rPr>
                      <w:rFonts w:hint="eastAsia" w:ascii="宋体" w:hAnsi="宋体" w:eastAsia="宋体" w:cs="宋体"/>
                      <w:color w:val="auto"/>
                      <w:szCs w:val="21"/>
                      <w:lang w:bidi="ar"/>
                    </w:rPr>
                    <w:t>气</w:t>
                  </w:r>
                  <w:r>
                    <w:rPr>
                      <w:rFonts w:hint="default" w:ascii="Times New Roman" w:hAnsi="Times New Roman" w:eastAsia="宋体" w:cs="Times New Roman"/>
                      <w:color w:val="auto"/>
                      <w:szCs w:val="21"/>
                      <w:lang w:bidi="ar"/>
                    </w:rPr>
                    <w:t>251120121</w:t>
                  </w:r>
                </w:p>
              </w:tc>
              <w:tc>
                <w:tcPr>
                  <w:tcW w:w="1132" w:type="dxa"/>
                  <w:tcBorders>
                    <w:top w:val="single" w:color="auto" w:sz="4" w:space="0"/>
                    <w:left w:val="single" w:color="auto" w:sz="4" w:space="0"/>
                    <w:bottom w:val="single" w:color="auto" w:sz="4" w:space="0"/>
                    <w:right w:val="single" w:color="auto" w:sz="4" w:space="0"/>
                  </w:tcBorders>
                  <w:vAlign w:val="center"/>
                </w:tcPr>
                <w:p w14:paraId="20D10659">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lang w:bidi="ar"/>
                    </w:rPr>
                    <w:t>1.08</w:t>
                  </w:r>
                </w:p>
              </w:tc>
            </w:tr>
            <w:tr w14:paraId="6EC15E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1265" w:type="dxa"/>
                  <w:vMerge w:val="continue"/>
                  <w:tcBorders>
                    <w:left w:val="single" w:color="auto" w:sz="4" w:space="0"/>
                    <w:right w:val="single" w:color="auto" w:sz="4" w:space="0"/>
                  </w:tcBorders>
                  <w:vAlign w:val="center"/>
                </w:tcPr>
                <w:p w14:paraId="64D85FF3">
                  <w:pPr>
                    <w:keepNext w:val="0"/>
                    <w:keepLines w:val="0"/>
                    <w:suppressLineNumbers w:val="0"/>
                    <w:spacing w:before="0" w:beforeAutospacing="0" w:after="0" w:afterAutospacing="0"/>
                    <w:ind w:left="0" w:right="0"/>
                    <w:rPr>
                      <w:rFonts w:hint="default" w:ascii="Times New Roman" w:hAnsi="Times New Roman" w:cs="Times New Roman"/>
                      <w:color w:val="auto"/>
                      <w:sz w:val="20"/>
                      <w:szCs w:val="20"/>
                    </w:rPr>
                  </w:pPr>
                </w:p>
              </w:tc>
              <w:tc>
                <w:tcPr>
                  <w:tcW w:w="1269" w:type="dxa"/>
                  <w:tcBorders>
                    <w:top w:val="single" w:color="auto" w:sz="4" w:space="0"/>
                    <w:left w:val="single" w:color="auto" w:sz="4" w:space="0"/>
                    <w:bottom w:val="single" w:color="auto" w:sz="4" w:space="0"/>
                    <w:right w:val="single" w:color="auto" w:sz="4" w:space="0"/>
                  </w:tcBorders>
                  <w:vAlign w:val="center"/>
                </w:tcPr>
                <w:p w14:paraId="5BE5DB32">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r>
                    <w:rPr>
                      <w:rFonts w:hint="eastAsia" w:ascii="宋体" w:hAnsi="宋体" w:eastAsia="宋体" w:cs="宋体"/>
                      <w:color w:val="auto"/>
                      <w:szCs w:val="21"/>
                      <w:lang w:bidi="ar"/>
                    </w:rPr>
                    <w:t>第一次</w:t>
                  </w:r>
                </w:p>
              </w:tc>
              <w:tc>
                <w:tcPr>
                  <w:tcW w:w="1609" w:type="dxa"/>
                  <w:vMerge w:val="continue"/>
                  <w:tcBorders>
                    <w:top w:val="nil"/>
                    <w:left w:val="single" w:color="auto" w:sz="4" w:space="0"/>
                    <w:bottom w:val="single" w:color="auto" w:sz="4" w:space="0"/>
                    <w:right w:val="single" w:color="auto" w:sz="4" w:space="0"/>
                  </w:tcBorders>
                  <w:vAlign w:val="center"/>
                </w:tcPr>
                <w:p w14:paraId="1C16F8EA">
                  <w:pPr>
                    <w:keepNext w:val="0"/>
                    <w:keepLines w:val="0"/>
                    <w:suppressLineNumbers w:val="0"/>
                    <w:spacing w:before="0" w:beforeAutospacing="0" w:after="0" w:afterAutospacing="0"/>
                    <w:ind w:left="0" w:right="0"/>
                    <w:rPr>
                      <w:rFonts w:hint="default" w:ascii="Times New Roman" w:hAnsi="Times New Roman" w:cs="Times New Roman"/>
                      <w:color w:val="auto"/>
                      <w:sz w:val="20"/>
                      <w:szCs w:val="20"/>
                    </w:rPr>
                  </w:pPr>
                </w:p>
              </w:tc>
              <w:tc>
                <w:tcPr>
                  <w:tcW w:w="1450" w:type="dxa"/>
                  <w:vMerge w:val="restart"/>
                  <w:tcBorders>
                    <w:top w:val="nil"/>
                    <w:left w:val="single" w:color="auto" w:sz="4" w:space="0"/>
                    <w:bottom w:val="single" w:color="auto" w:sz="4" w:space="0"/>
                    <w:right w:val="single" w:color="auto" w:sz="4" w:space="0"/>
                  </w:tcBorders>
                  <w:vAlign w:val="center"/>
                </w:tcPr>
                <w:p w14:paraId="3857E421">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r>
                    <w:rPr>
                      <w:rFonts w:hint="eastAsia" w:ascii="宋体" w:hAnsi="宋体" w:eastAsia="宋体" w:cs="宋体"/>
                      <w:color w:val="auto"/>
                      <w:szCs w:val="21"/>
                      <w:lang w:bidi="ar"/>
                    </w:rPr>
                    <w:t>厂界下风向</w:t>
                  </w:r>
                  <w:r>
                    <w:rPr>
                      <w:rFonts w:hint="default" w:ascii="Times New Roman" w:hAnsi="Times New Roman" w:eastAsia="宋体" w:cs="Times New Roman"/>
                      <w:color w:val="auto"/>
                      <w:szCs w:val="21"/>
                      <w:lang w:bidi="ar"/>
                    </w:rPr>
                    <w:t>1</w:t>
                  </w:r>
                </w:p>
              </w:tc>
              <w:tc>
                <w:tcPr>
                  <w:tcW w:w="1450" w:type="dxa"/>
                  <w:tcBorders>
                    <w:top w:val="single" w:color="auto" w:sz="4" w:space="0"/>
                    <w:left w:val="single" w:color="auto" w:sz="4" w:space="0"/>
                    <w:bottom w:val="single" w:color="auto" w:sz="4" w:space="0"/>
                    <w:right w:val="single" w:color="auto" w:sz="4" w:space="0"/>
                  </w:tcBorders>
                  <w:vAlign w:val="center"/>
                </w:tcPr>
                <w:p w14:paraId="1ED78588">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r>
                    <w:rPr>
                      <w:rFonts w:hint="eastAsia" w:ascii="宋体" w:hAnsi="宋体" w:eastAsia="宋体" w:cs="宋体"/>
                      <w:color w:val="auto"/>
                      <w:szCs w:val="21"/>
                      <w:lang w:bidi="ar"/>
                    </w:rPr>
                    <w:t>气</w:t>
                  </w:r>
                  <w:r>
                    <w:rPr>
                      <w:rFonts w:hint="default" w:ascii="Times New Roman" w:hAnsi="Times New Roman" w:eastAsia="宋体" w:cs="Times New Roman"/>
                      <w:color w:val="auto"/>
                      <w:szCs w:val="21"/>
                      <w:lang w:bidi="ar"/>
                    </w:rPr>
                    <w:t>251120122</w:t>
                  </w:r>
                </w:p>
              </w:tc>
              <w:tc>
                <w:tcPr>
                  <w:tcW w:w="1132" w:type="dxa"/>
                  <w:tcBorders>
                    <w:top w:val="single" w:color="auto" w:sz="4" w:space="0"/>
                    <w:left w:val="single" w:color="auto" w:sz="4" w:space="0"/>
                    <w:bottom w:val="single" w:color="auto" w:sz="4" w:space="0"/>
                    <w:right w:val="single" w:color="auto" w:sz="4" w:space="0"/>
                  </w:tcBorders>
                  <w:vAlign w:val="center"/>
                </w:tcPr>
                <w:p w14:paraId="4D2A6715">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lang w:bidi="ar"/>
                    </w:rPr>
                    <w:t>1.12</w:t>
                  </w:r>
                </w:p>
              </w:tc>
            </w:tr>
            <w:tr w14:paraId="41B891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1265" w:type="dxa"/>
                  <w:vMerge w:val="continue"/>
                  <w:tcBorders>
                    <w:left w:val="single" w:color="auto" w:sz="4" w:space="0"/>
                    <w:right w:val="single" w:color="auto" w:sz="4" w:space="0"/>
                  </w:tcBorders>
                  <w:vAlign w:val="center"/>
                </w:tcPr>
                <w:p w14:paraId="0B5B0393">
                  <w:pPr>
                    <w:keepNext w:val="0"/>
                    <w:keepLines w:val="0"/>
                    <w:suppressLineNumbers w:val="0"/>
                    <w:spacing w:before="0" w:beforeAutospacing="0" w:after="0" w:afterAutospacing="0"/>
                    <w:ind w:left="0" w:right="0"/>
                    <w:rPr>
                      <w:rFonts w:hint="default" w:ascii="Times New Roman" w:hAnsi="Times New Roman" w:cs="Times New Roman"/>
                      <w:color w:val="auto"/>
                      <w:sz w:val="20"/>
                      <w:szCs w:val="20"/>
                    </w:rPr>
                  </w:pPr>
                </w:p>
              </w:tc>
              <w:tc>
                <w:tcPr>
                  <w:tcW w:w="1269" w:type="dxa"/>
                  <w:tcBorders>
                    <w:top w:val="single" w:color="auto" w:sz="4" w:space="0"/>
                    <w:left w:val="single" w:color="auto" w:sz="4" w:space="0"/>
                    <w:bottom w:val="single" w:color="auto" w:sz="4" w:space="0"/>
                    <w:right w:val="single" w:color="auto" w:sz="4" w:space="0"/>
                  </w:tcBorders>
                  <w:vAlign w:val="center"/>
                </w:tcPr>
                <w:p w14:paraId="3DA4CC55">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r>
                    <w:rPr>
                      <w:rFonts w:hint="eastAsia" w:ascii="宋体" w:hAnsi="宋体" w:eastAsia="宋体" w:cs="宋体"/>
                      <w:color w:val="auto"/>
                      <w:szCs w:val="21"/>
                      <w:lang w:bidi="ar"/>
                    </w:rPr>
                    <w:t>第二次</w:t>
                  </w:r>
                </w:p>
              </w:tc>
              <w:tc>
                <w:tcPr>
                  <w:tcW w:w="1609" w:type="dxa"/>
                  <w:vMerge w:val="continue"/>
                  <w:tcBorders>
                    <w:top w:val="nil"/>
                    <w:left w:val="single" w:color="auto" w:sz="4" w:space="0"/>
                    <w:bottom w:val="single" w:color="auto" w:sz="4" w:space="0"/>
                    <w:right w:val="single" w:color="auto" w:sz="4" w:space="0"/>
                  </w:tcBorders>
                  <w:vAlign w:val="center"/>
                </w:tcPr>
                <w:p w14:paraId="763FBFFA">
                  <w:pPr>
                    <w:keepNext w:val="0"/>
                    <w:keepLines w:val="0"/>
                    <w:suppressLineNumbers w:val="0"/>
                    <w:spacing w:before="0" w:beforeAutospacing="0" w:after="0" w:afterAutospacing="0"/>
                    <w:ind w:left="0" w:right="0"/>
                    <w:rPr>
                      <w:rFonts w:hint="default" w:ascii="Times New Roman" w:hAnsi="Times New Roman" w:cs="Times New Roman"/>
                      <w:color w:val="auto"/>
                      <w:sz w:val="20"/>
                      <w:szCs w:val="20"/>
                    </w:rPr>
                  </w:pPr>
                </w:p>
              </w:tc>
              <w:tc>
                <w:tcPr>
                  <w:tcW w:w="1450" w:type="dxa"/>
                  <w:vMerge w:val="continue"/>
                  <w:tcBorders>
                    <w:top w:val="nil"/>
                    <w:left w:val="single" w:color="auto" w:sz="4" w:space="0"/>
                    <w:bottom w:val="single" w:color="auto" w:sz="4" w:space="0"/>
                    <w:right w:val="single" w:color="auto" w:sz="4" w:space="0"/>
                  </w:tcBorders>
                  <w:vAlign w:val="center"/>
                </w:tcPr>
                <w:p w14:paraId="06B4D7A1">
                  <w:pPr>
                    <w:keepNext w:val="0"/>
                    <w:keepLines w:val="0"/>
                    <w:suppressLineNumbers w:val="0"/>
                    <w:spacing w:before="0" w:beforeAutospacing="0" w:after="0" w:afterAutospacing="0"/>
                    <w:ind w:left="0" w:right="0"/>
                    <w:rPr>
                      <w:rFonts w:hint="default" w:ascii="Times New Roman" w:hAnsi="Times New Roman" w:cs="Times New Roman"/>
                      <w:color w:val="auto"/>
                      <w:sz w:val="20"/>
                      <w:szCs w:val="20"/>
                    </w:rPr>
                  </w:pPr>
                </w:p>
              </w:tc>
              <w:tc>
                <w:tcPr>
                  <w:tcW w:w="1450" w:type="dxa"/>
                  <w:tcBorders>
                    <w:top w:val="single" w:color="auto" w:sz="4" w:space="0"/>
                    <w:left w:val="single" w:color="auto" w:sz="4" w:space="0"/>
                    <w:bottom w:val="single" w:color="auto" w:sz="4" w:space="0"/>
                    <w:right w:val="single" w:color="auto" w:sz="4" w:space="0"/>
                  </w:tcBorders>
                  <w:vAlign w:val="center"/>
                </w:tcPr>
                <w:p w14:paraId="62C0EE10">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r>
                    <w:rPr>
                      <w:rFonts w:hint="eastAsia" w:ascii="宋体" w:hAnsi="宋体" w:eastAsia="宋体" w:cs="宋体"/>
                      <w:color w:val="auto"/>
                      <w:szCs w:val="21"/>
                      <w:lang w:bidi="ar"/>
                    </w:rPr>
                    <w:t>气</w:t>
                  </w:r>
                  <w:r>
                    <w:rPr>
                      <w:rFonts w:hint="default" w:ascii="Times New Roman" w:hAnsi="Times New Roman" w:eastAsia="宋体" w:cs="Times New Roman"/>
                      <w:color w:val="auto"/>
                      <w:szCs w:val="21"/>
                      <w:lang w:bidi="ar"/>
                    </w:rPr>
                    <w:t>251120123</w:t>
                  </w:r>
                </w:p>
              </w:tc>
              <w:tc>
                <w:tcPr>
                  <w:tcW w:w="1132" w:type="dxa"/>
                  <w:tcBorders>
                    <w:top w:val="single" w:color="auto" w:sz="4" w:space="0"/>
                    <w:left w:val="single" w:color="auto" w:sz="4" w:space="0"/>
                    <w:bottom w:val="single" w:color="auto" w:sz="4" w:space="0"/>
                    <w:right w:val="single" w:color="auto" w:sz="4" w:space="0"/>
                  </w:tcBorders>
                  <w:vAlign w:val="center"/>
                </w:tcPr>
                <w:p w14:paraId="1E79CCF5">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lang w:bidi="ar"/>
                    </w:rPr>
                    <w:t>1.09</w:t>
                  </w:r>
                </w:p>
              </w:tc>
            </w:tr>
            <w:tr w14:paraId="42C515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1265" w:type="dxa"/>
                  <w:vMerge w:val="continue"/>
                  <w:tcBorders>
                    <w:left w:val="single" w:color="auto" w:sz="4" w:space="0"/>
                    <w:right w:val="single" w:color="auto" w:sz="4" w:space="0"/>
                  </w:tcBorders>
                  <w:vAlign w:val="center"/>
                </w:tcPr>
                <w:p w14:paraId="60A41BFD">
                  <w:pPr>
                    <w:keepNext w:val="0"/>
                    <w:keepLines w:val="0"/>
                    <w:suppressLineNumbers w:val="0"/>
                    <w:spacing w:before="0" w:beforeAutospacing="0" w:after="0" w:afterAutospacing="0"/>
                    <w:ind w:left="0" w:right="0"/>
                    <w:rPr>
                      <w:rFonts w:hint="default" w:ascii="Times New Roman" w:hAnsi="Times New Roman" w:cs="Times New Roman"/>
                      <w:color w:val="auto"/>
                      <w:sz w:val="20"/>
                      <w:szCs w:val="20"/>
                    </w:rPr>
                  </w:pPr>
                </w:p>
              </w:tc>
              <w:tc>
                <w:tcPr>
                  <w:tcW w:w="1269" w:type="dxa"/>
                  <w:tcBorders>
                    <w:top w:val="single" w:color="auto" w:sz="4" w:space="0"/>
                    <w:left w:val="single" w:color="auto" w:sz="4" w:space="0"/>
                    <w:bottom w:val="single" w:color="auto" w:sz="4" w:space="0"/>
                    <w:right w:val="single" w:color="auto" w:sz="4" w:space="0"/>
                  </w:tcBorders>
                  <w:vAlign w:val="center"/>
                </w:tcPr>
                <w:p w14:paraId="12D2AEED">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r>
                    <w:rPr>
                      <w:rFonts w:hint="eastAsia" w:ascii="宋体" w:hAnsi="宋体" w:eastAsia="宋体" w:cs="宋体"/>
                      <w:color w:val="auto"/>
                      <w:szCs w:val="21"/>
                      <w:lang w:bidi="ar"/>
                    </w:rPr>
                    <w:t>第三次</w:t>
                  </w:r>
                </w:p>
              </w:tc>
              <w:tc>
                <w:tcPr>
                  <w:tcW w:w="1609" w:type="dxa"/>
                  <w:vMerge w:val="continue"/>
                  <w:tcBorders>
                    <w:top w:val="nil"/>
                    <w:left w:val="single" w:color="auto" w:sz="4" w:space="0"/>
                    <w:bottom w:val="single" w:color="auto" w:sz="4" w:space="0"/>
                    <w:right w:val="single" w:color="auto" w:sz="4" w:space="0"/>
                  </w:tcBorders>
                  <w:vAlign w:val="center"/>
                </w:tcPr>
                <w:p w14:paraId="378D70CC">
                  <w:pPr>
                    <w:keepNext w:val="0"/>
                    <w:keepLines w:val="0"/>
                    <w:suppressLineNumbers w:val="0"/>
                    <w:spacing w:before="0" w:beforeAutospacing="0" w:after="0" w:afterAutospacing="0"/>
                    <w:ind w:left="0" w:right="0"/>
                    <w:rPr>
                      <w:rFonts w:hint="default" w:ascii="Times New Roman" w:hAnsi="Times New Roman" w:cs="Times New Roman"/>
                      <w:color w:val="auto"/>
                      <w:sz w:val="20"/>
                      <w:szCs w:val="20"/>
                    </w:rPr>
                  </w:pPr>
                </w:p>
              </w:tc>
              <w:tc>
                <w:tcPr>
                  <w:tcW w:w="1450" w:type="dxa"/>
                  <w:vMerge w:val="continue"/>
                  <w:tcBorders>
                    <w:top w:val="nil"/>
                    <w:left w:val="single" w:color="auto" w:sz="4" w:space="0"/>
                    <w:bottom w:val="single" w:color="auto" w:sz="4" w:space="0"/>
                    <w:right w:val="single" w:color="auto" w:sz="4" w:space="0"/>
                  </w:tcBorders>
                  <w:vAlign w:val="center"/>
                </w:tcPr>
                <w:p w14:paraId="482D0C83">
                  <w:pPr>
                    <w:keepNext w:val="0"/>
                    <w:keepLines w:val="0"/>
                    <w:suppressLineNumbers w:val="0"/>
                    <w:spacing w:before="0" w:beforeAutospacing="0" w:after="0" w:afterAutospacing="0"/>
                    <w:ind w:left="0" w:right="0"/>
                    <w:rPr>
                      <w:rFonts w:hint="default" w:ascii="Times New Roman" w:hAnsi="Times New Roman" w:cs="Times New Roman"/>
                      <w:color w:val="auto"/>
                      <w:sz w:val="20"/>
                      <w:szCs w:val="20"/>
                    </w:rPr>
                  </w:pPr>
                </w:p>
              </w:tc>
              <w:tc>
                <w:tcPr>
                  <w:tcW w:w="1450" w:type="dxa"/>
                  <w:tcBorders>
                    <w:top w:val="single" w:color="auto" w:sz="4" w:space="0"/>
                    <w:left w:val="single" w:color="auto" w:sz="4" w:space="0"/>
                    <w:bottom w:val="single" w:color="auto" w:sz="4" w:space="0"/>
                    <w:right w:val="single" w:color="auto" w:sz="4" w:space="0"/>
                  </w:tcBorders>
                  <w:vAlign w:val="center"/>
                </w:tcPr>
                <w:p w14:paraId="0345E598">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r>
                    <w:rPr>
                      <w:rFonts w:hint="eastAsia" w:ascii="宋体" w:hAnsi="宋体" w:eastAsia="宋体" w:cs="宋体"/>
                      <w:color w:val="auto"/>
                      <w:szCs w:val="21"/>
                      <w:lang w:bidi="ar"/>
                    </w:rPr>
                    <w:t>气</w:t>
                  </w:r>
                  <w:r>
                    <w:rPr>
                      <w:rFonts w:hint="default" w:ascii="Times New Roman" w:hAnsi="Times New Roman" w:eastAsia="宋体" w:cs="Times New Roman"/>
                      <w:color w:val="auto"/>
                      <w:szCs w:val="21"/>
                      <w:lang w:bidi="ar"/>
                    </w:rPr>
                    <w:t>251120124</w:t>
                  </w:r>
                </w:p>
              </w:tc>
              <w:tc>
                <w:tcPr>
                  <w:tcW w:w="1132" w:type="dxa"/>
                  <w:tcBorders>
                    <w:top w:val="single" w:color="auto" w:sz="4" w:space="0"/>
                    <w:left w:val="single" w:color="auto" w:sz="4" w:space="0"/>
                    <w:bottom w:val="single" w:color="auto" w:sz="4" w:space="0"/>
                    <w:right w:val="single" w:color="auto" w:sz="4" w:space="0"/>
                  </w:tcBorders>
                  <w:vAlign w:val="center"/>
                </w:tcPr>
                <w:p w14:paraId="2B85B031">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lang w:bidi="ar"/>
                    </w:rPr>
                    <w:t>1.09</w:t>
                  </w:r>
                </w:p>
              </w:tc>
            </w:tr>
            <w:tr w14:paraId="24843A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1265" w:type="dxa"/>
                  <w:vMerge w:val="continue"/>
                  <w:tcBorders>
                    <w:left w:val="single" w:color="auto" w:sz="4" w:space="0"/>
                    <w:right w:val="single" w:color="auto" w:sz="4" w:space="0"/>
                  </w:tcBorders>
                  <w:vAlign w:val="center"/>
                </w:tcPr>
                <w:p w14:paraId="1DD9AE14">
                  <w:pPr>
                    <w:keepNext w:val="0"/>
                    <w:keepLines w:val="0"/>
                    <w:suppressLineNumbers w:val="0"/>
                    <w:spacing w:before="0" w:beforeAutospacing="0" w:after="0" w:afterAutospacing="0"/>
                    <w:ind w:left="0" w:right="0"/>
                    <w:rPr>
                      <w:rFonts w:hint="default" w:ascii="Times New Roman" w:hAnsi="Times New Roman" w:cs="Times New Roman"/>
                      <w:color w:val="auto"/>
                      <w:sz w:val="20"/>
                      <w:szCs w:val="20"/>
                    </w:rPr>
                  </w:pPr>
                </w:p>
              </w:tc>
              <w:tc>
                <w:tcPr>
                  <w:tcW w:w="1269" w:type="dxa"/>
                  <w:tcBorders>
                    <w:top w:val="single" w:color="auto" w:sz="4" w:space="0"/>
                    <w:left w:val="single" w:color="auto" w:sz="4" w:space="0"/>
                    <w:bottom w:val="single" w:color="auto" w:sz="4" w:space="0"/>
                    <w:right w:val="single" w:color="auto" w:sz="4" w:space="0"/>
                  </w:tcBorders>
                  <w:vAlign w:val="center"/>
                </w:tcPr>
                <w:p w14:paraId="42F7EA8A">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r>
                    <w:rPr>
                      <w:rFonts w:hint="eastAsia" w:ascii="宋体" w:hAnsi="宋体" w:eastAsia="宋体" w:cs="宋体"/>
                      <w:color w:val="auto"/>
                      <w:szCs w:val="21"/>
                      <w:lang w:bidi="ar"/>
                    </w:rPr>
                    <w:t>第一次</w:t>
                  </w:r>
                </w:p>
              </w:tc>
              <w:tc>
                <w:tcPr>
                  <w:tcW w:w="1609" w:type="dxa"/>
                  <w:vMerge w:val="continue"/>
                  <w:tcBorders>
                    <w:top w:val="nil"/>
                    <w:left w:val="single" w:color="auto" w:sz="4" w:space="0"/>
                    <w:bottom w:val="single" w:color="auto" w:sz="4" w:space="0"/>
                    <w:right w:val="single" w:color="auto" w:sz="4" w:space="0"/>
                  </w:tcBorders>
                  <w:vAlign w:val="center"/>
                </w:tcPr>
                <w:p w14:paraId="3BED8F98">
                  <w:pPr>
                    <w:keepNext w:val="0"/>
                    <w:keepLines w:val="0"/>
                    <w:suppressLineNumbers w:val="0"/>
                    <w:spacing w:before="0" w:beforeAutospacing="0" w:after="0" w:afterAutospacing="0"/>
                    <w:ind w:left="0" w:right="0"/>
                    <w:rPr>
                      <w:rFonts w:hint="default" w:ascii="Times New Roman" w:hAnsi="Times New Roman" w:cs="Times New Roman"/>
                      <w:color w:val="auto"/>
                      <w:sz w:val="20"/>
                      <w:szCs w:val="20"/>
                    </w:rPr>
                  </w:pPr>
                </w:p>
              </w:tc>
              <w:tc>
                <w:tcPr>
                  <w:tcW w:w="1450" w:type="dxa"/>
                  <w:vMerge w:val="restart"/>
                  <w:tcBorders>
                    <w:top w:val="nil"/>
                    <w:left w:val="single" w:color="auto" w:sz="4" w:space="0"/>
                    <w:bottom w:val="single" w:color="auto" w:sz="4" w:space="0"/>
                    <w:right w:val="single" w:color="auto" w:sz="4" w:space="0"/>
                  </w:tcBorders>
                  <w:vAlign w:val="center"/>
                </w:tcPr>
                <w:p w14:paraId="23AA7D6E">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r>
                    <w:rPr>
                      <w:rFonts w:hint="eastAsia" w:ascii="宋体" w:hAnsi="宋体" w:eastAsia="宋体" w:cs="宋体"/>
                      <w:color w:val="auto"/>
                      <w:szCs w:val="21"/>
                      <w:lang w:bidi="ar"/>
                    </w:rPr>
                    <w:t>厂界下风向</w:t>
                  </w:r>
                  <w:r>
                    <w:rPr>
                      <w:rFonts w:hint="default" w:ascii="Times New Roman" w:hAnsi="Times New Roman" w:eastAsia="宋体" w:cs="Times New Roman"/>
                      <w:color w:val="auto"/>
                      <w:szCs w:val="21"/>
                      <w:lang w:bidi="ar"/>
                    </w:rPr>
                    <w:t>2</w:t>
                  </w:r>
                </w:p>
              </w:tc>
              <w:tc>
                <w:tcPr>
                  <w:tcW w:w="1450" w:type="dxa"/>
                  <w:tcBorders>
                    <w:top w:val="single" w:color="auto" w:sz="4" w:space="0"/>
                    <w:left w:val="single" w:color="auto" w:sz="4" w:space="0"/>
                    <w:bottom w:val="single" w:color="auto" w:sz="4" w:space="0"/>
                    <w:right w:val="single" w:color="auto" w:sz="4" w:space="0"/>
                  </w:tcBorders>
                  <w:vAlign w:val="center"/>
                </w:tcPr>
                <w:p w14:paraId="5E9ABC2D">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r>
                    <w:rPr>
                      <w:rFonts w:hint="eastAsia" w:ascii="宋体" w:hAnsi="宋体" w:eastAsia="宋体" w:cs="宋体"/>
                      <w:color w:val="auto"/>
                      <w:szCs w:val="21"/>
                      <w:lang w:bidi="ar"/>
                    </w:rPr>
                    <w:t>气</w:t>
                  </w:r>
                  <w:r>
                    <w:rPr>
                      <w:rFonts w:hint="default" w:ascii="Times New Roman" w:hAnsi="Times New Roman" w:eastAsia="宋体" w:cs="Times New Roman"/>
                      <w:color w:val="auto"/>
                      <w:szCs w:val="21"/>
                      <w:lang w:bidi="ar"/>
                    </w:rPr>
                    <w:t>251120125</w:t>
                  </w:r>
                </w:p>
              </w:tc>
              <w:tc>
                <w:tcPr>
                  <w:tcW w:w="1132" w:type="dxa"/>
                  <w:tcBorders>
                    <w:top w:val="single" w:color="auto" w:sz="4" w:space="0"/>
                    <w:left w:val="single" w:color="auto" w:sz="4" w:space="0"/>
                    <w:bottom w:val="single" w:color="auto" w:sz="4" w:space="0"/>
                    <w:right w:val="single" w:color="auto" w:sz="4" w:space="0"/>
                  </w:tcBorders>
                  <w:vAlign w:val="center"/>
                </w:tcPr>
                <w:p w14:paraId="7131F4AB">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lang w:bidi="ar"/>
                    </w:rPr>
                    <w:t>1.06</w:t>
                  </w:r>
                </w:p>
              </w:tc>
            </w:tr>
            <w:tr w14:paraId="4EE471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1265" w:type="dxa"/>
                  <w:vMerge w:val="continue"/>
                  <w:tcBorders>
                    <w:left w:val="single" w:color="auto" w:sz="4" w:space="0"/>
                    <w:right w:val="single" w:color="auto" w:sz="4" w:space="0"/>
                  </w:tcBorders>
                  <w:vAlign w:val="center"/>
                </w:tcPr>
                <w:p w14:paraId="7FCB26A7">
                  <w:pPr>
                    <w:keepNext w:val="0"/>
                    <w:keepLines w:val="0"/>
                    <w:suppressLineNumbers w:val="0"/>
                    <w:spacing w:before="0" w:beforeAutospacing="0" w:after="0" w:afterAutospacing="0"/>
                    <w:ind w:left="0" w:right="0"/>
                    <w:rPr>
                      <w:rFonts w:hint="default" w:ascii="Times New Roman" w:hAnsi="Times New Roman" w:cs="Times New Roman"/>
                      <w:color w:val="auto"/>
                      <w:sz w:val="20"/>
                      <w:szCs w:val="20"/>
                    </w:rPr>
                  </w:pPr>
                </w:p>
              </w:tc>
              <w:tc>
                <w:tcPr>
                  <w:tcW w:w="1269" w:type="dxa"/>
                  <w:tcBorders>
                    <w:top w:val="single" w:color="auto" w:sz="4" w:space="0"/>
                    <w:left w:val="single" w:color="auto" w:sz="4" w:space="0"/>
                    <w:bottom w:val="single" w:color="auto" w:sz="4" w:space="0"/>
                    <w:right w:val="single" w:color="auto" w:sz="4" w:space="0"/>
                  </w:tcBorders>
                  <w:vAlign w:val="center"/>
                </w:tcPr>
                <w:p w14:paraId="2F96DCE4">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r>
                    <w:rPr>
                      <w:rFonts w:hint="eastAsia" w:ascii="宋体" w:hAnsi="宋体" w:eastAsia="宋体" w:cs="宋体"/>
                      <w:color w:val="auto"/>
                      <w:szCs w:val="21"/>
                      <w:lang w:bidi="ar"/>
                    </w:rPr>
                    <w:t>第二次</w:t>
                  </w:r>
                </w:p>
              </w:tc>
              <w:tc>
                <w:tcPr>
                  <w:tcW w:w="1609" w:type="dxa"/>
                  <w:vMerge w:val="continue"/>
                  <w:tcBorders>
                    <w:top w:val="nil"/>
                    <w:left w:val="single" w:color="auto" w:sz="4" w:space="0"/>
                    <w:bottom w:val="single" w:color="auto" w:sz="4" w:space="0"/>
                    <w:right w:val="single" w:color="auto" w:sz="4" w:space="0"/>
                  </w:tcBorders>
                  <w:vAlign w:val="center"/>
                </w:tcPr>
                <w:p w14:paraId="49A4D2FF">
                  <w:pPr>
                    <w:keepNext w:val="0"/>
                    <w:keepLines w:val="0"/>
                    <w:suppressLineNumbers w:val="0"/>
                    <w:spacing w:before="0" w:beforeAutospacing="0" w:after="0" w:afterAutospacing="0"/>
                    <w:ind w:left="0" w:right="0"/>
                    <w:rPr>
                      <w:rFonts w:hint="default" w:ascii="Times New Roman" w:hAnsi="Times New Roman" w:cs="Times New Roman"/>
                      <w:color w:val="auto"/>
                      <w:sz w:val="20"/>
                      <w:szCs w:val="20"/>
                    </w:rPr>
                  </w:pPr>
                </w:p>
              </w:tc>
              <w:tc>
                <w:tcPr>
                  <w:tcW w:w="1450" w:type="dxa"/>
                  <w:vMerge w:val="continue"/>
                  <w:tcBorders>
                    <w:top w:val="nil"/>
                    <w:left w:val="single" w:color="auto" w:sz="4" w:space="0"/>
                    <w:bottom w:val="single" w:color="auto" w:sz="4" w:space="0"/>
                    <w:right w:val="single" w:color="auto" w:sz="4" w:space="0"/>
                  </w:tcBorders>
                  <w:vAlign w:val="center"/>
                </w:tcPr>
                <w:p w14:paraId="533F5501">
                  <w:pPr>
                    <w:keepNext w:val="0"/>
                    <w:keepLines w:val="0"/>
                    <w:suppressLineNumbers w:val="0"/>
                    <w:spacing w:before="0" w:beforeAutospacing="0" w:after="0" w:afterAutospacing="0"/>
                    <w:ind w:left="0" w:right="0"/>
                    <w:rPr>
                      <w:rFonts w:hint="default" w:ascii="Times New Roman" w:hAnsi="Times New Roman" w:cs="Times New Roman"/>
                      <w:color w:val="auto"/>
                      <w:sz w:val="20"/>
                      <w:szCs w:val="20"/>
                    </w:rPr>
                  </w:pPr>
                </w:p>
              </w:tc>
              <w:tc>
                <w:tcPr>
                  <w:tcW w:w="1450" w:type="dxa"/>
                  <w:tcBorders>
                    <w:top w:val="single" w:color="auto" w:sz="4" w:space="0"/>
                    <w:left w:val="single" w:color="auto" w:sz="4" w:space="0"/>
                    <w:bottom w:val="single" w:color="auto" w:sz="4" w:space="0"/>
                    <w:right w:val="single" w:color="auto" w:sz="4" w:space="0"/>
                  </w:tcBorders>
                  <w:vAlign w:val="center"/>
                </w:tcPr>
                <w:p w14:paraId="3FACF56F">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r>
                    <w:rPr>
                      <w:rFonts w:hint="eastAsia" w:ascii="宋体" w:hAnsi="宋体" w:eastAsia="宋体" w:cs="宋体"/>
                      <w:color w:val="auto"/>
                      <w:szCs w:val="21"/>
                      <w:lang w:bidi="ar"/>
                    </w:rPr>
                    <w:t>气</w:t>
                  </w:r>
                  <w:r>
                    <w:rPr>
                      <w:rFonts w:hint="default" w:ascii="Times New Roman" w:hAnsi="Times New Roman" w:eastAsia="宋体" w:cs="Times New Roman"/>
                      <w:color w:val="auto"/>
                      <w:szCs w:val="21"/>
                      <w:lang w:bidi="ar"/>
                    </w:rPr>
                    <w:t>251120126</w:t>
                  </w:r>
                </w:p>
              </w:tc>
              <w:tc>
                <w:tcPr>
                  <w:tcW w:w="1132" w:type="dxa"/>
                  <w:tcBorders>
                    <w:top w:val="single" w:color="auto" w:sz="4" w:space="0"/>
                    <w:left w:val="single" w:color="auto" w:sz="4" w:space="0"/>
                    <w:bottom w:val="single" w:color="auto" w:sz="4" w:space="0"/>
                    <w:right w:val="single" w:color="auto" w:sz="4" w:space="0"/>
                  </w:tcBorders>
                  <w:vAlign w:val="center"/>
                </w:tcPr>
                <w:p w14:paraId="695076A4">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lang w:bidi="ar"/>
                    </w:rPr>
                    <w:t>1.10</w:t>
                  </w:r>
                </w:p>
              </w:tc>
            </w:tr>
            <w:tr w14:paraId="654CD3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1265" w:type="dxa"/>
                  <w:vMerge w:val="continue"/>
                  <w:tcBorders>
                    <w:left w:val="single" w:color="auto" w:sz="4" w:space="0"/>
                    <w:right w:val="single" w:color="auto" w:sz="4" w:space="0"/>
                  </w:tcBorders>
                  <w:vAlign w:val="center"/>
                </w:tcPr>
                <w:p w14:paraId="2CD6D85D">
                  <w:pPr>
                    <w:keepNext w:val="0"/>
                    <w:keepLines w:val="0"/>
                    <w:suppressLineNumbers w:val="0"/>
                    <w:spacing w:before="0" w:beforeAutospacing="0" w:after="0" w:afterAutospacing="0"/>
                    <w:ind w:left="0" w:right="0"/>
                    <w:rPr>
                      <w:rFonts w:hint="default" w:ascii="Times New Roman" w:hAnsi="Times New Roman" w:cs="Times New Roman"/>
                      <w:color w:val="auto"/>
                      <w:sz w:val="20"/>
                      <w:szCs w:val="20"/>
                    </w:rPr>
                  </w:pPr>
                </w:p>
              </w:tc>
              <w:tc>
                <w:tcPr>
                  <w:tcW w:w="1269" w:type="dxa"/>
                  <w:tcBorders>
                    <w:top w:val="single" w:color="auto" w:sz="4" w:space="0"/>
                    <w:left w:val="single" w:color="auto" w:sz="4" w:space="0"/>
                    <w:bottom w:val="single" w:color="auto" w:sz="4" w:space="0"/>
                    <w:right w:val="single" w:color="auto" w:sz="4" w:space="0"/>
                  </w:tcBorders>
                  <w:vAlign w:val="center"/>
                </w:tcPr>
                <w:p w14:paraId="49373BC8">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r>
                    <w:rPr>
                      <w:rFonts w:hint="eastAsia" w:ascii="宋体" w:hAnsi="宋体" w:eastAsia="宋体" w:cs="宋体"/>
                      <w:color w:val="auto"/>
                      <w:szCs w:val="21"/>
                      <w:lang w:bidi="ar"/>
                    </w:rPr>
                    <w:t>第三次</w:t>
                  </w:r>
                </w:p>
              </w:tc>
              <w:tc>
                <w:tcPr>
                  <w:tcW w:w="1609" w:type="dxa"/>
                  <w:vMerge w:val="continue"/>
                  <w:tcBorders>
                    <w:top w:val="nil"/>
                    <w:left w:val="single" w:color="auto" w:sz="4" w:space="0"/>
                    <w:bottom w:val="single" w:color="auto" w:sz="4" w:space="0"/>
                    <w:right w:val="single" w:color="auto" w:sz="4" w:space="0"/>
                  </w:tcBorders>
                  <w:vAlign w:val="center"/>
                </w:tcPr>
                <w:p w14:paraId="66FD32E2">
                  <w:pPr>
                    <w:keepNext w:val="0"/>
                    <w:keepLines w:val="0"/>
                    <w:suppressLineNumbers w:val="0"/>
                    <w:spacing w:before="0" w:beforeAutospacing="0" w:after="0" w:afterAutospacing="0"/>
                    <w:ind w:left="0" w:right="0"/>
                    <w:rPr>
                      <w:rFonts w:hint="default" w:ascii="Times New Roman" w:hAnsi="Times New Roman" w:cs="Times New Roman"/>
                      <w:color w:val="auto"/>
                      <w:sz w:val="20"/>
                      <w:szCs w:val="20"/>
                    </w:rPr>
                  </w:pPr>
                </w:p>
              </w:tc>
              <w:tc>
                <w:tcPr>
                  <w:tcW w:w="1450" w:type="dxa"/>
                  <w:vMerge w:val="continue"/>
                  <w:tcBorders>
                    <w:top w:val="nil"/>
                    <w:left w:val="single" w:color="auto" w:sz="4" w:space="0"/>
                    <w:bottom w:val="single" w:color="auto" w:sz="4" w:space="0"/>
                    <w:right w:val="single" w:color="auto" w:sz="4" w:space="0"/>
                  </w:tcBorders>
                  <w:vAlign w:val="center"/>
                </w:tcPr>
                <w:p w14:paraId="1A95F008">
                  <w:pPr>
                    <w:keepNext w:val="0"/>
                    <w:keepLines w:val="0"/>
                    <w:suppressLineNumbers w:val="0"/>
                    <w:spacing w:before="0" w:beforeAutospacing="0" w:after="0" w:afterAutospacing="0"/>
                    <w:ind w:left="0" w:right="0"/>
                    <w:rPr>
                      <w:rFonts w:hint="default" w:ascii="Times New Roman" w:hAnsi="Times New Roman" w:cs="Times New Roman"/>
                      <w:color w:val="auto"/>
                      <w:sz w:val="20"/>
                      <w:szCs w:val="20"/>
                    </w:rPr>
                  </w:pPr>
                </w:p>
              </w:tc>
              <w:tc>
                <w:tcPr>
                  <w:tcW w:w="1450" w:type="dxa"/>
                  <w:tcBorders>
                    <w:top w:val="single" w:color="auto" w:sz="4" w:space="0"/>
                    <w:left w:val="single" w:color="auto" w:sz="4" w:space="0"/>
                    <w:bottom w:val="single" w:color="auto" w:sz="4" w:space="0"/>
                    <w:right w:val="single" w:color="auto" w:sz="4" w:space="0"/>
                  </w:tcBorders>
                  <w:vAlign w:val="center"/>
                </w:tcPr>
                <w:p w14:paraId="052613EA">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r>
                    <w:rPr>
                      <w:rFonts w:hint="eastAsia" w:ascii="宋体" w:hAnsi="宋体" w:eastAsia="宋体" w:cs="宋体"/>
                      <w:color w:val="auto"/>
                      <w:szCs w:val="21"/>
                      <w:lang w:bidi="ar"/>
                    </w:rPr>
                    <w:t>气</w:t>
                  </w:r>
                  <w:r>
                    <w:rPr>
                      <w:rFonts w:hint="default" w:ascii="Times New Roman" w:hAnsi="Times New Roman" w:eastAsia="宋体" w:cs="Times New Roman"/>
                      <w:color w:val="auto"/>
                      <w:szCs w:val="21"/>
                      <w:lang w:bidi="ar"/>
                    </w:rPr>
                    <w:t>251120127</w:t>
                  </w:r>
                </w:p>
              </w:tc>
              <w:tc>
                <w:tcPr>
                  <w:tcW w:w="1132" w:type="dxa"/>
                  <w:tcBorders>
                    <w:top w:val="single" w:color="auto" w:sz="4" w:space="0"/>
                    <w:left w:val="single" w:color="auto" w:sz="4" w:space="0"/>
                    <w:bottom w:val="single" w:color="auto" w:sz="4" w:space="0"/>
                    <w:right w:val="single" w:color="auto" w:sz="4" w:space="0"/>
                  </w:tcBorders>
                  <w:vAlign w:val="center"/>
                </w:tcPr>
                <w:p w14:paraId="20D6A38B">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lang w:bidi="ar"/>
                    </w:rPr>
                    <w:t>1.08</w:t>
                  </w:r>
                </w:p>
              </w:tc>
            </w:tr>
            <w:tr w14:paraId="44AE67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1265" w:type="dxa"/>
                  <w:vMerge w:val="continue"/>
                  <w:tcBorders>
                    <w:left w:val="single" w:color="auto" w:sz="4" w:space="0"/>
                    <w:right w:val="single" w:color="auto" w:sz="4" w:space="0"/>
                  </w:tcBorders>
                  <w:vAlign w:val="center"/>
                </w:tcPr>
                <w:p w14:paraId="4F57E4D3">
                  <w:pPr>
                    <w:keepNext w:val="0"/>
                    <w:keepLines w:val="0"/>
                    <w:suppressLineNumbers w:val="0"/>
                    <w:spacing w:before="0" w:beforeAutospacing="0" w:after="0" w:afterAutospacing="0"/>
                    <w:ind w:left="0" w:right="0"/>
                    <w:rPr>
                      <w:rFonts w:hint="default" w:ascii="Times New Roman" w:hAnsi="Times New Roman" w:cs="Times New Roman"/>
                      <w:color w:val="auto"/>
                      <w:sz w:val="20"/>
                      <w:szCs w:val="20"/>
                    </w:rPr>
                  </w:pPr>
                </w:p>
              </w:tc>
              <w:tc>
                <w:tcPr>
                  <w:tcW w:w="1269" w:type="dxa"/>
                  <w:tcBorders>
                    <w:top w:val="single" w:color="auto" w:sz="4" w:space="0"/>
                    <w:left w:val="single" w:color="auto" w:sz="4" w:space="0"/>
                    <w:bottom w:val="single" w:color="auto" w:sz="4" w:space="0"/>
                    <w:right w:val="single" w:color="auto" w:sz="4" w:space="0"/>
                  </w:tcBorders>
                  <w:vAlign w:val="center"/>
                </w:tcPr>
                <w:p w14:paraId="79F23F87">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r>
                    <w:rPr>
                      <w:rFonts w:hint="eastAsia" w:ascii="宋体" w:hAnsi="宋体" w:eastAsia="宋体" w:cs="宋体"/>
                      <w:color w:val="auto"/>
                      <w:szCs w:val="21"/>
                      <w:lang w:bidi="ar"/>
                    </w:rPr>
                    <w:t>第一次</w:t>
                  </w:r>
                </w:p>
              </w:tc>
              <w:tc>
                <w:tcPr>
                  <w:tcW w:w="1609" w:type="dxa"/>
                  <w:vMerge w:val="continue"/>
                  <w:tcBorders>
                    <w:top w:val="nil"/>
                    <w:left w:val="single" w:color="auto" w:sz="4" w:space="0"/>
                    <w:bottom w:val="single" w:color="auto" w:sz="4" w:space="0"/>
                    <w:right w:val="single" w:color="auto" w:sz="4" w:space="0"/>
                  </w:tcBorders>
                  <w:vAlign w:val="center"/>
                </w:tcPr>
                <w:p w14:paraId="5D7C05D1">
                  <w:pPr>
                    <w:keepNext w:val="0"/>
                    <w:keepLines w:val="0"/>
                    <w:suppressLineNumbers w:val="0"/>
                    <w:spacing w:before="0" w:beforeAutospacing="0" w:after="0" w:afterAutospacing="0"/>
                    <w:ind w:left="0" w:right="0"/>
                    <w:rPr>
                      <w:rFonts w:hint="default" w:ascii="Times New Roman" w:hAnsi="Times New Roman" w:cs="Times New Roman"/>
                      <w:color w:val="auto"/>
                      <w:sz w:val="20"/>
                      <w:szCs w:val="20"/>
                    </w:rPr>
                  </w:pPr>
                </w:p>
              </w:tc>
              <w:tc>
                <w:tcPr>
                  <w:tcW w:w="1450" w:type="dxa"/>
                  <w:vMerge w:val="restart"/>
                  <w:tcBorders>
                    <w:top w:val="nil"/>
                    <w:left w:val="single" w:color="auto" w:sz="4" w:space="0"/>
                    <w:bottom w:val="single" w:color="auto" w:sz="4" w:space="0"/>
                    <w:right w:val="single" w:color="auto" w:sz="4" w:space="0"/>
                  </w:tcBorders>
                  <w:vAlign w:val="center"/>
                </w:tcPr>
                <w:p w14:paraId="79F812CA">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r>
                    <w:rPr>
                      <w:rFonts w:hint="eastAsia" w:ascii="宋体" w:hAnsi="宋体" w:eastAsia="宋体" w:cs="宋体"/>
                      <w:color w:val="auto"/>
                      <w:szCs w:val="21"/>
                      <w:lang w:bidi="ar"/>
                    </w:rPr>
                    <w:t>厂界下风向</w:t>
                  </w:r>
                  <w:r>
                    <w:rPr>
                      <w:rFonts w:hint="default" w:ascii="Times New Roman" w:hAnsi="Times New Roman" w:eastAsia="宋体" w:cs="Times New Roman"/>
                      <w:color w:val="auto"/>
                      <w:szCs w:val="21"/>
                      <w:lang w:bidi="ar"/>
                    </w:rPr>
                    <w:t>3</w:t>
                  </w:r>
                </w:p>
              </w:tc>
              <w:tc>
                <w:tcPr>
                  <w:tcW w:w="1450" w:type="dxa"/>
                  <w:tcBorders>
                    <w:top w:val="single" w:color="auto" w:sz="4" w:space="0"/>
                    <w:left w:val="single" w:color="auto" w:sz="4" w:space="0"/>
                    <w:bottom w:val="single" w:color="auto" w:sz="4" w:space="0"/>
                    <w:right w:val="single" w:color="auto" w:sz="4" w:space="0"/>
                  </w:tcBorders>
                  <w:vAlign w:val="center"/>
                </w:tcPr>
                <w:p w14:paraId="3CF5D6DB">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r>
                    <w:rPr>
                      <w:rFonts w:hint="eastAsia" w:ascii="宋体" w:hAnsi="宋体" w:eastAsia="宋体" w:cs="宋体"/>
                      <w:color w:val="auto"/>
                      <w:szCs w:val="21"/>
                      <w:lang w:bidi="ar"/>
                    </w:rPr>
                    <w:t>气</w:t>
                  </w:r>
                  <w:r>
                    <w:rPr>
                      <w:rFonts w:hint="default" w:ascii="Times New Roman" w:hAnsi="Times New Roman" w:eastAsia="宋体" w:cs="Times New Roman"/>
                      <w:color w:val="auto"/>
                      <w:szCs w:val="21"/>
                      <w:lang w:bidi="ar"/>
                    </w:rPr>
                    <w:t>251120128</w:t>
                  </w:r>
                </w:p>
              </w:tc>
              <w:tc>
                <w:tcPr>
                  <w:tcW w:w="1132" w:type="dxa"/>
                  <w:tcBorders>
                    <w:top w:val="single" w:color="auto" w:sz="4" w:space="0"/>
                    <w:left w:val="single" w:color="auto" w:sz="4" w:space="0"/>
                    <w:bottom w:val="single" w:color="auto" w:sz="4" w:space="0"/>
                    <w:right w:val="single" w:color="auto" w:sz="4" w:space="0"/>
                  </w:tcBorders>
                  <w:vAlign w:val="center"/>
                </w:tcPr>
                <w:p w14:paraId="3E40529F">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lang w:bidi="ar"/>
                    </w:rPr>
                    <w:t>1.08</w:t>
                  </w:r>
                </w:p>
              </w:tc>
            </w:tr>
            <w:tr w14:paraId="5A2D0E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1265" w:type="dxa"/>
                  <w:vMerge w:val="continue"/>
                  <w:tcBorders>
                    <w:left w:val="single" w:color="auto" w:sz="4" w:space="0"/>
                    <w:right w:val="single" w:color="auto" w:sz="4" w:space="0"/>
                  </w:tcBorders>
                  <w:vAlign w:val="center"/>
                </w:tcPr>
                <w:p w14:paraId="71B3DD32">
                  <w:pPr>
                    <w:keepNext w:val="0"/>
                    <w:keepLines w:val="0"/>
                    <w:suppressLineNumbers w:val="0"/>
                    <w:spacing w:before="0" w:beforeAutospacing="0" w:after="0" w:afterAutospacing="0"/>
                    <w:ind w:left="0" w:right="0"/>
                    <w:rPr>
                      <w:rFonts w:hint="default" w:ascii="Times New Roman" w:hAnsi="Times New Roman" w:cs="Times New Roman"/>
                      <w:color w:val="auto"/>
                      <w:sz w:val="20"/>
                      <w:szCs w:val="20"/>
                    </w:rPr>
                  </w:pPr>
                </w:p>
              </w:tc>
              <w:tc>
                <w:tcPr>
                  <w:tcW w:w="1269" w:type="dxa"/>
                  <w:tcBorders>
                    <w:top w:val="single" w:color="auto" w:sz="4" w:space="0"/>
                    <w:left w:val="single" w:color="auto" w:sz="4" w:space="0"/>
                    <w:bottom w:val="single" w:color="auto" w:sz="4" w:space="0"/>
                    <w:right w:val="single" w:color="auto" w:sz="4" w:space="0"/>
                  </w:tcBorders>
                  <w:vAlign w:val="center"/>
                </w:tcPr>
                <w:p w14:paraId="1C39BCF4">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r>
                    <w:rPr>
                      <w:rFonts w:hint="eastAsia" w:ascii="宋体" w:hAnsi="宋体" w:eastAsia="宋体" w:cs="宋体"/>
                      <w:color w:val="auto"/>
                      <w:szCs w:val="21"/>
                      <w:lang w:bidi="ar"/>
                    </w:rPr>
                    <w:t>第二次</w:t>
                  </w:r>
                </w:p>
              </w:tc>
              <w:tc>
                <w:tcPr>
                  <w:tcW w:w="1609" w:type="dxa"/>
                  <w:vMerge w:val="continue"/>
                  <w:tcBorders>
                    <w:top w:val="nil"/>
                    <w:left w:val="single" w:color="auto" w:sz="4" w:space="0"/>
                    <w:bottom w:val="single" w:color="auto" w:sz="4" w:space="0"/>
                    <w:right w:val="single" w:color="auto" w:sz="4" w:space="0"/>
                  </w:tcBorders>
                  <w:vAlign w:val="center"/>
                </w:tcPr>
                <w:p w14:paraId="6E12A4CB">
                  <w:pPr>
                    <w:keepNext w:val="0"/>
                    <w:keepLines w:val="0"/>
                    <w:suppressLineNumbers w:val="0"/>
                    <w:spacing w:before="0" w:beforeAutospacing="0" w:after="0" w:afterAutospacing="0"/>
                    <w:ind w:left="0" w:right="0"/>
                    <w:rPr>
                      <w:rFonts w:hint="default" w:ascii="Times New Roman" w:hAnsi="Times New Roman" w:cs="Times New Roman"/>
                      <w:color w:val="auto"/>
                      <w:sz w:val="20"/>
                      <w:szCs w:val="20"/>
                    </w:rPr>
                  </w:pPr>
                </w:p>
              </w:tc>
              <w:tc>
                <w:tcPr>
                  <w:tcW w:w="1450" w:type="dxa"/>
                  <w:vMerge w:val="continue"/>
                  <w:tcBorders>
                    <w:top w:val="nil"/>
                    <w:left w:val="single" w:color="auto" w:sz="4" w:space="0"/>
                    <w:bottom w:val="single" w:color="auto" w:sz="4" w:space="0"/>
                    <w:right w:val="single" w:color="auto" w:sz="4" w:space="0"/>
                  </w:tcBorders>
                  <w:vAlign w:val="center"/>
                </w:tcPr>
                <w:p w14:paraId="5C48FCE0">
                  <w:pPr>
                    <w:keepNext w:val="0"/>
                    <w:keepLines w:val="0"/>
                    <w:suppressLineNumbers w:val="0"/>
                    <w:spacing w:before="0" w:beforeAutospacing="0" w:after="0" w:afterAutospacing="0"/>
                    <w:ind w:left="0" w:right="0"/>
                    <w:rPr>
                      <w:rFonts w:hint="default" w:ascii="Times New Roman" w:hAnsi="Times New Roman" w:cs="Times New Roman"/>
                      <w:color w:val="auto"/>
                      <w:sz w:val="20"/>
                      <w:szCs w:val="20"/>
                    </w:rPr>
                  </w:pPr>
                </w:p>
              </w:tc>
              <w:tc>
                <w:tcPr>
                  <w:tcW w:w="1450" w:type="dxa"/>
                  <w:tcBorders>
                    <w:top w:val="single" w:color="auto" w:sz="4" w:space="0"/>
                    <w:left w:val="single" w:color="auto" w:sz="4" w:space="0"/>
                    <w:bottom w:val="single" w:color="auto" w:sz="4" w:space="0"/>
                    <w:right w:val="single" w:color="auto" w:sz="4" w:space="0"/>
                  </w:tcBorders>
                  <w:vAlign w:val="center"/>
                </w:tcPr>
                <w:p w14:paraId="771A0466">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r>
                    <w:rPr>
                      <w:rFonts w:hint="eastAsia" w:ascii="宋体" w:hAnsi="宋体" w:eastAsia="宋体" w:cs="宋体"/>
                      <w:color w:val="auto"/>
                      <w:szCs w:val="21"/>
                      <w:lang w:bidi="ar"/>
                    </w:rPr>
                    <w:t>气</w:t>
                  </w:r>
                  <w:r>
                    <w:rPr>
                      <w:rFonts w:hint="default" w:ascii="Times New Roman" w:hAnsi="Times New Roman" w:eastAsia="宋体" w:cs="Times New Roman"/>
                      <w:color w:val="auto"/>
                      <w:szCs w:val="21"/>
                      <w:lang w:bidi="ar"/>
                    </w:rPr>
                    <w:t>251120129</w:t>
                  </w:r>
                </w:p>
              </w:tc>
              <w:tc>
                <w:tcPr>
                  <w:tcW w:w="1132" w:type="dxa"/>
                  <w:tcBorders>
                    <w:top w:val="single" w:color="auto" w:sz="4" w:space="0"/>
                    <w:left w:val="single" w:color="auto" w:sz="4" w:space="0"/>
                    <w:bottom w:val="single" w:color="auto" w:sz="4" w:space="0"/>
                    <w:right w:val="single" w:color="auto" w:sz="4" w:space="0"/>
                  </w:tcBorders>
                  <w:vAlign w:val="center"/>
                </w:tcPr>
                <w:p w14:paraId="3C27B3E4">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lang w:bidi="ar"/>
                    </w:rPr>
                    <w:t>1.11</w:t>
                  </w:r>
                </w:p>
              </w:tc>
            </w:tr>
            <w:tr w14:paraId="33B409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1265" w:type="dxa"/>
                  <w:vMerge w:val="continue"/>
                  <w:tcBorders>
                    <w:left w:val="single" w:color="auto" w:sz="4" w:space="0"/>
                    <w:right w:val="single" w:color="auto" w:sz="4" w:space="0"/>
                  </w:tcBorders>
                  <w:vAlign w:val="center"/>
                </w:tcPr>
                <w:p w14:paraId="0DA3EB1B">
                  <w:pPr>
                    <w:keepNext w:val="0"/>
                    <w:keepLines w:val="0"/>
                    <w:suppressLineNumbers w:val="0"/>
                    <w:spacing w:before="0" w:beforeAutospacing="0" w:after="0" w:afterAutospacing="0"/>
                    <w:ind w:left="0" w:right="0"/>
                    <w:rPr>
                      <w:rFonts w:hint="default" w:ascii="Times New Roman" w:hAnsi="Times New Roman" w:cs="Times New Roman"/>
                      <w:color w:val="auto"/>
                      <w:sz w:val="20"/>
                      <w:szCs w:val="20"/>
                    </w:rPr>
                  </w:pPr>
                </w:p>
              </w:tc>
              <w:tc>
                <w:tcPr>
                  <w:tcW w:w="1269" w:type="dxa"/>
                  <w:tcBorders>
                    <w:top w:val="single" w:color="auto" w:sz="4" w:space="0"/>
                    <w:left w:val="single" w:color="auto" w:sz="4" w:space="0"/>
                    <w:bottom w:val="single" w:color="auto" w:sz="4" w:space="0"/>
                    <w:right w:val="single" w:color="auto" w:sz="4" w:space="0"/>
                  </w:tcBorders>
                  <w:vAlign w:val="center"/>
                </w:tcPr>
                <w:p w14:paraId="647F2853">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r>
                    <w:rPr>
                      <w:rFonts w:hint="eastAsia" w:ascii="宋体" w:hAnsi="宋体" w:eastAsia="宋体" w:cs="宋体"/>
                      <w:color w:val="auto"/>
                      <w:szCs w:val="21"/>
                      <w:lang w:bidi="ar"/>
                    </w:rPr>
                    <w:t>第三次</w:t>
                  </w:r>
                </w:p>
              </w:tc>
              <w:tc>
                <w:tcPr>
                  <w:tcW w:w="1609" w:type="dxa"/>
                  <w:vMerge w:val="continue"/>
                  <w:tcBorders>
                    <w:top w:val="nil"/>
                    <w:left w:val="single" w:color="auto" w:sz="4" w:space="0"/>
                    <w:bottom w:val="single" w:color="auto" w:sz="4" w:space="0"/>
                    <w:right w:val="single" w:color="auto" w:sz="4" w:space="0"/>
                  </w:tcBorders>
                  <w:vAlign w:val="center"/>
                </w:tcPr>
                <w:p w14:paraId="7D3AD6DC">
                  <w:pPr>
                    <w:keepNext w:val="0"/>
                    <w:keepLines w:val="0"/>
                    <w:suppressLineNumbers w:val="0"/>
                    <w:spacing w:before="0" w:beforeAutospacing="0" w:after="0" w:afterAutospacing="0"/>
                    <w:ind w:left="0" w:right="0"/>
                    <w:rPr>
                      <w:rFonts w:hint="default" w:ascii="Times New Roman" w:hAnsi="Times New Roman" w:cs="Times New Roman"/>
                      <w:color w:val="auto"/>
                      <w:sz w:val="20"/>
                      <w:szCs w:val="20"/>
                    </w:rPr>
                  </w:pPr>
                </w:p>
              </w:tc>
              <w:tc>
                <w:tcPr>
                  <w:tcW w:w="1450" w:type="dxa"/>
                  <w:vMerge w:val="continue"/>
                  <w:tcBorders>
                    <w:top w:val="nil"/>
                    <w:left w:val="single" w:color="auto" w:sz="4" w:space="0"/>
                    <w:bottom w:val="single" w:color="auto" w:sz="4" w:space="0"/>
                    <w:right w:val="single" w:color="auto" w:sz="4" w:space="0"/>
                  </w:tcBorders>
                  <w:vAlign w:val="center"/>
                </w:tcPr>
                <w:p w14:paraId="5551A68A">
                  <w:pPr>
                    <w:keepNext w:val="0"/>
                    <w:keepLines w:val="0"/>
                    <w:suppressLineNumbers w:val="0"/>
                    <w:spacing w:before="0" w:beforeAutospacing="0" w:after="0" w:afterAutospacing="0"/>
                    <w:ind w:left="0" w:right="0"/>
                    <w:rPr>
                      <w:rFonts w:hint="default" w:ascii="Times New Roman" w:hAnsi="Times New Roman" w:cs="Times New Roman"/>
                      <w:color w:val="auto"/>
                      <w:sz w:val="20"/>
                      <w:szCs w:val="20"/>
                    </w:rPr>
                  </w:pPr>
                </w:p>
              </w:tc>
              <w:tc>
                <w:tcPr>
                  <w:tcW w:w="1450" w:type="dxa"/>
                  <w:tcBorders>
                    <w:top w:val="single" w:color="auto" w:sz="4" w:space="0"/>
                    <w:left w:val="single" w:color="auto" w:sz="4" w:space="0"/>
                    <w:bottom w:val="single" w:color="auto" w:sz="4" w:space="0"/>
                    <w:right w:val="single" w:color="auto" w:sz="4" w:space="0"/>
                  </w:tcBorders>
                  <w:vAlign w:val="center"/>
                </w:tcPr>
                <w:p w14:paraId="386ED646">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r>
                    <w:rPr>
                      <w:rFonts w:hint="eastAsia" w:ascii="宋体" w:hAnsi="宋体" w:eastAsia="宋体" w:cs="宋体"/>
                      <w:color w:val="auto"/>
                      <w:szCs w:val="21"/>
                      <w:lang w:bidi="ar"/>
                    </w:rPr>
                    <w:t>气</w:t>
                  </w:r>
                  <w:r>
                    <w:rPr>
                      <w:rFonts w:hint="default" w:ascii="Times New Roman" w:hAnsi="Times New Roman" w:eastAsia="宋体" w:cs="Times New Roman"/>
                      <w:color w:val="auto"/>
                      <w:szCs w:val="21"/>
                      <w:lang w:bidi="ar"/>
                    </w:rPr>
                    <w:t>251120130</w:t>
                  </w:r>
                </w:p>
              </w:tc>
              <w:tc>
                <w:tcPr>
                  <w:tcW w:w="1132" w:type="dxa"/>
                  <w:tcBorders>
                    <w:top w:val="single" w:color="auto" w:sz="4" w:space="0"/>
                    <w:left w:val="single" w:color="auto" w:sz="4" w:space="0"/>
                    <w:bottom w:val="single" w:color="auto" w:sz="4" w:space="0"/>
                    <w:right w:val="single" w:color="auto" w:sz="4" w:space="0"/>
                  </w:tcBorders>
                  <w:vAlign w:val="center"/>
                </w:tcPr>
                <w:p w14:paraId="0F1F029D">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lang w:bidi="ar"/>
                    </w:rPr>
                    <w:t>1.06</w:t>
                  </w:r>
                </w:p>
              </w:tc>
            </w:tr>
            <w:tr w14:paraId="6C1B7B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1265" w:type="dxa"/>
                  <w:vMerge w:val="continue"/>
                  <w:tcBorders>
                    <w:left w:val="single" w:color="auto" w:sz="4" w:space="0"/>
                    <w:right w:val="single" w:color="auto" w:sz="4" w:space="0"/>
                  </w:tcBorders>
                  <w:vAlign w:val="center"/>
                </w:tcPr>
                <w:p w14:paraId="1CEE3247">
                  <w:pPr>
                    <w:keepNext w:val="0"/>
                    <w:keepLines w:val="0"/>
                    <w:suppressLineNumbers w:val="0"/>
                    <w:spacing w:before="0" w:beforeAutospacing="0" w:after="0" w:afterAutospacing="0"/>
                    <w:ind w:left="0" w:right="0"/>
                    <w:rPr>
                      <w:rFonts w:hint="default" w:ascii="Times New Roman" w:hAnsi="Times New Roman" w:cs="Times New Roman"/>
                      <w:color w:val="auto"/>
                      <w:sz w:val="20"/>
                      <w:szCs w:val="20"/>
                    </w:rPr>
                  </w:pPr>
                </w:p>
              </w:tc>
              <w:tc>
                <w:tcPr>
                  <w:tcW w:w="1269" w:type="dxa"/>
                  <w:tcBorders>
                    <w:top w:val="single" w:color="auto" w:sz="4" w:space="0"/>
                    <w:left w:val="single" w:color="auto" w:sz="4" w:space="0"/>
                    <w:bottom w:val="single" w:color="auto" w:sz="4" w:space="0"/>
                    <w:right w:val="single" w:color="auto" w:sz="4" w:space="0"/>
                  </w:tcBorders>
                  <w:vAlign w:val="center"/>
                </w:tcPr>
                <w:p w14:paraId="790B8B75">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r>
                    <w:rPr>
                      <w:rFonts w:hint="eastAsia" w:ascii="宋体" w:hAnsi="宋体" w:eastAsia="宋体" w:cs="宋体"/>
                      <w:color w:val="auto"/>
                      <w:szCs w:val="21"/>
                      <w:lang w:bidi="ar"/>
                    </w:rPr>
                    <w:t>第一次</w:t>
                  </w:r>
                </w:p>
              </w:tc>
              <w:tc>
                <w:tcPr>
                  <w:tcW w:w="1609" w:type="dxa"/>
                  <w:vMerge w:val="continue"/>
                  <w:tcBorders>
                    <w:top w:val="nil"/>
                    <w:left w:val="single" w:color="auto" w:sz="4" w:space="0"/>
                    <w:bottom w:val="single" w:color="auto" w:sz="4" w:space="0"/>
                    <w:right w:val="single" w:color="auto" w:sz="4" w:space="0"/>
                  </w:tcBorders>
                  <w:vAlign w:val="center"/>
                </w:tcPr>
                <w:p w14:paraId="4AF1F426">
                  <w:pPr>
                    <w:keepNext w:val="0"/>
                    <w:keepLines w:val="0"/>
                    <w:suppressLineNumbers w:val="0"/>
                    <w:spacing w:before="0" w:beforeAutospacing="0" w:after="0" w:afterAutospacing="0"/>
                    <w:ind w:left="0" w:right="0"/>
                    <w:rPr>
                      <w:rFonts w:hint="default" w:ascii="Times New Roman" w:hAnsi="Times New Roman" w:cs="Times New Roman"/>
                      <w:color w:val="auto"/>
                      <w:sz w:val="20"/>
                      <w:szCs w:val="20"/>
                    </w:rPr>
                  </w:pPr>
                </w:p>
              </w:tc>
              <w:tc>
                <w:tcPr>
                  <w:tcW w:w="1450" w:type="dxa"/>
                  <w:vMerge w:val="restart"/>
                  <w:tcBorders>
                    <w:top w:val="nil"/>
                    <w:left w:val="single" w:color="auto" w:sz="4" w:space="0"/>
                    <w:bottom w:val="single" w:color="auto" w:sz="4" w:space="0"/>
                    <w:right w:val="single" w:color="auto" w:sz="4" w:space="0"/>
                  </w:tcBorders>
                  <w:vAlign w:val="center"/>
                </w:tcPr>
                <w:p w14:paraId="3F303E54">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r>
                    <w:rPr>
                      <w:rFonts w:hint="eastAsia" w:ascii="宋体" w:hAnsi="宋体" w:eastAsia="宋体" w:cs="宋体"/>
                      <w:color w:val="auto"/>
                      <w:szCs w:val="21"/>
                      <w:lang w:bidi="ar"/>
                    </w:rPr>
                    <w:t>厂区内</w:t>
                  </w:r>
                </w:p>
                <w:p w14:paraId="38D40544">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r>
                    <w:rPr>
                      <w:rFonts w:hint="eastAsia" w:ascii="宋体" w:hAnsi="宋体" w:eastAsia="宋体" w:cs="宋体"/>
                      <w:color w:val="auto"/>
                      <w:szCs w:val="21"/>
                      <w:lang w:bidi="ar"/>
                    </w:rPr>
                    <w:t>（背胶车间外）</w:t>
                  </w:r>
                </w:p>
              </w:tc>
              <w:tc>
                <w:tcPr>
                  <w:tcW w:w="1450" w:type="dxa"/>
                  <w:tcBorders>
                    <w:top w:val="single" w:color="auto" w:sz="4" w:space="0"/>
                    <w:left w:val="single" w:color="auto" w:sz="4" w:space="0"/>
                    <w:bottom w:val="single" w:color="auto" w:sz="4" w:space="0"/>
                    <w:right w:val="single" w:color="auto" w:sz="4" w:space="0"/>
                  </w:tcBorders>
                  <w:vAlign w:val="center"/>
                </w:tcPr>
                <w:p w14:paraId="38DAD8FF">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r>
                    <w:rPr>
                      <w:rFonts w:hint="eastAsia" w:ascii="宋体" w:hAnsi="宋体" w:eastAsia="宋体" w:cs="宋体"/>
                      <w:color w:val="auto"/>
                      <w:szCs w:val="21"/>
                      <w:lang w:bidi="ar"/>
                    </w:rPr>
                    <w:t>气</w:t>
                  </w:r>
                  <w:r>
                    <w:rPr>
                      <w:rFonts w:hint="default" w:ascii="Times New Roman" w:hAnsi="Times New Roman" w:eastAsia="宋体" w:cs="Times New Roman"/>
                      <w:color w:val="auto"/>
                      <w:szCs w:val="21"/>
                      <w:lang w:bidi="ar"/>
                    </w:rPr>
                    <w:t>251120131</w:t>
                  </w:r>
                </w:p>
              </w:tc>
              <w:tc>
                <w:tcPr>
                  <w:tcW w:w="1132" w:type="dxa"/>
                  <w:tcBorders>
                    <w:top w:val="single" w:color="auto" w:sz="4" w:space="0"/>
                    <w:left w:val="single" w:color="auto" w:sz="4" w:space="0"/>
                    <w:bottom w:val="single" w:color="auto" w:sz="4" w:space="0"/>
                    <w:right w:val="single" w:color="auto" w:sz="4" w:space="0"/>
                  </w:tcBorders>
                  <w:vAlign w:val="center"/>
                </w:tcPr>
                <w:p w14:paraId="3EC37991">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lang w:bidi="ar"/>
                    </w:rPr>
                    <w:t>1.15</w:t>
                  </w:r>
                </w:p>
              </w:tc>
            </w:tr>
            <w:tr w14:paraId="451794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1265" w:type="dxa"/>
                  <w:vMerge w:val="continue"/>
                  <w:tcBorders>
                    <w:left w:val="single" w:color="auto" w:sz="4" w:space="0"/>
                    <w:right w:val="single" w:color="auto" w:sz="4" w:space="0"/>
                  </w:tcBorders>
                  <w:vAlign w:val="center"/>
                </w:tcPr>
                <w:p w14:paraId="7566766B">
                  <w:pPr>
                    <w:keepNext w:val="0"/>
                    <w:keepLines w:val="0"/>
                    <w:suppressLineNumbers w:val="0"/>
                    <w:spacing w:before="0" w:beforeAutospacing="0" w:after="0" w:afterAutospacing="0"/>
                    <w:ind w:left="0" w:right="0"/>
                    <w:rPr>
                      <w:rFonts w:hint="default" w:ascii="Times New Roman" w:hAnsi="Times New Roman" w:cs="Times New Roman"/>
                      <w:color w:val="auto"/>
                      <w:sz w:val="20"/>
                      <w:szCs w:val="20"/>
                    </w:rPr>
                  </w:pPr>
                </w:p>
              </w:tc>
              <w:tc>
                <w:tcPr>
                  <w:tcW w:w="1269" w:type="dxa"/>
                  <w:tcBorders>
                    <w:top w:val="single" w:color="auto" w:sz="4" w:space="0"/>
                    <w:left w:val="single" w:color="auto" w:sz="4" w:space="0"/>
                    <w:bottom w:val="single" w:color="auto" w:sz="4" w:space="0"/>
                    <w:right w:val="single" w:color="auto" w:sz="4" w:space="0"/>
                  </w:tcBorders>
                  <w:vAlign w:val="center"/>
                </w:tcPr>
                <w:p w14:paraId="76D9DDC7">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r>
                    <w:rPr>
                      <w:rFonts w:hint="eastAsia" w:ascii="宋体" w:hAnsi="宋体" w:eastAsia="宋体" w:cs="宋体"/>
                      <w:color w:val="auto"/>
                      <w:szCs w:val="21"/>
                      <w:lang w:bidi="ar"/>
                    </w:rPr>
                    <w:t>第二次</w:t>
                  </w:r>
                </w:p>
              </w:tc>
              <w:tc>
                <w:tcPr>
                  <w:tcW w:w="1609" w:type="dxa"/>
                  <w:vMerge w:val="continue"/>
                  <w:tcBorders>
                    <w:top w:val="nil"/>
                    <w:left w:val="single" w:color="auto" w:sz="4" w:space="0"/>
                    <w:bottom w:val="single" w:color="auto" w:sz="4" w:space="0"/>
                    <w:right w:val="single" w:color="auto" w:sz="4" w:space="0"/>
                  </w:tcBorders>
                  <w:vAlign w:val="center"/>
                </w:tcPr>
                <w:p w14:paraId="1F1E25B0">
                  <w:pPr>
                    <w:keepNext w:val="0"/>
                    <w:keepLines w:val="0"/>
                    <w:suppressLineNumbers w:val="0"/>
                    <w:spacing w:before="0" w:beforeAutospacing="0" w:after="0" w:afterAutospacing="0"/>
                    <w:ind w:left="0" w:right="0"/>
                    <w:rPr>
                      <w:rFonts w:hint="default" w:ascii="Times New Roman" w:hAnsi="Times New Roman" w:cs="Times New Roman"/>
                      <w:color w:val="auto"/>
                      <w:sz w:val="20"/>
                      <w:szCs w:val="20"/>
                    </w:rPr>
                  </w:pPr>
                </w:p>
              </w:tc>
              <w:tc>
                <w:tcPr>
                  <w:tcW w:w="1450" w:type="dxa"/>
                  <w:vMerge w:val="continue"/>
                  <w:tcBorders>
                    <w:top w:val="nil"/>
                    <w:left w:val="single" w:color="auto" w:sz="4" w:space="0"/>
                    <w:bottom w:val="single" w:color="auto" w:sz="4" w:space="0"/>
                    <w:right w:val="single" w:color="auto" w:sz="4" w:space="0"/>
                  </w:tcBorders>
                  <w:vAlign w:val="center"/>
                </w:tcPr>
                <w:p w14:paraId="6298974B">
                  <w:pPr>
                    <w:keepNext w:val="0"/>
                    <w:keepLines w:val="0"/>
                    <w:suppressLineNumbers w:val="0"/>
                    <w:spacing w:before="0" w:beforeAutospacing="0" w:after="0" w:afterAutospacing="0"/>
                    <w:ind w:left="0" w:right="0"/>
                    <w:rPr>
                      <w:rFonts w:hint="default" w:ascii="Times New Roman" w:hAnsi="Times New Roman" w:cs="Times New Roman"/>
                      <w:color w:val="auto"/>
                      <w:sz w:val="20"/>
                      <w:szCs w:val="20"/>
                    </w:rPr>
                  </w:pPr>
                </w:p>
              </w:tc>
              <w:tc>
                <w:tcPr>
                  <w:tcW w:w="1450" w:type="dxa"/>
                  <w:tcBorders>
                    <w:top w:val="single" w:color="auto" w:sz="4" w:space="0"/>
                    <w:left w:val="single" w:color="auto" w:sz="4" w:space="0"/>
                    <w:bottom w:val="single" w:color="auto" w:sz="4" w:space="0"/>
                    <w:right w:val="single" w:color="auto" w:sz="4" w:space="0"/>
                  </w:tcBorders>
                  <w:vAlign w:val="center"/>
                </w:tcPr>
                <w:p w14:paraId="12F10798">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r>
                    <w:rPr>
                      <w:rFonts w:hint="eastAsia" w:ascii="宋体" w:hAnsi="宋体" w:eastAsia="宋体" w:cs="宋体"/>
                      <w:color w:val="auto"/>
                      <w:szCs w:val="21"/>
                      <w:lang w:bidi="ar"/>
                    </w:rPr>
                    <w:t>气</w:t>
                  </w:r>
                  <w:r>
                    <w:rPr>
                      <w:rFonts w:hint="default" w:ascii="Times New Roman" w:hAnsi="Times New Roman" w:eastAsia="宋体" w:cs="Times New Roman"/>
                      <w:color w:val="auto"/>
                      <w:szCs w:val="21"/>
                      <w:lang w:bidi="ar"/>
                    </w:rPr>
                    <w:t>251120132</w:t>
                  </w:r>
                </w:p>
              </w:tc>
              <w:tc>
                <w:tcPr>
                  <w:tcW w:w="1132" w:type="dxa"/>
                  <w:tcBorders>
                    <w:top w:val="single" w:color="auto" w:sz="4" w:space="0"/>
                    <w:left w:val="single" w:color="auto" w:sz="4" w:space="0"/>
                    <w:bottom w:val="single" w:color="auto" w:sz="4" w:space="0"/>
                    <w:right w:val="single" w:color="auto" w:sz="4" w:space="0"/>
                  </w:tcBorders>
                  <w:vAlign w:val="center"/>
                </w:tcPr>
                <w:p w14:paraId="43BD028C">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lang w:bidi="ar"/>
                    </w:rPr>
                    <w:t>1.15</w:t>
                  </w:r>
                </w:p>
              </w:tc>
            </w:tr>
            <w:tr w14:paraId="0E5DD6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1265" w:type="dxa"/>
                  <w:vMerge w:val="continue"/>
                  <w:tcBorders>
                    <w:left w:val="single" w:color="auto" w:sz="4" w:space="0"/>
                    <w:right w:val="single" w:color="auto" w:sz="4" w:space="0"/>
                  </w:tcBorders>
                  <w:vAlign w:val="center"/>
                </w:tcPr>
                <w:p w14:paraId="34B3103A">
                  <w:pPr>
                    <w:keepNext w:val="0"/>
                    <w:keepLines w:val="0"/>
                    <w:suppressLineNumbers w:val="0"/>
                    <w:spacing w:before="0" w:beforeAutospacing="0" w:after="0" w:afterAutospacing="0"/>
                    <w:ind w:left="0" w:right="0"/>
                    <w:rPr>
                      <w:rFonts w:hint="default" w:ascii="Times New Roman" w:hAnsi="Times New Roman" w:cs="Times New Roman"/>
                      <w:color w:val="auto"/>
                      <w:sz w:val="20"/>
                      <w:szCs w:val="20"/>
                    </w:rPr>
                  </w:pPr>
                </w:p>
              </w:tc>
              <w:tc>
                <w:tcPr>
                  <w:tcW w:w="1269" w:type="dxa"/>
                  <w:tcBorders>
                    <w:top w:val="single" w:color="auto" w:sz="4" w:space="0"/>
                    <w:left w:val="single" w:color="auto" w:sz="4" w:space="0"/>
                    <w:bottom w:val="single" w:color="auto" w:sz="4" w:space="0"/>
                    <w:right w:val="single" w:color="auto" w:sz="4" w:space="0"/>
                  </w:tcBorders>
                  <w:vAlign w:val="center"/>
                </w:tcPr>
                <w:p w14:paraId="54823F8F">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r>
                    <w:rPr>
                      <w:rFonts w:hint="eastAsia" w:ascii="宋体" w:hAnsi="宋体" w:eastAsia="宋体" w:cs="宋体"/>
                      <w:color w:val="auto"/>
                      <w:szCs w:val="21"/>
                      <w:lang w:bidi="ar"/>
                    </w:rPr>
                    <w:t>第三次</w:t>
                  </w:r>
                </w:p>
              </w:tc>
              <w:tc>
                <w:tcPr>
                  <w:tcW w:w="1609" w:type="dxa"/>
                  <w:vMerge w:val="continue"/>
                  <w:tcBorders>
                    <w:top w:val="nil"/>
                    <w:left w:val="single" w:color="auto" w:sz="4" w:space="0"/>
                    <w:bottom w:val="single" w:color="auto" w:sz="4" w:space="0"/>
                    <w:right w:val="single" w:color="auto" w:sz="4" w:space="0"/>
                  </w:tcBorders>
                  <w:vAlign w:val="center"/>
                </w:tcPr>
                <w:p w14:paraId="23CD3D86">
                  <w:pPr>
                    <w:keepNext w:val="0"/>
                    <w:keepLines w:val="0"/>
                    <w:suppressLineNumbers w:val="0"/>
                    <w:spacing w:before="0" w:beforeAutospacing="0" w:after="0" w:afterAutospacing="0"/>
                    <w:ind w:left="0" w:right="0"/>
                    <w:rPr>
                      <w:rFonts w:hint="default" w:ascii="Times New Roman" w:hAnsi="Times New Roman" w:cs="Times New Roman"/>
                      <w:color w:val="auto"/>
                      <w:sz w:val="20"/>
                      <w:szCs w:val="20"/>
                    </w:rPr>
                  </w:pPr>
                </w:p>
              </w:tc>
              <w:tc>
                <w:tcPr>
                  <w:tcW w:w="1450" w:type="dxa"/>
                  <w:vMerge w:val="continue"/>
                  <w:tcBorders>
                    <w:top w:val="nil"/>
                    <w:left w:val="single" w:color="auto" w:sz="4" w:space="0"/>
                    <w:bottom w:val="single" w:color="auto" w:sz="4" w:space="0"/>
                    <w:right w:val="single" w:color="auto" w:sz="4" w:space="0"/>
                  </w:tcBorders>
                  <w:vAlign w:val="center"/>
                </w:tcPr>
                <w:p w14:paraId="13BDF8BA">
                  <w:pPr>
                    <w:keepNext w:val="0"/>
                    <w:keepLines w:val="0"/>
                    <w:suppressLineNumbers w:val="0"/>
                    <w:spacing w:before="0" w:beforeAutospacing="0" w:after="0" w:afterAutospacing="0"/>
                    <w:ind w:left="0" w:right="0"/>
                    <w:rPr>
                      <w:rFonts w:hint="default" w:ascii="Times New Roman" w:hAnsi="Times New Roman" w:cs="Times New Roman"/>
                      <w:color w:val="auto"/>
                      <w:sz w:val="20"/>
                      <w:szCs w:val="20"/>
                    </w:rPr>
                  </w:pPr>
                </w:p>
              </w:tc>
              <w:tc>
                <w:tcPr>
                  <w:tcW w:w="1450" w:type="dxa"/>
                  <w:tcBorders>
                    <w:top w:val="single" w:color="auto" w:sz="4" w:space="0"/>
                    <w:left w:val="single" w:color="auto" w:sz="4" w:space="0"/>
                    <w:bottom w:val="single" w:color="auto" w:sz="4" w:space="0"/>
                    <w:right w:val="single" w:color="auto" w:sz="4" w:space="0"/>
                  </w:tcBorders>
                  <w:vAlign w:val="center"/>
                </w:tcPr>
                <w:p w14:paraId="79FBB023">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r>
                    <w:rPr>
                      <w:rFonts w:hint="eastAsia" w:ascii="宋体" w:hAnsi="宋体" w:eastAsia="宋体" w:cs="宋体"/>
                      <w:color w:val="auto"/>
                      <w:szCs w:val="21"/>
                      <w:lang w:bidi="ar"/>
                    </w:rPr>
                    <w:t>气</w:t>
                  </w:r>
                  <w:r>
                    <w:rPr>
                      <w:rFonts w:hint="default" w:ascii="Times New Roman" w:hAnsi="Times New Roman" w:eastAsia="宋体" w:cs="Times New Roman"/>
                      <w:color w:val="auto"/>
                      <w:szCs w:val="21"/>
                      <w:lang w:bidi="ar"/>
                    </w:rPr>
                    <w:t>251120133</w:t>
                  </w:r>
                </w:p>
              </w:tc>
              <w:tc>
                <w:tcPr>
                  <w:tcW w:w="1132" w:type="dxa"/>
                  <w:tcBorders>
                    <w:top w:val="single" w:color="auto" w:sz="4" w:space="0"/>
                    <w:left w:val="single" w:color="auto" w:sz="4" w:space="0"/>
                    <w:bottom w:val="single" w:color="auto" w:sz="4" w:space="0"/>
                    <w:right w:val="single" w:color="auto" w:sz="4" w:space="0"/>
                  </w:tcBorders>
                  <w:vAlign w:val="center"/>
                </w:tcPr>
                <w:p w14:paraId="47A1343D">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lang w:bidi="ar"/>
                    </w:rPr>
                    <w:t>1.14</w:t>
                  </w:r>
                </w:p>
              </w:tc>
            </w:tr>
            <w:tr w14:paraId="05B926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1265" w:type="dxa"/>
                  <w:vMerge w:val="continue"/>
                  <w:tcBorders>
                    <w:left w:val="single" w:color="auto" w:sz="4" w:space="0"/>
                    <w:right w:val="single" w:color="auto" w:sz="4" w:space="0"/>
                  </w:tcBorders>
                  <w:vAlign w:val="center"/>
                </w:tcPr>
                <w:p w14:paraId="40E8005D">
                  <w:pPr>
                    <w:keepNext w:val="0"/>
                    <w:keepLines w:val="0"/>
                    <w:suppressLineNumbers w:val="0"/>
                    <w:spacing w:before="0" w:beforeAutospacing="0" w:after="0" w:afterAutospacing="0"/>
                    <w:ind w:left="0" w:right="0"/>
                    <w:rPr>
                      <w:rFonts w:hint="default" w:ascii="Times New Roman" w:hAnsi="Times New Roman" w:cs="Times New Roman"/>
                      <w:color w:val="auto"/>
                      <w:sz w:val="20"/>
                      <w:szCs w:val="20"/>
                    </w:rPr>
                  </w:pPr>
                </w:p>
              </w:tc>
              <w:tc>
                <w:tcPr>
                  <w:tcW w:w="1269" w:type="dxa"/>
                  <w:tcBorders>
                    <w:top w:val="single" w:color="auto" w:sz="4" w:space="0"/>
                    <w:left w:val="single" w:color="auto" w:sz="4" w:space="0"/>
                    <w:bottom w:val="single" w:color="auto" w:sz="4" w:space="0"/>
                    <w:right w:val="single" w:color="auto" w:sz="4" w:space="0"/>
                  </w:tcBorders>
                  <w:vAlign w:val="center"/>
                </w:tcPr>
                <w:p w14:paraId="1F62D05F">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r>
                    <w:rPr>
                      <w:rFonts w:hint="eastAsia" w:ascii="宋体" w:hAnsi="宋体" w:eastAsia="宋体" w:cs="宋体"/>
                      <w:color w:val="auto"/>
                      <w:szCs w:val="21"/>
                      <w:lang w:bidi="ar"/>
                    </w:rPr>
                    <w:t>第一次</w:t>
                  </w:r>
                </w:p>
              </w:tc>
              <w:tc>
                <w:tcPr>
                  <w:tcW w:w="1609" w:type="dxa"/>
                  <w:vMerge w:val="restart"/>
                  <w:tcBorders>
                    <w:top w:val="nil"/>
                    <w:left w:val="single" w:color="auto" w:sz="4" w:space="0"/>
                    <w:bottom w:val="single" w:color="auto" w:sz="4" w:space="0"/>
                    <w:right w:val="single" w:color="auto" w:sz="4" w:space="0"/>
                  </w:tcBorders>
                  <w:vAlign w:val="center"/>
                </w:tcPr>
                <w:p w14:paraId="2CE08529">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r>
                    <w:rPr>
                      <w:rFonts w:hint="eastAsia" w:ascii="宋体" w:hAnsi="宋体" w:eastAsia="宋体" w:cs="宋体"/>
                      <w:color w:val="auto"/>
                      <w:szCs w:val="21"/>
                      <w:lang w:bidi="ar"/>
                    </w:rPr>
                    <w:t>臭气浓度</w:t>
                  </w:r>
                </w:p>
                <w:p w14:paraId="3C6135A9">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r>
                    <w:rPr>
                      <w:rFonts w:hint="eastAsia" w:ascii="宋体" w:hAnsi="宋体" w:eastAsia="宋体" w:cs="宋体"/>
                      <w:color w:val="auto"/>
                      <w:szCs w:val="21"/>
                      <w:lang w:bidi="ar"/>
                    </w:rPr>
                    <w:t>（无量纲）</w:t>
                  </w:r>
                </w:p>
              </w:tc>
              <w:tc>
                <w:tcPr>
                  <w:tcW w:w="1450" w:type="dxa"/>
                  <w:vMerge w:val="restart"/>
                  <w:tcBorders>
                    <w:top w:val="nil"/>
                    <w:left w:val="single" w:color="auto" w:sz="4" w:space="0"/>
                    <w:bottom w:val="single" w:color="auto" w:sz="4" w:space="0"/>
                    <w:right w:val="single" w:color="auto" w:sz="4" w:space="0"/>
                  </w:tcBorders>
                  <w:vAlign w:val="center"/>
                </w:tcPr>
                <w:p w14:paraId="78545DF9">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r>
                    <w:rPr>
                      <w:rFonts w:hint="eastAsia" w:ascii="宋体" w:hAnsi="宋体" w:eastAsia="宋体" w:cs="宋体"/>
                      <w:color w:val="auto"/>
                      <w:szCs w:val="21"/>
                      <w:lang w:bidi="ar"/>
                    </w:rPr>
                    <w:t>厂界上风向</w:t>
                  </w:r>
                </w:p>
              </w:tc>
              <w:tc>
                <w:tcPr>
                  <w:tcW w:w="1450" w:type="dxa"/>
                  <w:tcBorders>
                    <w:top w:val="single" w:color="auto" w:sz="4" w:space="0"/>
                    <w:left w:val="single" w:color="auto" w:sz="4" w:space="0"/>
                    <w:bottom w:val="single" w:color="auto" w:sz="4" w:space="0"/>
                    <w:right w:val="single" w:color="auto" w:sz="4" w:space="0"/>
                  </w:tcBorders>
                  <w:vAlign w:val="center"/>
                </w:tcPr>
                <w:p w14:paraId="57A60188">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r>
                    <w:rPr>
                      <w:rFonts w:hint="eastAsia" w:ascii="宋体" w:hAnsi="宋体" w:eastAsia="宋体" w:cs="宋体"/>
                      <w:color w:val="auto"/>
                      <w:szCs w:val="21"/>
                      <w:lang w:bidi="ar"/>
                    </w:rPr>
                    <w:t>气</w:t>
                  </w:r>
                  <w:r>
                    <w:rPr>
                      <w:rFonts w:hint="default" w:ascii="Times New Roman" w:hAnsi="Times New Roman" w:eastAsia="宋体" w:cs="Times New Roman"/>
                      <w:color w:val="auto"/>
                      <w:szCs w:val="21"/>
                      <w:lang w:bidi="ar"/>
                    </w:rPr>
                    <w:t>251120134</w:t>
                  </w:r>
                </w:p>
              </w:tc>
              <w:tc>
                <w:tcPr>
                  <w:tcW w:w="1132" w:type="dxa"/>
                  <w:tcBorders>
                    <w:top w:val="single" w:color="auto" w:sz="4" w:space="0"/>
                    <w:left w:val="single" w:color="auto" w:sz="4" w:space="0"/>
                    <w:bottom w:val="single" w:color="auto" w:sz="4" w:space="0"/>
                    <w:right w:val="single" w:color="auto" w:sz="4" w:space="0"/>
                  </w:tcBorders>
                  <w:vAlign w:val="center"/>
                </w:tcPr>
                <w:p w14:paraId="1695A3C9">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lang w:bidi="ar"/>
                    </w:rPr>
                    <w:t>&lt;10</w:t>
                  </w:r>
                </w:p>
              </w:tc>
            </w:tr>
            <w:tr w14:paraId="115DE8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1265" w:type="dxa"/>
                  <w:vMerge w:val="continue"/>
                  <w:tcBorders>
                    <w:left w:val="single" w:color="auto" w:sz="4" w:space="0"/>
                    <w:right w:val="single" w:color="auto" w:sz="4" w:space="0"/>
                  </w:tcBorders>
                  <w:vAlign w:val="center"/>
                </w:tcPr>
                <w:p w14:paraId="2B0C4C81">
                  <w:pPr>
                    <w:keepNext w:val="0"/>
                    <w:keepLines w:val="0"/>
                    <w:suppressLineNumbers w:val="0"/>
                    <w:spacing w:before="0" w:beforeAutospacing="0" w:after="0" w:afterAutospacing="0"/>
                    <w:ind w:left="0" w:right="0"/>
                    <w:rPr>
                      <w:rFonts w:hint="default" w:ascii="Times New Roman" w:hAnsi="Times New Roman" w:cs="Times New Roman"/>
                      <w:color w:val="auto"/>
                      <w:sz w:val="20"/>
                      <w:szCs w:val="20"/>
                    </w:rPr>
                  </w:pPr>
                </w:p>
              </w:tc>
              <w:tc>
                <w:tcPr>
                  <w:tcW w:w="1269" w:type="dxa"/>
                  <w:tcBorders>
                    <w:top w:val="single" w:color="auto" w:sz="4" w:space="0"/>
                    <w:left w:val="single" w:color="auto" w:sz="4" w:space="0"/>
                    <w:bottom w:val="single" w:color="auto" w:sz="4" w:space="0"/>
                    <w:right w:val="single" w:color="auto" w:sz="4" w:space="0"/>
                  </w:tcBorders>
                  <w:vAlign w:val="center"/>
                </w:tcPr>
                <w:p w14:paraId="11DFAC0F">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r>
                    <w:rPr>
                      <w:rFonts w:hint="eastAsia" w:ascii="宋体" w:hAnsi="宋体" w:eastAsia="宋体" w:cs="宋体"/>
                      <w:color w:val="auto"/>
                      <w:szCs w:val="21"/>
                      <w:lang w:bidi="ar"/>
                    </w:rPr>
                    <w:t>第二次</w:t>
                  </w:r>
                </w:p>
              </w:tc>
              <w:tc>
                <w:tcPr>
                  <w:tcW w:w="1609" w:type="dxa"/>
                  <w:vMerge w:val="continue"/>
                  <w:tcBorders>
                    <w:top w:val="nil"/>
                    <w:left w:val="single" w:color="auto" w:sz="4" w:space="0"/>
                    <w:bottom w:val="single" w:color="auto" w:sz="4" w:space="0"/>
                    <w:right w:val="single" w:color="auto" w:sz="4" w:space="0"/>
                  </w:tcBorders>
                  <w:vAlign w:val="center"/>
                </w:tcPr>
                <w:p w14:paraId="4CD881F5">
                  <w:pPr>
                    <w:keepNext w:val="0"/>
                    <w:keepLines w:val="0"/>
                    <w:suppressLineNumbers w:val="0"/>
                    <w:spacing w:before="0" w:beforeAutospacing="0" w:after="0" w:afterAutospacing="0"/>
                    <w:ind w:left="0" w:right="0"/>
                    <w:rPr>
                      <w:rFonts w:hint="default" w:ascii="Times New Roman" w:hAnsi="Times New Roman" w:cs="Times New Roman"/>
                      <w:color w:val="auto"/>
                      <w:sz w:val="20"/>
                      <w:szCs w:val="20"/>
                    </w:rPr>
                  </w:pPr>
                </w:p>
              </w:tc>
              <w:tc>
                <w:tcPr>
                  <w:tcW w:w="1450" w:type="dxa"/>
                  <w:vMerge w:val="continue"/>
                  <w:tcBorders>
                    <w:top w:val="nil"/>
                    <w:left w:val="single" w:color="auto" w:sz="4" w:space="0"/>
                    <w:bottom w:val="single" w:color="auto" w:sz="4" w:space="0"/>
                    <w:right w:val="single" w:color="auto" w:sz="4" w:space="0"/>
                  </w:tcBorders>
                  <w:vAlign w:val="center"/>
                </w:tcPr>
                <w:p w14:paraId="28FE6AEC">
                  <w:pPr>
                    <w:keepNext w:val="0"/>
                    <w:keepLines w:val="0"/>
                    <w:suppressLineNumbers w:val="0"/>
                    <w:spacing w:before="0" w:beforeAutospacing="0" w:after="0" w:afterAutospacing="0"/>
                    <w:ind w:left="0" w:right="0"/>
                    <w:rPr>
                      <w:rFonts w:hint="default" w:ascii="Times New Roman" w:hAnsi="Times New Roman" w:cs="Times New Roman"/>
                      <w:color w:val="auto"/>
                      <w:sz w:val="20"/>
                      <w:szCs w:val="20"/>
                    </w:rPr>
                  </w:pPr>
                </w:p>
              </w:tc>
              <w:tc>
                <w:tcPr>
                  <w:tcW w:w="1450" w:type="dxa"/>
                  <w:tcBorders>
                    <w:top w:val="single" w:color="auto" w:sz="4" w:space="0"/>
                    <w:left w:val="single" w:color="auto" w:sz="4" w:space="0"/>
                    <w:bottom w:val="single" w:color="auto" w:sz="4" w:space="0"/>
                    <w:right w:val="single" w:color="auto" w:sz="4" w:space="0"/>
                  </w:tcBorders>
                  <w:vAlign w:val="center"/>
                </w:tcPr>
                <w:p w14:paraId="4358AE2F">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r>
                    <w:rPr>
                      <w:rFonts w:hint="eastAsia" w:ascii="宋体" w:hAnsi="宋体" w:eastAsia="宋体" w:cs="宋体"/>
                      <w:color w:val="auto"/>
                      <w:szCs w:val="21"/>
                      <w:lang w:bidi="ar"/>
                    </w:rPr>
                    <w:t>气</w:t>
                  </w:r>
                  <w:r>
                    <w:rPr>
                      <w:rFonts w:hint="default" w:ascii="Times New Roman" w:hAnsi="Times New Roman" w:eastAsia="宋体" w:cs="Times New Roman"/>
                      <w:color w:val="auto"/>
                      <w:szCs w:val="21"/>
                      <w:lang w:bidi="ar"/>
                    </w:rPr>
                    <w:t>251120135</w:t>
                  </w:r>
                </w:p>
              </w:tc>
              <w:tc>
                <w:tcPr>
                  <w:tcW w:w="1132" w:type="dxa"/>
                  <w:tcBorders>
                    <w:top w:val="single" w:color="auto" w:sz="4" w:space="0"/>
                    <w:left w:val="single" w:color="auto" w:sz="4" w:space="0"/>
                    <w:bottom w:val="single" w:color="auto" w:sz="4" w:space="0"/>
                    <w:right w:val="single" w:color="auto" w:sz="4" w:space="0"/>
                  </w:tcBorders>
                  <w:vAlign w:val="center"/>
                </w:tcPr>
                <w:p w14:paraId="3C1F21BB">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lang w:bidi="ar"/>
                    </w:rPr>
                    <w:t>&lt;10</w:t>
                  </w:r>
                </w:p>
              </w:tc>
            </w:tr>
            <w:tr w14:paraId="56AFD1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1265" w:type="dxa"/>
                  <w:vMerge w:val="continue"/>
                  <w:tcBorders>
                    <w:left w:val="single" w:color="auto" w:sz="4" w:space="0"/>
                    <w:right w:val="single" w:color="auto" w:sz="4" w:space="0"/>
                  </w:tcBorders>
                  <w:vAlign w:val="center"/>
                </w:tcPr>
                <w:p w14:paraId="5ABD14A6">
                  <w:pPr>
                    <w:keepNext w:val="0"/>
                    <w:keepLines w:val="0"/>
                    <w:suppressLineNumbers w:val="0"/>
                    <w:spacing w:before="0" w:beforeAutospacing="0" w:after="0" w:afterAutospacing="0"/>
                    <w:ind w:left="0" w:right="0"/>
                    <w:rPr>
                      <w:rFonts w:hint="default" w:ascii="Times New Roman" w:hAnsi="Times New Roman" w:cs="Times New Roman"/>
                      <w:color w:val="auto"/>
                      <w:sz w:val="20"/>
                      <w:szCs w:val="20"/>
                    </w:rPr>
                  </w:pPr>
                </w:p>
              </w:tc>
              <w:tc>
                <w:tcPr>
                  <w:tcW w:w="1269" w:type="dxa"/>
                  <w:tcBorders>
                    <w:top w:val="single" w:color="auto" w:sz="4" w:space="0"/>
                    <w:left w:val="single" w:color="auto" w:sz="4" w:space="0"/>
                    <w:bottom w:val="single" w:color="auto" w:sz="4" w:space="0"/>
                    <w:right w:val="single" w:color="auto" w:sz="4" w:space="0"/>
                  </w:tcBorders>
                  <w:vAlign w:val="center"/>
                </w:tcPr>
                <w:p w14:paraId="22CE14A0">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r>
                    <w:rPr>
                      <w:rFonts w:hint="eastAsia" w:ascii="宋体" w:hAnsi="宋体" w:eastAsia="宋体" w:cs="宋体"/>
                      <w:color w:val="auto"/>
                      <w:szCs w:val="21"/>
                      <w:lang w:bidi="ar"/>
                    </w:rPr>
                    <w:t>第三次</w:t>
                  </w:r>
                </w:p>
              </w:tc>
              <w:tc>
                <w:tcPr>
                  <w:tcW w:w="1609" w:type="dxa"/>
                  <w:vMerge w:val="continue"/>
                  <w:tcBorders>
                    <w:top w:val="nil"/>
                    <w:left w:val="single" w:color="auto" w:sz="4" w:space="0"/>
                    <w:bottom w:val="single" w:color="auto" w:sz="4" w:space="0"/>
                    <w:right w:val="single" w:color="auto" w:sz="4" w:space="0"/>
                  </w:tcBorders>
                  <w:vAlign w:val="center"/>
                </w:tcPr>
                <w:p w14:paraId="56F9FC50">
                  <w:pPr>
                    <w:keepNext w:val="0"/>
                    <w:keepLines w:val="0"/>
                    <w:suppressLineNumbers w:val="0"/>
                    <w:spacing w:before="0" w:beforeAutospacing="0" w:after="0" w:afterAutospacing="0"/>
                    <w:ind w:left="0" w:right="0"/>
                    <w:rPr>
                      <w:rFonts w:hint="default" w:ascii="Times New Roman" w:hAnsi="Times New Roman" w:cs="Times New Roman"/>
                      <w:color w:val="auto"/>
                      <w:sz w:val="20"/>
                      <w:szCs w:val="20"/>
                    </w:rPr>
                  </w:pPr>
                </w:p>
              </w:tc>
              <w:tc>
                <w:tcPr>
                  <w:tcW w:w="1450" w:type="dxa"/>
                  <w:vMerge w:val="continue"/>
                  <w:tcBorders>
                    <w:top w:val="nil"/>
                    <w:left w:val="single" w:color="auto" w:sz="4" w:space="0"/>
                    <w:bottom w:val="single" w:color="auto" w:sz="4" w:space="0"/>
                    <w:right w:val="single" w:color="auto" w:sz="4" w:space="0"/>
                  </w:tcBorders>
                  <w:vAlign w:val="center"/>
                </w:tcPr>
                <w:p w14:paraId="4F51801F">
                  <w:pPr>
                    <w:keepNext w:val="0"/>
                    <w:keepLines w:val="0"/>
                    <w:suppressLineNumbers w:val="0"/>
                    <w:spacing w:before="0" w:beforeAutospacing="0" w:after="0" w:afterAutospacing="0"/>
                    <w:ind w:left="0" w:right="0"/>
                    <w:rPr>
                      <w:rFonts w:hint="default" w:ascii="Times New Roman" w:hAnsi="Times New Roman" w:cs="Times New Roman"/>
                      <w:color w:val="auto"/>
                      <w:sz w:val="20"/>
                      <w:szCs w:val="20"/>
                    </w:rPr>
                  </w:pPr>
                </w:p>
              </w:tc>
              <w:tc>
                <w:tcPr>
                  <w:tcW w:w="1450" w:type="dxa"/>
                  <w:tcBorders>
                    <w:top w:val="single" w:color="auto" w:sz="4" w:space="0"/>
                    <w:left w:val="single" w:color="auto" w:sz="4" w:space="0"/>
                    <w:bottom w:val="single" w:color="auto" w:sz="4" w:space="0"/>
                    <w:right w:val="single" w:color="auto" w:sz="4" w:space="0"/>
                  </w:tcBorders>
                  <w:vAlign w:val="center"/>
                </w:tcPr>
                <w:p w14:paraId="04AD1728">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r>
                    <w:rPr>
                      <w:rFonts w:hint="eastAsia" w:ascii="宋体" w:hAnsi="宋体" w:eastAsia="宋体" w:cs="宋体"/>
                      <w:color w:val="auto"/>
                      <w:szCs w:val="21"/>
                      <w:lang w:bidi="ar"/>
                    </w:rPr>
                    <w:t>气</w:t>
                  </w:r>
                  <w:r>
                    <w:rPr>
                      <w:rFonts w:hint="default" w:ascii="Times New Roman" w:hAnsi="Times New Roman" w:eastAsia="宋体" w:cs="Times New Roman"/>
                      <w:color w:val="auto"/>
                      <w:szCs w:val="21"/>
                      <w:lang w:bidi="ar"/>
                    </w:rPr>
                    <w:t>251120136</w:t>
                  </w:r>
                </w:p>
              </w:tc>
              <w:tc>
                <w:tcPr>
                  <w:tcW w:w="1132" w:type="dxa"/>
                  <w:tcBorders>
                    <w:top w:val="single" w:color="auto" w:sz="4" w:space="0"/>
                    <w:left w:val="single" w:color="auto" w:sz="4" w:space="0"/>
                    <w:bottom w:val="single" w:color="auto" w:sz="4" w:space="0"/>
                    <w:right w:val="single" w:color="auto" w:sz="4" w:space="0"/>
                  </w:tcBorders>
                  <w:vAlign w:val="center"/>
                </w:tcPr>
                <w:p w14:paraId="7F5E109A">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lang w:bidi="ar"/>
                    </w:rPr>
                    <w:t>&lt;10</w:t>
                  </w:r>
                </w:p>
              </w:tc>
            </w:tr>
            <w:tr w14:paraId="2E7139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1265" w:type="dxa"/>
                  <w:vMerge w:val="continue"/>
                  <w:tcBorders>
                    <w:left w:val="single" w:color="auto" w:sz="4" w:space="0"/>
                    <w:right w:val="single" w:color="auto" w:sz="4" w:space="0"/>
                  </w:tcBorders>
                  <w:vAlign w:val="center"/>
                </w:tcPr>
                <w:p w14:paraId="31F91859">
                  <w:pPr>
                    <w:keepNext w:val="0"/>
                    <w:keepLines w:val="0"/>
                    <w:suppressLineNumbers w:val="0"/>
                    <w:spacing w:before="0" w:beforeAutospacing="0" w:after="0" w:afterAutospacing="0"/>
                    <w:ind w:left="0" w:right="0"/>
                    <w:rPr>
                      <w:rFonts w:hint="default" w:ascii="Times New Roman" w:hAnsi="Times New Roman" w:cs="Times New Roman"/>
                      <w:color w:val="auto"/>
                      <w:sz w:val="20"/>
                      <w:szCs w:val="20"/>
                    </w:rPr>
                  </w:pPr>
                </w:p>
              </w:tc>
              <w:tc>
                <w:tcPr>
                  <w:tcW w:w="1269" w:type="dxa"/>
                  <w:tcBorders>
                    <w:top w:val="single" w:color="auto" w:sz="4" w:space="0"/>
                    <w:left w:val="single" w:color="auto" w:sz="4" w:space="0"/>
                    <w:bottom w:val="single" w:color="auto" w:sz="4" w:space="0"/>
                    <w:right w:val="single" w:color="auto" w:sz="4" w:space="0"/>
                  </w:tcBorders>
                  <w:vAlign w:val="center"/>
                </w:tcPr>
                <w:p w14:paraId="3C27D61D">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r>
                    <w:rPr>
                      <w:rFonts w:hint="eastAsia" w:ascii="宋体" w:hAnsi="宋体" w:eastAsia="宋体" w:cs="宋体"/>
                      <w:color w:val="auto"/>
                      <w:szCs w:val="21"/>
                      <w:lang w:bidi="ar"/>
                    </w:rPr>
                    <w:t>第四次</w:t>
                  </w:r>
                </w:p>
              </w:tc>
              <w:tc>
                <w:tcPr>
                  <w:tcW w:w="1609" w:type="dxa"/>
                  <w:vMerge w:val="continue"/>
                  <w:tcBorders>
                    <w:top w:val="nil"/>
                    <w:left w:val="single" w:color="auto" w:sz="4" w:space="0"/>
                    <w:bottom w:val="single" w:color="auto" w:sz="4" w:space="0"/>
                    <w:right w:val="single" w:color="auto" w:sz="4" w:space="0"/>
                  </w:tcBorders>
                  <w:vAlign w:val="center"/>
                </w:tcPr>
                <w:p w14:paraId="5F4DF0D2">
                  <w:pPr>
                    <w:keepNext w:val="0"/>
                    <w:keepLines w:val="0"/>
                    <w:suppressLineNumbers w:val="0"/>
                    <w:spacing w:before="0" w:beforeAutospacing="0" w:after="0" w:afterAutospacing="0"/>
                    <w:ind w:left="0" w:right="0"/>
                    <w:rPr>
                      <w:rFonts w:hint="default" w:ascii="Times New Roman" w:hAnsi="Times New Roman" w:cs="Times New Roman"/>
                      <w:color w:val="auto"/>
                      <w:sz w:val="20"/>
                      <w:szCs w:val="20"/>
                    </w:rPr>
                  </w:pPr>
                </w:p>
              </w:tc>
              <w:tc>
                <w:tcPr>
                  <w:tcW w:w="1450" w:type="dxa"/>
                  <w:vMerge w:val="continue"/>
                  <w:tcBorders>
                    <w:top w:val="nil"/>
                    <w:left w:val="single" w:color="auto" w:sz="4" w:space="0"/>
                    <w:bottom w:val="single" w:color="auto" w:sz="4" w:space="0"/>
                    <w:right w:val="single" w:color="auto" w:sz="4" w:space="0"/>
                  </w:tcBorders>
                  <w:vAlign w:val="center"/>
                </w:tcPr>
                <w:p w14:paraId="4C1CA3C5">
                  <w:pPr>
                    <w:keepNext w:val="0"/>
                    <w:keepLines w:val="0"/>
                    <w:suppressLineNumbers w:val="0"/>
                    <w:spacing w:before="0" w:beforeAutospacing="0" w:after="0" w:afterAutospacing="0"/>
                    <w:ind w:left="0" w:right="0"/>
                    <w:rPr>
                      <w:rFonts w:hint="default" w:ascii="Times New Roman" w:hAnsi="Times New Roman" w:cs="Times New Roman"/>
                      <w:color w:val="auto"/>
                      <w:sz w:val="20"/>
                      <w:szCs w:val="20"/>
                    </w:rPr>
                  </w:pPr>
                </w:p>
              </w:tc>
              <w:tc>
                <w:tcPr>
                  <w:tcW w:w="1450" w:type="dxa"/>
                  <w:tcBorders>
                    <w:top w:val="single" w:color="auto" w:sz="4" w:space="0"/>
                    <w:left w:val="single" w:color="auto" w:sz="4" w:space="0"/>
                    <w:bottom w:val="single" w:color="auto" w:sz="4" w:space="0"/>
                    <w:right w:val="single" w:color="auto" w:sz="4" w:space="0"/>
                  </w:tcBorders>
                  <w:vAlign w:val="center"/>
                </w:tcPr>
                <w:p w14:paraId="01C3A399">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r>
                    <w:rPr>
                      <w:rFonts w:hint="eastAsia" w:ascii="宋体" w:hAnsi="宋体" w:eastAsia="宋体" w:cs="宋体"/>
                      <w:color w:val="auto"/>
                      <w:szCs w:val="21"/>
                      <w:lang w:bidi="ar"/>
                    </w:rPr>
                    <w:t>气</w:t>
                  </w:r>
                  <w:r>
                    <w:rPr>
                      <w:rFonts w:hint="default" w:ascii="Times New Roman" w:hAnsi="Times New Roman" w:eastAsia="宋体" w:cs="Times New Roman"/>
                      <w:color w:val="auto"/>
                      <w:szCs w:val="21"/>
                      <w:lang w:bidi="ar"/>
                    </w:rPr>
                    <w:t>251120137</w:t>
                  </w:r>
                </w:p>
              </w:tc>
              <w:tc>
                <w:tcPr>
                  <w:tcW w:w="1132" w:type="dxa"/>
                  <w:tcBorders>
                    <w:top w:val="single" w:color="auto" w:sz="4" w:space="0"/>
                    <w:left w:val="single" w:color="auto" w:sz="4" w:space="0"/>
                    <w:bottom w:val="single" w:color="auto" w:sz="4" w:space="0"/>
                    <w:right w:val="single" w:color="auto" w:sz="4" w:space="0"/>
                  </w:tcBorders>
                  <w:vAlign w:val="center"/>
                </w:tcPr>
                <w:p w14:paraId="4967CEB1">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lang w:bidi="ar"/>
                    </w:rPr>
                    <w:t>&lt;10</w:t>
                  </w:r>
                </w:p>
              </w:tc>
            </w:tr>
            <w:tr w14:paraId="596388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1265" w:type="dxa"/>
                  <w:vMerge w:val="continue"/>
                  <w:tcBorders>
                    <w:left w:val="single" w:color="auto" w:sz="4" w:space="0"/>
                    <w:right w:val="single" w:color="auto" w:sz="4" w:space="0"/>
                  </w:tcBorders>
                  <w:vAlign w:val="center"/>
                </w:tcPr>
                <w:p w14:paraId="48AFA652">
                  <w:pPr>
                    <w:keepNext w:val="0"/>
                    <w:keepLines w:val="0"/>
                    <w:suppressLineNumbers w:val="0"/>
                    <w:spacing w:before="0" w:beforeAutospacing="0" w:after="0" w:afterAutospacing="0"/>
                    <w:ind w:left="0" w:right="0"/>
                    <w:rPr>
                      <w:rFonts w:hint="default" w:ascii="Times New Roman" w:hAnsi="Times New Roman" w:cs="Times New Roman"/>
                      <w:color w:val="auto"/>
                      <w:sz w:val="20"/>
                      <w:szCs w:val="20"/>
                    </w:rPr>
                  </w:pPr>
                </w:p>
              </w:tc>
              <w:tc>
                <w:tcPr>
                  <w:tcW w:w="1269" w:type="dxa"/>
                  <w:tcBorders>
                    <w:top w:val="single" w:color="auto" w:sz="4" w:space="0"/>
                    <w:left w:val="single" w:color="auto" w:sz="4" w:space="0"/>
                    <w:bottom w:val="single" w:color="auto" w:sz="4" w:space="0"/>
                    <w:right w:val="single" w:color="auto" w:sz="4" w:space="0"/>
                  </w:tcBorders>
                  <w:vAlign w:val="center"/>
                </w:tcPr>
                <w:p w14:paraId="158C7AD9">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r>
                    <w:rPr>
                      <w:rFonts w:hint="eastAsia" w:ascii="宋体" w:hAnsi="宋体" w:eastAsia="宋体" w:cs="宋体"/>
                      <w:color w:val="auto"/>
                      <w:szCs w:val="21"/>
                      <w:lang w:bidi="ar"/>
                    </w:rPr>
                    <w:t>第一次</w:t>
                  </w:r>
                </w:p>
              </w:tc>
              <w:tc>
                <w:tcPr>
                  <w:tcW w:w="1609" w:type="dxa"/>
                  <w:vMerge w:val="continue"/>
                  <w:tcBorders>
                    <w:top w:val="nil"/>
                    <w:left w:val="single" w:color="auto" w:sz="4" w:space="0"/>
                    <w:bottom w:val="single" w:color="auto" w:sz="4" w:space="0"/>
                    <w:right w:val="single" w:color="auto" w:sz="4" w:space="0"/>
                  </w:tcBorders>
                  <w:vAlign w:val="center"/>
                </w:tcPr>
                <w:p w14:paraId="49518F41">
                  <w:pPr>
                    <w:keepNext w:val="0"/>
                    <w:keepLines w:val="0"/>
                    <w:suppressLineNumbers w:val="0"/>
                    <w:spacing w:before="0" w:beforeAutospacing="0" w:after="0" w:afterAutospacing="0"/>
                    <w:ind w:left="0" w:right="0"/>
                    <w:rPr>
                      <w:rFonts w:hint="default" w:ascii="Times New Roman" w:hAnsi="Times New Roman" w:cs="Times New Roman"/>
                      <w:color w:val="auto"/>
                      <w:sz w:val="20"/>
                      <w:szCs w:val="20"/>
                    </w:rPr>
                  </w:pPr>
                </w:p>
              </w:tc>
              <w:tc>
                <w:tcPr>
                  <w:tcW w:w="1450" w:type="dxa"/>
                  <w:vMerge w:val="restart"/>
                  <w:tcBorders>
                    <w:top w:val="nil"/>
                    <w:left w:val="single" w:color="auto" w:sz="4" w:space="0"/>
                    <w:bottom w:val="single" w:color="auto" w:sz="4" w:space="0"/>
                    <w:right w:val="single" w:color="auto" w:sz="4" w:space="0"/>
                  </w:tcBorders>
                  <w:vAlign w:val="center"/>
                </w:tcPr>
                <w:p w14:paraId="58F181D6">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r>
                    <w:rPr>
                      <w:rFonts w:hint="eastAsia" w:ascii="宋体" w:hAnsi="宋体" w:eastAsia="宋体" w:cs="宋体"/>
                      <w:color w:val="auto"/>
                      <w:szCs w:val="21"/>
                      <w:lang w:bidi="ar"/>
                    </w:rPr>
                    <w:t>厂界下风向</w:t>
                  </w:r>
                  <w:r>
                    <w:rPr>
                      <w:rFonts w:hint="default" w:ascii="Times New Roman" w:hAnsi="Times New Roman" w:eastAsia="宋体" w:cs="Times New Roman"/>
                      <w:color w:val="auto"/>
                      <w:szCs w:val="21"/>
                      <w:lang w:bidi="ar"/>
                    </w:rPr>
                    <w:t>1</w:t>
                  </w:r>
                </w:p>
              </w:tc>
              <w:tc>
                <w:tcPr>
                  <w:tcW w:w="1450" w:type="dxa"/>
                  <w:tcBorders>
                    <w:top w:val="single" w:color="auto" w:sz="4" w:space="0"/>
                    <w:left w:val="single" w:color="auto" w:sz="4" w:space="0"/>
                    <w:bottom w:val="single" w:color="auto" w:sz="4" w:space="0"/>
                    <w:right w:val="single" w:color="auto" w:sz="4" w:space="0"/>
                  </w:tcBorders>
                  <w:vAlign w:val="center"/>
                </w:tcPr>
                <w:p w14:paraId="440EC4AF">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r>
                    <w:rPr>
                      <w:rFonts w:hint="eastAsia" w:ascii="宋体" w:hAnsi="宋体" w:eastAsia="宋体" w:cs="宋体"/>
                      <w:color w:val="auto"/>
                      <w:szCs w:val="21"/>
                      <w:lang w:bidi="ar"/>
                    </w:rPr>
                    <w:t>气</w:t>
                  </w:r>
                  <w:r>
                    <w:rPr>
                      <w:rFonts w:hint="default" w:ascii="Times New Roman" w:hAnsi="Times New Roman" w:eastAsia="宋体" w:cs="Times New Roman"/>
                      <w:color w:val="auto"/>
                      <w:szCs w:val="21"/>
                      <w:lang w:bidi="ar"/>
                    </w:rPr>
                    <w:t>251120138</w:t>
                  </w:r>
                </w:p>
              </w:tc>
              <w:tc>
                <w:tcPr>
                  <w:tcW w:w="1132" w:type="dxa"/>
                  <w:tcBorders>
                    <w:top w:val="single" w:color="auto" w:sz="4" w:space="0"/>
                    <w:left w:val="single" w:color="auto" w:sz="4" w:space="0"/>
                    <w:bottom w:val="single" w:color="auto" w:sz="4" w:space="0"/>
                    <w:right w:val="single" w:color="auto" w:sz="4" w:space="0"/>
                  </w:tcBorders>
                  <w:vAlign w:val="center"/>
                </w:tcPr>
                <w:p w14:paraId="059C5488">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lang w:bidi="ar"/>
                    </w:rPr>
                    <w:t>&lt;10</w:t>
                  </w:r>
                </w:p>
              </w:tc>
            </w:tr>
            <w:tr w14:paraId="22F034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1265" w:type="dxa"/>
                  <w:vMerge w:val="continue"/>
                  <w:tcBorders>
                    <w:left w:val="single" w:color="auto" w:sz="4" w:space="0"/>
                    <w:right w:val="single" w:color="auto" w:sz="4" w:space="0"/>
                  </w:tcBorders>
                  <w:vAlign w:val="center"/>
                </w:tcPr>
                <w:p w14:paraId="5A7A43F7">
                  <w:pPr>
                    <w:keepNext w:val="0"/>
                    <w:keepLines w:val="0"/>
                    <w:suppressLineNumbers w:val="0"/>
                    <w:spacing w:before="0" w:beforeAutospacing="0" w:after="0" w:afterAutospacing="0"/>
                    <w:ind w:left="0" w:right="0"/>
                    <w:rPr>
                      <w:rFonts w:hint="default" w:ascii="Times New Roman" w:hAnsi="Times New Roman" w:cs="Times New Roman"/>
                      <w:color w:val="auto"/>
                      <w:sz w:val="20"/>
                      <w:szCs w:val="20"/>
                    </w:rPr>
                  </w:pPr>
                </w:p>
              </w:tc>
              <w:tc>
                <w:tcPr>
                  <w:tcW w:w="1269" w:type="dxa"/>
                  <w:tcBorders>
                    <w:top w:val="single" w:color="auto" w:sz="4" w:space="0"/>
                    <w:left w:val="single" w:color="auto" w:sz="4" w:space="0"/>
                    <w:bottom w:val="single" w:color="auto" w:sz="4" w:space="0"/>
                    <w:right w:val="single" w:color="auto" w:sz="4" w:space="0"/>
                  </w:tcBorders>
                  <w:vAlign w:val="center"/>
                </w:tcPr>
                <w:p w14:paraId="1F8E4428">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r>
                    <w:rPr>
                      <w:rFonts w:hint="eastAsia" w:ascii="宋体" w:hAnsi="宋体" w:eastAsia="宋体" w:cs="宋体"/>
                      <w:color w:val="auto"/>
                      <w:szCs w:val="21"/>
                      <w:lang w:bidi="ar"/>
                    </w:rPr>
                    <w:t>第二次</w:t>
                  </w:r>
                </w:p>
              </w:tc>
              <w:tc>
                <w:tcPr>
                  <w:tcW w:w="1609" w:type="dxa"/>
                  <w:vMerge w:val="continue"/>
                  <w:tcBorders>
                    <w:top w:val="nil"/>
                    <w:left w:val="single" w:color="auto" w:sz="4" w:space="0"/>
                    <w:bottom w:val="single" w:color="auto" w:sz="4" w:space="0"/>
                    <w:right w:val="single" w:color="auto" w:sz="4" w:space="0"/>
                  </w:tcBorders>
                  <w:vAlign w:val="center"/>
                </w:tcPr>
                <w:p w14:paraId="2FD97BD0">
                  <w:pPr>
                    <w:keepNext w:val="0"/>
                    <w:keepLines w:val="0"/>
                    <w:suppressLineNumbers w:val="0"/>
                    <w:spacing w:before="0" w:beforeAutospacing="0" w:after="0" w:afterAutospacing="0"/>
                    <w:ind w:left="0" w:right="0"/>
                    <w:rPr>
                      <w:rFonts w:hint="default" w:ascii="Times New Roman" w:hAnsi="Times New Roman" w:cs="Times New Roman"/>
                      <w:color w:val="auto"/>
                      <w:sz w:val="20"/>
                      <w:szCs w:val="20"/>
                    </w:rPr>
                  </w:pPr>
                </w:p>
              </w:tc>
              <w:tc>
                <w:tcPr>
                  <w:tcW w:w="1450" w:type="dxa"/>
                  <w:vMerge w:val="continue"/>
                  <w:tcBorders>
                    <w:top w:val="nil"/>
                    <w:left w:val="single" w:color="auto" w:sz="4" w:space="0"/>
                    <w:bottom w:val="single" w:color="auto" w:sz="4" w:space="0"/>
                    <w:right w:val="single" w:color="auto" w:sz="4" w:space="0"/>
                  </w:tcBorders>
                  <w:vAlign w:val="center"/>
                </w:tcPr>
                <w:p w14:paraId="456FA6C4">
                  <w:pPr>
                    <w:keepNext w:val="0"/>
                    <w:keepLines w:val="0"/>
                    <w:suppressLineNumbers w:val="0"/>
                    <w:spacing w:before="0" w:beforeAutospacing="0" w:after="0" w:afterAutospacing="0"/>
                    <w:ind w:left="0" w:right="0"/>
                    <w:rPr>
                      <w:rFonts w:hint="default" w:ascii="Times New Roman" w:hAnsi="Times New Roman" w:cs="Times New Roman"/>
                      <w:color w:val="auto"/>
                      <w:sz w:val="20"/>
                      <w:szCs w:val="20"/>
                    </w:rPr>
                  </w:pPr>
                </w:p>
              </w:tc>
              <w:tc>
                <w:tcPr>
                  <w:tcW w:w="1450" w:type="dxa"/>
                  <w:tcBorders>
                    <w:top w:val="single" w:color="auto" w:sz="4" w:space="0"/>
                    <w:left w:val="single" w:color="auto" w:sz="4" w:space="0"/>
                    <w:bottom w:val="single" w:color="auto" w:sz="4" w:space="0"/>
                    <w:right w:val="single" w:color="auto" w:sz="4" w:space="0"/>
                  </w:tcBorders>
                  <w:vAlign w:val="center"/>
                </w:tcPr>
                <w:p w14:paraId="675D7CA0">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r>
                    <w:rPr>
                      <w:rFonts w:hint="eastAsia" w:ascii="宋体" w:hAnsi="宋体" w:eastAsia="宋体" w:cs="宋体"/>
                      <w:color w:val="auto"/>
                      <w:szCs w:val="21"/>
                      <w:lang w:bidi="ar"/>
                    </w:rPr>
                    <w:t>气</w:t>
                  </w:r>
                  <w:r>
                    <w:rPr>
                      <w:rFonts w:hint="default" w:ascii="Times New Roman" w:hAnsi="Times New Roman" w:eastAsia="宋体" w:cs="Times New Roman"/>
                      <w:color w:val="auto"/>
                      <w:szCs w:val="21"/>
                      <w:lang w:bidi="ar"/>
                    </w:rPr>
                    <w:t>251120139</w:t>
                  </w:r>
                </w:p>
              </w:tc>
              <w:tc>
                <w:tcPr>
                  <w:tcW w:w="1132" w:type="dxa"/>
                  <w:tcBorders>
                    <w:top w:val="single" w:color="auto" w:sz="4" w:space="0"/>
                    <w:left w:val="single" w:color="auto" w:sz="4" w:space="0"/>
                    <w:bottom w:val="single" w:color="auto" w:sz="4" w:space="0"/>
                    <w:right w:val="single" w:color="auto" w:sz="4" w:space="0"/>
                  </w:tcBorders>
                  <w:vAlign w:val="center"/>
                </w:tcPr>
                <w:p w14:paraId="0882F4A6">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lang w:bidi="ar"/>
                    </w:rPr>
                    <w:t>&lt;10</w:t>
                  </w:r>
                </w:p>
              </w:tc>
            </w:tr>
            <w:tr w14:paraId="46178F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1265" w:type="dxa"/>
                  <w:vMerge w:val="continue"/>
                  <w:tcBorders>
                    <w:left w:val="single" w:color="auto" w:sz="4" w:space="0"/>
                    <w:right w:val="single" w:color="auto" w:sz="4" w:space="0"/>
                  </w:tcBorders>
                  <w:vAlign w:val="center"/>
                </w:tcPr>
                <w:p w14:paraId="7422EAA1">
                  <w:pPr>
                    <w:keepNext w:val="0"/>
                    <w:keepLines w:val="0"/>
                    <w:suppressLineNumbers w:val="0"/>
                    <w:spacing w:before="0" w:beforeAutospacing="0" w:after="0" w:afterAutospacing="0"/>
                    <w:ind w:left="0" w:right="0"/>
                    <w:rPr>
                      <w:rFonts w:hint="default" w:ascii="Times New Roman" w:hAnsi="Times New Roman" w:cs="Times New Roman"/>
                      <w:color w:val="auto"/>
                      <w:sz w:val="20"/>
                      <w:szCs w:val="20"/>
                    </w:rPr>
                  </w:pPr>
                </w:p>
              </w:tc>
              <w:tc>
                <w:tcPr>
                  <w:tcW w:w="1269" w:type="dxa"/>
                  <w:tcBorders>
                    <w:top w:val="single" w:color="auto" w:sz="4" w:space="0"/>
                    <w:left w:val="single" w:color="auto" w:sz="4" w:space="0"/>
                    <w:bottom w:val="single" w:color="auto" w:sz="4" w:space="0"/>
                    <w:right w:val="single" w:color="auto" w:sz="4" w:space="0"/>
                  </w:tcBorders>
                  <w:vAlign w:val="center"/>
                </w:tcPr>
                <w:p w14:paraId="7A900B62">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r>
                    <w:rPr>
                      <w:rFonts w:hint="eastAsia" w:ascii="宋体" w:hAnsi="宋体" w:eastAsia="宋体" w:cs="宋体"/>
                      <w:color w:val="auto"/>
                      <w:szCs w:val="21"/>
                      <w:lang w:bidi="ar"/>
                    </w:rPr>
                    <w:t>第三次</w:t>
                  </w:r>
                </w:p>
              </w:tc>
              <w:tc>
                <w:tcPr>
                  <w:tcW w:w="1609" w:type="dxa"/>
                  <w:vMerge w:val="continue"/>
                  <w:tcBorders>
                    <w:top w:val="nil"/>
                    <w:left w:val="single" w:color="auto" w:sz="4" w:space="0"/>
                    <w:bottom w:val="single" w:color="auto" w:sz="4" w:space="0"/>
                    <w:right w:val="single" w:color="auto" w:sz="4" w:space="0"/>
                  </w:tcBorders>
                  <w:vAlign w:val="center"/>
                </w:tcPr>
                <w:p w14:paraId="0311BA32">
                  <w:pPr>
                    <w:keepNext w:val="0"/>
                    <w:keepLines w:val="0"/>
                    <w:suppressLineNumbers w:val="0"/>
                    <w:spacing w:before="0" w:beforeAutospacing="0" w:after="0" w:afterAutospacing="0"/>
                    <w:ind w:left="0" w:right="0"/>
                    <w:rPr>
                      <w:rFonts w:hint="default" w:ascii="Times New Roman" w:hAnsi="Times New Roman" w:cs="Times New Roman"/>
                      <w:color w:val="auto"/>
                      <w:sz w:val="20"/>
                      <w:szCs w:val="20"/>
                    </w:rPr>
                  </w:pPr>
                </w:p>
              </w:tc>
              <w:tc>
                <w:tcPr>
                  <w:tcW w:w="1450" w:type="dxa"/>
                  <w:vMerge w:val="continue"/>
                  <w:tcBorders>
                    <w:top w:val="nil"/>
                    <w:left w:val="single" w:color="auto" w:sz="4" w:space="0"/>
                    <w:bottom w:val="single" w:color="auto" w:sz="4" w:space="0"/>
                    <w:right w:val="single" w:color="auto" w:sz="4" w:space="0"/>
                  </w:tcBorders>
                  <w:vAlign w:val="center"/>
                </w:tcPr>
                <w:p w14:paraId="5A20D2ED">
                  <w:pPr>
                    <w:keepNext w:val="0"/>
                    <w:keepLines w:val="0"/>
                    <w:suppressLineNumbers w:val="0"/>
                    <w:spacing w:before="0" w:beforeAutospacing="0" w:after="0" w:afterAutospacing="0"/>
                    <w:ind w:left="0" w:right="0"/>
                    <w:rPr>
                      <w:rFonts w:hint="default" w:ascii="Times New Roman" w:hAnsi="Times New Roman" w:cs="Times New Roman"/>
                      <w:color w:val="auto"/>
                      <w:sz w:val="20"/>
                      <w:szCs w:val="20"/>
                    </w:rPr>
                  </w:pPr>
                </w:p>
              </w:tc>
              <w:tc>
                <w:tcPr>
                  <w:tcW w:w="1450" w:type="dxa"/>
                  <w:tcBorders>
                    <w:top w:val="single" w:color="auto" w:sz="4" w:space="0"/>
                    <w:left w:val="single" w:color="auto" w:sz="4" w:space="0"/>
                    <w:bottom w:val="single" w:color="auto" w:sz="4" w:space="0"/>
                    <w:right w:val="single" w:color="auto" w:sz="4" w:space="0"/>
                  </w:tcBorders>
                  <w:vAlign w:val="center"/>
                </w:tcPr>
                <w:p w14:paraId="3848A1DF">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r>
                    <w:rPr>
                      <w:rFonts w:hint="eastAsia" w:ascii="宋体" w:hAnsi="宋体" w:eastAsia="宋体" w:cs="宋体"/>
                      <w:color w:val="auto"/>
                      <w:szCs w:val="21"/>
                      <w:lang w:bidi="ar"/>
                    </w:rPr>
                    <w:t>气</w:t>
                  </w:r>
                  <w:r>
                    <w:rPr>
                      <w:rFonts w:hint="default" w:ascii="Times New Roman" w:hAnsi="Times New Roman" w:eastAsia="宋体" w:cs="Times New Roman"/>
                      <w:color w:val="auto"/>
                      <w:szCs w:val="21"/>
                      <w:lang w:bidi="ar"/>
                    </w:rPr>
                    <w:t>251120140</w:t>
                  </w:r>
                </w:p>
              </w:tc>
              <w:tc>
                <w:tcPr>
                  <w:tcW w:w="1132" w:type="dxa"/>
                  <w:tcBorders>
                    <w:top w:val="single" w:color="auto" w:sz="4" w:space="0"/>
                    <w:left w:val="single" w:color="auto" w:sz="4" w:space="0"/>
                    <w:bottom w:val="single" w:color="auto" w:sz="4" w:space="0"/>
                    <w:right w:val="single" w:color="auto" w:sz="4" w:space="0"/>
                  </w:tcBorders>
                  <w:vAlign w:val="center"/>
                </w:tcPr>
                <w:p w14:paraId="5576B556">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lang w:bidi="ar"/>
                    </w:rPr>
                    <w:t>&lt;10</w:t>
                  </w:r>
                </w:p>
              </w:tc>
            </w:tr>
            <w:tr w14:paraId="35C120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1265" w:type="dxa"/>
                  <w:vMerge w:val="continue"/>
                  <w:tcBorders>
                    <w:left w:val="single" w:color="auto" w:sz="4" w:space="0"/>
                    <w:right w:val="single" w:color="auto" w:sz="4" w:space="0"/>
                  </w:tcBorders>
                  <w:vAlign w:val="center"/>
                </w:tcPr>
                <w:p w14:paraId="10E79F4D">
                  <w:pPr>
                    <w:keepNext w:val="0"/>
                    <w:keepLines w:val="0"/>
                    <w:suppressLineNumbers w:val="0"/>
                    <w:spacing w:before="0" w:beforeAutospacing="0" w:after="0" w:afterAutospacing="0"/>
                    <w:ind w:left="0" w:right="0"/>
                    <w:rPr>
                      <w:rFonts w:hint="default" w:ascii="Times New Roman" w:hAnsi="Times New Roman" w:cs="Times New Roman"/>
                      <w:color w:val="auto"/>
                      <w:sz w:val="20"/>
                      <w:szCs w:val="20"/>
                    </w:rPr>
                  </w:pPr>
                </w:p>
              </w:tc>
              <w:tc>
                <w:tcPr>
                  <w:tcW w:w="1269" w:type="dxa"/>
                  <w:tcBorders>
                    <w:top w:val="single" w:color="auto" w:sz="4" w:space="0"/>
                    <w:left w:val="single" w:color="auto" w:sz="4" w:space="0"/>
                    <w:bottom w:val="single" w:color="auto" w:sz="4" w:space="0"/>
                    <w:right w:val="single" w:color="auto" w:sz="4" w:space="0"/>
                  </w:tcBorders>
                  <w:vAlign w:val="center"/>
                </w:tcPr>
                <w:p w14:paraId="20D70300">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r>
                    <w:rPr>
                      <w:rFonts w:hint="eastAsia" w:ascii="宋体" w:hAnsi="宋体" w:eastAsia="宋体" w:cs="宋体"/>
                      <w:color w:val="auto"/>
                      <w:szCs w:val="21"/>
                      <w:lang w:bidi="ar"/>
                    </w:rPr>
                    <w:t>第四次</w:t>
                  </w:r>
                </w:p>
              </w:tc>
              <w:tc>
                <w:tcPr>
                  <w:tcW w:w="1609" w:type="dxa"/>
                  <w:vMerge w:val="continue"/>
                  <w:tcBorders>
                    <w:top w:val="nil"/>
                    <w:left w:val="single" w:color="auto" w:sz="4" w:space="0"/>
                    <w:bottom w:val="single" w:color="auto" w:sz="4" w:space="0"/>
                    <w:right w:val="single" w:color="auto" w:sz="4" w:space="0"/>
                  </w:tcBorders>
                  <w:vAlign w:val="center"/>
                </w:tcPr>
                <w:p w14:paraId="739AC90D">
                  <w:pPr>
                    <w:keepNext w:val="0"/>
                    <w:keepLines w:val="0"/>
                    <w:suppressLineNumbers w:val="0"/>
                    <w:spacing w:before="0" w:beforeAutospacing="0" w:after="0" w:afterAutospacing="0"/>
                    <w:ind w:left="0" w:right="0"/>
                    <w:rPr>
                      <w:rFonts w:hint="default" w:ascii="Times New Roman" w:hAnsi="Times New Roman" w:cs="Times New Roman"/>
                      <w:color w:val="auto"/>
                      <w:sz w:val="20"/>
                      <w:szCs w:val="20"/>
                    </w:rPr>
                  </w:pPr>
                </w:p>
              </w:tc>
              <w:tc>
                <w:tcPr>
                  <w:tcW w:w="1450" w:type="dxa"/>
                  <w:vMerge w:val="continue"/>
                  <w:tcBorders>
                    <w:top w:val="nil"/>
                    <w:left w:val="single" w:color="auto" w:sz="4" w:space="0"/>
                    <w:bottom w:val="single" w:color="auto" w:sz="4" w:space="0"/>
                    <w:right w:val="single" w:color="auto" w:sz="4" w:space="0"/>
                  </w:tcBorders>
                  <w:vAlign w:val="center"/>
                </w:tcPr>
                <w:p w14:paraId="141FDE74">
                  <w:pPr>
                    <w:keepNext w:val="0"/>
                    <w:keepLines w:val="0"/>
                    <w:suppressLineNumbers w:val="0"/>
                    <w:spacing w:before="0" w:beforeAutospacing="0" w:after="0" w:afterAutospacing="0"/>
                    <w:ind w:left="0" w:right="0"/>
                    <w:rPr>
                      <w:rFonts w:hint="default" w:ascii="Times New Roman" w:hAnsi="Times New Roman" w:cs="Times New Roman"/>
                      <w:color w:val="auto"/>
                      <w:sz w:val="20"/>
                      <w:szCs w:val="20"/>
                    </w:rPr>
                  </w:pPr>
                </w:p>
              </w:tc>
              <w:tc>
                <w:tcPr>
                  <w:tcW w:w="1450" w:type="dxa"/>
                  <w:tcBorders>
                    <w:top w:val="single" w:color="auto" w:sz="4" w:space="0"/>
                    <w:left w:val="single" w:color="auto" w:sz="4" w:space="0"/>
                    <w:bottom w:val="single" w:color="auto" w:sz="4" w:space="0"/>
                    <w:right w:val="single" w:color="auto" w:sz="4" w:space="0"/>
                  </w:tcBorders>
                  <w:vAlign w:val="center"/>
                </w:tcPr>
                <w:p w14:paraId="25A5BCD1">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r>
                    <w:rPr>
                      <w:rFonts w:hint="eastAsia" w:ascii="宋体" w:hAnsi="宋体" w:eastAsia="宋体" w:cs="宋体"/>
                      <w:color w:val="auto"/>
                      <w:szCs w:val="21"/>
                      <w:lang w:bidi="ar"/>
                    </w:rPr>
                    <w:t>气</w:t>
                  </w:r>
                  <w:r>
                    <w:rPr>
                      <w:rFonts w:hint="default" w:ascii="Times New Roman" w:hAnsi="Times New Roman" w:eastAsia="宋体" w:cs="Times New Roman"/>
                      <w:color w:val="auto"/>
                      <w:szCs w:val="21"/>
                      <w:lang w:bidi="ar"/>
                    </w:rPr>
                    <w:t>251120141</w:t>
                  </w:r>
                </w:p>
              </w:tc>
              <w:tc>
                <w:tcPr>
                  <w:tcW w:w="1132" w:type="dxa"/>
                  <w:tcBorders>
                    <w:top w:val="single" w:color="auto" w:sz="4" w:space="0"/>
                    <w:left w:val="single" w:color="auto" w:sz="4" w:space="0"/>
                    <w:bottom w:val="single" w:color="auto" w:sz="4" w:space="0"/>
                    <w:right w:val="single" w:color="auto" w:sz="4" w:space="0"/>
                  </w:tcBorders>
                  <w:vAlign w:val="center"/>
                </w:tcPr>
                <w:p w14:paraId="62496C00">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lang w:bidi="ar"/>
                    </w:rPr>
                    <w:t>&lt;10</w:t>
                  </w:r>
                </w:p>
              </w:tc>
            </w:tr>
            <w:tr w14:paraId="297788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1265" w:type="dxa"/>
                  <w:vMerge w:val="continue"/>
                  <w:tcBorders>
                    <w:left w:val="single" w:color="auto" w:sz="4" w:space="0"/>
                    <w:right w:val="single" w:color="auto" w:sz="4" w:space="0"/>
                  </w:tcBorders>
                  <w:vAlign w:val="center"/>
                </w:tcPr>
                <w:p w14:paraId="4CFC58EE">
                  <w:pPr>
                    <w:keepNext w:val="0"/>
                    <w:keepLines w:val="0"/>
                    <w:suppressLineNumbers w:val="0"/>
                    <w:spacing w:before="0" w:beforeAutospacing="0" w:after="0" w:afterAutospacing="0"/>
                    <w:ind w:left="0" w:right="0"/>
                    <w:rPr>
                      <w:rFonts w:hint="default" w:ascii="Times New Roman" w:hAnsi="Times New Roman" w:cs="Times New Roman"/>
                      <w:color w:val="auto"/>
                      <w:sz w:val="20"/>
                      <w:szCs w:val="20"/>
                    </w:rPr>
                  </w:pPr>
                </w:p>
              </w:tc>
              <w:tc>
                <w:tcPr>
                  <w:tcW w:w="1269" w:type="dxa"/>
                  <w:tcBorders>
                    <w:top w:val="single" w:color="auto" w:sz="4" w:space="0"/>
                    <w:left w:val="single" w:color="auto" w:sz="4" w:space="0"/>
                    <w:bottom w:val="single" w:color="auto" w:sz="4" w:space="0"/>
                    <w:right w:val="single" w:color="auto" w:sz="4" w:space="0"/>
                  </w:tcBorders>
                  <w:vAlign w:val="center"/>
                </w:tcPr>
                <w:p w14:paraId="07EC8299">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r>
                    <w:rPr>
                      <w:rFonts w:hint="eastAsia" w:ascii="宋体" w:hAnsi="宋体" w:eastAsia="宋体" w:cs="宋体"/>
                      <w:color w:val="auto"/>
                      <w:szCs w:val="21"/>
                      <w:lang w:bidi="ar"/>
                    </w:rPr>
                    <w:t>第一次</w:t>
                  </w:r>
                </w:p>
              </w:tc>
              <w:tc>
                <w:tcPr>
                  <w:tcW w:w="1609" w:type="dxa"/>
                  <w:vMerge w:val="continue"/>
                  <w:tcBorders>
                    <w:top w:val="nil"/>
                    <w:left w:val="single" w:color="auto" w:sz="4" w:space="0"/>
                    <w:bottom w:val="single" w:color="auto" w:sz="4" w:space="0"/>
                    <w:right w:val="single" w:color="auto" w:sz="4" w:space="0"/>
                  </w:tcBorders>
                  <w:vAlign w:val="center"/>
                </w:tcPr>
                <w:p w14:paraId="175ADCC9">
                  <w:pPr>
                    <w:keepNext w:val="0"/>
                    <w:keepLines w:val="0"/>
                    <w:suppressLineNumbers w:val="0"/>
                    <w:spacing w:before="0" w:beforeAutospacing="0" w:after="0" w:afterAutospacing="0"/>
                    <w:ind w:left="0" w:right="0"/>
                    <w:rPr>
                      <w:rFonts w:hint="default" w:ascii="Times New Roman" w:hAnsi="Times New Roman" w:cs="Times New Roman"/>
                      <w:color w:val="auto"/>
                      <w:sz w:val="20"/>
                      <w:szCs w:val="20"/>
                    </w:rPr>
                  </w:pPr>
                </w:p>
              </w:tc>
              <w:tc>
                <w:tcPr>
                  <w:tcW w:w="1450" w:type="dxa"/>
                  <w:vMerge w:val="restart"/>
                  <w:tcBorders>
                    <w:top w:val="nil"/>
                    <w:left w:val="single" w:color="auto" w:sz="4" w:space="0"/>
                    <w:bottom w:val="single" w:color="auto" w:sz="4" w:space="0"/>
                    <w:right w:val="single" w:color="auto" w:sz="4" w:space="0"/>
                  </w:tcBorders>
                  <w:vAlign w:val="center"/>
                </w:tcPr>
                <w:p w14:paraId="13D4BD26">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r>
                    <w:rPr>
                      <w:rFonts w:hint="eastAsia" w:ascii="宋体" w:hAnsi="宋体" w:eastAsia="宋体" w:cs="宋体"/>
                      <w:color w:val="auto"/>
                      <w:szCs w:val="21"/>
                      <w:lang w:bidi="ar"/>
                    </w:rPr>
                    <w:t>厂界下风向</w:t>
                  </w:r>
                  <w:r>
                    <w:rPr>
                      <w:rFonts w:hint="default" w:ascii="Times New Roman" w:hAnsi="Times New Roman" w:eastAsia="宋体" w:cs="Times New Roman"/>
                      <w:color w:val="auto"/>
                      <w:szCs w:val="21"/>
                      <w:lang w:bidi="ar"/>
                    </w:rPr>
                    <w:t>2</w:t>
                  </w:r>
                </w:p>
              </w:tc>
              <w:tc>
                <w:tcPr>
                  <w:tcW w:w="1450" w:type="dxa"/>
                  <w:tcBorders>
                    <w:top w:val="single" w:color="auto" w:sz="4" w:space="0"/>
                    <w:left w:val="single" w:color="auto" w:sz="4" w:space="0"/>
                    <w:bottom w:val="single" w:color="auto" w:sz="4" w:space="0"/>
                    <w:right w:val="single" w:color="auto" w:sz="4" w:space="0"/>
                  </w:tcBorders>
                  <w:vAlign w:val="center"/>
                </w:tcPr>
                <w:p w14:paraId="63692222">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r>
                    <w:rPr>
                      <w:rFonts w:hint="eastAsia" w:ascii="宋体" w:hAnsi="宋体" w:eastAsia="宋体" w:cs="宋体"/>
                      <w:color w:val="auto"/>
                      <w:szCs w:val="21"/>
                      <w:lang w:bidi="ar"/>
                    </w:rPr>
                    <w:t>气</w:t>
                  </w:r>
                  <w:r>
                    <w:rPr>
                      <w:rFonts w:hint="default" w:ascii="Times New Roman" w:hAnsi="Times New Roman" w:eastAsia="宋体" w:cs="Times New Roman"/>
                      <w:color w:val="auto"/>
                      <w:szCs w:val="21"/>
                      <w:lang w:bidi="ar"/>
                    </w:rPr>
                    <w:t>251120142</w:t>
                  </w:r>
                </w:p>
              </w:tc>
              <w:tc>
                <w:tcPr>
                  <w:tcW w:w="1132" w:type="dxa"/>
                  <w:tcBorders>
                    <w:top w:val="single" w:color="auto" w:sz="4" w:space="0"/>
                    <w:left w:val="single" w:color="auto" w:sz="4" w:space="0"/>
                    <w:bottom w:val="single" w:color="auto" w:sz="4" w:space="0"/>
                    <w:right w:val="single" w:color="auto" w:sz="4" w:space="0"/>
                  </w:tcBorders>
                  <w:vAlign w:val="center"/>
                </w:tcPr>
                <w:p w14:paraId="534F6F8E">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lang w:bidi="ar"/>
                    </w:rPr>
                    <w:t>&lt;10</w:t>
                  </w:r>
                </w:p>
              </w:tc>
            </w:tr>
            <w:tr w14:paraId="6F136B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1265" w:type="dxa"/>
                  <w:vMerge w:val="continue"/>
                  <w:tcBorders>
                    <w:left w:val="single" w:color="auto" w:sz="4" w:space="0"/>
                    <w:right w:val="single" w:color="auto" w:sz="4" w:space="0"/>
                  </w:tcBorders>
                  <w:vAlign w:val="center"/>
                </w:tcPr>
                <w:p w14:paraId="69B9C8BD">
                  <w:pPr>
                    <w:keepNext w:val="0"/>
                    <w:keepLines w:val="0"/>
                    <w:suppressLineNumbers w:val="0"/>
                    <w:spacing w:before="0" w:beforeAutospacing="0" w:after="0" w:afterAutospacing="0"/>
                    <w:ind w:left="0" w:right="0"/>
                    <w:rPr>
                      <w:rFonts w:hint="default" w:ascii="Times New Roman" w:hAnsi="Times New Roman" w:cs="Times New Roman"/>
                      <w:color w:val="auto"/>
                      <w:sz w:val="20"/>
                      <w:szCs w:val="20"/>
                    </w:rPr>
                  </w:pPr>
                </w:p>
              </w:tc>
              <w:tc>
                <w:tcPr>
                  <w:tcW w:w="1269" w:type="dxa"/>
                  <w:tcBorders>
                    <w:top w:val="single" w:color="auto" w:sz="4" w:space="0"/>
                    <w:left w:val="single" w:color="auto" w:sz="4" w:space="0"/>
                    <w:bottom w:val="single" w:color="auto" w:sz="4" w:space="0"/>
                    <w:right w:val="single" w:color="auto" w:sz="4" w:space="0"/>
                  </w:tcBorders>
                  <w:vAlign w:val="center"/>
                </w:tcPr>
                <w:p w14:paraId="1756E044">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r>
                    <w:rPr>
                      <w:rFonts w:hint="eastAsia" w:ascii="宋体" w:hAnsi="宋体" w:eastAsia="宋体" w:cs="宋体"/>
                      <w:color w:val="auto"/>
                      <w:szCs w:val="21"/>
                      <w:lang w:bidi="ar"/>
                    </w:rPr>
                    <w:t>第二次</w:t>
                  </w:r>
                </w:p>
              </w:tc>
              <w:tc>
                <w:tcPr>
                  <w:tcW w:w="1609" w:type="dxa"/>
                  <w:vMerge w:val="continue"/>
                  <w:tcBorders>
                    <w:top w:val="nil"/>
                    <w:left w:val="single" w:color="auto" w:sz="4" w:space="0"/>
                    <w:bottom w:val="single" w:color="auto" w:sz="4" w:space="0"/>
                    <w:right w:val="single" w:color="auto" w:sz="4" w:space="0"/>
                  </w:tcBorders>
                  <w:vAlign w:val="center"/>
                </w:tcPr>
                <w:p w14:paraId="7AE64FDD">
                  <w:pPr>
                    <w:keepNext w:val="0"/>
                    <w:keepLines w:val="0"/>
                    <w:suppressLineNumbers w:val="0"/>
                    <w:spacing w:before="0" w:beforeAutospacing="0" w:after="0" w:afterAutospacing="0"/>
                    <w:ind w:left="0" w:right="0"/>
                    <w:rPr>
                      <w:rFonts w:hint="default" w:ascii="Times New Roman" w:hAnsi="Times New Roman" w:cs="Times New Roman"/>
                      <w:color w:val="auto"/>
                      <w:sz w:val="20"/>
                      <w:szCs w:val="20"/>
                    </w:rPr>
                  </w:pPr>
                </w:p>
              </w:tc>
              <w:tc>
                <w:tcPr>
                  <w:tcW w:w="1450" w:type="dxa"/>
                  <w:vMerge w:val="continue"/>
                  <w:tcBorders>
                    <w:top w:val="nil"/>
                    <w:left w:val="single" w:color="auto" w:sz="4" w:space="0"/>
                    <w:bottom w:val="single" w:color="auto" w:sz="4" w:space="0"/>
                    <w:right w:val="single" w:color="auto" w:sz="4" w:space="0"/>
                  </w:tcBorders>
                  <w:vAlign w:val="center"/>
                </w:tcPr>
                <w:p w14:paraId="7092D635">
                  <w:pPr>
                    <w:keepNext w:val="0"/>
                    <w:keepLines w:val="0"/>
                    <w:suppressLineNumbers w:val="0"/>
                    <w:spacing w:before="0" w:beforeAutospacing="0" w:after="0" w:afterAutospacing="0"/>
                    <w:ind w:left="0" w:right="0"/>
                    <w:rPr>
                      <w:rFonts w:hint="default" w:ascii="Times New Roman" w:hAnsi="Times New Roman" w:cs="Times New Roman"/>
                      <w:color w:val="auto"/>
                      <w:sz w:val="20"/>
                      <w:szCs w:val="20"/>
                    </w:rPr>
                  </w:pPr>
                </w:p>
              </w:tc>
              <w:tc>
                <w:tcPr>
                  <w:tcW w:w="1450" w:type="dxa"/>
                  <w:tcBorders>
                    <w:top w:val="single" w:color="auto" w:sz="4" w:space="0"/>
                    <w:left w:val="single" w:color="auto" w:sz="4" w:space="0"/>
                    <w:bottom w:val="single" w:color="auto" w:sz="4" w:space="0"/>
                    <w:right w:val="single" w:color="auto" w:sz="4" w:space="0"/>
                  </w:tcBorders>
                  <w:vAlign w:val="center"/>
                </w:tcPr>
                <w:p w14:paraId="4C309215">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r>
                    <w:rPr>
                      <w:rFonts w:hint="eastAsia" w:ascii="宋体" w:hAnsi="宋体" w:eastAsia="宋体" w:cs="宋体"/>
                      <w:color w:val="auto"/>
                      <w:szCs w:val="21"/>
                      <w:lang w:bidi="ar"/>
                    </w:rPr>
                    <w:t>气</w:t>
                  </w:r>
                  <w:r>
                    <w:rPr>
                      <w:rFonts w:hint="default" w:ascii="Times New Roman" w:hAnsi="Times New Roman" w:eastAsia="宋体" w:cs="Times New Roman"/>
                      <w:color w:val="auto"/>
                      <w:szCs w:val="21"/>
                      <w:lang w:bidi="ar"/>
                    </w:rPr>
                    <w:t>251120143</w:t>
                  </w:r>
                </w:p>
              </w:tc>
              <w:tc>
                <w:tcPr>
                  <w:tcW w:w="1132" w:type="dxa"/>
                  <w:tcBorders>
                    <w:top w:val="single" w:color="auto" w:sz="4" w:space="0"/>
                    <w:left w:val="single" w:color="auto" w:sz="4" w:space="0"/>
                    <w:bottom w:val="single" w:color="auto" w:sz="4" w:space="0"/>
                    <w:right w:val="single" w:color="auto" w:sz="4" w:space="0"/>
                  </w:tcBorders>
                  <w:vAlign w:val="center"/>
                </w:tcPr>
                <w:p w14:paraId="7E611FF1">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lang w:bidi="ar"/>
                    </w:rPr>
                    <w:t>&lt;10</w:t>
                  </w:r>
                </w:p>
              </w:tc>
            </w:tr>
            <w:tr w14:paraId="673407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1265" w:type="dxa"/>
                  <w:vMerge w:val="continue"/>
                  <w:tcBorders>
                    <w:left w:val="single" w:color="auto" w:sz="4" w:space="0"/>
                    <w:right w:val="single" w:color="auto" w:sz="4" w:space="0"/>
                  </w:tcBorders>
                  <w:vAlign w:val="center"/>
                </w:tcPr>
                <w:p w14:paraId="570EAB71">
                  <w:pPr>
                    <w:keepNext w:val="0"/>
                    <w:keepLines w:val="0"/>
                    <w:suppressLineNumbers w:val="0"/>
                    <w:spacing w:before="0" w:beforeAutospacing="0" w:after="0" w:afterAutospacing="0"/>
                    <w:ind w:left="0" w:right="0"/>
                    <w:rPr>
                      <w:rFonts w:hint="default" w:ascii="Times New Roman" w:hAnsi="Times New Roman" w:cs="Times New Roman"/>
                      <w:color w:val="auto"/>
                      <w:sz w:val="20"/>
                      <w:szCs w:val="20"/>
                    </w:rPr>
                  </w:pPr>
                </w:p>
              </w:tc>
              <w:tc>
                <w:tcPr>
                  <w:tcW w:w="1269" w:type="dxa"/>
                  <w:tcBorders>
                    <w:top w:val="single" w:color="auto" w:sz="4" w:space="0"/>
                    <w:left w:val="single" w:color="auto" w:sz="4" w:space="0"/>
                    <w:bottom w:val="single" w:color="auto" w:sz="4" w:space="0"/>
                    <w:right w:val="single" w:color="auto" w:sz="4" w:space="0"/>
                  </w:tcBorders>
                  <w:vAlign w:val="center"/>
                </w:tcPr>
                <w:p w14:paraId="68D3E797">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r>
                    <w:rPr>
                      <w:rFonts w:hint="eastAsia" w:ascii="宋体" w:hAnsi="宋体" w:eastAsia="宋体" w:cs="宋体"/>
                      <w:color w:val="auto"/>
                      <w:szCs w:val="21"/>
                      <w:lang w:bidi="ar"/>
                    </w:rPr>
                    <w:t>第三次</w:t>
                  </w:r>
                </w:p>
              </w:tc>
              <w:tc>
                <w:tcPr>
                  <w:tcW w:w="1609" w:type="dxa"/>
                  <w:vMerge w:val="continue"/>
                  <w:tcBorders>
                    <w:top w:val="nil"/>
                    <w:left w:val="single" w:color="auto" w:sz="4" w:space="0"/>
                    <w:bottom w:val="single" w:color="auto" w:sz="4" w:space="0"/>
                    <w:right w:val="single" w:color="auto" w:sz="4" w:space="0"/>
                  </w:tcBorders>
                  <w:vAlign w:val="center"/>
                </w:tcPr>
                <w:p w14:paraId="24686805">
                  <w:pPr>
                    <w:keepNext w:val="0"/>
                    <w:keepLines w:val="0"/>
                    <w:suppressLineNumbers w:val="0"/>
                    <w:spacing w:before="0" w:beforeAutospacing="0" w:after="0" w:afterAutospacing="0"/>
                    <w:ind w:left="0" w:right="0"/>
                    <w:rPr>
                      <w:rFonts w:hint="default" w:ascii="Times New Roman" w:hAnsi="Times New Roman" w:cs="Times New Roman"/>
                      <w:color w:val="auto"/>
                      <w:sz w:val="20"/>
                      <w:szCs w:val="20"/>
                    </w:rPr>
                  </w:pPr>
                </w:p>
              </w:tc>
              <w:tc>
                <w:tcPr>
                  <w:tcW w:w="1450" w:type="dxa"/>
                  <w:vMerge w:val="continue"/>
                  <w:tcBorders>
                    <w:top w:val="nil"/>
                    <w:left w:val="single" w:color="auto" w:sz="4" w:space="0"/>
                    <w:bottom w:val="single" w:color="auto" w:sz="4" w:space="0"/>
                    <w:right w:val="single" w:color="auto" w:sz="4" w:space="0"/>
                  </w:tcBorders>
                  <w:vAlign w:val="center"/>
                </w:tcPr>
                <w:p w14:paraId="546B4B53">
                  <w:pPr>
                    <w:keepNext w:val="0"/>
                    <w:keepLines w:val="0"/>
                    <w:suppressLineNumbers w:val="0"/>
                    <w:spacing w:before="0" w:beforeAutospacing="0" w:after="0" w:afterAutospacing="0"/>
                    <w:ind w:left="0" w:right="0"/>
                    <w:rPr>
                      <w:rFonts w:hint="default" w:ascii="Times New Roman" w:hAnsi="Times New Roman" w:cs="Times New Roman"/>
                      <w:color w:val="auto"/>
                      <w:sz w:val="20"/>
                      <w:szCs w:val="20"/>
                    </w:rPr>
                  </w:pPr>
                </w:p>
              </w:tc>
              <w:tc>
                <w:tcPr>
                  <w:tcW w:w="1450" w:type="dxa"/>
                  <w:tcBorders>
                    <w:top w:val="single" w:color="auto" w:sz="4" w:space="0"/>
                    <w:left w:val="single" w:color="auto" w:sz="4" w:space="0"/>
                    <w:bottom w:val="single" w:color="auto" w:sz="4" w:space="0"/>
                    <w:right w:val="single" w:color="auto" w:sz="4" w:space="0"/>
                  </w:tcBorders>
                  <w:vAlign w:val="center"/>
                </w:tcPr>
                <w:p w14:paraId="3335A23E">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r>
                    <w:rPr>
                      <w:rFonts w:hint="eastAsia" w:ascii="宋体" w:hAnsi="宋体" w:eastAsia="宋体" w:cs="宋体"/>
                      <w:color w:val="auto"/>
                      <w:szCs w:val="21"/>
                      <w:lang w:bidi="ar"/>
                    </w:rPr>
                    <w:t>气</w:t>
                  </w:r>
                  <w:r>
                    <w:rPr>
                      <w:rFonts w:hint="default" w:ascii="Times New Roman" w:hAnsi="Times New Roman" w:eastAsia="宋体" w:cs="Times New Roman"/>
                      <w:color w:val="auto"/>
                      <w:szCs w:val="21"/>
                      <w:lang w:bidi="ar"/>
                    </w:rPr>
                    <w:t>251120144</w:t>
                  </w:r>
                </w:p>
              </w:tc>
              <w:tc>
                <w:tcPr>
                  <w:tcW w:w="1132" w:type="dxa"/>
                  <w:tcBorders>
                    <w:top w:val="single" w:color="auto" w:sz="4" w:space="0"/>
                    <w:left w:val="single" w:color="auto" w:sz="4" w:space="0"/>
                    <w:bottom w:val="single" w:color="auto" w:sz="4" w:space="0"/>
                    <w:right w:val="single" w:color="auto" w:sz="4" w:space="0"/>
                  </w:tcBorders>
                  <w:vAlign w:val="center"/>
                </w:tcPr>
                <w:p w14:paraId="2B9DFE5D">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lang w:bidi="ar"/>
                    </w:rPr>
                    <w:t>&lt;10</w:t>
                  </w:r>
                </w:p>
              </w:tc>
            </w:tr>
            <w:tr w14:paraId="38E808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1265" w:type="dxa"/>
                  <w:vMerge w:val="continue"/>
                  <w:tcBorders>
                    <w:left w:val="single" w:color="auto" w:sz="4" w:space="0"/>
                    <w:right w:val="single" w:color="auto" w:sz="4" w:space="0"/>
                  </w:tcBorders>
                  <w:vAlign w:val="center"/>
                </w:tcPr>
                <w:p w14:paraId="520EECE5">
                  <w:pPr>
                    <w:keepNext w:val="0"/>
                    <w:keepLines w:val="0"/>
                    <w:suppressLineNumbers w:val="0"/>
                    <w:spacing w:before="0" w:beforeAutospacing="0" w:after="0" w:afterAutospacing="0"/>
                    <w:ind w:left="0" w:right="0"/>
                    <w:rPr>
                      <w:rFonts w:hint="default" w:ascii="Times New Roman" w:hAnsi="Times New Roman" w:cs="Times New Roman"/>
                      <w:color w:val="auto"/>
                      <w:sz w:val="20"/>
                      <w:szCs w:val="20"/>
                    </w:rPr>
                  </w:pPr>
                </w:p>
              </w:tc>
              <w:tc>
                <w:tcPr>
                  <w:tcW w:w="1269" w:type="dxa"/>
                  <w:tcBorders>
                    <w:top w:val="single" w:color="auto" w:sz="4" w:space="0"/>
                    <w:left w:val="single" w:color="auto" w:sz="4" w:space="0"/>
                    <w:bottom w:val="single" w:color="auto" w:sz="4" w:space="0"/>
                    <w:right w:val="single" w:color="auto" w:sz="4" w:space="0"/>
                  </w:tcBorders>
                  <w:vAlign w:val="center"/>
                </w:tcPr>
                <w:p w14:paraId="21A2DB6B">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r>
                    <w:rPr>
                      <w:rFonts w:hint="eastAsia" w:ascii="宋体" w:hAnsi="宋体" w:eastAsia="宋体" w:cs="宋体"/>
                      <w:color w:val="auto"/>
                      <w:szCs w:val="21"/>
                      <w:lang w:bidi="ar"/>
                    </w:rPr>
                    <w:t>第四次</w:t>
                  </w:r>
                </w:p>
              </w:tc>
              <w:tc>
                <w:tcPr>
                  <w:tcW w:w="1609" w:type="dxa"/>
                  <w:vMerge w:val="continue"/>
                  <w:tcBorders>
                    <w:top w:val="nil"/>
                    <w:left w:val="single" w:color="auto" w:sz="4" w:space="0"/>
                    <w:bottom w:val="single" w:color="auto" w:sz="4" w:space="0"/>
                    <w:right w:val="single" w:color="auto" w:sz="4" w:space="0"/>
                  </w:tcBorders>
                  <w:vAlign w:val="center"/>
                </w:tcPr>
                <w:p w14:paraId="7FC8639F">
                  <w:pPr>
                    <w:keepNext w:val="0"/>
                    <w:keepLines w:val="0"/>
                    <w:suppressLineNumbers w:val="0"/>
                    <w:spacing w:before="0" w:beforeAutospacing="0" w:after="0" w:afterAutospacing="0"/>
                    <w:ind w:left="0" w:right="0"/>
                    <w:rPr>
                      <w:rFonts w:hint="default" w:ascii="Times New Roman" w:hAnsi="Times New Roman" w:cs="Times New Roman"/>
                      <w:color w:val="auto"/>
                      <w:sz w:val="20"/>
                      <w:szCs w:val="20"/>
                    </w:rPr>
                  </w:pPr>
                </w:p>
              </w:tc>
              <w:tc>
                <w:tcPr>
                  <w:tcW w:w="1450" w:type="dxa"/>
                  <w:vMerge w:val="continue"/>
                  <w:tcBorders>
                    <w:top w:val="nil"/>
                    <w:left w:val="single" w:color="auto" w:sz="4" w:space="0"/>
                    <w:bottom w:val="single" w:color="auto" w:sz="4" w:space="0"/>
                    <w:right w:val="single" w:color="auto" w:sz="4" w:space="0"/>
                  </w:tcBorders>
                  <w:vAlign w:val="center"/>
                </w:tcPr>
                <w:p w14:paraId="45A2BD1A">
                  <w:pPr>
                    <w:keepNext w:val="0"/>
                    <w:keepLines w:val="0"/>
                    <w:suppressLineNumbers w:val="0"/>
                    <w:spacing w:before="0" w:beforeAutospacing="0" w:after="0" w:afterAutospacing="0"/>
                    <w:ind w:left="0" w:right="0"/>
                    <w:rPr>
                      <w:rFonts w:hint="default" w:ascii="Times New Roman" w:hAnsi="Times New Roman" w:cs="Times New Roman"/>
                      <w:color w:val="auto"/>
                      <w:sz w:val="20"/>
                      <w:szCs w:val="20"/>
                    </w:rPr>
                  </w:pPr>
                </w:p>
              </w:tc>
              <w:tc>
                <w:tcPr>
                  <w:tcW w:w="1450" w:type="dxa"/>
                  <w:tcBorders>
                    <w:top w:val="single" w:color="auto" w:sz="4" w:space="0"/>
                    <w:left w:val="single" w:color="auto" w:sz="4" w:space="0"/>
                    <w:bottom w:val="single" w:color="auto" w:sz="4" w:space="0"/>
                    <w:right w:val="single" w:color="auto" w:sz="4" w:space="0"/>
                  </w:tcBorders>
                  <w:vAlign w:val="center"/>
                </w:tcPr>
                <w:p w14:paraId="0F3D6F7B">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r>
                    <w:rPr>
                      <w:rFonts w:hint="eastAsia" w:ascii="宋体" w:hAnsi="宋体" w:eastAsia="宋体" w:cs="宋体"/>
                      <w:color w:val="auto"/>
                      <w:szCs w:val="21"/>
                      <w:lang w:bidi="ar"/>
                    </w:rPr>
                    <w:t>气</w:t>
                  </w:r>
                  <w:r>
                    <w:rPr>
                      <w:rFonts w:hint="default" w:ascii="Times New Roman" w:hAnsi="Times New Roman" w:eastAsia="宋体" w:cs="Times New Roman"/>
                      <w:color w:val="auto"/>
                      <w:szCs w:val="21"/>
                      <w:lang w:bidi="ar"/>
                    </w:rPr>
                    <w:t>251120145</w:t>
                  </w:r>
                </w:p>
              </w:tc>
              <w:tc>
                <w:tcPr>
                  <w:tcW w:w="1132" w:type="dxa"/>
                  <w:tcBorders>
                    <w:top w:val="single" w:color="auto" w:sz="4" w:space="0"/>
                    <w:left w:val="single" w:color="auto" w:sz="4" w:space="0"/>
                    <w:bottom w:val="single" w:color="auto" w:sz="4" w:space="0"/>
                    <w:right w:val="single" w:color="auto" w:sz="4" w:space="0"/>
                  </w:tcBorders>
                  <w:vAlign w:val="center"/>
                </w:tcPr>
                <w:p w14:paraId="42EA7DC7">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lang w:bidi="ar"/>
                    </w:rPr>
                    <w:t>&lt;10</w:t>
                  </w:r>
                </w:p>
              </w:tc>
            </w:tr>
            <w:tr w14:paraId="7A5545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1265" w:type="dxa"/>
                  <w:vMerge w:val="continue"/>
                  <w:tcBorders>
                    <w:left w:val="single" w:color="auto" w:sz="4" w:space="0"/>
                    <w:right w:val="single" w:color="auto" w:sz="4" w:space="0"/>
                  </w:tcBorders>
                  <w:vAlign w:val="center"/>
                </w:tcPr>
                <w:p w14:paraId="38A2607E">
                  <w:pPr>
                    <w:keepNext w:val="0"/>
                    <w:keepLines w:val="0"/>
                    <w:suppressLineNumbers w:val="0"/>
                    <w:spacing w:before="0" w:beforeAutospacing="0" w:after="0" w:afterAutospacing="0"/>
                    <w:ind w:left="0" w:right="0"/>
                    <w:rPr>
                      <w:rFonts w:hint="default" w:ascii="Times New Roman" w:hAnsi="Times New Roman" w:cs="Times New Roman"/>
                      <w:color w:val="auto"/>
                      <w:sz w:val="20"/>
                      <w:szCs w:val="20"/>
                    </w:rPr>
                  </w:pPr>
                </w:p>
              </w:tc>
              <w:tc>
                <w:tcPr>
                  <w:tcW w:w="1269" w:type="dxa"/>
                  <w:tcBorders>
                    <w:top w:val="single" w:color="auto" w:sz="4" w:space="0"/>
                    <w:left w:val="single" w:color="auto" w:sz="4" w:space="0"/>
                    <w:bottom w:val="single" w:color="auto" w:sz="4" w:space="0"/>
                    <w:right w:val="single" w:color="auto" w:sz="4" w:space="0"/>
                  </w:tcBorders>
                  <w:vAlign w:val="center"/>
                </w:tcPr>
                <w:p w14:paraId="485C94B8">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r>
                    <w:rPr>
                      <w:rFonts w:hint="eastAsia" w:ascii="宋体" w:hAnsi="宋体" w:eastAsia="宋体" w:cs="宋体"/>
                      <w:color w:val="auto"/>
                      <w:szCs w:val="21"/>
                      <w:lang w:bidi="ar"/>
                    </w:rPr>
                    <w:t>第一次</w:t>
                  </w:r>
                </w:p>
              </w:tc>
              <w:tc>
                <w:tcPr>
                  <w:tcW w:w="1609" w:type="dxa"/>
                  <w:vMerge w:val="continue"/>
                  <w:tcBorders>
                    <w:top w:val="nil"/>
                    <w:left w:val="single" w:color="auto" w:sz="4" w:space="0"/>
                    <w:bottom w:val="single" w:color="auto" w:sz="4" w:space="0"/>
                    <w:right w:val="single" w:color="auto" w:sz="4" w:space="0"/>
                  </w:tcBorders>
                  <w:vAlign w:val="center"/>
                </w:tcPr>
                <w:p w14:paraId="22C2339B">
                  <w:pPr>
                    <w:keepNext w:val="0"/>
                    <w:keepLines w:val="0"/>
                    <w:suppressLineNumbers w:val="0"/>
                    <w:spacing w:before="0" w:beforeAutospacing="0" w:after="0" w:afterAutospacing="0"/>
                    <w:ind w:left="0" w:right="0"/>
                    <w:rPr>
                      <w:rFonts w:hint="default" w:ascii="Times New Roman" w:hAnsi="Times New Roman" w:cs="Times New Roman"/>
                      <w:color w:val="auto"/>
                      <w:sz w:val="20"/>
                      <w:szCs w:val="20"/>
                    </w:rPr>
                  </w:pPr>
                </w:p>
              </w:tc>
              <w:tc>
                <w:tcPr>
                  <w:tcW w:w="1450" w:type="dxa"/>
                  <w:vMerge w:val="restart"/>
                  <w:tcBorders>
                    <w:top w:val="nil"/>
                    <w:left w:val="single" w:color="auto" w:sz="4" w:space="0"/>
                    <w:bottom w:val="single" w:color="auto" w:sz="4" w:space="0"/>
                    <w:right w:val="single" w:color="auto" w:sz="4" w:space="0"/>
                  </w:tcBorders>
                  <w:vAlign w:val="center"/>
                </w:tcPr>
                <w:p w14:paraId="0F429635">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r>
                    <w:rPr>
                      <w:rFonts w:hint="eastAsia" w:ascii="宋体" w:hAnsi="宋体" w:eastAsia="宋体" w:cs="宋体"/>
                      <w:color w:val="auto"/>
                      <w:szCs w:val="21"/>
                      <w:lang w:bidi="ar"/>
                    </w:rPr>
                    <w:t>厂界下风向</w:t>
                  </w:r>
                  <w:r>
                    <w:rPr>
                      <w:rFonts w:hint="default" w:ascii="Times New Roman" w:hAnsi="Times New Roman" w:eastAsia="宋体" w:cs="Times New Roman"/>
                      <w:color w:val="auto"/>
                      <w:szCs w:val="21"/>
                      <w:lang w:bidi="ar"/>
                    </w:rPr>
                    <w:t>3</w:t>
                  </w:r>
                </w:p>
              </w:tc>
              <w:tc>
                <w:tcPr>
                  <w:tcW w:w="1450" w:type="dxa"/>
                  <w:tcBorders>
                    <w:top w:val="single" w:color="auto" w:sz="4" w:space="0"/>
                    <w:left w:val="single" w:color="auto" w:sz="4" w:space="0"/>
                    <w:bottom w:val="single" w:color="auto" w:sz="4" w:space="0"/>
                    <w:right w:val="single" w:color="auto" w:sz="4" w:space="0"/>
                  </w:tcBorders>
                  <w:vAlign w:val="center"/>
                </w:tcPr>
                <w:p w14:paraId="08891B04">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r>
                    <w:rPr>
                      <w:rFonts w:hint="eastAsia" w:ascii="宋体" w:hAnsi="宋体" w:eastAsia="宋体" w:cs="宋体"/>
                      <w:color w:val="auto"/>
                      <w:szCs w:val="21"/>
                      <w:lang w:bidi="ar"/>
                    </w:rPr>
                    <w:t>气</w:t>
                  </w:r>
                  <w:r>
                    <w:rPr>
                      <w:rFonts w:hint="default" w:ascii="Times New Roman" w:hAnsi="Times New Roman" w:eastAsia="宋体" w:cs="Times New Roman"/>
                      <w:color w:val="auto"/>
                      <w:szCs w:val="21"/>
                      <w:lang w:bidi="ar"/>
                    </w:rPr>
                    <w:t>251120146</w:t>
                  </w:r>
                </w:p>
              </w:tc>
              <w:tc>
                <w:tcPr>
                  <w:tcW w:w="1132" w:type="dxa"/>
                  <w:tcBorders>
                    <w:top w:val="single" w:color="auto" w:sz="4" w:space="0"/>
                    <w:left w:val="single" w:color="auto" w:sz="4" w:space="0"/>
                    <w:bottom w:val="single" w:color="auto" w:sz="4" w:space="0"/>
                    <w:right w:val="single" w:color="auto" w:sz="4" w:space="0"/>
                  </w:tcBorders>
                  <w:vAlign w:val="center"/>
                </w:tcPr>
                <w:p w14:paraId="0EDE1EEE">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lang w:bidi="ar"/>
                    </w:rPr>
                    <w:t>&lt;10</w:t>
                  </w:r>
                </w:p>
              </w:tc>
            </w:tr>
            <w:tr w14:paraId="3C39B9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1265" w:type="dxa"/>
                  <w:vMerge w:val="continue"/>
                  <w:tcBorders>
                    <w:left w:val="single" w:color="auto" w:sz="4" w:space="0"/>
                    <w:right w:val="single" w:color="auto" w:sz="4" w:space="0"/>
                  </w:tcBorders>
                  <w:vAlign w:val="center"/>
                </w:tcPr>
                <w:p w14:paraId="3469BC5E">
                  <w:pPr>
                    <w:keepNext w:val="0"/>
                    <w:keepLines w:val="0"/>
                    <w:suppressLineNumbers w:val="0"/>
                    <w:spacing w:before="0" w:beforeAutospacing="0" w:after="0" w:afterAutospacing="0"/>
                    <w:ind w:left="0" w:right="0"/>
                    <w:rPr>
                      <w:rFonts w:hint="default" w:ascii="Times New Roman" w:hAnsi="Times New Roman" w:cs="Times New Roman"/>
                      <w:color w:val="auto"/>
                      <w:sz w:val="20"/>
                      <w:szCs w:val="20"/>
                    </w:rPr>
                  </w:pPr>
                </w:p>
              </w:tc>
              <w:tc>
                <w:tcPr>
                  <w:tcW w:w="1269" w:type="dxa"/>
                  <w:tcBorders>
                    <w:top w:val="single" w:color="auto" w:sz="4" w:space="0"/>
                    <w:left w:val="single" w:color="auto" w:sz="4" w:space="0"/>
                    <w:bottom w:val="single" w:color="auto" w:sz="4" w:space="0"/>
                    <w:right w:val="single" w:color="auto" w:sz="4" w:space="0"/>
                  </w:tcBorders>
                  <w:vAlign w:val="center"/>
                </w:tcPr>
                <w:p w14:paraId="576C3F6F">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r>
                    <w:rPr>
                      <w:rFonts w:hint="eastAsia" w:ascii="宋体" w:hAnsi="宋体" w:eastAsia="宋体" w:cs="宋体"/>
                      <w:color w:val="auto"/>
                      <w:szCs w:val="21"/>
                      <w:lang w:bidi="ar"/>
                    </w:rPr>
                    <w:t>第二次</w:t>
                  </w:r>
                </w:p>
              </w:tc>
              <w:tc>
                <w:tcPr>
                  <w:tcW w:w="1609" w:type="dxa"/>
                  <w:vMerge w:val="continue"/>
                  <w:tcBorders>
                    <w:top w:val="nil"/>
                    <w:left w:val="single" w:color="auto" w:sz="4" w:space="0"/>
                    <w:bottom w:val="single" w:color="auto" w:sz="4" w:space="0"/>
                    <w:right w:val="single" w:color="auto" w:sz="4" w:space="0"/>
                  </w:tcBorders>
                  <w:vAlign w:val="center"/>
                </w:tcPr>
                <w:p w14:paraId="6ECA64A1">
                  <w:pPr>
                    <w:keepNext w:val="0"/>
                    <w:keepLines w:val="0"/>
                    <w:suppressLineNumbers w:val="0"/>
                    <w:spacing w:before="0" w:beforeAutospacing="0" w:after="0" w:afterAutospacing="0"/>
                    <w:ind w:left="0" w:right="0"/>
                    <w:rPr>
                      <w:rFonts w:hint="default" w:ascii="Times New Roman" w:hAnsi="Times New Roman" w:cs="Times New Roman"/>
                      <w:color w:val="auto"/>
                      <w:sz w:val="20"/>
                      <w:szCs w:val="20"/>
                    </w:rPr>
                  </w:pPr>
                </w:p>
              </w:tc>
              <w:tc>
                <w:tcPr>
                  <w:tcW w:w="1450" w:type="dxa"/>
                  <w:vMerge w:val="continue"/>
                  <w:tcBorders>
                    <w:top w:val="nil"/>
                    <w:left w:val="single" w:color="auto" w:sz="4" w:space="0"/>
                    <w:bottom w:val="single" w:color="auto" w:sz="4" w:space="0"/>
                    <w:right w:val="single" w:color="auto" w:sz="4" w:space="0"/>
                  </w:tcBorders>
                  <w:vAlign w:val="center"/>
                </w:tcPr>
                <w:p w14:paraId="6583767D">
                  <w:pPr>
                    <w:keepNext w:val="0"/>
                    <w:keepLines w:val="0"/>
                    <w:suppressLineNumbers w:val="0"/>
                    <w:spacing w:before="0" w:beforeAutospacing="0" w:after="0" w:afterAutospacing="0"/>
                    <w:ind w:left="0" w:right="0"/>
                    <w:rPr>
                      <w:rFonts w:hint="default" w:ascii="Times New Roman" w:hAnsi="Times New Roman" w:cs="Times New Roman"/>
                      <w:color w:val="auto"/>
                      <w:sz w:val="20"/>
                      <w:szCs w:val="20"/>
                    </w:rPr>
                  </w:pPr>
                </w:p>
              </w:tc>
              <w:tc>
                <w:tcPr>
                  <w:tcW w:w="1450" w:type="dxa"/>
                  <w:tcBorders>
                    <w:top w:val="single" w:color="auto" w:sz="4" w:space="0"/>
                    <w:left w:val="single" w:color="auto" w:sz="4" w:space="0"/>
                    <w:bottom w:val="single" w:color="auto" w:sz="4" w:space="0"/>
                    <w:right w:val="single" w:color="auto" w:sz="4" w:space="0"/>
                  </w:tcBorders>
                  <w:vAlign w:val="center"/>
                </w:tcPr>
                <w:p w14:paraId="7F6578F1">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r>
                    <w:rPr>
                      <w:rFonts w:hint="eastAsia" w:ascii="宋体" w:hAnsi="宋体" w:eastAsia="宋体" w:cs="宋体"/>
                      <w:color w:val="auto"/>
                      <w:szCs w:val="21"/>
                      <w:lang w:bidi="ar"/>
                    </w:rPr>
                    <w:t>气</w:t>
                  </w:r>
                  <w:r>
                    <w:rPr>
                      <w:rFonts w:hint="default" w:ascii="Times New Roman" w:hAnsi="Times New Roman" w:eastAsia="宋体" w:cs="Times New Roman"/>
                      <w:color w:val="auto"/>
                      <w:szCs w:val="21"/>
                      <w:lang w:bidi="ar"/>
                    </w:rPr>
                    <w:t>251120147</w:t>
                  </w:r>
                </w:p>
              </w:tc>
              <w:tc>
                <w:tcPr>
                  <w:tcW w:w="1132" w:type="dxa"/>
                  <w:tcBorders>
                    <w:top w:val="single" w:color="auto" w:sz="4" w:space="0"/>
                    <w:left w:val="single" w:color="auto" w:sz="4" w:space="0"/>
                    <w:bottom w:val="single" w:color="auto" w:sz="4" w:space="0"/>
                    <w:right w:val="single" w:color="auto" w:sz="4" w:space="0"/>
                  </w:tcBorders>
                  <w:vAlign w:val="center"/>
                </w:tcPr>
                <w:p w14:paraId="72DDA617">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lang w:bidi="ar"/>
                    </w:rPr>
                    <w:t>&lt;10</w:t>
                  </w:r>
                </w:p>
              </w:tc>
            </w:tr>
            <w:tr w14:paraId="794A69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1265" w:type="dxa"/>
                  <w:vMerge w:val="continue"/>
                  <w:tcBorders>
                    <w:left w:val="single" w:color="auto" w:sz="4" w:space="0"/>
                    <w:right w:val="single" w:color="auto" w:sz="4" w:space="0"/>
                  </w:tcBorders>
                  <w:vAlign w:val="center"/>
                </w:tcPr>
                <w:p w14:paraId="0DA00B14">
                  <w:pPr>
                    <w:keepNext w:val="0"/>
                    <w:keepLines w:val="0"/>
                    <w:suppressLineNumbers w:val="0"/>
                    <w:spacing w:before="0" w:beforeAutospacing="0" w:after="0" w:afterAutospacing="0"/>
                    <w:ind w:left="0" w:right="0"/>
                    <w:rPr>
                      <w:rFonts w:hint="default" w:ascii="Times New Roman" w:hAnsi="Times New Roman" w:cs="Times New Roman"/>
                      <w:color w:val="auto"/>
                      <w:sz w:val="20"/>
                      <w:szCs w:val="20"/>
                    </w:rPr>
                  </w:pPr>
                </w:p>
              </w:tc>
              <w:tc>
                <w:tcPr>
                  <w:tcW w:w="1269" w:type="dxa"/>
                  <w:tcBorders>
                    <w:top w:val="single" w:color="auto" w:sz="4" w:space="0"/>
                    <w:left w:val="single" w:color="auto" w:sz="4" w:space="0"/>
                    <w:bottom w:val="single" w:color="auto" w:sz="4" w:space="0"/>
                    <w:right w:val="single" w:color="auto" w:sz="4" w:space="0"/>
                  </w:tcBorders>
                  <w:vAlign w:val="center"/>
                </w:tcPr>
                <w:p w14:paraId="4FD5C9A5">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r>
                    <w:rPr>
                      <w:rFonts w:hint="eastAsia" w:ascii="宋体" w:hAnsi="宋体" w:eastAsia="宋体" w:cs="宋体"/>
                      <w:color w:val="auto"/>
                      <w:szCs w:val="21"/>
                      <w:lang w:bidi="ar"/>
                    </w:rPr>
                    <w:t>第三次</w:t>
                  </w:r>
                </w:p>
              </w:tc>
              <w:tc>
                <w:tcPr>
                  <w:tcW w:w="1609" w:type="dxa"/>
                  <w:vMerge w:val="continue"/>
                  <w:tcBorders>
                    <w:top w:val="nil"/>
                    <w:left w:val="single" w:color="auto" w:sz="4" w:space="0"/>
                    <w:bottom w:val="single" w:color="auto" w:sz="4" w:space="0"/>
                    <w:right w:val="single" w:color="auto" w:sz="4" w:space="0"/>
                  </w:tcBorders>
                  <w:vAlign w:val="center"/>
                </w:tcPr>
                <w:p w14:paraId="57A58E70">
                  <w:pPr>
                    <w:keepNext w:val="0"/>
                    <w:keepLines w:val="0"/>
                    <w:suppressLineNumbers w:val="0"/>
                    <w:spacing w:before="0" w:beforeAutospacing="0" w:after="0" w:afterAutospacing="0"/>
                    <w:ind w:left="0" w:right="0"/>
                    <w:rPr>
                      <w:rFonts w:hint="default" w:ascii="Times New Roman" w:hAnsi="Times New Roman" w:cs="Times New Roman"/>
                      <w:color w:val="auto"/>
                      <w:sz w:val="20"/>
                      <w:szCs w:val="20"/>
                    </w:rPr>
                  </w:pPr>
                </w:p>
              </w:tc>
              <w:tc>
                <w:tcPr>
                  <w:tcW w:w="1450" w:type="dxa"/>
                  <w:vMerge w:val="continue"/>
                  <w:tcBorders>
                    <w:top w:val="nil"/>
                    <w:left w:val="single" w:color="auto" w:sz="4" w:space="0"/>
                    <w:bottom w:val="single" w:color="auto" w:sz="4" w:space="0"/>
                    <w:right w:val="single" w:color="auto" w:sz="4" w:space="0"/>
                  </w:tcBorders>
                  <w:vAlign w:val="center"/>
                </w:tcPr>
                <w:p w14:paraId="0556542E">
                  <w:pPr>
                    <w:keepNext w:val="0"/>
                    <w:keepLines w:val="0"/>
                    <w:suppressLineNumbers w:val="0"/>
                    <w:spacing w:before="0" w:beforeAutospacing="0" w:after="0" w:afterAutospacing="0"/>
                    <w:ind w:left="0" w:right="0"/>
                    <w:rPr>
                      <w:rFonts w:hint="default" w:ascii="Times New Roman" w:hAnsi="Times New Roman" w:cs="Times New Roman"/>
                      <w:color w:val="auto"/>
                      <w:sz w:val="20"/>
                      <w:szCs w:val="20"/>
                    </w:rPr>
                  </w:pPr>
                </w:p>
              </w:tc>
              <w:tc>
                <w:tcPr>
                  <w:tcW w:w="1450" w:type="dxa"/>
                  <w:tcBorders>
                    <w:top w:val="single" w:color="auto" w:sz="4" w:space="0"/>
                    <w:left w:val="single" w:color="auto" w:sz="4" w:space="0"/>
                    <w:bottom w:val="single" w:color="auto" w:sz="4" w:space="0"/>
                    <w:right w:val="single" w:color="auto" w:sz="4" w:space="0"/>
                  </w:tcBorders>
                  <w:vAlign w:val="center"/>
                </w:tcPr>
                <w:p w14:paraId="5BE814FE">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r>
                    <w:rPr>
                      <w:rFonts w:hint="eastAsia" w:ascii="宋体" w:hAnsi="宋体" w:eastAsia="宋体" w:cs="宋体"/>
                      <w:color w:val="auto"/>
                      <w:szCs w:val="21"/>
                      <w:lang w:bidi="ar"/>
                    </w:rPr>
                    <w:t>气</w:t>
                  </w:r>
                  <w:r>
                    <w:rPr>
                      <w:rFonts w:hint="default" w:ascii="Times New Roman" w:hAnsi="Times New Roman" w:eastAsia="宋体" w:cs="Times New Roman"/>
                      <w:color w:val="auto"/>
                      <w:szCs w:val="21"/>
                      <w:lang w:bidi="ar"/>
                    </w:rPr>
                    <w:t>251120148</w:t>
                  </w:r>
                </w:p>
              </w:tc>
              <w:tc>
                <w:tcPr>
                  <w:tcW w:w="1132" w:type="dxa"/>
                  <w:tcBorders>
                    <w:top w:val="single" w:color="auto" w:sz="4" w:space="0"/>
                    <w:left w:val="single" w:color="auto" w:sz="4" w:space="0"/>
                    <w:bottom w:val="single" w:color="auto" w:sz="4" w:space="0"/>
                    <w:right w:val="single" w:color="auto" w:sz="4" w:space="0"/>
                  </w:tcBorders>
                  <w:vAlign w:val="center"/>
                </w:tcPr>
                <w:p w14:paraId="717A3B86">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lang w:bidi="ar"/>
                    </w:rPr>
                    <w:t>&lt;10</w:t>
                  </w:r>
                </w:p>
              </w:tc>
            </w:tr>
            <w:tr w14:paraId="3A54AD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1265" w:type="dxa"/>
                  <w:vMerge w:val="continue"/>
                  <w:tcBorders>
                    <w:left w:val="single" w:color="auto" w:sz="4" w:space="0"/>
                    <w:bottom w:val="single" w:color="auto" w:sz="4" w:space="0"/>
                    <w:right w:val="single" w:color="auto" w:sz="4" w:space="0"/>
                  </w:tcBorders>
                  <w:vAlign w:val="center"/>
                </w:tcPr>
                <w:p w14:paraId="36AD3526">
                  <w:pPr>
                    <w:keepNext w:val="0"/>
                    <w:keepLines w:val="0"/>
                    <w:suppressLineNumbers w:val="0"/>
                    <w:spacing w:before="0" w:beforeAutospacing="0" w:after="0" w:afterAutospacing="0"/>
                    <w:ind w:left="0" w:right="0"/>
                    <w:rPr>
                      <w:rFonts w:hint="default" w:ascii="Times New Roman" w:hAnsi="Times New Roman" w:cs="Times New Roman"/>
                      <w:color w:val="auto"/>
                      <w:sz w:val="20"/>
                      <w:szCs w:val="20"/>
                    </w:rPr>
                  </w:pPr>
                </w:p>
              </w:tc>
              <w:tc>
                <w:tcPr>
                  <w:tcW w:w="1269" w:type="dxa"/>
                  <w:tcBorders>
                    <w:top w:val="single" w:color="auto" w:sz="4" w:space="0"/>
                    <w:left w:val="single" w:color="auto" w:sz="4" w:space="0"/>
                    <w:bottom w:val="single" w:color="auto" w:sz="4" w:space="0"/>
                    <w:right w:val="single" w:color="auto" w:sz="4" w:space="0"/>
                  </w:tcBorders>
                  <w:vAlign w:val="center"/>
                </w:tcPr>
                <w:p w14:paraId="2DDCBE69">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r>
                    <w:rPr>
                      <w:rFonts w:hint="eastAsia" w:ascii="宋体" w:hAnsi="宋体" w:eastAsia="宋体" w:cs="宋体"/>
                      <w:color w:val="auto"/>
                      <w:szCs w:val="21"/>
                      <w:lang w:bidi="ar"/>
                    </w:rPr>
                    <w:t>第四次</w:t>
                  </w:r>
                </w:p>
              </w:tc>
              <w:tc>
                <w:tcPr>
                  <w:tcW w:w="1609" w:type="dxa"/>
                  <w:vMerge w:val="continue"/>
                  <w:tcBorders>
                    <w:top w:val="nil"/>
                    <w:left w:val="single" w:color="auto" w:sz="4" w:space="0"/>
                    <w:bottom w:val="single" w:color="auto" w:sz="4" w:space="0"/>
                    <w:right w:val="single" w:color="auto" w:sz="4" w:space="0"/>
                  </w:tcBorders>
                  <w:vAlign w:val="center"/>
                </w:tcPr>
                <w:p w14:paraId="08818030">
                  <w:pPr>
                    <w:keepNext w:val="0"/>
                    <w:keepLines w:val="0"/>
                    <w:suppressLineNumbers w:val="0"/>
                    <w:spacing w:before="0" w:beforeAutospacing="0" w:after="0" w:afterAutospacing="0"/>
                    <w:ind w:left="0" w:right="0"/>
                    <w:rPr>
                      <w:rFonts w:hint="default" w:ascii="Times New Roman" w:hAnsi="Times New Roman" w:cs="Times New Roman"/>
                      <w:color w:val="auto"/>
                      <w:sz w:val="20"/>
                      <w:szCs w:val="20"/>
                    </w:rPr>
                  </w:pPr>
                </w:p>
              </w:tc>
              <w:tc>
                <w:tcPr>
                  <w:tcW w:w="1450" w:type="dxa"/>
                  <w:vMerge w:val="continue"/>
                  <w:tcBorders>
                    <w:top w:val="nil"/>
                    <w:left w:val="single" w:color="auto" w:sz="4" w:space="0"/>
                    <w:bottom w:val="single" w:color="auto" w:sz="4" w:space="0"/>
                    <w:right w:val="single" w:color="auto" w:sz="4" w:space="0"/>
                  </w:tcBorders>
                  <w:vAlign w:val="center"/>
                </w:tcPr>
                <w:p w14:paraId="6B1F7432">
                  <w:pPr>
                    <w:keepNext w:val="0"/>
                    <w:keepLines w:val="0"/>
                    <w:suppressLineNumbers w:val="0"/>
                    <w:spacing w:before="0" w:beforeAutospacing="0" w:after="0" w:afterAutospacing="0"/>
                    <w:ind w:left="0" w:right="0"/>
                    <w:rPr>
                      <w:rFonts w:hint="default" w:ascii="Times New Roman" w:hAnsi="Times New Roman" w:cs="Times New Roman"/>
                      <w:color w:val="auto"/>
                      <w:sz w:val="20"/>
                      <w:szCs w:val="20"/>
                    </w:rPr>
                  </w:pPr>
                </w:p>
              </w:tc>
              <w:tc>
                <w:tcPr>
                  <w:tcW w:w="1450" w:type="dxa"/>
                  <w:tcBorders>
                    <w:top w:val="single" w:color="auto" w:sz="4" w:space="0"/>
                    <w:left w:val="single" w:color="auto" w:sz="4" w:space="0"/>
                    <w:bottom w:val="single" w:color="auto" w:sz="4" w:space="0"/>
                    <w:right w:val="single" w:color="auto" w:sz="4" w:space="0"/>
                  </w:tcBorders>
                  <w:vAlign w:val="center"/>
                </w:tcPr>
                <w:p w14:paraId="30B99C4C">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r>
                    <w:rPr>
                      <w:rFonts w:hint="eastAsia" w:ascii="宋体" w:hAnsi="宋体" w:eastAsia="宋体" w:cs="宋体"/>
                      <w:color w:val="auto"/>
                      <w:szCs w:val="21"/>
                      <w:lang w:bidi="ar"/>
                    </w:rPr>
                    <w:t>气</w:t>
                  </w:r>
                  <w:r>
                    <w:rPr>
                      <w:rFonts w:hint="default" w:ascii="Times New Roman" w:hAnsi="Times New Roman" w:eastAsia="宋体" w:cs="Times New Roman"/>
                      <w:color w:val="auto"/>
                      <w:szCs w:val="21"/>
                      <w:lang w:bidi="ar"/>
                    </w:rPr>
                    <w:t>251120149</w:t>
                  </w:r>
                </w:p>
              </w:tc>
              <w:tc>
                <w:tcPr>
                  <w:tcW w:w="1132" w:type="dxa"/>
                  <w:tcBorders>
                    <w:top w:val="single" w:color="auto" w:sz="4" w:space="0"/>
                    <w:left w:val="single" w:color="auto" w:sz="4" w:space="0"/>
                    <w:bottom w:val="single" w:color="auto" w:sz="4" w:space="0"/>
                    <w:right w:val="single" w:color="auto" w:sz="4" w:space="0"/>
                  </w:tcBorders>
                  <w:vAlign w:val="center"/>
                </w:tcPr>
                <w:p w14:paraId="5BADEC72">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lang w:bidi="ar"/>
                    </w:rPr>
                    <w:t>&lt;10</w:t>
                  </w:r>
                </w:p>
              </w:tc>
            </w:tr>
          </w:tbl>
          <w:p w14:paraId="5D884ACB">
            <w:pPr>
              <w:keepNext w:val="0"/>
              <w:keepLines w:val="0"/>
              <w:suppressLineNumbers w:val="0"/>
              <w:spacing w:before="0" w:beforeAutospacing="0" w:after="0" w:afterAutospacing="0" w:line="360" w:lineRule="auto"/>
              <w:ind w:left="0" w:right="0" w:firstLine="480" w:firstLineChars="200"/>
              <w:rPr>
                <w:rFonts w:hint="default" w:ascii="Times New Roman" w:hAnsi="Times New Roman" w:eastAsia="宋体" w:cs="Times New Roman"/>
                <w:color w:val="auto"/>
                <w:sz w:val="24"/>
              </w:rPr>
            </w:pPr>
            <w:r>
              <w:rPr>
                <w:rFonts w:hint="default" w:ascii="Times New Roman" w:hAnsi="Times New Roman" w:eastAsia="宋体" w:cs="Times New Roman"/>
                <w:color w:val="auto"/>
                <w:sz w:val="24"/>
              </w:rPr>
              <w:t>由上表可知，企业厂界非甲烷总烃</w:t>
            </w:r>
            <w:r>
              <w:rPr>
                <w:rFonts w:hint="eastAsia" w:ascii="Times New Roman" w:hAnsi="Times New Roman" w:eastAsia="宋体" w:cs="Times New Roman"/>
                <w:color w:val="auto"/>
                <w:sz w:val="24"/>
              </w:rPr>
              <w:t>无组织</w:t>
            </w:r>
            <w:r>
              <w:rPr>
                <w:rFonts w:hint="default" w:ascii="Times New Roman" w:hAnsi="Times New Roman" w:eastAsia="宋体" w:cs="Times New Roman"/>
                <w:color w:val="auto"/>
                <w:sz w:val="24"/>
              </w:rPr>
              <w:t>排放浓度</w:t>
            </w:r>
            <w:r>
              <w:rPr>
                <w:rFonts w:hint="eastAsia" w:ascii="Times New Roman" w:hAnsi="Times New Roman" w:eastAsia="宋体" w:cs="Times New Roman"/>
                <w:color w:val="auto"/>
                <w:sz w:val="24"/>
              </w:rPr>
              <w:t>满足《合成树脂工业污染物排放标准》（GB31572-2015，含2024年修改单）表9中的浓度限值，臭气浓度排放满足《恶臭污染物排放标准》（GB14554-93）表1中的二级新扩改建标准值，厂区内VOCs无组织排放满足《挥发性有机物无组织排放控制标准》（GB37822-2019）表A.1中的特别排放限值。</w:t>
            </w:r>
          </w:p>
          <w:p w14:paraId="50AA2AF5">
            <w:pPr>
              <w:keepNext w:val="0"/>
              <w:keepLines w:val="0"/>
              <w:suppressLineNumbers w:val="0"/>
              <w:spacing w:before="0" w:beforeAutospacing="0" w:after="0" w:afterAutospacing="0" w:line="360" w:lineRule="auto"/>
              <w:ind w:left="0" w:right="0" w:firstLine="480" w:firstLineChars="200"/>
              <w:rPr>
                <w:rFonts w:hint="default" w:ascii="Times New Roman" w:hAnsi="Times New Roman" w:eastAsia="宋体" w:cs="Times New Roman"/>
                <w:color w:val="auto"/>
                <w:sz w:val="24"/>
              </w:rPr>
            </w:pPr>
            <w:r>
              <w:rPr>
                <w:rFonts w:hint="eastAsia" w:ascii="Times New Roman" w:hAnsi="Times New Roman" w:eastAsia="宋体" w:cs="Times New Roman"/>
                <w:color w:val="auto"/>
                <w:sz w:val="24"/>
              </w:rPr>
              <w:t>（2）废水</w:t>
            </w:r>
          </w:p>
          <w:p w14:paraId="2B3ED159">
            <w:pPr>
              <w:keepNext w:val="0"/>
              <w:keepLines w:val="0"/>
              <w:suppressLineNumbers w:val="0"/>
              <w:spacing w:before="0" w:beforeAutospacing="0" w:after="0" w:afterAutospacing="0" w:line="360" w:lineRule="auto"/>
              <w:ind w:left="0" w:right="0" w:firstLine="480" w:firstLineChars="200"/>
              <w:rPr>
                <w:rFonts w:hint="default" w:ascii="Times New Roman" w:hAnsi="Times New Roman" w:eastAsia="宋体" w:cs="Times New Roman"/>
                <w:color w:val="auto"/>
                <w:sz w:val="24"/>
              </w:rPr>
            </w:pPr>
            <w:r>
              <w:rPr>
                <w:rFonts w:hint="eastAsia" w:ascii="Times New Roman" w:hAnsi="Times New Roman" w:eastAsia="宋体" w:cs="Times New Roman"/>
                <w:color w:val="auto"/>
                <w:sz w:val="24"/>
              </w:rPr>
              <w:t>①生活污水：现有项目</w:t>
            </w:r>
            <w:r>
              <w:rPr>
                <w:rFonts w:hint="eastAsia" w:ascii="宋体" w:hAnsi="宋体" w:eastAsia="宋体" w:cs="宋体"/>
                <w:color w:val="auto"/>
                <w:sz w:val="24"/>
              </w:rPr>
              <w:t>生活污水经化粪池预处理后纳管至安吉清源污水处理有限公司集中处理，其排放量约</w:t>
            </w:r>
            <w:r>
              <w:rPr>
                <w:rFonts w:hint="default" w:ascii="Times New Roman" w:hAnsi="Times New Roman" w:eastAsia="宋体" w:cs="Times New Roman"/>
                <w:color w:val="auto"/>
                <w:sz w:val="24"/>
              </w:rPr>
              <w:t>18000t/a</w:t>
            </w:r>
            <w:r>
              <w:rPr>
                <w:rFonts w:hint="eastAsia" w:ascii="宋体" w:hAnsi="宋体" w:eastAsia="宋体" w:cs="宋体"/>
                <w:color w:val="auto"/>
                <w:sz w:val="24"/>
              </w:rPr>
              <w:t>。安吉清源污水处理有限公司尾水排放执行《城镇污水处理厂污染物排放标准》（</w:t>
            </w:r>
            <w:r>
              <w:rPr>
                <w:rFonts w:hint="default" w:ascii="Times New Roman" w:hAnsi="Times New Roman" w:eastAsia="宋体" w:cs="Times New Roman"/>
                <w:color w:val="auto"/>
                <w:sz w:val="24"/>
              </w:rPr>
              <w:t>GB18918-2002</w:t>
            </w:r>
            <w:r>
              <w:rPr>
                <w:rFonts w:hint="eastAsia" w:ascii="宋体" w:hAnsi="宋体" w:eastAsia="宋体" w:cs="宋体"/>
                <w:color w:val="auto"/>
                <w:sz w:val="24"/>
              </w:rPr>
              <w:t>）中的一级</w:t>
            </w:r>
            <w:r>
              <w:rPr>
                <w:rFonts w:hint="default" w:ascii="Times New Roman" w:hAnsi="Times New Roman" w:eastAsia="宋体" w:cs="Times New Roman"/>
                <w:color w:val="auto"/>
                <w:sz w:val="24"/>
              </w:rPr>
              <w:t>A</w:t>
            </w:r>
            <w:r>
              <w:rPr>
                <w:rFonts w:hint="eastAsia" w:ascii="宋体" w:hAnsi="宋体" w:eastAsia="宋体" w:cs="宋体"/>
                <w:color w:val="auto"/>
                <w:sz w:val="24"/>
              </w:rPr>
              <w:t>标准，其中化学需氧量、氨氮、总氮、总磷排放执行《城镇污水处理厂主要水污染物排放标准》（</w:t>
            </w:r>
            <w:r>
              <w:rPr>
                <w:rFonts w:hint="default" w:ascii="Times New Roman" w:hAnsi="Times New Roman" w:eastAsia="宋体" w:cs="Times New Roman"/>
                <w:color w:val="auto"/>
                <w:sz w:val="24"/>
              </w:rPr>
              <w:t>DB33/2l69-2018</w:t>
            </w:r>
            <w:r>
              <w:rPr>
                <w:rFonts w:hint="eastAsia" w:ascii="宋体" w:hAnsi="宋体" w:eastAsia="宋体" w:cs="宋体"/>
                <w:color w:val="auto"/>
                <w:sz w:val="24"/>
              </w:rPr>
              <w:t>）表</w:t>
            </w:r>
            <w:r>
              <w:rPr>
                <w:rFonts w:hint="default" w:ascii="Times New Roman" w:hAnsi="Times New Roman" w:eastAsia="宋体" w:cs="Times New Roman"/>
                <w:color w:val="auto"/>
                <w:sz w:val="24"/>
              </w:rPr>
              <w:t>1</w:t>
            </w:r>
            <w:r>
              <w:rPr>
                <w:rFonts w:hint="eastAsia" w:ascii="宋体" w:hAnsi="宋体" w:eastAsia="宋体" w:cs="宋体"/>
                <w:color w:val="auto"/>
                <w:sz w:val="24"/>
              </w:rPr>
              <w:t>中的现有城镇污水处理厂主要水污染物排放限值，则排入自然水体的主要污染物</w:t>
            </w:r>
            <w:r>
              <w:rPr>
                <w:rFonts w:hint="default" w:ascii="Times New Roman" w:hAnsi="Times New Roman" w:eastAsia="宋体" w:cs="Times New Roman"/>
                <w:color w:val="auto"/>
                <w:sz w:val="24"/>
              </w:rPr>
              <w:t>COD</w:t>
            </w:r>
            <w:r>
              <w:rPr>
                <w:rFonts w:hint="default" w:ascii="Times New Roman" w:hAnsi="Times New Roman" w:eastAsia="宋体" w:cs="Times New Roman"/>
                <w:color w:val="auto"/>
                <w:sz w:val="24"/>
                <w:vertAlign w:val="subscript"/>
              </w:rPr>
              <w:t>Cr</w:t>
            </w:r>
            <w:r>
              <w:rPr>
                <w:rFonts w:hint="eastAsia" w:ascii="宋体" w:hAnsi="宋体" w:eastAsia="宋体" w:cs="宋体"/>
                <w:color w:val="auto"/>
                <w:sz w:val="24"/>
              </w:rPr>
              <w:t>约</w:t>
            </w:r>
            <w:r>
              <w:rPr>
                <w:rFonts w:hint="default" w:ascii="Times New Roman" w:hAnsi="Times New Roman" w:eastAsia="宋体" w:cs="Times New Roman"/>
                <w:color w:val="auto"/>
                <w:sz w:val="24"/>
              </w:rPr>
              <w:t>0.720t/a</w:t>
            </w:r>
            <w:r>
              <w:rPr>
                <w:rFonts w:hint="eastAsia" w:ascii="宋体" w:hAnsi="宋体" w:eastAsia="宋体" w:cs="宋体"/>
                <w:color w:val="auto"/>
                <w:sz w:val="24"/>
              </w:rPr>
              <w:t>、</w:t>
            </w:r>
            <w:r>
              <w:rPr>
                <w:rFonts w:hint="default" w:ascii="Times New Roman" w:hAnsi="Times New Roman" w:eastAsia="宋体" w:cs="Times New Roman"/>
                <w:color w:val="auto"/>
                <w:sz w:val="24"/>
              </w:rPr>
              <w:t>NH₃-N</w:t>
            </w:r>
            <w:r>
              <w:rPr>
                <w:rFonts w:hint="eastAsia" w:ascii="宋体" w:hAnsi="宋体" w:eastAsia="宋体" w:cs="宋体"/>
                <w:color w:val="auto"/>
                <w:sz w:val="24"/>
              </w:rPr>
              <w:t>约</w:t>
            </w:r>
            <w:r>
              <w:rPr>
                <w:rFonts w:hint="default" w:ascii="Times New Roman" w:hAnsi="Times New Roman" w:eastAsia="宋体" w:cs="Times New Roman"/>
                <w:color w:val="auto"/>
                <w:sz w:val="24"/>
              </w:rPr>
              <w:t>0.036t/a</w:t>
            </w:r>
            <w:r>
              <w:rPr>
                <w:rFonts w:hint="eastAsia" w:ascii="Times New Roman" w:hAnsi="Times New Roman" w:eastAsia="宋体" w:cs="Times New Roman"/>
                <w:color w:val="auto"/>
                <w:sz w:val="24"/>
              </w:rPr>
              <w:t>。</w:t>
            </w:r>
          </w:p>
          <w:p w14:paraId="23F1FCBB">
            <w:pPr>
              <w:keepNext w:val="0"/>
              <w:keepLines w:val="0"/>
              <w:suppressLineNumbers w:val="0"/>
              <w:spacing w:before="0" w:beforeAutospacing="0" w:after="0" w:afterAutospacing="0" w:line="360" w:lineRule="auto"/>
              <w:ind w:left="0" w:right="0" w:firstLine="480" w:firstLineChars="200"/>
              <w:rPr>
                <w:rFonts w:hint="default" w:ascii="Times New Roman" w:hAnsi="Times New Roman" w:eastAsia="宋体" w:cs="Times New Roman"/>
                <w:color w:val="auto"/>
                <w:sz w:val="24"/>
              </w:rPr>
            </w:pPr>
            <w:r>
              <w:rPr>
                <w:rFonts w:hint="eastAsia" w:ascii="Times New Roman" w:hAnsi="Times New Roman" w:eastAsia="宋体" w:cs="Times New Roman"/>
                <w:color w:val="auto"/>
                <w:sz w:val="24"/>
              </w:rPr>
              <w:t>根据湖州天亿环境检测有限公司出具的检测报告（报告编号：</w:t>
            </w:r>
            <w:r>
              <w:rPr>
                <w:rFonts w:hint="default" w:ascii="Times New Roman" w:hAnsi="Times New Roman" w:eastAsia="宋体" w:cs="Times New Roman"/>
                <w:color w:val="auto"/>
                <w:sz w:val="24"/>
              </w:rPr>
              <w:t>天亿检测（2025）检1463号</w:t>
            </w:r>
            <w:r>
              <w:rPr>
                <w:rFonts w:hint="eastAsia" w:ascii="Times New Roman" w:hAnsi="Times New Roman" w:eastAsia="宋体" w:cs="Times New Roman"/>
                <w:color w:val="auto"/>
                <w:sz w:val="24"/>
              </w:rPr>
              <w:t>），企业</w:t>
            </w:r>
            <w:r>
              <w:rPr>
                <w:rFonts w:hint="default" w:ascii="Times New Roman" w:hAnsi="Times New Roman" w:eastAsia="宋体" w:cs="Times New Roman"/>
                <w:color w:val="auto"/>
                <w:sz w:val="24"/>
              </w:rPr>
              <w:t>生活污水排放口</w:t>
            </w:r>
            <w:r>
              <w:rPr>
                <w:rFonts w:hint="eastAsia" w:ascii="Times New Roman" w:hAnsi="Times New Roman" w:eastAsia="宋体" w:cs="Times New Roman"/>
                <w:color w:val="auto"/>
                <w:sz w:val="24"/>
              </w:rPr>
              <w:t>检测结果见下表。</w:t>
            </w:r>
          </w:p>
          <w:p w14:paraId="15794AA8">
            <w:pPr>
              <w:keepNext w:val="0"/>
              <w:keepLines w:val="0"/>
              <w:suppressLineNumbers w:val="0"/>
              <w:spacing w:before="0" w:beforeAutospacing="0" w:after="0" w:afterAutospacing="0"/>
              <w:ind w:left="0" w:right="0"/>
              <w:jc w:val="center"/>
              <w:rPr>
                <w:rFonts w:hint="default" w:ascii="Times New Roman" w:hAnsi="Times New Roman" w:eastAsia="宋体" w:cs="Times New Roman"/>
                <w:b/>
                <w:bCs/>
                <w:color w:val="auto"/>
              </w:rPr>
            </w:pPr>
            <w:r>
              <w:rPr>
                <w:rFonts w:hint="eastAsia" w:ascii="Times New Roman" w:hAnsi="Times New Roman" w:eastAsia="宋体" w:cs="Times New Roman"/>
                <w:b/>
                <w:bCs/>
                <w:color w:val="auto"/>
              </w:rPr>
              <w:t>表2-2</w:t>
            </w:r>
            <w:r>
              <w:rPr>
                <w:rFonts w:hint="eastAsia" w:ascii="Times New Roman" w:hAnsi="Times New Roman" w:eastAsia="宋体" w:cs="Times New Roman"/>
                <w:b/>
                <w:bCs/>
                <w:color w:val="auto"/>
                <w:lang w:val="en-US" w:eastAsia="zh-CN"/>
              </w:rPr>
              <w:t>4</w:t>
            </w:r>
            <w:r>
              <w:rPr>
                <w:rFonts w:hint="eastAsia" w:ascii="Times New Roman" w:hAnsi="Times New Roman" w:eastAsia="宋体" w:cs="Times New Roman"/>
                <w:b/>
                <w:bCs/>
                <w:color w:val="auto"/>
              </w:rPr>
              <w:t xml:space="preserve">  </w:t>
            </w:r>
            <w:r>
              <w:rPr>
                <w:rFonts w:hint="default" w:ascii="Times New Roman" w:hAnsi="Times New Roman" w:eastAsia="宋体" w:cs="Times New Roman"/>
                <w:b/>
                <w:bCs/>
                <w:color w:val="auto"/>
              </w:rPr>
              <w:t>生活污水排放口</w:t>
            </w:r>
            <w:r>
              <w:rPr>
                <w:rFonts w:hint="eastAsia" w:ascii="Times New Roman" w:hAnsi="Times New Roman" w:eastAsia="宋体" w:cs="Times New Roman"/>
                <w:b/>
                <w:bCs/>
                <w:color w:val="auto"/>
              </w:rPr>
              <w:t>检测结果表</w:t>
            </w:r>
          </w:p>
          <w:tbl>
            <w:tblPr>
              <w:tblStyle w:val="22"/>
              <w:tblW w:w="4998"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326"/>
              <w:gridCol w:w="1460"/>
              <w:gridCol w:w="1462"/>
              <w:gridCol w:w="1462"/>
              <w:gridCol w:w="1462"/>
            </w:tblGrid>
            <w:tr w14:paraId="082E8C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2669" w:type="dxa"/>
                  <w:tcBorders>
                    <w:top w:val="single" w:color="auto" w:sz="4" w:space="0"/>
                    <w:left w:val="single" w:color="auto" w:sz="4" w:space="0"/>
                    <w:bottom w:val="single" w:color="auto" w:sz="4" w:space="0"/>
                    <w:right w:val="single" w:color="auto" w:sz="4" w:space="0"/>
                  </w:tcBorders>
                  <w:vAlign w:val="center"/>
                </w:tcPr>
                <w:p w14:paraId="6931D5C3">
                  <w:pPr>
                    <w:keepNext w:val="0"/>
                    <w:keepLines w:val="0"/>
                    <w:suppressLineNumbers w:val="0"/>
                    <w:spacing w:before="0" w:beforeAutospacing="0" w:after="0" w:afterAutospacing="0"/>
                    <w:ind w:left="0" w:right="0"/>
                    <w:jc w:val="center"/>
                    <w:rPr>
                      <w:rFonts w:hint="default" w:ascii="Times New Roman" w:hAnsi="Times New Roman" w:eastAsia="宋体" w:cs="Times New Roman"/>
                      <w:b/>
                      <w:bCs/>
                      <w:color w:val="auto"/>
                      <w:szCs w:val="21"/>
                    </w:rPr>
                  </w:pPr>
                  <w:bookmarkStart w:id="6" w:name="_Hlk178412184"/>
                  <w:r>
                    <w:rPr>
                      <w:rFonts w:hint="eastAsia" w:ascii="宋体" w:hAnsi="宋体" w:eastAsia="宋体" w:cs="宋体"/>
                      <w:b/>
                      <w:bCs/>
                      <w:color w:val="auto"/>
                      <w:szCs w:val="21"/>
                      <w:lang w:bidi="ar"/>
                    </w:rPr>
                    <w:t>采样时间</w:t>
                  </w:r>
                  <w:bookmarkEnd w:id="6"/>
                </w:p>
              </w:tc>
              <w:tc>
                <w:tcPr>
                  <w:tcW w:w="6650" w:type="dxa"/>
                  <w:gridSpan w:val="4"/>
                  <w:tcBorders>
                    <w:top w:val="single" w:color="auto" w:sz="4" w:space="0"/>
                    <w:left w:val="single" w:color="auto" w:sz="4" w:space="0"/>
                    <w:bottom w:val="single" w:color="auto" w:sz="4" w:space="0"/>
                    <w:right w:val="single" w:color="auto" w:sz="4" w:space="0"/>
                  </w:tcBorders>
                  <w:vAlign w:val="center"/>
                </w:tcPr>
                <w:p w14:paraId="37E285AA">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lang w:bidi="ar"/>
                    </w:rPr>
                    <w:t>2025.11.19</w:t>
                  </w:r>
                </w:p>
              </w:tc>
            </w:tr>
            <w:tr w14:paraId="3049AA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2669" w:type="dxa"/>
                  <w:tcBorders>
                    <w:top w:val="single" w:color="auto" w:sz="4" w:space="0"/>
                    <w:left w:val="single" w:color="auto" w:sz="4" w:space="0"/>
                    <w:bottom w:val="single" w:color="auto" w:sz="4" w:space="0"/>
                    <w:right w:val="single" w:color="auto" w:sz="4" w:space="0"/>
                  </w:tcBorders>
                  <w:vAlign w:val="center"/>
                </w:tcPr>
                <w:p w14:paraId="7CDE1C3F">
                  <w:pPr>
                    <w:keepNext w:val="0"/>
                    <w:keepLines w:val="0"/>
                    <w:suppressLineNumbers w:val="0"/>
                    <w:spacing w:before="0" w:beforeAutospacing="0" w:after="0" w:afterAutospacing="0"/>
                    <w:ind w:left="0" w:right="0"/>
                    <w:jc w:val="center"/>
                    <w:rPr>
                      <w:rFonts w:hint="default" w:ascii="Times New Roman" w:hAnsi="Times New Roman" w:eastAsia="宋体" w:cs="Times New Roman"/>
                      <w:b/>
                      <w:bCs/>
                      <w:color w:val="auto"/>
                      <w:szCs w:val="21"/>
                    </w:rPr>
                  </w:pPr>
                  <w:r>
                    <w:rPr>
                      <w:rFonts w:hint="eastAsia" w:ascii="宋体" w:hAnsi="宋体" w:eastAsia="宋体" w:cs="宋体"/>
                      <w:b/>
                      <w:bCs/>
                      <w:color w:val="auto"/>
                      <w:szCs w:val="21"/>
                      <w:lang w:bidi="ar"/>
                    </w:rPr>
                    <w:t>采样点位</w:t>
                  </w:r>
                </w:p>
              </w:tc>
              <w:tc>
                <w:tcPr>
                  <w:tcW w:w="6650" w:type="dxa"/>
                  <w:gridSpan w:val="4"/>
                  <w:tcBorders>
                    <w:top w:val="single" w:color="auto" w:sz="4" w:space="0"/>
                    <w:left w:val="single" w:color="auto" w:sz="4" w:space="0"/>
                    <w:bottom w:val="single" w:color="auto" w:sz="4" w:space="0"/>
                    <w:right w:val="single" w:color="auto" w:sz="4" w:space="0"/>
                  </w:tcBorders>
                  <w:vAlign w:val="center"/>
                </w:tcPr>
                <w:p w14:paraId="6FEE9EA9">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r>
                    <w:rPr>
                      <w:rFonts w:hint="eastAsia" w:ascii="宋体" w:hAnsi="宋体" w:eastAsia="宋体" w:cs="宋体"/>
                      <w:color w:val="auto"/>
                      <w:szCs w:val="21"/>
                      <w:lang w:bidi="ar"/>
                    </w:rPr>
                    <w:t>生活污水排放口</w:t>
                  </w:r>
                </w:p>
              </w:tc>
            </w:tr>
            <w:tr w14:paraId="562C9B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2669" w:type="dxa"/>
                  <w:tcBorders>
                    <w:top w:val="single" w:color="auto" w:sz="4" w:space="0"/>
                    <w:left w:val="single" w:color="auto" w:sz="4" w:space="0"/>
                    <w:bottom w:val="single" w:color="auto" w:sz="4" w:space="0"/>
                    <w:right w:val="single" w:color="auto" w:sz="4" w:space="0"/>
                  </w:tcBorders>
                  <w:vAlign w:val="center"/>
                </w:tcPr>
                <w:p w14:paraId="15178EB7">
                  <w:pPr>
                    <w:keepNext w:val="0"/>
                    <w:keepLines w:val="0"/>
                    <w:suppressLineNumbers w:val="0"/>
                    <w:spacing w:before="0" w:beforeAutospacing="0" w:after="0" w:afterAutospacing="0"/>
                    <w:ind w:left="0" w:right="0"/>
                    <w:jc w:val="center"/>
                    <w:rPr>
                      <w:rFonts w:hint="default" w:ascii="Times New Roman" w:hAnsi="Times New Roman" w:eastAsia="宋体" w:cs="Times New Roman"/>
                      <w:b/>
                      <w:bCs/>
                      <w:color w:val="auto"/>
                      <w:szCs w:val="21"/>
                    </w:rPr>
                  </w:pPr>
                  <w:bookmarkStart w:id="7" w:name="_Hlk178407853"/>
                  <w:r>
                    <w:rPr>
                      <w:rFonts w:hint="eastAsia" w:ascii="宋体" w:hAnsi="宋体" w:eastAsia="宋体" w:cs="宋体"/>
                      <w:b/>
                      <w:bCs/>
                      <w:color w:val="auto"/>
                      <w:szCs w:val="21"/>
                      <w:lang w:bidi="ar"/>
                    </w:rPr>
                    <w:t>水样编号</w:t>
                  </w:r>
                  <w:bookmarkEnd w:id="7"/>
                </w:p>
              </w:tc>
              <w:tc>
                <w:tcPr>
                  <w:tcW w:w="1661" w:type="dxa"/>
                  <w:tcBorders>
                    <w:top w:val="single" w:color="auto" w:sz="4" w:space="0"/>
                    <w:left w:val="single" w:color="auto" w:sz="4" w:space="0"/>
                    <w:bottom w:val="single" w:color="auto" w:sz="4" w:space="0"/>
                    <w:right w:val="single" w:color="auto" w:sz="4" w:space="0"/>
                  </w:tcBorders>
                  <w:vAlign w:val="center"/>
                </w:tcPr>
                <w:p w14:paraId="43CAB92E">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r>
                    <w:rPr>
                      <w:rFonts w:hint="eastAsia" w:ascii="宋体" w:hAnsi="宋体" w:eastAsia="宋体" w:cs="宋体"/>
                      <w:color w:val="auto"/>
                      <w:szCs w:val="21"/>
                      <w:lang w:bidi="ar"/>
                    </w:rPr>
                    <w:t>水</w:t>
                  </w:r>
                  <w:r>
                    <w:rPr>
                      <w:rFonts w:hint="default" w:ascii="Times New Roman" w:hAnsi="Times New Roman" w:eastAsia="宋体" w:cs="Times New Roman"/>
                      <w:color w:val="auto"/>
                      <w:szCs w:val="21"/>
                      <w:lang w:bidi="ar"/>
                    </w:rPr>
                    <w:t>251119002</w:t>
                  </w:r>
                </w:p>
              </w:tc>
              <w:tc>
                <w:tcPr>
                  <w:tcW w:w="1663" w:type="dxa"/>
                  <w:tcBorders>
                    <w:top w:val="single" w:color="auto" w:sz="4" w:space="0"/>
                    <w:left w:val="single" w:color="auto" w:sz="4" w:space="0"/>
                    <w:bottom w:val="single" w:color="auto" w:sz="4" w:space="0"/>
                    <w:right w:val="single" w:color="auto" w:sz="4" w:space="0"/>
                  </w:tcBorders>
                  <w:vAlign w:val="center"/>
                </w:tcPr>
                <w:p w14:paraId="532EE41D">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r>
                    <w:rPr>
                      <w:rFonts w:hint="eastAsia" w:ascii="宋体" w:hAnsi="宋体" w:eastAsia="宋体" w:cs="宋体"/>
                      <w:color w:val="auto"/>
                      <w:szCs w:val="21"/>
                      <w:lang w:bidi="ar"/>
                    </w:rPr>
                    <w:t>水</w:t>
                  </w:r>
                  <w:r>
                    <w:rPr>
                      <w:rFonts w:hint="default" w:ascii="Times New Roman" w:hAnsi="Times New Roman" w:eastAsia="宋体" w:cs="Times New Roman"/>
                      <w:color w:val="auto"/>
                      <w:szCs w:val="21"/>
                      <w:lang w:bidi="ar"/>
                    </w:rPr>
                    <w:t>251119003</w:t>
                  </w:r>
                </w:p>
              </w:tc>
              <w:tc>
                <w:tcPr>
                  <w:tcW w:w="1663" w:type="dxa"/>
                  <w:tcBorders>
                    <w:top w:val="single" w:color="auto" w:sz="4" w:space="0"/>
                    <w:left w:val="single" w:color="auto" w:sz="4" w:space="0"/>
                    <w:bottom w:val="single" w:color="auto" w:sz="4" w:space="0"/>
                    <w:right w:val="single" w:color="auto" w:sz="4" w:space="0"/>
                  </w:tcBorders>
                  <w:vAlign w:val="center"/>
                </w:tcPr>
                <w:p w14:paraId="48F21489">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r>
                    <w:rPr>
                      <w:rFonts w:hint="eastAsia" w:ascii="宋体" w:hAnsi="宋体" w:eastAsia="宋体" w:cs="宋体"/>
                      <w:color w:val="auto"/>
                      <w:szCs w:val="21"/>
                      <w:lang w:bidi="ar"/>
                    </w:rPr>
                    <w:t>水</w:t>
                  </w:r>
                  <w:r>
                    <w:rPr>
                      <w:rFonts w:hint="default" w:ascii="Times New Roman" w:hAnsi="Times New Roman" w:eastAsia="宋体" w:cs="Times New Roman"/>
                      <w:color w:val="auto"/>
                      <w:szCs w:val="21"/>
                      <w:lang w:bidi="ar"/>
                    </w:rPr>
                    <w:t>251119004</w:t>
                  </w:r>
                </w:p>
              </w:tc>
              <w:tc>
                <w:tcPr>
                  <w:tcW w:w="1663" w:type="dxa"/>
                  <w:tcBorders>
                    <w:top w:val="single" w:color="auto" w:sz="4" w:space="0"/>
                    <w:left w:val="single" w:color="auto" w:sz="4" w:space="0"/>
                    <w:bottom w:val="single" w:color="auto" w:sz="4" w:space="0"/>
                    <w:right w:val="single" w:color="auto" w:sz="4" w:space="0"/>
                  </w:tcBorders>
                  <w:vAlign w:val="center"/>
                </w:tcPr>
                <w:p w14:paraId="0A0AAA1C">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r>
                    <w:rPr>
                      <w:rFonts w:hint="eastAsia" w:ascii="宋体" w:hAnsi="宋体" w:eastAsia="宋体" w:cs="宋体"/>
                      <w:color w:val="auto"/>
                      <w:szCs w:val="21"/>
                      <w:lang w:bidi="ar"/>
                    </w:rPr>
                    <w:t>水</w:t>
                  </w:r>
                  <w:r>
                    <w:rPr>
                      <w:rFonts w:hint="default" w:ascii="Times New Roman" w:hAnsi="Times New Roman" w:eastAsia="宋体" w:cs="Times New Roman"/>
                      <w:color w:val="auto"/>
                      <w:szCs w:val="21"/>
                      <w:lang w:bidi="ar"/>
                    </w:rPr>
                    <w:t>251119005</w:t>
                  </w:r>
                </w:p>
              </w:tc>
            </w:tr>
            <w:tr w14:paraId="45DDD8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2669" w:type="dxa"/>
                  <w:tcBorders>
                    <w:top w:val="single" w:color="auto" w:sz="4" w:space="0"/>
                    <w:left w:val="single" w:color="auto" w:sz="4" w:space="0"/>
                    <w:bottom w:val="single" w:color="auto" w:sz="4" w:space="0"/>
                    <w:right w:val="single" w:color="auto" w:sz="4" w:space="0"/>
                  </w:tcBorders>
                  <w:vAlign w:val="center"/>
                </w:tcPr>
                <w:p w14:paraId="085991CD">
                  <w:pPr>
                    <w:keepNext w:val="0"/>
                    <w:keepLines w:val="0"/>
                    <w:suppressLineNumbers w:val="0"/>
                    <w:spacing w:before="0" w:beforeAutospacing="0" w:after="0" w:afterAutospacing="0"/>
                    <w:ind w:left="0" w:right="0"/>
                    <w:jc w:val="center"/>
                    <w:rPr>
                      <w:rFonts w:hint="default" w:ascii="Times New Roman" w:hAnsi="Times New Roman" w:eastAsia="宋体" w:cs="Times New Roman"/>
                      <w:b/>
                      <w:bCs/>
                      <w:color w:val="auto"/>
                      <w:szCs w:val="21"/>
                    </w:rPr>
                  </w:pPr>
                  <w:r>
                    <w:rPr>
                      <w:rFonts w:hint="eastAsia" w:ascii="宋体" w:hAnsi="宋体" w:eastAsia="宋体" w:cs="宋体"/>
                      <w:b/>
                      <w:bCs/>
                      <w:color w:val="auto"/>
                      <w:szCs w:val="21"/>
                      <w:lang w:bidi="ar"/>
                    </w:rPr>
                    <w:t>样品性状</w:t>
                  </w:r>
                </w:p>
              </w:tc>
              <w:tc>
                <w:tcPr>
                  <w:tcW w:w="1661" w:type="dxa"/>
                  <w:tcBorders>
                    <w:top w:val="single" w:color="auto" w:sz="4" w:space="0"/>
                    <w:left w:val="single" w:color="auto" w:sz="4" w:space="0"/>
                    <w:bottom w:val="single" w:color="auto" w:sz="4" w:space="0"/>
                    <w:right w:val="single" w:color="auto" w:sz="4" w:space="0"/>
                  </w:tcBorders>
                  <w:vAlign w:val="center"/>
                </w:tcPr>
                <w:p w14:paraId="6F3B23CF">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r>
                    <w:rPr>
                      <w:rFonts w:hint="eastAsia" w:ascii="宋体" w:hAnsi="宋体" w:eastAsia="宋体" w:cs="宋体"/>
                      <w:color w:val="auto"/>
                      <w:szCs w:val="21"/>
                      <w:lang w:bidi="ar"/>
                    </w:rPr>
                    <w:t>微黄，微浊</w:t>
                  </w:r>
                </w:p>
              </w:tc>
              <w:tc>
                <w:tcPr>
                  <w:tcW w:w="1663" w:type="dxa"/>
                  <w:tcBorders>
                    <w:top w:val="single" w:color="auto" w:sz="4" w:space="0"/>
                    <w:left w:val="single" w:color="auto" w:sz="4" w:space="0"/>
                    <w:bottom w:val="single" w:color="auto" w:sz="4" w:space="0"/>
                    <w:right w:val="single" w:color="auto" w:sz="4" w:space="0"/>
                  </w:tcBorders>
                  <w:vAlign w:val="center"/>
                </w:tcPr>
                <w:p w14:paraId="4AD9C132">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r>
                    <w:rPr>
                      <w:rFonts w:hint="eastAsia" w:ascii="宋体" w:hAnsi="宋体" w:eastAsia="宋体" w:cs="宋体"/>
                      <w:color w:val="auto"/>
                      <w:szCs w:val="21"/>
                      <w:lang w:bidi="ar"/>
                    </w:rPr>
                    <w:t>微黄，微浊</w:t>
                  </w:r>
                </w:p>
              </w:tc>
              <w:tc>
                <w:tcPr>
                  <w:tcW w:w="1663" w:type="dxa"/>
                  <w:tcBorders>
                    <w:top w:val="single" w:color="auto" w:sz="4" w:space="0"/>
                    <w:left w:val="single" w:color="auto" w:sz="4" w:space="0"/>
                    <w:bottom w:val="single" w:color="auto" w:sz="4" w:space="0"/>
                    <w:right w:val="single" w:color="auto" w:sz="4" w:space="0"/>
                  </w:tcBorders>
                  <w:vAlign w:val="center"/>
                </w:tcPr>
                <w:p w14:paraId="1ED584E4">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r>
                    <w:rPr>
                      <w:rFonts w:hint="eastAsia" w:ascii="宋体" w:hAnsi="宋体" w:eastAsia="宋体" w:cs="宋体"/>
                      <w:color w:val="auto"/>
                      <w:szCs w:val="21"/>
                      <w:lang w:bidi="ar"/>
                    </w:rPr>
                    <w:t>微黄，微浊</w:t>
                  </w:r>
                </w:p>
              </w:tc>
              <w:tc>
                <w:tcPr>
                  <w:tcW w:w="1663" w:type="dxa"/>
                  <w:tcBorders>
                    <w:top w:val="single" w:color="auto" w:sz="4" w:space="0"/>
                    <w:left w:val="single" w:color="auto" w:sz="4" w:space="0"/>
                    <w:bottom w:val="single" w:color="auto" w:sz="4" w:space="0"/>
                    <w:right w:val="single" w:color="auto" w:sz="4" w:space="0"/>
                  </w:tcBorders>
                  <w:vAlign w:val="center"/>
                </w:tcPr>
                <w:p w14:paraId="0057DD9F">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r>
                    <w:rPr>
                      <w:rFonts w:hint="eastAsia" w:ascii="宋体" w:hAnsi="宋体" w:eastAsia="宋体" w:cs="宋体"/>
                      <w:color w:val="auto"/>
                      <w:szCs w:val="21"/>
                      <w:lang w:bidi="ar"/>
                    </w:rPr>
                    <w:t>微黄，微浊</w:t>
                  </w:r>
                </w:p>
              </w:tc>
            </w:tr>
            <w:tr w14:paraId="623756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2669" w:type="dxa"/>
                  <w:tcBorders>
                    <w:top w:val="single" w:color="auto" w:sz="4" w:space="0"/>
                    <w:left w:val="single" w:color="auto" w:sz="4" w:space="0"/>
                    <w:bottom w:val="single" w:color="auto" w:sz="4" w:space="0"/>
                    <w:right w:val="single" w:color="auto" w:sz="4" w:space="0"/>
                  </w:tcBorders>
                  <w:vAlign w:val="center"/>
                </w:tcPr>
                <w:p w14:paraId="6AC6B79B">
                  <w:pPr>
                    <w:keepNext w:val="0"/>
                    <w:keepLines w:val="0"/>
                    <w:suppressLineNumbers w:val="0"/>
                    <w:spacing w:before="0" w:beforeAutospacing="0" w:after="0" w:afterAutospacing="0"/>
                    <w:ind w:left="0" w:right="0"/>
                    <w:jc w:val="center"/>
                    <w:rPr>
                      <w:rFonts w:hint="default" w:ascii="Times New Roman" w:hAnsi="Times New Roman" w:eastAsia="宋体" w:cs="Times New Roman"/>
                      <w:b/>
                      <w:bCs/>
                      <w:color w:val="auto"/>
                      <w:szCs w:val="21"/>
                    </w:rPr>
                  </w:pPr>
                  <w:r>
                    <w:rPr>
                      <w:rFonts w:hint="default" w:ascii="Times New Roman" w:hAnsi="Times New Roman" w:eastAsia="宋体" w:cs="Times New Roman"/>
                      <w:b/>
                      <w:bCs/>
                      <w:color w:val="auto"/>
                      <w:szCs w:val="21"/>
                      <w:lang w:bidi="ar"/>
                    </w:rPr>
                    <w:t>pH</w:t>
                  </w:r>
                  <w:r>
                    <w:rPr>
                      <w:rFonts w:hint="eastAsia" w:ascii="宋体" w:hAnsi="宋体" w:eastAsia="宋体" w:cs="宋体"/>
                      <w:b/>
                      <w:bCs/>
                      <w:color w:val="auto"/>
                      <w:szCs w:val="21"/>
                      <w:lang w:bidi="ar"/>
                    </w:rPr>
                    <w:t>值（无量纲）</w:t>
                  </w:r>
                </w:p>
              </w:tc>
              <w:tc>
                <w:tcPr>
                  <w:tcW w:w="1661" w:type="dxa"/>
                  <w:tcBorders>
                    <w:top w:val="single" w:color="auto" w:sz="4" w:space="0"/>
                    <w:left w:val="single" w:color="auto" w:sz="4" w:space="0"/>
                    <w:bottom w:val="single" w:color="auto" w:sz="4" w:space="0"/>
                    <w:right w:val="single" w:color="auto" w:sz="4" w:space="0"/>
                  </w:tcBorders>
                  <w:vAlign w:val="center"/>
                </w:tcPr>
                <w:p w14:paraId="647EA420">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lang w:bidi="ar"/>
                    </w:rPr>
                    <w:t>7.6</w:t>
                  </w:r>
                </w:p>
              </w:tc>
              <w:tc>
                <w:tcPr>
                  <w:tcW w:w="1663" w:type="dxa"/>
                  <w:tcBorders>
                    <w:top w:val="single" w:color="auto" w:sz="4" w:space="0"/>
                    <w:left w:val="single" w:color="auto" w:sz="4" w:space="0"/>
                    <w:bottom w:val="single" w:color="auto" w:sz="4" w:space="0"/>
                    <w:right w:val="single" w:color="auto" w:sz="4" w:space="0"/>
                  </w:tcBorders>
                  <w:vAlign w:val="center"/>
                </w:tcPr>
                <w:p w14:paraId="696B5257">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lang w:bidi="ar"/>
                    </w:rPr>
                    <w:t>7.7</w:t>
                  </w:r>
                </w:p>
              </w:tc>
              <w:tc>
                <w:tcPr>
                  <w:tcW w:w="1663" w:type="dxa"/>
                  <w:tcBorders>
                    <w:top w:val="single" w:color="auto" w:sz="4" w:space="0"/>
                    <w:left w:val="single" w:color="auto" w:sz="4" w:space="0"/>
                    <w:bottom w:val="single" w:color="auto" w:sz="4" w:space="0"/>
                    <w:right w:val="single" w:color="auto" w:sz="4" w:space="0"/>
                  </w:tcBorders>
                  <w:vAlign w:val="center"/>
                </w:tcPr>
                <w:p w14:paraId="5542B0F7">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lang w:bidi="ar"/>
                    </w:rPr>
                    <w:t>7.7</w:t>
                  </w:r>
                </w:p>
              </w:tc>
              <w:tc>
                <w:tcPr>
                  <w:tcW w:w="1663" w:type="dxa"/>
                  <w:tcBorders>
                    <w:top w:val="single" w:color="auto" w:sz="4" w:space="0"/>
                    <w:left w:val="single" w:color="auto" w:sz="4" w:space="0"/>
                    <w:bottom w:val="single" w:color="auto" w:sz="4" w:space="0"/>
                    <w:right w:val="single" w:color="auto" w:sz="4" w:space="0"/>
                  </w:tcBorders>
                  <w:vAlign w:val="center"/>
                </w:tcPr>
                <w:p w14:paraId="7A8BDA01">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lang w:bidi="ar"/>
                    </w:rPr>
                    <w:t>7.6</w:t>
                  </w:r>
                </w:p>
              </w:tc>
            </w:tr>
            <w:tr w14:paraId="699ADA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2669" w:type="dxa"/>
                  <w:tcBorders>
                    <w:top w:val="single" w:color="auto" w:sz="4" w:space="0"/>
                    <w:left w:val="single" w:color="auto" w:sz="4" w:space="0"/>
                    <w:bottom w:val="single" w:color="auto" w:sz="4" w:space="0"/>
                    <w:right w:val="single" w:color="auto" w:sz="4" w:space="0"/>
                  </w:tcBorders>
                  <w:vAlign w:val="center"/>
                </w:tcPr>
                <w:p w14:paraId="7FF4685A">
                  <w:pPr>
                    <w:keepNext w:val="0"/>
                    <w:keepLines w:val="0"/>
                    <w:suppressLineNumbers w:val="0"/>
                    <w:spacing w:before="0" w:beforeAutospacing="0" w:after="0" w:afterAutospacing="0"/>
                    <w:ind w:left="0" w:right="0"/>
                    <w:jc w:val="center"/>
                    <w:rPr>
                      <w:rFonts w:hint="default" w:ascii="Times New Roman" w:hAnsi="Times New Roman" w:eastAsia="宋体" w:cs="Times New Roman"/>
                      <w:b/>
                      <w:bCs/>
                      <w:color w:val="auto"/>
                      <w:szCs w:val="21"/>
                    </w:rPr>
                  </w:pPr>
                  <w:r>
                    <w:rPr>
                      <w:rFonts w:hint="eastAsia" w:ascii="宋体" w:hAnsi="宋体" w:eastAsia="宋体" w:cs="宋体"/>
                      <w:b/>
                      <w:bCs/>
                      <w:color w:val="auto"/>
                      <w:szCs w:val="21"/>
                      <w:lang w:bidi="ar"/>
                    </w:rPr>
                    <w:t>化学需氧量（</w:t>
                  </w:r>
                  <w:r>
                    <w:rPr>
                      <w:rFonts w:hint="default" w:ascii="Times New Roman" w:hAnsi="Times New Roman" w:eastAsia="宋体" w:cs="Times New Roman"/>
                      <w:b/>
                      <w:bCs/>
                      <w:color w:val="auto"/>
                      <w:szCs w:val="21"/>
                      <w:lang w:bidi="ar"/>
                    </w:rPr>
                    <w:t>mg/L</w:t>
                  </w:r>
                  <w:r>
                    <w:rPr>
                      <w:rFonts w:hint="eastAsia" w:ascii="宋体" w:hAnsi="宋体" w:eastAsia="宋体" w:cs="宋体"/>
                      <w:b/>
                      <w:bCs/>
                      <w:color w:val="auto"/>
                      <w:szCs w:val="21"/>
                      <w:lang w:bidi="ar"/>
                    </w:rPr>
                    <w:t>）</w:t>
                  </w:r>
                </w:p>
              </w:tc>
              <w:tc>
                <w:tcPr>
                  <w:tcW w:w="1661" w:type="dxa"/>
                  <w:tcBorders>
                    <w:top w:val="single" w:color="auto" w:sz="4" w:space="0"/>
                    <w:left w:val="single" w:color="auto" w:sz="4" w:space="0"/>
                    <w:bottom w:val="single" w:color="auto" w:sz="4" w:space="0"/>
                    <w:right w:val="single" w:color="auto" w:sz="4" w:space="0"/>
                  </w:tcBorders>
                  <w:vAlign w:val="center"/>
                </w:tcPr>
                <w:p w14:paraId="5E54511C">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lang w:bidi="ar"/>
                    </w:rPr>
                    <w:t>227</w:t>
                  </w:r>
                </w:p>
              </w:tc>
              <w:tc>
                <w:tcPr>
                  <w:tcW w:w="1663" w:type="dxa"/>
                  <w:tcBorders>
                    <w:top w:val="single" w:color="auto" w:sz="4" w:space="0"/>
                    <w:left w:val="single" w:color="auto" w:sz="4" w:space="0"/>
                    <w:bottom w:val="single" w:color="auto" w:sz="4" w:space="0"/>
                    <w:right w:val="single" w:color="auto" w:sz="4" w:space="0"/>
                  </w:tcBorders>
                  <w:vAlign w:val="center"/>
                </w:tcPr>
                <w:p w14:paraId="63B8884B">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lang w:bidi="ar"/>
                    </w:rPr>
                    <w:t>229</w:t>
                  </w:r>
                </w:p>
              </w:tc>
              <w:tc>
                <w:tcPr>
                  <w:tcW w:w="1663" w:type="dxa"/>
                  <w:tcBorders>
                    <w:top w:val="single" w:color="auto" w:sz="4" w:space="0"/>
                    <w:left w:val="single" w:color="auto" w:sz="4" w:space="0"/>
                    <w:bottom w:val="single" w:color="auto" w:sz="4" w:space="0"/>
                    <w:right w:val="single" w:color="auto" w:sz="4" w:space="0"/>
                  </w:tcBorders>
                  <w:vAlign w:val="center"/>
                </w:tcPr>
                <w:p w14:paraId="39519F61">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lang w:bidi="ar"/>
                    </w:rPr>
                    <w:t>231</w:t>
                  </w:r>
                </w:p>
              </w:tc>
              <w:tc>
                <w:tcPr>
                  <w:tcW w:w="1663" w:type="dxa"/>
                  <w:tcBorders>
                    <w:top w:val="single" w:color="auto" w:sz="4" w:space="0"/>
                    <w:left w:val="single" w:color="auto" w:sz="4" w:space="0"/>
                    <w:bottom w:val="single" w:color="auto" w:sz="4" w:space="0"/>
                    <w:right w:val="single" w:color="auto" w:sz="4" w:space="0"/>
                  </w:tcBorders>
                  <w:vAlign w:val="center"/>
                </w:tcPr>
                <w:p w14:paraId="0B5C28EE">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lang w:bidi="ar"/>
                    </w:rPr>
                    <w:t>224</w:t>
                  </w:r>
                </w:p>
              </w:tc>
            </w:tr>
            <w:tr w14:paraId="212BC4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2669" w:type="dxa"/>
                  <w:tcBorders>
                    <w:top w:val="single" w:color="auto" w:sz="4" w:space="0"/>
                    <w:left w:val="single" w:color="auto" w:sz="4" w:space="0"/>
                    <w:bottom w:val="single" w:color="auto" w:sz="4" w:space="0"/>
                    <w:right w:val="single" w:color="auto" w:sz="4" w:space="0"/>
                  </w:tcBorders>
                  <w:vAlign w:val="center"/>
                </w:tcPr>
                <w:p w14:paraId="74AAEE6B">
                  <w:pPr>
                    <w:keepNext w:val="0"/>
                    <w:keepLines w:val="0"/>
                    <w:suppressLineNumbers w:val="0"/>
                    <w:spacing w:before="0" w:beforeAutospacing="0" w:after="0" w:afterAutospacing="0"/>
                    <w:ind w:left="0" w:right="0"/>
                    <w:jc w:val="center"/>
                    <w:rPr>
                      <w:rFonts w:hint="default" w:ascii="Times New Roman" w:hAnsi="Times New Roman" w:eastAsia="宋体" w:cs="Times New Roman"/>
                      <w:b/>
                      <w:bCs/>
                      <w:color w:val="auto"/>
                      <w:szCs w:val="21"/>
                    </w:rPr>
                  </w:pPr>
                  <w:r>
                    <w:rPr>
                      <w:rFonts w:hint="eastAsia" w:ascii="宋体" w:hAnsi="宋体" w:eastAsia="宋体" w:cs="宋体"/>
                      <w:b/>
                      <w:bCs/>
                      <w:color w:val="auto"/>
                      <w:szCs w:val="21"/>
                      <w:lang w:bidi="ar"/>
                    </w:rPr>
                    <w:t>氨氮（</w:t>
                  </w:r>
                  <w:r>
                    <w:rPr>
                      <w:rFonts w:hint="default" w:ascii="Times New Roman" w:hAnsi="Times New Roman" w:eastAsia="宋体" w:cs="Times New Roman"/>
                      <w:b/>
                      <w:bCs/>
                      <w:color w:val="auto"/>
                      <w:szCs w:val="21"/>
                      <w:lang w:bidi="ar"/>
                    </w:rPr>
                    <w:t>mg/L</w:t>
                  </w:r>
                  <w:r>
                    <w:rPr>
                      <w:rFonts w:hint="eastAsia" w:ascii="宋体" w:hAnsi="宋体" w:eastAsia="宋体" w:cs="宋体"/>
                      <w:b/>
                      <w:bCs/>
                      <w:color w:val="auto"/>
                      <w:szCs w:val="21"/>
                      <w:lang w:bidi="ar"/>
                    </w:rPr>
                    <w:t>）</w:t>
                  </w:r>
                </w:p>
              </w:tc>
              <w:tc>
                <w:tcPr>
                  <w:tcW w:w="1661" w:type="dxa"/>
                  <w:tcBorders>
                    <w:top w:val="single" w:color="auto" w:sz="4" w:space="0"/>
                    <w:left w:val="single" w:color="auto" w:sz="4" w:space="0"/>
                    <w:bottom w:val="single" w:color="auto" w:sz="4" w:space="0"/>
                    <w:right w:val="single" w:color="auto" w:sz="4" w:space="0"/>
                  </w:tcBorders>
                  <w:vAlign w:val="center"/>
                </w:tcPr>
                <w:p w14:paraId="5C8981B2">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lang w:bidi="ar"/>
                    </w:rPr>
                    <w:t>26.2</w:t>
                  </w:r>
                </w:p>
              </w:tc>
              <w:tc>
                <w:tcPr>
                  <w:tcW w:w="1663" w:type="dxa"/>
                  <w:tcBorders>
                    <w:top w:val="single" w:color="auto" w:sz="4" w:space="0"/>
                    <w:left w:val="single" w:color="auto" w:sz="4" w:space="0"/>
                    <w:bottom w:val="single" w:color="auto" w:sz="4" w:space="0"/>
                    <w:right w:val="single" w:color="auto" w:sz="4" w:space="0"/>
                  </w:tcBorders>
                  <w:vAlign w:val="center"/>
                </w:tcPr>
                <w:p w14:paraId="22416933">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lang w:bidi="ar"/>
                    </w:rPr>
                    <w:t>26.6</w:t>
                  </w:r>
                </w:p>
              </w:tc>
              <w:tc>
                <w:tcPr>
                  <w:tcW w:w="1663" w:type="dxa"/>
                  <w:tcBorders>
                    <w:top w:val="single" w:color="auto" w:sz="4" w:space="0"/>
                    <w:left w:val="single" w:color="auto" w:sz="4" w:space="0"/>
                    <w:bottom w:val="single" w:color="auto" w:sz="4" w:space="0"/>
                    <w:right w:val="single" w:color="auto" w:sz="4" w:space="0"/>
                  </w:tcBorders>
                  <w:vAlign w:val="center"/>
                </w:tcPr>
                <w:p w14:paraId="426D93B5">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lang w:bidi="ar"/>
                    </w:rPr>
                    <w:t>25.5</w:t>
                  </w:r>
                </w:p>
              </w:tc>
              <w:tc>
                <w:tcPr>
                  <w:tcW w:w="1663" w:type="dxa"/>
                  <w:tcBorders>
                    <w:top w:val="single" w:color="auto" w:sz="4" w:space="0"/>
                    <w:left w:val="single" w:color="auto" w:sz="4" w:space="0"/>
                    <w:bottom w:val="single" w:color="auto" w:sz="4" w:space="0"/>
                    <w:right w:val="single" w:color="auto" w:sz="4" w:space="0"/>
                  </w:tcBorders>
                  <w:vAlign w:val="center"/>
                </w:tcPr>
                <w:p w14:paraId="00C859DB">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lang w:bidi="ar"/>
                    </w:rPr>
                    <w:t>25.1</w:t>
                  </w:r>
                </w:p>
              </w:tc>
            </w:tr>
            <w:tr w14:paraId="1F86F8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2669" w:type="dxa"/>
                  <w:tcBorders>
                    <w:top w:val="single" w:color="auto" w:sz="4" w:space="0"/>
                    <w:left w:val="single" w:color="auto" w:sz="4" w:space="0"/>
                    <w:bottom w:val="single" w:color="auto" w:sz="4" w:space="0"/>
                    <w:right w:val="single" w:color="auto" w:sz="4" w:space="0"/>
                  </w:tcBorders>
                  <w:vAlign w:val="center"/>
                </w:tcPr>
                <w:p w14:paraId="271F6210">
                  <w:pPr>
                    <w:keepNext w:val="0"/>
                    <w:keepLines w:val="0"/>
                    <w:suppressLineNumbers w:val="0"/>
                    <w:spacing w:before="0" w:beforeAutospacing="0" w:after="0" w:afterAutospacing="0"/>
                    <w:ind w:left="0" w:right="0"/>
                    <w:jc w:val="center"/>
                    <w:rPr>
                      <w:rFonts w:hint="default" w:ascii="Times New Roman" w:hAnsi="Times New Roman" w:eastAsia="宋体" w:cs="Times New Roman"/>
                      <w:b/>
                      <w:bCs/>
                      <w:color w:val="auto"/>
                      <w:szCs w:val="21"/>
                    </w:rPr>
                  </w:pPr>
                  <w:r>
                    <w:rPr>
                      <w:rFonts w:hint="eastAsia" w:ascii="宋体" w:hAnsi="宋体" w:eastAsia="宋体" w:cs="宋体"/>
                      <w:b/>
                      <w:bCs/>
                      <w:color w:val="auto"/>
                      <w:szCs w:val="21"/>
                      <w:lang w:bidi="ar"/>
                    </w:rPr>
                    <w:t>总磷（</w:t>
                  </w:r>
                  <w:r>
                    <w:rPr>
                      <w:rFonts w:hint="default" w:ascii="Times New Roman" w:hAnsi="Times New Roman" w:eastAsia="宋体" w:cs="Times New Roman"/>
                      <w:b/>
                      <w:bCs/>
                      <w:color w:val="auto"/>
                      <w:szCs w:val="21"/>
                      <w:lang w:bidi="ar"/>
                    </w:rPr>
                    <w:t>mg/L</w:t>
                  </w:r>
                  <w:r>
                    <w:rPr>
                      <w:rFonts w:hint="eastAsia" w:ascii="宋体" w:hAnsi="宋体" w:eastAsia="宋体" w:cs="宋体"/>
                      <w:b/>
                      <w:bCs/>
                      <w:color w:val="auto"/>
                      <w:szCs w:val="21"/>
                      <w:lang w:bidi="ar"/>
                    </w:rPr>
                    <w:t>）</w:t>
                  </w:r>
                </w:p>
              </w:tc>
              <w:tc>
                <w:tcPr>
                  <w:tcW w:w="1661" w:type="dxa"/>
                  <w:tcBorders>
                    <w:top w:val="single" w:color="auto" w:sz="4" w:space="0"/>
                    <w:left w:val="single" w:color="auto" w:sz="4" w:space="0"/>
                    <w:bottom w:val="single" w:color="auto" w:sz="4" w:space="0"/>
                    <w:right w:val="single" w:color="auto" w:sz="4" w:space="0"/>
                  </w:tcBorders>
                  <w:vAlign w:val="center"/>
                </w:tcPr>
                <w:p w14:paraId="7A01B7D1">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lang w:bidi="ar"/>
                    </w:rPr>
                    <w:t>2.88</w:t>
                  </w:r>
                </w:p>
              </w:tc>
              <w:tc>
                <w:tcPr>
                  <w:tcW w:w="1663" w:type="dxa"/>
                  <w:tcBorders>
                    <w:top w:val="single" w:color="auto" w:sz="4" w:space="0"/>
                    <w:left w:val="single" w:color="auto" w:sz="4" w:space="0"/>
                    <w:bottom w:val="single" w:color="auto" w:sz="4" w:space="0"/>
                    <w:right w:val="single" w:color="auto" w:sz="4" w:space="0"/>
                  </w:tcBorders>
                  <w:vAlign w:val="center"/>
                </w:tcPr>
                <w:p w14:paraId="2EF5D7BB">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lang w:bidi="ar"/>
                    </w:rPr>
                    <w:t>2.98</w:t>
                  </w:r>
                </w:p>
              </w:tc>
              <w:tc>
                <w:tcPr>
                  <w:tcW w:w="1663" w:type="dxa"/>
                  <w:tcBorders>
                    <w:top w:val="single" w:color="auto" w:sz="4" w:space="0"/>
                    <w:left w:val="single" w:color="auto" w:sz="4" w:space="0"/>
                    <w:bottom w:val="single" w:color="auto" w:sz="4" w:space="0"/>
                    <w:right w:val="single" w:color="auto" w:sz="4" w:space="0"/>
                  </w:tcBorders>
                  <w:vAlign w:val="center"/>
                </w:tcPr>
                <w:p w14:paraId="2861FA7A">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lang w:bidi="ar"/>
                    </w:rPr>
                    <w:t>2.80</w:t>
                  </w:r>
                </w:p>
              </w:tc>
              <w:tc>
                <w:tcPr>
                  <w:tcW w:w="1663" w:type="dxa"/>
                  <w:tcBorders>
                    <w:top w:val="single" w:color="auto" w:sz="4" w:space="0"/>
                    <w:left w:val="single" w:color="auto" w:sz="4" w:space="0"/>
                    <w:bottom w:val="single" w:color="auto" w:sz="4" w:space="0"/>
                    <w:right w:val="single" w:color="auto" w:sz="4" w:space="0"/>
                  </w:tcBorders>
                  <w:vAlign w:val="center"/>
                </w:tcPr>
                <w:p w14:paraId="51D2D01E">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lang w:bidi="ar"/>
                    </w:rPr>
                    <w:t>2.93</w:t>
                  </w:r>
                </w:p>
              </w:tc>
            </w:tr>
            <w:tr w14:paraId="46A2F3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2669" w:type="dxa"/>
                  <w:tcBorders>
                    <w:top w:val="single" w:color="auto" w:sz="4" w:space="0"/>
                    <w:left w:val="single" w:color="auto" w:sz="4" w:space="0"/>
                    <w:bottom w:val="single" w:color="auto" w:sz="4" w:space="0"/>
                    <w:right w:val="single" w:color="auto" w:sz="4" w:space="0"/>
                  </w:tcBorders>
                  <w:vAlign w:val="center"/>
                </w:tcPr>
                <w:p w14:paraId="180290A9">
                  <w:pPr>
                    <w:keepNext w:val="0"/>
                    <w:keepLines w:val="0"/>
                    <w:suppressLineNumbers w:val="0"/>
                    <w:spacing w:before="0" w:beforeAutospacing="0" w:after="0" w:afterAutospacing="0"/>
                    <w:ind w:left="0" w:right="0"/>
                    <w:jc w:val="center"/>
                    <w:rPr>
                      <w:rFonts w:hint="default" w:ascii="Times New Roman" w:hAnsi="Times New Roman" w:eastAsia="宋体" w:cs="Times New Roman"/>
                      <w:b/>
                      <w:bCs/>
                      <w:color w:val="auto"/>
                      <w:szCs w:val="21"/>
                    </w:rPr>
                  </w:pPr>
                  <w:r>
                    <w:rPr>
                      <w:rFonts w:hint="eastAsia" w:ascii="宋体" w:hAnsi="宋体" w:eastAsia="宋体" w:cs="宋体"/>
                      <w:b/>
                      <w:bCs/>
                      <w:color w:val="auto"/>
                      <w:szCs w:val="21"/>
                      <w:lang w:bidi="ar"/>
                    </w:rPr>
                    <w:t>悬浮物（</w:t>
                  </w:r>
                  <w:r>
                    <w:rPr>
                      <w:rFonts w:hint="default" w:ascii="Times New Roman" w:hAnsi="Times New Roman" w:eastAsia="宋体" w:cs="Times New Roman"/>
                      <w:b/>
                      <w:bCs/>
                      <w:color w:val="auto"/>
                      <w:szCs w:val="21"/>
                      <w:lang w:bidi="ar"/>
                    </w:rPr>
                    <w:t>mg/L</w:t>
                  </w:r>
                  <w:r>
                    <w:rPr>
                      <w:rFonts w:hint="eastAsia" w:ascii="宋体" w:hAnsi="宋体" w:eastAsia="宋体" w:cs="宋体"/>
                      <w:b/>
                      <w:bCs/>
                      <w:color w:val="auto"/>
                      <w:szCs w:val="21"/>
                      <w:lang w:bidi="ar"/>
                    </w:rPr>
                    <w:t>）</w:t>
                  </w:r>
                </w:p>
              </w:tc>
              <w:tc>
                <w:tcPr>
                  <w:tcW w:w="1661" w:type="dxa"/>
                  <w:tcBorders>
                    <w:top w:val="single" w:color="auto" w:sz="4" w:space="0"/>
                    <w:left w:val="single" w:color="auto" w:sz="4" w:space="0"/>
                    <w:bottom w:val="single" w:color="auto" w:sz="4" w:space="0"/>
                    <w:right w:val="single" w:color="auto" w:sz="4" w:space="0"/>
                  </w:tcBorders>
                  <w:vAlign w:val="center"/>
                </w:tcPr>
                <w:p w14:paraId="357456DF">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lang w:bidi="ar"/>
                    </w:rPr>
                    <w:t>63</w:t>
                  </w:r>
                </w:p>
              </w:tc>
              <w:tc>
                <w:tcPr>
                  <w:tcW w:w="1663" w:type="dxa"/>
                  <w:tcBorders>
                    <w:top w:val="single" w:color="auto" w:sz="4" w:space="0"/>
                    <w:left w:val="single" w:color="auto" w:sz="4" w:space="0"/>
                    <w:bottom w:val="single" w:color="auto" w:sz="4" w:space="0"/>
                    <w:right w:val="single" w:color="auto" w:sz="4" w:space="0"/>
                  </w:tcBorders>
                  <w:vAlign w:val="center"/>
                </w:tcPr>
                <w:p w14:paraId="4B357AAF">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lang w:bidi="ar"/>
                    </w:rPr>
                    <w:t>59</w:t>
                  </w:r>
                </w:p>
              </w:tc>
              <w:tc>
                <w:tcPr>
                  <w:tcW w:w="1663" w:type="dxa"/>
                  <w:tcBorders>
                    <w:top w:val="single" w:color="auto" w:sz="4" w:space="0"/>
                    <w:left w:val="single" w:color="auto" w:sz="4" w:space="0"/>
                    <w:bottom w:val="single" w:color="auto" w:sz="4" w:space="0"/>
                    <w:right w:val="single" w:color="auto" w:sz="4" w:space="0"/>
                  </w:tcBorders>
                  <w:vAlign w:val="center"/>
                </w:tcPr>
                <w:p w14:paraId="5DB064F6">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lang w:bidi="ar"/>
                    </w:rPr>
                    <w:t>65</w:t>
                  </w:r>
                </w:p>
              </w:tc>
              <w:tc>
                <w:tcPr>
                  <w:tcW w:w="1663" w:type="dxa"/>
                  <w:tcBorders>
                    <w:top w:val="single" w:color="auto" w:sz="4" w:space="0"/>
                    <w:left w:val="single" w:color="auto" w:sz="4" w:space="0"/>
                    <w:bottom w:val="single" w:color="auto" w:sz="4" w:space="0"/>
                    <w:right w:val="single" w:color="auto" w:sz="4" w:space="0"/>
                  </w:tcBorders>
                  <w:vAlign w:val="center"/>
                </w:tcPr>
                <w:p w14:paraId="531E25F4">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lang w:bidi="ar"/>
                    </w:rPr>
                    <w:t>60</w:t>
                  </w:r>
                </w:p>
              </w:tc>
            </w:tr>
            <w:tr w14:paraId="3884E9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2669" w:type="dxa"/>
                  <w:tcBorders>
                    <w:top w:val="single" w:color="auto" w:sz="4" w:space="0"/>
                    <w:left w:val="single" w:color="auto" w:sz="4" w:space="0"/>
                    <w:bottom w:val="single" w:color="auto" w:sz="4" w:space="0"/>
                    <w:right w:val="single" w:color="auto" w:sz="4" w:space="0"/>
                  </w:tcBorders>
                  <w:vAlign w:val="center"/>
                </w:tcPr>
                <w:p w14:paraId="746E2573">
                  <w:pPr>
                    <w:keepNext w:val="0"/>
                    <w:keepLines w:val="0"/>
                    <w:suppressLineNumbers w:val="0"/>
                    <w:spacing w:before="0" w:beforeAutospacing="0" w:after="0" w:afterAutospacing="0"/>
                    <w:ind w:left="0" w:right="0"/>
                    <w:jc w:val="center"/>
                    <w:rPr>
                      <w:rFonts w:hint="default" w:ascii="Times New Roman" w:hAnsi="Times New Roman" w:eastAsia="宋体" w:cs="Times New Roman"/>
                      <w:b/>
                      <w:bCs/>
                      <w:color w:val="auto"/>
                      <w:szCs w:val="21"/>
                    </w:rPr>
                  </w:pPr>
                  <w:r>
                    <w:rPr>
                      <w:rFonts w:hint="eastAsia" w:ascii="宋体" w:hAnsi="宋体" w:eastAsia="宋体" w:cs="宋体"/>
                      <w:b/>
                      <w:bCs/>
                      <w:color w:val="auto"/>
                      <w:szCs w:val="21"/>
                      <w:lang w:bidi="ar"/>
                    </w:rPr>
                    <w:t>石油类（</w:t>
                  </w:r>
                  <w:r>
                    <w:rPr>
                      <w:rFonts w:hint="default" w:ascii="Times New Roman" w:hAnsi="Times New Roman" w:eastAsia="宋体" w:cs="Times New Roman"/>
                      <w:b/>
                      <w:bCs/>
                      <w:color w:val="auto"/>
                      <w:szCs w:val="21"/>
                      <w:lang w:bidi="ar"/>
                    </w:rPr>
                    <w:t>mg/L</w:t>
                  </w:r>
                  <w:r>
                    <w:rPr>
                      <w:rFonts w:hint="eastAsia" w:ascii="宋体" w:hAnsi="宋体" w:eastAsia="宋体" w:cs="宋体"/>
                      <w:b/>
                      <w:bCs/>
                      <w:color w:val="auto"/>
                      <w:szCs w:val="21"/>
                      <w:lang w:bidi="ar"/>
                    </w:rPr>
                    <w:t>）</w:t>
                  </w:r>
                </w:p>
              </w:tc>
              <w:tc>
                <w:tcPr>
                  <w:tcW w:w="1661" w:type="dxa"/>
                  <w:tcBorders>
                    <w:top w:val="single" w:color="auto" w:sz="4" w:space="0"/>
                    <w:left w:val="single" w:color="auto" w:sz="4" w:space="0"/>
                    <w:bottom w:val="single" w:color="auto" w:sz="4" w:space="0"/>
                    <w:right w:val="single" w:color="auto" w:sz="4" w:space="0"/>
                  </w:tcBorders>
                  <w:vAlign w:val="center"/>
                </w:tcPr>
                <w:p w14:paraId="409FB406">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lang w:bidi="ar"/>
                    </w:rPr>
                    <w:t>&lt;0.06</w:t>
                  </w:r>
                </w:p>
              </w:tc>
              <w:tc>
                <w:tcPr>
                  <w:tcW w:w="1663" w:type="dxa"/>
                  <w:tcBorders>
                    <w:top w:val="single" w:color="auto" w:sz="4" w:space="0"/>
                    <w:left w:val="single" w:color="auto" w:sz="4" w:space="0"/>
                    <w:bottom w:val="single" w:color="auto" w:sz="4" w:space="0"/>
                    <w:right w:val="single" w:color="auto" w:sz="4" w:space="0"/>
                  </w:tcBorders>
                  <w:vAlign w:val="center"/>
                </w:tcPr>
                <w:p w14:paraId="49CA1EC6">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lang w:bidi="ar"/>
                    </w:rPr>
                    <w:t>&lt;0.06</w:t>
                  </w:r>
                </w:p>
              </w:tc>
              <w:tc>
                <w:tcPr>
                  <w:tcW w:w="1663" w:type="dxa"/>
                  <w:tcBorders>
                    <w:top w:val="single" w:color="auto" w:sz="4" w:space="0"/>
                    <w:left w:val="single" w:color="auto" w:sz="4" w:space="0"/>
                    <w:bottom w:val="single" w:color="auto" w:sz="4" w:space="0"/>
                    <w:right w:val="single" w:color="auto" w:sz="4" w:space="0"/>
                  </w:tcBorders>
                  <w:vAlign w:val="center"/>
                </w:tcPr>
                <w:p w14:paraId="6A0B6E8A">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lang w:bidi="ar"/>
                    </w:rPr>
                    <w:t>&lt;0.06</w:t>
                  </w:r>
                </w:p>
              </w:tc>
              <w:tc>
                <w:tcPr>
                  <w:tcW w:w="1663" w:type="dxa"/>
                  <w:tcBorders>
                    <w:top w:val="single" w:color="auto" w:sz="4" w:space="0"/>
                    <w:left w:val="single" w:color="auto" w:sz="4" w:space="0"/>
                    <w:bottom w:val="single" w:color="auto" w:sz="4" w:space="0"/>
                    <w:right w:val="single" w:color="auto" w:sz="4" w:space="0"/>
                  </w:tcBorders>
                  <w:vAlign w:val="center"/>
                </w:tcPr>
                <w:p w14:paraId="539C9174">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lang w:bidi="ar"/>
                    </w:rPr>
                    <w:t>&lt;0.06</w:t>
                  </w:r>
                </w:p>
              </w:tc>
            </w:tr>
            <w:tr w14:paraId="28C111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2669" w:type="dxa"/>
                  <w:tcBorders>
                    <w:top w:val="single" w:color="auto" w:sz="4" w:space="0"/>
                    <w:left w:val="single" w:color="auto" w:sz="4" w:space="0"/>
                    <w:bottom w:val="single" w:color="auto" w:sz="4" w:space="0"/>
                    <w:right w:val="single" w:color="auto" w:sz="4" w:space="0"/>
                  </w:tcBorders>
                  <w:vAlign w:val="center"/>
                </w:tcPr>
                <w:p w14:paraId="5DFED5F3">
                  <w:pPr>
                    <w:keepNext w:val="0"/>
                    <w:keepLines w:val="0"/>
                    <w:suppressLineNumbers w:val="0"/>
                    <w:spacing w:before="0" w:beforeAutospacing="0" w:after="0" w:afterAutospacing="0"/>
                    <w:ind w:left="0" w:right="0"/>
                    <w:jc w:val="center"/>
                    <w:rPr>
                      <w:rFonts w:hint="default" w:ascii="Times New Roman" w:hAnsi="Times New Roman" w:eastAsia="宋体" w:cs="Times New Roman"/>
                      <w:b/>
                      <w:bCs/>
                      <w:color w:val="auto"/>
                      <w:szCs w:val="21"/>
                    </w:rPr>
                  </w:pPr>
                  <w:r>
                    <w:rPr>
                      <w:rFonts w:hint="eastAsia" w:ascii="宋体" w:hAnsi="宋体" w:eastAsia="宋体" w:cs="宋体"/>
                      <w:b/>
                      <w:bCs/>
                      <w:color w:val="auto"/>
                      <w:szCs w:val="21"/>
                      <w:lang w:bidi="ar"/>
                    </w:rPr>
                    <w:t>采样时间</w:t>
                  </w:r>
                </w:p>
              </w:tc>
              <w:tc>
                <w:tcPr>
                  <w:tcW w:w="6650" w:type="dxa"/>
                  <w:gridSpan w:val="4"/>
                  <w:tcBorders>
                    <w:top w:val="single" w:color="auto" w:sz="4" w:space="0"/>
                    <w:left w:val="single" w:color="auto" w:sz="4" w:space="0"/>
                    <w:bottom w:val="single" w:color="auto" w:sz="4" w:space="0"/>
                    <w:right w:val="single" w:color="auto" w:sz="4" w:space="0"/>
                  </w:tcBorders>
                  <w:vAlign w:val="center"/>
                </w:tcPr>
                <w:p w14:paraId="1462AE30">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lang w:bidi="ar"/>
                    </w:rPr>
                    <w:t>2025.11.20</w:t>
                  </w:r>
                </w:p>
              </w:tc>
            </w:tr>
            <w:tr w14:paraId="1A11F9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2669" w:type="dxa"/>
                  <w:tcBorders>
                    <w:top w:val="single" w:color="auto" w:sz="4" w:space="0"/>
                    <w:left w:val="single" w:color="auto" w:sz="4" w:space="0"/>
                    <w:bottom w:val="single" w:color="auto" w:sz="4" w:space="0"/>
                    <w:right w:val="single" w:color="auto" w:sz="4" w:space="0"/>
                  </w:tcBorders>
                  <w:vAlign w:val="center"/>
                </w:tcPr>
                <w:p w14:paraId="11D96434">
                  <w:pPr>
                    <w:keepNext w:val="0"/>
                    <w:keepLines w:val="0"/>
                    <w:suppressLineNumbers w:val="0"/>
                    <w:spacing w:before="0" w:beforeAutospacing="0" w:after="0" w:afterAutospacing="0"/>
                    <w:ind w:left="0" w:right="0"/>
                    <w:jc w:val="center"/>
                    <w:rPr>
                      <w:rFonts w:hint="default" w:ascii="Times New Roman" w:hAnsi="Times New Roman" w:eastAsia="宋体" w:cs="Times New Roman"/>
                      <w:b/>
                      <w:bCs/>
                      <w:color w:val="auto"/>
                      <w:szCs w:val="21"/>
                    </w:rPr>
                  </w:pPr>
                  <w:r>
                    <w:rPr>
                      <w:rFonts w:hint="eastAsia" w:ascii="宋体" w:hAnsi="宋体" w:eastAsia="宋体" w:cs="宋体"/>
                      <w:b/>
                      <w:bCs/>
                      <w:color w:val="auto"/>
                      <w:szCs w:val="21"/>
                      <w:lang w:bidi="ar"/>
                    </w:rPr>
                    <w:t>采样点位</w:t>
                  </w:r>
                </w:p>
              </w:tc>
              <w:tc>
                <w:tcPr>
                  <w:tcW w:w="6650" w:type="dxa"/>
                  <w:gridSpan w:val="4"/>
                  <w:tcBorders>
                    <w:top w:val="single" w:color="auto" w:sz="4" w:space="0"/>
                    <w:left w:val="single" w:color="auto" w:sz="4" w:space="0"/>
                    <w:bottom w:val="single" w:color="auto" w:sz="4" w:space="0"/>
                    <w:right w:val="single" w:color="auto" w:sz="4" w:space="0"/>
                  </w:tcBorders>
                  <w:vAlign w:val="center"/>
                </w:tcPr>
                <w:p w14:paraId="5BE5CDB8">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r>
                    <w:rPr>
                      <w:rFonts w:hint="eastAsia" w:ascii="宋体" w:hAnsi="宋体" w:eastAsia="宋体" w:cs="宋体"/>
                      <w:color w:val="auto"/>
                      <w:szCs w:val="21"/>
                      <w:lang w:bidi="ar"/>
                    </w:rPr>
                    <w:t>生活污水排放口</w:t>
                  </w:r>
                </w:p>
              </w:tc>
            </w:tr>
            <w:tr w14:paraId="5EE98F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2669" w:type="dxa"/>
                  <w:tcBorders>
                    <w:top w:val="single" w:color="auto" w:sz="4" w:space="0"/>
                    <w:left w:val="single" w:color="auto" w:sz="4" w:space="0"/>
                    <w:bottom w:val="single" w:color="auto" w:sz="4" w:space="0"/>
                    <w:right w:val="single" w:color="auto" w:sz="4" w:space="0"/>
                  </w:tcBorders>
                  <w:vAlign w:val="center"/>
                </w:tcPr>
                <w:p w14:paraId="3EAA7975">
                  <w:pPr>
                    <w:keepNext w:val="0"/>
                    <w:keepLines w:val="0"/>
                    <w:suppressLineNumbers w:val="0"/>
                    <w:spacing w:before="0" w:beforeAutospacing="0" w:after="0" w:afterAutospacing="0"/>
                    <w:ind w:left="0" w:right="0"/>
                    <w:jc w:val="center"/>
                    <w:rPr>
                      <w:rFonts w:hint="default" w:ascii="Times New Roman" w:hAnsi="Times New Roman" w:eastAsia="宋体" w:cs="Times New Roman"/>
                      <w:b/>
                      <w:bCs/>
                      <w:color w:val="auto"/>
                      <w:szCs w:val="21"/>
                    </w:rPr>
                  </w:pPr>
                  <w:r>
                    <w:rPr>
                      <w:rFonts w:hint="eastAsia" w:ascii="宋体" w:hAnsi="宋体" w:eastAsia="宋体" w:cs="宋体"/>
                      <w:b/>
                      <w:bCs/>
                      <w:color w:val="auto"/>
                      <w:szCs w:val="21"/>
                      <w:lang w:bidi="ar"/>
                    </w:rPr>
                    <w:t>水样编号</w:t>
                  </w:r>
                </w:p>
              </w:tc>
              <w:tc>
                <w:tcPr>
                  <w:tcW w:w="1661" w:type="dxa"/>
                  <w:tcBorders>
                    <w:top w:val="single" w:color="auto" w:sz="4" w:space="0"/>
                    <w:left w:val="single" w:color="auto" w:sz="4" w:space="0"/>
                    <w:bottom w:val="single" w:color="auto" w:sz="4" w:space="0"/>
                    <w:right w:val="single" w:color="auto" w:sz="4" w:space="0"/>
                  </w:tcBorders>
                  <w:vAlign w:val="center"/>
                </w:tcPr>
                <w:p w14:paraId="2D025ADE">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r>
                    <w:rPr>
                      <w:rFonts w:hint="eastAsia" w:ascii="宋体" w:hAnsi="宋体" w:eastAsia="宋体" w:cs="宋体"/>
                      <w:color w:val="auto"/>
                      <w:szCs w:val="21"/>
                      <w:lang w:bidi="ar"/>
                    </w:rPr>
                    <w:t>水</w:t>
                  </w:r>
                  <w:r>
                    <w:rPr>
                      <w:rFonts w:hint="default" w:ascii="Times New Roman" w:hAnsi="Times New Roman" w:eastAsia="宋体" w:cs="Times New Roman"/>
                      <w:color w:val="auto"/>
                      <w:szCs w:val="21"/>
                      <w:lang w:bidi="ar"/>
                    </w:rPr>
                    <w:t>251120016</w:t>
                  </w:r>
                </w:p>
              </w:tc>
              <w:tc>
                <w:tcPr>
                  <w:tcW w:w="1663" w:type="dxa"/>
                  <w:tcBorders>
                    <w:top w:val="single" w:color="auto" w:sz="4" w:space="0"/>
                    <w:left w:val="single" w:color="auto" w:sz="4" w:space="0"/>
                    <w:bottom w:val="single" w:color="auto" w:sz="4" w:space="0"/>
                    <w:right w:val="single" w:color="auto" w:sz="4" w:space="0"/>
                  </w:tcBorders>
                  <w:vAlign w:val="center"/>
                </w:tcPr>
                <w:p w14:paraId="4E64B690">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r>
                    <w:rPr>
                      <w:rFonts w:hint="eastAsia" w:ascii="宋体" w:hAnsi="宋体" w:eastAsia="宋体" w:cs="宋体"/>
                      <w:color w:val="auto"/>
                      <w:szCs w:val="21"/>
                      <w:lang w:bidi="ar"/>
                    </w:rPr>
                    <w:t>水</w:t>
                  </w:r>
                  <w:r>
                    <w:rPr>
                      <w:rFonts w:hint="default" w:ascii="Times New Roman" w:hAnsi="Times New Roman" w:eastAsia="宋体" w:cs="Times New Roman"/>
                      <w:color w:val="auto"/>
                      <w:szCs w:val="21"/>
                      <w:lang w:bidi="ar"/>
                    </w:rPr>
                    <w:t>251120017</w:t>
                  </w:r>
                </w:p>
              </w:tc>
              <w:tc>
                <w:tcPr>
                  <w:tcW w:w="1663" w:type="dxa"/>
                  <w:tcBorders>
                    <w:top w:val="single" w:color="auto" w:sz="4" w:space="0"/>
                    <w:left w:val="single" w:color="auto" w:sz="4" w:space="0"/>
                    <w:bottom w:val="single" w:color="auto" w:sz="4" w:space="0"/>
                    <w:right w:val="single" w:color="auto" w:sz="4" w:space="0"/>
                  </w:tcBorders>
                  <w:vAlign w:val="center"/>
                </w:tcPr>
                <w:p w14:paraId="08BC89D5">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r>
                    <w:rPr>
                      <w:rFonts w:hint="eastAsia" w:ascii="宋体" w:hAnsi="宋体" w:eastAsia="宋体" w:cs="宋体"/>
                      <w:color w:val="auto"/>
                      <w:szCs w:val="21"/>
                      <w:lang w:bidi="ar"/>
                    </w:rPr>
                    <w:t>水</w:t>
                  </w:r>
                  <w:r>
                    <w:rPr>
                      <w:rFonts w:hint="default" w:ascii="Times New Roman" w:hAnsi="Times New Roman" w:eastAsia="宋体" w:cs="Times New Roman"/>
                      <w:color w:val="auto"/>
                      <w:szCs w:val="21"/>
                      <w:lang w:bidi="ar"/>
                    </w:rPr>
                    <w:t>251120018</w:t>
                  </w:r>
                </w:p>
              </w:tc>
              <w:tc>
                <w:tcPr>
                  <w:tcW w:w="1663" w:type="dxa"/>
                  <w:tcBorders>
                    <w:top w:val="single" w:color="auto" w:sz="4" w:space="0"/>
                    <w:left w:val="single" w:color="auto" w:sz="4" w:space="0"/>
                    <w:bottom w:val="single" w:color="auto" w:sz="4" w:space="0"/>
                    <w:right w:val="single" w:color="auto" w:sz="4" w:space="0"/>
                  </w:tcBorders>
                  <w:vAlign w:val="center"/>
                </w:tcPr>
                <w:p w14:paraId="440069D9">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r>
                    <w:rPr>
                      <w:rFonts w:hint="eastAsia" w:ascii="宋体" w:hAnsi="宋体" w:eastAsia="宋体" w:cs="宋体"/>
                      <w:color w:val="auto"/>
                      <w:szCs w:val="21"/>
                      <w:lang w:bidi="ar"/>
                    </w:rPr>
                    <w:t>水</w:t>
                  </w:r>
                  <w:r>
                    <w:rPr>
                      <w:rFonts w:hint="default" w:ascii="Times New Roman" w:hAnsi="Times New Roman" w:eastAsia="宋体" w:cs="Times New Roman"/>
                      <w:color w:val="auto"/>
                      <w:szCs w:val="21"/>
                      <w:lang w:bidi="ar"/>
                    </w:rPr>
                    <w:t>251120019</w:t>
                  </w:r>
                </w:p>
              </w:tc>
            </w:tr>
            <w:tr w14:paraId="022EFD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2669" w:type="dxa"/>
                  <w:tcBorders>
                    <w:top w:val="single" w:color="auto" w:sz="4" w:space="0"/>
                    <w:left w:val="single" w:color="auto" w:sz="4" w:space="0"/>
                    <w:bottom w:val="single" w:color="auto" w:sz="4" w:space="0"/>
                    <w:right w:val="single" w:color="auto" w:sz="4" w:space="0"/>
                  </w:tcBorders>
                  <w:vAlign w:val="center"/>
                </w:tcPr>
                <w:p w14:paraId="4141BA14">
                  <w:pPr>
                    <w:keepNext w:val="0"/>
                    <w:keepLines w:val="0"/>
                    <w:suppressLineNumbers w:val="0"/>
                    <w:spacing w:before="0" w:beforeAutospacing="0" w:after="0" w:afterAutospacing="0"/>
                    <w:ind w:left="0" w:right="0"/>
                    <w:jc w:val="center"/>
                    <w:rPr>
                      <w:rFonts w:hint="default" w:ascii="Times New Roman" w:hAnsi="Times New Roman" w:eastAsia="宋体" w:cs="Times New Roman"/>
                      <w:b/>
                      <w:bCs/>
                      <w:color w:val="auto"/>
                      <w:szCs w:val="21"/>
                    </w:rPr>
                  </w:pPr>
                  <w:r>
                    <w:rPr>
                      <w:rFonts w:hint="eastAsia" w:ascii="宋体" w:hAnsi="宋体" w:eastAsia="宋体" w:cs="宋体"/>
                      <w:b/>
                      <w:bCs/>
                      <w:color w:val="auto"/>
                      <w:szCs w:val="21"/>
                      <w:lang w:bidi="ar"/>
                    </w:rPr>
                    <w:t>样品性状</w:t>
                  </w:r>
                </w:p>
              </w:tc>
              <w:tc>
                <w:tcPr>
                  <w:tcW w:w="1661" w:type="dxa"/>
                  <w:tcBorders>
                    <w:top w:val="single" w:color="auto" w:sz="4" w:space="0"/>
                    <w:left w:val="single" w:color="auto" w:sz="4" w:space="0"/>
                    <w:bottom w:val="single" w:color="auto" w:sz="4" w:space="0"/>
                    <w:right w:val="single" w:color="auto" w:sz="4" w:space="0"/>
                  </w:tcBorders>
                  <w:vAlign w:val="center"/>
                </w:tcPr>
                <w:p w14:paraId="118C571A">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r>
                    <w:rPr>
                      <w:rFonts w:hint="eastAsia" w:ascii="宋体" w:hAnsi="宋体" w:eastAsia="宋体" w:cs="宋体"/>
                      <w:color w:val="auto"/>
                      <w:szCs w:val="21"/>
                      <w:lang w:bidi="ar"/>
                    </w:rPr>
                    <w:t>微黄，微浊</w:t>
                  </w:r>
                </w:p>
              </w:tc>
              <w:tc>
                <w:tcPr>
                  <w:tcW w:w="1663" w:type="dxa"/>
                  <w:tcBorders>
                    <w:top w:val="single" w:color="auto" w:sz="4" w:space="0"/>
                    <w:left w:val="single" w:color="auto" w:sz="4" w:space="0"/>
                    <w:bottom w:val="single" w:color="auto" w:sz="4" w:space="0"/>
                    <w:right w:val="single" w:color="auto" w:sz="4" w:space="0"/>
                  </w:tcBorders>
                  <w:vAlign w:val="center"/>
                </w:tcPr>
                <w:p w14:paraId="4FF63F03">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r>
                    <w:rPr>
                      <w:rFonts w:hint="eastAsia" w:ascii="宋体" w:hAnsi="宋体" w:eastAsia="宋体" w:cs="宋体"/>
                      <w:color w:val="auto"/>
                      <w:szCs w:val="21"/>
                      <w:lang w:bidi="ar"/>
                    </w:rPr>
                    <w:t>微黄，微浊</w:t>
                  </w:r>
                </w:p>
              </w:tc>
              <w:tc>
                <w:tcPr>
                  <w:tcW w:w="1663" w:type="dxa"/>
                  <w:tcBorders>
                    <w:top w:val="single" w:color="auto" w:sz="4" w:space="0"/>
                    <w:left w:val="single" w:color="auto" w:sz="4" w:space="0"/>
                    <w:bottom w:val="single" w:color="auto" w:sz="4" w:space="0"/>
                    <w:right w:val="single" w:color="auto" w:sz="4" w:space="0"/>
                  </w:tcBorders>
                  <w:vAlign w:val="center"/>
                </w:tcPr>
                <w:p w14:paraId="34DC2344">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r>
                    <w:rPr>
                      <w:rFonts w:hint="eastAsia" w:ascii="宋体" w:hAnsi="宋体" w:eastAsia="宋体" w:cs="宋体"/>
                      <w:color w:val="auto"/>
                      <w:szCs w:val="21"/>
                      <w:lang w:bidi="ar"/>
                    </w:rPr>
                    <w:t>微黄，微浊</w:t>
                  </w:r>
                </w:p>
              </w:tc>
              <w:tc>
                <w:tcPr>
                  <w:tcW w:w="1663" w:type="dxa"/>
                  <w:tcBorders>
                    <w:top w:val="single" w:color="auto" w:sz="4" w:space="0"/>
                    <w:left w:val="single" w:color="auto" w:sz="4" w:space="0"/>
                    <w:bottom w:val="single" w:color="auto" w:sz="4" w:space="0"/>
                    <w:right w:val="single" w:color="auto" w:sz="4" w:space="0"/>
                  </w:tcBorders>
                  <w:vAlign w:val="center"/>
                </w:tcPr>
                <w:p w14:paraId="7C41C4FC">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r>
                    <w:rPr>
                      <w:rFonts w:hint="eastAsia" w:ascii="宋体" w:hAnsi="宋体" w:eastAsia="宋体" w:cs="宋体"/>
                      <w:color w:val="auto"/>
                      <w:szCs w:val="21"/>
                      <w:lang w:bidi="ar"/>
                    </w:rPr>
                    <w:t>微黄，微浊</w:t>
                  </w:r>
                </w:p>
              </w:tc>
            </w:tr>
            <w:tr w14:paraId="4FE433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2669" w:type="dxa"/>
                  <w:tcBorders>
                    <w:top w:val="single" w:color="auto" w:sz="4" w:space="0"/>
                    <w:left w:val="single" w:color="auto" w:sz="4" w:space="0"/>
                    <w:bottom w:val="single" w:color="auto" w:sz="4" w:space="0"/>
                    <w:right w:val="single" w:color="auto" w:sz="4" w:space="0"/>
                  </w:tcBorders>
                  <w:vAlign w:val="center"/>
                </w:tcPr>
                <w:p w14:paraId="5FB528FB">
                  <w:pPr>
                    <w:keepNext w:val="0"/>
                    <w:keepLines w:val="0"/>
                    <w:suppressLineNumbers w:val="0"/>
                    <w:spacing w:before="0" w:beforeAutospacing="0" w:after="0" w:afterAutospacing="0"/>
                    <w:ind w:left="0" w:right="0"/>
                    <w:jc w:val="center"/>
                    <w:rPr>
                      <w:rFonts w:hint="default" w:ascii="Times New Roman" w:hAnsi="Times New Roman" w:eastAsia="宋体" w:cs="Times New Roman"/>
                      <w:b/>
                      <w:bCs/>
                      <w:color w:val="auto"/>
                      <w:szCs w:val="21"/>
                    </w:rPr>
                  </w:pPr>
                  <w:r>
                    <w:rPr>
                      <w:rFonts w:hint="default" w:ascii="Times New Roman" w:hAnsi="Times New Roman" w:eastAsia="宋体" w:cs="Times New Roman"/>
                      <w:b/>
                      <w:bCs/>
                      <w:color w:val="auto"/>
                      <w:szCs w:val="21"/>
                      <w:lang w:bidi="ar"/>
                    </w:rPr>
                    <w:t>pH</w:t>
                  </w:r>
                  <w:r>
                    <w:rPr>
                      <w:rFonts w:hint="eastAsia" w:ascii="宋体" w:hAnsi="宋体" w:eastAsia="宋体" w:cs="宋体"/>
                      <w:b/>
                      <w:bCs/>
                      <w:color w:val="auto"/>
                      <w:szCs w:val="21"/>
                      <w:lang w:bidi="ar"/>
                    </w:rPr>
                    <w:t>值（无量纲）</w:t>
                  </w:r>
                </w:p>
              </w:tc>
              <w:tc>
                <w:tcPr>
                  <w:tcW w:w="1661" w:type="dxa"/>
                  <w:tcBorders>
                    <w:top w:val="single" w:color="auto" w:sz="4" w:space="0"/>
                    <w:left w:val="single" w:color="auto" w:sz="4" w:space="0"/>
                    <w:bottom w:val="single" w:color="auto" w:sz="4" w:space="0"/>
                    <w:right w:val="single" w:color="auto" w:sz="4" w:space="0"/>
                  </w:tcBorders>
                  <w:vAlign w:val="center"/>
                </w:tcPr>
                <w:p w14:paraId="43F204A5">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lang w:bidi="ar"/>
                    </w:rPr>
                    <w:t>7.6</w:t>
                  </w:r>
                </w:p>
              </w:tc>
              <w:tc>
                <w:tcPr>
                  <w:tcW w:w="1663" w:type="dxa"/>
                  <w:tcBorders>
                    <w:top w:val="single" w:color="auto" w:sz="4" w:space="0"/>
                    <w:left w:val="single" w:color="auto" w:sz="4" w:space="0"/>
                    <w:bottom w:val="single" w:color="auto" w:sz="4" w:space="0"/>
                    <w:right w:val="single" w:color="auto" w:sz="4" w:space="0"/>
                  </w:tcBorders>
                  <w:vAlign w:val="center"/>
                </w:tcPr>
                <w:p w14:paraId="36A90828">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lang w:bidi="ar"/>
                    </w:rPr>
                    <w:t>7.6</w:t>
                  </w:r>
                </w:p>
              </w:tc>
              <w:tc>
                <w:tcPr>
                  <w:tcW w:w="1663" w:type="dxa"/>
                  <w:tcBorders>
                    <w:top w:val="single" w:color="auto" w:sz="4" w:space="0"/>
                    <w:left w:val="single" w:color="auto" w:sz="4" w:space="0"/>
                    <w:bottom w:val="single" w:color="auto" w:sz="4" w:space="0"/>
                    <w:right w:val="single" w:color="auto" w:sz="4" w:space="0"/>
                  </w:tcBorders>
                  <w:vAlign w:val="center"/>
                </w:tcPr>
                <w:p w14:paraId="0DAAB4AF">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lang w:bidi="ar"/>
                    </w:rPr>
                    <w:t>7.7</w:t>
                  </w:r>
                </w:p>
              </w:tc>
              <w:tc>
                <w:tcPr>
                  <w:tcW w:w="1663" w:type="dxa"/>
                  <w:tcBorders>
                    <w:top w:val="single" w:color="auto" w:sz="4" w:space="0"/>
                    <w:left w:val="single" w:color="auto" w:sz="4" w:space="0"/>
                    <w:bottom w:val="single" w:color="auto" w:sz="4" w:space="0"/>
                    <w:right w:val="single" w:color="auto" w:sz="4" w:space="0"/>
                  </w:tcBorders>
                  <w:vAlign w:val="center"/>
                </w:tcPr>
                <w:p w14:paraId="68E2625B">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lang w:bidi="ar"/>
                    </w:rPr>
                    <w:t>7.7</w:t>
                  </w:r>
                </w:p>
              </w:tc>
            </w:tr>
            <w:tr w14:paraId="41615D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2669" w:type="dxa"/>
                  <w:tcBorders>
                    <w:top w:val="single" w:color="auto" w:sz="4" w:space="0"/>
                    <w:left w:val="single" w:color="auto" w:sz="4" w:space="0"/>
                    <w:bottom w:val="single" w:color="auto" w:sz="4" w:space="0"/>
                    <w:right w:val="single" w:color="auto" w:sz="4" w:space="0"/>
                  </w:tcBorders>
                  <w:vAlign w:val="center"/>
                </w:tcPr>
                <w:p w14:paraId="009955D4">
                  <w:pPr>
                    <w:keepNext w:val="0"/>
                    <w:keepLines w:val="0"/>
                    <w:suppressLineNumbers w:val="0"/>
                    <w:spacing w:before="0" w:beforeAutospacing="0" w:after="0" w:afterAutospacing="0"/>
                    <w:ind w:left="0" w:right="0"/>
                    <w:jc w:val="center"/>
                    <w:rPr>
                      <w:rFonts w:hint="default" w:ascii="Times New Roman" w:hAnsi="Times New Roman" w:eastAsia="宋体" w:cs="Times New Roman"/>
                      <w:b/>
                      <w:bCs/>
                      <w:color w:val="auto"/>
                      <w:szCs w:val="21"/>
                    </w:rPr>
                  </w:pPr>
                  <w:r>
                    <w:rPr>
                      <w:rFonts w:hint="eastAsia" w:ascii="宋体" w:hAnsi="宋体" w:eastAsia="宋体" w:cs="宋体"/>
                      <w:b/>
                      <w:bCs/>
                      <w:color w:val="auto"/>
                      <w:szCs w:val="21"/>
                      <w:lang w:bidi="ar"/>
                    </w:rPr>
                    <w:t>化学需氧量（</w:t>
                  </w:r>
                  <w:r>
                    <w:rPr>
                      <w:rFonts w:hint="default" w:ascii="Times New Roman" w:hAnsi="Times New Roman" w:eastAsia="宋体" w:cs="Times New Roman"/>
                      <w:b/>
                      <w:bCs/>
                      <w:color w:val="auto"/>
                      <w:szCs w:val="21"/>
                      <w:lang w:bidi="ar"/>
                    </w:rPr>
                    <w:t>mg/L</w:t>
                  </w:r>
                  <w:r>
                    <w:rPr>
                      <w:rFonts w:hint="eastAsia" w:ascii="宋体" w:hAnsi="宋体" w:eastAsia="宋体" w:cs="宋体"/>
                      <w:b/>
                      <w:bCs/>
                      <w:color w:val="auto"/>
                      <w:szCs w:val="21"/>
                      <w:lang w:bidi="ar"/>
                    </w:rPr>
                    <w:t>）</w:t>
                  </w:r>
                </w:p>
              </w:tc>
              <w:tc>
                <w:tcPr>
                  <w:tcW w:w="1661" w:type="dxa"/>
                  <w:tcBorders>
                    <w:top w:val="single" w:color="auto" w:sz="4" w:space="0"/>
                    <w:left w:val="single" w:color="auto" w:sz="4" w:space="0"/>
                    <w:bottom w:val="single" w:color="auto" w:sz="4" w:space="0"/>
                    <w:right w:val="single" w:color="auto" w:sz="4" w:space="0"/>
                  </w:tcBorders>
                  <w:vAlign w:val="center"/>
                </w:tcPr>
                <w:p w14:paraId="157E57B2">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lang w:bidi="ar"/>
                    </w:rPr>
                    <w:t>229</w:t>
                  </w:r>
                </w:p>
              </w:tc>
              <w:tc>
                <w:tcPr>
                  <w:tcW w:w="1663" w:type="dxa"/>
                  <w:tcBorders>
                    <w:top w:val="single" w:color="auto" w:sz="4" w:space="0"/>
                    <w:left w:val="single" w:color="auto" w:sz="4" w:space="0"/>
                    <w:bottom w:val="single" w:color="auto" w:sz="4" w:space="0"/>
                    <w:right w:val="single" w:color="auto" w:sz="4" w:space="0"/>
                  </w:tcBorders>
                  <w:vAlign w:val="center"/>
                </w:tcPr>
                <w:p w14:paraId="2AF70B8D">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lang w:bidi="ar"/>
                    </w:rPr>
                    <w:t>227</w:t>
                  </w:r>
                </w:p>
              </w:tc>
              <w:tc>
                <w:tcPr>
                  <w:tcW w:w="1663" w:type="dxa"/>
                  <w:tcBorders>
                    <w:top w:val="single" w:color="auto" w:sz="4" w:space="0"/>
                    <w:left w:val="single" w:color="auto" w:sz="4" w:space="0"/>
                    <w:bottom w:val="single" w:color="auto" w:sz="4" w:space="0"/>
                    <w:right w:val="single" w:color="auto" w:sz="4" w:space="0"/>
                  </w:tcBorders>
                  <w:vAlign w:val="center"/>
                </w:tcPr>
                <w:p w14:paraId="6282F4ED">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lang w:bidi="ar"/>
                    </w:rPr>
                    <w:t>225</w:t>
                  </w:r>
                </w:p>
              </w:tc>
              <w:tc>
                <w:tcPr>
                  <w:tcW w:w="1663" w:type="dxa"/>
                  <w:tcBorders>
                    <w:top w:val="single" w:color="auto" w:sz="4" w:space="0"/>
                    <w:left w:val="single" w:color="auto" w:sz="4" w:space="0"/>
                    <w:bottom w:val="single" w:color="auto" w:sz="4" w:space="0"/>
                    <w:right w:val="single" w:color="auto" w:sz="4" w:space="0"/>
                  </w:tcBorders>
                  <w:vAlign w:val="center"/>
                </w:tcPr>
                <w:p w14:paraId="54FB2258">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lang w:bidi="ar"/>
                    </w:rPr>
                    <w:t>227</w:t>
                  </w:r>
                </w:p>
              </w:tc>
            </w:tr>
            <w:tr w14:paraId="0291AB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2669" w:type="dxa"/>
                  <w:tcBorders>
                    <w:top w:val="single" w:color="auto" w:sz="4" w:space="0"/>
                    <w:left w:val="single" w:color="auto" w:sz="4" w:space="0"/>
                    <w:bottom w:val="single" w:color="auto" w:sz="4" w:space="0"/>
                    <w:right w:val="single" w:color="auto" w:sz="4" w:space="0"/>
                  </w:tcBorders>
                  <w:vAlign w:val="center"/>
                </w:tcPr>
                <w:p w14:paraId="4F5BB816">
                  <w:pPr>
                    <w:keepNext w:val="0"/>
                    <w:keepLines w:val="0"/>
                    <w:suppressLineNumbers w:val="0"/>
                    <w:spacing w:before="0" w:beforeAutospacing="0" w:after="0" w:afterAutospacing="0"/>
                    <w:ind w:left="0" w:right="0"/>
                    <w:jc w:val="center"/>
                    <w:rPr>
                      <w:rFonts w:hint="default" w:ascii="Times New Roman" w:hAnsi="Times New Roman" w:eastAsia="宋体" w:cs="Times New Roman"/>
                      <w:b/>
                      <w:bCs/>
                      <w:color w:val="auto"/>
                      <w:szCs w:val="21"/>
                    </w:rPr>
                  </w:pPr>
                  <w:r>
                    <w:rPr>
                      <w:rFonts w:hint="eastAsia" w:ascii="宋体" w:hAnsi="宋体" w:eastAsia="宋体" w:cs="宋体"/>
                      <w:b/>
                      <w:bCs/>
                      <w:color w:val="auto"/>
                      <w:szCs w:val="21"/>
                      <w:lang w:bidi="ar"/>
                    </w:rPr>
                    <w:t>氨氮（</w:t>
                  </w:r>
                  <w:r>
                    <w:rPr>
                      <w:rFonts w:hint="default" w:ascii="Times New Roman" w:hAnsi="Times New Roman" w:eastAsia="宋体" w:cs="Times New Roman"/>
                      <w:b/>
                      <w:bCs/>
                      <w:color w:val="auto"/>
                      <w:szCs w:val="21"/>
                      <w:lang w:bidi="ar"/>
                    </w:rPr>
                    <w:t>mg/L</w:t>
                  </w:r>
                  <w:r>
                    <w:rPr>
                      <w:rFonts w:hint="eastAsia" w:ascii="宋体" w:hAnsi="宋体" w:eastAsia="宋体" w:cs="宋体"/>
                      <w:b/>
                      <w:bCs/>
                      <w:color w:val="auto"/>
                      <w:szCs w:val="21"/>
                      <w:lang w:bidi="ar"/>
                    </w:rPr>
                    <w:t>）</w:t>
                  </w:r>
                </w:p>
              </w:tc>
              <w:tc>
                <w:tcPr>
                  <w:tcW w:w="1661" w:type="dxa"/>
                  <w:tcBorders>
                    <w:top w:val="single" w:color="auto" w:sz="4" w:space="0"/>
                    <w:left w:val="single" w:color="auto" w:sz="4" w:space="0"/>
                    <w:bottom w:val="single" w:color="auto" w:sz="4" w:space="0"/>
                    <w:right w:val="single" w:color="auto" w:sz="4" w:space="0"/>
                  </w:tcBorders>
                  <w:vAlign w:val="center"/>
                </w:tcPr>
                <w:p w14:paraId="0CB2100B">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lang w:bidi="ar"/>
                    </w:rPr>
                    <w:t>22.1</w:t>
                  </w:r>
                </w:p>
              </w:tc>
              <w:tc>
                <w:tcPr>
                  <w:tcW w:w="1663" w:type="dxa"/>
                  <w:tcBorders>
                    <w:top w:val="single" w:color="auto" w:sz="4" w:space="0"/>
                    <w:left w:val="single" w:color="auto" w:sz="4" w:space="0"/>
                    <w:bottom w:val="single" w:color="auto" w:sz="4" w:space="0"/>
                    <w:right w:val="single" w:color="auto" w:sz="4" w:space="0"/>
                  </w:tcBorders>
                  <w:vAlign w:val="center"/>
                </w:tcPr>
                <w:p w14:paraId="261E26A0">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lang w:bidi="ar"/>
                    </w:rPr>
                    <w:t>21.4</w:t>
                  </w:r>
                </w:p>
              </w:tc>
              <w:tc>
                <w:tcPr>
                  <w:tcW w:w="1663" w:type="dxa"/>
                  <w:tcBorders>
                    <w:top w:val="single" w:color="auto" w:sz="4" w:space="0"/>
                    <w:left w:val="single" w:color="auto" w:sz="4" w:space="0"/>
                    <w:bottom w:val="single" w:color="auto" w:sz="4" w:space="0"/>
                    <w:right w:val="single" w:color="auto" w:sz="4" w:space="0"/>
                  </w:tcBorders>
                  <w:vAlign w:val="center"/>
                </w:tcPr>
                <w:p w14:paraId="6DBC9D8A">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lang w:bidi="ar"/>
                    </w:rPr>
                    <w:t>21.1</w:t>
                  </w:r>
                </w:p>
              </w:tc>
              <w:tc>
                <w:tcPr>
                  <w:tcW w:w="1663" w:type="dxa"/>
                  <w:tcBorders>
                    <w:top w:val="single" w:color="auto" w:sz="4" w:space="0"/>
                    <w:left w:val="single" w:color="auto" w:sz="4" w:space="0"/>
                    <w:bottom w:val="single" w:color="auto" w:sz="4" w:space="0"/>
                    <w:right w:val="single" w:color="auto" w:sz="4" w:space="0"/>
                  </w:tcBorders>
                  <w:vAlign w:val="center"/>
                </w:tcPr>
                <w:p w14:paraId="77F4BA08">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lang w:bidi="ar"/>
                    </w:rPr>
                    <w:t>21.6</w:t>
                  </w:r>
                </w:p>
              </w:tc>
            </w:tr>
            <w:tr w14:paraId="6CCA44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2669" w:type="dxa"/>
                  <w:tcBorders>
                    <w:top w:val="single" w:color="auto" w:sz="4" w:space="0"/>
                    <w:left w:val="single" w:color="auto" w:sz="4" w:space="0"/>
                    <w:bottom w:val="single" w:color="auto" w:sz="4" w:space="0"/>
                    <w:right w:val="single" w:color="auto" w:sz="4" w:space="0"/>
                  </w:tcBorders>
                  <w:vAlign w:val="center"/>
                </w:tcPr>
                <w:p w14:paraId="2966C169">
                  <w:pPr>
                    <w:keepNext w:val="0"/>
                    <w:keepLines w:val="0"/>
                    <w:suppressLineNumbers w:val="0"/>
                    <w:spacing w:before="0" w:beforeAutospacing="0" w:after="0" w:afterAutospacing="0"/>
                    <w:ind w:left="0" w:right="0"/>
                    <w:jc w:val="center"/>
                    <w:rPr>
                      <w:rFonts w:hint="default" w:ascii="Times New Roman" w:hAnsi="Times New Roman" w:eastAsia="宋体" w:cs="Times New Roman"/>
                      <w:b/>
                      <w:bCs/>
                      <w:color w:val="auto"/>
                      <w:szCs w:val="21"/>
                    </w:rPr>
                  </w:pPr>
                  <w:r>
                    <w:rPr>
                      <w:rFonts w:hint="eastAsia" w:ascii="宋体" w:hAnsi="宋体" w:eastAsia="宋体" w:cs="宋体"/>
                      <w:b/>
                      <w:bCs/>
                      <w:color w:val="auto"/>
                      <w:szCs w:val="21"/>
                      <w:lang w:bidi="ar"/>
                    </w:rPr>
                    <w:t>总磷（</w:t>
                  </w:r>
                  <w:r>
                    <w:rPr>
                      <w:rFonts w:hint="default" w:ascii="Times New Roman" w:hAnsi="Times New Roman" w:eastAsia="宋体" w:cs="Times New Roman"/>
                      <w:b/>
                      <w:bCs/>
                      <w:color w:val="auto"/>
                      <w:szCs w:val="21"/>
                      <w:lang w:bidi="ar"/>
                    </w:rPr>
                    <w:t>mg/L</w:t>
                  </w:r>
                  <w:r>
                    <w:rPr>
                      <w:rFonts w:hint="eastAsia" w:ascii="宋体" w:hAnsi="宋体" w:eastAsia="宋体" w:cs="宋体"/>
                      <w:b/>
                      <w:bCs/>
                      <w:color w:val="auto"/>
                      <w:szCs w:val="21"/>
                      <w:lang w:bidi="ar"/>
                    </w:rPr>
                    <w:t>）</w:t>
                  </w:r>
                </w:p>
              </w:tc>
              <w:tc>
                <w:tcPr>
                  <w:tcW w:w="1661" w:type="dxa"/>
                  <w:tcBorders>
                    <w:top w:val="single" w:color="auto" w:sz="4" w:space="0"/>
                    <w:left w:val="single" w:color="auto" w:sz="4" w:space="0"/>
                    <w:bottom w:val="single" w:color="auto" w:sz="4" w:space="0"/>
                    <w:right w:val="single" w:color="auto" w:sz="4" w:space="0"/>
                  </w:tcBorders>
                  <w:vAlign w:val="center"/>
                </w:tcPr>
                <w:p w14:paraId="66169157">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lang w:bidi="ar"/>
                    </w:rPr>
                    <w:t>2.89</w:t>
                  </w:r>
                </w:p>
              </w:tc>
              <w:tc>
                <w:tcPr>
                  <w:tcW w:w="1663" w:type="dxa"/>
                  <w:tcBorders>
                    <w:top w:val="single" w:color="auto" w:sz="4" w:space="0"/>
                    <w:left w:val="single" w:color="auto" w:sz="4" w:space="0"/>
                    <w:bottom w:val="single" w:color="auto" w:sz="4" w:space="0"/>
                    <w:right w:val="single" w:color="auto" w:sz="4" w:space="0"/>
                  </w:tcBorders>
                  <w:vAlign w:val="center"/>
                </w:tcPr>
                <w:p w14:paraId="0AD2B04B">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lang w:bidi="ar"/>
                    </w:rPr>
                    <w:t>2.96</w:t>
                  </w:r>
                </w:p>
              </w:tc>
              <w:tc>
                <w:tcPr>
                  <w:tcW w:w="1663" w:type="dxa"/>
                  <w:tcBorders>
                    <w:top w:val="single" w:color="auto" w:sz="4" w:space="0"/>
                    <w:left w:val="single" w:color="auto" w:sz="4" w:space="0"/>
                    <w:bottom w:val="single" w:color="auto" w:sz="4" w:space="0"/>
                    <w:right w:val="single" w:color="auto" w:sz="4" w:space="0"/>
                  </w:tcBorders>
                  <w:vAlign w:val="center"/>
                </w:tcPr>
                <w:p w14:paraId="4FC1E01F">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lang w:bidi="ar"/>
                    </w:rPr>
                    <w:t>2.85</w:t>
                  </w:r>
                </w:p>
              </w:tc>
              <w:tc>
                <w:tcPr>
                  <w:tcW w:w="1663" w:type="dxa"/>
                  <w:tcBorders>
                    <w:top w:val="single" w:color="auto" w:sz="4" w:space="0"/>
                    <w:left w:val="single" w:color="auto" w:sz="4" w:space="0"/>
                    <w:bottom w:val="single" w:color="auto" w:sz="4" w:space="0"/>
                    <w:right w:val="single" w:color="auto" w:sz="4" w:space="0"/>
                  </w:tcBorders>
                  <w:vAlign w:val="center"/>
                </w:tcPr>
                <w:p w14:paraId="5BBFEBEA">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lang w:bidi="ar"/>
                    </w:rPr>
                    <w:t>2.81</w:t>
                  </w:r>
                </w:p>
              </w:tc>
            </w:tr>
            <w:tr w14:paraId="70FF02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2669" w:type="dxa"/>
                  <w:tcBorders>
                    <w:top w:val="single" w:color="auto" w:sz="4" w:space="0"/>
                    <w:left w:val="single" w:color="auto" w:sz="4" w:space="0"/>
                    <w:bottom w:val="single" w:color="auto" w:sz="4" w:space="0"/>
                    <w:right w:val="single" w:color="auto" w:sz="4" w:space="0"/>
                  </w:tcBorders>
                  <w:vAlign w:val="center"/>
                </w:tcPr>
                <w:p w14:paraId="269FA598">
                  <w:pPr>
                    <w:keepNext w:val="0"/>
                    <w:keepLines w:val="0"/>
                    <w:suppressLineNumbers w:val="0"/>
                    <w:spacing w:before="0" w:beforeAutospacing="0" w:after="0" w:afterAutospacing="0"/>
                    <w:ind w:left="0" w:right="0"/>
                    <w:jc w:val="center"/>
                    <w:rPr>
                      <w:rFonts w:hint="default" w:ascii="Times New Roman" w:hAnsi="Times New Roman" w:eastAsia="宋体" w:cs="Times New Roman"/>
                      <w:b/>
                      <w:bCs/>
                      <w:color w:val="auto"/>
                      <w:szCs w:val="21"/>
                    </w:rPr>
                  </w:pPr>
                  <w:r>
                    <w:rPr>
                      <w:rFonts w:hint="eastAsia" w:ascii="宋体" w:hAnsi="宋体" w:eastAsia="宋体" w:cs="宋体"/>
                      <w:b/>
                      <w:bCs/>
                      <w:color w:val="auto"/>
                      <w:szCs w:val="21"/>
                      <w:lang w:bidi="ar"/>
                    </w:rPr>
                    <w:t>悬浮物（</w:t>
                  </w:r>
                  <w:r>
                    <w:rPr>
                      <w:rFonts w:hint="default" w:ascii="Times New Roman" w:hAnsi="Times New Roman" w:eastAsia="宋体" w:cs="Times New Roman"/>
                      <w:b/>
                      <w:bCs/>
                      <w:color w:val="auto"/>
                      <w:szCs w:val="21"/>
                      <w:lang w:bidi="ar"/>
                    </w:rPr>
                    <w:t>mg/L</w:t>
                  </w:r>
                  <w:r>
                    <w:rPr>
                      <w:rFonts w:hint="eastAsia" w:ascii="宋体" w:hAnsi="宋体" w:eastAsia="宋体" w:cs="宋体"/>
                      <w:b/>
                      <w:bCs/>
                      <w:color w:val="auto"/>
                      <w:szCs w:val="21"/>
                      <w:lang w:bidi="ar"/>
                    </w:rPr>
                    <w:t>）</w:t>
                  </w:r>
                </w:p>
              </w:tc>
              <w:tc>
                <w:tcPr>
                  <w:tcW w:w="1661" w:type="dxa"/>
                  <w:tcBorders>
                    <w:top w:val="single" w:color="auto" w:sz="4" w:space="0"/>
                    <w:left w:val="single" w:color="auto" w:sz="4" w:space="0"/>
                    <w:bottom w:val="single" w:color="auto" w:sz="4" w:space="0"/>
                    <w:right w:val="single" w:color="auto" w:sz="4" w:space="0"/>
                  </w:tcBorders>
                  <w:vAlign w:val="center"/>
                </w:tcPr>
                <w:p w14:paraId="55A079C8">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lang w:bidi="ar"/>
                    </w:rPr>
                    <w:t>65</w:t>
                  </w:r>
                </w:p>
              </w:tc>
              <w:tc>
                <w:tcPr>
                  <w:tcW w:w="1663" w:type="dxa"/>
                  <w:tcBorders>
                    <w:top w:val="single" w:color="auto" w:sz="4" w:space="0"/>
                    <w:left w:val="single" w:color="auto" w:sz="4" w:space="0"/>
                    <w:bottom w:val="single" w:color="auto" w:sz="4" w:space="0"/>
                    <w:right w:val="single" w:color="auto" w:sz="4" w:space="0"/>
                  </w:tcBorders>
                  <w:vAlign w:val="center"/>
                </w:tcPr>
                <w:p w14:paraId="086CC507">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lang w:bidi="ar"/>
                    </w:rPr>
                    <w:t>57</w:t>
                  </w:r>
                </w:p>
              </w:tc>
              <w:tc>
                <w:tcPr>
                  <w:tcW w:w="1663" w:type="dxa"/>
                  <w:tcBorders>
                    <w:top w:val="single" w:color="auto" w:sz="4" w:space="0"/>
                    <w:left w:val="single" w:color="auto" w:sz="4" w:space="0"/>
                    <w:bottom w:val="single" w:color="auto" w:sz="4" w:space="0"/>
                    <w:right w:val="single" w:color="auto" w:sz="4" w:space="0"/>
                  </w:tcBorders>
                  <w:vAlign w:val="center"/>
                </w:tcPr>
                <w:p w14:paraId="4FCF4913">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lang w:bidi="ar"/>
                    </w:rPr>
                    <w:t>63</w:t>
                  </w:r>
                </w:p>
              </w:tc>
              <w:tc>
                <w:tcPr>
                  <w:tcW w:w="1663" w:type="dxa"/>
                  <w:tcBorders>
                    <w:top w:val="single" w:color="auto" w:sz="4" w:space="0"/>
                    <w:left w:val="single" w:color="auto" w:sz="4" w:space="0"/>
                    <w:bottom w:val="single" w:color="auto" w:sz="4" w:space="0"/>
                    <w:right w:val="single" w:color="auto" w:sz="4" w:space="0"/>
                  </w:tcBorders>
                  <w:vAlign w:val="center"/>
                </w:tcPr>
                <w:p w14:paraId="5E334C32">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lang w:bidi="ar"/>
                    </w:rPr>
                    <w:t>60</w:t>
                  </w:r>
                </w:p>
              </w:tc>
            </w:tr>
            <w:tr w14:paraId="06C175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2669" w:type="dxa"/>
                  <w:tcBorders>
                    <w:top w:val="single" w:color="auto" w:sz="4" w:space="0"/>
                    <w:left w:val="single" w:color="auto" w:sz="4" w:space="0"/>
                    <w:bottom w:val="single" w:color="auto" w:sz="4" w:space="0"/>
                    <w:right w:val="single" w:color="auto" w:sz="4" w:space="0"/>
                  </w:tcBorders>
                  <w:vAlign w:val="center"/>
                </w:tcPr>
                <w:p w14:paraId="020B8335">
                  <w:pPr>
                    <w:keepNext w:val="0"/>
                    <w:keepLines w:val="0"/>
                    <w:suppressLineNumbers w:val="0"/>
                    <w:spacing w:before="0" w:beforeAutospacing="0" w:after="0" w:afterAutospacing="0"/>
                    <w:ind w:left="0" w:right="0"/>
                    <w:jc w:val="center"/>
                    <w:rPr>
                      <w:rFonts w:hint="default" w:ascii="Times New Roman" w:hAnsi="Times New Roman" w:eastAsia="宋体" w:cs="Times New Roman"/>
                      <w:b/>
                      <w:bCs/>
                      <w:color w:val="auto"/>
                      <w:szCs w:val="21"/>
                    </w:rPr>
                  </w:pPr>
                  <w:r>
                    <w:rPr>
                      <w:rFonts w:hint="eastAsia" w:ascii="宋体" w:hAnsi="宋体" w:eastAsia="宋体" w:cs="宋体"/>
                      <w:b/>
                      <w:bCs/>
                      <w:color w:val="auto"/>
                      <w:szCs w:val="21"/>
                      <w:lang w:bidi="ar"/>
                    </w:rPr>
                    <w:t>石油类（</w:t>
                  </w:r>
                  <w:r>
                    <w:rPr>
                      <w:rFonts w:hint="default" w:ascii="Times New Roman" w:hAnsi="Times New Roman" w:eastAsia="宋体" w:cs="Times New Roman"/>
                      <w:b/>
                      <w:bCs/>
                      <w:color w:val="auto"/>
                      <w:szCs w:val="21"/>
                      <w:lang w:bidi="ar"/>
                    </w:rPr>
                    <w:t>mg/L</w:t>
                  </w:r>
                  <w:r>
                    <w:rPr>
                      <w:rFonts w:hint="eastAsia" w:ascii="宋体" w:hAnsi="宋体" w:eastAsia="宋体" w:cs="宋体"/>
                      <w:b/>
                      <w:bCs/>
                      <w:color w:val="auto"/>
                      <w:szCs w:val="21"/>
                      <w:lang w:bidi="ar"/>
                    </w:rPr>
                    <w:t>）</w:t>
                  </w:r>
                </w:p>
              </w:tc>
              <w:tc>
                <w:tcPr>
                  <w:tcW w:w="1661" w:type="dxa"/>
                  <w:tcBorders>
                    <w:top w:val="single" w:color="auto" w:sz="4" w:space="0"/>
                    <w:left w:val="single" w:color="auto" w:sz="4" w:space="0"/>
                    <w:bottom w:val="single" w:color="auto" w:sz="4" w:space="0"/>
                    <w:right w:val="single" w:color="auto" w:sz="4" w:space="0"/>
                  </w:tcBorders>
                  <w:vAlign w:val="center"/>
                </w:tcPr>
                <w:p w14:paraId="0EB549D2">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lang w:bidi="ar"/>
                    </w:rPr>
                    <w:t>&lt;0.06</w:t>
                  </w:r>
                </w:p>
              </w:tc>
              <w:tc>
                <w:tcPr>
                  <w:tcW w:w="1663" w:type="dxa"/>
                  <w:tcBorders>
                    <w:top w:val="single" w:color="auto" w:sz="4" w:space="0"/>
                    <w:left w:val="single" w:color="auto" w:sz="4" w:space="0"/>
                    <w:bottom w:val="single" w:color="auto" w:sz="4" w:space="0"/>
                    <w:right w:val="single" w:color="auto" w:sz="4" w:space="0"/>
                  </w:tcBorders>
                  <w:vAlign w:val="center"/>
                </w:tcPr>
                <w:p w14:paraId="5BDDAE4B">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lang w:bidi="ar"/>
                    </w:rPr>
                    <w:t>&lt;0.06</w:t>
                  </w:r>
                </w:p>
              </w:tc>
              <w:tc>
                <w:tcPr>
                  <w:tcW w:w="1663" w:type="dxa"/>
                  <w:tcBorders>
                    <w:top w:val="single" w:color="auto" w:sz="4" w:space="0"/>
                    <w:left w:val="single" w:color="auto" w:sz="4" w:space="0"/>
                    <w:bottom w:val="single" w:color="auto" w:sz="4" w:space="0"/>
                    <w:right w:val="single" w:color="auto" w:sz="4" w:space="0"/>
                  </w:tcBorders>
                  <w:vAlign w:val="center"/>
                </w:tcPr>
                <w:p w14:paraId="62745C25">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lang w:bidi="ar"/>
                    </w:rPr>
                    <w:t>&lt;0.06</w:t>
                  </w:r>
                </w:p>
              </w:tc>
              <w:tc>
                <w:tcPr>
                  <w:tcW w:w="1663" w:type="dxa"/>
                  <w:tcBorders>
                    <w:top w:val="single" w:color="auto" w:sz="4" w:space="0"/>
                    <w:left w:val="single" w:color="auto" w:sz="4" w:space="0"/>
                    <w:bottom w:val="single" w:color="auto" w:sz="4" w:space="0"/>
                    <w:right w:val="single" w:color="auto" w:sz="4" w:space="0"/>
                  </w:tcBorders>
                  <w:vAlign w:val="center"/>
                </w:tcPr>
                <w:p w14:paraId="24FFDCAC">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lang w:bidi="ar"/>
                    </w:rPr>
                    <w:t>&lt;0.06</w:t>
                  </w:r>
                </w:p>
              </w:tc>
            </w:tr>
          </w:tbl>
          <w:p w14:paraId="46B8E5C9">
            <w:pPr>
              <w:keepNext w:val="0"/>
              <w:keepLines w:val="0"/>
              <w:suppressLineNumbers w:val="0"/>
              <w:spacing w:before="0" w:beforeAutospacing="0" w:after="0" w:afterAutospacing="0" w:line="360" w:lineRule="auto"/>
              <w:ind w:left="0" w:right="0" w:firstLine="480" w:firstLineChars="200"/>
              <w:rPr>
                <w:rFonts w:hint="default" w:ascii="Times New Roman" w:hAnsi="Times New Roman" w:eastAsia="宋体" w:cs="Times New Roman"/>
                <w:color w:val="auto"/>
                <w:sz w:val="24"/>
              </w:rPr>
            </w:pPr>
            <w:r>
              <w:rPr>
                <w:rFonts w:hint="eastAsia" w:ascii="Times New Roman" w:hAnsi="Times New Roman" w:eastAsia="宋体" w:cs="Times New Roman"/>
                <w:color w:val="auto"/>
                <w:sz w:val="24"/>
              </w:rPr>
              <w:t>由上表可知，企业</w:t>
            </w:r>
            <w:r>
              <w:rPr>
                <w:rFonts w:hint="default" w:ascii="Times New Roman" w:hAnsi="Times New Roman" w:eastAsia="宋体" w:cs="Times New Roman"/>
                <w:color w:val="auto"/>
                <w:sz w:val="24"/>
              </w:rPr>
              <w:t>生活污水排放口pH值、化学需氧量、氨氮、总磷、悬浮物、排放浓度满足安吉清源污水处理有限公司接管标准，石油类排放浓度满足《污水综合排放标准》（GB8978-1996）中的三级标准。</w:t>
            </w:r>
          </w:p>
          <w:p w14:paraId="3E5430D4">
            <w:pPr>
              <w:keepNext w:val="0"/>
              <w:keepLines w:val="0"/>
              <w:suppressLineNumbers w:val="0"/>
              <w:spacing w:before="0" w:beforeAutospacing="0" w:after="0" w:afterAutospacing="0" w:line="360" w:lineRule="auto"/>
              <w:ind w:left="0" w:right="0" w:firstLine="480" w:firstLineChars="200"/>
              <w:rPr>
                <w:rFonts w:hint="default" w:ascii="Times New Roman" w:hAnsi="Times New Roman" w:eastAsia="宋体" w:cs="Times New Roman"/>
                <w:color w:val="auto"/>
                <w:sz w:val="24"/>
              </w:rPr>
            </w:pPr>
            <w:r>
              <w:rPr>
                <w:rFonts w:hint="eastAsia" w:ascii="Times New Roman" w:hAnsi="Times New Roman" w:eastAsia="宋体" w:cs="Times New Roman"/>
                <w:color w:val="auto"/>
                <w:sz w:val="24"/>
              </w:rPr>
              <w:t>②冷却水：循环使用不排放，只需定期补充新鲜水即可</w:t>
            </w:r>
            <w:r>
              <w:rPr>
                <w:rFonts w:hint="default" w:ascii="Times New Roman" w:hAnsi="Times New Roman" w:eastAsia="宋体" w:cs="Times New Roman"/>
                <w:color w:val="auto"/>
                <w:sz w:val="24"/>
              </w:rPr>
              <w:t>，年增加量为</w:t>
            </w:r>
            <w:r>
              <w:rPr>
                <w:rFonts w:hint="eastAsia" w:ascii="Times New Roman" w:hAnsi="Times New Roman" w:eastAsia="宋体" w:cs="Times New Roman"/>
                <w:color w:val="auto"/>
                <w:sz w:val="24"/>
              </w:rPr>
              <w:t>11520</w:t>
            </w:r>
            <w:r>
              <w:rPr>
                <w:rFonts w:hint="default" w:ascii="Times New Roman" w:hAnsi="Times New Roman" w:eastAsia="宋体" w:cs="Times New Roman"/>
                <w:color w:val="auto"/>
                <w:sz w:val="24"/>
              </w:rPr>
              <w:t>t</w:t>
            </w:r>
            <w:r>
              <w:rPr>
                <w:rFonts w:hint="eastAsia" w:ascii="Times New Roman" w:hAnsi="Times New Roman" w:eastAsia="宋体" w:cs="Times New Roman"/>
                <w:color w:val="auto"/>
                <w:sz w:val="24"/>
              </w:rPr>
              <w:t>。</w:t>
            </w:r>
          </w:p>
          <w:p w14:paraId="3EE20291">
            <w:pPr>
              <w:keepNext w:val="0"/>
              <w:keepLines w:val="0"/>
              <w:suppressLineNumbers w:val="0"/>
              <w:spacing w:before="0" w:beforeAutospacing="0" w:after="0" w:afterAutospacing="0" w:line="360" w:lineRule="auto"/>
              <w:ind w:left="0" w:right="0" w:firstLine="480" w:firstLineChars="200"/>
              <w:rPr>
                <w:rFonts w:hint="default" w:ascii="Times New Roman" w:hAnsi="Times New Roman" w:eastAsia="宋体" w:cs="Times New Roman"/>
                <w:color w:val="auto"/>
                <w:sz w:val="24"/>
              </w:rPr>
            </w:pPr>
            <w:r>
              <w:rPr>
                <w:rFonts w:hint="eastAsia" w:ascii="Times New Roman" w:hAnsi="Times New Roman" w:eastAsia="宋体" w:cs="Times New Roman"/>
                <w:color w:val="auto"/>
                <w:sz w:val="24"/>
              </w:rPr>
              <w:t>（3）噪声</w:t>
            </w:r>
          </w:p>
          <w:p w14:paraId="7F894E70">
            <w:pPr>
              <w:keepNext w:val="0"/>
              <w:keepLines w:val="0"/>
              <w:suppressLineNumbers w:val="0"/>
              <w:spacing w:before="0" w:beforeAutospacing="0" w:after="0" w:afterAutospacing="0" w:line="360" w:lineRule="auto"/>
              <w:ind w:left="0" w:right="0" w:firstLine="480" w:firstLineChars="200"/>
              <w:rPr>
                <w:rFonts w:hint="default" w:ascii="Times New Roman" w:hAnsi="Times New Roman" w:eastAsia="宋体" w:cs="Times New Roman"/>
                <w:color w:val="auto"/>
                <w:sz w:val="24"/>
              </w:rPr>
            </w:pPr>
            <w:r>
              <w:rPr>
                <w:rFonts w:hint="eastAsia" w:ascii="Times New Roman" w:hAnsi="Times New Roman" w:eastAsia="宋体" w:cs="Times New Roman"/>
                <w:color w:val="auto"/>
                <w:sz w:val="24"/>
              </w:rPr>
              <w:t>根据湖州天亿环境检测有限公司出具的检测报告（报告编号：</w:t>
            </w:r>
            <w:r>
              <w:rPr>
                <w:rFonts w:hint="default" w:ascii="Times New Roman" w:hAnsi="Times New Roman" w:eastAsia="宋体" w:cs="Times New Roman"/>
                <w:color w:val="auto"/>
                <w:sz w:val="24"/>
              </w:rPr>
              <w:t>天亿检测（2025）检1463号）</w:t>
            </w:r>
            <w:r>
              <w:rPr>
                <w:rFonts w:hint="eastAsia" w:ascii="Times New Roman" w:hAnsi="Times New Roman" w:eastAsia="宋体" w:cs="Times New Roman"/>
                <w:color w:val="auto"/>
                <w:sz w:val="24"/>
              </w:rPr>
              <w:t>，企业厂界昼夜间噪声检测结果见下表。</w:t>
            </w:r>
          </w:p>
          <w:p w14:paraId="0C12C122">
            <w:pPr>
              <w:keepNext w:val="0"/>
              <w:keepLines w:val="0"/>
              <w:suppressLineNumbers w:val="0"/>
              <w:spacing w:before="0" w:beforeAutospacing="0" w:after="0" w:afterAutospacing="0"/>
              <w:ind w:left="0" w:right="0"/>
              <w:jc w:val="center"/>
              <w:rPr>
                <w:rFonts w:hint="eastAsia" w:ascii="Times New Roman" w:hAnsi="Times New Roman" w:eastAsia="宋体" w:cs="Times New Roman"/>
                <w:b/>
                <w:bCs/>
                <w:color w:val="auto"/>
              </w:rPr>
            </w:pPr>
          </w:p>
          <w:p w14:paraId="0BD88F68">
            <w:pPr>
              <w:keepNext w:val="0"/>
              <w:keepLines w:val="0"/>
              <w:suppressLineNumbers w:val="0"/>
              <w:spacing w:before="0" w:beforeAutospacing="0" w:after="0" w:afterAutospacing="0"/>
              <w:ind w:left="0" w:right="0"/>
              <w:jc w:val="center"/>
              <w:rPr>
                <w:rFonts w:hint="eastAsia" w:ascii="Times New Roman" w:hAnsi="Times New Roman" w:eastAsia="宋体" w:cs="Times New Roman"/>
                <w:b/>
                <w:bCs/>
                <w:color w:val="auto"/>
              </w:rPr>
            </w:pPr>
            <w:r>
              <w:rPr>
                <w:rFonts w:hint="default"/>
              </w:rPr>
              <w:commentReference w:id="44"/>
            </w:r>
          </w:p>
          <w:p w14:paraId="51930FC1">
            <w:pPr>
              <w:keepNext w:val="0"/>
              <w:keepLines w:val="0"/>
              <w:suppressLineNumbers w:val="0"/>
              <w:spacing w:before="0" w:beforeAutospacing="0" w:after="0" w:afterAutospacing="0"/>
              <w:ind w:left="0" w:right="0"/>
              <w:jc w:val="center"/>
              <w:rPr>
                <w:rFonts w:hint="default" w:ascii="Times New Roman" w:hAnsi="Times New Roman" w:eastAsia="宋体" w:cs="Times New Roman"/>
                <w:b/>
                <w:bCs/>
                <w:color w:val="auto"/>
              </w:rPr>
            </w:pPr>
            <w:r>
              <w:rPr>
                <w:rFonts w:hint="eastAsia" w:ascii="Times New Roman" w:hAnsi="Times New Roman" w:eastAsia="宋体" w:cs="Times New Roman"/>
                <w:b/>
                <w:bCs/>
                <w:color w:val="auto"/>
              </w:rPr>
              <w:t>表2-2</w:t>
            </w:r>
            <w:r>
              <w:rPr>
                <w:rFonts w:hint="eastAsia" w:ascii="Times New Roman" w:hAnsi="Times New Roman" w:eastAsia="宋体" w:cs="Times New Roman"/>
                <w:b/>
                <w:bCs/>
                <w:color w:val="auto"/>
                <w:lang w:val="en-US" w:eastAsia="zh-CN"/>
              </w:rPr>
              <w:t>5</w:t>
            </w:r>
            <w:r>
              <w:rPr>
                <w:rFonts w:hint="eastAsia" w:ascii="Times New Roman" w:hAnsi="Times New Roman" w:eastAsia="宋体" w:cs="Times New Roman"/>
                <w:b/>
                <w:bCs/>
                <w:color w:val="auto"/>
              </w:rPr>
              <w:t xml:space="preserve">  厂界昼夜间噪声检测结果表</w:t>
            </w:r>
          </w:p>
          <w:tbl>
            <w:tblPr>
              <w:tblStyle w:val="22"/>
              <w:tblW w:w="4996"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39"/>
              <w:gridCol w:w="1316"/>
              <w:gridCol w:w="1183"/>
              <w:gridCol w:w="1184"/>
              <w:gridCol w:w="1133"/>
              <w:gridCol w:w="1453"/>
              <w:gridCol w:w="1160"/>
            </w:tblGrid>
            <w:tr w14:paraId="4F48C2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97" w:hRule="atLeast"/>
                <w:jc w:val="center"/>
              </w:trPr>
              <w:tc>
                <w:tcPr>
                  <w:tcW w:w="2057" w:type="dxa"/>
                  <w:gridSpan w:val="2"/>
                  <w:tcBorders>
                    <w:top w:val="single" w:color="auto" w:sz="4" w:space="0"/>
                    <w:left w:val="single" w:color="auto" w:sz="4" w:space="0"/>
                    <w:bottom w:val="single" w:color="auto" w:sz="4" w:space="0"/>
                    <w:right w:val="single" w:color="auto" w:sz="4" w:space="0"/>
                  </w:tcBorders>
                  <w:vAlign w:val="center"/>
                </w:tcPr>
                <w:p w14:paraId="11D03CB4">
                  <w:pPr>
                    <w:keepNext w:val="0"/>
                    <w:keepLines w:val="0"/>
                    <w:suppressLineNumbers w:val="0"/>
                    <w:spacing w:before="0" w:beforeAutospacing="0" w:after="0" w:afterAutospacing="0"/>
                    <w:ind w:left="0" w:right="0"/>
                    <w:jc w:val="center"/>
                    <w:rPr>
                      <w:rFonts w:hint="default" w:ascii="Times New Roman" w:hAnsi="Times New Roman" w:eastAsia="宋体" w:cs="Times New Roman"/>
                      <w:b/>
                      <w:bCs/>
                      <w:color w:val="auto"/>
                      <w:szCs w:val="21"/>
                    </w:rPr>
                  </w:pPr>
                  <w:r>
                    <w:rPr>
                      <w:rFonts w:hint="eastAsia" w:ascii="宋体" w:hAnsi="宋体" w:eastAsia="宋体" w:cs="宋体"/>
                      <w:b/>
                      <w:bCs/>
                      <w:color w:val="auto"/>
                      <w:szCs w:val="21"/>
                      <w:lang w:bidi="ar"/>
                    </w:rPr>
                    <w:t>采样时间</w:t>
                  </w:r>
                </w:p>
              </w:tc>
              <w:tc>
                <w:tcPr>
                  <w:tcW w:w="1183" w:type="dxa"/>
                  <w:tcBorders>
                    <w:top w:val="single" w:color="auto" w:sz="4" w:space="0"/>
                    <w:left w:val="single" w:color="auto" w:sz="4" w:space="0"/>
                    <w:bottom w:val="single" w:color="auto" w:sz="4" w:space="0"/>
                    <w:right w:val="single" w:color="auto" w:sz="4" w:space="0"/>
                  </w:tcBorders>
                  <w:vAlign w:val="center"/>
                </w:tcPr>
                <w:p w14:paraId="7CB573D8">
                  <w:pPr>
                    <w:keepNext w:val="0"/>
                    <w:keepLines w:val="0"/>
                    <w:suppressLineNumbers w:val="0"/>
                    <w:spacing w:before="0" w:beforeAutospacing="0" w:after="0" w:afterAutospacing="0"/>
                    <w:ind w:left="0" w:right="0"/>
                    <w:jc w:val="center"/>
                    <w:rPr>
                      <w:rFonts w:hint="default" w:ascii="Times New Roman" w:hAnsi="Times New Roman" w:eastAsia="宋体" w:cs="Times New Roman"/>
                      <w:b/>
                      <w:bCs/>
                      <w:color w:val="auto"/>
                      <w:szCs w:val="21"/>
                    </w:rPr>
                  </w:pPr>
                  <w:r>
                    <w:rPr>
                      <w:rFonts w:hint="eastAsia" w:ascii="宋体" w:hAnsi="宋体" w:eastAsia="宋体" w:cs="宋体"/>
                      <w:b/>
                      <w:bCs/>
                      <w:color w:val="auto"/>
                      <w:szCs w:val="21"/>
                      <w:lang w:bidi="ar"/>
                    </w:rPr>
                    <w:t>检测项目</w:t>
                  </w:r>
                </w:p>
              </w:tc>
              <w:tc>
                <w:tcPr>
                  <w:tcW w:w="1184" w:type="dxa"/>
                  <w:tcBorders>
                    <w:top w:val="single" w:color="auto" w:sz="4" w:space="0"/>
                    <w:left w:val="single" w:color="auto" w:sz="4" w:space="0"/>
                    <w:bottom w:val="single" w:color="auto" w:sz="4" w:space="0"/>
                    <w:right w:val="single" w:color="auto" w:sz="4" w:space="0"/>
                  </w:tcBorders>
                  <w:vAlign w:val="center"/>
                </w:tcPr>
                <w:p w14:paraId="582A16FC">
                  <w:pPr>
                    <w:keepNext w:val="0"/>
                    <w:keepLines w:val="0"/>
                    <w:suppressLineNumbers w:val="0"/>
                    <w:spacing w:before="0" w:beforeAutospacing="0" w:after="0" w:afterAutospacing="0"/>
                    <w:ind w:left="0" w:right="0"/>
                    <w:jc w:val="center"/>
                    <w:rPr>
                      <w:rFonts w:hint="default" w:ascii="Times New Roman" w:hAnsi="Times New Roman" w:eastAsia="宋体" w:cs="Times New Roman"/>
                      <w:b/>
                      <w:bCs/>
                      <w:color w:val="auto"/>
                      <w:szCs w:val="21"/>
                    </w:rPr>
                  </w:pPr>
                  <w:r>
                    <w:rPr>
                      <w:rFonts w:hint="eastAsia" w:ascii="宋体" w:hAnsi="宋体" w:eastAsia="宋体" w:cs="宋体"/>
                      <w:b/>
                      <w:bCs/>
                      <w:color w:val="auto"/>
                      <w:szCs w:val="21"/>
                      <w:lang w:bidi="ar"/>
                    </w:rPr>
                    <w:t>采样点位</w:t>
                  </w:r>
                </w:p>
              </w:tc>
              <w:tc>
                <w:tcPr>
                  <w:tcW w:w="1133" w:type="dxa"/>
                  <w:tcBorders>
                    <w:top w:val="single" w:color="auto" w:sz="4" w:space="0"/>
                    <w:left w:val="single" w:color="auto" w:sz="4" w:space="0"/>
                    <w:bottom w:val="single" w:color="auto" w:sz="4" w:space="0"/>
                    <w:right w:val="single" w:color="auto" w:sz="4" w:space="0"/>
                  </w:tcBorders>
                  <w:vAlign w:val="center"/>
                </w:tcPr>
                <w:p w14:paraId="61C0A294">
                  <w:pPr>
                    <w:keepNext w:val="0"/>
                    <w:keepLines w:val="0"/>
                    <w:suppressLineNumbers w:val="0"/>
                    <w:spacing w:before="0" w:beforeAutospacing="0" w:after="0" w:afterAutospacing="0"/>
                    <w:ind w:left="0" w:right="0"/>
                    <w:jc w:val="center"/>
                    <w:rPr>
                      <w:rFonts w:hint="default" w:ascii="Times New Roman" w:hAnsi="Times New Roman" w:eastAsia="宋体" w:cs="Times New Roman"/>
                      <w:b/>
                      <w:bCs/>
                      <w:color w:val="auto"/>
                      <w:szCs w:val="21"/>
                    </w:rPr>
                  </w:pPr>
                  <w:r>
                    <w:rPr>
                      <w:rFonts w:hint="eastAsia" w:ascii="宋体" w:hAnsi="宋体" w:eastAsia="宋体" w:cs="宋体"/>
                      <w:b/>
                      <w:bCs/>
                      <w:color w:val="auto"/>
                      <w:szCs w:val="21"/>
                      <w:lang w:bidi="ar"/>
                    </w:rPr>
                    <w:t>主要声源</w:t>
                  </w:r>
                </w:p>
              </w:tc>
              <w:tc>
                <w:tcPr>
                  <w:tcW w:w="1453" w:type="dxa"/>
                  <w:tcBorders>
                    <w:top w:val="single" w:color="auto" w:sz="4" w:space="0"/>
                    <w:left w:val="single" w:color="auto" w:sz="4" w:space="0"/>
                    <w:bottom w:val="single" w:color="auto" w:sz="4" w:space="0"/>
                    <w:right w:val="single" w:color="auto" w:sz="4" w:space="0"/>
                  </w:tcBorders>
                  <w:vAlign w:val="center"/>
                </w:tcPr>
                <w:p w14:paraId="3629EA39">
                  <w:pPr>
                    <w:keepNext w:val="0"/>
                    <w:keepLines w:val="0"/>
                    <w:suppressLineNumbers w:val="0"/>
                    <w:spacing w:before="0" w:beforeAutospacing="0" w:after="0" w:afterAutospacing="0"/>
                    <w:ind w:left="0" w:right="0"/>
                    <w:jc w:val="center"/>
                    <w:rPr>
                      <w:rFonts w:hint="default" w:ascii="Times New Roman" w:hAnsi="Times New Roman" w:eastAsia="宋体" w:cs="Times New Roman"/>
                      <w:b/>
                      <w:bCs/>
                      <w:color w:val="auto"/>
                      <w:szCs w:val="21"/>
                    </w:rPr>
                  </w:pPr>
                  <w:r>
                    <w:rPr>
                      <w:rFonts w:hint="eastAsia" w:ascii="宋体" w:hAnsi="宋体" w:eastAsia="宋体" w:cs="宋体"/>
                      <w:b/>
                      <w:bCs/>
                      <w:color w:val="auto"/>
                      <w:szCs w:val="21"/>
                      <w:lang w:bidi="ar"/>
                    </w:rPr>
                    <w:t>测点编号</w:t>
                  </w:r>
                </w:p>
              </w:tc>
              <w:tc>
                <w:tcPr>
                  <w:tcW w:w="1160" w:type="dxa"/>
                  <w:tcBorders>
                    <w:top w:val="single" w:color="auto" w:sz="4" w:space="0"/>
                    <w:left w:val="single" w:color="auto" w:sz="4" w:space="0"/>
                    <w:bottom w:val="single" w:color="auto" w:sz="4" w:space="0"/>
                    <w:right w:val="single" w:color="auto" w:sz="4" w:space="0"/>
                  </w:tcBorders>
                  <w:vAlign w:val="center"/>
                </w:tcPr>
                <w:p w14:paraId="010B5A1D">
                  <w:pPr>
                    <w:keepNext w:val="0"/>
                    <w:keepLines w:val="0"/>
                    <w:suppressLineNumbers w:val="0"/>
                    <w:spacing w:before="0" w:beforeAutospacing="0" w:after="0" w:afterAutospacing="0"/>
                    <w:ind w:left="0" w:right="0"/>
                    <w:jc w:val="center"/>
                    <w:rPr>
                      <w:rFonts w:hint="default" w:ascii="Times New Roman" w:hAnsi="Times New Roman" w:eastAsia="宋体" w:cs="Times New Roman"/>
                      <w:b/>
                      <w:bCs/>
                      <w:color w:val="auto"/>
                      <w:szCs w:val="21"/>
                    </w:rPr>
                  </w:pPr>
                  <w:r>
                    <w:rPr>
                      <w:rFonts w:hint="eastAsia" w:ascii="宋体" w:hAnsi="宋体" w:eastAsia="宋体" w:cs="宋体"/>
                      <w:b/>
                      <w:bCs/>
                      <w:color w:val="auto"/>
                      <w:szCs w:val="21"/>
                      <w:lang w:bidi="ar"/>
                    </w:rPr>
                    <w:t>检测结果</w:t>
                  </w:r>
                </w:p>
                <w:p w14:paraId="2B8CB000">
                  <w:pPr>
                    <w:keepNext w:val="0"/>
                    <w:keepLines w:val="0"/>
                    <w:suppressLineNumbers w:val="0"/>
                    <w:spacing w:before="0" w:beforeAutospacing="0" w:after="0" w:afterAutospacing="0"/>
                    <w:ind w:left="0" w:right="0"/>
                    <w:jc w:val="center"/>
                    <w:rPr>
                      <w:rFonts w:hint="default" w:ascii="Times New Roman" w:hAnsi="Times New Roman" w:eastAsia="宋体" w:cs="Times New Roman"/>
                      <w:b/>
                      <w:bCs/>
                      <w:color w:val="auto"/>
                      <w:szCs w:val="21"/>
                    </w:rPr>
                  </w:pPr>
                  <w:r>
                    <w:rPr>
                      <w:rFonts w:hint="default" w:ascii="Times New Roman" w:hAnsi="Times New Roman" w:eastAsia="宋体" w:cs="Times New Roman"/>
                      <w:b/>
                      <w:bCs/>
                      <w:color w:val="auto"/>
                      <w:szCs w:val="21"/>
                      <w:lang w:bidi="ar"/>
                    </w:rPr>
                    <w:t>dB</w:t>
                  </w:r>
                  <w:r>
                    <w:rPr>
                      <w:rFonts w:hint="eastAsia" w:ascii="宋体" w:hAnsi="宋体" w:eastAsia="宋体" w:cs="宋体"/>
                      <w:b/>
                      <w:bCs/>
                      <w:color w:val="auto"/>
                      <w:szCs w:val="21"/>
                      <w:lang w:bidi="ar"/>
                    </w:rPr>
                    <w:t>（</w:t>
                  </w:r>
                  <w:r>
                    <w:rPr>
                      <w:rFonts w:hint="default" w:ascii="Times New Roman" w:hAnsi="Times New Roman" w:eastAsia="宋体" w:cs="Times New Roman"/>
                      <w:b/>
                      <w:bCs/>
                      <w:color w:val="auto"/>
                      <w:szCs w:val="21"/>
                      <w:lang w:bidi="ar"/>
                    </w:rPr>
                    <w:t>A</w:t>
                  </w:r>
                  <w:r>
                    <w:rPr>
                      <w:rFonts w:hint="eastAsia" w:ascii="宋体" w:hAnsi="宋体" w:eastAsia="宋体" w:cs="宋体"/>
                      <w:b/>
                      <w:bCs/>
                      <w:color w:val="auto"/>
                      <w:szCs w:val="21"/>
                      <w:lang w:bidi="ar"/>
                    </w:rPr>
                    <w:t>）</w:t>
                  </w:r>
                </w:p>
              </w:tc>
            </w:tr>
            <w:tr w14:paraId="33782E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740" w:type="dxa"/>
                  <w:vMerge w:val="restart"/>
                  <w:tcBorders>
                    <w:top w:val="nil"/>
                    <w:left w:val="single" w:color="auto" w:sz="4" w:space="0"/>
                    <w:bottom w:val="single" w:color="auto" w:sz="4" w:space="0"/>
                    <w:right w:val="single" w:color="auto" w:sz="4" w:space="0"/>
                  </w:tcBorders>
                  <w:vAlign w:val="center"/>
                </w:tcPr>
                <w:p w14:paraId="356BA62E">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lang w:bidi="ar"/>
                    </w:rPr>
                    <w:t>2025.11.19</w:t>
                  </w:r>
                </w:p>
              </w:tc>
              <w:tc>
                <w:tcPr>
                  <w:tcW w:w="1317" w:type="dxa"/>
                  <w:tcBorders>
                    <w:top w:val="single" w:color="auto" w:sz="4" w:space="0"/>
                    <w:left w:val="single" w:color="auto" w:sz="4" w:space="0"/>
                    <w:bottom w:val="single" w:color="auto" w:sz="4" w:space="0"/>
                    <w:right w:val="single" w:color="auto" w:sz="4" w:space="0"/>
                  </w:tcBorders>
                  <w:vAlign w:val="center"/>
                </w:tcPr>
                <w:p w14:paraId="7DD2EFD9">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lang w:bidi="ar"/>
                    </w:rPr>
                    <w:t>13:50-13:52</w:t>
                  </w:r>
                </w:p>
              </w:tc>
              <w:tc>
                <w:tcPr>
                  <w:tcW w:w="1183" w:type="dxa"/>
                  <w:vMerge w:val="restart"/>
                  <w:tcBorders>
                    <w:top w:val="nil"/>
                    <w:left w:val="single" w:color="auto" w:sz="4" w:space="0"/>
                    <w:bottom w:val="single" w:color="auto" w:sz="4" w:space="0"/>
                    <w:right w:val="single" w:color="auto" w:sz="4" w:space="0"/>
                  </w:tcBorders>
                  <w:vAlign w:val="center"/>
                </w:tcPr>
                <w:p w14:paraId="2048606E">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r>
                    <w:rPr>
                      <w:rFonts w:hint="eastAsia" w:ascii="宋体" w:hAnsi="宋体" w:eastAsia="宋体" w:cs="宋体"/>
                      <w:color w:val="auto"/>
                      <w:szCs w:val="21"/>
                      <w:lang w:bidi="ar"/>
                    </w:rPr>
                    <w:t>工业企业厂界环境噪声</w:t>
                  </w:r>
                </w:p>
              </w:tc>
              <w:tc>
                <w:tcPr>
                  <w:tcW w:w="1184" w:type="dxa"/>
                  <w:tcBorders>
                    <w:top w:val="single" w:color="auto" w:sz="4" w:space="0"/>
                    <w:left w:val="single" w:color="auto" w:sz="4" w:space="0"/>
                    <w:bottom w:val="single" w:color="auto" w:sz="4" w:space="0"/>
                    <w:right w:val="single" w:color="auto" w:sz="4" w:space="0"/>
                  </w:tcBorders>
                  <w:vAlign w:val="center"/>
                </w:tcPr>
                <w:p w14:paraId="13A81489">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r>
                    <w:rPr>
                      <w:rFonts w:hint="eastAsia" w:ascii="宋体" w:hAnsi="宋体" w:eastAsia="宋体" w:cs="宋体"/>
                      <w:color w:val="auto"/>
                      <w:szCs w:val="21"/>
                      <w:lang w:bidi="ar"/>
                    </w:rPr>
                    <w:t>厂界东侧</w:t>
                  </w:r>
                </w:p>
              </w:tc>
              <w:tc>
                <w:tcPr>
                  <w:tcW w:w="1133" w:type="dxa"/>
                  <w:tcBorders>
                    <w:top w:val="single" w:color="auto" w:sz="4" w:space="0"/>
                    <w:left w:val="single" w:color="auto" w:sz="4" w:space="0"/>
                    <w:bottom w:val="single" w:color="auto" w:sz="4" w:space="0"/>
                    <w:right w:val="single" w:color="auto" w:sz="4" w:space="0"/>
                  </w:tcBorders>
                  <w:vAlign w:val="center"/>
                </w:tcPr>
                <w:p w14:paraId="32288491">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r>
                    <w:rPr>
                      <w:rFonts w:hint="eastAsia" w:ascii="宋体" w:hAnsi="宋体" w:eastAsia="宋体" w:cs="宋体"/>
                      <w:color w:val="auto"/>
                      <w:szCs w:val="21"/>
                      <w:lang w:bidi="ar"/>
                    </w:rPr>
                    <w:t>工业噪声</w:t>
                  </w:r>
                </w:p>
              </w:tc>
              <w:tc>
                <w:tcPr>
                  <w:tcW w:w="1453" w:type="dxa"/>
                  <w:tcBorders>
                    <w:top w:val="single" w:color="auto" w:sz="4" w:space="0"/>
                    <w:left w:val="single" w:color="auto" w:sz="4" w:space="0"/>
                    <w:bottom w:val="single" w:color="auto" w:sz="4" w:space="0"/>
                    <w:right w:val="single" w:color="auto" w:sz="4" w:space="0"/>
                  </w:tcBorders>
                  <w:vAlign w:val="center"/>
                </w:tcPr>
                <w:p w14:paraId="57727C60">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r>
                    <w:rPr>
                      <w:rFonts w:hint="eastAsia" w:ascii="宋体" w:hAnsi="宋体" w:eastAsia="宋体" w:cs="宋体"/>
                      <w:color w:val="auto"/>
                      <w:szCs w:val="21"/>
                      <w:lang w:bidi="ar"/>
                    </w:rPr>
                    <w:t>声</w:t>
                  </w:r>
                  <w:r>
                    <w:rPr>
                      <w:rFonts w:hint="default" w:ascii="Times New Roman" w:hAnsi="Times New Roman" w:eastAsia="宋体" w:cs="Times New Roman"/>
                      <w:color w:val="auto"/>
                      <w:szCs w:val="21"/>
                      <w:lang w:bidi="ar"/>
                    </w:rPr>
                    <w:t>251119001</w:t>
                  </w:r>
                </w:p>
              </w:tc>
              <w:tc>
                <w:tcPr>
                  <w:tcW w:w="1160" w:type="dxa"/>
                  <w:tcBorders>
                    <w:top w:val="single" w:color="auto" w:sz="4" w:space="0"/>
                    <w:left w:val="single" w:color="auto" w:sz="4" w:space="0"/>
                    <w:bottom w:val="single" w:color="auto" w:sz="4" w:space="0"/>
                    <w:right w:val="single" w:color="auto" w:sz="4" w:space="0"/>
                  </w:tcBorders>
                  <w:vAlign w:val="center"/>
                </w:tcPr>
                <w:p w14:paraId="5E1A5693">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lang w:bidi="ar"/>
                    </w:rPr>
                    <w:t>57</w:t>
                  </w:r>
                </w:p>
              </w:tc>
            </w:tr>
            <w:tr w14:paraId="7FA6FC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740" w:type="dxa"/>
                  <w:vMerge w:val="continue"/>
                  <w:tcBorders>
                    <w:top w:val="nil"/>
                    <w:left w:val="single" w:color="auto" w:sz="4" w:space="0"/>
                    <w:bottom w:val="single" w:color="auto" w:sz="4" w:space="0"/>
                    <w:right w:val="single" w:color="auto" w:sz="4" w:space="0"/>
                  </w:tcBorders>
                  <w:vAlign w:val="center"/>
                </w:tcPr>
                <w:p w14:paraId="24924555">
                  <w:pPr>
                    <w:keepNext w:val="0"/>
                    <w:keepLines w:val="0"/>
                    <w:suppressLineNumbers w:val="0"/>
                    <w:spacing w:before="0" w:beforeAutospacing="0" w:after="0" w:afterAutospacing="0"/>
                    <w:ind w:left="0" w:right="0"/>
                    <w:rPr>
                      <w:rFonts w:hint="default" w:ascii="Times New Roman" w:hAnsi="Times New Roman" w:cs="Times New Roman"/>
                      <w:color w:val="auto"/>
                      <w:sz w:val="20"/>
                      <w:szCs w:val="20"/>
                    </w:rPr>
                  </w:pPr>
                </w:p>
              </w:tc>
              <w:tc>
                <w:tcPr>
                  <w:tcW w:w="1317" w:type="dxa"/>
                  <w:tcBorders>
                    <w:top w:val="single" w:color="auto" w:sz="4" w:space="0"/>
                    <w:left w:val="single" w:color="auto" w:sz="4" w:space="0"/>
                    <w:bottom w:val="single" w:color="auto" w:sz="4" w:space="0"/>
                    <w:right w:val="single" w:color="auto" w:sz="4" w:space="0"/>
                  </w:tcBorders>
                  <w:vAlign w:val="center"/>
                </w:tcPr>
                <w:p w14:paraId="1A7A94B0">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lang w:bidi="ar"/>
                    </w:rPr>
                    <w:t>13:54-13:56</w:t>
                  </w:r>
                </w:p>
              </w:tc>
              <w:tc>
                <w:tcPr>
                  <w:tcW w:w="1183" w:type="dxa"/>
                  <w:vMerge w:val="continue"/>
                  <w:tcBorders>
                    <w:top w:val="nil"/>
                    <w:left w:val="single" w:color="auto" w:sz="4" w:space="0"/>
                    <w:bottom w:val="single" w:color="auto" w:sz="4" w:space="0"/>
                    <w:right w:val="single" w:color="auto" w:sz="4" w:space="0"/>
                  </w:tcBorders>
                  <w:vAlign w:val="center"/>
                </w:tcPr>
                <w:p w14:paraId="6BA6F05D">
                  <w:pPr>
                    <w:keepNext w:val="0"/>
                    <w:keepLines w:val="0"/>
                    <w:suppressLineNumbers w:val="0"/>
                    <w:spacing w:before="0" w:beforeAutospacing="0" w:after="0" w:afterAutospacing="0"/>
                    <w:ind w:left="0" w:right="0"/>
                    <w:rPr>
                      <w:rFonts w:hint="default" w:ascii="Times New Roman" w:hAnsi="Times New Roman" w:cs="Times New Roman"/>
                      <w:color w:val="auto"/>
                      <w:sz w:val="20"/>
                      <w:szCs w:val="20"/>
                    </w:rPr>
                  </w:pPr>
                </w:p>
              </w:tc>
              <w:tc>
                <w:tcPr>
                  <w:tcW w:w="1184" w:type="dxa"/>
                  <w:tcBorders>
                    <w:top w:val="single" w:color="auto" w:sz="4" w:space="0"/>
                    <w:left w:val="single" w:color="auto" w:sz="4" w:space="0"/>
                    <w:bottom w:val="single" w:color="auto" w:sz="4" w:space="0"/>
                    <w:right w:val="single" w:color="auto" w:sz="4" w:space="0"/>
                  </w:tcBorders>
                  <w:vAlign w:val="center"/>
                </w:tcPr>
                <w:p w14:paraId="7E60041C">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r>
                    <w:rPr>
                      <w:rFonts w:hint="eastAsia" w:ascii="宋体" w:hAnsi="宋体" w:eastAsia="宋体" w:cs="宋体"/>
                      <w:color w:val="auto"/>
                      <w:szCs w:val="21"/>
                      <w:lang w:bidi="ar"/>
                    </w:rPr>
                    <w:t>厂界南侧</w:t>
                  </w:r>
                </w:p>
              </w:tc>
              <w:tc>
                <w:tcPr>
                  <w:tcW w:w="1133" w:type="dxa"/>
                  <w:tcBorders>
                    <w:top w:val="single" w:color="auto" w:sz="4" w:space="0"/>
                    <w:left w:val="single" w:color="auto" w:sz="4" w:space="0"/>
                    <w:bottom w:val="single" w:color="auto" w:sz="4" w:space="0"/>
                    <w:right w:val="single" w:color="auto" w:sz="4" w:space="0"/>
                  </w:tcBorders>
                  <w:vAlign w:val="center"/>
                </w:tcPr>
                <w:p w14:paraId="448AAEC4">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r>
                    <w:rPr>
                      <w:rFonts w:hint="eastAsia" w:ascii="宋体" w:hAnsi="宋体" w:eastAsia="宋体" w:cs="宋体"/>
                      <w:color w:val="auto"/>
                      <w:szCs w:val="21"/>
                      <w:lang w:bidi="ar"/>
                    </w:rPr>
                    <w:t>工业噪声</w:t>
                  </w:r>
                </w:p>
              </w:tc>
              <w:tc>
                <w:tcPr>
                  <w:tcW w:w="1453" w:type="dxa"/>
                  <w:tcBorders>
                    <w:top w:val="single" w:color="auto" w:sz="4" w:space="0"/>
                    <w:left w:val="single" w:color="auto" w:sz="4" w:space="0"/>
                    <w:bottom w:val="single" w:color="auto" w:sz="4" w:space="0"/>
                    <w:right w:val="single" w:color="auto" w:sz="4" w:space="0"/>
                  </w:tcBorders>
                  <w:vAlign w:val="center"/>
                </w:tcPr>
                <w:p w14:paraId="175F7424">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r>
                    <w:rPr>
                      <w:rFonts w:hint="eastAsia" w:ascii="宋体" w:hAnsi="宋体" w:eastAsia="宋体" w:cs="宋体"/>
                      <w:color w:val="auto"/>
                      <w:szCs w:val="21"/>
                      <w:lang w:bidi="ar"/>
                    </w:rPr>
                    <w:t>声</w:t>
                  </w:r>
                  <w:r>
                    <w:rPr>
                      <w:rFonts w:hint="default" w:ascii="Times New Roman" w:hAnsi="Times New Roman" w:eastAsia="宋体" w:cs="Times New Roman"/>
                      <w:color w:val="auto"/>
                      <w:szCs w:val="21"/>
                      <w:lang w:bidi="ar"/>
                    </w:rPr>
                    <w:t>251119002</w:t>
                  </w:r>
                </w:p>
              </w:tc>
              <w:tc>
                <w:tcPr>
                  <w:tcW w:w="1160" w:type="dxa"/>
                  <w:tcBorders>
                    <w:top w:val="single" w:color="auto" w:sz="4" w:space="0"/>
                    <w:left w:val="single" w:color="auto" w:sz="4" w:space="0"/>
                    <w:bottom w:val="single" w:color="auto" w:sz="4" w:space="0"/>
                    <w:right w:val="single" w:color="auto" w:sz="4" w:space="0"/>
                  </w:tcBorders>
                  <w:vAlign w:val="center"/>
                </w:tcPr>
                <w:p w14:paraId="43F741E0">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lang w:bidi="ar"/>
                    </w:rPr>
                    <w:t>57</w:t>
                  </w:r>
                </w:p>
              </w:tc>
            </w:tr>
            <w:tr w14:paraId="3E5DCB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740" w:type="dxa"/>
                  <w:vMerge w:val="continue"/>
                  <w:tcBorders>
                    <w:top w:val="nil"/>
                    <w:left w:val="single" w:color="auto" w:sz="4" w:space="0"/>
                    <w:bottom w:val="single" w:color="auto" w:sz="4" w:space="0"/>
                    <w:right w:val="single" w:color="auto" w:sz="4" w:space="0"/>
                  </w:tcBorders>
                  <w:vAlign w:val="center"/>
                </w:tcPr>
                <w:p w14:paraId="44214C9A">
                  <w:pPr>
                    <w:keepNext w:val="0"/>
                    <w:keepLines w:val="0"/>
                    <w:suppressLineNumbers w:val="0"/>
                    <w:spacing w:before="0" w:beforeAutospacing="0" w:after="0" w:afterAutospacing="0"/>
                    <w:ind w:left="0" w:right="0"/>
                    <w:rPr>
                      <w:rFonts w:hint="default" w:ascii="Times New Roman" w:hAnsi="Times New Roman" w:cs="Times New Roman"/>
                      <w:color w:val="auto"/>
                      <w:sz w:val="20"/>
                      <w:szCs w:val="20"/>
                    </w:rPr>
                  </w:pPr>
                </w:p>
              </w:tc>
              <w:tc>
                <w:tcPr>
                  <w:tcW w:w="1317" w:type="dxa"/>
                  <w:tcBorders>
                    <w:top w:val="single" w:color="auto" w:sz="4" w:space="0"/>
                    <w:left w:val="single" w:color="auto" w:sz="4" w:space="0"/>
                    <w:bottom w:val="single" w:color="auto" w:sz="4" w:space="0"/>
                    <w:right w:val="single" w:color="auto" w:sz="4" w:space="0"/>
                  </w:tcBorders>
                  <w:vAlign w:val="center"/>
                </w:tcPr>
                <w:p w14:paraId="4C8498C5">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lang w:bidi="ar"/>
                    </w:rPr>
                    <w:t>13:58-14:00</w:t>
                  </w:r>
                </w:p>
              </w:tc>
              <w:tc>
                <w:tcPr>
                  <w:tcW w:w="1183" w:type="dxa"/>
                  <w:vMerge w:val="continue"/>
                  <w:tcBorders>
                    <w:top w:val="nil"/>
                    <w:left w:val="single" w:color="auto" w:sz="4" w:space="0"/>
                    <w:bottom w:val="single" w:color="auto" w:sz="4" w:space="0"/>
                    <w:right w:val="single" w:color="auto" w:sz="4" w:space="0"/>
                  </w:tcBorders>
                  <w:vAlign w:val="center"/>
                </w:tcPr>
                <w:p w14:paraId="15E59BD4">
                  <w:pPr>
                    <w:keepNext w:val="0"/>
                    <w:keepLines w:val="0"/>
                    <w:suppressLineNumbers w:val="0"/>
                    <w:spacing w:before="0" w:beforeAutospacing="0" w:after="0" w:afterAutospacing="0"/>
                    <w:ind w:left="0" w:right="0"/>
                    <w:rPr>
                      <w:rFonts w:hint="default" w:ascii="Times New Roman" w:hAnsi="Times New Roman" w:cs="Times New Roman"/>
                      <w:color w:val="auto"/>
                      <w:sz w:val="20"/>
                      <w:szCs w:val="20"/>
                    </w:rPr>
                  </w:pPr>
                </w:p>
              </w:tc>
              <w:tc>
                <w:tcPr>
                  <w:tcW w:w="1184" w:type="dxa"/>
                  <w:tcBorders>
                    <w:top w:val="single" w:color="auto" w:sz="4" w:space="0"/>
                    <w:left w:val="single" w:color="auto" w:sz="4" w:space="0"/>
                    <w:bottom w:val="single" w:color="auto" w:sz="4" w:space="0"/>
                    <w:right w:val="single" w:color="auto" w:sz="4" w:space="0"/>
                  </w:tcBorders>
                  <w:vAlign w:val="center"/>
                </w:tcPr>
                <w:p w14:paraId="2497DAD3">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r>
                    <w:rPr>
                      <w:rFonts w:hint="eastAsia" w:ascii="宋体" w:hAnsi="宋体" w:eastAsia="宋体" w:cs="宋体"/>
                      <w:color w:val="auto"/>
                      <w:szCs w:val="21"/>
                      <w:lang w:bidi="ar"/>
                    </w:rPr>
                    <w:t>厂界西侧</w:t>
                  </w:r>
                </w:p>
              </w:tc>
              <w:tc>
                <w:tcPr>
                  <w:tcW w:w="1133" w:type="dxa"/>
                  <w:tcBorders>
                    <w:top w:val="single" w:color="auto" w:sz="4" w:space="0"/>
                    <w:left w:val="single" w:color="auto" w:sz="4" w:space="0"/>
                    <w:bottom w:val="single" w:color="auto" w:sz="4" w:space="0"/>
                    <w:right w:val="single" w:color="auto" w:sz="4" w:space="0"/>
                  </w:tcBorders>
                  <w:vAlign w:val="center"/>
                </w:tcPr>
                <w:p w14:paraId="70B29D14">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r>
                    <w:rPr>
                      <w:rFonts w:hint="eastAsia" w:ascii="宋体" w:hAnsi="宋体" w:eastAsia="宋体" w:cs="宋体"/>
                      <w:color w:val="auto"/>
                      <w:szCs w:val="21"/>
                      <w:lang w:bidi="ar"/>
                    </w:rPr>
                    <w:t>交通噪声</w:t>
                  </w:r>
                </w:p>
              </w:tc>
              <w:tc>
                <w:tcPr>
                  <w:tcW w:w="1453" w:type="dxa"/>
                  <w:tcBorders>
                    <w:top w:val="single" w:color="auto" w:sz="4" w:space="0"/>
                    <w:left w:val="single" w:color="auto" w:sz="4" w:space="0"/>
                    <w:bottom w:val="single" w:color="auto" w:sz="4" w:space="0"/>
                    <w:right w:val="single" w:color="auto" w:sz="4" w:space="0"/>
                  </w:tcBorders>
                  <w:vAlign w:val="center"/>
                </w:tcPr>
                <w:p w14:paraId="0F40EC99">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r>
                    <w:rPr>
                      <w:rFonts w:hint="eastAsia" w:ascii="宋体" w:hAnsi="宋体" w:eastAsia="宋体" w:cs="宋体"/>
                      <w:color w:val="auto"/>
                      <w:szCs w:val="21"/>
                      <w:lang w:bidi="ar"/>
                    </w:rPr>
                    <w:t>声</w:t>
                  </w:r>
                  <w:r>
                    <w:rPr>
                      <w:rFonts w:hint="default" w:ascii="Times New Roman" w:hAnsi="Times New Roman" w:eastAsia="宋体" w:cs="Times New Roman"/>
                      <w:color w:val="auto"/>
                      <w:szCs w:val="21"/>
                      <w:lang w:bidi="ar"/>
                    </w:rPr>
                    <w:t>251119003</w:t>
                  </w:r>
                </w:p>
              </w:tc>
              <w:tc>
                <w:tcPr>
                  <w:tcW w:w="1160" w:type="dxa"/>
                  <w:tcBorders>
                    <w:top w:val="single" w:color="auto" w:sz="4" w:space="0"/>
                    <w:left w:val="single" w:color="auto" w:sz="4" w:space="0"/>
                    <w:bottom w:val="single" w:color="auto" w:sz="4" w:space="0"/>
                    <w:right w:val="single" w:color="auto" w:sz="4" w:space="0"/>
                  </w:tcBorders>
                  <w:vAlign w:val="center"/>
                </w:tcPr>
                <w:p w14:paraId="48C16573">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lang w:bidi="ar"/>
                    </w:rPr>
                    <w:t>54</w:t>
                  </w:r>
                </w:p>
              </w:tc>
            </w:tr>
            <w:tr w14:paraId="441E8C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740" w:type="dxa"/>
                  <w:vMerge w:val="continue"/>
                  <w:tcBorders>
                    <w:top w:val="nil"/>
                    <w:left w:val="single" w:color="auto" w:sz="4" w:space="0"/>
                    <w:bottom w:val="single" w:color="auto" w:sz="4" w:space="0"/>
                    <w:right w:val="single" w:color="auto" w:sz="4" w:space="0"/>
                  </w:tcBorders>
                  <w:vAlign w:val="center"/>
                </w:tcPr>
                <w:p w14:paraId="2F5A0468">
                  <w:pPr>
                    <w:keepNext w:val="0"/>
                    <w:keepLines w:val="0"/>
                    <w:suppressLineNumbers w:val="0"/>
                    <w:spacing w:before="0" w:beforeAutospacing="0" w:after="0" w:afterAutospacing="0"/>
                    <w:ind w:left="0" w:right="0"/>
                    <w:rPr>
                      <w:rFonts w:hint="default" w:ascii="Times New Roman" w:hAnsi="Times New Roman" w:cs="Times New Roman"/>
                      <w:color w:val="auto"/>
                      <w:sz w:val="20"/>
                      <w:szCs w:val="20"/>
                    </w:rPr>
                  </w:pPr>
                </w:p>
              </w:tc>
              <w:tc>
                <w:tcPr>
                  <w:tcW w:w="1317" w:type="dxa"/>
                  <w:tcBorders>
                    <w:top w:val="single" w:color="auto" w:sz="4" w:space="0"/>
                    <w:left w:val="single" w:color="auto" w:sz="4" w:space="0"/>
                    <w:bottom w:val="single" w:color="auto" w:sz="4" w:space="0"/>
                    <w:right w:val="single" w:color="auto" w:sz="4" w:space="0"/>
                  </w:tcBorders>
                  <w:vAlign w:val="center"/>
                </w:tcPr>
                <w:p w14:paraId="2B67DB9B">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lang w:bidi="ar"/>
                    </w:rPr>
                    <w:t>14:02-14:04</w:t>
                  </w:r>
                </w:p>
              </w:tc>
              <w:tc>
                <w:tcPr>
                  <w:tcW w:w="1183" w:type="dxa"/>
                  <w:vMerge w:val="continue"/>
                  <w:tcBorders>
                    <w:top w:val="nil"/>
                    <w:left w:val="single" w:color="auto" w:sz="4" w:space="0"/>
                    <w:bottom w:val="single" w:color="auto" w:sz="4" w:space="0"/>
                    <w:right w:val="single" w:color="auto" w:sz="4" w:space="0"/>
                  </w:tcBorders>
                  <w:vAlign w:val="center"/>
                </w:tcPr>
                <w:p w14:paraId="4A608A45">
                  <w:pPr>
                    <w:keepNext w:val="0"/>
                    <w:keepLines w:val="0"/>
                    <w:suppressLineNumbers w:val="0"/>
                    <w:spacing w:before="0" w:beforeAutospacing="0" w:after="0" w:afterAutospacing="0"/>
                    <w:ind w:left="0" w:right="0"/>
                    <w:rPr>
                      <w:rFonts w:hint="default" w:ascii="Times New Roman" w:hAnsi="Times New Roman" w:cs="Times New Roman"/>
                      <w:color w:val="auto"/>
                      <w:sz w:val="20"/>
                      <w:szCs w:val="20"/>
                    </w:rPr>
                  </w:pPr>
                </w:p>
              </w:tc>
              <w:tc>
                <w:tcPr>
                  <w:tcW w:w="1184" w:type="dxa"/>
                  <w:tcBorders>
                    <w:top w:val="single" w:color="auto" w:sz="4" w:space="0"/>
                    <w:left w:val="single" w:color="auto" w:sz="4" w:space="0"/>
                    <w:bottom w:val="single" w:color="auto" w:sz="4" w:space="0"/>
                    <w:right w:val="single" w:color="auto" w:sz="4" w:space="0"/>
                  </w:tcBorders>
                  <w:vAlign w:val="center"/>
                </w:tcPr>
                <w:p w14:paraId="74A56569">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r>
                    <w:rPr>
                      <w:rFonts w:hint="eastAsia" w:ascii="宋体" w:hAnsi="宋体" w:eastAsia="宋体" w:cs="宋体"/>
                      <w:color w:val="auto"/>
                      <w:szCs w:val="21"/>
                      <w:lang w:bidi="ar"/>
                    </w:rPr>
                    <w:t>厂界北侧</w:t>
                  </w:r>
                </w:p>
              </w:tc>
              <w:tc>
                <w:tcPr>
                  <w:tcW w:w="1133" w:type="dxa"/>
                  <w:tcBorders>
                    <w:top w:val="single" w:color="auto" w:sz="4" w:space="0"/>
                    <w:left w:val="single" w:color="auto" w:sz="4" w:space="0"/>
                    <w:bottom w:val="single" w:color="auto" w:sz="4" w:space="0"/>
                    <w:right w:val="single" w:color="auto" w:sz="4" w:space="0"/>
                  </w:tcBorders>
                  <w:vAlign w:val="center"/>
                </w:tcPr>
                <w:p w14:paraId="08306003">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r>
                    <w:rPr>
                      <w:rFonts w:hint="eastAsia" w:ascii="宋体" w:hAnsi="宋体" w:eastAsia="宋体" w:cs="宋体"/>
                      <w:color w:val="auto"/>
                      <w:szCs w:val="21"/>
                      <w:lang w:bidi="ar"/>
                    </w:rPr>
                    <w:t>工业噪声</w:t>
                  </w:r>
                </w:p>
              </w:tc>
              <w:tc>
                <w:tcPr>
                  <w:tcW w:w="1453" w:type="dxa"/>
                  <w:tcBorders>
                    <w:top w:val="single" w:color="auto" w:sz="4" w:space="0"/>
                    <w:left w:val="single" w:color="auto" w:sz="4" w:space="0"/>
                    <w:bottom w:val="single" w:color="auto" w:sz="4" w:space="0"/>
                    <w:right w:val="single" w:color="auto" w:sz="4" w:space="0"/>
                  </w:tcBorders>
                  <w:vAlign w:val="center"/>
                </w:tcPr>
                <w:p w14:paraId="42E01819">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r>
                    <w:rPr>
                      <w:rFonts w:hint="eastAsia" w:ascii="宋体" w:hAnsi="宋体" w:eastAsia="宋体" w:cs="宋体"/>
                      <w:color w:val="auto"/>
                      <w:szCs w:val="21"/>
                      <w:lang w:bidi="ar"/>
                    </w:rPr>
                    <w:t>声</w:t>
                  </w:r>
                  <w:r>
                    <w:rPr>
                      <w:rFonts w:hint="default" w:ascii="Times New Roman" w:hAnsi="Times New Roman" w:eastAsia="宋体" w:cs="Times New Roman"/>
                      <w:color w:val="auto"/>
                      <w:szCs w:val="21"/>
                      <w:lang w:bidi="ar"/>
                    </w:rPr>
                    <w:t>251119004</w:t>
                  </w:r>
                </w:p>
              </w:tc>
              <w:tc>
                <w:tcPr>
                  <w:tcW w:w="1160" w:type="dxa"/>
                  <w:tcBorders>
                    <w:top w:val="single" w:color="auto" w:sz="4" w:space="0"/>
                    <w:left w:val="single" w:color="auto" w:sz="4" w:space="0"/>
                    <w:bottom w:val="single" w:color="auto" w:sz="4" w:space="0"/>
                    <w:right w:val="single" w:color="auto" w:sz="4" w:space="0"/>
                  </w:tcBorders>
                  <w:vAlign w:val="center"/>
                </w:tcPr>
                <w:p w14:paraId="2A095C16">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lang w:bidi="ar"/>
                    </w:rPr>
                    <w:t>57</w:t>
                  </w:r>
                </w:p>
              </w:tc>
            </w:tr>
            <w:tr w14:paraId="52C8FA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740" w:type="dxa"/>
                  <w:vMerge w:val="continue"/>
                  <w:tcBorders>
                    <w:top w:val="nil"/>
                    <w:left w:val="single" w:color="auto" w:sz="4" w:space="0"/>
                    <w:bottom w:val="single" w:color="auto" w:sz="4" w:space="0"/>
                    <w:right w:val="single" w:color="auto" w:sz="4" w:space="0"/>
                  </w:tcBorders>
                  <w:vAlign w:val="center"/>
                </w:tcPr>
                <w:p w14:paraId="62F2F3E1">
                  <w:pPr>
                    <w:keepNext w:val="0"/>
                    <w:keepLines w:val="0"/>
                    <w:suppressLineNumbers w:val="0"/>
                    <w:spacing w:before="0" w:beforeAutospacing="0" w:after="0" w:afterAutospacing="0"/>
                    <w:ind w:left="0" w:right="0"/>
                    <w:rPr>
                      <w:rFonts w:hint="default" w:ascii="Times New Roman" w:hAnsi="Times New Roman" w:cs="Times New Roman"/>
                      <w:color w:val="auto"/>
                      <w:sz w:val="20"/>
                      <w:szCs w:val="20"/>
                    </w:rPr>
                  </w:pPr>
                </w:p>
              </w:tc>
              <w:tc>
                <w:tcPr>
                  <w:tcW w:w="1317" w:type="dxa"/>
                  <w:tcBorders>
                    <w:top w:val="single" w:color="auto" w:sz="4" w:space="0"/>
                    <w:left w:val="single" w:color="auto" w:sz="4" w:space="0"/>
                    <w:bottom w:val="single" w:color="auto" w:sz="4" w:space="0"/>
                    <w:right w:val="single" w:color="auto" w:sz="4" w:space="0"/>
                  </w:tcBorders>
                  <w:vAlign w:val="center"/>
                </w:tcPr>
                <w:p w14:paraId="1D82DE6D">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lang w:bidi="ar"/>
                    </w:rPr>
                    <w:t>22:00-22:02</w:t>
                  </w:r>
                </w:p>
              </w:tc>
              <w:tc>
                <w:tcPr>
                  <w:tcW w:w="1183" w:type="dxa"/>
                  <w:vMerge w:val="continue"/>
                  <w:tcBorders>
                    <w:top w:val="nil"/>
                    <w:left w:val="single" w:color="auto" w:sz="4" w:space="0"/>
                    <w:bottom w:val="single" w:color="auto" w:sz="4" w:space="0"/>
                    <w:right w:val="single" w:color="auto" w:sz="4" w:space="0"/>
                  </w:tcBorders>
                  <w:vAlign w:val="center"/>
                </w:tcPr>
                <w:p w14:paraId="409BAD5A">
                  <w:pPr>
                    <w:keepNext w:val="0"/>
                    <w:keepLines w:val="0"/>
                    <w:suppressLineNumbers w:val="0"/>
                    <w:spacing w:before="0" w:beforeAutospacing="0" w:after="0" w:afterAutospacing="0"/>
                    <w:ind w:left="0" w:right="0"/>
                    <w:rPr>
                      <w:rFonts w:hint="default" w:ascii="Times New Roman" w:hAnsi="Times New Roman" w:cs="Times New Roman"/>
                      <w:color w:val="auto"/>
                      <w:sz w:val="20"/>
                      <w:szCs w:val="20"/>
                    </w:rPr>
                  </w:pPr>
                </w:p>
              </w:tc>
              <w:tc>
                <w:tcPr>
                  <w:tcW w:w="1184" w:type="dxa"/>
                  <w:tcBorders>
                    <w:top w:val="single" w:color="auto" w:sz="4" w:space="0"/>
                    <w:left w:val="single" w:color="auto" w:sz="4" w:space="0"/>
                    <w:bottom w:val="single" w:color="auto" w:sz="4" w:space="0"/>
                    <w:right w:val="single" w:color="auto" w:sz="4" w:space="0"/>
                  </w:tcBorders>
                  <w:vAlign w:val="center"/>
                </w:tcPr>
                <w:p w14:paraId="2F56208D">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r>
                    <w:rPr>
                      <w:rFonts w:hint="eastAsia" w:ascii="宋体" w:hAnsi="宋体" w:eastAsia="宋体" w:cs="宋体"/>
                      <w:color w:val="auto"/>
                      <w:szCs w:val="21"/>
                      <w:lang w:bidi="ar"/>
                    </w:rPr>
                    <w:t>厂界东侧</w:t>
                  </w:r>
                </w:p>
              </w:tc>
              <w:tc>
                <w:tcPr>
                  <w:tcW w:w="1133" w:type="dxa"/>
                  <w:tcBorders>
                    <w:top w:val="single" w:color="auto" w:sz="4" w:space="0"/>
                    <w:left w:val="single" w:color="auto" w:sz="4" w:space="0"/>
                    <w:bottom w:val="single" w:color="auto" w:sz="4" w:space="0"/>
                    <w:right w:val="single" w:color="auto" w:sz="4" w:space="0"/>
                  </w:tcBorders>
                  <w:vAlign w:val="center"/>
                </w:tcPr>
                <w:p w14:paraId="162B864F">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r>
                    <w:rPr>
                      <w:rFonts w:hint="eastAsia" w:ascii="宋体" w:hAnsi="宋体" w:eastAsia="宋体" w:cs="宋体"/>
                      <w:color w:val="auto"/>
                      <w:szCs w:val="21"/>
                      <w:lang w:bidi="ar"/>
                    </w:rPr>
                    <w:t>工业噪声</w:t>
                  </w:r>
                </w:p>
              </w:tc>
              <w:tc>
                <w:tcPr>
                  <w:tcW w:w="1453" w:type="dxa"/>
                  <w:tcBorders>
                    <w:top w:val="single" w:color="auto" w:sz="4" w:space="0"/>
                    <w:left w:val="single" w:color="auto" w:sz="4" w:space="0"/>
                    <w:bottom w:val="single" w:color="auto" w:sz="4" w:space="0"/>
                    <w:right w:val="single" w:color="auto" w:sz="4" w:space="0"/>
                  </w:tcBorders>
                  <w:vAlign w:val="center"/>
                </w:tcPr>
                <w:p w14:paraId="1ECC4A4F">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r>
                    <w:rPr>
                      <w:rFonts w:hint="eastAsia" w:ascii="宋体" w:hAnsi="宋体" w:eastAsia="宋体" w:cs="宋体"/>
                      <w:color w:val="auto"/>
                      <w:szCs w:val="21"/>
                      <w:lang w:bidi="ar"/>
                    </w:rPr>
                    <w:t>声</w:t>
                  </w:r>
                  <w:r>
                    <w:rPr>
                      <w:rFonts w:hint="default" w:ascii="Times New Roman" w:hAnsi="Times New Roman" w:eastAsia="宋体" w:cs="Times New Roman"/>
                      <w:color w:val="auto"/>
                      <w:szCs w:val="21"/>
                      <w:lang w:bidi="ar"/>
                    </w:rPr>
                    <w:t>251119017</w:t>
                  </w:r>
                </w:p>
              </w:tc>
              <w:tc>
                <w:tcPr>
                  <w:tcW w:w="1160" w:type="dxa"/>
                  <w:tcBorders>
                    <w:top w:val="single" w:color="auto" w:sz="4" w:space="0"/>
                    <w:left w:val="single" w:color="auto" w:sz="4" w:space="0"/>
                    <w:bottom w:val="single" w:color="auto" w:sz="4" w:space="0"/>
                    <w:right w:val="single" w:color="auto" w:sz="4" w:space="0"/>
                  </w:tcBorders>
                  <w:vAlign w:val="center"/>
                </w:tcPr>
                <w:p w14:paraId="1E4B88BA">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lang w:bidi="ar"/>
                    </w:rPr>
                    <w:t>45</w:t>
                  </w:r>
                </w:p>
              </w:tc>
            </w:tr>
            <w:tr w14:paraId="0EF4A4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740" w:type="dxa"/>
                  <w:vMerge w:val="continue"/>
                  <w:tcBorders>
                    <w:top w:val="nil"/>
                    <w:left w:val="single" w:color="auto" w:sz="4" w:space="0"/>
                    <w:bottom w:val="single" w:color="auto" w:sz="4" w:space="0"/>
                    <w:right w:val="single" w:color="auto" w:sz="4" w:space="0"/>
                  </w:tcBorders>
                  <w:vAlign w:val="center"/>
                </w:tcPr>
                <w:p w14:paraId="03484D8D">
                  <w:pPr>
                    <w:keepNext w:val="0"/>
                    <w:keepLines w:val="0"/>
                    <w:suppressLineNumbers w:val="0"/>
                    <w:spacing w:before="0" w:beforeAutospacing="0" w:after="0" w:afterAutospacing="0"/>
                    <w:ind w:left="0" w:right="0"/>
                    <w:rPr>
                      <w:rFonts w:hint="default" w:ascii="Times New Roman" w:hAnsi="Times New Roman" w:cs="Times New Roman"/>
                      <w:color w:val="auto"/>
                      <w:sz w:val="20"/>
                      <w:szCs w:val="20"/>
                    </w:rPr>
                  </w:pPr>
                </w:p>
              </w:tc>
              <w:tc>
                <w:tcPr>
                  <w:tcW w:w="1317" w:type="dxa"/>
                  <w:tcBorders>
                    <w:top w:val="single" w:color="auto" w:sz="4" w:space="0"/>
                    <w:left w:val="single" w:color="auto" w:sz="4" w:space="0"/>
                    <w:bottom w:val="single" w:color="auto" w:sz="4" w:space="0"/>
                    <w:right w:val="single" w:color="auto" w:sz="4" w:space="0"/>
                  </w:tcBorders>
                  <w:vAlign w:val="center"/>
                </w:tcPr>
                <w:p w14:paraId="07D3DDBD">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lang w:bidi="ar"/>
                    </w:rPr>
                    <w:t>22:05-22:07</w:t>
                  </w:r>
                </w:p>
              </w:tc>
              <w:tc>
                <w:tcPr>
                  <w:tcW w:w="1183" w:type="dxa"/>
                  <w:vMerge w:val="continue"/>
                  <w:tcBorders>
                    <w:top w:val="nil"/>
                    <w:left w:val="single" w:color="auto" w:sz="4" w:space="0"/>
                    <w:bottom w:val="single" w:color="auto" w:sz="4" w:space="0"/>
                    <w:right w:val="single" w:color="auto" w:sz="4" w:space="0"/>
                  </w:tcBorders>
                  <w:vAlign w:val="center"/>
                </w:tcPr>
                <w:p w14:paraId="65EE4206">
                  <w:pPr>
                    <w:keepNext w:val="0"/>
                    <w:keepLines w:val="0"/>
                    <w:suppressLineNumbers w:val="0"/>
                    <w:spacing w:before="0" w:beforeAutospacing="0" w:after="0" w:afterAutospacing="0"/>
                    <w:ind w:left="0" w:right="0"/>
                    <w:rPr>
                      <w:rFonts w:hint="default" w:ascii="Times New Roman" w:hAnsi="Times New Roman" w:cs="Times New Roman"/>
                      <w:color w:val="auto"/>
                      <w:sz w:val="20"/>
                      <w:szCs w:val="20"/>
                    </w:rPr>
                  </w:pPr>
                </w:p>
              </w:tc>
              <w:tc>
                <w:tcPr>
                  <w:tcW w:w="1184" w:type="dxa"/>
                  <w:tcBorders>
                    <w:top w:val="single" w:color="auto" w:sz="4" w:space="0"/>
                    <w:left w:val="single" w:color="auto" w:sz="4" w:space="0"/>
                    <w:bottom w:val="single" w:color="auto" w:sz="4" w:space="0"/>
                    <w:right w:val="single" w:color="auto" w:sz="4" w:space="0"/>
                  </w:tcBorders>
                  <w:vAlign w:val="center"/>
                </w:tcPr>
                <w:p w14:paraId="0067D104">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r>
                    <w:rPr>
                      <w:rFonts w:hint="eastAsia" w:ascii="宋体" w:hAnsi="宋体" w:eastAsia="宋体" w:cs="宋体"/>
                      <w:color w:val="auto"/>
                      <w:szCs w:val="21"/>
                      <w:lang w:bidi="ar"/>
                    </w:rPr>
                    <w:t>厂界南侧</w:t>
                  </w:r>
                </w:p>
              </w:tc>
              <w:tc>
                <w:tcPr>
                  <w:tcW w:w="1133" w:type="dxa"/>
                  <w:tcBorders>
                    <w:top w:val="single" w:color="auto" w:sz="4" w:space="0"/>
                    <w:left w:val="single" w:color="auto" w:sz="4" w:space="0"/>
                    <w:bottom w:val="single" w:color="auto" w:sz="4" w:space="0"/>
                    <w:right w:val="single" w:color="auto" w:sz="4" w:space="0"/>
                  </w:tcBorders>
                  <w:vAlign w:val="center"/>
                </w:tcPr>
                <w:p w14:paraId="29CA3FC6">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r>
                    <w:rPr>
                      <w:rFonts w:hint="eastAsia" w:ascii="宋体" w:hAnsi="宋体" w:eastAsia="宋体" w:cs="宋体"/>
                      <w:color w:val="auto"/>
                      <w:szCs w:val="21"/>
                      <w:lang w:bidi="ar"/>
                    </w:rPr>
                    <w:t>工业噪声</w:t>
                  </w:r>
                </w:p>
              </w:tc>
              <w:tc>
                <w:tcPr>
                  <w:tcW w:w="1453" w:type="dxa"/>
                  <w:tcBorders>
                    <w:top w:val="single" w:color="auto" w:sz="4" w:space="0"/>
                    <w:left w:val="single" w:color="auto" w:sz="4" w:space="0"/>
                    <w:bottom w:val="single" w:color="auto" w:sz="4" w:space="0"/>
                    <w:right w:val="single" w:color="auto" w:sz="4" w:space="0"/>
                  </w:tcBorders>
                  <w:vAlign w:val="center"/>
                </w:tcPr>
                <w:p w14:paraId="4EFD670C">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r>
                    <w:rPr>
                      <w:rFonts w:hint="eastAsia" w:ascii="宋体" w:hAnsi="宋体" w:eastAsia="宋体" w:cs="宋体"/>
                      <w:color w:val="auto"/>
                      <w:szCs w:val="21"/>
                      <w:lang w:bidi="ar"/>
                    </w:rPr>
                    <w:t>声</w:t>
                  </w:r>
                  <w:r>
                    <w:rPr>
                      <w:rFonts w:hint="default" w:ascii="Times New Roman" w:hAnsi="Times New Roman" w:eastAsia="宋体" w:cs="Times New Roman"/>
                      <w:color w:val="auto"/>
                      <w:szCs w:val="21"/>
                      <w:lang w:bidi="ar"/>
                    </w:rPr>
                    <w:t>251119018</w:t>
                  </w:r>
                </w:p>
              </w:tc>
              <w:tc>
                <w:tcPr>
                  <w:tcW w:w="1160" w:type="dxa"/>
                  <w:tcBorders>
                    <w:top w:val="single" w:color="auto" w:sz="4" w:space="0"/>
                    <w:left w:val="single" w:color="auto" w:sz="4" w:space="0"/>
                    <w:bottom w:val="single" w:color="auto" w:sz="4" w:space="0"/>
                    <w:right w:val="single" w:color="auto" w:sz="4" w:space="0"/>
                  </w:tcBorders>
                  <w:vAlign w:val="center"/>
                </w:tcPr>
                <w:p w14:paraId="6A671099">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lang w:bidi="ar"/>
                    </w:rPr>
                    <w:t>46</w:t>
                  </w:r>
                </w:p>
              </w:tc>
            </w:tr>
            <w:tr w14:paraId="228108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740" w:type="dxa"/>
                  <w:vMerge w:val="continue"/>
                  <w:tcBorders>
                    <w:top w:val="nil"/>
                    <w:left w:val="single" w:color="auto" w:sz="4" w:space="0"/>
                    <w:bottom w:val="single" w:color="auto" w:sz="4" w:space="0"/>
                    <w:right w:val="single" w:color="auto" w:sz="4" w:space="0"/>
                  </w:tcBorders>
                  <w:vAlign w:val="center"/>
                </w:tcPr>
                <w:p w14:paraId="5A4D65CA">
                  <w:pPr>
                    <w:keepNext w:val="0"/>
                    <w:keepLines w:val="0"/>
                    <w:suppressLineNumbers w:val="0"/>
                    <w:spacing w:before="0" w:beforeAutospacing="0" w:after="0" w:afterAutospacing="0"/>
                    <w:ind w:left="0" w:right="0"/>
                    <w:rPr>
                      <w:rFonts w:hint="default" w:ascii="Times New Roman" w:hAnsi="Times New Roman" w:cs="Times New Roman"/>
                      <w:color w:val="auto"/>
                      <w:sz w:val="20"/>
                      <w:szCs w:val="20"/>
                    </w:rPr>
                  </w:pPr>
                </w:p>
              </w:tc>
              <w:tc>
                <w:tcPr>
                  <w:tcW w:w="1317" w:type="dxa"/>
                  <w:tcBorders>
                    <w:top w:val="single" w:color="auto" w:sz="4" w:space="0"/>
                    <w:left w:val="single" w:color="auto" w:sz="4" w:space="0"/>
                    <w:bottom w:val="single" w:color="auto" w:sz="4" w:space="0"/>
                    <w:right w:val="single" w:color="auto" w:sz="4" w:space="0"/>
                  </w:tcBorders>
                  <w:vAlign w:val="center"/>
                </w:tcPr>
                <w:p w14:paraId="6646E7F9">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lang w:bidi="ar"/>
                    </w:rPr>
                    <w:t>22:09-22:11</w:t>
                  </w:r>
                </w:p>
              </w:tc>
              <w:tc>
                <w:tcPr>
                  <w:tcW w:w="1183" w:type="dxa"/>
                  <w:vMerge w:val="continue"/>
                  <w:tcBorders>
                    <w:top w:val="nil"/>
                    <w:left w:val="single" w:color="auto" w:sz="4" w:space="0"/>
                    <w:bottom w:val="single" w:color="auto" w:sz="4" w:space="0"/>
                    <w:right w:val="single" w:color="auto" w:sz="4" w:space="0"/>
                  </w:tcBorders>
                  <w:vAlign w:val="center"/>
                </w:tcPr>
                <w:p w14:paraId="493E2362">
                  <w:pPr>
                    <w:keepNext w:val="0"/>
                    <w:keepLines w:val="0"/>
                    <w:suppressLineNumbers w:val="0"/>
                    <w:spacing w:before="0" w:beforeAutospacing="0" w:after="0" w:afterAutospacing="0"/>
                    <w:ind w:left="0" w:right="0"/>
                    <w:rPr>
                      <w:rFonts w:hint="default" w:ascii="Times New Roman" w:hAnsi="Times New Roman" w:cs="Times New Roman"/>
                      <w:color w:val="auto"/>
                      <w:sz w:val="20"/>
                      <w:szCs w:val="20"/>
                    </w:rPr>
                  </w:pPr>
                </w:p>
              </w:tc>
              <w:tc>
                <w:tcPr>
                  <w:tcW w:w="1184" w:type="dxa"/>
                  <w:tcBorders>
                    <w:top w:val="single" w:color="auto" w:sz="4" w:space="0"/>
                    <w:left w:val="single" w:color="auto" w:sz="4" w:space="0"/>
                    <w:bottom w:val="single" w:color="auto" w:sz="4" w:space="0"/>
                    <w:right w:val="single" w:color="auto" w:sz="4" w:space="0"/>
                  </w:tcBorders>
                  <w:vAlign w:val="center"/>
                </w:tcPr>
                <w:p w14:paraId="6FE03DF7">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r>
                    <w:rPr>
                      <w:rFonts w:hint="eastAsia" w:ascii="宋体" w:hAnsi="宋体" w:eastAsia="宋体" w:cs="宋体"/>
                      <w:color w:val="auto"/>
                      <w:szCs w:val="21"/>
                      <w:lang w:bidi="ar"/>
                    </w:rPr>
                    <w:t>厂界西侧</w:t>
                  </w:r>
                </w:p>
              </w:tc>
              <w:tc>
                <w:tcPr>
                  <w:tcW w:w="1133" w:type="dxa"/>
                  <w:tcBorders>
                    <w:top w:val="single" w:color="auto" w:sz="4" w:space="0"/>
                    <w:left w:val="single" w:color="auto" w:sz="4" w:space="0"/>
                    <w:bottom w:val="single" w:color="auto" w:sz="4" w:space="0"/>
                    <w:right w:val="single" w:color="auto" w:sz="4" w:space="0"/>
                  </w:tcBorders>
                  <w:vAlign w:val="center"/>
                </w:tcPr>
                <w:p w14:paraId="08B624FE">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r>
                    <w:rPr>
                      <w:rFonts w:hint="eastAsia" w:ascii="宋体" w:hAnsi="宋体" w:eastAsia="宋体" w:cs="宋体"/>
                      <w:color w:val="auto"/>
                      <w:szCs w:val="21"/>
                      <w:lang w:bidi="ar"/>
                    </w:rPr>
                    <w:t>交通噪声</w:t>
                  </w:r>
                </w:p>
              </w:tc>
              <w:tc>
                <w:tcPr>
                  <w:tcW w:w="1453" w:type="dxa"/>
                  <w:tcBorders>
                    <w:top w:val="single" w:color="auto" w:sz="4" w:space="0"/>
                    <w:left w:val="single" w:color="auto" w:sz="4" w:space="0"/>
                    <w:bottom w:val="single" w:color="auto" w:sz="4" w:space="0"/>
                    <w:right w:val="single" w:color="auto" w:sz="4" w:space="0"/>
                  </w:tcBorders>
                  <w:vAlign w:val="center"/>
                </w:tcPr>
                <w:p w14:paraId="4EB5EC47">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r>
                    <w:rPr>
                      <w:rFonts w:hint="eastAsia" w:ascii="宋体" w:hAnsi="宋体" w:eastAsia="宋体" w:cs="宋体"/>
                      <w:color w:val="auto"/>
                      <w:szCs w:val="21"/>
                      <w:lang w:bidi="ar"/>
                    </w:rPr>
                    <w:t>声</w:t>
                  </w:r>
                  <w:r>
                    <w:rPr>
                      <w:rFonts w:hint="default" w:ascii="Times New Roman" w:hAnsi="Times New Roman" w:eastAsia="宋体" w:cs="Times New Roman"/>
                      <w:color w:val="auto"/>
                      <w:szCs w:val="21"/>
                      <w:lang w:bidi="ar"/>
                    </w:rPr>
                    <w:t>251119019</w:t>
                  </w:r>
                </w:p>
              </w:tc>
              <w:tc>
                <w:tcPr>
                  <w:tcW w:w="1160" w:type="dxa"/>
                  <w:tcBorders>
                    <w:top w:val="single" w:color="auto" w:sz="4" w:space="0"/>
                    <w:left w:val="single" w:color="auto" w:sz="4" w:space="0"/>
                    <w:bottom w:val="single" w:color="auto" w:sz="4" w:space="0"/>
                    <w:right w:val="single" w:color="auto" w:sz="4" w:space="0"/>
                  </w:tcBorders>
                  <w:vAlign w:val="center"/>
                </w:tcPr>
                <w:p w14:paraId="34364EFD">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lang w:bidi="ar"/>
                    </w:rPr>
                    <w:t>44</w:t>
                  </w:r>
                </w:p>
              </w:tc>
            </w:tr>
            <w:tr w14:paraId="6C8620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740" w:type="dxa"/>
                  <w:vMerge w:val="continue"/>
                  <w:tcBorders>
                    <w:top w:val="nil"/>
                    <w:left w:val="single" w:color="auto" w:sz="4" w:space="0"/>
                    <w:bottom w:val="single" w:color="auto" w:sz="4" w:space="0"/>
                    <w:right w:val="single" w:color="auto" w:sz="4" w:space="0"/>
                  </w:tcBorders>
                  <w:vAlign w:val="center"/>
                </w:tcPr>
                <w:p w14:paraId="4B3649E8">
                  <w:pPr>
                    <w:keepNext w:val="0"/>
                    <w:keepLines w:val="0"/>
                    <w:suppressLineNumbers w:val="0"/>
                    <w:spacing w:before="0" w:beforeAutospacing="0" w:after="0" w:afterAutospacing="0"/>
                    <w:ind w:left="0" w:right="0"/>
                    <w:rPr>
                      <w:rFonts w:hint="default" w:ascii="Times New Roman" w:hAnsi="Times New Roman" w:cs="Times New Roman"/>
                      <w:color w:val="auto"/>
                      <w:sz w:val="20"/>
                      <w:szCs w:val="20"/>
                    </w:rPr>
                  </w:pPr>
                </w:p>
              </w:tc>
              <w:tc>
                <w:tcPr>
                  <w:tcW w:w="1317" w:type="dxa"/>
                  <w:tcBorders>
                    <w:top w:val="single" w:color="auto" w:sz="4" w:space="0"/>
                    <w:left w:val="single" w:color="auto" w:sz="4" w:space="0"/>
                    <w:bottom w:val="single" w:color="auto" w:sz="4" w:space="0"/>
                    <w:right w:val="single" w:color="auto" w:sz="4" w:space="0"/>
                  </w:tcBorders>
                  <w:vAlign w:val="center"/>
                </w:tcPr>
                <w:p w14:paraId="7CBE358D">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lang w:bidi="ar"/>
                    </w:rPr>
                    <w:t>22:14-22:16</w:t>
                  </w:r>
                </w:p>
              </w:tc>
              <w:tc>
                <w:tcPr>
                  <w:tcW w:w="1183" w:type="dxa"/>
                  <w:vMerge w:val="continue"/>
                  <w:tcBorders>
                    <w:top w:val="nil"/>
                    <w:left w:val="single" w:color="auto" w:sz="4" w:space="0"/>
                    <w:bottom w:val="single" w:color="auto" w:sz="4" w:space="0"/>
                    <w:right w:val="single" w:color="auto" w:sz="4" w:space="0"/>
                  </w:tcBorders>
                  <w:vAlign w:val="center"/>
                </w:tcPr>
                <w:p w14:paraId="28194E1F">
                  <w:pPr>
                    <w:keepNext w:val="0"/>
                    <w:keepLines w:val="0"/>
                    <w:suppressLineNumbers w:val="0"/>
                    <w:spacing w:before="0" w:beforeAutospacing="0" w:after="0" w:afterAutospacing="0"/>
                    <w:ind w:left="0" w:right="0"/>
                    <w:rPr>
                      <w:rFonts w:hint="default" w:ascii="Times New Roman" w:hAnsi="Times New Roman" w:cs="Times New Roman"/>
                      <w:color w:val="auto"/>
                      <w:sz w:val="20"/>
                      <w:szCs w:val="20"/>
                    </w:rPr>
                  </w:pPr>
                </w:p>
              </w:tc>
              <w:tc>
                <w:tcPr>
                  <w:tcW w:w="1184" w:type="dxa"/>
                  <w:tcBorders>
                    <w:top w:val="single" w:color="auto" w:sz="4" w:space="0"/>
                    <w:left w:val="single" w:color="auto" w:sz="4" w:space="0"/>
                    <w:bottom w:val="single" w:color="auto" w:sz="4" w:space="0"/>
                    <w:right w:val="single" w:color="auto" w:sz="4" w:space="0"/>
                  </w:tcBorders>
                  <w:vAlign w:val="center"/>
                </w:tcPr>
                <w:p w14:paraId="6DD6C450">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r>
                    <w:rPr>
                      <w:rFonts w:hint="eastAsia" w:ascii="宋体" w:hAnsi="宋体" w:eastAsia="宋体" w:cs="宋体"/>
                      <w:color w:val="auto"/>
                      <w:szCs w:val="21"/>
                      <w:lang w:bidi="ar"/>
                    </w:rPr>
                    <w:t>厂界北侧</w:t>
                  </w:r>
                </w:p>
              </w:tc>
              <w:tc>
                <w:tcPr>
                  <w:tcW w:w="1133" w:type="dxa"/>
                  <w:tcBorders>
                    <w:top w:val="single" w:color="auto" w:sz="4" w:space="0"/>
                    <w:left w:val="single" w:color="auto" w:sz="4" w:space="0"/>
                    <w:bottom w:val="single" w:color="auto" w:sz="4" w:space="0"/>
                    <w:right w:val="single" w:color="auto" w:sz="4" w:space="0"/>
                  </w:tcBorders>
                  <w:vAlign w:val="center"/>
                </w:tcPr>
                <w:p w14:paraId="63363516">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r>
                    <w:rPr>
                      <w:rFonts w:hint="eastAsia" w:ascii="宋体" w:hAnsi="宋体" w:eastAsia="宋体" w:cs="宋体"/>
                      <w:color w:val="auto"/>
                      <w:szCs w:val="21"/>
                      <w:lang w:bidi="ar"/>
                    </w:rPr>
                    <w:t>工业噪声</w:t>
                  </w:r>
                </w:p>
              </w:tc>
              <w:tc>
                <w:tcPr>
                  <w:tcW w:w="1453" w:type="dxa"/>
                  <w:tcBorders>
                    <w:top w:val="single" w:color="auto" w:sz="4" w:space="0"/>
                    <w:left w:val="single" w:color="auto" w:sz="4" w:space="0"/>
                    <w:bottom w:val="single" w:color="auto" w:sz="4" w:space="0"/>
                    <w:right w:val="single" w:color="auto" w:sz="4" w:space="0"/>
                  </w:tcBorders>
                  <w:vAlign w:val="center"/>
                </w:tcPr>
                <w:p w14:paraId="319F68EE">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r>
                    <w:rPr>
                      <w:rFonts w:hint="eastAsia" w:ascii="宋体" w:hAnsi="宋体" w:eastAsia="宋体" w:cs="宋体"/>
                      <w:color w:val="auto"/>
                      <w:szCs w:val="21"/>
                      <w:lang w:bidi="ar"/>
                    </w:rPr>
                    <w:t>声</w:t>
                  </w:r>
                  <w:r>
                    <w:rPr>
                      <w:rFonts w:hint="default" w:ascii="Times New Roman" w:hAnsi="Times New Roman" w:eastAsia="宋体" w:cs="Times New Roman"/>
                      <w:color w:val="auto"/>
                      <w:szCs w:val="21"/>
                      <w:lang w:bidi="ar"/>
                    </w:rPr>
                    <w:t>251119020</w:t>
                  </w:r>
                </w:p>
              </w:tc>
              <w:tc>
                <w:tcPr>
                  <w:tcW w:w="1160" w:type="dxa"/>
                  <w:tcBorders>
                    <w:top w:val="single" w:color="auto" w:sz="4" w:space="0"/>
                    <w:left w:val="single" w:color="auto" w:sz="4" w:space="0"/>
                    <w:bottom w:val="single" w:color="auto" w:sz="4" w:space="0"/>
                    <w:right w:val="single" w:color="auto" w:sz="4" w:space="0"/>
                  </w:tcBorders>
                  <w:vAlign w:val="center"/>
                </w:tcPr>
                <w:p w14:paraId="4B89476E">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lang w:bidi="ar"/>
                    </w:rPr>
                    <w:t>46</w:t>
                  </w:r>
                </w:p>
              </w:tc>
            </w:tr>
            <w:tr w14:paraId="691CA6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740" w:type="dxa"/>
                  <w:vMerge w:val="restart"/>
                  <w:tcBorders>
                    <w:top w:val="nil"/>
                    <w:left w:val="single" w:color="auto" w:sz="4" w:space="0"/>
                    <w:bottom w:val="single" w:color="auto" w:sz="4" w:space="0"/>
                    <w:right w:val="single" w:color="auto" w:sz="4" w:space="0"/>
                  </w:tcBorders>
                  <w:vAlign w:val="center"/>
                </w:tcPr>
                <w:p w14:paraId="70886B6F">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lang w:bidi="ar"/>
                    </w:rPr>
                    <w:t>2025.11.20</w:t>
                  </w:r>
                </w:p>
              </w:tc>
              <w:tc>
                <w:tcPr>
                  <w:tcW w:w="1317" w:type="dxa"/>
                  <w:tcBorders>
                    <w:top w:val="single" w:color="auto" w:sz="4" w:space="0"/>
                    <w:left w:val="single" w:color="auto" w:sz="4" w:space="0"/>
                    <w:bottom w:val="single" w:color="auto" w:sz="4" w:space="0"/>
                    <w:right w:val="single" w:color="auto" w:sz="4" w:space="0"/>
                  </w:tcBorders>
                  <w:vAlign w:val="center"/>
                </w:tcPr>
                <w:p w14:paraId="3C8E83ED">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lang w:bidi="ar"/>
                    </w:rPr>
                    <w:t>12:07-12:09</w:t>
                  </w:r>
                </w:p>
              </w:tc>
              <w:tc>
                <w:tcPr>
                  <w:tcW w:w="1183" w:type="dxa"/>
                  <w:vMerge w:val="continue"/>
                  <w:tcBorders>
                    <w:top w:val="nil"/>
                    <w:left w:val="single" w:color="auto" w:sz="4" w:space="0"/>
                    <w:bottom w:val="single" w:color="auto" w:sz="4" w:space="0"/>
                    <w:right w:val="single" w:color="auto" w:sz="4" w:space="0"/>
                  </w:tcBorders>
                  <w:vAlign w:val="center"/>
                </w:tcPr>
                <w:p w14:paraId="4267E5A7">
                  <w:pPr>
                    <w:keepNext w:val="0"/>
                    <w:keepLines w:val="0"/>
                    <w:suppressLineNumbers w:val="0"/>
                    <w:spacing w:before="0" w:beforeAutospacing="0" w:after="0" w:afterAutospacing="0"/>
                    <w:ind w:left="0" w:right="0"/>
                    <w:rPr>
                      <w:rFonts w:hint="default" w:ascii="Times New Roman" w:hAnsi="Times New Roman" w:cs="Times New Roman"/>
                      <w:color w:val="auto"/>
                      <w:sz w:val="20"/>
                      <w:szCs w:val="20"/>
                    </w:rPr>
                  </w:pPr>
                </w:p>
              </w:tc>
              <w:tc>
                <w:tcPr>
                  <w:tcW w:w="1184" w:type="dxa"/>
                  <w:tcBorders>
                    <w:top w:val="single" w:color="auto" w:sz="4" w:space="0"/>
                    <w:left w:val="single" w:color="auto" w:sz="4" w:space="0"/>
                    <w:bottom w:val="single" w:color="auto" w:sz="4" w:space="0"/>
                    <w:right w:val="single" w:color="auto" w:sz="4" w:space="0"/>
                  </w:tcBorders>
                  <w:vAlign w:val="center"/>
                </w:tcPr>
                <w:p w14:paraId="26E2073E">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r>
                    <w:rPr>
                      <w:rFonts w:hint="eastAsia" w:ascii="宋体" w:hAnsi="宋体" w:eastAsia="宋体" w:cs="宋体"/>
                      <w:color w:val="auto"/>
                      <w:szCs w:val="21"/>
                      <w:lang w:bidi="ar"/>
                    </w:rPr>
                    <w:t>厂界东侧</w:t>
                  </w:r>
                </w:p>
              </w:tc>
              <w:tc>
                <w:tcPr>
                  <w:tcW w:w="1133" w:type="dxa"/>
                  <w:tcBorders>
                    <w:top w:val="single" w:color="auto" w:sz="4" w:space="0"/>
                    <w:left w:val="single" w:color="auto" w:sz="4" w:space="0"/>
                    <w:bottom w:val="single" w:color="auto" w:sz="4" w:space="0"/>
                    <w:right w:val="single" w:color="auto" w:sz="4" w:space="0"/>
                  </w:tcBorders>
                  <w:vAlign w:val="center"/>
                </w:tcPr>
                <w:p w14:paraId="483CAB9E">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r>
                    <w:rPr>
                      <w:rFonts w:hint="eastAsia" w:ascii="宋体" w:hAnsi="宋体" w:eastAsia="宋体" w:cs="宋体"/>
                      <w:color w:val="auto"/>
                      <w:szCs w:val="21"/>
                      <w:lang w:bidi="ar"/>
                    </w:rPr>
                    <w:t>工业噪声</w:t>
                  </w:r>
                </w:p>
              </w:tc>
              <w:tc>
                <w:tcPr>
                  <w:tcW w:w="1453" w:type="dxa"/>
                  <w:tcBorders>
                    <w:top w:val="single" w:color="auto" w:sz="4" w:space="0"/>
                    <w:left w:val="single" w:color="auto" w:sz="4" w:space="0"/>
                    <w:bottom w:val="single" w:color="auto" w:sz="4" w:space="0"/>
                    <w:right w:val="single" w:color="auto" w:sz="4" w:space="0"/>
                  </w:tcBorders>
                  <w:vAlign w:val="center"/>
                </w:tcPr>
                <w:p w14:paraId="5A909AEC">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r>
                    <w:rPr>
                      <w:rFonts w:hint="eastAsia" w:ascii="宋体" w:hAnsi="宋体" w:eastAsia="宋体" w:cs="宋体"/>
                      <w:color w:val="auto"/>
                      <w:szCs w:val="21"/>
                      <w:lang w:bidi="ar"/>
                    </w:rPr>
                    <w:t>声</w:t>
                  </w:r>
                  <w:r>
                    <w:rPr>
                      <w:rFonts w:hint="default" w:ascii="Times New Roman" w:hAnsi="Times New Roman" w:eastAsia="宋体" w:cs="Times New Roman"/>
                      <w:color w:val="auto"/>
                      <w:szCs w:val="21"/>
                      <w:lang w:bidi="ar"/>
                    </w:rPr>
                    <w:t>251120009</w:t>
                  </w:r>
                </w:p>
              </w:tc>
              <w:tc>
                <w:tcPr>
                  <w:tcW w:w="1160" w:type="dxa"/>
                  <w:tcBorders>
                    <w:top w:val="single" w:color="auto" w:sz="4" w:space="0"/>
                    <w:left w:val="single" w:color="auto" w:sz="4" w:space="0"/>
                    <w:bottom w:val="single" w:color="auto" w:sz="4" w:space="0"/>
                    <w:right w:val="single" w:color="auto" w:sz="4" w:space="0"/>
                  </w:tcBorders>
                  <w:vAlign w:val="center"/>
                </w:tcPr>
                <w:p w14:paraId="7894375B">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lang w:bidi="ar"/>
                    </w:rPr>
                    <w:t>58</w:t>
                  </w:r>
                </w:p>
              </w:tc>
            </w:tr>
            <w:tr w14:paraId="1C7212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740" w:type="dxa"/>
                  <w:vMerge w:val="continue"/>
                  <w:tcBorders>
                    <w:top w:val="nil"/>
                    <w:left w:val="single" w:color="auto" w:sz="4" w:space="0"/>
                    <w:bottom w:val="single" w:color="auto" w:sz="4" w:space="0"/>
                    <w:right w:val="single" w:color="auto" w:sz="4" w:space="0"/>
                  </w:tcBorders>
                  <w:vAlign w:val="center"/>
                </w:tcPr>
                <w:p w14:paraId="0B23D454">
                  <w:pPr>
                    <w:keepNext w:val="0"/>
                    <w:keepLines w:val="0"/>
                    <w:suppressLineNumbers w:val="0"/>
                    <w:spacing w:before="0" w:beforeAutospacing="0" w:after="0" w:afterAutospacing="0"/>
                    <w:ind w:left="0" w:right="0"/>
                    <w:rPr>
                      <w:rFonts w:hint="default" w:ascii="Times New Roman" w:hAnsi="Times New Roman" w:cs="Times New Roman"/>
                      <w:color w:val="auto"/>
                      <w:sz w:val="20"/>
                      <w:szCs w:val="20"/>
                    </w:rPr>
                  </w:pPr>
                </w:p>
              </w:tc>
              <w:tc>
                <w:tcPr>
                  <w:tcW w:w="1317" w:type="dxa"/>
                  <w:tcBorders>
                    <w:top w:val="single" w:color="auto" w:sz="4" w:space="0"/>
                    <w:left w:val="single" w:color="auto" w:sz="4" w:space="0"/>
                    <w:bottom w:val="single" w:color="auto" w:sz="4" w:space="0"/>
                    <w:right w:val="single" w:color="auto" w:sz="4" w:space="0"/>
                  </w:tcBorders>
                  <w:vAlign w:val="center"/>
                </w:tcPr>
                <w:p w14:paraId="78954885">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lang w:bidi="ar"/>
                    </w:rPr>
                    <w:t>12:11-12:13</w:t>
                  </w:r>
                </w:p>
              </w:tc>
              <w:tc>
                <w:tcPr>
                  <w:tcW w:w="1183" w:type="dxa"/>
                  <w:vMerge w:val="continue"/>
                  <w:tcBorders>
                    <w:top w:val="nil"/>
                    <w:left w:val="single" w:color="auto" w:sz="4" w:space="0"/>
                    <w:bottom w:val="single" w:color="auto" w:sz="4" w:space="0"/>
                    <w:right w:val="single" w:color="auto" w:sz="4" w:space="0"/>
                  </w:tcBorders>
                  <w:vAlign w:val="center"/>
                </w:tcPr>
                <w:p w14:paraId="120C0464">
                  <w:pPr>
                    <w:keepNext w:val="0"/>
                    <w:keepLines w:val="0"/>
                    <w:suppressLineNumbers w:val="0"/>
                    <w:spacing w:before="0" w:beforeAutospacing="0" w:after="0" w:afterAutospacing="0"/>
                    <w:ind w:left="0" w:right="0"/>
                    <w:rPr>
                      <w:rFonts w:hint="default" w:ascii="Times New Roman" w:hAnsi="Times New Roman" w:cs="Times New Roman"/>
                      <w:color w:val="auto"/>
                      <w:sz w:val="20"/>
                      <w:szCs w:val="20"/>
                    </w:rPr>
                  </w:pPr>
                </w:p>
              </w:tc>
              <w:tc>
                <w:tcPr>
                  <w:tcW w:w="1184" w:type="dxa"/>
                  <w:tcBorders>
                    <w:top w:val="single" w:color="auto" w:sz="4" w:space="0"/>
                    <w:left w:val="single" w:color="auto" w:sz="4" w:space="0"/>
                    <w:bottom w:val="single" w:color="auto" w:sz="4" w:space="0"/>
                    <w:right w:val="single" w:color="auto" w:sz="4" w:space="0"/>
                  </w:tcBorders>
                  <w:vAlign w:val="center"/>
                </w:tcPr>
                <w:p w14:paraId="72111D5B">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r>
                    <w:rPr>
                      <w:rFonts w:hint="eastAsia" w:ascii="宋体" w:hAnsi="宋体" w:eastAsia="宋体" w:cs="宋体"/>
                      <w:color w:val="auto"/>
                      <w:szCs w:val="21"/>
                      <w:lang w:bidi="ar"/>
                    </w:rPr>
                    <w:t>厂界南侧</w:t>
                  </w:r>
                </w:p>
              </w:tc>
              <w:tc>
                <w:tcPr>
                  <w:tcW w:w="1133" w:type="dxa"/>
                  <w:tcBorders>
                    <w:top w:val="single" w:color="auto" w:sz="4" w:space="0"/>
                    <w:left w:val="single" w:color="auto" w:sz="4" w:space="0"/>
                    <w:bottom w:val="single" w:color="auto" w:sz="4" w:space="0"/>
                    <w:right w:val="single" w:color="auto" w:sz="4" w:space="0"/>
                  </w:tcBorders>
                  <w:vAlign w:val="center"/>
                </w:tcPr>
                <w:p w14:paraId="15A032A2">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r>
                    <w:rPr>
                      <w:rFonts w:hint="eastAsia" w:ascii="宋体" w:hAnsi="宋体" w:eastAsia="宋体" w:cs="宋体"/>
                      <w:color w:val="auto"/>
                      <w:szCs w:val="21"/>
                      <w:lang w:bidi="ar"/>
                    </w:rPr>
                    <w:t>工业噪声</w:t>
                  </w:r>
                </w:p>
              </w:tc>
              <w:tc>
                <w:tcPr>
                  <w:tcW w:w="1453" w:type="dxa"/>
                  <w:tcBorders>
                    <w:top w:val="single" w:color="auto" w:sz="4" w:space="0"/>
                    <w:left w:val="single" w:color="auto" w:sz="4" w:space="0"/>
                    <w:bottom w:val="single" w:color="auto" w:sz="4" w:space="0"/>
                    <w:right w:val="single" w:color="auto" w:sz="4" w:space="0"/>
                  </w:tcBorders>
                  <w:vAlign w:val="center"/>
                </w:tcPr>
                <w:p w14:paraId="3DC32D05">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r>
                    <w:rPr>
                      <w:rFonts w:hint="eastAsia" w:ascii="宋体" w:hAnsi="宋体" w:eastAsia="宋体" w:cs="宋体"/>
                      <w:color w:val="auto"/>
                      <w:szCs w:val="21"/>
                      <w:lang w:bidi="ar"/>
                    </w:rPr>
                    <w:t>声</w:t>
                  </w:r>
                  <w:r>
                    <w:rPr>
                      <w:rFonts w:hint="default" w:ascii="Times New Roman" w:hAnsi="Times New Roman" w:eastAsia="宋体" w:cs="Times New Roman"/>
                      <w:color w:val="auto"/>
                      <w:szCs w:val="21"/>
                      <w:lang w:bidi="ar"/>
                    </w:rPr>
                    <w:t>251120010</w:t>
                  </w:r>
                </w:p>
              </w:tc>
              <w:tc>
                <w:tcPr>
                  <w:tcW w:w="1160" w:type="dxa"/>
                  <w:tcBorders>
                    <w:top w:val="single" w:color="auto" w:sz="4" w:space="0"/>
                    <w:left w:val="single" w:color="auto" w:sz="4" w:space="0"/>
                    <w:bottom w:val="single" w:color="auto" w:sz="4" w:space="0"/>
                    <w:right w:val="single" w:color="auto" w:sz="4" w:space="0"/>
                  </w:tcBorders>
                  <w:vAlign w:val="center"/>
                </w:tcPr>
                <w:p w14:paraId="03A2ED31">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lang w:bidi="ar"/>
                    </w:rPr>
                    <w:t>57</w:t>
                  </w:r>
                </w:p>
              </w:tc>
            </w:tr>
            <w:tr w14:paraId="4E4D42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740" w:type="dxa"/>
                  <w:vMerge w:val="continue"/>
                  <w:tcBorders>
                    <w:top w:val="nil"/>
                    <w:left w:val="single" w:color="auto" w:sz="4" w:space="0"/>
                    <w:bottom w:val="single" w:color="auto" w:sz="4" w:space="0"/>
                    <w:right w:val="single" w:color="auto" w:sz="4" w:space="0"/>
                  </w:tcBorders>
                  <w:vAlign w:val="center"/>
                </w:tcPr>
                <w:p w14:paraId="5F2EE8C3">
                  <w:pPr>
                    <w:keepNext w:val="0"/>
                    <w:keepLines w:val="0"/>
                    <w:suppressLineNumbers w:val="0"/>
                    <w:spacing w:before="0" w:beforeAutospacing="0" w:after="0" w:afterAutospacing="0"/>
                    <w:ind w:left="0" w:right="0"/>
                    <w:rPr>
                      <w:rFonts w:hint="default" w:ascii="Times New Roman" w:hAnsi="Times New Roman" w:cs="Times New Roman"/>
                      <w:color w:val="auto"/>
                      <w:sz w:val="20"/>
                      <w:szCs w:val="20"/>
                    </w:rPr>
                  </w:pPr>
                </w:p>
              </w:tc>
              <w:tc>
                <w:tcPr>
                  <w:tcW w:w="1317" w:type="dxa"/>
                  <w:tcBorders>
                    <w:top w:val="single" w:color="auto" w:sz="4" w:space="0"/>
                    <w:left w:val="single" w:color="auto" w:sz="4" w:space="0"/>
                    <w:bottom w:val="single" w:color="auto" w:sz="4" w:space="0"/>
                    <w:right w:val="single" w:color="auto" w:sz="4" w:space="0"/>
                  </w:tcBorders>
                  <w:vAlign w:val="center"/>
                </w:tcPr>
                <w:p w14:paraId="25A45A15">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lang w:bidi="ar"/>
                    </w:rPr>
                    <w:t>12:16-12:18</w:t>
                  </w:r>
                </w:p>
              </w:tc>
              <w:tc>
                <w:tcPr>
                  <w:tcW w:w="1183" w:type="dxa"/>
                  <w:vMerge w:val="continue"/>
                  <w:tcBorders>
                    <w:top w:val="nil"/>
                    <w:left w:val="single" w:color="auto" w:sz="4" w:space="0"/>
                    <w:bottom w:val="single" w:color="auto" w:sz="4" w:space="0"/>
                    <w:right w:val="single" w:color="auto" w:sz="4" w:space="0"/>
                  </w:tcBorders>
                  <w:vAlign w:val="center"/>
                </w:tcPr>
                <w:p w14:paraId="2D2097EB">
                  <w:pPr>
                    <w:keepNext w:val="0"/>
                    <w:keepLines w:val="0"/>
                    <w:suppressLineNumbers w:val="0"/>
                    <w:spacing w:before="0" w:beforeAutospacing="0" w:after="0" w:afterAutospacing="0"/>
                    <w:ind w:left="0" w:right="0"/>
                    <w:rPr>
                      <w:rFonts w:hint="default" w:ascii="Times New Roman" w:hAnsi="Times New Roman" w:cs="Times New Roman"/>
                      <w:color w:val="auto"/>
                      <w:sz w:val="20"/>
                      <w:szCs w:val="20"/>
                    </w:rPr>
                  </w:pPr>
                </w:p>
              </w:tc>
              <w:tc>
                <w:tcPr>
                  <w:tcW w:w="1184" w:type="dxa"/>
                  <w:tcBorders>
                    <w:top w:val="single" w:color="auto" w:sz="4" w:space="0"/>
                    <w:left w:val="single" w:color="auto" w:sz="4" w:space="0"/>
                    <w:bottom w:val="single" w:color="auto" w:sz="4" w:space="0"/>
                    <w:right w:val="single" w:color="auto" w:sz="4" w:space="0"/>
                  </w:tcBorders>
                  <w:vAlign w:val="center"/>
                </w:tcPr>
                <w:p w14:paraId="5670E65D">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r>
                    <w:rPr>
                      <w:rFonts w:hint="eastAsia" w:ascii="宋体" w:hAnsi="宋体" w:eastAsia="宋体" w:cs="宋体"/>
                      <w:color w:val="auto"/>
                      <w:szCs w:val="21"/>
                      <w:lang w:bidi="ar"/>
                    </w:rPr>
                    <w:t>厂界西侧</w:t>
                  </w:r>
                </w:p>
              </w:tc>
              <w:tc>
                <w:tcPr>
                  <w:tcW w:w="1133" w:type="dxa"/>
                  <w:tcBorders>
                    <w:top w:val="single" w:color="auto" w:sz="4" w:space="0"/>
                    <w:left w:val="single" w:color="auto" w:sz="4" w:space="0"/>
                    <w:bottom w:val="single" w:color="auto" w:sz="4" w:space="0"/>
                    <w:right w:val="single" w:color="auto" w:sz="4" w:space="0"/>
                  </w:tcBorders>
                  <w:vAlign w:val="center"/>
                </w:tcPr>
                <w:p w14:paraId="44426F60">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r>
                    <w:rPr>
                      <w:rFonts w:hint="eastAsia" w:ascii="宋体" w:hAnsi="宋体" w:eastAsia="宋体" w:cs="宋体"/>
                      <w:color w:val="auto"/>
                      <w:szCs w:val="21"/>
                      <w:lang w:bidi="ar"/>
                    </w:rPr>
                    <w:t>交通噪声</w:t>
                  </w:r>
                </w:p>
              </w:tc>
              <w:tc>
                <w:tcPr>
                  <w:tcW w:w="1453" w:type="dxa"/>
                  <w:tcBorders>
                    <w:top w:val="single" w:color="auto" w:sz="4" w:space="0"/>
                    <w:left w:val="single" w:color="auto" w:sz="4" w:space="0"/>
                    <w:bottom w:val="single" w:color="auto" w:sz="4" w:space="0"/>
                    <w:right w:val="single" w:color="auto" w:sz="4" w:space="0"/>
                  </w:tcBorders>
                  <w:vAlign w:val="center"/>
                </w:tcPr>
                <w:p w14:paraId="43B79DCD">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r>
                    <w:rPr>
                      <w:rFonts w:hint="eastAsia" w:ascii="宋体" w:hAnsi="宋体" w:eastAsia="宋体" w:cs="宋体"/>
                      <w:color w:val="auto"/>
                      <w:szCs w:val="21"/>
                      <w:lang w:bidi="ar"/>
                    </w:rPr>
                    <w:t>声</w:t>
                  </w:r>
                  <w:r>
                    <w:rPr>
                      <w:rFonts w:hint="default" w:ascii="Times New Roman" w:hAnsi="Times New Roman" w:eastAsia="宋体" w:cs="Times New Roman"/>
                      <w:color w:val="auto"/>
                      <w:szCs w:val="21"/>
                      <w:lang w:bidi="ar"/>
                    </w:rPr>
                    <w:t>251120011</w:t>
                  </w:r>
                </w:p>
              </w:tc>
              <w:tc>
                <w:tcPr>
                  <w:tcW w:w="1160" w:type="dxa"/>
                  <w:tcBorders>
                    <w:top w:val="single" w:color="auto" w:sz="4" w:space="0"/>
                    <w:left w:val="single" w:color="auto" w:sz="4" w:space="0"/>
                    <w:bottom w:val="single" w:color="auto" w:sz="4" w:space="0"/>
                    <w:right w:val="single" w:color="auto" w:sz="4" w:space="0"/>
                  </w:tcBorders>
                  <w:vAlign w:val="center"/>
                </w:tcPr>
                <w:p w14:paraId="762D98D6">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lang w:bidi="ar"/>
                    </w:rPr>
                    <w:t>57</w:t>
                  </w:r>
                </w:p>
              </w:tc>
            </w:tr>
            <w:tr w14:paraId="1AC4FB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740" w:type="dxa"/>
                  <w:vMerge w:val="continue"/>
                  <w:tcBorders>
                    <w:top w:val="nil"/>
                    <w:left w:val="single" w:color="auto" w:sz="4" w:space="0"/>
                    <w:bottom w:val="single" w:color="auto" w:sz="4" w:space="0"/>
                    <w:right w:val="single" w:color="auto" w:sz="4" w:space="0"/>
                  </w:tcBorders>
                  <w:vAlign w:val="center"/>
                </w:tcPr>
                <w:p w14:paraId="04E9E860">
                  <w:pPr>
                    <w:keepNext w:val="0"/>
                    <w:keepLines w:val="0"/>
                    <w:suppressLineNumbers w:val="0"/>
                    <w:spacing w:before="0" w:beforeAutospacing="0" w:after="0" w:afterAutospacing="0"/>
                    <w:ind w:left="0" w:right="0"/>
                    <w:rPr>
                      <w:rFonts w:hint="default" w:ascii="Times New Roman" w:hAnsi="Times New Roman" w:cs="Times New Roman"/>
                      <w:color w:val="auto"/>
                      <w:sz w:val="20"/>
                      <w:szCs w:val="20"/>
                    </w:rPr>
                  </w:pPr>
                </w:p>
              </w:tc>
              <w:tc>
                <w:tcPr>
                  <w:tcW w:w="1317" w:type="dxa"/>
                  <w:tcBorders>
                    <w:top w:val="single" w:color="auto" w:sz="4" w:space="0"/>
                    <w:left w:val="single" w:color="auto" w:sz="4" w:space="0"/>
                    <w:bottom w:val="single" w:color="auto" w:sz="4" w:space="0"/>
                    <w:right w:val="single" w:color="auto" w:sz="4" w:space="0"/>
                  </w:tcBorders>
                  <w:vAlign w:val="center"/>
                </w:tcPr>
                <w:p w14:paraId="1C844D58">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lang w:bidi="ar"/>
                    </w:rPr>
                    <w:t>12:20-12:22</w:t>
                  </w:r>
                </w:p>
              </w:tc>
              <w:tc>
                <w:tcPr>
                  <w:tcW w:w="1183" w:type="dxa"/>
                  <w:vMerge w:val="continue"/>
                  <w:tcBorders>
                    <w:top w:val="nil"/>
                    <w:left w:val="single" w:color="auto" w:sz="4" w:space="0"/>
                    <w:bottom w:val="single" w:color="auto" w:sz="4" w:space="0"/>
                    <w:right w:val="single" w:color="auto" w:sz="4" w:space="0"/>
                  </w:tcBorders>
                  <w:vAlign w:val="center"/>
                </w:tcPr>
                <w:p w14:paraId="1A97F1BA">
                  <w:pPr>
                    <w:keepNext w:val="0"/>
                    <w:keepLines w:val="0"/>
                    <w:suppressLineNumbers w:val="0"/>
                    <w:spacing w:before="0" w:beforeAutospacing="0" w:after="0" w:afterAutospacing="0"/>
                    <w:ind w:left="0" w:right="0"/>
                    <w:rPr>
                      <w:rFonts w:hint="default" w:ascii="Times New Roman" w:hAnsi="Times New Roman" w:cs="Times New Roman"/>
                      <w:color w:val="auto"/>
                      <w:sz w:val="20"/>
                      <w:szCs w:val="20"/>
                    </w:rPr>
                  </w:pPr>
                </w:p>
              </w:tc>
              <w:tc>
                <w:tcPr>
                  <w:tcW w:w="1184" w:type="dxa"/>
                  <w:tcBorders>
                    <w:top w:val="single" w:color="auto" w:sz="4" w:space="0"/>
                    <w:left w:val="single" w:color="auto" w:sz="4" w:space="0"/>
                    <w:bottom w:val="single" w:color="auto" w:sz="4" w:space="0"/>
                    <w:right w:val="single" w:color="auto" w:sz="4" w:space="0"/>
                  </w:tcBorders>
                  <w:vAlign w:val="center"/>
                </w:tcPr>
                <w:p w14:paraId="52212E5B">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r>
                    <w:rPr>
                      <w:rFonts w:hint="eastAsia" w:ascii="宋体" w:hAnsi="宋体" w:eastAsia="宋体" w:cs="宋体"/>
                      <w:color w:val="auto"/>
                      <w:szCs w:val="21"/>
                      <w:lang w:bidi="ar"/>
                    </w:rPr>
                    <w:t>厂界北侧</w:t>
                  </w:r>
                </w:p>
              </w:tc>
              <w:tc>
                <w:tcPr>
                  <w:tcW w:w="1133" w:type="dxa"/>
                  <w:tcBorders>
                    <w:top w:val="single" w:color="auto" w:sz="4" w:space="0"/>
                    <w:left w:val="single" w:color="auto" w:sz="4" w:space="0"/>
                    <w:bottom w:val="single" w:color="auto" w:sz="4" w:space="0"/>
                    <w:right w:val="single" w:color="auto" w:sz="4" w:space="0"/>
                  </w:tcBorders>
                  <w:vAlign w:val="center"/>
                </w:tcPr>
                <w:p w14:paraId="5DFC4554">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r>
                    <w:rPr>
                      <w:rFonts w:hint="eastAsia" w:ascii="宋体" w:hAnsi="宋体" w:eastAsia="宋体" w:cs="宋体"/>
                      <w:color w:val="auto"/>
                      <w:szCs w:val="21"/>
                      <w:lang w:bidi="ar"/>
                    </w:rPr>
                    <w:t>工业噪声</w:t>
                  </w:r>
                </w:p>
              </w:tc>
              <w:tc>
                <w:tcPr>
                  <w:tcW w:w="1453" w:type="dxa"/>
                  <w:tcBorders>
                    <w:top w:val="single" w:color="auto" w:sz="4" w:space="0"/>
                    <w:left w:val="single" w:color="auto" w:sz="4" w:space="0"/>
                    <w:bottom w:val="single" w:color="auto" w:sz="4" w:space="0"/>
                    <w:right w:val="single" w:color="auto" w:sz="4" w:space="0"/>
                  </w:tcBorders>
                  <w:vAlign w:val="center"/>
                </w:tcPr>
                <w:p w14:paraId="31FC936A">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r>
                    <w:rPr>
                      <w:rFonts w:hint="eastAsia" w:ascii="宋体" w:hAnsi="宋体" w:eastAsia="宋体" w:cs="宋体"/>
                      <w:color w:val="auto"/>
                      <w:szCs w:val="21"/>
                      <w:lang w:bidi="ar"/>
                    </w:rPr>
                    <w:t>声</w:t>
                  </w:r>
                  <w:r>
                    <w:rPr>
                      <w:rFonts w:hint="default" w:ascii="Times New Roman" w:hAnsi="Times New Roman" w:eastAsia="宋体" w:cs="Times New Roman"/>
                      <w:color w:val="auto"/>
                      <w:szCs w:val="21"/>
                      <w:lang w:bidi="ar"/>
                    </w:rPr>
                    <w:t>251120012</w:t>
                  </w:r>
                </w:p>
              </w:tc>
              <w:tc>
                <w:tcPr>
                  <w:tcW w:w="1160" w:type="dxa"/>
                  <w:tcBorders>
                    <w:top w:val="single" w:color="auto" w:sz="4" w:space="0"/>
                    <w:left w:val="single" w:color="auto" w:sz="4" w:space="0"/>
                    <w:bottom w:val="single" w:color="auto" w:sz="4" w:space="0"/>
                    <w:right w:val="single" w:color="auto" w:sz="4" w:space="0"/>
                  </w:tcBorders>
                  <w:vAlign w:val="center"/>
                </w:tcPr>
                <w:p w14:paraId="41B01290">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lang w:bidi="ar"/>
                    </w:rPr>
                    <w:t>54</w:t>
                  </w:r>
                </w:p>
              </w:tc>
            </w:tr>
            <w:tr w14:paraId="4E5C84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740" w:type="dxa"/>
                  <w:vMerge w:val="continue"/>
                  <w:tcBorders>
                    <w:top w:val="nil"/>
                    <w:left w:val="single" w:color="auto" w:sz="4" w:space="0"/>
                    <w:bottom w:val="single" w:color="auto" w:sz="4" w:space="0"/>
                    <w:right w:val="single" w:color="auto" w:sz="4" w:space="0"/>
                  </w:tcBorders>
                  <w:vAlign w:val="center"/>
                </w:tcPr>
                <w:p w14:paraId="12035B3F">
                  <w:pPr>
                    <w:keepNext w:val="0"/>
                    <w:keepLines w:val="0"/>
                    <w:suppressLineNumbers w:val="0"/>
                    <w:spacing w:before="0" w:beforeAutospacing="0" w:after="0" w:afterAutospacing="0"/>
                    <w:ind w:left="0" w:right="0"/>
                    <w:rPr>
                      <w:rFonts w:hint="default" w:ascii="Times New Roman" w:hAnsi="Times New Roman" w:cs="Times New Roman"/>
                      <w:color w:val="auto"/>
                      <w:sz w:val="20"/>
                      <w:szCs w:val="20"/>
                    </w:rPr>
                  </w:pPr>
                </w:p>
              </w:tc>
              <w:tc>
                <w:tcPr>
                  <w:tcW w:w="1317" w:type="dxa"/>
                  <w:tcBorders>
                    <w:top w:val="single" w:color="auto" w:sz="4" w:space="0"/>
                    <w:left w:val="single" w:color="auto" w:sz="4" w:space="0"/>
                    <w:bottom w:val="single" w:color="auto" w:sz="4" w:space="0"/>
                    <w:right w:val="single" w:color="auto" w:sz="4" w:space="0"/>
                  </w:tcBorders>
                  <w:vAlign w:val="center"/>
                </w:tcPr>
                <w:p w14:paraId="25D046EC">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lang w:bidi="ar"/>
                    </w:rPr>
                    <w:t>22:00-22:02</w:t>
                  </w:r>
                </w:p>
              </w:tc>
              <w:tc>
                <w:tcPr>
                  <w:tcW w:w="1183" w:type="dxa"/>
                  <w:vMerge w:val="continue"/>
                  <w:tcBorders>
                    <w:top w:val="nil"/>
                    <w:left w:val="single" w:color="auto" w:sz="4" w:space="0"/>
                    <w:bottom w:val="single" w:color="auto" w:sz="4" w:space="0"/>
                    <w:right w:val="single" w:color="auto" w:sz="4" w:space="0"/>
                  </w:tcBorders>
                  <w:vAlign w:val="center"/>
                </w:tcPr>
                <w:p w14:paraId="423D86B4">
                  <w:pPr>
                    <w:keepNext w:val="0"/>
                    <w:keepLines w:val="0"/>
                    <w:suppressLineNumbers w:val="0"/>
                    <w:spacing w:before="0" w:beforeAutospacing="0" w:after="0" w:afterAutospacing="0"/>
                    <w:ind w:left="0" w:right="0"/>
                    <w:rPr>
                      <w:rFonts w:hint="default" w:ascii="Times New Roman" w:hAnsi="Times New Roman" w:cs="Times New Roman"/>
                      <w:color w:val="auto"/>
                      <w:sz w:val="20"/>
                      <w:szCs w:val="20"/>
                    </w:rPr>
                  </w:pPr>
                </w:p>
              </w:tc>
              <w:tc>
                <w:tcPr>
                  <w:tcW w:w="1184" w:type="dxa"/>
                  <w:tcBorders>
                    <w:top w:val="single" w:color="auto" w:sz="4" w:space="0"/>
                    <w:left w:val="single" w:color="auto" w:sz="4" w:space="0"/>
                    <w:bottom w:val="single" w:color="auto" w:sz="4" w:space="0"/>
                    <w:right w:val="single" w:color="auto" w:sz="4" w:space="0"/>
                  </w:tcBorders>
                  <w:vAlign w:val="center"/>
                </w:tcPr>
                <w:p w14:paraId="4D657F5B">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r>
                    <w:rPr>
                      <w:rFonts w:hint="eastAsia" w:ascii="宋体" w:hAnsi="宋体" w:eastAsia="宋体" w:cs="宋体"/>
                      <w:color w:val="auto"/>
                      <w:szCs w:val="21"/>
                      <w:lang w:bidi="ar"/>
                    </w:rPr>
                    <w:t>厂界东侧</w:t>
                  </w:r>
                </w:p>
              </w:tc>
              <w:tc>
                <w:tcPr>
                  <w:tcW w:w="1133" w:type="dxa"/>
                  <w:tcBorders>
                    <w:top w:val="single" w:color="auto" w:sz="4" w:space="0"/>
                    <w:left w:val="single" w:color="auto" w:sz="4" w:space="0"/>
                    <w:bottom w:val="single" w:color="auto" w:sz="4" w:space="0"/>
                    <w:right w:val="single" w:color="auto" w:sz="4" w:space="0"/>
                  </w:tcBorders>
                  <w:vAlign w:val="center"/>
                </w:tcPr>
                <w:p w14:paraId="49D3A957">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r>
                    <w:rPr>
                      <w:rFonts w:hint="eastAsia" w:ascii="宋体" w:hAnsi="宋体" w:eastAsia="宋体" w:cs="宋体"/>
                      <w:color w:val="auto"/>
                      <w:szCs w:val="21"/>
                      <w:lang w:bidi="ar"/>
                    </w:rPr>
                    <w:t>工业噪声</w:t>
                  </w:r>
                </w:p>
              </w:tc>
              <w:tc>
                <w:tcPr>
                  <w:tcW w:w="1453" w:type="dxa"/>
                  <w:tcBorders>
                    <w:top w:val="single" w:color="auto" w:sz="4" w:space="0"/>
                    <w:left w:val="single" w:color="auto" w:sz="4" w:space="0"/>
                    <w:bottom w:val="single" w:color="auto" w:sz="4" w:space="0"/>
                    <w:right w:val="single" w:color="auto" w:sz="4" w:space="0"/>
                  </w:tcBorders>
                  <w:vAlign w:val="center"/>
                </w:tcPr>
                <w:p w14:paraId="58143BEE">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r>
                    <w:rPr>
                      <w:rFonts w:hint="eastAsia" w:ascii="宋体" w:hAnsi="宋体" w:eastAsia="宋体" w:cs="宋体"/>
                      <w:color w:val="auto"/>
                      <w:szCs w:val="21"/>
                      <w:lang w:bidi="ar"/>
                    </w:rPr>
                    <w:t>声</w:t>
                  </w:r>
                  <w:r>
                    <w:rPr>
                      <w:rFonts w:hint="default" w:ascii="Times New Roman" w:hAnsi="Times New Roman" w:eastAsia="宋体" w:cs="Times New Roman"/>
                      <w:color w:val="auto"/>
                      <w:szCs w:val="21"/>
                      <w:lang w:bidi="ar"/>
                    </w:rPr>
                    <w:t>251120021</w:t>
                  </w:r>
                </w:p>
              </w:tc>
              <w:tc>
                <w:tcPr>
                  <w:tcW w:w="1160" w:type="dxa"/>
                  <w:tcBorders>
                    <w:top w:val="single" w:color="auto" w:sz="4" w:space="0"/>
                    <w:left w:val="single" w:color="auto" w:sz="4" w:space="0"/>
                    <w:bottom w:val="single" w:color="auto" w:sz="4" w:space="0"/>
                    <w:right w:val="single" w:color="auto" w:sz="4" w:space="0"/>
                  </w:tcBorders>
                  <w:vAlign w:val="center"/>
                </w:tcPr>
                <w:p w14:paraId="1B4C04B0">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lang w:bidi="ar"/>
                    </w:rPr>
                    <w:t>45</w:t>
                  </w:r>
                </w:p>
              </w:tc>
            </w:tr>
            <w:tr w14:paraId="1B3091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740" w:type="dxa"/>
                  <w:vMerge w:val="continue"/>
                  <w:tcBorders>
                    <w:top w:val="nil"/>
                    <w:left w:val="single" w:color="auto" w:sz="4" w:space="0"/>
                    <w:bottom w:val="single" w:color="auto" w:sz="4" w:space="0"/>
                    <w:right w:val="single" w:color="auto" w:sz="4" w:space="0"/>
                  </w:tcBorders>
                  <w:vAlign w:val="center"/>
                </w:tcPr>
                <w:p w14:paraId="4E5963F7">
                  <w:pPr>
                    <w:keepNext w:val="0"/>
                    <w:keepLines w:val="0"/>
                    <w:suppressLineNumbers w:val="0"/>
                    <w:spacing w:before="0" w:beforeAutospacing="0" w:after="0" w:afterAutospacing="0"/>
                    <w:ind w:left="0" w:right="0"/>
                    <w:rPr>
                      <w:rFonts w:hint="default" w:ascii="Times New Roman" w:hAnsi="Times New Roman" w:cs="Times New Roman"/>
                      <w:color w:val="auto"/>
                      <w:sz w:val="20"/>
                      <w:szCs w:val="20"/>
                    </w:rPr>
                  </w:pPr>
                </w:p>
              </w:tc>
              <w:tc>
                <w:tcPr>
                  <w:tcW w:w="1317" w:type="dxa"/>
                  <w:tcBorders>
                    <w:top w:val="single" w:color="auto" w:sz="4" w:space="0"/>
                    <w:left w:val="single" w:color="auto" w:sz="4" w:space="0"/>
                    <w:bottom w:val="single" w:color="auto" w:sz="4" w:space="0"/>
                    <w:right w:val="single" w:color="auto" w:sz="4" w:space="0"/>
                  </w:tcBorders>
                  <w:vAlign w:val="center"/>
                </w:tcPr>
                <w:p w14:paraId="565CD325">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lang w:bidi="ar"/>
                    </w:rPr>
                    <w:t>22:04-22:06</w:t>
                  </w:r>
                </w:p>
              </w:tc>
              <w:tc>
                <w:tcPr>
                  <w:tcW w:w="1183" w:type="dxa"/>
                  <w:vMerge w:val="continue"/>
                  <w:tcBorders>
                    <w:top w:val="nil"/>
                    <w:left w:val="single" w:color="auto" w:sz="4" w:space="0"/>
                    <w:bottom w:val="single" w:color="auto" w:sz="4" w:space="0"/>
                    <w:right w:val="single" w:color="auto" w:sz="4" w:space="0"/>
                  </w:tcBorders>
                  <w:vAlign w:val="center"/>
                </w:tcPr>
                <w:p w14:paraId="421D192B">
                  <w:pPr>
                    <w:keepNext w:val="0"/>
                    <w:keepLines w:val="0"/>
                    <w:suppressLineNumbers w:val="0"/>
                    <w:spacing w:before="0" w:beforeAutospacing="0" w:after="0" w:afterAutospacing="0"/>
                    <w:ind w:left="0" w:right="0"/>
                    <w:rPr>
                      <w:rFonts w:hint="default" w:ascii="Times New Roman" w:hAnsi="Times New Roman" w:cs="Times New Roman"/>
                      <w:color w:val="auto"/>
                      <w:sz w:val="20"/>
                      <w:szCs w:val="20"/>
                    </w:rPr>
                  </w:pPr>
                </w:p>
              </w:tc>
              <w:tc>
                <w:tcPr>
                  <w:tcW w:w="1184" w:type="dxa"/>
                  <w:tcBorders>
                    <w:top w:val="single" w:color="auto" w:sz="4" w:space="0"/>
                    <w:left w:val="single" w:color="auto" w:sz="4" w:space="0"/>
                    <w:bottom w:val="single" w:color="auto" w:sz="4" w:space="0"/>
                    <w:right w:val="single" w:color="auto" w:sz="4" w:space="0"/>
                  </w:tcBorders>
                  <w:vAlign w:val="center"/>
                </w:tcPr>
                <w:p w14:paraId="715B6195">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r>
                    <w:rPr>
                      <w:rFonts w:hint="eastAsia" w:ascii="宋体" w:hAnsi="宋体" w:eastAsia="宋体" w:cs="宋体"/>
                      <w:color w:val="auto"/>
                      <w:szCs w:val="21"/>
                      <w:lang w:bidi="ar"/>
                    </w:rPr>
                    <w:t>厂界南侧</w:t>
                  </w:r>
                </w:p>
              </w:tc>
              <w:tc>
                <w:tcPr>
                  <w:tcW w:w="1133" w:type="dxa"/>
                  <w:tcBorders>
                    <w:top w:val="single" w:color="auto" w:sz="4" w:space="0"/>
                    <w:left w:val="single" w:color="auto" w:sz="4" w:space="0"/>
                    <w:bottom w:val="single" w:color="auto" w:sz="4" w:space="0"/>
                    <w:right w:val="single" w:color="auto" w:sz="4" w:space="0"/>
                  </w:tcBorders>
                  <w:vAlign w:val="center"/>
                </w:tcPr>
                <w:p w14:paraId="59BB7E99">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r>
                    <w:rPr>
                      <w:rFonts w:hint="eastAsia" w:ascii="宋体" w:hAnsi="宋体" w:eastAsia="宋体" w:cs="宋体"/>
                      <w:color w:val="auto"/>
                      <w:szCs w:val="21"/>
                      <w:lang w:bidi="ar"/>
                    </w:rPr>
                    <w:t>工业噪声</w:t>
                  </w:r>
                </w:p>
              </w:tc>
              <w:tc>
                <w:tcPr>
                  <w:tcW w:w="1453" w:type="dxa"/>
                  <w:tcBorders>
                    <w:top w:val="single" w:color="auto" w:sz="4" w:space="0"/>
                    <w:left w:val="single" w:color="auto" w:sz="4" w:space="0"/>
                    <w:bottom w:val="single" w:color="auto" w:sz="4" w:space="0"/>
                    <w:right w:val="single" w:color="auto" w:sz="4" w:space="0"/>
                  </w:tcBorders>
                  <w:vAlign w:val="center"/>
                </w:tcPr>
                <w:p w14:paraId="08F49BF6">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r>
                    <w:rPr>
                      <w:rFonts w:hint="eastAsia" w:ascii="宋体" w:hAnsi="宋体" w:eastAsia="宋体" w:cs="宋体"/>
                      <w:color w:val="auto"/>
                      <w:szCs w:val="21"/>
                      <w:lang w:bidi="ar"/>
                    </w:rPr>
                    <w:t>声</w:t>
                  </w:r>
                  <w:r>
                    <w:rPr>
                      <w:rFonts w:hint="default" w:ascii="Times New Roman" w:hAnsi="Times New Roman" w:eastAsia="宋体" w:cs="Times New Roman"/>
                      <w:color w:val="auto"/>
                      <w:szCs w:val="21"/>
                      <w:lang w:bidi="ar"/>
                    </w:rPr>
                    <w:t>251120022</w:t>
                  </w:r>
                </w:p>
              </w:tc>
              <w:tc>
                <w:tcPr>
                  <w:tcW w:w="1160" w:type="dxa"/>
                  <w:tcBorders>
                    <w:top w:val="single" w:color="auto" w:sz="4" w:space="0"/>
                    <w:left w:val="single" w:color="auto" w:sz="4" w:space="0"/>
                    <w:bottom w:val="single" w:color="auto" w:sz="4" w:space="0"/>
                    <w:right w:val="single" w:color="auto" w:sz="4" w:space="0"/>
                  </w:tcBorders>
                  <w:vAlign w:val="center"/>
                </w:tcPr>
                <w:p w14:paraId="2B0FE0D2">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lang w:bidi="ar"/>
                    </w:rPr>
                    <w:t>47</w:t>
                  </w:r>
                </w:p>
              </w:tc>
            </w:tr>
            <w:tr w14:paraId="0C3B23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740" w:type="dxa"/>
                  <w:vMerge w:val="continue"/>
                  <w:tcBorders>
                    <w:top w:val="nil"/>
                    <w:left w:val="single" w:color="auto" w:sz="4" w:space="0"/>
                    <w:bottom w:val="single" w:color="auto" w:sz="4" w:space="0"/>
                    <w:right w:val="single" w:color="auto" w:sz="4" w:space="0"/>
                  </w:tcBorders>
                  <w:vAlign w:val="center"/>
                </w:tcPr>
                <w:p w14:paraId="3149260C">
                  <w:pPr>
                    <w:keepNext w:val="0"/>
                    <w:keepLines w:val="0"/>
                    <w:suppressLineNumbers w:val="0"/>
                    <w:spacing w:before="0" w:beforeAutospacing="0" w:after="0" w:afterAutospacing="0"/>
                    <w:ind w:left="0" w:right="0"/>
                    <w:rPr>
                      <w:rFonts w:hint="default" w:ascii="Times New Roman" w:hAnsi="Times New Roman" w:cs="Times New Roman"/>
                      <w:color w:val="auto"/>
                      <w:sz w:val="20"/>
                      <w:szCs w:val="20"/>
                    </w:rPr>
                  </w:pPr>
                </w:p>
              </w:tc>
              <w:tc>
                <w:tcPr>
                  <w:tcW w:w="1317" w:type="dxa"/>
                  <w:tcBorders>
                    <w:top w:val="single" w:color="auto" w:sz="4" w:space="0"/>
                    <w:left w:val="single" w:color="auto" w:sz="4" w:space="0"/>
                    <w:bottom w:val="single" w:color="auto" w:sz="4" w:space="0"/>
                    <w:right w:val="single" w:color="auto" w:sz="4" w:space="0"/>
                  </w:tcBorders>
                  <w:vAlign w:val="center"/>
                </w:tcPr>
                <w:p w14:paraId="5E456D74">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lang w:bidi="ar"/>
                    </w:rPr>
                    <w:t>22:08-22:10</w:t>
                  </w:r>
                </w:p>
              </w:tc>
              <w:tc>
                <w:tcPr>
                  <w:tcW w:w="1183" w:type="dxa"/>
                  <w:vMerge w:val="continue"/>
                  <w:tcBorders>
                    <w:top w:val="nil"/>
                    <w:left w:val="single" w:color="auto" w:sz="4" w:space="0"/>
                    <w:bottom w:val="single" w:color="auto" w:sz="4" w:space="0"/>
                    <w:right w:val="single" w:color="auto" w:sz="4" w:space="0"/>
                  </w:tcBorders>
                  <w:vAlign w:val="center"/>
                </w:tcPr>
                <w:p w14:paraId="2884E5D7">
                  <w:pPr>
                    <w:keepNext w:val="0"/>
                    <w:keepLines w:val="0"/>
                    <w:suppressLineNumbers w:val="0"/>
                    <w:spacing w:before="0" w:beforeAutospacing="0" w:after="0" w:afterAutospacing="0"/>
                    <w:ind w:left="0" w:right="0"/>
                    <w:rPr>
                      <w:rFonts w:hint="default" w:ascii="Times New Roman" w:hAnsi="Times New Roman" w:cs="Times New Roman"/>
                      <w:color w:val="auto"/>
                      <w:sz w:val="20"/>
                      <w:szCs w:val="20"/>
                    </w:rPr>
                  </w:pPr>
                </w:p>
              </w:tc>
              <w:tc>
                <w:tcPr>
                  <w:tcW w:w="1184" w:type="dxa"/>
                  <w:tcBorders>
                    <w:top w:val="single" w:color="auto" w:sz="4" w:space="0"/>
                    <w:left w:val="single" w:color="auto" w:sz="4" w:space="0"/>
                    <w:bottom w:val="single" w:color="auto" w:sz="4" w:space="0"/>
                    <w:right w:val="single" w:color="auto" w:sz="4" w:space="0"/>
                  </w:tcBorders>
                  <w:vAlign w:val="center"/>
                </w:tcPr>
                <w:p w14:paraId="0D7235C3">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r>
                    <w:rPr>
                      <w:rFonts w:hint="eastAsia" w:ascii="宋体" w:hAnsi="宋体" w:eastAsia="宋体" w:cs="宋体"/>
                      <w:color w:val="auto"/>
                      <w:szCs w:val="21"/>
                      <w:lang w:bidi="ar"/>
                    </w:rPr>
                    <w:t>厂界西侧</w:t>
                  </w:r>
                </w:p>
              </w:tc>
              <w:tc>
                <w:tcPr>
                  <w:tcW w:w="1133" w:type="dxa"/>
                  <w:tcBorders>
                    <w:top w:val="single" w:color="auto" w:sz="4" w:space="0"/>
                    <w:left w:val="single" w:color="auto" w:sz="4" w:space="0"/>
                    <w:bottom w:val="single" w:color="auto" w:sz="4" w:space="0"/>
                    <w:right w:val="single" w:color="auto" w:sz="4" w:space="0"/>
                  </w:tcBorders>
                  <w:vAlign w:val="center"/>
                </w:tcPr>
                <w:p w14:paraId="71852658">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r>
                    <w:rPr>
                      <w:rFonts w:hint="eastAsia" w:ascii="宋体" w:hAnsi="宋体" w:eastAsia="宋体" w:cs="宋体"/>
                      <w:color w:val="auto"/>
                      <w:szCs w:val="21"/>
                      <w:lang w:bidi="ar"/>
                    </w:rPr>
                    <w:t>交通噪声</w:t>
                  </w:r>
                </w:p>
              </w:tc>
              <w:tc>
                <w:tcPr>
                  <w:tcW w:w="1453" w:type="dxa"/>
                  <w:tcBorders>
                    <w:top w:val="single" w:color="auto" w:sz="4" w:space="0"/>
                    <w:left w:val="single" w:color="auto" w:sz="4" w:space="0"/>
                    <w:bottom w:val="single" w:color="auto" w:sz="4" w:space="0"/>
                    <w:right w:val="single" w:color="auto" w:sz="4" w:space="0"/>
                  </w:tcBorders>
                  <w:vAlign w:val="center"/>
                </w:tcPr>
                <w:p w14:paraId="1C1CFA21">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r>
                    <w:rPr>
                      <w:rFonts w:hint="eastAsia" w:ascii="宋体" w:hAnsi="宋体" w:eastAsia="宋体" w:cs="宋体"/>
                      <w:color w:val="auto"/>
                      <w:szCs w:val="21"/>
                      <w:lang w:bidi="ar"/>
                    </w:rPr>
                    <w:t>声</w:t>
                  </w:r>
                  <w:r>
                    <w:rPr>
                      <w:rFonts w:hint="default" w:ascii="Times New Roman" w:hAnsi="Times New Roman" w:eastAsia="宋体" w:cs="Times New Roman"/>
                      <w:color w:val="auto"/>
                      <w:szCs w:val="21"/>
                      <w:lang w:bidi="ar"/>
                    </w:rPr>
                    <w:t>251120023</w:t>
                  </w:r>
                </w:p>
              </w:tc>
              <w:tc>
                <w:tcPr>
                  <w:tcW w:w="1160" w:type="dxa"/>
                  <w:tcBorders>
                    <w:top w:val="single" w:color="auto" w:sz="4" w:space="0"/>
                    <w:left w:val="single" w:color="auto" w:sz="4" w:space="0"/>
                    <w:bottom w:val="single" w:color="auto" w:sz="4" w:space="0"/>
                    <w:right w:val="single" w:color="auto" w:sz="4" w:space="0"/>
                  </w:tcBorders>
                  <w:vAlign w:val="center"/>
                </w:tcPr>
                <w:p w14:paraId="1EB476B8">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lang w:bidi="ar"/>
                    </w:rPr>
                    <w:t>47</w:t>
                  </w:r>
                </w:p>
              </w:tc>
            </w:tr>
            <w:tr w14:paraId="26F255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740" w:type="dxa"/>
                  <w:vMerge w:val="continue"/>
                  <w:tcBorders>
                    <w:top w:val="nil"/>
                    <w:left w:val="single" w:color="auto" w:sz="4" w:space="0"/>
                    <w:bottom w:val="single" w:color="auto" w:sz="4" w:space="0"/>
                    <w:right w:val="single" w:color="auto" w:sz="4" w:space="0"/>
                  </w:tcBorders>
                  <w:vAlign w:val="center"/>
                </w:tcPr>
                <w:p w14:paraId="53C21166">
                  <w:pPr>
                    <w:keepNext w:val="0"/>
                    <w:keepLines w:val="0"/>
                    <w:suppressLineNumbers w:val="0"/>
                    <w:spacing w:before="0" w:beforeAutospacing="0" w:after="0" w:afterAutospacing="0"/>
                    <w:ind w:left="0" w:right="0"/>
                    <w:rPr>
                      <w:rFonts w:hint="default" w:ascii="Times New Roman" w:hAnsi="Times New Roman" w:cs="Times New Roman"/>
                      <w:color w:val="auto"/>
                      <w:sz w:val="20"/>
                      <w:szCs w:val="20"/>
                    </w:rPr>
                  </w:pPr>
                </w:p>
              </w:tc>
              <w:tc>
                <w:tcPr>
                  <w:tcW w:w="1317" w:type="dxa"/>
                  <w:tcBorders>
                    <w:top w:val="single" w:color="auto" w:sz="4" w:space="0"/>
                    <w:left w:val="single" w:color="auto" w:sz="4" w:space="0"/>
                    <w:bottom w:val="single" w:color="auto" w:sz="4" w:space="0"/>
                    <w:right w:val="single" w:color="auto" w:sz="4" w:space="0"/>
                  </w:tcBorders>
                  <w:vAlign w:val="center"/>
                </w:tcPr>
                <w:p w14:paraId="572266E5">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lang w:bidi="ar"/>
                    </w:rPr>
                    <w:t>22:12-22:14</w:t>
                  </w:r>
                </w:p>
              </w:tc>
              <w:tc>
                <w:tcPr>
                  <w:tcW w:w="1183" w:type="dxa"/>
                  <w:vMerge w:val="continue"/>
                  <w:tcBorders>
                    <w:top w:val="nil"/>
                    <w:left w:val="single" w:color="auto" w:sz="4" w:space="0"/>
                    <w:bottom w:val="single" w:color="auto" w:sz="4" w:space="0"/>
                    <w:right w:val="single" w:color="auto" w:sz="4" w:space="0"/>
                  </w:tcBorders>
                  <w:vAlign w:val="center"/>
                </w:tcPr>
                <w:p w14:paraId="5DD24E29">
                  <w:pPr>
                    <w:keepNext w:val="0"/>
                    <w:keepLines w:val="0"/>
                    <w:suppressLineNumbers w:val="0"/>
                    <w:spacing w:before="0" w:beforeAutospacing="0" w:after="0" w:afterAutospacing="0"/>
                    <w:ind w:left="0" w:right="0"/>
                    <w:rPr>
                      <w:rFonts w:hint="default" w:ascii="Times New Roman" w:hAnsi="Times New Roman" w:cs="Times New Roman"/>
                      <w:color w:val="auto"/>
                      <w:sz w:val="20"/>
                      <w:szCs w:val="20"/>
                    </w:rPr>
                  </w:pPr>
                </w:p>
              </w:tc>
              <w:tc>
                <w:tcPr>
                  <w:tcW w:w="1184" w:type="dxa"/>
                  <w:tcBorders>
                    <w:top w:val="single" w:color="auto" w:sz="4" w:space="0"/>
                    <w:left w:val="single" w:color="auto" w:sz="4" w:space="0"/>
                    <w:bottom w:val="single" w:color="auto" w:sz="4" w:space="0"/>
                    <w:right w:val="single" w:color="auto" w:sz="4" w:space="0"/>
                  </w:tcBorders>
                  <w:vAlign w:val="center"/>
                </w:tcPr>
                <w:p w14:paraId="680D551B">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r>
                    <w:rPr>
                      <w:rFonts w:hint="eastAsia" w:ascii="宋体" w:hAnsi="宋体" w:eastAsia="宋体" w:cs="宋体"/>
                      <w:color w:val="auto"/>
                      <w:szCs w:val="21"/>
                      <w:lang w:bidi="ar"/>
                    </w:rPr>
                    <w:t>厂界北侧</w:t>
                  </w:r>
                </w:p>
              </w:tc>
              <w:tc>
                <w:tcPr>
                  <w:tcW w:w="1133" w:type="dxa"/>
                  <w:tcBorders>
                    <w:top w:val="single" w:color="auto" w:sz="4" w:space="0"/>
                    <w:left w:val="single" w:color="auto" w:sz="4" w:space="0"/>
                    <w:bottom w:val="single" w:color="auto" w:sz="4" w:space="0"/>
                    <w:right w:val="single" w:color="auto" w:sz="4" w:space="0"/>
                  </w:tcBorders>
                  <w:vAlign w:val="center"/>
                </w:tcPr>
                <w:p w14:paraId="6286E152">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r>
                    <w:rPr>
                      <w:rFonts w:hint="eastAsia" w:ascii="宋体" w:hAnsi="宋体" w:eastAsia="宋体" w:cs="宋体"/>
                      <w:color w:val="auto"/>
                      <w:szCs w:val="21"/>
                      <w:lang w:bidi="ar"/>
                    </w:rPr>
                    <w:t>工业噪声</w:t>
                  </w:r>
                </w:p>
              </w:tc>
              <w:tc>
                <w:tcPr>
                  <w:tcW w:w="1453" w:type="dxa"/>
                  <w:tcBorders>
                    <w:top w:val="single" w:color="auto" w:sz="4" w:space="0"/>
                    <w:left w:val="single" w:color="auto" w:sz="4" w:space="0"/>
                    <w:bottom w:val="single" w:color="auto" w:sz="4" w:space="0"/>
                    <w:right w:val="single" w:color="auto" w:sz="4" w:space="0"/>
                  </w:tcBorders>
                  <w:vAlign w:val="center"/>
                </w:tcPr>
                <w:p w14:paraId="6B7EF1EF">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r>
                    <w:rPr>
                      <w:rFonts w:hint="eastAsia" w:ascii="宋体" w:hAnsi="宋体" w:eastAsia="宋体" w:cs="宋体"/>
                      <w:color w:val="auto"/>
                      <w:szCs w:val="21"/>
                      <w:lang w:bidi="ar"/>
                    </w:rPr>
                    <w:t>声</w:t>
                  </w:r>
                  <w:r>
                    <w:rPr>
                      <w:rFonts w:hint="default" w:ascii="Times New Roman" w:hAnsi="Times New Roman" w:eastAsia="宋体" w:cs="Times New Roman"/>
                      <w:color w:val="auto"/>
                      <w:szCs w:val="21"/>
                      <w:lang w:bidi="ar"/>
                    </w:rPr>
                    <w:t>251120024</w:t>
                  </w:r>
                </w:p>
              </w:tc>
              <w:tc>
                <w:tcPr>
                  <w:tcW w:w="1160" w:type="dxa"/>
                  <w:tcBorders>
                    <w:top w:val="single" w:color="auto" w:sz="4" w:space="0"/>
                    <w:left w:val="single" w:color="auto" w:sz="4" w:space="0"/>
                    <w:bottom w:val="single" w:color="auto" w:sz="4" w:space="0"/>
                    <w:right w:val="single" w:color="auto" w:sz="4" w:space="0"/>
                  </w:tcBorders>
                  <w:vAlign w:val="center"/>
                </w:tcPr>
                <w:p w14:paraId="0014544A">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lang w:bidi="ar"/>
                    </w:rPr>
                    <w:t>44</w:t>
                  </w:r>
                </w:p>
              </w:tc>
            </w:tr>
          </w:tbl>
          <w:p w14:paraId="39B7A575">
            <w:pPr>
              <w:keepNext w:val="0"/>
              <w:keepLines w:val="0"/>
              <w:suppressLineNumbers w:val="0"/>
              <w:spacing w:before="0" w:beforeAutospacing="0" w:after="0" w:afterAutospacing="0" w:line="360" w:lineRule="auto"/>
              <w:ind w:left="0" w:right="0" w:firstLine="480" w:firstLineChars="200"/>
              <w:rPr>
                <w:rFonts w:hint="default" w:ascii="Times New Roman" w:hAnsi="Times New Roman" w:eastAsia="宋体" w:cs="Times New Roman"/>
                <w:color w:val="auto"/>
                <w:sz w:val="24"/>
              </w:rPr>
            </w:pPr>
            <w:r>
              <w:rPr>
                <w:rFonts w:hint="eastAsia" w:ascii="Times New Roman" w:hAnsi="Times New Roman" w:eastAsia="宋体" w:cs="Times New Roman"/>
                <w:color w:val="auto"/>
                <w:sz w:val="24"/>
              </w:rPr>
              <w:t>由上表得知，企业</w:t>
            </w:r>
            <w:r>
              <w:rPr>
                <w:rFonts w:hint="default" w:ascii="Times New Roman" w:hAnsi="Times New Roman" w:eastAsia="宋体" w:cs="Times New Roman"/>
                <w:color w:val="auto"/>
                <w:sz w:val="24"/>
              </w:rPr>
              <w:t>厂界昼夜间噪声排放满足《工业企业厂界环境噪声排放标准》（GB12348-2008）中的3类标准。</w:t>
            </w:r>
          </w:p>
          <w:p w14:paraId="555346E7">
            <w:pPr>
              <w:keepNext w:val="0"/>
              <w:keepLines w:val="0"/>
              <w:suppressLineNumbers w:val="0"/>
              <w:spacing w:before="0" w:beforeAutospacing="0" w:after="0" w:afterAutospacing="0" w:line="360" w:lineRule="auto"/>
              <w:ind w:left="0" w:right="0" w:firstLine="480" w:firstLineChars="200"/>
              <w:rPr>
                <w:rFonts w:hint="default" w:ascii="Times New Roman" w:hAnsi="Times New Roman" w:eastAsia="宋体" w:cs="Times New Roman"/>
                <w:color w:val="auto"/>
                <w:sz w:val="24"/>
              </w:rPr>
            </w:pPr>
            <w:r>
              <w:rPr>
                <w:rFonts w:hint="eastAsia" w:ascii="Times New Roman" w:hAnsi="Times New Roman" w:eastAsia="宋体" w:cs="Times New Roman"/>
                <w:color w:val="auto"/>
                <w:sz w:val="24"/>
              </w:rPr>
              <w:t>（4）固废</w:t>
            </w:r>
          </w:p>
          <w:p w14:paraId="76D3FE1B">
            <w:pPr>
              <w:keepNext w:val="0"/>
              <w:keepLines w:val="0"/>
              <w:suppressLineNumbers w:val="0"/>
              <w:spacing w:before="0" w:beforeAutospacing="0" w:after="0" w:afterAutospacing="0"/>
              <w:ind w:left="0" w:right="0"/>
              <w:jc w:val="center"/>
              <w:rPr>
                <w:rFonts w:hint="default" w:ascii="Times New Roman" w:hAnsi="Times New Roman" w:eastAsia="宋体" w:cs="Times New Roman"/>
                <w:b/>
                <w:bCs/>
                <w:color w:val="auto"/>
              </w:rPr>
            </w:pPr>
            <w:r>
              <w:rPr>
                <w:rFonts w:hint="eastAsia" w:ascii="Times New Roman" w:hAnsi="Times New Roman" w:eastAsia="宋体" w:cs="Times New Roman"/>
                <w:b/>
                <w:bCs/>
                <w:color w:val="auto"/>
              </w:rPr>
              <w:t>表2-2</w:t>
            </w:r>
            <w:r>
              <w:rPr>
                <w:rFonts w:hint="eastAsia" w:ascii="Times New Roman" w:hAnsi="Times New Roman" w:eastAsia="宋体" w:cs="Times New Roman"/>
                <w:b/>
                <w:bCs/>
                <w:color w:val="auto"/>
                <w:lang w:val="en-US" w:eastAsia="zh-CN"/>
              </w:rPr>
              <w:t>6</w:t>
            </w:r>
            <w:r>
              <w:rPr>
                <w:rFonts w:hint="eastAsia" w:ascii="Times New Roman" w:hAnsi="Times New Roman" w:eastAsia="宋体" w:cs="Times New Roman"/>
                <w:b/>
                <w:bCs/>
                <w:color w:val="auto"/>
              </w:rPr>
              <w:t xml:space="preserve">  现有项目固废产生和去向情况</w:t>
            </w:r>
          </w:p>
          <w:tbl>
            <w:tblPr>
              <w:tblStyle w:val="22"/>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23"/>
              <w:gridCol w:w="1068"/>
              <w:gridCol w:w="1510"/>
              <w:gridCol w:w="1391"/>
              <w:gridCol w:w="931"/>
              <w:gridCol w:w="1282"/>
              <w:gridCol w:w="1370"/>
            </w:tblGrid>
            <w:tr w14:paraId="3AA06F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381" w:type="pct"/>
                  <w:vAlign w:val="center"/>
                </w:tcPr>
                <w:p w14:paraId="3DC84B1E">
                  <w:pPr>
                    <w:keepNext w:val="0"/>
                    <w:keepLines w:val="0"/>
                    <w:suppressLineNumbers w:val="0"/>
                    <w:spacing w:before="0" w:beforeAutospacing="0" w:after="0" w:afterAutospacing="0"/>
                    <w:ind w:left="0" w:right="0"/>
                    <w:jc w:val="center"/>
                    <w:rPr>
                      <w:rFonts w:hint="default" w:ascii="Times New Roman" w:hAnsi="Times New Roman" w:eastAsia="宋体" w:cs="Times New Roman"/>
                      <w:b/>
                      <w:bCs/>
                      <w:color w:val="auto"/>
                      <w:szCs w:val="21"/>
                    </w:rPr>
                  </w:pPr>
                  <w:r>
                    <w:rPr>
                      <w:rFonts w:hint="default" w:ascii="Times New Roman" w:hAnsi="Times New Roman" w:eastAsia="宋体" w:cs="Times New Roman"/>
                      <w:b/>
                      <w:bCs/>
                      <w:color w:val="auto"/>
                      <w:szCs w:val="21"/>
                    </w:rPr>
                    <w:t>序号</w:t>
                  </w:r>
                </w:p>
              </w:tc>
              <w:tc>
                <w:tcPr>
                  <w:tcW w:w="653" w:type="pct"/>
                  <w:vAlign w:val="center"/>
                </w:tcPr>
                <w:p w14:paraId="47F69ABC">
                  <w:pPr>
                    <w:keepNext w:val="0"/>
                    <w:keepLines w:val="0"/>
                    <w:suppressLineNumbers w:val="0"/>
                    <w:spacing w:before="0" w:beforeAutospacing="0" w:after="0" w:afterAutospacing="0"/>
                    <w:ind w:left="0" w:right="0"/>
                    <w:jc w:val="center"/>
                    <w:rPr>
                      <w:rFonts w:hint="default" w:ascii="Times New Roman" w:hAnsi="Times New Roman" w:eastAsia="宋体" w:cs="Times New Roman"/>
                      <w:b/>
                      <w:bCs/>
                      <w:color w:val="auto"/>
                      <w:szCs w:val="21"/>
                    </w:rPr>
                  </w:pPr>
                  <w:r>
                    <w:rPr>
                      <w:rFonts w:hint="default" w:ascii="Times New Roman" w:hAnsi="Times New Roman" w:eastAsia="宋体" w:cs="Times New Roman"/>
                      <w:b/>
                      <w:bCs/>
                      <w:color w:val="auto"/>
                      <w:szCs w:val="21"/>
                    </w:rPr>
                    <w:t>固废名称</w:t>
                  </w:r>
                </w:p>
              </w:tc>
              <w:tc>
                <w:tcPr>
                  <w:tcW w:w="923" w:type="pct"/>
                  <w:vAlign w:val="center"/>
                </w:tcPr>
                <w:p w14:paraId="5A9AFA28">
                  <w:pPr>
                    <w:keepNext w:val="0"/>
                    <w:keepLines w:val="0"/>
                    <w:suppressLineNumbers w:val="0"/>
                    <w:spacing w:before="0" w:beforeAutospacing="0" w:after="0" w:afterAutospacing="0"/>
                    <w:ind w:left="0" w:right="0"/>
                    <w:jc w:val="center"/>
                    <w:rPr>
                      <w:rFonts w:hint="default" w:ascii="Times New Roman" w:hAnsi="Times New Roman" w:eastAsia="宋体" w:cs="Times New Roman"/>
                      <w:b/>
                      <w:bCs/>
                      <w:color w:val="auto"/>
                      <w:szCs w:val="21"/>
                    </w:rPr>
                  </w:pPr>
                  <w:r>
                    <w:rPr>
                      <w:rFonts w:hint="default" w:ascii="Times New Roman" w:hAnsi="Times New Roman" w:eastAsia="宋体" w:cs="Times New Roman"/>
                      <w:b/>
                      <w:bCs/>
                      <w:color w:val="auto"/>
                      <w:szCs w:val="21"/>
                    </w:rPr>
                    <w:t>产生工序</w:t>
                  </w:r>
                </w:p>
              </w:tc>
              <w:tc>
                <w:tcPr>
                  <w:tcW w:w="850" w:type="pct"/>
                  <w:vAlign w:val="center"/>
                </w:tcPr>
                <w:p w14:paraId="067BC4E6">
                  <w:pPr>
                    <w:keepNext w:val="0"/>
                    <w:keepLines w:val="0"/>
                    <w:suppressLineNumbers w:val="0"/>
                    <w:spacing w:before="0" w:beforeAutospacing="0" w:after="0" w:afterAutospacing="0"/>
                    <w:ind w:left="0" w:right="0"/>
                    <w:jc w:val="center"/>
                    <w:rPr>
                      <w:rFonts w:hint="default" w:ascii="Times New Roman" w:hAnsi="Times New Roman" w:eastAsia="宋体" w:cs="Times New Roman"/>
                      <w:b/>
                      <w:bCs/>
                      <w:color w:val="auto"/>
                      <w:szCs w:val="21"/>
                    </w:rPr>
                  </w:pPr>
                  <w:r>
                    <w:rPr>
                      <w:rFonts w:hint="default" w:ascii="Times New Roman" w:hAnsi="Times New Roman" w:eastAsia="宋体" w:cs="Times New Roman"/>
                      <w:b/>
                      <w:bCs/>
                      <w:color w:val="auto"/>
                      <w:szCs w:val="21"/>
                    </w:rPr>
                    <w:t>固废</w:t>
                  </w:r>
                  <w:r>
                    <w:rPr>
                      <w:rFonts w:hint="eastAsia" w:ascii="Times New Roman" w:hAnsi="Times New Roman" w:eastAsia="宋体" w:cs="Times New Roman"/>
                      <w:b/>
                      <w:bCs/>
                      <w:color w:val="auto"/>
                      <w:szCs w:val="21"/>
                    </w:rPr>
                    <w:t>代码</w:t>
                  </w:r>
                </w:p>
              </w:tc>
              <w:tc>
                <w:tcPr>
                  <w:tcW w:w="569" w:type="pct"/>
                  <w:vAlign w:val="center"/>
                </w:tcPr>
                <w:p w14:paraId="553D6267">
                  <w:pPr>
                    <w:keepNext w:val="0"/>
                    <w:keepLines w:val="0"/>
                    <w:suppressLineNumbers w:val="0"/>
                    <w:spacing w:before="0" w:beforeAutospacing="0" w:after="0" w:afterAutospacing="0"/>
                    <w:ind w:left="0" w:right="0"/>
                    <w:jc w:val="center"/>
                    <w:rPr>
                      <w:rFonts w:hint="default" w:ascii="Times New Roman" w:hAnsi="Times New Roman" w:eastAsia="宋体" w:cs="Times New Roman"/>
                      <w:b/>
                      <w:bCs/>
                      <w:color w:val="auto"/>
                      <w:szCs w:val="21"/>
                    </w:rPr>
                  </w:pPr>
                  <w:r>
                    <w:rPr>
                      <w:rFonts w:hint="default" w:ascii="Times New Roman" w:hAnsi="Times New Roman" w:eastAsia="宋体" w:cs="Times New Roman"/>
                      <w:b/>
                      <w:bCs/>
                      <w:color w:val="auto"/>
                      <w:szCs w:val="21"/>
                    </w:rPr>
                    <w:t>环评年产生量</w:t>
                  </w:r>
                </w:p>
              </w:tc>
              <w:tc>
                <w:tcPr>
                  <w:tcW w:w="784" w:type="pct"/>
                  <w:vAlign w:val="center"/>
                </w:tcPr>
                <w:p w14:paraId="2EF4E1C3">
                  <w:pPr>
                    <w:keepNext w:val="0"/>
                    <w:keepLines w:val="0"/>
                    <w:suppressLineNumbers w:val="0"/>
                    <w:spacing w:before="0" w:beforeAutospacing="0" w:after="0" w:afterAutospacing="0"/>
                    <w:ind w:left="0" w:right="0"/>
                    <w:jc w:val="center"/>
                    <w:rPr>
                      <w:rFonts w:hint="default" w:ascii="Times New Roman" w:hAnsi="Times New Roman" w:eastAsia="宋体" w:cs="Times New Roman"/>
                      <w:b/>
                      <w:bCs/>
                      <w:color w:val="auto"/>
                      <w:szCs w:val="21"/>
                    </w:rPr>
                  </w:pPr>
                  <w:r>
                    <w:rPr>
                      <w:rFonts w:hint="eastAsia" w:ascii="Times New Roman" w:hAnsi="Times New Roman" w:eastAsia="宋体" w:cs="Times New Roman"/>
                      <w:b/>
                      <w:bCs/>
                      <w:color w:val="auto"/>
                      <w:szCs w:val="21"/>
                    </w:rPr>
                    <w:t>阶段性验收满负荷产生量</w:t>
                  </w:r>
                </w:p>
              </w:tc>
              <w:tc>
                <w:tcPr>
                  <w:tcW w:w="837" w:type="pct"/>
                  <w:vAlign w:val="center"/>
                </w:tcPr>
                <w:p w14:paraId="0385AF3D">
                  <w:pPr>
                    <w:keepNext w:val="0"/>
                    <w:keepLines w:val="0"/>
                    <w:suppressLineNumbers w:val="0"/>
                    <w:spacing w:before="0" w:beforeAutospacing="0" w:after="0" w:afterAutospacing="0"/>
                    <w:ind w:left="0" w:right="0"/>
                    <w:jc w:val="center"/>
                    <w:rPr>
                      <w:rFonts w:hint="default" w:ascii="Times New Roman" w:hAnsi="Times New Roman" w:eastAsia="宋体" w:cs="Times New Roman"/>
                      <w:b/>
                      <w:bCs/>
                      <w:color w:val="auto"/>
                      <w:szCs w:val="21"/>
                    </w:rPr>
                  </w:pPr>
                  <w:r>
                    <w:rPr>
                      <w:rFonts w:hint="default" w:ascii="Times New Roman" w:hAnsi="Times New Roman" w:eastAsia="宋体" w:cs="Times New Roman"/>
                      <w:b/>
                      <w:bCs/>
                      <w:color w:val="auto"/>
                      <w:szCs w:val="21"/>
                    </w:rPr>
                    <w:t>去向</w:t>
                  </w:r>
                </w:p>
              </w:tc>
            </w:tr>
            <w:tr w14:paraId="361E17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381" w:type="pct"/>
                  <w:vAlign w:val="center"/>
                </w:tcPr>
                <w:p w14:paraId="37F0F7D6">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rPr>
                    <w:t>1</w:t>
                  </w:r>
                </w:p>
              </w:tc>
              <w:tc>
                <w:tcPr>
                  <w:tcW w:w="653" w:type="pct"/>
                  <w:vAlign w:val="center"/>
                </w:tcPr>
                <w:p w14:paraId="32609234">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rPr>
                    <w:t>生活垃圾</w:t>
                  </w:r>
                </w:p>
              </w:tc>
              <w:tc>
                <w:tcPr>
                  <w:tcW w:w="923" w:type="pct"/>
                  <w:vAlign w:val="center"/>
                </w:tcPr>
                <w:p w14:paraId="3DD596FA">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rPr>
                    <w:t>职工生活</w:t>
                  </w:r>
                </w:p>
              </w:tc>
              <w:tc>
                <w:tcPr>
                  <w:tcW w:w="850" w:type="pct"/>
                  <w:vAlign w:val="center"/>
                </w:tcPr>
                <w:p w14:paraId="1BEEAD5C">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0000FF"/>
                      <w:szCs w:val="21"/>
                    </w:rPr>
                  </w:pPr>
                  <w:r>
                    <w:rPr>
                      <w:rFonts w:hint="default" w:ascii="Times New Roman" w:hAnsi="Times New Roman" w:eastAsia="宋体" w:cs="Times New Roman"/>
                      <w:color w:val="0000FF"/>
                      <w:szCs w:val="21"/>
                      <w:lang w:val="en-US" w:eastAsia="zh-CN"/>
                    </w:rPr>
                    <w:t>900-099-S64</w:t>
                  </w:r>
                </w:p>
              </w:tc>
              <w:tc>
                <w:tcPr>
                  <w:tcW w:w="569" w:type="pct"/>
                  <w:vAlign w:val="center"/>
                </w:tcPr>
                <w:p w14:paraId="2E7D6CFA">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rPr>
                    <w:t>150t</w:t>
                  </w:r>
                </w:p>
              </w:tc>
              <w:tc>
                <w:tcPr>
                  <w:tcW w:w="784" w:type="pct"/>
                  <w:vAlign w:val="center"/>
                </w:tcPr>
                <w:p w14:paraId="1CCA8266">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rPr>
                    <w:t>150t</w:t>
                  </w:r>
                </w:p>
              </w:tc>
              <w:tc>
                <w:tcPr>
                  <w:tcW w:w="837" w:type="pct"/>
                  <w:vAlign w:val="center"/>
                </w:tcPr>
                <w:p w14:paraId="1FF932C9">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rPr>
                    <w:t>收集后由环卫部门统一清运</w:t>
                  </w:r>
                </w:p>
              </w:tc>
            </w:tr>
            <w:tr w14:paraId="0B5FD2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381" w:type="pct"/>
                  <w:vAlign w:val="center"/>
                </w:tcPr>
                <w:p w14:paraId="3B7A171F">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rPr>
                    <w:t>2</w:t>
                  </w:r>
                </w:p>
              </w:tc>
              <w:tc>
                <w:tcPr>
                  <w:tcW w:w="653" w:type="pct"/>
                  <w:vAlign w:val="center"/>
                </w:tcPr>
                <w:p w14:paraId="55D5E21E">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rPr>
                    <w:t>废包装</w:t>
                  </w:r>
                </w:p>
                <w:p w14:paraId="09507B48">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rPr>
                    <w:t>材料</w:t>
                  </w:r>
                </w:p>
              </w:tc>
              <w:tc>
                <w:tcPr>
                  <w:tcW w:w="923" w:type="pct"/>
                  <w:vAlign w:val="center"/>
                </w:tcPr>
                <w:p w14:paraId="6F963F96">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rPr>
                    <w:t>原辅料使用</w:t>
                  </w:r>
                </w:p>
              </w:tc>
              <w:tc>
                <w:tcPr>
                  <w:tcW w:w="850" w:type="pct"/>
                  <w:vAlign w:val="center"/>
                </w:tcPr>
                <w:p w14:paraId="4425D87B">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0000FF"/>
                      <w:szCs w:val="21"/>
                    </w:rPr>
                  </w:pPr>
                  <w:r>
                    <w:rPr>
                      <w:rFonts w:hint="default" w:ascii="Times New Roman" w:hAnsi="Times New Roman" w:eastAsia="宋体" w:cs="Times New Roman"/>
                      <w:color w:val="0000FF"/>
                      <w:szCs w:val="21"/>
                      <w:lang w:val="en-US" w:eastAsia="zh-CN"/>
                    </w:rPr>
                    <w:t>900-002-S62</w:t>
                  </w:r>
                </w:p>
              </w:tc>
              <w:tc>
                <w:tcPr>
                  <w:tcW w:w="569" w:type="pct"/>
                  <w:vAlign w:val="center"/>
                </w:tcPr>
                <w:p w14:paraId="7AEECE02">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rPr>
                    <w:t>9.4t</w:t>
                  </w:r>
                </w:p>
              </w:tc>
              <w:tc>
                <w:tcPr>
                  <w:tcW w:w="784" w:type="pct"/>
                  <w:vAlign w:val="center"/>
                </w:tcPr>
                <w:p w14:paraId="36620F13">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rPr>
                    <w:t>7t</w:t>
                  </w:r>
                </w:p>
              </w:tc>
              <w:tc>
                <w:tcPr>
                  <w:tcW w:w="837" w:type="pct"/>
                  <w:vMerge w:val="restart"/>
                  <w:vAlign w:val="center"/>
                </w:tcPr>
                <w:p w14:paraId="6AE9188D">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rPr>
                    <w:t>收集后由安吉美境再生资源回收有限公司/浙江安吉年丰再生资源回收有限公司/杭州临安航凡废旧物资回收有限公司/深圳市绿环再生资源开发有限公司处置</w:t>
                  </w:r>
                </w:p>
              </w:tc>
            </w:tr>
            <w:tr w14:paraId="00BEE9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381" w:type="pct"/>
                  <w:vAlign w:val="center"/>
                </w:tcPr>
                <w:p w14:paraId="7619A872">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rPr>
                    <w:t>3</w:t>
                  </w:r>
                </w:p>
              </w:tc>
              <w:tc>
                <w:tcPr>
                  <w:tcW w:w="653" w:type="pct"/>
                  <w:vAlign w:val="center"/>
                </w:tcPr>
                <w:p w14:paraId="5160045D">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rPr>
                    <w:t>废PET膜</w:t>
                  </w:r>
                </w:p>
              </w:tc>
              <w:tc>
                <w:tcPr>
                  <w:tcW w:w="923" w:type="pct"/>
                  <w:vAlign w:val="center"/>
                </w:tcPr>
                <w:p w14:paraId="6B9453CD">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rPr>
                    <w:t>烘烤固化收卷、二次固化收卷</w:t>
                  </w:r>
                </w:p>
              </w:tc>
              <w:tc>
                <w:tcPr>
                  <w:tcW w:w="850" w:type="pct"/>
                  <w:vAlign w:val="center"/>
                </w:tcPr>
                <w:p w14:paraId="20AD2E0A">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0000FF"/>
                      <w:szCs w:val="21"/>
                    </w:rPr>
                  </w:pPr>
                  <w:r>
                    <w:rPr>
                      <w:rFonts w:hint="default" w:ascii="Times New Roman" w:hAnsi="Times New Roman" w:eastAsia="宋体" w:cs="Times New Roman"/>
                      <w:color w:val="0000FF"/>
                      <w:szCs w:val="21"/>
                      <w:lang w:val="en-US" w:eastAsia="zh-CN"/>
                    </w:rPr>
                    <w:t>900-003-S17</w:t>
                  </w:r>
                </w:p>
              </w:tc>
              <w:tc>
                <w:tcPr>
                  <w:tcW w:w="569" w:type="pct"/>
                  <w:vAlign w:val="center"/>
                </w:tcPr>
                <w:p w14:paraId="5B59EB7C">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rPr>
                    <w:t>1064t</w:t>
                  </w:r>
                </w:p>
              </w:tc>
              <w:tc>
                <w:tcPr>
                  <w:tcW w:w="784" w:type="pct"/>
                  <w:vAlign w:val="center"/>
                </w:tcPr>
                <w:p w14:paraId="23ABD754">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rPr>
                    <w:t>832t</w:t>
                  </w:r>
                </w:p>
              </w:tc>
              <w:tc>
                <w:tcPr>
                  <w:tcW w:w="837" w:type="pct"/>
                  <w:vMerge w:val="continue"/>
                  <w:vAlign w:val="center"/>
                </w:tcPr>
                <w:p w14:paraId="12707ED8">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p>
              </w:tc>
            </w:tr>
            <w:tr w14:paraId="65906F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381" w:type="pct"/>
                  <w:vAlign w:val="center"/>
                </w:tcPr>
                <w:p w14:paraId="370A1295">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rPr>
                    <w:t>4</w:t>
                  </w:r>
                </w:p>
              </w:tc>
              <w:tc>
                <w:tcPr>
                  <w:tcW w:w="653" w:type="pct"/>
                  <w:vAlign w:val="center"/>
                </w:tcPr>
                <w:p w14:paraId="1877BA85">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rPr>
                    <w:t>边角料及次品</w:t>
                  </w:r>
                </w:p>
              </w:tc>
              <w:tc>
                <w:tcPr>
                  <w:tcW w:w="923" w:type="pct"/>
                  <w:vAlign w:val="center"/>
                </w:tcPr>
                <w:p w14:paraId="443B3DD5">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rPr>
                    <w:t>裁剪、检测</w:t>
                  </w:r>
                </w:p>
              </w:tc>
              <w:tc>
                <w:tcPr>
                  <w:tcW w:w="850" w:type="pct"/>
                  <w:vAlign w:val="center"/>
                </w:tcPr>
                <w:p w14:paraId="71DD839B">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0000FF"/>
                      <w:szCs w:val="21"/>
                    </w:rPr>
                  </w:pPr>
                  <w:r>
                    <w:rPr>
                      <w:rFonts w:hint="default" w:ascii="Times New Roman" w:hAnsi="Times New Roman" w:eastAsia="宋体" w:cs="Times New Roman"/>
                      <w:color w:val="0000FF"/>
                      <w:szCs w:val="21"/>
                      <w:lang w:val="en-US" w:eastAsia="zh-CN"/>
                    </w:rPr>
                    <w:t>900-099-S59</w:t>
                  </w:r>
                </w:p>
              </w:tc>
              <w:tc>
                <w:tcPr>
                  <w:tcW w:w="569" w:type="pct"/>
                  <w:vAlign w:val="center"/>
                </w:tcPr>
                <w:p w14:paraId="5A0ED1BC">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rPr>
                    <w:t>194.622t</w:t>
                  </w:r>
                </w:p>
              </w:tc>
              <w:tc>
                <w:tcPr>
                  <w:tcW w:w="784" w:type="pct"/>
                  <w:vAlign w:val="center"/>
                </w:tcPr>
                <w:p w14:paraId="05910007">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rPr>
                    <w:t>152t</w:t>
                  </w:r>
                </w:p>
              </w:tc>
              <w:tc>
                <w:tcPr>
                  <w:tcW w:w="837" w:type="pct"/>
                  <w:vMerge w:val="continue"/>
                  <w:vAlign w:val="center"/>
                </w:tcPr>
                <w:p w14:paraId="26BAC125">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p>
              </w:tc>
            </w:tr>
            <w:tr w14:paraId="608FC3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381" w:type="pct"/>
                  <w:vAlign w:val="center"/>
                </w:tcPr>
                <w:p w14:paraId="71143628">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rPr>
                    <w:t>5</w:t>
                  </w:r>
                </w:p>
              </w:tc>
              <w:tc>
                <w:tcPr>
                  <w:tcW w:w="653" w:type="pct"/>
                  <w:vAlign w:val="center"/>
                </w:tcPr>
                <w:p w14:paraId="2F6E96BE">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rPr>
                    <w:t>废PE膜</w:t>
                  </w:r>
                </w:p>
              </w:tc>
              <w:tc>
                <w:tcPr>
                  <w:tcW w:w="923" w:type="pct"/>
                  <w:vAlign w:val="center"/>
                </w:tcPr>
                <w:p w14:paraId="4099B464">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rPr>
                    <w:t>原辅料保存</w:t>
                  </w:r>
                </w:p>
              </w:tc>
              <w:tc>
                <w:tcPr>
                  <w:tcW w:w="850" w:type="pct"/>
                  <w:vAlign w:val="center"/>
                </w:tcPr>
                <w:p w14:paraId="132A84F2">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0000FF"/>
                      <w:szCs w:val="21"/>
                    </w:rPr>
                  </w:pPr>
                  <w:r>
                    <w:rPr>
                      <w:rFonts w:hint="default" w:ascii="Times New Roman" w:hAnsi="Times New Roman" w:eastAsia="宋体" w:cs="Times New Roman"/>
                      <w:color w:val="0000FF"/>
                      <w:szCs w:val="21"/>
                      <w:lang w:val="en-US" w:eastAsia="zh-CN"/>
                    </w:rPr>
                    <w:t>900-003-S17</w:t>
                  </w:r>
                </w:p>
              </w:tc>
              <w:tc>
                <w:tcPr>
                  <w:tcW w:w="569" w:type="pct"/>
                  <w:vAlign w:val="center"/>
                </w:tcPr>
                <w:p w14:paraId="613AEADD">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rPr>
                    <w:t>0.4t</w:t>
                  </w:r>
                </w:p>
              </w:tc>
              <w:tc>
                <w:tcPr>
                  <w:tcW w:w="784" w:type="pct"/>
                  <w:vAlign w:val="center"/>
                </w:tcPr>
                <w:p w14:paraId="2C510DE8">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rPr>
                    <w:t>0.3t</w:t>
                  </w:r>
                </w:p>
              </w:tc>
              <w:tc>
                <w:tcPr>
                  <w:tcW w:w="837" w:type="pct"/>
                  <w:vMerge w:val="continue"/>
                  <w:vAlign w:val="center"/>
                </w:tcPr>
                <w:p w14:paraId="3C8F4D28">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p>
              </w:tc>
            </w:tr>
            <w:tr w14:paraId="1CA948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381" w:type="pct"/>
                  <w:vAlign w:val="center"/>
                </w:tcPr>
                <w:p w14:paraId="063DD3C2">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rPr>
                    <w:t>6</w:t>
                  </w:r>
                </w:p>
              </w:tc>
              <w:tc>
                <w:tcPr>
                  <w:tcW w:w="653" w:type="pct"/>
                  <w:vAlign w:val="center"/>
                </w:tcPr>
                <w:p w14:paraId="0CF17C3E">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rPr>
                    <w:t>收集的</w:t>
                  </w:r>
                </w:p>
                <w:p w14:paraId="273803EF">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rPr>
                    <w:t>粉尘</w:t>
                  </w:r>
                </w:p>
              </w:tc>
              <w:tc>
                <w:tcPr>
                  <w:tcW w:w="923" w:type="pct"/>
                  <w:vAlign w:val="center"/>
                </w:tcPr>
                <w:p w14:paraId="2AFB9E26">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rPr>
                    <w:t>废气处理</w:t>
                  </w:r>
                </w:p>
              </w:tc>
              <w:tc>
                <w:tcPr>
                  <w:tcW w:w="850" w:type="pct"/>
                  <w:vAlign w:val="center"/>
                </w:tcPr>
                <w:p w14:paraId="14F00D2E">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0000FF"/>
                      <w:szCs w:val="21"/>
                    </w:rPr>
                  </w:pPr>
                  <w:r>
                    <w:rPr>
                      <w:rFonts w:hint="default" w:ascii="Times New Roman" w:hAnsi="Times New Roman" w:eastAsia="宋体" w:cs="Times New Roman"/>
                      <w:color w:val="0000FF"/>
                      <w:szCs w:val="21"/>
                      <w:lang w:val="en-US" w:eastAsia="zh-CN"/>
                    </w:rPr>
                    <w:t>900-099-S59</w:t>
                  </w:r>
                </w:p>
              </w:tc>
              <w:tc>
                <w:tcPr>
                  <w:tcW w:w="569" w:type="pct"/>
                  <w:vAlign w:val="center"/>
                </w:tcPr>
                <w:p w14:paraId="583653CF">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rPr>
                    <w:t>50.252t</w:t>
                  </w:r>
                </w:p>
              </w:tc>
              <w:tc>
                <w:tcPr>
                  <w:tcW w:w="784" w:type="pct"/>
                  <w:vAlign w:val="center"/>
                </w:tcPr>
                <w:p w14:paraId="373A0B95">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rPr>
                    <w:t>39t</w:t>
                  </w:r>
                </w:p>
              </w:tc>
              <w:tc>
                <w:tcPr>
                  <w:tcW w:w="837" w:type="pct"/>
                  <w:vAlign w:val="center"/>
                </w:tcPr>
                <w:p w14:paraId="48DB35BC">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rPr>
                    <w:t>收集后回用于生产</w:t>
                  </w:r>
                </w:p>
              </w:tc>
            </w:tr>
            <w:tr w14:paraId="2FEFD2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381" w:type="pct"/>
                  <w:vAlign w:val="center"/>
                </w:tcPr>
                <w:p w14:paraId="255458CD">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rPr>
                    <w:t>7</w:t>
                  </w:r>
                </w:p>
              </w:tc>
              <w:tc>
                <w:tcPr>
                  <w:tcW w:w="653" w:type="pct"/>
                  <w:vAlign w:val="center"/>
                </w:tcPr>
                <w:p w14:paraId="2FDF842B">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rPr>
                    <w:t>内衬袋</w:t>
                  </w:r>
                </w:p>
              </w:tc>
              <w:tc>
                <w:tcPr>
                  <w:tcW w:w="923" w:type="pct"/>
                  <w:vAlign w:val="center"/>
                </w:tcPr>
                <w:p w14:paraId="2CDE3B57">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rPr>
                    <w:t>原辅料使用、周转</w:t>
                  </w:r>
                </w:p>
              </w:tc>
              <w:tc>
                <w:tcPr>
                  <w:tcW w:w="850" w:type="pct"/>
                  <w:vAlign w:val="center"/>
                </w:tcPr>
                <w:p w14:paraId="64974AA6">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rPr>
                    <w:t>HW49</w:t>
                  </w:r>
                </w:p>
                <w:p w14:paraId="1B17BE8A">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rPr>
                    <w:t>900-041-49</w:t>
                  </w:r>
                </w:p>
              </w:tc>
              <w:tc>
                <w:tcPr>
                  <w:tcW w:w="569" w:type="pct"/>
                  <w:vAlign w:val="center"/>
                </w:tcPr>
                <w:p w14:paraId="78F56DC0">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rPr>
                    <w:t>0.9t</w:t>
                  </w:r>
                </w:p>
              </w:tc>
              <w:tc>
                <w:tcPr>
                  <w:tcW w:w="784" w:type="pct"/>
                  <w:vAlign w:val="center"/>
                </w:tcPr>
                <w:p w14:paraId="7A8052BC">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rPr>
                    <w:t>0.7t</w:t>
                  </w:r>
                </w:p>
              </w:tc>
              <w:tc>
                <w:tcPr>
                  <w:tcW w:w="837" w:type="pct"/>
                  <w:vMerge w:val="restart"/>
                  <w:vAlign w:val="center"/>
                </w:tcPr>
                <w:p w14:paraId="27F2FD65">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rPr>
                    <w:t>集中收集后委托浙江悦胜环境科技有限公司安全处置</w:t>
                  </w:r>
                </w:p>
              </w:tc>
            </w:tr>
            <w:tr w14:paraId="7C3685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381" w:type="pct"/>
                  <w:vAlign w:val="center"/>
                </w:tcPr>
                <w:p w14:paraId="1E658530">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rPr>
                    <w:t>8</w:t>
                  </w:r>
                </w:p>
              </w:tc>
              <w:tc>
                <w:tcPr>
                  <w:tcW w:w="653" w:type="pct"/>
                  <w:vAlign w:val="center"/>
                </w:tcPr>
                <w:p w14:paraId="37B348A5">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rPr>
                    <w:t>破损的废包装桶</w:t>
                  </w:r>
                </w:p>
              </w:tc>
              <w:tc>
                <w:tcPr>
                  <w:tcW w:w="923" w:type="pct"/>
                  <w:vAlign w:val="center"/>
                </w:tcPr>
                <w:p w14:paraId="73F6C358">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rPr>
                    <w:t>液体原辅料使用</w:t>
                  </w:r>
                </w:p>
              </w:tc>
              <w:tc>
                <w:tcPr>
                  <w:tcW w:w="850" w:type="pct"/>
                  <w:vAlign w:val="center"/>
                </w:tcPr>
                <w:p w14:paraId="5CB10C44">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rPr>
                    <w:t>HW49</w:t>
                  </w:r>
                </w:p>
                <w:p w14:paraId="0F306BF1">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rPr>
                    <w:t>900-041-49</w:t>
                  </w:r>
                </w:p>
              </w:tc>
              <w:tc>
                <w:tcPr>
                  <w:tcW w:w="569" w:type="pct"/>
                  <w:vAlign w:val="center"/>
                </w:tcPr>
                <w:p w14:paraId="4FA9AADB">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rPr>
                    <w:t>8.447t</w:t>
                  </w:r>
                </w:p>
              </w:tc>
              <w:tc>
                <w:tcPr>
                  <w:tcW w:w="784" w:type="pct"/>
                  <w:vAlign w:val="center"/>
                </w:tcPr>
                <w:p w14:paraId="3B0C7724">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rPr>
                    <w:t>7t</w:t>
                  </w:r>
                </w:p>
              </w:tc>
              <w:tc>
                <w:tcPr>
                  <w:tcW w:w="837" w:type="pct"/>
                  <w:vMerge w:val="continue"/>
                  <w:vAlign w:val="center"/>
                </w:tcPr>
                <w:p w14:paraId="684362E9">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p>
              </w:tc>
            </w:tr>
            <w:tr w14:paraId="211DFA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381" w:type="pct"/>
                  <w:vAlign w:val="center"/>
                </w:tcPr>
                <w:p w14:paraId="52B5C8F3">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rPr>
                    <w:t>9</w:t>
                  </w:r>
                </w:p>
              </w:tc>
              <w:tc>
                <w:tcPr>
                  <w:tcW w:w="653" w:type="pct"/>
                  <w:vAlign w:val="center"/>
                </w:tcPr>
                <w:p w14:paraId="22EB0718">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rPr>
                    <w:t>废液压油</w:t>
                  </w:r>
                </w:p>
              </w:tc>
              <w:tc>
                <w:tcPr>
                  <w:tcW w:w="923" w:type="pct"/>
                  <w:vAlign w:val="center"/>
                </w:tcPr>
                <w:p w14:paraId="2D7BDE04">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rPr>
                    <w:t>设备保养</w:t>
                  </w:r>
                </w:p>
              </w:tc>
              <w:tc>
                <w:tcPr>
                  <w:tcW w:w="850" w:type="pct"/>
                  <w:vAlign w:val="center"/>
                </w:tcPr>
                <w:p w14:paraId="0400FF12">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rPr>
                    <w:t>HW08</w:t>
                  </w:r>
                </w:p>
                <w:p w14:paraId="3546112F">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rPr>
                    <w:t>900-218-08</w:t>
                  </w:r>
                </w:p>
              </w:tc>
              <w:tc>
                <w:tcPr>
                  <w:tcW w:w="569" w:type="pct"/>
                  <w:vAlign w:val="center"/>
                </w:tcPr>
                <w:p w14:paraId="0E892FD7">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rPr>
                    <w:t>5.2t/</w:t>
                  </w:r>
                </w:p>
                <w:p w14:paraId="5C0E0207">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rPr>
                    <w:t>5年</w:t>
                  </w:r>
                </w:p>
              </w:tc>
              <w:tc>
                <w:tcPr>
                  <w:tcW w:w="784" w:type="pct"/>
                  <w:vAlign w:val="center"/>
                </w:tcPr>
                <w:p w14:paraId="2070AB19">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rPr>
                    <w:t>5t/5年</w:t>
                  </w:r>
                </w:p>
              </w:tc>
              <w:tc>
                <w:tcPr>
                  <w:tcW w:w="837" w:type="pct"/>
                  <w:vMerge w:val="continue"/>
                  <w:vAlign w:val="center"/>
                </w:tcPr>
                <w:p w14:paraId="1D60AEC8">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p>
              </w:tc>
            </w:tr>
            <w:tr w14:paraId="718B53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381" w:type="pct"/>
                  <w:vAlign w:val="center"/>
                </w:tcPr>
                <w:p w14:paraId="1613BA83">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rPr>
                    <w:t>10</w:t>
                  </w:r>
                </w:p>
              </w:tc>
              <w:tc>
                <w:tcPr>
                  <w:tcW w:w="653" w:type="pct"/>
                  <w:vAlign w:val="center"/>
                </w:tcPr>
                <w:p w14:paraId="0DE6FA7A">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rPr>
                    <w:t>废导热油</w:t>
                  </w:r>
                </w:p>
              </w:tc>
              <w:tc>
                <w:tcPr>
                  <w:tcW w:w="923" w:type="pct"/>
                  <w:vAlign w:val="center"/>
                </w:tcPr>
                <w:p w14:paraId="7123C759">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rPr>
                    <w:t>设备保养</w:t>
                  </w:r>
                </w:p>
              </w:tc>
              <w:tc>
                <w:tcPr>
                  <w:tcW w:w="850" w:type="pct"/>
                  <w:vAlign w:val="center"/>
                </w:tcPr>
                <w:p w14:paraId="04A3A7E8">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rPr>
                    <w:t>HW08</w:t>
                  </w:r>
                </w:p>
                <w:p w14:paraId="156D2B74">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rPr>
                    <w:t>900-249-08</w:t>
                  </w:r>
                </w:p>
              </w:tc>
              <w:tc>
                <w:tcPr>
                  <w:tcW w:w="569" w:type="pct"/>
                  <w:vAlign w:val="center"/>
                </w:tcPr>
                <w:p w14:paraId="786AEA4A">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rPr>
                    <w:t>2.6t/</w:t>
                  </w:r>
                </w:p>
                <w:p w14:paraId="1828AF26">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rPr>
                    <w:t>5年</w:t>
                  </w:r>
                </w:p>
              </w:tc>
              <w:tc>
                <w:tcPr>
                  <w:tcW w:w="784" w:type="pct"/>
                  <w:vAlign w:val="center"/>
                </w:tcPr>
                <w:p w14:paraId="6BD40C82">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rPr>
                    <w:t>2.5t/5年</w:t>
                  </w:r>
                </w:p>
              </w:tc>
              <w:tc>
                <w:tcPr>
                  <w:tcW w:w="837" w:type="pct"/>
                  <w:vMerge w:val="continue"/>
                  <w:vAlign w:val="center"/>
                </w:tcPr>
                <w:p w14:paraId="40F0D0E9">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p>
              </w:tc>
            </w:tr>
            <w:tr w14:paraId="592B95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381" w:type="pct"/>
                  <w:vAlign w:val="center"/>
                </w:tcPr>
                <w:p w14:paraId="091DEBC2">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rPr>
                    <w:t>11</w:t>
                  </w:r>
                </w:p>
              </w:tc>
              <w:tc>
                <w:tcPr>
                  <w:tcW w:w="653" w:type="pct"/>
                  <w:vAlign w:val="center"/>
                </w:tcPr>
                <w:p w14:paraId="5BEA1F42">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rPr>
                    <w:t>废液压、导热油桶</w:t>
                  </w:r>
                </w:p>
              </w:tc>
              <w:tc>
                <w:tcPr>
                  <w:tcW w:w="923" w:type="pct"/>
                  <w:vAlign w:val="center"/>
                </w:tcPr>
                <w:p w14:paraId="3FBE0024">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rPr>
                    <w:t>设备保养</w:t>
                  </w:r>
                </w:p>
              </w:tc>
              <w:tc>
                <w:tcPr>
                  <w:tcW w:w="850" w:type="pct"/>
                  <w:vAlign w:val="center"/>
                </w:tcPr>
                <w:p w14:paraId="771844C2">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rPr>
                    <w:t>HW08</w:t>
                  </w:r>
                </w:p>
                <w:p w14:paraId="7912C4F4">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rPr>
                    <w:t>900-249-08</w:t>
                  </w:r>
                </w:p>
              </w:tc>
              <w:tc>
                <w:tcPr>
                  <w:tcW w:w="569" w:type="pct"/>
                  <w:vAlign w:val="center"/>
                </w:tcPr>
                <w:p w14:paraId="601AB5DB">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rPr>
                    <w:t>0.799t/5年</w:t>
                  </w:r>
                </w:p>
              </w:tc>
              <w:tc>
                <w:tcPr>
                  <w:tcW w:w="784" w:type="pct"/>
                  <w:vAlign w:val="center"/>
                </w:tcPr>
                <w:p w14:paraId="7BBF7E14">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rPr>
                    <w:t>0.8t/5年</w:t>
                  </w:r>
                </w:p>
              </w:tc>
              <w:tc>
                <w:tcPr>
                  <w:tcW w:w="837" w:type="pct"/>
                  <w:vMerge w:val="continue"/>
                  <w:vAlign w:val="center"/>
                </w:tcPr>
                <w:p w14:paraId="7C54B834">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p>
              </w:tc>
            </w:tr>
            <w:tr w14:paraId="5E3CE8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381" w:type="pct"/>
                  <w:vAlign w:val="center"/>
                </w:tcPr>
                <w:p w14:paraId="780BB942">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rPr>
                    <w:t>12</w:t>
                  </w:r>
                </w:p>
              </w:tc>
              <w:tc>
                <w:tcPr>
                  <w:tcW w:w="653" w:type="pct"/>
                  <w:vAlign w:val="center"/>
                </w:tcPr>
                <w:p w14:paraId="74CF16B4">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rPr>
                    <w:t>废润滑油</w:t>
                  </w:r>
                </w:p>
              </w:tc>
              <w:tc>
                <w:tcPr>
                  <w:tcW w:w="923" w:type="pct"/>
                  <w:vAlign w:val="center"/>
                </w:tcPr>
                <w:p w14:paraId="47A6EFCD">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rPr>
                    <w:t>设备保养</w:t>
                  </w:r>
                </w:p>
              </w:tc>
              <w:tc>
                <w:tcPr>
                  <w:tcW w:w="850" w:type="pct"/>
                  <w:vAlign w:val="center"/>
                </w:tcPr>
                <w:p w14:paraId="6A4A616A">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rPr>
                    <w:t>HW08</w:t>
                  </w:r>
                </w:p>
                <w:p w14:paraId="42880676">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rPr>
                    <w:t>900-217-08</w:t>
                  </w:r>
                </w:p>
              </w:tc>
              <w:tc>
                <w:tcPr>
                  <w:tcW w:w="569" w:type="pct"/>
                  <w:vAlign w:val="center"/>
                </w:tcPr>
                <w:p w14:paraId="776CA65E">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rPr>
                    <w:t>1.2t</w:t>
                  </w:r>
                </w:p>
              </w:tc>
              <w:tc>
                <w:tcPr>
                  <w:tcW w:w="784" w:type="pct"/>
                  <w:vAlign w:val="center"/>
                </w:tcPr>
                <w:p w14:paraId="1E376B9F">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rPr>
                    <w:t>1t</w:t>
                  </w:r>
                </w:p>
              </w:tc>
              <w:tc>
                <w:tcPr>
                  <w:tcW w:w="837" w:type="pct"/>
                  <w:vMerge w:val="continue"/>
                  <w:vAlign w:val="center"/>
                </w:tcPr>
                <w:p w14:paraId="4F2875D2">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p>
              </w:tc>
            </w:tr>
            <w:tr w14:paraId="3822F9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381" w:type="pct"/>
                  <w:vAlign w:val="center"/>
                </w:tcPr>
                <w:p w14:paraId="61C0E506">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rPr>
                    <w:t>13</w:t>
                  </w:r>
                </w:p>
              </w:tc>
              <w:tc>
                <w:tcPr>
                  <w:tcW w:w="653" w:type="pct"/>
                  <w:vAlign w:val="center"/>
                </w:tcPr>
                <w:p w14:paraId="401F0CF8">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rPr>
                    <w:t>废润滑</w:t>
                  </w:r>
                </w:p>
                <w:p w14:paraId="02414E41">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rPr>
                    <w:t>油桶</w:t>
                  </w:r>
                </w:p>
              </w:tc>
              <w:tc>
                <w:tcPr>
                  <w:tcW w:w="923" w:type="pct"/>
                  <w:vAlign w:val="center"/>
                </w:tcPr>
                <w:p w14:paraId="1E63C405">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rPr>
                    <w:t>设备保养</w:t>
                  </w:r>
                </w:p>
              </w:tc>
              <w:tc>
                <w:tcPr>
                  <w:tcW w:w="850" w:type="pct"/>
                  <w:vAlign w:val="center"/>
                </w:tcPr>
                <w:p w14:paraId="7463B454">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rPr>
                    <w:t>HW08</w:t>
                  </w:r>
                </w:p>
                <w:p w14:paraId="3009FA6B">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rPr>
                    <w:t>900-249-08</w:t>
                  </w:r>
                </w:p>
              </w:tc>
              <w:tc>
                <w:tcPr>
                  <w:tcW w:w="569" w:type="pct"/>
                  <w:vAlign w:val="center"/>
                </w:tcPr>
                <w:p w14:paraId="09D8B71D">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rPr>
                    <w:t>0.136t</w:t>
                  </w:r>
                </w:p>
              </w:tc>
              <w:tc>
                <w:tcPr>
                  <w:tcW w:w="784" w:type="pct"/>
                  <w:vAlign w:val="center"/>
                </w:tcPr>
                <w:p w14:paraId="59F577A6">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rPr>
                    <w:t>0.14t</w:t>
                  </w:r>
                </w:p>
              </w:tc>
              <w:tc>
                <w:tcPr>
                  <w:tcW w:w="837" w:type="pct"/>
                  <w:vMerge w:val="continue"/>
                  <w:vAlign w:val="center"/>
                </w:tcPr>
                <w:p w14:paraId="38FC0A46">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p>
              </w:tc>
            </w:tr>
            <w:tr w14:paraId="09B92F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2" w:hRule="atLeast"/>
                <w:jc w:val="center"/>
              </w:trPr>
              <w:tc>
                <w:tcPr>
                  <w:tcW w:w="381" w:type="pct"/>
                  <w:vAlign w:val="center"/>
                </w:tcPr>
                <w:p w14:paraId="30CFFD18">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rPr>
                    <w:t>14</w:t>
                  </w:r>
                </w:p>
              </w:tc>
              <w:tc>
                <w:tcPr>
                  <w:tcW w:w="653" w:type="pct"/>
                  <w:vAlign w:val="center"/>
                </w:tcPr>
                <w:p w14:paraId="362D4681">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rPr>
                    <w:t>废弃的含油抹布及劳保用品</w:t>
                  </w:r>
                </w:p>
              </w:tc>
              <w:tc>
                <w:tcPr>
                  <w:tcW w:w="923" w:type="pct"/>
                  <w:vAlign w:val="center"/>
                </w:tcPr>
                <w:p w14:paraId="01F692F7">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rPr>
                    <w:t>职工工作和设备维修</w:t>
                  </w:r>
                </w:p>
              </w:tc>
              <w:tc>
                <w:tcPr>
                  <w:tcW w:w="850" w:type="pct"/>
                  <w:vAlign w:val="center"/>
                </w:tcPr>
                <w:p w14:paraId="6B70C7DF">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rPr>
                    <w:t>HW49</w:t>
                  </w:r>
                </w:p>
                <w:p w14:paraId="60B0B46B">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rPr>
                    <w:t>900-041-49</w:t>
                  </w:r>
                </w:p>
              </w:tc>
              <w:tc>
                <w:tcPr>
                  <w:tcW w:w="569" w:type="pct"/>
                  <w:vAlign w:val="center"/>
                </w:tcPr>
                <w:p w14:paraId="760647C2">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rPr>
                    <w:t>0.5t</w:t>
                  </w:r>
                </w:p>
              </w:tc>
              <w:tc>
                <w:tcPr>
                  <w:tcW w:w="784" w:type="pct"/>
                  <w:vAlign w:val="center"/>
                </w:tcPr>
                <w:p w14:paraId="69FBC3FA">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rPr>
                    <w:t>0.5t</w:t>
                  </w:r>
                </w:p>
              </w:tc>
              <w:tc>
                <w:tcPr>
                  <w:tcW w:w="837" w:type="pct"/>
                  <w:vMerge w:val="continue"/>
                  <w:vAlign w:val="center"/>
                </w:tcPr>
                <w:p w14:paraId="7A9A3A3D">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p>
              </w:tc>
            </w:tr>
            <w:tr w14:paraId="35FFAC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381" w:type="pct"/>
                  <w:vAlign w:val="center"/>
                </w:tcPr>
                <w:p w14:paraId="20730A9A">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rPr>
                    <w:t>15</w:t>
                  </w:r>
                </w:p>
              </w:tc>
              <w:tc>
                <w:tcPr>
                  <w:tcW w:w="653" w:type="pct"/>
                  <w:vAlign w:val="center"/>
                </w:tcPr>
                <w:p w14:paraId="786A7BED">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rPr>
                    <w:t>废过滤棉</w:t>
                  </w:r>
                </w:p>
              </w:tc>
              <w:tc>
                <w:tcPr>
                  <w:tcW w:w="923" w:type="pct"/>
                  <w:vAlign w:val="center"/>
                </w:tcPr>
                <w:p w14:paraId="282125F7">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rPr>
                    <w:t>废气处理</w:t>
                  </w:r>
                </w:p>
              </w:tc>
              <w:tc>
                <w:tcPr>
                  <w:tcW w:w="850" w:type="pct"/>
                  <w:vAlign w:val="center"/>
                </w:tcPr>
                <w:p w14:paraId="1ABA39BE">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rPr>
                    <w:t>HW49</w:t>
                  </w:r>
                </w:p>
                <w:p w14:paraId="7545ECA9">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rPr>
                    <w:t>900-041-49</w:t>
                  </w:r>
                </w:p>
              </w:tc>
              <w:tc>
                <w:tcPr>
                  <w:tcW w:w="569" w:type="pct"/>
                  <w:vAlign w:val="center"/>
                </w:tcPr>
                <w:p w14:paraId="169509E8">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rPr>
                    <w:t>/</w:t>
                  </w:r>
                </w:p>
              </w:tc>
              <w:tc>
                <w:tcPr>
                  <w:tcW w:w="784" w:type="pct"/>
                  <w:vAlign w:val="center"/>
                </w:tcPr>
                <w:p w14:paraId="6EA9BC28">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rPr>
                    <w:t>0.36t</w:t>
                  </w:r>
                </w:p>
              </w:tc>
              <w:tc>
                <w:tcPr>
                  <w:tcW w:w="837" w:type="pct"/>
                  <w:vMerge w:val="continue"/>
                  <w:vAlign w:val="center"/>
                </w:tcPr>
                <w:p w14:paraId="00A43130">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p>
              </w:tc>
            </w:tr>
            <w:tr w14:paraId="1FD39C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381" w:type="pct"/>
                  <w:vAlign w:val="center"/>
                </w:tcPr>
                <w:p w14:paraId="2C7EB983">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rPr>
                    <w:t>16</w:t>
                  </w:r>
                </w:p>
              </w:tc>
              <w:tc>
                <w:tcPr>
                  <w:tcW w:w="653" w:type="pct"/>
                  <w:vAlign w:val="center"/>
                </w:tcPr>
                <w:p w14:paraId="149F9B61">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rPr>
                    <w:t>废油</w:t>
                  </w:r>
                </w:p>
              </w:tc>
              <w:tc>
                <w:tcPr>
                  <w:tcW w:w="923" w:type="pct"/>
                  <w:vAlign w:val="center"/>
                </w:tcPr>
                <w:p w14:paraId="4A1881F9">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rPr>
                    <w:t>废气处理</w:t>
                  </w:r>
                </w:p>
              </w:tc>
              <w:tc>
                <w:tcPr>
                  <w:tcW w:w="850" w:type="pct"/>
                  <w:vAlign w:val="center"/>
                </w:tcPr>
                <w:p w14:paraId="293F0DF7">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rPr>
                    <w:t>HW08</w:t>
                  </w:r>
                </w:p>
                <w:p w14:paraId="730794C5">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rPr>
                    <w:t>900-249-08</w:t>
                  </w:r>
                </w:p>
              </w:tc>
              <w:tc>
                <w:tcPr>
                  <w:tcW w:w="569" w:type="pct"/>
                  <w:vAlign w:val="center"/>
                </w:tcPr>
                <w:p w14:paraId="04E333D2">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rPr>
                    <w:t>/</w:t>
                  </w:r>
                </w:p>
              </w:tc>
              <w:tc>
                <w:tcPr>
                  <w:tcW w:w="784" w:type="pct"/>
                  <w:vAlign w:val="center"/>
                </w:tcPr>
                <w:p w14:paraId="1B47A248">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rPr>
                    <w:t>18t</w:t>
                  </w:r>
                </w:p>
              </w:tc>
              <w:tc>
                <w:tcPr>
                  <w:tcW w:w="837" w:type="pct"/>
                  <w:vAlign w:val="center"/>
                </w:tcPr>
                <w:p w14:paraId="26297754">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rPr>
                    <w:t>集中收集后回用于生产</w:t>
                  </w:r>
                </w:p>
              </w:tc>
            </w:tr>
            <w:tr w14:paraId="4C157D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381" w:type="pct"/>
                  <w:vAlign w:val="center"/>
                </w:tcPr>
                <w:p w14:paraId="1433ECD3">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r>
                    <w:rPr>
                      <w:rFonts w:hint="eastAsia" w:ascii="Times New Roman" w:hAnsi="Times New Roman" w:eastAsia="宋体" w:cs="Times New Roman"/>
                      <w:color w:val="auto"/>
                      <w:szCs w:val="21"/>
                    </w:rPr>
                    <w:t>17</w:t>
                  </w:r>
                </w:p>
              </w:tc>
              <w:tc>
                <w:tcPr>
                  <w:tcW w:w="653" w:type="pct"/>
                  <w:vAlign w:val="center"/>
                </w:tcPr>
                <w:p w14:paraId="27110789">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rPr>
                    <w:t>废活性炭</w:t>
                  </w:r>
                </w:p>
              </w:tc>
              <w:tc>
                <w:tcPr>
                  <w:tcW w:w="923" w:type="pct"/>
                  <w:vAlign w:val="center"/>
                </w:tcPr>
                <w:p w14:paraId="535AE50A">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rPr>
                    <w:t>废气处理</w:t>
                  </w:r>
                </w:p>
              </w:tc>
              <w:tc>
                <w:tcPr>
                  <w:tcW w:w="850" w:type="pct"/>
                  <w:vAlign w:val="center"/>
                </w:tcPr>
                <w:p w14:paraId="61119B67">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rPr>
                    <w:t>HW49</w:t>
                  </w:r>
                </w:p>
                <w:p w14:paraId="7B83B866">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rPr>
                    <w:t>900-039-49</w:t>
                  </w:r>
                </w:p>
              </w:tc>
              <w:tc>
                <w:tcPr>
                  <w:tcW w:w="569" w:type="pct"/>
                  <w:vAlign w:val="center"/>
                </w:tcPr>
                <w:p w14:paraId="0746162C">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rPr>
                    <w:t>116.381t</w:t>
                  </w:r>
                </w:p>
              </w:tc>
              <w:tc>
                <w:tcPr>
                  <w:tcW w:w="784" w:type="pct"/>
                  <w:vAlign w:val="center"/>
                </w:tcPr>
                <w:p w14:paraId="26CD45DE">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rPr>
                    <w:t>94.4t</w:t>
                  </w:r>
                </w:p>
              </w:tc>
              <w:tc>
                <w:tcPr>
                  <w:tcW w:w="837" w:type="pct"/>
                  <w:vAlign w:val="center"/>
                </w:tcPr>
                <w:p w14:paraId="2BFE0BC0">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rPr>
                    <w:t>更换后由浙江悦胜环境科技有限公司回收处置，不在厂区暂存</w:t>
                  </w:r>
                </w:p>
              </w:tc>
            </w:tr>
            <w:tr w14:paraId="0A6700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381" w:type="pct"/>
                  <w:vAlign w:val="center"/>
                </w:tcPr>
                <w:p w14:paraId="6F86D12B">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r>
                    <w:rPr>
                      <w:rFonts w:hint="eastAsia" w:ascii="Times New Roman" w:hAnsi="Times New Roman" w:eastAsia="宋体" w:cs="Times New Roman"/>
                      <w:color w:val="auto"/>
                      <w:szCs w:val="21"/>
                    </w:rPr>
                    <w:t>18</w:t>
                  </w:r>
                </w:p>
              </w:tc>
              <w:tc>
                <w:tcPr>
                  <w:tcW w:w="653" w:type="pct"/>
                  <w:vAlign w:val="center"/>
                </w:tcPr>
                <w:p w14:paraId="22136053">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rPr>
                    <w:t>喷淋废水</w:t>
                  </w:r>
                </w:p>
              </w:tc>
              <w:tc>
                <w:tcPr>
                  <w:tcW w:w="923" w:type="pct"/>
                  <w:vAlign w:val="center"/>
                </w:tcPr>
                <w:p w14:paraId="5C6313D0">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rPr>
                    <w:t>废气处理</w:t>
                  </w:r>
                </w:p>
              </w:tc>
              <w:tc>
                <w:tcPr>
                  <w:tcW w:w="850" w:type="pct"/>
                  <w:vAlign w:val="center"/>
                </w:tcPr>
                <w:p w14:paraId="5FFBED39">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rPr>
                    <w:t>/</w:t>
                  </w:r>
                </w:p>
              </w:tc>
              <w:tc>
                <w:tcPr>
                  <w:tcW w:w="569" w:type="pct"/>
                  <w:vAlign w:val="center"/>
                </w:tcPr>
                <w:p w14:paraId="5EC89BAA">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rPr>
                    <w:t>12t</w:t>
                  </w:r>
                </w:p>
              </w:tc>
              <w:tc>
                <w:tcPr>
                  <w:tcW w:w="784" w:type="pct"/>
                  <w:vAlign w:val="center"/>
                </w:tcPr>
                <w:p w14:paraId="5108C18B">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rPr>
                    <w:t>/</w:t>
                  </w:r>
                </w:p>
              </w:tc>
              <w:tc>
                <w:tcPr>
                  <w:tcW w:w="837" w:type="pct"/>
                  <w:vAlign w:val="center"/>
                </w:tcPr>
                <w:p w14:paraId="57F5C3D7">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rPr>
                    <w:t>/</w:t>
                  </w:r>
                </w:p>
              </w:tc>
            </w:tr>
            <w:tr w14:paraId="6AE810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5000" w:type="pct"/>
                  <w:gridSpan w:val="7"/>
                  <w:vAlign w:val="center"/>
                </w:tcPr>
                <w:p w14:paraId="2C985455">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r>
                    <w:rPr>
                      <w:rFonts w:hint="eastAsia" w:ascii="Times New Roman" w:hAnsi="Times New Roman" w:eastAsia="宋体" w:cs="Times New Roman"/>
                      <w:color w:val="auto"/>
                      <w:szCs w:val="21"/>
                    </w:rPr>
                    <w:t>注：满负荷为年产782万平方米有机硅片材。</w:t>
                  </w:r>
                </w:p>
              </w:tc>
            </w:tr>
          </w:tbl>
          <w:p w14:paraId="63BAC902">
            <w:pPr>
              <w:keepNext w:val="0"/>
              <w:keepLines w:val="0"/>
              <w:suppressLineNumbers w:val="0"/>
              <w:spacing w:before="0" w:beforeAutospacing="0" w:after="0" w:afterAutospacing="0" w:line="360" w:lineRule="auto"/>
              <w:ind w:left="0" w:right="0" w:firstLine="480" w:firstLineChars="200"/>
              <w:rPr>
                <w:rFonts w:hint="default" w:ascii="Times New Roman" w:hAnsi="Times New Roman" w:eastAsia="宋体" w:cs="Times New Roman"/>
                <w:color w:val="auto"/>
                <w:sz w:val="24"/>
              </w:rPr>
            </w:pPr>
            <w:r>
              <w:rPr>
                <w:rFonts w:hint="eastAsia" w:ascii="Times New Roman" w:hAnsi="Times New Roman" w:eastAsia="宋体" w:cs="Times New Roman"/>
                <w:color w:val="auto"/>
                <w:sz w:val="24"/>
              </w:rPr>
              <w:t>由上表可知，现有项目各类固废均能得到妥善处置，不排入自然环境。</w:t>
            </w:r>
          </w:p>
          <w:p w14:paraId="0FBE390E">
            <w:pPr>
              <w:keepNext w:val="0"/>
              <w:keepLines w:val="0"/>
              <w:suppressLineNumbers w:val="0"/>
              <w:spacing w:before="0" w:beforeAutospacing="0" w:after="0" w:afterAutospacing="0" w:line="360" w:lineRule="auto"/>
              <w:ind w:left="0" w:right="0"/>
              <w:rPr>
                <w:rFonts w:hint="default" w:ascii="Times New Roman" w:hAnsi="Times New Roman" w:eastAsia="宋体" w:cs="Times New Roman"/>
                <w:b/>
                <w:bCs/>
                <w:color w:val="auto"/>
                <w:sz w:val="24"/>
              </w:rPr>
            </w:pPr>
            <w:r>
              <w:rPr>
                <w:rFonts w:hint="eastAsia" w:ascii="Times New Roman" w:hAnsi="Times New Roman" w:eastAsia="宋体" w:cs="Times New Roman"/>
                <w:b/>
                <w:bCs/>
                <w:color w:val="auto"/>
                <w:sz w:val="24"/>
              </w:rPr>
              <w:t>2.3.5现有项目污染物排放量核算</w:t>
            </w:r>
          </w:p>
          <w:p w14:paraId="0F9F9412">
            <w:pPr>
              <w:keepNext w:val="0"/>
              <w:keepLines w:val="0"/>
              <w:suppressLineNumbers w:val="0"/>
              <w:spacing w:before="0" w:beforeAutospacing="0" w:after="0" w:afterAutospacing="0" w:line="360" w:lineRule="auto"/>
              <w:ind w:left="0" w:right="0" w:firstLine="480" w:firstLineChars="200"/>
              <w:rPr>
                <w:rFonts w:hint="default" w:ascii="Times New Roman" w:hAnsi="Times New Roman" w:eastAsia="宋体" w:cs="Times New Roman"/>
                <w:color w:val="auto"/>
                <w:sz w:val="24"/>
              </w:rPr>
            </w:pPr>
            <w:r>
              <w:rPr>
                <w:rFonts w:hint="eastAsia" w:ascii="Times New Roman" w:hAnsi="Times New Roman" w:eastAsia="宋体" w:cs="Times New Roman"/>
                <w:color w:val="auto"/>
                <w:sz w:val="24"/>
              </w:rPr>
              <w:t>本环评结合现有项目验收资料和现场踏勘，现有项目污染物排放情况见下表。</w:t>
            </w:r>
          </w:p>
          <w:p w14:paraId="7800430A">
            <w:pPr>
              <w:keepNext w:val="0"/>
              <w:keepLines w:val="0"/>
              <w:suppressLineNumbers w:val="0"/>
              <w:spacing w:before="0" w:beforeAutospacing="0" w:after="0" w:afterAutospacing="0"/>
              <w:ind w:left="0" w:right="0"/>
              <w:jc w:val="center"/>
              <w:rPr>
                <w:rFonts w:hint="default" w:ascii="Times New Roman" w:hAnsi="Times New Roman" w:eastAsia="宋体" w:cs="Times New Roman"/>
                <w:b/>
                <w:bCs/>
                <w:color w:val="auto"/>
              </w:rPr>
            </w:pPr>
            <w:r>
              <w:rPr>
                <w:rFonts w:hint="default"/>
              </w:rPr>
              <w:commentReference w:id="45"/>
            </w:r>
            <w:r>
              <w:rPr>
                <w:rFonts w:hint="eastAsia" w:ascii="Times New Roman" w:hAnsi="Times New Roman" w:eastAsia="宋体" w:cs="Times New Roman"/>
                <w:b/>
                <w:bCs/>
                <w:color w:val="auto"/>
              </w:rPr>
              <w:t>表2-2</w:t>
            </w:r>
            <w:r>
              <w:rPr>
                <w:rFonts w:hint="eastAsia" w:ascii="Times New Roman" w:hAnsi="Times New Roman" w:eastAsia="宋体" w:cs="Times New Roman"/>
                <w:b/>
                <w:bCs/>
                <w:color w:val="auto"/>
                <w:lang w:val="en-US" w:eastAsia="zh-CN"/>
              </w:rPr>
              <w:t>7</w:t>
            </w:r>
            <w:r>
              <w:rPr>
                <w:rFonts w:hint="eastAsia" w:ascii="Times New Roman" w:hAnsi="Times New Roman" w:eastAsia="宋体" w:cs="Times New Roman"/>
                <w:b/>
                <w:bCs/>
                <w:color w:val="auto"/>
              </w:rPr>
              <w:t xml:space="preserve">  现有项目污染物排放量核算</w:t>
            </w:r>
          </w:p>
          <w:tbl>
            <w:tblPr>
              <w:tblStyle w:val="22"/>
              <w:tblW w:w="4998"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14"/>
              <w:gridCol w:w="456"/>
              <w:gridCol w:w="1334"/>
              <w:gridCol w:w="1536"/>
              <w:gridCol w:w="2216"/>
              <w:gridCol w:w="2216"/>
            </w:tblGrid>
            <w:tr w14:paraId="484062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blHeader/>
                <w:jc w:val="center"/>
              </w:trPr>
              <w:tc>
                <w:tcPr>
                  <w:tcW w:w="1348" w:type="pct"/>
                  <w:gridSpan w:val="3"/>
                  <w:vAlign w:val="center"/>
                </w:tcPr>
                <w:p w14:paraId="3D18C1EE">
                  <w:pPr>
                    <w:keepNext w:val="0"/>
                    <w:keepLines w:val="0"/>
                    <w:suppressLineNumbers w:val="0"/>
                    <w:spacing w:before="0" w:beforeAutospacing="0" w:after="0" w:afterAutospacing="0"/>
                    <w:ind w:left="0" w:right="0"/>
                    <w:jc w:val="center"/>
                    <w:rPr>
                      <w:rFonts w:hint="default" w:ascii="Times New Roman" w:hAnsi="Times New Roman" w:eastAsia="宋体" w:cs="Times New Roman"/>
                      <w:b/>
                      <w:bCs/>
                      <w:color w:val="auto"/>
                      <w:szCs w:val="21"/>
                    </w:rPr>
                  </w:pPr>
                  <w:r>
                    <w:rPr>
                      <w:rFonts w:hint="default" w:ascii="Times New Roman" w:hAnsi="Times New Roman" w:eastAsia="宋体" w:cs="Times New Roman"/>
                      <w:b/>
                      <w:bCs/>
                      <w:color w:val="auto"/>
                      <w:szCs w:val="21"/>
                    </w:rPr>
                    <w:t>污染物名称</w:t>
                  </w:r>
                </w:p>
              </w:tc>
              <w:tc>
                <w:tcPr>
                  <w:tcW w:w="940" w:type="pct"/>
                  <w:vAlign w:val="center"/>
                </w:tcPr>
                <w:p w14:paraId="79D4A57E">
                  <w:pPr>
                    <w:keepNext w:val="0"/>
                    <w:keepLines w:val="0"/>
                    <w:suppressLineNumbers w:val="0"/>
                    <w:spacing w:before="0" w:beforeAutospacing="0" w:after="0" w:afterAutospacing="0"/>
                    <w:ind w:left="0" w:right="0"/>
                    <w:jc w:val="center"/>
                    <w:rPr>
                      <w:rFonts w:hint="default" w:ascii="Times New Roman" w:hAnsi="Times New Roman" w:eastAsia="宋体" w:cs="Times New Roman"/>
                      <w:b/>
                      <w:bCs/>
                      <w:color w:val="auto"/>
                      <w:szCs w:val="21"/>
                    </w:rPr>
                  </w:pPr>
                  <w:r>
                    <w:rPr>
                      <w:rFonts w:hint="default" w:ascii="Times New Roman" w:hAnsi="Times New Roman" w:eastAsia="宋体" w:cs="Times New Roman"/>
                      <w:b/>
                      <w:bCs/>
                      <w:color w:val="auto"/>
                      <w:szCs w:val="21"/>
                    </w:rPr>
                    <w:t>阶段性验收满负荷排放量</w:t>
                  </w:r>
                </w:p>
              </w:tc>
              <w:tc>
                <w:tcPr>
                  <w:tcW w:w="1356" w:type="pct"/>
                  <w:vAlign w:val="center"/>
                </w:tcPr>
                <w:p w14:paraId="6DDDD166">
                  <w:pPr>
                    <w:keepNext w:val="0"/>
                    <w:keepLines w:val="0"/>
                    <w:suppressLineNumbers w:val="0"/>
                    <w:spacing w:before="0" w:beforeAutospacing="0" w:after="0" w:afterAutospacing="0"/>
                    <w:ind w:left="0" w:right="0"/>
                    <w:jc w:val="center"/>
                    <w:rPr>
                      <w:rFonts w:hint="default" w:ascii="Times New Roman" w:hAnsi="Times New Roman" w:eastAsia="宋体" w:cs="Times New Roman"/>
                      <w:b/>
                      <w:bCs/>
                      <w:color w:val="auto"/>
                      <w:szCs w:val="21"/>
                    </w:rPr>
                  </w:pPr>
                  <w:r>
                    <w:rPr>
                      <w:rFonts w:hint="default" w:ascii="Times New Roman" w:hAnsi="Times New Roman" w:eastAsia="宋体" w:cs="Times New Roman"/>
                      <w:b/>
                      <w:bCs/>
                      <w:color w:val="auto"/>
                      <w:szCs w:val="21"/>
                    </w:rPr>
                    <w:t>环评审批</w:t>
                  </w:r>
                </w:p>
                <w:p w14:paraId="71B7355B">
                  <w:pPr>
                    <w:keepNext w:val="0"/>
                    <w:keepLines w:val="0"/>
                    <w:suppressLineNumbers w:val="0"/>
                    <w:spacing w:before="0" w:beforeAutospacing="0" w:after="0" w:afterAutospacing="0"/>
                    <w:ind w:left="0" w:right="0"/>
                    <w:jc w:val="center"/>
                    <w:rPr>
                      <w:rFonts w:hint="default" w:ascii="Times New Roman" w:hAnsi="Times New Roman" w:eastAsia="宋体" w:cs="Times New Roman"/>
                      <w:b/>
                      <w:bCs/>
                      <w:color w:val="auto"/>
                      <w:szCs w:val="21"/>
                    </w:rPr>
                  </w:pPr>
                  <w:r>
                    <w:rPr>
                      <w:rFonts w:hint="default" w:ascii="Times New Roman" w:hAnsi="Times New Roman" w:eastAsia="宋体" w:cs="Times New Roman"/>
                      <w:b/>
                      <w:bCs/>
                      <w:color w:val="auto"/>
                      <w:szCs w:val="21"/>
                    </w:rPr>
                    <w:t>环保措施</w:t>
                  </w:r>
                </w:p>
              </w:tc>
              <w:tc>
                <w:tcPr>
                  <w:tcW w:w="1354" w:type="pct"/>
                  <w:vAlign w:val="center"/>
                </w:tcPr>
                <w:p w14:paraId="1C86D547">
                  <w:pPr>
                    <w:keepNext w:val="0"/>
                    <w:keepLines w:val="0"/>
                    <w:suppressLineNumbers w:val="0"/>
                    <w:spacing w:before="0" w:beforeAutospacing="0" w:after="0" w:afterAutospacing="0"/>
                    <w:ind w:left="0" w:right="0"/>
                    <w:jc w:val="center"/>
                    <w:rPr>
                      <w:rFonts w:hint="default" w:ascii="Times New Roman" w:hAnsi="Times New Roman" w:eastAsia="宋体" w:cs="Times New Roman"/>
                      <w:b/>
                      <w:bCs/>
                      <w:color w:val="auto"/>
                      <w:szCs w:val="21"/>
                    </w:rPr>
                  </w:pPr>
                  <w:r>
                    <w:rPr>
                      <w:rFonts w:hint="default" w:ascii="Times New Roman" w:hAnsi="Times New Roman" w:eastAsia="宋体" w:cs="Times New Roman"/>
                      <w:b/>
                      <w:bCs/>
                      <w:color w:val="auto"/>
                      <w:szCs w:val="21"/>
                    </w:rPr>
                    <w:t>实际</w:t>
                  </w:r>
                </w:p>
                <w:p w14:paraId="7BB0C9F3">
                  <w:pPr>
                    <w:keepNext w:val="0"/>
                    <w:keepLines w:val="0"/>
                    <w:suppressLineNumbers w:val="0"/>
                    <w:spacing w:before="0" w:beforeAutospacing="0" w:after="0" w:afterAutospacing="0"/>
                    <w:ind w:left="0" w:right="0"/>
                    <w:jc w:val="center"/>
                    <w:rPr>
                      <w:rFonts w:hint="default" w:ascii="Times New Roman" w:hAnsi="Times New Roman" w:eastAsia="宋体" w:cs="Times New Roman"/>
                      <w:b/>
                      <w:bCs/>
                      <w:color w:val="auto"/>
                      <w:szCs w:val="21"/>
                    </w:rPr>
                  </w:pPr>
                  <w:r>
                    <w:rPr>
                      <w:rFonts w:hint="default" w:ascii="Times New Roman" w:hAnsi="Times New Roman" w:eastAsia="宋体" w:cs="Times New Roman"/>
                      <w:b/>
                      <w:bCs/>
                      <w:color w:val="auto"/>
                      <w:szCs w:val="21"/>
                    </w:rPr>
                    <w:t>环保措施</w:t>
                  </w:r>
                </w:p>
              </w:tc>
            </w:tr>
            <w:tr w14:paraId="2DBF88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253" w:type="pct"/>
                  <w:vMerge w:val="restart"/>
                  <w:vAlign w:val="center"/>
                </w:tcPr>
                <w:p w14:paraId="6904CA65">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rPr>
                    <w:t>废水</w:t>
                  </w:r>
                </w:p>
              </w:tc>
              <w:tc>
                <w:tcPr>
                  <w:tcW w:w="279" w:type="pct"/>
                  <w:vMerge w:val="restart"/>
                  <w:vAlign w:val="center"/>
                </w:tcPr>
                <w:p w14:paraId="77D56C8A">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rPr>
                    <w:t>生活污水</w:t>
                  </w:r>
                </w:p>
              </w:tc>
              <w:tc>
                <w:tcPr>
                  <w:tcW w:w="815" w:type="pct"/>
                  <w:vAlign w:val="center"/>
                </w:tcPr>
                <w:p w14:paraId="51B1E0E5">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rPr>
                    <w:t>水量</w:t>
                  </w:r>
                </w:p>
              </w:tc>
              <w:tc>
                <w:tcPr>
                  <w:tcW w:w="940" w:type="pct"/>
                  <w:vAlign w:val="center"/>
                </w:tcPr>
                <w:p w14:paraId="300D8749">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r>
                    <w:rPr>
                      <w:rFonts w:hint="eastAsia" w:ascii="Times New Roman" w:hAnsi="Times New Roman" w:eastAsia="宋体" w:cs="Times New Roman"/>
                      <w:color w:val="auto"/>
                      <w:szCs w:val="21"/>
                    </w:rPr>
                    <w:t>18000</w:t>
                  </w:r>
                  <w:r>
                    <w:rPr>
                      <w:rFonts w:hint="default" w:ascii="Times New Roman" w:hAnsi="Times New Roman" w:eastAsia="宋体" w:cs="Times New Roman"/>
                      <w:color w:val="auto"/>
                      <w:szCs w:val="21"/>
                    </w:rPr>
                    <w:t>t/a</w:t>
                  </w:r>
                </w:p>
              </w:tc>
              <w:tc>
                <w:tcPr>
                  <w:tcW w:w="1356" w:type="pct"/>
                  <w:vMerge w:val="restart"/>
                  <w:vAlign w:val="center"/>
                </w:tcPr>
                <w:p w14:paraId="120BCA0C">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rPr>
                    <w:t>经化粪池预处理后纳管至安吉清源污水处理有限公司集中处理，达标排放</w:t>
                  </w:r>
                </w:p>
              </w:tc>
              <w:tc>
                <w:tcPr>
                  <w:tcW w:w="1354" w:type="pct"/>
                  <w:vMerge w:val="restart"/>
                  <w:vAlign w:val="center"/>
                </w:tcPr>
                <w:p w14:paraId="6952EF9F">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rPr>
                    <w:t>经化粪池预处理后纳管至安吉清源污水处理有限公司集中处理，达标排放</w:t>
                  </w:r>
                </w:p>
              </w:tc>
            </w:tr>
            <w:tr w14:paraId="666F5A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253" w:type="pct"/>
                  <w:vMerge w:val="continue"/>
                  <w:vAlign w:val="center"/>
                </w:tcPr>
                <w:p w14:paraId="27E8F7C8">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p>
              </w:tc>
              <w:tc>
                <w:tcPr>
                  <w:tcW w:w="279" w:type="pct"/>
                  <w:vMerge w:val="continue"/>
                  <w:vAlign w:val="center"/>
                </w:tcPr>
                <w:p w14:paraId="2F767A17">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p>
              </w:tc>
              <w:tc>
                <w:tcPr>
                  <w:tcW w:w="815" w:type="pct"/>
                  <w:vAlign w:val="center"/>
                </w:tcPr>
                <w:p w14:paraId="6F36944D">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rPr>
                    <w:t>COD</w:t>
                  </w:r>
                  <w:r>
                    <w:rPr>
                      <w:rFonts w:hint="default" w:ascii="Times New Roman" w:hAnsi="Times New Roman" w:eastAsia="宋体" w:cs="Times New Roman"/>
                      <w:color w:val="auto"/>
                      <w:szCs w:val="21"/>
                      <w:vertAlign w:val="subscript"/>
                    </w:rPr>
                    <w:t>Cr</w:t>
                  </w:r>
                </w:p>
              </w:tc>
              <w:tc>
                <w:tcPr>
                  <w:tcW w:w="940" w:type="pct"/>
                  <w:vAlign w:val="center"/>
                </w:tcPr>
                <w:p w14:paraId="1BE446E9">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r>
                    <w:rPr>
                      <w:rFonts w:hint="eastAsia" w:ascii="Times New Roman" w:hAnsi="Times New Roman" w:eastAsia="宋体" w:cs="Times New Roman"/>
                      <w:color w:val="auto"/>
                      <w:szCs w:val="21"/>
                    </w:rPr>
                    <w:t>0.720</w:t>
                  </w:r>
                  <w:r>
                    <w:rPr>
                      <w:rFonts w:hint="default" w:ascii="Times New Roman" w:hAnsi="Times New Roman" w:eastAsia="宋体" w:cs="Times New Roman"/>
                      <w:color w:val="auto"/>
                      <w:szCs w:val="21"/>
                    </w:rPr>
                    <w:t>t/a</w:t>
                  </w:r>
                </w:p>
              </w:tc>
              <w:tc>
                <w:tcPr>
                  <w:tcW w:w="1356" w:type="pct"/>
                  <w:vMerge w:val="continue"/>
                  <w:vAlign w:val="center"/>
                </w:tcPr>
                <w:p w14:paraId="1F8112B7">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p>
              </w:tc>
              <w:tc>
                <w:tcPr>
                  <w:tcW w:w="1354" w:type="pct"/>
                  <w:vMerge w:val="continue"/>
                  <w:vAlign w:val="center"/>
                </w:tcPr>
                <w:p w14:paraId="35B7C78E">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p>
              </w:tc>
            </w:tr>
            <w:tr w14:paraId="0676F1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253" w:type="pct"/>
                  <w:vMerge w:val="continue"/>
                  <w:vAlign w:val="center"/>
                </w:tcPr>
                <w:p w14:paraId="58F3420C">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p>
              </w:tc>
              <w:tc>
                <w:tcPr>
                  <w:tcW w:w="279" w:type="pct"/>
                  <w:vMerge w:val="continue"/>
                  <w:vAlign w:val="center"/>
                </w:tcPr>
                <w:p w14:paraId="0739B57B">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p>
              </w:tc>
              <w:tc>
                <w:tcPr>
                  <w:tcW w:w="815" w:type="pct"/>
                  <w:vAlign w:val="center"/>
                </w:tcPr>
                <w:p w14:paraId="4BF3F178">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rPr>
                    <w:t>氨氮</w:t>
                  </w:r>
                </w:p>
              </w:tc>
              <w:tc>
                <w:tcPr>
                  <w:tcW w:w="940" w:type="pct"/>
                  <w:vAlign w:val="center"/>
                </w:tcPr>
                <w:p w14:paraId="688374DD">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r>
                    <w:rPr>
                      <w:rFonts w:hint="eastAsia" w:ascii="Times New Roman" w:hAnsi="Times New Roman" w:eastAsia="宋体" w:cs="Times New Roman"/>
                      <w:color w:val="auto"/>
                      <w:szCs w:val="21"/>
                    </w:rPr>
                    <w:t>0.036</w:t>
                  </w:r>
                  <w:r>
                    <w:rPr>
                      <w:rFonts w:hint="default" w:ascii="Times New Roman" w:hAnsi="Times New Roman" w:eastAsia="宋体" w:cs="Times New Roman"/>
                      <w:color w:val="auto"/>
                      <w:szCs w:val="21"/>
                    </w:rPr>
                    <w:t>t/a</w:t>
                  </w:r>
                </w:p>
              </w:tc>
              <w:tc>
                <w:tcPr>
                  <w:tcW w:w="1356" w:type="pct"/>
                  <w:vMerge w:val="continue"/>
                  <w:vAlign w:val="center"/>
                </w:tcPr>
                <w:p w14:paraId="16272E2F">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p>
              </w:tc>
              <w:tc>
                <w:tcPr>
                  <w:tcW w:w="1354" w:type="pct"/>
                  <w:vMerge w:val="continue"/>
                  <w:vAlign w:val="center"/>
                </w:tcPr>
                <w:p w14:paraId="78238A20">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p>
              </w:tc>
            </w:tr>
            <w:tr w14:paraId="03BF4F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253" w:type="pct"/>
                  <w:vMerge w:val="continue"/>
                  <w:vAlign w:val="center"/>
                </w:tcPr>
                <w:p w14:paraId="1C21493F">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p>
              </w:tc>
              <w:tc>
                <w:tcPr>
                  <w:tcW w:w="1094" w:type="pct"/>
                  <w:gridSpan w:val="2"/>
                  <w:vAlign w:val="center"/>
                </w:tcPr>
                <w:p w14:paraId="4403A47E">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rPr>
                    <w:t>冷却水</w:t>
                  </w:r>
                </w:p>
              </w:tc>
              <w:tc>
                <w:tcPr>
                  <w:tcW w:w="940" w:type="pct"/>
                  <w:vAlign w:val="center"/>
                </w:tcPr>
                <w:p w14:paraId="5ACA4EDD">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rPr>
                    <w:t>/</w:t>
                  </w:r>
                </w:p>
              </w:tc>
              <w:tc>
                <w:tcPr>
                  <w:tcW w:w="1356" w:type="pct"/>
                  <w:vAlign w:val="center"/>
                </w:tcPr>
                <w:p w14:paraId="1E404D01">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rPr>
                    <w:t>循环使用不排放，只需定期补充新鲜水即可</w:t>
                  </w:r>
                </w:p>
              </w:tc>
              <w:tc>
                <w:tcPr>
                  <w:tcW w:w="1354" w:type="pct"/>
                  <w:vAlign w:val="center"/>
                </w:tcPr>
                <w:p w14:paraId="23D6D53D">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rPr>
                    <w:t>循环使用不排放，只需定期补充新鲜水即可</w:t>
                  </w:r>
                </w:p>
              </w:tc>
            </w:tr>
            <w:tr w14:paraId="1B667F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253" w:type="pct"/>
                  <w:vMerge w:val="restart"/>
                  <w:vAlign w:val="center"/>
                </w:tcPr>
                <w:p w14:paraId="5D5F0F2F">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rPr>
                    <w:t>废气</w:t>
                  </w:r>
                </w:p>
              </w:tc>
              <w:tc>
                <w:tcPr>
                  <w:tcW w:w="279" w:type="pct"/>
                  <w:vAlign w:val="center"/>
                </w:tcPr>
                <w:p w14:paraId="22D6584A">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rPr>
                    <w:t>投料粉尘</w:t>
                  </w:r>
                </w:p>
              </w:tc>
              <w:tc>
                <w:tcPr>
                  <w:tcW w:w="815" w:type="pct"/>
                  <w:vAlign w:val="center"/>
                </w:tcPr>
                <w:p w14:paraId="1405DD09">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rPr>
                    <w:t>颗粒物</w:t>
                  </w:r>
                </w:p>
              </w:tc>
              <w:tc>
                <w:tcPr>
                  <w:tcW w:w="940" w:type="pct"/>
                  <w:vAlign w:val="center"/>
                </w:tcPr>
                <w:p w14:paraId="3FFD670E">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rPr>
                    <w:t>有组织</w:t>
                  </w:r>
                  <w:r>
                    <w:rPr>
                      <w:rFonts w:hint="eastAsia" w:ascii="Times New Roman" w:hAnsi="Times New Roman" w:eastAsia="宋体" w:cs="Times New Roman"/>
                      <w:color w:val="auto"/>
                      <w:szCs w:val="21"/>
                    </w:rPr>
                    <w:t>0.397</w:t>
                  </w:r>
                  <w:r>
                    <w:rPr>
                      <w:rFonts w:hint="default" w:ascii="Times New Roman" w:hAnsi="Times New Roman" w:eastAsia="宋体" w:cs="Times New Roman"/>
                      <w:color w:val="auto"/>
                      <w:szCs w:val="21"/>
                    </w:rPr>
                    <w:t>t/a</w:t>
                  </w:r>
                </w:p>
              </w:tc>
              <w:tc>
                <w:tcPr>
                  <w:tcW w:w="1356" w:type="pct"/>
                  <w:vAlign w:val="center"/>
                </w:tcPr>
                <w:p w14:paraId="7767542E">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rPr>
                    <w:t>在粉料投料仓上方设置一体式围挡式集气罩，只在操作面设置投料口，投料粉尘经集气罩收集后通过一套脉冲式布袋除尘器（TA001）处理，尾气由一根15m高的排气筒DA001排放</w:t>
                  </w:r>
                </w:p>
              </w:tc>
              <w:tc>
                <w:tcPr>
                  <w:tcW w:w="1354" w:type="pct"/>
                  <w:vAlign w:val="center"/>
                </w:tcPr>
                <w:p w14:paraId="52156F95">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rPr>
                    <w:t>在粉料投料仓上方设置一体式围挡式集气罩，只在操作面设置投料口，并做加盖设计，投料粉尘经收集后通过一套脉冲式布袋除尘器（TA001）处理，尾气由一根22m高的排气筒DA001排放</w:t>
                  </w:r>
                </w:p>
              </w:tc>
            </w:tr>
            <w:tr w14:paraId="65B2D3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253" w:type="pct"/>
                  <w:vMerge w:val="continue"/>
                  <w:vAlign w:val="center"/>
                </w:tcPr>
                <w:p w14:paraId="46297EDF">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p>
              </w:tc>
              <w:tc>
                <w:tcPr>
                  <w:tcW w:w="279" w:type="pct"/>
                  <w:vMerge w:val="restart"/>
                  <w:vAlign w:val="center"/>
                </w:tcPr>
                <w:p w14:paraId="40F4FA38">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rPr>
                    <w:t>挥发废气</w:t>
                  </w:r>
                </w:p>
              </w:tc>
              <w:tc>
                <w:tcPr>
                  <w:tcW w:w="815" w:type="pct"/>
                  <w:vAlign w:val="center"/>
                </w:tcPr>
                <w:p w14:paraId="112FFB95">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rPr>
                    <w:t>非甲烷总烃</w:t>
                  </w:r>
                </w:p>
              </w:tc>
              <w:tc>
                <w:tcPr>
                  <w:tcW w:w="940" w:type="pct"/>
                  <w:vAlign w:val="center"/>
                </w:tcPr>
                <w:p w14:paraId="78D3304F">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commentRangeStart w:id="46"/>
                  <w:commentRangeStart w:id="47"/>
                  <w:r>
                    <w:rPr>
                      <w:rFonts w:hint="default" w:ascii="Times New Roman" w:hAnsi="Times New Roman" w:eastAsia="宋体" w:cs="Times New Roman"/>
                      <w:color w:val="auto"/>
                      <w:szCs w:val="21"/>
                    </w:rPr>
                    <w:t>有组织0.759t/a</w:t>
                  </w:r>
                  <w:commentRangeEnd w:id="46"/>
                  <w:r>
                    <w:rPr>
                      <w:rFonts w:hint="default"/>
                    </w:rPr>
                    <w:commentReference w:id="46"/>
                  </w:r>
                  <w:commentRangeEnd w:id="47"/>
                  <w:r>
                    <w:rPr>
                      <w:rFonts w:hint="default"/>
                    </w:rPr>
                    <w:commentReference w:id="47"/>
                  </w:r>
                </w:p>
              </w:tc>
              <w:tc>
                <w:tcPr>
                  <w:tcW w:w="1356" w:type="pct"/>
                  <w:vMerge w:val="restart"/>
                  <w:vAlign w:val="center"/>
                </w:tcPr>
                <w:p w14:paraId="58F134D8">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rPr>
                    <w:t>混合、搅拌工序采用真空泵进行抽气，本项目隧道式烤箱均为全密闭隧道式设备，在一次烘道进出口设置全密闭风罩，仅留出进出口通道，保证通风排气效果且在隧道内形成微负压，减少无组织废气外排，废气经收集后通过一套水喷淋+干式过滤+二级活性炭吸附装置（TA002）处理，尾气由一根15m高的排气筒DA002排放；本项目二次固化除在进出口通道增加全密闭风罩外，每个烘道顶部还配有三个排气管道，厂房二层制片车间东区废气经收集后通过一套水喷淋+干式过滤+二级活性炭吸附装置（TA003）处理，尾气由一根15m高的排气筒DA003排放；厂房二层制片车间西区废气经收集后通过一套水喷淋+干式过滤+二级活性炭吸附装置（TA004）处理，尾气由一根15m高的排气筒DA004排放；本项目背胶车间整体密闭，背胶工序挥发废气产生点多面广，要求企业在生产车间进行整体抽风，生产时车间必须与车间外区域进行隔离，人员及物流进出口（项目背胶车间仅设置一个进出口）在非必要情况下也必须处于关闭状态，使生产车间整体处于相对密闭状态，因此车间密闭性良好，仅在开关门时会有少量废气逸散，废气经收集后通过一套水喷淋+干式过滤+二级活性炭吸附装置（TA005）处理，尾气由一根15m高的排气筒DA005排放；本项目拼接车间整体密闭，粘接时间仅为几秒且粘接面积极小，挥发废气源强极小，对环境影响较小，以无组织形式扩散</w:t>
                  </w:r>
                </w:p>
              </w:tc>
              <w:tc>
                <w:tcPr>
                  <w:tcW w:w="1354" w:type="pct"/>
                  <w:vMerge w:val="restart"/>
                  <w:vAlign w:val="center"/>
                </w:tcPr>
                <w:p w14:paraId="38851CE8">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rPr>
                    <w:t>混合、搅拌工序采用真空泵进行抽气，隧道式烤箱均为全密闭隧道式设备，在一次烘道进出口设置全密闭风罩，仅留出进出口通道，保证通风排气效果且在隧道内形成微负压，减少无组织废气外排，废气经收集后通过一套干式过滤+热交换+静电除油+二级活性炭吸附装置（TA002）处理，尾气由一根22m高的排气筒DA002排放；本项目二次固化除在进出口通道增加全密闭风罩外，每个烘道顶部还配有三个排气管道，废气经收集后通过一套干式过滤+热交换+静电除油+二级活性炭吸附装置（TA003）处理，尾气由一根22m高的排气筒DA003排放；本项目背胶车间整体密闭，背胶工序挥发废气产生点多面广，在生产车间进行整体抽风，生产时车间必须与车间外区域进行隔离，人员及物流进出口（项目背胶车间仅设置一个进出口）在非必要情况下也必须处于关闭状态，使生产车间整体处于相对密闭状态，因此车间密闭性良好，仅在开关门时会有少量废气逸散，废气经收集后通过一套干式过滤+二级活性炭吸附装置（TA004）处理，尾气由一根22m高的排气筒DA004排放；本项目拼接车间整体密闭，粘接时间仅为几秒且粘接面积极小，挥发废气源强极小，对环境影响较小，以无组织形式扩散</w:t>
                  </w:r>
                </w:p>
              </w:tc>
            </w:tr>
            <w:tr w14:paraId="750273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253" w:type="pct"/>
                  <w:vMerge w:val="continue"/>
                  <w:vAlign w:val="center"/>
                </w:tcPr>
                <w:p w14:paraId="18626907">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p>
              </w:tc>
              <w:tc>
                <w:tcPr>
                  <w:tcW w:w="279" w:type="pct"/>
                  <w:vMerge w:val="continue"/>
                  <w:vAlign w:val="center"/>
                </w:tcPr>
                <w:p w14:paraId="126402C5">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p>
              </w:tc>
              <w:tc>
                <w:tcPr>
                  <w:tcW w:w="815" w:type="pct"/>
                  <w:vAlign w:val="center"/>
                </w:tcPr>
                <w:p w14:paraId="21CAEF26">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rPr>
                    <w:t>臭气浓度</w:t>
                  </w:r>
                </w:p>
              </w:tc>
              <w:tc>
                <w:tcPr>
                  <w:tcW w:w="940" w:type="pct"/>
                  <w:vAlign w:val="center"/>
                </w:tcPr>
                <w:p w14:paraId="01454566">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rPr>
                    <w:t>达到《恶臭污染物排放标准》（GB14554-93）表2中的标准值、《湖州市塑料行业废气整治规范》中的较严格限值</w:t>
                  </w:r>
                </w:p>
              </w:tc>
              <w:tc>
                <w:tcPr>
                  <w:tcW w:w="1356" w:type="pct"/>
                  <w:vMerge w:val="continue"/>
                  <w:vAlign w:val="center"/>
                </w:tcPr>
                <w:p w14:paraId="5983FD32">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p>
              </w:tc>
              <w:tc>
                <w:tcPr>
                  <w:tcW w:w="1354" w:type="pct"/>
                  <w:vMerge w:val="continue"/>
                  <w:vAlign w:val="center"/>
                </w:tcPr>
                <w:p w14:paraId="37954846">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p>
              </w:tc>
            </w:tr>
            <w:tr w14:paraId="70B303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253" w:type="pct"/>
                  <w:vMerge w:val="restart"/>
                  <w:vAlign w:val="center"/>
                </w:tcPr>
                <w:p w14:paraId="7A273F43">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rPr>
                    <w:t>固废</w:t>
                  </w:r>
                </w:p>
              </w:tc>
              <w:tc>
                <w:tcPr>
                  <w:tcW w:w="1094" w:type="pct"/>
                  <w:gridSpan w:val="2"/>
                  <w:vAlign w:val="center"/>
                </w:tcPr>
                <w:p w14:paraId="4EB2F5A2">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rPr>
                    <w:t>生活垃圾</w:t>
                  </w:r>
                </w:p>
              </w:tc>
              <w:tc>
                <w:tcPr>
                  <w:tcW w:w="940" w:type="pct"/>
                  <w:vAlign w:val="center"/>
                </w:tcPr>
                <w:p w14:paraId="42863147">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rPr>
                    <w:t>0</w:t>
                  </w:r>
                </w:p>
                <w:p w14:paraId="311D3A13">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rPr>
                    <w:t>（</w:t>
                  </w:r>
                  <w:r>
                    <w:rPr>
                      <w:rFonts w:hint="eastAsia" w:ascii="Times New Roman" w:hAnsi="Times New Roman" w:eastAsia="宋体" w:cs="Times New Roman"/>
                      <w:color w:val="auto"/>
                      <w:szCs w:val="21"/>
                    </w:rPr>
                    <w:t>150</w:t>
                  </w:r>
                  <w:r>
                    <w:rPr>
                      <w:rFonts w:hint="default" w:ascii="Times New Roman" w:hAnsi="Times New Roman" w:eastAsia="宋体" w:cs="Times New Roman"/>
                      <w:color w:val="auto"/>
                      <w:szCs w:val="21"/>
                    </w:rPr>
                    <w:t>t/a）</w:t>
                  </w:r>
                </w:p>
              </w:tc>
              <w:tc>
                <w:tcPr>
                  <w:tcW w:w="1356" w:type="pct"/>
                  <w:vAlign w:val="center"/>
                </w:tcPr>
                <w:p w14:paraId="4949B71B">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rPr>
                    <w:t>收集后由环卫部门统一清运</w:t>
                  </w:r>
                </w:p>
              </w:tc>
              <w:tc>
                <w:tcPr>
                  <w:tcW w:w="1354" w:type="pct"/>
                  <w:vAlign w:val="center"/>
                </w:tcPr>
                <w:p w14:paraId="2C02563C">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rPr>
                    <w:t>收集后由环卫部门统一清运</w:t>
                  </w:r>
                </w:p>
              </w:tc>
            </w:tr>
            <w:tr w14:paraId="052886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253" w:type="pct"/>
                  <w:vMerge w:val="continue"/>
                  <w:vAlign w:val="center"/>
                </w:tcPr>
                <w:p w14:paraId="1EAB7E69">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p>
              </w:tc>
              <w:tc>
                <w:tcPr>
                  <w:tcW w:w="279" w:type="pct"/>
                  <w:vMerge w:val="restart"/>
                  <w:vAlign w:val="center"/>
                </w:tcPr>
                <w:p w14:paraId="341D42CF">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rPr>
                    <w:t>一般固废</w:t>
                  </w:r>
                </w:p>
              </w:tc>
              <w:tc>
                <w:tcPr>
                  <w:tcW w:w="815" w:type="pct"/>
                  <w:vAlign w:val="center"/>
                </w:tcPr>
                <w:p w14:paraId="6198CFAC">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rPr>
                    <w:t>废包装</w:t>
                  </w:r>
                </w:p>
                <w:p w14:paraId="3E63D679">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rPr>
                    <w:t>材料</w:t>
                  </w:r>
                </w:p>
              </w:tc>
              <w:tc>
                <w:tcPr>
                  <w:tcW w:w="940" w:type="pct"/>
                  <w:vAlign w:val="center"/>
                </w:tcPr>
                <w:p w14:paraId="1727A365">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rPr>
                    <w:t>0</w:t>
                  </w:r>
                </w:p>
                <w:p w14:paraId="66B41F73">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rPr>
                    <w:t>（</w:t>
                  </w:r>
                  <w:r>
                    <w:rPr>
                      <w:rFonts w:hint="eastAsia" w:ascii="Times New Roman" w:hAnsi="Times New Roman" w:eastAsia="宋体" w:cs="Times New Roman"/>
                      <w:color w:val="auto"/>
                      <w:szCs w:val="21"/>
                    </w:rPr>
                    <w:t>7</w:t>
                  </w:r>
                  <w:r>
                    <w:rPr>
                      <w:rFonts w:hint="default" w:ascii="Times New Roman" w:hAnsi="Times New Roman" w:eastAsia="宋体" w:cs="Times New Roman"/>
                      <w:color w:val="auto"/>
                      <w:szCs w:val="21"/>
                    </w:rPr>
                    <w:t>t/a）</w:t>
                  </w:r>
                </w:p>
              </w:tc>
              <w:tc>
                <w:tcPr>
                  <w:tcW w:w="1356" w:type="pct"/>
                  <w:vMerge w:val="restart"/>
                  <w:vAlign w:val="center"/>
                </w:tcPr>
                <w:p w14:paraId="27275CBD">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rPr>
                    <w:t>收集后外卖处置</w:t>
                  </w:r>
                </w:p>
              </w:tc>
              <w:tc>
                <w:tcPr>
                  <w:tcW w:w="1354" w:type="pct"/>
                  <w:vMerge w:val="restart"/>
                  <w:vAlign w:val="center"/>
                </w:tcPr>
                <w:p w14:paraId="2C1D8FF5">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rPr>
                    <w:t>收集后由安吉美境再生资源回收有限公司/浙江安吉年丰再生资源回收有限公司/杭州临安航凡废旧物资回收有限公司/深圳市绿环再生资源开发有限公司处置</w:t>
                  </w:r>
                </w:p>
              </w:tc>
            </w:tr>
            <w:tr w14:paraId="518942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253" w:type="pct"/>
                  <w:vMerge w:val="continue"/>
                  <w:vAlign w:val="center"/>
                </w:tcPr>
                <w:p w14:paraId="7ECCA1D6">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p>
              </w:tc>
              <w:tc>
                <w:tcPr>
                  <w:tcW w:w="279" w:type="pct"/>
                  <w:vMerge w:val="continue"/>
                  <w:vAlign w:val="center"/>
                </w:tcPr>
                <w:p w14:paraId="0B697EFD">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p>
              </w:tc>
              <w:tc>
                <w:tcPr>
                  <w:tcW w:w="815" w:type="pct"/>
                  <w:vAlign w:val="center"/>
                </w:tcPr>
                <w:p w14:paraId="69396748">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rPr>
                    <w:t>废PET膜</w:t>
                  </w:r>
                </w:p>
              </w:tc>
              <w:tc>
                <w:tcPr>
                  <w:tcW w:w="940" w:type="pct"/>
                  <w:vAlign w:val="center"/>
                </w:tcPr>
                <w:p w14:paraId="5A3C17E9">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rPr>
                    <w:t>0</w:t>
                  </w:r>
                </w:p>
                <w:p w14:paraId="4E6E2EEB">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rPr>
                    <w:t>（</w:t>
                  </w:r>
                  <w:r>
                    <w:rPr>
                      <w:rFonts w:hint="eastAsia" w:ascii="Times New Roman" w:hAnsi="Times New Roman" w:eastAsia="宋体" w:cs="Times New Roman"/>
                      <w:color w:val="auto"/>
                      <w:szCs w:val="21"/>
                    </w:rPr>
                    <w:t>832</w:t>
                  </w:r>
                  <w:r>
                    <w:rPr>
                      <w:rFonts w:hint="default" w:ascii="Times New Roman" w:hAnsi="Times New Roman" w:eastAsia="宋体" w:cs="Times New Roman"/>
                      <w:color w:val="auto"/>
                      <w:szCs w:val="21"/>
                    </w:rPr>
                    <w:t>t/a）</w:t>
                  </w:r>
                </w:p>
              </w:tc>
              <w:tc>
                <w:tcPr>
                  <w:tcW w:w="1356" w:type="pct"/>
                  <w:vMerge w:val="continue"/>
                  <w:vAlign w:val="center"/>
                </w:tcPr>
                <w:p w14:paraId="740ACF13">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p>
              </w:tc>
              <w:tc>
                <w:tcPr>
                  <w:tcW w:w="1354" w:type="pct"/>
                  <w:vMerge w:val="continue"/>
                  <w:vAlign w:val="center"/>
                </w:tcPr>
                <w:p w14:paraId="5DB706B5">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p>
              </w:tc>
            </w:tr>
            <w:tr w14:paraId="3EA3A9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253" w:type="pct"/>
                  <w:vMerge w:val="continue"/>
                  <w:vAlign w:val="center"/>
                </w:tcPr>
                <w:p w14:paraId="19D714D2">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p>
              </w:tc>
              <w:tc>
                <w:tcPr>
                  <w:tcW w:w="279" w:type="pct"/>
                  <w:vMerge w:val="continue"/>
                  <w:vAlign w:val="center"/>
                </w:tcPr>
                <w:p w14:paraId="6B466B6B">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p>
              </w:tc>
              <w:tc>
                <w:tcPr>
                  <w:tcW w:w="815" w:type="pct"/>
                  <w:vAlign w:val="center"/>
                </w:tcPr>
                <w:p w14:paraId="0793CB61">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rPr>
                    <w:t>边角料及次品</w:t>
                  </w:r>
                </w:p>
              </w:tc>
              <w:tc>
                <w:tcPr>
                  <w:tcW w:w="940" w:type="pct"/>
                  <w:vAlign w:val="center"/>
                </w:tcPr>
                <w:p w14:paraId="4BEE041B">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rPr>
                    <w:t>0</w:t>
                  </w:r>
                </w:p>
                <w:p w14:paraId="05205EAC">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rPr>
                    <w:t>（</w:t>
                  </w:r>
                  <w:r>
                    <w:rPr>
                      <w:rFonts w:hint="eastAsia" w:ascii="Times New Roman" w:hAnsi="Times New Roman" w:eastAsia="宋体" w:cs="Times New Roman"/>
                      <w:color w:val="auto"/>
                      <w:szCs w:val="21"/>
                    </w:rPr>
                    <w:t>152</w:t>
                  </w:r>
                  <w:r>
                    <w:rPr>
                      <w:rFonts w:hint="default" w:ascii="Times New Roman" w:hAnsi="Times New Roman" w:eastAsia="宋体" w:cs="Times New Roman"/>
                      <w:color w:val="auto"/>
                      <w:szCs w:val="21"/>
                    </w:rPr>
                    <w:t>t/a）</w:t>
                  </w:r>
                </w:p>
              </w:tc>
              <w:tc>
                <w:tcPr>
                  <w:tcW w:w="1356" w:type="pct"/>
                  <w:vMerge w:val="continue"/>
                  <w:vAlign w:val="center"/>
                </w:tcPr>
                <w:p w14:paraId="45DC9E50">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p>
              </w:tc>
              <w:tc>
                <w:tcPr>
                  <w:tcW w:w="1354" w:type="pct"/>
                  <w:vMerge w:val="continue"/>
                  <w:vAlign w:val="center"/>
                </w:tcPr>
                <w:p w14:paraId="3BB234E3">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p>
              </w:tc>
            </w:tr>
            <w:tr w14:paraId="659DC2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253" w:type="pct"/>
                  <w:vMerge w:val="continue"/>
                  <w:vAlign w:val="center"/>
                </w:tcPr>
                <w:p w14:paraId="27A7A6F2">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p>
              </w:tc>
              <w:tc>
                <w:tcPr>
                  <w:tcW w:w="279" w:type="pct"/>
                  <w:vMerge w:val="continue"/>
                  <w:vAlign w:val="center"/>
                </w:tcPr>
                <w:p w14:paraId="65BC5E6A">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p>
              </w:tc>
              <w:tc>
                <w:tcPr>
                  <w:tcW w:w="815" w:type="pct"/>
                  <w:vAlign w:val="center"/>
                </w:tcPr>
                <w:p w14:paraId="067EF3CF">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rPr>
                    <w:t>废PE膜</w:t>
                  </w:r>
                </w:p>
              </w:tc>
              <w:tc>
                <w:tcPr>
                  <w:tcW w:w="940" w:type="pct"/>
                  <w:vAlign w:val="center"/>
                </w:tcPr>
                <w:p w14:paraId="4F5C03DF">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rPr>
                    <w:t>0</w:t>
                  </w:r>
                </w:p>
                <w:p w14:paraId="180D5A48">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rPr>
                    <w:t>（</w:t>
                  </w:r>
                  <w:r>
                    <w:rPr>
                      <w:rFonts w:hint="eastAsia" w:ascii="Times New Roman" w:hAnsi="Times New Roman" w:eastAsia="宋体" w:cs="Times New Roman"/>
                      <w:color w:val="auto"/>
                      <w:szCs w:val="21"/>
                    </w:rPr>
                    <w:t>0.3</w:t>
                  </w:r>
                  <w:r>
                    <w:rPr>
                      <w:rFonts w:hint="default" w:ascii="Times New Roman" w:hAnsi="Times New Roman" w:eastAsia="宋体" w:cs="Times New Roman"/>
                      <w:color w:val="auto"/>
                      <w:szCs w:val="21"/>
                    </w:rPr>
                    <w:t>t/a）</w:t>
                  </w:r>
                </w:p>
              </w:tc>
              <w:tc>
                <w:tcPr>
                  <w:tcW w:w="1356" w:type="pct"/>
                  <w:vMerge w:val="continue"/>
                  <w:vAlign w:val="center"/>
                </w:tcPr>
                <w:p w14:paraId="534D2E95">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p>
              </w:tc>
              <w:tc>
                <w:tcPr>
                  <w:tcW w:w="1354" w:type="pct"/>
                  <w:vMerge w:val="continue"/>
                  <w:vAlign w:val="center"/>
                </w:tcPr>
                <w:p w14:paraId="7E984663">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p>
              </w:tc>
            </w:tr>
            <w:tr w14:paraId="02CC69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253" w:type="pct"/>
                  <w:vMerge w:val="continue"/>
                  <w:vAlign w:val="center"/>
                </w:tcPr>
                <w:p w14:paraId="703F56EC">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p>
              </w:tc>
              <w:tc>
                <w:tcPr>
                  <w:tcW w:w="279" w:type="pct"/>
                  <w:vMerge w:val="continue"/>
                  <w:vAlign w:val="center"/>
                </w:tcPr>
                <w:p w14:paraId="48F698CA">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p>
              </w:tc>
              <w:tc>
                <w:tcPr>
                  <w:tcW w:w="815" w:type="pct"/>
                  <w:vAlign w:val="center"/>
                </w:tcPr>
                <w:p w14:paraId="37505D5E">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rPr>
                    <w:t>收集的</w:t>
                  </w:r>
                </w:p>
                <w:p w14:paraId="211AACC7">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rPr>
                    <w:t>粉尘</w:t>
                  </w:r>
                </w:p>
              </w:tc>
              <w:tc>
                <w:tcPr>
                  <w:tcW w:w="940" w:type="pct"/>
                  <w:vAlign w:val="center"/>
                </w:tcPr>
                <w:p w14:paraId="176308AA">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rPr>
                    <w:t>0</w:t>
                  </w:r>
                </w:p>
                <w:p w14:paraId="4D502857">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rPr>
                    <w:t>（</w:t>
                  </w:r>
                  <w:r>
                    <w:rPr>
                      <w:rFonts w:hint="eastAsia" w:ascii="Times New Roman" w:hAnsi="Times New Roman" w:eastAsia="宋体" w:cs="Times New Roman"/>
                      <w:color w:val="auto"/>
                      <w:szCs w:val="21"/>
                    </w:rPr>
                    <w:t>39</w:t>
                  </w:r>
                  <w:r>
                    <w:rPr>
                      <w:rFonts w:hint="default" w:ascii="Times New Roman" w:hAnsi="Times New Roman" w:eastAsia="宋体" w:cs="Times New Roman"/>
                      <w:color w:val="auto"/>
                      <w:szCs w:val="21"/>
                    </w:rPr>
                    <w:t>t/a）</w:t>
                  </w:r>
                </w:p>
              </w:tc>
              <w:tc>
                <w:tcPr>
                  <w:tcW w:w="1356" w:type="pct"/>
                  <w:vAlign w:val="center"/>
                </w:tcPr>
                <w:p w14:paraId="17286F7E">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rPr>
                    <w:t>收集后回用于生产</w:t>
                  </w:r>
                </w:p>
              </w:tc>
              <w:tc>
                <w:tcPr>
                  <w:tcW w:w="1354" w:type="pct"/>
                  <w:vAlign w:val="center"/>
                </w:tcPr>
                <w:p w14:paraId="0549FF1B">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rPr>
                    <w:t>收集后回用于生产</w:t>
                  </w:r>
                </w:p>
              </w:tc>
            </w:tr>
            <w:tr w14:paraId="1B5B95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253" w:type="pct"/>
                  <w:vMerge w:val="continue"/>
                  <w:vAlign w:val="center"/>
                </w:tcPr>
                <w:p w14:paraId="76F74FC6">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p>
              </w:tc>
              <w:tc>
                <w:tcPr>
                  <w:tcW w:w="279" w:type="pct"/>
                  <w:vMerge w:val="restart"/>
                  <w:vAlign w:val="center"/>
                </w:tcPr>
                <w:p w14:paraId="08BC52B3">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rPr>
                    <w:t>危险废物</w:t>
                  </w:r>
                </w:p>
              </w:tc>
              <w:tc>
                <w:tcPr>
                  <w:tcW w:w="815" w:type="pct"/>
                  <w:vAlign w:val="center"/>
                </w:tcPr>
                <w:p w14:paraId="3BBD597F">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rPr>
                    <w:t>内衬袋</w:t>
                  </w:r>
                </w:p>
              </w:tc>
              <w:tc>
                <w:tcPr>
                  <w:tcW w:w="940" w:type="pct"/>
                  <w:vAlign w:val="center"/>
                </w:tcPr>
                <w:p w14:paraId="6A1F2704">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rPr>
                    <w:t>0</w:t>
                  </w:r>
                </w:p>
                <w:p w14:paraId="4828A20A">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rPr>
                    <w:t>（</w:t>
                  </w:r>
                  <w:r>
                    <w:rPr>
                      <w:rFonts w:hint="eastAsia" w:ascii="Times New Roman" w:hAnsi="Times New Roman" w:eastAsia="宋体" w:cs="Times New Roman"/>
                      <w:color w:val="auto"/>
                      <w:szCs w:val="21"/>
                    </w:rPr>
                    <w:t>0.7</w:t>
                  </w:r>
                  <w:r>
                    <w:rPr>
                      <w:rFonts w:hint="default" w:ascii="Times New Roman" w:hAnsi="Times New Roman" w:eastAsia="宋体" w:cs="Times New Roman"/>
                      <w:color w:val="auto"/>
                      <w:szCs w:val="21"/>
                    </w:rPr>
                    <w:t>t/a）</w:t>
                  </w:r>
                </w:p>
              </w:tc>
              <w:tc>
                <w:tcPr>
                  <w:tcW w:w="1356" w:type="pct"/>
                  <w:vMerge w:val="restart"/>
                  <w:vAlign w:val="center"/>
                </w:tcPr>
                <w:p w14:paraId="59DD2E73">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rPr>
                    <w:t>集中收集后委托资质单位安全处置</w:t>
                  </w:r>
                </w:p>
              </w:tc>
              <w:tc>
                <w:tcPr>
                  <w:tcW w:w="1354" w:type="pct"/>
                  <w:vMerge w:val="restart"/>
                  <w:vAlign w:val="center"/>
                </w:tcPr>
                <w:p w14:paraId="154BE34C">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rPr>
                    <w:t>集中收集后委托浙江悦胜环境科技有限公司安全处置</w:t>
                  </w:r>
                </w:p>
              </w:tc>
            </w:tr>
            <w:tr w14:paraId="7CA0F7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253" w:type="pct"/>
                  <w:vMerge w:val="continue"/>
                  <w:vAlign w:val="center"/>
                </w:tcPr>
                <w:p w14:paraId="2377C761">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p>
              </w:tc>
              <w:tc>
                <w:tcPr>
                  <w:tcW w:w="279" w:type="pct"/>
                  <w:vMerge w:val="continue"/>
                  <w:vAlign w:val="center"/>
                </w:tcPr>
                <w:p w14:paraId="4528A5C3">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p>
              </w:tc>
              <w:tc>
                <w:tcPr>
                  <w:tcW w:w="815" w:type="pct"/>
                  <w:vAlign w:val="center"/>
                </w:tcPr>
                <w:p w14:paraId="436BF54B">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rPr>
                    <w:t>破损的废包装桶</w:t>
                  </w:r>
                </w:p>
              </w:tc>
              <w:tc>
                <w:tcPr>
                  <w:tcW w:w="940" w:type="pct"/>
                  <w:vAlign w:val="center"/>
                </w:tcPr>
                <w:p w14:paraId="1FAE14B7">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rPr>
                    <w:t>0</w:t>
                  </w:r>
                </w:p>
                <w:p w14:paraId="745D7B7B">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rPr>
                    <w:t>（</w:t>
                  </w:r>
                  <w:r>
                    <w:rPr>
                      <w:rFonts w:hint="eastAsia" w:ascii="Times New Roman" w:hAnsi="Times New Roman" w:eastAsia="宋体" w:cs="Times New Roman"/>
                      <w:color w:val="auto"/>
                      <w:szCs w:val="21"/>
                    </w:rPr>
                    <w:t>7</w:t>
                  </w:r>
                  <w:r>
                    <w:rPr>
                      <w:rFonts w:hint="default" w:ascii="Times New Roman" w:hAnsi="Times New Roman" w:eastAsia="宋体" w:cs="Times New Roman"/>
                      <w:color w:val="auto"/>
                      <w:szCs w:val="21"/>
                    </w:rPr>
                    <w:t>t/a）</w:t>
                  </w:r>
                </w:p>
              </w:tc>
              <w:tc>
                <w:tcPr>
                  <w:tcW w:w="1356" w:type="pct"/>
                  <w:vMerge w:val="continue"/>
                  <w:vAlign w:val="center"/>
                </w:tcPr>
                <w:p w14:paraId="41571711">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p>
              </w:tc>
              <w:tc>
                <w:tcPr>
                  <w:tcW w:w="1354" w:type="pct"/>
                  <w:vMerge w:val="continue"/>
                  <w:vAlign w:val="center"/>
                </w:tcPr>
                <w:p w14:paraId="451CCAE8">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p>
              </w:tc>
            </w:tr>
            <w:tr w14:paraId="46E5F6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253" w:type="pct"/>
                  <w:vMerge w:val="continue"/>
                  <w:vAlign w:val="center"/>
                </w:tcPr>
                <w:p w14:paraId="4632A695">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p>
              </w:tc>
              <w:tc>
                <w:tcPr>
                  <w:tcW w:w="279" w:type="pct"/>
                  <w:vMerge w:val="continue"/>
                  <w:vAlign w:val="center"/>
                </w:tcPr>
                <w:p w14:paraId="202D7B85">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p>
              </w:tc>
              <w:tc>
                <w:tcPr>
                  <w:tcW w:w="815" w:type="pct"/>
                  <w:vAlign w:val="center"/>
                </w:tcPr>
                <w:p w14:paraId="0BE86B8C">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rPr>
                    <w:t>废液压油</w:t>
                  </w:r>
                </w:p>
              </w:tc>
              <w:tc>
                <w:tcPr>
                  <w:tcW w:w="940" w:type="pct"/>
                  <w:vAlign w:val="center"/>
                </w:tcPr>
                <w:p w14:paraId="6E727F3F">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rPr>
                    <w:t>0</w:t>
                  </w:r>
                </w:p>
                <w:p w14:paraId="3988863A">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rPr>
                    <w:t>（5t/5年）</w:t>
                  </w:r>
                </w:p>
              </w:tc>
              <w:tc>
                <w:tcPr>
                  <w:tcW w:w="1356" w:type="pct"/>
                  <w:vMerge w:val="continue"/>
                  <w:vAlign w:val="center"/>
                </w:tcPr>
                <w:p w14:paraId="4592401A">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p>
              </w:tc>
              <w:tc>
                <w:tcPr>
                  <w:tcW w:w="1354" w:type="pct"/>
                  <w:vMerge w:val="continue"/>
                  <w:vAlign w:val="center"/>
                </w:tcPr>
                <w:p w14:paraId="16B207E7">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p>
              </w:tc>
            </w:tr>
            <w:tr w14:paraId="06A170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253" w:type="pct"/>
                  <w:vMerge w:val="continue"/>
                  <w:vAlign w:val="center"/>
                </w:tcPr>
                <w:p w14:paraId="7F27739D">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p>
              </w:tc>
              <w:tc>
                <w:tcPr>
                  <w:tcW w:w="279" w:type="pct"/>
                  <w:vMerge w:val="continue"/>
                  <w:vAlign w:val="center"/>
                </w:tcPr>
                <w:p w14:paraId="278B4759">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p>
              </w:tc>
              <w:tc>
                <w:tcPr>
                  <w:tcW w:w="815" w:type="pct"/>
                  <w:vAlign w:val="center"/>
                </w:tcPr>
                <w:p w14:paraId="253CD7CF">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rPr>
                    <w:t>废导热油</w:t>
                  </w:r>
                </w:p>
              </w:tc>
              <w:tc>
                <w:tcPr>
                  <w:tcW w:w="940" w:type="pct"/>
                  <w:vAlign w:val="center"/>
                </w:tcPr>
                <w:p w14:paraId="2A2FD5B3">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rPr>
                    <w:t>0</w:t>
                  </w:r>
                </w:p>
                <w:p w14:paraId="08260208">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rPr>
                    <w:t>（2.5t/5年）</w:t>
                  </w:r>
                </w:p>
              </w:tc>
              <w:tc>
                <w:tcPr>
                  <w:tcW w:w="1356" w:type="pct"/>
                  <w:vMerge w:val="continue"/>
                  <w:vAlign w:val="center"/>
                </w:tcPr>
                <w:p w14:paraId="3528A3C1">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p>
              </w:tc>
              <w:tc>
                <w:tcPr>
                  <w:tcW w:w="1354" w:type="pct"/>
                  <w:vMerge w:val="continue"/>
                  <w:vAlign w:val="center"/>
                </w:tcPr>
                <w:p w14:paraId="731EFB73">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p>
              </w:tc>
            </w:tr>
            <w:tr w14:paraId="70DA49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253" w:type="pct"/>
                  <w:vMerge w:val="continue"/>
                  <w:vAlign w:val="center"/>
                </w:tcPr>
                <w:p w14:paraId="7A7506C9">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p>
              </w:tc>
              <w:tc>
                <w:tcPr>
                  <w:tcW w:w="279" w:type="pct"/>
                  <w:vMerge w:val="continue"/>
                  <w:vAlign w:val="center"/>
                </w:tcPr>
                <w:p w14:paraId="7692480C">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p>
              </w:tc>
              <w:tc>
                <w:tcPr>
                  <w:tcW w:w="815" w:type="pct"/>
                  <w:vAlign w:val="center"/>
                </w:tcPr>
                <w:p w14:paraId="64E2FE73">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rPr>
                    <w:t>废液压、导热油桶</w:t>
                  </w:r>
                </w:p>
              </w:tc>
              <w:tc>
                <w:tcPr>
                  <w:tcW w:w="940" w:type="pct"/>
                  <w:vAlign w:val="center"/>
                </w:tcPr>
                <w:p w14:paraId="734878FC">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rPr>
                    <w:t>0</w:t>
                  </w:r>
                </w:p>
                <w:p w14:paraId="3E565B60">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rPr>
                    <w:t>（0.8t/5年）</w:t>
                  </w:r>
                </w:p>
              </w:tc>
              <w:tc>
                <w:tcPr>
                  <w:tcW w:w="1356" w:type="pct"/>
                  <w:vMerge w:val="continue"/>
                  <w:vAlign w:val="center"/>
                </w:tcPr>
                <w:p w14:paraId="11FC4739">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p>
              </w:tc>
              <w:tc>
                <w:tcPr>
                  <w:tcW w:w="1354" w:type="pct"/>
                  <w:vMerge w:val="continue"/>
                  <w:vAlign w:val="center"/>
                </w:tcPr>
                <w:p w14:paraId="164504EA">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p>
              </w:tc>
            </w:tr>
            <w:tr w14:paraId="44BCE8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253" w:type="pct"/>
                  <w:vMerge w:val="continue"/>
                  <w:vAlign w:val="center"/>
                </w:tcPr>
                <w:p w14:paraId="0133E203">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p>
              </w:tc>
              <w:tc>
                <w:tcPr>
                  <w:tcW w:w="279" w:type="pct"/>
                  <w:vMerge w:val="continue"/>
                  <w:vAlign w:val="center"/>
                </w:tcPr>
                <w:p w14:paraId="3E7245F6">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p>
              </w:tc>
              <w:tc>
                <w:tcPr>
                  <w:tcW w:w="815" w:type="pct"/>
                  <w:vAlign w:val="center"/>
                </w:tcPr>
                <w:p w14:paraId="40F2C30A">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rPr>
                    <w:t>废润滑油</w:t>
                  </w:r>
                </w:p>
              </w:tc>
              <w:tc>
                <w:tcPr>
                  <w:tcW w:w="940" w:type="pct"/>
                  <w:vAlign w:val="center"/>
                </w:tcPr>
                <w:p w14:paraId="3C311F50">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rPr>
                    <w:t>0</w:t>
                  </w:r>
                </w:p>
                <w:p w14:paraId="438B213F">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rPr>
                    <w:t>（</w:t>
                  </w:r>
                  <w:r>
                    <w:rPr>
                      <w:rFonts w:hint="eastAsia" w:ascii="Times New Roman" w:hAnsi="Times New Roman" w:eastAsia="宋体" w:cs="Times New Roman"/>
                      <w:color w:val="auto"/>
                      <w:szCs w:val="21"/>
                    </w:rPr>
                    <w:t>1</w:t>
                  </w:r>
                  <w:r>
                    <w:rPr>
                      <w:rFonts w:hint="default" w:ascii="Times New Roman" w:hAnsi="Times New Roman" w:eastAsia="宋体" w:cs="Times New Roman"/>
                      <w:color w:val="auto"/>
                      <w:szCs w:val="21"/>
                    </w:rPr>
                    <w:t>t/a）</w:t>
                  </w:r>
                </w:p>
              </w:tc>
              <w:tc>
                <w:tcPr>
                  <w:tcW w:w="1356" w:type="pct"/>
                  <w:vMerge w:val="continue"/>
                  <w:vAlign w:val="center"/>
                </w:tcPr>
                <w:p w14:paraId="4B8737EA">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p>
              </w:tc>
              <w:tc>
                <w:tcPr>
                  <w:tcW w:w="1354" w:type="pct"/>
                  <w:vMerge w:val="continue"/>
                  <w:vAlign w:val="center"/>
                </w:tcPr>
                <w:p w14:paraId="1D78F788">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p>
              </w:tc>
            </w:tr>
            <w:tr w14:paraId="012858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253" w:type="pct"/>
                  <w:vMerge w:val="continue"/>
                  <w:vAlign w:val="center"/>
                </w:tcPr>
                <w:p w14:paraId="1E42D774">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p>
              </w:tc>
              <w:tc>
                <w:tcPr>
                  <w:tcW w:w="279" w:type="pct"/>
                  <w:vMerge w:val="continue"/>
                  <w:vAlign w:val="center"/>
                </w:tcPr>
                <w:p w14:paraId="055030B2">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p>
              </w:tc>
              <w:tc>
                <w:tcPr>
                  <w:tcW w:w="815" w:type="pct"/>
                  <w:vAlign w:val="center"/>
                </w:tcPr>
                <w:p w14:paraId="7068CEF0">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rPr>
                    <w:t>废润滑</w:t>
                  </w:r>
                </w:p>
                <w:p w14:paraId="7FD7C8D1">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rPr>
                    <w:t>油桶</w:t>
                  </w:r>
                </w:p>
              </w:tc>
              <w:tc>
                <w:tcPr>
                  <w:tcW w:w="940" w:type="pct"/>
                  <w:vAlign w:val="center"/>
                </w:tcPr>
                <w:p w14:paraId="143FEF0B">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rPr>
                    <w:t>0</w:t>
                  </w:r>
                </w:p>
                <w:p w14:paraId="73C228DF">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rPr>
                    <w:t>（</w:t>
                  </w:r>
                  <w:r>
                    <w:rPr>
                      <w:rFonts w:hint="eastAsia" w:ascii="Times New Roman" w:hAnsi="Times New Roman" w:eastAsia="宋体" w:cs="Times New Roman"/>
                      <w:color w:val="auto"/>
                      <w:szCs w:val="21"/>
                    </w:rPr>
                    <w:t>0.14</w:t>
                  </w:r>
                  <w:r>
                    <w:rPr>
                      <w:rFonts w:hint="default" w:ascii="Times New Roman" w:hAnsi="Times New Roman" w:eastAsia="宋体" w:cs="Times New Roman"/>
                      <w:color w:val="auto"/>
                      <w:szCs w:val="21"/>
                    </w:rPr>
                    <w:t>t/a）</w:t>
                  </w:r>
                </w:p>
              </w:tc>
              <w:tc>
                <w:tcPr>
                  <w:tcW w:w="1356" w:type="pct"/>
                  <w:vMerge w:val="continue"/>
                  <w:vAlign w:val="center"/>
                </w:tcPr>
                <w:p w14:paraId="7AA6F5D5">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p>
              </w:tc>
              <w:tc>
                <w:tcPr>
                  <w:tcW w:w="1354" w:type="pct"/>
                  <w:vMerge w:val="continue"/>
                  <w:vAlign w:val="center"/>
                </w:tcPr>
                <w:p w14:paraId="7231F246">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p>
              </w:tc>
            </w:tr>
            <w:tr w14:paraId="4ED920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253" w:type="pct"/>
                  <w:vMerge w:val="continue"/>
                  <w:vAlign w:val="center"/>
                </w:tcPr>
                <w:p w14:paraId="03C69E81">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p>
              </w:tc>
              <w:tc>
                <w:tcPr>
                  <w:tcW w:w="279" w:type="pct"/>
                  <w:vMerge w:val="continue"/>
                  <w:vAlign w:val="center"/>
                </w:tcPr>
                <w:p w14:paraId="75BB5BAE">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p>
              </w:tc>
              <w:tc>
                <w:tcPr>
                  <w:tcW w:w="815" w:type="pct"/>
                  <w:vAlign w:val="center"/>
                </w:tcPr>
                <w:p w14:paraId="2FB91CFA">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rPr>
                    <w:t>废弃的含油抹布及劳保用品</w:t>
                  </w:r>
                </w:p>
              </w:tc>
              <w:tc>
                <w:tcPr>
                  <w:tcW w:w="940" w:type="pct"/>
                  <w:vAlign w:val="center"/>
                </w:tcPr>
                <w:p w14:paraId="6B9979A9">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rPr>
                    <w:t>0</w:t>
                  </w:r>
                </w:p>
                <w:p w14:paraId="79DD363C">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rPr>
                    <w:t>（</w:t>
                  </w:r>
                  <w:r>
                    <w:rPr>
                      <w:rFonts w:hint="eastAsia" w:ascii="Times New Roman" w:hAnsi="Times New Roman" w:eastAsia="宋体" w:cs="Times New Roman"/>
                      <w:color w:val="auto"/>
                      <w:szCs w:val="21"/>
                    </w:rPr>
                    <w:t>0.5</w:t>
                  </w:r>
                  <w:r>
                    <w:rPr>
                      <w:rFonts w:hint="default" w:ascii="Times New Roman" w:hAnsi="Times New Roman" w:eastAsia="宋体" w:cs="Times New Roman"/>
                      <w:color w:val="auto"/>
                      <w:szCs w:val="21"/>
                    </w:rPr>
                    <w:t>t/a）</w:t>
                  </w:r>
                </w:p>
              </w:tc>
              <w:tc>
                <w:tcPr>
                  <w:tcW w:w="1356" w:type="pct"/>
                  <w:vMerge w:val="continue"/>
                  <w:vAlign w:val="center"/>
                </w:tcPr>
                <w:p w14:paraId="3676A717">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p>
              </w:tc>
              <w:tc>
                <w:tcPr>
                  <w:tcW w:w="1354" w:type="pct"/>
                  <w:vMerge w:val="continue"/>
                  <w:vAlign w:val="center"/>
                </w:tcPr>
                <w:p w14:paraId="00F4EA9C">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p>
              </w:tc>
            </w:tr>
            <w:tr w14:paraId="0EB5A2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253" w:type="pct"/>
                  <w:vMerge w:val="continue"/>
                  <w:vAlign w:val="center"/>
                </w:tcPr>
                <w:p w14:paraId="7AC30F80">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p>
              </w:tc>
              <w:tc>
                <w:tcPr>
                  <w:tcW w:w="279" w:type="pct"/>
                  <w:vMerge w:val="continue"/>
                  <w:vAlign w:val="center"/>
                </w:tcPr>
                <w:p w14:paraId="283688FA">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p>
              </w:tc>
              <w:tc>
                <w:tcPr>
                  <w:tcW w:w="815" w:type="pct"/>
                  <w:vAlign w:val="center"/>
                </w:tcPr>
                <w:p w14:paraId="4F31B2D0">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rPr>
                    <w:t>废过滤棉</w:t>
                  </w:r>
                </w:p>
              </w:tc>
              <w:tc>
                <w:tcPr>
                  <w:tcW w:w="940" w:type="pct"/>
                  <w:vAlign w:val="center"/>
                </w:tcPr>
                <w:p w14:paraId="40A5C727">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rPr>
                    <w:t>0</w:t>
                  </w:r>
                </w:p>
                <w:p w14:paraId="32D60B18">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rPr>
                    <w:t>（</w:t>
                  </w:r>
                  <w:r>
                    <w:rPr>
                      <w:rFonts w:hint="eastAsia" w:ascii="Times New Roman" w:hAnsi="Times New Roman" w:eastAsia="宋体" w:cs="Times New Roman"/>
                      <w:color w:val="auto"/>
                      <w:szCs w:val="21"/>
                    </w:rPr>
                    <w:t>0.36</w:t>
                  </w:r>
                  <w:r>
                    <w:rPr>
                      <w:rFonts w:hint="default" w:ascii="Times New Roman" w:hAnsi="Times New Roman" w:eastAsia="宋体" w:cs="Times New Roman"/>
                      <w:color w:val="auto"/>
                      <w:szCs w:val="21"/>
                    </w:rPr>
                    <w:t>t/a）</w:t>
                  </w:r>
                </w:p>
              </w:tc>
              <w:tc>
                <w:tcPr>
                  <w:tcW w:w="1356" w:type="pct"/>
                  <w:vMerge w:val="continue"/>
                  <w:vAlign w:val="center"/>
                </w:tcPr>
                <w:p w14:paraId="58746F15">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p>
              </w:tc>
              <w:tc>
                <w:tcPr>
                  <w:tcW w:w="1354" w:type="pct"/>
                  <w:vMerge w:val="continue"/>
                  <w:vAlign w:val="center"/>
                </w:tcPr>
                <w:p w14:paraId="05D670E5">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p>
              </w:tc>
            </w:tr>
            <w:tr w14:paraId="46335E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253" w:type="pct"/>
                  <w:vMerge w:val="continue"/>
                  <w:vAlign w:val="center"/>
                </w:tcPr>
                <w:p w14:paraId="6931D4B3">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p>
              </w:tc>
              <w:tc>
                <w:tcPr>
                  <w:tcW w:w="279" w:type="pct"/>
                  <w:vMerge w:val="continue"/>
                  <w:vAlign w:val="center"/>
                </w:tcPr>
                <w:p w14:paraId="37B9CA45">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p>
              </w:tc>
              <w:tc>
                <w:tcPr>
                  <w:tcW w:w="815" w:type="pct"/>
                  <w:vAlign w:val="center"/>
                </w:tcPr>
                <w:p w14:paraId="6D917A7A">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rPr>
                    <w:t>废油</w:t>
                  </w:r>
                </w:p>
              </w:tc>
              <w:tc>
                <w:tcPr>
                  <w:tcW w:w="940" w:type="pct"/>
                  <w:vAlign w:val="center"/>
                </w:tcPr>
                <w:p w14:paraId="01148A1E">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rPr>
                    <w:t>0</w:t>
                  </w:r>
                </w:p>
                <w:p w14:paraId="0C0354AD">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rPr>
                    <w:t>（</w:t>
                  </w:r>
                  <w:r>
                    <w:rPr>
                      <w:rFonts w:hint="eastAsia" w:ascii="Times New Roman" w:hAnsi="Times New Roman" w:eastAsia="宋体" w:cs="Times New Roman"/>
                      <w:color w:val="auto"/>
                      <w:szCs w:val="21"/>
                    </w:rPr>
                    <w:t>18</w:t>
                  </w:r>
                  <w:r>
                    <w:rPr>
                      <w:rFonts w:hint="default" w:ascii="Times New Roman" w:hAnsi="Times New Roman" w:eastAsia="宋体" w:cs="Times New Roman"/>
                      <w:color w:val="auto"/>
                      <w:szCs w:val="21"/>
                    </w:rPr>
                    <w:t>t/a）</w:t>
                  </w:r>
                </w:p>
              </w:tc>
              <w:tc>
                <w:tcPr>
                  <w:tcW w:w="1356" w:type="pct"/>
                  <w:vMerge w:val="continue"/>
                  <w:vAlign w:val="center"/>
                </w:tcPr>
                <w:p w14:paraId="76D43807">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p>
              </w:tc>
              <w:tc>
                <w:tcPr>
                  <w:tcW w:w="1354" w:type="pct"/>
                  <w:vAlign w:val="center"/>
                </w:tcPr>
                <w:p w14:paraId="46765F50">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rPr>
                    <w:t>集中收集后回用于生产</w:t>
                  </w:r>
                </w:p>
              </w:tc>
            </w:tr>
            <w:tr w14:paraId="08FFDE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253" w:type="pct"/>
                  <w:vMerge w:val="continue"/>
                  <w:vAlign w:val="center"/>
                </w:tcPr>
                <w:p w14:paraId="3BBEFC92">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p>
              </w:tc>
              <w:tc>
                <w:tcPr>
                  <w:tcW w:w="279" w:type="pct"/>
                  <w:vMerge w:val="continue"/>
                  <w:vAlign w:val="center"/>
                </w:tcPr>
                <w:p w14:paraId="28EC5378">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p>
              </w:tc>
              <w:tc>
                <w:tcPr>
                  <w:tcW w:w="1333" w:type="dxa"/>
                  <w:vAlign w:val="center"/>
                </w:tcPr>
                <w:p w14:paraId="0D4AE1B0">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rPr>
                    <w:t>废活性炭</w:t>
                  </w:r>
                </w:p>
              </w:tc>
              <w:tc>
                <w:tcPr>
                  <w:tcW w:w="940" w:type="pct"/>
                  <w:vAlign w:val="center"/>
                </w:tcPr>
                <w:p w14:paraId="0CC0CE2B">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rPr>
                    <w:t>0</w:t>
                  </w:r>
                </w:p>
                <w:p w14:paraId="5BB2080F">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rPr>
                    <w:t>（</w:t>
                  </w:r>
                  <w:r>
                    <w:rPr>
                      <w:rFonts w:hint="eastAsia" w:ascii="Times New Roman" w:hAnsi="Times New Roman" w:eastAsia="宋体" w:cs="Times New Roman"/>
                      <w:color w:val="auto"/>
                      <w:szCs w:val="21"/>
                    </w:rPr>
                    <w:t>94.4</w:t>
                  </w:r>
                  <w:r>
                    <w:rPr>
                      <w:rFonts w:hint="default" w:ascii="Times New Roman" w:hAnsi="Times New Roman" w:eastAsia="宋体" w:cs="Times New Roman"/>
                      <w:color w:val="auto"/>
                      <w:szCs w:val="21"/>
                    </w:rPr>
                    <w:t>t/a）</w:t>
                  </w:r>
                </w:p>
              </w:tc>
              <w:tc>
                <w:tcPr>
                  <w:tcW w:w="1356" w:type="pct"/>
                  <w:vAlign w:val="center"/>
                </w:tcPr>
                <w:p w14:paraId="57EC0961">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rPr>
                    <w:t>更换后由厂家回收处置，不在厂区暂存</w:t>
                  </w:r>
                </w:p>
              </w:tc>
              <w:tc>
                <w:tcPr>
                  <w:tcW w:w="1354" w:type="pct"/>
                  <w:vAlign w:val="center"/>
                </w:tcPr>
                <w:p w14:paraId="1530B797">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rPr>
                    <w:t>更换后由浙江悦胜环境科技有限公司回收处置，不在厂区暂存</w:t>
                  </w:r>
                </w:p>
              </w:tc>
            </w:tr>
            <w:tr w14:paraId="25429C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253" w:type="pct"/>
                  <w:vMerge w:val="continue"/>
                  <w:vAlign w:val="center"/>
                </w:tcPr>
                <w:p w14:paraId="5AFAE7F1">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p>
              </w:tc>
              <w:tc>
                <w:tcPr>
                  <w:tcW w:w="279" w:type="pct"/>
                  <w:vMerge w:val="continue"/>
                  <w:vAlign w:val="center"/>
                </w:tcPr>
                <w:p w14:paraId="66A0FDF6">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p>
              </w:tc>
              <w:tc>
                <w:tcPr>
                  <w:tcW w:w="1333" w:type="dxa"/>
                  <w:vAlign w:val="center"/>
                </w:tcPr>
                <w:p w14:paraId="493BB868">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rPr>
                    <w:t>喷淋废水</w:t>
                  </w:r>
                </w:p>
              </w:tc>
              <w:tc>
                <w:tcPr>
                  <w:tcW w:w="940" w:type="pct"/>
                  <w:vAlign w:val="center"/>
                </w:tcPr>
                <w:p w14:paraId="131E5928">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rPr>
                    <w:t>0</w:t>
                  </w:r>
                </w:p>
                <w:p w14:paraId="0E4F122D">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rPr>
                    <w:t>（</w:t>
                  </w:r>
                  <w:r>
                    <w:rPr>
                      <w:rFonts w:hint="eastAsia" w:ascii="Times New Roman" w:hAnsi="Times New Roman" w:eastAsia="宋体" w:cs="Times New Roman"/>
                      <w:color w:val="auto"/>
                      <w:szCs w:val="21"/>
                    </w:rPr>
                    <w:t>0</w:t>
                  </w:r>
                  <w:r>
                    <w:rPr>
                      <w:rFonts w:hint="default" w:ascii="Times New Roman" w:hAnsi="Times New Roman" w:eastAsia="宋体" w:cs="Times New Roman"/>
                      <w:color w:val="auto"/>
                      <w:szCs w:val="21"/>
                    </w:rPr>
                    <w:t>t/a）</w:t>
                  </w:r>
                </w:p>
              </w:tc>
              <w:tc>
                <w:tcPr>
                  <w:tcW w:w="1356" w:type="pct"/>
                  <w:vAlign w:val="center"/>
                </w:tcPr>
                <w:p w14:paraId="0A78F622">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rPr>
                    <w:t>集中收集后委托资质单位安全处置</w:t>
                  </w:r>
                </w:p>
              </w:tc>
              <w:tc>
                <w:tcPr>
                  <w:tcW w:w="1354" w:type="pct"/>
                  <w:vAlign w:val="center"/>
                </w:tcPr>
                <w:p w14:paraId="51DA3BBE">
                  <w:pPr>
                    <w:pStyle w:val="9"/>
                    <w:keepNext w:val="0"/>
                    <w:keepLines w:val="0"/>
                    <w:suppressLineNumbers w:val="0"/>
                    <w:spacing w:before="0" w:beforeAutospacing="0" w:after="0" w:afterAutospacing="0"/>
                    <w:ind w:left="0" w:right="0"/>
                    <w:rPr>
                      <w:rFonts w:hint="default" w:ascii="Times New Roman" w:hAnsi="Times New Roman" w:eastAsia="宋体" w:cs="Times New Roman"/>
                      <w:color w:val="auto"/>
                      <w:szCs w:val="21"/>
                    </w:rPr>
                  </w:pPr>
                  <w:r>
                    <w:rPr>
                      <w:rFonts w:hint="eastAsia"/>
                      <w:color w:val="FF0000"/>
                      <w:lang w:val="en-US" w:eastAsia="zh-CN"/>
                    </w:rPr>
                    <w:t>环保措施提升改造，实际无喷淋废水产生</w:t>
                  </w:r>
                  <w:r>
                    <w:rPr>
                      <w:rFonts w:hint="default"/>
                    </w:rPr>
                    <w:commentReference w:id="48"/>
                  </w:r>
                </w:p>
              </w:tc>
            </w:tr>
            <w:tr w14:paraId="0E8BDA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5000" w:type="pct"/>
                  <w:gridSpan w:val="6"/>
                  <w:vAlign w:val="center"/>
                </w:tcPr>
                <w:p w14:paraId="07882F51">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rPr>
                    <w:t>注：满负荷为年产782万平方米有机硅片材。</w:t>
                  </w:r>
                </w:p>
              </w:tc>
            </w:tr>
          </w:tbl>
          <w:p w14:paraId="265A2E75">
            <w:pPr>
              <w:keepNext w:val="0"/>
              <w:keepLines w:val="0"/>
              <w:suppressLineNumbers w:val="0"/>
              <w:spacing w:before="0" w:beforeAutospacing="0" w:after="0" w:afterAutospacing="0" w:line="360" w:lineRule="auto"/>
              <w:ind w:left="0" w:right="0"/>
              <w:rPr>
                <w:rFonts w:hint="default" w:ascii="Times New Roman" w:hAnsi="Times New Roman" w:eastAsia="宋体" w:cs="Times New Roman"/>
                <w:b/>
                <w:bCs/>
                <w:color w:val="auto"/>
                <w:sz w:val="24"/>
              </w:rPr>
            </w:pPr>
            <w:r>
              <w:rPr>
                <w:rFonts w:hint="eastAsia" w:ascii="Times New Roman" w:hAnsi="Times New Roman" w:eastAsia="宋体" w:cs="Times New Roman"/>
                <w:b/>
                <w:bCs/>
                <w:color w:val="auto"/>
                <w:sz w:val="24"/>
              </w:rPr>
              <w:t>2.3.6现有项目环评审批总量控制指标</w:t>
            </w:r>
          </w:p>
          <w:p w14:paraId="6CB5041C">
            <w:pPr>
              <w:keepNext w:val="0"/>
              <w:keepLines w:val="0"/>
              <w:suppressLineNumbers w:val="0"/>
              <w:spacing w:before="0" w:beforeAutospacing="0" w:after="0" w:afterAutospacing="0"/>
              <w:ind w:left="0" w:right="0"/>
              <w:jc w:val="center"/>
              <w:rPr>
                <w:rFonts w:hint="default" w:ascii="Times New Roman" w:hAnsi="Times New Roman" w:eastAsia="宋体" w:cs="Times New Roman"/>
                <w:b/>
                <w:bCs/>
                <w:color w:val="auto"/>
              </w:rPr>
            </w:pPr>
            <w:r>
              <w:rPr>
                <w:rFonts w:hint="eastAsia" w:ascii="Times New Roman" w:hAnsi="Times New Roman" w:eastAsia="宋体" w:cs="Times New Roman"/>
                <w:b/>
                <w:bCs/>
                <w:color w:val="auto"/>
              </w:rPr>
              <w:t>表2-2</w:t>
            </w:r>
            <w:r>
              <w:rPr>
                <w:rFonts w:hint="eastAsia" w:ascii="Times New Roman" w:hAnsi="Times New Roman" w:eastAsia="宋体" w:cs="Times New Roman"/>
                <w:b/>
                <w:bCs/>
                <w:color w:val="auto"/>
                <w:lang w:val="en-US" w:eastAsia="zh-CN"/>
              </w:rPr>
              <w:t>8</w:t>
            </w:r>
            <w:r>
              <w:rPr>
                <w:rFonts w:hint="eastAsia" w:ascii="Times New Roman" w:hAnsi="Times New Roman" w:eastAsia="宋体" w:cs="Times New Roman"/>
                <w:b/>
                <w:bCs/>
                <w:color w:val="auto"/>
              </w:rPr>
              <w:t xml:space="preserve">  现有项目环评审批总量控制指标</w:t>
            </w:r>
          </w:p>
          <w:tbl>
            <w:tblPr>
              <w:tblStyle w:val="22"/>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33"/>
              <w:gridCol w:w="1552"/>
              <w:gridCol w:w="2015"/>
              <w:gridCol w:w="1373"/>
              <w:gridCol w:w="1373"/>
              <w:gridCol w:w="1029"/>
            </w:tblGrid>
            <w:tr w14:paraId="54B1F9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2385" w:type="dxa"/>
                  <w:gridSpan w:val="2"/>
                  <w:vAlign w:val="center"/>
                </w:tcPr>
                <w:p w14:paraId="776B9C8E">
                  <w:pPr>
                    <w:keepNext w:val="0"/>
                    <w:keepLines w:val="0"/>
                    <w:suppressLineNumbers w:val="0"/>
                    <w:spacing w:before="0" w:beforeAutospacing="0" w:after="0" w:afterAutospacing="0"/>
                    <w:ind w:left="0" w:right="0"/>
                    <w:jc w:val="center"/>
                    <w:rPr>
                      <w:rFonts w:hint="default" w:ascii="Times New Roman" w:hAnsi="Times New Roman" w:eastAsia="宋体" w:cs="Times New Roman"/>
                      <w:b/>
                      <w:bCs/>
                      <w:color w:val="auto"/>
                      <w:szCs w:val="21"/>
                    </w:rPr>
                  </w:pPr>
                  <w:r>
                    <w:rPr>
                      <w:rFonts w:hint="default" w:ascii="Times New Roman" w:hAnsi="Times New Roman" w:eastAsia="宋体" w:cs="Times New Roman"/>
                      <w:b/>
                      <w:bCs/>
                      <w:color w:val="auto"/>
                      <w:szCs w:val="21"/>
                    </w:rPr>
                    <w:t>总量控制指标名称</w:t>
                  </w:r>
                </w:p>
              </w:tc>
              <w:tc>
                <w:tcPr>
                  <w:tcW w:w="2015" w:type="dxa"/>
                  <w:vAlign w:val="center"/>
                </w:tcPr>
                <w:p w14:paraId="7661F37C">
                  <w:pPr>
                    <w:keepNext w:val="0"/>
                    <w:keepLines w:val="0"/>
                    <w:suppressLineNumbers w:val="0"/>
                    <w:spacing w:before="0" w:beforeAutospacing="0" w:after="0" w:afterAutospacing="0"/>
                    <w:ind w:left="0" w:right="0"/>
                    <w:jc w:val="center"/>
                    <w:rPr>
                      <w:rFonts w:hint="default" w:ascii="Times New Roman" w:hAnsi="Times New Roman" w:eastAsia="宋体" w:cs="Times New Roman"/>
                      <w:b/>
                      <w:bCs/>
                      <w:color w:val="auto"/>
                      <w:szCs w:val="21"/>
                    </w:rPr>
                  </w:pPr>
                  <w:r>
                    <w:rPr>
                      <w:rFonts w:hint="default" w:ascii="Times New Roman" w:hAnsi="Times New Roman" w:eastAsia="宋体" w:cs="Times New Roman"/>
                      <w:b/>
                      <w:bCs/>
                      <w:color w:val="auto"/>
                      <w:szCs w:val="21"/>
                    </w:rPr>
                    <w:t>环评审批排放量（t/a）</w:t>
                  </w:r>
                </w:p>
              </w:tc>
              <w:tc>
                <w:tcPr>
                  <w:tcW w:w="1373" w:type="dxa"/>
                  <w:vAlign w:val="center"/>
                </w:tcPr>
                <w:p w14:paraId="26C6DEA6">
                  <w:pPr>
                    <w:keepNext w:val="0"/>
                    <w:keepLines w:val="0"/>
                    <w:suppressLineNumbers w:val="0"/>
                    <w:spacing w:before="0" w:beforeAutospacing="0" w:after="0" w:afterAutospacing="0"/>
                    <w:ind w:left="0" w:right="0"/>
                    <w:jc w:val="center"/>
                    <w:rPr>
                      <w:rFonts w:hint="default" w:ascii="Times New Roman" w:hAnsi="Times New Roman" w:eastAsia="宋体" w:cs="Times New Roman"/>
                      <w:b/>
                      <w:bCs/>
                      <w:color w:val="auto"/>
                      <w:szCs w:val="21"/>
                    </w:rPr>
                  </w:pPr>
                  <w:r>
                    <w:rPr>
                      <w:rFonts w:hint="eastAsia" w:ascii="Times New Roman" w:hAnsi="Times New Roman" w:eastAsia="宋体" w:cs="Times New Roman"/>
                      <w:b/>
                      <w:bCs/>
                      <w:color w:val="auto"/>
                      <w:szCs w:val="21"/>
                    </w:rPr>
                    <w:t>阶段性验收满负荷排放量（t/a）</w:t>
                  </w:r>
                </w:p>
              </w:tc>
              <w:tc>
                <w:tcPr>
                  <w:tcW w:w="1373" w:type="dxa"/>
                  <w:vAlign w:val="center"/>
                </w:tcPr>
                <w:p w14:paraId="365850DC">
                  <w:pPr>
                    <w:keepNext w:val="0"/>
                    <w:keepLines w:val="0"/>
                    <w:suppressLineNumbers w:val="0"/>
                    <w:spacing w:before="0" w:beforeAutospacing="0" w:after="0" w:afterAutospacing="0"/>
                    <w:ind w:left="0" w:right="0"/>
                    <w:jc w:val="center"/>
                    <w:rPr>
                      <w:rFonts w:hint="default" w:ascii="Times New Roman" w:hAnsi="Times New Roman" w:eastAsia="宋体" w:cs="Times New Roman"/>
                      <w:b/>
                      <w:bCs/>
                      <w:color w:val="auto"/>
                      <w:szCs w:val="21"/>
                    </w:rPr>
                  </w:pPr>
                  <w:r>
                    <w:rPr>
                      <w:rFonts w:hint="default" w:ascii="Times New Roman" w:hAnsi="Times New Roman" w:eastAsia="宋体" w:cs="Times New Roman"/>
                      <w:b/>
                      <w:bCs/>
                      <w:color w:val="auto"/>
                      <w:szCs w:val="21"/>
                    </w:rPr>
                    <w:t>变化情况（t/a）</w:t>
                  </w:r>
                </w:p>
              </w:tc>
              <w:tc>
                <w:tcPr>
                  <w:tcW w:w="1029" w:type="dxa"/>
                  <w:vAlign w:val="center"/>
                </w:tcPr>
                <w:p w14:paraId="7522D77E">
                  <w:pPr>
                    <w:keepNext w:val="0"/>
                    <w:keepLines w:val="0"/>
                    <w:suppressLineNumbers w:val="0"/>
                    <w:spacing w:before="0" w:beforeAutospacing="0" w:after="0" w:afterAutospacing="0"/>
                    <w:ind w:left="0" w:right="0"/>
                    <w:jc w:val="center"/>
                    <w:rPr>
                      <w:rFonts w:hint="default" w:ascii="Times New Roman" w:hAnsi="Times New Roman" w:eastAsia="宋体" w:cs="Times New Roman"/>
                      <w:b/>
                      <w:bCs/>
                      <w:color w:val="auto"/>
                      <w:szCs w:val="21"/>
                    </w:rPr>
                  </w:pPr>
                  <w:r>
                    <w:rPr>
                      <w:rFonts w:hint="default" w:ascii="Times New Roman" w:hAnsi="Times New Roman" w:eastAsia="宋体" w:cs="Times New Roman"/>
                      <w:b/>
                      <w:bCs/>
                      <w:color w:val="auto"/>
                      <w:szCs w:val="21"/>
                    </w:rPr>
                    <w:t>备注</w:t>
                  </w:r>
                </w:p>
              </w:tc>
            </w:tr>
            <w:tr w14:paraId="12A00D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833" w:type="dxa"/>
                  <w:vMerge w:val="restart"/>
                  <w:vAlign w:val="center"/>
                </w:tcPr>
                <w:p w14:paraId="4AB31B08">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rPr>
                    <w:t>废水</w:t>
                  </w:r>
                </w:p>
              </w:tc>
              <w:tc>
                <w:tcPr>
                  <w:tcW w:w="1552" w:type="dxa"/>
                  <w:vAlign w:val="center"/>
                </w:tcPr>
                <w:p w14:paraId="5420F080">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rPr>
                    <w:t>水量</w:t>
                  </w:r>
                </w:p>
              </w:tc>
              <w:tc>
                <w:tcPr>
                  <w:tcW w:w="2015" w:type="dxa"/>
                  <w:vAlign w:val="center"/>
                </w:tcPr>
                <w:p w14:paraId="0EB73C3D">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rPr>
                    <w:t>18000</w:t>
                  </w:r>
                </w:p>
              </w:tc>
              <w:tc>
                <w:tcPr>
                  <w:tcW w:w="1373" w:type="dxa"/>
                  <w:vAlign w:val="center"/>
                </w:tcPr>
                <w:p w14:paraId="268EAC8E">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rPr>
                    <w:t>18000</w:t>
                  </w:r>
                </w:p>
              </w:tc>
              <w:tc>
                <w:tcPr>
                  <w:tcW w:w="1373" w:type="dxa"/>
                  <w:vAlign w:val="center"/>
                </w:tcPr>
                <w:p w14:paraId="4A7E867F">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rPr>
                    <w:t>0</w:t>
                  </w:r>
                </w:p>
              </w:tc>
              <w:tc>
                <w:tcPr>
                  <w:tcW w:w="1029" w:type="dxa"/>
                  <w:vMerge w:val="restart"/>
                  <w:vAlign w:val="center"/>
                </w:tcPr>
                <w:p w14:paraId="72FA97D7">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rPr>
                    <w:t>在审批范围内</w:t>
                  </w:r>
                </w:p>
              </w:tc>
            </w:tr>
            <w:tr w14:paraId="743341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833" w:type="dxa"/>
                  <w:vMerge w:val="continue"/>
                  <w:vAlign w:val="center"/>
                </w:tcPr>
                <w:p w14:paraId="214298C2">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p>
              </w:tc>
              <w:tc>
                <w:tcPr>
                  <w:tcW w:w="1552" w:type="dxa"/>
                  <w:vAlign w:val="center"/>
                </w:tcPr>
                <w:p w14:paraId="12EB20A6">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rPr>
                    <w:t>COD</w:t>
                  </w:r>
                </w:p>
              </w:tc>
              <w:tc>
                <w:tcPr>
                  <w:tcW w:w="2015" w:type="dxa"/>
                  <w:vAlign w:val="center"/>
                </w:tcPr>
                <w:p w14:paraId="61502F6F">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rPr>
                    <w:t>0.720</w:t>
                  </w:r>
                </w:p>
              </w:tc>
              <w:tc>
                <w:tcPr>
                  <w:tcW w:w="1373" w:type="dxa"/>
                  <w:vAlign w:val="center"/>
                </w:tcPr>
                <w:p w14:paraId="5C3898D4">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rPr>
                    <w:t>0.720</w:t>
                  </w:r>
                </w:p>
              </w:tc>
              <w:tc>
                <w:tcPr>
                  <w:tcW w:w="1373" w:type="dxa"/>
                  <w:vAlign w:val="center"/>
                </w:tcPr>
                <w:p w14:paraId="024BDF40">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rPr>
                    <w:t>0</w:t>
                  </w:r>
                </w:p>
              </w:tc>
              <w:tc>
                <w:tcPr>
                  <w:tcW w:w="1029" w:type="dxa"/>
                  <w:vMerge w:val="continue"/>
                  <w:vAlign w:val="center"/>
                </w:tcPr>
                <w:p w14:paraId="33C052BF">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p>
              </w:tc>
            </w:tr>
            <w:tr w14:paraId="107444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833" w:type="dxa"/>
                  <w:vMerge w:val="continue"/>
                  <w:vAlign w:val="center"/>
                </w:tcPr>
                <w:p w14:paraId="6D67B396">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p>
              </w:tc>
              <w:tc>
                <w:tcPr>
                  <w:tcW w:w="1552" w:type="dxa"/>
                  <w:vAlign w:val="center"/>
                </w:tcPr>
                <w:p w14:paraId="3E618631">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rPr>
                    <w:t>NH</w:t>
                  </w:r>
                  <w:r>
                    <w:rPr>
                      <w:rFonts w:hint="default" w:ascii="Times New Roman" w:hAnsi="Times New Roman" w:eastAsia="宋体" w:cs="Times New Roman"/>
                      <w:color w:val="auto"/>
                      <w:szCs w:val="21"/>
                      <w:vertAlign w:val="subscript"/>
                    </w:rPr>
                    <w:t>3</w:t>
                  </w:r>
                  <w:r>
                    <w:rPr>
                      <w:rFonts w:hint="default" w:ascii="Times New Roman" w:hAnsi="Times New Roman" w:eastAsia="宋体" w:cs="Times New Roman"/>
                      <w:color w:val="auto"/>
                      <w:szCs w:val="21"/>
                    </w:rPr>
                    <w:t>-N</w:t>
                  </w:r>
                </w:p>
              </w:tc>
              <w:tc>
                <w:tcPr>
                  <w:tcW w:w="2015" w:type="dxa"/>
                  <w:vAlign w:val="center"/>
                </w:tcPr>
                <w:p w14:paraId="3E65D3A7">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rPr>
                    <w:t>0.036</w:t>
                  </w:r>
                </w:p>
              </w:tc>
              <w:tc>
                <w:tcPr>
                  <w:tcW w:w="1373" w:type="dxa"/>
                  <w:vAlign w:val="center"/>
                </w:tcPr>
                <w:p w14:paraId="63757CF1">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rPr>
                    <w:t>0.036</w:t>
                  </w:r>
                </w:p>
              </w:tc>
              <w:tc>
                <w:tcPr>
                  <w:tcW w:w="1373" w:type="dxa"/>
                  <w:vAlign w:val="center"/>
                </w:tcPr>
                <w:p w14:paraId="2D470A23">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rPr>
                    <w:t>0</w:t>
                  </w:r>
                </w:p>
              </w:tc>
              <w:tc>
                <w:tcPr>
                  <w:tcW w:w="1029" w:type="dxa"/>
                  <w:vMerge w:val="continue"/>
                  <w:vAlign w:val="center"/>
                </w:tcPr>
                <w:p w14:paraId="195C995D">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p>
              </w:tc>
            </w:tr>
            <w:tr w14:paraId="036056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833" w:type="dxa"/>
                  <w:vMerge w:val="restart"/>
                  <w:vAlign w:val="center"/>
                </w:tcPr>
                <w:p w14:paraId="57769ECD">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rPr>
                    <w:t>废气</w:t>
                  </w:r>
                </w:p>
              </w:tc>
              <w:tc>
                <w:tcPr>
                  <w:tcW w:w="1552" w:type="dxa"/>
                  <w:vAlign w:val="center"/>
                </w:tcPr>
                <w:p w14:paraId="7CB7068B">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rPr>
                    <w:t>烟（粉）尘</w:t>
                  </w:r>
                </w:p>
              </w:tc>
              <w:tc>
                <w:tcPr>
                  <w:tcW w:w="2015" w:type="dxa"/>
                  <w:vAlign w:val="center"/>
                </w:tcPr>
                <w:p w14:paraId="14830E2A">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rPr>
                    <w:t>6.148</w:t>
                  </w:r>
                </w:p>
              </w:tc>
              <w:tc>
                <w:tcPr>
                  <w:tcW w:w="1373" w:type="dxa"/>
                  <w:vAlign w:val="center"/>
                </w:tcPr>
                <w:p w14:paraId="02C32AEB">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r>
                    <w:rPr>
                      <w:rFonts w:hint="eastAsia" w:ascii="Times New Roman" w:hAnsi="Times New Roman" w:eastAsia="宋体" w:cs="Times New Roman"/>
                      <w:color w:val="auto"/>
                      <w:szCs w:val="21"/>
                    </w:rPr>
                    <w:t>0.397</w:t>
                  </w:r>
                </w:p>
              </w:tc>
              <w:tc>
                <w:tcPr>
                  <w:tcW w:w="1373" w:type="dxa"/>
                  <w:vAlign w:val="center"/>
                </w:tcPr>
                <w:p w14:paraId="14521BB1">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r>
                    <w:rPr>
                      <w:rFonts w:hint="eastAsia" w:ascii="Times New Roman" w:hAnsi="Times New Roman" w:eastAsia="宋体" w:cs="Times New Roman"/>
                      <w:color w:val="auto"/>
                      <w:szCs w:val="21"/>
                    </w:rPr>
                    <w:t>-5.751</w:t>
                  </w:r>
                </w:p>
              </w:tc>
              <w:tc>
                <w:tcPr>
                  <w:tcW w:w="1029" w:type="dxa"/>
                  <w:vMerge w:val="continue"/>
                  <w:vAlign w:val="center"/>
                </w:tcPr>
                <w:p w14:paraId="2CFD1020">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p>
              </w:tc>
            </w:tr>
            <w:tr w14:paraId="362648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833" w:type="dxa"/>
                  <w:vMerge w:val="continue"/>
                  <w:vAlign w:val="center"/>
                </w:tcPr>
                <w:p w14:paraId="21DB5DB4">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p>
              </w:tc>
              <w:tc>
                <w:tcPr>
                  <w:tcW w:w="1552" w:type="dxa"/>
                  <w:vAlign w:val="center"/>
                </w:tcPr>
                <w:p w14:paraId="77A68FCA">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rPr>
                    <w:t>VOCs</w:t>
                  </w:r>
                </w:p>
              </w:tc>
              <w:tc>
                <w:tcPr>
                  <w:tcW w:w="2015" w:type="dxa"/>
                  <w:vAlign w:val="center"/>
                </w:tcPr>
                <w:p w14:paraId="4BE72A93">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rPr>
                    <w:t>1.231</w:t>
                  </w:r>
                </w:p>
              </w:tc>
              <w:tc>
                <w:tcPr>
                  <w:tcW w:w="1373" w:type="dxa"/>
                  <w:vAlign w:val="center"/>
                </w:tcPr>
                <w:p w14:paraId="7E591C58">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rPr>
                    <w:t>0.759</w:t>
                  </w:r>
                </w:p>
              </w:tc>
              <w:tc>
                <w:tcPr>
                  <w:tcW w:w="1373" w:type="dxa"/>
                  <w:vAlign w:val="center"/>
                </w:tcPr>
                <w:p w14:paraId="3BA15F18">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rPr>
                    <w:t>-</w:t>
                  </w:r>
                  <w:r>
                    <w:rPr>
                      <w:rFonts w:hint="eastAsia" w:ascii="Times New Roman" w:hAnsi="Times New Roman" w:eastAsia="宋体" w:cs="Times New Roman"/>
                      <w:color w:val="auto"/>
                      <w:szCs w:val="21"/>
                    </w:rPr>
                    <w:t>0.472</w:t>
                  </w:r>
                </w:p>
              </w:tc>
              <w:tc>
                <w:tcPr>
                  <w:tcW w:w="1029" w:type="dxa"/>
                  <w:vMerge w:val="continue"/>
                  <w:vAlign w:val="center"/>
                </w:tcPr>
                <w:p w14:paraId="38C9F0C3">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p>
              </w:tc>
            </w:tr>
            <w:tr w14:paraId="7FBFB2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8175" w:type="dxa"/>
                  <w:gridSpan w:val="6"/>
                  <w:vAlign w:val="center"/>
                </w:tcPr>
                <w:p w14:paraId="75C77425">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rPr>
                    <w:t>注：满负荷为年产782万平方米有机硅片材。</w:t>
                  </w:r>
                </w:p>
              </w:tc>
            </w:tr>
          </w:tbl>
          <w:p w14:paraId="782C79D3">
            <w:pPr>
              <w:keepNext w:val="0"/>
              <w:keepLines w:val="0"/>
              <w:suppressLineNumbers w:val="0"/>
              <w:spacing w:before="0" w:beforeAutospacing="0" w:after="0" w:afterAutospacing="0" w:line="360" w:lineRule="auto"/>
              <w:ind w:left="0" w:right="0"/>
              <w:rPr>
                <w:rFonts w:hint="default" w:ascii="Times New Roman" w:hAnsi="Times New Roman" w:eastAsia="宋体" w:cs="Times New Roman"/>
                <w:b/>
                <w:bCs/>
                <w:color w:val="auto"/>
                <w:sz w:val="24"/>
              </w:rPr>
            </w:pPr>
            <w:r>
              <w:rPr>
                <w:rFonts w:hint="eastAsia" w:ascii="Times New Roman" w:hAnsi="Times New Roman" w:eastAsia="宋体" w:cs="Times New Roman"/>
                <w:b/>
                <w:bCs/>
                <w:color w:val="auto"/>
                <w:sz w:val="24"/>
              </w:rPr>
              <w:t>2.3.7现有项目排污许可证申领情况</w:t>
            </w:r>
          </w:p>
          <w:p w14:paraId="5D4A9474">
            <w:pPr>
              <w:keepNext w:val="0"/>
              <w:keepLines w:val="0"/>
              <w:suppressLineNumbers w:val="0"/>
              <w:spacing w:before="0" w:beforeAutospacing="0" w:after="0" w:afterAutospacing="0" w:line="360" w:lineRule="auto"/>
              <w:ind w:left="0" w:right="0" w:firstLine="480" w:firstLineChars="200"/>
              <w:rPr>
                <w:rFonts w:hint="default" w:ascii="Times New Roman" w:hAnsi="Times New Roman" w:eastAsia="宋体" w:cs="Times New Roman"/>
                <w:color w:val="auto"/>
                <w:sz w:val="24"/>
              </w:rPr>
            </w:pPr>
            <w:r>
              <w:rPr>
                <w:rFonts w:hint="eastAsia" w:ascii="Times New Roman" w:hAnsi="Times New Roman" w:eastAsia="宋体" w:cs="Times New Roman"/>
                <w:color w:val="auto"/>
                <w:sz w:val="24"/>
              </w:rPr>
              <w:t>《固定污染源排污许可分类管理名录（2019 年版）》中规定，根据排放污染物的企业事业单位和其他生产经营者污染物产生量、排放量、对环境的影响程度等因素，实行排污许可重点管理、简化管理和登记管理。根据名录第四条规定，建设单位应当在启动生产设施或者发生实际排污之前申请取得排污许可证。</w:t>
            </w:r>
          </w:p>
          <w:p w14:paraId="112E0946">
            <w:pPr>
              <w:keepNext w:val="0"/>
              <w:keepLines w:val="0"/>
              <w:suppressLineNumbers w:val="0"/>
              <w:spacing w:before="0" w:beforeAutospacing="0" w:after="0" w:afterAutospacing="0" w:line="360" w:lineRule="auto"/>
              <w:ind w:left="0" w:right="0" w:firstLine="480" w:firstLineChars="200"/>
              <w:rPr>
                <w:rFonts w:hint="default" w:ascii="Times New Roman" w:hAnsi="Times New Roman" w:eastAsia="宋体" w:cs="Times New Roman"/>
                <w:color w:val="auto"/>
                <w:sz w:val="24"/>
                <w:highlight w:val="yellow"/>
              </w:rPr>
            </w:pPr>
            <w:r>
              <w:rPr>
                <w:rFonts w:hint="eastAsia" w:ascii="Times New Roman" w:hAnsi="Times New Roman" w:eastAsia="宋体" w:cs="Times New Roman"/>
                <w:color w:val="auto"/>
                <w:sz w:val="24"/>
              </w:rPr>
              <w:t>通过对照，现有项目属于</w:t>
            </w:r>
            <w:r>
              <w:rPr>
                <w:rFonts w:hint="eastAsia" w:ascii="Times New Roman" w:hAnsi="Times New Roman" w:eastAsia="宋体" w:cs="Times New Roman"/>
                <w:color w:val="auto"/>
                <w:sz w:val="24"/>
                <w:lang w:eastAsia="zh-CN"/>
              </w:rPr>
              <w:t>“</w:t>
            </w:r>
            <w:r>
              <w:rPr>
                <w:rFonts w:hint="eastAsia" w:ascii="Times New Roman" w:hAnsi="Times New Roman" w:eastAsia="宋体" w:cs="Times New Roman"/>
                <w:color w:val="auto"/>
                <w:sz w:val="24"/>
              </w:rPr>
              <w:t>三十一、汽车制造业 36—85、汽车零部件及配件制造367—其他</w:t>
            </w:r>
            <w:r>
              <w:rPr>
                <w:rFonts w:hint="eastAsia" w:ascii="Times New Roman" w:hAnsi="Times New Roman" w:eastAsia="宋体" w:cs="Times New Roman"/>
                <w:color w:val="auto"/>
                <w:sz w:val="24"/>
                <w:lang w:eastAsia="zh-CN"/>
              </w:rPr>
              <w:t>”</w:t>
            </w:r>
            <w:r>
              <w:rPr>
                <w:rFonts w:hint="eastAsia" w:ascii="Times New Roman" w:hAnsi="Times New Roman" w:eastAsia="宋体" w:cs="Times New Roman"/>
                <w:color w:val="auto"/>
                <w:sz w:val="24"/>
              </w:rPr>
              <w:t>，实行排污许可证登记管理；</w:t>
            </w:r>
            <w:r>
              <w:rPr>
                <w:rFonts w:hint="eastAsia" w:ascii="Times New Roman" w:hAnsi="Times New Roman" w:eastAsia="宋体" w:cs="Times New Roman"/>
                <w:color w:val="auto"/>
                <w:sz w:val="24"/>
                <w:lang w:eastAsia="zh-CN"/>
              </w:rPr>
              <w:t>“</w:t>
            </w:r>
            <w:r>
              <w:rPr>
                <w:rFonts w:hint="eastAsia" w:ascii="Times New Roman" w:hAnsi="Times New Roman" w:eastAsia="宋体" w:cs="Times New Roman"/>
                <w:color w:val="auto"/>
                <w:sz w:val="24"/>
              </w:rPr>
              <w:t>二十四、橡胶和塑料制品业29-62、塑料制品业292-年产1万吨及以上涉及改性的塑料零件及其他塑料制品制造2929</w:t>
            </w:r>
            <w:r>
              <w:rPr>
                <w:rFonts w:hint="eastAsia" w:ascii="Times New Roman" w:hAnsi="Times New Roman" w:eastAsia="宋体" w:cs="Times New Roman"/>
                <w:color w:val="auto"/>
                <w:sz w:val="24"/>
                <w:lang w:eastAsia="zh-CN"/>
              </w:rPr>
              <w:t>”</w:t>
            </w:r>
            <w:r>
              <w:rPr>
                <w:rFonts w:hint="eastAsia" w:ascii="Times New Roman" w:hAnsi="Times New Roman" w:eastAsia="宋体" w:cs="Times New Roman"/>
                <w:color w:val="auto"/>
                <w:sz w:val="24"/>
              </w:rPr>
              <w:t>，实行排污许可证简化管理。综上，现有项目从严实行排污许可证简化管理。企业已于2025年12月11日申领排污许可证，编号为91330110MA2GY9D59M001X。</w:t>
            </w:r>
          </w:p>
          <w:p w14:paraId="4B1FFBCE">
            <w:pPr>
              <w:keepNext w:val="0"/>
              <w:keepLines w:val="0"/>
              <w:suppressLineNumbers w:val="0"/>
              <w:spacing w:before="0" w:beforeAutospacing="0" w:after="0" w:afterAutospacing="0" w:line="360" w:lineRule="auto"/>
              <w:ind w:left="0" w:right="0"/>
              <w:rPr>
                <w:rFonts w:hint="eastAsia" w:ascii="Times New Roman" w:hAnsi="Times New Roman" w:eastAsia="宋体" w:cs="Times New Roman"/>
                <w:b/>
                <w:bCs/>
                <w:color w:val="00B050"/>
                <w:sz w:val="24"/>
                <w:lang w:val="en-US" w:eastAsia="zh-CN"/>
              </w:rPr>
            </w:pPr>
            <w:r>
              <w:rPr>
                <w:rFonts w:hint="eastAsia" w:ascii="Times New Roman" w:hAnsi="Times New Roman" w:eastAsia="宋体" w:cs="Times New Roman"/>
                <w:b/>
                <w:bCs/>
                <w:color w:val="00B050"/>
                <w:sz w:val="24"/>
                <w:lang w:val="en-US" w:eastAsia="zh-CN"/>
              </w:rPr>
              <w:t>2.3.8现有项目存在环保问题及整改建议</w:t>
            </w:r>
          </w:p>
          <w:p w14:paraId="791655C1">
            <w:pPr>
              <w:keepNext w:val="0"/>
              <w:keepLines w:val="0"/>
              <w:suppressLineNumbers w:val="0"/>
              <w:spacing w:before="0" w:beforeAutospacing="0" w:after="0" w:afterAutospacing="0" w:line="360" w:lineRule="auto"/>
              <w:ind w:left="0" w:right="0" w:firstLine="480" w:firstLineChars="200"/>
              <w:rPr>
                <w:rFonts w:hint="eastAsia" w:ascii="Times New Roman" w:hAnsi="Times New Roman" w:eastAsia="宋体" w:cs="Times New Roman"/>
                <w:b w:val="0"/>
                <w:bCs w:val="0"/>
                <w:color w:val="00B050"/>
                <w:sz w:val="24"/>
                <w:lang w:val="en-US" w:eastAsia="zh-CN"/>
              </w:rPr>
            </w:pPr>
            <w:r>
              <w:rPr>
                <w:rFonts w:hint="eastAsia" w:ascii="Times New Roman" w:hAnsi="Times New Roman" w:eastAsia="宋体" w:cs="Times New Roman"/>
                <w:b w:val="0"/>
                <w:bCs w:val="0"/>
                <w:color w:val="00B050"/>
                <w:sz w:val="24"/>
                <w:lang w:val="en-US" w:eastAsia="zh-CN"/>
              </w:rPr>
              <w:t>现有项目在营运过程中，各类污染物基本能得到有效的控制和处理，无需整改。</w:t>
            </w:r>
          </w:p>
          <w:p w14:paraId="5B0EAE43">
            <w:pPr>
              <w:keepNext w:val="0"/>
              <w:keepLines w:val="0"/>
              <w:suppressLineNumbers w:val="0"/>
              <w:spacing w:before="0" w:beforeAutospacing="0" w:after="0" w:afterAutospacing="0" w:line="360" w:lineRule="auto"/>
              <w:ind w:left="0" w:right="0"/>
              <w:rPr>
                <w:rFonts w:hint="eastAsia" w:ascii="Times New Roman" w:hAnsi="Times New Roman" w:eastAsia="宋体" w:cs="Times New Roman"/>
                <w:b/>
                <w:bCs/>
                <w:color w:val="00B050"/>
                <w:sz w:val="24"/>
                <w:lang w:val="en-US" w:eastAsia="zh-CN"/>
              </w:rPr>
            </w:pPr>
            <w:r>
              <w:rPr>
                <w:rFonts w:hint="eastAsia" w:ascii="Times New Roman" w:hAnsi="Times New Roman" w:eastAsia="宋体" w:cs="Times New Roman"/>
                <w:b/>
                <w:bCs/>
                <w:color w:val="00B050"/>
                <w:sz w:val="24"/>
                <w:lang w:val="en-US" w:eastAsia="zh-CN"/>
              </w:rPr>
              <w:t>2.3.9“以新带老”整改措施</w:t>
            </w:r>
          </w:p>
          <w:p w14:paraId="5479B4EB">
            <w:pPr>
              <w:keepNext w:val="0"/>
              <w:keepLines w:val="0"/>
              <w:suppressLineNumbers w:val="0"/>
              <w:spacing w:before="0" w:beforeAutospacing="0" w:after="0" w:afterAutospacing="0" w:line="360" w:lineRule="auto"/>
              <w:ind w:left="0" w:right="0" w:firstLine="480" w:firstLineChars="200"/>
              <w:rPr>
                <w:rFonts w:hint="eastAsia" w:ascii="Times New Roman" w:hAnsi="Times New Roman" w:eastAsia="宋体" w:cs="Times New Roman"/>
                <w:b w:val="0"/>
                <w:bCs w:val="0"/>
                <w:color w:val="00B050"/>
                <w:sz w:val="24"/>
              </w:rPr>
            </w:pPr>
            <w:r>
              <w:rPr>
                <w:rFonts w:hint="eastAsia" w:ascii="Times New Roman" w:hAnsi="Times New Roman" w:eastAsia="宋体" w:cs="Times New Roman"/>
                <w:b w:val="0"/>
                <w:bCs w:val="0"/>
                <w:color w:val="00B050"/>
                <w:sz w:val="24"/>
                <w:lang w:val="en-US" w:eastAsia="zh-CN"/>
              </w:rPr>
              <w:t>无。</w:t>
            </w:r>
          </w:p>
          <w:p w14:paraId="2E2681D2">
            <w:pPr>
              <w:keepNext w:val="0"/>
              <w:keepLines w:val="0"/>
              <w:suppressLineNumbers w:val="0"/>
              <w:spacing w:before="0" w:beforeAutospacing="0" w:after="0" w:afterAutospacing="0" w:line="360" w:lineRule="auto"/>
              <w:ind w:left="0" w:right="0"/>
              <w:rPr>
                <w:rFonts w:hint="default" w:ascii="Times New Roman" w:hAnsi="Times New Roman" w:eastAsia="宋体" w:cs="Times New Roman"/>
                <w:b/>
                <w:bCs/>
                <w:color w:val="00B050"/>
                <w:sz w:val="24"/>
              </w:rPr>
            </w:pPr>
            <w:r>
              <w:rPr>
                <w:rFonts w:hint="eastAsia" w:ascii="Times New Roman" w:hAnsi="Times New Roman" w:eastAsia="宋体" w:cs="Times New Roman"/>
                <w:b/>
                <w:bCs/>
                <w:color w:val="00B050"/>
                <w:sz w:val="24"/>
              </w:rPr>
              <w:t>2.3.</w:t>
            </w:r>
            <w:r>
              <w:rPr>
                <w:rFonts w:hint="eastAsia" w:ascii="Times New Roman" w:hAnsi="Times New Roman" w:eastAsia="宋体" w:cs="Times New Roman"/>
                <w:b/>
                <w:bCs/>
                <w:color w:val="00B050"/>
                <w:sz w:val="24"/>
                <w:lang w:val="en-US" w:eastAsia="zh-CN"/>
              </w:rPr>
              <w:t>10</w:t>
            </w:r>
            <w:r>
              <w:rPr>
                <w:rFonts w:hint="eastAsia" w:ascii="Times New Roman" w:hAnsi="Times New Roman" w:eastAsia="宋体" w:cs="Times New Roman"/>
                <w:b/>
                <w:bCs/>
                <w:color w:val="00B050"/>
                <w:sz w:val="24"/>
              </w:rPr>
              <w:t>小结</w:t>
            </w:r>
          </w:p>
          <w:p w14:paraId="164F2265">
            <w:pPr>
              <w:keepNext w:val="0"/>
              <w:keepLines w:val="0"/>
              <w:suppressLineNumbers w:val="0"/>
              <w:spacing w:before="0" w:beforeAutospacing="0" w:after="0" w:afterAutospacing="0" w:line="360" w:lineRule="auto"/>
              <w:ind w:left="0" w:right="0" w:firstLine="480" w:firstLineChars="200"/>
              <w:rPr>
                <w:rFonts w:hint="default" w:ascii="Times New Roman" w:hAnsi="Times New Roman" w:eastAsia="宋体" w:cs="Times New Roman"/>
                <w:color w:val="auto"/>
                <w:sz w:val="24"/>
              </w:rPr>
            </w:pPr>
            <w:r>
              <w:rPr>
                <w:rFonts w:hint="eastAsia" w:ascii="Times New Roman" w:hAnsi="Times New Roman" w:eastAsia="宋体" w:cs="Times New Roman"/>
                <w:color w:val="auto"/>
                <w:sz w:val="24"/>
              </w:rPr>
              <w:t>根据上述描述，浙江凌志源科技股份有限公司投产后切实落实各项污染防治措施，各类污染物均可得到有效控制并能做到达标排放。</w:t>
            </w:r>
          </w:p>
          <w:p w14:paraId="5455C75D">
            <w:pPr>
              <w:keepNext w:val="0"/>
              <w:keepLines w:val="0"/>
              <w:suppressLineNumbers w:val="0"/>
              <w:spacing w:before="0" w:beforeAutospacing="0" w:after="0" w:afterAutospacing="0" w:line="360" w:lineRule="auto"/>
              <w:ind w:left="0" w:right="0"/>
              <w:rPr>
                <w:rFonts w:hint="default"/>
                <w:color w:val="auto"/>
              </w:rPr>
            </w:pPr>
          </w:p>
          <w:p w14:paraId="44C951AD">
            <w:pPr>
              <w:pStyle w:val="10"/>
              <w:keepNext w:val="0"/>
              <w:keepLines w:val="0"/>
              <w:suppressLineNumbers w:val="0"/>
              <w:spacing w:before="0" w:beforeAutospacing="0" w:afterAutospacing="0"/>
              <w:ind w:left="0" w:right="0"/>
              <w:rPr>
                <w:rFonts w:hint="default"/>
                <w:color w:val="auto"/>
              </w:rPr>
            </w:pPr>
          </w:p>
          <w:p w14:paraId="2D630226">
            <w:pPr>
              <w:pStyle w:val="10"/>
              <w:keepNext w:val="0"/>
              <w:keepLines w:val="0"/>
              <w:suppressLineNumbers w:val="0"/>
              <w:spacing w:before="0" w:beforeAutospacing="0" w:afterAutospacing="0"/>
              <w:ind w:left="0" w:right="0"/>
              <w:rPr>
                <w:rFonts w:hint="default"/>
              </w:rPr>
            </w:pPr>
          </w:p>
        </w:tc>
      </w:tr>
    </w:tbl>
    <w:p w14:paraId="41C9E974">
      <w:pPr>
        <w:rPr>
          <w:color w:val="auto"/>
        </w:rPr>
        <w:sectPr>
          <w:pgSz w:w="11906" w:h="16838"/>
          <w:pgMar w:top="1417" w:right="1417" w:bottom="1417" w:left="1417" w:header="851" w:footer="992" w:gutter="0"/>
          <w:pgBorders>
            <w:top w:val="none" w:sz="0" w:space="0"/>
            <w:left w:val="none" w:sz="0" w:space="0"/>
            <w:bottom w:val="none" w:sz="0" w:space="0"/>
            <w:right w:val="none" w:sz="0" w:space="0"/>
          </w:pgBorders>
          <w:cols w:space="425" w:num="1"/>
          <w:docGrid w:type="lines" w:linePitch="312" w:charSpace="0"/>
        </w:sectPr>
      </w:pPr>
    </w:p>
    <w:p w14:paraId="7A0DE71F">
      <w:pPr>
        <w:pStyle w:val="2"/>
        <w:rPr>
          <w:rFonts w:ascii="Times New Roman" w:hAnsi="Times New Roman" w:eastAsia="宋体" w:cs="Times New Roman"/>
          <w:color w:val="auto"/>
          <w:sz w:val="30"/>
          <w:szCs w:val="30"/>
        </w:rPr>
      </w:pPr>
      <w:bookmarkStart w:id="8" w:name="_Toc17122"/>
      <w:r>
        <w:rPr>
          <w:rFonts w:hint="eastAsia" w:ascii="Times New Roman" w:hAnsi="Times New Roman" w:eastAsia="宋体" w:cs="Times New Roman"/>
          <w:color w:val="auto"/>
          <w:sz w:val="30"/>
          <w:szCs w:val="30"/>
        </w:rPr>
        <w:t>三、区域环境质量现状、环境保护目标及评价标准</w:t>
      </w:r>
      <w:bookmarkEnd w:id="8"/>
    </w:p>
    <w:tbl>
      <w:tblPr>
        <w:tblStyle w:val="23"/>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81"/>
        <w:gridCol w:w="8401"/>
      </w:tblGrid>
      <w:tr w14:paraId="1F3A49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81" w:type="dxa"/>
            <w:vAlign w:val="center"/>
          </w:tcPr>
          <w:p w14:paraId="02688441">
            <w:pPr>
              <w:keepNext w:val="0"/>
              <w:keepLines w:val="0"/>
              <w:suppressLineNumbers w:val="0"/>
              <w:spacing w:before="0" w:beforeAutospacing="0" w:after="0" w:afterAutospacing="0"/>
              <w:ind w:left="0" w:right="0"/>
              <w:jc w:val="center"/>
              <w:rPr>
                <w:rFonts w:hint="default" w:ascii="Times New Roman" w:hAnsi="Times New Roman" w:eastAsia="宋体" w:cs="Times New Roman"/>
                <w:b/>
                <w:bCs/>
                <w:color w:val="auto"/>
                <w:sz w:val="24"/>
              </w:rPr>
            </w:pPr>
            <w:r>
              <w:rPr>
                <w:rFonts w:hint="eastAsia" w:ascii="Times New Roman" w:hAnsi="Times New Roman" w:eastAsia="宋体" w:cs="Times New Roman"/>
                <w:b/>
                <w:bCs/>
                <w:color w:val="auto"/>
                <w:sz w:val="24"/>
              </w:rPr>
              <w:t>区域环境质量现状</w:t>
            </w:r>
          </w:p>
        </w:tc>
        <w:tc>
          <w:tcPr>
            <w:tcW w:w="8401" w:type="dxa"/>
          </w:tcPr>
          <w:p w14:paraId="52C5C6AC">
            <w:pPr>
              <w:keepNext w:val="0"/>
              <w:keepLines w:val="0"/>
              <w:suppressLineNumbers w:val="0"/>
              <w:spacing w:before="0" w:beforeAutospacing="0" w:after="0" w:afterAutospacing="0" w:line="360" w:lineRule="auto"/>
              <w:ind w:left="0" w:right="0"/>
              <w:rPr>
                <w:rFonts w:hint="default" w:ascii="Times New Roman" w:hAnsi="Times New Roman" w:eastAsia="宋体" w:cs="Times New Roman"/>
                <w:b/>
                <w:bCs/>
                <w:color w:val="auto"/>
                <w:sz w:val="24"/>
                <w:lang w:val="en-US" w:eastAsia="zh-CN"/>
              </w:rPr>
            </w:pPr>
            <w:r>
              <w:rPr>
                <w:rFonts w:hint="eastAsia" w:ascii="Times New Roman" w:hAnsi="Times New Roman" w:eastAsia="宋体" w:cs="Times New Roman"/>
                <w:b/>
                <w:bCs/>
                <w:color w:val="auto"/>
                <w:sz w:val="24"/>
                <w:lang w:val="en-US" w:eastAsia="zh-CN"/>
              </w:rPr>
              <w:t>3.1区域环境质量现状</w:t>
            </w:r>
          </w:p>
          <w:p w14:paraId="7EA66BFB">
            <w:pPr>
              <w:keepNext w:val="0"/>
              <w:keepLines w:val="0"/>
              <w:suppressLineNumbers w:val="0"/>
              <w:spacing w:before="0" w:beforeAutospacing="0" w:after="0" w:afterAutospacing="0" w:line="360" w:lineRule="auto"/>
              <w:ind w:left="0" w:right="0"/>
              <w:rPr>
                <w:rFonts w:hint="default" w:ascii="Times New Roman" w:hAnsi="Times New Roman" w:eastAsia="宋体" w:cs="Times New Roman"/>
                <w:b/>
                <w:bCs/>
                <w:color w:val="auto"/>
                <w:sz w:val="24"/>
              </w:rPr>
            </w:pPr>
            <w:r>
              <w:rPr>
                <w:rFonts w:hint="eastAsia" w:ascii="Times New Roman" w:hAnsi="Times New Roman" w:eastAsia="宋体" w:cs="Times New Roman"/>
                <w:b/>
                <w:bCs/>
                <w:color w:val="auto"/>
                <w:sz w:val="24"/>
              </w:rPr>
              <w:t>3.1.1大气环境</w:t>
            </w:r>
          </w:p>
          <w:p w14:paraId="51896922">
            <w:pPr>
              <w:keepNext w:val="0"/>
              <w:keepLines w:val="0"/>
              <w:suppressLineNumbers w:val="0"/>
              <w:spacing w:before="0" w:beforeAutospacing="0" w:after="0" w:afterAutospacing="0" w:line="360" w:lineRule="auto"/>
              <w:ind w:left="0" w:right="0" w:firstLine="480" w:firstLineChars="200"/>
              <w:rPr>
                <w:rFonts w:hint="default" w:ascii="Times New Roman" w:hAnsi="Times New Roman" w:eastAsia="宋体" w:cs="Times New Roman"/>
                <w:color w:val="auto"/>
                <w:sz w:val="24"/>
              </w:rPr>
            </w:pPr>
            <w:r>
              <w:rPr>
                <w:rFonts w:hint="eastAsia" w:ascii="Times New Roman" w:hAnsi="Times New Roman" w:eastAsia="宋体" w:cs="Times New Roman"/>
                <w:color w:val="auto"/>
                <w:sz w:val="24"/>
              </w:rPr>
              <w:t>（1）环境空气质量达标区判定</w:t>
            </w:r>
          </w:p>
          <w:p w14:paraId="1F930BF4">
            <w:pPr>
              <w:keepNext w:val="0"/>
              <w:keepLines w:val="0"/>
              <w:suppressLineNumbers w:val="0"/>
              <w:spacing w:before="0" w:beforeAutospacing="0" w:after="0" w:afterAutospacing="0" w:line="360" w:lineRule="auto"/>
              <w:ind w:left="0" w:right="0" w:firstLine="480" w:firstLineChars="200"/>
              <w:rPr>
                <w:rFonts w:hint="default" w:ascii="Times New Roman" w:hAnsi="Times New Roman" w:eastAsia="宋体" w:cs="Times New Roman"/>
                <w:color w:val="auto"/>
                <w:sz w:val="24"/>
              </w:rPr>
            </w:pPr>
            <w:r>
              <w:rPr>
                <w:rFonts w:hint="eastAsia" w:ascii="Times New Roman" w:hAnsi="Times New Roman" w:eastAsia="宋体" w:cs="Times New Roman"/>
                <w:color w:val="auto"/>
                <w:sz w:val="24"/>
              </w:rPr>
              <w:t>按照《湖州市环境空气质量功能区划》中的有关规定，本项目所在地区域环境空气为二类功能区。为了解本项目所在区域环境空气质量现状，本环评引用2024年安吉县环境空气监测数据，年度统计结果参见下表。</w:t>
            </w:r>
          </w:p>
          <w:p w14:paraId="673E57DF">
            <w:pPr>
              <w:keepNext w:val="0"/>
              <w:keepLines w:val="0"/>
              <w:suppressLineNumbers w:val="0"/>
              <w:spacing w:before="0" w:beforeAutospacing="0" w:after="0" w:afterAutospacing="0"/>
              <w:ind w:left="0" w:right="0"/>
              <w:jc w:val="center"/>
              <w:rPr>
                <w:rFonts w:hint="default" w:ascii="Times New Roman" w:hAnsi="Times New Roman" w:eastAsia="宋体" w:cs="Times New Roman"/>
                <w:b/>
                <w:bCs/>
                <w:color w:val="auto"/>
              </w:rPr>
            </w:pPr>
            <w:r>
              <w:rPr>
                <w:rFonts w:hint="eastAsia" w:ascii="Times New Roman" w:hAnsi="Times New Roman" w:eastAsia="宋体" w:cs="Times New Roman"/>
                <w:b/>
                <w:bCs/>
                <w:color w:val="auto"/>
              </w:rPr>
              <w:t>表</w:t>
            </w:r>
            <w:r>
              <w:rPr>
                <w:rFonts w:hint="default" w:ascii="Times New Roman" w:hAnsi="Times New Roman" w:eastAsia="宋体" w:cs="Times New Roman"/>
                <w:b/>
                <w:bCs/>
                <w:color w:val="auto"/>
              </w:rPr>
              <w:t xml:space="preserve">3-1 </w:t>
            </w:r>
            <w:r>
              <w:rPr>
                <w:rFonts w:hint="eastAsia" w:ascii="Times New Roman" w:hAnsi="Times New Roman" w:eastAsia="宋体" w:cs="Times New Roman"/>
                <w:b/>
                <w:bCs/>
                <w:color w:val="auto"/>
              </w:rPr>
              <w:t xml:space="preserve"> 区域环境空气质量现状评价表</w:t>
            </w:r>
          </w:p>
          <w:tbl>
            <w:tblPr>
              <w:tblStyle w:val="23"/>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18"/>
              <w:gridCol w:w="2595"/>
              <w:gridCol w:w="900"/>
              <w:gridCol w:w="1950"/>
              <w:gridCol w:w="981"/>
              <w:gridCol w:w="931"/>
            </w:tblGrid>
            <w:tr w14:paraId="42FD2A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2" w:hRule="atLeast"/>
                <w:jc w:val="center"/>
              </w:trPr>
              <w:tc>
                <w:tcPr>
                  <w:tcW w:w="818" w:type="dxa"/>
                  <w:vMerge w:val="restart"/>
                  <w:vAlign w:val="center"/>
                </w:tcPr>
                <w:p w14:paraId="5DBDE3BF">
                  <w:pPr>
                    <w:keepNext w:val="0"/>
                    <w:keepLines w:val="0"/>
                    <w:suppressLineNumbers w:val="0"/>
                    <w:spacing w:before="0" w:beforeAutospacing="0" w:after="0" w:afterAutospacing="0"/>
                    <w:ind w:left="0" w:right="0"/>
                    <w:jc w:val="center"/>
                    <w:rPr>
                      <w:rFonts w:hint="default" w:ascii="Times New Roman" w:hAnsi="Times New Roman" w:eastAsia="宋体" w:cs="Times New Roman"/>
                      <w:b/>
                      <w:bCs/>
                      <w:color w:val="auto"/>
                      <w:szCs w:val="21"/>
                    </w:rPr>
                  </w:pPr>
                  <w:r>
                    <w:rPr>
                      <w:rFonts w:hint="default" w:ascii="Times New Roman" w:hAnsi="Times New Roman" w:eastAsia="宋体" w:cs="Times New Roman"/>
                      <w:b/>
                      <w:bCs/>
                      <w:color w:val="auto"/>
                      <w:szCs w:val="21"/>
                    </w:rPr>
                    <w:t>污染物</w:t>
                  </w:r>
                </w:p>
              </w:tc>
              <w:tc>
                <w:tcPr>
                  <w:tcW w:w="2595" w:type="dxa"/>
                  <w:vMerge w:val="restart"/>
                  <w:vAlign w:val="center"/>
                </w:tcPr>
                <w:p w14:paraId="58D6F924">
                  <w:pPr>
                    <w:keepNext w:val="0"/>
                    <w:keepLines w:val="0"/>
                    <w:suppressLineNumbers w:val="0"/>
                    <w:spacing w:before="0" w:beforeAutospacing="0" w:after="0" w:afterAutospacing="0"/>
                    <w:ind w:left="0" w:right="0"/>
                    <w:jc w:val="center"/>
                    <w:rPr>
                      <w:rFonts w:hint="default" w:ascii="Times New Roman" w:hAnsi="Times New Roman" w:eastAsia="宋体" w:cs="Times New Roman"/>
                      <w:b/>
                      <w:bCs/>
                      <w:color w:val="auto"/>
                      <w:szCs w:val="21"/>
                    </w:rPr>
                  </w:pPr>
                  <w:r>
                    <w:rPr>
                      <w:rFonts w:hint="default" w:ascii="Times New Roman" w:hAnsi="Times New Roman" w:eastAsia="宋体" w:cs="Times New Roman"/>
                      <w:b/>
                      <w:bCs/>
                      <w:color w:val="auto"/>
                      <w:szCs w:val="21"/>
                    </w:rPr>
                    <w:t>年评价指标</w:t>
                  </w:r>
                </w:p>
              </w:tc>
              <w:tc>
                <w:tcPr>
                  <w:tcW w:w="900" w:type="dxa"/>
                  <w:vAlign w:val="center"/>
                </w:tcPr>
                <w:p w14:paraId="16C7CB29">
                  <w:pPr>
                    <w:keepNext w:val="0"/>
                    <w:keepLines w:val="0"/>
                    <w:suppressLineNumbers w:val="0"/>
                    <w:spacing w:before="0" w:beforeAutospacing="0" w:after="0" w:afterAutospacing="0"/>
                    <w:ind w:left="0" w:right="0"/>
                    <w:jc w:val="center"/>
                    <w:rPr>
                      <w:rFonts w:hint="default" w:ascii="Times New Roman" w:hAnsi="Times New Roman" w:eastAsia="宋体" w:cs="Times New Roman"/>
                      <w:b/>
                      <w:bCs/>
                      <w:color w:val="auto"/>
                      <w:szCs w:val="21"/>
                    </w:rPr>
                  </w:pPr>
                  <w:r>
                    <w:rPr>
                      <w:rFonts w:hint="default" w:ascii="Times New Roman" w:hAnsi="Times New Roman" w:eastAsia="宋体" w:cs="Times New Roman"/>
                      <w:b/>
                      <w:bCs/>
                      <w:color w:val="auto"/>
                      <w:szCs w:val="21"/>
                    </w:rPr>
                    <w:t>现状</w:t>
                  </w:r>
                </w:p>
                <w:p w14:paraId="4A20C35A">
                  <w:pPr>
                    <w:keepNext w:val="0"/>
                    <w:keepLines w:val="0"/>
                    <w:suppressLineNumbers w:val="0"/>
                    <w:spacing w:before="0" w:beforeAutospacing="0" w:after="0" w:afterAutospacing="0"/>
                    <w:ind w:left="0" w:right="0"/>
                    <w:jc w:val="center"/>
                    <w:rPr>
                      <w:rFonts w:hint="default" w:ascii="Times New Roman" w:hAnsi="Times New Roman" w:eastAsia="宋体" w:cs="Times New Roman"/>
                      <w:b/>
                      <w:bCs/>
                      <w:color w:val="auto"/>
                      <w:szCs w:val="21"/>
                    </w:rPr>
                  </w:pPr>
                  <w:r>
                    <w:rPr>
                      <w:rFonts w:hint="default" w:ascii="Times New Roman" w:hAnsi="Times New Roman" w:eastAsia="宋体" w:cs="Times New Roman"/>
                      <w:b/>
                      <w:bCs/>
                      <w:color w:val="auto"/>
                      <w:szCs w:val="21"/>
                    </w:rPr>
                    <w:t>浓度</w:t>
                  </w:r>
                </w:p>
              </w:tc>
              <w:tc>
                <w:tcPr>
                  <w:tcW w:w="1950" w:type="dxa"/>
                  <w:vAlign w:val="center"/>
                </w:tcPr>
                <w:p w14:paraId="3E5484DD">
                  <w:pPr>
                    <w:keepNext w:val="0"/>
                    <w:keepLines w:val="0"/>
                    <w:suppressLineNumbers w:val="0"/>
                    <w:spacing w:before="0" w:beforeAutospacing="0" w:after="0" w:afterAutospacing="0"/>
                    <w:ind w:left="0" w:right="0"/>
                    <w:jc w:val="center"/>
                    <w:rPr>
                      <w:rFonts w:hint="default" w:ascii="Times New Roman" w:hAnsi="Times New Roman" w:eastAsia="宋体" w:cs="Times New Roman"/>
                      <w:b/>
                      <w:bCs/>
                      <w:color w:val="auto"/>
                      <w:szCs w:val="21"/>
                    </w:rPr>
                  </w:pPr>
                  <w:r>
                    <w:rPr>
                      <w:rFonts w:hint="default" w:ascii="Times New Roman" w:hAnsi="Times New Roman" w:eastAsia="宋体" w:cs="Times New Roman"/>
                      <w:b/>
                      <w:bCs/>
                      <w:color w:val="FF0000"/>
                      <w:szCs w:val="21"/>
                    </w:rPr>
                    <w:t>《环境空气质量标准》（GB3095-2026）过渡阶段浓度限值（二级）</w:t>
                  </w:r>
                </w:p>
              </w:tc>
              <w:tc>
                <w:tcPr>
                  <w:tcW w:w="981" w:type="dxa"/>
                  <w:vAlign w:val="center"/>
                </w:tcPr>
                <w:p w14:paraId="1DB80C92">
                  <w:pPr>
                    <w:keepNext w:val="0"/>
                    <w:keepLines w:val="0"/>
                    <w:suppressLineNumbers w:val="0"/>
                    <w:spacing w:before="0" w:beforeAutospacing="0" w:after="0" w:afterAutospacing="0"/>
                    <w:ind w:left="0" w:right="0"/>
                    <w:jc w:val="center"/>
                    <w:rPr>
                      <w:rFonts w:hint="default" w:ascii="Times New Roman" w:hAnsi="Times New Roman" w:eastAsia="宋体" w:cs="Times New Roman"/>
                      <w:b/>
                      <w:bCs/>
                      <w:color w:val="auto"/>
                      <w:szCs w:val="21"/>
                    </w:rPr>
                  </w:pPr>
                  <w:commentRangeStart w:id="49"/>
                  <w:commentRangeStart w:id="50"/>
                  <w:r>
                    <w:rPr>
                      <w:rFonts w:hint="default"/>
                    </w:rPr>
                    <w:commentReference w:id="49"/>
                  </w:r>
                  <w:commentRangeEnd w:id="49"/>
                  <w:commentRangeEnd w:id="50"/>
                  <w:r>
                    <w:rPr>
                      <w:rFonts w:hint="default"/>
                    </w:rPr>
                    <w:commentReference w:id="50"/>
                  </w:r>
                  <w:r>
                    <w:rPr>
                      <w:rFonts w:hint="default" w:ascii="Times New Roman" w:hAnsi="Times New Roman" w:eastAsia="宋体" w:cs="Times New Roman"/>
                      <w:b/>
                      <w:bCs/>
                      <w:color w:val="auto"/>
                      <w:szCs w:val="21"/>
                    </w:rPr>
                    <w:t>占标率</w:t>
                  </w:r>
                </w:p>
              </w:tc>
              <w:tc>
                <w:tcPr>
                  <w:tcW w:w="931" w:type="dxa"/>
                  <w:vMerge w:val="restart"/>
                  <w:vAlign w:val="center"/>
                </w:tcPr>
                <w:p w14:paraId="33835730">
                  <w:pPr>
                    <w:keepNext w:val="0"/>
                    <w:keepLines w:val="0"/>
                    <w:suppressLineNumbers w:val="0"/>
                    <w:spacing w:before="0" w:beforeAutospacing="0" w:after="0" w:afterAutospacing="0"/>
                    <w:ind w:left="0" w:right="0"/>
                    <w:jc w:val="center"/>
                    <w:rPr>
                      <w:rFonts w:hint="default" w:ascii="Times New Roman" w:hAnsi="Times New Roman" w:eastAsia="宋体" w:cs="Times New Roman"/>
                      <w:b/>
                      <w:bCs/>
                      <w:color w:val="auto"/>
                      <w:szCs w:val="21"/>
                    </w:rPr>
                  </w:pPr>
                  <w:r>
                    <w:rPr>
                      <w:rFonts w:hint="default" w:ascii="Times New Roman" w:hAnsi="Times New Roman" w:eastAsia="宋体" w:cs="Times New Roman"/>
                      <w:b/>
                      <w:bCs/>
                      <w:color w:val="auto"/>
                      <w:szCs w:val="21"/>
                    </w:rPr>
                    <w:t>达标</w:t>
                  </w:r>
                </w:p>
                <w:p w14:paraId="38C6F04A">
                  <w:pPr>
                    <w:keepNext w:val="0"/>
                    <w:keepLines w:val="0"/>
                    <w:suppressLineNumbers w:val="0"/>
                    <w:spacing w:before="0" w:beforeAutospacing="0" w:after="0" w:afterAutospacing="0"/>
                    <w:ind w:left="0" w:right="0"/>
                    <w:jc w:val="center"/>
                    <w:rPr>
                      <w:rFonts w:hint="default" w:ascii="Times New Roman" w:hAnsi="Times New Roman" w:eastAsia="宋体" w:cs="Times New Roman"/>
                      <w:b/>
                      <w:bCs/>
                      <w:color w:val="auto"/>
                      <w:szCs w:val="21"/>
                    </w:rPr>
                  </w:pPr>
                  <w:r>
                    <w:rPr>
                      <w:rFonts w:hint="default" w:ascii="Times New Roman" w:hAnsi="Times New Roman" w:eastAsia="宋体" w:cs="Times New Roman"/>
                      <w:b/>
                      <w:bCs/>
                      <w:color w:val="auto"/>
                      <w:szCs w:val="21"/>
                    </w:rPr>
                    <w:t>情况</w:t>
                  </w:r>
                </w:p>
              </w:tc>
            </w:tr>
            <w:tr w14:paraId="314F31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0" w:hRule="atLeast"/>
                <w:jc w:val="center"/>
              </w:trPr>
              <w:tc>
                <w:tcPr>
                  <w:tcW w:w="818" w:type="dxa"/>
                  <w:vMerge w:val="continue"/>
                  <w:vAlign w:val="center"/>
                </w:tcPr>
                <w:p w14:paraId="05419AD9">
                  <w:pPr>
                    <w:keepNext w:val="0"/>
                    <w:keepLines w:val="0"/>
                    <w:suppressLineNumbers w:val="0"/>
                    <w:spacing w:before="0" w:beforeAutospacing="0" w:after="0" w:afterAutospacing="0"/>
                    <w:ind w:left="0" w:right="0"/>
                    <w:jc w:val="center"/>
                    <w:rPr>
                      <w:rFonts w:hint="default"/>
                      <w:color w:val="auto"/>
                    </w:rPr>
                  </w:pPr>
                </w:p>
              </w:tc>
              <w:tc>
                <w:tcPr>
                  <w:tcW w:w="2595" w:type="dxa"/>
                  <w:vMerge w:val="continue"/>
                  <w:vAlign w:val="center"/>
                </w:tcPr>
                <w:p w14:paraId="40DE1D92">
                  <w:pPr>
                    <w:keepNext w:val="0"/>
                    <w:keepLines w:val="0"/>
                    <w:suppressLineNumbers w:val="0"/>
                    <w:spacing w:before="0" w:beforeAutospacing="0" w:after="0" w:afterAutospacing="0"/>
                    <w:ind w:left="0" w:right="0"/>
                    <w:jc w:val="center"/>
                    <w:rPr>
                      <w:rFonts w:hint="default"/>
                      <w:color w:val="auto"/>
                    </w:rPr>
                  </w:pPr>
                </w:p>
              </w:tc>
              <w:tc>
                <w:tcPr>
                  <w:tcW w:w="900" w:type="dxa"/>
                  <w:vAlign w:val="center"/>
                </w:tcPr>
                <w:p w14:paraId="2421405C">
                  <w:pPr>
                    <w:keepNext w:val="0"/>
                    <w:keepLines w:val="0"/>
                    <w:suppressLineNumbers w:val="0"/>
                    <w:spacing w:before="0" w:beforeAutospacing="0" w:after="0" w:afterAutospacing="0"/>
                    <w:ind w:left="0" w:right="0"/>
                    <w:jc w:val="center"/>
                    <w:rPr>
                      <w:rFonts w:hint="default" w:ascii="Times New Roman" w:hAnsi="Times New Roman" w:eastAsia="宋体" w:cs="Times New Roman"/>
                      <w:b/>
                      <w:bCs/>
                      <w:color w:val="auto"/>
                      <w:szCs w:val="21"/>
                    </w:rPr>
                  </w:pPr>
                  <w:r>
                    <w:rPr>
                      <w:rFonts w:hint="default" w:ascii="Times New Roman" w:hAnsi="Times New Roman" w:eastAsia="宋体" w:cs="Times New Roman"/>
                      <w:b/>
                      <w:bCs/>
                      <w:color w:val="auto"/>
                      <w:szCs w:val="21"/>
                    </w:rPr>
                    <w:t>μg/m</w:t>
                  </w:r>
                  <w:r>
                    <w:rPr>
                      <w:rFonts w:hint="default" w:ascii="Times New Roman" w:hAnsi="Times New Roman" w:eastAsia="宋体" w:cs="Times New Roman"/>
                      <w:b/>
                      <w:bCs/>
                      <w:color w:val="auto"/>
                      <w:szCs w:val="21"/>
                      <w:vertAlign w:val="superscript"/>
                    </w:rPr>
                    <w:t>3</w:t>
                  </w:r>
                </w:p>
              </w:tc>
              <w:tc>
                <w:tcPr>
                  <w:tcW w:w="1950" w:type="dxa"/>
                  <w:vAlign w:val="center"/>
                </w:tcPr>
                <w:p w14:paraId="0E0184AD">
                  <w:pPr>
                    <w:keepNext w:val="0"/>
                    <w:keepLines w:val="0"/>
                    <w:suppressLineNumbers w:val="0"/>
                    <w:spacing w:before="0" w:beforeAutospacing="0" w:after="0" w:afterAutospacing="0"/>
                    <w:ind w:left="0" w:right="0"/>
                    <w:jc w:val="center"/>
                    <w:rPr>
                      <w:rFonts w:hint="default" w:ascii="Times New Roman" w:hAnsi="Times New Roman" w:eastAsia="宋体" w:cs="Times New Roman"/>
                      <w:b/>
                      <w:bCs/>
                      <w:color w:val="auto"/>
                      <w:szCs w:val="21"/>
                    </w:rPr>
                  </w:pPr>
                  <w:r>
                    <w:rPr>
                      <w:rFonts w:hint="default" w:ascii="Times New Roman" w:hAnsi="Times New Roman" w:eastAsia="宋体" w:cs="Times New Roman"/>
                      <w:b/>
                      <w:bCs/>
                      <w:color w:val="auto"/>
                      <w:szCs w:val="21"/>
                    </w:rPr>
                    <w:t>μg/m</w:t>
                  </w:r>
                  <w:r>
                    <w:rPr>
                      <w:rFonts w:hint="default" w:ascii="Times New Roman" w:hAnsi="Times New Roman" w:eastAsia="宋体" w:cs="Times New Roman"/>
                      <w:b/>
                      <w:bCs/>
                      <w:color w:val="auto"/>
                      <w:szCs w:val="21"/>
                      <w:vertAlign w:val="superscript"/>
                    </w:rPr>
                    <w:t>3</w:t>
                  </w:r>
                </w:p>
              </w:tc>
              <w:tc>
                <w:tcPr>
                  <w:tcW w:w="981" w:type="dxa"/>
                  <w:vAlign w:val="center"/>
                </w:tcPr>
                <w:p w14:paraId="4EE4B60C">
                  <w:pPr>
                    <w:keepNext w:val="0"/>
                    <w:keepLines w:val="0"/>
                    <w:suppressLineNumbers w:val="0"/>
                    <w:spacing w:before="0" w:beforeAutospacing="0" w:after="0" w:afterAutospacing="0"/>
                    <w:ind w:left="0" w:right="0"/>
                    <w:jc w:val="center"/>
                    <w:rPr>
                      <w:rFonts w:hint="default" w:ascii="Times New Roman" w:hAnsi="Times New Roman" w:eastAsia="宋体" w:cs="Times New Roman"/>
                      <w:b/>
                      <w:bCs/>
                      <w:color w:val="auto"/>
                      <w:szCs w:val="21"/>
                    </w:rPr>
                  </w:pPr>
                  <w:r>
                    <w:rPr>
                      <w:rFonts w:hint="default" w:ascii="Times New Roman" w:hAnsi="Times New Roman" w:eastAsia="宋体" w:cs="Times New Roman"/>
                      <w:b/>
                      <w:bCs/>
                      <w:color w:val="auto"/>
                      <w:szCs w:val="21"/>
                    </w:rPr>
                    <w:t>%</w:t>
                  </w:r>
                </w:p>
              </w:tc>
              <w:tc>
                <w:tcPr>
                  <w:tcW w:w="931" w:type="dxa"/>
                  <w:vMerge w:val="continue"/>
                  <w:vAlign w:val="center"/>
                </w:tcPr>
                <w:p w14:paraId="3728BFB4">
                  <w:pPr>
                    <w:keepNext w:val="0"/>
                    <w:keepLines w:val="0"/>
                    <w:suppressLineNumbers w:val="0"/>
                    <w:spacing w:before="0" w:beforeAutospacing="0" w:after="0" w:afterAutospacing="0"/>
                    <w:ind w:left="0" w:right="0"/>
                    <w:jc w:val="center"/>
                    <w:rPr>
                      <w:rFonts w:hint="default" w:ascii="Times New Roman" w:hAnsi="Times New Roman" w:eastAsia="宋体" w:cs="Times New Roman"/>
                      <w:b/>
                      <w:bCs/>
                      <w:color w:val="auto"/>
                      <w:szCs w:val="21"/>
                    </w:rPr>
                  </w:pPr>
                </w:p>
              </w:tc>
            </w:tr>
            <w:tr w14:paraId="71D750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818" w:type="dxa"/>
                  <w:vMerge w:val="restart"/>
                  <w:vAlign w:val="center"/>
                </w:tcPr>
                <w:p w14:paraId="463C6E7A">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rPr>
                    <w:t>SO</w:t>
                  </w:r>
                  <w:r>
                    <w:rPr>
                      <w:rFonts w:hint="default" w:ascii="Times New Roman" w:hAnsi="Times New Roman" w:eastAsia="宋体" w:cs="Times New Roman"/>
                      <w:color w:val="auto"/>
                      <w:szCs w:val="21"/>
                      <w:vertAlign w:val="subscript"/>
                    </w:rPr>
                    <w:t>2</w:t>
                  </w:r>
                </w:p>
              </w:tc>
              <w:tc>
                <w:tcPr>
                  <w:tcW w:w="2595" w:type="dxa"/>
                  <w:vAlign w:val="center"/>
                </w:tcPr>
                <w:p w14:paraId="17671C6F">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rPr>
                    <w:t>年平均质量浓度</w:t>
                  </w:r>
                </w:p>
              </w:tc>
              <w:tc>
                <w:tcPr>
                  <w:tcW w:w="900" w:type="dxa"/>
                  <w:vAlign w:val="center"/>
                </w:tcPr>
                <w:p w14:paraId="69BA8731">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r>
                    <w:rPr>
                      <w:rFonts w:hint="eastAsia" w:ascii="Times New Roman" w:hAnsi="Times New Roman" w:eastAsia="宋体" w:cs="Times New Roman"/>
                      <w:color w:val="auto"/>
                      <w:szCs w:val="21"/>
                    </w:rPr>
                    <w:t>5</w:t>
                  </w:r>
                </w:p>
              </w:tc>
              <w:tc>
                <w:tcPr>
                  <w:tcW w:w="1950" w:type="dxa"/>
                  <w:vAlign w:val="center"/>
                </w:tcPr>
                <w:p w14:paraId="67D997F5">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r>
                    <w:rPr>
                      <w:rFonts w:hint="eastAsia" w:ascii="Times New Roman" w:hAnsi="Times New Roman" w:eastAsia="宋体" w:cs="Times New Roman"/>
                      <w:color w:val="auto"/>
                      <w:szCs w:val="21"/>
                    </w:rPr>
                    <w:t>60</w:t>
                  </w:r>
                </w:p>
              </w:tc>
              <w:tc>
                <w:tcPr>
                  <w:tcW w:w="981" w:type="dxa"/>
                  <w:vAlign w:val="center"/>
                </w:tcPr>
                <w:p w14:paraId="312E54A1">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r>
                    <w:rPr>
                      <w:rFonts w:hint="eastAsia" w:ascii="Times New Roman" w:hAnsi="Times New Roman" w:eastAsia="宋体" w:cs="Times New Roman"/>
                      <w:color w:val="auto"/>
                      <w:szCs w:val="21"/>
                    </w:rPr>
                    <w:t>8.3</w:t>
                  </w:r>
                </w:p>
              </w:tc>
              <w:tc>
                <w:tcPr>
                  <w:tcW w:w="931" w:type="dxa"/>
                  <w:vAlign w:val="center"/>
                </w:tcPr>
                <w:p w14:paraId="59717D0D">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rPr>
                    <w:t>达标</w:t>
                  </w:r>
                </w:p>
              </w:tc>
            </w:tr>
            <w:tr w14:paraId="35A5AE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818" w:type="dxa"/>
                  <w:vMerge w:val="continue"/>
                  <w:vAlign w:val="center"/>
                </w:tcPr>
                <w:p w14:paraId="6C33B8AF">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p>
              </w:tc>
              <w:tc>
                <w:tcPr>
                  <w:tcW w:w="2595" w:type="dxa"/>
                  <w:vAlign w:val="center"/>
                </w:tcPr>
                <w:p w14:paraId="1740FFCC">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rPr>
                    <w:t>日均浓度第98百分位数</w:t>
                  </w:r>
                </w:p>
              </w:tc>
              <w:tc>
                <w:tcPr>
                  <w:tcW w:w="900" w:type="dxa"/>
                  <w:vAlign w:val="center"/>
                </w:tcPr>
                <w:p w14:paraId="33A1F014">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r>
                    <w:rPr>
                      <w:rFonts w:hint="eastAsia" w:ascii="Times New Roman" w:hAnsi="Times New Roman" w:eastAsia="宋体" w:cs="Times New Roman"/>
                      <w:color w:val="auto"/>
                      <w:szCs w:val="21"/>
                    </w:rPr>
                    <w:t>8</w:t>
                  </w:r>
                </w:p>
              </w:tc>
              <w:tc>
                <w:tcPr>
                  <w:tcW w:w="1950" w:type="dxa"/>
                  <w:vAlign w:val="center"/>
                </w:tcPr>
                <w:p w14:paraId="721645B6">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lang w:val="en-US" w:eastAsia="zh-CN"/>
                    </w:rPr>
                  </w:pPr>
                  <w:r>
                    <w:rPr>
                      <w:rFonts w:hint="eastAsia" w:ascii="Times New Roman" w:hAnsi="Times New Roman" w:eastAsia="宋体" w:cs="Times New Roman"/>
                      <w:color w:val="auto"/>
                      <w:szCs w:val="21"/>
                      <w:lang w:val="en-US" w:eastAsia="zh-CN"/>
                    </w:rPr>
                    <w:t>150</w:t>
                  </w:r>
                </w:p>
              </w:tc>
              <w:tc>
                <w:tcPr>
                  <w:tcW w:w="981" w:type="dxa"/>
                  <w:vAlign w:val="center"/>
                </w:tcPr>
                <w:p w14:paraId="70ABAC0E">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lang w:val="en-US" w:eastAsia="zh-CN"/>
                    </w:rPr>
                  </w:pPr>
                  <w:r>
                    <w:rPr>
                      <w:rFonts w:hint="eastAsia" w:ascii="Times New Roman" w:hAnsi="Times New Roman" w:eastAsia="宋体" w:cs="Times New Roman"/>
                      <w:color w:val="auto"/>
                      <w:szCs w:val="21"/>
                      <w:lang w:val="en-US" w:eastAsia="zh-CN"/>
                    </w:rPr>
                    <w:t>5.3</w:t>
                  </w:r>
                </w:p>
              </w:tc>
              <w:tc>
                <w:tcPr>
                  <w:tcW w:w="931" w:type="dxa"/>
                  <w:vAlign w:val="center"/>
                </w:tcPr>
                <w:p w14:paraId="04F49285">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rPr>
                    <w:t>达标</w:t>
                  </w:r>
                </w:p>
              </w:tc>
            </w:tr>
            <w:tr w14:paraId="35E57F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818" w:type="dxa"/>
                  <w:vMerge w:val="restart"/>
                  <w:vAlign w:val="center"/>
                </w:tcPr>
                <w:p w14:paraId="3023D7C3">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rPr>
                    <w:t>NO</w:t>
                  </w:r>
                  <w:r>
                    <w:rPr>
                      <w:rFonts w:hint="default" w:ascii="Times New Roman" w:hAnsi="Times New Roman" w:eastAsia="宋体" w:cs="Times New Roman"/>
                      <w:color w:val="auto"/>
                      <w:szCs w:val="21"/>
                      <w:vertAlign w:val="subscript"/>
                    </w:rPr>
                    <w:t>2</w:t>
                  </w:r>
                </w:p>
              </w:tc>
              <w:tc>
                <w:tcPr>
                  <w:tcW w:w="2595" w:type="dxa"/>
                  <w:vAlign w:val="center"/>
                </w:tcPr>
                <w:p w14:paraId="6A193252">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rPr>
                    <w:t>年平均质量浓度</w:t>
                  </w:r>
                </w:p>
              </w:tc>
              <w:tc>
                <w:tcPr>
                  <w:tcW w:w="900" w:type="dxa"/>
                  <w:vAlign w:val="center"/>
                </w:tcPr>
                <w:p w14:paraId="63AC75DD">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r>
                    <w:rPr>
                      <w:rFonts w:hint="eastAsia" w:ascii="Times New Roman" w:hAnsi="Times New Roman" w:eastAsia="宋体" w:cs="Times New Roman"/>
                      <w:color w:val="auto"/>
                      <w:szCs w:val="21"/>
                    </w:rPr>
                    <w:t>20</w:t>
                  </w:r>
                </w:p>
              </w:tc>
              <w:tc>
                <w:tcPr>
                  <w:tcW w:w="1950" w:type="dxa"/>
                  <w:vAlign w:val="center"/>
                </w:tcPr>
                <w:p w14:paraId="2F407C92">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r>
                    <w:rPr>
                      <w:rFonts w:hint="eastAsia" w:ascii="Times New Roman" w:hAnsi="Times New Roman" w:eastAsia="宋体" w:cs="Times New Roman"/>
                      <w:color w:val="auto"/>
                      <w:szCs w:val="21"/>
                    </w:rPr>
                    <w:t>40</w:t>
                  </w:r>
                </w:p>
              </w:tc>
              <w:tc>
                <w:tcPr>
                  <w:tcW w:w="981" w:type="dxa"/>
                  <w:vAlign w:val="center"/>
                </w:tcPr>
                <w:p w14:paraId="573F3B4A">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r>
                    <w:rPr>
                      <w:rFonts w:hint="eastAsia" w:ascii="Times New Roman" w:hAnsi="Times New Roman" w:eastAsia="宋体" w:cs="Times New Roman"/>
                      <w:color w:val="auto"/>
                      <w:szCs w:val="21"/>
                    </w:rPr>
                    <w:t>50</w:t>
                  </w:r>
                </w:p>
              </w:tc>
              <w:tc>
                <w:tcPr>
                  <w:tcW w:w="931" w:type="dxa"/>
                  <w:vAlign w:val="center"/>
                </w:tcPr>
                <w:p w14:paraId="2FD267D1">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rPr>
                    <w:t>达标</w:t>
                  </w:r>
                </w:p>
              </w:tc>
            </w:tr>
            <w:tr w14:paraId="494AB5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818" w:type="dxa"/>
                  <w:vMerge w:val="continue"/>
                  <w:vAlign w:val="center"/>
                </w:tcPr>
                <w:p w14:paraId="4068F652">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p>
              </w:tc>
              <w:tc>
                <w:tcPr>
                  <w:tcW w:w="2595" w:type="dxa"/>
                  <w:vAlign w:val="center"/>
                </w:tcPr>
                <w:p w14:paraId="15BE781D">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rPr>
                    <w:t>日均浓度第98百分位数</w:t>
                  </w:r>
                </w:p>
              </w:tc>
              <w:tc>
                <w:tcPr>
                  <w:tcW w:w="900" w:type="dxa"/>
                  <w:vAlign w:val="center"/>
                </w:tcPr>
                <w:p w14:paraId="4712BF96">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r>
                    <w:rPr>
                      <w:rFonts w:hint="eastAsia" w:ascii="Times New Roman" w:hAnsi="Times New Roman" w:eastAsia="宋体" w:cs="Times New Roman"/>
                      <w:color w:val="auto"/>
                      <w:szCs w:val="21"/>
                    </w:rPr>
                    <w:t>44</w:t>
                  </w:r>
                </w:p>
              </w:tc>
              <w:tc>
                <w:tcPr>
                  <w:tcW w:w="1950" w:type="dxa"/>
                  <w:vAlign w:val="center"/>
                </w:tcPr>
                <w:p w14:paraId="5902C1FE">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lang w:val="en-US" w:eastAsia="zh-CN"/>
                    </w:rPr>
                  </w:pPr>
                  <w:r>
                    <w:rPr>
                      <w:rFonts w:hint="eastAsia" w:ascii="Times New Roman" w:hAnsi="Times New Roman" w:eastAsia="宋体" w:cs="Times New Roman"/>
                      <w:color w:val="auto"/>
                      <w:szCs w:val="21"/>
                      <w:lang w:val="en-US" w:eastAsia="zh-CN"/>
                    </w:rPr>
                    <w:t>80</w:t>
                  </w:r>
                </w:p>
              </w:tc>
              <w:tc>
                <w:tcPr>
                  <w:tcW w:w="981" w:type="dxa"/>
                  <w:vAlign w:val="center"/>
                </w:tcPr>
                <w:p w14:paraId="779F01EF">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lang w:val="en-US" w:eastAsia="zh-CN"/>
                    </w:rPr>
                  </w:pPr>
                  <w:r>
                    <w:rPr>
                      <w:rFonts w:hint="eastAsia" w:ascii="Times New Roman" w:hAnsi="Times New Roman" w:eastAsia="宋体" w:cs="Times New Roman"/>
                      <w:color w:val="auto"/>
                      <w:szCs w:val="21"/>
                      <w:lang w:val="en-US" w:eastAsia="zh-CN"/>
                    </w:rPr>
                    <w:t>55</w:t>
                  </w:r>
                </w:p>
              </w:tc>
              <w:tc>
                <w:tcPr>
                  <w:tcW w:w="931" w:type="dxa"/>
                  <w:vAlign w:val="center"/>
                </w:tcPr>
                <w:p w14:paraId="2A1A2D5B">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rPr>
                    <w:t>达标</w:t>
                  </w:r>
                </w:p>
              </w:tc>
            </w:tr>
            <w:tr w14:paraId="372248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818" w:type="dxa"/>
                  <w:vMerge w:val="restart"/>
                  <w:vAlign w:val="center"/>
                </w:tcPr>
                <w:p w14:paraId="5222E218">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rPr>
                    <w:t>PM</w:t>
                  </w:r>
                  <w:r>
                    <w:rPr>
                      <w:rFonts w:hint="default" w:ascii="Times New Roman" w:hAnsi="Times New Roman" w:eastAsia="宋体" w:cs="Times New Roman"/>
                      <w:color w:val="auto"/>
                      <w:szCs w:val="21"/>
                      <w:vertAlign w:val="subscript"/>
                    </w:rPr>
                    <w:t>10</w:t>
                  </w:r>
                </w:p>
              </w:tc>
              <w:tc>
                <w:tcPr>
                  <w:tcW w:w="2595" w:type="dxa"/>
                  <w:vAlign w:val="center"/>
                </w:tcPr>
                <w:p w14:paraId="1F489BB2">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rPr>
                    <w:t>年平均质量浓度</w:t>
                  </w:r>
                </w:p>
              </w:tc>
              <w:tc>
                <w:tcPr>
                  <w:tcW w:w="900" w:type="dxa"/>
                  <w:vAlign w:val="center"/>
                </w:tcPr>
                <w:p w14:paraId="3F89C17F">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r>
                    <w:rPr>
                      <w:rFonts w:hint="eastAsia" w:ascii="Times New Roman" w:hAnsi="Times New Roman" w:eastAsia="宋体" w:cs="Times New Roman"/>
                      <w:color w:val="auto"/>
                      <w:szCs w:val="21"/>
                    </w:rPr>
                    <w:t>43</w:t>
                  </w:r>
                </w:p>
              </w:tc>
              <w:tc>
                <w:tcPr>
                  <w:tcW w:w="1950" w:type="dxa"/>
                  <w:vAlign w:val="center"/>
                </w:tcPr>
                <w:p w14:paraId="487BFB5A">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r>
                    <w:rPr>
                      <w:rFonts w:hint="eastAsia" w:ascii="Times New Roman" w:hAnsi="Times New Roman" w:eastAsia="宋体" w:cs="Times New Roman"/>
                      <w:color w:val="auto"/>
                      <w:szCs w:val="21"/>
                    </w:rPr>
                    <w:t>60</w:t>
                  </w:r>
                </w:p>
              </w:tc>
              <w:tc>
                <w:tcPr>
                  <w:tcW w:w="981" w:type="dxa"/>
                  <w:vAlign w:val="center"/>
                </w:tcPr>
                <w:p w14:paraId="13A1E47F">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r>
                    <w:rPr>
                      <w:rFonts w:hint="eastAsia" w:ascii="Times New Roman" w:hAnsi="Times New Roman" w:eastAsia="宋体" w:cs="Times New Roman"/>
                      <w:color w:val="auto"/>
                      <w:szCs w:val="21"/>
                    </w:rPr>
                    <w:t>71.7</w:t>
                  </w:r>
                </w:p>
              </w:tc>
              <w:tc>
                <w:tcPr>
                  <w:tcW w:w="931" w:type="dxa"/>
                  <w:vAlign w:val="center"/>
                </w:tcPr>
                <w:p w14:paraId="44C79169">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rPr>
                    <w:t>达标</w:t>
                  </w:r>
                </w:p>
              </w:tc>
            </w:tr>
            <w:tr w14:paraId="2CD791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818" w:type="dxa"/>
                  <w:vMerge w:val="continue"/>
                  <w:vAlign w:val="center"/>
                </w:tcPr>
                <w:p w14:paraId="39482585">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p>
              </w:tc>
              <w:tc>
                <w:tcPr>
                  <w:tcW w:w="2595" w:type="dxa"/>
                  <w:vAlign w:val="center"/>
                </w:tcPr>
                <w:p w14:paraId="1FD43689">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rPr>
                    <w:t>日均浓度第9</w:t>
                  </w:r>
                  <w:r>
                    <w:rPr>
                      <w:rFonts w:hint="eastAsia" w:ascii="Times New Roman" w:hAnsi="Times New Roman" w:eastAsia="宋体" w:cs="Times New Roman"/>
                      <w:color w:val="auto"/>
                      <w:szCs w:val="21"/>
                    </w:rPr>
                    <w:t>5</w:t>
                  </w:r>
                  <w:r>
                    <w:rPr>
                      <w:rFonts w:hint="default" w:ascii="Times New Roman" w:hAnsi="Times New Roman" w:eastAsia="宋体" w:cs="Times New Roman"/>
                      <w:color w:val="auto"/>
                      <w:szCs w:val="21"/>
                    </w:rPr>
                    <w:t>百分位数</w:t>
                  </w:r>
                </w:p>
              </w:tc>
              <w:tc>
                <w:tcPr>
                  <w:tcW w:w="900" w:type="dxa"/>
                  <w:vAlign w:val="center"/>
                </w:tcPr>
                <w:p w14:paraId="2B3CE9BB">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r>
                    <w:rPr>
                      <w:rFonts w:hint="eastAsia" w:ascii="Times New Roman" w:hAnsi="Times New Roman" w:eastAsia="宋体" w:cs="Times New Roman"/>
                      <w:color w:val="auto"/>
                      <w:szCs w:val="21"/>
                    </w:rPr>
                    <w:t>99</w:t>
                  </w:r>
                </w:p>
              </w:tc>
              <w:tc>
                <w:tcPr>
                  <w:tcW w:w="1950" w:type="dxa"/>
                  <w:vAlign w:val="center"/>
                </w:tcPr>
                <w:p w14:paraId="4A82A249">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lang w:val="en-US" w:eastAsia="zh-CN"/>
                    </w:rPr>
                  </w:pPr>
                  <w:r>
                    <w:rPr>
                      <w:rFonts w:hint="eastAsia" w:ascii="Times New Roman" w:hAnsi="Times New Roman" w:eastAsia="宋体" w:cs="Times New Roman"/>
                      <w:color w:val="auto"/>
                      <w:szCs w:val="21"/>
                      <w:lang w:val="en-US" w:eastAsia="zh-CN"/>
                    </w:rPr>
                    <w:t>120</w:t>
                  </w:r>
                </w:p>
              </w:tc>
              <w:tc>
                <w:tcPr>
                  <w:tcW w:w="981" w:type="dxa"/>
                  <w:vAlign w:val="center"/>
                </w:tcPr>
                <w:p w14:paraId="4A03194F">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lang w:val="en-US" w:eastAsia="zh-CN"/>
                    </w:rPr>
                  </w:pPr>
                  <w:r>
                    <w:rPr>
                      <w:rFonts w:hint="eastAsia" w:ascii="Times New Roman" w:hAnsi="Times New Roman" w:eastAsia="宋体" w:cs="Times New Roman"/>
                      <w:color w:val="auto"/>
                      <w:szCs w:val="21"/>
                      <w:lang w:val="en-US" w:eastAsia="zh-CN"/>
                    </w:rPr>
                    <w:t>82.5</w:t>
                  </w:r>
                </w:p>
              </w:tc>
              <w:tc>
                <w:tcPr>
                  <w:tcW w:w="931" w:type="dxa"/>
                  <w:vAlign w:val="center"/>
                </w:tcPr>
                <w:p w14:paraId="73EED7BE">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rPr>
                    <w:t>达标</w:t>
                  </w:r>
                </w:p>
              </w:tc>
            </w:tr>
            <w:tr w14:paraId="36F013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818" w:type="dxa"/>
                  <w:vMerge w:val="restart"/>
                  <w:vAlign w:val="center"/>
                </w:tcPr>
                <w:p w14:paraId="64F10BBB">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rPr>
                    <w:t>PM</w:t>
                  </w:r>
                  <w:r>
                    <w:rPr>
                      <w:rFonts w:hint="default" w:ascii="Times New Roman" w:hAnsi="Times New Roman" w:eastAsia="宋体" w:cs="Times New Roman"/>
                      <w:color w:val="auto"/>
                      <w:szCs w:val="21"/>
                      <w:vertAlign w:val="subscript"/>
                    </w:rPr>
                    <w:t>2.5</w:t>
                  </w:r>
                </w:p>
              </w:tc>
              <w:tc>
                <w:tcPr>
                  <w:tcW w:w="2595" w:type="dxa"/>
                  <w:vAlign w:val="center"/>
                </w:tcPr>
                <w:p w14:paraId="0E5BE871">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rPr>
                    <w:t>年平均质量浓度</w:t>
                  </w:r>
                </w:p>
              </w:tc>
              <w:tc>
                <w:tcPr>
                  <w:tcW w:w="900" w:type="dxa"/>
                  <w:vAlign w:val="center"/>
                </w:tcPr>
                <w:p w14:paraId="76F0F2EA">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r>
                    <w:rPr>
                      <w:rFonts w:hint="eastAsia" w:ascii="Times New Roman" w:hAnsi="Times New Roman" w:eastAsia="宋体" w:cs="Times New Roman"/>
                      <w:color w:val="auto"/>
                      <w:szCs w:val="21"/>
                    </w:rPr>
                    <w:t>28</w:t>
                  </w:r>
                </w:p>
              </w:tc>
              <w:tc>
                <w:tcPr>
                  <w:tcW w:w="1950" w:type="dxa"/>
                  <w:vAlign w:val="center"/>
                </w:tcPr>
                <w:p w14:paraId="72A9AFC5">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r>
                    <w:rPr>
                      <w:rFonts w:hint="eastAsia" w:ascii="Times New Roman" w:hAnsi="Times New Roman" w:eastAsia="宋体" w:cs="Times New Roman"/>
                      <w:color w:val="auto"/>
                      <w:szCs w:val="21"/>
                    </w:rPr>
                    <w:t>30</w:t>
                  </w:r>
                </w:p>
              </w:tc>
              <w:tc>
                <w:tcPr>
                  <w:tcW w:w="981" w:type="dxa"/>
                  <w:vAlign w:val="center"/>
                </w:tcPr>
                <w:p w14:paraId="28AB252C">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r>
                    <w:rPr>
                      <w:rFonts w:hint="eastAsia" w:ascii="Times New Roman" w:hAnsi="Times New Roman" w:eastAsia="宋体" w:cs="Times New Roman"/>
                      <w:color w:val="auto"/>
                      <w:szCs w:val="21"/>
                    </w:rPr>
                    <w:t>93.3</w:t>
                  </w:r>
                </w:p>
              </w:tc>
              <w:tc>
                <w:tcPr>
                  <w:tcW w:w="931" w:type="dxa"/>
                  <w:vAlign w:val="center"/>
                </w:tcPr>
                <w:p w14:paraId="48BDDDBA">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rPr>
                    <w:t>达标</w:t>
                  </w:r>
                </w:p>
              </w:tc>
            </w:tr>
            <w:tr w14:paraId="0977F7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818" w:type="dxa"/>
                  <w:vMerge w:val="continue"/>
                  <w:vAlign w:val="center"/>
                </w:tcPr>
                <w:p w14:paraId="331A4AFA">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p>
              </w:tc>
              <w:tc>
                <w:tcPr>
                  <w:tcW w:w="2595" w:type="dxa"/>
                  <w:vAlign w:val="center"/>
                </w:tcPr>
                <w:p w14:paraId="12BB33F0">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rPr>
                    <w:t>日均浓度第9</w:t>
                  </w:r>
                  <w:r>
                    <w:rPr>
                      <w:rFonts w:hint="eastAsia" w:ascii="Times New Roman" w:hAnsi="Times New Roman" w:eastAsia="宋体" w:cs="Times New Roman"/>
                      <w:color w:val="auto"/>
                      <w:szCs w:val="21"/>
                    </w:rPr>
                    <w:t>5</w:t>
                  </w:r>
                  <w:r>
                    <w:rPr>
                      <w:rFonts w:hint="default" w:ascii="Times New Roman" w:hAnsi="Times New Roman" w:eastAsia="宋体" w:cs="Times New Roman"/>
                      <w:color w:val="auto"/>
                      <w:szCs w:val="21"/>
                    </w:rPr>
                    <w:t>百分位数</w:t>
                  </w:r>
                </w:p>
              </w:tc>
              <w:tc>
                <w:tcPr>
                  <w:tcW w:w="900" w:type="dxa"/>
                  <w:vAlign w:val="center"/>
                </w:tcPr>
                <w:p w14:paraId="32C42CDE">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r>
                    <w:rPr>
                      <w:rFonts w:hint="eastAsia" w:ascii="Times New Roman" w:hAnsi="Times New Roman" w:eastAsia="宋体" w:cs="Times New Roman"/>
                      <w:color w:val="auto"/>
                      <w:szCs w:val="21"/>
                    </w:rPr>
                    <w:t>70</w:t>
                  </w:r>
                </w:p>
              </w:tc>
              <w:tc>
                <w:tcPr>
                  <w:tcW w:w="1950" w:type="dxa"/>
                  <w:vAlign w:val="center"/>
                </w:tcPr>
                <w:p w14:paraId="58C59459">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lang w:val="en-US" w:eastAsia="zh-CN"/>
                    </w:rPr>
                  </w:pPr>
                  <w:r>
                    <w:rPr>
                      <w:rFonts w:hint="eastAsia" w:ascii="Times New Roman" w:hAnsi="Times New Roman" w:eastAsia="宋体" w:cs="Times New Roman"/>
                      <w:color w:val="auto"/>
                      <w:szCs w:val="21"/>
                      <w:lang w:val="en-US" w:eastAsia="zh-CN"/>
                    </w:rPr>
                    <w:t>60</w:t>
                  </w:r>
                </w:p>
              </w:tc>
              <w:tc>
                <w:tcPr>
                  <w:tcW w:w="981" w:type="dxa"/>
                  <w:vAlign w:val="center"/>
                </w:tcPr>
                <w:p w14:paraId="548668DF">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lang w:val="en-US" w:eastAsia="zh-CN"/>
                    </w:rPr>
                  </w:pPr>
                  <w:r>
                    <w:rPr>
                      <w:rFonts w:hint="eastAsia" w:ascii="Times New Roman" w:hAnsi="Times New Roman" w:eastAsia="宋体" w:cs="Times New Roman"/>
                      <w:color w:val="auto"/>
                      <w:szCs w:val="21"/>
                      <w:lang w:val="en-US" w:eastAsia="zh-CN"/>
                    </w:rPr>
                    <w:t>116.7</w:t>
                  </w:r>
                </w:p>
              </w:tc>
              <w:tc>
                <w:tcPr>
                  <w:tcW w:w="931" w:type="dxa"/>
                  <w:vAlign w:val="center"/>
                </w:tcPr>
                <w:p w14:paraId="43720D60">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r>
                    <w:rPr>
                      <w:rFonts w:hint="eastAsia" w:ascii="Times New Roman" w:hAnsi="Times New Roman" w:eastAsia="宋体" w:cs="Times New Roman"/>
                      <w:color w:val="auto"/>
                      <w:szCs w:val="21"/>
                      <w:lang w:val="en-US" w:eastAsia="zh-CN"/>
                    </w:rPr>
                    <w:t>不</w:t>
                  </w:r>
                  <w:r>
                    <w:rPr>
                      <w:rFonts w:hint="default" w:ascii="Times New Roman" w:hAnsi="Times New Roman" w:eastAsia="宋体" w:cs="Times New Roman"/>
                      <w:color w:val="auto"/>
                      <w:szCs w:val="21"/>
                    </w:rPr>
                    <w:t>达标</w:t>
                  </w:r>
                </w:p>
              </w:tc>
            </w:tr>
            <w:tr w14:paraId="527AAD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818" w:type="dxa"/>
                  <w:vAlign w:val="center"/>
                </w:tcPr>
                <w:p w14:paraId="5A707B45">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rPr>
                    <w:t>CO</w:t>
                  </w:r>
                </w:p>
              </w:tc>
              <w:tc>
                <w:tcPr>
                  <w:tcW w:w="2595" w:type="dxa"/>
                  <w:vAlign w:val="center"/>
                </w:tcPr>
                <w:p w14:paraId="2835FD47">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rPr>
                    <w:t>日均浓度第9</w:t>
                  </w:r>
                  <w:r>
                    <w:rPr>
                      <w:rFonts w:hint="eastAsia" w:ascii="Times New Roman" w:hAnsi="Times New Roman" w:eastAsia="宋体" w:cs="Times New Roman"/>
                      <w:color w:val="auto"/>
                      <w:szCs w:val="21"/>
                    </w:rPr>
                    <w:t>5</w:t>
                  </w:r>
                  <w:r>
                    <w:rPr>
                      <w:rFonts w:hint="default" w:ascii="Times New Roman" w:hAnsi="Times New Roman" w:eastAsia="宋体" w:cs="Times New Roman"/>
                      <w:color w:val="auto"/>
                      <w:szCs w:val="21"/>
                    </w:rPr>
                    <w:t>百分位数</w:t>
                  </w:r>
                </w:p>
              </w:tc>
              <w:tc>
                <w:tcPr>
                  <w:tcW w:w="900" w:type="dxa"/>
                  <w:vAlign w:val="center"/>
                </w:tcPr>
                <w:p w14:paraId="3A426642">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r>
                    <w:rPr>
                      <w:rFonts w:hint="eastAsia" w:ascii="Times New Roman" w:hAnsi="Times New Roman" w:eastAsia="宋体" w:cs="Times New Roman"/>
                      <w:color w:val="auto"/>
                      <w:szCs w:val="21"/>
                    </w:rPr>
                    <w:t>900</w:t>
                  </w:r>
                </w:p>
              </w:tc>
              <w:tc>
                <w:tcPr>
                  <w:tcW w:w="1950" w:type="dxa"/>
                  <w:vAlign w:val="center"/>
                </w:tcPr>
                <w:p w14:paraId="2F3AAA9E">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lang w:val="en-US" w:eastAsia="zh-CN"/>
                    </w:rPr>
                  </w:pPr>
                  <w:r>
                    <w:rPr>
                      <w:rFonts w:hint="eastAsia" w:ascii="Times New Roman" w:hAnsi="Times New Roman" w:eastAsia="宋体" w:cs="Times New Roman"/>
                      <w:color w:val="auto"/>
                      <w:szCs w:val="21"/>
                      <w:lang w:val="en-US" w:eastAsia="zh-CN"/>
                    </w:rPr>
                    <w:t>4000</w:t>
                  </w:r>
                </w:p>
              </w:tc>
              <w:tc>
                <w:tcPr>
                  <w:tcW w:w="981" w:type="dxa"/>
                  <w:vAlign w:val="center"/>
                </w:tcPr>
                <w:p w14:paraId="1BF1121D">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lang w:val="en-US" w:eastAsia="zh-CN"/>
                    </w:rPr>
                  </w:pPr>
                  <w:r>
                    <w:rPr>
                      <w:rFonts w:hint="eastAsia" w:ascii="Times New Roman" w:hAnsi="Times New Roman" w:eastAsia="宋体" w:cs="Times New Roman"/>
                      <w:color w:val="auto"/>
                      <w:szCs w:val="21"/>
                      <w:lang w:val="en-US" w:eastAsia="zh-CN"/>
                    </w:rPr>
                    <w:t>22.5</w:t>
                  </w:r>
                </w:p>
              </w:tc>
              <w:tc>
                <w:tcPr>
                  <w:tcW w:w="931" w:type="dxa"/>
                  <w:vAlign w:val="center"/>
                </w:tcPr>
                <w:p w14:paraId="0A50A29A">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rPr>
                    <w:t>达标</w:t>
                  </w:r>
                </w:p>
              </w:tc>
            </w:tr>
            <w:tr w14:paraId="4EF657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818" w:type="dxa"/>
                  <w:vAlign w:val="center"/>
                </w:tcPr>
                <w:p w14:paraId="474D09DC">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rPr>
                    <w:t>O</w:t>
                  </w:r>
                  <w:r>
                    <w:rPr>
                      <w:rFonts w:hint="default" w:ascii="Times New Roman" w:hAnsi="Times New Roman" w:eastAsia="宋体" w:cs="Times New Roman"/>
                      <w:color w:val="auto"/>
                      <w:szCs w:val="21"/>
                      <w:vertAlign w:val="subscript"/>
                    </w:rPr>
                    <w:t>3</w:t>
                  </w:r>
                </w:p>
              </w:tc>
              <w:tc>
                <w:tcPr>
                  <w:tcW w:w="2595" w:type="dxa"/>
                  <w:vAlign w:val="center"/>
                </w:tcPr>
                <w:p w14:paraId="718023B9">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rPr>
                    <w:t>日最大8小时滑动平均值的第90百分位数</w:t>
                  </w:r>
                </w:p>
              </w:tc>
              <w:tc>
                <w:tcPr>
                  <w:tcW w:w="900" w:type="dxa"/>
                  <w:vAlign w:val="center"/>
                </w:tcPr>
                <w:p w14:paraId="5BE75223">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r>
                    <w:rPr>
                      <w:rFonts w:hint="eastAsia" w:ascii="Times New Roman" w:hAnsi="Times New Roman" w:eastAsia="宋体" w:cs="Times New Roman"/>
                      <w:color w:val="auto"/>
                      <w:szCs w:val="21"/>
                    </w:rPr>
                    <w:t>158</w:t>
                  </w:r>
                </w:p>
              </w:tc>
              <w:tc>
                <w:tcPr>
                  <w:tcW w:w="1950" w:type="dxa"/>
                  <w:vAlign w:val="center"/>
                </w:tcPr>
                <w:p w14:paraId="40C4185C">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lang w:val="en-US" w:eastAsia="zh-CN"/>
                    </w:rPr>
                  </w:pPr>
                  <w:r>
                    <w:rPr>
                      <w:rFonts w:hint="eastAsia" w:ascii="Times New Roman" w:hAnsi="Times New Roman" w:eastAsia="宋体" w:cs="Times New Roman"/>
                      <w:color w:val="auto"/>
                      <w:szCs w:val="21"/>
                      <w:lang w:val="en-US" w:eastAsia="zh-CN"/>
                    </w:rPr>
                    <w:t>160</w:t>
                  </w:r>
                </w:p>
              </w:tc>
              <w:tc>
                <w:tcPr>
                  <w:tcW w:w="981" w:type="dxa"/>
                  <w:vAlign w:val="center"/>
                </w:tcPr>
                <w:p w14:paraId="6D99C28C">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lang w:val="en-US" w:eastAsia="zh-CN"/>
                    </w:rPr>
                  </w:pPr>
                  <w:r>
                    <w:rPr>
                      <w:rFonts w:hint="eastAsia" w:ascii="Times New Roman" w:hAnsi="Times New Roman" w:eastAsia="宋体" w:cs="Times New Roman"/>
                      <w:color w:val="auto"/>
                      <w:szCs w:val="21"/>
                      <w:lang w:val="en-US" w:eastAsia="zh-CN"/>
                    </w:rPr>
                    <w:t>98.8</w:t>
                  </w:r>
                </w:p>
              </w:tc>
              <w:tc>
                <w:tcPr>
                  <w:tcW w:w="931" w:type="dxa"/>
                  <w:vAlign w:val="center"/>
                </w:tcPr>
                <w:p w14:paraId="3EC96361">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rPr>
                    <w:t>达标</w:t>
                  </w:r>
                </w:p>
              </w:tc>
            </w:tr>
          </w:tbl>
          <w:p w14:paraId="54C8B957">
            <w:pPr>
              <w:keepNext w:val="0"/>
              <w:keepLines w:val="0"/>
              <w:suppressLineNumbers w:val="0"/>
              <w:spacing w:before="0" w:beforeAutospacing="0" w:after="0" w:afterAutospacing="0" w:line="360" w:lineRule="auto"/>
              <w:ind w:left="0" w:right="0" w:firstLine="480" w:firstLineChars="200"/>
              <w:rPr>
                <w:rFonts w:hint="eastAsia" w:ascii="Times New Roman" w:hAnsi="Times New Roman" w:eastAsia="宋体" w:cs="Times New Roman"/>
                <w:color w:val="auto"/>
                <w:sz w:val="24"/>
              </w:rPr>
            </w:pPr>
            <w:r>
              <w:rPr>
                <w:rFonts w:hint="eastAsia" w:ascii="Times New Roman" w:hAnsi="Times New Roman" w:eastAsia="宋体" w:cs="Times New Roman"/>
                <w:color w:val="auto"/>
                <w:sz w:val="24"/>
                <w:lang w:val="en-US" w:eastAsia="zh-CN"/>
              </w:rPr>
              <w:t>根据监测结果，项目所在区域环境空气评价指标中除PM2.5第95百分位数日平均有超标现象，其他均可以达到《环境空气质量标准》（GB3095-2026）过渡阶段浓度限值二级标准。</w:t>
            </w:r>
          </w:p>
          <w:p w14:paraId="640F0AF6">
            <w:pPr>
              <w:keepNext w:val="0"/>
              <w:keepLines w:val="0"/>
              <w:suppressLineNumbers w:val="0"/>
              <w:spacing w:before="0" w:beforeAutospacing="0" w:after="0" w:afterAutospacing="0" w:line="360" w:lineRule="auto"/>
              <w:ind w:left="0" w:right="0" w:firstLine="480" w:firstLineChars="200"/>
              <w:rPr>
                <w:rFonts w:hint="eastAsia" w:ascii="Times New Roman" w:hAnsi="Times New Roman" w:eastAsia="宋体" w:cs="Times New Roman"/>
                <w:color w:val="auto"/>
                <w:sz w:val="24"/>
              </w:rPr>
            </w:pPr>
            <w:r>
              <w:rPr>
                <w:rFonts w:hint="eastAsia" w:ascii="Times New Roman" w:hAnsi="Times New Roman" w:eastAsia="宋体" w:cs="Times New Roman"/>
                <w:color w:val="auto"/>
                <w:sz w:val="24"/>
                <w:lang w:val="en-US" w:eastAsia="zh-CN"/>
              </w:rPr>
              <w:t>对照《环境空气质量评价技术规范》（HJ663-2026）有关规定，项目所在区域环境空气质量一般，评定项目所在评价区域为不达标区。</w:t>
            </w:r>
          </w:p>
          <w:p w14:paraId="7B568312">
            <w:pPr>
              <w:keepNext w:val="0"/>
              <w:keepLines w:val="0"/>
              <w:suppressLineNumbers w:val="0"/>
              <w:spacing w:before="0" w:beforeAutospacing="0" w:after="0" w:afterAutospacing="0" w:line="360" w:lineRule="auto"/>
              <w:ind w:left="0" w:right="0" w:firstLine="480" w:firstLineChars="200"/>
              <w:rPr>
                <w:rFonts w:hint="eastAsia" w:ascii="Times New Roman" w:hAnsi="Times New Roman" w:eastAsia="宋体" w:cs="Times New Roman"/>
                <w:color w:val="auto"/>
                <w:sz w:val="24"/>
              </w:rPr>
            </w:pPr>
            <w:r>
              <w:rPr>
                <w:rFonts w:hint="eastAsia" w:ascii="Times New Roman" w:hAnsi="Times New Roman" w:eastAsia="宋体" w:cs="Times New Roman"/>
                <w:color w:val="auto"/>
                <w:sz w:val="24"/>
                <w:lang w:val="en-US" w:eastAsia="zh-CN"/>
              </w:rPr>
              <w:t>（2）区域达标规划</w:t>
            </w:r>
          </w:p>
          <w:p w14:paraId="27696B22">
            <w:pPr>
              <w:keepNext w:val="0"/>
              <w:keepLines w:val="0"/>
              <w:suppressLineNumbers w:val="0"/>
              <w:spacing w:before="0" w:beforeAutospacing="0" w:after="0" w:afterAutospacing="0" w:line="360" w:lineRule="auto"/>
              <w:ind w:left="0" w:right="0" w:firstLine="480" w:firstLineChars="200"/>
              <w:rPr>
                <w:rFonts w:hint="eastAsia" w:ascii="Times New Roman" w:hAnsi="Times New Roman" w:eastAsia="宋体" w:cs="Times New Roman"/>
                <w:color w:val="auto"/>
                <w:sz w:val="24"/>
                <w:lang w:val="en-US" w:eastAsia="zh-CN"/>
              </w:rPr>
            </w:pPr>
            <w:r>
              <w:rPr>
                <w:rFonts w:hint="eastAsia" w:ascii="Times New Roman" w:hAnsi="Times New Roman" w:eastAsia="宋体" w:cs="Times New Roman"/>
                <w:color w:val="auto"/>
                <w:sz w:val="24"/>
                <w:lang w:val="en-US" w:eastAsia="zh-CN"/>
              </w:rPr>
              <w:t>湖州市发展和改革委员会、湖州市生态环境局于2021年12月31日发布《关于印发&lt;湖州市空气质量改善“十四五”规划&gt;的通知》（湖发改规划﹝2021﹞219号），为持续改善“十四五”时期湖州市空气质量，根据《中华人民共和国生态环境法典》、《浙江省大气污染防治条例》等要求，以改善环境空气质量为核心，聚焦PM</w:t>
            </w:r>
            <w:r>
              <w:rPr>
                <w:rFonts w:hint="eastAsia" w:ascii="Times New Roman" w:hAnsi="Times New Roman" w:eastAsia="宋体" w:cs="Times New Roman"/>
                <w:color w:val="auto"/>
                <w:sz w:val="24"/>
                <w:vertAlign w:val="subscript"/>
                <w:lang w:val="en-US" w:eastAsia="zh-CN"/>
              </w:rPr>
              <w:t>2.5</w:t>
            </w:r>
            <w:r>
              <w:rPr>
                <w:rFonts w:hint="eastAsia" w:ascii="Times New Roman" w:hAnsi="Times New Roman" w:eastAsia="宋体" w:cs="Times New Roman"/>
                <w:color w:val="auto"/>
                <w:sz w:val="24"/>
                <w:lang w:val="en-US" w:eastAsia="zh-CN"/>
              </w:rPr>
              <w:t>和O</w:t>
            </w:r>
            <w:r>
              <w:rPr>
                <w:rFonts w:hint="eastAsia" w:ascii="Times New Roman" w:hAnsi="Times New Roman" w:eastAsia="宋体" w:cs="Times New Roman"/>
                <w:color w:val="auto"/>
                <w:sz w:val="24"/>
                <w:vertAlign w:val="subscript"/>
                <w:lang w:val="en-US" w:eastAsia="zh-CN"/>
              </w:rPr>
              <w:t>3</w:t>
            </w:r>
            <w:r>
              <w:rPr>
                <w:rFonts w:hint="eastAsia" w:ascii="Times New Roman" w:hAnsi="Times New Roman" w:eastAsia="宋体" w:cs="Times New Roman"/>
                <w:color w:val="auto"/>
                <w:sz w:val="24"/>
                <w:lang w:val="en-US" w:eastAsia="zh-CN"/>
              </w:rPr>
              <w:t>协同控制，以“减污降碳协同增效”为总抓手，深化产业结构、能源结构、运输结构调整优化，继续加强工业污染、机动车船污染和城乡面源污染治理，注重大气污染物协同控制和区域协同治理，打好“美丽提标争先战”，推动湖州从绿水青山就是金山银山理念诞生地向示范地迈进，推进现代化滨湖花园城市的高水平建设，以实现到2025年，湖州市PM</w:t>
            </w:r>
            <w:r>
              <w:rPr>
                <w:rFonts w:hint="eastAsia" w:ascii="Times New Roman" w:hAnsi="Times New Roman" w:eastAsia="宋体" w:cs="Times New Roman"/>
                <w:color w:val="auto"/>
                <w:sz w:val="24"/>
                <w:vertAlign w:val="subscript"/>
                <w:lang w:val="en-US" w:eastAsia="zh-CN"/>
              </w:rPr>
              <w:t>2.5</w:t>
            </w:r>
            <w:r>
              <w:rPr>
                <w:rFonts w:hint="eastAsia" w:ascii="Times New Roman" w:hAnsi="Times New Roman" w:eastAsia="宋体" w:cs="Times New Roman"/>
                <w:color w:val="auto"/>
                <w:sz w:val="24"/>
                <w:lang w:val="en-US" w:eastAsia="zh-CN"/>
              </w:rPr>
              <w:t>浓度稳定控制在25微克/立方米以内，力争达到23微克/立方米；空气质量优良率达90%以上，力争达到92%；O</w:t>
            </w:r>
            <w:r>
              <w:rPr>
                <w:rFonts w:hint="eastAsia" w:ascii="Times New Roman" w:hAnsi="Times New Roman" w:eastAsia="宋体" w:cs="Times New Roman"/>
                <w:color w:val="auto"/>
                <w:sz w:val="24"/>
                <w:vertAlign w:val="subscript"/>
                <w:lang w:val="en-US" w:eastAsia="zh-CN"/>
              </w:rPr>
              <w:t>3</w:t>
            </w:r>
            <w:r>
              <w:rPr>
                <w:rFonts w:hint="eastAsia" w:ascii="Times New Roman" w:hAnsi="Times New Roman" w:eastAsia="宋体" w:cs="Times New Roman"/>
                <w:color w:val="auto"/>
                <w:sz w:val="24"/>
                <w:lang w:val="en-US" w:eastAsia="zh-CN"/>
              </w:rPr>
              <w:t xml:space="preserve">上升趋势得到有效控制，浓度达到省下达要求；基本消除中度及以上污染天气；区县空气质量 </w:t>
            </w:r>
          </w:p>
          <w:p w14:paraId="0B96E736">
            <w:pPr>
              <w:keepNext w:val="0"/>
              <w:keepLines w:val="0"/>
              <w:suppressLineNumbers w:val="0"/>
              <w:spacing w:before="0" w:beforeAutospacing="0" w:after="0" w:afterAutospacing="0" w:line="360" w:lineRule="auto"/>
              <w:ind w:left="0" w:right="0" w:firstLine="480" w:firstLineChars="200"/>
              <w:rPr>
                <w:rFonts w:hint="eastAsia" w:ascii="Times New Roman" w:hAnsi="Times New Roman" w:eastAsia="宋体" w:cs="Times New Roman"/>
                <w:color w:val="auto"/>
                <w:sz w:val="24"/>
                <w:lang w:val="en-US" w:eastAsia="zh-CN"/>
              </w:rPr>
            </w:pPr>
            <w:r>
              <w:rPr>
                <w:rFonts w:hint="eastAsia" w:ascii="Times New Roman" w:hAnsi="Times New Roman" w:eastAsia="宋体" w:cs="Times New Roman"/>
                <w:color w:val="auto"/>
                <w:sz w:val="24"/>
                <w:lang w:val="en-US" w:eastAsia="zh-CN"/>
              </w:rPr>
              <w:t>全部达标，全面建成清新空气示范区。</w:t>
            </w:r>
          </w:p>
          <w:p w14:paraId="59103E44">
            <w:pPr>
              <w:keepNext w:val="0"/>
              <w:keepLines w:val="0"/>
              <w:suppressLineNumbers w:val="0"/>
              <w:spacing w:before="0" w:beforeAutospacing="0" w:after="0" w:afterAutospacing="0" w:line="360" w:lineRule="auto"/>
              <w:ind w:left="0" w:right="0" w:firstLine="480" w:firstLineChars="200"/>
              <w:rPr>
                <w:rFonts w:hint="default" w:ascii="Times New Roman" w:hAnsi="Times New Roman" w:eastAsia="宋体" w:cs="Times New Roman"/>
                <w:color w:val="auto"/>
                <w:sz w:val="24"/>
              </w:rPr>
            </w:pPr>
            <w:r>
              <w:rPr>
                <w:rFonts w:hint="eastAsia" w:ascii="Times New Roman" w:hAnsi="Times New Roman" w:eastAsia="宋体" w:cs="Times New Roman"/>
                <w:color w:val="auto"/>
                <w:sz w:val="24"/>
              </w:rPr>
              <w:t>（</w:t>
            </w:r>
            <w:r>
              <w:rPr>
                <w:rFonts w:hint="eastAsia" w:ascii="Times New Roman" w:hAnsi="Times New Roman" w:eastAsia="宋体" w:cs="Times New Roman"/>
                <w:color w:val="auto"/>
                <w:sz w:val="24"/>
                <w:lang w:val="en-US" w:eastAsia="zh-CN"/>
              </w:rPr>
              <w:t>3</w:t>
            </w:r>
            <w:r>
              <w:rPr>
                <w:rFonts w:hint="eastAsia" w:ascii="Times New Roman" w:hAnsi="Times New Roman" w:eastAsia="宋体" w:cs="Times New Roman"/>
                <w:color w:val="auto"/>
                <w:sz w:val="24"/>
              </w:rPr>
              <w:t>）特征污染因子</w:t>
            </w:r>
          </w:p>
          <w:p w14:paraId="5F319543">
            <w:pPr>
              <w:keepNext w:val="0"/>
              <w:keepLines w:val="0"/>
              <w:suppressLineNumbers w:val="0"/>
              <w:spacing w:before="0" w:beforeAutospacing="0" w:after="0" w:afterAutospacing="0" w:line="360" w:lineRule="auto"/>
              <w:ind w:left="0" w:right="0" w:firstLine="480" w:firstLineChars="200"/>
              <w:rPr>
                <w:rFonts w:hint="default" w:ascii="Times New Roman" w:hAnsi="Times New Roman" w:eastAsia="宋体" w:cs="Times New Roman"/>
                <w:color w:val="auto"/>
                <w:sz w:val="24"/>
              </w:rPr>
            </w:pPr>
            <w:r>
              <w:rPr>
                <w:rFonts w:hint="eastAsia" w:ascii="Times New Roman" w:hAnsi="Times New Roman" w:eastAsia="宋体" w:cs="Times New Roman"/>
                <w:color w:val="auto"/>
                <w:sz w:val="24"/>
              </w:rPr>
              <w:t>本项目产生的废气中特征污染因子有颗粒物、非甲烷总烃。为了解项目所在地特征污染因子的环境质量现状，本环评引用湖州中一检测研究院有限公司对安吉永宁尔纺织有限公司</w:t>
            </w:r>
            <w:r>
              <w:rPr>
                <w:rFonts w:hint="eastAsia" w:ascii="Times New Roman" w:hAnsi="Times New Roman" w:eastAsia="宋体" w:cs="Times New Roman"/>
                <w:color w:val="FF0000"/>
                <w:sz w:val="24"/>
              </w:rPr>
              <w:t>东南侧秧田湾</w:t>
            </w:r>
            <w:r>
              <w:rPr>
                <w:rFonts w:hint="eastAsia" w:ascii="Times New Roman" w:hAnsi="Times New Roman" w:eastAsia="宋体" w:cs="Times New Roman"/>
                <w:color w:val="auto"/>
                <w:sz w:val="24"/>
              </w:rPr>
              <w:t>（</w:t>
            </w:r>
            <w:r>
              <w:rPr>
                <w:rFonts w:hint="eastAsia" w:ascii="Times New Roman" w:hAnsi="Times New Roman" w:eastAsia="宋体" w:cs="Times New Roman"/>
                <w:color w:val="0000FF"/>
                <w:sz w:val="24"/>
                <w:lang w:val="en-US" w:eastAsia="zh-CN"/>
              </w:rPr>
              <w:t>该</w:t>
            </w:r>
            <w:r>
              <w:rPr>
                <w:rFonts w:hint="eastAsia" w:ascii="Times New Roman" w:hAnsi="Times New Roman" w:eastAsia="宋体" w:cs="Times New Roman"/>
                <w:color w:val="0000FF"/>
                <w:sz w:val="24"/>
              </w:rPr>
              <w:t>项目</w:t>
            </w:r>
            <w:r>
              <w:rPr>
                <w:rFonts w:hint="eastAsia" w:ascii="Times New Roman" w:hAnsi="Times New Roman" w:eastAsia="宋体" w:cs="Times New Roman"/>
                <w:color w:val="auto"/>
                <w:sz w:val="24"/>
              </w:rPr>
              <w:t>东南侧2km处）的污染物监测数据（报告编号：HJ240963）。本项目位于监测点位西北侧约935m处，检测数据在三年以内，符合引用监测数据要求。监测点位基本信息详见表3-2，监测结果见表3-3。</w:t>
            </w:r>
          </w:p>
          <w:p w14:paraId="0C382507">
            <w:pPr>
              <w:keepNext w:val="0"/>
              <w:keepLines w:val="0"/>
              <w:suppressLineNumbers w:val="0"/>
              <w:spacing w:before="0" w:beforeAutospacing="0" w:after="0" w:afterAutospacing="0"/>
              <w:ind w:left="0" w:right="0"/>
              <w:jc w:val="center"/>
              <w:rPr>
                <w:rFonts w:hint="default" w:ascii="Times New Roman" w:hAnsi="Times New Roman" w:eastAsia="宋体" w:cs="Times New Roman"/>
                <w:b/>
                <w:bCs/>
                <w:color w:val="auto"/>
              </w:rPr>
            </w:pPr>
            <w:r>
              <w:rPr>
                <w:rFonts w:hint="eastAsia" w:ascii="Times New Roman" w:hAnsi="Times New Roman" w:eastAsia="宋体" w:cs="Times New Roman"/>
                <w:b/>
                <w:bCs/>
                <w:color w:val="auto"/>
              </w:rPr>
              <w:t>表3-2  监测点位基本信息表</w:t>
            </w:r>
          </w:p>
          <w:tbl>
            <w:tblPr>
              <w:tblStyle w:val="23"/>
              <w:tblW w:w="4998"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084"/>
              <w:gridCol w:w="1249"/>
              <w:gridCol w:w="1168"/>
              <w:gridCol w:w="1145"/>
              <w:gridCol w:w="1189"/>
              <w:gridCol w:w="1224"/>
              <w:gridCol w:w="1113"/>
            </w:tblGrid>
            <w:tr w14:paraId="3627E0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663" w:type="pct"/>
                  <w:vMerge w:val="restart"/>
                  <w:vAlign w:val="center"/>
                </w:tcPr>
                <w:p w14:paraId="60F1306B">
                  <w:pPr>
                    <w:keepNext w:val="0"/>
                    <w:keepLines w:val="0"/>
                    <w:suppressLineNumbers w:val="0"/>
                    <w:spacing w:before="0" w:beforeAutospacing="0" w:after="0" w:afterAutospacing="0"/>
                    <w:ind w:left="0" w:right="0"/>
                    <w:jc w:val="center"/>
                    <w:rPr>
                      <w:rFonts w:hint="default" w:ascii="Times New Roman" w:hAnsi="Times New Roman" w:eastAsia="宋体" w:cs="Times New Roman"/>
                      <w:b/>
                      <w:bCs/>
                      <w:color w:val="auto"/>
                      <w:szCs w:val="21"/>
                    </w:rPr>
                  </w:pPr>
                  <w:r>
                    <w:rPr>
                      <w:rFonts w:hint="default" w:ascii="Times New Roman" w:hAnsi="Times New Roman" w:eastAsia="宋体" w:cs="Times New Roman"/>
                      <w:b/>
                      <w:bCs/>
                      <w:color w:val="auto"/>
                      <w:szCs w:val="21"/>
                    </w:rPr>
                    <w:t>监测点位</w:t>
                  </w:r>
                </w:p>
              </w:tc>
              <w:tc>
                <w:tcPr>
                  <w:tcW w:w="1478" w:type="pct"/>
                  <w:gridSpan w:val="2"/>
                  <w:vAlign w:val="center"/>
                </w:tcPr>
                <w:p w14:paraId="1FDB5F86">
                  <w:pPr>
                    <w:keepNext w:val="0"/>
                    <w:keepLines w:val="0"/>
                    <w:suppressLineNumbers w:val="0"/>
                    <w:spacing w:before="0" w:beforeAutospacing="0" w:after="0" w:afterAutospacing="0"/>
                    <w:ind w:left="0" w:right="0"/>
                    <w:jc w:val="center"/>
                    <w:rPr>
                      <w:rFonts w:hint="default" w:ascii="Times New Roman" w:hAnsi="Times New Roman" w:eastAsia="宋体" w:cs="Times New Roman"/>
                      <w:b/>
                      <w:bCs/>
                      <w:color w:val="auto"/>
                      <w:szCs w:val="21"/>
                    </w:rPr>
                  </w:pPr>
                  <w:r>
                    <w:rPr>
                      <w:rFonts w:hint="default" w:ascii="Times New Roman" w:hAnsi="Times New Roman" w:eastAsia="宋体" w:cs="Times New Roman"/>
                      <w:b/>
                      <w:bCs/>
                      <w:color w:val="auto"/>
                      <w:szCs w:val="21"/>
                    </w:rPr>
                    <w:t>监测点坐标</w:t>
                  </w:r>
                </w:p>
              </w:tc>
              <w:tc>
                <w:tcPr>
                  <w:tcW w:w="700" w:type="pct"/>
                  <w:vMerge w:val="restart"/>
                  <w:vAlign w:val="center"/>
                </w:tcPr>
                <w:p w14:paraId="3DEC6BAD">
                  <w:pPr>
                    <w:keepNext w:val="0"/>
                    <w:keepLines w:val="0"/>
                    <w:suppressLineNumbers w:val="0"/>
                    <w:spacing w:before="0" w:beforeAutospacing="0" w:after="0" w:afterAutospacing="0"/>
                    <w:ind w:left="0" w:right="0"/>
                    <w:jc w:val="center"/>
                    <w:rPr>
                      <w:rFonts w:hint="default" w:ascii="Times New Roman" w:hAnsi="Times New Roman" w:eastAsia="宋体" w:cs="Times New Roman"/>
                      <w:b/>
                      <w:bCs/>
                      <w:color w:val="auto"/>
                      <w:szCs w:val="21"/>
                    </w:rPr>
                  </w:pPr>
                  <w:r>
                    <w:rPr>
                      <w:rFonts w:hint="default" w:ascii="Times New Roman" w:hAnsi="Times New Roman" w:eastAsia="宋体" w:cs="Times New Roman"/>
                      <w:b/>
                      <w:bCs/>
                      <w:color w:val="auto"/>
                      <w:szCs w:val="21"/>
                    </w:rPr>
                    <w:t>监测因子</w:t>
                  </w:r>
                </w:p>
              </w:tc>
              <w:tc>
                <w:tcPr>
                  <w:tcW w:w="727" w:type="pct"/>
                  <w:vMerge w:val="restart"/>
                  <w:vAlign w:val="center"/>
                </w:tcPr>
                <w:p w14:paraId="31EB9714">
                  <w:pPr>
                    <w:keepNext w:val="0"/>
                    <w:keepLines w:val="0"/>
                    <w:widowControl/>
                    <w:suppressLineNumbers w:val="0"/>
                    <w:spacing w:before="0" w:beforeAutospacing="0" w:after="0" w:afterAutospacing="0"/>
                    <w:ind w:left="0" w:right="0"/>
                    <w:jc w:val="center"/>
                    <w:rPr>
                      <w:rFonts w:hint="default" w:ascii="Times New Roman" w:hAnsi="Times New Roman" w:eastAsia="宋体" w:cs="Times New Roman"/>
                      <w:b/>
                      <w:bCs/>
                      <w:color w:val="auto"/>
                      <w:szCs w:val="21"/>
                    </w:rPr>
                  </w:pPr>
                  <w:r>
                    <w:rPr>
                      <w:rFonts w:hint="eastAsia" w:ascii="宋体" w:hAnsi="宋体" w:eastAsia="宋体" w:cs="宋体"/>
                      <w:b/>
                      <w:bCs/>
                      <w:color w:val="auto"/>
                      <w:kern w:val="0"/>
                      <w:sz w:val="20"/>
                      <w:szCs w:val="20"/>
                      <w:lang w:bidi="ar"/>
                    </w:rPr>
                    <w:t>采样时间</w:t>
                  </w:r>
                </w:p>
              </w:tc>
              <w:tc>
                <w:tcPr>
                  <w:tcW w:w="748" w:type="pct"/>
                  <w:vMerge w:val="restart"/>
                  <w:vAlign w:val="center"/>
                </w:tcPr>
                <w:p w14:paraId="360F9BD4">
                  <w:pPr>
                    <w:keepNext w:val="0"/>
                    <w:keepLines w:val="0"/>
                    <w:suppressLineNumbers w:val="0"/>
                    <w:spacing w:before="0" w:beforeAutospacing="0" w:after="0" w:afterAutospacing="0"/>
                    <w:ind w:left="0" w:right="0"/>
                    <w:jc w:val="center"/>
                    <w:rPr>
                      <w:rFonts w:hint="default" w:ascii="Times New Roman" w:hAnsi="Times New Roman" w:eastAsia="宋体" w:cs="Times New Roman"/>
                      <w:b/>
                      <w:bCs/>
                      <w:color w:val="auto"/>
                      <w:szCs w:val="21"/>
                    </w:rPr>
                  </w:pPr>
                  <w:r>
                    <w:rPr>
                      <w:rFonts w:hint="default" w:ascii="Times New Roman" w:hAnsi="Times New Roman" w:eastAsia="宋体" w:cs="Times New Roman"/>
                      <w:b/>
                      <w:bCs/>
                      <w:color w:val="auto"/>
                      <w:szCs w:val="21"/>
                    </w:rPr>
                    <w:t>相对本项目厂址方位</w:t>
                  </w:r>
                </w:p>
              </w:tc>
              <w:tc>
                <w:tcPr>
                  <w:tcW w:w="680" w:type="pct"/>
                  <w:vMerge w:val="restart"/>
                  <w:vAlign w:val="center"/>
                </w:tcPr>
                <w:p w14:paraId="0FD9EB63">
                  <w:pPr>
                    <w:keepNext w:val="0"/>
                    <w:keepLines w:val="0"/>
                    <w:suppressLineNumbers w:val="0"/>
                    <w:spacing w:before="0" w:beforeAutospacing="0" w:after="0" w:afterAutospacing="0"/>
                    <w:ind w:left="0" w:right="0"/>
                    <w:jc w:val="center"/>
                    <w:rPr>
                      <w:rFonts w:hint="default" w:ascii="Times New Roman" w:hAnsi="Times New Roman" w:eastAsia="宋体" w:cs="Times New Roman"/>
                      <w:b/>
                      <w:bCs/>
                      <w:color w:val="auto"/>
                      <w:szCs w:val="21"/>
                    </w:rPr>
                  </w:pPr>
                  <w:r>
                    <w:rPr>
                      <w:rFonts w:hint="default" w:ascii="Times New Roman" w:hAnsi="Times New Roman" w:eastAsia="宋体" w:cs="Times New Roman"/>
                      <w:b/>
                      <w:bCs/>
                      <w:color w:val="auto"/>
                      <w:szCs w:val="21"/>
                    </w:rPr>
                    <w:t>相对本项目车间距离</w:t>
                  </w:r>
                </w:p>
              </w:tc>
            </w:tr>
            <w:tr w14:paraId="11153B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663" w:type="pct"/>
                  <w:vMerge w:val="continue"/>
                  <w:vAlign w:val="center"/>
                </w:tcPr>
                <w:p w14:paraId="32DC566F">
                  <w:pPr>
                    <w:keepNext w:val="0"/>
                    <w:keepLines w:val="0"/>
                    <w:suppressLineNumbers w:val="0"/>
                    <w:spacing w:before="0" w:beforeAutospacing="0" w:after="0" w:afterAutospacing="0"/>
                    <w:ind w:left="0" w:right="0"/>
                    <w:jc w:val="center"/>
                    <w:rPr>
                      <w:rFonts w:hint="default" w:ascii="Times New Roman" w:hAnsi="Times New Roman" w:eastAsia="宋体" w:cs="Times New Roman"/>
                      <w:b/>
                      <w:bCs/>
                      <w:color w:val="auto"/>
                      <w:szCs w:val="21"/>
                    </w:rPr>
                  </w:pPr>
                </w:p>
              </w:tc>
              <w:tc>
                <w:tcPr>
                  <w:tcW w:w="764" w:type="pct"/>
                  <w:vAlign w:val="center"/>
                </w:tcPr>
                <w:p w14:paraId="49ECA230">
                  <w:pPr>
                    <w:keepNext w:val="0"/>
                    <w:keepLines w:val="0"/>
                    <w:suppressLineNumbers w:val="0"/>
                    <w:spacing w:before="0" w:beforeAutospacing="0" w:after="0" w:afterAutospacing="0"/>
                    <w:ind w:left="0" w:right="0"/>
                    <w:jc w:val="center"/>
                    <w:rPr>
                      <w:rFonts w:hint="default" w:ascii="Times New Roman" w:hAnsi="Times New Roman" w:eastAsia="宋体" w:cs="Times New Roman"/>
                      <w:b/>
                      <w:bCs/>
                      <w:color w:val="auto"/>
                      <w:szCs w:val="21"/>
                    </w:rPr>
                  </w:pPr>
                  <w:r>
                    <w:rPr>
                      <w:rFonts w:hint="default" w:ascii="Times New Roman" w:hAnsi="Times New Roman" w:eastAsia="宋体" w:cs="Times New Roman"/>
                      <w:b/>
                      <w:bCs/>
                      <w:color w:val="auto"/>
                      <w:szCs w:val="21"/>
                    </w:rPr>
                    <w:t>经度/度</w:t>
                  </w:r>
                </w:p>
              </w:tc>
              <w:tc>
                <w:tcPr>
                  <w:tcW w:w="714" w:type="pct"/>
                  <w:vAlign w:val="center"/>
                </w:tcPr>
                <w:p w14:paraId="1616D851">
                  <w:pPr>
                    <w:keepNext w:val="0"/>
                    <w:keepLines w:val="0"/>
                    <w:suppressLineNumbers w:val="0"/>
                    <w:spacing w:before="0" w:beforeAutospacing="0" w:after="0" w:afterAutospacing="0"/>
                    <w:ind w:left="0" w:right="0"/>
                    <w:jc w:val="center"/>
                    <w:rPr>
                      <w:rFonts w:hint="default" w:ascii="Times New Roman" w:hAnsi="Times New Roman" w:eastAsia="宋体" w:cs="Times New Roman"/>
                      <w:b/>
                      <w:bCs/>
                      <w:color w:val="auto"/>
                      <w:szCs w:val="21"/>
                    </w:rPr>
                  </w:pPr>
                  <w:r>
                    <w:rPr>
                      <w:rFonts w:hint="default" w:ascii="Times New Roman" w:hAnsi="Times New Roman" w:eastAsia="宋体" w:cs="Times New Roman"/>
                      <w:b/>
                      <w:bCs/>
                      <w:color w:val="auto"/>
                      <w:szCs w:val="21"/>
                    </w:rPr>
                    <w:t>纬度/度</w:t>
                  </w:r>
                </w:p>
              </w:tc>
              <w:tc>
                <w:tcPr>
                  <w:tcW w:w="700" w:type="pct"/>
                  <w:vMerge w:val="continue"/>
                  <w:vAlign w:val="center"/>
                </w:tcPr>
                <w:p w14:paraId="05755CD8">
                  <w:pPr>
                    <w:keepNext w:val="0"/>
                    <w:keepLines w:val="0"/>
                    <w:suppressLineNumbers w:val="0"/>
                    <w:spacing w:before="0" w:beforeAutospacing="0" w:after="0" w:afterAutospacing="0"/>
                    <w:ind w:left="0" w:right="0"/>
                    <w:jc w:val="center"/>
                    <w:rPr>
                      <w:rFonts w:hint="default" w:ascii="Times New Roman" w:hAnsi="Times New Roman" w:eastAsia="宋体" w:cs="Times New Roman"/>
                      <w:b/>
                      <w:bCs/>
                      <w:color w:val="auto"/>
                      <w:szCs w:val="21"/>
                    </w:rPr>
                  </w:pPr>
                </w:p>
              </w:tc>
              <w:tc>
                <w:tcPr>
                  <w:tcW w:w="727" w:type="pct"/>
                  <w:vMerge w:val="continue"/>
                  <w:vAlign w:val="center"/>
                </w:tcPr>
                <w:p w14:paraId="02776D8A">
                  <w:pPr>
                    <w:keepNext w:val="0"/>
                    <w:keepLines w:val="0"/>
                    <w:suppressLineNumbers w:val="0"/>
                    <w:spacing w:before="0" w:beforeAutospacing="0" w:after="0" w:afterAutospacing="0"/>
                    <w:ind w:left="0" w:right="0"/>
                    <w:jc w:val="center"/>
                    <w:rPr>
                      <w:rFonts w:hint="default" w:ascii="Times New Roman" w:hAnsi="Times New Roman" w:eastAsia="宋体" w:cs="Times New Roman"/>
                      <w:b/>
                      <w:bCs/>
                      <w:color w:val="auto"/>
                      <w:szCs w:val="21"/>
                    </w:rPr>
                  </w:pPr>
                </w:p>
              </w:tc>
              <w:tc>
                <w:tcPr>
                  <w:tcW w:w="748" w:type="pct"/>
                  <w:vMerge w:val="continue"/>
                  <w:vAlign w:val="center"/>
                </w:tcPr>
                <w:p w14:paraId="3AB1FAE9">
                  <w:pPr>
                    <w:keepNext w:val="0"/>
                    <w:keepLines w:val="0"/>
                    <w:suppressLineNumbers w:val="0"/>
                    <w:spacing w:before="0" w:beforeAutospacing="0" w:after="0" w:afterAutospacing="0"/>
                    <w:ind w:left="0" w:right="0"/>
                    <w:jc w:val="center"/>
                    <w:rPr>
                      <w:rFonts w:hint="default" w:ascii="Times New Roman" w:hAnsi="Times New Roman" w:eastAsia="宋体" w:cs="Times New Roman"/>
                      <w:b/>
                      <w:bCs/>
                      <w:color w:val="auto"/>
                      <w:szCs w:val="21"/>
                    </w:rPr>
                  </w:pPr>
                </w:p>
              </w:tc>
              <w:tc>
                <w:tcPr>
                  <w:tcW w:w="680" w:type="pct"/>
                  <w:vMerge w:val="continue"/>
                  <w:vAlign w:val="center"/>
                </w:tcPr>
                <w:p w14:paraId="58F383D4">
                  <w:pPr>
                    <w:keepNext w:val="0"/>
                    <w:keepLines w:val="0"/>
                    <w:suppressLineNumbers w:val="0"/>
                    <w:spacing w:before="0" w:beforeAutospacing="0" w:after="0" w:afterAutospacing="0"/>
                    <w:ind w:left="0" w:right="0"/>
                    <w:jc w:val="center"/>
                    <w:rPr>
                      <w:rFonts w:hint="default" w:ascii="Times New Roman" w:hAnsi="Times New Roman" w:eastAsia="宋体" w:cs="Times New Roman"/>
                      <w:b/>
                      <w:bCs/>
                      <w:color w:val="auto"/>
                      <w:szCs w:val="21"/>
                    </w:rPr>
                  </w:pPr>
                </w:p>
              </w:tc>
            </w:tr>
            <w:tr w14:paraId="1CBF47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663" w:type="pct"/>
                  <w:vAlign w:val="center"/>
                </w:tcPr>
                <w:p w14:paraId="76A8B9C1">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commentRangeStart w:id="51"/>
                  <w:commentRangeStart w:id="52"/>
                  <w:commentRangeStart w:id="53"/>
                  <w:commentRangeStart w:id="54"/>
                  <w:r>
                    <w:rPr>
                      <w:rFonts w:hint="default" w:ascii="Times New Roman" w:hAnsi="Times New Roman" w:eastAsia="宋体" w:cs="Times New Roman"/>
                      <w:color w:val="auto"/>
                      <w:szCs w:val="21"/>
                      <w:lang w:val="en-US" w:eastAsia="zh-CN"/>
                    </w:rPr>
                    <w:t>安吉永宁尔纺织有限公司</w:t>
                  </w:r>
                  <w:r>
                    <w:rPr>
                      <w:rFonts w:hint="default" w:ascii="Times New Roman" w:hAnsi="Times New Roman" w:eastAsia="宋体" w:cs="Times New Roman"/>
                      <w:color w:val="FF0000"/>
                      <w:szCs w:val="21"/>
                      <w:lang w:val="en-US" w:eastAsia="zh-CN"/>
                    </w:rPr>
                    <w:t>东南侧秧田湾</w:t>
                  </w:r>
                  <w:commentRangeEnd w:id="51"/>
                  <w:r>
                    <w:rPr>
                      <w:rFonts w:hint="default"/>
                      <w:color w:val="FF0000"/>
                    </w:rPr>
                    <w:commentReference w:id="51"/>
                  </w:r>
                  <w:commentRangeEnd w:id="52"/>
                  <w:r>
                    <w:rPr>
                      <w:rFonts w:hint="default"/>
                      <w:color w:val="FF0000"/>
                    </w:rPr>
                    <w:commentReference w:id="52"/>
                  </w:r>
                  <w:commentRangeEnd w:id="53"/>
                  <w:r>
                    <w:rPr>
                      <w:rFonts w:hint="default"/>
                      <w:color w:val="FF0000"/>
                    </w:rPr>
                    <w:commentReference w:id="53"/>
                  </w:r>
                  <w:commentRangeEnd w:id="54"/>
                  <w:r>
                    <w:rPr>
                      <w:rFonts w:hint="default"/>
                    </w:rPr>
                    <w:commentReference w:id="54"/>
                  </w:r>
                </w:p>
              </w:tc>
              <w:tc>
                <w:tcPr>
                  <w:tcW w:w="764" w:type="pct"/>
                  <w:vAlign w:val="center"/>
                </w:tcPr>
                <w:p w14:paraId="41EB05F8">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rPr>
                    <w:t>119.658531</w:t>
                  </w:r>
                </w:p>
              </w:tc>
              <w:tc>
                <w:tcPr>
                  <w:tcW w:w="714" w:type="pct"/>
                  <w:vAlign w:val="center"/>
                </w:tcPr>
                <w:p w14:paraId="7050C173">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rPr>
                    <w:t>30.782081</w:t>
                  </w:r>
                </w:p>
              </w:tc>
              <w:tc>
                <w:tcPr>
                  <w:tcW w:w="700" w:type="pct"/>
                  <w:vAlign w:val="center"/>
                </w:tcPr>
                <w:p w14:paraId="651A481E">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rPr>
                    <w:t>TSP、非甲烷总烃</w:t>
                  </w:r>
                </w:p>
              </w:tc>
              <w:tc>
                <w:tcPr>
                  <w:tcW w:w="727" w:type="pct"/>
                  <w:vAlign w:val="center"/>
                </w:tcPr>
                <w:p w14:paraId="3C4DA41B">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rPr>
                    <w:t>2024.4.16~2024.4.18</w:t>
                  </w:r>
                </w:p>
              </w:tc>
              <w:tc>
                <w:tcPr>
                  <w:tcW w:w="748" w:type="pct"/>
                  <w:vAlign w:val="center"/>
                </w:tcPr>
                <w:p w14:paraId="099D674B">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rPr>
                    <w:t>西北侧</w:t>
                  </w:r>
                </w:p>
              </w:tc>
              <w:tc>
                <w:tcPr>
                  <w:tcW w:w="680" w:type="pct"/>
                  <w:vAlign w:val="center"/>
                </w:tcPr>
                <w:p w14:paraId="769066A9">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r>
                    <w:rPr>
                      <w:rFonts w:hint="eastAsia" w:ascii="Times New Roman" w:hAnsi="Times New Roman" w:eastAsia="宋体" w:cs="Times New Roman"/>
                      <w:color w:val="auto"/>
                      <w:szCs w:val="21"/>
                    </w:rPr>
                    <w:t>935</w:t>
                  </w:r>
                </w:p>
              </w:tc>
            </w:tr>
          </w:tbl>
          <w:p w14:paraId="71138A29">
            <w:pPr>
              <w:keepNext w:val="0"/>
              <w:keepLines w:val="0"/>
              <w:suppressLineNumbers w:val="0"/>
              <w:spacing w:before="0" w:beforeAutospacing="0" w:after="0" w:afterAutospacing="0"/>
              <w:ind w:left="0" w:right="0"/>
              <w:jc w:val="center"/>
              <w:rPr>
                <w:rFonts w:hint="default" w:ascii="Times New Roman" w:hAnsi="Times New Roman" w:eastAsia="宋体" w:cs="Times New Roman"/>
                <w:b/>
                <w:bCs/>
                <w:color w:val="auto"/>
              </w:rPr>
            </w:pPr>
            <w:r>
              <w:rPr>
                <w:rFonts w:hint="eastAsia" w:ascii="Times New Roman" w:hAnsi="Times New Roman" w:eastAsia="宋体" w:cs="Times New Roman"/>
                <w:b/>
                <w:bCs/>
                <w:color w:val="auto"/>
              </w:rPr>
              <w:t>表3-3  其他污染物环境质量现状（监测结果）表</w:t>
            </w:r>
          </w:p>
          <w:tbl>
            <w:tblPr>
              <w:tblStyle w:val="23"/>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362"/>
              <w:gridCol w:w="1362"/>
              <w:gridCol w:w="1362"/>
              <w:gridCol w:w="1363"/>
              <w:gridCol w:w="1363"/>
              <w:gridCol w:w="1363"/>
            </w:tblGrid>
            <w:tr w14:paraId="4083B9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1362" w:type="dxa"/>
                  <w:tcBorders>
                    <w:top w:val="single" w:color="auto" w:sz="4" w:space="0"/>
                    <w:left w:val="single" w:color="auto" w:sz="4" w:space="0"/>
                    <w:bottom w:val="single" w:color="auto" w:sz="4" w:space="0"/>
                    <w:right w:val="single" w:color="auto" w:sz="4" w:space="0"/>
                  </w:tcBorders>
                  <w:vAlign w:val="center"/>
                </w:tcPr>
                <w:p w14:paraId="15A84BD2">
                  <w:pPr>
                    <w:keepNext w:val="0"/>
                    <w:keepLines w:val="0"/>
                    <w:suppressLineNumbers w:val="0"/>
                    <w:spacing w:before="0" w:beforeAutospacing="0" w:after="0" w:afterAutospacing="0"/>
                    <w:ind w:left="0" w:right="0"/>
                    <w:jc w:val="center"/>
                    <w:rPr>
                      <w:rFonts w:hint="default" w:ascii="Times New Roman" w:hAnsi="Times New Roman" w:eastAsia="宋体" w:cs="Times New Roman"/>
                      <w:b/>
                      <w:bCs/>
                      <w:color w:val="auto"/>
                      <w:szCs w:val="21"/>
                    </w:rPr>
                  </w:pPr>
                  <w:r>
                    <w:rPr>
                      <w:rFonts w:hint="default" w:ascii="Times New Roman" w:hAnsi="Times New Roman" w:eastAsia="宋体" w:cs="Times New Roman"/>
                      <w:b/>
                      <w:bCs/>
                      <w:color w:val="auto"/>
                      <w:szCs w:val="21"/>
                      <w:lang w:bidi="ar"/>
                    </w:rPr>
                    <w:t>监测点位</w:t>
                  </w:r>
                </w:p>
              </w:tc>
              <w:tc>
                <w:tcPr>
                  <w:tcW w:w="1362" w:type="dxa"/>
                  <w:tcBorders>
                    <w:top w:val="single" w:color="auto" w:sz="4" w:space="0"/>
                    <w:left w:val="single" w:color="auto" w:sz="4" w:space="0"/>
                    <w:bottom w:val="single" w:color="auto" w:sz="4" w:space="0"/>
                    <w:right w:val="single" w:color="auto" w:sz="4" w:space="0"/>
                  </w:tcBorders>
                  <w:vAlign w:val="center"/>
                </w:tcPr>
                <w:p w14:paraId="747173C1">
                  <w:pPr>
                    <w:keepNext w:val="0"/>
                    <w:keepLines w:val="0"/>
                    <w:suppressLineNumbers w:val="0"/>
                    <w:spacing w:before="0" w:beforeAutospacing="0" w:after="0" w:afterAutospacing="0"/>
                    <w:ind w:left="0" w:right="0"/>
                    <w:jc w:val="center"/>
                    <w:rPr>
                      <w:rFonts w:hint="default" w:ascii="Times New Roman" w:hAnsi="Times New Roman" w:eastAsia="宋体" w:cs="Times New Roman"/>
                      <w:b/>
                      <w:bCs/>
                      <w:color w:val="auto"/>
                      <w:szCs w:val="21"/>
                    </w:rPr>
                  </w:pPr>
                  <w:r>
                    <w:rPr>
                      <w:rFonts w:hint="default" w:ascii="Times New Roman" w:hAnsi="Times New Roman" w:eastAsia="宋体" w:cs="Times New Roman"/>
                      <w:b/>
                      <w:bCs/>
                      <w:color w:val="auto"/>
                      <w:szCs w:val="21"/>
                      <w:lang w:bidi="ar"/>
                    </w:rPr>
                    <w:t>监测因子</w:t>
                  </w:r>
                </w:p>
              </w:tc>
              <w:tc>
                <w:tcPr>
                  <w:tcW w:w="1362" w:type="dxa"/>
                  <w:tcBorders>
                    <w:top w:val="single" w:color="auto" w:sz="4" w:space="0"/>
                    <w:left w:val="single" w:color="auto" w:sz="4" w:space="0"/>
                    <w:bottom w:val="single" w:color="auto" w:sz="4" w:space="0"/>
                    <w:right w:val="single" w:color="auto" w:sz="4" w:space="0"/>
                  </w:tcBorders>
                  <w:vAlign w:val="center"/>
                </w:tcPr>
                <w:p w14:paraId="3F72A35B">
                  <w:pPr>
                    <w:keepNext w:val="0"/>
                    <w:keepLines w:val="0"/>
                    <w:suppressLineNumbers w:val="0"/>
                    <w:spacing w:before="0" w:beforeAutospacing="0" w:after="0" w:afterAutospacing="0"/>
                    <w:ind w:left="0" w:right="0"/>
                    <w:jc w:val="center"/>
                    <w:rPr>
                      <w:rFonts w:hint="default" w:ascii="Times New Roman" w:hAnsi="Times New Roman" w:eastAsia="宋体" w:cs="Times New Roman"/>
                      <w:b/>
                      <w:bCs/>
                      <w:color w:val="auto"/>
                      <w:szCs w:val="21"/>
                    </w:rPr>
                  </w:pPr>
                  <w:r>
                    <w:rPr>
                      <w:rFonts w:hint="default" w:ascii="Times New Roman" w:hAnsi="Times New Roman" w:eastAsia="宋体" w:cs="Times New Roman"/>
                      <w:b/>
                      <w:bCs/>
                      <w:color w:val="auto"/>
                      <w:szCs w:val="21"/>
                      <w:lang w:bidi="ar"/>
                    </w:rPr>
                    <w:t>评价标准/mg/m</w:t>
                  </w:r>
                  <w:r>
                    <w:rPr>
                      <w:rFonts w:hint="default" w:ascii="Times New Roman" w:hAnsi="Times New Roman" w:eastAsia="宋体" w:cs="Times New Roman"/>
                      <w:b/>
                      <w:bCs/>
                      <w:color w:val="auto"/>
                      <w:szCs w:val="21"/>
                      <w:vertAlign w:val="superscript"/>
                      <w:lang w:bidi="ar"/>
                    </w:rPr>
                    <w:t>3</w:t>
                  </w:r>
                </w:p>
              </w:tc>
              <w:tc>
                <w:tcPr>
                  <w:tcW w:w="1363" w:type="dxa"/>
                  <w:tcBorders>
                    <w:top w:val="single" w:color="auto" w:sz="4" w:space="0"/>
                    <w:left w:val="single" w:color="auto" w:sz="4" w:space="0"/>
                    <w:bottom w:val="single" w:color="auto" w:sz="4" w:space="0"/>
                    <w:right w:val="single" w:color="auto" w:sz="4" w:space="0"/>
                  </w:tcBorders>
                  <w:vAlign w:val="center"/>
                </w:tcPr>
                <w:p w14:paraId="2BF1B7CC">
                  <w:pPr>
                    <w:keepNext w:val="0"/>
                    <w:keepLines w:val="0"/>
                    <w:suppressLineNumbers w:val="0"/>
                    <w:spacing w:before="0" w:beforeAutospacing="0" w:after="0" w:afterAutospacing="0"/>
                    <w:ind w:left="0" w:right="0"/>
                    <w:jc w:val="center"/>
                    <w:rPr>
                      <w:rFonts w:hint="default" w:ascii="Times New Roman" w:hAnsi="Times New Roman" w:eastAsia="宋体" w:cs="Times New Roman"/>
                      <w:b/>
                      <w:bCs/>
                      <w:color w:val="auto"/>
                      <w:szCs w:val="21"/>
                    </w:rPr>
                  </w:pPr>
                  <w:r>
                    <w:rPr>
                      <w:rFonts w:hint="default" w:ascii="Times New Roman" w:hAnsi="Times New Roman" w:eastAsia="宋体" w:cs="Times New Roman"/>
                      <w:b/>
                      <w:bCs/>
                      <w:color w:val="auto"/>
                      <w:szCs w:val="21"/>
                    </w:rPr>
                    <w:t>监测浓度范围/mg/m</w:t>
                  </w:r>
                  <w:r>
                    <w:rPr>
                      <w:rFonts w:hint="default" w:ascii="Times New Roman" w:hAnsi="Times New Roman" w:eastAsia="宋体" w:cs="Times New Roman"/>
                      <w:b/>
                      <w:bCs/>
                      <w:color w:val="auto"/>
                      <w:szCs w:val="21"/>
                      <w:vertAlign w:val="superscript"/>
                    </w:rPr>
                    <w:t>3</w:t>
                  </w:r>
                </w:p>
              </w:tc>
              <w:tc>
                <w:tcPr>
                  <w:tcW w:w="1363" w:type="dxa"/>
                  <w:tcBorders>
                    <w:top w:val="single" w:color="auto" w:sz="4" w:space="0"/>
                    <w:left w:val="single" w:color="auto" w:sz="4" w:space="0"/>
                    <w:bottom w:val="single" w:color="auto" w:sz="4" w:space="0"/>
                    <w:right w:val="single" w:color="auto" w:sz="4" w:space="0"/>
                  </w:tcBorders>
                  <w:vAlign w:val="center"/>
                </w:tcPr>
                <w:p w14:paraId="7324C980">
                  <w:pPr>
                    <w:keepNext w:val="0"/>
                    <w:keepLines w:val="0"/>
                    <w:suppressLineNumbers w:val="0"/>
                    <w:spacing w:before="0" w:beforeAutospacing="0" w:after="0" w:afterAutospacing="0"/>
                    <w:ind w:left="0" w:right="0"/>
                    <w:jc w:val="center"/>
                    <w:rPr>
                      <w:rFonts w:hint="default" w:ascii="Times New Roman" w:hAnsi="Times New Roman" w:eastAsia="宋体" w:cs="Times New Roman"/>
                      <w:b/>
                      <w:bCs/>
                      <w:color w:val="auto"/>
                      <w:szCs w:val="21"/>
                    </w:rPr>
                  </w:pPr>
                  <w:r>
                    <w:rPr>
                      <w:rFonts w:hint="default" w:ascii="Times New Roman" w:hAnsi="Times New Roman" w:eastAsia="宋体" w:cs="Times New Roman"/>
                      <w:b/>
                      <w:bCs/>
                      <w:color w:val="auto"/>
                      <w:szCs w:val="21"/>
                    </w:rPr>
                    <w:t>最大浓度占标率/%</w:t>
                  </w:r>
                </w:p>
              </w:tc>
              <w:tc>
                <w:tcPr>
                  <w:tcW w:w="1363" w:type="dxa"/>
                  <w:tcBorders>
                    <w:top w:val="single" w:color="auto" w:sz="4" w:space="0"/>
                    <w:left w:val="single" w:color="auto" w:sz="4" w:space="0"/>
                    <w:bottom w:val="single" w:color="auto" w:sz="4" w:space="0"/>
                    <w:right w:val="single" w:color="auto" w:sz="4" w:space="0"/>
                  </w:tcBorders>
                  <w:vAlign w:val="center"/>
                </w:tcPr>
                <w:p w14:paraId="65531CC6">
                  <w:pPr>
                    <w:keepNext w:val="0"/>
                    <w:keepLines w:val="0"/>
                    <w:suppressLineNumbers w:val="0"/>
                    <w:spacing w:before="0" w:beforeAutospacing="0" w:after="0" w:afterAutospacing="0"/>
                    <w:ind w:left="0" w:right="0"/>
                    <w:jc w:val="center"/>
                    <w:rPr>
                      <w:rFonts w:hint="default" w:ascii="Times New Roman" w:hAnsi="Times New Roman" w:eastAsia="宋体" w:cs="Times New Roman"/>
                      <w:b/>
                      <w:bCs/>
                      <w:color w:val="auto"/>
                      <w:szCs w:val="21"/>
                    </w:rPr>
                  </w:pPr>
                  <w:r>
                    <w:rPr>
                      <w:rFonts w:hint="default" w:ascii="Times New Roman" w:hAnsi="Times New Roman" w:eastAsia="宋体" w:cs="Times New Roman"/>
                      <w:b/>
                      <w:bCs/>
                      <w:color w:val="auto"/>
                      <w:szCs w:val="21"/>
                    </w:rPr>
                    <w:t>达标情况</w:t>
                  </w:r>
                </w:p>
              </w:tc>
            </w:tr>
            <w:tr w14:paraId="4C9727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1362" w:type="dxa"/>
                  <w:vMerge w:val="restart"/>
                  <w:tcBorders>
                    <w:top w:val="single" w:color="auto" w:sz="4" w:space="0"/>
                    <w:left w:val="single" w:color="auto" w:sz="4" w:space="0"/>
                    <w:right w:val="single" w:color="auto" w:sz="4" w:space="0"/>
                  </w:tcBorders>
                  <w:vAlign w:val="center"/>
                </w:tcPr>
                <w:p w14:paraId="18785688">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rPr>
                    <w:t>秧田湾</w:t>
                  </w:r>
                </w:p>
              </w:tc>
              <w:tc>
                <w:tcPr>
                  <w:tcW w:w="1362" w:type="dxa"/>
                  <w:tcBorders>
                    <w:top w:val="single" w:color="auto" w:sz="4" w:space="0"/>
                    <w:left w:val="single" w:color="auto" w:sz="4" w:space="0"/>
                    <w:bottom w:val="single" w:color="auto" w:sz="4" w:space="0"/>
                    <w:right w:val="single" w:color="auto" w:sz="4" w:space="0"/>
                  </w:tcBorders>
                  <w:vAlign w:val="center"/>
                </w:tcPr>
                <w:p w14:paraId="5B9C69F5">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rPr>
                    <w:t>TSP</w:t>
                  </w:r>
                </w:p>
              </w:tc>
              <w:tc>
                <w:tcPr>
                  <w:tcW w:w="1362" w:type="dxa"/>
                  <w:tcBorders>
                    <w:top w:val="single" w:color="auto" w:sz="4" w:space="0"/>
                    <w:left w:val="single" w:color="auto" w:sz="4" w:space="0"/>
                    <w:bottom w:val="single" w:color="auto" w:sz="4" w:space="0"/>
                    <w:right w:val="single" w:color="auto" w:sz="4" w:space="0"/>
                  </w:tcBorders>
                  <w:vAlign w:val="center"/>
                </w:tcPr>
                <w:p w14:paraId="1A99D1F2">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rPr>
                    <w:t>0.3</w:t>
                  </w:r>
                </w:p>
              </w:tc>
              <w:tc>
                <w:tcPr>
                  <w:tcW w:w="1363" w:type="dxa"/>
                  <w:tcBorders>
                    <w:top w:val="single" w:color="auto" w:sz="4" w:space="0"/>
                    <w:left w:val="single" w:color="auto" w:sz="4" w:space="0"/>
                    <w:bottom w:val="single" w:color="auto" w:sz="4" w:space="0"/>
                    <w:right w:val="single" w:color="auto" w:sz="4" w:space="0"/>
                  </w:tcBorders>
                  <w:vAlign w:val="center"/>
                </w:tcPr>
                <w:p w14:paraId="1A17E0A5">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rPr>
                    <w:t>0.218~0.229</w:t>
                  </w:r>
                </w:p>
              </w:tc>
              <w:tc>
                <w:tcPr>
                  <w:tcW w:w="1363" w:type="dxa"/>
                  <w:tcBorders>
                    <w:top w:val="single" w:color="auto" w:sz="4" w:space="0"/>
                    <w:left w:val="single" w:color="auto" w:sz="4" w:space="0"/>
                    <w:bottom w:val="single" w:color="auto" w:sz="4" w:space="0"/>
                    <w:right w:val="single" w:color="auto" w:sz="4" w:space="0"/>
                  </w:tcBorders>
                  <w:vAlign w:val="center"/>
                </w:tcPr>
                <w:p w14:paraId="2111E878">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rPr>
                    <w:t>76.3</w:t>
                  </w:r>
                </w:p>
              </w:tc>
              <w:tc>
                <w:tcPr>
                  <w:tcW w:w="1363" w:type="dxa"/>
                  <w:tcBorders>
                    <w:top w:val="single" w:color="auto" w:sz="4" w:space="0"/>
                    <w:left w:val="single" w:color="auto" w:sz="4" w:space="0"/>
                    <w:bottom w:val="single" w:color="auto" w:sz="4" w:space="0"/>
                    <w:right w:val="single" w:color="auto" w:sz="4" w:space="0"/>
                  </w:tcBorders>
                  <w:vAlign w:val="center"/>
                </w:tcPr>
                <w:p w14:paraId="471004DB">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rPr>
                    <w:t>达标</w:t>
                  </w:r>
                </w:p>
              </w:tc>
            </w:tr>
            <w:tr w14:paraId="0A2055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1362" w:type="dxa"/>
                  <w:vMerge w:val="continue"/>
                  <w:tcBorders>
                    <w:left w:val="single" w:color="auto" w:sz="4" w:space="0"/>
                    <w:right w:val="single" w:color="auto" w:sz="4" w:space="0"/>
                  </w:tcBorders>
                  <w:vAlign w:val="center"/>
                </w:tcPr>
                <w:p w14:paraId="5DCFEFE3">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p>
              </w:tc>
              <w:tc>
                <w:tcPr>
                  <w:tcW w:w="1362" w:type="dxa"/>
                  <w:tcBorders>
                    <w:top w:val="single" w:color="auto" w:sz="4" w:space="0"/>
                    <w:left w:val="single" w:color="auto" w:sz="4" w:space="0"/>
                    <w:bottom w:val="single" w:color="auto" w:sz="4" w:space="0"/>
                    <w:right w:val="single" w:color="auto" w:sz="4" w:space="0"/>
                  </w:tcBorders>
                  <w:vAlign w:val="center"/>
                </w:tcPr>
                <w:p w14:paraId="0D32C444">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rPr>
                    <w:t>非甲烷总烃</w:t>
                  </w:r>
                </w:p>
              </w:tc>
              <w:tc>
                <w:tcPr>
                  <w:tcW w:w="1362" w:type="dxa"/>
                  <w:tcBorders>
                    <w:top w:val="single" w:color="auto" w:sz="4" w:space="0"/>
                    <w:left w:val="single" w:color="auto" w:sz="4" w:space="0"/>
                    <w:bottom w:val="single" w:color="auto" w:sz="4" w:space="0"/>
                    <w:right w:val="single" w:color="auto" w:sz="4" w:space="0"/>
                  </w:tcBorders>
                  <w:vAlign w:val="center"/>
                </w:tcPr>
                <w:p w14:paraId="6FA00E49">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rPr>
                    <w:t>2</w:t>
                  </w:r>
                </w:p>
              </w:tc>
              <w:tc>
                <w:tcPr>
                  <w:tcW w:w="1363" w:type="dxa"/>
                  <w:tcBorders>
                    <w:top w:val="single" w:color="auto" w:sz="4" w:space="0"/>
                    <w:left w:val="single" w:color="auto" w:sz="4" w:space="0"/>
                    <w:bottom w:val="single" w:color="auto" w:sz="4" w:space="0"/>
                    <w:right w:val="single" w:color="auto" w:sz="4" w:space="0"/>
                  </w:tcBorders>
                  <w:vAlign w:val="center"/>
                </w:tcPr>
                <w:p w14:paraId="6A50FF74">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rPr>
                    <w:t>0.29~0.43</w:t>
                  </w:r>
                </w:p>
              </w:tc>
              <w:tc>
                <w:tcPr>
                  <w:tcW w:w="1363" w:type="dxa"/>
                  <w:tcBorders>
                    <w:top w:val="single" w:color="auto" w:sz="4" w:space="0"/>
                    <w:left w:val="single" w:color="auto" w:sz="4" w:space="0"/>
                    <w:bottom w:val="single" w:color="auto" w:sz="4" w:space="0"/>
                    <w:right w:val="single" w:color="auto" w:sz="4" w:space="0"/>
                  </w:tcBorders>
                  <w:vAlign w:val="center"/>
                </w:tcPr>
                <w:p w14:paraId="4064E593">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rPr>
                    <w:t>21.5</w:t>
                  </w:r>
                </w:p>
              </w:tc>
              <w:tc>
                <w:tcPr>
                  <w:tcW w:w="1363" w:type="dxa"/>
                  <w:tcBorders>
                    <w:top w:val="single" w:color="auto" w:sz="4" w:space="0"/>
                    <w:left w:val="single" w:color="auto" w:sz="4" w:space="0"/>
                    <w:bottom w:val="single" w:color="auto" w:sz="4" w:space="0"/>
                    <w:right w:val="single" w:color="auto" w:sz="4" w:space="0"/>
                  </w:tcBorders>
                  <w:vAlign w:val="center"/>
                </w:tcPr>
                <w:p w14:paraId="79C80979">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rPr>
                    <w:t>达标</w:t>
                  </w:r>
                </w:p>
              </w:tc>
            </w:tr>
          </w:tbl>
          <w:p w14:paraId="1576406C">
            <w:pPr>
              <w:keepNext w:val="0"/>
              <w:keepLines w:val="0"/>
              <w:suppressLineNumbers w:val="0"/>
              <w:spacing w:before="0" w:beforeAutospacing="0" w:after="0" w:afterAutospacing="0" w:line="360" w:lineRule="auto"/>
              <w:ind w:left="0" w:right="0" w:firstLine="480" w:firstLineChars="200"/>
              <w:rPr>
                <w:rFonts w:hint="eastAsia" w:ascii="Times New Roman" w:hAnsi="Times New Roman" w:eastAsia="宋体" w:cs="Times New Roman"/>
                <w:color w:val="auto"/>
                <w:sz w:val="24"/>
              </w:rPr>
            </w:pPr>
            <w:r>
              <w:rPr>
                <w:rFonts w:hint="eastAsia" w:ascii="Times New Roman" w:hAnsi="Times New Roman" w:eastAsia="宋体" w:cs="Times New Roman"/>
                <w:color w:val="auto"/>
                <w:sz w:val="24"/>
              </w:rPr>
              <w:t>根据上表可知，本项目所在区域监测点位非甲烷总烃的小时浓度均满足《大气污染物综合排放标准详解》中一次值浓度限值要求；TSP满足《环境空气质量标准》</w:t>
            </w:r>
            <w:r>
              <w:rPr>
                <w:rFonts w:hint="eastAsia" w:ascii="Times New Roman" w:hAnsi="Times New Roman" w:eastAsia="宋体" w:cs="Times New Roman"/>
                <w:color w:val="0000FF"/>
                <w:sz w:val="24"/>
              </w:rPr>
              <w:t>（</w:t>
            </w:r>
            <w:r>
              <w:rPr>
                <w:rFonts w:hint="default" w:ascii="Times New Roman" w:hAnsi="Times New Roman" w:eastAsia="宋体" w:cs="Times New Roman"/>
                <w:color w:val="0000FF"/>
                <w:sz w:val="24"/>
              </w:rPr>
              <w:t>GB3095-</w:t>
            </w:r>
            <w:r>
              <w:rPr>
                <w:rFonts w:hint="eastAsia" w:ascii="Times New Roman" w:hAnsi="Times New Roman" w:eastAsia="宋体" w:cs="Times New Roman"/>
                <w:color w:val="0000FF"/>
                <w:sz w:val="24"/>
                <w:lang w:val="en-US" w:eastAsia="zh-CN"/>
              </w:rPr>
              <w:t>2026</w:t>
            </w:r>
            <w:r>
              <w:rPr>
                <w:rFonts w:hint="eastAsia" w:ascii="Times New Roman" w:hAnsi="Times New Roman" w:eastAsia="宋体" w:cs="Times New Roman"/>
                <w:color w:val="0000FF"/>
                <w:sz w:val="24"/>
              </w:rPr>
              <w:t>）</w:t>
            </w:r>
            <w:r>
              <w:rPr>
                <w:rFonts w:hint="eastAsia" w:ascii="Times New Roman" w:hAnsi="Times New Roman" w:eastAsia="宋体" w:cs="Times New Roman"/>
                <w:color w:val="auto"/>
                <w:sz w:val="24"/>
              </w:rPr>
              <w:t>中</w:t>
            </w:r>
            <w:r>
              <w:rPr>
                <w:rFonts w:hint="eastAsia" w:ascii="Times New Roman" w:hAnsi="Times New Roman" w:eastAsia="宋体" w:cs="Times New Roman"/>
                <w:color w:val="FF0000"/>
                <w:sz w:val="24"/>
              </w:rPr>
              <w:t>过渡阶段浓度限值</w:t>
            </w:r>
            <w:r>
              <w:rPr>
                <w:rFonts w:hint="default"/>
              </w:rPr>
              <w:commentReference w:id="55"/>
            </w:r>
            <w:r>
              <w:rPr>
                <w:rFonts w:hint="eastAsia" w:ascii="Times New Roman" w:hAnsi="Times New Roman" w:eastAsia="宋体" w:cs="Times New Roman"/>
                <w:color w:val="auto"/>
                <w:sz w:val="24"/>
              </w:rPr>
              <w:t>二级标准。</w:t>
            </w:r>
          </w:p>
          <w:p w14:paraId="74923EF5">
            <w:pPr>
              <w:keepNext w:val="0"/>
              <w:keepLines w:val="0"/>
              <w:suppressLineNumbers w:val="0"/>
              <w:spacing w:before="0" w:beforeAutospacing="0" w:after="0" w:afterAutospacing="0" w:line="360" w:lineRule="auto"/>
              <w:ind w:left="0" w:right="0"/>
              <w:rPr>
                <w:rFonts w:hint="default" w:ascii="Times New Roman" w:hAnsi="Times New Roman" w:eastAsia="宋体" w:cs="Times New Roman"/>
                <w:b/>
                <w:bCs/>
                <w:color w:val="auto"/>
                <w:sz w:val="24"/>
              </w:rPr>
            </w:pPr>
            <w:r>
              <w:rPr>
                <w:rFonts w:hint="eastAsia" w:ascii="Times New Roman" w:hAnsi="Times New Roman" w:eastAsia="宋体" w:cs="Times New Roman"/>
                <w:b/>
                <w:bCs/>
                <w:color w:val="auto"/>
                <w:sz w:val="24"/>
              </w:rPr>
              <w:t>3.1.2地表水环境</w:t>
            </w:r>
          </w:p>
          <w:p w14:paraId="29862109">
            <w:pPr>
              <w:keepNext w:val="0"/>
              <w:keepLines w:val="0"/>
              <w:suppressLineNumbers w:val="0"/>
              <w:spacing w:before="0" w:beforeAutospacing="0" w:after="0" w:afterAutospacing="0" w:line="360" w:lineRule="auto"/>
              <w:ind w:left="0" w:right="0" w:firstLine="480" w:firstLineChars="200"/>
              <w:rPr>
                <w:rFonts w:hint="default" w:ascii="Times New Roman" w:hAnsi="Times New Roman" w:eastAsia="宋体" w:cs="Times New Roman"/>
                <w:color w:val="auto"/>
                <w:sz w:val="24"/>
              </w:rPr>
            </w:pPr>
            <w:r>
              <w:rPr>
                <w:rFonts w:hint="default" w:ascii="Times New Roman" w:hAnsi="Times New Roman" w:eastAsia="宋体" w:cs="Times New Roman"/>
                <w:color w:val="auto"/>
                <w:sz w:val="24"/>
              </w:rPr>
              <w:t>本项目附近主要地表水为浑泥港，根据《浙江省水功能区水环境功能区划分方案（2015）》，浑泥港属于苕溪水系，编号为苕溪27，水功能区为浑泥港安吉工业用水区，水环境功能区为工业用水区，目标水质为III类，执行《地表水环境质量标准》（GB3838-2002）中的III类标准。</w:t>
            </w:r>
          </w:p>
          <w:p w14:paraId="19AE1CA1">
            <w:pPr>
              <w:keepNext w:val="0"/>
              <w:keepLines w:val="0"/>
              <w:suppressLineNumbers w:val="0"/>
              <w:spacing w:before="0" w:beforeAutospacing="0" w:after="0" w:afterAutospacing="0" w:line="360" w:lineRule="auto"/>
              <w:ind w:left="0" w:right="0" w:firstLine="480" w:firstLineChars="200"/>
              <w:rPr>
                <w:rFonts w:hint="default" w:ascii="Times New Roman" w:hAnsi="Times New Roman" w:eastAsia="宋体" w:cs="Times New Roman"/>
                <w:color w:val="auto"/>
                <w:sz w:val="24"/>
              </w:rPr>
            </w:pPr>
            <w:r>
              <w:rPr>
                <w:rFonts w:hint="default" w:ascii="Times New Roman" w:hAnsi="Times New Roman" w:eastAsia="宋体" w:cs="Times New Roman"/>
                <w:color w:val="auto"/>
                <w:sz w:val="24"/>
              </w:rPr>
              <w:t>根据《安吉县环境质量报告（2024年度）》，2024年全县24个地表水监测断面中，符合Ⅰ类水标准的监测断面为8个，占监测断面总数的33.3%，符合Ⅱ类水标准的监测断面为16个，占监测断面总数的66.7%，全部达到水域功能要求，达标率为100%。浑泥港（高禹-小木桥，鄣吴-横大桥）河段共长15km，设良朋桥、禹步桥2个断面。</w:t>
            </w:r>
            <w:r>
              <w:rPr>
                <w:rFonts w:hint="default" w:ascii="Times New Roman" w:hAnsi="Times New Roman" w:eastAsia="宋体" w:cs="Times New Roman"/>
                <w:color w:val="0000FF"/>
                <w:sz w:val="24"/>
              </w:rPr>
              <w:t>现状良朋桥、禹步桥水质均属Ⅱ类水体，优于水域功能区（Ⅲ类）的要求</w:t>
            </w:r>
            <w:r>
              <w:rPr>
                <w:rFonts w:hint="default" w:ascii="Times New Roman" w:hAnsi="Times New Roman" w:eastAsia="宋体" w:cs="Times New Roman"/>
                <w:color w:val="auto"/>
                <w:sz w:val="24"/>
              </w:rPr>
              <w:t>。由此可见项目所在地地表水环境质量各项指标均符合《地表水环境质量标准》（GB3838-2002）中的Ⅲ类水体标准，属于达标区域。</w:t>
            </w:r>
          </w:p>
          <w:p w14:paraId="478D1578">
            <w:pPr>
              <w:keepNext w:val="0"/>
              <w:keepLines w:val="0"/>
              <w:suppressLineNumbers w:val="0"/>
              <w:spacing w:before="0" w:beforeAutospacing="0" w:after="0" w:afterAutospacing="0" w:line="360" w:lineRule="auto"/>
              <w:ind w:left="0" w:right="0"/>
              <w:rPr>
                <w:rFonts w:hint="default" w:ascii="Times New Roman" w:hAnsi="Times New Roman" w:eastAsia="宋体" w:cs="Times New Roman"/>
                <w:b/>
                <w:bCs/>
                <w:color w:val="auto"/>
                <w:sz w:val="24"/>
              </w:rPr>
            </w:pPr>
            <w:r>
              <w:rPr>
                <w:rFonts w:hint="eastAsia" w:ascii="Times New Roman" w:hAnsi="Times New Roman" w:eastAsia="宋体" w:cs="Times New Roman"/>
                <w:b/>
                <w:bCs/>
                <w:color w:val="auto"/>
                <w:sz w:val="24"/>
              </w:rPr>
              <w:t>3.1.3声环境</w:t>
            </w:r>
          </w:p>
          <w:p w14:paraId="0A7D734A">
            <w:pPr>
              <w:keepNext w:val="0"/>
              <w:keepLines w:val="0"/>
              <w:suppressLineNumbers w:val="0"/>
              <w:spacing w:before="0" w:beforeAutospacing="0" w:after="0" w:afterAutospacing="0" w:line="360" w:lineRule="auto"/>
              <w:ind w:left="0" w:right="0" w:firstLine="480" w:firstLineChars="200"/>
              <w:rPr>
                <w:rFonts w:hint="default" w:ascii="Times New Roman" w:hAnsi="Times New Roman" w:eastAsia="宋体" w:cs="Times New Roman"/>
                <w:color w:val="auto"/>
                <w:sz w:val="24"/>
              </w:rPr>
            </w:pPr>
            <w:r>
              <w:rPr>
                <w:rFonts w:hint="eastAsia" w:ascii="Times New Roman" w:hAnsi="Times New Roman" w:eastAsia="宋体" w:cs="Times New Roman"/>
                <w:color w:val="auto"/>
                <w:sz w:val="24"/>
              </w:rPr>
              <w:t>本项目位于浙江省湖州市安吉县天子湖镇长隆路398号</w:t>
            </w:r>
            <w:r>
              <w:rPr>
                <w:rFonts w:hint="eastAsia" w:ascii="Times New Roman" w:hAnsi="Times New Roman" w:eastAsia="宋体" w:cs="Times New Roman"/>
                <w:color w:val="0000E1"/>
                <w:sz w:val="24"/>
              </w:rPr>
              <w:t>1号厂房1楼，2号厂房1楼</w:t>
            </w:r>
            <w:r>
              <w:rPr>
                <w:rFonts w:hint="eastAsia" w:ascii="Times New Roman" w:hAnsi="Times New Roman" w:eastAsia="宋体" w:cs="Times New Roman"/>
                <w:color w:val="0000E1"/>
                <w:sz w:val="24"/>
                <w:lang w:eastAsia="zh-CN"/>
              </w:rPr>
              <w:t>、</w:t>
            </w:r>
            <w:r>
              <w:rPr>
                <w:rFonts w:hint="eastAsia" w:ascii="Times New Roman" w:hAnsi="Times New Roman" w:eastAsia="宋体" w:cs="Times New Roman"/>
                <w:color w:val="0000E1"/>
                <w:sz w:val="24"/>
              </w:rPr>
              <w:t>2楼</w:t>
            </w:r>
            <w:r>
              <w:rPr>
                <w:rFonts w:hint="eastAsia" w:ascii="Times New Roman" w:hAnsi="Times New Roman" w:eastAsia="宋体" w:cs="Times New Roman"/>
                <w:color w:val="auto"/>
                <w:sz w:val="24"/>
              </w:rPr>
              <w:t>（浙江吉珈科技有限公司内），项目所在范围未划分声环境功能区划。根据《长三角（湖州）产业合作区发展总体规划环境影响报告书》，规划范围内工业区块执行3类声环境功能区。本项目位于工业区块，因此本项目所在地属于3类声环境功能区，厂界区域声环境质量执行《声环境质量标准》（GB3096-2008）中的3类标准。</w:t>
            </w:r>
          </w:p>
          <w:p w14:paraId="09BC976E">
            <w:pPr>
              <w:keepNext w:val="0"/>
              <w:keepLines w:val="0"/>
              <w:suppressLineNumbers w:val="0"/>
              <w:spacing w:before="0" w:beforeAutospacing="0" w:after="0" w:afterAutospacing="0" w:line="360" w:lineRule="auto"/>
              <w:ind w:left="0" w:right="0" w:firstLine="480" w:firstLineChars="200"/>
              <w:rPr>
                <w:rFonts w:hint="default" w:ascii="Times New Roman" w:hAnsi="Times New Roman" w:eastAsia="宋体" w:cs="Times New Roman"/>
                <w:color w:val="auto"/>
                <w:sz w:val="24"/>
              </w:rPr>
            </w:pPr>
            <w:r>
              <w:rPr>
                <w:rFonts w:hint="eastAsia" w:ascii="Times New Roman" w:hAnsi="Times New Roman" w:eastAsia="宋体" w:cs="Times New Roman"/>
                <w:color w:val="auto"/>
                <w:sz w:val="24"/>
              </w:rPr>
              <w:t>根据《建设项目环境影响报告表编制技术指南（污染影响类）（试行）》，本项目位于已建成的工业区内，且项目50m范围内无声环境保护目标，因此无需进行声环境质量现状调查。</w:t>
            </w:r>
          </w:p>
          <w:p w14:paraId="230A1D9F">
            <w:pPr>
              <w:keepNext w:val="0"/>
              <w:keepLines w:val="0"/>
              <w:suppressLineNumbers w:val="0"/>
              <w:spacing w:before="0" w:beforeAutospacing="0" w:after="0" w:afterAutospacing="0" w:line="360" w:lineRule="auto"/>
              <w:ind w:left="0" w:right="0"/>
              <w:rPr>
                <w:rFonts w:hint="default" w:ascii="Times New Roman" w:hAnsi="Times New Roman" w:eastAsia="宋体" w:cs="Times New Roman"/>
                <w:b/>
                <w:bCs/>
                <w:color w:val="auto"/>
                <w:sz w:val="24"/>
              </w:rPr>
            </w:pPr>
            <w:r>
              <w:rPr>
                <w:rFonts w:hint="eastAsia" w:ascii="Times New Roman" w:hAnsi="Times New Roman" w:eastAsia="宋体" w:cs="Times New Roman"/>
                <w:b/>
                <w:bCs/>
                <w:color w:val="auto"/>
                <w:sz w:val="24"/>
              </w:rPr>
              <w:t>3.1.4生态环境</w:t>
            </w:r>
          </w:p>
          <w:p w14:paraId="561F1B40">
            <w:pPr>
              <w:keepNext w:val="0"/>
              <w:keepLines w:val="0"/>
              <w:suppressLineNumbers w:val="0"/>
              <w:spacing w:before="0" w:beforeAutospacing="0" w:after="0" w:afterAutospacing="0" w:line="360" w:lineRule="auto"/>
              <w:ind w:left="0" w:right="0" w:firstLine="480" w:firstLineChars="200"/>
              <w:rPr>
                <w:rFonts w:hint="default" w:ascii="Times New Roman" w:hAnsi="Times New Roman" w:eastAsia="宋体" w:cs="Times New Roman"/>
                <w:color w:val="auto"/>
                <w:sz w:val="24"/>
              </w:rPr>
            </w:pPr>
            <w:r>
              <w:rPr>
                <w:rFonts w:hint="eastAsia" w:ascii="Times New Roman" w:hAnsi="Times New Roman" w:eastAsia="宋体" w:cs="Times New Roman"/>
                <w:color w:val="auto"/>
                <w:sz w:val="24"/>
              </w:rPr>
              <w:t>根据《建设项目环境影响报告表编制技术指南》，本项目位于已建成的工业区内，且用地范围内无生态环境保护目标，因此无需进行生态现状调查。</w:t>
            </w:r>
          </w:p>
          <w:p w14:paraId="026552D3">
            <w:pPr>
              <w:keepNext w:val="0"/>
              <w:keepLines w:val="0"/>
              <w:suppressLineNumbers w:val="0"/>
              <w:spacing w:before="0" w:beforeAutospacing="0" w:after="0" w:afterAutospacing="0" w:line="360" w:lineRule="auto"/>
              <w:ind w:left="0" w:right="0"/>
              <w:rPr>
                <w:rFonts w:hint="default" w:ascii="Times New Roman" w:hAnsi="Times New Roman" w:eastAsia="宋体" w:cs="Times New Roman"/>
                <w:b/>
                <w:bCs/>
                <w:color w:val="auto"/>
                <w:sz w:val="24"/>
              </w:rPr>
            </w:pPr>
            <w:r>
              <w:rPr>
                <w:rFonts w:hint="eastAsia" w:ascii="Times New Roman" w:hAnsi="Times New Roman" w:eastAsia="宋体" w:cs="Times New Roman"/>
                <w:b/>
                <w:bCs/>
                <w:color w:val="auto"/>
                <w:sz w:val="24"/>
              </w:rPr>
              <w:t>3.1.5电磁辐射</w:t>
            </w:r>
          </w:p>
          <w:p w14:paraId="042723B3">
            <w:pPr>
              <w:keepNext w:val="0"/>
              <w:keepLines w:val="0"/>
              <w:suppressLineNumbers w:val="0"/>
              <w:spacing w:before="0" w:beforeAutospacing="0" w:after="0" w:afterAutospacing="0" w:line="360" w:lineRule="auto"/>
              <w:ind w:left="0" w:right="0" w:firstLine="480" w:firstLineChars="200"/>
              <w:rPr>
                <w:rFonts w:hint="eastAsia" w:ascii="Times New Roman" w:hAnsi="Times New Roman" w:eastAsia="宋体" w:cs="Times New Roman"/>
                <w:color w:val="auto"/>
                <w:sz w:val="24"/>
              </w:rPr>
            </w:pPr>
            <w:r>
              <w:rPr>
                <w:rFonts w:hint="eastAsia" w:ascii="Times New Roman" w:hAnsi="Times New Roman" w:eastAsia="宋体" w:cs="Times New Roman"/>
                <w:color w:val="auto"/>
                <w:sz w:val="24"/>
              </w:rPr>
              <w:t>本项目非广播电台、差转台、电视塔台等电磁辐射类项目，因此无需开展监测。</w:t>
            </w:r>
          </w:p>
          <w:p w14:paraId="3486972F">
            <w:pPr>
              <w:keepNext w:val="0"/>
              <w:keepLines w:val="0"/>
              <w:suppressLineNumbers w:val="0"/>
              <w:spacing w:before="0" w:beforeAutospacing="0" w:after="0" w:afterAutospacing="0" w:line="360" w:lineRule="auto"/>
              <w:ind w:left="0" w:right="0"/>
              <w:rPr>
                <w:rFonts w:hint="eastAsia" w:ascii="Times New Roman" w:hAnsi="Times New Roman" w:eastAsia="宋体" w:cs="Times New Roman"/>
                <w:color w:val="auto"/>
                <w:sz w:val="24"/>
              </w:rPr>
            </w:pPr>
          </w:p>
          <w:p w14:paraId="6C914299">
            <w:pPr>
              <w:keepNext w:val="0"/>
              <w:keepLines w:val="0"/>
              <w:suppressLineNumbers w:val="0"/>
              <w:spacing w:before="0" w:beforeAutospacing="0" w:after="0" w:afterAutospacing="0" w:line="360" w:lineRule="auto"/>
              <w:ind w:left="0" w:right="0"/>
              <w:rPr>
                <w:rFonts w:hint="default" w:ascii="Times New Roman" w:hAnsi="Times New Roman" w:eastAsia="宋体" w:cs="Times New Roman"/>
                <w:b/>
                <w:bCs/>
                <w:color w:val="auto"/>
                <w:sz w:val="24"/>
              </w:rPr>
            </w:pPr>
            <w:r>
              <w:rPr>
                <w:rFonts w:hint="eastAsia" w:ascii="Times New Roman" w:hAnsi="Times New Roman" w:eastAsia="宋体" w:cs="Times New Roman"/>
                <w:b/>
                <w:bCs/>
                <w:color w:val="auto"/>
                <w:sz w:val="24"/>
              </w:rPr>
              <w:t>3.1.6地下水、土壤</w:t>
            </w:r>
          </w:p>
          <w:p w14:paraId="4C6A25D5">
            <w:pPr>
              <w:keepNext w:val="0"/>
              <w:keepLines w:val="0"/>
              <w:suppressLineNumbers w:val="0"/>
              <w:spacing w:before="0" w:beforeAutospacing="0" w:after="0" w:afterAutospacing="0" w:line="360" w:lineRule="auto"/>
              <w:ind w:left="0" w:right="0" w:firstLine="480" w:firstLineChars="200"/>
              <w:rPr>
                <w:rFonts w:hint="eastAsia" w:ascii="Times New Roman" w:hAnsi="Times New Roman" w:eastAsia="宋体" w:cs="Times New Roman"/>
                <w:color w:val="auto"/>
                <w:sz w:val="24"/>
              </w:rPr>
            </w:pPr>
            <w:r>
              <w:rPr>
                <w:rFonts w:hint="eastAsia" w:ascii="Times New Roman" w:hAnsi="Times New Roman" w:eastAsia="宋体" w:cs="Times New Roman"/>
                <w:color w:val="auto"/>
                <w:sz w:val="24"/>
              </w:rPr>
              <w:t>本项目运营期不涉及重金属污染，主要生产废气为颗粒物、非甲烷总烃、臭气浓度，不涉及持久性难降解挥发性有机物，项目废气可达标排放，不会通过大气沉降对土壤造成影响。本项目仅排放生活污水且经污水管网纳管排放，厂区实行分区防渗等措施。正常生产情况下不存土壤、地下水环境污染途径，项目所在地各厂界外</w:t>
            </w:r>
            <w:r>
              <w:rPr>
                <w:rFonts w:hint="default" w:ascii="Times New Roman" w:hAnsi="Times New Roman" w:eastAsia="宋体" w:cs="Times New Roman"/>
                <w:color w:val="auto"/>
                <w:sz w:val="24"/>
              </w:rPr>
              <w:t>500m</w:t>
            </w:r>
            <w:r>
              <w:rPr>
                <w:rFonts w:hint="eastAsia" w:ascii="Times New Roman" w:hAnsi="Times New Roman" w:eastAsia="宋体" w:cs="Times New Roman"/>
                <w:color w:val="auto"/>
                <w:sz w:val="24"/>
              </w:rPr>
              <w:t>范围内不涉及地下水集中式饮用水水源和热水、矿泉水、温泉等特殊地下水资源。根据《建设项目环境影响报告表编制技术指南》，可不开展地下水、土壤环境现状评价。</w:t>
            </w:r>
          </w:p>
          <w:p w14:paraId="0C43BEC4">
            <w:pPr>
              <w:keepNext w:val="0"/>
              <w:keepLines w:val="0"/>
              <w:suppressLineNumbers w:val="0"/>
              <w:spacing w:before="0" w:beforeAutospacing="0" w:after="0" w:afterAutospacing="0" w:line="360" w:lineRule="auto"/>
              <w:ind w:left="0" w:right="0" w:firstLine="480" w:firstLineChars="200"/>
              <w:rPr>
                <w:rFonts w:hint="eastAsia" w:ascii="Times New Roman" w:hAnsi="Times New Roman" w:eastAsia="宋体" w:cs="Times New Roman"/>
                <w:color w:val="auto"/>
                <w:sz w:val="24"/>
              </w:rPr>
            </w:pPr>
          </w:p>
          <w:p w14:paraId="17DF9859">
            <w:pPr>
              <w:keepNext w:val="0"/>
              <w:keepLines w:val="0"/>
              <w:suppressLineNumbers w:val="0"/>
              <w:spacing w:before="0" w:beforeAutospacing="0" w:after="0" w:afterAutospacing="0" w:line="360" w:lineRule="auto"/>
              <w:ind w:left="0" w:right="0" w:firstLine="480" w:firstLineChars="200"/>
              <w:rPr>
                <w:rFonts w:hint="eastAsia" w:ascii="Times New Roman" w:hAnsi="Times New Roman" w:eastAsia="宋体" w:cs="Times New Roman"/>
                <w:color w:val="auto"/>
                <w:sz w:val="24"/>
              </w:rPr>
            </w:pPr>
          </w:p>
          <w:p w14:paraId="4AC46CA6">
            <w:pPr>
              <w:keepNext w:val="0"/>
              <w:keepLines w:val="0"/>
              <w:suppressLineNumbers w:val="0"/>
              <w:spacing w:before="0" w:beforeAutospacing="0" w:after="0" w:afterAutospacing="0" w:line="360" w:lineRule="auto"/>
              <w:ind w:left="0" w:right="0" w:firstLine="480" w:firstLineChars="200"/>
              <w:rPr>
                <w:rFonts w:hint="eastAsia" w:ascii="Times New Roman" w:hAnsi="Times New Roman" w:eastAsia="宋体" w:cs="Times New Roman"/>
                <w:color w:val="auto"/>
                <w:sz w:val="24"/>
              </w:rPr>
            </w:pPr>
          </w:p>
          <w:p w14:paraId="36CD64A3">
            <w:pPr>
              <w:keepNext w:val="0"/>
              <w:keepLines w:val="0"/>
              <w:suppressLineNumbers w:val="0"/>
              <w:spacing w:before="0" w:beforeAutospacing="0" w:after="0" w:afterAutospacing="0" w:line="360" w:lineRule="auto"/>
              <w:ind w:left="0" w:right="0" w:firstLine="480" w:firstLineChars="200"/>
              <w:rPr>
                <w:rFonts w:hint="eastAsia" w:ascii="Times New Roman" w:hAnsi="Times New Roman" w:eastAsia="宋体" w:cs="Times New Roman"/>
                <w:color w:val="auto"/>
                <w:sz w:val="24"/>
              </w:rPr>
            </w:pPr>
          </w:p>
          <w:p w14:paraId="1CB47A33">
            <w:pPr>
              <w:keepNext w:val="0"/>
              <w:keepLines w:val="0"/>
              <w:suppressLineNumbers w:val="0"/>
              <w:spacing w:before="0" w:beforeAutospacing="0" w:after="0" w:afterAutospacing="0" w:line="360" w:lineRule="auto"/>
              <w:ind w:left="0" w:right="0" w:firstLine="480" w:firstLineChars="200"/>
              <w:rPr>
                <w:rFonts w:hint="eastAsia" w:ascii="Times New Roman" w:hAnsi="Times New Roman" w:eastAsia="宋体" w:cs="Times New Roman"/>
                <w:color w:val="auto"/>
                <w:sz w:val="24"/>
              </w:rPr>
            </w:pPr>
          </w:p>
          <w:p w14:paraId="4E5211EF">
            <w:pPr>
              <w:keepNext w:val="0"/>
              <w:keepLines w:val="0"/>
              <w:suppressLineNumbers w:val="0"/>
              <w:spacing w:before="0" w:beforeAutospacing="0" w:after="0" w:afterAutospacing="0" w:line="360" w:lineRule="auto"/>
              <w:ind w:left="0" w:right="0" w:firstLine="480" w:firstLineChars="200"/>
              <w:rPr>
                <w:rFonts w:hint="eastAsia" w:ascii="Times New Roman" w:hAnsi="Times New Roman" w:eastAsia="宋体" w:cs="Times New Roman"/>
                <w:color w:val="auto"/>
                <w:sz w:val="24"/>
              </w:rPr>
            </w:pPr>
          </w:p>
          <w:p w14:paraId="2E64164E">
            <w:pPr>
              <w:keepNext w:val="0"/>
              <w:keepLines w:val="0"/>
              <w:suppressLineNumbers w:val="0"/>
              <w:spacing w:before="0" w:beforeAutospacing="0" w:after="0" w:afterAutospacing="0" w:line="360" w:lineRule="auto"/>
              <w:ind w:left="0" w:right="0" w:firstLine="480" w:firstLineChars="200"/>
              <w:rPr>
                <w:rFonts w:hint="eastAsia" w:ascii="Times New Roman" w:hAnsi="Times New Roman" w:eastAsia="宋体" w:cs="Times New Roman"/>
                <w:color w:val="auto"/>
                <w:sz w:val="24"/>
              </w:rPr>
            </w:pPr>
          </w:p>
          <w:p w14:paraId="010A6C83">
            <w:pPr>
              <w:keepNext w:val="0"/>
              <w:keepLines w:val="0"/>
              <w:suppressLineNumbers w:val="0"/>
              <w:spacing w:before="0" w:beforeAutospacing="0" w:after="0" w:afterAutospacing="0" w:line="360" w:lineRule="auto"/>
              <w:ind w:left="0" w:right="0" w:firstLine="480" w:firstLineChars="200"/>
              <w:rPr>
                <w:rFonts w:hint="eastAsia" w:ascii="Times New Roman" w:hAnsi="Times New Roman" w:eastAsia="宋体" w:cs="Times New Roman"/>
                <w:color w:val="auto"/>
                <w:sz w:val="24"/>
              </w:rPr>
            </w:pPr>
          </w:p>
          <w:p w14:paraId="6F0FA081">
            <w:pPr>
              <w:keepNext w:val="0"/>
              <w:keepLines w:val="0"/>
              <w:suppressLineNumbers w:val="0"/>
              <w:spacing w:before="0" w:beforeAutospacing="0" w:after="0" w:afterAutospacing="0" w:line="360" w:lineRule="auto"/>
              <w:ind w:left="0" w:right="0" w:firstLine="480" w:firstLineChars="200"/>
              <w:rPr>
                <w:rFonts w:hint="eastAsia" w:ascii="Times New Roman" w:hAnsi="Times New Roman" w:eastAsia="宋体" w:cs="Times New Roman"/>
                <w:color w:val="auto"/>
                <w:sz w:val="24"/>
              </w:rPr>
            </w:pPr>
          </w:p>
          <w:p w14:paraId="187FFCCF">
            <w:pPr>
              <w:keepNext w:val="0"/>
              <w:keepLines w:val="0"/>
              <w:suppressLineNumbers w:val="0"/>
              <w:spacing w:before="0" w:beforeAutospacing="0" w:after="0" w:afterAutospacing="0" w:line="360" w:lineRule="auto"/>
              <w:ind w:left="0" w:right="0" w:firstLine="480" w:firstLineChars="200"/>
              <w:rPr>
                <w:rFonts w:hint="eastAsia" w:ascii="Times New Roman" w:hAnsi="Times New Roman" w:eastAsia="宋体" w:cs="Times New Roman"/>
                <w:color w:val="auto"/>
                <w:sz w:val="24"/>
              </w:rPr>
            </w:pPr>
          </w:p>
          <w:p w14:paraId="2D169532">
            <w:pPr>
              <w:keepNext w:val="0"/>
              <w:keepLines w:val="0"/>
              <w:suppressLineNumbers w:val="0"/>
              <w:spacing w:before="0" w:beforeAutospacing="0" w:after="0" w:afterAutospacing="0" w:line="360" w:lineRule="auto"/>
              <w:ind w:left="0" w:right="0" w:firstLine="480" w:firstLineChars="200"/>
              <w:rPr>
                <w:rFonts w:hint="eastAsia" w:ascii="Times New Roman" w:hAnsi="Times New Roman" w:eastAsia="宋体" w:cs="Times New Roman"/>
                <w:color w:val="auto"/>
                <w:sz w:val="24"/>
              </w:rPr>
            </w:pPr>
          </w:p>
          <w:p w14:paraId="60FD0335">
            <w:pPr>
              <w:keepNext w:val="0"/>
              <w:keepLines w:val="0"/>
              <w:suppressLineNumbers w:val="0"/>
              <w:spacing w:before="0" w:beforeAutospacing="0" w:after="0" w:afterAutospacing="0" w:line="360" w:lineRule="auto"/>
              <w:ind w:left="0" w:right="0" w:firstLine="480" w:firstLineChars="200"/>
              <w:rPr>
                <w:rFonts w:hint="eastAsia" w:ascii="Times New Roman" w:hAnsi="Times New Roman" w:eastAsia="宋体" w:cs="Times New Roman"/>
                <w:color w:val="auto"/>
                <w:sz w:val="24"/>
              </w:rPr>
            </w:pPr>
          </w:p>
          <w:p w14:paraId="62BCC9D9">
            <w:pPr>
              <w:keepNext w:val="0"/>
              <w:keepLines w:val="0"/>
              <w:suppressLineNumbers w:val="0"/>
              <w:spacing w:before="0" w:beforeAutospacing="0" w:after="0" w:afterAutospacing="0" w:line="360" w:lineRule="auto"/>
              <w:ind w:left="0" w:right="0" w:firstLine="480" w:firstLineChars="200"/>
              <w:rPr>
                <w:rFonts w:hint="eastAsia" w:ascii="Times New Roman" w:hAnsi="Times New Roman" w:eastAsia="宋体" w:cs="Times New Roman"/>
                <w:color w:val="auto"/>
                <w:sz w:val="24"/>
              </w:rPr>
            </w:pPr>
          </w:p>
          <w:p w14:paraId="7C04CF8D">
            <w:pPr>
              <w:keepNext w:val="0"/>
              <w:keepLines w:val="0"/>
              <w:suppressLineNumbers w:val="0"/>
              <w:spacing w:before="0" w:beforeAutospacing="0" w:after="0" w:afterAutospacing="0" w:line="360" w:lineRule="auto"/>
              <w:ind w:left="0" w:right="0" w:firstLine="480" w:firstLineChars="200"/>
              <w:rPr>
                <w:rFonts w:hint="eastAsia" w:ascii="Times New Roman" w:hAnsi="Times New Roman" w:eastAsia="宋体" w:cs="Times New Roman"/>
                <w:color w:val="auto"/>
                <w:sz w:val="24"/>
              </w:rPr>
            </w:pPr>
          </w:p>
          <w:p w14:paraId="51B65F89">
            <w:pPr>
              <w:keepNext w:val="0"/>
              <w:keepLines w:val="0"/>
              <w:suppressLineNumbers w:val="0"/>
              <w:spacing w:before="0" w:beforeAutospacing="0" w:after="0" w:afterAutospacing="0" w:line="360" w:lineRule="auto"/>
              <w:ind w:left="0" w:right="0" w:firstLine="480" w:firstLineChars="200"/>
              <w:rPr>
                <w:rFonts w:hint="eastAsia" w:ascii="Times New Roman" w:hAnsi="Times New Roman" w:eastAsia="宋体" w:cs="Times New Roman"/>
                <w:color w:val="auto"/>
                <w:sz w:val="24"/>
              </w:rPr>
            </w:pPr>
          </w:p>
          <w:p w14:paraId="32EEBA80">
            <w:pPr>
              <w:keepNext w:val="0"/>
              <w:keepLines w:val="0"/>
              <w:suppressLineNumbers w:val="0"/>
              <w:spacing w:before="0" w:beforeAutospacing="0" w:after="0" w:afterAutospacing="0" w:line="360" w:lineRule="auto"/>
              <w:ind w:left="0" w:right="0" w:firstLine="480" w:firstLineChars="200"/>
              <w:rPr>
                <w:rFonts w:hint="eastAsia" w:ascii="Times New Roman" w:hAnsi="Times New Roman" w:eastAsia="宋体" w:cs="Times New Roman"/>
                <w:color w:val="auto"/>
                <w:sz w:val="24"/>
              </w:rPr>
            </w:pPr>
          </w:p>
          <w:p w14:paraId="34674FBE">
            <w:pPr>
              <w:keepNext w:val="0"/>
              <w:keepLines w:val="0"/>
              <w:suppressLineNumbers w:val="0"/>
              <w:spacing w:before="0" w:beforeAutospacing="0" w:after="0" w:afterAutospacing="0" w:line="360" w:lineRule="auto"/>
              <w:ind w:left="0" w:right="0" w:firstLine="480" w:firstLineChars="200"/>
              <w:rPr>
                <w:rFonts w:hint="eastAsia" w:ascii="Times New Roman" w:hAnsi="Times New Roman" w:eastAsia="宋体" w:cs="Times New Roman"/>
                <w:color w:val="auto"/>
                <w:sz w:val="24"/>
              </w:rPr>
            </w:pPr>
          </w:p>
          <w:p w14:paraId="2A9C5C78">
            <w:pPr>
              <w:keepNext w:val="0"/>
              <w:keepLines w:val="0"/>
              <w:suppressLineNumbers w:val="0"/>
              <w:spacing w:before="0" w:beforeAutospacing="0" w:after="0" w:afterAutospacing="0" w:line="360" w:lineRule="auto"/>
              <w:ind w:left="0" w:right="0" w:firstLine="480" w:firstLineChars="200"/>
              <w:rPr>
                <w:rFonts w:hint="eastAsia" w:ascii="Times New Roman" w:hAnsi="Times New Roman" w:eastAsia="宋体" w:cs="Times New Roman"/>
                <w:color w:val="auto"/>
                <w:sz w:val="24"/>
              </w:rPr>
            </w:pPr>
          </w:p>
          <w:p w14:paraId="1705FA7E">
            <w:pPr>
              <w:keepNext w:val="0"/>
              <w:keepLines w:val="0"/>
              <w:suppressLineNumbers w:val="0"/>
              <w:spacing w:before="0" w:beforeAutospacing="0" w:after="0" w:afterAutospacing="0" w:line="360" w:lineRule="auto"/>
              <w:ind w:left="0" w:right="0" w:firstLine="480" w:firstLineChars="200"/>
              <w:rPr>
                <w:rFonts w:hint="eastAsia" w:ascii="Times New Roman" w:hAnsi="Times New Roman" w:eastAsia="宋体" w:cs="Times New Roman"/>
                <w:color w:val="auto"/>
                <w:sz w:val="24"/>
              </w:rPr>
            </w:pPr>
          </w:p>
          <w:p w14:paraId="627450C6">
            <w:pPr>
              <w:keepNext w:val="0"/>
              <w:keepLines w:val="0"/>
              <w:suppressLineNumbers w:val="0"/>
              <w:spacing w:before="0" w:beforeAutospacing="0" w:after="0" w:afterAutospacing="0" w:line="360" w:lineRule="auto"/>
              <w:ind w:left="0" w:right="0" w:firstLine="480" w:firstLineChars="200"/>
              <w:rPr>
                <w:rFonts w:hint="eastAsia" w:ascii="Times New Roman" w:hAnsi="Times New Roman" w:eastAsia="宋体" w:cs="Times New Roman"/>
                <w:color w:val="auto"/>
                <w:sz w:val="24"/>
              </w:rPr>
            </w:pPr>
          </w:p>
          <w:p w14:paraId="11A875CF">
            <w:pPr>
              <w:pStyle w:val="10"/>
              <w:keepNext w:val="0"/>
              <w:keepLines w:val="0"/>
              <w:suppressLineNumbers w:val="0"/>
              <w:spacing w:before="0" w:beforeAutospacing="0" w:afterAutospacing="0"/>
              <w:ind w:left="0" w:right="0"/>
              <w:rPr>
                <w:rFonts w:hint="eastAsia"/>
              </w:rPr>
            </w:pPr>
          </w:p>
          <w:p w14:paraId="3E42D2AF">
            <w:pPr>
              <w:keepNext w:val="0"/>
              <w:keepLines w:val="0"/>
              <w:suppressLineNumbers w:val="0"/>
              <w:spacing w:before="0" w:beforeAutospacing="0" w:after="0" w:afterAutospacing="0"/>
              <w:ind w:left="0" w:right="0"/>
              <w:rPr>
                <w:rFonts w:hint="eastAsia"/>
              </w:rPr>
            </w:pPr>
          </w:p>
        </w:tc>
      </w:tr>
      <w:tr w14:paraId="5D6DE9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665" w:hRule="atLeast"/>
        </w:trPr>
        <w:tc>
          <w:tcPr>
            <w:tcW w:w="481" w:type="dxa"/>
            <w:vAlign w:val="center"/>
          </w:tcPr>
          <w:p w14:paraId="1A2192C8">
            <w:pPr>
              <w:keepNext w:val="0"/>
              <w:keepLines w:val="0"/>
              <w:suppressLineNumbers w:val="0"/>
              <w:spacing w:before="0" w:beforeAutospacing="0" w:after="0" w:afterAutospacing="0"/>
              <w:ind w:left="0" w:right="0"/>
              <w:jc w:val="center"/>
              <w:rPr>
                <w:rFonts w:hint="default" w:ascii="Times New Roman" w:hAnsi="Times New Roman" w:eastAsia="宋体" w:cs="Times New Roman"/>
                <w:b/>
                <w:bCs/>
                <w:color w:val="auto"/>
                <w:sz w:val="24"/>
              </w:rPr>
            </w:pPr>
            <w:r>
              <w:rPr>
                <w:rFonts w:hint="eastAsia" w:ascii="Times New Roman" w:hAnsi="Times New Roman" w:eastAsia="宋体" w:cs="Times New Roman"/>
                <w:b/>
                <w:bCs/>
                <w:color w:val="auto"/>
                <w:sz w:val="24"/>
              </w:rPr>
              <w:t>环境保护目标</w:t>
            </w:r>
          </w:p>
        </w:tc>
        <w:tc>
          <w:tcPr>
            <w:tcW w:w="8401" w:type="dxa"/>
          </w:tcPr>
          <w:p w14:paraId="1508C4BF">
            <w:pPr>
              <w:keepNext w:val="0"/>
              <w:keepLines w:val="0"/>
              <w:suppressLineNumbers w:val="0"/>
              <w:spacing w:before="0" w:beforeAutospacing="0" w:after="0" w:afterAutospacing="0" w:line="360" w:lineRule="auto"/>
              <w:ind w:left="0" w:right="0"/>
              <w:rPr>
                <w:rFonts w:hint="default" w:ascii="Times New Roman" w:hAnsi="Times New Roman" w:eastAsia="宋体" w:cs="Times New Roman"/>
                <w:b/>
                <w:bCs/>
                <w:color w:val="auto"/>
                <w:sz w:val="24"/>
              </w:rPr>
            </w:pPr>
            <w:r>
              <w:rPr>
                <w:rFonts w:hint="eastAsia" w:ascii="Times New Roman" w:hAnsi="Times New Roman" w:eastAsia="宋体" w:cs="Times New Roman"/>
                <w:b/>
                <w:bCs/>
                <w:color w:val="auto"/>
                <w:sz w:val="24"/>
              </w:rPr>
              <w:t>3.2主要环境保护目标（列出名单及保护级别）</w:t>
            </w:r>
          </w:p>
          <w:p w14:paraId="0C708ECF">
            <w:pPr>
              <w:keepNext w:val="0"/>
              <w:keepLines w:val="0"/>
              <w:suppressLineNumbers w:val="0"/>
              <w:spacing w:before="0" w:beforeAutospacing="0" w:after="0" w:afterAutospacing="0" w:line="360" w:lineRule="auto"/>
              <w:ind w:left="0" w:right="0" w:firstLine="480" w:firstLineChars="200"/>
              <w:rPr>
                <w:rFonts w:hint="default" w:ascii="Times New Roman" w:hAnsi="Times New Roman" w:eastAsia="宋体" w:cs="Times New Roman"/>
                <w:color w:val="auto"/>
                <w:sz w:val="24"/>
              </w:rPr>
            </w:pPr>
            <w:r>
              <w:rPr>
                <w:rFonts w:hint="eastAsia" w:ascii="Times New Roman" w:hAnsi="Times New Roman" w:eastAsia="宋体" w:cs="Times New Roman"/>
                <w:color w:val="auto"/>
                <w:sz w:val="24"/>
              </w:rPr>
              <w:t>根据本项目特性和所在地环境特征，确定主要环境保护目标，具体见下表。</w:t>
            </w:r>
          </w:p>
          <w:p w14:paraId="5523503F">
            <w:pPr>
              <w:keepNext w:val="0"/>
              <w:keepLines w:val="0"/>
              <w:suppressLineNumbers w:val="0"/>
              <w:spacing w:before="0" w:beforeAutospacing="0" w:after="0" w:afterAutospacing="0"/>
              <w:ind w:left="0" w:right="0"/>
              <w:jc w:val="center"/>
              <w:rPr>
                <w:rFonts w:hint="default" w:ascii="Times New Roman" w:hAnsi="Times New Roman" w:eastAsia="宋体" w:cs="Times New Roman"/>
                <w:b/>
                <w:bCs/>
                <w:color w:val="auto"/>
              </w:rPr>
            </w:pPr>
            <w:r>
              <w:rPr>
                <w:rFonts w:hint="eastAsia" w:ascii="Times New Roman" w:hAnsi="Times New Roman" w:eastAsia="宋体" w:cs="Times New Roman"/>
                <w:b/>
                <w:bCs/>
                <w:color w:val="auto"/>
              </w:rPr>
              <w:t>表3-</w:t>
            </w:r>
            <w:r>
              <w:rPr>
                <w:rFonts w:hint="eastAsia" w:ascii="Times New Roman" w:hAnsi="Times New Roman" w:eastAsia="宋体" w:cs="Times New Roman"/>
                <w:b/>
                <w:bCs/>
                <w:color w:val="auto"/>
                <w:lang w:val="en-US" w:eastAsia="zh-CN"/>
              </w:rPr>
              <w:t>4</w:t>
            </w:r>
            <w:r>
              <w:rPr>
                <w:rFonts w:hint="eastAsia" w:ascii="Times New Roman" w:hAnsi="Times New Roman" w:eastAsia="宋体" w:cs="Times New Roman"/>
                <w:b/>
                <w:bCs/>
                <w:color w:val="auto"/>
              </w:rPr>
              <w:t xml:space="preserve">  主要环境保护目标及保护级别</w:t>
            </w:r>
          </w:p>
          <w:tbl>
            <w:tblPr>
              <w:tblStyle w:val="22"/>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10"/>
              <w:gridCol w:w="1013"/>
              <w:gridCol w:w="675"/>
              <w:gridCol w:w="675"/>
              <w:gridCol w:w="676"/>
              <w:gridCol w:w="738"/>
              <w:gridCol w:w="851"/>
              <w:gridCol w:w="858"/>
              <w:gridCol w:w="1879"/>
            </w:tblGrid>
            <w:tr w14:paraId="6D0E60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7" w:hRule="atLeast"/>
                <w:jc w:val="center"/>
              </w:trPr>
              <w:tc>
                <w:tcPr>
                  <w:tcW w:w="495" w:type="pct"/>
                  <w:vMerge w:val="restart"/>
                  <w:vAlign w:val="center"/>
                </w:tcPr>
                <w:p w14:paraId="46CA71CE">
                  <w:pPr>
                    <w:keepNext w:val="0"/>
                    <w:keepLines w:val="0"/>
                    <w:suppressLineNumbers w:val="0"/>
                    <w:spacing w:before="0" w:beforeAutospacing="0" w:after="0" w:afterAutospacing="0"/>
                    <w:ind w:left="0" w:right="0"/>
                    <w:jc w:val="center"/>
                    <w:rPr>
                      <w:rFonts w:hint="default" w:ascii="Times New Roman" w:hAnsi="Times New Roman" w:eastAsia="宋体" w:cs="Times New Roman"/>
                      <w:b/>
                      <w:bCs/>
                      <w:color w:val="auto"/>
                      <w:szCs w:val="21"/>
                    </w:rPr>
                  </w:pPr>
                  <w:r>
                    <w:rPr>
                      <w:rFonts w:hint="default" w:ascii="Times New Roman" w:hAnsi="Times New Roman" w:eastAsia="宋体" w:cs="Times New Roman"/>
                      <w:b/>
                      <w:bCs/>
                      <w:color w:val="auto"/>
                      <w:szCs w:val="21"/>
                    </w:rPr>
                    <w:t>环境</w:t>
                  </w:r>
                </w:p>
                <w:p w14:paraId="5F7CBB68">
                  <w:pPr>
                    <w:keepNext w:val="0"/>
                    <w:keepLines w:val="0"/>
                    <w:suppressLineNumbers w:val="0"/>
                    <w:spacing w:before="0" w:beforeAutospacing="0" w:after="0" w:afterAutospacing="0"/>
                    <w:ind w:left="0" w:right="0"/>
                    <w:jc w:val="center"/>
                    <w:rPr>
                      <w:rFonts w:hint="default" w:ascii="Times New Roman" w:hAnsi="Times New Roman" w:eastAsia="宋体" w:cs="Times New Roman"/>
                      <w:b/>
                      <w:bCs/>
                      <w:color w:val="auto"/>
                      <w:szCs w:val="21"/>
                    </w:rPr>
                  </w:pPr>
                  <w:r>
                    <w:rPr>
                      <w:rFonts w:hint="default" w:ascii="Times New Roman" w:hAnsi="Times New Roman" w:eastAsia="宋体" w:cs="Times New Roman"/>
                      <w:b/>
                      <w:bCs/>
                      <w:color w:val="auto"/>
                      <w:szCs w:val="21"/>
                    </w:rPr>
                    <w:t>要素</w:t>
                  </w:r>
                </w:p>
              </w:tc>
              <w:tc>
                <w:tcPr>
                  <w:tcW w:w="619" w:type="pct"/>
                  <w:vMerge w:val="restart"/>
                  <w:vAlign w:val="center"/>
                </w:tcPr>
                <w:p w14:paraId="4F2E813D">
                  <w:pPr>
                    <w:keepNext w:val="0"/>
                    <w:keepLines w:val="0"/>
                    <w:suppressLineNumbers w:val="0"/>
                    <w:spacing w:before="0" w:beforeAutospacing="0" w:after="0" w:afterAutospacing="0"/>
                    <w:ind w:left="0" w:right="0"/>
                    <w:jc w:val="center"/>
                    <w:rPr>
                      <w:rFonts w:hint="default" w:ascii="Times New Roman" w:hAnsi="Times New Roman" w:eastAsia="宋体" w:cs="Times New Roman"/>
                      <w:b/>
                      <w:bCs/>
                      <w:color w:val="auto"/>
                      <w:szCs w:val="21"/>
                    </w:rPr>
                  </w:pPr>
                  <w:r>
                    <w:rPr>
                      <w:rFonts w:hint="default" w:ascii="Times New Roman" w:hAnsi="Times New Roman" w:eastAsia="宋体" w:cs="Times New Roman"/>
                      <w:b/>
                      <w:bCs/>
                      <w:color w:val="auto"/>
                      <w:szCs w:val="21"/>
                    </w:rPr>
                    <w:t>环境保护目标名称</w:t>
                  </w:r>
                </w:p>
              </w:tc>
              <w:tc>
                <w:tcPr>
                  <w:tcW w:w="825" w:type="pct"/>
                  <w:gridSpan w:val="2"/>
                  <w:shd w:val="clear" w:color="auto" w:fill="auto"/>
                  <w:vAlign w:val="center"/>
                </w:tcPr>
                <w:p w14:paraId="1D3655AD">
                  <w:pPr>
                    <w:keepNext w:val="0"/>
                    <w:keepLines w:val="0"/>
                    <w:suppressLineNumbers w:val="0"/>
                    <w:spacing w:before="0" w:beforeAutospacing="0" w:after="0" w:afterAutospacing="0"/>
                    <w:ind w:left="0" w:right="0"/>
                    <w:jc w:val="center"/>
                    <w:rPr>
                      <w:rFonts w:hint="eastAsia" w:ascii="Times New Roman" w:hAnsi="Times New Roman" w:eastAsia="宋体" w:cs="Times New Roman"/>
                      <w:b/>
                      <w:bCs/>
                      <w:color w:val="0000FF"/>
                      <w:szCs w:val="21"/>
                      <w:lang w:eastAsia="zh-CN"/>
                    </w:rPr>
                  </w:pPr>
                  <w:r>
                    <w:rPr>
                      <w:rFonts w:hint="default" w:ascii="Times New Roman" w:hAnsi="Times New Roman" w:eastAsia="宋体" w:cs="Times New Roman"/>
                      <w:b/>
                      <w:color w:val="0000FF"/>
                      <w:sz w:val="21"/>
                      <w:szCs w:val="21"/>
                      <w:highlight w:val="none"/>
                    </w:rPr>
                    <w:t>坐标</w:t>
                  </w:r>
                </w:p>
              </w:tc>
              <w:tc>
                <w:tcPr>
                  <w:tcW w:w="413" w:type="pct"/>
                  <w:vMerge w:val="restart"/>
                  <w:vAlign w:val="center"/>
                </w:tcPr>
                <w:p w14:paraId="4620CFAF">
                  <w:pPr>
                    <w:keepNext w:val="0"/>
                    <w:keepLines w:val="0"/>
                    <w:suppressLineNumbers w:val="0"/>
                    <w:spacing w:before="0" w:beforeAutospacing="0" w:after="0" w:afterAutospacing="0"/>
                    <w:ind w:left="0" w:right="0"/>
                    <w:jc w:val="center"/>
                    <w:rPr>
                      <w:rFonts w:hint="default" w:ascii="Times New Roman" w:hAnsi="Times New Roman" w:eastAsia="宋体" w:cs="Times New Roman"/>
                      <w:b/>
                      <w:bCs/>
                      <w:color w:val="auto"/>
                      <w:szCs w:val="21"/>
                    </w:rPr>
                  </w:pPr>
                  <w:r>
                    <w:rPr>
                      <w:rFonts w:hint="default" w:ascii="Times New Roman" w:hAnsi="Times New Roman" w:eastAsia="宋体" w:cs="Times New Roman"/>
                      <w:b/>
                      <w:bCs/>
                      <w:color w:val="auto"/>
                      <w:szCs w:val="21"/>
                    </w:rPr>
                    <w:t>保护对象</w:t>
                  </w:r>
                </w:p>
              </w:tc>
              <w:tc>
                <w:tcPr>
                  <w:tcW w:w="451" w:type="pct"/>
                  <w:vMerge w:val="restart"/>
                  <w:vAlign w:val="center"/>
                </w:tcPr>
                <w:p w14:paraId="73CC5432">
                  <w:pPr>
                    <w:keepNext w:val="0"/>
                    <w:keepLines w:val="0"/>
                    <w:suppressLineNumbers w:val="0"/>
                    <w:spacing w:before="0" w:beforeAutospacing="0" w:after="0" w:afterAutospacing="0"/>
                    <w:ind w:left="0" w:right="0"/>
                    <w:jc w:val="center"/>
                    <w:rPr>
                      <w:rFonts w:hint="default" w:ascii="Times New Roman" w:hAnsi="Times New Roman" w:eastAsia="宋体" w:cs="Times New Roman"/>
                      <w:b/>
                      <w:bCs/>
                      <w:color w:val="auto"/>
                      <w:szCs w:val="21"/>
                    </w:rPr>
                  </w:pPr>
                  <w:r>
                    <w:rPr>
                      <w:rFonts w:hint="default" w:ascii="Times New Roman" w:hAnsi="Times New Roman" w:eastAsia="宋体" w:cs="Times New Roman"/>
                      <w:b/>
                      <w:bCs/>
                      <w:color w:val="auto"/>
                      <w:szCs w:val="21"/>
                    </w:rPr>
                    <w:t>保护</w:t>
                  </w:r>
                </w:p>
                <w:p w14:paraId="00C70A63">
                  <w:pPr>
                    <w:keepNext w:val="0"/>
                    <w:keepLines w:val="0"/>
                    <w:suppressLineNumbers w:val="0"/>
                    <w:spacing w:before="0" w:beforeAutospacing="0" w:after="0" w:afterAutospacing="0"/>
                    <w:ind w:left="0" w:right="0"/>
                    <w:jc w:val="center"/>
                    <w:rPr>
                      <w:rFonts w:hint="default" w:ascii="Times New Roman" w:hAnsi="Times New Roman" w:eastAsia="宋体" w:cs="Times New Roman"/>
                      <w:b/>
                      <w:bCs/>
                      <w:color w:val="auto"/>
                      <w:szCs w:val="21"/>
                    </w:rPr>
                  </w:pPr>
                  <w:r>
                    <w:rPr>
                      <w:rFonts w:hint="default" w:ascii="Times New Roman" w:hAnsi="Times New Roman" w:eastAsia="宋体" w:cs="Times New Roman"/>
                      <w:b/>
                      <w:bCs/>
                      <w:color w:val="auto"/>
                      <w:szCs w:val="21"/>
                    </w:rPr>
                    <w:t>内容</w:t>
                  </w:r>
                </w:p>
              </w:tc>
              <w:tc>
                <w:tcPr>
                  <w:tcW w:w="520" w:type="pct"/>
                  <w:vMerge w:val="restart"/>
                  <w:vAlign w:val="center"/>
                </w:tcPr>
                <w:p w14:paraId="6EE63421">
                  <w:pPr>
                    <w:keepNext w:val="0"/>
                    <w:keepLines w:val="0"/>
                    <w:suppressLineNumbers w:val="0"/>
                    <w:spacing w:before="0" w:beforeAutospacing="0" w:after="0" w:afterAutospacing="0"/>
                    <w:ind w:left="0" w:right="0"/>
                    <w:jc w:val="center"/>
                    <w:rPr>
                      <w:rFonts w:hint="default" w:ascii="Times New Roman" w:hAnsi="Times New Roman" w:eastAsia="宋体" w:cs="Times New Roman"/>
                      <w:b/>
                      <w:bCs/>
                      <w:color w:val="auto"/>
                      <w:szCs w:val="21"/>
                    </w:rPr>
                  </w:pPr>
                  <w:r>
                    <w:rPr>
                      <w:rFonts w:hint="default" w:ascii="Times New Roman" w:hAnsi="Times New Roman" w:eastAsia="宋体" w:cs="Times New Roman"/>
                      <w:b/>
                      <w:bCs/>
                      <w:color w:val="auto"/>
                      <w:szCs w:val="21"/>
                    </w:rPr>
                    <w:t>相对场址方位</w:t>
                  </w:r>
                </w:p>
              </w:tc>
              <w:tc>
                <w:tcPr>
                  <w:tcW w:w="524" w:type="pct"/>
                  <w:vMerge w:val="restart"/>
                  <w:vAlign w:val="center"/>
                </w:tcPr>
                <w:p w14:paraId="106AD0BA">
                  <w:pPr>
                    <w:keepNext w:val="0"/>
                    <w:keepLines w:val="0"/>
                    <w:suppressLineNumbers w:val="0"/>
                    <w:spacing w:before="0" w:beforeAutospacing="0" w:after="0" w:afterAutospacing="0"/>
                    <w:ind w:left="0" w:right="0"/>
                    <w:jc w:val="center"/>
                    <w:rPr>
                      <w:rFonts w:hint="default" w:ascii="Times New Roman" w:hAnsi="Times New Roman" w:eastAsia="宋体" w:cs="Times New Roman"/>
                      <w:b/>
                      <w:bCs/>
                      <w:color w:val="auto"/>
                      <w:szCs w:val="21"/>
                    </w:rPr>
                  </w:pPr>
                  <w:r>
                    <w:rPr>
                      <w:rFonts w:hint="default" w:ascii="Times New Roman" w:hAnsi="Times New Roman" w:eastAsia="宋体" w:cs="Times New Roman"/>
                      <w:b/>
                      <w:bCs/>
                      <w:color w:val="auto"/>
                      <w:szCs w:val="21"/>
                    </w:rPr>
                    <w:t>相对场界距离</w:t>
                  </w:r>
                </w:p>
              </w:tc>
              <w:tc>
                <w:tcPr>
                  <w:tcW w:w="1149" w:type="pct"/>
                  <w:vMerge w:val="restart"/>
                  <w:vAlign w:val="center"/>
                </w:tcPr>
                <w:p w14:paraId="6CD61C73">
                  <w:pPr>
                    <w:keepNext w:val="0"/>
                    <w:keepLines w:val="0"/>
                    <w:suppressLineNumbers w:val="0"/>
                    <w:spacing w:before="0" w:beforeAutospacing="0" w:after="0" w:afterAutospacing="0"/>
                    <w:ind w:left="0" w:right="0"/>
                    <w:jc w:val="center"/>
                    <w:rPr>
                      <w:rFonts w:hint="default" w:ascii="Times New Roman" w:hAnsi="Times New Roman" w:eastAsia="宋体" w:cs="Times New Roman"/>
                      <w:b/>
                      <w:bCs/>
                      <w:color w:val="auto"/>
                      <w:szCs w:val="21"/>
                    </w:rPr>
                  </w:pPr>
                  <w:r>
                    <w:rPr>
                      <w:rFonts w:hint="default" w:ascii="Times New Roman" w:hAnsi="Times New Roman" w:eastAsia="宋体" w:cs="Times New Roman"/>
                      <w:b/>
                      <w:bCs/>
                      <w:color w:val="auto"/>
                      <w:szCs w:val="21"/>
                    </w:rPr>
                    <w:t>环境功能区</w:t>
                  </w:r>
                </w:p>
              </w:tc>
            </w:tr>
            <w:tr w14:paraId="713564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7" w:hRule="atLeast"/>
                <w:jc w:val="center"/>
              </w:trPr>
              <w:tc>
                <w:tcPr>
                  <w:tcW w:w="495" w:type="pct"/>
                  <w:vMerge w:val="continue"/>
                  <w:vAlign w:val="center"/>
                </w:tcPr>
                <w:p w14:paraId="0ACD6D53">
                  <w:pPr>
                    <w:keepNext w:val="0"/>
                    <w:keepLines w:val="0"/>
                    <w:suppressLineNumbers w:val="0"/>
                    <w:spacing w:before="0" w:beforeAutospacing="0" w:after="0" w:afterAutospacing="0"/>
                    <w:ind w:left="0" w:right="0"/>
                    <w:jc w:val="center"/>
                    <w:rPr>
                      <w:rFonts w:hint="default"/>
                    </w:rPr>
                  </w:pPr>
                </w:p>
              </w:tc>
              <w:tc>
                <w:tcPr>
                  <w:tcW w:w="619" w:type="pct"/>
                  <w:vMerge w:val="continue"/>
                  <w:vAlign w:val="center"/>
                </w:tcPr>
                <w:p w14:paraId="7A318CA2">
                  <w:pPr>
                    <w:keepNext w:val="0"/>
                    <w:keepLines w:val="0"/>
                    <w:suppressLineNumbers w:val="0"/>
                    <w:spacing w:before="0" w:beforeAutospacing="0" w:after="0" w:afterAutospacing="0"/>
                    <w:ind w:left="0" w:right="0"/>
                    <w:jc w:val="center"/>
                    <w:rPr>
                      <w:rFonts w:hint="default"/>
                    </w:rPr>
                  </w:pPr>
                </w:p>
              </w:tc>
              <w:tc>
                <w:tcPr>
                  <w:tcW w:w="412" w:type="pct"/>
                  <w:shd w:val="clear" w:color="auto" w:fill="auto"/>
                  <w:vAlign w:val="center"/>
                </w:tcPr>
                <w:p w14:paraId="683A8688">
                  <w:pPr>
                    <w:keepNext w:val="0"/>
                    <w:keepLines w:val="0"/>
                    <w:suppressLineNumbers w:val="0"/>
                    <w:spacing w:before="0" w:beforeAutospacing="0" w:after="0" w:afterAutospacing="0" w:line="240" w:lineRule="auto"/>
                    <w:ind w:left="0" w:leftChars="0" w:right="0" w:rightChars="0"/>
                    <w:jc w:val="center"/>
                    <w:rPr>
                      <w:rFonts w:hint="default" w:ascii="Times New Roman" w:hAnsi="Times New Roman" w:eastAsia="宋体" w:cs="Times New Roman"/>
                      <w:b/>
                      <w:color w:val="0000E1"/>
                      <w:kern w:val="2"/>
                      <w:sz w:val="21"/>
                      <w:szCs w:val="21"/>
                      <w:highlight w:val="none"/>
                      <w:lang w:val="en-US" w:eastAsia="zh-CN" w:bidi="ar-SA"/>
                    </w:rPr>
                  </w:pPr>
                  <w:r>
                    <w:rPr>
                      <w:rFonts w:hint="default" w:ascii="Times New Roman" w:hAnsi="Times New Roman" w:eastAsia="宋体" w:cs="Times New Roman"/>
                      <w:b/>
                      <w:color w:val="0000E1"/>
                      <w:sz w:val="21"/>
                      <w:szCs w:val="21"/>
                      <w:highlight w:val="none"/>
                    </w:rPr>
                    <w:t>X</w:t>
                  </w:r>
                </w:p>
              </w:tc>
              <w:tc>
                <w:tcPr>
                  <w:tcW w:w="412" w:type="pct"/>
                  <w:shd w:val="clear" w:color="auto" w:fill="auto"/>
                  <w:vAlign w:val="center"/>
                </w:tcPr>
                <w:p w14:paraId="53602495">
                  <w:pPr>
                    <w:keepNext w:val="0"/>
                    <w:keepLines w:val="0"/>
                    <w:suppressLineNumbers w:val="0"/>
                    <w:spacing w:before="0" w:beforeAutospacing="0" w:after="0" w:afterAutospacing="0" w:line="240" w:lineRule="auto"/>
                    <w:ind w:left="0" w:leftChars="0" w:right="0" w:rightChars="0"/>
                    <w:jc w:val="center"/>
                    <w:rPr>
                      <w:rFonts w:hint="default" w:ascii="Times New Roman" w:hAnsi="Times New Roman" w:eastAsia="宋体" w:cs="Times New Roman"/>
                      <w:b/>
                      <w:color w:val="0000E1"/>
                      <w:kern w:val="2"/>
                      <w:sz w:val="21"/>
                      <w:szCs w:val="21"/>
                      <w:highlight w:val="none"/>
                      <w:lang w:val="en-US" w:eastAsia="zh-CN" w:bidi="ar-SA"/>
                    </w:rPr>
                  </w:pPr>
                  <w:r>
                    <w:rPr>
                      <w:rFonts w:hint="default" w:ascii="Times New Roman" w:hAnsi="Times New Roman" w:eastAsia="宋体" w:cs="Times New Roman"/>
                      <w:b/>
                      <w:color w:val="0000E1"/>
                      <w:sz w:val="21"/>
                      <w:szCs w:val="21"/>
                      <w:highlight w:val="none"/>
                    </w:rPr>
                    <w:t>Y</w:t>
                  </w:r>
                </w:p>
              </w:tc>
              <w:tc>
                <w:tcPr>
                  <w:tcW w:w="413" w:type="pct"/>
                  <w:vMerge w:val="continue"/>
                  <w:vAlign w:val="center"/>
                </w:tcPr>
                <w:p w14:paraId="7DC1A524">
                  <w:pPr>
                    <w:keepNext w:val="0"/>
                    <w:keepLines w:val="0"/>
                    <w:suppressLineNumbers w:val="0"/>
                    <w:spacing w:before="0" w:beforeAutospacing="0" w:after="0" w:afterAutospacing="0"/>
                    <w:ind w:left="0" w:right="0"/>
                    <w:jc w:val="center"/>
                    <w:rPr>
                      <w:rFonts w:hint="default" w:ascii="Times New Roman" w:hAnsi="Times New Roman" w:eastAsia="宋体" w:cs="Times New Roman"/>
                      <w:b/>
                      <w:bCs/>
                      <w:color w:val="auto"/>
                      <w:szCs w:val="21"/>
                    </w:rPr>
                  </w:pPr>
                </w:p>
              </w:tc>
              <w:tc>
                <w:tcPr>
                  <w:tcW w:w="451" w:type="pct"/>
                  <w:vMerge w:val="continue"/>
                  <w:vAlign w:val="center"/>
                </w:tcPr>
                <w:p w14:paraId="1A9C8896">
                  <w:pPr>
                    <w:keepNext w:val="0"/>
                    <w:keepLines w:val="0"/>
                    <w:suppressLineNumbers w:val="0"/>
                    <w:spacing w:before="0" w:beforeAutospacing="0" w:after="0" w:afterAutospacing="0"/>
                    <w:ind w:left="0" w:right="0"/>
                    <w:jc w:val="center"/>
                    <w:rPr>
                      <w:rFonts w:hint="default" w:ascii="Times New Roman" w:hAnsi="Times New Roman" w:eastAsia="宋体" w:cs="Times New Roman"/>
                      <w:b/>
                      <w:bCs/>
                      <w:color w:val="auto"/>
                      <w:szCs w:val="21"/>
                    </w:rPr>
                  </w:pPr>
                </w:p>
              </w:tc>
              <w:tc>
                <w:tcPr>
                  <w:tcW w:w="520" w:type="pct"/>
                  <w:vMerge w:val="continue"/>
                  <w:vAlign w:val="center"/>
                </w:tcPr>
                <w:p w14:paraId="44BE45F6">
                  <w:pPr>
                    <w:keepNext w:val="0"/>
                    <w:keepLines w:val="0"/>
                    <w:suppressLineNumbers w:val="0"/>
                    <w:spacing w:before="0" w:beforeAutospacing="0" w:after="0" w:afterAutospacing="0"/>
                    <w:ind w:left="0" w:right="0"/>
                    <w:jc w:val="center"/>
                    <w:rPr>
                      <w:rFonts w:hint="default" w:ascii="Times New Roman" w:hAnsi="Times New Roman" w:eastAsia="宋体" w:cs="Times New Roman"/>
                      <w:b/>
                      <w:bCs/>
                      <w:color w:val="auto"/>
                      <w:szCs w:val="21"/>
                    </w:rPr>
                  </w:pPr>
                </w:p>
              </w:tc>
              <w:tc>
                <w:tcPr>
                  <w:tcW w:w="524" w:type="pct"/>
                  <w:vMerge w:val="continue"/>
                  <w:vAlign w:val="center"/>
                </w:tcPr>
                <w:p w14:paraId="2A56311D">
                  <w:pPr>
                    <w:keepNext w:val="0"/>
                    <w:keepLines w:val="0"/>
                    <w:suppressLineNumbers w:val="0"/>
                    <w:spacing w:before="0" w:beforeAutospacing="0" w:after="0" w:afterAutospacing="0"/>
                    <w:ind w:left="0" w:right="0"/>
                    <w:jc w:val="center"/>
                    <w:rPr>
                      <w:rFonts w:hint="default" w:ascii="Times New Roman" w:hAnsi="Times New Roman" w:eastAsia="宋体" w:cs="Times New Roman"/>
                      <w:b/>
                      <w:bCs/>
                      <w:color w:val="auto"/>
                      <w:szCs w:val="21"/>
                    </w:rPr>
                  </w:pPr>
                </w:p>
              </w:tc>
              <w:tc>
                <w:tcPr>
                  <w:tcW w:w="1149" w:type="pct"/>
                  <w:vMerge w:val="continue"/>
                  <w:vAlign w:val="center"/>
                </w:tcPr>
                <w:p w14:paraId="0B9AB7BA">
                  <w:pPr>
                    <w:keepNext w:val="0"/>
                    <w:keepLines w:val="0"/>
                    <w:suppressLineNumbers w:val="0"/>
                    <w:spacing w:before="0" w:beforeAutospacing="0" w:after="0" w:afterAutospacing="0"/>
                    <w:ind w:left="0" w:right="0"/>
                    <w:jc w:val="center"/>
                    <w:rPr>
                      <w:rFonts w:hint="default" w:ascii="Times New Roman" w:hAnsi="Times New Roman" w:eastAsia="宋体" w:cs="Times New Roman"/>
                      <w:b/>
                      <w:bCs/>
                      <w:color w:val="auto"/>
                      <w:szCs w:val="21"/>
                    </w:rPr>
                  </w:pPr>
                </w:p>
              </w:tc>
            </w:tr>
            <w:tr w14:paraId="4FDE25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495" w:type="pct"/>
                  <w:vAlign w:val="center"/>
                </w:tcPr>
                <w:p w14:paraId="5B958711">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rPr>
                    <w:t>环境</w:t>
                  </w:r>
                </w:p>
                <w:p w14:paraId="126B78CF">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rPr>
                    <w:t>空气</w:t>
                  </w:r>
                </w:p>
              </w:tc>
              <w:tc>
                <w:tcPr>
                  <w:tcW w:w="619" w:type="pct"/>
                  <w:vAlign w:val="center"/>
                </w:tcPr>
                <w:p w14:paraId="40066AAD">
                  <w:pPr>
                    <w:keepNext w:val="0"/>
                    <w:keepLines w:val="0"/>
                    <w:suppressLineNumbers w:val="0"/>
                    <w:spacing w:before="0" w:beforeAutospacing="0" w:after="0" w:afterAutospacing="0"/>
                    <w:ind w:left="0" w:right="0"/>
                    <w:jc w:val="center"/>
                    <w:rPr>
                      <w:rFonts w:hint="eastAsia" w:ascii="Times New Roman" w:hAnsi="Times New Roman" w:eastAsia="宋体" w:cs="Times New Roman"/>
                      <w:color w:val="auto"/>
                      <w:szCs w:val="21"/>
                      <w:lang w:val="en-US" w:eastAsia="zh-CN"/>
                    </w:rPr>
                  </w:pPr>
                  <w:r>
                    <w:rPr>
                      <w:rFonts w:hint="eastAsia" w:ascii="Times New Roman" w:hAnsi="Times New Roman" w:eastAsia="宋体" w:cs="Times New Roman"/>
                      <w:color w:val="auto"/>
                      <w:szCs w:val="21"/>
                      <w:lang w:val="en-US" w:eastAsia="zh-CN"/>
                    </w:rPr>
                    <w:t>山岗</w:t>
                  </w:r>
                  <w:r>
                    <w:rPr>
                      <w:rFonts w:hint="eastAsia" w:ascii="Times New Roman" w:hAnsi="Times New Roman" w:eastAsia="宋体" w:cs="Times New Roman"/>
                      <w:color w:val="FF0000"/>
                      <w:szCs w:val="21"/>
                      <w:lang w:val="en-US" w:eastAsia="zh-CN"/>
                    </w:rPr>
                    <w:t>自然村</w:t>
                  </w:r>
                </w:p>
              </w:tc>
              <w:tc>
                <w:tcPr>
                  <w:tcW w:w="412" w:type="pct"/>
                  <w:vAlign w:val="center"/>
                </w:tcPr>
                <w:p w14:paraId="6A355EF9">
                  <w:pPr>
                    <w:keepNext w:val="0"/>
                    <w:keepLines w:val="0"/>
                    <w:suppressLineNumbers w:val="0"/>
                    <w:spacing w:before="0" w:beforeAutospacing="0" w:after="0" w:afterAutospacing="0"/>
                    <w:ind w:left="0" w:right="0"/>
                    <w:jc w:val="center"/>
                    <w:rPr>
                      <w:rFonts w:hint="eastAsia" w:ascii="Times New Roman" w:hAnsi="Times New Roman" w:eastAsia="宋体" w:cs="Times New Roman"/>
                      <w:color w:val="0000E1"/>
                      <w:szCs w:val="21"/>
                      <w:lang w:val="en-US" w:eastAsia="zh-CN"/>
                    </w:rPr>
                  </w:pPr>
                  <w:r>
                    <w:rPr>
                      <w:rFonts w:hint="eastAsia" w:ascii="Times New Roman" w:hAnsi="Times New Roman" w:eastAsia="宋体" w:cs="Times New Roman"/>
                      <w:color w:val="0000E1"/>
                      <w:szCs w:val="21"/>
                      <w:lang w:val="en-US" w:eastAsia="zh-CN"/>
                    </w:rPr>
                    <w:t>119.65422392</w:t>
                  </w:r>
                </w:p>
              </w:tc>
              <w:tc>
                <w:tcPr>
                  <w:tcW w:w="412" w:type="pct"/>
                  <w:vAlign w:val="center"/>
                </w:tcPr>
                <w:p w14:paraId="049DF71A">
                  <w:pPr>
                    <w:keepNext w:val="0"/>
                    <w:keepLines w:val="0"/>
                    <w:suppressLineNumbers w:val="0"/>
                    <w:spacing w:before="0" w:beforeAutospacing="0" w:after="0" w:afterAutospacing="0"/>
                    <w:ind w:left="0" w:right="0"/>
                    <w:jc w:val="center"/>
                    <w:rPr>
                      <w:rFonts w:hint="eastAsia" w:ascii="Times New Roman" w:hAnsi="Times New Roman" w:eastAsia="宋体" w:cs="Times New Roman"/>
                      <w:color w:val="0000E1"/>
                      <w:szCs w:val="21"/>
                      <w:lang w:val="en-US" w:eastAsia="zh-CN"/>
                    </w:rPr>
                  </w:pPr>
                  <w:r>
                    <w:rPr>
                      <w:rFonts w:hint="eastAsia" w:ascii="Times New Roman" w:hAnsi="Times New Roman" w:eastAsia="宋体" w:cs="Times New Roman"/>
                      <w:color w:val="0000E1"/>
                      <w:szCs w:val="21"/>
                      <w:lang w:val="en-US" w:eastAsia="zh-CN"/>
                    </w:rPr>
                    <w:t>30.78750677</w:t>
                  </w:r>
                </w:p>
              </w:tc>
              <w:tc>
                <w:tcPr>
                  <w:tcW w:w="413" w:type="pct"/>
                  <w:vAlign w:val="center"/>
                </w:tcPr>
                <w:p w14:paraId="115FE1EE">
                  <w:pPr>
                    <w:keepNext w:val="0"/>
                    <w:keepLines w:val="0"/>
                    <w:suppressLineNumbers w:val="0"/>
                    <w:spacing w:before="0" w:beforeAutospacing="0" w:after="0" w:afterAutospacing="0"/>
                    <w:ind w:left="0" w:right="0"/>
                    <w:jc w:val="center"/>
                    <w:rPr>
                      <w:rFonts w:hint="eastAsia" w:ascii="Times New Roman" w:hAnsi="Times New Roman" w:eastAsia="宋体" w:cs="Times New Roman"/>
                      <w:color w:val="auto"/>
                      <w:szCs w:val="21"/>
                      <w:lang w:val="en-US" w:eastAsia="zh-CN"/>
                    </w:rPr>
                  </w:pPr>
                  <w:r>
                    <w:rPr>
                      <w:rFonts w:hint="eastAsia" w:ascii="Times New Roman" w:hAnsi="Times New Roman" w:eastAsia="宋体" w:cs="Times New Roman"/>
                      <w:color w:val="auto"/>
                      <w:szCs w:val="21"/>
                      <w:lang w:val="en-US" w:eastAsia="zh-CN"/>
                    </w:rPr>
                    <w:t>村民</w:t>
                  </w:r>
                </w:p>
              </w:tc>
              <w:tc>
                <w:tcPr>
                  <w:tcW w:w="451" w:type="pct"/>
                  <w:vAlign w:val="center"/>
                </w:tcPr>
                <w:p w14:paraId="2321351A">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lang w:val="en-US" w:eastAsia="zh-CN"/>
                    </w:rPr>
                  </w:pPr>
                  <w:r>
                    <w:rPr>
                      <w:rFonts w:hint="eastAsia" w:ascii="Times New Roman" w:hAnsi="Times New Roman" w:eastAsia="宋体" w:cs="Times New Roman"/>
                      <w:color w:val="auto"/>
                      <w:szCs w:val="21"/>
                      <w:lang w:val="en-US" w:eastAsia="zh-CN"/>
                    </w:rPr>
                    <w:t>50人</w:t>
                  </w:r>
                </w:p>
              </w:tc>
              <w:tc>
                <w:tcPr>
                  <w:tcW w:w="520" w:type="pct"/>
                  <w:vAlign w:val="center"/>
                </w:tcPr>
                <w:p w14:paraId="296B15F9">
                  <w:pPr>
                    <w:keepNext w:val="0"/>
                    <w:keepLines w:val="0"/>
                    <w:suppressLineNumbers w:val="0"/>
                    <w:spacing w:before="0" w:beforeAutospacing="0" w:after="0" w:afterAutospacing="0"/>
                    <w:ind w:left="0" w:right="0"/>
                    <w:jc w:val="center"/>
                    <w:rPr>
                      <w:rFonts w:hint="eastAsia" w:ascii="Times New Roman" w:hAnsi="Times New Roman" w:eastAsia="宋体" w:cs="Times New Roman"/>
                      <w:color w:val="auto"/>
                      <w:szCs w:val="21"/>
                      <w:lang w:val="en-US" w:eastAsia="zh-CN"/>
                    </w:rPr>
                  </w:pPr>
                  <w:r>
                    <w:rPr>
                      <w:rFonts w:hint="eastAsia" w:ascii="Times New Roman" w:hAnsi="Times New Roman" w:eastAsia="宋体" w:cs="Times New Roman"/>
                      <w:color w:val="auto"/>
                      <w:szCs w:val="21"/>
                      <w:lang w:val="en-US" w:eastAsia="zh-CN"/>
                    </w:rPr>
                    <w:t>东北</w:t>
                  </w:r>
                </w:p>
              </w:tc>
              <w:tc>
                <w:tcPr>
                  <w:tcW w:w="524" w:type="pct"/>
                  <w:vAlign w:val="center"/>
                </w:tcPr>
                <w:p w14:paraId="72073FB7">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lang w:val="en-US" w:eastAsia="zh-CN"/>
                    </w:rPr>
                  </w:pPr>
                  <w:r>
                    <w:rPr>
                      <w:rFonts w:hint="eastAsia" w:ascii="Times New Roman" w:hAnsi="Times New Roman" w:eastAsia="宋体" w:cs="Times New Roman"/>
                      <w:color w:val="auto"/>
                      <w:szCs w:val="21"/>
                      <w:lang w:val="en-US" w:eastAsia="zh-CN"/>
                    </w:rPr>
                    <w:t>438m</w:t>
                  </w:r>
                </w:p>
              </w:tc>
              <w:tc>
                <w:tcPr>
                  <w:tcW w:w="1149" w:type="pct"/>
                  <w:vAlign w:val="center"/>
                </w:tcPr>
                <w:p w14:paraId="513741A5">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rPr>
                    <w:t>《环境空气质量标准》</w:t>
                  </w:r>
                  <w:r>
                    <w:rPr>
                      <w:rFonts w:hint="default" w:ascii="Times New Roman" w:hAnsi="Times New Roman" w:eastAsia="宋体" w:cs="Times New Roman"/>
                      <w:color w:val="0000FF"/>
                      <w:szCs w:val="21"/>
                    </w:rPr>
                    <w:t>（GB3095-</w:t>
                  </w:r>
                  <w:r>
                    <w:rPr>
                      <w:rFonts w:hint="eastAsia" w:ascii="Times New Roman" w:hAnsi="Times New Roman" w:eastAsia="宋体" w:cs="Times New Roman"/>
                      <w:color w:val="0000FF"/>
                      <w:szCs w:val="21"/>
                      <w:lang w:val="en-US" w:eastAsia="zh-CN"/>
                    </w:rPr>
                    <w:t>2026</w:t>
                  </w:r>
                  <w:r>
                    <w:rPr>
                      <w:rFonts w:hint="default" w:ascii="Times New Roman" w:hAnsi="Times New Roman" w:eastAsia="宋体" w:cs="Times New Roman"/>
                      <w:color w:val="0000FF"/>
                      <w:szCs w:val="21"/>
                    </w:rPr>
                    <w:t>）</w:t>
                  </w:r>
                  <w:r>
                    <w:rPr>
                      <w:rFonts w:hint="default" w:ascii="Times New Roman" w:hAnsi="Times New Roman" w:eastAsia="宋体" w:cs="Times New Roman"/>
                      <w:color w:val="auto"/>
                      <w:szCs w:val="21"/>
                    </w:rPr>
                    <w:t>中的</w:t>
                  </w:r>
                  <w:r>
                    <w:rPr>
                      <w:rFonts w:hint="default" w:ascii="Times New Roman" w:hAnsi="Times New Roman" w:eastAsia="宋体" w:cs="Times New Roman"/>
                      <w:color w:val="00B050"/>
                      <w:szCs w:val="21"/>
                      <w:lang w:val="en-US" w:eastAsia="zh-CN"/>
                    </w:rPr>
                    <w:t>过渡阶段</w:t>
                  </w:r>
                  <w:r>
                    <w:rPr>
                      <w:rFonts w:hint="default" w:ascii="Times New Roman" w:hAnsi="Times New Roman" w:eastAsia="宋体" w:cs="Times New Roman"/>
                      <w:color w:val="auto"/>
                      <w:szCs w:val="21"/>
                    </w:rPr>
                    <w:t>二级标准</w:t>
                  </w:r>
                </w:p>
              </w:tc>
            </w:tr>
            <w:tr w14:paraId="39F47C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495" w:type="pct"/>
                  <w:vAlign w:val="center"/>
                </w:tcPr>
                <w:p w14:paraId="185BAD57">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rPr>
                    <w:t>地表水环境</w:t>
                  </w:r>
                </w:p>
              </w:tc>
              <w:tc>
                <w:tcPr>
                  <w:tcW w:w="619" w:type="pct"/>
                  <w:vAlign w:val="center"/>
                </w:tcPr>
                <w:p w14:paraId="2BA661B4">
                  <w:pPr>
                    <w:keepNext w:val="0"/>
                    <w:keepLines w:val="0"/>
                    <w:suppressLineNumbers w:val="0"/>
                    <w:spacing w:before="0" w:beforeAutospacing="0" w:after="0" w:afterAutospacing="0"/>
                    <w:ind w:left="0" w:right="0"/>
                    <w:jc w:val="center"/>
                    <w:rPr>
                      <w:rFonts w:hint="eastAsia" w:ascii="Times New Roman" w:hAnsi="Times New Roman" w:eastAsia="宋体" w:cs="Times New Roman"/>
                      <w:color w:val="auto"/>
                      <w:szCs w:val="21"/>
                      <w:lang w:eastAsia="zh-CN"/>
                    </w:rPr>
                  </w:pPr>
                  <w:r>
                    <w:rPr>
                      <w:rFonts w:hint="eastAsia" w:ascii="Times New Roman" w:hAnsi="Times New Roman" w:eastAsia="宋体" w:cs="Times New Roman"/>
                      <w:color w:val="auto"/>
                      <w:szCs w:val="21"/>
                      <w:lang w:val="en-US" w:eastAsia="zh-CN"/>
                    </w:rPr>
                    <w:t>沙河</w:t>
                  </w:r>
                  <w:r>
                    <w:rPr>
                      <w:rFonts w:hint="eastAsia"/>
                      <w:color w:val="FF0000"/>
                      <w:lang w:eastAsia="zh-CN"/>
                    </w:rPr>
                    <w:t>（</w:t>
                  </w:r>
                  <w:r>
                    <w:rPr>
                      <w:rFonts w:hint="eastAsia"/>
                      <w:color w:val="FF0000"/>
                      <w:lang w:val="en-US" w:eastAsia="zh-CN"/>
                    </w:rPr>
                    <w:t>浑泥港支流</w:t>
                  </w:r>
                  <w:r>
                    <w:rPr>
                      <w:rFonts w:hint="eastAsia"/>
                      <w:color w:val="FF0000"/>
                      <w:lang w:eastAsia="zh-CN"/>
                    </w:rPr>
                    <w:t>）</w:t>
                  </w:r>
                  <w:r>
                    <w:rPr>
                      <w:rFonts w:hint="default"/>
                    </w:rPr>
                    <w:commentReference w:id="56"/>
                  </w:r>
                </w:p>
              </w:tc>
              <w:tc>
                <w:tcPr>
                  <w:tcW w:w="412" w:type="pct"/>
                  <w:vAlign w:val="center"/>
                </w:tcPr>
                <w:p w14:paraId="1DDB250F">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lang w:val="en-US" w:eastAsia="zh-CN"/>
                    </w:rPr>
                  </w:pPr>
                  <w:r>
                    <w:rPr>
                      <w:rFonts w:hint="eastAsia" w:ascii="Times New Roman" w:hAnsi="Times New Roman" w:eastAsia="宋体" w:cs="Times New Roman"/>
                      <w:color w:val="auto"/>
                      <w:szCs w:val="21"/>
                      <w:lang w:val="en-US" w:eastAsia="zh-CN"/>
                    </w:rPr>
                    <w:t>/</w:t>
                  </w:r>
                </w:p>
              </w:tc>
              <w:tc>
                <w:tcPr>
                  <w:tcW w:w="412" w:type="pct"/>
                  <w:vAlign w:val="center"/>
                </w:tcPr>
                <w:p w14:paraId="74F1C64D">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lang w:val="en-US" w:eastAsia="zh-CN"/>
                    </w:rPr>
                  </w:pPr>
                  <w:r>
                    <w:rPr>
                      <w:rFonts w:hint="eastAsia" w:ascii="Times New Roman" w:hAnsi="Times New Roman" w:eastAsia="宋体" w:cs="Times New Roman"/>
                      <w:color w:val="auto"/>
                      <w:szCs w:val="21"/>
                      <w:lang w:val="en-US" w:eastAsia="zh-CN"/>
                    </w:rPr>
                    <w:t>/</w:t>
                  </w:r>
                </w:p>
              </w:tc>
              <w:tc>
                <w:tcPr>
                  <w:tcW w:w="413" w:type="pct"/>
                  <w:vAlign w:val="center"/>
                </w:tcPr>
                <w:p w14:paraId="28FEEEBD">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rPr>
                    <w:t>水源</w:t>
                  </w:r>
                </w:p>
              </w:tc>
              <w:tc>
                <w:tcPr>
                  <w:tcW w:w="451" w:type="pct"/>
                  <w:vAlign w:val="center"/>
                </w:tcPr>
                <w:p w14:paraId="571992EA">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rPr>
                    <w:t>地表水</w:t>
                  </w:r>
                </w:p>
              </w:tc>
              <w:tc>
                <w:tcPr>
                  <w:tcW w:w="520" w:type="pct"/>
                  <w:vAlign w:val="center"/>
                </w:tcPr>
                <w:p w14:paraId="0B25F513">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rPr>
                    <w:t>南</w:t>
                  </w:r>
                </w:p>
              </w:tc>
              <w:tc>
                <w:tcPr>
                  <w:tcW w:w="524" w:type="pct"/>
                  <w:vAlign w:val="center"/>
                </w:tcPr>
                <w:p w14:paraId="4A379A1E">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r>
                    <w:rPr>
                      <w:rFonts w:hint="eastAsia" w:ascii="Times New Roman" w:hAnsi="Times New Roman" w:eastAsia="宋体" w:cs="Times New Roman"/>
                      <w:color w:val="auto"/>
                      <w:szCs w:val="21"/>
                      <w:lang w:val="en-US" w:eastAsia="zh-CN"/>
                    </w:rPr>
                    <w:t>517</w:t>
                  </w:r>
                  <w:r>
                    <w:rPr>
                      <w:rFonts w:hint="default" w:ascii="Times New Roman" w:hAnsi="Times New Roman" w:eastAsia="宋体" w:cs="Times New Roman"/>
                      <w:color w:val="auto"/>
                      <w:szCs w:val="21"/>
                    </w:rPr>
                    <w:t>m</w:t>
                  </w:r>
                </w:p>
              </w:tc>
              <w:tc>
                <w:tcPr>
                  <w:tcW w:w="1149" w:type="pct"/>
                  <w:vAlign w:val="center"/>
                </w:tcPr>
                <w:p w14:paraId="52203DED">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rPr>
                    <w:t>《地表水环境质量标准》（GB3838-2002）中的Ⅲ类标准</w:t>
                  </w:r>
                </w:p>
              </w:tc>
            </w:tr>
            <w:tr w14:paraId="094E20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495" w:type="pct"/>
                  <w:vAlign w:val="center"/>
                </w:tcPr>
                <w:p w14:paraId="735708F6">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rPr>
                    <w:t>声环境</w:t>
                  </w:r>
                </w:p>
              </w:tc>
              <w:tc>
                <w:tcPr>
                  <w:tcW w:w="3355" w:type="pct"/>
                  <w:gridSpan w:val="7"/>
                  <w:vAlign w:val="center"/>
                </w:tcPr>
                <w:p w14:paraId="64D6BA91">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rPr>
                    <w:t>厂界外50米范围内无声环境保护目标</w:t>
                  </w:r>
                </w:p>
              </w:tc>
              <w:tc>
                <w:tcPr>
                  <w:tcW w:w="1149" w:type="pct"/>
                  <w:vAlign w:val="center"/>
                </w:tcPr>
                <w:p w14:paraId="2B7381FA">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rPr>
                    <w:t>《声环境质量标准》（GB3096-2008）中的3类标准</w:t>
                  </w:r>
                </w:p>
              </w:tc>
            </w:tr>
            <w:tr w14:paraId="285790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495" w:type="pct"/>
                  <w:vAlign w:val="center"/>
                </w:tcPr>
                <w:p w14:paraId="1551D40E">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rPr>
                    <w:t>地下水环境</w:t>
                  </w:r>
                </w:p>
              </w:tc>
              <w:tc>
                <w:tcPr>
                  <w:tcW w:w="3355" w:type="pct"/>
                  <w:gridSpan w:val="7"/>
                  <w:vAlign w:val="center"/>
                </w:tcPr>
                <w:p w14:paraId="515A0AB1">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rPr>
                    <w:t>厂界外500米范围内无地下水集中式饮用水水源和热水、矿泉水、温泉等特殊地下水资源</w:t>
                  </w:r>
                </w:p>
              </w:tc>
              <w:tc>
                <w:tcPr>
                  <w:tcW w:w="1149" w:type="pct"/>
                  <w:vAlign w:val="center"/>
                </w:tcPr>
                <w:p w14:paraId="75FDE56D">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rPr>
                    <w:t>《地下水质量标准》（GB/T14848-2017）中的Ⅲ类标准</w:t>
                  </w:r>
                </w:p>
              </w:tc>
            </w:tr>
            <w:tr w14:paraId="33B8FD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495" w:type="pct"/>
                  <w:vAlign w:val="center"/>
                </w:tcPr>
                <w:p w14:paraId="423FA82F">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rPr>
                    <w:t>生态</w:t>
                  </w:r>
                </w:p>
                <w:p w14:paraId="1F23E725">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rPr>
                    <w:t>环境</w:t>
                  </w:r>
                </w:p>
              </w:tc>
              <w:tc>
                <w:tcPr>
                  <w:tcW w:w="4504" w:type="pct"/>
                  <w:gridSpan w:val="8"/>
                  <w:vAlign w:val="center"/>
                </w:tcPr>
                <w:p w14:paraId="0C8EE3EE">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rPr>
                    <w:t>不属于产业园区外新增用地项目，无生态环境保护目标</w:t>
                  </w:r>
                </w:p>
              </w:tc>
            </w:tr>
          </w:tbl>
          <w:p w14:paraId="04DA1867">
            <w:pPr>
              <w:keepNext w:val="0"/>
              <w:keepLines w:val="0"/>
              <w:suppressLineNumbers w:val="0"/>
              <w:spacing w:before="0" w:beforeAutospacing="0" w:after="0" w:afterAutospacing="0"/>
              <w:ind w:left="0" w:right="0"/>
              <w:jc w:val="center"/>
              <w:rPr>
                <w:rFonts w:hint="default" w:ascii="Times New Roman" w:hAnsi="Times New Roman" w:eastAsia="宋体" w:cs="Times New Roman"/>
                <w:b/>
                <w:bCs/>
                <w:color w:val="auto"/>
              </w:rPr>
            </w:pPr>
            <w:r>
              <w:rPr>
                <w:rFonts w:hint="eastAsia" w:ascii="Times New Roman" w:hAnsi="Times New Roman" w:eastAsia="宋体" w:cs="Times New Roman"/>
                <w:b/>
                <w:bCs/>
                <w:color w:val="auto"/>
              </w:rPr>
              <w:object>
                <v:shape id="_x0000_i1031" o:spt="75" type="#_x0000_t75" style="height:258.35pt;width:315.7pt;" o:ole="t" filled="f" o:preferrelative="t" stroked="f" coordsize="21600,21600">
                  <v:path/>
                  <v:fill on="f" focussize="0,0"/>
                  <v:stroke on="f"/>
                  <v:imagedata r:id="rId24" o:title=""/>
                  <o:lock v:ext="edit" aspectratio="f"/>
                  <w10:wrap type="none"/>
                  <w10:anchorlock/>
                </v:shape>
                <o:OLEObject Type="Embed" ProgID="Visio.Drawing.15" ShapeID="_x0000_i1031" DrawAspect="Content" ObjectID="_1468075731" r:id="rId23">
                  <o:LockedField>false</o:LockedField>
                </o:OLEObject>
              </w:object>
            </w:r>
          </w:p>
          <w:p w14:paraId="3DE6E1B6">
            <w:pPr>
              <w:keepNext w:val="0"/>
              <w:keepLines w:val="0"/>
              <w:suppressLineNumbers w:val="0"/>
              <w:spacing w:before="0" w:beforeAutospacing="0" w:after="0" w:afterAutospacing="0"/>
              <w:ind w:left="0" w:right="0"/>
              <w:jc w:val="center"/>
              <w:rPr>
                <w:rFonts w:hint="default"/>
                <w:color w:val="auto"/>
              </w:rPr>
            </w:pPr>
            <w:r>
              <w:rPr>
                <w:rFonts w:hint="eastAsia" w:ascii="Times New Roman" w:hAnsi="Times New Roman" w:eastAsia="宋体" w:cs="Times New Roman"/>
                <w:b/>
                <w:bCs/>
                <w:color w:val="auto"/>
              </w:rPr>
              <w:t xml:space="preserve">图3-1  </w:t>
            </w:r>
            <w:r>
              <w:rPr>
                <w:rFonts w:hint="eastAsia" w:ascii="Times New Roman" w:hAnsi="Times New Roman" w:eastAsia="宋体" w:cs="Times New Roman"/>
                <w:b/>
                <w:bCs/>
                <w:color w:val="auto"/>
                <w:lang w:val="en-US" w:eastAsia="zh-CN"/>
              </w:rPr>
              <w:t>建设项目环境保护目标分布图</w:t>
            </w:r>
          </w:p>
        </w:tc>
      </w:tr>
      <w:tr w14:paraId="7D0716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81" w:type="dxa"/>
            <w:vAlign w:val="center"/>
          </w:tcPr>
          <w:p w14:paraId="5C941FB9">
            <w:pPr>
              <w:keepNext w:val="0"/>
              <w:keepLines w:val="0"/>
              <w:suppressLineNumbers w:val="0"/>
              <w:spacing w:before="0" w:beforeAutospacing="0" w:after="0" w:afterAutospacing="0"/>
              <w:ind w:left="0" w:right="0"/>
              <w:jc w:val="center"/>
              <w:rPr>
                <w:rFonts w:hint="default" w:ascii="Times New Roman" w:hAnsi="Times New Roman" w:eastAsia="宋体" w:cs="Times New Roman"/>
                <w:b/>
                <w:bCs/>
                <w:color w:val="auto"/>
                <w:sz w:val="24"/>
              </w:rPr>
            </w:pPr>
            <w:r>
              <w:rPr>
                <w:rFonts w:hint="eastAsia" w:ascii="Times New Roman" w:hAnsi="Times New Roman" w:eastAsia="宋体" w:cs="Times New Roman"/>
                <w:b/>
                <w:bCs/>
                <w:color w:val="auto"/>
                <w:sz w:val="24"/>
              </w:rPr>
              <w:t>污染物排放控制标准</w:t>
            </w:r>
          </w:p>
        </w:tc>
        <w:tc>
          <w:tcPr>
            <w:tcW w:w="8401" w:type="dxa"/>
          </w:tcPr>
          <w:p w14:paraId="3991EC86">
            <w:pPr>
              <w:keepNext w:val="0"/>
              <w:keepLines w:val="0"/>
              <w:suppressLineNumbers w:val="0"/>
              <w:spacing w:before="0" w:beforeAutospacing="0" w:after="0" w:afterAutospacing="0" w:line="360" w:lineRule="auto"/>
              <w:ind w:left="0" w:right="0"/>
              <w:rPr>
                <w:rFonts w:hint="default" w:ascii="Times New Roman" w:hAnsi="Times New Roman" w:eastAsia="宋体" w:cs="Times New Roman"/>
                <w:b/>
                <w:bCs/>
                <w:color w:val="auto"/>
                <w:sz w:val="24"/>
              </w:rPr>
            </w:pPr>
            <w:r>
              <w:rPr>
                <w:rFonts w:hint="eastAsia" w:ascii="Times New Roman" w:hAnsi="Times New Roman" w:eastAsia="宋体" w:cs="Times New Roman"/>
                <w:b/>
                <w:bCs/>
                <w:color w:val="auto"/>
                <w:sz w:val="24"/>
              </w:rPr>
              <w:t>3.3污染物排放标准</w:t>
            </w:r>
          </w:p>
          <w:p w14:paraId="2E2BB53C">
            <w:pPr>
              <w:keepNext w:val="0"/>
              <w:keepLines w:val="0"/>
              <w:suppressLineNumbers w:val="0"/>
              <w:spacing w:before="0" w:beforeAutospacing="0" w:after="0" w:afterAutospacing="0" w:line="360" w:lineRule="auto"/>
              <w:ind w:left="0" w:right="0"/>
              <w:rPr>
                <w:rFonts w:hint="default" w:ascii="Times New Roman" w:hAnsi="Times New Roman" w:eastAsia="宋体" w:cs="Times New Roman"/>
                <w:b/>
                <w:bCs/>
                <w:color w:val="auto"/>
                <w:sz w:val="24"/>
              </w:rPr>
            </w:pPr>
            <w:r>
              <w:rPr>
                <w:rFonts w:hint="eastAsia" w:ascii="Times New Roman" w:hAnsi="Times New Roman" w:eastAsia="宋体" w:cs="Times New Roman"/>
                <w:b/>
                <w:bCs/>
                <w:color w:val="auto"/>
                <w:sz w:val="24"/>
              </w:rPr>
              <w:t>3.3.1废气</w:t>
            </w:r>
          </w:p>
          <w:p w14:paraId="5DD48F7E">
            <w:pPr>
              <w:keepNext w:val="0"/>
              <w:keepLines w:val="0"/>
              <w:suppressLineNumbers w:val="0"/>
              <w:spacing w:before="0" w:beforeAutospacing="0" w:after="0" w:afterAutospacing="0" w:line="360" w:lineRule="auto"/>
              <w:ind w:left="0" w:right="0" w:firstLine="480" w:firstLineChars="200"/>
              <w:rPr>
                <w:rFonts w:hint="default" w:ascii="Times New Roman" w:hAnsi="Times New Roman" w:eastAsia="宋体" w:cs="Times New Roman"/>
                <w:color w:val="auto"/>
                <w:sz w:val="24"/>
              </w:rPr>
            </w:pPr>
            <w:r>
              <w:rPr>
                <w:rFonts w:hint="default" w:ascii="Times New Roman" w:hAnsi="Times New Roman" w:eastAsia="宋体" w:cs="Times New Roman"/>
                <w:color w:val="auto"/>
                <w:sz w:val="24"/>
              </w:rPr>
              <w:t>本项目营运期产生的</w:t>
            </w:r>
            <w:r>
              <w:rPr>
                <w:rFonts w:hint="eastAsia" w:ascii="Times New Roman" w:hAnsi="Times New Roman" w:eastAsia="宋体" w:cs="Times New Roman"/>
                <w:color w:val="auto"/>
                <w:sz w:val="24"/>
              </w:rPr>
              <w:t>固化废气</w:t>
            </w:r>
            <w:r>
              <w:rPr>
                <w:rFonts w:hint="eastAsia" w:ascii="Times New Roman" w:hAnsi="Times New Roman" w:eastAsia="宋体" w:cs="Times New Roman"/>
                <w:color w:val="auto"/>
                <w:sz w:val="24"/>
                <w:lang w:eastAsia="zh-CN"/>
              </w:rPr>
              <w:t>、</w:t>
            </w:r>
            <w:r>
              <w:rPr>
                <w:rFonts w:hint="eastAsia" w:ascii="Times New Roman" w:hAnsi="Times New Roman" w:eastAsia="宋体" w:cs="Times New Roman"/>
                <w:color w:val="auto"/>
                <w:sz w:val="24"/>
                <w:lang w:val="en-US" w:eastAsia="zh-CN"/>
              </w:rPr>
              <w:t>背胶废气、贴合废气、</w:t>
            </w:r>
            <w:r>
              <w:rPr>
                <w:rFonts w:hint="eastAsia" w:ascii="Times New Roman" w:hAnsi="Times New Roman" w:eastAsia="宋体" w:cs="Times New Roman"/>
                <w:color w:val="auto"/>
                <w:sz w:val="24"/>
              </w:rPr>
              <w:t>拆包粉尘</w:t>
            </w:r>
            <w:r>
              <w:rPr>
                <w:rFonts w:hint="eastAsia" w:ascii="Times New Roman" w:hAnsi="Times New Roman" w:eastAsia="宋体" w:cs="Times New Roman"/>
                <w:color w:val="auto"/>
                <w:sz w:val="24"/>
                <w:lang w:eastAsia="zh-CN"/>
              </w:rPr>
              <w:t>、</w:t>
            </w:r>
            <w:r>
              <w:rPr>
                <w:rFonts w:hint="eastAsia" w:ascii="Times New Roman" w:hAnsi="Times New Roman" w:eastAsia="宋体" w:cs="Times New Roman"/>
                <w:color w:val="auto"/>
                <w:sz w:val="24"/>
              </w:rPr>
              <w:t>投料粉尘</w:t>
            </w:r>
            <w:r>
              <w:rPr>
                <w:rFonts w:hint="eastAsia" w:ascii="Times New Roman" w:hAnsi="Times New Roman" w:eastAsia="宋体" w:cs="Times New Roman"/>
                <w:color w:val="auto"/>
                <w:sz w:val="24"/>
                <w:lang w:eastAsia="zh-CN"/>
              </w:rPr>
              <w:t>、</w:t>
            </w:r>
            <w:r>
              <w:rPr>
                <w:rFonts w:hint="eastAsia" w:ascii="Times New Roman" w:hAnsi="Times New Roman" w:eastAsia="宋体" w:cs="Times New Roman"/>
                <w:color w:val="auto"/>
                <w:sz w:val="24"/>
                <w:lang w:val="en-US" w:eastAsia="zh-CN"/>
              </w:rPr>
              <w:t>出料粉尘</w:t>
            </w:r>
            <w:r>
              <w:rPr>
                <w:rFonts w:hint="eastAsia" w:ascii="Times New Roman" w:hAnsi="Times New Roman" w:eastAsia="宋体" w:cs="Times New Roman"/>
                <w:color w:val="0000E1"/>
                <w:sz w:val="24"/>
                <w:lang w:val="en-US" w:eastAsia="zh-CN"/>
              </w:rPr>
              <w:t>、激光切割粉尘、</w:t>
            </w:r>
            <w:r>
              <w:rPr>
                <w:rFonts w:hint="eastAsia" w:ascii="Times New Roman" w:hAnsi="Times New Roman" w:eastAsia="宋体" w:cs="Times New Roman"/>
                <w:color w:val="auto"/>
                <w:sz w:val="24"/>
              </w:rPr>
              <w:t>真空热合废气</w:t>
            </w:r>
            <w:r>
              <w:rPr>
                <w:rFonts w:hint="eastAsia" w:ascii="Times New Roman" w:hAnsi="Times New Roman" w:eastAsia="宋体" w:cs="Times New Roman"/>
                <w:color w:val="auto"/>
                <w:sz w:val="24"/>
                <w:lang w:val="en-US" w:eastAsia="zh-CN"/>
              </w:rPr>
              <w:t>和辅料成型废气</w:t>
            </w:r>
            <w:r>
              <w:rPr>
                <w:rFonts w:hint="eastAsia" w:ascii="Times New Roman" w:hAnsi="Times New Roman" w:eastAsia="宋体" w:cs="Times New Roman"/>
                <w:color w:val="auto"/>
                <w:sz w:val="24"/>
              </w:rPr>
              <w:t>中的</w:t>
            </w:r>
            <w:r>
              <w:rPr>
                <w:rFonts w:hint="default" w:ascii="Times New Roman" w:hAnsi="Times New Roman" w:eastAsia="宋体" w:cs="Times New Roman"/>
                <w:color w:val="auto"/>
                <w:sz w:val="24"/>
              </w:rPr>
              <w:t>主要污染物为颗粒物</w:t>
            </w:r>
            <w:r>
              <w:rPr>
                <w:rFonts w:hint="eastAsia" w:ascii="Times New Roman" w:hAnsi="Times New Roman" w:eastAsia="宋体" w:cs="Times New Roman"/>
                <w:color w:val="auto"/>
                <w:sz w:val="24"/>
              </w:rPr>
              <w:t>、</w:t>
            </w:r>
            <w:r>
              <w:rPr>
                <w:rFonts w:hint="default" w:ascii="Times New Roman" w:hAnsi="Times New Roman" w:eastAsia="宋体" w:cs="Times New Roman"/>
                <w:color w:val="auto"/>
                <w:sz w:val="24"/>
              </w:rPr>
              <w:t>非甲烷总烃、臭气浓度</w:t>
            </w:r>
            <w:r>
              <w:rPr>
                <w:rFonts w:hint="eastAsia" w:ascii="Times New Roman" w:hAnsi="Times New Roman" w:eastAsia="宋体" w:cs="Times New Roman"/>
                <w:color w:val="auto"/>
                <w:sz w:val="24"/>
              </w:rPr>
              <w:t>。</w:t>
            </w:r>
          </w:p>
          <w:p w14:paraId="3E91C6AA">
            <w:pPr>
              <w:keepNext w:val="0"/>
              <w:keepLines w:val="0"/>
              <w:suppressLineNumbers w:val="0"/>
              <w:spacing w:before="0" w:beforeAutospacing="0" w:after="0" w:afterAutospacing="0" w:line="360" w:lineRule="auto"/>
              <w:ind w:left="0" w:right="0" w:firstLine="480" w:firstLineChars="200"/>
              <w:rPr>
                <w:rFonts w:hint="default" w:ascii="Times New Roman" w:hAnsi="Times New Roman" w:eastAsia="宋体" w:cs="Times New Roman"/>
                <w:color w:val="auto"/>
                <w:sz w:val="24"/>
              </w:rPr>
            </w:pPr>
            <w:r>
              <w:rPr>
                <w:rFonts w:hint="default" w:ascii="Times New Roman" w:hAnsi="Times New Roman" w:eastAsia="宋体" w:cs="Times New Roman"/>
                <w:color w:val="auto"/>
                <w:sz w:val="24"/>
              </w:rPr>
              <w:t>颗粒物</w:t>
            </w:r>
            <w:r>
              <w:rPr>
                <w:rFonts w:hint="eastAsia" w:ascii="Times New Roman" w:hAnsi="Times New Roman" w:eastAsia="宋体" w:cs="Times New Roman"/>
                <w:color w:val="auto"/>
                <w:sz w:val="24"/>
              </w:rPr>
              <w:t>、</w:t>
            </w:r>
            <w:r>
              <w:rPr>
                <w:rFonts w:hint="default" w:ascii="Times New Roman" w:hAnsi="Times New Roman" w:eastAsia="宋体" w:cs="Times New Roman"/>
                <w:color w:val="auto"/>
                <w:sz w:val="24"/>
              </w:rPr>
              <w:t>非甲烷总烃</w:t>
            </w:r>
            <w:r>
              <w:rPr>
                <w:rFonts w:hint="eastAsia" w:ascii="Times New Roman" w:hAnsi="Times New Roman" w:eastAsia="宋体" w:cs="Times New Roman"/>
                <w:color w:val="auto"/>
                <w:sz w:val="24"/>
              </w:rPr>
              <w:t>执行排放《合成树脂工业污染物排放标准》（</w:t>
            </w:r>
            <w:r>
              <w:rPr>
                <w:rFonts w:hint="default" w:ascii="Times New Roman" w:hAnsi="Times New Roman" w:eastAsia="宋体" w:cs="Times New Roman"/>
                <w:color w:val="auto"/>
                <w:sz w:val="24"/>
              </w:rPr>
              <w:t>GB31572-2015</w:t>
            </w:r>
            <w:r>
              <w:rPr>
                <w:rFonts w:hint="default" w:ascii="Times New Roman" w:hAnsi="Times New Roman" w:eastAsia="宋体" w:cs="Times New Roman"/>
                <w:color w:val="00B050"/>
                <w:sz w:val="24"/>
                <w:szCs w:val="24"/>
                <w:lang w:eastAsia="zh-CN"/>
              </w:rPr>
              <w:t>，</w:t>
            </w:r>
            <w:r>
              <w:rPr>
                <w:rFonts w:hint="default" w:ascii="Times New Roman" w:hAnsi="Times New Roman" w:cs="Times New Roman"/>
                <w:color w:val="00B050"/>
                <w:sz w:val="24"/>
                <w:szCs w:val="24"/>
              </w:rPr>
              <w:t>含2024年修改单</w:t>
            </w:r>
            <w:r>
              <w:rPr>
                <w:rFonts w:hint="eastAsia" w:ascii="Times New Roman" w:hAnsi="Times New Roman" w:eastAsia="宋体" w:cs="Times New Roman"/>
                <w:color w:val="auto"/>
                <w:sz w:val="24"/>
              </w:rPr>
              <w:t>）表</w:t>
            </w:r>
            <w:r>
              <w:rPr>
                <w:rFonts w:hint="default" w:ascii="Times New Roman" w:hAnsi="Times New Roman" w:eastAsia="宋体" w:cs="Times New Roman"/>
                <w:color w:val="auto"/>
                <w:sz w:val="24"/>
              </w:rPr>
              <w:t>5</w:t>
            </w:r>
            <w:r>
              <w:rPr>
                <w:rFonts w:hint="eastAsia" w:ascii="Times New Roman" w:hAnsi="Times New Roman" w:eastAsia="宋体" w:cs="Times New Roman"/>
                <w:color w:val="auto"/>
                <w:sz w:val="24"/>
              </w:rPr>
              <w:t>、表</w:t>
            </w:r>
            <w:r>
              <w:rPr>
                <w:rFonts w:hint="default" w:ascii="Times New Roman" w:hAnsi="Times New Roman" w:eastAsia="宋体" w:cs="Times New Roman"/>
                <w:color w:val="auto"/>
                <w:sz w:val="24"/>
              </w:rPr>
              <w:t>9</w:t>
            </w:r>
            <w:r>
              <w:rPr>
                <w:rFonts w:hint="eastAsia" w:ascii="Times New Roman" w:hAnsi="Times New Roman" w:eastAsia="宋体" w:cs="Times New Roman"/>
                <w:color w:val="auto"/>
                <w:sz w:val="24"/>
              </w:rPr>
              <w:t>中的限值标准</w:t>
            </w:r>
            <w:r>
              <w:rPr>
                <w:rFonts w:hint="eastAsia" w:ascii="Times New Roman" w:hAnsi="Times New Roman" w:eastAsia="宋体" w:cs="Times New Roman"/>
                <w:color w:val="auto"/>
                <w:sz w:val="24"/>
                <w:lang w:eastAsia="zh-CN"/>
              </w:rPr>
              <w:t>；</w:t>
            </w:r>
            <w:r>
              <w:rPr>
                <w:rFonts w:hint="eastAsia" w:ascii="Times New Roman" w:hAnsi="Times New Roman" w:eastAsia="宋体" w:cs="Times New Roman"/>
                <w:color w:val="auto"/>
                <w:sz w:val="24"/>
              </w:rPr>
              <w:t>臭气浓度排放执行《恶臭污染物排放标准》（</w:t>
            </w:r>
            <w:r>
              <w:rPr>
                <w:rFonts w:hint="default" w:ascii="Times New Roman" w:hAnsi="Times New Roman" w:eastAsia="宋体" w:cs="Times New Roman"/>
                <w:color w:val="auto"/>
                <w:sz w:val="24"/>
              </w:rPr>
              <w:t>GB14554-93</w:t>
            </w:r>
            <w:r>
              <w:rPr>
                <w:rFonts w:hint="eastAsia" w:ascii="Times New Roman" w:hAnsi="Times New Roman" w:eastAsia="宋体" w:cs="Times New Roman"/>
                <w:color w:val="auto"/>
                <w:sz w:val="24"/>
              </w:rPr>
              <w:t>）表2、表1中的限值标准</w:t>
            </w:r>
            <w:r>
              <w:rPr>
                <w:rFonts w:hint="eastAsia" w:ascii="Times New Roman" w:hAnsi="Times New Roman" w:eastAsia="宋体" w:cs="Times New Roman"/>
                <w:color w:val="auto"/>
                <w:sz w:val="24"/>
                <w:lang w:val="en-US" w:eastAsia="zh-CN"/>
              </w:rPr>
              <w:t>和《湖州市木业、漆包线及塑料行业废气整治规范》中的较严值</w:t>
            </w:r>
            <w:r>
              <w:rPr>
                <w:rFonts w:hint="default"/>
              </w:rPr>
              <w:commentReference w:id="57"/>
            </w:r>
            <w:r>
              <w:rPr>
                <w:rFonts w:hint="eastAsia" w:ascii="Times New Roman" w:hAnsi="Times New Roman" w:eastAsia="宋体" w:cs="Times New Roman"/>
                <w:color w:val="auto"/>
                <w:sz w:val="24"/>
                <w:lang w:eastAsia="zh-CN"/>
              </w:rPr>
              <w:t>；</w:t>
            </w:r>
            <w:r>
              <w:rPr>
                <w:rFonts w:hint="eastAsia" w:ascii="Times New Roman" w:hAnsi="Times New Roman" w:eastAsia="宋体" w:cs="Times New Roman"/>
                <w:color w:val="auto"/>
                <w:sz w:val="24"/>
              </w:rPr>
              <w:t>厂区内非甲烷总烃排放执行《挥发性有机物无组织排放控制标准》（</w:t>
            </w:r>
            <w:r>
              <w:rPr>
                <w:rFonts w:hint="default" w:ascii="Times New Roman" w:hAnsi="Times New Roman" w:eastAsia="宋体" w:cs="Times New Roman"/>
                <w:color w:val="auto"/>
                <w:sz w:val="24"/>
              </w:rPr>
              <w:t>GB37822</w:t>
            </w:r>
            <w:r>
              <w:rPr>
                <w:rFonts w:hint="eastAsia" w:ascii="Times New Roman" w:hAnsi="Times New Roman" w:eastAsia="宋体" w:cs="Times New Roman"/>
                <w:color w:val="auto"/>
                <w:sz w:val="24"/>
              </w:rPr>
              <w:t>-</w:t>
            </w:r>
            <w:r>
              <w:rPr>
                <w:rFonts w:hint="default" w:ascii="Times New Roman" w:hAnsi="Times New Roman" w:eastAsia="宋体" w:cs="Times New Roman"/>
                <w:color w:val="auto"/>
                <w:sz w:val="24"/>
              </w:rPr>
              <w:t>2019</w:t>
            </w:r>
            <w:r>
              <w:rPr>
                <w:rFonts w:hint="eastAsia" w:ascii="Times New Roman" w:hAnsi="Times New Roman" w:eastAsia="宋体" w:cs="Times New Roman"/>
                <w:color w:val="auto"/>
                <w:sz w:val="24"/>
              </w:rPr>
              <w:t>）表A.1中的限值标准。具体见表3-</w:t>
            </w:r>
            <w:r>
              <w:rPr>
                <w:rFonts w:hint="eastAsia" w:ascii="Times New Roman" w:hAnsi="Times New Roman" w:eastAsia="宋体" w:cs="Times New Roman"/>
                <w:color w:val="auto"/>
                <w:sz w:val="24"/>
                <w:lang w:val="en-US" w:eastAsia="zh-CN"/>
              </w:rPr>
              <w:t>5</w:t>
            </w:r>
            <w:r>
              <w:rPr>
                <w:rFonts w:hint="eastAsia" w:ascii="Times New Roman" w:hAnsi="Times New Roman" w:eastAsia="宋体" w:cs="Times New Roman"/>
                <w:color w:val="auto"/>
                <w:sz w:val="24"/>
              </w:rPr>
              <w:t>至表3-</w:t>
            </w:r>
            <w:r>
              <w:rPr>
                <w:rFonts w:hint="eastAsia" w:ascii="Times New Roman" w:hAnsi="Times New Roman" w:eastAsia="宋体" w:cs="Times New Roman"/>
                <w:color w:val="auto"/>
                <w:sz w:val="24"/>
                <w:lang w:val="en-US" w:eastAsia="zh-CN"/>
              </w:rPr>
              <w:t>7</w:t>
            </w:r>
            <w:r>
              <w:rPr>
                <w:rFonts w:hint="eastAsia" w:ascii="Times New Roman" w:hAnsi="Times New Roman" w:eastAsia="宋体" w:cs="Times New Roman"/>
                <w:color w:val="auto"/>
                <w:sz w:val="24"/>
              </w:rPr>
              <w:t>。</w:t>
            </w:r>
          </w:p>
          <w:p w14:paraId="797F4531">
            <w:pPr>
              <w:keepNext w:val="0"/>
              <w:keepLines w:val="0"/>
              <w:suppressLineNumbers w:val="0"/>
              <w:spacing w:before="0" w:beforeAutospacing="0" w:after="0" w:afterAutospacing="0"/>
              <w:ind w:left="0" w:right="0"/>
              <w:jc w:val="center"/>
              <w:rPr>
                <w:rFonts w:hint="default" w:ascii="Times New Roman" w:hAnsi="Times New Roman" w:eastAsia="宋体" w:cs="Times New Roman"/>
                <w:b/>
                <w:bCs/>
                <w:color w:val="auto"/>
              </w:rPr>
            </w:pPr>
            <w:bookmarkStart w:id="9" w:name="_Toc17946"/>
            <w:bookmarkStart w:id="10" w:name="_Toc17610"/>
            <w:r>
              <w:rPr>
                <w:rFonts w:hint="default" w:ascii="Times New Roman" w:hAnsi="Times New Roman" w:eastAsia="宋体" w:cs="Times New Roman"/>
                <w:b/>
                <w:bCs/>
                <w:color w:val="auto"/>
              </w:rPr>
              <w:t>表</w:t>
            </w:r>
            <w:r>
              <w:rPr>
                <w:rFonts w:hint="eastAsia" w:ascii="Times New Roman" w:hAnsi="Times New Roman" w:eastAsia="宋体" w:cs="Times New Roman"/>
                <w:b/>
                <w:bCs/>
                <w:color w:val="auto"/>
              </w:rPr>
              <w:t>3-</w:t>
            </w:r>
            <w:r>
              <w:rPr>
                <w:rFonts w:hint="eastAsia" w:ascii="Times New Roman" w:hAnsi="Times New Roman" w:eastAsia="宋体" w:cs="Times New Roman"/>
                <w:b/>
                <w:bCs/>
                <w:color w:val="auto"/>
                <w:lang w:val="en-US" w:eastAsia="zh-CN"/>
              </w:rPr>
              <w:t>5</w:t>
            </w:r>
            <w:r>
              <w:rPr>
                <w:rFonts w:hint="default" w:ascii="Times New Roman" w:hAnsi="Times New Roman" w:eastAsia="宋体" w:cs="Times New Roman"/>
                <w:b/>
                <w:bCs/>
                <w:color w:val="auto"/>
              </w:rPr>
              <w:t xml:space="preserve">  《合成树脂工业污染物排放标准》（GB31572-201</w:t>
            </w:r>
            <w:r>
              <w:rPr>
                <w:rFonts w:hint="default" w:ascii="Times New Roman" w:hAnsi="Times New Roman" w:eastAsia="宋体" w:cs="Times New Roman"/>
                <w:b/>
                <w:bCs/>
                <w:color w:val="auto"/>
                <w:sz w:val="21"/>
                <w:szCs w:val="21"/>
              </w:rPr>
              <w:t>5</w:t>
            </w:r>
            <w:r>
              <w:rPr>
                <w:rFonts w:hint="eastAsia" w:ascii="Times New Roman" w:hAnsi="Times New Roman" w:eastAsia="宋体" w:cs="Times New Roman"/>
                <w:b/>
                <w:bCs/>
                <w:color w:val="auto"/>
                <w:sz w:val="21"/>
                <w:szCs w:val="21"/>
                <w:lang w:eastAsia="zh-CN"/>
              </w:rPr>
              <w:t>，</w:t>
            </w:r>
            <w:r>
              <w:rPr>
                <w:rFonts w:hint="default" w:ascii="Times New Roman" w:hAnsi="Times New Roman" w:cs="Times New Roman"/>
                <w:color w:val="00B050"/>
                <w:sz w:val="21"/>
                <w:szCs w:val="21"/>
              </w:rPr>
              <w:t>含2024年修改单</w:t>
            </w:r>
            <w:r>
              <w:rPr>
                <w:rFonts w:hint="default" w:ascii="Times New Roman" w:hAnsi="Times New Roman" w:eastAsia="宋体" w:cs="Times New Roman"/>
                <w:b/>
                <w:bCs/>
                <w:color w:val="auto"/>
                <w:sz w:val="21"/>
                <w:szCs w:val="21"/>
              </w:rPr>
              <w:t>）</w:t>
            </w:r>
            <w:bookmarkEnd w:id="9"/>
            <w:bookmarkEnd w:id="10"/>
          </w:p>
          <w:p w14:paraId="228E560C">
            <w:pPr>
              <w:keepNext w:val="0"/>
              <w:keepLines w:val="0"/>
              <w:suppressLineNumbers w:val="0"/>
              <w:spacing w:before="0" w:beforeAutospacing="0" w:after="0" w:afterAutospacing="0"/>
              <w:ind w:left="0" w:right="0"/>
              <w:jc w:val="right"/>
              <w:rPr>
                <w:rFonts w:hint="default" w:ascii="Times New Roman" w:hAnsi="Times New Roman" w:eastAsia="宋体" w:cs="Times New Roman"/>
                <w:b/>
                <w:bCs/>
                <w:color w:val="auto"/>
              </w:rPr>
            </w:pPr>
            <w:r>
              <w:rPr>
                <w:rFonts w:hint="eastAsia" w:ascii="Times New Roman" w:hAnsi="Times New Roman" w:eastAsia="宋体" w:cs="Times New Roman"/>
                <w:b/>
                <w:bCs/>
                <w:color w:val="auto"/>
              </w:rPr>
              <w:t>单位：</w:t>
            </w:r>
            <w:r>
              <w:rPr>
                <w:rFonts w:hint="default" w:ascii="Times New Roman" w:hAnsi="Times New Roman" w:eastAsia="宋体" w:cs="Times New Roman"/>
                <w:b/>
                <w:bCs/>
                <w:color w:val="auto"/>
              </w:rPr>
              <w:t>mg/m</w:t>
            </w:r>
            <w:r>
              <w:rPr>
                <w:rFonts w:hint="default" w:ascii="Times New Roman" w:hAnsi="Times New Roman" w:eastAsia="宋体" w:cs="Times New Roman"/>
                <w:b/>
                <w:bCs/>
                <w:color w:val="auto"/>
                <w:vertAlign w:val="superscript"/>
              </w:rPr>
              <w:t>3</w:t>
            </w:r>
          </w:p>
          <w:tbl>
            <w:tblPr>
              <w:tblStyle w:val="22"/>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470"/>
              <w:gridCol w:w="1230"/>
              <w:gridCol w:w="2385"/>
              <w:gridCol w:w="3090"/>
            </w:tblGrid>
            <w:tr w14:paraId="551B37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97" w:hRule="atLeast"/>
                <w:jc w:val="center"/>
              </w:trPr>
              <w:tc>
                <w:tcPr>
                  <w:tcW w:w="899" w:type="pct"/>
                  <w:vMerge w:val="restart"/>
                  <w:vAlign w:val="center"/>
                </w:tcPr>
                <w:p w14:paraId="4987DDE7">
                  <w:pPr>
                    <w:keepNext w:val="0"/>
                    <w:keepLines w:val="0"/>
                    <w:suppressLineNumbers w:val="0"/>
                    <w:spacing w:before="0" w:beforeAutospacing="0" w:after="0" w:afterAutospacing="0"/>
                    <w:ind w:left="0" w:right="0"/>
                    <w:jc w:val="center"/>
                    <w:rPr>
                      <w:rFonts w:hint="default" w:ascii="Times New Roman" w:hAnsi="Times New Roman" w:eastAsia="宋体" w:cs="Times New Roman"/>
                      <w:b/>
                      <w:bCs/>
                      <w:color w:val="auto"/>
                      <w:szCs w:val="21"/>
                    </w:rPr>
                  </w:pPr>
                  <w:r>
                    <w:rPr>
                      <w:rFonts w:hint="default" w:ascii="Times New Roman" w:hAnsi="Times New Roman" w:eastAsia="宋体" w:cs="Times New Roman"/>
                      <w:b/>
                      <w:bCs/>
                      <w:color w:val="auto"/>
                      <w:szCs w:val="21"/>
                    </w:rPr>
                    <w:t>污染物项目</w:t>
                  </w:r>
                </w:p>
              </w:tc>
              <w:tc>
                <w:tcPr>
                  <w:tcW w:w="2211" w:type="pct"/>
                  <w:gridSpan w:val="2"/>
                  <w:vAlign w:val="center"/>
                </w:tcPr>
                <w:p w14:paraId="7C58D50F">
                  <w:pPr>
                    <w:keepNext w:val="0"/>
                    <w:keepLines w:val="0"/>
                    <w:suppressLineNumbers w:val="0"/>
                    <w:spacing w:before="0" w:beforeAutospacing="0" w:after="0" w:afterAutospacing="0"/>
                    <w:ind w:left="0" w:right="0"/>
                    <w:jc w:val="center"/>
                    <w:rPr>
                      <w:rFonts w:hint="default" w:ascii="Times New Roman" w:hAnsi="Times New Roman" w:eastAsia="宋体" w:cs="Times New Roman"/>
                      <w:b/>
                      <w:bCs/>
                      <w:color w:val="auto"/>
                      <w:szCs w:val="21"/>
                    </w:rPr>
                  </w:pPr>
                  <w:r>
                    <w:rPr>
                      <w:rFonts w:hint="default" w:ascii="Times New Roman" w:hAnsi="Times New Roman" w:eastAsia="宋体" w:cs="Times New Roman"/>
                      <w:b/>
                      <w:bCs/>
                      <w:color w:val="auto"/>
                      <w:szCs w:val="21"/>
                    </w:rPr>
                    <w:t>大气污染物特别排放限值</w:t>
                  </w:r>
                </w:p>
              </w:tc>
              <w:tc>
                <w:tcPr>
                  <w:tcW w:w="1889" w:type="pct"/>
                  <w:vAlign w:val="center"/>
                </w:tcPr>
                <w:p w14:paraId="76F2A119">
                  <w:pPr>
                    <w:keepNext w:val="0"/>
                    <w:keepLines w:val="0"/>
                    <w:suppressLineNumbers w:val="0"/>
                    <w:spacing w:before="0" w:beforeAutospacing="0" w:after="0" w:afterAutospacing="0"/>
                    <w:ind w:left="0" w:right="0"/>
                    <w:jc w:val="center"/>
                    <w:rPr>
                      <w:rFonts w:hint="default" w:ascii="Times New Roman" w:hAnsi="Times New Roman" w:eastAsia="宋体" w:cs="Times New Roman"/>
                      <w:b/>
                      <w:bCs/>
                      <w:color w:val="auto"/>
                      <w:szCs w:val="21"/>
                    </w:rPr>
                  </w:pPr>
                  <w:r>
                    <w:rPr>
                      <w:rFonts w:hint="default" w:ascii="Times New Roman" w:hAnsi="Times New Roman" w:eastAsia="宋体" w:cs="Times New Roman"/>
                      <w:b/>
                      <w:bCs/>
                      <w:color w:val="auto"/>
                      <w:szCs w:val="21"/>
                    </w:rPr>
                    <w:t>企业边界大气污染物浓度限值</w:t>
                  </w:r>
                </w:p>
              </w:tc>
            </w:tr>
            <w:tr w14:paraId="2855E3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97" w:hRule="atLeast"/>
                <w:jc w:val="center"/>
              </w:trPr>
              <w:tc>
                <w:tcPr>
                  <w:tcW w:w="899" w:type="pct"/>
                  <w:vMerge w:val="continue"/>
                  <w:vAlign w:val="center"/>
                </w:tcPr>
                <w:p w14:paraId="1032564A">
                  <w:pPr>
                    <w:keepNext w:val="0"/>
                    <w:keepLines w:val="0"/>
                    <w:suppressLineNumbers w:val="0"/>
                    <w:spacing w:before="0" w:beforeAutospacing="0" w:after="0" w:afterAutospacing="0"/>
                    <w:ind w:left="0" w:right="0"/>
                    <w:jc w:val="center"/>
                    <w:rPr>
                      <w:rFonts w:hint="default" w:ascii="Times New Roman" w:hAnsi="Times New Roman" w:eastAsia="宋体" w:cs="Times New Roman"/>
                      <w:b/>
                      <w:bCs/>
                      <w:color w:val="auto"/>
                      <w:szCs w:val="21"/>
                    </w:rPr>
                  </w:pPr>
                </w:p>
              </w:tc>
              <w:tc>
                <w:tcPr>
                  <w:tcW w:w="752" w:type="pct"/>
                  <w:vAlign w:val="center"/>
                </w:tcPr>
                <w:p w14:paraId="762501D6">
                  <w:pPr>
                    <w:keepNext w:val="0"/>
                    <w:keepLines w:val="0"/>
                    <w:suppressLineNumbers w:val="0"/>
                    <w:spacing w:before="0" w:beforeAutospacing="0" w:after="0" w:afterAutospacing="0"/>
                    <w:ind w:left="0" w:right="0"/>
                    <w:jc w:val="center"/>
                    <w:rPr>
                      <w:rFonts w:hint="default" w:ascii="Times New Roman" w:hAnsi="Times New Roman" w:eastAsia="宋体" w:cs="Times New Roman"/>
                      <w:b/>
                      <w:bCs/>
                      <w:color w:val="auto"/>
                      <w:szCs w:val="21"/>
                    </w:rPr>
                  </w:pPr>
                  <w:r>
                    <w:rPr>
                      <w:rFonts w:hint="default" w:ascii="Times New Roman" w:hAnsi="Times New Roman" w:eastAsia="宋体" w:cs="Times New Roman"/>
                      <w:b/>
                      <w:bCs/>
                      <w:color w:val="auto"/>
                      <w:szCs w:val="21"/>
                    </w:rPr>
                    <w:t>排放限值</w:t>
                  </w:r>
                </w:p>
              </w:tc>
              <w:tc>
                <w:tcPr>
                  <w:tcW w:w="1458" w:type="pct"/>
                  <w:vAlign w:val="center"/>
                </w:tcPr>
                <w:p w14:paraId="04C46E59">
                  <w:pPr>
                    <w:keepNext w:val="0"/>
                    <w:keepLines w:val="0"/>
                    <w:suppressLineNumbers w:val="0"/>
                    <w:spacing w:before="0" w:beforeAutospacing="0" w:after="0" w:afterAutospacing="0"/>
                    <w:ind w:left="0" w:right="0"/>
                    <w:jc w:val="center"/>
                    <w:rPr>
                      <w:rFonts w:hint="default" w:ascii="Times New Roman" w:hAnsi="Times New Roman" w:eastAsia="宋体" w:cs="Times New Roman"/>
                      <w:b/>
                      <w:bCs/>
                      <w:color w:val="auto"/>
                      <w:szCs w:val="21"/>
                    </w:rPr>
                  </w:pPr>
                  <w:r>
                    <w:rPr>
                      <w:rFonts w:hint="default" w:ascii="Times New Roman" w:hAnsi="Times New Roman" w:eastAsia="宋体" w:cs="Times New Roman"/>
                      <w:b/>
                      <w:bCs/>
                      <w:color w:val="auto"/>
                      <w:szCs w:val="21"/>
                    </w:rPr>
                    <w:t>污染物排放监控位置</w:t>
                  </w:r>
                </w:p>
              </w:tc>
              <w:tc>
                <w:tcPr>
                  <w:tcW w:w="1889" w:type="pct"/>
                  <w:vAlign w:val="center"/>
                </w:tcPr>
                <w:p w14:paraId="7ECA0CB1">
                  <w:pPr>
                    <w:keepNext w:val="0"/>
                    <w:keepLines w:val="0"/>
                    <w:suppressLineNumbers w:val="0"/>
                    <w:spacing w:before="0" w:beforeAutospacing="0" w:after="0" w:afterAutospacing="0"/>
                    <w:ind w:left="0" w:right="0"/>
                    <w:jc w:val="center"/>
                    <w:rPr>
                      <w:rFonts w:hint="default" w:ascii="Times New Roman" w:hAnsi="Times New Roman" w:eastAsia="宋体" w:cs="Times New Roman"/>
                      <w:b/>
                      <w:bCs/>
                      <w:color w:val="auto"/>
                      <w:szCs w:val="21"/>
                    </w:rPr>
                  </w:pPr>
                  <w:r>
                    <w:rPr>
                      <w:rFonts w:hint="default" w:ascii="Times New Roman" w:hAnsi="Times New Roman" w:eastAsia="宋体" w:cs="Times New Roman"/>
                      <w:b/>
                      <w:bCs/>
                      <w:color w:val="auto"/>
                      <w:szCs w:val="21"/>
                    </w:rPr>
                    <w:t>限值</w:t>
                  </w:r>
                </w:p>
              </w:tc>
            </w:tr>
            <w:tr w14:paraId="4A9575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97" w:hRule="atLeast"/>
                <w:jc w:val="center"/>
              </w:trPr>
              <w:tc>
                <w:tcPr>
                  <w:tcW w:w="899" w:type="pct"/>
                  <w:vAlign w:val="center"/>
                </w:tcPr>
                <w:p w14:paraId="020A5EC0">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rPr>
                    <w:t>颗粒物</w:t>
                  </w:r>
                </w:p>
              </w:tc>
              <w:tc>
                <w:tcPr>
                  <w:tcW w:w="752" w:type="pct"/>
                  <w:vAlign w:val="center"/>
                </w:tcPr>
                <w:p w14:paraId="62E19542">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rPr>
                    <w:t>20</w:t>
                  </w:r>
                </w:p>
              </w:tc>
              <w:tc>
                <w:tcPr>
                  <w:tcW w:w="1458" w:type="pct"/>
                  <w:vMerge w:val="restart"/>
                  <w:vAlign w:val="center"/>
                </w:tcPr>
                <w:p w14:paraId="0327F6F3">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rPr>
                    <w:t>车间或生产设施排气筒</w:t>
                  </w:r>
                </w:p>
              </w:tc>
              <w:tc>
                <w:tcPr>
                  <w:tcW w:w="1889" w:type="pct"/>
                  <w:vAlign w:val="center"/>
                </w:tcPr>
                <w:p w14:paraId="2F3976F6">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rPr>
                    <w:t>1.0</w:t>
                  </w:r>
                </w:p>
              </w:tc>
            </w:tr>
            <w:tr w14:paraId="41F42A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97" w:hRule="atLeast"/>
                <w:jc w:val="center"/>
              </w:trPr>
              <w:tc>
                <w:tcPr>
                  <w:tcW w:w="899" w:type="pct"/>
                  <w:vAlign w:val="center"/>
                </w:tcPr>
                <w:p w14:paraId="62B8D268">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rPr>
                    <w:t>非甲烷总烃</w:t>
                  </w:r>
                </w:p>
              </w:tc>
              <w:tc>
                <w:tcPr>
                  <w:tcW w:w="752" w:type="pct"/>
                  <w:vAlign w:val="center"/>
                </w:tcPr>
                <w:p w14:paraId="676CD9B0">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rPr>
                    <w:t>60</w:t>
                  </w:r>
                </w:p>
              </w:tc>
              <w:tc>
                <w:tcPr>
                  <w:tcW w:w="1458" w:type="pct"/>
                  <w:vMerge w:val="continue"/>
                  <w:vAlign w:val="center"/>
                </w:tcPr>
                <w:p w14:paraId="55E82315">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p>
              </w:tc>
              <w:tc>
                <w:tcPr>
                  <w:tcW w:w="1889" w:type="pct"/>
                  <w:vAlign w:val="center"/>
                </w:tcPr>
                <w:p w14:paraId="4596B6EB">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r>
                    <w:rPr>
                      <w:rFonts w:hint="eastAsia" w:ascii="Times New Roman" w:hAnsi="Times New Roman" w:eastAsia="宋体" w:cs="Times New Roman"/>
                      <w:color w:val="auto"/>
                      <w:szCs w:val="21"/>
                    </w:rPr>
                    <w:t>4.0</w:t>
                  </w:r>
                </w:p>
              </w:tc>
            </w:tr>
            <w:tr w14:paraId="068E9A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97" w:hRule="atLeast"/>
                <w:jc w:val="center"/>
              </w:trPr>
              <w:tc>
                <w:tcPr>
                  <w:tcW w:w="5000" w:type="pct"/>
                  <w:gridSpan w:val="4"/>
                  <w:vAlign w:val="center"/>
                </w:tcPr>
                <w:p w14:paraId="095E6D2A">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bookmarkStart w:id="11" w:name="_Toc22923"/>
                  <w:bookmarkStart w:id="12" w:name="_Toc10188"/>
                  <w:r>
                    <w:rPr>
                      <w:rFonts w:hint="default" w:ascii="Times New Roman" w:hAnsi="Times New Roman" w:eastAsia="宋体" w:cs="Times New Roman"/>
                      <w:color w:val="auto"/>
                      <w:szCs w:val="21"/>
                    </w:rPr>
                    <w:t>注：</w:t>
                  </w:r>
                  <w:r>
                    <w:rPr>
                      <w:rFonts w:hint="eastAsia" w:ascii="Times New Roman" w:hAnsi="Times New Roman" w:eastAsia="宋体" w:cs="Times New Roman"/>
                      <w:color w:val="auto"/>
                      <w:szCs w:val="21"/>
                    </w:rPr>
                    <w:t>排气筒高度</w:t>
                  </w:r>
                  <w:r>
                    <w:rPr>
                      <w:rFonts w:hint="eastAsia" w:ascii="Times New Roman" w:hAnsi="Times New Roman" w:eastAsia="宋体" w:cs="Times New Roman"/>
                      <w:color w:val="auto"/>
                      <w:szCs w:val="21"/>
                      <w:lang w:val="en-US" w:eastAsia="zh-CN"/>
                    </w:rPr>
                    <w:t>26</w:t>
                  </w:r>
                  <w:r>
                    <w:rPr>
                      <w:rFonts w:hint="default" w:ascii="Times New Roman" w:hAnsi="Times New Roman" w:eastAsia="宋体" w:cs="Times New Roman"/>
                      <w:color w:val="auto"/>
                      <w:szCs w:val="21"/>
                    </w:rPr>
                    <w:t>m</w:t>
                  </w:r>
                </w:p>
              </w:tc>
            </w:tr>
          </w:tbl>
          <w:p w14:paraId="27D8938A">
            <w:pPr>
              <w:keepNext w:val="0"/>
              <w:keepLines w:val="0"/>
              <w:suppressLineNumbers w:val="0"/>
              <w:spacing w:before="0" w:beforeAutospacing="0" w:after="0" w:afterAutospacing="0"/>
              <w:ind w:left="0" w:right="0"/>
              <w:jc w:val="center"/>
              <w:rPr>
                <w:rFonts w:hint="default" w:ascii="Times New Roman" w:hAnsi="Times New Roman" w:eastAsia="宋体" w:cs="Times New Roman"/>
                <w:b/>
                <w:bCs/>
                <w:color w:val="auto"/>
                <w:lang w:val="en-US" w:eastAsia="zh-CN"/>
              </w:rPr>
            </w:pPr>
            <w:r>
              <w:rPr>
                <w:rFonts w:hint="default" w:ascii="Times New Roman" w:hAnsi="Times New Roman" w:eastAsia="宋体" w:cs="Times New Roman"/>
                <w:b/>
                <w:bCs/>
                <w:color w:val="auto"/>
              </w:rPr>
              <w:t>表</w:t>
            </w:r>
            <w:r>
              <w:rPr>
                <w:rFonts w:hint="eastAsia" w:ascii="Times New Roman" w:hAnsi="Times New Roman" w:eastAsia="宋体" w:cs="Times New Roman"/>
                <w:b/>
                <w:bCs/>
                <w:color w:val="auto"/>
              </w:rPr>
              <w:t>3-</w:t>
            </w:r>
            <w:r>
              <w:rPr>
                <w:rFonts w:hint="eastAsia" w:ascii="Times New Roman" w:hAnsi="Times New Roman" w:eastAsia="宋体" w:cs="Times New Roman"/>
                <w:b/>
                <w:bCs/>
                <w:color w:val="auto"/>
                <w:lang w:val="en-US" w:eastAsia="zh-CN"/>
              </w:rPr>
              <w:t>6</w:t>
            </w:r>
            <w:r>
              <w:rPr>
                <w:rFonts w:hint="default" w:ascii="Times New Roman" w:hAnsi="Times New Roman" w:eastAsia="宋体" w:cs="Times New Roman"/>
                <w:b/>
                <w:bCs/>
                <w:color w:val="auto"/>
              </w:rPr>
              <w:t xml:space="preserve">  </w:t>
            </w:r>
            <w:bookmarkEnd w:id="11"/>
            <w:bookmarkEnd w:id="12"/>
            <w:r>
              <w:rPr>
                <w:rFonts w:hint="default" w:ascii="Times New Roman" w:hAnsi="Times New Roman" w:eastAsia="宋体" w:cs="Times New Roman"/>
                <w:b/>
                <w:bCs/>
                <w:color w:val="auto"/>
                <w:lang w:val="en-US" w:eastAsia="zh-CN"/>
              </w:rPr>
              <w:t>臭气浓度排放执行标准</w:t>
            </w:r>
          </w:p>
          <w:tbl>
            <w:tblPr>
              <w:tblStyle w:val="22"/>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Layout w:type="fixed"/>
              <w:tblCellMar>
                <w:top w:w="0" w:type="dxa"/>
                <w:left w:w="108" w:type="dxa"/>
                <w:bottom w:w="0" w:type="dxa"/>
                <w:right w:w="108" w:type="dxa"/>
              </w:tblCellMar>
            </w:tblPr>
            <w:tblGrid>
              <w:gridCol w:w="733"/>
              <w:gridCol w:w="2408"/>
              <w:gridCol w:w="1309"/>
              <w:gridCol w:w="1337"/>
              <w:gridCol w:w="2389"/>
            </w:tblGrid>
            <w:tr w14:paraId="1CE029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397" w:hRule="atLeast"/>
                <w:jc w:val="center"/>
              </w:trPr>
              <w:tc>
                <w:tcPr>
                  <w:tcW w:w="3141" w:type="dxa"/>
                  <w:gridSpan w:val="2"/>
                  <w:vMerge w:val="restart"/>
                  <w:tcBorders>
                    <w:top w:val="single" w:color="auto" w:sz="4" w:space="0"/>
                    <w:left w:val="single" w:color="auto" w:sz="4" w:space="0"/>
                    <w:bottom w:val="single" w:color="auto" w:sz="4" w:space="0"/>
                    <w:right w:val="single" w:color="auto" w:sz="4" w:space="0"/>
                  </w:tcBorders>
                  <w:shd w:val="clear" w:color="auto" w:fill="auto"/>
                  <w:vAlign w:val="center"/>
                </w:tcPr>
                <w:p w14:paraId="34806654">
                  <w:pPr>
                    <w:keepNext w:val="0"/>
                    <w:keepLines w:val="0"/>
                    <w:widowControl w:val="0"/>
                    <w:suppressLineNumbers w:val="0"/>
                    <w:spacing w:before="0" w:beforeAutospacing="0" w:after="0" w:afterAutospacing="0"/>
                    <w:ind w:left="0" w:right="0"/>
                    <w:jc w:val="center"/>
                    <w:rPr>
                      <w:rFonts w:hint="default" w:ascii="Times New Roman" w:hAnsi="Times New Roman" w:eastAsia="宋体" w:cs="Times New Roman"/>
                      <w:b/>
                      <w:bCs/>
                      <w:color w:val="auto"/>
                      <w:kern w:val="2"/>
                      <w:sz w:val="21"/>
                      <w:szCs w:val="21"/>
                    </w:rPr>
                  </w:pPr>
                  <w:r>
                    <w:rPr>
                      <w:rFonts w:hint="eastAsia" w:ascii="宋体" w:hAnsi="宋体" w:eastAsia="宋体" w:cs="宋体"/>
                      <w:b/>
                      <w:bCs/>
                      <w:color w:val="auto"/>
                      <w:kern w:val="2"/>
                      <w:sz w:val="21"/>
                      <w:szCs w:val="21"/>
                      <w:lang w:val="en-US" w:eastAsia="zh-CN" w:bidi="ar"/>
                    </w:rPr>
                    <w:t>项目</w:t>
                  </w:r>
                </w:p>
              </w:tc>
              <w:tc>
                <w:tcPr>
                  <w:tcW w:w="2646" w:type="dxa"/>
                  <w:gridSpan w:val="2"/>
                  <w:tcBorders>
                    <w:top w:val="single" w:color="auto" w:sz="4" w:space="0"/>
                    <w:left w:val="single" w:color="auto" w:sz="4" w:space="0"/>
                    <w:bottom w:val="single" w:color="auto" w:sz="4" w:space="0"/>
                    <w:right w:val="single" w:color="auto" w:sz="4" w:space="0"/>
                  </w:tcBorders>
                  <w:shd w:val="clear" w:color="auto" w:fill="auto"/>
                  <w:vAlign w:val="center"/>
                </w:tcPr>
                <w:p w14:paraId="53DD6906">
                  <w:pPr>
                    <w:keepNext w:val="0"/>
                    <w:keepLines w:val="0"/>
                    <w:widowControl w:val="0"/>
                    <w:suppressLineNumbers w:val="0"/>
                    <w:spacing w:before="0" w:beforeAutospacing="0" w:after="0" w:afterAutospacing="0"/>
                    <w:ind w:left="0" w:right="0"/>
                    <w:jc w:val="center"/>
                    <w:rPr>
                      <w:rFonts w:hint="default" w:ascii="Times New Roman" w:hAnsi="Times New Roman" w:eastAsia="宋体" w:cs="Times New Roman"/>
                      <w:b/>
                      <w:bCs/>
                      <w:color w:val="auto"/>
                      <w:kern w:val="2"/>
                      <w:sz w:val="21"/>
                      <w:szCs w:val="21"/>
                    </w:rPr>
                  </w:pPr>
                  <w:r>
                    <w:rPr>
                      <w:rFonts w:hint="eastAsia" w:ascii="宋体" w:hAnsi="宋体" w:eastAsia="宋体" w:cs="宋体"/>
                      <w:b/>
                      <w:bCs/>
                      <w:color w:val="auto"/>
                      <w:kern w:val="2"/>
                      <w:sz w:val="21"/>
                      <w:szCs w:val="21"/>
                      <w:lang w:val="en-US" w:eastAsia="zh-CN" w:bidi="ar"/>
                    </w:rPr>
                    <w:t>恶臭污染物排放标准值</w:t>
                  </w:r>
                </w:p>
              </w:tc>
              <w:tc>
                <w:tcPr>
                  <w:tcW w:w="2389" w:type="dxa"/>
                  <w:tcBorders>
                    <w:top w:val="single" w:color="auto" w:sz="4" w:space="0"/>
                    <w:left w:val="single" w:color="auto" w:sz="4" w:space="0"/>
                    <w:bottom w:val="single" w:color="auto" w:sz="4" w:space="0"/>
                    <w:right w:val="single" w:color="auto" w:sz="4" w:space="0"/>
                  </w:tcBorders>
                  <w:shd w:val="clear" w:color="auto" w:fill="auto"/>
                  <w:vAlign w:val="center"/>
                </w:tcPr>
                <w:p w14:paraId="7241D62F">
                  <w:pPr>
                    <w:keepNext w:val="0"/>
                    <w:keepLines w:val="0"/>
                    <w:widowControl w:val="0"/>
                    <w:suppressLineNumbers w:val="0"/>
                    <w:spacing w:before="0" w:beforeAutospacing="0" w:after="0" w:afterAutospacing="0"/>
                    <w:ind w:left="0" w:right="0"/>
                    <w:jc w:val="center"/>
                    <w:rPr>
                      <w:rFonts w:hint="default" w:ascii="Times New Roman" w:hAnsi="Times New Roman" w:eastAsia="宋体" w:cs="Times New Roman"/>
                      <w:b/>
                      <w:bCs/>
                      <w:color w:val="auto"/>
                      <w:kern w:val="2"/>
                      <w:sz w:val="21"/>
                      <w:szCs w:val="21"/>
                    </w:rPr>
                  </w:pPr>
                  <w:r>
                    <w:rPr>
                      <w:rFonts w:hint="eastAsia" w:ascii="宋体" w:hAnsi="宋体" w:eastAsia="宋体" w:cs="宋体"/>
                      <w:b/>
                      <w:bCs/>
                      <w:color w:val="auto"/>
                      <w:kern w:val="2"/>
                      <w:sz w:val="21"/>
                      <w:szCs w:val="21"/>
                      <w:lang w:val="en-US" w:eastAsia="zh-CN" w:bidi="ar"/>
                    </w:rPr>
                    <w:t>恶臭污染物厂界标准值</w:t>
                  </w:r>
                </w:p>
              </w:tc>
            </w:tr>
            <w:tr w14:paraId="1C8FA1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408" w:hRule="atLeast"/>
                <w:jc w:val="center"/>
              </w:trPr>
              <w:tc>
                <w:tcPr>
                  <w:tcW w:w="3141" w:type="dxa"/>
                  <w:gridSpan w:val="2"/>
                  <w:vMerge w:val="continue"/>
                  <w:tcBorders>
                    <w:top w:val="single" w:color="auto" w:sz="4" w:space="0"/>
                    <w:left w:val="single" w:color="auto" w:sz="4" w:space="0"/>
                    <w:bottom w:val="single" w:color="auto" w:sz="4" w:space="0"/>
                    <w:right w:val="single" w:color="auto" w:sz="4" w:space="0"/>
                  </w:tcBorders>
                  <w:shd w:val="clear" w:color="auto" w:fill="auto"/>
                  <w:vAlign w:val="center"/>
                </w:tcPr>
                <w:p w14:paraId="0C4A8326">
                  <w:pPr>
                    <w:keepNext w:val="0"/>
                    <w:keepLines w:val="0"/>
                    <w:suppressLineNumbers w:val="0"/>
                    <w:spacing w:before="0" w:beforeAutospacing="0" w:after="0" w:afterAutospacing="0"/>
                    <w:ind w:left="0" w:right="0"/>
                    <w:rPr>
                      <w:rFonts w:hint="default" w:ascii="Times New Roman" w:hAnsi="Times New Roman" w:cs="Times New Roman"/>
                      <w:color w:val="auto"/>
                      <w:sz w:val="20"/>
                      <w:szCs w:val="20"/>
                    </w:rPr>
                  </w:pPr>
                </w:p>
              </w:tc>
              <w:tc>
                <w:tcPr>
                  <w:tcW w:w="1309" w:type="dxa"/>
                  <w:tcBorders>
                    <w:top w:val="single" w:color="auto" w:sz="4" w:space="0"/>
                    <w:left w:val="single" w:color="auto" w:sz="4" w:space="0"/>
                    <w:bottom w:val="single" w:color="auto" w:sz="4" w:space="0"/>
                    <w:right w:val="single" w:color="auto" w:sz="4" w:space="0"/>
                  </w:tcBorders>
                  <w:shd w:val="clear" w:color="auto" w:fill="auto"/>
                  <w:vAlign w:val="center"/>
                </w:tcPr>
                <w:p w14:paraId="13ED7BBB">
                  <w:pPr>
                    <w:keepNext w:val="0"/>
                    <w:keepLines w:val="0"/>
                    <w:widowControl w:val="0"/>
                    <w:suppressLineNumbers w:val="0"/>
                    <w:spacing w:before="0" w:beforeAutospacing="0" w:after="0" w:afterAutospacing="0"/>
                    <w:ind w:left="0" w:right="0"/>
                    <w:jc w:val="center"/>
                    <w:rPr>
                      <w:rFonts w:hint="default" w:ascii="Times New Roman" w:hAnsi="Times New Roman" w:eastAsia="宋体" w:cs="Times New Roman"/>
                      <w:b/>
                      <w:bCs/>
                      <w:color w:val="auto"/>
                      <w:kern w:val="2"/>
                      <w:sz w:val="21"/>
                      <w:szCs w:val="21"/>
                    </w:rPr>
                  </w:pPr>
                  <w:r>
                    <w:rPr>
                      <w:rFonts w:hint="eastAsia" w:ascii="宋体" w:hAnsi="宋体" w:eastAsia="宋体" w:cs="宋体"/>
                      <w:b/>
                      <w:bCs/>
                      <w:color w:val="auto"/>
                      <w:kern w:val="2"/>
                      <w:sz w:val="21"/>
                      <w:szCs w:val="21"/>
                      <w:lang w:val="en-US" w:eastAsia="zh-CN" w:bidi="ar"/>
                    </w:rPr>
                    <w:t>排气筒高度（</w:t>
                  </w:r>
                  <w:r>
                    <w:rPr>
                      <w:rFonts w:hint="default" w:ascii="Times New Roman" w:hAnsi="Times New Roman" w:eastAsia="宋体" w:cs="Times New Roman"/>
                      <w:b/>
                      <w:bCs/>
                      <w:color w:val="auto"/>
                      <w:kern w:val="2"/>
                      <w:sz w:val="21"/>
                      <w:szCs w:val="21"/>
                      <w:lang w:val="en-US" w:eastAsia="zh-CN" w:bidi="ar"/>
                    </w:rPr>
                    <w:t>m</w:t>
                  </w:r>
                  <w:r>
                    <w:rPr>
                      <w:rFonts w:hint="eastAsia" w:ascii="宋体" w:hAnsi="宋体" w:eastAsia="宋体" w:cs="宋体"/>
                      <w:b/>
                      <w:bCs/>
                      <w:color w:val="auto"/>
                      <w:kern w:val="2"/>
                      <w:sz w:val="21"/>
                      <w:szCs w:val="21"/>
                      <w:lang w:val="en-US" w:eastAsia="zh-CN" w:bidi="ar"/>
                    </w:rPr>
                    <w:t>）</w:t>
                  </w:r>
                </w:p>
              </w:tc>
              <w:tc>
                <w:tcPr>
                  <w:tcW w:w="1337" w:type="dxa"/>
                  <w:tcBorders>
                    <w:top w:val="single" w:color="auto" w:sz="4" w:space="0"/>
                    <w:left w:val="single" w:color="auto" w:sz="4" w:space="0"/>
                    <w:bottom w:val="single" w:color="auto" w:sz="4" w:space="0"/>
                    <w:right w:val="single" w:color="auto" w:sz="4" w:space="0"/>
                  </w:tcBorders>
                  <w:shd w:val="clear" w:color="auto" w:fill="auto"/>
                  <w:vAlign w:val="center"/>
                </w:tcPr>
                <w:p w14:paraId="5DCA4473">
                  <w:pPr>
                    <w:keepNext w:val="0"/>
                    <w:keepLines w:val="0"/>
                    <w:widowControl w:val="0"/>
                    <w:suppressLineNumbers w:val="0"/>
                    <w:spacing w:before="0" w:beforeAutospacing="0" w:after="0" w:afterAutospacing="0"/>
                    <w:ind w:left="0" w:right="0"/>
                    <w:jc w:val="center"/>
                    <w:rPr>
                      <w:rFonts w:hint="eastAsia" w:ascii="宋体" w:hAnsi="宋体" w:eastAsia="宋体" w:cs="宋体"/>
                      <w:b/>
                      <w:bCs/>
                      <w:color w:val="auto"/>
                      <w:kern w:val="2"/>
                      <w:sz w:val="21"/>
                      <w:szCs w:val="21"/>
                    </w:rPr>
                  </w:pPr>
                  <w:r>
                    <w:rPr>
                      <w:rFonts w:hint="eastAsia" w:ascii="宋体" w:hAnsi="宋体" w:eastAsia="宋体" w:cs="宋体"/>
                      <w:b/>
                      <w:bCs/>
                      <w:color w:val="auto"/>
                      <w:kern w:val="2"/>
                      <w:sz w:val="21"/>
                      <w:szCs w:val="21"/>
                      <w:lang w:val="en-US" w:eastAsia="zh-CN" w:bidi="ar"/>
                    </w:rPr>
                    <w:t>标准值</w:t>
                  </w:r>
                </w:p>
                <w:p w14:paraId="60649891">
                  <w:pPr>
                    <w:keepNext w:val="0"/>
                    <w:keepLines w:val="0"/>
                    <w:widowControl w:val="0"/>
                    <w:suppressLineNumbers w:val="0"/>
                    <w:spacing w:before="0" w:beforeAutospacing="0" w:after="0" w:afterAutospacing="0"/>
                    <w:ind w:left="0" w:right="0"/>
                    <w:jc w:val="center"/>
                    <w:rPr>
                      <w:rFonts w:hint="default" w:ascii="Times New Roman" w:hAnsi="Times New Roman" w:eastAsia="宋体" w:cs="Times New Roman"/>
                      <w:b/>
                      <w:bCs/>
                      <w:color w:val="auto"/>
                      <w:kern w:val="2"/>
                      <w:sz w:val="21"/>
                      <w:szCs w:val="21"/>
                    </w:rPr>
                  </w:pPr>
                  <w:r>
                    <w:rPr>
                      <w:rFonts w:hint="eastAsia" w:ascii="宋体" w:hAnsi="宋体" w:eastAsia="宋体" w:cs="宋体"/>
                      <w:b/>
                      <w:bCs/>
                      <w:color w:val="auto"/>
                      <w:kern w:val="2"/>
                      <w:sz w:val="21"/>
                      <w:szCs w:val="21"/>
                      <w:lang w:val="en-US" w:eastAsia="zh-CN" w:bidi="ar"/>
                    </w:rPr>
                    <w:t>（无量纲）</w:t>
                  </w:r>
                </w:p>
              </w:tc>
              <w:tc>
                <w:tcPr>
                  <w:tcW w:w="2389" w:type="dxa"/>
                  <w:tcBorders>
                    <w:top w:val="single" w:color="auto" w:sz="4" w:space="0"/>
                    <w:left w:val="single" w:color="auto" w:sz="4" w:space="0"/>
                    <w:bottom w:val="single" w:color="auto" w:sz="4" w:space="0"/>
                    <w:right w:val="single" w:color="auto" w:sz="4" w:space="0"/>
                  </w:tcBorders>
                  <w:shd w:val="clear" w:color="auto" w:fill="auto"/>
                  <w:vAlign w:val="center"/>
                </w:tcPr>
                <w:p w14:paraId="7AA9FD23">
                  <w:pPr>
                    <w:keepNext w:val="0"/>
                    <w:keepLines w:val="0"/>
                    <w:widowControl w:val="0"/>
                    <w:suppressLineNumbers w:val="0"/>
                    <w:spacing w:before="0" w:beforeAutospacing="0" w:after="0" w:afterAutospacing="0"/>
                    <w:ind w:left="0" w:right="0"/>
                    <w:jc w:val="center"/>
                    <w:rPr>
                      <w:rFonts w:hint="eastAsia" w:ascii="宋体" w:hAnsi="宋体" w:eastAsia="宋体" w:cs="宋体"/>
                      <w:b/>
                      <w:bCs/>
                      <w:color w:val="auto"/>
                      <w:kern w:val="2"/>
                      <w:sz w:val="21"/>
                      <w:szCs w:val="21"/>
                    </w:rPr>
                  </w:pPr>
                  <w:r>
                    <w:rPr>
                      <w:rFonts w:hint="eastAsia" w:ascii="宋体" w:hAnsi="宋体" w:eastAsia="宋体" w:cs="宋体"/>
                      <w:b/>
                      <w:bCs/>
                      <w:color w:val="auto"/>
                      <w:kern w:val="2"/>
                      <w:sz w:val="21"/>
                      <w:szCs w:val="21"/>
                      <w:lang w:val="en-US" w:eastAsia="zh-CN" w:bidi="ar"/>
                    </w:rPr>
                    <w:t>二级新扩改建</w:t>
                  </w:r>
                </w:p>
                <w:p w14:paraId="74EAC10F">
                  <w:pPr>
                    <w:keepNext w:val="0"/>
                    <w:keepLines w:val="0"/>
                    <w:widowControl w:val="0"/>
                    <w:suppressLineNumbers w:val="0"/>
                    <w:spacing w:before="0" w:beforeAutospacing="0" w:after="0" w:afterAutospacing="0"/>
                    <w:ind w:left="0" w:right="0"/>
                    <w:jc w:val="center"/>
                    <w:rPr>
                      <w:rFonts w:hint="default" w:ascii="Times New Roman" w:hAnsi="Times New Roman" w:eastAsia="宋体" w:cs="Times New Roman"/>
                      <w:b/>
                      <w:bCs/>
                      <w:color w:val="auto"/>
                      <w:kern w:val="2"/>
                      <w:sz w:val="21"/>
                      <w:szCs w:val="21"/>
                    </w:rPr>
                  </w:pPr>
                  <w:r>
                    <w:rPr>
                      <w:rFonts w:hint="eastAsia" w:ascii="宋体" w:hAnsi="宋体" w:eastAsia="宋体" w:cs="宋体"/>
                      <w:b/>
                      <w:bCs/>
                      <w:color w:val="auto"/>
                      <w:kern w:val="2"/>
                      <w:sz w:val="21"/>
                      <w:szCs w:val="21"/>
                      <w:lang w:val="en-US" w:eastAsia="zh-CN" w:bidi="ar"/>
                    </w:rPr>
                    <w:t>（无量纲）</w:t>
                  </w:r>
                </w:p>
              </w:tc>
            </w:tr>
            <w:tr w14:paraId="3A7813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397" w:hRule="atLeast"/>
                <w:jc w:val="center"/>
              </w:trPr>
              <w:tc>
                <w:tcPr>
                  <w:tcW w:w="733" w:type="dxa"/>
                  <w:vMerge w:val="restart"/>
                  <w:tcBorders>
                    <w:top w:val="nil"/>
                    <w:left w:val="single" w:color="auto" w:sz="4" w:space="0"/>
                    <w:bottom w:val="single" w:color="auto" w:sz="4" w:space="0"/>
                    <w:right w:val="single" w:color="auto" w:sz="4" w:space="0"/>
                  </w:tcBorders>
                  <w:shd w:val="clear" w:color="auto" w:fill="auto"/>
                  <w:vAlign w:val="center"/>
                </w:tcPr>
                <w:p w14:paraId="58C3441D">
                  <w:pPr>
                    <w:keepNext w:val="0"/>
                    <w:keepLines w:val="0"/>
                    <w:widowControl w:val="0"/>
                    <w:suppressLineNumbers w:val="0"/>
                    <w:spacing w:before="0" w:beforeAutospacing="0" w:after="0" w:afterAutospacing="0"/>
                    <w:ind w:left="0" w:right="0"/>
                    <w:jc w:val="center"/>
                    <w:rPr>
                      <w:rFonts w:hint="default" w:ascii="Times New Roman" w:hAnsi="Times New Roman" w:eastAsia="宋体" w:cs="Times New Roman"/>
                      <w:b w:val="0"/>
                      <w:bCs w:val="0"/>
                      <w:color w:val="auto"/>
                      <w:kern w:val="2"/>
                      <w:sz w:val="21"/>
                      <w:szCs w:val="21"/>
                    </w:rPr>
                  </w:pPr>
                  <w:r>
                    <w:rPr>
                      <w:rFonts w:hint="eastAsia" w:ascii="宋体" w:hAnsi="宋体" w:eastAsia="宋体" w:cs="宋体"/>
                      <w:b w:val="0"/>
                      <w:bCs w:val="0"/>
                      <w:color w:val="auto"/>
                      <w:kern w:val="2"/>
                      <w:sz w:val="21"/>
                      <w:szCs w:val="21"/>
                      <w:lang w:val="en-US" w:eastAsia="zh-CN" w:bidi="ar"/>
                    </w:rPr>
                    <w:t>臭气浓度</w:t>
                  </w:r>
                </w:p>
              </w:tc>
              <w:tc>
                <w:tcPr>
                  <w:tcW w:w="2408" w:type="dxa"/>
                  <w:tcBorders>
                    <w:top w:val="single" w:color="auto" w:sz="4" w:space="0"/>
                    <w:left w:val="single" w:color="auto" w:sz="4" w:space="0"/>
                    <w:bottom w:val="single" w:color="auto" w:sz="4" w:space="0"/>
                    <w:right w:val="single" w:color="auto" w:sz="4" w:space="0"/>
                  </w:tcBorders>
                  <w:shd w:val="clear" w:color="auto" w:fill="auto"/>
                  <w:vAlign w:val="center"/>
                </w:tcPr>
                <w:p w14:paraId="48C42600">
                  <w:pPr>
                    <w:keepNext w:val="0"/>
                    <w:keepLines w:val="0"/>
                    <w:widowControl w:val="0"/>
                    <w:suppressLineNumbers w:val="0"/>
                    <w:spacing w:before="0" w:beforeAutospacing="0" w:after="0" w:afterAutospacing="0"/>
                    <w:ind w:left="0" w:right="0"/>
                    <w:jc w:val="center"/>
                    <w:rPr>
                      <w:rFonts w:hint="default" w:ascii="Times New Roman" w:hAnsi="Times New Roman" w:eastAsia="宋体" w:cs="Times New Roman"/>
                      <w:b w:val="0"/>
                      <w:bCs w:val="0"/>
                      <w:color w:val="auto"/>
                      <w:kern w:val="2"/>
                      <w:sz w:val="21"/>
                      <w:szCs w:val="21"/>
                    </w:rPr>
                  </w:pPr>
                  <w:r>
                    <w:rPr>
                      <w:rFonts w:hint="eastAsia" w:ascii="宋体" w:hAnsi="宋体" w:eastAsia="宋体" w:cs="宋体"/>
                      <w:b w:val="0"/>
                      <w:bCs w:val="0"/>
                      <w:color w:val="auto"/>
                      <w:kern w:val="2"/>
                      <w:sz w:val="21"/>
                      <w:szCs w:val="21"/>
                      <w:lang w:val="en-US" w:eastAsia="zh-CN" w:bidi="ar"/>
                    </w:rPr>
                    <w:t>《恶臭污染物排放标准》（</w:t>
                  </w:r>
                  <w:r>
                    <w:rPr>
                      <w:rFonts w:hint="default" w:ascii="Times New Roman" w:hAnsi="Times New Roman" w:eastAsia="宋体" w:cs="Times New Roman"/>
                      <w:b w:val="0"/>
                      <w:bCs w:val="0"/>
                      <w:color w:val="auto"/>
                      <w:kern w:val="2"/>
                      <w:sz w:val="21"/>
                      <w:szCs w:val="21"/>
                      <w:lang w:val="en-US" w:eastAsia="zh-CN" w:bidi="ar"/>
                    </w:rPr>
                    <w:t>GB14554-93</w:t>
                  </w:r>
                  <w:r>
                    <w:rPr>
                      <w:rFonts w:hint="eastAsia" w:ascii="宋体" w:hAnsi="宋体" w:eastAsia="宋体" w:cs="宋体"/>
                      <w:b w:val="0"/>
                      <w:bCs w:val="0"/>
                      <w:color w:val="auto"/>
                      <w:kern w:val="2"/>
                      <w:sz w:val="21"/>
                      <w:szCs w:val="21"/>
                      <w:lang w:val="en-US" w:eastAsia="zh-CN" w:bidi="ar"/>
                    </w:rPr>
                    <w:t>）</w:t>
                  </w:r>
                </w:p>
              </w:tc>
              <w:tc>
                <w:tcPr>
                  <w:tcW w:w="1309" w:type="dxa"/>
                  <w:tcBorders>
                    <w:top w:val="single" w:color="auto" w:sz="4" w:space="0"/>
                    <w:left w:val="single" w:color="auto" w:sz="4" w:space="0"/>
                    <w:bottom w:val="single" w:color="auto" w:sz="4" w:space="0"/>
                    <w:right w:val="single" w:color="auto" w:sz="4" w:space="0"/>
                  </w:tcBorders>
                  <w:shd w:val="clear" w:color="auto" w:fill="auto"/>
                  <w:vAlign w:val="center"/>
                </w:tcPr>
                <w:p w14:paraId="5F9D7676">
                  <w:pPr>
                    <w:keepNext w:val="0"/>
                    <w:keepLines w:val="0"/>
                    <w:widowControl w:val="0"/>
                    <w:suppressLineNumbers w:val="0"/>
                    <w:spacing w:before="0" w:beforeAutospacing="0" w:after="0" w:afterAutospacing="0"/>
                    <w:ind w:left="0" w:right="0"/>
                    <w:jc w:val="center"/>
                    <w:rPr>
                      <w:rFonts w:hint="default" w:ascii="Times New Roman" w:hAnsi="Times New Roman" w:eastAsia="宋体" w:cs="Times New Roman"/>
                      <w:color w:val="auto"/>
                      <w:kern w:val="2"/>
                      <w:sz w:val="21"/>
                      <w:szCs w:val="21"/>
                      <w:lang w:val="en-US"/>
                    </w:rPr>
                  </w:pPr>
                  <w:r>
                    <w:rPr>
                      <w:rFonts w:hint="eastAsia" w:ascii="Times New Roman" w:hAnsi="Times New Roman" w:eastAsia="宋体" w:cs="Times New Roman"/>
                      <w:color w:val="auto"/>
                      <w:kern w:val="2"/>
                      <w:sz w:val="21"/>
                      <w:szCs w:val="21"/>
                      <w:lang w:val="en-US" w:eastAsia="zh-CN" w:bidi="ar"/>
                    </w:rPr>
                    <w:t>26</w:t>
                  </w:r>
                </w:p>
              </w:tc>
              <w:tc>
                <w:tcPr>
                  <w:tcW w:w="1337" w:type="dxa"/>
                  <w:tcBorders>
                    <w:top w:val="single" w:color="auto" w:sz="4" w:space="0"/>
                    <w:left w:val="single" w:color="auto" w:sz="4" w:space="0"/>
                    <w:bottom w:val="single" w:color="auto" w:sz="4" w:space="0"/>
                    <w:right w:val="single" w:color="auto" w:sz="4" w:space="0"/>
                  </w:tcBorders>
                  <w:shd w:val="clear" w:color="auto" w:fill="auto"/>
                  <w:vAlign w:val="center"/>
                </w:tcPr>
                <w:p w14:paraId="0A2FB4A5">
                  <w:pPr>
                    <w:keepNext w:val="0"/>
                    <w:keepLines w:val="0"/>
                    <w:widowControl w:val="0"/>
                    <w:suppressLineNumbers w:val="0"/>
                    <w:spacing w:before="0" w:beforeAutospacing="0" w:after="0" w:afterAutospacing="0"/>
                    <w:ind w:left="0" w:right="0"/>
                    <w:jc w:val="center"/>
                    <w:rPr>
                      <w:rFonts w:hint="default" w:ascii="Times New Roman" w:hAnsi="Times New Roman" w:eastAsia="宋体" w:cs="Times New Roman"/>
                      <w:color w:val="auto"/>
                      <w:kern w:val="2"/>
                      <w:sz w:val="21"/>
                      <w:szCs w:val="21"/>
                      <w:lang w:val="en-US" w:eastAsia="zh-CN"/>
                    </w:rPr>
                  </w:pPr>
                  <w:r>
                    <w:rPr>
                      <w:rFonts w:hint="eastAsia" w:ascii="Times New Roman" w:hAnsi="Times New Roman" w:eastAsia="宋体" w:cs="Times New Roman"/>
                      <w:color w:val="auto"/>
                      <w:kern w:val="2"/>
                      <w:sz w:val="21"/>
                      <w:szCs w:val="21"/>
                      <w:lang w:val="en-US" w:eastAsia="zh-CN"/>
                    </w:rPr>
                    <w:t>6000</w:t>
                  </w:r>
                </w:p>
              </w:tc>
              <w:tc>
                <w:tcPr>
                  <w:tcW w:w="2389" w:type="dxa"/>
                  <w:tcBorders>
                    <w:top w:val="single" w:color="auto" w:sz="4" w:space="0"/>
                    <w:left w:val="single" w:color="auto" w:sz="4" w:space="0"/>
                    <w:bottom w:val="single" w:color="auto" w:sz="4" w:space="0"/>
                    <w:right w:val="single" w:color="auto" w:sz="4" w:space="0"/>
                  </w:tcBorders>
                  <w:shd w:val="clear" w:color="auto" w:fill="auto"/>
                  <w:vAlign w:val="center"/>
                </w:tcPr>
                <w:p w14:paraId="1626F21E">
                  <w:pPr>
                    <w:keepNext w:val="0"/>
                    <w:keepLines w:val="0"/>
                    <w:widowControl w:val="0"/>
                    <w:suppressLineNumbers w:val="0"/>
                    <w:spacing w:before="0" w:beforeAutospacing="0" w:after="0" w:afterAutospacing="0"/>
                    <w:ind w:left="0" w:right="0"/>
                    <w:jc w:val="center"/>
                    <w:rPr>
                      <w:rFonts w:hint="default" w:ascii="Times New Roman" w:hAnsi="Times New Roman" w:eastAsia="宋体" w:cs="Times New Roman"/>
                      <w:color w:val="auto"/>
                      <w:kern w:val="2"/>
                      <w:sz w:val="21"/>
                      <w:szCs w:val="21"/>
                    </w:rPr>
                  </w:pPr>
                  <w:r>
                    <w:rPr>
                      <w:rFonts w:hint="default" w:ascii="Times New Roman" w:hAnsi="Times New Roman" w:eastAsia="宋体" w:cs="Times New Roman"/>
                      <w:color w:val="auto"/>
                      <w:kern w:val="2"/>
                      <w:sz w:val="21"/>
                      <w:szCs w:val="21"/>
                      <w:lang w:val="en-US" w:eastAsia="zh-CN" w:bidi="ar"/>
                    </w:rPr>
                    <w:t>20</w:t>
                  </w:r>
                </w:p>
              </w:tc>
            </w:tr>
            <w:tr w14:paraId="6EC33B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733" w:type="dxa"/>
                  <w:vMerge w:val="continue"/>
                  <w:tcBorders>
                    <w:top w:val="nil"/>
                    <w:left w:val="single" w:color="auto" w:sz="4" w:space="0"/>
                    <w:bottom w:val="single" w:color="auto" w:sz="4" w:space="0"/>
                    <w:right w:val="single" w:color="auto" w:sz="4" w:space="0"/>
                  </w:tcBorders>
                  <w:shd w:val="clear" w:color="auto" w:fill="auto"/>
                  <w:vAlign w:val="center"/>
                </w:tcPr>
                <w:p w14:paraId="099561EE">
                  <w:pPr>
                    <w:keepNext w:val="0"/>
                    <w:keepLines w:val="0"/>
                    <w:suppressLineNumbers w:val="0"/>
                    <w:spacing w:before="0" w:beforeAutospacing="0" w:after="0" w:afterAutospacing="0"/>
                    <w:ind w:left="0" w:right="0"/>
                    <w:rPr>
                      <w:rFonts w:hint="default" w:ascii="Times New Roman" w:hAnsi="Times New Roman" w:cs="Times New Roman"/>
                      <w:color w:val="auto"/>
                      <w:sz w:val="20"/>
                      <w:szCs w:val="20"/>
                    </w:rPr>
                  </w:pPr>
                </w:p>
              </w:tc>
              <w:tc>
                <w:tcPr>
                  <w:tcW w:w="2408" w:type="dxa"/>
                  <w:tcBorders>
                    <w:top w:val="single" w:color="auto" w:sz="4" w:space="0"/>
                    <w:left w:val="single" w:color="auto" w:sz="4" w:space="0"/>
                    <w:bottom w:val="single" w:color="auto" w:sz="4" w:space="0"/>
                    <w:right w:val="single" w:color="auto" w:sz="4" w:space="0"/>
                  </w:tcBorders>
                  <w:shd w:val="clear" w:color="auto" w:fill="auto"/>
                  <w:vAlign w:val="center"/>
                </w:tcPr>
                <w:p w14:paraId="63F5F22A">
                  <w:pPr>
                    <w:keepNext w:val="0"/>
                    <w:keepLines w:val="0"/>
                    <w:widowControl w:val="0"/>
                    <w:suppressLineNumbers w:val="0"/>
                    <w:spacing w:before="0" w:beforeAutospacing="0" w:after="0" w:afterAutospacing="0"/>
                    <w:ind w:left="0" w:right="0"/>
                    <w:jc w:val="center"/>
                    <w:rPr>
                      <w:rFonts w:hint="default" w:ascii="Times New Roman" w:hAnsi="Times New Roman" w:eastAsia="宋体" w:cs="Times New Roman"/>
                      <w:b w:val="0"/>
                      <w:bCs w:val="0"/>
                      <w:color w:val="auto"/>
                      <w:kern w:val="2"/>
                      <w:sz w:val="21"/>
                      <w:szCs w:val="21"/>
                    </w:rPr>
                  </w:pPr>
                  <w:r>
                    <w:rPr>
                      <w:rFonts w:hint="eastAsia" w:ascii="宋体" w:hAnsi="宋体" w:eastAsia="宋体" w:cs="宋体"/>
                      <w:b w:val="0"/>
                      <w:bCs w:val="0"/>
                      <w:color w:val="auto"/>
                      <w:kern w:val="2"/>
                      <w:sz w:val="21"/>
                      <w:szCs w:val="21"/>
                      <w:lang w:val="en-US" w:eastAsia="zh-CN" w:bidi="ar"/>
                    </w:rPr>
                    <w:t>《湖州市木业、漆包线及塑料行业废气整治规范》</w:t>
                  </w:r>
                </w:p>
              </w:tc>
              <w:tc>
                <w:tcPr>
                  <w:tcW w:w="1309" w:type="dxa"/>
                  <w:tcBorders>
                    <w:top w:val="single" w:color="auto" w:sz="4" w:space="0"/>
                    <w:left w:val="single" w:color="auto" w:sz="4" w:space="0"/>
                    <w:bottom w:val="single" w:color="auto" w:sz="4" w:space="0"/>
                    <w:right w:val="single" w:color="auto" w:sz="4" w:space="0"/>
                  </w:tcBorders>
                  <w:shd w:val="clear" w:color="auto" w:fill="auto"/>
                  <w:vAlign w:val="center"/>
                </w:tcPr>
                <w:p w14:paraId="79AC850E">
                  <w:pPr>
                    <w:keepNext w:val="0"/>
                    <w:keepLines w:val="0"/>
                    <w:widowControl w:val="0"/>
                    <w:suppressLineNumbers w:val="0"/>
                    <w:spacing w:before="0" w:beforeAutospacing="0" w:after="0" w:afterAutospacing="0"/>
                    <w:ind w:left="0" w:right="0"/>
                    <w:jc w:val="center"/>
                    <w:rPr>
                      <w:rFonts w:hint="default" w:ascii="Times New Roman" w:hAnsi="Times New Roman" w:eastAsia="宋体" w:cs="Times New Roman"/>
                      <w:color w:val="auto"/>
                      <w:kern w:val="2"/>
                      <w:sz w:val="21"/>
                      <w:szCs w:val="21"/>
                    </w:rPr>
                  </w:pPr>
                  <w:r>
                    <w:rPr>
                      <w:rFonts w:hint="default" w:ascii="Times New Roman" w:hAnsi="Times New Roman" w:eastAsia="宋体" w:cs="Times New Roman"/>
                      <w:color w:val="auto"/>
                      <w:kern w:val="2"/>
                      <w:sz w:val="21"/>
                      <w:szCs w:val="21"/>
                      <w:lang w:val="en-US" w:eastAsia="zh-CN" w:bidi="ar"/>
                    </w:rPr>
                    <w:t>/</w:t>
                  </w:r>
                </w:p>
              </w:tc>
              <w:tc>
                <w:tcPr>
                  <w:tcW w:w="1337" w:type="dxa"/>
                  <w:tcBorders>
                    <w:top w:val="single" w:color="auto" w:sz="4" w:space="0"/>
                    <w:left w:val="single" w:color="auto" w:sz="4" w:space="0"/>
                    <w:bottom w:val="single" w:color="auto" w:sz="4" w:space="0"/>
                    <w:right w:val="single" w:color="auto" w:sz="4" w:space="0"/>
                  </w:tcBorders>
                  <w:shd w:val="clear" w:color="auto" w:fill="auto"/>
                  <w:vAlign w:val="center"/>
                </w:tcPr>
                <w:p w14:paraId="119CA341">
                  <w:pPr>
                    <w:keepNext w:val="0"/>
                    <w:keepLines w:val="0"/>
                    <w:widowControl w:val="0"/>
                    <w:suppressLineNumbers w:val="0"/>
                    <w:spacing w:before="0" w:beforeAutospacing="0" w:after="0" w:afterAutospacing="0"/>
                    <w:ind w:left="0" w:right="0"/>
                    <w:jc w:val="center"/>
                    <w:rPr>
                      <w:rFonts w:hint="default" w:ascii="Times New Roman" w:hAnsi="Times New Roman" w:eastAsia="宋体" w:cs="Times New Roman"/>
                      <w:color w:val="auto"/>
                      <w:kern w:val="2"/>
                      <w:sz w:val="21"/>
                      <w:szCs w:val="21"/>
                    </w:rPr>
                  </w:pPr>
                  <w:r>
                    <w:rPr>
                      <w:rFonts w:hint="default" w:ascii="Times New Roman" w:hAnsi="Times New Roman" w:eastAsia="宋体" w:cs="Times New Roman"/>
                      <w:color w:val="auto"/>
                      <w:kern w:val="2"/>
                      <w:sz w:val="21"/>
                      <w:szCs w:val="21"/>
                      <w:lang w:val="en-US" w:eastAsia="zh-CN" w:bidi="ar"/>
                    </w:rPr>
                    <w:t>1000</w:t>
                  </w:r>
                </w:p>
              </w:tc>
              <w:tc>
                <w:tcPr>
                  <w:tcW w:w="2389" w:type="dxa"/>
                  <w:tcBorders>
                    <w:top w:val="single" w:color="auto" w:sz="4" w:space="0"/>
                    <w:left w:val="single" w:color="auto" w:sz="4" w:space="0"/>
                    <w:bottom w:val="single" w:color="auto" w:sz="4" w:space="0"/>
                    <w:right w:val="single" w:color="auto" w:sz="4" w:space="0"/>
                  </w:tcBorders>
                  <w:shd w:val="clear" w:color="auto" w:fill="auto"/>
                  <w:vAlign w:val="center"/>
                </w:tcPr>
                <w:p w14:paraId="20D6EA04">
                  <w:pPr>
                    <w:keepNext w:val="0"/>
                    <w:keepLines w:val="0"/>
                    <w:widowControl w:val="0"/>
                    <w:suppressLineNumbers w:val="0"/>
                    <w:spacing w:before="0" w:beforeAutospacing="0" w:after="0" w:afterAutospacing="0"/>
                    <w:ind w:left="0" w:right="0"/>
                    <w:jc w:val="center"/>
                    <w:rPr>
                      <w:rFonts w:hint="default" w:ascii="Times New Roman" w:hAnsi="Times New Roman" w:eastAsia="宋体" w:cs="Times New Roman"/>
                      <w:color w:val="auto"/>
                      <w:kern w:val="2"/>
                      <w:sz w:val="21"/>
                      <w:szCs w:val="21"/>
                    </w:rPr>
                  </w:pPr>
                  <w:r>
                    <w:rPr>
                      <w:rFonts w:hint="default" w:ascii="Times New Roman" w:hAnsi="Times New Roman" w:eastAsia="宋体" w:cs="Times New Roman"/>
                      <w:color w:val="auto"/>
                      <w:kern w:val="2"/>
                      <w:sz w:val="21"/>
                      <w:szCs w:val="21"/>
                      <w:lang w:val="en-US" w:eastAsia="zh-CN" w:bidi="ar"/>
                    </w:rPr>
                    <w:t>/</w:t>
                  </w:r>
                </w:p>
              </w:tc>
            </w:tr>
            <w:tr w14:paraId="469920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733" w:type="dxa"/>
                  <w:vMerge w:val="continue"/>
                  <w:tcBorders>
                    <w:top w:val="nil"/>
                    <w:left w:val="single" w:color="auto" w:sz="4" w:space="0"/>
                    <w:bottom w:val="single" w:color="auto" w:sz="4" w:space="0"/>
                    <w:right w:val="single" w:color="auto" w:sz="4" w:space="0"/>
                  </w:tcBorders>
                  <w:shd w:val="clear" w:color="auto" w:fill="auto"/>
                  <w:vAlign w:val="center"/>
                </w:tcPr>
                <w:p w14:paraId="08F1211D">
                  <w:pPr>
                    <w:keepNext w:val="0"/>
                    <w:keepLines w:val="0"/>
                    <w:suppressLineNumbers w:val="0"/>
                    <w:spacing w:before="0" w:beforeAutospacing="0" w:after="0" w:afterAutospacing="0"/>
                    <w:ind w:left="0" w:right="0"/>
                    <w:rPr>
                      <w:rFonts w:hint="default" w:ascii="Times New Roman" w:hAnsi="Times New Roman" w:cs="Times New Roman"/>
                      <w:color w:val="auto"/>
                      <w:sz w:val="20"/>
                      <w:szCs w:val="20"/>
                    </w:rPr>
                  </w:pPr>
                </w:p>
              </w:tc>
              <w:tc>
                <w:tcPr>
                  <w:tcW w:w="2408" w:type="dxa"/>
                  <w:tcBorders>
                    <w:top w:val="single" w:color="auto" w:sz="4" w:space="0"/>
                    <w:left w:val="single" w:color="auto" w:sz="4" w:space="0"/>
                    <w:bottom w:val="single" w:color="auto" w:sz="4" w:space="0"/>
                    <w:right w:val="single" w:color="auto" w:sz="4" w:space="0"/>
                  </w:tcBorders>
                  <w:shd w:val="clear" w:color="auto" w:fill="auto"/>
                  <w:vAlign w:val="center"/>
                </w:tcPr>
                <w:p w14:paraId="6A9A6531">
                  <w:pPr>
                    <w:keepNext w:val="0"/>
                    <w:keepLines w:val="0"/>
                    <w:widowControl w:val="0"/>
                    <w:suppressLineNumbers w:val="0"/>
                    <w:spacing w:before="0" w:beforeAutospacing="0" w:after="0" w:afterAutospacing="0"/>
                    <w:ind w:left="0" w:right="0"/>
                    <w:jc w:val="center"/>
                    <w:rPr>
                      <w:rFonts w:hint="default" w:ascii="Times New Roman" w:hAnsi="Times New Roman" w:eastAsia="宋体" w:cs="Times New Roman"/>
                      <w:b w:val="0"/>
                      <w:bCs w:val="0"/>
                      <w:color w:val="auto"/>
                      <w:kern w:val="2"/>
                      <w:sz w:val="21"/>
                      <w:szCs w:val="21"/>
                    </w:rPr>
                  </w:pPr>
                  <w:r>
                    <w:rPr>
                      <w:rFonts w:hint="eastAsia" w:ascii="宋体" w:hAnsi="宋体" w:eastAsia="宋体" w:cs="宋体"/>
                      <w:b w:val="0"/>
                      <w:bCs w:val="0"/>
                      <w:color w:val="auto"/>
                      <w:kern w:val="2"/>
                      <w:sz w:val="21"/>
                      <w:szCs w:val="21"/>
                      <w:lang w:val="en-US" w:eastAsia="zh-CN" w:bidi="ar"/>
                    </w:rPr>
                    <w:t>本项目执行</w:t>
                  </w:r>
                </w:p>
              </w:tc>
              <w:tc>
                <w:tcPr>
                  <w:tcW w:w="1309" w:type="dxa"/>
                  <w:tcBorders>
                    <w:top w:val="single" w:color="auto" w:sz="4" w:space="0"/>
                    <w:left w:val="single" w:color="auto" w:sz="4" w:space="0"/>
                    <w:bottom w:val="single" w:color="auto" w:sz="4" w:space="0"/>
                    <w:right w:val="single" w:color="auto" w:sz="4" w:space="0"/>
                  </w:tcBorders>
                  <w:shd w:val="clear" w:color="auto" w:fill="auto"/>
                  <w:vAlign w:val="center"/>
                </w:tcPr>
                <w:p w14:paraId="5DC711F6">
                  <w:pPr>
                    <w:keepNext w:val="0"/>
                    <w:keepLines w:val="0"/>
                    <w:widowControl w:val="0"/>
                    <w:suppressLineNumbers w:val="0"/>
                    <w:spacing w:before="0" w:beforeAutospacing="0" w:after="0" w:afterAutospacing="0"/>
                    <w:ind w:left="0" w:right="0"/>
                    <w:jc w:val="center"/>
                    <w:rPr>
                      <w:rFonts w:hint="default" w:ascii="Times New Roman" w:hAnsi="Times New Roman" w:eastAsia="宋体" w:cs="Times New Roman"/>
                      <w:color w:val="auto"/>
                      <w:kern w:val="2"/>
                      <w:sz w:val="21"/>
                      <w:szCs w:val="21"/>
                    </w:rPr>
                  </w:pPr>
                  <w:r>
                    <w:rPr>
                      <w:rFonts w:hint="default" w:ascii="Times New Roman" w:hAnsi="Times New Roman" w:eastAsia="宋体" w:cs="Times New Roman"/>
                      <w:color w:val="auto"/>
                      <w:kern w:val="2"/>
                      <w:sz w:val="21"/>
                      <w:szCs w:val="21"/>
                      <w:lang w:val="en-US" w:eastAsia="zh-CN" w:bidi="ar"/>
                    </w:rPr>
                    <w:t>/</w:t>
                  </w:r>
                </w:p>
              </w:tc>
              <w:tc>
                <w:tcPr>
                  <w:tcW w:w="1337" w:type="dxa"/>
                  <w:tcBorders>
                    <w:top w:val="single" w:color="auto" w:sz="4" w:space="0"/>
                    <w:left w:val="single" w:color="auto" w:sz="4" w:space="0"/>
                    <w:bottom w:val="single" w:color="auto" w:sz="4" w:space="0"/>
                    <w:right w:val="single" w:color="auto" w:sz="4" w:space="0"/>
                  </w:tcBorders>
                  <w:shd w:val="clear" w:color="auto" w:fill="auto"/>
                  <w:vAlign w:val="center"/>
                </w:tcPr>
                <w:p w14:paraId="57A79E05">
                  <w:pPr>
                    <w:keepNext w:val="0"/>
                    <w:keepLines w:val="0"/>
                    <w:widowControl w:val="0"/>
                    <w:suppressLineNumbers w:val="0"/>
                    <w:spacing w:before="0" w:beforeAutospacing="0" w:after="0" w:afterAutospacing="0"/>
                    <w:ind w:left="0" w:right="0"/>
                    <w:jc w:val="center"/>
                    <w:rPr>
                      <w:rFonts w:hint="default" w:ascii="Times New Roman" w:hAnsi="Times New Roman" w:eastAsia="宋体" w:cs="Times New Roman"/>
                      <w:color w:val="auto"/>
                      <w:kern w:val="2"/>
                      <w:sz w:val="21"/>
                      <w:szCs w:val="21"/>
                      <w:lang w:val="en-US" w:eastAsia="zh-CN"/>
                    </w:rPr>
                  </w:pPr>
                  <w:r>
                    <w:rPr>
                      <w:rFonts w:hint="eastAsia" w:ascii="Times New Roman" w:hAnsi="Times New Roman" w:eastAsia="宋体" w:cs="Times New Roman"/>
                      <w:color w:val="auto"/>
                      <w:kern w:val="2"/>
                      <w:sz w:val="21"/>
                      <w:szCs w:val="21"/>
                      <w:lang w:val="en-US" w:eastAsia="zh-CN"/>
                    </w:rPr>
                    <w:t>1000</w:t>
                  </w:r>
                </w:p>
              </w:tc>
              <w:tc>
                <w:tcPr>
                  <w:tcW w:w="2389" w:type="dxa"/>
                  <w:tcBorders>
                    <w:top w:val="single" w:color="auto" w:sz="4" w:space="0"/>
                    <w:left w:val="single" w:color="auto" w:sz="4" w:space="0"/>
                    <w:bottom w:val="single" w:color="auto" w:sz="4" w:space="0"/>
                    <w:right w:val="single" w:color="auto" w:sz="4" w:space="0"/>
                  </w:tcBorders>
                  <w:shd w:val="clear" w:color="auto" w:fill="auto"/>
                  <w:vAlign w:val="center"/>
                </w:tcPr>
                <w:p w14:paraId="010E600B">
                  <w:pPr>
                    <w:keepNext w:val="0"/>
                    <w:keepLines w:val="0"/>
                    <w:widowControl w:val="0"/>
                    <w:suppressLineNumbers w:val="0"/>
                    <w:spacing w:before="0" w:beforeAutospacing="0" w:after="0" w:afterAutospacing="0"/>
                    <w:ind w:left="0" w:right="0"/>
                    <w:jc w:val="center"/>
                    <w:rPr>
                      <w:rFonts w:hint="default" w:ascii="Times New Roman" w:hAnsi="Times New Roman" w:eastAsia="宋体" w:cs="Times New Roman"/>
                      <w:color w:val="auto"/>
                      <w:kern w:val="2"/>
                      <w:sz w:val="21"/>
                      <w:szCs w:val="21"/>
                    </w:rPr>
                  </w:pPr>
                  <w:r>
                    <w:rPr>
                      <w:rFonts w:hint="default" w:ascii="Times New Roman" w:hAnsi="Times New Roman" w:eastAsia="宋体" w:cs="Times New Roman"/>
                      <w:color w:val="auto"/>
                      <w:kern w:val="2"/>
                      <w:sz w:val="21"/>
                      <w:szCs w:val="21"/>
                      <w:lang w:val="en-US" w:eastAsia="zh-CN" w:bidi="ar"/>
                    </w:rPr>
                    <w:t>20</w:t>
                  </w:r>
                </w:p>
              </w:tc>
            </w:tr>
          </w:tbl>
          <w:p w14:paraId="72842607">
            <w:pPr>
              <w:keepNext w:val="0"/>
              <w:keepLines w:val="0"/>
              <w:suppressLineNumbers w:val="0"/>
              <w:spacing w:before="0" w:beforeAutospacing="0" w:after="0" w:afterAutospacing="0"/>
              <w:ind w:left="0" w:right="0"/>
              <w:jc w:val="center"/>
              <w:rPr>
                <w:rFonts w:hint="default" w:ascii="Times New Roman" w:hAnsi="Times New Roman" w:eastAsia="宋体" w:cs="Times New Roman"/>
                <w:b/>
                <w:bCs/>
                <w:color w:val="auto"/>
              </w:rPr>
            </w:pPr>
            <w:bookmarkStart w:id="13" w:name="_Toc218"/>
            <w:bookmarkStart w:id="14" w:name="_Toc19156"/>
            <w:r>
              <w:rPr>
                <w:rFonts w:hint="default" w:ascii="Times New Roman" w:hAnsi="Times New Roman" w:eastAsia="宋体" w:cs="Times New Roman"/>
                <w:b/>
                <w:bCs/>
                <w:color w:val="auto"/>
              </w:rPr>
              <w:t>表</w:t>
            </w:r>
            <w:r>
              <w:rPr>
                <w:rFonts w:hint="eastAsia" w:ascii="Times New Roman" w:hAnsi="Times New Roman" w:eastAsia="宋体" w:cs="Times New Roman"/>
                <w:b/>
                <w:bCs/>
                <w:color w:val="auto"/>
              </w:rPr>
              <w:t>3-</w:t>
            </w:r>
            <w:r>
              <w:rPr>
                <w:rFonts w:hint="eastAsia" w:ascii="Times New Roman" w:hAnsi="Times New Roman" w:eastAsia="宋体" w:cs="Times New Roman"/>
                <w:b/>
                <w:bCs/>
                <w:color w:val="auto"/>
                <w:lang w:val="en-US" w:eastAsia="zh-CN"/>
              </w:rPr>
              <w:t>7</w:t>
            </w:r>
            <w:r>
              <w:rPr>
                <w:rFonts w:hint="default" w:ascii="Times New Roman" w:hAnsi="Times New Roman" w:eastAsia="宋体" w:cs="Times New Roman"/>
                <w:b/>
                <w:bCs/>
                <w:color w:val="auto"/>
              </w:rPr>
              <w:t xml:space="preserve">  《挥发性有机物无组织排放控制标准》（GB37822-2019）</w:t>
            </w:r>
            <w:bookmarkEnd w:id="13"/>
            <w:bookmarkEnd w:id="14"/>
          </w:p>
          <w:p w14:paraId="52B3BFD8">
            <w:pPr>
              <w:keepNext w:val="0"/>
              <w:keepLines w:val="0"/>
              <w:suppressLineNumbers w:val="0"/>
              <w:spacing w:before="0" w:beforeAutospacing="0" w:after="0" w:afterAutospacing="0"/>
              <w:ind w:left="0" w:right="0"/>
              <w:jc w:val="right"/>
              <w:rPr>
                <w:rFonts w:hint="default" w:ascii="Times New Roman" w:hAnsi="Times New Roman" w:eastAsia="宋体" w:cs="Times New Roman"/>
                <w:b/>
                <w:bCs/>
                <w:color w:val="auto"/>
              </w:rPr>
            </w:pPr>
            <w:bookmarkStart w:id="15" w:name="_Toc2103"/>
            <w:bookmarkStart w:id="16" w:name="_Toc4354"/>
            <w:r>
              <w:rPr>
                <w:rFonts w:hint="eastAsia" w:ascii="Times New Roman" w:hAnsi="Times New Roman" w:eastAsia="宋体" w:cs="Times New Roman"/>
                <w:b/>
                <w:bCs/>
                <w:color w:val="auto"/>
              </w:rPr>
              <w:t>单位：</w:t>
            </w:r>
            <w:r>
              <w:rPr>
                <w:rFonts w:hint="default" w:ascii="Times New Roman" w:hAnsi="Times New Roman" w:eastAsia="宋体" w:cs="Times New Roman"/>
                <w:b/>
                <w:bCs/>
                <w:color w:val="auto"/>
              </w:rPr>
              <w:t>mg/m</w:t>
            </w:r>
            <w:r>
              <w:rPr>
                <w:rFonts w:hint="default" w:ascii="Times New Roman" w:hAnsi="Times New Roman" w:eastAsia="宋体" w:cs="Times New Roman"/>
                <w:b/>
                <w:bCs/>
                <w:color w:val="auto"/>
                <w:vertAlign w:val="superscript"/>
              </w:rPr>
              <w:t>3</w:t>
            </w:r>
            <w:bookmarkEnd w:id="15"/>
            <w:bookmarkEnd w:id="16"/>
          </w:p>
          <w:tbl>
            <w:tblPr>
              <w:tblStyle w:val="22"/>
              <w:tblW w:w="4998"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474"/>
              <w:gridCol w:w="1636"/>
              <w:gridCol w:w="2836"/>
              <w:gridCol w:w="2226"/>
            </w:tblGrid>
            <w:tr w14:paraId="27EBE8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97" w:hRule="atLeast"/>
                <w:jc w:val="center"/>
              </w:trPr>
              <w:tc>
                <w:tcPr>
                  <w:tcW w:w="902" w:type="pct"/>
                  <w:vAlign w:val="center"/>
                </w:tcPr>
                <w:p w14:paraId="54D3B17C">
                  <w:pPr>
                    <w:keepNext w:val="0"/>
                    <w:keepLines w:val="0"/>
                    <w:suppressLineNumbers w:val="0"/>
                    <w:spacing w:before="0" w:beforeAutospacing="0" w:after="0" w:afterAutospacing="0"/>
                    <w:ind w:left="0" w:right="0"/>
                    <w:jc w:val="center"/>
                    <w:rPr>
                      <w:rFonts w:hint="default" w:ascii="Times New Roman" w:hAnsi="Times New Roman" w:eastAsia="宋体" w:cs="Times New Roman"/>
                      <w:b/>
                      <w:bCs/>
                      <w:color w:val="auto"/>
                      <w:szCs w:val="21"/>
                    </w:rPr>
                  </w:pPr>
                  <w:r>
                    <w:rPr>
                      <w:rFonts w:hint="default" w:ascii="Times New Roman" w:hAnsi="Times New Roman" w:eastAsia="宋体" w:cs="Times New Roman"/>
                      <w:b/>
                      <w:bCs/>
                      <w:color w:val="auto"/>
                      <w:szCs w:val="21"/>
                    </w:rPr>
                    <w:t>污染物项目</w:t>
                  </w:r>
                </w:p>
              </w:tc>
              <w:tc>
                <w:tcPr>
                  <w:tcW w:w="1001" w:type="pct"/>
                  <w:vAlign w:val="center"/>
                </w:tcPr>
                <w:p w14:paraId="584CD117">
                  <w:pPr>
                    <w:keepNext w:val="0"/>
                    <w:keepLines w:val="0"/>
                    <w:suppressLineNumbers w:val="0"/>
                    <w:spacing w:before="0" w:beforeAutospacing="0" w:after="0" w:afterAutospacing="0"/>
                    <w:ind w:left="0" w:right="0"/>
                    <w:jc w:val="center"/>
                    <w:rPr>
                      <w:rFonts w:hint="default" w:ascii="Times New Roman" w:hAnsi="Times New Roman" w:eastAsia="宋体" w:cs="Times New Roman"/>
                      <w:b/>
                      <w:bCs/>
                      <w:color w:val="auto"/>
                      <w:szCs w:val="21"/>
                    </w:rPr>
                  </w:pPr>
                  <w:r>
                    <w:rPr>
                      <w:rFonts w:hint="default" w:ascii="Times New Roman" w:hAnsi="Times New Roman" w:eastAsia="宋体" w:cs="Times New Roman"/>
                      <w:b/>
                      <w:bCs/>
                      <w:color w:val="auto"/>
                      <w:szCs w:val="21"/>
                    </w:rPr>
                    <w:t>特别排放限值</w:t>
                  </w:r>
                </w:p>
              </w:tc>
              <w:tc>
                <w:tcPr>
                  <w:tcW w:w="1734" w:type="pct"/>
                  <w:vAlign w:val="center"/>
                </w:tcPr>
                <w:p w14:paraId="15FE408A">
                  <w:pPr>
                    <w:keepNext w:val="0"/>
                    <w:keepLines w:val="0"/>
                    <w:suppressLineNumbers w:val="0"/>
                    <w:spacing w:before="0" w:beforeAutospacing="0" w:after="0" w:afterAutospacing="0"/>
                    <w:ind w:left="0" w:right="0"/>
                    <w:jc w:val="center"/>
                    <w:rPr>
                      <w:rFonts w:hint="default" w:ascii="Times New Roman" w:hAnsi="Times New Roman" w:eastAsia="宋体" w:cs="Times New Roman"/>
                      <w:b/>
                      <w:bCs/>
                      <w:color w:val="auto"/>
                      <w:szCs w:val="21"/>
                    </w:rPr>
                  </w:pPr>
                  <w:r>
                    <w:rPr>
                      <w:rFonts w:hint="default" w:ascii="Times New Roman" w:hAnsi="Times New Roman" w:eastAsia="宋体" w:cs="Times New Roman"/>
                      <w:b/>
                      <w:bCs/>
                      <w:color w:val="auto"/>
                      <w:szCs w:val="21"/>
                    </w:rPr>
                    <w:t>限值含义</w:t>
                  </w:r>
                </w:p>
              </w:tc>
              <w:tc>
                <w:tcPr>
                  <w:tcW w:w="1361" w:type="pct"/>
                  <w:vAlign w:val="center"/>
                </w:tcPr>
                <w:p w14:paraId="55FEB829">
                  <w:pPr>
                    <w:keepNext w:val="0"/>
                    <w:keepLines w:val="0"/>
                    <w:suppressLineNumbers w:val="0"/>
                    <w:spacing w:before="0" w:beforeAutospacing="0" w:after="0" w:afterAutospacing="0"/>
                    <w:ind w:left="0" w:right="0"/>
                    <w:jc w:val="center"/>
                    <w:rPr>
                      <w:rFonts w:hint="default" w:ascii="Times New Roman" w:hAnsi="Times New Roman" w:eastAsia="宋体" w:cs="Times New Roman"/>
                      <w:b/>
                      <w:bCs/>
                      <w:color w:val="auto"/>
                      <w:szCs w:val="21"/>
                    </w:rPr>
                  </w:pPr>
                  <w:r>
                    <w:rPr>
                      <w:rFonts w:hint="default" w:ascii="Times New Roman" w:hAnsi="Times New Roman" w:eastAsia="宋体" w:cs="Times New Roman"/>
                      <w:b/>
                      <w:bCs/>
                      <w:color w:val="auto"/>
                      <w:szCs w:val="21"/>
                    </w:rPr>
                    <w:t>无组织排放控制位置</w:t>
                  </w:r>
                </w:p>
              </w:tc>
            </w:tr>
            <w:tr w14:paraId="72717E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97" w:hRule="atLeast"/>
                <w:jc w:val="center"/>
              </w:trPr>
              <w:tc>
                <w:tcPr>
                  <w:tcW w:w="902" w:type="pct"/>
                  <w:vMerge w:val="restart"/>
                  <w:vAlign w:val="center"/>
                </w:tcPr>
                <w:p w14:paraId="20401D73">
                  <w:pPr>
                    <w:keepNext w:val="0"/>
                    <w:keepLines w:val="0"/>
                    <w:suppressLineNumbers w:val="0"/>
                    <w:spacing w:before="0" w:beforeAutospacing="0" w:after="0" w:afterAutospacing="0"/>
                    <w:ind w:left="0" w:right="0"/>
                    <w:jc w:val="center"/>
                    <w:rPr>
                      <w:rFonts w:hint="default" w:ascii="Times New Roman" w:hAnsi="Times New Roman" w:eastAsia="宋体" w:cs="Times New Roman"/>
                      <w:b/>
                      <w:bCs/>
                      <w:color w:val="auto"/>
                      <w:szCs w:val="21"/>
                    </w:rPr>
                  </w:pPr>
                  <w:r>
                    <w:rPr>
                      <w:rFonts w:hint="default" w:ascii="Times New Roman" w:hAnsi="Times New Roman" w:eastAsia="宋体" w:cs="Times New Roman"/>
                      <w:color w:val="auto"/>
                      <w:szCs w:val="21"/>
                    </w:rPr>
                    <w:t>NMHC</w:t>
                  </w:r>
                </w:p>
              </w:tc>
              <w:tc>
                <w:tcPr>
                  <w:tcW w:w="1001" w:type="pct"/>
                  <w:vAlign w:val="center"/>
                </w:tcPr>
                <w:p w14:paraId="56B690AE">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rPr>
                    <w:t>6</w:t>
                  </w:r>
                </w:p>
              </w:tc>
              <w:tc>
                <w:tcPr>
                  <w:tcW w:w="1734" w:type="pct"/>
                  <w:vAlign w:val="center"/>
                </w:tcPr>
                <w:p w14:paraId="34D93D20">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rPr>
                    <w:t>监控点处1h平均浓度值</w:t>
                  </w:r>
                </w:p>
              </w:tc>
              <w:tc>
                <w:tcPr>
                  <w:tcW w:w="1361" w:type="pct"/>
                  <w:vMerge w:val="restart"/>
                  <w:vAlign w:val="center"/>
                </w:tcPr>
                <w:p w14:paraId="0D0ACD45">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rPr>
                    <w:t>在厂房外设置监控点</w:t>
                  </w:r>
                </w:p>
              </w:tc>
            </w:tr>
            <w:tr w14:paraId="23752F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97" w:hRule="atLeast"/>
                <w:jc w:val="center"/>
              </w:trPr>
              <w:tc>
                <w:tcPr>
                  <w:tcW w:w="902" w:type="pct"/>
                  <w:vMerge w:val="continue"/>
                  <w:vAlign w:val="center"/>
                </w:tcPr>
                <w:p w14:paraId="0720E510">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p>
              </w:tc>
              <w:tc>
                <w:tcPr>
                  <w:tcW w:w="1001" w:type="pct"/>
                  <w:vAlign w:val="center"/>
                </w:tcPr>
                <w:p w14:paraId="140038C2">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rPr>
                    <w:t>20</w:t>
                  </w:r>
                </w:p>
              </w:tc>
              <w:tc>
                <w:tcPr>
                  <w:tcW w:w="1734" w:type="pct"/>
                  <w:vAlign w:val="center"/>
                </w:tcPr>
                <w:p w14:paraId="678E28D1">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rPr>
                    <w:t>监控点处任意一次浓度值</w:t>
                  </w:r>
                </w:p>
              </w:tc>
              <w:tc>
                <w:tcPr>
                  <w:tcW w:w="1361" w:type="pct"/>
                  <w:vMerge w:val="continue"/>
                  <w:vAlign w:val="center"/>
                </w:tcPr>
                <w:p w14:paraId="53C0B88F">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p>
              </w:tc>
            </w:tr>
          </w:tbl>
          <w:p w14:paraId="61AFDEC4">
            <w:pPr>
              <w:keepNext w:val="0"/>
              <w:keepLines w:val="0"/>
              <w:suppressLineNumbers w:val="0"/>
              <w:spacing w:before="0" w:beforeAutospacing="0" w:after="0" w:afterAutospacing="0" w:line="360" w:lineRule="auto"/>
              <w:ind w:left="0" w:right="0"/>
              <w:rPr>
                <w:rFonts w:hint="default" w:ascii="Times New Roman" w:hAnsi="Times New Roman" w:eastAsia="宋体" w:cs="Times New Roman"/>
                <w:b/>
                <w:bCs/>
                <w:color w:val="auto"/>
                <w:sz w:val="24"/>
              </w:rPr>
            </w:pPr>
            <w:r>
              <w:rPr>
                <w:rFonts w:hint="eastAsia" w:ascii="Times New Roman" w:hAnsi="Times New Roman" w:eastAsia="宋体" w:cs="Times New Roman"/>
                <w:b/>
                <w:bCs/>
                <w:color w:val="auto"/>
                <w:sz w:val="24"/>
              </w:rPr>
              <w:t>3.3.2废水</w:t>
            </w:r>
          </w:p>
          <w:p w14:paraId="3301EB68">
            <w:pPr>
              <w:keepNext w:val="0"/>
              <w:keepLines w:val="0"/>
              <w:suppressLineNumbers w:val="0"/>
              <w:spacing w:before="0" w:beforeAutospacing="0" w:after="0" w:afterAutospacing="0" w:line="360" w:lineRule="auto"/>
              <w:ind w:left="0" w:right="0" w:firstLine="480" w:firstLineChars="200"/>
              <w:rPr>
                <w:rFonts w:hint="default" w:ascii="Times New Roman" w:hAnsi="Times New Roman" w:eastAsia="宋体" w:cs="Times New Roman"/>
                <w:color w:val="auto"/>
                <w:sz w:val="24"/>
              </w:rPr>
            </w:pPr>
            <w:r>
              <w:rPr>
                <w:rFonts w:hint="eastAsia" w:ascii="Times New Roman" w:hAnsi="Times New Roman" w:eastAsia="宋体" w:cs="Times New Roman"/>
                <w:color w:val="auto"/>
                <w:sz w:val="24"/>
              </w:rPr>
              <w:t>本项目外排废水为生活污水，生活污水经化粪池预处理后纳管至污水管网，纳管废水水质执行《污水综合排放标准》（GB8978-1996）中的三级标准</w:t>
            </w:r>
            <w:r>
              <w:rPr>
                <w:rFonts w:hint="eastAsia" w:ascii="Times New Roman" w:hAnsi="Times New Roman" w:eastAsia="宋体" w:cs="Times New Roman"/>
                <w:color w:val="00B050"/>
                <w:sz w:val="24"/>
                <w:lang w:eastAsia="zh-CN"/>
              </w:rPr>
              <w:t>，</w:t>
            </w:r>
            <w:r>
              <w:rPr>
                <w:rFonts w:hint="eastAsia" w:ascii="Times New Roman" w:hAnsi="Times New Roman" w:eastAsia="宋体" w:cs="Times New Roman"/>
                <w:color w:val="00B050"/>
                <w:sz w:val="24"/>
                <w:lang w:val="en-US" w:eastAsia="zh-CN"/>
              </w:rPr>
              <w:t>其中氨氮、总氮、总磷纳管执行《污水排入城镇下水道水质标准》（GB/T-31962-2015）B级</w:t>
            </w:r>
            <w:r>
              <w:rPr>
                <w:rFonts w:hint="eastAsia" w:ascii="Times New Roman" w:hAnsi="Times New Roman" w:eastAsia="宋体" w:cs="Times New Roman"/>
                <w:color w:val="00B050"/>
                <w:sz w:val="24"/>
                <w:lang w:eastAsia="zh-CN"/>
              </w:rPr>
              <w:t>，</w:t>
            </w:r>
            <w:r>
              <w:rPr>
                <w:rFonts w:hint="eastAsia" w:ascii="Times New Roman" w:hAnsi="Times New Roman" w:eastAsia="宋体" w:cs="Times New Roman"/>
                <w:color w:val="00B050"/>
                <w:sz w:val="24"/>
                <w:lang w:val="en-US" w:eastAsia="zh-CN"/>
              </w:rPr>
              <w:t>同时满足</w:t>
            </w:r>
            <w:r>
              <w:rPr>
                <w:rFonts w:hint="eastAsia" w:ascii="Times New Roman" w:hAnsi="Times New Roman" w:eastAsia="宋体" w:cs="Times New Roman"/>
                <w:color w:val="00B050"/>
                <w:sz w:val="24"/>
              </w:rPr>
              <w:t>安吉清源污水处理有限公司污水纳管标准</w:t>
            </w:r>
            <w:r>
              <w:rPr>
                <w:rFonts w:hint="eastAsia" w:ascii="Times New Roman" w:hAnsi="Times New Roman" w:eastAsia="宋体" w:cs="Times New Roman"/>
                <w:color w:val="auto"/>
                <w:sz w:val="24"/>
              </w:rPr>
              <w:t>，具体标准值见下表。</w:t>
            </w:r>
          </w:p>
          <w:p w14:paraId="778F0B78">
            <w:pPr>
              <w:keepNext w:val="0"/>
              <w:keepLines w:val="0"/>
              <w:suppressLineNumbers w:val="0"/>
              <w:spacing w:before="0" w:beforeAutospacing="0" w:after="0" w:afterAutospacing="0"/>
              <w:ind w:left="0" w:right="0"/>
              <w:jc w:val="center"/>
              <w:rPr>
                <w:rFonts w:hint="default" w:ascii="Times New Roman" w:hAnsi="Times New Roman" w:eastAsia="宋体" w:cs="Times New Roman"/>
                <w:b/>
                <w:bCs/>
                <w:color w:val="auto"/>
              </w:rPr>
            </w:pPr>
            <w:bookmarkStart w:id="17" w:name="_Toc21432"/>
            <w:bookmarkStart w:id="18" w:name="_Toc13911"/>
            <w:r>
              <w:rPr>
                <w:rFonts w:hint="default" w:ascii="Times New Roman" w:hAnsi="Times New Roman" w:eastAsia="宋体" w:cs="Times New Roman"/>
                <w:b/>
                <w:bCs/>
                <w:color w:val="auto"/>
              </w:rPr>
              <w:t>表</w:t>
            </w:r>
            <w:r>
              <w:rPr>
                <w:rFonts w:hint="eastAsia" w:ascii="Times New Roman" w:hAnsi="Times New Roman" w:eastAsia="宋体" w:cs="Times New Roman"/>
                <w:b/>
                <w:bCs/>
                <w:color w:val="auto"/>
              </w:rPr>
              <w:t>3-</w:t>
            </w:r>
            <w:r>
              <w:rPr>
                <w:rFonts w:hint="eastAsia" w:ascii="Times New Roman" w:hAnsi="Times New Roman" w:eastAsia="宋体" w:cs="Times New Roman"/>
                <w:b/>
                <w:bCs/>
                <w:color w:val="auto"/>
                <w:lang w:val="en-US" w:eastAsia="zh-CN"/>
              </w:rPr>
              <w:t>8</w:t>
            </w:r>
            <w:r>
              <w:rPr>
                <w:rFonts w:hint="default" w:ascii="Times New Roman" w:hAnsi="Times New Roman" w:eastAsia="宋体" w:cs="Times New Roman"/>
                <w:b/>
                <w:bCs/>
                <w:color w:val="auto"/>
              </w:rPr>
              <w:t xml:space="preserve">  </w:t>
            </w:r>
            <w:bookmarkEnd w:id="17"/>
            <w:bookmarkEnd w:id="18"/>
            <w:r>
              <w:rPr>
                <w:rFonts w:hint="default" w:ascii="Times New Roman" w:hAnsi="Times New Roman" w:eastAsia="宋体" w:cs="Times New Roman"/>
                <w:b/>
                <w:bCs/>
                <w:color w:val="auto"/>
              </w:rPr>
              <w:t>废水纳管限值要求</w:t>
            </w:r>
          </w:p>
          <w:p w14:paraId="45B7E06C">
            <w:pPr>
              <w:keepNext w:val="0"/>
              <w:keepLines w:val="0"/>
              <w:suppressLineNumbers w:val="0"/>
              <w:spacing w:before="0" w:beforeAutospacing="0" w:after="0" w:afterAutospacing="0"/>
              <w:ind w:left="0" w:right="0"/>
              <w:jc w:val="right"/>
              <w:rPr>
                <w:rFonts w:hint="default" w:ascii="Times New Roman" w:hAnsi="Times New Roman" w:eastAsia="宋体" w:cs="Times New Roman"/>
                <w:b/>
                <w:bCs/>
                <w:color w:val="auto"/>
              </w:rPr>
            </w:pPr>
            <w:bookmarkStart w:id="19" w:name="_Toc3500"/>
            <w:bookmarkStart w:id="20" w:name="_Toc25"/>
            <w:r>
              <w:rPr>
                <w:rFonts w:hint="default" w:ascii="Times New Roman" w:hAnsi="Times New Roman" w:eastAsia="宋体" w:cs="Times New Roman"/>
                <w:b/>
                <w:bCs/>
                <w:color w:val="auto"/>
              </w:rPr>
              <w:t>单位：mg/L（pH除外）</w:t>
            </w:r>
            <w:bookmarkEnd w:id="19"/>
            <w:bookmarkEnd w:id="20"/>
          </w:p>
          <w:tbl>
            <w:tblPr>
              <w:tblStyle w:val="22"/>
              <w:tblW w:w="4997"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825"/>
              <w:gridCol w:w="715"/>
              <w:gridCol w:w="938"/>
              <w:gridCol w:w="938"/>
              <w:gridCol w:w="938"/>
              <w:gridCol w:w="938"/>
              <w:gridCol w:w="938"/>
              <w:gridCol w:w="941"/>
            </w:tblGrid>
            <w:tr w14:paraId="0BC4A8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97" w:hRule="atLeast"/>
                <w:jc w:val="center"/>
              </w:trPr>
              <w:tc>
                <w:tcPr>
                  <w:tcW w:w="1116" w:type="pct"/>
                  <w:tcBorders>
                    <w:tl2br w:val="nil"/>
                    <w:tr2bl w:val="nil"/>
                  </w:tcBorders>
                  <w:vAlign w:val="center"/>
                </w:tcPr>
                <w:p w14:paraId="3A296361">
                  <w:pPr>
                    <w:keepNext w:val="0"/>
                    <w:keepLines w:val="0"/>
                    <w:suppressLineNumbers w:val="0"/>
                    <w:spacing w:before="0" w:beforeAutospacing="0" w:after="0" w:afterAutospacing="0"/>
                    <w:ind w:left="0" w:right="0"/>
                    <w:jc w:val="center"/>
                    <w:rPr>
                      <w:rFonts w:hint="default" w:ascii="Times New Roman" w:hAnsi="Times New Roman" w:eastAsia="宋体" w:cs="Times New Roman"/>
                      <w:b/>
                      <w:bCs/>
                      <w:color w:val="auto"/>
                      <w:szCs w:val="21"/>
                    </w:rPr>
                  </w:pPr>
                  <w:r>
                    <w:rPr>
                      <w:rFonts w:hint="default" w:ascii="Times New Roman" w:hAnsi="Times New Roman" w:eastAsia="宋体" w:cs="Times New Roman"/>
                      <w:b/>
                      <w:bCs/>
                      <w:color w:val="auto"/>
                      <w:szCs w:val="21"/>
                    </w:rPr>
                    <w:t>项目</w:t>
                  </w:r>
                </w:p>
              </w:tc>
              <w:tc>
                <w:tcPr>
                  <w:tcW w:w="437" w:type="pct"/>
                  <w:tcBorders>
                    <w:tl2br w:val="nil"/>
                    <w:tr2bl w:val="nil"/>
                  </w:tcBorders>
                  <w:vAlign w:val="center"/>
                </w:tcPr>
                <w:p w14:paraId="60D65967">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rPr>
                    <w:t>pH</w:t>
                  </w:r>
                </w:p>
              </w:tc>
              <w:tc>
                <w:tcPr>
                  <w:tcW w:w="573" w:type="pct"/>
                  <w:tcBorders>
                    <w:tl2br w:val="nil"/>
                    <w:tr2bl w:val="nil"/>
                  </w:tcBorders>
                  <w:vAlign w:val="center"/>
                </w:tcPr>
                <w:p w14:paraId="1A30A41B">
                  <w:pPr>
                    <w:pStyle w:val="33"/>
                    <w:keepNext w:val="0"/>
                    <w:keepLines w:val="0"/>
                    <w:suppressLineNumbers w:val="0"/>
                    <w:snapToGrid/>
                    <w:spacing w:before="0" w:beforeAutospacing="0" w:after="0" w:afterAutospacing="0"/>
                    <w:ind w:left="0" w:right="0"/>
                    <w:rPr>
                      <w:rFonts w:hint="default" w:ascii="Times New Roman" w:hAnsi="Times New Roman" w:eastAsia="宋体" w:cs="Times New Roman"/>
                      <w:color w:val="auto"/>
                      <w:spacing w:val="0"/>
                      <w:szCs w:val="21"/>
                    </w:rPr>
                  </w:pPr>
                  <w:r>
                    <w:rPr>
                      <w:rFonts w:hint="default" w:ascii="Times New Roman" w:hAnsi="Times New Roman" w:eastAsia="宋体" w:cs="Times New Roman"/>
                      <w:color w:val="auto"/>
                      <w:spacing w:val="0"/>
                      <w:szCs w:val="21"/>
                    </w:rPr>
                    <w:t>BOD</w:t>
                  </w:r>
                  <w:r>
                    <w:rPr>
                      <w:rFonts w:hint="default" w:ascii="Times New Roman" w:hAnsi="Times New Roman" w:eastAsia="宋体" w:cs="Times New Roman"/>
                      <w:color w:val="auto"/>
                      <w:spacing w:val="0"/>
                      <w:szCs w:val="21"/>
                      <w:vertAlign w:val="subscript"/>
                    </w:rPr>
                    <w:t>5</w:t>
                  </w:r>
                </w:p>
              </w:tc>
              <w:tc>
                <w:tcPr>
                  <w:tcW w:w="573" w:type="pct"/>
                  <w:tcBorders>
                    <w:tl2br w:val="nil"/>
                    <w:tr2bl w:val="nil"/>
                  </w:tcBorders>
                  <w:vAlign w:val="center"/>
                </w:tcPr>
                <w:p w14:paraId="5714518F">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rPr>
                    <w:t>SS</w:t>
                  </w:r>
                </w:p>
              </w:tc>
              <w:tc>
                <w:tcPr>
                  <w:tcW w:w="573" w:type="pct"/>
                  <w:tcBorders>
                    <w:tl2br w:val="nil"/>
                    <w:tr2bl w:val="nil"/>
                  </w:tcBorders>
                  <w:vAlign w:val="center"/>
                </w:tcPr>
                <w:p w14:paraId="4189CC2B">
                  <w:pPr>
                    <w:pStyle w:val="33"/>
                    <w:keepNext w:val="0"/>
                    <w:keepLines w:val="0"/>
                    <w:suppressLineNumbers w:val="0"/>
                    <w:snapToGrid/>
                    <w:spacing w:before="0" w:beforeAutospacing="0" w:after="0" w:afterAutospacing="0"/>
                    <w:ind w:left="0" w:right="0"/>
                    <w:rPr>
                      <w:rFonts w:hint="default" w:ascii="Times New Roman" w:hAnsi="Times New Roman" w:eastAsia="宋体" w:cs="Times New Roman"/>
                      <w:color w:val="auto"/>
                      <w:spacing w:val="0"/>
                      <w:szCs w:val="21"/>
                    </w:rPr>
                  </w:pPr>
                  <w:r>
                    <w:rPr>
                      <w:rFonts w:hint="default" w:ascii="Times New Roman" w:hAnsi="Times New Roman" w:eastAsia="宋体" w:cs="Times New Roman"/>
                      <w:color w:val="auto"/>
                      <w:spacing w:val="0"/>
                      <w:szCs w:val="21"/>
                    </w:rPr>
                    <w:t>COD</w:t>
                  </w:r>
                  <w:r>
                    <w:rPr>
                      <w:rFonts w:hint="default" w:ascii="Times New Roman" w:hAnsi="Times New Roman" w:eastAsia="宋体" w:cs="Times New Roman"/>
                      <w:color w:val="auto"/>
                      <w:spacing w:val="0"/>
                      <w:szCs w:val="21"/>
                      <w:vertAlign w:val="subscript"/>
                    </w:rPr>
                    <w:t>Cr</w:t>
                  </w:r>
                </w:p>
              </w:tc>
              <w:tc>
                <w:tcPr>
                  <w:tcW w:w="573" w:type="pct"/>
                  <w:tcBorders>
                    <w:tl2br w:val="nil"/>
                    <w:tr2bl w:val="nil"/>
                  </w:tcBorders>
                  <w:vAlign w:val="center"/>
                </w:tcPr>
                <w:p w14:paraId="5E6A52B4">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rPr>
                    <w:t>NH</w:t>
                  </w:r>
                  <w:r>
                    <w:rPr>
                      <w:rFonts w:hint="default" w:ascii="Times New Roman" w:hAnsi="Times New Roman" w:eastAsia="宋体" w:cs="Times New Roman"/>
                      <w:color w:val="auto"/>
                      <w:szCs w:val="21"/>
                      <w:vertAlign w:val="subscript"/>
                    </w:rPr>
                    <w:t>3</w:t>
                  </w:r>
                  <w:r>
                    <w:rPr>
                      <w:rFonts w:hint="default" w:ascii="Times New Roman" w:hAnsi="Times New Roman" w:eastAsia="宋体" w:cs="Times New Roman"/>
                      <w:color w:val="auto"/>
                      <w:szCs w:val="21"/>
                    </w:rPr>
                    <w:t>-N</w:t>
                  </w:r>
                </w:p>
              </w:tc>
              <w:tc>
                <w:tcPr>
                  <w:tcW w:w="573" w:type="pct"/>
                  <w:tcBorders>
                    <w:tl2br w:val="nil"/>
                    <w:tr2bl w:val="nil"/>
                  </w:tcBorders>
                  <w:vAlign w:val="center"/>
                </w:tcPr>
                <w:p w14:paraId="2FF3AF5D">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rPr>
                    <w:t>TP</w:t>
                  </w:r>
                </w:p>
              </w:tc>
              <w:tc>
                <w:tcPr>
                  <w:tcW w:w="575" w:type="pct"/>
                  <w:tcBorders>
                    <w:tl2br w:val="nil"/>
                    <w:tr2bl w:val="nil"/>
                  </w:tcBorders>
                  <w:vAlign w:val="center"/>
                </w:tcPr>
                <w:p w14:paraId="329B52CF">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rPr>
                    <w:t>TN</w:t>
                  </w:r>
                </w:p>
              </w:tc>
            </w:tr>
            <w:tr w14:paraId="4A3227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97" w:hRule="atLeast"/>
                <w:jc w:val="center"/>
              </w:trPr>
              <w:tc>
                <w:tcPr>
                  <w:tcW w:w="1116" w:type="pct"/>
                  <w:tcBorders>
                    <w:tl2br w:val="nil"/>
                    <w:tr2bl w:val="nil"/>
                  </w:tcBorders>
                  <w:vAlign w:val="center"/>
                </w:tcPr>
                <w:p w14:paraId="128A36D3">
                  <w:pPr>
                    <w:keepNext w:val="0"/>
                    <w:keepLines w:val="0"/>
                    <w:suppressLineNumbers w:val="0"/>
                    <w:spacing w:before="0" w:beforeAutospacing="0" w:after="0" w:afterAutospacing="0"/>
                    <w:ind w:left="0" w:right="0"/>
                    <w:jc w:val="center"/>
                    <w:rPr>
                      <w:rFonts w:hint="default" w:ascii="Times New Roman" w:hAnsi="Times New Roman" w:eastAsia="宋体" w:cs="Times New Roman"/>
                      <w:bCs/>
                      <w:color w:val="auto"/>
                      <w:szCs w:val="21"/>
                    </w:rPr>
                  </w:pPr>
                  <w:r>
                    <w:rPr>
                      <w:rFonts w:hint="default" w:ascii="Times New Roman" w:hAnsi="Times New Roman" w:eastAsia="宋体" w:cs="Times New Roman"/>
                      <w:b/>
                      <w:bCs/>
                      <w:color w:val="auto"/>
                      <w:szCs w:val="21"/>
                    </w:rPr>
                    <w:t>GB8978-1996</w:t>
                  </w:r>
                </w:p>
              </w:tc>
              <w:tc>
                <w:tcPr>
                  <w:tcW w:w="437" w:type="pct"/>
                  <w:tcBorders>
                    <w:tl2br w:val="nil"/>
                    <w:tr2bl w:val="nil"/>
                  </w:tcBorders>
                  <w:vAlign w:val="center"/>
                </w:tcPr>
                <w:p w14:paraId="5B660029">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rPr>
                    <w:t>6～9</w:t>
                  </w:r>
                </w:p>
              </w:tc>
              <w:tc>
                <w:tcPr>
                  <w:tcW w:w="573" w:type="pct"/>
                  <w:tcBorders>
                    <w:tl2br w:val="nil"/>
                    <w:tr2bl w:val="nil"/>
                  </w:tcBorders>
                  <w:vAlign w:val="center"/>
                </w:tcPr>
                <w:p w14:paraId="732117FB">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rPr>
                    <w:t>≤</w:t>
                  </w:r>
                  <w:r>
                    <w:rPr>
                      <w:rFonts w:hint="eastAsia" w:ascii="Times New Roman" w:hAnsi="Times New Roman" w:eastAsia="宋体" w:cs="Times New Roman"/>
                      <w:color w:val="auto"/>
                      <w:szCs w:val="21"/>
                    </w:rPr>
                    <w:t>300</w:t>
                  </w:r>
                </w:p>
              </w:tc>
              <w:tc>
                <w:tcPr>
                  <w:tcW w:w="573" w:type="pct"/>
                  <w:tcBorders>
                    <w:tl2br w:val="nil"/>
                    <w:tr2bl w:val="nil"/>
                  </w:tcBorders>
                  <w:vAlign w:val="center"/>
                </w:tcPr>
                <w:p w14:paraId="57A1F863">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rPr>
                    <w:t>≤</w:t>
                  </w:r>
                  <w:r>
                    <w:rPr>
                      <w:rFonts w:hint="eastAsia" w:ascii="Times New Roman" w:hAnsi="Times New Roman" w:eastAsia="宋体" w:cs="Times New Roman"/>
                      <w:color w:val="auto"/>
                      <w:szCs w:val="21"/>
                    </w:rPr>
                    <w:t>400</w:t>
                  </w:r>
                </w:p>
              </w:tc>
              <w:tc>
                <w:tcPr>
                  <w:tcW w:w="573" w:type="pct"/>
                  <w:tcBorders>
                    <w:tl2br w:val="nil"/>
                    <w:tr2bl w:val="nil"/>
                  </w:tcBorders>
                  <w:vAlign w:val="center"/>
                </w:tcPr>
                <w:p w14:paraId="7BC2BFB5">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rPr>
                    <w:t>≤</w:t>
                  </w:r>
                  <w:r>
                    <w:rPr>
                      <w:rFonts w:hint="eastAsia" w:ascii="Times New Roman" w:hAnsi="Times New Roman" w:eastAsia="宋体" w:cs="Times New Roman"/>
                      <w:color w:val="auto"/>
                      <w:szCs w:val="21"/>
                    </w:rPr>
                    <w:t>5</w:t>
                  </w:r>
                  <w:r>
                    <w:rPr>
                      <w:rFonts w:hint="default" w:ascii="Times New Roman" w:hAnsi="Times New Roman" w:eastAsia="宋体" w:cs="Times New Roman"/>
                      <w:color w:val="auto"/>
                      <w:szCs w:val="21"/>
                    </w:rPr>
                    <w:t>00</w:t>
                  </w:r>
                </w:p>
              </w:tc>
              <w:tc>
                <w:tcPr>
                  <w:tcW w:w="573" w:type="pct"/>
                  <w:tcBorders>
                    <w:tl2br w:val="nil"/>
                    <w:tr2bl w:val="nil"/>
                  </w:tcBorders>
                  <w:vAlign w:val="center"/>
                </w:tcPr>
                <w:p w14:paraId="79418979">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r>
                    <w:rPr>
                      <w:rFonts w:hint="eastAsia" w:ascii="Times New Roman" w:hAnsi="Times New Roman" w:eastAsia="宋体" w:cs="Times New Roman"/>
                      <w:color w:val="auto"/>
                      <w:szCs w:val="21"/>
                    </w:rPr>
                    <w:t>/</w:t>
                  </w:r>
                </w:p>
              </w:tc>
              <w:tc>
                <w:tcPr>
                  <w:tcW w:w="573" w:type="pct"/>
                  <w:tcBorders>
                    <w:tl2br w:val="nil"/>
                    <w:tr2bl w:val="nil"/>
                  </w:tcBorders>
                  <w:vAlign w:val="center"/>
                </w:tcPr>
                <w:p w14:paraId="6243D793">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r>
                    <w:rPr>
                      <w:rFonts w:hint="eastAsia" w:ascii="Times New Roman" w:hAnsi="Times New Roman" w:eastAsia="宋体" w:cs="Times New Roman"/>
                      <w:color w:val="auto"/>
                      <w:szCs w:val="21"/>
                    </w:rPr>
                    <w:t>/</w:t>
                  </w:r>
                </w:p>
              </w:tc>
              <w:tc>
                <w:tcPr>
                  <w:tcW w:w="575" w:type="pct"/>
                  <w:tcBorders>
                    <w:tl2br w:val="nil"/>
                    <w:tr2bl w:val="nil"/>
                  </w:tcBorders>
                  <w:vAlign w:val="center"/>
                </w:tcPr>
                <w:p w14:paraId="5FB1FC8A">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r>
                    <w:rPr>
                      <w:rFonts w:hint="eastAsia" w:ascii="Times New Roman" w:hAnsi="Times New Roman" w:eastAsia="宋体" w:cs="Times New Roman"/>
                      <w:color w:val="auto"/>
                      <w:szCs w:val="21"/>
                    </w:rPr>
                    <w:t>/</w:t>
                  </w:r>
                </w:p>
              </w:tc>
            </w:tr>
            <w:tr w14:paraId="214606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97" w:hRule="atLeast"/>
                <w:jc w:val="center"/>
              </w:trPr>
              <w:tc>
                <w:tcPr>
                  <w:tcW w:w="1116" w:type="pct"/>
                  <w:tcBorders>
                    <w:tl2br w:val="nil"/>
                    <w:tr2bl w:val="nil"/>
                  </w:tcBorders>
                  <w:vAlign w:val="center"/>
                </w:tcPr>
                <w:p w14:paraId="20D0F1D8">
                  <w:pPr>
                    <w:keepNext w:val="0"/>
                    <w:keepLines w:val="0"/>
                    <w:suppressLineNumbers w:val="0"/>
                    <w:spacing w:before="0" w:beforeAutospacing="0" w:after="0" w:afterAutospacing="0"/>
                    <w:ind w:left="0" w:right="0"/>
                    <w:jc w:val="center"/>
                    <w:rPr>
                      <w:rFonts w:hint="default" w:ascii="Times New Roman" w:hAnsi="Times New Roman" w:eastAsia="宋体" w:cs="Times New Roman"/>
                      <w:b/>
                      <w:bCs/>
                      <w:color w:val="auto"/>
                      <w:szCs w:val="21"/>
                    </w:rPr>
                  </w:pPr>
                  <w:r>
                    <w:rPr>
                      <w:rFonts w:hint="default" w:ascii="Times New Roman" w:hAnsi="Times New Roman" w:eastAsia="宋体" w:cs="Times New Roman"/>
                      <w:b/>
                      <w:bCs/>
                      <w:color w:val="00B050"/>
                      <w:szCs w:val="21"/>
                      <w:lang w:val="en-US" w:eastAsia="zh-CN"/>
                    </w:rPr>
                    <w:t>GB/T-31962-2015</w:t>
                  </w:r>
                </w:p>
              </w:tc>
              <w:tc>
                <w:tcPr>
                  <w:tcW w:w="437" w:type="pct"/>
                  <w:tcBorders>
                    <w:tl2br w:val="nil"/>
                    <w:tr2bl w:val="nil"/>
                  </w:tcBorders>
                  <w:vAlign w:val="center"/>
                </w:tcPr>
                <w:p w14:paraId="1112B170">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00B050"/>
                      <w:szCs w:val="21"/>
                      <w:lang w:val="en-US" w:eastAsia="zh-CN"/>
                    </w:rPr>
                  </w:pPr>
                  <w:r>
                    <w:rPr>
                      <w:rFonts w:hint="default" w:ascii="Times New Roman" w:hAnsi="Times New Roman" w:eastAsia="宋体" w:cs="Times New Roman"/>
                      <w:color w:val="00B050"/>
                      <w:szCs w:val="21"/>
                      <w:lang w:val="en-US" w:eastAsia="zh-CN"/>
                    </w:rPr>
                    <w:t>/</w:t>
                  </w:r>
                </w:p>
              </w:tc>
              <w:tc>
                <w:tcPr>
                  <w:tcW w:w="573" w:type="pct"/>
                  <w:tcBorders>
                    <w:tl2br w:val="nil"/>
                    <w:tr2bl w:val="nil"/>
                  </w:tcBorders>
                  <w:vAlign w:val="center"/>
                </w:tcPr>
                <w:p w14:paraId="0E590493">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00B050"/>
                      <w:szCs w:val="21"/>
                      <w:lang w:val="en-US" w:eastAsia="zh-CN"/>
                    </w:rPr>
                  </w:pPr>
                  <w:r>
                    <w:rPr>
                      <w:rFonts w:hint="eastAsia" w:ascii="Times New Roman" w:hAnsi="Times New Roman" w:eastAsia="宋体" w:cs="Times New Roman"/>
                      <w:color w:val="00B050"/>
                      <w:szCs w:val="21"/>
                      <w:lang w:val="en-US" w:eastAsia="zh-CN"/>
                    </w:rPr>
                    <w:t>/</w:t>
                  </w:r>
                </w:p>
              </w:tc>
              <w:tc>
                <w:tcPr>
                  <w:tcW w:w="573" w:type="pct"/>
                  <w:tcBorders>
                    <w:tl2br w:val="nil"/>
                    <w:tr2bl w:val="nil"/>
                  </w:tcBorders>
                  <w:vAlign w:val="center"/>
                </w:tcPr>
                <w:p w14:paraId="049E07F3">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00B050"/>
                      <w:szCs w:val="21"/>
                      <w:lang w:val="en-US" w:eastAsia="zh-CN"/>
                    </w:rPr>
                  </w:pPr>
                  <w:r>
                    <w:rPr>
                      <w:rFonts w:hint="default" w:ascii="Times New Roman" w:hAnsi="Times New Roman" w:eastAsia="宋体" w:cs="Times New Roman"/>
                      <w:color w:val="00B050"/>
                      <w:szCs w:val="21"/>
                      <w:lang w:val="en-US" w:eastAsia="zh-CN"/>
                    </w:rPr>
                    <w:t>/</w:t>
                  </w:r>
                </w:p>
              </w:tc>
              <w:tc>
                <w:tcPr>
                  <w:tcW w:w="573" w:type="pct"/>
                  <w:tcBorders>
                    <w:tl2br w:val="nil"/>
                    <w:tr2bl w:val="nil"/>
                  </w:tcBorders>
                  <w:vAlign w:val="center"/>
                </w:tcPr>
                <w:p w14:paraId="080B5CB1">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00B050"/>
                      <w:szCs w:val="21"/>
                      <w:lang w:val="en-US" w:eastAsia="zh-CN"/>
                    </w:rPr>
                  </w:pPr>
                  <w:r>
                    <w:rPr>
                      <w:rFonts w:hint="default" w:ascii="Times New Roman" w:hAnsi="Times New Roman" w:eastAsia="宋体" w:cs="Times New Roman"/>
                      <w:color w:val="00B050"/>
                      <w:szCs w:val="21"/>
                      <w:lang w:val="en-US" w:eastAsia="zh-CN"/>
                    </w:rPr>
                    <w:t>/</w:t>
                  </w:r>
                </w:p>
              </w:tc>
              <w:tc>
                <w:tcPr>
                  <w:tcW w:w="573" w:type="pct"/>
                  <w:tcBorders>
                    <w:tl2br w:val="nil"/>
                    <w:tr2bl w:val="nil"/>
                  </w:tcBorders>
                  <w:vAlign w:val="center"/>
                </w:tcPr>
                <w:p w14:paraId="030C1874">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00B050"/>
                      <w:szCs w:val="21"/>
                      <w:lang w:val="en-US" w:eastAsia="zh-CN"/>
                    </w:rPr>
                  </w:pPr>
                  <w:r>
                    <w:rPr>
                      <w:rFonts w:hint="eastAsia" w:ascii="Times New Roman" w:hAnsi="Times New Roman" w:eastAsia="宋体" w:cs="Times New Roman"/>
                      <w:color w:val="00B050"/>
                      <w:szCs w:val="21"/>
                      <w:lang w:val="en-US" w:eastAsia="zh-CN"/>
                    </w:rPr>
                    <w:t>≤45</w:t>
                  </w:r>
                </w:p>
              </w:tc>
              <w:tc>
                <w:tcPr>
                  <w:tcW w:w="573" w:type="pct"/>
                  <w:tcBorders>
                    <w:tl2br w:val="nil"/>
                    <w:tr2bl w:val="nil"/>
                  </w:tcBorders>
                  <w:vAlign w:val="center"/>
                </w:tcPr>
                <w:p w14:paraId="79F4B93C">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00B050"/>
                      <w:szCs w:val="21"/>
                      <w:lang w:val="en-US" w:eastAsia="zh-CN"/>
                    </w:rPr>
                  </w:pPr>
                  <w:r>
                    <w:rPr>
                      <w:rFonts w:hint="eastAsia" w:ascii="Times New Roman" w:hAnsi="Times New Roman" w:eastAsia="宋体" w:cs="Times New Roman"/>
                      <w:color w:val="00B050"/>
                      <w:szCs w:val="21"/>
                      <w:lang w:val="en-US" w:eastAsia="zh-CN"/>
                    </w:rPr>
                    <w:t>≤8</w:t>
                  </w:r>
                </w:p>
              </w:tc>
              <w:tc>
                <w:tcPr>
                  <w:tcW w:w="575" w:type="pct"/>
                  <w:tcBorders>
                    <w:tl2br w:val="nil"/>
                    <w:tr2bl w:val="nil"/>
                  </w:tcBorders>
                  <w:vAlign w:val="center"/>
                </w:tcPr>
                <w:p w14:paraId="78E48553">
                  <w:pPr>
                    <w:keepNext w:val="0"/>
                    <w:keepLines w:val="0"/>
                    <w:suppressLineNumbers w:val="0"/>
                    <w:spacing w:before="0" w:beforeAutospacing="0" w:after="0" w:afterAutospacing="0"/>
                    <w:ind w:left="0" w:right="0"/>
                    <w:jc w:val="center"/>
                    <w:rPr>
                      <w:rFonts w:hint="eastAsia" w:ascii="Times New Roman" w:hAnsi="Times New Roman" w:eastAsia="宋体" w:cs="Times New Roman"/>
                      <w:color w:val="00B050"/>
                      <w:szCs w:val="21"/>
                    </w:rPr>
                  </w:pPr>
                  <w:r>
                    <w:rPr>
                      <w:rFonts w:hint="eastAsia" w:ascii="Times New Roman" w:hAnsi="Times New Roman" w:eastAsia="宋体" w:cs="Times New Roman"/>
                      <w:color w:val="00B050"/>
                      <w:szCs w:val="21"/>
                      <w:lang w:val="en-US" w:eastAsia="zh-CN"/>
                    </w:rPr>
                    <w:t>≤70</w:t>
                  </w:r>
                </w:p>
              </w:tc>
            </w:tr>
            <w:tr w14:paraId="329DD8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97" w:hRule="atLeast"/>
                <w:jc w:val="center"/>
              </w:trPr>
              <w:tc>
                <w:tcPr>
                  <w:tcW w:w="1116" w:type="pct"/>
                  <w:tcBorders>
                    <w:tl2br w:val="nil"/>
                    <w:tr2bl w:val="nil"/>
                  </w:tcBorders>
                  <w:vAlign w:val="center"/>
                </w:tcPr>
                <w:p w14:paraId="0129071F">
                  <w:pPr>
                    <w:keepNext w:val="0"/>
                    <w:keepLines w:val="0"/>
                    <w:suppressLineNumbers w:val="0"/>
                    <w:spacing w:before="0" w:beforeAutospacing="0" w:after="0" w:afterAutospacing="0"/>
                    <w:ind w:left="0" w:right="0"/>
                    <w:jc w:val="center"/>
                    <w:rPr>
                      <w:rFonts w:hint="default" w:ascii="Times New Roman" w:hAnsi="Times New Roman" w:eastAsia="宋体" w:cs="Times New Roman"/>
                      <w:bCs/>
                      <w:color w:val="auto"/>
                      <w:szCs w:val="21"/>
                    </w:rPr>
                  </w:pPr>
                  <w:r>
                    <w:rPr>
                      <w:rFonts w:hint="default" w:ascii="Times New Roman" w:hAnsi="Times New Roman" w:eastAsia="宋体" w:cs="Times New Roman"/>
                      <w:b/>
                      <w:bCs/>
                      <w:color w:val="auto"/>
                      <w:szCs w:val="21"/>
                    </w:rPr>
                    <w:t>安吉清源污水处理有限公司</w:t>
                  </w:r>
                </w:p>
              </w:tc>
              <w:tc>
                <w:tcPr>
                  <w:tcW w:w="437" w:type="pct"/>
                  <w:tcBorders>
                    <w:tl2br w:val="nil"/>
                    <w:tr2bl w:val="nil"/>
                  </w:tcBorders>
                  <w:vAlign w:val="center"/>
                </w:tcPr>
                <w:p w14:paraId="1E02D9A0">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rPr>
                    <w:t>6～9</w:t>
                  </w:r>
                </w:p>
              </w:tc>
              <w:tc>
                <w:tcPr>
                  <w:tcW w:w="573" w:type="pct"/>
                  <w:tcBorders>
                    <w:tl2br w:val="nil"/>
                    <w:tr2bl w:val="nil"/>
                  </w:tcBorders>
                  <w:vAlign w:val="center"/>
                </w:tcPr>
                <w:p w14:paraId="6E638CCA">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rPr>
                    <w:t>≤1</w:t>
                  </w:r>
                  <w:r>
                    <w:rPr>
                      <w:rFonts w:hint="eastAsia" w:ascii="Times New Roman" w:hAnsi="Times New Roman" w:eastAsia="宋体" w:cs="Times New Roman"/>
                      <w:color w:val="auto"/>
                      <w:szCs w:val="21"/>
                    </w:rPr>
                    <w:t>8</w:t>
                  </w:r>
                  <w:r>
                    <w:rPr>
                      <w:rFonts w:hint="default" w:ascii="Times New Roman" w:hAnsi="Times New Roman" w:eastAsia="宋体" w:cs="Times New Roman"/>
                      <w:color w:val="auto"/>
                      <w:szCs w:val="21"/>
                    </w:rPr>
                    <w:t>0</w:t>
                  </w:r>
                </w:p>
              </w:tc>
              <w:tc>
                <w:tcPr>
                  <w:tcW w:w="573" w:type="pct"/>
                  <w:tcBorders>
                    <w:tl2br w:val="nil"/>
                    <w:tr2bl w:val="nil"/>
                  </w:tcBorders>
                  <w:vAlign w:val="center"/>
                </w:tcPr>
                <w:p w14:paraId="7C1D1987">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rPr>
                    <w:t>≤220</w:t>
                  </w:r>
                </w:p>
              </w:tc>
              <w:tc>
                <w:tcPr>
                  <w:tcW w:w="573" w:type="pct"/>
                  <w:tcBorders>
                    <w:tl2br w:val="nil"/>
                    <w:tr2bl w:val="nil"/>
                  </w:tcBorders>
                  <w:vAlign w:val="center"/>
                </w:tcPr>
                <w:p w14:paraId="0369471C">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rPr>
                    <w:t>≤</w:t>
                  </w:r>
                  <w:r>
                    <w:rPr>
                      <w:rFonts w:hint="eastAsia" w:ascii="Times New Roman" w:hAnsi="Times New Roman" w:eastAsia="宋体" w:cs="Times New Roman"/>
                      <w:color w:val="auto"/>
                      <w:szCs w:val="21"/>
                    </w:rPr>
                    <w:t>5</w:t>
                  </w:r>
                  <w:r>
                    <w:rPr>
                      <w:rFonts w:hint="default" w:ascii="Times New Roman" w:hAnsi="Times New Roman" w:eastAsia="宋体" w:cs="Times New Roman"/>
                      <w:color w:val="auto"/>
                      <w:szCs w:val="21"/>
                    </w:rPr>
                    <w:t>00</w:t>
                  </w:r>
                </w:p>
              </w:tc>
              <w:tc>
                <w:tcPr>
                  <w:tcW w:w="573" w:type="pct"/>
                  <w:tcBorders>
                    <w:tl2br w:val="nil"/>
                    <w:tr2bl w:val="nil"/>
                  </w:tcBorders>
                  <w:vAlign w:val="center"/>
                </w:tcPr>
                <w:p w14:paraId="78D9A268">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rPr>
                    <w:t>≤35</w:t>
                  </w:r>
                </w:p>
              </w:tc>
              <w:tc>
                <w:tcPr>
                  <w:tcW w:w="573" w:type="pct"/>
                  <w:tcBorders>
                    <w:tl2br w:val="nil"/>
                    <w:tr2bl w:val="nil"/>
                  </w:tcBorders>
                  <w:vAlign w:val="center"/>
                </w:tcPr>
                <w:p w14:paraId="50387A8C">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rPr>
                    <w:t>≤</w:t>
                  </w:r>
                  <w:r>
                    <w:rPr>
                      <w:rFonts w:hint="eastAsia" w:ascii="Times New Roman" w:hAnsi="Times New Roman" w:eastAsia="宋体" w:cs="Times New Roman"/>
                      <w:color w:val="auto"/>
                      <w:szCs w:val="21"/>
                    </w:rPr>
                    <w:t>4</w:t>
                  </w:r>
                </w:p>
              </w:tc>
              <w:tc>
                <w:tcPr>
                  <w:tcW w:w="575" w:type="pct"/>
                  <w:tcBorders>
                    <w:tl2br w:val="nil"/>
                    <w:tr2bl w:val="nil"/>
                  </w:tcBorders>
                  <w:vAlign w:val="center"/>
                </w:tcPr>
                <w:p w14:paraId="21C235FC">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rPr>
                    <w:t>≤</w:t>
                  </w:r>
                  <w:r>
                    <w:rPr>
                      <w:rFonts w:hint="eastAsia" w:ascii="Times New Roman" w:hAnsi="Times New Roman" w:eastAsia="宋体" w:cs="Times New Roman"/>
                      <w:color w:val="auto"/>
                      <w:szCs w:val="21"/>
                    </w:rPr>
                    <w:t>4</w:t>
                  </w:r>
                  <w:r>
                    <w:rPr>
                      <w:rFonts w:hint="default" w:ascii="Times New Roman" w:hAnsi="Times New Roman" w:eastAsia="宋体" w:cs="Times New Roman"/>
                      <w:color w:val="auto"/>
                      <w:szCs w:val="21"/>
                    </w:rPr>
                    <w:t>5</w:t>
                  </w:r>
                </w:p>
              </w:tc>
            </w:tr>
            <w:tr w14:paraId="2C3400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97" w:hRule="atLeast"/>
                <w:jc w:val="center"/>
              </w:trPr>
              <w:tc>
                <w:tcPr>
                  <w:tcW w:w="1116" w:type="pct"/>
                  <w:tcBorders>
                    <w:tl2br w:val="nil"/>
                    <w:tr2bl w:val="nil"/>
                  </w:tcBorders>
                  <w:vAlign w:val="center"/>
                </w:tcPr>
                <w:p w14:paraId="6C80781C">
                  <w:pPr>
                    <w:keepNext w:val="0"/>
                    <w:keepLines w:val="0"/>
                    <w:suppressLineNumbers w:val="0"/>
                    <w:spacing w:before="0" w:beforeAutospacing="0" w:after="0" w:afterAutospacing="0"/>
                    <w:ind w:left="0" w:right="0"/>
                    <w:jc w:val="center"/>
                    <w:rPr>
                      <w:rFonts w:hint="default" w:ascii="Times New Roman" w:hAnsi="Times New Roman" w:eastAsia="宋体" w:cs="Times New Roman"/>
                      <w:b/>
                      <w:bCs/>
                      <w:color w:val="auto"/>
                      <w:szCs w:val="21"/>
                    </w:rPr>
                  </w:pPr>
                  <w:r>
                    <w:rPr>
                      <w:rFonts w:hint="default" w:ascii="Times New Roman" w:hAnsi="Times New Roman" w:eastAsia="宋体" w:cs="Times New Roman"/>
                      <w:b/>
                      <w:bCs/>
                      <w:color w:val="auto"/>
                      <w:szCs w:val="21"/>
                    </w:rPr>
                    <w:t>项目纳管限值要求</w:t>
                  </w:r>
                </w:p>
              </w:tc>
              <w:tc>
                <w:tcPr>
                  <w:tcW w:w="437" w:type="pct"/>
                  <w:tcBorders>
                    <w:tl2br w:val="nil"/>
                    <w:tr2bl w:val="nil"/>
                  </w:tcBorders>
                  <w:vAlign w:val="center"/>
                </w:tcPr>
                <w:p w14:paraId="178CBE77">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rPr>
                    <w:t>6～9</w:t>
                  </w:r>
                </w:p>
              </w:tc>
              <w:tc>
                <w:tcPr>
                  <w:tcW w:w="573" w:type="pct"/>
                  <w:tcBorders>
                    <w:tl2br w:val="nil"/>
                    <w:tr2bl w:val="nil"/>
                  </w:tcBorders>
                  <w:vAlign w:val="center"/>
                </w:tcPr>
                <w:p w14:paraId="0D738B1D">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rPr>
                    <w:t>≤180</w:t>
                  </w:r>
                </w:p>
              </w:tc>
              <w:tc>
                <w:tcPr>
                  <w:tcW w:w="573" w:type="pct"/>
                  <w:tcBorders>
                    <w:tl2br w:val="nil"/>
                    <w:tr2bl w:val="nil"/>
                  </w:tcBorders>
                  <w:vAlign w:val="center"/>
                </w:tcPr>
                <w:p w14:paraId="24AC8DA3">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rPr>
                    <w:t>≤220</w:t>
                  </w:r>
                </w:p>
              </w:tc>
              <w:tc>
                <w:tcPr>
                  <w:tcW w:w="573" w:type="pct"/>
                  <w:tcBorders>
                    <w:tl2br w:val="nil"/>
                    <w:tr2bl w:val="nil"/>
                  </w:tcBorders>
                  <w:vAlign w:val="center"/>
                </w:tcPr>
                <w:p w14:paraId="0AC25F3D">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rPr>
                    <w:t>≤500</w:t>
                  </w:r>
                </w:p>
              </w:tc>
              <w:tc>
                <w:tcPr>
                  <w:tcW w:w="573" w:type="pct"/>
                  <w:tcBorders>
                    <w:tl2br w:val="nil"/>
                    <w:tr2bl w:val="nil"/>
                  </w:tcBorders>
                  <w:vAlign w:val="center"/>
                </w:tcPr>
                <w:p w14:paraId="5DCC6367">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rPr>
                    <w:t>≤35</w:t>
                  </w:r>
                </w:p>
              </w:tc>
              <w:tc>
                <w:tcPr>
                  <w:tcW w:w="573" w:type="pct"/>
                  <w:tcBorders>
                    <w:tl2br w:val="nil"/>
                    <w:tr2bl w:val="nil"/>
                  </w:tcBorders>
                  <w:vAlign w:val="center"/>
                </w:tcPr>
                <w:p w14:paraId="050E41C2">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rPr>
                    <w:t>≤4</w:t>
                  </w:r>
                </w:p>
              </w:tc>
              <w:tc>
                <w:tcPr>
                  <w:tcW w:w="575" w:type="pct"/>
                  <w:tcBorders>
                    <w:tl2br w:val="nil"/>
                    <w:tr2bl w:val="nil"/>
                  </w:tcBorders>
                  <w:vAlign w:val="center"/>
                </w:tcPr>
                <w:p w14:paraId="0EFD7311">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rPr>
                    <w:t>≤45</w:t>
                  </w:r>
                </w:p>
              </w:tc>
            </w:tr>
          </w:tbl>
          <w:p w14:paraId="620450F1">
            <w:pPr>
              <w:keepNext w:val="0"/>
              <w:keepLines w:val="0"/>
              <w:suppressLineNumbers w:val="0"/>
              <w:spacing w:before="0" w:beforeAutospacing="0" w:after="0" w:afterAutospacing="0" w:line="360" w:lineRule="auto"/>
              <w:ind w:left="0" w:right="0" w:firstLine="480" w:firstLineChars="200"/>
              <w:rPr>
                <w:rFonts w:hint="default" w:ascii="Times New Roman" w:hAnsi="Times New Roman" w:eastAsia="宋体" w:cs="Times New Roman"/>
                <w:color w:val="auto"/>
                <w:sz w:val="24"/>
              </w:rPr>
            </w:pPr>
            <w:r>
              <w:rPr>
                <w:rFonts w:hint="eastAsia" w:ascii="Times New Roman" w:hAnsi="Times New Roman" w:eastAsia="宋体" w:cs="Times New Roman"/>
                <w:color w:val="auto"/>
                <w:sz w:val="24"/>
              </w:rPr>
              <w:t>安吉清源污水处理有限公司尾水排入浑泥港，化学需氧量、氨氮、总氮、总磷等排放执行《城镇污水处理厂主要水污染物排放标准》（</w:t>
            </w:r>
            <w:r>
              <w:rPr>
                <w:rFonts w:hint="default" w:ascii="Times New Roman" w:hAnsi="Times New Roman" w:eastAsia="宋体" w:cs="Times New Roman"/>
                <w:color w:val="auto"/>
                <w:sz w:val="24"/>
              </w:rPr>
              <w:t>DB33/2l69-2018</w:t>
            </w:r>
            <w:r>
              <w:rPr>
                <w:rFonts w:hint="eastAsia" w:ascii="Times New Roman" w:hAnsi="Times New Roman" w:eastAsia="宋体" w:cs="Times New Roman"/>
                <w:color w:val="auto"/>
                <w:sz w:val="24"/>
              </w:rPr>
              <w:t>）中表2标准，其余指标排放执行《城镇污水处理厂污染物排放标准》（GB18918-2002，含2006年、2025年修改单）中的一级</w:t>
            </w:r>
            <w:r>
              <w:rPr>
                <w:rFonts w:hint="default" w:ascii="Times New Roman" w:hAnsi="Times New Roman" w:eastAsia="宋体" w:cs="Times New Roman"/>
                <w:color w:val="auto"/>
                <w:sz w:val="24"/>
              </w:rPr>
              <w:t>A</w:t>
            </w:r>
            <w:r>
              <w:rPr>
                <w:rFonts w:hint="eastAsia" w:ascii="Times New Roman" w:hAnsi="Times New Roman" w:eastAsia="宋体" w:cs="Times New Roman"/>
                <w:color w:val="auto"/>
                <w:sz w:val="24"/>
              </w:rPr>
              <w:t>标准，具体见下表。</w:t>
            </w:r>
          </w:p>
          <w:p w14:paraId="5AA225F6">
            <w:pPr>
              <w:keepNext w:val="0"/>
              <w:keepLines w:val="0"/>
              <w:suppressLineNumbers w:val="0"/>
              <w:spacing w:before="0" w:beforeAutospacing="0" w:after="0" w:afterAutospacing="0"/>
              <w:ind w:left="0" w:right="0"/>
              <w:jc w:val="center"/>
              <w:rPr>
                <w:rFonts w:hint="default" w:ascii="Times New Roman" w:hAnsi="Times New Roman" w:eastAsia="宋体" w:cs="Times New Roman"/>
                <w:b/>
                <w:bCs/>
                <w:color w:val="auto"/>
              </w:rPr>
            </w:pPr>
            <w:bookmarkStart w:id="21" w:name="_Toc25828"/>
            <w:bookmarkStart w:id="22" w:name="_Toc29496"/>
            <w:r>
              <w:rPr>
                <w:rFonts w:hint="default" w:ascii="Times New Roman" w:hAnsi="Times New Roman" w:eastAsia="宋体" w:cs="Times New Roman"/>
                <w:b/>
                <w:bCs/>
                <w:color w:val="auto"/>
              </w:rPr>
              <w:t>表</w:t>
            </w:r>
            <w:r>
              <w:rPr>
                <w:rFonts w:hint="eastAsia" w:ascii="Times New Roman" w:hAnsi="Times New Roman" w:eastAsia="宋体" w:cs="Times New Roman"/>
                <w:b/>
                <w:bCs/>
                <w:color w:val="auto"/>
              </w:rPr>
              <w:t>3-</w:t>
            </w:r>
            <w:r>
              <w:rPr>
                <w:rFonts w:hint="eastAsia" w:ascii="Times New Roman" w:hAnsi="Times New Roman" w:eastAsia="宋体" w:cs="Times New Roman"/>
                <w:b/>
                <w:bCs/>
                <w:color w:val="auto"/>
                <w:lang w:val="en-US" w:eastAsia="zh-CN"/>
              </w:rPr>
              <w:t>9</w:t>
            </w:r>
            <w:r>
              <w:rPr>
                <w:rFonts w:hint="default" w:ascii="Times New Roman" w:hAnsi="Times New Roman" w:eastAsia="宋体" w:cs="Times New Roman"/>
                <w:b/>
                <w:bCs/>
                <w:color w:val="auto"/>
              </w:rPr>
              <w:t xml:space="preserve">  安吉清源污水处理有限公司出水水质标准</w:t>
            </w:r>
            <w:bookmarkEnd w:id="21"/>
            <w:bookmarkEnd w:id="22"/>
          </w:p>
          <w:p w14:paraId="1997243D">
            <w:pPr>
              <w:keepNext w:val="0"/>
              <w:keepLines w:val="0"/>
              <w:suppressLineNumbers w:val="0"/>
              <w:spacing w:before="0" w:beforeAutospacing="0" w:after="0" w:afterAutospacing="0"/>
              <w:ind w:left="0" w:right="0"/>
              <w:jc w:val="right"/>
              <w:rPr>
                <w:rFonts w:hint="default" w:ascii="Times New Roman" w:hAnsi="Times New Roman" w:eastAsia="宋体" w:cs="Times New Roman"/>
                <w:b/>
                <w:bCs/>
                <w:color w:val="auto"/>
              </w:rPr>
            </w:pPr>
            <w:bookmarkStart w:id="23" w:name="_Toc580"/>
            <w:bookmarkStart w:id="24" w:name="_Toc28166"/>
            <w:r>
              <w:rPr>
                <w:rFonts w:hint="default" w:ascii="Times New Roman" w:hAnsi="Times New Roman" w:eastAsia="宋体" w:cs="Times New Roman"/>
                <w:b/>
                <w:bCs/>
                <w:color w:val="auto"/>
              </w:rPr>
              <w:t>单位：mg/L（pH除外）</w:t>
            </w:r>
            <w:bookmarkEnd w:id="23"/>
            <w:bookmarkEnd w:id="24"/>
          </w:p>
          <w:tbl>
            <w:tblPr>
              <w:tblStyle w:val="22"/>
              <w:tblW w:w="4979"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3077"/>
              <w:gridCol w:w="2532"/>
              <w:gridCol w:w="2532"/>
            </w:tblGrid>
            <w:tr w14:paraId="0FBCDE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3080" w:type="dxa"/>
                  <w:tcBorders>
                    <w:tl2br w:val="nil"/>
                    <w:tr2bl w:val="nil"/>
                  </w:tcBorders>
                  <w:vAlign w:val="center"/>
                </w:tcPr>
                <w:p w14:paraId="5655F1C7">
                  <w:pPr>
                    <w:keepNext w:val="0"/>
                    <w:keepLines w:val="0"/>
                    <w:suppressLineNumbers w:val="0"/>
                    <w:spacing w:before="0" w:beforeAutospacing="0" w:after="0" w:afterAutospacing="0"/>
                    <w:ind w:left="0" w:right="0"/>
                    <w:jc w:val="center"/>
                    <w:rPr>
                      <w:rFonts w:hint="default" w:ascii="Times New Roman" w:hAnsi="Times New Roman" w:eastAsia="宋体" w:cs="Times New Roman"/>
                      <w:b/>
                      <w:bCs/>
                      <w:color w:val="auto"/>
                      <w:szCs w:val="21"/>
                    </w:rPr>
                  </w:pPr>
                  <w:r>
                    <w:rPr>
                      <w:rFonts w:hint="eastAsia" w:ascii="宋体" w:hAnsi="宋体" w:eastAsia="宋体" w:cs="宋体"/>
                      <w:b/>
                      <w:bCs/>
                      <w:color w:val="auto"/>
                      <w:szCs w:val="21"/>
                      <w:lang w:bidi="ar"/>
                    </w:rPr>
                    <w:t>污染物项目</w:t>
                  </w:r>
                </w:p>
              </w:tc>
              <w:tc>
                <w:tcPr>
                  <w:tcW w:w="2534" w:type="dxa"/>
                  <w:tcBorders>
                    <w:tl2br w:val="nil"/>
                    <w:tr2bl w:val="nil"/>
                  </w:tcBorders>
                  <w:vAlign w:val="center"/>
                </w:tcPr>
                <w:p w14:paraId="3A295348">
                  <w:pPr>
                    <w:keepNext w:val="0"/>
                    <w:keepLines w:val="0"/>
                    <w:suppressLineNumbers w:val="0"/>
                    <w:spacing w:before="0" w:beforeAutospacing="0" w:after="0" w:afterAutospacing="0"/>
                    <w:ind w:left="0" w:right="0"/>
                    <w:jc w:val="center"/>
                    <w:rPr>
                      <w:rFonts w:hint="default" w:ascii="Times New Roman" w:hAnsi="Times New Roman" w:eastAsia="宋体" w:cs="Times New Roman"/>
                      <w:b/>
                      <w:bCs/>
                      <w:color w:val="auto"/>
                      <w:szCs w:val="21"/>
                    </w:rPr>
                  </w:pPr>
                  <w:r>
                    <w:rPr>
                      <w:rFonts w:hint="eastAsia" w:ascii="宋体" w:hAnsi="宋体" w:eastAsia="宋体" w:cs="宋体"/>
                      <w:b/>
                      <w:bCs/>
                      <w:color w:val="auto"/>
                      <w:szCs w:val="21"/>
                      <w:lang w:bidi="ar"/>
                    </w:rPr>
                    <w:t>标准值</w:t>
                  </w:r>
                </w:p>
              </w:tc>
              <w:tc>
                <w:tcPr>
                  <w:tcW w:w="2534" w:type="dxa"/>
                  <w:tcBorders>
                    <w:tl2br w:val="nil"/>
                    <w:tr2bl w:val="nil"/>
                  </w:tcBorders>
                  <w:vAlign w:val="center"/>
                </w:tcPr>
                <w:p w14:paraId="5E6CD1E3">
                  <w:pPr>
                    <w:keepNext w:val="0"/>
                    <w:keepLines w:val="0"/>
                    <w:suppressLineNumbers w:val="0"/>
                    <w:spacing w:before="0" w:beforeAutospacing="0" w:after="0" w:afterAutospacing="0"/>
                    <w:ind w:left="0" w:right="0"/>
                    <w:jc w:val="center"/>
                    <w:rPr>
                      <w:rFonts w:hint="eastAsia" w:ascii="宋体" w:hAnsi="宋体" w:eastAsia="宋体" w:cs="宋体"/>
                      <w:b/>
                      <w:bCs/>
                      <w:color w:val="auto"/>
                      <w:szCs w:val="21"/>
                      <w:lang w:bidi="ar"/>
                    </w:rPr>
                  </w:pPr>
                  <w:r>
                    <w:rPr>
                      <w:rFonts w:hint="eastAsia" w:ascii="宋体" w:hAnsi="宋体" w:eastAsia="宋体" w:cs="宋体"/>
                      <w:b/>
                      <w:bCs/>
                      <w:color w:val="auto"/>
                      <w:szCs w:val="21"/>
                      <w:lang w:bidi="ar"/>
                    </w:rPr>
                    <w:t>标准来源</w:t>
                  </w:r>
                </w:p>
              </w:tc>
            </w:tr>
            <w:tr w14:paraId="6A3932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3080" w:type="dxa"/>
                  <w:tcBorders>
                    <w:tl2br w:val="nil"/>
                    <w:tr2bl w:val="nil"/>
                  </w:tcBorders>
                  <w:vAlign w:val="center"/>
                </w:tcPr>
                <w:p w14:paraId="5BAD4007">
                  <w:pPr>
                    <w:keepNext w:val="0"/>
                    <w:keepLines w:val="0"/>
                    <w:suppressLineNumbers w:val="0"/>
                    <w:spacing w:before="0" w:beforeAutospacing="0" w:after="0" w:afterAutospacing="0"/>
                    <w:ind w:left="0" w:right="0"/>
                    <w:jc w:val="center"/>
                    <w:rPr>
                      <w:rFonts w:hint="default" w:ascii="Times New Roman" w:hAnsi="Times New Roman" w:cs="Times New Roman"/>
                      <w:color w:val="auto"/>
                      <w:szCs w:val="21"/>
                    </w:rPr>
                  </w:pPr>
                  <w:r>
                    <w:rPr>
                      <w:rFonts w:hint="eastAsia" w:ascii="Times New Roman" w:hAnsi="Times New Roman" w:cs="Times New Roman"/>
                      <w:color w:val="auto"/>
                      <w:szCs w:val="21"/>
                    </w:rPr>
                    <w:t>COD</w:t>
                  </w:r>
                  <w:r>
                    <w:rPr>
                      <w:rFonts w:hint="default" w:ascii="Times New Roman" w:hAnsi="Times New Roman" w:cs="Times New Roman"/>
                      <w:color w:val="auto"/>
                      <w:szCs w:val="21"/>
                      <w:vertAlign w:val="subscript"/>
                    </w:rPr>
                    <w:t>Cr</w:t>
                  </w:r>
                </w:p>
              </w:tc>
              <w:tc>
                <w:tcPr>
                  <w:tcW w:w="2534" w:type="dxa"/>
                  <w:tcBorders>
                    <w:tl2br w:val="nil"/>
                    <w:tr2bl w:val="nil"/>
                  </w:tcBorders>
                  <w:vAlign w:val="center"/>
                </w:tcPr>
                <w:p w14:paraId="207E3D3D">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rPr>
                    <w:t>≤30</w:t>
                  </w:r>
                </w:p>
              </w:tc>
              <w:tc>
                <w:tcPr>
                  <w:tcW w:w="2534" w:type="dxa"/>
                  <w:vMerge w:val="restart"/>
                  <w:tcBorders>
                    <w:tl2br w:val="nil"/>
                    <w:tr2bl w:val="nil"/>
                  </w:tcBorders>
                  <w:vAlign w:val="center"/>
                </w:tcPr>
                <w:p w14:paraId="260007D5">
                  <w:pPr>
                    <w:keepNext w:val="0"/>
                    <w:keepLines w:val="0"/>
                    <w:suppressLineNumbers w:val="0"/>
                    <w:spacing w:before="0" w:beforeAutospacing="0" w:after="0" w:afterAutospacing="0"/>
                    <w:ind w:left="0" w:right="0"/>
                    <w:jc w:val="center"/>
                    <w:rPr>
                      <w:rFonts w:hint="default" w:ascii="Times New Roman" w:hAnsi="Times New Roman" w:eastAsia="宋体" w:cs="Times New Roman"/>
                      <w:b/>
                      <w:bCs/>
                      <w:color w:val="auto"/>
                      <w:szCs w:val="21"/>
                    </w:rPr>
                  </w:pPr>
                  <w:r>
                    <w:rPr>
                      <w:rFonts w:hint="default" w:ascii="Times New Roman" w:hAnsi="Times New Roman" w:eastAsia="宋体" w:cs="Times New Roman"/>
                      <w:color w:val="auto"/>
                      <w:szCs w:val="21"/>
                      <w:lang w:bidi="ar"/>
                    </w:rPr>
                    <w:t>《城镇污水处理厂主要水污染物排放标准》（DB33/2l69-2018）中表2标准</w:t>
                  </w:r>
                </w:p>
              </w:tc>
            </w:tr>
            <w:tr w14:paraId="03F757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3080" w:type="dxa"/>
                  <w:tcBorders>
                    <w:tl2br w:val="nil"/>
                    <w:tr2bl w:val="nil"/>
                  </w:tcBorders>
                  <w:vAlign w:val="center"/>
                </w:tcPr>
                <w:p w14:paraId="2F52195C">
                  <w:pPr>
                    <w:keepNext w:val="0"/>
                    <w:keepLines w:val="0"/>
                    <w:suppressLineNumbers w:val="0"/>
                    <w:spacing w:before="0" w:beforeAutospacing="0" w:after="0" w:afterAutospacing="0"/>
                    <w:ind w:left="0" w:right="0"/>
                    <w:jc w:val="center"/>
                    <w:rPr>
                      <w:rFonts w:hint="default" w:ascii="Times New Roman" w:hAnsi="Times New Roman" w:cs="Times New Roman"/>
                      <w:color w:val="auto"/>
                      <w:szCs w:val="21"/>
                    </w:rPr>
                  </w:pPr>
                  <w:r>
                    <w:rPr>
                      <w:rFonts w:hint="default" w:ascii="Times New Roman" w:hAnsi="Times New Roman" w:cs="Times New Roman"/>
                      <w:color w:val="auto"/>
                      <w:szCs w:val="21"/>
                    </w:rPr>
                    <w:t>NH</w:t>
                  </w:r>
                  <w:r>
                    <w:rPr>
                      <w:rFonts w:hint="default" w:ascii="Times New Roman" w:hAnsi="Times New Roman" w:cs="Times New Roman"/>
                      <w:color w:val="auto"/>
                      <w:szCs w:val="21"/>
                      <w:vertAlign w:val="subscript"/>
                    </w:rPr>
                    <w:t>3</w:t>
                  </w:r>
                  <w:r>
                    <w:rPr>
                      <w:rFonts w:hint="default" w:ascii="Times New Roman" w:hAnsi="Times New Roman" w:cs="Times New Roman"/>
                      <w:color w:val="auto"/>
                      <w:szCs w:val="21"/>
                    </w:rPr>
                    <w:t>-N</w:t>
                  </w:r>
                </w:p>
              </w:tc>
              <w:tc>
                <w:tcPr>
                  <w:tcW w:w="2534" w:type="dxa"/>
                  <w:tcBorders>
                    <w:tl2br w:val="nil"/>
                    <w:tr2bl w:val="nil"/>
                  </w:tcBorders>
                  <w:vAlign w:val="center"/>
                </w:tcPr>
                <w:p w14:paraId="7BA3AA3F">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lang w:bidi="ar"/>
                    </w:rPr>
                  </w:pPr>
                  <w:r>
                    <w:rPr>
                      <w:rFonts w:hint="default" w:ascii="Times New Roman" w:hAnsi="Times New Roman" w:eastAsia="宋体" w:cs="Times New Roman"/>
                      <w:color w:val="auto"/>
                      <w:szCs w:val="21"/>
                      <w:lang w:bidi="ar"/>
                    </w:rPr>
                    <w:t>≤1.5（3）</w:t>
                  </w:r>
                </w:p>
              </w:tc>
              <w:tc>
                <w:tcPr>
                  <w:tcW w:w="2534" w:type="dxa"/>
                  <w:vMerge w:val="continue"/>
                  <w:tcBorders>
                    <w:tl2br w:val="nil"/>
                    <w:tr2bl w:val="nil"/>
                  </w:tcBorders>
                  <w:vAlign w:val="center"/>
                </w:tcPr>
                <w:p w14:paraId="50C72C32">
                  <w:pPr>
                    <w:keepNext w:val="0"/>
                    <w:keepLines w:val="0"/>
                    <w:suppressLineNumbers w:val="0"/>
                    <w:spacing w:before="0" w:beforeAutospacing="0" w:after="0" w:afterAutospacing="0"/>
                    <w:ind w:left="0" w:right="0"/>
                    <w:jc w:val="center"/>
                    <w:rPr>
                      <w:rFonts w:hint="default" w:ascii="Times New Roman" w:hAnsi="Times New Roman" w:eastAsia="宋体" w:cs="Times New Roman"/>
                      <w:b/>
                      <w:bCs/>
                      <w:color w:val="auto"/>
                      <w:szCs w:val="21"/>
                      <w:lang w:bidi="ar"/>
                    </w:rPr>
                  </w:pPr>
                </w:p>
              </w:tc>
            </w:tr>
            <w:tr w14:paraId="01CDF1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3080" w:type="dxa"/>
                  <w:tcBorders>
                    <w:tl2br w:val="nil"/>
                    <w:tr2bl w:val="nil"/>
                  </w:tcBorders>
                  <w:vAlign w:val="center"/>
                </w:tcPr>
                <w:p w14:paraId="42D176DD">
                  <w:pPr>
                    <w:keepNext w:val="0"/>
                    <w:keepLines w:val="0"/>
                    <w:suppressLineNumbers w:val="0"/>
                    <w:spacing w:before="0" w:beforeAutospacing="0" w:after="0" w:afterAutospacing="0"/>
                    <w:ind w:left="0" w:right="0"/>
                    <w:jc w:val="center"/>
                    <w:rPr>
                      <w:rFonts w:hint="default" w:ascii="Times New Roman" w:hAnsi="Times New Roman" w:cs="Times New Roman"/>
                      <w:color w:val="auto"/>
                      <w:szCs w:val="21"/>
                    </w:rPr>
                  </w:pPr>
                  <w:r>
                    <w:rPr>
                      <w:rFonts w:hint="default" w:ascii="Times New Roman" w:hAnsi="Times New Roman" w:cs="Times New Roman"/>
                      <w:color w:val="auto"/>
                      <w:szCs w:val="21"/>
                    </w:rPr>
                    <w:t>TN</w:t>
                  </w:r>
                </w:p>
              </w:tc>
              <w:tc>
                <w:tcPr>
                  <w:tcW w:w="2534" w:type="dxa"/>
                  <w:tcBorders>
                    <w:tl2br w:val="nil"/>
                    <w:tr2bl w:val="nil"/>
                  </w:tcBorders>
                  <w:vAlign w:val="center"/>
                </w:tcPr>
                <w:p w14:paraId="78C9CA48">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lang w:bidi="ar"/>
                    </w:rPr>
                  </w:pPr>
                  <w:r>
                    <w:rPr>
                      <w:rFonts w:hint="default" w:ascii="Times New Roman" w:hAnsi="Times New Roman" w:eastAsia="宋体" w:cs="Times New Roman"/>
                      <w:color w:val="auto"/>
                      <w:szCs w:val="21"/>
                      <w:lang w:bidi="ar"/>
                    </w:rPr>
                    <w:t>≤10（12）</w:t>
                  </w:r>
                </w:p>
              </w:tc>
              <w:tc>
                <w:tcPr>
                  <w:tcW w:w="2534" w:type="dxa"/>
                  <w:vMerge w:val="continue"/>
                  <w:tcBorders>
                    <w:tl2br w:val="nil"/>
                    <w:tr2bl w:val="nil"/>
                  </w:tcBorders>
                  <w:vAlign w:val="center"/>
                </w:tcPr>
                <w:p w14:paraId="70622FBA">
                  <w:pPr>
                    <w:keepNext w:val="0"/>
                    <w:keepLines w:val="0"/>
                    <w:suppressLineNumbers w:val="0"/>
                    <w:spacing w:before="0" w:beforeAutospacing="0" w:after="0" w:afterAutospacing="0"/>
                    <w:ind w:left="0" w:right="0"/>
                    <w:jc w:val="center"/>
                    <w:rPr>
                      <w:rFonts w:hint="default" w:ascii="Times New Roman" w:hAnsi="Times New Roman" w:eastAsia="宋体" w:cs="Times New Roman"/>
                      <w:b/>
                      <w:bCs/>
                      <w:color w:val="auto"/>
                      <w:szCs w:val="21"/>
                      <w:lang w:bidi="ar"/>
                    </w:rPr>
                  </w:pPr>
                </w:p>
              </w:tc>
            </w:tr>
            <w:tr w14:paraId="441321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3080" w:type="dxa"/>
                  <w:tcBorders>
                    <w:tl2br w:val="nil"/>
                    <w:tr2bl w:val="nil"/>
                  </w:tcBorders>
                  <w:vAlign w:val="center"/>
                </w:tcPr>
                <w:p w14:paraId="54ADEA43">
                  <w:pPr>
                    <w:keepNext w:val="0"/>
                    <w:keepLines w:val="0"/>
                    <w:suppressLineNumbers w:val="0"/>
                    <w:spacing w:before="0" w:beforeAutospacing="0" w:after="0" w:afterAutospacing="0"/>
                    <w:ind w:left="0" w:right="0"/>
                    <w:jc w:val="center"/>
                    <w:rPr>
                      <w:rFonts w:hint="default" w:ascii="Times New Roman" w:hAnsi="Times New Roman" w:cs="Times New Roman"/>
                      <w:color w:val="auto"/>
                      <w:szCs w:val="21"/>
                    </w:rPr>
                  </w:pPr>
                  <w:r>
                    <w:rPr>
                      <w:rFonts w:hint="default" w:ascii="Times New Roman" w:hAnsi="Times New Roman" w:cs="Times New Roman"/>
                      <w:color w:val="auto"/>
                      <w:szCs w:val="21"/>
                    </w:rPr>
                    <w:t>TP</w:t>
                  </w:r>
                </w:p>
              </w:tc>
              <w:tc>
                <w:tcPr>
                  <w:tcW w:w="2534" w:type="dxa"/>
                  <w:tcBorders>
                    <w:tl2br w:val="nil"/>
                    <w:tr2bl w:val="nil"/>
                  </w:tcBorders>
                  <w:vAlign w:val="center"/>
                </w:tcPr>
                <w:p w14:paraId="2F00F265">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lang w:bidi="ar"/>
                    </w:rPr>
                  </w:pPr>
                  <w:r>
                    <w:rPr>
                      <w:rFonts w:hint="default" w:ascii="Times New Roman" w:hAnsi="Times New Roman" w:eastAsia="宋体" w:cs="Times New Roman"/>
                      <w:color w:val="auto"/>
                      <w:szCs w:val="21"/>
                      <w:lang w:bidi="ar"/>
                    </w:rPr>
                    <w:t>≤0.3</w:t>
                  </w:r>
                </w:p>
              </w:tc>
              <w:tc>
                <w:tcPr>
                  <w:tcW w:w="2534" w:type="dxa"/>
                  <w:vMerge w:val="continue"/>
                  <w:tcBorders>
                    <w:tl2br w:val="nil"/>
                    <w:tr2bl w:val="nil"/>
                  </w:tcBorders>
                  <w:vAlign w:val="center"/>
                </w:tcPr>
                <w:p w14:paraId="525FE64E">
                  <w:pPr>
                    <w:keepNext w:val="0"/>
                    <w:keepLines w:val="0"/>
                    <w:suppressLineNumbers w:val="0"/>
                    <w:spacing w:before="0" w:beforeAutospacing="0" w:after="0" w:afterAutospacing="0"/>
                    <w:ind w:left="0" w:right="0"/>
                    <w:jc w:val="center"/>
                    <w:rPr>
                      <w:rFonts w:hint="default" w:ascii="Times New Roman" w:hAnsi="Times New Roman" w:eastAsia="宋体" w:cs="Times New Roman"/>
                      <w:b/>
                      <w:bCs/>
                      <w:color w:val="auto"/>
                      <w:szCs w:val="21"/>
                      <w:lang w:bidi="ar"/>
                    </w:rPr>
                  </w:pPr>
                </w:p>
              </w:tc>
            </w:tr>
            <w:tr w14:paraId="365A0B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8148" w:type="dxa"/>
                  <w:gridSpan w:val="3"/>
                  <w:tcBorders>
                    <w:tl2br w:val="nil"/>
                    <w:tr2bl w:val="nil"/>
                  </w:tcBorders>
                  <w:vAlign w:val="center"/>
                </w:tcPr>
                <w:p w14:paraId="2CF7B7FC">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lang w:bidi="ar"/>
                    </w:rPr>
                  </w:pPr>
                  <w:r>
                    <w:rPr>
                      <w:rFonts w:hint="default" w:ascii="Times New Roman" w:hAnsi="Times New Roman" w:eastAsia="宋体" w:cs="Times New Roman"/>
                      <w:color w:val="auto"/>
                      <w:szCs w:val="21"/>
                    </w:rPr>
                    <w:t>注：括号内数值为每年11月1日至次年3月31日执行。</w:t>
                  </w:r>
                </w:p>
              </w:tc>
            </w:tr>
            <w:tr w14:paraId="5EC307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3080" w:type="dxa"/>
                  <w:tcBorders>
                    <w:tl2br w:val="nil"/>
                    <w:tr2bl w:val="nil"/>
                  </w:tcBorders>
                  <w:vAlign w:val="center"/>
                </w:tcPr>
                <w:p w14:paraId="377DB59F">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rPr>
                    <w:t>pH</w:t>
                  </w:r>
                </w:p>
              </w:tc>
              <w:tc>
                <w:tcPr>
                  <w:tcW w:w="2534" w:type="dxa"/>
                  <w:tcBorders>
                    <w:tl2br w:val="nil"/>
                    <w:tr2bl w:val="nil"/>
                  </w:tcBorders>
                  <w:vAlign w:val="center"/>
                </w:tcPr>
                <w:p w14:paraId="6CAD7830">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rPr>
                    <w:t>6~9（瞬时值）</w:t>
                  </w:r>
                </w:p>
              </w:tc>
              <w:tc>
                <w:tcPr>
                  <w:tcW w:w="2534" w:type="dxa"/>
                  <w:vMerge w:val="restart"/>
                  <w:tcBorders>
                    <w:tl2br w:val="nil"/>
                    <w:tr2bl w:val="nil"/>
                  </w:tcBorders>
                  <w:vAlign w:val="center"/>
                </w:tcPr>
                <w:p w14:paraId="55E8CB10">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lang w:bidi="ar"/>
                    </w:rPr>
                    <w:t>《城镇污水处理厂污染物排放标准》（GB18918-2002，含2006年、2025年修改单）中的一级A标准</w:t>
                  </w:r>
                </w:p>
              </w:tc>
            </w:tr>
            <w:tr w14:paraId="784697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3080" w:type="dxa"/>
                  <w:tcBorders>
                    <w:tl2br w:val="nil"/>
                    <w:tr2bl w:val="nil"/>
                  </w:tcBorders>
                  <w:vAlign w:val="center"/>
                </w:tcPr>
                <w:p w14:paraId="7B148E4D">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lang w:bidi="ar"/>
                    </w:rPr>
                  </w:pPr>
                  <w:r>
                    <w:rPr>
                      <w:rFonts w:hint="default" w:ascii="Times New Roman" w:hAnsi="Times New Roman" w:eastAsia="宋体" w:cs="Times New Roman"/>
                      <w:color w:val="auto"/>
                      <w:szCs w:val="21"/>
                      <w:lang w:bidi="ar"/>
                    </w:rPr>
                    <w:t>BOD5</w:t>
                  </w:r>
                </w:p>
              </w:tc>
              <w:tc>
                <w:tcPr>
                  <w:tcW w:w="2534" w:type="dxa"/>
                  <w:tcBorders>
                    <w:tl2br w:val="nil"/>
                    <w:tr2bl w:val="nil"/>
                  </w:tcBorders>
                  <w:vAlign w:val="center"/>
                </w:tcPr>
                <w:p w14:paraId="5EA41370">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lang w:bidi="ar"/>
                    </w:rPr>
                  </w:pPr>
                  <w:r>
                    <w:rPr>
                      <w:rFonts w:hint="default" w:ascii="Times New Roman" w:hAnsi="Times New Roman" w:eastAsia="宋体" w:cs="Times New Roman"/>
                      <w:color w:val="auto"/>
                      <w:szCs w:val="21"/>
                      <w:lang w:bidi="ar"/>
                    </w:rPr>
                    <w:t>≤10（日均值）</w:t>
                  </w:r>
                </w:p>
              </w:tc>
              <w:tc>
                <w:tcPr>
                  <w:tcW w:w="2534" w:type="dxa"/>
                  <w:vMerge w:val="continue"/>
                  <w:tcBorders>
                    <w:tl2br w:val="nil"/>
                    <w:tr2bl w:val="nil"/>
                  </w:tcBorders>
                  <w:vAlign w:val="center"/>
                </w:tcPr>
                <w:p w14:paraId="578A8614">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lang w:bidi="ar"/>
                    </w:rPr>
                  </w:pPr>
                </w:p>
              </w:tc>
            </w:tr>
            <w:tr w14:paraId="5244CF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3080" w:type="dxa"/>
                  <w:tcBorders>
                    <w:tl2br w:val="nil"/>
                    <w:tr2bl w:val="nil"/>
                  </w:tcBorders>
                  <w:vAlign w:val="center"/>
                </w:tcPr>
                <w:p w14:paraId="47352BE6">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lang w:bidi="ar"/>
                    </w:rPr>
                  </w:pPr>
                  <w:r>
                    <w:rPr>
                      <w:rFonts w:hint="default" w:ascii="Times New Roman" w:hAnsi="Times New Roman" w:eastAsia="宋体" w:cs="Times New Roman"/>
                      <w:color w:val="auto"/>
                      <w:szCs w:val="21"/>
                      <w:lang w:bidi="ar"/>
                    </w:rPr>
                    <w:t>SS</w:t>
                  </w:r>
                </w:p>
              </w:tc>
              <w:tc>
                <w:tcPr>
                  <w:tcW w:w="2534" w:type="dxa"/>
                  <w:tcBorders>
                    <w:tl2br w:val="nil"/>
                    <w:tr2bl w:val="nil"/>
                  </w:tcBorders>
                  <w:vAlign w:val="center"/>
                </w:tcPr>
                <w:p w14:paraId="5DE1F9FC">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lang w:bidi="ar"/>
                    </w:rPr>
                  </w:pPr>
                  <w:r>
                    <w:rPr>
                      <w:rFonts w:hint="default" w:ascii="Times New Roman" w:hAnsi="Times New Roman" w:eastAsia="宋体" w:cs="Times New Roman"/>
                      <w:color w:val="auto"/>
                      <w:szCs w:val="21"/>
                      <w:lang w:bidi="ar"/>
                    </w:rPr>
                    <w:t>≤10（日均值）</w:t>
                  </w:r>
                </w:p>
              </w:tc>
              <w:tc>
                <w:tcPr>
                  <w:tcW w:w="2534" w:type="dxa"/>
                  <w:vMerge w:val="continue"/>
                  <w:tcBorders>
                    <w:tl2br w:val="nil"/>
                    <w:tr2bl w:val="nil"/>
                  </w:tcBorders>
                  <w:vAlign w:val="center"/>
                </w:tcPr>
                <w:p w14:paraId="414013CF">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lang w:bidi="ar"/>
                    </w:rPr>
                  </w:pPr>
                </w:p>
              </w:tc>
            </w:tr>
          </w:tbl>
          <w:p w14:paraId="34CCEF87">
            <w:pPr>
              <w:pStyle w:val="10"/>
              <w:keepNext w:val="0"/>
              <w:keepLines w:val="0"/>
              <w:suppressLineNumbers w:val="0"/>
              <w:spacing w:before="0" w:beforeAutospacing="0" w:after="0" w:afterAutospacing="0"/>
              <w:ind w:left="0" w:right="0"/>
              <w:jc w:val="center"/>
              <w:rPr>
                <w:rFonts w:hint="default" w:ascii="Times New Roman" w:hAnsi="Times New Roman" w:eastAsia="宋体" w:cs="Times New Roman"/>
                <w:b/>
                <w:bCs/>
                <w:color w:val="auto"/>
              </w:rPr>
            </w:pPr>
            <w:r>
              <w:rPr>
                <w:rFonts w:hint="default" w:ascii="Times New Roman" w:hAnsi="Times New Roman" w:eastAsia="宋体" w:cs="Times New Roman"/>
                <w:b/>
                <w:bCs/>
                <w:color w:val="auto"/>
              </w:rPr>
              <w:t>表3</w:t>
            </w:r>
            <w:r>
              <w:rPr>
                <w:rFonts w:hint="eastAsia" w:ascii="Times New Roman" w:hAnsi="Times New Roman" w:eastAsia="宋体" w:cs="Times New Roman"/>
                <w:b/>
                <w:bCs/>
                <w:color w:val="auto"/>
              </w:rPr>
              <w:t>-</w:t>
            </w:r>
            <w:r>
              <w:rPr>
                <w:rFonts w:hint="eastAsia" w:ascii="Times New Roman" w:hAnsi="Times New Roman" w:eastAsia="宋体" w:cs="Times New Roman"/>
                <w:b/>
                <w:bCs/>
                <w:color w:val="auto"/>
                <w:lang w:val="en-US" w:eastAsia="zh-CN"/>
              </w:rPr>
              <w:t>10</w:t>
            </w:r>
            <w:r>
              <w:rPr>
                <w:rFonts w:hint="eastAsia" w:ascii="Times New Roman" w:hAnsi="Times New Roman" w:eastAsia="宋体" w:cs="Times New Roman"/>
                <w:b/>
                <w:bCs/>
                <w:color w:val="auto"/>
              </w:rPr>
              <w:t xml:space="preserve">  </w:t>
            </w:r>
            <w:r>
              <w:rPr>
                <w:rFonts w:hint="default" w:ascii="Times New Roman" w:hAnsi="Times New Roman" w:eastAsia="宋体" w:cs="Times New Roman"/>
                <w:b/>
                <w:bCs/>
                <w:color w:val="auto"/>
              </w:rPr>
              <w:t>《城镇污水处理厂污染物排放标准》</w:t>
            </w:r>
          </w:p>
          <w:p w14:paraId="350DE363">
            <w:pPr>
              <w:pStyle w:val="10"/>
              <w:keepNext w:val="0"/>
              <w:keepLines w:val="0"/>
              <w:suppressLineNumbers w:val="0"/>
              <w:spacing w:before="0" w:beforeAutospacing="0" w:after="0" w:afterAutospacing="0"/>
              <w:ind w:left="0" w:right="0"/>
              <w:jc w:val="center"/>
              <w:rPr>
                <w:rFonts w:hint="default" w:ascii="Times New Roman" w:hAnsi="Times New Roman" w:eastAsia="宋体" w:cs="Times New Roman"/>
                <w:b/>
                <w:bCs/>
                <w:color w:val="auto"/>
              </w:rPr>
            </w:pPr>
            <w:r>
              <w:rPr>
                <w:rFonts w:hint="default" w:ascii="Times New Roman" w:hAnsi="Times New Roman" w:eastAsia="宋体" w:cs="Times New Roman"/>
                <w:b/>
                <w:bCs/>
                <w:color w:val="auto"/>
              </w:rPr>
              <w:t>（GB18918-2002，含2006年、2025年修改单）瞬时值表</w:t>
            </w:r>
          </w:p>
          <w:p w14:paraId="70D92288">
            <w:pPr>
              <w:pStyle w:val="10"/>
              <w:keepNext w:val="0"/>
              <w:keepLines w:val="0"/>
              <w:suppressLineNumbers w:val="0"/>
              <w:spacing w:before="0" w:beforeAutospacing="0" w:afterAutospacing="0"/>
              <w:ind w:left="0" w:right="0"/>
              <w:jc w:val="right"/>
              <w:rPr>
                <w:rFonts w:hint="default" w:ascii="Times New Roman" w:hAnsi="Times New Roman" w:eastAsia="宋体" w:cs="Times New Roman"/>
                <w:b/>
                <w:bCs/>
                <w:color w:val="auto"/>
              </w:rPr>
            </w:pPr>
            <w:r>
              <w:rPr>
                <w:rFonts w:hint="default" w:ascii="Times New Roman" w:hAnsi="Times New Roman" w:eastAsia="宋体" w:cs="Times New Roman"/>
                <w:b/>
                <w:bCs/>
                <w:color w:val="auto"/>
              </w:rPr>
              <w:t>除pH外，单位 mg/L</w:t>
            </w:r>
          </w:p>
          <w:tbl>
            <w:tblPr>
              <w:tblStyle w:val="22"/>
              <w:tblW w:w="4982"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150"/>
              <w:gridCol w:w="1347"/>
              <w:gridCol w:w="3199"/>
              <w:gridCol w:w="1449"/>
            </w:tblGrid>
            <w:tr w14:paraId="616F94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2152" w:type="dxa"/>
                  <w:tcBorders>
                    <w:tl2br w:val="nil"/>
                    <w:tr2bl w:val="nil"/>
                  </w:tcBorders>
                  <w:vAlign w:val="center"/>
                </w:tcPr>
                <w:p w14:paraId="550EA5E1">
                  <w:pPr>
                    <w:keepNext w:val="0"/>
                    <w:keepLines w:val="0"/>
                    <w:suppressLineNumbers w:val="0"/>
                    <w:spacing w:before="0" w:beforeAutospacing="0" w:after="0" w:afterAutospacing="0"/>
                    <w:ind w:left="0" w:right="0"/>
                    <w:jc w:val="center"/>
                    <w:rPr>
                      <w:rFonts w:hint="default" w:ascii="Times New Roman" w:hAnsi="Times New Roman" w:eastAsia="宋体" w:cs="Times New Roman"/>
                      <w:b/>
                      <w:bCs/>
                      <w:color w:val="auto"/>
                      <w:szCs w:val="21"/>
                    </w:rPr>
                  </w:pPr>
                  <w:r>
                    <w:rPr>
                      <w:rFonts w:hint="eastAsia" w:ascii="宋体" w:hAnsi="宋体" w:eastAsia="宋体" w:cs="宋体"/>
                      <w:b/>
                      <w:bCs/>
                      <w:color w:val="auto"/>
                      <w:szCs w:val="21"/>
                      <w:lang w:bidi="ar"/>
                    </w:rPr>
                    <w:t>污染物项目</w:t>
                  </w:r>
                </w:p>
              </w:tc>
              <w:tc>
                <w:tcPr>
                  <w:tcW w:w="1348" w:type="dxa"/>
                  <w:tcBorders>
                    <w:tl2br w:val="nil"/>
                    <w:tr2bl w:val="nil"/>
                  </w:tcBorders>
                  <w:vAlign w:val="center"/>
                </w:tcPr>
                <w:p w14:paraId="2DFE86ED">
                  <w:pPr>
                    <w:keepNext w:val="0"/>
                    <w:keepLines w:val="0"/>
                    <w:suppressLineNumbers w:val="0"/>
                    <w:spacing w:before="0" w:beforeAutospacing="0" w:after="0" w:afterAutospacing="0"/>
                    <w:ind w:left="0" w:right="0"/>
                    <w:jc w:val="center"/>
                    <w:rPr>
                      <w:rFonts w:hint="default" w:ascii="Times New Roman" w:hAnsi="Times New Roman" w:eastAsia="宋体" w:cs="Times New Roman"/>
                      <w:b/>
                      <w:bCs/>
                      <w:color w:val="auto"/>
                      <w:szCs w:val="21"/>
                    </w:rPr>
                  </w:pPr>
                  <w:r>
                    <w:rPr>
                      <w:rFonts w:hint="eastAsia" w:ascii="宋体" w:hAnsi="宋体" w:eastAsia="宋体" w:cs="宋体"/>
                      <w:b/>
                      <w:bCs/>
                      <w:color w:val="auto"/>
                      <w:szCs w:val="21"/>
                      <w:lang w:bidi="ar"/>
                    </w:rPr>
                    <w:t>标准值</w:t>
                  </w:r>
                </w:p>
              </w:tc>
              <w:tc>
                <w:tcPr>
                  <w:tcW w:w="3202" w:type="dxa"/>
                  <w:tcBorders>
                    <w:tl2br w:val="nil"/>
                    <w:tr2bl w:val="nil"/>
                  </w:tcBorders>
                  <w:vAlign w:val="center"/>
                </w:tcPr>
                <w:p w14:paraId="188AF1F0">
                  <w:pPr>
                    <w:keepNext w:val="0"/>
                    <w:keepLines w:val="0"/>
                    <w:suppressLineNumbers w:val="0"/>
                    <w:spacing w:before="0" w:beforeAutospacing="0" w:after="0" w:afterAutospacing="0"/>
                    <w:ind w:left="0" w:right="0"/>
                    <w:jc w:val="center"/>
                    <w:rPr>
                      <w:rFonts w:hint="eastAsia" w:ascii="宋体" w:hAnsi="宋体" w:eastAsia="宋体" w:cs="宋体"/>
                      <w:b/>
                      <w:bCs/>
                      <w:color w:val="auto"/>
                      <w:szCs w:val="21"/>
                    </w:rPr>
                  </w:pPr>
                  <w:r>
                    <w:rPr>
                      <w:rFonts w:hint="eastAsia" w:ascii="宋体" w:hAnsi="宋体" w:eastAsia="宋体" w:cs="宋体"/>
                      <w:b/>
                      <w:bCs/>
                      <w:color w:val="auto"/>
                      <w:szCs w:val="21"/>
                    </w:rPr>
                    <w:t>备注</w:t>
                  </w:r>
                </w:p>
              </w:tc>
              <w:tc>
                <w:tcPr>
                  <w:tcW w:w="1451" w:type="dxa"/>
                  <w:tcBorders>
                    <w:tl2br w:val="nil"/>
                    <w:tr2bl w:val="nil"/>
                  </w:tcBorders>
                  <w:vAlign w:val="center"/>
                </w:tcPr>
                <w:p w14:paraId="257054BD">
                  <w:pPr>
                    <w:keepNext w:val="0"/>
                    <w:keepLines w:val="0"/>
                    <w:suppressLineNumbers w:val="0"/>
                    <w:spacing w:before="0" w:beforeAutospacing="0" w:after="0" w:afterAutospacing="0"/>
                    <w:ind w:left="0" w:right="0"/>
                    <w:jc w:val="center"/>
                    <w:rPr>
                      <w:rFonts w:hint="eastAsia" w:ascii="宋体" w:hAnsi="宋体" w:eastAsia="宋体" w:cs="宋体"/>
                      <w:b/>
                      <w:bCs/>
                      <w:color w:val="auto"/>
                      <w:szCs w:val="21"/>
                      <w:lang w:bidi="ar"/>
                    </w:rPr>
                  </w:pPr>
                  <w:r>
                    <w:rPr>
                      <w:rFonts w:hint="eastAsia" w:ascii="宋体" w:hAnsi="宋体" w:eastAsia="宋体" w:cs="宋体"/>
                      <w:b/>
                      <w:bCs/>
                      <w:color w:val="auto"/>
                      <w:szCs w:val="21"/>
                      <w:lang w:bidi="ar"/>
                    </w:rPr>
                    <w:t>执行标准</w:t>
                  </w:r>
                </w:p>
              </w:tc>
            </w:tr>
            <w:tr w14:paraId="6FC7D3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2152" w:type="dxa"/>
                  <w:tcBorders>
                    <w:tl2br w:val="nil"/>
                    <w:tr2bl w:val="nil"/>
                  </w:tcBorders>
                  <w:vAlign w:val="center"/>
                </w:tcPr>
                <w:p w14:paraId="109740EE">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lang w:bidi="ar"/>
                    </w:rPr>
                    <w:t>化学需氧量（COD）</w:t>
                  </w:r>
                </w:p>
              </w:tc>
              <w:tc>
                <w:tcPr>
                  <w:tcW w:w="1348" w:type="dxa"/>
                  <w:tcBorders>
                    <w:tl2br w:val="nil"/>
                    <w:tr2bl w:val="nil"/>
                  </w:tcBorders>
                  <w:vAlign w:val="center"/>
                </w:tcPr>
                <w:p w14:paraId="15A2B099">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r>
                    <w:rPr>
                      <w:rFonts w:hint="eastAsia" w:ascii="Times New Roman" w:hAnsi="Times New Roman" w:eastAsia="宋体" w:cs="Times New Roman"/>
                      <w:color w:val="auto"/>
                      <w:szCs w:val="21"/>
                    </w:rPr>
                    <w:t>75</w:t>
                  </w:r>
                </w:p>
              </w:tc>
              <w:tc>
                <w:tcPr>
                  <w:tcW w:w="3202" w:type="dxa"/>
                  <w:tcBorders>
                    <w:tl2br w:val="nil"/>
                    <w:tr2bl w:val="nil"/>
                  </w:tcBorders>
                  <w:vAlign w:val="center"/>
                </w:tcPr>
                <w:p w14:paraId="1D5D91A9">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rPr>
                    <w:t>瞬时值</w:t>
                  </w:r>
                </w:p>
              </w:tc>
              <w:tc>
                <w:tcPr>
                  <w:tcW w:w="1451" w:type="dxa"/>
                  <w:vMerge w:val="restart"/>
                  <w:tcBorders>
                    <w:tl2br w:val="nil"/>
                    <w:tr2bl w:val="nil"/>
                  </w:tcBorders>
                  <w:vAlign w:val="center"/>
                </w:tcPr>
                <w:p w14:paraId="29A9BD17">
                  <w:pPr>
                    <w:keepNext w:val="0"/>
                    <w:keepLines w:val="0"/>
                    <w:suppressLineNumbers w:val="0"/>
                    <w:spacing w:before="0" w:beforeAutospacing="0" w:after="0" w:afterAutospacing="0"/>
                    <w:ind w:left="0" w:right="0"/>
                    <w:jc w:val="center"/>
                    <w:rPr>
                      <w:rFonts w:hint="eastAsia" w:ascii="宋体" w:hAnsi="宋体" w:eastAsia="宋体" w:cs="宋体"/>
                      <w:color w:val="auto"/>
                      <w:szCs w:val="21"/>
                      <w:lang w:bidi="ar"/>
                    </w:rPr>
                  </w:pPr>
                  <w:r>
                    <w:rPr>
                      <w:rFonts w:hint="eastAsia" w:ascii="宋体" w:hAnsi="宋体" w:eastAsia="宋体" w:cs="宋体"/>
                      <w:color w:val="auto"/>
                      <w:szCs w:val="21"/>
                      <w:lang w:bidi="ar"/>
                    </w:rPr>
                    <w:t>《城镇污水处理厂污染物排放标准》（</w:t>
                  </w:r>
                  <w:r>
                    <w:rPr>
                      <w:rFonts w:hint="default" w:ascii="Times New Roman" w:hAnsi="Times New Roman" w:eastAsia="宋体" w:cs="Times New Roman"/>
                      <w:color w:val="auto"/>
                      <w:szCs w:val="21"/>
                      <w:lang w:bidi="ar"/>
                    </w:rPr>
                    <w:t>GB18918-2002</w:t>
                  </w:r>
                  <w:r>
                    <w:rPr>
                      <w:rFonts w:hint="eastAsia" w:ascii="宋体" w:hAnsi="宋体" w:eastAsia="宋体" w:cs="宋体"/>
                      <w:color w:val="auto"/>
                      <w:szCs w:val="21"/>
                      <w:lang w:bidi="ar"/>
                    </w:rPr>
                    <w:t>，含</w:t>
                  </w:r>
                  <w:r>
                    <w:rPr>
                      <w:rFonts w:hint="default" w:ascii="Times New Roman" w:hAnsi="Times New Roman" w:eastAsia="宋体" w:cs="Times New Roman"/>
                      <w:color w:val="auto"/>
                      <w:szCs w:val="21"/>
                      <w:lang w:bidi="ar"/>
                    </w:rPr>
                    <w:t>2006</w:t>
                  </w:r>
                  <w:r>
                    <w:rPr>
                      <w:rFonts w:hint="eastAsia" w:ascii="宋体" w:hAnsi="宋体" w:eastAsia="宋体" w:cs="宋体"/>
                      <w:color w:val="auto"/>
                      <w:szCs w:val="21"/>
                      <w:lang w:bidi="ar"/>
                    </w:rPr>
                    <w:t>年、</w:t>
                  </w:r>
                  <w:r>
                    <w:rPr>
                      <w:rFonts w:hint="default" w:ascii="Times New Roman" w:hAnsi="Times New Roman" w:eastAsia="宋体" w:cs="Times New Roman"/>
                      <w:color w:val="auto"/>
                      <w:szCs w:val="21"/>
                      <w:lang w:bidi="ar"/>
                    </w:rPr>
                    <w:t>2025</w:t>
                  </w:r>
                  <w:r>
                    <w:rPr>
                      <w:rFonts w:hint="eastAsia" w:ascii="宋体" w:hAnsi="宋体" w:eastAsia="宋体" w:cs="宋体"/>
                      <w:color w:val="auto"/>
                      <w:szCs w:val="21"/>
                      <w:lang w:bidi="ar"/>
                    </w:rPr>
                    <w:t>年修改单）</w:t>
                  </w:r>
                </w:p>
              </w:tc>
            </w:tr>
            <w:tr w14:paraId="695E1C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2152" w:type="dxa"/>
                  <w:tcBorders>
                    <w:tl2br w:val="nil"/>
                    <w:tr2bl w:val="nil"/>
                  </w:tcBorders>
                  <w:vAlign w:val="center"/>
                </w:tcPr>
                <w:p w14:paraId="60144A83">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lang w:bidi="ar"/>
                    </w:rPr>
                    <w:t>总氮（以N计）</w:t>
                  </w:r>
                </w:p>
              </w:tc>
              <w:tc>
                <w:tcPr>
                  <w:tcW w:w="1348" w:type="dxa"/>
                  <w:tcBorders>
                    <w:tl2br w:val="nil"/>
                    <w:tr2bl w:val="nil"/>
                  </w:tcBorders>
                  <w:vAlign w:val="center"/>
                </w:tcPr>
                <w:p w14:paraId="057B7FE6">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r>
                    <w:rPr>
                      <w:rFonts w:hint="eastAsia" w:ascii="Times New Roman" w:hAnsi="Times New Roman" w:eastAsia="宋体" w:cs="Times New Roman"/>
                      <w:color w:val="auto"/>
                      <w:szCs w:val="21"/>
                    </w:rPr>
                    <w:t>20</w:t>
                  </w:r>
                </w:p>
              </w:tc>
              <w:tc>
                <w:tcPr>
                  <w:tcW w:w="3202" w:type="dxa"/>
                  <w:tcBorders>
                    <w:tl2br w:val="nil"/>
                    <w:tr2bl w:val="nil"/>
                  </w:tcBorders>
                  <w:vAlign w:val="center"/>
                </w:tcPr>
                <w:p w14:paraId="6DE65B24">
                  <w:pPr>
                    <w:keepNext w:val="0"/>
                    <w:keepLines w:val="0"/>
                    <w:suppressLineNumbers w:val="0"/>
                    <w:spacing w:before="0" w:beforeAutospacing="0" w:after="0" w:afterAutospacing="0"/>
                    <w:ind w:left="0" w:right="0"/>
                    <w:jc w:val="center"/>
                    <w:rPr>
                      <w:rFonts w:hint="default" w:ascii="Times New Roman" w:hAnsi="Times New Roman" w:cs="Times New Roman"/>
                      <w:color w:val="auto"/>
                      <w:sz w:val="20"/>
                      <w:szCs w:val="20"/>
                    </w:rPr>
                  </w:pPr>
                  <w:r>
                    <w:rPr>
                      <w:rFonts w:hint="default" w:ascii="Times New Roman" w:hAnsi="Times New Roman" w:cs="Times New Roman"/>
                      <w:color w:val="auto"/>
                      <w:sz w:val="20"/>
                      <w:szCs w:val="20"/>
                    </w:rPr>
                    <w:t>瞬时值</w:t>
                  </w:r>
                </w:p>
              </w:tc>
              <w:tc>
                <w:tcPr>
                  <w:tcW w:w="1451" w:type="dxa"/>
                  <w:vMerge w:val="continue"/>
                  <w:tcBorders>
                    <w:tl2br w:val="nil"/>
                    <w:tr2bl w:val="nil"/>
                  </w:tcBorders>
                  <w:vAlign w:val="center"/>
                </w:tcPr>
                <w:p w14:paraId="394363F2">
                  <w:pPr>
                    <w:keepNext w:val="0"/>
                    <w:keepLines w:val="0"/>
                    <w:suppressLineNumbers w:val="0"/>
                    <w:spacing w:before="0" w:beforeAutospacing="0" w:after="0" w:afterAutospacing="0"/>
                    <w:ind w:left="0" w:right="0"/>
                    <w:rPr>
                      <w:rFonts w:hint="default" w:ascii="Times New Roman" w:hAnsi="Times New Roman" w:cs="Times New Roman"/>
                      <w:color w:val="auto"/>
                      <w:sz w:val="20"/>
                      <w:szCs w:val="20"/>
                    </w:rPr>
                  </w:pPr>
                </w:p>
              </w:tc>
            </w:tr>
            <w:tr w14:paraId="540C44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2152" w:type="dxa"/>
                  <w:tcBorders>
                    <w:tl2br w:val="nil"/>
                    <w:tr2bl w:val="nil"/>
                  </w:tcBorders>
                  <w:vAlign w:val="center"/>
                </w:tcPr>
                <w:p w14:paraId="5A68B51C">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lang w:bidi="ar"/>
                    </w:rPr>
                    <w:t>氨氮（以N计）</w:t>
                  </w:r>
                </w:p>
              </w:tc>
              <w:tc>
                <w:tcPr>
                  <w:tcW w:w="1348" w:type="dxa"/>
                  <w:tcBorders>
                    <w:tl2br w:val="nil"/>
                    <w:tr2bl w:val="nil"/>
                  </w:tcBorders>
                  <w:vAlign w:val="center"/>
                </w:tcPr>
                <w:p w14:paraId="7DF8DEB1">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rPr>
                    <w:t>10（15）</w:t>
                  </w:r>
                </w:p>
              </w:tc>
              <w:tc>
                <w:tcPr>
                  <w:tcW w:w="3202" w:type="dxa"/>
                  <w:tcBorders>
                    <w:tl2br w:val="nil"/>
                    <w:tr2bl w:val="nil"/>
                  </w:tcBorders>
                  <w:vAlign w:val="center"/>
                </w:tcPr>
                <w:p w14:paraId="4F841F3D">
                  <w:pPr>
                    <w:keepNext w:val="0"/>
                    <w:keepLines w:val="0"/>
                    <w:suppressLineNumbers w:val="0"/>
                    <w:spacing w:before="0" w:beforeAutospacing="0" w:after="0" w:afterAutospacing="0"/>
                    <w:ind w:left="0" w:right="0"/>
                    <w:jc w:val="center"/>
                    <w:rPr>
                      <w:rFonts w:hint="default" w:ascii="Times New Roman" w:hAnsi="Times New Roman" w:cs="Times New Roman"/>
                      <w:color w:val="auto"/>
                      <w:sz w:val="20"/>
                      <w:szCs w:val="20"/>
                    </w:rPr>
                  </w:pPr>
                  <w:r>
                    <w:rPr>
                      <w:rFonts w:hint="default" w:ascii="Times New Roman" w:hAnsi="Times New Roman" w:cs="Times New Roman"/>
                      <w:color w:val="auto"/>
                      <w:sz w:val="20"/>
                      <w:szCs w:val="20"/>
                    </w:rPr>
                    <w:t>瞬时值（括号外外数值为水温＞12℃时的控制指标，括号内数值为水温≤12℃时的控制指标）</w:t>
                  </w:r>
                </w:p>
              </w:tc>
              <w:tc>
                <w:tcPr>
                  <w:tcW w:w="1451" w:type="dxa"/>
                  <w:vMerge w:val="continue"/>
                  <w:tcBorders>
                    <w:tl2br w:val="nil"/>
                    <w:tr2bl w:val="nil"/>
                  </w:tcBorders>
                  <w:vAlign w:val="center"/>
                </w:tcPr>
                <w:p w14:paraId="1AAF5994">
                  <w:pPr>
                    <w:keepNext w:val="0"/>
                    <w:keepLines w:val="0"/>
                    <w:suppressLineNumbers w:val="0"/>
                    <w:spacing w:before="0" w:beforeAutospacing="0" w:after="0" w:afterAutospacing="0"/>
                    <w:ind w:left="0" w:right="0"/>
                    <w:rPr>
                      <w:rFonts w:hint="default" w:ascii="Times New Roman" w:hAnsi="Times New Roman" w:cs="Times New Roman"/>
                      <w:color w:val="auto"/>
                      <w:sz w:val="20"/>
                      <w:szCs w:val="20"/>
                    </w:rPr>
                  </w:pPr>
                </w:p>
              </w:tc>
            </w:tr>
            <w:tr w14:paraId="235693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2152" w:type="dxa"/>
                  <w:tcBorders>
                    <w:tl2br w:val="nil"/>
                    <w:tr2bl w:val="nil"/>
                  </w:tcBorders>
                  <w:vAlign w:val="center"/>
                </w:tcPr>
                <w:p w14:paraId="75A34202">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lang w:bidi="ar"/>
                    </w:rPr>
                    <w:t>总磷（以P计）</w:t>
                  </w:r>
                </w:p>
              </w:tc>
              <w:tc>
                <w:tcPr>
                  <w:tcW w:w="1348" w:type="dxa"/>
                  <w:tcBorders>
                    <w:tl2br w:val="nil"/>
                    <w:tr2bl w:val="nil"/>
                  </w:tcBorders>
                  <w:vAlign w:val="center"/>
                </w:tcPr>
                <w:p w14:paraId="1328431C">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rPr>
                    <w:t>1.5（2005年12月31日前建设的）</w:t>
                  </w:r>
                </w:p>
              </w:tc>
              <w:tc>
                <w:tcPr>
                  <w:tcW w:w="3202" w:type="dxa"/>
                  <w:tcBorders>
                    <w:tl2br w:val="nil"/>
                    <w:tr2bl w:val="nil"/>
                  </w:tcBorders>
                  <w:vAlign w:val="center"/>
                </w:tcPr>
                <w:p w14:paraId="0AA350BB">
                  <w:pPr>
                    <w:keepNext w:val="0"/>
                    <w:keepLines w:val="0"/>
                    <w:suppressLineNumbers w:val="0"/>
                    <w:spacing w:before="0" w:beforeAutospacing="0" w:after="0" w:afterAutospacing="0"/>
                    <w:ind w:left="0" w:right="0"/>
                    <w:jc w:val="center"/>
                    <w:rPr>
                      <w:rFonts w:hint="default" w:ascii="Times New Roman" w:hAnsi="Times New Roman" w:cs="Times New Roman"/>
                      <w:color w:val="auto"/>
                      <w:sz w:val="20"/>
                      <w:szCs w:val="20"/>
                    </w:rPr>
                  </w:pPr>
                  <w:r>
                    <w:rPr>
                      <w:rFonts w:hint="default" w:ascii="Times New Roman" w:hAnsi="Times New Roman" w:cs="Times New Roman"/>
                      <w:color w:val="auto"/>
                      <w:sz w:val="20"/>
                      <w:szCs w:val="20"/>
                    </w:rPr>
                    <w:t>瞬时值（2005年12月31日前建设的城镇污水处理厂，自2028年1月1日起，执行2006年1月1日起建设的城镇污水处理厂的排放限值）</w:t>
                  </w:r>
                </w:p>
              </w:tc>
              <w:tc>
                <w:tcPr>
                  <w:tcW w:w="1451" w:type="dxa"/>
                  <w:vMerge w:val="continue"/>
                  <w:tcBorders>
                    <w:tl2br w:val="nil"/>
                    <w:tr2bl w:val="nil"/>
                  </w:tcBorders>
                  <w:vAlign w:val="center"/>
                </w:tcPr>
                <w:p w14:paraId="365CDB51">
                  <w:pPr>
                    <w:keepNext w:val="0"/>
                    <w:keepLines w:val="0"/>
                    <w:suppressLineNumbers w:val="0"/>
                    <w:spacing w:before="0" w:beforeAutospacing="0" w:after="0" w:afterAutospacing="0"/>
                    <w:ind w:left="0" w:right="0"/>
                    <w:rPr>
                      <w:rFonts w:hint="default" w:ascii="Times New Roman" w:hAnsi="Times New Roman" w:cs="Times New Roman"/>
                      <w:color w:val="auto"/>
                      <w:sz w:val="20"/>
                      <w:szCs w:val="20"/>
                    </w:rPr>
                  </w:pPr>
                </w:p>
              </w:tc>
            </w:tr>
          </w:tbl>
          <w:p w14:paraId="4B75112F">
            <w:pPr>
              <w:keepNext w:val="0"/>
              <w:keepLines w:val="0"/>
              <w:suppressLineNumbers w:val="0"/>
              <w:spacing w:before="0" w:beforeAutospacing="0" w:after="0" w:afterAutospacing="0" w:line="360" w:lineRule="auto"/>
              <w:ind w:left="0" w:right="0"/>
              <w:rPr>
                <w:rFonts w:hint="default" w:ascii="Times New Roman" w:hAnsi="Times New Roman" w:eastAsia="宋体" w:cs="Times New Roman"/>
                <w:b/>
                <w:bCs/>
                <w:color w:val="auto"/>
                <w:sz w:val="24"/>
              </w:rPr>
            </w:pPr>
            <w:r>
              <w:rPr>
                <w:rFonts w:hint="eastAsia" w:ascii="Times New Roman" w:hAnsi="Times New Roman" w:eastAsia="宋体" w:cs="Times New Roman"/>
                <w:b/>
                <w:bCs/>
                <w:color w:val="auto"/>
                <w:sz w:val="24"/>
              </w:rPr>
              <w:t>3.3.3噪声</w:t>
            </w:r>
          </w:p>
          <w:p w14:paraId="6521131C">
            <w:pPr>
              <w:keepNext w:val="0"/>
              <w:keepLines w:val="0"/>
              <w:suppressLineNumbers w:val="0"/>
              <w:spacing w:before="0" w:beforeAutospacing="0" w:after="0" w:afterAutospacing="0" w:line="360" w:lineRule="auto"/>
              <w:ind w:left="0" w:right="0" w:firstLine="480" w:firstLineChars="200"/>
              <w:rPr>
                <w:rFonts w:hint="default" w:ascii="Times New Roman" w:hAnsi="Times New Roman" w:eastAsia="宋体" w:cs="Times New Roman"/>
                <w:color w:val="auto"/>
                <w:sz w:val="24"/>
              </w:rPr>
            </w:pPr>
            <w:r>
              <w:rPr>
                <w:rFonts w:hint="eastAsia" w:ascii="Times New Roman" w:hAnsi="Times New Roman" w:eastAsia="宋体" w:cs="Times New Roman"/>
                <w:color w:val="auto"/>
                <w:sz w:val="24"/>
              </w:rPr>
              <w:t>根据《长三角（湖州）产业合作区发展总体规划环境影响报告书》，规划范围内工业区块执行3类声环境功能区，故本项目营运期厂界噪声排放执行《工业企业厂界环境噪声排放标准》（</w:t>
            </w:r>
            <w:r>
              <w:rPr>
                <w:rFonts w:hint="default" w:ascii="Times New Roman" w:hAnsi="Times New Roman" w:eastAsia="宋体" w:cs="Times New Roman"/>
                <w:color w:val="auto"/>
                <w:sz w:val="24"/>
              </w:rPr>
              <w:t>GB12348-2008</w:t>
            </w:r>
            <w:r>
              <w:rPr>
                <w:rFonts w:hint="eastAsia" w:ascii="Times New Roman" w:hAnsi="Times New Roman" w:eastAsia="宋体" w:cs="Times New Roman"/>
                <w:color w:val="auto"/>
                <w:sz w:val="24"/>
              </w:rPr>
              <w:t>）中的</w:t>
            </w:r>
            <w:r>
              <w:rPr>
                <w:rFonts w:hint="default" w:ascii="Times New Roman" w:hAnsi="Times New Roman" w:eastAsia="宋体" w:cs="Times New Roman"/>
                <w:color w:val="auto"/>
                <w:sz w:val="24"/>
              </w:rPr>
              <w:t>3</w:t>
            </w:r>
            <w:r>
              <w:rPr>
                <w:rFonts w:hint="eastAsia" w:ascii="Times New Roman" w:hAnsi="Times New Roman" w:eastAsia="宋体" w:cs="Times New Roman"/>
                <w:color w:val="auto"/>
                <w:sz w:val="24"/>
              </w:rPr>
              <w:t>类标准，具体见下表。</w:t>
            </w:r>
          </w:p>
          <w:p w14:paraId="40E70D9C">
            <w:pPr>
              <w:keepNext w:val="0"/>
              <w:keepLines w:val="0"/>
              <w:suppressLineNumbers w:val="0"/>
              <w:spacing w:before="0" w:beforeAutospacing="0" w:after="0" w:afterAutospacing="0"/>
              <w:ind w:left="0" w:right="0"/>
              <w:jc w:val="center"/>
              <w:rPr>
                <w:rFonts w:hint="default" w:ascii="Times New Roman" w:hAnsi="Times New Roman" w:eastAsia="宋体" w:cs="Times New Roman"/>
                <w:b/>
                <w:bCs/>
                <w:color w:val="auto"/>
              </w:rPr>
            </w:pPr>
            <w:bookmarkStart w:id="25" w:name="_Toc26712"/>
            <w:bookmarkStart w:id="26" w:name="_Toc29422"/>
            <w:r>
              <w:rPr>
                <w:rFonts w:hint="default" w:ascii="Times New Roman" w:hAnsi="Times New Roman" w:eastAsia="宋体" w:cs="Times New Roman"/>
                <w:b/>
                <w:bCs/>
                <w:color w:val="auto"/>
              </w:rPr>
              <w:t>表</w:t>
            </w:r>
            <w:r>
              <w:rPr>
                <w:rFonts w:hint="eastAsia" w:ascii="Times New Roman" w:hAnsi="Times New Roman" w:eastAsia="宋体" w:cs="Times New Roman"/>
                <w:b/>
                <w:bCs/>
                <w:color w:val="auto"/>
              </w:rPr>
              <w:t>3-1</w:t>
            </w:r>
            <w:r>
              <w:rPr>
                <w:rFonts w:hint="eastAsia" w:ascii="Times New Roman" w:hAnsi="Times New Roman" w:eastAsia="宋体" w:cs="Times New Roman"/>
                <w:b/>
                <w:bCs/>
                <w:color w:val="auto"/>
                <w:lang w:val="en-US" w:eastAsia="zh-CN"/>
              </w:rPr>
              <w:t>1</w:t>
            </w:r>
            <w:r>
              <w:rPr>
                <w:rFonts w:hint="default" w:ascii="Times New Roman" w:hAnsi="Times New Roman" w:eastAsia="宋体" w:cs="Times New Roman"/>
                <w:b/>
                <w:bCs/>
                <w:color w:val="auto"/>
              </w:rPr>
              <w:t xml:space="preserve">  《工业企业厂界环境噪声排放标准》（GB12348-2008）</w:t>
            </w:r>
            <w:bookmarkEnd w:id="25"/>
            <w:bookmarkEnd w:id="26"/>
          </w:p>
          <w:p w14:paraId="7B01FDD9">
            <w:pPr>
              <w:keepNext w:val="0"/>
              <w:keepLines w:val="0"/>
              <w:suppressLineNumbers w:val="0"/>
              <w:spacing w:before="0" w:beforeAutospacing="0" w:after="0" w:afterAutospacing="0"/>
              <w:ind w:left="0" w:right="0"/>
              <w:jc w:val="right"/>
              <w:rPr>
                <w:rFonts w:hint="default" w:ascii="Times New Roman" w:hAnsi="Times New Roman" w:eastAsia="宋体" w:cs="Times New Roman"/>
                <w:b/>
                <w:bCs/>
                <w:color w:val="auto"/>
              </w:rPr>
            </w:pPr>
            <w:r>
              <w:rPr>
                <w:rFonts w:hint="default" w:ascii="Times New Roman" w:hAnsi="Times New Roman" w:eastAsia="宋体" w:cs="Times New Roman"/>
                <w:b/>
                <w:bCs/>
                <w:color w:val="auto"/>
              </w:rPr>
              <w:t>单位：</w:t>
            </w:r>
            <w:r>
              <w:rPr>
                <w:rFonts w:hint="eastAsia" w:ascii="Times New Roman" w:hAnsi="Times New Roman" w:eastAsia="宋体" w:cs="Times New Roman"/>
                <w:b/>
                <w:bCs/>
                <w:color w:val="auto"/>
              </w:rPr>
              <w:t>dB（A）</w:t>
            </w:r>
          </w:p>
          <w:tbl>
            <w:tblPr>
              <w:tblStyle w:val="22"/>
              <w:tblW w:w="4993" w:type="pct"/>
              <w:jc w:val="center"/>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Layout w:type="fixed"/>
              <w:tblCellMar>
                <w:top w:w="0" w:type="dxa"/>
                <w:left w:w="108" w:type="dxa"/>
                <w:bottom w:w="0" w:type="dxa"/>
                <w:right w:w="108" w:type="dxa"/>
              </w:tblCellMar>
            </w:tblPr>
            <w:tblGrid>
              <w:gridCol w:w="3089"/>
              <w:gridCol w:w="2539"/>
              <w:gridCol w:w="2540"/>
            </w:tblGrid>
            <w:tr w14:paraId="63919123">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397" w:hRule="atLeast"/>
                <w:jc w:val="center"/>
              </w:trPr>
              <w:tc>
                <w:tcPr>
                  <w:tcW w:w="1890" w:type="pct"/>
                  <w:vMerge w:val="restart"/>
                  <w:tcBorders>
                    <w:tl2br w:val="nil"/>
                    <w:tr2bl w:val="nil"/>
                  </w:tcBorders>
                  <w:vAlign w:val="center"/>
                </w:tcPr>
                <w:p w14:paraId="1674686B">
                  <w:pPr>
                    <w:keepNext w:val="0"/>
                    <w:keepLines w:val="0"/>
                    <w:suppressLineNumbers w:val="0"/>
                    <w:spacing w:before="0" w:beforeAutospacing="0" w:after="0" w:afterAutospacing="0"/>
                    <w:ind w:left="0" w:right="0"/>
                    <w:jc w:val="center"/>
                    <w:rPr>
                      <w:rFonts w:hint="default" w:ascii="Times New Roman" w:hAnsi="Times New Roman" w:eastAsia="宋体" w:cs="Times New Roman"/>
                      <w:b/>
                      <w:bCs/>
                      <w:color w:val="auto"/>
                      <w:szCs w:val="21"/>
                    </w:rPr>
                  </w:pPr>
                  <w:r>
                    <w:rPr>
                      <w:rFonts w:hint="default" w:ascii="Times New Roman" w:hAnsi="Times New Roman" w:eastAsia="宋体" w:cs="Times New Roman"/>
                      <w:b/>
                      <w:bCs/>
                      <w:color w:val="auto"/>
                      <w:szCs w:val="21"/>
                    </w:rPr>
                    <w:t>厂界外声环境功能区类别</w:t>
                  </w:r>
                </w:p>
              </w:tc>
              <w:tc>
                <w:tcPr>
                  <w:tcW w:w="3109" w:type="pct"/>
                  <w:gridSpan w:val="2"/>
                  <w:tcBorders>
                    <w:tl2br w:val="nil"/>
                    <w:tr2bl w:val="nil"/>
                  </w:tcBorders>
                  <w:vAlign w:val="center"/>
                </w:tcPr>
                <w:p w14:paraId="0AD68AA5">
                  <w:pPr>
                    <w:keepNext w:val="0"/>
                    <w:keepLines w:val="0"/>
                    <w:suppressLineNumbers w:val="0"/>
                    <w:spacing w:before="0" w:beforeAutospacing="0" w:after="0" w:afterAutospacing="0"/>
                    <w:ind w:left="0" w:right="0"/>
                    <w:jc w:val="center"/>
                    <w:rPr>
                      <w:rFonts w:hint="default" w:ascii="Times New Roman" w:hAnsi="Times New Roman" w:eastAsia="宋体" w:cs="Times New Roman"/>
                      <w:b/>
                      <w:bCs/>
                      <w:color w:val="auto"/>
                      <w:szCs w:val="21"/>
                    </w:rPr>
                  </w:pPr>
                  <w:r>
                    <w:rPr>
                      <w:rFonts w:hint="default" w:ascii="Times New Roman" w:hAnsi="Times New Roman" w:eastAsia="宋体" w:cs="Times New Roman"/>
                      <w:b/>
                      <w:bCs/>
                      <w:color w:val="auto"/>
                      <w:szCs w:val="21"/>
                    </w:rPr>
                    <w:t>时段</w:t>
                  </w:r>
                </w:p>
              </w:tc>
            </w:tr>
            <w:tr w14:paraId="3E31CB9E">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397" w:hRule="atLeast"/>
                <w:jc w:val="center"/>
              </w:trPr>
              <w:tc>
                <w:tcPr>
                  <w:tcW w:w="1890" w:type="pct"/>
                  <w:vMerge w:val="continue"/>
                  <w:tcBorders>
                    <w:tl2br w:val="nil"/>
                    <w:tr2bl w:val="nil"/>
                  </w:tcBorders>
                  <w:vAlign w:val="center"/>
                </w:tcPr>
                <w:p w14:paraId="6279EA91">
                  <w:pPr>
                    <w:keepNext w:val="0"/>
                    <w:keepLines w:val="0"/>
                    <w:suppressLineNumbers w:val="0"/>
                    <w:spacing w:before="0" w:beforeAutospacing="0" w:after="0" w:afterAutospacing="0"/>
                    <w:ind w:left="0" w:right="0"/>
                    <w:jc w:val="center"/>
                    <w:rPr>
                      <w:rFonts w:hint="default" w:ascii="Times New Roman" w:hAnsi="Times New Roman" w:eastAsia="宋体" w:cs="Times New Roman"/>
                      <w:b/>
                      <w:bCs/>
                      <w:color w:val="auto"/>
                      <w:szCs w:val="21"/>
                    </w:rPr>
                  </w:pPr>
                </w:p>
              </w:tc>
              <w:tc>
                <w:tcPr>
                  <w:tcW w:w="1554" w:type="pct"/>
                  <w:tcBorders>
                    <w:tl2br w:val="nil"/>
                    <w:tr2bl w:val="nil"/>
                  </w:tcBorders>
                  <w:vAlign w:val="center"/>
                </w:tcPr>
                <w:p w14:paraId="7A28AA5E">
                  <w:pPr>
                    <w:keepNext w:val="0"/>
                    <w:keepLines w:val="0"/>
                    <w:suppressLineNumbers w:val="0"/>
                    <w:spacing w:before="0" w:beforeAutospacing="0" w:after="0" w:afterAutospacing="0"/>
                    <w:ind w:left="0" w:right="0"/>
                    <w:jc w:val="center"/>
                    <w:rPr>
                      <w:rFonts w:hint="default" w:ascii="Times New Roman" w:hAnsi="Times New Roman" w:eastAsia="宋体" w:cs="Times New Roman"/>
                      <w:b/>
                      <w:bCs/>
                      <w:color w:val="auto"/>
                      <w:szCs w:val="21"/>
                    </w:rPr>
                  </w:pPr>
                  <w:r>
                    <w:rPr>
                      <w:rFonts w:hint="default" w:ascii="Times New Roman" w:hAnsi="Times New Roman" w:eastAsia="宋体" w:cs="Times New Roman"/>
                      <w:b/>
                      <w:bCs/>
                      <w:color w:val="auto"/>
                      <w:szCs w:val="21"/>
                    </w:rPr>
                    <w:t>昼间</w:t>
                  </w:r>
                </w:p>
              </w:tc>
              <w:tc>
                <w:tcPr>
                  <w:tcW w:w="1554" w:type="pct"/>
                  <w:tcBorders>
                    <w:tl2br w:val="nil"/>
                    <w:tr2bl w:val="nil"/>
                  </w:tcBorders>
                  <w:vAlign w:val="center"/>
                </w:tcPr>
                <w:p w14:paraId="051CD55C">
                  <w:pPr>
                    <w:keepNext w:val="0"/>
                    <w:keepLines w:val="0"/>
                    <w:suppressLineNumbers w:val="0"/>
                    <w:spacing w:before="0" w:beforeAutospacing="0" w:after="0" w:afterAutospacing="0"/>
                    <w:ind w:left="0" w:right="0"/>
                    <w:jc w:val="center"/>
                    <w:rPr>
                      <w:rFonts w:hint="default" w:ascii="Times New Roman" w:hAnsi="Times New Roman" w:eastAsia="宋体" w:cs="Times New Roman"/>
                      <w:b/>
                      <w:bCs/>
                      <w:color w:val="auto"/>
                      <w:szCs w:val="21"/>
                    </w:rPr>
                  </w:pPr>
                  <w:r>
                    <w:rPr>
                      <w:rFonts w:hint="default" w:ascii="Times New Roman" w:hAnsi="Times New Roman" w:eastAsia="宋体" w:cs="Times New Roman"/>
                      <w:b/>
                      <w:bCs/>
                      <w:color w:val="auto"/>
                      <w:szCs w:val="21"/>
                    </w:rPr>
                    <w:t>夜间</w:t>
                  </w:r>
                </w:p>
              </w:tc>
            </w:tr>
            <w:tr w14:paraId="65C4BB6F">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397" w:hRule="atLeast"/>
                <w:jc w:val="center"/>
              </w:trPr>
              <w:tc>
                <w:tcPr>
                  <w:tcW w:w="1890" w:type="pct"/>
                  <w:tcBorders>
                    <w:tl2br w:val="nil"/>
                    <w:tr2bl w:val="nil"/>
                  </w:tcBorders>
                  <w:vAlign w:val="center"/>
                </w:tcPr>
                <w:p w14:paraId="175D31C9">
                  <w:pPr>
                    <w:keepNext w:val="0"/>
                    <w:keepLines w:val="0"/>
                    <w:suppressLineNumbers w:val="0"/>
                    <w:spacing w:before="0" w:beforeAutospacing="0" w:after="0" w:afterAutospacing="0"/>
                    <w:ind w:left="0" w:right="0"/>
                    <w:jc w:val="center"/>
                    <w:rPr>
                      <w:rFonts w:hint="default" w:ascii="Times New Roman" w:hAnsi="Times New Roman" w:eastAsia="宋体" w:cs="Times New Roman"/>
                      <w:b/>
                      <w:bCs/>
                      <w:color w:val="auto"/>
                      <w:szCs w:val="21"/>
                    </w:rPr>
                  </w:pPr>
                  <w:r>
                    <w:rPr>
                      <w:rFonts w:hint="default" w:ascii="Times New Roman" w:hAnsi="Times New Roman" w:eastAsia="宋体" w:cs="Times New Roman"/>
                      <w:b/>
                      <w:bCs/>
                      <w:color w:val="auto"/>
                      <w:szCs w:val="21"/>
                    </w:rPr>
                    <w:t>3</w:t>
                  </w:r>
                </w:p>
              </w:tc>
              <w:tc>
                <w:tcPr>
                  <w:tcW w:w="1554" w:type="pct"/>
                  <w:tcBorders>
                    <w:tl2br w:val="nil"/>
                    <w:tr2bl w:val="nil"/>
                  </w:tcBorders>
                  <w:vAlign w:val="center"/>
                </w:tcPr>
                <w:p w14:paraId="6D4BA723">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rPr>
                    <w:t>65</w:t>
                  </w:r>
                </w:p>
              </w:tc>
              <w:tc>
                <w:tcPr>
                  <w:tcW w:w="1554" w:type="pct"/>
                  <w:tcBorders>
                    <w:tl2br w:val="nil"/>
                    <w:tr2bl w:val="nil"/>
                  </w:tcBorders>
                  <w:vAlign w:val="center"/>
                </w:tcPr>
                <w:p w14:paraId="0A57CF9F">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rPr>
                    <w:t>55</w:t>
                  </w:r>
                </w:p>
              </w:tc>
            </w:tr>
          </w:tbl>
          <w:p w14:paraId="475785C3">
            <w:pPr>
              <w:keepNext w:val="0"/>
              <w:keepLines w:val="0"/>
              <w:suppressLineNumbers w:val="0"/>
              <w:spacing w:before="0" w:beforeAutospacing="0" w:after="0" w:afterAutospacing="0" w:line="360" w:lineRule="auto"/>
              <w:ind w:left="0" w:right="0"/>
              <w:rPr>
                <w:rFonts w:hint="default" w:ascii="Times New Roman" w:hAnsi="Times New Roman" w:eastAsia="宋体" w:cs="Times New Roman"/>
                <w:b/>
                <w:bCs/>
                <w:color w:val="auto"/>
                <w:sz w:val="24"/>
              </w:rPr>
            </w:pPr>
            <w:r>
              <w:rPr>
                <w:rFonts w:hint="eastAsia" w:ascii="Times New Roman" w:hAnsi="Times New Roman" w:eastAsia="宋体" w:cs="Times New Roman"/>
                <w:b/>
                <w:bCs/>
                <w:color w:val="auto"/>
                <w:sz w:val="24"/>
              </w:rPr>
              <w:t>3.3.4固体废物</w:t>
            </w:r>
          </w:p>
          <w:p w14:paraId="03B36E06">
            <w:pPr>
              <w:keepNext w:val="0"/>
              <w:keepLines w:val="0"/>
              <w:suppressLineNumbers w:val="0"/>
              <w:spacing w:before="0" w:beforeAutospacing="0" w:after="0" w:afterAutospacing="0" w:line="360" w:lineRule="auto"/>
              <w:ind w:left="0" w:right="0" w:firstLine="480" w:firstLineChars="200"/>
              <w:rPr>
                <w:rFonts w:hint="default" w:ascii="Times New Roman" w:hAnsi="Times New Roman" w:eastAsia="宋体" w:cs="Times New Roman"/>
                <w:color w:val="auto"/>
                <w:sz w:val="24"/>
              </w:rPr>
            </w:pPr>
            <w:bookmarkStart w:id="27" w:name="_Toc18038"/>
            <w:bookmarkStart w:id="28" w:name="_Toc34884240"/>
            <w:r>
              <w:rPr>
                <w:rFonts w:hint="eastAsia" w:ascii="Times New Roman" w:hAnsi="Times New Roman" w:eastAsia="宋体" w:cs="Times New Roman"/>
                <w:color w:val="auto"/>
                <w:sz w:val="24"/>
              </w:rPr>
              <w:t>固体废物处置依据《国家危险废物名录》（2025年版）、《危险废物鉴别标准</w:t>
            </w:r>
            <w:r>
              <w:rPr>
                <w:rFonts w:hint="eastAsia" w:ascii="Times New Roman" w:hAnsi="Times New Roman" w:eastAsia="宋体" w:cs="Times New Roman"/>
                <w:color w:val="0000FF"/>
                <w:sz w:val="24"/>
                <w:lang w:val="en-US" w:eastAsia="zh-CN"/>
              </w:rPr>
              <w:t xml:space="preserve"> 通则</w:t>
            </w:r>
            <w:r>
              <w:rPr>
                <w:rFonts w:hint="eastAsia" w:ascii="Times New Roman" w:hAnsi="Times New Roman" w:eastAsia="宋体" w:cs="Times New Roman"/>
                <w:color w:val="auto"/>
                <w:sz w:val="24"/>
              </w:rPr>
              <w:t>》（GB5085.7-2019）和《固体废物分类与代码目录》（2024年版）来鉴别一般工业固废和危险固废。</w:t>
            </w:r>
            <w:bookmarkEnd w:id="27"/>
            <w:bookmarkEnd w:id="28"/>
          </w:p>
          <w:p w14:paraId="15908A0A">
            <w:pPr>
              <w:keepNext w:val="0"/>
              <w:keepLines w:val="0"/>
              <w:suppressLineNumbers w:val="0"/>
              <w:spacing w:before="0" w:beforeAutospacing="0" w:after="0" w:afterAutospacing="0" w:line="360" w:lineRule="auto"/>
              <w:ind w:left="0" w:right="0" w:firstLine="480" w:firstLineChars="200"/>
              <w:rPr>
                <w:rFonts w:hint="default" w:ascii="Times New Roman" w:hAnsi="Times New Roman" w:eastAsia="宋体" w:cs="Times New Roman"/>
                <w:color w:val="auto"/>
                <w:sz w:val="24"/>
              </w:rPr>
            </w:pPr>
            <w:r>
              <w:rPr>
                <w:rFonts w:hint="eastAsia" w:ascii="Times New Roman" w:hAnsi="Times New Roman" w:eastAsia="宋体" w:cs="Times New Roman"/>
                <w:color w:val="auto"/>
                <w:sz w:val="24"/>
              </w:rPr>
              <w:t>根据固废的类别，一般固废在按照《中华人民共和国生态环境法典》、《关于印发《一般工业固体废物环境管理工作指南》的通知》（环办固体函〔2026〕18号）的工业固体废物管理条款要求执行，其贮存场所应满足防渗漏、防雨淋、防扬尘等</w:t>
            </w:r>
            <w:r>
              <w:rPr>
                <w:rFonts w:hint="eastAsia" w:ascii="Times New Roman" w:hAnsi="Times New Roman" w:eastAsia="宋体" w:cs="Times New Roman"/>
                <w:color w:val="0000E1"/>
                <w:sz w:val="24"/>
              </w:rPr>
              <w:t>生态环境保护要求</w:t>
            </w:r>
            <w:r>
              <w:rPr>
                <w:rFonts w:hint="eastAsia" w:ascii="Times New Roman" w:hAnsi="Times New Roman" w:eastAsia="宋体" w:cs="Times New Roman"/>
                <w:color w:val="auto"/>
                <w:sz w:val="24"/>
              </w:rPr>
              <w:t>，不得形成二次污染；危险废物在厂区内暂存执行《危险废物贮存污染控制标准》（GB 18597—2023）的相关要求。此外，对危险废物的转移处理须严格按照《危险废物转移管理办法》（生态环境部、公安部、交通运输部令第23号）执行。</w:t>
            </w:r>
          </w:p>
          <w:p w14:paraId="650C5B67">
            <w:pPr>
              <w:keepNext w:val="0"/>
              <w:keepLines w:val="0"/>
              <w:suppressLineNumbers w:val="0"/>
              <w:spacing w:before="0" w:beforeAutospacing="0" w:after="0" w:afterAutospacing="0"/>
              <w:ind w:left="0" w:right="0"/>
              <w:rPr>
                <w:rFonts w:hint="default" w:ascii="Times New Roman" w:hAnsi="Times New Roman" w:eastAsia="宋体" w:cs="Times New Roman"/>
                <w:b/>
                <w:bCs/>
                <w:color w:val="auto"/>
              </w:rPr>
            </w:pPr>
          </w:p>
          <w:p w14:paraId="261B59FB">
            <w:pPr>
              <w:keepNext w:val="0"/>
              <w:keepLines w:val="0"/>
              <w:suppressLineNumbers w:val="0"/>
              <w:spacing w:before="0" w:beforeAutospacing="0" w:after="0" w:afterAutospacing="0"/>
              <w:ind w:left="0" w:right="0"/>
              <w:rPr>
                <w:rFonts w:hint="default" w:ascii="Times New Roman" w:hAnsi="Times New Roman" w:eastAsia="宋体" w:cs="Times New Roman"/>
                <w:b/>
                <w:bCs/>
                <w:color w:val="auto"/>
              </w:rPr>
            </w:pPr>
          </w:p>
          <w:p w14:paraId="0257CAAE">
            <w:pPr>
              <w:keepNext w:val="0"/>
              <w:keepLines w:val="0"/>
              <w:suppressLineNumbers w:val="0"/>
              <w:spacing w:before="0" w:beforeAutospacing="0" w:after="0" w:afterAutospacing="0" w:line="360" w:lineRule="auto"/>
              <w:ind w:left="0" w:right="0"/>
              <w:rPr>
                <w:rFonts w:hint="default"/>
                <w:color w:val="auto"/>
              </w:rPr>
            </w:pPr>
          </w:p>
          <w:p w14:paraId="7A38FEC9">
            <w:pPr>
              <w:keepNext w:val="0"/>
              <w:keepLines w:val="0"/>
              <w:suppressLineNumbers w:val="0"/>
              <w:spacing w:before="0" w:beforeAutospacing="0" w:after="0" w:afterAutospacing="0" w:line="360" w:lineRule="auto"/>
              <w:ind w:left="0" w:right="0"/>
              <w:rPr>
                <w:rFonts w:hint="default"/>
                <w:color w:val="auto"/>
              </w:rPr>
            </w:pPr>
          </w:p>
          <w:p w14:paraId="057B7761">
            <w:pPr>
              <w:keepNext w:val="0"/>
              <w:keepLines w:val="0"/>
              <w:suppressLineNumbers w:val="0"/>
              <w:spacing w:before="0" w:beforeAutospacing="0" w:after="0" w:afterAutospacing="0" w:line="360" w:lineRule="auto"/>
              <w:ind w:left="0" w:right="0"/>
              <w:rPr>
                <w:rFonts w:hint="default"/>
                <w:color w:val="auto"/>
              </w:rPr>
            </w:pPr>
          </w:p>
          <w:p w14:paraId="31F9E370">
            <w:pPr>
              <w:keepNext w:val="0"/>
              <w:keepLines w:val="0"/>
              <w:suppressLineNumbers w:val="0"/>
              <w:spacing w:before="0" w:beforeAutospacing="0" w:after="0" w:afterAutospacing="0" w:line="360" w:lineRule="auto"/>
              <w:ind w:left="0" w:right="0"/>
              <w:rPr>
                <w:rFonts w:hint="default"/>
                <w:color w:val="auto"/>
              </w:rPr>
            </w:pPr>
          </w:p>
          <w:p w14:paraId="0EFE45C0">
            <w:pPr>
              <w:keepNext w:val="0"/>
              <w:keepLines w:val="0"/>
              <w:suppressLineNumbers w:val="0"/>
              <w:spacing w:before="0" w:beforeAutospacing="0" w:after="0" w:afterAutospacing="0" w:line="360" w:lineRule="auto"/>
              <w:ind w:left="0" w:right="0"/>
              <w:rPr>
                <w:rFonts w:hint="default"/>
                <w:color w:val="auto"/>
              </w:rPr>
            </w:pPr>
          </w:p>
        </w:tc>
      </w:tr>
    </w:tbl>
    <w:p w14:paraId="13EAB98F">
      <w:pPr>
        <w:rPr>
          <w:color w:val="auto"/>
        </w:rPr>
        <w:sectPr>
          <w:pgSz w:w="11906" w:h="16838"/>
          <w:pgMar w:top="1417" w:right="1417" w:bottom="1417" w:left="1417" w:header="851" w:footer="992" w:gutter="0"/>
          <w:pgBorders>
            <w:top w:val="none" w:sz="0" w:space="0"/>
            <w:left w:val="none" w:sz="0" w:space="0"/>
            <w:bottom w:val="none" w:sz="0" w:space="0"/>
            <w:right w:val="none" w:sz="0" w:space="0"/>
          </w:pgBorders>
          <w:cols w:space="425" w:num="1"/>
          <w:docGrid w:type="lines" w:linePitch="312" w:charSpace="0"/>
        </w:sectPr>
      </w:pPr>
    </w:p>
    <w:tbl>
      <w:tblPr>
        <w:tblStyle w:val="23"/>
        <w:tblW w:w="4998"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93"/>
        <w:gridCol w:w="13495"/>
      </w:tblGrid>
      <w:tr w14:paraId="6E0CB3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76" w:type="pct"/>
            <w:vAlign w:val="center"/>
          </w:tcPr>
          <w:p w14:paraId="2EDD5B12">
            <w:pPr>
              <w:keepNext w:val="0"/>
              <w:keepLines w:val="0"/>
              <w:suppressLineNumbers w:val="0"/>
              <w:spacing w:before="0" w:beforeAutospacing="0" w:after="0" w:afterAutospacing="0"/>
              <w:ind w:left="0" w:right="0"/>
              <w:jc w:val="center"/>
              <w:rPr>
                <w:rFonts w:hint="default" w:ascii="Times New Roman" w:hAnsi="Times New Roman" w:eastAsia="宋体" w:cs="Times New Roman"/>
                <w:b/>
                <w:bCs/>
                <w:color w:val="auto"/>
                <w:sz w:val="24"/>
              </w:rPr>
            </w:pPr>
            <w:r>
              <w:rPr>
                <w:rFonts w:hint="eastAsia" w:ascii="Times New Roman" w:hAnsi="Times New Roman" w:eastAsia="宋体" w:cs="Times New Roman"/>
                <w:b/>
                <w:bCs/>
                <w:color w:val="auto"/>
                <w:sz w:val="24"/>
              </w:rPr>
              <w:t>总量控制指标</w:t>
            </w:r>
          </w:p>
        </w:tc>
        <w:tc>
          <w:tcPr>
            <w:tcW w:w="4823" w:type="pct"/>
          </w:tcPr>
          <w:p w14:paraId="7CFB9D3F">
            <w:pPr>
              <w:keepNext w:val="0"/>
              <w:keepLines w:val="0"/>
              <w:suppressLineNumbers w:val="0"/>
              <w:spacing w:before="0" w:beforeAutospacing="0" w:after="0" w:afterAutospacing="0" w:line="360" w:lineRule="auto"/>
              <w:ind w:left="0" w:right="0"/>
              <w:rPr>
                <w:rFonts w:hint="default" w:ascii="Times New Roman" w:hAnsi="Times New Roman" w:eastAsia="宋体" w:cs="Times New Roman"/>
                <w:b/>
                <w:bCs/>
                <w:color w:val="auto"/>
                <w:sz w:val="24"/>
              </w:rPr>
            </w:pPr>
            <w:r>
              <w:rPr>
                <w:rFonts w:hint="eastAsia" w:ascii="Times New Roman" w:hAnsi="Times New Roman" w:eastAsia="宋体" w:cs="Times New Roman"/>
                <w:b/>
                <w:bCs/>
                <w:color w:val="auto"/>
                <w:sz w:val="24"/>
              </w:rPr>
              <w:t>3.4总量控制原则</w:t>
            </w:r>
          </w:p>
          <w:p w14:paraId="5BCC86AD">
            <w:pPr>
              <w:keepNext w:val="0"/>
              <w:keepLines w:val="0"/>
              <w:suppressLineNumbers w:val="0"/>
              <w:spacing w:before="0" w:beforeAutospacing="0" w:after="0" w:afterAutospacing="0" w:line="360" w:lineRule="auto"/>
              <w:ind w:left="0" w:right="0" w:firstLine="480" w:firstLineChars="200"/>
              <w:rPr>
                <w:rFonts w:hint="default" w:ascii="Times New Roman" w:hAnsi="Times New Roman" w:eastAsia="宋体" w:cs="Times New Roman"/>
                <w:color w:val="auto"/>
                <w:sz w:val="24"/>
              </w:rPr>
            </w:pPr>
            <w:r>
              <w:rPr>
                <w:rFonts w:hint="eastAsia" w:ascii="Times New Roman" w:hAnsi="Times New Roman" w:eastAsia="宋体" w:cs="Times New Roman"/>
                <w:color w:val="auto"/>
                <w:sz w:val="24"/>
              </w:rPr>
              <w:t>实施污染物排放总量控制，应立足于清洁生产、污染物治理达标排放及区域污染物总量控制等基本控制原则。</w:t>
            </w:r>
          </w:p>
          <w:p w14:paraId="50578060">
            <w:pPr>
              <w:keepNext w:val="0"/>
              <w:keepLines w:val="0"/>
              <w:suppressLineNumbers w:val="0"/>
              <w:spacing w:before="0" w:beforeAutospacing="0" w:after="0" w:afterAutospacing="0" w:line="360" w:lineRule="auto"/>
              <w:ind w:left="0" w:right="0" w:firstLine="480" w:firstLineChars="200"/>
              <w:rPr>
                <w:rFonts w:hint="default" w:ascii="Times New Roman" w:hAnsi="Times New Roman" w:eastAsia="宋体" w:cs="Times New Roman"/>
                <w:color w:val="auto"/>
                <w:sz w:val="24"/>
              </w:rPr>
            </w:pPr>
            <w:r>
              <w:rPr>
                <w:rFonts w:hint="eastAsia" w:ascii="Times New Roman" w:hAnsi="Times New Roman" w:eastAsia="宋体" w:cs="Times New Roman"/>
                <w:color w:val="auto"/>
                <w:sz w:val="24"/>
              </w:rPr>
              <w:t>区域污染物排放总量控制是对区域环境污染控制的一种有效手段，其目的在于使区域环境质量满足于社会和经济发展对环境功能的要求。</w:t>
            </w:r>
            <w:r>
              <w:rPr>
                <w:rFonts w:hint="eastAsia" w:ascii="Times New Roman" w:hAnsi="Times New Roman" w:eastAsia="宋体" w:cs="Times New Roman"/>
                <w:color w:val="0000FF"/>
                <w:sz w:val="24"/>
              </w:rPr>
              <w:t>根据《大气污染防治行动计划》（国发〔2013〕37号）、</w:t>
            </w:r>
            <w:r>
              <w:rPr>
                <w:rFonts w:hint="eastAsia" w:ascii="Times New Roman" w:hAnsi="Times New Roman" w:eastAsia="宋体" w:cs="Times New Roman"/>
                <w:color w:val="0000FF"/>
                <w:sz w:val="24"/>
                <w:lang w:val="en-US" w:eastAsia="zh-CN"/>
              </w:rPr>
              <w:t>《浙江省人民政府办公厅关于印发浙江省排污权有偿使用和交易管理办法的通知》（浙政办发〔2023〕18号）等要求</w:t>
            </w:r>
            <w:r>
              <w:rPr>
                <w:rFonts w:hint="eastAsia" w:ascii="Times New Roman" w:hAnsi="Times New Roman" w:eastAsia="宋体" w:cs="Times New Roman"/>
                <w:color w:val="auto"/>
                <w:sz w:val="24"/>
              </w:rPr>
              <w:t>，将二氧化硫、氮氧化物、工业烟粉尘、挥发性有机物、化学需氧量、氨氮、总磷污染物列为污染物排放总量控制指标。</w:t>
            </w:r>
          </w:p>
          <w:p w14:paraId="47E4C16F">
            <w:pPr>
              <w:keepNext w:val="0"/>
              <w:keepLines w:val="0"/>
              <w:suppressLineNumbers w:val="0"/>
              <w:spacing w:before="0" w:beforeAutospacing="0" w:after="0" w:afterAutospacing="0" w:line="360" w:lineRule="auto"/>
              <w:ind w:left="0" w:right="0"/>
              <w:rPr>
                <w:rFonts w:hint="default" w:ascii="Times New Roman" w:hAnsi="Times New Roman" w:eastAsia="宋体" w:cs="Times New Roman"/>
                <w:b/>
                <w:bCs/>
                <w:color w:val="auto"/>
                <w:sz w:val="24"/>
              </w:rPr>
            </w:pPr>
            <w:r>
              <w:rPr>
                <w:rFonts w:hint="eastAsia" w:ascii="Times New Roman" w:hAnsi="Times New Roman" w:eastAsia="宋体" w:cs="Times New Roman"/>
                <w:b/>
                <w:bCs/>
                <w:color w:val="auto"/>
                <w:sz w:val="24"/>
              </w:rPr>
              <w:t>3.5总量控制建议值</w:t>
            </w:r>
          </w:p>
          <w:p w14:paraId="2DDDA202">
            <w:pPr>
              <w:keepNext w:val="0"/>
              <w:keepLines w:val="0"/>
              <w:suppressLineNumbers w:val="0"/>
              <w:spacing w:before="0" w:beforeAutospacing="0" w:after="0" w:afterAutospacing="0" w:line="360" w:lineRule="auto"/>
              <w:ind w:left="0" w:right="0" w:firstLine="420" w:firstLineChars="200"/>
              <w:rPr>
                <w:rFonts w:hint="default" w:ascii="Times New Roman" w:hAnsi="Times New Roman" w:eastAsia="宋体" w:cs="Times New Roman"/>
                <w:color w:val="auto"/>
                <w:sz w:val="24"/>
              </w:rPr>
            </w:pPr>
            <w:r>
              <w:rPr>
                <w:rFonts w:hint="default"/>
              </w:rPr>
              <w:commentReference w:id="58"/>
            </w:r>
            <w:r>
              <w:rPr>
                <w:rFonts w:hint="eastAsia" w:ascii="Times New Roman" w:hAnsi="Times New Roman" w:eastAsia="宋体" w:cs="Times New Roman"/>
                <w:color w:val="FF0000"/>
                <w:sz w:val="24"/>
              </w:rPr>
              <w:t>企业现有项目位于兴盛路厂区（自有厂房），本次扩建项目租赁厂房实施，选址为长隆路厂区。本项目建成投产后，企业存在兴盛路、长隆路两处厂区。本小节核算企业总量控制污染物排放变化情况，扩建前污染物排放量为兴盛路厂区现有项目审批排放量；本项目为长隆路厂区新增工程，扩建后全厂污染物排放总量为兴盛路厂区+长隆路厂区叠加后的预测排放总量。</w:t>
            </w:r>
            <w:r>
              <w:rPr>
                <w:rFonts w:hint="eastAsia" w:ascii="Times New Roman" w:hAnsi="Times New Roman" w:eastAsia="宋体" w:cs="Times New Roman"/>
                <w:color w:val="auto"/>
                <w:sz w:val="24"/>
              </w:rPr>
              <w:t>本项目完成后，企业总量控制的污染物排放情况见下表。</w:t>
            </w:r>
          </w:p>
          <w:p w14:paraId="2A9CE2AC">
            <w:pPr>
              <w:keepNext w:val="0"/>
              <w:keepLines w:val="0"/>
              <w:suppressLineNumbers w:val="0"/>
              <w:spacing w:before="0" w:beforeAutospacing="0" w:after="0" w:afterAutospacing="0"/>
              <w:ind w:left="0" w:right="0"/>
              <w:jc w:val="center"/>
              <w:rPr>
                <w:rFonts w:hint="default" w:ascii="Times New Roman" w:hAnsi="Times New Roman" w:eastAsia="宋体" w:cs="Times New Roman"/>
                <w:b/>
                <w:bCs/>
                <w:color w:val="auto"/>
              </w:rPr>
            </w:pPr>
            <w:r>
              <w:rPr>
                <w:rFonts w:hint="eastAsia" w:ascii="Times New Roman" w:hAnsi="Times New Roman" w:eastAsia="宋体" w:cs="Times New Roman"/>
                <w:b/>
                <w:bCs/>
                <w:color w:val="auto"/>
              </w:rPr>
              <w:t>表</w:t>
            </w:r>
            <w:r>
              <w:rPr>
                <w:rFonts w:hint="default" w:ascii="Times New Roman" w:hAnsi="Times New Roman" w:eastAsia="宋体" w:cs="Times New Roman"/>
                <w:b/>
                <w:bCs/>
                <w:color w:val="auto"/>
              </w:rPr>
              <w:t>3-1</w:t>
            </w:r>
            <w:r>
              <w:rPr>
                <w:rFonts w:hint="eastAsia" w:ascii="Times New Roman" w:hAnsi="Times New Roman" w:eastAsia="宋体" w:cs="Times New Roman"/>
                <w:b/>
                <w:bCs/>
                <w:color w:val="auto"/>
                <w:lang w:val="en-US" w:eastAsia="zh-CN"/>
              </w:rPr>
              <w:t>2</w:t>
            </w:r>
            <w:r>
              <w:rPr>
                <w:rFonts w:hint="default" w:ascii="Times New Roman" w:hAnsi="Times New Roman" w:eastAsia="宋体" w:cs="Times New Roman"/>
                <w:b/>
                <w:bCs/>
                <w:color w:val="auto"/>
              </w:rPr>
              <w:t xml:space="preserve"> </w:t>
            </w:r>
            <w:r>
              <w:rPr>
                <w:rFonts w:hint="eastAsia" w:ascii="Times New Roman" w:hAnsi="Times New Roman" w:eastAsia="宋体" w:cs="Times New Roman"/>
                <w:b/>
                <w:bCs/>
                <w:color w:val="auto"/>
              </w:rPr>
              <w:t xml:space="preserve"> 企业总量控制的污染物排放情况</w:t>
            </w:r>
          </w:p>
          <w:tbl>
            <w:tblPr>
              <w:tblStyle w:val="22"/>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63"/>
              <w:gridCol w:w="1540"/>
              <w:gridCol w:w="1376"/>
              <w:gridCol w:w="1066"/>
              <w:gridCol w:w="1095"/>
              <w:gridCol w:w="1559"/>
              <w:gridCol w:w="1407"/>
              <w:gridCol w:w="1300"/>
              <w:gridCol w:w="1245"/>
              <w:gridCol w:w="1110"/>
              <w:gridCol w:w="1110"/>
            </w:tblGrid>
            <w:tr w14:paraId="500F74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97" w:hRule="atLeast"/>
                <w:jc w:val="center"/>
              </w:trPr>
              <w:tc>
                <w:tcPr>
                  <w:tcW w:w="754" w:type="pct"/>
                  <w:gridSpan w:val="2"/>
                  <w:vMerge w:val="restart"/>
                  <w:vAlign w:val="center"/>
                </w:tcPr>
                <w:p w14:paraId="5FB09FF2">
                  <w:pPr>
                    <w:keepNext w:val="0"/>
                    <w:keepLines w:val="0"/>
                    <w:suppressLineNumbers w:val="0"/>
                    <w:tabs>
                      <w:tab w:val="left" w:pos="4830"/>
                    </w:tabs>
                    <w:spacing w:before="0" w:beforeAutospacing="0" w:after="0" w:afterAutospacing="0"/>
                    <w:ind w:left="0" w:right="0"/>
                    <w:jc w:val="center"/>
                    <w:rPr>
                      <w:rFonts w:hint="default" w:ascii="Times New Roman" w:hAnsi="Times New Roman" w:eastAsia="宋体" w:cs="Times New Roman"/>
                      <w:b/>
                      <w:bCs/>
                      <w:color w:val="auto"/>
                      <w:szCs w:val="21"/>
                    </w:rPr>
                  </w:pPr>
                  <w:r>
                    <w:rPr>
                      <w:rFonts w:hint="default" w:ascii="Times New Roman" w:hAnsi="Times New Roman" w:eastAsia="宋体" w:cs="Times New Roman"/>
                      <w:b/>
                      <w:bCs/>
                      <w:color w:val="auto"/>
                      <w:szCs w:val="21"/>
                    </w:rPr>
                    <w:t>污染物名称</w:t>
                  </w:r>
                </w:p>
              </w:tc>
              <w:tc>
                <w:tcPr>
                  <w:tcW w:w="518" w:type="pct"/>
                  <w:vMerge w:val="restart"/>
                  <w:vAlign w:val="center"/>
                </w:tcPr>
                <w:p w14:paraId="15F5015A">
                  <w:pPr>
                    <w:keepNext w:val="0"/>
                    <w:keepLines w:val="0"/>
                    <w:suppressLineNumbers w:val="0"/>
                    <w:tabs>
                      <w:tab w:val="left" w:pos="4830"/>
                    </w:tabs>
                    <w:spacing w:before="0" w:beforeAutospacing="0" w:after="0" w:afterAutospacing="0"/>
                    <w:ind w:left="0" w:right="0"/>
                    <w:jc w:val="center"/>
                    <w:rPr>
                      <w:rFonts w:hint="default" w:ascii="Times New Roman" w:hAnsi="Times New Roman" w:eastAsia="宋体" w:cs="Times New Roman"/>
                      <w:b/>
                      <w:bCs/>
                      <w:color w:val="auto"/>
                      <w:szCs w:val="21"/>
                    </w:rPr>
                  </w:pPr>
                  <w:r>
                    <w:rPr>
                      <w:rFonts w:hint="eastAsia" w:ascii="Times New Roman" w:hAnsi="Times New Roman" w:eastAsia="宋体" w:cs="Times New Roman"/>
                      <w:b/>
                      <w:bCs/>
                      <w:color w:val="auto"/>
                      <w:szCs w:val="21"/>
                      <w:lang w:val="en-US" w:eastAsia="zh-CN"/>
                    </w:rPr>
                    <w:t>扩建</w:t>
                  </w:r>
                  <w:r>
                    <w:rPr>
                      <w:rFonts w:hint="default" w:ascii="Times New Roman" w:hAnsi="Times New Roman" w:eastAsia="宋体" w:cs="Times New Roman"/>
                      <w:b/>
                      <w:bCs/>
                      <w:color w:val="auto"/>
                      <w:szCs w:val="21"/>
                    </w:rPr>
                    <w:t>前项目审批排放量</w:t>
                  </w:r>
                  <w:r>
                    <w:rPr>
                      <w:rFonts w:hint="eastAsia" w:ascii="Times New Roman" w:hAnsi="Times New Roman" w:eastAsia="宋体" w:cs="Times New Roman"/>
                      <w:b/>
                      <w:bCs/>
                      <w:color w:val="FF0000"/>
                      <w:szCs w:val="21"/>
                      <w:lang w:eastAsia="zh-CN"/>
                    </w:rPr>
                    <w:t>（</w:t>
                  </w:r>
                  <w:r>
                    <w:rPr>
                      <w:rFonts w:hint="eastAsia" w:ascii="Times New Roman" w:hAnsi="Times New Roman" w:eastAsia="宋体" w:cs="Times New Roman"/>
                      <w:b/>
                      <w:bCs/>
                      <w:color w:val="FF0000"/>
                      <w:szCs w:val="21"/>
                      <w:lang w:val="en-US" w:eastAsia="zh-CN"/>
                    </w:rPr>
                    <w:t>兴盛路厂区</w:t>
                  </w:r>
                  <w:r>
                    <w:rPr>
                      <w:rFonts w:hint="eastAsia" w:ascii="Times New Roman" w:hAnsi="Times New Roman" w:eastAsia="宋体" w:cs="Times New Roman"/>
                      <w:b/>
                      <w:bCs/>
                      <w:color w:val="FF0000"/>
                      <w:szCs w:val="21"/>
                      <w:lang w:eastAsia="zh-CN"/>
                    </w:rPr>
                    <w:t>）</w:t>
                  </w:r>
                  <w:r>
                    <w:rPr>
                      <w:rFonts w:hint="default" w:ascii="Times New Roman" w:hAnsi="Times New Roman" w:eastAsia="宋体" w:cs="Times New Roman"/>
                      <w:b/>
                      <w:bCs/>
                      <w:color w:val="auto"/>
                      <w:szCs w:val="21"/>
                    </w:rPr>
                    <w:t>（t/a）</w:t>
                  </w:r>
                </w:p>
              </w:tc>
              <w:tc>
                <w:tcPr>
                  <w:tcW w:w="1401" w:type="pct"/>
                  <w:gridSpan w:val="3"/>
                  <w:vAlign w:val="center"/>
                </w:tcPr>
                <w:p w14:paraId="73418587">
                  <w:pPr>
                    <w:keepNext w:val="0"/>
                    <w:keepLines w:val="0"/>
                    <w:suppressLineNumbers w:val="0"/>
                    <w:tabs>
                      <w:tab w:val="left" w:pos="4830"/>
                    </w:tabs>
                    <w:spacing w:before="0" w:beforeAutospacing="0" w:after="0" w:afterAutospacing="0"/>
                    <w:ind w:left="0" w:right="0"/>
                    <w:jc w:val="center"/>
                    <w:rPr>
                      <w:rFonts w:hint="eastAsia" w:ascii="Times New Roman" w:hAnsi="Times New Roman" w:eastAsia="宋体" w:cs="Times New Roman"/>
                      <w:b/>
                      <w:bCs/>
                      <w:color w:val="auto"/>
                      <w:szCs w:val="21"/>
                      <w:lang w:eastAsia="zh-CN"/>
                    </w:rPr>
                  </w:pPr>
                  <w:r>
                    <w:rPr>
                      <w:rFonts w:hint="default" w:ascii="Times New Roman" w:hAnsi="Times New Roman" w:eastAsia="宋体" w:cs="Times New Roman"/>
                      <w:b/>
                      <w:bCs/>
                      <w:color w:val="auto"/>
                      <w:szCs w:val="21"/>
                    </w:rPr>
                    <w:t>本项目</w:t>
                  </w:r>
                  <w:commentRangeStart w:id="59"/>
                  <w:r>
                    <w:rPr>
                      <w:rFonts w:hint="eastAsia" w:ascii="Times New Roman" w:hAnsi="Times New Roman" w:eastAsia="宋体" w:cs="Times New Roman"/>
                      <w:b/>
                      <w:bCs/>
                      <w:color w:val="FF0000"/>
                      <w:szCs w:val="21"/>
                      <w:lang w:eastAsia="zh-CN"/>
                    </w:rPr>
                    <w:t>（</w:t>
                  </w:r>
                  <w:r>
                    <w:rPr>
                      <w:rFonts w:hint="default" w:ascii="Times New Roman" w:hAnsi="Times New Roman" w:eastAsia="宋体" w:cs="Times New Roman"/>
                      <w:b/>
                      <w:bCs/>
                      <w:color w:val="FF0000"/>
                      <w:szCs w:val="21"/>
                    </w:rPr>
                    <w:t>长隆路</w:t>
                  </w:r>
                  <w:r>
                    <w:rPr>
                      <w:rFonts w:hint="eastAsia" w:ascii="Times New Roman" w:hAnsi="Times New Roman" w:eastAsia="宋体" w:cs="Times New Roman"/>
                      <w:b/>
                      <w:bCs/>
                      <w:color w:val="FF0000"/>
                      <w:szCs w:val="21"/>
                      <w:lang w:val="en-US" w:eastAsia="zh-CN"/>
                    </w:rPr>
                    <w:t>厂区</w:t>
                  </w:r>
                  <w:r>
                    <w:rPr>
                      <w:rFonts w:hint="eastAsia" w:ascii="Times New Roman" w:hAnsi="Times New Roman" w:eastAsia="宋体" w:cs="Times New Roman"/>
                      <w:b/>
                      <w:bCs/>
                      <w:color w:val="FF0000"/>
                      <w:szCs w:val="21"/>
                      <w:lang w:eastAsia="zh-CN"/>
                    </w:rPr>
                    <w:t>）</w:t>
                  </w:r>
                  <w:commentRangeEnd w:id="59"/>
                  <w:r>
                    <w:rPr>
                      <w:rFonts w:hint="default"/>
                    </w:rPr>
                    <w:commentReference w:id="59"/>
                  </w:r>
                </w:p>
              </w:tc>
              <w:tc>
                <w:tcPr>
                  <w:tcW w:w="1488" w:type="pct"/>
                  <w:gridSpan w:val="3"/>
                  <w:vAlign w:val="center"/>
                </w:tcPr>
                <w:p w14:paraId="33AC6FD9">
                  <w:pPr>
                    <w:keepNext w:val="0"/>
                    <w:keepLines w:val="0"/>
                    <w:suppressLineNumbers w:val="0"/>
                    <w:tabs>
                      <w:tab w:val="left" w:pos="4830"/>
                    </w:tabs>
                    <w:spacing w:before="0" w:beforeAutospacing="0" w:after="0" w:afterAutospacing="0"/>
                    <w:ind w:left="0" w:right="0"/>
                    <w:jc w:val="center"/>
                    <w:rPr>
                      <w:rFonts w:hint="eastAsia" w:ascii="Times New Roman" w:hAnsi="Times New Roman" w:eastAsia="宋体" w:cs="Times New Roman"/>
                      <w:b/>
                      <w:bCs/>
                      <w:color w:val="auto"/>
                      <w:szCs w:val="21"/>
                      <w:lang w:val="en-US" w:eastAsia="zh-CN"/>
                    </w:rPr>
                  </w:pPr>
                  <w:r>
                    <w:rPr>
                      <w:rFonts w:hint="eastAsia" w:ascii="Times New Roman" w:hAnsi="Times New Roman" w:eastAsia="宋体" w:cs="Times New Roman"/>
                      <w:b/>
                      <w:bCs/>
                      <w:color w:val="auto"/>
                      <w:szCs w:val="21"/>
                      <w:lang w:val="en-US" w:eastAsia="zh-CN"/>
                    </w:rPr>
                    <w:t>扩建</w:t>
                  </w:r>
                  <w:r>
                    <w:rPr>
                      <w:rFonts w:hint="default" w:ascii="Times New Roman" w:hAnsi="Times New Roman" w:eastAsia="宋体" w:cs="Times New Roman"/>
                      <w:b/>
                      <w:bCs/>
                      <w:color w:val="auto"/>
                      <w:szCs w:val="21"/>
                    </w:rPr>
                    <w:t>后</w:t>
                  </w:r>
                  <w:r>
                    <w:rPr>
                      <w:rFonts w:hint="eastAsia" w:ascii="Times New Roman" w:hAnsi="Times New Roman" w:eastAsia="宋体" w:cs="Times New Roman"/>
                      <w:b/>
                      <w:bCs/>
                      <w:color w:val="auto"/>
                      <w:szCs w:val="21"/>
                      <w:lang w:val="en-US" w:eastAsia="zh-CN"/>
                    </w:rPr>
                    <w:t>全厂</w:t>
                  </w:r>
                </w:p>
              </w:tc>
              <w:tc>
                <w:tcPr>
                  <w:tcW w:w="418" w:type="pct"/>
                  <w:vMerge w:val="restart"/>
                  <w:vAlign w:val="center"/>
                </w:tcPr>
                <w:p w14:paraId="794BAF92">
                  <w:pPr>
                    <w:keepNext w:val="0"/>
                    <w:keepLines w:val="0"/>
                    <w:suppressLineNumbers w:val="0"/>
                    <w:tabs>
                      <w:tab w:val="left" w:pos="4830"/>
                    </w:tabs>
                    <w:spacing w:before="0" w:beforeAutospacing="0" w:after="0" w:afterAutospacing="0"/>
                    <w:ind w:left="0" w:right="0"/>
                    <w:jc w:val="center"/>
                    <w:rPr>
                      <w:rFonts w:hint="default" w:ascii="Times New Roman" w:hAnsi="Times New Roman" w:eastAsia="宋体" w:cs="Times New Roman"/>
                      <w:b/>
                      <w:bCs/>
                      <w:color w:val="auto"/>
                      <w:szCs w:val="21"/>
                    </w:rPr>
                  </w:pPr>
                  <w:r>
                    <w:rPr>
                      <w:rFonts w:hint="eastAsia" w:ascii="Times New Roman" w:hAnsi="Times New Roman" w:eastAsia="宋体" w:cs="Times New Roman"/>
                      <w:b/>
                      <w:bCs/>
                      <w:color w:val="auto"/>
                      <w:szCs w:val="21"/>
                      <w:lang w:val="en-US" w:eastAsia="zh-CN"/>
                    </w:rPr>
                    <w:t>扩建</w:t>
                  </w:r>
                  <w:r>
                    <w:rPr>
                      <w:rFonts w:hint="default" w:ascii="Times New Roman" w:hAnsi="Times New Roman" w:eastAsia="宋体" w:cs="Times New Roman"/>
                      <w:b/>
                      <w:bCs/>
                      <w:color w:val="auto"/>
                      <w:szCs w:val="21"/>
                    </w:rPr>
                    <w:t>前后增减量（t/a）</w:t>
                  </w:r>
                </w:p>
              </w:tc>
              <w:tc>
                <w:tcPr>
                  <w:tcW w:w="418" w:type="pct"/>
                  <w:vMerge w:val="restart"/>
                  <w:vAlign w:val="center"/>
                </w:tcPr>
                <w:p w14:paraId="679B68C6">
                  <w:pPr>
                    <w:keepNext w:val="0"/>
                    <w:keepLines w:val="0"/>
                    <w:suppressLineNumbers w:val="0"/>
                    <w:tabs>
                      <w:tab w:val="left" w:pos="4830"/>
                    </w:tabs>
                    <w:spacing w:before="0" w:beforeAutospacing="0" w:after="0" w:afterAutospacing="0"/>
                    <w:ind w:left="0" w:right="0"/>
                    <w:jc w:val="center"/>
                    <w:rPr>
                      <w:rFonts w:hint="default" w:ascii="Times New Roman" w:hAnsi="Times New Roman" w:eastAsia="宋体" w:cs="Times New Roman"/>
                      <w:b/>
                      <w:bCs/>
                      <w:color w:val="auto"/>
                      <w:szCs w:val="21"/>
                    </w:rPr>
                  </w:pPr>
                  <w:r>
                    <w:rPr>
                      <w:rFonts w:hint="default" w:ascii="Times New Roman" w:hAnsi="Times New Roman" w:eastAsia="宋体" w:cs="Times New Roman"/>
                      <w:b/>
                      <w:bCs/>
                      <w:color w:val="auto"/>
                      <w:szCs w:val="21"/>
                    </w:rPr>
                    <w:t>区域平衡替代削</w:t>
                  </w:r>
                  <w:r>
                    <w:rPr>
                      <w:rFonts w:hint="default" w:ascii="Times New Roman" w:hAnsi="Times New Roman" w:eastAsia="宋体" w:cs="Times New Roman"/>
                      <w:b/>
                      <w:bCs/>
                      <w:color w:val="0000FF"/>
                      <w:szCs w:val="21"/>
                    </w:rPr>
                    <w:t>减</w:t>
                  </w:r>
                  <w:r>
                    <w:rPr>
                      <w:rFonts w:hint="default" w:ascii="Times New Roman" w:hAnsi="Times New Roman" w:eastAsia="宋体" w:cs="Times New Roman"/>
                      <w:b/>
                      <w:bCs/>
                      <w:color w:val="auto"/>
                      <w:szCs w:val="21"/>
                    </w:rPr>
                    <w:cr/>
                  </w:r>
                  <w:r>
                    <w:rPr>
                      <w:rFonts w:hint="default" w:ascii="Times New Roman" w:hAnsi="Times New Roman" w:eastAsia="宋体" w:cs="Times New Roman"/>
                      <w:b/>
                      <w:bCs/>
                      <w:color w:val="auto"/>
                      <w:szCs w:val="21"/>
                    </w:rPr>
                    <w:t>量（t/a）</w:t>
                  </w:r>
                </w:p>
              </w:tc>
            </w:tr>
            <w:tr w14:paraId="7312CB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97" w:hRule="atLeast"/>
                <w:jc w:val="center"/>
              </w:trPr>
              <w:tc>
                <w:tcPr>
                  <w:tcW w:w="754" w:type="pct"/>
                  <w:gridSpan w:val="2"/>
                  <w:vMerge w:val="continue"/>
                  <w:vAlign w:val="center"/>
                </w:tcPr>
                <w:p w14:paraId="7BE70E05">
                  <w:pPr>
                    <w:keepNext w:val="0"/>
                    <w:keepLines w:val="0"/>
                    <w:suppressLineNumbers w:val="0"/>
                    <w:tabs>
                      <w:tab w:val="left" w:pos="4830"/>
                    </w:tabs>
                    <w:spacing w:before="0" w:beforeAutospacing="0" w:after="0" w:afterAutospacing="0"/>
                    <w:ind w:left="0" w:right="0" w:firstLine="360"/>
                    <w:jc w:val="center"/>
                    <w:rPr>
                      <w:rFonts w:hint="default" w:ascii="Times New Roman" w:hAnsi="Times New Roman" w:eastAsia="宋体" w:cs="Times New Roman"/>
                      <w:color w:val="auto"/>
                      <w:szCs w:val="21"/>
                    </w:rPr>
                  </w:pPr>
                </w:p>
              </w:tc>
              <w:tc>
                <w:tcPr>
                  <w:tcW w:w="518" w:type="pct"/>
                  <w:vMerge w:val="continue"/>
                  <w:vAlign w:val="center"/>
                </w:tcPr>
                <w:p w14:paraId="6A11D591">
                  <w:pPr>
                    <w:keepNext w:val="0"/>
                    <w:keepLines w:val="0"/>
                    <w:suppressLineNumbers w:val="0"/>
                    <w:tabs>
                      <w:tab w:val="left" w:pos="4830"/>
                    </w:tabs>
                    <w:spacing w:before="0" w:beforeAutospacing="0" w:after="0" w:afterAutospacing="0"/>
                    <w:ind w:left="0" w:right="0"/>
                    <w:jc w:val="center"/>
                    <w:rPr>
                      <w:rFonts w:hint="default" w:ascii="Times New Roman" w:hAnsi="Times New Roman" w:eastAsia="宋体" w:cs="Times New Roman"/>
                      <w:b/>
                      <w:bCs/>
                      <w:color w:val="auto"/>
                      <w:szCs w:val="21"/>
                    </w:rPr>
                  </w:pPr>
                </w:p>
              </w:tc>
              <w:tc>
                <w:tcPr>
                  <w:tcW w:w="401" w:type="pct"/>
                  <w:vAlign w:val="center"/>
                </w:tcPr>
                <w:p w14:paraId="493B1057">
                  <w:pPr>
                    <w:keepNext w:val="0"/>
                    <w:keepLines w:val="0"/>
                    <w:suppressLineNumbers w:val="0"/>
                    <w:tabs>
                      <w:tab w:val="left" w:pos="4830"/>
                    </w:tabs>
                    <w:spacing w:before="0" w:beforeAutospacing="0" w:after="0" w:afterAutospacing="0"/>
                    <w:ind w:left="0" w:right="0"/>
                    <w:jc w:val="center"/>
                    <w:rPr>
                      <w:rFonts w:hint="default" w:ascii="Times New Roman" w:hAnsi="Times New Roman" w:eastAsia="宋体" w:cs="Times New Roman"/>
                      <w:b/>
                      <w:bCs/>
                      <w:color w:val="auto"/>
                      <w:szCs w:val="21"/>
                    </w:rPr>
                  </w:pPr>
                  <w:r>
                    <w:rPr>
                      <w:rFonts w:hint="default" w:ascii="Times New Roman" w:hAnsi="Times New Roman" w:eastAsia="宋体" w:cs="Times New Roman"/>
                      <w:b/>
                      <w:bCs/>
                      <w:color w:val="auto"/>
                      <w:szCs w:val="21"/>
                    </w:rPr>
                    <w:t>产生量（t/a）</w:t>
                  </w:r>
                </w:p>
              </w:tc>
              <w:tc>
                <w:tcPr>
                  <w:tcW w:w="412" w:type="pct"/>
                  <w:vAlign w:val="center"/>
                </w:tcPr>
                <w:p w14:paraId="79EEAC53">
                  <w:pPr>
                    <w:keepNext w:val="0"/>
                    <w:keepLines w:val="0"/>
                    <w:suppressLineNumbers w:val="0"/>
                    <w:tabs>
                      <w:tab w:val="left" w:pos="4830"/>
                    </w:tabs>
                    <w:spacing w:before="0" w:beforeAutospacing="0" w:after="0" w:afterAutospacing="0"/>
                    <w:ind w:left="0" w:right="0"/>
                    <w:jc w:val="center"/>
                    <w:rPr>
                      <w:rFonts w:hint="default" w:ascii="Times New Roman" w:hAnsi="Times New Roman" w:eastAsia="宋体" w:cs="Times New Roman"/>
                      <w:b/>
                      <w:bCs/>
                      <w:color w:val="auto"/>
                      <w:szCs w:val="21"/>
                    </w:rPr>
                  </w:pPr>
                  <w:r>
                    <w:rPr>
                      <w:rFonts w:hint="default" w:ascii="Times New Roman" w:hAnsi="Times New Roman" w:eastAsia="宋体" w:cs="Times New Roman"/>
                      <w:b/>
                      <w:bCs/>
                      <w:color w:val="auto"/>
                      <w:szCs w:val="21"/>
                    </w:rPr>
                    <w:t>削减量（t/a）</w:t>
                  </w:r>
                </w:p>
              </w:tc>
              <w:tc>
                <w:tcPr>
                  <w:tcW w:w="587" w:type="pct"/>
                  <w:vAlign w:val="center"/>
                </w:tcPr>
                <w:p w14:paraId="5455DA5F">
                  <w:pPr>
                    <w:keepNext w:val="0"/>
                    <w:keepLines w:val="0"/>
                    <w:suppressLineNumbers w:val="0"/>
                    <w:tabs>
                      <w:tab w:val="left" w:pos="4830"/>
                    </w:tabs>
                    <w:spacing w:before="0" w:beforeAutospacing="0" w:after="0" w:afterAutospacing="0"/>
                    <w:ind w:left="0" w:right="0"/>
                    <w:jc w:val="center"/>
                    <w:rPr>
                      <w:rFonts w:hint="default" w:ascii="Times New Roman" w:hAnsi="Times New Roman" w:eastAsia="宋体" w:cs="Times New Roman"/>
                      <w:b/>
                      <w:bCs/>
                      <w:color w:val="auto"/>
                      <w:szCs w:val="21"/>
                    </w:rPr>
                  </w:pPr>
                  <w:r>
                    <w:rPr>
                      <w:rFonts w:hint="default" w:ascii="Times New Roman" w:hAnsi="Times New Roman" w:eastAsia="宋体" w:cs="Times New Roman"/>
                      <w:b/>
                      <w:bCs/>
                      <w:color w:val="auto"/>
                      <w:szCs w:val="21"/>
                    </w:rPr>
                    <w:t>排入自然环境的量（t/a）</w:t>
                  </w:r>
                </w:p>
              </w:tc>
              <w:tc>
                <w:tcPr>
                  <w:tcW w:w="530" w:type="pct"/>
                  <w:vAlign w:val="center"/>
                </w:tcPr>
                <w:p w14:paraId="7CA74FD7">
                  <w:pPr>
                    <w:keepNext w:val="0"/>
                    <w:keepLines w:val="0"/>
                    <w:suppressLineNumbers w:val="0"/>
                    <w:tabs>
                      <w:tab w:val="left" w:pos="4830"/>
                    </w:tabs>
                    <w:spacing w:before="0" w:beforeAutospacing="0" w:after="0" w:afterAutospacing="0"/>
                    <w:ind w:left="0" w:right="0"/>
                    <w:jc w:val="center"/>
                    <w:rPr>
                      <w:rFonts w:hint="default" w:ascii="Times New Roman" w:hAnsi="Times New Roman" w:eastAsia="宋体" w:cs="Times New Roman"/>
                      <w:b/>
                      <w:bCs/>
                      <w:color w:val="auto"/>
                      <w:szCs w:val="21"/>
                    </w:rPr>
                  </w:pPr>
                  <w:r>
                    <w:rPr>
                      <w:rFonts w:hint="default" w:ascii="Times New Roman" w:hAnsi="Times New Roman" w:eastAsia="宋体" w:cs="Times New Roman"/>
                      <w:b/>
                      <w:bCs/>
                      <w:color w:val="auto"/>
                      <w:szCs w:val="21"/>
                    </w:rPr>
                    <w:t>以新带老削减量（t/a）</w:t>
                  </w:r>
                </w:p>
              </w:tc>
              <w:tc>
                <w:tcPr>
                  <w:tcW w:w="489" w:type="pct"/>
                  <w:vAlign w:val="center"/>
                </w:tcPr>
                <w:p w14:paraId="39AEE96F">
                  <w:pPr>
                    <w:keepNext w:val="0"/>
                    <w:keepLines w:val="0"/>
                    <w:suppressLineNumbers w:val="0"/>
                    <w:tabs>
                      <w:tab w:val="left" w:pos="4830"/>
                    </w:tabs>
                    <w:spacing w:before="0" w:beforeAutospacing="0" w:after="0" w:afterAutospacing="0"/>
                    <w:ind w:left="0" w:right="0"/>
                    <w:jc w:val="center"/>
                    <w:rPr>
                      <w:rFonts w:hint="default" w:ascii="Times New Roman" w:hAnsi="Times New Roman" w:eastAsia="宋体" w:cs="Times New Roman"/>
                      <w:b/>
                      <w:bCs/>
                      <w:color w:val="auto"/>
                      <w:szCs w:val="21"/>
                    </w:rPr>
                  </w:pPr>
                  <w:r>
                    <w:rPr>
                      <w:rFonts w:hint="default" w:ascii="Times New Roman" w:hAnsi="Times New Roman" w:eastAsia="宋体" w:cs="Times New Roman"/>
                      <w:b/>
                      <w:bCs/>
                      <w:color w:val="auto"/>
                      <w:szCs w:val="21"/>
                    </w:rPr>
                    <w:t>预测排放总量（t/a）</w:t>
                  </w:r>
                </w:p>
              </w:tc>
              <w:tc>
                <w:tcPr>
                  <w:tcW w:w="469" w:type="pct"/>
                  <w:vAlign w:val="center"/>
                </w:tcPr>
                <w:p w14:paraId="063E2AC2">
                  <w:pPr>
                    <w:keepNext w:val="0"/>
                    <w:keepLines w:val="0"/>
                    <w:suppressLineNumbers w:val="0"/>
                    <w:tabs>
                      <w:tab w:val="left" w:pos="4830"/>
                    </w:tabs>
                    <w:spacing w:before="0" w:beforeAutospacing="0" w:after="0" w:afterAutospacing="0"/>
                    <w:ind w:left="0" w:right="0"/>
                    <w:jc w:val="center"/>
                    <w:rPr>
                      <w:rFonts w:hint="default" w:ascii="Times New Roman" w:hAnsi="Times New Roman" w:eastAsia="宋体" w:cs="Times New Roman"/>
                      <w:b/>
                      <w:bCs/>
                      <w:color w:val="auto"/>
                      <w:szCs w:val="21"/>
                    </w:rPr>
                  </w:pPr>
                  <w:r>
                    <w:rPr>
                      <w:rFonts w:hint="default" w:ascii="Times New Roman" w:hAnsi="Times New Roman" w:eastAsia="宋体" w:cs="Times New Roman"/>
                      <w:b/>
                      <w:bCs/>
                      <w:color w:val="auto"/>
                      <w:szCs w:val="21"/>
                    </w:rPr>
                    <w:t>建议申请总量（t/a）</w:t>
                  </w:r>
                </w:p>
              </w:tc>
              <w:tc>
                <w:tcPr>
                  <w:tcW w:w="418" w:type="pct"/>
                  <w:vMerge w:val="continue"/>
                  <w:vAlign w:val="center"/>
                </w:tcPr>
                <w:p w14:paraId="19FB0961">
                  <w:pPr>
                    <w:keepNext w:val="0"/>
                    <w:keepLines w:val="0"/>
                    <w:suppressLineNumbers w:val="0"/>
                    <w:tabs>
                      <w:tab w:val="left" w:pos="4830"/>
                    </w:tabs>
                    <w:spacing w:before="0" w:beforeAutospacing="0" w:after="0" w:afterAutospacing="0"/>
                    <w:ind w:left="0" w:right="0" w:firstLine="360"/>
                    <w:jc w:val="center"/>
                    <w:rPr>
                      <w:rFonts w:hint="default" w:ascii="Times New Roman" w:hAnsi="Times New Roman" w:eastAsia="宋体" w:cs="Times New Roman"/>
                      <w:color w:val="auto"/>
                      <w:szCs w:val="21"/>
                    </w:rPr>
                  </w:pPr>
                </w:p>
              </w:tc>
              <w:tc>
                <w:tcPr>
                  <w:tcW w:w="418" w:type="pct"/>
                  <w:vMerge w:val="continue"/>
                  <w:vAlign w:val="center"/>
                </w:tcPr>
                <w:p w14:paraId="4EA38ADB">
                  <w:pPr>
                    <w:keepNext w:val="0"/>
                    <w:keepLines w:val="0"/>
                    <w:suppressLineNumbers w:val="0"/>
                    <w:tabs>
                      <w:tab w:val="left" w:pos="4830"/>
                    </w:tabs>
                    <w:spacing w:before="0" w:beforeAutospacing="0" w:after="0" w:afterAutospacing="0"/>
                    <w:ind w:left="0" w:right="0" w:firstLine="360"/>
                    <w:jc w:val="center"/>
                    <w:rPr>
                      <w:rFonts w:hint="default" w:ascii="Times New Roman" w:hAnsi="Times New Roman" w:eastAsia="宋体" w:cs="Times New Roman"/>
                      <w:color w:val="auto"/>
                      <w:szCs w:val="21"/>
                    </w:rPr>
                  </w:pPr>
                </w:p>
              </w:tc>
            </w:tr>
            <w:tr w14:paraId="4F4148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97" w:hRule="atLeast"/>
                <w:jc w:val="center"/>
              </w:trPr>
              <w:tc>
                <w:tcPr>
                  <w:tcW w:w="174" w:type="pct"/>
                  <w:vMerge w:val="restart"/>
                  <w:vAlign w:val="center"/>
                </w:tcPr>
                <w:p w14:paraId="3310F738">
                  <w:pPr>
                    <w:keepNext w:val="0"/>
                    <w:keepLines w:val="0"/>
                    <w:suppressLineNumbers w:val="0"/>
                    <w:tabs>
                      <w:tab w:val="left" w:pos="4830"/>
                    </w:tabs>
                    <w:spacing w:before="0" w:beforeAutospacing="0" w:after="0" w:afterAutospacing="0"/>
                    <w:ind w:left="0" w:right="0"/>
                    <w:jc w:val="center"/>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rPr>
                    <w:t>废水</w:t>
                  </w:r>
                </w:p>
              </w:tc>
              <w:tc>
                <w:tcPr>
                  <w:tcW w:w="580" w:type="pct"/>
                  <w:vAlign w:val="center"/>
                </w:tcPr>
                <w:p w14:paraId="2CE8F4FD">
                  <w:pPr>
                    <w:keepNext w:val="0"/>
                    <w:keepLines w:val="0"/>
                    <w:suppressLineNumbers w:val="0"/>
                    <w:tabs>
                      <w:tab w:val="left" w:pos="4830"/>
                    </w:tabs>
                    <w:spacing w:before="0" w:beforeAutospacing="0" w:after="0" w:afterAutospacing="0"/>
                    <w:ind w:left="0" w:right="0"/>
                    <w:jc w:val="center"/>
                    <w:rPr>
                      <w:rFonts w:hint="default" w:ascii="Times New Roman" w:hAnsi="Times New Roman" w:eastAsia="宋体" w:cs="Times New Roman"/>
                      <w:color w:val="auto"/>
                      <w:kern w:val="0"/>
                      <w:szCs w:val="21"/>
                    </w:rPr>
                  </w:pPr>
                  <w:r>
                    <w:rPr>
                      <w:rFonts w:hint="default" w:ascii="Times New Roman" w:hAnsi="Times New Roman" w:eastAsia="宋体" w:cs="Times New Roman"/>
                      <w:color w:val="auto"/>
                      <w:kern w:val="0"/>
                      <w:szCs w:val="21"/>
                    </w:rPr>
                    <w:t>水量</w:t>
                  </w:r>
                </w:p>
              </w:tc>
              <w:tc>
                <w:tcPr>
                  <w:tcW w:w="1376" w:type="dxa"/>
                  <w:vAlign w:val="center"/>
                </w:tcPr>
                <w:p w14:paraId="000B58FE">
                  <w:pPr>
                    <w:keepNext w:val="0"/>
                    <w:keepLines w:val="0"/>
                    <w:suppressLineNumbers w:val="0"/>
                    <w:spacing w:before="0" w:beforeAutospacing="0" w:after="0" w:afterAutospacing="0" w:line="240" w:lineRule="auto"/>
                    <w:ind w:left="0" w:right="0"/>
                    <w:jc w:val="center"/>
                    <w:rPr>
                      <w:rFonts w:hint="default" w:ascii="Times New Roman" w:hAnsi="Times New Roman" w:eastAsia="宋体" w:cs="Times New Roman"/>
                      <w:color w:val="0000FF"/>
                      <w:kern w:val="0"/>
                      <w:szCs w:val="21"/>
                    </w:rPr>
                  </w:pPr>
                  <w:r>
                    <w:rPr>
                      <w:rFonts w:hint="default" w:ascii="Times New Roman" w:hAnsi="Times New Roman" w:eastAsia="宋体" w:cs="Times New Roman"/>
                      <w:b w:val="0"/>
                      <w:bCs w:val="0"/>
                      <w:color w:val="0000FF"/>
                      <w:sz w:val="21"/>
                      <w:szCs w:val="21"/>
                      <w:highlight w:val="none"/>
                      <w:lang w:val="en-US" w:eastAsia="zh-CN"/>
                    </w:rPr>
                    <w:t>18000</w:t>
                  </w:r>
                </w:p>
              </w:tc>
              <w:tc>
                <w:tcPr>
                  <w:tcW w:w="401" w:type="pct"/>
                  <w:vAlign w:val="center"/>
                </w:tcPr>
                <w:p w14:paraId="4E61BBE6">
                  <w:pPr>
                    <w:keepNext w:val="0"/>
                    <w:keepLines w:val="0"/>
                    <w:suppressLineNumbers w:val="0"/>
                    <w:tabs>
                      <w:tab w:val="left" w:pos="4830"/>
                    </w:tabs>
                    <w:spacing w:before="0" w:beforeAutospacing="0" w:after="0" w:afterAutospacing="0"/>
                    <w:ind w:left="0" w:right="0"/>
                    <w:jc w:val="center"/>
                    <w:rPr>
                      <w:rFonts w:hint="default" w:ascii="Times New Roman" w:hAnsi="Times New Roman" w:eastAsia="宋体" w:cs="Times New Roman"/>
                      <w:color w:val="auto"/>
                      <w:kern w:val="0"/>
                      <w:szCs w:val="21"/>
                    </w:rPr>
                  </w:pPr>
                  <w:r>
                    <w:rPr>
                      <w:rFonts w:hint="default" w:ascii="Times New Roman" w:hAnsi="Times New Roman" w:eastAsia="宋体" w:cs="Times New Roman"/>
                      <w:color w:val="auto"/>
                      <w:kern w:val="0"/>
                      <w:szCs w:val="21"/>
                      <w:lang w:val="en-US" w:eastAsia="zh-CN"/>
                    </w:rPr>
                    <w:t>1200</w:t>
                  </w:r>
                </w:p>
              </w:tc>
              <w:tc>
                <w:tcPr>
                  <w:tcW w:w="412" w:type="pct"/>
                  <w:vAlign w:val="center"/>
                </w:tcPr>
                <w:p w14:paraId="1672462B">
                  <w:pPr>
                    <w:keepNext w:val="0"/>
                    <w:keepLines w:val="0"/>
                    <w:suppressLineNumbers w:val="0"/>
                    <w:tabs>
                      <w:tab w:val="left" w:pos="4830"/>
                    </w:tabs>
                    <w:spacing w:before="0" w:beforeAutospacing="0" w:after="0" w:afterAutospacing="0"/>
                    <w:ind w:left="0" w:right="0"/>
                    <w:jc w:val="center"/>
                    <w:rPr>
                      <w:rFonts w:hint="eastAsia" w:ascii="Times New Roman" w:hAnsi="Times New Roman" w:eastAsia="宋体" w:cs="Times New Roman"/>
                      <w:color w:val="auto"/>
                      <w:kern w:val="0"/>
                      <w:szCs w:val="21"/>
                      <w:lang w:val="en-US" w:eastAsia="zh-CN"/>
                    </w:rPr>
                  </w:pPr>
                  <w:r>
                    <w:rPr>
                      <w:rFonts w:hint="eastAsia" w:ascii="Times New Roman" w:hAnsi="Times New Roman" w:eastAsia="宋体" w:cs="Times New Roman"/>
                      <w:color w:val="auto"/>
                      <w:kern w:val="0"/>
                      <w:szCs w:val="21"/>
                      <w:lang w:val="en-US" w:eastAsia="zh-CN"/>
                    </w:rPr>
                    <w:t>0</w:t>
                  </w:r>
                </w:p>
              </w:tc>
              <w:tc>
                <w:tcPr>
                  <w:tcW w:w="587" w:type="pct"/>
                  <w:vAlign w:val="center"/>
                </w:tcPr>
                <w:p w14:paraId="38FA980B">
                  <w:pPr>
                    <w:keepNext w:val="0"/>
                    <w:keepLines w:val="0"/>
                    <w:suppressLineNumbers w:val="0"/>
                    <w:tabs>
                      <w:tab w:val="left" w:pos="4830"/>
                    </w:tabs>
                    <w:spacing w:before="0" w:beforeAutospacing="0" w:after="0" w:afterAutospacing="0"/>
                    <w:ind w:left="0" w:right="0"/>
                    <w:jc w:val="center"/>
                    <w:rPr>
                      <w:rFonts w:hint="default" w:ascii="Times New Roman" w:hAnsi="Times New Roman" w:eastAsia="宋体" w:cs="Times New Roman"/>
                      <w:color w:val="auto"/>
                      <w:kern w:val="0"/>
                      <w:szCs w:val="21"/>
                    </w:rPr>
                  </w:pPr>
                  <w:r>
                    <w:rPr>
                      <w:rFonts w:hint="default" w:ascii="Times New Roman" w:hAnsi="Times New Roman" w:eastAsia="宋体" w:cs="Times New Roman"/>
                      <w:color w:val="auto"/>
                      <w:kern w:val="0"/>
                      <w:szCs w:val="21"/>
                      <w:lang w:val="en-US" w:eastAsia="zh-CN"/>
                    </w:rPr>
                    <w:t>1200</w:t>
                  </w:r>
                </w:p>
              </w:tc>
              <w:tc>
                <w:tcPr>
                  <w:tcW w:w="530" w:type="pct"/>
                  <w:vAlign w:val="center"/>
                </w:tcPr>
                <w:p w14:paraId="00A7AF39">
                  <w:pPr>
                    <w:keepNext w:val="0"/>
                    <w:keepLines w:val="0"/>
                    <w:suppressLineNumbers w:val="0"/>
                    <w:tabs>
                      <w:tab w:val="left" w:pos="4830"/>
                    </w:tabs>
                    <w:spacing w:before="0" w:beforeAutospacing="0" w:after="0" w:afterAutospacing="0"/>
                    <w:ind w:left="0" w:right="0"/>
                    <w:jc w:val="center"/>
                    <w:rPr>
                      <w:rFonts w:hint="eastAsia" w:ascii="Times New Roman" w:hAnsi="Times New Roman" w:eastAsia="宋体" w:cs="Times New Roman"/>
                      <w:color w:val="auto"/>
                      <w:kern w:val="0"/>
                      <w:szCs w:val="21"/>
                      <w:lang w:eastAsia="zh-CN"/>
                    </w:rPr>
                  </w:pPr>
                  <w:r>
                    <w:rPr>
                      <w:rFonts w:hint="eastAsia" w:ascii="Times New Roman" w:hAnsi="Times New Roman" w:eastAsia="宋体" w:cs="Times New Roman"/>
                      <w:color w:val="auto"/>
                      <w:kern w:val="0"/>
                      <w:szCs w:val="21"/>
                      <w:lang w:val="en-US" w:eastAsia="zh-CN"/>
                    </w:rPr>
                    <w:t>0</w:t>
                  </w:r>
                </w:p>
              </w:tc>
              <w:tc>
                <w:tcPr>
                  <w:tcW w:w="489" w:type="pct"/>
                  <w:vAlign w:val="center"/>
                </w:tcPr>
                <w:p w14:paraId="3BF9CD49">
                  <w:pPr>
                    <w:keepNext w:val="0"/>
                    <w:keepLines w:val="0"/>
                    <w:suppressLineNumbers w:val="0"/>
                    <w:tabs>
                      <w:tab w:val="left" w:pos="4830"/>
                    </w:tabs>
                    <w:spacing w:before="0" w:beforeAutospacing="0" w:after="0" w:afterAutospacing="0"/>
                    <w:ind w:left="0" w:right="0"/>
                    <w:jc w:val="center"/>
                    <w:rPr>
                      <w:rFonts w:hint="default" w:ascii="Times New Roman" w:hAnsi="Times New Roman" w:eastAsia="宋体" w:cs="Times New Roman"/>
                      <w:color w:val="0000FF"/>
                      <w:kern w:val="0"/>
                      <w:szCs w:val="21"/>
                      <w:lang w:val="en-US" w:eastAsia="zh-CN"/>
                    </w:rPr>
                  </w:pPr>
                  <w:r>
                    <w:rPr>
                      <w:rFonts w:hint="eastAsia" w:ascii="Times New Roman" w:hAnsi="Times New Roman" w:eastAsia="宋体" w:cs="Times New Roman"/>
                      <w:color w:val="0000FF"/>
                      <w:kern w:val="0"/>
                      <w:szCs w:val="21"/>
                      <w:lang w:val="en-US" w:eastAsia="zh-CN"/>
                    </w:rPr>
                    <w:t>19200</w:t>
                  </w:r>
                </w:p>
              </w:tc>
              <w:tc>
                <w:tcPr>
                  <w:tcW w:w="469" w:type="pct"/>
                  <w:shd w:val="clear" w:color="auto" w:fill="auto"/>
                  <w:vAlign w:val="center"/>
                </w:tcPr>
                <w:p w14:paraId="79455078">
                  <w:pPr>
                    <w:keepNext w:val="0"/>
                    <w:keepLines w:val="0"/>
                    <w:suppressLineNumbers w:val="0"/>
                    <w:tabs>
                      <w:tab w:val="left" w:pos="4830"/>
                    </w:tabs>
                    <w:spacing w:before="0" w:beforeAutospacing="0" w:after="0" w:afterAutospacing="0"/>
                    <w:ind w:left="0" w:leftChars="0" w:right="0" w:rightChars="0"/>
                    <w:jc w:val="center"/>
                    <w:rPr>
                      <w:rFonts w:hint="default" w:ascii="Times New Roman" w:hAnsi="Times New Roman" w:eastAsia="宋体" w:cs="Times New Roman"/>
                      <w:color w:val="auto"/>
                      <w:kern w:val="0"/>
                      <w:sz w:val="21"/>
                      <w:szCs w:val="21"/>
                      <w:lang w:val="en-US" w:eastAsia="zh-CN" w:bidi="ar-SA"/>
                    </w:rPr>
                  </w:pPr>
                  <w:r>
                    <w:rPr>
                      <w:rFonts w:hint="eastAsia" w:ascii="Times New Roman" w:hAnsi="Times New Roman" w:eastAsia="宋体" w:cs="Times New Roman"/>
                      <w:color w:val="auto"/>
                      <w:kern w:val="0"/>
                      <w:szCs w:val="21"/>
                      <w:lang w:val="en-US" w:eastAsia="zh-CN"/>
                    </w:rPr>
                    <w:t>/</w:t>
                  </w:r>
                </w:p>
              </w:tc>
              <w:tc>
                <w:tcPr>
                  <w:tcW w:w="418" w:type="pct"/>
                  <w:vAlign w:val="center"/>
                </w:tcPr>
                <w:p w14:paraId="732D06EC">
                  <w:pPr>
                    <w:keepNext w:val="0"/>
                    <w:keepLines w:val="0"/>
                    <w:suppressLineNumbers w:val="0"/>
                    <w:tabs>
                      <w:tab w:val="left" w:pos="4830"/>
                    </w:tabs>
                    <w:spacing w:before="0" w:beforeAutospacing="0" w:after="0" w:afterAutospacing="0"/>
                    <w:ind w:left="0" w:leftChars="0" w:right="0" w:rightChars="0"/>
                    <w:jc w:val="center"/>
                    <w:rPr>
                      <w:rFonts w:hint="default" w:ascii="Times New Roman" w:hAnsi="Times New Roman" w:eastAsia="宋体" w:cs="Times New Roman"/>
                      <w:color w:val="auto"/>
                      <w:szCs w:val="21"/>
                    </w:rPr>
                  </w:pPr>
                  <w:r>
                    <w:rPr>
                      <w:rFonts w:hint="eastAsia" w:ascii="Times New Roman" w:hAnsi="Times New Roman" w:eastAsia="宋体" w:cs="Times New Roman"/>
                      <w:color w:val="auto"/>
                      <w:kern w:val="0"/>
                      <w:szCs w:val="21"/>
                      <w:lang w:val="en-US" w:eastAsia="zh-CN"/>
                    </w:rPr>
                    <w:t>+</w:t>
                  </w:r>
                  <w:r>
                    <w:rPr>
                      <w:rFonts w:hint="default" w:ascii="Times New Roman" w:hAnsi="Times New Roman" w:eastAsia="宋体" w:cs="Times New Roman"/>
                      <w:color w:val="auto"/>
                      <w:kern w:val="0"/>
                      <w:szCs w:val="21"/>
                      <w:lang w:val="en-US" w:eastAsia="zh-CN"/>
                    </w:rPr>
                    <w:t>1200</w:t>
                  </w:r>
                </w:p>
              </w:tc>
              <w:tc>
                <w:tcPr>
                  <w:tcW w:w="418" w:type="pct"/>
                  <w:vAlign w:val="center"/>
                </w:tcPr>
                <w:p w14:paraId="216F8B57">
                  <w:pPr>
                    <w:keepNext w:val="0"/>
                    <w:keepLines w:val="0"/>
                    <w:suppressLineNumbers w:val="0"/>
                    <w:tabs>
                      <w:tab w:val="left" w:pos="4830"/>
                    </w:tabs>
                    <w:spacing w:before="0" w:beforeAutospacing="0" w:after="0" w:afterAutospacing="0"/>
                    <w:ind w:left="0" w:right="0"/>
                    <w:jc w:val="center"/>
                    <w:rPr>
                      <w:rFonts w:hint="default" w:ascii="Times New Roman" w:hAnsi="Times New Roman" w:eastAsia="宋体" w:cs="Times New Roman"/>
                      <w:color w:val="auto"/>
                      <w:kern w:val="0"/>
                      <w:szCs w:val="21"/>
                    </w:rPr>
                  </w:pPr>
                  <w:r>
                    <w:rPr>
                      <w:rFonts w:hint="eastAsia" w:ascii="Times New Roman" w:hAnsi="Times New Roman" w:eastAsia="宋体" w:cs="Times New Roman"/>
                      <w:color w:val="auto"/>
                      <w:kern w:val="0"/>
                      <w:szCs w:val="21"/>
                    </w:rPr>
                    <w:t>/</w:t>
                  </w:r>
                </w:p>
              </w:tc>
            </w:tr>
            <w:tr w14:paraId="0EB780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97" w:hRule="atLeast"/>
                <w:jc w:val="center"/>
              </w:trPr>
              <w:tc>
                <w:tcPr>
                  <w:tcW w:w="174" w:type="pct"/>
                  <w:vMerge w:val="continue"/>
                  <w:vAlign w:val="center"/>
                </w:tcPr>
                <w:p w14:paraId="16992D0F">
                  <w:pPr>
                    <w:keepNext w:val="0"/>
                    <w:keepLines w:val="0"/>
                    <w:suppressLineNumbers w:val="0"/>
                    <w:tabs>
                      <w:tab w:val="left" w:pos="4830"/>
                    </w:tabs>
                    <w:spacing w:before="0" w:beforeAutospacing="0" w:after="0" w:afterAutospacing="0"/>
                    <w:ind w:left="0" w:right="0"/>
                    <w:jc w:val="center"/>
                    <w:rPr>
                      <w:rFonts w:hint="default" w:ascii="Times New Roman" w:hAnsi="Times New Roman" w:eastAsia="宋体" w:cs="Times New Roman"/>
                      <w:color w:val="auto"/>
                      <w:szCs w:val="21"/>
                    </w:rPr>
                  </w:pPr>
                </w:p>
              </w:tc>
              <w:tc>
                <w:tcPr>
                  <w:tcW w:w="580" w:type="pct"/>
                  <w:vAlign w:val="center"/>
                </w:tcPr>
                <w:p w14:paraId="0D625F8F">
                  <w:pPr>
                    <w:keepNext w:val="0"/>
                    <w:keepLines w:val="0"/>
                    <w:suppressLineNumbers w:val="0"/>
                    <w:tabs>
                      <w:tab w:val="left" w:pos="4830"/>
                    </w:tabs>
                    <w:spacing w:before="0" w:beforeAutospacing="0" w:after="0" w:afterAutospacing="0"/>
                    <w:ind w:left="0" w:right="0"/>
                    <w:jc w:val="center"/>
                    <w:rPr>
                      <w:rFonts w:hint="default" w:ascii="Times New Roman" w:hAnsi="Times New Roman" w:eastAsia="宋体" w:cs="Times New Roman"/>
                      <w:color w:val="auto"/>
                      <w:kern w:val="0"/>
                      <w:szCs w:val="21"/>
                    </w:rPr>
                  </w:pPr>
                  <w:r>
                    <w:rPr>
                      <w:rFonts w:hint="default" w:ascii="Times New Roman" w:hAnsi="Times New Roman" w:eastAsia="宋体" w:cs="Times New Roman"/>
                      <w:color w:val="auto"/>
                      <w:kern w:val="0"/>
                      <w:szCs w:val="21"/>
                    </w:rPr>
                    <w:t>COD</w:t>
                  </w:r>
                  <w:r>
                    <w:rPr>
                      <w:rFonts w:hint="default" w:ascii="Times New Roman" w:hAnsi="Times New Roman" w:eastAsia="宋体" w:cs="Times New Roman"/>
                      <w:color w:val="auto"/>
                      <w:kern w:val="0"/>
                      <w:szCs w:val="21"/>
                      <w:vertAlign w:val="subscript"/>
                    </w:rPr>
                    <w:t>Cr</w:t>
                  </w:r>
                </w:p>
              </w:tc>
              <w:tc>
                <w:tcPr>
                  <w:tcW w:w="1376" w:type="dxa"/>
                  <w:vAlign w:val="center"/>
                </w:tcPr>
                <w:p w14:paraId="11F8B2E4">
                  <w:pPr>
                    <w:keepNext w:val="0"/>
                    <w:keepLines w:val="0"/>
                    <w:suppressLineNumbers w:val="0"/>
                    <w:spacing w:before="0" w:beforeAutospacing="0" w:after="0" w:afterAutospacing="0" w:line="240" w:lineRule="auto"/>
                    <w:ind w:left="0" w:right="0"/>
                    <w:jc w:val="center"/>
                    <w:rPr>
                      <w:rFonts w:hint="default" w:ascii="Times New Roman" w:hAnsi="Times New Roman" w:eastAsia="宋体" w:cs="Times New Roman"/>
                      <w:color w:val="0000FF"/>
                      <w:kern w:val="0"/>
                      <w:szCs w:val="21"/>
                    </w:rPr>
                  </w:pPr>
                  <w:r>
                    <w:rPr>
                      <w:rFonts w:hint="default" w:ascii="Times New Roman" w:hAnsi="Times New Roman" w:eastAsia="宋体" w:cs="Times New Roman"/>
                      <w:b w:val="0"/>
                      <w:bCs w:val="0"/>
                      <w:color w:val="0000FF"/>
                      <w:sz w:val="21"/>
                      <w:szCs w:val="21"/>
                      <w:highlight w:val="none"/>
                      <w:lang w:val="en-US" w:eastAsia="zh-CN"/>
                    </w:rPr>
                    <w:t>0.720</w:t>
                  </w:r>
                </w:p>
              </w:tc>
              <w:tc>
                <w:tcPr>
                  <w:tcW w:w="401" w:type="pct"/>
                  <w:vAlign w:val="center"/>
                </w:tcPr>
                <w:p w14:paraId="0CF38250">
                  <w:pPr>
                    <w:keepNext w:val="0"/>
                    <w:keepLines w:val="0"/>
                    <w:suppressLineNumbers w:val="0"/>
                    <w:tabs>
                      <w:tab w:val="left" w:pos="4830"/>
                    </w:tabs>
                    <w:spacing w:before="0" w:beforeAutospacing="0" w:after="0" w:afterAutospacing="0"/>
                    <w:ind w:left="0" w:right="0"/>
                    <w:jc w:val="center"/>
                    <w:rPr>
                      <w:rFonts w:hint="default" w:ascii="Times New Roman" w:hAnsi="Times New Roman" w:eastAsia="宋体" w:cs="Times New Roman"/>
                      <w:color w:val="auto"/>
                      <w:kern w:val="0"/>
                      <w:szCs w:val="21"/>
                    </w:rPr>
                  </w:pPr>
                  <w:r>
                    <w:rPr>
                      <w:rFonts w:hint="default" w:ascii="Times New Roman" w:hAnsi="Times New Roman" w:eastAsia="宋体" w:cs="Times New Roman"/>
                      <w:color w:val="auto"/>
                      <w:kern w:val="0"/>
                      <w:szCs w:val="21"/>
                      <w:lang w:val="en-US" w:eastAsia="zh-CN"/>
                    </w:rPr>
                    <w:t>0.420</w:t>
                  </w:r>
                </w:p>
              </w:tc>
              <w:tc>
                <w:tcPr>
                  <w:tcW w:w="412" w:type="pct"/>
                  <w:vAlign w:val="center"/>
                </w:tcPr>
                <w:p w14:paraId="74DAF45A">
                  <w:pPr>
                    <w:keepNext w:val="0"/>
                    <w:keepLines w:val="0"/>
                    <w:suppressLineNumbers w:val="0"/>
                    <w:tabs>
                      <w:tab w:val="left" w:pos="4830"/>
                    </w:tabs>
                    <w:spacing w:before="0" w:beforeAutospacing="0" w:after="0" w:afterAutospacing="0"/>
                    <w:ind w:left="0" w:right="0"/>
                    <w:jc w:val="center"/>
                    <w:rPr>
                      <w:rFonts w:hint="default" w:ascii="Times New Roman" w:hAnsi="Times New Roman" w:eastAsia="宋体" w:cs="Times New Roman"/>
                      <w:color w:val="auto"/>
                      <w:kern w:val="0"/>
                      <w:szCs w:val="21"/>
                      <w:lang w:val="en-US" w:eastAsia="zh-CN"/>
                    </w:rPr>
                  </w:pPr>
                  <w:r>
                    <w:rPr>
                      <w:rFonts w:hint="eastAsia" w:ascii="Times New Roman" w:hAnsi="Times New Roman" w:eastAsia="宋体" w:cs="Times New Roman"/>
                      <w:color w:val="auto"/>
                      <w:kern w:val="0"/>
                      <w:szCs w:val="21"/>
                      <w:lang w:val="en-US" w:eastAsia="zh-CN"/>
                    </w:rPr>
                    <w:t>0.384</w:t>
                  </w:r>
                </w:p>
              </w:tc>
              <w:tc>
                <w:tcPr>
                  <w:tcW w:w="587" w:type="pct"/>
                  <w:vAlign w:val="center"/>
                </w:tcPr>
                <w:p w14:paraId="0EDD10DE">
                  <w:pPr>
                    <w:keepNext w:val="0"/>
                    <w:keepLines w:val="0"/>
                    <w:suppressLineNumbers w:val="0"/>
                    <w:tabs>
                      <w:tab w:val="left" w:pos="4830"/>
                    </w:tabs>
                    <w:spacing w:before="0" w:beforeAutospacing="0" w:after="0" w:afterAutospacing="0"/>
                    <w:ind w:left="0" w:right="0"/>
                    <w:jc w:val="center"/>
                    <w:rPr>
                      <w:rFonts w:hint="default" w:ascii="Times New Roman" w:hAnsi="Times New Roman" w:eastAsia="宋体" w:cs="Times New Roman"/>
                      <w:color w:val="auto"/>
                      <w:kern w:val="0"/>
                      <w:szCs w:val="21"/>
                    </w:rPr>
                  </w:pPr>
                  <w:r>
                    <w:rPr>
                      <w:rFonts w:hint="default" w:ascii="Times New Roman" w:hAnsi="Times New Roman" w:eastAsia="宋体" w:cs="Times New Roman"/>
                      <w:color w:val="auto"/>
                      <w:kern w:val="0"/>
                      <w:szCs w:val="21"/>
                      <w:lang w:val="en-US" w:eastAsia="zh-CN"/>
                    </w:rPr>
                    <w:t>0.036</w:t>
                  </w:r>
                </w:p>
              </w:tc>
              <w:tc>
                <w:tcPr>
                  <w:tcW w:w="530" w:type="pct"/>
                  <w:vAlign w:val="center"/>
                </w:tcPr>
                <w:p w14:paraId="51DCC4FA">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kern w:val="0"/>
                      <w:szCs w:val="21"/>
                    </w:rPr>
                  </w:pPr>
                  <w:r>
                    <w:rPr>
                      <w:rFonts w:hint="eastAsia" w:ascii="Times New Roman" w:hAnsi="Times New Roman" w:eastAsia="宋体" w:cs="Times New Roman"/>
                      <w:color w:val="auto"/>
                      <w:kern w:val="0"/>
                      <w:szCs w:val="21"/>
                      <w:lang w:val="en-US" w:eastAsia="zh-CN"/>
                    </w:rPr>
                    <w:t>0</w:t>
                  </w:r>
                </w:p>
              </w:tc>
              <w:tc>
                <w:tcPr>
                  <w:tcW w:w="489" w:type="pct"/>
                  <w:vAlign w:val="center"/>
                </w:tcPr>
                <w:p w14:paraId="1D7D8ABB">
                  <w:pPr>
                    <w:keepNext w:val="0"/>
                    <w:keepLines w:val="0"/>
                    <w:suppressLineNumbers w:val="0"/>
                    <w:tabs>
                      <w:tab w:val="left" w:pos="4830"/>
                    </w:tabs>
                    <w:spacing w:before="0" w:beforeAutospacing="0" w:after="0" w:afterAutospacing="0"/>
                    <w:ind w:left="0" w:right="0"/>
                    <w:jc w:val="center"/>
                    <w:rPr>
                      <w:rFonts w:hint="default" w:ascii="Times New Roman" w:hAnsi="Times New Roman" w:eastAsia="宋体" w:cs="Times New Roman"/>
                      <w:color w:val="0000FF"/>
                      <w:kern w:val="0"/>
                      <w:szCs w:val="21"/>
                      <w:lang w:val="en-US" w:eastAsia="zh-CN"/>
                    </w:rPr>
                  </w:pPr>
                  <w:r>
                    <w:rPr>
                      <w:rFonts w:hint="eastAsia" w:ascii="Times New Roman" w:hAnsi="Times New Roman" w:eastAsia="宋体" w:cs="Times New Roman"/>
                      <w:color w:val="0000FF"/>
                      <w:kern w:val="0"/>
                      <w:szCs w:val="21"/>
                      <w:lang w:val="en-US" w:eastAsia="zh-CN"/>
                    </w:rPr>
                    <w:t>0.756</w:t>
                  </w:r>
                </w:p>
              </w:tc>
              <w:tc>
                <w:tcPr>
                  <w:tcW w:w="469" w:type="pct"/>
                  <w:shd w:val="clear" w:color="auto" w:fill="auto"/>
                  <w:vAlign w:val="center"/>
                </w:tcPr>
                <w:p w14:paraId="743FEE97">
                  <w:pPr>
                    <w:keepNext w:val="0"/>
                    <w:keepLines w:val="0"/>
                    <w:suppressLineNumbers w:val="0"/>
                    <w:tabs>
                      <w:tab w:val="left" w:pos="4830"/>
                    </w:tabs>
                    <w:spacing w:before="0" w:beforeAutospacing="0" w:after="0" w:afterAutospacing="0"/>
                    <w:ind w:left="0" w:leftChars="0" w:right="0" w:rightChars="0"/>
                    <w:jc w:val="center"/>
                    <w:rPr>
                      <w:rFonts w:hint="default" w:ascii="Times New Roman" w:hAnsi="Times New Roman" w:eastAsia="宋体" w:cs="Times New Roman"/>
                      <w:color w:val="auto"/>
                      <w:kern w:val="0"/>
                      <w:sz w:val="21"/>
                      <w:szCs w:val="21"/>
                      <w:lang w:val="en-US" w:eastAsia="zh-CN" w:bidi="ar-SA"/>
                    </w:rPr>
                  </w:pPr>
                  <w:r>
                    <w:rPr>
                      <w:rFonts w:hint="eastAsia" w:ascii="Times New Roman" w:hAnsi="Times New Roman" w:eastAsia="宋体" w:cs="Times New Roman"/>
                      <w:color w:val="auto"/>
                      <w:kern w:val="0"/>
                      <w:szCs w:val="21"/>
                      <w:lang w:val="en-US" w:eastAsia="zh-CN"/>
                    </w:rPr>
                    <w:t>/</w:t>
                  </w:r>
                </w:p>
              </w:tc>
              <w:tc>
                <w:tcPr>
                  <w:tcW w:w="418" w:type="pct"/>
                  <w:vAlign w:val="center"/>
                </w:tcPr>
                <w:p w14:paraId="53B0FBB5">
                  <w:pPr>
                    <w:keepNext w:val="0"/>
                    <w:keepLines w:val="0"/>
                    <w:suppressLineNumbers w:val="0"/>
                    <w:tabs>
                      <w:tab w:val="left" w:pos="4830"/>
                    </w:tabs>
                    <w:spacing w:before="0" w:beforeAutospacing="0" w:after="0" w:afterAutospacing="0"/>
                    <w:ind w:left="0" w:leftChars="0" w:right="0" w:rightChars="0"/>
                    <w:jc w:val="center"/>
                    <w:rPr>
                      <w:rFonts w:hint="default" w:ascii="Times New Roman" w:hAnsi="Times New Roman" w:eastAsia="宋体" w:cs="Times New Roman"/>
                      <w:color w:val="auto"/>
                      <w:szCs w:val="21"/>
                    </w:rPr>
                  </w:pPr>
                  <w:r>
                    <w:rPr>
                      <w:rFonts w:hint="eastAsia" w:ascii="Times New Roman" w:hAnsi="Times New Roman" w:eastAsia="宋体" w:cs="Times New Roman"/>
                      <w:color w:val="auto"/>
                      <w:kern w:val="0"/>
                      <w:szCs w:val="21"/>
                      <w:lang w:val="en-US" w:eastAsia="zh-CN"/>
                    </w:rPr>
                    <w:t>+</w:t>
                  </w:r>
                  <w:r>
                    <w:rPr>
                      <w:rFonts w:hint="default" w:ascii="Times New Roman" w:hAnsi="Times New Roman" w:eastAsia="宋体" w:cs="Times New Roman"/>
                      <w:color w:val="auto"/>
                      <w:kern w:val="0"/>
                      <w:szCs w:val="21"/>
                      <w:lang w:val="en-US" w:eastAsia="zh-CN"/>
                    </w:rPr>
                    <w:t>0.036</w:t>
                  </w:r>
                </w:p>
              </w:tc>
              <w:tc>
                <w:tcPr>
                  <w:tcW w:w="418" w:type="pct"/>
                  <w:vAlign w:val="center"/>
                </w:tcPr>
                <w:p w14:paraId="47B53B7A">
                  <w:pPr>
                    <w:keepNext w:val="0"/>
                    <w:keepLines w:val="0"/>
                    <w:suppressLineNumbers w:val="0"/>
                    <w:tabs>
                      <w:tab w:val="left" w:pos="4830"/>
                    </w:tabs>
                    <w:spacing w:before="0" w:beforeAutospacing="0" w:after="0" w:afterAutospacing="0"/>
                    <w:ind w:left="0" w:right="0"/>
                    <w:jc w:val="center"/>
                    <w:rPr>
                      <w:rFonts w:hint="default" w:ascii="Times New Roman" w:hAnsi="Times New Roman" w:eastAsia="宋体" w:cs="Times New Roman"/>
                      <w:color w:val="auto"/>
                      <w:kern w:val="0"/>
                      <w:szCs w:val="21"/>
                    </w:rPr>
                  </w:pPr>
                  <w:r>
                    <w:rPr>
                      <w:rFonts w:hint="eastAsia" w:ascii="Times New Roman" w:hAnsi="Times New Roman" w:eastAsia="宋体" w:cs="Times New Roman"/>
                      <w:color w:val="auto"/>
                      <w:kern w:val="0"/>
                      <w:szCs w:val="21"/>
                    </w:rPr>
                    <w:t>/</w:t>
                  </w:r>
                </w:p>
              </w:tc>
            </w:tr>
            <w:tr w14:paraId="5B7259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97" w:hRule="atLeast"/>
                <w:jc w:val="center"/>
              </w:trPr>
              <w:tc>
                <w:tcPr>
                  <w:tcW w:w="174" w:type="pct"/>
                  <w:vMerge w:val="continue"/>
                  <w:vAlign w:val="center"/>
                </w:tcPr>
                <w:p w14:paraId="30C1E0AA">
                  <w:pPr>
                    <w:keepNext w:val="0"/>
                    <w:keepLines w:val="0"/>
                    <w:suppressLineNumbers w:val="0"/>
                    <w:tabs>
                      <w:tab w:val="left" w:pos="4830"/>
                    </w:tabs>
                    <w:spacing w:before="0" w:beforeAutospacing="0" w:after="0" w:afterAutospacing="0"/>
                    <w:ind w:left="0" w:right="0"/>
                    <w:jc w:val="center"/>
                    <w:rPr>
                      <w:rFonts w:hint="default" w:ascii="Times New Roman" w:hAnsi="Times New Roman" w:eastAsia="宋体" w:cs="Times New Roman"/>
                      <w:color w:val="auto"/>
                      <w:szCs w:val="21"/>
                    </w:rPr>
                  </w:pPr>
                </w:p>
              </w:tc>
              <w:tc>
                <w:tcPr>
                  <w:tcW w:w="580" w:type="pct"/>
                  <w:vAlign w:val="center"/>
                </w:tcPr>
                <w:p w14:paraId="18D4B9AB">
                  <w:pPr>
                    <w:keepNext w:val="0"/>
                    <w:keepLines w:val="0"/>
                    <w:suppressLineNumbers w:val="0"/>
                    <w:tabs>
                      <w:tab w:val="left" w:pos="4830"/>
                    </w:tabs>
                    <w:spacing w:before="0" w:beforeAutospacing="0" w:after="0" w:afterAutospacing="0"/>
                    <w:ind w:left="0" w:right="0"/>
                    <w:jc w:val="center"/>
                    <w:rPr>
                      <w:rFonts w:hint="default" w:ascii="Times New Roman" w:hAnsi="Times New Roman" w:eastAsia="宋体" w:cs="Times New Roman"/>
                      <w:color w:val="auto"/>
                      <w:kern w:val="0"/>
                      <w:szCs w:val="21"/>
                    </w:rPr>
                  </w:pPr>
                  <w:r>
                    <w:rPr>
                      <w:rFonts w:hint="default" w:ascii="Times New Roman" w:hAnsi="Times New Roman" w:eastAsia="宋体" w:cs="Times New Roman"/>
                      <w:color w:val="auto"/>
                      <w:kern w:val="0"/>
                      <w:szCs w:val="21"/>
                    </w:rPr>
                    <w:t>NH</w:t>
                  </w:r>
                  <w:r>
                    <w:rPr>
                      <w:rFonts w:hint="default" w:ascii="Times New Roman" w:hAnsi="Times New Roman" w:eastAsia="宋体" w:cs="Times New Roman"/>
                      <w:color w:val="auto"/>
                      <w:kern w:val="0"/>
                      <w:szCs w:val="21"/>
                      <w:vertAlign w:val="subscript"/>
                    </w:rPr>
                    <w:t>3</w:t>
                  </w:r>
                  <w:r>
                    <w:rPr>
                      <w:rFonts w:hint="default" w:ascii="Times New Roman" w:hAnsi="Times New Roman" w:eastAsia="宋体" w:cs="Times New Roman"/>
                      <w:color w:val="auto"/>
                      <w:kern w:val="0"/>
                      <w:szCs w:val="21"/>
                    </w:rPr>
                    <w:t>-N</w:t>
                  </w:r>
                </w:p>
              </w:tc>
              <w:tc>
                <w:tcPr>
                  <w:tcW w:w="1376" w:type="dxa"/>
                  <w:vAlign w:val="center"/>
                </w:tcPr>
                <w:p w14:paraId="33E39BC8">
                  <w:pPr>
                    <w:keepNext w:val="0"/>
                    <w:keepLines w:val="0"/>
                    <w:suppressLineNumbers w:val="0"/>
                    <w:spacing w:before="0" w:beforeAutospacing="0" w:after="0" w:afterAutospacing="0" w:line="240" w:lineRule="auto"/>
                    <w:ind w:left="0" w:right="0"/>
                    <w:jc w:val="center"/>
                    <w:rPr>
                      <w:rFonts w:hint="default" w:ascii="Times New Roman" w:hAnsi="Times New Roman" w:eastAsia="宋体" w:cs="Times New Roman"/>
                      <w:color w:val="0000FF"/>
                      <w:kern w:val="0"/>
                      <w:szCs w:val="21"/>
                    </w:rPr>
                  </w:pPr>
                  <w:r>
                    <w:rPr>
                      <w:rFonts w:hint="default" w:ascii="Times New Roman" w:hAnsi="Times New Roman" w:eastAsia="宋体" w:cs="Times New Roman"/>
                      <w:b w:val="0"/>
                      <w:bCs w:val="0"/>
                      <w:color w:val="0000FF"/>
                      <w:sz w:val="21"/>
                      <w:szCs w:val="21"/>
                      <w:highlight w:val="none"/>
                      <w:lang w:val="en-US" w:eastAsia="zh-CN"/>
                    </w:rPr>
                    <w:t>0.036</w:t>
                  </w:r>
                </w:p>
              </w:tc>
              <w:tc>
                <w:tcPr>
                  <w:tcW w:w="401" w:type="pct"/>
                  <w:vAlign w:val="center"/>
                </w:tcPr>
                <w:p w14:paraId="3DDC0626">
                  <w:pPr>
                    <w:keepNext w:val="0"/>
                    <w:keepLines w:val="0"/>
                    <w:suppressLineNumbers w:val="0"/>
                    <w:tabs>
                      <w:tab w:val="left" w:pos="4830"/>
                    </w:tabs>
                    <w:spacing w:before="0" w:beforeAutospacing="0" w:after="0" w:afterAutospacing="0"/>
                    <w:ind w:left="0" w:right="0"/>
                    <w:jc w:val="center"/>
                    <w:rPr>
                      <w:rFonts w:hint="default" w:ascii="Times New Roman" w:hAnsi="Times New Roman" w:eastAsia="宋体" w:cs="Times New Roman"/>
                      <w:color w:val="auto"/>
                      <w:kern w:val="0"/>
                      <w:szCs w:val="21"/>
                    </w:rPr>
                  </w:pPr>
                  <w:r>
                    <w:rPr>
                      <w:rFonts w:hint="default" w:ascii="Times New Roman" w:hAnsi="Times New Roman" w:eastAsia="宋体" w:cs="Times New Roman"/>
                      <w:color w:val="auto"/>
                      <w:kern w:val="0"/>
                      <w:szCs w:val="21"/>
                      <w:lang w:val="en-US" w:eastAsia="zh-CN"/>
                    </w:rPr>
                    <w:t>0.042</w:t>
                  </w:r>
                </w:p>
              </w:tc>
              <w:tc>
                <w:tcPr>
                  <w:tcW w:w="412" w:type="pct"/>
                  <w:vAlign w:val="center"/>
                </w:tcPr>
                <w:p w14:paraId="3CE4A603">
                  <w:pPr>
                    <w:keepNext w:val="0"/>
                    <w:keepLines w:val="0"/>
                    <w:suppressLineNumbers w:val="0"/>
                    <w:tabs>
                      <w:tab w:val="left" w:pos="4830"/>
                    </w:tabs>
                    <w:spacing w:before="0" w:beforeAutospacing="0" w:after="0" w:afterAutospacing="0"/>
                    <w:ind w:left="0" w:right="0"/>
                    <w:jc w:val="center"/>
                    <w:rPr>
                      <w:rFonts w:hint="default" w:ascii="Times New Roman" w:hAnsi="Times New Roman" w:eastAsia="宋体" w:cs="Times New Roman"/>
                      <w:color w:val="auto"/>
                      <w:kern w:val="0"/>
                      <w:szCs w:val="21"/>
                      <w:lang w:val="en-US" w:eastAsia="zh-CN"/>
                    </w:rPr>
                  </w:pPr>
                  <w:r>
                    <w:rPr>
                      <w:rFonts w:hint="eastAsia" w:ascii="Times New Roman" w:hAnsi="Times New Roman" w:eastAsia="宋体" w:cs="Times New Roman"/>
                      <w:color w:val="auto"/>
                      <w:kern w:val="0"/>
                      <w:szCs w:val="21"/>
                      <w:lang w:val="en-US" w:eastAsia="zh-CN"/>
                    </w:rPr>
                    <w:t>0.040</w:t>
                  </w:r>
                </w:p>
              </w:tc>
              <w:tc>
                <w:tcPr>
                  <w:tcW w:w="587" w:type="pct"/>
                  <w:vAlign w:val="center"/>
                </w:tcPr>
                <w:p w14:paraId="2AC1A280">
                  <w:pPr>
                    <w:keepNext w:val="0"/>
                    <w:keepLines w:val="0"/>
                    <w:suppressLineNumbers w:val="0"/>
                    <w:tabs>
                      <w:tab w:val="left" w:pos="4830"/>
                    </w:tabs>
                    <w:spacing w:before="0" w:beforeAutospacing="0" w:after="0" w:afterAutospacing="0"/>
                    <w:ind w:left="0" w:right="0"/>
                    <w:jc w:val="center"/>
                    <w:rPr>
                      <w:rFonts w:hint="default" w:ascii="Times New Roman" w:hAnsi="Times New Roman" w:eastAsia="宋体" w:cs="Times New Roman"/>
                      <w:color w:val="auto"/>
                      <w:kern w:val="0"/>
                      <w:szCs w:val="21"/>
                    </w:rPr>
                  </w:pPr>
                  <w:r>
                    <w:rPr>
                      <w:rFonts w:hint="default" w:ascii="Times New Roman" w:hAnsi="Times New Roman" w:eastAsia="宋体" w:cs="Times New Roman"/>
                      <w:color w:val="auto"/>
                      <w:kern w:val="0"/>
                      <w:szCs w:val="21"/>
                      <w:lang w:val="en-US" w:eastAsia="zh-CN"/>
                    </w:rPr>
                    <w:t>0.002</w:t>
                  </w:r>
                </w:p>
              </w:tc>
              <w:tc>
                <w:tcPr>
                  <w:tcW w:w="530" w:type="pct"/>
                  <w:vAlign w:val="center"/>
                </w:tcPr>
                <w:p w14:paraId="6183C112">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kern w:val="0"/>
                      <w:szCs w:val="21"/>
                    </w:rPr>
                  </w:pPr>
                  <w:r>
                    <w:rPr>
                      <w:rFonts w:hint="eastAsia" w:ascii="Times New Roman" w:hAnsi="Times New Roman" w:eastAsia="宋体" w:cs="Times New Roman"/>
                      <w:color w:val="auto"/>
                      <w:kern w:val="0"/>
                      <w:szCs w:val="21"/>
                      <w:lang w:val="en-US" w:eastAsia="zh-CN"/>
                    </w:rPr>
                    <w:t>0</w:t>
                  </w:r>
                </w:p>
              </w:tc>
              <w:tc>
                <w:tcPr>
                  <w:tcW w:w="489" w:type="pct"/>
                  <w:vAlign w:val="center"/>
                </w:tcPr>
                <w:p w14:paraId="1692AEB3">
                  <w:pPr>
                    <w:keepNext w:val="0"/>
                    <w:keepLines w:val="0"/>
                    <w:suppressLineNumbers w:val="0"/>
                    <w:tabs>
                      <w:tab w:val="left" w:pos="4830"/>
                    </w:tabs>
                    <w:spacing w:before="0" w:beforeAutospacing="0" w:after="0" w:afterAutospacing="0"/>
                    <w:ind w:left="0" w:right="0"/>
                    <w:jc w:val="center"/>
                    <w:rPr>
                      <w:rFonts w:hint="default" w:ascii="Times New Roman" w:hAnsi="Times New Roman" w:eastAsia="宋体" w:cs="Times New Roman"/>
                      <w:color w:val="0000FF"/>
                      <w:kern w:val="0"/>
                      <w:szCs w:val="21"/>
                      <w:lang w:val="en-US" w:eastAsia="zh-CN"/>
                    </w:rPr>
                  </w:pPr>
                  <w:r>
                    <w:rPr>
                      <w:rFonts w:hint="eastAsia" w:ascii="Times New Roman" w:hAnsi="Times New Roman" w:eastAsia="宋体" w:cs="Times New Roman"/>
                      <w:color w:val="0000FF"/>
                      <w:kern w:val="0"/>
                      <w:szCs w:val="21"/>
                      <w:lang w:val="en-US" w:eastAsia="zh-CN"/>
                    </w:rPr>
                    <w:t>0.038</w:t>
                  </w:r>
                </w:p>
              </w:tc>
              <w:tc>
                <w:tcPr>
                  <w:tcW w:w="469" w:type="pct"/>
                  <w:shd w:val="clear" w:color="auto" w:fill="auto"/>
                  <w:vAlign w:val="center"/>
                </w:tcPr>
                <w:p w14:paraId="1444D6BB">
                  <w:pPr>
                    <w:keepNext w:val="0"/>
                    <w:keepLines w:val="0"/>
                    <w:suppressLineNumbers w:val="0"/>
                    <w:tabs>
                      <w:tab w:val="left" w:pos="4830"/>
                    </w:tabs>
                    <w:spacing w:before="0" w:beforeAutospacing="0" w:after="0" w:afterAutospacing="0"/>
                    <w:ind w:left="0" w:leftChars="0" w:right="0" w:rightChars="0"/>
                    <w:jc w:val="center"/>
                    <w:rPr>
                      <w:rFonts w:hint="default" w:ascii="Times New Roman" w:hAnsi="Times New Roman" w:eastAsia="宋体" w:cs="Times New Roman"/>
                      <w:color w:val="auto"/>
                      <w:kern w:val="0"/>
                      <w:sz w:val="21"/>
                      <w:szCs w:val="21"/>
                      <w:lang w:val="en-US" w:eastAsia="zh-CN" w:bidi="ar-SA"/>
                    </w:rPr>
                  </w:pPr>
                  <w:r>
                    <w:rPr>
                      <w:rFonts w:hint="eastAsia" w:ascii="Times New Roman" w:hAnsi="Times New Roman" w:eastAsia="宋体" w:cs="Times New Roman"/>
                      <w:color w:val="auto"/>
                      <w:kern w:val="0"/>
                      <w:szCs w:val="21"/>
                      <w:lang w:val="en-US" w:eastAsia="zh-CN"/>
                    </w:rPr>
                    <w:t>/</w:t>
                  </w:r>
                </w:p>
              </w:tc>
              <w:tc>
                <w:tcPr>
                  <w:tcW w:w="418" w:type="pct"/>
                  <w:vAlign w:val="center"/>
                </w:tcPr>
                <w:p w14:paraId="2FEE8546">
                  <w:pPr>
                    <w:keepNext w:val="0"/>
                    <w:keepLines w:val="0"/>
                    <w:suppressLineNumbers w:val="0"/>
                    <w:tabs>
                      <w:tab w:val="left" w:pos="4830"/>
                    </w:tabs>
                    <w:spacing w:before="0" w:beforeAutospacing="0" w:after="0" w:afterAutospacing="0"/>
                    <w:ind w:left="0" w:leftChars="0" w:right="0" w:rightChars="0"/>
                    <w:jc w:val="center"/>
                    <w:rPr>
                      <w:rFonts w:hint="default" w:ascii="Times New Roman" w:hAnsi="Times New Roman" w:eastAsia="宋体" w:cs="Times New Roman"/>
                      <w:color w:val="auto"/>
                      <w:szCs w:val="21"/>
                    </w:rPr>
                  </w:pPr>
                  <w:r>
                    <w:rPr>
                      <w:rFonts w:hint="eastAsia" w:ascii="Times New Roman" w:hAnsi="Times New Roman" w:eastAsia="宋体" w:cs="Times New Roman"/>
                      <w:color w:val="auto"/>
                      <w:kern w:val="0"/>
                      <w:szCs w:val="21"/>
                      <w:lang w:val="en-US" w:eastAsia="zh-CN"/>
                    </w:rPr>
                    <w:t>+</w:t>
                  </w:r>
                  <w:r>
                    <w:rPr>
                      <w:rFonts w:hint="default" w:ascii="Times New Roman" w:hAnsi="Times New Roman" w:eastAsia="宋体" w:cs="Times New Roman"/>
                      <w:color w:val="auto"/>
                      <w:kern w:val="0"/>
                      <w:szCs w:val="21"/>
                      <w:lang w:val="en-US" w:eastAsia="zh-CN"/>
                    </w:rPr>
                    <w:t>0.002</w:t>
                  </w:r>
                </w:p>
              </w:tc>
              <w:tc>
                <w:tcPr>
                  <w:tcW w:w="418" w:type="pct"/>
                  <w:vAlign w:val="center"/>
                </w:tcPr>
                <w:p w14:paraId="6C7B90E4">
                  <w:pPr>
                    <w:keepNext w:val="0"/>
                    <w:keepLines w:val="0"/>
                    <w:suppressLineNumbers w:val="0"/>
                    <w:tabs>
                      <w:tab w:val="left" w:pos="4830"/>
                    </w:tabs>
                    <w:spacing w:before="0" w:beforeAutospacing="0" w:after="0" w:afterAutospacing="0"/>
                    <w:ind w:left="0" w:right="0"/>
                    <w:jc w:val="center"/>
                    <w:rPr>
                      <w:rFonts w:hint="default" w:ascii="Times New Roman" w:hAnsi="Times New Roman" w:eastAsia="宋体" w:cs="Times New Roman"/>
                      <w:color w:val="auto"/>
                      <w:kern w:val="0"/>
                      <w:szCs w:val="21"/>
                    </w:rPr>
                  </w:pPr>
                  <w:r>
                    <w:rPr>
                      <w:rFonts w:hint="eastAsia" w:ascii="Times New Roman" w:hAnsi="Times New Roman" w:eastAsia="宋体" w:cs="Times New Roman"/>
                      <w:color w:val="auto"/>
                      <w:kern w:val="0"/>
                      <w:szCs w:val="21"/>
                    </w:rPr>
                    <w:t>/</w:t>
                  </w:r>
                </w:p>
              </w:tc>
            </w:tr>
            <w:tr w14:paraId="3A8B8F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97" w:hRule="atLeast"/>
                <w:jc w:val="center"/>
              </w:trPr>
              <w:tc>
                <w:tcPr>
                  <w:tcW w:w="174" w:type="pct"/>
                  <w:vMerge w:val="restart"/>
                  <w:vAlign w:val="center"/>
                </w:tcPr>
                <w:p w14:paraId="4CD08E50">
                  <w:pPr>
                    <w:keepNext w:val="0"/>
                    <w:keepLines w:val="0"/>
                    <w:suppressLineNumbers w:val="0"/>
                    <w:tabs>
                      <w:tab w:val="left" w:pos="4830"/>
                    </w:tabs>
                    <w:spacing w:before="0" w:beforeAutospacing="0" w:after="0" w:afterAutospacing="0"/>
                    <w:ind w:left="0" w:right="0"/>
                    <w:jc w:val="center"/>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rPr>
                    <w:t>废气</w:t>
                  </w:r>
                </w:p>
              </w:tc>
              <w:tc>
                <w:tcPr>
                  <w:tcW w:w="580" w:type="pct"/>
                  <w:vAlign w:val="center"/>
                </w:tcPr>
                <w:p w14:paraId="77F06D6C">
                  <w:pPr>
                    <w:keepNext w:val="0"/>
                    <w:keepLines w:val="0"/>
                    <w:suppressLineNumbers w:val="0"/>
                    <w:tabs>
                      <w:tab w:val="left" w:pos="4830"/>
                    </w:tabs>
                    <w:spacing w:before="0" w:beforeAutospacing="0" w:after="0" w:afterAutospacing="0"/>
                    <w:ind w:left="0" w:right="0"/>
                    <w:jc w:val="center"/>
                    <w:rPr>
                      <w:rFonts w:hint="default" w:ascii="Times New Roman" w:hAnsi="Times New Roman" w:eastAsia="宋体" w:cs="Times New Roman"/>
                      <w:color w:val="auto"/>
                      <w:kern w:val="0"/>
                      <w:szCs w:val="21"/>
                    </w:rPr>
                  </w:pPr>
                  <w:r>
                    <w:rPr>
                      <w:rFonts w:hint="default" w:ascii="Times New Roman" w:hAnsi="Times New Roman" w:eastAsia="宋体" w:cs="Times New Roman"/>
                      <w:color w:val="auto"/>
                      <w:szCs w:val="21"/>
                    </w:rPr>
                    <w:t>颗粒物</w:t>
                  </w:r>
                </w:p>
              </w:tc>
              <w:tc>
                <w:tcPr>
                  <w:tcW w:w="518" w:type="pct"/>
                  <w:vAlign w:val="center"/>
                </w:tcPr>
                <w:p w14:paraId="5DA2CAAF">
                  <w:pPr>
                    <w:keepNext w:val="0"/>
                    <w:keepLines w:val="0"/>
                    <w:suppressLineNumbers w:val="0"/>
                    <w:spacing w:before="0" w:beforeAutospacing="0" w:after="0" w:afterAutospacing="0" w:line="240" w:lineRule="auto"/>
                    <w:ind w:left="0" w:right="0"/>
                    <w:jc w:val="center"/>
                    <w:rPr>
                      <w:rFonts w:hint="default" w:ascii="Times New Roman" w:hAnsi="Times New Roman" w:eastAsia="宋体" w:cs="Times New Roman"/>
                      <w:color w:val="0000E1"/>
                      <w:kern w:val="0"/>
                      <w:szCs w:val="21"/>
                      <w:lang w:val="en-US"/>
                    </w:rPr>
                  </w:pPr>
                  <w:r>
                    <w:rPr>
                      <w:rFonts w:hint="eastAsia" w:ascii="Times New Roman" w:hAnsi="Times New Roman" w:eastAsia="宋体" w:cs="Times New Roman"/>
                      <w:b w:val="0"/>
                      <w:bCs w:val="0"/>
                      <w:color w:val="0000E1"/>
                      <w:sz w:val="21"/>
                      <w:szCs w:val="21"/>
                      <w:lang w:val="en-US" w:eastAsia="zh-CN"/>
                    </w:rPr>
                    <w:t>6.148</w:t>
                  </w:r>
                </w:p>
              </w:tc>
              <w:tc>
                <w:tcPr>
                  <w:tcW w:w="401" w:type="pct"/>
                  <w:vAlign w:val="center"/>
                </w:tcPr>
                <w:p w14:paraId="49467E8E">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0000E1"/>
                      <w:kern w:val="0"/>
                      <w:szCs w:val="21"/>
                      <w:lang w:val="en-US"/>
                    </w:rPr>
                  </w:pPr>
                  <w:r>
                    <w:rPr>
                      <w:rFonts w:hint="eastAsia" w:ascii="Times New Roman" w:hAnsi="Times New Roman" w:eastAsia="宋体" w:cs="Times New Roman"/>
                      <w:color w:val="0000E1"/>
                      <w:kern w:val="0"/>
                      <w:szCs w:val="21"/>
                      <w:lang w:val="en-US" w:eastAsia="zh-CN"/>
                    </w:rPr>
                    <w:t>1.532</w:t>
                  </w:r>
                </w:p>
              </w:tc>
              <w:tc>
                <w:tcPr>
                  <w:tcW w:w="412" w:type="pct"/>
                  <w:vAlign w:val="center"/>
                </w:tcPr>
                <w:p w14:paraId="3071E567">
                  <w:pPr>
                    <w:keepNext w:val="0"/>
                    <w:keepLines w:val="0"/>
                    <w:suppressLineNumbers w:val="0"/>
                    <w:tabs>
                      <w:tab w:val="left" w:pos="4830"/>
                    </w:tabs>
                    <w:spacing w:before="0" w:beforeAutospacing="0" w:after="0" w:afterAutospacing="0"/>
                    <w:ind w:left="0" w:right="0"/>
                    <w:jc w:val="center"/>
                    <w:rPr>
                      <w:rFonts w:hint="default" w:ascii="Times New Roman" w:hAnsi="Times New Roman" w:eastAsia="宋体" w:cs="Times New Roman"/>
                      <w:color w:val="0000E1"/>
                      <w:kern w:val="0"/>
                      <w:szCs w:val="21"/>
                      <w:lang w:val="en-US" w:eastAsia="zh-CN"/>
                    </w:rPr>
                  </w:pPr>
                  <w:r>
                    <w:rPr>
                      <w:rFonts w:hint="eastAsia" w:ascii="Times New Roman" w:hAnsi="Times New Roman" w:eastAsia="宋体" w:cs="Times New Roman"/>
                      <w:color w:val="0000E1"/>
                      <w:kern w:val="0"/>
                      <w:szCs w:val="21"/>
                      <w:lang w:val="en-US" w:eastAsia="zh-CN"/>
                    </w:rPr>
                    <w:t>0.923</w:t>
                  </w:r>
                </w:p>
              </w:tc>
              <w:tc>
                <w:tcPr>
                  <w:tcW w:w="587" w:type="pct"/>
                  <w:vAlign w:val="center"/>
                </w:tcPr>
                <w:p w14:paraId="1C7A75C4">
                  <w:pPr>
                    <w:keepNext w:val="0"/>
                    <w:keepLines w:val="0"/>
                    <w:suppressLineNumbers w:val="0"/>
                    <w:tabs>
                      <w:tab w:val="left" w:pos="4830"/>
                    </w:tabs>
                    <w:spacing w:before="0" w:beforeAutospacing="0" w:after="0" w:afterAutospacing="0"/>
                    <w:ind w:left="0" w:right="0"/>
                    <w:jc w:val="center"/>
                    <w:rPr>
                      <w:rFonts w:hint="default" w:ascii="Times New Roman" w:hAnsi="Times New Roman" w:eastAsia="宋体" w:cs="Times New Roman"/>
                      <w:color w:val="0000E1"/>
                      <w:kern w:val="0"/>
                      <w:szCs w:val="21"/>
                      <w:lang w:val="en-US" w:eastAsia="zh-CN"/>
                    </w:rPr>
                  </w:pPr>
                  <w:r>
                    <w:rPr>
                      <w:rFonts w:hint="eastAsia" w:ascii="Times New Roman" w:hAnsi="Times New Roman" w:eastAsia="宋体" w:cs="Times New Roman"/>
                      <w:color w:val="0000E1"/>
                      <w:kern w:val="0"/>
                      <w:szCs w:val="21"/>
                      <w:lang w:val="en-US" w:eastAsia="zh-CN"/>
                    </w:rPr>
                    <w:t>0.609</w:t>
                  </w:r>
                </w:p>
              </w:tc>
              <w:tc>
                <w:tcPr>
                  <w:tcW w:w="530" w:type="pct"/>
                  <w:vAlign w:val="center"/>
                </w:tcPr>
                <w:p w14:paraId="21048F69">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0000E1"/>
                      <w:szCs w:val="21"/>
                      <w:highlight w:val="yellow"/>
                    </w:rPr>
                  </w:pPr>
                  <w:r>
                    <w:rPr>
                      <w:rFonts w:hint="eastAsia" w:ascii="Times New Roman" w:hAnsi="Times New Roman" w:eastAsia="宋体" w:cs="Times New Roman"/>
                      <w:color w:val="0000E1"/>
                      <w:kern w:val="0"/>
                      <w:szCs w:val="21"/>
                      <w:lang w:val="en-US" w:eastAsia="zh-CN"/>
                    </w:rPr>
                    <w:t>0</w:t>
                  </w:r>
                </w:p>
              </w:tc>
              <w:tc>
                <w:tcPr>
                  <w:tcW w:w="489" w:type="pct"/>
                  <w:vAlign w:val="center"/>
                </w:tcPr>
                <w:p w14:paraId="46FE7341">
                  <w:pPr>
                    <w:keepNext w:val="0"/>
                    <w:keepLines w:val="0"/>
                    <w:suppressLineNumbers w:val="0"/>
                    <w:tabs>
                      <w:tab w:val="left" w:pos="4830"/>
                    </w:tabs>
                    <w:spacing w:before="0" w:beforeAutospacing="0" w:after="0" w:afterAutospacing="0"/>
                    <w:ind w:left="0" w:right="0"/>
                    <w:jc w:val="center"/>
                    <w:rPr>
                      <w:rFonts w:hint="default" w:ascii="Times New Roman" w:hAnsi="Times New Roman" w:eastAsia="宋体" w:cs="Times New Roman"/>
                      <w:color w:val="0000E1"/>
                      <w:szCs w:val="21"/>
                      <w:lang w:val="en-US" w:eastAsia="zh-CN"/>
                    </w:rPr>
                  </w:pPr>
                  <w:r>
                    <w:rPr>
                      <w:rFonts w:hint="eastAsia" w:ascii="Times New Roman" w:hAnsi="Times New Roman" w:eastAsia="宋体" w:cs="Times New Roman"/>
                      <w:color w:val="0000E1"/>
                      <w:szCs w:val="21"/>
                      <w:lang w:val="en-US" w:eastAsia="zh-CN"/>
                    </w:rPr>
                    <w:t>6.757</w:t>
                  </w:r>
                </w:p>
              </w:tc>
              <w:tc>
                <w:tcPr>
                  <w:tcW w:w="469" w:type="pct"/>
                  <w:shd w:val="clear" w:color="auto" w:fill="auto"/>
                  <w:vAlign w:val="center"/>
                </w:tcPr>
                <w:p w14:paraId="2A9862BA">
                  <w:pPr>
                    <w:keepNext w:val="0"/>
                    <w:keepLines w:val="0"/>
                    <w:suppressLineNumbers w:val="0"/>
                    <w:tabs>
                      <w:tab w:val="left" w:pos="4830"/>
                    </w:tabs>
                    <w:spacing w:before="0" w:beforeAutospacing="0" w:after="0" w:afterAutospacing="0"/>
                    <w:ind w:left="0" w:leftChars="0" w:right="0" w:rightChars="0"/>
                    <w:jc w:val="center"/>
                    <w:rPr>
                      <w:rFonts w:hint="default" w:ascii="Times New Roman" w:hAnsi="Times New Roman" w:eastAsia="宋体" w:cs="Times New Roman"/>
                      <w:color w:val="0000E1"/>
                      <w:kern w:val="0"/>
                      <w:sz w:val="21"/>
                      <w:szCs w:val="21"/>
                      <w:lang w:val="en-US" w:eastAsia="zh-CN" w:bidi="ar-SA"/>
                    </w:rPr>
                  </w:pPr>
                  <w:r>
                    <w:rPr>
                      <w:rFonts w:hint="eastAsia" w:ascii="Times New Roman" w:hAnsi="Times New Roman" w:eastAsia="宋体" w:cs="Times New Roman"/>
                      <w:color w:val="0000E1"/>
                      <w:kern w:val="0"/>
                      <w:szCs w:val="21"/>
                      <w:lang w:val="en-US" w:eastAsia="zh-CN"/>
                    </w:rPr>
                    <w:t>0.609</w:t>
                  </w:r>
                </w:p>
              </w:tc>
              <w:tc>
                <w:tcPr>
                  <w:tcW w:w="418" w:type="pct"/>
                  <w:vAlign w:val="center"/>
                </w:tcPr>
                <w:p w14:paraId="33103271">
                  <w:pPr>
                    <w:keepNext w:val="0"/>
                    <w:keepLines w:val="0"/>
                    <w:suppressLineNumbers w:val="0"/>
                    <w:tabs>
                      <w:tab w:val="left" w:pos="4830"/>
                    </w:tabs>
                    <w:spacing w:before="0" w:beforeAutospacing="0" w:after="0" w:afterAutospacing="0"/>
                    <w:ind w:left="0" w:leftChars="0" w:right="0" w:rightChars="0"/>
                    <w:jc w:val="center"/>
                    <w:rPr>
                      <w:rFonts w:hint="default" w:ascii="Times New Roman" w:hAnsi="Times New Roman" w:eastAsia="宋体" w:cs="Times New Roman"/>
                      <w:color w:val="0000E1"/>
                      <w:kern w:val="0"/>
                      <w:szCs w:val="21"/>
                    </w:rPr>
                  </w:pPr>
                  <w:r>
                    <w:rPr>
                      <w:rFonts w:hint="eastAsia" w:ascii="Times New Roman" w:hAnsi="Times New Roman" w:eastAsia="宋体" w:cs="Times New Roman"/>
                      <w:color w:val="0000E1"/>
                      <w:kern w:val="0"/>
                      <w:szCs w:val="21"/>
                      <w:lang w:val="en-US" w:eastAsia="zh-CN"/>
                    </w:rPr>
                    <w:t>+0.609</w:t>
                  </w:r>
                </w:p>
              </w:tc>
              <w:tc>
                <w:tcPr>
                  <w:tcW w:w="418" w:type="pct"/>
                  <w:vAlign w:val="center"/>
                </w:tcPr>
                <w:p w14:paraId="0F6BEDB9">
                  <w:pPr>
                    <w:keepNext w:val="0"/>
                    <w:keepLines w:val="0"/>
                    <w:suppressLineNumbers w:val="0"/>
                    <w:tabs>
                      <w:tab w:val="left" w:pos="4830"/>
                    </w:tabs>
                    <w:spacing w:before="0" w:beforeAutospacing="0" w:after="0" w:afterAutospacing="0"/>
                    <w:ind w:left="0" w:right="0"/>
                    <w:jc w:val="center"/>
                    <w:rPr>
                      <w:rFonts w:hint="default" w:ascii="Times New Roman" w:hAnsi="Times New Roman" w:eastAsia="宋体" w:cs="Times New Roman"/>
                      <w:color w:val="0000E1"/>
                      <w:kern w:val="0"/>
                      <w:szCs w:val="21"/>
                      <w:lang w:val="en-US" w:eastAsia="zh-CN"/>
                    </w:rPr>
                  </w:pPr>
                  <w:r>
                    <w:rPr>
                      <w:rFonts w:hint="eastAsia" w:ascii="Times New Roman" w:hAnsi="Times New Roman" w:eastAsia="宋体" w:cs="Times New Roman"/>
                      <w:color w:val="0000E1"/>
                      <w:kern w:val="0"/>
                      <w:szCs w:val="21"/>
                      <w:lang w:val="en-US" w:eastAsia="zh-CN"/>
                    </w:rPr>
                    <w:t>1.218（1:2）</w:t>
                  </w:r>
                </w:p>
              </w:tc>
            </w:tr>
            <w:tr w14:paraId="573DA4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97" w:hRule="atLeast"/>
                <w:jc w:val="center"/>
              </w:trPr>
              <w:tc>
                <w:tcPr>
                  <w:tcW w:w="174" w:type="pct"/>
                  <w:vMerge w:val="continue"/>
                  <w:vAlign w:val="center"/>
                </w:tcPr>
                <w:p w14:paraId="170A0B70">
                  <w:pPr>
                    <w:keepNext w:val="0"/>
                    <w:keepLines w:val="0"/>
                    <w:suppressLineNumbers w:val="0"/>
                    <w:tabs>
                      <w:tab w:val="left" w:pos="4830"/>
                    </w:tabs>
                    <w:spacing w:before="0" w:beforeAutospacing="0" w:after="0" w:afterAutospacing="0"/>
                    <w:ind w:left="0" w:right="0"/>
                    <w:jc w:val="center"/>
                    <w:rPr>
                      <w:rFonts w:hint="default" w:ascii="Times New Roman" w:hAnsi="Times New Roman" w:eastAsia="宋体" w:cs="Times New Roman"/>
                      <w:color w:val="auto"/>
                      <w:szCs w:val="21"/>
                    </w:rPr>
                  </w:pPr>
                </w:p>
              </w:tc>
              <w:tc>
                <w:tcPr>
                  <w:tcW w:w="580" w:type="pct"/>
                  <w:vAlign w:val="center"/>
                </w:tcPr>
                <w:p w14:paraId="77657C0F">
                  <w:pPr>
                    <w:keepNext w:val="0"/>
                    <w:keepLines w:val="0"/>
                    <w:suppressLineNumbers w:val="0"/>
                    <w:tabs>
                      <w:tab w:val="left" w:pos="4830"/>
                    </w:tabs>
                    <w:spacing w:before="0" w:beforeAutospacing="0" w:after="0" w:afterAutospacing="0"/>
                    <w:ind w:left="0" w:right="0"/>
                    <w:jc w:val="center"/>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rPr>
                    <w:t>挥发性有机物</w:t>
                  </w:r>
                </w:p>
              </w:tc>
              <w:tc>
                <w:tcPr>
                  <w:tcW w:w="518" w:type="pct"/>
                  <w:vAlign w:val="center"/>
                </w:tcPr>
                <w:p w14:paraId="0B554A62">
                  <w:pPr>
                    <w:keepNext w:val="0"/>
                    <w:keepLines w:val="0"/>
                    <w:suppressLineNumbers w:val="0"/>
                    <w:spacing w:before="0" w:beforeAutospacing="0" w:after="0" w:afterAutospacing="0" w:line="240" w:lineRule="auto"/>
                    <w:ind w:left="0" w:right="0"/>
                    <w:jc w:val="center"/>
                    <w:rPr>
                      <w:rFonts w:hint="default" w:ascii="Times New Roman" w:hAnsi="Times New Roman" w:eastAsia="宋体" w:cs="Times New Roman"/>
                      <w:color w:val="0000E1"/>
                      <w:kern w:val="0"/>
                      <w:szCs w:val="21"/>
                      <w:lang w:val="en-US"/>
                    </w:rPr>
                  </w:pPr>
                  <w:r>
                    <w:rPr>
                      <w:rFonts w:hint="eastAsia" w:ascii="Times New Roman" w:hAnsi="Times New Roman" w:eastAsia="宋体" w:cs="Times New Roman"/>
                      <w:b w:val="0"/>
                      <w:bCs w:val="0"/>
                      <w:color w:val="0000E1"/>
                      <w:sz w:val="21"/>
                      <w:szCs w:val="21"/>
                      <w:lang w:val="en-US" w:eastAsia="zh-CN"/>
                    </w:rPr>
                    <w:t>1.231</w:t>
                  </w:r>
                </w:p>
              </w:tc>
              <w:tc>
                <w:tcPr>
                  <w:tcW w:w="401" w:type="pct"/>
                  <w:vAlign w:val="center"/>
                </w:tcPr>
                <w:p w14:paraId="621339B0">
                  <w:pPr>
                    <w:keepNext w:val="0"/>
                    <w:keepLines w:val="0"/>
                    <w:suppressLineNumbers w:val="0"/>
                    <w:tabs>
                      <w:tab w:val="left" w:pos="4830"/>
                    </w:tabs>
                    <w:spacing w:before="0" w:beforeAutospacing="0" w:after="0" w:afterAutospacing="0"/>
                    <w:ind w:left="0" w:right="0"/>
                    <w:jc w:val="center"/>
                    <w:rPr>
                      <w:rFonts w:hint="default" w:ascii="Times New Roman" w:hAnsi="Times New Roman" w:eastAsia="宋体" w:cs="Times New Roman"/>
                      <w:color w:val="0000E1"/>
                      <w:kern w:val="0"/>
                      <w:szCs w:val="21"/>
                      <w:lang w:val="en-US" w:eastAsia="zh-CN"/>
                    </w:rPr>
                  </w:pPr>
                  <w:r>
                    <w:rPr>
                      <w:rFonts w:hint="eastAsia" w:ascii="Times New Roman" w:hAnsi="Times New Roman" w:eastAsia="宋体" w:cs="Times New Roman"/>
                      <w:color w:val="0000E1"/>
                      <w:kern w:val="0"/>
                      <w:szCs w:val="21"/>
                      <w:lang w:val="en-US" w:eastAsia="zh-CN"/>
                    </w:rPr>
                    <w:t>2.847</w:t>
                  </w:r>
                </w:p>
              </w:tc>
              <w:tc>
                <w:tcPr>
                  <w:tcW w:w="412" w:type="pct"/>
                  <w:vAlign w:val="center"/>
                </w:tcPr>
                <w:p w14:paraId="1698F599">
                  <w:pPr>
                    <w:keepNext w:val="0"/>
                    <w:keepLines w:val="0"/>
                    <w:suppressLineNumbers w:val="0"/>
                    <w:tabs>
                      <w:tab w:val="left" w:pos="4830"/>
                    </w:tabs>
                    <w:spacing w:before="0" w:beforeAutospacing="0" w:after="0" w:afterAutospacing="0"/>
                    <w:ind w:left="0" w:right="0"/>
                    <w:jc w:val="center"/>
                    <w:rPr>
                      <w:rFonts w:hint="default" w:ascii="Times New Roman" w:hAnsi="Times New Roman" w:eastAsia="宋体" w:cs="Times New Roman"/>
                      <w:color w:val="0000E1"/>
                      <w:kern w:val="0"/>
                      <w:szCs w:val="21"/>
                      <w:lang w:val="en-US" w:eastAsia="zh-CN"/>
                    </w:rPr>
                  </w:pPr>
                  <w:r>
                    <w:rPr>
                      <w:rFonts w:hint="eastAsia" w:ascii="Times New Roman" w:hAnsi="Times New Roman" w:eastAsia="宋体" w:cs="Times New Roman"/>
                      <w:color w:val="0000E1"/>
                      <w:kern w:val="0"/>
                      <w:szCs w:val="21"/>
                      <w:lang w:val="en-US" w:eastAsia="zh-CN"/>
                    </w:rPr>
                    <w:t>2.141</w:t>
                  </w:r>
                </w:p>
              </w:tc>
              <w:tc>
                <w:tcPr>
                  <w:tcW w:w="587" w:type="pct"/>
                  <w:vAlign w:val="center"/>
                </w:tcPr>
                <w:p w14:paraId="0512AE33">
                  <w:pPr>
                    <w:keepNext w:val="0"/>
                    <w:keepLines w:val="0"/>
                    <w:suppressLineNumbers w:val="0"/>
                    <w:tabs>
                      <w:tab w:val="left" w:pos="4830"/>
                    </w:tabs>
                    <w:spacing w:before="0" w:beforeAutospacing="0" w:after="0" w:afterAutospacing="0"/>
                    <w:ind w:left="0" w:right="0"/>
                    <w:jc w:val="center"/>
                    <w:rPr>
                      <w:rFonts w:hint="default" w:ascii="Times New Roman" w:hAnsi="Times New Roman" w:eastAsia="宋体" w:cs="Times New Roman"/>
                      <w:color w:val="0000E1"/>
                      <w:kern w:val="0"/>
                      <w:szCs w:val="21"/>
                      <w:lang w:val="en-US" w:eastAsia="zh-CN"/>
                    </w:rPr>
                  </w:pPr>
                  <w:r>
                    <w:rPr>
                      <w:rFonts w:hint="eastAsia" w:ascii="Times New Roman" w:hAnsi="Times New Roman" w:eastAsia="宋体" w:cs="Times New Roman"/>
                      <w:color w:val="0000E1"/>
                      <w:kern w:val="0"/>
                      <w:szCs w:val="21"/>
                      <w:lang w:val="en-US" w:eastAsia="zh-CN"/>
                    </w:rPr>
                    <w:t>0.706</w:t>
                  </w:r>
                </w:p>
              </w:tc>
              <w:tc>
                <w:tcPr>
                  <w:tcW w:w="530" w:type="pct"/>
                  <w:vAlign w:val="center"/>
                </w:tcPr>
                <w:p w14:paraId="38B1962C">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0000E1"/>
                      <w:szCs w:val="21"/>
                      <w:highlight w:val="yellow"/>
                    </w:rPr>
                  </w:pPr>
                  <w:r>
                    <w:rPr>
                      <w:rFonts w:hint="eastAsia" w:ascii="Times New Roman" w:hAnsi="Times New Roman" w:eastAsia="宋体" w:cs="Times New Roman"/>
                      <w:color w:val="0000E1"/>
                      <w:kern w:val="0"/>
                      <w:szCs w:val="21"/>
                      <w:lang w:val="en-US" w:eastAsia="zh-CN"/>
                    </w:rPr>
                    <w:t>0</w:t>
                  </w:r>
                </w:p>
              </w:tc>
              <w:tc>
                <w:tcPr>
                  <w:tcW w:w="489" w:type="pct"/>
                  <w:vAlign w:val="center"/>
                </w:tcPr>
                <w:p w14:paraId="0FDADFF1">
                  <w:pPr>
                    <w:keepNext w:val="0"/>
                    <w:keepLines w:val="0"/>
                    <w:suppressLineNumbers w:val="0"/>
                    <w:tabs>
                      <w:tab w:val="left" w:pos="4830"/>
                    </w:tabs>
                    <w:spacing w:before="0" w:beforeAutospacing="0" w:after="0" w:afterAutospacing="0"/>
                    <w:ind w:left="0" w:right="0"/>
                    <w:jc w:val="center"/>
                    <w:rPr>
                      <w:rFonts w:hint="default" w:ascii="Times New Roman" w:hAnsi="Times New Roman" w:eastAsia="宋体" w:cs="Times New Roman"/>
                      <w:color w:val="0000E1"/>
                      <w:szCs w:val="21"/>
                      <w:lang w:val="en-US" w:eastAsia="zh-CN"/>
                    </w:rPr>
                  </w:pPr>
                  <w:r>
                    <w:rPr>
                      <w:rFonts w:hint="eastAsia" w:ascii="Times New Roman" w:hAnsi="Times New Roman" w:eastAsia="宋体" w:cs="Times New Roman"/>
                      <w:color w:val="0000E1"/>
                      <w:szCs w:val="21"/>
                      <w:lang w:val="en-US" w:eastAsia="zh-CN"/>
                    </w:rPr>
                    <w:t>1.937</w:t>
                  </w:r>
                </w:p>
              </w:tc>
              <w:tc>
                <w:tcPr>
                  <w:tcW w:w="469" w:type="pct"/>
                  <w:shd w:val="clear" w:color="auto" w:fill="auto"/>
                  <w:vAlign w:val="center"/>
                </w:tcPr>
                <w:p w14:paraId="5ACDDEBD">
                  <w:pPr>
                    <w:keepNext w:val="0"/>
                    <w:keepLines w:val="0"/>
                    <w:suppressLineNumbers w:val="0"/>
                    <w:tabs>
                      <w:tab w:val="left" w:pos="4830"/>
                    </w:tabs>
                    <w:spacing w:before="0" w:beforeAutospacing="0" w:after="0" w:afterAutospacing="0"/>
                    <w:ind w:left="0" w:leftChars="0" w:right="0" w:rightChars="0"/>
                    <w:jc w:val="center"/>
                    <w:rPr>
                      <w:rFonts w:hint="default" w:ascii="Times New Roman" w:hAnsi="Times New Roman" w:eastAsia="宋体" w:cs="Times New Roman"/>
                      <w:color w:val="0000E1"/>
                      <w:kern w:val="0"/>
                      <w:sz w:val="21"/>
                      <w:szCs w:val="21"/>
                      <w:lang w:val="en-US" w:eastAsia="zh-CN" w:bidi="ar-SA"/>
                    </w:rPr>
                  </w:pPr>
                  <w:r>
                    <w:rPr>
                      <w:rFonts w:hint="eastAsia" w:ascii="Times New Roman" w:hAnsi="Times New Roman" w:eastAsia="宋体" w:cs="Times New Roman"/>
                      <w:color w:val="0000E1"/>
                      <w:kern w:val="0"/>
                      <w:szCs w:val="21"/>
                      <w:lang w:val="en-US" w:eastAsia="zh-CN"/>
                    </w:rPr>
                    <w:t>0.706</w:t>
                  </w:r>
                </w:p>
              </w:tc>
              <w:tc>
                <w:tcPr>
                  <w:tcW w:w="418" w:type="pct"/>
                  <w:vAlign w:val="center"/>
                </w:tcPr>
                <w:p w14:paraId="26E6EFB9">
                  <w:pPr>
                    <w:keepNext w:val="0"/>
                    <w:keepLines w:val="0"/>
                    <w:suppressLineNumbers w:val="0"/>
                    <w:tabs>
                      <w:tab w:val="left" w:pos="4830"/>
                    </w:tabs>
                    <w:spacing w:before="0" w:beforeAutospacing="0" w:after="0" w:afterAutospacing="0"/>
                    <w:ind w:left="0" w:leftChars="0" w:right="0" w:rightChars="0"/>
                    <w:jc w:val="center"/>
                    <w:rPr>
                      <w:rFonts w:hint="default" w:ascii="Times New Roman" w:hAnsi="Times New Roman" w:eastAsia="宋体" w:cs="Times New Roman"/>
                      <w:color w:val="0000E1"/>
                      <w:kern w:val="0"/>
                      <w:szCs w:val="21"/>
                    </w:rPr>
                  </w:pPr>
                  <w:r>
                    <w:rPr>
                      <w:rFonts w:hint="eastAsia" w:ascii="Times New Roman" w:hAnsi="Times New Roman" w:eastAsia="宋体" w:cs="Times New Roman"/>
                      <w:color w:val="0000E1"/>
                      <w:kern w:val="0"/>
                      <w:szCs w:val="21"/>
                      <w:lang w:val="en-US" w:eastAsia="zh-CN"/>
                    </w:rPr>
                    <w:t>+0.706</w:t>
                  </w:r>
                </w:p>
              </w:tc>
              <w:tc>
                <w:tcPr>
                  <w:tcW w:w="418" w:type="pct"/>
                  <w:vAlign w:val="center"/>
                </w:tcPr>
                <w:p w14:paraId="048757BD">
                  <w:pPr>
                    <w:keepNext w:val="0"/>
                    <w:keepLines w:val="0"/>
                    <w:suppressLineNumbers w:val="0"/>
                    <w:tabs>
                      <w:tab w:val="left" w:pos="4830"/>
                    </w:tabs>
                    <w:spacing w:before="0" w:beforeAutospacing="0" w:after="0" w:afterAutospacing="0"/>
                    <w:ind w:left="0" w:right="0"/>
                    <w:jc w:val="center"/>
                    <w:rPr>
                      <w:rFonts w:hint="default" w:ascii="Times New Roman" w:hAnsi="Times New Roman" w:eastAsia="宋体" w:cs="Times New Roman"/>
                      <w:color w:val="0000E1"/>
                      <w:szCs w:val="21"/>
                      <w:lang w:val="en-US" w:eastAsia="zh-CN"/>
                    </w:rPr>
                  </w:pPr>
                  <w:r>
                    <w:rPr>
                      <w:rFonts w:hint="eastAsia" w:ascii="Times New Roman" w:hAnsi="Times New Roman" w:eastAsia="宋体" w:cs="Times New Roman"/>
                      <w:color w:val="0000E1"/>
                      <w:szCs w:val="21"/>
                      <w:lang w:val="en-US" w:eastAsia="zh-CN"/>
                    </w:rPr>
                    <w:t>1.412（1:2）</w:t>
                  </w:r>
                </w:p>
              </w:tc>
            </w:tr>
          </w:tbl>
          <w:p w14:paraId="34CB6CD6">
            <w:pPr>
              <w:keepNext w:val="0"/>
              <w:keepLines w:val="0"/>
              <w:suppressLineNumbers w:val="0"/>
              <w:spacing w:before="0" w:beforeAutospacing="0" w:after="0" w:afterAutospacing="0" w:line="360" w:lineRule="auto"/>
              <w:ind w:left="0" w:right="0" w:firstLine="480" w:firstLineChars="200"/>
              <w:rPr>
                <w:rFonts w:hint="eastAsia" w:ascii="Times New Roman" w:hAnsi="Times New Roman" w:eastAsia="宋体" w:cs="Times New Roman"/>
                <w:color w:val="auto"/>
                <w:sz w:val="24"/>
              </w:rPr>
            </w:pPr>
            <w:r>
              <w:rPr>
                <w:rFonts w:hint="eastAsia" w:ascii="Times New Roman" w:hAnsi="Times New Roman" w:eastAsia="宋体" w:cs="Times New Roman"/>
                <w:color w:val="auto"/>
                <w:sz w:val="24"/>
                <w:lang w:val="en-US" w:eastAsia="zh-CN"/>
              </w:rPr>
              <w:t>本项目营运期不排放生产废水，仅经出租方化粪池处理后排入周边市政污水管网，由市政污水管网纳入安吉清源污水处理有限公司处理，生活污水无需替代削减，因此本项目产生的COD</w:t>
            </w:r>
            <w:r>
              <w:rPr>
                <w:rFonts w:hint="eastAsia" w:ascii="Times New Roman" w:hAnsi="Times New Roman" w:eastAsia="宋体" w:cs="Times New Roman"/>
                <w:color w:val="auto"/>
                <w:sz w:val="24"/>
                <w:vertAlign w:val="subscript"/>
                <w:lang w:val="en-US" w:eastAsia="zh-CN"/>
              </w:rPr>
              <w:t>Cr</w:t>
            </w:r>
            <w:r>
              <w:rPr>
                <w:rFonts w:hint="eastAsia" w:ascii="Times New Roman" w:hAnsi="Times New Roman" w:eastAsia="宋体" w:cs="Times New Roman"/>
                <w:color w:val="auto"/>
                <w:sz w:val="24"/>
                <w:lang w:val="en-US" w:eastAsia="zh-CN"/>
              </w:rPr>
              <w:t>和NH</w:t>
            </w:r>
            <w:r>
              <w:rPr>
                <w:rFonts w:hint="eastAsia" w:ascii="Times New Roman" w:hAnsi="Times New Roman" w:eastAsia="宋体" w:cs="Times New Roman"/>
                <w:color w:val="auto"/>
                <w:sz w:val="24"/>
                <w:vertAlign w:val="subscript"/>
                <w:lang w:val="en-US" w:eastAsia="zh-CN"/>
              </w:rPr>
              <w:t>3</w:t>
            </w:r>
            <w:r>
              <w:rPr>
                <w:rFonts w:hint="eastAsia" w:ascii="Times New Roman" w:hAnsi="Times New Roman" w:eastAsia="宋体" w:cs="Times New Roman"/>
                <w:color w:val="auto"/>
                <w:sz w:val="24"/>
                <w:lang w:val="en-US" w:eastAsia="zh-CN"/>
              </w:rPr>
              <w:t xml:space="preserve">-N无需进行区域平衡替代削减。 </w:t>
            </w:r>
          </w:p>
          <w:p w14:paraId="6E273454">
            <w:pPr>
              <w:keepNext w:val="0"/>
              <w:keepLines w:val="0"/>
              <w:suppressLineNumbers w:val="0"/>
              <w:spacing w:before="0" w:beforeAutospacing="0" w:after="0" w:afterAutospacing="0" w:line="360" w:lineRule="auto"/>
              <w:ind w:left="0" w:right="0" w:firstLine="480" w:firstLineChars="200"/>
              <w:rPr>
                <w:rFonts w:hint="eastAsia" w:ascii="Times New Roman" w:hAnsi="Times New Roman" w:eastAsia="宋体" w:cs="Times New Roman"/>
                <w:color w:val="auto"/>
                <w:sz w:val="24"/>
              </w:rPr>
            </w:pPr>
            <w:r>
              <w:rPr>
                <w:rFonts w:hint="eastAsia" w:ascii="Times New Roman" w:hAnsi="Times New Roman" w:eastAsia="宋体" w:cs="Times New Roman"/>
                <w:color w:val="auto"/>
                <w:sz w:val="24"/>
                <w:lang w:val="en-US" w:eastAsia="zh-CN"/>
              </w:rPr>
              <w:t>根据《湖州市生态环境局关于印发2026年湖州市建设项目主要大气污染物总量调剂指导意见的通知》（湖环函[2026]12号），项目所在区域为天子湖镇，新增大气污染物总量颗粒物、挥发性有机物按照1:2进行区域平衡替代削减，由当地生态环境部门予以区域平衡。</w:t>
            </w:r>
          </w:p>
          <w:p w14:paraId="4DFCCBCE">
            <w:pPr>
              <w:keepNext w:val="0"/>
              <w:keepLines w:val="0"/>
              <w:suppressLineNumbers w:val="0"/>
              <w:spacing w:before="0" w:beforeAutospacing="0" w:after="0" w:afterAutospacing="0" w:line="360" w:lineRule="auto"/>
              <w:ind w:left="0" w:right="0"/>
              <w:rPr>
                <w:rFonts w:hint="default" w:ascii="Times New Roman" w:hAnsi="Times New Roman" w:eastAsia="宋体" w:cs="Times New Roman"/>
                <w:color w:val="auto"/>
                <w:sz w:val="24"/>
              </w:rPr>
            </w:pPr>
          </w:p>
          <w:p w14:paraId="76238C47">
            <w:pPr>
              <w:keepNext w:val="0"/>
              <w:keepLines w:val="0"/>
              <w:suppressLineNumbers w:val="0"/>
              <w:spacing w:before="0" w:beforeAutospacing="0" w:after="0" w:afterAutospacing="0"/>
              <w:ind w:left="0" w:right="0"/>
              <w:rPr>
                <w:rFonts w:hint="default" w:ascii="Times New Roman" w:hAnsi="Times New Roman" w:eastAsia="宋体" w:cs="Times New Roman"/>
                <w:color w:val="auto"/>
                <w:szCs w:val="21"/>
              </w:rPr>
            </w:pPr>
          </w:p>
          <w:p w14:paraId="4CC975F4">
            <w:pPr>
              <w:keepNext w:val="0"/>
              <w:keepLines w:val="0"/>
              <w:suppressLineNumbers w:val="0"/>
              <w:spacing w:before="0" w:beforeAutospacing="0" w:after="0" w:afterAutospacing="0" w:line="360" w:lineRule="auto"/>
              <w:ind w:left="0" w:right="0"/>
              <w:rPr>
                <w:rFonts w:hint="default" w:ascii="Times New Roman" w:hAnsi="Times New Roman" w:eastAsia="宋体" w:cs="Times New Roman"/>
                <w:color w:val="auto"/>
                <w:sz w:val="24"/>
              </w:rPr>
            </w:pPr>
          </w:p>
          <w:p w14:paraId="67BEFCB6">
            <w:pPr>
              <w:keepNext w:val="0"/>
              <w:keepLines w:val="0"/>
              <w:suppressLineNumbers w:val="0"/>
              <w:spacing w:before="0" w:beforeAutospacing="0" w:after="0" w:afterAutospacing="0"/>
              <w:ind w:left="0" w:right="0"/>
              <w:rPr>
                <w:rFonts w:hint="default" w:ascii="Times New Roman" w:hAnsi="Times New Roman" w:eastAsia="宋体" w:cs="Times New Roman"/>
                <w:color w:val="auto"/>
                <w:szCs w:val="21"/>
              </w:rPr>
            </w:pPr>
          </w:p>
          <w:p w14:paraId="24F1C19D">
            <w:pPr>
              <w:keepNext w:val="0"/>
              <w:keepLines w:val="0"/>
              <w:suppressLineNumbers w:val="0"/>
              <w:spacing w:before="0" w:beforeAutospacing="0" w:after="0" w:afterAutospacing="0" w:line="360" w:lineRule="auto"/>
              <w:ind w:left="0" w:right="0"/>
              <w:rPr>
                <w:rFonts w:hint="default" w:ascii="Times New Roman" w:hAnsi="Times New Roman" w:eastAsia="宋体" w:cs="Times New Roman"/>
                <w:color w:val="auto"/>
                <w:sz w:val="24"/>
              </w:rPr>
            </w:pPr>
          </w:p>
          <w:p w14:paraId="699D624C">
            <w:pPr>
              <w:keepNext w:val="0"/>
              <w:keepLines w:val="0"/>
              <w:suppressLineNumbers w:val="0"/>
              <w:spacing w:before="0" w:beforeAutospacing="0" w:after="0" w:afterAutospacing="0"/>
              <w:ind w:left="0" w:right="0"/>
              <w:rPr>
                <w:rFonts w:hint="default" w:ascii="Times New Roman" w:hAnsi="Times New Roman" w:eastAsia="宋体" w:cs="Times New Roman"/>
                <w:color w:val="auto"/>
                <w:szCs w:val="21"/>
              </w:rPr>
            </w:pPr>
          </w:p>
          <w:p w14:paraId="55D0FBA3">
            <w:pPr>
              <w:keepNext w:val="0"/>
              <w:keepLines w:val="0"/>
              <w:suppressLineNumbers w:val="0"/>
              <w:spacing w:before="0" w:beforeAutospacing="0" w:after="0" w:afterAutospacing="0" w:line="360" w:lineRule="auto"/>
              <w:ind w:left="0" w:right="0"/>
              <w:rPr>
                <w:rFonts w:hint="default" w:ascii="Times New Roman" w:hAnsi="Times New Roman" w:eastAsia="宋体" w:cs="Times New Roman"/>
                <w:color w:val="auto"/>
                <w:sz w:val="24"/>
              </w:rPr>
            </w:pPr>
          </w:p>
          <w:p w14:paraId="4D5289FC">
            <w:pPr>
              <w:keepNext w:val="0"/>
              <w:keepLines w:val="0"/>
              <w:suppressLineNumbers w:val="0"/>
              <w:spacing w:before="0" w:beforeAutospacing="0" w:after="0" w:afterAutospacing="0"/>
              <w:ind w:left="0" w:right="0"/>
              <w:rPr>
                <w:rFonts w:hint="default" w:ascii="Times New Roman" w:hAnsi="Times New Roman" w:eastAsia="宋体" w:cs="Times New Roman"/>
                <w:color w:val="auto"/>
                <w:szCs w:val="21"/>
              </w:rPr>
            </w:pPr>
          </w:p>
          <w:p w14:paraId="7284665B">
            <w:pPr>
              <w:keepNext w:val="0"/>
              <w:keepLines w:val="0"/>
              <w:suppressLineNumbers w:val="0"/>
              <w:spacing w:before="0" w:beforeAutospacing="0" w:after="0" w:afterAutospacing="0" w:line="360" w:lineRule="auto"/>
              <w:ind w:left="0" w:right="0"/>
              <w:rPr>
                <w:rFonts w:hint="default" w:ascii="Times New Roman" w:hAnsi="Times New Roman" w:eastAsia="宋体" w:cs="Times New Roman"/>
                <w:color w:val="auto"/>
                <w:sz w:val="24"/>
              </w:rPr>
            </w:pPr>
          </w:p>
          <w:p w14:paraId="5C579AC8">
            <w:pPr>
              <w:keepNext w:val="0"/>
              <w:keepLines w:val="0"/>
              <w:suppressLineNumbers w:val="0"/>
              <w:spacing w:before="0" w:beforeAutospacing="0" w:after="0" w:afterAutospacing="0"/>
              <w:ind w:left="0" w:right="0"/>
              <w:rPr>
                <w:rFonts w:hint="default" w:ascii="Times New Roman" w:hAnsi="Times New Roman" w:eastAsia="宋体" w:cs="Times New Roman"/>
                <w:color w:val="auto"/>
                <w:szCs w:val="21"/>
              </w:rPr>
            </w:pPr>
          </w:p>
          <w:p w14:paraId="27D9CFE3">
            <w:pPr>
              <w:keepNext w:val="0"/>
              <w:keepLines w:val="0"/>
              <w:suppressLineNumbers w:val="0"/>
              <w:spacing w:before="0" w:beforeAutospacing="0" w:after="0" w:afterAutospacing="0" w:line="360" w:lineRule="auto"/>
              <w:ind w:left="0" w:right="0"/>
              <w:rPr>
                <w:rFonts w:hint="default" w:ascii="Times New Roman" w:hAnsi="Times New Roman" w:eastAsia="宋体" w:cs="Times New Roman"/>
                <w:color w:val="auto"/>
                <w:sz w:val="24"/>
              </w:rPr>
            </w:pPr>
          </w:p>
          <w:p w14:paraId="6A08FA26">
            <w:pPr>
              <w:keepNext w:val="0"/>
              <w:keepLines w:val="0"/>
              <w:suppressLineNumbers w:val="0"/>
              <w:spacing w:before="0" w:beforeAutospacing="0" w:after="0" w:afterAutospacing="0"/>
              <w:ind w:left="0" w:right="0"/>
              <w:rPr>
                <w:rFonts w:hint="default" w:ascii="Times New Roman" w:hAnsi="Times New Roman" w:eastAsia="宋体" w:cs="Times New Roman"/>
                <w:color w:val="auto"/>
                <w:szCs w:val="21"/>
              </w:rPr>
            </w:pPr>
          </w:p>
          <w:p w14:paraId="757176F7">
            <w:pPr>
              <w:keepNext w:val="0"/>
              <w:keepLines w:val="0"/>
              <w:suppressLineNumbers w:val="0"/>
              <w:spacing w:before="0" w:beforeAutospacing="0" w:after="0" w:afterAutospacing="0" w:line="360" w:lineRule="auto"/>
              <w:ind w:left="0" w:right="0"/>
              <w:rPr>
                <w:rFonts w:hint="default" w:ascii="Times New Roman" w:hAnsi="Times New Roman" w:eastAsia="宋体" w:cs="Times New Roman"/>
                <w:color w:val="auto"/>
                <w:sz w:val="24"/>
              </w:rPr>
            </w:pPr>
          </w:p>
          <w:p w14:paraId="1CEDE8E7">
            <w:pPr>
              <w:pStyle w:val="28"/>
              <w:keepNext w:val="0"/>
              <w:keepLines w:val="0"/>
              <w:suppressLineNumbers w:val="0"/>
              <w:spacing w:before="0" w:beforeAutospacing="0" w:after="0" w:afterAutospacing="0"/>
              <w:ind w:left="0" w:right="0" w:firstLine="0" w:firstLineChars="0"/>
              <w:rPr>
                <w:rFonts w:hint="default"/>
                <w:color w:val="auto"/>
              </w:rPr>
            </w:pPr>
          </w:p>
          <w:p w14:paraId="741790B2">
            <w:pPr>
              <w:pStyle w:val="28"/>
              <w:keepNext w:val="0"/>
              <w:keepLines w:val="0"/>
              <w:suppressLineNumbers w:val="0"/>
              <w:spacing w:before="0" w:beforeAutospacing="0" w:after="0" w:afterAutospacing="0"/>
              <w:ind w:left="0" w:right="0" w:firstLine="0" w:firstLineChars="0"/>
              <w:rPr>
                <w:rFonts w:hint="default"/>
                <w:color w:val="auto"/>
              </w:rPr>
            </w:pPr>
          </w:p>
        </w:tc>
      </w:tr>
    </w:tbl>
    <w:p w14:paraId="784DDC5B">
      <w:pPr>
        <w:rPr>
          <w:color w:val="auto"/>
        </w:rPr>
        <w:sectPr>
          <w:pgSz w:w="16838" w:h="11906" w:orient="landscape"/>
          <w:pgMar w:top="1417" w:right="1417" w:bottom="1417" w:left="1417" w:header="851" w:footer="992" w:gutter="0"/>
          <w:pgBorders>
            <w:top w:val="none" w:sz="0" w:space="0"/>
            <w:left w:val="none" w:sz="0" w:space="0"/>
            <w:bottom w:val="none" w:sz="0" w:space="0"/>
            <w:right w:val="none" w:sz="0" w:space="0"/>
          </w:pgBorders>
          <w:cols w:space="425" w:num="1"/>
          <w:docGrid w:type="lines" w:linePitch="312" w:charSpace="0"/>
        </w:sectPr>
      </w:pPr>
    </w:p>
    <w:p w14:paraId="5E0B8046">
      <w:pPr>
        <w:pStyle w:val="2"/>
        <w:rPr>
          <w:rFonts w:ascii="Times New Roman" w:hAnsi="Times New Roman" w:eastAsia="宋体" w:cs="Times New Roman"/>
          <w:color w:val="auto"/>
          <w:sz w:val="30"/>
          <w:szCs w:val="30"/>
        </w:rPr>
      </w:pPr>
      <w:bookmarkStart w:id="29" w:name="_Toc3628"/>
      <w:r>
        <w:rPr>
          <w:rFonts w:hint="eastAsia" w:ascii="Times New Roman" w:hAnsi="Times New Roman" w:eastAsia="宋体" w:cs="Times New Roman"/>
          <w:color w:val="auto"/>
          <w:sz w:val="30"/>
          <w:szCs w:val="30"/>
        </w:rPr>
        <w:t>四、主要环境影响和保护措施</w:t>
      </w:r>
      <w:bookmarkEnd w:id="29"/>
    </w:p>
    <w:tbl>
      <w:tblPr>
        <w:tblStyle w:val="23"/>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89"/>
        <w:gridCol w:w="8573"/>
      </w:tblGrid>
      <w:tr w14:paraId="473421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55" w:hRule="atLeast"/>
        </w:trPr>
        <w:tc>
          <w:tcPr>
            <w:tcW w:w="270" w:type="pct"/>
            <w:vAlign w:val="center"/>
          </w:tcPr>
          <w:p w14:paraId="7A44E8F3">
            <w:pPr>
              <w:keepNext w:val="0"/>
              <w:keepLines w:val="0"/>
              <w:suppressLineNumbers w:val="0"/>
              <w:spacing w:before="0" w:beforeAutospacing="0" w:after="0" w:afterAutospacing="0"/>
              <w:ind w:left="0" w:right="0"/>
              <w:jc w:val="center"/>
              <w:rPr>
                <w:rFonts w:hint="default" w:ascii="Times New Roman" w:hAnsi="Times New Roman" w:eastAsia="宋体" w:cs="Times New Roman"/>
                <w:b/>
                <w:bCs/>
                <w:color w:val="auto"/>
                <w:sz w:val="24"/>
              </w:rPr>
            </w:pPr>
            <w:r>
              <w:rPr>
                <w:rFonts w:hint="eastAsia" w:ascii="Times New Roman" w:hAnsi="Times New Roman" w:eastAsia="宋体" w:cs="Times New Roman"/>
                <w:b/>
                <w:bCs/>
                <w:color w:val="auto"/>
                <w:sz w:val="24"/>
              </w:rPr>
              <w:t>施工期环境影响和保护措施</w:t>
            </w:r>
          </w:p>
        </w:tc>
        <w:tc>
          <w:tcPr>
            <w:tcW w:w="4729" w:type="pct"/>
            <w:vAlign w:val="center"/>
          </w:tcPr>
          <w:p w14:paraId="40A9A538">
            <w:pPr>
              <w:keepNext w:val="0"/>
              <w:keepLines w:val="0"/>
              <w:suppressLineNumbers w:val="0"/>
              <w:spacing w:before="0" w:beforeAutospacing="0" w:after="0" w:afterAutospacing="0" w:line="360" w:lineRule="auto"/>
              <w:ind w:left="0" w:right="0" w:firstLine="480" w:firstLineChars="200"/>
              <w:rPr>
                <w:rFonts w:hint="default"/>
                <w:color w:val="auto"/>
              </w:rPr>
            </w:pPr>
            <w:r>
              <w:rPr>
                <w:rFonts w:hint="eastAsia" w:ascii="Times New Roman" w:hAnsi="Times New Roman" w:eastAsia="宋体" w:cs="Times New Roman"/>
                <w:color w:val="auto"/>
                <w:sz w:val="24"/>
              </w:rPr>
              <w:t>本项目租赁浙江吉珈科技有限公司闲置厂房组织生产，并不新建厂房，在完成设备安装，调试后即可投入生产，主要的施工期污染物有工人生活污水、装修产生的有机废气、废料和噪声等</w:t>
            </w:r>
            <w:r>
              <w:rPr>
                <w:rFonts w:hint="eastAsia" w:ascii="Times New Roman" w:hAnsi="Times New Roman" w:eastAsia="宋体" w:cs="Times New Roman"/>
                <w:color w:val="0000E1"/>
                <w:sz w:val="24"/>
              </w:rPr>
              <w:t>。施工期较短，</w:t>
            </w:r>
            <w:r>
              <w:rPr>
                <w:rFonts w:hint="eastAsia" w:ascii="Times New Roman" w:hAnsi="Times New Roman" w:eastAsia="宋体" w:cs="Times New Roman"/>
                <w:color w:val="auto"/>
                <w:sz w:val="24"/>
              </w:rPr>
              <w:t>施工人员生活污水经</w:t>
            </w:r>
            <w:r>
              <w:rPr>
                <w:rFonts w:hint="eastAsia" w:ascii="Times New Roman" w:hAnsi="Times New Roman" w:eastAsia="宋体" w:cs="Times New Roman"/>
                <w:color w:val="auto"/>
                <w:sz w:val="24"/>
                <w:lang w:val="en-US" w:eastAsia="zh-CN"/>
              </w:rPr>
              <w:t>出租方</w:t>
            </w:r>
            <w:r>
              <w:rPr>
                <w:rFonts w:hint="eastAsia" w:ascii="Times New Roman" w:hAnsi="Times New Roman" w:eastAsia="宋体" w:cs="Times New Roman"/>
                <w:color w:val="auto"/>
                <w:sz w:val="24"/>
              </w:rPr>
              <w:t>化粪池处理后排入周边市政污水管网，由市政污水管网纳入安吉清源污水处理有限公司处理；施工建筑垃圾运至指定的垃圾堆放场所；同时采取一定隔声、消声、减振等防治措施。</w:t>
            </w:r>
          </w:p>
        </w:tc>
      </w:tr>
      <w:tr w14:paraId="1AE4F5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70" w:type="pct"/>
            <w:vAlign w:val="center"/>
          </w:tcPr>
          <w:p w14:paraId="35F2078B">
            <w:pPr>
              <w:keepNext w:val="0"/>
              <w:keepLines w:val="0"/>
              <w:suppressLineNumbers w:val="0"/>
              <w:spacing w:before="0" w:beforeAutospacing="0" w:after="0" w:afterAutospacing="0"/>
              <w:ind w:left="0" w:right="0"/>
              <w:jc w:val="center"/>
              <w:rPr>
                <w:rFonts w:hint="default" w:ascii="Times New Roman" w:hAnsi="Times New Roman" w:eastAsia="宋体" w:cs="Times New Roman"/>
                <w:b/>
                <w:bCs/>
                <w:color w:val="auto"/>
                <w:sz w:val="24"/>
              </w:rPr>
            </w:pPr>
            <w:r>
              <w:rPr>
                <w:rFonts w:hint="eastAsia" w:ascii="Times New Roman" w:hAnsi="Times New Roman" w:eastAsia="宋体" w:cs="Times New Roman"/>
                <w:b/>
                <w:bCs/>
                <w:color w:val="auto"/>
                <w:sz w:val="24"/>
              </w:rPr>
              <w:t>运营期环境影响和保护施</w:t>
            </w:r>
          </w:p>
        </w:tc>
        <w:tc>
          <w:tcPr>
            <w:tcW w:w="4729" w:type="pct"/>
          </w:tcPr>
          <w:p w14:paraId="21182FE5">
            <w:pPr>
              <w:keepNext w:val="0"/>
              <w:keepLines w:val="0"/>
              <w:suppressLineNumbers w:val="0"/>
              <w:spacing w:before="0" w:beforeAutospacing="0" w:after="0" w:afterAutospacing="0" w:line="360" w:lineRule="auto"/>
              <w:ind w:left="0" w:right="0"/>
              <w:rPr>
                <w:rFonts w:hint="default" w:ascii="Times New Roman" w:hAnsi="Times New Roman" w:eastAsia="宋体" w:cs="Times New Roman"/>
                <w:b/>
                <w:bCs/>
                <w:color w:val="auto"/>
                <w:sz w:val="24"/>
              </w:rPr>
            </w:pPr>
            <w:r>
              <w:rPr>
                <w:rFonts w:hint="eastAsia" w:ascii="Times New Roman" w:hAnsi="Times New Roman" w:eastAsia="宋体" w:cs="Times New Roman"/>
                <w:b/>
                <w:bCs/>
                <w:color w:val="auto"/>
                <w:sz w:val="24"/>
              </w:rPr>
              <w:t>4.2.1废气</w:t>
            </w:r>
          </w:p>
          <w:p w14:paraId="37F23A36">
            <w:pPr>
              <w:keepNext w:val="0"/>
              <w:keepLines w:val="0"/>
              <w:suppressLineNumbers w:val="0"/>
              <w:spacing w:before="0" w:beforeAutospacing="0" w:after="0" w:afterAutospacing="0" w:line="360" w:lineRule="auto"/>
              <w:ind w:left="0" w:right="0"/>
              <w:rPr>
                <w:rFonts w:hint="default" w:ascii="Times New Roman" w:hAnsi="Times New Roman" w:eastAsia="宋体" w:cs="Times New Roman"/>
                <w:b/>
                <w:bCs/>
                <w:color w:val="auto"/>
                <w:sz w:val="24"/>
              </w:rPr>
            </w:pPr>
            <w:r>
              <w:rPr>
                <w:rFonts w:hint="eastAsia" w:ascii="Times New Roman" w:hAnsi="Times New Roman" w:eastAsia="宋体" w:cs="Times New Roman"/>
                <w:b/>
                <w:bCs/>
                <w:color w:val="auto"/>
                <w:sz w:val="24"/>
              </w:rPr>
              <w:t>4.2.1.1源强分析</w:t>
            </w:r>
          </w:p>
          <w:p w14:paraId="62AFF12C">
            <w:pPr>
              <w:keepNext w:val="0"/>
              <w:keepLines w:val="0"/>
              <w:suppressLineNumbers w:val="0"/>
              <w:spacing w:before="0" w:beforeAutospacing="0" w:after="0" w:afterAutospacing="0" w:line="360" w:lineRule="auto"/>
              <w:ind w:left="0" w:right="0" w:firstLine="482" w:firstLineChars="200"/>
              <w:rPr>
                <w:rFonts w:hint="eastAsia" w:ascii="Times New Roman" w:hAnsi="Times New Roman" w:eastAsia="宋体" w:cs="Times New Roman"/>
                <w:b/>
                <w:bCs/>
                <w:color w:val="auto"/>
                <w:sz w:val="24"/>
                <w:lang w:eastAsia="zh-CN"/>
              </w:rPr>
            </w:pPr>
            <w:r>
              <w:rPr>
                <w:rFonts w:hint="eastAsia" w:ascii="Times New Roman" w:hAnsi="Times New Roman" w:eastAsia="宋体" w:cs="Times New Roman"/>
                <w:b/>
                <w:bCs/>
                <w:color w:val="auto"/>
                <w:sz w:val="24"/>
              </w:rPr>
              <w:t>（1）固化废气</w:t>
            </w:r>
          </w:p>
          <w:p w14:paraId="433CF12E">
            <w:pPr>
              <w:keepNext w:val="0"/>
              <w:keepLines w:val="0"/>
              <w:suppressLineNumbers w:val="0"/>
              <w:spacing w:before="0" w:beforeAutospacing="0" w:after="0" w:afterAutospacing="0" w:line="360" w:lineRule="auto"/>
              <w:ind w:left="0" w:right="0" w:firstLine="480" w:firstLineChars="200"/>
              <w:rPr>
                <w:rFonts w:hint="eastAsia" w:ascii="Times New Roman" w:hAnsi="Times New Roman" w:eastAsia="宋体" w:cs="Times New Roman"/>
                <w:color w:val="auto"/>
                <w:sz w:val="24"/>
                <w:highlight w:val="none"/>
                <w:lang w:val="en-US" w:eastAsia="zh-CN"/>
              </w:rPr>
            </w:pPr>
            <w:r>
              <w:rPr>
                <w:rFonts w:hint="eastAsia" w:ascii="Times New Roman" w:hAnsi="Times New Roman" w:eastAsia="宋体" w:cs="Times New Roman"/>
                <w:color w:val="auto"/>
                <w:sz w:val="24"/>
              </w:rPr>
              <w:t>本项目企业提供的</w:t>
            </w:r>
            <w:r>
              <w:rPr>
                <w:rFonts w:hint="eastAsia" w:ascii="Times New Roman" w:hAnsi="Times New Roman" w:eastAsia="宋体" w:cs="Times New Roman"/>
                <w:color w:val="auto"/>
                <w:sz w:val="24"/>
                <w:lang w:val="en-US" w:eastAsia="zh-CN"/>
              </w:rPr>
              <w:t>陶瓷基料混合物</w:t>
            </w:r>
            <w:r>
              <w:rPr>
                <w:rFonts w:hint="eastAsia" w:ascii="Times New Roman" w:hAnsi="Times New Roman" w:eastAsia="宋体" w:cs="Times New Roman"/>
                <w:color w:val="auto"/>
                <w:sz w:val="24"/>
              </w:rPr>
              <w:t>MSDS可知，其主要成分</w:t>
            </w:r>
            <w:r>
              <w:rPr>
                <w:rFonts w:hint="eastAsia" w:ascii="Times New Roman" w:hAnsi="Times New Roman" w:eastAsia="宋体" w:cs="Times New Roman"/>
                <w:color w:val="auto"/>
                <w:sz w:val="24"/>
                <w:lang w:val="en-US" w:eastAsia="zh-CN"/>
              </w:rPr>
              <w:t>为聚二甲基硅氧烷5-8%、端乙烯基聚二甲基硅氧烷25-30%、聚甲基氢硅氧烷2-5%、云母粉10-15%、氢氧化铝35-45%，</w:t>
            </w:r>
            <w:r>
              <w:rPr>
                <w:rFonts w:hint="eastAsia" w:ascii="Times New Roman" w:hAnsi="Times New Roman" w:eastAsia="宋体" w:cs="Times New Roman"/>
                <w:color w:val="auto"/>
                <w:sz w:val="24"/>
              </w:rPr>
              <w:t>均为高沸点物</w:t>
            </w:r>
            <w:r>
              <w:rPr>
                <w:rFonts w:hint="eastAsia" w:ascii="Times New Roman" w:hAnsi="Times New Roman" w:eastAsia="宋体" w:cs="Times New Roman"/>
                <w:color w:val="auto"/>
                <w:sz w:val="24"/>
                <w:highlight w:val="none"/>
              </w:rPr>
              <w:t>质，常温挥发量极低，故本次仅考虑</w:t>
            </w:r>
            <w:r>
              <w:rPr>
                <w:rFonts w:hint="eastAsia" w:ascii="Times New Roman" w:hAnsi="Times New Roman" w:eastAsia="宋体" w:cs="Times New Roman"/>
                <w:color w:val="auto"/>
                <w:sz w:val="24"/>
                <w:highlight w:val="none"/>
                <w:lang w:val="en-US" w:eastAsia="zh-CN"/>
              </w:rPr>
              <w:t>烘烤</w:t>
            </w:r>
            <w:r>
              <w:rPr>
                <w:rFonts w:hint="eastAsia" w:ascii="Times New Roman" w:hAnsi="Times New Roman" w:eastAsia="宋体" w:cs="Times New Roman"/>
                <w:color w:val="auto"/>
                <w:sz w:val="24"/>
                <w:highlight w:val="none"/>
              </w:rPr>
              <w:t>固化过程中的挥发，以非甲烷总烃表征。</w:t>
            </w:r>
            <w:r>
              <w:rPr>
                <w:rFonts w:hint="eastAsia" w:ascii="Times New Roman" w:hAnsi="Times New Roman" w:eastAsia="宋体" w:cs="Times New Roman"/>
                <w:color w:val="auto"/>
                <w:sz w:val="24"/>
                <w:highlight w:val="none"/>
                <w:lang w:val="en-US" w:eastAsia="zh-CN"/>
              </w:rPr>
              <w:t>根据《浙江省重点行业VOCs污染排放源排放量计算方法（1.1版）》表1-7中的塑料布、膜、袋制造工序，非甲烷总烃排放系数为0.220kg/t原料，项目复合隔膜需使用</w:t>
            </w:r>
            <w:r>
              <w:rPr>
                <w:rFonts w:hint="eastAsia" w:ascii="Times New Roman" w:hAnsi="Times New Roman" w:eastAsia="宋体" w:cs="Times New Roman"/>
                <w:color w:val="0000E1"/>
                <w:sz w:val="24"/>
                <w:highlight w:val="none"/>
                <w:lang w:val="en-US" w:eastAsia="zh-CN"/>
              </w:rPr>
              <w:t>11771.25</w:t>
            </w:r>
            <w:r>
              <w:rPr>
                <w:rFonts w:hint="eastAsia" w:ascii="Times New Roman" w:hAnsi="Times New Roman" w:eastAsia="宋体" w:cs="Times New Roman"/>
                <w:color w:val="auto"/>
                <w:sz w:val="24"/>
                <w:highlight w:val="none"/>
                <w:lang w:val="en-US" w:eastAsia="zh-CN"/>
              </w:rPr>
              <w:t>t/a的陶瓷基料混合物（另有183t/a用于纳米隔热板辅料成型工序），则非甲烷总烃产生量约</w:t>
            </w:r>
            <w:r>
              <w:rPr>
                <w:rFonts w:hint="eastAsia" w:ascii="Times New Roman" w:hAnsi="Times New Roman" w:eastAsia="宋体" w:cs="Times New Roman"/>
                <w:color w:val="0000E1"/>
                <w:sz w:val="24"/>
                <w:highlight w:val="none"/>
                <w:lang w:val="en-US" w:eastAsia="zh-CN"/>
              </w:rPr>
              <w:t>11771.25</w:t>
            </w:r>
            <w:r>
              <w:rPr>
                <w:rFonts w:hint="eastAsia" w:ascii="Times New Roman" w:hAnsi="Times New Roman" w:eastAsia="宋体" w:cs="Times New Roman"/>
                <w:color w:val="auto"/>
                <w:sz w:val="24"/>
                <w:highlight w:val="none"/>
                <w:lang w:val="en-US" w:eastAsia="zh-CN"/>
              </w:rPr>
              <w:t>×0.22÷1000=</w:t>
            </w:r>
            <w:r>
              <w:rPr>
                <w:rFonts w:hint="eastAsia" w:ascii="Times New Roman" w:hAnsi="Times New Roman" w:eastAsia="宋体" w:cs="Times New Roman"/>
                <w:color w:val="0000E1"/>
                <w:sz w:val="24"/>
                <w:highlight w:val="none"/>
                <w:lang w:val="en-US" w:eastAsia="zh-CN"/>
              </w:rPr>
              <w:t>2.590</w:t>
            </w:r>
            <w:r>
              <w:rPr>
                <w:rFonts w:hint="eastAsia" w:ascii="Times New Roman" w:hAnsi="Times New Roman" w:eastAsia="宋体" w:cs="Times New Roman"/>
                <w:color w:val="auto"/>
                <w:sz w:val="24"/>
                <w:highlight w:val="none"/>
                <w:lang w:val="en-US" w:eastAsia="zh-CN"/>
              </w:rPr>
              <w:t>t/a。（年工作时间4800h）</w:t>
            </w:r>
          </w:p>
          <w:p w14:paraId="2E3D1E57">
            <w:pPr>
              <w:keepNext w:val="0"/>
              <w:keepLines w:val="0"/>
              <w:suppressLineNumbers w:val="0"/>
              <w:spacing w:before="0" w:beforeAutospacing="0" w:after="0" w:afterAutospacing="0" w:line="360" w:lineRule="auto"/>
              <w:ind w:left="0" w:right="0" w:firstLine="480" w:firstLineChars="200"/>
              <w:rPr>
                <w:rFonts w:hint="default" w:ascii="Times New Roman" w:hAnsi="Times New Roman" w:eastAsia="宋体" w:cs="Times New Roman"/>
                <w:color w:val="auto"/>
                <w:sz w:val="24"/>
                <w:highlight w:val="none"/>
                <w:lang w:val="en-US" w:eastAsia="zh-CN"/>
              </w:rPr>
            </w:pPr>
            <w:r>
              <w:rPr>
                <w:rFonts w:hint="default" w:ascii="Times New Roman" w:hAnsi="Times New Roman" w:eastAsia="宋体" w:cs="Times New Roman"/>
                <w:color w:val="auto"/>
                <w:sz w:val="24"/>
                <w:highlight w:val="none"/>
                <w:lang w:val="en-US" w:eastAsia="zh-CN"/>
              </w:rPr>
              <w:t>本项目压延涂布工序需使用PET膜，PET膜随着进入烘干固化工序，该工序温度为180~200℃，PET膜的收缩温度为130～150℃，因此会产生少量挥发性有机废气，以非甲烷总烃为表征。根据《浙江省重点行业 VOCs 污染排放源排放量计算方法》，参考塑料布、膜、袋等制造工序的单位排放系数，非甲烷总烃产污系数0.220kg/t原料。本项目PET膜需使用500万m</w:t>
            </w:r>
            <w:r>
              <w:rPr>
                <w:rFonts w:hint="default" w:ascii="Times New Roman" w:hAnsi="Times New Roman" w:eastAsia="宋体" w:cs="Times New Roman"/>
                <w:color w:val="auto"/>
                <w:sz w:val="24"/>
                <w:highlight w:val="none"/>
                <w:vertAlign w:val="superscript"/>
                <w:lang w:val="en-US" w:eastAsia="zh-CN"/>
              </w:rPr>
              <w:t>2</w:t>
            </w:r>
            <w:r>
              <w:rPr>
                <w:rFonts w:hint="default" w:ascii="Times New Roman" w:hAnsi="Times New Roman" w:eastAsia="宋体" w:cs="Times New Roman"/>
                <w:color w:val="auto"/>
                <w:sz w:val="24"/>
                <w:highlight w:val="none"/>
                <w:lang w:val="en-US" w:eastAsia="zh-CN"/>
              </w:rPr>
              <w:t>/a（厚度为0.075mm，</w:t>
            </w:r>
            <w:r>
              <w:rPr>
                <w:rFonts w:hint="eastAsia" w:ascii="Times New Roman" w:hAnsi="Times New Roman" w:eastAsia="宋体" w:cs="Times New Roman"/>
                <w:color w:val="auto"/>
                <w:sz w:val="24"/>
                <w:highlight w:val="none"/>
                <w:lang w:val="en-US" w:eastAsia="zh-CN"/>
              </w:rPr>
              <w:t>密度取1.38g/cm</w:t>
            </w:r>
            <w:r>
              <w:rPr>
                <w:rFonts w:hint="eastAsia" w:ascii="Times New Roman" w:hAnsi="Times New Roman" w:eastAsia="宋体" w:cs="Times New Roman"/>
                <w:color w:val="auto"/>
                <w:sz w:val="24"/>
                <w:highlight w:val="none"/>
                <w:vertAlign w:val="superscript"/>
                <w:lang w:val="en-US" w:eastAsia="zh-CN"/>
              </w:rPr>
              <w:t>3</w:t>
            </w:r>
            <w:r>
              <w:rPr>
                <w:rFonts w:hint="eastAsia" w:ascii="Times New Roman" w:hAnsi="Times New Roman" w:eastAsia="宋体" w:cs="Times New Roman"/>
                <w:color w:val="auto"/>
                <w:sz w:val="24"/>
                <w:highlight w:val="none"/>
                <w:lang w:val="en-US" w:eastAsia="zh-CN"/>
              </w:rPr>
              <w:t>，</w:t>
            </w:r>
            <w:r>
              <w:rPr>
                <w:rFonts w:hint="default" w:ascii="Times New Roman" w:hAnsi="Times New Roman" w:eastAsia="宋体" w:cs="Times New Roman"/>
                <w:color w:val="auto"/>
                <w:sz w:val="24"/>
                <w:highlight w:val="none"/>
                <w:lang w:val="en-US" w:eastAsia="zh-CN"/>
              </w:rPr>
              <w:t>由PET重量与面积换算公式核算0.075mm厚度换算率为1kg=9.</w:t>
            </w:r>
            <w:r>
              <w:rPr>
                <w:rFonts w:hint="eastAsia" w:ascii="Times New Roman" w:hAnsi="Times New Roman" w:eastAsia="宋体" w:cs="Times New Roman"/>
                <w:color w:val="auto"/>
                <w:sz w:val="24"/>
                <w:highlight w:val="none"/>
                <w:lang w:val="en-US" w:eastAsia="zh-CN"/>
              </w:rPr>
              <w:t>66</w:t>
            </w:r>
            <w:r>
              <w:rPr>
                <w:rFonts w:hint="default" w:ascii="Times New Roman" w:hAnsi="Times New Roman" w:eastAsia="宋体" w:cs="Times New Roman"/>
                <w:color w:val="auto"/>
                <w:sz w:val="24"/>
                <w:highlight w:val="none"/>
                <w:lang w:val="en-US" w:eastAsia="zh-CN"/>
              </w:rPr>
              <w:t>m</w:t>
            </w:r>
            <w:r>
              <w:rPr>
                <w:rFonts w:hint="default" w:ascii="Times New Roman" w:hAnsi="Times New Roman" w:eastAsia="宋体" w:cs="Times New Roman"/>
                <w:color w:val="auto"/>
                <w:sz w:val="24"/>
                <w:highlight w:val="none"/>
                <w:vertAlign w:val="superscript"/>
                <w:lang w:val="en-US" w:eastAsia="zh-CN"/>
              </w:rPr>
              <w:t>2</w:t>
            </w:r>
            <w:r>
              <w:rPr>
                <w:rFonts w:hint="default" w:ascii="Times New Roman" w:hAnsi="Times New Roman" w:eastAsia="宋体" w:cs="Times New Roman"/>
                <w:color w:val="auto"/>
                <w:sz w:val="24"/>
                <w:highlight w:val="none"/>
                <w:lang w:val="en-US" w:eastAsia="zh-CN"/>
              </w:rPr>
              <w:t>，则折算重量</w:t>
            </w:r>
            <w:r>
              <w:rPr>
                <w:rFonts w:hint="eastAsia" w:ascii="Times New Roman" w:hAnsi="Times New Roman" w:eastAsia="宋体" w:cs="Times New Roman"/>
                <w:color w:val="auto"/>
                <w:sz w:val="24"/>
                <w:highlight w:val="none"/>
                <w:lang w:val="en-US" w:eastAsia="zh-CN"/>
              </w:rPr>
              <w:t>约</w:t>
            </w:r>
            <w:r>
              <w:rPr>
                <w:rFonts w:hint="eastAsia" w:ascii="Times New Roman" w:hAnsi="Times New Roman" w:eastAsia="宋体" w:cs="Times New Roman"/>
                <w:color w:val="0000E1"/>
                <w:sz w:val="24"/>
                <w:highlight w:val="none"/>
                <w:lang w:val="en-US" w:eastAsia="zh-CN"/>
              </w:rPr>
              <w:t>517.5</w:t>
            </w:r>
            <w:r>
              <w:rPr>
                <w:rFonts w:hint="default" w:ascii="Times New Roman" w:hAnsi="Times New Roman" w:eastAsia="宋体" w:cs="Times New Roman"/>
                <w:color w:val="0000E1"/>
                <w:sz w:val="24"/>
                <w:highlight w:val="none"/>
                <w:lang w:val="en-US" w:eastAsia="zh-CN"/>
              </w:rPr>
              <w:t>t/a</w:t>
            </w:r>
            <w:r>
              <w:rPr>
                <w:rFonts w:hint="default" w:ascii="Times New Roman" w:hAnsi="Times New Roman" w:eastAsia="宋体" w:cs="Times New Roman"/>
                <w:color w:val="auto"/>
                <w:sz w:val="24"/>
                <w:highlight w:val="none"/>
                <w:lang w:val="en-US" w:eastAsia="zh-CN"/>
              </w:rPr>
              <w:t>）的PET膜，则非甲烷总烃产生量为</w:t>
            </w:r>
            <w:r>
              <w:rPr>
                <w:rFonts w:hint="eastAsia" w:ascii="Times New Roman" w:hAnsi="Times New Roman" w:eastAsia="宋体" w:cs="Times New Roman"/>
                <w:color w:val="0000E1"/>
                <w:sz w:val="24"/>
                <w:highlight w:val="none"/>
                <w:lang w:val="en-US" w:eastAsia="zh-CN"/>
              </w:rPr>
              <w:t>0.114</w:t>
            </w:r>
            <w:r>
              <w:rPr>
                <w:rFonts w:hint="default" w:ascii="Times New Roman" w:hAnsi="Times New Roman" w:eastAsia="宋体" w:cs="Times New Roman"/>
                <w:color w:val="0000E1"/>
                <w:sz w:val="24"/>
                <w:highlight w:val="none"/>
                <w:lang w:val="en-US" w:eastAsia="zh-CN"/>
              </w:rPr>
              <w:t>t/a。</w:t>
            </w:r>
            <w:r>
              <w:rPr>
                <w:rFonts w:hint="default" w:ascii="Times New Roman" w:hAnsi="Times New Roman" w:eastAsia="宋体" w:cs="Times New Roman"/>
                <w:color w:val="auto"/>
                <w:sz w:val="24"/>
                <w:highlight w:val="none"/>
                <w:lang w:val="en-US" w:eastAsia="zh-CN"/>
              </w:rPr>
              <w:t>（年工作时间4800h）</w:t>
            </w:r>
          </w:p>
          <w:p w14:paraId="5035F100">
            <w:pPr>
              <w:keepNext w:val="0"/>
              <w:keepLines w:val="0"/>
              <w:suppressLineNumbers w:val="0"/>
              <w:spacing w:before="0" w:beforeAutospacing="0" w:after="0" w:afterAutospacing="0" w:line="360" w:lineRule="auto"/>
              <w:ind w:left="0" w:right="0" w:firstLine="482" w:firstLineChars="200"/>
              <w:rPr>
                <w:rFonts w:hint="eastAsia" w:ascii="Times New Roman" w:hAnsi="Times New Roman" w:eastAsia="宋体" w:cs="Times New Roman"/>
                <w:b/>
                <w:bCs/>
                <w:color w:val="auto"/>
                <w:sz w:val="24"/>
                <w:lang w:eastAsia="zh-CN"/>
              </w:rPr>
            </w:pPr>
            <w:r>
              <w:rPr>
                <w:rFonts w:hint="eastAsia" w:ascii="Times New Roman" w:hAnsi="Times New Roman" w:eastAsia="宋体" w:cs="Times New Roman"/>
                <w:b/>
                <w:bCs/>
                <w:color w:val="auto"/>
                <w:sz w:val="24"/>
                <w:lang w:eastAsia="zh-CN"/>
              </w:rPr>
              <w:t>（</w:t>
            </w:r>
            <w:r>
              <w:rPr>
                <w:rFonts w:hint="eastAsia" w:ascii="Times New Roman" w:hAnsi="Times New Roman" w:eastAsia="宋体" w:cs="Times New Roman"/>
                <w:b/>
                <w:bCs/>
                <w:color w:val="auto"/>
                <w:sz w:val="24"/>
                <w:lang w:val="en-US" w:eastAsia="zh-CN"/>
              </w:rPr>
              <w:t>2</w:t>
            </w:r>
            <w:r>
              <w:rPr>
                <w:rFonts w:hint="eastAsia" w:ascii="Times New Roman" w:hAnsi="Times New Roman" w:eastAsia="宋体" w:cs="Times New Roman"/>
                <w:b/>
                <w:bCs/>
                <w:color w:val="auto"/>
                <w:sz w:val="24"/>
                <w:lang w:eastAsia="zh-CN"/>
              </w:rPr>
              <w:t>）</w:t>
            </w:r>
            <w:r>
              <w:rPr>
                <w:rFonts w:hint="eastAsia" w:ascii="Times New Roman" w:hAnsi="Times New Roman" w:eastAsia="宋体" w:cs="Times New Roman"/>
                <w:b/>
                <w:bCs/>
                <w:color w:val="auto"/>
                <w:sz w:val="24"/>
                <w:lang w:val="en-US" w:eastAsia="zh-CN"/>
              </w:rPr>
              <w:t>背胶废气</w:t>
            </w:r>
          </w:p>
          <w:p w14:paraId="47DF3A76">
            <w:pPr>
              <w:keepNext w:val="0"/>
              <w:keepLines w:val="0"/>
              <w:suppressLineNumbers w:val="0"/>
              <w:spacing w:before="0" w:beforeAutospacing="0" w:after="0" w:afterAutospacing="0" w:line="360" w:lineRule="auto"/>
              <w:ind w:left="0" w:right="0" w:firstLine="480" w:firstLineChars="200"/>
              <w:rPr>
                <w:rFonts w:hint="eastAsia" w:ascii="Times New Roman" w:hAnsi="Times New Roman" w:eastAsia="宋体" w:cs="Times New Roman"/>
                <w:color w:val="auto"/>
                <w:sz w:val="24"/>
                <w:lang w:val="en-US" w:eastAsia="zh-CN"/>
              </w:rPr>
            </w:pPr>
            <w:r>
              <w:rPr>
                <w:rFonts w:hint="eastAsia" w:ascii="Times New Roman" w:hAnsi="Times New Roman" w:eastAsia="宋体" w:cs="Times New Roman"/>
                <w:color w:val="auto"/>
                <w:sz w:val="24"/>
                <w:lang w:val="en-US" w:eastAsia="zh-CN"/>
              </w:rPr>
              <w:t>根据企业提供资料，项目使用的胶粘剂中正庚烷含量为3.5%（按全部挥发计），项目背胶处理剂年消耗量0.49t，则非甲烷总烃产生量约0.017t/a。（年工作时间2400h）</w:t>
            </w:r>
          </w:p>
          <w:p w14:paraId="598AF330">
            <w:pPr>
              <w:keepNext w:val="0"/>
              <w:keepLines w:val="0"/>
              <w:suppressLineNumbers w:val="0"/>
              <w:spacing w:before="0" w:beforeAutospacing="0" w:after="0" w:afterAutospacing="0" w:line="360" w:lineRule="auto"/>
              <w:ind w:left="0" w:right="0" w:firstLine="482" w:firstLineChars="200"/>
              <w:rPr>
                <w:rFonts w:hint="eastAsia" w:ascii="Times New Roman" w:hAnsi="Times New Roman" w:eastAsia="宋体" w:cs="Times New Roman"/>
                <w:b/>
                <w:bCs/>
                <w:color w:val="auto"/>
                <w:sz w:val="24"/>
                <w:lang w:val="en-US" w:eastAsia="zh-CN"/>
              </w:rPr>
            </w:pPr>
            <w:r>
              <w:rPr>
                <w:rFonts w:hint="eastAsia" w:ascii="Times New Roman" w:hAnsi="Times New Roman" w:eastAsia="宋体" w:cs="Times New Roman"/>
                <w:b/>
                <w:bCs/>
                <w:color w:val="auto"/>
                <w:sz w:val="24"/>
                <w:lang w:val="en-US" w:eastAsia="zh-CN"/>
              </w:rPr>
              <w:t>（3）辅料成型废气</w:t>
            </w:r>
          </w:p>
          <w:p w14:paraId="78BF02F9">
            <w:pPr>
              <w:keepNext w:val="0"/>
              <w:keepLines w:val="0"/>
              <w:suppressLineNumbers w:val="0"/>
              <w:spacing w:before="0" w:beforeAutospacing="0" w:after="0" w:afterAutospacing="0" w:line="360" w:lineRule="auto"/>
              <w:ind w:left="0" w:right="0" w:firstLine="480" w:firstLineChars="200"/>
              <w:rPr>
                <w:rFonts w:hint="eastAsia" w:ascii="Times New Roman" w:hAnsi="Times New Roman" w:eastAsia="宋体" w:cs="Times New Roman"/>
                <w:b w:val="0"/>
                <w:bCs w:val="0"/>
                <w:color w:val="auto"/>
                <w:sz w:val="24"/>
                <w:lang w:val="en-US" w:eastAsia="zh-CN"/>
              </w:rPr>
            </w:pPr>
            <w:r>
              <w:rPr>
                <w:rFonts w:hint="eastAsia" w:ascii="Times New Roman" w:hAnsi="Times New Roman" w:eastAsia="宋体" w:cs="Times New Roman"/>
                <w:b w:val="0"/>
                <w:bCs w:val="0"/>
                <w:color w:val="auto"/>
                <w:sz w:val="24"/>
                <w:lang w:val="en-US" w:eastAsia="zh-CN"/>
              </w:rPr>
              <w:t>本项目纳米隔热板产品中辅料成型工序需使用</w:t>
            </w:r>
            <w:r>
              <w:rPr>
                <w:rFonts w:hint="eastAsia" w:ascii="Times New Roman" w:hAnsi="Times New Roman" w:eastAsia="宋体" w:cs="Times New Roman"/>
                <w:b w:val="0"/>
                <w:bCs w:val="0"/>
                <w:color w:val="0000E1"/>
                <w:sz w:val="24"/>
                <w:lang w:val="en-US" w:eastAsia="zh-CN"/>
              </w:rPr>
              <w:t>228.75t/a</w:t>
            </w:r>
            <w:r>
              <w:rPr>
                <w:rFonts w:hint="eastAsia" w:ascii="Times New Roman" w:hAnsi="Times New Roman" w:eastAsia="宋体" w:cs="Times New Roman"/>
                <w:b w:val="0"/>
                <w:bCs w:val="0"/>
                <w:color w:val="auto"/>
                <w:sz w:val="24"/>
                <w:lang w:val="en-US" w:eastAsia="zh-CN"/>
              </w:rPr>
              <w:t>陶瓷基料混合物。根据企业提供的陶瓷基料混合物MSDS可知，其主要成分为聚二甲基硅氧烷5-8%、端乙烯基聚二甲基硅氧烷25-30%、聚甲基氢硅氧烷2-5%、云母粉10-15%、氢氧化铝35-45%，均为高沸点物质，常温挥发量极低本项目辅料在150-200℃条件下完成成型，会产生一定量的废气，以非甲烷总烃表征。根据《浙江省重点行业VOCs污染排放源排放量计算方法（1.1版）》表1-7中的塑料皮、板、管制造工序，非甲烷总烃排放系数为0.539kg/t原料，则非甲烷总烃产生量约</w:t>
            </w:r>
            <w:r>
              <w:rPr>
                <w:rFonts w:hint="eastAsia" w:ascii="Times New Roman" w:hAnsi="Times New Roman" w:eastAsia="宋体" w:cs="Times New Roman"/>
                <w:b w:val="0"/>
                <w:bCs w:val="0"/>
                <w:color w:val="0000E1"/>
                <w:sz w:val="24"/>
                <w:lang w:val="en-US" w:eastAsia="zh-CN"/>
              </w:rPr>
              <w:t>228.75</w:t>
            </w:r>
            <w:r>
              <w:rPr>
                <w:rFonts w:hint="eastAsia" w:ascii="Times New Roman" w:hAnsi="Times New Roman" w:eastAsia="宋体" w:cs="Times New Roman"/>
                <w:b w:val="0"/>
                <w:bCs w:val="0"/>
                <w:color w:val="auto"/>
                <w:sz w:val="24"/>
                <w:lang w:val="en-US" w:eastAsia="zh-CN"/>
              </w:rPr>
              <w:t>×0.539÷1000=</w:t>
            </w:r>
            <w:r>
              <w:rPr>
                <w:rFonts w:hint="eastAsia" w:ascii="Times New Roman" w:hAnsi="Times New Roman" w:eastAsia="宋体" w:cs="Times New Roman"/>
                <w:b w:val="0"/>
                <w:bCs w:val="0"/>
                <w:color w:val="0000E1"/>
                <w:sz w:val="24"/>
                <w:lang w:val="en-US" w:eastAsia="zh-CN"/>
              </w:rPr>
              <w:t>0.123</w:t>
            </w:r>
            <w:r>
              <w:rPr>
                <w:rFonts w:hint="eastAsia" w:ascii="Times New Roman" w:hAnsi="Times New Roman" w:eastAsia="宋体" w:cs="Times New Roman"/>
                <w:b w:val="0"/>
                <w:bCs w:val="0"/>
                <w:color w:val="auto"/>
                <w:sz w:val="24"/>
                <w:lang w:val="en-US" w:eastAsia="zh-CN"/>
              </w:rPr>
              <w:t>t/a。（年工作时间2400h）</w:t>
            </w:r>
          </w:p>
          <w:p w14:paraId="417EB314">
            <w:pPr>
              <w:keepNext w:val="0"/>
              <w:keepLines w:val="0"/>
              <w:suppressLineNumbers w:val="0"/>
              <w:spacing w:before="0" w:beforeAutospacing="0" w:after="0" w:afterAutospacing="0" w:line="360" w:lineRule="auto"/>
              <w:ind w:left="0" w:right="0" w:firstLine="482" w:firstLineChars="200"/>
              <w:rPr>
                <w:rFonts w:hint="eastAsia" w:ascii="Times New Roman" w:hAnsi="Times New Roman" w:eastAsia="宋体" w:cs="Times New Roman"/>
                <w:b/>
                <w:bCs/>
                <w:color w:val="auto"/>
                <w:sz w:val="24"/>
                <w:lang w:eastAsia="zh-CN"/>
              </w:rPr>
            </w:pPr>
            <w:r>
              <w:rPr>
                <w:rFonts w:hint="eastAsia" w:ascii="Times New Roman" w:hAnsi="Times New Roman" w:eastAsia="宋体" w:cs="Times New Roman"/>
                <w:b/>
                <w:bCs/>
                <w:color w:val="auto"/>
                <w:sz w:val="24"/>
                <w:lang w:eastAsia="zh-CN"/>
              </w:rPr>
              <w:t>治理措施：</w:t>
            </w:r>
          </w:p>
          <w:p w14:paraId="0C75B13C">
            <w:pPr>
              <w:keepNext w:val="0"/>
              <w:keepLines w:val="0"/>
              <w:suppressLineNumbers w:val="0"/>
              <w:spacing w:before="0" w:beforeAutospacing="0" w:after="0" w:afterAutospacing="0" w:line="360" w:lineRule="auto"/>
              <w:ind w:left="0" w:right="0" w:firstLine="480" w:firstLineChars="200"/>
              <w:rPr>
                <w:rFonts w:hint="default" w:ascii="Times New Roman" w:hAnsi="Times New Roman" w:eastAsia="宋体" w:cs="Times New Roman"/>
                <w:color w:val="auto"/>
                <w:sz w:val="24"/>
                <w:highlight w:val="none"/>
                <w:lang w:val="en-US" w:eastAsia="zh-CN"/>
              </w:rPr>
            </w:pPr>
            <w:r>
              <w:rPr>
                <w:rFonts w:hint="eastAsia" w:ascii="Times New Roman" w:hAnsi="Times New Roman" w:eastAsia="宋体" w:cs="Times New Roman"/>
                <w:color w:val="auto"/>
                <w:sz w:val="24"/>
                <w:highlight w:val="none"/>
                <w:lang w:val="en-US" w:eastAsia="zh-CN"/>
              </w:rPr>
              <w:t>本项目烘烤固化工序均为全密闭设备，在烘道进出口设置全密闭风罩，仅留进出口通道，</w:t>
            </w:r>
            <w:r>
              <w:rPr>
                <w:rFonts w:hint="eastAsia" w:ascii="Times New Roman" w:hAnsi="Times New Roman" w:eastAsia="宋体" w:cs="Times New Roman"/>
                <w:color w:val="0000E1"/>
                <w:sz w:val="24"/>
                <w:highlight w:val="none"/>
                <w:lang w:val="en-US" w:eastAsia="zh-CN"/>
              </w:rPr>
              <w:t>进、出两端通道截面积各为1.2m×0.25m（合计0.6m</w:t>
            </w:r>
            <w:r>
              <w:rPr>
                <w:rFonts w:hint="eastAsia" w:ascii="Times New Roman" w:hAnsi="Times New Roman" w:eastAsia="宋体" w:cs="Times New Roman"/>
                <w:color w:val="0000E1"/>
                <w:sz w:val="24"/>
                <w:highlight w:val="none"/>
                <w:vertAlign w:val="superscript"/>
                <w:lang w:val="en-US" w:eastAsia="zh-CN"/>
              </w:rPr>
              <w:t>2</w:t>
            </w:r>
            <w:r>
              <w:rPr>
                <w:rFonts w:hint="eastAsia" w:ascii="Times New Roman" w:hAnsi="Times New Roman" w:eastAsia="宋体" w:cs="Times New Roman"/>
                <w:color w:val="0000E1"/>
                <w:sz w:val="24"/>
                <w:highlight w:val="none"/>
                <w:lang w:val="en-US" w:eastAsia="zh-CN"/>
              </w:rPr>
              <w:t>），</w:t>
            </w:r>
            <w:r>
              <w:rPr>
                <w:rFonts w:hint="eastAsia" w:ascii="Times New Roman" w:hAnsi="Times New Roman" w:eastAsia="宋体" w:cs="Times New Roman"/>
                <w:color w:val="auto"/>
                <w:sz w:val="24"/>
                <w:highlight w:val="none"/>
                <w:lang w:val="en-US" w:eastAsia="zh-CN"/>
              </w:rPr>
              <w:t>截面风速控制在0.5m/s，保证通风排气效果且在隧道内形成微负压，减少无组织废气外排，则烘烤固化每台烘箱风量为1080m</w:t>
            </w:r>
            <w:r>
              <w:rPr>
                <w:rFonts w:hint="eastAsia" w:ascii="Times New Roman" w:hAnsi="Times New Roman" w:eastAsia="宋体" w:cs="Times New Roman"/>
                <w:color w:val="auto"/>
                <w:sz w:val="24"/>
                <w:highlight w:val="none"/>
                <w:vertAlign w:val="superscript"/>
                <w:lang w:val="en-US" w:eastAsia="zh-CN"/>
              </w:rPr>
              <w:t>3</w:t>
            </w:r>
            <w:r>
              <w:rPr>
                <w:rFonts w:hint="eastAsia" w:ascii="Times New Roman" w:hAnsi="Times New Roman" w:eastAsia="宋体" w:cs="Times New Roman"/>
                <w:color w:val="auto"/>
                <w:sz w:val="24"/>
                <w:highlight w:val="none"/>
                <w:lang w:val="en-US" w:eastAsia="zh-CN"/>
              </w:rPr>
              <w:t>/h，烘干固化共设置</w:t>
            </w:r>
            <w:r>
              <w:rPr>
                <w:rFonts w:hint="eastAsia" w:ascii="Times New Roman" w:hAnsi="Times New Roman" w:eastAsia="宋体" w:cs="Times New Roman"/>
                <w:color w:val="FF0000"/>
                <w:sz w:val="24"/>
                <w:highlight w:val="none"/>
                <w:lang w:val="en-US" w:eastAsia="zh-CN"/>
              </w:rPr>
              <w:t>隧道式烤箱</w:t>
            </w:r>
            <w:r>
              <w:rPr>
                <w:rFonts w:hint="default"/>
              </w:rPr>
              <w:commentReference w:id="60"/>
            </w:r>
            <w:r>
              <w:rPr>
                <w:rFonts w:hint="eastAsia" w:ascii="Times New Roman" w:hAnsi="Times New Roman" w:eastAsia="宋体" w:cs="Times New Roman"/>
                <w:color w:val="auto"/>
                <w:sz w:val="24"/>
                <w:highlight w:val="none"/>
                <w:lang w:val="en-US" w:eastAsia="zh-CN"/>
              </w:rPr>
              <w:t>5台、1450立式（浸涂）涂布生产线2台、1750立式（浸涂）涂布生产线5台，则合计总风量为12960m</w:t>
            </w:r>
            <w:r>
              <w:rPr>
                <w:rFonts w:hint="eastAsia" w:ascii="Times New Roman" w:hAnsi="Times New Roman" w:eastAsia="宋体" w:cs="Times New Roman"/>
                <w:color w:val="auto"/>
                <w:sz w:val="24"/>
                <w:highlight w:val="none"/>
                <w:vertAlign w:val="superscript"/>
                <w:lang w:val="en-US" w:eastAsia="zh-CN"/>
              </w:rPr>
              <w:t>3</w:t>
            </w:r>
            <w:r>
              <w:rPr>
                <w:rFonts w:hint="eastAsia" w:ascii="Times New Roman" w:hAnsi="Times New Roman" w:eastAsia="宋体" w:cs="Times New Roman"/>
                <w:color w:val="auto"/>
                <w:sz w:val="24"/>
                <w:highlight w:val="none"/>
                <w:lang w:val="en-US" w:eastAsia="zh-CN"/>
              </w:rPr>
              <w:t>/h，收集效率以95%计。</w:t>
            </w:r>
          </w:p>
          <w:p w14:paraId="2269ABFE">
            <w:pPr>
              <w:keepNext w:val="0"/>
              <w:keepLines w:val="0"/>
              <w:suppressLineNumbers w:val="0"/>
              <w:spacing w:before="0" w:beforeAutospacing="0" w:after="0" w:afterAutospacing="0" w:line="360" w:lineRule="auto"/>
              <w:ind w:left="0" w:right="0" w:firstLine="480" w:firstLineChars="200"/>
              <w:rPr>
                <w:rFonts w:hint="eastAsia" w:ascii="Times New Roman" w:hAnsi="Times New Roman" w:eastAsia="宋体" w:cs="Times New Roman"/>
                <w:color w:val="auto"/>
                <w:sz w:val="24"/>
                <w:highlight w:val="none"/>
                <w:lang w:val="en-US" w:eastAsia="zh-CN"/>
              </w:rPr>
            </w:pPr>
            <w:r>
              <w:rPr>
                <w:rFonts w:hint="eastAsia" w:ascii="Times New Roman" w:hAnsi="Times New Roman" w:eastAsia="宋体" w:cs="Times New Roman"/>
                <w:color w:val="auto"/>
                <w:sz w:val="24"/>
                <w:highlight w:val="none"/>
                <w:lang w:val="en-US" w:eastAsia="zh-CN"/>
              </w:rPr>
              <w:t>本项目背胶贴合区（15×25m×3m，总容积为1125m</w:t>
            </w:r>
            <w:r>
              <w:rPr>
                <w:rFonts w:hint="eastAsia" w:ascii="Times New Roman" w:hAnsi="Times New Roman" w:eastAsia="宋体" w:cs="Times New Roman"/>
                <w:color w:val="auto"/>
                <w:sz w:val="24"/>
                <w:highlight w:val="none"/>
                <w:vertAlign w:val="superscript"/>
                <w:lang w:val="en-US" w:eastAsia="zh-CN"/>
              </w:rPr>
              <w:t>3</w:t>
            </w:r>
            <w:r>
              <w:rPr>
                <w:rFonts w:hint="eastAsia" w:ascii="Times New Roman" w:hAnsi="Times New Roman" w:eastAsia="宋体" w:cs="Times New Roman"/>
                <w:color w:val="auto"/>
                <w:sz w:val="24"/>
                <w:highlight w:val="none"/>
                <w:lang w:val="en-US" w:eastAsia="zh-CN"/>
              </w:rPr>
              <w:t>）整体密闭，背胶工序挥发废气产生点多面广，要求企业在背胶贴合区进行整体抽风，生产时车间必须与车间外区域进行隔离，人员及物流进出口（项目背胶贴合区仅设置一个进出口）在非必要情况下也必须处于关闭状态，使生产车间整体处于相对密闭状态，因此车间密闭性良好，仅在开关门时会有少量废气逸散，车间换气次数以20次/h计，则背胶车间风量为22500m</w:t>
            </w:r>
            <w:r>
              <w:rPr>
                <w:rFonts w:hint="eastAsia" w:ascii="Times New Roman" w:hAnsi="Times New Roman" w:eastAsia="宋体" w:cs="Times New Roman"/>
                <w:color w:val="auto"/>
                <w:sz w:val="24"/>
                <w:highlight w:val="none"/>
                <w:vertAlign w:val="superscript"/>
                <w:lang w:val="en-US" w:eastAsia="zh-CN"/>
              </w:rPr>
              <w:t>3</w:t>
            </w:r>
            <w:r>
              <w:rPr>
                <w:rFonts w:hint="eastAsia" w:ascii="Times New Roman" w:hAnsi="Times New Roman" w:eastAsia="宋体" w:cs="Times New Roman"/>
                <w:color w:val="auto"/>
                <w:sz w:val="24"/>
                <w:highlight w:val="none"/>
                <w:lang w:val="en-US" w:eastAsia="zh-CN"/>
              </w:rPr>
              <w:t>/h，收集效率以90%计。</w:t>
            </w:r>
          </w:p>
          <w:p w14:paraId="054AF153">
            <w:pPr>
              <w:keepNext w:val="0"/>
              <w:keepLines w:val="0"/>
              <w:suppressLineNumbers w:val="0"/>
              <w:spacing w:before="0" w:beforeAutospacing="0" w:after="0" w:afterAutospacing="0" w:line="360" w:lineRule="auto"/>
              <w:ind w:left="0" w:right="0" w:firstLine="480" w:firstLineChars="200"/>
              <w:rPr>
                <w:rFonts w:hint="eastAsia" w:ascii="Times New Roman" w:hAnsi="Times New Roman" w:eastAsia="宋体" w:cs="Times New Roman"/>
                <w:color w:val="auto"/>
                <w:sz w:val="24"/>
                <w:highlight w:val="none"/>
                <w:lang w:val="en-US" w:eastAsia="zh-CN"/>
              </w:rPr>
            </w:pPr>
            <w:r>
              <w:rPr>
                <w:rFonts w:hint="eastAsia" w:ascii="Times New Roman" w:hAnsi="Times New Roman" w:eastAsia="宋体" w:cs="Times New Roman"/>
                <w:color w:val="auto"/>
                <w:sz w:val="24"/>
                <w:highlight w:val="none"/>
                <w:lang w:val="en-US" w:eastAsia="zh-CN"/>
              </w:rPr>
              <w:t>本项目立式液态射出成型机运行过程保持加热段和成型段密闭，因此，废气仅在其物料完成成型工艺的出口散发，故拟在物料出口上方设置集气罩，截面积为</w:t>
            </w:r>
            <w:r>
              <w:rPr>
                <w:rFonts w:hint="eastAsia" w:ascii="Times New Roman" w:hAnsi="Times New Roman" w:eastAsia="宋体" w:cs="Times New Roman"/>
                <w:color w:val="0000E1"/>
                <w:sz w:val="24"/>
                <w:highlight w:val="none"/>
                <w:lang w:val="en-US" w:eastAsia="zh-CN"/>
              </w:rPr>
              <w:t>1m×0.36m</w:t>
            </w:r>
            <w:r>
              <w:rPr>
                <w:rFonts w:hint="eastAsia" w:ascii="Times New Roman" w:hAnsi="Times New Roman" w:eastAsia="宋体" w:cs="Times New Roman"/>
                <w:color w:val="FF0000"/>
                <w:sz w:val="24"/>
                <w:highlight w:val="none"/>
                <w:lang w:val="en-US" w:eastAsia="zh-CN"/>
              </w:rPr>
              <w:t>，</w:t>
            </w:r>
            <w:r>
              <w:rPr>
                <w:rFonts w:hint="eastAsia" w:ascii="Times New Roman" w:hAnsi="Times New Roman" w:eastAsia="宋体" w:cs="Times New Roman"/>
                <w:color w:val="auto"/>
                <w:sz w:val="24"/>
                <w:highlight w:val="none"/>
                <w:lang w:val="en-US" w:eastAsia="zh-CN"/>
              </w:rPr>
              <w:t>截面风速控制在</w:t>
            </w:r>
            <w:r>
              <w:rPr>
                <w:rFonts w:hint="eastAsia" w:ascii="Times New Roman" w:hAnsi="Times New Roman" w:eastAsia="宋体" w:cs="Times New Roman"/>
                <w:color w:val="0000E1"/>
                <w:sz w:val="24"/>
                <w:highlight w:val="none"/>
                <w:lang w:val="en-US" w:eastAsia="zh-CN"/>
              </w:rPr>
              <w:t>0.5m/s，</w:t>
            </w:r>
            <w:r>
              <w:rPr>
                <w:rFonts w:hint="eastAsia" w:ascii="Times New Roman" w:hAnsi="Times New Roman" w:eastAsia="宋体" w:cs="Times New Roman"/>
                <w:color w:val="auto"/>
                <w:sz w:val="24"/>
                <w:highlight w:val="none"/>
                <w:lang w:val="en-US" w:eastAsia="zh-CN"/>
              </w:rPr>
              <w:t>辅料成型共设置立式液态射出成型机1台，则风量为648m</w:t>
            </w:r>
            <w:r>
              <w:rPr>
                <w:rFonts w:hint="eastAsia" w:ascii="Times New Roman" w:hAnsi="Times New Roman" w:eastAsia="宋体" w:cs="Times New Roman"/>
                <w:color w:val="auto"/>
                <w:sz w:val="24"/>
                <w:highlight w:val="none"/>
                <w:vertAlign w:val="superscript"/>
                <w:lang w:val="en-US" w:eastAsia="zh-CN"/>
              </w:rPr>
              <w:t>3</w:t>
            </w:r>
            <w:r>
              <w:rPr>
                <w:rFonts w:hint="eastAsia" w:ascii="Times New Roman" w:hAnsi="Times New Roman" w:eastAsia="宋体" w:cs="Times New Roman"/>
                <w:color w:val="auto"/>
                <w:sz w:val="24"/>
                <w:highlight w:val="none"/>
                <w:lang w:val="en-US" w:eastAsia="zh-CN"/>
              </w:rPr>
              <w:t>/h，收集效率以75%计。</w:t>
            </w:r>
          </w:p>
          <w:p w14:paraId="1CD49A18">
            <w:pPr>
              <w:keepNext w:val="0"/>
              <w:keepLines w:val="0"/>
              <w:suppressLineNumbers w:val="0"/>
              <w:spacing w:before="0" w:beforeAutospacing="0" w:after="0" w:afterAutospacing="0" w:line="360" w:lineRule="auto"/>
              <w:ind w:left="0" w:right="0" w:firstLine="480" w:firstLineChars="200"/>
              <w:rPr>
                <w:rFonts w:hint="eastAsia" w:ascii="Times New Roman" w:hAnsi="Times New Roman" w:eastAsia="宋体" w:cs="Times New Roman"/>
                <w:color w:val="auto"/>
                <w:sz w:val="24"/>
                <w:highlight w:val="none"/>
                <w:lang w:val="en-US" w:eastAsia="zh-CN"/>
              </w:rPr>
            </w:pPr>
            <w:r>
              <w:rPr>
                <w:rFonts w:hint="eastAsia" w:ascii="Times New Roman" w:hAnsi="Times New Roman" w:eastAsia="宋体" w:cs="Times New Roman"/>
                <w:color w:val="auto"/>
                <w:sz w:val="24"/>
                <w:highlight w:val="none"/>
                <w:lang w:val="en-US" w:eastAsia="zh-CN"/>
              </w:rPr>
              <w:t>综上，合计风量为36108m</w:t>
            </w:r>
            <w:r>
              <w:rPr>
                <w:rFonts w:hint="eastAsia" w:ascii="Times New Roman" w:hAnsi="Times New Roman" w:eastAsia="宋体" w:cs="Times New Roman"/>
                <w:color w:val="auto"/>
                <w:sz w:val="24"/>
                <w:highlight w:val="none"/>
                <w:vertAlign w:val="superscript"/>
                <w:lang w:val="en-US" w:eastAsia="zh-CN"/>
              </w:rPr>
              <w:t>3</w:t>
            </w:r>
            <w:r>
              <w:rPr>
                <w:rFonts w:hint="eastAsia" w:ascii="Times New Roman" w:hAnsi="Times New Roman" w:eastAsia="宋体" w:cs="Times New Roman"/>
                <w:color w:val="auto"/>
                <w:sz w:val="24"/>
                <w:highlight w:val="none"/>
                <w:lang w:val="en-US" w:eastAsia="zh-CN"/>
              </w:rPr>
              <w:t>/h，考虑到风阻和风量损失等因素，风机设计总风量约37000m</w:t>
            </w:r>
            <w:r>
              <w:rPr>
                <w:rFonts w:hint="eastAsia" w:ascii="Times New Roman" w:hAnsi="Times New Roman" w:eastAsia="宋体" w:cs="Times New Roman"/>
                <w:color w:val="auto"/>
                <w:sz w:val="24"/>
                <w:highlight w:val="none"/>
                <w:vertAlign w:val="superscript"/>
                <w:lang w:val="en-US" w:eastAsia="zh-CN"/>
              </w:rPr>
              <w:t>3</w:t>
            </w:r>
            <w:r>
              <w:rPr>
                <w:rFonts w:hint="eastAsia" w:ascii="Times New Roman" w:hAnsi="Times New Roman" w:eastAsia="宋体" w:cs="Times New Roman"/>
                <w:color w:val="auto"/>
                <w:sz w:val="24"/>
                <w:highlight w:val="none"/>
                <w:lang w:val="en-US" w:eastAsia="zh-CN"/>
              </w:rPr>
              <w:t>/h。以上废气经收集后通过一套水喷淋+干式过滤+二级活性炭吸附装置（TA001）处理，处理效率以80%计，尾气由一根26m高的排气筒DA001排放。</w:t>
            </w:r>
          </w:p>
          <w:p w14:paraId="726B49B7">
            <w:pPr>
              <w:keepNext w:val="0"/>
              <w:keepLines w:val="0"/>
              <w:widowControl w:val="0"/>
              <w:suppressLineNumbers w:val="0"/>
              <w:spacing w:before="0" w:beforeAutospacing="0" w:after="0" w:afterAutospacing="0"/>
              <w:ind w:left="0" w:right="0"/>
              <w:jc w:val="center"/>
              <w:rPr>
                <w:rFonts w:hint="default" w:ascii="Times New Roman" w:hAnsi="Times New Roman" w:eastAsia="宋体" w:cs="Times New Roman"/>
                <w:color w:val="auto"/>
                <w:kern w:val="2"/>
                <w:sz w:val="21"/>
                <w:szCs w:val="21"/>
              </w:rPr>
            </w:pPr>
            <w:r>
              <w:rPr>
                <w:rFonts w:hint="eastAsia" w:ascii="宋体" w:hAnsi="宋体" w:eastAsia="宋体" w:cs="宋体"/>
                <w:b/>
                <w:bCs w:val="0"/>
                <w:color w:val="auto"/>
                <w:kern w:val="2"/>
                <w:sz w:val="21"/>
                <w:szCs w:val="21"/>
                <w:lang w:val="en-US" w:eastAsia="zh-CN" w:bidi="ar"/>
              </w:rPr>
              <w:t>表</w:t>
            </w:r>
            <w:r>
              <w:rPr>
                <w:rFonts w:hint="default" w:ascii="Times New Roman" w:hAnsi="Times New Roman" w:eastAsia="宋体" w:cs="Times New Roman"/>
                <w:b/>
                <w:bCs w:val="0"/>
                <w:color w:val="auto"/>
                <w:kern w:val="2"/>
                <w:sz w:val="21"/>
                <w:szCs w:val="21"/>
                <w:lang w:val="en-US" w:eastAsia="zh-CN" w:bidi="ar"/>
              </w:rPr>
              <w:t>4-</w:t>
            </w:r>
            <w:r>
              <w:rPr>
                <w:rFonts w:hint="eastAsia" w:ascii="Times New Roman" w:hAnsi="Times New Roman" w:eastAsia="宋体" w:cs="Times New Roman"/>
                <w:b/>
                <w:bCs w:val="0"/>
                <w:color w:val="auto"/>
                <w:kern w:val="2"/>
                <w:sz w:val="21"/>
                <w:szCs w:val="21"/>
                <w:lang w:val="en-US" w:eastAsia="zh-CN" w:bidi="ar"/>
              </w:rPr>
              <w:t>1</w:t>
            </w:r>
            <w:r>
              <w:rPr>
                <w:rFonts w:hint="default" w:ascii="Times New Roman" w:hAnsi="Times New Roman" w:eastAsia="宋体" w:cs="Times New Roman"/>
                <w:b/>
                <w:bCs w:val="0"/>
                <w:color w:val="auto"/>
                <w:kern w:val="2"/>
                <w:sz w:val="21"/>
                <w:szCs w:val="21"/>
                <w:lang w:val="en-US" w:eastAsia="zh-CN" w:bidi="ar"/>
              </w:rPr>
              <w:t xml:space="preserve">  </w:t>
            </w:r>
            <w:r>
              <w:rPr>
                <w:rFonts w:hint="eastAsia" w:ascii="宋体" w:hAnsi="宋体" w:eastAsia="宋体" w:cs="宋体"/>
                <w:b/>
                <w:bCs w:val="0"/>
                <w:color w:val="auto"/>
                <w:kern w:val="2"/>
                <w:sz w:val="21"/>
                <w:szCs w:val="21"/>
                <w:lang w:val="en-US" w:eastAsia="zh-CN" w:bidi="ar"/>
              </w:rPr>
              <w:t>固化废气、背胶废气、辅料成型废气</w:t>
            </w:r>
            <w:r>
              <w:rPr>
                <w:rFonts w:hint="eastAsia" w:ascii="宋体" w:hAnsi="宋体" w:eastAsia="宋体" w:cs="宋体"/>
                <w:b/>
                <w:bCs/>
                <w:color w:val="auto"/>
                <w:kern w:val="2"/>
                <w:sz w:val="21"/>
                <w:szCs w:val="21"/>
                <w:lang w:val="en-US" w:eastAsia="zh-CN" w:bidi="ar"/>
              </w:rPr>
              <w:t>产生及排放情况一览表</w:t>
            </w:r>
          </w:p>
          <w:tbl>
            <w:tblPr>
              <w:tblStyle w:val="23"/>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Layout w:type="fixed"/>
              <w:tblCellMar>
                <w:top w:w="0" w:type="dxa"/>
                <w:left w:w="108" w:type="dxa"/>
                <w:bottom w:w="0" w:type="dxa"/>
                <w:right w:w="108" w:type="dxa"/>
              </w:tblCellMar>
            </w:tblPr>
            <w:tblGrid>
              <w:gridCol w:w="404"/>
              <w:gridCol w:w="498"/>
              <w:gridCol w:w="641"/>
              <w:gridCol w:w="695"/>
              <w:gridCol w:w="717"/>
              <w:gridCol w:w="798"/>
              <w:gridCol w:w="1108"/>
              <w:gridCol w:w="945"/>
              <w:gridCol w:w="798"/>
              <w:gridCol w:w="945"/>
              <w:gridCol w:w="798"/>
            </w:tblGrid>
            <w:tr w14:paraId="0C538A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04" w:type="dxa"/>
                  <w:vMerge w:val="restart"/>
                  <w:tcBorders>
                    <w:top w:val="single" w:color="auto" w:sz="4" w:space="0"/>
                    <w:left w:val="single" w:color="auto" w:sz="4" w:space="0"/>
                    <w:bottom w:val="single" w:color="auto" w:sz="4" w:space="0"/>
                    <w:right w:val="single" w:color="auto" w:sz="4" w:space="0"/>
                  </w:tcBorders>
                  <w:shd w:val="clear" w:color="auto" w:fill="auto"/>
                  <w:vAlign w:val="center"/>
                </w:tcPr>
                <w:p w14:paraId="5F9B068F">
                  <w:pPr>
                    <w:keepNext w:val="0"/>
                    <w:keepLines w:val="0"/>
                    <w:widowControl w:val="0"/>
                    <w:suppressLineNumbers w:val="0"/>
                    <w:spacing w:before="0" w:beforeAutospacing="0" w:after="0" w:afterAutospacing="0"/>
                    <w:ind w:left="0" w:right="0"/>
                    <w:jc w:val="center"/>
                    <w:rPr>
                      <w:rFonts w:hint="default" w:ascii="Times New Roman" w:hAnsi="Times New Roman" w:eastAsia="宋体" w:cs="Times New Roman"/>
                      <w:b/>
                      <w:bCs/>
                      <w:color w:val="auto"/>
                      <w:kern w:val="2"/>
                      <w:sz w:val="21"/>
                      <w:szCs w:val="21"/>
                    </w:rPr>
                  </w:pPr>
                  <w:r>
                    <w:rPr>
                      <w:rFonts w:hint="eastAsia" w:ascii="宋体" w:hAnsi="宋体" w:eastAsia="宋体" w:cs="宋体"/>
                      <w:b/>
                      <w:bCs/>
                      <w:color w:val="auto"/>
                      <w:kern w:val="2"/>
                      <w:sz w:val="21"/>
                      <w:szCs w:val="21"/>
                      <w:lang w:val="en-US" w:eastAsia="zh-CN" w:bidi="ar"/>
                    </w:rPr>
                    <w:t>污染源</w:t>
                  </w:r>
                </w:p>
              </w:tc>
              <w:tc>
                <w:tcPr>
                  <w:tcW w:w="498" w:type="dxa"/>
                  <w:vMerge w:val="restart"/>
                  <w:tcBorders>
                    <w:top w:val="single" w:color="auto" w:sz="4" w:space="0"/>
                    <w:left w:val="nil"/>
                    <w:bottom w:val="single" w:color="auto" w:sz="4" w:space="0"/>
                    <w:right w:val="single" w:color="auto" w:sz="4" w:space="0"/>
                  </w:tcBorders>
                  <w:shd w:val="clear" w:color="auto" w:fill="auto"/>
                  <w:vAlign w:val="center"/>
                </w:tcPr>
                <w:p w14:paraId="57D37F8C">
                  <w:pPr>
                    <w:keepNext w:val="0"/>
                    <w:keepLines w:val="0"/>
                    <w:widowControl w:val="0"/>
                    <w:suppressLineNumbers w:val="0"/>
                    <w:spacing w:before="0" w:beforeAutospacing="0" w:after="0" w:afterAutospacing="0"/>
                    <w:ind w:left="0" w:right="0"/>
                    <w:jc w:val="center"/>
                    <w:rPr>
                      <w:rFonts w:hint="default" w:ascii="Times New Roman" w:hAnsi="Times New Roman" w:eastAsia="宋体" w:cs="Times New Roman"/>
                      <w:b/>
                      <w:bCs/>
                      <w:color w:val="auto"/>
                      <w:kern w:val="2"/>
                      <w:sz w:val="21"/>
                      <w:szCs w:val="21"/>
                    </w:rPr>
                  </w:pPr>
                  <w:r>
                    <w:rPr>
                      <w:rFonts w:hint="eastAsia" w:ascii="宋体" w:hAnsi="宋体" w:eastAsia="宋体" w:cs="宋体"/>
                      <w:b/>
                      <w:bCs/>
                      <w:color w:val="auto"/>
                      <w:kern w:val="2"/>
                      <w:sz w:val="21"/>
                      <w:szCs w:val="21"/>
                      <w:lang w:val="en-US" w:eastAsia="zh-CN" w:bidi="ar"/>
                    </w:rPr>
                    <w:t>产生工序</w:t>
                  </w:r>
                </w:p>
              </w:tc>
              <w:tc>
                <w:tcPr>
                  <w:tcW w:w="641" w:type="dxa"/>
                  <w:vMerge w:val="restart"/>
                  <w:tcBorders>
                    <w:top w:val="single" w:color="auto" w:sz="4" w:space="0"/>
                    <w:left w:val="nil"/>
                    <w:bottom w:val="single" w:color="auto" w:sz="4" w:space="0"/>
                    <w:right w:val="single" w:color="auto" w:sz="4" w:space="0"/>
                  </w:tcBorders>
                  <w:shd w:val="clear" w:color="auto" w:fill="auto"/>
                  <w:vAlign w:val="center"/>
                </w:tcPr>
                <w:p w14:paraId="40CDA7FD">
                  <w:pPr>
                    <w:keepNext w:val="0"/>
                    <w:keepLines w:val="0"/>
                    <w:widowControl w:val="0"/>
                    <w:suppressLineNumbers w:val="0"/>
                    <w:spacing w:before="0" w:beforeAutospacing="0" w:after="0" w:afterAutospacing="0"/>
                    <w:ind w:left="0" w:right="0"/>
                    <w:jc w:val="center"/>
                    <w:rPr>
                      <w:rFonts w:hint="default" w:ascii="Times New Roman" w:hAnsi="Times New Roman" w:eastAsia="宋体" w:cs="Times New Roman"/>
                      <w:b/>
                      <w:bCs/>
                      <w:color w:val="auto"/>
                      <w:kern w:val="2"/>
                      <w:sz w:val="21"/>
                      <w:szCs w:val="21"/>
                    </w:rPr>
                  </w:pPr>
                  <w:r>
                    <w:rPr>
                      <w:rFonts w:hint="eastAsia" w:ascii="宋体" w:hAnsi="宋体" w:eastAsia="宋体" w:cs="宋体"/>
                      <w:b/>
                      <w:bCs/>
                      <w:color w:val="auto"/>
                      <w:kern w:val="2"/>
                      <w:sz w:val="21"/>
                      <w:szCs w:val="21"/>
                      <w:lang w:val="en-US" w:eastAsia="zh-CN" w:bidi="ar"/>
                    </w:rPr>
                    <w:t>污染因子</w:t>
                  </w:r>
                </w:p>
              </w:tc>
              <w:tc>
                <w:tcPr>
                  <w:tcW w:w="695" w:type="dxa"/>
                  <w:vMerge w:val="restart"/>
                  <w:tcBorders>
                    <w:top w:val="single" w:color="auto" w:sz="4" w:space="0"/>
                    <w:left w:val="nil"/>
                    <w:bottom w:val="single" w:color="auto" w:sz="4" w:space="0"/>
                    <w:right w:val="single" w:color="auto" w:sz="4" w:space="0"/>
                  </w:tcBorders>
                  <w:shd w:val="clear" w:color="auto" w:fill="auto"/>
                  <w:vAlign w:val="center"/>
                </w:tcPr>
                <w:p w14:paraId="48284F33">
                  <w:pPr>
                    <w:keepNext w:val="0"/>
                    <w:keepLines w:val="0"/>
                    <w:widowControl w:val="0"/>
                    <w:suppressLineNumbers w:val="0"/>
                    <w:spacing w:before="0" w:beforeAutospacing="0" w:after="0" w:afterAutospacing="0"/>
                    <w:ind w:left="0" w:right="0"/>
                    <w:jc w:val="center"/>
                    <w:rPr>
                      <w:rFonts w:hint="default" w:ascii="Times New Roman" w:hAnsi="Times New Roman" w:eastAsia="宋体" w:cs="Times New Roman"/>
                      <w:b/>
                      <w:bCs/>
                      <w:color w:val="auto"/>
                      <w:kern w:val="2"/>
                      <w:sz w:val="21"/>
                      <w:szCs w:val="21"/>
                    </w:rPr>
                  </w:pPr>
                  <w:r>
                    <w:rPr>
                      <w:rFonts w:hint="eastAsia" w:ascii="宋体" w:hAnsi="宋体" w:eastAsia="宋体" w:cs="宋体"/>
                      <w:b/>
                      <w:bCs/>
                      <w:color w:val="FF0000"/>
                      <w:kern w:val="2"/>
                      <w:sz w:val="21"/>
                      <w:szCs w:val="21"/>
                      <w:lang w:val="en-US" w:eastAsia="zh-CN" w:bidi="ar"/>
                    </w:rPr>
                    <w:t>总</w:t>
                  </w:r>
                  <w:r>
                    <w:rPr>
                      <w:rFonts w:hint="eastAsia" w:ascii="宋体" w:hAnsi="宋体" w:eastAsia="宋体" w:cs="宋体"/>
                      <w:b/>
                      <w:bCs/>
                      <w:color w:val="auto"/>
                      <w:kern w:val="2"/>
                      <w:sz w:val="21"/>
                      <w:szCs w:val="21"/>
                      <w:lang w:val="en-US" w:eastAsia="zh-CN" w:bidi="ar"/>
                    </w:rPr>
                    <w:t>产</w:t>
                  </w:r>
                  <w:r>
                    <w:rPr>
                      <w:rFonts w:hint="default"/>
                    </w:rPr>
                    <w:commentReference w:id="61"/>
                  </w:r>
                  <w:r>
                    <w:rPr>
                      <w:rFonts w:hint="eastAsia" w:ascii="宋体" w:hAnsi="宋体" w:eastAsia="宋体" w:cs="宋体"/>
                      <w:b/>
                      <w:bCs/>
                      <w:color w:val="auto"/>
                      <w:kern w:val="2"/>
                      <w:sz w:val="21"/>
                      <w:szCs w:val="21"/>
                      <w:lang w:val="en-US" w:eastAsia="zh-CN" w:bidi="ar"/>
                    </w:rPr>
                    <w:t>生速率（</w:t>
                  </w:r>
                  <w:r>
                    <w:rPr>
                      <w:rFonts w:hint="default" w:ascii="Times New Roman" w:hAnsi="Times New Roman" w:eastAsia="宋体" w:cs="Times New Roman"/>
                      <w:b/>
                      <w:bCs/>
                      <w:color w:val="auto"/>
                      <w:kern w:val="2"/>
                      <w:sz w:val="21"/>
                      <w:szCs w:val="21"/>
                      <w:lang w:val="en-US" w:eastAsia="zh-CN" w:bidi="ar"/>
                    </w:rPr>
                    <w:t>kg/h</w:t>
                  </w:r>
                  <w:r>
                    <w:rPr>
                      <w:rFonts w:hint="eastAsia" w:ascii="宋体" w:hAnsi="宋体" w:eastAsia="宋体" w:cs="宋体"/>
                      <w:b/>
                      <w:bCs/>
                      <w:color w:val="auto"/>
                      <w:kern w:val="2"/>
                      <w:sz w:val="21"/>
                      <w:szCs w:val="21"/>
                      <w:lang w:val="en-US" w:eastAsia="zh-CN" w:bidi="ar"/>
                    </w:rPr>
                    <w:t>）</w:t>
                  </w:r>
                </w:p>
              </w:tc>
              <w:tc>
                <w:tcPr>
                  <w:tcW w:w="717" w:type="dxa"/>
                  <w:vMerge w:val="restart"/>
                  <w:tcBorders>
                    <w:top w:val="single" w:color="auto" w:sz="4" w:space="0"/>
                    <w:left w:val="nil"/>
                    <w:bottom w:val="single" w:color="auto" w:sz="4" w:space="0"/>
                    <w:right w:val="single" w:color="auto" w:sz="4" w:space="0"/>
                  </w:tcBorders>
                  <w:shd w:val="clear" w:color="auto" w:fill="auto"/>
                  <w:vAlign w:val="center"/>
                </w:tcPr>
                <w:p w14:paraId="4126851A">
                  <w:pPr>
                    <w:keepNext w:val="0"/>
                    <w:keepLines w:val="0"/>
                    <w:widowControl w:val="0"/>
                    <w:suppressLineNumbers w:val="0"/>
                    <w:spacing w:before="0" w:beforeAutospacing="0" w:after="0" w:afterAutospacing="0"/>
                    <w:ind w:left="0" w:right="0"/>
                    <w:jc w:val="center"/>
                    <w:rPr>
                      <w:rFonts w:hint="default" w:ascii="Times New Roman" w:hAnsi="Times New Roman" w:eastAsia="宋体" w:cs="Times New Roman"/>
                      <w:b/>
                      <w:bCs/>
                      <w:color w:val="auto"/>
                      <w:kern w:val="2"/>
                      <w:sz w:val="21"/>
                      <w:szCs w:val="21"/>
                    </w:rPr>
                  </w:pPr>
                  <w:r>
                    <w:rPr>
                      <w:rFonts w:hint="eastAsia" w:ascii="宋体" w:hAnsi="宋体" w:eastAsia="宋体" w:cs="宋体"/>
                      <w:b/>
                      <w:bCs/>
                      <w:color w:val="FF0000"/>
                      <w:kern w:val="2"/>
                      <w:sz w:val="21"/>
                      <w:szCs w:val="21"/>
                      <w:lang w:val="en-US" w:eastAsia="zh-CN" w:bidi="ar"/>
                    </w:rPr>
                    <w:t>总</w:t>
                  </w:r>
                  <w:r>
                    <w:rPr>
                      <w:rFonts w:hint="eastAsia" w:ascii="宋体" w:hAnsi="宋体" w:eastAsia="宋体" w:cs="宋体"/>
                      <w:b/>
                      <w:bCs/>
                      <w:color w:val="auto"/>
                      <w:kern w:val="2"/>
                      <w:sz w:val="21"/>
                      <w:szCs w:val="21"/>
                      <w:lang w:val="en-US" w:eastAsia="zh-CN" w:bidi="ar"/>
                    </w:rPr>
                    <w:t>产生量（</w:t>
                  </w:r>
                  <w:r>
                    <w:rPr>
                      <w:rFonts w:hint="default" w:ascii="Times New Roman" w:hAnsi="Times New Roman" w:eastAsia="宋体" w:cs="Times New Roman"/>
                      <w:b/>
                      <w:bCs/>
                      <w:color w:val="auto"/>
                      <w:kern w:val="2"/>
                      <w:sz w:val="21"/>
                      <w:szCs w:val="21"/>
                      <w:lang w:val="en-US" w:eastAsia="zh-CN" w:bidi="ar"/>
                    </w:rPr>
                    <w:t>t/a</w:t>
                  </w:r>
                  <w:r>
                    <w:rPr>
                      <w:rFonts w:hint="eastAsia" w:ascii="宋体" w:hAnsi="宋体" w:eastAsia="宋体" w:cs="宋体"/>
                      <w:b/>
                      <w:bCs/>
                      <w:color w:val="auto"/>
                      <w:kern w:val="2"/>
                      <w:sz w:val="21"/>
                      <w:szCs w:val="21"/>
                      <w:lang w:val="en-US" w:eastAsia="zh-CN" w:bidi="ar"/>
                    </w:rPr>
                    <w:t>）</w:t>
                  </w:r>
                </w:p>
              </w:tc>
              <w:tc>
                <w:tcPr>
                  <w:tcW w:w="798" w:type="dxa"/>
                  <w:vMerge w:val="restart"/>
                  <w:tcBorders>
                    <w:top w:val="single" w:color="auto" w:sz="4" w:space="0"/>
                    <w:left w:val="nil"/>
                    <w:bottom w:val="single" w:color="auto" w:sz="4" w:space="0"/>
                    <w:right w:val="single" w:color="auto" w:sz="4" w:space="0"/>
                  </w:tcBorders>
                  <w:shd w:val="clear" w:color="auto" w:fill="auto"/>
                  <w:vAlign w:val="center"/>
                </w:tcPr>
                <w:p w14:paraId="29A1A75B">
                  <w:pPr>
                    <w:keepNext w:val="0"/>
                    <w:keepLines w:val="0"/>
                    <w:widowControl w:val="0"/>
                    <w:suppressLineNumbers w:val="0"/>
                    <w:spacing w:before="0" w:beforeAutospacing="0" w:after="0" w:afterAutospacing="0"/>
                    <w:ind w:left="0" w:right="0"/>
                    <w:jc w:val="center"/>
                    <w:rPr>
                      <w:rFonts w:hint="default" w:ascii="Times New Roman" w:hAnsi="Times New Roman" w:eastAsia="宋体" w:cs="Times New Roman"/>
                      <w:b/>
                      <w:bCs/>
                      <w:color w:val="auto"/>
                      <w:kern w:val="2"/>
                      <w:sz w:val="21"/>
                      <w:szCs w:val="21"/>
                    </w:rPr>
                  </w:pPr>
                  <w:r>
                    <w:rPr>
                      <w:rFonts w:hint="eastAsia" w:ascii="宋体" w:hAnsi="宋体" w:eastAsia="宋体" w:cs="宋体"/>
                      <w:b/>
                      <w:bCs/>
                      <w:color w:val="auto"/>
                      <w:kern w:val="2"/>
                      <w:sz w:val="21"/>
                      <w:szCs w:val="21"/>
                      <w:lang w:val="en-US" w:eastAsia="zh-CN" w:bidi="ar"/>
                    </w:rPr>
                    <w:t>削减量</w:t>
                  </w:r>
                </w:p>
                <w:p w14:paraId="1E40ACE9">
                  <w:pPr>
                    <w:keepNext w:val="0"/>
                    <w:keepLines w:val="0"/>
                    <w:widowControl w:val="0"/>
                    <w:suppressLineNumbers w:val="0"/>
                    <w:spacing w:before="0" w:beforeAutospacing="0" w:after="0" w:afterAutospacing="0"/>
                    <w:ind w:left="0" w:right="0"/>
                    <w:jc w:val="center"/>
                    <w:rPr>
                      <w:rFonts w:hint="default" w:ascii="Times New Roman" w:hAnsi="Times New Roman" w:eastAsia="宋体" w:cs="Times New Roman"/>
                      <w:b/>
                      <w:bCs/>
                      <w:color w:val="auto"/>
                      <w:kern w:val="2"/>
                      <w:sz w:val="21"/>
                      <w:szCs w:val="21"/>
                    </w:rPr>
                  </w:pPr>
                  <w:r>
                    <w:rPr>
                      <w:rFonts w:hint="eastAsia" w:ascii="宋体" w:hAnsi="宋体" w:eastAsia="宋体" w:cs="宋体"/>
                      <w:b/>
                      <w:bCs/>
                      <w:color w:val="auto"/>
                      <w:kern w:val="2"/>
                      <w:sz w:val="21"/>
                      <w:szCs w:val="21"/>
                      <w:lang w:val="en-US" w:eastAsia="zh-CN" w:bidi="ar"/>
                    </w:rPr>
                    <w:t>（</w:t>
                  </w:r>
                  <w:r>
                    <w:rPr>
                      <w:rFonts w:hint="default" w:ascii="Times New Roman" w:hAnsi="Times New Roman" w:eastAsia="宋体" w:cs="Times New Roman"/>
                      <w:b/>
                      <w:bCs/>
                      <w:color w:val="auto"/>
                      <w:kern w:val="2"/>
                      <w:sz w:val="21"/>
                      <w:szCs w:val="21"/>
                      <w:lang w:val="en-US" w:eastAsia="zh-CN" w:bidi="ar"/>
                    </w:rPr>
                    <w:t>t/a</w:t>
                  </w:r>
                  <w:r>
                    <w:rPr>
                      <w:rFonts w:hint="eastAsia" w:ascii="宋体" w:hAnsi="宋体" w:eastAsia="宋体" w:cs="宋体"/>
                      <w:b/>
                      <w:bCs/>
                      <w:color w:val="auto"/>
                      <w:kern w:val="2"/>
                      <w:sz w:val="21"/>
                      <w:szCs w:val="21"/>
                      <w:lang w:val="en-US" w:eastAsia="zh-CN" w:bidi="ar"/>
                    </w:rPr>
                    <w:t>）</w:t>
                  </w:r>
                </w:p>
              </w:tc>
              <w:tc>
                <w:tcPr>
                  <w:tcW w:w="2851" w:type="dxa"/>
                  <w:gridSpan w:val="3"/>
                  <w:tcBorders>
                    <w:top w:val="single" w:color="auto" w:sz="4" w:space="0"/>
                    <w:left w:val="nil"/>
                    <w:bottom w:val="single" w:color="auto" w:sz="4" w:space="0"/>
                    <w:right w:val="single" w:color="auto" w:sz="4" w:space="0"/>
                  </w:tcBorders>
                  <w:shd w:val="clear" w:color="auto" w:fill="auto"/>
                  <w:vAlign w:val="center"/>
                </w:tcPr>
                <w:p w14:paraId="36636432">
                  <w:pPr>
                    <w:keepNext w:val="0"/>
                    <w:keepLines w:val="0"/>
                    <w:widowControl w:val="0"/>
                    <w:suppressLineNumbers w:val="0"/>
                    <w:spacing w:before="0" w:beforeAutospacing="0" w:after="0" w:afterAutospacing="0"/>
                    <w:ind w:left="0" w:right="0"/>
                    <w:jc w:val="center"/>
                    <w:rPr>
                      <w:rFonts w:hint="default" w:ascii="Times New Roman" w:hAnsi="Times New Roman" w:eastAsia="宋体" w:cs="Times New Roman"/>
                      <w:b/>
                      <w:bCs/>
                      <w:color w:val="auto"/>
                      <w:kern w:val="2"/>
                      <w:sz w:val="21"/>
                      <w:szCs w:val="21"/>
                    </w:rPr>
                  </w:pPr>
                  <w:r>
                    <w:rPr>
                      <w:rFonts w:hint="eastAsia" w:ascii="宋体" w:hAnsi="宋体" w:eastAsia="宋体" w:cs="宋体"/>
                      <w:b/>
                      <w:bCs/>
                      <w:color w:val="auto"/>
                      <w:kern w:val="2"/>
                      <w:sz w:val="21"/>
                      <w:szCs w:val="21"/>
                      <w:lang w:val="en-US" w:eastAsia="zh-CN" w:bidi="ar"/>
                    </w:rPr>
                    <w:t>有组织</w:t>
                  </w:r>
                </w:p>
              </w:tc>
              <w:tc>
                <w:tcPr>
                  <w:tcW w:w="1743" w:type="dxa"/>
                  <w:gridSpan w:val="2"/>
                  <w:tcBorders>
                    <w:top w:val="single" w:color="auto" w:sz="4" w:space="0"/>
                    <w:left w:val="nil"/>
                    <w:bottom w:val="single" w:color="auto" w:sz="4" w:space="0"/>
                    <w:right w:val="single" w:color="auto" w:sz="4" w:space="0"/>
                  </w:tcBorders>
                  <w:shd w:val="clear" w:color="auto" w:fill="auto"/>
                  <w:vAlign w:val="center"/>
                </w:tcPr>
                <w:p w14:paraId="6DA19FD0">
                  <w:pPr>
                    <w:keepNext w:val="0"/>
                    <w:keepLines w:val="0"/>
                    <w:widowControl w:val="0"/>
                    <w:suppressLineNumbers w:val="0"/>
                    <w:spacing w:before="0" w:beforeAutospacing="0" w:after="0" w:afterAutospacing="0"/>
                    <w:ind w:left="0" w:right="0"/>
                    <w:jc w:val="center"/>
                    <w:rPr>
                      <w:rFonts w:hint="default" w:ascii="Times New Roman" w:hAnsi="Times New Roman" w:eastAsia="宋体" w:cs="Times New Roman"/>
                      <w:b/>
                      <w:bCs/>
                      <w:color w:val="auto"/>
                      <w:kern w:val="2"/>
                      <w:sz w:val="21"/>
                      <w:szCs w:val="21"/>
                    </w:rPr>
                  </w:pPr>
                  <w:r>
                    <w:rPr>
                      <w:rFonts w:hint="eastAsia" w:ascii="宋体" w:hAnsi="宋体" w:eastAsia="宋体" w:cs="宋体"/>
                      <w:b/>
                      <w:bCs/>
                      <w:color w:val="auto"/>
                      <w:kern w:val="2"/>
                      <w:sz w:val="21"/>
                      <w:szCs w:val="21"/>
                      <w:lang w:val="en-US" w:eastAsia="zh-CN" w:bidi="ar"/>
                    </w:rPr>
                    <w:t>无组织</w:t>
                  </w:r>
                </w:p>
              </w:tc>
            </w:tr>
            <w:tr w14:paraId="6DE8DB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3" w:hRule="atLeast"/>
                <w:jc w:val="center"/>
              </w:trPr>
              <w:tc>
                <w:tcPr>
                  <w:tcW w:w="404"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14:paraId="5D4E4558">
                  <w:pPr>
                    <w:keepNext w:val="0"/>
                    <w:keepLines w:val="0"/>
                    <w:suppressLineNumbers w:val="0"/>
                    <w:spacing w:before="0" w:beforeAutospacing="0" w:after="0" w:afterAutospacing="0"/>
                    <w:ind w:left="0" w:right="0"/>
                    <w:jc w:val="center"/>
                    <w:rPr>
                      <w:rFonts w:hint="default" w:ascii="Times New Roman" w:hAnsi="Times New Roman" w:cs="Times New Roman"/>
                      <w:color w:val="auto"/>
                      <w:sz w:val="20"/>
                      <w:szCs w:val="20"/>
                    </w:rPr>
                  </w:pPr>
                </w:p>
              </w:tc>
              <w:tc>
                <w:tcPr>
                  <w:tcW w:w="498" w:type="dxa"/>
                  <w:vMerge w:val="continue"/>
                  <w:tcBorders>
                    <w:top w:val="single" w:color="auto" w:sz="4" w:space="0"/>
                    <w:left w:val="nil"/>
                    <w:bottom w:val="single" w:color="auto" w:sz="4" w:space="0"/>
                    <w:right w:val="single" w:color="auto" w:sz="4" w:space="0"/>
                  </w:tcBorders>
                  <w:shd w:val="clear" w:color="auto" w:fill="auto"/>
                  <w:vAlign w:val="center"/>
                </w:tcPr>
                <w:p w14:paraId="56297E76">
                  <w:pPr>
                    <w:keepNext w:val="0"/>
                    <w:keepLines w:val="0"/>
                    <w:suppressLineNumbers w:val="0"/>
                    <w:spacing w:before="0" w:beforeAutospacing="0" w:after="0" w:afterAutospacing="0"/>
                    <w:ind w:left="0" w:right="0"/>
                    <w:jc w:val="center"/>
                    <w:rPr>
                      <w:rFonts w:hint="default" w:ascii="Times New Roman" w:hAnsi="Times New Roman" w:cs="Times New Roman"/>
                      <w:color w:val="auto"/>
                      <w:sz w:val="20"/>
                      <w:szCs w:val="20"/>
                    </w:rPr>
                  </w:pPr>
                </w:p>
              </w:tc>
              <w:tc>
                <w:tcPr>
                  <w:tcW w:w="641" w:type="dxa"/>
                  <w:vMerge w:val="continue"/>
                  <w:tcBorders>
                    <w:top w:val="single" w:color="auto" w:sz="4" w:space="0"/>
                    <w:left w:val="nil"/>
                    <w:bottom w:val="single" w:color="auto" w:sz="4" w:space="0"/>
                    <w:right w:val="single" w:color="auto" w:sz="4" w:space="0"/>
                  </w:tcBorders>
                  <w:shd w:val="clear" w:color="auto" w:fill="auto"/>
                  <w:vAlign w:val="center"/>
                </w:tcPr>
                <w:p w14:paraId="7CE3B02A">
                  <w:pPr>
                    <w:keepNext w:val="0"/>
                    <w:keepLines w:val="0"/>
                    <w:suppressLineNumbers w:val="0"/>
                    <w:spacing w:before="0" w:beforeAutospacing="0" w:after="0" w:afterAutospacing="0"/>
                    <w:ind w:left="0" w:right="0"/>
                    <w:jc w:val="center"/>
                    <w:rPr>
                      <w:rFonts w:hint="default" w:ascii="Times New Roman" w:hAnsi="Times New Roman" w:cs="Times New Roman"/>
                      <w:color w:val="auto"/>
                      <w:sz w:val="20"/>
                      <w:szCs w:val="20"/>
                    </w:rPr>
                  </w:pPr>
                </w:p>
              </w:tc>
              <w:tc>
                <w:tcPr>
                  <w:tcW w:w="695" w:type="dxa"/>
                  <w:vMerge w:val="continue"/>
                  <w:tcBorders>
                    <w:top w:val="single" w:color="auto" w:sz="4" w:space="0"/>
                    <w:left w:val="nil"/>
                    <w:bottom w:val="single" w:color="auto" w:sz="4" w:space="0"/>
                    <w:right w:val="single" w:color="auto" w:sz="4" w:space="0"/>
                  </w:tcBorders>
                  <w:shd w:val="clear" w:color="auto" w:fill="auto"/>
                  <w:vAlign w:val="center"/>
                </w:tcPr>
                <w:p w14:paraId="39DBD1CE">
                  <w:pPr>
                    <w:keepNext w:val="0"/>
                    <w:keepLines w:val="0"/>
                    <w:suppressLineNumbers w:val="0"/>
                    <w:spacing w:before="0" w:beforeAutospacing="0" w:after="0" w:afterAutospacing="0"/>
                    <w:ind w:left="0" w:right="0"/>
                    <w:jc w:val="center"/>
                    <w:rPr>
                      <w:rFonts w:hint="default" w:ascii="Times New Roman" w:hAnsi="Times New Roman" w:cs="Times New Roman"/>
                      <w:color w:val="auto"/>
                      <w:sz w:val="20"/>
                      <w:szCs w:val="20"/>
                    </w:rPr>
                  </w:pPr>
                </w:p>
              </w:tc>
              <w:tc>
                <w:tcPr>
                  <w:tcW w:w="717" w:type="dxa"/>
                  <w:vMerge w:val="continue"/>
                  <w:tcBorders>
                    <w:top w:val="single" w:color="auto" w:sz="4" w:space="0"/>
                    <w:left w:val="nil"/>
                    <w:bottom w:val="single" w:color="auto" w:sz="4" w:space="0"/>
                    <w:right w:val="single" w:color="auto" w:sz="4" w:space="0"/>
                  </w:tcBorders>
                  <w:shd w:val="clear" w:color="auto" w:fill="auto"/>
                  <w:vAlign w:val="center"/>
                </w:tcPr>
                <w:p w14:paraId="1123B618">
                  <w:pPr>
                    <w:keepNext w:val="0"/>
                    <w:keepLines w:val="0"/>
                    <w:suppressLineNumbers w:val="0"/>
                    <w:spacing w:before="0" w:beforeAutospacing="0" w:after="0" w:afterAutospacing="0"/>
                    <w:ind w:left="0" w:right="0"/>
                    <w:jc w:val="center"/>
                    <w:rPr>
                      <w:rFonts w:hint="default" w:ascii="Times New Roman" w:hAnsi="Times New Roman" w:cs="Times New Roman"/>
                      <w:color w:val="auto"/>
                      <w:sz w:val="20"/>
                      <w:szCs w:val="20"/>
                    </w:rPr>
                  </w:pPr>
                </w:p>
              </w:tc>
              <w:tc>
                <w:tcPr>
                  <w:tcW w:w="798" w:type="dxa"/>
                  <w:vMerge w:val="continue"/>
                  <w:tcBorders>
                    <w:top w:val="single" w:color="auto" w:sz="4" w:space="0"/>
                    <w:left w:val="nil"/>
                    <w:bottom w:val="single" w:color="auto" w:sz="4" w:space="0"/>
                    <w:right w:val="single" w:color="auto" w:sz="4" w:space="0"/>
                  </w:tcBorders>
                  <w:shd w:val="clear" w:color="auto" w:fill="auto"/>
                  <w:vAlign w:val="center"/>
                </w:tcPr>
                <w:p w14:paraId="7714C8CD">
                  <w:pPr>
                    <w:keepNext w:val="0"/>
                    <w:keepLines w:val="0"/>
                    <w:suppressLineNumbers w:val="0"/>
                    <w:spacing w:before="0" w:beforeAutospacing="0" w:after="0" w:afterAutospacing="0"/>
                    <w:ind w:left="0" w:right="0"/>
                    <w:jc w:val="center"/>
                    <w:rPr>
                      <w:rFonts w:hint="default" w:ascii="Times New Roman" w:hAnsi="Times New Roman" w:cs="Times New Roman"/>
                      <w:color w:val="auto"/>
                      <w:sz w:val="20"/>
                      <w:szCs w:val="20"/>
                    </w:rPr>
                  </w:pPr>
                </w:p>
              </w:tc>
              <w:tc>
                <w:tcPr>
                  <w:tcW w:w="1108" w:type="dxa"/>
                  <w:tcBorders>
                    <w:top w:val="single" w:color="auto" w:sz="4" w:space="0"/>
                    <w:left w:val="nil"/>
                    <w:bottom w:val="single" w:color="auto" w:sz="4" w:space="0"/>
                    <w:right w:val="single" w:color="auto" w:sz="4" w:space="0"/>
                  </w:tcBorders>
                  <w:shd w:val="clear" w:color="auto" w:fill="auto"/>
                  <w:vAlign w:val="center"/>
                </w:tcPr>
                <w:p w14:paraId="538B26E6">
                  <w:pPr>
                    <w:keepNext w:val="0"/>
                    <w:keepLines w:val="0"/>
                    <w:widowControl w:val="0"/>
                    <w:suppressLineNumbers w:val="0"/>
                    <w:spacing w:before="0" w:beforeAutospacing="0" w:after="0" w:afterAutospacing="0"/>
                    <w:ind w:left="0" w:right="0"/>
                    <w:jc w:val="center"/>
                    <w:rPr>
                      <w:rFonts w:hint="default" w:ascii="Times New Roman" w:hAnsi="Times New Roman" w:eastAsia="宋体" w:cs="Times New Roman"/>
                      <w:b/>
                      <w:bCs/>
                      <w:color w:val="auto"/>
                      <w:kern w:val="2"/>
                      <w:sz w:val="21"/>
                      <w:szCs w:val="21"/>
                    </w:rPr>
                  </w:pPr>
                  <w:r>
                    <w:rPr>
                      <w:rFonts w:hint="eastAsia" w:ascii="宋体" w:hAnsi="宋体" w:eastAsia="宋体" w:cs="宋体"/>
                      <w:b/>
                      <w:bCs/>
                      <w:color w:val="auto"/>
                      <w:kern w:val="2"/>
                      <w:sz w:val="21"/>
                      <w:szCs w:val="21"/>
                      <w:lang w:val="en-US" w:eastAsia="zh-CN" w:bidi="ar"/>
                    </w:rPr>
                    <w:t>排放浓度（</w:t>
                  </w:r>
                  <w:r>
                    <w:rPr>
                      <w:rFonts w:hint="default" w:ascii="Times New Roman" w:hAnsi="Times New Roman" w:eastAsia="宋体" w:cs="Times New Roman"/>
                      <w:b/>
                      <w:bCs/>
                      <w:color w:val="auto"/>
                      <w:kern w:val="2"/>
                      <w:sz w:val="21"/>
                      <w:szCs w:val="21"/>
                      <w:lang w:val="en-US" w:eastAsia="zh-CN" w:bidi="ar"/>
                    </w:rPr>
                    <w:t>mg/m</w:t>
                  </w:r>
                  <w:r>
                    <w:rPr>
                      <w:rFonts w:hint="default" w:ascii="Times New Roman" w:hAnsi="Times New Roman" w:eastAsia="宋体" w:cs="Times New Roman"/>
                      <w:b/>
                      <w:bCs/>
                      <w:color w:val="auto"/>
                      <w:kern w:val="2"/>
                      <w:sz w:val="21"/>
                      <w:szCs w:val="21"/>
                      <w:vertAlign w:val="superscript"/>
                      <w:lang w:val="en-US" w:eastAsia="zh-CN" w:bidi="ar"/>
                    </w:rPr>
                    <w:t>3</w:t>
                  </w:r>
                  <w:r>
                    <w:rPr>
                      <w:rFonts w:hint="eastAsia" w:ascii="宋体" w:hAnsi="宋体" w:eastAsia="宋体" w:cs="宋体"/>
                      <w:b/>
                      <w:bCs/>
                      <w:color w:val="auto"/>
                      <w:kern w:val="2"/>
                      <w:sz w:val="21"/>
                      <w:szCs w:val="21"/>
                      <w:lang w:val="en-US" w:eastAsia="zh-CN" w:bidi="ar"/>
                    </w:rPr>
                    <w:t>）</w:t>
                  </w:r>
                </w:p>
              </w:tc>
              <w:tc>
                <w:tcPr>
                  <w:tcW w:w="945" w:type="dxa"/>
                  <w:tcBorders>
                    <w:top w:val="single" w:color="auto" w:sz="4" w:space="0"/>
                    <w:left w:val="nil"/>
                    <w:bottom w:val="single" w:color="auto" w:sz="4" w:space="0"/>
                    <w:right w:val="single" w:color="auto" w:sz="4" w:space="0"/>
                  </w:tcBorders>
                  <w:shd w:val="clear" w:color="auto" w:fill="auto"/>
                  <w:vAlign w:val="center"/>
                </w:tcPr>
                <w:p w14:paraId="0E40062E">
                  <w:pPr>
                    <w:keepNext w:val="0"/>
                    <w:keepLines w:val="0"/>
                    <w:widowControl w:val="0"/>
                    <w:suppressLineNumbers w:val="0"/>
                    <w:spacing w:before="0" w:beforeAutospacing="0" w:after="0" w:afterAutospacing="0"/>
                    <w:ind w:left="0" w:right="0"/>
                    <w:jc w:val="center"/>
                    <w:rPr>
                      <w:rFonts w:hint="default" w:ascii="Times New Roman" w:hAnsi="Times New Roman" w:eastAsia="宋体" w:cs="Times New Roman"/>
                      <w:b/>
                      <w:bCs/>
                      <w:color w:val="auto"/>
                      <w:kern w:val="2"/>
                      <w:sz w:val="21"/>
                      <w:szCs w:val="21"/>
                    </w:rPr>
                  </w:pPr>
                  <w:r>
                    <w:rPr>
                      <w:rFonts w:hint="eastAsia" w:ascii="宋体" w:hAnsi="宋体" w:eastAsia="宋体" w:cs="宋体"/>
                      <w:b/>
                      <w:bCs/>
                      <w:color w:val="auto"/>
                      <w:kern w:val="2"/>
                      <w:sz w:val="21"/>
                      <w:szCs w:val="21"/>
                      <w:lang w:val="en-US" w:eastAsia="zh-CN" w:bidi="ar"/>
                    </w:rPr>
                    <w:t>排放</w:t>
                  </w:r>
                </w:p>
                <w:p w14:paraId="05AC310C">
                  <w:pPr>
                    <w:keepNext w:val="0"/>
                    <w:keepLines w:val="0"/>
                    <w:widowControl w:val="0"/>
                    <w:suppressLineNumbers w:val="0"/>
                    <w:spacing w:before="0" w:beforeAutospacing="0" w:after="0" w:afterAutospacing="0"/>
                    <w:ind w:left="0" w:right="0"/>
                    <w:jc w:val="center"/>
                    <w:rPr>
                      <w:rFonts w:hint="default" w:ascii="Times New Roman" w:hAnsi="Times New Roman" w:eastAsia="宋体" w:cs="Times New Roman"/>
                      <w:b/>
                      <w:bCs/>
                      <w:color w:val="auto"/>
                      <w:kern w:val="2"/>
                      <w:sz w:val="21"/>
                      <w:szCs w:val="21"/>
                    </w:rPr>
                  </w:pPr>
                  <w:r>
                    <w:rPr>
                      <w:rFonts w:hint="eastAsia" w:ascii="宋体" w:hAnsi="宋体" w:eastAsia="宋体" w:cs="宋体"/>
                      <w:b/>
                      <w:bCs/>
                      <w:color w:val="auto"/>
                      <w:kern w:val="2"/>
                      <w:sz w:val="21"/>
                      <w:szCs w:val="21"/>
                      <w:lang w:val="en-US" w:eastAsia="zh-CN" w:bidi="ar"/>
                    </w:rPr>
                    <w:t>速率（</w:t>
                  </w:r>
                  <w:r>
                    <w:rPr>
                      <w:rFonts w:hint="default" w:ascii="Times New Roman" w:hAnsi="Times New Roman" w:eastAsia="宋体" w:cs="Times New Roman"/>
                      <w:b/>
                      <w:bCs/>
                      <w:color w:val="auto"/>
                      <w:kern w:val="2"/>
                      <w:sz w:val="21"/>
                      <w:szCs w:val="21"/>
                      <w:lang w:val="en-US" w:eastAsia="zh-CN" w:bidi="ar"/>
                    </w:rPr>
                    <w:t>kg/h</w:t>
                  </w:r>
                  <w:r>
                    <w:rPr>
                      <w:rFonts w:hint="eastAsia" w:ascii="宋体" w:hAnsi="宋体" w:eastAsia="宋体" w:cs="宋体"/>
                      <w:b/>
                      <w:bCs/>
                      <w:color w:val="auto"/>
                      <w:kern w:val="2"/>
                      <w:sz w:val="21"/>
                      <w:szCs w:val="21"/>
                      <w:lang w:val="en-US" w:eastAsia="zh-CN" w:bidi="ar"/>
                    </w:rPr>
                    <w:t>）</w:t>
                  </w:r>
                </w:p>
              </w:tc>
              <w:tc>
                <w:tcPr>
                  <w:tcW w:w="798" w:type="dxa"/>
                  <w:tcBorders>
                    <w:top w:val="single" w:color="auto" w:sz="4" w:space="0"/>
                    <w:left w:val="nil"/>
                    <w:bottom w:val="single" w:color="auto" w:sz="4" w:space="0"/>
                    <w:right w:val="single" w:color="auto" w:sz="4" w:space="0"/>
                  </w:tcBorders>
                  <w:shd w:val="clear" w:color="auto" w:fill="auto"/>
                  <w:vAlign w:val="center"/>
                </w:tcPr>
                <w:p w14:paraId="7AA476C6">
                  <w:pPr>
                    <w:keepNext w:val="0"/>
                    <w:keepLines w:val="0"/>
                    <w:widowControl w:val="0"/>
                    <w:suppressLineNumbers w:val="0"/>
                    <w:spacing w:before="0" w:beforeAutospacing="0" w:after="0" w:afterAutospacing="0"/>
                    <w:ind w:left="0" w:right="0"/>
                    <w:jc w:val="center"/>
                    <w:rPr>
                      <w:rFonts w:hint="default" w:ascii="Times New Roman" w:hAnsi="Times New Roman" w:eastAsia="宋体" w:cs="Times New Roman"/>
                      <w:b/>
                      <w:bCs/>
                      <w:color w:val="auto"/>
                      <w:kern w:val="2"/>
                      <w:sz w:val="21"/>
                      <w:szCs w:val="21"/>
                    </w:rPr>
                  </w:pPr>
                  <w:r>
                    <w:rPr>
                      <w:rFonts w:hint="eastAsia" w:ascii="宋体" w:hAnsi="宋体" w:eastAsia="宋体" w:cs="宋体"/>
                      <w:b/>
                      <w:bCs/>
                      <w:color w:val="auto"/>
                      <w:kern w:val="2"/>
                      <w:sz w:val="21"/>
                      <w:szCs w:val="21"/>
                      <w:lang w:val="en-US" w:eastAsia="zh-CN" w:bidi="ar"/>
                    </w:rPr>
                    <w:t>排放量（</w:t>
                  </w:r>
                  <w:r>
                    <w:rPr>
                      <w:rFonts w:hint="default" w:ascii="Times New Roman" w:hAnsi="Times New Roman" w:eastAsia="宋体" w:cs="Times New Roman"/>
                      <w:b/>
                      <w:bCs/>
                      <w:color w:val="auto"/>
                      <w:kern w:val="2"/>
                      <w:sz w:val="21"/>
                      <w:szCs w:val="21"/>
                      <w:lang w:val="en-US" w:eastAsia="zh-CN" w:bidi="ar"/>
                    </w:rPr>
                    <w:t>t/a</w:t>
                  </w:r>
                  <w:r>
                    <w:rPr>
                      <w:rFonts w:hint="eastAsia" w:ascii="宋体" w:hAnsi="宋体" w:eastAsia="宋体" w:cs="宋体"/>
                      <w:b/>
                      <w:bCs/>
                      <w:color w:val="auto"/>
                      <w:kern w:val="2"/>
                      <w:sz w:val="21"/>
                      <w:szCs w:val="21"/>
                      <w:lang w:val="en-US" w:eastAsia="zh-CN" w:bidi="ar"/>
                    </w:rPr>
                    <w:t>）</w:t>
                  </w:r>
                </w:p>
              </w:tc>
              <w:tc>
                <w:tcPr>
                  <w:tcW w:w="945" w:type="dxa"/>
                  <w:tcBorders>
                    <w:top w:val="single" w:color="auto" w:sz="4" w:space="0"/>
                    <w:left w:val="nil"/>
                    <w:bottom w:val="single" w:color="auto" w:sz="4" w:space="0"/>
                    <w:right w:val="single" w:color="auto" w:sz="4" w:space="0"/>
                  </w:tcBorders>
                  <w:shd w:val="clear" w:color="auto" w:fill="auto"/>
                  <w:vAlign w:val="center"/>
                </w:tcPr>
                <w:p w14:paraId="7A7458D6">
                  <w:pPr>
                    <w:keepNext w:val="0"/>
                    <w:keepLines w:val="0"/>
                    <w:widowControl w:val="0"/>
                    <w:suppressLineNumbers w:val="0"/>
                    <w:spacing w:before="0" w:beforeAutospacing="0" w:after="0" w:afterAutospacing="0"/>
                    <w:ind w:left="0" w:right="0"/>
                    <w:jc w:val="center"/>
                    <w:rPr>
                      <w:rFonts w:hint="default" w:ascii="Times New Roman" w:hAnsi="Times New Roman" w:eastAsia="宋体" w:cs="Times New Roman"/>
                      <w:b/>
                      <w:bCs/>
                      <w:color w:val="auto"/>
                      <w:kern w:val="2"/>
                      <w:sz w:val="21"/>
                      <w:szCs w:val="21"/>
                    </w:rPr>
                  </w:pPr>
                  <w:r>
                    <w:rPr>
                      <w:rFonts w:hint="eastAsia" w:ascii="宋体" w:hAnsi="宋体" w:eastAsia="宋体" w:cs="宋体"/>
                      <w:b/>
                      <w:bCs/>
                      <w:color w:val="auto"/>
                      <w:kern w:val="2"/>
                      <w:sz w:val="21"/>
                      <w:szCs w:val="21"/>
                      <w:lang w:val="en-US" w:eastAsia="zh-CN" w:bidi="ar"/>
                    </w:rPr>
                    <w:t>排放</w:t>
                  </w:r>
                </w:p>
                <w:p w14:paraId="65DF0DE0">
                  <w:pPr>
                    <w:keepNext w:val="0"/>
                    <w:keepLines w:val="0"/>
                    <w:widowControl w:val="0"/>
                    <w:suppressLineNumbers w:val="0"/>
                    <w:spacing w:before="0" w:beforeAutospacing="0" w:after="0" w:afterAutospacing="0"/>
                    <w:ind w:left="0" w:right="0"/>
                    <w:jc w:val="center"/>
                    <w:rPr>
                      <w:rFonts w:hint="default" w:ascii="Times New Roman" w:hAnsi="Times New Roman" w:eastAsia="宋体" w:cs="Times New Roman"/>
                      <w:b/>
                      <w:bCs/>
                      <w:color w:val="auto"/>
                      <w:kern w:val="2"/>
                      <w:sz w:val="21"/>
                      <w:szCs w:val="21"/>
                    </w:rPr>
                  </w:pPr>
                  <w:r>
                    <w:rPr>
                      <w:rFonts w:hint="eastAsia" w:ascii="宋体" w:hAnsi="宋体" w:eastAsia="宋体" w:cs="宋体"/>
                      <w:b/>
                      <w:bCs/>
                      <w:color w:val="auto"/>
                      <w:kern w:val="2"/>
                      <w:sz w:val="21"/>
                      <w:szCs w:val="21"/>
                      <w:lang w:val="en-US" w:eastAsia="zh-CN" w:bidi="ar"/>
                    </w:rPr>
                    <w:t>速率（</w:t>
                  </w:r>
                  <w:r>
                    <w:rPr>
                      <w:rFonts w:hint="default" w:ascii="Times New Roman" w:hAnsi="Times New Roman" w:eastAsia="宋体" w:cs="Times New Roman"/>
                      <w:b/>
                      <w:bCs/>
                      <w:color w:val="auto"/>
                      <w:kern w:val="2"/>
                      <w:sz w:val="21"/>
                      <w:szCs w:val="21"/>
                      <w:lang w:val="en-US" w:eastAsia="zh-CN" w:bidi="ar"/>
                    </w:rPr>
                    <w:t>kg/h</w:t>
                  </w:r>
                  <w:r>
                    <w:rPr>
                      <w:rFonts w:hint="eastAsia" w:ascii="宋体" w:hAnsi="宋体" w:eastAsia="宋体" w:cs="宋体"/>
                      <w:b/>
                      <w:bCs/>
                      <w:color w:val="auto"/>
                      <w:kern w:val="2"/>
                      <w:sz w:val="21"/>
                      <w:szCs w:val="21"/>
                      <w:lang w:val="en-US" w:eastAsia="zh-CN" w:bidi="ar"/>
                    </w:rPr>
                    <w:t>）</w:t>
                  </w:r>
                </w:p>
              </w:tc>
              <w:tc>
                <w:tcPr>
                  <w:tcW w:w="798" w:type="dxa"/>
                  <w:tcBorders>
                    <w:top w:val="single" w:color="auto" w:sz="4" w:space="0"/>
                    <w:left w:val="nil"/>
                    <w:bottom w:val="single" w:color="auto" w:sz="4" w:space="0"/>
                    <w:right w:val="single" w:color="auto" w:sz="4" w:space="0"/>
                  </w:tcBorders>
                  <w:shd w:val="clear" w:color="auto" w:fill="auto"/>
                  <w:vAlign w:val="center"/>
                </w:tcPr>
                <w:p w14:paraId="6F11DE9B">
                  <w:pPr>
                    <w:keepNext w:val="0"/>
                    <w:keepLines w:val="0"/>
                    <w:widowControl w:val="0"/>
                    <w:suppressLineNumbers w:val="0"/>
                    <w:spacing w:before="0" w:beforeAutospacing="0" w:after="0" w:afterAutospacing="0"/>
                    <w:ind w:left="0" w:right="0"/>
                    <w:jc w:val="center"/>
                    <w:rPr>
                      <w:rFonts w:hint="default" w:ascii="Times New Roman" w:hAnsi="Times New Roman" w:eastAsia="宋体" w:cs="Times New Roman"/>
                      <w:b/>
                      <w:bCs/>
                      <w:color w:val="auto"/>
                      <w:kern w:val="2"/>
                      <w:sz w:val="21"/>
                      <w:szCs w:val="21"/>
                    </w:rPr>
                  </w:pPr>
                  <w:r>
                    <w:rPr>
                      <w:rFonts w:hint="eastAsia" w:ascii="宋体" w:hAnsi="宋体" w:eastAsia="宋体" w:cs="宋体"/>
                      <w:b/>
                      <w:bCs/>
                      <w:color w:val="auto"/>
                      <w:kern w:val="2"/>
                      <w:sz w:val="21"/>
                      <w:szCs w:val="21"/>
                      <w:lang w:val="en-US" w:eastAsia="zh-CN" w:bidi="ar"/>
                    </w:rPr>
                    <w:t>排放量（</w:t>
                  </w:r>
                  <w:r>
                    <w:rPr>
                      <w:rFonts w:hint="default" w:ascii="Times New Roman" w:hAnsi="Times New Roman" w:eastAsia="宋体" w:cs="Times New Roman"/>
                      <w:b/>
                      <w:bCs/>
                      <w:color w:val="auto"/>
                      <w:kern w:val="2"/>
                      <w:sz w:val="21"/>
                      <w:szCs w:val="21"/>
                      <w:lang w:val="en-US" w:eastAsia="zh-CN" w:bidi="ar"/>
                    </w:rPr>
                    <w:t>t/a</w:t>
                  </w:r>
                  <w:r>
                    <w:rPr>
                      <w:rFonts w:hint="eastAsia" w:ascii="宋体" w:hAnsi="宋体" w:eastAsia="宋体" w:cs="宋体"/>
                      <w:b/>
                      <w:bCs/>
                      <w:color w:val="auto"/>
                      <w:kern w:val="2"/>
                      <w:sz w:val="21"/>
                      <w:szCs w:val="21"/>
                      <w:lang w:val="en-US" w:eastAsia="zh-CN" w:bidi="ar"/>
                    </w:rPr>
                    <w:t>）</w:t>
                  </w:r>
                </w:p>
              </w:tc>
            </w:tr>
            <w:tr w14:paraId="2DA362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404" w:type="dxa"/>
                  <w:tcBorders>
                    <w:top w:val="single" w:color="auto" w:sz="4" w:space="0"/>
                    <w:left w:val="single" w:color="auto" w:sz="4" w:space="0"/>
                    <w:bottom w:val="single" w:color="auto" w:sz="4" w:space="0"/>
                    <w:right w:val="single" w:color="auto" w:sz="4" w:space="0"/>
                  </w:tcBorders>
                  <w:shd w:val="clear" w:color="auto" w:fill="auto"/>
                  <w:vAlign w:val="center"/>
                </w:tcPr>
                <w:p w14:paraId="178A5F54">
                  <w:pPr>
                    <w:keepNext w:val="0"/>
                    <w:keepLines w:val="0"/>
                    <w:widowControl w:val="0"/>
                    <w:suppressLineNumbers w:val="0"/>
                    <w:spacing w:before="0" w:beforeAutospacing="0" w:after="0" w:afterAutospacing="0"/>
                    <w:ind w:left="0" w:leftChars="0" w:right="0" w:rightChars="0"/>
                    <w:jc w:val="center"/>
                    <w:rPr>
                      <w:rFonts w:hint="eastAsia" w:ascii="宋体" w:hAnsi="宋体" w:eastAsia="宋体" w:cs="宋体"/>
                      <w:color w:val="auto"/>
                      <w:kern w:val="2"/>
                      <w:sz w:val="21"/>
                      <w:szCs w:val="21"/>
                      <w:lang w:val="en-US" w:eastAsia="zh-CN" w:bidi="ar"/>
                    </w:rPr>
                  </w:pPr>
                  <w:r>
                    <w:rPr>
                      <w:rFonts w:hint="eastAsia" w:ascii="宋体" w:hAnsi="宋体" w:eastAsia="宋体" w:cs="宋体"/>
                      <w:color w:val="auto"/>
                      <w:kern w:val="2"/>
                      <w:sz w:val="21"/>
                      <w:szCs w:val="21"/>
                      <w:lang w:val="en-US" w:eastAsia="zh-CN" w:bidi="ar"/>
                    </w:rPr>
                    <w:t>固化废气</w:t>
                  </w:r>
                </w:p>
              </w:tc>
              <w:tc>
                <w:tcPr>
                  <w:tcW w:w="498" w:type="dxa"/>
                  <w:tcBorders>
                    <w:top w:val="single" w:color="auto" w:sz="4" w:space="0"/>
                    <w:left w:val="nil"/>
                    <w:bottom w:val="single" w:color="auto" w:sz="4" w:space="0"/>
                    <w:right w:val="single" w:color="auto" w:sz="4" w:space="0"/>
                  </w:tcBorders>
                  <w:shd w:val="clear" w:color="auto" w:fill="auto"/>
                  <w:vAlign w:val="center"/>
                </w:tcPr>
                <w:p w14:paraId="17EC702D">
                  <w:pPr>
                    <w:keepNext w:val="0"/>
                    <w:keepLines w:val="0"/>
                    <w:widowControl w:val="0"/>
                    <w:suppressLineNumbers w:val="0"/>
                    <w:spacing w:before="0" w:beforeAutospacing="0" w:after="0" w:afterAutospacing="0"/>
                    <w:ind w:left="0" w:leftChars="0" w:right="0" w:rightChars="0"/>
                    <w:jc w:val="center"/>
                    <w:rPr>
                      <w:rFonts w:hint="eastAsia" w:ascii="宋体" w:hAnsi="宋体" w:eastAsia="宋体" w:cs="宋体"/>
                      <w:color w:val="auto"/>
                      <w:kern w:val="2"/>
                      <w:sz w:val="21"/>
                      <w:szCs w:val="21"/>
                      <w:lang w:val="en-US" w:eastAsia="zh-CN" w:bidi="ar"/>
                    </w:rPr>
                  </w:pPr>
                  <w:r>
                    <w:rPr>
                      <w:rFonts w:hint="eastAsia" w:ascii="宋体" w:hAnsi="宋体" w:eastAsia="宋体" w:cs="宋体"/>
                      <w:color w:val="auto"/>
                      <w:kern w:val="2"/>
                      <w:sz w:val="21"/>
                      <w:szCs w:val="21"/>
                      <w:lang w:val="en-US" w:eastAsia="zh-CN" w:bidi="ar"/>
                    </w:rPr>
                    <w:t>烘烤固化</w:t>
                  </w:r>
                </w:p>
              </w:tc>
              <w:tc>
                <w:tcPr>
                  <w:tcW w:w="641" w:type="dxa"/>
                  <w:tcBorders>
                    <w:top w:val="single" w:color="auto" w:sz="4" w:space="0"/>
                    <w:left w:val="nil"/>
                    <w:bottom w:val="single" w:color="auto" w:sz="4" w:space="0"/>
                    <w:right w:val="single" w:color="auto" w:sz="4" w:space="0"/>
                  </w:tcBorders>
                  <w:shd w:val="clear" w:color="auto" w:fill="auto"/>
                  <w:vAlign w:val="center"/>
                </w:tcPr>
                <w:p w14:paraId="70C54FBA">
                  <w:pPr>
                    <w:keepNext w:val="0"/>
                    <w:keepLines w:val="0"/>
                    <w:widowControl w:val="0"/>
                    <w:suppressLineNumbers w:val="0"/>
                    <w:spacing w:before="0" w:beforeAutospacing="0" w:after="0" w:afterAutospacing="0"/>
                    <w:ind w:left="0" w:leftChars="0" w:right="0" w:rightChars="0"/>
                    <w:jc w:val="center"/>
                    <w:rPr>
                      <w:rFonts w:hint="eastAsia" w:ascii="宋体" w:hAnsi="宋体" w:eastAsia="宋体" w:cs="宋体"/>
                      <w:color w:val="auto"/>
                      <w:kern w:val="2"/>
                      <w:sz w:val="21"/>
                      <w:szCs w:val="21"/>
                      <w:lang w:val="en-US" w:eastAsia="zh-CN" w:bidi="ar"/>
                    </w:rPr>
                  </w:pPr>
                  <w:r>
                    <w:rPr>
                      <w:rFonts w:hint="eastAsia" w:ascii="宋体" w:hAnsi="宋体" w:eastAsia="宋体" w:cs="宋体"/>
                      <w:color w:val="auto"/>
                      <w:kern w:val="2"/>
                      <w:sz w:val="21"/>
                      <w:szCs w:val="21"/>
                      <w:lang w:val="en-US" w:eastAsia="zh-CN" w:bidi="ar"/>
                    </w:rPr>
                    <w:t>非甲烷总烃</w:t>
                  </w:r>
                </w:p>
              </w:tc>
              <w:tc>
                <w:tcPr>
                  <w:tcW w:w="695" w:type="dxa"/>
                  <w:tcBorders>
                    <w:top w:val="single" w:color="auto" w:sz="4" w:space="0"/>
                    <w:left w:val="nil"/>
                    <w:bottom w:val="single" w:color="auto" w:sz="4" w:space="0"/>
                    <w:right w:val="single" w:color="auto" w:sz="4" w:space="0"/>
                  </w:tcBorders>
                  <w:shd w:val="clear" w:color="auto" w:fill="auto"/>
                  <w:vAlign w:val="center"/>
                </w:tcPr>
                <w:p w14:paraId="5BD965F2">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color w:val="auto"/>
                      <w:kern w:val="2"/>
                      <w:sz w:val="21"/>
                      <w:szCs w:val="21"/>
                      <w:lang w:val="en-US" w:eastAsia="zh-CN"/>
                    </w:rPr>
                  </w:pPr>
                  <w:r>
                    <w:rPr>
                      <w:rFonts w:hint="eastAsia" w:ascii="Times New Roman" w:hAnsi="Times New Roman" w:eastAsia="宋体" w:cs="Times New Roman"/>
                      <w:color w:val="00B050"/>
                      <w:kern w:val="2"/>
                      <w:sz w:val="21"/>
                      <w:szCs w:val="21"/>
                      <w:lang w:val="en-US" w:eastAsia="zh-CN"/>
                    </w:rPr>
                    <w:t>0.563</w:t>
                  </w:r>
                </w:p>
              </w:tc>
              <w:tc>
                <w:tcPr>
                  <w:tcW w:w="717" w:type="dxa"/>
                  <w:tcBorders>
                    <w:top w:val="single" w:color="auto" w:sz="4" w:space="0"/>
                    <w:left w:val="nil"/>
                    <w:bottom w:val="single" w:color="auto" w:sz="4" w:space="0"/>
                    <w:right w:val="single" w:color="auto" w:sz="4" w:space="0"/>
                  </w:tcBorders>
                  <w:shd w:val="clear" w:color="auto" w:fill="auto"/>
                  <w:vAlign w:val="center"/>
                </w:tcPr>
                <w:p w14:paraId="41EB766B">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color w:val="auto"/>
                      <w:kern w:val="2"/>
                      <w:sz w:val="21"/>
                      <w:szCs w:val="21"/>
                      <w:lang w:val="en-US" w:eastAsia="zh-CN"/>
                    </w:rPr>
                  </w:pPr>
                  <w:r>
                    <w:rPr>
                      <w:rFonts w:hint="eastAsia" w:ascii="Times New Roman" w:hAnsi="Times New Roman" w:eastAsia="宋体" w:cs="Times New Roman"/>
                      <w:color w:val="0000E1"/>
                      <w:kern w:val="2"/>
                      <w:sz w:val="21"/>
                      <w:szCs w:val="21"/>
                      <w:lang w:val="en-US" w:eastAsia="zh-CN"/>
                    </w:rPr>
                    <w:t>2.704</w:t>
                  </w:r>
                </w:p>
              </w:tc>
              <w:tc>
                <w:tcPr>
                  <w:tcW w:w="798" w:type="dxa"/>
                  <w:tcBorders>
                    <w:top w:val="single" w:color="auto" w:sz="4" w:space="0"/>
                    <w:left w:val="nil"/>
                    <w:bottom w:val="single" w:color="auto" w:sz="4" w:space="0"/>
                    <w:right w:val="single" w:color="auto" w:sz="4" w:space="0"/>
                  </w:tcBorders>
                  <w:shd w:val="clear" w:color="auto" w:fill="auto"/>
                  <w:vAlign w:val="center"/>
                </w:tcPr>
                <w:p w14:paraId="0F3A5434">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color w:val="0000E1"/>
                      <w:kern w:val="2"/>
                      <w:sz w:val="21"/>
                      <w:szCs w:val="21"/>
                      <w:lang w:val="en-US" w:eastAsia="zh-CN"/>
                    </w:rPr>
                  </w:pPr>
                  <w:r>
                    <w:rPr>
                      <w:rFonts w:hint="default" w:ascii="Times New Roman" w:hAnsi="Times New Roman" w:eastAsia="宋体" w:cs="Times New Roman"/>
                      <w:color w:val="0000E1"/>
                      <w:kern w:val="2"/>
                      <w:sz w:val="21"/>
                      <w:szCs w:val="21"/>
                      <w:lang w:val="en-US" w:eastAsia="zh-CN"/>
                    </w:rPr>
                    <w:t>2.055</w:t>
                  </w:r>
                </w:p>
              </w:tc>
              <w:tc>
                <w:tcPr>
                  <w:tcW w:w="1108" w:type="dxa"/>
                  <w:tcBorders>
                    <w:top w:val="single" w:color="auto" w:sz="4" w:space="0"/>
                    <w:left w:val="nil"/>
                    <w:bottom w:val="single" w:color="auto" w:sz="4" w:space="0"/>
                    <w:right w:val="single" w:color="auto" w:sz="4" w:space="0"/>
                  </w:tcBorders>
                  <w:shd w:val="clear" w:color="auto" w:fill="auto"/>
                  <w:vAlign w:val="center"/>
                </w:tcPr>
                <w:p w14:paraId="2E130B2C">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color w:val="0000E1"/>
                      <w:kern w:val="2"/>
                      <w:sz w:val="21"/>
                      <w:szCs w:val="21"/>
                      <w:lang w:val="en-US" w:eastAsia="zh-CN"/>
                    </w:rPr>
                  </w:pPr>
                  <w:r>
                    <w:rPr>
                      <w:rFonts w:hint="default" w:ascii="Times New Roman" w:hAnsi="Times New Roman" w:eastAsia="宋体" w:cs="Times New Roman"/>
                      <w:color w:val="0000E1"/>
                      <w:kern w:val="2"/>
                      <w:sz w:val="21"/>
                      <w:szCs w:val="21"/>
                      <w:lang w:val="en-US" w:eastAsia="zh-CN"/>
                    </w:rPr>
                    <w:t>2.9</w:t>
                  </w:r>
                </w:p>
              </w:tc>
              <w:tc>
                <w:tcPr>
                  <w:tcW w:w="945" w:type="dxa"/>
                  <w:tcBorders>
                    <w:top w:val="single" w:color="auto" w:sz="4" w:space="0"/>
                    <w:left w:val="nil"/>
                    <w:bottom w:val="single" w:color="auto" w:sz="4" w:space="0"/>
                    <w:right w:val="single" w:color="auto" w:sz="4" w:space="0"/>
                  </w:tcBorders>
                  <w:shd w:val="clear" w:color="auto" w:fill="auto"/>
                  <w:vAlign w:val="center"/>
                </w:tcPr>
                <w:p w14:paraId="737C6F18">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color w:val="0000E1"/>
                      <w:kern w:val="2"/>
                      <w:sz w:val="21"/>
                      <w:szCs w:val="21"/>
                      <w:lang w:val="en-US" w:eastAsia="zh-CN"/>
                    </w:rPr>
                  </w:pPr>
                  <w:r>
                    <w:rPr>
                      <w:rFonts w:hint="default" w:ascii="Times New Roman" w:hAnsi="Times New Roman" w:eastAsia="宋体" w:cs="Times New Roman"/>
                      <w:color w:val="0000E1"/>
                      <w:kern w:val="2"/>
                      <w:sz w:val="21"/>
                      <w:szCs w:val="21"/>
                      <w:lang w:val="en-US" w:eastAsia="zh-CN"/>
                    </w:rPr>
                    <w:t>0.107</w:t>
                  </w:r>
                </w:p>
              </w:tc>
              <w:tc>
                <w:tcPr>
                  <w:tcW w:w="798" w:type="dxa"/>
                  <w:tcBorders>
                    <w:top w:val="single" w:color="auto" w:sz="4" w:space="0"/>
                    <w:left w:val="nil"/>
                    <w:bottom w:val="single" w:color="auto" w:sz="4" w:space="0"/>
                    <w:right w:val="single" w:color="auto" w:sz="4" w:space="0"/>
                  </w:tcBorders>
                  <w:shd w:val="clear" w:color="auto" w:fill="auto"/>
                  <w:vAlign w:val="center"/>
                </w:tcPr>
                <w:p w14:paraId="3A49A709">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color w:val="0000E1"/>
                      <w:kern w:val="2"/>
                      <w:sz w:val="21"/>
                      <w:szCs w:val="21"/>
                      <w:lang w:val="en-US" w:eastAsia="zh-CN"/>
                    </w:rPr>
                  </w:pPr>
                  <w:r>
                    <w:rPr>
                      <w:rFonts w:hint="default" w:ascii="Times New Roman" w:hAnsi="Times New Roman" w:eastAsia="宋体" w:cs="Times New Roman"/>
                      <w:color w:val="0000E1"/>
                      <w:kern w:val="2"/>
                      <w:sz w:val="21"/>
                      <w:szCs w:val="21"/>
                      <w:lang w:val="en-US" w:eastAsia="zh-CN"/>
                    </w:rPr>
                    <w:t>0.514</w:t>
                  </w:r>
                </w:p>
              </w:tc>
              <w:tc>
                <w:tcPr>
                  <w:tcW w:w="945" w:type="dxa"/>
                  <w:tcBorders>
                    <w:top w:val="single" w:color="auto" w:sz="4" w:space="0"/>
                    <w:left w:val="nil"/>
                    <w:bottom w:val="single" w:color="auto" w:sz="4" w:space="0"/>
                    <w:right w:val="single" w:color="auto" w:sz="4" w:space="0"/>
                  </w:tcBorders>
                  <w:shd w:val="clear" w:color="auto" w:fill="auto"/>
                  <w:vAlign w:val="center"/>
                </w:tcPr>
                <w:p w14:paraId="622BF029">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color w:val="0000E1"/>
                      <w:kern w:val="2"/>
                      <w:sz w:val="21"/>
                      <w:szCs w:val="21"/>
                      <w:lang w:val="en-US" w:eastAsia="zh-CN"/>
                    </w:rPr>
                  </w:pPr>
                  <w:r>
                    <w:rPr>
                      <w:rFonts w:hint="default" w:ascii="Times New Roman" w:hAnsi="Times New Roman" w:eastAsia="宋体" w:cs="Times New Roman"/>
                      <w:color w:val="0000E1"/>
                      <w:kern w:val="2"/>
                      <w:sz w:val="21"/>
                      <w:szCs w:val="21"/>
                      <w:lang w:val="en-US" w:eastAsia="zh-CN"/>
                    </w:rPr>
                    <w:t>0.028</w:t>
                  </w:r>
                </w:p>
              </w:tc>
              <w:tc>
                <w:tcPr>
                  <w:tcW w:w="798" w:type="dxa"/>
                  <w:tcBorders>
                    <w:top w:val="single" w:color="auto" w:sz="4" w:space="0"/>
                    <w:left w:val="nil"/>
                    <w:bottom w:val="single" w:color="auto" w:sz="4" w:space="0"/>
                    <w:right w:val="single" w:color="auto" w:sz="4" w:space="0"/>
                  </w:tcBorders>
                  <w:shd w:val="clear" w:color="auto" w:fill="auto"/>
                  <w:vAlign w:val="center"/>
                </w:tcPr>
                <w:p w14:paraId="358D1B5A">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color w:val="0000E1"/>
                      <w:kern w:val="2"/>
                      <w:sz w:val="21"/>
                      <w:szCs w:val="21"/>
                      <w:lang w:val="en-US" w:eastAsia="zh-CN"/>
                    </w:rPr>
                  </w:pPr>
                  <w:r>
                    <w:rPr>
                      <w:rFonts w:hint="default" w:ascii="Times New Roman" w:hAnsi="Times New Roman" w:eastAsia="宋体" w:cs="Times New Roman"/>
                      <w:color w:val="0000E1"/>
                      <w:kern w:val="2"/>
                      <w:sz w:val="21"/>
                      <w:szCs w:val="21"/>
                      <w:lang w:val="en-US" w:eastAsia="zh-CN"/>
                    </w:rPr>
                    <w:t>0.135</w:t>
                  </w:r>
                </w:p>
              </w:tc>
            </w:tr>
            <w:tr w14:paraId="5D8743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90" w:hRule="atLeast"/>
                <w:jc w:val="center"/>
              </w:trPr>
              <w:tc>
                <w:tcPr>
                  <w:tcW w:w="404" w:type="dxa"/>
                  <w:tcBorders>
                    <w:top w:val="single" w:color="auto" w:sz="4" w:space="0"/>
                    <w:left w:val="single" w:color="auto" w:sz="4" w:space="0"/>
                    <w:bottom w:val="single" w:color="auto" w:sz="4" w:space="0"/>
                    <w:right w:val="single" w:color="auto" w:sz="4" w:space="0"/>
                  </w:tcBorders>
                  <w:shd w:val="clear" w:color="auto" w:fill="auto"/>
                  <w:vAlign w:val="center"/>
                </w:tcPr>
                <w:p w14:paraId="762F06DE">
                  <w:pPr>
                    <w:keepNext w:val="0"/>
                    <w:keepLines w:val="0"/>
                    <w:widowControl w:val="0"/>
                    <w:suppressLineNumbers w:val="0"/>
                    <w:spacing w:before="0" w:beforeAutospacing="0" w:after="0" w:afterAutospacing="0"/>
                    <w:ind w:left="0" w:right="0"/>
                    <w:jc w:val="center"/>
                    <w:rPr>
                      <w:rFonts w:hint="default" w:ascii="Times New Roman" w:hAnsi="Times New Roman" w:eastAsia="宋体" w:cs="Times New Roman"/>
                      <w:color w:val="auto"/>
                      <w:kern w:val="2"/>
                      <w:sz w:val="21"/>
                      <w:szCs w:val="21"/>
                    </w:rPr>
                  </w:pPr>
                  <w:r>
                    <w:rPr>
                      <w:rFonts w:hint="eastAsia" w:ascii="宋体" w:hAnsi="宋体" w:eastAsia="宋体" w:cs="宋体"/>
                      <w:color w:val="auto"/>
                      <w:kern w:val="2"/>
                      <w:sz w:val="21"/>
                      <w:szCs w:val="21"/>
                      <w:lang w:val="en-US" w:eastAsia="zh-CN" w:bidi="ar"/>
                    </w:rPr>
                    <w:t>背胶废气</w:t>
                  </w:r>
                </w:p>
              </w:tc>
              <w:tc>
                <w:tcPr>
                  <w:tcW w:w="498" w:type="dxa"/>
                  <w:tcBorders>
                    <w:top w:val="single" w:color="auto" w:sz="4" w:space="0"/>
                    <w:left w:val="nil"/>
                    <w:bottom w:val="single" w:color="auto" w:sz="4" w:space="0"/>
                    <w:right w:val="single" w:color="auto" w:sz="4" w:space="0"/>
                  </w:tcBorders>
                  <w:shd w:val="clear" w:color="auto" w:fill="auto"/>
                  <w:vAlign w:val="center"/>
                </w:tcPr>
                <w:p w14:paraId="180F182A">
                  <w:pPr>
                    <w:keepNext w:val="0"/>
                    <w:keepLines w:val="0"/>
                    <w:widowControl w:val="0"/>
                    <w:suppressLineNumbers w:val="0"/>
                    <w:spacing w:before="0" w:beforeAutospacing="0" w:after="0" w:afterAutospacing="0"/>
                    <w:ind w:left="0" w:right="0"/>
                    <w:jc w:val="center"/>
                    <w:rPr>
                      <w:rFonts w:hint="default" w:ascii="Times New Roman" w:hAnsi="Times New Roman" w:eastAsia="宋体" w:cs="Times New Roman"/>
                      <w:color w:val="auto"/>
                      <w:kern w:val="2"/>
                      <w:sz w:val="21"/>
                      <w:szCs w:val="21"/>
                    </w:rPr>
                  </w:pPr>
                  <w:r>
                    <w:rPr>
                      <w:rFonts w:hint="eastAsia" w:ascii="宋体" w:hAnsi="宋体" w:eastAsia="宋体" w:cs="宋体"/>
                      <w:color w:val="auto"/>
                      <w:kern w:val="2"/>
                      <w:sz w:val="21"/>
                      <w:szCs w:val="21"/>
                      <w:lang w:val="en-US" w:eastAsia="zh-CN" w:bidi="ar"/>
                    </w:rPr>
                    <w:t>背胶</w:t>
                  </w:r>
                </w:p>
              </w:tc>
              <w:tc>
                <w:tcPr>
                  <w:tcW w:w="641" w:type="dxa"/>
                  <w:tcBorders>
                    <w:top w:val="single" w:color="auto" w:sz="4" w:space="0"/>
                    <w:left w:val="nil"/>
                    <w:bottom w:val="single" w:color="auto" w:sz="4" w:space="0"/>
                    <w:right w:val="single" w:color="auto" w:sz="4" w:space="0"/>
                  </w:tcBorders>
                  <w:shd w:val="clear" w:color="auto" w:fill="auto"/>
                  <w:vAlign w:val="center"/>
                </w:tcPr>
                <w:p w14:paraId="62665BCD">
                  <w:pPr>
                    <w:keepNext w:val="0"/>
                    <w:keepLines w:val="0"/>
                    <w:widowControl w:val="0"/>
                    <w:suppressLineNumbers w:val="0"/>
                    <w:spacing w:before="0" w:beforeAutospacing="0" w:after="0" w:afterAutospacing="0"/>
                    <w:ind w:left="0" w:right="0"/>
                    <w:jc w:val="center"/>
                    <w:rPr>
                      <w:rFonts w:hint="default" w:ascii="Times New Roman" w:hAnsi="Times New Roman" w:eastAsia="宋体" w:cs="Times New Roman"/>
                      <w:color w:val="auto"/>
                      <w:kern w:val="2"/>
                      <w:sz w:val="21"/>
                      <w:szCs w:val="21"/>
                    </w:rPr>
                  </w:pPr>
                  <w:r>
                    <w:rPr>
                      <w:rFonts w:hint="eastAsia" w:ascii="宋体" w:hAnsi="宋体" w:eastAsia="宋体" w:cs="宋体"/>
                      <w:color w:val="auto"/>
                      <w:kern w:val="2"/>
                      <w:sz w:val="21"/>
                      <w:szCs w:val="21"/>
                      <w:lang w:val="en-US" w:eastAsia="zh-CN" w:bidi="ar"/>
                    </w:rPr>
                    <w:t>非甲烷总烃</w:t>
                  </w:r>
                </w:p>
              </w:tc>
              <w:tc>
                <w:tcPr>
                  <w:tcW w:w="695" w:type="dxa"/>
                  <w:tcBorders>
                    <w:top w:val="single" w:color="auto" w:sz="4" w:space="0"/>
                    <w:left w:val="nil"/>
                    <w:bottom w:val="single" w:color="auto" w:sz="4" w:space="0"/>
                    <w:right w:val="single" w:color="auto" w:sz="4" w:space="0"/>
                  </w:tcBorders>
                  <w:shd w:val="clear" w:color="auto" w:fill="auto"/>
                  <w:vAlign w:val="center"/>
                </w:tcPr>
                <w:p w14:paraId="7B3687D0">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color w:val="auto"/>
                      <w:kern w:val="2"/>
                      <w:sz w:val="21"/>
                      <w:szCs w:val="21"/>
                      <w:lang w:val="en-US" w:eastAsia="zh-CN"/>
                    </w:rPr>
                  </w:pPr>
                  <w:r>
                    <w:rPr>
                      <w:rFonts w:hint="eastAsia" w:ascii="Times New Roman" w:hAnsi="Times New Roman" w:eastAsia="宋体" w:cs="Times New Roman"/>
                      <w:color w:val="auto"/>
                      <w:kern w:val="2"/>
                      <w:sz w:val="21"/>
                      <w:szCs w:val="21"/>
                      <w:lang w:val="en-US" w:eastAsia="zh-CN"/>
                    </w:rPr>
                    <w:t>0.007</w:t>
                  </w:r>
                </w:p>
              </w:tc>
              <w:tc>
                <w:tcPr>
                  <w:tcW w:w="717" w:type="dxa"/>
                  <w:tcBorders>
                    <w:top w:val="single" w:color="auto" w:sz="4" w:space="0"/>
                    <w:left w:val="nil"/>
                    <w:bottom w:val="single" w:color="auto" w:sz="4" w:space="0"/>
                    <w:right w:val="single" w:color="auto" w:sz="4" w:space="0"/>
                  </w:tcBorders>
                  <w:shd w:val="clear" w:color="auto" w:fill="auto"/>
                  <w:vAlign w:val="center"/>
                </w:tcPr>
                <w:p w14:paraId="0744535D">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color w:val="auto"/>
                      <w:kern w:val="2"/>
                      <w:sz w:val="21"/>
                      <w:szCs w:val="21"/>
                      <w:lang w:val="en-US" w:eastAsia="zh-CN"/>
                    </w:rPr>
                  </w:pPr>
                  <w:r>
                    <w:rPr>
                      <w:rFonts w:hint="eastAsia" w:ascii="Times New Roman" w:hAnsi="Times New Roman" w:eastAsia="宋体" w:cs="Times New Roman"/>
                      <w:color w:val="auto"/>
                      <w:kern w:val="2"/>
                      <w:sz w:val="21"/>
                      <w:szCs w:val="21"/>
                      <w:lang w:val="en-US" w:eastAsia="zh-CN"/>
                    </w:rPr>
                    <w:t>0.017</w:t>
                  </w:r>
                </w:p>
              </w:tc>
              <w:tc>
                <w:tcPr>
                  <w:tcW w:w="798" w:type="dxa"/>
                  <w:tcBorders>
                    <w:top w:val="single" w:color="auto" w:sz="4" w:space="0"/>
                    <w:left w:val="nil"/>
                    <w:bottom w:val="single" w:color="auto" w:sz="4" w:space="0"/>
                    <w:right w:val="single" w:color="auto" w:sz="4" w:space="0"/>
                  </w:tcBorders>
                  <w:shd w:val="clear" w:color="auto" w:fill="auto"/>
                  <w:vAlign w:val="center"/>
                </w:tcPr>
                <w:p w14:paraId="6BA1A558">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color w:val="auto"/>
                      <w:kern w:val="2"/>
                      <w:sz w:val="21"/>
                      <w:szCs w:val="21"/>
                      <w:lang w:val="en-US" w:eastAsia="zh-CN"/>
                    </w:rPr>
                  </w:pPr>
                  <w:r>
                    <w:rPr>
                      <w:rFonts w:hint="eastAsia" w:ascii="Times New Roman" w:hAnsi="Times New Roman" w:eastAsia="宋体" w:cs="Times New Roman"/>
                      <w:color w:val="auto"/>
                      <w:kern w:val="2"/>
                      <w:sz w:val="21"/>
                      <w:szCs w:val="21"/>
                      <w:lang w:val="en-US" w:eastAsia="zh-CN"/>
                    </w:rPr>
                    <w:t>0.012</w:t>
                  </w:r>
                </w:p>
              </w:tc>
              <w:tc>
                <w:tcPr>
                  <w:tcW w:w="1108" w:type="dxa"/>
                  <w:tcBorders>
                    <w:top w:val="single" w:color="auto" w:sz="4" w:space="0"/>
                    <w:left w:val="nil"/>
                    <w:bottom w:val="single" w:color="auto" w:sz="4" w:space="0"/>
                    <w:right w:val="single" w:color="auto" w:sz="4" w:space="0"/>
                  </w:tcBorders>
                  <w:shd w:val="clear" w:color="auto" w:fill="auto"/>
                  <w:vAlign w:val="center"/>
                </w:tcPr>
                <w:p w14:paraId="03053DEE">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color w:val="auto"/>
                      <w:kern w:val="2"/>
                      <w:sz w:val="21"/>
                      <w:szCs w:val="21"/>
                      <w:lang w:val="en-US" w:eastAsia="zh-CN"/>
                    </w:rPr>
                  </w:pPr>
                  <w:r>
                    <w:rPr>
                      <w:rFonts w:hint="eastAsia" w:ascii="Times New Roman" w:hAnsi="Times New Roman" w:eastAsia="宋体" w:cs="Times New Roman"/>
                      <w:color w:val="auto"/>
                      <w:kern w:val="2"/>
                      <w:sz w:val="21"/>
                      <w:szCs w:val="21"/>
                      <w:lang w:val="en-US" w:eastAsia="zh-CN"/>
                    </w:rPr>
                    <w:t>0.03</w:t>
                  </w:r>
                </w:p>
              </w:tc>
              <w:tc>
                <w:tcPr>
                  <w:tcW w:w="945" w:type="dxa"/>
                  <w:tcBorders>
                    <w:top w:val="single" w:color="auto" w:sz="4" w:space="0"/>
                    <w:left w:val="nil"/>
                    <w:bottom w:val="single" w:color="auto" w:sz="4" w:space="0"/>
                    <w:right w:val="single" w:color="auto" w:sz="4" w:space="0"/>
                  </w:tcBorders>
                  <w:shd w:val="clear" w:color="auto" w:fill="auto"/>
                  <w:vAlign w:val="center"/>
                </w:tcPr>
                <w:p w14:paraId="4F449F82">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color w:val="auto"/>
                      <w:kern w:val="2"/>
                      <w:sz w:val="21"/>
                      <w:szCs w:val="21"/>
                      <w:lang w:val="en-US" w:eastAsia="zh-CN"/>
                    </w:rPr>
                  </w:pPr>
                  <w:r>
                    <w:rPr>
                      <w:rFonts w:hint="eastAsia" w:ascii="Times New Roman" w:hAnsi="Times New Roman" w:eastAsia="宋体" w:cs="Times New Roman"/>
                      <w:color w:val="auto"/>
                      <w:kern w:val="2"/>
                      <w:sz w:val="21"/>
                      <w:szCs w:val="21"/>
                      <w:lang w:val="en-US" w:eastAsia="zh-CN"/>
                    </w:rPr>
                    <w:t>0.001</w:t>
                  </w:r>
                </w:p>
              </w:tc>
              <w:tc>
                <w:tcPr>
                  <w:tcW w:w="798" w:type="dxa"/>
                  <w:tcBorders>
                    <w:top w:val="single" w:color="auto" w:sz="4" w:space="0"/>
                    <w:left w:val="nil"/>
                    <w:bottom w:val="single" w:color="auto" w:sz="4" w:space="0"/>
                    <w:right w:val="single" w:color="auto" w:sz="4" w:space="0"/>
                  </w:tcBorders>
                  <w:shd w:val="clear" w:color="auto" w:fill="auto"/>
                  <w:vAlign w:val="center"/>
                </w:tcPr>
                <w:p w14:paraId="0CD6FD6B">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color w:val="auto"/>
                      <w:kern w:val="2"/>
                      <w:sz w:val="21"/>
                      <w:szCs w:val="21"/>
                      <w:lang w:val="en-US" w:eastAsia="zh-CN"/>
                    </w:rPr>
                  </w:pPr>
                  <w:r>
                    <w:rPr>
                      <w:rFonts w:hint="eastAsia" w:ascii="Times New Roman" w:hAnsi="Times New Roman" w:eastAsia="宋体" w:cs="Times New Roman"/>
                      <w:color w:val="auto"/>
                      <w:kern w:val="2"/>
                      <w:sz w:val="21"/>
                      <w:szCs w:val="21"/>
                      <w:lang w:val="en-US" w:eastAsia="zh-CN"/>
                    </w:rPr>
                    <w:t>0.003</w:t>
                  </w:r>
                </w:p>
              </w:tc>
              <w:tc>
                <w:tcPr>
                  <w:tcW w:w="945" w:type="dxa"/>
                  <w:tcBorders>
                    <w:top w:val="single" w:color="auto" w:sz="4" w:space="0"/>
                    <w:left w:val="nil"/>
                    <w:bottom w:val="single" w:color="auto" w:sz="4" w:space="0"/>
                    <w:right w:val="single" w:color="auto" w:sz="4" w:space="0"/>
                  </w:tcBorders>
                  <w:shd w:val="clear" w:color="auto" w:fill="auto"/>
                  <w:vAlign w:val="center"/>
                </w:tcPr>
                <w:p w14:paraId="474BC4D0">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color w:val="auto"/>
                      <w:kern w:val="2"/>
                      <w:sz w:val="21"/>
                      <w:szCs w:val="21"/>
                      <w:lang w:val="en-US" w:eastAsia="zh-CN"/>
                    </w:rPr>
                  </w:pPr>
                  <w:r>
                    <w:rPr>
                      <w:rFonts w:hint="eastAsia" w:ascii="Times New Roman" w:hAnsi="Times New Roman" w:eastAsia="宋体" w:cs="Times New Roman"/>
                      <w:color w:val="auto"/>
                      <w:kern w:val="2"/>
                      <w:sz w:val="21"/>
                      <w:szCs w:val="21"/>
                      <w:lang w:val="en-US" w:eastAsia="zh-CN"/>
                    </w:rPr>
                    <w:t>0.001</w:t>
                  </w:r>
                </w:p>
              </w:tc>
              <w:tc>
                <w:tcPr>
                  <w:tcW w:w="798" w:type="dxa"/>
                  <w:tcBorders>
                    <w:top w:val="single" w:color="auto" w:sz="4" w:space="0"/>
                    <w:left w:val="nil"/>
                    <w:bottom w:val="single" w:color="auto" w:sz="4" w:space="0"/>
                    <w:right w:val="single" w:color="auto" w:sz="4" w:space="0"/>
                  </w:tcBorders>
                  <w:shd w:val="clear" w:color="auto" w:fill="auto"/>
                  <w:vAlign w:val="center"/>
                </w:tcPr>
                <w:p w14:paraId="4622E9E9">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color w:val="auto"/>
                      <w:kern w:val="2"/>
                      <w:sz w:val="21"/>
                      <w:szCs w:val="21"/>
                      <w:lang w:val="en-US" w:eastAsia="zh-CN"/>
                    </w:rPr>
                  </w:pPr>
                  <w:r>
                    <w:rPr>
                      <w:rFonts w:hint="eastAsia" w:ascii="Times New Roman" w:hAnsi="Times New Roman" w:eastAsia="宋体" w:cs="Times New Roman"/>
                      <w:color w:val="auto"/>
                      <w:kern w:val="2"/>
                      <w:sz w:val="21"/>
                      <w:szCs w:val="21"/>
                      <w:lang w:val="en-US" w:eastAsia="zh-CN"/>
                    </w:rPr>
                    <w:t>0.002</w:t>
                  </w:r>
                </w:p>
              </w:tc>
            </w:tr>
            <w:tr w14:paraId="3B98EB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404" w:type="dxa"/>
                  <w:tcBorders>
                    <w:top w:val="single" w:color="auto" w:sz="4" w:space="0"/>
                    <w:left w:val="single" w:color="auto" w:sz="4" w:space="0"/>
                    <w:bottom w:val="single" w:color="auto" w:sz="4" w:space="0"/>
                    <w:right w:val="single" w:color="auto" w:sz="4" w:space="0"/>
                  </w:tcBorders>
                  <w:shd w:val="clear" w:color="auto" w:fill="auto"/>
                  <w:vAlign w:val="center"/>
                </w:tcPr>
                <w:p w14:paraId="61B17268">
                  <w:pPr>
                    <w:keepNext w:val="0"/>
                    <w:keepLines w:val="0"/>
                    <w:widowControl w:val="0"/>
                    <w:suppressLineNumbers w:val="0"/>
                    <w:spacing w:before="0" w:beforeAutospacing="0" w:after="0" w:afterAutospacing="0"/>
                    <w:ind w:left="0" w:right="0"/>
                    <w:jc w:val="center"/>
                    <w:rPr>
                      <w:rFonts w:hint="eastAsia" w:ascii="宋体" w:hAnsi="宋体" w:eastAsia="宋体" w:cs="宋体"/>
                      <w:color w:val="auto"/>
                      <w:kern w:val="2"/>
                      <w:sz w:val="21"/>
                      <w:szCs w:val="21"/>
                      <w:lang w:val="en-US" w:eastAsia="zh-CN" w:bidi="ar"/>
                    </w:rPr>
                  </w:pPr>
                  <w:r>
                    <w:rPr>
                      <w:rFonts w:hint="eastAsia" w:ascii="宋体" w:hAnsi="宋体" w:eastAsia="宋体" w:cs="宋体"/>
                      <w:color w:val="auto"/>
                      <w:kern w:val="2"/>
                      <w:sz w:val="21"/>
                      <w:szCs w:val="21"/>
                      <w:lang w:val="en-US" w:eastAsia="zh-CN" w:bidi="ar"/>
                    </w:rPr>
                    <w:t>辅料成型废气</w:t>
                  </w:r>
                </w:p>
              </w:tc>
              <w:tc>
                <w:tcPr>
                  <w:tcW w:w="498" w:type="dxa"/>
                  <w:tcBorders>
                    <w:top w:val="single" w:color="auto" w:sz="4" w:space="0"/>
                    <w:left w:val="nil"/>
                    <w:bottom w:val="single" w:color="auto" w:sz="4" w:space="0"/>
                    <w:right w:val="single" w:color="auto" w:sz="4" w:space="0"/>
                  </w:tcBorders>
                  <w:shd w:val="clear" w:color="auto" w:fill="auto"/>
                  <w:vAlign w:val="center"/>
                </w:tcPr>
                <w:p w14:paraId="1453714F">
                  <w:pPr>
                    <w:keepNext w:val="0"/>
                    <w:keepLines w:val="0"/>
                    <w:widowControl w:val="0"/>
                    <w:suppressLineNumbers w:val="0"/>
                    <w:spacing w:before="0" w:beforeAutospacing="0" w:after="0" w:afterAutospacing="0"/>
                    <w:ind w:left="0" w:right="0"/>
                    <w:jc w:val="center"/>
                    <w:rPr>
                      <w:rFonts w:hint="eastAsia" w:ascii="宋体" w:hAnsi="宋体" w:eastAsia="宋体" w:cs="宋体"/>
                      <w:color w:val="auto"/>
                      <w:kern w:val="2"/>
                      <w:sz w:val="21"/>
                      <w:szCs w:val="21"/>
                      <w:lang w:val="en-US" w:eastAsia="zh-CN" w:bidi="ar"/>
                    </w:rPr>
                  </w:pPr>
                  <w:r>
                    <w:rPr>
                      <w:rFonts w:hint="eastAsia" w:ascii="宋体" w:hAnsi="宋体" w:eastAsia="宋体" w:cs="宋体"/>
                      <w:color w:val="auto"/>
                      <w:kern w:val="2"/>
                      <w:sz w:val="21"/>
                      <w:szCs w:val="21"/>
                      <w:lang w:val="en-US" w:eastAsia="zh-CN" w:bidi="ar"/>
                    </w:rPr>
                    <w:t>辅料成型</w:t>
                  </w:r>
                </w:p>
              </w:tc>
              <w:tc>
                <w:tcPr>
                  <w:tcW w:w="641" w:type="dxa"/>
                  <w:tcBorders>
                    <w:top w:val="single" w:color="auto" w:sz="4" w:space="0"/>
                    <w:left w:val="nil"/>
                    <w:bottom w:val="single" w:color="auto" w:sz="4" w:space="0"/>
                    <w:right w:val="single" w:color="auto" w:sz="4" w:space="0"/>
                  </w:tcBorders>
                  <w:shd w:val="clear" w:color="auto" w:fill="auto"/>
                  <w:vAlign w:val="center"/>
                </w:tcPr>
                <w:p w14:paraId="12A087E5">
                  <w:pPr>
                    <w:keepNext w:val="0"/>
                    <w:keepLines w:val="0"/>
                    <w:widowControl w:val="0"/>
                    <w:suppressLineNumbers w:val="0"/>
                    <w:spacing w:before="0" w:beforeAutospacing="0" w:after="0" w:afterAutospacing="0"/>
                    <w:ind w:left="0" w:right="0"/>
                    <w:jc w:val="center"/>
                    <w:rPr>
                      <w:rFonts w:hint="eastAsia" w:ascii="宋体" w:hAnsi="宋体" w:eastAsia="宋体" w:cs="宋体"/>
                      <w:color w:val="auto"/>
                      <w:kern w:val="2"/>
                      <w:sz w:val="21"/>
                      <w:szCs w:val="21"/>
                      <w:lang w:val="en-US" w:eastAsia="zh-CN" w:bidi="ar"/>
                    </w:rPr>
                  </w:pPr>
                  <w:r>
                    <w:rPr>
                      <w:rFonts w:hint="eastAsia" w:ascii="宋体" w:hAnsi="宋体" w:eastAsia="宋体" w:cs="宋体"/>
                      <w:color w:val="auto"/>
                      <w:kern w:val="2"/>
                      <w:sz w:val="21"/>
                      <w:szCs w:val="21"/>
                      <w:lang w:val="en-US" w:eastAsia="zh-CN" w:bidi="ar"/>
                    </w:rPr>
                    <w:t>非甲烷总烃</w:t>
                  </w:r>
                </w:p>
              </w:tc>
              <w:tc>
                <w:tcPr>
                  <w:tcW w:w="695" w:type="dxa"/>
                  <w:tcBorders>
                    <w:top w:val="single" w:color="auto" w:sz="4" w:space="0"/>
                    <w:left w:val="nil"/>
                    <w:bottom w:val="single" w:color="auto" w:sz="4" w:space="0"/>
                    <w:right w:val="single" w:color="auto" w:sz="4" w:space="0"/>
                  </w:tcBorders>
                  <w:shd w:val="clear" w:color="auto" w:fill="auto"/>
                  <w:vAlign w:val="center"/>
                </w:tcPr>
                <w:p w14:paraId="662A02CD">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color w:val="0000E1"/>
                      <w:kern w:val="2"/>
                      <w:sz w:val="21"/>
                      <w:szCs w:val="21"/>
                      <w:lang w:val="en-US" w:eastAsia="zh-CN"/>
                    </w:rPr>
                  </w:pPr>
                  <w:r>
                    <w:rPr>
                      <w:rFonts w:hint="eastAsia" w:ascii="Times New Roman" w:hAnsi="Times New Roman" w:eastAsia="宋体" w:cs="Times New Roman"/>
                      <w:color w:val="0000E1"/>
                      <w:kern w:val="2"/>
                      <w:sz w:val="21"/>
                      <w:szCs w:val="21"/>
                      <w:lang w:val="en-US" w:eastAsia="zh-CN"/>
                    </w:rPr>
                    <w:t>0.051</w:t>
                  </w:r>
                </w:p>
              </w:tc>
              <w:tc>
                <w:tcPr>
                  <w:tcW w:w="717" w:type="dxa"/>
                  <w:tcBorders>
                    <w:top w:val="single" w:color="auto" w:sz="4" w:space="0"/>
                    <w:left w:val="nil"/>
                    <w:bottom w:val="single" w:color="auto" w:sz="4" w:space="0"/>
                    <w:right w:val="single" w:color="auto" w:sz="4" w:space="0"/>
                  </w:tcBorders>
                  <w:shd w:val="clear" w:color="auto" w:fill="auto"/>
                  <w:vAlign w:val="center"/>
                </w:tcPr>
                <w:p w14:paraId="322BCFC5">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color w:val="0000E1"/>
                      <w:kern w:val="2"/>
                      <w:sz w:val="21"/>
                      <w:szCs w:val="21"/>
                      <w:lang w:val="en-US" w:eastAsia="zh-CN"/>
                    </w:rPr>
                  </w:pPr>
                  <w:r>
                    <w:rPr>
                      <w:rFonts w:hint="eastAsia" w:ascii="Times New Roman" w:hAnsi="Times New Roman" w:eastAsia="宋体" w:cs="Times New Roman"/>
                      <w:color w:val="0000E1"/>
                      <w:kern w:val="2"/>
                      <w:sz w:val="21"/>
                      <w:szCs w:val="21"/>
                      <w:lang w:val="en-US" w:eastAsia="zh-CN"/>
                    </w:rPr>
                    <w:t>0.123</w:t>
                  </w:r>
                </w:p>
              </w:tc>
              <w:tc>
                <w:tcPr>
                  <w:tcW w:w="798" w:type="dxa"/>
                  <w:tcBorders>
                    <w:top w:val="single" w:color="auto" w:sz="4" w:space="0"/>
                    <w:left w:val="nil"/>
                    <w:bottom w:val="single" w:color="auto" w:sz="4" w:space="0"/>
                    <w:right w:val="single" w:color="auto" w:sz="4" w:space="0"/>
                  </w:tcBorders>
                  <w:shd w:val="clear" w:color="auto" w:fill="auto"/>
                  <w:vAlign w:val="center"/>
                </w:tcPr>
                <w:p w14:paraId="7E517E47">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color w:val="0000E1"/>
                      <w:kern w:val="2"/>
                      <w:sz w:val="21"/>
                      <w:szCs w:val="21"/>
                      <w:lang w:val="en-US" w:eastAsia="zh-CN"/>
                    </w:rPr>
                  </w:pPr>
                  <w:r>
                    <w:rPr>
                      <w:rFonts w:hint="default" w:ascii="Times New Roman" w:hAnsi="Times New Roman" w:eastAsia="宋体" w:cs="Times New Roman"/>
                      <w:color w:val="0000E1"/>
                      <w:kern w:val="2"/>
                      <w:sz w:val="21"/>
                      <w:szCs w:val="21"/>
                      <w:lang w:val="en-US" w:eastAsia="zh-CN"/>
                    </w:rPr>
                    <w:t>0.074</w:t>
                  </w:r>
                </w:p>
              </w:tc>
              <w:tc>
                <w:tcPr>
                  <w:tcW w:w="1108" w:type="dxa"/>
                  <w:tcBorders>
                    <w:top w:val="single" w:color="auto" w:sz="4" w:space="0"/>
                    <w:left w:val="nil"/>
                    <w:bottom w:val="single" w:color="auto" w:sz="4" w:space="0"/>
                    <w:right w:val="single" w:color="auto" w:sz="4" w:space="0"/>
                  </w:tcBorders>
                  <w:shd w:val="clear" w:color="auto" w:fill="auto"/>
                  <w:vAlign w:val="center"/>
                </w:tcPr>
                <w:p w14:paraId="2822ADE0">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color w:val="0000E1"/>
                      <w:kern w:val="2"/>
                      <w:sz w:val="21"/>
                      <w:szCs w:val="21"/>
                      <w:lang w:val="en-US" w:eastAsia="zh-CN"/>
                    </w:rPr>
                  </w:pPr>
                  <w:r>
                    <w:rPr>
                      <w:rFonts w:hint="default" w:ascii="Times New Roman" w:hAnsi="Times New Roman" w:eastAsia="宋体" w:cs="Times New Roman"/>
                      <w:color w:val="0000E1"/>
                      <w:kern w:val="2"/>
                      <w:sz w:val="21"/>
                      <w:szCs w:val="21"/>
                      <w:lang w:val="en-US" w:eastAsia="zh-CN"/>
                    </w:rPr>
                    <w:t>0.2</w:t>
                  </w:r>
                </w:p>
              </w:tc>
              <w:tc>
                <w:tcPr>
                  <w:tcW w:w="945" w:type="dxa"/>
                  <w:tcBorders>
                    <w:top w:val="single" w:color="auto" w:sz="4" w:space="0"/>
                    <w:left w:val="nil"/>
                    <w:bottom w:val="single" w:color="auto" w:sz="4" w:space="0"/>
                    <w:right w:val="single" w:color="auto" w:sz="4" w:space="0"/>
                  </w:tcBorders>
                  <w:shd w:val="clear" w:color="auto" w:fill="auto"/>
                  <w:vAlign w:val="center"/>
                </w:tcPr>
                <w:p w14:paraId="3F9B79F7">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color w:val="0000E1"/>
                      <w:kern w:val="2"/>
                      <w:sz w:val="21"/>
                      <w:szCs w:val="21"/>
                      <w:lang w:val="en-US" w:eastAsia="zh-CN"/>
                    </w:rPr>
                  </w:pPr>
                  <w:r>
                    <w:rPr>
                      <w:rFonts w:hint="default" w:ascii="Times New Roman" w:hAnsi="Times New Roman" w:eastAsia="宋体" w:cs="Times New Roman"/>
                      <w:color w:val="0000E1"/>
                      <w:kern w:val="2"/>
                      <w:sz w:val="21"/>
                      <w:szCs w:val="21"/>
                      <w:lang w:val="en-US" w:eastAsia="zh-CN"/>
                    </w:rPr>
                    <w:t>0.008</w:t>
                  </w:r>
                </w:p>
              </w:tc>
              <w:tc>
                <w:tcPr>
                  <w:tcW w:w="798" w:type="dxa"/>
                  <w:tcBorders>
                    <w:top w:val="single" w:color="auto" w:sz="4" w:space="0"/>
                    <w:left w:val="nil"/>
                    <w:bottom w:val="single" w:color="auto" w:sz="4" w:space="0"/>
                    <w:right w:val="single" w:color="auto" w:sz="4" w:space="0"/>
                  </w:tcBorders>
                  <w:shd w:val="clear" w:color="auto" w:fill="auto"/>
                  <w:vAlign w:val="center"/>
                </w:tcPr>
                <w:p w14:paraId="06CE3FAC">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color w:val="0000E1"/>
                      <w:kern w:val="2"/>
                      <w:sz w:val="21"/>
                      <w:szCs w:val="21"/>
                      <w:lang w:val="en-US" w:eastAsia="zh-CN"/>
                    </w:rPr>
                  </w:pPr>
                  <w:r>
                    <w:rPr>
                      <w:rFonts w:hint="default" w:ascii="Times New Roman" w:hAnsi="Times New Roman" w:eastAsia="宋体" w:cs="Times New Roman"/>
                      <w:color w:val="0000E1"/>
                      <w:kern w:val="2"/>
                      <w:sz w:val="21"/>
                      <w:szCs w:val="21"/>
                      <w:lang w:val="en-US" w:eastAsia="zh-CN"/>
                    </w:rPr>
                    <w:t>0.018</w:t>
                  </w:r>
                </w:p>
              </w:tc>
              <w:tc>
                <w:tcPr>
                  <w:tcW w:w="945" w:type="dxa"/>
                  <w:tcBorders>
                    <w:top w:val="single" w:color="auto" w:sz="4" w:space="0"/>
                    <w:left w:val="nil"/>
                    <w:bottom w:val="single" w:color="auto" w:sz="4" w:space="0"/>
                    <w:right w:val="single" w:color="auto" w:sz="4" w:space="0"/>
                  </w:tcBorders>
                  <w:shd w:val="clear" w:color="auto" w:fill="auto"/>
                  <w:vAlign w:val="center"/>
                </w:tcPr>
                <w:p w14:paraId="686BEB96">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color w:val="0000E1"/>
                      <w:kern w:val="2"/>
                      <w:sz w:val="21"/>
                      <w:szCs w:val="21"/>
                      <w:lang w:val="en-US" w:eastAsia="zh-CN"/>
                    </w:rPr>
                  </w:pPr>
                  <w:r>
                    <w:rPr>
                      <w:rFonts w:hint="default" w:ascii="Times New Roman" w:hAnsi="Times New Roman" w:eastAsia="宋体" w:cs="Times New Roman"/>
                      <w:color w:val="0000E1"/>
                      <w:kern w:val="2"/>
                      <w:sz w:val="21"/>
                      <w:szCs w:val="21"/>
                      <w:lang w:val="en-US" w:eastAsia="zh-CN"/>
                    </w:rPr>
                    <w:t>0.013</w:t>
                  </w:r>
                </w:p>
              </w:tc>
              <w:tc>
                <w:tcPr>
                  <w:tcW w:w="798" w:type="dxa"/>
                  <w:tcBorders>
                    <w:top w:val="single" w:color="auto" w:sz="4" w:space="0"/>
                    <w:left w:val="nil"/>
                    <w:bottom w:val="single" w:color="auto" w:sz="4" w:space="0"/>
                    <w:right w:val="single" w:color="auto" w:sz="4" w:space="0"/>
                  </w:tcBorders>
                  <w:shd w:val="clear" w:color="auto" w:fill="auto"/>
                  <w:vAlign w:val="center"/>
                </w:tcPr>
                <w:p w14:paraId="50206C4A">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color w:val="0000E1"/>
                      <w:kern w:val="2"/>
                      <w:sz w:val="21"/>
                      <w:szCs w:val="21"/>
                      <w:lang w:val="en-US" w:eastAsia="zh-CN"/>
                    </w:rPr>
                  </w:pPr>
                  <w:r>
                    <w:rPr>
                      <w:rFonts w:hint="default" w:ascii="Times New Roman" w:hAnsi="Times New Roman" w:eastAsia="宋体" w:cs="Times New Roman"/>
                      <w:color w:val="0000E1"/>
                      <w:kern w:val="2"/>
                      <w:sz w:val="21"/>
                      <w:szCs w:val="21"/>
                      <w:lang w:val="en-US" w:eastAsia="zh-CN"/>
                    </w:rPr>
                    <w:t>0.031</w:t>
                  </w:r>
                </w:p>
              </w:tc>
            </w:tr>
            <w:tr w14:paraId="57BEA6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90" w:hRule="atLeast"/>
                <w:jc w:val="center"/>
              </w:trPr>
              <w:tc>
                <w:tcPr>
                  <w:tcW w:w="1543" w:type="dxa"/>
                  <w:gridSpan w:val="3"/>
                  <w:tcBorders>
                    <w:top w:val="single" w:color="auto" w:sz="4" w:space="0"/>
                    <w:left w:val="single" w:color="auto" w:sz="4" w:space="0"/>
                    <w:bottom w:val="single" w:color="auto" w:sz="4" w:space="0"/>
                    <w:right w:val="single" w:color="auto" w:sz="4" w:space="0"/>
                  </w:tcBorders>
                  <w:shd w:val="clear" w:color="auto" w:fill="auto"/>
                  <w:vAlign w:val="center"/>
                </w:tcPr>
                <w:p w14:paraId="6EE79AD5">
                  <w:pPr>
                    <w:keepNext w:val="0"/>
                    <w:keepLines w:val="0"/>
                    <w:widowControl w:val="0"/>
                    <w:suppressLineNumbers w:val="0"/>
                    <w:spacing w:before="0" w:beforeAutospacing="0" w:after="0" w:afterAutospacing="0"/>
                    <w:ind w:left="0" w:right="0"/>
                    <w:jc w:val="center"/>
                    <w:rPr>
                      <w:rFonts w:hint="default" w:ascii="宋体" w:hAnsi="宋体" w:eastAsia="宋体" w:cs="宋体"/>
                      <w:color w:val="auto"/>
                      <w:kern w:val="2"/>
                      <w:sz w:val="21"/>
                      <w:szCs w:val="21"/>
                      <w:lang w:val="en-US" w:eastAsia="zh-CN" w:bidi="ar"/>
                    </w:rPr>
                  </w:pPr>
                  <w:r>
                    <w:rPr>
                      <w:rFonts w:hint="eastAsia" w:ascii="宋体" w:hAnsi="宋体" w:eastAsia="宋体" w:cs="宋体"/>
                      <w:color w:val="auto"/>
                      <w:kern w:val="2"/>
                      <w:sz w:val="21"/>
                      <w:szCs w:val="21"/>
                      <w:lang w:val="en-US" w:eastAsia="zh-CN" w:bidi="ar"/>
                    </w:rPr>
                    <w:t>合计</w:t>
                  </w:r>
                </w:p>
              </w:tc>
              <w:tc>
                <w:tcPr>
                  <w:tcW w:w="695" w:type="dxa"/>
                  <w:tcBorders>
                    <w:top w:val="single" w:color="auto" w:sz="4" w:space="0"/>
                    <w:left w:val="nil"/>
                    <w:bottom w:val="single" w:color="auto" w:sz="4" w:space="0"/>
                    <w:right w:val="single" w:color="auto" w:sz="4" w:space="0"/>
                  </w:tcBorders>
                  <w:shd w:val="clear" w:color="auto" w:fill="auto"/>
                  <w:vAlign w:val="center"/>
                </w:tcPr>
                <w:p w14:paraId="462ED7D2">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i w:val="0"/>
                      <w:iCs w:val="0"/>
                      <w:color w:val="0000E1"/>
                      <w:kern w:val="2"/>
                      <w:sz w:val="21"/>
                      <w:szCs w:val="21"/>
                      <w:u w:val="none"/>
                      <w:lang w:val="en-US" w:eastAsia="zh-CN" w:bidi="ar-SA"/>
                    </w:rPr>
                  </w:pPr>
                  <w:r>
                    <w:rPr>
                      <w:rFonts w:hint="default" w:ascii="Times New Roman" w:hAnsi="Times New Roman" w:eastAsia="宋体" w:cs="Times New Roman"/>
                      <w:i w:val="0"/>
                      <w:iCs w:val="0"/>
                      <w:color w:val="0000E1"/>
                      <w:kern w:val="0"/>
                      <w:sz w:val="21"/>
                      <w:szCs w:val="21"/>
                      <w:u w:val="none"/>
                      <w:lang w:val="en-US" w:eastAsia="zh-CN" w:bidi="ar"/>
                    </w:rPr>
                    <w:t>0.621</w:t>
                  </w:r>
                </w:p>
              </w:tc>
              <w:tc>
                <w:tcPr>
                  <w:tcW w:w="717" w:type="dxa"/>
                  <w:tcBorders>
                    <w:top w:val="single" w:color="auto" w:sz="4" w:space="0"/>
                    <w:left w:val="nil"/>
                    <w:bottom w:val="single" w:color="auto" w:sz="4" w:space="0"/>
                    <w:right w:val="single" w:color="auto" w:sz="4" w:space="0"/>
                  </w:tcBorders>
                  <w:shd w:val="clear" w:color="auto" w:fill="auto"/>
                  <w:vAlign w:val="center"/>
                </w:tcPr>
                <w:p w14:paraId="7587137D">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i w:val="0"/>
                      <w:iCs w:val="0"/>
                      <w:color w:val="0000E1"/>
                      <w:kern w:val="2"/>
                      <w:sz w:val="21"/>
                      <w:szCs w:val="21"/>
                      <w:u w:val="none"/>
                      <w:lang w:val="en-US" w:eastAsia="zh-CN" w:bidi="ar-SA"/>
                    </w:rPr>
                  </w:pPr>
                  <w:r>
                    <w:rPr>
                      <w:rFonts w:hint="default" w:ascii="Times New Roman" w:hAnsi="Times New Roman" w:eastAsia="宋体" w:cs="Times New Roman"/>
                      <w:i w:val="0"/>
                      <w:iCs w:val="0"/>
                      <w:color w:val="0000E1"/>
                      <w:kern w:val="0"/>
                      <w:sz w:val="21"/>
                      <w:szCs w:val="21"/>
                      <w:u w:val="none"/>
                      <w:lang w:val="en-US" w:eastAsia="zh-CN" w:bidi="ar"/>
                    </w:rPr>
                    <w:t>2.844</w:t>
                  </w:r>
                </w:p>
              </w:tc>
              <w:tc>
                <w:tcPr>
                  <w:tcW w:w="798" w:type="dxa"/>
                  <w:tcBorders>
                    <w:top w:val="single" w:color="auto" w:sz="4" w:space="0"/>
                    <w:left w:val="nil"/>
                    <w:bottom w:val="single" w:color="auto" w:sz="4" w:space="0"/>
                    <w:right w:val="single" w:color="auto" w:sz="4" w:space="0"/>
                  </w:tcBorders>
                  <w:shd w:val="clear" w:color="auto" w:fill="auto"/>
                  <w:vAlign w:val="center"/>
                </w:tcPr>
                <w:p w14:paraId="3CB8BD4C">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i w:val="0"/>
                      <w:iCs w:val="0"/>
                      <w:color w:val="0000E1"/>
                      <w:kern w:val="2"/>
                      <w:sz w:val="21"/>
                      <w:szCs w:val="21"/>
                      <w:u w:val="none"/>
                      <w:lang w:val="en-US" w:eastAsia="zh-CN" w:bidi="ar-SA"/>
                    </w:rPr>
                  </w:pPr>
                  <w:r>
                    <w:rPr>
                      <w:rFonts w:hint="default" w:ascii="Times New Roman" w:hAnsi="Times New Roman" w:eastAsia="宋体" w:cs="Times New Roman"/>
                      <w:i w:val="0"/>
                      <w:iCs w:val="0"/>
                      <w:color w:val="0000E1"/>
                      <w:kern w:val="0"/>
                      <w:sz w:val="21"/>
                      <w:szCs w:val="21"/>
                      <w:u w:val="none"/>
                      <w:lang w:val="en-US" w:eastAsia="zh-CN" w:bidi="ar"/>
                    </w:rPr>
                    <w:t>2.141</w:t>
                  </w:r>
                </w:p>
              </w:tc>
              <w:tc>
                <w:tcPr>
                  <w:tcW w:w="1108" w:type="dxa"/>
                  <w:tcBorders>
                    <w:top w:val="single" w:color="auto" w:sz="4" w:space="0"/>
                    <w:left w:val="nil"/>
                    <w:bottom w:val="single" w:color="auto" w:sz="4" w:space="0"/>
                    <w:right w:val="single" w:color="auto" w:sz="4" w:space="0"/>
                  </w:tcBorders>
                  <w:shd w:val="clear" w:color="auto" w:fill="auto"/>
                  <w:vAlign w:val="center"/>
                </w:tcPr>
                <w:p w14:paraId="5D493580">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i w:val="0"/>
                      <w:iCs w:val="0"/>
                      <w:color w:val="0000E1"/>
                      <w:kern w:val="2"/>
                      <w:sz w:val="21"/>
                      <w:szCs w:val="21"/>
                      <w:u w:val="none"/>
                      <w:lang w:val="en-US" w:eastAsia="zh-CN" w:bidi="ar-SA"/>
                    </w:rPr>
                  </w:pPr>
                  <w:r>
                    <w:rPr>
                      <w:rFonts w:hint="default" w:ascii="Times New Roman" w:hAnsi="Times New Roman" w:eastAsia="宋体" w:cs="Times New Roman"/>
                      <w:i w:val="0"/>
                      <w:iCs w:val="0"/>
                      <w:color w:val="0000E1"/>
                      <w:kern w:val="0"/>
                      <w:sz w:val="21"/>
                      <w:szCs w:val="21"/>
                      <w:u w:val="none"/>
                      <w:lang w:val="en-US" w:eastAsia="zh-CN" w:bidi="ar"/>
                    </w:rPr>
                    <w:t>3.1</w:t>
                  </w:r>
                </w:p>
              </w:tc>
              <w:tc>
                <w:tcPr>
                  <w:tcW w:w="945" w:type="dxa"/>
                  <w:tcBorders>
                    <w:top w:val="single" w:color="auto" w:sz="4" w:space="0"/>
                    <w:left w:val="nil"/>
                    <w:bottom w:val="single" w:color="auto" w:sz="4" w:space="0"/>
                    <w:right w:val="single" w:color="auto" w:sz="4" w:space="0"/>
                  </w:tcBorders>
                  <w:shd w:val="clear" w:color="auto" w:fill="auto"/>
                  <w:vAlign w:val="center"/>
                </w:tcPr>
                <w:p w14:paraId="71B92C3C">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i w:val="0"/>
                      <w:iCs w:val="0"/>
                      <w:color w:val="0000E1"/>
                      <w:kern w:val="2"/>
                      <w:sz w:val="21"/>
                      <w:szCs w:val="21"/>
                      <w:u w:val="none"/>
                      <w:lang w:val="en-US" w:eastAsia="zh-CN" w:bidi="ar-SA"/>
                    </w:rPr>
                  </w:pPr>
                  <w:r>
                    <w:rPr>
                      <w:rFonts w:hint="default" w:ascii="Times New Roman" w:hAnsi="Times New Roman" w:eastAsia="宋体" w:cs="Times New Roman"/>
                      <w:i w:val="0"/>
                      <w:iCs w:val="0"/>
                      <w:color w:val="0000E1"/>
                      <w:kern w:val="0"/>
                      <w:sz w:val="21"/>
                      <w:szCs w:val="21"/>
                      <w:u w:val="none"/>
                      <w:lang w:val="en-US" w:eastAsia="zh-CN" w:bidi="ar"/>
                    </w:rPr>
                    <w:t>0.116</w:t>
                  </w:r>
                </w:p>
              </w:tc>
              <w:tc>
                <w:tcPr>
                  <w:tcW w:w="798" w:type="dxa"/>
                  <w:tcBorders>
                    <w:top w:val="single" w:color="auto" w:sz="4" w:space="0"/>
                    <w:left w:val="nil"/>
                    <w:bottom w:val="single" w:color="auto" w:sz="4" w:space="0"/>
                    <w:right w:val="single" w:color="auto" w:sz="4" w:space="0"/>
                  </w:tcBorders>
                  <w:shd w:val="clear" w:color="auto" w:fill="auto"/>
                  <w:vAlign w:val="center"/>
                </w:tcPr>
                <w:p w14:paraId="6E3A162D">
                  <w:pPr>
                    <w:keepNext w:val="0"/>
                    <w:keepLines w:val="0"/>
                    <w:widowControl/>
                    <w:suppressLineNumbers w:val="0"/>
                    <w:spacing w:before="0" w:beforeAutospacing="0" w:after="0" w:afterAutospacing="0"/>
                    <w:ind w:left="0" w:right="0"/>
                    <w:jc w:val="center"/>
                    <w:textAlignment w:val="center"/>
                    <w:rPr>
                      <w:rFonts w:hint="eastAsia" w:ascii="Times New Roman" w:hAnsi="Times New Roman" w:eastAsia="宋体" w:cs="Times New Roman"/>
                      <w:i w:val="0"/>
                      <w:iCs w:val="0"/>
                      <w:color w:val="0000E1"/>
                      <w:kern w:val="2"/>
                      <w:sz w:val="21"/>
                      <w:szCs w:val="21"/>
                      <w:u w:val="none"/>
                      <w:lang w:val="en-US" w:eastAsia="zh-CN" w:bidi="ar-SA"/>
                    </w:rPr>
                  </w:pPr>
                  <w:r>
                    <w:rPr>
                      <w:rFonts w:hint="default" w:ascii="Times New Roman" w:hAnsi="Times New Roman" w:eastAsia="宋体" w:cs="Times New Roman"/>
                      <w:i w:val="0"/>
                      <w:iCs w:val="0"/>
                      <w:color w:val="0000E1"/>
                      <w:kern w:val="0"/>
                      <w:sz w:val="21"/>
                      <w:szCs w:val="21"/>
                      <w:u w:val="none"/>
                      <w:lang w:val="en-US" w:eastAsia="zh-CN" w:bidi="ar"/>
                    </w:rPr>
                    <w:t>0.535</w:t>
                  </w:r>
                </w:p>
              </w:tc>
              <w:tc>
                <w:tcPr>
                  <w:tcW w:w="945" w:type="dxa"/>
                  <w:tcBorders>
                    <w:top w:val="single" w:color="auto" w:sz="4" w:space="0"/>
                    <w:left w:val="nil"/>
                    <w:bottom w:val="single" w:color="auto" w:sz="4" w:space="0"/>
                    <w:right w:val="single" w:color="auto" w:sz="4" w:space="0"/>
                  </w:tcBorders>
                  <w:shd w:val="clear" w:color="auto" w:fill="auto"/>
                  <w:vAlign w:val="center"/>
                </w:tcPr>
                <w:p w14:paraId="53B5D29A">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i w:val="0"/>
                      <w:iCs w:val="0"/>
                      <w:color w:val="0000E1"/>
                      <w:kern w:val="2"/>
                      <w:sz w:val="21"/>
                      <w:szCs w:val="21"/>
                      <w:u w:val="none"/>
                      <w:lang w:val="en-US" w:eastAsia="zh-CN" w:bidi="ar-SA"/>
                    </w:rPr>
                  </w:pPr>
                  <w:r>
                    <w:rPr>
                      <w:rFonts w:hint="default" w:ascii="Times New Roman" w:hAnsi="Times New Roman" w:eastAsia="宋体" w:cs="Times New Roman"/>
                      <w:i w:val="0"/>
                      <w:iCs w:val="0"/>
                      <w:color w:val="0000E1"/>
                      <w:kern w:val="0"/>
                      <w:sz w:val="21"/>
                      <w:szCs w:val="21"/>
                      <w:u w:val="none"/>
                      <w:lang w:val="en-US" w:eastAsia="zh-CN" w:bidi="ar"/>
                    </w:rPr>
                    <w:t>0.042</w:t>
                  </w:r>
                </w:p>
              </w:tc>
              <w:tc>
                <w:tcPr>
                  <w:tcW w:w="798" w:type="dxa"/>
                  <w:tcBorders>
                    <w:top w:val="single" w:color="auto" w:sz="4" w:space="0"/>
                    <w:left w:val="nil"/>
                    <w:bottom w:val="single" w:color="auto" w:sz="4" w:space="0"/>
                    <w:right w:val="single" w:color="auto" w:sz="4" w:space="0"/>
                  </w:tcBorders>
                  <w:shd w:val="clear" w:color="auto" w:fill="auto"/>
                  <w:vAlign w:val="center"/>
                </w:tcPr>
                <w:p w14:paraId="2E1D2746">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i w:val="0"/>
                      <w:iCs w:val="0"/>
                      <w:color w:val="0000E1"/>
                      <w:kern w:val="2"/>
                      <w:sz w:val="21"/>
                      <w:szCs w:val="21"/>
                      <w:u w:val="none"/>
                      <w:lang w:val="en-US" w:eastAsia="zh-CN" w:bidi="ar-SA"/>
                    </w:rPr>
                  </w:pPr>
                  <w:r>
                    <w:rPr>
                      <w:rFonts w:hint="default" w:ascii="Times New Roman" w:hAnsi="Times New Roman" w:eastAsia="宋体" w:cs="Times New Roman"/>
                      <w:i w:val="0"/>
                      <w:iCs w:val="0"/>
                      <w:color w:val="0000E1"/>
                      <w:kern w:val="0"/>
                      <w:sz w:val="21"/>
                      <w:szCs w:val="21"/>
                      <w:u w:val="none"/>
                      <w:lang w:val="en-US" w:eastAsia="zh-CN" w:bidi="ar"/>
                    </w:rPr>
                    <w:t>0.168</w:t>
                  </w:r>
                </w:p>
              </w:tc>
            </w:tr>
          </w:tbl>
          <w:p w14:paraId="70BF87CB">
            <w:pPr>
              <w:keepNext w:val="0"/>
              <w:keepLines w:val="0"/>
              <w:pageBreakBefore w:val="0"/>
              <w:widowControl w:val="0"/>
              <w:numPr>
                <w:ilvl w:val="0"/>
                <w:numId w:val="0"/>
              </w:numPr>
              <w:suppressLineNumbers w:val="0"/>
              <w:kinsoku/>
              <w:wordWrap/>
              <w:overflowPunct/>
              <w:topLinePunct w:val="0"/>
              <w:autoSpaceDE/>
              <w:autoSpaceDN/>
              <w:bidi w:val="0"/>
              <w:adjustRightInd/>
              <w:snapToGrid/>
              <w:spacing w:before="0" w:beforeAutospacing="0" w:after="0" w:afterAutospacing="0" w:line="360" w:lineRule="auto"/>
              <w:ind w:left="420" w:leftChars="200" w:right="0" w:rightChars="0"/>
              <w:textAlignment w:val="auto"/>
              <w:rPr>
                <w:rFonts w:hint="default" w:ascii="Times New Roman" w:hAnsi="Times New Roman" w:eastAsia="宋体" w:cs="Times New Roman"/>
                <w:b/>
                <w:bCs/>
                <w:color w:val="auto"/>
                <w:sz w:val="24"/>
                <w:lang w:val="en-US" w:eastAsia="zh-CN"/>
              </w:rPr>
            </w:pPr>
            <w:r>
              <w:rPr>
                <w:rFonts w:hint="eastAsia" w:ascii="Times New Roman" w:hAnsi="Times New Roman" w:eastAsia="宋体" w:cs="Times New Roman"/>
                <w:b/>
                <w:bCs/>
                <w:color w:val="auto"/>
                <w:sz w:val="24"/>
                <w:lang w:val="en-US" w:eastAsia="zh-CN"/>
              </w:rPr>
              <w:t>（4）贴合废气</w:t>
            </w:r>
          </w:p>
          <w:p w14:paraId="51667AC6">
            <w:pPr>
              <w:keepNext w:val="0"/>
              <w:keepLines w:val="0"/>
              <w:suppressLineNumbers w:val="0"/>
              <w:spacing w:before="0" w:beforeAutospacing="0" w:after="0" w:afterAutospacing="0" w:line="360" w:lineRule="auto"/>
              <w:ind w:left="0" w:right="0" w:firstLine="480" w:firstLineChars="200"/>
              <w:rPr>
                <w:rFonts w:hint="eastAsia" w:ascii="Times New Roman" w:hAnsi="Times New Roman" w:eastAsia="宋体" w:cs="Times New Roman"/>
                <w:b w:val="0"/>
                <w:bCs w:val="0"/>
                <w:color w:val="auto"/>
                <w:sz w:val="24"/>
              </w:rPr>
            </w:pPr>
            <w:r>
              <w:rPr>
                <w:rFonts w:hint="eastAsia" w:ascii="Times New Roman" w:hAnsi="Times New Roman" w:eastAsia="宋体" w:cs="Times New Roman"/>
                <w:b w:val="0"/>
                <w:bCs w:val="0"/>
                <w:color w:val="auto"/>
                <w:sz w:val="24"/>
                <w:lang w:val="en-US" w:eastAsia="zh-CN"/>
              </w:rPr>
              <w:t>根据企业提供资料，贴合类产品约占总产品量的5%，鉴于贴合时间仅为几秒且贴合面积极小，故产生的挥发废气量极少，不做定量分析，以无组织形式排放。</w:t>
            </w:r>
          </w:p>
          <w:p w14:paraId="406B7899">
            <w:pPr>
              <w:keepNext w:val="0"/>
              <w:keepLines w:val="0"/>
              <w:suppressLineNumbers w:val="0"/>
              <w:spacing w:before="0" w:beforeAutospacing="0" w:after="0" w:afterAutospacing="0" w:line="360" w:lineRule="auto"/>
              <w:ind w:left="0" w:right="0" w:firstLine="482" w:firstLineChars="200"/>
              <w:rPr>
                <w:rFonts w:hint="default" w:ascii="Times New Roman" w:hAnsi="Times New Roman" w:eastAsia="宋体" w:cs="Times New Roman"/>
                <w:b/>
                <w:bCs/>
                <w:color w:val="auto"/>
                <w:sz w:val="24"/>
              </w:rPr>
            </w:pPr>
            <w:r>
              <w:rPr>
                <w:rFonts w:hint="eastAsia" w:ascii="Times New Roman" w:hAnsi="Times New Roman" w:eastAsia="宋体" w:cs="Times New Roman"/>
                <w:b/>
                <w:bCs/>
                <w:color w:val="auto"/>
                <w:sz w:val="24"/>
              </w:rPr>
              <w:t>（</w:t>
            </w:r>
            <w:r>
              <w:rPr>
                <w:rFonts w:hint="eastAsia" w:ascii="Times New Roman" w:hAnsi="Times New Roman" w:eastAsia="宋体" w:cs="Times New Roman"/>
                <w:b/>
                <w:bCs/>
                <w:color w:val="auto"/>
                <w:sz w:val="24"/>
                <w:lang w:val="en-US" w:eastAsia="zh-CN"/>
              </w:rPr>
              <w:t>5</w:t>
            </w:r>
            <w:r>
              <w:rPr>
                <w:rFonts w:hint="eastAsia" w:ascii="Times New Roman" w:hAnsi="Times New Roman" w:eastAsia="宋体" w:cs="Times New Roman"/>
                <w:b/>
                <w:bCs/>
                <w:color w:val="auto"/>
                <w:sz w:val="24"/>
              </w:rPr>
              <w:t>）拆包粉尘、投料粉尘</w:t>
            </w:r>
          </w:p>
          <w:p w14:paraId="75FE5920">
            <w:pPr>
              <w:keepNext w:val="0"/>
              <w:keepLines w:val="0"/>
              <w:suppressLineNumbers w:val="0"/>
              <w:spacing w:before="0" w:beforeAutospacing="0" w:after="0" w:afterAutospacing="0" w:line="360" w:lineRule="auto"/>
              <w:ind w:left="0" w:right="0" w:firstLine="480" w:firstLineChars="200"/>
              <w:rPr>
                <w:rFonts w:hint="eastAsia" w:ascii="Times New Roman" w:hAnsi="Times New Roman" w:eastAsia="宋体" w:cs="Times New Roman"/>
                <w:color w:val="auto"/>
                <w:sz w:val="24"/>
              </w:rPr>
            </w:pPr>
            <w:r>
              <w:rPr>
                <w:rFonts w:hint="eastAsia" w:ascii="Times New Roman" w:hAnsi="Times New Roman" w:eastAsia="宋体" w:cs="Times New Roman"/>
                <w:color w:val="auto"/>
                <w:sz w:val="24"/>
                <w:lang w:val="en-US" w:eastAsia="zh-CN"/>
              </w:rPr>
              <w:t>本项目纳米隔热板主要原料为粉状原料，</w:t>
            </w:r>
            <w:r>
              <w:rPr>
                <w:rFonts w:hint="eastAsia" w:ascii="Times New Roman" w:hAnsi="Times New Roman" w:eastAsia="宋体" w:cs="Times New Roman"/>
                <w:color w:val="auto"/>
                <w:sz w:val="24"/>
              </w:rPr>
              <w:t>拆包、投料过程中会产生一定量的粉尘，</w:t>
            </w:r>
            <w:r>
              <w:rPr>
                <w:rFonts w:hint="eastAsia" w:ascii="Times New Roman" w:hAnsi="Times New Roman" w:eastAsia="宋体" w:cs="Times New Roman"/>
                <w:color w:val="auto"/>
                <w:sz w:val="24"/>
                <w:lang w:val="en-US" w:eastAsia="zh-CN"/>
              </w:rPr>
              <w:t>参照《环境影响评 价实用技术指南》中规定数据，拆包粉尘、投料粉尘产生量按照原料量的0.1%核算</w:t>
            </w:r>
            <w:r>
              <w:rPr>
                <w:rFonts w:hint="eastAsia" w:ascii="Times New Roman" w:hAnsi="Times New Roman" w:eastAsia="宋体" w:cs="Times New Roman"/>
                <w:color w:val="auto"/>
                <w:sz w:val="24"/>
              </w:rPr>
              <w:t>。项目气相法二氧化硅年消耗533t、高含硅烧结纤丝年消耗46t、碳化硅年消耗100t，合计679t/a，则粉尘产生量约为</w:t>
            </w:r>
            <w:r>
              <w:rPr>
                <w:rFonts w:hint="eastAsia" w:ascii="Times New Roman" w:hAnsi="Times New Roman" w:eastAsia="宋体" w:cs="Times New Roman"/>
                <w:color w:val="auto"/>
                <w:sz w:val="24"/>
                <w:lang w:val="en-US" w:eastAsia="zh-CN"/>
              </w:rPr>
              <w:t>0.679</w:t>
            </w:r>
            <w:r>
              <w:rPr>
                <w:rFonts w:hint="eastAsia" w:ascii="Times New Roman" w:hAnsi="Times New Roman" w:eastAsia="宋体" w:cs="Times New Roman"/>
                <w:color w:val="auto"/>
                <w:sz w:val="24"/>
              </w:rPr>
              <w:t>t/a。（年工作时间</w:t>
            </w:r>
            <w:r>
              <w:rPr>
                <w:rFonts w:hint="eastAsia" w:ascii="Times New Roman" w:hAnsi="Times New Roman" w:eastAsia="宋体" w:cs="Times New Roman"/>
                <w:color w:val="auto"/>
                <w:sz w:val="24"/>
                <w:lang w:val="en-US" w:eastAsia="zh-CN"/>
              </w:rPr>
              <w:t>4800</w:t>
            </w:r>
            <w:r>
              <w:rPr>
                <w:rFonts w:hint="eastAsia" w:ascii="Times New Roman" w:hAnsi="Times New Roman" w:eastAsia="宋体" w:cs="Times New Roman"/>
                <w:color w:val="auto"/>
                <w:sz w:val="24"/>
              </w:rPr>
              <w:t>h）</w:t>
            </w:r>
          </w:p>
          <w:p w14:paraId="5400A6C1">
            <w:pPr>
              <w:keepNext w:val="0"/>
              <w:keepLines w:val="0"/>
              <w:suppressLineNumbers w:val="0"/>
              <w:spacing w:before="0" w:beforeAutospacing="0" w:after="0" w:afterAutospacing="0" w:line="360" w:lineRule="auto"/>
              <w:ind w:left="0" w:right="0" w:firstLine="482" w:firstLineChars="200"/>
              <w:rPr>
                <w:rFonts w:hint="default" w:ascii="Times New Roman" w:hAnsi="Times New Roman" w:eastAsia="宋体" w:cs="Times New Roman"/>
                <w:b/>
                <w:bCs/>
                <w:color w:val="auto"/>
                <w:sz w:val="24"/>
                <w:lang w:val="en-US" w:eastAsia="zh-CN"/>
              </w:rPr>
            </w:pPr>
            <w:r>
              <w:rPr>
                <w:rFonts w:hint="default" w:ascii="Times New Roman" w:hAnsi="Times New Roman" w:eastAsia="宋体" w:cs="Times New Roman"/>
                <w:b/>
                <w:bCs/>
                <w:color w:val="auto"/>
                <w:sz w:val="24"/>
                <w:lang w:eastAsia="zh-CN"/>
              </w:rPr>
              <w:t>（</w:t>
            </w:r>
            <w:r>
              <w:rPr>
                <w:rFonts w:hint="eastAsia" w:ascii="Times New Roman" w:hAnsi="Times New Roman" w:eastAsia="宋体" w:cs="Times New Roman"/>
                <w:b/>
                <w:bCs/>
                <w:color w:val="auto"/>
                <w:sz w:val="24"/>
                <w:lang w:val="en-US" w:eastAsia="zh-CN"/>
              </w:rPr>
              <w:t>6</w:t>
            </w:r>
            <w:r>
              <w:rPr>
                <w:rFonts w:hint="default" w:ascii="Times New Roman" w:hAnsi="Times New Roman" w:eastAsia="宋体" w:cs="Times New Roman"/>
                <w:b/>
                <w:bCs/>
                <w:color w:val="auto"/>
                <w:sz w:val="24"/>
                <w:lang w:val="en-US" w:eastAsia="zh-CN"/>
              </w:rPr>
              <w:t>）出料粉尘</w:t>
            </w:r>
          </w:p>
          <w:p w14:paraId="534408AD">
            <w:pPr>
              <w:keepNext w:val="0"/>
              <w:keepLines w:val="0"/>
              <w:suppressLineNumbers w:val="0"/>
              <w:spacing w:before="0" w:beforeAutospacing="0" w:after="0" w:afterAutospacing="0" w:line="360" w:lineRule="auto"/>
              <w:ind w:left="0" w:right="0" w:firstLine="480" w:firstLineChars="200"/>
              <w:rPr>
                <w:rFonts w:hint="default" w:ascii="Times New Roman" w:hAnsi="Times New Roman" w:eastAsia="宋体" w:cs="Times New Roman"/>
                <w:color w:val="auto"/>
                <w:sz w:val="24"/>
                <w:lang w:val="en-US" w:eastAsia="zh-CN"/>
              </w:rPr>
            </w:pPr>
            <w:r>
              <w:rPr>
                <w:rFonts w:hint="default" w:ascii="Times New Roman" w:hAnsi="Times New Roman" w:eastAsia="宋体" w:cs="Times New Roman"/>
                <w:color w:val="auto"/>
                <w:sz w:val="24"/>
                <w:lang w:val="en-US" w:eastAsia="zh-CN"/>
              </w:rPr>
              <w:t>本项目纳米隔热板成型出料过程中会产生一定量的粉尘。根据《逸散性工业粉尘控制技术》，在原料储存、运输、卸料等工序中粉尘的产生系数为 0.1565kg/t 原料。项目气相法二氧化硅年消耗533t、高含硅烧结纤丝年消耗46t、碳化硅年消耗100t，合计679t/a，则粉尘产生量约为0.106t/a。（年工作时间4800h）</w:t>
            </w:r>
          </w:p>
          <w:p w14:paraId="39AE0EC5">
            <w:pPr>
              <w:keepNext w:val="0"/>
              <w:keepLines w:val="0"/>
              <w:suppressLineNumbers w:val="0"/>
              <w:spacing w:before="0" w:beforeAutospacing="0" w:after="0" w:afterAutospacing="0" w:line="360" w:lineRule="auto"/>
              <w:ind w:left="0" w:right="0" w:firstLine="482" w:firstLineChars="200"/>
              <w:rPr>
                <w:rFonts w:hint="default" w:ascii="Times New Roman" w:hAnsi="Times New Roman" w:eastAsia="宋体" w:cs="Times New Roman"/>
                <w:b/>
                <w:bCs/>
                <w:color w:val="auto"/>
                <w:sz w:val="24"/>
              </w:rPr>
            </w:pPr>
            <w:r>
              <w:rPr>
                <w:rFonts w:hint="default" w:ascii="Times New Roman" w:hAnsi="Times New Roman" w:eastAsia="宋体" w:cs="Times New Roman"/>
                <w:b/>
                <w:bCs/>
                <w:color w:val="auto"/>
                <w:sz w:val="24"/>
              </w:rPr>
              <w:t>治理措施：</w:t>
            </w:r>
          </w:p>
          <w:p w14:paraId="65797601">
            <w:pPr>
              <w:keepNext w:val="0"/>
              <w:keepLines w:val="0"/>
              <w:suppressLineNumbers w:val="0"/>
              <w:spacing w:before="0" w:beforeAutospacing="0" w:after="0" w:afterAutospacing="0" w:line="360" w:lineRule="auto"/>
              <w:ind w:left="0" w:right="0" w:firstLine="480" w:firstLineChars="200"/>
              <w:rPr>
                <w:rFonts w:hint="default" w:ascii="Times New Roman" w:hAnsi="Times New Roman" w:eastAsia="宋体" w:cs="Times New Roman"/>
                <w:color w:val="auto"/>
                <w:sz w:val="24"/>
              </w:rPr>
            </w:pPr>
            <w:r>
              <w:rPr>
                <w:rFonts w:hint="eastAsia" w:ascii="宋体" w:hAnsi="宋体" w:eastAsia="宋体" w:cs="宋体"/>
                <w:color w:val="auto"/>
                <w:sz w:val="24"/>
                <w:lang w:bidi="ar"/>
              </w:rPr>
              <w:t>本</w:t>
            </w:r>
            <w:r>
              <w:rPr>
                <w:rFonts w:hint="default" w:ascii="Times New Roman" w:hAnsi="Times New Roman" w:eastAsia="宋体" w:cs="Times New Roman"/>
                <w:color w:val="auto"/>
                <w:sz w:val="24"/>
                <w:lang w:bidi="ar"/>
              </w:rPr>
              <w:t>项目在自动拆包机、高速混合机投料口上方设置集气罩，</w:t>
            </w:r>
            <w:r>
              <w:rPr>
                <w:rFonts w:hint="eastAsia" w:ascii="Times New Roman" w:hAnsi="Times New Roman" w:eastAsia="宋体" w:cs="Times New Roman"/>
                <w:color w:val="auto"/>
                <w:sz w:val="24"/>
                <w:lang w:val="en-US" w:eastAsia="zh-CN" w:bidi="ar"/>
              </w:rPr>
              <w:t>面积设计为</w:t>
            </w:r>
            <w:r>
              <w:rPr>
                <w:rFonts w:hint="default" w:ascii="Times New Roman" w:hAnsi="Times New Roman" w:eastAsia="宋体" w:cs="Times New Roman"/>
                <w:color w:val="auto"/>
                <w:sz w:val="24"/>
                <w:lang w:bidi="ar"/>
              </w:rPr>
              <w:t>1m×</w:t>
            </w:r>
            <w:r>
              <w:rPr>
                <w:rFonts w:hint="eastAsia" w:ascii="Times New Roman" w:hAnsi="Times New Roman" w:eastAsia="宋体" w:cs="Times New Roman"/>
                <w:color w:val="auto"/>
                <w:sz w:val="24"/>
                <w:lang w:val="en-US" w:eastAsia="zh-CN" w:bidi="ar"/>
              </w:rPr>
              <w:t>0.5</w:t>
            </w:r>
            <w:r>
              <w:rPr>
                <w:rFonts w:hint="default" w:ascii="Times New Roman" w:hAnsi="Times New Roman" w:eastAsia="宋体" w:cs="Times New Roman"/>
                <w:color w:val="auto"/>
                <w:sz w:val="24"/>
                <w:lang w:bidi="ar"/>
              </w:rPr>
              <w:t>m</w:t>
            </w:r>
            <w:r>
              <w:rPr>
                <w:rFonts w:hint="eastAsia" w:ascii="Times New Roman" w:hAnsi="Times New Roman" w:eastAsia="宋体" w:cs="Times New Roman"/>
                <w:color w:val="auto"/>
                <w:sz w:val="24"/>
                <w:lang w:eastAsia="zh-CN" w:bidi="ar"/>
              </w:rPr>
              <w:t>；</w:t>
            </w:r>
            <w:commentRangeStart w:id="62"/>
            <w:r>
              <w:rPr>
                <w:rFonts w:hint="eastAsia" w:ascii="Times New Roman" w:hAnsi="Times New Roman" w:eastAsia="宋体" w:cs="Times New Roman"/>
                <w:color w:val="auto"/>
                <w:sz w:val="24"/>
                <w:lang w:val="en-US" w:eastAsia="zh-CN" w:bidi="ar"/>
              </w:rPr>
              <w:t>超薄纳米板成型机出料口上方设置集气罩，面积设计为1m×1m</w:t>
            </w:r>
            <w:r>
              <w:rPr>
                <w:rFonts w:hint="eastAsia" w:ascii="Times New Roman" w:hAnsi="Times New Roman" w:eastAsia="宋体" w:cs="Times New Roman"/>
                <w:color w:val="00B050"/>
                <w:sz w:val="24"/>
                <w:lang w:val="en-US" w:eastAsia="zh-CN" w:bidi="ar"/>
              </w:rPr>
              <w:t>，</w:t>
            </w:r>
            <w:commentRangeEnd w:id="62"/>
            <w:r>
              <w:rPr>
                <w:rFonts w:hint="default"/>
              </w:rPr>
              <w:commentReference w:id="62"/>
            </w:r>
            <w:r>
              <w:rPr>
                <w:rFonts w:hint="default" w:ascii="Times New Roman" w:hAnsi="Times New Roman" w:eastAsia="宋体" w:cs="Times New Roman"/>
                <w:color w:val="auto"/>
                <w:sz w:val="24"/>
                <w:lang w:bidi="ar"/>
              </w:rPr>
              <w:t>收集效率以</w:t>
            </w:r>
            <w:r>
              <w:rPr>
                <w:rFonts w:hint="eastAsia" w:ascii="Times New Roman" w:hAnsi="Times New Roman" w:eastAsia="宋体" w:cs="Times New Roman"/>
                <w:color w:val="auto"/>
                <w:sz w:val="24"/>
                <w:lang w:bidi="ar"/>
              </w:rPr>
              <w:t>75</w:t>
            </w:r>
            <w:r>
              <w:rPr>
                <w:rFonts w:hint="default" w:ascii="Times New Roman" w:hAnsi="Times New Roman" w:eastAsia="宋体" w:cs="Times New Roman"/>
                <w:color w:val="auto"/>
                <w:sz w:val="24"/>
                <w:lang w:bidi="ar"/>
              </w:rPr>
              <w:t>%计，</w:t>
            </w:r>
            <w:r>
              <w:rPr>
                <w:rFonts w:hint="eastAsia" w:ascii="Times New Roman" w:hAnsi="Times New Roman" w:eastAsia="宋体" w:cs="Times New Roman"/>
                <w:color w:val="auto"/>
                <w:sz w:val="24"/>
                <w:lang w:val="en-US" w:eastAsia="zh-CN" w:bidi="ar"/>
              </w:rPr>
              <w:t>废气</w:t>
            </w:r>
            <w:r>
              <w:rPr>
                <w:rFonts w:hint="default" w:ascii="Times New Roman" w:hAnsi="Times New Roman" w:eastAsia="宋体" w:cs="Times New Roman"/>
                <w:color w:val="auto"/>
                <w:sz w:val="24"/>
                <w:lang w:bidi="ar"/>
              </w:rPr>
              <w:t>经集气罩收集后通过一套脉冲式布袋除尘器（TA00</w:t>
            </w:r>
            <w:r>
              <w:rPr>
                <w:rFonts w:hint="eastAsia" w:ascii="Times New Roman" w:hAnsi="Times New Roman" w:eastAsia="宋体" w:cs="Times New Roman"/>
                <w:color w:val="auto"/>
                <w:sz w:val="24"/>
                <w:lang w:val="en-US" w:eastAsia="zh-CN" w:bidi="ar"/>
              </w:rPr>
              <w:t>2</w:t>
            </w:r>
            <w:r>
              <w:rPr>
                <w:rFonts w:hint="default" w:ascii="Times New Roman" w:hAnsi="Times New Roman" w:eastAsia="宋体" w:cs="Times New Roman"/>
                <w:color w:val="auto"/>
                <w:sz w:val="24"/>
                <w:lang w:bidi="ar"/>
              </w:rPr>
              <w:t>）处理，处理效率以</w:t>
            </w:r>
            <w:r>
              <w:rPr>
                <w:rFonts w:hint="eastAsia" w:ascii="Times New Roman" w:hAnsi="Times New Roman" w:eastAsia="宋体" w:cs="Times New Roman"/>
                <w:color w:val="auto"/>
                <w:sz w:val="24"/>
                <w:lang w:bidi="ar"/>
              </w:rPr>
              <w:t>95</w:t>
            </w:r>
            <w:r>
              <w:rPr>
                <w:rFonts w:hint="default" w:ascii="Times New Roman" w:hAnsi="Times New Roman" w:eastAsia="宋体" w:cs="Times New Roman"/>
                <w:color w:val="auto"/>
                <w:sz w:val="24"/>
                <w:lang w:bidi="ar"/>
              </w:rPr>
              <w:t>%计，尾气由一根</w:t>
            </w:r>
            <w:r>
              <w:rPr>
                <w:rFonts w:hint="default" w:ascii="Times New Roman" w:hAnsi="Times New Roman" w:eastAsia="宋体" w:cs="Times New Roman"/>
                <w:color w:val="auto"/>
                <w:sz w:val="24"/>
                <w:highlight w:val="none"/>
                <w:lang w:bidi="ar"/>
              </w:rPr>
              <w:t>26m</w:t>
            </w:r>
            <w:r>
              <w:rPr>
                <w:rFonts w:hint="default" w:ascii="Times New Roman" w:hAnsi="Times New Roman" w:eastAsia="宋体" w:cs="Times New Roman"/>
                <w:color w:val="auto"/>
                <w:sz w:val="24"/>
                <w:lang w:bidi="ar"/>
              </w:rPr>
              <w:t>高的排气筒DA002排放。</w:t>
            </w:r>
          </w:p>
          <w:p w14:paraId="7FB0E76A">
            <w:pPr>
              <w:keepNext w:val="0"/>
              <w:keepLines w:val="0"/>
              <w:suppressLineNumbers w:val="0"/>
              <w:spacing w:before="0" w:beforeAutospacing="0" w:after="0" w:afterAutospacing="0" w:line="360" w:lineRule="auto"/>
              <w:ind w:left="0" w:right="0" w:firstLine="482" w:firstLineChars="200"/>
              <w:rPr>
                <w:rFonts w:hint="default" w:ascii="Times New Roman" w:hAnsi="Times New Roman" w:eastAsia="宋体" w:cs="Times New Roman"/>
                <w:b/>
                <w:bCs/>
                <w:color w:val="auto"/>
                <w:sz w:val="24"/>
              </w:rPr>
            </w:pPr>
            <w:r>
              <w:rPr>
                <w:rFonts w:hint="default" w:ascii="Times New Roman" w:hAnsi="Times New Roman" w:eastAsia="宋体" w:cs="Times New Roman"/>
                <w:b/>
                <w:bCs/>
                <w:color w:val="auto"/>
                <w:sz w:val="24"/>
                <w:lang w:bidi="ar"/>
              </w:rPr>
              <w:t>风量计算：</w:t>
            </w:r>
          </w:p>
          <w:p w14:paraId="40AAD2A8">
            <w:pPr>
              <w:keepNext w:val="0"/>
              <w:keepLines w:val="0"/>
              <w:suppressLineNumbers w:val="0"/>
              <w:spacing w:before="0" w:beforeAutospacing="0" w:after="0" w:afterAutospacing="0" w:line="360" w:lineRule="auto"/>
              <w:ind w:left="0" w:right="0" w:firstLine="480" w:firstLineChars="200"/>
              <w:rPr>
                <w:rFonts w:hint="default" w:ascii="Times New Roman" w:hAnsi="Times New Roman" w:eastAsia="宋体" w:cs="Times New Roman"/>
                <w:color w:val="auto"/>
                <w:sz w:val="24"/>
              </w:rPr>
            </w:pPr>
            <w:r>
              <w:rPr>
                <w:rFonts w:hint="default" w:ascii="Times New Roman" w:hAnsi="Times New Roman" w:eastAsia="宋体" w:cs="Times New Roman"/>
                <w:color w:val="auto"/>
                <w:sz w:val="24"/>
                <w:lang w:bidi="ar"/>
              </w:rPr>
              <w:t>根据《环境工程设计手册》中的经验公式，计算得出集气罩所需的风量：</w:t>
            </w:r>
          </w:p>
          <w:p w14:paraId="74604853">
            <w:pPr>
              <w:keepNext w:val="0"/>
              <w:keepLines w:val="0"/>
              <w:suppressLineNumbers w:val="0"/>
              <w:spacing w:before="0" w:beforeAutospacing="0" w:after="0" w:afterAutospacing="0" w:line="360" w:lineRule="auto"/>
              <w:ind w:left="0" w:right="0"/>
              <w:jc w:val="center"/>
              <w:rPr>
                <w:rFonts w:hint="default" w:ascii="Times New Roman" w:hAnsi="Times New Roman" w:eastAsia="宋体" w:cs="Times New Roman"/>
                <w:color w:val="auto"/>
                <w:sz w:val="24"/>
              </w:rPr>
            </w:pPr>
            <w:r>
              <w:rPr>
                <w:rFonts w:hint="default" w:ascii="Times New Roman" w:hAnsi="Times New Roman" w:eastAsia="宋体" w:cs="Times New Roman"/>
                <w:color w:val="auto"/>
                <w:sz w:val="24"/>
                <w:lang w:bidi="ar"/>
              </w:rPr>
              <w:t>L=3600（5·X</w:t>
            </w:r>
            <w:r>
              <w:rPr>
                <w:rFonts w:hint="default" w:ascii="Times New Roman" w:hAnsi="Times New Roman" w:eastAsia="宋体" w:cs="Times New Roman"/>
                <w:color w:val="auto"/>
                <w:sz w:val="24"/>
                <w:vertAlign w:val="superscript"/>
                <w:lang w:bidi="ar"/>
              </w:rPr>
              <w:t>2</w:t>
            </w:r>
            <w:r>
              <w:rPr>
                <w:rFonts w:hint="default" w:ascii="Times New Roman" w:hAnsi="Times New Roman" w:eastAsia="宋体" w:cs="Times New Roman"/>
                <w:color w:val="auto"/>
                <w:sz w:val="24"/>
                <w:lang w:bidi="ar"/>
              </w:rPr>
              <w:t>+F）×Vx</w:t>
            </w:r>
          </w:p>
          <w:p w14:paraId="2CC39B6E">
            <w:pPr>
              <w:keepNext w:val="0"/>
              <w:keepLines w:val="0"/>
              <w:suppressLineNumbers w:val="0"/>
              <w:spacing w:before="0" w:beforeAutospacing="0" w:after="0" w:afterAutospacing="0" w:line="360" w:lineRule="auto"/>
              <w:ind w:left="0" w:right="0" w:firstLine="480" w:firstLineChars="200"/>
              <w:rPr>
                <w:rFonts w:hint="default" w:ascii="Times New Roman" w:hAnsi="Times New Roman" w:eastAsia="宋体" w:cs="Times New Roman"/>
                <w:color w:val="auto"/>
                <w:sz w:val="24"/>
              </w:rPr>
            </w:pPr>
            <w:r>
              <w:rPr>
                <w:rFonts w:hint="default" w:ascii="Times New Roman" w:hAnsi="Times New Roman" w:eastAsia="宋体" w:cs="Times New Roman"/>
                <w:color w:val="auto"/>
                <w:sz w:val="24"/>
                <w:lang w:bidi="ar"/>
              </w:rPr>
              <w:t>其中：X——集气罩至污染源的距离，m，本项目取0.5m；</w:t>
            </w:r>
          </w:p>
          <w:p w14:paraId="672E876D">
            <w:pPr>
              <w:keepNext w:val="0"/>
              <w:keepLines w:val="0"/>
              <w:suppressLineNumbers w:val="0"/>
              <w:spacing w:before="0" w:beforeAutospacing="0" w:after="0" w:afterAutospacing="0" w:line="360" w:lineRule="auto"/>
              <w:ind w:left="0" w:right="0" w:firstLine="1200" w:firstLineChars="500"/>
              <w:rPr>
                <w:rFonts w:hint="default" w:ascii="Times New Roman" w:hAnsi="Times New Roman" w:eastAsia="宋体" w:cs="Times New Roman"/>
                <w:color w:val="auto"/>
                <w:sz w:val="24"/>
                <w:lang w:val="en-US"/>
              </w:rPr>
            </w:pPr>
            <w:r>
              <w:rPr>
                <w:rFonts w:hint="default" w:ascii="Times New Roman" w:hAnsi="Times New Roman" w:eastAsia="宋体" w:cs="Times New Roman"/>
                <w:color w:val="auto"/>
                <w:sz w:val="24"/>
                <w:lang w:bidi="ar"/>
              </w:rPr>
              <w:t>F——集气罩面积，m</w:t>
            </w:r>
            <w:r>
              <w:rPr>
                <w:rFonts w:hint="default" w:ascii="Times New Roman" w:hAnsi="Times New Roman" w:eastAsia="宋体" w:cs="Times New Roman"/>
                <w:color w:val="auto"/>
                <w:sz w:val="24"/>
                <w:vertAlign w:val="superscript"/>
                <w:lang w:bidi="ar"/>
              </w:rPr>
              <w:t>2</w:t>
            </w:r>
            <w:r>
              <w:rPr>
                <w:rFonts w:hint="default" w:ascii="Times New Roman" w:hAnsi="Times New Roman" w:eastAsia="宋体" w:cs="Times New Roman"/>
                <w:color w:val="auto"/>
                <w:sz w:val="24"/>
                <w:lang w:bidi="ar"/>
              </w:rPr>
              <w:t>，本项目自动拆包机、高速混合机投料口取</w:t>
            </w:r>
            <w:r>
              <w:rPr>
                <w:rFonts w:hint="eastAsia" w:ascii="Times New Roman" w:hAnsi="Times New Roman" w:eastAsia="宋体" w:cs="Times New Roman"/>
                <w:color w:val="auto"/>
                <w:sz w:val="24"/>
                <w:lang w:val="en-US" w:eastAsia="zh-CN" w:bidi="ar"/>
              </w:rPr>
              <w:t>0.5</w:t>
            </w:r>
            <w:r>
              <w:rPr>
                <w:rFonts w:hint="default" w:ascii="Times New Roman" w:hAnsi="Times New Roman" w:eastAsia="宋体" w:cs="Times New Roman"/>
                <w:color w:val="auto"/>
                <w:sz w:val="24"/>
                <w:lang w:bidi="ar"/>
              </w:rPr>
              <w:t>m</w:t>
            </w:r>
            <w:r>
              <w:rPr>
                <w:rFonts w:hint="default" w:ascii="Times New Roman" w:hAnsi="Times New Roman" w:eastAsia="宋体" w:cs="Times New Roman"/>
                <w:color w:val="auto"/>
                <w:sz w:val="24"/>
                <w:vertAlign w:val="superscript"/>
                <w:lang w:bidi="ar"/>
              </w:rPr>
              <w:t>2</w:t>
            </w:r>
            <w:r>
              <w:rPr>
                <w:rFonts w:hint="default" w:ascii="Times New Roman" w:hAnsi="Times New Roman" w:eastAsia="宋体" w:cs="Times New Roman"/>
                <w:color w:val="auto"/>
                <w:sz w:val="24"/>
                <w:lang w:bidi="ar"/>
              </w:rPr>
              <w:t>；</w:t>
            </w:r>
            <w:r>
              <w:rPr>
                <w:rFonts w:hint="default" w:ascii="Times New Roman" w:hAnsi="Times New Roman" w:eastAsia="宋体" w:cs="Times New Roman"/>
                <w:color w:val="auto"/>
                <w:sz w:val="24"/>
                <w:lang w:val="en-US" w:eastAsia="zh-CN" w:bidi="ar"/>
              </w:rPr>
              <w:t>超薄纳米板成型机出料口取</w:t>
            </w:r>
            <w:r>
              <w:rPr>
                <w:rFonts w:hint="eastAsia" w:ascii="Times New Roman" w:hAnsi="Times New Roman" w:eastAsia="宋体" w:cs="Times New Roman"/>
                <w:color w:val="auto"/>
                <w:sz w:val="24"/>
                <w:lang w:val="en-US" w:eastAsia="zh-CN" w:bidi="ar"/>
              </w:rPr>
              <w:t>1m</w:t>
            </w:r>
            <w:r>
              <w:rPr>
                <w:rFonts w:hint="eastAsia" w:ascii="Times New Roman" w:hAnsi="Times New Roman" w:eastAsia="宋体" w:cs="Times New Roman"/>
                <w:color w:val="auto"/>
                <w:sz w:val="24"/>
                <w:vertAlign w:val="superscript"/>
                <w:lang w:val="en-US" w:eastAsia="zh-CN" w:bidi="ar"/>
              </w:rPr>
              <w:t>2</w:t>
            </w:r>
            <w:r>
              <w:rPr>
                <w:rFonts w:hint="eastAsia" w:ascii="Times New Roman" w:hAnsi="Times New Roman" w:eastAsia="宋体" w:cs="Times New Roman"/>
                <w:color w:val="auto"/>
                <w:sz w:val="24"/>
                <w:lang w:val="en-US" w:eastAsia="zh-CN" w:bidi="ar"/>
              </w:rPr>
              <w:t>；</w:t>
            </w:r>
          </w:p>
          <w:p w14:paraId="7F0E50D6">
            <w:pPr>
              <w:keepNext w:val="0"/>
              <w:keepLines w:val="0"/>
              <w:suppressLineNumbers w:val="0"/>
              <w:spacing w:before="0" w:beforeAutospacing="0" w:after="0" w:afterAutospacing="0" w:line="360" w:lineRule="auto"/>
              <w:ind w:left="0" w:right="0" w:firstLine="1200" w:firstLineChars="500"/>
              <w:rPr>
                <w:rFonts w:hint="default" w:ascii="Times New Roman" w:hAnsi="Times New Roman" w:eastAsia="宋体" w:cs="Times New Roman"/>
                <w:color w:val="auto"/>
                <w:sz w:val="24"/>
              </w:rPr>
            </w:pPr>
            <w:r>
              <w:rPr>
                <w:rFonts w:hint="default" w:ascii="Times New Roman" w:hAnsi="Times New Roman" w:eastAsia="宋体" w:cs="Times New Roman"/>
                <w:color w:val="auto"/>
                <w:sz w:val="24"/>
                <w:lang w:bidi="ar"/>
              </w:rPr>
              <w:t>Vx——控制风速，m/s，一般取0.25~2.5m/s，本项目取0.5m/s。</w:t>
            </w:r>
          </w:p>
          <w:p w14:paraId="634025B0">
            <w:pPr>
              <w:keepNext w:val="0"/>
              <w:keepLines w:val="0"/>
              <w:suppressLineNumbers w:val="0"/>
              <w:spacing w:before="0" w:beforeAutospacing="0" w:after="0" w:afterAutospacing="0" w:line="360" w:lineRule="auto"/>
              <w:ind w:left="0" w:right="0" w:firstLine="480" w:firstLineChars="200"/>
              <w:rPr>
                <w:rFonts w:hint="default" w:ascii="Times New Roman" w:hAnsi="Times New Roman" w:eastAsia="宋体" w:cs="Times New Roman"/>
                <w:color w:val="auto"/>
                <w:sz w:val="24"/>
              </w:rPr>
            </w:pPr>
            <w:r>
              <w:rPr>
                <w:rFonts w:hint="default" w:ascii="Times New Roman" w:hAnsi="Times New Roman" w:eastAsia="宋体" w:cs="Times New Roman"/>
                <w:color w:val="auto"/>
                <w:sz w:val="24"/>
                <w:lang w:bidi="ar"/>
              </w:rPr>
              <w:t>经计算，自动拆包机、高速混合机投料口上方单个集气罩风量为</w:t>
            </w:r>
            <w:r>
              <w:rPr>
                <w:rFonts w:hint="eastAsia" w:ascii="Times New Roman" w:hAnsi="Times New Roman" w:eastAsia="宋体" w:cs="Times New Roman"/>
                <w:color w:val="auto"/>
                <w:sz w:val="24"/>
                <w:lang w:val="en-US" w:eastAsia="zh-CN" w:bidi="ar"/>
              </w:rPr>
              <w:t>3150</w:t>
            </w:r>
            <w:r>
              <w:rPr>
                <w:rFonts w:hint="default" w:ascii="Times New Roman" w:hAnsi="Times New Roman" w:eastAsia="宋体" w:cs="Times New Roman"/>
                <w:color w:val="auto"/>
                <w:sz w:val="24"/>
                <w:lang w:bidi="ar"/>
              </w:rPr>
              <w:t>m</w:t>
            </w:r>
            <w:r>
              <w:rPr>
                <w:rFonts w:hint="default" w:ascii="Times New Roman" w:hAnsi="Times New Roman" w:eastAsia="宋体" w:cs="Times New Roman"/>
                <w:color w:val="auto"/>
                <w:sz w:val="24"/>
                <w:vertAlign w:val="superscript"/>
                <w:lang w:bidi="ar"/>
              </w:rPr>
              <w:t>3</w:t>
            </w:r>
            <w:r>
              <w:rPr>
                <w:rFonts w:hint="default" w:ascii="Times New Roman" w:hAnsi="Times New Roman" w:eastAsia="宋体" w:cs="Times New Roman"/>
                <w:color w:val="auto"/>
                <w:sz w:val="24"/>
                <w:lang w:bidi="ar"/>
              </w:rPr>
              <w:t>/h，</w:t>
            </w:r>
            <w:r>
              <w:rPr>
                <w:rFonts w:hint="default" w:ascii="Times New Roman" w:hAnsi="Times New Roman" w:eastAsia="宋体" w:cs="Times New Roman"/>
                <w:color w:val="auto"/>
                <w:sz w:val="24"/>
                <w:lang w:val="en-US" w:eastAsia="zh-CN" w:bidi="ar"/>
              </w:rPr>
              <w:t>超薄纳米板成型机出料口上方单个集气罩风量为</w:t>
            </w:r>
            <w:r>
              <w:rPr>
                <w:rFonts w:hint="eastAsia" w:ascii="Times New Roman" w:hAnsi="Times New Roman" w:eastAsia="宋体" w:cs="Times New Roman"/>
                <w:color w:val="auto"/>
                <w:sz w:val="24"/>
                <w:lang w:val="en-US" w:eastAsia="zh-CN" w:bidi="ar"/>
              </w:rPr>
              <w:t>4050m</w:t>
            </w:r>
            <w:r>
              <w:rPr>
                <w:rFonts w:hint="eastAsia" w:ascii="Times New Roman" w:hAnsi="Times New Roman" w:eastAsia="宋体" w:cs="Times New Roman"/>
                <w:color w:val="auto"/>
                <w:sz w:val="24"/>
                <w:vertAlign w:val="superscript"/>
                <w:lang w:val="en-US" w:eastAsia="zh-CN" w:bidi="ar"/>
              </w:rPr>
              <w:t>3</w:t>
            </w:r>
            <w:r>
              <w:rPr>
                <w:rFonts w:hint="eastAsia" w:ascii="Times New Roman" w:hAnsi="Times New Roman" w:eastAsia="宋体" w:cs="Times New Roman"/>
                <w:color w:val="auto"/>
                <w:sz w:val="24"/>
                <w:lang w:val="en-US" w:eastAsia="zh-CN" w:bidi="ar"/>
              </w:rPr>
              <w:t>/h。本项目设置自动拆包机1台、高速混合机1台、超薄纳米板成型机6台，故合计风量为30600m</w:t>
            </w:r>
            <w:r>
              <w:rPr>
                <w:rFonts w:hint="eastAsia" w:ascii="Times New Roman" w:hAnsi="Times New Roman" w:eastAsia="宋体" w:cs="Times New Roman"/>
                <w:color w:val="auto"/>
                <w:sz w:val="24"/>
                <w:vertAlign w:val="superscript"/>
                <w:lang w:val="en-US" w:eastAsia="zh-CN" w:bidi="ar"/>
              </w:rPr>
              <w:t>3</w:t>
            </w:r>
            <w:r>
              <w:rPr>
                <w:rFonts w:hint="eastAsia" w:ascii="Times New Roman" w:hAnsi="Times New Roman" w:eastAsia="宋体" w:cs="Times New Roman"/>
                <w:color w:val="auto"/>
                <w:sz w:val="24"/>
                <w:lang w:val="en-US" w:eastAsia="zh-CN" w:bidi="ar"/>
              </w:rPr>
              <w:t>/h，</w:t>
            </w:r>
            <w:r>
              <w:rPr>
                <w:rFonts w:hint="default" w:ascii="Times New Roman" w:hAnsi="Times New Roman" w:eastAsia="宋体" w:cs="Times New Roman"/>
                <w:color w:val="auto"/>
                <w:sz w:val="24"/>
                <w:lang w:bidi="ar"/>
              </w:rPr>
              <w:t>考虑到风阻和风量损失等因素，风机设计总风量约</w:t>
            </w:r>
            <w:r>
              <w:rPr>
                <w:rFonts w:hint="eastAsia" w:ascii="Times New Roman" w:hAnsi="Times New Roman" w:eastAsia="宋体" w:cs="Times New Roman"/>
                <w:color w:val="auto"/>
                <w:sz w:val="24"/>
                <w:lang w:val="en-US" w:eastAsia="zh-CN" w:bidi="ar"/>
              </w:rPr>
              <w:t>31000</w:t>
            </w:r>
            <w:r>
              <w:rPr>
                <w:rFonts w:hint="default" w:ascii="Times New Roman" w:hAnsi="Times New Roman" w:eastAsia="宋体" w:cs="Times New Roman"/>
                <w:color w:val="auto"/>
                <w:sz w:val="24"/>
                <w:lang w:bidi="ar"/>
              </w:rPr>
              <w:t>m</w:t>
            </w:r>
            <w:r>
              <w:rPr>
                <w:rFonts w:hint="default" w:ascii="Times New Roman" w:hAnsi="Times New Roman" w:eastAsia="宋体" w:cs="Times New Roman"/>
                <w:color w:val="auto"/>
                <w:sz w:val="24"/>
                <w:vertAlign w:val="superscript"/>
                <w:lang w:bidi="ar"/>
              </w:rPr>
              <w:t>3</w:t>
            </w:r>
            <w:r>
              <w:rPr>
                <w:rFonts w:hint="default" w:ascii="Times New Roman" w:hAnsi="Times New Roman" w:eastAsia="宋体" w:cs="Times New Roman"/>
                <w:color w:val="auto"/>
                <w:sz w:val="24"/>
                <w:lang w:bidi="ar"/>
              </w:rPr>
              <w:t>/h。</w:t>
            </w:r>
          </w:p>
          <w:p w14:paraId="2EF2CC32">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r>
              <w:rPr>
                <w:rFonts w:hint="eastAsia" w:ascii="宋体" w:hAnsi="宋体" w:eastAsia="宋体" w:cs="宋体"/>
                <w:b/>
                <w:color w:val="auto"/>
                <w:szCs w:val="21"/>
                <w:lang w:bidi="ar"/>
              </w:rPr>
              <w:t>表</w:t>
            </w:r>
            <w:r>
              <w:rPr>
                <w:rFonts w:hint="default" w:ascii="Times New Roman" w:hAnsi="Times New Roman" w:eastAsia="宋体" w:cs="Times New Roman"/>
                <w:b/>
                <w:color w:val="auto"/>
                <w:szCs w:val="21"/>
                <w:lang w:bidi="ar"/>
              </w:rPr>
              <w:t xml:space="preserve">4-2  </w:t>
            </w:r>
            <w:r>
              <w:rPr>
                <w:rFonts w:hint="eastAsia" w:ascii="宋体" w:hAnsi="宋体" w:eastAsia="宋体" w:cs="宋体"/>
                <w:b/>
                <w:color w:val="auto"/>
                <w:szCs w:val="21"/>
                <w:lang w:bidi="ar"/>
              </w:rPr>
              <w:t>拆包粉尘、投料粉尘</w:t>
            </w:r>
            <w:r>
              <w:rPr>
                <w:rFonts w:hint="eastAsia" w:ascii="宋体" w:hAnsi="宋体" w:eastAsia="宋体" w:cs="宋体"/>
                <w:b/>
                <w:color w:val="auto"/>
                <w:szCs w:val="21"/>
                <w:lang w:eastAsia="zh-CN" w:bidi="ar"/>
              </w:rPr>
              <w:t>、</w:t>
            </w:r>
            <w:r>
              <w:rPr>
                <w:rFonts w:hint="eastAsia" w:ascii="宋体" w:hAnsi="宋体" w:eastAsia="宋体" w:cs="宋体"/>
                <w:b/>
                <w:color w:val="auto"/>
                <w:szCs w:val="21"/>
                <w:lang w:val="en-US" w:eastAsia="zh-CN" w:bidi="ar"/>
              </w:rPr>
              <w:t>出料粉尘</w:t>
            </w:r>
            <w:r>
              <w:rPr>
                <w:rFonts w:hint="eastAsia" w:ascii="宋体" w:hAnsi="宋体" w:eastAsia="宋体" w:cs="宋体"/>
                <w:b/>
                <w:bCs/>
                <w:color w:val="auto"/>
                <w:szCs w:val="21"/>
                <w:lang w:bidi="ar"/>
              </w:rPr>
              <w:t>产生及排放情况一览表</w:t>
            </w:r>
          </w:p>
          <w:tbl>
            <w:tblPr>
              <w:tblStyle w:val="23"/>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70"/>
              <w:gridCol w:w="723"/>
              <w:gridCol w:w="532"/>
              <w:gridCol w:w="750"/>
              <w:gridCol w:w="695"/>
              <w:gridCol w:w="791"/>
              <w:gridCol w:w="853"/>
              <w:gridCol w:w="902"/>
              <w:gridCol w:w="764"/>
              <w:gridCol w:w="902"/>
              <w:gridCol w:w="765"/>
            </w:tblGrid>
            <w:tr w14:paraId="72EF02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70" w:type="dxa"/>
                  <w:vMerge w:val="restart"/>
                  <w:tcBorders>
                    <w:top w:val="single" w:color="auto" w:sz="4" w:space="0"/>
                    <w:left w:val="single" w:color="auto" w:sz="4" w:space="0"/>
                    <w:bottom w:val="single" w:color="auto" w:sz="4" w:space="0"/>
                    <w:right w:val="single" w:color="auto" w:sz="4" w:space="0"/>
                  </w:tcBorders>
                  <w:vAlign w:val="center"/>
                </w:tcPr>
                <w:p w14:paraId="33906C49">
                  <w:pPr>
                    <w:keepNext w:val="0"/>
                    <w:keepLines w:val="0"/>
                    <w:suppressLineNumbers w:val="0"/>
                    <w:spacing w:before="0" w:beforeAutospacing="0" w:after="0" w:afterAutospacing="0"/>
                    <w:ind w:left="0" w:right="0"/>
                    <w:jc w:val="center"/>
                    <w:rPr>
                      <w:rFonts w:hint="default" w:ascii="Times New Roman" w:hAnsi="Times New Roman" w:eastAsia="宋体" w:cs="Times New Roman"/>
                      <w:b/>
                      <w:bCs/>
                      <w:color w:val="auto"/>
                      <w:szCs w:val="21"/>
                    </w:rPr>
                  </w:pPr>
                  <w:r>
                    <w:rPr>
                      <w:rFonts w:hint="eastAsia" w:ascii="宋体" w:hAnsi="宋体" w:eastAsia="宋体" w:cs="宋体"/>
                      <w:b/>
                      <w:bCs/>
                      <w:color w:val="auto"/>
                      <w:szCs w:val="21"/>
                      <w:lang w:bidi="ar"/>
                    </w:rPr>
                    <w:t>污染源</w:t>
                  </w:r>
                </w:p>
              </w:tc>
              <w:tc>
                <w:tcPr>
                  <w:tcW w:w="723" w:type="dxa"/>
                  <w:vMerge w:val="restart"/>
                  <w:tcBorders>
                    <w:top w:val="single" w:color="auto" w:sz="4" w:space="0"/>
                    <w:left w:val="nil"/>
                    <w:bottom w:val="single" w:color="auto" w:sz="4" w:space="0"/>
                    <w:right w:val="single" w:color="auto" w:sz="4" w:space="0"/>
                  </w:tcBorders>
                  <w:vAlign w:val="center"/>
                </w:tcPr>
                <w:p w14:paraId="4697095B">
                  <w:pPr>
                    <w:keepNext w:val="0"/>
                    <w:keepLines w:val="0"/>
                    <w:suppressLineNumbers w:val="0"/>
                    <w:spacing w:before="0" w:beforeAutospacing="0" w:after="0" w:afterAutospacing="0"/>
                    <w:ind w:left="0" w:right="0"/>
                    <w:jc w:val="center"/>
                    <w:rPr>
                      <w:rFonts w:hint="default" w:ascii="Times New Roman" w:hAnsi="Times New Roman" w:eastAsia="宋体" w:cs="Times New Roman"/>
                      <w:b/>
                      <w:bCs/>
                      <w:color w:val="auto"/>
                      <w:szCs w:val="21"/>
                    </w:rPr>
                  </w:pPr>
                  <w:r>
                    <w:rPr>
                      <w:rFonts w:hint="eastAsia" w:ascii="宋体" w:hAnsi="宋体" w:eastAsia="宋体" w:cs="宋体"/>
                      <w:b/>
                      <w:bCs/>
                      <w:color w:val="auto"/>
                      <w:szCs w:val="21"/>
                      <w:lang w:bidi="ar"/>
                    </w:rPr>
                    <w:t>产生工序</w:t>
                  </w:r>
                </w:p>
              </w:tc>
              <w:tc>
                <w:tcPr>
                  <w:tcW w:w="532" w:type="dxa"/>
                  <w:vMerge w:val="restart"/>
                  <w:tcBorders>
                    <w:top w:val="single" w:color="auto" w:sz="4" w:space="0"/>
                    <w:left w:val="nil"/>
                    <w:bottom w:val="single" w:color="auto" w:sz="4" w:space="0"/>
                    <w:right w:val="single" w:color="auto" w:sz="4" w:space="0"/>
                  </w:tcBorders>
                  <w:vAlign w:val="center"/>
                </w:tcPr>
                <w:p w14:paraId="2B4EC3EC">
                  <w:pPr>
                    <w:keepNext w:val="0"/>
                    <w:keepLines w:val="0"/>
                    <w:suppressLineNumbers w:val="0"/>
                    <w:spacing w:before="0" w:beforeAutospacing="0" w:after="0" w:afterAutospacing="0"/>
                    <w:ind w:left="0" w:right="0"/>
                    <w:jc w:val="center"/>
                    <w:rPr>
                      <w:rFonts w:hint="default" w:ascii="Times New Roman" w:hAnsi="Times New Roman" w:eastAsia="宋体" w:cs="Times New Roman"/>
                      <w:b/>
                      <w:bCs/>
                      <w:color w:val="auto"/>
                      <w:szCs w:val="21"/>
                    </w:rPr>
                  </w:pPr>
                  <w:r>
                    <w:rPr>
                      <w:rFonts w:hint="eastAsia" w:ascii="宋体" w:hAnsi="宋体" w:eastAsia="宋体" w:cs="宋体"/>
                      <w:b/>
                      <w:bCs/>
                      <w:color w:val="auto"/>
                      <w:szCs w:val="21"/>
                      <w:lang w:bidi="ar"/>
                    </w:rPr>
                    <w:t>污染因子</w:t>
                  </w:r>
                </w:p>
              </w:tc>
              <w:tc>
                <w:tcPr>
                  <w:tcW w:w="750" w:type="dxa"/>
                  <w:vMerge w:val="restart"/>
                  <w:tcBorders>
                    <w:top w:val="single" w:color="auto" w:sz="4" w:space="0"/>
                    <w:left w:val="nil"/>
                    <w:bottom w:val="single" w:color="auto" w:sz="4" w:space="0"/>
                    <w:right w:val="single" w:color="auto" w:sz="4" w:space="0"/>
                  </w:tcBorders>
                  <w:vAlign w:val="center"/>
                </w:tcPr>
                <w:p w14:paraId="07BF02BD">
                  <w:pPr>
                    <w:keepNext w:val="0"/>
                    <w:keepLines w:val="0"/>
                    <w:suppressLineNumbers w:val="0"/>
                    <w:spacing w:before="0" w:beforeAutospacing="0" w:after="0" w:afterAutospacing="0"/>
                    <w:ind w:left="0" w:right="0"/>
                    <w:jc w:val="center"/>
                    <w:rPr>
                      <w:rFonts w:hint="default" w:ascii="Times New Roman" w:hAnsi="Times New Roman" w:eastAsia="宋体" w:cs="Times New Roman"/>
                      <w:b/>
                      <w:bCs/>
                      <w:color w:val="auto"/>
                      <w:szCs w:val="21"/>
                    </w:rPr>
                  </w:pPr>
                  <w:r>
                    <w:rPr>
                      <w:rFonts w:hint="eastAsia" w:ascii="宋体" w:hAnsi="宋体" w:eastAsia="宋体" w:cs="宋体"/>
                      <w:b/>
                      <w:bCs/>
                      <w:color w:val="FF0000"/>
                      <w:szCs w:val="21"/>
                      <w:lang w:val="en-US" w:eastAsia="zh-CN" w:bidi="ar"/>
                    </w:rPr>
                    <w:t>总</w:t>
                  </w:r>
                  <w:r>
                    <w:rPr>
                      <w:rFonts w:hint="eastAsia" w:ascii="宋体" w:hAnsi="宋体" w:eastAsia="宋体" w:cs="宋体"/>
                      <w:b/>
                      <w:bCs/>
                      <w:color w:val="auto"/>
                      <w:szCs w:val="21"/>
                      <w:lang w:bidi="ar"/>
                    </w:rPr>
                    <w:t>产</w:t>
                  </w:r>
                  <w:r>
                    <w:rPr>
                      <w:rFonts w:hint="default"/>
                    </w:rPr>
                    <w:commentReference w:id="63"/>
                  </w:r>
                  <w:r>
                    <w:rPr>
                      <w:rFonts w:hint="eastAsia" w:ascii="宋体" w:hAnsi="宋体" w:eastAsia="宋体" w:cs="宋体"/>
                      <w:b/>
                      <w:bCs/>
                      <w:color w:val="auto"/>
                      <w:szCs w:val="21"/>
                      <w:lang w:bidi="ar"/>
                    </w:rPr>
                    <w:t>生速率</w:t>
                  </w:r>
                </w:p>
                <w:p w14:paraId="45D8C382">
                  <w:pPr>
                    <w:keepNext w:val="0"/>
                    <w:keepLines w:val="0"/>
                    <w:suppressLineNumbers w:val="0"/>
                    <w:spacing w:before="0" w:beforeAutospacing="0" w:after="0" w:afterAutospacing="0"/>
                    <w:ind w:left="0" w:right="0"/>
                    <w:jc w:val="center"/>
                    <w:rPr>
                      <w:rFonts w:hint="default" w:ascii="Times New Roman" w:hAnsi="Times New Roman" w:eastAsia="宋体" w:cs="Times New Roman"/>
                      <w:b/>
                      <w:bCs/>
                      <w:color w:val="auto"/>
                      <w:szCs w:val="21"/>
                    </w:rPr>
                  </w:pPr>
                  <w:r>
                    <w:rPr>
                      <w:rFonts w:hint="eastAsia" w:ascii="宋体" w:hAnsi="宋体" w:eastAsia="宋体" w:cs="宋体"/>
                      <w:b/>
                      <w:bCs/>
                      <w:color w:val="auto"/>
                      <w:szCs w:val="21"/>
                      <w:lang w:bidi="ar"/>
                    </w:rPr>
                    <w:t>（</w:t>
                  </w:r>
                  <w:r>
                    <w:rPr>
                      <w:rFonts w:hint="default" w:ascii="Times New Roman" w:hAnsi="Times New Roman" w:eastAsia="宋体" w:cs="Times New Roman"/>
                      <w:b/>
                      <w:bCs/>
                      <w:color w:val="auto"/>
                      <w:szCs w:val="21"/>
                      <w:lang w:bidi="ar"/>
                    </w:rPr>
                    <w:t>kg/h</w:t>
                  </w:r>
                  <w:r>
                    <w:rPr>
                      <w:rFonts w:hint="eastAsia" w:ascii="宋体" w:hAnsi="宋体" w:eastAsia="宋体" w:cs="宋体"/>
                      <w:b/>
                      <w:bCs/>
                      <w:color w:val="auto"/>
                      <w:szCs w:val="21"/>
                      <w:lang w:bidi="ar"/>
                    </w:rPr>
                    <w:t>）</w:t>
                  </w:r>
                </w:p>
              </w:tc>
              <w:tc>
                <w:tcPr>
                  <w:tcW w:w="695" w:type="dxa"/>
                  <w:vMerge w:val="restart"/>
                  <w:tcBorders>
                    <w:top w:val="single" w:color="auto" w:sz="4" w:space="0"/>
                    <w:left w:val="nil"/>
                    <w:bottom w:val="single" w:color="auto" w:sz="4" w:space="0"/>
                    <w:right w:val="single" w:color="auto" w:sz="4" w:space="0"/>
                  </w:tcBorders>
                  <w:vAlign w:val="center"/>
                </w:tcPr>
                <w:p w14:paraId="27D12A92">
                  <w:pPr>
                    <w:keepNext w:val="0"/>
                    <w:keepLines w:val="0"/>
                    <w:suppressLineNumbers w:val="0"/>
                    <w:spacing w:before="0" w:beforeAutospacing="0" w:after="0" w:afterAutospacing="0"/>
                    <w:ind w:left="0" w:right="0"/>
                    <w:jc w:val="center"/>
                    <w:rPr>
                      <w:rFonts w:hint="default" w:ascii="Times New Roman" w:hAnsi="Times New Roman" w:eastAsia="宋体" w:cs="Times New Roman"/>
                      <w:b/>
                      <w:bCs/>
                      <w:color w:val="auto"/>
                      <w:szCs w:val="21"/>
                    </w:rPr>
                  </w:pPr>
                  <w:r>
                    <w:rPr>
                      <w:rFonts w:hint="eastAsia" w:ascii="宋体" w:hAnsi="宋体" w:eastAsia="宋体" w:cs="宋体"/>
                      <w:b/>
                      <w:bCs/>
                      <w:color w:val="FF0000"/>
                      <w:szCs w:val="21"/>
                      <w:lang w:val="en-US" w:eastAsia="zh-CN" w:bidi="ar"/>
                    </w:rPr>
                    <w:t>总</w:t>
                  </w:r>
                  <w:r>
                    <w:rPr>
                      <w:rFonts w:hint="eastAsia" w:ascii="宋体" w:hAnsi="宋体" w:eastAsia="宋体" w:cs="宋体"/>
                      <w:b/>
                      <w:bCs/>
                      <w:color w:val="auto"/>
                      <w:szCs w:val="21"/>
                      <w:lang w:bidi="ar"/>
                    </w:rPr>
                    <w:t>产生量（</w:t>
                  </w:r>
                  <w:r>
                    <w:rPr>
                      <w:rFonts w:hint="default" w:ascii="Times New Roman" w:hAnsi="Times New Roman" w:eastAsia="宋体" w:cs="Times New Roman"/>
                      <w:b/>
                      <w:bCs/>
                      <w:color w:val="auto"/>
                      <w:szCs w:val="21"/>
                      <w:lang w:bidi="ar"/>
                    </w:rPr>
                    <w:t>t/a</w:t>
                  </w:r>
                  <w:r>
                    <w:rPr>
                      <w:rFonts w:hint="eastAsia" w:ascii="宋体" w:hAnsi="宋体" w:eastAsia="宋体" w:cs="宋体"/>
                      <w:b/>
                      <w:bCs/>
                      <w:color w:val="auto"/>
                      <w:szCs w:val="21"/>
                      <w:lang w:bidi="ar"/>
                    </w:rPr>
                    <w:t>）</w:t>
                  </w:r>
                </w:p>
              </w:tc>
              <w:tc>
                <w:tcPr>
                  <w:tcW w:w="791" w:type="dxa"/>
                  <w:vMerge w:val="restart"/>
                  <w:tcBorders>
                    <w:top w:val="single" w:color="auto" w:sz="4" w:space="0"/>
                    <w:left w:val="nil"/>
                    <w:bottom w:val="single" w:color="auto" w:sz="4" w:space="0"/>
                    <w:right w:val="single" w:color="auto" w:sz="4" w:space="0"/>
                  </w:tcBorders>
                  <w:vAlign w:val="center"/>
                </w:tcPr>
                <w:p w14:paraId="1E5ADC70">
                  <w:pPr>
                    <w:keepNext w:val="0"/>
                    <w:keepLines w:val="0"/>
                    <w:suppressLineNumbers w:val="0"/>
                    <w:spacing w:before="0" w:beforeAutospacing="0" w:after="0" w:afterAutospacing="0"/>
                    <w:ind w:left="0" w:right="0"/>
                    <w:jc w:val="center"/>
                    <w:rPr>
                      <w:rFonts w:hint="default" w:ascii="Times New Roman" w:hAnsi="Times New Roman" w:eastAsia="宋体" w:cs="Times New Roman"/>
                      <w:b/>
                      <w:bCs/>
                      <w:color w:val="auto"/>
                      <w:szCs w:val="21"/>
                    </w:rPr>
                  </w:pPr>
                  <w:r>
                    <w:rPr>
                      <w:rFonts w:hint="eastAsia" w:ascii="宋体" w:hAnsi="宋体" w:eastAsia="宋体" w:cs="宋体"/>
                      <w:b/>
                      <w:bCs/>
                      <w:color w:val="auto"/>
                      <w:szCs w:val="21"/>
                      <w:lang w:bidi="ar"/>
                    </w:rPr>
                    <w:t>削减量</w:t>
                  </w:r>
                </w:p>
                <w:p w14:paraId="1EC76D69">
                  <w:pPr>
                    <w:keepNext w:val="0"/>
                    <w:keepLines w:val="0"/>
                    <w:suppressLineNumbers w:val="0"/>
                    <w:spacing w:before="0" w:beforeAutospacing="0" w:after="0" w:afterAutospacing="0"/>
                    <w:ind w:left="0" w:right="0"/>
                    <w:jc w:val="center"/>
                    <w:rPr>
                      <w:rFonts w:hint="default" w:ascii="Times New Roman" w:hAnsi="Times New Roman" w:eastAsia="宋体" w:cs="Times New Roman"/>
                      <w:b/>
                      <w:bCs/>
                      <w:color w:val="auto"/>
                      <w:szCs w:val="21"/>
                    </w:rPr>
                  </w:pPr>
                  <w:r>
                    <w:rPr>
                      <w:rFonts w:hint="eastAsia" w:ascii="宋体" w:hAnsi="宋体" w:eastAsia="宋体" w:cs="宋体"/>
                      <w:b/>
                      <w:bCs/>
                      <w:color w:val="auto"/>
                      <w:szCs w:val="21"/>
                      <w:lang w:bidi="ar"/>
                    </w:rPr>
                    <w:t>（</w:t>
                  </w:r>
                  <w:r>
                    <w:rPr>
                      <w:rFonts w:hint="default" w:ascii="Times New Roman" w:hAnsi="Times New Roman" w:eastAsia="宋体" w:cs="Times New Roman"/>
                      <w:b/>
                      <w:bCs/>
                      <w:color w:val="auto"/>
                      <w:szCs w:val="21"/>
                      <w:lang w:bidi="ar"/>
                    </w:rPr>
                    <w:t>t/a</w:t>
                  </w:r>
                  <w:r>
                    <w:rPr>
                      <w:rFonts w:hint="eastAsia" w:ascii="宋体" w:hAnsi="宋体" w:eastAsia="宋体" w:cs="宋体"/>
                      <w:b/>
                      <w:bCs/>
                      <w:color w:val="auto"/>
                      <w:szCs w:val="21"/>
                      <w:lang w:bidi="ar"/>
                    </w:rPr>
                    <w:t>）</w:t>
                  </w:r>
                </w:p>
              </w:tc>
              <w:tc>
                <w:tcPr>
                  <w:tcW w:w="2519" w:type="dxa"/>
                  <w:gridSpan w:val="3"/>
                  <w:tcBorders>
                    <w:top w:val="single" w:color="auto" w:sz="4" w:space="0"/>
                    <w:left w:val="nil"/>
                    <w:bottom w:val="single" w:color="auto" w:sz="4" w:space="0"/>
                    <w:right w:val="single" w:color="auto" w:sz="4" w:space="0"/>
                  </w:tcBorders>
                  <w:vAlign w:val="center"/>
                </w:tcPr>
                <w:p w14:paraId="63BD1BE0">
                  <w:pPr>
                    <w:keepNext w:val="0"/>
                    <w:keepLines w:val="0"/>
                    <w:suppressLineNumbers w:val="0"/>
                    <w:spacing w:before="0" w:beforeAutospacing="0" w:after="0" w:afterAutospacing="0"/>
                    <w:ind w:left="0" w:right="0"/>
                    <w:jc w:val="center"/>
                    <w:rPr>
                      <w:rFonts w:hint="default" w:ascii="Times New Roman" w:hAnsi="Times New Roman" w:eastAsia="宋体" w:cs="Times New Roman"/>
                      <w:b/>
                      <w:bCs/>
                      <w:color w:val="auto"/>
                      <w:szCs w:val="21"/>
                    </w:rPr>
                  </w:pPr>
                  <w:r>
                    <w:rPr>
                      <w:rFonts w:hint="eastAsia" w:ascii="宋体" w:hAnsi="宋体" w:eastAsia="宋体" w:cs="宋体"/>
                      <w:b/>
                      <w:bCs/>
                      <w:color w:val="auto"/>
                      <w:szCs w:val="21"/>
                      <w:lang w:bidi="ar"/>
                    </w:rPr>
                    <w:t>有组织</w:t>
                  </w:r>
                </w:p>
              </w:tc>
              <w:tc>
                <w:tcPr>
                  <w:tcW w:w="1667" w:type="dxa"/>
                  <w:gridSpan w:val="2"/>
                  <w:tcBorders>
                    <w:top w:val="single" w:color="auto" w:sz="4" w:space="0"/>
                    <w:left w:val="nil"/>
                    <w:bottom w:val="single" w:color="auto" w:sz="4" w:space="0"/>
                    <w:right w:val="single" w:color="auto" w:sz="4" w:space="0"/>
                  </w:tcBorders>
                  <w:vAlign w:val="center"/>
                </w:tcPr>
                <w:p w14:paraId="68E34C32">
                  <w:pPr>
                    <w:keepNext w:val="0"/>
                    <w:keepLines w:val="0"/>
                    <w:suppressLineNumbers w:val="0"/>
                    <w:spacing w:before="0" w:beforeAutospacing="0" w:after="0" w:afterAutospacing="0"/>
                    <w:ind w:left="0" w:right="0"/>
                    <w:jc w:val="center"/>
                    <w:rPr>
                      <w:rFonts w:hint="default" w:ascii="Times New Roman" w:hAnsi="Times New Roman" w:eastAsia="宋体" w:cs="Times New Roman"/>
                      <w:b/>
                      <w:bCs/>
                      <w:color w:val="auto"/>
                      <w:szCs w:val="21"/>
                    </w:rPr>
                  </w:pPr>
                  <w:r>
                    <w:rPr>
                      <w:rFonts w:hint="eastAsia" w:ascii="宋体" w:hAnsi="宋体" w:eastAsia="宋体" w:cs="宋体"/>
                      <w:b/>
                      <w:bCs/>
                      <w:color w:val="auto"/>
                      <w:szCs w:val="21"/>
                      <w:lang w:bidi="ar"/>
                    </w:rPr>
                    <w:t>无组织</w:t>
                  </w:r>
                </w:p>
              </w:tc>
            </w:tr>
            <w:tr w14:paraId="7586E7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3" w:hRule="atLeast"/>
                <w:jc w:val="center"/>
              </w:trPr>
              <w:tc>
                <w:tcPr>
                  <w:tcW w:w="670" w:type="dxa"/>
                  <w:vMerge w:val="continue"/>
                  <w:tcBorders>
                    <w:top w:val="single" w:color="auto" w:sz="4" w:space="0"/>
                    <w:left w:val="single" w:color="auto" w:sz="4" w:space="0"/>
                    <w:bottom w:val="single" w:color="auto" w:sz="4" w:space="0"/>
                    <w:right w:val="single" w:color="auto" w:sz="4" w:space="0"/>
                  </w:tcBorders>
                  <w:vAlign w:val="center"/>
                </w:tcPr>
                <w:p w14:paraId="564422D1">
                  <w:pPr>
                    <w:keepNext w:val="0"/>
                    <w:keepLines w:val="0"/>
                    <w:suppressLineNumbers w:val="0"/>
                    <w:spacing w:before="0" w:beforeAutospacing="0" w:after="0" w:afterAutospacing="0"/>
                    <w:ind w:left="0" w:right="0"/>
                    <w:rPr>
                      <w:rFonts w:hint="default" w:ascii="Times New Roman" w:hAnsi="Times New Roman" w:cs="Times New Roman"/>
                      <w:color w:val="auto"/>
                      <w:sz w:val="20"/>
                      <w:szCs w:val="20"/>
                    </w:rPr>
                  </w:pPr>
                </w:p>
              </w:tc>
              <w:tc>
                <w:tcPr>
                  <w:tcW w:w="723" w:type="dxa"/>
                  <w:vMerge w:val="continue"/>
                  <w:tcBorders>
                    <w:top w:val="single" w:color="auto" w:sz="4" w:space="0"/>
                    <w:left w:val="nil"/>
                    <w:bottom w:val="single" w:color="auto" w:sz="4" w:space="0"/>
                    <w:right w:val="single" w:color="auto" w:sz="4" w:space="0"/>
                  </w:tcBorders>
                  <w:vAlign w:val="center"/>
                </w:tcPr>
                <w:p w14:paraId="0EF8876B">
                  <w:pPr>
                    <w:keepNext w:val="0"/>
                    <w:keepLines w:val="0"/>
                    <w:suppressLineNumbers w:val="0"/>
                    <w:spacing w:before="0" w:beforeAutospacing="0" w:after="0" w:afterAutospacing="0"/>
                    <w:ind w:left="0" w:right="0"/>
                    <w:rPr>
                      <w:rFonts w:hint="default" w:ascii="Times New Roman" w:hAnsi="Times New Roman" w:cs="Times New Roman"/>
                      <w:color w:val="auto"/>
                      <w:sz w:val="20"/>
                      <w:szCs w:val="20"/>
                    </w:rPr>
                  </w:pPr>
                </w:p>
              </w:tc>
              <w:tc>
                <w:tcPr>
                  <w:tcW w:w="532" w:type="dxa"/>
                  <w:vMerge w:val="continue"/>
                  <w:tcBorders>
                    <w:top w:val="single" w:color="auto" w:sz="4" w:space="0"/>
                    <w:left w:val="nil"/>
                    <w:bottom w:val="single" w:color="auto" w:sz="4" w:space="0"/>
                    <w:right w:val="single" w:color="auto" w:sz="4" w:space="0"/>
                  </w:tcBorders>
                  <w:vAlign w:val="center"/>
                </w:tcPr>
                <w:p w14:paraId="6F6FBF07">
                  <w:pPr>
                    <w:keepNext w:val="0"/>
                    <w:keepLines w:val="0"/>
                    <w:suppressLineNumbers w:val="0"/>
                    <w:spacing w:before="0" w:beforeAutospacing="0" w:after="0" w:afterAutospacing="0"/>
                    <w:ind w:left="0" w:right="0"/>
                    <w:rPr>
                      <w:rFonts w:hint="default" w:ascii="Times New Roman" w:hAnsi="Times New Roman" w:cs="Times New Roman"/>
                      <w:color w:val="auto"/>
                      <w:sz w:val="20"/>
                      <w:szCs w:val="20"/>
                    </w:rPr>
                  </w:pPr>
                </w:p>
              </w:tc>
              <w:tc>
                <w:tcPr>
                  <w:tcW w:w="750" w:type="dxa"/>
                  <w:vMerge w:val="continue"/>
                  <w:tcBorders>
                    <w:top w:val="single" w:color="auto" w:sz="4" w:space="0"/>
                    <w:left w:val="nil"/>
                    <w:bottom w:val="single" w:color="auto" w:sz="4" w:space="0"/>
                    <w:right w:val="single" w:color="auto" w:sz="4" w:space="0"/>
                  </w:tcBorders>
                  <w:vAlign w:val="center"/>
                </w:tcPr>
                <w:p w14:paraId="2D00615C">
                  <w:pPr>
                    <w:keepNext w:val="0"/>
                    <w:keepLines w:val="0"/>
                    <w:suppressLineNumbers w:val="0"/>
                    <w:spacing w:before="0" w:beforeAutospacing="0" w:after="0" w:afterAutospacing="0"/>
                    <w:ind w:left="0" w:right="0"/>
                    <w:rPr>
                      <w:rFonts w:hint="default" w:ascii="Times New Roman" w:hAnsi="Times New Roman" w:cs="Times New Roman"/>
                      <w:color w:val="auto"/>
                      <w:sz w:val="20"/>
                      <w:szCs w:val="20"/>
                    </w:rPr>
                  </w:pPr>
                </w:p>
              </w:tc>
              <w:tc>
                <w:tcPr>
                  <w:tcW w:w="695" w:type="dxa"/>
                  <w:vMerge w:val="continue"/>
                  <w:tcBorders>
                    <w:top w:val="single" w:color="auto" w:sz="4" w:space="0"/>
                    <w:left w:val="nil"/>
                    <w:bottom w:val="single" w:color="auto" w:sz="4" w:space="0"/>
                    <w:right w:val="single" w:color="auto" w:sz="4" w:space="0"/>
                  </w:tcBorders>
                  <w:vAlign w:val="center"/>
                </w:tcPr>
                <w:p w14:paraId="02A3DCF8">
                  <w:pPr>
                    <w:keepNext w:val="0"/>
                    <w:keepLines w:val="0"/>
                    <w:suppressLineNumbers w:val="0"/>
                    <w:spacing w:before="0" w:beforeAutospacing="0" w:after="0" w:afterAutospacing="0"/>
                    <w:ind w:left="0" w:right="0"/>
                    <w:rPr>
                      <w:rFonts w:hint="default" w:ascii="Times New Roman" w:hAnsi="Times New Roman" w:cs="Times New Roman"/>
                      <w:color w:val="auto"/>
                      <w:sz w:val="20"/>
                      <w:szCs w:val="20"/>
                    </w:rPr>
                  </w:pPr>
                </w:p>
              </w:tc>
              <w:tc>
                <w:tcPr>
                  <w:tcW w:w="791" w:type="dxa"/>
                  <w:vMerge w:val="continue"/>
                  <w:tcBorders>
                    <w:top w:val="single" w:color="auto" w:sz="4" w:space="0"/>
                    <w:left w:val="nil"/>
                    <w:bottom w:val="single" w:color="auto" w:sz="4" w:space="0"/>
                    <w:right w:val="single" w:color="auto" w:sz="4" w:space="0"/>
                  </w:tcBorders>
                  <w:vAlign w:val="center"/>
                </w:tcPr>
                <w:p w14:paraId="6360C1B3">
                  <w:pPr>
                    <w:keepNext w:val="0"/>
                    <w:keepLines w:val="0"/>
                    <w:suppressLineNumbers w:val="0"/>
                    <w:spacing w:before="0" w:beforeAutospacing="0" w:after="0" w:afterAutospacing="0"/>
                    <w:ind w:left="0" w:right="0"/>
                    <w:rPr>
                      <w:rFonts w:hint="default" w:ascii="Times New Roman" w:hAnsi="Times New Roman" w:cs="Times New Roman"/>
                      <w:color w:val="auto"/>
                      <w:sz w:val="20"/>
                      <w:szCs w:val="20"/>
                    </w:rPr>
                  </w:pPr>
                </w:p>
              </w:tc>
              <w:tc>
                <w:tcPr>
                  <w:tcW w:w="853" w:type="dxa"/>
                  <w:tcBorders>
                    <w:top w:val="single" w:color="auto" w:sz="4" w:space="0"/>
                    <w:left w:val="nil"/>
                    <w:bottom w:val="single" w:color="auto" w:sz="4" w:space="0"/>
                    <w:right w:val="single" w:color="auto" w:sz="4" w:space="0"/>
                  </w:tcBorders>
                  <w:vAlign w:val="center"/>
                </w:tcPr>
                <w:p w14:paraId="11F3E54C">
                  <w:pPr>
                    <w:keepNext w:val="0"/>
                    <w:keepLines w:val="0"/>
                    <w:suppressLineNumbers w:val="0"/>
                    <w:spacing w:before="0" w:beforeAutospacing="0" w:after="0" w:afterAutospacing="0"/>
                    <w:ind w:left="0" w:right="0"/>
                    <w:jc w:val="center"/>
                    <w:rPr>
                      <w:rFonts w:hint="default" w:ascii="Times New Roman" w:hAnsi="Times New Roman" w:eastAsia="宋体" w:cs="Times New Roman"/>
                      <w:b/>
                      <w:bCs/>
                      <w:color w:val="auto"/>
                      <w:szCs w:val="21"/>
                    </w:rPr>
                  </w:pPr>
                  <w:commentRangeStart w:id="64"/>
                  <w:r>
                    <w:rPr>
                      <w:rFonts w:hint="eastAsia" w:ascii="宋体" w:hAnsi="宋体" w:eastAsia="宋体" w:cs="宋体"/>
                      <w:b/>
                      <w:bCs/>
                      <w:color w:val="auto"/>
                      <w:szCs w:val="21"/>
                      <w:lang w:bidi="ar"/>
                    </w:rPr>
                    <w:t>排放浓度（</w:t>
                  </w:r>
                  <w:r>
                    <w:rPr>
                      <w:rFonts w:hint="default" w:ascii="Times New Roman" w:hAnsi="Times New Roman" w:eastAsia="宋体" w:cs="Times New Roman"/>
                      <w:b/>
                      <w:bCs/>
                      <w:color w:val="auto"/>
                      <w:szCs w:val="21"/>
                      <w:lang w:bidi="ar"/>
                    </w:rPr>
                    <w:t>mg/m</w:t>
                  </w:r>
                  <w:r>
                    <w:rPr>
                      <w:rFonts w:hint="default" w:ascii="Times New Roman" w:hAnsi="Times New Roman" w:eastAsia="宋体" w:cs="Times New Roman"/>
                      <w:b/>
                      <w:bCs/>
                      <w:color w:val="auto"/>
                      <w:szCs w:val="21"/>
                      <w:vertAlign w:val="superscript"/>
                      <w:lang w:bidi="ar"/>
                    </w:rPr>
                    <w:t>3</w:t>
                  </w:r>
                  <w:r>
                    <w:rPr>
                      <w:rFonts w:hint="eastAsia" w:ascii="宋体" w:hAnsi="宋体" w:eastAsia="宋体" w:cs="宋体"/>
                      <w:b/>
                      <w:bCs/>
                      <w:color w:val="auto"/>
                      <w:szCs w:val="21"/>
                      <w:lang w:bidi="ar"/>
                    </w:rPr>
                    <w:t>）</w:t>
                  </w:r>
                  <w:commentRangeEnd w:id="64"/>
                  <w:r>
                    <w:rPr>
                      <w:rFonts w:hint="default"/>
                    </w:rPr>
                    <w:commentReference w:id="64"/>
                  </w:r>
                </w:p>
              </w:tc>
              <w:tc>
                <w:tcPr>
                  <w:tcW w:w="902" w:type="dxa"/>
                  <w:tcBorders>
                    <w:top w:val="single" w:color="auto" w:sz="4" w:space="0"/>
                    <w:left w:val="nil"/>
                    <w:bottom w:val="single" w:color="auto" w:sz="4" w:space="0"/>
                    <w:right w:val="single" w:color="auto" w:sz="4" w:space="0"/>
                  </w:tcBorders>
                  <w:vAlign w:val="center"/>
                </w:tcPr>
                <w:p w14:paraId="54B042FD">
                  <w:pPr>
                    <w:keepNext w:val="0"/>
                    <w:keepLines w:val="0"/>
                    <w:suppressLineNumbers w:val="0"/>
                    <w:spacing w:before="0" w:beforeAutospacing="0" w:after="0" w:afterAutospacing="0"/>
                    <w:ind w:left="0" w:right="0"/>
                    <w:jc w:val="center"/>
                    <w:rPr>
                      <w:rFonts w:hint="default" w:ascii="Times New Roman" w:hAnsi="Times New Roman" w:eastAsia="宋体" w:cs="Times New Roman"/>
                      <w:b/>
                      <w:bCs/>
                      <w:color w:val="auto"/>
                      <w:szCs w:val="21"/>
                    </w:rPr>
                  </w:pPr>
                  <w:r>
                    <w:rPr>
                      <w:rFonts w:hint="eastAsia" w:ascii="宋体" w:hAnsi="宋体" w:eastAsia="宋体" w:cs="宋体"/>
                      <w:b/>
                      <w:bCs/>
                      <w:color w:val="auto"/>
                      <w:szCs w:val="21"/>
                      <w:lang w:bidi="ar"/>
                    </w:rPr>
                    <w:t>排放</w:t>
                  </w:r>
                </w:p>
                <w:p w14:paraId="0906CE76">
                  <w:pPr>
                    <w:keepNext w:val="0"/>
                    <w:keepLines w:val="0"/>
                    <w:suppressLineNumbers w:val="0"/>
                    <w:spacing w:before="0" w:beforeAutospacing="0" w:after="0" w:afterAutospacing="0"/>
                    <w:ind w:left="0" w:right="0"/>
                    <w:jc w:val="center"/>
                    <w:rPr>
                      <w:rFonts w:hint="default" w:ascii="Times New Roman" w:hAnsi="Times New Roman" w:eastAsia="宋体" w:cs="Times New Roman"/>
                      <w:b/>
                      <w:bCs/>
                      <w:color w:val="auto"/>
                      <w:szCs w:val="21"/>
                    </w:rPr>
                  </w:pPr>
                  <w:r>
                    <w:rPr>
                      <w:rFonts w:hint="eastAsia" w:ascii="宋体" w:hAnsi="宋体" w:eastAsia="宋体" w:cs="宋体"/>
                      <w:b/>
                      <w:bCs/>
                      <w:color w:val="auto"/>
                      <w:szCs w:val="21"/>
                      <w:lang w:bidi="ar"/>
                    </w:rPr>
                    <w:t>速率（</w:t>
                  </w:r>
                  <w:r>
                    <w:rPr>
                      <w:rFonts w:hint="default" w:ascii="Times New Roman" w:hAnsi="Times New Roman" w:eastAsia="宋体" w:cs="Times New Roman"/>
                      <w:b/>
                      <w:bCs/>
                      <w:color w:val="auto"/>
                      <w:szCs w:val="21"/>
                      <w:lang w:bidi="ar"/>
                    </w:rPr>
                    <w:t>kg/h</w:t>
                  </w:r>
                  <w:r>
                    <w:rPr>
                      <w:rFonts w:hint="eastAsia" w:ascii="宋体" w:hAnsi="宋体" w:eastAsia="宋体" w:cs="宋体"/>
                      <w:b/>
                      <w:bCs/>
                      <w:color w:val="auto"/>
                      <w:szCs w:val="21"/>
                      <w:lang w:bidi="ar"/>
                    </w:rPr>
                    <w:t>）</w:t>
                  </w:r>
                </w:p>
              </w:tc>
              <w:tc>
                <w:tcPr>
                  <w:tcW w:w="764" w:type="dxa"/>
                  <w:tcBorders>
                    <w:top w:val="single" w:color="auto" w:sz="4" w:space="0"/>
                    <w:left w:val="nil"/>
                    <w:bottom w:val="single" w:color="auto" w:sz="4" w:space="0"/>
                    <w:right w:val="single" w:color="auto" w:sz="4" w:space="0"/>
                  </w:tcBorders>
                  <w:vAlign w:val="center"/>
                </w:tcPr>
                <w:p w14:paraId="652B4395">
                  <w:pPr>
                    <w:keepNext w:val="0"/>
                    <w:keepLines w:val="0"/>
                    <w:suppressLineNumbers w:val="0"/>
                    <w:spacing w:before="0" w:beforeAutospacing="0" w:after="0" w:afterAutospacing="0"/>
                    <w:ind w:left="0" w:right="0"/>
                    <w:jc w:val="center"/>
                    <w:rPr>
                      <w:rFonts w:hint="default" w:ascii="Times New Roman" w:hAnsi="Times New Roman" w:eastAsia="宋体" w:cs="Times New Roman"/>
                      <w:b/>
                      <w:bCs/>
                      <w:color w:val="auto"/>
                      <w:szCs w:val="21"/>
                    </w:rPr>
                  </w:pPr>
                  <w:r>
                    <w:rPr>
                      <w:rFonts w:hint="eastAsia" w:ascii="宋体" w:hAnsi="宋体" w:eastAsia="宋体" w:cs="宋体"/>
                      <w:b/>
                      <w:bCs/>
                      <w:color w:val="auto"/>
                      <w:szCs w:val="21"/>
                      <w:lang w:bidi="ar"/>
                    </w:rPr>
                    <w:t>排放量（</w:t>
                  </w:r>
                  <w:r>
                    <w:rPr>
                      <w:rFonts w:hint="default" w:ascii="Times New Roman" w:hAnsi="Times New Roman" w:eastAsia="宋体" w:cs="Times New Roman"/>
                      <w:b/>
                      <w:bCs/>
                      <w:color w:val="auto"/>
                      <w:szCs w:val="21"/>
                      <w:lang w:bidi="ar"/>
                    </w:rPr>
                    <w:t>t/a</w:t>
                  </w:r>
                  <w:r>
                    <w:rPr>
                      <w:rFonts w:hint="eastAsia" w:ascii="宋体" w:hAnsi="宋体" w:eastAsia="宋体" w:cs="宋体"/>
                      <w:b/>
                      <w:bCs/>
                      <w:color w:val="auto"/>
                      <w:szCs w:val="21"/>
                      <w:lang w:bidi="ar"/>
                    </w:rPr>
                    <w:t>）</w:t>
                  </w:r>
                </w:p>
              </w:tc>
              <w:tc>
                <w:tcPr>
                  <w:tcW w:w="902" w:type="dxa"/>
                  <w:tcBorders>
                    <w:top w:val="single" w:color="auto" w:sz="4" w:space="0"/>
                    <w:left w:val="nil"/>
                    <w:bottom w:val="single" w:color="auto" w:sz="4" w:space="0"/>
                    <w:right w:val="single" w:color="auto" w:sz="4" w:space="0"/>
                  </w:tcBorders>
                  <w:vAlign w:val="center"/>
                </w:tcPr>
                <w:p w14:paraId="47CC863E">
                  <w:pPr>
                    <w:keepNext w:val="0"/>
                    <w:keepLines w:val="0"/>
                    <w:suppressLineNumbers w:val="0"/>
                    <w:spacing w:before="0" w:beforeAutospacing="0" w:after="0" w:afterAutospacing="0"/>
                    <w:ind w:left="0" w:right="0"/>
                    <w:jc w:val="center"/>
                    <w:rPr>
                      <w:rFonts w:hint="default" w:ascii="Times New Roman" w:hAnsi="Times New Roman" w:eastAsia="宋体" w:cs="Times New Roman"/>
                      <w:b/>
                      <w:bCs/>
                      <w:color w:val="auto"/>
                      <w:szCs w:val="21"/>
                    </w:rPr>
                  </w:pPr>
                  <w:r>
                    <w:rPr>
                      <w:rFonts w:hint="eastAsia" w:ascii="宋体" w:hAnsi="宋体" w:eastAsia="宋体" w:cs="宋体"/>
                      <w:b/>
                      <w:bCs/>
                      <w:color w:val="auto"/>
                      <w:szCs w:val="21"/>
                      <w:lang w:bidi="ar"/>
                    </w:rPr>
                    <w:t>排放</w:t>
                  </w:r>
                </w:p>
                <w:p w14:paraId="0C46CD92">
                  <w:pPr>
                    <w:keepNext w:val="0"/>
                    <w:keepLines w:val="0"/>
                    <w:suppressLineNumbers w:val="0"/>
                    <w:spacing w:before="0" w:beforeAutospacing="0" w:after="0" w:afterAutospacing="0"/>
                    <w:ind w:left="0" w:right="0"/>
                    <w:jc w:val="center"/>
                    <w:rPr>
                      <w:rFonts w:hint="default" w:ascii="Times New Roman" w:hAnsi="Times New Roman" w:eastAsia="宋体" w:cs="Times New Roman"/>
                      <w:b/>
                      <w:bCs/>
                      <w:color w:val="auto"/>
                      <w:szCs w:val="21"/>
                    </w:rPr>
                  </w:pPr>
                  <w:r>
                    <w:rPr>
                      <w:rFonts w:hint="eastAsia" w:ascii="宋体" w:hAnsi="宋体" w:eastAsia="宋体" w:cs="宋体"/>
                      <w:b/>
                      <w:bCs/>
                      <w:color w:val="auto"/>
                      <w:szCs w:val="21"/>
                      <w:lang w:bidi="ar"/>
                    </w:rPr>
                    <w:t>速率（</w:t>
                  </w:r>
                  <w:r>
                    <w:rPr>
                      <w:rFonts w:hint="default" w:ascii="Times New Roman" w:hAnsi="Times New Roman" w:eastAsia="宋体" w:cs="Times New Roman"/>
                      <w:b/>
                      <w:bCs/>
                      <w:color w:val="auto"/>
                      <w:szCs w:val="21"/>
                      <w:lang w:bidi="ar"/>
                    </w:rPr>
                    <w:t>kg/h</w:t>
                  </w:r>
                  <w:r>
                    <w:rPr>
                      <w:rFonts w:hint="eastAsia" w:ascii="宋体" w:hAnsi="宋体" w:eastAsia="宋体" w:cs="宋体"/>
                      <w:b/>
                      <w:bCs/>
                      <w:color w:val="auto"/>
                      <w:szCs w:val="21"/>
                      <w:lang w:bidi="ar"/>
                    </w:rPr>
                    <w:t>）</w:t>
                  </w:r>
                </w:p>
              </w:tc>
              <w:tc>
                <w:tcPr>
                  <w:tcW w:w="765" w:type="dxa"/>
                  <w:tcBorders>
                    <w:top w:val="single" w:color="auto" w:sz="4" w:space="0"/>
                    <w:left w:val="nil"/>
                    <w:bottom w:val="single" w:color="auto" w:sz="4" w:space="0"/>
                    <w:right w:val="single" w:color="auto" w:sz="4" w:space="0"/>
                  </w:tcBorders>
                  <w:vAlign w:val="center"/>
                </w:tcPr>
                <w:p w14:paraId="134913BD">
                  <w:pPr>
                    <w:keepNext w:val="0"/>
                    <w:keepLines w:val="0"/>
                    <w:suppressLineNumbers w:val="0"/>
                    <w:spacing w:before="0" w:beforeAutospacing="0" w:after="0" w:afterAutospacing="0"/>
                    <w:ind w:left="0" w:right="0"/>
                    <w:jc w:val="center"/>
                    <w:rPr>
                      <w:rFonts w:hint="default" w:ascii="Times New Roman" w:hAnsi="Times New Roman" w:eastAsia="宋体" w:cs="Times New Roman"/>
                      <w:b/>
                      <w:bCs/>
                      <w:color w:val="auto"/>
                      <w:szCs w:val="21"/>
                    </w:rPr>
                  </w:pPr>
                  <w:r>
                    <w:rPr>
                      <w:rFonts w:hint="eastAsia" w:ascii="宋体" w:hAnsi="宋体" w:eastAsia="宋体" w:cs="宋体"/>
                      <w:b/>
                      <w:bCs/>
                      <w:color w:val="auto"/>
                      <w:szCs w:val="21"/>
                      <w:lang w:bidi="ar"/>
                    </w:rPr>
                    <w:t>排放量（</w:t>
                  </w:r>
                  <w:r>
                    <w:rPr>
                      <w:rFonts w:hint="default" w:ascii="Times New Roman" w:hAnsi="Times New Roman" w:eastAsia="宋体" w:cs="Times New Roman"/>
                      <w:b/>
                      <w:bCs/>
                      <w:color w:val="auto"/>
                      <w:szCs w:val="21"/>
                      <w:lang w:bidi="ar"/>
                    </w:rPr>
                    <w:t>t/a</w:t>
                  </w:r>
                  <w:r>
                    <w:rPr>
                      <w:rFonts w:hint="eastAsia" w:ascii="宋体" w:hAnsi="宋体" w:eastAsia="宋体" w:cs="宋体"/>
                      <w:b/>
                      <w:bCs/>
                      <w:color w:val="auto"/>
                      <w:szCs w:val="21"/>
                      <w:lang w:bidi="ar"/>
                    </w:rPr>
                    <w:t>）</w:t>
                  </w:r>
                </w:p>
              </w:tc>
            </w:tr>
            <w:tr w14:paraId="33FA78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670" w:type="dxa"/>
                  <w:tcBorders>
                    <w:top w:val="single" w:color="auto" w:sz="4" w:space="0"/>
                    <w:left w:val="single" w:color="auto" w:sz="4" w:space="0"/>
                    <w:bottom w:val="single" w:color="auto" w:sz="4" w:space="0"/>
                    <w:right w:val="single" w:color="auto" w:sz="4" w:space="0"/>
                  </w:tcBorders>
                  <w:vAlign w:val="center"/>
                </w:tcPr>
                <w:p w14:paraId="537AF270">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r>
                    <w:rPr>
                      <w:rFonts w:hint="eastAsia" w:ascii="宋体" w:hAnsi="宋体" w:eastAsia="宋体" w:cs="宋体"/>
                      <w:color w:val="auto"/>
                      <w:szCs w:val="21"/>
                      <w:lang w:bidi="ar"/>
                    </w:rPr>
                    <w:t>拆包粉尘、投料粉尘</w:t>
                  </w:r>
                </w:p>
              </w:tc>
              <w:tc>
                <w:tcPr>
                  <w:tcW w:w="723" w:type="dxa"/>
                  <w:tcBorders>
                    <w:top w:val="single" w:color="auto" w:sz="4" w:space="0"/>
                    <w:left w:val="nil"/>
                    <w:bottom w:val="single" w:color="auto" w:sz="4" w:space="0"/>
                    <w:right w:val="single" w:color="auto" w:sz="4" w:space="0"/>
                  </w:tcBorders>
                  <w:vAlign w:val="center"/>
                </w:tcPr>
                <w:p w14:paraId="2EB3A002">
                  <w:pPr>
                    <w:keepNext w:val="0"/>
                    <w:keepLines w:val="0"/>
                    <w:suppressLineNumbers w:val="0"/>
                    <w:autoSpaceDE w:val="0"/>
                    <w:spacing w:before="0" w:beforeAutospacing="0" w:after="0" w:afterAutospacing="0"/>
                    <w:ind w:left="0" w:right="0"/>
                    <w:jc w:val="center"/>
                    <w:rPr>
                      <w:rFonts w:hint="default" w:ascii="Times New Roman" w:hAnsi="Times New Roman" w:eastAsia="宋体" w:cs="Times New Roman"/>
                      <w:color w:val="auto"/>
                      <w:szCs w:val="21"/>
                    </w:rPr>
                  </w:pPr>
                  <w:r>
                    <w:rPr>
                      <w:rFonts w:hint="eastAsia" w:ascii="宋体" w:hAnsi="宋体" w:eastAsia="宋体" w:cs="宋体"/>
                      <w:color w:val="auto"/>
                      <w:szCs w:val="21"/>
                      <w:lang w:bidi="ar"/>
                    </w:rPr>
                    <w:t>拆包、混合、储料</w:t>
                  </w:r>
                </w:p>
              </w:tc>
              <w:tc>
                <w:tcPr>
                  <w:tcW w:w="532" w:type="dxa"/>
                  <w:tcBorders>
                    <w:top w:val="single" w:color="auto" w:sz="4" w:space="0"/>
                    <w:left w:val="nil"/>
                    <w:bottom w:val="single" w:color="auto" w:sz="4" w:space="0"/>
                    <w:right w:val="single" w:color="auto" w:sz="4" w:space="0"/>
                  </w:tcBorders>
                  <w:vAlign w:val="center"/>
                </w:tcPr>
                <w:p w14:paraId="3C0E4717">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r>
                    <w:rPr>
                      <w:rFonts w:hint="eastAsia" w:ascii="宋体" w:hAnsi="宋体" w:eastAsia="宋体" w:cs="宋体"/>
                      <w:color w:val="auto"/>
                      <w:szCs w:val="21"/>
                      <w:lang w:bidi="ar"/>
                    </w:rPr>
                    <w:t>颗粒物</w:t>
                  </w:r>
                </w:p>
              </w:tc>
              <w:tc>
                <w:tcPr>
                  <w:tcW w:w="750" w:type="dxa"/>
                  <w:tcBorders>
                    <w:top w:val="single" w:color="auto" w:sz="4" w:space="0"/>
                    <w:left w:val="nil"/>
                    <w:bottom w:val="single" w:color="auto" w:sz="4" w:space="0"/>
                    <w:right w:val="single" w:color="auto" w:sz="4" w:space="0"/>
                  </w:tcBorders>
                  <w:vAlign w:val="center"/>
                </w:tcPr>
                <w:p w14:paraId="0ACA1972">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color w:val="auto"/>
                      <w:szCs w:val="21"/>
                      <w:lang w:val="en-US" w:eastAsia="zh-CN"/>
                    </w:rPr>
                  </w:pPr>
                  <w:r>
                    <w:rPr>
                      <w:rFonts w:hint="eastAsia" w:ascii="Times New Roman" w:hAnsi="Times New Roman" w:eastAsia="宋体" w:cs="Times New Roman"/>
                      <w:color w:val="auto"/>
                      <w:szCs w:val="21"/>
                      <w:lang w:val="en-US" w:eastAsia="zh-CN"/>
                    </w:rPr>
                    <w:t>0.141</w:t>
                  </w:r>
                </w:p>
              </w:tc>
              <w:tc>
                <w:tcPr>
                  <w:tcW w:w="695" w:type="dxa"/>
                  <w:tcBorders>
                    <w:top w:val="single" w:color="auto" w:sz="4" w:space="0"/>
                    <w:left w:val="nil"/>
                    <w:bottom w:val="single" w:color="auto" w:sz="4" w:space="0"/>
                    <w:right w:val="single" w:color="auto" w:sz="4" w:space="0"/>
                  </w:tcBorders>
                  <w:vAlign w:val="center"/>
                </w:tcPr>
                <w:p w14:paraId="063EE6F6">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lang w:val="en-US" w:eastAsia="zh-CN"/>
                    </w:rPr>
                    <w:t>0.679</w:t>
                  </w:r>
                </w:p>
              </w:tc>
              <w:tc>
                <w:tcPr>
                  <w:tcW w:w="791" w:type="dxa"/>
                  <w:tcBorders>
                    <w:top w:val="single" w:color="auto" w:sz="4" w:space="0"/>
                    <w:left w:val="nil"/>
                    <w:bottom w:val="single" w:color="auto" w:sz="4" w:space="0"/>
                    <w:right w:val="single" w:color="auto" w:sz="4" w:space="0"/>
                  </w:tcBorders>
                  <w:vAlign w:val="center"/>
                </w:tcPr>
                <w:p w14:paraId="362F15DA">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color w:val="auto"/>
                      <w:szCs w:val="21"/>
                      <w:lang w:val="en-US" w:eastAsia="zh-CN"/>
                    </w:rPr>
                  </w:pPr>
                  <w:r>
                    <w:rPr>
                      <w:rFonts w:hint="eastAsia" w:ascii="Times New Roman" w:hAnsi="Times New Roman" w:eastAsia="宋体" w:cs="Times New Roman"/>
                      <w:color w:val="auto"/>
                      <w:szCs w:val="21"/>
                      <w:lang w:val="en-US" w:eastAsia="zh-CN"/>
                    </w:rPr>
                    <w:t>0.484</w:t>
                  </w:r>
                </w:p>
              </w:tc>
              <w:tc>
                <w:tcPr>
                  <w:tcW w:w="853" w:type="dxa"/>
                  <w:tcBorders>
                    <w:top w:val="single" w:color="auto" w:sz="4" w:space="0"/>
                    <w:left w:val="nil"/>
                    <w:bottom w:val="single" w:color="auto" w:sz="4" w:space="0"/>
                    <w:right w:val="single" w:color="auto" w:sz="4" w:space="0"/>
                  </w:tcBorders>
                  <w:vAlign w:val="center"/>
                </w:tcPr>
                <w:p w14:paraId="476625A9">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color w:val="auto"/>
                      <w:szCs w:val="21"/>
                      <w:lang w:val="en-US" w:eastAsia="zh-CN"/>
                    </w:rPr>
                  </w:pPr>
                  <w:r>
                    <w:rPr>
                      <w:rFonts w:hint="eastAsia" w:ascii="Times New Roman" w:hAnsi="Times New Roman" w:eastAsia="宋体" w:cs="Times New Roman"/>
                      <w:color w:val="auto"/>
                      <w:szCs w:val="21"/>
                      <w:lang w:val="en-US" w:eastAsia="zh-CN"/>
                    </w:rPr>
                    <w:t>0.2</w:t>
                  </w:r>
                </w:p>
              </w:tc>
              <w:tc>
                <w:tcPr>
                  <w:tcW w:w="902" w:type="dxa"/>
                  <w:tcBorders>
                    <w:top w:val="single" w:color="auto" w:sz="4" w:space="0"/>
                    <w:left w:val="nil"/>
                    <w:bottom w:val="single" w:color="auto" w:sz="4" w:space="0"/>
                    <w:right w:val="single" w:color="auto" w:sz="4" w:space="0"/>
                  </w:tcBorders>
                  <w:vAlign w:val="center"/>
                </w:tcPr>
                <w:p w14:paraId="34BF9997">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color w:val="auto"/>
                      <w:szCs w:val="21"/>
                      <w:lang w:val="en-US" w:eastAsia="zh-CN"/>
                    </w:rPr>
                  </w:pPr>
                  <w:r>
                    <w:rPr>
                      <w:rFonts w:hint="eastAsia" w:ascii="Times New Roman" w:hAnsi="Times New Roman" w:eastAsia="宋体" w:cs="Times New Roman"/>
                      <w:color w:val="auto"/>
                      <w:szCs w:val="21"/>
                      <w:lang w:val="en-US" w:eastAsia="zh-CN"/>
                    </w:rPr>
                    <w:t>0.005</w:t>
                  </w:r>
                </w:p>
              </w:tc>
              <w:tc>
                <w:tcPr>
                  <w:tcW w:w="764" w:type="dxa"/>
                  <w:tcBorders>
                    <w:top w:val="single" w:color="auto" w:sz="4" w:space="0"/>
                    <w:left w:val="nil"/>
                    <w:bottom w:val="single" w:color="auto" w:sz="4" w:space="0"/>
                    <w:right w:val="single" w:color="auto" w:sz="4" w:space="0"/>
                  </w:tcBorders>
                  <w:vAlign w:val="center"/>
                </w:tcPr>
                <w:p w14:paraId="3573FD7D">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color w:val="auto"/>
                      <w:szCs w:val="21"/>
                      <w:lang w:val="en-US" w:eastAsia="zh-CN"/>
                    </w:rPr>
                  </w:pPr>
                  <w:r>
                    <w:rPr>
                      <w:rFonts w:hint="eastAsia" w:ascii="Times New Roman" w:hAnsi="Times New Roman" w:eastAsia="宋体" w:cs="Times New Roman"/>
                      <w:color w:val="auto"/>
                      <w:szCs w:val="21"/>
                      <w:lang w:val="en-US" w:eastAsia="zh-CN"/>
                    </w:rPr>
                    <w:t>0.025</w:t>
                  </w:r>
                </w:p>
              </w:tc>
              <w:tc>
                <w:tcPr>
                  <w:tcW w:w="902" w:type="dxa"/>
                  <w:tcBorders>
                    <w:top w:val="single" w:color="auto" w:sz="4" w:space="0"/>
                    <w:left w:val="nil"/>
                    <w:bottom w:val="single" w:color="auto" w:sz="4" w:space="0"/>
                    <w:right w:val="single" w:color="auto" w:sz="4" w:space="0"/>
                  </w:tcBorders>
                  <w:vAlign w:val="center"/>
                </w:tcPr>
                <w:p w14:paraId="3DD070C3">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color w:val="auto"/>
                      <w:szCs w:val="21"/>
                      <w:lang w:val="en-US" w:eastAsia="zh-CN"/>
                    </w:rPr>
                  </w:pPr>
                  <w:r>
                    <w:rPr>
                      <w:rFonts w:hint="eastAsia" w:ascii="Times New Roman" w:hAnsi="Times New Roman" w:eastAsia="宋体" w:cs="Times New Roman"/>
                      <w:color w:val="auto"/>
                      <w:szCs w:val="21"/>
                      <w:lang w:val="en-US" w:eastAsia="zh-CN"/>
                    </w:rPr>
                    <w:t>0.035</w:t>
                  </w:r>
                </w:p>
              </w:tc>
              <w:tc>
                <w:tcPr>
                  <w:tcW w:w="765" w:type="dxa"/>
                  <w:tcBorders>
                    <w:top w:val="single" w:color="auto" w:sz="4" w:space="0"/>
                    <w:left w:val="nil"/>
                    <w:bottom w:val="single" w:color="auto" w:sz="4" w:space="0"/>
                    <w:right w:val="single" w:color="auto" w:sz="4" w:space="0"/>
                  </w:tcBorders>
                  <w:vAlign w:val="center"/>
                </w:tcPr>
                <w:p w14:paraId="0082C634">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color w:val="auto"/>
                      <w:szCs w:val="21"/>
                      <w:lang w:val="en-US" w:eastAsia="zh-CN"/>
                    </w:rPr>
                  </w:pPr>
                  <w:r>
                    <w:rPr>
                      <w:rFonts w:hint="eastAsia" w:ascii="Times New Roman" w:hAnsi="Times New Roman" w:eastAsia="宋体" w:cs="Times New Roman"/>
                      <w:color w:val="auto"/>
                      <w:szCs w:val="21"/>
                      <w:lang w:val="en-US" w:eastAsia="zh-CN"/>
                    </w:rPr>
                    <w:t>0.170</w:t>
                  </w:r>
                </w:p>
              </w:tc>
            </w:tr>
            <w:tr w14:paraId="6A1FE4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670" w:type="dxa"/>
                  <w:tcBorders>
                    <w:top w:val="single" w:color="auto" w:sz="4" w:space="0"/>
                    <w:left w:val="single" w:color="auto" w:sz="4" w:space="0"/>
                    <w:bottom w:val="single" w:color="auto" w:sz="4" w:space="0"/>
                    <w:right w:val="single" w:color="auto" w:sz="4" w:space="0"/>
                  </w:tcBorders>
                  <w:vAlign w:val="center"/>
                </w:tcPr>
                <w:p w14:paraId="05B450F7">
                  <w:pPr>
                    <w:keepNext w:val="0"/>
                    <w:keepLines w:val="0"/>
                    <w:suppressLineNumbers w:val="0"/>
                    <w:spacing w:before="0" w:beforeAutospacing="0" w:after="0" w:afterAutospacing="0"/>
                    <w:ind w:left="0" w:right="0"/>
                    <w:jc w:val="center"/>
                    <w:rPr>
                      <w:rFonts w:hint="eastAsia" w:ascii="宋体" w:hAnsi="宋体" w:eastAsia="宋体" w:cs="宋体"/>
                      <w:color w:val="auto"/>
                      <w:szCs w:val="21"/>
                      <w:lang w:bidi="ar"/>
                    </w:rPr>
                  </w:pPr>
                  <w:r>
                    <w:rPr>
                      <w:rFonts w:hint="eastAsia" w:ascii="宋体" w:hAnsi="宋体" w:eastAsia="宋体" w:cs="宋体"/>
                      <w:color w:val="auto"/>
                      <w:szCs w:val="21"/>
                      <w:lang w:val="en-US" w:eastAsia="zh-CN" w:bidi="ar"/>
                    </w:rPr>
                    <w:t>出料粉尘</w:t>
                  </w:r>
                </w:p>
              </w:tc>
              <w:tc>
                <w:tcPr>
                  <w:tcW w:w="723" w:type="dxa"/>
                  <w:tcBorders>
                    <w:top w:val="single" w:color="auto" w:sz="4" w:space="0"/>
                    <w:left w:val="nil"/>
                    <w:bottom w:val="single" w:color="auto" w:sz="4" w:space="0"/>
                    <w:right w:val="single" w:color="auto" w:sz="4" w:space="0"/>
                  </w:tcBorders>
                  <w:vAlign w:val="center"/>
                </w:tcPr>
                <w:p w14:paraId="2FD01780">
                  <w:pPr>
                    <w:keepNext w:val="0"/>
                    <w:keepLines w:val="0"/>
                    <w:suppressLineNumbers w:val="0"/>
                    <w:autoSpaceDE w:val="0"/>
                    <w:spacing w:before="0" w:beforeAutospacing="0" w:after="0" w:afterAutospacing="0"/>
                    <w:ind w:left="0" w:right="0"/>
                    <w:jc w:val="center"/>
                    <w:rPr>
                      <w:rFonts w:hint="eastAsia" w:ascii="宋体" w:hAnsi="宋体" w:eastAsia="宋体" w:cs="宋体"/>
                      <w:color w:val="auto"/>
                      <w:szCs w:val="21"/>
                      <w:lang w:val="en-US" w:eastAsia="zh-CN" w:bidi="ar"/>
                    </w:rPr>
                  </w:pPr>
                  <w:r>
                    <w:rPr>
                      <w:rFonts w:hint="eastAsia" w:ascii="宋体" w:hAnsi="宋体" w:eastAsia="宋体" w:cs="宋体"/>
                      <w:color w:val="auto"/>
                      <w:szCs w:val="21"/>
                      <w:lang w:val="en-US" w:eastAsia="zh-CN" w:bidi="ar"/>
                    </w:rPr>
                    <w:t>成型</w:t>
                  </w:r>
                </w:p>
              </w:tc>
              <w:tc>
                <w:tcPr>
                  <w:tcW w:w="532" w:type="dxa"/>
                  <w:tcBorders>
                    <w:top w:val="single" w:color="auto" w:sz="4" w:space="0"/>
                    <w:left w:val="nil"/>
                    <w:bottom w:val="single" w:color="auto" w:sz="4" w:space="0"/>
                    <w:right w:val="single" w:color="auto" w:sz="4" w:space="0"/>
                  </w:tcBorders>
                  <w:vAlign w:val="center"/>
                </w:tcPr>
                <w:p w14:paraId="30C20D14">
                  <w:pPr>
                    <w:keepNext w:val="0"/>
                    <w:keepLines w:val="0"/>
                    <w:suppressLineNumbers w:val="0"/>
                    <w:spacing w:before="0" w:beforeAutospacing="0" w:after="0" w:afterAutospacing="0"/>
                    <w:ind w:left="0" w:right="0"/>
                    <w:jc w:val="center"/>
                    <w:rPr>
                      <w:rFonts w:hint="eastAsia" w:ascii="宋体" w:hAnsi="宋体" w:eastAsia="宋体" w:cs="宋体"/>
                      <w:color w:val="auto"/>
                      <w:szCs w:val="21"/>
                      <w:lang w:bidi="ar"/>
                    </w:rPr>
                  </w:pPr>
                  <w:r>
                    <w:rPr>
                      <w:rFonts w:hint="eastAsia" w:ascii="宋体" w:hAnsi="宋体" w:eastAsia="宋体" w:cs="宋体"/>
                      <w:color w:val="auto"/>
                      <w:szCs w:val="21"/>
                      <w:lang w:bidi="ar"/>
                    </w:rPr>
                    <w:t>颗粒物</w:t>
                  </w:r>
                </w:p>
              </w:tc>
              <w:tc>
                <w:tcPr>
                  <w:tcW w:w="750" w:type="dxa"/>
                  <w:tcBorders>
                    <w:top w:val="single" w:color="auto" w:sz="4" w:space="0"/>
                    <w:left w:val="nil"/>
                    <w:bottom w:val="single" w:color="auto" w:sz="4" w:space="0"/>
                    <w:right w:val="single" w:color="auto" w:sz="4" w:space="0"/>
                  </w:tcBorders>
                  <w:vAlign w:val="center"/>
                </w:tcPr>
                <w:p w14:paraId="4573BD10">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color w:val="auto"/>
                      <w:szCs w:val="21"/>
                      <w:lang w:val="en-US" w:eastAsia="zh-CN"/>
                    </w:rPr>
                  </w:pPr>
                  <w:r>
                    <w:rPr>
                      <w:rFonts w:hint="eastAsia" w:ascii="Times New Roman" w:hAnsi="Times New Roman" w:eastAsia="宋体" w:cs="Times New Roman"/>
                      <w:color w:val="auto"/>
                      <w:szCs w:val="21"/>
                      <w:lang w:val="en-US" w:eastAsia="zh-CN"/>
                    </w:rPr>
                    <w:t>0.022</w:t>
                  </w:r>
                </w:p>
              </w:tc>
              <w:tc>
                <w:tcPr>
                  <w:tcW w:w="695" w:type="dxa"/>
                  <w:tcBorders>
                    <w:top w:val="single" w:color="auto" w:sz="4" w:space="0"/>
                    <w:left w:val="nil"/>
                    <w:bottom w:val="single" w:color="auto" w:sz="4" w:space="0"/>
                    <w:right w:val="single" w:color="auto" w:sz="4" w:space="0"/>
                  </w:tcBorders>
                  <w:vAlign w:val="center"/>
                </w:tcPr>
                <w:p w14:paraId="2321AF1B">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color w:val="auto"/>
                      <w:szCs w:val="21"/>
                      <w:lang w:val="en-US" w:eastAsia="zh-CN"/>
                    </w:rPr>
                  </w:pPr>
                  <w:r>
                    <w:rPr>
                      <w:rFonts w:hint="default" w:ascii="Times New Roman" w:hAnsi="Times New Roman" w:eastAsia="宋体" w:cs="Times New Roman"/>
                      <w:color w:val="auto"/>
                      <w:szCs w:val="21"/>
                      <w:lang w:val="en-US" w:eastAsia="zh-CN"/>
                    </w:rPr>
                    <w:t>0.106</w:t>
                  </w:r>
                </w:p>
              </w:tc>
              <w:tc>
                <w:tcPr>
                  <w:tcW w:w="791" w:type="dxa"/>
                  <w:tcBorders>
                    <w:top w:val="single" w:color="auto" w:sz="4" w:space="0"/>
                    <w:left w:val="nil"/>
                    <w:bottom w:val="single" w:color="auto" w:sz="4" w:space="0"/>
                    <w:right w:val="single" w:color="auto" w:sz="4" w:space="0"/>
                  </w:tcBorders>
                  <w:vAlign w:val="center"/>
                </w:tcPr>
                <w:p w14:paraId="59CD8677">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color w:val="auto"/>
                      <w:szCs w:val="21"/>
                      <w:lang w:val="en-US" w:eastAsia="zh-CN"/>
                    </w:rPr>
                  </w:pPr>
                  <w:r>
                    <w:rPr>
                      <w:rFonts w:hint="eastAsia" w:ascii="Times New Roman" w:hAnsi="Times New Roman" w:eastAsia="宋体" w:cs="Times New Roman"/>
                      <w:color w:val="auto"/>
                      <w:szCs w:val="21"/>
                      <w:lang w:val="en-US" w:eastAsia="zh-CN"/>
                    </w:rPr>
                    <w:t>0.075</w:t>
                  </w:r>
                </w:p>
              </w:tc>
              <w:tc>
                <w:tcPr>
                  <w:tcW w:w="853" w:type="dxa"/>
                  <w:tcBorders>
                    <w:top w:val="single" w:color="auto" w:sz="4" w:space="0"/>
                    <w:left w:val="nil"/>
                    <w:bottom w:val="single" w:color="auto" w:sz="4" w:space="0"/>
                    <w:right w:val="single" w:color="auto" w:sz="4" w:space="0"/>
                  </w:tcBorders>
                  <w:vAlign w:val="center"/>
                </w:tcPr>
                <w:p w14:paraId="4C4DBFA7">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color w:val="auto"/>
                      <w:szCs w:val="21"/>
                      <w:lang w:val="en-US" w:eastAsia="zh-CN"/>
                    </w:rPr>
                  </w:pPr>
                  <w:r>
                    <w:rPr>
                      <w:rFonts w:hint="eastAsia" w:ascii="Times New Roman" w:hAnsi="Times New Roman" w:eastAsia="宋体" w:cs="Times New Roman"/>
                      <w:color w:val="auto"/>
                      <w:szCs w:val="21"/>
                      <w:lang w:val="en-US" w:eastAsia="zh-CN"/>
                    </w:rPr>
                    <w:t>0.03</w:t>
                  </w:r>
                </w:p>
              </w:tc>
              <w:tc>
                <w:tcPr>
                  <w:tcW w:w="902" w:type="dxa"/>
                  <w:tcBorders>
                    <w:top w:val="single" w:color="auto" w:sz="4" w:space="0"/>
                    <w:left w:val="nil"/>
                    <w:bottom w:val="single" w:color="auto" w:sz="4" w:space="0"/>
                    <w:right w:val="single" w:color="auto" w:sz="4" w:space="0"/>
                  </w:tcBorders>
                  <w:vAlign w:val="center"/>
                </w:tcPr>
                <w:p w14:paraId="60270569">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color w:val="auto"/>
                      <w:szCs w:val="21"/>
                      <w:lang w:val="en-US" w:eastAsia="zh-CN"/>
                    </w:rPr>
                  </w:pPr>
                  <w:r>
                    <w:rPr>
                      <w:rFonts w:hint="eastAsia" w:ascii="Times New Roman" w:hAnsi="Times New Roman" w:eastAsia="宋体" w:cs="Times New Roman"/>
                      <w:color w:val="auto"/>
                      <w:szCs w:val="21"/>
                      <w:lang w:val="en-US" w:eastAsia="zh-CN"/>
                    </w:rPr>
                    <w:t>0.001</w:t>
                  </w:r>
                </w:p>
              </w:tc>
              <w:tc>
                <w:tcPr>
                  <w:tcW w:w="764" w:type="dxa"/>
                  <w:tcBorders>
                    <w:top w:val="single" w:color="auto" w:sz="4" w:space="0"/>
                    <w:left w:val="nil"/>
                    <w:bottom w:val="single" w:color="auto" w:sz="4" w:space="0"/>
                    <w:right w:val="single" w:color="auto" w:sz="4" w:space="0"/>
                  </w:tcBorders>
                  <w:vAlign w:val="center"/>
                </w:tcPr>
                <w:p w14:paraId="39D0D169">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color w:val="auto"/>
                      <w:szCs w:val="21"/>
                      <w:lang w:val="en-US" w:eastAsia="zh-CN"/>
                    </w:rPr>
                  </w:pPr>
                  <w:r>
                    <w:rPr>
                      <w:rFonts w:hint="eastAsia" w:ascii="Times New Roman" w:hAnsi="Times New Roman" w:eastAsia="宋体" w:cs="Times New Roman"/>
                      <w:color w:val="auto"/>
                      <w:szCs w:val="21"/>
                      <w:lang w:val="en-US" w:eastAsia="zh-CN"/>
                    </w:rPr>
                    <w:t>0.004</w:t>
                  </w:r>
                </w:p>
              </w:tc>
              <w:tc>
                <w:tcPr>
                  <w:tcW w:w="902" w:type="dxa"/>
                  <w:tcBorders>
                    <w:top w:val="single" w:color="auto" w:sz="4" w:space="0"/>
                    <w:left w:val="nil"/>
                    <w:bottom w:val="single" w:color="auto" w:sz="4" w:space="0"/>
                    <w:right w:val="single" w:color="auto" w:sz="4" w:space="0"/>
                  </w:tcBorders>
                  <w:vAlign w:val="center"/>
                </w:tcPr>
                <w:p w14:paraId="565A7C64">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color w:val="auto"/>
                      <w:szCs w:val="21"/>
                      <w:lang w:val="en-US" w:eastAsia="zh-CN"/>
                    </w:rPr>
                  </w:pPr>
                  <w:r>
                    <w:rPr>
                      <w:rFonts w:hint="eastAsia" w:ascii="Times New Roman" w:hAnsi="Times New Roman" w:eastAsia="宋体" w:cs="Times New Roman"/>
                      <w:color w:val="auto"/>
                      <w:szCs w:val="21"/>
                      <w:lang w:val="en-US" w:eastAsia="zh-CN"/>
                    </w:rPr>
                    <w:t>0.006</w:t>
                  </w:r>
                </w:p>
              </w:tc>
              <w:tc>
                <w:tcPr>
                  <w:tcW w:w="765" w:type="dxa"/>
                  <w:tcBorders>
                    <w:top w:val="single" w:color="auto" w:sz="4" w:space="0"/>
                    <w:left w:val="nil"/>
                    <w:bottom w:val="single" w:color="auto" w:sz="4" w:space="0"/>
                    <w:right w:val="single" w:color="auto" w:sz="4" w:space="0"/>
                  </w:tcBorders>
                  <w:vAlign w:val="center"/>
                </w:tcPr>
                <w:p w14:paraId="73F89C78">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color w:val="auto"/>
                      <w:szCs w:val="21"/>
                      <w:lang w:val="en-US" w:eastAsia="zh-CN"/>
                    </w:rPr>
                  </w:pPr>
                  <w:r>
                    <w:rPr>
                      <w:rFonts w:hint="eastAsia" w:ascii="Times New Roman" w:hAnsi="Times New Roman" w:eastAsia="宋体" w:cs="Times New Roman"/>
                      <w:color w:val="auto"/>
                      <w:szCs w:val="21"/>
                      <w:lang w:val="en-US" w:eastAsia="zh-CN"/>
                    </w:rPr>
                    <w:t>0.027</w:t>
                  </w:r>
                </w:p>
              </w:tc>
            </w:tr>
            <w:tr w14:paraId="03A2CF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1925" w:type="dxa"/>
                  <w:gridSpan w:val="3"/>
                  <w:tcBorders>
                    <w:top w:val="single" w:color="auto" w:sz="4" w:space="0"/>
                    <w:left w:val="single" w:color="auto" w:sz="4" w:space="0"/>
                    <w:bottom w:val="single" w:color="auto" w:sz="4" w:space="0"/>
                    <w:right w:val="single" w:color="auto" w:sz="4" w:space="0"/>
                  </w:tcBorders>
                  <w:vAlign w:val="center"/>
                </w:tcPr>
                <w:p w14:paraId="24C59C62">
                  <w:pPr>
                    <w:keepNext w:val="0"/>
                    <w:keepLines w:val="0"/>
                    <w:suppressLineNumbers w:val="0"/>
                    <w:spacing w:before="0" w:beforeAutospacing="0" w:after="0" w:afterAutospacing="0"/>
                    <w:ind w:left="0" w:right="0"/>
                    <w:jc w:val="center"/>
                    <w:rPr>
                      <w:rFonts w:hint="eastAsia" w:ascii="宋体" w:hAnsi="宋体" w:eastAsia="宋体" w:cs="宋体"/>
                      <w:color w:val="auto"/>
                      <w:szCs w:val="21"/>
                      <w:lang w:val="en-US" w:eastAsia="zh-CN" w:bidi="ar"/>
                    </w:rPr>
                  </w:pPr>
                  <w:r>
                    <w:rPr>
                      <w:rFonts w:hint="eastAsia" w:ascii="宋体" w:hAnsi="宋体" w:eastAsia="宋体" w:cs="宋体"/>
                      <w:color w:val="auto"/>
                      <w:szCs w:val="21"/>
                      <w:lang w:val="en-US" w:eastAsia="zh-CN" w:bidi="ar"/>
                    </w:rPr>
                    <w:t>合计</w:t>
                  </w:r>
                </w:p>
              </w:tc>
              <w:tc>
                <w:tcPr>
                  <w:tcW w:w="750" w:type="dxa"/>
                  <w:tcBorders>
                    <w:top w:val="single" w:color="auto" w:sz="4" w:space="0"/>
                    <w:left w:val="nil"/>
                    <w:bottom w:val="single" w:color="auto" w:sz="4" w:space="0"/>
                    <w:right w:val="single" w:color="auto" w:sz="4" w:space="0"/>
                  </w:tcBorders>
                  <w:shd w:val="clear" w:color="auto" w:fill="auto"/>
                  <w:vAlign w:val="center"/>
                </w:tcPr>
                <w:p w14:paraId="6EE324A4">
                  <w:pPr>
                    <w:keepNext w:val="0"/>
                    <w:keepLines w:val="0"/>
                    <w:widowControl/>
                    <w:suppressLineNumbers w:val="0"/>
                    <w:spacing w:before="0" w:beforeAutospacing="0" w:after="0" w:afterAutospacing="0"/>
                    <w:ind w:left="0" w:right="0"/>
                    <w:jc w:val="center"/>
                    <w:textAlignment w:val="center"/>
                    <w:rPr>
                      <w:rFonts w:hint="eastAsia" w:ascii="Times New Roman" w:hAnsi="Times New Roman" w:eastAsia="宋体" w:cs="Times New Roman"/>
                      <w:color w:val="auto"/>
                      <w:szCs w:val="21"/>
                      <w:lang w:val="en-US" w:eastAsia="zh-CN"/>
                    </w:rPr>
                  </w:pPr>
                  <w:r>
                    <w:rPr>
                      <w:rFonts w:hint="eastAsia" w:ascii="Times New Roman" w:hAnsi="Times New Roman" w:eastAsia="宋体" w:cs="Times New Roman"/>
                      <w:color w:val="auto"/>
                      <w:szCs w:val="21"/>
                      <w:lang w:val="en-US" w:eastAsia="zh-CN"/>
                    </w:rPr>
                    <w:t>0.163</w:t>
                  </w:r>
                </w:p>
              </w:tc>
              <w:tc>
                <w:tcPr>
                  <w:tcW w:w="695" w:type="dxa"/>
                  <w:tcBorders>
                    <w:top w:val="single" w:color="auto" w:sz="4" w:space="0"/>
                    <w:left w:val="nil"/>
                    <w:bottom w:val="single" w:color="auto" w:sz="4" w:space="0"/>
                    <w:right w:val="single" w:color="auto" w:sz="4" w:space="0"/>
                  </w:tcBorders>
                  <w:shd w:val="clear" w:color="auto" w:fill="auto"/>
                  <w:vAlign w:val="center"/>
                </w:tcPr>
                <w:p w14:paraId="3A0E8608">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color w:val="auto"/>
                      <w:szCs w:val="21"/>
                      <w:lang w:val="en-US" w:eastAsia="zh-CN"/>
                    </w:rPr>
                  </w:pPr>
                  <w:r>
                    <w:rPr>
                      <w:rFonts w:hint="eastAsia" w:ascii="Times New Roman" w:hAnsi="Times New Roman" w:eastAsia="宋体" w:cs="Times New Roman"/>
                      <w:color w:val="auto"/>
                      <w:szCs w:val="21"/>
                      <w:lang w:val="en-US" w:eastAsia="zh-CN"/>
                    </w:rPr>
                    <w:t>0.785</w:t>
                  </w:r>
                </w:p>
              </w:tc>
              <w:tc>
                <w:tcPr>
                  <w:tcW w:w="791" w:type="dxa"/>
                  <w:tcBorders>
                    <w:top w:val="single" w:color="auto" w:sz="4" w:space="0"/>
                    <w:left w:val="nil"/>
                    <w:bottom w:val="single" w:color="auto" w:sz="4" w:space="0"/>
                    <w:right w:val="single" w:color="auto" w:sz="4" w:space="0"/>
                  </w:tcBorders>
                  <w:shd w:val="clear" w:color="auto" w:fill="auto"/>
                  <w:vAlign w:val="center"/>
                </w:tcPr>
                <w:p w14:paraId="42E53C35">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color w:val="auto"/>
                      <w:szCs w:val="21"/>
                      <w:lang w:val="en-US" w:eastAsia="zh-CN"/>
                    </w:rPr>
                  </w:pPr>
                  <w:r>
                    <w:rPr>
                      <w:rFonts w:hint="eastAsia" w:ascii="Times New Roman" w:hAnsi="Times New Roman" w:eastAsia="宋体" w:cs="Times New Roman"/>
                      <w:color w:val="auto"/>
                      <w:szCs w:val="21"/>
                      <w:lang w:val="en-US" w:eastAsia="zh-CN"/>
                    </w:rPr>
                    <w:t>0.559</w:t>
                  </w:r>
                </w:p>
              </w:tc>
              <w:tc>
                <w:tcPr>
                  <w:tcW w:w="853" w:type="dxa"/>
                  <w:tcBorders>
                    <w:top w:val="single" w:color="auto" w:sz="4" w:space="0"/>
                    <w:left w:val="nil"/>
                    <w:bottom w:val="single" w:color="auto" w:sz="4" w:space="0"/>
                    <w:right w:val="single" w:color="auto" w:sz="4" w:space="0"/>
                  </w:tcBorders>
                  <w:shd w:val="clear" w:color="auto" w:fill="auto"/>
                  <w:vAlign w:val="center"/>
                </w:tcPr>
                <w:p w14:paraId="15300FA7">
                  <w:pPr>
                    <w:keepNext w:val="0"/>
                    <w:keepLines w:val="0"/>
                    <w:widowControl/>
                    <w:suppressLineNumbers w:val="0"/>
                    <w:spacing w:before="0" w:beforeAutospacing="0" w:after="0" w:afterAutospacing="0"/>
                    <w:ind w:left="0" w:right="0"/>
                    <w:jc w:val="center"/>
                    <w:textAlignment w:val="center"/>
                    <w:rPr>
                      <w:rFonts w:hint="eastAsia" w:ascii="Times New Roman" w:hAnsi="Times New Roman" w:eastAsia="宋体" w:cs="Times New Roman"/>
                      <w:color w:val="auto"/>
                      <w:szCs w:val="21"/>
                      <w:lang w:val="en-US" w:eastAsia="zh-CN"/>
                    </w:rPr>
                  </w:pPr>
                  <w:r>
                    <w:rPr>
                      <w:rFonts w:hint="eastAsia" w:ascii="Times New Roman" w:hAnsi="Times New Roman" w:eastAsia="宋体" w:cs="Times New Roman"/>
                      <w:color w:val="auto"/>
                      <w:szCs w:val="21"/>
                      <w:lang w:val="en-US" w:eastAsia="zh-CN"/>
                    </w:rPr>
                    <w:t>0.23</w:t>
                  </w:r>
                </w:p>
              </w:tc>
              <w:tc>
                <w:tcPr>
                  <w:tcW w:w="902" w:type="dxa"/>
                  <w:tcBorders>
                    <w:top w:val="single" w:color="auto" w:sz="4" w:space="0"/>
                    <w:left w:val="nil"/>
                    <w:bottom w:val="single" w:color="auto" w:sz="4" w:space="0"/>
                    <w:right w:val="single" w:color="auto" w:sz="4" w:space="0"/>
                  </w:tcBorders>
                  <w:shd w:val="clear" w:color="auto" w:fill="auto"/>
                  <w:vAlign w:val="center"/>
                </w:tcPr>
                <w:p w14:paraId="24B4EE66">
                  <w:pPr>
                    <w:keepNext w:val="0"/>
                    <w:keepLines w:val="0"/>
                    <w:widowControl/>
                    <w:suppressLineNumbers w:val="0"/>
                    <w:spacing w:before="0" w:beforeAutospacing="0" w:after="0" w:afterAutospacing="0"/>
                    <w:ind w:left="0" w:right="0"/>
                    <w:jc w:val="center"/>
                    <w:textAlignment w:val="center"/>
                    <w:rPr>
                      <w:rFonts w:hint="eastAsia" w:ascii="Times New Roman" w:hAnsi="Times New Roman" w:eastAsia="宋体" w:cs="Times New Roman"/>
                      <w:color w:val="auto"/>
                      <w:szCs w:val="21"/>
                      <w:lang w:val="en-US" w:eastAsia="zh-CN"/>
                    </w:rPr>
                  </w:pPr>
                  <w:r>
                    <w:rPr>
                      <w:rFonts w:hint="eastAsia" w:ascii="Times New Roman" w:hAnsi="Times New Roman" w:eastAsia="宋体" w:cs="Times New Roman"/>
                      <w:color w:val="auto"/>
                      <w:szCs w:val="21"/>
                      <w:lang w:val="en-US" w:eastAsia="zh-CN"/>
                    </w:rPr>
                    <w:t>0.006</w:t>
                  </w:r>
                </w:p>
              </w:tc>
              <w:tc>
                <w:tcPr>
                  <w:tcW w:w="764" w:type="dxa"/>
                  <w:tcBorders>
                    <w:top w:val="single" w:color="auto" w:sz="4" w:space="0"/>
                    <w:left w:val="nil"/>
                    <w:bottom w:val="single" w:color="auto" w:sz="4" w:space="0"/>
                    <w:right w:val="single" w:color="auto" w:sz="4" w:space="0"/>
                  </w:tcBorders>
                  <w:shd w:val="clear" w:color="auto" w:fill="auto"/>
                  <w:vAlign w:val="center"/>
                </w:tcPr>
                <w:p w14:paraId="09703D41">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color w:val="auto"/>
                      <w:szCs w:val="21"/>
                      <w:lang w:val="en-US" w:eastAsia="zh-CN"/>
                    </w:rPr>
                  </w:pPr>
                  <w:r>
                    <w:rPr>
                      <w:rFonts w:hint="eastAsia" w:ascii="Times New Roman" w:hAnsi="Times New Roman" w:eastAsia="宋体" w:cs="Times New Roman"/>
                      <w:color w:val="auto"/>
                      <w:szCs w:val="21"/>
                      <w:lang w:val="en-US" w:eastAsia="zh-CN"/>
                    </w:rPr>
                    <w:t>0.029</w:t>
                  </w:r>
                </w:p>
              </w:tc>
              <w:tc>
                <w:tcPr>
                  <w:tcW w:w="902" w:type="dxa"/>
                  <w:tcBorders>
                    <w:top w:val="single" w:color="auto" w:sz="4" w:space="0"/>
                    <w:left w:val="nil"/>
                    <w:bottom w:val="single" w:color="auto" w:sz="4" w:space="0"/>
                    <w:right w:val="single" w:color="auto" w:sz="4" w:space="0"/>
                  </w:tcBorders>
                  <w:shd w:val="clear" w:color="auto" w:fill="auto"/>
                  <w:vAlign w:val="center"/>
                </w:tcPr>
                <w:p w14:paraId="58169FD2">
                  <w:pPr>
                    <w:keepNext w:val="0"/>
                    <w:keepLines w:val="0"/>
                    <w:widowControl/>
                    <w:suppressLineNumbers w:val="0"/>
                    <w:spacing w:before="0" w:beforeAutospacing="0" w:after="0" w:afterAutospacing="0"/>
                    <w:ind w:left="0" w:right="0"/>
                    <w:jc w:val="center"/>
                    <w:textAlignment w:val="center"/>
                    <w:rPr>
                      <w:rFonts w:hint="eastAsia" w:ascii="Times New Roman" w:hAnsi="Times New Roman" w:eastAsia="宋体" w:cs="Times New Roman"/>
                      <w:color w:val="auto"/>
                      <w:szCs w:val="21"/>
                      <w:lang w:val="en-US" w:eastAsia="zh-CN"/>
                    </w:rPr>
                  </w:pPr>
                  <w:r>
                    <w:rPr>
                      <w:rFonts w:hint="eastAsia" w:ascii="Times New Roman" w:hAnsi="Times New Roman" w:eastAsia="宋体" w:cs="Times New Roman"/>
                      <w:color w:val="auto"/>
                      <w:szCs w:val="21"/>
                      <w:lang w:val="en-US" w:eastAsia="zh-CN"/>
                    </w:rPr>
                    <w:t>0.041</w:t>
                  </w:r>
                </w:p>
              </w:tc>
              <w:tc>
                <w:tcPr>
                  <w:tcW w:w="765" w:type="dxa"/>
                  <w:tcBorders>
                    <w:top w:val="single" w:color="auto" w:sz="4" w:space="0"/>
                    <w:left w:val="nil"/>
                    <w:bottom w:val="single" w:color="auto" w:sz="4" w:space="0"/>
                    <w:right w:val="single" w:color="auto" w:sz="4" w:space="0"/>
                  </w:tcBorders>
                  <w:shd w:val="clear" w:color="auto" w:fill="auto"/>
                  <w:vAlign w:val="center"/>
                </w:tcPr>
                <w:p w14:paraId="6D487236">
                  <w:pPr>
                    <w:keepNext w:val="0"/>
                    <w:keepLines w:val="0"/>
                    <w:widowControl/>
                    <w:suppressLineNumbers w:val="0"/>
                    <w:spacing w:before="0" w:beforeAutospacing="0" w:after="0" w:afterAutospacing="0"/>
                    <w:ind w:left="0" w:right="0"/>
                    <w:jc w:val="center"/>
                    <w:textAlignment w:val="center"/>
                    <w:rPr>
                      <w:rFonts w:hint="eastAsia" w:ascii="Times New Roman" w:hAnsi="Times New Roman" w:eastAsia="宋体" w:cs="Times New Roman"/>
                      <w:color w:val="auto"/>
                      <w:szCs w:val="21"/>
                      <w:lang w:val="en-US" w:eastAsia="zh-CN"/>
                    </w:rPr>
                  </w:pPr>
                  <w:r>
                    <w:rPr>
                      <w:rFonts w:hint="eastAsia" w:ascii="Times New Roman" w:hAnsi="Times New Roman" w:eastAsia="宋体" w:cs="Times New Roman"/>
                      <w:color w:val="auto"/>
                      <w:szCs w:val="21"/>
                      <w:lang w:val="en-US" w:eastAsia="zh-CN"/>
                    </w:rPr>
                    <w:t>0.197</w:t>
                  </w:r>
                </w:p>
              </w:tc>
            </w:tr>
          </w:tbl>
          <w:p w14:paraId="03430930">
            <w:pPr>
              <w:keepNext w:val="0"/>
              <w:keepLines w:val="0"/>
              <w:widowControl w:val="0"/>
              <w:numPr>
                <w:ilvl w:val="0"/>
                <w:numId w:val="0"/>
              </w:numPr>
              <w:suppressLineNumbers w:val="0"/>
              <w:spacing w:before="0" w:beforeAutospacing="0" w:after="0" w:afterAutospacing="0" w:line="360" w:lineRule="auto"/>
              <w:ind w:left="420" w:leftChars="200" w:right="0" w:rightChars="0"/>
              <w:jc w:val="both"/>
              <w:rPr>
                <w:rFonts w:hint="default" w:ascii="Times New Roman" w:hAnsi="Times New Roman" w:eastAsia="宋体" w:cs="Times New Roman"/>
                <w:b/>
                <w:bCs/>
                <w:color w:val="0000E1"/>
                <w:kern w:val="2"/>
                <w:sz w:val="24"/>
                <w:szCs w:val="24"/>
              </w:rPr>
            </w:pPr>
            <w:r>
              <w:rPr>
                <w:rFonts w:hint="default" w:ascii="Times New Roman" w:hAnsi="Times New Roman" w:eastAsia="宋体" w:cs="Times New Roman"/>
                <w:b/>
                <w:bCs/>
                <w:color w:val="0000E1"/>
                <w:sz w:val="24"/>
              </w:rPr>
              <w:t>（</w:t>
            </w:r>
            <w:r>
              <w:rPr>
                <w:rFonts w:hint="eastAsia" w:ascii="Times New Roman" w:hAnsi="Times New Roman" w:eastAsia="宋体" w:cs="Times New Roman"/>
                <w:b/>
                <w:bCs/>
                <w:color w:val="0000E1"/>
                <w:sz w:val="24"/>
                <w:lang w:val="en-US" w:eastAsia="zh-CN"/>
              </w:rPr>
              <w:t>7</w:t>
            </w:r>
            <w:r>
              <w:rPr>
                <w:rFonts w:hint="default" w:ascii="Times New Roman" w:hAnsi="Times New Roman" w:eastAsia="宋体" w:cs="Times New Roman"/>
                <w:b/>
                <w:bCs/>
                <w:color w:val="0000E1"/>
                <w:sz w:val="24"/>
              </w:rPr>
              <w:t>）</w:t>
            </w:r>
            <w:r>
              <w:rPr>
                <w:rFonts w:hint="eastAsia" w:ascii="宋体" w:hAnsi="宋体" w:eastAsia="宋体" w:cs="宋体"/>
                <w:b/>
                <w:bCs/>
                <w:color w:val="0000E1"/>
                <w:kern w:val="2"/>
                <w:sz w:val="24"/>
                <w:szCs w:val="24"/>
                <w:lang w:val="en-US" w:eastAsia="zh-CN" w:bidi="ar"/>
              </w:rPr>
              <w:t>激光切割粉尘</w:t>
            </w:r>
          </w:p>
          <w:p w14:paraId="1B1215D0">
            <w:pPr>
              <w:keepNext w:val="0"/>
              <w:keepLines w:val="0"/>
              <w:widowControl w:val="0"/>
              <w:suppressLineNumbers w:val="0"/>
              <w:spacing w:before="0" w:beforeAutospacing="0" w:after="0" w:afterAutospacing="0" w:line="360" w:lineRule="auto"/>
              <w:ind w:left="0" w:right="0" w:rightChars="0" w:firstLine="480" w:firstLineChars="200"/>
              <w:jc w:val="both"/>
              <w:rPr>
                <w:rFonts w:hint="default" w:ascii="Times New Roman" w:hAnsi="Times New Roman" w:eastAsia="宋体" w:cs="Times New Roman"/>
                <w:b w:val="0"/>
                <w:bCs w:val="0"/>
                <w:color w:val="0000E1"/>
                <w:kern w:val="2"/>
                <w:sz w:val="24"/>
                <w:szCs w:val="24"/>
              </w:rPr>
            </w:pPr>
            <w:r>
              <w:rPr>
                <w:rFonts w:hint="eastAsia" w:ascii="宋体" w:hAnsi="宋体" w:eastAsia="宋体" w:cs="宋体"/>
                <w:b w:val="0"/>
                <w:bCs w:val="0"/>
                <w:color w:val="0000E1"/>
                <w:kern w:val="2"/>
                <w:sz w:val="24"/>
                <w:szCs w:val="24"/>
                <w:lang w:val="en-US" w:eastAsia="zh-CN" w:bidi="ar"/>
              </w:rPr>
              <w:t>本项目纳米隔热板生产过程中激光切割会产生一定量的粉尘。现有产排污系数手册未提供纳米隔热板激光切割专项产污系数；激光切割、等离子切割均属于热切割，高温作用下基材剥离形成颗粒物，产污机理相近，本次环评参照《排放源统计调查产排污核算方法和系数手册》</w:t>
            </w:r>
            <w:r>
              <w:rPr>
                <w:rFonts w:hint="default" w:ascii="Times New Roman" w:hAnsi="Times New Roman" w:eastAsia="宋体" w:cs="Times New Roman"/>
                <w:b w:val="0"/>
                <w:bCs w:val="0"/>
                <w:color w:val="0000E1"/>
                <w:kern w:val="2"/>
                <w:sz w:val="24"/>
                <w:szCs w:val="24"/>
                <w:lang w:val="en-US" w:eastAsia="zh-CN" w:bidi="ar"/>
              </w:rPr>
              <w:t>-</w:t>
            </w:r>
            <w:r>
              <w:rPr>
                <w:rFonts w:hint="eastAsia" w:ascii="宋体" w:hAnsi="宋体" w:eastAsia="宋体" w:cs="宋体"/>
                <w:b w:val="0"/>
                <w:bCs w:val="0"/>
                <w:color w:val="0000E1"/>
                <w:kern w:val="2"/>
                <w:sz w:val="24"/>
                <w:szCs w:val="24"/>
                <w:lang w:val="en-US" w:eastAsia="zh-CN" w:bidi="ar"/>
              </w:rPr>
              <w:t>《</w:t>
            </w:r>
            <w:r>
              <w:rPr>
                <w:rFonts w:hint="default" w:ascii="Times New Roman" w:hAnsi="Times New Roman" w:eastAsia="宋体" w:cs="Times New Roman"/>
                <w:b w:val="0"/>
                <w:bCs w:val="0"/>
                <w:color w:val="0000E1"/>
                <w:kern w:val="2"/>
                <w:sz w:val="24"/>
                <w:szCs w:val="24"/>
                <w:lang w:val="en-US" w:eastAsia="zh-CN" w:bidi="ar"/>
              </w:rPr>
              <w:t>33-37</w:t>
            </w:r>
            <w:r>
              <w:rPr>
                <w:rFonts w:hint="eastAsia" w:ascii="宋体" w:hAnsi="宋体" w:eastAsia="宋体" w:cs="宋体"/>
                <w:b w:val="0"/>
                <w:bCs w:val="0"/>
                <w:color w:val="0000E1"/>
                <w:kern w:val="2"/>
                <w:sz w:val="24"/>
                <w:szCs w:val="24"/>
                <w:lang w:val="en-US" w:eastAsia="zh-CN" w:bidi="ar"/>
              </w:rPr>
              <w:t>，</w:t>
            </w:r>
            <w:r>
              <w:rPr>
                <w:rFonts w:hint="default" w:ascii="Times New Roman" w:hAnsi="Times New Roman" w:eastAsia="宋体" w:cs="Times New Roman"/>
                <w:b w:val="0"/>
                <w:bCs w:val="0"/>
                <w:color w:val="0000E1"/>
                <w:kern w:val="2"/>
                <w:sz w:val="24"/>
                <w:szCs w:val="24"/>
                <w:lang w:val="en-US" w:eastAsia="zh-CN" w:bidi="ar"/>
              </w:rPr>
              <w:t>431-434</w:t>
            </w:r>
            <w:r>
              <w:rPr>
                <w:rFonts w:hint="eastAsia" w:ascii="宋体" w:hAnsi="宋体" w:eastAsia="宋体" w:cs="宋体"/>
                <w:b w:val="0"/>
                <w:bCs w:val="0"/>
                <w:color w:val="0000E1"/>
                <w:kern w:val="2"/>
                <w:sz w:val="24"/>
                <w:szCs w:val="24"/>
                <w:lang w:val="en-US" w:eastAsia="zh-CN" w:bidi="ar"/>
              </w:rPr>
              <w:t>机械行业系数手册》</w:t>
            </w:r>
            <w:r>
              <w:rPr>
                <w:rFonts w:hint="default" w:ascii="Times New Roman" w:hAnsi="Times New Roman" w:eastAsia="宋体" w:cs="Times New Roman"/>
                <w:b w:val="0"/>
                <w:bCs w:val="0"/>
                <w:color w:val="0000E1"/>
                <w:kern w:val="2"/>
                <w:sz w:val="24"/>
                <w:szCs w:val="24"/>
                <w:lang w:val="en-US" w:eastAsia="zh-CN" w:bidi="ar"/>
              </w:rPr>
              <w:t>-04</w:t>
            </w:r>
            <w:r>
              <w:rPr>
                <w:rFonts w:hint="eastAsia" w:ascii="宋体" w:hAnsi="宋体" w:eastAsia="宋体" w:cs="宋体"/>
                <w:b w:val="0"/>
                <w:bCs w:val="0"/>
                <w:color w:val="0000E1"/>
                <w:kern w:val="2"/>
                <w:sz w:val="24"/>
                <w:szCs w:val="24"/>
                <w:lang w:val="en-US" w:eastAsia="zh-CN" w:bidi="ar"/>
              </w:rPr>
              <w:t>下料核算环节</w:t>
            </w:r>
            <w:r>
              <w:rPr>
                <w:rFonts w:hint="default" w:ascii="Times New Roman" w:hAnsi="Times New Roman" w:eastAsia="宋体" w:cs="Times New Roman"/>
                <w:b w:val="0"/>
                <w:bCs w:val="0"/>
                <w:color w:val="0000E1"/>
                <w:kern w:val="2"/>
                <w:sz w:val="24"/>
                <w:szCs w:val="24"/>
                <w:lang w:val="en-US" w:eastAsia="zh-CN" w:bidi="ar"/>
              </w:rPr>
              <w:t>-</w:t>
            </w:r>
            <w:r>
              <w:rPr>
                <w:rFonts w:hint="eastAsia" w:ascii="宋体" w:hAnsi="宋体" w:eastAsia="宋体" w:cs="宋体"/>
                <w:b w:val="0"/>
                <w:bCs w:val="0"/>
                <w:color w:val="0000E1"/>
                <w:kern w:val="2"/>
                <w:sz w:val="24"/>
                <w:szCs w:val="24"/>
                <w:lang w:val="en-US" w:eastAsia="zh-CN" w:bidi="ar"/>
              </w:rPr>
              <w:t>等离子切割产污系数</w:t>
            </w:r>
            <w:r>
              <w:rPr>
                <w:rFonts w:hint="default" w:ascii="Times New Roman" w:hAnsi="Times New Roman" w:eastAsia="宋体" w:cs="Times New Roman"/>
                <w:b w:val="0"/>
                <w:bCs w:val="0"/>
                <w:color w:val="0000E1"/>
                <w:kern w:val="2"/>
                <w:sz w:val="24"/>
                <w:szCs w:val="24"/>
                <w:lang w:val="en-US" w:eastAsia="zh-CN" w:bidi="ar"/>
              </w:rPr>
              <w:t>1.10kg/t</w:t>
            </w:r>
            <w:r>
              <w:rPr>
                <w:rFonts w:hint="eastAsia" w:ascii="宋体" w:hAnsi="宋体" w:eastAsia="宋体" w:cs="宋体"/>
                <w:b w:val="0"/>
                <w:bCs w:val="0"/>
                <w:color w:val="0000E1"/>
                <w:kern w:val="2"/>
                <w:sz w:val="24"/>
                <w:szCs w:val="24"/>
                <w:lang w:val="en-US" w:eastAsia="zh-CN" w:bidi="ar"/>
              </w:rPr>
              <w:t>原料来估算粉尘产生量。项目气相法二氧化硅年消耗</w:t>
            </w:r>
            <w:r>
              <w:rPr>
                <w:rFonts w:hint="default" w:ascii="Times New Roman" w:hAnsi="Times New Roman" w:eastAsia="宋体" w:cs="Times New Roman"/>
                <w:b w:val="0"/>
                <w:bCs w:val="0"/>
                <w:color w:val="0000E1"/>
                <w:kern w:val="2"/>
                <w:sz w:val="24"/>
                <w:szCs w:val="24"/>
                <w:lang w:val="en-US" w:eastAsia="zh-CN" w:bidi="ar"/>
              </w:rPr>
              <w:t>533t</w:t>
            </w:r>
            <w:r>
              <w:rPr>
                <w:rFonts w:hint="eastAsia" w:ascii="宋体" w:hAnsi="宋体" w:eastAsia="宋体" w:cs="宋体"/>
                <w:b w:val="0"/>
                <w:bCs w:val="0"/>
                <w:color w:val="0000E1"/>
                <w:kern w:val="2"/>
                <w:sz w:val="24"/>
                <w:szCs w:val="24"/>
                <w:lang w:val="en-US" w:eastAsia="zh-CN" w:bidi="ar"/>
              </w:rPr>
              <w:t>、高含硅烧结纤丝年消耗</w:t>
            </w:r>
            <w:r>
              <w:rPr>
                <w:rFonts w:hint="default" w:ascii="Times New Roman" w:hAnsi="Times New Roman" w:eastAsia="宋体" w:cs="Times New Roman"/>
                <w:b w:val="0"/>
                <w:bCs w:val="0"/>
                <w:color w:val="0000E1"/>
                <w:kern w:val="2"/>
                <w:sz w:val="24"/>
                <w:szCs w:val="24"/>
                <w:lang w:val="en-US" w:eastAsia="zh-CN" w:bidi="ar"/>
              </w:rPr>
              <w:t>46t</w:t>
            </w:r>
            <w:r>
              <w:rPr>
                <w:rFonts w:hint="eastAsia" w:ascii="宋体" w:hAnsi="宋体" w:eastAsia="宋体" w:cs="宋体"/>
                <w:b w:val="0"/>
                <w:bCs w:val="0"/>
                <w:color w:val="0000E1"/>
                <w:kern w:val="2"/>
                <w:sz w:val="24"/>
                <w:szCs w:val="24"/>
                <w:lang w:val="en-US" w:eastAsia="zh-CN" w:bidi="ar"/>
              </w:rPr>
              <w:t>、碳化硅年消耗</w:t>
            </w:r>
            <w:r>
              <w:rPr>
                <w:rFonts w:hint="default" w:ascii="Times New Roman" w:hAnsi="Times New Roman" w:eastAsia="宋体" w:cs="Times New Roman"/>
                <w:b w:val="0"/>
                <w:bCs w:val="0"/>
                <w:color w:val="0000E1"/>
                <w:kern w:val="2"/>
                <w:sz w:val="24"/>
                <w:szCs w:val="24"/>
                <w:lang w:val="en-US" w:eastAsia="zh-CN" w:bidi="ar"/>
              </w:rPr>
              <w:t>100t</w:t>
            </w:r>
            <w:r>
              <w:rPr>
                <w:rFonts w:hint="eastAsia" w:ascii="宋体" w:hAnsi="宋体" w:eastAsia="宋体" w:cs="宋体"/>
                <w:b w:val="0"/>
                <w:bCs w:val="0"/>
                <w:color w:val="0000E1"/>
                <w:kern w:val="2"/>
                <w:sz w:val="24"/>
                <w:szCs w:val="24"/>
                <w:lang w:val="en-US" w:eastAsia="zh-CN" w:bidi="ar"/>
              </w:rPr>
              <w:t>，合计</w:t>
            </w:r>
            <w:r>
              <w:rPr>
                <w:rFonts w:hint="default" w:ascii="Times New Roman" w:hAnsi="Times New Roman" w:eastAsia="宋体" w:cs="Times New Roman"/>
                <w:b w:val="0"/>
                <w:bCs w:val="0"/>
                <w:color w:val="0000E1"/>
                <w:kern w:val="2"/>
                <w:sz w:val="24"/>
                <w:szCs w:val="24"/>
                <w:lang w:val="en-US" w:eastAsia="zh-CN" w:bidi="ar"/>
              </w:rPr>
              <w:t>679t/a</w:t>
            </w:r>
            <w:r>
              <w:rPr>
                <w:rFonts w:hint="eastAsia" w:ascii="宋体" w:hAnsi="宋体" w:eastAsia="宋体" w:cs="宋体"/>
                <w:b w:val="0"/>
                <w:bCs w:val="0"/>
                <w:color w:val="0000E1"/>
                <w:kern w:val="2"/>
                <w:sz w:val="24"/>
                <w:szCs w:val="24"/>
                <w:lang w:val="en-US" w:eastAsia="zh-CN" w:bidi="ar"/>
              </w:rPr>
              <w:t>，则激光切割粉尘产生量约为</w:t>
            </w:r>
            <w:r>
              <w:rPr>
                <w:rFonts w:hint="default" w:ascii="Times New Roman" w:hAnsi="Times New Roman" w:eastAsia="宋体" w:cs="Times New Roman"/>
                <w:b w:val="0"/>
                <w:bCs w:val="0"/>
                <w:color w:val="0000E1"/>
                <w:kern w:val="2"/>
                <w:sz w:val="24"/>
                <w:szCs w:val="24"/>
                <w:lang w:val="en-US" w:eastAsia="zh-CN" w:bidi="ar"/>
              </w:rPr>
              <w:t>0.747t/a</w:t>
            </w:r>
            <w:r>
              <w:rPr>
                <w:rFonts w:hint="eastAsia" w:ascii="宋体" w:hAnsi="宋体" w:eastAsia="宋体" w:cs="宋体"/>
                <w:b w:val="0"/>
                <w:bCs w:val="0"/>
                <w:color w:val="0000E1"/>
                <w:kern w:val="2"/>
                <w:sz w:val="24"/>
                <w:szCs w:val="24"/>
                <w:lang w:val="en-US" w:eastAsia="zh-CN" w:bidi="ar"/>
              </w:rPr>
              <w:t>。</w:t>
            </w:r>
          </w:p>
          <w:p w14:paraId="6246D3D7">
            <w:pPr>
              <w:keepNext w:val="0"/>
              <w:keepLines w:val="0"/>
              <w:suppressLineNumbers w:val="0"/>
              <w:spacing w:before="0" w:beforeAutospacing="0" w:after="0" w:afterAutospacing="0" w:line="360" w:lineRule="auto"/>
              <w:ind w:left="0" w:right="0" w:firstLine="482" w:firstLineChars="200"/>
              <w:rPr>
                <w:rFonts w:hint="default" w:ascii="Times New Roman" w:hAnsi="Times New Roman" w:eastAsia="宋体" w:cs="Times New Roman"/>
                <w:b/>
                <w:bCs/>
                <w:color w:val="0000E1"/>
                <w:sz w:val="24"/>
              </w:rPr>
            </w:pPr>
            <w:r>
              <w:rPr>
                <w:rFonts w:hint="default" w:ascii="Times New Roman" w:hAnsi="Times New Roman" w:eastAsia="宋体" w:cs="Times New Roman"/>
                <w:b/>
                <w:bCs/>
                <w:color w:val="0000E1"/>
                <w:sz w:val="24"/>
              </w:rPr>
              <w:t>治理措施：</w:t>
            </w:r>
          </w:p>
          <w:p w14:paraId="7B897BE9">
            <w:pPr>
              <w:keepNext w:val="0"/>
              <w:keepLines w:val="0"/>
              <w:suppressLineNumbers w:val="0"/>
              <w:spacing w:before="0" w:beforeAutospacing="0" w:after="0" w:afterAutospacing="0" w:line="360" w:lineRule="auto"/>
              <w:ind w:left="0" w:right="0" w:firstLine="480" w:firstLineChars="200"/>
              <w:rPr>
                <w:rFonts w:hint="default" w:ascii="Times New Roman" w:hAnsi="Times New Roman" w:eastAsia="宋体" w:cs="Times New Roman"/>
                <w:b w:val="0"/>
                <w:bCs w:val="0"/>
                <w:color w:val="0000E1"/>
                <w:sz w:val="24"/>
                <w:lang w:val="en-US" w:eastAsia="zh-CN"/>
              </w:rPr>
            </w:pPr>
            <w:r>
              <w:rPr>
                <w:rFonts w:hint="default" w:ascii="Times New Roman" w:hAnsi="Times New Roman" w:eastAsia="宋体" w:cs="Times New Roman"/>
                <w:b w:val="0"/>
                <w:bCs w:val="0"/>
                <w:color w:val="0000E1"/>
                <w:sz w:val="24"/>
                <w:lang w:val="en-US" w:eastAsia="zh-CN"/>
              </w:rPr>
              <w:t>本项目激光切割机自带脉冲滤筒除尘系统对切割粉尘进行收集、处理后无组织排放，脉冲滤筒除尘系统以收尘效率65%，除尘效率75%计，则激光切割粉尘无组织排放量为</w:t>
            </w:r>
            <w:r>
              <w:rPr>
                <w:rFonts w:hint="eastAsia" w:ascii="Times New Roman" w:hAnsi="Times New Roman" w:eastAsia="宋体" w:cs="Times New Roman"/>
                <w:b w:val="0"/>
                <w:bCs w:val="0"/>
                <w:color w:val="0000E1"/>
                <w:sz w:val="24"/>
                <w:lang w:val="en-US" w:eastAsia="zh-CN"/>
              </w:rPr>
              <w:t>0.383</w:t>
            </w:r>
            <w:r>
              <w:rPr>
                <w:rFonts w:hint="default" w:ascii="Times New Roman" w:hAnsi="Times New Roman" w:eastAsia="宋体" w:cs="Times New Roman"/>
                <w:b w:val="0"/>
                <w:bCs w:val="0"/>
                <w:color w:val="0000E1"/>
                <w:sz w:val="24"/>
                <w:lang w:val="en-US" w:eastAsia="zh-CN"/>
              </w:rPr>
              <w:t>t/a，排放速率为</w:t>
            </w:r>
            <w:r>
              <w:rPr>
                <w:rFonts w:hint="eastAsia" w:ascii="Times New Roman" w:hAnsi="Times New Roman" w:eastAsia="宋体" w:cs="Times New Roman"/>
                <w:b w:val="0"/>
                <w:bCs w:val="0"/>
                <w:color w:val="0000E1"/>
                <w:sz w:val="24"/>
                <w:lang w:val="en-US" w:eastAsia="zh-CN"/>
              </w:rPr>
              <w:t>0.080</w:t>
            </w:r>
            <w:r>
              <w:rPr>
                <w:rFonts w:hint="default" w:ascii="Times New Roman" w:hAnsi="Times New Roman" w:eastAsia="宋体" w:cs="Times New Roman"/>
                <w:b w:val="0"/>
                <w:bCs w:val="0"/>
                <w:color w:val="0000E1"/>
                <w:sz w:val="24"/>
                <w:lang w:val="en-US" w:eastAsia="zh-CN"/>
              </w:rPr>
              <w:t>kg/h。（年工作时间为</w:t>
            </w:r>
            <w:r>
              <w:rPr>
                <w:rFonts w:hint="eastAsia" w:ascii="Times New Roman" w:hAnsi="Times New Roman" w:eastAsia="宋体" w:cs="Times New Roman"/>
                <w:b w:val="0"/>
                <w:bCs w:val="0"/>
                <w:color w:val="0000E1"/>
                <w:sz w:val="24"/>
                <w:lang w:val="en-US" w:eastAsia="zh-CN"/>
              </w:rPr>
              <w:t>4800</w:t>
            </w:r>
            <w:r>
              <w:rPr>
                <w:rFonts w:hint="default" w:ascii="Times New Roman" w:hAnsi="Times New Roman" w:eastAsia="宋体" w:cs="Times New Roman"/>
                <w:b w:val="0"/>
                <w:bCs w:val="0"/>
                <w:color w:val="0000E1"/>
                <w:sz w:val="24"/>
                <w:lang w:val="en-US" w:eastAsia="zh-CN"/>
              </w:rPr>
              <w:t>h）</w:t>
            </w:r>
          </w:p>
          <w:p w14:paraId="0709842E">
            <w:pPr>
              <w:keepNext w:val="0"/>
              <w:keepLines w:val="0"/>
              <w:widowControl/>
              <w:suppressLineNumbers w:val="0"/>
              <w:wordWrap w:val="0"/>
              <w:spacing w:before="0" w:beforeAutospacing="0" w:after="0" w:afterAutospacing="0" w:line="360" w:lineRule="auto"/>
              <w:ind w:left="0" w:right="0" w:firstLine="480" w:firstLineChars="200"/>
              <w:jc w:val="both"/>
              <w:rPr>
                <w:rFonts w:hint="default" w:ascii="Times New Roman" w:hAnsi="Times New Roman" w:eastAsia="宋体" w:cs="Times New Roman"/>
                <w:color w:val="0000E1"/>
                <w:kern w:val="2"/>
                <w:sz w:val="24"/>
                <w:szCs w:val="24"/>
              </w:rPr>
            </w:pPr>
            <w:r>
              <w:rPr>
                <w:rFonts w:hint="eastAsia" w:ascii="宋体" w:hAnsi="宋体" w:eastAsia="宋体" w:cs="宋体"/>
                <w:color w:val="0000E1"/>
                <w:kern w:val="2"/>
                <w:sz w:val="24"/>
                <w:szCs w:val="24"/>
                <w:lang w:val="en-US" w:eastAsia="zh-CN" w:bidi="ar"/>
              </w:rPr>
              <w:t>综上，激光切割粉尘的产生及排放情况汇总，具体见下表。</w:t>
            </w:r>
          </w:p>
          <w:p w14:paraId="5D0B7AF9">
            <w:pPr>
              <w:keepNext w:val="0"/>
              <w:keepLines w:val="0"/>
              <w:widowControl w:val="0"/>
              <w:suppressLineNumbers w:val="0"/>
              <w:spacing w:before="0" w:beforeAutospacing="0" w:after="0" w:afterAutospacing="0"/>
              <w:ind w:left="0" w:right="0"/>
              <w:jc w:val="center"/>
              <w:rPr>
                <w:rFonts w:hint="default" w:ascii="Times New Roman" w:hAnsi="Times New Roman" w:eastAsia="宋体" w:cs="Times New Roman"/>
                <w:b/>
                <w:bCs/>
                <w:color w:val="0000E1"/>
                <w:kern w:val="2"/>
                <w:sz w:val="21"/>
                <w:szCs w:val="21"/>
              </w:rPr>
            </w:pPr>
            <w:r>
              <w:rPr>
                <w:rFonts w:hint="default" w:ascii="Times New Roman" w:hAnsi="Times New Roman" w:eastAsia="宋体" w:cs="Times New Roman"/>
                <w:b/>
                <w:bCs/>
                <w:color w:val="0000E1"/>
                <w:kern w:val="2"/>
                <w:sz w:val="21"/>
                <w:szCs w:val="21"/>
                <w:lang w:val="en-US" w:eastAsia="zh-CN" w:bidi="ar"/>
              </w:rPr>
              <w:t xml:space="preserve">表4-3  </w:t>
            </w:r>
            <w:r>
              <w:rPr>
                <w:rFonts w:hint="eastAsia" w:ascii="宋体" w:hAnsi="宋体" w:eastAsia="宋体" w:cs="宋体"/>
                <w:b/>
                <w:bCs/>
                <w:color w:val="0000E1"/>
                <w:kern w:val="2"/>
                <w:sz w:val="21"/>
                <w:szCs w:val="21"/>
                <w:lang w:val="en-US" w:eastAsia="zh-CN" w:bidi="ar"/>
              </w:rPr>
              <w:t>激光切割粉尘产生及排放情况汇总表</w:t>
            </w:r>
          </w:p>
          <w:tbl>
            <w:tblPr>
              <w:tblStyle w:val="23"/>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Layout w:type="fixed"/>
              <w:tblCellMar>
                <w:top w:w="0" w:type="dxa"/>
                <w:left w:w="108" w:type="dxa"/>
                <w:bottom w:w="0" w:type="dxa"/>
                <w:right w:w="108" w:type="dxa"/>
              </w:tblCellMar>
            </w:tblPr>
            <w:tblGrid>
              <w:gridCol w:w="1062"/>
              <w:gridCol w:w="957"/>
              <w:gridCol w:w="1119"/>
              <w:gridCol w:w="1023"/>
              <w:gridCol w:w="1068"/>
              <w:gridCol w:w="1577"/>
              <w:gridCol w:w="1541"/>
            </w:tblGrid>
            <w:tr w14:paraId="76E476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90" w:hRule="atLeast"/>
                <w:jc w:val="center"/>
              </w:trPr>
              <w:tc>
                <w:tcPr>
                  <w:tcW w:w="1062" w:type="dxa"/>
                  <w:vMerge w:val="restart"/>
                  <w:tcBorders>
                    <w:top w:val="single" w:color="auto" w:sz="4" w:space="0"/>
                    <w:left w:val="single" w:color="auto" w:sz="4" w:space="0"/>
                    <w:bottom w:val="single" w:color="auto" w:sz="4" w:space="0"/>
                    <w:right w:val="single" w:color="auto" w:sz="4" w:space="0"/>
                  </w:tcBorders>
                  <w:shd w:val="clear" w:color="auto" w:fill="auto"/>
                  <w:vAlign w:val="center"/>
                </w:tcPr>
                <w:p w14:paraId="21B70041">
                  <w:pPr>
                    <w:keepNext w:val="0"/>
                    <w:keepLines w:val="0"/>
                    <w:widowControl w:val="0"/>
                    <w:suppressLineNumbers w:val="0"/>
                    <w:spacing w:before="0" w:beforeAutospacing="0" w:after="0" w:afterAutospacing="0"/>
                    <w:ind w:left="0" w:right="0"/>
                    <w:jc w:val="center"/>
                    <w:rPr>
                      <w:rFonts w:hint="default" w:ascii="Times New Roman" w:hAnsi="Times New Roman" w:eastAsia="宋体" w:cs="Times New Roman"/>
                      <w:b/>
                      <w:bCs/>
                      <w:color w:val="0000E1"/>
                      <w:kern w:val="2"/>
                      <w:sz w:val="21"/>
                      <w:szCs w:val="21"/>
                    </w:rPr>
                  </w:pPr>
                  <w:r>
                    <w:rPr>
                      <w:rFonts w:hint="eastAsia" w:ascii="宋体" w:hAnsi="宋体" w:eastAsia="宋体" w:cs="宋体"/>
                      <w:b/>
                      <w:bCs/>
                      <w:color w:val="0000E1"/>
                      <w:kern w:val="2"/>
                      <w:sz w:val="21"/>
                      <w:szCs w:val="21"/>
                      <w:lang w:val="en-US" w:eastAsia="zh-CN" w:bidi="ar"/>
                    </w:rPr>
                    <w:t>污染源名称</w:t>
                  </w:r>
                </w:p>
              </w:tc>
              <w:tc>
                <w:tcPr>
                  <w:tcW w:w="957" w:type="dxa"/>
                  <w:vMerge w:val="restart"/>
                  <w:tcBorders>
                    <w:top w:val="single" w:color="auto" w:sz="4" w:space="0"/>
                    <w:left w:val="nil"/>
                    <w:bottom w:val="single" w:color="auto" w:sz="4" w:space="0"/>
                    <w:right w:val="single" w:color="auto" w:sz="4" w:space="0"/>
                  </w:tcBorders>
                  <w:shd w:val="clear" w:color="auto" w:fill="auto"/>
                  <w:vAlign w:val="center"/>
                </w:tcPr>
                <w:p w14:paraId="3AE43AA9">
                  <w:pPr>
                    <w:keepNext w:val="0"/>
                    <w:keepLines w:val="0"/>
                    <w:widowControl w:val="0"/>
                    <w:suppressLineNumbers w:val="0"/>
                    <w:spacing w:before="0" w:beforeAutospacing="0" w:after="0" w:afterAutospacing="0"/>
                    <w:ind w:left="0" w:right="0"/>
                    <w:jc w:val="center"/>
                    <w:rPr>
                      <w:rFonts w:hint="default" w:ascii="Times New Roman" w:hAnsi="Times New Roman" w:eastAsia="宋体" w:cs="Times New Roman"/>
                      <w:b/>
                      <w:bCs/>
                      <w:color w:val="0000E1"/>
                      <w:kern w:val="2"/>
                      <w:sz w:val="21"/>
                      <w:szCs w:val="21"/>
                    </w:rPr>
                  </w:pPr>
                  <w:r>
                    <w:rPr>
                      <w:rFonts w:hint="eastAsia" w:ascii="宋体" w:hAnsi="宋体" w:eastAsia="宋体" w:cs="宋体"/>
                      <w:b/>
                      <w:bCs/>
                      <w:color w:val="0000E1"/>
                      <w:kern w:val="2"/>
                      <w:sz w:val="21"/>
                      <w:szCs w:val="21"/>
                      <w:lang w:val="en-US" w:eastAsia="zh-CN" w:bidi="ar"/>
                    </w:rPr>
                    <w:t>污染因子</w:t>
                  </w:r>
                </w:p>
              </w:tc>
              <w:tc>
                <w:tcPr>
                  <w:tcW w:w="1119" w:type="dxa"/>
                  <w:vMerge w:val="restart"/>
                  <w:tcBorders>
                    <w:top w:val="single" w:color="auto" w:sz="4" w:space="0"/>
                    <w:left w:val="nil"/>
                    <w:right w:val="single" w:color="auto" w:sz="4" w:space="0"/>
                  </w:tcBorders>
                  <w:shd w:val="clear" w:color="auto" w:fill="auto"/>
                  <w:vAlign w:val="center"/>
                </w:tcPr>
                <w:p w14:paraId="2F2021A8">
                  <w:pPr>
                    <w:keepNext w:val="0"/>
                    <w:keepLines w:val="0"/>
                    <w:widowControl w:val="0"/>
                    <w:suppressLineNumbers w:val="0"/>
                    <w:spacing w:before="0" w:beforeAutospacing="0" w:after="0" w:afterAutospacing="0"/>
                    <w:ind w:left="0" w:right="0"/>
                    <w:jc w:val="center"/>
                    <w:rPr>
                      <w:rFonts w:hint="default" w:ascii="宋体" w:hAnsi="宋体" w:eastAsia="宋体" w:cs="宋体"/>
                      <w:b/>
                      <w:bCs/>
                      <w:color w:val="0000E1"/>
                      <w:kern w:val="2"/>
                      <w:sz w:val="21"/>
                      <w:szCs w:val="21"/>
                      <w:lang w:val="en-US" w:eastAsia="zh-CN" w:bidi="ar"/>
                    </w:rPr>
                  </w:pPr>
                  <w:r>
                    <w:rPr>
                      <w:rFonts w:hint="eastAsia" w:ascii="宋体" w:hAnsi="宋体" w:eastAsia="宋体" w:cs="宋体"/>
                      <w:b/>
                      <w:bCs/>
                      <w:color w:val="0000E1"/>
                      <w:kern w:val="2"/>
                      <w:sz w:val="21"/>
                      <w:szCs w:val="21"/>
                      <w:lang w:val="en-US" w:eastAsia="zh-CN" w:bidi="ar"/>
                    </w:rPr>
                    <w:t>产生速率</w:t>
                  </w:r>
                  <w:r>
                    <w:rPr>
                      <w:rFonts w:hint="default" w:ascii="Times New Roman" w:hAnsi="Times New Roman" w:eastAsia="宋体" w:cs="Times New Roman"/>
                      <w:b/>
                      <w:bCs/>
                      <w:color w:val="0000E1"/>
                      <w:kern w:val="2"/>
                      <w:sz w:val="21"/>
                      <w:szCs w:val="21"/>
                      <w:lang w:val="en-US" w:eastAsia="zh-CN" w:bidi="ar"/>
                    </w:rPr>
                    <w:t>（kg/h）</w:t>
                  </w:r>
                </w:p>
              </w:tc>
              <w:tc>
                <w:tcPr>
                  <w:tcW w:w="1023" w:type="dxa"/>
                  <w:vMerge w:val="restart"/>
                  <w:tcBorders>
                    <w:top w:val="single" w:color="auto" w:sz="4" w:space="0"/>
                    <w:left w:val="nil"/>
                    <w:bottom w:val="single" w:color="auto" w:sz="4" w:space="0"/>
                    <w:right w:val="single" w:color="auto" w:sz="4" w:space="0"/>
                  </w:tcBorders>
                  <w:shd w:val="clear" w:color="auto" w:fill="auto"/>
                  <w:vAlign w:val="center"/>
                </w:tcPr>
                <w:p w14:paraId="5B4DA269">
                  <w:pPr>
                    <w:keepNext w:val="0"/>
                    <w:keepLines w:val="0"/>
                    <w:widowControl w:val="0"/>
                    <w:suppressLineNumbers w:val="0"/>
                    <w:spacing w:before="0" w:beforeAutospacing="0" w:after="0" w:afterAutospacing="0"/>
                    <w:ind w:left="0" w:right="0"/>
                    <w:jc w:val="center"/>
                    <w:rPr>
                      <w:rFonts w:hint="default" w:ascii="Times New Roman" w:hAnsi="Times New Roman" w:eastAsia="宋体" w:cs="Times New Roman"/>
                      <w:b/>
                      <w:bCs/>
                      <w:color w:val="0000E1"/>
                      <w:kern w:val="2"/>
                      <w:sz w:val="21"/>
                      <w:szCs w:val="21"/>
                    </w:rPr>
                  </w:pPr>
                  <w:r>
                    <w:rPr>
                      <w:rFonts w:hint="eastAsia" w:ascii="宋体" w:hAnsi="宋体" w:eastAsia="宋体" w:cs="宋体"/>
                      <w:b/>
                      <w:bCs/>
                      <w:color w:val="0000E1"/>
                      <w:kern w:val="2"/>
                      <w:sz w:val="21"/>
                      <w:szCs w:val="21"/>
                      <w:lang w:val="en-US" w:eastAsia="zh-CN" w:bidi="ar"/>
                    </w:rPr>
                    <w:t>产生量（</w:t>
                  </w:r>
                  <w:r>
                    <w:rPr>
                      <w:rFonts w:hint="default" w:ascii="Times New Roman" w:hAnsi="Times New Roman" w:eastAsia="宋体" w:cs="Times New Roman"/>
                      <w:b/>
                      <w:bCs/>
                      <w:color w:val="0000E1"/>
                      <w:kern w:val="2"/>
                      <w:sz w:val="21"/>
                      <w:szCs w:val="21"/>
                      <w:lang w:val="en-US" w:eastAsia="zh-CN" w:bidi="ar"/>
                    </w:rPr>
                    <w:t>t/a</w:t>
                  </w:r>
                  <w:r>
                    <w:rPr>
                      <w:rFonts w:hint="eastAsia" w:ascii="宋体" w:hAnsi="宋体" w:eastAsia="宋体" w:cs="宋体"/>
                      <w:b/>
                      <w:bCs/>
                      <w:color w:val="0000E1"/>
                      <w:kern w:val="2"/>
                      <w:sz w:val="21"/>
                      <w:szCs w:val="21"/>
                      <w:lang w:val="en-US" w:eastAsia="zh-CN" w:bidi="ar"/>
                    </w:rPr>
                    <w:t>）</w:t>
                  </w:r>
                </w:p>
              </w:tc>
              <w:tc>
                <w:tcPr>
                  <w:tcW w:w="1068" w:type="dxa"/>
                  <w:vMerge w:val="restart"/>
                  <w:tcBorders>
                    <w:top w:val="single" w:color="auto" w:sz="4" w:space="0"/>
                    <w:left w:val="nil"/>
                    <w:bottom w:val="single" w:color="auto" w:sz="4" w:space="0"/>
                    <w:right w:val="single" w:color="auto" w:sz="4" w:space="0"/>
                  </w:tcBorders>
                  <w:shd w:val="clear" w:color="auto" w:fill="auto"/>
                  <w:vAlign w:val="center"/>
                </w:tcPr>
                <w:p w14:paraId="131378EF">
                  <w:pPr>
                    <w:keepNext w:val="0"/>
                    <w:keepLines w:val="0"/>
                    <w:widowControl w:val="0"/>
                    <w:suppressLineNumbers w:val="0"/>
                    <w:spacing w:before="0" w:beforeAutospacing="0" w:after="0" w:afterAutospacing="0"/>
                    <w:ind w:left="0" w:right="0"/>
                    <w:jc w:val="center"/>
                    <w:rPr>
                      <w:rFonts w:hint="default" w:ascii="Times New Roman" w:hAnsi="Times New Roman" w:eastAsia="宋体" w:cs="Times New Roman"/>
                      <w:b/>
                      <w:bCs/>
                      <w:color w:val="0000E1"/>
                      <w:kern w:val="2"/>
                      <w:sz w:val="21"/>
                      <w:szCs w:val="21"/>
                    </w:rPr>
                  </w:pPr>
                  <w:r>
                    <w:rPr>
                      <w:rFonts w:hint="eastAsia" w:ascii="宋体" w:hAnsi="宋体" w:eastAsia="宋体" w:cs="宋体"/>
                      <w:b/>
                      <w:bCs/>
                      <w:color w:val="0000E1"/>
                      <w:kern w:val="2"/>
                      <w:sz w:val="21"/>
                      <w:szCs w:val="21"/>
                      <w:lang w:val="en-US" w:eastAsia="zh-CN" w:bidi="ar"/>
                    </w:rPr>
                    <w:t>削减量</w:t>
                  </w:r>
                </w:p>
                <w:p w14:paraId="248782ED">
                  <w:pPr>
                    <w:keepNext w:val="0"/>
                    <w:keepLines w:val="0"/>
                    <w:widowControl w:val="0"/>
                    <w:suppressLineNumbers w:val="0"/>
                    <w:spacing w:before="0" w:beforeAutospacing="0" w:after="0" w:afterAutospacing="0"/>
                    <w:ind w:left="0" w:right="0"/>
                    <w:jc w:val="center"/>
                    <w:rPr>
                      <w:rFonts w:hint="default" w:ascii="Times New Roman" w:hAnsi="Times New Roman" w:eastAsia="宋体" w:cs="Times New Roman"/>
                      <w:b/>
                      <w:bCs/>
                      <w:color w:val="0000E1"/>
                      <w:kern w:val="2"/>
                      <w:sz w:val="21"/>
                      <w:szCs w:val="21"/>
                    </w:rPr>
                  </w:pPr>
                  <w:r>
                    <w:rPr>
                      <w:rFonts w:hint="eastAsia" w:ascii="宋体" w:hAnsi="宋体" w:eastAsia="宋体" w:cs="宋体"/>
                      <w:b/>
                      <w:bCs/>
                      <w:color w:val="0000E1"/>
                      <w:kern w:val="2"/>
                      <w:sz w:val="21"/>
                      <w:szCs w:val="21"/>
                      <w:lang w:val="en-US" w:eastAsia="zh-CN" w:bidi="ar"/>
                    </w:rPr>
                    <w:t>（</w:t>
                  </w:r>
                  <w:r>
                    <w:rPr>
                      <w:rFonts w:hint="default" w:ascii="Times New Roman" w:hAnsi="Times New Roman" w:eastAsia="宋体" w:cs="Times New Roman"/>
                      <w:b/>
                      <w:bCs/>
                      <w:color w:val="0000E1"/>
                      <w:kern w:val="2"/>
                      <w:sz w:val="21"/>
                      <w:szCs w:val="21"/>
                      <w:lang w:val="en-US" w:eastAsia="zh-CN" w:bidi="ar"/>
                    </w:rPr>
                    <w:t>t/a</w:t>
                  </w:r>
                  <w:r>
                    <w:rPr>
                      <w:rFonts w:hint="eastAsia" w:ascii="宋体" w:hAnsi="宋体" w:eastAsia="宋体" w:cs="宋体"/>
                      <w:b/>
                      <w:bCs/>
                      <w:color w:val="0000E1"/>
                      <w:kern w:val="2"/>
                      <w:sz w:val="21"/>
                      <w:szCs w:val="21"/>
                      <w:lang w:val="en-US" w:eastAsia="zh-CN" w:bidi="ar"/>
                    </w:rPr>
                    <w:t>）</w:t>
                  </w:r>
                </w:p>
              </w:tc>
              <w:tc>
                <w:tcPr>
                  <w:tcW w:w="3118" w:type="dxa"/>
                  <w:gridSpan w:val="2"/>
                  <w:tcBorders>
                    <w:top w:val="single" w:color="auto" w:sz="4" w:space="0"/>
                    <w:left w:val="nil"/>
                    <w:bottom w:val="single" w:color="auto" w:sz="4" w:space="0"/>
                    <w:right w:val="single" w:color="auto" w:sz="4" w:space="0"/>
                  </w:tcBorders>
                  <w:shd w:val="clear" w:color="auto" w:fill="auto"/>
                  <w:vAlign w:val="center"/>
                </w:tcPr>
                <w:p w14:paraId="70650E15">
                  <w:pPr>
                    <w:keepNext w:val="0"/>
                    <w:keepLines w:val="0"/>
                    <w:widowControl w:val="0"/>
                    <w:suppressLineNumbers w:val="0"/>
                    <w:spacing w:before="0" w:beforeAutospacing="0" w:after="0" w:afterAutospacing="0"/>
                    <w:ind w:left="0" w:right="0"/>
                    <w:jc w:val="center"/>
                    <w:rPr>
                      <w:rFonts w:hint="default" w:ascii="Times New Roman" w:hAnsi="Times New Roman" w:eastAsia="宋体" w:cs="Times New Roman"/>
                      <w:b/>
                      <w:bCs/>
                      <w:color w:val="0000E1"/>
                      <w:kern w:val="2"/>
                      <w:sz w:val="21"/>
                      <w:szCs w:val="21"/>
                    </w:rPr>
                  </w:pPr>
                  <w:r>
                    <w:rPr>
                      <w:rFonts w:hint="eastAsia" w:ascii="宋体" w:hAnsi="宋体" w:eastAsia="宋体" w:cs="宋体"/>
                      <w:b/>
                      <w:bCs/>
                      <w:color w:val="0000E1"/>
                      <w:kern w:val="2"/>
                      <w:sz w:val="21"/>
                      <w:szCs w:val="21"/>
                      <w:lang w:val="en-US" w:eastAsia="zh-CN" w:bidi="ar"/>
                    </w:rPr>
                    <w:t>无组织</w:t>
                  </w:r>
                </w:p>
              </w:tc>
            </w:tr>
            <w:tr w14:paraId="6AAB1C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90" w:hRule="atLeast"/>
                <w:jc w:val="center"/>
              </w:trPr>
              <w:tc>
                <w:tcPr>
                  <w:tcW w:w="1062"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14:paraId="336D01ED">
                  <w:pPr>
                    <w:keepNext w:val="0"/>
                    <w:keepLines w:val="0"/>
                    <w:suppressLineNumbers w:val="0"/>
                    <w:spacing w:before="0" w:beforeAutospacing="0" w:after="0" w:afterAutospacing="0"/>
                    <w:ind w:left="0" w:right="0"/>
                    <w:jc w:val="both"/>
                    <w:rPr>
                      <w:rFonts w:hint="default" w:ascii="Times New Roman" w:hAnsi="Times New Roman" w:cs="Times New Roman"/>
                      <w:color w:val="0000E1"/>
                      <w:sz w:val="20"/>
                      <w:szCs w:val="20"/>
                    </w:rPr>
                  </w:pPr>
                </w:p>
              </w:tc>
              <w:tc>
                <w:tcPr>
                  <w:tcW w:w="957" w:type="dxa"/>
                  <w:vMerge w:val="continue"/>
                  <w:tcBorders>
                    <w:top w:val="single" w:color="auto" w:sz="4" w:space="0"/>
                    <w:left w:val="nil"/>
                    <w:bottom w:val="single" w:color="auto" w:sz="4" w:space="0"/>
                    <w:right w:val="single" w:color="auto" w:sz="4" w:space="0"/>
                  </w:tcBorders>
                  <w:shd w:val="clear" w:color="auto" w:fill="auto"/>
                  <w:vAlign w:val="center"/>
                </w:tcPr>
                <w:p w14:paraId="4E56B39B">
                  <w:pPr>
                    <w:keepNext w:val="0"/>
                    <w:keepLines w:val="0"/>
                    <w:suppressLineNumbers w:val="0"/>
                    <w:spacing w:before="0" w:beforeAutospacing="0" w:after="0" w:afterAutospacing="0"/>
                    <w:ind w:left="0" w:right="0"/>
                    <w:jc w:val="both"/>
                    <w:rPr>
                      <w:rFonts w:hint="default" w:ascii="Times New Roman" w:hAnsi="Times New Roman" w:cs="Times New Roman"/>
                      <w:color w:val="0000E1"/>
                      <w:sz w:val="20"/>
                      <w:szCs w:val="20"/>
                    </w:rPr>
                  </w:pPr>
                </w:p>
              </w:tc>
              <w:tc>
                <w:tcPr>
                  <w:tcW w:w="1119" w:type="dxa"/>
                  <w:vMerge w:val="continue"/>
                  <w:tcBorders>
                    <w:left w:val="nil"/>
                    <w:bottom w:val="single" w:color="auto" w:sz="4" w:space="0"/>
                    <w:right w:val="single" w:color="auto" w:sz="4" w:space="0"/>
                  </w:tcBorders>
                  <w:shd w:val="clear" w:color="auto" w:fill="auto"/>
                  <w:vAlign w:val="center"/>
                </w:tcPr>
                <w:p w14:paraId="32C004E9">
                  <w:pPr>
                    <w:keepNext w:val="0"/>
                    <w:keepLines w:val="0"/>
                    <w:suppressLineNumbers w:val="0"/>
                    <w:spacing w:before="0" w:beforeAutospacing="0" w:after="0" w:afterAutospacing="0"/>
                    <w:ind w:left="0" w:right="0"/>
                    <w:jc w:val="both"/>
                    <w:rPr>
                      <w:rFonts w:hint="default" w:ascii="Times New Roman" w:hAnsi="Times New Roman" w:cs="Times New Roman"/>
                      <w:color w:val="0000E1"/>
                      <w:sz w:val="20"/>
                      <w:szCs w:val="20"/>
                    </w:rPr>
                  </w:pPr>
                </w:p>
              </w:tc>
              <w:tc>
                <w:tcPr>
                  <w:tcW w:w="1023" w:type="dxa"/>
                  <w:vMerge w:val="continue"/>
                  <w:tcBorders>
                    <w:top w:val="single" w:color="auto" w:sz="4" w:space="0"/>
                    <w:left w:val="nil"/>
                    <w:bottom w:val="single" w:color="auto" w:sz="4" w:space="0"/>
                    <w:right w:val="single" w:color="auto" w:sz="4" w:space="0"/>
                  </w:tcBorders>
                  <w:shd w:val="clear" w:color="auto" w:fill="auto"/>
                  <w:vAlign w:val="center"/>
                </w:tcPr>
                <w:p w14:paraId="4B4D9F03">
                  <w:pPr>
                    <w:keepNext w:val="0"/>
                    <w:keepLines w:val="0"/>
                    <w:suppressLineNumbers w:val="0"/>
                    <w:spacing w:before="0" w:beforeAutospacing="0" w:after="0" w:afterAutospacing="0"/>
                    <w:ind w:left="0" w:right="0"/>
                    <w:jc w:val="both"/>
                    <w:rPr>
                      <w:rFonts w:hint="default" w:ascii="Times New Roman" w:hAnsi="Times New Roman" w:cs="Times New Roman"/>
                      <w:color w:val="0000E1"/>
                      <w:sz w:val="20"/>
                      <w:szCs w:val="20"/>
                    </w:rPr>
                  </w:pPr>
                </w:p>
              </w:tc>
              <w:tc>
                <w:tcPr>
                  <w:tcW w:w="1068" w:type="dxa"/>
                  <w:vMerge w:val="continue"/>
                  <w:tcBorders>
                    <w:top w:val="single" w:color="auto" w:sz="4" w:space="0"/>
                    <w:left w:val="nil"/>
                    <w:bottom w:val="single" w:color="auto" w:sz="4" w:space="0"/>
                    <w:right w:val="single" w:color="auto" w:sz="4" w:space="0"/>
                  </w:tcBorders>
                  <w:shd w:val="clear" w:color="auto" w:fill="auto"/>
                  <w:vAlign w:val="center"/>
                </w:tcPr>
                <w:p w14:paraId="323F5790">
                  <w:pPr>
                    <w:keepNext w:val="0"/>
                    <w:keepLines w:val="0"/>
                    <w:suppressLineNumbers w:val="0"/>
                    <w:spacing w:before="0" w:beforeAutospacing="0" w:after="0" w:afterAutospacing="0"/>
                    <w:ind w:left="0" w:right="0"/>
                    <w:jc w:val="both"/>
                    <w:rPr>
                      <w:rFonts w:hint="default" w:ascii="Times New Roman" w:hAnsi="Times New Roman" w:cs="Times New Roman"/>
                      <w:color w:val="0000E1"/>
                      <w:sz w:val="20"/>
                      <w:szCs w:val="20"/>
                    </w:rPr>
                  </w:pPr>
                </w:p>
              </w:tc>
              <w:tc>
                <w:tcPr>
                  <w:tcW w:w="1577" w:type="dxa"/>
                  <w:tcBorders>
                    <w:top w:val="single" w:color="auto" w:sz="4" w:space="0"/>
                    <w:left w:val="nil"/>
                    <w:bottom w:val="single" w:color="auto" w:sz="4" w:space="0"/>
                    <w:right w:val="single" w:color="auto" w:sz="4" w:space="0"/>
                  </w:tcBorders>
                  <w:shd w:val="clear" w:color="auto" w:fill="auto"/>
                  <w:vAlign w:val="center"/>
                </w:tcPr>
                <w:p w14:paraId="1F29A3F7">
                  <w:pPr>
                    <w:keepNext w:val="0"/>
                    <w:keepLines w:val="0"/>
                    <w:widowControl w:val="0"/>
                    <w:suppressLineNumbers w:val="0"/>
                    <w:spacing w:before="0" w:beforeAutospacing="0" w:after="0" w:afterAutospacing="0"/>
                    <w:ind w:left="0" w:right="0"/>
                    <w:jc w:val="center"/>
                    <w:rPr>
                      <w:rFonts w:hint="default" w:ascii="Times New Roman" w:hAnsi="Times New Roman" w:eastAsia="宋体" w:cs="Times New Roman"/>
                      <w:b/>
                      <w:bCs/>
                      <w:color w:val="0000E1"/>
                      <w:kern w:val="2"/>
                      <w:sz w:val="21"/>
                      <w:szCs w:val="21"/>
                    </w:rPr>
                  </w:pPr>
                  <w:r>
                    <w:rPr>
                      <w:rFonts w:hint="eastAsia" w:ascii="宋体" w:hAnsi="宋体" w:eastAsia="宋体" w:cs="宋体"/>
                      <w:b/>
                      <w:bCs/>
                      <w:color w:val="0000E1"/>
                      <w:kern w:val="2"/>
                      <w:sz w:val="21"/>
                      <w:szCs w:val="21"/>
                      <w:lang w:val="en-US" w:eastAsia="zh-CN" w:bidi="ar"/>
                    </w:rPr>
                    <w:t>排放速率（</w:t>
                  </w:r>
                  <w:r>
                    <w:rPr>
                      <w:rFonts w:hint="default" w:ascii="Times New Roman" w:hAnsi="Times New Roman" w:eastAsia="宋体" w:cs="Times New Roman"/>
                      <w:b/>
                      <w:bCs/>
                      <w:color w:val="0000E1"/>
                      <w:kern w:val="2"/>
                      <w:sz w:val="21"/>
                      <w:szCs w:val="21"/>
                      <w:lang w:val="en-US" w:eastAsia="zh-CN" w:bidi="ar"/>
                    </w:rPr>
                    <w:t>kg/h</w:t>
                  </w:r>
                  <w:r>
                    <w:rPr>
                      <w:rFonts w:hint="eastAsia" w:ascii="宋体" w:hAnsi="宋体" w:eastAsia="宋体" w:cs="宋体"/>
                      <w:b/>
                      <w:bCs/>
                      <w:color w:val="0000E1"/>
                      <w:kern w:val="2"/>
                      <w:sz w:val="21"/>
                      <w:szCs w:val="21"/>
                      <w:lang w:val="en-US" w:eastAsia="zh-CN" w:bidi="ar"/>
                    </w:rPr>
                    <w:t>）</w:t>
                  </w:r>
                </w:p>
              </w:tc>
              <w:tc>
                <w:tcPr>
                  <w:tcW w:w="1541" w:type="dxa"/>
                  <w:tcBorders>
                    <w:top w:val="single" w:color="auto" w:sz="4" w:space="0"/>
                    <w:left w:val="nil"/>
                    <w:bottom w:val="single" w:color="auto" w:sz="4" w:space="0"/>
                    <w:right w:val="single" w:color="auto" w:sz="4" w:space="0"/>
                  </w:tcBorders>
                  <w:shd w:val="clear" w:color="auto" w:fill="auto"/>
                  <w:vAlign w:val="center"/>
                </w:tcPr>
                <w:p w14:paraId="6427A432">
                  <w:pPr>
                    <w:keepNext w:val="0"/>
                    <w:keepLines w:val="0"/>
                    <w:widowControl w:val="0"/>
                    <w:suppressLineNumbers w:val="0"/>
                    <w:spacing w:before="0" w:beforeAutospacing="0" w:after="0" w:afterAutospacing="0"/>
                    <w:ind w:left="0" w:right="0"/>
                    <w:jc w:val="center"/>
                    <w:rPr>
                      <w:rFonts w:hint="default" w:ascii="Times New Roman" w:hAnsi="Times New Roman" w:eastAsia="宋体" w:cs="Times New Roman"/>
                      <w:b/>
                      <w:bCs/>
                      <w:color w:val="0000E1"/>
                      <w:kern w:val="2"/>
                      <w:sz w:val="21"/>
                      <w:szCs w:val="21"/>
                    </w:rPr>
                  </w:pPr>
                  <w:r>
                    <w:rPr>
                      <w:rFonts w:hint="eastAsia" w:ascii="宋体" w:hAnsi="宋体" w:eastAsia="宋体" w:cs="宋体"/>
                      <w:b/>
                      <w:bCs/>
                      <w:color w:val="0000E1"/>
                      <w:kern w:val="2"/>
                      <w:sz w:val="21"/>
                      <w:szCs w:val="21"/>
                      <w:lang w:val="en-US" w:eastAsia="zh-CN" w:bidi="ar"/>
                    </w:rPr>
                    <w:t>排放量（</w:t>
                  </w:r>
                  <w:r>
                    <w:rPr>
                      <w:rFonts w:hint="default" w:ascii="Times New Roman" w:hAnsi="Times New Roman" w:eastAsia="宋体" w:cs="Times New Roman"/>
                      <w:b/>
                      <w:bCs/>
                      <w:color w:val="0000E1"/>
                      <w:kern w:val="2"/>
                      <w:sz w:val="21"/>
                      <w:szCs w:val="21"/>
                      <w:lang w:val="en-US" w:eastAsia="zh-CN" w:bidi="ar"/>
                    </w:rPr>
                    <w:t>t/a</w:t>
                  </w:r>
                  <w:r>
                    <w:rPr>
                      <w:rFonts w:hint="eastAsia" w:ascii="宋体" w:hAnsi="宋体" w:eastAsia="宋体" w:cs="宋体"/>
                      <w:b/>
                      <w:bCs/>
                      <w:color w:val="0000E1"/>
                      <w:kern w:val="2"/>
                      <w:sz w:val="21"/>
                      <w:szCs w:val="21"/>
                      <w:lang w:val="en-US" w:eastAsia="zh-CN" w:bidi="ar"/>
                    </w:rPr>
                    <w:t>）</w:t>
                  </w:r>
                </w:p>
              </w:tc>
            </w:tr>
            <w:tr w14:paraId="5E0037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397" w:hRule="atLeast"/>
                <w:jc w:val="center"/>
              </w:trPr>
              <w:tc>
                <w:tcPr>
                  <w:tcW w:w="1062" w:type="dxa"/>
                  <w:tcBorders>
                    <w:top w:val="nil"/>
                    <w:left w:val="single" w:color="auto" w:sz="4" w:space="0"/>
                    <w:bottom w:val="single" w:color="auto" w:sz="4" w:space="0"/>
                    <w:right w:val="single" w:color="auto" w:sz="4" w:space="0"/>
                  </w:tcBorders>
                  <w:shd w:val="clear" w:color="auto" w:fill="auto"/>
                  <w:vAlign w:val="center"/>
                </w:tcPr>
                <w:p w14:paraId="2AA10224">
                  <w:pPr>
                    <w:keepNext w:val="0"/>
                    <w:keepLines w:val="0"/>
                    <w:widowControl w:val="0"/>
                    <w:suppressLineNumbers w:val="0"/>
                    <w:spacing w:before="0" w:beforeAutospacing="0" w:after="0" w:afterAutospacing="0"/>
                    <w:ind w:left="0" w:right="0"/>
                    <w:jc w:val="center"/>
                    <w:rPr>
                      <w:rFonts w:hint="default" w:ascii="Times New Roman" w:hAnsi="Times New Roman" w:eastAsia="宋体" w:cs="Times New Roman"/>
                      <w:color w:val="0000E1"/>
                      <w:kern w:val="2"/>
                      <w:sz w:val="21"/>
                      <w:szCs w:val="21"/>
                    </w:rPr>
                  </w:pPr>
                  <w:r>
                    <w:rPr>
                      <w:rFonts w:hint="eastAsia" w:ascii="宋体" w:hAnsi="宋体" w:eastAsia="宋体" w:cs="宋体"/>
                      <w:color w:val="0000E1"/>
                      <w:kern w:val="2"/>
                      <w:sz w:val="21"/>
                      <w:szCs w:val="21"/>
                      <w:lang w:val="en-US" w:eastAsia="zh-CN" w:bidi="ar"/>
                    </w:rPr>
                    <w:t>切割粉尘</w:t>
                  </w:r>
                </w:p>
              </w:tc>
              <w:tc>
                <w:tcPr>
                  <w:tcW w:w="957" w:type="dxa"/>
                  <w:tcBorders>
                    <w:top w:val="single" w:color="auto" w:sz="4" w:space="0"/>
                    <w:left w:val="nil"/>
                    <w:bottom w:val="single" w:color="auto" w:sz="4" w:space="0"/>
                    <w:right w:val="single" w:color="auto" w:sz="4" w:space="0"/>
                  </w:tcBorders>
                  <w:shd w:val="clear" w:color="auto" w:fill="auto"/>
                  <w:vAlign w:val="center"/>
                </w:tcPr>
                <w:p w14:paraId="69461580">
                  <w:pPr>
                    <w:keepNext w:val="0"/>
                    <w:keepLines w:val="0"/>
                    <w:widowControl w:val="0"/>
                    <w:suppressLineNumbers w:val="0"/>
                    <w:spacing w:before="0" w:beforeAutospacing="0" w:after="0" w:afterAutospacing="0"/>
                    <w:ind w:left="0" w:right="0"/>
                    <w:jc w:val="center"/>
                    <w:rPr>
                      <w:rFonts w:hint="default" w:ascii="Times New Roman" w:hAnsi="Times New Roman" w:eastAsia="宋体" w:cs="Times New Roman"/>
                      <w:color w:val="0000E1"/>
                      <w:kern w:val="2"/>
                      <w:sz w:val="21"/>
                      <w:szCs w:val="21"/>
                    </w:rPr>
                  </w:pPr>
                  <w:r>
                    <w:rPr>
                      <w:rFonts w:hint="eastAsia" w:ascii="宋体" w:hAnsi="宋体" w:eastAsia="宋体" w:cs="宋体"/>
                      <w:color w:val="0000E1"/>
                      <w:kern w:val="2"/>
                      <w:sz w:val="21"/>
                      <w:szCs w:val="21"/>
                      <w:lang w:val="en-US" w:eastAsia="zh-CN" w:bidi="ar"/>
                    </w:rPr>
                    <w:t>颗粒物</w:t>
                  </w:r>
                </w:p>
              </w:tc>
              <w:tc>
                <w:tcPr>
                  <w:tcW w:w="1119" w:type="dxa"/>
                  <w:tcBorders>
                    <w:top w:val="single" w:color="auto" w:sz="4" w:space="0"/>
                    <w:left w:val="nil"/>
                    <w:bottom w:val="single" w:color="auto" w:sz="4" w:space="0"/>
                    <w:right w:val="single" w:color="auto" w:sz="4" w:space="0"/>
                  </w:tcBorders>
                  <w:shd w:val="clear" w:color="auto" w:fill="auto"/>
                  <w:vAlign w:val="center"/>
                </w:tcPr>
                <w:p w14:paraId="4FBD7F7A">
                  <w:pPr>
                    <w:keepNext w:val="0"/>
                    <w:keepLines w:val="0"/>
                    <w:widowControl w:val="0"/>
                    <w:suppressLineNumbers w:val="0"/>
                    <w:spacing w:before="0" w:beforeAutospacing="0" w:after="0" w:afterAutospacing="0"/>
                    <w:ind w:left="0" w:right="0"/>
                    <w:jc w:val="center"/>
                    <w:rPr>
                      <w:rFonts w:hint="default" w:ascii="Times New Roman" w:hAnsi="Times New Roman" w:eastAsia="宋体" w:cs="Times New Roman"/>
                      <w:color w:val="0000E1"/>
                      <w:kern w:val="2"/>
                      <w:sz w:val="21"/>
                      <w:szCs w:val="21"/>
                      <w:lang w:val="en-US" w:eastAsia="zh-CN"/>
                    </w:rPr>
                  </w:pPr>
                  <w:r>
                    <w:rPr>
                      <w:rFonts w:hint="default" w:ascii="Times New Roman" w:hAnsi="Times New Roman" w:eastAsia="宋体" w:cs="Times New Roman"/>
                      <w:color w:val="0000E1"/>
                      <w:kern w:val="2"/>
                      <w:sz w:val="21"/>
                      <w:szCs w:val="21"/>
                      <w:lang w:val="en-US" w:eastAsia="zh-CN"/>
                    </w:rPr>
                    <w:t>0.156</w:t>
                  </w:r>
                </w:p>
              </w:tc>
              <w:tc>
                <w:tcPr>
                  <w:tcW w:w="1023" w:type="dxa"/>
                  <w:tcBorders>
                    <w:top w:val="single" w:color="auto" w:sz="4" w:space="0"/>
                    <w:left w:val="nil"/>
                    <w:bottom w:val="single" w:color="auto" w:sz="4" w:space="0"/>
                    <w:right w:val="single" w:color="auto" w:sz="4" w:space="0"/>
                  </w:tcBorders>
                  <w:shd w:val="clear" w:color="auto" w:fill="auto"/>
                  <w:vAlign w:val="center"/>
                </w:tcPr>
                <w:p w14:paraId="74CD98E0">
                  <w:pPr>
                    <w:keepNext w:val="0"/>
                    <w:keepLines w:val="0"/>
                    <w:widowControl w:val="0"/>
                    <w:suppressLineNumbers w:val="0"/>
                    <w:spacing w:before="0" w:beforeAutospacing="0" w:after="0" w:afterAutospacing="0"/>
                    <w:ind w:left="0" w:right="0"/>
                    <w:jc w:val="center"/>
                    <w:rPr>
                      <w:rFonts w:hint="default" w:ascii="Times New Roman" w:hAnsi="Times New Roman" w:eastAsia="宋体" w:cs="Times New Roman"/>
                      <w:color w:val="0000E1"/>
                      <w:kern w:val="2"/>
                      <w:sz w:val="21"/>
                      <w:szCs w:val="21"/>
                    </w:rPr>
                  </w:pPr>
                  <w:r>
                    <w:rPr>
                      <w:rFonts w:hint="default" w:ascii="Times New Roman" w:hAnsi="Times New Roman" w:eastAsia="宋体" w:cs="Times New Roman"/>
                      <w:color w:val="0000E1"/>
                      <w:kern w:val="2"/>
                      <w:sz w:val="21"/>
                      <w:szCs w:val="21"/>
                      <w:lang w:val="en-US" w:eastAsia="zh-CN"/>
                    </w:rPr>
                    <w:t>0.747</w:t>
                  </w:r>
                </w:p>
              </w:tc>
              <w:tc>
                <w:tcPr>
                  <w:tcW w:w="1068" w:type="dxa"/>
                  <w:tcBorders>
                    <w:top w:val="single" w:color="auto" w:sz="4" w:space="0"/>
                    <w:left w:val="nil"/>
                    <w:bottom w:val="single" w:color="auto" w:sz="4" w:space="0"/>
                    <w:right w:val="single" w:color="auto" w:sz="4" w:space="0"/>
                  </w:tcBorders>
                  <w:shd w:val="clear" w:color="auto" w:fill="auto"/>
                  <w:vAlign w:val="center"/>
                </w:tcPr>
                <w:p w14:paraId="675BC4E0">
                  <w:pPr>
                    <w:keepNext w:val="0"/>
                    <w:keepLines w:val="0"/>
                    <w:widowControl w:val="0"/>
                    <w:suppressLineNumbers w:val="0"/>
                    <w:spacing w:before="0" w:beforeAutospacing="0" w:after="0" w:afterAutospacing="0"/>
                    <w:ind w:left="0" w:right="0"/>
                    <w:jc w:val="center"/>
                    <w:rPr>
                      <w:rFonts w:hint="default" w:ascii="Times New Roman" w:hAnsi="Times New Roman" w:eastAsia="宋体" w:cs="Times New Roman"/>
                      <w:color w:val="0000E1"/>
                      <w:kern w:val="2"/>
                      <w:sz w:val="21"/>
                      <w:szCs w:val="21"/>
                      <w:lang w:val="en-US" w:eastAsia="zh-CN"/>
                    </w:rPr>
                  </w:pPr>
                  <w:r>
                    <w:rPr>
                      <w:rFonts w:hint="eastAsia" w:ascii="Times New Roman" w:hAnsi="Times New Roman" w:eastAsia="宋体" w:cs="Times New Roman"/>
                      <w:color w:val="0000E1"/>
                      <w:kern w:val="2"/>
                      <w:sz w:val="21"/>
                      <w:szCs w:val="21"/>
                      <w:lang w:val="en-US" w:eastAsia="zh-CN"/>
                    </w:rPr>
                    <w:t>0.364</w:t>
                  </w:r>
                </w:p>
              </w:tc>
              <w:tc>
                <w:tcPr>
                  <w:tcW w:w="1577" w:type="dxa"/>
                  <w:tcBorders>
                    <w:top w:val="single" w:color="auto" w:sz="4" w:space="0"/>
                    <w:left w:val="nil"/>
                    <w:bottom w:val="single" w:color="auto" w:sz="4" w:space="0"/>
                    <w:right w:val="single" w:color="auto" w:sz="4" w:space="0"/>
                  </w:tcBorders>
                  <w:shd w:val="clear" w:color="auto" w:fill="auto"/>
                  <w:vAlign w:val="center"/>
                </w:tcPr>
                <w:p w14:paraId="1A484EB1">
                  <w:pPr>
                    <w:keepNext w:val="0"/>
                    <w:keepLines w:val="0"/>
                    <w:widowControl w:val="0"/>
                    <w:suppressLineNumbers w:val="0"/>
                    <w:spacing w:before="0" w:beforeAutospacing="0" w:after="0" w:afterAutospacing="0"/>
                    <w:ind w:left="0" w:leftChars="0" w:right="0" w:rightChars="0"/>
                    <w:jc w:val="center"/>
                    <w:rPr>
                      <w:rFonts w:hint="default" w:ascii="Times New Roman" w:hAnsi="Times New Roman" w:eastAsia="宋体" w:cs="Times New Roman"/>
                      <w:color w:val="0000E1"/>
                      <w:kern w:val="2"/>
                      <w:sz w:val="21"/>
                      <w:szCs w:val="21"/>
                    </w:rPr>
                  </w:pPr>
                  <w:r>
                    <w:rPr>
                      <w:rFonts w:hint="default" w:ascii="Times New Roman" w:hAnsi="Times New Roman" w:eastAsia="宋体" w:cs="Times New Roman"/>
                      <w:color w:val="0000E1"/>
                      <w:kern w:val="2"/>
                      <w:sz w:val="21"/>
                      <w:szCs w:val="21"/>
                      <w:lang w:val="en-US" w:eastAsia="zh-CN"/>
                    </w:rPr>
                    <w:t>0.080</w:t>
                  </w:r>
                </w:p>
              </w:tc>
              <w:tc>
                <w:tcPr>
                  <w:tcW w:w="1541" w:type="dxa"/>
                  <w:tcBorders>
                    <w:top w:val="single" w:color="auto" w:sz="4" w:space="0"/>
                    <w:left w:val="nil"/>
                    <w:bottom w:val="single" w:color="auto" w:sz="4" w:space="0"/>
                    <w:right w:val="single" w:color="auto" w:sz="4" w:space="0"/>
                  </w:tcBorders>
                  <w:shd w:val="clear" w:color="auto" w:fill="auto"/>
                  <w:vAlign w:val="center"/>
                </w:tcPr>
                <w:p w14:paraId="57440934">
                  <w:pPr>
                    <w:keepNext w:val="0"/>
                    <w:keepLines w:val="0"/>
                    <w:widowControl w:val="0"/>
                    <w:suppressLineNumbers w:val="0"/>
                    <w:spacing w:before="0" w:beforeAutospacing="0" w:after="0" w:afterAutospacing="0"/>
                    <w:ind w:left="0" w:leftChars="0" w:right="0" w:rightChars="0"/>
                    <w:jc w:val="center"/>
                    <w:rPr>
                      <w:rFonts w:hint="default" w:ascii="Times New Roman" w:hAnsi="Times New Roman" w:eastAsia="宋体" w:cs="Times New Roman"/>
                      <w:color w:val="0000E1"/>
                      <w:kern w:val="2"/>
                      <w:sz w:val="21"/>
                      <w:szCs w:val="21"/>
                    </w:rPr>
                  </w:pPr>
                  <w:r>
                    <w:rPr>
                      <w:rFonts w:hint="default" w:ascii="Times New Roman" w:hAnsi="Times New Roman" w:eastAsia="宋体" w:cs="Times New Roman"/>
                      <w:color w:val="0000E1"/>
                      <w:kern w:val="2"/>
                      <w:sz w:val="21"/>
                      <w:szCs w:val="21"/>
                      <w:lang w:val="en-US" w:eastAsia="zh-CN"/>
                    </w:rPr>
                    <w:t>0.383</w:t>
                  </w:r>
                </w:p>
              </w:tc>
            </w:tr>
          </w:tbl>
          <w:p w14:paraId="2AF94E5B">
            <w:pPr>
              <w:keepNext w:val="0"/>
              <w:keepLines w:val="0"/>
              <w:suppressLineNumbers w:val="0"/>
              <w:spacing w:before="0" w:beforeAutospacing="0" w:after="0" w:afterAutospacing="0" w:line="360" w:lineRule="auto"/>
              <w:ind w:left="0" w:right="0" w:firstLine="482" w:firstLineChars="200"/>
              <w:rPr>
                <w:rFonts w:hint="default" w:ascii="Times New Roman" w:hAnsi="Times New Roman" w:eastAsia="宋体" w:cs="Times New Roman"/>
                <w:b/>
                <w:bCs/>
                <w:color w:val="auto"/>
                <w:sz w:val="24"/>
              </w:rPr>
            </w:pPr>
            <w:r>
              <w:rPr>
                <w:rFonts w:hint="eastAsia" w:ascii="Times New Roman" w:hAnsi="Times New Roman" w:eastAsia="宋体" w:cs="Times New Roman"/>
                <w:b/>
                <w:bCs/>
                <w:color w:val="auto"/>
                <w:sz w:val="24"/>
                <w:lang w:eastAsia="zh-CN"/>
              </w:rPr>
              <w:t>（</w:t>
            </w:r>
            <w:r>
              <w:rPr>
                <w:rFonts w:hint="eastAsia" w:ascii="Times New Roman" w:hAnsi="Times New Roman" w:eastAsia="宋体" w:cs="Times New Roman"/>
                <w:b/>
                <w:bCs/>
                <w:color w:val="auto"/>
                <w:sz w:val="24"/>
                <w:lang w:val="en-US" w:eastAsia="zh-CN"/>
              </w:rPr>
              <w:t>8</w:t>
            </w:r>
            <w:r>
              <w:rPr>
                <w:rFonts w:hint="eastAsia" w:ascii="Times New Roman" w:hAnsi="Times New Roman" w:eastAsia="宋体" w:cs="Times New Roman"/>
                <w:b/>
                <w:bCs/>
                <w:color w:val="auto"/>
                <w:sz w:val="24"/>
                <w:lang w:eastAsia="zh-CN"/>
              </w:rPr>
              <w:t>）</w:t>
            </w:r>
            <w:r>
              <w:rPr>
                <w:rFonts w:hint="default" w:ascii="Times New Roman" w:hAnsi="Times New Roman" w:eastAsia="宋体" w:cs="Times New Roman"/>
                <w:b/>
                <w:bCs/>
                <w:color w:val="auto"/>
                <w:sz w:val="24"/>
              </w:rPr>
              <w:t>真空热合废气</w:t>
            </w:r>
          </w:p>
          <w:p w14:paraId="393FBE08">
            <w:pPr>
              <w:keepNext w:val="0"/>
              <w:keepLines w:val="0"/>
              <w:suppressLineNumbers w:val="0"/>
              <w:spacing w:before="0" w:beforeAutospacing="0" w:after="0" w:afterAutospacing="0" w:line="360" w:lineRule="auto"/>
              <w:ind w:left="0" w:right="0" w:firstLine="480" w:firstLineChars="200"/>
              <w:rPr>
                <w:rFonts w:hint="default" w:ascii="Times New Roman" w:hAnsi="Times New Roman" w:eastAsia="宋体" w:cs="Times New Roman"/>
                <w:color w:val="auto"/>
                <w:sz w:val="24"/>
              </w:rPr>
            </w:pPr>
            <w:r>
              <w:rPr>
                <w:rFonts w:hint="default" w:ascii="Times New Roman" w:hAnsi="Times New Roman" w:eastAsia="宋体" w:cs="Times New Roman"/>
                <w:color w:val="auto"/>
                <w:sz w:val="24"/>
              </w:rPr>
              <w:t>本项目采用PET膜对切割后的基材整体包覆，然后在真空、110±20℃高温工况下对包覆板材热压密封成型，形成纳米隔热板基础板材。PET膜的收缩温度为130～150℃，因此真空热合过程会产生少量挥发性有机废气，以非甲烷总烃为表征。根据《浙江省重点行业 VOCs 污染排放源排放量计算方法》，参考塑料布、膜、袋等制造工序的单位排放系数，非甲烷总烃产污系数0.220kg/t原料。本项目纳米隔热板真空热合</w:t>
            </w:r>
            <w:r>
              <w:rPr>
                <w:rFonts w:hint="eastAsia" w:ascii="Times New Roman" w:hAnsi="Times New Roman" w:eastAsia="宋体" w:cs="Times New Roman"/>
                <w:color w:val="auto"/>
                <w:sz w:val="24"/>
                <w:lang w:val="en-US" w:eastAsia="zh-CN"/>
              </w:rPr>
              <w:t>工序需使用</w:t>
            </w:r>
            <w:r>
              <w:rPr>
                <w:rFonts w:hint="default" w:ascii="Times New Roman" w:hAnsi="Times New Roman" w:eastAsia="宋体" w:cs="Times New Roman"/>
                <w:color w:val="auto"/>
                <w:sz w:val="24"/>
              </w:rPr>
              <w:t>PET膜</w:t>
            </w:r>
            <w:r>
              <w:rPr>
                <w:rFonts w:hint="eastAsia" w:ascii="Times New Roman" w:hAnsi="Times New Roman" w:eastAsia="宋体" w:cs="Times New Roman"/>
                <w:color w:val="auto"/>
                <w:sz w:val="24"/>
                <w:lang w:eastAsia="zh-CN"/>
              </w:rPr>
              <w:t>，</w:t>
            </w:r>
            <w:r>
              <w:rPr>
                <w:rFonts w:hint="default" w:ascii="Times New Roman" w:hAnsi="Times New Roman" w:eastAsia="宋体" w:cs="Times New Roman"/>
                <w:color w:val="auto"/>
                <w:sz w:val="24"/>
              </w:rPr>
              <w:t>年消耗量为152.32万平方/a</w:t>
            </w:r>
            <w:r>
              <w:rPr>
                <w:rFonts w:hint="default" w:ascii="Times New Roman" w:hAnsi="Times New Roman" w:eastAsia="宋体" w:cs="Times New Roman"/>
                <w:color w:val="auto"/>
                <w:sz w:val="24"/>
                <w:lang w:val="en-US" w:eastAsia="zh-CN"/>
              </w:rPr>
              <w:t>（厚度为0.0</w:t>
            </w:r>
            <w:r>
              <w:rPr>
                <w:rFonts w:hint="eastAsia" w:ascii="Times New Roman" w:hAnsi="Times New Roman" w:eastAsia="宋体" w:cs="Times New Roman"/>
                <w:color w:val="auto"/>
                <w:sz w:val="24"/>
                <w:lang w:val="en-US" w:eastAsia="zh-CN"/>
              </w:rPr>
              <w:t>0</w:t>
            </w:r>
            <w:r>
              <w:rPr>
                <w:rFonts w:hint="default" w:ascii="Times New Roman" w:hAnsi="Times New Roman" w:eastAsia="宋体" w:cs="Times New Roman"/>
                <w:color w:val="auto"/>
                <w:sz w:val="24"/>
                <w:lang w:val="en-US" w:eastAsia="zh-CN"/>
              </w:rPr>
              <w:t>75mm，密度取1.38g/cm</w:t>
            </w:r>
            <w:r>
              <w:rPr>
                <w:rFonts w:hint="default" w:ascii="Times New Roman" w:hAnsi="Times New Roman" w:eastAsia="宋体" w:cs="Times New Roman"/>
                <w:color w:val="auto"/>
                <w:sz w:val="24"/>
                <w:vertAlign w:val="superscript"/>
                <w:lang w:val="en-US" w:eastAsia="zh-CN"/>
              </w:rPr>
              <w:t>3</w:t>
            </w:r>
            <w:r>
              <w:rPr>
                <w:rFonts w:hint="default" w:ascii="Times New Roman" w:hAnsi="Times New Roman" w:eastAsia="宋体" w:cs="Times New Roman"/>
                <w:color w:val="auto"/>
                <w:sz w:val="24"/>
                <w:lang w:val="en-US" w:eastAsia="zh-CN"/>
              </w:rPr>
              <w:t>，由PET重量与面积换算公式核算0.0</w:t>
            </w:r>
            <w:r>
              <w:rPr>
                <w:rFonts w:hint="eastAsia" w:ascii="Times New Roman" w:hAnsi="Times New Roman" w:eastAsia="宋体" w:cs="Times New Roman"/>
                <w:color w:val="auto"/>
                <w:sz w:val="24"/>
                <w:lang w:val="en-US" w:eastAsia="zh-CN"/>
              </w:rPr>
              <w:t>0</w:t>
            </w:r>
            <w:r>
              <w:rPr>
                <w:rFonts w:hint="default" w:ascii="Times New Roman" w:hAnsi="Times New Roman" w:eastAsia="宋体" w:cs="Times New Roman"/>
                <w:color w:val="auto"/>
                <w:sz w:val="24"/>
                <w:lang w:val="en-US" w:eastAsia="zh-CN"/>
              </w:rPr>
              <w:t>75mm厚度换算率为1kg=</w:t>
            </w:r>
            <w:r>
              <w:rPr>
                <w:rFonts w:hint="eastAsia" w:ascii="Times New Roman" w:hAnsi="Times New Roman" w:eastAsia="宋体" w:cs="Times New Roman"/>
                <w:color w:val="auto"/>
                <w:sz w:val="24"/>
                <w:lang w:val="en-US" w:eastAsia="zh-CN"/>
              </w:rPr>
              <w:t>96.62</w:t>
            </w:r>
            <w:r>
              <w:rPr>
                <w:rFonts w:hint="default" w:ascii="Times New Roman" w:hAnsi="Times New Roman" w:eastAsia="宋体" w:cs="Times New Roman"/>
                <w:color w:val="auto"/>
                <w:sz w:val="24"/>
                <w:lang w:val="en-US" w:eastAsia="zh-CN"/>
              </w:rPr>
              <w:t>m</w:t>
            </w:r>
            <w:r>
              <w:rPr>
                <w:rFonts w:hint="default" w:ascii="Times New Roman" w:hAnsi="Times New Roman" w:eastAsia="宋体" w:cs="Times New Roman"/>
                <w:color w:val="auto"/>
                <w:sz w:val="24"/>
                <w:vertAlign w:val="superscript"/>
                <w:lang w:val="en-US" w:eastAsia="zh-CN"/>
              </w:rPr>
              <w:t>2</w:t>
            </w:r>
            <w:r>
              <w:rPr>
                <w:rFonts w:hint="default" w:ascii="Times New Roman" w:hAnsi="Times New Roman" w:eastAsia="宋体" w:cs="Times New Roman"/>
                <w:color w:val="auto"/>
                <w:sz w:val="24"/>
                <w:lang w:val="en-US" w:eastAsia="zh-CN"/>
              </w:rPr>
              <w:t>，则</w:t>
            </w:r>
            <w:r>
              <w:rPr>
                <w:rFonts w:hint="default" w:ascii="Times New Roman" w:hAnsi="Times New Roman" w:eastAsia="宋体" w:cs="Times New Roman"/>
                <w:color w:val="auto"/>
                <w:sz w:val="24"/>
              </w:rPr>
              <w:t>折算重量</w:t>
            </w:r>
            <w:r>
              <w:rPr>
                <w:rFonts w:hint="eastAsia" w:ascii="Times New Roman" w:hAnsi="Times New Roman" w:eastAsia="宋体" w:cs="Times New Roman"/>
                <w:color w:val="auto"/>
                <w:sz w:val="24"/>
                <w:lang w:val="en-US" w:eastAsia="zh-CN"/>
              </w:rPr>
              <w:t>15.76</w:t>
            </w:r>
            <w:r>
              <w:rPr>
                <w:rFonts w:hint="default" w:ascii="Times New Roman" w:hAnsi="Times New Roman" w:eastAsia="宋体" w:cs="Times New Roman"/>
                <w:color w:val="auto"/>
                <w:sz w:val="24"/>
              </w:rPr>
              <w:t>t/a），则真空热合废气中非甲烷总烃产生量为0.00</w:t>
            </w:r>
            <w:r>
              <w:rPr>
                <w:rFonts w:hint="eastAsia" w:ascii="Times New Roman" w:hAnsi="Times New Roman" w:eastAsia="宋体" w:cs="Times New Roman"/>
                <w:color w:val="auto"/>
                <w:sz w:val="24"/>
                <w:lang w:val="en-US" w:eastAsia="zh-CN"/>
              </w:rPr>
              <w:t>3</w:t>
            </w:r>
            <w:r>
              <w:rPr>
                <w:rFonts w:hint="default" w:ascii="Times New Roman" w:hAnsi="Times New Roman" w:eastAsia="宋体" w:cs="Times New Roman"/>
                <w:color w:val="auto"/>
                <w:sz w:val="24"/>
              </w:rPr>
              <w:t>t/a。（年工作时间4800h）</w:t>
            </w:r>
          </w:p>
          <w:p w14:paraId="57D70000">
            <w:pPr>
              <w:keepNext w:val="0"/>
              <w:keepLines w:val="0"/>
              <w:suppressLineNumbers w:val="0"/>
              <w:spacing w:before="0" w:beforeAutospacing="0" w:after="0" w:afterAutospacing="0" w:line="360" w:lineRule="auto"/>
              <w:ind w:left="0" w:right="0" w:firstLine="482" w:firstLineChars="200"/>
              <w:rPr>
                <w:rFonts w:hint="default" w:ascii="Times New Roman" w:hAnsi="Times New Roman" w:eastAsia="宋体" w:cs="Times New Roman"/>
                <w:b/>
                <w:bCs/>
                <w:color w:val="0000E1"/>
                <w:sz w:val="24"/>
              </w:rPr>
            </w:pPr>
            <w:r>
              <w:rPr>
                <w:rFonts w:hint="default" w:ascii="Times New Roman" w:hAnsi="Times New Roman" w:eastAsia="宋体" w:cs="Times New Roman"/>
                <w:b/>
                <w:bCs/>
                <w:color w:val="0000E1"/>
                <w:sz w:val="24"/>
              </w:rPr>
              <w:t>治理措施：</w:t>
            </w:r>
          </w:p>
          <w:p w14:paraId="5D6A073E">
            <w:pPr>
              <w:keepNext w:val="0"/>
              <w:keepLines w:val="0"/>
              <w:suppressLineNumbers w:val="0"/>
              <w:spacing w:before="0" w:beforeAutospacing="0" w:after="0" w:afterAutospacing="0" w:line="360" w:lineRule="auto"/>
              <w:ind w:left="0" w:right="0" w:firstLine="480" w:firstLineChars="200"/>
              <w:rPr>
                <w:rFonts w:hint="default" w:ascii="Times New Roman" w:hAnsi="Times New Roman" w:eastAsia="宋体" w:cs="Times New Roman"/>
                <w:color w:val="auto"/>
                <w:sz w:val="24"/>
              </w:rPr>
            </w:pPr>
            <w:r>
              <w:rPr>
                <w:rFonts w:hint="default" w:ascii="Times New Roman" w:hAnsi="Times New Roman" w:eastAsia="宋体" w:cs="Times New Roman"/>
                <w:color w:val="auto"/>
                <w:sz w:val="24"/>
              </w:rPr>
              <w:t>根据《挥发性有机物无组织排放控制标准》（GB37822-2019）中的10.3.2条：</w:t>
            </w:r>
            <w:r>
              <w:rPr>
                <w:rFonts w:hint="eastAsia" w:ascii="Times New Roman" w:hAnsi="Times New Roman" w:eastAsia="宋体" w:cs="Times New Roman"/>
                <w:color w:val="auto"/>
                <w:sz w:val="24"/>
                <w:lang w:eastAsia="zh-CN"/>
              </w:rPr>
              <w:t>“</w:t>
            </w:r>
            <w:r>
              <w:rPr>
                <w:rFonts w:hint="default" w:ascii="Times New Roman" w:hAnsi="Times New Roman" w:eastAsia="宋体" w:cs="Times New Roman"/>
                <w:color w:val="auto"/>
                <w:sz w:val="24"/>
              </w:rPr>
              <w:t>收集的废气中NMHC初始排放速率≥3kg/h时，应配置VOCs处理设施，处理效率不应低于80%；对于重点地区，收集的废气中NMHC初始排放速率≥2kg/h时，应配置VOCs处理设施，处理效率不应低于80%</w:t>
            </w:r>
            <w:r>
              <w:rPr>
                <w:rFonts w:hint="eastAsia" w:ascii="Times New Roman" w:hAnsi="Times New Roman" w:eastAsia="宋体" w:cs="Times New Roman"/>
                <w:color w:val="auto"/>
                <w:sz w:val="24"/>
                <w:lang w:eastAsia="zh-CN"/>
              </w:rPr>
              <w:t>”</w:t>
            </w:r>
            <w:r>
              <w:rPr>
                <w:rFonts w:hint="default" w:ascii="Times New Roman" w:hAnsi="Times New Roman" w:eastAsia="宋体" w:cs="Times New Roman"/>
                <w:color w:val="auto"/>
                <w:sz w:val="24"/>
              </w:rPr>
              <w:t>。由上述分析可知，真空热合过程的非甲烷总烃的产生速率为</w:t>
            </w:r>
            <w:r>
              <w:rPr>
                <w:rFonts w:hint="default" w:ascii="Times New Roman" w:hAnsi="Times New Roman" w:eastAsia="宋体" w:cs="Times New Roman"/>
                <w:color w:val="0000E1"/>
                <w:sz w:val="24"/>
              </w:rPr>
              <w:t>0.000</w:t>
            </w:r>
            <w:r>
              <w:rPr>
                <w:rFonts w:hint="eastAsia" w:ascii="Times New Roman" w:hAnsi="Times New Roman" w:eastAsia="宋体" w:cs="Times New Roman"/>
                <w:color w:val="0000E1"/>
                <w:sz w:val="24"/>
                <w:lang w:val="en-US" w:eastAsia="zh-CN"/>
              </w:rPr>
              <w:t>6</w:t>
            </w:r>
            <w:r>
              <w:rPr>
                <w:rFonts w:hint="default" w:ascii="Times New Roman" w:hAnsi="Times New Roman" w:eastAsia="宋体" w:cs="Times New Roman"/>
                <w:color w:val="0000E1"/>
                <w:sz w:val="24"/>
              </w:rPr>
              <w:t>kg/h，</w:t>
            </w:r>
            <w:r>
              <w:rPr>
                <w:rFonts w:hint="default" w:ascii="Times New Roman" w:hAnsi="Times New Roman" w:eastAsia="宋体" w:cs="Times New Roman"/>
                <w:color w:val="auto"/>
                <w:sz w:val="24"/>
              </w:rPr>
              <w:t>远小于2kg/h，</w:t>
            </w:r>
            <w:bookmarkStart w:id="30" w:name="OLE_LINK108"/>
            <w:r>
              <w:rPr>
                <w:rFonts w:hint="default" w:ascii="Times New Roman" w:hAnsi="Times New Roman" w:eastAsia="宋体" w:cs="Times New Roman"/>
                <w:color w:val="auto"/>
                <w:sz w:val="24"/>
              </w:rPr>
              <w:t>可不配置VOCs处理设施。</w:t>
            </w:r>
          </w:p>
          <w:bookmarkEnd w:id="30"/>
          <w:p w14:paraId="47A4BEDF">
            <w:pPr>
              <w:keepNext w:val="0"/>
              <w:keepLines w:val="0"/>
              <w:suppressLineNumbers w:val="0"/>
              <w:spacing w:before="0" w:beforeAutospacing="0" w:after="0" w:afterAutospacing="0" w:line="360" w:lineRule="auto"/>
              <w:ind w:left="0" w:right="0" w:firstLine="480" w:firstLineChars="200"/>
              <w:rPr>
                <w:rFonts w:hint="default" w:ascii="Times New Roman" w:hAnsi="Times New Roman" w:eastAsia="宋体" w:cs="Times New Roman"/>
                <w:color w:val="auto"/>
                <w:sz w:val="24"/>
              </w:rPr>
            </w:pPr>
            <w:r>
              <w:rPr>
                <w:rFonts w:hint="default" w:ascii="Times New Roman" w:hAnsi="Times New Roman" w:eastAsia="宋体" w:cs="Times New Roman"/>
                <w:color w:val="auto"/>
                <w:sz w:val="24"/>
              </w:rPr>
              <w:t>综上，真空热合废气中非甲烷总烃的产生量和产生速率均较小，故真空热合过程产生的废气对环境影响较小，以无组织形式排放。</w:t>
            </w:r>
          </w:p>
          <w:p w14:paraId="163B59B0">
            <w:pPr>
              <w:keepNext w:val="0"/>
              <w:keepLines w:val="0"/>
              <w:suppressLineNumbers w:val="0"/>
              <w:spacing w:before="0" w:beforeAutospacing="0" w:after="0" w:afterAutospacing="0" w:line="360" w:lineRule="auto"/>
              <w:ind w:left="0" w:right="0" w:firstLine="482" w:firstLineChars="200"/>
              <w:rPr>
                <w:rFonts w:hint="default" w:ascii="Times New Roman" w:hAnsi="Times New Roman" w:eastAsia="宋体" w:cs="Times New Roman"/>
                <w:b/>
                <w:bCs/>
                <w:color w:val="auto"/>
                <w:sz w:val="24"/>
              </w:rPr>
            </w:pPr>
            <w:r>
              <w:rPr>
                <w:rFonts w:hint="eastAsia" w:ascii="Times New Roman" w:hAnsi="Times New Roman" w:eastAsia="宋体" w:cs="Times New Roman"/>
                <w:b/>
                <w:bCs/>
                <w:color w:val="auto"/>
                <w:sz w:val="24"/>
              </w:rPr>
              <w:t>（</w:t>
            </w:r>
            <w:r>
              <w:rPr>
                <w:rFonts w:hint="eastAsia" w:ascii="Times New Roman" w:hAnsi="Times New Roman" w:eastAsia="宋体" w:cs="Times New Roman"/>
                <w:b/>
                <w:bCs/>
                <w:color w:val="auto"/>
                <w:sz w:val="24"/>
                <w:lang w:val="en-US" w:eastAsia="zh-CN"/>
              </w:rPr>
              <w:t>9</w:t>
            </w:r>
            <w:r>
              <w:rPr>
                <w:rFonts w:hint="eastAsia" w:ascii="Times New Roman" w:hAnsi="Times New Roman" w:eastAsia="宋体" w:cs="Times New Roman"/>
                <w:b/>
                <w:bCs/>
                <w:color w:val="auto"/>
                <w:sz w:val="24"/>
              </w:rPr>
              <w:t>）</w:t>
            </w:r>
            <w:r>
              <w:rPr>
                <w:rFonts w:hint="eastAsia" w:ascii="宋体" w:hAnsi="宋体" w:eastAsia="宋体" w:cs="宋体"/>
                <w:b/>
                <w:bCs/>
                <w:color w:val="auto"/>
                <w:sz w:val="24"/>
                <w:lang w:bidi="ar"/>
              </w:rPr>
              <w:t>臭气浓度</w:t>
            </w:r>
          </w:p>
          <w:p w14:paraId="7DEC8542">
            <w:pPr>
              <w:keepNext w:val="0"/>
              <w:keepLines w:val="0"/>
              <w:suppressLineNumbers w:val="0"/>
              <w:spacing w:before="0" w:beforeAutospacing="0" w:after="0" w:afterAutospacing="0" w:line="360" w:lineRule="auto"/>
              <w:ind w:left="0" w:right="0" w:firstLine="480" w:firstLineChars="200"/>
              <w:rPr>
                <w:rFonts w:hint="default" w:ascii="Times New Roman" w:hAnsi="Times New Roman" w:eastAsia="宋体" w:cs="Times New Roman"/>
                <w:color w:val="auto"/>
                <w:sz w:val="24"/>
              </w:rPr>
            </w:pPr>
            <w:r>
              <w:rPr>
                <w:rFonts w:hint="eastAsia" w:ascii="宋体" w:hAnsi="宋体" w:eastAsia="宋体" w:cs="宋体"/>
                <w:color w:val="auto"/>
                <w:sz w:val="24"/>
                <w:lang w:bidi="ar"/>
              </w:rPr>
              <w:t>本项目</w:t>
            </w:r>
            <w:r>
              <w:rPr>
                <w:rFonts w:hint="eastAsia" w:ascii="Times New Roman" w:hAnsi="Times New Roman" w:eastAsia="宋体" w:cs="Times New Roman"/>
                <w:color w:val="auto"/>
                <w:sz w:val="24"/>
                <w:lang w:bidi="ar"/>
              </w:rPr>
              <w:t>固化废气</w:t>
            </w:r>
            <w:r>
              <w:rPr>
                <w:rFonts w:hint="eastAsia" w:ascii="Times New Roman" w:hAnsi="Times New Roman" w:eastAsia="宋体" w:cs="Times New Roman"/>
                <w:color w:val="auto"/>
                <w:sz w:val="24"/>
                <w:lang w:eastAsia="zh-CN" w:bidi="ar"/>
              </w:rPr>
              <w:t>、</w:t>
            </w:r>
            <w:r>
              <w:rPr>
                <w:rFonts w:hint="eastAsia" w:ascii="Times New Roman" w:hAnsi="Times New Roman" w:eastAsia="宋体" w:cs="Times New Roman"/>
                <w:color w:val="auto"/>
                <w:sz w:val="24"/>
                <w:lang w:val="en-US" w:eastAsia="zh-CN" w:bidi="ar"/>
              </w:rPr>
              <w:t>背胶废气、贴合废气、真空热合废气、辅料成型废气</w:t>
            </w:r>
            <w:r>
              <w:rPr>
                <w:rFonts w:hint="eastAsia" w:ascii="宋体" w:hAnsi="宋体" w:eastAsia="宋体" w:cs="宋体"/>
                <w:color w:val="auto"/>
                <w:sz w:val="24"/>
                <w:lang w:bidi="ar"/>
              </w:rPr>
              <w:t>污染因子中含有臭气浓度。</w:t>
            </w:r>
          </w:p>
          <w:p w14:paraId="75C12A63">
            <w:pPr>
              <w:keepNext w:val="0"/>
              <w:keepLines w:val="0"/>
              <w:suppressLineNumbers w:val="0"/>
              <w:spacing w:before="0" w:beforeAutospacing="0" w:after="0" w:afterAutospacing="0" w:line="360" w:lineRule="auto"/>
              <w:ind w:left="0" w:right="0" w:firstLine="480" w:firstLineChars="200"/>
              <w:rPr>
                <w:rFonts w:hint="default" w:ascii="Times New Roman" w:hAnsi="Times New Roman" w:eastAsia="宋体" w:cs="Times New Roman"/>
                <w:color w:val="auto"/>
                <w:sz w:val="24"/>
              </w:rPr>
            </w:pPr>
            <w:r>
              <w:rPr>
                <w:rFonts w:hint="eastAsia" w:ascii="宋体" w:hAnsi="宋体" w:eastAsia="宋体" w:cs="宋体"/>
                <w:color w:val="auto"/>
                <w:sz w:val="24"/>
                <w:lang w:bidi="ar"/>
              </w:rPr>
              <w:t>恶臭为人们对恶臭物质所感知的一种污染指标，其主要物质种类达上万种之多。由于各种物质之间的相互作用（相加、协同、抵消及掩饰作用等），加之人类的嗅觉功能和恶臭物质取样分析等因素，迄今还难以对大多数恶臭物质做出浓度标准。</w:t>
            </w:r>
          </w:p>
          <w:p w14:paraId="0E840A15">
            <w:pPr>
              <w:keepNext w:val="0"/>
              <w:keepLines w:val="0"/>
              <w:suppressLineNumbers w:val="0"/>
              <w:spacing w:before="0" w:beforeAutospacing="0" w:after="0" w:afterAutospacing="0" w:line="360" w:lineRule="auto"/>
              <w:ind w:left="0" w:right="0" w:firstLine="480" w:firstLineChars="200"/>
              <w:rPr>
                <w:rFonts w:hint="default" w:ascii="Times New Roman" w:hAnsi="Times New Roman" w:eastAsia="宋体" w:cs="Times New Roman"/>
                <w:color w:val="auto"/>
                <w:sz w:val="24"/>
              </w:rPr>
            </w:pPr>
            <w:r>
              <w:rPr>
                <w:rFonts w:hint="eastAsia" w:ascii="宋体" w:hAnsi="宋体" w:eastAsia="宋体" w:cs="宋体"/>
                <w:color w:val="auto"/>
                <w:sz w:val="24"/>
                <w:lang w:bidi="ar"/>
              </w:rPr>
              <w:t>北京环境监测中心在吸取国外经验的基础上提出了恶臭</w:t>
            </w:r>
            <w:r>
              <w:rPr>
                <w:rFonts w:hint="default" w:ascii="Times New Roman" w:hAnsi="Times New Roman" w:eastAsia="宋体" w:cs="Times New Roman"/>
                <w:color w:val="auto"/>
                <w:sz w:val="24"/>
                <w:lang w:bidi="ar"/>
              </w:rPr>
              <w:t>6</w:t>
            </w:r>
            <w:r>
              <w:rPr>
                <w:rFonts w:hint="eastAsia" w:ascii="宋体" w:hAnsi="宋体" w:eastAsia="宋体" w:cs="宋体"/>
                <w:color w:val="auto"/>
                <w:sz w:val="24"/>
                <w:lang w:bidi="ar"/>
              </w:rPr>
              <w:t>级分级法，该分级法以感受器</w:t>
            </w:r>
            <w:r>
              <w:rPr>
                <w:rFonts w:hint="default" w:ascii="Times New Roman" w:hAnsi="Times New Roman" w:eastAsia="宋体" w:cs="Times New Roman"/>
                <w:color w:val="auto"/>
                <w:sz w:val="24"/>
                <w:lang w:bidi="ar"/>
              </w:rPr>
              <w:t>—</w:t>
            </w:r>
            <w:r>
              <w:rPr>
                <w:rFonts w:hint="eastAsia" w:ascii="宋体" w:hAnsi="宋体" w:eastAsia="宋体" w:cs="宋体"/>
                <w:color w:val="auto"/>
                <w:sz w:val="24"/>
                <w:lang w:bidi="ar"/>
              </w:rPr>
              <w:t>嗅觉的感觉和人的主观感觉特征两个方面来描述各级特征，既明确了各级的差别，也提高了分级的准确程度。</w:t>
            </w:r>
          </w:p>
          <w:p w14:paraId="7A8393AE">
            <w:pPr>
              <w:keepNext w:val="0"/>
              <w:keepLines w:val="0"/>
              <w:suppressLineNumbers w:val="0"/>
              <w:spacing w:before="0" w:beforeAutospacing="0" w:after="0" w:afterAutospacing="0"/>
              <w:ind w:left="0" w:right="0"/>
              <w:jc w:val="center"/>
              <w:rPr>
                <w:rFonts w:hint="default" w:ascii="Times New Roman" w:hAnsi="Times New Roman" w:eastAsia="宋体" w:cs="Times New Roman"/>
                <w:b/>
                <w:bCs/>
                <w:color w:val="auto"/>
                <w:szCs w:val="21"/>
              </w:rPr>
            </w:pPr>
            <w:r>
              <w:rPr>
                <w:rFonts w:hint="eastAsia" w:ascii="宋体" w:hAnsi="宋体" w:eastAsia="宋体" w:cs="宋体"/>
                <w:b/>
                <w:bCs/>
                <w:color w:val="auto"/>
                <w:szCs w:val="21"/>
                <w:lang w:bidi="ar"/>
              </w:rPr>
              <w:t>表</w:t>
            </w:r>
            <w:r>
              <w:rPr>
                <w:rFonts w:hint="default" w:ascii="Times New Roman" w:hAnsi="Times New Roman" w:eastAsia="宋体" w:cs="Times New Roman"/>
                <w:b/>
                <w:bCs/>
                <w:color w:val="auto"/>
                <w:szCs w:val="21"/>
                <w:lang w:bidi="ar"/>
              </w:rPr>
              <w:t>4-</w:t>
            </w:r>
            <w:r>
              <w:rPr>
                <w:rFonts w:hint="eastAsia" w:ascii="Times New Roman" w:hAnsi="Times New Roman" w:eastAsia="宋体" w:cs="Times New Roman"/>
                <w:b/>
                <w:bCs/>
                <w:color w:val="auto"/>
                <w:szCs w:val="21"/>
                <w:lang w:val="en-US" w:eastAsia="zh-CN" w:bidi="ar"/>
              </w:rPr>
              <w:t>4</w:t>
            </w:r>
            <w:r>
              <w:rPr>
                <w:rFonts w:hint="default" w:ascii="Times New Roman" w:hAnsi="Times New Roman" w:eastAsia="宋体" w:cs="Times New Roman"/>
                <w:b/>
                <w:bCs/>
                <w:color w:val="auto"/>
                <w:szCs w:val="21"/>
                <w:lang w:bidi="ar"/>
              </w:rPr>
              <w:t xml:space="preserve">  </w:t>
            </w:r>
            <w:r>
              <w:rPr>
                <w:rFonts w:hint="eastAsia" w:ascii="宋体" w:hAnsi="宋体" w:eastAsia="宋体" w:cs="宋体"/>
                <w:b/>
                <w:bCs/>
                <w:color w:val="auto"/>
                <w:szCs w:val="21"/>
                <w:lang w:bidi="ar"/>
              </w:rPr>
              <w:t>恶臭</w:t>
            </w:r>
            <w:r>
              <w:rPr>
                <w:rFonts w:hint="default" w:ascii="Times New Roman" w:hAnsi="Times New Roman" w:eastAsia="宋体" w:cs="Times New Roman"/>
                <w:b/>
                <w:bCs/>
                <w:color w:val="auto"/>
                <w:szCs w:val="21"/>
                <w:lang w:bidi="ar"/>
              </w:rPr>
              <w:t>6</w:t>
            </w:r>
            <w:r>
              <w:rPr>
                <w:rFonts w:hint="eastAsia" w:ascii="宋体" w:hAnsi="宋体" w:eastAsia="宋体" w:cs="宋体"/>
                <w:b/>
                <w:bCs/>
                <w:color w:val="auto"/>
                <w:szCs w:val="21"/>
                <w:lang w:bidi="ar"/>
              </w:rPr>
              <w:t>级分级法</w:t>
            </w:r>
          </w:p>
          <w:tbl>
            <w:tblPr>
              <w:tblStyle w:val="22"/>
              <w:tblW w:w="4998"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633"/>
              <w:gridCol w:w="3883"/>
              <w:gridCol w:w="2828"/>
            </w:tblGrid>
            <w:tr w14:paraId="5FB471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1586" w:type="dxa"/>
                  <w:tcBorders>
                    <w:top w:val="single" w:color="auto" w:sz="4" w:space="0"/>
                    <w:left w:val="single" w:color="auto" w:sz="4" w:space="0"/>
                    <w:bottom w:val="single" w:color="auto" w:sz="4" w:space="0"/>
                    <w:right w:val="single" w:color="auto" w:sz="4" w:space="0"/>
                  </w:tcBorders>
                  <w:vAlign w:val="center"/>
                </w:tcPr>
                <w:p w14:paraId="24C56210">
                  <w:pPr>
                    <w:keepNext w:val="0"/>
                    <w:keepLines w:val="0"/>
                    <w:suppressLineNumbers w:val="0"/>
                    <w:spacing w:before="0" w:beforeAutospacing="0" w:after="0" w:afterAutospacing="0"/>
                    <w:ind w:left="0" w:right="0"/>
                    <w:jc w:val="center"/>
                    <w:rPr>
                      <w:rFonts w:hint="default" w:ascii="Times New Roman" w:hAnsi="Times New Roman" w:eastAsia="宋体" w:cs="Times New Roman"/>
                      <w:b/>
                      <w:bCs/>
                      <w:color w:val="auto"/>
                      <w:szCs w:val="21"/>
                    </w:rPr>
                  </w:pPr>
                  <w:r>
                    <w:rPr>
                      <w:rFonts w:hint="eastAsia" w:ascii="宋体" w:hAnsi="宋体" w:eastAsia="宋体" w:cs="宋体"/>
                      <w:b/>
                      <w:bCs/>
                      <w:color w:val="auto"/>
                      <w:szCs w:val="21"/>
                      <w:lang w:bidi="ar"/>
                    </w:rPr>
                    <w:t>臭气强度（级）</w:t>
                  </w:r>
                </w:p>
              </w:tc>
              <w:tc>
                <w:tcPr>
                  <w:tcW w:w="3771" w:type="dxa"/>
                  <w:tcBorders>
                    <w:top w:val="single" w:color="auto" w:sz="4" w:space="0"/>
                    <w:left w:val="nil"/>
                    <w:bottom w:val="single" w:color="auto" w:sz="4" w:space="0"/>
                    <w:right w:val="single" w:color="auto" w:sz="4" w:space="0"/>
                  </w:tcBorders>
                  <w:vAlign w:val="center"/>
                </w:tcPr>
                <w:p w14:paraId="434FD05C">
                  <w:pPr>
                    <w:keepNext w:val="0"/>
                    <w:keepLines w:val="0"/>
                    <w:suppressLineNumbers w:val="0"/>
                    <w:spacing w:before="0" w:beforeAutospacing="0" w:after="0" w:afterAutospacing="0"/>
                    <w:ind w:left="0" w:right="0"/>
                    <w:jc w:val="center"/>
                    <w:rPr>
                      <w:rFonts w:hint="default" w:ascii="Times New Roman" w:hAnsi="Times New Roman" w:eastAsia="宋体" w:cs="Times New Roman"/>
                      <w:b/>
                      <w:bCs/>
                      <w:color w:val="auto"/>
                      <w:szCs w:val="21"/>
                    </w:rPr>
                  </w:pPr>
                  <w:r>
                    <w:rPr>
                      <w:rFonts w:hint="eastAsia" w:ascii="宋体" w:hAnsi="宋体" w:eastAsia="宋体" w:cs="宋体"/>
                      <w:b/>
                      <w:bCs/>
                      <w:color w:val="auto"/>
                      <w:szCs w:val="21"/>
                      <w:lang w:bidi="ar"/>
                    </w:rPr>
                    <w:t>感觉强度描述</w:t>
                  </w:r>
                </w:p>
              </w:tc>
              <w:tc>
                <w:tcPr>
                  <w:tcW w:w="2747" w:type="dxa"/>
                  <w:tcBorders>
                    <w:top w:val="single" w:color="auto" w:sz="4" w:space="0"/>
                    <w:left w:val="nil"/>
                    <w:bottom w:val="single" w:color="auto" w:sz="4" w:space="0"/>
                    <w:right w:val="single" w:color="auto" w:sz="4" w:space="0"/>
                  </w:tcBorders>
                  <w:vAlign w:val="center"/>
                </w:tcPr>
                <w:p w14:paraId="67F93D60">
                  <w:pPr>
                    <w:keepNext w:val="0"/>
                    <w:keepLines w:val="0"/>
                    <w:suppressLineNumbers w:val="0"/>
                    <w:spacing w:before="0" w:beforeAutospacing="0" w:after="0" w:afterAutospacing="0"/>
                    <w:ind w:left="0" w:right="0"/>
                    <w:jc w:val="center"/>
                    <w:rPr>
                      <w:rFonts w:hint="default" w:ascii="Times New Roman" w:hAnsi="Times New Roman" w:eastAsia="宋体" w:cs="Times New Roman"/>
                      <w:b/>
                      <w:bCs/>
                      <w:color w:val="auto"/>
                      <w:szCs w:val="21"/>
                    </w:rPr>
                  </w:pPr>
                  <w:r>
                    <w:rPr>
                      <w:rFonts w:hint="eastAsia" w:ascii="宋体" w:hAnsi="宋体" w:eastAsia="宋体" w:cs="宋体"/>
                      <w:b/>
                      <w:bCs/>
                      <w:color w:val="auto"/>
                      <w:szCs w:val="21"/>
                      <w:lang w:bidi="ar"/>
                    </w:rPr>
                    <w:t>说明</w:t>
                  </w:r>
                </w:p>
              </w:tc>
            </w:tr>
            <w:tr w14:paraId="292CE6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1586" w:type="dxa"/>
                  <w:tcBorders>
                    <w:top w:val="single" w:color="auto" w:sz="4" w:space="0"/>
                    <w:left w:val="single" w:color="auto" w:sz="4" w:space="0"/>
                    <w:bottom w:val="single" w:color="auto" w:sz="4" w:space="0"/>
                    <w:right w:val="single" w:color="auto" w:sz="4" w:space="0"/>
                  </w:tcBorders>
                  <w:vAlign w:val="center"/>
                </w:tcPr>
                <w:p w14:paraId="28751AB8">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lang w:bidi="ar"/>
                    </w:rPr>
                    <w:t>0</w:t>
                  </w:r>
                </w:p>
              </w:tc>
              <w:tc>
                <w:tcPr>
                  <w:tcW w:w="3771" w:type="dxa"/>
                  <w:tcBorders>
                    <w:top w:val="single" w:color="auto" w:sz="4" w:space="0"/>
                    <w:left w:val="nil"/>
                    <w:bottom w:val="single" w:color="auto" w:sz="4" w:space="0"/>
                    <w:right w:val="single" w:color="auto" w:sz="4" w:space="0"/>
                  </w:tcBorders>
                  <w:vAlign w:val="center"/>
                </w:tcPr>
                <w:p w14:paraId="2F8EDF49">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r>
                    <w:rPr>
                      <w:rFonts w:hint="eastAsia" w:ascii="宋体" w:hAnsi="宋体" w:eastAsia="宋体" w:cs="宋体"/>
                      <w:color w:val="auto"/>
                      <w:szCs w:val="21"/>
                      <w:lang w:bidi="ar"/>
                    </w:rPr>
                    <w:t>无气味</w:t>
                  </w:r>
                </w:p>
              </w:tc>
              <w:tc>
                <w:tcPr>
                  <w:tcW w:w="2747" w:type="dxa"/>
                  <w:tcBorders>
                    <w:top w:val="single" w:color="auto" w:sz="4" w:space="0"/>
                    <w:left w:val="nil"/>
                    <w:bottom w:val="single" w:color="auto" w:sz="4" w:space="0"/>
                    <w:right w:val="single" w:color="auto" w:sz="4" w:space="0"/>
                  </w:tcBorders>
                  <w:vAlign w:val="center"/>
                </w:tcPr>
                <w:p w14:paraId="1718B037">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lang w:bidi="ar"/>
                    </w:rPr>
                    <w:t>/</w:t>
                  </w:r>
                </w:p>
              </w:tc>
            </w:tr>
            <w:tr w14:paraId="6345F8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1586" w:type="dxa"/>
                  <w:tcBorders>
                    <w:top w:val="single" w:color="auto" w:sz="4" w:space="0"/>
                    <w:left w:val="single" w:color="auto" w:sz="4" w:space="0"/>
                    <w:bottom w:val="single" w:color="auto" w:sz="4" w:space="0"/>
                    <w:right w:val="single" w:color="auto" w:sz="4" w:space="0"/>
                  </w:tcBorders>
                  <w:vAlign w:val="center"/>
                </w:tcPr>
                <w:p w14:paraId="3A8FCEA4">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lang w:bidi="ar"/>
                    </w:rPr>
                    <w:t>1</w:t>
                  </w:r>
                </w:p>
              </w:tc>
              <w:tc>
                <w:tcPr>
                  <w:tcW w:w="3771" w:type="dxa"/>
                  <w:tcBorders>
                    <w:top w:val="single" w:color="auto" w:sz="4" w:space="0"/>
                    <w:left w:val="nil"/>
                    <w:bottom w:val="single" w:color="auto" w:sz="4" w:space="0"/>
                    <w:right w:val="single" w:color="auto" w:sz="4" w:space="0"/>
                  </w:tcBorders>
                  <w:vAlign w:val="center"/>
                </w:tcPr>
                <w:p w14:paraId="39F73F86">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r>
                    <w:rPr>
                      <w:rFonts w:hint="eastAsia" w:ascii="宋体" w:hAnsi="宋体" w:eastAsia="宋体" w:cs="宋体"/>
                      <w:color w:val="auto"/>
                      <w:szCs w:val="21"/>
                      <w:lang w:bidi="ar"/>
                    </w:rPr>
                    <w:t>勉强感觉到气味（感知阈值）</w:t>
                  </w:r>
                </w:p>
              </w:tc>
              <w:tc>
                <w:tcPr>
                  <w:tcW w:w="2747" w:type="dxa"/>
                  <w:vMerge w:val="restart"/>
                  <w:tcBorders>
                    <w:top w:val="nil"/>
                    <w:left w:val="nil"/>
                    <w:bottom w:val="single" w:color="auto" w:sz="4" w:space="0"/>
                    <w:right w:val="single" w:color="auto" w:sz="4" w:space="0"/>
                  </w:tcBorders>
                  <w:vAlign w:val="center"/>
                </w:tcPr>
                <w:p w14:paraId="5D4CB844">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r>
                    <w:rPr>
                      <w:rFonts w:hint="eastAsia" w:ascii="宋体" w:hAnsi="宋体" w:eastAsia="宋体" w:cs="宋体"/>
                      <w:color w:val="auto"/>
                      <w:szCs w:val="21"/>
                      <w:lang w:bidi="ar"/>
                    </w:rPr>
                    <w:t>感知阈值，这种情况下，对人是最理想和最满意的</w:t>
                  </w:r>
                </w:p>
              </w:tc>
            </w:tr>
            <w:tr w14:paraId="061F85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1586" w:type="dxa"/>
                  <w:tcBorders>
                    <w:top w:val="single" w:color="auto" w:sz="4" w:space="0"/>
                    <w:left w:val="single" w:color="auto" w:sz="4" w:space="0"/>
                    <w:bottom w:val="single" w:color="auto" w:sz="4" w:space="0"/>
                    <w:right w:val="single" w:color="auto" w:sz="4" w:space="0"/>
                  </w:tcBorders>
                  <w:vAlign w:val="center"/>
                </w:tcPr>
                <w:p w14:paraId="0E5DDA26">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lang w:bidi="ar"/>
                    </w:rPr>
                    <w:t>2</w:t>
                  </w:r>
                </w:p>
              </w:tc>
              <w:tc>
                <w:tcPr>
                  <w:tcW w:w="3771" w:type="dxa"/>
                  <w:tcBorders>
                    <w:top w:val="single" w:color="auto" w:sz="4" w:space="0"/>
                    <w:left w:val="nil"/>
                    <w:bottom w:val="single" w:color="auto" w:sz="4" w:space="0"/>
                    <w:right w:val="single" w:color="auto" w:sz="4" w:space="0"/>
                  </w:tcBorders>
                  <w:vAlign w:val="center"/>
                </w:tcPr>
                <w:p w14:paraId="4186A6DE">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r>
                    <w:rPr>
                      <w:rFonts w:hint="eastAsia" w:ascii="宋体" w:hAnsi="宋体" w:eastAsia="宋体" w:cs="宋体"/>
                      <w:color w:val="auto"/>
                      <w:szCs w:val="21"/>
                      <w:lang w:bidi="ar"/>
                    </w:rPr>
                    <w:t>感觉到微弱气味（能辨认出气味性质、认知阈值）</w:t>
                  </w:r>
                </w:p>
              </w:tc>
              <w:tc>
                <w:tcPr>
                  <w:tcW w:w="2747" w:type="dxa"/>
                  <w:vMerge w:val="continue"/>
                  <w:tcBorders>
                    <w:top w:val="nil"/>
                    <w:left w:val="nil"/>
                    <w:bottom w:val="single" w:color="auto" w:sz="4" w:space="0"/>
                    <w:right w:val="single" w:color="auto" w:sz="4" w:space="0"/>
                  </w:tcBorders>
                  <w:vAlign w:val="center"/>
                </w:tcPr>
                <w:p w14:paraId="65BC5BED">
                  <w:pPr>
                    <w:keepNext w:val="0"/>
                    <w:keepLines w:val="0"/>
                    <w:suppressLineNumbers w:val="0"/>
                    <w:spacing w:before="0" w:beforeAutospacing="0" w:after="0" w:afterAutospacing="0"/>
                    <w:ind w:left="0" w:right="0"/>
                    <w:rPr>
                      <w:rFonts w:hint="default" w:ascii="Times New Roman" w:hAnsi="Times New Roman" w:cs="Times New Roman"/>
                      <w:color w:val="auto"/>
                      <w:sz w:val="20"/>
                      <w:szCs w:val="20"/>
                    </w:rPr>
                  </w:pPr>
                </w:p>
              </w:tc>
            </w:tr>
            <w:tr w14:paraId="662685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1586" w:type="dxa"/>
                  <w:tcBorders>
                    <w:top w:val="single" w:color="auto" w:sz="4" w:space="0"/>
                    <w:left w:val="single" w:color="auto" w:sz="4" w:space="0"/>
                    <w:bottom w:val="single" w:color="auto" w:sz="4" w:space="0"/>
                    <w:right w:val="single" w:color="auto" w:sz="4" w:space="0"/>
                  </w:tcBorders>
                  <w:vAlign w:val="center"/>
                </w:tcPr>
                <w:p w14:paraId="02579A30">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lang w:bidi="ar"/>
                    </w:rPr>
                    <w:t>3</w:t>
                  </w:r>
                </w:p>
              </w:tc>
              <w:tc>
                <w:tcPr>
                  <w:tcW w:w="3771" w:type="dxa"/>
                  <w:tcBorders>
                    <w:top w:val="single" w:color="auto" w:sz="4" w:space="0"/>
                    <w:left w:val="nil"/>
                    <w:bottom w:val="single" w:color="auto" w:sz="4" w:space="0"/>
                    <w:right w:val="single" w:color="auto" w:sz="4" w:space="0"/>
                  </w:tcBorders>
                  <w:vAlign w:val="center"/>
                </w:tcPr>
                <w:p w14:paraId="75C2C53A">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r>
                    <w:rPr>
                      <w:rFonts w:hint="eastAsia" w:ascii="宋体" w:hAnsi="宋体" w:eastAsia="宋体" w:cs="宋体"/>
                      <w:color w:val="auto"/>
                      <w:szCs w:val="21"/>
                      <w:lang w:bidi="ar"/>
                    </w:rPr>
                    <w:t>感觉到明显气味</w:t>
                  </w:r>
                </w:p>
              </w:tc>
              <w:tc>
                <w:tcPr>
                  <w:tcW w:w="2747" w:type="dxa"/>
                  <w:tcBorders>
                    <w:top w:val="single" w:color="auto" w:sz="4" w:space="0"/>
                    <w:left w:val="nil"/>
                    <w:bottom w:val="single" w:color="auto" w:sz="4" w:space="0"/>
                    <w:right w:val="single" w:color="auto" w:sz="4" w:space="0"/>
                  </w:tcBorders>
                  <w:vAlign w:val="center"/>
                </w:tcPr>
                <w:p w14:paraId="4C153F34">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r>
                    <w:rPr>
                      <w:rFonts w:hint="eastAsia" w:ascii="宋体" w:hAnsi="宋体" w:eastAsia="宋体" w:cs="宋体"/>
                      <w:color w:val="auto"/>
                      <w:szCs w:val="21"/>
                      <w:lang w:bidi="ar"/>
                    </w:rPr>
                    <w:t>是人们可以接受的水准</w:t>
                  </w:r>
                </w:p>
              </w:tc>
            </w:tr>
            <w:tr w14:paraId="1C6EFE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1586" w:type="dxa"/>
                  <w:tcBorders>
                    <w:top w:val="single" w:color="auto" w:sz="4" w:space="0"/>
                    <w:left w:val="single" w:color="auto" w:sz="4" w:space="0"/>
                    <w:bottom w:val="single" w:color="auto" w:sz="4" w:space="0"/>
                    <w:right w:val="single" w:color="auto" w:sz="4" w:space="0"/>
                  </w:tcBorders>
                  <w:vAlign w:val="center"/>
                </w:tcPr>
                <w:p w14:paraId="6EDBA67C">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lang w:bidi="ar"/>
                    </w:rPr>
                    <w:t>4</w:t>
                  </w:r>
                </w:p>
              </w:tc>
              <w:tc>
                <w:tcPr>
                  <w:tcW w:w="3771" w:type="dxa"/>
                  <w:tcBorders>
                    <w:top w:val="single" w:color="auto" w:sz="4" w:space="0"/>
                    <w:left w:val="nil"/>
                    <w:bottom w:val="single" w:color="auto" w:sz="4" w:space="0"/>
                    <w:right w:val="single" w:color="auto" w:sz="4" w:space="0"/>
                  </w:tcBorders>
                  <w:vAlign w:val="center"/>
                </w:tcPr>
                <w:p w14:paraId="7B8EC4FA">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r>
                    <w:rPr>
                      <w:rFonts w:hint="eastAsia" w:ascii="宋体" w:hAnsi="宋体" w:eastAsia="宋体" w:cs="宋体"/>
                      <w:color w:val="auto"/>
                      <w:szCs w:val="21"/>
                      <w:lang w:bidi="ar"/>
                    </w:rPr>
                    <w:t>较强的气味</w:t>
                  </w:r>
                </w:p>
              </w:tc>
              <w:tc>
                <w:tcPr>
                  <w:tcW w:w="2747" w:type="dxa"/>
                  <w:vMerge w:val="restart"/>
                  <w:tcBorders>
                    <w:top w:val="nil"/>
                    <w:left w:val="nil"/>
                    <w:bottom w:val="single" w:color="auto" w:sz="4" w:space="0"/>
                    <w:right w:val="single" w:color="auto" w:sz="4" w:space="0"/>
                  </w:tcBorders>
                  <w:vAlign w:val="center"/>
                </w:tcPr>
                <w:p w14:paraId="2F27943F">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r>
                    <w:rPr>
                      <w:rFonts w:hint="eastAsia" w:ascii="宋体" w:hAnsi="宋体" w:eastAsia="宋体" w:cs="宋体"/>
                      <w:color w:val="auto"/>
                      <w:szCs w:val="21"/>
                      <w:lang w:bidi="ar"/>
                    </w:rPr>
                    <w:t>人们在这样的环境中生活是不可能忍受的</w:t>
                  </w:r>
                </w:p>
              </w:tc>
            </w:tr>
            <w:tr w14:paraId="77F315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1586" w:type="dxa"/>
                  <w:tcBorders>
                    <w:top w:val="single" w:color="auto" w:sz="4" w:space="0"/>
                    <w:left w:val="single" w:color="auto" w:sz="4" w:space="0"/>
                    <w:bottom w:val="single" w:color="auto" w:sz="4" w:space="0"/>
                    <w:right w:val="single" w:color="auto" w:sz="4" w:space="0"/>
                  </w:tcBorders>
                  <w:vAlign w:val="center"/>
                </w:tcPr>
                <w:p w14:paraId="691C63B1">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lang w:bidi="ar"/>
                    </w:rPr>
                    <w:t>5</w:t>
                  </w:r>
                </w:p>
              </w:tc>
              <w:tc>
                <w:tcPr>
                  <w:tcW w:w="3771" w:type="dxa"/>
                  <w:tcBorders>
                    <w:top w:val="single" w:color="auto" w:sz="4" w:space="0"/>
                    <w:left w:val="nil"/>
                    <w:bottom w:val="single" w:color="auto" w:sz="4" w:space="0"/>
                    <w:right w:val="single" w:color="auto" w:sz="4" w:space="0"/>
                  </w:tcBorders>
                  <w:vAlign w:val="center"/>
                </w:tcPr>
                <w:p w14:paraId="01296EF9">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r>
                    <w:rPr>
                      <w:rFonts w:hint="eastAsia" w:ascii="宋体" w:hAnsi="宋体" w:eastAsia="宋体" w:cs="宋体"/>
                      <w:color w:val="auto"/>
                      <w:szCs w:val="21"/>
                      <w:lang w:bidi="ar"/>
                    </w:rPr>
                    <w:t>强烈的气味</w:t>
                  </w:r>
                </w:p>
              </w:tc>
              <w:tc>
                <w:tcPr>
                  <w:tcW w:w="2747" w:type="dxa"/>
                  <w:vMerge w:val="continue"/>
                  <w:tcBorders>
                    <w:top w:val="nil"/>
                    <w:left w:val="nil"/>
                    <w:bottom w:val="single" w:color="auto" w:sz="4" w:space="0"/>
                    <w:right w:val="single" w:color="auto" w:sz="4" w:space="0"/>
                  </w:tcBorders>
                  <w:vAlign w:val="center"/>
                </w:tcPr>
                <w:p w14:paraId="2D92E8A0">
                  <w:pPr>
                    <w:keepNext w:val="0"/>
                    <w:keepLines w:val="0"/>
                    <w:suppressLineNumbers w:val="0"/>
                    <w:spacing w:before="0" w:beforeAutospacing="0" w:after="0" w:afterAutospacing="0"/>
                    <w:ind w:left="0" w:right="0"/>
                    <w:rPr>
                      <w:rFonts w:hint="default" w:ascii="Times New Roman" w:hAnsi="Times New Roman" w:cs="Times New Roman"/>
                      <w:color w:val="auto"/>
                      <w:sz w:val="20"/>
                      <w:szCs w:val="20"/>
                    </w:rPr>
                  </w:pPr>
                </w:p>
              </w:tc>
            </w:tr>
          </w:tbl>
          <w:p w14:paraId="2A1D9AB5">
            <w:pPr>
              <w:keepNext w:val="0"/>
              <w:keepLines w:val="0"/>
              <w:suppressLineNumbers w:val="0"/>
              <w:spacing w:before="0" w:beforeAutospacing="0" w:after="0" w:afterAutospacing="0" w:line="360" w:lineRule="auto"/>
              <w:ind w:left="0" w:right="0" w:firstLine="480" w:firstLineChars="200"/>
              <w:rPr>
                <w:rFonts w:hint="eastAsia" w:ascii="宋体" w:hAnsi="宋体" w:eastAsia="宋体" w:cs="宋体"/>
                <w:color w:val="auto"/>
                <w:sz w:val="24"/>
                <w:lang w:bidi="ar"/>
              </w:rPr>
            </w:pPr>
            <w:r>
              <w:rPr>
                <w:rFonts w:hint="eastAsia" w:ascii="宋体" w:hAnsi="宋体" w:eastAsia="宋体" w:cs="宋体"/>
                <w:color w:val="auto"/>
                <w:sz w:val="24"/>
                <w:lang w:bidi="ar"/>
              </w:rPr>
              <w:t>根据类比调查，本项目车间内的恶臭等级一般在</w:t>
            </w:r>
            <w:r>
              <w:rPr>
                <w:rFonts w:hint="default" w:ascii="Times New Roman" w:hAnsi="Times New Roman" w:eastAsia="宋体" w:cs="Times New Roman"/>
                <w:color w:val="auto"/>
                <w:sz w:val="24"/>
                <w:lang w:bidi="ar"/>
              </w:rPr>
              <w:t>2</w:t>
            </w:r>
            <w:r>
              <w:rPr>
                <w:rFonts w:hint="eastAsia" w:ascii="宋体" w:hAnsi="宋体" w:eastAsia="宋体" w:cs="宋体"/>
                <w:color w:val="auto"/>
                <w:sz w:val="24"/>
                <w:lang w:bidi="ar"/>
              </w:rPr>
              <w:t>级左右，车间外</w:t>
            </w:r>
            <w:r>
              <w:rPr>
                <w:rFonts w:hint="default" w:ascii="Times New Roman" w:hAnsi="Times New Roman" w:eastAsia="宋体" w:cs="Times New Roman"/>
                <w:color w:val="auto"/>
                <w:sz w:val="24"/>
                <w:lang w:bidi="ar"/>
              </w:rPr>
              <w:t>15</w:t>
            </w:r>
            <w:r>
              <w:rPr>
                <w:rFonts w:hint="eastAsia" w:ascii="宋体" w:hAnsi="宋体" w:eastAsia="宋体" w:cs="宋体"/>
                <w:color w:val="auto"/>
                <w:sz w:val="24"/>
                <w:lang w:bidi="ar"/>
              </w:rPr>
              <w:t>米范围外恶臭等级为</w:t>
            </w:r>
            <w:r>
              <w:rPr>
                <w:rFonts w:hint="default" w:ascii="Times New Roman" w:hAnsi="Times New Roman" w:eastAsia="宋体" w:cs="Times New Roman"/>
                <w:color w:val="auto"/>
                <w:sz w:val="24"/>
                <w:lang w:bidi="ar"/>
              </w:rPr>
              <w:t>0</w:t>
            </w:r>
            <w:r>
              <w:rPr>
                <w:rFonts w:hint="eastAsia" w:ascii="宋体" w:hAnsi="宋体" w:eastAsia="宋体" w:cs="宋体"/>
                <w:color w:val="auto"/>
                <w:sz w:val="24"/>
                <w:lang w:bidi="ar"/>
              </w:rPr>
              <w:t>级，基本无气味，源强极小，不做定量分析。</w:t>
            </w:r>
          </w:p>
          <w:p w14:paraId="09A1CFE9">
            <w:pPr>
              <w:pStyle w:val="10"/>
              <w:keepNext w:val="0"/>
              <w:keepLines w:val="0"/>
              <w:suppressLineNumbers w:val="0"/>
              <w:spacing w:before="0" w:beforeAutospacing="0" w:afterAutospacing="0"/>
              <w:ind w:left="0" w:right="0"/>
              <w:rPr>
                <w:rFonts w:hint="eastAsia" w:ascii="宋体" w:hAnsi="宋体" w:eastAsia="宋体" w:cs="宋体"/>
                <w:color w:val="auto"/>
                <w:sz w:val="24"/>
                <w:lang w:bidi="ar"/>
              </w:rPr>
            </w:pPr>
          </w:p>
          <w:p w14:paraId="5A230F5F">
            <w:pPr>
              <w:keepNext w:val="0"/>
              <w:keepLines w:val="0"/>
              <w:suppressLineNumbers w:val="0"/>
              <w:spacing w:before="0" w:beforeAutospacing="0" w:after="0" w:afterAutospacing="0"/>
              <w:ind w:left="0" w:right="0"/>
              <w:rPr>
                <w:rFonts w:hint="default"/>
              </w:rPr>
            </w:pPr>
          </w:p>
          <w:p w14:paraId="4148DFAD">
            <w:pPr>
              <w:keepNext w:val="0"/>
              <w:keepLines w:val="0"/>
              <w:suppressLineNumbers w:val="0"/>
              <w:spacing w:before="0" w:beforeAutospacing="0" w:after="0" w:afterAutospacing="0"/>
              <w:ind w:left="0" w:right="0"/>
              <w:rPr>
                <w:rFonts w:hint="default"/>
              </w:rPr>
            </w:pPr>
          </w:p>
        </w:tc>
      </w:tr>
    </w:tbl>
    <w:p w14:paraId="5CA126DC">
      <w:pPr>
        <w:rPr>
          <w:color w:val="auto"/>
        </w:rPr>
        <w:sectPr>
          <w:pgSz w:w="11906" w:h="16838"/>
          <w:pgMar w:top="1417" w:right="1417" w:bottom="1417" w:left="1417" w:header="851" w:footer="992" w:gutter="0"/>
          <w:pgBorders>
            <w:top w:val="none" w:sz="0" w:space="0"/>
            <w:left w:val="none" w:sz="0" w:space="0"/>
            <w:bottom w:val="none" w:sz="0" w:space="0"/>
            <w:right w:val="none" w:sz="0" w:space="0"/>
          </w:pgBorders>
          <w:cols w:space="425" w:num="1"/>
          <w:docGrid w:type="lines" w:linePitch="312" w:charSpace="0"/>
        </w:sectPr>
      </w:pPr>
    </w:p>
    <w:tbl>
      <w:tblPr>
        <w:tblStyle w:val="23"/>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513"/>
        <w:gridCol w:w="13481"/>
      </w:tblGrid>
      <w:tr w14:paraId="3430D5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0" w:hRule="atLeast"/>
        </w:trPr>
        <w:tc>
          <w:tcPr>
            <w:tcW w:w="516" w:type="dxa"/>
            <w:vAlign w:val="center"/>
          </w:tcPr>
          <w:p w14:paraId="2D5CAFDF">
            <w:pPr>
              <w:keepNext w:val="0"/>
              <w:keepLines w:val="0"/>
              <w:suppressLineNumbers w:val="0"/>
              <w:spacing w:before="0" w:beforeAutospacing="0" w:after="0" w:afterAutospacing="0"/>
              <w:ind w:left="0" w:right="0"/>
              <w:jc w:val="center"/>
              <w:rPr>
                <w:rFonts w:hint="default" w:ascii="Times New Roman" w:hAnsi="Times New Roman" w:eastAsia="宋体" w:cs="Times New Roman"/>
                <w:b/>
                <w:bCs/>
                <w:color w:val="auto"/>
                <w:sz w:val="24"/>
              </w:rPr>
            </w:pPr>
            <w:r>
              <w:rPr>
                <w:rFonts w:hint="eastAsia" w:ascii="Times New Roman" w:hAnsi="Times New Roman" w:eastAsia="宋体" w:cs="Times New Roman"/>
                <w:b/>
                <w:bCs/>
                <w:color w:val="auto"/>
                <w:sz w:val="24"/>
              </w:rPr>
              <w:t>运营期环境影响和保护施</w:t>
            </w:r>
          </w:p>
        </w:tc>
        <w:tc>
          <w:tcPr>
            <w:tcW w:w="13658" w:type="dxa"/>
            <w:vAlign w:val="center"/>
          </w:tcPr>
          <w:p w14:paraId="57D3D1B5">
            <w:pPr>
              <w:keepNext w:val="0"/>
              <w:keepLines w:val="0"/>
              <w:suppressLineNumbers w:val="0"/>
              <w:spacing w:before="0" w:beforeAutospacing="0" w:after="0" w:afterAutospacing="0" w:line="360" w:lineRule="auto"/>
              <w:ind w:left="0" w:right="0"/>
              <w:rPr>
                <w:rFonts w:hint="default" w:ascii="Times New Roman" w:hAnsi="Times New Roman" w:eastAsia="宋体" w:cs="Times New Roman"/>
                <w:b/>
                <w:bCs/>
                <w:color w:val="auto"/>
                <w:sz w:val="24"/>
              </w:rPr>
            </w:pPr>
            <w:r>
              <w:rPr>
                <w:rFonts w:hint="default" w:ascii="Times New Roman" w:hAnsi="Times New Roman" w:eastAsia="宋体" w:cs="Times New Roman"/>
                <w:b/>
                <w:bCs/>
                <w:color w:val="auto"/>
                <w:sz w:val="24"/>
              </w:rPr>
              <w:t>4.2.1.2达标排放分析</w:t>
            </w:r>
          </w:p>
          <w:p w14:paraId="7420E278">
            <w:pPr>
              <w:keepNext w:val="0"/>
              <w:keepLines w:val="0"/>
              <w:suppressLineNumbers w:val="0"/>
              <w:spacing w:before="0" w:beforeAutospacing="0" w:after="0" w:afterAutospacing="0" w:line="360" w:lineRule="auto"/>
              <w:ind w:left="0" w:right="0" w:firstLine="480" w:firstLineChars="200"/>
              <w:rPr>
                <w:rFonts w:hint="default" w:ascii="Times New Roman" w:hAnsi="Times New Roman" w:eastAsia="宋体" w:cs="Times New Roman"/>
                <w:color w:val="auto"/>
                <w:sz w:val="24"/>
              </w:rPr>
            </w:pPr>
            <w:r>
              <w:rPr>
                <w:rFonts w:hint="eastAsia" w:ascii="Times New Roman" w:hAnsi="Times New Roman" w:eastAsia="宋体" w:cs="Times New Roman"/>
                <w:color w:val="auto"/>
                <w:sz w:val="24"/>
              </w:rPr>
              <w:t>本项目废气污染物排放情况、污染源源强核算结果及相关参数见下表。</w:t>
            </w:r>
          </w:p>
          <w:p w14:paraId="2C9D0E01">
            <w:pPr>
              <w:keepNext w:val="0"/>
              <w:keepLines w:val="0"/>
              <w:suppressLineNumbers w:val="0"/>
              <w:spacing w:before="0" w:beforeAutospacing="0" w:after="0" w:afterAutospacing="0"/>
              <w:ind w:left="0" w:right="0"/>
              <w:jc w:val="center"/>
              <w:rPr>
                <w:rFonts w:hint="default" w:ascii="Times New Roman" w:hAnsi="Times New Roman" w:eastAsia="宋体" w:cs="Times New Roman"/>
                <w:b/>
                <w:bCs/>
                <w:color w:val="auto"/>
              </w:rPr>
            </w:pPr>
            <w:r>
              <w:rPr>
                <w:rFonts w:hint="eastAsia" w:ascii="Times New Roman" w:hAnsi="Times New Roman" w:eastAsia="宋体" w:cs="Times New Roman"/>
                <w:b/>
                <w:bCs/>
                <w:color w:val="auto"/>
              </w:rPr>
              <w:t>表4-</w:t>
            </w:r>
            <w:r>
              <w:rPr>
                <w:rFonts w:hint="eastAsia" w:ascii="Times New Roman" w:hAnsi="Times New Roman" w:eastAsia="宋体" w:cs="Times New Roman"/>
                <w:b/>
                <w:bCs/>
                <w:color w:val="auto"/>
                <w:lang w:val="en-US" w:eastAsia="zh-CN"/>
              </w:rPr>
              <w:t>5</w:t>
            </w:r>
            <w:r>
              <w:rPr>
                <w:rFonts w:hint="eastAsia" w:ascii="Times New Roman" w:hAnsi="Times New Roman" w:eastAsia="宋体" w:cs="Times New Roman"/>
                <w:b/>
                <w:bCs/>
                <w:color w:val="auto"/>
              </w:rPr>
              <w:t xml:space="preserve">  项目废气排放情况一览表</w:t>
            </w:r>
          </w:p>
          <w:tbl>
            <w:tblPr>
              <w:tblStyle w:val="22"/>
              <w:tblW w:w="4999" w:type="pct"/>
              <w:jc w:val="center"/>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Layout w:type="fixed"/>
              <w:tblCellMar>
                <w:top w:w="0" w:type="dxa"/>
                <w:left w:w="108" w:type="dxa"/>
                <w:bottom w:w="0" w:type="dxa"/>
                <w:right w:w="108" w:type="dxa"/>
              </w:tblCellMar>
            </w:tblPr>
            <w:tblGrid>
              <w:gridCol w:w="817"/>
              <w:gridCol w:w="794"/>
              <w:gridCol w:w="849"/>
              <w:gridCol w:w="834"/>
              <w:gridCol w:w="739"/>
              <w:gridCol w:w="994"/>
              <w:gridCol w:w="825"/>
              <w:gridCol w:w="16"/>
              <w:gridCol w:w="736"/>
              <w:gridCol w:w="16"/>
              <w:gridCol w:w="655"/>
              <w:gridCol w:w="14"/>
              <w:gridCol w:w="711"/>
              <w:gridCol w:w="24"/>
              <w:gridCol w:w="669"/>
              <w:gridCol w:w="870"/>
              <w:gridCol w:w="735"/>
              <w:gridCol w:w="747"/>
              <w:gridCol w:w="875"/>
              <w:gridCol w:w="693"/>
              <w:gridCol w:w="645"/>
            </w:tblGrid>
            <w:tr w14:paraId="40E18358">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397" w:hRule="atLeast"/>
                <w:jc w:val="center"/>
              </w:trPr>
              <w:tc>
                <w:tcPr>
                  <w:tcW w:w="308" w:type="pct"/>
                  <w:vMerge w:val="restart"/>
                  <w:tcBorders>
                    <w:right w:val="single" w:color="auto" w:sz="4" w:space="0"/>
                  </w:tcBorders>
                  <w:vAlign w:val="center"/>
                </w:tcPr>
                <w:p w14:paraId="202F124F">
                  <w:pPr>
                    <w:keepNext w:val="0"/>
                    <w:keepLines w:val="0"/>
                    <w:suppressLineNumbers w:val="0"/>
                    <w:spacing w:before="0" w:beforeAutospacing="0" w:after="0" w:afterAutospacing="0"/>
                    <w:ind w:left="0" w:right="0"/>
                    <w:jc w:val="center"/>
                    <w:rPr>
                      <w:rFonts w:hint="default" w:ascii="Times New Roman" w:hAnsi="Times New Roman" w:eastAsia="宋体" w:cs="Times New Roman"/>
                      <w:b/>
                      <w:bCs/>
                      <w:color w:val="auto"/>
                      <w:szCs w:val="21"/>
                    </w:rPr>
                  </w:pPr>
                  <w:r>
                    <w:rPr>
                      <w:rFonts w:hint="default" w:ascii="Times New Roman" w:hAnsi="Times New Roman" w:eastAsia="宋体" w:cs="Times New Roman"/>
                      <w:b/>
                      <w:bCs/>
                      <w:color w:val="auto"/>
                      <w:szCs w:val="21"/>
                    </w:rPr>
                    <w:t>产污环节</w:t>
                  </w:r>
                </w:p>
              </w:tc>
              <w:tc>
                <w:tcPr>
                  <w:tcW w:w="299" w:type="pct"/>
                  <w:vMerge w:val="restart"/>
                  <w:tcBorders>
                    <w:left w:val="single" w:color="auto" w:sz="4" w:space="0"/>
                    <w:right w:val="single" w:color="auto" w:sz="4" w:space="0"/>
                  </w:tcBorders>
                  <w:vAlign w:val="center"/>
                </w:tcPr>
                <w:p w14:paraId="48DE214A">
                  <w:pPr>
                    <w:keepNext w:val="0"/>
                    <w:keepLines w:val="0"/>
                    <w:suppressLineNumbers w:val="0"/>
                    <w:spacing w:before="0" w:beforeAutospacing="0" w:after="0" w:afterAutospacing="0"/>
                    <w:ind w:left="0" w:right="0"/>
                    <w:jc w:val="center"/>
                    <w:rPr>
                      <w:rFonts w:hint="default" w:ascii="Times New Roman" w:hAnsi="Times New Roman" w:eastAsia="宋体" w:cs="Times New Roman"/>
                      <w:b/>
                      <w:bCs/>
                      <w:color w:val="auto"/>
                      <w:szCs w:val="21"/>
                    </w:rPr>
                  </w:pPr>
                  <w:r>
                    <w:rPr>
                      <w:rFonts w:hint="default" w:ascii="Times New Roman" w:hAnsi="Times New Roman" w:eastAsia="宋体" w:cs="Times New Roman"/>
                      <w:b/>
                      <w:bCs/>
                      <w:color w:val="auto"/>
                      <w:szCs w:val="21"/>
                    </w:rPr>
                    <w:t>污染物种类</w:t>
                  </w:r>
                </w:p>
              </w:tc>
              <w:tc>
                <w:tcPr>
                  <w:tcW w:w="913" w:type="pct"/>
                  <w:gridSpan w:val="3"/>
                  <w:tcBorders>
                    <w:left w:val="single" w:color="auto" w:sz="4" w:space="0"/>
                    <w:right w:val="single" w:color="auto" w:sz="4" w:space="0"/>
                  </w:tcBorders>
                  <w:vAlign w:val="center"/>
                </w:tcPr>
                <w:p w14:paraId="0CAFDD64">
                  <w:pPr>
                    <w:keepNext w:val="0"/>
                    <w:keepLines w:val="0"/>
                    <w:suppressLineNumbers w:val="0"/>
                    <w:spacing w:before="0" w:beforeAutospacing="0" w:after="0" w:afterAutospacing="0"/>
                    <w:ind w:left="0" w:right="0"/>
                    <w:jc w:val="center"/>
                    <w:rPr>
                      <w:rFonts w:hint="default" w:ascii="Times New Roman" w:hAnsi="Times New Roman" w:eastAsia="宋体" w:cs="Times New Roman"/>
                      <w:b/>
                      <w:bCs/>
                      <w:color w:val="auto"/>
                      <w:szCs w:val="21"/>
                    </w:rPr>
                  </w:pPr>
                  <w:r>
                    <w:rPr>
                      <w:rFonts w:hint="default" w:ascii="Times New Roman" w:hAnsi="Times New Roman" w:eastAsia="宋体" w:cs="Times New Roman"/>
                      <w:b/>
                      <w:bCs/>
                      <w:color w:val="auto"/>
                      <w:szCs w:val="21"/>
                    </w:rPr>
                    <w:t>污染物产生情况</w:t>
                  </w:r>
                </w:p>
              </w:tc>
              <w:tc>
                <w:tcPr>
                  <w:tcW w:w="374" w:type="pct"/>
                  <w:vMerge w:val="restart"/>
                  <w:tcBorders>
                    <w:left w:val="single" w:color="auto" w:sz="4" w:space="0"/>
                    <w:right w:val="single" w:color="auto" w:sz="4" w:space="0"/>
                  </w:tcBorders>
                  <w:vAlign w:val="center"/>
                </w:tcPr>
                <w:p w14:paraId="51CD0012">
                  <w:pPr>
                    <w:keepNext w:val="0"/>
                    <w:keepLines w:val="0"/>
                    <w:suppressLineNumbers w:val="0"/>
                    <w:spacing w:before="0" w:beforeAutospacing="0" w:after="0" w:afterAutospacing="0"/>
                    <w:ind w:left="0" w:right="0"/>
                    <w:jc w:val="center"/>
                    <w:rPr>
                      <w:rFonts w:hint="default" w:ascii="Times New Roman" w:hAnsi="Times New Roman" w:eastAsia="宋体" w:cs="Times New Roman"/>
                      <w:b/>
                      <w:bCs/>
                      <w:color w:val="auto"/>
                      <w:szCs w:val="21"/>
                    </w:rPr>
                  </w:pPr>
                  <w:r>
                    <w:rPr>
                      <w:rFonts w:hint="default" w:ascii="Times New Roman" w:hAnsi="Times New Roman" w:eastAsia="宋体" w:cs="Times New Roman"/>
                      <w:b/>
                      <w:bCs/>
                      <w:color w:val="auto"/>
                      <w:szCs w:val="21"/>
                    </w:rPr>
                    <w:t>排放</w:t>
                  </w:r>
                </w:p>
                <w:p w14:paraId="40889BF7">
                  <w:pPr>
                    <w:keepNext w:val="0"/>
                    <w:keepLines w:val="0"/>
                    <w:suppressLineNumbers w:val="0"/>
                    <w:spacing w:before="0" w:beforeAutospacing="0" w:after="0" w:afterAutospacing="0"/>
                    <w:ind w:left="0" w:right="0"/>
                    <w:jc w:val="center"/>
                    <w:rPr>
                      <w:rFonts w:hint="default" w:ascii="Times New Roman" w:hAnsi="Times New Roman" w:eastAsia="宋体" w:cs="Times New Roman"/>
                      <w:b/>
                      <w:bCs/>
                      <w:color w:val="auto"/>
                      <w:szCs w:val="21"/>
                    </w:rPr>
                  </w:pPr>
                  <w:r>
                    <w:rPr>
                      <w:rFonts w:hint="default" w:ascii="Times New Roman" w:hAnsi="Times New Roman" w:eastAsia="宋体" w:cs="Times New Roman"/>
                      <w:b/>
                      <w:bCs/>
                      <w:color w:val="auto"/>
                      <w:szCs w:val="21"/>
                    </w:rPr>
                    <w:t>形式</w:t>
                  </w:r>
                </w:p>
              </w:tc>
              <w:tc>
                <w:tcPr>
                  <w:tcW w:w="1382" w:type="pct"/>
                  <w:gridSpan w:val="9"/>
                  <w:tcBorders>
                    <w:left w:val="single" w:color="auto" w:sz="4" w:space="0"/>
                    <w:right w:val="single" w:color="auto" w:sz="4" w:space="0"/>
                  </w:tcBorders>
                  <w:vAlign w:val="center"/>
                </w:tcPr>
                <w:p w14:paraId="53D41C02">
                  <w:pPr>
                    <w:keepNext w:val="0"/>
                    <w:keepLines w:val="0"/>
                    <w:suppressLineNumbers w:val="0"/>
                    <w:spacing w:before="0" w:beforeAutospacing="0" w:after="0" w:afterAutospacing="0"/>
                    <w:ind w:left="0" w:right="0"/>
                    <w:jc w:val="center"/>
                    <w:rPr>
                      <w:rFonts w:hint="default" w:ascii="Times New Roman" w:hAnsi="Times New Roman" w:eastAsia="宋体" w:cs="Times New Roman"/>
                      <w:b/>
                      <w:bCs/>
                      <w:color w:val="auto"/>
                      <w:szCs w:val="21"/>
                    </w:rPr>
                  </w:pPr>
                  <w:r>
                    <w:rPr>
                      <w:rFonts w:hint="default" w:ascii="Times New Roman" w:hAnsi="Times New Roman" w:eastAsia="宋体" w:cs="Times New Roman"/>
                      <w:b/>
                      <w:bCs/>
                      <w:color w:val="auto"/>
                      <w:szCs w:val="21"/>
                    </w:rPr>
                    <w:t>主要污染治理措施</w:t>
                  </w:r>
                </w:p>
              </w:tc>
              <w:tc>
                <w:tcPr>
                  <w:tcW w:w="887" w:type="pct"/>
                  <w:gridSpan w:val="3"/>
                  <w:tcBorders>
                    <w:left w:val="single" w:color="auto" w:sz="4" w:space="0"/>
                    <w:right w:val="single" w:color="auto" w:sz="4" w:space="0"/>
                  </w:tcBorders>
                  <w:vAlign w:val="center"/>
                </w:tcPr>
                <w:p w14:paraId="0B436B4C">
                  <w:pPr>
                    <w:keepNext w:val="0"/>
                    <w:keepLines w:val="0"/>
                    <w:suppressLineNumbers w:val="0"/>
                    <w:spacing w:before="0" w:beforeAutospacing="0" w:after="0" w:afterAutospacing="0"/>
                    <w:ind w:left="0" w:right="0"/>
                    <w:jc w:val="center"/>
                    <w:rPr>
                      <w:rFonts w:hint="default" w:ascii="Times New Roman" w:hAnsi="Times New Roman" w:eastAsia="宋体" w:cs="Times New Roman"/>
                      <w:b/>
                      <w:bCs/>
                      <w:color w:val="auto"/>
                      <w:szCs w:val="21"/>
                    </w:rPr>
                  </w:pPr>
                  <w:r>
                    <w:rPr>
                      <w:rFonts w:hint="default" w:ascii="Times New Roman" w:hAnsi="Times New Roman" w:eastAsia="宋体" w:cs="Times New Roman"/>
                      <w:b/>
                      <w:bCs/>
                      <w:color w:val="auto"/>
                      <w:szCs w:val="21"/>
                    </w:rPr>
                    <w:t>污染物排放情况</w:t>
                  </w:r>
                </w:p>
              </w:tc>
              <w:tc>
                <w:tcPr>
                  <w:tcW w:w="329" w:type="pct"/>
                  <w:vMerge w:val="restart"/>
                  <w:tcBorders>
                    <w:left w:val="single" w:color="auto" w:sz="4" w:space="0"/>
                    <w:right w:val="single" w:color="auto" w:sz="4" w:space="0"/>
                  </w:tcBorders>
                  <w:vAlign w:val="center"/>
                </w:tcPr>
                <w:p w14:paraId="3477EBAC">
                  <w:pPr>
                    <w:keepNext w:val="0"/>
                    <w:keepLines w:val="0"/>
                    <w:suppressLineNumbers w:val="0"/>
                    <w:spacing w:before="0" w:beforeAutospacing="0" w:after="0" w:afterAutospacing="0"/>
                    <w:ind w:left="0" w:right="0"/>
                    <w:jc w:val="center"/>
                    <w:rPr>
                      <w:rFonts w:hint="default" w:ascii="Times New Roman" w:hAnsi="Times New Roman" w:eastAsia="宋体" w:cs="Times New Roman"/>
                      <w:b/>
                      <w:bCs/>
                      <w:color w:val="auto"/>
                      <w:szCs w:val="21"/>
                    </w:rPr>
                  </w:pPr>
                  <w:r>
                    <w:rPr>
                      <w:rFonts w:hint="default" w:ascii="Times New Roman" w:hAnsi="Times New Roman" w:eastAsia="宋体" w:cs="Times New Roman"/>
                      <w:b/>
                      <w:bCs/>
                      <w:color w:val="auto"/>
                      <w:szCs w:val="21"/>
                    </w:rPr>
                    <w:t>排污口编号</w:t>
                  </w:r>
                </w:p>
              </w:tc>
              <w:tc>
                <w:tcPr>
                  <w:tcW w:w="504" w:type="pct"/>
                  <w:gridSpan w:val="2"/>
                  <w:tcBorders>
                    <w:left w:val="single" w:color="auto" w:sz="4" w:space="0"/>
                    <w:right w:val="single" w:color="auto" w:sz="4" w:space="0"/>
                  </w:tcBorders>
                  <w:vAlign w:val="center"/>
                </w:tcPr>
                <w:p w14:paraId="7798EDA3">
                  <w:pPr>
                    <w:keepNext w:val="0"/>
                    <w:keepLines w:val="0"/>
                    <w:suppressLineNumbers w:val="0"/>
                    <w:spacing w:before="0" w:beforeAutospacing="0" w:after="0" w:afterAutospacing="0"/>
                    <w:ind w:left="0" w:right="0"/>
                    <w:jc w:val="center"/>
                    <w:rPr>
                      <w:rFonts w:hint="default" w:ascii="Times New Roman" w:hAnsi="Times New Roman" w:eastAsia="宋体" w:cs="Times New Roman"/>
                      <w:b/>
                      <w:bCs/>
                      <w:color w:val="auto"/>
                      <w:szCs w:val="21"/>
                    </w:rPr>
                  </w:pPr>
                  <w:r>
                    <w:rPr>
                      <w:rFonts w:hint="default" w:ascii="Times New Roman" w:hAnsi="Times New Roman" w:eastAsia="宋体" w:cs="Times New Roman"/>
                      <w:b/>
                      <w:bCs/>
                      <w:color w:val="auto"/>
                      <w:szCs w:val="21"/>
                    </w:rPr>
                    <w:t>排放标准</w:t>
                  </w:r>
                </w:p>
              </w:tc>
            </w:tr>
            <w:tr w14:paraId="592C23B2">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630" w:hRule="atLeast"/>
                <w:jc w:val="center"/>
              </w:trPr>
              <w:tc>
                <w:tcPr>
                  <w:tcW w:w="308" w:type="pct"/>
                  <w:vMerge w:val="continue"/>
                  <w:tcBorders>
                    <w:right w:val="single" w:color="auto" w:sz="4" w:space="0"/>
                  </w:tcBorders>
                  <w:vAlign w:val="center"/>
                </w:tcPr>
                <w:p w14:paraId="2678ADFF">
                  <w:pPr>
                    <w:keepNext w:val="0"/>
                    <w:keepLines w:val="0"/>
                    <w:suppressLineNumbers w:val="0"/>
                    <w:spacing w:before="0" w:beforeAutospacing="0" w:after="0" w:afterAutospacing="0"/>
                    <w:ind w:left="0" w:right="0"/>
                    <w:jc w:val="center"/>
                    <w:rPr>
                      <w:rFonts w:hint="default" w:ascii="Times New Roman" w:hAnsi="Times New Roman" w:eastAsia="宋体" w:cs="Times New Roman"/>
                      <w:b/>
                      <w:bCs/>
                      <w:color w:val="auto"/>
                      <w:szCs w:val="21"/>
                    </w:rPr>
                  </w:pPr>
                </w:p>
              </w:tc>
              <w:tc>
                <w:tcPr>
                  <w:tcW w:w="299" w:type="pct"/>
                  <w:vMerge w:val="continue"/>
                  <w:tcBorders>
                    <w:left w:val="single" w:color="auto" w:sz="4" w:space="0"/>
                    <w:right w:val="single" w:color="auto" w:sz="4" w:space="0"/>
                  </w:tcBorders>
                  <w:vAlign w:val="center"/>
                </w:tcPr>
                <w:p w14:paraId="7EB7E01B">
                  <w:pPr>
                    <w:keepNext w:val="0"/>
                    <w:keepLines w:val="0"/>
                    <w:suppressLineNumbers w:val="0"/>
                    <w:spacing w:before="0" w:beforeAutospacing="0" w:after="0" w:afterAutospacing="0"/>
                    <w:ind w:left="0" w:right="0"/>
                    <w:jc w:val="center"/>
                    <w:rPr>
                      <w:rFonts w:hint="default" w:ascii="Times New Roman" w:hAnsi="Times New Roman" w:eastAsia="宋体" w:cs="Times New Roman"/>
                      <w:b/>
                      <w:bCs/>
                      <w:color w:val="auto"/>
                      <w:szCs w:val="21"/>
                    </w:rPr>
                  </w:pPr>
                </w:p>
              </w:tc>
              <w:tc>
                <w:tcPr>
                  <w:tcW w:w="320" w:type="pct"/>
                  <w:tcBorders>
                    <w:left w:val="single" w:color="auto" w:sz="4" w:space="0"/>
                    <w:right w:val="single" w:color="auto" w:sz="4" w:space="0"/>
                  </w:tcBorders>
                  <w:vAlign w:val="center"/>
                </w:tcPr>
                <w:p w14:paraId="6F1D6F28">
                  <w:pPr>
                    <w:keepNext w:val="0"/>
                    <w:keepLines w:val="0"/>
                    <w:suppressLineNumbers w:val="0"/>
                    <w:spacing w:before="0" w:beforeAutospacing="0" w:after="0" w:afterAutospacing="0"/>
                    <w:ind w:left="0" w:right="0"/>
                    <w:jc w:val="center"/>
                    <w:rPr>
                      <w:rFonts w:hint="default" w:ascii="Times New Roman" w:hAnsi="Times New Roman" w:eastAsia="宋体" w:cs="Times New Roman"/>
                      <w:b/>
                      <w:bCs/>
                      <w:color w:val="auto"/>
                      <w:szCs w:val="21"/>
                    </w:rPr>
                  </w:pPr>
                  <w:r>
                    <w:rPr>
                      <w:rFonts w:hint="default" w:ascii="Times New Roman" w:hAnsi="Times New Roman" w:eastAsia="宋体" w:cs="Times New Roman"/>
                      <w:b/>
                      <w:bCs/>
                      <w:color w:val="auto"/>
                      <w:szCs w:val="21"/>
                    </w:rPr>
                    <w:t>产生</w:t>
                  </w:r>
                </w:p>
                <w:p w14:paraId="573E3B67">
                  <w:pPr>
                    <w:keepNext w:val="0"/>
                    <w:keepLines w:val="0"/>
                    <w:suppressLineNumbers w:val="0"/>
                    <w:spacing w:before="0" w:beforeAutospacing="0" w:after="0" w:afterAutospacing="0"/>
                    <w:ind w:left="0" w:right="0"/>
                    <w:jc w:val="center"/>
                    <w:rPr>
                      <w:rFonts w:hint="default" w:ascii="Times New Roman" w:hAnsi="Times New Roman" w:eastAsia="宋体" w:cs="Times New Roman"/>
                      <w:b/>
                      <w:bCs/>
                      <w:color w:val="auto"/>
                      <w:szCs w:val="21"/>
                    </w:rPr>
                  </w:pPr>
                  <w:r>
                    <w:rPr>
                      <w:rFonts w:hint="default" w:ascii="Times New Roman" w:hAnsi="Times New Roman" w:eastAsia="宋体" w:cs="Times New Roman"/>
                      <w:b/>
                      <w:bCs/>
                      <w:color w:val="auto"/>
                      <w:szCs w:val="21"/>
                    </w:rPr>
                    <w:t>浓度mg/m</w:t>
                  </w:r>
                  <w:r>
                    <w:rPr>
                      <w:rFonts w:hint="default" w:ascii="Times New Roman" w:hAnsi="Times New Roman" w:eastAsia="宋体" w:cs="Times New Roman"/>
                      <w:b/>
                      <w:bCs/>
                      <w:color w:val="auto"/>
                      <w:szCs w:val="21"/>
                      <w:vertAlign w:val="superscript"/>
                    </w:rPr>
                    <w:t>3</w:t>
                  </w:r>
                </w:p>
              </w:tc>
              <w:tc>
                <w:tcPr>
                  <w:tcW w:w="314" w:type="pct"/>
                  <w:tcBorders>
                    <w:left w:val="single" w:color="auto" w:sz="4" w:space="0"/>
                    <w:right w:val="single" w:color="auto" w:sz="4" w:space="0"/>
                  </w:tcBorders>
                  <w:vAlign w:val="center"/>
                </w:tcPr>
                <w:p w14:paraId="26C540FB">
                  <w:pPr>
                    <w:keepNext w:val="0"/>
                    <w:keepLines w:val="0"/>
                    <w:suppressLineNumbers w:val="0"/>
                    <w:spacing w:before="0" w:beforeAutospacing="0" w:after="0" w:afterAutospacing="0"/>
                    <w:ind w:left="0" w:right="0"/>
                    <w:jc w:val="center"/>
                    <w:rPr>
                      <w:rFonts w:hint="default" w:ascii="Times New Roman" w:hAnsi="Times New Roman" w:eastAsia="宋体" w:cs="Times New Roman"/>
                      <w:b/>
                      <w:bCs/>
                      <w:color w:val="auto"/>
                      <w:szCs w:val="21"/>
                    </w:rPr>
                  </w:pPr>
                  <w:r>
                    <w:rPr>
                      <w:rFonts w:hint="default" w:ascii="Times New Roman" w:hAnsi="Times New Roman" w:eastAsia="宋体" w:cs="Times New Roman"/>
                      <w:b/>
                      <w:bCs/>
                      <w:color w:val="auto"/>
                      <w:szCs w:val="21"/>
                      <w:lang w:val="en-US" w:eastAsia="zh-CN"/>
                    </w:rPr>
                    <w:t>产生</w:t>
                  </w:r>
                </w:p>
                <w:p w14:paraId="35944CC6">
                  <w:pPr>
                    <w:keepNext w:val="0"/>
                    <w:keepLines w:val="0"/>
                    <w:suppressLineNumbers w:val="0"/>
                    <w:spacing w:before="0" w:beforeAutospacing="0" w:after="0" w:afterAutospacing="0"/>
                    <w:ind w:left="0" w:right="0"/>
                    <w:jc w:val="center"/>
                    <w:rPr>
                      <w:rFonts w:hint="default" w:ascii="Times New Roman" w:hAnsi="Times New Roman" w:eastAsia="宋体" w:cs="Times New Roman"/>
                      <w:b/>
                      <w:bCs/>
                      <w:color w:val="auto"/>
                      <w:szCs w:val="21"/>
                    </w:rPr>
                  </w:pPr>
                  <w:r>
                    <w:rPr>
                      <w:rFonts w:hint="default" w:ascii="Times New Roman" w:hAnsi="Times New Roman" w:eastAsia="宋体" w:cs="Times New Roman"/>
                      <w:b/>
                      <w:bCs/>
                      <w:color w:val="auto"/>
                      <w:szCs w:val="21"/>
                      <w:lang w:val="en-US" w:eastAsia="zh-CN"/>
                    </w:rPr>
                    <w:t>速率</w:t>
                  </w:r>
                </w:p>
                <w:p w14:paraId="081CCEAA">
                  <w:pPr>
                    <w:keepNext w:val="0"/>
                    <w:keepLines w:val="0"/>
                    <w:suppressLineNumbers w:val="0"/>
                    <w:spacing w:before="0" w:beforeAutospacing="0" w:after="0" w:afterAutospacing="0"/>
                    <w:ind w:left="0" w:right="0"/>
                    <w:jc w:val="center"/>
                    <w:rPr>
                      <w:rFonts w:hint="default" w:ascii="Times New Roman" w:hAnsi="Times New Roman" w:eastAsia="宋体" w:cs="Times New Roman"/>
                      <w:b/>
                      <w:bCs/>
                      <w:color w:val="auto"/>
                      <w:szCs w:val="21"/>
                    </w:rPr>
                  </w:pPr>
                  <w:r>
                    <w:rPr>
                      <w:rFonts w:hint="default" w:ascii="Times New Roman" w:hAnsi="Times New Roman" w:eastAsia="宋体" w:cs="Times New Roman"/>
                      <w:b/>
                      <w:bCs/>
                      <w:color w:val="auto"/>
                      <w:szCs w:val="21"/>
                      <w:lang w:val="en-US" w:eastAsia="zh-CN"/>
                    </w:rPr>
                    <w:t>kg/h</w:t>
                  </w:r>
                </w:p>
              </w:tc>
              <w:tc>
                <w:tcPr>
                  <w:tcW w:w="278" w:type="pct"/>
                  <w:tcBorders>
                    <w:left w:val="single" w:color="auto" w:sz="4" w:space="0"/>
                    <w:right w:val="single" w:color="auto" w:sz="4" w:space="0"/>
                  </w:tcBorders>
                  <w:vAlign w:val="center"/>
                </w:tcPr>
                <w:p w14:paraId="0979D196">
                  <w:pPr>
                    <w:keepNext w:val="0"/>
                    <w:keepLines w:val="0"/>
                    <w:suppressLineNumbers w:val="0"/>
                    <w:spacing w:before="0" w:beforeAutospacing="0" w:after="0" w:afterAutospacing="0"/>
                    <w:ind w:left="0" w:right="0"/>
                    <w:jc w:val="center"/>
                    <w:rPr>
                      <w:rFonts w:hint="default" w:ascii="Times New Roman" w:hAnsi="Times New Roman" w:eastAsia="宋体" w:cs="Times New Roman"/>
                      <w:b/>
                      <w:bCs/>
                      <w:color w:val="auto"/>
                      <w:szCs w:val="21"/>
                    </w:rPr>
                  </w:pPr>
                  <w:r>
                    <w:rPr>
                      <w:rFonts w:hint="default" w:ascii="Times New Roman" w:hAnsi="Times New Roman" w:eastAsia="宋体" w:cs="Times New Roman"/>
                      <w:b/>
                      <w:bCs/>
                      <w:color w:val="auto"/>
                      <w:szCs w:val="21"/>
                    </w:rPr>
                    <w:t>产生量t/a</w:t>
                  </w:r>
                </w:p>
              </w:tc>
              <w:tc>
                <w:tcPr>
                  <w:tcW w:w="374" w:type="pct"/>
                  <w:vMerge w:val="continue"/>
                  <w:tcBorders>
                    <w:left w:val="single" w:color="auto" w:sz="4" w:space="0"/>
                    <w:right w:val="single" w:color="auto" w:sz="4" w:space="0"/>
                  </w:tcBorders>
                  <w:vAlign w:val="center"/>
                </w:tcPr>
                <w:p w14:paraId="216A21F0">
                  <w:pPr>
                    <w:keepNext w:val="0"/>
                    <w:keepLines w:val="0"/>
                    <w:suppressLineNumbers w:val="0"/>
                    <w:spacing w:before="0" w:beforeAutospacing="0" w:after="0" w:afterAutospacing="0"/>
                    <w:ind w:left="0" w:right="0"/>
                    <w:jc w:val="center"/>
                    <w:rPr>
                      <w:rFonts w:hint="default" w:ascii="Times New Roman" w:hAnsi="Times New Roman" w:eastAsia="宋体" w:cs="Times New Roman"/>
                      <w:b/>
                      <w:bCs/>
                      <w:color w:val="auto"/>
                      <w:szCs w:val="21"/>
                    </w:rPr>
                  </w:pPr>
                </w:p>
              </w:tc>
              <w:tc>
                <w:tcPr>
                  <w:tcW w:w="311" w:type="pct"/>
                  <w:tcBorders>
                    <w:left w:val="single" w:color="auto" w:sz="4" w:space="0"/>
                  </w:tcBorders>
                  <w:vAlign w:val="center"/>
                </w:tcPr>
                <w:p w14:paraId="7FA4C1BC">
                  <w:pPr>
                    <w:keepNext w:val="0"/>
                    <w:keepLines w:val="0"/>
                    <w:suppressLineNumbers w:val="0"/>
                    <w:spacing w:before="0" w:beforeAutospacing="0" w:after="0" w:afterAutospacing="0"/>
                    <w:ind w:left="0" w:right="0"/>
                    <w:jc w:val="center"/>
                    <w:rPr>
                      <w:rFonts w:hint="default" w:ascii="Times New Roman" w:hAnsi="Times New Roman" w:eastAsia="宋体" w:cs="Times New Roman"/>
                      <w:b/>
                      <w:bCs/>
                      <w:color w:val="auto"/>
                      <w:szCs w:val="21"/>
                    </w:rPr>
                  </w:pPr>
                  <w:r>
                    <w:rPr>
                      <w:rFonts w:hint="default" w:ascii="Times New Roman" w:hAnsi="Times New Roman" w:eastAsia="宋体" w:cs="Times New Roman"/>
                      <w:b/>
                      <w:bCs/>
                      <w:color w:val="auto"/>
                      <w:szCs w:val="21"/>
                    </w:rPr>
                    <w:t>处理措施</w:t>
                  </w:r>
                </w:p>
              </w:tc>
              <w:tc>
                <w:tcPr>
                  <w:tcW w:w="283" w:type="pct"/>
                  <w:gridSpan w:val="2"/>
                  <w:tcBorders>
                    <w:left w:val="single" w:color="auto" w:sz="4" w:space="0"/>
                  </w:tcBorders>
                  <w:vAlign w:val="center"/>
                </w:tcPr>
                <w:p w14:paraId="6EA9496C">
                  <w:pPr>
                    <w:keepNext w:val="0"/>
                    <w:keepLines w:val="0"/>
                    <w:suppressLineNumbers w:val="0"/>
                    <w:spacing w:before="0" w:beforeAutospacing="0" w:after="0" w:afterAutospacing="0"/>
                    <w:ind w:left="0" w:right="0"/>
                    <w:jc w:val="center"/>
                    <w:rPr>
                      <w:rFonts w:hint="default" w:ascii="Times New Roman" w:hAnsi="Times New Roman" w:eastAsia="宋体" w:cs="Times New Roman"/>
                      <w:b/>
                      <w:bCs/>
                      <w:color w:val="auto"/>
                      <w:szCs w:val="21"/>
                    </w:rPr>
                  </w:pPr>
                  <w:r>
                    <w:rPr>
                      <w:rFonts w:hint="default" w:ascii="Times New Roman" w:hAnsi="Times New Roman" w:eastAsia="宋体" w:cs="Times New Roman"/>
                      <w:b/>
                      <w:bCs/>
                      <w:color w:val="auto"/>
                      <w:szCs w:val="21"/>
                    </w:rPr>
                    <w:t>处理能力m</w:t>
                  </w:r>
                  <w:r>
                    <w:rPr>
                      <w:rFonts w:hint="default" w:ascii="Times New Roman" w:hAnsi="Times New Roman" w:eastAsia="宋体" w:cs="Times New Roman"/>
                      <w:b/>
                      <w:bCs/>
                      <w:color w:val="auto"/>
                      <w:szCs w:val="21"/>
                      <w:vertAlign w:val="superscript"/>
                    </w:rPr>
                    <w:t>3</w:t>
                  </w:r>
                  <w:r>
                    <w:rPr>
                      <w:rFonts w:hint="default" w:ascii="Times New Roman" w:hAnsi="Times New Roman" w:eastAsia="宋体" w:cs="Times New Roman"/>
                      <w:b/>
                      <w:bCs/>
                      <w:color w:val="auto"/>
                      <w:szCs w:val="21"/>
                    </w:rPr>
                    <w:t>/h</w:t>
                  </w:r>
                </w:p>
              </w:tc>
              <w:tc>
                <w:tcPr>
                  <w:tcW w:w="253" w:type="pct"/>
                  <w:gridSpan w:val="2"/>
                  <w:tcBorders>
                    <w:left w:val="single" w:color="auto" w:sz="4" w:space="0"/>
                    <w:right w:val="single" w:color="auto" w:sz="4" w:space="0"/>
                  </w:tcBorders>
                  <w:vAlign w:val="center"/>
                </w:tcPr>
                <w:p w14:paraId="6F72A573">
                  <w:pPr>
                    <w:keepNext w:val="0"/>
                    <w:keepLines w:val="0"/>
                    <w:suppressLineNumbers w:val="0"/>
                    <w:spacing w:before="0" w:beforeAutospacing="0" w:after="0" w:afterAutospacing="0"/>
                    <w:ind w:left="0" w:right="0"/>
                    <w:jc w:val="center"/>
                    <w:rPr>
                      <w:rFonts w:hint="default" w:ascii="Times New Roman" w:hAnsi="Times New Roman" w:eastAsia="宋体" w:cs="Times New Roman"/>
                      <w:b/>
                      <w:bCs/>
                      <w:color w:val="auto"/>
                      <w:szCs w:val="21"/>
                    </w:rPr>
                  </w:pPr>
                  <w:r>
                    <w:rPr>
                      <w:rFonts w:hint="default" w:ascii="Times New Roman" w:hAnsi="Times New Roman" w:eastAsia="宋体" w:cs="Times New Roman"/>
                      <w:b/>
                      <w:bCs/>
                      <w:color w:val="auto"/>
                      <w:szCs w:val="21"/>
                    </w:rPr>
                    <w:t>收集效率</w:t>
                  </w:r>
                </w:p>
                <w:p w14:paraId="1C42184D">
                  <w:pPr>
                    <w:keepNext w:val="0"/>
                    <w:keepLines w:val="0"/>
                    <w:suppressLineNumbers w:val="0"/>
                    <w:spacing w:before="0" w:beforeAutospacing="0" w:after="0" w:afterAutospacing="0"/>
                    <w:ind w:left="0" w:right="0"/>
                    <w:jc w:val="center"/>
                    <w:rPr>
                      <w:rFonts w:hint="default" w:ascii="Times New Roman" w:hAnsi="Times New Roman" w:eastAsia="宋体" w:cs="Times New Roman"/>
                      <w:b/>
                      <w:bCs/>
                      <w:color w:val="auto"/>
                      <w:szCs w:val="21"/>
                    </w:rPr>
                  </w:pPr>
                  <w:r>
                    <w:rPr>
                      <w:rFonts w:hint="default" w:ascii="Times New Roman" w:hAnsi="Times New Roman" w:eastAsia="宋体" w:cs="Times New Roman"/>
                      <w:b/>
                      <w:bCs/>
                      <w:color w:val="auto"/>
                      <w:szCs w:val="21"/>
                    </w:rPr>
                    <w:t>%</w:t>
                  </w:r>
                </w:p>
              </w:tc>
              <w:tc>
                <w:tcPr>
                  <w:tcW w:w="273" w:type="pct"/>
                  <w:gridSpan w:val="2"/>
                  <w:tcBorders>
                    <w:left w:val="single" w:color="auto" w:sz="4" w:space="0"/>
                    <w:right w:val="single" w:color="auto" w:sz="4" w:space="0"/>
                  </w:tcBorders>
                  <w:vAlign w:val="center"/>
                </w:tcPr>
                <w:p w14:paraId="2EAB0EA0">
                  <w:pPr>
                    <w:keepNext w:val="0"/>
                    <w:keepLines w:val="0"/>
                    <w:suppressLineNumbers w:val="0"/>
                    <w:spacing w:before="0" w:beforeAutospacing="0" w:after="0" w:afterAutospacing="0"/>
                    <w:ind w:left="0" w:right="0"/>
                    <w:jc w:val="center"/>
                    <w:rPr>
                      <w:rFonts w:hint="default" w:ascii="Times New Roman" w:hAnsi="Times New Roman" w:eastAsia="宋体" w:cs="Times New Roman"/>
                      <w:b/>
                      <w:bCs/>
                      <w:color w:val="auto"/>
                      <w:szCs w:val="21"/>
                    </w:rPr>
                  </w:pPr>
                  <w:r>
                    <w:rPr>
                      <w:rFonts w:hint="default" w:ascii="Times New Roman" w:hAnsi="Times New Roman" w:eastAsia="宋体" w:cs="Times New Roman"/>
                      <w:b/>
                      <w:bCs/>
                      <w:color w:val="auto"/>
                      <w:szCs w:val="21"/>
                    </w:rPr>
                    <w:t>去除效率</w:t>
                  </w:r>
                </w:p>
                <w:p w14:paraId="735CE2FE">
                  <w:pPr>
                    <w:keepNext w:val="0"/>
                    <w:keepLines w:val="0"/>
                    <w:suppressLineNumbers w:val="0"/>
                    <w:spacing w:before="0" w:beforeAutospacing="0" w:after="0" w:afterAutospacing="0"/>
                    <w:ind w:left="0" w:right="0"/>
                    <w:jc w:val="center"/>
                    <w:rPr>
                      <w:rFonts w:hint="default" w:ascii="Times New Roman" w:hAnsi="Times New Roman" w:eastAsia="宋体" w:cs="Times New Roman"/>
                      <w:b/>
                      <w:bCs/>
                      <w:color w:val="auto"/>
                      <w:szCs w:val="21"/>
                    </w:rPr>
                  </w:pPr>
                  <w:r>
                    <w:rPr>
                      <w:rFonts w:hint="default" w:ascii="Times New Roman" w:hAnsi="Times New Roman" w:eastAsia="宋体" w:cs="Times New Roman"/>
                      <w:b/>
                      <w:bCs/>
                      <w:color w:val="auto"/>
                      <w:szCs w:val="21"/>
                    </w:rPr>
                    <w:t>%</w:t>
                  </w:r>
                </w:p>
              </w:tc>
              <w:tc>
                <w:tcPr>
                  <w:tcW w:w="261" w:type="pct"/>
                  <w:gridSpan w:val="2"/>
                  <w:tcBorders>
                    <w:left w:val="single" w:color="auto" w:sz="4" w:space="0"/>
                    <w:right w:val="single" w:color="auto" w:sz="4" w:space="0"/>
                  </w:tcBorders>
                  <w:vAlign w:val="center"/>
                </w:tcPr>
                <w:p w14:paraId="4D7D266E">
                  <w:pPr>
                    <w:keepNext w:val="0"/>
                    <w:keepLines w:val="0"/>
                    <w:suppressLineNumbers w:val="0"/>
                    <w:spacing w:before="0" w:beforeAutospacing="0" w:after="0" w:afterAutospacing="0"/>
                    <w:ind w:left="0" w:right="0"/>
                    <w:jc w:val="center"/>
                    <w:rPr>
                      <w:rFonts w:hint="default" w:ascii="Times New Roman" w:hAnsi="Times New Roman" w:eastAsia="宋体" w:cs="Times New Roman"/>
                      <w:b/>
                      <w:bCs/>
                      <w:color w:val="auto"/>
                      <w:szCs w:val="21"/>
                    </w:rPr>
                  </w:pPr>
                  <w:r>
                    <w:rPr>
                      <w:rFonts w:hint="default" w:ascii="Times New Roman" w:hAnsi="Times New Roman" w:eastAsia="宋体" w:cs="Times New Roman"/>
                      <w:b/>
                      <w:bCs/>
                      <w:color w:val="auto"/>
                      <w:szCs w:val="21"/>
                    </w:rPr>
                    <w:t>是否为可行技术</w:t>
                  </w:r>
                </w:p>
              </w:tc>
              <w:tc>
                <w:tcPr>
                  <w:tcW w:w="328" w:type="pct"/>
                  <w:tcBorders>
                    <w:left w:val="single" w:color="auto" w:sz="4" w:space="0"/>
                  </w:tcBorders>
                  <w:vAlign w:val="center"/>
                </w:tcPr>
                <w:p w14:paraId="5538230D">
                  <w:pPr>
                    <w:keepNext w:val="0"/>
                    <w:keepLines w:val="0"/>
                    <w:suppressLineNumbers w:val="0"/>
                    <w:spacing w:before="0" w:beforeAutospacing="0" w:after="0" w:afterAutospacing="0"/>
                    <w:ind w:left="0" w:right="0"/>
                    <w:jc w:val="center"/>
                    <w:rPr>
                      <w:rFonts w:hint="default" w:ascii="Times New Roman" w:hAnsi="Times New Roman" w:eastAsia="宋体" w:cs="Times New Roman"/>
                      <w:b/>
                      <w:bCs/>
                      <w:color w:val="auto"/>
                      <w:szCs w:val="21"/>
                    </w:rPr>
                  </w:pPr>
                  <w:r>
                    <w:rPr>
                      <w:rFonts w:hint="default" w:ascii="Times New Roman" w:hAnsi="Times New Roman" w:eastAsia="宋体" w:cs="Times New Roman"/>
                      <w:b/>
                      <w:bCs/>
                      <w:color w:val="auto"/>
                      <w:szCs w:val="21"/>
                    </w:rPr>
                    <w:t>排放</w:t>
                  </w:r>
                </w:p>
                <w:p w14:paraId="65A58270">
                  <w:pPr>
                    <w:keepNext w:val="0"/>
                    <w:keepLines w:val="0"/>
                    <w:suppressLineNumbers w:val="0"/>
                    <w:spacing w:before="0" w:beforeAutospacing="0" w:after="0" w:afterAutospacing="0"/>
                    <w:ind w:left="0" w:right="0"/>
                    <w:jc w:val="center"/>
                    <w:rPr>
                      <w:rFonts w:hint="default" w:ascii="Times New Roman" w:hAnsi="Times New Roman" w:eastAsia="宋体" w:cs="Times New Roman"/>
                      <w:b/>
                      <w:bCs/>
                      <w:color w:val="auto"/>
                      <w:szCs w:val="21"/>
                    </w:rPr>
                  </w:pPr>
                  <w:r>
                    <w:rPr>
                      <w:rFonts w:hint="default" w:ascii="Times New Roman" w:hAnsi="Times New Roman" w:eastAsia="宋体" w:cs="Times New Roman"/>
                      <w:b/>
                      <w:bCs/>
                      <w:color w:val="auto"/>
                      <w:szCs w:val="21"/>
                    </w:rPr>
                    <w:t>浓度mg/m</w:t>
                  </w:r>
                  <w:r>
                    <w:rPr>
                      <w:rFonts w:hint="default" w:ascii="Times New Roman" w:hAnsi="Times New Roman" w:eastAsia="宋体" w:cs="Times New Roman"/>
                      <w:b/>
                      <w:bCs/>
                      <w:color w:val="auto"/>
                      <w:szCs w:val="21"/>
                      <w:vertAlign w:val="superscript"/>
                    </w:rPr>
                    <w:t>3</w:t>
                  </w:r>
                </w:p>
              </w:tc>
              <w:tc>
                <w:tcPr>
                  <w:tcW w:w="277" w:type="pct"/>
                  <w:tcBorders>
                    <w:right w:val="single" w:color="auto" w:sz="4" w:space="0"/>
                  </w:tcBorders>
                  <w:vAlign w:val="center"/>
                </w:tcPr>
                <w:p w14:paraId="1989DEED">
                  <w:pPr>
                    <w:keepNext w:val="0"/>
                    <w:keepLines w:val="0"/>
                    <w:suppressLineNumbers w:val="0"/>
                    <w:spacing w:before="0" w:beforeAutospacing="0" w:after="0" w:afterAutospacing="0"/>
                    <w:ind w:left="0" w:right="0"/>
                    <w:jc w:val="center"/>
                    <w:rPr>
                      <w:rFonts w:hint="default" w:ascii="Times New Roman" w:hAnsi="Times New Roman" w:eastAsia="宋体" w:cs="Times New Roman"/>
                      <w:b/>
                      <w:bCs/>
                      <w:color w:val="auto"/>
                      <w:szCs w:val="21"/>
                    </w:rPr>
                  </w:pPr>
                  <w:r>
                    <w:rPr>
                      <w:rFonts w:hint="default" w:ascii="Times New Roman" w:hAnsi="Times New Roman" w:eastAsia="宋体" w:cs="Times New Roman"/>
                      <w:b/>
                      <w:bCs/>
                      <w:color w:val="auto"/>
                      <w:szCs w:val="21"/>
                    </w:rPr>
                    <w:t>排放速率kg/h</w:t>
                  </w:r>
                </w:p>
              </w:tc>
              <w:tc>
                <w:tcPr>
                  <w:tcW w:w="281" w:type="pct"/>
                  <w:tcBorders>
                    <w:left w:val="single" w:color="auto" w:sz="4" w:space="0"/>
                    <w:right w:val="single" w:color="auto" w:sz="4" w:space="0"/>
                  </w:tcBorders>
                  <w:vAlign w:val="center"/>
                </w:tcPr>
                <w:p w14:paraId="5939F493">
                  <w:pPr>
                    <w:keepNext w:val="0"/>
                    <w:keepLines w:val="0"/>
                    <w:suppressLineNumbers w:val="0"/>
                    <w:spacing w:before="0" w:beforeAutospacing="0" w:after="0" w:afterAutospacing="0"/>
                    <w:ind w:left="0" w:right="0"/>
                    <w:jc w:val="center"/>
                    <w:rPr>
                      <w:rFonts w:hint="default" w:ascii="Times New Roman" w:hAnsi="Times New Roman" w:eastAsia="宋体" w:cs="Times New Roman"/>
                      <w:b/>
                      <w:bCs/>
                      <w:color w:val="auto"/>
                      <w:szCs w:val="21"/>
                    </w:rPr>
                  </w:pPr>
                  <w:r>
                    <w:rPr>
                      <w:rFonts w:hint="default" w:ascii="Times New Roman" w:hAnsi="Times New Roman" w:eastAsia="宋体" w:cs="Times New Roman"/>
                      <w:b/>
                      <w:bCs/>
                      <w:color w:val="auto"/>
                      <w:szCs w:val="21"/>
                    </w:rPr>
                    <w:t>排放量</w:t>
                  </w:r>
                </w:p>
                <w:p w14:paraId="1F689A60">
                  <w:pPr>
                    <w:keepNext w:val="0"/>
                    <w:keepLines w:val="0"/>
                    <w:suppressLineNumbers w:val="0"/>
                    <w:spacing w:before="0" w:beforeAutospacing="0" w:after="0" w:afterAutospacing="0"/>
                    <w:ind w:left="0" w:right="0"/>
                    <w:jc w:val="center"/>
                    <w:rPr>
                      <w:rFonts w:hint="default" w:ascii="Times New Roman" w:hAnsi="Times New Roman" w:eastAsia="宋体" w:cs="Times New Roman"/>
                      <w:b/>
                      <w:bCs/>
                      <w:color w:val="auto"/>
                      <w:szCs w:val="21"/>
                    </w:rPr>
                  </w:pPr>
                  <w:r>
                    <w:rPr>
                      <w:rFonts w:hint="default" w:ascii="Times New Roman" w:hAnsi="Times New Roman" w:eastAsia="宋体" w:cs="Times New Roman"/>
                      <w:b/>
                      <w:bCs/>
                      <w:color w:val="auto"/>
                      <w:szCs w:val="21"/>
                    </w:rPr>
                    <w:t>t/a</w:t>
                  </w:r>
                </w:p>
              </w:tc>
              <w:tc>
                <w:tcPr>
                  <w:tcW w:w="329" w:type="pct"/>
                  <w:vMerge w:val="continue"/>
                  <w:tcBorders>
                    <w:left w:val="single" w:color="auto" w:sz="4" w:space="0"/>
                    <w:right w:val="single" w:color="auto" w:sz="4" w:space="0"/>
                  </w:tcBorders>
                  <w:vAlign w:val="center"/>
                </w:tcPr>
                <w:p w14:paraId="0AF708BB">
                  <w:pPr>
                    <w:keepNext w:val="0"/>
                    <w:keepLines w:val="0"/>
                    <w:suppressLineNumbers w:val="0"/>
                    <w:spacing w:before="0" w:beforeAutospacing="0" w:after="0" w:afterAutospacing="0"/>
                    <w:ind w:left="0" w:right="0"/>
                    <w:jc w:val="center"/>
                    <w:rPr>
                      <w:rFonts w:hint="default" w:ascii="Times New Roman" w:hAnsi="Times New Roman" w:eastAsia="宋体" w:cs="Times New Roman"/>
                      <w:b/>
                      <w:bCs/>
                      <w:color w:val="auto"/>
                      <w:szCs w:val="21"/>
                    </w:rPr>
                  </w:pPr>
                </w:p>
              </w:tc>
              <w:tc>
                <w:tcPr>
                  <w:tcW w:w="261" w:type="pct"/>
                  <w:tcBorders>
                    <w:left w:val="single" w:color="auto" w:sz="4" w:space="0"/>
                    <w:right w:val="single" w:color="auto" w:sz="4" w:space="0"/>
                  </w:tcBorders>
                  <w:vAlign w:val="center"/>
                </w:tcPr>
                <w:p w14:paraId="421695B9">
                  <w:pPr>
                    <w:keepNext w:val="0"/>
                    <w:keepLines w:val="0"/>
                    <w:suppressLineNumbers w:val="0"/>
                    <w:spacing w:before="0" w:beforeAutospacing="0" w:after="0" w:afterAutospacing="0"/>
                    <w:ind w:left="0" w:right="0"/>
                    <w:jc w:val="center"/>
                    <w:rPr>
                      <w:rFonts w:hint="default" w:ascii="Times New Roman" w:hAnsi="Times New Roman" w:eastAsia="宋体" w:cs="Times New Roman"/>
                      <w:b/>
                      <w:bCs/>
                      <w:color w:val="auto"/>
                      <w:szCs w:val="21"/>
                    </w:rPr>
                  </w:pPr>
                  <w:r>
                    <w:rPr>
                      <w:rFonts w:hint="default" w:ascii="Times New Roman" w:hAnsi="Times New Roman" w:eastAsia="宋体" w:cs="Times New Roman"/>
                      <w:b/>
                      <w:bCs/>
                      <w:color w:val="auto"/>
                      <w:szCs w:val="21"/>
                    </w:rPr>
                    <w:t>浓度</w:t>
                  </w:r>
                </w:p>
                <w:p w14:paraId="777A9EFD">
                  <w:pPr>
                    <w:keepNext w:val="0"/>
                    <w:keepLines w:val="0"/>
                    <w:suppressLineNumbers w:val="0"/>
                    <w:spacing w:before="0" w:beforeAutospacing="0" w:after="0" w:afterAutospacing="0"/>
                    <w:ind w:left="0" w:right="0"/>
                    <w:jc w:val="center"/>
                    <w:rPr>
                      <w:rFonts w:hint="default" w:ascii="Times New Roman" w:hAnsi="Times New Roman" w:eastAsia="宋体" w:cs="Times New Roman"/>
                      <w:b/>
                      <w:bCs/>
                      <w:color w:val="auto"/>
                      <w:szCs w:val="21"/>
                    </w:rPr>
                  </w:pPr>
                  <w:r>
                    <w:rPr>
                      <w:rFonts w:hint="default" w:ascii="Times New Roman" w:hAnsi="Times New Roman" w:eastAsia="宋体" w:cs="Times New Roman"/>
                      <w:b/>
                      <w:bCs/>
                      <w:color w:val="auto"/>
                      <w:szCs w:val="21"/>
                    </w:rPr>
                    <w:t>限值</w:t>
                  </w:r>
                </w:p>
                <w:p w14:paraId="3632465F">
                  <w:pPr>
                    <w:keepNext w:val="0"/>
                    <w:keepLines w:val="0"/>
                    <w:suppressLineNumbers w:val="0"/>
                    <w:spacing w:before="0" w:beforeAutospacing="0" w:after="0" w:afterAutospacing="0"/>
                    <w:ind w:left="0" w:right="0"/>
                    <w:jc w:val="center"/>
                    <w:rPr>
                      <w:rFonts w:hint="default" w:ascii="Times New Roman" w:hAnsi="Times New Roman" w:eastAsia="宋体" w:cs="Times New Roman"/>
                      <w:b/>
                      <w:bCs/>
                      <w:color w:val="auto"/>
                      <w:szCs w:val="21"/>
                    </w:rPr>
                  </w:pPr>
                  <w:r>
                    <w:rPr>
                      <w:rFonts w:hint="default" w:ascii="Times New Roman" w:hAnsi="Times New Roman" w:eastAsia="宋体" w:cs="Times New Roman"/>
                      <w:b/>
                      <w:bCs/>
                      <w:color w:val="auto"/>
                      <w:szCs w:val="21"/>
                    </w:rPr>
                    <w:t>mg/m</w:t>
                  </w:r>
                  <w:r>
                    <w:rPr>
                      <w:rFonts w:hint="default" w:ascii="Times New Roman" w:hAnsi="Times New Roman" w:eastAsia="宋体" w:cs="Times New Roman"/>
                      <w:b/>
                      <w:bCs/>
                      <w:color w:val="auto"/>
                      <w:szCs w:val="21"/>
                      <w:vertAlign w:val="superscript"/>
                    </w:rPr>
                    <w:t>3</w:t>
                  </w:r>
                </w:p>
              </w:tc>
              <w:tc>
                <w:tcPr>
                  <w:tcW w:w="243" w:type="pct"/>
                  <w:tcBorders>
                    <w:left w:val="single" w:color="auto" w:sz="4" w:space="0"/>
                    <w:right w:val="single" w:color="auto" w:sz="4" w:space="0"/>
                  </w:tcBorders>
                  <w:vAlign w:val="center"/>
                </w:tcPr>
                <w:p w14:paraId="41C28B18">
                  <w:pPr>
                    <w:keepNext w:val="0"/>
                    <w:keepLines w:val="0"/>
                    <w:suppressLineNumbers w:val="0"/>
                    <w:spacing w:before="0" w:beforeAutospacing="0" w:after="0" w:afterAutospacing="0"/>
                    <w:ind w:left="0" w:right="0"/>
                    <w:jc w:val="center"/>
                    <w:rPr>
                      <w:rFonts w:hint="default" w:ascii="Times New Roman" w:hAnsi="Times New Roman" w:eastAsia="宋体" w:cs="Times New Roman"/>
                      <w:b/>
                      <w:bCs/>
                      <w:color w:val="auto"/>
                      <w:szCs w:val="21"/>
                    </w:rPr>
                  </w:pPr>
                  <w:r>
                    <w:rPr>
                      <w:rFonts w:hint="default" w:ascii="Times New Roman" w:hAnsi="Times New Roman" w:eastAsia="宋体" w:cs="Times New Roman"/>
                      <w:b/>
                      <w:bCs/>
                      <w:color w:val="auto"/>
                      <w:szCs w:val="21"/>
                    </w:rPr>
                    <w:t>速率</w:t>
                  </w:r>
                </w:p>
                <w:p w14:paraId="5F5EF6BA">
                  <w:pPr>
                    <w:keepNext w:val="0"/>
                    <w:keepLines w:val="0"/>
                    <w:suppressLineNumbers w:val="0"/>
                    <w:spacing w:before="0" w:beforeAutospacing="0" w:after="0" w:afterAutospacing="0"/>
                    <w:ind w:left="0" w:right="0"/>
                    <w:jc w:val="center"/>
                    <w:rPr>
                      <w:rFonts w:hint="default" w:ascii="Times New Roman" w:hAnsi="Times New Roman" w:eastAsia="宋体" w:cs="Times New Roman"/>
                      <w:b/>
                      <w:bCs/>
                      <w:color w:val="auto"/>
                      <w:szCs w:val="21"/>
                    </w:rPr>
                  </w:pPr>
                  <w:r>
                    <w:rPr>
                      <w:rFonts w:hint="default" w:ascii="Times New Roman" w:hAnsi="Times New Roman" w:eastAsia="宋体" w:cs="Times New Roman"/>
                      <w:b/>
                      <w:bCs/>
                      <w:color w:val="auto"/>
                      <w:szCs w:val="21"/>
                    </w:rPr>
                    <w:t>限值kg/h</w:t>
                  </w:r>
                </w:p>
              </w:tc>
            </w:tr>
            <w:tr w14:paraId="66A7EAA1">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397" w:hRule="atLeast"/>
                <w:jc w:val="center"/>
              </w:trPr>
              <w:tc>
                <w:tcPr>
                  <w:tcW w:w="308" w:type="pct"/>
                  <w:vMerge w:val="restart"/>
                  <w:tcBorders>
                    <w:right w:val="single" w:color="auto" w:sz="4" w:space="0"/>
                  </w:tcBorders>
                  <w:vAlign w:val="center"/>
                </w:tcPr>
                <w:p w14:paraId="0D62539C">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lang w:val="en-US" w:eastAsia="zh-CN"/>
                    </w:rPr>
                    <w:t>烘烤</w:t>
                  </w:r>
                  <w:r>
                    <w:rPr>
                      <w:rFonts w:hint="default" w:ascii="Times New Roman" w:hAnsi="Times New Roman" w:eastAsia="宋体" w:cs="Times New Roman"/>
                      <w:color w:val="auto"/>
                      <w:szCs w:val="21"/>
                    </w:rPr>
                    <w:t>固化</w:t>
                  </w:r>
                </w:p>
              </w:tc>
              <w:tc>
                <w:tcPr>
                  <w:tcW w:w="299" w:type="pct"/>
                  <w:vMerge w:val="restart"/>
                  <w:tcBorders>
                    <w:left w:val="single" w:color="auto" w:sz="4" w:space="0"/>
                    <w:right w:val="single" w:color="auto" w:sz="4" w:space="0"/>
                  </w:tcBorders>
                  <w:vAlign w:val="center"/>
                </w:tcPr>
                <w:p w14:paraId="102E4963">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rPr>
                    <w:t>非甲烷总烃</w:t>
                  </w:r>
                </w:p>
              </w:tc>
              <w:tc>
                <w:tcPr>
                  <w:tcW w:w="320" w:type="pct"/>
                  <w:vMerge w:val="restart"/>
                  <w:tcBorders>
                    <w:left w:val="single" w:color="auto" w:sz="4" w:space="0"/>
                    <w:right w:val="single" w:color="auto" w:sz="4" w:space="0"/>
                  </w:tcBorders>
                  <w:vAlign w:val="center"/>
                </w:tcPr>
                <w:p w14:paraId="5AC219E7">
                  <w:pPr>
                    <w:keepNext w:val="0"/>
                    <w:keepLines w:val="0"/>
                    <w:suppressLineNumbers w:val="0"/>
                    <w:spacing w:before="0" w:beforeAutospacing="0" w:after="0" w:afterAutospacing="0"/>
                    <w:ind w:left="0" w:right="0"/>
                    <w:jc w:val="center"/>
                    <w:rPr>
                      <w:rFonts w:hint="eastAsia" w:ascii="Times New Roman" w:hAnsi="Times New Roman" w:eastAsia="宋体" w:cs="Times New Roman"/>
                      <w:color w:val="auto"/>
                      <w:szCs w:val="21"/>
                      <w:lang w:val="en-US" w:eastAsia="zh-CN"/>
                    </w:rPr>
                  </w:pPr>
                  <w:r>
                    <w:rPr>
                      <w:rFonts w:hint="eastAsia" w:ascii="Times New Roman" w:hAnsi="Times New Roman" w:eastAsia="宋体" w:cs="Times New Roman"/>
                      <w:color w:val="auto"/>
                      <w:szCs w:val="21"/>
                      <w:lang w:val="en-US" w:eastAsia="zh-CN"/>
                    </w:rPr>
                    <w:t>/</w:t>
                  </w:r>
                </w:p>
              </w:tc>
              <w:tc>
                <w:tcPr>
                  <w:tcW w:w="314" w:type="pct"/>
                  <w:vMerge w:val="restart"/>
                  <w:tcBorders>
                    <w:left w:val="single" w:color="auto" w:sz="4" w:space="0"/>
                    <w:right w:val="single" w:color="auto" w:sz="4" w:space="0"/>
                  </w:tcBorders>
                  <w:vAlign w:val="center"/>
                </w:tcPr>
                <w:p w14:paraId="77D5D36A">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宋体" w:cs="Times New Roman"/>
                      <w:color w:val="0000E1"/>
                      <w:szCs w:val="21"/>
                      <w:lang w:val="en-US"/>
                    </w:rPr>
                  </w:pPr>
                  <w:r>
                    <w:rPr>
                      <w:rFonts w:hint="eastAsia" w:ascii="Times New Roman" w:hAnsi="Times New Roman" w:eastAsia="宋体" w:cs="Times New Roman"/>
                      <w:color w:val="0000E1"/>
                      <w:kern w:val="2"/>
                      <w:sz w:val="21"/>
                      <w:szCs w:val="21"/>
                      <w:lang w:val="en-US" w:eastAsia="zh-CN"/>
                    </w:rPr>
                    <w:t>0.563</w:t>
                  </w:r>
                </w:p>
              </w:tc>
              <w:tc>
                <w:tcPr>
                  <w:tcW w:w="278" w:type="pct"/>
                  <w:vMerge w:val="restart"/>
                  <w:tcBorders>
                    <w:left w:val="single" w:color="auto" w:sz="4" w:space="0"/>
                    <w:right w:val="single" w:color="auto" w:sz="4" w:space="0"/>
                  </w:tcBorders>
                  <w:vAlign w:val="center"/>
                </w:tcPr>
                <w:p w14:paraId="6368A2EF">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宋体" w:cs="Times New Roman"/>
                      <w:color w:val="0000E1"/>
                      <w:szCs w:val="21"/>
                    </w:rPr>
                  </w:pPr>
                  <w:r>
                    <w:rPr>
                      <w:rFonts w:hint="eastAsia" w:ascii="Times New Roman" w:hAnsi="Times New Roman" w:eastAsia="宋体" w:cs="Times New Roman"/>
                      <w:color w:val="0000E1"/>
                      <w:kern w:val="2"/>
                      <w:sz w:val="21"/>
                      <w:szCs w:val="21"/>
                      <w:lang w:val="en-US" w:eastAsia="zh-CN"/>
                    </w:rPr>
                    <w:t>2.704</w:t>
                  </w:r>
                </w:p>
              </w:tc>
              <w:tc>
                <w:tcPr>
                  <w:tcW w:w="374" w:type="pct"/>
                  <w:tcBorders>
                    <w:left w:val="single" w:color="auto" w:sz="4" w:space="0"/>
                    <w:right w:val="single" w:color="auto" w:sz="4" w:space="0"/>
                  </w:tcBorders>
                  <w:vAlign w:val="center"/>
                </w:tcPr>
                <w:p w14:paraId="403F99DE">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rPr>
                    <w:t>有组织</w:t>
                  </w:r>
                </w:p>
              </w:tc>
              <w:tc>
                <w:tcPr>
                  <w:tcW w:w="311" w:type="pct"/>
                  <w:tcBorders>
                    <w:left w:val="single" w:color="auto" w:sz="4" w:space="0"/>
                  </w:tcBorders>
                  <w:vAlign w:val="center"/>
                </w:tcPr>
                <w:p w14:paraId="62FEBAD4">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r>
                    <w:rPr>
                      <w:rFonts w:hint="eastAsia" w:ascii="Times New Roman" w:hAnsi="Times New Roman" w:eastAsia="宋体" w:cs="Times New Roman"/>
                      <w:color w:val="auto"/>
                      <w:szCs w:val="21"/>
                      <w:lang w:val="en-US" w:eastAsia="zh-CN"/>
                    </w:rPr>
                    <w:t>①</w:t>
                  </w:r>
                </w:p>
              </w:tc>
              <w:tc>
                <w:tcPr>
                  <w:tcW w:w="283" w:type="pct"/>
                  <w:gridSpan w:val="2"/>
                  <w:tcBorders>
                    <w:left w:val="single" w:color="auto" w:sz="4" w:space="0"/>
                  </w:tcBorders>
                  <w:vAlign w:val="center"/>
                </w:tcPr>
                <w:p w14:paraId="61524768">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lang w:val="en-US" w:eastAsia="zh-CN"/>
                    </w:rPr>
                    <w:t>37000</w:t>
                  </w:r>
                </w:p>
              </w:tc>
              <w:tc>
                <w:tcPr>
                  <w:tcW w:w="253" w:type="pct"/>
                  <w:gridSpan w:val="2"/>
                  <w:tcBorders>
                    <w:left w:val="single" w:color="auto" w:sz="4" w:space="0"/>
                    <w:right w:val="single" w:color="auto" w:sz="4" w:space="0"/>
                  </w:tcBorders>
                  <w:vAlign w:val="center"/>
                </w:tcPr>
                <w:p w14:paraId="2C8A4C4E">
                  <w:pPr>
                    <w:keepNext w:val="0"/>
                    <w:keepLines w:val="0"/>
                    <w:suppressLineNumbers w:val="0"/>
                    <w:spacing w:before="0" w:beforeAutospacing="0" w:after="0" w:afterAutospacing="0"/>
                    <w:ind w:left="0" w:right="0"/>
                    <w:jc w:val="center"/>
                    <w:rPr>
                      <w:rFonts w:hint="eastAsia" w:ascii="Times New Roman" w:hAnsi="Times New Roman" w:eastAsia="宋体" w:cs="Times New Roman"/>
                      <w:color w:val="auto"/>
                      <w:szCs w:val="21"/>
                      <w:lang w:val="en-US" w:eastAsia="zh-CN"/>
                    </w:rPr>
                  </w:pPr>
                  <w:r>
                    <w:rPr>
                      <w:rFonts w:hint="default" w:ascii="Times New Roman" w:hAnsi="Times New Roman" w:eastAsia="宋体" w:cs="Times New Roman"/>
                      <w:color w:val="auto"/>
                      <w:szCs w:val="21"/>
                    </w:rPr>
                    <w:t>9</w:t>
                  </w:r>
                  <w:r>
                    <w:rPr>
                      <w:rFonts w:hint="eastAsia" w:ascii="Times New Roman" w:hAnsi="Times New Roman" w:eastAsia="宋体" w:cs="Times New Roman"/>
                      <w:color w:val="auto"/>
                      <w:szCs w:val="21"/>
                      <w:lang w:val="en-US" w:eastAsia="zh-CN"/>
                    </w:rPr>
                    <w:t>5</w:t>
                  </w:r>
                </w:p>
              </w:tc>
              <w:tc>
                <w:tcPr>
                  <w:tcW w:w="273" w:type="pct"/>
                  <w:gridSpan w:val="2"/>
                  <w:tcBorders>
                    <w:left w:val="single" w:color="auto" w:sz="4" w:space="0"/>
                    <w:right w:val="single" w:color="auto" w:sz="4" w:space="0"/>
                  </w:tcBorders>
                  <w:vAlign w:val="center"/>
                </w:tcPr>
                <w:p w14:paraId="509E18E9">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rPr>
                    <w:t>80</w:t>
                  </w:r>
                </w:p>
              </w:tc>
              <w:tc>
                <w:tcPr>
                  <w:tcW w:w="261" w:type="pct"/>
                  <w:gridSpan w:val="2"/>
                  <w:tcBorders>
                    <w:left w:val="single" w:color="auto" w:sz="4" w:space="0"/>
                    <w:right w:val="single" w:color="auto" w:sz="4" w:space="0"/>
                  </w:tcBorders>
                  <w:vAlign w:val="center"/>
                </w:tcPr>
                <w:p w14:paraId="5C2E94E9">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rPr>
                    <w:t>是</w:t>
                  </w:r>
                </w:p>
              </w:tc>
              <w:tc>
                <w:tcPr>
                  <w:tcW w:w="328" w:type="pct"/>
                  <w:tcBorders>
                    <w:left w:val="single" w:color="auto" w:sz="4" w:space="0"/>
                  </w:tcBorders>
                  <w:vAlign w:val="center"/>
                </w:tcPr>
                <w:p w14:paraId="02138890">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color w:val="0000E1"/>
                      <w:szCs w:val="21"/>
                    </w:rPr>
                  </w:pPr>
                  <w:r>
                    <w:rPr>
                      <w:rFonts w:hint="default" w:ascii="Times New Roman" w:hAnsi="Times New Roman" w:eastAsia="宋体" w:cs="Times New Roman"/>
                      <w:i w:val="0"/>
                      <w:iCs w:val="0"/>
                      <w:color w:val="0000E1"/>
                      <w:kern w:val="0"/>
                      <w:sz w:val="21"/>
                      <w:szCs w:val="21"/>
                      <w:u w:val="none"/>
                      <w:lang w:val="en-US" w:eastAsia="zh-CN" w:bidi="ar"/>
                    </w:rPr>
                    <w:t>2.9</w:t>
                  </w:r>
                </w:p>
              </w:tc>
              <w:tc>
                <w:tcPr>
                  <w:tcW w:w="277" w:type="pct"/>
                  <w:tcBorders>
                    <w:right w:val="single" w:color="auto" w:sz="4" w:space="0"/>
                  </w:tcBorders>
                  <w:vAlign w:val="center"/>
                </w:tcPr>
                <w:p w14:paraId="426AAE97">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color w:val="0000E1"/>
                      <w:szCs w:val="21"/>
                    </w:rPr>
                  </w:pPr>
                  <w:r>
                    <w:rPr>
                      <w:rFonts w:hint="default" w:ascii="Times New Roman" w:hAnsi="Times New Roman" w:eastAsia="宋体" w:cs="Times New Roman"/>
                      <w:i w:val="0"/>
                      <w:iCs w:val="0"/>
                      <w:color w:val="0000E1"/>
                      <w:kern w:val="0"/>
                      <w:sz w:val="21"/>
                      <w:szCs w:val="21"/>
                      <w:u w:val="none"/>
                      <w:lang w:val="en-US" w:eastAsia="zh-CN" w:bidi="ar"/>
                    </w:rPr>
                    <w:t>0.107</w:t>
                  </w:r>
                </w:p>
              </w:tc>
              <w:tc>
                <w:tcPr>
                  <w:tcW w:w="281" w:type="pct"/>
                  <w:tcBorders>
                    <w:left w:val="single" w:color="auto" w:sz="4" w:space="0"/>
                    <w:right w:val="single" w:color="auto" w:sz="4" w:space="0"/>
                  </w:tcBorders>
                  <w:vAlign w:val="center"/>
                </w:tcPr>
                <w:p w14:paraId="11B8AC21">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color w:val="0000E1"/>
                      <w:szCs w:val="21"/>
                    </w:rPr>
                  </w:pPr>
                  <w:r>
                    <w:rPr>
                      <w:rFonts w:hint="default" w:ascii="Times New Roman" w:hAnsi="Times New Roman" w:eastAsia="宋体" w:cs="Times New Roman"/>
                      <w:i w:val="0"/>
                      <w:iCs w:val="0"/>
                      <w:color w:val="0000E1"/>
                      <w:kern w:val="0"/>
                      <w:sz w:val="21"/>
                      <w:szCs w:val="21"/>
                      <w:u w:val="none"/>
                      <w:lang w:val="en-US" w:eastAsia="zh-CN" w:bidi="ar"/>
                    </w:rPr>
                    <w:t>0.514</w:t>
                  </w:r>
                </w:p>
              </w:tc>
              <w:tc>
                <w:tcPr>
                  <w:tcW w:w="329" w:type="pct"/>
                  <w:tcBorders>
                    <w:left w:val="single" w:color="auto" w:sz="4" w:space="0"/>
                    <w:right w:val="single" w:color="auto" w:sz="4" w:space="0"/>
                  </w:tcBorders>
                  <w:vAlign w:val="center"/>
                </w:tcPr>
                <w:p w14:paraId="74B02D3A">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rPr>
                    <w:t>DA001</w:t>
                  </w:r>
                </w:p>
              </w:tc>
              <w:tc>
                <w:tcPr>
                  <w:tcW w:w="261" w:type="pct"/>
                  <w:tcBorders>
                    <w:left w:val="single" w:color="auto" w:sz="4" w:space="0"/>
                    <w:right w:val="single" w:color="auto" w:sz="4" w:space="0"/>
                  </w:tcBorders>
                  <w:vAlign w:val="center"/>
                </w:tcPr>
                <w:p w14:paraId="25C3EF9A">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lang w:val="en-US" w:eastAsia="zh-CN"/>
                    </w:rPr>
                  </w:pPr>
                  <w:r>
                    <w:rPr>
                      <w:rFonts w:hint="eastAsia" w:ascii="Times New Roman" w:hAnsi="Times New Roman" w:eastAsia="宋体" w:cs="Times New Roman"/>
                      <w:color w:val="auto"/>
                      <w:szCs w:val="21"/>
                      <w:lang w:val="en-US" w:eastAsia="zh-CN"/>
                    </w:rPr>
                    <w:t>60</w:t>
                  </w:r>
                </w:p>
              </w:tc>
              <w:tc>
                <w:tcPr>
                  <w:tcW w:w="243" w:type="pct"/>
                  <w:tcBorders>
                    <w:left w:val="single" w:color="auto" w:sz="4" w:space="0"/>
                    <w:right w:val="single" w:color="auto" w:sz="4" w:space="0"/>
                  </w:tcBorders>
                  <w:vAlign w:val="center"/>
                </w:tcPr>
                <w:p w14:paraId="68CB9F37">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rPr>
                    <w:t>/</w:t>
                  </w:r>
                </w:p>
              </w:tc>
            </w:tr>
            <w:tr w14:paraId="4B08506F">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397" w:hRule="atLeast"/>
                <w:jc w:val="center"/>
              </w:trPr>
              <w:tc>
                <w:tcPr>
                  <w:tcW w:w="308" w:type="pct"/>
                  <w:vMerge w:val="continue"/>
                  <w:tcBorders>
                    <w:right w:val="single" w:color="auto" w:sz="4" w:space="0"/>
                  </w:tcBorders>
                  <w:vAlign w:val="center"/>
                </w:tcPr>
                <w:p w14:paraId="52E100AC">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p>
              </w:tc>
              <w:tc>
                <w:tcPr>
                  <w:tcW w:w="299" w:type="pct"/>
                  <w:vMerge w:val="continue"/>
                  <w:tcBorders>
                    <w:left w:val="single" w:color="auto" w:sz="4" w:space="0"/>
                    <w:right w:val="single" w:color="auto" w:sz="4" w:space="0"/>
                  </w:tcBorders>
                  <w:vAlign w:val="center"/>
                </w:tcPr>
                <w:p w14:paraId="1CE3ACB0">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p>
              </w:tc>
              <w:tc>
                <w:tcPr>
                  <w:tcW w:w="320" w:type="pct"/>
                  <w:vMerge w:val="continue"/>
                  <w:tcBorders>
                    <w:left w:val="single" w:color="auto" w:sz="4" w:space="0"/>
                    <w:right w:val="single" w:color="auto" w:sz="4" w:space="0"/>
                  </w:tcBorders>
                  <w:vAlign w:val="center"/>
                </w:tcPr>
                <w:p w14:paraId="6564AC7C">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p>
              </w:tc>
              <w:tc>
                <w:tcPr>
                  <w:tcW w:w="314" w:type="pct"/>
                  <w:vMerge w:val="continue"/>
                  <w:tcBorders>
                    <w:left w:val="single" w:color="auto" w:sz="4" w:space="0"/>
                    <w:right w:val="single" w:color="auto" w:sz="4" w:space="0"/>
                  </w:tcBorders>
                  <w:vAlign w:val="center"/>
                </w:tcPr>
                <w:p w14:paraId="6239F500">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p>
              </w:tc>
              <w:tc>
                <w:tcPr>
                  <w:tcW w:w="278" w:type="pct"/>
                  <w:vMerge w:val="continue"/>
                  <w:tcBorders>
                    <w:left w:val="single" w:color="auto" w:sz="4" w:space="0"/>
                    <w:right w:val="single" w:color="auto" w:sz="4" w:space="0"/>
                  </w:tcBorders>
                  <w:vAlign w:val="center"/>
                </w:tcPr>
                <w:p w14:paraId="7E554E0D">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p>
              </w:tc>
              <w:tc>
                <w:tcPr>
                  <w:tcW w:w="374" w:type="pct"/>
                  <w:tcBorders>
                    <w:left w:val="single" w:color="auto" w:sz="4" w:space="0"/>
                    <w:right w:val="single" w:color="auto" w:sz="4" w:space="0"/>
                  </w:tcBorders>
                  <w:vAlign w:val="center"/>
                </w:tcPr>
                <w:p w14:paraId="6478E6AD">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rPr>
                    <w:t>无组织</w:t>
                  </w:r>
                </w:p>
              </w:tc>
              <w:tc>
                <w:tcPr>
                  <w:tcW w:w="1382" w:type="pct"/>
                  <w:gridSpan w:val="9"/>
                  <w:tcBorders>
                    <w:left w:val="single" w:color="auto" w:sz="4" w:space="0"/>
                    <w:right w:val="single" w:color="auto" w:sz="4" w:space="0"/>
                  </w:tcBorders>
                  <w:vAlign w:val="center"/>
                </w:tcPr>
                <w:p w14:paraId="0D366759">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rPr>
                    <w:t>/</w:t>
                  </w:r>
                </w:p>
              </w:tc>
              <w:tc>
                <w:tcPr>
                  <w:tcW w:w="328" w:type="pct"/>
                  <w:tcBorders>
                    <w:left w:val="single" w:color="auto" w:sz="4" w:space="0"/>
                  </w:tcBorders>
                  <w:vAlign w:val="center"/>
                </w:tcPr>
                <w:p w14:paraId="7B277567">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0000E1"/>
                      <w:szCs w:val="21"/>
                    </w:rPr>
                  </w:pPr>
                  <w:r>
                    <w:rPr>
                      <w:rFonts w:hint="default" w:ascii="Times New Roman" w:hAnsi="Times New Roman" w:eastAsia="宋体" w:cs="Times New Roman"/>
                      <w:color w:val="0000E1"/>
                      <w:szCs w:val="21"/>
                    </w:rPr>
                    <w:t>/</w:t>
                  </w:r>
                </w:p>
              </w:tc>
              <w:tc>
                <w:tcPr>
                  <w:tcW w:w="277" w:type="pct"/>
                  <w:tcBorders>
                    <w:right w:val="single" w:color="auto" w:sz="4" w:space="0"/>
                  </w:tcBorders>
                  <w:vAlign w:val="center"/>
                </w:tcPr>
                <w:p w14:paraId="33CFF9D6">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color w:val="0000E1"/>
                      <w:szCs w:val="21"/>
                    </w:rPr>
                  </w:pPr>
                  <w:r>
                    <w:rPr>
                      <w:rFonts w:hint="default" w:ascii="Times New Roman" w:hAnsi="Times New Roman" w:eastAsia="宋体" w:cs="Times New Roman"/>
                      <w:i w:val="0"/>
                      <w:iCs w:val="0"/>
                      <w:color w:val="0000E1"/>
                      <w:kern w:val="0"/>
                      <w:sz w:val="21"/>
                      <w:szCs w:val="21"/>
                      <w:u w:val="none"/>
                      <w:lang w:val="en-US" w:eastAsia="zh-CN" w:bidi="ar"/>
                    </w:rPr>
                    <w:t>0.028</w:t>
                  </w:r>
                </w:p>
              </w:tc>
              <w:tc>
                <w:tcPr>
                  <w:tcW w:w="281" w:type="pct"/>
                  <w:tcBorders>
                    <w:left w:val="single" w:color="auto" w:sz="4" w:space="0"/>
                    <w:right w:val="single" w:color="auto" w:sz="4" w:space="0"/>
                  </w:tcBorders>
                  <w:vAlign w:val="center"/>
                </w:tcPr>
                <w:p w14:paraId="4CB065AD">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color w:val="0000E1"/>
                      <w:szCs w:val="21"/>
                    </w:rPr>
                  </w:pPr>
                  <w:r>
                    <w:rPr>
                      <w:rFonts w:hint="default" w:ascii="Times New Roman" w:hAnsi="Times New Roman" w:eastAsia="宋体" w:cs="Times New Roman"/>
                      <w:i w:val="0"/>
                      <w:iCs w:val="0"/>
                      <w:color w:val="0000E1"/>
                      <w:kern w:val="0"/>
                      <w:sz w:val="21"/>
                      <w:szCs w:val="21"/>
                      <w:u w:val="none"/>
                      <w:lang w:val="en-US" w:eastAsia="zh-CN" w:bidi="ar"/>
                    </w:rPr>
                    <w:t>0.135</w:t>
                  </w:r>
                </w:p>
              </w:tc>
              <w:tc>
                <w:tcPr>
                  <w:tcW w:w="329" w:type="pct"/>
                  <w:tcBorders>
                    <w:left w:val="single" w:color="auto" w:sz="4" w:space="0"/>
                    <w:right w:val="single" w:color="auto" w:sz="4" w:space="0"/>
                  </w:tcBorders>
                  <w:vAlign w:val="center"/>
                </w:tcPr>
                <w:p w14:paraId="26397D02">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rPr>
                    <w:t>/</w:t>
                  </w:r>
                </w:p>
              </w:tc>
              <w:tc>
                <w:tcPr>
                  <w:tcW w:w="261" w:type="pct"/>
                  <w:tcBorders>
                    <w:left w:val="single" w:color="auto" w:sz="4" w:space="0"/>
                    <w:right w:val="single" w:color="auto" w:sz="4" w:space="0"/>
                  </w:tcBorders>
                  <w:vAlign w:val="center"/>
                </w:tcPr>
                <w:p w14:paraId="067D836E">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lang w:val="en-US" w:eastAsia="zh-CN"/>
                    </w:rPr>
                  </w:pPr>
                  <w:r>
                    <w:rPr>
                      <w:rFonts w:hint="eastAsia" w:ascii="Times New Roman" w:hAnsi="Times New Roman" w:eastAsia="宋体" w:cs="Times New Roman"/>
                      <w:color w:val="auto"/>
                      <w:szCs w:val="21"/>
                      <w:lang w:val="en-US" w:eastAsia="zh-CN"/>
                    </w:rPr>
                    <w:t>4.0</w:t>
                  </w:r>
                </w:p>
              </w:tc>
              <w:tc>
                <w:tcPr>
                  <w:tcW w:w="243" w:type="pct"/>
                  <w:tcBorders>
                    <w:left w:val="single" w:color="auto" w:sz="4" w:space="0"/>
                    <w:right w:val="single" w:color="auto" w:sz="4" w:space="0"/>
                  </w:tcBorders>
                  <w:vAlign w:val="center"/>
                </w:tcPr>
                <w:p w14:paraId="1827D44D">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rPr>
                    <w:t>/</w:t>
                  </w:r>
                </w:p>
              </w:tc>
            </w:tr>
            <w:tr w14:paraId="45CA24A7">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397" w:hRule="atLeast"/>
                <w:jc w:val="center"/>
              </w:trPr>
              <w:tc>
                <w:tcPr>
                  <w:tcW w:w="308" w:type="pct"/>
                  <w:vMerge w:val="continue"/>
                  <w:tcBorders>
                    <w:right w:val="single" w:color="auto" w:sz="4" w:space="0"/>
                  </w:tcBorders>
                  <w:vAlign w:val="center"/>
                </w:tcPr>
                <w:p w14:paraId="712973A4">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p>
              </w:tc>
              <w:tc>
                <w:tcPr>
                  <w:tcW w:w="299" w:type="pct"/>
                  <w:vMerge w:val="restart"/>
                  <w:tcBorders>
                    <w:left w:val="single" w:color="auto" w:sz="4" w:space="0"/>
                    <w:right w:val="single" w:color="auto" w:sz="4" w:space="0"/>
                  </w:tcBorders>
                  <w:vAlign w:val="center"/>
                </w:tcPr>
                <w:p w14:paraId="4EFD9821">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rPr>
                    <w:t>臭气浓度</w:t>
                  </w:r>
                </w:p>
              </w:tc>
              <w:tc>
                <w:tcPr>
                  <w:tcW w:w="320" w:type="pct"/>
                  <w:vMerge w:val="restart"/>
                  <w:tcBorders>
                    <w:left w:val="single" w:color="auto" w:sz="4" w:space="0"/>
                    <w:right w:val="single" w:color="auto" w:sz="4" w:space="0"/>
                  </w:tcBorders>
                  <w:vAlign w:val="center"/>
                </w:tcPr>
                <w:p w14:paraId="3A64734F">
                  <w:pPr>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color w:val="auto"/>
                      <w:szCs w:val="21"/>
                    </w:rPr>
                  </w:pPr>
                  <w:r>
                    <w:rPr>
                      <w:rFonts w:hint="eastAsia" w:ascii="Times New Roman" w:hAnsi="Times New Roman" w:eastAsia="宋体" w:cs="Times New Roman"/>
                      <w:color w:val="auto"/>
                      <w:szCs w:val="21"/>
                      <w:lang w:val="en-US" w:eastAsia="zh-CN"/>
                    </w:rPr>
                    <w:t>/</w:t>
                  </w:r>
                </w:p>
              </w:tc>
              <w:tc>
                <w:tcPr>
                  <w:tcW w:w="314" w:type="pct"/>
                  <w:vMerge w:val="restart"/>
                  <w:tcBorders>
                    <w:left w:val="single" w:color="auto" w:sz="4" w:space="0"/>
                    <w:right w:val="single" w:color="auto" w:sz="4" w:space="0"/>
                  </w:tcBorders>
                  <w:vAlign w:val="center"/>
                </w:tcPr>
                <w:p w14:paraId="1F8F8C82">
                  <w:pPr>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color w:val="auto"/>
                      <w:szCs w:val="21"/>
                    </w:rPr>
                  </w:pPr>
                  <w:r>
                    <w:rPr>
                      <w:rFonts w:hint="eastAsia" w:ascii="Times New Roman" w:hAnsi="Times New Roman" w:eastAsia="宋体" w:cs="Times New Roman"/>
                      <w:color w:val="auto"/>
                      <w:szCs w:val="21"/>
                      <w:lang w:val="en-US" w:eastAsia="zh-CN"/>
                    </w:rPr>
                    <w:t>/</w:t>
                  </w:r>
                </w:p>
              </w:tc>
              <w:tc>
                <w:tcPr>
                  <w:tcW w:w="278" w:type="pct"/>
                  <w:vMerge w:val="restart"/>
                  <w:tcBorders>
                    <w:left w:val="single" w:color="auto" w:sz="4" w:space="0"/>
                    <w:right w:val="single" w:color="auto" w:sz="4" w:space="0"/>
                  </w:tcBorders>
                  <w:vAlign w:val="center"/>
                </w:tcPr>
                <w:p w14:paraId="084600CE">
                  <w:pPr>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color w:val="auto"/>
                      <w:szCs w:val="21"/>
                    </w:rPr>
                  </w:pPr>
                  <w:r>
                    <w:rPr>
                      <w:rFonts w:hint="eastAsia" w:ascii="Times New Roman" w:hAnsi="Times New Roman" w:eastAsia="宋体" w:cs="Times New Roman"/>
                      <w:color w:val="auto"/>
                      <w:szCs w:val="21"/>
                      <w:lang w:val="en-US" w:eastAsia="zh-CN"/>
                    </w:rPr>
                    <w:t>少量</w:t>
                  </w:r>
                </w:p>
              </w:tc>
              <w:tc>
                <w:tcPr>
                  <w:tcW w:w="374" w:type="pct"/>
                  <w:tcBorders>
                    <w:left w:val="single" w:color="auto" w:sz="4" w:space="0"/>
                    <w:right w:val="single" w:color="auto" w:sz="4" w:space="0"/>
                  </w:tcBorders>
                  <w:shd w:val="clear" w:color="auto" w:fill="auto"/>
                  <w:vAlign w:val="center"/>
                </w:tcPr>
                <w:p w14:paraId="675FB680">
                  <w:pPr>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color w:val="auto"/>
                      <w:kern w:val="2"/>
                      <w:sz w:val="21"/>
                      <w:szCs w:val="21"/>
                      <w:lang w:val="en-US" w:eastAsia="zh-CN" w:bidi="ar-SA"/>
                    </w:rPr>
                  </w:pPr>
                  <w:r>
                    <w:rPr>
                      <w:rFonts w:hint="default" w:ascii="Times New Roman" w:hAnsi="Times New Roman" w:eastAsia="宋体" w:cs="Times New Roman"/>
                      <w:color w:val="auto"/>
                      <w:szCs w:val="21"/>
                    </w:rPr>
                    <w:t>有组织</w:t>
                  </w:r>
                </w:p>
              </w:tc>
              <w:tc>
                <w:tcPr>
                  <w:tcW w:w="311" w:type="pct"/>
                  <w:tcBorders>
                    <w:left w:val="single" w:color="auto" w:sz="4" w:space="0"/>
                    <w:right w:val="single" w:color="auto" w:sz="4" w:space="0"/>
                  </w:tcBorders>
                  <w:vAlign w:val="center"/>
                </w:tcPr>
                <w:p w14:paraId="03757A8B">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lang w:val="en-US" w:eastAsia="zh-CN"/>
                    </w:rPr>
                    <w:t>①</w:t>
                  </w:r>
                </w:p>
              </w:tc>
              <w:tc>
                <w:tcPr>
                  <w:tcW w:w="283" w:type="pct"/>
                  <w:gridSpan w:val="2"/>
                  <w:tcBorders>
                    <w:left w:val="single" w:color="auto" w:sz="4" w:space="0"/>
                    <w:right w:val="single" w:color="auto" w:sz="4" w:space="0"/>
                  </w:tcBorders>
                  <w:shd w:val="clear" w:color="auto" w:fill="auto"/>
                  <w:vAlign w:val="center"/>
                </w:tcPr>
                <w:p w14:paraId="63F0676F">
                  <w:pPr>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color w:val="auto"/>
                      <w:kern w:val="2"/>
                      <w:sz w:val="21"/>
                      <w:szCs w:val="21"/>
                      <w:lang w:val="en-US" w:eastAsia="zh-CN" w:bidi="ar-SA"/>
                    </w:rPr>
                  </w:pPr>
                  <w:r>
                    <w:rPr>
                      <w:rFonts w:hint="default" w:ascii="Times New Roman" w:hAnsi="Times New Roman" w:eastAsia="宋体" w:cs="Times New Roman"/>
                      <w:color w:val="auto"/>
                      <w:szCs w:val="21"/>
                      <w:lang w:val="en-US" w:eastAsia="zh-CN"/>
                    </w:rPr>
                    <w:t>37000</w:t>
                  </w:r>
                </w:p>
              </w:tc>
              <w:tc>
                <w:tcPr>
                  <w:tcW w:w="253" w:type="pct"/>
                  <w:gridSpan w:val="2"/>
                  <w:tcBorders>
                    <w:left w:val="single" w:color="auto" w:sz="4" w:space="0"/>
                    <w:right w:val="single" w:color="auto" w:sz="4" w:space="0"/>
                  </w:tcBorders>
                  <w:shd w:val="clear" w:color="auto" w:fill="auto"/>
                  <w:vAlign w:val="center"/>
                </w:tcPr>
                <w:p w14:paraId="1907CF4D">
                  <w:pPr>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color w:val="auto"/>
                      <w:kern w:val="2"/>
                      <w:sz w:val="21"/>
                      <w:szCs w:val="21"/>
                      <w:lang w:val="en-US" w:eastAsia="zh-CN" w:bidi="ar-SA"/>
                    </w:rPr>
                  </w:pPr>
                  <w:r>
                    <w:rPr>
                      <w:rFonts w:hint="default" w:ascii="Times New Roman" w:hAnsi="Times New Roman" w:eastAsia="宋体" w:cs="Times New Roman"/>
                      <w:color w:val="auto"/>
                      <w:szCs w:val="21"/>
                    </w:rPr>
                    <w:t>9</w:t>
                  </w:r>
                  <w:r>
                    <w:rPr>
                      <w:rFonts w:hint="eastAsia" w:ascii="Times New Roman" w:hAnsi="Times New Roman" w:eastAsia="宋体" w:cs="Times New Roman"/>
                      <w:color w:val="auto"/>
                      <w:szCs w:val="21"/>
                      <w:lang w:val="en-US" w:eastAsia="zh-CN"/>
                    </w:rPr>
                    <w:t>5</w:t>
                  </w:r>
                </w:p>
              </w:tc>
              <w:tc>
                <w:tcPr>
                  <w:tcW w:w="273" w:type="pct"/>
                  <w:gridSpan w:val="2"/>
                  <w:tcBorders>
                    <w:left w:val="single" w:color="auto" w:sz="4" w:space="0"/>
                    <w:right w:val="single" w:color="auto" w:sz="4" w:space="0"/>
                  </w:tcBorders>
                  <w:shd w:val="clear" w:color="auto" w:fill="auto"/>
                  <w:vAlign w:val="center"/>
                </w:tcPr>
                <w:p w14:paraId="2E5C6759">
                  <w:pPr>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color w:val="auto"/>
                      <w:kern w:val="2"/>
                      <w:sz w:val="21"/>
                      <w:szCs w:val="21"/>
                      <w:lang w:val="en-US" w:eastAsia="zh-CN" w:bidi="ar-SA"/>
                    </w:rPr>
                  </w:pPr>
                  <w:r>
                    <w:rPr>
                      <w:rFonts w:hint="default" w:ascii="Times New Roman" w:hAnsi="Times New Roman" w:eastAsia="宋体" w:cs="Times New Roman"/>
                      <w:color w:val="auto"/>
                      <w:szCs w:val="21"/>
                    </w:rPr>
                    <w:t>80</w:t>
                  </w:r>
                </w:p>
              </w:tc>
              <w:tc>
                <w:tcPr>
                  <w:tcW w:w="261" w:type="pct"/>
                  <w:gridSpan w:val="2"/>
                  <w:tcBorders>
                    <w:left w:val="single" w:color="auto" w:sz="4" w:space="0"/>
                    <w:right w:val="single" w:color="auto" w:sz="4" w:space="0"/>
                  </w:tcBorders>
                  <w:shd w:val="clear" w:color="auto" w:fill="auto"/>
                  <w:vAlign w:val="center"/>
                </w:tcPr>
                <w:p w14:paraId="4FB2A0A3">
                  <w:pPr>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color w:val="auto"/>
                      <w:kern w:val="2"/>
                      <w:sz w:val="21"/>
                      <w:szCs w:val="21"/>
                      <w:lang w:val="en-US" w:eastAsia="zh-CN" w:bidi="ar-SA"/>
                    </w:rPr>
                  </w:pPr>
                  <w:r>
                    <w:rPr>
                      <w:rFonts w:hint="default" w:ascii="Times New Roman" w:hAnsi="Times New Roman" w:eastAsia="宋体" w:cs="Times New Roman"/>
                      <w:color w:val="auto"/>
                      <w:szCs w:val="21"/>
                    </w:rPr>
                    <w:t>是</w:t>
                  </w:r>
                </w:p>
              </w:tc>
              <w:tc>
                <w:tcPr>
                  <w:tcW w:w="328" w:type="pct"/>
                  <w:tcBorders>
                    <w:left w:val="single" w:color="auto" w:sz="4" w:space="0"/>
                  </w:tcBorders>
                  <w:vAlign w:val="center"/>
                </w:tcPr>
                <w:p w14:paraId="5E410281">
                  <w:pPr>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color w:val="auto"/>
                      <w:szCs w:val="21"/>
                    </w:rPr>
                  </w:pPr>
                  <w:r>
                    <w:rPr>
                      <w:rFonts w:hint="eastAsia" w:ascii="Times New Roman" w:hAnsi="Times New Roman" w:eastAsia="宋体" w:cs="Times New Roman"/>
                      <w:color w:val="auto"/>
                      <w:szCs w:val="21"/>
                      <w:lang w:val="en-US" w:eastAsia="zh-CN"/>
                    </w:rPr>
                    <w:t>/</w:t>
                  </w:r>
                </w:p>
              </w:tc>
              <w:tc>
                <w:tcPr>
                  <w:tcW w:w="277" w:type="pct"/>
                  <w:tcBorders>
                    <w:right w:val="single" w:color="auto" w:sz="4" w:space="0"/>
                  </w:tcBorders>
                  <w:vAlign w:val="center"/>
                </w:tcPr>
                <w:p w14:paraId="16985195">
                  <w:pPr>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color w:val="auto"/>
                      <w:szCs w:val="21"/>
                    </w:rPr>
                  </w:pPr>
                  <w:r>
                    <w:rPr>
                      <w:rFonts w:hint="eastAsia" w:ascii="Times New Roman" w:hAnsi="Times New Roman" w:eastAsia="宋体" w:cs="Times New Roman"/>
                      <w:color w:val="auto"/>
                      <w:szCs w:val="21"/>
                      <w:lang w:val="en-US" w:eastAsia="zh-CN"/>
                    </w:rPr>
                    <w:t>/</w:t>
                  </w:r>
                </w:p>
              </w:tc>
              <w:tc>
                <w:tcPr>
                  <w:tcW w:w="281" w:type="pct"/>
                  <w:tcBorders>
                    <w:left w:val="single" w:color="auto" w:sz="4" w:space="0"/>
                    <w:right w:val="single" w:color="auto" w:sz="4" w:space="0"/>
                  </w:tcBorders>
                  <w:vAlign w:val="center"/>
                </w:tcPr>
                <w:p w14:paraId="08F0B640">
                  <w:pPr>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color w:val="auto"/>
                      <w:szCs w:val="21"/>
                    </w:rPr>
                  </w:pPr>
                  <w:r>
                    <w:rPr>
                      <w:rFonts w:hint="eastAsia" w:ascii="Times New Roman" w:hAnsi="Times New Roman" w:eastAsia="宋体" w:cs="Times New Roman"/>
                      <w:color w:val="auto"/>
                      <w:szCs w:val="21"/>
                      <w:lang w:val="en-US" w:eastAsia="zh-CN"/>
                    </w:rPr>
                    <w:t>少量</w:t>
                  </w:r>
                </w:p>
              </w:tc>
              <w:tc>
                <w:tcPr>
                  <w:tcW w:w="329" w:type="pct"/>
                  <w:tcBorders>
                    <w:left w:val="single" w:color="auto" w:sz="4" w:space="0"/>
                    <w:right w:val="single" w:color="auto" w:sz="4" w:space="0"/>
                  </w:tcBorders>
                  <w:vAlign w:val="center"/>
                </w:tcPr>
                <w:p w14:paraId="7FC14FEE">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rPr>
                    <w:t>DA001</w:t>
                  </w:r>
                </w:p>
              </w:tc>
              <w:tc>
                <w:tcPr>
                  <w:tcW w:w="261" w:type="pct"/>
                  <w:tcBorders>
                    <w:left w:val="single" w:color="auto" w:sz="4" w:space="0"/>
                    <w:right w:val="single" w:color="auto" w:sz="4" w:space="0"/>
                  </w:tcBorders>
                  <w:vAlign w:val="center"/>
                </w:tcPr>
                <w:p w14:paraId="3E9E4B18">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lang w:val="en-US" w:eastAsia="zh-CN"/>
                    </w:rPr>
                  </w:pPr>
                  <w:r>
                    <w:rPr>
                      <w:rFonts w:hint="eastAsia" w:ascii="Times New Roman" w:hAnsi="Times New Roman" w:eastAsia="宋体" w:cs="Times New Roman"/>
                      <w:color w:val="auto"/>
                      <w:szCs w:val="21"/>
                      <w:lang w:val="en-US" w:eastAsia="zh-CN"/>
                    </w:rPr>
                    <w:t>1000（无量纲）</w:t>
                  </w:r>
                </w:p>
              </w:tc>
              <w:tc>
                <w:tcPr>
                  <w:tcW w:w="243" w:type="pct"/>
                  <w:tcBorders>
                    <w:left w:val="single" w:color="auto" w:sz="4" w:space="0"/>
                    <w:right w:val="single" w:color="auto" w:sz="4" w:space="0"/>
                  </w:tcBorders>
                  <w:vAlign w:val="center"/>
                </w:tcPr>
                <w:p w14:paraId="5A604C61">
                  <w:pPr>
                    <w:keepNext w:val="0"/>
                    <w:keepLines w:val="0"/>
                    <w:suppressLineNumbers w:val="0"/>
                    <w:spacing w:before="0" w:beforeAutospacing="0" w:after="0" w:afterAutospacing="0"/>
                    <w:ind w:left="0" w:right="0"/>
                    <w:jc w:val="center"/>
                    <w:rPr>
                      <w:rFonts w:hint="eastAsia" w:ascii="Times New Roman" w:hAnsi="Times New Roman" w:eastAsia="宋体" w:cs="Times New Roman"/>
                      <w:color w:val="auto"/>
                      <w:szCs w:val="21"/>
                      <w:lang w:val="en-US" w:eastAsia="zh-CN"/>
                    </w:rPr>
                  </w:pPr>
                  <w:r>
                    <w:rPr>
                      <w:rFonts w:hint="eastAsia" w:ascii="Times New Roman" w:hAnsi="Times New Roman" w:eastAsia="宋体" w:cs="Times New Roman"/>
                      <w:color w:val="auto"/>
                      <w:szCs w:val="21"/>
                      <w:lang w:val="en-US" w:eastAsia="zh-CN"/>
                    </w:rPr>
                    <w:t>/</w:t>
                  </w:r>
                </w:p>
              </w:tc>
            </w:tr>
            <w:tr w14:paraId="36C7B0E7">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397" w:hRule="atLeast"/>
                <w:jc w:val="center"/>
              </w:trPr>
              <w:tc>
                <w:tcPr>
                  <w:tcW w:w="308" w:type="pct"/>
                  <w:vMerge w:val="continue"/>
                  <w:tcBorders>
                    <w:right w:val="single" w:color="auto" w:sz="4" w:space="0"/>
                  </w:tcBorders>
                  <w:vAlign w:val="center"/>
                </w:tcPr>
                <w:p w14:paraId="25F2CC4B">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p>
              </w:tc>
              <w:tc>
                <w:tcPr>
                  <w:tcW w:w="299" w:type="pct"/>
                  <w:vMerge w:val="continue"/>
                  <w:tcBorders>
                    <w:left w:val="single" w:color="auto" w:sz="4" w:space="0"/>
                    <w:right w:val="single" w:color="auto" w:sz="4" w:space="0"/>
                  </w:tcBorders>
                  <w:vAlign w:val="center"/>
                </w:tcPr>
                <w:p w14:paraId="5EB1A9B0">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p>
              </w:tc>
              <w:tc>
                <w:tcPr>
                  <w:tcW w:w="320" w:type="pct"/>
                  <w:vMerge w:val="continue"/>
                  <w:tcBorders>
                    <w:left w:val="single" w:color="auto" w:sz="4" w:space="0"/>
                    <w:right w:val="single" w:color="auto" w:sz="4" w:space="0"/>
                  </w:tcBorders>
                  <w:vAlign w:val="center"/>
                </w:tcPr>
                <w:p w14:paraId="5E9C6D83">
                  <w:pPr>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color w:val="auto"/>
                      <w:szCs w:val="21"/>
                    </w:rPr>
                  </w:pPr>
                </w:p>
              </w:tc>
              <w:tc>
                <w:tcPr>
                  <w:tcW w:w="314" w:type="pct"/>
                  <w:vMerge w:val="continue"/>
                  <w:tcBorders>
                    <w:left w:val="single" w:color="auto" w:sz="4" w:space="0"/>
                    <w:right w:val="single" w:color="auto" w:sz="4" w:space="0"/>
                  </w:tcBorders>
                  <w:vAlign w:val="center"/>
                </w:tcPr>
                <w:p w14:paraId="72CE7843">
                  <w:pPr>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color w:val="auto"/>
                      <w:szCs w:val="21"/>
                    </w:rPr>
                  </w:pPr>
                </w:p>
              </w:tc>
              <w:tc>
                <w:tcPr>
                  <w:tcW w:w="278" w:type="pct"/>
                  <w:vMerge w:val="continue"/>
                  <w:tcBorders>
                    <w:left w:val="single" w:color="auto" w:sz="4" w:space="0"/>
                    <w:right w:val="single" w:color="auto" w:sz="4" w:space="0"/>
                  </w:tcBorders>
                  <w:vAlign w:val="center"/>
                </w:tcPr>
                <w:p w14:paraId="63878202">
                  <w:pPr>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color w:val="auto"/>
                      <w:szCs w:val="21"/>
                    </w:rPr>
                  </w:pPr>
                </w:p>
              </w:tc>
              <w:tc>
                <w:tcPr>
                  <w:tcW w:w="374" w:type="pct"/>
                  <w:tcBorders>
                    <w:left w:val="single" w:color="auto" w:sz="4" w:space="0"/>
                    <w:right w:val="single" w:color="auto" w:sz="4" w:space="0"/>
                  </w:tcBorders>
                  <w:shd w:val="clear" w:color="auto" w:fill="auto"/>
                  <w:vAlign w:val="center"/>
                </w:tcPr>
                <w:p w14:paraId="2E8AA2C9">
                  <w:pPr>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color w:val="auto"/>
                      <w:kern w:val="2"/>
                      <w:sz w:val="21"/>
                      <w:szCs w:val="21"/>
                      <w:lang w:val="en-US" w:eastAsia="zh-CN" w:bidi="ar-SA"/>
                    </w:rPr>
                  </w:pPr>
                  <w:r>
                    <w:rPr>
                      <w:rFonts w:hint="default" w:ascii="Times New Roman" w:hAnsi="Times New Roman" w:eastAsia="宋体" w:cs="Times New Roman"/>
                      <w:color w:val="auto"/>
                      <w:szCs w:val="21"/>
                    </w:rPr>
                    <w:t>无组织</w:t>
                  </w:r>
                </w:p>
              </w:tc>
              <w:tc>
                <w:tcPr>
                  <w:tcW w:w="1382" w:type="pct"/>
                  <w:gridSpan w:val="9"/>
                  <w:tcBorders>
                    <w:left w:val="single" w:color="auto" w:sz="4" w:space="0"/>
                    <w:right w:val="single" w:color="auto" w:sz="4" w:space="0"/>
                  </w:tcBorders>
                  <w:vAlign w:val="center"/>
                </w:tcPr>
                <w:p w14:paraId="1BD24E6A">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p>
              </w:tc>
              <w:tc>
                <w:tcPr>
                  <w:tcW w:w="328" w:type="pct"/>
                  <w:tcBorders>
                    <w:left w:val="single" w:color="auto" w:sz="4" w:space="0"/>
                  </w:tcBorders>
                  <w:vAlign w:val="center"/>
                </w:tcPr>
                <w:p w14:paraId="5AB29580">
                  <w:pPr>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color w:val="auto"/>
                      <w:szCs w:val="21"/>
                    </w:rPr>
                  </w:pPr>
                  <w:r>
                    <w:rPr>
                      <w:rFonts w:hint="eastAsia" w:ascii="Times New Roman" w:hAnsi="Times New Roman" w:eastAsia="宋体" w:cs="Times New Roman"/>
                      <w:color w:val="auto"/>
                      <w:szCs w:val="21"/>
                      <w:lang w:val="en-US" w:eastAsia="zh-CN"/>
                    </w:rPr>
                    <w:t>/</w:t>
                  </w:r>
                </w:p>
              </w:tc>
              <w:tc>
                <w:tcPr>
                  <w:tcW w:w="277" w:type="pct"/>
                  <w:tcBorders>
                    <w:right w:val="single" w:color="auto" w:sz="4" w:space="0"/>
                  </w:tcBorders>
                  <w:vAlign w:val="center"/>
                </w:tcPr>
                <w:p w14:paraId="7FBBA453">
                  <w:pPr>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color w:val="auto"/>
                      <w:szCs w:val="21"/>
                    </w:rPr>
                  </w:pPr>
                  <w:r>
                    <w:rPr>
                      <w:rFonts w:hint="eastAsia" w:ascii="Times New Roman" w:hAnsi="Times New Roman" w:eastAsia="宋体" w:cs="Times New Roman"/>
                      <w:color w:val="auto"/>
                      <w:szCs w:val="21"/>
                      <w:lang w:val="en-US" w:eastAsia="zh-CN"/>
                    </w:rPr>
                    <w:t>/</w:t>
                  </w:r>
                </w:p>
              </w:tc>
              <w:tc>
                <w:tcPr>
                  <w:tcW w:w="281" w:type="pct"/>
                  <w:tcBorders>
                    <w:left w:val="single" w:color="auto" w:sz="4" w:space="0"/>
                    <w:right w:val="single" w:color="auto" w:sz="4" w:space="0"/>
                  </w:tcBorders>
                  <w:vAlign w:val="center"/>
                </w:tcPr>
                <w:p w14:paraId="07495AB3">
                  <w:pPr>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color w:val="auto"/>
                      <w:szCs w:val="21"/>
                    </w:rPr>
                  </w:pPr>
                  <w:r>
                    <w:rPr>
                      <w:rFonts w:hint="eastAsia" w:ascii="Times New Roman" w:hAnsi="Times New Roman" w:eastAsia="宋体" w:cs="Times New Roman"/>
                      <w:color w:val="auto"/>
                      <w:szCs w:val="21"/>
                      <w:lang w:val="en-US" w:eastAsia="zh-CN"/>
                    </w:rPr>
                    <w:t>少量</w:t>
                  </w:r>
                </w:p>
              </w:tc>
              <w:tc>
                <w:tcPr>
                  <w:tcW w:w="329" w:type="pct"/>
                  <w:tcBorders>
                    <w:left w:val="single" w:color="auto" w:sz="4" w:space="0"/>
                    <w:right w:val="single" w:color="auto" w:sz="4" w:space="0"/>
                  </w:tcBorders>
                  <w:vAlign w:val="center"/>
                </w:tcPr>
                <w:p w14:paraId="3D6F302A">
                  <w:pPr>
                    <w:keepNext w:val="0"/>
                    <w:keepLines w:val="0"/>
                    <w:suppressLineNumbers w:val="0"/>
                    <w:spacing w:before="0" w:beforeAutospacing="0" w:after="0" w:afterAutospacing="0"/>
                    <w:ind w:left="0" w:right="0"/>
                    <w:jc w:val="center"/>
                    <w:rPr>
                      <w:rFonts w:hint="eastAsia" w:ascii="Times New Roman" w:hAnsi="Times New Roman" w:eastAsia="宋体" w:cs="Times New Roman"/>
                      <w:color w:val="auto"/>
                      <w:szCs w:val="21"/>
                      <w:lang w:val="en-US" w:eastAsia="zh-CN"/>
                    </w:rPr>
                  </w:pPr>
                  <w:r>
                    <w:rPr>
                      <w:rFonts w:hint="eastAsia" w:ascii="Times New Roman" w:hAnsi="Times New Roman" w:eastAsia="宋体" w:cs="Times New Roman"/>
                      <w:color w:val="auto"/>
                      <w:szCs w:val="21"/>
                      <w:lang w:val="en-US" w:eastAsia="zh-CN"/>
                    </w:rPr>
                    <w:t>/</w:t>
                  </w:r>
                </w:p>
              </w:tc>
              <w:tc>
                <w:tcPr>
                  <w:tcW w:w="261" w:type="pct"/>
                  <w:tcBorders>
                    <w:left w:val="single" w:color="auto" w:sz="4" w:space="0"/>
                    <w:right w:val="single" w:color="auto" w:sz="4" w:space="0"/>
                  </w:tcBorders>
                  <w:shd w:val="clear" w:color="auto" w:fill="auto"/>
                  <w:vAlign w:val="center"/>
                </w:tcPr>
                <w:p w14:paraId="6B6E06D3">
                  <w:pPr>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color w:val="auto"/>
                      <w:kern w:val="2"/>
                      <w:sz w:val="21"/>
                      <w:szCs w:val="21"/>
                      <w:lang w:val="en-US" w:eastAsia="zh-CN" w:bidi="ar-SA"/>
                    </w:rPr>
                  </w:pPr>
                  <w:r>
                    <w:rPr>
                      <w:rFonts w:hint="eastAsia" w:ascii="Times New Roman" w:hAnsi="Times New Roman" w:eastAsia="宋体" w:cs="Times New Roman"/>
                      <w:color w:val="auto"/>
                      <w:szCs w:val="21"/>
                      <w:lang w:val="en-US" w:eastAsia="zh-CN"/>
                    </w:rPr>
                    <w:t>20（无量纲）</w:t>
                  </w:r>
                </w:p>
              </w:tc>
              <w:tc>
                <w:tcPr>
                  <w:tcW w:w="243" w:type="pct"/>
                  <w:tcBorders>
                    <w:left w:val="single" w:color="auto" w:sz="4" w:space="0"/>
                    <w:right w:val="single" w:color="auto" w:sz="4" w:space="0"/>
                  </w:tcBorders>
                  <w:shd w:val="clear" w:color="auto" w:fill="auto"/>
                  <w:vAlign w:val="center"/>
                </w:tcPr>
                <w:p w14:paraId="49DABBC6">
                  <w:pPr>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color w:val="auto"/>
                      <w:kern w:val="2"/>
                      <w:sz w:val="21"/>
                      <w:szCs w:val="21"/>
                      <w:lang w:val="en-US" w:eastAsia="zh-CN" w:bidi="ar-SA"/>
                    </w:rPr>
                  </w:pPr>
                  <w:r>
                    <w:rPr>
                      <w:rFonts w:hint="eastAsia" w:ascii="Times New Roman" w:hAnsi="Times New Roman" w:eastAsia="宋体" w:cs="Times New Roman"/>
                      <w:color w:val="auto"/>
                      <w:szCs w:val="21"/>
                      <w:lang w:val="en-US" w:eastAsia="zh-CN"/>
                    </w:rPr>
                    <w:t>/</w:t>
                  </w:r>
                </w:p>
              </w:tc>
            </w:tr>
            <w:tr w14:paraId="3DFF34BE">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397" w:hRule="atLeast"/>
                <w:jc w:val="center"/>
              </w:trPr>
              <w:tc>
                <w:tcPr>
                  <w:tcW w:w="308" w:type="pct"/>
                  <w:vMerge w:val="restart"/>
                  <w:tcBorders>
                    <w:right w:val="single" w:color="auto" w:sz="4" w:space="0"/>
                  </w:tcBorders>
                  <w:vAlign w:val="center"/>
                </w:tcPr>
                <w:p w14:paraId="19029096">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lang w:val="en-US" w:eastAsia="zh-CN"/>
                    </w:rPr>
                    <w:t>背胶</w:t>
                  </w:r>
                </w:p>
              </w:tc>
              <w:tc>
                <w:tcPr>
                  <w:tcW w:w="299" w:type="pct"/>
                  <w:vMerge w:val="restart"/>
                  <w:tcBorders>
                    <w:left w:val="single" w:color="auto" w:sz="4" w:space="0"/>
                    <w:right w:val="single" w:color="auto" w:sz="4" w:space="0"/>
                  </w:tcBorders>
                  <w:vAlign w:val="center"/>
                </w:tcPr>
                <w:p w14:paraId="1271914D">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rPr>
                    <w:t>非甲烷总烃</w:t>
                  </w:r>
                </w:p>
              </w:tc>
              <w:tc>
                <w:tcPr>
                  <w:tcW w:w="320" w:type="pct"/>
                  <w:vMerge w:val="restart"/>
                  <w:tcBorders>
                    <w:left w:val="single" w:color="auto" w:sz="4" w:space="0"/>
                    <w:right w:val="single" w:color="auto" w:sz="4" w:space="0"/>
                  </w:tcBorders>
                  <w:vAlign w:val="center"/>
                </w:tcPr>
                <w:p w14:paraId="29E00367">
                  <w:pPr>
                    <w:keepNext w:val="0"/>
                    <w:keepLines w:val="0"/>
                    <w:suppressLineNumbers w:val="0"/>
                    <w:spacing w:before="0" w:beforeAutospacing="0" w:after="0" w:afterAutospacing="0"/>
                    <w:ind w:left="0" w:right="0"/>
                    <w:jc w:val="center"/>
                    <w:rPr>
                      <w:rFonts w:hint="eastAsia" w:ascii="Times New Roman" w:hAnsi="Times New Roman" w:eastAsia="宋体" w:cs="Times New Roman"/>
                      <w:color w:val="auto"/>
                      <w:szCs w:val="21"/>
                      <w:lang w:val="en-US" w:eastAsia="zh-CN"/>
                    </w:rPr>
                  </w:pPr>
                  <w:r>
                    <w:rPr>
                      <w:rFonts w:hint="eastAsia" w:ascii="Times New Roman" w:hAnsi="Times New Roman" w:eastAsia="宋体" w:cs="Times New Roman"/>
                      <w:color w:val="auto"/>
                      <w:szCs w:val="21"/>
                      <w:lang w:val="en-US" w:eastAsia="zh-CN"/>
                    </w:rPr>
                    <w:t>/</w:t>
                  </w:r>
                </w:p>
              </w:tc>
              <w:tc>
                <w:tcPr>
                  <w:tcW w:w="314" w:type="pct"/>
                  <w:vMerge w:val="restart"/>
                  <w:tcBorders>
                    <w:left w:val="single" w:color="auto" w:sz="4" w:space="0"/>
                    <w:right w:val="single" w:color="auto" w:sz="4" w:space="0"/>
                  </w:tcBorders>
                  <w:vAlign w:val="center"/>
                </w:tcPr>
                <w:p w14:paraId="4B1A73C6">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宋体" w:cs="Times New Roman"/>
                      <w:color w:val="auto"/>
                      <w:szCs w:val="21"/>
                    </w:rPr>
                  </w:pPr>
                  <w:r>
                    <w:rPr>
                      <w:rFonts w:hint="eastAsia" w:ascii="Times New Roman" w:hAnsi="Times New Roman" w:eastAsia="宋体" w:cs="Times New Roman"/>
                      <w:color w:val="auto"/>
                      <w:kern w:val="2"/>
                      <w:sz w:val="21"/>
                      <w:szCs w:val="21"/>
                      <w:lang w:val="en-US" w:eastAsia="zh-CN"/>
                    </w:rPr>
                    <w:t>0.007</w:t>
                  </w:r>
                </w:p>
              </w:tc>
              <w:tc>
                <w:tcPr>
                  <w:tcW w:w="278" w:type="pct"/>
                  <w:vMerge w:val="restart"/>
                  <w:tcBorders>
                    <w:left w:val="single" w:color="auto" w:sz="4" w:space="0"/>
                    <w:right w:val="single" w:color="auto" w:sz="4" w:space="0"/>
                  </w:tcBorders>
                  <w:vAlign w:val="center"/>
                </w:tcPr>
                <w:p w14:paraId="11EF4463">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宋体" w:cs="Times New Roman"/>
                      <w:color w:val="auto"/>
                      <w:szCs w:val="21"/>
                    </w:rPr>
                  </w:pPr>
                  <w:r>
                    <w:rPr>
                      <w:rFonts w:hint="eastAsia" w:ascii="Times New Roman" w:hAnsi="Times New Roman" w:eastAsia="宋体" w:cs="Times New Roman"/>
                      <w:color w:val="auto"/>
                      <w:kern w:val="2"/>
                      <w:sz w:val="21"/>
                      <w:szCs w:val="21"/>
                      <w:lang w:val="en-US" w:eastAsia="zh-CN"/>
                    </w:rPr>
                    <w:t>0.017</w:t>
                  </w:r>
                </w:p>
              </w:tc>
              <w:tc>
                <w:tcPr>
                  <w:tcW w:w="374" w:type="pct"/>
                  <w:tcBorders>
                    <w:left w:val="single" w:color="auto" w:sz="4" w:space="0"/>
                    <w:right w:val="single" w:color="auto" w:sz="4" w:space="0"/>
                  </w:tcBorders>
                  <w:vAlign w:val="center"/>
                </w:tcPr>
                <w:p w14:paraId="231F45C2">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rPr>
                    <w:t>有组织</w:t>
                  </w:r>
                </w:p>
              </w:tc>
              <w:tc>
                <w:tcPr>
                  <w:tcW w:w="311" w:type="pct"/>
                  <w:tcBorders>
                    <w:left w:val="single" w:color="auto" w:sz="4" w:space="0"/>
                    <w:right w:val="single" w:color="auto" w:sz="4" w:space="0"/>
                  </w:tcBorders>
                  <w:vAlign w:val="center"/>
                </w:tcPr>
                <w:p w14:paraId="01C3FB5F">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lang w:val="en-US" w:eastAsia="zh-CN"/>
                    </w:rPr>
                    <w:t>①</w:t>
                  </w:r>
                </w:p>
              </w:tc>
              <w:tc>
                <w:tcPr>
                  <w:tcW w:w="283" w:type="pct"/>
                  <w:gridSpan w:val="2"/>
                  <w:tcBorders>
                    <w:left w:val="single" w:color="auto" w:sz="4" w:space="0"/>
                    <w:right w:val="single" w:color="auto" w:sz="4" w:space="0"/>
                  </w:tcBorders>
                  <w:vAlign w:val="center"/>
                </w:tcPr>
                <w:p w14:paraId="568F2176">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r>
                    <w:rPr>
                      <w:rFonts w:hint="eastAsia" w:ascii="Times New Roman" w:hAnsi="Times New Roman" w:eastAsia="宋体" w:cs="Times New Roman"/>
                      <w:color w:val="auto"/>
                      <w:szCs w:val="21"/>
                      <w:lang w:val="en-US" w:eastAsia="zh-CN"/>
                    </w:rPr>
                    <w:t>37000</w:t>
                  </w:r>
                </w:p>
              </w:tc>
              <w:tc>
                <w:tcPr>
                  <w:tcW w:w="253" w:type="pct"/>
                  <w:gridSpan w:val="2"/>
                  <w:tcBorders>
                    <w:left w:val="single" w:color="auto" w:sz="4" w:space="0"/>
                    <w:right w:val="single" w:color="auto" w:sz="4" w:space="0"/>
                  </w:tcBorders>
                  <w:vAlign w:val="center"/>
                </w:tcPr>
                <w:p w14:paraId="4C037D51">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lang w:val="en-US" w:eastAsia="zh-CN"/>
                    </w:rPr>
                  </w:pPr>
                  <w:r>
                    <w:rPr>
                      <w:rFonts w:hint="eastAsia" w:ascii="Times New Roman" w:hAnsi="Times New Roman" w:eastAsia="宋体" w:cs="Times New Roman"/>
                      <w:color w:val="auto"/>
                      <w:szCs w:val="21"/>
                      <w:lang w:val="en-US" w:eastAsia="zh-CN"/>
                    </w:rPr>
                    <w:t>90</w:t>
                  </w:r>
                </w:p>
              </w:tc>
              <w:tc>
                <w:tcPr>
                  <w:tcW w:w="273" w:type="pct"/>
                  <w:gridSpan w:val="2"/>
                  <w:tcBorders>
                    <w:left w:val="single" w:color="auto" w:sz="4" w:space="0"/>
                    <w:right w:val="single" w:color="auto" w:sz="4" w:space="0"/>
                  </w:tcBorders>
                  <w:vAlign w:val="center"/>
                </w:tcPr>
                <w:p w14:paraId="3CEB67EA">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rPr>
                    <w:t>80</w:t>
                  </w:r>
                </w:p>
              </w:tc>
              <w:tc>
                <w:tcPr>
                  <w:tcW w:w="261" w:type="pct"/>
                  <w:gridSpan w:val="2"/>
                  <w:tcBorders>
                    <w:left w:val="single" w:color="auto" w:sz="4" w:space="0"/>
                    <w:right w:val="single" w:color="auto" w:sz="4" w:space="0"/>
                  </w:tcBorders>
                  <w:vAlign w:val="center"/>
                </w:tcPr>
                <w:p w14:paraId="2DFE4D88">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rPr>
                    <w:t>是</w:t>
                  </w:r>
                </w:p>
              </w:tc>
              <w:tc>
                <w:tcPr>
                  <w:tcW w:w="328" w:type="pct"/>
                  <w:tcBorders>
                    <w:left w:val="single" w:color="auto" w:sz="4" w:space="0"/>
                  </w:tcBorders>
                  <w:vAlign w:val="center"/>
                </w:tcPr>
                <w:p w14:paraId="0FF125DD">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宋体" w:cs="Times New Roman"/>
                      <w:color w:val="auto"/>
                      <w:szCs w:val="21"/>
                    </w:rPr>
                  </w:pPr>
                  <w:r>
                    <w:rPr>
                      <w:rFonts w:hint="eastAsia" w:ascii="Times New Roman" w:hAnsi="Times New Roman" w:eastAsia="宋体" w:cs="Times New Roman"/>
                      <w:color w:val="auto"/>
                      <w:kern w:val="2"/>
                      <w:sz w:val="21"/>
                      <w:szCs w:val="21"/>
                      <w:lang w:val="en-US" w:eastAsia="zh-CN"/>
                    </w:rPr>
                    <w:t>0.03</w:t>
                  </w:r>
                </w:p>
              </w:tc>
              <w:tc>
                <w:tcPr>
                  <w:tcW w:w="277" w:type="pct"/>
                  <w:tcBorders>
                    <w:right w:val="single" w:color="auto" w:sz="4" w:space="0"/>
                  </w:tcBorders>
                  <w:vAlign w:val="center"/>
                </w:tcPr>
                <w:p w14:paraId="31463F64">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宋体" w:cs="Times New Roman"/>
                      <w:color w:val="auto"/>
                      <w:szCs w:val="21"/>
                    </w:rPr>
                  </w:pPr>
                  <w:r>
                    <w:rPr>
                      <w:rFonts w:hint="eastAsia" w:ascii="Times New Roman" w:hAnsi="Times New Roman" w:eastAsia="宋体" w:cs="Times New Roman"/>
                      <w:color w:val="auto"/>
                      <w:kern w:val="2"/>
                      <w:sz w:val="21"/>
                      <w:szCs w:val="21"/>
                      <w:lang w:val="en-US" w:eastAsia="zh-CN"/>
                    </w:rPr>
                    <w:t>0.001</w:t>
                  </w:r>
                </w:p>
              </w:tc>
              <w:tc>
                <w:tcPr>
                  <w:tcW w:w="281" w:type="pct"/>
                  <w:tcBorders>
                    <w:left w:val="single" w:color="auto" w:sz="4" w:space="0"/>
                    <w:right w:val="single" w:color="auto" w:sz="4" w:space="0"/>
                  </w:tcBorders>
                  <w:vAlign w:val="center"/>
                </w:tcPr>
                <w:p w14:paraId="6EFAAA54">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宋体" w:cs="Times New Roman"/>
                      <w:color w:val="auto"/>
                      <w:szCs w:val="21"/>
                    </w:rPr>
                  </w:pPr>
                  <w:r>
                    <w:rPr>
                      <w:rFonts w:hint="eastAsia" w:ascii="Times New Roman" w:hAnsi="Times New Roman" w:eastAsia="宋体" w:cs="Times New Roman"/>
                      <w:color w:val="auto"/>
                      <w:kern w:val="2"/>
                      <w:sz w:val="21"/>
                      <w:szCs w:val="21"/>
                      <w:lang w:val="en-US" w:eastAsia="zh-CN"/>
                    </w:rPr>
                    <w:t>0.003</w:t>
                  </w:r>
                </w:p>
              </w:tc>
              <w:tc>
                <w:tcPr>
                  <w:tcW w:w="329" w:type="pct"/>
                  <w:tcBorders>
                    <w:left w:val="single" w:color="auto" w:sz="4" w:space="0"/>
                    <w:right w:val="single" w:color="auto" w:sz="4" w:space="0"/>
                  </w:tcBorders>
                  <w:vAlign w:val="center"/>
                </w:tcPr>
                <w:p w14:paraId="216551E7">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rPr>
                    <w:t>DA001</w:t>
                  </w:r>
                </w:p>
              </w:tc>
              <w:tc>
                <w:tcPr>
                  <w:tcW w:w="261" w:type="pct"/>
                  <w:tcBorders>
                    <w:left w:val="single" w:color="auto" w:sz="4" w:space="0"/>
                    <w:right w:val="single" w:color="auto" w:sz="4" w:space="0"/>
                  </w:tcBorders>
                  <w:vAlign w:val="center"/>
                </w:tcPr>
                <w:p w14:paraId="4703C849">
                  <w:pPr>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color w:val="auto"/>
                      <w:szCs w:val="21"/>
                    </w:rPr>
                  </w:pPr>
                  <w:r>
                    <w:rPr>
                      <w:rFonts w:hint="eastAsia" w:ascii="Times New Roman" w:hAnsi="Times New Roman" w:eastAsia="宋体" w:cs="Times New Roman"/>
                      <w:color w:val="auto"/>
                      <w:szCs w:val="21"/>
                      <w:lang w:val="en-US" w:eastAsia="zh-CN"/>
                    </w:rPr>
                    <w:t>60</w:t>
                  </w:r>
                </w:p>
              </w:tc>
              <w:tc>
                <w:tcPr>
                  <w:tcW w:w="243" w:type="pct"/>
                  <w:tcBorders>
                    <w:left w:val="single" w:color="auto" w:sz="4" w:space="0"/>
                    <w:right w:val="single" w:color="auto" w:sz="4" w:space="0"/>
                  </w:tcBorders>
                  <w:vAlign w:val="center"/>
                </w:tcPr>
                <w:p w14:paraId="7727694A">
                  <w:pPr>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rPr>
                    <w:t>/</w:t>
                  </w:r>
                </w:p>
              </w:tc>
            </w:tr>
            <w:tr w14:paraId="7D51C4E6">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397" w:hRule="atLeast"/>
                <w:jc w:val="center"/>
              </w:trPr>
              <w:tc>
                <w:tcPr>
                  <w:tcW w:w="308" w:type="pct"/>
                  <w:vMerge w:val="continue"/>
                  <w:tcBorders>
                    <w:right w:val="single" w:color="auto" w:sz="4" w:space="0"/>
                  </w:tcBorders>
                  <w:vAlign w:val="center"/>
                </w:tcPr>
                <w:p w14:paraId="7514DCD0">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p>
              </w:tc>
              <w:tc>
                <w:tcPr>
                  <w:tcW w:w="299" w:type="pct"/>
                  <w:vMerge w:val="continue"/>
                  <w:tcBorders>
                    <w:left w:val="single" w:color="auto" w:sz="4" w:space="0"/>
                    <w:right w:val="single" w:color="auto" w:sz="4" w:space="0"/>
                  </w:tcBorders>
                  <w:vAlign w:val="center"/>
                </w:tcPr>
                <w:p w14:paraId="3C681884">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p>
              </w:tc>
              <w:tc>
                <w:tcPr>
                  <w:tcW w:w="320" w:type="pct"/>
                  <w:vMerge w:val="continue"/>
                  <w:tcBorders>
                    <w:left w:val="single" w:color="auto" w:sz="4" w:space="0"/>
                    <w:right w:val="single" w:color="auto" w:sz="4" w:space="0"/>
                  </w:tcBorders>
                  <w:vAlign w:val="center"/>
                </w:tcPr>
                <w:p w14:paraId="00814AA9">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p>
              </w:tc>
              <w:tc>
                <w:tcPr>
                  <w:tcW w:w="314" w:type="pct"/>
                  <w:vMerge w:val="continue"/>
                  <w:tcBorders>
                    <w:left w:val="single" w:color="auto" w:sz="4" w:space="0"/>
                    <w:right w:val="single" w:color="auto" w:sz="4" w:space="0"/>
                  </w:tcBorders>
                  <w:vAlign w:val="center"/>
                </w:tcPr>
                <w:p w14:paraId="7B19EC8A">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p>
              </w:tc>
              <w:tc>
                <w:tcPr>
                  <w:tcW w:w="278" w:type="pct"/>
                  <w:vMerge w:val="continue"/>
                  <w:tcBorders>
                    <w:left w:val="single" w:color="auto" w:sz="4" w:space="0"/>
                    <w:right w:val="single" w:color="auto" w:sz="4" w:space="0"/>
                  </w:tcBorders>
                  <w:vAlign w:val="center"/>
                </w:tcPr>
                <w:p w14:paraId="718DDA49">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p>
              </w:tc>
              <w:tc>
                <w:tcPr>
                  <w:tcW w:w="374" w:type="pct"/>
                  <w:tcBorders>
                    <w:left w:val="single" w:color="auto" w:sz="4" w:space="0"/>
                    <w:right w:val="single" w:color="auto" w:sz="4" w:space="0"/>
                  </w:tcBorders>
                  <w:vAlign w:val="center"/>
                </w:tcPr>
                <w:p w14:paraId="2C945E59">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rPr>
                    <w:t>无组织</w:t>
                  </w:r>
                </w:p>
              </w:tc>
              <w:tc>
                <w:tcPr>
                  <w:tcW w:w="1382" w:type="pct"/>
                  <w:gridSpan w:val="9"/>
                  <w:tcBorders>
                    <w:left w:val="single" w:color="auto" w:sz="4" w:space="0"/>
                    <w:right w:val="single" w:color="auto" w:sz="4" w:space="0"/>
                  </w:tcBorders>
                  <w:vAlign w:val="center"/>
                </w:tcPr>
                <w:p w14:paraId="52F45738">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rPr>
                    <w:t>/</w:t>
                  </w:r>
                </w:p>
              </w:tc>
              <w:tc>
                <w:tcPr>
                  <w:tcW w:w="328" w:type="pct"/>
                  <w:tcBorders>
                    <w:left w:val="single" w:color="auto" w:sz="4" w:space="0"/>
                  </w:tcBorders>
                  <w:vAlign w:val="center"/>
                </w:tcPr>
                <w:p w14:paraId="02C2E5DA">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rPr>
                    <w:t>/</w:t>
                  </w:r>
                </w:p>
              </w:tc>
              <w:tc>
                <w:tcPr>
                  <w:tcW w:w="277" w:type="pct"/>
                  <w:tcBorders>
                    <w:right w:val="single" w:color="auto" w:sz="4" w:space="0"/>
                  </w:tcBorders>
                  <w:vAlign w:val="center"/>
                </w:tcPr>
                <w:p w14:paraId="09F87BE5">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宋体" w:cs="Times New Roman"/>
                      <w:color w:val="auto"/>
                      <w:szCs w:val="21"/>
                    </w:rPr>
                  </w:pPr>
                  <w:r>
                    <w:rPr>
                      <w:rFonts w:hint="eastAsia" w:ascii="Times New Roman" w:hAnsi="Times New Roman" w:eastAsia="宋体" w:cs="Times New Roman"/>
                      <w:color w:val="auto"/>
                      <w:kern w:val="2"/>
                      <w:sz w:val="21"/>
                      <w:szCs w:val="21"/>
                      <w:lang w:val="en-US" w:eastAsia="zh-CN"/>
                    </w:rPr>
                    <w:t>0.001</w:t>
                  </w:r>
                </w:p>
              </w:tc>
              <w:tc>
                <w:tcPr>
                  <w:tcW w:w="281" w:type="pct"/>
                  <w:tcBorders>
                    <w:left w:val="single" w:color="auto" w:sz="4" w:space="0"/>
                    <w:right w:val="single" w:color="auto" w:sz="4" w:space="0"/>
                  </w:tcBorders>
                  <w:vAlign w:val="center"/>
                </w:tcPr>
                <w:p w14:paraId="1CB5AD4E">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宋体" w:cs="Times New Roman"/>
                      <w:color w:val="auto"/>
                      <w:szCs w:val="21"/>
                    </w:rPr>
                  </w:pPr>
                  <w:r>
                    <w:rPr>
                      <w:rFonts w:hint="eastAsia" w:ascii="Times New Roman" w:hAnsi="Times New Roman" w:eastAsia="宋体" w:cs="Times New Roman"/>
                      <w:color w:val="auto"/>
                      <w:kern w:val="2"/>
                      <w:sz w:val="21"/>
                      <w:szCs w:val="21"/>
                      <w:lang w:val="en-US" w:eastAsia="zh-CN"/>
                    </w:rPr>
                    <w:t>0.002</w:t>
                  </w:r>
                </w:p>
              </w:tc>
              <w:tc>
                <w:tcPr>
                  <w:tcW w:w="329" w:type="pct"/>
                  <w:tcBorders>
                    <w:left w:val="single" w:color="auto" w:sz="4" w:space="0"/>
                    <w:right w:val="single" w:color="auto" w:sz="4" w:space="0"/>
                  </w:tcBorders>
                  <w:vAlign w:val="center"/>
                </w:tcPr>
                <w:p w14:paraId="00C63AC9">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rPr>
                    <w:t>/</w:t>
                  </w:r>
                </w:p>
              </w:tc>
              <w:tc>
                <w:tcPr>
                  <w:tcW w:w="261" w:type="pct"/>
                  <w:tcBorders>
                    <w:left w:val="single" w:color="auto" w:sz="4" w:space="0"/>
                    <w:right w:val="single" w:color="auto" w:sz="4" w:space="0"/>
                  </w:tcBorders>
                  <w:vAlign w:val="center"/>
                </w:tcPr>
                <w:p w14:paraId="4FC9D0C0">
                  <w:pPr>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color w:val="auto"/>
                      <w:szCs w:val="21"/>
                    </w:rPr>
                  </w:pPr>
                  <w:r>
                    <w:rPr>
                      <w:rFonts w:hint="eastAsia" w:ascii="Times New Roman" w:hAnsi="Times New Roman" w:eastAsia="宋体" w:cs="Times New Roman"/>
                      <w:color w:val="auto"/>
                      <w:szCs w:val="21"/>
                      <w:lang w:val="en-US" w:eastAsia="zh-CN"/>
                    </w:rPr>
                    <w:t>4.0</w:t>
                  </w:r>
                </w:p>
              </w:tc>
              <w:tc>
                <w:tcPr>
                  <w:tcW w:w="243" w:type="pct"/>
                  <w:tcBorders>
                    <w:left w:val="single" w:color="auto" w:sz="4" w:space="0"/>
                    <w:right w:val="single" w:color="auto" w:sz="4" w:space="0"/>
                  </w:tcBorders>
                  <w:vAlign w:val="center"/>
                </w:tcPr>
                <w:p w14:paraId="0C5A3FE4">
                  <w:pPr>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rPr>
                    <w:t>/</w:t>
                  </w:r>
                </w:p>
              </w:tc>
            </w:tr>
            <w:tr w14:paraId="5865FDA9">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397" w:hRule="atLeast"/>
                <w:jc w:val="center"/>
              </w:trPr>
              <w:tc>
                <w:tcPr>
                  <w:tcW w:w="308" w:type="pct"/>
                  <w:vMerge w:val="continue"/>
                  <w:tcBorders>
                    <w:right w:val="single" w:color="auto" w:sz="4" w:space="0"/>
                  </w:tcBorders>
                  <w:vAlign w:val="center"/>
                </w:tcPr>
                <w:p w14:paraId="11BD7801">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p>
              </w:tc>
              <w:tc>
                <w:tcPr>
                  <w:tcW w:w="299" w:type="pct"/>
                  <w:vMerge w:val="restart"/>
                  <w:tcBorders>
                    <w:left w:val="single" w:color="auto" w:sz="4" w:space="0"/>
                    <w:right w:val="single" w:color="auto" w:sz="4" w:space="0"/>
                  </w:tcBorders>
                  <w:vAlign w:val="center"/>
                </w:tcPr>
                <w:p w14:paraId="097073F8">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rPr>
                    <w:t>臭气浓度</w:t>
                  </w:r>
                </w:p>
              </w:tc>
              <w:tc>
                <w:tcPr>
                  <w:tcW w:w="320" w:type="pct"/>
                  <w:vMerge w:val="restart"/>
                  <w:tcBorders>
                    <w:left w:val="single" w:color="auto" w:sz="4" w:space="0"/>
                    <w:right w:val="single" w:color="auto" w:sz="4" w:space="0"/>
                  </w:tcBorders>
                  <w:vAlign w:val="center"/>
                </w:tcPr>
                <w:p w14:paraId="48B45640">
                  <w:pPr>
                    <w:keepNext w:val="0"/>
                    <w:keepLines w:val="0"/>
                    <w:suppressLineNumbers w:val="0"/>
                    <w:spacing w:before="0" w:beforeAutospacing="0" w:after="0" w:afterAutospacing="0"/>
                    <w:ind w:left="0" w:right="0"/>
                    <w:jc w:val="center"/>
                    <w:rPr>
                      <w:rFonts w:hint="eastAsia" w:ascii="Times New Roman" w:hAnsi="Times New Roman" w:eastAsia="宋体" w:cs="Times New Roman"/>
                      <w:color w:val="auto"/>
                      <w:szCs w:val="21"/>
                      <w:lang w:val="en-US" w:eastAsia="zh-CN"/>
                    </w:rPr>
                  </w:pPr>
                  <w:r>
                    <w:rPr>
                      <w:rFonts w:hint="eastAsia" w:ascii="Times New Roman" w:hAnsi="Times New Roman" w:eastAsia="宋体" w:cs="Times New Roman"/>
                      <w:color w:val="auto"/>
                      <w:szCs w:val="21"/>
                      <w:lang w:val="en-US" w:eastAsia="zh-CN"/>
                    </w:rPr>
                    <w:t>/</w:t>
                  </w:r>
                </w:p>
              </w:tc>
              <w:tc>
                <w:tcPr>
                  <w:tcW w:w="314" w:type="pct"/>
                  <w:vMerge w:val="restart"/>
                  <w:tcBorders>
                    <w:left w:val="single" w:color="auto" w:sz="4" w:space="0"/>
                    <w:right w:val="single" w:color="auto" w:sz="4" w:space="0"/>
                  </w:tcBorders>
                  <w:vAlign w:val="center"/>
                </w:tcPr>
                <w:p w14:paraId="5A52F17B">
                  <w:pPr>
                    <w:keepNext w:val="0"/>
                    <w:keepLines w:val="0"/>
                    <w:suppressLineNumbers w:val="0"/>
                    <w:spacing w:before="0" w:beforeAutospacing="0" w:after="0" w:afterAutospacing="0"/>
                    <w:ind w:left="0" w:right="0"/>
                    <w:jc w:val="center"/>
                    <w:rPr>
                      <w:rFonts w:hint="eastAsia" w:ascii="Times New Roman" w:hAnsi="Times New Roman" w:eastAsia="宋体" w:cs="Times New Roman"/>
                      <w:color w:val="auto"/>
                      <w:szCs w:val="21"/>
                      <w:lang w:val="en-US" w:eastAsia="zh-CN"/>
                    </w:rPr>
                  </w:pPr>
                  <w:r>
                    <w:rPr>
                      <w:rFonts w:hint="eastAsia" w:ascii="Times New Roman" w:hAnsi="Times New Roman" w:eastAsia="宋体" w:cs="Times New Roman"/>
                      <w:color w:val="auto"/>
                      <w:szCs w:val="21"/>
                      <w:lang w:val="en-US" w:eastAsia="zh-CN"/>
                    </w:rPr>
                    <w:t>/</w:t>
                  </w:r>
                </w:p>
              </w:tc>
              <w:tc>
                <w:tcPr>
                  <w:tcW w:w="278" w:type="pct"/>
                  <w:vMerge w:val="restart"/>
                  <w:tcBorders>
                    <w:left w:val="single" w:color="auto" w:sz="4" w:space="0"/>
                    <w:right w:val="single" w:color="auto" w:sz="4" w:space="0"/>
                  </w:tcBorders>
                  <w:vAlign w:val="center"/>
                </w:tcPr>
                <w:p w14:paraId="1B8C7B57">
                  <w:pPr>
                    <w:keepNext w:val="0"/>
                    <w:keepLines w:val="0"/>
                    <w:suppressLineNumbers w:val="0"/>
                    <w:spacing w:before="0" w:beforeAutospacing="0" w:after="0" w:afterAutospacing="0"/>
                    <w:ind w:left="0" w:right="0"/>
                    <w:jc w:val="center"/>
                    <w:rPr>
                      <w:rFonts w:hint="eastAsia" w:ascii="Times New Roman" w:hAnsi="Times New Roman" w:eastAsia="宋体" w:cs="Times New Roman"/>
                      <w:color w:val="auto"/>
                      <w:szCs w:val="21"/>
                      <w:lang w:val="en-US" w:eastAsia="zh-CN"/>
                    </w:rPr>
                  </w:pPr>
                  <w:r>
                    <w:rPr>
                      <w:rFonts w:hint="eastAsia" w:ascii="Times New Roman" w:hAnsi="Times New Roman" w:eastAsia="宋体" w:cs="Times New Roman"/>
                      <w:color w:val="auto"/>
                      <w:szCs w:val="21"/>
                      <w:lang w:val="en-US" w:eastAsia="zh-CN"/>
                    </w:rPr>
                    <w:t>少量</w:t>
                  </w:r>
                </w:p>
              </w:tc>
              <w:tc>
                <w:tcPr>
                  <w:tcW w:w="374" w:type="pct"/>
                  <w:tcBorders>
                    <w:left w:val="single" w:color="auto" w:sz="4" w:space="0"/>
                    <w:right w:val="single" w:color="auto" w:sz="4" w:space="0"/>
                  </w:tcBorders>
                  <w:shd w:val="clear" w:color="auto" w:fill="auto"/>
                  <w:vAlign w:val="center"/>
                </w:tcPr>
                <w:p w14:paraId="436C2137">
                  <w:pPr>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color w:val="auto"/>
                      <w:kern w:val="2"/>
                      <w:sz w:val="21"/>
                      <w:szCs w:val="21"/>
                      <w:lang w:val="en-US" w:eastAsia="zh-CN" w:bidi="ar-SA"/>
                    </w:rPr>
                  </w:pPr>
                  <w:r>
                    <w:rPr>
                      <w:rFonts w:hint="default" w:ascii="Times New Roman" w:hAnsi="Times New Roman" w:eastAsia="宋体" w:cs="Times New Roman"/>
                      <w:color w:val="auto"/>
                      <w:szCs w:val="21"/>
                    </w:rPr>
                    <w:t>有组织</w:t>
                  </w:r>
                </w:p>
              </w:tc>
              <w:tc>
                <w:tcPr>
                  <w:tcW w:w="311" w:type="pct"/>
                  <w:tcBorders>
                    <w:left w:val="single" w:color="auto" w:sz="4" w:space="0"/>
                    <w:right w:val="single" w:color="auto" w:sz="4" w:space="0"/>
                  </w:tcBorders>
                  <w:vAlign w:val="center"/>
                </w:tcPr>
                <w:p w14:paraId="6C249AF1">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lang w:val="en-US" w:eastAsia="zh-CN"/>
                    </w:rPr>
                    <w:t>①</w:t>
                  </w:r>
                </w:p>
              </w:tc>
              <w:tc>
                <w:tcPr>
                  <w:tcW w:w="283" w:type="pct"/>
                  <w:gridSpan w:val="2"/>
                  <w:tcBorders>
                    <w:left w:val="single" w:color="auto" w:sz="4" w:space="0"/>
                    <w:right w:val="single" w:color="auto" w:sz="4" w:space="0"/>
                  </w:tcBorders>
                  <w:shd w:val="clear" w:color="auto" w:fill="auto"/>
                  <w:vAlign w:val="center"/>
                </w:tcPr>
                <w:p w14:paraId="3E920FDC">
                  <w:pPr>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color w:val="auto"/>
                      <w:kern w:val="2"/>
                      <w:sz w:val="21"/>
                      <w:szCs w:val="21"/>
                      <w:lang w:val="en-US" w:eastAsia="zh-CN" w:bidi="ar-SA"/>
                    </w:rPr>
                  </w:pPr>
                  <w:r>
                    <w:rPr>
                      <w:rFonts w:hint="eastAsia" w:ascii="Times New Roman" w:hAnsi="Times New Roman" w:eastAsia="宋体" w:cs="Times New Roman"/>
                      <w:color w:val="auto"/>
                      <w:szCs w:val="21"/>
                      <w:lang w:val="en-US" w:eastAsia="zh-CN"/>
                    </w:rPr>
                    <w:t>37000</w:t>
                  </w:r>
                </w:p>
              </w:tc>
              <w:tc>
                <w:tcPr>
                  <w:tcW w:w="253" w:type="pct"/>
                  <w:gridSpan w:val="2"/>
                  <w:tcBorders>
                    <w:left w:val="single" w:color="auto" w:sz="4" w:space="0"/>
                    <w:right w:val="single" w:color="auto" w:sz="4" w:space="0"/>
                  </w:tcBorders>
                  <w:shd w:val="clear" w:color="auto" w:fill="auto"/>
                  <w:vAlign w:val="center"/>
                </w:tcPr>
                <w:p w14:paraId="65230C72">
                  <w:pPr>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color w:val="auto"/>
                      <w:kern w:val="2"/>
                      <w:sz w:val="21"/>
                      <w:szCs w:val="21"/>
                      <w:lang w:val="en-US" w:eastAsia="zh-CN" w:bidi="ar-SA"/>
                    </w:rPr>
                  </w:pPr>
                  <w:r>
                    <w:rPr>
                      <w:rFonts w:hint="eastAsia" w:ascii="Times New Roman" w:hAnsi="Times New Roman" w:eastAsia="宋体" w:cs="Times New Roman"/>
                      <w:color w:val="auto"/>
                      <w:szCs w:val="21"/>
                      <w:lang w:val="en-US" w:eastAsia="zh-CN"/>
                    </w:rPr>
                    <w:t>90</w:t>
                  </w:r>
                </w:p>
              </w:tc>
              <w:tc>
                <w:tcPr>
                  <w:tcW w:w="273" w:type="pct"/>
                  <w:gridSpan w:val="2"/>
                  <w:tcBorders>
                    <w:left w:val="single" w:color="auto" w:sz="4" w:space="0"/>
                    <w:right w:val="single" w:color="auto" w:sz="4" w:space="0"/>
                  </w:tcBorders>
                  <w:shd w:val="clear" w:color="auto" w:fill="auto"/>
                  <w:vAlign w:val="center"/>
                </w:tcPr>
                <w:p w14:paraId="128E4842">
                  <w:pPr>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color w:val="auto"/>
                      <w:kern w:val="2"/>
                      <w:sz w:val="21"/>
                      <w:szCs w:val="21"/>
                      <w:lang w:val="en-US" w:eastAsia="zh-CN" w:bidi="ar-SA"/>
                    </w:rPr>
                  </w:pPr>
                  <w:r>
                    <w:rPr>
                      <w:rFonts w:hint="default" w:ascii="Times New Roman" w:hAnsi="Times New Roman" w:eastAsia="宋体" w:cs="Times New Roman"/>
                      <w:color w:val="auto"/>
                      <w:szCs w:val="21"/>
                    </w:rPr>
                    <w:t>80</w:t>
                  </w:r>
                </w:p>
              </w:tc>
              <w:tc>
                <w:tcPr>
                  <w:tcW w:w="261" w:type="pct"/>
                  <w:gridSpan w:val="2"/>
                  <w:tcBorders>
                    <w:left w:val="single" w:color="auto" w:sz="4" w:space="0"/>
                    <w:right w:val="single" w:color="auto" w:sz="4" w:space="0"/>
                  </w:tcBorders>
                  <w:shd w:val="clear" w:color="auto" w:fill="auto"/>
                  <w:vAlign w:val="center"/>
                </w:tcPr>
                <w:p w14:paraId="38F20636">
                  <w:pPr>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color w:val="auto"/>
                      <w:kern w:val="2"/>
                      <w:sz w:val="21"/>
                      <w:szCs w:val="21"/>
                      <w:lang w:val="en-US" w:eastAsia="zh-CN" w:bidi="ar-SA"/>
                    </w:rPr>
                  </w:pPr>
                  <w:r>
                    <w:rPr>
                      <w:rFonts w:hint="default" w:ascii="Times New Roman" w:hAnsi="Times New Roman" w:eastAsia="宋体" w:cs="Times New Roman"/>
                      <w:color w:val="auto"/>
                      <w:szCs w:val="21"/>
                    </w:rPr>
                    <w:t>是</w:t>
                  </w:r>
                </w:p>
              </w:tc>
              <w:tc>
                <w:tcPr>
                  <w:tcW w:w="328" w:type="pct"/>
                  <w:tcBorders>
                    <w:left w:val="single" w:color="auto" w:sz="4" w:space="0"/>
                  </w:tcBorders>
                  <w:shd w:val="clear" w:color="auto" w:fill="auto"/>
                  <w:vAlign w:val="center"/>
                </w:tcPr>
                <w:p w14:paraId="79025844">
                  <w:pPr>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color w:val="auto"/>
                      <w:kern w:val="2"/>
                      <w:sz w:val="21"/>
                      <w:szCs w:val="21"/>
                      <w:lang w:val="en-US" w:eastAsia="zh-CN" w:bidi="ar-SA"/>
                    </w:rPr>
                  </w:pPr>
                  <w:r>
                    <w:rPr>
                      <w:rFonts w:hint="eastAsia" w:ascii="Times New Roman" w:hAnsi="Times New Roman" w:eastAsia="宋体" w:cs="Times New Roman"/>
                      <w:color w:val="auto"/>
                      <w:szCs w:val="21"/>
                      <w:lang w:val="en-US" w:eastAsia="zh-CN"/>
                    </w:rPr>
                    <w:t>/</w:t>
                  </w:r>
                </w:p>
              </w:tc>
              <w:tc>
                <w:tcPr>
                  <w:tcW w:w="277" w:type="pct"/>
                  <w:tcBorders>
                    <w:right w:val="single" w:color="auto" w:sz="4" w:space="0"/>
                  </w:tcBorders>
                  <w:shd w:val="clear" w:color="auto" w:fill="auto"/>
                  <w:vAlign w:val="center"/>
                </w:tcPr>
                <w:p w14:paraId="7B077BEA">
                  <w:pPr>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color w:val="auto"/>
                      <w:kern w:val="2"/>
                      <w:sz w:val="21"/>
                      <w:szCs w:val="21"/>
                      <w:lang w:val="en-US" w:eastAsia="zh-CN" w:bidi="ar-SA"/>
                    </w:rPr>
                  </w:pPr>
                  <w:r>
                    <w:rPr>
                      <w:rFonts w:hint="eastAsia" w:ascii="Times New Roman" w:hAnsi="Times New Roman" w:eastAsia="宋体" w:cs="Times New Roman"/>
                      <w:color w:val="auto"/>
                      <w:szCs w:val="21"/>
                      <w:lang w:val="en-US" w:eastAsia="zh-CN"/>
                    </w:rPr>
                    <w:t>/</w:t>
                  </w:r>
                </w:p>
              </w:tc>
              <w:tc>
                <w:tcPr>
                  <w:tcW w:w="281" w:type="pct"/>
                  <w:tcBorders>
                    <w:left w:val="single" w:color="auto" w:sz="4" w:space="0"/>
                    <w:right w:val="single" w:color="auto" w:sz="4" w:space="0"/>
                  </w:tcBorders>
                  <w:shd w:val="clear" w:color="auto" w:fill="auto"/>
                  <w:vAlign w:val="center"/>
                </w:tcPr>
                <w:p w14:paraId="649DCB94">
                  <w:pPr>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color w:val="auto"/>
                      <w:kern w:val="2"/>
                      <w:sz w:val="21"/>
                      <w:szCs w:val="21"/>
                      <w:lang w:val="en-US" w:eastAsia="zh-CN" w:bidi="ar-SA"/>
                    </w:rPr>
                  </w:pPr>
                  <w:r>
                    <w:rPr>
                      <w:rFonts w:hint="eastAsia" w:ascii="Times New Roman" w:hAnsi="Times New Roman" w:eastAsia="宋体" w:cs="Times New Roman"/>
                      <w:color w:val="auto"/>
                      <w:szCs w:val="21"/>
                      <w:lang w:val="en-US" w:eastAsia="zh-CN"/>
                    </w:rPr>
                    <w:t>少量</w:t>
                  </w:r>
                </w:p>
              </w:tc>
              <w:tc>
                <w:tcPr>
                  <w:tcW w:w="329" w:type="pct"/>
                  <w:tcBorders>
                    <w:left w:val="single" w:color="auto" w:sz="4" w:space="0"/>
                    <w:right w:val="single" w:color="auto" w:sz="4" w:space="0"/>
                  </w:tcBorders>
                  <w:vAlign w:val="center"/>
                </w:tcPr>
                <w:p w14:paraId="7099717A">
                  <w:pPr>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rPr>
                    <w:t>DA001</w:t>
                  </w:r>
                </w:p>
              </w:tc>
              <w:tc>
                <w:tcPr>
                  <w:tcW w:w="261" w:type="pct"/>
                  <w:tcBorders>
                    <w:left w:val="single" w:color="auto" w:sz="4" w:space="0"/>
                    <w:right w:val="single" w:color="auto" w:sz="4" w:space="0"/>
                  </w:tcBorders>
                  <w:vAlign w:val="center"/>
                </w:tcPr>
                <w:p w14:paraId="79A8CEFD">
                  <w:pPr>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color w:val="auto"/>
                      <w:szCs w:val="21"/>
                    </w:rPr>
                  </w:pPr>
                  <w:r>
                    <w:rPr>
                      <w:rFonts w:hint="eastAsia" w:ascii="Times New Roman" w:hAnsi="Times New Roman" w:eastAsia="宋体" w:cs="Times New Roman"/>
                      <w:color w:val="auto"/>
                      <w:szCs w:val="21"/>
                      <w:lang w:val="en-US" w:eastAsia="zh-CN"/>
                    </w:rPr>
                    <w:t>1000（无量纲）</w:t>
                  </w:r>
                </w:p>
              </w:tc>
              <w:tc>
                <w:tcPr>
                  <w:tcW w:w="243" w:type="pct"/>
                  <w:tcBorders>
                    <w:left w:val="single" w:color="auto" w:sz="4" w:space="0"/>
                    <w:right w:val="single" w:color="auto" w:sz="4" w:space="0"/>
                  </w:tcBorders>
                  <w:vAlign w:val="center"/>
                </w:tcPr>
                <w:p w14:paraId="3F90C33B">
                  <w:pPr>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color w:val="auto"/>
                      <w:szCs w:val="21"/>
                    </w:rPr>
                  </w:pPr>
                  <w:r>
                    <w:rPr>
                      <w:rFonts w:hint="eastAsia" w:ascii="Times New Roman" w:hAnsi="Times New Roman" w:eastAsia="宋体" w:cs="Times New Roman"/>
                      <w:color w:val="auto"/>
                      <w:szCs w:val="21"/>
                      <w:lang w:val="en-US" w:eastAsia="zh-CN"/>
                    </w:rPr>
                    <w:t>/</w:t>
                  </w:r>
                </w:p>
              </w:tc>
            </w:tr>
            <w:tr w14:paraId="431C9DF1">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397" w:hRule="atLeast"/>
                <w:jc w:val="center"/>
              </w:trPr>
              <w:tc>
                <w:tcPr>
                  <w:tcW w:w="308" w:type="pct"/>
                  <w:vMerge w:val="continue"/>
                  <w:tcBorders>
                    <w:right w:val="single" w:color="auto" w:sz="4" w:space="0"/>
                  </w:tcBorders>
                  <w:vAlign w:val="center"/>
                </w:tcPr>
                <w:p w14:paraId="7E837AD8">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p>
              </w:tc>
              <w:tc>
                <w:tcPr>
                  <w:tcW w:w="299" w:type="pct"/>
                  <w:vMerge w:val="continue"/>
                  <w:tcBorders>
                    <w:left w:val="single" w:color="auto" w:sz="4" w:space="0"/>
                    <w:right w:val="single" w:color="auto" w:sz="4" w:space="0"/>
                  </w:tcBorders>
                  <w:vAlign w:val="center"/>
                </w:tcPr>
                <w:p w14:paraId="249C9541">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p>
              </w:tc>
              <w:tc>
                <w:tcPr>
                  <w:tcW w:w="320" w:type="pct"/>
                  <w:vMerge w:val="continue"/>
                  <w:tcBorders>
                    <w:left w:val="single" w:color="auto" w:sz="4" w:space="0"/>
                    <w:right w:val="single" w:color="auto" w:sz="4" w:space="0"/>
                  </w:tcBorders>
                  <w:vAlign w:val="center"/>
                </w:tcPr>
                <w:p w14:paraId="7452D3A1">
                  <w:pPr>
                    <w:keepNext w:val="0"/>
                    <w:keepLines w:val="0"/>
                    <w:suppressLineNumbers w:val="0"/>
                    <w:spacing w:before="0" w:beforeAutospacing="0" w:after="0" w:afterAutospacing="0"/>
                    <w:ind w:left="0" w:right="0"/>
                    <w:jc w:val="center"/>
                    <w:rPr>
                      <w:rFonts w:hint="eastAsia" w:ascii="Times New Roman" w:hAnsi="Times New Roman" w:eastAsia="宋体" w:cs="Times New Roman"/>
                      <w:color w:val="auto"/>
                      <w:szCs w:val="21"/>
                      <w:lang w:val="en-US" w:eastAsia="zh-CN"/>
                    </w:rPr>
                  </w:pPr>
                </w:p>
              </w:tc>
              <w:tc>
                <w:tcPr>
                  <w:tcW w:w="314" w:type="pct"/>
                  <w:vMerge w:val="continue"/>
                  <w:tcBorders>
                    <w:left w:val="single" w:color="auto" w:sz="4" w:space="0"/>
                    <w:right w:val="single" w:color="auto" w:sz="4" w:space="0"/>
                  </w:tcBorders>
                  <w:vAlign w:val="center"/>
                </w:tcPr>
                <w:p w14:paraId="19566097">
                  <w:pPr>
                    <w:keepNext w:val="0"/>
                    <w:keepLines w:val="0"/>
                    <w:suppressLineNumbers w:val="0"/>
                    <w:spacing w:before="0" w:beforeAutospacing="0" w:after="0" w:afterAutospacing="0"/>
                    <w:ind w:left="0" w:right="0"/>
                    <w:jc w:val="center"/>
                    <w:rPr>
                      <w:rFonts w:hint="eastAsia" w:ascii="Times New Roman" w:hAnsi="Times New Roman" w:eastAsia="宋体" w:cs="Times New Roman"/>
                      <w:color w:val="auto"/>
                      <w:szCs w:val="21"/>
                      <w:lang w:val="en-US" w:eastAsia="zh-CN"/>
                    </w:rPr>
                  </w:pPr>
                </w:p>
              </w:tc>
              <w:tc>
                <w:tcPr>
                  <w:tcW w:w="278" w:type="pct"/>
                  <w:vMerge w:val="continue"/>
                  <w:tcBorders>
                    <w:left w:val="single" w:color="auto" w:sz="4" w:space="0"/>
                    <w:right w:val="single" w:color="auto" w:sz="4" w:space="0"/>
                  </w:tcBorders>
                  <w:vAlign w:val="center"/>
                </w:tcPr>
                <w:p w14:paraId="639B415E">
                  <w:pPr>
                    <w:keepNext w:val="0"/>
                    <w:keepLines w:val="0"/>
                    <w:suppressLineNumbers w:val="0"/>
                    <w:spacing w:before="0" w:beforeAutospacing="0" w:after="0" w:afterAutospacing="0"/>
                    <w:ind w:left="0" w:right="0"/>
                    <w:jc w:val="center"/>
                    <w:rPr>
                      <w:rFonts w:hint="eastAsia" w:ascii="Times New Roman" w:hAnsi="Times New Roman" w:eastAsia="宋体" w:cs="Times New Roman"/>
                      <w:color w:val="auto"/>
                      <w:szCs w:val="21"/>
                      <w:lang w:val="en-US" w:eastAsia="zh-CN"/>
                    </w:rPr>
                  </w:pPr>
                </w:p>
              </w:tc>
              <w:tc>
                <w:tcPr>
                  <w:tcW w:w="374" w:type="pct"/>
                  <w:tcBorders>
                    <w:left w:val="single" w:color="auto" w:sz="4" w:space="0"/>
                    <w:right w:val="single" w:color="auto" w:sz="4" w:space="0"/>
                  </w:tcBorders>
                  <w:shd w:val="clear" w:color="auto" w:fill="auto"/>
                  <w:vAlign w:val="center"/>
                </w:tcPr>
                <w:p w14:paraId="2913F2FD">
                  <w:pPr>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color w:val="auto"/>
                      <w:kern w:val="2"/>
                      <w:sz w:val="21"/>
                      <w:szCs w:val="21"/>
                      <w:lang w:val="en-US" w:eastAsia="zh-CN" w:bidi="ar-SA"/>
                    </w:rPr>
                  </w:pPr>
                  <w:r>
                    <w:rPr>
                      <w:rFonts w:hint="default" w:ascii="Times New Roman" w:hAnsi="Times New Roman" w:eastAsia="宋体" w:cs="Times New Roman"/>
                      <w:color w:val="auto"/>
                      <w:szCs w:val="21"/>
                    </w:rPr>
                    <w:t>无组织</w:t>
                  </w:r>
                </w:p>
              </w:tc>
              <w:tc>
                <w:tcPr>
                  <w:tcW w:w="1382" w:type="pct"/>
                  <w:gridSpan w:val="9"/>
                  <w:tcBorders>
                    <w:left w:val="single" w:color="auto" w:sz="4" w:space="0"/>
                    <w:right w:val="single" w:color="auto" w:sz="4" w:space="0"/>
                  </w:tcBorders>
                  <w:vAlign w:val="center"/>
                </w:tcPr>
                <w:p w14:paraId="72A9DF4C">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rPr>
                    <w:t>/</w:t>
                  </w:r>
                </w:p>
              </w:tc>
              <w:tc>
                <w:tcPr>
                  <w:tcW w:w="328" w:type="pct"/>
                  <w:tcBorders>
                    <w:left w:val="single" w:color="auto" w:sz="4" w:space="0"/>
                  </w:tcBorders>
                  <w:shd w:val="clear" w:color="auto" w:fill="auto"/>
                  <w:vAlign w:val="center"/>
                </w:tcPr>
                <w:p w14:paraId="5240D141">
                  <w:pPr>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color w:val="auto"/>
                      <w:kern w:val="2"/>
                      <w:sz w:val="21"/>
                      <w:szCs w:val="21"/>
                      <w:lang w:val="en-US" w:eastAsia="zh-CN" w:bidi="ar-SA"/>
                    </w:rPr>
                  </w:pPr>
                  <w:r>
                    <w:rPr>
                      <w:rFonts w:hint="eastAsia" w:ascii="Times New Roman" w:hAnsi="Times New Roman" w:eastAsia="宋体" w:cs="Times New Roman"/>
                      <w:color w:val="auto"/>
                      <w:szCs w:val="21"/>
                      <w:lang w:val="en-US" w:eastAsia="zh-CN"/>
                    </w:rPr>
                    <w:t>/</w:t>
                  </w:r>
                </w:p>
              </w:tc>
              <w:tc>
                <w:tcPr>
                  <w:tcW w:w="277" w:type="pct"/>
                  <w:tcBorders>
                    <w:right w:val="single" w:color="auto" w:sz="4" w:space="0"/>
                  </w:tcBorders>
                  <w:shd w:val="clear" w:color="auto" w:fill="auto"/>
                  <w:vAlign w:val="center"/>
                </w:tcPr>
                <w:p w14:paraId="164213EE">
                  <w:pPr>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color w:val="auto"/>
                      <w:kern w:val="2"/>
                      <w:sz w:val="21"/>
                      <w:szCs w:val="21"/>
                      <w:lang w:val="en-US" w:eastAsia="zh-CN" w:bidi="ar-SA"/>
                    </w:rPr>
                  </w:pPr>
                  <w:r>
                    <w:rPr>
                      <w:rFonts w:hint="eastAsia" w:ascii="Times New Roman" w:hAnsi="Times New Roman" w:eastAsia="宋体" w:cs="Times New Roman"/>
                      <w:color w:val="auto"/>
                      <w:szCs w:val="21"/>
                      <w:lang w:val="en-US" w:eastAsia="zh-CN"/>
                    </w:rPr>
                    <w:t>/</w:t>
                  </w:r>
                </w:p>
              </w:tc>
              <w:tc>
                <w:tcPr>
                  <w:tcW w:w="281" w:type="pct"/>
                  <w:tcBorders>
                    <w:left w:val="single" w:color="auto" w:sz="4" w:space="0"/>
                    <w:right w:val="single" w:color="auto" w:sz="4" w:space="0"/>
                  </w:tcBorders>
                  <w:shd w:val="clear" w:color="auto" w:fill="auto"/>
                  <w:vAlign w:val="center"/>
                </w:tcPr>
                <w:p w14:paraId="6E5BD2E4">
                  <w:pPr>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color w:val="auto"/>
                      <w:kern w:val="2"/>
                      <w:sz w:val="21"/>
                      <w:szCs w:val="21"/>
                      <w:lang w:val="en-US" w:eastAsia="zh-CN" w:bidi="ar-SA"/>
                    </w:rPr>
                  </w:pPr>
                  <w:r>
                    <w:rPr>
                      <w:rFonts w:hint="eastAsia" w:ascii="Times New Roman" w:hAnsi="Times New Roman" w:eastAsia="宋体" w:cs="Times New Roman"/>
                      <w:color w:val="auto"/>
                      <w:szCs w:val="21"/>
                      <w:lang w:val="en-US" w:eastAsia="zh-CN"/>
                    </w:rPr>
                    <w:t>少量</w:t>
                  </w:r>
                </w:p>
              </w:tc>
              <w:tc>
                <w:tcPr>
                  <w:tcW w:w="329" w:type="pct"/>
                  <w:tcBorders>
                    <w:left w:val="single" w:color="auto" w:sz="4" w:space="0"/>
                    <w:right w:val="single" w:color="auto" w:sz="4" w:space="0"/>
                  </w:tcBorders>
                  <w:vAlign w:val="center"/>
                </w:tcPr>
                <w:p w14:paraId="774A0583">
                  <w:pPr>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rPr>
                    <w:t>/</w:t>
                  </w:r>
                </w:p>
              </w:tc>
              <w:tc>
                <w:tcPr>
                  <w:tcW w:w="261" w:type="pct"/>
                  <w:tcBorders>
                    <w:left w:val="single" w:color="auto" w:sz="4" w:space="0"/>
                    <w:right w:val="single" w:color="auto" w:sz="4" w:space="0"/>
                  </w:tcBorders>
                  <w:vAlign w:val="center"/>
                </w:tcPr>
                <w:p w14:paraId="228F0695">
                  <w:pPr>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color w:val="auto"/>
                      <w:szCs w:val="21"/>
                    </w:rPr>
                  </w:pPr>
                  <w:r>
                    <w:rPr>
                      <w:rFonts w:hint="eastAsia" w:ascii="Times New Roman" w:hAnsi="Times New Roman" w:eastAsia="宋体" w:cs="Times New Roman"/>
                      <w:color w:val="auto"/>
                      <w:szCs w:val="21"/>
                      <w:lang w:val="en-US" w:eastAsia="zh-CN"/>
                    </w:rPr>
                    <w:t>20（无量纲）</w:t>
                  </w:r>
                </w:p>
              </w:tc>
              <w:tc>
                <w:tcPr>
                  <w:tcW w:w="243" w:type="pct"/>
                  <w:tcBorders>
                    <w:left w:val="single" w:color="auto" w:sz="4" w:space="0"/>
                    <w:right w:val="single" w:color="auto" w:sz="4" w:space="0"/>
                  </w:tcBorders>
                  <w:vAlign w:val="center"/>
                </w:tcPr>
                <w:p w14:paraId="2FA3E70C">
                  <w:pPr>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color w:val="auto"/>
                      <w:szCs w:val="21"/>
                    </w:rPr>
                  </w:pPr>
                  <w:r>
                    <w:rPr>
                      <w:rFonts w:hint="eastAsia" w:ascii="Times New Roman" w:hAnsi="Times New Roman" w:eastAsia="宋体" w:cs="Times New Roman"/>
                      <w:color w:val="auto"/>
                      <w:szCs w:val="21"/>
                      <w:lang w:val="en-US" w:eastAsia="zh-CN"/>
                    </w:rPr>
                    <w:t>/</w:t>
                  </w:r>
                </w:p>
              </w:tc>
            </w:tr>
            <w:tr w14:paraId="55FD44E2">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397" w:hRule="atLeast"/>
                <w:jc w:val="center"/>
              </w:trPr>
              <w:tc>
                <w:tcPr>
                  <w:tcW w:w="308" w:type="pct"/>
                  <w:vMerge w:val="restart"/>
                  <w:tcBorders>
                    <w:right w:val="single" w:color="auto" w:sz="4" w:space="0"/>
                  </w:tcBorders>
                  <w:vAlign w:val="center"/>
                </w:tcPr>
                <w:p w14:paraId="44FB98CD">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r>
                    <w:rPr>
                      <w:rFonts w:hint="eastAsia" w:ascii="Times New Roman" w:hAnsi="Times New Roman" w:eastAsia="宋体" w:cs="Times New Roman"/>
                      <w:color w:val="auto"/>
                      <w:szCs w:val="21"/>
                      <w:lang w:val="en-US" w:eastAsia="zh-CN"/>
                    </w:rPr>
                    <w:t>辅料成型</w:t>
                  </w:r>
                </w:p>
              </w:tc>
              <w:tc>
                <w:tcPr>
                  <w:tcW w:w="299" w:type="pct"/>
                  <w:vMerge w:val="restart"/>
                  <w:tcBorders>
                    <w:left w:val="single" w:color="auto" w:sz="4" w:space="0"/>
                    <w:right w:val="single" w:color="auto" w:sz="4" w:space="0"/>
                  </w:tcBorders>
                  <w:vAlign w:val="center"/>
                </w:tcPr>
                <w:p w14:paraId="0321C406">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rPr>
                    <w:t>非甲烷总烃</w:t>
                  </w:r>
                </w:p>
              </w:tc>
              <w:tc>
                <w:tcPr>
                  <w:tcW w:w="320" w:type="pct"/>
                  <w:vMerge w:val="restart"/>
                  <w:tcBorders>
                    <w:left w:val="single" w:color="auto" w:sz="4" w:space="0"/>
                    <w:right w:val="single" w:color="auto" w:sz="4" w:space="0"/>
                  </w:tcBorders>
                  <w:vAlign w:val="center"/>
                </w:tcPr>
                <w:p w14:paraId="4169BB99">
                  <w:pPr>
                    <w:keepNext w:val="0"/>
                    <w:keepLines w:val="0"/>
                    <w:suppressLineNumbers w:val="0"/>
                    <w:spacing w:before="0" w:beforeAutospacing="0" w:after="0" w:afterAutospacing="0"/>
                    <w:ind w:left="0" w:right="0"/>
                    <w:jc w:val="center"/>
                    <w:rPr>
                      <w:rFonts w:hint="eastAsia" w:ascii="Times New Roman" w:hAnsi="Times New Roman" w:eastAsia="宋体" w:cs="Times New Roman"/>
                      <w:color w:val="auto"/>
                      <w:szCs w:val="21"/>
                      <w:lang w:eastAsia="zh-CN"/>
                    </w:rPr>
                  </w:pPr>
                  <w:r>
                    <w:rPr>
                      <w:rFonts w:hint="eastAsia" w:ascii="Times New Roman" w:hAnsi="Times New Roman" w:eastAsia="宋体" w:cs="Times New Roman"/>
                      <w:color w:val="auto"/>
                      <w:szCs w:val="21"/>
                      <w:lang w:val="en-US" w:eastAsia="zh-CN"/>
                    </w:rPr>
                    <w:t>/</w:t>
                  </w:r>
                </w:p>
              </w:tc>
              <w:tc>
                <w:tcPr>
                  <w:tcW w:w="314" w:type="pct"/>
                  <w:vMerge w:val="restart"/>
                  <w:tcBorders>
                    <w:left w:val="single" w:color="auto" w:sz="4" w:space="0"/>
                    <w:right w:val="single" w:color="auto" w:sz="4" w:space="0"/>
                  </w:tcBorders>
                  <w:vAlign w:val="center"/>
                </w:tcPr>
                <w:p w14:paraId="37DC9B1C">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宋体" w:cs="Times New Roman"/>
                      <w:color w:val="0000E1"/>
                      <w:szCs w:val="21"/>
                      <w:lang w:val="en-US"/>
                    </w:rPr>
                  </w:pPr>
                  <w:r>
                    <w:rPr>
                      <w:rFonts w:hint="eastAsia" w:ascii="Times New Roman" w:hAnsi="Times New Roman" w:eastAsia="宋体" w:cs="Times New Roman"/>
                      <w:color w:val="0000E1"/>
                      <w:kern w:val="2"/>
                      <w:sz w:val="21"/>
                      <w:szCs w:val="21"/>
                      <w:lang w:val="en-US" w:eastAsia="zh-CN"/>
                    </w:rPr>
                    <w:t>0.051</w:t>
                  </w:r>
                </w:p>
              </w:tc>
              <w:tc>
                <w:tcPr>
                  <w:tcW w:w="278" w:type="pct"/>
                  <w:vMerge w:val="restart"/>
                  <w:tcBorders>
                    <w:left w:val="single" w:color="auto" w:sz="4" w:space="0"/>
                    <w:right w:val="single" w:color="auto" w:sz="4" w:space="0"/>
                  </w:tcBorders>
                  <w:vAlign w:val="center"/>
                </w:tcPr>
                <w:p w14:paraId="104EB6E0">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宋体" w:cs="Times New Roman"/>
                      <w:color w:val="0000E1"/>
                      <w:szCs w:val="21"/>
                      <w:lang w:val="en-US"/>
                    </w:rPr>
                  </w:pPr>
                  <w:r>
                    <w:rPr>
                      <w:rFonts w:hint="eastAsia" w:ascii="Times New Roman" w:hAnsi="Times New Roman" w:eastAsia="宋体" w:cs="Times New Roman"/>
                      <w:color w:val="0000E1"/>
                      <w:kern w:val="2"/>
                      <w:sz w:val="21"/>
                      <w:szCs w:val="21"/>
                      <w:lang w:val="en-US" w:eastAsia="zh-CN"/>
                    </w:rPr>
                    <w:t>0.123</w:t>
                  </w:r>
                </w:p>
              </w:tc>
              <w:tc>
                <w:tcPr>
                  <w:tcW w:w="374" w:type="pct"/>
                  <w:tcBorders>
                    <w:left w:val="single" w:color="auto" w:sz="4" w:space="0"/>
                    <w:right w:val="single" w:color="auto" w:sz="4" w:space="0"/>
                  </w:tcBorders>
                  <w:vAlign w:val="center"/>
                </w:tcPr>
                <w:p w14:paraId="36CA7522">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rPr>
                    <w:t>有组织</w:t>
                  </w:r>
                </w:p>
              </w:tc>
              <w:tc>
                <w:tcPr>
                  <w:tcW w:w="311" w:type="pct"/>
                  <w:tcBorders>
                    <w:left w:val="single" w:color="auto" w:sz="4" w:space="0"/>
                    <w:right w:val="single" w:color="auto" w:sz="4" w:space="0"/>
                  </w:tcBorders>
                  <w:vAlign w:val="center"/>
                </w:tcPr>
                <w:p w14:paraId="0FFC7751">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lang w:val="en-US" w:eastAsia="zh-CN"/>
                    </w:rPr>
                    <w:t>①</w:t>
                  </w:r>
                </w:p>
              </w:tc>
              <w:tc>
                <w:tcPr>
                  <w:tcW w:w="283" w:type="pct"/>
                  <w:gridSpan w:val="2"/>
                  <w:tcBorders>
                    <w:left w:val="single" w:color="auto" w:sz="4" w:space="0"/>
                    <w:right w:val="single" w:color="auto" w:sz="4" w:space="0"/>
                  </w:tcBorders>
                  <w:vAlign w:val="center"/>
                </w:tcPr>
                <w:p w14:paraId="637A095C">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r>
                    <w:rPr>
                      <w:rFonts w:hint="eastAsia" w:ascii="Times New Roman" w:hAnsi="Times New Roman" w:eastAsia="宋体" w:cs="Times New Roman"/>
                      <w:color w:val="auto"/>
                      <w:szCs w:val="21"/>
                      <w:lang w:val="en-US" w:eastAsia="zh-CN"/>
                    </w:rPr>
                    <w:t>37000</w:t>
                  </w:r>
                </w:p>
              </w:tc>
              <w:tc>
                <w:tcPr>
                  <w:tcW w:w="253" w:type="pct"/>
                  <w:gridSpan w:val="2"/>
                  <w:tcBorders>
                    <w:left w:val="single" w:color="auto" w:sz="4" w:space="0"/>
                    <w:right w:val="single" w:color="auto" w:sz="4" w:space="0"/>
                  </w:tcBorders>
                  <w:vAlign w:val="center"/>
                </w:tcPr>
                <w:p w14:paraId="5BC5EB55">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lang w:val="en-US" w:eastAsia="zh-CN"/>
                    </w:rPr>
                  </w:pPr>
                  <w:r>
                    <w:rPr>
                      <w:rFonts w:hint="eastAsia" w:ascii="Times New Roman" w:hAnsi="Times New Roman" w:eastAsia="宋体" w:cs="Times New Roman"/>
                      <w:color w:val="0000E1"/>
                      <w:szCs w:val="21"/>
                      <w:lang w:val="en-US" w:eastAsia="zh-CN"/>
                    </w:rPr>
                    <w:t>75</w:t>
                  </w:r>
                </w:p>
              </w:tc>
              <w:tc>
                <w:tcPr>
                  <w:tcW w:w="273" w:type="pct"/>
                  <w:gridSpan w:val="2"/>
                  <w:tcBorders>
                    <w:left w:val="single" w:color="auto" w:sz="4" w:space="0"/>
                    <w:right w:val="single" w:color="auto" w:sz="4" w:space="0"/>
                  </w:tcBorders>
                  <w:vAlign w:val="center"/>
                </w:tcPr>
                <w:p w14:paraId="52E1FEB5">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r>
                    <w:rPr>
                      <w:rFonts w:hint="eastAsia" w:ascii="Times New Roman" w:hAnsi="Times New Roman" w:eastAsia="宋体" w:cs="Times New Roman"/>
                      <w:color w:val="auto"/>
                      <w:szCs w:val="21"/>
                    </w:rPr>
                    <w:t>80</w:t>
                  </w:r>
                </w:p>
              </w:tc>
              <w:tc>
                <w:tcPr>
                  <w:tcW w:w="261" w:type="pct"/>
                  <w:gridSpan w:val="2"/>
                  <w:tcBorders>
                    <w:left w:val="single" w:color="auto" w:sz="4" w:space="0"/>
                    <w:right w:val="single" w:color="auto" w:sz="4" w:space="0"/>
                  </w:tcBorders>
                  <w:vAlign w:val="center"/>
                </w:tcPr>
                <w:p w14:paraId="42F555FF">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r>
                    <w:rPr>
                      <w:rFonts w:hint="eastAsia" w:ascii="Times New Roman" w:hAnsi="Times New Roman" w:eastAsia="宋体" w:cs="Times New Roman"/>
                      <w:color w:val="auto"/>
                      <w:szCs w:val="21"/>
                    </w:rPr>
                    <w:t>是</w:t>
                  </w:r>
                </w:p>
              </w:tc>
              <w:tc>
                <w:tcPr>
                  <w:tcW w:w="328" w:type="pct"/>
                  <w:tcBorders>
                    <w:left w:val="single" w:color="auto" w:sz="4" w:space="0"/>
                  </w:tcBorders>
                  <w:vAlign w:val="center"/>
                </w:tcPr>
                <w:p w14:paraId="58F0F539">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color w:val="0000E1"/>
                      <w:szCs w:val="21"/>
                    </w:rPr>
                  </w:pPr>
                  <w:r>
                    <w:rPr>
                      <w:rFonts w:hint="default" w:ascii="Times New Roman" w:hAnsi="Times New Roman" w:eastAsia="宋体" w:cs="Times New Roman"/>
                      <w:i w:val="0"/>
                      <w:iCs w:val="0"/>
                      <w:color w:val="0000E1"/>
                      <w:kern w:val="0"/>
                      <w:sz w:val="21"/>
                      <w:szCs w:val="21"/>
                      <w:u w:val="none"/>
                      <w:lang w:val="en-US" w:eastAsia="zh-CN" w:bidi="ar"/>
                    </w:rPr>
                    <w:t>0.2</w:t>
                  </w:r>
                </w:p>
              </w:tc>
              <w:tc>
                <w:tcPr>
                  <w:tcW w:w="277" w:type="pct"/>
                  <w:tcBorders>
                    <w:right w:val="single" w:color="auto" w:sz="4" w:space="0"/>
                  </w:tcBorders>
                  <w:vAlign w:val="center"/>
                </w:tcPr>
                <w:p w14:paraId="2EFC6087">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color w:val="0000E1"/>
                      <w:szCs w:val="21"/>
                    </w:rPr>
                  </w:pPr>
                  <w:r>
                    <w:rPr>
                      <w:rFonts w:hint="default" w:ascii="Times New Roman" w:hAnsi="Times New Roman" w:eastAsia="宋体" w:cs="Times New Roman"/>
                      <w:i w:val="0"/>
                      <w:iCs w:val="0"/>
                      <w:color w:val="0000E1"/>
                      <w:kern w:val="0"/>
                      <w:sz w:val="21"/>
                      <w:szCs w:val="21"/>
                      <w:u w:val="none"/>
                      <w:lang w:val="en-US" w:eastAsia="zh-CN" w:bidi="ar"/>
                    </w:rPr>
                    <w:t>0.008</w:t>
                  </w:r>
                </w:p>
              </w:tc>
              <w:tc>
                <w:tcPr>
                  <w:tcW w:w="281" w:type="pct"/>
                  <w:tcBorders>
                    <w:left w:val="single" w:color="auto" w:sz="4" w:space="0"/>
                    <w:right w:val="single" w:color="auto" w:sz="4" w:space="0"/>
                  </w:tcBorders>
                  <w:vAlign w:val="center"/>
                </w:tcPr>
                <w:p w14:paraId="230FE633">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color w:val="0000E1"/>
                      <w:szCs w:val="21"/>
                    </w:rPr>
                  </w:pPr>
                  <w:r>
                    <w:rPr>
                      <w:rFonts w:hint="default" w:ascii="Times New Roman" w:hAnsi="Times New Roman" w:eastAsia="宋体" w:cs="Times New Roman"/>
                      <w:i w:val="0"/>
                      <w:iCs w:val="0"/>
                      <w:color w:val="0000E1"/>
                      <w:kern w:val="0"/>
                      <w:sz w:val="21"/>
                      <w:szCs w:val="21"/>
                      <w:u w:val="none"/>
                      <w:lang w:val="en-US" w:eastAsia="zh-CN" w:bidi="ar"/>
                    </w:rPr>
                    <w:t>0.018</w:t>
                  </w:r>
                </w:p>
              </w:tc>
              <w:tc>
                <w:tcPr>
                  <w:tcW w:w="329" w:type="pct"/>
                  <w:tcBorders>
                    <w:left w:val="single" w:color="auto" w:sz="4" w:space="0"/>
                    <w:right w:val="single" w:color="auto" w:sz="4" w:space="0"/>
                  </w:tcBorders>
                  <w:vAlign w:val="center"/>
                </w:tcPr>
                <w:p w14:paraId="33FEED1F">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rPr>
                    <w:t>DA001</w:t>
                  </w:r>
                </w:p>
              </w:tc>
              <w:tc>
                <w:tcPr>
                  <w:tcW w:w="261" w:type="pct"/>
                  <w:tcBorders>
                    <w:left w:val="single" w:color="auto" w:sz="4" w:space="0"/>
                    <w:right w:val="single" w:color="auto" w:sz="4" w:space="0"/>
                  </w:tcBorders>
                  <w:vAlign w:val="center"/>
                </w:tcPr>
                <w:p w14:paraId="55DB99C0">
                  <w:pPr>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color w:val="auto"/>
                      <w:szCs w:val="21"/>
                    </w:rPr>
                  </w:pPr>
                  <w:r>
                    <w:rPr>
                      <w:rFonts w:hint="eastAsia" w:ascii="Times New Roman" w:hAnsi="Times New Roman" w:eastAsia="宋体" w:cs="Times New Roman"/>
                      <w:color w:val="auto"/>
                      <w:szCs w:val="21"/>
                      <w:lang w:val="en-US" w:eastAsia="zh-CN"/>
                    </w:rPr>
                    <w:t>60</w:t>
                  </w:r>
                </w:p>
              </w:tc>
              <w:tc>
                <w:tcPr>
                  <w:tcW w:w="243" w:type="pct"/>
                  <w:tcBorders>
                    <w:left w:val="single" w:color="auto" w:sz="4" w:space="0"/>
                    <w:right w:val="single" w:color="auto" w:sz="4" w:space="0"/>
                  </w:tcBorders>
                  <w:vAlign w:val="center"/>
                </w:tcPr>
                <w:p w14:paraId="64A62C45">
                  <w:pPr>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rPr>
                    <w:t>/</w:t>
                  </w:r>
                </w:p>
              </w:tc>
            </w:tr>
            <w:tr w14:paraId="6FBD550E">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397" w:hRule="atLeast"/>
                <w:jc w:val="center"/>
              </w:trPr>
              <w:tc>
                <w:tcPr>
                  <w:tcW w:w="308" w:type="pct"/>
                  <w:vMerge w:val="continue"/>
                  <w:tcBorders>
                    <w:right w:val="single" w:color="auto" w:sz="4" w:space="0"/>
                  </w:tcBorders>
                  <w:vAlign w:val="center"/>
                </w:tcPr>
                <w:p w14:paraId="70486891">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p>
              </w:tc>
              <w:tc>
                <w:tcPr>
                  <w:tcW w:w="299" w:type="pct"/>
                  <w:vMerge w:val="continue"/>
                  <w:tcBorders>
                    <w:left w:val="single" w:color="auto" w:sz="4" w:space="0"/>
                    <w:right w:val="single" w:color="auto" w:sz="4" w:space="0"/>
                  </w:tcBorders>
                  <w:vAlign w:val="center"/>
                </w:tcPr>
                <w:p w14:paraId="24E0740B">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p>
              </w:tc>
              <w:tc>
                <w:tcPr>
                  <w:tcW w:w="320" w:type="pct"/>
                  <w:vMerge w:val="continue"/>
                  <w:tcBorders>
                    <w:left w:val="single" w:color="auto" w:sz="4" w:space="0"/>
                    <w:right w:val="single" w:color="auto" w:sz="4" w:space="0"/>
                  </w:tcBorders>
                  <w:vAlign w:val="center"/>
                </w:tcPr>
                <w:p w14:paraId="51D09D17">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p>
              </w:tc>
              <w:tc>
                <w:tcPr>
                  <w:tcW w:w="314" w:type="pct"/>
                  <w:vMerge w:val="continue"/>
                  <w:tcBorders>
                    <w:left w:val="single" w:color="auto" w:sz="4" w:space="0"/>
                    <w:right w:val="single" w:color="auto" w:sz="4" w:space="0"/>
                  </w:tcBorders>
                  <w:vAlign w:val="center"/>
                </w:tcPr>
                <w:p w14:paraId="4B27660E">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p>
              </w:tc>
              <w:tc>
                <w:tcPr>
                  <w:tcW w:w="278" w:type="pct"/>
                  <w:vMerge w:val="continue"/>
                  <w:tcBorders>
                    <w:left w:val="single" w:color="auto" w:sz="4" w:space="0"/>
                    <w:right w:val="single" w:color="auto" w:sz="4" w:space="0"/>
                  </w:tcBorders>
                  <w:vAlign w:val="center"/>
                </w:tcPr>
                <w:p w14:paraId="2EF9DC0B">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p>
              </w:tc>
              <w:tc>
                <w:tcPr>
                  <w:tcW w:w="374" w:type="pct"/>
                  <w:tcBorders>
                    <w:left w:val="single" w:color="auto" w:sz="4" w:space="0"/>
                    <w:right w:val="single" w:color="auto" w:sz="4" w:space="0"/>
                  </w:tcBorders>
                  <w:vAlign w:val="center"/>
                </w:tcPr>
                <w:p w14:paraId="4182F3BD">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rPr>
                    <w:t>无组织</w:t>
                  </w:r>
                </w:p>
              </w:tc>
              <w:tc>
                <w:tcPr>
                  <w:tcW w:w="1382" w:type="pct"/>
                  <w:gridSpan w:val="9"/>
                  <w:tcBorders>
                    <w:left w:val="single" w:color="auto" w:sz="4" w:space="0"/>
                    <w:right w:val="single" w:color="auto" w:sz="4" w:space="0"/>
                  </w:tcBorders>
                  <w:vAlign w:val="center"/>
                </w:tcPr>
                <w:p w14:paraId="57CD6C88">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r>
                    <w:rPr>
                      <w:rFonts w:hint="eastAsia" w:ascii="Times New Roman" w:hAnsi="Times New Roman" w:eastAsia="宋体" w:cs="Times New Roman"/>
                      <w:color w:val="auto"/>
                      <w:szCs w:val="21"/>
                    </w:rPr>
                    <w:t>/</w:t>
                  </w:r>
                </w:p>
              </w:tc>
              <w:tc>
                <w:tcPr>
                  <w:tcW w:w="328" w:type="pct"/>
                  <w:tcBorders>
                    <w:left w:val="single" w:color="auto" w:sz="4" w:space="0"/>
                  </w:tcBorders>
                  <w:vAlign w:val="center"/>
                </w:tcPr>
                <w:p w14:paraId="7EC97332">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rPr>
                    <w:t>/</w:t>
                  </w:r>
                </w:p>
              </w:tc>
              <w:tc>
                <w:tcPr>
                  <w:tcW w:w="277" w:type="pct"/>
                  <w:tcBorders>
                    <w:right w:val="single" w:color="auto" w:sz="4" w:space="0"/>
                  </w:tcBorders>
                  <w:vAlign w:val="center"/>
                </w:tcPr>
                <w:p w14:paraId="1155448C">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color w:val="0000E1"/>
                      <w:szCs w:val="21"/>
                    </w:rPr>
                  </w:pPr>
                  <w:r>
                    <w:rPr>
                      <w:rFonts w:hint="default" w:ascii="Times New Roman" w:hAnsi="Times New Roman" w:eastAsia="宋体" w:cs="Times New Roman"/>
                      <w:i w:val="0"/>
                      <w:iCs w:val="0"/>
                      <w:color w:val="0000E1"/>
                      <w:kern w:val="0"/>
                      <w:sz w:val="21"/>
                      <w:szCs w:val="21"/>
                      <w:u w:val="none"/>
                      <w:lang w:val="en-US" w:eastAsia="zh-CN" w:bidi="ar"/>
                    </w:rPr>
                    <w:t>0.013</w:t>
                  </w:r>
                </w:p>
              </w:tc>
              <w:tc>
                <w:tcPr>
                  <w:tcW w:w="281" w:type="pct"/>
                  <w:tcBorders>
                    <w:left w:val="single" w:color="auto" w:sz="4" w:space="0"/>
                    <w:right w:val="single" w:color="auto" w:sz="4" w:space="0"/>
                  </w:tcBorders>
                  <w:vAlign w:val="center"/>
                </w:tcPr>
                <w:p w14:paraId="0F335A3F">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color w:val="0000E1"/>
                      <w:szCs w:val="21"/>
                    </w:rPr>
                  </w:pPr>
                  <w:r>
                    <w:rPr>
                      <w:rFonts w:hint="default" w:ascii="Times New Roman" w:hAnsi="Times New Roman" w:eastAsia="宋体" w:cs="Times New Roman"/>
                      <w:i w:val="0"/>
                      <w:iCs w:val="0"/>
                      <w:color w:val="0000E1"/>
                      <w:kern w:val="0"/>
                      <w:sz w:val="21"/>
                      <w:szCs w:val="21"/>
                      <w:u w:val="none"/>
                      <w:lang w:val="en-US" w:eastAsia="zh-CN" w:bidi="ar"/>
                    </w:rPr>
                    <w:t>0.031</w:t>
                  </w:r>
                </w:p>
              </w:tc>
              <w:tc>
                <w:tcPr>
                  <w:tcW w:w="329" w:type="pct"/>
                  <w:tcBorders>
                    <w:left w:val="single" w:color="auto" w:sz="4" w:space="0"/>
                    <w:right w:val="single" w:color="auto" w:sz="4" w:space="0"/>
                  </w:tcBorders>
                  <w:vAlign w:val="center"/>
                </w:tcPr>
                <w:p w14:paraId="4019DCE2">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rPr>
                    <w:t>/</w:t>
                  </w:r>
                </w:p>
              </w:tc>
              <w:tc>
                <w:tcPr>
                  <w:tcW w:w="261" w:type="pct"/>
                  <w:tcBorders>
                    <w:left w:val="single" w:color="auto" w:sz="4" w:space="0"/>
                    <w:right w:val="single" w:color="auto" w:sz="4" w:space="0"/>
                  </w:tcBorders>
                  <w:vAlign w:val="center"/>
                </w:tcPr>
                <w:p w14:paraId="3B3B9435">
                  <w:pPr>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color w:val="auto"/>
                      <w:szCs w:val="21"/>
                    </w:rPr>
                  </w:pPr>
                  <w:r>
                    <w:rPr>
                      <w:rFonts w:hint="eastAsia" w:ascii="Times New Roman" w:hAnsi="Times New Roman" w:eastAsia="宋体" w:cs="Times New Roman"/>
                      <w:color w:val="auto"/>
                      <w:szCs w:val="21"/>
                      <w:lang w:val="en-US" w:eastAsia="zh-CN"/>
                    </w:rPr>
                    <w:t>4.0</w:t>
                  </w:r>
                </w:p>
              </w:tc>
              <w:tc>
                <w:tcPr>
                  <w:tcW w:w="243" w:type="pct"/>
                  <w:tcBorders>
                    <w:left w:val="single" w:color="auto" w:sz="4" w:space="0"/>
                    <w:right w:val="single" w:color="auto" w:sz="4" w:space="0"/>
                  </w:tcBorders>
                  <w:vAlign w:val="center"/>
                </w:tcPr>
                <w:p w14:paraId="77B18161">
                  <w:pPr>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rPr>
                    <w:t>/</w:t>
                  </w:r>
                </w:p>
              </w:tc>
            </w:tr>
            <w:tr w14:paraId="6B9930B2">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397" w:hRule="atLeast"/>
                <w:jc w:val="center"/>
              </w:trPr>
              <w:tc>
                <w:tcPr>
                  <w:tcW w:w="308" w:type="pct"/>
                  <w:vMerge w:val="continue"/>
                  <w:tcBorders>
                    <w:right w:val="single" w:color="auto" w:sz="4" w:space="0"/>
                  </w:tcBorders>
                  <w:vAlign w:val="center"/>
                </w:tcPr>
                <w:p w14:paraId="7D8A3EE6">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p>
              </w:tc>
              <w:tc>
                <w:tcPr>
                  <w:tcW w:w="299" w:type="pct"/>
                  <w:vMerge w:val="restart"/>
                  <w:tcBorders>
                    <w:left w:val="single" w:color="auto" w:sz="4" w:space="0"/>
                    <w:right w:val="single" w:color="auto" w:sz="4" w:space="0"/>
                  </w:tcBorders>
                  <w:vAlign w:val="center"/>
                </w:tcPr>
                <w:p w14:paraId="70C86AC8">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rPr>
                    <w:t>臭气浓度</w:t>
                  </w:r>
                </w:p>
              </w:tc>
              <w:tc>
                <w:tcPr>
                  <w:tcW w:w="320" w:type="pct"/>
                  <w:vMerge w:val="restart"/>
                  <w:tcBorders>
                    <w:left w:val="single" w:color="auto" w:sz="4" w:space="0"/>
                    <w:right w:val="single" w:color="auto" w:sz="4" w:space="0"/>
                  </w:tcBorders>
                  <w:vAlign w:val="center"/>
                </w:tcPr>
                <w:p w14:paraId="68A03C9C">
                  <w:pPr>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color w:val="auto"/>
                      <w:szCs w:val="21"/>
                    </w:rPr>
                  </w:pPr>
                  <w:r>
                    <w:rPr>
                      <w:rFonts w:hint="eastAsia" w:ascii="Times New Roman" w:hAnsi="Times New Roman" w:eastAsia="宋体" w:cs="Times New Roman"/>
                      <w:color w:val="auto"/>
                      <w:szCs w:val="21"/>
                      <w:lang w:val="en-US" w:eastAsia="zh-CN"/>
                    </w:rPr>
                    <w:t>/</w:t>
                  </w:r>
                </w:p>
              </w:tc>
              <w:tc>
                <w:tcPr>
                  <w:tcW w:w="314" w:type="pct"/>
                  <w:vMerge w:val="restart"/>
                  <w:tcBorders>
                    <w:left w:val="single" w:color="auto" w:sz="4" w:space="0"/>
                    <w:right w:val="single" w:color="auto" w:sz="4" w:space="0"/>
                  </w:tcBorders>
                  <w:vAlign w:val="center"/>
                </w:tcPr>
                <w:p w14:paraId="3A4AF5BC">
                  <w:pPr>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color w:val="auto"/>
                      <w:szCs w:val="21"/>
                    </w:rPr>
                  </w:pPr>
                  <w:r>
                    <w:rPr>
                      <w:rFonts w:hint="eastAsia" w:ascii="Times New Roman" w:hAnsi="Times New Roman" w:eastAsia="宋体" w:cs="Times New Roman"/>
                      <w:color w:val="auto"/>
                      <w:szCs w:val="21"/>
                      <w:lang w:val="en-US" w:eastAsia="zh-CN"/>
                    </w:rPr>
                    <w:t>/</w:t>
                  </w:r>
                </w:p>
              </w:tc>
              <w:tc>
                <w:tcPr>
                  <w:tcW w:w="278" w:type="pct"/>
                  <w:vMerge w:val="restart"/>
                  <w:tcBorders>
                    <w:left w:val="single" w:color="auto" w:sz="4" w:space="0"/>
                    <w:right w:val="single" w:color="auto" w:sz="4" w:space="0"/>
                  </w:tcBorders>
                  <w:vAlign w:val="center"/>
                </w:tcPr>
                <w:p w14:paraId="0B2E3D6E">
                  <w:pPr>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color w:val="auto"/>
                      <w:szCs w:val="21"/>
                    </w:rPr>
                  </w:pPr>
                  <w:r>
                    <w:rPr>
                      <w:rFonts w:hint="eastAsia" w:ascii="Times New Roman" w:hAnsi="Times New Roman" w:eastAsia="宋体" w:cs="Times New Roman"/>
                      <w:color w:val="auto"/>
                      <w:szCs w:val="21"/>
                      <w:lang w:val="en-US" w:eastAsia="zh-CN"/>
                    </w:rPr>
                    <w:t>少量</w:t>
                  </w:r>
                </w:p>
              </w:tc>
              <w:tc>
                <w:tcPr>
                  <w:tcW w:w="374" w:type="pct"/>
                  <w:tcBorders>
                    <w:left w:val="single" w:color="auto" w:sz="4" w:space="0"/>
                    <w:right w:val="single" w:color="auto" w:sz="4" w:space="0"/>
                  </w:tcBorders>
                  <w:shd w:val="clear" w:color="auto" w:fill="auto"/>
                  <w:vAlign w:val="center"/>
                </w:tcPr>
                <w:p w14:paraId="3C9CC38B">
                  <w:pPr>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color w:val="auto"/>
                      <w:kern w:val="2"/>
                      <w:sz w:val="21"/>
                      <w:szCs w:val="21"/>
                      <w:lang w:val="en-US" w:eastAsia="zh-CN" w:bidi="ar-SA"/>
                    </w:rPr>
                  </w:pPr>
                  <w:r>
                    <w:rPr>
                      <w:rFonts w:hint="default" w:ascii="Times New Roman" w:hAnsi="Times New Roman" w:eastAsia="宋体" w:cs="Times New Roman"/>
                      <w:color w:val="auto"/>
                      <w:szCs w:val="21"/>
                    </w:rPr>
                    <w:t>有组织</w:t>
                  </w:r>
                </w:p>
              </w:tc>
              <w:tc>
                <w:tcPr>
                  <w:tcW w:w="311" w:type="pct"/>
                  <w:tcBorders>
                    <w:left w:val="single" w:color="auto" w:sz="4" w:space="0"/>
                    <w:right w:val="single" w:color="auto" w:sz="4" w:space="0"/>
                  </w:tcBorders>
                  <w:shd w:val="clear" w:color="auto" w:fill="auto"/>
                  <w:vAlign w:val="center"/>
                </w:tcPr>
                <w:p w14:paraId="2ADB2854">
                  <w:pPr>
                    <w:keepNext w:val="0"/>
                    <w:keepLines w:val="0"/>
                    <w:suppressLineNumbers w:val="0"/>
                    <w:spacing w:before="0" w:beforeAutospacing="0" w:after="0" w:afterAutospacing="0"/>
                    <w:ind w:left="0" w:leftChars="0" w:right="0" w:rightChars="0"/>
                    <w:jc w:val="center"/>
                    <w:rPr>
                      <w:rFonts w:hint="eastAsia" w:ascii="Times New Roman" w:hAnsi="Times New Roman" w:eastAsia="宋体" w:cs="Times New Roman"/>
                      <w:color w:val="auto"/>
                      <w:kern w:val="2"/>
                      <w:sz w:val="21"/>
                      <w:szCs w:val="21"/>
                      <w:lang w:val="en-US" w:eastAsia="zh-CN" w:bidi="ar-SA"/>
                    </w:rPr>
                  </w:pPr>
                  <w:r>
                    <w:rPr>
                      <w:rFonts w:hint="default" w:ascii="Times New Roman" w:hAnsi="Times New Roman" w:eastAsia="宋体" w:cs="Times New Roman"/>
                      <w:color w:val="auto"/>
                      <w:szCs w:val="21"/>
                      <w:lang w:val="en-US" w:eastAsia="zh-CN"/>
                    </w:rPr>
                    <w:t>①</w:t>
                  </w:r>
                </w:p>
              </w:tc>
              <w:tc>
                <w:tcPr>
                  <w:tcW w:w="283" w:type="pct"/>
                  <w:gridSpan w:val="2"/>
                  <w:tcBorders>
                    <w:left w:val="single" w:color="auto" w:sz="4" w:space="0"/>
                    <w:right w:val="single" w:color="auto" w:sz="4" w:space="0"/>
                  </w:tcBorders>
                  <w:shd w:val="clear" w:color="auto" w:fill="auto"/>
                  <w:vAlign w:val="center"/>
                </w:tcPr>
                <w:p w14:paraId="45482484">
                  <w:pPr>
                    <w:keepNext w:val="0"/>
                    <w:keepLines w:val="0"/>
                    <w:suppressLineNumbers w:val="0"/>
                    <w:spacing w:before="0" w:beforeAutospacing="0" w:after="0" w:afterAutospacing="0"/>
                    <w:ind w:left="0" w:leftChars="0" w:right="0" w:rightChars="0"/>
                    <w:jc w:val="center"/>
                    <w:rPr>
                      <w:rFonts w:hint="eastAsia" w:ascii="Times New Roman" w:hAnsi="Times New Roman" w:eastAsia="宋体" w:cs="Times New Roman"/>
                      <w:color w:val="auto"/>
                      <w:kern w:val="2"/>
                      <w:sz w:val="21"/>
                      <w:szCs w:val="21"/>
                      <w:lang w:val="en-US" w:eastAsia="zh-CN" w:bidi="ar-SA"/>
                    </w:rPr>
                  </w:pPr>
                  <w:r>
                    <w:rPr>
                      <w:rFonts w:hint="eastAsia" w:ascii="Times New Roman" w:hAnsi="Times New Roman" w:eastAsia="宋体" w:cs="Times New Roman"/>
                      <w:color w:val="auto"/>
                      <w:szCs w:val="21"/>
                      <w:lang w:val="en-US" w:eastAsia="zh-CN"/>
                    </w:rPr>
                    <w:t>37000</w:t>
                  </w:r>
                </w:p>
              </w:tc>
              <w:tc>
                <w:tcPr>
                  <w:tcW w:w="253" w:type="pct"/>
                  <w:gridSpan w:val="2"/>
                  <w:tcBorders>
                    <w:left w:val="single" w:color="auto" w:sz="4" w:space="0"/>
                    <w:right w:val="single" w:color="auto" w:sz="4" w:space="0"/>
                  </w:tcBorders>
                  <w:shd w:val="clear" w:color="auto" w:fill="auto"/>
                  <w:vAlign w:val="center"/>
                </w:tcPr>
                <w:p w14:paraId="1A06ED21">
                  <w:pPr>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color w:val="auto"/>
                      <w:kern w:val="2"/>
                      <w:sz w:val="21"/>
                      <w:szCs w:val="21"/>
                      <w:lang w:val="en-US" w:eastAsia="zh-CN" w:bidi="ar-SA"/>
                    </w:rPr>
                  </w:pPr>
                  <w:r>
                    <w:rPr>
                      <w:rFonts w:hint="eastAsia" w:ascii="Times New Roman" w:hAnsi="Times New Roman" w:eastAsia="宋体" w:cs="Times New Roman"/>
                      <w:color w:val="0000E1"/>
                      <w:szCs w:val="21"/>
                      <w:lang w:val="en-US" w:eastAsia="zh-CN"/>
                    </w:rPr>
                    <w:t>75</w:t>
                  </w:r>
                </w:p>
              </w:tc>
              <w:tc>
                <w:tcPr>
                  <w:tcW w:w="273" w:type="pct"/>
                  <w:gridSpan w:val="2"/>
                  <w:tcBorders>
                    <w:left w:val="single" w:color="auto" w:sz="4" w:space="0"/>
                    <w:right w:val="single" w:color="auto" w:sz="4" w:space="0"/>
                  </w:tcBorders>
                  <w:shd w:val="clear" w:color="auto" w:fill="auto"/>
                  <w:vAlign w:val="center"/>
                </w:tcPr>
                <w:p w14:paraId="31218617">
                  <w:pPr>
                    <w:keepNext w:val="0"/>
                    <w:keepLines w:val="0"/>
                    <w:suppressLineNumbers w:val="0"/>
                    <w:spacing w:before="0" w:beforeAutospacing="0" w:after="0" w:afterAutospacing="0"/>
                    <w:ind w:left="0" w:leftChars="0" w:right="0" w:rightChars="0"/>
                    <w:jc w:val="center"/>
                    <w:rPr>
                      <w:rFonts w:hint="eastAsia" w:ascii="Times New Roman" w:hAnsi="Times New Roman" w:eastAsia="宋体" w:cs="Times New Roman"/>
                      <w:color w:val="auto"/>
                      <w:kern w:val="2"/>
                      <w:sz w:val="21"/>
                      <w:szCs w:val="21"/>
                      <w:lang w:val="en-US" w:eastAsia="zh-CN" w:bidi="ar-SA"/>
                    </w:rPr>
                  </w:pPr>
                  <w:r>
                    <w:rPr>
                      <w:rFonts w:hint="eastAsia" w:ascii="Times New Roman" w:hAnsi="Times New Roman" w:eastAsia="宋体" w:cs="Times New Roman"/>
                      <w:color w:val="auto"/>
                      <w:szCs w:val="21"/>
                    </w:rPr>
                    <w:t>80</w:t>
                  </w:r>
                </w:p>
              </w:tc>
              <w:tc>
                <w:tcPr>
                  <w:tcW w:w="261" w:type="pct"/>
                  <w:gridSpan w:val="2"/>
                  <w:tcBorders>
                    <w:left w:val="single" w:color="auto" w:sz="4" w:space="0"/>
                    <w:right w:val="single" w:color="auto" w:sz="4" w:space="0"/>
                  </w:tcBorders>
                  <w:shd w:val="clear" w:color="auto" w:fill="auto"/>
                  <w:vAlign w:val="center"/>
                </w:tcPr>
                <w:p w14:paraId="267087DA">
                  <w:pPr>
                    <w:keepNext w:val="0"/>
                    <w:keepLines w:val="0"/>
                    <w:suppressLineNumbers w:val="0"/>
                    <w:spacing w:before="0" w:beforeAutospacing="0" w:after="0" w:afterAutospacing="0"/>
                    <w:ind w:left="0" w:leftChars="0" w:right="0" w:rightChars="0"/>
                    <w:jc w:val="center"/>
                    <w:rPr>
                      <w:rFonts w:hint="eastAsia" w:ascii="Times New Roman" w:hAnsi="Times New Roman" w:eastAsia="宋体" w:cs="Times New Roman"/>
                      <w:color w:val="auto"/>
                      <w:kern w:val="2"/>
                      <w:sz w:val="21"/>
                      <w:szCs w:val="21"/>
                      <w:lang w:val="en-US" w:eastAsia="zh-CN" w:bidi="ar-SA"/>
                    </w:rPr>
                  </w:pPr>
                  <w:r>
                    <w:rPr>
                      <w:rFonts w:hint="eastAsia" w:ascii="Times New Roman" w:hAnsi="Times New Roman" w:eastAsia="宋体" w:cs="Times New Roman"/>
                      <w:color w:val="auto"/>
                      <w:szCs w:val="21"/>
                    </w:rPr>
                    <w:t>是</w:t>
                  </w:r>
                </w:p>
              </w:tc>
              <w:tc>
                <w:tcPr>
                  <w:tcW w:w="328" w:type="pct"/>
                  <w:tcBorders>
                    <w:left w:val="single" w:color="auto" w:sz="4" w:space="0"/>
                  </w:tcBorders>
                  <w:vAlign w:val="center"/>
                </w:tcPr>
                <w:p w14:paraId="43C358D2">
                  <w:pPr>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color w:val="auto"/>
                      <w:szCs w:val="21"/>
                    </w:rPr>
                  </w:pPr>
                  <w:r>
                    <w:rPr>
                      <w:rFonts w:hint="eastAsia" w:ascii="Times New Roman" w:hAnsi="Times New Roman" w:eastAsia="宋体" w:cs="Times New Roman"/>
                      <w:color w:val="auto"/>
                      <w:szCs w:val="21"/>
                      <w:lang w:val="en-US" w:eastAsia="zh-CN"/>
                    </w:rPr>
                    <w:t>/</w:t>
                  </w:r>
                </w:p>
              </w:tc>
              <w:tc>
                <w:tcPr>
                  <w:tcW w:w="277" w:type="pct"/>
                  <w:tcBorders>
                    <w:right w:val="single" w:color="auto" w:sz="4" w:space="0"/>
                  </w:tcBorders>
                  <w:vAlign w:val="center"/>
                </w:tcPr>
                <w:p w14:paraId="517EAC16">
                  <w:pPr>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color w:val="auto"/>
                      <w:szCs w:val="21"/>
                    </w:rPr>
                  </w:pPr>
                  <w:r>
                    <w:rPr>
                      <w:rFonts w:hint="eastAsia" w:ascii="Times New Roman" w:hAnsi="Times New Roman" w:eastAsia="宋体" w:cs="Times New Roman"/>
                      <w:color w:val="auto"/>
                      <w:szCs w:val="21"/>
                      <w:lang w:val="en-US" w:eastAsia="zh-CN"/>
                    </w:rPr>
                    <w:t>/</w:t>
                  </w:r>
                </w:p>
              </w:tc>
              <w:tc>
                <w:tcPr>
                  <w:tcW w:w="281" w:type="pct"/>
                  <w:tcBorders>
                    <w:left w:val="single" w:color="auto" w:sz="4" w:space="0"/>
                    <w:right w:val="single" w:color="auto" w:sz="4" w:space="0"/>
                  </w:tcBorders>
                  <w:vAlign w:val="center"/>
                </w:tcPr>
                <w:p w14:paraId="7179ABEF">
                  <w:pPr>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color w:val="auto"/>
                      <w:szCs w:val="21"/>
                    </w:rPr>
                  </w:pPr>
                  <w:r>
                    <w:rPr>
                      <w:rFonts w:hint="eastAsia" w:ascii="Times New Roman" w:hAnsi="Times New Roman" w:eastAsia="宋体" w:cs="Times New Roman"/>
                      <w:color w:val="auto"/>
                      <w:szCs w:val="21"/>
                      <w:lang w:val="en-US" w:eastAsia="zh-CN"/>
                    </w:rPr>
                    <w:t>少量</w:t>
                  </w:r>
                </w:p>
              </w:tc>
              <w:tc>
                <w:tcPr>
                  <w:tcW w:w="329" w:type="pct"/>
                  <w:tcBorders>
                    <w:left w:val="single" w:color="auto" w:sz="4" w:space="0"/>
                    <w:right w:val="single" w:color="auto" w:sz="4" w:space="0"/>
                  </w:tcBorders>
                  <w:vAlign w:val="center"/>
                </w:tcPr>
                <w:p w14:paraId="504E7D38">
                  <w:pPr>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rPr>
                    <w:t>DA001</w:t>
                  </w:r>
                </w:p>
              </w:tc>
              <w:tc>
                <w:tcPr>
                  <w:tcW w:w="261" w:type="pct"/>
                  <w:tcBorders>
                    <w:left w:val="single" w:color="auto" w:sz="4" w:space="0"/>
                    <w:right w:val="single" w:color="auto" w:sz="4" w:space="0"/>
                  </w:tcBorders>
                  <w:vAlign w:val="center"/>
                </w:tcPr>
                <w:p w14:paraId="5EED3D0E">
                  <w:pPr>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color w:val="auto"/>
                      <w:szCs w:val="21"/>
                    </w:rPr>
                  </w:pPr>
                  <w:r>
                    <w:rPr>
                      <w:rFonts w:hint="eastAsia" w:ascii="Times New Roman" w:hAnsi="Times New Roman" w:eastAsia="宋体" w:cs="Times New Roman"/>
                      <w:color w:val="auto"/>
                      <w:szCs w:val="21"/>
                      <w:lang w:val="en-US" w:eastAsia="zh-CN"/>
                    </w:rPr>
                    <w:t>1000（无量纲）</w:t>
                  </w:r>
                </w:p>
              </w:tc>
              <w:tc>
                <w:tcPr>
                  <w:tcW w:w="243" w:type="pct"/>
                  <w:tcBorders>
                    <w:left w:val="single" w:color="auto" w:sz="4" w:space="0"/>
                    <w:right w:val="single" w:color="auto" w:sz="4" w:space="0"/>
                  </w:tcBorders>
                  <w:vAlign w:val="center"/>
                </w:tcPr>
                <w:p w14:paraId="5425AD27">
                  <w:pPr>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color w:val="auto"/>
                      <w:szCs w:val="21"/>
                    </w:rPr>
                  </w:pPr>
                  <w:r>
                    <w:rPr>
                      <w:rFonts w:hint="eastAsia" w:ascii="Times New Roman" w:hAnsi="Times New Roman" w:eastAsia="宋体" w:cs="Times New Roman"/>
                      <w:color w:val="auto"/>
                      <w:szCs w:val="21"/>
                      <w:lang w:val="en-US" w:eastAsia="zh-CN"/>
                    </w:rPr>
                    <w:t>/</w:t>
                  </w:r>
                </w:p>
              </w:tc>
            </w:tr>
            <w:tr w14:paraId="5E3A0862">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90" w:hRule="atLeast"/>
                <w:jc w:val="center"/>
              </w:trPr>
              <w:tc>
                <w:tcPr>
                  <w:tcW w:w="308" w:type="pct"/>
                  <w:vMerge w:val="continue"/>
                  <w:tcBorders>
                    <w:right w:val="single" w:color="auto" w:sz="4" w:space="0"/>
                  </w:tcBorders>
                  <w:vAlign w:val="center"/>
                </w:tcPr>
                <w:p w14:paraId="15034317">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p>
              </w:tc>
              <w:tc>
                <w:tcPr>
                  <w:tcW w:w="299" w:type="pct"/>
                  <w:vMerge w:val="continue"/>
                  <w:tcBorders>
                    <w:left w:val="single" w:color="auto" w:sz="4" w:space="0"/>
                    <w:right w:val="single" w:color="auto" w:sz="4" w:space="0"/>
                  </w:tcBorders>
                  <w:vAlign w:val="center"/>
                </w:tcPr>
                <w:p w14:paraId="7FE31CD9">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p>
              </w:tc>
              <w:tc>
                <w:tcPr>
                  <w:tcW w:w="320" w:type="pct"/>
                  <w:vMerge w:val="continue"/>
                  <w:tcBorders>
                    <w:left w:val="single" w:color="auto" w:sz="4" w:space="0"/>
                    <w:right w:val="single" w:color="auto" w:sz="4" w:space="0"/>
                  </w:tcBorders>
                  <w:vAlign w:val="center"/>
                </w:tcPr>
                <w:p w14:paraId="1A145AE2">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p>
              </w:tc>
              <w:tc>
                <w:tcPr>
                  <w:tcW w:w="314" w:type="pct"/>
                  <w:vMerge w:val="continue"/>
                  <w:tcBorders>
                    <w:left w:val="single" w:color="auto" w:sz="4" w:space="0"/>
                    <w:right w:val="single" w:color="auto" w:sz="4" w:space="0"/>
                  </w:tcBorders>
                  <w:vAlign w:val="center"/>
                </w:tcPr>
                <w:p w14:paraId="7AA57D71">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p>
              </w:tc>
              <w:tc>
                <w:tcPr>
                  <w:tcW w:w="278" w:type="pct"/>
                  <w:vMerge w:val="continue"/>
                  <w:tcBorders>
                    <w:left w:val="single" w:color="auto" w:sz="4" w:space="0"/>
                    <w:right w:val="single" w:color="auto" w:sz="4" w:space="0"/>
                  </w:tcBorders>
                  <w:vAlign w:val="center"/>
                </w:tcPr>
                <w:p w14:paraId="5DC1FF3A">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p>
              </w:tc>
              <w:tc>
                <w:tcPr>
                  <w:tcW w:w="374" w:type="pct"/>
                  <w:tcBorders>
                    <w:left w:val="single" w:color="auto" w:sz="4" w:space="0"/>
                    <w:right w:val="single" w:color="auto" w:sz="4" w:space="0"/>
                  </w:tcBorders>
                  <w:shd w:val="clear" w:color="auto" w:fill="auto"/>
                  <w:vAlign w:val="center"/>
                </w:tcPr>
                <w:p w14:paraId="73E9339C">
                  <w:pPr>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color w:val="auto"/>
                      <w:kern w:val="2"/>
                      <w:sz w:val="21"/>
                      <w:szCs w:val="21"/>
                      <w:lang w:val="en-US" w:eastAsia="zh-CN" w:bidi="ar-SA"/>
                    </w:rPr>
                  </w:pPr>
                  <w:r>
                    <w:rPr>
                      <w:rFonts w:hint="default" w:ascii="Times New Roman" w:hAnsi="Times New Roman" w:eastAsia="宋体" w:cs="Times New Roman"/>
                      <w:color w:val="auto"/>
                      <w:szCs w:val="21"/>
                    </w:rPr>
                    <w:t>无组织</w:t>
                  </w:r>
                </w:p>
              </w:tc>
              <w:tc>
                <w:tcPr>
                  <w:tcW w:w="1382" w:type="pct"/>
                  <w:gridSpan w:val="9"/>
                  <w:tcBorders>
                    <w:left w:val="single" w:color="auto" w:sz="4" w:space="0"/>
                    <w:right w:val="single" w:color="auto" w:sz="4" w:space="0"/>
                  </w:tcBorders>
                  <w:shd w:val="clear" w:color="auto" w:fill="auto"/>
                  <w:vAlign w:val="center"/>
                </w:tcPr>
                <w:p w14:paraId="1D6E18AE">
                  <w:pPr>
                    <w:keepNext w:val="0"/>
                    <w:keepLines w:val="0"/>
                    <w:suppressLineNumbers w:val="0"/>
                    <w:spacing w:before="0" w:beforeAutospacing="0" w:after="0" w:afterAutospacing="0"/>
                    <w:ind w:left="0" w:leftChars="0" w:right="0" w:rightChars="0"/>
                    <w:jc w:val="center"/>
                    <w:rPr>
                      <w:rFonts w:hint="eastAsia" w:ascii="Times New Roman" w:hAnsi="Times New Roman" w:eastAsia="宋体" w:cs="Times New Roman"/>
                      <w:color w:val="auto"/>
                      <w:kern w:val="2"/>
                      <w:sz w:val="21"/>
                      <w:szCs w:val="21"/>
                      <w:lang w:val="en-US" w:eastAsia="zh-CN" w:bidi="ar-SA"/>
                    </w:rPr>
                  </w:pPr>
                  <w:r>
                    <w:rPr>
                      <w:rFonts w:hint="eastAsia" w:ascii="Times New Roman" w:hAnsi="Times New Roman" w:eastAsia="宋体" w:cs="Times New Roman"/>
                      <w:color w:val="auto"/>
                      <w:szCs w:val="21"/>
                    </w:rPr>
                    <w:t>/</w:t>
                  </w:r>
                </w:p>
              </w:tc>
              <w:tc>
                <w:tcPr>
                  <w:tcW w:w="328" w:type="pct"/>
                  <w:tcBorders>
                    <w:left w:val="single" w:color="auto" w:sz="4" w:space="0"/>
                  </w:tcBorders>
                  <w:vAlign w:val="center"/>
                </w:tcPr>
                <w:p w14:paraId="66B077BB">
                  <w:pPr>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color w:val="auto"/>
                      <w:szCs w:val="21"/>
                    </w:rPr>
                  </w:pPr>
                  <w:r>
                    <w:rPr>
                      <w:rFonts w:hint="eastAsia" w:ascii="Times New Roman" w:hAnsi="Times New Roman" w:eastAsia="宋体" w:cs="Times New Roman"/>
                      <w:color w:val="auto"/>
                      <w:szCs w:val="21"/>
                      <w:lang w:val="en-US" w:eastAsia="zh-CN"/>
                    </w:rPr>
                    <w:t>/</w:t>
                  </w:r>
                </w:p>
              </w:tc>
              <w:tc>
                <w:tcPr>
                  <w:tcW w:w="277" w:type="pct"/>
                  <w:tcBorders>
                    <w:right w:val="single" w:color="auto" w:sz="4" w:space="0"/>
                  </w:tcBorders>
                  <w:vAlign w:val="center"/>
                </w:tcPr>
                <w:p w14:paraId="59F81BB3">
                  <w:pPr>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color w:val="auto"/>
                      <w:szCs w:val="21"/>
                    </w:rPr>
                  </w:pPr>
                  <w:r>
                    <w:rPr>
                      <w:rFonts w:hint="eastAsia" w:ascii="Times New Roman" w:hAnsi="Times New Roman" w:eastAsia="宋体" w:cs="Times New Roman"/>
                      <w:color w:val="auto"/>
                      <w:szCs w:val="21"/>
                      <w:lang w:val="en-US" w:eastAsia="zh-CN"/>
                    </w:rPr>
                    <w:t>/</w:t>
                  </w:r>
                </w:p>
              </w:tc>
              <w:tc>
                <w:tcPr>
                  <w:tcW w:w="281" w:type="pct"/>
                  <w:tcBorders>
                    <w:left w:val="single" w:color="auto" w:sz="4" w:space="0"/>
                    <w:right w:val="single" w:color="auto" w:sz="4" w:space="0"/>
                  </w:tcBorders>
                  <w:vAlign w:val="center"/>
                </w:tcPr>
                <w:p w14:paraId="27CB3F34">
                  <w:pPr>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color w:val="auto"/>
                      <w:szCs w:val="21"/>
                    </w:rPr>
                  </w:pPr>
                  <w:r>
                    <w:rPr>
                      <w:rFonts w:hint="eastAsia" w:ascii="Times New Roman" w:hAnsi="Times New Roman" w:eastAsia="宋体" w:cs="Times New Roman"/>
                      <w:color w:val="auto"/>
                      <w:szCs w:val="21"/>
                      <w:lang w:val="en-US" w:eastAsia="zh-CN"/>
                    </w:rPr>
                    <w:t>少量</w:t>
                  </w:r>
                </w:p>
              </w:tc>
              <w:tc>
                <w:tcPr>
                  <w:tcW w:w="329" w:type="pct"/>
                  <w:tcBorders>
                    <w:left w:val="single" w:color="auto" w:sz="4" w:space="0"/>
                    <w:right w:val="single" w:color="auto" w:sz="4" w:space="0"/>
                  </w:tcBorders>
                  <w:vAlign w:val="center"/>
                </w:tcPr>
                <w:p w14:paraId="72C39593">
                  <w:pPr>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rPr>
                    <w:t>/</w:t>
                  </w:r>
                </w:p>
              </w:tc>
              <w:tc>
                <w:tcPr>
                  <w:tcW w:w="261" w:type="pct"/>
                  <w:tcBorders>
                    <w:left w:val="single" w:color="auto" w:sz="4" w:space="0"/>
                    <w:right w:val="single" w:color="auto" w:sz="4" w:space="0"/>
                  </w:tcBorders>
                  <w:vAlign w:val="center"/>
                </w:tcPr>
                <w:p w14:paraId="4220819B">
                  <w:pPr>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color w:val="auto"/>
                      <w:szCs w:val="21"/>
                    </w:rPr>
                  </w:pPr>
                  <w:r>
                    <w:rPr>
                      <w:rFonts w:hint="eastAsia" w:ascii="Times New Roman" w:hAnsi="Times New Roman" w:eastAsia="宋体" w:cs="Times New Roman"/>
                      <w:color w:val="auto"/>
                      <w:szCs w:val="21"/>
                      <w:lang w:val="en-US" w:eastAsia="zh-CN"/>
                    </w:rPr>
                    <w:t>20（无量纲）</w:t>
                  </w:r>
                </w:p>
              </w:tc>
              <w:tc>
                <w:tcPr>
                  <w:tcW w:w="243" w:type="pct"/>
                  <w:tcBorders>
                    <w:left w:val="single" w:color="auto" w:sz="4" w:space="0"/>
                    <w:right w:val="single" w:color="auto" w:sz="4" w:space="0"/>
                  </w:tcBorders>
                  <w:vAlign w:val="center"/>
                </w:tcPr>
                <w:p w14:paraId="199FA618">
                  <w:pPr>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color w:val="auto"/>
                      <w:szCs w:val="21"/>
                    </w:rPr>
                  </w:pPr>
                  <w:r>
                    <w:rPr>
                      <w:rFonts w:hint="eastAsia" w:ascii="Times New Roman" w:hAnsi="Times New Roman" w:eastAsia="宋体" w:cs="Times New Roman"/>
                      <w:color w:val="auto"/>
                      <w:szCs w:val="21"/>
                      <w:lang w:val="en-US" w:eastAsia="zh-CN"/>
                    </w:rPr>
                    <w:t>/</w:t>
                  </w:r>
                </w:p>
              </w:tc>
            </w:tr>
            <w:tr w14:paraId="4D3807F3">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397" w:hRule="atLeast"/>
                <w:jc w:val="center"/>
              </w:trPr>
              <w:tc>
                <w:tcPr>
                  <w:tcW w:w="308" w:type="pct"/>
                  <w:vMerge w:val="restart"/>
                  <w:tcBorders>
                    <w:right w:val="single" w:color="auto" w:sz="4" w:space="0"/>
                  </w:tcBorders>
                  <w:vAlign w:val="center"/>
                </w:tcPr>
                <w:p w14:paraId="5A485881">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lang w:val="en-US" w:eastAsia="zh-CN"/>
                    </w:rPr>
                    <w:t>贴合</w:t>
                  </w:r>
                </w:p>
              </w:tc>
              <w:tc>
                <w:tcPr>
                  <w:tcW w:w="299" w:type="pct"/>
                  <w:tcBorders>
                    <w:left w:val="single" w:color="auto" w:sz="4" w:space="0"/>
                    <w:right w:val="single" w:color="auto" w:sz="4" w:space="0"/>
                  </w:tcBorders>
                  <w:vAlign w:val="center"/>
                </w:tcPr>
                <w:p w14:paraId="15A4AA46">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rPr>
                    <w:t>非甲烷总烃</w:t>
                  </w:r>
                </w:p>
              </w:tc>
              <w:tc>
                <w:tcPr>
                  <w:tcW w:w="320" w:type="pct"/>
                  <w:tcBorders>
                    <w:left w:val="single" w:color="auto" w:sz="4" w:space="0"/>
                    <w:right w:val="single" w:color="auto" w:sz="4" w:space="0"/>
                  </w:tcBorders>
                  <w:shd w:val="clear" w:color="auto" w:fill="auto"/>
                  <w:vAlign w:val="center"/>
                </w:tcPr>
                <w:p w14:paraId="60DF3EB3">
                  <w:pPr>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color w:val="auto"/>
                      <w:kern w:val="2"/>
                      <w:sz w:val="21"/>
                      <w:szCs w:val="21"/>
                      <w:lang w:val="en-US" w:eastAsia="zh-CN" w:bidi="ar-SA"/>
                    </w:rPr>
                  </w:pPr>
                  <w:r>
                    <w:rPr>
                      <w:rFonts w:hint="eastAsia" w:ascii="Times New Roman" w:hAnsi="Times New Roman" w:eastAsia="宋体" w:cs="Times New Roman"/>
                      <w:color w:val="auto"/>
                      <w:szCs w:val="21"/>
                      <w:lang w:val="en-US" w:eastAsia="zh-CN"/>
                    </w:rPr>
                    <w:t>/</w:t>
                  </w:r>
                </w:p>
              </w:tc>
              <w:tc>
                <w:tcPr>
                  <w:tcW w:w="314" w:type="pct"/>
                  <w:tcBorders>
                    <w:left w:val="single" w:color="auto" w:sz="4" w:space="0"/>
                    <w:right w:val="single" w:color="auto" w:sz="4" w:space="0"/>
                  </w:tcBorders>
                  <w:shd w:val="clear" w:color="auto" w:fill="auto"/>
                  <w:vAlign w:val="center"/>
                </w:tcPr>
                <w:p w14:paraId="6BD1D020">
                  <w:pPr>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color w:val="auto"/>
                      <w:kern w:val="2"/>
                      <w:sz w:val="21"/>
                      <w:szCs w:val="21"/>
                      <w:lang w:val="en-US" w:eastAsia="zh-CN" w:bidi="ar-SA"/>
                    </w:rPr>
                  </w:pPr>
                  <w:r>
                    <w:rPr>
                      <w:rFonts w:hint="eastAsia" w:ascii="Times New Roman" w:hAnsi="Times New Roman" w:eastAsia="宋体" w:cs="Times New Roman"/>
                      <w:color w:val="auto"/>
                      <w:szCs w:val="21"/>
                      <w:lang w:val="en-US" w:eastAsia="zh-CN"/>
                    </w:rPr>
                    <w:t>/</w:t>
                  </w:r>
                </w:p>
              </w:tc>
              <w:tc>
                <w:tcPr>
                  <w:tcW w:w="278" w:type="pct"/>
                  <w:tcBorders>
                    <w:left w:val="single" w:color="auto" w:sz="4" w:space="0"/>
                    <w:right w:val="single" w:color="auto" w:sz="4" w:space="0"/>
                  </w:tcBorders>
                  <w:shd w:val="clear" w:color="auto" w:fill="auto"/>
                  <w:vAlign w:val="center"/>
                </w:tcPr>
                <w:p w14:paraId="6A42EA0F">
                  <w:pPr>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color w:val="auto"/>
                      <w:kern w:val="2"/>
                      <w:sz w:val="21"/>
                      <w:szCs w:val="21"/>
                      <w:lang w:val="en-US" w:eastAsia="zh-CN" w:bidi="ar-SA"/>
                    </w:rPr>
                  </w:pPr>
                  <w:r>
                    <w:rPr>
                      <w:rFonts w:hint="eastAsia" w:ascii="Times New Roman" w:hAnsi="Times New Roman" w:eastAsia="宋体" w:cs="Times New Roman"/>
                      <w:color w:val="auto"/>
                      <w:szCs w:val="21"/>
                      <w:lang w:val="en-US" w:eastAsia="zh-CN"/>
                    </w:rPr>
                    <w:t>少量</w:t>
                  </w:r>
                </w:p>
              </w:tc>
              <w:tc>
                <w:tcPr>
                  <w:tcW w:w="374" w:type="pct"/>
                  <w:tcBorders>
                    <w:left w:val="single" w:color="auto" w:sz="4" w:space="0"/>
                    <w:right w:val="single" w:color="auto" w:sz="4" w:space="0"/>
                  </w:tcBorders>
                  <w:shd w:val="clear" w:color="auto" w:fill="auto"/>
                  <w:vAlign w:val="center"/>
                </w:tcPr>
                <w:p w14:paraId="335EAD56">
                  <w:pPr>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color w:val="auto"/>
                      <w:kern w:val="2"/>
                      <w:sz w:val="21"/>
                      <w:szCs w:val="21"/>
                      <w:lang w:val="en-US" w:eastAsia="zh-CN" w:bidi="ar-SA"/>
                    </w:rPr>
                  </w:pPr>
                  <w:r>
                    <w:rPr>
                      <w:rFonts w:hint="default" w:ascii="Times New Roman" w:hAnsi="Times New Roman" w:eastAsia="宋体" w:cs="Times New Roman"/>
                      <w:color w:val="auto"/>
                      <w:szCs w:val="21"/>
                    </w:rPr>
                    <w:t>无组织</w:t>
                  </w:r>
                </w:p>
              </w:tc>
              <w:tc>
                <w:tcPr>
                  <w:tcW w:w="1382" w:type="pct"/>
                  <w:gridSpan w:val="9"/>
                  <w:tcBorders>
                    <w:left w:val="single" w:color="auto" w:sz="4" w:space="0"/>
                    <w:right w:val="single" w:color="auto" w:sz="4" w:space="0"/>
                  </w:tcBorders>
                  <w:shd w:val="clear" w:color="auto" w:fill="auto"/>
                  <w:vAlign w:val="center"/>
                </w:tcPr>
                <w:p w14:paraId="6EA023BE">
                  <w:pPr>
                    <w:keepNext w:val="0"/>
                    <w:keepLines w:val="0"/>
                    <w:suppressLineNumbers w:val="0"/>
                    <w:spacing w:before="0" w:beforeAutospacing="0" w:after="0" w:afterAutospacing="0"/>
                    <w:ind w:left="0" w:leftChars="0" w:right="0" w:rightChars="0"/>
                    <w:jc w:val="center"/>
                    <w:rPr>
                      <w:rFonts w:hint="eastAsia" w:ascii="Times New Roman" w:hAnsi="Times New Roman" w:eastAsia="宋体" w:cs="Times New Roman"/>
                      <w:color w:val="auto"/>
                      <w:kern w:val="2"/>
                      <w:sz w:val="21"/>
                      <w:szCs w:val="21"/>
                      <w:lang w:val="en-US" w:eastAsia="zh-CN" w:bidi="ar-SA"/>
                    </w:rPr>
                  </w:pPr>
                  <w:r>
                    <w:rPr>
                      <w:rFonts w:hint="eastAsia" w:ascii="Times New Roman" w:hAnsi="Times New Roman" w:eastAsia="宋体" w:cs="Times New Roman"/>
                      <w:color w:val="auto"/>
                      <w:szCs w:val="21"/>
                      <w:lang w:val="en-US" w:eastAsia="zh-CN"/>
                    </w:rPr>
                    <w:t>/</w:t>
                  </w:r>
                </w:p>
              </w:tc>
              <w:tc>
                <w:tcPr>
                  <w:tcW w:w="328" w:type="pct"/>
                  <w:tcBorders>
                    <w:left w:val="single" w:color="auto" w:sz="4" w:space="0"/>
                  </w:tcBorders>
                  <w:shd w:val="clear" w:color="auto" w:fill="auto"/>
                  <w:vAlign w:val="center"/>
                </w:tcPr>
                <w:p w14:paraId="13381549">
                  <w:pPr>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color w:val="auto"/>
                      <w:kern w:val="2"/>
                      <w:sz w:val="21"/>
                      <w:szCs w:val="21"/>
                      <w:lang w:val="en-US" w:eastAsia="zh-CN" w:bidi="ar-SA"/>
                    </w:rPr>
                  </w:pPr>
                  <w:r>
                    <w:rPr>
                      <w:rFonts w:hint="eastAsia" w:ascii="Times New Roman" w:hAnsi="Times New Roman" w:eastAsia="宋体" w:cs="Times New Roman"/>
                      <w:color w:val="auto"/>
                      <w:szCs w:val="21"/>
                      <w:lang w:val="en-US" w:eastAsia="zh-CN"/>
                    </w:rPr>
                    <w:t>/</w:t>
                  </w:r>
                </w:p>
              </w:tc>
              <w:tc>
                <w:tcPr>
                  <w:tcW w:w="277" w:type="pct"/>
                  <w:tcBorders>
                    <w:right w:val="single" w:color="auto" w:sz="4" w:space="0"/>
                  </w:tcBorders>
                  <w:shd w:val="clear" w:color="auto" w:fill="auto"/>
                  <w:vAlign w:val="center"/>
                </w:tcPr>
                <w:p w14:paraId="1C522DE5">
                  <w:pPr>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color w:val="auto"/>
                      <w:kern w:val="2"/>
                      <w:sz w:val="21"/>
                      <w:szCs w:val="21"/>
                      <w:lang w:val="en-US" w:eastAsia="zh-CN" w:bidi="ar-SA"/>
                    </w:rPr>
                  </w:pPr>
                  <w:r>
                    <w:rPr>
                      <w:rFonts w:hint="eastAsia" w:ascii="Times New Roman" w:hAnsi="Times New Roman" w:eastAsia="宋体" w:cs="Times New Roman"/>
                      <w:color w:val="auto"/>
                      <w:szCs w:val="21"/>
                      <w:lang w:val="en-US" w:eastAsia="zh-CN"/>
                    </w:rPr>
                    <w:t>/</w:t>
                  </w:r>
                </w:p>
              </w:tc>
              <w:tc>
                <w:tcPr>
                  <w:tcW w:w="281" w:type="pct"/>
                  <w:tcBorders>
                    <w:left w:val="single" w:color="auto" w:sz="4" w:space="0"/>
                    <w:right w:val="single" w:color="auto" w:sz="4" w:space="0"/>
                  </w:tcBorders>
                  <w:shd w:val="clear" w:color="auto" w:fill="auto"/>
                  <w:vAlign w:val="center"/>
                </w:tcPr>
                <w:p w14:paraId="55D31261">
                  <w:pPr>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color w:val="auto"/>
                      <w:kern w:val="2"/>
                      <w:sz w:val="21"/>
                      <w:szCs w:val="21"/>
                      <w:lang w:val="en-US" w:eastAsia="zh-CN" w:bidi="ar-SA"/>
                    </w:rPr>
                  </w:pPr>
                  <w:r>
                    <w:rPr>
                      <w:rFonts w:hint="eastAsia" w:ascii="Times New Roman" w:hAnsi="Times New Roman" w:eastAsia="宋体" w:cs="Times New Roman"/>
                      <w:color w:val="auto"/>
                      <w:szCs w:val="21"/>
                      <w:lang w:val="en-US" w:eastAsia="zh-CN"/>
                    </w:rPr>
                    <w:t>少量</w:t>
                  </w:r>
                </w:p>
              </w:tc>
              <w:tc>
                <w:tcPr>
                  <w:tcW w:w="329" w:type="pct"/>
                  <w:tcBorders>
                    <w:left w:val="single" w:color="auto" w:sz="4" w:space="0"/>
                    <w:right w:val="single" w:color="auto" w:sz="4" w:space="0"/>
                  </w:tcBorders>
                  <w:vAlign w:val="center"/>
                </w:tcPr>
                <w:p w14:paraId="5055D7E7">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rPr>
                    <w:t>/</w:t>
                  </w:r>
                </w:p>
              </w:tc>
              <w:tc>
                <w:tcPr>
                  <w:tcW w:w="261" w:type="pct"/>
                  <w:tcBorders>
                    <w:left w:val="single" w:color="auto" w:sz="4" w:space="0"/>
                    <w:right w:val="single" w:color="auto" w:sz="4" w:space="0"/>
                  </w:tcBorders>
                  <w:vAlign w:val="center"/>
                </w:tcPr>
                <w:p w14:paraId="3979B294">
                  <w:pPr>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color w:val="auto"/>
                      <w:szCs w:val="21"/>
                    </w:rPr>
                  </w:pPr>
                  <w:r>
                    <w:rPr>
                      <w:rFonts w:hint="eastAsia" w:ascii="Times New Roman" w:hAnsi="Times New Roman" w:eastAsia="宋体" w:cs="Times New Roman"/>
                      <w:color w:val="auto"/>
                      <w:szCs w:val="21"/>
                      <w:lang w:val="en-US" w:eastAsia="zh-CN"/>
                    </w:rPr>
                    <w:t>4.0</w:t>
                  </w:r>
                </w:p>
              </w:tc>
              <w:tc>
                <w:tcPr>
                  <w:tcW w:w="243" w:type="pct"/>
                  <w:tcBorders>
                    <w:left w:val="single" w:color="auto" w:sz="4" w:space="0"/>
                    <w:right w:val="single" w:color="auto" w:sz="4" w:space="0"/>
                  </w:tcBorders>
                  <w:vAlign w:val="center"/>
                </w:tcPr>
                <w:p w14:paraId="386ADF48">
                  <w:pPr>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rPr>
                    <w:t>/</w:t>
                  </w:r>
                </w:p>
              </w:tc>
            </w:tr>
            <w:tr w14:paraId="3E31CA62">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397" w:hRule="atLeast"/>
                <w:jc w:val="center"/>
              </w:trPr>
              <w:tc>
                <w:tcPr>
                  <w:tcW w:w="308" w:type="pct"/>
                  <w:vMerge w:val="continue"/>
                  <w:tcBorders>
                    <w:right w:val="single" w:color="auto" w:sz="4" w:space="0"/>
                  </w:tcBorders>
                  <w:vAlign w:val="center"/>
                </w:tcPr>
                <w:p w14:paraId="2EEE0245">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lang w:val="en-US" w:eastAsia="zh-CN"/>
                    </w:rPr>
                  </w:pPr>
                </w:p>
              </w:tc>
              <w:tc>
                <w:tcPr>
                  <w:tcW w:w="299" w:type="pct"/>
                  <w:tcBorders>
                    <w:left w:val="single" w:color="auto" w:sz="4" w:space="0"/>
                    <w:right w:val="single" w:color="auto" w:sz="4" w:space="0"/>
                  </w:tcBorders>
                  <w:vAlign w:val="center"/>
                </w:tcPr>
                <w:p w14:paraId="67B78268">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rPr>
                    <w:t>臭气浓度</w:t>
                  </w:r>
                </w:p>
              </w:tc>
              <w:tc>
                <w:tcPr>
                  <w:tcW w:w="320" w:type="pct"/>
                  <w:tcBorders>
                    <w:left w:val="single" w:color="auto" w:sz="4" w:space="0"/>
                    <w:right w:val="single" w:color="auto" w:sz="4" w:space="0"/>
                  </w:tcBorders>
                  <w:vAlign w:val="center"/>
                </w:tcPr>
                <w:p w14:paraId="35470C17">
                  <w:pPr>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color w:val="auto"/>
                      <w:szCs w:val="21"/>
                    </w:rPr>
                  </w:pPr>
                  <w:r>
                    <w:rPr>
                      <w:rFonts w:hint="eastAsia" w:ascii="Times New Roman" w:hAnsi="Times New Roman" w:eastAsia="宋体" w:cs="Times New Roman"/>
                      <w:color w:val="auto"/>
                      <w:szCs w:val="21"/>
                      <w:lang w:val="en-US" w:eastAsia="zh-CN"/>
                    </w:rPr>
                    <w:t>/</w:t>
                  </w:r>
                </w:p>
              </w:tc>
              <w:tc>
                <w:tcPr>
                  <w:tcW w:w="314" w:type="pct"/>
                  <w:tcBorders>
                    <w:left w:val="single" w:color="auto" w:sz="4" w:space="0"/>
                    <w:right w:val="single" w:color="auto" w:sz="4" w:space="0"/>
                  </w:tcBorders>
                  <w:vAlign w:val="center"/>
                </w:tcPr>
                <w:p w14:paraId="1553D86C">
                  <w:pPr>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color w:val="auto"/>
                      <w:szCs w:val="21"/>
                    </w:rPr>
                  </w:pPr>
                  <w:r>
                    <w:rPr>
                      <w:rFonts w:hint="eastAsia" w:ascii="Times New Roman" w:hAnsi="Times New Roman" w:eastAsia="宋体" w:cs="Times New Roman"/>
                      <w:color w:val="auto"/>
                      <w:szCs w:val="21"/>
                      <w:lang w:val="en-US" w:eastAsia="zh-CN"/>
                    </w:rPr>
                    <w:t>/</w:t>
                  </w:r>
                </w:p>
              </w:tc>
              <w:tc>
                <w:tcPr>
                  <w:tcW w:w="278" w:type="pct"/>
                  <w:tcBorders>
                    <w:left w:val="single" w:color="auto" w:sz="4" w:space="0"/>
                    <w:right w:val="single" w:color="auto" w:sz="4" w:space="0"/>
                  </w:tcBorders>
                  <w:vAlign w:val="center"/>
                </w:tcPr>
                <w:p w14:paraId="3C9157CF">
                  <w:pPr>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color w:val="auto"/>
                      <w:szCs w:val="21"/>
                    </w:rPr>
                  </w:pPr>
                  <w:r>
                    <w:rPr>
                      <w:rFonts w:hint="eastAsia" w:ascii="Times New Roman" w:hAnsi="Times New Roman" w:eastAsia="宋体" w:cs="Times New Roman"/>
                      <w:color w:val="auto"/>
                      <w:szCs w:val="21"/>
                      <w:lang w:val="en-US" w:eastAsia="zh-CN"/>
                    </w:rPr>
                    <w:t>少量</w:t>
                  </w:r>
                </w:p>
              </w:tc>
              <w:tc>
                <w:tcPr>
                  <w:tcW w:w="374" w:type="pct"/>
                  <w:tcBorders>
                    <w:left w:val="single" w:color="auto" w:sz="4" w:space="0"/>
                    <w:right w:val="single" w:color="auto" w:sz="4" w:space="0"/>
                  </w:tcBorders>
                  <w:vAlign w:val="center"/>
                </w:tcPr>
                <w:p w14:paraId="37CE9688">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rPr>
                    <w:t>无组织</w:t>
                  </w:r>
                </w:p>
              </w:tc>
              <w:tc>
                <w:tcPr>
                  <w:tcW w:w="1382" w:type="pct"/>
                  <w:gridSpan w:val="9"/>
                  <w:tcBorders>
                    <w:left w:val="single" w:color="auto" w:sz="4" w:space="0"/>
                    <w:right w:val="single" w:color="auto" w:sz="4" w:space="0"/>
                  </w:tcBorders>
                  <w:vAlign w:val="center"/>
                </w:tcPr>
                <w:p w14:paraId="328EE814">
                  <w:pPr>
                    <w:keepNext w:val="0"/>
                    <w:keepLines w:val="0"/>
                    <w:suppressLineNumbers w:val="0"/>
                    <w:spacing w:before="0" w:beforeAutospacing="0" w:after="0" w:afterAutospacing="0"/>
                    <w:ind w:left="0" w:right="0"/>
                    <w:jc w:val="center"/>
                    <w:rPr>
                      <w:rFonts w:hint="eastAsia" w:ascii="Times New Roman" w:hAnsi="Times New Roman" w:eastAsia="宋体" w:cs="Times New Roman"/>
                      <w:color w:val="auto"/>
                      <w:szCs w:val="21"/>
                      <w:lang w:val="en-US" w:eastAsia="zh-CN"/>
                    </w:rPr>
                  </w:pPr>
                  <w:r>
                    <w:rPr>
                      <w:rFonts w:hint="eastAsia" w:ascii="Times New Roman" w:hAnsi="Times New Roman" w:eastAsia="宋体" w:cs="Times New Roman"/>
                      <w:color w:val="auto"/>
                      <w:szCs w:val="21"/>
                      <w:lang w:val="en-US" w:eastAsia="zh-CN"/>
                    </w:rPr>
                    <w:t>/</w:t>
                  </w:r>
                </w:p>
              </w:tc>
              <w:tc>
                <w:tcPr>
                  <w:tcW w:w="328" w:type="pct"/>
                  <w:tcBorders>
                    <w:left w:val="single" w:color="auto" w:sz="4" w:space="0"/>
                  </w:tcBorders>
                  <w:shd w:val="clear" w:color="auto" w:fill="auto"/>
                  <w:vAlign w:val="center"/>
                </w:tcPr>
                <w:p w14:paraId="64273F06">
                  <w:pPr>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color w:val="auto"/>
                      <w:kern w:val="2"/>
                      <w:sz w:val="21"/>
                      <w:szCs w:val="21"/>
                      <w:lang w:val="en-US" w:eastAsia="zh-CN" w:bidi="ar-SA"/>
                    </w:rPr>
                  </w:pPr>
                  <w:r>
                    <w:rPr>
                      <w:rFonts w:hint="eastAsia" w:ascii="Times New Roman" w:hAnsi="Times New Roman" w:eastAsia="宋体" w:cs="Times New Roman"/>
                      <w:color w:val="auto"/>
                      <w:szCs w:val="21"/>
                      <w:lang w:val="en-US" w:eastAsia="zh-CN"/>
                    </w:rPr>
                    <w:t>/</w:t>
                  </w:r>
                </w:p>
              </w:tc>
              <w:tc>
                <w:tcPr>
                  <w:tcW w:w="277" w:type="pct"/>
                  <w:tcBorders>
                    <w:right w:val="single" w:color="auto" w:sz="4" w:space="0"/>
                  </w:tcBorders>
                  <w:shd w:val="clear" w:color="auto" w:fill="auto"/>
                  <w:vAlign w:val="center"/>
                </w:tcPr>
                <w:p w14:paraId="636FAC57">
                  <w:pPr>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color w:val="auto"/>
                      <w:kern w:val="2"/>
                      <w:sz w:val="21"/>
                      <w:szCs w:val="21"/>
                      <w:lang w:val="en-US" w:eastAsia="zh-CN" w:bidi="ar-SA"/>
                    </w:rPr>
                  </w:pPr>
                  <w:r>
                    <w:rPr>
                      <w:rFonts w:hint="eastAsia" w:ascii="Times New Roman" w:hAnsi="Times New Roman" w:eastAsia="宋体" w:cs="Times New Roman"/>
                      <w:color w:val="auto"/>
                      <w:szCs w:val="21"/>
                      <w:lang w:val="en-US" w:eastAsia="zh-CN"/>
                    </w:rPr>
                    <w:t>/</w:t>
                  </w:r>
                </w:p>
              </w:tc>
              <w:tc>
                <w:tcPr>
                  <w:tcW w:w="281" w:type="pct"/>
                  <w:tcBorders>
                    <w:left w:val="single" w:color="auto" w:sz="4" w:space="0"/>
                    <w:right w:val="single" w:color="auto" w:sz="4" w:space="0"/>
                  </w:tcBorders>
                  <w:shd w:val="clear" w:color="auto" w:fill="auto"/>
                  <w:vAlign w:val="center"/>
                </w:tcPr>
                <w:p w14:paraId="1966C3F6">
                  <w:pPr>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color w:val="auto"/>
                      <w:kern w:val="2"/>
                      <w:sz w:val="21"/>
                      <w:szCs w:val="21"/>
                      <w:lang w:val="en-US" w:eastAsia="zh-CN" w:bidi="ar-SA"/>
                    </w:rPr>
                  </w:pPr>
                  <w:r>
                    <w:rPr>
                      <w:rFonts w:hint="eastAsia" w:ascii="Times New Roman" w:hAnsi="Times New Roman" w:eastAsia="宋体" w:cs="Times New Roman"/>
                      <w:color w:val="auto"/>
                      <w:szCs w:val="21"/>
                      <w:lang w:val="en-US" w:eastAsia="zh-CN"/>
                    </w:rPr>
                    <w:t>少量</w:t>
                  </w:r>
                </w:p>
              </w:tc>
              <w:tc>
                <w:tcPr>
                  <w:tcW w:w="329" w:type="pct"/>
                  <w:tcBorders>
                    <w:left w:val="single" w:color="auto" w:sz="4" w:space="0"/>
                    <w:right w:val="single" w:color="auto" w:sz="4" w:space="0"/>
                  </w:tcBorders>
                  <w:vAlign w:val="center"/>
                </w:tcPr>
                <w:p w14:paraId="5A742404">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rPr>
                    <w:t>/</w:t>
                  </w:r>
                </w:p>
              </w:tc>
              <w:tc>
                <w:tcPr>
                  <w:tcW w:w="261" w:type="pct"/>
                  <w:tcBorders>
                    <w:left w:val="single" w:color="auto" w:sz="4" w:space="0"/>
                    <w:right w:val="single" w:color="auto" w:sz="4" w:space="0"/>
                  </w:tcBorders>
                  <w:vAlign w:val="center"/>
                </w:tcPr>
                <w:p w14:paraId="53EAC6E0">
                  <w:pPr>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color w:val="auto"/>
                      <w:szCs w:val="21"/>
                    </w:rPr>
                  </w:pPr>
                  <w:r>
                    <w:rPr>
                      <w:rFonts w:hint="eastAsia" w:ascii="Times New Roman" w:hAnsi="Times New Roman" w:eastAsia="宋体" w:cs="Times New Roman"/>
                      <w:color w:val="auto"/>
                      <w:szCs w:val="21"/>
                      <w:lang w:val="en-US" w:eastAsia="zh-CN"/>
                    </w:rPr>
                    <w:t>20（无量纲）</w:t>
                  </w:r>
                </w:p>
              </w:tc>
              <w:tc>
                <w:tcPr>
                  <w:tcW w:w="243" w:type="pct"/>
                  <w:tcBorders>
                    <w:left w:val="single" w:color="auto" w:sz="4" w:space="0"/>
                    <w:right w:val="single" w:color="auto" w:sz="4" w:space="0"/>
                  </w:tcBorders>
                  <w:vAlign w:val="center"/>
                </w:tcPr>
                <w:p w14:paraId="6768E99C">
                  <w:pPr>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color w:val="auto"/>
                      <w:szCs w:val="21"/>
                    </w:rPr>
                  </w:pPr>
                  <w:r>
                    <w:rPr>
                      <w:rFonts w:hint="eastAsia" w:ascii="Times New Roman" w:hAnsi="Times New Roman" w:eastAsia="宋体" w:cs="Times New Roman"/>
                      <w:color w:val="auto"/>
                      <w:szCs w:val="21"/>
                      <w:lang w:val="en-US" w:eastAsia="zh-CN"/>
                    </w:rPr>
                    <w:t>/</w:t>
                  </w:r>
                </w:p>
              </w:tc>
            </w:tr>
            <w:tr w14:paraId="024FAF24">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397" w:hRule="atLeast"/>
                <w:jc w:val="center"/>
              </w:trPr>
              <w:tc>
                <w:tcPr>
                  <w:tcW w:w="308" w:type="pct"/>
                  <w:vMerge w:val="restart"/>
                  <w:tcBorders>
                    <w:right w:val="single" w:color="auto" w:sz="4" w:space="0"/>
                  </w:tcBorders>
                  <w:vAlign w:val="center"/>
                </w:tcPr>
                <w:p w14:paraId="587CD905">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lang w:val="en-US" w:eastAsia="zh-CN"/>
                    </w:rPr>
                  </w:pPr>
                  <w:r>
                    <w:rPr>
                      <w:rFonts w:hint="default" w:ascii="Times New Roman" w:hAnsi="Times New Roman" w:eastAsia="宋体" w:cs="Times New Roman"/>
                      <w:color w:val="auto"/>
                      <w:szCs w:val="21"/>
                      <w:lang w:val="en-US" w:eastAsia="zh-CN"/>
                    </w:rPr>
                    <w:t>拆</w:t>
                  </w:r>
                  <w:r>
                    <w:rPr>
                      <w:rFonts w:hint="default"/>
                    </w:rPr>
                    <w:commentReference w:id="65"/>
                  </w:r>
                  <w:r>
                    <w:rPr>
                      <w:rFonts w:hint="default" w:ascii="Times New Roman" w:hAnsi="Times New Roman" w:eastAsia="宋体" w:cs="Times New Roman"/>
                      <w:color w:val="auto"/>
                      <w:szCs w:val="21"/>
                      <w:lang w:val="en-US" w:eastAsia="zh-CN"/>
                    </w:rPr>
                    <w:t>包、混合、储料</w:t>
                  </w:r>
                </w:p>
              </w:tc>
              <w:tc>
                <w:tcPr>
                  <w:tcW w:w="299" w:type="pct"/>
                  <w:vMerge w:val="restart"/>
                  <w:tcBorders>
                    <w:left w:val="single" w:color="auto" w:sz="4" w:space="0"/>
                    <w:right w:val="single" w:color="auto" w:sz="4" w:space="0"/>
                  </w:tcBorders>
                  <w:vAlign w:val="center"/>
                </w:tcPr>
                <w:p w14:paraId="640C244B">
                  <w:pPr>
                    <w:keepNext w:val="0"/>
                    <w:keepLines w:val="0"/>
                    <w:suppressLineNumbers w:val="0"/>
                    <w:spacing w:before="0" w:beforeAutospacing="0" w:after="0" w:afterAutospacing="0"/>
                    <w:ind w:left="0" w:right="0"/>
                    <w:jc w:val="center"/>
                    <w:rPr>
                      <w:rFonts w:hint="eastAsia" w:ascii="Times New Roman" w:hAnsi="Times New Roman" w:eastAsia="宋体" w:cs="Times New Roman"/>
                      <w:color w:val="auto"/>
                      <w:szCs w:val="21"/>
                      <w:lang w:val="en-US" w:eastAsia="zh-CN"/>
                    </w:rPr>
                  </w:pPr>
                  <w:r>
                    <w:rPr>
                      <w:rFonts w:hint="eastAsia" w:ascii="Times New Roman" w:hAnsi="Times New Roman" w:eastAsia="宋体" w:cs="Times New Roman"/>
                      <w:color w:val="auto"/>
                      <w:szCs w:val="21"/>
                      <w:lang w:val="en-US" w:eastAsia="zh-CN"/>
                    </w:rPr>
                    <w:t>颗粒物</w:t>
                  </w:r>
                </w:p>
              </w:tc>
              <w:tc>
                <w:tcPr>
                  <w:tcW w:w="320" w:type="pct"/>
                  <w:vMerge w:val="restart"/>
                  <w:tcBorders>
                    <w:left w:val="single" w:color="auto" w:sz="4" w:space="0"/>
                    <w:right w:val="single" w:color="auto" w:sz="4" w:space="0"/>
                  </w:tcBorders>
                  <w:shd w:val="clear" w:color="auto" w:fill="auto"/>
                  <w:vAlign w:val="center"/>
                </w:tcPr>
                <w:p w14:paraId="6D5E4036">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宋体" w:cs="Times New Roman"/>
                      <w:color w:val="auto"/>
                      <w:kern w:val="2"/>
                      <w:sz w:val="21"/>
                      <w:szCs w:val="21"/>
                      <w:lang w:val="en-US" w:eastAsia="zh-CN" w:bidi="ar-SA"/>
                    </w:rPr>
                  </w:pPr>
                  <w:r>
                    <w:rPr>
                      <w:rFonts w:hint="eastAsia" w:ascii="Times New Roman" w:hAnsi="Times New Roman" w:eastAsia="宋体" w:cs="Times New Roman"/>
                      <w:color w:val="auto"/>
                      <w:kern w:val="2"/>
                      <w:sz w:val="21"/>
                      <w:szCs w:val="21"/>
                      <w:lang w:val="en-US" w:eastAsia="zh-CN" w:bidi="ar-SA"/>
                    </w:rPr>
                    <w:t>/</w:t>
                  </w:r>
                </w:p>
              </w:tc>
              <w:tc>
                <w:tcPr>
                  <w:tcW w:w="314" w:type="pct"/>
                  <w:vMerge w:val="restart"/>
                  <w:tcBorders>
                    <w:left w:val="single" w:color="auto" w:sz="4" w:space="0"/>
                    <w:right w:val="single" w:color="auto" w:sz="4" w:space="0"/>
                  </w:tcBorders>
                  <w:shd w:val="clear" w:color="auto" w:fill="auto"/>
                  <w:vAlign w:val="center"/>
                </w:tcPr>
                <w:p w14:paraId="5C613C0D">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宋体" w:cs="Times New Roman"/>
                      <w:color w:val="auto"/>
                      <w:kern w:val="2"/>
                      <w:sz w:val="21"/>
                      <w:szCs w:val="21"/>
                      <w:lang w:val="en-US" w:eastAsia="zh-CN" w:bidi="ar-SA"/>
                    </w:rPr>
                  </w:pPr>
                  <w:r>
                    <w:rPr>
                      <w:rFonts w:hint="eastAsia" w:ascii="Times New Roman" w:hAnsi="Times New Roman" w:eastAsia="宋体" w:cs="Times New Roman"/>
                      <w:color w:val="auto"/>
                      <w:szCs w:val="21"/>
                      <w:lang w:val="en-US" w:eastAsia="zh-CN"/>
                    </w:rPr>
                    <w:t>0.141</w:t>
                  </w:r>
                </w:p>
              </w:tc>
              <w:tc>
                <w:tcPr>
                  <w:tcW w:w="278" w:type="pct"/>
                  <w:vMerge w:val="restart"/>
                  <w:tcBorders>
                    <w:left w:val="single" w:color="auto" w:sz="4" w:space="0"/>
                    <w:right w:val="single" w:color="auto" w:sz="4" w:space="0"/>
                  </w:tcBorders>
                  <w:shd w:val="clear" w:color="auto" w:fill="auto"/>
                  <w:vAlign w:val="center"/>
                </w:tcPr>
                <w:p w14:paraId="11C9B522">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宋体" w:cs="Times New Roman"/>
                      <w:color w:val="auto"/>
                      <w:kern w:val="2"/>
                      <w:sz w:val="21"/>
                      <w:szCs w:val="21"/>
                      <w:lang w:val="en-US" w:eastAsia="zh-CN" w:bidi="ar-SA"/>
                    </w:rPr>
                  </w:pPr>
                  <w:r>
                    <w:rPr>
                      <w:rFonts w:hint="default" w:ascii="Times New Roman" w:hAnsi="Times New Roman" w:eastAsia="宋体" w:cs="Times New Roman"/>
                      <w:color w:val="auto"/>
                      <w:szCs w:val="21"/>
                      <w:lang w:val="en-US" w:eastAsia="zh-CN"/>
                    </w:rPr>
                    <w:t>0.679</w:t>
                  </w:r>
                </w:p>
              </w:tc>
              <w:tc>
                <w:tcPr>
                  <w:tcW w:w="374" w:type="pct"/>
                  <w:tcBorders>
                    <w:left w:val="single" w:color="auto" w:sz="4" w:space="0"/>
                    <w:right w:val="single" w:color="auto" w:sz="4" w:space="0"/>
                  </w:tcBorders>
                  <w:shd w:val="clear" w:color="auto" w:fill="auto"/>
                  <w:vAlign w:val="center"/>
                </w:tcPr>
                <w:p w14:paraId="1198D706">
                  <w:pPr>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color w:val="auto"/>
                      <w:kern w:val="2"/>
                      <w:sz w:val="21"/>
                      <w:szCs w:val="21"/>
                      <w:lang w:val="en-US" w:eastAsia="zh-CN" w:bidi="ar-SA"/>
                    </w:rPr>
                  </w:pPr>
                  <w:r>
                    <w:rPr>
                      <w:rFonts w:hint="default" w:ascii="Times New Roman" w:hAnsi="Times New Roman" w:eastAsia="宋体" w:cs="Times New Roman"/>
                      <w:color w:val="auto"/>
                      <w:szCs w:val="21"/>
                    </w:rPr>
                    <w:t>有组织</w:t>
                  </w:r>
                </w:p>
              </w:tc>
              <w:tc>
                <w:tcPr>
                  <w:tcW w:w="317" w:type="pct"/>
                  <w:gridSpan w:val="2"/>
                  <w:tcBorders>
                    <w:left w:val="single" w:color="auto" w:sz="4" w:space="0"/>
                    <w:right w:val="single" w:color="auto" w:sz="4" w:space="0"/>
                  </w:tcBorders>
                  <w:vAlign w:val="center"/>
                </w:tcPr>
                <w:p w14:paraId="1DFA235C">
                  <w:pPr>
                    <w:keepNext w:val="0"/>
                    <w:keepLines w:val="0"/>
                    <w:suppressLineNumbers w:val="0"/>
                    <w:spacing w:before="0" w:beforeAutospacing="0" w:after="0" w:afterAutospacing="0"/>
                    <w:ind w:left="0" w:right="0"/>
                    <w:jc w:val="center"/>
                    <w:rPr>
                      <w:rFonts w:hint="eastAsia" w:ascii="Times New Roman" w:hAnsi="Times New Roman" w:eastAsia="宋体" w:cs="Times New Roman"/>
                      <w:color w:val="auto"/>
                      <w:szCs w:val="21"/>
                      <w:lang w:val="en-US" w:eastAsia="zh-CN"/>
                    </w:rPr>
                  </w:pPr>
                  <w:r>
                    <w:rPr>
                      <w:rFonts w:hint="eastAsia" w:ascii="Times New Roman" w:hAnsi="Times New Roman" w:eastAsia="宋体" w:cs="Times New Roman"/>
                      <w:color w:val="auto"/>
                      <w:szCs w:val="21"/>
                      <w:lang w:val="en-US" w:eastAsia="zh-CN"/>
                    </w:rPr>
                    <w:t>②</w:t>
                  </w:r>
                </w:p>
              </w:tc>
              <w:tc>
                <w:tcPr>
                  <w:tcW w:w="283" w:type="pct"/>
                  <w:gridSpan w:val="2"/>
                  <w:tcBorders>
                    <w:left w:val="single" w:color="auto" w:sz="4" w:space="0"/>
                    <w:right w:val="single" w:color="auto" w:sz="4" w:space="0"/>
                  </w:tcBorders>
                  <w:vAlign w:val="center"/>
                </w:tcPr>
                <w:p w14:paraId="6217432F">
                  <w:pPr>
                    <w:keepNext w:val="0"/>
                    <w:keepLines w:val="0"/>
                    <w:suppressLineNumbers w:val="0"/>
                    <w:spacing w:before="0" w:beforeAutospacing="0" w:after="0" w:afterAutospacing="0"/>
                    <w:ind w:left="0" w:right="0"/>
                    <w:jc w:val="center"/>
                    <w:rPr>
                      <w:rFonts w:hint="eastAsia" w:ascii="Times New Roman" w:hAnsi="Times New Roman" w:eastAsia="宋体" w:cs="Times New Roman"/>
                      <w:color w:val="auto"/>
                      <w:szCs w:val="21"/>
                    </w:rPr>
                  </w:pPr>
                  <w:r>
                    <w:rPr>
                      <w:rFonts w:hint="eastAsia" w:ascii="Times New Roman" w:hAnsi="Times New Roman" w:eastAsia="宋体" w:cs="Times New Roman"/>
                      <w:color w:val="auto"/>
                      <w:szCs w:val="21"/>
                      <w:lang w:val="en-US" w:eastAsia="zh-CN"/>
                    </w:rPr>
                    <w:t>31000</w:t>
                  </w:r>
                </w:p>
              </w:tc>
              <w:tc>
                <w:tcPr>
                  <w:tcW w:w="252" w:type="pct"/>
                  <w:gridSpan w:val="2"/>
                  <w:tcBorders>
                    <w:left w:val="single" w:color="auto" w:sz="4" w:space="0"/>
                    <w:right w:val="single" w:color="auto" w:sz="4" w:space="0"/>
                  </w:tcBorders>
                  <w:vAlign w:val="center"/>
                </w:tcPr>
                <w:p w14:paraId="41C2AED1">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lang w:val="en-US" w:eastAsia="zh-CN"/>
                    </w:rPr>
                  </w:pPr>
                  <w:r>
                    <w:rPr>
                      <w:rFonts w:hint="eastAsia" w:ascii="Times New Roman" w:hAnsi="Times New Roman" w:eastAsia="宋体" w:cs="Times New Roman"/>
                      <w:color w:val="auto"/>
                      <w:szCs w:val="21"/>
                      <w:lang w:val="en-US" w:eastAsia="zh-CN"/>
                    </w:rPr>
                    <w:t>75%</w:t>
                  </w:r>
                </w:p>
              </w:tc>
              <w:tc>
                <w:tcPr>
                  <w:tcW w:w="277" w:type="pct"/>
                  <w:gridSpan w:val="2"/>
                  <w:tcBorders>
                    <w:left w:val="single" w:color="auto" w:sz="4" w:space="0"/>
                    <w:right w:val="single" w:color="auto" w:sz="4" w:space="0"/>
                  </w:tcBorders>
                  <w:vAlign w:val="center"/>
                </w:tcPr>
                <w:p w14:paraId="0A35EFCC">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lang w:val="en-US" w:eastAsia="zh-CN"/>
                    </w:rPr>
                  </w:pPr>
                  <w:r>
                    <w:rPr>
                      <w:rFonts w:hint="eastAsia" w:ascii="Times New Roman" w:hAnsi="Times New Roman" w:eastAsia="宋体" w:cs="Times New Roman"/>
                      <w:color w:val="auto"/>
                      <w:szCs w:val="21"/>
                      <w:lang w:val="en-US" w:eastAsia="zh-CN"/>
                    </w:rPr>
                    <w:t>95%</w:t>
                  </w:r>
                </w:p>
              </w:tc>
              <w:tc>
                <w:tcPr>
                  <w:tcW w:w="252" w:type="pct"/>
                  <w:tcBorders>
                    <w:left w:val="single" w:color="auto" w:sz="4" w:space="0"/>
                    <w:right w:val="single" w:color="auto" w:sz="4" w:space="0"/>
                  </w:tcBorders>
                  <w:vAlign w:val="center"/>
                </w:tcPr>
                <w:p w14:paraId="38ABFC51">
                  <w:pPr>
                    <w:keepNext w:val="0"/>
                    <w:keepLines w:val="0"/>
                    <w:suppressLineNumbers w:val="0"/>
                    <w:spacing w:before="0" w:beforeAutospacing="0" w:after="0" w:afterAutospacing="0"/>
                    <w:ind w:left="0" w:right="0"/>
                    <w:jc w:val="center"/>
                    <w:rPr>
                      <w:rFonts w:hint="eastAsia" w:ascii="Times New Roman" w:hAnsi="Times New Roman" w:eastAsia="宋体" w:cs="Times New Roman"/>
                      <w:color w:val="auto"/>
                      <w:szCs w:val="21"/>
                      <w:lang w:val="en-US" w:eastAsia="zh-CN"/>
                    </w:rPr>
                  </w:pPr>
                  <w:r>
                    <w:rPr>
                      <w:rFonts w:hint="eastAsia" w:ascii="Times New Roman" w:hAnsi="Times New Roman" w:eastAsia="宋体" w:cs="Times New Roman"/>
                      <w:color w:val="auto"/>
                      <w:szCs w:val="21"/>
                      <w:lang w:val="en-US" w:eastAsia="zh-CN"/>
                    </w:rPr>
                    <w:t>是</w:t>
                  </w:r>
                </w:p>
              </w:tc>
              <w:tc>
                <w:tcPr>
                  <w:tcW w:w="328" w:type="pct"/>
                  <w:tcBorders>
                    <w:left w:val="single" w:color="auto" w:sz="4" w:space="0"/>
                  </w:tcBorders>
                  <w:shd w:val="clear" w:color="auto" w:fill="auto"/>
                  <w:vAlign w:val="center"/>
                </w:tcPr>
                <w:p w14:paraId="66592B94">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宋体" w:cs="Times New Roman"/>
                      <w:color w:val="auto"/>
                      <w:kern w:val="2"/>
                      <w:sz w:val="21"/>
                      <w:szCs w:val="21"/>
                      <w:lang w:val="en-US" w:eastAsia="zh-CN" w:bidi="ar-SA"/>
                    </w:rPr>
                  </w:pPr>
                  <w:r>
                    <w:rPr>
                      <w:rFonts w:hint="eastAsia" w:ascii="Times New Roman" w:hAnsi="Times New Roman" w:eastAsia="宋体" w:cs="Times New Roman"/>
                      <w:color w:val="auto"/>
                      <w:szCs w:val="21"/>
                      <w:lang w:val="en-US" w:eastAsia="zh-CN"/>
                    </w:rPr>
                    <w:t>0.2</w:t>
                  </w:r>
                </w:p>
              </w:tc>
              <w:tc>
                <w:tcPr>
                  <w:tcW w:w="277" w:type="pct"/>
                  <w:tcBorders>
                    <w:right w:val="single" w:color="auto" w:sz="4" w:space="0"/>
                  </w:tcBorders>
                  <w:shd w:val="clear" w:color="auto" w:fill="auto"/>
                  <w:vAlign w:val="center"/>
                </w:tcPr>
                <w:p w14:paraId="35734CAA">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宋体" w:cs="Times New Roman"/>
                      <w:color w:val="auto"/>
                      <w:kern w:val="2"/>
                      <w:sz w:val="21"/>
                      <w:szCs w:val="21"/>
                      <w:lang w:val="en-US" w:eastAsia="zh-CN" w:bidi="ar-SA"/>
                    </w:rPr>
                  </w:pPr>
                  <w:r>
                    <w:rPr>
                      <w:rFonts w:hint="eastAsia" w:ascii="Times New Roman" w:hAnsi="Times New Roman" w:eastAsia="宋体" w:cs="Times New Roman"/>
                      <w:color w:val="auto"/>
                      <w:szCs w:val="21"/>
                      <w:lang w:val="en-US" w:eastAsia="zh-CN"/>
                    </w:rPr>
                    <w:t>0.005</w:t>
                  </w:r>
                </w:p>
              </w:tc>
              <w:tc>
                <w:tcPr>
                  <w:tcW w:w="281" w:type="pct"/>
                  <w:tcBorders>
                    <w:left w:val="single" w:color="auto" w:sz="4" w:space="0"/>
                    <w:right w:val="single" w:color="auto" w:sz="4" w:space="0"/>
                  </w:tcBorders>
                  <w:shd w:val="clear" w:color="auto" w:fill="auto"/>
                  <w:vAlign w:val="center"/>
                </w:tcPr>
                <w:p w14:paraId="3576FA58">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宋体" w:cs="Times New Roman"/>
                      <w:color w:val="auto"/>
                      <w:kern w:val="2"/>
                      <w:sz w:val="21"/>
                      <w:szCs w:val="21"/>
                      <w:lang w:val="en-US" w:eastAsia="zh-CN" w:bidi="ar-SA"/>
                    </w:rPr>
                  </w:pPr>
                  <w:r>
                    <w:rPr>
                      <w:rFonts w:hint="eastAsia" w:ascii="Times New Roman" w:hAnsi="Times New Roman" w:eastAsia="宋体" w:cs="Times New Roman"/>
                      <w:color w:val="auto"/>
                      <w:szCs w:val="21"/>
                      <w:lang w:val="en-US" w:eastAsia="zh-CN"/>
                    </w:rPr>
                    <w:t>0.025</w:t>
                  </w:r>
                </w:p>
              </w:tc>
              <w:tc>
                <w:tcPr>
                  <w:tcW w:w="329" w:type="pct"/>
                  <w:tcBorders>
                    <w:left w:val="single" w:color="auto" w:sz="4" w:space="0"/>
                    <w:right w:val="single" w:color="auto" w:sz="4" w:space="0"/>
                  </w:tcBorders>
                  <w:vAlign w:val="center"/>
                </w:tcPr>
                <w:p w14:paraId="0D766825">
                  <w:pPr>
                    <w:keepNext w:val="0"/>
                    <w:keepLines w:val="0"/>
                    <w:suppressLineNumbers w:val="0"/>
                    <w:spacing w:before="0" w:beforeAutospacing="0" w:after="0" w:afterAutospacing="0"/>
                    <w:ind w:left="0" w:right="0"/>
                    <w:jc w:val="center"/>
                    <w:rPr>
                      <w:rFonts w:hint="eastAsia" w:ascii="Times New Roman" w:hAnsi="Times New Roman" w:eastAsia="宋体" w:cs="Times New Roman"/>
                      <w:color w:val="auto"/>
                      <w:szCs w:val="21"/>
                      <w:lang w:val="en-US" w:eastAsia="zh-CN"/>
                    </w:rPr>
                  </w:pPr>
                  <w:r>
                    <w:rPr>
                      <w:rFonts w:hint="default" w:ascii="Times New Roman" w:hAnsi="Times New Roman" w:eastAsia="宋体" w:cs="Times New Roman"/>
                      <w:color w:val="auto"/>
                      <w:szCs w:val="21"/>
                    </w:rPr>
                    <w:t>DA00</w:t>
                  </w:r>
                  <w:r>
                    <w:rPr>
                      <w:rFonts w:hint="eastAsia" w:ascii="Times New Roman" w:hAnsi="Times New Roman" w:eastAsia="宋体" w:cs="Times New Roman"/>
                      <w:color w:val="auto"/>
                      <w:szCs w:val="21"/>
                      <w:lang w:val="en-US" w:eastAsia="zh-CN"/>
                    </w:rPr>
                    <w:t>2</w:t>
                  </w:r>
                </w:p>
              </w:tc>
              <w:tc>
                <w:tcPr>
                  <w:tcW w:w="261" w:type="pct"/>
                  <w:tcBorders>
                    <w:left w:val="single" w:color="auto" w:sz="4" w:space="0"/>
                    <w:right w:val="single" w:color="auto" w:sz="4" w:space="0"/>
                  </w:tcBorders>
                  <w:vAlign w:val="center"/>
                </w:tcPr>
                <w:p w14:paraId="62451880">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lang w:val="en-US" w:eastAsia="zh-CN"/>
                    </w:rPr>
                  </w:pPr>
                  <w:r>
                    <w:rPr>
                      <w:rFonts w:hint="eastAsia" w:ascii="Times New Roman" w:hAnsi="Times New Roman" w:eastAsia="宋体" w:cs="Times New Roman"/>
                      <w:color w:val="auto"/>
                      <w:szCs w:val="21"/>
                      <w:lang w:val="en-US" w:eastAsia="zh-CN"/>
                    </w:rPr>
                    <w:t>20</w:t>
                  </w:r>
                </w:p>
              </w:tc>
              <w:tc>
                <w:tcPr>
                  <w:tcW w:w="243" w:type="pct"/>
                  <w:tcBorders>
                    <w:left w:val="single" w:color="auto" w:sz="4" w:space="0"/>
                    <w:right w:val="single" w:color="auto" w:sz="4" w:space="0"/>
                  </w:tcBorders>
                  <w:vAlign w:val="center"/>
                </w:tcPr>
                <w:p w14:paraId="3E74084F">
                  <w:pPr>
                    <w:keepNext w:val="0"/>
                    <w:keepLines w:val="0"/>
                    <w:suppressLineNumbers w:val="0"/>
                    <w:spacing w:before="0" w:beforeAutospacing="0" w:after="0" w:afterAutospacing="0"/>
                    <w:ind w:left="0" w:right="0"/>
                    <w:jc w:val="center"/>
                    <w:rPr>
                      <w:rFonts w:hint="eastAsia" w:ascii="Times New Roman" w:hAnsi="Times New Roman" w:eastAsia="宋体" w:cs="Times New Roman"/>
                      <w:color w:val="auto"/>
                      <w:szCs w:val="21"/>
                      <w:lang w:val="en-US" w:eastAsia="zh-CN"/>
                    </w:rPr>
                  </w:pPr>
                  <w:r>
                    <w:rPr>
                      <w:rFonts w:hint="eastAsia" w:ascii="Times New Roman" w:hAnsi="Times New Roman" w:eastAsia="宋体" w:cs="Times New Roman"/>
                      <w:color w:val="auto"/>
                      <w:szCs w:val="21"/>
                      <w:lang w:val="en-US" w:eastAsia="zh-CN"/>
                    </w:rPr>
                    <w:t>/</w:t>
                  </w:r>
                </w:p>
              </w:tc>
            </w:tr>
            <w:tr w14:paraId="5646CF33">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397" w:hRule="atLeast"/>
                <w:jc w:val="center"/>
              </w:trPr>
              <w:tc>
                <w:tcPr>
                  <w:tcW w:w="308" w:type="pct"/>
                  <w:vMerge w:val="continue"/>
                  <w:tcBorders>
                    <w:right w:val="single" w:color="auto" w:sz="4" w:space="0"/>
                  </w:tcBorders>
                  <w:vAlign w:val="center"/>
                </w:tcPr>
                <w:p w14:paraId="6F5E971E">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lang w:val="en-US" w:eastAsia="zh-CN"/>
                    </w:rPr>
                  </w:pPr>
                </w:p>
              </w:tc>
              <w:tc>
                <w:tcPr>
                  <w:tcW w:w="299" w:type="pct"/>
                  <w:vMerge w:val="continue"/>
                  <w:tcBorders>
                    <w:left w:val="single" w:color="auto" w:sz="4" w:space="0"/>
                    <w:right w:val="single" w:color="auto" w:sz="4" w:space="0"/>
                  </w:tcBorders>
                  <w:vAlign w:val="center"/>
                </w:tcPr>
                <w:p w14:paraId="002153D1">
                  <w:pPr>
                    <w:keepNext w:val="0"/>
                    <w:keepLines w:val="0"/>
                    <w:suppressLineNumbers w:val="0"/>
                    <w:spacing w:before="0" w:beforeAutospacing="0" w:after="0" w:afterAutospacing="0"/>
                    <w:ind w:left="0" w:right="0"/>
                    <w:jc w:val="center"/>
                    <w:rPr>
                      <w:rFonts w:hint="eastAsia" w:ascii="Times New Roman" w:hAnsi="Times New Roman" w:eastAsia="宋体" w:cs="Times New Roman"/>
                      <w:color w:val="auto"/>
                      <w:szCs w:val="21"/>
                      <w:lang w:val="en-US" w:eastAsia="zh-CN"/>
                    </w:rPr>
                  </w:pPr>
                </w:p>
              </w:tc>
              <w:tc>
                <w:tcPr>
                  <w:tcW w:w="320" w:type="pct"/>
                  <w:vMerge w:val="continue"/>
                  <w:tcBorders>
                    <w:left w:val="single" w:color="auto" w:sz="4" w:space="0"/>
                    <w:right w:val="single" w:color="auto" w:sz="4" w:space="0"/>
                  </w:tcBorders>
                  <w:vAlign w:val="center"/>
                </w:tcPr>
                <w:p w14:paraId="0E8A831B">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p>
              </w:tc>
              <w:tc>
                <w:tcPr>
                  <w:tcW w:w="314" w:type="pct"/>
                  <w:vMerge w:val="continue"/>
                  <w:tcBorders>
                    <w:left w:val="single" w:color="auto" w:sz="4" w:space="0"/>
                    <w:right w:val="single" w:color="auto" w:sz="4" w:space="0"/>
                  </w:tcBorders>
                  <w:vAlign w:val="center"/>
                </w:tcPr>
                <w:p w14:paraId="2DA1CE7E">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p>
              </w:tc>
              <w:tc>
                <w:tcPr>
                  <w:tcW w:w="278" w:type="pct"/>
                  <w:vMerge w:val="continue"/>
                  <w:tcBorders>
                    <w:left w:val="single" w:color="auto" w:sz="4" w:space="0"/>
                    <w:right w:val="single" w:color="auto" w:sz="4" w:space="0"/>
                  </w:tcBorders>
                  <w:vAlign w:val="center"/>
                </w:tcPr>
                <w:p w14:paraId="19184596">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p>
              </w:tc>
              <w:tc>
                <w:tcPr>
                  <w:tcW w:w="374" w:type="pct"/>
                  <w:tcBorders>
                    <w:left w:val="single" w:color="auto" w:sz="4" w:space="0"/>
                    <w:right w:val="single" w:color="auto" w:sz="4" w:space="0"/>
                  </w:tcBorders>
                  <w:shd w:val="clear" w:color="auto" w:fill="auto"/>
                  <w:vAlign w:val="center"/>
                </w:tcPr>
                <w:p w14:paraId="5CA70171">
                  <w:pPr>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color w:val="auto"/>
                      <w:kern w:val="2"/>
                      <w:sz w:val="21"/>
                      <w:szCs w:val="21"/>
                      <w:lang w:val="en-US" w:eastAsia="zh-CN" w:bidi="ar-SA"/>
                    </w:rPr>
                  </w:pPr>
                  <w:r>
                    <w:rPr>
                      <w:rFonts w:hint="default" w:ascii="Times New Roman" w:hAnsi="Times New Roman" w:eastAsia="宋体" w:cs="Times New Roman"/>
                      <w:color w:val="auto"/>
                      <w:szCs w:val="21"/>
                    </w:rPr>
                    <w:t>无组织</w:t>
                  </w:r>
                </w:p>
              </w:tc>
              <w:tc>
                <w:tcPr>
                  <w:tcW w:w="1382" w:type="pct"/>
                  <w:gridSpan w:val="9"/>
                  <w:tcBorders>
                    <w:left w:val="single" w:color="auto" w:sz="4" w:space="0"/>
                    <w:right w:val="single" w:color="auto" w:sz="4" w:space="0"/>
                  </w:tcBorders>
                  <w:vAlign w:val="center"/>
                </w:tcPr>
                <w:p w14:paraId="7F1E636A">
                  <w:pPr>
                    <w:keepNext w:val="0"/>
                    <w:keepLines w:val="0"/>
                    <w:suppressLineNumbers w:val="0"/>
                    <w:spacing w:before="0" w:beforeAutospacing="0" w:after="0" w:afterAutospacing="0"/>
                    <w:ind w:left="0" w:right="0"/>
                    <w:jc w:val="center"/>
                    <w:rPr>
                      <w:rFonts w:hint="eastAsia" w:ascii="Times New Roman" w:hAnsi="Times New Roman" w:eastAsia="宋体" w:cs="Times New Roman"/>
                      <w:color w:val="auto"/>
                      <w:szCs w:val="21"/>
                      <w:lang w:val="en-US" w:eastAsia="zh-CN"/>
                    </w:rPr>
                  </w:pPr>
                  <w:r>
                    <w:rPr>
                      <w:rFonts w:hint="eastAsia" w:ascii="Times New Roman" w:hAnsi="Times New Roman" w:eastAsia="宋体" w:cs="Times New Roman"/>
                      <w:color w:val="auto"/>
                      <w:szCs w:val="21"/>
                      <w:lang w:val="en-US" w:eastAsia="zh-CN"/>
                    </w:rPr>
                    <w:t>/</w:t>
                  </w:r>
                </w:p>
              </w:tc>
              <w:tc>
                <w:tcPr>
                  <w:tcW w:w="328" w:type="pct"/>
                  <w:tcBorders>
                    <w:left w:val="single" w:color="auto" w:sz="4" w:space="0"/>
                  </w:tcBorders>
                  <w:vAlign w:val="center"/>
                </w:tcPr>
                <w:p w14:paraId="4031D517">
                  <w:pPr>
                    <w:keepNext w:val="0"/>
                    <w:keepLines w:val="0"/>
                    <w:suppressLineNumbers w:val="0"/>
                    <w:spacing w:before="0" w:beforeAutospacing="0" w:after="0" w:afterAutospacing="0"/>
                    <w:ind w:left="0" w:right="0"/>
                    <w:jc w:val="center"/>
                    <w:rPr>
                      <w:rFonts w:hint="eastAsia" w:ascii="Times New Roman" w:hAnsi="Times New Roman" w:eastAsia="宋体" w:cs="Times New Roman"/>
                      <w:color w:val="auto"/>
                      <w:szCs w:val="21"/>
                      <w:lang w:val="en-US" w:eastAsia="zh-CN"/>
                    </w:rPr>
                  </w:pPr>
                  <w:r>
                    <w:rPr>
                      <w:rFonts w:hint="eastAsia" w:ascii="Times New Roman" w:hAnsi="Times New Roman" w:eastAsia="宋体" w:cs="Times New Roman"/>
                      <w:color w:val="auto"/>
                      <w:szCs w:val="21"/>
                      <w:lang w:val="en-US" w:eastAsia="zh-CN"/>
                    </w:rPr>
                    <w:t>/</w:t>
                  </w:r>
                </w:p>
              </w:tc>
              <w:tc>
                <w:tcPr>
                  <w:tcW w:w="277" w:type="pct"/>
                  <w:tcBorders>
                    <w:right w:val="single" w:color="auto" w:sz="4" w:space="0"/>
                  </w:tcBorders>
                  <w:shd w:val="clear" w:color="auto" w:fill="auto"/>
                  <w:vAlign w:val="center"/>
                </w:tcPr>
                <w:p w14:paraId="5FBB2C12">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宋体" w:cs="Times New Roman"/>
                      <w:color w:val="auto"/>
                      <w:kern w:val="2"/>
                      <w:sz w:val="21"/>
                      <w:szCs w:val="21"/>
                      <w:lang w:val="en-US" w:eastAsia="zh-CN" w:bidi="ar-SA"/>
                    </w:rPr>
                  </w:pPr>
                  <w:r>
                    <w:rPr>
                      <w:rFonts w:hint="eastAsia" w:ascii="Times New Roman" w:hAnsi="Times New Roman" w:eastAsia="宋体" w:cs="Times New Roman"/>
                      <w:color w:val="auto"/>
                      <w:szCs w:val="21"/>
                      <w:lang w:val="en-US" w:eastAsia="zh-CN"/>
                    </w:rPr>
                    <w:t>0.035</w:t>
                  </w:r>
                </w:p>
              </w:tc>
              <w:tc>
                <w:tcPr>
                  <w:tcW w:w="281" w:type="pct"/>
                  <w:tcBorders>
                    <w:left w:val="single" w:color="auto" w:sz="4" w:space="0"/>
                    <w:right w:val="single" w:color="auto" w:sz="4" w:space="0"/>
                  </w:tcBorders>
                  <w:shd w:val="clear" w:color="auto" w:fill="auto"/>
                  <w:vAlign w:val="center"/>
                </w:tcPr>
                <w:p w14:paraId="7DCDC199">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宋体" w:cs="Times New Roman"/>
                      <w:color w:val="auto"/>
                      <w:kern w:val="2"/>
                      <w:sz w:val="21"/>
                      <w:szCs w:val="21"/>
                      <w:lang w:val="en-US" w:eastAsia="zh-CN" w:bidi="ar-SA"/>
                    </w:rPr>
                  </w:pPr>
                  <w:r>
                    <w:rPr>
                      <w:rFonts w:hint="eastAsia" w:ascii="Times New Roman" w:hAnsi="Times New Roman" w:eastAsia="宋体" w:cs="Times New Roman"/>
                      <w:color w:val="auto"/>
                      <w:szCs w:val="21"/>
                      <w:lang w:val="en-US" w:eastAsia="zh-CN"/>
                    </w:rPr>
                    <w:t>0.170</w:t>
                  </w:r>
                </w:p>
              </w:tc>
              <w:tc>
                <w:tcPr>
                  <w:tcW w:w="329" w:type="pct"/>
                  <w:tcBorders>
                    <w:left w:val="single" w:color="auto" w:sz="4" w:space="0"/>
                    <w:right w:val="single" w:color="auto" w:sz="4" w:space="0"/>
                  </w:tcBorders>
                  <w:vAlign w:val="center"/>
                </w:tcPr>
                <w:p w14:paraId="0EF64978">
                  <w:pPr>
                    <w:keepNext w:val="0"/>
                    <w:keepLines w:val="0"/>
                    <w:suppressLineNumbers w:val="0"/>
                    <w:spacing w:before="0" w:beforeAutospacing="0" w:after="0" w:afterAutospacing="0"/>
                    <w:ind w:left="0" w:right="0"/>
                    <w:jc w:val="center"/>
                    <w:rPr>
                      <w:rFonts w:hint="eastAsia" w:ascii="Times New Roman" w:hAnsi="Times New Roman" w:eastAsia="宋体" w:cs="Times New Roman"/>
                      <w:color w:val="auto"/>
                      <w:szCs w:val="21"/>
                      <w:lang w:val="en-US" w:eastAsia="zh-CN"/>
                    </w:rPr>
                  </w:pPr>
                  <w:r>
                    <w:rPr>
                      <w:rFonts w:hint="eastAsia" w:ascii="Times New Roman" w:hAnsi="Times New Roman" w:eastAsia="宋体" w:cs="Times New Roman"/>
                      <w:color w:val="auto"/>
                      <w:szCs w:val="21"/>
                      <w:lang w:val="en-US" w:eastAsia="zh-CN"/>
                    </w:rPr>
                    <w:t>/</w:t>
                  </w:r>
                </w:p>
              </w:tc>
              <w:tc>
                <w:tcPr>
                  <w:tcW w:w="261" w:type="pct"/>
                  <w:tcBorders>
                    <w:left w:val="single" w:color="auto" w:sz="4" w:space="0"/>
                    <w:right w:val="single" w:color="auto" w:sz="4" w:space="0"/>
                  </w:tcBorders>
                  <w:vAlign w:val="center"/>
                </w:tcPr>
                <w:p w14:paraId="3BFBD9EC">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lang w:val="en-US" w:eastAsia="zh-CN"/>
                    </w:rPr>
                  </w:pPr>
                  <w:r>
                    <w:rPr>
                      <w:rFonts w:hint="eastAsia" w:ascii="Times New Roman" w:hAnsi="Times New Roman" w:eastAsia="宋体" w:cs="Times New Roman"/>
                      <w:color w:val="auto"/>
                      <w:szCs w:val="21"/>
                      <w:lang w:val="en-US" w:eastAsia="zh-CN"/>
                    </w:rPr>
                    <w:t>1.0</w:t>
                  </w:r>
                </w:p>
              </w:tc>
              <w:tc>
                <w:tcPr>
                  <w:tcW w:w="243" w:type="pct"/>
                  <w:tcBorders>
                    <w:left w:val="single" w:color="auto" w:sz="4" w:space="0"/>
                    <w:right w:val="single" w:color="auto" w:sz="4" w:space="0"/>
                  </w:tcBorders>
                  <w:vAlign w:val="center"/>
                </w:tcPr>
                <w:p w14:paraId="52C835FC">
                  <w:pPr>
                    <w:keepNext w:val="0"/>
                    <w:keepLines w:val="0"/>
                    <w:suppressLineNumbers w:val="0"/>
                    <w:spacing w:before="0" w:beforeAutospacing="0" w:after="0" w:afterAutospacing="0"/>
                    <w:ind w:left="0" w:right="0"/>
                    <w:jc w:val="center"/>
                    <w:rPr>
                      <w:rFonts w:hint="eastAsia" w:ascii="Times New Roman" w:hAnsi="Times New Roman" w:eastAsia="宋体" w:cs="Times New Roman"/>
                      <w:color w:val="auto"/>
                      <w:szCs w:val="21"/>
                      <w:lang w:val="en-US" w:eastAsia="zh-CN"/>
                    </w:rPr>
                  </w:pPr>
                  <w:r>
                    <w:rPr>
                      <w:rFonts w:hint="eastAsia" w:ascii="Times New Roman" w:hAnsi="Times New Roman" w:eastAsia="宋体" w:cs="Times New Roman"/>
                      <w:color w:val="auto"/>
                      <w:szCs w:val="21"/>
                      <w:lang w:val="en-US" w:eastAsia="zh-CN"/>
                    </w:rPr>
                    <w:t>/</w:t>
                  </w:r>
                </w:p>
              </w:tc>
            </w:tr>
            <w:tr w14:paraId="60D57AF3">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397" w:hRule="atLeast"/>
                <w:jc w:val="center"/>
              </w:trPr>
              <w:tc>
                <w:tcPr>
                  <w:tcW w:w="308" w:type="pct"/>
                  <w:vMerge w:val="restart"/>
                  <w:tcBorders>
                    <w:right w:val="single" w:color="auto" w:sz="4" w:space="0"/>
                  </w:tcBorders>
                  <w:vAlign w:val="center"/>
                </w:tcPr>
                <w:p w14:paraId="177B1BE2">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lang w:val="en-US" w:eastAsia="zh-CN"/>
                    </w:rPr>
                  </w:pPr>
                  <w:r>
                    <w:rPr>
                      <w:rFonts w:hint="default" w:ascii="Times New Roman" w:hAnsi="Times New Roman" w:eastAsia="宋体" w:cs="Times New Roman"/>
                      <w:color w:val="auto"/>
                      <w:szCs w:val="21"/>
                      <w:lang w:val="en-US" w:eastAsia="zh-CN"/>
                    </w:rPr>
                    <w:t>成型</w:t>
                  </w:r>
                  <w:r>
                    <w:rPr>
                      <w:rFonts w:hint="default"/>
                    </w:rPr>
                    <w:commentReference w:id="66"/>
                  </w:r>
                </w:p>
              </w:tc>
              <w:tc>
                <w:tcPr>
                  <w:tcW w:w="299" w:type="pct"/>
                  <w:vMerge w:val="restart"/>
                  <w:tcBorders>
                    <w:left w:val="single" w:color="auto" w:sz="4" w:space="0"/>
                    <w:right w:val="single" w:color="auto" w:sz="4" w:space="0"/>
                  </w:tcBorders>
                  <w:vAlign w:val="center"/>
                </w:tcPr>
                <w:p w14:paraId="04AB8F2E">
                  <w:pPr>
                    <w:keepNext w:val="0"/>
                    <w:keepLines w:val="0"/>
                    <w:suppressLineNumbers w:val="0"/>
                    <w:spacing w:before="0" w:beforeAutospacing="0" w:after="0" w:afterAutospacing="0"/>
                    <w:ind w:left="0" w:right="0"/>
                    <w:jc w:val="center"/>
                    <w:rPr>
                      <w:rFonts w:hint="eastAsia" w:ascii="Times New Roman" w:hAnsi="Times New Roman" w:eastAsia="宋体" w:cs="Times New Roman"/>
                      <w:color w:val="auto"/>
                      <w:szCs w:val="21"/>
                      <w:lang w:val="en-US" w:eastAsia="zh-CN"/>
                    </w:rPr>
                  </w:pPr>
                  <w:r>
                    <w:rPr>
                      <w:rFonts w:hint="eastAsia" w:ascii="Times New Roman" w:hAnsi="Times New Roman" w:eastAsia="宋体" w:cs="Times New Roman"/>
                      <w:color w:val="auto"/>
                      <w:szCs w:val="21"/>
                      <w:lang w:val="en-US" w:eastAsia="zh-CN"/>
                    </w:rPr>
                    <w:t>颗粒物</w:t>
                  </w:r>
                </w:p>
              </w:tc>
              <w:tc>
                <w:tcPr>
                  <w:tcW w:w="320" w:type="pct"/>
                  <w:vMerge w:val="restart"/>
                  <w:tcBorders>
                    <w:left w:val="single" w:color="auto" w:sz="4" w:space="0"/>
                    <w:right w:val="single" w:color="auto" w:sz="4" w:space="0"/>
                  </w:tcBorders>
                  <w:vAlign w:val="center"/>
                </w:tcPr>
                <w:p w14:paraId="201EB1EA">
                  <w:pPr>
                    <w:keepNext w:val="0"/>
                    <w:keepLines w:val="0"/>
                    <w:suppressLineNumbers w:val="0"/>
                    <w:spacing w:before="0" w:beforeAutospacing="0" w:after="0" w:afterAutospacing="0"/>
                    <w:ind w:left="0" w:right="0"/>
                    <w:jc w:val="center"/>
                    <w:rPr>
                      <w:rFonts w:hint="eastAsia" w:ascii="Times New Roman" w:hAnsi="Times New Roman" w:eastAsia="宋体" w:cs="Times New Roman"/>
                      <w:color w:val="auto"/>
                      <w:szCs w:val="21"/>
                      <w:lang w:val="en-US" w:eastAsia="zh-CN"/>
                    </w:rPr>
                  </w:pPr>
                  <w:r>
                    <w:rPr>
                      <w:rFonts w:hint="eastAsia" w:ascii="Times New Roman" w:hAnsi="Times New Roman" w:eastAsia="宋体" w:cs="Times New Roman"/>
                      <w:color w:val="auto"/>
                      <w:szCs w:val="21"/>
                      <w:lang w:val="en-US" w:eastAsia="zh-CN"/>
                    </w:rPr>
                    <w:t>/</w:t>
                  </w:r>
                </w:p>
              </w:tc>
              <w:tc>
                <w:tcPr>
                  <w:tcW w:w="314" w:type="pct"/>
                  <w:vMerge w:val="restart"/>
                  <w:tcBorders>
                    <w:left w:val="single" w:color="auto" w:sz="4" w:space="0"/>
                    <w:right w:val="single" w:color="auto" w:sz="4" w:space="0"/>
                  </w:tcBorders>
                  <w:shd w:val="clear" w:color="auto" w:fill="auto"/>
                  <w:vAlign w:val="center"/>
                </w:tcPr>
                <w:p w14:paraId="70C368B2">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宋体" w:cs="Times New Roman"/>
                      <w:color w:val="auto"/>
                      <w:kern w:val="2"/>
                      <w:sz w:val="21"/>
                      <w:szCs w:val="21"/>
                      <w:lang w:val="en-US" w:eastAsia="zh-CN" w:bidi="ar-SA"/>
                    </w:rPr>
                  </w:pPr>
                  <w:r>
                    <w:rPr>
                      <w:rFonts w:hint="eastAsia" w:ascii="Times New Roman" w:hAnsi="Times New Roman" w:eastAsia="宋体" w:cs="Times New Roman"/>
                      <w:color w:val="auto"/>
                      <w:szCs w:val="21"/>
                      <w:lang w:val="en-US" w:eastAsia="zh-CN"/>
                    </w:rPr>
                    <w:t>0.022</w:t>
                  </w:r>
                </w:p>
              </w:tc>
              <w:tc>
                <w:tcPr>
                  <w:tcW w:w="278" w:type="pct"/>
                  <w:vMerge w:val="restart"/>
                  <w:tcBorders>
                    <w:left w:val="single" w:color="auto" w:sz="4" w:space="0"/>
                    <w:right w:val="single" w:color="auto" w:sz="4" w:space="0"/>
                  </w:tcBorders>
                  <w:shd w:val="clear" w:color="auto" w:fill="auto"/>
                  <w:vAlign w:val="center"/>
                </w:tcPr>
                <w:p w14:paraId="11DE12C6">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宋体" w:cs="Times New Roman"/>
                      <w:color w:val="auto"/>
                      <w:kern w:val="2"/>
                      <w:sz w:val="21"/>
                      <w:szCs w:val="21"/>
                      <w:lang w:val="en-US" w:eastAsia="zh-CN" w:bidi="ar-SA"/>
                    </w:rPr>
                  </w:pPr>
                  <w:r>
                    <w:rPr>
                      <w:rFonts w:hint="default" w:ascii="Times New Roman" w:hAnsi="Times New Roman" w:eastAsia="宋体" w:cs="Times New Roman"/>
                      <w:color w:val="auto"/>
                      <w:szCs w:val="21"/>
                      <w:lang w:val="en-US" w:eastAsia="zh-CN"/>
                    </w:rPr>
                    <w:t>0.106</w:t>
                  </w:r>
                </w:p>
              </w:tc>
              <w:tc>
                <w:tcPr>
                  <w:tcW w:w="374" w:type="pct"/>
                  <w:tcBorders>
                    <w:left w:val="single" w:color="auto" w:sz="4" w:space="0"/>
                    <w:right w:val="single" w:color="auto" w:sz="4" w:space="0"/>
                  </w:tcBorders>
                  <w:shd w:val="clear" w:color="auto" w:fill="auto"/>
                  <w:vAlign w:val="center"/>
                </w:tcPr>
                <w:p w14:paraId="77247891">
                  <w:pPr>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color w:val="auto"/>
                      <w:kern w:val="2"/>
                      <w:sz w:val="21"/>
                      <w:szCs w:val="21"/>
                      <w:lang w:val="en-US" w:eastAsia="zh-CN" w:bidi="ar-SA"/>
                    </w:rPr>
                  </w:pPr>
                  <w:r>
                    <w:rPr>
                      <w:rFonts w:hint="default" w:ascii="Times New Roman" w:hAnsi="Times New Roman" w:eastAsia="宋体" w:cs="Times New Roman"/>
                      <w:color w:val="auto"/>
                      <w:szCs w:val="21"/>
                    </w:rPr>
                    <w:t>有组织</w:t>
                  </w:r>
                </w:p>
              </w:tc>
              <w:tc>
                <w:tcPr>
                  <w:tcW w:w="317" w:type="pct"/>
                  <w:gridSpan w:val="2"/>
                  <w:tcBorders>
                    <w:left w:val="single" w:color="auto" w:sz="4" w:space="0"/>
                    <w:right w:val="single" w:color="auto" w:sz="4" w:space="0"/>
                  </w:tcBorders>
                  <w:vAlign w:val="center"/>
                </w:tcPr>
                <w:p w14:paraId="26FBBACD">
                  <w:pPr>
                    <w:keepNext w:val="0"/>
                    <w:keepLines w:val="0"/>
                    <w:suppressLineNumbers w:val="0"/>
                    <w:spacing w:before="0" w:beforeAutospacing="0" w:after="0" w:afterAutospacing="0"/>
                    <w:ind w:left="0" w:right="0"/>
                    <w:jc w:val="center"/>
                    <w:rPr>
                      <w:rFonts w:hint="eastAsia" w:ascii="Times New Roman" w:hAnsi="Times New Roman" w:eastAsia="宋体" w:cs="Times New Roman"/>
                      <w:color w:val="auto"/>
                      <w:szCs w:val="21"/>
                    </w:rPr>
                  </w:pPr>
                  <w:r>
                    <w:rPr>
                      <w:rFonts w:hint="eastAsia" w:ascii="Times New Roman" w:hAnsi="Times New Roman" w:eastAsia="宋体" w:cs="Times New Roman"/>
                      <w:color w:val="auto"/>
                      <w:szCs w:val="21"/>
                      <w:lang w:val="en-US" w:eastAsia="zh-CN"/>
                    </w:rPr>
                    <w:t>②</w:t>
                  </w:r>
                </w:p>
              </w:tc>
              <w:tc>
                <w:tcPr>
                  <w:tcW w:w="283" w:type="pct"/>
                  <w:gridSpan w:val="2"/>
                  <w:tcBorders>
                    <w:left w:val="single" w:color="auto" w:sz="4" w:space="0"/>
                    <w:right w:val="single" w:color="auto" w:sz="4" w:space="0"/>
                  </w:tcBorders>
                  <w:vAlign w:val="center"/>
                </w:tcPr>
                <w:p w14:paraId="1D07D326">
                  <w:pPr>
                    <w:keepNext w:val="0"/>
                    <w:keepLines w:val="0"/>
                    <w:suppressLineNumbers w:val="0"/>
                    <w:spacing w:before="0" w:beforeAutospacing="0" w:after="0" w:afterAutospacing="0"/>
                    <w:ind w:left="0" w:right="0"/>
                    <w:jc w:val="center"/>
                    <w:rPr>
                      <w:rFonts w:hint="eastAsia" w:ascii="Times New Roman" w:hAnsi="Times New Roman" w:eastAsia="宋体" w:cs="Times New Roman"/>
                      <w:color w:val="auto"/>
                      <w:szCs w:val="21"/>
                    </w:rPr>
                  </w:pPr>
                  <w:r>
                    <w:rPr>
                      <w:rFonts w:hint="eastAsia" w:ascii="Times New Roman" w:hAnsi="Times New Roman" w:eastAsia="宋体" w:cs="Times New Roman"/>
                      <w:color w:val="auto"/>
                      <w:szCs w:val="21"/>
                      <w:lang w:val="en-US" w:eastAsia="zh-CN"/>
                    </w:rPr>
                    <w:t>31000</w:t>
                  </w:r>
                </w:p>
              </w:tc>
              <w:tc>
                <w:tcPr>
                  <w:tcW w:w="252" w:type="pct"/>
                  <w:gridSpan w:val="2"/>
                  <w:tcBorders>
                    <w:left w:val="single" w:color="auto" w:sz="4" w:space="0"/>
                    <w:right w:val="single" w:color="auto" w:sz="4" w:space="0"/>
                  </w:tcBorders>
                  <w:vAlign w:val="center"/>
                </w:tcPr>
                <w:p w14:paraId="68024423">
                  <w:pPr>
                    <w:keepNext w:val="0"/>
                    <w:keepLines w:val="0"/>
                    <w:suppressLineNumbers w:val="0"/>
                    <w:spacing w:before="0" w:beforeAutospacing="0" w:after="0" w:afterAutospacing="0"/>
                    <w:ind w:left="0" w:leftChars="0" w:right="0" w:rightChars="0"/>
                    <w:jc w:val="center"/>
                    <w:rPr>
                      <w:rFonts w:hint="eastAsia" w:ascii="Times New Roman" w:hAnsi="Times New Roman" w:eastAsia="宋体" w:cs="Times New Roman"/>
                      <w:color w:val="auto"/>
                      <w:szCs w:val="21"/>
                    </w:rPr>
                  </w:pPr>
                  <w:r>
                    <w:rPr>
                      <w:rFonts w:hint="eastAsia" w:ascii="Times New Roman" w:hAnsi="Times New Roman" w:eastAsia="宋体" w:cs="Times New Roman"/>
                      <w:color w:val="auto"/>
                      <w:szCs w:val="21"/>
                      <w:lang w:val="en-US" w:eastAsia="zh-CN"/>
                    </w:rPr>
                    <w:t>75%</w:t>
                  </w:r>
                </w:p>
              </w:tc>
              <w:tc>
                <w:tcPr>
                  <w:tcW w:w="277" w:type="pct"/>
                  <w:gridSpan w:val="2"/>
                  <w:tcBorders>
                    <w:left w:val="single" w:color="auto" w:sz="4" w:space="0"/>
                    <w:right w:val="single" w:color="auto" w:sz="4" w:space="0"/>
                  </w:tcBorders>
                  <w:vAlign w:val="center"/>
                </w:tcPr>
                <w:p w14:paraId="0C962553">
                  <w:pPr>
                    <w:keepNext w:val="0"/>
                    <w:keepLines w:val="0"/>
                    <w:suppressLineNumbers w:val="0"/>
                    <w:spacing w:before="0" w:beforeAutospacing="0" w:after="0" w:afterAutospacing="0"/>
                    <w:ind w:left="0" w:leftChars="0" w:right="0" w:rightChars="0"/>
                    <w:jc w:val="center"/>
                    <w:rPr>
                      <w:rFonts w:hint="eastAsia" w:ascii="Times New Roman" w:hAnsi="Times New Roman" w:eastAsia="宋体" w:cs="Times New Roman"/>
                      <w:color w:val="auto"/>
                      <w:szCs w:val="21"/>
                    </w:rPr>
                  </w:pPr>
                  <w:r>
                    <w:rPr>
                      <w:rFonts w:hint="eastAsia" w:ascii="Times New Roman" w:hAnsi="Times New Roman" w:eastAsia="宋体" w:cs="Times New Roman"/>
                      <w:color w:val="auto"/>
                      <w:szCs w:val="21"/>
                      <w:lang w:val="en-US" w:eastAsia="zh-CN"/>
                    </w:rPr>
                    <w:t>95%</w:t>
                  </w:r>
                </w:p>
              </w:tc>
              <w:tc>
                <w:tcPr>
                  <w:tcW w:w="252" w:type="pct"/>
                  <w:tcBorders>
                    <w:left w:val="single" w:color="auto" w:sz="4" w:space="0"/>
                    <w:right w:val="single" w:color="auto" w:sz="4" w:space="0"/>
                  </w:tcBorders>
                  <w:vAlign w:val="center"/>
                </w:tcPr>
                <w:p w14:paraId="5CAD4D6B">
                  <w:pPr>
                    <w:keepNext w:val="0"/>
                    <w:keepLines w:val="0"/>
                    <w:suppressLineNumbers w:val="0"/>
                    <w:spacing w:before="0" w:beforeAutospacing="0" w:after="0" w:afterAutospacing="0"/>
                    <w:ind w:left="0" w:leftChars="0" w:right="0" w:rightChars="0"/>
                    <w:jc w:val="center"/>
                    <w:rPr>
                      <w:rFonts w:hint="eastAsia" w:ascii="Times New Roman" w:hAnsi="Times New Roman" w:eastAsia="宋体" w:cs="Times New Roman"/>
                      <w:color w:val="auto"/>
                      <w:szCs w:val="21"/>
                    </w:rPr>
                  </w:pPr>
                  <w:r>
                    <w:rPr>
                      <w:rFonts w:hint="eastAsia" w:ascii="Times New Roman" w:hAnsi="Times New Roman" w:eastAsia="宋体" w:cs="Times New Roman"/>
                      <w:color w:val="auto"/>
                      <w:szCs w:val="21"/>
                      <w:lang w:val="en-US" w:eastAsia="zh-CN"/>
                    </w:rPr>
                    <w:t>是</w:t>
                  </w:r>
                </w:p>
              </w:tc>
              <w:tc>
                <w:tcPr>
                  <w:tcW w:w="328" w:type="pct"/>
                  <w:tcBorders>
                    <w:left w:val="single" w:color="auto" w:sz="4" w:space="0"/>
                  </w:tcBorders>
                  <w:shd w:val="clear" w:color="auto" w:fill="auto"/>
                  <w:vAlign w:val="center"/>
                </w:tcPr>
                <w:p w14:paraId="480EB6B5">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宋体" w:cs="Times New Roman"/>
                      <w:color w:val="auto"/>
                      <w:kern w:val="2"/>
                      <w:sz w:val="21"/>
                      <w:szCs w:val="21"/>
                      <w:lang w:val="en-US" w:eastAsia="zh-CN" w:bidi="ar-SA"/>
                    </w:rPr>
                  </w:pPr>
                  <w:r>
                    <w:rPr>
                      <w:rFonts w:hint="eastAsia" w:ascii="Times New Roman" w:hAnsi="Times New Roman" w:eastAsia="宋体" w:cs="Times New Roman"/>
                      <w:color w:val="auto"/>
                      <w:szCs w:val="21"/>
                      <w:lang w:val="en-US" w:eastAsia="zh-CN"/>
                    </w:rPr>
                    <w:t>0.03</w:t>
                  </w:r>
                </w:p>
              </w:tc>
              <w:tc>
                <w:tcPr>
                  <w:tcW w:w="277" w:type="pct"/>
                  <w:tcBorders>
                    <w:right w:val="single" w:color="auto" w:sz="4" w:space="0"/>
                  </w:tcBorders>
                  <w:shd w:val="clear" w:color="auto" w:fill="auto"/>
                  <w:vAlign w:val="center"/>
                </w:tcPr>
                <w:p w14:paraId="62030CB1">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宋体" w:cs="Times New Roman"/>
                      <w:color w:val="auto"/>
                      <w:kern w:val="2"/>
                      <w:sz w:val="21"/>
                      <w:szCs w:val="21"/>
                      <w:lang w:val="en-US" w:eastAsia="zh-CN" w:bidi="ar-SA"/>
                    </w:rPr>
                  </w:pPr>
                  <w:r>
                    <w:rPr>
                      <w:rFonts w:hint="eastAsia" w:ascii="Times New Roman" w:hAnsi="Times New Roman" w:eastAsia="宋体" w:cs="Times New Roman"/>
                      <w:color w:val="auto"/>
                      <w:szCs w:val="21"/>
                      <w:lang w:val="en-US" w:eastAsia="zh-CN"/>
                    </w:rPr>
                    <w:t>0.001</w:t>
                  </w:r>
                </w:p>
              </w:tc>
              <w:tc>
                <w:tcPr>
                  <w:tcW w:w="281" w:type="pct"/>
                  <w:tcBorders>
                    <w:left w:val="single" w:color="auto" w:sz="4" w:space="0"/>
                    <w:right w:val="single" w:color="auto" w:sz="4" w:space="0"/>
                  </w:tcBorders>
                  <w:shd w:val="clear" w:color="auto" w:fill="auto"/>
                  <w:vAlign w:val="center"/>
                </w:tcPr>
                <w:p w14:paraId="3127BCFC">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宋体" w:cs="Times New Roman"/>
                      <w:color w:val="auto"/>
                      <w:kern w:val="2"/>
                      <w:sz w:val="21"/>
                      <w:szCs w:val="21"/>
                      <w:lang w:val="en-US" w:eastAsia="zh-CN" w:bidi="ar-SA"/>
                    </w:rPr>
                  </w:pPr>
                  <w:r>
                    <w:rPr>
                      <w:rFonts w:hint="eastAsia" w:ascii="Times New Roman" w:hAnsi="Times New Roman" w:eastAsia="宋体" w:cs="Times New Roman"/>
                      <w:color w:val="auto"/>
                      <w:szCs w:val="21"/>
                      <w:lang w:val="en-US" w:eastAsia="zh-CN"/>
                    </w:rPr>
                    <w:t>0.004</w:t>
                  </w:r>
                </w:p>
              </w:tc>
              <w:tc>
                <w:tcPr>
                  <w:tcW w:w="329" w:type="pct"/>
                  <w:tcBorders>
                    <w:left w:val="single" w:color="auto" w:sz="4" w:space="0"/>
                    <w:right w:val="single" w:color="auto" w:sz="4" w:space="0"/>
                  </w:tcBorders>
                  <w:vAlign w:val="center"/>
                </w:tcPr>
                <w:p w14:paraId="18F48125">
                  <w:pPr>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rPr>
                    <w:t>DA00</w:t>
                  </w:r>
                  <w:r>
                    <w:rPr>
                      <w:rFonts w:hint="eastAsia" w:ascii="Times New Roman" w:hAnsi="Times New Roman" w:eastAsia="宋体" w:cs="Times New Roman"/>
                      <w:color w:val="auto"/>
                      <w:szCs w:val="21"/>
                      <w:lang w:val="en-US" w:eastAsia="zh-CN"/>
                    </w:rPr>
                    <w:t>2</w:t>
                  </w:r>
                </w:p>
              </w:tc>
              <w:tc>
                <w:tcPr>
                  <w:tcW w:w="261" w:type="pct"/>
                  <w:tcBorders>
                    <w:left w:val="single" w:color="auto" w:sz="4" w:space="0"/>
                    <w:right w:val="single" w:color="auto" w:sz="4" w:space="0"/>
                  </w:tcBorders>
                  <w:vAlign w:val="center"/>
                </w:tcPr>
                <w:p w14:paraId="167D8989">
                  <w:pPr>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color w:val="auto"/>
                      <w:szCs w:val="21"/>
                    </w:rPr>
                  </w:pPr>
                  <w:r>
                    <w:rPr>
                      <w:rFonts w:hint="eastAsia" w:ascii="Times New Roman" w:hAnsi="Times New Roman" w:eastAsia="宋体" w:cs="Times New Roman"/>
                      <w:color w:val="auto"/>
                      <w:szCs w:val="21"/>
                      <w:lang w:val="en-US" w:eastAsia="zh-CN"/>
                    </w:rPr>
                    <w:t>20</w:t>
                  </w:r>
                </w:p>
              </w:tc>
              <w:tc>
                <w:tcPr>
                  <w:tcW w:w="243" w:type="pct"/>
                  <w:tcBorders>
                    <w:left w:val="single" w:color="auto" w:sz="4" w:space="0"/>
                    <w:right w:val="single" w:color="auto" w:sz="4" w:space="0"/>
                  </w:tcBorders>
                  <w:vAlign w:val="center"/>
                </w:tcPr>
                <w:p w14:paraId="08DDAB99">
                  <w:pPr>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color w:val="auto"/>
                      <w:szCs w:val="21"/>
                    </w:rPr>
                  </w:pPr>
                  <w:r>
                    <w:rPr>
                      <w:rFonts w:hint="eastAsia" w:ascii="Times New Roman" w:hAnsi="Times New Roman" w:eastAsia="宋体" w:cs="Times New Roman"/>
                      <w:color w:val="auto"/>
                      <w:szCs w:val="21"/>
                      <w:lang w:val="en-US" w:eastAsia="zh-CN"/>
                    </w:rPr>
                    <w:t>/</w:t>
                  </w:r>
                </w:p>
              </w:tc>
            </w:tr>
            <w:tr w14:paraId="64F0C78A">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397" w:hRule="atLeast"/>
                <w:jc w:val="center"/>
              </w:trPr>
              <w:tc>
                <w:tcPr>
                  <w:tcW w:w="308" w:type="pct"/>
                  <w:vMerge w:val="continue"/>
                  <w:tcBorders>
                    <w:right w:val="single" w:color="auto" w:sz="4" w:space="0"/>
                  </w:tcBorders>
                  <w:vAlign w:val="center"/>
                </w:tcPr>
                <w:p w14:paraId="148FDC9A">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lang w:val="en-US" w:eastAsia="zh-CN"/>
                    </w:rPr>
                  </w:pPr>
                </w:p>
              </w:tc>
              <w:tc>
                <w:tcPr>
                  <w:tcW w:w="299" w:type="pct"/>
                  <w:vMerge w:val="continue"/>
                  <w:tcBorders>
                    <w:left w:val="single" w:color="auto" w:sz="4" w:space="0"/>
                    <w:right w:val="single" w:color="auto" w:sz="4" w:space="0"/>
                  </w:tcBorders>
                  <w:vAlign w:val="center"/>
                </w:tcPr>
                <w:p w14:paraId="143B48B2">
                  <w:pPr>
                    <w:keepNext w:val="0"/>
                    <w:keepLines w:val="0"/>
                    <w:suppressLineNumbers w:val="0"/>
                    <w:spacing w:before="0" w:beforeAutospacing="0" w:after="0" w:afterAutospacing="0"/>
                    <w:ind w:left="0" w:right="0"/>
                    <w:jc w:val="center"/>
                    <w:rPr>
                      <w:rFonts w:hint="eastAsia" w:ascii="Times New Roman" w:hAnsi="Times New Roman" w:eastAsia="宋体" w:cs="Times New Roman"/>
                      <w:color w:val="auto"/>
                      <w:szCs w:val="21"/>
                      <w:lang w:val="en-US" w:eastAsia="zh-CN"/>
                    </w:rPr>
                  </w:pPr>
                </w:p>
              </w:tc>
              <w:tc>
                <w:tcPr>
                  <w:tcW w:w="320" w:type="pct"/>
                  <w:vMerge w:val="continue"/>
                  <w:tcBorders>
                    <w:left w:val="single" w:color="auto" w:sz="4" w:space="0"/>
                    <w:right w:val="single" w:color="auto" w:sz="4" w:space="0"/>
                  </w:tcBorders>
                  <w:vAlign w:val="center"/>
                </w:tcPr>
                <w:p w14:paraId="4F3CB95C">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p>
              </w:tc>
              <w:tc>
                <w:tcPr>
                  <w:tcW w:w="314" w:type="pct"/>
                  <w:vMerge w:val="continue"/>
                  <w:tcBorders>
                    <w:left w:val="single" w:color="auto" w:sz="4" w:space="0"/>
                    <w:right w:val="single" w:color="auto" w:sz="4" w:space="0"/>
                  </w:tcBorders>
                  <w:vAlign w:val="center"/>
                </w:tcPr>
                <w:p w14:paraId="68B28910">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p>
              </w:tc>
              <w:tc>
                <w:tcPr>
                  <w:tcW w:w="278" w:type="pct"/>
                  <w:vMerge w:val="continue"/>
                  <w:tcBorders>
                    <w:left w:val="single" w:color="auto" w:sz="4" w:space="0"/>
                    <w:right w:val="single" w:color="auto" w:sz="4" w:space="0"/>
                  </w:tcBorders>
                  <w:vAlign w:val="center"/>
                </w:tcPr>
                <w:p w14:paraId="03DC76BF">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p>
              </w:tc>
              <w:tc>
                <w:tcPr>
                  <w:tcW w:w="374" w:type="pct"/>
                  <w:tcBorders>
                    <w:left w:val="single" w:color="auto" w:sz="4" w:space="0"/>
                    <w:right w:val="single" w:color="auto" w:sz="4" w:space="0"/>
                  </w:tcBorders>
                  <w:shd w:val="clear" w:color="auto" w:fill="auto"/>
                  <w:vAlign w:val="center"/>
                </w:tcPr>
                <w:p w14:paraId="778F3656">
                  <w:pPr>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color w:val="auto"/>
                      <w:kern w:val="2"/>
                      <w:sz w:val="21"/>
                      <w:szCs w:val="21"/>
                      <w:lang w:val="en-US" w:eastAsia="zh-CN" w:bidi="ar-SA"/>
                    </w:rPr>
                  </w:pPr>
                  <w:r>
                    <w:rPr>
                      <w:rFonts w:hint="default" w:ascii="Times New Roman" w:hAnsi="Times New Roman" w:eastAsia="宋体" w:cs="Times New Roman"/>
                      <w:color w:val="auto"/>
                      <w:szCs w:val="21"/>
                    </w:rPr>
                    <w:t>无组织</w:t>
                  </w:r>
                </w:p>
              </w:tc>
              <w:tc>
                <w:tcPr>
                  <w:tcW w:w="1382" w:type="pct"/>
                  <w:gridSpan w:val="9"/>
                  <w:tcBorders>
                    <w:left w:val="single" w:color="auto" w:sz="4" w:space="0"/>
                    <w:right w:val="single" w:color="auto" w:sz="4" w:space="0"/>
                  </w:tcBorders>
                  <w:vAlign w:val="center"/>
                </w:tcPr>
                <w:p w14:paraId="05A8494B">
                  <w:pPr>
                    <w:keepNext w:val="0"/>
                    <w:keepLines w:val="0"/>
                    <w:suppressLineNumbers w:val="0"/>
                    <w:spacing w:before="0" w:beforeAutospacing="0" w:after="0" w:afterAutospacing="0"/>
                    <w:ind w:left="0" w:right="0"/>
                    <w:jc w:val="center"/>
                    <w:rPr>
                      <w:rFonts w:hint="eastAsia" w:ascii="Times New Roman" w:hAnsi="Times New Roman" w:eastAsia="宋体" w:cs="Times New Roman"/>
                      <w:color w:val="auto"/>
                      <w:szCs w:val="21"/>
                      <w:lang w:val="en-US" w:eastAsia="zh-CN"/>
                    </w:rPr>
                  </w:pPr>
                  <w:r>
                    <w:rPr>
                      <w:rFonts w:hint="eastAsia" w:ascii="Times New Roman" w:hAnsi="Times New Roman" w:eastAsia="宋体" w:cs="Times New Roman"/>
                      <w:color w:val="auto"/>
                      <w:szCs w:val="21"/>
                      <w:lang w:val="en-US" w:eastAsia="zh-CN"/>
                    </w:rPr>
                    <w:t>/</w:t>
                  </w:r>
                </w:p>
              </w:tc>
              <w:tc>
                <w:tcPr>
                  <w:tcW w:w="328" w:type="pct"/>
                  <w:tcBorders>
                    <w:left w:val="single" w:color="auto" w:sz="4" w:space="0"/>
                  </w:tcBorders>
                  <w:vAlign w:val="center"/>
                </w:tcPr>
                <w:p w14:paraId="3144EE81">
                  <w:pPr>
                    <w:keepNext w:val="0"/>
                    <w:keepLines w:val="0"/>
                    <w:suppressLineNumbers w:val="0"/>
                    <w:spacing w:before="0" w:beforeAutospacing="0" w:after="0" w:afterAutospacing="0"/>
                    <w:ind w:left="0" w:right="0"/>
                    <w:jc w:val="center"/>
                    <w:rPr>
                      <w:rFonts w:hint="eastAsia" w:ascii="Times New Roman" w:hAnsi="Times New Roman" w:eastAsia="宋体" w:cs="Times New Roman"/>
                      <w:color w:val="auto"/>
                      <w:szCs w:val="21"/>
                      <w:lang w:val="en-US" w:eastAsia="zh-CN"/>
                    </w:rPr>
                  </w:pPr>
                  <w:r>
                    <w:rPr>
                      <w:rFonts w:hint="eastAsia" w:ascii="Times New Roman" w:hAnsi="Times New Roman" w:eastAsia="宋体" w:cs="Times New Roman"/>
                      <w:color w:val="auto"/>
                      <w:szCs w:val="21"/>
                      <w:lang w:val="en-US" w:eastAsia="zh-CN"/>
                    </w:rPr>
                    <w:t>/</w:t>
                  </w:r>
                </w:p>
              </w:tc>
              <w:tc>
                <w:tcPr>
                  <w:tcW w:w="277" w:type="pct"/>
                  <w:tcBorders>
                    <w:right w:val="single" w:color="auto" w:sz="4" w:space="0"/>
                  </w:tcBorders>
                  <w:shd w:val="clear" w:color="auto" w:fill="auto"/>
                  <w:vAlign w:val="center"/>
                </w:tcPr>
                <w:p w14:paraId="712148D5">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宋体" w:cs="Times New Roman"/>
                      <w:color w:val="auto"/>
                      <w:kern w:val="2"/>
                      <w:sz w:val="21"/>
                      <w:szCs w:val="21"/>
                      <w:lang w:val="en-US" w:eastAsia="zh-CN" w:bidi="ar-SA"/>
                    </w:rPr>
                  </w:pPr>
                  <w:r>
                    <w:rPr>
                      <w:rFonts w:hint="eastAsia" w:ascii="Times New Roman" w:hAnsi="Times New Roman" w:eastAsia="宋体" w:cs="Times New Roman"/>
                      <w:color w:val="auto"/>
                      <w:szCs w:val="21"/>
                      <w:lang w:val="en-US" w:eastAsia="zh-CN"/>
                    </w:rPr>
                    <w:t>0.006</w:t>
                  </w:r>
                </w:p>
              </w:tc>
              <w:tc>
                <w:tcPr>
                  <w:tcW w:w="281" w:type="pct"/>
                  <w:tcBorders>
                    <w:left w:val="single" w:color="auto" w:sz="4" w:space="0"/>
                    <w:right w:val="single" w:color="auto" w:sz="4" w:space="0"/>
                  </w:tcBorders>
                  <w:shd w:val="clear" w:color="auto" w:fill="auto"/>
                  <w:vAlign w:val="center"/>
                </w:tcPr>
                <w:p w14:paraId="701530A9">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宋体" w:cs="Times New Roman"/>
                      <w:color w:val="auto"/>
                      <w:kern w:val="2"/>
                      <w:sz w:val="21"/>
                      <w:szCs w:val="21"/>
                      <w:lang w:val="en-US" w:eastAsia="zh-CN" w:bidi="ar-SA"/>
                    </w:rPr>
                  </w:pPr>
                  <w:r>
                    <w:rPr>
                      <w:rFonts w:hint="eastAsia" w:ascii="Times New Roman" w:hAnsi="Times New Roman" w:eastAsia="宋体" w:cs="Times New Roman"/>
                      <w:color w:val="auto"/>
                      <w:szCs w:val="21"/>
                      <w:lang w:val="en-US" w:eastAsia="zh-CN"/>
                    </w:rPr>
                    <w:t>0.027</w:t>
                  </w:r>
                </w:p>
              </w:tc>
              <w:tc>
                <w:tcPr>
                  <w:tcW w:w="329" w:type="pct"/>
                  <w:tcBorders>
                    <w:left w:val="single" w:color="auto" w:sz="4" w:space="0"/>
                    <w:right w:val="single" w:color="auto" w:sz="4" w:space="0"/>
                  </w:tcBorders>
                  <w:vAlign w:val="center"/>
                </w:tcPr>
                <w:p w14:paraId="70BD3EC5">
                  <w:pPr>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color w:val="auto"/>
                      <w:szCs w:val="21"/>
                    </w:rPr>
                  </w:pPr>
                  <w:r>
                    <w:rPr>
                      <w:rFonts w:hint="eastAsia" w:ascii="Times New Roman" w:hAnsi="Times New Roman" w:eastAsia="宋体" w:cs="Times New Roman"/>
                      <w:color w:val="auto"/>
                      <w:szCs w:val="21"/>
                      <w:lang w:val="en-US" w:eastAsia="zh-CN"/>
                    </w:rPr>
                    <w:t>/</w:t>
                  </w:r>
                </w:p>
              </w:tc>
              <w:tc>
                <w:tcPr>
                  <w:tcW w:w="261" w:type="pct"/>
                  <w:tcBorders>
                    <w:left w:val="single" w:color="auto" w:sz="4" w:space="0"/>
                    <w:right w:val="single" w:color="auto" w:sz="4" w:space="0"/>
                  </w:tcBorders>
                  <w:vAlign w:val="center"/>
                </w:tcPr>
                <w:p w14:paraId="584C1EEA">
                  <w:pPr>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color w:val="auto"/>
                      <w:szCs w:val="21"/>
                    </w:rPr>
                  </w:pPr>
                  <w:r>
                    <w:rPr>
                      <w:rFonts w:hint="eastAsia" w:ascii="Times New Roman" w:hAnsi="Times New Roman" w:eastAsia="宋体" w:cs="Times New Roman"/>
                      <w:color w:val="auto"/>
                      <w:szCs w:val="21"/>
                      <w:lang w:val="en-US" w:eastAsia="zh-CN"/>
                    </w:rPr>
                    <w:t>1.0</w:t>
                  </w:r>
                </w:p>
              </w:tc>
              <w:tc>
                <w:tcPr>
                  <w:tcW w:w="243" w:type="pct"/>
                  <w:tcBorders>
                    <w:left w:val="single" w:color="auto" w:sz="4" w:space="0"/>
                    <w:right w:val="single" w:color="auto" w:sz="4" w:space="0"/>
                  </w:tcBorders>
                  <w:vAlign w:val="center"/>
                </w:tcPr>
                <w:p w14:paraId="27CC2714">
                  <w:pPr>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color w:val="auto"/>
                      <w:szCs w:val="21"/>
                    </w:rPr>
                  </w:pPr>
                  <w:r>
                    <w:rPr>
                      <w:rFonts w:hint="eastAsia" w:ascii="Times New Roman" w:hAnsi="Times New Roman" w:eastAsia="宋体" w:cs="Times New Roman"/>
                      <w:color w:val="auto"/>
                      <w:szCs w:val="21"/>
                      <w:lang w:val="en-US" w:eastAsia="zh-CN"/>
                    </w:rPr>
                    <w:t>/</w:t>
                  </w:r>
                </w:p>
              </w:tc>
            </w:tr>
            <w:tr w14:paraId="02E1DFC9">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784" w:hRule="atLeast"/>
                <w:jc w:val="center"/>
              </w:trPr>
              <w:tc>
                <w:tcPr>
                  <w:tcW w:w="308" w:type="pct"/>
                  <w:vMerge w:val="restart"/>
                  <w:tcBorders>
                    <w:right w:val="single" w:color="auto" w:sz="4" w:space="0"/>
                  </w:tcBorders>
                  <w:vAlign w:val="center"/>
                </w:tcPr>
                <w:p w14:paraId="13000386">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lang w:val="en-US" w:eastAsia="zh-CN"/>
                    </w:rPr>
                  </w:pPr>
                  <w:r>
                    <w:rPr>
                      <w:rFonts w:hint="default" w:ascii="Times New Roman" w:hAnsi="Times New Roman" w:eastAsia="宋体" w:cs="Times New Roman"/>
                      <w:color w:val="auto"/>
                      <w:szCs w:val="21"/>
                      <w:lang w:val="en-US" w:eastAsia="zh-CN"/>
                    </w:rPr>
                    <w:t>激光切割</w:t>
                  </w:r>
                </w:p>
              </w:tc>
              <w:tc>
                <w:tcPr>
                  <w:tcW w:w="299" w:type="pct"/>
                  <w:tcBorders>
                    <w:left w:val="single" w:color="auto" w:sz="4" w:space="0"/>
                    <w:right w:val="single" w:color="auto" w:sz="4" w:space="0"/>
                  </w:tcBorders>
                  <w:shd w:val="clear" w:color="auto" w:fill="auto"/>
                  <w:vAlign w:val="center"/>
                </w:tcPr>
                <w:p w14:paraId="7C14F75C">
                  <w:pPr>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color w:val="0000E1"/>
                      <w:szCs w:val="21"/>
                    </w:rPr>
                  </w:pPr>
                  <w:r>
                    <w:rPr>
                      <w:rFonts w:hint="default" w:ascii="Times New Roman" w:hAnsi="Times New Roman" w:eastAsia="宋体" w:cs="Times New Roman"/>
                      <w:color w:val="0000E1"/>
                      <w:szCs w:val="21"/>
                      <w:lang w:val="en-US" w:eastAsia="zh-CN"/>
                    </w:rPr>
                    <w:t>颗粒物</w:t>
                  </w:r>
                </w:p>
              </w:tc>
              <w:tc>
                <w:tcPr>
                  <w:tcW w:w="320" w:type="pct"/>
                  <w:tcBorders>
                    <w:left w:val="single" w:color="auto" w:sz="4" w:space="0"/>
                    <w:right w:val="single" w:color="auto" w:sz="4" w:space="0"/>
                  </w:tcBorders>
                  <w:vAlign w:val="center"/>
                </w:tcPr>
                <w:p w14:paraId="56EC1CB9">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0000E1"/>
                      <w:szCs w:val="21"/>
                      <w:lang w:val="en-US" w:eastAsia="zh-CN"/>
                    </w:rPr>
                  </w:pPr>
                  <w:r>
                    <w:rPr>
                      <w:rFonts w:hint="eastAsia" w:ascii="Times New Roman" w:hAnsi="Times New Roman" w:eastAsia="宋体" w:cs="Times New Roman"/>
                      <w:color w:val="0000E1"/>
                      <w:szCs w:val="21"/>
                      <w:lang w:val="en-US" w:eastAsia="zh-CN"/>
                    </w:rPr>
                    <w:t>/</w:t>
                  </w:r>
                </w:p>
              </w:tc>
              <w:tc>
                <w:tcPr>
                  <w:tcW w:w="314" w:type="pct"/>
                  <w:tcBorders>
                    <w:left w:val="single" w:color="auto" w:sz="4" w:space="0"/>
                    <w:right w:val="single" w:color="auto" w:sz="4" w:space="0"/>
                  </w:tcBorders>
                  <w:vAlign w:val="center"/>
                </w:tcPr>
                <w:p w14:paraId="084BFB22">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0000E1"/>
                      <w:szCs w:val="21"/>
                      <w:lang w:val="en-US" w:eastAsia="zh-CN"/>
                    </w:rPr>
                  </w:pPr>
                  <w:r>
                    <w:rPr>
                      <w:rFonts w:hint="eastAsia" w:ascii="Times New Roman" w:hAnsi="Times New Roman" w:eastAsia="宋体" w:cs="Times New Roman"/>
                      <w:color w:val="0000E1"/>
                      <w:szCs w:val="21"/>
                      <w:lang w:val="en-US" w:eastAsia="zh-CN"/>
                    </w:rPr>
                    <w:t>0.156</w:t>
                  </w:r>
                </w:p>
              </w:tc>
              <w:tc>
                <w:tcPr>
                  <w:tcW w:w="278" w:type="pct"/>
                  <w:tcBorders>
                    <w:left w:val="single" w:color="auto" w:sz="4" w:space="0"/>
                    <w:right w:val="single" w:color="auto" w:sz="4" w:space="0"/>
                  </w:tcBorders>
                  <w:vAlign w:val="center"/>
                </w:tcPr>
                <w:p w14:paraId="70298B8F">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0000E1"/>
                      <w:szCs w:val="21"/>
                    </w:rPr>
                  </w:pPr>
                  <w:r>
                    <w:rPr>
                      <w:rFonts w:hint="default" w:ascii="Times New Roman" w:hAnsi="Times New Roman" w:eastAsia="宋体" w:cs="Times New Roman"/>
                      <w:color w:val="0000E1"/>
                      <w:szCs w:val="21"/>
                      <w:lang w:val="en-US" w:eastAsia="zh-CN"/>
                    </w:rPr>
                    <w:t>0.747</w:t>
                  </w:r>
                </w:p>
              </w:tc>
              <w:tc>
                <w:tcPr>
                  <w:tcW w:w="374" w:type="pct"/>
                  <w:tcBorders>
                    <w:left w:val="single" w:color="auto" w:sz="4" w:space="0"/>
                    <w:right w:val="single" w:color="auto" w:sz="4" w:space="0"/>
                  </w:tcBorders>
                  <w:shd w:val="clear" w:color="auto" w:fill="auto"/>
                  <w:vAlign w:val="center"/>
                </w:tcPr>
                <w:p w14:paraId="6EDB809A">
                  <w:pPr>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color w:val="0000E1"/>
                      <w:szCs w:val="21"/>
                    </w:rPr>
                  </w:pPr>
                  <w:r>
                    <w:rPr>
                      <w:rFonts w:hint="default" w:ascii="Times New Roman" w:hAnsi="Times New Roman" w:eastAsia="宋体" w:cs="Times New Roman"/>
                      <w:color w:val="0000E1"/>
                      <w:szCs w:val="21"/>
                    </w:rPr>
                    <w:t>无组织</w:t>
                  </w:r>
                </w:p>
              </w:tc>
              <w:tc>
                <w:tcPr>
                  <w:tcW w:w="1382" w:type="pct"/>
                  <w:gridSpan w:val="9"/>
                  <w:tcBorders>
                    <w:left w:val="single" w:color="auto" w:sz="4" w:space="0"/>
                    <w:right w:val="single" w:color="auto" w:sz="4" w:space="0"/>
                  </w:tcBorders>
                  <w:vAlign w:val="center"/>
                </w:tcPr>
                <w:p w14:paraId="4DC8F985">
                  <w:pPr>
                    <w:keepNext w:val="0"/>
                    <w:keepLines w:val="0"/>
                    <w:suppressLineNumbers w:val="0"/>
                    <w:spacing w:before="0" w:beforeAutospacing="0" w:after="0" w:afterAutospacing="0"/>
                    <w:ind w:left="0" w:right="0"/>
                    <w:jc w:val="center"/>
                    <w:rPr>
                      <w:rFonts w:hint="eastAsia" w:ascii="Times New Roman" w:hAnsi="Times New Roman" w:eastAsia="宋体" w:cs="Times New Roman"/>
                      <w:color w:val="0000E1"/>
                      <w:szCs w:val="21"/>
                      <w:lang w:val="en-US" w:eastAsia="zh-CN"/>
                    </w:rPr>
                  </w:pPr>
                  <w:r>
                    <w:rPr>
                      <w:rFonts w:hint="eastAsia" w:ascii="Times New Roman" w:hAnsi="Times New Roman" w:eastAsia="宋体" w:cs="Times New Roman"/>
                      <w:color w:val="0000E1"/>
                      <w:szCs w:val="21"/>
                      <w:lang w:val="en-US" w:eastAsia="zh-CN"/>
                    </w:rPr>
                    <w:t>自带脉冲滤筒除尘系统</w:t>
                  </w:r>
                </w:p>
              </w:tc>
              <w:tc>
                <w:tcPr>
                  <w:tcW w:w="328" w:type="pct"/>
                  <w:tcBorders>
                    <w:left w:val="single" w:color="auto" w:sz="4" w:space="0"/>
                  </w:tcBorders>
                  <w:vAlign w:val="center"/>
                </w:tcPr>
                <w:p w14:paraId="001ABC90">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0000E1"/>
                      <w:szCs w:val="21"/>
                      <w:lang w:val="en-US" w:eastAsia="zh-CN"/>
                    </w:rPr>
                  </w:pPr>
                  <w:r>
                    <w:rPr>
                      <w:rFonts w:hint="eastAsia" w:ascii="Times New Roman" w:hAnsi="Times New Roman" w:eastAsia="宋体" w:cs="Times New Roman"/>
                      <w:color w:val="0000E1"/>
                      <w:szCs w:val="21"/>
                      <w:lang w:val="en-US" w:eastAsia="zh-CN"/>
                    </w:rPr>
                    <w:t>/</w:t>
                  </w:r>
                </w:p>
              </w:tc>
              <w:tc>
                <w:tcPr>
                  <w:tcW w:w="277" w:type="pct"/>
                  <w:tcBorders>
                    <w:right w:val="single" w:color="auto" w:sz="4" w:space="0"/>
                  </w:tcBorders>
                  <w:shd w:val="clear" w:color="auto" w:fill="auto"/>
                  <w:vAlign w:val="center"/>
                </w:tcPr>
                <w:p w14:paraId="24A7292A">
                  <w:pPr>
                    <w:keepNext w:val="0"/>
                    <w:keepLines w:val="0"/>
                    <w:widowControl w:val="0"/>
                    <w:suppressLineNumbers w:val="0"/>
                    <w:spacing w:before="0" w:beforeAutospacing="0" w:after="0" w:afterAutospacing="0"/>
                    <w:ind w:left="0" w:leftChars="0" w:right="0" w:rightChars="0"/>
                    <w:jc w:val="center"/>
                    <w:rPr>
                      <w:rFonts w:hint="default" w:ascii="Times New Roman" w:hAnsi="Times New Roman" w:eastAsia="宋体" w:cs="Times New Roman"/>
                      <w:color w:val="0000E1"/>
                      <w:kern w:val="2"/>
                      <w:sz w:val="21"/>
                      <w:szCs w:val="21"/>
                      <w:lang w:val="en-US" w:eastAsia="zh-CN" w:bidi="ar-SA"/>
                    </w:rPr>
                  </w:pPr>
                  <w:r>
                    <w:rPr>
                      <w:rFonts w:hint="default" w:ascii="Times New Roman" w:hAnsi="Times New Roman" w:eastAsia="宋体" w:cs="Times New Roman"/>
                      <w:color w:val="0000E1"/>
                      <w:kern w:val="2"/>
                      <w:sz w:val="21"/>
                      <w:szCs w:val="21"/>
                      <w:lang w:val="en-US" w:eastAsia="zh-CN"/>
                    </w:rPr>
                    <w:t>0.080</w:t>
                  </w:r>
                </w:p>
              </w:tc>
              <w:tc>
                <w:tcPr>
                  <w:tcW w:w="281" w:type="pct"/>
                  <w:tcBorders>
                    <w:left w:val="single" w:color="auto" w:sz="4" w:space="0"/>
                    <w:right w:val="single" w:color="auto" w:sz="4" w:space="0"/>
                  </w:tcBorders>
                  <w:shd w:val="clear" w:color="auto" w:fill="auto"/>
                  <w:vAlign w:val="center"/>
                </w:tcPr>
                <w:p w14:paraId="0D814F0B">
                  <w:pPr>
                    <w:keepNext w:val="0"/>
                    <w:keepLines w:val="0"/>
                    <w:widowControl w:val="0"/>
                    <w:suppressLineNumbers w:val="0"/>
                    <w:spacing w:before="0" w:beforeAutospacing="0" w:after="0" w:afterAutospacing="0"/>
                    <w:ind w:left="0" w:leftChars="0" w:right="0" w:rightChars="0"/>
                    <w:jc w:val="center"/>
                    <w:rPr>
                      <w:rFonts w:hint="default" w:ascii="Times New Roman" w:hAnsi="Times New Roman" w:eastAsia="宋体" w:cs="Times New Roman"/>
                      <w:color w:val="0000E1"/>
                      <w:kern w:val="2"/>
                      <w:sz w:val="21"/>
                      <w:szCs w:val="21"/>
                      <w:lang w:val="en-US" w:eastAsia="zh-CN" w:bidi="ar-SA"/>
                    </w:rPr>
                  </w:pPr>
                  <w:r>
                    <w:rPr>
                      <w:rFonts w:hint="default" w:ascii="Times New Roman" w:hAnsi="Times New Roman" w:eastAsia="宋体" w:cs="Times New Roman"/>
                      <w:color w:val="0000E1"/>
                      <w:kern w:val="2"/>
                      <w:sz w:val="21"/>
                      <w:szCs w:val="21"/>
                      <w:lang w:val="en-US" w:eastAsia="zh-CN"/>
                    </w:rPr>
                    <w:t>0.383</w:t>
                  </w:r>
                </w:p>
              </w:tc>
              <w:tc>
                <w:tcPr>
                  <w:tcW w:w="329" w:type="pct"/>
                  <w:tcBorders>
                    <w:left w:val="single" w:color="auto" w:sz="4" w:space="0"/>
                    <w:right w:val="single" w:color="auto" w:sz="4" w:space="0"/>
                  </w:tcBorders>
                  <w:vAlign w:val="center"/>
                </w:tcPr>
                <w:p w14:paraId="063796EB">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0000E1"/>
                      <w:szCs w:val="21"/>
                      <w:lang w:val="en-US" w:eastAsia="zh-CN"/>
                    </w:rPr>
                  </w:pPr>
                  <w:r>
                    <w:rPr>
                      <w:rFonts w:hint="eastAsia" w:ascii="Times New Roman" w:hAnsi="Times New Roman" w:eastAsia="宋体" w:cs="Times New Roman"/>
                      <w:color w:val="0000E1"/>
                      <w:szCs w:val="21"/>
                      <w:lang w:val="en-US" w:eastAsia="zh-CN"/>
                    </w:rPr>
                    <w:t>/</w:t>
                  </w:r>
                </w:p>
              </w:tc>
              <w:tc>
                <w:tcPr>
                  <w:tcW w:w="261" w:type="pct"/>
                  <w:tcBorders>
                    <w:left w:val="single" w:color="auto" w:sz="4" w:space="0"/>
                    <w:right w:val="single" w:color="auto" w:sz="4" w:space="0"/>
                  </w:tcBorders>
                  <w:vAlign w:val="center"/>
                </w:tcPr>
                <w:p w14:paraId="66BBB5A5">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0000E1"/>
                      <w:szCs w:val="21"/>
                      <w:lang w:val="en-US" w:eastAsia="zh-CN"/>
                    </w:rPr>
                  </w:pPr>
                  <w:r>
                    <w:rPr>
                      <w:rFonts w:hint="eastAsia" w:ascii="Times New Roman" w:hAnsi="Times New Roman" w:eastAsia="宋体" w:cs="Times New Roman"/>
                      <w:color w:val="0000E1"/>
                      <w:szCs w:val="21"/>
                      <w:lang w:val="en-US" w:eastAsia="zh-CN"/>
                    </w:rPr>
                    <w:t>1.0</w:t>
                  </w:r>
                </w:p>
              </w:tc>
              <w:tc>
                <w:tcPr>
                  <w:tcW w:w="243" w:type="pct"/>
                  <w:tcBorders>
                    <w:left w:val="single" w:color="auto" w:sz="4" w:space="0"/>
                    <w:right w:val="single" w:color="auto" w:sz="4" w:space="0"/>
                  </w:tcBorders>
                  <w:vAlign w:val="center"/>
                </w:tcPr>
                <w:p w14:paraId="085A6F20">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0000E1"/>
                      <w:szCs w:val="21"/>
                      <w:lang w:val="en-US" w:eastAsia="zh-CN"/>
                    </w:rPr>
                  </w:pPr>
                  <w:r>
                    <w:rPr>
                      <w:rFonts w:hint="eastAsia" w:ascii="Times New Roman" w:hAnsi="Times New Roman" w:eastAsia="宋体" w:cs="Times New Roman"/>
                      <w:color w:val="0000E1"/>
                      <w:szCs w:val="21"/>
                      <w:lang w:val="en-US" w:eastAsia="zh-CN"/>
                    </w:rPr>
                    <w:t>/</w:t>
                  </w:r>
                </w:p>
              </w:tc>
            </w:tr>
            <w:tr w14:paraId="27222F04">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397" w:hRule="atLeast"/>
                <w:jc w:val="center"/>
              </w:trPr>
              <w:tc>
                <w:tcPr>
                  <w:tcW w:w="308" w:type="pct"/>
                  <w:vMerge w:val="restart"/>
                  <w:tcBorders>
                    <w:right w:val="single" w:color="auto" w:sz="4" w:space="0"/>
                  </w:tcBorders>
                  <w:vAlign w:val="center"/>
                </w:tcPr>
                <w:p w14:paraId="7B72AF47">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lang w:val="en-US" w:eastAsia="zh-CN"/>
                    </w:rPr>
                  </w:pPr>
                  <w:r>
                    <w:rPr>
                      <w:rFonts w:hint="default" w:ascii="Times New Roman" w:hAnsi="Times New Roman" w:eastAsia="宋体" w:cs="Times New Roman"/>
                      <w:color w:val="auto"/>
                      <w:szCs w:val="21"/>
                      <w:lang w:val="en-US" w:eastAsia="zh-CN"/>
                    </w:rPr>
                    <w:t>真空热合</w:t>
                  </w:r>
                </w:p>
              </w:tc>
              <w:tc>
                <w:tcPr>
                  <w:tcW w:w="299" w:type="pct"/>
                  <w:tcBorders>
                    <w:left w:val="single" w:color="auto" w:sz="4" w:space="0"/>
                    <w:right w:val="single" w:color="auto" w:sz="4" w:space="0"/>
                  </w:tcBorders>
                  <w:shd w:val="clear" w:color="auto" w:fill="auto"/>
                  <w:vAlign w:val="center"/>
                </w:tcPr>
                <w:p w14:paraId="31D1CD12">
                  <w:pPr>
                    <w:keepNext w:val="0"/>
                    <w:keepLines w:val="0"/>
                    <w:suppressLineNumbers w:val="0"/>
                    <w:spacing w:before="0" w:beforeAutospacing="0" w:after="0" w:afterAutospacing="0"/>
                    <w:ind w:left="0" w:leftChars="0" w:right="0" w:rightChars="0"/>
                    <w:jc w:val="center"/>
                    <w:rPr>
                      <w:rFonts w:hint="eastAsia" w:ascii="Times New Roman" w:hAnsi="Times New Roman" w:eastAsia="宋体" w:cs="Times New Roman"/>
                      <w:color w:val="auto"/>
                      <w:kern w:val="2"/>
                      <w:sz w:val="21"/>
                      <w:szCs w:val="21"/>
                      <w:lang w:val="en-US" w:eastAsia="zh-CN" w:bidi="ar-SA"/>
                    </w:rPr>
                  </w:pPr>
                  <w:r>
                    <w:rPr>
                      <w:rFonts w:hint="default" w:ascii="Times New Roman" w:hAnsi="Times New Roman" w:eastAsia="宋体" w:cs="Times New Roman"/>
                      <w:color w:val="auto"/>
                      <w:szCs w:val="21"/>
                    </w:rPr>
                    <w:t>非甲烷总烃</w:t>
                  </w:r>
                </w:p>
              </w:tc>
              <w:tc>
                <w:tcPr>
                  <w:tcW w:w="320" w:type="pct"/>
                  <w:tcBorders>
                    <w:left w:val="single" w:color="auto" w:sz="4" w:space="0"/>
                    <w:right w:val="single" w:color="auto" w:sz="4" w:space="0"/>
                  </w:tcBorders>
                  <w:vAlign w:val="center"/>
                </w:tcPr>
                <w:p w14:paraId="15DEF11B">
                  <w:pPr>
                    <w:keepNext w:val="0"/>
                    <w:keepLines w:val="0"/>
                    <w:suppressLineNumbers w:val="0"/>
                    <w:spacing w:before="0" w:beforeAutospacing="0" w:after="0" w:afterAutospacing="0"/>
                    <w:ind w:left="0" w:right="0"/>
                    <w:jc w:val="center"/>
                    <w:rPr>
                      <w:rFonts w:hint="eastAsia" w:ascii="Times New Roman" w:hAnsi="Times New Roman" w:eastAsia="宋体" w:cs="Times New Roman"/>
                      <w:color w:val="auto"/>
                      <w:szCs w:val="21"/>
                      <w:lang w:val="en-US" w:eastAsia="zh-CN"/>
                    </w:rPr>
                  </w:pPr>
                  <w:r>
                    <w:rPr>
                      <w:rFonts w:hint="eastAsia" w:ascii="Times New Roman" w:hAnsi="Times New Roman" w:eastAsia="宋体" w:cs="Times New Roman"/>
                      <w:color w:val="auto"/>
                      <w:szCs w:val="21"/>
                      <w:lang w:val="en-US" w:eastAsia="zh-CN"/>
                    </w:rPr>
                    <w:t>/</w:t>
                  </w:r>
                </w:p>
              </w:tc>
              <w:tc>
                <w:tcPr>
                  <w:tcW w:w="314" w:type="pct"/>
                  <w:tcBorders>
                    <w:left w:val="single" w:color="auto" w:sz="4" w:space="0"/>
                    <w:right w:val="single" w:color="auto" w:sz="4" w:space="0"/>
                  </w:tcBorders>
                  <w:vAlign w:val="center"/>
                </w:tcPr>
                <w:p w14:paraId="2FA93962">
                  <w:pPr>
                    <w:keepNext w:val="0"/>
                    <w:keepLines w:val="0"/>
                    <w:suppressLineNumbers w:val="0"/>
                    <w:spacing w:before="0" w:beforeAutospacing="0" w:after="0" w:afterAutospacing="0"/>
                    <w:ind w:left="0" w:right="0"/>
                    <w:jc w:val="center"/>
                    <w:rPr>
                      <w:rFonts w:hint="eastAsia" w:ascii="Times New Roman" w:hAnsi="Times New Roman" w:eastAsia="宋体" w:cs="Times New Roman"/>
                      <w:color w:val="auto"/>
                      <w:szCs w:val="21"/>
                      <w:lang w:val="en-US" w:eastAsia="zh-CN"/>
                    </w:rPr>
                  </w:pPr>
                  <w:r>
                    <w:rPr>
                      <w:rFonts w:hint="default" w:ascii="Times New Roman" w:hAnsi="Times New Roman" w:eastAsia="宋体" w:cs="Times New Roman"/>
                      <w:color w:val="0000E1"/>
                      <w:szCs w:val="21"/>
                    </w:rPr>
                    <w:t>0.000</w:t>
                  </w:r>
                  <w:r>
                    <w:rPr>
                      <w:rFonts w:hint="eastAsia" w:ascii="Times New Roman" w:hAnsi="Times New Roman" w:eastAsia="宋体" w:cs="Times New Roman"/>
                      <w:color w:val="0000E1"/>
                      <w:szCs w:val="21"/>
                      <w:lang w:val="en-US" w:eastAsia="zh-CN"/>
                    </w:rPr>
                    <w:t>6</w:t>
                  </w:r>
                </w:p>
              </w:tc>
              <w:tc>
                <w:tcPr>
                  <w:tcW w:w="278" w:type="pct"/>
                  <w:tcBorders>
                    <w:left w:val="single" w:color="auto" w:sz="4" w:space="0"/>
                    <w:right w:val="single" w:color="auto" w:sz="4" w:space="0"/>
                  </w:tcBorders>
                  <w:vAlign w:val="center"/>
                </w:tcPr>
                <w:p w14:paraId="1FEDCACD">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rPr>
                    <w:t>0.00</w:t>
                  </w:r>
                  <w:r>
                    <w:rPr>
                      <w:rFonts w:hint="default" w:ascii="Times New Roman" w:hAnsi="Times New Roman" w:eastAsia="宋体" w:cs="Times New Roman"/>
                      <w:color w:val="auto"/>
                      <w:szCs w:val="21"/>
                      <w:lang w:val="en-US" w:eastAsia="zh-CN"/>
                    </w:rPr>
                    <w:t>3</w:t>
                  </w:r>
                </w:p>
              </w:tc>
              <w:tc>
                <w:tcPr>
                  <w:tcW w:w="374" w:type="pct"/>
                  <w:tcBorders>
                    <w:left w:val="single" w:color="auto" w:sz="4" w:space="0"/>
                    <w:right w:val="single" w:color="auto" w:sz="4" w:space="0"/>
                  </w:tcBorders>
                  <w:shd w:val="clear" w:color="auto" w:fill="auto"/>
                  <w:vAlign w:val="center"/>
                </w:tcPr>
                <w:p w14:paraId="7E3AAC6F">
                  <w:pPr>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color w:val="auto"/>
                      <w:kern w:val="2"/>
                      <w:sz w:val="21"/>
                      <w:szCs w:val="21"/>
                      <w:lang w:val="en-US" w:eastAsia="zh-CN" w:bidi="ar-SA"/>
                    </w:rPr>
                  </w:pPr>
                  <w:r>
                    <w:rPr>
                      <w:rFonts w:hint="default" w:ascii="Times New Roman" w:hAnsi="Times New Roman" w:eastAsia="宋体" w:cs="Times New Roman"/>
                      <w:color w:val="auto"/>
                      <w:szCs w:val="21"/>
                    </w:rPr>
                    <w:t>无组织</w:t>
                  </w:r>
                </w:p>
              </w:tc>
              <w:tc>
                <w:tcPr>
                  <w:tcW w:w="1382" w:type="pct"/>
                  <w:gridSpan w:val="9"/>
                  <w:tcBorders>
                    <w:left w:val="single" w:color="auto" w:sz="4" w:space="0"/>
                    <w:right w:val="single" w:color="auto" w:sz="4" w:space="0"/>
                  </w:tcBorders>
                  <w:vAlign w:val="center"/>
                </w:tcPr>
                <w:p w14:paraId="3470F791">
                  <w:pPr>
                    <w:keepNext w:val="0"/>
                    <w:keepLines w:val="0"/>
                    <w:suppressLineNumbers w:val="0"/>
                    <w:spacing w:before="0" w:beforeAutospacing="0" w:after="0" w:afterAutospacing="0"/>
                    <w:ind w:left="0" w:right="0"/>
                    <w:jc w:val="center"/>
                    <w:rPr>
                      <w:rFonts w:hint="eastAsia" w:ascii="Times New Roman" w:hAnsi="Times New Roman" w:eastAsia="宋体" w:cs="Times New Roman"/>
                      <w:color w:val="auto"/>
                      <w:szCs w:val="21"/>
                      <w:lang w:val="en-US" w:eastAsia="zh-CN"/>
                    </w:rPr>
                  </w:pPr>
                  <w:r>
                    <w:rPr>
                      <w:rFonts w:hint="eastAsia" w:ascii="Times New Roman" w:hAnsi="Times New Roman" w:eastAsia="宋体" w:cs="Times New Roman"/>
                      <w:color w:val="auto"/>
                      <w:szCs w:val="21"/>
                      <w:lang w:val="en-US" w:eastAsia="zh-CN"/>
                    </w:rPr>
                    <w:t>/</w:t>
                  </w:r>
                </w:p>
              </w:tc>
              <w:tc>
                <w:tcPr>
                  <w:tcW w:w="328" w:type="pct"/>
                  <w:tcBorders>
                    <w:left w:val="single" w:color="auto" w:sz="4" w:space="0"/>
                  </w:tcBorders>
                  <w:vAlign w:val="center"/>
                </w:tcPr>
                <w:p w14:paraId="20A54D80">
                  <w:pPr>
                    <w:keepNext w:val="0"/>
                    <w:keepLines w:val="0"/>
                    <w:suppressLineNumbers w:val="0"/>
                    <w:spacing w:before="0" w:beforeAutospacing="0" w:after="0" w:afterAutospacing="0"/>
                    <w:ind w:left="0" w:right="0"/>
                    <w:jc w:val="center"/>
                    <w:rPr>
                      <w:rFonts w:hint="eastAsia" w:ascii="Times New Roman" w:hAnsi="Times New Roman" w:eastAsia="宋体" w:cs="Times New Roman"/>
                      <w:color w:val="auto"/>
                      <w:szCs w:val="21"/>
                      <w:lang w:val="en-US" w:eastAsia="zh-CN"/>
                    </w:rPr>
                  </w:pPr>
                  <w:r>
                    <w:rPr>
                      <w:rFonts w:hint="eastAsia" w:ascii="Times New Roman" w:hAnsi="Times New Roman" w:eastAsia="宋体" w:cs="Times New Roman"/>
                      <w:color w:val="auto"/>
                      <w:szCs w:val="21"/>
                      <w:lang w:val="en-US" w:eastAsia="zh-CN"/>
                    </w:rPr>
                    <w:t>/</w:t>
                  </w:r>
                </w:p>
              </w:tc>
              <w:tc>
                <w:tcPr>
                  <w:tcW w:w="277" w:type="pct"/>
                  <w:tcBorders>
                    <w:right w:val="single" w:color="auto" w:sz="4" w:space="0"/>
                  </w:tcBorders>
                  <w:shd w:val="clear" w:color="auto" w:fill="auto"/>
                  <w:vAlign w:val="center"/>
                </w:tcPr>
                <w:p w14:paraId="59BE4149">
                  <w:pPr>
                    <w:keepNext w:val="0"/>
                    <w:keepLines w:val="0"/>
                    <w:suppressLineNumbers w:val="0"/>
                    <w:spacing w:before="0" w:beforeAutospacing="0" w:after="0" w:afterAutospacing="0"/>
                    <w:ind w:left="0" w:leftChars="0" w:right="0" w:rightChars="0"/>
                    <w:jc w:val="center"/>
                    <w:rPr>
                      <w:rFonts w:hint="eastAsia" w:ascii="Times New Roman" w:hAnsi="Times New Roman" w:eastAsia="宋体" w:cs="Times New Roman"/>
                      <w:color w:val="auto"/>
                      <w:kern w:val="2"/>
                      <w:sz w:val="21"/>
                      <w:szCs w:val="21"/>
                      <w:lang w:val="en-US" w:eastAsia="zh-CN" w:bidi="ar-SA"/>
                    </w:rPr>
                  </w:pPr>
                  <w:r>
                    <w:rPr>
                      <w:rFonts w:hint="default" w:ascii="Times New Roman" w:hAnsi="Times New Roman" w:eastAsia="宋体" w:cs="Times New Roman"/>
                      <w:color w:val="0000E1"/>
                      <w:szCs w:val="21"/>
                    </w:rPr>
                    <w:t>0.000</w:t>
                  </w:r>
                  <w:r>
                    <w:rPr>
                      <w:rFonts w:hint="eastAsia" w:ascii="Times New Roman" w:hAnsi="Times New Roman" w:eastAsia="宋体" w:cs="Times New Roman"/>
                      <w:color w:val="0000E1"/>
                      <w:szCs w:val="21"/>
                      <w:lang w:val="en-US" w:eastAsia="zh-CN"/>
                    </w:rPr>
                    <w:t>6</w:t>
                  </w:r>
                </w:p>
              </w:tc>
              <w:tc>
                <w:tcPr>
                  <w:tcW w:w="281" w:type="pct"/>
                  <w:tcBorders>
                    <w:left w:val="single" w:color="auto" w:sz="4" w:space="0"/>
                    <w:right w:val="single" w:color="auto" w:sz="4" w:space="0"/>
                  </w:tcBorders>
                  <w:shd w:val="clear" w:color="auto" w:fill="auto"/>
                  <w:vAlign w:val="center"/>
                </w:tcPr>
                <w:p w14:paraId="4270A2D9">
                  <w:pPr>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color w:val="auto"/>
                      <w:kern w:val="2"/>
                      <w:sz w:val="21"/>
                      <w:szCs w:val="21"/>
                      <w:lang w:val="en-US" w:eastAsia="zh-CN" w:bidi="ar-SA"/>
                    </w:rPr>
                  </w:pPr>
                  <w:r>
                    <w:rPr>
                      <w:rFonts w:hint="default" w:ascii="Times New Roman" w:hAnsi="Times New Roman" w:eastAsia="宋体" w:cs="Times New Roman"/>
                      <w:color w:val="auto"/>
                      <w:szCs w:val="21"/>
                    </w:rPr>
                    <w:t>0.00</w:t>
                  </w:r>
                  <w:r>
                    <w:rPr>
                      <w:rFonts w:hint="default" w:ascii="Times New Roman" w:hAnsi="Times New Roman" w:eastAsia="宋体" w:cs="Times New Roman"/>
                      <w:color w:val="auto"/>
                      <w:szCs w:val="21"/>
                      <w:lang w:val="en-US" w:eastAsia="zh-CN"/>
                    </w:rPr>
                    <w:t>3</w:t>
                  </w:r>
                </w:p>
              </w:tc>
              <w:tc>
                <w:tcPr>
                  <w:tcW w:w="329" w:type="pct"/>
                  <w:tcBorders>
                    <w:left w:val="single" w:color="auto" w:sz="4" w:space="0"/>
                    <w:right w:val="single" w:color="auto" w:sz="4" w:space="0"/>
                  </w:tcBorders>
                  <w:vAlign w:val="center"/>
                </w:tcPr>
                <w:p w14:paraId="61AC47F6">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r>
                    <w:rPr>
                      <w:rFonts w:hint="eastAsia" w:ascii="Times New Roman" w:hAnsi="Times New Roman" w:eastAsia="宋体" w:cs="Times New Roman"/>
                      <w:color w:val="auto"/>
                      <w:szCs w:val="21"/>
                      <w:lang w:val="en-US" w:eastAsia="zh-CN"/>
                    </w:rPr>
                    <w:t>/</w:t>
                  </w:r>
                </w:p>
              </w:tc>
              <w:tc>
                <w:tcPr>
                  <w:tcW w:w="261" w:type="pct"/>
                  <w:tcBorders>
                    <w:left w:val="single" w:color="auto" w:sz="4" w:space="0"/>
                    <w:right w:val="single" w:color="auto" w:sz="4" w:space="0"/>
                  </w:tcBorders>
                  <w:vAlign w:val="center"/>
                </w:tcPr>
                <w:p w14:paraId="0E292AD5">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lang w:val="en-US" w:eastAsia="zh-CN"/>
                    </w:rPr>
                  </w:pPr>
                  <w:r>
                    <w:rPr>
                      <w:rFonts w:hint="eastAsia" w:ascii="Times New Roman" w:hAnsi="Times New Roman" w:eastAsia="宋体" w:cs="Times New Roman"/>
                      <w:color w:val="auto"/>
                      <w:szCs w:val="21"/>
                      <w:lang w:val="en-US" w:eastAsia="zh-CN"/>
                    </w:rPr>
                    <w:t>4.0</w:t>
                  </w:r>
                </w:p>
              </w:tc>
              <w:tc>
                <w:tcPr>
                  <w:tcW w:w="243" w:type="pct"/>
                  <w:tcBorders>
                    <w:left w:val="single" w:color="auto" w:sz="4" w:space="0"/>
                    <w:right w:val="single" w:color="auto" w:sz="4" w:space="0"/>
                  </w:tcBorders>
                  <w:vAlign w:val="center"/>
                </w:tcPr>
                <w:p w14:paraId="212474CC">
                  <w:pPr>
                    <w:keepNext w:val="0"/>
                    <w:keepLines w:val="0"/>
                    <w:suppressLineNumbers w:val="0"/>
                    <w:spacing w:before="0" w:beforeAutospacing="0" w:after="0" w:afterAutospacing="0"/>
                    <w:ind w:left="0" w:right="0"/>
                    <w:jc w:val="center"/>
                    <w:rPr>
                      <w:rFonts w:hint="eastAsia" w:ascii="Times New Roman" w:hAnsi="Times New Roman" w:eastAsia="宋体" w:cs="Times New Roman"/>
                      <w:color w:val="auto"/>
                      <w:szCs w:val="21"/>
                      <w:lang w:val="en-US" w:eastAsia="zh-CN"/>
                    </w:rPr>
                  </w:pPr>
                  <w:r>
                    <w:rPr>
                      <w:rFonts w:hint="eastAsia" w:ascii="Times New Roman" w:hAnsi="Times New Roman" w:eastAsia="宋体" w:cs="Times New Roman"/>
                      <w:color w:val="auto"/>
                      <w:szCs w:val="21"/>
                      <w:lang w:val="en-US" w:eastAsia="zh-CN"/>
                    </w:rPr>
                    <w:t>/</w:t>
                  </w:r>
                </w:p>
              </w:tc>
            </w:tr>
            <w:tr w14:paraId="140A9A14">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397" w:hRule="atLeast"/>
                <w:jc w:val="center"/>
              </w:trPr>
              <w:tc>
                <w:tcPr>
                  <w:tcW w:w="308" w:type="pct"/>
                  <w:vMerge w:val="continue"/>
                  <w:tcBorders>
                    <w:right w:val="single" w:color="auto" w:sz="4" w:space="0"/>
                  </w:tcBorders>
                  <w:vAlign w:val="center"/>
                </w:tcPr>
                <w:p w14:paraId="152F4B36">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lang w:val="en-US" w:eastAsia="zh-CN"/>
                    </w:rPr>
                  </w:pPr>
                </w:p>
              </w:tc>
              <w:tc>
                <w:tcPr>
                  <w:tcW w:w="299" w:type="pct"/>
                  <w:tcBorders>
                    <w:left w:val="single" w:color="auto" w:sz="4" w:space="0"/>
                    <w:right w:val="single" w:color="auto" w:sz="4" w:space="0"/>
                  </w:tcBorders>
                  <w:shd w:val="clear" w:color="auto" w:fill="auto"/>
                  <w:vAlign w:val="center"/>
                </w:tcPr>
                <w:p w14:paraId="10319FED">
                  <w:pPr>
                    <w:keepNext w:val="0"/>
                    <w:keepLines w:val="0"/>
                    <w:suppressLineNumbers w:val="0"/>
                    <w:spacing w:before="0" w:beforeAutospacing="0" w:after="0" w:afterAutospacing="0"/>
                    <w:ind w:left="0" w:leftChars="0" w:right="0" w:rightChars="0"/>
                    <w:jc w:val="center"/>
                    <w:rPr>
                      <w:rFonts w:hint="eastAsia" w:ascii="Times New Roman" w:hAnsi="Times New Roman" w:eastAsia="宋体" w:cs="Times New Roman"/>
                      <w:color w:val="auto"/>
                      <w:kern w:val="2"/>
                      <w:sz w:val="21"/>
                      <w:szCs w:val="21"/>
                      <w:lang w:val="en-US" w:eastAsia="zh-CN" w:bidi="ar-SA"/>
                    </w:rPr>
                  </w:pPr>
                  <w:r>
                    <w:rPr>
                      <w:rFonts w:hint="default" w:ascii="Times New Roman" w:hAnsi="Times New Roman" w:eastAsia="宋体" w:cs="Times New Roman"/>
                      <w:color w:val="auto"/>
                      <w:szCs w:val="21"/>
                    </w:rPr>
                    <w:t>臭气浓度</w:t>
                  </w:r>
                </w:p>
              </w:tc>
              <w:tc>
                <w:tcPr>
                  <w:tcW w:w="320" w:type="pct"/>
                  <w:tcBorders>
                    <w:left w:val="single" w:color="auto" w:sz="4" w:space="0"/>
                    <w:right w:val="single" w:color="auto" w:sz="4" w:space="0"/>
                  </w:tcBorders>
                  <w:shd w:val="clear" w:color="auto" w:fill="auto"/>
                  <w:vAlign w:val="center"/>
                </w:tcPr>
                <w:p w14:paraId="163849FB">
                  <w:pPr>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color w:val="auto"/>
                      <w:kern w:val="2"/>
                      <w:sz w:val="21"/>
                      <w:szCs w:val="21"/>
                      <w:lang w:val="en-US" w:eastAsia="zh-CN" w:bidi="ar-SA"/>
                    </w:rPr>
                  </w:pPr>
                  <w:r>
                    <w:rPr>
                      <w:rFonts w:hint="eastAsia" w:ascii="Times New Roman" w:hAnsi="Times New Roman" w:eastAsia="宋体" w:cs="Times New Roman"/>
                      <w:color w:val="auto"/>
                      <w:szCs w:val="21"/>
                      <w:lang w:val="en-US" w:eastAsia="zh-CN"/>
                    </w:rPr>
                    <w:t>/</w:t>
                  </w:r>
                </w:p>
              </w:tc>
              <w:tc>
                <w:tcPr>
                  <w:tcW w:w="314" w:type="pct"/>
                  <w:tcBorders>
                    <w:left w:val="single" w:color="auto" w:sz="4" w:space="0"/>
                    <w:right w:val="single" w:color="auto" w:sz="4" w:space="0"/>
                  </w:tcBorders>
                  <w:shd w:val="clear" w:color="auto" w:fill="auto"/>
                  <w:vAlign w:val="center"/>
                </w:tcPr>
                <w:p w14:paraId="1DE02B36">
                  <w:pPr>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color w:val="auto"/>
                      <w:kern w:val="2"/>
                      <w:sz w:val="21"/>
                      <w:szCs w:val="21"/>
                      <w:lang w:val="en-US" w:eastAsia="zh-CN" w:bidi="ar-SA"/>
                    </w:rPr>
                  </w:pPr>
                  <w:r>
                    <w:rPr>
                      <w:rFonts w:hint="eastAsia" w:ascii="Times New Roman" w:hAnsi="Times New Roman" w:eastAsia="宋体" w:cs="Times New Roman"/>
                      <w:color w:val="auto"/>
                      <w:szCs w:val="21"/>
                      <w:lang w:val="en-US" w:eastAsia="zh-CN"/>
                    </w:rPr>
                    <w:t>/</w:t>
                  </w:r>
                </w:p>
              </w:tc>
              <w:tc>
                <w:tcPr>
                  <w:tcW w:w="278" w:type="pct"/>
                  <w:tcBorders>
                    <w:left w:val="single" w:color="auto" w:sz="4" w:space="0"/>
                    <w:right w:val="single" w:color="auto" w:sz="4" w:space="0"/>
                  </w:tcBorders>
                  <w:shd w:val="clear" w:color="auto" w:fill="auto"/>
                  <w:vAlign w:val="center"/>
                </w:tcPr>
                <w:p w14:paraId="772C9BDA">
                  <w:pPr>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color w:val="auto"/>
                      <w:kern w:val="2"/>
                      <w:sz w:val="21"/>
                      <w:szCs w:val="21"/>
                      <w:lang w:val="en-US" w:eastAsia="zh-CN" w:bidi="ar-SA"/>
                    </w:rPr>
                  </w:pPr>
                  <w:r>
                    <w:rPr>
                      <w:rFonts w:hint="eastAsia" w:ascii="Times New Roman" w:hAnsi="Times New Roman" w:eastAsia="宋体" w:cs="Times New Roman"/>
                      <w:color w:val="auto"/>
                      <w:szCs w:val="21"/>
                      <w:lang w:val="en-US" w:eastAsia="zh-CN"/>
                    </w:rPr>
                    <w:t>少量</w:t>
                  </w:r>
                </w:p>
              </w:tc>
              <w:tc>
                <w:tcPr>
                  <w:tcW w:w="374" w:type="pct"/>
                  <w:tcBorders>
                    <w:left w:val="single" w:color="auto" w:sz="4" w:space="0"/>
                    <w:right w:val="single" w:color="auto" w:sz="4" w:space="0"/>
                  </w:tcBorders>
                  <w:shd w:val="clear" w:color="auto" w:fill="auto"/>
                  <w:vAlign w:val="center"/>
                </w:tcPr>
                <w:p w14:paraId="401E1484">
                  <w:pPr>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color w:val="auto"/>
                      <w:kern w:val="2"/>
                      <w:sz w:val="21"/>
                      <w:szCs w:val="21"/>
                      <w:lang w:val="en-US" w:eastAsia="zh-CN" w:bidi="ar-SA"/>
                    </w:rPr>
                  </w:pPr>
                  <w:r>
                    <w:rPr>
                      <w:rFonts w:hint="default" w:ascii="Times New Roman" w:hAnsi="Times New Roman" w:eastAsia="宋体" w:cs="Times New Roman"/>
                      <w:color w:val="auto"/>
                      <w:szCs w:val="21"/>
                    </w:rPr>
                    <w:t>无组织</w:t>
                  </w:r>
                </w:p>
              </w:tc>
              <w:tc>
                <w:tcPr>
                  <w:tcW w:w="1382" w:type="pct"/>
                  <w:gridSpan w:val="9"/>
                  <w:tcBorders>
                    <w:left w:val="single" w:color="auto" w:sz="4" w:space="0"/>
                    <w:right w:val="single" w:color="auto" w:sz="4" w:space="0"/>
                  </w:tcBorders>
                  <w:vAlign w:val="center"/>
                </w:tcPr>
                <w:p w14:paraId="58118754">
                  <w:pPr>
                    <w:keepNext w:val="0"/>
                    <w:keepLines w:val="0"/>
                    <w:suppressLineNumbers w:val="0"/>
                    <w:spacing w:before="0" w:beforeAutospacing="0" w:after="0" w:afterAutospacing="0"/>
                    <w:ind w:left="0" w:right="0"/>
                    <w:jc w:val="center"/>
                    <w:rPr>
                      <w:rFonts w:hint="eastAsia" w:ascii="Times New Roman" w:hAnsi="Times New Roman" w:eastAsia="宋体" w:cs="Times New Roman"/>
                      <w:color w:val="auto"/>
                      <w:szCs w:val="21"/>
                      <w:lang w:val="en-US" w:eastAsia="zh-CN"/>
                    </w:rPr>
                  </w:pPr>
                  <w:r>
                    <w:rPr>
                      <w:rFonts w:hint="eastAsia" w:ascii="Times New Roman" w:hAnsi="Times New Roman" w:eastAsia="宋体" w:cs="Times New Roman"/>
                      <w:color w:val="auto"/>
                      <w:szCs w:val="21"/>
                      <w:lang w:val="en-US" w:eastAsia="zh-CN"/>
                    </w:rPr>
                    <w:t>/</w:t>
                  </w:r>
                </w:p>
              </w:tc>
              <w:tc>
                <w:tcPr>
                  <w:tcW w:w="328" w:type="pct"/>
                  <w:tcBorders>
                    <w:left w:val="single" w:color="auto" w:sz="4" w:space="0"/>
                  </w:tcBorders>
                  <w:shd w:val="clear" w:color="auto" w:fill="auto"/>
                  <w:vAlign w:val="center"/>
                </w:tcPr>
                <w:p w14:paraId="6923E358">
                  <w:pPr>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color w:val="auto"/>
                      <w:kern w:val="2"/>
                      <w:sz w:val="21"/>
                      <w:szCs w:val="21"/>
                      <w:lang w:val="en-US" w:eastAsia="zh-CN" w:bidi="ar-SA"/>
                    </w:rPr>
                  </w:pPr>
                  <w:r>
                    <w:rPr>
                      <w:rFonts w:hint="eastAsia" w:ascii="Times New Roman" w:hAnsi="Times New Roman" w:eastAsia="宋体" w:cs="Times New Roman"/>
                      <w:color w:val="auto"/>
                      <w:szCs w:val="21"/>
                      <w:lang w:val="en-US" w:eastAsia="zh-CN"/>
                    </w:rPr>
                    <w:t>/</w:t>
                  </w:r>
                </w:p>
              </w:tc>
              <w:tc>
                <w:tcPr>
                  <w:tcW w:w="277" w:type="pct"/>
                  <w:tcBorders>
                    <w:right w:val="single" w:color="auto" w:sz="4" w:space="0"/>
                  </w:tcBorders>
                  <w:shd w:val="clear" w:color="auto" w:fill="auto"/>
                  <w:vAlign w:val="center"/>
                </w:tcPr>
                <w:p w14:paraId="3123339D">
                  <w:pPr>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color w:val="auto"/>
                      <w:kern w:val="2"/>
                      <w:sz w:val="21"/>
                      <w:szCs w:val="21"/>
                      <w:lang w:val="en-US" w:eastAsia="zh-CN" w:bidi="ar-SA"/>
                    </w:rPr>
                  </w:pPr>
                  <w:r>
                    <w:rPr>
                      <w:rFonts w:hint="eastAsia" w:ascii="Times New Roman" w:hAnsi="Times New Roman" w:eastAsia="宋体" w:cs="Times New Roman"/>
                      <w:color w:val="auto"/>
                      <w:szCs w:val="21"/>
                      <w:lang w:val="en-US" w:eastAsia="zh-CN"/>
                    </w:rPr>
                    <w:t>/</w:t>
                  </w:r>
                </w:p>
              </w:tc>
              <w:tc>
                <w:tcPr>
                  <w:tcW w:w="281" w:type="pct"/>
                  <w:tcBorders>
                    <w:left w:val="single" w:color="auto" w:sz="4" w:space="0"/>
                    <w:right w:val="single" w:color="auto" w:sz="4" w:space="0"/>
                  </w:tcBorders>
                  <w:shd w:val="clear" w:color="auto" w:fill="auto"/>
                  <w:vAlign w:val="center"/>
                </w:tcPr>
                <w:p w14:paraId="78D45139">
                  <w:pPr>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color w:val="auto"/>
                      <w:kern w:val="2"/>
                      <w:sz w:val="21"/>
                      <w:szCs w:val="21"/>
                      <w:lang w:val="en-US" w:eastAsia="zh-CN" w:bidi="ar-SA"/>
                    </w:rPr>
                  </w:pPr>
                  <w:r>
                    <w:rPr>
                      <w:rFonts w:hint="eastAsia" w:ascii="Times New Roman" w:hAnsi="Times New Roman" w:eastAsia="宋体" w:cs="Times New Roman"/>
                      <w:color w:val="auto"/>
                      <w:szCs w:val="21"/>
                      <w:lang w:val="en-US" w:eastAsia="zh-CN"/>
                    </w:rPr>
                    <w:t>少量</w:t>
                  </w:r>
                </w:p>
              </w:tc>
              <w:tc>
                <w:tcPr>
                  <w:tcW w:w="329" w:type="pct"/>
                  <w:tcBorders>
                    <w:left w:val="single" w:color="auto" w:sz="4" w:space="0"/>
                    <w:right w:val="single" w:color="auto" w:sz="4" w:space="0"/>
                  </w:tcBorders>
                  <w:vAlign w:val="center"/>
                </w:tcPr>
                <w:p w14:paraId="3B4ECFAD">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r>
                    <w:rPr>
                      <w:rFonts w:hint="eastAsia" w:ascii="Times New Roman" w:hAnsi="Times New Roman" w:eastAsia="宋体" w:cs="Times New Roman"/>
                      <w:color w:val="auto"/>
                      <w:szCs w:val="21"/>
                      <w:lang w:val="en-US" w:eastAsia="zh-CN"/>
                    </w:rPr>
                    <w:t>/</w:t>
                  </w:r>
                </w:p>
              </w:tc>
              <w:tc>
                <w:tcPr>
                  <w:tcW w:w="261" w:type="pct"/>
                  <w:tcBorders>
                    <w:left w:val="single" w:color="auto" w:sz="4" w:space="0"/>
                    <w:right w:val="single" w:color="auto" w:sz="4" w:space="0"/>
                  </w:tcBorders>
                  <w:vAlign w:val="center"/>
                </w:tcPr>
                <w:p w14:paraId="7709D1F0">
                  <w:pPr>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color w:val="auto"/>
                      <w:szCs w:val="21"/>
                    </w:rPr>
                  </w:pPr>
                  <w:r>
                    <w:rPr>
                      <w:rFonts w:hint="eastAsia" w:ascii="Times New Roman" w:hAnsi="Times New Roman" w:eastAsia="宋体" w:cs="Times New Roman"/>
                      <w:color w:val="auto"/>
                      <w:szCs w:val="21"/>
                      <w:lang w:val="en-US" w:eastAsia="zh-CN"/>
                    </w:rPr>
                    <w:t>20（无量纲）</w:t>
                  </w:r>
                </w:p>
              </w:tc>
              <w:tc>
                <w:tcPr>
                  <w:tcW w:w="243" w:type="pct"/>
                  <w:tcBorders>
                    <w:left w:val="single" w:color="auto" w:sz="4" w:space="0"/>
                    <w:right w:val="single" w:color="auto" w:sz="4" w:space="0"/>
                  </w:tcBorders>
                  <w:vAlign w:val="center"/>
                </w:tcPr>
                <w:p w14:paraId="2495754A">
                  <w:pPr>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color w:val="auto"/>
                      <w:szCs w:val="21"/>
                    </w:rPr>
                  </w:pPr>
                  <w:r>
                    <w:rPr>
                      <w:rFonts w:hint="eastAsia" w:ascii="Times New Roman" w:hAnsi="Times New Roman" w:eastAsia="宋体" w:cs="Times New Roman"/>
                      <w:color w:val="auto"/>
                      <w:szCs w:val="21"/>
                      <w:lang w:val="en-US" w:eastAsia="zh-CN"/>
                    </w:rPr>
                    <w:t>/</w:t>
                  </w:r>
                </w:p>
              </w:tc>
            </w:tr>
            <w:tr w14:paraId="0EE0B5A0">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397" w:hRule="atLeast"/>
                <w:jc w:val="center"/>
              </w:trPr>
              <w:tc>
                <w:tcPr>
                  <w:tcW w:w="5000" w:type="pct"/>
                  <w:gridSpan w:val="21"/>
                  <w:tcBorders>
                    <w:right w:val="single" w:color="auto" w:sz="4" w:space="0"/>
                  </w:tcBorders>
                  <w:vAlign w:val="center"/>
                </w:tcPr>
                <w:p w14:paraId="69882D24">
                  <w:pPr>
                    <w:keepNext w:val="0"/>
                    <w:keepLines w:val="0"/>
                    <w:suppressLineNumbers w:val="0"/>
                    <w:spacing w:before="0" w:beforeAutospacing="0" w:after="0" w:afterAutospacing="0"/>
                    <w:ind w:left="0" w:right="0"/>
                    <w:jc w:val="center"/>
                    <w:rPr>
                      <w:rFonts w:hint="default"/>
                      <w:color w:val="auto"/>
                      <w:lang w:val="en-US" w:eastAsia="zh-CN"/>
                    </w:rPr>
                  </w:pPr>
                  <w:r>
                    <w:rPr>
                      <w:rFonts w:hint="eastAsia" w:ascii="Times New Roman" w:hAnsi="Times New Roman" w:eastAsia="宋体" w:cs="Times New Roman"/>
                      <w:color w:val="auto"/>
                      <w:szCs w:val="21"/>
                      <w:lang w:val="en-US" w:eastAsia="zh-CN"/>
                    </w:rPr>
                    <w:t>注：①水喷淋+干式过滤+二级活性炭吸附装置；②脉冲式布袋除尘器。</w:t>
                  </w:r>
                </w:p>
              </w:tc>
            </w:tr>
          </w:tbl>
          <w:p w14:paraId="0598B292">
            <w:pPr>
              <w:keepNext w:val="0"/>
              <w:keepLines w:val="0"/>
              <w:suppressLineNumbers w:val="0"/>
              <w:spacing w:before="0" w:beforeAutospacing="0" w:after="0" w:afterAutospacing="0" w:line="360" w:lineRule="auto"/>
              <w:ind w:left="0" w:right="0"/>
              <w:rPr>
                <w:rFonts w:hint="default" w:ascii="Times New Roman" w:hAnsi="Times New Roman" w:eastAsia="宋体" w:cs="Times New Roman"/>
                <w:b/>
                <w:bCs/>
                <w:color w:val="auto"/>
                <w:sz w:val="24"/>
              </w:rPr>
            </w:pPr>
            <w:r>
              <w:rPr>
                <w:rFonts w:hint="default" w:ascii="Times New Roman" w:hAnsi="Times New Roman" w:eastAsia="宋体" w:cs="Times New Roman"/>
                <w:b/>
                <w:bCs/>
                <w:color w:val="auto"/>
                <w:sz w:val="24"/>
              </w:rPr>
              <w:t>4.2.1.3排气口设置情况及监测</w:t>
            </w:r>
            <w:r>
              <w:rPr>
                <w:rFonts w:hint="eastAsia" w:ascii="Times New Roman" w:hAnsi="Times New Roman" w:eastAsia="宋体" w:cs="Times New Roman"/>
                <w:b/>
                <w:bCs/>
                <w:color w:val="auto"/>
                <w:sz w:val="24"/>
              </w:rPr>
              <w:t>计划</w:t>
            </w:r>
          </w:p>
          <w:p w14:paraId="4E074795">
            <w:pPr>
              <w:keepNext w:val="0"/>
              <w:keepLines w:val="0"/>
              <w:suppressLineNumbers w:val="0"/>
              <w:spacing w:before="0" w:beforeAutospacing="0" w:after="0" w:afterAutospacing="0" w:line="360" w:lineRule="auto"/>
              <w:ind w:left="0" w:right="0" w:firstLine="480" w:firstLineChars="200"/>
              <w:rPr>
                <w:rFonts w:hint="default" w:ascii="Times New Roman" w:hAnsi="Times New Roman" w:eastAsia="宋体" w:cs="Times New Roman"/>
                <w:color w:val="auto"/>
                <w:sz w:val="24"/>
              </w:rPr>
            </w:pPr>
            <w:r>
              <w:rPr>
                <w:rFonts w:hint="eastAsia" w:ascii="Times New Roman" w:hAnsi="Times New Roman" w:eastAsia="宋体" w:cs="Times New Roman"/>
                <w:color w:val="auto"/>
                <w:sz w:val="24"/>
              </w:rPr>
              <w:t>根据导则及《排污单位自行监测技术指南 总则》（HJ819-2017），《排污单位自行监测技术指南 橡胶和塑料制品》（HJ1207-2021）要求，本项目大气污染物监测方案如下表所示。</w:t>
            </w:r>
          </w:p>
          <w:p w14:paraId="0851EFFB">
            <w:pPr>
              <w:keepNext w:val="0"/>
              <w:keepLines w:val="0"/>
              <w:suppressLineNumbers w:val="0"/>
              <w:spacing w:before="0" w:beforeAutospacing="0" w:after="0" w:afterAutospacing="0"/>
              <w:ind w:left="0" w:right="0"/>
              <w:jc w:val="center"/>
              <w:rPr>
                <w:rFonts w:hint="default" w:ascii="Times New Roman" w:hAnsi="Times New Roman" w:eastAsia="宋体" w:cs="Times New Roman"/>
                <w:b/>
                <w:bCs/>
                <w:color w:val="auto"/>
              </w:rPr>
            </w:pPr>
            <w:r>
              <w:rPr>
                <w:rFonts w:hint="eastAsia" w:ascii="Times New Roman" w:hAnsi="Times New Roman" w:eastAsia="宋体" w:cs="Times New Roman"/>
                <w:b/>
                <w:bCs/>
                <w:color w:val="auto"/>
              </w:rPr>
              <w:t>表4-</w:t>
            </w:r>
            <w:r>
              <w:rPr>
                <w:rFonts w:hint="eastAsia" w:ascii="Times New Roman" w:hAnsi="Times New Roman" w:eastAsia="宋体" w:cs="Times New Roman"/>
                <w:b/>
                <w:bCs/>
                <w:color w:val="auto"/>
                <w:lang w:val="en-US" w:eastAsia="zh-CN"/>
              </w:rPr>
              <w:t>6</w:t>
            </w:r>
            <w:r>
              <w:rPr>
                <w:rFonts w:hint="eastAsia" w:ascii="Times New Roman" w:hAnsi="Times New Roman" w:eastAsia="宋体" w:cs="Times New Roman"/>
                <w:b/>
                <w:bCs/>
                <w:color w:val="auto"/>
              </w:rPr>
              <w:t xml:space="preserve">  项目排气口设置及大气污染物监测计划</w:t>
            </w:r>
          </w:p>
          <w:tbl>
            <w:tblPr>
              <w:tblStyle w:val="23"/>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299"/>
              <w:gridCol w:w="660"/>
              <w:gridCol w:w="750"/>
              <w:gridCol w:w="900"/>
              <w:gridCol w:w="975"/>
              <w:gridCol w:w="1785"/>
              <w:gridCol w:w="930"/>
              <w:gridCol w:w="575"/>
              <w:gridCol w:w="1185"/>
              <w:gridCol w:w="975"/>
              <w:gridCol w:w="1020"/>
              <w:gridCol w:w="1290"/>
              <w:gridCol w:w="911"/>
            </w:tblGrid>
            <w:tr w14:paraId="04B635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490" w:type="pct"/>
                  <w:vMerge w:val="restart"/>
                  <w:vAlign w:val="center"/>
                </w:tcPr>
                <w:p w14:paraId="4A702349">
                  <w:pPr>
                    <w:keepNext w:val="0"/>
                    <w:keepLines w:val="0"/>
                    <w:suppressLineNumbers w:val="0"/>
                    <w:spacing w:before="0" w:beforeAutospacing="0" w:after="0" w:afterAutospacing="0"/>
                    <w:ind w:left="0" w:right="0"/>
                    <w:jc w:val="center"/>
                    <w:rPr>
                      <w:rFonts w:hint="default" w:ascii="Times New Roman" w:hAnsi="Times New Roman" w:eastAsia="宋体" w:cs="Times New Roman"/>
                      <w:b/>
                      <w:bCs/>
                      <w:color w:val="auto"/>
                      <w:szCs w:val="21"/>
                    </w:rPr>
                  </w:pPr>
                  <w:r>
                    <w:rPr>
                      <w:rFonts w:hint="default" w:ascii="Times New Roman" w:hAnsi="Times New Roman" w:eastAsia="宋体" w:cs="Times New Roman"/>
                      <w:b/>
                      <w:bCs/>
                      <w:color w:val="auto"/>
                      <w:szCs w:val="21"/>
                    </w:rPr>
                    <w:t>排污口编号及名称</w:t>
                  </w:r>
                </w:p>
              </w:tc>
              <w:tc>
                <w:tcPr>
                  <w:tcW w:w="2263" w:type="pct"/>
                  <w:gridSpan w:val="6"/>
                  <w:vAlign w:val="center"/>
                </w:tcPr>
                <w:p w14:paraId="24A533AD">
                  <w:pPr>
                    <w:keepNext w:val="0"/>
                    <w:keepLines w:val="0"/>
                    <w:suppressLineNumbers w:val="0"/>
                    <w:spacing w:before="0" w:beforeAutospacing="0" w:after="0" w:afterAutospacing="0"/>
                    <w:ind w:left="0" w:right="0"/>
                    <w:jc w:val="center"/>
                    <w:rPr>
                      <w:rFonts w:hint="default" w:ascii="Times New Roman" w:hAnsi="Times New Roman" w:eastAsia="宋体" w:cs="Times New Roman"/>
                      <w:b/>
                      <w:bCs/>
                      <w:color w:val="auto"/>
                      <w:szCs w:val="21"/>
                    </w:rPr>
                  </w:pPr>
                  <w:r>
                    <w:rPr>
                      <w:rFonts w:hint="default" w:ascii="Times New Roman" w:hAnsi="Times New Roman" w:eastAsia="宋体" w:cs="Times New Roman"/>
                      <w:b/>
                      <w:bCs/>
                      <w:color w:val="auto"/>
                      <w:szCs w:val="21"/>
                    </w:rPr>
                    <w:t>排放口基本情况</w:t>
                  </w:r>
                </w:p>
              </w:tc>
              <w:tc>
                <w:tcPr>
                  <w:tcW w:w="1031" w:type="pct"/>
                  <w:gridSpan w:val="3"/>
                  <w:vAlign w:val="center"/>
                </w:tcPr>
                <w:p w14:paraId="52EB401C">
                  <w:pPr>
                    <w:keepNext w:val="0"/>
                    <w:keepLines w:val="0"/>
                    <w:suppressLineNumbers w:val="0"/>
                    <w:spacing w:before="0" w:beforeAutospacing="0" w:after="0" w:afterAutospacing="0"/>
                    <w:ind w:left="0" w:right="0"/>
                    <w:jc w:val="center"/>
                    <w:rPr>
                      <w:rFonts w:hint="default" w:ascii="Times New Roman" w:hAnsi="Times New Roman" w:eastAsia="宋体" w:cs="Times New Roman"/>
                      <w:b/>
                      <w:bCs/>
                      <w:color w:val="auto"/>
                      <w:szCs w:val="21"/>
                    </w:rPr>
                  </w:pPr>
                  <w:r>
                    <w:rPr>
                      <w:rFonts w:hint="default" w:ascii="Times New Roman" w:hAnsi="Times New Roman" w:eastAsia="宋体" w:cs="Times New Roman"/>
                      <w:b/>
                      <w:bCs/>
                      <w:color w:val="auto"/>
                      <w:szCs w:val="21"/>
                    </w:rPr>
                    <w:t>排放标准</w:t>
                  </w:r>
                </w:p>
              </w:tc>
              <w:tc>
                <w:tcPr>
                  <w:tcW w:w="1215" w:type="pct"/>
                  <w:gridSpan w:val="3"/>
                  <w:vAlign w:val="center"/>
                </w:tcPr>
                <w:p w14:paraId="260764E4">
                  <w:pPr>
                    <w:keepNext w:val="0"/>
                    <w:keepLines w:val="0"/>
                    <w:suppressLineNumbers w:val="0"/>
                    <w:spacing w:before="0" w:beforeAutospacing="0" w:after="0" w:afterAutospacing="0"/>
                    <w:ind w:left="0" w:right="0"/>
                    <w:jc w:val="center"/>
                    <w:rPr>
                      <w:rFonts w:hint="default" w:ascii="Times New Roman" w:hAnsi="Times New Roman" w:eastAsia="宋体" w:cs="Times New Roman"/>
                      <w:b/>
                      <w:bCs/>
                      <w:color w:val="auto"/>
                      <w:szCs w:val="21"/>
                    </w:rPr>
                  </w:pPr>
                  <w:r>
                    <w:rPr>
                      <w:rFonts w:hint="default" w:ascii="Times New Roman" w:hAnsi="Times New Roman" w:eastAsia="宋体" w:cs="Times New Roman"/>
                      <w:b/>
                      <w:bCs/>
                      <w:color w:val="auto"/>
                      <w:szCs w:val="21"/>
                    </w:rPr>
                    <w:t>监测要求</w:t>
                  </w:r>
                </w:p>
              </w:tc>
            </w:tr>
            <w:tr w14:paraId="27B0B1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490" w:type="pct"/>
                  <w:vMerge w:val="continue"/>
                  <w:vAlign w:val="center"/>
                </w:tcPr>
                <w:p w14:paraId="5D3BC5EE">
                  <w:pPr>
                    <w:keepNext w:val="0"/>
                    <w:keepLines w:val="0"/>
                    <w:suppressLineNumbers w:val="0"/>
                    <w:spacing w:before="0" w:beforeAutospacing="0" w:after="0" w:afterAutospacing="0"/>
                    <w:ind w:left="0" w:right="0"/>
                    <w:jc w:val="center"/>
                    <w:rPr>
                      <w:rFonts w:hint="default" w:ascii="Times New Roman" w:hAnsi="Times New Roman" w:eastAsia="宋体" w:cs="Times New Roman"/>
                      <w:b/>
                      <w:bCs/>
                      <w:color w:val="auto"/>
                      <w:szCs w:val="21"/>
                    </w:rPr>
                  </w:pPr>
                </w:p>
              </w:tc>
              <w:tc>
                <w:tcPr>
                  <w:tcW w:w="248" w:type="pct"/>
                  <w:vAlign w:val="center"/>
                </w:tcPr>
                <w:p w14:paraId="592512FA">
                  <w:pPr>
                    <w:keepNext w:val="0"/>
                    <w:keepLines w:val="0"/>
                    <w:suppressLineNumbers w:val="0"/>
                    <w:spacing w:before="0" w:beforeAutospacing="0" w:after="0" w:afterAutospacing="0"/>
                    <w:ind w:left="0" w:right="0"/>
                    <w:jc w:val="center"/>
                    <w:rPr>
                      <w:rFonts w:hint="default" w:ascii="Times New Roman" w:hAnsi="Times New Roman" w:eastAsia="宋体" w:cs="Times New Roman"/>
                      <w:b/>
                      <w:bCs/>
                      <w:color w:val="auto"/>
                      <w:szCs w:val="21"/>
                    </w:rPr>
                  </w:pPr>
                  <w:r>
                    <w:rPr>
                      <w:rFonts w:hint="default" w:ascii="Times New Roman" w:hAnsi="Times New Roman" w:eastAsia="宋体" w:cs="Times New Roman"/>
                      <w:b/>
                      <w:bCs/>
                      <w:color w:val="auto"/>
                      <w:szCs w:val="21"/>
                    </w:rPr>
                    <w:t>高度m</w:t>
                  </w:r>
                </w:p>
              </w:tc>
              <w:tc>
                <w:tcPr>
                  <w:tcW w:w="282" w:type="pct"/>
                  <w:vAlign w:val="center"/>
                </w:tcPr>
                <w:p w14:paraId="7E55E0A6">
                  <w:pPr>
                    <w:keepNext w:val="0"/>
                    <w:keepLines w:val="0"/>
                    <w:suppressLineNumbers w:val="0"/>
                    <w:spacing w:before="0" w:beforeAutospacing="0" w:after="0" w:afterAutospacing="0"/>
                    <w:ind w:left="0" w:right="0"/>
                    <w:jc w:val="center"/>
                    <w:rPr>
                      <w:rFonts w:hint="default" w:ascii="Times New Roman" w:hAnsi="Times New Roman" w:eastAsia="宋体" w:cs="Times New Roman"/>
                      <w:b/>
                      <w:bCs/>
                      <w:color w:val="auto"/>
                      <w:szCs w:val="21"/>
                    </w:rPr>
                  </w:pPr>
                  <w:r>
                    <w:rPr>
                      <w:rFonts w:hint="default" w:ascii="Times New Roman" w:hAnsi="Times New Roman" w:eastAsia="宋体" w:cs="Times New Roman"/>
                      <w:b/>
                      <w:bCs/>
                      <w:color w:val="auto"/>
                      <w:szCs w:val="21"/>
                    </w:rPr>
                    <w:t>内径m</w:t>
                  </w:r>
                </w:p>
              </w:tc>
              <w:tc>
                <w:tcPr>
                  <w:tcW w:w="339" w:type="pct"/>
                  <w:vAlign w:val="center"/>
                </w:tcPr>
                <w:p w14:paraId="0A324123">
                  <w:pPr>
                    <w:keepNext w:val="0"/>
                    <w:keepLines w:val="0"/>
                    <w:suppressLineNumbers w:val="0"/>
                    <w:spacing w:before="0" w:beforeAutospacing="0" w:after="0" w:afterAutospacing="0"/>
                    <w:ind w:left="0" w:right="0"/>
                    <w:jc w:val="center"/>
                    <w:rPr>
                      <w:rFonts w:hint="default" w:ascii="Times New Roman" w:hAnsi="Times New Roman" w:eastAsia="宋体" w:cs="Times New Roman"/>
                      <w:b/>
                      <w:bCs/>
                      <w:color w:val="auto"/>
                      <w:szCs w:val="21"/>
                    </w:rPr>
                  </w:pPr>
                  <w:r>
                    <w:rPr>
                      <w:rFonts w:hint="default" w:ascii="Times New Roman" w:hAnsi="Times New Roman" w:eastAsia="宋体" w:cs="Times New Roman"/>
                      <w:b/>
                      <w:bCs/>
                      <w:color w:val="auto"/>
                      <w:szCs w:val="21"/>
                      <w:lang w:val="en-US" w:eastAsia="zh-CN"/>
                    </w:rPr>
                    <w:t>烟气速率m/s</w:t>
                  </w:r>
                </w:p>
              </w:tc>
              <w:tc>
                <w:tcPr>
                  <w:tcW w:w="367" w:type="pct"/>
                  <w:vAlign w:val="center"/>
                </w:tcPr>
                <w:p w14:paraId="3F984CB8">
                  <w:pPr>
                    <w:keepNext w:val="0"/>
                    <w:keepLines w:val="0"/>
                    <w:suppressLineNumbers w:val="0"/>
                    <w:spacing w:before="0" w:beforeAutospacing="0" w:after="0" w:afterAutospacing="0"/>
                    <w:ind w:left="0" w:right="0"/>
                    <w:jc w:val="center"/>
                    <w:rPr>
                      <w:rFonts w:hint="default" w:ascii="Times New Roman" w:hAnsi="Times New Roman" w:eastAsia="宋体" w:cs="Times New Roman"/>
                      <w:b/>
                      <w:bCs/>
                      <w:color w:val="auto"/>
                      <w:szCs w:val="21"/>
                    </w:rPr>
                  </w:pPr>
                  <w:r>
                    <w:rPr>
                      <w:rFonts w:hint="default" w:ascii="Times New Roman" w:hAnsi="Times New Roman" w:eastAsia="宋体" w:cs="Times New Roman"/>
                      <w:b/>
                      <w:bCs/>
                      <w:color w:val="auto"/>
                      <w:szCs w:val="21"/>
                    </w:rPr>
                    <w:t>温度℃</w:t>
                  </w:r>
                </w:p>
              </w:tc>
              <w:tc>
                <w:tcPr>
                  <w:tcW w:w="673" w:type="pct"/>
                  <w:vAlign w:val="center"/>
                </w:tcPr>
                <w:p w14:paraId="50C417F8">
                  <w:pPr>
                    <w:keepNext w:val="0"/>
                    <w:keepLines w:val="0"/>
                    <w:suppressLineNumbers w:val="0"/>
                    <w:spacing w:before="0" w:beforeAutospacing="0" w:after="0" w:afterAutospacing="0"/>
                    <w:ind w:left="0" w:right="0"/>
                    <w:jc w:val="center"/>
                    <w:rPr>
                      <w:rFonts w:hint="default" w:ascii="Times New Roman" w:hAnsi="Times New Roman" w:eastAsia="宋体" w:cs="Times New Roman"/>
                      <w:b/>
                      <w:bCs/>
                      <w:color w:val="auto"/>
                      <w:szCs w:val="21"/>
                    </w:rPr>
                  </w:pPr>
                  <w:r>
                    <w:rPr>
                      <w:rFonts w:hint="default" w:ascii="Times New Roman" w:hAnsi="Times New Roman" w:eastAsia="宋体" w:cs="Times New Roman"/>
                      <w:b/>
                      <w:bCs/>
                      <w:color w:val="auto"/>
                      <w:szCs w:val="21"/>
                    </w:rPr>
                    <w:t>坐标</w:t>
                  </w:r>
                </w:p>
              </w:tc>
              <w:tc>
                <w:tcPr>
                  <w:tcW w:w="350" w:type="pct"/>
                  <w:vAlign w:val="center"/>
                </w:tcPr>
                <w:p w14:paraId="0DD858DE">
                  <w:pPr>
                    <w:keepNext w:val="0"/>
                    <w:keepLines w:val="0"/>
                    <w:suppressLineNumbers w:val="0"/>
                    <w:spacing w:before="0" w:beforeAutospacing="0" w:after="0" w:afterAutospacing="0"/>
                    <w:ind w:left="0" w:right="0"/>
                    <w:jc w:val="center"/>
                    <w:rPr>
                      <w:rFonts w:hint="default" w:ascii="Times New Roman" w:hAnsi="Times New Roman" w:eastAsia="宋体" w:cs="Times New Roman"/>
                      <w:b/>
                      <w:bCs/>
                      <w:color w:val="auto"/>
                      <w:szCs w:val="21"/>
                    </w:rPr>
                  </w:pPr>
                  <w:r>
                    <w:rPr>
                      <w:rFonts w:hint="default" w:ascii="Times New Roman" w:hAnsi="Times New Roman" w:eastAsia="宋体" w:cs="Times New Roman"/>
                      <w:b/>
                      <w:bCs/>
                      <w:color w:val="auto"/>
                      <w:szCs w:val="21"/>
                    </w:rPr>
                    <w:t>类型</w:t>
                  </w:r>
                </w:p>
              </w:tc>
              <w:tc>
                <w:tcPr>
                  <w:tcW w:w="663" w:type="pct"/>
                  <w:gridSpan w:val="2"/>
                  <w:vAlign w:val="center"/>
                </w:tcPr>
                <w:p w14:paraId="3FD5F2F9">
                  <w:pPr>
                    <w:keepNext w:val="0"/>
                    <w:keepLines w:val="0"/>
                    <w:suppressLineNumbers w:val="0"/>
                    <w:spacing w:before="0" w:beforeAutospacing="0" w:after="0" w:afterAutospacing="0"/>
                    <w:ind w:left="0" w:right="0"/>
                    <w:jc w:val="center"/>
                    <w:rPr>
                      <w:rFonts w:hint="default" w:ascii="Times New Roman" w:hAnsi="Times New Roman" w:eastAsia="宋体" w:cs="Times New Roman"/>
                      <w:b/>
                      <w:bCs/>
                      <w:color w:val="auto"/>
                      <w:szCs w:val="21"/>
                    </w:rPr>
                  </w:pPr>
                  <w:r>
                    <w:rPr>
                      <w:rFonts w:hint="default" w:ascii="Times New Roman" w:hAnsi="Times New Roman" w:eastAsia="宋体" w:cs="Times New Roman"/>
                      <w:b/>
                      <w:bCs/>
                      <w:color w:val="auto"/>
                      <w:szCs w:val="21"/>
                    </w:rPr>
                    <w:t>浓度限值mg/m</w:t>
                  </w:r>
                  <w:r>
                    <w:rPr>
                      <w:rFonts w:hint="default" w:ascii="Times New Roman" w:hAnsi="Times New Roman" w:eastAsia="宋体" w:cs="Times New Roman"/>
                      <w:b/>
                      <w:bCs/>
                      <w:color w:val="auto"/>
                      <w:szCs w:val="21"/>
                      <w:vertAlign w:val="superscript"/>
                    </w:rPr>
                    <w:t>3</w:t>
                  </w:r>
                </w:p>
              </w:tc>
              <w:tc>
                <w:tcPr>
                  <w:tcW w:w="367" w:type="pct"/>
                  <w:vAlign w:val="center"/>
                </w:tcPr>
                <w:p w14:paraId="0DD70863">
                  <w:pPr>
                    <w:keepNext w:val="0"/>
                    <w:keepLines w:val="0"/>
                    <w:suppressLineNumbers w:val="0"/>
                    <w:spacing w:before="0" w:beforeAutospacing="0" w:after="0" w:afterAutospacing="0"/>
                    <w:ind w:left="0" w:right="0"/>
                    <w:jc w:val="center"/>
                    <w:rPr>
                      <w:rFonts w:hint="default" w:ascii="Times New Roman" w:hAnsi="Times New Roman" w:eastAsia="宋体" w:cs="Times New Roman"/>
                      <w:b/>
                      <w:bCs/>
                      <w:color w:val="auto"/>
                      <w:szCs w:val="21"/>
                    </w:rPr>
                  </w:pPr>
                  <w:r>
                    <w:rPr>
                      <w:rFonts w:hint="default" w:ascii="Times New Roman" w:hAnsi="Times New Roman" w:eastAsia="宋体" w:cs="Times New Roman"/>
                      <w:b/>
                      <w:bCs/>
                      <w:color w:val="auto"/>
                      <w:szCs w:val="21"/>
                    </w:rPr>
                    <w:t>速率限值kg/h</w:t>
                  </w:r>
                </w:p>
              </w:tc>
              <w:tc>
                <w:tcPr>
                  <w:tcW w:w="384" w:type="pct"/>
                  <w:vAlign w:val="center"/>
                </w:tcPr>
                <w:p w14:paraId="0D696DD9">
                  <w:pPr>
                    <w:keepNext w:val="0"/>
                    <w:keepLines w:val="0"/>
                    <w:suppressLineNumbers w:val="0"/>
                    <w:spacing w:before="0" w:beforeAutospacing="0" w:after="0" w:afterAutospacing="0"/>
                    <w:ind w:left="0" w:right="0"/>
                    <w:jc w:val="center"/>
                    <w:rPr>
                      <w:rFonts w:hint="default" w:ascii="Times New Roman" w:hAnsi="Times New Roman" w:eastAsia="宋体" w:cs="Times New Roman"/>
                      <w:b/>
                      <w:bCs/>
                      <w:color w:val="auto"/>
                      <w:szCs w:val="21"/>
                    </w:rPr>
                  </w:pPr>
                  <w:r>
                    <w:rPr>
                      <w:rFonts w:hint="default" w:ascii="Times New Roman" w:hAnsi="Times New Roman" w:eastAsia="宋体" w:cs="Times New Roman"/>
                      <w:b/>
                      <w:bCs/>
                      <w:color w:val="auto"/>
                      <w:szCs w:val="21"/>
                    </w:rPr>
                    <w:t>监测点位</w:t>
                  </w:r>
                </w:p>
              </w:tc>
              <w:tc>
                <w:tcPr>
                  <w:tcW w:w="486" w:type="pct"/>
                  <w:vAlign w:val="center"/>
                </w:tcPr>
                <w:p w14:paraId="20A7D3EF">
                  <w:pPr>
                    <w:keepNext w:val="0"/>
                    <w:keepLines w:val="0"/>
                    <w:suppressLineNumbers w:val="0"/>
                    <w:spacing w:before="0" w:beforeAutospacing="0" w:after="0" w:afterAutospacing="0"/>
                    <w:ind w:left="0" w:right="0"/>
                    <w:jc w:val="center"/>
                    <w:rPr>
                      <w:rFonts w:hint="eastAsia" w:ascii="Times New Roman" w:hAnsi="Times New Roman" w:eastAsia="宋体" w:cs="Times New Roman"/>
                      <w:b/>
                      <w:bCs/>
                      <w:color w:val="auto"/>
                      <w:szCs w:val="21"/>
                      <w:lang w:val="en-US" w:eastAsia="zh-CN"/>
                    </w:rPr>
                  </w:pPr>
                  <w:r>
                    <w:rPr>
                      <w:rFonts w:hint="default" w:ascii="Times New Roman" w:hAnsi="Times New Roman" w:eastAsia="宋体" w:cs="Times New Roman"/>
                      <w:b/>
                      <w:bCs/>
                      <w:color w:val="auto"/>
                      <w:szCs w:val="21"/>
                    </w:rPr>
                    <w:t>监测因</w:t>
                  </w:r>
                  <w:r>
                    <w:rPr>
                      <w:rFonts w:hint="eastAsia" w:ascii="Times New Roman" w:hAnsi="Times New Roman" w:eastAsia="宋体" w:cs="Times New Roman"/>
                      <w:b/>
                      <w:bCs/>
                      <w:color w:val="FF0000"/>
                      <w:szCs w:val="21"/>
                      <w:lang w:val="en-US" w:eastAsia="zh-CN"/>
                    </w:rPr>
                    <w:t>子</w:t>
                  </w:r>
                </w:p>
              </w:tc>
              <w:tc>
                <w:tcPr>
                  <w:tcW w:w="343" w:type="pct"/>
                  <w:vAlign w:val="center"/>
                </w:tcPr>
                <w:p w14:paraId="617A30D8">
                  <w:pPr>
                    <w:keepNext w:val="0"/>
                    <w:keepLines w:val="0"/>
                    <w:suppressLineNumbers w:val="0"/>
                    <w:spacing w:before="0" w:beforeAutospacing="0" w:after="0" w:afterAutospacing="0"/>
                    <w:ind w:left="0" w:right="0"/>
                    <w:jc w:val="center"/>
                    <w:rPr>
                      <w:rFonts w:hint="default" w:ascii="Times New Roman" w:hAnsi="Times New Roman" w:eastAsia="宋体" w:cs="Times New Roman"/>
                      <w:b/>
                      <w:bCs/>
                      <w:color w:val="auto"/>
                      <w:szCs w:val="21"/>
                    </w:rPr>
                  </w:pPr>
                  <w:r>
                    <w:rPr>
                      <w:rFonts w:hint="default" w:ascii="Times New Roman" w:hAnsi="Times New Roman" w:eastAsia="宋体" w:cs="Times New Roman"/>
                      <w:b/>
                      <w:bCs/>
                      <w:color w:val="auto"/>
                      <w:szCs w:val="21"/>
                    </w:rPr>
                    <w:t>监测频次</w:t>
                  </w:r>
                </w:p>
              </w:tc>
            </w:tr>
            <w:tr w14:paraId="535BD2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490" w:type="pct"/>
                  <w:vMerge w:val="restart"/>
                  <w:vAlign w:val="center"/>
                </w:tcPr>
                <w:p w14:paraId="4086013D">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lang w:val="en-US" w:eastAsia="zh-CN"/>
                    </w:rPr>
                    <w:t>背胶废气、固化废气、辅料成型废气</w:t>
                  </w:r>
                  <w:r>
                    <w:rPr>
                      <w:rFonts w:hint="default" w:ascii="Times New Roman" w:hAnsi="Times New Roman" w:eastAsia="宋体" w:cs="Times New Roman"/>
                      <w:color w:val="auto"/>
                      <w:szCs w:val="21"/>
                    </w:rPr>
                    <w:t>排气筒排气筒DA001</w:t>
                  </w:r>
                </w:p>
              </w:tc>
              <w:tc>
                <w:tcPr>
                  <w:tcW w:w="248" w:type="pct"/>
                  <w:vMerge w:val="restart"/>
                  <w:vAlign w:val="center"/>
                </w:tcPr>
                <w:p w14:paraId="6FEA6B1B">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lang w:val="en-US" w:eastAsia="zh-CN"/>
                    </w:rPr>
                  </w:pPr>
                  <w:r>
                    <w:rPr>
                      <w:rFonts w:hint="eastAsia" w:ascii="Times New Roman" w:hAnsi="Times New Roman" w:eastAsia="宋体" w:cs="Times New Roman"/>
                      <w:color w:val="auto"/>
                      <w:szCs w:val="21"/>
                      <w:lang w:val="en-US" w:eastAsia="zh-CN"/>
                    </w:rPr>
                    <w:t>26</w:t>
                  </w:r>
                </w:p>
              </w:tc>
              <w:tc>
                <w:tcPr>
                  <w:tcW w:w="282" w:type="pct"/>
                  <w:vMerge w:val="restart"/>
                  <w:vAlign w:val="center"/>
                </w:tcPr>
                <w:p w14:paraId="0F1BE4DF">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lang w:val="en-US" w:eastAsia="zh-CN"/>
                    </w:rPr>
                  </w:pPr>
                  <w:r>
                    <w:rPr>
                      <w:rFonts w:hint="eastAsia" w:ascii="Times New Roman" w:hAnsi="Times New Roman" w:eastAsia="宋体" w:cs="Times New Roman"/>
                      <w:color w:val="auto"/>
                      <w:szCs w:val="21"/>
                      <w:lang w:val="en-US" w:eastAsia="zh-CN"/>
                    </w:rPr>
                    <w:t>0.98</w:t>
                  </w:r>
                </w:p>
              </w:tc>
              <w:tc>
                <w:tcPr>
                  <w:tcW w:w="339" w:type="pct"/>
                  <w:vMerge w:val="restart"/>
                  <w:vAlign w:val="center"/>
                </w:tcPr>
                <w:p w14:paraId="327CE4AB">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lang w:val="en-US" w:eastAsia="zh-CN"/>
                    </w:rPr>
                  </w:pPr>
                  <w:r>
                    <w:rPr>
                      <w:rFonts w:hint="eastAsia" w:ascii="Times New Roman" w:hAnsi="Times New Roman" w:eastAsia="宋体" w:cs="Times New Roman"/>
                      <w:color w:val="auto"/>
                      <w:szCs w:val="21"/>
                      <w:lang w:val="en-US" w:eastAsia="zh-CN"/>
                    </w:rPr>
                    <w:t>13.633</w:t>
                  </w:r>
                </w:p>
              </w:tc>
              <w:tc>
                <w:tcPr>
                  <w:tcW w:w="367" w:type="pct"/>
                  <w:vMerge w:val="restart"/>
                  <w:vAlign w:val="center"/>
                </w:tcPr>
                <w:p w14:paraId="3C27EE71">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rPr>
                    <w:t>常温</w:t>
                  </w:r>
                </w:p>
              </w:tc>
              <w:tc>
                <w:tcPr>
                  <w:tcW w:w="673" w:type="pct"/>
                  <w:vMerge w:val="restart"/>
                  <w:vAlign w:val="center"/>
                </w:tcPr>
                <w:p w14:paraId="28A0E3ED">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jc w:val="center"/>
                    <w:textAlignment w:val="auto"/>
                    <w:rPr>
                      <w:rFonts w:hint="default"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sz w:val="21"/>
                      <w:szCs w:val="21"/>
                      <w:lang w:val="en-US" w:eastAsia="zh-CN"/>
                    </w:rPr>
                    <w:t>E</w:t>
                  </w:r>
                  <w:r>
                    <w:rPr>
                      <w:rFonts w:hint="eastAsia" w:ascii="Times New Roman" w:hAnsi="Times New Roman" w:eastAsia="宋体" w:cs="Times New Roman"/>
                      <w:color w:val="auto"/>
                      <w:sz w:val="21"/>
                      <w:szCs w:val="21"/>
                      <w:lang w:val="en-US" w:eastAsia="zh-CN"/>
                    </w:rPr>
                    <w:t>119</w:t>
                  </w:r>
                  <w:r>
                    <w:rPr>
                      <w:rFonts w:hint="default" w:ascii="Times New Roman" w:hAnsi="Times New Roman" w:eastAsia="宋体" w:cs="Times New Roman"/>
                      <w:color w:val="auto"/>
                      <w:sz w:val="21"/>
                      <w:szCs w:val="21"/>
                      <w:lang w:val="en-US" w:eastAsia="zh-CN"/>
                    </w:rPr>
                    <w:t>°</w:t>
                  </w:r>
                  <w:r>
                    <w:rPr>
                      <w:rFonts w:hint="eastAsia" w:ascii="Times New Roman" w:hAnsi="Times New Roman" w:eastAsia="宋体" w:cs="Times New Roman"/>
                      <w:color w:val="auto"/>
                      <w:sz w:val="21"/>
                      <w:szCs w:val="21"/>
                      <w:lang w:val="en-US" w:eastAsia="zh-CN"/>
                    </w:rPr>
                    <w:t>39</w:t>
                  </w:r>
                  <w:r>
                    <w:rPr>
                      <w:rFonts w:hint="default" w:ascii="Times New Roman" w:hAnsi="Times New Roman" w:eastAsia="宋体" w:cs="Times New Roman"/>
                      <w:color w:val="auto"/>
                      <w:sz w:val="21"/>
                      <w:szCs w:val="21"/>
                      <w:lang w:val="en-US" w:eastAsia="zh-CN"/>
                    </w:rPr>
                    <w:t>'</w:t>
                  </w:r>
                  <w:r>
                    <w:rPr>
                      <w:rFonts w:hint="eastAsia" w:ascii="Times New Roman" w:hAnsi="Times New Roman" w:eastAsia="宋体" w:cs="Times New Roman"/>
                      <w:color w:val="auto"/>
                      <w:sz w:val="21"/>
                      <w:szCs w:val="21"/>
                      <w:lang w:val="en-US" w:eastAsia="zh-CN"/>
                    </w:rPr>
                    <w:t>02.760</w:t>
                  </w:r>
                  <w:r>
                    <w:rPr>
                      <w:rFonts w:hint="default" w:ascii="Times New Roman" w:hAnsi="Times New Roman" w:eastAsia="宋体" w:cs="Times New Roman"/>
                      <w:color w:val="auto"/>
                      <w:sz w:val="21"/>
                      <w:szCs w:val="21"/>
                      <w:lang w:val="en-US" w:eastAsia="zh-CN"/>
                    </w:rPr>
                    <w:t>"</w:t>
                  </w:r>
                </w:p>
                <w:p w14:paraId="18519C1D">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jc w:val="center"/>
                    <w:textAlignment w:val="auto"/>
                    <w:rPr>
                      <w:rFonts w:hint="default"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sz w:val="21"/>
                      <w:szCs w:val="21"/>
                      <w:lang w:val="en-US" w:eastAsia="zh-CN"/>
                    </w:rPr>
                    <w:t>N 30°</w:t>
                  </w:r>
                  <w:r>
                    <w:rPr>
                      <w:rFonts w:hint="eastAsia" w:ascii="Times New Roman" w:hAnsi="Times New Roman" w:eastAsia="宋体" w:cs="Times New Roman"/>
                      <w:color w:val="auto"/>
                      <w:sz w:val="21"/>
                      <w:szCs w:val="21"/>
                      <w:lang w:val="en-US" w:eastAsia="zh-CN"/>
                    </w:rPr>
                    <w:t>47</w:t>
                  </w:r>
                  <w:r>
                    <w:rPr>
                      <w:rFonts w:hint="default" w:ascii="Times New Roman" w:hAnsi="Times New Roman" w:eastAsia="宋体" w:cs="Times New Roman"/>
                      <w:color w:val="auto"/>
                      <w:sz w:val="21"/>
                      <w:szCs w:val="21"/>
                      <w:lang w:val="en-US" w:eastAsia="zh-CN"/>
                    </w:rPr>
                    <w:t>'</w:t>
                  </w:r>
                  <w:r>
                    <w:rPr>
                      <w:rFonts w:hint="eastAsia" w:ascii="Times New Roman" w:hAnsi="Times New Roman" w:eastAsia="宋体" w:cs="Times New Roman"/>
                      <w:color w:val="auto"/>
                      <w:sz w:val="21"/>
                      <w:szCs w:val="21"/>
                      <w:lang w:val="en-US" w:eastAsia="zh-CN"/>
                    </w:rPr>
                    <w:t>03.360</w:t>
                  </w:r>
                  <w:r>
                    <w:rPr>
                      <w:rFonts w:hint="default" w:ascii="Times New Roman" w:hAnsi="Times New Roman" w:eastAsia="宋体" w:cs="Times New Roman"/>
                      <w:color w:val="auto"/>
                      <w:sz w:val="21"/>
                      <w:szCs w:val="21"/>
                      <w:lang w:val="en-US" w:eastAsia="zh-CN"/>
                    </w:rPr>
                    <w:t>"</w:t>
                  </w:r>
                </w:p>
              </w:tc>
              <w:tc>
                <w:tcPr>
                  <w:tcW w:w="350" w:type="pct"/>
                  <w:vMerge w:val="restart"/>
                  <w:vAlign w:val="center"/>
                </w:tcPr>
                <w:p w14:paraId="3F54B518">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rPr>
                    <w:t>一般排放口</w:t>
                  </w:r>
                </w:p>
              </w:tc>
              <w:tc>
                <w:tcPr>
                  <w:tcW w:w="663" w:type="pct"/>
                  <w:gridSpan w:val="2"/>
                  <w:shd w:val="clear" w:color="auto" w:fill="auto"/>
                  <w:vAlign w:val="center"/>
                </w:tcPr>
                <w:p w14:paraId="2FB423D3">
                  <w:pPr>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color w:val="auto"/>
                      <w:kern w:val="2"/>
                      <w:sz w:val="21"/>
                      <w:szCs w:val="21"/>
                      <w:lang w:val="en-US" w:eastAsia="zh-CN" w:bidi="ar-SA"/>
                    </w:rPr>
                  </w:pPr>
                  <w:r>
                    <w:rPr>
                      <w:rFonts w:hint="default" w:ascii="Times New Roman" w:hAnsi="Times New Roman" w:eastAsia="宋体" w:cs="Times New Roman"/>
                      <w:color w:val="auto"/>
                      <w:szCs w:val="21"/>
                    </w:rPr>
                    <w:t>60</w:t>
                  </w:r>
                </w:p>
              </w:tc>
              <w:tc>
                <w:tcPr>
                  <w:tcW w:w="367" w:type="pct"/>
                  <w:shd w:val="clear" w:color="auto" w:fill="auto"/>
                  <w:vAlign w:val="center"/>
                </w:tcPr>
                <w:p w14:paraId="2CCF21C8">
                  <w:pPr>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color w:val="auto"/>
                      <w:kern w:val="2"/>
                      <w:sz w:val="21"/>
                      <w:szCs w:val="21"/>
                      <w:lang w:val="en-US" w:eastAsia="zh-CN" w:bidi="ar-SA"/>
                    </w:rPr>
                  </w:pPr>
                  <w:r>
                    <w:rPr>
                      <w:rFonts w:hint="default" w:ascii="Times New Roman" w:hAnsi="Times New Roman" w:eastAsia="宋体" w:cs="Times New Roman"/>
                      <w:color w:val="auto"/>
                      <w:szCs w:val="21"/>
                    </w:rPr>
                    <w:t>/</w:t>
                  </w:r>
                </w:p>
              </w:tc>
              <w:tc>
                <w:tcPr>
                  <w:tcW w:w="384" w:type="pct"/>
                  <w:vMerge w:val="restart"/>
                  <w:vAlign w:val="center"/>
                </w:tcPr>
                <w:p w14:paraId="214FBE1D">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rPr>
                    <w:t>排气筒出口</w:t>
                  </w:r>
                </w:p>
              </w:tc>
              <w:tc>
                <w:tcPr>
                  <w:tcW w:w="486" w:type="pct"/>
                  <w:vAlign w:val="center"/>
                </w:tcPr>
                <w:p w14:paraId="0B3D2AD1">
                  <w:pPr>
                    <w:keepNext w:val="0"/>
                    <w:keepLines w:val="0"/>
                    <w:suppressLineNumbers w:val="0"/>
                    <w:spacing w:before="0" w:beforeAutospacing="0" w:after="0" w:afterAutospacing="0"/>
                    <w:ind w:left="0" w:right="0"/>
                    <w:jc w:val="center"/>
                    <w:rPr>
                      <w:rFonts w:hint="eastAsia" w:ascii="Times New Roman" w:hAnsi="Times New Roman" w:eastAsia="宋体" w:cs="Times New Roman"/>
                      <w:color w:val="auto"/>
                      <w:szCs w:val="21"/>
                      <w:lang w:val="en-US" w:eastAsia="zh-CN"/>
                    </w:rPr>
                  </w:pPr>
                  <w:r>
                    <w:rPr>
                      <w:rFonts w:hint="eastAsia" w:ascii="Times New Roman" w:hAnsi="Times New Roman" w:eastAsia="宋体" w:cs="Times New Roman"/>
                      <w:color w:val="0000E1"/>
                      <w:szCs w:val="21"/>
                      <w:lang w:val="en-US" w:eastAsia="zh-CN"/>
                    </w:rPr>
                    <w:t>非甲烷总烃</w:t>
                  </w:r>
                </w:p>
              </w:tc>
              <w:tc>
                <w:tcPr>
                  <w:tcW w:w="343" w:type="pct"/>
                  <w:vMerge w:val="restart"/>
                  <w:vAlign w:val="center"/>
                </w:tcPr>
                <w:p w14:paraId="44A043F4">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rPr>
                    <w:t>1次/年</w:t>
                  </w:r>
                </w:p>
              </w:tc>
            </w:tr>
            <w:tr w14:paraId="7DB4CF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490" w:type="pct"/>
                  <w:vMerge w:val="continue"/>
                  <w:vAlign w:val="center"/>
                </w:tcPr>
                <w:p w14:paraId="62C5F6F6">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lang w:val="en-US" w:eastAsia="zh-CN"/>
                    </w:rPr>
                  </w:pPr>
                </w:p>
              </w:tc>
              <w:tc>
                <w:tcPr>
                  <w:tcW w:w="248" w:type="pct"/>
                  <w:vMerge w:val="continue"/>
                  <w:vAlign w:val="center"/>
                </w:tcPr>
                <w:p w14:paraId="003F6A39">
                  <w:pPr>
                    <w:keepNext w:val="0"/>
                    <w:keepLines w:val="0"/>
                    <w:suppressLineNumbers w:val="0"/>
                    <w:spacing w:before="0" w:beforeAutospacing="0" w:after="0" w:afterAutospacing="0"/>
                    <w:ind w:left="0" w:right="0"/>
                    <w:jc w:val="center"/>
                    <w:rPr>
                      <w:rFonts w:hint="eastAsia" w:ascii="Times New Roman" w:hAnsi="Times New Roman" w:eastAsia="宋体" w:cs="Times New Roman"/>
                      <w:color w:val="auto"/>
                      <w:szCs w:val="21"/>
                      <w:lang w:val="en-US" w:eastAsia="zh-CN"/>
                    </w:rPr>
                  </w:pPr>
                </w:p>
              </w:tc>
              <w:tc>
                <w:tcPr>
                  <w:tcW w:w="282" w:type="pct"/>
                  <w:vMerge w:val="continue"/>
                  <w:vAlign w:val="center"/>
                </w:tcPr>
                <w:p w14:paraId="52D499AC">
                  <w:pPr>
                    <w:keepNext w:val="0"/>
                    <w:keepLines w:val="0"/>
                    <w:suppressLineNumbers w:val="0"/>
                    <w:spacing w:before="0" w:beforeAutospacing="0" w:after="0" w:afterAutospacing="0"/>
                    <w:ind w:left="0" w:right="0"/>
                    <w:jc w:val="center"/>
                    <w:rPr>
                      <w:rFonts w:hint="eastAsia" w:ascii="Times New Roman" w:hAnsi="Times New Roman" w:eastAsia="宋体" w:cs="Times New Roman"/>
                      <w:color w:val="auto"/>
                      <w:szCs w:val="21"/>
                    </w:rPr>
                  </w:pPr>
                </w:p>
              </w:tc>
              <w:tc>
                <w:tcPr>
                  <w:tcW w:w="339" w:type="pct"/>
                  <w:vMerge w:val="continue"/>
                  <w:vAlign w:val="center"/>
                </w:tcPr>
                <w:p w14:paraId="70BBCA75">
                  <w:pPr>
                    <w:keepNext w:val="0"/>
                    <w:keepLines w:val="0"/>
                    <w:suppressLineNumbers w:val="0"/>
                    <w:spacing w:before="0" w:beforeAutospacing="0" w:after="0" w:afterAutospacing="0"/>
                    <w:ind w:left="0" w:right="0"/>
                    <w:jc w:val="center"/>
                    <w:rPr>
                      <w:rFonts w:hint="eastAsia" w:ascii="Times New Roman" w:hAnsi="Times New Roman" w:eastAsia="宋体" w:cs="Times New Roman"/>
                      <w:color w:val="auto"/>
                      <w:szCs w:val="21"/>
                    </w:rPr>
                  </w:pPr>
                </w:p>
              </w:tc>
              <w:tc>
                <w:tcPr>
                  <w:tcW w:w="367" w:type="pct"/>
                  <w:vMerge w:val="continue"/>
                  <w:vAlign w:val="center"/>
                </w:tcPr>
                <w:p w14:paraId="21996C08">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p>
              </w:tc>
              <w:tc>
                <w:tcPr>
                  <w:tcW w:w="673" w:type="pct"/>
                  <w:vMerge w:val="continue"/>
                  <w:vAlign w:val="center"/>
                </w:tcPr>
                <w:p w14:paraId="44EA5889">
                  <w:pPr>
                    <w:keepNext w:val="0"/>
                    <w:keepLines w:val="0"/>
                    <w:suppressLineNumbers w:val="0"/>
                    <w:spacing w:before="0" w:beforeAutospacing="0" w:after="0" w:afterAutospacing="0"/>
                    <w:ind w:left="0" w:right="0"/>
                    <w:jc w:val="center"/>
                    <w:rPr>
                      <w:rFonts w:hint="eastAsia" w:ascii="Times New Roman" w:hAnsi="Times New Roman" w:eastAsia="宋体" w:cs="Times New Roman"/>
                      <w:color w:val="auto"/>
                      <w:szCs w:val="21"/>
                    </w:rPr>
                  </w:pPr>
                </w:p>
              </w:tc>
              <w:tc>
                <w:tcPr>
                  <w:tcW w:w="350" w:type="pct"/>
                  <w:vMerge w:val="continue"/>
                  <w:vAlign w:val="center"/>
                </w:tcPr>
                <w:p w14:paraId="71D236F9">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p>
              </w:tc>
              <w:tc>
                <w:tcPr>
                  <w:tcW w:w="663" w:type="pct"/>
                  <w:gridSpan w:val="2"/>
                  <w:shd w:val="clear" w:color="auto" w:fill="auto"/>
                  <w:vAlign w:val="center"/>
                </w:tcPr>
                <w:p w14:paraId="676F549A">
                  <w:pPr>
                    <w:keepNext w:val="0"/>
                    <w:keepLines w:val="0"/>
                    <w:suppressLineNumbers w:val="0"/>
                    <w:spacing w:before="0" w:beforeAutospacing="0" w:after="0" w:afterAutospacing="0"/>
                    <w:ind w:left="0" w:leftChars="0" w:right="0" w:rightChars="0"/>
                    <w:jc w:val="center"/>
                    <w:rPr>
                      <w:rFonts w:hint="eastAsia" w:ascii="Times New Roman" w:hAnsi="Times New Roman" w:eastAsia="宋体" w:cs="Times New Roman"/>
                      <w:color w:val="auto"/>
                      <w:kern w:val="2"/>
                      <w:sz w:val="21"/>
                      <w:szCs w:val="21"/>
                      <w:lang w:val="en-US" w:eastAsia="zh-CN" w:bidi="ar-SA"/>
                    </w:rPr>
                  </w:pPr>
                  <w:r>
                    <w:rPr>
                      <w:rFonts w:hint="default" w:ascii="Times New Roman" w:hAnsi="Times New Roman" w:eastAsia="宋体" w:cs="Times New Roman"/>
                      <w:color w:val="auto"/>
                      <w:szCs w:val="21"/>
                    </w:rPr>
                    <w:t>1000（无量纲）</w:t>
                  </w:r>
                </w:p>
              </w:tc>
              <w:tc>
                <w:tcPr>
                  <w:tcW w:w="367" w:type="pct"/>
                  <w:shd w:val="clear" w:color="auto" w:fill="auto"/>
                  <w:vAlign w:val="center"/>
                </w:tcPr>
                <w:p w14:paraId="68E9E509">
                  <w:pPr>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color w:val="auto"/>
                      <w:kern w:val="2"/>
                      <w:sz w:val="21"/>
                      <w:szCs w:val="21"/>
                      <w:lang w:val="en-US" w:eastAsia="zh-CN" w:bidi="ar-SA"/>
                    </w:rPr>
                  </w:pPr>
                  <w:r>
                    <w:rPr>
                      <w:rFonts w:hint="eastAsia" w:ascii="Times New Roman" w:hAnsi="Times New Roman" w:eastAsia="宋体" w:cs="Times New Roman"/>
                      <w:color w:val="auto"/>
                      <w:kern w:val="2"/>
                      <w:sz w:val="21"/>
                      <w:szCs w:val="21"/>
                      <w:lang w:val="en-US" w:eastAsia="zh-CN" w:bidi="ar-SA"/>
                    </w:rPr>
                    <w:t>/</w:t>
                  </w:r>
                </w:p>
              </w:tc>
              <w:tc>
                <w:tcPr>
                  <w:tcW w:w="384" w:type="pct"/>
                  <w:vMerge w:val="continue"/>
                  <w:vAlign w:val="center"/>
                </w:tcPr>
                <w:p w14:paraId="6ABEDFE7">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p>
              </w:tc>
              <w:tc>
                <w:tcPr>
                  <w:tcW w:w="486" w:type="pct"/>
                  <w:vAlign w:val="center"/>
                </w:tcPr>
                <w:p w14:paraId="5AB5CF4C">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rPr>
                    <w:t>臭气浓度</w:t>
                  </w:r>
                </w:p>
              </w:tc>
              <w:tc>
                <w:tcPr>
                  <w:tcW w:w="343" w:type="pct"/>
                  <w:vMerge w:val="continue"/>
                  <w:vAlign w:val="center"/>
                </w:tcPr>
                <w:p w14:paraId="21A74DDB">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p>
              </w:tc>
            </w:tr>
            <w:tr w14:paraId="183DFB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490" w:type="pct"/>
                  <w:vAlign w:val="center"/>
                </w:tcPr>
                <w:p w14:paraId="0495A0C7">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rPr>
                    <w:t>拆包粉尘、投料粉尘</w:t>
                  </w:r>
                  <w:r>
                    <w:rPr>
                      <w:rFonts w:hint="default" w:ascii="Times New Roman" w:hAnsi="Times New Roman" w:eastAsia="宋体" w:cs="Times New Roman"/>
                      <w:color w:val="auto"/>
                      <w:szCs w:val="21"/>
                      <w:lang w:eastAsia="zh-CN"/>
                    </w:rPr>
                    <w:t>、</w:t>
                  </w:r>
                  <w:r>
                    <w:rPr>
                      <w:rFonts w:hint="default" w:ascii="Times New Roman" w:hAnsi="Times New Roman" w:eastAsia="宋体" w:cs="Times New Roman"/>
                      <w:color w:val="auto"/>
                      <w:szCs w:val="21"/>
                      <w:lang w:val="en-US" w:eastAsia="zh-CN"/>
                    </w:rPr>
                    <w:t>出料粉尘</w:t>
                  </w:r>
                  <w:r>
                    <w:rPr>
                      <w:rFonts w:hint="default" w:ascii="Times New Roman" w:hAnsi="Times New Roman" w:eastAsia="宋体" w:cs="Times New Roman"/>
                      <w:color w:val="auto"/>
                      <w:szCs w:val="21"/>
                    </w:rPr>
                    <w:t>排气筒DA002</w:t>
                  </w:r>
                </w:p>
              </w:tc>
              <w:tc>
                <w:tcPr>
                  <w:tcW w:w="248" w:type="pct"/>
                  <w:vAlign w:val="center"/>
                </w:tcPr>
                <w:p w14:paraId="7B45AF48">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lang w:val="en-US" w:eastAsia="zh-CN"/>
                    </w:rPr>
                  </w:pPr>
                  <w:r>
                    <w:rPr>
                      <w:rFonts w:hint="eastAsia" w:ascii="Times New Roman" w:hAnsi="Times New Roman" w:eastAsia="宋体" w:cs="Times New Roman"/>
                      <w:color w:val="auto"/>
                      <w:szCs w:val="21"/>
                      <w:lang w:val="en-US" w:eastAsia="zh-CN"/>
                    </w:rPr>
                    <w:t>26</w:t>
                  </w:r>
                </w:p>
              </w:tc>
              <w:tc>
                <w:tcPr>
                  <w:tcW w:w="282" w:type="pct"/>
                  <w:vAlign w:val="center"/>
                </w:tcPr>
                <w:p w14:paraId="3B6257D1">
                  <w:pPr>
                    <w:keepNext w:val="0"/>
                    <w:keepLines w:val="0"/>
                    <w:suppressLineNumbers w:val="0"/>
                    <w:spacing w:before="0" w:beforeAutospacing="0" w:after="0" w:afterAutospacing="0"/>
                    <w:ind w:left="0" w:right="0"/>
                    <w:jc w:val="center"/>
                    <w:rPr>
                      <w:rFonts w:hint="eastAsia" w:ascii="Times New Roman" w:hAnsi="Times New Roman" w:eastAsia="宋体" w:cs="Times New Roman"/>
                      <w:color w:val="auto"/>
                      <w:szCs w:val="21"/>
                      <w:highlight w:val="yellow"/>
                      <w:lang w:val="en-US" w:eastAsia="zh-CN"/>
                    </w:rPr>
                  </w:pPr>
                  <w:r>
                    <w:rPr>
                      <w:rFonts w:hint="eastAsia" w:ascii="Times New Roman" w:hAnsi="Times New Roman" w:eastAsia="宋体" w:cs="Times New Roman"/>
                      <w:color w:val="auto"/>
                      <w:szCs w:val="21"/>
                    </w:rPr>
                    <w:t>0.</w:t>
                  </w:r>
                  <w:r>
                    <w:rPr>
                      <w:rFonts w:hint="eastAsia" w:ascii="Times New Roman" w:hAnsi="Times New Roman" w:eastAsia="宋体" w:cs="Times New Roman"/>
                      <w:color w:val="auto"/>
                      <w:szCs w:val="21"/>
                      <w:lang w:val="en-US" w:eastAsia="zh-CN"/>
                    </w:rPr>
                    <w:t>9</w:t>
                  </w:r>
                </w:p>
              </w:tc>
              <w:tc>
                <w:tcPr>
                  <w:tcW w:w="339" w:type="pct"/>
                  <w:vAlign w:val="center"/>
                </w:tcPr>
                <w:p w14:paraId="5E22FF40">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lang w:val="en-US" w:eastAsia="zh-CN"/>
                    </w:rPr>
                  </w:pPr>
                  <w:r>
                    <w:rPr>
                      <w:rFonts w:hint="eastAsia" w:ascii="Times New Roman" w:hAnsi="Times New Roman" w:eastAsia="宋体" w:cs="Times New Roman"/>
                      <w:color w:val="auto"/>
                      <w:szCs w:val="21"/>
                      <w:lang w:val="en-US" w:eastAsia="zh-CN"/>
                    </w:rPr>
                    <w:t>13.543</w:t>
                  </w:r>
                </w:p>
              </w:tc>
              <w:tc>
                <w:tcPr>
                  <w:tcW w:w="367" w:type="pct"/>
                  <w:vAlign w:val="center"/>
                </w:tcPr>
                <w:p w14:paraId="46CFADBD">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rPr>
                    <w:t>常温</w:t>
                  </w:r>
                </w:p>
              </w:tc>
              <w:tc>
                <w:tcPr>
                  <w:tcW w:w="673" w:type="pct"/>
                  <w:vAlign w:val="center"/>
                </w:tcPr>
                <w:p w14:paraId="1EE2B5B5">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jc w:val="center"/>
                    <w:textAlignment w:val="auto"/>
                    <w:rPr>
                      <w:rFonts w:hint="default"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sz w:val="21"/>
                      <w:szCs w:val="21"/>
                      <w:lang w:val="en-US" w:eastAsia="zh-CN"/>
                    </w:rPr>
                    <w:t>E</w:t>
                  </w:r>
                  <w:r>
                    <w:rPr>
                      <w:rFonts w:hint="eastAsia" w:ascii="Times New Roman" w:hAnsi="Times New Roman" w:eastAsia="宋体" w:cs="Times New Roman"/>
                      <w:color w:val="auto"/>
                      <w:sz w:val="21"/>
                      <w:szCs w:val="21"/>
                      <w:lang w:val="en-US" w:eastAsia="zh-CN"/>
                    </w:rPr>
                    <w:t>119</w:t>
                  </w:r>
                  <w:r>
                    <w:rPr>
                      <w:rFonts w:hint="default" w:ascii="Times New Roman" w:hAnsi="Times New Roman" w:eastAsia="宋体" w:cs="Times New Roman"/>
                      <w:color w:val="auto"/>
                      <w:sz w:val="21"/>
                      <w:szCs w:val="21"/>
                      <w:lang w:val="en-US" w:eastAsia="zh-CN"/>
                    </w:rPr>
                    <w:t>°</w:t>
                  </w:r>
                  <w:r>
                    <w:rPr>
                      <w:rFonts w:hint="eastAsia" w:ascii="Times New Roman" w:hAnsi="Times New Roman" w:eastAsia="宋体" w:cs="Times New Roman"/>
                      <w:color w:val="auto"/>
                      <w:sz w:val="21"/>
                      <w:szCs w:val="21"/>
                      <w:lang w:val="en-US" w:eastAsia="zh-CN"/>
                    </w:rPr>
                    <w:t>38</w:t>
                  </w:r>
                  <w:r>
                    <w:rPr>
                      <w:rFonts w:hint="default" w:ascii="Times New Roman" w:hAnsi="Times New Roman" w:eastAsia="宋体" w:cs="Times New Roman"/>
                      <w:color w:val="auto"/>
                      <w:sz w:val="21"/>
                      <w:szCs w:val="21"/>
                      <w:lang w:val="en-US" w:eastAsia="zh-CN"/>
                    </w:rPr>
                    <w:t>'</w:t>
                  </w:r>
                  <w:r>
                    <w:rPr>
                      <w:rFonts w:hint="eastAsia" w:ascii="Times New Roman" w:hAnsi="Times New Roman" w:eastAsia="宋体" w:cs="Times New Roman"/>
                      <w:color w:val="auto"/>
                      <w:sz w:val="21"/>
                      <w:szCs w:val="21"/>
                      <w:lang w:val="en-US" w:eastAsia="zh-CN"/>
                    </w:rPr>
                    <w:t>57.787</w:t>
                  </w:r>
                  <w:r>
                    <w:rPr>
                      <w:rFonts w:hint="default" w:ascii="Times New Roman" w:hAnsi="Times New Roman" w:eastAsia="宋体" w:cs="Times New Roman"/>
                      <w:color w:val="auto"/>
                      <w:sz w:val="21"/>
                      <w:szCs w:val="21"/>
                      <w:lang w:val="en-US" w:eastAsia="zh-CN"/>
                    </w:rPr>
                    <w:t>"</w:t>
                  </w:r>
                </w:p>
                <w:p w14:paraId="15142949">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jc w:val="center"/>
                    <w:textAlignment w:val="auto"/>
                    <w:rPr>
                      <w:rFonts w:hint="default" w:ascii="Times New Roman" w:hAnsi="Times New Roman" w:eastAsia="宋体" w:cs="Times New Roman"/>
                      <w:color w:val="auto"/>
                      <w:szCs w:val="21"/>
                    </w:rPr>
                  </w:pPr>
                  <w:r>
                    <w:rPr>
                      <w:rFonts w:hint="default" w:ascii="Times New Roman" w:hAnsi="Times New Roman" w:eastAsia="宋体" w:cs="Times New Roman"/>
                      <w:color w:val="auto"/>
                      <w:sz w:val="21"/>
                      <w:szCs w:val="21"/>
                      <w:lang w:val="en-US" w:eastAsia="zh-CN"/>
                    </w:rPr>
                    <w:t>N 30°47'</w:t>
                  </w:r>
                  <w:r>
                    <w:rPr>
                      <w:rFonts w:hint="eastAsia" w:ascii="Times New Roman" w:hAnsi="Times New Roman" w:eastAsia="宋体" w:cs="Times New Roman"/>
                      <w:color w:val="auto"/>
                      <w:sz w:val="21"/>
                      <w:szCs w:val="21"/>
                      <w:lang w:val="en-US" w:eastAsia="zh-CN"/>
                    </w:rPr>
                    <w:t>01.321</w:t>
                  </w:r>
                  <w:r>
                    <w:rPr>
                      <w:rFonts w:hint="default" w:ascii="Times New Roman" w:hAnsi="Times New Roman" w:eastAsia="宋体" w:cs="Times New Roman"/>
                      <w:color w:val="auto"/>
                      <w:sz w:val="21"/>
                      <w:szCs w:val="21"/>
                      <w:lang w:val="en-US" w:eastAsia="zh-CN"/>
                    </w:rPr>
                    <w:t>"</w:t>
                  </w:r>
                </w:p>
              </w:tc>
              <w:tc>
                <w:tcPr>
                  <w:tcW w:w="350" w:type="pct"/>
                  <w:vAlign w:val="center"/>
                </w:tcPr>
                <w:p w14:paraId="418099B4">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rPr>
                    <w:t>一般排放口</w:t>
                  </w:r>
                </w:p>
              </w:tc>
              <w:tc>
                <w:tcPr>
                  <w:tcW w:w="663" w:type="pct"/>
                  <w:gridSpan w:val="2"/>
                  <w:vAlign w:val="center"/>
                </w:tcPr>
                <w:p w14:paraId="7D957377">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lang w:val="en-US" w:eastAsia="zh-CN"/>
                    </w:rPr>
                  </w:pPr>
                  <w:r>
                    <w:rPr>
                      <w:rFonts w:hint="eastAsia" w:ascii="Times New Roman" w:hAnsi="Times New Roman" w:eastAsia="宋体" w:cs="Times New Roman"/>
                      <w:color w:val="auto"/>
                      <w:szCs w:val="21"/>
                      <w:lang w:val="en-US" w:eastAsia="zh-CN"/>
                    </w:rPr>
                    <w:t>20</w:t>
                  </w:r>
                </w:p>
              </w:tc>
              <w:tc>
                <w:tcPr>
                  <w:tcW w:w="367" w:type="pct"/>
                  <w:vAlign w:val="center"/>
                </w:tcPr>
                <w:p w14:paraId="697B9DB4">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rPr>
                    <w:t>/</w:t>
                  </w:r>
                </w:p>
              </w:tc>
              <w:tc>
                <w:tcPr>
                  <w:tcW w:w="384" w:type="pct"/>
                  <w:vAlign w:val="center"/>
                </w:tcPr>
                <w:p w14:paraId="465DFDCC">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rPr>
                    <w:t>排气筒出口</w:t>
                  </w:r>
                </w:p>
              </w:tc>
              <w:tc>
                <w:tcPr>
                  <w:tcW w:w="486" w:type="pct"/>
                  <w:vAlign w:val="center"/>
                </w:tcPr>
                <w:p w14:paraId="1EDE5B2B">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rPr>
                    <w:t>颗粒物</w:t>
                  </w:r>
                </w:p>
              </w:tc>
              <w:tc>
                <w:tcPr>
                  <w:tcW w:w="343" w:type="pct"/>
                  <w:vAlign w:val="center"/>
                </w:tcPr>
                <w:p w14:paraId="535C5537">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rPr>
                    <w:t>1次/年</w:t>
                  </w:r>
                </w:p>
              </w:tc>
            </w:tr>
            <w:tr w14:paraId="0AE5C1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490" w:type="pct"/>
                  <w:vMerge w:val="restart"/>
                  <w:vAlign w:val="center"/>
                </w:tcPr>
                <w:p w14:paraId="3F909AA0">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rPr>
                    <w:t>厂界</w:t>
                  </w:r>
                </w:p>
              </w:tc>
              <w:tc>
                <w:tcPr>
                  <w:tcW w:w="2263" w:type="pct"/>
                  <w:gridSpan w:val="6"/>
                  <w:vMerge w:val="restart"/>
                  <w:vAlign w:val="center"/>
                </w:tcPr>
                <w:p w14:paraId="168C4CB7">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rPr>
                    <w:t>/</w:t>
                  </w:r>
                </w:p>
              </w:tc>
              <w:tc>
                <w:tcPr>
                  <w:tcW w:w="663" w:type="pct"/>
                  <w:gridSpan w:val="2"/>
                  <w:vAlign w:val="center"/>
                </w:tcPr>
                <w:p w14:paraId="7D143DF0">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rPr>
                    <w:t>1.0</w:t>
                  </w:r>
                </w:p>
              </w:tc>
              <w:tc>
                <w:tcPr>
                  <w:tcW w:w="367" w:type="pct"/>
                  <w:vAlign w:val="center"/>
                </w:tcPr>
                <w:p w14:paraId="0C990EB6">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rPr>
                    <w:t>/</w:t>
                  </w:r>
                </w:p>
              </w:tc>
              <w:tc>
                <w:tcPr>
                  <w:tcW w:w="384" w:type="pct"/>
                  <w:vMerge w:val="restart"/>
                  <w:vAlign w:val="center"/>
                </w:tcPr>
                <w:p w14:paraId="66D60C98">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rPr>
                    <w:t>厂界四周</w:t>
                  </w:r>
                </w:p>
              </w:tc>
              <w:tc>
                <w:tcPr>
                  <w:tcW w:w="486" w:type="pct"/>
                  <w:vAlign w:val="center"/>
                </w:tcPr>
                <w:p w14:paraId="3CAE1110">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rPr>
                    <w:t>颗粒物</w:t>
                  </w:r>
                </w:p>
              </w:tc>
              <w:tc>
                <w:tcPr>
                  <w:tcW w:w="343" w:type="pct"/>
                  <w:vMerge w:val="restart"/>
                  <w:vAlign w:val="center"/>
                </w:tcPr>
                <w:p w14:paraId="7CD17796">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rPr>
                    <w:t>1次/年</w:t>
                  </w:r>
                </w:p>
              </w:tc>
            </w:tr>
            <w:tr w14:paraId="43AB27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490" w:type="pct"/>
                  <w:vMerge w:val="continue"/>
                  <w:vAlign w:val="center"/>
                </w:tcPr>
                <w:p w14:paraId="2B3B8B09">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p>
              </w:tc>
              <w:tc>
                <w:tcPr>
                  <w:tcW w:w="2263" w:type="pct"/>
                  <w:gridSpan w:val="6"/>
                  <w:vMerge w:val="continue"/>
                  <w:vAlign w:val="center"/>
                </w:tcPr>
                <w:p w14:paraId="67355307">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p>
              </w:tc>
              <w:tc>
                <w:tcPr>
                  <w:tcW w:w="663" w:type="pct"/>
                  <w:gridSpan w:val="2"/>
                  <w:vAlign w:val="center"/>
                </w:tcPr>
                <w:p w14:paraId="222007EA">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rPr>
                    <w:t>4.0</w:t>
                  </w:r>
                </w:p>
              </w:tc>
              <w:tc>
                <w:tcPr>
                  <w:tcW w:w="367" w:type="pct"/>
                  <w:vAlign w:val="center"/>
                </w:tcPr>
                <w:p w14:paraId="41DC57F3">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rPr>
                    <w:t>/</w:t>
                  </w:r>
                </w:p>
              </w:tc>
              <w:tc>
                <w:tcPr>
                  <w:tcW w:w="384" w:type="pct"/>
                  <w:vMerge w:val="continue"/>
                  <w:vAlign w:val="center"/>
                </w:tcPr>
                <w:p w14:paraId="3D26EB1B">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p>
              </w:tc>
              <w:tc>
                <w:tcPr>
                  <w:tcW w:w="486" w:type="pct"/>
                  <w:vAlign w:val="center"/>
                </w:tcPr>
                <w:p w14:paraId="19163EE1">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rPr>
                    <w:t>非甲烷总烃</w:t>
                  </w:r>
                </w:p>
              </w:tc>
              <w:tc>
                <w:tcPr>
                  <w:tcW w:w="343" w:type="pct"/>
                  <w:vMerge w:val="continue"/>
                  <w:vAlign w:val="center"/>
                </w:tcPr>
                <w:p w14:paraId="05770FF0">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p>
              </w:tc>
            </w:tr>
            <w:tr w14:paraId="4345E9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490" w:type="pct"/>
                  <w:vMerge w:val="continue"/>
                  <w:vAlign w:val="center"/>
                </w:tcPr>
                <w:p w14:paraId="181C233B">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p>
              </w:tc>
              <w:tc>
                <w:tcPr>
                  <w:tcW w:w="2263" w:type="pct"/>
                  <w:gridSpan w:val="6"/>
                  <w:vMerge w:val="continue"/>
                  <w:vAlign w:val="center"/>
                </w:tcPr>
                <w:p w14:paraId="7403D42B">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p>
              </w:tc>
              <w:tc>
                <w:tcPr>
                  <w:tcW w:w="663" w:type="pct"/>
                  <w:gridSpan w:val="2"/>
                  <w:vAlign w:val="center"/>
                </w:tcPr>
                <w:p w14:paraId="79754AE3">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rPr>
                    <w:t>20（无量纲）</w:t>
                  </w:r>
                </w:p>
              </w:tc>
              <w:tc>
                <w:tcPr>
                  <w:tcW w:w="367" w:type="pct"/>
                  <w:vAlign w:val="center"/>
                </w:tcPr>
                <w:p w14:paraId="256FCC6E">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rPr>
                    <w:t>/</w:t>
                  </w:r>
                </w:p>
              </w:tc>
              <w:tc>
                <w:tcPr>
                  <w:tcW w:w="384" w:type="pct"/>
                  <w:vMerge w:val="continue"/>
                  <w:vAlign w:val="center"/>
                </w:tcPr>
                <w:p w14:paraId="736396A1">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p>
              </w:tc>
              <w:tc>
                <w:tcPr>
                  <w:tcW w:w="486" w:type="pct"/>
                  <w:vAlign w:val="center"/>
                </w:tcPr>
                <w:p w14:paraId="1D3C05F2">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rPr>
                    <w:t>臭气浓度</w:t>
                  </w:r>
                </w:p>
              </w:tc>
              <w:tc>
                <w:tcPr>
                  <w:tcW w:w="343" w:type="pct"/>
                  <w:vMerge w:val="continue"/>
                  <w:vAlign w:val="center"/>
                </w:tcPr>
                <w:p w14:paraId="22BCE264">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p>
              </w:tc>
            </w:tr>
            <w:tr w14:paraId="49E810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490" w:type="pct"/>
                  <w:vMerge w:val="restart"/>
                  <w:vAlign w:val="center"/>
                </w:tcPr>
                <w:p w14:paraId="6C0D3F72">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rPr>
                    <w:t>厂区内</w:t>
                  </w:r>
                </w:p>
              </w:tc>
              <w:tc>
                <w:tcPr>
                  <w:tcW w:w="2263" w:type="pct"/>
                  <w:gridSpan w:val="6"/>
                  <w:vMerge w:val="restart"/>
                  <w:vAlign w:val="center"/>
                </w:tcPr>
                <w:p w14:paraId="63DE9B9E">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rPr>
                    <w:t>/</w:t>
                  </w:r>
                </w:p>
              </w:tc>
              <w:tc>
                <w:tcPr>
                  <w:tcW w:w="216" w:type="pct"/>
                  <w:shd w:val="clear" w:color="auto" w:fill="auto"/>
                  <w:vAlign w:val="center"/>
                </w:tcPr>
                <w:p w14:paraId="0B981175">
                  <w:pPr>
                    <w:pStyle w:val="33"/>
                    <w:keepNext w:val="0"/>
                    <w:keepLines w:val="0"/>
                    <w:suppressLineNumbers w:val="0"/>
                    <w:adjustRightInd w:val="0"/>
                    <w:spacing w:before="0" w:beforeAutospacing="0" w:after="0" w:afterAutospacing="0" w:line="240" w:lineRule="auto"/>
                    <w:ind w:left="0" w:leftChars="0" w:right="0" w:rightChars="0"/>
                    <w:jc w:val="center"/>
                    <w:rPr>
                      <w:rFonts w:hint="default" w:ascii="Times New Roman" w:hAnsi="Times New Roman" w:eastAsia="宋体" w:cs="Times New Roman"/>
                      <w:color w:val="auto"/>
                      <w:spacing w:val="2"/>
                      <w:kern w:val="2"/>
                      <w:sz w:val="21"/>
                      <w:szCs w:val="21"/>
                      <w:highlight w:val="none"/>
                      <w:lang w:val="en-US" w:eastAsia="zh-CN" w:bidi="ar-SA"/>
                    </w:rPr>
                  </w:pPr>
                  <w:r>
                    <w:rPr>
                      <w:rFonts w:hint="default" w:ascii="Times New Roman" w:hAnsi="Times New Roman" w:eastAsia="宋体" w:cs="Times New Roman"/>
                      <w:color w:val="auto"/>
                      <w:spacing w:val="2"/>
                      <w:kern w:val="2"/>
                      <w:sz w:val="21"/>
                      <w:szCs w:val="21"/>
                      <w:highlight w:val="none"/>
                      <w:lang w:val="en-US" w:eastAsia="zh-CN" w:bidi="ar-SA"/>
                    </w:rPr>
                    <w:t>6</w:t>
                  </w:r>
                </w:p>
              </w:tc>
              <w:tc>
                <w:tcPr>
                  <w:tcW w:w="447" w:type="pct"/>
                  <w:shd w:val="clear" w:color="auto" w:fill="auto"/>
                  <w:vAlign w:val="center"/>
                </w:tcPr>
                <w:p w14:paraId="626A9992">
                  <w:pPr>
                    <w:pStyle w:val="33"/>
                    <w:keepNext w:val="0"/>
                    <w:keepLines w:val="0"/>
                    <w:suppressLineNumbers w:val="0"/>
                    <w:adjustRightInd w:val="0"/>
                    <w:spacing w:before="0" w:beforeAutospacing="0" w:after="0" w:afterAutospacing="0" w:line="240" w:lineRule="auto"/>
                    <w:ind w:left="0" w:leftChars="0" w:right="0" w:rightChars="0"/>
                    <w:jc w:val="center"/>
                    <w:rPr>
                      <w:rFonts w:hint="default" w:ascii="Times New Roman" w:hAnsi="Times New Roman" w:eastAsia="宋体" w:cs="Times New Roman"/>
                      <w:b w:val="0"/>
                      <w:bCs/>
                      <w:color w:val="auto"/>
                      <w:spacing w:val="2"/>
                      <w:kern w:val="2"/>
                      <w:sz w:val="21"/>
                      <w:szCs w:val="21"/>
                      <w:highlight w:val="none"/>
                      <w:lang w:val="en-US" w:eastAsia="zh-CN" w:bidi="ar-SA"/>
                    </w:rPr>
                  </w:pPr>
                  <w:r>
                    <w:rPr>
                      <w:rFonts w:hint="default" w:ascii="Times New Roman" w:hAnsi="Times New Roman" w:eastAsia="宋体" w:cs="Times New Roman"/>
                      <w:b w:val="0"/>
                      <w:bCs/>
                      <w:color w:val="auto"/>
                      <w:sz w:val="21"/>
                      <w:szCs w:val="21"/>
                      <w:highlight w:val="none"/>
                      <w:lang w:val="en-US" w:eastAsia="zh-CN"/>
                    </w:rPr>
                    <w:t>监控点处1h平均浓度值</w:t>
                  </w:r>
                </w:p>
              </w:tc>
              <w:tc>
                <w:tcPr>
                  <w:tcW w:w="367" w:type="pct"/>
                  <w:shd w:val="clear" w:color="auto" w:fill="auto"/>
                  <w:vAlign w:val="center"/>
                </w:tcPr>
                <w:p w14:paraId="63E279FD">
                  <w:pPr>
                    <w:pStyle w:val="33"/>
                    <w:keepNext w:val="0"/>
                    <w:keepLines w:val="0"/>
                    <w:suppressLineNumbers w:val="0"/>
                    <w:adjustRightInd w:val="0"/>
                    <w:spacing w:before="0" w:beforeAutospacing="0" w:after="0" w:afterAutospacing="0" w:line="240" w:lineRule="auto"/>
                    <w:ind w:left="0" w:leftChars="0" w:right="0" w:rightChars="0"/>
                    <w:jc w:val="center"/>
                    <w:rPr>
                      <w:rFonts w:hint="default" w:ascii="Times New Roman" w:hAnsi="Times New Roman" w:eastAsia="宋体" w:cs="Times New Roman"/>
                      <w:b w:val="0"/>
                      <w:bCs/>
                      <w:color w:val="auto"/>
                      <w:spacing w:val="2"/>
                      <w:kern w:val="2"/>
                      <w:sz w:val="21"/>
                      <w:szCs w:val="21"/>
                      <w:highlight w:val="none"/>
                      <w:lang w:val="en-US" w:eastAsia="zh-CN" w:bidi="ar-SA"/>
                    </w:rPr>
                  </w:pPr>
                  <w:r>
                    <w:rPr>
                      <w:rFonts w:hint="eastAsia" w:ascii="Times New Roman" w:hAnsi="Times New Roman" w:eastAsia="宋体" w:cs="Times New Roman"/>
                      <w:b w:val="0"/>
                      <w:bCs/>
                      <w:color w:val="auto"/>
                      <w:spacing w:val="2"/>
                      <w:kern w:val="2"/>
                      <w:sz w:val="21"/>
                      <w:szCs w:val="21"/>
                      <w:highlight w:val="none"/>
                      <w:lang w:val="en-US" w:eastAsia="zh-CN" w:bidi="ar-SA"/>
                    </w:rPr>
                    <w:t>/</w:t>
                  </w:r>
                </w:p>
              </w:tc>
              <w:tc>
                <w:tcPr>
                  <w:tcW w:w="384" w:type="pct"/>
                  <w:vMerge w:val="restart"/>
                  <w:vAlign w:val="center"/>
                </w:tcPr>
                <w:p w14:paraId="026EB981">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rPr>
                    <w:t>厂区内</w:t>
                  </w:r>
                </w:p>
              </w:tc>
              <w:tc>
                <w:tcPr>
                  <w:tcW w:w="486" w:type="pct"/>
                  <w:vMerge w:val="restart"/>
                  <w:vAlign w:val="center"/>
                </w:tcPr>
                <w:p w14:paraId="6CCF2E20">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rPr>
                    <w:t>非甲烷总烃</w:t>
                  </w:r>
                </w:p>
              </w:tc>
              <w:tc>
                <w:tcPr>
                  <w:tcW w:w="343" w:type="pct"/>
                  <w:vAlign w:val="center"/>
                </w:tcPr>
                <w:p w14:paraId="63297E88">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rPr>
                    <w:t>/</w:t>
                  </w:r>
                </w:p>
              </w:tc>
            </w:tr>
            <w:tr w14:paraId="112D4E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490" w:type="pct"/>
                  <w:vMerge w:val="continue"/>
                  <w:vAlign w:val="center"/>
                </w:tcPr>
                <w:p w14:paraId="086C1EF1">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p>
              </w:tc>
              <w:tc>
                <w:tcPr>
                  <w:tcW w:w="2263" w:type="pct"/>
                  <w:gridSpan w:val="6"/>
                  <w:vMerge w:val="continue"/>
                  <w:vAlign w:val="center"/>
                </w:tcPr>
                <w:p w14:paraId="7079F25B">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p>
              </w:tc>
              <w:tc>
                <w:tcPr>
                  <w:tcW w:w="216" w:type="pct"/>
                  <w:shd w:val="clear" w:color="auto" w:fill="auto"/>
                  <w:vAlign w:val="center"/>
                </w:tcPr>
                <w:p w14:paraId="6C7EA06E">
                  <w:pPr>
                    <w:pStyle w:val="33"/>
                    <w:keepNext w:val="0"/>
                    <w:keepLines w:val="0"/>
                    <w:suppressLineNumbers w:val="0"/>
                    <w:adjustRightInd w:val="0"/>
                    <w:spacing w:before="0" w:beforeAutospacing="0" w:after="0" w:afterAutospacing="0" w:line="240" w:lineRule="auto"/>
                    <w:ind w:left="0" w:leftChars="0" w:right="0" w:rightChars="0"/>
                    <w:jc w:val="center"/>
                    <w:rPr>
                      <w:rFonts w:hint="default" w:ascii="Times New Roman" w:hAnsi="Times New Roman" w:eastAsia="宋体" w:cs="Times New Roman"/>
                      <w:b w:val="0"/>
                      <w:bCs/>
                      <w:color w:val="auto"/>
                      <w:spacing w:val="2"/>
                      <w:kern w:val="2"/>
                      <w:sz w:val="21"/>
                      <w:szCs w:val="21"/>
                      <w:highlight w:val="none"/>
                      <w:lang w:val="en-US" w:eastAsia="zh-CN" w:bidi="ar-SA"/>
                    </w:rPr>
                  </w:pPr>
                  <w:r>
                    <w:rPr>
                      <w:rFonts w:hint="default" w:ascii="Times New Roman" w:hAnsi="Times New Roman" w:eastAsia="宋体" w:cs="Times New Roman"/>
                      <w:b w:val="0"/>
                      <w:bCs/>
                      <w:color w:val="auto"/>
                      <w:sz w:val="21"/>
                      <w:szCs w:val="21"/>
                      <w:highlight w:val="none"/>
                      <w:lang w:val="en-US" w:eastAsia="zh-CN"/>
                    </w:rPr>
                    <w:t>20</w:t>
                  </w:r>
                </w:p>
              </w:tc>
              <w:tc>
                <w:tcPr>
                  <w:tcW w:w="447" w:type="pct"/>
                  <w:shd w:val="clear" w:color="auto" w:fill="auto"/>
                  <w:vAlign w:val="center"/>
                </w:tcPr>
                <w:p w14:paraId="58912FD6">
                  <w:pPr>
                    <w:pStyle w:val="33"/>
                    <w:keepNext w:val="0"/>
                    <w:keepLines w:val="0"/>
                    <w:suppressLineNumbers w:val="0"/>
                    <w:adjustRightInd w:val="0"/>
                    <w:spacing w:before="0" w:beforeAutospacing="0" w:after="0" w:afterAutospacing="0" w:line="240" w:lineRule="auto"/>
                    <w:ind w:left="0" w:leftChars="0" w:right="0" w:rightChars="0"/>
                    <w:jc w:val="center"/>
                    <w:rPr>
                      <w:rFonts w:hint="default" w:ascii="Times New Roman" w:hAnsi="Times New Roman" w:eastAsia="宋体" w:cs="Times New Roman"/>
                      <w:b w:val="0"/>
                      <w:bCs/>
                      <w:color w:val="auto"/>
                      <w:spacing w:val="2"/>
                      <w:kern w:val="2"/>
                      <w:sz w:val="21"/>
                      <w:szCs w:val="21"/>
                      <w:highlight w:val="none"/>
                      <w:lang w:val="en-US" w:eastAsia="zh-CN" w:bidi="ar-SA"/>
                    </w:rPr>
                  </w:pPr>
                  <w:r>
                    <w:rPr>
                      <w:rFonts w:hint="default" w:ascii="Times New Roman" w:hAnsi="Times New Roman" w:eastAsia="宋体" w:cs="Times New Roman"/>
                      <w:b w:val="0"/>
                      <w:bCs/>
                      <w:color w:val="auto"/>
                      <w:sz w:val="21"/>
                      <w:szCs w:val="21"/>
                      <w:highlight w:val="none"/>
                      <w:lang w:val="en-US" w:eastAsia="zh-CN"/>
                    </w:rPr>
                    <w:t>监控点处任意一次浓度值</w:t>
                  </w:r>
                </w:p>
              </w:tc>
              <w:tc>
                <w:tcPr>
                  <w:tcW w:w="367" w:type="pct"/>
                  <w:shd w:val="clear" w:color="auto" w:fill="auto"/>
                  <w:vAlign w:val="center"/>
                </w:tcPr>
                <w:p w14:paraId="40D3D942">
                  <w:pPr>
                    <w:pStyle w:val="33"/>
                    <w:keepNext w:val="0"/>
                    <w:keepLines w:val="0"/>
                    <w:suppressLineNumbers w:val="0"/>
                    <w:adjustRightInd w:val="0"/>
                    <w:spacing w:before="0" w:beforeAutospacing="0" w:after="0" w:afterAutospacing="0" w:line="240" w:lineRule="auto"/>
                    <w:ind w:left="0" w:leftChars="0" w:right="0" w:rightChars="0"/>
                    <w:jc w:val="center"/>
                    <w:rPr>
                      <w:rFonts w:hint="default" w:ascii="Times New Roman" w:hAnsi="Times New Roman" w:eastAsia="宋体" w:cs="Times New Roman"/>
                      <w:b w:val="0"/>
                      <w:bCs/>
                      <w:color w:val="auto"/>
                      <w:spacing w:val="2"/>
                      <w:kern w:val="2"/>
                      <w:sz w:val="21"/>
                      <w:szCs w:val="21"/>
                      <w:highlight w:val="none"/>
                      <w:lang w:val="en-US" w:eastAsia="zh-CN" w:bidi="ar-SA"/>
                    </w:rPr>
                  </w:pPr>
                  <w:r>
                    <w:rPr>
                      <w:rFonts w:hint="eastAsia" w:ascii="Times New Roman" w:hAnsi="Times New Roman" w:eastAsia="宋体" w:cs="Times New Roman"/>
                      <w:b w:val="0"/>
                      <w:bCs/>
                      <w:color w:val="auto"/>
                      <w:spacing w:val="2"/>
                      <w:kern w:val="2"/>
                      <w:sz w:val="21"/>
                      <w:szCs w:val="21"/>
                      <w:highlight w:val="none"/>
                      <w:lang w:val="en-US" w:eastAsia="zh-CN" w:bidi="ar-SA"/>
                    </w:rPr>
                    <w:t>/</w:t>
                  </w:r>
                </w:p>
              </w:tc>
              <w:tc>
                <w:tcPr>
                  <w:tcW w:w="384" w:type="pct"/>
                  <w:vMerge w:val="continue"/>
                  <w:vAlign w:val="center"/>
                </w:tcPr>
                <w:p w14:paraId="5A313DDA">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p>
              </w:tc>
              <w:tc>
                <w:tcPr>
                  <w:tcW w:w="486" w:type="pct"/>
                  <w:vMerge w:val="continue"/>
                  <w:vAlign w:val="center"/>
                </w:tcPr>
                <w:p w14:paraId="47A2CAB3">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p>
              </w:tc>
              <w:tc>
                <w:tcPr>
                  <w:tcW w:w="343" w:type="pct"/>
                  <w:vAlign w:val="center"/>
                </w:tcPr>
                <w:p w14:paraId="5DC19ED9">
                  <w:pPr>
                    <w:keepNext w:val="0"/>
                    <w:keepLines w:val="0"/>
                    <w:suppressLineNumbers w:val="0"/>
                    <w:spacing w:before="0" w:beforeAutospacing="0" w:after="0" w:afterAutospacing="0"/>
                    <w:ind w:left="0" w:right="0"/>
                    <w:jc w:val="center"/>
                    <w:rPr>
                      <w:rFonts w:hint="eastAsia" w:ascii="Times New Roman" w:hAnsi="Times New Roman" w:eastAsia="宋体" w:cs="Times New Roman"/>
                      <w:color w:val="auto"/>
                      <w:szCs w:val="21"/>
                      <w:lang w:val="en-US" w:eastAsia="zh-CN"/>
                    </w:rPr>
                  </w:pPr>
                  <w:r>
                    <w:rPr>
                      <w:rFonts w:hint="eastAsia" w:ascii="Times New Roman" w:hAnsi="Times New Roman" w:eastAsia="宋体" w:cs="Times New Roman"/>
                      <w:color w:val="auto"/>
                      <w:szCs w:val="21"/>
                      <w:lang w:val="en-US" w:eastAsia="zh-CN"/>
                    </w:rPr>
                    <w:t>/</w:t>
                  </w:r>
                </w:p>
              </w:tc>
            </w:tr>
          </w:tbl>
          <w:p w14:paraId="66C9456F">
            <w:pPr>
              <w:keepNext w:val="0"/>
              <w:keepLines w:val="0"/>
              <w:suppressLineNumbers w:val="0"/>
              <w:spacing w:before="0" w:beforeAutospacing="0" w:after="0" w:afterAutospacing="0" w:line="360" w:lineRule="auto"/>
              <w:ind w:left="0" w:right="0"/>
              <w:rPr>
                <w:rFonts w:hint="default" w:ascii="Times New Roman" w:hAnsi="Times New Roman" w:eastAsia="宋体" w:cs="Times New Roman"/>
                <w:b/>
                <w:bCs/>
                <w:color w:val="auto"/>
                <w:sz w:val="24"/>
              </w:rPr>
            </w:pPr>
            <w:r>
              <w:rPr>
                <w:rFonts w:hint="default" w:ascii="Times New Roman" w:hAnsi="Times New Roman" w:eastAsia="宋体" w:cs="Times New Roman"/>
                <w:b/>
                <w:bCs/>
                <w:color w:val="auto"/>
                <w:sz w:val="24"/>
              </w:rPr>
              <w:t>4.2.1.4非正常工况</w:t>
            </w:r>
          </w:p>
          <w:p w14:paraId="52799840">
            <w:pPr>
              <w:keepNext w:val="0"/>
              <w:keepLines w:val="0"/>
              <w:suppressLineNumbers w:val="0"/>
              <w:spacing w:before="0" w:beforeAutospacing="0" w:after="0" w:afterAutospacing="0" w:line="360" w:lineRule="auto"/>
              <w:ind w:left="0" w:right="0" w:firstLine="480" w:firstLineChars="200"/>
              <w:rPr>
                <w:rFonts w:hint="default" w:ascii="Times New Roman" w:hAnsi="Times New Roman" w:eastAsia="宋体" w:cs="Times New Roman"/>
                <w:color w:val="auto"/>
                <w:sz w:val="24"/>
              </w:rPr>
            </w:pPr>
            <w:r>
              <w:rPr>
                <w:rFonts w:hint="eastAsia" w:ascii="Times New Roman" w:hAnsi="Times New Roman" w:eastAsia="宋体" w:cs="Times New Roman"/>
                <w:color w:val="auto"/>
                <w:sz w:val="24"/>
              </w:rPr>
              <w:t>非正常排放是指生产过程中开停车（工、炉）、设备检修、工艺设备运转异常等非正常工况下的污染物排放，以及污染物排放控制措施达不到应有效率等情况下的排放。项目废气非正常工况排放主要为废气处理设施故障时，废气治理效率下降，处理效率为0%的状态进行估算，但废气收集系统可以正常运行，废气通过排气筒排放等情况，废气处理设施出现故障不能正常运行时，应立即停产进行维修，避免对周围环境造成污染。废气非正常工况源强情况见下表。</w:t>
            </w:r>
          </w:p>
          <w:p w14:paraId="1DD2C2CB">
            <w:pPr>
              <w:keepNext w:val="0"/>
              <w:keepLines w:val="0"/>
              <w:suppressLineNumbers w:val="0"/>
              <w:spacing w:before="0" w:beforeAutospacing="0" w:after="0" w:afterAutospacing="0"/>
              <w:ind w:left="0" w:right="0"/>
              <w:jc w:val="center"/>
              <w:rPr>
                <w:rFonts w:hint="default" w:ascii="Times New Roman" w:hAnsi="Times New Roman" w:eastAsia="宋体" w:cs="Times New Roman"/>
                <w:b/>
                <w:bCs/>
                <w:color w:val="auto"/>
              </w:rPr>
            </w:pPr>
            <w:r>
              <w:rPr>
                <w:rFonts w:hint="eastAsia" w:ascii="Times New Roman" w:hAnsi="Times New Roman" w:eastAsia="宋体" w:cs="Times New Roman"/>
                <w:b/>
                <w:bCs/>
                <w:color w:val="auto"/>
              </w:rPr>
              <w:t>表4-</w:t>
            </w:r>
            <w:r>
              <w:rPr>
                <w:rFonts w:hint="eastAsia" w:ascii="Times New Roman" w:hAnsi="Times New Roman" w:eastAsia="宋体" w:cs="Times New Roman"/>
                <w:b/>
                <w:bCs/>
                <w:color w:val="auto"/>
                <w:lang w:val="en-US" w:eastAsia="zh-CN"/>
              </w:rPr>
              <w:t>7</w:t>
            </w:r>
            <w:r>
              <w:rPr>
                <w:rFonts w:hint="eastAsia" w:ascii="Times New Roman" w:hAnsi="Times New Roman" w:eastAsia="宋体" w:cs="Times New Roman"/>
                <w:b/>
                <w:bCs/>
                <w:color w:val="auto"/>
              </w:rPr>
              <w:t xml:space="preserve">  废气非正常工况排放量核算表</w:t>
            </w:r>
          </w:p>
          <w:tbl>
            <w:tblPr>
              <w:tblStyle w:val="22"/>
              <w:tblW w:w="4995"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417"/>
              <w:gridCol w:w="2429"/>
              <w:gridCol w:w="1243"/>
              <w:gridCol w:w="1346"/>
              <w:gridCol w:w="1553"/>
              <w:gridCol w:w="1598"/>
              <w:gridCol w:w="1540"/>
              <w:gridCol w:w="1256"/>
              <w:gridCol w:w="1862"/>
            </w:tblGrid>
            <w:tr w14:paraId="3ECB56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trHeight w:val="397" w:hRule="atLeast"/>
                <w:jc w:val="center"/>
              </w:trPr>
              <w:tc>
                <w:tcPr>
                  <w:tcW w:w="157" w:type="pct"/>
                  <w:vAlign w:val="center"/>
                </w:tcPr>
                <w:p w14:paraId="39879CAB">
                  <w:pPr>
                    <w:keepNext w:val="0"/>
                    <w:keepLines w:val="0"/>
                    <w:suppressLineNumbers w:val="0"/>
                    <w:spacing w:before="0" w:beforeAutospacing="0" w:after="0" w:afterAutospacing="0"/>
                    <w:ind w:left="0" w:right="0"/>
                    <w:jc w:val="center"/>
                    <w:rPr>
                      <w:rFonts w:hint="default" w:ascii="Times New Roman" w:hAnsi="Times New Roman" w:eastAsia="宋体" w:cs="Times New Roman"/>
                      <w:b/>
                      <w:bCs/>
                      <w:color w:val="auto"/>
                      <w:szCs w:val="21"/>
                    </w:rPr>
                  </w:pPr>
                  <w:r>
                    <w:rPr>
                      <w:rFonts w:hint="default" w:ascii="Times New Roman" w:hAnsi="Times New Roman" w:eastAsia="宋体" w:cs="Times New Roman"/>
                      <w:b/>
                      <w:bCs/>
                      <w:color w:val="auto"/>
                      <w:szCs w:val="21"/>
                    </w:rPr>
                    <w:t>序号</w:t>
                  </w:r>
                </w:p>
              </w:tc>
              <w:tc>
                <w:tcPr>
                  <w:tcW w:w="917" w:type="pct"/>
                  <w:vAlign w:val="center"/>
                </w:tcPr>
                <w:p w14:paraId="22922B6F">
                  <w:pPr>
                    <w:keepNext w:val="0"/>
                    <w:keepLines w:val="0"/>
                    <w:suppressLineNumbers w:val="0"/>
                    <w:spacing w:before="0" w:beforeAutospacing="0" w:after="0" w:afterAutospacing="0"/>
                    <w:ind w:left="0" w:right="0"/>
                    <w:jc w:val="center"/>
                    <w:rPr>
                      <w:rFonts w:hint="default" w:ascii="Times New Roman" w:hAnsi="Times New Roman" w:eastAsia="宋体" w:cs="Times New Roman"/>
                      <w:b/>
                      <w:bCs/>
                      <w:color w:val="auto"/>
                      <w:szCs w:val="21"/>
                    </w:rPr>
                  </w:pPr>
                  <w:r>
                    <w:rPr>
                      <w:rFonts w:hint="default" w:ascii="Times New Roman" w:hAnsi="Times New Roman" w:eastAsia="宋体" w:cs="Times New Roman"/>
                      <w:b/>
                      <w:bCs/>
                      <w:color w:val="auto"/>
                      <w:szCs w:val="21"/>
                    </w:rPr>
                    <w:t>污染源</w:t>
                  </w:r>
                </w:p>
              </w:tc>
              <w:tc>
                <w:tcPr>
                  <w:tcW w:w="469" w:type="pct"/>
                  <w:vAlign w:val="center"/>
                </w:tcPr>
                <w:p w14:paraId="5C98F699">
                  <w:pPr>
                    <w:keepNext w:val="0"/>
                    <w:keepLines w:val="0"/>
                    <w:suppressLineNumbers w:val="0"/>
                    <w:spacing w:before="0" w:beforeAutospacing="0" w:after="0" w:afterAutospacing="0"/>
                    <w:ind w:left="0" w:right="0"/>
                    <w:jc w:val="center"/>
                    <w:rPr>
                      <w:rFonts w:hint="default" w:ascii="Times New Roman" w:hAnsi="Times New Roman" w:eastAsia="宋体" w:cs="Times New Roman"/>
                      <w:b/>
                      <w:bCs/>
                      <w:color w:val="auto"/>
                      <w:szCs w:val="21"/>
                    </w:rPr>
                  </w:pPr>
                  <w:r>
                    <w:rPr>
                      <w:rFonts w:hint="default" w:ascii="Times New Roman" w:hAnsi="Times New Roman" w:eastAsia="宋体" w:cs="Times New Roman"/>
                      <w:b/>
                      <w:bCs/>
                      <w:color w:val="auto"/>
                      <w:szCs w:val="21"/>
                    </w:rPr>
                    <w:t>非正常排放原因</w:t>
                  </w:r>
                </w:p>
              </w:tc>
              <w:tc>
                <w:tcPr>
                  <w:tcW w:w="508" w:type="pct"/>
                  <w:vAlign w:val="center"/>
                </w:tcPr>
                <w:p w14:paraId="73392B0A">
                  <w:pPr>
                    <w:keepNext w:val="0"/>
                    <w:keepLines w:val="0"/>
                    <w:suppressLineNumbers w:val="0"/>
                    <w:spacing w:before="0" w:beforeAutospacing="0" w:after="0" w:afterAutospacing="0"/>
                    <w:ind w:left="0" w:right="0"/>
                    <w:jc w:val="center"/>
                    <w:rPr>
                      <w:rFonts w:hint="default" w:ascii="Times New Roman" w:hAnsi="Times New Roman" w:eastAsia="宋体" w:cs="Times New Roman"/>
                      <w:b/>
                      <w:bCs/>
                      <w:color w:val="auto"/>
                      <w:szCs w:val="21"/>
                    </w:rPr>
                  </w:pPr>
                  <w:r>
                    <w:rPr>
                      <w:rFonts w:hint="default" w:ascii="Times New Roman" w:hAnsi="Times New Roman" w:eastAsia="宋体" w:cs="Times New Roman"/>
                      <w:b/>
                      <w:bCs/>
                      <w:color w:val="auto"/>
                      <w:szCs w:val="21"/>
                    </w:rPr>
                    <w:t>污染物</w:t>
                  </w:r>
                </w:p>
              </w:tc>
              <w:tc>
                <w:tcPr>
                  <w:tcW w:w="586" w:type="pct"/>
                  <w:vAlign w:val="center"/>
                </w:tcPr>
                <w:p w14:paraId="73350834">
                  <w:pPr>
                    <w:keepNext w:val="0"/>
                    <w:keepLines w:val="0"/>
                    <w:suppressLineNumbers w:val="0"/>
                    <w:spacing w:before="0" w:beforeAutospacing="0" w:after="0" w:afterAutospacing="0"/>
                    <w:ind w:left="0" w:right="0"/>
                    <w:jc w:val="center"/>
                    <w:rPr>
                      <w:rFonts w:hint="default" w:ascii="Times New Roman" w:hAnsi="Times New Roman" w:eastAsia="宋体" w:cs="Times New Roman"/>
                      <w:b/>
                      <w:bCs/>
                      <w:color w:val="auto"/>
                      <w:szCs w:val="21"/>
                      <w:highlight w:val="none"/>
                    </w:rPr>
                  </w:pPr>
                  <w:r>
                    <w:rPr>
                      <w:rFonts w:hint="default" w:ascii="Times New Roman" w:hAnsi="Times New Roman" w:eastAsia="宋体" w:cs="Times New Roman"/>
                      <w:b/>
                      <w:bCs/>
                      <w:color w:val="auto"/>
                      <w:szCs w:val="21"/>
                      <w:highlight w:val="none"/>
                    </w:rPr>
                    <w:t>非正常排放浓度（mg/m</w:t>
                  </w:r>
                  <w:r>
                    <w:rPr>
                      <w:rFonts w:hint="default" w:ascii="Times New Roman" w:hAnsi="Times New Roman" w:eastAsia="宋体" w:cs="Times New Roman"/>
                      <w:b/>
                      <w:bCs/>
                      <w:color w:val="auto"/>
                      <w:szCs w:val="21"/>
                      <w:highlight w:val="none"/>
                      <w:vertAlign w:val="superscript"/>
                    </w:rPr>
                    <w:t>3</w:t>
                  </w:r>
                  <w:r>
                    <w:rPr>
                      <w:rFonts w:hint="default" w:ascii="Times New Roman" w:hAnsi="Times New Roman" w:eastAsia="宋体" w:cs="Times New Roman"/>
                      <w:b/>
                      <w:bCs/>
                      <w:color w:val="auto"/>
                      <w:szCs w:val="21"/>
                      <w:highlight w:val="none"/>
                    </w:rPr>
                    <w:t>）</w:t>
                  </w:r>
                </w:p>
              </w:tc>
              <w:tc>
                <w:tcPr>
                  <w:tcW w:w="603" w:type="pct"/>
                  <w:vAlign w:val="center"/>
                </w:tcPr>
                <w:p w14:paraId="5488B08B">
                  <w:pPr>
                    <w:keepNext w:val="0"/>
                    <w:keepLines w:val="0"/>
                    <w:suppressLineNumbers w:val="0"/>
                    <w:spacing w:before="0" w:beforeAutospacing="0" w:after="0" w:afterAutospacing="0"/>
                    <w:ind w:left="0" w:right="0"/>
                    <w:jc w:val="center"/>
                    <w:rPr>
                      <w:rFonts w:hint="default" w:ascii="Times New Roman" w:hAnsi="Times New Roman" w:eastAsia="宋体" w:cs="Times New Roman"/>
                      <w:b/>
                      <w:bCs/>
                      <w:color w:val="auto"/>
                      <w:szCs w:val="21"/>
                      <w:highlight w:val="none"/>
                    </w:rPr>
                  </w:pPr>
                  <w:r>
                    <w:rPr>
                      <w:rFonts w:hint="default" w:ascii="Times New Roman" w:hAnsi="Times New Roman" w:eastAsia="宋体" w:cs="Times New Roman"/>
                      <w:b/>
                      <w:bCs/>
                      <w:color w:val="auto"/>
                      <w:szCs w:val="21"/>
                      <w:highlight w:val="none"/>
                    </w:rPr>
                    <w:t>非正常排放速率（kg/h）</w:t>
                  </w:r>
                </w:p>
              </w:tc>
              <w:tc>
                <w:tcPr>
                  <w:tcW w:w="581" w:type="pct"/>
                  <w:vAlign w:val="center"/>
                </w:tcPr>
                <w:p w14:paraId="1AE9B5DD">
                  <w:pPr>
                    <w:keepNext w:val="0"/>
                    <w:keepLines w:val="0"/>
                    <w:suppressLineNumbers w:val="0"/>
                    <w:spacing w:before="0" w:beforeAutospacing="0" w:after="0" w:afterAutospacing="0"/>
                    <w:ind w:left="0" w:right="0"/>
                    <w:jc w:val="center"/>
                    <w:rPr>
                      <w:rFonts w:hint="default" w:ascii="Times New Roman" w:hAnsi="Times New Roman" w:eastAsia="宋体" w:cs="Times New Roman"/>
                      <w:b/>
                      <w:bCs/>
                      <w:color w:val="auto"/>
                      <w:szCs w:val="21"/>
                    </w:rPr>
                  </w:pPr>
                  <w:r>
                    <w:rPr>
                      <w:rFonts w:hint="default" w:ascii="Times New Roman" w:hAnsi="Times New Roman" w:eastAsia="宋体" w:cs="Times New Roman"/>
                      <w:b/>
                      <w:bCs/>
                      <w:color w:val="auto"/>
                      <w:szCs w:val="21"/>
                    </w:rPr>
                    <w:t>单次持续时间</w:t>
                  </w:r>
                </w:p>
                <w:p w14:paraId="12F2B24F">
                  <w:pPr>
                    <w:keepNext w:val="0"/>
                    <w:keepLines w:val="0"/>
                    <w:suppressLineNumbers w:val="0"/>
                    <w:spacing w:before="0" w:beforeAutospacing="0" w:after="0" w:afterAutospacing="0"/>
                    <w:ind w:left="0" w:right="0"/>
                    <w:jc w:val="center"/>
                    <w:rPr>
                      <w:rFonts w:hint="default" w:ascii="Times New Roman" w:hAnsi="Times New Roman" w:eastAsia="宋体" w:cs="Times New Roman"/>
                      <w:b/>
                      <w:bCs/>
                      <w:color w:val="auto"/>
                      <w:szCs w:val="21"/>
                    </w:rPr>
                  </w:pPr>
                  <w:r>
                    <w:rPr>
                      <w:rFonts w:hint="default" w:ascii="Times New Roman" w:hAnsi="Times New Roman" w:eastAsia="宋体" w:cs="Times New Roman"/>
                      <w:b/>
                      <w:bCs/>
                      <w:color w:val="auto"/>
                      <w:szCs w:val="21"/>
                    </w:rPr>
                    <w:t>（h）</w:t>
                  </w:r>
                </w:p>
              </w:tc>
              <w:tc>
                <w:tcPr>
                  <w:tcW w:w="474" w:type="pct"/>
                  <w:vAlign w:val="center"/>
                </w:tcPr>
                <w:p w14:paraId="03AF3E12">
                  <w:pPr>
                    <w:keepNext w:val="0"/>
                    <w:keepLines w:val="0"/>
                    <w:suppressLineNumbers w:val="0"/>
                    <w:spacing w:before="0" w:beforeAutospacing="0" w:after="0" w:afterAutospacing="0"/>
                    <w:ind w:left="0" w:right="0"/>
                    <w:jc w:val="center"/>
                    <w:rPr>
                      <w:rFonts w:hint="default" w:ascii="Times New Roman" w:hAnsi="Times New Roman" w:eastAsia="宋体" w:cs="Times New Roman"/>
                      <w:b/>
                      <w:bCs/>
                      <w:color w:val="auto"/>
                      <w:szCs w:val="21"/>
                    </w:rPr>
                  </w:pPr>
                  <w:r>
                    <w:rPr>
                      <w:rFonts w:hint="default" w:ascii="Times New Roman" w:hAnsi="Times New Roman" w:eastAsia="宋体" w:cs="Times New Roman"/>
                      <w:b/>
                      <w:bCs/>
                      <w:color w:val="auto"/>
                      <w:szCs w:val="21"/>
                    </w:rPr>
                    <w:t>年发生频次（次）</w:t>
                  </w:r>
                </w:p>
              </w:tc>
              <w:tc>
                <w:tcPr>
                  <w:tcW w:w="702" w:type="pct"/>
                  <w:vAlign w:val="center"/>
                </w:tcPr>
                <w:p w14:paraId="74ECE2F2">
                  <w:pPr>
                    <w:keepNext w:val="0"/>
                    <w:keepLines w:val="0"/>
                    <w:suppressLineNumbers w:val="0"/>
                    <w:spacing w:before="0" w:beforeAutospacing="0" w:after="0" w:afterAutospacing="0"/>
                    <w:ind w:left="0" w:right="0"/>
                    <w:jc w:val="center"/>
                    <w:rPr>
                      <w:rFonts w:hint="default" w:ascii="Times New Roman" w:hAnsi="Times New Roman" w:eastAsia="宋体" w:cs="Times New Roman"/>
                      <w:b/>
                      <w:bCs/>
                      <w:color w:val="auto"/>
                      <w:szCs w:val="21"/>
                    </w:rPr>
                  </w:pPr>
                  <w:r>
                    <w:rPr>
                      <w:rFonts w:hint="default" w:ascii="Times New Roman" w:hAnsi="Times New Roman" w:eastAsia="宋体" w:cs="Times New Roman"/>
                      <w:b/>
                      <w:bCs/>
                      <w:color w:val="auto"/>
                      <w:szCs w:val="21"/>
                    </w:rPr>
                    <w:t>应对措施</w:t>
                  </w:r>
                </w:p>
              </w:tc>
            </w:tr>
            <w:tr w14:paraId="21D991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trHeight w:val="487" w:hRule="atLeast"/>
                <w:jc w:val="center"/>
              </w:trPr>
              <w:tc>
                <w:tcPr>
                  <w:tcW w:w="157" w:type="pct"/>
                  <w:vAlign w:val="center"/>
                </w:tcPr>
                <w:p w14:paraId="19CCC352">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rPr>
                    <w:t>1</w:t>
                  </w:r>
                </w:p>
              </w:tc>
              <w:tc>
                <w:tcPr>
                  <w:tcW w:w="917" w:type="pct"/>
                  <w:vMerge w:val="restart"/>
                  <w:vAlign w:val="center"/>
                </w:tcPr>
                <w:p w14:paraId="5F6DEF03">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lang w:val="en-US" w:eastAsia="zh-CN"/>
                    </w:rPr>
                    <w:t>背胶废气、固化废气、辅料成型废气</w:t>
                  </w:r>
                  <w:r>
                    <w:rPr>
                      <w:rFonts w:hint="default" w:ascii="Times New Roman" w:hAnsi="Times New Roman" w:eastAsia="宋体" w:cs="Times New Roman"/>
                      <w:color w:val="auto"/>
                      <w:szCs w:val="21"/>
                    </w:rPr>
                    <w:t>排气筒DA001</w:t>
                  </w:r>
                </w:p>
              </w:tc>
              <w:tc>
                <w:tcPr>
                  <w:tcW w:w="469" w:type="pct"/>
                  <w:vMerge w:val="restart"/>
                  <w:vAlign w:val="center"/>
                </w:tcPr>
                <w:p w14:paraId="17773835">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rPr>
                    <w:t>废气处理设施故障，处理效率为0%</w:t>
                  </w:r>
                </w:p>
              </w:tc>
              <w:tc>
                <w:tcPr>
                  <w:tcW w:w="508" w:type="pct"/>
                  <w:vAlign w:val="center"/>
                </w:tcPr>
                <w:p w14:paraId="53B4153B">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rPr>
                    <w:t>非甲烷总烃</w:t>
                  </w:r>
                </w:p>
              </w:tc>
              <w:tc>
                <w:tcPr>
                  <w:tcW w:w="1553" w:type="dxa"/>
                  <w:vAlign w:val="center"/>
                </w:tcPr>
                <w:p w14:paraId="3E9F5951">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color w:val="0000E1"/>
                      <w:szCs w:val="21"/>
                    </w:rPr>
                  </w:pPr>
                  <w:r>
                    <w:rPr>
                      <w:rFonts w:hint="default" w:ascii="Times New Roman" w:hAnsi="Times New Roman" w:eastAsia="宋体" w:cs="Times New Roman"/>
                      <w:i w:val="0"/>
                      <w:iCs w:val="0"/>
                      <w:color w:val="0000E1"/>
                      <w:kern w:val="0"/>
                      <w:sz w:val="21"/>
                      <w:szCs w:val="21"/>
                      <w:u w:val="none"/>
                      <w:lang w:val="en-US" w:eastAsia="zh-CN" w:bidi="ar"/>
                    </w:rPr>
                    <w:t>15.7</w:t>
                  </w:r>
                </w:p>
              </w:tc>
              <w:tc>
                <w:tcPr>
                  <w:tcW w:w="1598" w:type="dxa"/>
                  <w:vAlign w:val="center"/>
                </w:tcPr>
                <w:p w14:paraId="02324CF3">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color w:val="0000E1"/>
                      <w:szCs w:val="21"/>
                    </w:rPr>
                  </w:pPr>
                  <w:r>
                    <w:rPr>
                      <w:rFonts w:hint="default" w:ascii="Times New Roman" w:hAnsi="Times New Roman" w:eastAsia="宋体" w:cs="Times New Roman"/>
                      <w:i w:val="0"/>
                      <w:iCs w:val="0"/>
                      <w:color w:val="0000E1"/>
                      <w:kern w:val="0"/>
                      <w:sz w:val="21"/>
                      <w:szCs w:val="21"/>
                      <w:u w:val="none"/>
                      <w:lang w:val="en-US" w:eastAsia="zh-CN" w:bidi="ar"/>
                    </w:rPr>
                    <w:t>0.579</w:t>
                  </w:r>
                </w:p>
              </w:tc>
              <w:tc>
                <w:tcPr>
                  <w:tcW w:w="581" w:type="pct"/>
                  <w:vAlign w:val="center"/>
                </w:tcPr>
                <w:p w14:paraId="5EBEB58E">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rPr>
                    <w:t>0.5</w:t>
                  </w:r>
                </w:p>
              </w:tc>
              <w:tc>
                <w:tcPr>
                  <w:tcW w:w="474" w:type="pct"/>
                  <w:vAlign w:val="center"/>
                </w:tcPr>
                <w:p w14:paraId="5547FA07">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rPr>
                    <w:t>2</w:t>
                  </w:r>
                </w:p>
              </w:tc>
              <w:tc>
                <w:tcPr>
                  <w:tcW w:w="702" w:type="pct"/>
                  <w:vMerge w:val="restart"/>
                  <w:vAlign w:val="center"/>
                </w:tcPr>
                <w:p w14:paraId="454FCF89">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rPr>
                    <w:t>立即停止生产，关闭排放阀，及时进行设备维修</w:t>
                  </w:r>
                </w:p>
              </w:tc>
            </w:tr>
            <w:tr w14:paraId="2318D7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trHeight w:val="397" w:hRule="atLeast"/>
                <w:jc w:val="center"/>
              </w:trPr>
              <w:tc>
                <w:tcPr>
                  <w:tcW w:w="157" w:type="pct"/>
                  <w:vAlign w:val="center"/>
                </w:tcPr>
                <w:p w14:paraId="6CB253A8">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rPr>
                    <w:t>2</w:t>
                  </w:r>
                </w:p>
              </w:tc>
              <w:tc>
                <w:tcPr>
                  <w:tcW w:w="917" w:type="pct"/>
                  <w:vMerge w:val="continue"/>
                  <w:vAlign w:val="center"/>
                </w:tcPr>
                <w:p w14:paraId="11913291">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p>
              </w:tc>
              <w:tc>
                <w:tcPr>
                  <w:tcW w:w="469" w:type="pct"/>
                  <w:vMerge w:val="continue"/>
                  <w:vAlign w:val="center"/>
                </w:tcPr>
                <w:p w14:paraId="686CC96B">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p>
              </w:tc>
              <w:tc>
                <w:tcPr>
                  <w:tcW w:w="508" w:type="pct"/>
                  <w:vAlign w:val="center"/>
                </w:tcPr>
                <w:p w14:paraId="20444C92">
                  <w:pPr>
                    <w:keepNext w:val="0"/>
                    <w:keepLines w:val="0"/>
                    <w:suppressLineNumbers w:val="0"/>
                    <w:spacing w:before="0" w:beforeAutospacing="0" w:after="0" w:afterAutospacing="0"/>
                    <w:ind w:left="0" w:right="0"/>
                    <w:jc w:val="center"/>
                    <w:rPr>
                      <w:rFonts w:hint="eastAsia" w:ascii="Times New Roman" w:hAnsi="Times New Roman" w:eastAsia="宋体" w:cs="Times New Roman"/>
                      <w:color w:val="auto"/>
                      <w:szCs w:val="21"/>
                      <w:lang w:val="en-US" w:eastAsia="zh-CN"/>
                    </w:rPr>
                  </w:pPr>
                  <w:r>
                    <w:rPr>
                      <w:rFonts w:hint="eastAsia" w:ascii="Times New Roman" w:hAnsi="Times New Roman" w:eastAsia="宋体" w:cs="Times New Roman"/>
                      <w:color w:val="auto"/>
                      <w:szCs w:val="21"/>
                      <w:lang w:val="en-US" w:eastAsia="zh-CN"/>
                    </w:rPr>
                    <w:t>臭气浓度</w:t>
                  </w:r>
                </w:p>
              </w:tc>
              <w:tc>
                <w:tcPr>
                  <w:tcW w:w="586" w:type="pct"/>
                  <w:vAlign w:val="center"/>
                </w:tcPr>
                <w:p w14:paraId="3062D8DC">
                  <w:pPr>
                    <w:keepNext w:val="0"/>
                    <w:keepLines w:val="0"/>
                    <w:suppressLineNumbers w:val="0"/>
                    <w:spacing w:before="0" w:beforeAutospacing="0" w:after="0" w:afterAutospacing="0"/>
                    <w:ind w:left="0" w:right="0"/>
                    <w:jc w:val="center"/>
                    <w:rPr>
                      <w:rFonts w:hint="eastAsia" w:ascii="Times New Roman" w:hAnsi="Times New Roman" w:eastAsia="宋体" w:cs="Times New Roman"/>
                      <w:color w:val="auto"/>
                      <w:szCs w:val="21"/>
                      <w:lang w:val="en-US" w:eastAsia="zh-CN"/>
                    </w:rPr>
                  </w:pPr>
                  <w:r>
                    <w:rPr>
                      <w:rFonts w:hint="eastAsia" w:ascii="Times New Roman" w:hAnsi="Times New Roman" w:eastAsia="宋体" w:cs="Times New Roman"/>
                      <w:color w:val="auto"/>
                      <w:szCs w:val="21"/>
                      <w:lang w:val="en-US" w:eastAsia="zh-CN"/>
                    </w:rPr>
                    <w:t>/</w:t>
                  </w:r>
                </w:p>
              </w:tc>
              <w:tc>
                <w:tcPr>
                  <w:tcW w:w="603" w:type="pct"/>
                  <w:vAlign w:val="center"/>
                </w:tcPr>
                <w:p w14:paraId="73656E97">
                  <w:pPr>
                    <w:keepNext w:val="0"/>
                    <w:keepLines w:val="0"/>
                    <w:suppressLineNumbers w:val="0"/>
                    <w:spacing w:before="0" w:beforeAutospacing="0" w:after="0" w:afterAutospacing="0"/>
                    <w:ind w:left="0" w:right="0"/>
                    <w:jc w:val="center"/>
                    <w:rPr>
                      <w:rFonts w:hint="eastAsia" w:ascii="Times New Roman" w:hAnsi="Times New Roman" w:eastAsia="宋体" w:cs="Times New Roman"/>
                      <w:color w:val="auto"/>
                      <w:szCs w:val="21"/>
                      <w:lang w:val="en-US" w:eastAsia="zh-CN"/>
                    </w:rPr>
                  </w:pPr>
                  <w:r>
                    <w:rPr>
                      <w:rFonts w:hint="eastAsia" w:ascii="Times New Roman" w:hAnsi="Times New Roman" w:eastAsia="宋体" w:cs="Times New Roman"/>
                      <w:color w:val="auto"/>
                      <w:szCs w:val="21"/>
                      <w:lang w:val="en-US" w:eastAsia="zh-CN"/>
                    </w:rPr>
                    <w:t>/</w:t>
                  </w:r>
                </w:p>
              </w:tc>
              <w:tc>
                <w:tcPr>
                  <w:tcW w:w="581" w:type="pct"/>
                  <w:vAlign w:val="center"/>
                </w:tcPr>
                <w:p w14:paraId="4CEEA88E">
                  <w:pPr>
                    <w:keepNext w:val="0"/>
                    <w:keepLines w:val="0"/>
                    <w:suppressLineNumbers w:val="0"/>
                    <w:spacing w:before="0" w:beforeAutospacing="0" w:after="0" w:afterAutospacing="0"/>
                    <w:ind w:left="0" w:right="0"/>
                    <w:jc w:val="center"/>
                    <w:rPr>
                      <w:rFonts w:hint="eastAsia" w:ascii="Times New Roman" w:hAnsi="Times New Roman" w:eastAsia="宋体" w:cs="Times New Roman"/>
                      <w:color w:val="auto"/>
                      <w:szCs w:val="21"/>
                      <w:lang w:val="en-US" w:eastAsia="zh-CN"/>
                    </w:rPr>
                  </w:pPr>
                  <w:r>
                    <w:rPr>
                      <w:rFonts w:hint="eastAsia" w:ascii="Times New Roman" w:hAnsi="Times New Roman" w:eastAsia="宋体" w:cs="Times New Roman"/>
                      <w:color w:val="auto"/>
                      <w:szCs w:val="21"/>
                      <w:lang w:val="en-US" w:eastAsia="zh-CN"/>
                    </w:rPr>
                    <w:t>0.5</w:t>
                  </w:r>
                </w:p>
              </w:tc>
              <w:tc>
                <w:tcPr>
                  <w:tcW w:w="474" w:type="pct"/>
                  <w:vAlign w:val="center"/>
                </w:tcPr>
                <w:p w14:paraId="6B4257C7">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rPr>
                    <w:t>2</w:t>
                  </w:r>
                </w:p>
              </w:tc>
              <w:tc>
                <w:tcPr>
                  <w:tcW w:w="702" w:type="pct"/>
                  <w:vMerge w:val="continue"/>
                  <w:vAlign w:val="center"/>
                </w:tcPr>
                <w:p w14:paraId="5AF7D243">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p>
              </w:tc>
            </w:tr>
            <w:tr w14:paraId="4ABE06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trHeight w:val="397" w:hRule="atLeast"/>
                <w:jc w:val="center"/>
              </w:trPr>
              <w:tc>
                <w:tcPr>
                  <w:tcW w:w="157" w:type="pct"/>
                  <w:vAlign w:val="center"/>
                </w:tcPr>
                <w:p w14:paraId="32A87C09">
                  <w:pPr>
                    <w:keepNext w:val="0"/>
                    <w:keepLines w:val="0"/>
                    <w:suppressLineNumbers w:val="0"/>
                    <w:spacing w:before="0" w:beforeAutospacing="0" w:after="0" w:afterAutospacing="0"/>
                    <w:ind w:left="0" w:right="0"/>
                    <w:jc w:val="center"/>
                    <w:rPr>
                      <w:rFonts w:hint="eastAsia" w:ascii="Times New Roman" w:hAnsi="Times New Roman" w:eastAsia="宋体" w:cs="Times New Roman"/>
                      <w:color w:val="auto"/>
                      <w:szCs w:val="21"/>
                      <w:lang w:val="en-US" w:eastAsia="zh-CN"/>
                    </w:rPr>
                  </w:pPr>
                  <w:r>
                    <w:rPr>
                      <w:rFonts w:hint="eastAsia" w:ascii="Times New Roman" w:hAnsi="Times New Roman" w:eastAsia="宋体" w:cs="Times New Roman"/>
                      <w:color w:val="auto"/>
                      <w:szCs w:val="21"/>
                      <w:lang w:val="en-US" w:eastAsia="zh-CN"/>
                    </w:rPr>
                    <w:t>3</w:t>
                  </w:r>
                </w:p>
              </w:tc>
              <w:tc>
                <w:tcPr>
                  <w:tcW w:w="917" w:type="pct"/>
                  <w:vAlign w:val="center"/>
                </w:tcPr>
                <w:p w14:paraId="04AB342C">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rPr>
                    <w:t>拆包粉尘、投料粉尘</w:t>
                  </w:r>
                  <w:r>
                    <w:rPr>
                      <w:rFonts w:hint="default" w:ascii="Times New Roman" w:hAnsi="Times New Roman" w:eastAsia="宋体" w:cs="Times New Roman"/>
                      <w:color w:val="auto"/>
                      <w:szCs w:val="21"/>
                      <w:lang w:eastAsia="zh-CN"/>
                    </w:rPr>
                    <w:t>、</w:t>
                  </w:r>
                  <w:r>
                    <w:rPr>
                      <w:rFonts w:hint="default" w:ascii="Times New Roman" w:hAnsi="Times New Roman" w:eastAsia="宋体" w:cs="Times New Roman"/>
                      <w:color w:val="auto"/>
                      <w:szCs w:val="21"/>
                      <w:lang w:val="en-US" w:eastAsia="zh-CN"/>
                    </w:rPr>
                    <w:t>出料粉尘</w:t>
                  </w:r>
                  <w:r>
                    <w:rPr>
                      <w:rFonts w:hint="default" w:ascii="Times New Roman" w:hAnsi="Times New Roman" w:eastAsia="宋体" w:cs="Times New Roman"/>
                      <w:color w:val="auto"/>
                      <w:szCs w:val="21"/>
                    </w:rPr>
                    <w:t>排气筒DA002</w:t>
                  </w:r>
                </w:p>
              </w:tc>
              <w:tc>
                <w:tcPr>
                  <w:tcW w:w="469" w:type="pct"/>
                  <w:vMerge w:val="continue"/>
                  <w:vAlign w:val="center"/>
                </w:tcPr>
                <w:p w14:paraId="36FD39BA">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p>
              </w:tc>
              <w:tc>
                <w:tcPr>
                  <w:tcW w:w="508" w:type="pct"/>
                  <w:vAlign w:val="center"/>
                </w:tcPr>
                <w:p w14:paraId="2B9C61D3">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rPr>
                    <w:t>颗粒物</w:t>
                  </w:r>
                </w:p>
              </w:tc>
              <w:tc>
                <w:tcPr>
                  <w:tcW w:w="586" w:type="pct"/>
                  <w:vAlign w:val="center"/>
                </w:tcPr>
                <w:p w14:paraId="2961998B">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color w:val="auto"/>
                      <w:szCs w:val="21"/>
                      <w:lang w:val="en-US"/>
                    </w:rPr>
                  </w:pPr>
                  <w:r>
                    <w:rPr>
                      <w:rFonts w:hint="eastAsia" w:ascii="Times New Roman" w:hAnsi="Times New Roman" w:eastAsia="宋体" w:cs="Times New Roman"/>
                      <w:i w:val="0"/>
                      <w:iCs w:val="0"/>
                      <w:color w:val="auto"/>
                      <w:kern w:val="0"/>
                      <w:sz w:val="21"/>
                      <w:szCs w:val="21"/>
                      <w:u w:val="none"/>
                      <w:lang w:val="en-US" w:eastAsia="zh-CN" w:bidi="ar"/>
                    </w:rPr>
                    <w:t>4.0</w:t>
                  </w:r>
                </w:p>
              </w:tc>
              <w:tc>
                <w:tcPr>
                  <w:tcW w:w="603" w:type="pct"/>
                  <w:vAlign w:val="center"/>
                </w:tcPr>
                <w:p w14:paraId="204C44B0">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color w:val="auto"/>
                      <w:szCs w:val="21"/>
                    </w:rPr>
                  </w:pPr>
                  <w:r>
                    <w:rPr>
                      <w:rFonts w:hint="default" w:ascii="Times New Roman" w:hAnsi="Times New Roman" w:eastAsia="宋体" w:cs="Times New Roman"/>
                      <w:i w:val="0"/>
                      <w:iCs w:val="0"/>
                      <w:color w:val="auto"/>
                      <w:kern w:val="0"/>
                      <w:sz w:val="21"/>
                      <w:szCs w:val="21"/>
                      <w:u w:val="none"/>
                      <w:lang w:val="en-US" w:eastAsia="zh-CN" w:bidi="ar"/>
                    </w:rPr>
                    <w:t>0.123</w:t>
                  </w:r>
                  <w:r>
                    <w:rPr>
                      <w:rFonts w:hint="default"/>
                    </w:rPr>
                    <w:commentReference w:id="67"/>
                  </w:r>
                </w:p>
              </w:tc>
              <w:tc>
                <w:tcPr>
                  <w:tcW w:w="581" w:type="pct"/>
                  <w:vAlign w:val="center"/>
                </w:tcPr>
                <w:p w14:paraId="28F3C997">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rPr>
                    <w:t>0.5</w:t>
                  </w:r>
                </w:p>
              </w:tc>
              <w:tc>
                <w:tcPr>
                  <w:tcW w:w="474" w:type="pct"/>
                  <w:vAlign w:val="center"/>
                </w:tcPr>
                <w:p w14:paraId="2B895B6E">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rPr>
                    <w:t>2</w:t>
                  </w:r>
                </w:p>
              </w:tc>
              <w:tc>
                <w:tcPr>
                  <w:tcW w:w="702" w:type="pct"/>
                  <w:vMerge w:val="continue"/>
                  <w:vAlign w:val="center"/>
                </w:tcPr>
                <w:p w14:paraId="4F855FEE">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p>
              </w:tc>
            </w:tr>
          </w:tbl>
          <w:p w14:paraId="1B6E791C">
            <w:pPr>
              <w:keepNext w:val="0"/>
              <w:keepLines w:val="0"/>
              <w:suppressLineNumbers w:val="0"/>
              <w:spacing w:before="0" w:beforeAutospacing="0" w:after="0" w:afterAutospacing="0" w:line="360" w:lineRule="auto"/>
              <w:ind w:left="0" w:right="0"/>
              <w:rPr>
                <w:rFonts w:hint="default" w:ascii="Times New Roman" w:hAnsi="Times New Roman" w:eastAsia="宋体" w:cs="Times New Roman"/>
                <w:b/>
                <w:bCs/>
                <w:color w:val="auto"/>
                <w:sz w:val="24"/>
              </w:rPr>
            </w:pPr>
            <w:r>
              <w:rPr>
                <w:rFonts w:hint="default" w:ascii="Times New Roman" w:hAnsi="Times New Roman" w:eastAsia="宋体" w:cs="Times New Roman"/>
                <w:b/>
                <w:bCs/>
                <w:color w:val="auto"/>
                <w:sz w:val="24"/>
              </w:rPr>
              <w:t>4.2.1.5治理措施可行性分析</w:t>
            </w:r>
          </w:p>
          <w:p w14:paraId="7828E9DB">
            <w:pPr>
              <w:keepNext w:val="0"/>
              <w:keepLines w:val="0"/>
              <w:suppressLineNumbers w:val="0"/>
              <w:spacing w:before="0" w:beforeAutospacing="0" w:after="0" w:afterAutospacing="0" w:line="360" w:lineRule="auto"/>
              <w:ind w:left="0" w:right="0" w:firstLine="480" w:firstLineChars="200"/>
              <w:rPr>
                <w:rFonts w:hint="default" w:ascii="Times New Roman" w:hAnsi="Times New Roman" w:eastAsia="宋体" w:cs="Times New Roman"/>
                <w:color w:val="auto"/>
                <w:sz w:val="24"/>
              </w:rPr>
            </w:pPr>
            <w:r>
              <w:rPr>
                <w:rFonts w:hint="eastAsia" w:ascii="Times New Roman" w:hAnsi="Times New Roman" w:eastAsia="宋体" w:cs="Times New Roman"/>
                <w:color w:val="auto"/>
                <w:sz w:val="24"/>
              </w:rPr>
              <w:t>活性炭吸附处理装置主要是利用多孔性固体吸附剂活性炭具有吸附作用，能有效的祛除工业废气中的有机类污染物质和色味等，广泛应用于工业有机废气净化的末端处理。活性炭材料中有大量肉眼看不见的微孔，1g活性炭材料中微孔的总内表面积可高达700～2300m</w:t>
            </w:r>
            <w:r>
              <w:rPr>
                <w:rFonts w:hint="eastAsia" w:ascii="Times New Roman" w:hAnsi="Times New Roman" w:eastAsia="宋体" w:cs="Times New Roman"/>
                <w:color w:val="auto"/>
                <w:sz w:val="24"/>
                <w:vertAlign w:val="superscript"/>
              </w:rPr>
              <w:t>2</w:t>
            </w:r>
            <w:r>
              <w:rPr>
                <w:rFonts w:hint="eastAsia" w:ascii="Times New Roman" w:hAnsi="Times New Roman" w:eastAsia="宋体" w:cs="Times New Roman"/>
                <w:color w:val="auto"/>
                <w:sz w:val="24"/>
              </w:rPr>
              <w:t>。正是这些微孔使得活性炭能</w:t>
            </w:r>
            <w:r>
              <w:rPr>
                <w:rFonts w:hint="eastAsia" w:ascii="Times New Roman" w:hAnsi="Times New Roman" w:eastAsia="宋体" w:cs="Times New Roman"/>
                <w:color w:val="auto"/>
                <w:sz w:val="24"/>
                <w:lang w:eastAsia="zh-CN"/>
              </w:rPr>
              <w:t>“</w:t>
            </w:r>
            <w:r>
              <w:rPr>
                <w:rFonts w:hint="eastAsia" w:ascii="Times New Roman" w:hAnsi="Times New Roman" w:eastAsia="宋体" w:cs="Times New Roman"/>
                <w:color w:val="auto"/>
                <w:sz w:val="24"/>
              </w:rPr>
              <w:t>捕捉</w:t>
            </w:r>
            <w:r>
              <w:rPr>
                <w:rFonts w:hint="eastAsia" w:ascii="Times New Roman" w:hAnsi="Times New Roman" w:eastAsia="宋体" w:cs="Times New Roman"/>
                <w:color w:val="auto"/>
                <w:sz w:val="24"/>
                <w:lang w:eastAsia="zh-CN"/>
              </w:rPr>
              <w:t>”</w:t>
            </w:r>
            <w:r>
              <w:rPr>
                <w:rFonts w:hint="eastAsia" w:ascii="Times New Roman" w:hAnsi="Times New Roman" w:eastAsia="宋体" w:cs="Times New Roman"/>
                <w:color w:val="auto"/>
                <w:sz w:val="24"/>
              </w:rPr>
              <w:t>各种有毒有害气体和杂质。由于气相分子和吸附剂表面分子之间的吸引力，使气相分子吸附在吸附剂表面，吸附剂表面面积愈大、单位质量吸附剂吸附物质愈多。活性炭是一种具有非极性表面、疏水性、亲有机物的吸附剂，所以活性炭常常被用来吸附回收空气中的有机溶剂和恶臭物质。</w:t>
            </w:r>
          </w:p>
          <w:p w14:paraId="54A069B9">
            <w:pPr>
              <w:keepNext w:val="0"/>
              <w:keepLines w:val="0"/>
              <w:suppressLineNumbers w:val="0"/>
              <w:spacing w:before="0" w:beforeAutospacing="0" w:after="0" w:afterAutospacing="0" w:line="360" w:lineRule="auto"/>
              <w:ind w:left="0" w:right="0" w:firstLine="482" w:firstLineChars="200"/>
              <w:rPr>
                <w:rFonts w:hint="default" w:ascii="Times New Roman" w:hAnsi="Times New Roman" w:eastAsia="宋体" w:cs="Times New Roman"/>
                <w:color w:val="auto"/>
                <w:sz w:val="24"/>
              </w:rPr>
            </w:pPr>
            <w:r>
              <w:rPr>
                <w:rFonts w:hint="eastAsia" w:ascii="Times New Roman" w:hAnsi="Times New Roman" w:eastAsia="宋体" w:cs="Times New Roman"/>
                <w:b/>
                <w:bCs/>
                <w:color w:val="auto"/>
                <w:sz w:val="24"/>
              </w:rPr>
              <w:t>活性炭使用要求：</w:t>
            </w:r>
            <w:r>
              <w:rPr>
                <w:rFonts w:hint="eastAsia" w:ascii="Times New Roman" w:hAnsi="Times New Roman" w:eastAsia="宋体" w:cs="Times New Roman"/>
                <w:color w:val="auto"/>
                <w:sz w:val="24"/>
              </w:rPr>
              <w:t>根据《浙江省分散吸附-集中再生活性炭法挥发性有机物治理体系建设技术指南（试行）》中的相关要求：用于VOCs治理的活性炭采用煤质活性炭或木质活性炭，活性炭的结构应为颗粒活性炭。在当前技术经济条件下，不宜采用蜂窝活性炭。活性炭技术指标宜符合LY/T3284规定的优级品颗粒活性炭技术要求：碘吸附值不低于800mg/g。</w:t>
            </w:r>
          </w:p>
          <w:p w14:paraId="2904BF17">
            <w:pPr>
              <w:keepNext w:val="0"/>
              <w:keepLines w:val="0"/>
              <w:suppressLineNumbers w:val="0"/>
              <w:spacing w:before="0" w:beforeAutospacing="0" w:after="0" w:afterAutospacing="0" w:line="360" w:lineRule="auto"/>
              <w:ind w:left="0" w:right="0" w:firstLine="480" w:firstLineChars="200"/>
              <w:rPr>
                <w:rFonts w:hint="default" w:ascii="Times New Roman" w:hAnsi="Times New Roman" w:eastAsia="宋体" w:cs="Times New Roman"/>
                <w:color w:val="auto"/>
                <w:sz w:val="24"/>
              </w:rPr>
            </w:pPr>
            <w:r>
              <w:rPr>
                <w:rFonts w:hint="eastAsia" w:ascii="Times New Roman" w:hAnsi="Times New Roman" w:eastAsia="宋体" w:cs="Times New Roman"/>
                <w:color w:val="auto"/>
                <w:sz w:val="24"/>
                <w:highlight w:val="none"/>
              </w:rPr>
              <w:t>根据导则及</w:t>
            </w:r>
            <w:r>
              <w:rPr>
                <w:rFonts w:hint="eastAsia" w:ascii="Times New Roman" w:hAnsi="Times New Roman" w:eastAsia="宋体" w:cs="Times New Roman"/>
                <w:color w:val="auto"/>
                <w:sz w:val="24"/>
                <w:highlight w:val="none"/>
                <w:lang w:val="en-US" w:eastAsia="zh-CN"/>
              </w:rPr>
              <w:t>《排污许可证申请与核发技术规范 总则》（HJ942-2018）、</w:t>
            </w:r>
            <w:r>
              <w:rPr>
                <w:rFonts w:hint="eastAsia" w:ascii="Times New Roman" w:hAnsi="Times New Roman" w:eastAsia="宋体" w:cs="Times New Roman"/>
                <w:color w:val="auto"/>
                <w:sz w:val="24"/>
                <w:highlight w:val="none"/>
              </w:rPr>
              <w:t>《排污单位自行监测技术指南 总则》（HJ819-2017），</w:t>
            </w:r>
            <w:r>
              <w:rPr>
                <w:rFonts w:hint="eastAsia" w:ascii="Times New Roman" w:hAnsi="Times New Roman" w:eastAsia="宋体" w:cs="Times New Roman"/>
                <w:color w:val="auto"/>
                <w:sz w:val="24"/>
                <w:highlight w:val="yellow"/>
              </w:rPr>
              <w:t>《排污单位自行监测技术指南 橡胶和塑料制品》（HJ1207-2021）</w:t>
            </w:r>
            <w:commentRangeStart w:id="68"/>
            <w:commentRangeStart w:id="69"/>
            <w:r>
              <w:rPr>
                <w:rFonts w:hint="default"/>
              </w:rPr>
              <w:commentReference w:id="68"/>
            </w:r>
            <w:commentRangeEnd w:id="68"/>
            <w:commentRangeEnd w:id="69"/>
            <w:r>
              <w:commentReference w:id="69"/>
            </w:r>
            <w:r>
              <w:rPr>
                <w:rFonts w:hint="eastAsia" w:ascii="Times New Roman" w:hAnsi="Times New Roman" w:eastAsia="宋体" w:cs="Times New Roman"/>
                <w:color w:val="auto"/>
                <w:sz w:val="24"/>
                <w:highlight w:val="none"/>
                <w:lang w:val="en-US" w:eastAsia="zh-CN"/>
              </w:rPr>
              <w:t>等</w:t>
            </w:r>
            <w:r>
              <w:rPr>
                <w:rFonts w:hint="eastAsia" w:ascii="Times New Roman" w:hAnsi="Times New Roman" w:eastAsia="宋体" w:cs="Times New Roman"/>
                <w:color w:val="auto"/>
                <w:sz w:val="24"/>
                <w:highlight w:val="none"/>
              </w:rPr>
              <w:t>要求，</w:t>
            </w:r>
            <w:r>
              <w:rPr>
                <w:rFonts w:hint="eastAsia" w:ascii="Times New Roman" w:hAnsi="Times New Roman" w:eastAsia="宋体" w:cs="Times New Roman"/>
                <w:color w:val="auto"/>
                <w:sz w:val="24"/>
              </w:rPr>
              <w:t>本项目废气处理措施为推荐可行处理技术，具体见下表。</w:t>
            </w:r>
          </w:p>
          <w:p w14:paraId="3623A9E0">
            <w:pPr>
              <w:keepNext w:val="0"/>
              <w:keepLines w:val="0"/>
              <w:suppressLineNumbers w:val="0"/>
              <w:spacing w:before="0" w:beforeAutospacing="0" w:after="0" w:afterAutospacing="0"/>
              <w:ind w:left="0" w:right="0"/>
              <w:jc w:val="center"/>
              <w:rPr>
                <w:rFonts w:hint="default" w:ascii="Times New Roman" w:hAnsi="Times New Roman" w:eastAsia="宋体" w:cs="Times New Roman"/>
                <w:b/>
                <w:bCs/>
                <w:color w:val="auto"/>
              </w:rPr>
            </w:pPr>
            <w:r>
              <w:rPr>
                <w:rFonts w:hint="eastAsia" w:ascii="Times New Roman" w:hAnsi="Times New Roman" w:eastAsia="宋体" w:cs="Times New Roman"/>
                <w:b/>
                <w:bCs/>
                <w:color w:val="auto"/>
              </w:rPr>
              <w:t>表4-</w:t>
            </w:r>
            <w:r>
              <w:rPr>
                <w:rFonts w:hint="eastAsia" w:ascii="Times New Roman" w:hAnsi="Times New Roman" w:eastAsia="宋体" w:cs="Times New Roman"/>
                <w:b/>
                <w:bCs/>
                <w:color w:val="auto"/>
                <w:lang w:val="en-US" w:eastAsia="zh-CN"/>
              </w:rPr>
              <w:t>8</w:t>
            </w:r>
            <w:r>
              <w:rPr>
                <w:rFonts w:hint="eastAsia" w:ascii="Times New Roman" w:hAnsi="Times New Roman" w:eastAsia="宋体" w:cs="Times New Roman"/>
                <w:b/>
                <w:bCs/>
                <w:color w:val="auto"/>
              </w:rPr>
              <w:t xml:space="preserve">  废气污染防治设施一览表</w:t>
            </w:r>
          </w:p>
          <w:tbl>
            <w:tblPr>
              <w:tblStyle w:val="22"/>
              <w:tblW w:w="4999"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87"/>
              <w:gridCol w:w="965"/>
              <w:gridCol w:w="733"/>
              <w:gridCol w:w="2069"/>
              <w:gridCol w:w="1618"/>
              <w:gridCol w:w="1583"/>
              <w:gridCol w:w="2266"/>
              <w:gridCol w:w="2266"/>
              <w:gridCol w:w="1066"/>
            </w:tblGrid>
            <w:tr w14:paraId="6A40DA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259" w:type="pct"/>
                  <w:vAlign w:val="center"/>
                </w:tcPr>
                <w:p w14:paraId="1138CC05">
                  <w:pPr>
                    <w:keepNext w:val="0"/>
                    <w:keepLines w:val="0"/>
                    <w:suppressLineNumbers w:val="0"/>
                    <w:spacing w:before="0" w:beforeAutospacing="0" w:after="0" w:afterAutospacing="0"/>
                    <w:ind w:left="0" w:right="0"/>
                    <w:jc w:val="center"/>
                    <w:rPr>
                      <w:rFonts w:hint="default" w:ascii="Times New Roman" w:hAnsi="Times New Roman" w:eastAsia="宋体" w:cs="Times New Roman"/>
                      <w:b/>
                      <w:bCs/>
                      <w:color w:val="auto"/>
                      <w:szCs w:val="21"/>
                    </w:rPr>
                  </w:pPr>
                  <w:r>
                    <w:rPr>
                      <w:rFonts w:hint="default" w:ascii="Times New Roman" w:hAnsi="Times New Roman" w:eastAsia="宋体" w:cs="Times New Roman"/>
                      <w:b/>
                      <w:bCs/>
                      <w:color w:val="auto"/>
                      <w:szCs w:val="21"/>
                    </w:rPr>
                    <w:t>序号</w:t>
                  </w:r>
                </w:p>
              </w:tc>
              <w:tc>
                <w:tcPr>
                  <w:tcW w:w="640" w:type="pct"/>
                  <w:gridSpan w:val="2"/>
                  <w:vAlign w:val="center"/>
                </w:tcPr>
                <w:p w14:paraId="4AF7A6E5">
                  <w:pPr>
                    <w:keepNext w:val="0"/>
                    <w:keepLines w:val="0"/>
                    <w:suppressLineNumbers w:val="0"/>
                    <w:spacing w:before="0" w:beforeAutospacing="0" w:after="0" w:afterAutospacing="0"/>
                    <w:ind w:left="0" w:right="0"/>
                    <w:jc w:val="center"/>
                    <w:rPr>
                      <w:rFonts w:hint="default" w:ascii="Times New Roman" w:hAnsi="Times New Roman" w:eastAsia="宋体" w:cs="Times New Roman"/>
                      <w:b/>
                      <w:bCs/>
                      <w:color w:val="auto"/>
                      <w:szCs w:val="21"/>
                    </w:rPr>
                  </w:pPr>
                  <w:r>
                    <w:rPr>
                      <w:rFonts w:hint="default" w:ascii="Times New Roman" w:hAnsi="Times New Roman" w:eastAsia="宋体" w:cs="Times New Roman"/>
                      <w:b/>
                      <w:bCs/>
                      <w:color w:val="auto"/>
                      <w:szCs w:val="21"/>
                    </w:rPr>
                    <w:t>主要工序</w:t>
                  </w:r>
                </w:p>
              </w:tc>
              <w:tc>
                <w:tcPr>
                  <w:tcW w:w="780" w:type="pct"/>
                  <w:vAlign w:val="center"/>
                </w:tcPr>
                <w:p w14:paraId="19CA792F">
                  <w:pPr>
                    <w:keepNext w:val="0"/>
                    <w:keepLines w:val="0"/>
                    <w:suppressLineNumbers w:val="0"/>
                    <w:spacing w:before="0" w:beforeAutospacing="0" w:after="0" w:afterAutospacing="0"/>
                    <w:ind w:left="0" w:right="0"/>
                    <w:jc w:val="center"/>
                    <w:rPr>
                      <w:rFonts w:hint="default" w:ascii="Times New Roman" w:hAnsi="Times New Roman" w:eastAsia="宋体" w:cs="Times New Roman"/>
                      <w:b/>
                      <w:bCs/>
                      <w:color w:val="auto"/>
                      <w:szCs w:val="21"/>
                    </w:rPr>
                  </w:pPr>
                  <w:r>
                    <w:rPr>
                      <w:rFonts w:hint="default" w:ascii="Times New Roman" w:hAnsi="Times New Roman" w:eastAsia="宋体" w:cs="Times New Roman"/>
                      <w:b/>
                      <w:bCs/>
                      <w:color w:val="auto"/>
                      <w:szCs w:val="21"/>
                    </w:rPr>
                    <w:t>主要生产设施</w:t>
                  </w:r>
                </w:p>
              </w:tc>
              <w:tc>
                <w:tcPr>
                  <w:tcW w:w="610" w:type="pct"/>
                  <w:vAlign w:val="center"/>
                </w:tcPr>
                <w:p w14:paraId="0797B953">
                  <w:pPr>
                    <w:keepNext w:val="0"/>
                    <w:keepLines w:val="0"/>
                    <w:suppressLineNumbers w:val="0"/>
                    <w:spacing w:before="0" w:beforeAutospacing="0" w:after="0" w:afterAutospacing="0"/>
                    <w:ind w:left="0" w:right="0"/>
                    <w:jc w:val="center"/>
                    <w:rPr>
                      <w:rFonts w:hint="default" w:ascii="Times New Roman" w:hAnsi="Times New Roman" w:eastAsia="宋体" w:cs="Times New Roman"/>
                      <w:b/>
                      <w:bCs/>
                      <w:color w:val="auto"/>
                      <w:szCs w:val="21"/>
                    </w:rPr>
                  </w:pPr>
                  <w:r>
                    <w:rPr>
                      <w:rFonts w:hint="default" w:ascii="Times New Roman" w:hAnsi="Times New Roman" w:eastAsia="宋体" w:cs="Times New Roman"/>
                      <w:b/>
                      <w:bCs/>
                      <w:color w:val="auto"/>
                      <w:szCs w:val="21"/>
                    </w:rPr>
                    <w:t>污染物项目</w:t>
                  </w:r>
                </w:p>
              </w:tc>
              <w:tc>
                <w:tcPr>
                  <w:tcW w:w="597" w:type="pct"/>
                  <w:vAlign w:val="center"/>
                </w:tcPr>
                <w:p w14:paraId="62AD4FEF">
                  <w:pPr>
                    <w:keepNext w:val="0"/>
                    <w:keepLines w:val="0"/>
                    <w:suppressLineNumbers w:val="0"/>
                    <w:spacing w:before="0" w:beforeAutospacing="0" w:after="0" w:afterAutospacing="0"/>
                    <w:ind w:left="0" w:right="0"/>
                    <w:jc w:val="center"/>
                    <w:rPr>
                      <w:rFonts w:hint="default" w:ascii="Times New Roman" w:hAnsi="Times New Roman" w:eastAsia="宋体" w:cs="Times New Roman"/>
                      <w:b/>
                      <w:bCs/>
                      <w:color w:val="auto"/>
                      <w:szCs w:val="21"/>
                    </w:rPr>
                  </w:pPr>
                  <w:r>
                    <w:rPr>
                      <w:rFonts w:hint="default" w:ascii="Times New Roman" w:hAnsi="Times New Roman" w:eastAsia="宋体" w:cs="Times New Roman"/>
                      <w:b/>
                      <w:bCs/>
                      <w:color w:val="auto"/>
                      <w:szCs w:val="21"/>
                    </w:rPr>
                    <w:t>主要排放方式</w:t>
                  </w:r>
                </w:p>
              </w:tc>
              <w:tc>
                <w:tcPr>
                  <w:tcW w:w="854" w:type="pct"/>
                  <w:vAlign w:val="center"/>
                </w:tcPr>
                <w:p w14:paraId="2DE0792A">
                  <w:pPr>
                    <w:keepNext w:val="0"/>
                    <w:keepLines w:val="0"/>
                    <w:suppressLineNumbers w:val="0"/>
                    <w:spacing w:before="0" w:beforeAutospacing="0" w:after="0" w:afterAutospacing="0"/>
                    <w:ind w:left="0" w:right="0"/>
                    <w:jc w:val="center"/>
                    <w:rPr>
                      <w:rFonts w:hint="default" w:ascii="Times New Roman" w:hAnsi="Times New Roman" w:eastAsia="宋体" w:cs="Times New Roman"/>
                      <w:b/>
                      <w:bCs/>
                      <w:color w:val="auto"/>
                      <w:szCs w:val="21"/>
                    </w:rPr>
                  </w:pPr>
                  <w:r>
                    <w:rPr>
                      <w:rFonts w:hint="default" w:ascii="Times New Roman" w:hAnsi="Times New Roman" w:eastAsia="宋体" w:cs="Times New Roman"/>
                      <w:b/>
                      <w:bCs/>
                      <w:color w:val="auto"/>
                      <w:szCs w:val="21"/>
                    </w:rPr>
                    <w:t>本项目污染防治设施名称及工艺</w:t>
                  </w:r>
                </w:p>
              </w:tc>
              <w:tc>
                <w:tcPr>
                  <w:tcW w:w="854" w:type="pct"/>
                  <w:vAlign w:val="center"/>
                </w:tcPr>
                <w:p w14:paraId="179504F8">
                  <w:pPr>
                    <w:keepNext w:val="0"/>
                    <w:keepLines w:val="0"/>
                    <w:suppressLineNumbers w:val="0"/>
                    <w:spacing w:before="0" w:beforeAutospacing="0" w:after="0" w:afterAutospacing="0"/>
                    <w:ind w:left="0" w:right="0"/>
                    <w:jc w:val="center"/>
                    <w:rPr>
                      <w:rFonts w:hint="default" w:ascii="Times New Roman" w:hAnsi="Times New Roman" w:eastAsia="宋体" w:cs="Times New Roman"/>
                      <w:b/>
                      <w:bCs/>
                      <w:color w:val="auto"/>
                      <w:szCs w:val="21"/>
                    </w:rPr>
                  </w:pPr>
                  <w:r>
                    <w:rPr>
                      <w:rFonts w:hint="default" w:ascii="Times New Roman" w:hAnsi="Times New Roman" w:eastAsia="宋体" w:cs="Times New Roman"/>
                      <w:b/>
                      <w:bCs/>
                      <w:color w:val="auto"/>
                      <w:szCs w:val="21"/>
                    </w:rPr>
                    <w:t>污染防治可行技术</w:t>
                  </w:r>
                </w:p>
              </w:tc>
              <w:tc>
                <w:tcPr>
                  <w:tcW w:w="402" w:type="pct"/>
                  <w:vAlign w:val="center"/>
                </w:tcPr>
                <w:p w14:paraId="4AEC6739">
                  <w:pPr>
                    <w:keepNext w:val="0"/>
                    <w:keepLines w:val="0"/>
                    <w:suppressLineNumbers w:val="0"/>
                    <w:spacing w:before="0" w:beforeAutospacing="0" w:after="0" w:afterAutospacing="0"/>
                    <w:ind w:left="0" w:right="0"/>
                    <w:jc w:val="center"/>
                    <w:rPr>
                      <w:rFonts w:hint="default" w:ascii="Times New Roman" w:hAnsi="Times New Roman" w:eastAsia="宋体" w:cs="Times New Roman"/>
                      <w:b/>
                      <w:bCs/>
                      <w:color w:val="auto"/>
                      <w:szCs w:val="21"/>
                    </w:rPr>
                  </w:pPr>
                  <w:r>
                    <w:rPr>
                      <w:rFonts w:hint="default" w:ascii="Times New Roman" w:hAnsi="Times New Roman" w:eastAsia="宋体" w:cs="Times New Roman"/>
                      <w:b/>
                      <w:bCs/>
                      <w:color w:val="auto"/>
                      <w:szCs w:val="21"/>
                    </w:rPr>
                    <w:t>是否为可行技术</w:t>
                  </w:r>
                </w:p>
              </w:tc>
            </w:tr>
            <w:tr w14:paraId="76A5D0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259" w:type="pct"/>
                  <w:vAlign w:val="center"/>
                </w:tcPr>
                <w:p w14:paraId="5504ECE8">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rPr>
                    <w:t>1</w:t>
                  </w:r>
                </w:p>
              </w:tc>
              <w:tc>
                <w:tcPr>
                  <w:tcW w:w="364" w:type="pct"/>
                  <w:vMerge w:val="restart"/>
                  <w:vAlign w:val="center"/>
                </w:tcPr>
                <w:p w14:paraId="39016E0D">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lang w:val="en-US" w:eastAsia="zh-CN"/>
                    </w:rPr>
                    <w:t>复合隔膜</w:t>
                  </w:r>
                </w:p>
              </w:tc>
              <w:tc>
                <w:tcPr>
                  <w:tcW w:w="276" w:type="pct"/>
                  <w:shd w:val="clear" w:color="auto" w:fill="auto"/>
                  <w:vAlign w:val="center"/>
                </w:tcPr>
                <w:p w14:paraId="6754EB71">
                  <w:pPr>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color w:val="auto"/>
                      <w:kern w:val="2"/>
                      <w:sz w:val="21"/>
                      <w:szCs w:val="21"/>
                      <w:lang w:val="en-US" w:eastAsia="zh-CN" w:bidi="ar-SA"/>
                    </w:rPr>
                  </w:pPr>
                  <w:r>
                    <w:rPr>
                      <w:rFonts w:hint="default" w:ascii="Times New Roman" w:hAnsi="Times New Roman" w:eastAsia="宋体" w:cs="Times New Roman"/>
                      <w:color w:val="auto"/>
                      <w:szCs w:val="21"/>
                      <w:lang w:val="en-US" w:eastAsia="zh-CN"/>
                    </w:rPr>
                    <w:t>烘烤</w:t>
                  </w:r>
                  <w:r>
                    <w:rPr>
                      <w:rFonts w:hint="default" w:ascii="Times New Roman" w:hAnsi="Times New Roman" w:eastAsia="宋体" w:cs="Times New Roman"/>
                      <w:color w:val="auto"/>
                      <w:szCs w:val="21"/>
                    </w:rPr>
                    <w:t>固化</w:t>
                  </w:r>
                </w:p>
              </w:tc>
              <w:tc>
                <w:tcPr>
                  <w:tcW w:w="780" w:type="pct"/>
                  <w:vAlign w:val="center"/>
                </w:tcPr>
                <w:p w14:paraId="06E7C689">
                  <w:pPr>
                    <w:keepNext w:val="0"/>
                    <w:keepLines w:val="0"/>
                    <w:suppressLineNumbers w:val="0"/>
                    <w:spacing w:before="0" w:beforeAutospacing="0" w:after="0" w:afterAutospacing="0"/>
                    <w:ind w:left="0" w:right="0"/>
                    <w:jc w:val="center"/>
                    <w:rPr>
                      <w:rFonts w:hint="eastAsia" w:ascii="Times New Roman" w:hAnsi="Times New Roman" w:eastAsia="宋体" w:cs="Times New Roman"/>
                      <w:color w:val="auto"/>
                      <w:szCs w:val="21"/>
                      <w:lang w:eastAsia="zh-CN"/>
                    </w:rPr>
                  </w:pPr>
                  <w:r>
                    <w:rPr>
                      <w:rFonts w:hint="default" w:ascii="Times New Roman" w:hAnsi="Times New Roman" w:eastAsia="宋体" w:cs="Times New Roman"/>
                      <w:color w:val="FF0000"/>
                      <w:szCs w:val="21"/>
                    </w:rPr>
                    <w:t>隧道式烤箱</w:t>
                  </w:r>
                  <w:r>
                    <w:rPr>
                      <w:rFonts w:hint="eastAsia" w:ascii="Times New Roman" w:hAnsi="Times New Roman" w:eastAsia="宋体" w:cs="Times New Roman"/>
                      <w:color w:val="auto"/>
                      <w:szCs w:val="21"/>
                      <w:lang w:eastAsia="zh-CN"/>
                    </w:rPr>
                    <w:t>、1750立式（浸涂）涂布生产线、1450立式（浸涂）涂布生产线</w:t>
                  </w:r>
                </w:p>
              </w:tc>
              <w:tc>
                <w:tcPr>
                  <w:tcW w:w="610" w:type="pct"/>
                  <w:vAlign w:val="center"/>
                </w:tcPr>
                <w:p w14:paraId="04B83922">
                  <w:pPr>
                    <w:keepNext w:val="0"/>
                    <w:keepLines w:val="0"/>
                    <w:suppressLineNumbers w:val="0"/>
                    <w:spacing w:before="0" w:beforeAutospacing="0" w:after="0" w:afterAutospacing="0"/>
                    <w:ind w:left="0" w:right="0"/>
                    <w:jc w:val="center"/>
                    <w:rPr>
                      <w:rFonts w:hint="eastAsia" w:ascii="Times New Roman" w:hAnsi="Times New Roman" w:eastAsia="宋体" w:cs="Times New Roman"/>
                      <w:color w:val="auto"/>
                      <w:szCs w:val="21"/>
                      <w:lang w:eastAsia="zh-CN"/>
                    </w:rPr>
                  </w:pPr>
                  <w:r>
                    <w:rPr>
                      <w:rFonts w:hint="default" w:ascii="Times New Roman" w:hAnsi="Times New Roman" w:eastAsia="宋体" w:cs="Times New Roman"/>
                      <w:color w:val="auto"/>
                      <w:szCs w:val="21"/>
                    </w:rPr>
                    <w:t>非甲烷总烃</w:t>
                  </w:r>
                  <w:r>
                    <w:rPr>
                      <w:rFonts w:hint="eastAsia" w:ascii="Times New Roman" w:hAnsi="Times New Roman" w:eastAsia="宋体" w:cs="Times New Roman"/>
                      <w:color w:val="auto"/>
                      <w:szCs w:val="21"/>
                      <w:lang w:eastAsia="zh-CN"/>
                    </w:rPr>
                    <w:t>、臭气浓度</w:t>
                  </w:r>
                </w:p>
              </w:tc>
              <w:tc>
                <w:tcPr>
                  <w:tcW w:w="597" w:type="pct"/>
                  <w:vAlign w:val="center"/>
                </w:tcPr>
                <w:p w14:paraId="2A748C25">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rPr>
                    <w:t>有组织、无组织</w:t>
                  </w:r>
                </w:p>
              </w:tc>
              <w:tc>
                <w:tcPr>
                  <w:tcW w:w="854" w:type="pct"/>
                  <w:vAlign w:val="center"/>
                </w:tcPr>
                <w:p w14:paraId="54312329">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lang w:val="en-US" w:eastAsia="zh-CN"/>
                    </w:rPr>
                    <w:t>水喷淋+干式过滤+二级活性炭吸附装置</w:t>
                  </w:r>
                </w:p>
              </w:tc>
              <w:tc>
                <w:tcPr>
                  <w:tcW w:w="854" w:type="pct"/>
                  <w:vMerge w:val="restart"/>
                  <w:vAlign w:val="center"/>
                </w:tcPr>
                <w:p w14:paraId="392166F0">
                  <w:pPr>
                    <w:keepNext w:val="0"/>
                    <w:keepLines w:val="0"/>
                    <w:suppressLineNumbers w:val="0"/>
                    <w:spacing w:before="0" w:beforeAutospacing="0" w:after="0" w:afterAutospacing="0"/>
                    <w:ind w:left="0" w:right="0"/>
                    <w:jc w:val="center"/>
                    <w:rPr>
                      <w:rFonts w:hint="eastAsia" w:ascii="Times New Roman" w:hAnsi="Times New Roman" w:eastAsia="宋体" w:cs="Times New Roman"/>
                      <w:color w:val="auto"/>
                      <w:szCs w:val="21"/>
                      <w:lang w:val="en-US" w:eastAsia="zh-CN"/>
                    </w:rPr>
                  </w:pPr>
                  <w:r>
                    <w:rPr>
                      <w:rFonts w:hint="default" w:ascii="Times New Roman" w:hAnsi="Times New Roman" w:eastAsia="宋体" w:cs="Times New Roman"/>
                      <w:color w:val="auto"/>
                      <w:szCs w:val="21"/>
                    </w:rPr>
                    <w:t>有机废气收集治理设施</w:t>
                  </w:r>
                  <w:r>
                    <w:rPr>
                      <w:rFonts w:hint="eastAsia" w:ascii="Times New Roman" w:hAnsi="Times New Roman" w:eastAsia="宋体" w:cs="Times New Roman"/>
                      <w:color w:val="auto"/>
                      <w:szCs w:val="21"/>
                      <w:lang w:eastAsia="zh-CN"/>
                    </w:rPr>
                    <w:t>（</w:t>
                  </w:r>
                  <w:r>
                    <w:rPr>
                      <w:rFonts w:hint="default" w:ascii="Times New Roman" w:hAnsi="Times New Roman" w:eastAsia="宋体" w:cs="Times New Roman"/>
                      <w:color w:val="auto"/>
                      <w:szCs w:val="21"/>
                    </w:rPr>
                    <w:t>焚烧、吸附、催化分解、其他</w:t>
                  </w:r>
                  <w:r>
                    <w:rPr>
                      <w:rFonts w:hint="eastAsia" w:ascii="Times New Roman" w:hAnsi="Times New Roman" w:eastAsia="宋体" w:cs="Times New Roman"/>
                      <w:color w:val="auto"/>
                      <w:szCs w:val="21"/>
                      <w:lang w:eastAsia="zh-CN"/>
                    </w:rPr>
                    <w:t>）</w:t>
                  </w:r>
                </w:p>
              </w:tc>
              <w:tc>
                <w:tcPr>
                  <w:tcW w:w="402" w:type="pct"/>
                  <w:vAlign w:val="center"/>
                </w:tcPr>
                <w:p w14:paraId="3FD8AE5C">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rPr>
                    <w:t>是</w:t>
                  </w:r>
                </w:p>
              </w:tc>
            </w:tr>
            <w:tr w14:paraId="521297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259" w:type="pct"/>
                  <w:vAlign w:val="center"/>
                </w:tcPr>
                <w:p w14:paraId="798A3DC0">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rPr>
                    <w:t>2</w:t>
                  </w:r>
                </w:p>
              </w:tc>
              <w:tc>
                <w:tcPr>
                  <w:tcW w:w="364" w:type="pct"/>
                  <w:vMerge w:val="continue"/>
                  <w:vAlign w:val="center"/>
                </w:tcPr>
                <w:p w14:paraId="2BA13426">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lang w:val="en-US" w:eastAsia="zh-CN"/>
                    </w:rPr>
                  </w:pPr>
                </w:p>
              </w:tc>
              <w:tc>
                <w:tcPr>
                  <w:tcW w:w="276" w:type="pct"/>
                  <w:shd w:val="clear" w:color="auto" w:fill="auto"/>
                  <w:vAlign w:val="center"/>
                </w:tcPr>
                <w:p w14:paraId="39A198E8">
                  <w:pPr>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color w:val="auto"/>
                      <w:kern w:val="2"/>
                      <w:sz w:val="21"/>
                      <w:szCs w:val="21"/>
                      <w:lang w:val="en-US" w:eastAsia="zh-CN" w:bidi="ar-SA"/>
                    </w:rPr>
                  </w:pPr>
                  <w:r>
                    <w:rPr>
                      <w:rFonts w:hint="default" w:ascii="Times New Roman" w:hAnsi="Times New Roman" w:eastAsia="宋体" w:cs="Times New Roman"/>
                      <w:color w:val="auto"/>
                      <w:szCs w:val="21"/>
                      <w:lang w:val="en-US" w:eastAsia="zh-CN"/>
                    </w:rPr>
                    <w:t>背胶</w:t>
                  </w:r>
                </w:p>
              </w:tc>
              <w:tc>
                <w:tcPr>
                  <w:tcW w:w="780" w:type="pct"/>
                  <w:vAlign w:val="center"/>
                </w:tcPr>
                <w:p w14:paraId="2E2040AC">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rPr>
                    <w:t>650底涂机</w:t>
                  </w:r>
                </w:p>
              </w:tc>
              <w:tc>
                <w:tcPr>
                  <w:tcW w:w="610" w:type="pct"/>
                  <w:vAlign w:val="center"/>
                </w:tcPr>
                <w:p w14:paraId="17AF6F72">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rPr>
                    <w:t>非甲烷总烃</w:t>
                  </w:r>
                  <w:r>
                    <w:rPr>
                      <w:rFonts w:hint="default" w:ascii="Times New Roman" w:hAnsi="Times New Roman" w:eastAsia="宋体" w:cs="Times New Roman"/>
                      <w:color w:val="auto"/>
                      <w:szCs w:val="21"/>
                      <w:lang w:eastAsia="zh-CN"/>
                    </w:rPr>
                    <w:t>、臭气浓度</w:t>
                  </w:r>
                </w:p>
              </w:tc>
              <w:tc>
                <w:tcPr>
                  <w:tcW w:w="597" w:type="pct"/>
                  <w:vAlign w:val="center"/>
                </w:tcPr>
                <w:p w14:paraId="379E6B22">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rPr>
                    <w:t>有组织、无组织</w:t>
                  </w:r>
                </w:p>
              </w:tc>
              <w:tc>
                <w:tcPr>
                  <w:tcW w:w="854" w:type="pct"/>
                  <w:vAlign w:val="center"/>
                </w:tcPr>
                <w:p w14:paraId="0FF6E28A">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lang w:val="en-US" w:eastAsia="zh-CN"/>
                    </w:rPr>
                    <w:t>水喷淋+干式过滤+二级活性炭吸附装置</w:t>
                  </w:r>
                </w:p>
              </w:tc>
              <w:tc>
                <w:tcPr>
                  <w:tcW w:w="854" w:type="pct"/>
                  <w:vMerge w:val="continue"/>
                  <w:vAlign w:val="center"/>
                </w:tcPr>
                <w:p w14:paraId="5CC45069">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p>
              </w:tc>
              <w:tc>
                <w:tcPr>
                  <w:tcW w:w="402" w:type="pct"/>
                  <w:vAlign w:val="center"/>
                </w:tcPr>
                <w:p w14:paraId="35C6E059">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rPr>
                    <w:t>是</w:t>
                  </w:r>
                </w:p>
              </w:tc>
            </w:tr>
            <w:tr w14:paraId="57C807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259" w:type="pct"/>
                  <w:vAlign w:val="center"/>
                </w:tcPr>
                <w:p w14:paraId="36FE12B9">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r>
                    <w:rPr>
                      <w:rFonts w:hint="eastAsia" w:ascii="Times New Roman" w:hAnsi="Times New Roman" w:eastAsia="宋体" w:cs="Times New Roman"/>
                      <w:color w:val="auto"/>
                      <w:szCs w:val="21"/>
                      <w:lang w:val="en-US" w:eastAsia="zh-CN"/>
                    </w:rPr>
                    <w:t>3</w:t>
                  </w:r>
                </w:p>
              </w:tc>
              <w:tc>
                <w:tcPr>
                  <w:tcW w:w="364" w:type="pct"/>
                  <w:vMerge w:val="continue"/>
                  <w:shd w:val="clear" w:color="auto" w:fill="auto"/>
                  <w:vAlign w:val="center"/>
                </w:tcPr>
                <w:p w14:paraId="3603870B">
                  <w:pPr>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color w:val="auto"/>
                      <w:kern w:val="2"/>
                      <w:sz w:val="21"/>
                      <w:szCs w:val="21"/>
                      <w:lang w:val="en-US" w:eastAsia="zh-CN" w:bidi="ar-SA"/>
                    </w:rPr>
                  </w:pPr>
                </w:p>
              </w:tc>
              <w:tc>
                <w:tcPr>
                  <w:tcW w:w="276" w:type="pct"/>
                  <w:shd w:val="clear" w:color="auto" w:fill="auto"/>
                  <w:vAlign w:val="center"/>
                </w:tcPr>
                <w:p w14:paraId="46631E79">
                  <w:pPr>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color w:val="auto"/>
                      <w:kern w:val="2"/>
                      <w:sz w:val="21"/>
                      <w:szCs w:val="21"/>
                      <w:lang w:val="en-US" w:eastAsia="zh-CN" w:bidi="ar-SA"/>
                    </w:rPr>
                  </w:pPr>
                  <w:r>
                    <w:rPr>
                      <w:rFonts w:hint="default" w:ascii="Times New Roman" w:hAnsi="Times New Roman" w:eastAsia="宋体" w:cs="Times New Roman"/>
                      <w:color w:val="auto"/>
                      <w:szCs w:val="21"/>
                      <w:lang w:val="en-US" w:eastAsia="zh-CN"/>
                    </w:rPr>
                    <w:t>贴合</w:t>
                  </w:r>
                </w:p>
              </w:tc>
              <w:tc>
                <w:tcPr>
                  <w:tcW w:w="780" w:type="pct"/>
                  <w:shd w:val="clear" w:color="auto" w:fill="auto"/>
                  <w:vAlign w:val="center"/>
                </w:tcPr>
                <w:p w14:paraId="0E44387D">
                  <w:pPr>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color w:val="auto"/>
                      <w:kern w:val="2"/>
                      <w:sz w:val="21"/>
                      <w:szCs w:val="21"/>
                      <w:lang w:val="en-US" w:eastAsia="zh-CN" w:bidi="ar-SA"/>
                    </w:rPr>
                  </w:pPr>
                  <w:r>
                    <w:rPr>
                      <w:rFonts w:hint="default" w:ascii="Times New Roman" w:hAnsi="Times New Roman" w:eastAsia="宋体" w:cs="Times New Roman"/>
                      <w:color w:val="auto"/>
                      <w:szCs w:val="21"/>
                    </w:rPr>
                    <w:t>多工位贴合机</w:t>
                  </w:r>
                </w:p>
              </w:tc>
              <w:tc>
                <w:tcPr>
                  <w:tcW w:w="610" w:type="pct"/>
                  <w:shd w:val="clear" w:color="auto" w:fill="auto"/>
                  <w:vAlign w:val="center"/>
                </w:tcPr>
                <w:p w14:paraId="6DAC7CD0">
                  <w:pPr>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color w:val="auto"/>
                      <w:kern w:val="2"/>
                      <w:sz w:val="21"/>
                      <w:szCs w:val="21"/>
                      <w:lang w:val="en-US" w:eastAsia="zh-CN" w:bidi="ar-SA"/>
                    </w:rPr>
                  </w:pPr>
                  <w:r>
                    <w:rPr>
                      <w:rFonts w:hint="default" w:ascii="Times New Roman" w:hAnsi="Times New Roman" w:eastAsia="宋体" w:cs="Times New Roman"/>
                      <w:color w:val="auto"/>
                      <w:szCs w:val="21"/>
                    </w:rPr>
                    <w:t>非甲烷总烃</w:t>
                  </w:r>
                  <w:r>
                    <w:rPr>
                      <w:rFonts w:hint="default" w:ascii="Times New Roman" w:hAnsi="Times New Roman" w:eastAsia="宋体" w:cs="Times New Roman"/>
                      <w:color w:val="auto"/>
                      <w:szCs w:val="21"/>
                      <w:lang w:eastAsia="zh-CN"/>
                    </w:rPr>
                    <w:t>、臭气浓度</w:t>
                  </w:r>
                </w:p>
              </w:tc>
              <w:tc>
                <w:tcPr>
                  <w:tcW w:w="597" w:type="pct"/>
                  <w:shd w:val="clear" w:color="auto" w:fill="auto"/>
                  <w:vAlign w:val="center"/>
                </w:tcPr>
                <w:p w14:paraId="3950C566">
                  <w:pPr>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color w:val="auto"/>
                      <w:kern w:val="2"/>
                      <w:sz w:val="21"/>
                      <w:szCs w:val="21"/>
                      <w:lang w:val="en-US" w:eastAsia="zh-CN" w:bidi="ar-SA"/>
                    </w:rPr>
                  </w:pPr>
                  <w:r>
                    <w:rPr>
                      <w:rFonts w:hint="default" w:ascii="Times New Roman" w:hAnsi="Times New Roman" w:eastAsia="宋体" w:cs="Times New Roman"/>
                      <w:color w:val="auto"/>
                      <w:szCs w:val="21"/>
                    </w:rPr>
                    <w:t>无组织</w:t>
                  </w:r>
                </w:p>
              </w:tc>
              <w:tc>
                <w:tcPr>
                  <w:tcW w:w="854" w:type="pct"/>
                  <w:shd w:val="clear" w:color="auto" w:fill="auto"/>
                  <w:vAlign w:val="center"/>
                </w:tcPr>
                <w:p w14:paraId="5506293F">
                  <w:pPr>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color w:val="auto"/>
                      <w:kern w:val="2"/>
                      <w:sz w:val="21"/>
                      <w:szCs w:val="21"/>
                      <w:lang w:val="en-US" w:eastAsia="zh-CN" w:bidi="ar-SA"/>
                    </w:rPr>
                  </w:pPr>
                  <w:r>
                    <w:rPr>
                      <w:rFonts w:hint="eastAsia" w:ascii="Times New Roman" w:hAnsi="Times New Roman" w:eastAsia="宋体" w:cs="Times New Roman"/>
                      <w:color w:val="auto"/>
                      <w:szCs w:val="21"/>
                      <w:lang w:val="en-US" w:eastAsia="zh-CN"/>
                    </w:rPr>
                    <w:t>/</w:t>
                  </w:r>
                </w:p>
              </w:tc>
              <w:tc>
                <w:tcPr>
                  <w:tcW w:w="854" w:type="pct"/>
                  <w:vMerge w:val="continue"/>
                  <w:vAlign w:val="center"/>
                </w:tcPr>
                <w:p w14:paraId="4D8D8CEF">
                  <w:pPr>
                    <w:keepNext w:val="0"/>
                    <w:keepLines w:val="0"/>
                    <w:suppressLineNumbers w:val="0"/>
                    <w:spacing w:before="0" w:beforeAutospacing="0" w:after="0" w:afterAutospacing="0"/>
                    <w:ind w:left="0" w:right="0"/>
                    <w:jc w:val="center"/>
                    <w:rPr>
                      <w:rFonts w:hint="eastAsia" w:ascii="Times New Roman" w:hAnsi="Times New Roman" w:eastAsia="宋体" w:cs="Times New Roman"/>
                      <w:color w:val="auto"/>
                      <w:szCs w:val="21"/>
                      <w:lang w:val="en-US" w:eastAsia="zh-CN"/>
                    </w:rPr>
                  </w:pPr>
                </w:p>
              </w:tc>
              <w:tc>
                <w:tcPr>
                  <w:tcW w:w="402" w:type="pct"/>
                  <w:vAlign w:val="center"/>
                </w:tcPr>
                <w:p w14:paraId="1C69C76D">
                  <w:pPr>
                    <w:keepNext w:val="0"/>
                    <w:keepLines w:val="0"/>
                    <w:suppressLineNumbers w:val="0"/>
                    <w:spacing w:before="0" w:beforeAutospacing="0" w:after="0" w:afterAutospacing="0"/>
                    <w:ind w:left="0" w:right="0"/>
                    <w:jc w:val="center"/>
                    <w:rPr>
                      <w:rFonts w:hint="eastAsia" w:ascii="Times New Roman" w:hAnsi="Times New Roman" w:eastAsia="宋体" w:cs="Times New Roman"/>
                      <w:color w:val="auto"/>
                      <w:szCs w:val="21"/>
                      <w:lang w:val="en-US" w:eastAsia="zh-CN"/>
                    </w:rPr>
                  </w:pPr>
                  <w:r>
                    <w:rPr>
                      <w:rFonts w:hint="eastAsia" w:ascii="Times New Roman" w:hAnsi="Times New Roman" w:eastAsia="宋体" w:cs="Times New Roman"/>
                      <w:color w:val="auto"/>
                      <w:szCs w:val="21"/>
                      <w:lang w:val="en-US" w:eastAsia="zh-CN"/>
                    </w:rPr>
                    <w:t>/</w:t>
                  </w:r>
                </w:p>
              </w:tc>
            </w:tr>
            <w:tr w14:paraId="20DC8C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259" w:type="pct"/>
                  <w:vAlign w:val="center"/>
                </w:tcPr>
                <w:p w14:paraId="62488000">
                  <w:pPr>
                    <w:keepNext w:val="0"/>
                    <w:keepLines w:val="0"/>
                    <w:suppressLineNumbers w:val="0"/>
                    <w:spacing w:before="0" w:beforeAutospacing="0" w:after="0" w:afterAutospacing="0"/>
                    <w:ind w:left="0" w:right="0"/>
                    <w:jc w:val="center"/>
                    <w:rPr>
                      <w:rFonts w:hint="eastAsia" w:ascii="Times New Roman" w:hAnsi="Times New Roman" w:eastAsia="宋体" w:cs="Times New Roman"/>
                      <w:color w:val="auto"/>
                      <w:szCs w:val="21"/>
                      <w:lang w:val="en-US" w:eastAsia="zh-CN"/>
                    </w:rPr>
                  </w:pPr>
                  <w:r>
                    <w:rPr>
                      <w:rFonts w:hint="eastAsia" w:ascii="Times New Roman" w:hAnsi="Times New Roman" w:eastAsia="宋体" w:cs="Times New Roman"/>
                      <w:color w:val="auto"/>
                      <w:szCs w:val="21"/>
                      <w:lang w:val="en-US" w:eastAsia="zh-CN"/>
                    </w:rPr>
                    <w:t>4</w:t>
                  </w:r>
                </w:p>
              </w:tc>
              <w:tc>
                <w:tcPr>
                  <w:tcW w:w="364" w:type="pct"/>
                  <w:shd w:val="clear" w:color="auto" w:fill="auto"/>
                  <w:vAlign w:val="center"/>
                </w:tcPr>
                <w:p w14:paraId="7DE7AE88">
                  <w:pPr>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color w:val="auto"/>
                      <w:kern w:val="2"/>
                      <w:sz w:val="21"/>
                      <w:szCs w:val="21"/>
                      <w:lang w:val="en-US" w:eastAsia="zh-CN" w:bidi="ar-SA"/>
                    </w:rPr>
                  </w:pPr>
                  <w:r>
                    <w:rPr>
                      <w:rFonts w:hint="default" w:ascii="Times New Roman" w:hAnsi="Times New Roman" w:eastAsia="宋体" w:cs="Times New Roman"/>
                      <w:color w:val="auto"/>
                      <w:kern w:val="2"/>
                      <w:sz w:val="21"/>
                      <w:szCs w:val="21"/>
                      <w:lang w:val="en-US" w:eastAsia="zh-CN" w:bidi="ar-SA"/>
                    </w:rPr>
                    <w:t>纳米隔热板</w:t>
                  </w:r>
                </w:p>
              </w:tc>
              <w:tc>
                <w:tcPr>
                  <w:tcW w:w="276" w:type="pct"/>
                  <w:shd w:val="clear" w:color="auto" w:fill="auto"/>
                  <w:vAlign w:val="center"/>
                </w:tcPr>
                <w:p w14:paraId="20649A42">
                  <w:pPr>
                    <w:keepNext w:val="0"/>
                    <w:keepLines w:val="0"/>
                    <w:suppressLineNumbers w:val="0"/>
                    <w:spacing w:before="0" w:beforeAutospacing="0" w:after="0" w:afterAutospacing="0"/>
                    <w:ind w:left="0" w:leftChars="0" w:right="0" w:rightChars="0"/>
                    <w:jc w:val="center"/>
                    <w:rPr>
                      <w:rFonts w:hint="eastAsia" w:ascii="Times New Roman" w:hAnsi="Times New Roman" w:eastAsia="宋体" w:cs="Times New Roman"/>
                      <w:color w:val="auto"/>
                      <w:kern w:val="2"/>
                      <w:sz w:val="21"/>
                      <w:szCs w:val="21"/>
                      <w:lang w:val="en-US" w:eastAsia="zh-CN" w:bidi="ar-SA"/>
                    </w:rPr>
                  </w:pPr>
                  <w:r>
                    <w:rPr>
                      <w:rFonts w:hint="eastAsia" w:ascii="Times New Roman" w:hAnsi="Times New Roman" w:eastAsia="宋体" w:cs="Times New Roman"/>
                      <w:color w:val="auto"/>
                      <w:szCs w:val="21"/>
                      <w:lang w:val="en-US" w:eastAsia="zh-CN"/>
                    </w:rPr>
                    <w:t>真空热合</w:t>
                  </w:r>
                </w:p>
              </w:tc>
              <w:tc>
                <w:tcPr>
                  <w:tcW w:w="780" w:type="pct"/>
                  <w:shd w:val="clear" w:color="auto" w:fill="auto"/>
                  <w:vAlign w:val="center"/>
                </w:tcPr>
                <w:p w14:paraId="6E6AE7B0">
                  <w:pPr>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color w:val="auto"/>
                      <w:kern w:val="2"/>
                      <w:sz w:val="21"/>
                      <w:szCs w:val="21"/>
                      <w:lang w:val="en-US" w:eastAsia="zh-CN" w:bidi="ar-SA"/>
                    </w:rPr>
                  </w:pPr>
                  <w:r>
                    <w:rPr>
                      <w:rFonts w:hint="eastAsia" w:ascii="Times New Roman" w:hAnsi="Times New Roman" w:eastAsia="宋体" w:cs="Times New Roman"/>
                      <w:color w:val="auto"/>
                      <w:szCs w:val="21"/>
                    </w:rPr>
                    <w:t>真空热合机</w:t>
                  </w:r>
                </w:p>
              </w:tc>
              <w:tc>
                <w:tcPr>
                  <w:tcW w:w="610" w:type="pct"/>
                  <w:shd w:val="clear" w:color="auto" w:fill="auto"/>
                  <w:vAlign w:val="center"/>
                </w:tcPr>
                <w:p w14:paraId="3BE76DD7">
                  <w:pPr>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color w:val="auto"/>
                      <w:kern w:val="2"/>
                      <w:sz w:val="21"/>
                      <w:szCs w:val="21"/>
                      <w:lang w:val="en-US" w:eastAsia="zh-CN" w:bidi="ar-SA"/>
                    </w:rPr>
                  </w:pPr>
                  <w:r>
                    <w:rPr>
                      <w:rFonts w:hint="default" w:ascii="Times New Roman" w:hAnsi="Times New Roman" w:eastAsia="宋体" w:cs="Times New Roman"/>
                      <w:color w:val="auto"/>
                      <w:szCs w:val="21"/>
                    </w:rPr>
                    <w:t>非甲烷总烃</w:t>
                  </w:r>
                  <w:r>
                    <w:rPr>
                      <w:rFonts w:hint="default" w:ascii="Times New Roman" w:hAnsi="Times New Roman" w:eastAsia="宋体" w:cs="Times New Roman"/>
                      <w:color w:val="auto"/>
                      <w:szCs w:val="21"/>
                      <w:lang w:eastAsia="zh-CN"/>
                    </w:rPr>
                    <w:t>、臭气浓度</w:t>
                  </w:r>
                </w:p>
              </w:tc>
              <w:tc>
                <w:tcPr>
                  <w:tcW w:w="597" w:type="pct"/>
                  <w:shd w:val="clear" w:color="auto" w:fill="auto"/>
                  <w:vAlign w:val="center"/>
                </w:tcPr>
                <w:p w14:paraId="680AE6CE">
                  <w:pPr>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color w:val="auto"/>
                      <w:kern w:val="2"/>
                      <w:sz w:val="21"/>
                      <w:szCs w:val="21"/>
                      <w:lang w:val="en-US" w:eastAsia="zh-CN" w:bidi="ar-SA"/>
                    </w:rPr>
                  </w:pPr>
                  <w:r>
                    <w:rPr>
                      <w:rFonts w:hint="default" w:ascii="Times New Roman" w:hAnsi="Times New Roman" w:eastAsia="宋体" w:cs="Times New Roman"/>
                      <w:color w:val="auto"/>
                      <w:szCs w:val="21"/>
                    </w:rPr>
                    <w:t>无组织</w:t>
                  </w:r>
                </w:p>
              </w:tc>
              <w:tc>
                <w:tcPr>
                  <w:tcW w:w="854" w:type="pct"/>
                  <w:shd w:val="clear" w:color="auto" w:fill="auto"/>
                  <w:vAlign w:val="center"/>
                </w:tcPr>
                <w:p w14:paraId="3024F048">
                  <w:pPr>
                    <w:keepNext w:val="0"/>
                    <w:keepLines w:val="0"/>
                    <w:suppressLineNumbers w:val="0"/>
                    <w:spacing w:before="0" w:beforeAutospacing="0" w:after="0" w:afterAutospacing="0"/>
                    <w:ind w:left="0" w:leftChars="0" w:right="0" w:rightChars="0"/>
                    <w:jc w:val="center"/>
                    <w:rPr>
                      <w:rFonts w:hint="eastAsia" w:ascii="Times New Roman" w:hAnsi="Times New Roman" w:eastAsia="宋体" w:cs="Times New Roman"/>
                      <w:color w:val="auto"/>
                      <w:kern w:val="2"/>
                      <w:sz w:val="21"/>
                      <w:szCs w:val="21"/>
                      <w:lang w:val="en-US" w:eastAsia="zh-CN" w:bidi="ar-SA"/>
                    </w:rPr>
                  </w:pPr>
                  <w:r>
                    <w:rPr>
                      <w:rFonts w:hint="eastAsia" w:ascii="Times New Roman" w:hAnsi="Times New Roman" w:eastAsia="宋体" w:cs="Times New Roman"/>
                      <w:color w:val="auto"/>
                      <w:szCs w:val="21"/>
                      <w:lang w:val="en-US" w:eastAsia="zh-CN"/>
                    </w:rPr>
                    <w:t>/</w:t>
                  </w:r>
                </w:p>
              </w:tc>
              <w:tc>
                <w:tcPr>
                  <w:tcW w:w="854" w:type="pct"/>
                  <w:vMerge w:val="continue"/>
                  <w:vAlign w:val="center"/>
                </w:tcPr>
                <w:p w14:paraId="41EC9C9D">
                  <w:pPr>
                    <w:keepNext w:val="0"/>
                    <w:keepLines w:val="0"/>
                    <w:suppressLineNumbers w:val="0"/>
                    <w:spacing w:before="0" w:beforeAutospacing="0" w:after="0" w:afterAutospacing="0"/>
                    <w:ind w:left="0" w:right="0"/>
                    <w:jc w:val="center"/>
                    <w:rPr>
                      <w:rFonts w:hint="eastAsia" w:ascii="Times New Roman" w:hAnsi="Times New Roman" w:eastAsia="宋体" w:cs="Times New Roman"/>
                      <w:color w:val="auto"/>
                      <w:szCs w:val="21"/>
                      <w:lang w:val="en-US" w:eastAsia="zh-CN"/>
                    </w:rPr>
                  </w:pPr>
                </w:p>
              </w:tc>
              <w:tc>
                <w:tcPr>
                  <w:tcW w:w="402" w:type="pct"/>
                  <w:vAlign w:val="center"/>
                </w:tcPr>
                <w:p w14:paraId="750C76D8">
                  <w:pPr>
                    <w:keepNext w:val="0"/>
                    <w:keepLines w:val="0"/>
                    <w:suppressLineNumbers w:val="0"/>
                    <w:spacing w:before="0" w:beforeAutospacing="0" w:after="0" w:afterAutospacing="0"/>
                    <w:ind w:left="0" w:right="0"/>
                    <w:jc w:val="center"/>
                    <w:rPr>
                      <w:rFonts w:hint="eastAsia" w:ascii="Times New Roman" w:hAnsi="Times New Roman" w:eastAsia="宋体" w:cs="Times New Roman"/>
                      <w:color w:val="auto"/>
                      <w:szCs w:val="21"/>
                      <w:lang w:val="en-US" w:eastAsia="zh-CN"/>
                    </w:rPr>
                  </w:pPr>
                  <w:r>
                    <w:rPr>
                      <w:rFonts w:hint="eastAsia" w:ascii="Times New Roman" w:hAnsi="Times New Roman" w:eastAsia="宋体" w:cs="Times New Roman"/>
                      <w:color w:val="auto"/>
                      <w:szCs w:val="21"/>
                      <w:lang w:val="en-US" w:eastAsia="zh-CN"/>
                    </w:rPr>
                    <w:t>/</w:t>
                  </w:r>
                </w:p>
              </w:tc>
            </w:tr>
            <w:tr w14:paraId="2661BC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61" w:hRule="atLeast"/>
                <w:jc w:val="center"/>
              </w:trPr>
              <w:tc>
                <w:tcPr>
                  <w:tcW w:w="259" w:type="pct"/>
                  <w:vAlign w:val="center"/>
                </w:tcPr>
                <w:p w14:paraId="523F4003">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lang w:val="en-US" w:eastAsia="zh-CN"/>
                    </w:rPr>
                  </w:pPr>
                  <w:r>
                    <w:rPr>
                      <w:rFonts w:hint="eastAsia" w:ascii="Times New Roman" w:hAnsi="Times New Roman" w:eastAsia="宋体" w:cs="Times New Roman"/>
                      <w:color w:val="auto"/>
                      <w:szCs w:val="21"/>
                      <w:lang w:val="en-US" w:eastAsia="zh-CN"/>
                    </w:rPr>
                    <w:t>5</w:t>
                  </w:r>
                </w:p>
              </w:tc>
              <w:tc>
                <w:tcPr>
                  <w:tcW w:w="640" w:type="pct"/>
                  <w:gridSpan w:val="2"/>
                  <w:vAlign w:val="center"/>
                </w:tcPr>
                <w:p w14:paraId="5F879E50">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lang w:val="en-US" w:eastAsia="zh-CN"/>
                    </w:rPr>
                    <w:t>辅料成型</w:t>
                  </w:r>
                </w:p>
              </w:tc>
              <w:tc>
                <w:tcPr>
                  <w:tcW w:w="780" w:type="pct"/>
                  <w:vAlign w:val="center"/>
                </w:tcPr>
                <w:p w14:paraId="70D13A20">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rPr>
                    <w:t>立式液态射出成型机</w:t>
                  </w:r>
                </w:p>
              </w:tc>
              <w:tc>
                <w:tcPr>
                  <w:tcW w:w="610" w:type="pct"/>
                  <w:vAlign w:val="center"/>
                </w:tcPr>
                <w:p w14:paraId="2A088308">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rPr>
                    <w:t>非甲烷总烃</w:t>
                  </w:r>
                  <w:r>
                    <w:rPr>
                      <w:rFonts w:hint="default" w:ascii="Times New Roman" w:hAnsi="Times New Roman" w:eastAsia="宋体" w:cs="Times New Roman"/>
                      <w:color w:val="auto"/>
                      <w:szCs w:val="21"/>
                      <w:lang w:eastAsia="zh-CN"/>
                    </w:rPr>
                    <w:t>、臭气浓度</w:t>
                  </w:r>
                </w:p>
              </w:tc>
              <w:tc>
                <w:tcPr>
                  <w:tcW w:w="597" w:type="pct"/>
                  <w:vAlign w:val="center"/>
                </w:tcPr>
                <w:p w14:paraId="673F9B5D">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rPr>
                    <w:t>有组织、无组织</w:t>
                  </w:r>
                </w:p>
              </w:tc>
              <w:tc>
                <w:tcPr>
                  <w:tcW w:w="854" w:type="pct"/>
                  <w:vAlign w:val="center"/>
                </w:tcPr>
                <w:p w14:paraId="0E382C7C">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lang w:val="en-US" w:eastAsia="zh-CN"/>
                    </w:rPr>
                    <w:t>水喷淋+干式过滤+二级活性炭吸附装置</w:t>
                  </w:r>
                </w:p>
              </w:tc>
              <w:tc>
                <w:tcPr>
                  <w:tcW w:w="854" w:type="pct"/>
                  <w:vMerge w:val="continue"/>
                  <w:vAlign w:val="center"/>
                </w:tcPr>
                <w:p w14:paraId="1C0F4187">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p>
              </w:tc>
              <w:tc>
                <w:tcPr>
                  <w:tcW w:w="402" w:type="pct"/>
                  <w:vAlign w:val="center"/>
                </w:tcPr>
                <w:p w14:paraId="10519F87">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rPr>
                    <w:t>是</w:t>
                  </w:r>
                </w:p>
              </w:tc>
            </w:tr>
            <w:tr w14:paraId="64340A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259" w:type="pct"/>
                  <w:shd w:val="clear" w:color="auto" w:fill="auto"/>
                  <w:vAlign w:val="center"/>
                </w:tcPr>
                <w:p w14:paraId="2E071C01">
                  <w:pPr>
                    <w:keepNext w:val="0"/>
                    <w:keepLines w:val="0"/>
                    <w:suppressLineNumbers w:val="0"/>
                    <w:spacing w:before="0" w:beforeAutospacing="0" w:after="0" w:afterAutospacing="0"/>
                    <w:ind w:left="0" w:leftChars="0" w:right="0" w:rightChars="0"/>
                    <w:jc w:val="center"/>
                    <w:rPr>
                      <w:rFonts w:hint="eastAsia" w:ascii="Times New Roman" w:hAnsi="Times New Roman" w:eastAsia="宋体" w:cs="Times New Roman"/>
                      <w:color w:val="auto"/>
                      <w:kern w:val="2"/>
                      <w:sz w:val="21"/>
                      <w:szCs w:val="21"/>
                      <w:lang w:val="en-US" w:eastAsia="zh-CN" w:bidi="ar-SA"/>
                    </w:rPr>
                  </w:pPr>
                  <w:r>
                    <w:rPr>
                      <w:rFonts w:hint="eastAsia" w:ascii="Times New Roman" w:hAnsi="Times New Roman" w:eastAsia="宋体" w:cs="Times New Roman"/>
                      <w:color w:val="auto"/>
                      <w:szCs w:val="21"/>
                      <w:lang w:val="en-US" w:eastAsia="zh-CN"/>
                    </w:rPr>
                    <w:t>6</w:t>
                  </w:r>
                </w:p>
              </w:tc>
              <w:tc>
                <w:tcPr>
                  <w:tcW w:w="364" w:type="pct"/>
                  <w:vMerge w:val="restart"/>
                  <w:vAlign w:val="center"/>
                </w:tcPr>
                <w:p w14:paraId="1DCAE26F">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lang w:val="en-US" w:eastAsia="zh-CN"/>
                    </w:rPr>
                    <w:t>纳米隔热板</w:t>
                  </w:r>
                </w:p>
              </w:tc>
              <w:tc>
                <w:tcPr>
                  <w:tcW w:w="276" w:type="pct"/>
                  <w:shd w:val="clear" w:color="auto" w:fill="auto"/>
                  <w:vAlign w:val="center"/>
                </w:tcPr>
                <w:p w14:paraId="390543C8">
                  <w:pPr>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color w:val="auto"/>
                      <w:kern w:val="2"/>
                      <w:sz w:val="21"/>
                      <w:szCs w:val="21"/>
                      <w:lang w:val="en-US" w:eastAsia="zh-CN" w:bidi="ar-SA"/>
                    </w:rPr>
                  </w:pPr>
                  <w:r>
                    <w:rPr>
                      <w:rFonts w:hint="default" w:ascii="Times New Roman" w:hAnsi="Times New Roman" w:eastAsia="宋体" w:cs="Times New Roman"/>
                      <w:color w:val="auto"/>
                      <w:szCs w:val="21"/>
                      <w:highlight w:val="none"/>
                      <w:lang w:val="en-US" w:eastAsia="zh-CN"/>
                    </w:rPr>
                    <w:t>拆包</w:t>
                  </w:r>
                  <w:r>
                    <w:rPr>
                      <w:rFonts w:hint="eastAsia" w:ascii="Times New Roman" w:hAnsi="Times New Roman" w:eastAsia="宋体" w:cs="Times New Roman"/>
                      <w:color w:val="auto"/>
                      <w:szCs w:val="21"/>
                      <w:highlight w:val="none"/>
                      <w:lang w:val="en-US" w:eastAsia="zh-CN"/>
                    </w:rPr>
                    <w:t>、混合、储料</w:t>
                  </w:r>
                </w:p>
              </w:tc>
              <w:tc>
                <w:tcPr>
                  <w:tcW w:w="780" w:type="pct"/>
                  <w:vAlign w:val="center"/>
                </w:tcPr>
                <w:p w14:paraId="48A283B0">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lang w:val="en-US" w:eastAsia="zh-CN"/>
                    </w:rPr>
                  </w:pPr>
                  <w:r>
                    <w:rPr>
                      <w:rFonts w:hint="default" w:ascii="Times New Roman" w:hAnsi="Times New Roman" w:eastAsia="宋体" w:cs="Times New Roman"/>
                      <w:color w:val="auto"/>
                      <w:szCs w:val="21"/>
                    </w:rPr>
                    <w:t>自动拆包机</w:t>
                  </w:r>
                  <w:r>
                    <w:rPr>
                      <w:rFonts w:hint="eastAsia" w:ascii="Times New Roman" w:hAnsi="Times New Roman" w:eastAsia="宋体" w:cs="Times New Roman"/>
                      <w:color w:val="auto"/>
                      <w:szCs w:val="21"/>
                      <w:lang w:eastAsia="zh-CN"/>
                    </w:rPr>
                    <w:t>、高速混合机</w:t>
                  </w:r>
                  <w:r>
                    <w:rPr>
                      <w:rFonts w:hint="eastAsia" w:ascii="Times New Roman" w:hAnsi="Times New Roman" w:eastAsia="宋体" w:cs="Times New Roman"/>
                      <w:color w:val="auto"/>
                      <w:szCs w:val="21"/>
                      <w:lang w:val="en-US" w:eastAsia="zh-CN"/>
                    </w:rPr>
                    <w:t>等</w:t>
                  </w:r>
                </w:p>
              </w:tc>
              <w:tc>
                <w:tcPr>
                  <w:tcW w:w="610" w:type="pct"/>
                  <w:vAlign w:val="center"/>
                </w:tcPr>
                <w:p w14:paraId="18CA7F4A">
                  <w:pPr>
                    <w:keepNext w:val="0"/>
                    <w:keepLines w:val="0"/>
                    <w:suppressLineNumbers w:val="0"/>
                    <w:spacing w:before="0" w:beforeAutospacing="0" w:after="0" w:afterAutospacing="0"/>
                    <w:ind w:left="0" w:right="0"/>
                    <w:jc w:val="center"/>
                    <w:rPr>
                      <w:rFonts w:hint="eastAsia" w:ascii="Times New Roman" w:hAnsi="Times New Roman" w:eastAsia="宋体" w:cs="Times New Roman"/>
                      <w:color w:val="auto"/>
                      <w:szCs w:val="21"/>
                      <w:lang w:val="en-US" w:eastAsia="zh-CN"/>
                    </w:rPr>
                  </w:pPr>
                  <w:r>
                    <w:rPr>
                      <w:rFonts w:hint="eastAsia" w:ascii="Times New Roman" w:hAnsi="Times New Roman" w:eastAsia="宋体" w:cs="Times New Roman"/>
                      <w:color w:val="auto"/>
                      <w:szCs w:val="21"/>
                      <w:lang w:val="en-US" w:eastAsia="zh-CN"/>
                    </w:rPr>
                    <w:t>颗粒物</w:t>
                  </w:r>
                </w:p>
              </w:tc>
              <w:tc>
                <w:tcPr>
                  <w:tcW w:w="597" w:type="pct"/>
                  <w:vAlign w:val="center"/>
                </w:tcPr>
                <w:p w14:paraId="22AB3FCB">
                  <w:pPr>
                    <w:keepNext w:val="0"/>
                    <w:keepLines w:val="0"/>
                    <w:suppressLineNumbers w:val="0"/>
                    <w:spacing w:before="0" w:beforeAutospacing="0" w:after="0" w:afterAutospacing="0"/>
                    <w:ind w:left="0" w:right="0"/>
                    <w:jc w:val="center"/>
                    <w:rPr>
                      <w:rFonts w:hint="eastAsia" w:ascii="Times New Roman" w:hAnsi="Times New Roman" w:eastAsia="宋体" w:cs="Times New Roman"/>
                      <w:color w:val="auto"/>
                      <w:szCs w:val="21"/>
                      <w:lang w:val="en-US" w:eastAsia="zh-CN"/>
                    </w:rPr>
                  </w:pPr>
                  <w:r>
                    <w:rPr>
                      <w:rFonts w:hint="default" w:ascii="Times New Roman" w:hAnsi="Times New Roman" w:eastAsia="宋体" w:cs="Times New Roman"/>
                      <w:color w:val="auto"/>
                      <w:szCs w:val="21"/>
                    </w:rPr>
                    <w:t>有组织、无组织</w:t>
                  </w:r>
                </w:p>
              </w:tc>
              <w:tc>
                <w:tcPr>
                  <w:tcW w:w="854" w:type="pct"/>
                  <w:vAlign w:val="center"/>
                </w:tcPr>
                <w:p w14:paraId="4522A57B">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lang w:val="en-US" w:eastAsia="zh-CN"/>
                    </w:rPr>
                    <w:t>脉冲式布袋除尘器</w:t>
                  </w:r>
                </w:p>
              </w:tc>
              <w:tc>
                <w:tcPr>
                  <w:tcW w:w="854" w:type="pct"/>
                  <w:vMerge w:val="restart"/>
                  <w:vAlign w:val="center"/>
                </w:tcPr>
                <w:p w14:paraId="401A8DE2">
                  <w:pPr>
                    <w:keepNext w:val="0"/>
                    <w:keepLines w:val="0"/>
                    <w:suppressLineNumbers w:val="0"/>
                    <w:spacing w:before="0" w:beforeAutospacing="0" w:after="0" w:afterAutospacing="0"/>
                    <w:ind w:left="0" w:right="0"/>
                    <w:jc w:val="center"/>
                    <w:rPr>
                      <w:rFonts w:hint="eastAsia" w:ascii="Times New Roman" w:hAnsi="Times New Roman" w:eastAsia="宋体" w:cs="Times New Roman"/>
                      <w:color w:val="auto"/>
                      <w:szCs w:val="21"/>
                      <w:lang w:eastAsia="zh-CN"/>
                    </w:rPr>
                  </w:pPr>
                  <w:r>
                    <w:rPr>
                      <w:rFonts w:hint="default" w:ascii="Times New Roman" w:hAnsi="Times New Roman" w:eastAsia="宋体" w:cs="Times New Roman"/>
                      <w:color w:val="auto"/>
                      <w:szCs w:val="21"/>
                    </w:rPr>
                    <w:t>除尘设施</w:t>
                  </w:r>
                  <w:r>
                    <w:rPr>
                      <w:rFonts w:hint="eastAsia" w:ascii="Times New Roman" w:hAnsi="Times New Roman" w:eastAsia="宋体" w:cs="Times New Roman"/>
                      <w:color w:val="auto"/>
                      <w:szCs w:val="21"/>
                      <w:lang w:eastAsia="zh-CN"/>
                    </w:rPr>
                    <w:t>（</w:t>
                  </w:r>
                  <w:r>
                    <w:rPr>
                      <w:rFonts w:hint="default" w:ascii="Times New Roman" w:hAnsi="Times New Roman" w:eastAsia="宋体" w:cs="Times New Roman"/>
                      <w:color w:val="auto"/>
                      <w:szCs w:val="21"/>
                    </w:rPr>
                    <w:t>袋式除尘器、电除尘器、电袋复合除尘器、其他</w:t>
                  </w:r>
                  <w:r>
                    <w:rPr>
                      <w:rFonts w:hint="eastAsia" w:ascii="Times New Roman" w:hAnsi="Times New Roman" w:eastAsia="宋体" w:cs="Times New Roman"/>
                      <w:color w:val="auto"/>
                      <w:szCs w:val="21"/>
                      <w:lang w:eastAsia="zh-CN"/>
                    </w:rPr>
                    <w:t>）</w:t>
                  </w:r>
                </w:p>
              </w:tc>
              <w:tc>
                <w:tcPr>
                  <w:tcW w:w="402" w:type="pct"/>
                  <w:vAlign w:val="center"/>
                </w:tcPr>
                <w:p w14:paraId="684CF9AC">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rPr>
                    <w:t>是</w:t>
                  </w:r>
                </w:p>
              </w:tc>
            </w:tr>
            <w:tr w14:paraId="427B94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259" w:type="pct"/>
                  <w:shd w:val="clear" w:color="auto" w:fill="auto"/>
                  <w:vAlign w:val="center"/>
                </w:tcPr>
                <w:p w14:paraId="2748B555">
                  <w:pPr>
                    <w:keepNext w:val="0"/>
                    <w:keepLines w:val="0"/>
                    <w:suppressLineNumbers w:val="0"/>
                    <w:spacing w:before="0" w:beforeAutospacing="0" w:after="0" w:afterAutospacing="0"/>
                    <w:ind w:left="0" w:leftChars="0" w:right="0" w:rightChars="0"/>
                    <w:jc w:val="center"/>
                    <w:rPr>
                      <w:rFonts w:hint="eastAsia" w:ascii="Times New Roman" w:hAnsi="Times New Roman" w:eastAsia="宋体" w:cs="Times New Roman"/>
                      <w:color w:val="0000E1"/>
                      <w:szCs w:val="21"/>
                      <w:lang w:val="en-US" w:eastAsia="zh-CN"/>
                    </w:rPr>
                  </w:pPr>
                  <w:r>
                    <w:rPr>
                      <w:rFonts w:hint="eastAsia" w:ascii="Times New Roman" w:hAnsi="Times New Roman" w:eastAsia="宋体" w:cs="Times New Roman"/>
                      <w:color w:val="0000E1"/>
                      <w:szCs w:val="21"/>
                      <w:lang w:val="en-US" w:eastAsia="zh-CN"/>
                    </w:rPr>
                    <w:t>7</w:t>
                  </w:r>
                </w:p>
              </w:tc>
              <w:tc>
                <w:tcPr>
                  <w:tcW w:w="364" w:type="pct"/>
                  <w:vMerge w:val="continue"/>
                  <w:vAlign w:val="center"/>
                </w:tcPr>
                <w:p w14:paraId="6CB6C8D1">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0000E1"/>
                      <w:szCs w:val="21"/>
                      <w:lang w:val="en-US" w:eastAsia="zh-CN"/>
                    </w:rPr>
                  </w:pPr>
                </w:p>
              </w:tc>
              <w:tc>
                <w:tcPr>
                  <w:tcW w:w="276" w:type="pct"/>
                  <w:shd w:val="clear" w:color="auto" w:fill="auto"/>
                  <w:vAlign w:val="center"/>
                </w:tcPr>
                <w:p w14:paraId="0DEBA8A0">
                  <w:pPr>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color w:val="0000E1"/>
                      <w:szCs w:val="21"/>
                      <w:highlight w:val="none"/>
                      <w:lang w:val="en-US" w:eastAsia="zh-CN"/>
                    </w:rPr>
                  </w:pPr>
                  <w:r>
                    <w:rPr>
                      <w:rFonts w:hint="default" w:ascii="Times New Roman" w:hAnsi="Times New Roman" w:eastAsia="宋体" w:cs="Times New Roman"/>
                      <w:color w:val="0000E1"/>
                      <w:szCs w:val="21"/>
                      <w:highlight w:val="none"/>
                      <w:lang w:val="en-US" w:eastAsia="zh-CN"/>
                    </w:rPr>
                    <w:t>激光切割</w:t>
                  </w:r>
                </w:p>
              </w:tc>
              <w:tc>
                <w:tcPr>
                  <w:tcW w:w="780" w:type="pct"/>
                  <w:vAlign w:val="center"/>
                </w:tcPr>
                <w:p w14:paraId="2ACE3558">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0000E1"/>
                      <w:szCs w:val="21"/>
                    </w:rPr>
                  </w:pPr>
                  <w:r>
                    <w:rPr>
                      <w:rFonts w:hint="default" w:ascii="Times New Roman" w:hAnsi="Times New Roman" w:eastAsia="宋体" w:cs="Times New Roman"/>
                      <w:color w:val="0000E1"/>
                      <w:szCs w:val="21"/>
                      <w:lang w:val="en-US" w:eastAsia="zh-CN"/>
                    </w:rPr>
                    <w:t>激光切割机</w:t>
                  </w:r>
                </w:p>
              </w:tc>
              <w:tc>
                <w:tcPr>
                  <w:tcW w:w="610" w:type="pct"/>
                  <w:vAlign w:val="center"/>
                </w:tcPr>
                <w:p w14:paraId="78F48747">
                  <w:pPr>
                    <w:keepNext w:val="0"/>
                    <w:keepLines w:val="0"/>
                    <w:suppressLineNumbers w:val="0"/>
                    <w:spacing w:before="0" w:beforeAutospacing="0" w:after="0" w:afterAutospacing="0"/>
                    <w:ind w:left="0" w:right="0"/>
                    <w:jc w:val="center"/>
                    <w:rPr>
                      <w:rFonts w:hint="eastAsia" w:ascii="Times New Roman" w:hAnsi="Times New Roman" w:eastAsia="宋体" w:cs="Times New Roman"/>
                      <w:color w:val="0000E1"/>
                      <w:szCs w:val="21"/>
                      <w:lang w:val="en-US" w:eastAsia="zh-CN"/>
                    </w:rPr>
                  </w:pPr>
                  <w:r>
                    <w:rPr>
                      <w:rFonts w:hint="eastAsia" w:ascii="Times New Roman" w:hAnsi="Times New Roman" w:eastAsia="宋体" w:cs="Times New Roman"/>
                      <w:color w:val="0000E1"/>
                      <w:szCs w:val="21"/>
                      <w:lang w:val="en-US" w:eastAsia="zh-CN"/>
                    </w:rPr>
                    <w:t>颗粒物</w:t>
                  </w:r>
                </w:p>
              </w:tc>
              <w:tc>
                <w:tcPr>
                  <w:tcW w:w="597" w:type="pct"/>
                  <w:vAlign w:val="center"/>
                </w:tcPr>
                <w:p w14:paraId="2C948110">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0000E1"/>
                      <w:szCs w:val="21"/>
                    </w:rPr>
                  </w:pPr>
                  <w:r>
                    <w:rPr>
                      <w:rFonts w:hint="default" w:ascii="Times New Roman" w:hAnsi="Times New Roman" w:eastAsia="宋体" w:cs="Times New Roman"/>
                      <w:color w:val="0000E1"/>
                      <w:szCs w:val="21"/>
                    </w:rPr>
                    <w:t>无组织</w:t>
                  </w:r>
                </w:p>
              </w:tc>
              <w:tc>
                <w:tcPr>
                  <w:tcW w:w="854" w:type="pct"/>
                  <w:vAlign w:val="center"/>
                </w:tcPr>
                <w:p w14:paraId="6765D386">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0000E1"/>
                      <w:szCs w:val="21"/>
                      <w:lang w:val="en-US" w:eastAsia="zh-CN"/>
                    </w:rPr>
                  </w:pPr>
                  <w:r>
                    <w:rPr>
                      <w:rFonts w:hint="default" w:ascii="Times New Roman" w:hAnsi="Times New Roman" w:eastAsia="宋体" w:cs="Times New Roman"/>
                      <w:color w:val="0000E1"/>
                      <w:szCs w:val="21"/>
                      <w:lang w:val="en-US" w:eastAsia="zh-CN"/>
                    </w:rPr>
                    <w:t>自带脉冲滤筒除尘系统</w:t>
                  </w:r>
                </w:p>
              </w:tc>
              <w:tc>
                <w:tcPr>
                  <w:tcW w:w="854" w:type="pct"/>
                  <w:vMerge w:val="continue"/>
                  <w:vAlign w:val="center"/>
                </w:tcPr>
                <w:p w14:paraId="3486515B">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p>
              </w:tc>
              <w:tc>
                <w:tcPr>
                  <w:tcW w:w="402" w:type="pct"/>
                  <w:vAlign w:val="center"/>
                </w:tcPr>
                <w:p w14:paraId="13E65B74">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r>
                    <w:rPr>
                      <w:rFonts w:hint="default" w:ascii="Times New Roman" w:hAnsi="Times New Roman" w:eastAsia="宋体" w:cs="Times New Roman"/>
                      <w:color w:val="0000E1"/>
                      <w:szCs w:val="21"/>
                    </w:rPr>
                    <w:t>是</w:t>
                  </w:r>
                </w:p>
              </w:tc>
            </w:tr>
            <w:tr w14:paraId="660D41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259" w:type="pct"/>
                  <w:vAlign w:val="center"/>
                </w:tcPr>
                <w:p w14:paraId="2B771C49">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lang w:val="en-US" w:eastAsia="zh-CN"/>
                    </w:rPr>
                  </w:pPr>
                  <w:r>
                    <w:rPr>
                      <w:rFonts w:hint="eastAsia" w:ascii="Times New Roman" w:hAnsi="Times New Roman" w:eastAsia="宋体" w:cs="Times New Roman"/>
                      <w:color w:val="auto"/>
                      <w:szCs w:val="21"/>
                      <w:lang w:val="en-US" w:eastAsia="zh-CN"/>
                    </w:rPr>
                    <w:t>8</w:t>
                  </w:r>
                </w:p>
              </w:tc>
              <w:tc>
                <w:tcPr>
                  <w:tcW w:w="364" w:type="pct"/>
                  <w:vMerge w:val="continue"/>
                  <w:vAlign w:val="center"/>
                </w:tcPr>
                <w:p w14:paraId="1384EAE6">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p>
              </w:tc>
              <w:tc>
                <w:tcPr>
                  <w:tcW w:w="276" w:type="pct"/>
                  <w:shd w:val="clear" w:color="auto" w:fill="auto"/>
                  <w:vAlign w:val="center"/>
                </w:tcPr>
                <w:p w14:paraId="7CD217CA">
                  <w:pPr>
                    <w:keepNext w:val="0"/>
                    <w:keepLines w:val="0"/>
                    <w:suppressLineNumbers w:val="0"/>
                    <w:spacing w:before="0" w:beforeAutospacing="0" w:after="0" w:afterAutospacing="0"/>
                    <w:ind w:left="0" w:leftChars="0" w:right="0" w:rightChars="0"/>
                    <w:jc w:val="center"/>
                    <w:rPr>
                      <w:rFonts w:hint="eastAsia" w:ascii="Times New Roman" w:hAnsi="Times New Roman" w:eastAsia="宋体" w:cs="Times New Roman"/>
                      <w:color w:val="auto"/>
                      <w:kern w:val="2"/>
                      <w:sz w:val="21"/>
                      <w:szCs w:val="21"/>
                      <w:lang w:val="en-US" w:eastAsia="zh-CN" w:bidi="ar-SA"/>
                    </w:rPr>
                  </w:pPr>
                  <w:r>
                    <w:rPr>
                      <w:rFonts w:hint="eastAsia" w:ascii="Times New Roman" w:hAnsi="Times New Roman" w:eastAsia="宋体" w:cs="Times New Roman"/>
                      <w:color w:val="auto"/>
                      <w:szCs w:val="21"/>
                      <w:lang w:val="en-US" w:eastAsia="zh-CN"/>
                    </w:rPr>
                    <w:t>成型</w:t>
                  </w:r>
                </w:p>
              </w:tc>
              <w:tc>
                <w:tcPr>
                  <w:tcW w:w="780" w:type="pct"/>
                  <w:vAlign w:val="center"/>
                </w:tcPr>
                <w:p w14:paraId="6D342CE1">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r>
                    <w:rPr>
                      <w:rFonts w:hint="eastAsia" w:ascii="Times New Roman" w:hAnsi="Times New Roman" w:eastAsia="宋体" w:cs="Times New Roman"/>
                      <w:color w:val="auto"/>
                      <w:szCs w:val="21"/>
                    </w:rPr>
                    <w:t>超薄纳米板成型机</w:t>
                  </w:r>
                </w:p>
              </w:tc>
              <w:tc>
                <w:tcPr>
                  <w:tcW w:w="610" w:type="pct"/>
                  <w:vAlign w:val="center"/>
                </w:tcPr>
                <w:p w14:paraId="05AA9DD7">
                  <w:pPr>
                    <w:keepNext w:val="0"/>
                    <w:keepLines w:val="0"/>
                    <w:suppressLineNumbers w:val="0"/>
                    <w:spacing w:before="0" w:beforeAutospacing="0" w:after="0" w:afterAutospacing="0"/>
                    <w:ind w:left="0" w:right="0"/>
                    <w:jc w:val="center"/>
                    <w:rPr>
                      <w:rFonts w:hint="eastAsia" w:ascii="Times New Roman" w:hAnsi="Times New Roman" w:eastAsia="宋体" w:cs="Times New Roman"/>
                      <w:color w:val="auto"/>
                      <w:szCs w:val="21"/>
                      <w:lang w:eastAsia="zh-CN"/>
                    </w:rPr>
                  </w:pPr>
                  <w:r>
                    <w:rPr>
                      <w:rFonts w:hint="eastAsia" w:ascii="Times New Roman" w:hAnsi="Times New Roman" w:eastAsia="宋体" w:cs="Times New Roman"/>
                      <w:color w:val="auto"/>
                      <w:szCs w:val="21"/>
                      <w:lang w:val="en-US" w:eastAsia="zh-CN"/>
                    </w:rPr>
                    <w:t>颗粒物</w:t>
                  </w:r>
                </w:p>
              </w:tc>
              <w:tc>
                <w:tcPr>
                  <w:tcW w:w="597" w:type="pct"/>
                  <w:vAlign w:val="center"/>
                </w:tcPr>
                <w:p w14:paraId="7D75FC5F">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rPr>
                    <w:t>有组织、无组织</w:t>
                  </w:r>
                </w:p>
              </w:tc>
              <w:tc>
                <w:tcPr>
                  <w:tcW w:w="854" w:type="pct"/>
                  <w:vAlign w:val="center"/>
                </w:tcPr>
                <w:p w14:paraId="325FBC5A">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lang w:val="en-US" w:eastAsia="zh-CN"/>
                    </w:rPr>
                    <w:t>脉冲式布袋除尘器</w:t>
                  </w:r>
                </w:p>
              </w:tc>
              <w:tc>
                <w:tcPr>
                  <w:tcW w:w="854" w:type="pct"/>
                  <w:vMerge w:val="continue"/>
                  <w:vAlign w:val="center"/>
                </w:tcPr>
                <w:p w14:paraId="1DC99BA5">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p>
              </w:tc>
              <w:tc>
                <w:tcPr>
                  <w:tcW w:w="402" w:type="pct"/>
                  <w:vAlign w:val="center"/>
                </w:tcPr>
                <w:p w14:paraId="5A64BF57">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r>
                    <w:rPr>
                      <w:rFonts w:hint="eastAsia" w:ascii="Times New Roman" w:hAnsi="Times New Roman" w:eastAsia="宋体" w:cs="Times New Roman"/>
                      <w:color w:val="auto"/>
                      <w:szCs w:val="21"/>
                    </w:rPr>
                    <w:t>是</w:t>
                  </w:r>
                </w:p>
              </w:tc>
            </w:tr>
          </w:tbl>
          <w:p w14:paraId="25969DA0">
            <w:pPr>
              <w:keepNext w:val="0"/>
              <w:keepLines w:val="0"/>
              <w:suppressLineNumbers w:val="0"/>
              <w:spacing w:before="0" w:beforeAutospacing="0" w:after="0" w:afterAutospacing="0" w:line="360" w:lineRule="auto"/>
              <w:ind w:left="0" w:right="0"/>
              <w:rPr>
                <w:rFonts w:hint="default" w:ascii="Times New Roman" w:hAnsi="Times New Roman" w:eastAsia="宋体" w:cs="Times New Roman"/>
                <w:b/>
                <w:bCs/>
                <w:color w:val="auto"/>
                <w:sz w:val="24"/>
              </w:rPr>
            </w:pPr>
            <w:r>
              <w:rPr>
                <w:rFonts w:hint="default" w:ascii="Times New Roman" w:hAnsi="Times New Roman" w:eastAsia="宋体" w:cs="Times New Roman"/>
                <w:b/>
                <w:bCs/>
                <w:color w:val="auto"/>
                <w:sz w:val="24"/>
              </w:rPr>
              <w:t>4.2.1.6大气环境影响分析</w:t>
            </w:r>
          </w:p>
          <w:p w14:paraId="0EDB56D0">
            <w:pPr>
              <w:keepNext w:val="0"/>
              <w:keepLines w:val="0"/>
              <w:suppressLineNumbers w:val="0"/>
              <w:spacing w:before="0" w:beforeAutospacing="0" w:after="0" w:afterAutospacing="0" w:line="360" w:lineRule="auto"/>
              <w:ind w:left="0" w:right="0" w:firstLine="480" w:firstLineChars="200"/>
              <w:rPr>
                <w:rFonts w:hint="eastAsia" w:ascii="Times New Roman" w:hAnsi="Times New Roman" w:eastAsia="宋体" w:cs="Times New Roman"/>
                <w:color w:val="auto"/>
                <w:sz w:val="24"/>
              </w:rPr>
            </w:pPr>
            <w:r>
              <w:rPr>
                <w:rFonts w:hint="eastAsia" w:ascii="Times New Roman" w:hAnsi="Times New Roman" w:eastAsia="宋体" w:cs="Times New Roman"/>
                <w:color w:val="auto"/>
                <w:sz w:val="24"/>
              </w:rPr>
              <w:t>本项目废气主要污染物为颗粒物、非甲烷总烃、臭气浓度。</w:t>
            </w:r>
          </w:p>
          <w:p w14:paraId="717167AE">
            <w:pPr>
              <w:keepNext w:val="0"/>
              <w:keepLines w:val="0"/>
              <w:suppressLineNumbers w:val="0"/>
              <w:spacing w:before="0" w:beforeAutospacing="0" w:after="0" w:afterAutospacing="0" w:line="360" w:lineRule="auto"/>
              <w:ind w:left="0" w:right="0" w:firstLine="480" w:firstLineChars="200"/>
              <w:rPr>
                <w:rFonts w:hint="eastAsia" w:ascii="Times New Roman" w:hAnsi="Times New Roman" w:eastAsia="宋体" w:cs="Times New Roman"/>
                <w:color w:val="auto"/>
                <w:kern w:val="2"/>
                <w:sz w:val="24"/>
                <w:szCs w:val="24"/>
                <w:lang w:val="en-US" w:eastAsia="zh-CN" w:bidi="ar-SA"/>
              </w:rPr>
            </w:pPr>
            <w:r>
              <w:rPr>
                <w:rFonts w:hint="eastAsia" w:ascii="Times New Roman" w:hAnsi="Times New Roman" w:eastAsia="宋体" w:cs="Times New Roman"/>
                <w:color w:val="auto"/>
                <w:sz w:val="24"/>
                <w:lang w:val="en-US" w:eastAsia="zh-CN"/>
              </w:rPr>
              <w:t>①</w:t>
            </w:r>
            <w:r>
              <w:rPr>
                <w:rFonts w:hint="eastAsia" w:ascii="Times New Roman" w:hAnsi="Times New Roman" w:eastAsia="宋体" w:cs="Times New Roman"/>
                <w:color w:val="auto"/>
                <w:sz w:val="24"/>
              </w:rPr>
              <w:t>固化废气</w:t>
            </w:r>
            <w:r>
              <w:rPr>
                <w:rFonts w:hint="eastAsia" w:ascii="Times New Roman" w:hAnsi="Times New Roman" w:eastAsia="宋体" w:cs="Times New Roman"/>
                <w:color w:val="auto"/>
                <w:sz w:val="24"/>
                <w:lang w:eastAsia="zh-CN"/>
              </w:rPr>
              <w:t>、</w:t>
            </w:r>
            <w:r>
              <w:rPr>
                <w:rFonts w:hint="eastAsia" w:ascii="Times New Roman" w:hAnsi="Times New Roman" w:eastAsia="宋体" w:cs="Times New Roman"/>
                <w:color w:val="auto"/>
                <w:sz w:val="24"/>
                <w:lang w:val="en-US" w:eastAsia="zh-CN"/>
              </w:rPr>
              <w:t>背胶废气、辅料成型废气</w:t>
            </w:r>
            <w:r>
              <w:rPr>
                <w:rFonts w:hint="eastAsia" w:ascii="Times New Roman" w:hAnsi="Times New Roman" w:eastAsia="宋体" w:cs="Times New Roman"/>
                <w:color w:val="auto"/>
                <w:sz w:val="24"/>
                <w:lang w:eastAsia="zh-CN"/>
              </w:rPr>
              <w:t>：</w:t>
            </w:r>
            <w:r>
              <w:rPr>
                <w:rFonts w:hint="eastAsia" w:ascii="Times New Roman" w:hAnsi="Times New Roman" w:eastAsia="宋体" w:cs="Times New Roman"/>
                <w:color w:val="auto"/>
                <w:sz w:val="24"/>
                <w:lang w:val="en-US" w:eastAsia="zh-CN"/>
              </w:rPr>
              <w:t>本项目烘烤固化工序均为全密闭设备，在烘道进出口设置全密闭风罩，仅留进出口通道；本项目背胶贴合区整体密闭，在生产车间进行整体抽风，仅设置一个进出口，在非必要情况下也必须处于关闭状态，使生产车间整体处于相对密闭状态；</w:t>
            </w:r>
            <w:r>
              <w:rPr>
                <w:rFonts w:hint="eastAsia" w:ascii="Times New Roman" w:hAnsi="Times New Roman" w:eastAsia="宋体" w:cs="Times New Roman"/>
                <w:color w:val="auto"/>
                <w:kern w:val="2"/>
                <w:sz w:val="24"/>
                <w:szCs w:val="24"/>
                <w:lang w:val="en-US" w:eastAsia="zh-CN" w:bidi="ar-SA"/>
              </w:rPr>
              <w:t>本项目立式液态射出成型机运行过程保持加热段和成型段密闭，因此，废气仅在其物料完成成型工艺的出口散发，故拟在物料出口上方设置集气罩，以上废气经收集后通过一套水喷淋+干式过滤+二级活性炭吸附装置（TA001）处理，尾气由一根26m高的排气筒DA001排放。</w:t>
            </w:r>
          </w:p>
          <w:p w14:paraId="76878C4B">
            <w:pPr>
              <w:keepNext w:val="0"/>
              <w:keepLines w:val="0"/>
              <w:suppressLineNumbers w:val="0"/>
              <w:spacing w:before="0" w:beforeAutospacing="0" w:after="0" w:afterAutospacing="0" w:line="360" w:lineRule="auto"/>
              <w:ind w:left="0" w:right="0" w:firstLine="480" w:firstLineChars="200"/>
              <w:rPr>
                <w:rFonts w:hint="default" w:ascii="Times New Roman" w:hAnsi="Times New Roman" w:eastAsia="宋体" w:cs="Times New Roman"/>
                <w:color w:val="auto"/>
                <w:sz w:val="24"/>
                <w:lang w:val="en-US" w:eastAsia="zh-CN"/>
              </w:rPr>
            </w:pPr>
            <w:r>
              <w:rPr>
                <w:rFonts w:hint="eastAsia" w:ascii="Times New Roman" w:hAnsi="Times New Roman" w:eastAsia="宋体" w:cs="Times New Roman"/>
                <w:color w:val="auto"/>
                <w:sz w:val="24"/>
                <w:lang w:val="en-US" w:eastAsia="zh-CN"/>
              </w:rPr>
              <w:t>②贴合废气：产生的挥发废气量极少，不做定量分析，以无组织形式排放。</w:t>
            </w:r>
          </w:p>
          <w:p w14:paraId="24032A22">
            <w:pPr>
              <w:keepNext w:val="0"/>
              <w:keepLines w:val="0"/>
              <w:suppressLineNumbers w:val="0"/>
              <w:spacing w:before="0" w:beforeAutospacing="0" w:after="0" w:afterAutospacing="0" w:line="360" w:lineRule="auto"/>
              <w:ind w:left="0" w:right="0" w:firstLine="480" w:firstLineChars="200"/>
              <w:rPr>
                <w:rFonts w:hint="eastAsia" w:ascii="Times New Roman" w:hAnsi="Times New Roman" w:eastAsia="宋体" w:cs="Times New Roman"/>
                <w:color w:val="auto"/>
                <w:sz w:val="24"/>
                <w:lang w:val="en-US" w:eastAsia="zh-CN"/>
              </w:rPr>
            </w:pPr>
            <w:r>
              <w:rPr>
                <w:rFonts w:hint="eastAsia" w:ascii="Times New Roman" w:hAnsi="Times New Roman" w:eastAsia="宋体" w:cs="Times New Roman"/>
                <w:color w:val="auto"/>
                <w:sz w:val="24"/>
                <w:lang w:val="en-US" w:eastAsia="zh-CN"/>
              </w:rPr>
              <w:t>③拆包粉尘、投料粉尘、出料粉尘：本项目在自动拆包机、高速混合机投料口上方、超薄纳米板成型机出料口上方设置集气罩，废气经集气罩收集后通过一套脉冲式布袋除尘器（TA002）处理，尾气由一根26m高的排气筒DA002排放。</w:t>
            </w:r>
          </w:p>
          <w:p w14:paraId="23FC02C4">
            <w:pPr>
              <w:keepNext w:val="0"/>
              <w:keepLines w:val="0"/>
              <w:suppressLineNumbers w:val="0"/>
              <w:spacing w:before="0" w:beforeAutospacing="0" w:after="0" w:afterAutospacing="0" w:line="360" w:lineRule="auto"/>
              <w:ind w:left="0" w:right="0" w:firstLine="480" w:firstLineChars="200"/>
              <w:rPr>
                <w:rFonts w:hint="eastAsia" w:ascii="Times New Roman" w:hAnsi="Times New Roman" w:eastAsia="宋体" w:cs="Times New Roman"/>
                <w:color w:val="0000E1"/>
                <w:sz w:val="24"/>
                <w:lang w:val="en-US" w:eastAsia="zh-CN"/>
              </w:rPr>
            </w:pPr>
            <w:r>
              <w:rPr>
                <w:rFonts w:hint="eastAsia" w:ascii="Times New Roman" w:hAnsi="Times New Roman" w:eastAsia="宋体" w:cs="Times New Roman"/>
                <w:color w:val="0000E1"/>
                <w:sz w:val="24"/>
                <w:lang w:val="en-US" w:eastAsia="zh-CN"/>
              </w:rPr>
              <w:t>④激光切割粉尘：本项目激光切割机自带脉冲滤筒除尘系统对切割粉尘进行收集、处理后无组织排放。</w:t>
            </w:r>
          </w:p>
          <w:p w14:paraId="6C1BEC5A">
            <w:pPr>
              <w:keepNext w:val="0"/>
              <w:keepLines w:val="0"/>
              <w:suppressLineNumbers w:val="0"/>
              <w:spacing w:before="0" w:beforeAutospacing="0" w:after="0" w:afterAutospacing="0" w:line="360" w:lineRule="auto"/>
              <w:ind w:left="0" w:right="0" w:firstLine="480" w:firstLineChars="200"/>
              <w:rPr>
                <w:rFonts w:hint="default" w:ascii="Times New Roman" w:hAnsi="Times New Roman" w:eastAsia="宋体" w:cs="Times New Roman"/>
                <w:color w:val="auto"/>
                <w:sz w:val="24"/>
                <w:lang w:val="en-US" w:eastAsia="zh-CN"/>
              </w:rPr>
            </w:pPr>
            <w:r>
              <w:rPr>
                <w:rFonts w:hint="eastAsia" w:ascii="Times New Roman" w:hAnsi="Times New Roman" w:eastAsia="宋体" w:cs="Times New Roman"/>
                <w:color w:val="0000E1"/>
                <w:sz w:val="24"/>
                <w:lang w:val="en-US" w:eastAsia="zh-CN"/>
              </w:rPr>
              <w:t>⑤</w:t>
            </w:r>
            <w:r>
              <w:rPr>
                <w:rFonts w:hint="eastAsia" w:ascii="Times New Roman" w:hAnsi="Times New Roman" w:eastAsia="宋体" w:cs="Times New Roman"/>
                <w:color w:val="auto"/>
                <w:sz w:val="24"/>
                <w:lang w:val="en-US" w:eastAsia="zh-CN"/>
              </w:rPr>
              <w:t>真空热合废气：非甲烷总烃的产生量和产生速率均较小，故真空热合过程产生的废气对环境影响较小，以无组织形式排放。</w:t>
            </w:r>
          </w:p>
          <w:p w14:paraId="0620D24F">
            <w:pPr>
              <w:keepNext w:val="0"/>
              <w:keepLines w:val="0"/>
              <w:suppressLineNumbers w:val="0"/>
              <w:spacing w:before="0" w:beforeAutospacing="0" w:after="0" w:afterAutospacing="0" w:line="360" w:lineRule="auto"/>
              <w:ind w:left="0" w:right="0" w:firstLine="480" w:firstLineChars="200"/>
              <w:rPr>
                <w:rFonts w:hint="eastAsia" w:ascii="Times New Roman" w:hAnsi="Times New Roman" w:eastAsia="宋体" w:cs="Times New Roman"/>
                <w:color w:val="auto"/>
                <w:sz w:val="24"/>
              </w:rPr>
            </w:pPr>
            <w:r>
              <w:rPr>
                <w:rFonts w:hint="default" w:ascii="Times New Roman" w:hAnsi="Times New Roman" w:eastAsia="宋体" w:cs="Times New Roman"/>
                <w:color w:val="auto"/>
                <w:sz w:val="24"/>
              </w:rPr>
              <w:t>颗粒物</w:t>
            </w:r>
            <w:r>
              <w:rPr>
                <w:rFonts w:hint="eastAsia" w:ascii="Times New Roman" w:hAnsi="Times New Roman" w:eastAsia="宋体" w:cs="Times New Roman"/>
                <w:color w:val="auto"/>
                <w:sz w:val="24"/>
              </w:rPr>
              <w:t>、</w:t>
            </w:r>
            <w:r>
              <w:rPr>
                <w:rFonts w:hint="default" w:ascii="Times New Roman" w:hAnsi="Times New Roman" w:eastAsia="宋体" w:cs="Times New Roman"/>
                <w:color w:val="auto"/>
                <w:sz w:val="24"/>
              </w:rPr>
              <w:t>非甲烷总烃</w:t>
            </w:r>
            <w:r>
              <w:rPr>
                <w:rFonts w:hint="eastAsia" w:ascii="Times New Roman" w:hAnsi="Times New Roman" w:eastAsia="宋体" w:cs="Times New Roman"/>
                <w:color w:val="auto"/>
                <w:sz w:val="24"/>
                <w:lang w:val="en-US" w:eastAsia="zh-CN"/>
              </w:rPr>
              <w:t>排放浓度达到</w:t>
            </w:r>
            <w:r>
              <w:rPr>
                <w:rFonts w:hint="eastAsia" w:ascii="Times New Roman" w:hAnsi="Times New Roman" w:eastAsia="宋体" w:cs="Times New Roman"/>
                <w:color w:val="auto"/>
                <w:sz w:val="24"/>
              </w:rPr>
              <w:t>《合成树脂工业污染物排放标准》（</w:t>
            </w:r>
            <w:r>
              <w:rPr>
                <w:rFonts w:hint="default" w:ascii="Times New Roman" w:hAnsi="Times New Roman" w:eastAsia="宋体" w:cs="Times New Roman"/>
                <w:color w:val="auto"/>
                <w:sz w:val="24"/>
              </w:rPr>
              <w:t>GB31572-2015</w:t>
            </w:r>
            <w:r>
              <w:rPr>
                <w:rFonts w:hint="default" w:ascii="Times New Roman" w:hAnsi="Times New Roman" w:eastAsia="宋体" w:cs="Times New Roman"/>
                <w:color w:val="00B050"/>
                <w:sz w:val="24"/>
                <w:szCs w:val="24"/>
                <w:lang w:eastAsia="zh-CN"/>
              </w:rPr>
              <w:t>，</w:t>
            </w:r>
            <w:r>
              <w:rPr>
                <w:rFonts w:hint="default" w:ascii="Times New Roman" w:hAnsi="Times New Roman" w:cs="Times New Roman"/>
                <w:color w:val="00B050"/>
                <w:sz w:val="24"/>
                <w:szCs w:val="24"/>
              </w:rPr>
              <w:t>含2024年修改单</w:t>
            </w:r>
            <w:r>
              <w:rPr>
                <w:rFonts w:hint="eastAsia" w:ascii="Times New Roman" w:hAnsi="Times New Roman" w:eastAsia="宋体" w:cs="Times New Roman"/>
                <w:color w:val="auto"/>
                <w:sz w:val="24"/>
              </w:rPr>
              <w:t>）表</w:t>
            </w:r>
            <w:r>
              <w:rPr>
                <w:rFonts w:hint="default" w:ascii="Times New Roman" w:hAnsi="Times New Roman" w:eastAsia="宋体" w:cs="Times New Roman"/>
                <w:color w:val="auto"/>
                <w:sz w:val="24"/>
              </w:rPr>
              <w:t>5</w:t>
            </w:r>
            <w:r>
              <w:rPr>
                <w:rFonts w:hint="eastAsia" w:ascii="Times New Roman" w:hAnsi="Times New Roman" w:eastAsia="宋体" w:cs="Times New Roman"/>
                <w:color w:val="auto"/>
                <w:sz w:val="24"/>
              </w:rPr>
              <w:t>、表</w:t>
            </w:r>
            <w:r>
              <w:rPr>
                <w:rFonts w:hint="default" w:ascii="Times New Roman" w:hAnsi="Times New Roman" w:eastAsia="宋体" w:cs="Times New Roman"/>
                <w:color w:val="auto"/>
                <w:sz w:val="24"/>
              </w:rPr>
              <w:t>9</w:t>
            </w:r>
            <w:r>
              <w:rPr>
                <w:rFonts w:hint="eastAsia" w:ascii="Times New Roman" w:hAnsi="Times New Roman" w:eastAsia="宋体" w:cs="Times New Roman"/>
                <w:color w:val="auto"/>
                <w:sz w:val="24"/>
              </w:rPr>
              <w:t>中的限值标准，臭气浓度排放</w:t>
            </w:r>
            <w:r>
              <w:rPr>
                <w:rFonts w:hint="eastAsia" w:ascii="Times New Roman" w:hAnsi="Times New Roman" w:eastAsia="宋体" w:cs="Times New Roman"/>
                <w:color w:val="auto"/>
                <w:sz w:val="24"/>
                <w:lang w:val="en-US" w:eastAsia="zh-CN"/>
              </w:rPr>
              <w:t>达到</w:t>
            </w:r>
            <w:r>
              <w:rPr>
                <w:rFonts w:hint="eastAsia" w:ascii="Times New Roman" w:hAnsi="Times New Roman" w:eastAsia="宋体" w:cs="Times New Roman"/>
                <w:color w:val="auto"/>
                <w:sz w:val="24"/>
              </w:rPr>
              <w:t>《恶臭污染物排放标准》（</w:t>
            </w:r>
            <w:r>
              <w:rPr>
                <w:rFonts w:hint="default" w:ascii="Times New Roman" w:hAnsi="Times New Roman" w:eastAsia="宋体" w:cs="Times New Roman"/>
                <w:color w:val="auto"/>
                <w:sz w:val="24"/>
              </w:rPr>
              <w:t>GB14554-93</w:t>
            </w:r>
            <w:r>
              <w:rPr>
                <w:rFonts w:hint="eastAsia" w:ascii="Times New Roman" w:hAnsi="Times New Roman" w:eastAsia="宋体" w:cs="Times New Roman"/>
                <w:color w:val="auto"/>
                <w:sz w:val="24"/>
              </w:rPr>
              <w:t>）表2、表1中的限值标准</w:t>
            </w:r>
            <w:r>
              <w:rPr>
                <w:rFonts w:hint="eastAsia" w:ascii="Times New Roman" w:hAnsi="Times New Roman" w:eastAsia="宋体" w:cs="Times New Roman"/>
                <w:color w:val="auto"/>
                <w:sz w:val="24"/>
                <w:lang w:val="en-US" w:eastAsia="zh-CN"/>
              </w:rPr>
              <w:t>和《湖州市木业、漆包线及塑料行业废气整治规范》中的较严值</w:t>
            </w:r>
            <w:r>
              <w:rPr>
                <w:rFonts w:hint="default" w:ascii="Times New Roman" w:hAnsi="Times New Roman" w:eastAsia="宋体" w:cs="Times New Roman"/>
                <w:color w:val="auto"/>
                <w:sz w:val="24"/>
              </w:rPr>
              <w:t>，</w:t>
            </w:r>
            <w:r>
              <w:rPr>
                <w:rFonts w:hint="eastAsia" w:ascii="Times New Roman" w:hAnsi="Times New Roman" w:eastAsia="宋体" w:cs="Times New Roman"/>
                <w:color w:val="auto"/>
                <w:sz w:val="24"/>
              </w:rPr>
              <w:t>厂区内非甲烷总烃</w:t>
            </w:r>
            <w:r>
              <w:rPr>
                <w:rFonts w:hint="eastAsia" w:ascii="Times New Roman" w:hAnsi="Times New Roman" w:eastAsia="宋体" w:cs="Times New Roman"/>
                <w:color w:val="auto"/>
                <w:sz w:val="24"/>
                <w:lang w:val="en-US" w:eastAsia="zh-CN"/>
              </w:rPr>
              <w:t>排放浓度达到</w:t>
            </w:r>
            <w:r>
              <w:rPr>
                <w:rFonts w:hint="eastAsia" w:ascii="Times New Roman" w:hAnsi="Times New Roman" w:eastAsia="宋体" w:cs="Times New Roman"/>
                <w:color w:val="auto"/>
                <w:sz w:val="24"/>
              </w:rPr>
              <w:t>《挥发性有机物无组织排放控制标准》（</w:t>
            </w:r>
            <w:r>
              <w:rPr>
                <w:rFonts w:hint="default" w:ascii="Times New Roman" w:hAnsi="Times New Roman" w:eastAsia="宋体" w:cs="Times New Roman"/>
                <w:color w:val="auto"/>
                <w:sz w:val="24"/>
              </w:rPr>
              <w:t>GB37822—2019</w:t>
            </w:r>
            <w:r>
              <w:rPr>
                <w:rFonts w:hint="eastAsia" w:ascii="Times New Roman" w:hAnsi="Times New Roman" w:eastAsia="宋体" w:cs="Times New Roman"/>
                <w:color w:val="auto"/>
                <w:sz w:val="24"/>
              </w:rPr>
              <w:t>）表A.1中的限值标准。</w:t>
            </w:r>
          </w:p>
          <w:p w14:paraId="05DB4BEB">
            <w:pPr>
              <w:keepNext w:val="0"/>
              <w:keepLines w:val="0"/>
              <w:suppressLineNumbers w:val="0"/>
              <w:spacing w:before="0" w:beforeAutospacing="0" w:after="0" w:afterAutospacing="0" w:line="360" w:lineRule="auto"/>
              <w:ind w:left="0" w:right="0" w:firstLine="480" w:firstLineChars="200"/>
              <w:rPr>
                <w:rFonts w:hint="eastAsia" w:ascii="Times New Roman" w:hAnsi="Times New Roman" w:eastAsia="宋体" w:cs="Times New Roman"/>
                <w:color w:val="auto"/>
                <w:sz w:val="24"/>
              </w:rPr>
            </w:pPr>
          </w:p>
          <w:p w14:paraId="00F97040">
            <w:pPr>
              <w:keepNext w:val="0"/>
              <w:keepLines w:val="0"/>
              <w:suppressLineNumbers w:val="0"/>
              <w:spacing w:before="0" w:beforeAutospacing="0" w:after="0" w:afterAutospacing="0" w:line="360" w:lineRule="auto"/>
              <w:ind w:left="0" w:right="0" w:firstLine="480" w:firstLineChars="200"/>
              <w:rPr>
                <w:rFonts w:hint="eastAsia" w:ascii="Times New Roman" w:hAnsi="Times New Roman" w:eastAsia="宋体" w:cs="Times New Roman"/>
                <w:color w:val="auto"/>
                <w:sz w:val="24"/>
              </w:rPr>
            </w:pPr>
          </w:p>
          <w:p w14:paraId="6F0DB679">
            <w:pPr>
              <w:keepNext w:val="0"/>
              <w:keepLines w:val="0"/>
              <w:suppressLineNumbers w:val="0"/>
              <w:spacing w:before="0" w:beforeAutospacing="0" w:after="0" w:afterAutospacing="0" w:line="360" w:lineRule="auto"/>
              <w:ind w:left="0" w:right="0" w:firstLine="480" w:firstLineChars="200"/>
              <w:rPr>
                <w:rFonts w:hint="eastAsia" w:ascii="Times New Roman" w:hAnsi="Times New Roman" w:eastAsia="宋体" w:cs="Times New Roman"/>
                <w:color w:val="auto"/>
                <w:sz w:val="24"/>
              </w:rPr>
            </w:pPr>
          </w:p>
          <w:p w14:paraId="3962287E">
            <w:pPr>
              <w:keepNext w:val="0"/>
              <w:keepLines w:val="0"/>
              <w:suppressLineNumbers w:val="0"/>
              <w:spacing w:before="0" w:beforeAutospacing="0" w:after="0" w:afterAutospacing="0" w:line="360" w:lineRule="auto"/>
              <w:ind w:left="0" w:right="0" w:firstLine="480" w:firstLineChars="200"/>
              <w:rPr>
                <w:rFonts w:hint="eastAsia" w:ascii="Times New Roman" w:hAnsi="Times New Roman" w:eastAsia="宋体" w:cs="Times New Roman"/>
                <w:color w:val="auto"/>
                <w:sz w:val="24"/>
              </w:rPr>
            </w:pPr>
          </w:p>
          <w:p w14:paraId="29A55D3A">
            <w:pPr>
              <w:keepNext w:val="0"/>
              <w:keepLines w:val="0"/>
              <w:suppressLineNumbers w:val="0"/>
              <w:spacing w:before="0" w:beforeAutospacing="0" w:after="0" w:afterAutospacing="0" w:line="360" w:lineRule="auto"/>
              <w:ind w:left="0" w:right="0" w:firstLine="480" w:firstLineChars="200"/>
              <w:rPr>
                <w:rFonts w:hint="eastAsia" w:ascii="Times New Roman" w:hAnsi="Times New Roman" w:eastAsia="宋体" w:cs="Times New Roman"/>
                <w:color w:val="auto"/>
                <w:sz w:val="24"/>
              </w:rPr>
            </w:pPr>
          </w:p>
          <w:p w14:paraId="40873B2C">
            <w:pPr>
              <w:keepNext w:val="0"/>
              <w:keepLines w:val="0"/>
              <w:suppressLineNumbers w:val="0"/>
              <w:spacing w:before="0" w:beforeAutospacing="0" w:after="0" w:afterAutospacing="0" w:line="360" w:lineRule="auto"/>
              <w:ind w:left="0" w:right="0" w:firstLine="480" w:firstLineChars="200"/>
              <w:rPr>
                <w:rFonts w:hint="eastAsia" w:ascii="Times New Roman" w:hAnsi="Times New Roman" w:eastAsia="宋体" w:cs="Times New Roman"/>
                <w:color w:val="auto"/>
                <w:sz w:val="24"/>
              </w:rPr>
            </w:pPr>
          </w:p>
          <w:p w14:paraId="579911D7">
            <w:pPr>
              <w:keepNext w:val="0"/>
              <w:keepLines w:val="0"/>
              <w:suppressLineNumbers w:val="0"/>
              <w:spacing w:before="0" w:beforeAutospacing="0" w:after="0" w:afterAutospacing="0" w:line="360" w:lineRule="auto"/>
              <w:ind w:left="0" w:right="0" w:firstLine="480" w:firstLineChars="200"/>
              <w:rPr>
                <w:rFonts w:hint="eastAsia" w:ascii="Times New Roman" w:hAnsi="Times New Roman" w:eastAsia="宋体" w:cs="Times New Roman"/>
                <w:color w:val="auto"/>
                <w:sz w:val="24"/>
              </w:rPr>
            </w:pPr>
          </w:p>
          <w:p w14:paraId="102CB4AB">
            <w:pPr>
              <w:keepNext w:val="0"/>
              <w:keepLines w:val="0"/>
              <w:suppressLineNumbers w:val="0"/>
              <w:spacing w:before="0" w:beforeAutospacing="0" w:after="0" w:afterAutospacing="0" w:line="360" w:lineRule="auto"/>
              <w:ind w:left="0" w:right="0" w:firstLine="480" w:firstLineChars="200"/>
              <w:rPr>
                <w:rFonts w:hint="eastAsia" w:ascii="Times New Roman" w:hAnsi="Times New Roman" w:eastAsia="宋体" w:cs="Times New Roman"/>
                <w:color w:val="auto"/>
                <w:sz w:val="24"/>
              </w:rPr>
            </w:pPr>
          </w:p>
          <w:p w14:paraId="10D01175">
            <w:pPr>
              <w:keepNext w:val="0"/>
              <w:keepLines w:val="0"/>
              <w:suppressLineNumbers w:val="0"/>
              <w:spacing w:before="0" w:beforeAutospacing="0" w:after="0" w:afterAutospacing="0" w:line="360" w:lineRule="auto"/>
              <w:ind w:left="0" w:right="0" w:firstLine="480" w:firstLineChars="200"/>
              <w:rPr>
                <w:rFonts w:hint="eastAsia" w:ascii="Times New Roman" w:hAnsi="Times New Roman" w:eastAsia="宋体" w:cs="Times New Roman"/>
                <w:color w:val="auto"/>
                <w:sz w:val="24"/>
              </w:rPr>
            </w:pPr>
          </w:p>
          <w:p w14:paraId="0A562892">
            <w:pPr>
              <w:keepNext w:val="0"/>
              <w:keepLines w:val="0"/>
              <w:suppressLineNumbers w:val="0"/>
              <w:spacing w:before="0" w:beforeAutospacing="0" w:after="0" w:afterAutospacing="0" w:line="360" w:lineRule="auto"/>
              <w:ind w:left="0" w:right="0" w:firstLine="480" w:firstLineChars="200"/>
              <w:rPr>
                <w:rFonts w:hint="eastAsia" w:ascii="Times New Roman" w:hAnsi="Times New Roman" w:eastAsia="宋体" w:cs="Times New Roman"/>
                <w:color w:val="auto"/>
                <w:sz w:val="24"/>
              </w:rPr>
            </w:pPr>
          </w:p>
          <w:p w14:paraId="55199DCB">
            <w:pPr>
              <w:keepNext w:val="0"/>
              <w:keepLines w:val="0"/>
              <w:suppressLineNumbers w:val="0"/>
              <w:spacing w:before="0" w:beforeAutospacing="0" w:after="0" w:afterAutospacing="0" w:line="360" w:lineRule="auto"/>
              <w:ind w:left="0" w:right="0"/>
              <w:rPr>
                <w:rFonts w:hint="default" w:ascii="Times New Roman" w:hAnsi="Times New Roman" w:eastAsia="宋体" w:cs="Times New Roman"/>
                <w:color w:val="auto"/>
                <w:sz w:val="24"/>
              </w:rPr>
            </w:pPr>
          </w:p>
        </w:tc>
      </w:tr>
    </w:tbl>
    <w:p w14:paraId="5073B214">
      <w:pPr>
        <w:rPr>
          <w:color w:val="auto"/>
        </w:rPr>
        <w:sectPr>
          <w:pgSz w:w="16838" w:h="11906" w:orient="landscape"/>
          <w:pgMar w:top="1417" w:right="1417" w:bottom="1417" w:left="1417" w:header="851" w:footer="992" w:gutter="0"/>
          <w:pgBorders>
            <w:top w:val="none" w:sz="0" w:space="0"/>
            <w:left w:val="none" w:sz="0" w:space="0"/>
            <w:bottom w:val="none" w:sz="0" w:space="0"/>
            <w:right w:val="none" w:sz="0" w:space="0"/>
          </w:pgBorders>
          <w:cols w:space="425" w:num="1"/>
          <w:docGrid w:type="lines" w:linePitch="312" w:charSpace="0"/>
        </w:sectPr>
      </w:pPr>
    </w:p>
    <w:tbl>
      <w:tblPr>
        <w:tblStyle w:val="23"/>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91"/>
        <w:gridCol w:w="8571"/>
      </w:tblGrid>
      <w:tr w14:paraId="53630A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480" w:type="dxa"/>
            <w:vAlign w:val="center"/>
          </w:tcPr>
          <w:p w14:paraId="01839192">
            <w:pPr>
              <w:keepNext w:val="0"/>
              <w:keepLines w:val="0"/>
              <w:suppressLineNumbers w:val="0"/>
              <w:spacing w:before="0" w:beforeAutospacing="0" w:after="0" w:afterAutospacing="0"/>
              <w:ind w:left="0" w:right="0"/>
              <w:jc w:val="center"/>
              <w:rPr>
                <w:rFonts w:hint="default" w:ascii="Times New Roman" w:hAnsi="Times New Roman" w:eastAsia="宋体" w:cs="Times New Roman"/>
                <w:b/>
                <w:bCs/>
                <w:color w:val="auto"/>
                <w:sz w:val="24"/>
              </w:rPr>
            </w:pPr>
            <w:r>
              <w:rPr>
                <w:rFonts w:hint="eastAsia" w:ascii="Times New Roman" w:hAnsi="Times New Roman" w:eastAsia="宋体" w:cs="Times New Roman"/>
                <w:b/>
                <w:bCs/>
                <w:color w:val="auto"/>
                <w:sz w:val="24"/>
              </w:rPr>
              <w:t>运营期环境影响和保护施</w:t>
            </w:r>
          </w:p>
        </w:tc>
        <w:tc>
          <w:tcPr>
            <w:tcW w:w="4729" w:type="pct"/>
            <w:vAlign w:val="center"/>
          </w:tcPr>
          <w:p w14:paraId="2F743B86">
            <w:pPr>
              <w:keepNext w:val="0"/>
              <w:keepLines w:val="0"/>
              <w:suppressLineNumbers w:val="0"/>
              <w:spacing w:before="0" w:beforeAutospacing="0" w:after="0" w:afterAutospacing="0" w:line="360" w:lineRule="auto"/>
              <w:ind w:left="0" w:right="0"/>
              <w:rPr>
                <w:rFonts w:hint="default" w:ascii="Times New Roman" w:hAnsi="Times New Roman" w:eastAsia="宋体" w:cs="Times New Roman"/>
                <w:b/>
                <w:bCs/>
                <w:color w:val="auto"/>
                <w:sz w:val="24"/>
              </w:rPr>
            </w:pPr>
            <w:r>
              <w:rPr>
                <w:rFonts w:hint="eastAsia" w:ascii="Times New Roman" w:hAnsi="Times New Roman" w:eastAsia="宋体" w:cs="Times New Roman"/>
                <w:b/>
                <w:bCs/>
                <w:color w:val="auto"/>
                <w:sz w:val="24"/>
              </w:rPr>
              <w:t>4.2.2废水</w:t>
            </w:r>
          </w:p>
          <w:p w14:paraId="191C40FA">
            <w:pPr>
              <w:keepNext w:val="0"/>
              <w:keepLines w:val="0"/>
              <w:suppressLineNumbers w:val="0"/>
              <w:spacing w:before="0" w:beforeAutospacing="0" w:after="0" w:afterAutospacing="0" w:line="360" w:lineRule="auto"/>
              <w:ind w:left="0" w:right="0"/>
              <w:rPr>
                <w:rFonts w:hint="default" w:ascii="Times New Roman" w:hAnsi="Times New Roman" w:eastAsia="宋体" w:cs="Times New Roman"/>
                <w:b/>
                <w:bCs/>
                <w:color w:val="auto"/>
                <w:sz w:val="24"/>
              </w:rPr>
            </w:pPr>
            <w:r>
              <w:rPr>
                <w:rFonts w:hint="eastAsia" w:ascii="Times New Roman" w:hAnsi="Times New Roman" w:eastAsia="宋体" w:cs="Times New Roman"/>
                <w:b/>
                <w:bCs/>
                <w:color w:val="auto"/>
                <w:sz w:val="24"/>
              </w:rPr>
              <w:t>4.2.2.1源强分析</w:t>
            </w:r>
          </w:p>
          <w:p w14:paraId="6BF565C3">
            <w:pPr>
              <w:keepNext w:val="0"/>
              <w:keepLines w:val="0"/>
              <w:suppressLineNumbers w:val="0"/>
              <w:spacing w:before="0" w:beforeAutospacing="0" w:after="0" w:afterAutospacing="0" w:line="360" w:lineRule="auto"/>
              <w:ind w:left="0" w:right="0" w:firstLine="480" w:firstLineChars="200"/>
              <w:rPr>
                <w:rFonts w:hint="default" w:ascii="Times New Roman" w:hAnsi="Times New Roman" w:eastAsia="宋体" w:cs="Times New Roman"/>
                <w:color w:val="auto"/>
                <w:sz w:val="24"/>
              </w:rPr>
            </w:pPr>
            <w:r>
              <w:rPr>
                <w:rFonts w:hint="eastAsia" w:ascii="Times New Roman" w:hAnsi="Times New Roman" w:eastAsia="宋体" w:cs="Times New Roman"/>
                <w:color w:val="auto"/>
                <w:sz w:val="24"/>
              </w:rPr>
              <w:t>本项目营运期产生的废水主要为职工生活产生的生活污水、间接冷却水和喷淋废水。</w:t>
            </w:r>
          </w:p>
          <w:p w14:paraId="404DCF1B">
            <w:pPr>
              <w:keepNext w:val="0"/>
              <w:keepLines w:val="0"/>
              <w:suppressLineNumbers w:val="0"/>
              <w:spacing w:before="0" w:beforeAutospacing="0" w:after="0" w:afterAutospacing="0" w:line="360" w:lineRule="auto"/>
              <w:ind w:left="0" w:right="0" w:firstLine="480" w:firstLineChars="200"/>
              <w:rPr>
                <w:rFonts w:hint="default" w:ascii="Times New Roman" w:hAnsi="Times New Roman" w:eastAsia="宋体" w:cs="Times New Roman"/>
                <w:color w:val="auto"/>
                <w:sz w:val="24"/>
              </w:rPr>
            </w:pPr>
            <w:r>
              <w:rPr>
                <w:rFonts w:hint="eastAsia" w:ascii="Times New Roman" w:hAnsi="Times New Roman" w:eastAsia="宋体" w:cs="Times New Roman"/>
                <w:color w:val="auto"/>
                <w:sz w:val="24"/>
              </w:rPr>
              <w:t>（1）生活污水</w:t>
            </w:r>
          </w:p>
          <w:p w14:paraId="040F1834">
            <w:pPr>
              <w:keepNext w:val="0"/>
              <w:keepLines w:val="0"/>
              <w:suppressLineNumbers w:val="0"/>
              <w:spacing w:before="0" w:beforeAutospacing="0" w:after="0" w:afterAutospacing="0" w:line="360" w:lineRule="auto"/>
              <w:ind w:left="0" w:right="0" w:firstLine="480" w:firstLineChars="200"/>
              <w:rPr>
                <w:rFonts w:hint="default" w:ascii="Times New Roman" w:hAnsi="Times New Roman" w:eastAsia="宋体" w:cs="Times New Roman"/>
                <w:color w:val="auto"/>
                <w:sz w:val="24"/>
              </w:rPr>
            </w:pPr>
            <w:r>
              <w:rPr>
                <w:rFonts w:hint="eastAsia" w:ascii="Times New Roman" w:hAnsi="Times New Roman" w:eastAsia="宋体" w:cs="Times New Roman"/>
                <w:color w:val="auto"/>
                <w:sz w:val="24"/>
              </w:rPr>
              <w:t>本项目职工定员</w:t>
            </w:r>
            <w:r>
              <w:rPr>
                <w:rFonts w:hint="eastAsia" w:ascii="Times New Roman" w:hAnsi="Times New Roman" w:eastAsia="宋体" w:cs="Times New Roman"/>
                <w:color w:val="auto"/>
                <w:sz w:val="24"/>
                <w:lang w:val="en-US" w:eastAsia="zh-CN"/>
              </w:rPr>
              <w:t>100</w:t>
            </w:r>
            <w:r>
              <w:rPr>
                <w:rFonts w:hint="eastAsia" w:ascii="Times New Roman" w:hAnsi="Times New Roman" w:eastAsia="宋体" w:cs="Times New Roman"/>
                <w:color w:val="auto"/>
                <w:sz w:val="24"/>
              </w:rPr>
              <w:t>人，厂区内不设食堂和宿舍，实行两班制生产，年生产天数为300d。生活用水量按</w:t>
            </w:r>
            <w:r>
              <w:rPr>
                <w:rFonts w:hint="default" w:ascii="Times New Roman" w:hAnsi="Times New Roman" w:eastAsia="宋体" w:cs="Times New Roman"/>
                <w:color w:val="auto"/>
                <w:sz w:val="24"/>
              </w:rPr>
              <w:t>50L/</w:t>
            </w:r>
            <w:r>
              <w:rPr>
                <w:rFonts w:hint="eastAsia" w:ascii="Times New Roman" w:hAnsi="Times New Roman" w:eastAsia="宋体" w:cs="Times New Roman"/>
                <w:color w:val="auto"/>
                <w:sz w:val="24"/>
              </w:rPr>
              <w:t>人·</w:t>
            </w:r>
            <w:r>
              <w:rPr>
                <w:rFonts w:hint="default" w:ascii="Times New Roman" w:hAnsi="Times New Roman" w:eastAsia="宋体" w:cs="Times New Roman"/>
                <w:color w:val="auto"/>
                <w:sz w:val="24"/>
              </w:rPr>
              <w:t>d</w:t>
            </w:r>
            <w:r>
              <w:rPr>
                <w:rFonts w:hint="eastAsia" w:ascii="Times New Roman" w:hAnsi="Times New Roman" w:eastAsia="宋体" w:cs="Times New Roman"/>
                <w:color w:val="auto"/>
                <w:sz w:val="24"/>
              </w:rPr>
              <w:t>计，则用水量为</w:t>
            </w:r>
            <w:r>
              <w:rPr>
                <w:rFonts w:hint="eastAsia" w:ascii="Times New Roman" w:hAnsi="Times New Roman" w:eastAsia="宋体" w:cs="Times New Roman"/>
                <w:color w:val="auto"/>
                <w:sz w:val="24"/>
                <w:lang w:val="en-US" w:eastAsia="zh-CN"/>
              </w:rPr>
              <w:t>1500</w:t>
            </w:r>
            <w:r>
              <w:rPr>
                <w:rFonts w:hint="eastAsia" w:ascii="Times New Roman" w:hAnsi="Times New Roman" w:eastAsia="宋体" w:cs="Times New Roman"/>
                <w:color w:val="auto"/>
                <w:sz w:val="24"/>
              </w:rPr>
              <w:t>t/a；排污系数以0.8计，则生活污水产生量为</w:t>
            </w:r>
            <w:r>
              <w:rPr>
                <w:rFonts w:hint="eastAsia" w:ascii="Times New Roman" w:hAnsi="Times New Roman" w:eastAsia="宋体" w:cs="Times New Roman"/>
                <w:color w:val="auto"/>
                <w:sz w:val="24"/>
                <w:lang w:val="en-US" w:eastAsia="zh-CN"/>
              </w:rPr>
              <w:t>1200</w:t>
            </w:r>
            <w:r>
              <w:rPr>
                <w:rFonts w:hint="eastAsia" w:ascii="Times New Roman" w:hAnsi="Times New Roman" w:eastAsia="宋体" w:cs="Times New Roman"/>
                <w:color w:val="auto"/>
                <w:sz w:val="24"/>
              </w:rPr>
              <w:t>t/a。生活污水的污染</w:t>
            </w:r>
            <w:r>
              <w:rPr>
                <w:rFonts w:hint="eastAsia" w:ascii="Times New Roman" w:hAnsi="Times New Roman" w:eastAsia="宋体" w:cs="Times New Roman"/>
                <w:color w:val="FF0000"/>
                <w:sz w:val="24"/>
              </w:rPr>
              <w:t>因</w:t>
            </w:r>
            <w:r>
              <w:rPr>
                <w:rFonts w:hint="eastAsia" w:ascii="Times New Roman" w:hAnsi="Times New Roman" w:eastAsia="宋体" w:cs="Times New Roman"/>
                <w:color w:val="FF0000"/>
                <w:sz w:val="24"/>
                <w:lang w:val="en-US" w:eastAsia="zh-CN"/>
              </w:rPr>
              <w:t>子</w:t>
            </w:r>
            <w:r>
              <w:rPr>
                <w:rFonts w:hint="eastAsia" w:ascii="Times New Roman" w:hAnsi="Times New Roman" w:eastAsia="宋体" w:cs="Times New Roman"/>
                <w:color w:val="auto"/>
                <w:sz w:val="24"/>
              </w:rPr>
              <w:t>主要是COD</w:t>
            </w:r>
            <w:r>
              <w:rPr>
                <w:rFonts w:hint="eastAsia" w:ascii="Times New Roman" w:hAnsi="Times New Roman" w:eastAsia="宋体" w:cs="Times New Roman"/>
                <w:color w:val="auto"/>
                <w:sz w:val="24"/>
                <w:vertAlign w:val="subscript"/>
              </w:rPr>
              <w:t>Cr</w:t>
            </w:r>
            <w:r>
              <w:rPr>
                <w:rFonts w:hint="eastAsia" w:ascii="Times New Roman" w:hAnsi="Times New Roman" w:eastAsia="宋体" w:cs="Times New Roman"/>
                <w:color w:val="auto"/>
                <w:sz w:val="24"/>
              </w:rPr>
              <w:t>、NH</w:t>
            </w:r>
            <w:r>
              <w:rPr>
                <w:rFonts w:hint="eastAsia" w:ascii="Times New Roman" w:hAnsi="Times New Roman" w:eastAsia="宋体" w:cs="Times New Roman"/>
                <w:color w:val="auto"/>
                <w:sz w:val="24"/>
                <w:vertAlign w:val="subscript"/>
              </w:rPr>
              <w:t>3</w:t>
            </w:r>
            <w:r>
              <w:rPr>
                <w:rFonts w:hint="eastAsia" w:ascii="Times New Roman" w:hAnsi="Times New Roman" w:eastAsia="宋体" w:cs="Times New Roman"/>
                <w:color w:val="auto"/>
                <w:sz w:val="24"/>
              </w:rPr>
              <w:t>-N等，水质污染物浓度约为COD</w:t>
            </w:r>
            <w:r>
              <w:rPr>
                <w:rFonts w:hint="eastAsia" w:ascii="Times New Roman" w:hAnsi="Times New Roman" w:eastAsia="宋体" w:cs="Times New Roman"/>
                <w:color w:val="auto"/>
                <w:sz w:val="24"/>
                <w:vertAlign w:val="subscript"/>
              </w:rPr>
              <w:t>Cr</w:t>
            </w:r>
            <w:r>
              <w:rPr>
                <w:rFonts w:hint="eastAsia" w:ascii="Times New Roman" w:hAnsi="Times New Roman" w:eastAsia="宋体" w:cs="Times New Roman"/>
                <w:color w:val="auto"/>
                <w:sz w:val="24"/>
              </w:rPr>
              <w:t>：350mg/L，NH</w:t>
            </w:r>
            <w:r>
              <w:rPr>
                <w:rFonts w:hint="eastAsia" w:ascii="Times New Roman" w:hAnsi="Times New Roman" w:eastAsia="宋体" w:cs="Times New Roman"/>
                <w:color w:val="auto"/>
                <w:sz w:val="24"/>
                <w:vertAlign w:val="subscript"/>
              </w:rPr>
              <w:t>3</w:t>
            </w:r>
            <w:r>
              <w:rPr>
                <w:rFonts w:hint="eastAsia" w:ascii="Times New Roman" w:hAnsi="Times New Roman" w:eastAsia="宋体" w:cs="Times New Roman"/>
                <w:color w:val="auto"/>
                <w:sz w:val="24"/>
              </w:rPr>
              <w:t>-N：35mg/L，则其主要污染物产生量约为COD</w:t>
            </w:r>
            <w:r>
              <w:rPr>
                <w:rFonts w:hint="eastAsia" w:ascii="Times New Roman" w:hAnsi="Times New Roman" w:eastAsia="宋体" w:cs="Times New Roman"/>
                <w:color w:val="auto"/>
                <w:sz w:val="24"/>
                <w:vertAlign w:val="subscript"/>
              </w:rPr>
              <w:t>Cr</w:t>
            </w:r>
            <w:r>
              <w:rPr>
                <w:rFonts w:hint="eastAsia" w:ascii="Times New Roman" w:hAnsi="Times New Roman" w:eastAsia="宋体" w:cs="Times New Roman"/>
                <w:color w:val="auto"/>
                <w:sz w:val="24"/>
              </w:rPr>
              <w:t>：</w:t>
            </w:r>
            <w:r>
              <w:rPr>
                <w:rFonts w:hint="eastAsia" w:ascii="Times New Roman" w:hAnsi="Times New Roman" w:eastAsia="宋体" w:cs="Times New Roman"/>
                <w:color w:val="auto"/>
                <w:sz w:val="24"/>
                <w:lang w:val="en-US" w:eastAsia="zh-CN"/>
              </w:rPr>
              <w:t>0.420</w:t>
            </w:r>
            <w:r>
              <w:rPr>
                <w:rFonts w:hint="eastAsia" w:ascii="Times New Roman" w:hAnsi="Times New Roman" w:eastAsia="宋体" w:cs="Times New Roman"/>
                <w:color w:val="auto"/>
                <w:sz w:val="24"/>
              </w:rPr>
              <w:t>t/a，NH</w:t>
            </w:r>
            <w:r>
              <w:rPr>
                <w:rFonts w:hint="eastAsia" w:ascii="Times New Roman" w:hAnsi="Times New Roman" w:eastAsia="宋体" w:cs="Times New Roman"/>
                <w:color w:val="auto"/>
                <w:sz w:val="24"/>
                <w:vertAlign w:val="subscript"/>
              </w:rPr>
              <w:t>3</w:t>
            </w:r>
            <w:r>
              <w:rPr>
                <w:rFonts w:hint="eastAsia" w:ascii="Times New Roman" w:hAnsi="Times New Roman" w:eastAsia="宋体" w:cs="Times New Roman"/>
                <w:color w:val="auto"/>
                <w:sz w:val="24"/>
              </w:rPr>
              <w:t>-N：</w:t>
            </w:r>
            <w:r>
              <w:rPr>
                <w:rFonts w:hint="eastAsia" w:ascii="Times New Roman" w:hAnsi="Times New Roman" w:eastAsia="宋体" w:cs="Times New Roman"/>
                <w:color w:val="auto"/>
                <w:sz w:val="24"/>
                <w:lang w:val="en-US" w:eastAsia="zh-CN"/>
              </w:rPr>
              <w:t>0.042</w:t>
            </w:r>
            <w:r>
              <w:rPr>
                <w:rFonts w:hint="eastAsia" w:ascii="Times New Roman" w:hAnsi="Times New Roman" w:eastAsia="宋体" w:cs="Times New Roman"/>
                <w:color w:val="auto"/>
                <w:sz w:val="24"/>
              </w:rPr>
              <w:t>t/a。经化粪池预处理后，水质污染物浓度约为COD</w:t>
            </w:r>
            <w:r>
              <w:rPr>
                <w:rFonts w:hint="eastAsia" w:ascii="Times New Roman" w:hAnsi="Times New Roman" w:eastAsia="宋体" w:cs="Times New Roman"/>
                <w:color w:val="auto"/>
                <w:sz w:val="24"/>
                <w:vertAlign w:val="subscript"/>
              </w:rPr>
              <w:t>Cr</w:t>
            </w:r>
            <w:r>
              <w:rPr>
                <w:rFonts w:hint="eastAsia" w:ascii="Times New Roman" w:hAnsi="Times New Roman" w:eastAsia="宋体" w:cs="Times New Roman"/>
                <w:color w:val="auto"/>
                <w:sz w:val="24"/>
              </w:rPr>
              <w:t>：300mg/L，NH</w:t>
            </w:r>
            <w:r>
              <w:rPr>
                <w:rFonts w:hint="eastAsia" w:ascii="Times New Roman" w:hAnsi="Times New Roman" w:eastAsia="宋体" w:cs="Times New Roman"/>
                <w:color w:val="auto"/>
                <w:sz w:val="24"/>
                <w:vertAlign w:val="subscript"/>
              </w:rPr>
              <w:t>3</w:t>
            </w:r>
            <w:r>
              <w:rPr>
                <w:rFonts w:hint="eastAsia" w:ascii="Times New Roman" w:hAnsi="Times New Roman" w:eastAsia="宋体" w:cs="Times New Roman"/>
                <w:color w:val="auto"/>
                <w:sz w:val="24"/>
              </w:rPr>
              <w:t>-N：30mg/L，则污染物的产生量分别为COD</w:t>
            </w:r>
            <w:r>
              <w:rPr>
                <w:rFonts w:hint="eastAsia" w:ascii="Times New Roman" w:hAnsi="Times New Roman" w:eastAsia="宋体" w:cs="Times New Roman"/>
                <w:color w:val="auto"/>
                <w:sz w:val="24"/>
                <w:vertAlign w:val="subscript"/>
              </w:rPr>
              <w:t>Cr</w:t>
            </w:r>
            <w:r>
              <w:rPr>
                <w:rFonts w:hint="eastAsia" w:ascii="Times New Roman" w:hAnsi="Times New Roman" w:eastAsia="宋体" w:cs="Times New Roman"/>
                <w:color w:val="auto"/>
                <w:sz w:val="24"/>
              </w:rPr>
              <w:t>：</w:t>
            </w:r>
            <w:r>
              <w:rPr>
                <w:rFonts w:hint="eastAsia" w:ascii="Times New Roman" w:hAnsi="Times New Roman" w:eastAsia="宋体" w:cs="Times New Roman"/>
                <w:color w:val="auto"/>
                <w:sz w:val="24"/>
                <w:lang w:val="en-US" w:eastAsia="zh-CN"/>
              </w:rPr>
              <w:t>0.360</w:t>
            </w:r>
            <w:r>
              <w:rPr>
                <w:rFonts w:hint="eastAsia" w:ascii="Times New Roman" w:hAnsi="Times New Roman" w:eastAsia="宋体" w:cs="Times New Roman"/>
                <w:color w:val="auto"/>
                <w:sz w:val="24"/>
              </w:rPr>
              <w:t>t/a、NH</w:t>
            </w:r>
            <w:r>
              <w:rPr>
                <w:rFonts w:hint="eastAsia" w:ascii="Times New Roman" w:hAnsi="Times New Roman" w:eastAsia="宋体" w:cs="Times New Roman"/>
                <w:color w:val="auto"/>
                <w:sz w:val="24"/>
                <w:vertAlign w:val="subscript"/>
              </w:rPr>
              <w:t>3</w:t>
            </w:r>
            <w:r>
              <w:rPr>
                <w:rFonts w:hint="eastAsia" w:ascii="Times New Roman" w:hAnsi="Times New Roman" w:eastAsia="宋体" w:cs="Times New Roman"/>
                <w:color w:val="auto"/>
                <w:sz w:val="24"/>
              </w:rPr>
              <w:t>-N：</w:t>
            </w:r>
            <w:r>
              <w:rPr>
                <w:rFonts w:hint="eastAsia" w:ascii="Times New Roman" w:hAnsi="Times New Roman" w:eastAsia="宋体" w:cs="Times New Roman"/>
                <w:color w:val="auto"/>
                <w:sz w:val="24"/>
                <w:lang w:val="en-US" w:eastAsia="zh-CN"/>
              </w:rPr>
              <w:t>0.036</w:t>
            </w:r>
            <w:r>
              <w:rPr>
                <w:rFonts w:hint="eastAsia" w:ascii="Times New Roman" w:hAnsi="Times New Roman" w:eastAsia="宋体" w:cs="Times New Roman"/>
                <w:color w:val="auto"/>
                <w:sz w:val="24"/>
              </w:rPr>
              <w:t>t/a。水质达到安吉清源污水处理有限公司进水水质标准后，纳管至安吉清源污水处理有限公司集中处理，达标排放。安吉清源污水处理有限公司尾水排放执行《城镇污水处理厂污染物排放标准》（GB18918-2002，含2006年、2025年修改单）中的一级A标准，其中化学需氧量、氨氮、总氮、总磷排放执行《城镇污水处理厂主要水污染物排放标准》（DB33/2169-2018）中表2标准，则排入自然水体的主要污染物量为COD</w:t>
            </w:r>
            <w:r>
              <w:rPr>
                <w:rFonts w:hint="eastAsia" w:ascii="Times New Roman" w:hAnsi="Times New Roman" w:eastAsia="宋体" w:cs="Times New Roman"/>
                <w:color w:val="auto"/>
                <w:sz w:val="24"/>
                <w:vertAlign w:val="subscript"/>
              </w:rPr>
              <w:t>Cr</w:t>
            </w:r>
            <w:r>
              <w:rPr>
                <w:rFonts w:hint="eastAsia" w:ascii="Times New Roman" w:hAnsi="Times New Roman" w:eastAsia="宋体" w:cs="Times New Roman"/>
                <w:color w:val="auto"/>
                <w:sz w:val="24"/>
              </w:rPr>
              <w:t>：</w:t>
            </w:r>
            <w:r>
              <w:rPr>
                <w:rFonts w:hint="eastAsia" w:ascii="Times New Roman" w:hAnsi="Times New Roman" w:eastAsia="宋体" w:cs="Times New Roman"/>
                <w:color w:val="auto"/>
                <w:sz w:val="24"/>
                <w:lang w:val="en-US" w:eastAsia="zh-CN"/>
              </w:rPr>
              <w:t>0.036</w:t>
            </w:r>
            <w:r>
              <w:rPr>
                <w:rFonts w:hint="eastAsia" w:ascii="Times New Roman" w:hAnsi="Times New Roman" w:eastAsia="宋体" w:cs="Times New Roman"/>
                <w:color w:val="auto"/>
                <w:sz w:val="24"/>
              </w:rPr>
              <w:t>t/a、NH</w:t>
            </w:r>
            <w:r>
              <w:rPr>
                <w:rFonts w:hint="eastAsia" w:ascii="Times New Roman" w:hAnsi="Times New Roman" w:eastAsia="宋体" w:cs="Times New Roman"/>
                <w:color w:val="auto"/>
                <w:sz w:val="24"/>
                <w:vertAlign w:val="subscript"/>
              </w:rPr>
              <w:t>3</w:t>
            </w:r>
            <w:r>
              <w:rPr>
                <w:rFonts w:hint="eastAsia" w:ascii="Times New Roman" w:hAnsi="Times New Roman" w:eastAsia="宋体" w:cs="Times New Roman"/>
                <w:color w:val="auto"/>
                <w:sz w:val="24"/>
              </w:rPr>
              <w:t>-N：</w:t>
            </w:r>
            <w:r>
              <w:rPr>
                <w:rFonts w:hint="eastAsia" w:ascii="Times New Roman" w:hAnsi="Times New Roman" w:eastAsia="宋体" w:cs="Times New Roman"/>
                <w:color w:val="auto"/>
                <w:sz w:val="24"/>
                <w:lang w:val="en-US" w:eastAsia="zh-CN"/>
              </w:rPr>
              <w:t>0.002</w:t>
            </w:r>
            <w:r>
              <w:rPr>
                <w:rFonts w:hint="eastAsia" w:ascii="Times New Roman" w:hAnsi="Times New Roman" w:eastAsia="宋体" w:cs="Times New Roman"/>
                <w:color w:val="auto"/>
                <w:sz w:val="24"/>
              </w:rPr>
              <w:t>t/a。</w:t>
            </w:r>
          </w:p>
          <w:p w14:paraId="52202AC0">
            <w:pPr>
              <w:keepNext w:val="0"/>
              <w:keepLines w:val="0"/>
              <w:suppressLineNumbers w:val="0"/>
              <w:spacing w:before="0" w:beforeAutospacing="0" w:after="0" w:afterAutospacing="0" w:line="360" w:lineRule="auto"/>
              <w:ind w:left="0" w:right="0" w:firstLine="480" w:firstLineChars="200"/>
              <w:rPr>
                <w:rFonts w:hint="default" w:ascii="Times New Roman" w:hAnsi="Times New Roman" w:eastAsia="宋体" w:cs="Times New Roman"/>
                <w:color w:val="auto"/>
                <w:sz w:val="24"/>
              </w:rPr>
            </w:pPr>
            <w:r>
              <w:rPr>
                <w:rFonts w:hint="eastAsia" w:ascii="Times New Roman" w:hAnsi="Times New Roman" w:eastAsia="宋体" w:cs="Times New Roman"/>
                <w:color w:val="auto"/>
                <w:sz w:val="24"/>
              </w:rPr>
              <w:t>（2）间接冷却水</w:t>
            </w:r>
          </w:p>
          <w:p w14:paraId="3714F9DE">
            <w:pPr>
              <w:keepNext w:val="0"/>
              <w:keepLines w:val="0"/>
              <w:suppressLineNumbers w:val="0"/>
              <w:spacing w:before="0" w:beforeAutospacing="0" w:after="0" w:afterAutospacing="0" w:line="360" w:lineRule="auto"/>
              <w:ind w:left="0" w:right="0" w:firstLine="480" w:firstLineChars="200"/>
              <w:rPr>
                <w:rFonts w:hint="default" w:ascii="Times New Roman" w:hAnsi="Times New Roman" w:eastAsia="宋体" w:cs="Times New Roman"/>
                <w:color w:val="auto"/>
                <w:sz w:val="24"/>
              </w:rPr>
            </w:pPr>
            <w:r>
              <w:rPr>
                <w:rFonts w:hint="eastAsia" w:ascii="Times New Roman" w:hAnsi="Times New Roman" w:eastAsia="宋体" w:cs="Times New Roman"/>
                <w:color w:val="auto"/>
                <w:sz w:val="24"/>
              </w:rPr>
              <w:t>本项目第二代动力电池高安全陶瓷化复合隔膜工艺中</w:t>
            </w:r>
            <w:r>
              <w:rPr>
                <w:rFonts w:hint="eastAsia" w:ascii="Times New Roman" w:hAnsi="Times New Roman" w:eastAsia="宋体" w:cs="Times New Roman"/>
                <w:color w:val="auto"/>
                <w:sz w:val="24"/>
                <w:lang w:val="en-US" w:eastAsia="zh-CN"/>
              </w:rPr>
              <w:t>部分设备</w:t>
            </w:r>
            <w:r>
              <w:rPr>
                <w:rFonts w:hint="eastAsia" w:ascii="Times New Roman" w:hAnsi="Times New Roman" w:eastAsia="宋体" w:cs="Times New Roman"/>
                <w:color w:val="auto"/>
                <w:sz w:val="24"/>
              </w:rPr>
              <w:t>需要使用冷却塔进行间接冷却。根据企业提供资料，冷却塔循环量为50t/h，冷却水循环使用不排放，只需定期补充新鲜水即可。根据《建筑给水排水设计手册》，冷却塔水量的损失应根据蒸发、风吹等各项损失水量确定，同时结合企业实际降温效果，一般补水率（即损耗）为循环水量的2%，企业年运行时间4800h，共设置1个冷却塔，则冷却塔补充水量约4800t/a。</w:t>
            </w:r>
          </w:p>
          <w:p w14:paraId="3AC285A0">
            <w:pPr>
              <w:keepNext w:val="0"/>
              <w:keepLines w:val="0"/>
              <w:suppressLineNumbers w:val="0"/>
              <w:spacing w:before="0" w:beforeAutospacing="0" w:after="0" w:afterAutospacing="0" w:line="360" w:lineRule="auto"/>
              <w:ind w:left="0" w:right="0" w:firstLine="480" w:firstLineChars="200"/>
              <w:rPr>
                <w:rFonts w:hint="default" w:ascii="Times New Roman" w:hAnsi="Times New Roman" w:eastAsia="宋体" w:cs="Times New Roman"/>
                <w:color w:val="auto"/>
                <w:sz w:val="24"/>
              </w:rPr>
            </w:pPr>
            <w:r>
              <w:rPr>
                <w:rFonts w:hint="eastAsia" w:ascii="Times New Roman" w:hAnsi="Times New Roman" w:eastAsia="宋体" w:cs="Times New Roman"/>
                <w:color w:val="auto"/>
                <w:sz w:val="24"/>
              </w:rPr>
              <w:t>（3）喷淋废水</w:t>
            </w:r>
          </w:p>
          <w:p w14:paraId="538D2C02">
            <w:pPr>
              <w:keepNext w:val="0"/>
              <w:keepLines w:val="0"/>
              <w:suppressLineNumbers w:val="0"/>
              <w:spacing w:before="0" w:beforeAutospacing="0" w:after="0" w:afterAutospacing="0" w:line="360" w:lineRule="auto"/>
              <w:ind w:left="0" w:right="0" w:firstLine="480" w:firstLineChars="200"/>
              <w:rPr>
                <w:rFonts w:hint="default" w:ascii="Times New Roman" w:hAnsi="Times New Roman" w:eastAsia="宋体" w:cs="Times New Roman"/>
                <w:color w:val="auto"/>
                <w:sz w:val="24"/>
              </w:rPr>
            </w:pPr>
            <w:r>
              <w:rPr>
                <w:rFonts w:hint="eastAsia" w:ascii="Times New Roman" w:hAnsi="Times New Roman" w:eastAsia="宋体" w:cs="Times New Roman"/>
                <w:color w:val="0000E1"/>
                <w:sz w:val="24"/>
              </w:rPr>
              <w:t>本项目固化废气、背胶废气、辅料成型废气通过水喷淋塔进行降温冷却与预处理杂质去除，该过程会产生喷淋废水。</w:t>
            </w:r>
            <w:r>
              <w:rPr>
                <w:rFonts w:hint="eastAsia" w:ascii="Times New Roman" w:hAnsi="Times New Roman" w:eastAsia="宋体" w:cs="Times New Roman"/>
                <w:color w:val="auto"/>
                <w:sz w:val="24"/>
              </w:rPr>
              <w:t>根据企业提供资料，喷淋塔循环量为30m</w:t>
            </w:r>
            <w:r>
              <w:rPr>
                <w:rFonts w:hint="eastAsia" w:ascii="Times New Roman" w:hAnsi="Times New Roman" w:eastAsia="宋体" w:cs="Times New Roman"/>
                <w:color w:val="auto"/>
                <w:sz w:val="24"/>
                <w:vertAlign w:val="superscript"/>
              </w:rPr>
              <w:t>3</w:t>
            </w:r>
            <w:r>
              <w:rPr>
                <w:rFonts w:hint="eastAsia" w:ascii="Times New Roman" w:hAnsi="Times New Roman" w:eastAsia="宋体" w:cs="Times New Roman"/>
                <w:color w:val="auto"/>
                <w:sz w:val="24"/>
              </w:rPr>
              <w:t>/h，喷淋水循环使用，一般补水率（即损耗）为循环水量的0.1%，企业年运行时间4800h，共设置1个喷淋塔，则喷淋塔补充水量约144t/a。喷淋塔循环水箱容积为2m</w:t>
            </w:r>
            <w:r>
              <w:rPr>
                <w:rFonts w:hint="eastAsia" w:ascii="Times New Roman" w:hAnsi="Times New Roman" w:eastAsia="宋体" w:cs="Times New Roman"/>
                <w:color w:val="auto"/>
                <w:sz w:val="24"/>
                <w:vertAlign w:val="superscript"/>
              </w:rPr>
              <w:t>3</w:t>
            </w:r>
            <w:r>
              <w:rPr>
                <w:rFonts w:hint="eastAsia" w:ascii="Times New Roman" w:hAnsi="Times New Roman" w:eastAsia="宋体" w:cs="Times New Roman"/>
                <w:color w:val="auto"/>
                <w:sz w:val="24"/>
              </w:rPr>
              <w:t>，当循环到一定程度后，水中的含盐量升高，需定期更换，溶液每年更换两次，则产生量约4t/a。更换后的喷淋废水作为危废处置。</w:t>
            </w:r>
          </w:p>
          <w:p w14:paraId="69DE1D3E">
            <w:pPr>
              <w:keepNext w:val="0"/>
              <w:keepLines w:val="0"/>
              <w:suppressLineNumbers w:val="0"/>
              <w:spacing w:before="0" w:beforeAutospacing="0" w:after="0" w:afterAutospacing="0"/>
              <w:ind w:left="0" w:right="0"/>
              <w:rPr>
                <w:rFonts w:hint="default"/>
                <w:color w:val="auto"/>
              </w:rPr>
            </w:pPr>
          </w:p>
          <w:p w14:paraId="0914CF89">
            <w:pPr>
              <w:pStyle w:val="10"/>
              <w:keepNext w:val="0"/>
              <w:keepLines w:val="0"/>
              <w:suppressLineNumbers w:val="0"/>
              <w:spacing w:before="0" w:beforeAutospacing="0" w:afterAutospacing="0"/>
              <w:ind w:left="0" w:right="0"/>
              <w:rPr>
                <w:rFonts w:hint="default"/>
                <w:color w:val="auto"/>
              </w:rPr>
            </w:pPr>
          </w:p>
          <w:p w14:paraId="7E6A5F7B">
            <w:pPr>
              <w:pStyle w:val="10"/>
              <w:keepNext w:val="0"/>
              <w:keepLines w:val="0"/>
              <w:suppressLineNumbers w:val="0"/>
              <w:spacing w:before="0" w:beforeAutospacing="0" w:afterAutospacing="0"/>
              <w:ind w:left="0" w:right="0"/>
              <w:rPr>
                <w:rFonts w:hint="default"/>
                <w:color w:val="auto"/>
              </w:rPr>
            </w:pPr>
          </w:p>
          <w:p w14:paraId="51DDF209">
            <w:pPr>
              <w:pStyle w:val="10"/>
              <w:keepNext w:val="0"/>
              <w:keepLines w:val="0"/>
              <w:suppressLineNumbers w:val="0"/>
              <w:spacing w:before="0" w:beforeAutospacing="0" w:afterAutospacing="0"/>
              <w:ind w:left="0" w:right="0"/>
              <w:rPr>
                <w:rFonts w:hint="default"/>
                <w:color w:val="auto"/>
              </w:rPr>
            </w:pPr>
          </w:p>
          <w:p w14:paraId="4A9B22F4">
            <w:pPr>
              <w:pStyle w:val="10"/>
              <w:keepNext w:val="0"/>
              <w:keepLines w:val="0"/>
              <w:suppressLineNumbers w:val="0"/>
              <w:spacing w:before="0" w:beforeAutospacing="0" w:afterAutospacing="0"/>
              <w:ind w:left="0" w:right="0"/>
              <w:rPr>
                <w:rFonts w:hint="default"/>
                <w:color w:val="auto"/>
              </w:rPr>
            </w:pPr>
          </w:p>
          <w:p w14:paraId="3C98C2C2">
            <w:pPr>
              <w:pStyle w:val="10"/>
              <w:keepNext w:val="0"/>
              <w:keepLines w:val="0"/>
              <w:suppressLineNumbers w:val="0"/>
              <w:spacing w:before="0" w:beforeAutospacing="0" w:afterAutospacing="0"/>
              <w:ind w:left="0" w:right="0"/>
              <w:rPr>
                <w:rFonts w:hint="default"/>
                <w:color w:val="auto"/>
              </w:rPr>
            </w:pPr>
          </w:p>
          <w:p w14:paraId="4B745754">
            <w:pPr>
              <w:pStyle w:val="10"/>
              <w:keepNext w:val="0"/>
              <w:keepLines w:val="0"/>
              <w:suppressLineNumbers w:val="0"/>
              <w:spacing w:before="0" w:beforeAutospacing="0" w:afterAutospacing="0"/>
              <w:ind w:left="0" w:right="0"/>
              <w:rPr>
                <w:rFonts w:hint="default"/>
                <w:color w:val="auto"/>
              </w:rPr>
            </w:pPr>
          </w:p>
          <w:p w14:paraId="49471CF6">
            <w:pPr>
              <w:pStyle w:val="10"/>
              <w:keepNext w:val="0"/>
              <w:keepLines w:val="0"/>
              <w:suppressLineNumbers w:val="0"/>
              <w:spacing w:before="0" w:beforeAutospacing="0" w:afterAutospacing="0"/>
              <w:ind w:left="0" w:right="0"/>
              <w:rPr>
                <w:rFonts w:hint="default"/>
                <w:color w:val="auto"/>
              </w:rPr>
            </w:pPr>
          </w:p>
          <w:p w14:paraId="482EF557">
            <w:pPr>
              <w:pStyle w:val="10"/>
              <w:keepNext w:val="0"/>
              <w:keepLines w:val="0"/>
              <w:suppressLineNumbers w:val="0"/>
              <w:spacing w:before="0" w:beforeAutospacing="0" w:afterAutospacing="0"/>
              <w:ind w:left="0" w:right="0"/>
              <w:rPr>
                <w:rFonts w:hint="default"/>
                <w:color w:val="auto"/>
              </w:rPr>
            </w:pPr>
          </w:p>
          <w:p w14:paraId="4C86DAA1">
            <w:pPr>
              <w:pStyle w:val="10"/>
              <w:keepNext w:val="0"/>
              <w:keepLines w:val="0"/>
              <w:suppressLineNumbers w:val="0"/>
              <w:spacing w:before="0" w:beforeAutospacing="0" w:afterAutospacing="0"/>
              <w:ind w:left="0" w:right="0"/>
              <w:rPr>
                <w:rFonts w:hint="default"/>
                <w:color w:val="auto"/>
              </w:rPr>
            </w:pPr>
          </w:p>
          <w:p w14:paraId="6C7E2C06">
            <w:pPr>
              <w:pStyle w:val="10"/>
              <w:keepNext w:val="0"/>
              <w:keepLines w:val="0"/>
              <w:suppressLineNumbers w:val="0"/>
              <w:spacing w:before="0" w:beforeAutospacing="0" w:afterAutospacing="0"/>
              <w:ind w:left="0" w:right="0"/>
              <w:rPr>
                <w:rFonts w:hint="default"/>
                <w:color w:val="auto"/>
              </w:rPr>
            </w:pPr>
          </w:p>
          <w:p w14:paraId="3F6BE4B5">
            <w:pPr>
              <w:pStyle w:val="10"/>
              <w:keepNext w:val="0"/>
              <w:keepLines w:val="0"/>
              <w:suppressLineNumbers w:val="0"/>
              <w:spacing w:before="0" w:beforeAutospacing="0" w:afterAutospacing="0"/>
              <w:ind w:left="0" w:right="0"/>
              <w:rPr>
                <w:rFonts w:hint="default"/>
                <w:color w:val="auto"/>
              </w:rPr>
            </w:pPr>
          </w:p>
          <w:p w14:paraId="2931B76A">
            <w:pPr>
              <w:pStyle w:val="10"/>
              <w:keepNext w:val="0"/>
              <w:keepLines w:val="0"/>
              <w:suppressLineNumbers w:val="0"/>
              <w:spacing w:before="0" w:beforeAutospacing="0" w:afterAutospacing="0"/>
              <w:ind w:left="0" w:right="0"/>
              <w:rPr>
                <w:rFonts w:hint="default"/>
                <w:color w:val="auto"/>
              </w:rPr>
            </w:pPr>
          </w:p>
          <w:p w14:paraId="7356382B">
            <w:pPr>
              <w:pStyle w:val="10"/>
              <w:keepNext w:val="0"/>
              <w:keepLines w:val="0"/>
              <w:suppressLineNumbers w:val="0"/>
              <w:spacing w:before="0" w:beforeAutospacing="0" w:afterAutospacing="0"/>
              <w:ind w:left="0" w:right="0"/>
              <w:rPr>
                <w:rFonts w:hint="default"/>
                <w:color w:val="auto"/>
              </w:rPr>
            </w:pPr>
          </w:p>
          <w:p w14:paraId="4DB5C195">
            <w:pPr>
              <w:pStyle w:val="10"/>
              <w:keepNext w:val="0"/>
              <w:keepLines w:val="0"/>
              <w:suppressLineNumbers w:val="0"/>
              <w:spacing w:before="0" w:beforeAutospacing="0" w:afterAutospacing="0"/>
              <w:ind w:left="0" w:right="0"/>
              <w:rPr>
                <w:rFonts w:hint="default"/>
                <w:color w:val="auto"/>
              </w:rPr>
            </w:pPr>
          </w:p>
          <w:p w14:paraId="50D043A0">
            <w:pPr>
              <w:pStyle w:val="10"/>
              <w:keepNext w:val="0"/>
              <w:keepLines w:val="0"/>
              <w:suppressLineNumbers w:val="0"/>
              <w:spacing w:before="0" w:beforeAutospacing="0" w:afterAutospacing="0"/>
              <w:ind w:left="0" w:right="0"/>
              <w:rPr>
                <w:rFonts w:hint="default"/>
                <w:color w:val="auto"/>
              </w:rPr>
            </w:pPr>
          </w:p>
          <w:p w14:paraId="60BF2A70">
            <w:pPr>
              <w:pStyle w:val="10"/>
              <w:keepNext w:val="0"/>
              <w:keepLines w:val="0"/>
              <w:suppressLineNumbers w:val="0"/>
              <w:spacing w:before="0" w:beforeAutospacing="0" w:afterAutospacing="0"/>
              <w:ind w:left="0" w:right="0"/>
              <w:rPr>
                <w:rFonts w:hint="default"/>
                <w:color w:val="auto"/>
              </w:rPr>
            </w:pPr>
          </w:p>
          <w:p w14:paraId="20CBF84F">
            <w:pPr>
              <w:pStyle w:val="10"/>
              <w:keepNext w:val="0"/>
              <w:keepLines w:val="0"/>
              <w:suppressLineNumbers w:val="0"/>
              <w:spacing w:before="0" w:beforeAutospacing="0" w:afterAutospacing="0"/>
              <w:ind w:left="0" w:right="0"/>
              <w:rPr>
                <w:rFonts w:hint="default"/>
                <w:color w:val="auto"/>
              </w:rPr>
            </w:pPr>
          </w:p>
          <w:p w14:paraId="4C01BE93">
            <w:pPr>
              <w:pStyle w:val="10"/>
              <w:keepNext w:val="0"/>
              <w:keepLines w:val="0"/>
              <w:suppressLineNumbers w:val="0"/>
              <w:spacing w:before="0" w:beforeAutospacing="0" w:afterAutospacing="0"/>
              <w:ind w:left="0" w:right="0"/>
              <w:rPr>
                <w:rFonts w:hint="default"/>
                <w:color w:val="auto"/>
              </w:rPr>
            </w:pPr>
          </w:p>
          <w:p w14:paraId="79F8D900">
            <w:pPr>
              <w:pStyle w:val="10"/>
              <w:keepNext w:val="0"/>
              <w:keepLines w:val="0"/>
              <w:suppressLineNumbers w:val="0"/>
              <w:spacing w:before="0" w:beforeAutospacing="0" w:afterAutospacing="0"/>
              <w:ind w:left="0" w:right="0"/>
              <w:rPr>
                <w:rFonts w:hint="default"/>
                <w:color w:val="auto"/>
              </w:rPr>
            </w:pPr>
          </w:p>
          <w:p w14:paraId="5AA9DFC4">
            <w:pPr>
              <w:pStyle w:val="10"/>
              <w:keepNext w:val="0"/>
              <w:keepLines w:val="0"/>
              <w:suppressLineNumbers w:val="0"/>
              <w:spacing w:before="0" w:beforeAutospacing="0" w:afterAutospacing="0"/>
              <w:ind w:left="0" w:right="0"/>
              <w:rPr>
                <w:rFonts w:hint="default"/>
                <w:color w:val="auto"/>
              </w:rPr>
            </w:pPr>
          </w:p>
          <w:p w14:paraId="41FA4B54">
            <w:pPr>
              <w:pStyle w:val="10"/>
              <w:keepNext w:val="0"/>
              <w:keepLines w:val="0"/>
              <w:suppressLineNumbers w:val="0"/>
              <w:spacing w:before="0" w:beforeAutospacing="0" w:afterAutospacing="0"/>
              <w:ind w:left="0" w:right="0"/>
              <w:rPr>
                <w:rFonts w:hint="default"/>
                <w:color w:val="auto"/>
              </w:rPr>
            </w:pPr>
          </w:p>
          <w:p w14:paraId="3A28A949">
            <w:pPr>
              <w:pStyle w:val="10"/>
              <w:keepNext w:val="0"/>
              <w:keepLines w:val="0"/>
              <w:suppressLineNumbers w:val="0"/>
              <w:spacing w:before="0" w:beforeAutospacing="0" w:afterAutospacing="0"/>
              <w:ind w:left="0" w:right="0"/>
              <w:rPr>
                <w:rFonts w:hint="default"/>
                <w:color w:val="auto"/>
              </w:rPr>
            </w:pPr>
          </w:p>
          <w:p w14:paraId="44F33235">
            <w:pPr>
              <w:pStyle w:val="10"/>
              <w:keepNext w:val="0"/>
              <w:keepLines w:val="0"/>
              <w:suppressLineNumbers w:val="0"/>
              <w:spacing w:before="0" w:beforeAutospacing="0" w:afterAutospacing="0"/>
              <w:ind w:left="0" w:right="0"/>
              <w:rPr>
                <w:rFonts w:hint="default"/>
                <w:color w:val="auto"/>
              </w:rPr>
            </w:pPr>
          </w:p>
          <w:p w14:paraId="40D9E92E">
            <w:pPr>
              <w:pStyle w:val="10"/>
              <w:keepNext w:val="0"/>
              <w:keepLines w:val="0"/>
              <w:suppressLineNumbers w:val="0"/>
              <w:spacing w:before="0" w:beforeAutospacing="0" w:afterAutospacing="0"/>
              <w:ind w:left="0" w:right="0"/>
              <w:rPr>
                <w:rFonts w:hint="default"/>
                <w:color w:val="auto"/>
              </w:rPr>
            </w:pPr>
          </w:p>
          <w:p w14:paraId="02D35FF5">
            <w:pPr>
              <w:pStyle w:val="10"/>
              <w:keepNext w:val="0"/>
              <w:keepLines w:val="0"/>
              <w:suppressLineNumbers w:val="0"/>
              <w:spacing w:before="0" w:beforeAutospacing="0" w:afterAutospacing="0"/>
              <w:ind w:left="0" w:right="0"/>
              <w:rPr>
                <w:rFonts w:hint="default"/>
                <w:color w:val="auto"/>
              </w:rPr>
            </w:pPr>
          </w:p>
          <w:p w14:paraId="0214F01B">
            <w:pPr>
              <w:pStyle w:val="10"/>
              <w:keepNext w:val="0"/>
              <w:keepLines w:val="0"/>
              <w:suppressLineNumbers w:val="0"/>
              <w:spacing w:before="0" w:beforeAutospacing="0" w:afterAutospacing="0"/>
              <w:ind w:left="0" w:right="0"/>
              <w:rPr>
                <w:rFonts w:hint="default"/>
                <w:color w:val="auto"/>
              </w:rPr>
            </w:pPr>
          </w:p>
          <w:p w14:paraId="784BF4D4">
            <w:pPr>
              <w:pStyle w:val="10"/>
              <w:keepNext w:val="0"/>
              <w:keepLines w:val="0"/>
              <w:suppressLineNumbers w:val="0"/>
              <w:spacing w:before="0" w:beforeAutospacing="0" w:afterAutospacing="0"/>
              <w:ind w:left="0" w:right="0"/>
              <w:rPr>
                <w:rFonts w:hint="default"/>
                <w:color w:val="auto"/>
              </w:rPr>
            </w:pPr>
          </w:p>
          <w:p w14:paraId="31603877">
            <w:pPr>
              <w:pStyle w:val="10"/>
              <w:keepNext w:val="0"/>
              <w:keepLines w:val="0"/>
              <w:suppressLineNumbers w:val="0"/>
              <w:spacing w:before="0" w:beforeAutospacing="0" w:afterAutospacing="0"/>
              <w:ind w:left="0" w:right="0"/>
              <w:rPr>
                <w:rFonts w:hint="default"/>
                <w:color w:val="auto"/>
              </w:rPr>
            </w:pPr>
          </w:p>
          <w:p w14:paraId="008FF715">
            <w:pPr>
              <w:pStyle w:val="10"/>
              <w:keepNext w:val="0"/>
              <w:keepLines w:val="0"/>
              <w:suppressLineNumbers w:val="0"/>
              <w:spacing w:before="0" w:beforeAutospacing="0" w:afterAutospacing="0"/>
              <w:ind w:left="0" w:right="0"/>
              <w:rPr>
                <w:rFonts w:hint="default"/>
                <w:color w:val="auto"/>
              </w:rPr>
            </w:pPr>
          </w:p>
        </w:tc>
      </w:tr>
    </w:tbl>
    <w:p w14:paraId="199FE8E0">
      <w:pPr>
        <w:rPr>
          <w:color w:val="auto"/>
        </w:rPr>
        <w:sectPr>
          <w:pgSz w:w="11906" w:h="16838"/>
          <w:pgMar w:top="1417" w:right="1417" w:bottom="1417" w:left="1417" w:header="851" w:footer="992" w:gutter="0"/>
          <w:pgBorders>
            <w:top w:val="none" w:sz="0" w:space="0"/>
            <w:left w:val="none" w:sz="0" w:space="0"/>
            <w:bottom w:val="none" w:sz="0" w:space="0"/>
            <w:right w:val="none" w:sz="0" w:space="0"/>
          </w:pgBorders>
          <w:cols w:space="425" w:num="1"/>
          <w:docGrid w:type="lines" w:linePitch="312" w:charSpace="0"/>
        </w:sectPr>
      </w:pPr>
    </w:p>
    <w:tbl>
      <w:tblPr>
        <w:tblStyle w:val="23"/>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513"/>
        <w:gridCol w:w="13481"/>
      </w:tblGrid>
      <w:tr w14:paraId="66F75E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516" w:type="dxa"/>
            <w:vAlign w:val="center"/>
          </w:tcPr>
          <w:p w14:paraId="26B5A8A7">
            <w:pPr>
              <w:keepNext w:val="0"/>
              <w:keepLines w:val="0"/>
              <w:suppressLineNumbers w:val="0"/>
              <w:spacing w:before="0" w:beforeAutospacing="0" w:after="0" w:afterAutospacing="0"/>
              <w:ind w:left="0" w:right="0"/>
              <w:jc w:val="center"/>
              <w:rPr>
                <w:rFonts w:hint="default" w:ascii="Times New Roman" w:hAnsi="Times New Roman" w:eastAsia="宋体" w:cs="Times New Roman"/>
                <w:b/>
                <w:bCs/>
                <w:color w:val="auto"/>
                <w:sz w:val="24"/>
              </w:rPr>
            </w:pPr>
            <w:r>
              <w:rPr>
                <w:rFonts w:hint="eastAsia" w:ascii="Times New Roman" w:hAnsi="Times New Roman" w:eastAsia="宋体" w:cs="Times New Roman"/>
                <w:b/>
                <w:bCs/>
                <w:color w:val="auto"/>
                <w:sz w:val="24"/>
              </w:rPr>
              <w:t>运营期环境影响和保护施</w:t>
            </w:r>
          </w:p>
        </w:tc>
        <w:tc>
          <w:tcPr>
            <w:tcW w:w="13658" w:type="dxa"/>
            <w:vAlign w:val="center"/>
          </w:tcPr>
          <w:p w14:paraId="2213C8E4">
            <w:pPr>
              <w:keepNext w:val="0"/>
              <w:keepLines w:val="0"/>
              <w:suppressLineNumbers w:val="0"/>
              <w:spacing w:before="0" w:beforeAutospacing="0" w:after="0" w:afterAutospacing="0" w:line="360" w:lineRule="auto"/>
              <w:ind w:left="0" w:right="0" w:firstLine="480" w:firstLineChars="200"/>
              <w:rPr>
                <w:rFonts w:hint="default" w:ascii="Times New Roman" w:hAnsi="Times New Roman" w:eastAsia="宋体" w:cs="Times New Roman"/>
                <w:color w:val="auto"/>
                <w:sz w:val="24"/>
              </w:rPr>
            </w:pPr>
            <w:r>
              <w:rPr>
                <w:rFonts w:hint="eastAsia" w:ascii="Times New Roman" w:hAnsi="Times New Roman" w:eastAsia="宋体" w:cs="Times New Roman"/>
                <w:color w:val="auto"/>
                <w:sz w:val="24"/>
              </w:rPr>
              <w:t>综上，废水产排情况见下表。</w:t>
            </w:r>
          </w:p>
          <w:p w14:paraId="6C0E8B79">
            <w:pPr>
              <w:keepNext w:val="0"/>
              <w:keepLines w:val="0"/>
              <w:suppressLineNumbers w:val="0"/>
              <w:spacing w:before="0" w:beforeAutospacing="0" w:after="0" w:afterAutospacing="0"/>
              <w:ind w:left="0" w:right="0"/>
              <w:jc w:val="center"/>
              <w:rPr>
                <w:rFonts w:hint="default" w:ascii="Times New Roman" w:hAnsi="Times New Roman" w:eastAsia="宋体" w:cs="Times New Roman"/>
                <w:b/>
                <w:bCs/>
                <w:color w:val="auto"/>
              </w:rPr>
            </w:pPr>
            <w:r>
              <w:rPr>
                <w:rFonts w:hint="eastAsia" w:ascii="Times New Roman" w:hAnsi="Times New Roman" w:eastAsia="宋体" w:cs="Times New Roman"/>
                <w:b/>
                <w:bCs/>
                <w:color w:val="auto"/>
              </w:rPr>
              <w:t>表4-</w:t>
            </w:r>
            <w:r>
              <w:rPr>
                <w:rFonts w:hint="eastAsia" w:ascii="Times New Roman" w:hAnsi="Times New Roman" w:eastAsia="宋体" w:cs="Times New Roman"/>
                <w:b/>
                <w:bCs/>
                <w:color w:val="auto"/>
                <w:lang w:val="en-US" w:eastAsia="zh-CN"/>
              </w:rPr>
              <w:t>9</w:t>
            </w:r>
            <w:r>
              <w:rPr>
                <w:rFonts w:hint="eastAsia" w:ascii="Times New Roman" w:hAnsi="Times New Roman" w:eastAsia="宋体" w:cs="Times New Roman"/>
                <w:b/>
                <w:bCs/>
                <w:color w:val="auto"/>
              </w:rPr>
              <w:t xml:space="preserve">  项目水污染物排放情况一览表</w:t>
            </w:r>
          </w:p>
          <w:tbl>
            <w:tblPr>
              <w:tblStyle w:val="23"/>
              <w:tblW w:w="4999"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075"/>
              <w:gridCol w:w="818"/>
              <w:gridCol w:w="818"/>
              <w:gridCol w:w="984"/>
              <w:gridCol w:w="722"/>
              <w:gridCol w:w="958"/>
              <w:gridCol w:w="968"/>
              <w:gridCol w:w="1008"/>
              <w:gridCol w:w="637"/>
              <w:gridCol w:w="663"/>
              <w:gridCol w:w="1031"/>
              <w:gridCol w:w="678"/>
              <w:gridCol w:w="967"/>
              <w:gridCol w:w="930"/>
              <w:gridCol w:w="996"/>
            </w:tblGrid>
            <w:tr w14:paraId="53BBBB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405" w:type="pct"/>
                  <w:vMerge w:val="restart"/>
                  <w:vAlign w:val="center"/>
                </w:tcPr>
                <w:p w14:paraId="05098717">
                  <w:pPr>
                    <w:keepNext w:val="0"/>
                    <w:keepLines w:val="0"/>
                    <w:suppressLineNumbers w:val="0"/>
                    <w:spacing w:before="0" w:beforeAutospacing="0" w:after="0" w:afterAutospacing="0"/>
                    <w:ind w:left="0" w:right="0"/>
                    <w:jc w:val="center"/>
                    <w:rPr>
                      <w:rFonts w:hint="default" w:ascii="Times New Roman" w:hAnsi="Times New Roman" w:eastAsia="宋体" w:cs="Times New Roman"/>
                      <w:b/>
                      <w:bCs/>
                      <w:color w:val="auto"/>
                      <w:szCs w:val="21"/>
                    </w:rPr>
                  </w:pPr>
                  <w:r>
                    <w:rPr>
                      <w:rFonts w:hint="default" w:ascii="Times New Roman" w:hAnsi="Times New Roman" w:eastAsia="宋体" w:cs="Times New Roman"/>
                      <w:b/>
                      <w:bCs/>
                      <w:color w:val="auto"/>
                      <w:szCs w:val="21"/>
                    </w:rPr>
                    <w:t>工艺</w:t>
                  </w:r>
                </w:p>
              </w:tc>
              <w:tc>
                <w:tcPr>
                  <w:tcW w:w="308" w:type="pct"/>
                  <w:vMerge w:val="restart"/>
                  <w:vAlign w:val="center"/>
                </w:tcPr>
                <w:p w14:paraId="599020A5">
                  <w:pPr>
                    <w:keepNext w:val="0"/>
                    <w:keepLines w:val="0"/>
                    <w:suppressLineNumbers w:val="0"/>
                    <w:spacing w:before="0" w:beforeAutospacing="0" w:after="0" w:afterAutospacing="0"/>
                    <w:ind w:left="0" w:right="0"/>
                    <w:jc w:val="center"/>
                    <w:rPr>
                      <w:rFonts w:hint="default" w:ascii="Times New Roman" w:hAnsi="Times New Roman" w:eastAsia="宋体" w:cs="Times New Roman"/>
                      <w:b/>
                      <w:bCs/>
                      <w:color w:val="auto"/>
                      <w:szCs w:val="21"/>
                    </w:rPr>
                  </w:pPr>
                  <w:r>
                    <w:rPr>
                      <w:rFonts w:hint="default" w:ascii="Times New Roman" w:hAnsi="Times New Roman" w:eastAsia="宋体" w:cs="Times New Roman"/>
                      <w:b/>
                      <w:bCs/>
                      <w:color w:val="auto"/>
                      <w:szCs w:val="21"/>
                    </w:rPr>
                    <w:t>装置</w:t>
                  </w:r>
                </w:p>
              </w:tc>
              <w:tc>
                <w:tcPr>
                  <w:tcW w:w="308" w:type="pct"/>
                  <w:vMerge w:val="restart"/>
                  <w:vAlign w:val="center"/>
                </w:tcPr>
                <w:p w14:paraId="094148FD">
                  <w:pPr>
                    <w:keepNext w:val="0"/>
                    <w:keepLines w:val="0"/>
                    <w:suppressLineNumbers w:val="0"/>
                    <w:spacing w:before="0" w:beforeAutospacing="0" w:after="0" w:afterAutospacing="0"/>
                    <w:ind w:left="0" w:right="0"/>
                    <w:jc w:val="center"/>
                    <w:rPr>
                      <w:rFonts w:hint="default" w:ascii="Times New Roman" w:hAnsi="Times New Roman" w:eastAsia="宋体" w:cs="Times New Roman"/>
                      <w:b/>
                      <w:bCs/>
                      <w:color w:val="auto"/>
                      <w:szCs w:val="21"/>
                    </w:rPr>
                  </w:pPr>
                  <w:r>
                    <w:rPr>
                      <w:rFonts w:hint="default" w:ascii="Times New Roman" w:hAnsi="Times New Roman" w:eastAsia="宋体" w:cs="Times New Roman"/>
                      <w:b/>
                      <w:bCs/>
                      <w:color w:val="auto"/>
                      <w:szCs w:val="21"/>
                    </w:rPr>
                    <w:t>污染源</w:t>
                  </w:r>
                </w:p>
              </w:tc>
              <w:tc>
                <w:tcPr>
                  <w:tcW w:w="371" w:type="pct"/>
                  <w:vMerge w:val="restart"/>
                  <w:vAlign w:val="center"/>
                </w:tcPr>
                <w:p w14:paraId="2899CCBB">
                  <w:pPr>
                    <w:keepNext w:val="0"/>
                    <w:keepLines w:val="0"/>
                    <w:suppressLineNumbers w:val="0"/>
                    <w:spacing w:before="0" w:beforeAutospacing="0" w:after="0" w:afterAutospacing="0"/>
                    <w:ind w:left="0" w:right="0"/>
                    <w:jc w:val="center"/>
                    <w:rPr>
                      <w:rFonts w:hint="default" w:ascii="Times New Roman" w:hAnsi="Times New Roman" w:eastAsia="宋体" w:cs="Times New Roman"/>
                      <w:b/>
                      <w:bCs/>
                      <w:color w:val="auto"/>
                      <w:szCs w:val="21"/>
                    </w:rPr>
                  </w:pPr>
                  <w:r>
                    <w:rPr>
                      <w:rFonts w:hint="default" w:ascii="Times New Roman" w:hAnsi="Times New Roman" w:eastAsia="宋体" w:cs="Times New Roman"/>
                      <w:b/>
                      <w:bCs/>
                      <w:color w:val="auto"/>
                      <w:szCs w:val="21"/>
                    </w:rPr>
                    <w:t>污染物</w:t>
                  </w:r>
                </w:p>
              </w:tc>
              <w:tc>
                <w:tcPr>
                  <w:tcW w:w="1379" w:type="pct"/>
                  <w:gridSpan w:val="4"/>
                  <w:vAlign w:val="center"/>
                </w:tcPr>
                <w:p w14:paraId="2F4FEBF7">
                  <w:pPr>
                    <w:keepNext w:val="0"/>
                    <w:keepLines w:val="0"/>
                    <w:suppressLineNumbers w:val="0"/>
                    <w:spacing w:before="0" w:beforeAutospacing="0" w:after="0" w:afterAutospacing="0"/>
                    <w:ind w:left="0" w:right="0"/>
                    <w:jc w:val="center"/>
                    <w:rPr>
                      <w:rFonts w:hint="default" w:ascii="Times New Roman" w:hAnsi="Times New Roman" w:eastAsia="宋体" w:cs="Times New Roman"/>
                      <w:b/>
                      <w:bCs/>
                      <w:color w:val="auto"/>
                      <w:szCs w:val="21"/>
                    </w:rPr>
                  </w:pPr>
                  <w:r>
                    <w:rPr>
                      <w:rFonts w:hint="default" w:ascii="Times New Roman" w:hAnsi="Times New Roman" w:eastAsia="宋体" w:cs="Times New Roman"/>
                      <w:b/>
                      <w:bCs/>
                      <w:color w:val="auto"/>
                      <w:szCs w:val="21"/>
                    </w:rPr>
                    <w:t>污染物产生</w:t>
                  </w:r>
                </w:p>
              </w:tc>
              <w:tc>
                <w:tcPr>
                  <w:tcW w:w="879" w:type="pct"/>
                  <w:gridSpan w:val="3"/>
                  <w:vAlign w:val="center"/>
                </w:tcPr>
                <w:p w14:paraId="281C27E4">
                  <w:pPr>
                    <w:keepNext w:val="0"/>
                    <w:keepLines w:val="0"/>
                    <w:suppressLineNumbers w:val="0"/>
                    <w:spacing w:before="0" w:beforeAutospacing="0" w:after="0" w:afterAutospacing="0"/>
                    <w:ind w:left="0" w:right="0"/>
                    <w:jc w:val="center"/>
                    <w:rPr>
                      <w:rFonts w:hint="default" w:ascii="Times New Roman" w:hAnsi="Times New Roman" w:eastAsia="宋体" w:cs="Times New Roman"/>
                      <w:b/>
                      <w:bCs/>
                      <w:color w:val="auto"/>
                      <w:szCs w:val="21"/>
                    </w:rPr>
                  </w:pPr>
                  <w:r>
                    <w:rPr>
                      <w:rFonts w:hint="default" w:ascii="Times New Roman" w:hAnsi="Times New Roman" w:eastAsia="宋体" w:cs="Times New Roman"/>
                      <w:b/>
                      <w:bCs/>
                      <w:color w:val="auto"/>
                      <w:szCs w:val="21"/>
                    </w:rPr>
                    <w:t>治理措施</w:t>
                  </w:r>
                </w:p>
              </w:tc>
              <w:tc>
                <w:tcPr>
                  <w:tcW w:w="1347" w:type="pct"/>
                  <w:gridSpan w:val="4"/>
                  <w:vAlign w:val="center"/>
                </w:tcPr>
                <w:p w14:paraId="5B332267">
                  <w:pPr>
                    <w:keepNext w:val="0"/>
                    <w:keepLines w:val="0"/>
                    <w:suppressLineNumbers w:val="0"/>
                    <w:spacing w:before="0" w:beforeAutospacing="0" w:after="0" w:afterAutospacing="0"/>
                    <w:ind w:left="0" w:right="0"/>
                    <w:jc w:val="center"/>
                    <w:rPr>
                      <w:rFonts w:hint="default" w:ascii="Times New Roman" w:hAnsi="Times New Roman" w:eastAsia="宋体" w:cs="Times New Roman"/>
                      <w:b/>
                      <w:bCs/>
                      <w:color w:val="auto"/>
                      <w:szCs w:val="21"/>
                    </w:rPr>
                  </w:pPr>
                  <w:r>
                    <w:rPr>
                      <w:rFonts w:hint="default" w:ascii="Times New Roman" w:hAnsi="Times New Roman" w:eastAsia="宋体" w:cs="Times New Roman"/>
                      <w:b/>
                      <w:bCs/>
                      <w:color w:val="auto"/>
                      <w:szCs w:val="21"/>
                    </w:rPr>
                    <w:t>污染物纳管排放</w:t>
                  </w:r>
                </w:p>
              </w:tc>
            </w:tr>
            <w:tr w14:paraId="53C77F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405" w:type="pct"/>
                  <w:vMerge w:val="continue"/>
                  <w:vAlign w:val="center"/>
                </w:tcPr>
                <w:p w14:paraId="641C027C">
                  <w:pPr>
                    <w:keepNext w:val="0"/>
                    <w:keepLines w:val="0"/>
                    <w:suppressLineNumbers w:val="0"/>
                    <w:spacing w:before="0" w:beforeAutospacing="0" w:after="0" w:afterAutospacing="0"/>
                    <w:ind w:left="0" w:right="0"/>
                    <w:jc w:val="center"/>
                    <w:rPr>
                      <w:rFonts w:hint="default" w:ascii="Times New Roman" w:hAnsi="Times New Roman" w:eastAsia="宋体" w:cs="Times New Roman"/>
                      <w:b/>
                      <w:bCs/>
                      <w:color w:val="auto"/>
                      <w:szCs w:val="21"/>
                    </w:rPr>
                  </w:pPr>
                </w:p>
              </w:tc>
              <w:tc>
                <w:tcPr>
                  <w:tcW w:w="308" w:type="pct"/>
                  <w:vMerge w:val="continue"/>
                  <w:vAlign w:val="center"/>
                </w:tcPr>
                <w:p w14:paraId="21984E0D">
                  <w:pPr>
                    <w:keepNext w:val="0"/>
                    <w:keepLines w:val="0"/>
                    <w:suppressLineNumbers w:val="0"/>
                    <w:spacing w:before="0" w:beforeAutospacing="0" w:after="0" w:afterAutospacing="0"/>
                    <w:ind w:left="0" w:right="0"/>
                    <w:jc w:val="center"/>
                    <w:rPr>
                      <w:rFonts w:hint="default" w:ascii="Times New Roman" w:hAnsi="Times New Roman" w:eastAsia="宋体" w:cs="Times New Roman"/>
                      <w:b/>
                      <w:bCs/>
                      <w:color w:val="auto"/>
                      <w:szCs w:val="21"/>
                    </w:rPr>
                  </w:pPr>
                </w:p>
              </w:tc>
              <w:tc>
                <w:tcPr>
                  <w:tcW w:w="308" w:type="pct"/>
                  <w:vMerge w:val="continue"/>
                  <w:vAlign w:val="center"/>
                </w:tcPr>
                <w:p w14:paraId="6AF71DFD">
                  <w:pPr>
                    <w:keepNext w:val="0"/>
                    <w:keepLines w:val="0"/>
                    <w:suppressLineNumbers w:val="0"/>
                    <w:spacing w:before="0" w:beforeAutospacing="0" w:after="0" w:afterAutospacing="0"/>
                    <w:ind w:left="0" w:right="0"/>
                    <w:jc w:val="center"/>
                    <w:rPr>
                      <w:rFonts w:hint="default" w:ascii="Times New Roman" w:hAnsi="Times New Roman" w:eastAsia="宋体" w:cs="Times New Roman"/>
                      <w:b/>
                      <w:bCs/>
                      <w:color w:val="auto"/>
                      <w:szCs w:val="21"/>
                    </w:rPr>
                  </w:pPr>
                </w:p>
              </w:tc>
              <w:tc>
                <w:tcPr>
                  <w:tcW w:w="371" w:type="pct"/>
                  <w:vMerge w:val="continue"/>
                  <w:vAlign w:val="center"/>
                </w:tcPr>
                <w:p w14:paraId="254667E0">
                  <w:pPr>
                    <w:keepNext w:val="0"/>
                    <w:keepLines w:val="0"/>
                    <w:suppressLineNumbers w:val="0"/>
                    <w:spacing w:before="0" w:beforeAutospacing="0" w:after="0" w:afterAutospacing="0"/>
                    <w:ind w:left="0" w:right="0"/>
                    <w:jc w:val="center"/>
                    <w:rPr>
                      <w:rFonts w:hint="default" w:ascii="Times New Roman" w:hAnsi="Times New Roman" w:eastAsia="宋体" w:cs="Times New Roman"/>
                      <w:b/>
                      <w:bCs/>
                      <w:color w:val="auto"/>
                      <w:szCs w:val="21"/>
                    </w:rPr>
                  </w:pPr>
                </w:p>
              </w:tc>
              <w:tc>
                <w:tcPr>
                  <w:tcW w:w="272" w:type="pct"/>
                  <w:vAlign w:val="center"/>
                </w:tcPr>
                <w:p w14:paraId="190BC4AF">
                  <w:pPr>
                    <w:keepNext w:val="0"/>
                    <w:keepLines w:val="0"/>
                    <w:suppressLineNumbers w:val="0"/>
                    <w:spacing w:before="0" w:beforeAutospacing="0" w:after="0" w:afterAutospacing="0"/>
                    <w:ind w:left="0" w:right="0"/>
                    <w:jc w:val="center"/>
                    <w:rPr>
                      <w:rFonts w:hint="default" w:ascii="Times New Roman" w:hAnsi="Times New Roman" w:eastAsia="宋体" w:cs="Times New Roman"/>
                      <w:b/>
                      <w:bCs/>
                      <w:color w:val="auto"/>
                      <w:szCs w:val="21"/>
                    </w:rPr>
                  </w:pPr>
                  <w:r>
                    <w:rPr>
                      <w:rFonts w:hint="default" w:ascii="Times New Roman" w:hAnsi="Times New Roman" w:eastAsia="宋体" w:cs="Times New Roman"/>
                      <w:b/>
                      <w:bCs/>
                      <w:color w:val="auto"/>
                      <w:szCs w:val="21"/>
                    </w:rPr>
                    <w:t>核算方法</w:t>
                  </w:r>
                </w:p>
              </w:tc>
              <w:tc>
                <w:tcPr>
                  <w:tcW w:w="361" w:type="pct"/>
                  <w:vAlign w:val="center"/>
                </w:tcPr>
                <w:p w14:paraId="73852BE9">
                  <w:pPr>
                    <w:keepNext w:val="0"/>
                    <w:keepLines w:val="0"/>
                    <w:suppressLineNumbers w:val="0"/>
                    <w:spacing w:before="0" w:beforeAutospacing="0" w:after="0" w:afterAutospacing="0"/>
                    <w:ind w:left="0" w:right="0"/>
                    <w:jc w:val="center"/>
                    <w:rPr>
                      <w:rFonts w:hint="default" w:ascii="Times New Roman" w:hAnsi="Times New Roman" w:eastAsia="宋体" w:cs="Times New Roman"/>
                      <w:b/>
                      <w:bCs/>
                      <w:color w:val="auto"/>
                      <w:szCs w:val="21"/>
                    </w:rPr>
                  </w:pPr>
                  <w:r>
                    <w:rPr>
                      <w:rFonts w:hint="default" w:ascii="Times New Roman" w:hAnsi="Times New Roman" w:eastAsia="宋体" w:cs="Times New Roman"/>
                      <w:b/>
                      <w:bCs/>
                      <w:color w:val="auto"/>
                      <w:szCs w:val="21"/>
                    </w:rPr>
                    <w:t>废水产生量t/a</w:t>
                  </w:r>
                </w:p>
              </w:tc>
              <w:tc>
                <w:tcPr>
                  <w:tcW w:w="365" w:type="pct"/>
                  <w:vAlign w:val="center"/>
                </w:tcPr>
                <w:p w14:paraId="56F28EA4">
                  <w:pPr>
                    <w:keepNext w:val="0"/>
                    <w:keepLines w:val="0"/>
                    <w:suppressLineNumbers w:val="0"/>
                    <w:spacing w:before="0" w:beforeAutospacing="0" w:after="0" w:afterAutospacing="0"/>
                    <w:ind w:left="0" w:right="0"/>
                    <w:jc w:val="center"/>
                    <w:rPr>
                      <w:rFonts w:hint="default" w:ascii="Times New Roman" w:hAnsi="Times New Roman" w:eastAsia="宋体" w:cs="Times New Roman"/>
                      <w:b/>
                      <w:bCs/>
                      <w:color w:val="auto"/>
                      <w:szCs w:val="21"/>
                    </w:rPr>
                  </w:pPr>
                  <w:r>
                    <w:rPr>
                      <w:rFonts w:hint="default" w:ascii="Times New Roman" w:hAnsi="Times New Roman" w:eastAsia="宋体" w:cs="Times New Roman"/>
                      <w:b/>
                      <w:bCs/>
                      <w:color w:val="auto"/>
                      <w:szCs w:val="21"/>
                    </w:rPr>
                    <w:t>产生浓度mg/L</w:t>
                  </w:r>
                </w:p>
              </w:tc>
              <w:tc>
                <w:tcPr>
                  <w:tcW w:w="380" w:type="pct"/>
                  <w:vAlign w:val="center"/>
                </w:tcPr>
                <w:p w14:paraId="3257134E">
                  <w:pPr>
                    <w:keepNext w:val="0"/>
                    <w:keepLines w:val="0"/>
                    <w:suppressLineNumbers w:val="0"/>
                    <w:spacing w:before="0" w:beforeAutospacing="0" w:after="0" w:afterAutospacing="0"/>
                    <w:ind w:left="0" w:right="0"/>
                    <w:jc w:val="center"/>
                    <w:rPr>
                      <w:rFonts w:hint="default" w:ascii="Times New Roman" w:hAnsi="Times New Roman" w:eastAsia="宋体" w:cs="Times New Roman"/>
                      <w:b/>
                      <w:bCs/>
                      <w:color w:val="auto"/>
                      <w:szCs w:val="21"/>
                    </w:rPr>
                  </w:pPr>
                  <w:r>
                    <w:rPr>
                      <w:rFonts w:hint="default" w:ascii="Times New Roman" w:hAnsi="Times New Roman" w:eastAsia="宋体" w:cs="Times New Roman"/>
                      <w:b/>
                      <w:bCs/>
                      <w:color w:val="auto"/>
                      <w:szCs w:val="21"/>
                    </w:rPr>
                    <w:t>污染物产生量t/a</w:t>
                  </w:r>
                </w:p>
              </w:tc>
              <w:tc>
                <w:tcPr>
                  <w:tcW w:w="240" w:type="pct"/>
                  <w:vAlign w:val="center"/>
                </w:tcPr>
                <w:p w14:paraId="518C5620">
                  <w:pPr>
                    <w:keepNext w:val="0"/>
                    <w:keepLines w:val="0"/>
                    <w:suppressLineNumbers w:val="0"/>
                    <w:spacing w:before="0" w:beforeAutospacing="0" w:after="0" w:afterAutospacing="0"/>
                    <w:ind w:left="0" w:right="0"/>
                    <w:jc w:val="center"/>
                    <w:rPr>
                      <w:rFonts w:hint="default" w:ascii="Times New Roman" w:hAnsi="Times New Roman" w:eastAsia="宋体" w:cs="Times New Roman"/>
                      <w:b/>
                      <w:bCs/>
                      <w:color w:val="auto"/>
                      <w:szCs w:val="21"/>
                    </w:rPr>
                  </w:pPr>
                  <w:r>
                    <w:rPr>
                      <w:rFonts w:hint="default" w:ascii="Times New Roman" w:hAnsi="Times New Roman" w:eastAsia="宋体" w:cs="Times New Roman"/>
                      <w:b/>
                      <w:bCs/>
                      <w:color w:val="auto"/>
                      <w:szCs w:val="21"/>
                    </w:rPr>
                    <w:t>工艺</w:t>
                  </w:r>
                </w:p>
              </w:tc>
              <w:tc>
                <w:tcPr>
                  <w:tcW w:w="250" w:type="pct"/>
                  <w:vAlign w:val="center"/>
                </w:tcPr>
                <w:p w14:paraId="0FD0EBB6">
                  <w:pPr>
                    <w:keepNext w:val="0"/>
                    <w:keepLines w:val="0"/>
                    <w:suppressLineNumbers w:val="0"/>
                    <w:spacing w:before="0" w:beforeAutospacing="0" w:after="0" w:afterAutospacing="0"/>
                    <w:ind w:left="0" w:right="0"/>
                    <w:jc w:val="center"/>
                    <w:rPr>
                      <w:rFonts w:hint="default" w:ascii="Times New Roman" w:hAnsi="Times New Roman" w:eastAsia="宋体" w:cs="Times New Roman"/>
                      <w:b/>
                      <w:bCs/>
                      <w:color w:val="auto"/>
                      <w:szCs w:val="21"/>
                    </w:rPr>
                  </w:pPr>
                  <w:r>
                    <w:rPr>
                      <w:rFonts w:hint="default" w:ascii="Times New Roman" w:hAnsi="Times New Roman" w:eastAsia="宋体" w:cs="Times New Roman"/>
                      <w:b/>
                      <w:bCs/>
                      <w:color w:val="auto"/>
                      <w:szCs w:val="21"/>
                    </w:rPr>
                    <w:t>效率</w:t>
                  </w:r>
                </w:p>
              </w:tc>
              <w:tc>
                <w:tcPr>
                  <w:tcW w:w="388" w:type="pct"/>
                  <w:vAlign w:val="center"/>
                </w:tcPr>
                <w:p w14:paraId="5CEF4FAD">
                  <w:pPr>
                    <w:keepNext w:val="0"/>
                    <w:keepLines w:val="0"/>
                    <w:suppressLineNumbers w:val="0"/>
                    <w:spacing w:before="0" w:beforeAutospacing="0" w:after="0" w:afterAutospacing="0"/>
                    <w:ind w:left="0" w:right="0"/>
                    <w:jc w:val="center"/>
                    <w:rPr>
                      <w:rFonts w:hint="default" w:ascii="Times New Roman" w:hAnsi="Times New Roman" w:eastAsia="宋体" w:cs="Times New Roman"/>
                      <w:b/>
                      <w:bCs/>
                      <w:color w:val="auto"/>
                      <w:szCs w:val="21"/>
                    </w:rPr>
                  </w:pPr>
                  <w:r>
                    <w:rPr>
                      <w:rFonts w:hint="default" w:ascii="Times New Roman" w:hAnsi="Times New Roman" w:eastAsia="宋体" w:cs="Times New Roman"/>
                      <w:b/>
                      <w:bCs/>
                      <w:color w:val="auto"/>
                      <w:szCs w:val="21"/>
                    </w:rPr>
                    <w:t>是否为可行性技术</w:t>
                  </w:r>
                </w:p>
              </w:tc>
              <w:tc>
                <w:tcPr>
                  <w:tcW w:w="255" w:type="pct"/>
                  <w:vAlign w:val="center"/>
                </w:tcPr>
                <w:p w14:paraId="63D08047">
                  <w:pPr>
                    <w:keepNext w:val="0"/>
                    <w:keepLines w:val="0"/>
                    <w:suppressLineNumbers w:val="0"/>
                    <w:spacing w:before="0" w:beforeAutospacing="0" w:after="0" w:afterAutospacing="0"/>
                    <w:ind w:left="0" w:right="0"/>
                    <w:jc w:val="center"/>
                    <w:rPr>
                      <w:rFonts w:hint="default" w:ascii="Times New Roman" w:hAnsi="Times New Roman" w:eastAsia="宋体" w:cs="Times New Roman"/>
                      <w:b/>
                      <w:bCs/>
                      <w:color w:val="auto"/>
                      <w:szCs w:val="21"/>
                    </w:rPr>
                  </w:pPr>
                  <w:r>
                    <w:rPr>
                      <w:rFonts w:hint="default" w:ascii="Times New Roman" w:hAnsi="Times New Roman" w:eastAsia="宋体" w:cs="Times New Roman"/>
                      <w:b/>
                      <w:bCs/>
                      <w:color w:val="auto"/>
                      <w:szCs w:val="21"/>
                    </w:rPr>
                    <w:t>核算方法</w:t>
                  </w:r>
                </w:p>
              </w:tc>
              <w:tc>
                <w:tcPr>
                  <w:tcW w:w="364" w:type="pct"/>
                  <w:vAlign w:val="center"/>
                </w:tcPr>
                <w:p w14:paraId="50D61B3A">
                  <w:pPr>
                    <w:keepNext w:val="0"/>
                    <w:keepLines w:val="0"/>
                    <w:suppressLineNumbers w:val="0"/>
                    <w:spacing w:before="0" w:beforeAutospacing="0" w:after="0" w:afterAutospacing="0"/>
                    <w:ind w:left="0" w:right="0"/>
                    <w:jc w:val="center"/>
                    <w:rPr>
                      <w:rFonts w:hint="default" w:ascii="Times New Roman" w:hAnsi="Times New Roman" w:eastAsia="宋体" w:cs="Times New Roman"/>
                      <w:b/>
                      <w:bCs/>
                      <w:color w:val="auto"/>
                      <w:szCs w:val="21"/>
                    </w:rPr>
                  </w:pPr>
                  <w:r>
                    <w:rPr>
                      <w:rFonts w:hint="default" w:ascii="Times New Roman" w:hAnsi="Times New Roman" w:eastAsia="宋体" w:cs="Times New Roman"/>
                      <w:b/>
                      <w:bCs/>
                      <w:color w:val="auto"/>
                      <w:szCs w:val="21"/>
                    </w:rPr>
                    <w:t>废水排放量t/a</w:t>
                  </w:r>
                </w:p>
              </w:tc>
              <w:tc>
                <w:tcPr>
                  <w:tcW w:w="350" w:type="pct"/>
                  <w:vAlign w:val="center"/>
                </w:tcPr>
                <w:p w14:paraId="40DF6E71">
                  <w:pPr>
                    <w:keepNext w:val="0"/>
                    <w:keepLines w:val="0"/>
                    <w:suppressLineNumbers w:val="0"/>
                    <w:spacing w:before="0" w:beforeAutospacing="0" w:after="0" w:afterAutospacing="0"/>
                    <w:ind w:left="0" w:right="0"/>
                    <w:jc w:val="center"/>
                    <w:rPr>
                      <w:rFonts w:hint="default" w:ascii="Times New Roman" w:hAnsi="Times New Roman" w:eastAsia="宋体" w:cs="Times New Roman"/>
                      <w:b/>
                      <w:bCs/>
                      <w:color w:val="auto"/>
                      <w:szCs w:val="21"/>
                    </w:rPr>
                  </w:pPr>
                  <w:r>
                    <w:rPr>
                      <w:rFonts w:hint="default" w:ascii="Times New Roman" w:hAnsi="Times New Roman" w:eastAsia="宋体" w:cs="Times New Roman"/>
                      <w:b/>
                      <w:bCs/>
                      <w:color w:val="auto"/>
                      <w:szCs w:val="21"/>
                    </w:rPr>
                    <w:t>排放浓度mg/L</w:t>
                  </w:r>
                </w:p>
              </w:tc>
              <w:tc>
                <w:tcPr>
                  <w:tcW w:w="375" w:type="pct"/>
                  <w:vAlign w:val="center"/>
                </w:tcPr>
                <w:p w14:paraId="569CADE1">
                  <w:pPr>
                    <w:keepNext w:val="0"/>
                    <w:keepLines w:val="0"/>
                    <w:suppressLineNumbers w:val="0"/>
                    <w:spacing w:before="0" w:beforeAutospacing="0" w:after="0" w:afterAutospacing="0"/>
                    <w:ind w:left="0" w:right="0"/>
                    <w:jc w:val="center"/>
                    <w:rPr>
                      <w:rFonts w:hint="default" w:ascii="Times New Roman" w:hAnsi="Times New Roman" w:eastAsia="宋体" w:cs="Times New Roman"/>
                      <w:b/>
                      <w:bCs/>
                      <w:color w:val="auto"/>
                      <w:szCs w:val="21"/>
                    </w:rPr>
                  </w:pPr>
                  <w:r>
                    <w:rPr>
                      <w:rFonts w:hint="default" w:ascii="Times New Roman" w:hAnsi="Times New Roman" w:eastAsia="宋体" w:cs="Times New Roman"/>
                      <w:b/>
                      <w:bCs/>
                      <w:color w:val="auto"/>
                      <w:szCs w:val="21"/>
                    </w:rPr>
                    <w:t>污染物排放量t/a</w:t>
                  </w:r>
                </w:p>
              </w:tc>
            </w:tr>
            <w:tr w14:paraId="3B6E72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405" w:type="pct"/>
                  <w:vMerge w:val="restart"/>
                  <w:vAlign w:val="center"/>
                </w:tcPr>
                <w:p w14:paraId="2780DCB6">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rPr>
                    <w:t>职工生活</w:t>
                  </w:r>
                </w:p>
              </w:tc>
              <w:tc>
                <w:tcPr>
                  <w:tcW w:w="308" w:type="pct"/>
                  <w:vMerge w:val="restart"/>
                  <w:vAlign w:val="center"/>
                </w:tcPr>
                <w:p w14:paraId="159FF807">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rPr>
                    <w:t>化粪池</w:t>
                  </w:r>
                </w:p>
              </w:tc>
              <w:tc>
                <w:tcPr>
                  <w:tcW w:w="308" w:type="pct"/>
                  <w:vMerge w:val="restart"/>
                  <w:vAlign w:val="center"/>
                </w:tcPr>
                <w:p w14:paraId="34FAEA14">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rPr>
                    <w:t>生活</w:t>
                  </w:r>
                </w:p>
                <w:p w14:paraId="18F2CA53">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rPr>
                    <w:t>污水</w:t>
                  </w:r>
                </w:p>
              </w:tc>
              <w:tc>
                <w:tcPr>
                  <w:tcW w:w="371" w:type="pct"/>
                  <w:vAlign w:val="center"/>
                </w:tcPr>
                <w:p w14:paraId="35488973">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rPr>
                    <w:t>COD</w:t>
                  </w:r>
                  <w:r>
                    <w:rPr>
                      <w:rFonts w:hint="default" w:ascii="Times New Roman" w:hAnsi="Times New Roman" w:eastAsia="宋体" w:cs="Times New Roman"/>
                      <w:color w:val="auto"/>
                      <w:szCs w:val="21"/>
                      <w:vertAlign w:val="subscript"/>
                    </w:rPr>
                    <w:t>Cr</w:t>
                  </w:r>
                </w:p>
              </w:tc>
              <w:tc>
                <w:tcPr>
                  <w:tcW w:w="272" w:type="pct"/>
                  <w:vMerge w:val="restart"/>
                  <w:vAlign w:val="center"/>
                </w:tcPr>
                <w:p w14:paraId="3ACDDC91">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rPr>
                    <w:t>类比法</w:t>
                  </w:r>
                </w:p>
              </w:tc>
              <w:tc>
                <w:tcPr>
                  <w:tcW w:w="361" w:type="pct"/>
                  <w:vMerge w:val="restart"/>
                  <w:vAlign w:val="center"/>
                </w:tcPr>
                <w:p w14:paraId="06936DB6">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lang w:val="en-US" w:eastAsia="zh-CN"/>
                    </w:rPr>
                  </w:pPr>
                  <w:r>
                    <w:rPr>
                      <w:rFonts w:hint="eastAsia" w:ascii="Times New Roman" w:hAnsi="Times New Roman" w:eastAsia="宋体" w:cs="Times New Roman"/>
                      <w:color w:val="auto"/>
                      <w:szCs w:val="21"/>
                      <w:lang w:val="en-US" w:eastAsia="zh-CN"/>
                    </w:rPr>
                    <w:t>1200</w:t>
                  </w:r>
                </w:p>
              </w:tc>
              <w:tc>
                <w:tcPr>
                  <w:tcW w:w="365" w:type="pct"/>
                  <w:vAlign w:val="center"/>
                </w:tcPr>
                <w:p w14:paraId="60E49A16">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rPr>
                    <w:t>350</w:t>
                  </w:r>
                </w:p>
              </w:tc>
              <w:tc>
                <w:tcPr>
                  <w:tcW w:w="380" w:type="pct"/>
                  <w:vAlign w:val="center"/>
                </w:tcPr>
                <w:p w14:paraId="3CF815F5">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r>
                    <w:rPr>
                      <w:rFonts w:hint="eastAsia" w:ascii="Times New Roman" w:hAnsi="Times New Roman" w:eastAsia="宋体" w:cs="Times New Roman"/>
                      <w:color w:val="auto"/>
                      <w:szCs w:val="21"/>
                      <w:lang w:val="en-US" w:eastAsia="zh-CN"/>
                    </w:rPr>
                    <w:t>0.420</w:t>
                  </w:r>
                </w:p>
              </w:tc>
              <w:tc>
                <w:tcPr>
                  <w:tcW w:w="240" w:type="pct"/>
                  <w:vMerge w:val="restart"/>
                  <w:vAlign w:val="center"/>
                </w:tcPr>
                <w:p w14:paraId="146F3B49">
                  <w:pPr>
                    <w:keepNext w:val="0"/>
                    <w:keepLines w:val="0"/>
                    <w:suppressLineNumbers w:val="0"/>
                    <w:spacing w:before="0" w:beforeAutospacing="0" w:after="0" w:afterAutospacing="0"/>
                    <w:ind w:left="0" w:right="0"/>
                    <w:jc w:val="center"/>
                    <w:rPr>
                      <w:rFonts w:hint="eastAsia" w:ascii="Times New Roman" w:hAnsi="Times New Roman" w:cs="Times New Roman" w:eastAsiaTheme="minorEastAsia"/>
                      <w:color w:val="auto"/>
                      <w:szCs w:val="21"/>
                      <w:lang w:val="en-US" w:eastAsia="zh-CN"/>
                    </w:rPr>
                  </w:pPr>
                  <w:r>
                    <w:rPr>
                      <w:rFonts w:hint="eastAsia" w:ascii="Times New Roman" w:hAnsi="Times New Roman" w:eastAsia="宋体" w:cs="Times New Roman"/>
                      <w:color w:val="0000E1"/>
                      <w:szCs w:val="21"/>
                      <w:lang w:val="en-US" w:eastAsia="zh-CN"/>
                    </w:rPr>
                    <w:t>沉淀、厌氧</w:t>
                  </w:r>
                  <w:r>
                    <w:rPr>
                      <w:rFonts w:hint="eastAsia"/>
                      <w:color w:val="0000E1"/>
                      <w:lang w:val="en-US" w:eastAsia="zh-CN"/>
                    </w:rPr>
                    <w:t>水解</w:t>
                  </w:r>
                </w:p>
              </w:tc>
              <w:tc>
                <w:tcPr>
                  <w:tcW w:w="250" w:type="pct"/>
                  <w:vMerge w:val="restart"/>
                  <w:vAlign w:val="center"/>
                </w:tcPr>
                <w:p w14:paraId="0A422CD9">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rPr>
                    <w:t>14%</w:t>
                  </w:r>
                </w:p>
              </w:tc>
              <w:tc>
                <w:tcPr>
                  <w:tcW w:w="388" w:type="pct"/>
                  <w:vMerge w:val="restart"/>
                  <w:vAlign w:val="center"/>
                </w:tcPr>
                <w:p w14:paraId="27BF45B1">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rPr>
                    <w:t>是</w:t>
                  </w:r>
                </w:p>
              </w:tc>
              <w:tc>
                <w:tcPr>
                  <w:tcW w:w="255" w:type="pct"/>
                  <w:vMerge w:val="restart"/>
                  <w:vAlign w:val="center"/>
                </w:tcPr>
                <w:p w14:paraId="6FE16E5D">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rPr>
                    <w:t>类比法</w:t>
                  </w:r>
                </w:p>
              </w:tc>
              <w:tc>
                <w:tcPr>
                  <w:tcW w:w="364" w:type="pct"/>
                  <w:vMerge w:val="restart"/>
                  <w:vAlign w:val="center"/>
                </w:tcPr>
                <w:p w14:paraId="3653E889">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r>
                    <w:rPr>
                      <w:rFonts w:hint="eastAsia" w:ascii="Times New Roman" w:hAnsi="Times New Roman" w:eastAsia="宋体" w:cs="Times New Roman"/>
                      <w:color w:val="auto"/>
                      <w:szCs w:val="21"/>
                      <w:lang w:val="en-US" w:eastAsia="zh-CN"/>
                    </w:rPr>
                    <w:t>1200</w:t>
                  </w:r>
                </w:p>
              </w:tc>
              <w:tc>
                <w:tcPr>
                  <w:tcW w:w="350" w:type="pct"/>
                  <w:vAlign w:val="center"/>
                </w:tcPr>
                <w:p w14:paraId="4C0CA842">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rPr>
                    <w:t>300</w:t>
                  </w:r>
                </w:p>
              </w:tc>
              <w:tc>
                <w:tcPr>
                  <w:tcW w:w="375" w:type="pct"/>
                  <w:vAlign w:val="center"/>
                </w:tcPr>
                <w:p w14:paraId="1C9FD9AD">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r>
                    <w:rPr>
                      <w:rFonts w:hint="eastAsia" w:ascii="Times New Roman" w:hAnsi="Times New Roman" w:eastAsia="宋体" w:cs="Times New Roman"/>
                      <w:color w:val="auto"/>
                      <w:szCs w:val="21"/>
                      <w:lang w:val="en-US" w:eastAsia="zh-CN"/>
                    </w:rPr>
                    <w:t>0.360</w:t>
                  </w:r>
                </w:p>
              </w:tc>
            </w:tr>
            <w:tr w14:paraId="15C2CF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405" w:type="pct"/>
                  <w:vMerge w:val="continue"/>
                  <w:vAlign w:val="center"/>
                </w:tcPr>
                <w:p w14:paraId="1724C800">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p>
              </w:tc>
              <w:tc>
                <w:tcPr>
                  <w:tcW w:w="308" w:type="pct"/>
                  <w:vMerge w:val="continue"/>
                  <w:vAlign w:val="center"/>
                </w:tcPr>
                <w:p w14:paraId="7919666A">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p>
              </w:tc>
              <w:tc>
                <w:tcPr>
                  <w:tcW w:w="308" w:type="pct"/>
                  <w:vMerge w:val="continue"/>
                  <w:vAlign w:val="center"/>
                </w:tcPr>
                <w:p w14:paraId="5E7AD61C">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p>
              </w:tc>
              <w:tc>
                <w:tcPr>
                  <w:tcW w:w="371" w:type="pct"/>
                  <w:vAlign w:val="center"/>
                </w:tcPr>
                <w:p w14:paraId="2974D5B4">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rPr>
                    <w:t>NH</w:t>
                  </w:r>
                  <w:r>
                    <w:rPr>
                      <w:rFonts w:hint="default" w:ascii="Times New Roman" w:hAnsi="Times New Roman" w:eastAsia="宋体" w:cs="Times New Roman"/>
                      <w:color w:val="auto"/>
                      <w:szCs w:val="21"/>
                      <w:vertAlign w:val="subscript"/>
                    </w:rPr>
                    <w:t>3</w:t>
                  </w:r>
                  <w:r>
                    <w:rPr>
                      <w:rFonts w:hint="default" w:ascii="Times New Roman" w:hAnsi="Times New Roman" w:eastAsia="宋体" w:cs="Times New Roman"/>
                      <w:color w:val="auto"/>
                      <w:szCs w:val="21"/>
                    </w:rPr>
                    <w:t>-N</w:t>
                  </w:r>
                </w:p>
              </w:tc>
              <w:tc>
                <w:tcPr>
                  <w:tcW w:w="272" w:type="pct"/>
                  <w:vMerge w:val="continue"/>
                  <w:vAlign w:val="center"/>
                </w:tcPr>
                <w:p w14:paraId="02371297">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p>
              </w:tc>
              <w:tc>
                <w:tcPr>
                  <w:tcW w:w="361" w:type="pct"/>
                  <w:vMerge w:val="continue"/>
                  <w:vAlign w:val="center"/>
                </w:tcPr>
                <w:p w14:paraId="15D0E72D">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p>
              </w:tc>
              <w:tc>
                <w:tcPr>
                  <w:tcW w:w="365" w:type="pct"/>
                  <w:vAlign w:val="center"/>
                </w:tcPr>
                <w:p w14:paraId="0A41654C">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rPr>
                    <w:t>35</w:t>
                  </w:r>
                </w:p>
              </w:tc>
              <w:tc>
                <w:tcPr>
                  <w:tcW w:w="380" w:type="pct"/>
                  <w:vAlign w:val="center"/>
                </w:tcPr>
                <w:p w14:paraId="09D7C4B8">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lang w:val="en-US" w:eastAsia="zh-CN"/>
                    </w:rPr>
                  </w:pPr>
                  <w:r>
                    <w:rPr>
                      <w:rFonts w:hint="eastAsia" w:ascii="Times New Roman" w:hAnsi="Times New Roman" w:eastAsia="宋体" w:cs="Times New Roman"/>
                      <w:color w:val="auto"/>
                      <w:szCs w:val="21"/>
                      <w:lang w:val="en-US" w:eastAsia="zh-CN"/>
                    </w:rPr>
                    <w:t>0.042</w:t>
                  </w:r>
                </w:p>
              </w:tc>
              <w:tc>
                <w:tcPr>
                  <w:tcW w:w="240" w:type="pct"/>
                  <w:vMerge w:val="continue"/>
                  <w:vAlign w:val="center"/>
                </w:tcPr>
                <w:p w14:paraId="35A26B7C">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p>
              </w:tc>
              <w:tc>
                <w:tcPr>
                  <w:tcW w:w="250" w:type="pct"/>
                  <w:vMerge w:val="continue"/>
                  <w:vAlign w:val="center"/>
                </w:tcPr>
                <w:p w14:paraId="33024712">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p>
              </w:tc>
              <w:tc>
                <w:tcPr>
                  <w:tcW w:w="388" w:type="pct"/>
                  <w:vMerge w:val="continue"/>
                  <w:vAlign w:val="center"/>
                </w:tcPr>
                <w:p w14:paraId="796D3AE7">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p>
              </w:tc>
              <w:tc>
                <w:tcPr>
                  <w:tcW w:w="255" w:type="pct"/>
                  <w:vMerge w:val="continue"/>
                  <w:vAlign w:val="center"/>
                </w:tcPr>
                <w:p w14:paraId="6E79A70D">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p>
              </w:tc>
              <w:tc>
                <w:tcPr>
                  <w:tcW w:w="364" w:type="pct"/>
                  <w:vMerge w:val="continue"/>
                  <w:vAlign w:val="center"/>
                </w:tcPr>
                <w:p w14:paraId="4C0A96BB">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p>
              </w:tc>
              <w:tc>
                <w:tcPr>
                  <w:tcW w:w="350" w:type="pct"/>
                  <w:vAlign w:val="center"/>
                </w:tcPr>
                <w:p w14:paraId="4D456B42">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rPr>
                    <w:t>30</w:t>
                  </w:r>
                </w:p>
              </w:tc>
              <w:tc>
                <w:tcPr>
                  <w:tcW w:w="375" w:type="pct"/>
                  <w:vAlign w:val="center"/>
                </w:tcPr>
                <w:p w14:paraId="7B30AF52">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lang w:val="en-US" w:eastAsia="zh-CN"/>
                    </w:rPr>
                  </w:pPr>
                  <w:r>
                    <w:rPr>
                      <w:rFonts w:hint="eastAsia" w:ascii="Times New Roman" w:hAnsi="Times New Roman" w:eastAsia="宋体" w:cs="Times New Roman"/>
                      <w:color w:val="auto"/>
                      <w:szCs w:val="21"/>
                      <w:lang w:val="en-US" w:eastAsia="zh-CN"/>
                    </w:rPr>
                    <w:t>0.036</w:t>
                  </w:r>
                </w:p>
              </w:tc>
            </w:tr>
            <w:tr w14:paraId="799E0E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9" w:hRule="atLeast"/>
                <w:jc w:val="center"/>
              </w:trPr>
              <w:tc>
                <w:tcPr>
                  <w:tcW w:w="405" w:type="pct"/>
                  <w:vAlign w:val="center"/>
                </w:tcPr>
                <w:p w14:paraId="6DA5250A">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lang w:val="en-US" w:eastAsia="zh-CN"/>
                    </w:rPr>
                    <w:t>设备</w:t>
                  </w:r>
                  <w:r>
                    <w:rPr>
                      <w:rFonts w:hint="default" w:ascii="Times New Roman" w:hAnsi="Times New Roman" w:eastAsia="宋体" w:cs="Times New Roman"/>
                      <w:color w:val="auto"/>
                      <w:szCs w:val="21"/>
                    </w:rPr>
                    <w:t>冷却</w:t>
                  </w:r>
                </w:p>
              </w:tc>
              <w:tc>
                <w:tcPr>
                  <w:tcW w:w="308" w:type="pct"/>
                  <w:vAlign w:val="center"/>
                </w:tcPr>
                <w:p w14:paraId="738AD5A2">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rPr>
                    <w:t>冷却塔</w:t>
                  </w:r>
                </w:p>
              </w:tc>
              <w:tc>
                <w:tcPr>
                  <w:tcW w:w="308" w:type="pct"/>
                  <w:vAlign w:val="center"/>
                </w:tcPr>
                <w:p w14:paraId="3032A25C">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rPr>
                    <w:t>间接冷却水</w:t>
                  </w:r>
                </w:p>
              </w:tc>
              <w:tc>
                <w:tcPr>
                  <w:tcW w:w="371" w:type="pct"/>
                  <w:vAlign w:val="center"/>
                </w:tcPr>
                <w:p w14:paraId="218B7CAA">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rPr>
                    <w:t>热量</w:t>
                  </w:r>
                </w:p>
              </w:tc>
              <w:tc>
                <w:tcPr>
                  <w:tcW w:w="3605" w:type="pct"/>
                  <w:gridSpan w:val="11"/>
                  <w:vAlign w:val="center"/>
                </w:tcPr>
                <w:p w14:paraId="7F3A460B">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rPr>
                    <w:t>循环使用不排放，只需定期补充新鲜水</w:t>
                  </w:r>
                </w:p>
              </w:tc>
            </w:tr>
            <w:tr w14:paraId="6DDFFF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9" w:hRule="atLeast"/>
                <w:jc w:val="center"/>
              </w:trPr>
              <w:tc>
                <w:tcPr>
                  <w:tcW w:w="405" w:type="pct"/>
                  <w:vAlign w:val="center"/>
                </w:tcPr>
                <w:p w14:paraId="3F99845D">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rPr>
                    <w:t>废气处理</w:t>
                  </w:r>
                </w:p>
              </w:tc>
              <w:tc>
                <w:tcPr>
                  <w:tcW w:w="308" w:type="pct"/>
                  <w:vAlign w:val="center"/>
                </w:tcPr>
                <w:p w14:paraId="7F77AC63">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rPr>
                    <w:t>废气处理设施</w:t>
                  </w:r>
                </w:p>
              </w:tc>
              <w:tc>
                <w:tcPr>
                  <w:tcW w:w="308" w:type="pct"/>
                  <w:vAlign w:val="center"/>
                </w:tcPr>
                <w:p w14:paraId="2D1D528B">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rPr>
                    <w:t>喷淋废水</w:t>
                  </w:r>
                </w:p>
              </w:tc>
              <w:tc>
                <w:tcPr>
                  <w:tcW w:w="371" w:type="pct"/>
                  <w:vAlign w:val="center"/>
                </w:tcPr>
                <w:p w14:paraId="58F46CA5">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rPr>
                    <w:t>COD</w:t>
                  </w:r>
                  <w:r>
                    <w:rPr>
                      <w:rFonts w:hint="default" w:ascii="Times New Roman" w:hAnsi="Times New Roman" w:eastAsia="宋体" w:cs="Times New Roman"/>
                      <w:color w:val="auto"/>
                      <w:szCs w:val="21"/>
                      <w:vertAlign w:val="subscript"/>
                    </w:rPr>
                    <w:t>Cr</w:t>
                  </w:r>
                  <w:r>
                    <w:rPr>
                      <w:rFonts w:hint="default" w:ascii="Times New Roman" w:hAnsi="Times New Roman" w:eastAsia="宋体" w:cs="Times New Roman"/>
                      <w:color w:val="auto"/>
                      <w:szCs w:val="21"/>
                    </w:rPr>
                    <w:t>、SS</w:t>
                  </w:r>
                </w:p>
              </w:tc>
              <w:tc>
                <w:tcPr>
                  <w:tcW w:w="3605" w:type="pct"/>
                  <w:gridSpan w:val="11"/>
                  <w:vAlign w:val="center"/>
                </w:tcPr>
                <w:p w14:paraId="33F8E117">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rPr>
                    <w:t>当循环到一定程度后，水中的含盐量升高，需定期更换</w:t>
                  </w:r>
                  <w:r>
                    <w:rPr>
                      <w:rFonts w:hint="eastAsia" w:ascii="Times New Roman" w:hAnsi="Times New Roman" w:eastAsia="宋体" w:cs="Times New Roman"/>
                      <w:color w:val="auto"/>
                      <w:szCs w:val="21"/>
                    </w:rPr>
                    <w:t>，更换后的喷淋废水作为危废处置</w:t>
                  </w:r>
                </w:p>
              </w:tc>
            </w:tr>
          </w:tbl>
          <w:p w14:paraId="4557E5A6">
            <w:pPr>
              <w:keepNext w:val="0"/>
              <w:keepLines w:val="0"/>
              <w:suppressLineNumbers w:val="0"/>
              <w:spacing w:before="0" w:beforeAutospacing="0" w:after="0" w:afterAutospacing="0"/>
              <w:ind w:left="0" w:right="0"/>
              <w:jc w:val="center"/>
              <w:rPr>
                <w:rFonts w:hint="default" w:ascii="Times New Roman" w:hAnsi="Times New Roman" w:eastAsia="宋体" w:cs="Times New Roman"/>
                <w:b/>
                <w:bCs/>
                <w:color w:val="auto"/>
                <w:szCs w:val="21"/>
              </w:rPr>
            </w:pPr>
            <w:r>
              <w:rPr>
                <w:rFonts w:hint="eastAsia" w:ascii="宋体" w:hAnsi="宋体" w:eastAsia="宋体" w:cs="宋体"/>
                <w:b/>
                <w:bCs/>
                <w:color w:val="auto"/>
                <w:szCs w:val="21"/>
                <w:lang w:bidi="ar"/>
              </w:rPr>
              <w:t>表</w:t>
            </w:r>
            <w:r>
              <w:rPr>
                <w:rFonts w:hint="default" w:ascii="Times New Roman" w:hAnsi="Times New Roman" w:eastAsia="宋体" w:cs="Times New Roman"/>
                <w:b/>
                <w:bCs/>
                <w:color w:val="auto"/>
                <w:szCs w:val="21"/>
                <w:lang w:bidi="ar"/>
              </w:rPr>
              <w:t>4-</w:t>
            </w:r>
            <w:r>
              <w:rPr>
                <w:rFonts w:hint="eastAsia" w:ascii="Times New Roman" w:hAnsi="Times New Roman" w:eastAsia="宋体" w:cs="Times New Roman"/>
                <w:b/>
                <w:bCs/>
                <w:color w:val="auto"/>
                <w:szCs w:val="21"/>
                <w:lang w:val="en-US" w:eastAsia="zh-CN" w:bidi="ar"/>
              </w:rPr>
              <w:t xml:space="preserve">10  </w:t>
            </w:r>
            <w:r>
              <w:rPr>
                <w:rFonts w:hint="eastAsia" w:ascii="宋体" w:hAnsi="宋体" w:eastAsia="宋体" w:cs="宋体"/>
                <w:b/>
                <w:bCs/>
                <w:color w:val="auto"/>
                <w:szCs w:val="21"/>
                <w:lang w:bidi="ar"/>
              </w:rPr>
              <w:t>项目水污染物最终排放情况一览表</w:t>
            </w:r>
          </w:p>
          <w:tbl>
            <w:tblPr>
              <w:tblStyle w:val="23"/>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367"/>
              <w:gridCol w:w="1726"/>
              <w:gridCol w:w="1845"/>
              <w:gridCol w:w="2062"/>
              <w:gridCol w:w="1322"/>
              <w:gridCol w:w="1559"/>
              <w:gridCol w:w="1571"/>
              <w:gridCol w:w="1803"/>
            </w:tblGrid>
            <w:tr w14:paraId="7D318C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1385" w:type="dxa"/>
                  <w:vMerge w:val="restart"/>
                  <w:tcBorders>
                    <w:top w:val="single" w:color="auto" w:sz="4" w:space="0"/>
                    <w:left w:val="single" w:color="auto" w:sz="4" w:space="0"/>
                    <w:bottom w:val="single" w:color="auto" w:sz="4" w:space="0"/>
                    <w:right w:val="single" w:color="auto" w:sz="4" w:space="0"/>
                  </w:tcBorders>
                  <w:vAlign w:val="center"/>
                </w:tcPr>
                <w:p w14:paraId="5811E958">
                  <w:pPr>
                    <w:keepNext w:val="0"/>
                    <w:keepLines w:val="0"/>
                    <w:suppressLineNumbers w:val="0"/>
                    <w:spacing w:before="0" w:beforeAutospacing="0" w:after="0" w:afterAutospacing="0"/>
                    <w:ind w:left="0" w:right="0"/>
                    <w:jc w:val="center"/>
                    <w:rPr>
                      <w:rFonts w:hint="default" w:ascii="Times New Roman" w:hAnsi="Times New Roman" w:eastAsia="宋体" w:cs="Times New Roman"/>
                      <w:b/>
                      <w:bCs/>
                      <w:color w:val="auto"/>
                      <w:szCs w:val="21"/>
                    </w:rPr>
                  </w:pPr>
                  <w:r>
                    <w:rPr>
                      <w:rFonts w:hint="eastAsia" w:ascii="宋体" w:hAnsi="宋体" w:eastAsia="宋体" w:cs="宋体"/>
                      <w:b/>
                      <w:bCs/>
                      <w:color w:val="auto"/>
                      <w:szCs w:val="21"/>
                      <w:lang w:bidi="ar"/>
                    </w:rPr>
                    <w:t>工艺</w:t>
                  </w:r>
                </w:p>
              </w:tc>
              <w:tc>
                <w:tcPr>
                  <w:tcW w:w="1749" w:type="dxa"/>
                  <w:vMerge w:val="restart"/>
                  <w:tcBorders>
                    <w:top w:val="single" w:color="auto" w:sz="4" w:space="0"/>
                    <w:left w:val="single" w:color="auto" w:sz="4" w:space="0"/>
                    <w:bottom w:val="single" w:color="auto" w:sz="4" w:space="0"/>
                    <w:right w:val="single" w:color="auto" w:sz="4" w:space="0"/>
                  </w:tcBorders>
                  <w:vAlign w:val="center"/>
                </w:tcPr>
                <w:p w14:paraId="4231BF38">
                  <w:pPr>
                    <w:keepNext w:val="0"/>
                    <w:keepLines w:val="0"/>
                    <w:suppressLineNumbers w:val="0"/>
                    <w:spacing w:before="0" w:beforeAutospacing="0" w:after="0" w:afterAutospacing="0"/>
                    <w:ind w:left="0" w:right="0"/>
                    <w:jc w:val="center"/>
                    <w:rPr>
                      <w:rFonts w:hint="default" w:ascii="Times New Roman" w:hAnsi="Times New Roman" w:eastAsia="宋体" w:cs="Times New Roman"/>
                      <w:b/>
                      <w:bCs/>
                      <w:color w:val="auto"/>
                      <w:szCs w:val="21"/>
                    </w:rPr>
                  </w:pPr>
                  <w:r>
                    <w:rPr>
                      <w:rFonts w:hint="eastAsia" w:ascii="宋体" w:hAnsi="宋体" w:eastAsia="宋体" w:cs="宋体"/>
                      <w:b/>
                      <w:bCs/>
                      <w:color w:val="auto"/>
                      <w:szCs w:val="21"/>
                      <w:lang w:bidi="ar"/>
                    </w:rPr>
                    <w:t>装置</w:t>
                  </w:r>
                </w:p>
              </w:tc>
              <w:tc>
                <w:tcPr>
                  <w:tcW w:w="1870" w:type="dxa"/>
                  <w:vMerge w:val="restart"/>
                  <w:tcBorders>
                    <w:top w:val="single" w:color="auto" w:sz="4" w:space="0"/>
                    <w:left w:val="single" w:color="auto" w:sz="4" w:space="0"/>
                    <w:bottom w:val="single" w:color="auto" w:sz="4" w:space="0"/>
                    <w:right w:val="single" w:color="auto" w:sz="4" w:space="0"/>
                  </w:tcBorders>
                  <w:vAlign w:val="center"/>
                </w:tcPr>
                <w:p w14:paraId="0981908D">
                  <w:pPr>
                    <w:keepNext w:val="0"/>
                    <w:keepLines w:val="0"/>
                    <w:suppressLineNumbers w:val="0"/>
                    <w:spacing w:before="0" w:beforeAutospacing="0" w:after="0" w:afterAutospacing="0"/>
                    <w:ind w:left="0" w:right="0"/>
                    <w:jc w:val="center"/>
                    <w:rPr>
                      <w:rFonts w:hint="default" w:ascii="Times New Roman" w:hAnsi="Times New Roman" w:eastAsia="宋体" w:cs="Times New Roman"/>
                      <w:b/>
                      <w:bCs/>
                      <w:color w:val="auto"/>
                      <w:szCs w:val="21"/>
                    </w:rPr>
                  </w:pPr>
                  <w:r>
                    <w:rPr>
                      <w:rFonts w:hint="eastAsia" w:ascii="宋体" w:hAnsi="宋体" w:eastAsia="宋体" w:cs="宋体"/>
                      <w:b/>
                      <w:bCs/>
                      <w:color w:val="auto"/>
                      <w:szCs w:val="21"/>
                      <w:lang w:bidi="ar"/>
                    </w:rPr>
                    <w:t>污染源</w:t>
                  </w:r>
                </w:p>
              </w:tc>
              <w:tc>
                <w:tcPr>
                  <w:tcW w:w="2090" w:type="dxa"/>
                  <w:vMerge w:val="restart"/>
                  <w:tcBorders>
                    <w:top w:val="single" w:color="auto" w:sz="4" w:space="0"/>
                    <w:left w:val="single" w:color="auto" w:sz="4" w:space="0"/>
                    <w:bottom w:val="single" w:color="auto" w:sz="4" w:space="0"/>
                    <w:right w:val="single" w:color="auto" w:sz="4" w:space="0"/>
                  </w:tcBorders>
                  <w:vAlign w:val="center"/>
                </w:tcPr>
                <w:p w14:paraId="4A933675">
                  <w:pPr>
                    <w:keepNext w:val="0"/>
                    <w:keepLines w:val="0"/>
                    <w:suppressLineNumbers w:val="0"/>
                    <w:spacing w:before="0" w:beforeAutospacing="0" w:after="0" w:afterAutospacing="0"/>
                    <w:ind w:left="0" w:right="0"/>
                    <w:jc w:val="center"/>
                    <w:rPr>
                      <w:rFonts w:hint="default" w:ascii="Times New Roman" w:hAnsi="Times New Roman" w:eastAsia="宋体" w:cs="Times New Roman"/>
                      <w:b/>
                      <w:bCs/>
                      <w:color w:val="auto"/>
                      <w:szCs w:val="21"/>
                    </w:rPr>
                  </w:pPr>
                  <w:r>
                    <w:rPr>
                      <w:rFonts w:hint="eastAsia" w:ascii="宋体" w:hAnsi="宋体" w:eastAsia="宋体" w:cs="宋体"/>
                      <w:b/>
                      <w:bCs/>
                      <w:color w:val="auto"/>
                      <w:szCs w:val="21"/>
                      <w:lang w:bidi="ar"/>
                    </w:rPr>
                    <w:t>污染物</w:t>
                  </w:r>
                </w:p>
              </w:tc>
              <w:tc>
                <w:tcPr>
                  <w:tcW w:w="6338" w:type="dxa"/>
                  <w:gridSpan w:val="4"/>
                  <w:tcBorders>
                    <w:top w:val="single" w:color="auto" w:sz="4" w:space="0"/>
                    <w:left w:val="single" w:color="auto" w:sz="4" w:space="0"/>
                    <w:bottom w:val="single" w:color="auto" w:sz="4" w:space="0"/>
                    <w:right w:val="single" w:color="auto" w:sz="4" w:space="0"/>
                  </w:tcBorders>
                  <w:vAlign w:val="center"/>
                </w:tcPr>
                <w:p w14:paraId="0C9CFA0D">
                  <w:pPr>
                    <w:keepNext w:val="0"/>
                    <w:keepLines w:val="0"/>
                    <w:suppressLineNumbers w:val="0"/>
                    <w:spacing w:before="0" w:beforeAutospacing="0" w:after="0" w:afterAutospacing="0"/>
                    <w:ind w:left="0" w:right="0"/>
                    <w:jc w:val="center"/>
                    <w:rPr>
                      <w:rFonts w:hint="default" w:ascii="Times New Roman" w:hAnsi="Times New Roman" w:eastAsia="宋体" w:cs="Times New Roman"/>
                      <w:b/>
                      <w:bCs/>
                      <w:color w:val="auto"/>
                      <w:szCs w:val="21"/>
                    </w:rPr>
                  </w:pPr>
                  <w:r>
                    <w:rPr>
                      <w:rFonts w:hint="eastAsia" w:ascii="宋体" w:hAnsi="宋体" w:eastAsia="宋体" w:cs="宋体"/>
                      <w:b/>
                      <w:bCs/>
                      <w:color w:val="auto"/>
                      <w:szCs w:val="21"/>
                      <w:lang w:bidi="ar"/>
                    </w:rPr>
                    <w:t>污染物外排环境</w:t>
                  </w:r>
                </w:p>
              </w:tc>
            </w:tr>
            <w:tr w14:paraId="7C6503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1385" w:type="dxa"/>
                  <w:vMerge w:val="continue"/>
                  <w:tcBorders>
                    <w:top w:val="single" w:color="auto" w:sz="4" w:space="0"/>
                    <w:left w:val="single" w:color="auto" w:sz="4" w:space="0"/>
                    <w:bottom w:val="single" w:color="auto" w:sz="4" w:space="0"/>
                    <w:right w:val="single" w:color="auto" w:sz="4" w:space="0"/>
                  </w:tcBorders>
                  <w:vAlign w:val="center"/>
                </w:tcPr>
                <w:p w14:paraId="70E80B26">
                  <w:pPr>
                    <w:keepNext w:val="0"/>
                    <w:keepLines w:val="0"/>
                    <w:suppressLineNumbers w:val="0"/>
                    <w:spacing w:before="0" w:beforeAutospacing="0" w:after="0" w:afterAutospacing="0"/>
                    <w:ind w:left="0" w:right="0"/>
                    <w:rPr>
                      <w:rFonts w:hint="default" w:ascii="Times New Roman" w:hAnsi="Times New Roman" w:cs="Times New Roman"/>
                      <w:color w:val="auto"/>
                      <w:sz w:val="20"/>
                      <w:szCs w:val="20"/>
                    </w:rPr>
                  </w:pPr>
                </w:p>
              </w:tc>
              <w:tc>
                <w:tcPr>
                  <w:tcW w:w="1749" w:type="dxa"/>
                  <w:vMerge w:val="continue"/>
                  <w:tcBorders>
                    <w:top w:val="single" w:color="auto" w:sz="4" w:space="0"/>
                    <w:left w:val="single" w:color="auto" w:sz="4" w:space="0"/>
                    <w:bottom w:val="single" w:color="auto" w:sz="4" w:space="0"/>
                    <w:right w:val="single" w:color="auto" w:sz="4" w:space="0"/>
                  </w:tcBorders>
                  <w:vAlign w:val="center"/>
                </w:tcPr>
                <w:p w14:paraId="1100AC5D">
                  <w:pPr>
                    <w:keepNext w:val="0"/>
                    <w:keepLines w:val="0"/>
                    <w:suppressLineNumbers w:val="0"/>
                    <w:spacing w:before="0" w:beforeAutospacing="0" w:after="0" w:afterAutospacing="0"/>
                    <w:ind w:left="0" w:right="0"/>
                    <w:rPr>
                      <w:rFonts w:hint="default" w:ascii="Times New Roman" w:hAnsi="Times New Roman" w:cs="Times New Roman"/>
                      <w:color w:val="auto"/>
                      <w:sz w:val="20"/>
                      <w:szCs w:val="20"/>
                    </w:rPr>
                  </w:pPr>
                </w:p>
              </w:tc>
              <w:tc>
                <w:tcPr>
                  <w:tcW w:w="1870" w:type="dxa"/>
                  <w:vMerge w:val="continue"/>
                  <w:tcBorders>
                    <w:top w:val="single" w:color="auto" w:sz="4" w:space="0"/>
                    <w:left w:val="single" w:color="auto" w:sz="4" w:space="0"/>
                    <w:bottom w:val="single" w:color="auto" w:sz="4" w:space="0"/>
                    <w:right w:val="single" w:color="auto" w:sz="4" w:space="0"/>
                  </w:tcBorders>
                  <w:vAlign w:val="center"/>
                </w:tcPr>
                <w:p w14:paraId="61E1337D">
                  <w:pPr>
                    <w:keepNext w:val="0"/>
                    <w:keepLines w:val="0"/>
                    <w:suppressLineNumbers w:val="0"/>
                    <w:spacing w:before="0" w:beforeAutospacing="0" w:after="0" w:afterAutospacing="0"/>
                    <w:ind w:left="0" w:right="0"/>
                    <w:rPr>
                      <w:rFonts w:hint="default" w:ascii="Times New Roman" w:hAnsi="Times New Roman" w:cs="Times New Roman"/>
                      <w:color w:val="auto"/>
                      <w:sz w:val="20"/>
                      <w:szCs w:val="20"/>
                    </w:rPr>
                  </w:pPr>
                </w:p>
              </w:tc>
              <w:tc>
                <w:tcPr>
                  <w:tcW w:w="2090" w:type="dxa"/>
                  <w:vMerge w:val="continue"/>
                  <w:tcBorders>
                    <w:top w:val="single" w:color="auto" w:sz="4" w:space="0"/>
                    <w:left w:val="single" w:color="auto" w:sz="4" w:space="0"/>
                    <w:bottom w:val="single" w:color="auto" w:sz="4" w:space="0"/>
                    <w:right w:val="single" w:color="auto" w:sz="4" w:space="0"/>
                  </w:tcBorders>
                  <w:vAlign w:val="center"/>
                </w:tcPr>
                <w:p w14:paraId="17813C19">
                  <w:pPr>
                    <w:keepNext w:val="0"/>
                    <w:keepLines w:val="0"/>
                    <w:suppressLineNumbers w:val="0"/>
                    <w:spacing w:before="0" w:beforeAutospacing="0" w:after="0" w:afterAutospacing="0"/>
                    <w:ind w:left="0" w:right="0"/>
                    <w:rPr>
                      <w:rFonts w:hint="default" w:ascii="Times New Roman" w:hAnsi="Times New Roman" w:cs="Times New Roman"/>
                      <w:color w:val="auto"/>
                      <w:sz w:val="20"/>
                      <w:szCs w:val="20"/>
                    </w:rPr>
                  </w:pPr>
                </w:p>
              </w:tc>
              <w:tc>
                <w:tcPr>
                  <w:tcW w:w="1339" w:type="dxa"/>
                  <w:tcBorders>
                    <w:top w:val="single" w:color="auto" w:sz="4" w:space="0"/>
                    <w:left w:val="single" w:color="auto" w:sz="4" w:space="0"/>
                    <w:bottom w:val="single" w:color="auto" w:sz="4" w:space="0"/>
                    <w:right w:val="single" w:color="auto" w:sz="4" w:space="0"/>
                  </w:tcBorders>
                  <w:vAlign w:val="center"/>
                </w:tcPr>
                <w:p w14:paraId="53EB3DF5">
                  <w:pPr>
                    <w:keepNext w:val="0"/>
                    <w:keepLines w:val="0"/>
                    <w:suppressLineNumbers w:val="0"/>
                    <w:spacing w:before="0" w:beforeAutospacing="0" w:after="0" w:afterAutospacing="0"/>
                    <w:ind w:left="0" w:right="0"/>
                    <w:jc w:val="center"/>
                    <w:rPr>
                      <w:rFonts w:hint="default" w:ascii="Times New Roman" w:hAnsi="Times New Roman" w:eastAsia="宋体" w:cs="Times New Roman"/>
                      <w:b/>
                      <w:bCs/>
                      <w:color w:val="auto"/>
                      <w:szCs w:val="21"/>
                    </w:rPr>
                  </w:pPr>
                  <w:r>
                    <w:rPr>
                      <w:rFonts w:hint="eastAsia" w:ascii="宋体" w:hAnsi="宋体" w:eastAsia="宋体" w:cs="宋体"/>
                      <w:b/>
                      <w:bCs/>
                      <w:color w:val="auto"/>
                      <w:szCs w:val="21"/>
                      <w:lang w:bidi="ar"/>
                    </w:rPr>
                    <w:t>核算</w:t>
                  </w:r>
                </w:p>
                <w:p w14:paraId="02B4C6A9">
                  <w:pPr>
                    <w:keepNext w:val="0"/>
                    <w:keepLines w:val="0"/>
                    <w:suppressLineNumbers w:val="0"/>
                    <w:spacing w:before="0" w:beforeAutospacing="0" w:after="0" w:afterAutospacing="0"/>
                    <w:ind w:left="0" w:right="0"/>
                    <w:jc w:val="center"/>
                    <w:rPr>
                      <w:rFonts w:hint="default" w:ascii="Times New Roman" w:hAnsi="Times New Roman" w:eastAsia="宋体" w:cs="Times New Roman"/>
                      <w:b/>
                      <w:bCs/>
                      <w:color w:val="auto"/>
                      <w:szCs w:val="21"/>
                    </w:rPr>
                  </w:pPr>
                  <w:r>
                    <w:rPr>
                      <w:rFonts w:hint="eastAsia" w:ascii="宋体" w:hAnsi="宋体" w:eastAsia="宋体" w:cs="宋体"/>
                      <w:b/>
                      <w:bCs/>
                      <w:color w:val="auto"/>
                      <w:szCs w:val="21"/>
                      <w:lang w:bidi="ar"/>
                    </w:rPr>
                    <w:t>方法</w:t>
                  </w:r>
                </w:p>
              </w:tc>
              <w:tc>
                <w:tcPr>
                  <w:tcW w:w="1580" w:type="dxa"/>
                  <w:tcBorders>
                    <w:top w:val="single" w:color="auto" w:sz="4" w:space="0"/>
                    <w:left w:val="single" w:color="auto" w:sz="4" w:space="0"/>
                    <w:bottom w:val="single" w:color="auto" w:sz="4" w:space="0"/>
                    <w:right w:val="single" w:color="auto" w:sz="4" w:space="0"/>
                  </w:tcBorders>
                  <w:vAlign w:val="center"/>
                </w:tcPr>
                <w:p w14:paraId="6C35EF06">
                  <w:pPr>
                    <w:keepNext w:val="0"/>
                    <w:keepLines w:val="0"/>
                    <w:suppressLineNumbers w:val="0"/>
                    <w:spacing w:before="0" w:beforeAutospacing="0" w:after="0" w:afterAutospacing="0"/>
                    <w:ind w:left="0" w:right="0"/>
                    <w:jc w:val="center"/>
                    <w:rPr>
                      <w:rFonts w:hint="default" w:ascii="Times New Roman" w:hAnsi="Times New Roman" w:eastAsia="宋体" w:cs="Times New Roman"/>
                      <w:b/>
                      <w:bCs/>
                      <w:color w:val="auto"/>
                      <w:szCs w:val="21"/>
                    </w:rPr>
                  </w:pPr>
                  <w:r>
                    <w:rPr>
                      <w:rFonts w:hint="eastAsia" w:ascii="宋体" w:hAnsi="宋体" w:eastAsia="宋体" w:cs="宋体"/>
                      <w:b/>
                      <w:bCs/>
                      <w:color w:val="auto"/>
                      <w:szCs w:val="21"/>
                      <w:lang w:bidi="ar"/>
                    </w:rPr>
                    <w:t>废水排放量</w:t>
                  </w:r>
                </w:p>
                <w:p w14:paraId="6C1FAAC5">
                  <w:pPr>
                    <w:keepNext w:val="0"/>
                    <w:keepLines w:val="0"/>
                    <w:suppressLineNumbers w:val="0"/>
                    <w:spacing w:before="0" w:beforeAutospacing="0" w:after="0" w:afterAutospacing="0"/>
                    <w:ind w:left="0" w:right="0"/>
                    <w:jc w:val="center"/>
                    <w:rPr>
                      <w:rFonts w:hint="default" w:ascii="Times New Roman" w:hAnsi="Times New Roman" w:eastAsia="宋体" w:cs="Times New Roman"/>
                      <w:b/>
                      <w:bCs/>
                      <w:color w:val="auto"/>
                      <w:szCs w:val="21"/>
                    </w:rPr>
                  </w:pPr>
                  <w:r>
                    <w:rPr>
                      <w:rFonts w:hint="default" w:ascii="Times New Roman" w:hAnsi="Times New Roman" w:eastAsia="宋体" w:cs="Times New Roman"/>
                      <w:b/>
                      <w:bCs/>
                      <w:color w:val="auto"/>
                      <w:szCs w:val="21"/>
                      <w:lang w:bidi="ar"/>
                    </w:rPr>
                    <w:t>t/a</w:t>
                  </w:r>
                </w:p>
              </w:tc>
              <w:tc>
                <w:tcPr>
                  <w:tcW w:w="1592" w:type="dxa"/>
                  <w:tcBorders>
                    <w:top w:val="single" w:color="auto" w:sz="4" w:space="0"/>
                    <w:left w:val="single" w:color="auto" w:sz="4" w:space="0"/>
                    <w:bottom w:val="single" w:color="auto" w:sz="4" w:space="0"/>
                    <w:right w:val="single" w:color="auto" w:sz="4" w:space="0"/>
                  </w:tcBorders>
                  <w:vAlign w:val="center"/>
                </w:tcPr>
                <w:p w14:paraId="15E74693">
                  <w:pPr>
                    <w:keepNext w:val="0"/>
                    <w:keepLines w:val="0"/>
                    <w:suppressLineNumbers w:val="0"/>
                    <w:spacing w:before="0" w:beforeAutospacing="0" w:after="0" w:afterAutospacing="0"/>
                    <w:ind w:left="0" w:right="0"/>
                    <w:jc w:val="center"/>
                    <w:rPr>
                      <w:rFonts w:hint="default" w:ascii="Times New Roman" w:hAnsi="Times New Roman" w:eastAsia="宋体" w:cs="Times New Roman"/>
                      <w:b/>
                      <w:bCs/>
                      <w:color w:val="auto"/>
                      <w:szCs w:val="21"/>
                    </w:rPr>
                  </w:pPr>
                  <w:r>
                    <w:rPr>
                      <w:rFonts w:hint="eastAsia" w:ascii="宋体" w:hAnsi="宋体" w:eastAsia="宋体" w:cs="宋体"/>
                      <w:b/>
                      <w:bCs/>
                      <w:color w:val="auto"/>
                      <w:szCs w:val="21"/>
                      <w:lang w:bidi="ar"/>
                    </w:rPr>
                    <w:t>排放浓度</w:t>
                  </w:r>
                </w:p>
                <w:p w14:paraId="648B2461">
                  <w:pPr>
                    <w:keepNext w:val="0"/>
                    <w:keepLines w:val="0"/>
                    <w:suppressLineNumbers w:val="0"/>
                    <w:spacing w:before="0" w:beforeAutospacing="0" w:after="0" w:afterAutospacing="0"/>
                    <w:ind w:left="0" w:right="0"/>
                    <w:jc w:val="center"/>
                    <w:rPr>
                      <w:rFonts w:hint="default" w:ascii="Times New Roman" w:hAnsi="Times New Roman" w:eastAsia="宋体" w:cs="Times New Roman"/>
                      <w:b/>
                      <w:bCs/>
                      <w:color w:val="auto"/>
                      <w:szCs w:val="21"/>
                    </w:rPr>
                  </w:pPr>
                  <w:r>
                    <w:rPr>
                      <w:rFonts w:hint="default" w:ascii="Times New Roman" w:hAnsi="Times New Roman" w:eastAsia="宋体" w:cs="Times New Roman"/>
                      <w:b/>
                      <w:bCs/>
                      <w:color w:val="auto"/>
                      <w:szCs w:val="21"/>
                      <w:lang w:bidi="ar"/>
                    </w:rPr>
                    <w:t>mg/L</w:t>
                  </w:r>
                </w:p>
              </w:tc>
              <w:tc>
                <w:tcPr>
                  <w:tcW w:w="1827" w:type="dxa"/>
                  <w:tcBorders>
                    <w:top w:val="single" w:color="auto" w:sz="4" w:space="0"/>
                    <w:left w:val="single" w:color="auto" w:sz="4" w:space="0"/>
                    <w:bottom w:val="single" w:color="auto" w:sz="4" w:space="0"/>
                    <w:right w:val="single" w:color="auto" w:sz="4" w:space="0"/>
                  </w:tcBorders>
                  <w:vAlign w:val="center"/>
                </w:tcPr>
                <w:p w14:paraId="48FF992B">
                  <w:pPr>
                    <w:keepNext w:val="0"/>
                    <w:keepLines w:val="0"/>
                    <w:suppressLineNumbers w:val="0"/>
                    <w:spacing w:before="0" w:beforeAutospacing="0" w:after="0" w:afterAutospacing="0"/>
                    <w:ind w:left="0" w:right="0"/>
                    <w:jc w:val="center"/>
                    <w:rPr>
                      <w:rFonts w:hint="default" w:ascii="Times New Roman" w:hAnsi="Times New Roman" w:eastAsia="宋体" w:cs="Times New Roman"/>
                      <w:b/>
                      <w:bCs/>
                      <w:color w:val="auto"/>
                      <w:szCs w:val="21"/>
                    </w:rPr>
                  </w:pPr>
                  <w:r>
                    <w:rPr>
                      <w:rFonts w:hint="eastAsia" w:ascii="宋体" w:hAnsi="宋体" w:eastAsia="宋体" w:cs="宋体"/>
                      <w:b/>
                      <w:bCs/>
                      <w:color w:val="auto"/>
                      <w:szCs w:val="21"/>
                      <w:lang w:bidi="ar"/>
                    </w:rPr>
                    <w:t>污染物排放量</w:t>
                  </w:r>
                </w:p>
                <w:p w14:paraId="10A3F119">
                  <w:pPr>
                    <w:keepNext w:val="0"/>
                    <w:keepLines w:val="0"/>
                    <w:suppressLineNumbers w:val="0"/>
                    <w:spacing w:before="0" w:beforeAutospacing="0" w:after="0" w:afterAutospacing="0"/>
                    <w:ind w:left="0" w:right="0"/>
                    <w:jc w:val="center"/>
                    <w:rPr>
                      <w:rFonts w:hint="default" w:ascii="Times New Roman" w:hAnsi="Times New Roman" w:eastAsia="宋体" w:cs="Times New Roman"/>
                      <w:b/>
                      <w:bCs/>
                      <w:color w:val="auto"/>
                      <w:szCs w:val="21"/>
                    </w:rPr>
                  </w:pPr>
                  <w:r>
                    <w:rPr>
                      <w:rFonts w:hint="default" w:ascii="Times New Roman" w:hAnsi="Times New Roman" w:eastAsia="宋体" w:cs="Times New Roman"/>
                      <w:b/>
                      <w:bCs/>
                      <w:color w:val="auto"/>
                      <w:szCs w:val="21"/>
                      <w:lang w:bidi="ar"/>
                    </w:rPr>
                    <w:t>t/a</w:t>
                  </w:r>
                </w:p>
              </w:tc>
            </w:tr>
            <w:tr w14:paraId="279139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1385" w:type="dxa"/>
                  <w:vMerge w:val="restart"/>
                  <w:tcBorders>
                    <w:top w:val="nil"/>
                    <w:left w:val="single" w:color="auto" w:sz="4" w:space="0"/>
                    <w:bottom w:val="single" w:color="auto" w:sz="4" w:space="0"/>
                    <w:right w:val="single" w:color="auto" w:sz="4" w:space="0"/>
                  </w:tcBorders>
                  <w:vAlign w:val="center"/>
                </w:tcPr>
                <w:p w14:paraId="4A50BB40">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rPr>
                    <w:t>职工生活</w:t>
                  </w:r>
                </w:p>
              </w:tc>
              <w:tc>
                <w:tcPr>
                  <w:tcW w:w="1749" w:type="dxa"/>
                  <w:vMerge w:val="restart"/>
                  <w:tcBorders>
                    <w:top w:val="nil"/>
                    <w:left w:val="single" w:color="auto" w:sz="4" w:space="0"/>
                    <w:bottom w:val="single" w:color="auto" w:sz="4" w:space="0"/>
                    <w:right w:val="single" w:color="auto" w:sz="4" w:space="0"/>
                  </w:tcBorders>
                  <w:vAlign w:val="center"/>
                </w:tcPr>
                <w:p w14:paraId="162C5AFF">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rPr>
                    <w:t>化粪池</w:t>
                  </w:r>
                </w:p>
              </w:tc>
              <w:tc>
                <w:tcPr>
                  <w:tcW w:w="1870" w:type="dxa"/>
                  <w:vMerge w:val="restart"/>
                  <w:tcBorders>
                    <w:top w:val="nil"/>
                    <w:left w:val="single" w:color="auto" w:sz="4" w:space="0"/>
                    <w:bottom w:val="single" w:color="auto" w:sz="4" w:space="0"/>
                    <w:right w:val="single" w:color="auto" w:sz="4" w:space="0"/>
                  </w:tcBorders>
                  <w:vAlign w:val="center"/>
                </w:tcPr>
                <w:p w14:paraId="3EABACD2">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rPr>
                    <w:t>生活污水</w:t>
                  </w:r>
                </w:p>
              </w:tc>
              <w:tc>
                <w:tcPr>
                  <w:tcW w:w="2090" w:type="dxa"/>
                  <w:tcBorders>
                    <w:top w:val="single" w:color="auto" w:sz="4" w:space="0"/>
                    <w:left w:val="single" w:color="auto" w:sz="4" w:space="0"/>
                    <w:bottom w:val="single" w:color="auto" w:sz="4" w:space="0"/>
                    <w:right w:val="single" w:color="auto" w:sz="4" w:space="0"/>
                  </w:tcBorders>
                  <w:vAlign w:val="center"/>
                </w:tcPr>
                <w:p w14:paraId="5B11D95E">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lang w:bidi="ar"/>
                    </w:rPr>
                    <w:t>COD</w:t>
                  </w:r>
                  <w:r>
                    <w:rPr>
                      <w:rFonts w:hint="default" w:ascii="Times New Roman" w:hAnsi="Times New Roman" w:eastAsia="宋体" w:cs="Times New Roman"/>
                      <w:color w:val="auto"/>
                      <w:szCs w:val="21"/>
                      <w:vertAlign w:val="subscript"/>
                      <w:lang w:bidi="ar"/>
                    </w:rPr>
                    <w:t>Cr</w:t>
                  </w:r>
                </w:p>
              </w:tc>
              <w:tc>
                <w:tcPr>
                  <w:tcW w:w="1339" w:type="dxa"/>
                  <w:vMerge w:val="restart"/>
                  <w:tcBorders>
                    <w:top w:val="nil"/>
                    <w:left w:val="single" w:color="auto" w:sz="4" w:space="0"/>
                    <w:bottom w:val="single" w:color="auto" w:sz="4" w:space="0"/>
                    <w:right w:val="single" w:color="auto" w:sz="4" w:space="0"/>
                  </w:tcBorders>
                  <w:vAlign w:val="center"/>
                </w:tcPr>
                <w:p w14:paraId="56CCC643">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r>
                    <w:rPr>
                      <w:rFonts w:hint="eastAsia" w:ascii="宋体" w:hAnsi="宋体" w:eastAsia="宋体" w:cs="宋体"/>
                      <w:color w:val="auto"/>
                      <w:szCs w:val="21"/>
                      <w:lang w:bidi="ar"/>
                    </w:rPr>
                    <w:t>类比法</w:t>
                  </w:r>
                </w:p>
              </w:tc>
              <w:tc>
                <w:tcPr>
                  <w:tcW w:w="1580" w:type="dxa"/>
                  <w:vMerge w:val="restart"/>
                  <w:tcBorders>
                    <w:top w:val="nil"/>
                    <w:left w:val="single" w:color="auto" w:sz="4" w:space="0"/>
                    <w:bottom w:val="single" w:color="auto" w:sz="4" w:space="0"/>
                    <w:right w:val="single" w:color="auto" w:sz="4" w:space="0"/>
                  </w:tcBorders>
                  <w:vAlign w:val="center"/>
                </w:tcPr>
                <w:p w14:paraId="08DECD63">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lang w:val="en-US" w:eastAsia="zh-CN"/>
                    </w:rPr>
                  </w:pPr>
                  <w:r>
                    <w:rPr>
                      <w:rFonts w:hint="eastAsia" w:ascii="Times New Roman" w:hAnsi="Times New Roman" w:eastAsia="宋体" w:cs="Times New Roman"/>
                      <w:color w:val="auto"/>
                      <w:szCs w:val="21"/>
                      <w:lang w:val="en-US" w:eastAsia="zh-CN" w:bidi="ar"/>
                    </w:rPr>
                    <w:t>1200</w:t>
                  </w:r>
                </w:p>
              </w:tc>
              <w:tc>
                <w:tcPr>
                  <w:tcW w:w="1592" w:type="dxa"/>
                  <w:tcBorders>
                    <w:top w:val="single" w:color="auto" w:sz="4" w:space="0"/>
                    <w:left w:val="single" w:color="auto" w:sz="4" w:space="0"/>
                    <w:bottom w:val="single" w:color="auto" w:sz="4" w:space="0"/>
                    <w:right w:val="single" w:color="auto" w:sz="4" w:space="0"/>
                  </w:tcBorders>
                  <w:vAlign w:val="center"/>
                </w:tcPr>
                <w:p w14:paraId="667A08A8">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r>
                    <w:rPr>
                      <w:rFonts w:hint="eastAsia" w:ascii="Times New Roman" w:hAnsi="Times New Roman" w:eastAsia="宋体" w:cs="Times New Roman"/>
                      <w:color w:val="auto"/>
                      <w:szCs w:val="21"/>
                      <w:lang w:bidi="ar"/>
                    </w:rPr>
                    <w:t>30</w:t>
                  </w:r>
                </w:p>
              </w:tc>
              <w:tc>
                <w:tcPr>
                  <w:tcW w:w="1827" w:type="dxa"/>
                  <w:tcBorders>
                    <w:top w:val="single" w:color="auto" w:sz="4" w:space="0"/>
                    <w:left w:val="single" w:color="auto" w:sz="4" w:space="0"/>
                    <w:bottom w:val="single" w:color="auto" w:sz="4" w:space="0"/>
                    <w:right w:val="single" w:color="auto" w:sz="4" w:space="0"/>
                  </w:tcBorders>
                  <w:vAlign w:val="center"/>
                </w:tcPr>
                <w:p w14:paraId="72AB0FFC">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r>
                    <w:rPr>
                      <w:rFonts w:hint="eastAsia" w:ascii="Times New Roman" w:hAnsi="Times New Roman" w:eastAsia="宋体" w:cs="Times New Roman"/>
                      <w:color w:val="auto"/>
                      <w:szCs w:val="21"/>
                      <w:lang w:val="en-US" w:eastAsia="zh-CN" w:bidi="ar"/>
                    </w:rPr>
                    <w:t>0.036</w:t>
                  </w:r>
                </w:p>
              </w:tc>
            </w:tr>
            <w:tr w14:paraId="118C9E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1385" w:type="dxa"/>
                  <w:vMerge w:val="continue"/>
                  <w:tcBorders>
                    <w:top w:val="nil"/>
                    <w:left w:val="single" w:color="auto" w:sz="4" w:space="0"/>
                    <w:bottom w:val="single" w:color="auto" w:sz="4" w:space="0"/>
                    <w:right w:val="single" w:color="auto" w:sz="4" w:space="0"/>
                  </w:tcBorders>
                  <w:vAlign w:val="center"/>
                </w:tcPr>
                <w:p w14:paraId="095890A4">
                  <w:pPr>
                    <w:keepNext w:val="0"/>
                    <w:keepLines w:val="0"/>
                    <w:suppressLineNumbers w:val="0"/>
                    <w:spacing w:before="0" w:beforeAutospacing="0" w:after="0" w:afterAutospacing="0"/>
                    <w:ind w:left="0" w:right="0"/>
                    <w:rPr>
                      <w:rFonts w:hint="default" w:ascii="Times New Roman" w:hAnsi="Times New Roman" w:cs="Times New Roman"/>
                      <w:color w:val="auto"/>
                      <w:sz w:val="20"/>
                      <w:szCs w:val="20"/>
                    </w:rPr>
                  </w:pPr>
                </w:p>
              </w:tc>
              <w:tc>
                <w:tcPr>
                  <w:tcW w:w="1749" w:type="dxa"/>
                  <w:vMerge w:val="continue"/>
                  <w:tcBorders>
                    <w:top w:val="nil"/>
                    <w:left w:val="single" w:color="auto" w:sz="4" w:space="0"/>
                    <w:bottom w:val="single" w:color="auto" w:sz="4" w:space="0"/>
                    <w:right w:val="single" w:color="auto" w:sz="4" w:space="0"/>
                  </w:tcBorders>
                  <w:vAlign w:val="center"/>
                </w:tcPr>
                <w:p w14:paraId="25B19795">
                  <w:pPr>
                    <w:keepNext w:val="0"/>
                    <w:keepLines w:val="0"/>
                    <w:suppressLineNumbers w:val="0"/>
                    <w:spacing w:before="0" w:beforeAutospacing="0" w:after="0" w:afterAutospacing="0"/>
                    <w:ind w:left="0" w:right="0"/>
                    <w:rPr>
                      <w:rFonts w:hint="default" w:ascii="Times New Roman" w:hAnsi="Times New Roman" w:cs="Times New Roman"/>
                      <w:color w:val="auto"/>
                      <w:sz w:val="20"/>
                      <w:szCs w:val="20"/>
                    </w:rPr>
                  </w:pPr>
                </w:p>
              </w:tc>
              <w:tc>
                <w:tcPr>
                  <w:tcW w:w="1870" w:type="dxa"/>
                  <w:vMerge w:val="continue"/>
                  <w:tcBorders>
                    <w:top w:val="nil"/>
                    <w:left w:val="single" w:color="auto" w:sz="4" w:space="0"/>
                    <w:bottom w:val="single" w:color="auto" w:sz="4" w:space="0"/>
                    <w:right w:val="single" w:color="auto" w:sz="4" w:space="0"/>
                  </w:tcBorders>
                  <w:vAlign w:val="center"/>
                </w:tcPr>
                <w:p w14:paraId="2910E4DB">
                  <w:pPr>
                    <w:keepNext w:val="0"/>
                    <w:keepLines w:val="0"/>
                    <w:suppressLineNumbers w:val="0"/>
                    <w:spacing w:before="0" w:beforeAutospacing="0" w:after="0" w:afterAutospacing="0"/>
                    <w:ind w:left="0" w:right="0"/>
                    <w:rPr>
                      <w:rFonts w:hint="default" w:ascii="Times New Roman" w:hAnsi="Times New Roman" w:cs="Times New Roman"/>
                      <w:color w:val="auto"/>
                      <w:sz w:val="20"/>
                      <w:szCs w:val="20"/>
                    </w:rPr>
                  </w:pPr>
                </w:p>
              </w:tc>
              <w:tc>
                <w:tcPr>
                  <w:tcW w:w="2090" w:type="dxa"/>
                  <w:tcBorders>
                    <w:top w:val="single" w:color="auto" w:sz="4" w:space="0"/>
                    <w:left w:val="single" w:color="auto" w:sz="4" w:space="0"/>
                    <w:bottom w:val="single" w:color="auto" w:sz="4" w:space="0"/>
                    <w:right w:val="single" w:color="auto" w:sz="4" w:space="0"/>
                  </w:tcBorders>
                  <w:vAlign w:val="center"/>
                </w:tcPr>
                <w:p w14:paraId="0828621B">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lang w:bidi="ar"/>
                    </w:rPr>
                    <w:t>NH</w:t>
                  </w:r>
                  <w:r>
                    <w:rPr>
                      <w:rFonts w:hint="default" w:ascii="Times New Roman" w:hAnsi="Times New Roman" w:eastAsia="宋体" w:cs="Times New Roman"/>
                      <w:color w:val="auto"/>
                      <w:szCs w:val="21"/>
                      <w:vertAlign w:val="subscript"/>
                      <w:lang w:bidi="ar"/>
                    </w:rPr>
                    <w:t>3</w:t>
                  </w:r>
                  <w:r>
                    <w:rPr>
                      <w:rFonts w:hint="default" w:ascii="Times New Roman" w:hAnsi="Times New Roman" w:eastAsia="宋体" w:cs="Times New Roman"/>
                      <w:color w:val="auto"/>
                      <w:szCs w:val="21"/>
                      <w:lang w:bidi="ar"/>
                    </w:rPr>
                    <w:t>-N</w:t>
                  </w:r>
                </w:p>
              </w:tc>
              <w:tc>
                <w:tcPr>
                  <w:tcW w:w="1339" w:type="dxa"/>
                  <w:vMerge w:val="continue"/>
                  <w:tcBorders>
                    <w:top w:val="nil"/>
                    <w:left w:val="single" w:color="auto" w:sz="4" w:space="0"/>
                    <w:bottom w:val="single" w:color="auto" w:sz="4" w:space="0"/>
                    <w:right w:val="single" w:color="auto" w:sz="4" w:space="0"/>
                  </w:tcBorders>
                  <w:vAlign w:val="center"/>
                </w:tcPr>
                <w:p w14:paraId="1048504C">
                  <w:pPr>
                    <w:keepNext w:val="0"/>
                    <w:keepLines w:val="0"/>
                    <w:suppressLineNumbers w:val="0"/>
                    <w:spacing w:before="0" w:beforeAutospacing="0" w:after="0" w:afterAutospacing="0"/>
                    <w:ind w:left="0" w:right="0"/>
                    <w:rPr>
                      <w:rFonts w:hint="default" w:ascii="Times New Roman" w:hAnsi="Times New Roman" w:cs="Times New Roman"/>
                      <w:color w:val="auto"/>
                      <w:sz w:val="20"/>
                      <w:szCs w:val="20"/>
                    </w:rPr>
                  </w:pPr>
                </w:p>
              </w:tc>
              <w:tc>
                <w:tcPr>
                  <w:tcW w:w="1580" w:type="dxa"/>
                  <w:vMerge w:val="continue"/>
                  <w:tcBorders>
                    <w:top w:val="nil"/>
                    <w:left w:val="single" w:color="auto" w:sz="4" w:space="0"/>
                    <w:bottom w:val="single" w:color="auto" w:sz="4" w:space="0"/>
                    <w:right w:val="single" w:color="auto" w:sz="4" w:space="0"/>
                  </w:tcBorders>
                  <w:vAlign w:val="center"/>
                </w:tcPr>
                <w:p w14:paraId="413D26B6">
                  <w:pPr>
                    <w:keepNext w:val="0"/>
                    <w:keepLines w:val="0"/>
                    <w:suppressLineNumbers w:val="0"/>
                    <w:spacing w:before="0" w:beforeAutospacing="0" w:after="0" w:afterAutospacing="0"/>
                    <w:ind w:left="0" w:right="0"/>
                    <w:rPr>
                      <w:rFonts w:hint="default" w:ascii="Times New Roman" w:hAnsi="Times New Roman" w:cs="Times New Roman"/>
                      <w:color w:val="auto"/>
                      <w:sz w:val="20"/>
                      <w:szCs w:val="20"/>
                    </w:rPr>
                  </w:pPr>
                </w:p>
              </w:tc>
              <w:tc>
                <w:tcPr>
                  <w:tcW w:w="1592" w:type="dxa"/>
                  <w:tcBorders>
                    <w:top w:val="single" w:color="auto" w:sz="4" w:space="0"/>
                    <w:left w:val="single" w:color="auto" w:sz="4" w:space="0"/>
                    <w:bottom w:val="single" w:color="auto" w:sz="4" w:space="0"/>
                    <w:right w:val="single" w:color="auto" w:sz="4" w:space="0"/>
                  </w:tcBorders>
                  <w:vAlign w:val="center"/>
                </w:tcPr>
                <w:p w14:paraId="6202E94F">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lang w:bidi="ar"/>
                    </w:rPr>
                    <w:t>1.5（3）</w:t>
                  </w:r>
                </w:p>
              </w:tc>
              <w:tc>
                <w:tcPr>
                  <w:tcW w:w="1827" w:type="dxa"/>
                  <w:tcBorders>
                    <w:top w:val="single" w:color="auto" w:sz="4" w:space="0"/>
                    <w:left w:val="single" w:color="auto" w:sz="4" w:space="0"/>
                    <w:bottom w:val="single" w:color="auto" w:sz="4" w:space="0"/>
                    <w:right w:val="single" w:color="auto" w:sz="4" w:space="0"/>
                  </w:tcBorders>
                  <w:vAlign w:val="center"/>
                </w:tcPr>
                <w:p w14:paraId="24BD69B2">
                  <w:pPr>
                    <w:keepNext w:val="0"/>
                    <w:keepLines w:val="0"/>
                    <w:suppressLineNumbers w:val="0"/>
                    <w:spacing w:before="0" w:beforeAutospacing="0" w:after="0" w:afterAutospacing="0"/>
                    <w:ind w:left="0" w:right="0"/>
                    <w:jc w:val="center"/>
                    <w:rPr>
                      <w:rFonts w:hint="eastAsia" w:ascii="Times New Roman" w:hAnsi="Times New Roman" w:eastAsia="宋体" w:cs="Times New Roman"/>
                      <w:color w:val="auto"/>
                      <w:szCs w:val="21"/>
                      <w:lang w:val="en-US" w:eastAsia="zh-CN"/>
                    </w:rPr>
                  </w:pPr>
                  <w:r>
                    <w:rPr>
                      <w:rFonts w:hint="eastAsia" w:ascii="Times New Roman" w:hAnsi="Times New Roman" w:eastAsia="宋体" w:cs="Times New Roman"/>
                      <w:color w:val="auto"/>
                      <w:szCs w:val="21"/>
                      <w:lang w:bidi="ar"/>
                    </w:rPr>
                    <w:t>0.00</w:t>
                  </w:r>
                  <w:r>
                    <w:rPr>
                      <w:rFonts w:hint="eastAsia" w:ascii="Times New Roman" w:hAnsi="Times New Roman" w:eastAsia="宋体" w:cs="Times New Roman"/>
                      <w:color w:val="auto"/>
                      <w:szCs w:val="21"/>
                      <w:lang w:val="en-US" w:eastAsia="zh-CN" w:bidi="ar"/>
                    </w:rPr>
                    <w:t>2</w:t>
                  </w:r>
                </w:p>
              </w:tc>
            </w:tr>
            <w:tr w14:paraId="09567C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9" w:hRule="atLeast"/>
                <w:jc w:val="center"/>
              </w:trPr>
              <w:tc>
                <w:tcPr>
                  <w:tcW w:w="1385" w:type="dxa"/>
                  <w:tcBorders>
                    <w:top w:val="single" w:color="auto" w:sz="4" w:space="0"/>
                    <w:left w:val="single" w:color="auto" w:sz="4" w:space="0"/>
                    <w:bottom w:val="single" w:color="auto" w:sz="4" w:space="0"/>
                    <w:right w:val="single" w:color="auto" w:sz="4" w:space="0"/>
                  </w:tcBorders>
                  <w:vAlign w:val="center"/>
                </w:tcPr>
                <w:p w14:paraId="5A96DCD0">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lang w:val="en-US" w:eastAsia="zh-CN"/>
                    </w:rPr>
                    <w:t>设备</w:t>
                  </w:r>
                  <w:r>
                    <w:rPr>
                      <w:rFonts w:hint="default" w:ascii="Times New Roman" w:hAnsi="Times New Roman" w:eastAsia="宋体" w:cs="Times New Roman"/>
                      <w:color w:val="auto"/>
                      <w:szCs w:val="21"/>
                    </w:rPr>
                    <w:t>冷却</w:t>
                  </w:r>
                </w:p>
              </w:tc>
              <w:tc>
                <w:tcPr>
                  <w:tcW w:w="1749" w:type="dxa"/>
                  <w:tcBorders>
                    <w:top w:val="single" w:color="auto" w:sz="4" w:space="0"/>
                    <w:left w:val="single" w:color="auto" w:sz="4" w:space="0"/>
                    <w:bottom w:val="single" w:color="auto" w:sz="4" w:space="0"/>
                    <w:right w:val="single" w:color="auto" w:sz="4" w:space="0"/>
                  </w:tcBorders>
                  <w:vAlign w:val="center"/>
                </w:tcPr>
                <w:p w14:paraId="68A1FDD6">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rPr>
                    <w:t>冷却塔</w:t>
                  </w:r>
                </w:p>
              </w:tc>
              <w:tc>
                <w:tcPr>
                  <w:tcW w:w="1870" w:type="dxa"/>
                  <w:tcBorders>
                    <w:top w:val="single" w:color="auto" w:sz="4" w:space="0"/>
                    <w:left w:val="single" w:color="auto" w:sz="4" w:space="0"/>
                    <w:bottom w:val="single" w:color="auto" w:sz="4" w:space="0"/>
                    <w:right w:val="single" w:color="auto" w:sz="4" w:space="0"/>
                  </w:tcBorders>
                  <w:vAlign w:val="center"/>
                </w:tcPr>
                <w:p w14:paraId="2993F8A0">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rPr>
                    <w:t>间接冷却水</w:t>
                  </w:r>
                </w:p>
              </w:tc>
              <w:tc>
                <w:tcPr>
                  <w:tcW w:w="2090" w:type="dxa"/>
                  <w:tcBorders>
                    <w:top w:val="single" w:color="auto" w:sz="4" w:space="0"/>
                    <w:left w:val="single" w:color="auto" w:sz="4" w:space="0"/>
                    <w:bottom w:val="single" w:color="auto" w:sz="4" w:space="0"/>
                    <w:right w:val="single" w:color="auto" w:sz="4" w:space="0"/>
                  </w:tcBorders>
                  <w:vAlign w:val="center"/>
                </w:tcPr>
                <w:p w14:paraId="2CB5CB99">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r>
                    <w:rPr>
                      <w:rFonts w:hint="eastAsia" w:ascii="宋体" w:hAnsi="宋体" w:eastAsia="宋体" w:cs="宋体"/>
                      <w:color w:val="auto"/>
                      <w:szCs w:val="21"/>
                      <w:lang w:bidi="ar"/>
                    </w:rPr>
                    <w:t>热量</w:t>
                  </w:r>
                </w:p>
              </w:tc>
              <w:tc>
                <w:tcPr>
                  <w:tcW w:w="6338" w:type="dxa"/>
                  <w:gridSpan w:val="4"/>
                  <w:tcBorders>
                    <w:top w:val="single" w:color="auto" w:sz="4" w:space="0"/>
                    <w:left w:val="single" w:color="auto" w:sz="4" w:space="0"/>
                    <w:bottom w:val="single" w:color="auto" w:sz="4" w:space="0"/>
                    <w:right w:val="single" w:color="auto" w:sz="4" w:space="0"/>
                  </w:tcBorders>
                  <w:vAlign w:val="center"/>
                </w:tcPr>
                <w:p w14:paraId="55506C45">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rPr>
                    <w:t>循环使用不排放，只需定期补充新鲜水</w:t>
                  </w:r>
                </w:p>
              </w:tc>
            </w:tr>
            <w:tr w14:paraId="60A7CA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9" w:hRule="atLeast"/>
                <w:jc w:val="center"/>
              </w:trPr>
              <w:tc>
                <w:tcPr>
                  <w:tcW w:w="1385" w:type="dxa"/>
                  <w:tcBorders>
                    <w:top w:val="single" w:color="auto" w:sz="4" w:space="0"/>
                    <w:left w:val="single" w:color="auto" w:sz="4" w:space="0"/>
                    <w:bottom w:val="single" w:color="auto" w:sz="4" w:space="0"/>
                    <w:right w:val="single" w:color="auto" w:sz="4" w:space="0"/>
                  </w:tcBorders>
                  <w:vAlign w:val="center"/>
                </w:tcPr>
                <w:p w14:paraId="55E177D4">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rPr>
                    <w:t>废气处理</w:t>
                  </w:r>
                </w:p>
              </w:tc>
              <w:tc>
                <w:tcPr>
                  <w:tcW w:w="1749" w:type="dxa"/>
                  <w:tcBorders>
                    <w:top w:val="single" w:color="auto" w:sz="4" w:space="0"/>
                    <w:left w:val="single" w:color="auto" w:sz="4" w:space="0"/>
                    <w:bottom w:val="single" w:color="auto" w:sz="4" w:space="0"/>
                    <w:right w:val="single" w:color="auto" w:sz="4" w:space="0"/>
                  </w:tcBorders>
                  <w:vAlign w:val="center"/>
                </w:tcPr>
                <w:p w14:paraId="45BEE4F2">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rPr>
                    <w:t>废气处理设施</w:t>
                  </w:r>
                </w:p>
              </w:tc>
              <w:tc>
                <w:tcPr>
                  <w:tcW w:w="1870" w:type="dxa"/>
                  <w:tcBorders>
                    <w:top w:val="single" w:color="auto" w:sz="4" w:space="0"/>
                    <w:left w:val="single" w:color="auto" w:sz="4" w:space="0"/>
                    <w:bottom w:val="single" w:color="auto" w:sz="4" w:space="0"/>
                    <w:right w:val="single" w:color="auto" w:sz="4" w:space="0"/>
                  </w:tcBorders>
                  <w:vAlign w:val="center"/>
                </w:tcPr>
                <w:p w14:paraId="4761E517">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rPr>
                    <w:t>喷淋废水</w:t>
                  </w:r>
                </w:p>
              </w:tc>
              <w:tc>
                <w:tcPr>
                  <w:tcW w:w="2090" w:type="dxa"/>
                  <w:tcBorders>
                    <w:top w:val="single" w:color="auto" w:sz="4" w:space="0"/>
                    <w:left w:val="single" w:color="auto" w:sz="4" w:space="0"/>
                    <w:bottom w:val="single" w:color="auto" w:sz="4" w:space="0"/>
                    <w:right w:val="single" w:color="auto" w:sz="4" w:space="0"/>
                  </w:tcBorders>
                  <w:vAlign w:val="center"/>
                </w:tcPr>
                <w:p w14:paraId="119E80A5">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lang w:bidi="ar"/>
                    </w:rPr>
                    <w:t>COD</w:t>
                  </w:r>
                  <w:r>
                    <w:rPr>
                      <w:rFonts w:hint="default" w:ascii="Times New Roman" w:hAnsi="Times New Roman" w:eastAsia="宋体" w:cs="Times New Roman"/>
                      <w:color w:val="auto"/>
                      <w:szCs w:val="21"/>
                      <w:vertAlign w:val="subscript"/>
                      <w:lang w:bidi="ar"/>
                    </w:rPr>
                    <w:t>Cr</w:t>
                  </w:r>
                  <w:r>
                    <w:rPr>
                      <w:rFonts w:hint="eastAsia" w:ascii="宋体" w:hAnsi="宋体" w:eastAsia="宋体" w:cs="宋体"/>
                      <w:color w:val="auto"/>
                      <w:szCs w:val="21"/>
                      <w:lang w:bidi="ar"/>
                    </w:rPr>
                    <w:t>、</w:t>
                  </w:r>
                  <w:r>
                    <w:rPr>
                      <w:rFonts w:hint="default" w:ascii="Times New Roman" w:hAnsi="Times New Roman" w:eastAsia="宋体" w:cs="Times New Roman"/>
                      <w:color w:val="auto"/>
                      <w:szCs w:val="21"/>
                      <w:lang w:bidi="ar"/>
                    </w:rPr>
                    <w:t>SS</w:t>
                  </w:r>
                </w:p>
              </w:tc>
              <w:tc>
                <w:tcPr>
                  <w:tcW w:w="6338" w:type="dxa"/>
                  <w:gridSpan w:val="4"/>
                  <w:tcBorders>
                    <w:top w:val="single" w:color="auto" w:sz="4" w:space="0"/>
                    <w:left w:val="single" w:color="auto" w:sz="4" w:space="0"/>
                    <w:bottom w:val="single" w:color="auto" w:sz="4" w:space="0"/>
                    <w:right w:val="single" w:color="auto" w:sz="4" w:space="0"/>
                  </w:tcBorders>
                  <w:vAlign w:val="center"/>
                </w:tcPr>
                <w:p w14:paraId="08B9F2E4">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rPr>
                    <w:t>当循环到一定程度后，水中的含盐量升高，需定期更换</w:t>
                  </w:r>
                  <w:r>
                    <w:rPr>
                      <w:rFonts w:hint="eastAsia" w:ascii="Times New Roman" w:hAnsi="Times New Roman" w:eastAsia="宋体" w:cs="Times New Roman"/>
                      <w:color w:val="auto"/>
                      <w:szCs w:val="21"/>
                    </w:rPr>
                    <w:t>，更换后的喷淋废水作为危废处置</w:t>
                  </w:r>
                </w:p>
              </w:tc>
            </w:tr>
            <w:tr w14:paraId="673E55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9" w:hRule="atLeast"/>
                <w:jc w:val="center"/>
              </w:trPr>
              <w:tc>
                <w:tcPr>
                  <w:tcW w:w="13432" w:type="dxa"/>
                  <w:gridSpan w:val="8"/>
                  <w:tcBorders>
                    <w:top w:val="single" w:color="auto" w:sz="4" w:space="0"/>
                    <w:left w:val="single" w:color="auto" w:sz="4" w:space="0"/>
                    <w:bottom w:val="single" w:color="auto" w:sz="4" w:space="0"/>
                    <w:right w:val="single" w:color="auto" w:sz="4" w:space="0"/>
                  </w:tcBorders>
                  <w:vAlign w:val="center"/>
                </w:tcPr>
                <w:p w14:paraId="200126E8">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r>
                    <w:rPr>
                      <w:rFonts w:hint="eastAsia" w:ascii="宋体" w:hAnsi="宋体" w:eastAsia="宋体" w:cs="宋体"/>
                      <w:color w:val="auto"/>
                      <w:szCs w:val="21"/>
                      <w:lang w:bidi="ar"/>
                    </w:rPr>
                    <w:t>注：括号内数值为每年</w:t>
                  </w:r>
                  <w:r>
                    <w:rPr>
                      <w:rFonts w:hint="default" w:ascii="Times New Roman" w:hAnsi="Times New Roman" w:eastAsia="宋体" w:cs="Times New Roman"/>
                      <w:color w:val="auto"/>
                      <w:szCs w:val="21"/>
                      <w:lang w:bidi="ar"/>
                    </w:rPr>
                    <w:t>11</w:t>
                  </w:r>
                  <w:r>
                    <w:rPr>
                      <w:rFonts w:hint="eastAsia" w:ascii="宋体" w:hAnsi="宋体" w:eastAsia="宋体" w:cs="宋体"/>
                      <w:color w:val="auto"/>
                      <w:szCs w:val="21"/>
                      <w:lang w:bidi="ar"/>
                    </w:rPr>
                    <w:t>月</w:t>
                  </w:r>
                  <w:r>
                    <w:rPr>
                      <w:rFonts w:hint="default" w:ascii="Times New Roman" w:hAnsi="Times New Roman" w:eastAsia="宋体" w:cs="Times New Roman"/>
                      <w:color w:val="auto"/>
                      <w:szCs w:val="21"/>
                      <w:lang w:bidi="ar"/>
                    </w:rPr>
                    <w:t>1</w:t>
                  </w:r>
                  <w:r>
                    <w:rPr>
                      <w:rFonts w:hint="eastAsia" w:ascii="宋体" w:hAnsi="宋体" w:eastAsia="宋体" w:cs="宋体"/>
                      <w:color w:val="auto"/>
                      <w:szCs w:val="21"/>
                      <w:lang w:bidi="ar"/>
                    </w:rPr>
                    <w:t>日至次年</w:t>
                  </w:r>
                  <w:r>
                    <w:rPr>
                      <w:rFonts w:hint="default" w:ascii="Times New Roman" w:hAnsi="Times New Roman" w:eastAsia="宋体" w:cs="Times New Roman"/>
                      <w:color w:val="auto"/>
                      <w:szCs w:val="21"/>
                      <w:lang w:bidi="ar"/>
                    </w:rPr>
                    <w:t>3</w:t>
                  </w:r>
                  <w:r>
                    <w:rPr>
                      <w:rFonts w:hint="eastAsia" w:ascii="宋体" w:hAnsi="宋体" w:eastAsia="宋体" w:cs="宋体"/>
                      <w:color w:val="auto"/>
                      <w:szCs w:val="21"/>
                      <w:lang w:bidi="ar"/>
                    </w:rPr>
                    <w:t>月</w:t>
                  </w:r>
                  <w:r>
                    <w:rPr>
                      <w:rFonts w:hint="default" w:ascii="Times New Roman" w:hAnsi="Times New Roman" w:eastAsia="宋体" w:cs="Times New Roman"/>
                      <w:color w:val="auto"/>
                      <w:szCs w:val="21"/>
                      <w:lang w:bidi="ar"/>
                    </w:rPr>
                    <w:t>31</w:t>
                  </w:r>
                  <w:r>
                    <w:rPr>
                      <w:rFonts w:hint="eastAsia" w:ascii="宋体" w:hAnsi="宋体" w:eastAsia="宋体" w:cs="宋体"/>
                      <w:color w:val="auto"/>
                      <w:szCs w:val="21"/>
                      <w:lang w:bidi="ar"/>
                    </w:rPr>
                    <w:t>日执行。</w:t>
                  </w:r>
                </w:p>
              </w:tc>
            </w:tr>
          </w:tbl>
          <w:p w14:paraId="2ABA693C">
            <w:pPr>
              <w:keepNext w:val="0"/>
              <w:keepLines w:val="0"/>
              <w:suppressLineNumbers w:val="0"/>
              <w:spacing w:before="0" w:beforeAutospacing="0" w:after="0" w:afterAutospacing="0" w:line="360" w:lineRule="auto"/>
              <w:ind w:left="0" w:right="0"/>
              <w:rPr>
                <w:rFonts w:hint="default" w:ascii="Times New Roman" w:hAnsi="Times New Roman" w:eastAsia="宋体" w:cs="Times New Roman"/>
                <w:b/>
                <w:bCs/>
                <w:color w:val="auto"/>
                <w:sz w:val="24"/>
              </w:rPr>
            </w:pPr>
            <w:r>
              <w:rPr>
                <w:rFonts w:hint="eastAsia" w:ascii="Times New Roman" w:hAnsi="Times New Roman" w:eastAsia="宋体" w:cs="Times New Roman"/>
                <w:b/>
                <w:bCs/>
                <w:color w:val="auto"/>
                <w:sz w:val="24"/>
              </w:rPr>
              <w:t>2.2.2治理措施及环境影响</w:t>
            </w:r>
          </w:p>
          <w:p w14:paraId="4C63F2F8">
            <w:pPr>
              <w:keepNext w:val="0"/>
              <w:keepLines w:val="0"/>
              <w:suppressLineNumbers w:val="0"/>
              <w:spacing w:before="0" w:beforeAutospacing="0" w:after="0" w:afterAutospacing="0" w:line="360" w:lineRule="auto"/>
              <w:ind w:left="0" w:right="0" w:firstLine="480" w:firstLineChars="200"/>
              <w:rPr>
                <w:rFonts w:hint="default" w:ascii="Times New Roman" w:hAnsi="Times New Roman" w:eastAsia="宋体" w:cs="Times New Roman"/>
                <w:color w:val="auto"/>
                <w:sz w:val="24"/>
              </w:rPr>
            </w:pPr>
            <w:r>
              <w:rPr>
                <w:rFonts w:hint="eastAsia" w:ascii="Times New Roman" w:hAnsi="Times New Roman" w:eastAsia="宋体" w:cs="Times New Roman"/>
                <w:color w:val="auto"/>
                <w:sz w:val="24"/>
              </w:rPr>
              <w:t>（1）本项目废水污染物排放情况见表4-</w:t>
            </w:r>
            <w:r>
              <w:rPr>
                <w:rFonts w:hint="eastAsia" w:ascii="Times New Roman" w:hAnsi="Times New Roman" w:eastAsia="宋体" w:cs="Times New Roman"/>
                <w:color w:val="auto"/>
                <w:sz w:val="24"/>
                <w:lang w:val="en-US" w:eastAsia="zh-CN"/>
              </w:rPr>
              <w:t>11</w:t>
            </w:r>
            <w:r>
              <w:rPr>
                <w:rFonts w:hint="eastAsia" w:ascii="Times New Roman" w:hAnsi="Times New Roman" w:eastAsia="宋体" w:cs="Times New Roman"/>
                <w:color w:val="auto"/>
                <w:sz w:val="24"/>
              </w:rPr>
              <w:t>至表4-1</w:t>
            </w:r>
            <w:r>
              <w:rPr>
                <w:rFonts w:hint="eastAsia" w:ascii="Times New Roman" w:hAnsi="Times New Roman" w:eastAsia="宋体" w:cs="Times New Roman"/>
                <w:color w:val="auto"/>
                <w:sz w:val="24"/>
                <w:lang w:val="en-US" w:eastAsia="zh-CN"/>
              </w:rPr>
              <w:t>4</w:t>
            </w:r>
            <w:r>
              <w:rPr>
                <w:rFonts w:hint="eastAsia" w:ascii="Times New Roman" w:hAnsi="Times New Roman" w:eastAsia="宋体" w:cs="Times New Roman"/>
                <w:color w:val="auto"/>
                <w:sz w:val="24"/>
              </w:rPr>
              <w:t>。</w:t>
            </w:r>
          </w:p>
          <w:p w14:paraId="316CFB92">
            <w:pPr>
              <w:keepNext w:val="0"/>
              <w:keepLines w:val="0"/>
              <w:suppressLineNumbers w:val="0"/>
              <w:spacing w:before="0" w:beforeAutospacing="0" w:after="0" w:afterAutospacing="0"/>
              <w:ind w:left="0" w:right="0"/>
              <w:jc w:val="center"/>
              <w:rPr>
                <w:rFonts w:hint="default" w:ascii="Times New Roman" w:hAnsi="Times New Roman" w:eastAsia="宋体" w:cs="Times New Roman"/>
                <w:b/>
                <w:bCs/>
                <w:color w:val="auto"/>
              </w:rPr>
            </w:pPr>
            <w:r>
              <w:rPr>
                <w:rFonts w:hint="eastAsia" w:ascii="Times New Roman" w:hAnsi="Times New Roman" w:eastAsia="宋体" w:cs="Times New Roman"/>
                <w:b/>
                <w:bCs/>
                <w:color w:val="auto"/>
              </w:rPr>
              <w:t>表4-</w:t>
            </w:r>
            <w:r>
              <w:rPr>
                <w:rFonts w:hint="eastAsia" w:ascii="Times New Roman" w:hAnsi="Times New Roman" w:eastAsia="宋体" w:cs="Times New Roman"/>
                <w:b/>
                <w:bCs/>
                <w:color w:val="auto"/>
                <w:lang w:val="en-US" w:eastAsia="zh-CN"/>
              </w:rPr>
              <w:t>11</w:t>
            </w:r>
            <w:r>
              <w:rPr>
                <w:rFonts w:hint="eastAsia" w:ascii="Times New Roman" w:hAnsi="Times New Roman" w:eastAsia="宋体" w:cs="Times New Roman"/>
                <w:b/>
                <w:bCs/>
                <w:color w:val="auto"/>
              </w:rPr>
              <w:t xml:space="preserve">  废水类别、污染物及污染治理设施情况表</w:t>
            </w:r>
          </w:p>
          <w:tbl>
            <w:tblPr>
              <w:tblStyle w:val="22"/>
              <w:tblW w:w="4988" w:type="pct"/>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57" w:type="dxa"/>
                <w:bottom w:w="0" w:type="dxa"/>
                <w:right w:w="57" w:type="dxa"/>
              </w:tblCellMar>
            </w:tblPr>
            <w:tblGrid>
              <w:gridCol w:w="1069"/>
              <w:gridCol w:w="1362"/>
              <w:gridCol w:w="1198"/>
              <w:gridCol w:w="1806"/>
              <w:gridCol w:w="829"/>
              <w:gridCol w:w="960"/>
              <w:gridCol w:w="756"/>
              <w:gridCol w:w="901"/>
              <w:gridCol w:w="1436"/>
              <w:gridCol w:w="2900"/>
            </w:tblGrid>
            <w:tr w14:paraId="4DA332C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57" w:type="dxa"/>
                  <w:bottom w:w="0" w:type="dxa"/>
                  <w:right w:w="57" w:type="dxa"/>
                </w:tblCellMar>
              </w:tblPrEx>
              <w:trPr>
                <w:trHeight w:val="397" w:hRule="atLeast"/>
                <w:jc w:val="center"/>
              </w:trPr>
              <w:tc>
                <w:tcPr>
                  <w:tcW w:w="404" w:type="pct"/>
                  <w:vMerge w:val="restart"/>
                  <w:tcBorders>
                    <w:tl2br w:val="nil"/>
                    <w:tr2bl w:val="nil"/>
                  </w:tcBorders>
                  <w:vAlign w:val="center"/>
                </w:tcPr>
                <w:p w14:paraId="3CFBE3F6">
                  <w:pPr>
                    <w:keepNext w:val="0"/>
                    <w:keepLines w:val="0"/>
                    <w:suppressLineNumbers w:val="0"/>
                    <w:spacing w:before="0" w:beforeAutospacing="0" w:after="0" w:afterAutospacing="0"/>
                    <w:ind w:left="0" w:right="0"/>
                    <w:jc w:val="center"/>
                    <w:rPr>
                      <w:rFonts w:hint="default" w:ascii="Times New Roman" w:hAnsi="Times New Roman" w:eastAsia="宋体" w:cs="Times New Roman"/>
                      <w:b/>
                      <w:bCs/>
                      <w:color w:val="auto"/>
                      <w:szCs w:val="21"/>
                    </w:rPr>
                  </w:pPr>
                  <w:r>
                    <w:rPr>
                      <w:rFonts w:hint="default" w:ascii="Times New Roman" w:hAnsi="Times New Roman" w:eastAsia="宋体" w:cs="Times New Roman"/>
                      <w:b/>
                      <w:bCs/>
                      <w:color w:val="auto"/>
                      <w:szCs w:val="21"/>
                    </w:rPr>
                    <w:t>废水类别</w:t>
                  </w:r>
                </w:p>
              </w:tc>
              <w:tc>
                <w:tcPr>
                  <w:tcW w:w="515" w:type="pct"/>
                  <w:vMerge w:val="restart"/>
                  <w:tcBorders>
                    <w:tl2br w:val="nil"/>
                    <w:tr2bl w:val="nil"/>
                  </w:tcBorders>
                  <w:vAlign w:val="center"/>
                </w:tcPr>
                <w:p w14:paraId="266518A1">
                  <w:pPr>
                    <w:keepNext w:val="0"/>
                    <w:keepLines w:val="0"/>
                    <w:suppressLineNumbers w:val="0"/>
                    <w:spacing w:before="0" w:beforeAutospacing="0" w:after="0" w:afterAutospacing="0"/>
                    <w:ind w:left="0" w:right="0"/>
                    <w:jc w:val="center"/>
                    <w:rPr>
                      <w:rFonts w:hint="default" w:ascii="Times New Roman" w:hAnsi="Times New Roman" w:eastAsia="宋体" w:cs="Times New Roman"/>
                      <w:b/>
                      <w:bCs/>
                      <w:color w:val="auto"/>
                      <w:szCs w:val="21"/>
                    </w:rPr>
                  </w:pPr>
                  <w:r>
                    <w:rPr>
                      <w:rFonts w:hint="default" w:ascii="Times New Roman" w:hAnsi="Times New Roman" w:eastAsia="宋体" w:cs="Times New Roman"/>
                      <w:b/>
                      <w:bCs/>
                      <w:color w:val="auto"/>
                      <w:szCs w:val="21"/>
                    </w:rPr>
                    <w:t>污染物种类</w:t>
                  </w:r>
                </w:p>
              </w:tc>
              <w:tc>
                <w:tcPr>
                  <w:tcW w:w="453" w:type="pct"/>
                  <w:vMerge w:val="restart"/>
                  <w:tcBorders>
                    <w:tl2br w:val="nil"/>
                    <w:tr2bl w:val="nil"/>
                  </w:tcBorders>
                  <w:vAlign w:val="center"/>
                </w:tcPr>
                <w:p w14:paraId="0F6E9E2D">
                  <w:pPr>
                    <w:keepNext w:val="0"/>
                    <w:keepLines w:val="0"/>
                    <w:suppressLineNumbers w:val="0"/>
                    <w:spacing w:before="0" w:beforeAutospacing="0" w:after="0" w:afterAutospacing="0"/>
                    <w:ind w:left="0" w:right="0"/>
                    <w:jc w:val="center"/>
                    <w:rPr>
                      <w:rFonts w:hint="default" w:ascii="Times New Roman" w:hAnsi="Times New Roman" w:eastAsia="宋体" w:cs="Times New Roman"/>
                      <w:b/>
                      <w:bCs/>
                      <w:color w:val="auto"/>
                      <w:szCs w:val="21"/>
                    </w:rPr>
                  </w:pPr>
                  <w:r>
                    <w:rPr>
                      <w:rFonts w:hint="default" w:ascii="Times New Roman" w:hAnsi="Times New Roman" w:eastAsia="宋体" w:cs="Times New Roman"/>
                      <w:b/>
                      <w:bCs/>
                      <w:color w:val="auto"/>
                      <w:szCs w:val="21"/>
                    </w:rPr>
                    <w:t>排放去向</w:t>
                  </w:r>
                </w:p>
              </w:tc>
              <w:tc>
                <w:tcPr>
                  <w:tcW w:w="683" w:type="pct"/>
                  <w:vMerge w:val="restart"/>
                  <w:tcBorders>
                    <w:tl2br w:val="nil"/>
                    <w:tr2bl w:val="nil"/>
                  </w:tcBorders>
                  <w:vAlign w:val="center"/>
                </w:tcPr>
                <w:p w14:paraId="21B6D4FA">
                  <w:pPr>
                    <w:keepNext w:val="0"/>
                    <w:keepLines w:val="0"/>
                    <w:suppressLineNumbers w:val="0"/>
                    <w:spacing w:before="0" w:beforeAutospacing="0" w:after="0" w:afterAutospacing="0"/>
                    <w:ind w:left="0" w:right="0"/>
                    <w:jc w:val="center"/>
                    <w:rPr>
                      <w:rFonts w:hint="default" w:ascii="Times New Roman" w:hAnsi="Times New Roman" w:eastAsia="宋体" w:cs="Times New Roman"/>
                      <w:b/>
                      <w:bCs/>
                      <w:color w:val="auto"/>
                      <w:szCs w:val="21"/>
                    </w:rPr>
                  </w:pPr>
                  <w:r>
                    <w:rPr>
                      <w:rFonts w:hint="default" w:ascii="Times New Roman" w:hAnsi="Times New Roman" w:eastAsia="宋体" w:cs="Times New Roman"/>
                      <w:b/>
                      <w:bCs/>
                      <w:color w:val="auto"/>
                      <w:szCs w:val="21"/>
                    </w:rPr>
                    <w:t>排放规律</w:t>
                  </w:r>
                </w:p>
              </w:tc>
              <w:tc>
                <w:tcPr>
                  <w:tcW w:w="962" w:type="pct"/>
                  <w:gridSpan w:val="3"/>
                  <w:tcBorders>
                    <w:tl2br w:val="nil"/>
                    <w:tr2bl w:val="nil"/>
                  </w:tcBorders>
                  <w:vAlign w:val="center"/>
                </w:tcPr>
                <w:p w14:paraId="7E15503C">
                  <w:pPr>
                    <w:keepNext w:val="0"/>
                    <w:keepLines w:val="0"/>
                    <w:suppressLineNumbers w:val="0"/>
                    <w:spacing w:before="0" w:beforeAutospacing="0" w:after="0" w:afterAutospacing="0"/>
                    <w:ind w:left="0" w:right="0"/>
                    <w:jc w:val="center"/>
                    <w:rPr>
                      <w:rFonts w:hint="default" w:ascii="Times New Roman" w:hAnsi="Times New Roman" w:eastAsia="宋体" w:cs="Times New Roman"/>
                      <w:b/>
                      <w:bCs/>
                      <w:color w:val="auto"/>
                      <w:szCs w:val="21"/>
                    </w:rPr>
                  </w:pPr>
                  <w:r>
                    <w:rPr>
                      <w:rFonts w:hint="default" w:ascii="Times New Roman" w:hAnsi="Times New Roman" w:eastAsia="宋体" w:cs="Times New Roman"/>
                      <w:b/>
                      <w:bCs/>
                      <w:color w:val="auto"/>
                      <w:szCs w:val="21"/>
                    </w:rPr>
                    <w:t>污染治理设施</w:t>
                  </w:r>
                </w:p>
              </w:tc>
              <w:tc>
                <w:tcPr>
                  <w:tcW w:w="341" w:type="pct"/>
                  <w:vMerge w:val="restart"/>
                  <w:tcBorders>
                    <w:tl2br w:val="nil"/>
                    <w:tr2bl w:val="nil"/>
                  </w:tcBorders>
                  <w:vAlign w:val="center"/>
                </w:tcPr>
                <w:p w14:paraId="12B410B3">
                  <w:pPr>
                    <w:keepNext w:val="0"/>
                    <w:keepLines w:val="0"/>
                    <w:suppressLineNumbers w:val="0"/>
                    <w:spacing w:before="0" w:beforeAutospacing="0" w:after="0" w:afterAutospacing="0"/>
                    <w:ind w:left="0" w:right="0"/>
                    <w:jc w:val="center"/>
                    <w:rPr>
                      <w:rFonts w:hint="default" w:ascii="Times New Roman" w:hAnsi="Times New Roman" w:eastAsia="宋体" w:cs="Times New Roman"/>
                      <w:b/>
                      <w:bCs/>
                      <w:color w:val="auto"/>
                      <w:szCs w:val="21"/>
                    </w:rPr>
                  </w:pPr>
                  <w:r>
                    <w:rPr>
                      <w:rFonts w:hint="default" w:ascii="Times New Roman" w:hAnsi="Times New Roman" w:eastAsia="宋体" w:cs="Times New Roman"/>
                      <w:b/>
                      <w:bCs/>
                      <w:color w:val="auto"/>
                      <w:szCs w:val="21"/>
                    </w:rPr>
                    <w:t>排放口编号</w:t>
                  </w:r>
                </w:p>
              </w:tc>
              <w:tc>
                <w:tcPr>
                  <w:tcW w:w="543" w:type="pct"/>
                  <w:vMerge w:val="restart"/>
                  <w:tcBorders>
                    <w:tl2br w:val="nil"/>
                    <w:tr2bl w:val="nil"/>
                  </w:tcBorders>
                  <w:vAlign w:val="center"/>
                </w:tcPr>
                <w:p w14:paraId="20F16318">
                  <w:pPr>
                    <w:keepNext w:val="0"/>
                    <w:keepLines w:val="0"/>
                    <w:suppressLineNumbers w:val="0"/>
                    <w:spacing w:before="0" w:beforeAutospacing="0" w:after="0" w:afterAutospacing="0"/>
                    <w:ind w:left="0" w:right="0"/>
                    <w:jc w:val="center"/>
                    <w:rPr>
                      <w:rFonts w:hint="default" w:ascii="Times New Roman" w:hAnsi="Times New Roman" w:eastAsia="宋体" w:cs="Times New Roman"/>
                      <w:b/>
                      <w:bCs/>
                      <w:color w:val="auto"/>
                      <w:szCs w:val="21"/>
                    </w:rPr>
                  </w:pPr>
                  <w:r>
                    <w:rPr>
                      <w:rFonts w:hint="default" w:ascii="Times New Roman" w:hAnsi="Times New Roman" w:eastAsia="宋体" w:cs="Times New Roman"/>
                      <w:b/>
                      <w:bCs/>
                      <w:color w:val="auto"/>
                      <w:szCs w:val="21"/>
                    </w:rPr>
                    <w:t>排放口设置是否符合要求</w:t>
                  </w:r>
                </w:p>
              </w:tc>
              <w:tc>
                <w:tcPr>
                  <w:tcW w:w="1096" w:type="pct"/>
                  <w:vMerge w:val="restart"/>
                  <w:tcBorders>
                    <w:tl2br w:val="nil"/>
                    <w:tr2bl w:val="nil"/>
                  </w:tcBorders>
                  <w:vAlign w:val="center"/>
                </w:tcPr>
                <w:p w14:paraId="67734ECE">
                  <w:pPr>
                    <w:keepNext w:val="0"/>
                    <w:keepLines w:val="0"/>
                    <w:suppressLineNumbers w:val="0"/>
                    <w:spacing w:before="0" w:beforeAutospacing="0" w:after="0" w:afterAutospacing="0"/>
                    <w:ind w:left="0" w:right="0"/>
                    <w:jc w:val="center"/>
                    <w:rPr>
                      <w:rFonts w:hint="default" w:ascii="Times New Roman" w:hAnsi="Times New Roman" w:eastAsia="宋体" w:cs="Times New Roman"/>
                      <w:b/>
                      <w:bCs/>
                      <w:color w:val="auto"/>
                      <w:szCs w:val="21"/>
                    </w:rPr>
                  </w:pPr>
                  <w:r>
                    <w:rPr>
                      <w:rFonts w:hint="default" w:ascii="Times New Roman" w:hAnsi="Times New Roman" w:eastAsia="宋体" w:cs="Times New Roman"/>
                      <w:b/>
                      <w:bCs/>
                      <w:color w:val="auto"/>
                      <w:szCs w:val="21"/>
                    </w:rPr>
                    <w:t>排放口类型</w:t>
                  </w:r>
                </w:p>
              </w:tc>
            </w:tr>
            <w:tr w14:paraId="234634B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57" w:type="dxa"/>
                  <w:bottom w:w="0" w:type="dxa"/>
                  <w:right w:w="57" w:type="dxa"/>
                </w:tblCellMar>
              </w:tblPrEx>
              <w:trPr>
                <w:trHeight w:val="397" w:hRule="atLeast"/>
                <w:jc w:val="center"/>
              </w:trPr>
              <w:tc>
                <w:tcPr>
                  <w:tcW w:w="404" w:type="pct"/>
                  <w:vMerge w:val="continue"/>
                  <w:tcBorders>
                    <w:tl2br w:val="nil"/>
                    <w:tr2bl w:val="nil"/>
                  </w:tcBorders>
                  <w:vAlign w:val="center"/>
                </w:tcPr>
                <w:p w14:paraId="08E05630">
                  <w:pPr>
                    <w:keepNext w:val="0"/>
                    <w:keepLines w:val="0"/>
                    <w:suppressLineNumbers w:val="0"/>
                    <w:spacing w:before="0" w:beforeAutospacing="0" w:after="0" w:afterAutospacing="0"/>
                    <w:ind w:left="0" w:right="0"/>
                    <w:jc w:val="center"/>
                    <w:rPr>
                      <w:rFonts w:hint="default" w:ascii="Times New Roman" w:hAnsi="Times New Roman" w:eastAsia="宋体" w:cs="Times New Roman"/>
                      <w:b/>
                      <w:bCs/>
                      <w:color w:val="auto"/>
                      <w:szCs w:val="21"/>
                    </w:rPr>
                  </w:pPr>
                </w:p>
              </w:tc>
              <w:tc>
                <w:tcPr>
                  <w:tcW w:w="515" w:type="pct"/>
                  <w:vMerge w:val="continue"/>
                  <w:tcBorders>
                    <w:tl2br w:val="nil"/>
                    <w:tr2bl w:val="nil"/>
                  </w:tcBorders>
                  <w:vAlign w:val="center"/>
                </w:tcPr>
                <w:p w14:paraId="21572B02">
                  <w:pPr>
                    <w:keepNext w:val="0"/>
                    <w:keepLines w:val="0"/>
                    <w:suppressLineNumbers w:val="0"/>
                    <w:spacing w:before="0" w:beforeAutospacing="0" w:after="0" w:afterAutospacing="0"/>
                    <w:ind w:left="0" w:right="0"/>
                    <w:jc w:val="center"/>
                    <w:rPr>
                      <w:rFonts w:hint="default" w:ascii="Times New Roman" w:hAnsi="Times New Roman" w:eastAsia="宋体" w:cs="Times New Roman"/>
                      <w:b/>
                      <w:bCs/>
                      <w:color w:val="auto"/>
                      <w:szCs w:val="21"/>
                    </w:rPr>
                  </w:pPr>
                </w:p>
              </w:tc>
              <w:tc>
                <w:tcPr>
                  <w:tcW w:w="453" w:type="pct"/>
                  <w:vMerge w:val="continue"/>
                  <w:tcBorders>
                    <w:tl2br w:val="nil"/>
                    <w:tr2bl w:val="nil"/>
                  </w:tcBorders>
                  <w:vAlign w:val="center"/>
                </w:tcPr>
                <w:p w14:paraId="2819AEB7">
                  <w:pPr>
                    <w:keepNext w:val="0"/>
                    <w:keepLines w:val="0"/>
                    <w:suppressLineNumbers w:val="0"/>
                    <w:spacing w:before="0" w:beforeAutospacing="0" w:after="0" w:afterAutospacing="0"/>
                    <w:ind w:left="0" w:right="0"/>
                    <w:jc w:val="center"/>
                    <w:rPr>
                      <w:rFonts w:hint="default" w:ascii="Times New Roman" w:hAnsi="Times New Roman" w:eastAsia="宋体" w:cs="Times New Roman"/>
                      <w:b/>
                      <w:bCs/>
                      <w:color w:val="auto"/>
                      <w:szCs w:val="21"/>
                    </w:rPr>
                  </w:pPr>
                </w:p>
              </w:tc>
              <w:tc>
                <w:tcPr>
                  <w:tcW w:w="683" w:type="pct"/>
                  <w:vMerge w:val="continue"/>
                  <w:tcBorders>
                    <w:tl2br w:val="nil"/>
                    <w:tr2bl w:val="nil"/>
                  </w:tcBorders>
                  <w:vAlign w:val="center"/>
                </w:tcPr>
                <w:p w14:paraId="7C5064CA">
                  <w:pPr>
                    <w:keepNext w:val="0"/>
                    <w:keepLines w:val="0"/>
                    <w:suppressLineNumbers w:val="0"/>
                    <w:spacing w:before="0" w:beforeAutospacing="0" w:after="0" w:afterAutospacing="0"/>
                    <w:ind w:left="0" w:right="0"/>
                    <w:jc w:val="center"/>
                    <w:rPr>
                      <w:rFonts w:hint="default" w:ascii="Times New Roman" w:hAnsi="Times New Roman" w:eastAsia="宋体" w:cs="Times New Roman"/>
                      <w:b/>
                      <w:bCs/>
                      <w:color w:val="auto"/>
                      <w:szCs w:val="21"/>
                    </w:rPr>
                  </w:pPr>
                </w:p>
              </w:tc>
              <w:tc>
                <w:tcPr>
                  <w:tcW w:w="313" w:type="pct"/>
                  <w:tcBorders>
                    <w:tl2br w:val="nil"/>
                    <w:tr2bl w:val="nil"/>
                  </w:tcBorders>
                  <w:vAlign w:val="center"/>
                </w:tcPr>
                <w:p w14:paraId="33379012">
                  <w:pPr>
                    <w:keepNext w:val="0"/>
                    <w:keepLines w:val="0"/>
                    <w:suppressLineNumbers w:val="0"/>
                    <w:spacing w:before="0" w:beforeAutospacing="0" w:after="0" w:afterAutospacing="0"/>
                    <w:ind w:left="0" w:right="0"/>
                    <w:jc w:val="center"/>
                    <w:rPr>
                      <w:rFonts w:hint="default" w:ascii="Times New Roman" w:hAnsi="Times New Roman" w:eastAsia="宋体" w:cs="Times New Roman"/>
                      <w:b/>
                      <w:bCs/>
                      <w:color w:val="auto"/>
                      <w:szCs w:val="21"/>
                    </w:rPr>
                  </w:pPr>
                  <w:r>
                    <w:rPr>
                      <w:rFonts w:hint="default" w:ascii="Times New Roman" w:hAnsi="Times New Roman" w:eastAsia="宋体" w:cs="Times New Roman"/>
                      <w:b/>
                      <w:bCs/>
                      <w:color w:val="auto"/>
                      <w:szCs w:val="21"/>
                    </w:rPr>
                    <w:t>编号</w:t>
                  </w:r>
                </w:p>
              </w:tc>
              <w:tc>
                <w:tcPr>
                  <w:tcW w:w="363" w:type="pct"/>
                  <w:tcBorders>
                    <w:tl2br w:val="nil"/>
                    <w:tr2bl w:val="nil"/>
                  </w:tcBorders>
                  <w:vAlign w:val="center"/>
                </w:tcPr>
                <w:p w14:paraId="759ED196">
                  <w:pPr>
                    <w:keepNext w:val="0"/>
                    <w:keepLines w:val="0"/>
                    <w:suppressLineNumbers w:val="0"/>
                    <w:spacing w:before="0" w:beforeAutospacing="0" w:after="0" w:afterAutospacing="0"/>
                    <w:ind w:left="0" w:right="0"/>
                    <w:jc w:val="center"/>
                    <w:rPr>
                      <w:rFonts w:hint="default" w:ascii="Times New Roman" w:hAnsi="Times New Roman" w:eastAsia="宋体" w:cs="Times New Roman"/>
                      <w:b/>
                      <w:bCs/>
                      <w:color w:val="auto"/>
                      <w:szCs w:val="21"/>
                    </w:rPr>
                  </w:pPr>
                  <w:r>
                    <w:rPr>
                      <w:rFonts w:hint="default" w:ascii="Times New Roman" w:hAnsi="Times New Roman" w:eastAsia="宋体" w:cs="Times New Roman"/>
                      <w:b/>
                      <w:bCs/>
                      <w:color w:val="auto"/>
                      <w:szCs w:val="21"/>
                    </w:rPr>
                    <w:t>名称</w:t>
                  </w:r>
                </w:p>
              </w:tc>
              <w:tc>
                <w:tcPr>
                  <w:tcW w:w="285" w:type="pct"/>
                  <w:tcBorders>
                    <w:tl2br w:val="nil"/>
                    <w:tr2bl w:val="nil"/>
                  </w:tcBorders>
                  <w:vAlign w:val="center"/>
                </w:tcPr>
                <w:p w14:paraId="68DB5988">
                  <w:pPr>
                    <w:keepNext w:val="0"/>
                    <w:keepLines w:val="0"/>
                    <w:suppressLineNumbers w:val="0"/>
                    <w:spacing w:before="0" w:beforeAutospacing="0" w:after="0" w:afterAutospacing="0"/>
                    <w:ind w:left="0" w:right="0"/>
                    <w:jc w:val="center"/>
                    <w:rPr>
                      <w:rFonts w:hint="default" w:ascii="Times New Roman" w:hAnsi="Times New Roman" w:eastAsia="宋体" w:cs="Times New Roman"/>
                      <w:b/>
                      <w:bCs/>
                      <w:color w:val="auto"/>
                      <w:szCs w:val="21"/>
                    </w:rPr>
                  </w:pPr>
                  <w:r>
                    <w:rPr>
                      <w:rFonts w:hint="default" w:ascii="Times New Roman" w:hAnsi="Times New Roman" w:eastAsia="宋体" w:cs="Times New Roman"/>
                      <w:b/>
                      <w:bCs/>
                      <w:color w:val="auto"/>
                      <w:szCs w:val="21"/>
                    </w:rPr>
                    <w:t>工艺</w:t>
                  </w:r>
                </w:p>
              </w:tc>
              <w:tc>
                <w:tcPr>
                  <w:tcW w:w="341" w:type="pct"/>
                  <w:vMerge w:val="continue"/>
                  <w:tcBorders>
                    <w:tl2br w:val="nil"/>
                    <w:tr2bl w:val="nil"/>
                  </w:tcBorders>
                  <w:vAlign w:val="center"/>
                </w:tcPr>
                <w:p w14:paraId="4206A1EE">
                  <w:pPr>
                    <w:keepNext w:val="0"/>
                    <w:keepLines w:val="0"/>
                    <w:suppressLineNumbers w:val="0"/>
                    <w:spacing w:before="0" w:beforeAutospacing="0" w:after="0" w:afterAutospacing="0"/>
                    <w:ind w:left="0" w:right="0"/>
                    <w:jc w:val="center"/>
                    <w:rPr>
                      <w:rFonts w:hint="default" w:ascii="Times New Roman" w:hAnsi="Times New Roman" w:eastAsia="宋体" w:cs="Times New Roman"/>
                      <w:b/>
                      <w:bCs/>
                      <w:color w:val="auto"/>
                      <w:szCs w:val="21"/>
                    </w:rPr>
                  </w:pPr>
                </w:p>
              </w:tc>
              <w:tc>
                <w:tcPr>
                  <w:tcW w:w="543" w:type="pct"/>
                  <w:vMerge w:val="continue"/>
                  <w:tcBorders>
                    <w:tl2br w:val="nil"/>
                    <w:tr2bl w:val="nil"/>
                  </w:tcBorders>
                  <w:vAlign w:val="center"/>
                </w:tcPr>
                <w:p w14:paraId="137EF40A">
                  <w:pPr>
                    <w:keepNext w:val="0"/>
                    <w:keepLines w:val="0"/>
                    <w:suppressLineNumbers w:val="0"/>
                    <w:spacing w:before="0" w:beforeAutospacing="0" w:after="0" w:afterAutospacing="0"/>
                    <w:ind w:left="0" w:right="0"/>
                    <w:jc w:val="center"/>
                    <w:rPr>
                      <w:rFonts w:hint="default" w:ascii="Times New Roman" w:hAnsi="Times New Roman" w:eastAsia="宋体" w:cs="Times New Roman"/>
                      <w:b/>
                      <w:bCs/>
                      <w:color w:val="auto"/>
                      <w:szCs w:val="21"/>
                    </w:rPr>
                  </w:pPr>
                </w:p>
              </w:tc>
              <w:tc>
                <w:tcPr>
                  <w:tcW w:w="1096" w:type="pct"/>
                  <w:vMerge w:val="continue"/>
                  <w:tcBorders>
                    <w:tl2br w:val="nil"/>
                    <w:tr2bl w:val="nil"/>
                  </w:tcBorders>
                  <w:vAlign w:val="center"/>
                </w:tcPr>
                <w:p w14:paraId="0864EF8A">
                  <w:pPr>
                    <w:keepNext w:val="0"/>
                    <w:keepLines w:val="0"/>
                    <w:suppressLineNumbers w:val="0"/>
                    <w:spacing w:before="0" w:beforeAutospacing="0" w:after="0" w:afterAutospacing="0"/>
                    <w:ind w:left="0" w:right="0"/>
                    <w:jc w:val="center"/>
                    <w:rPr>
                      <w:rFonts w:hint="default" w:ascii="Times New Roman" w:hAnsi="Times New Roman" w:eastAsia="宋体" w:cs="Times New Roman"/>
                      <w:b/>
                      <w:bCs/>
                      <w:color w:val="auto"/>
                      <w:szCs w:val="21"/>
                    </w:rPr>
                  </w:pPr>
                </w:p>
              </w:tc>
            </w:tr>
            <w:tr w14:paraId="5EF8151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57" w:type="dxa"/>
                  <w:bottom w:w="0" w:type="dxa"/>
                  <w:right w:w="57" w:type="dxa"/>
                </w:tblCellMar>
              </w:tblPrEx>
              <w:trPr>
                <w:trHeight w:val="397" w:hRule="atLeast"/>
                <w:jc w:val="center"/>
              </w:trPr>
              <w:tc>
                <w:tcPr>
                  <w:tcW w:w="404" w:type="pct"/>
                  <w:tcBorders>
                    <w:tl2br w:val="nil"/>
                    <w:tr2bl w:val="nil"/>
                  </w:tcBorders>
                  <w:vAlign w:val="center"/>
                </w:tcPr>
                <w:p w14:paraId="575FF637">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rPr>
                    <w:t>生活污水</w:t>
                  </w:r>
                </w:p>
              </w:tc>
              <w:tc>
                <w:tcPr>
                  <w:tcW w:w="515" w:type="pct"/>
                  <w:tcBorders>
                    <w:tl2br w:val="nil"/>
                    <w:tr2bl w:val="nil"/>
                  </w:tcBorders>
                  <w:vAlign w:val="center"/>
                </w:tcPr>
                <w:p w14:paraId="17757140">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rPr>
                    <w:t>COD</w:t>
                  </w:r>
                  <w:r>
                    <w:rPr>
                      <w:rFonts w:hint="default" w:ascii="Times New Roman" w:hAnsi="Times New Roman" w:eastAsia="宋体" w:cs="Times New Roman"/>
                      <w:color w:val="auto"/>
                      <w:szCs w:val="21"/>
                      <w:vertAlign w:val="subscript"/>
                    </w:rPr>
                    <w:t>Cr</w:t>
                  </w:r>
                  <w:r>
                    <w:rPr>
                      <w:rFonts w:hint="default" w:ascii="Times New Roman" w:hAnsi="Times New Roman" w:eastAsia="宋体" w:cs="Times New Roman"/>
                      <w:color w:val="auto"/>
                      <w:szCs w:val="21"/>
                    </w:rPr>
                    <w:t>、氨氮</w:t>
                  </w:r>
                </w:p>
              </w:tc>
              <w:tc>
                <w:tcPr>
                  <w:tcW w:w="453" w:type="pct"/>
                  <w:tcBorders>
                    <w:tl2br w:val="nil"/>
                    <w:tr2bl w:val="nil"/>
                  </w:tcBorders>
                  <w:vAlign w:val="center"/>
                </w:tcPr>
                <w:p w14:paraId="0F8672DA">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rPr>
                    <w:t>安吉清源污水处理有限公司</w:t>
                  </w:r>
                </w:p>
              </w:tc>
              <w:tc>
                <w:tcPr>
                  <w:tcW w:w="683" w:type="pct"/>
                  <w:tcBorders>
                    <w:tl2br w:val="nil"/>
                    <w:tr2bl w:val="nil"/>
                  </w:tcBorders>
                  <w:vAlign w:val="center"/>
                </w:tcPr>
                <w:p w14:paraId="33F0DD6D">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rPr>
                    <w:t>间断排放，排放期间流量不稳定且无规律，但不属于冲击型排放</w:t>
                  </w:r>
                </w:p>
              </w:tc>
              <w:tc>
                <w:tcPr>
                  <w:tcW w:w="313" w:type="pct"/>
                  <w:tcBorders>
                    <w:tl2br w:val="nil"/>
                    <w:tr2bl w:val="nil"/>
                  </w:tcBorders>
                  <w:vAlign w:val="center"/>
                </w:tcPr>
                <w:p w14:paraId="3A6B7C55">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rPr>
                    <w:t>TW001</w:t>
                  </w:r>
                </w:p>
              </w:tc>
              <w:tc>
                <w:tcPr>
                  <w:tcW w:w="363" w:type="pct"/>
                  <w:tcBorders>
                    <w:tl2br w:val="nil"/>
                    <w:tr2bl w:val="nil"/>
                  </w:tcBorders>
                  <w:vAlign w:val="center"/>
                </w:tcPr>
                <w:p w14:paraId="488DABA2">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rPr>
                    <w:t>化粪池</w:t>
                  </w:r>
                </w:p>
              </w:tc>
              <w:tc>
                <w:tcPr>
                  <w:tcW w:w="285" w:type="pct"/>
                  <w:tcBorders>
                    <w:tl2br w:val="nil"/>
                    <w:tr2bl w:val="nil"/>
                  </w:tcBorders>
                  <w:vAlign w:val="center"/>
                </w:tcPr>
                <w:p w14:paraId="7DFE4F1F">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rPr>
                    <w:t>/</w:t>
                  </w:r>
                </w:p>
              </w:tc>
              <w:tc>
                <w:tcPr>
                  <w:tcW w:w="341" w:type="pct"/>
                  <w:tcBorders>
                    <w:tl2br w:val="nil"/>
                    <w:tr2bl w:val="nil"/>
                  </w:tcBorders>
                  <w:vAlign w:val="center"/>
                </w:tcPr>
                <w:p w14:paraId="202E6055">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rPr>
                    <w:t>DW001</w:t>
                  </w:r>
                </w:p>
              </w:tc>
              <w:tc>
                <w:tcPr>
                  <w:tcW w:w="543" w:type="pct"/>
                  <w:tcBorders>
                    <w:tl2br w:val="nil"/>
                    <w:tr2bl w:val="nil"/>
                  </w:tcBorders>
                  <w:vAlign w:val="center"/>
                </w:tcPr>
                <w:p w14:paraId="2E327153">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rPr>
                    <w:t>■是</w:t>
                  </w:r>
                  <w:r>
                    <w:rPr>
                      <w:rFonts w:hint="eastAsia" w:ascii="Times New Roman" w:hAnsi="Times New Roman" w:eastAsia="宋体" w:cs="Times New Roman"/>
                      <w:color w:val="auto"/>
                      <w:szCs w:val="21"/>
                    </w:rPr>
                    <w:t xml:space="preserve"> </w:t>
                  </w:r>
                  <w:r>
                    <w:rPr>
                      <w:rFonts w:hint="default" w:ascii="Times New Roman" w:hAnsi="Times New Roman" w:eastAsia="宋体" w:cs="Times New Roman"/>
                      <w:color w:val="auto"/>
                      <w:szCs w:val="21"/>
                    </w:rPr>
                    <w:t>□否</w:t>
                  </w:r>
                </w:p>
              </w:tc>
              <w:tc>
                <w:tcPr>
                  <w:tcW w:w="1096" w:type="pct"/>
                  <w:tcBorders>
                    <w:tl2br w:val="nil"/>
                    <w:tr2bl w:val="nil"/>
                  </w:tcBorders>
                  <w:vAlign w:val="center"/>
                </w:tcPr>
                <w:p w14:paraId="60324BD3">
                  <w:pPr>
                    <w:keepNext w:val="0"/>
                    <w:keepLines w:val="0"/>
                    <w:suppressLineNumbers w:val="0"/>
                    <w:spacing w:before="0" w:beforeAutospacing="0" w:after="0" w:afterAutospacing="0"/>
                    <w:ind w:left="0" w:right="0"/>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rPr>
                    <w:t>■企业总排</w:t>
                  </w:r>
                </w:p>
                <w:p w14:paraId="0493D338">
                  <w:pPr>
                    <w:keepNext w:val="0"/>
                    <w:keepLines w:val="0"/>
                    <w:suppressLineNumbers w:val="0"/>
                    <w:spacing w:before="0" w:beforeAutospacing="0" w:after="0" w:afterAutospacing="0"/>
                    <w:ind w:left="0" w:right="0"/>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rPr>
                    <w:t>□雨水排放</w:t>
                  </w:r>
                </w:p>
                <w:p w14:paraId="361ABE98">
                  <w:pPr>
                    <w:keepNext w:val="0"/>
                    <w:keepLines w:val="0"/>
                    <w:suppressLineNumbers w:val="0"/>
                    <w:spacing w:before="0" w:beforeAutospacing="0" w:after="0" w:afterAutospacing="0"/>
                    <w:ind w:left="0" w:right="0"/>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rPr>
                    <w:t>□清净下水排放</w:t>
                  </w:r>
                </w:p>
                <w:p w14:paraId="3B0EB059">
                  <w:pPr>
                    <w:keepNext w:val="0"/>
                    <w:keepLines w:val="0"/>
                    <w:suppressLineNumbers w:val="0"/>
                    <w:spacing w:before="0" w:beforeAutospacing="0" w:after="0" w:afterAutospacing="0"/>
                    <w:ind w:left="0" w:right="0"/>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rPr>
                    <w:t>□温排水排放</w:t>
                  </w:r>
                </w:p>
                <w:p w14:paraId="3D902C16">
                  <w:pPr>
                    <w:keepNext w:val="0"/>
                    <w:keepLines w:val="0"/>
                    <w:suppressLineNumbers w:val="0"/>
                    <w:spacing w:before="0" w:beforeAutospacing="0" w:after="0" w:afterAutospacing="0"/>
                    <w:ind w:left="0" w:right="0"/>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rPr>
                    <w:t>□车间或车间处理设施排放口</w:t>
                  </w:r>
                </w:p>
              </w:tc>
            </w:tr>
            <w:tr w14:paraId="34D87BB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57" w:type="dxa"/>
                  <w:bottom w:w="0" w:type="dxa"/>
                  <w:right w:w="57" w:type="dxa"/>
                </w:tblCellMar>
              </w:tblPrEx>
              <w:trPr>
                <w:trHeight w:val="397" w:hRule="atLeast"/>
                <w:jc w:val="center"/>
              </w:trPr>
              <w:tc>
                <w:tcPr>
                  <w:tcW w:w="404" w:type="pct"/>
                  <w:tcBorders>
                    <w:tl2br w:val="nil"/>
                    <w:tr2bl w:val="nil"/>
                  </w:tcBorders>
                  <w:vAlign w:val="center"/>
                </w:tcPr>
                <w:p w14:paraId="6E4E1009">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r>
                    <w:rPr>
                      <w:rFonts w:hint="eastAsia" w:ascii="Times New Roman" w:hAnsi="Times New Roman" w:eastAsia="宋体" w:cs="Times New Roman"/>
                      <w:color w:val="auto"/>
                      <w:szCs w:val="21"/>
                      <w:lang w:val="en-US" w:eastAsia="zh-CN"/>
                    </w:rPr>
                    <w:t>间接</w:t>
                  </w:r>
                  <w:r>
                    <w:rPr>
                      <w:rFonts w:hint="default" w:ascii="Times New Roman" w:hAnsi="Times New Roman" w:eastAsia="宋体" w:cs="Times New Roman"/>
                      <w:color w:val="auto"/>
                      <w:szCs w:val="21"/>
                    </w:rPr>
                    <w:t>冷却水</w:t>
                  </w:r>
                </w:p>
              </w:tc>
              <w:tc>
                <w:tcPr>
                  <w:tcW w:w="515" w:type="pct"/>
                  <w:tcBorders>
                    <w:tl2br w:val="nil"/>
                    <w:tr2bl w:val="nil"/>
                  </w:tcBorders>
                  <w:vAlign w:val="center"/>
                </w:tcPr>
                <w:p w14:paraId="43CA0CB3">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r>
                    <w:rPr>
                      <w:rFonts w:hint="eastAsia" w:ascii="宋体" w:hAnsi="宋体" w:eastAsia="宋体" w:cs="宋体"/>
                      <w:color w:val="auto"/>
                      <w:szCs w:val="21"/>
                      <w:lang w:bidi="ar"/>
                    </w:rPr>
                    <w:t>热量</w:t>
                  </w:r>
                </w:p>
              </w:tc>
              <w:tc>
                <w:tcPr>
                  <w:tcW w:w="10933" w:type="dxa"/>
                  <w:gridSpan w:val="8"/>
                  <w:tcBorders>
                    <w:tl2br w:val="nil"/>
                    <w:tr2bl w:val="nil"/>
                  </w:tcBorders>
                  <w:vAlign w:val="center"/>
                </w:tcPr>
                <w:p w14:paraId="39560A5E">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rPr>
                    <w:t>循环使用不排放，只需定期补充新鲜水</w:t>
                  </w:r>
                </w:p>
              </w:tc>
            </w:tr>
            <w:tr w14:paraId="2D666CA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57" w:type="dxa"/>
                  <w:bottom w:w="0" w:type="dxa"/>
                  <w:right w:w="57" w:type="dxa"/>
                </w:tblCellMar>
              </w:tblPrEx>
              <w:trPr>
                <w:trHeight w:val="397" w:hRule="atLeast"/>
                <w:jc w:val="center"/>
              </w:trPr>
              <w:tc>
                <w:tcPr>
                  <w:tcW w:w="404" w:type="pct"/>
                  <w:tcBorders>
                    <w:tl2br w:val="nil"/>
                    <w:tr2bl w:val="nil"/>
                  </w:tcBorders>
                  <w:vAlign w:val="center"/>
                </w:tcPr>
                <w:p w14:paraId="700FAEFD">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rPr>
                    <w:t>喷淋废水</w:t>
                  </w:r>
                </w:p>
              </w:tc>
              <w:tc>
                <w:tcPr>
                  <w:tcW w:w="515" w:type="pct"/>
                  <w:tcBorders>
                    <w:tl2br w:val="nil"/>
                    <w:tr2bl w:val="nil"/>
                  </w:tcBorders>
                  <w:vAlign w:val="center"/>
                </w:tcPr>
                <w:p w14:paraId="24B91BFE">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lang w:bidi="ar"/>
                    </w:rPr>
                    <w:t>COD</w:t>
                  </w:r>
                  <w:r>
                    <w:rPr>
                      <w:rFonts w:hint="default" w:ascii="Times New Roman" w:hAnsi="Times New Roman" w:eastAsia="宋体" w:cs="Times New Roman"/>
                      <w:color w:val="auto"/>
                      <w:szCs w:val="21"/>
                      <w:vertAlign w:val="subscript"/>
                      <w:lang w:bidi="ar"/>
                    </w:rPr>
                    <w:t>Cr</w:t>
                  </w:r>
                  <w:r>
                    <w:rPr>
                      <w:rFonts w:hint="eastAsia" w:ascii="宋体" w:hAnsi="宋体" w:eastAsia="宋体" w:cs="宋体"/>
                      <w:color w:val="auto"/>
                      <w:szCs w:val="21"/>
                      <w:lang w:bidi="ar"/>
                    </w:rPr>
                    <w:t>、</w:t>
                  </w:r>
                  <w:r>
                    <w:rPr>
                      <w:rFonts w:hint="default" w:ascii="Times New Roman" w:hAnsi="Times New Roman" w:eastAsia="宋体" w:cs="Times New Roman"/>
                      <w:color w:val="auto"/>
                      <w:szCs w:val="21"/>
                      <w:lang w:bidi="ar"/>
                    </w:rPr>
                    <w:t>SS</w:t>
                  </w:r>
                </w:p>
              </w:tc>
              <w:tc>
                <w:tcPr>
                  <w:tcW w:w="10933" w:type="dxa"/>
                  <w:gridSpan w:val="8"/>
                  <w:tcBorders>
                    <w:tl2br w:val="nil"/>
                    <w:tr2bl w:val="nil"/>
                  </w:tcBorders>
                  <w:vAlign w:val="center"/>
                </w:tcPr>
                <w:p w14:paraId="6C73B151">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rPr>
                    <w:t>当循环到一定程度后，水中的含盐量升高，需定期更换</w:t>
                  </w:r>
                  <w:r>
                    <w:rPr>
                      <w:rFonts w:hint="eastAsia" w:ascii="Times New Roman" w:hAnsi="Times New Roman" w:eastAsia="宋体" w:cs="Times New Roman"/>
                      <w:color w:val="auto"/>
                      <w:szCs w:val="21"/>
                    </w:rPr>
                    <w:t>，更换后的喷淋废水作为危废处置</w:t>
                  </w:r>
                </w:p>
              </w:tc>
            </w:tr>
          </w:tbl>
          <w:p w14:paraId="4D63492A">
            <w:pPr>
              <w:keepNext w:val="0"/>
              <w:keepLines w:val="0"/>
              <w:suppressLineNumbers w:val="0"/>
              <w:spacing w:before="0" w:beforeAutospacing="0" w:after="0" w:afterAutospacing="0"/>
              <w:ind w:left="0" w:right="0"/>
              <w:jc w:val="center"/>
              <w:rPr>
                <w:rFonts w:hint="default" w:ascii="Times New Roman" w:hAnsi="Times New Roman" w:eastAsia="宋体" w:cs="Times New Roman"/>
                <w:b/>
                <w:bCs/>
                <w:color w:val="auto"/>
              </w:rPr>
            </w:pPr>
            <w:r>
              <w:rPr>
                <w:rFonts w:hint="eastAsia" w:ascii="Times New Roman" w:hAnsi="Times New Roman" w:eastAsia="宋体" w:cs="Times New Roman"/>
                <w:b/>
                <w:bCs/>
                <w:color w:val="auto"/>
              </w:rPr>
              <w:t>表4-1</w:t>
            </w:r>
            <w:r>
              <w:rPr>
                <w:rFonts w:hint="eastAsia" w:ascii="Times New Roman" w:hAnsi="Times New Roman" w:eastAsia="宋体" w:cs="Times New Roman"/>
                <w:b/>
                <w:bCs/>
                <w:color w:val="auto"/>
                <w:lang w:val="en-US" w:eastAsia="zh-CN"/>
              </w:rPr>
              <w:t>2</w:t>
            </w:r>
            <w:r>
              <w:rPr>
                <w:rFonts w:hint="eastAsia" w:ascii="Times New Roman" w:hAnsi="Times New Roman" w:eastAsia="宋体" w:cs="Times New Roman"/>
                <w:b/>
                <w:bCs/>
                <w:color w:val="auto"/>
              </w:rPr>
              <w:t xml:space="preserve">  废水排放口基本情况表</w:t>
            </w:r>
          </w:p>
          <w:tbl>
            <w:tblPr>
              <w:tblStyle w:val="22"/>
              <w:tblW w:w="4993" w:type="pct"/>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0" w:type="dxa"/>
                <w:bottom w:w="0" w:type="dxa"/>
                <w:right w:w="0" w:type="dxa"/>
              </w:tblCellMar>
            </w:tblPr>
            <w:tblGrid>
              <w:gridCol w:w="991"/>
              <w:gridCol w:w="1341"/>
              <w:gridCol w:w="1234"/>
              <w:gridCol w:w="963"/>
              <w:gridCol w:w="1159"/>
              <w:gridCol w:w="2048"/>
              <w:gridCol w:w="863"/>
              <w:gridCol w:w="1453"/>
              <w:gridCol w:w="796"/>
              <w:gridCol w:w="2382"/>
            </w:tblGrid>
            <w:tr w14:paraId="42BAAF0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397" w:hRule="atLeast"/>
                <w:jc w:val="center"/>
              </w:trPr>
              <w:tc>
                <w:tcPr>
                  <w:tcW w:w="374" w:type="pct"/>
                  <w:vMerge w:val="restart"/>
                  <w:tcBorders>
                    <w:tl2br w:val="nil"/>
                    <w:tr2bl w:val="nil"/>
                  </w:tcBorders>
                  <w:vAlign w:val="center"/>
                </w:tcPr>
                <w:p w14:paraId="74FAABD1">
                  <w:pPr>
                    <w:keepNext w:val="0"/>
                    <w:keepLines w:val="0"/>
                    <w:suppressLineNumbers w:val="0"/>
                    <w:spacing w:before="0" w:beforeAutospacing="0" w:after="0" w:afterAutospacing="0"/>
                    <w:ind w:left="0" w:right="0"/>
                    <w:jc w:val="center"/>
                    <w:rPr>
                      <w:rFonts w:hint="default" w:ascii="Times New Roman" w:hAnsi="Times New Roman" w:eastAsia="宋体" w:cs="Times New Roman"/>
                      <w:b/>
                      <w:bCs/>
                      <w:color w:val="auto"/>
                      <w:szCs w:val="21"/>
                    </w:rPr>
                  </w:pPr>
                  <w:r>
                    <w:rPr>
                      <w:rFonts w:hint="default" w:ascii="Times New Roman" w:hAnsi="Times New Roman" w:eastAsia="宋体" w:cs="Times New Roman"/>
                      <w:b/>
                      <w:bCs/>
                      <w:color w:val="auto"/>
                      <w:szCs w:val="21"/>
                    </w:rPr>
                    <w:t>排放口</w:t>
                  </w:r>
                </w:p>
                <w:p w14:paraId="4F9E6FC7">
                  <w:pPr>
                    <w:keepNext w:val="0"/>
                    <w:keepLines w:val="0"/>
                    <w:suppressLineNumbers w:val="0"/>
                    <w:spacing w:before="0" w:beforeAutospacing="0" w:after="0" w:afterAutospacing="0"/>
                    <w:ind w:left="0" w:right="0"/>
                    <w:jc w:val="center"/>
                    <w:rPr>
                      <w:rFonts w:hint="default" w:ascii="Times New Roman" w:hAnsi="Times New Roman" w:eastAsia="宋体" w:cs="Times New Roman"/>
                      <w:b/>
                      <w:bCs/>
                      <w:color w:val="auto"/>
                      <w:szCs w:val="21"/>
                    </w:rPr>
                  </w:pPr>
                  <w:r>
                    <w:rPr>
                      <w:rFonts w:hint="default" w:ascii="Times New Roman" w:hAnsi="Times New Roman" w:eastAsia="宋体" w:cs="Times New Roman"/>
                      <w:b/>
                      <w:bCs/>
                      <w:color w:val="auto"/>
                      <w:szCs w:val="21"/>
                    </w:rPr>
                    <w:t>编号</w:t>
                  </w:r>
                </w:p>
              </w:tc>
              <w:tc>
                <w:tcPr>
                  <w:tcW w:w="973" w:type="pct"/>
                  <w:gridSpan w:val="2"/>
                  <w:tcBorders>
                    <w:tl2br w:val="nil"/>
                    <w:tr2bl w:val="nil"/>
                  </w:tcBorders>
                  <w:vAlign w:val="center"/>
                </w:tcPr>
                <w:p w14:paraId="0C331311">
                  <w:pPr>
                    <w:keepNext w:val="0"/>
                    <w:keepLines w:val="0"/>
                    <w:suppressLineNumbers w:val="0"/>
                    <w:spacing w:before="0" w:beforeAutospacing="0" w:after="0" w:afterAutospacing="0"/>
                    <w:ind w:left="0" w:right="0"/>
                    <w:jc w:val="center"/>
                    <w:rPr>
                      <w:rFonts w:hint="default" w:ascii="Times New Roman" w:hAnsi="Times New Roman" w:eastAsia="宋体" w:cs="Times New Roman"/>
                      <w:b/>
                      <w:bCs/>
                      <w:color w:val="auto"/>
                      <w:szCs w:val="21"/>
                    </w:rPr>
                  </w:pPr>
                  <w:r>
                    <w:rPr>
                      <w:rFonts w:hint="default" w:ascii="Times New Roman" w:hAnsi="Times New Roman" w:eastAsia="宋体" w:cs="Times New Roman"/>
                      <w:b/>
                      <w:bCs/>
                      <w:color w:val="auto"/>
                      <w:szCs w:val="21"/>
                    </w:rPr>
                    <w:t>排放口地理坐标</w:t>
                  </w:r>
                </w:p>
              </w:tc>
              <w:tc>
                <w:tcPr>
                  <w:tcW w:w="363" w:type="pct"/>
                  <w:vMerge w:val="restart"/>
                  <w:tcBorders>
                    <w:tl2br w:val="nil"/>
                    <w:tr2bl w:val="nil"/>
                  </w:tcBorders>
                  <w:vAlign w:val="center"/>
                </w:tcPr>
                <w:p w14:paraId="1E6F2AA0">
                  <w:pPr>
                    <w:keepNext w:val="0"/>
                    <w:keepLines w:val="0"/>
                    <w:suppressLineNumbers w:val="0"/>
                    <w:spacing w:before="0" w:beforeAutospacing="0" w:after="0" w:afterAutospacing="0"/>
                    <w:ind w:left="0" w:right="0"/>
                    <w:jc w:val="center"/>
                    <w:rPr>
                      <w:rFonts w:hint="default" w:ascii="Times New Roman" w:hAnsi="Times New Roman" w:eastAsia="宋体" w:cs="Times New Roman"/>
                      <w:b/>
                      <w:bCs/>
                      <w:color w:val="auto"/>
                      <w:szCs w:val="21"/>
                    </w:rPr>
                  </w:pPr>
                  <w:r>
                    <w:rPr>
                      <w:rFonts w:hint="default" w:ascii="Times New Roman" w:hAnsi="Times New Roman" w:eastAsia="宋体" w:cs="Times New Roman"/>
                      <w:b/>
                      <w:bCs/>
                      <w:color w:val="auto"/>
                      <w:szCs w:val="21"/>
                    </w:rPr>
                    <w:t>废水排放量</w:t>
                  </w:r>
                </w:p>
                <w:p w14:paraId="29C2FF7D">
                  <w:pPr>
                    <w:keepNext w:val="0"/>
                    <w:keepLines w:val="0"/>
                    <w:suppressLineNumbers w:val="0"/>
                    <w:spacing w:before="0" w:beforeAutospacing="0" w:after="0" w:afterAutospacing="0"/>
                    <w:ind w:left="0" w:right="0"/>
                    <w:jc w:val="center"/>
                    <w:rPr>
                      <w:rFonts w:hint="default" w:ascii="Times New Roman" w:hAnsi="Times New Roman" w:eastAsia="宋体" w:cs="Times New Roman"/>
                      <w:b/>
                      <w:bCs/>
                      <w:color w:val="auto"/>
                      <w:szCs w:val="21"/>
                    </w:rPr>
                  </w:pPr>
                  <w:r>
                    <w:rPr>
                      <w:rFonts w:hint="default" w:ascii="Times New Roman" w:hAnsi="Times New Roman" w:eastAsia="宋体" w:cs="Times New Roman"/>
                      <w:b/>
                      <w:bCs/>
                      <w:color w:val="auto"/>
                      <w:szCs w:val="21"/>
                    </w:rPr>
                    <w:t>（万t/a）</w:t>
                  </w:r>
                </w:p>
              </w:tc>
              <w:tc>
                <w:tcPr>
                  <w:tcW w:w="437" w:type="pct"/>
                  <w:vMerge w:val="restart"/>
                  <w:tcBorders>
                    <w:tl2br w:val="nil"/>
                    <w:tr2bl w:val="nil"/>
                  </w:tcBorders>
                  <w:vAlign w:val="center"/>
                </w:tcPr>
                <w:p w14:paraId="38D01D33">
                  <w:pPr>
                    <w:keepNext w:val="0"/>
                    <w:keepLines w:val="0"/>
                    <w:suppressLineNumbers w:val="0"/>
                    <w:spacing w:before="0" w:beforeAutospacing="0" w:after="0" w:afterAutospacing="0"/>
                    <w:ind w:left="0" w:right="0"/>
                    <w:jc w:val="center"/>
                    <w:rPr>
                      <w:rFonts w:hint="default" w:ascii="Times New Roman" w:hAnsi="Times New Roman" w:eastAsia="宋体" w:cs="Times New Roman"/>
                      <w:b/>
                      <w:bCs/>
                      <w:color w:val="auto"/>
                      <w:szCs w:val="21"/>
                    </w:rPr>
                  </w:pPr>
                  <w:r>
                    <w:rPr>
                      <w:rFonts w:hint="default" w:ascii="Times New Roman" w:hAnsi="Times New Roman" w:eastAsia="宋体" w:cs="Times New Roman"/>
                      <w:b/>
                      <w:bCs/>
                      <w:color w:val="auto"/>
                      <w:szCs w:val="21"/>
                    </w:rPr>
                    <w:t>排放</w:t>
                  </w:r>
                </w:p>
                <w:p w14:paraId="22FD0F9C">
                  <w:pPr>
                    <w:keepNext w:val="0"/>
                    <w:keepLines w:val="0"/>
                    <w:suppressLineNumbers w:val="0"/>
                    <w:spacing w:before="0" w:beforeAutospacing="0" w:after="0" w:afterAutospacing="0"/>
                    <w:ind w:left="0" w:right="0"/>
                    <w:jc w:val="center"/>
                    <w:rPr>
                      <w:rFonts w:hint="default" w:ascii="Times New Roman" w:hAnsi="Times New Roman" w:eastAsia="宋体" w:cs="Times New Roman"/>
                      <w:b/>
                      <w:bCs/>
                      <w:color w:val="auto"/>
                      <w:szCs w:val="21"/>
                    </w:rPr>
                  </w:pPr>
                  <w:r>
                    <w:rPr>
                      <w:rFonts w:hint="default" w:ascii="Times New Roman" w:hAnsi="Times New Roman" w:eastAsia="宋体" w:cs="Times New Roman"/>
                      <w:b/>
                      <w:bCs/>
                      <w:color w:val="auto"/>
                      <w:szCs w:val="21"/>
                    </w:rPr>
                    <w:t>去向</w:t>
                  </w:r>
                </w:p>
              </w:tc>
              <w:tc>
                <w:tcPr>
                  <w:tcW w:w="774" w:type="pct"/>
                  <w:vMerge w:val="restart"/>
                  <w:tcBorders>
                    <w:tl2br w:val="nil"/>
                    <w:tr2bl w:val="nil"/>
                  </w:tcBorders>
                  <w:vAlign w:val="center"/>
                </w:tcPr>
                <w:p w14:paraId="614CA498">
                  <w:pPr>
                    <w:keepNext w:val="0"/>
                    <w:keepLines w:val="0"/>
                    <w:suppressLineNumbers w:val="0"/>
                    <w:spacing w:before="0" w:beforeAutospacing="0" w:after="0" w:afterAutospacing="0"/>
                    <w:ind w:left="0" w:right="0"/>
                    <w:jc w:val="center"/>
                    <w:rPr>
                      <w:rFonts w:hint="default" w:ascii="Times New Roman" w:hAnsi="Times New Roman" w:eastAsia="宋体" w:cs="Times New Roman"/>
                      <w:b/>
                      <w:bCs/>
                      <w:color w:val="auto"/>
                      <w:szCs w:val="21"/>
                    </w:rPr>
                  </w:pPr>
                  <w:r>
                    <w:rPr>
                      <w:rFonts w:hint="default" w:ascii="Times New Roman" w:hAnsi="Times New Roman" w:eastAsia="宋体" w:cs="Times New Roman"/>
                      <w:b/>
                      <w:bCs/>
                      <w:color w:val="auto"/>
                      <w:szCs w:val="21"/>
                    </w:rPr>
                    <w:t>排放规律</w:t>
                  </w:r>
                </w:p>
              </w:tc>
              <w:tc>
                <w:tcPr>
                  <w:tcW w:w="326" w:type="pct"/>
                  <w:vMerge w:val="restart"/>
                  <w:tcBorders>
                    <w:tl2br w:val="nil"/>
                    <w:tr2bl w:val="nil"/>
                  </w:tcBorders>
                  <w:vAlign w:val="center"/>
                </w:tcPr>
                <w:p w14:paraId="54533BA7">
                  <w:pPr>
                    <w:keepNext w:val="0"/>
                    <w:keepLines w:val="0"/>
                    <w:suppressLineNumbers w:val="0"/>
                    <w:spacing w:before="0" w:beforeAutospacing="0" w:after="0" w:afterAutospacing="0"/>
                    <w:ind w:left="0" w:right="0"/>
                    <w:jc w:val="center"/>
                    <w:rPr>
                      <w:rFonts w:hint="default" w:ascii="Times New Roman" w:hAnsi="Times New Roman" w:eastAsia="宋体" w:cs="Times New Roman"/>
                      <w:b/>
                      <w:bCs/>
                      <w:color w:val="auto"/>
                      <w:szCs w:val="21"/>
                    </w:rPr>
                  </w:pPr>
                  <w:r>
                    <w:rPr>
                      <w:rFonts w:hint="default" w:ascii="Times New Roman" w:hAnsi="Times New Roman" w:eastAsia="宋体" w:cs="Times New Roman"/>
                      <w:b/>
                      <w:bCs/>
                      <w:color w:val="auto"/>
                      <w:szCs w:val="21"/>
                    </w:rPr>
                    <w:t>间歇排放时段</w:t>
                  </w:r>
                </w:p>
              </w:tc>
              <w:tc>
                <w:tcPr>
                  <w:tcW w:w="1750" w:type="pct"/>
                  <w:gridSpan w:val="3"/>
                  <w:tcBorders>
                    <w:tl2br w:val="nil"/>
                    <w:tr2bl w:val="nil"/>
                  </w:tcBorders>
                  <w:vAlign w:val="center"/>
                </w:tcPr>
                <w:p w14:paraId="182446BE">
                  <w:pPr>
                    <w:keepNext w:val="0"/>
                    <w:keepLines w:val="0"/>
                    <w:suppressLineNumbers w:val="0"/>
                    <w:spacing w:before="0" w:beforeAutospacing="0" w:after="0" w:afterAutospacing="0"/>
                    <w:ind w:left="0" w:right="0"/>
                    <w:jc w:val="center"/>
                    <w:rPr>
                      <w:rFonts w:hint="default" w:ascii="Times New Roman" w:hAnsi="Times New Roman" w:eastAsia="宋体" w:cs="Times New Roman"/>
                      <w:b/>
                      <w:bCs/>
                      <w:color w:val="auto"/>
                      <w:szCs w:val="21"/>
                    </w:rPr>
                  </w:pPr>
                  <w:r>
                    <w:rPr>
                      <w:rFonts w:hint="default" w:ascii="Times New Roman" w:hAnsi="Times New Roman" w:eastAsia="宋体" w:cs="Times New Roman"/>
                      <w:b/>
                      <w:bCs/>
                      <w:color w:val="auto"/>
                      <w:szCs w:val="21"/>
                    </w:rPr>
                    <w:t>受纳污水处理厂资讯</w:t>
                  </w:r>
                </w:p>
              </w:tc>
            </w:tr>
            <w:tr w14:paraId="14AE9AA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397" w:hRule="atLeast"/>
                <w:jc w:val="center"/>
              </w:trPr>
              <w:tc>
                <w:tcPr>
                  <w:tcW w:w="374" w:type="pct"/>
                  <w:vMerge w:val="continue"/>
                  <w:tcBorders>
                    <w:tl2br w:val="nil"/>
                    <w:tr2bl w:val="nil"/>
                  </w:tcBorders>
                  <w:vAlign w:val="center"/>
                </w:tcPr>
                <w:p w14:paraId="0ED98EBD">
                  <w:pPr>
                    <w:keepNext w:val="0"/>
                    <w:keepLines w:val="0"/>
                    <w:suppressLineNumbers w:val="0"/>
                    <w:spacing w:before="0" w:beforeAutospacing="0" w:after="0" w:afterAutospacing="0"/>
                    <w:ind w:left="0" w:right="0"/>
                    <w:jc w:val="center"/>
                    <w:rPr>
                      <w:rFonts w:hint="default" w:ascii="Times New Roman" w:hAnsi="Times New Roman" w:eastAsia="宋体" w:cs="Times New Roman"/>
                      <w:b/>
                      <w:bCs/>
                      <w:color w:val="auto"/>
                      <w:szCs w:val="21"/>
                    </w:rPr>
                  </w:pPr>
                </w:p>
              </w:tc>
              <w:tc>
                <w:tcPr>
                  <w:tcW w:w="506" w:type="pct"/>
                  <w:tcBorders>
                    <w:tl2br w:val="nil"/>
                    <w:tr2bl w:val="nil"/>
                  </w:tcBorders>
                  <w:vAlign w:val="center"/>
                </w:tcPr>
                <w:p w14:paraId="4B45B16A">
                  <w:pPr>
                    <w:keepNext w:val="0"/>
                    <w:keepLines w:val="0"/>
                    <w:suppressLineNumbers w:val="0"/>
                    <w:spacing w:before="0" w:beforeAutospacing="0" w:after="0" w:afterAutospacing="0"/>
                    <w:ind w:left="0" w:right="0"/>
                    <w:jc w:val="center"/>
                    <w:rPr>
                      <w:rFonts w:hint="default" w:ascii="Times New Roman" w:hAnsi="Times New Roman" w:eastAsia="宋体" w:cs="Times New Roman"/>
                      <w:b/>
                      <w:bCs/>
                      <w:color w:val="auto"/>
                      <w:szCs w:val="21"/>
                    </w:rPr>
                  </w:pPr>
                  <w:r>
                    <w:rPr>
                      <w:rFonts w:hint="default" w:ascii="Times New Roman" w:hAnsi="Times New Roman" w:eastAsia="宋体" w:cs="Times New Roman"/>
                      <w:b/>
                      <w:bCs/>
                      <w:color w:val="auto"/>
                      <w:szCs w:val="21"/>
                    </w:rPr>
                    <w:t>经度</w:t>
                  </w:r>
                </w:p>
              </w:tc>
              <w:tc>
                <w:tcPr>
                  <w:tcW w:w="466" w:type="pct"/>
                  <w:tcBorders>
                    <w:tl2br w:val="nil"/>
                    <w:tr2bl w:val="nil"/>
                  </w:tcBorders>
                  <w:vAlign w:val="center"/>
                </w:tcPr>
                <w:p w14:paraId="4BB417A8">
                  <w:pPr>
                    <w:keepNext w:val="0"/>
                    <w:keepLines w:val="0"/>
                    <w:suppressLineNumbers w:val="0"/>
                    <w:spacing w:before="0" w:beforeAutospacing="0" w:after="0" w:afterAutospacing="0"/>
                    <w:ind w:left="0" w:right="0"/>
                    <w:jc w:val="center"/>
                    <w:rPr>
                      <w:rFonts w:hint="default" w:ascii="Times New Roman" w:hAnsi="Times New Roman" w:eastAsia="宋体" w:cs="Times New Roman"/>
                      <w:b/>
                      <w:bCs/>
                      <w:color w:val="auto"/>
                      <w:szCs w:val="21"/>
                    </w:rPr>
                  </w:pPr>
                  <w:r>
                    <w:rPr>
                      <w:rFonts w:hint="default" w:ascii="Times New Roman" w:hAnsi="Times New Roman" w:eastAsia="宋体" w:cs="Times New Roman"/>
                      <w:b/>
                      <w:bCs/>
                      <w:color w:val="auto"/>
                      <w:szCs w:val="21"/>
                    </w:rPr>
                    <w:t>纬度</w:t>
                  </w:r>
                </w:p>
              </w:tc>
              <w:tc>
                <w:tcPr>
                  <w:tcW w:w="363" w:type="pct"/>
                  <w:vMerge w:val="continue"/>
                  <w:tcBorders>
                    <w:tl2br w:val="nil"/>
                    <w:tr2bl w:val="nil"/>
                  </w:tcBorders>
                  <w:vAlign w:val="center"/>
                </w:tcPr>
                <w:p w14:paraId="56FC744D">
                  <w:pPr>
                    <w:keepNext w:val="0"/>
                    <w:keepLines w:val="0"/>
                    <w:suppressLineNumbers w:val="0"/>
                    <w:spacing w:before="0" w:beforeAutospacing="0" w:after="0" w:afterAutospacing="0"/>
                    <w:ind w:left="0" w:right="0"/>
                    <w:jc w:val="center"/>
                    <w:rPr>
                      <w:rFonts w:hint="default" w:ascii="Times New Roman" w:hAnsi="Times New Roman" w:eastAsia="宋体" w:cs="Times New Roman"/>
                      <w:b/>
                      <w:bCs/>
                      <w:color w:val="auto"/>
                      <w:szCs w:val="21"/>
                    </w:rPr>
                  </w:pPr>
                </w:p>
              </w:tc>
              <w:tc>
                <w:tcPr>
                  <w:tcW w:w="437" w:type="pct"/>
                  <w:vMerge w:val="continue"/>
                  <w:tcBorders>
                    <w:tl2br w:val="nil"/>
                    <w:tr2bl w:val="nil"/>
                  </w:tcBorders>
                  <w:vAlign w:val="center"/>
                </w:tcPr>
                <w:p w14:paraId="2E0699DF">
                  <w:pPr>
                    <w:keepNext w:val="0"/>
                    <w:keepLines w:val="0"/>
                    <w:suppressLineNumbers w:val="0"/>
                    <w:spacing w:before="0" w:beforeAutospacing="0" w:after="0" w:afterAutospacing="0"/>
                    <w:ind w:left="0" w:right="0"/>
                    <w:jc w:val="center"/>
                    <w:rPr>
                      <w:rFonts w:hint="default" w:ascii="Times New Roman" w:hAnsi="Times New Roman" w:eastAsia="宋体" w:cs="Times New Roman"/>
                      <w:b/>
                      <w:bCs/>
                      <w:color w:val="auto"/>
                      <w:szCs w:val="21"/>
                    </w:rPr>
                  </w:pPr>
                </w:p>
              </w:tc>
              <w:tc>
                <w:tcPr>
                  <w:tcW w:w="774" w:type="pct"/>
                  <w:vMerge w:val="continue"/>
                  <w:tcBorders>
                    <w:tl2br w:val="nil"/>
                    <w:tr2bl w:val="nil"/>
                  </w:tcBorders>
                  <w:vAlign w:val="center"/>
                </w:tcPr>
                <w:p w14:paraId="4E49C911">
                  <w:pPr>
                    <w:keepNext w:val="0"/>
                    <w:keepLines w:val="0"/>
                    <w:suppressLineNumbers w:val="0"/>
                    <w:spacing w:before="0" w:beforeAutospacing="0" w:after="0" w:afterAutospacing="0"/>
                    <w:ind w:left="0" w:right="0"/>
                    <w:jc w:val="center"/>
                    <w:rPr>
                      <w:rFonts w:hint="default" w:ascii="Times New Roman" w:hAnsi="Times New Roman" w:eastAsia="宋体" w:cs="Times New Roman"/>
                      <w:b/>
                      <w:bCs/>
                      <w:color w:val="auto"/>
                      <w:szCs w:val="21"/>
                    </w:rPr>
                  </w:pPr>
                </w:p>
              </w:tc>
              <w:tc>
                <w:tcPr>
                  <w:tcW w:w="326" w:type="pct"/>
                  <w:vMerge w:val="continue"/>
                  <w:tcBorders>
                    <w:tl2br w:val="nil"/>
                    <w:tr2bl w:val="nil"/>
                  </w:tcBorders>
                  <w:vAlign w:val="center"/>
                </w:tcPr>
                <w:p w14:paraId="7FB36ED5">
                  <w:pPr>
                    <w:keepNext w:val="0"/>
                    <w:keepLines w:val="0"/>
                    <w:suppressLineNumbers w:val="0"/>
                    <w:spacing w:before="0" w:beforeAutospacing="0" w:after="0" w:afterAutospacing="0"/>
                    <w:ind w:left="0" w:right="0"/>
                    <w:jc w:val="center"/>
                    <w:rPr>
                      <w:rFonts w:hint="default" w:ascii="Times New Roman" w:hAnsi="Times New Roman" w:eastAsia="宋体" w:cs="Times New Roman"/>
                      <w:b/>
                      <w:bCs/>
                      <w:color w:val="auto"/>
                      <w:szCs w:val="21"/>
                    </w:rPr>
                  </w:pPr>
                </w:p>
              </w:tc>
              <w:tc>
                <w:tcPr>
                  <w:tcW w:w="548" w:type="pct"/>
                  <w:tcBorders>
                    <w:tl2br w:val="nil"/>
                    <w:tr2bl w:val="nil"/>
                  </w:tcBorders>
                  <w:vAlign w:val="center"/>
                </w:tcPr>
                <w:p w14:paraId="21AFE388">
                  <w:pPr>
                    <w:keepNext w:val="0"/>
                    <w:keepLines w:val="0"/>
                    <w:suppressLineNumbers w:val="0"/>
                    <w:spacing w:before="0" w:beforeAutospacing="0" w:after="0" w:afterAutospacing="0"/>
                    <w:ind w:left="0" w:right="0"/>
                    <w:jc w:val="center"/>
                    <w:rPr>
                      <w:rFonts w:hint="default" w:ascii="Times New Roman" w:hAnsi="Times New Roman" w:eastAsia="宋体" w:cs="Times New Roman"/>
                      <w:b/>
                      <w:bCs/>
                      <w:color w:val="auto"/>
                      <w:szCs w:val="21"/>
                    </w:rPr>
                  </w:pPr>
                  <w:r>
                    <w:rPr>
                      <w:rFonts w:hint="default" w:ascii="Times New Roman" w:hAnsi="Times New Roman" w:eastAsia="宋体" w:cs="Times New Roman"/>
                      <w:b/>
                      <w:bCs/>
                      <w:color w:val="auto"/>
                      <w:szCs w:val="21"/>
                    </w:rPr>
                    <w:t>名称</w:t>
                  </w:r>
                </w:p>
              </w:tc>
              <w:tc>
                <w:tcPr>
                  <w:tcW w:w="301" w:type="pct"/>
                  <w:tcBorders>
                    <w:tl2br w:val="nil"/>
                    <w:tr2bl w:val="nil"/>
                  </w:tcBorders>
                  <w:vAlign w:val="center"/>
                </w:tcPr>
                <w:p w14:paraId="73B89F83">
                  <w:pPr>
                    <w:keepNext w:val="0"/>
                    <w:keepLines w:val="0"/>
                    <w:suppressLineNumbers w:val="0"/>
                    <w:spacing w:before="0" w:beforeAutospacing="0" w:after="0" w:afterAutospacing="0"/>
                    <w:ind w:left="0" w:right="0"/>
                    <w:jc w:val="center"/>
                    <w:rPr>
                      <w:rFonts w:hint="default" w:ascii="Times New Roman" w:hAnsi="Times New Roman" w:eastAsia="宋体" w:cs="Times New Roman"/>
                      <w:b/>
                      <w:bCs/>
                      <w:color w:val="auto"/>
                      <w:szCs w:val="21"/>
                    </w:rPr>
                  </w:pPr>
                  <w:r>
                    <w:rPr>
                      <w:rFonts w:hint="default" w:ascii="Times New Roman" w:hAnsi="Times New Roman" w:eastAsia="宋体" w:cs="Times New Roman"/>
                      <w:b/>
                      <w:bCs/>
                      <w:color w:val="auto"/>
                      <w:szCs w:val="21"/>
                    </w:rPr>
                    <w:t>污染物种类</w:t>
                  </w:r>
                </w:p>
              </w:tc>
              <w:tc>
                <w:tcPr>
                  <w:tcW w:w="900" w:type="pct"/>
                  <w:tcBorders>
                    <w:tl2br w:val="nil"/>
                    <w:tr2bl w:val="nil"/>
                  </w:tcBorders>
                  <w:vAlign w:val="center"/>
                </w:tcPr>
                <w:p w14:paraId="0CCC4CE5">
                  <w:pPr>
                    <w:keepNext w:val="0"/>
                    <w:keepLines w:val="0"/>
                    <w:suppressLineNumbers w:val="0"/>
                    <w:spacing w:before="0" w:beforeAutospacing="0" w:after="0" w:afterAutospacing="0"/>
                    <w:ind w:left="0" w:right="0"/>
                    <w:jc w:val="center"/>
                    <w:rPr>
                      <w:rFonts w:hint="default" w:ascii="Times New Roman" w:hAnsi="Times New Roman" w:eastAsia="宋体" w:cs="Times New Roman"/>
                      <w:b/>
                      <w:bCs/>
                      <w:color w:val="auto"/>
                      <w:szCs w:val="21"/>
                    </w:rPr>
                  </w:pPr>
                  <w:r>
                    <w:rPr>
                      <w:rFonts w:hint="default" w:ascii="Times New Roman" w:hAnsi="Times New Roman" w:eastAsia="宋体" w:cs="Times New Roman"/>
                      <w:b/>
                      <w:bCs/>
                      <w:color w:val="auto"/>
                      <w:szCs w:val="21"/>
                    </w:rPr>
                    <w:t>国家或地方污染物排放标准浓度限值（mg/L）</w:t>
                  </w:r>
                </w:p>
              </w:tc>
            </w:tr>
            <w:tr w14:paraId="5C42A3A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397" w:hRule="atLeast"/>
                <w:jc w:val="center"/>
              </w:trPr>
              <w:tc>
                <w:tcPr>
                  <w:tcW w:w="374" w:type="pct"/>
                  <w:vMerge w:val="restart"/>
                  <w:tcBorders>
                    <w:tl2br w:val="nil"/>
                    <w:tr2bl w:val="nil"/>
                  </w:tcBorders>
                  <w:vAlign w:val="center"/>
                </w:tcPr>
                <w:p w14:paraId="09709C25">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rPr>
                    <w:t>DW001</w:t>
                  </w:r>
                </w:p>
              </w:tc>
              <w:tc>
                <w:tcPr>
                  <w:tcW w:w="506" w:type="pct"/>
                  <w:vMerge w:val="restart"/>
                  <w:tcBorders>
                    <w:tl2br w:val="nil"/>
                    <w:tr2bl w:val="nil"/>
                  </w:tcBorders>
                  <w:vAlign w:val="center"/>
                </w:tcPr>
                <w:p w14:paraId="7DD2FAA1">
                  <w:pPr>
                    <w:keepNext w:val="0"/>
                    <w:keepLines w:val="0"/>
                    <w:suppressLineNumbers w:val="0"/>
                    <w:spacing w:before="0" w:beforeAutospacing="0" w:after="0" w:afterAutospacing="0" w:line="240" w:lineRule="auto"/>
                    <w:ind w:left="0" w:right="0"/>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lang w:val="en-US" w:eastAsia="zh-CN"/>
                    </w:rPr>
                    <w:t>119°39'00.623"</w:t>
                  </w:r>
                </w:p>
              </w:tc>
              <w:tc>
                <w:tcPr>
                  <w:tcW w:w="466" w:type="pct"/>
                  <w:vMerge w:val="restart"/>
                  <w:tcBorders>
                    <w:tl2br w:val="nil"/>
                    <w:tr2bl w:val="nil"/>
                  </w:tcBorders>
                  <w:vAlign w:val="center"/>
                </w:tcPr>
                <w:p w14:paraId="1433E6B9">
                  <w:pPr>
                    <w:keepNext w:val="0"/>
                    <w:keepLines w:val="0"/>
                    <w:suppressLineNumbers w:val="0"/>
                    <w:spacing w:before="0" w:beforeAutospacing="0" w:after="0" w:afterAutospacing="0" w:line="240" w:lineRule="auto"/>
                    <w:ind w:left="0" w:right="0"/>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lang w:val="en-US" w:eastAsia="zh-CN"/>
                    </w:rPr>
                    <w:t>30°47'03.952"</w:t>
                  </w:r>
                </w:p>
              </w:tc>
              <w:tc>
                <w:tcPr>
                  <w:tcW w:w="363" w:type="pct"/>
                  <w:vMerge w:val="restart"/>
                  <w:tcBorders>
                    <w:tl2br w:val="nil"/>
                    <w:tr2bl w:val="nil"/>
                  </w:tcBorders>
                  <w:vAlign w:val="center"/>
                </w:tcPr>
                <w:p w14:paraId="2626F9C9">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lang w:val="en-US" w:eastAsia="zh-CN"/>
                    </w:rPr>
                  </w:pPr>
                  <w:r>
                    <w:rPr>
                      <w:rFonts w:hint="eastAsia" w:ascii="Times New Roman" w:hAnsi="Times New Roman" w:eastAsia="宋体" w:cs="Times New Roman"/>
                      <w:color w:val="0000E1"/>
                      <w:szCs w:val="21"/>
                      <w:lang w:val="en-US" w:eastAsia="zh-CN"/>
                    </w:rPr>
                    <w:t>0.12</w:t>
                  </w:r>
                </w:p>
              </w:tc>
              <w:tc>
                <w:tcPr>
                  <w:tcW w:w="437" w:type="pct"/>
                  <w:vMerge w:val="restart"/>
                  <w:tcBorders>
                    <w:tl2br w:val="nil"/>
                    <w:tr2bl w:val="nil"/>
                  </w:tcBorders>
                  <w:vAlign w:val="center"/>
                </w:tcPr>
                <w:p w14:paraId="40495ECC">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rPr>
                    <w:t>安吉清源污水处理有限公司</w:t>
                  </w:r>
                </w:p>
              </w:tc>
              <w:tc>
                <w:tcPr>
                  <w:tcW w:w="774" w:type="pct"/>
                  <w:vMerge w:val="restart"/>
                  <w:tcBorders>
                    <w:tl2br w:val="nil"/>
                    <w:tr2bl w:val="nil"/>
                  </w:tcBorders>
                  <w:vAlign w:val="center"/>
                </w:tcPr>
                <w:p w14:paraId="59C69C96">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rPr>
                    <w:t>间断排放，排放期间流量不稳定且无规律，但不属于冲击型排放</w:t>
                  </w:r>
                </w:p>
              </w:tc>
              <w:tc>
                <w:tcPr>
                  <w:tcW w:w="326" w:type="pct"/>
                  <w:vMerge w:val="restart"/>
                  <w:tcBorders>
                    <w:tl2br w:val="nil"/>
                    <w:tr2bl w:val="nil"/>
                  </w:tcBorders>
                  <w:vAlign w:val="center"/>
                </w:tcPr>
                <w:p w14:paraId="33721696">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rPr>
                    <w:t>/</w:t>
                  </w:r>
                </w:p>
              </w:tc>
              <w:tc>
                <w:tcPr>
                  <w:tcW w:w="548" w:type="pct"/>
                  <w:vMerge w:val="restart"/>
                  <w:tcBorders>
                    <w:tl2br w:val="nil"/>
                    <w:tr2bl w:val="nil"/>
                  </w:tcBorders>
                  <w:vAlign w:val="center"/>
                </w:tcPr>
                <w:p w14:paraId="3AD94824">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rPr>
                    <w:t>安吉清源污水处理有限公司</w:t>
                  </w:r>
                </w:p>
              </w:tc>
              <w:tc>
                <w:tcPr>
                  <w:tcW w:w="301" w:type="pct"/>
                  <w:tcBorders>
                    <w:tl2br w:val="nil"/>
                    <w:tr2bl w:val="nil"/>
                  </w:tcBorders>
                  <w:vAlign w:val="center"/>
                </w:tcPr>
                <w:p w14:paraId="3CB16A24">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rPr>
                    <w:t>COD</w:t>
                  </w:r>
                  <w:r>
                    <w:rPr>
                      <w:rFonts w:hint="default" w:ascii="Times New Roman" w:hAnsi="Times New Roman" w:eastAsia="宋体" w:cs="Times New Roman"/>
                      <w:color w:val="auto"/>
                      <w:szCs w:val="21"/>
                      <w:vertAlign w:val="subscript"/>
                    </w:rPr>
                    <w:t>Cr</w:t>
                  </w:r>
                </w:p>
              </w:tc>
              <w:tc>
                <w:tcPr>
                  <w:tcW w:w="900" w:type="pct"/>
                  <w:tcBorders>
                    <w:tl2br w:val="nil"/>
                    <w:tr2bl w:val="nil"/>
                  </w:tcBorders>
                  <w:vAlign w:val="center"/>
                </w:tcPr>
                <w:p w14:paraId="7D41B17A">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rPr>
                    <w:t>≤</w:t>
                  </w:r>
                  <w:r>
                    <w:rPr>
                      <w:rFonts w:hint="eastAsia" w:ascii="Times New Roman" w:hAnsi="Times New Roman" w:eastAsia="宋体" w:cs="Times New Roman"/>
                      <w:color w:val="auto"/>
                      <w:szCs w:val="21"/>
                    </w:rPr>
                    <w:t>30</w:t>
                  </w:r>
                </w:p>
              </w:tc>
            </w:tr>
            <w:tr w14:paraId="079B4AA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397" w:hRule="atLeast"/>
                <w:jc w:val="center"/>
              </w:trPr>
              <w:tc>
                <w:tcPr>
                  <w:tcW w:w="374" w:type="pct"/>
                  <w:vMerge w:val="continue"/>
                  <w:tcBorders>
                    <w:tl2br w:val="nil"/>
                    <w:tr2bl w:val="nil"/>
                  </w:tcBorders>
                  <w:vAlign w:val="center"/>
                </w:tcPr>
                <w:p w14:paraId="038E4EEA">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p>
              </w:tc>
              <w:tc>
                <w:tcPr>
                  <w:tcW w:w="506" w:type="pct"/>
                  <w:vMerge w:val="continue"/>
                  <w:tcBorders>
                    <w:tl2br w:val="nil"/>
                    <w:tr2bl w:val="nil"/>
                  </w:tcBorders>
                  <w:vAlign w:val="center"/>
                </w:tcPr>
                <w:p w14:paraId="05760E6D">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p>
              </w:tc>
              <w:tc>
                <w:tcPr>
                  <w:tcW w:w="466" w:type="pct"/>
                  <w:vMerge w:val="continue"/>
                  <w:tcBorders>
                    <w:tl2br w:val="nil"/>
                    <w:tr2bl w:val="nil"/>
                  </w:tcBorders>
                  <w:vAlign w:val="center"/>
                </w:tcPr>
                <w:p w14:paraId="1D140D8B">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p>
              </w:tc>
              <w:tc>
                <w:tcPr>
                  <w:tcW w:w="363" w:type="pct"/>
                  <w:vMerge w:val="continue"/>
                  <w:tcBorders>
                    <w:tl2br w:val="nil"/>
                    <w:tr2bl w:val="nil"/>
                  </w:tcBorders>
                  <w:vAlign w:val="center"/>
                </w:tcPr>
                <w:p w14:paraId="25584BD7">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p>
              </w:tc>
              <w:tc>
                <w:tcPr>
                  <w:tcW w:w="437" w:type="pct"/>
                  <w:vMerge w:val="continue"/>
                  <w:tcBorders>
                    <w:tl2br w:val="nil"/>
                    <w:tr2bl w:val="nil"/>
                  </w:tcBorders>
                  <w:vAlign w:val="center"/>
                </w:tcPr>
                <w:p w14:paraId="47622F60">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p>
              </w:tc>
              <w:tc>
                <w:tcPr>
                  <w:tcW w:w="774" w:type="pct"/>
                  <w:vMerge w:val="continue"/>
                  <w:tcBorders>
                    <w:tl2br w:val="nil"/>
                    <w:tr2bl w:val="nil"/>
                  </w:tcBorders>
                  <w:vAlign w:val="center"/>
                </w:tcPr>
                <w:p w14:paraId="1CC05F87">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p>
              </w:tc>
              <w:tc>
                <w:tcPr>
                  <w:tcW w:w="326" w:type="pct"/>
                  <w:vMerge w:val="continue"/>
                  <w:tcBorders>
                    <w:tl2br w:val="nil"/>
                    <w:tr2bl w:val="nil"/>
                  </w:tcBorders>
                  <w:vAlign w:val="center"/>
                </w:tcPr>
                <w:p w14:paraId="1B1D75DE">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p>
              </w:tc>
              <w:tc>
                <w:tcPr>
                  <w:tcW w:w="548" w:type="pct"/>
                  <w:vMerge w:val="continue"/>
                  <w:tcBorders>
                    <w:tl2br w:val="nil"/>
                    <w:tr2bl w:val="nil"/>
                  </w:tcBorders>
                  <w:vAlign w:val="center"/>
                </w:tcPr>
                <w:p w14:paraId="543F857D">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p>
              </w:tc>
              <w:tc>
                <w:tcPr>
                  <w:tcW w:w="301" w:type="pct"/>
                  <w:tcBorders>
                    <w:tl2br w:val="nil"/>
                    <w:tr2bl w:val="nil"/>
                  </w:tcBorders>
                  <w:vAlign w:val="center"/>
                </w:tcPr>
                <w:p w14:paraId="23F0DCF6">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rPr>
                    <w:t>氨氮</w:t>
                  </w:r>
                </w:p>
              </w:tc>
              <w:tc>
                <w:tcPr>
                  <w:tcW w:w="900" w:type="pct"/>
                  <w:tcBorders>
                    <w:tl2br w:val="nil"/>
                    <w:tr2bl w:val="nil"/>
                  </w:tcBorders>
                  <w:vAlign w:val="center"/>
                </w:tcPr>
                <w:p w14:paraId="6A5986F5">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rPr>
                    <w:t>≤</w:t>
                  </w:r>
                  <w:r>
                    <w:rPr>
                      <w:rFonts w:hint="eastAsia" w:ascii="Times New Roman" w:hAnsi="Times New Roman" w:eastAsia="宋体" w:cs="Times New Roman"/>
                      <w:color w:val="auto"/>
                      <w:szCs w:val="21"/>
                    </w:rPr>
                    <w:t>1.5（3）</w:t>
                  </w:r>
                </w:p>
              </w:tc>
            </w:tr>
            <w:tr w14:paraId="16BBB73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397" w:hRule="atLeast"/>
                <w:jc w:val="center"/>
              </w:trPr>
              <w:tc>
                <w:tcPr>
                  <w:tcW w:w="5000" w:type="pct"/>
                  <w:gridSpan w:val="10"/>
                  <w:tcBorders>
                    <w:left w:val="single" w:color="auto" w:sz="4" w:space="0"/>
                    <w:tl2br w:val="nil"/>
                    <w:tr2bl w:val="nil"/>
                  </w:tcBorders>
                  <w:vAlign w:val="center"/>
                </w:tcPr>
                <w:p w14:paraId="6B8CE1B4">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rPr>
                    <w:t>注：括号内数值为每年11月1日至次年3月31日执行。</w:t>
                  </w:r>
                </w:p>
              </w:tc>
            </w:tr>
          </w:tbl>
          <w:p w14:paraId="039C2AC4">
            <w:pPr>
              <w:keepNext w:val="0"/>
              <w:keepLines w:val="0"/>
              <w:suppressLineNumbers w:val="0"/>
              <w:spacing w:before="0" w:beforeAutospacing="0" w:after="0" w:afterAutospacing="0"/>
              <w:ind w:left="0" w:right="0"/>
              <w:jc w:val="center"/>
              <w:rPr>
                <w:rFonts w:hint="eastAsia" w:ascii="Times New Roman" w:hAnsi="Times New Roman" w:eastAsia="宋体" w:cs="Times New Roman"/>
                <w:b/>
                <w:bCs/>
                <w:color w:val="auto"/>
              </w:rPr>
            </w:pPr>
          </w:p>
          <w:p w14:paraId="2BBCF295">
            <w:pPr>
              <w:keepNext w:val="0"/>
              <w:keepLines w:val="0"/>
              <w:suppressLineNumbers w:val="0"/>
              <w:spacing w:before="0" w:beforeAutospacing="0" w:after="0" w:afterAutospacing="0"/>
              <w:ind w:left="0" w:right="0"/>
              <w:jc w:val="center"/>
              <w:rPr>
                <w:rFonts w:hint="eastAsia" w:ascii="Times New Roman" w:hAnsi="Times New Roman" w:eastAsia="宋体" w:cs="Times New Roman"/>
                <w:b/>
                <w:bCs/>
                <w:color w:val="auto"/>
              </w:rPr>
            </w:pPr>
          </w:p>
          <w:p w14:paraId="2044B006">
            <w:pPr>
              <w:keepNext w:val="0"/>
              <w:keepLines w:val="0"/>
              <w:suppressLineNumbers w:val="0"/>
              <w:spacing w:before="0" w:beforeAutospacing="0" w:after="0" w:afterAutospacing="0"/>
              <w:ind w:left="0" w:right="0"/>
              <w:jc w:val="center"/>
              <w:rPr>
                <w:rFonts w:hint="eastAsia" w:ascii="Times New Roman" w:hAnsi="Times New Roman" w:eastAsia="宋体" w:cs="Times New Roman"/>
                <w:b/>
                <w:bCs/>
                <w:color w:val="auto"/>
              </w:rPr>
            </w:pPr>
          </w:p>
          <w:p w14:paraId="59E18E9E">
            <w:pPr>
              <w:keepNext w:val="0"/>
              <w:keepLines w:val="0"/>
              <w:suppressLineNumbers w:val="0"/>
              <w:spacing w:before="0" w:beforeAutospacing="0" w:after="0" w:afterAutospacing="0"/>
              <w:ind w:left="0" w:right="0"/>
              <w:jc w:val="center"/>
              <w:rPr>
                <w:rFonts w:hint="eastAsia" w:ascii="Times New Roman" w:hAnsi="Times New Roman" w:eastAsia="宋体" w:cs="Times New Roman"/>
                <w:b/>
                <w:bCs/>
                <w:color w:val="auto"/>
              </w:rPr>
            </w:pPr>
          </w:p>
          <w:p w14:paraId="405E8E58">
            <w:pPr>
              <w:keepNext w:val="0"/>
              <w:keepLines w:val="0"/>
              <w:suppressLineNumbers w:val="0"/>
              <w:spacing w:before="0" w:beforeAutospacing="0" w:after="0" w:afterAutospacing="0"/>
              <w:ind w:left="0" w:right="0"/>
              <w:jc w:val="center"/>
              <w:rPr>
                <w:rFonts w:hint="default" w:ascii="Times New Roman" w:hAnsi="Times New Roman" w:eastAsia="宋体" w:cs="Times New Roman"/>
                <w:b/>
                <w:bCs/>
                <w:color w:val="auto"/>
              </w:rPr>
            </w:pPr>
            <w:r>
              <w:rPr>
                <w:rFonts w:hint="eastAsia" w:ascii="Times New Roman" w:hAnsi="Times New Roman" w:eastAsia="宋体" w:cs="Times New Roman"/>
                <w:b/>
                <w:bCs/>
                <w:color w:val="auto"/>
              </w:rPr>
              <w:t>表4-1</w:t>
            </w:r>
            <w:r>
              <w:rPr>
                <w:rFonts w:hint="eastAsia" w:ascii="Times New Roman" w:hAnsi="Times New Roman" w:eastAsia="宋体" w:cs="Times New Roman"/>
                <w:b/>
                <w:bCs/>
                <w:color w:val="auto"/>
                <w:lang w:val="en-US" w:eastAsia="zh-CN"/>
              </w:rPr>
              <w:t>3</w:t>
            </w:r>
            <w:r>
              <w:rPr>
                <w:rFonts w:hint="eastAsia" w:ascii="Times New Roman" w:hAnsi="Times New Roman" w:eastAsia="宋体" w:cs="Times New Roman"/>
                <w:b/>
                <w:bCs/>
                <w:color w:val="auto"/>
              </w:rPr>
              <w:t xml:space="preserve">  废水污染物排放执行标准表</w:t>
            </w:r>
          </w:p>
          <w:tbl>
            <w:tblPr>
              <w:tblStyle w:val="22"/>
              <w:tblW w:w="4993" w:type="pct"/>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0" w:type="dxa"/>
                <w:bottom w:w="0" w:type="dxa"/>
                <w:right w:w="0" w:type="dxa"/>
              </w:tblCellMar>
            </w:tblPr>
            <w:tblGrid>
              <w:gridCol w:w="1374"/>
              <w:gridCol w:w="2793"/>
              <w:gridCol w:w="2410"/>
              <w:gridCol w:w="4395"/>
              <w:gridCol w:w="2257"/>
            </w:tblGrid>
            <w:tr w14:paraId="4DAA0BB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397" w:hRule="atLeast"/>
                <w:jc w:val="center"/>
              </w:trPr>
              <w:tc>
                <w:tcPr>
                  <w:tcW w:w="520" w:type="pct"/>
                  <w:vMerge w:val="restart"/>
                  <w:tcBorders>
                    <w:tl2br w:val="nil"/>
                    <w:tr2bl w:val="nil"/>
                  </w:tcBorders>
                  <w:vAlign w:val="center"/>
                </w:tcPr>
                <w:p w14:paraId="0687A13C">
                  <w:pPr>
                    <w:keepNext w:val="0"/>
                    <w:keepLines w:val="0"/>
                    <w:suppressLineNumbers w:val="0"/>
                    <w:spacing w:before="0" w:beforeAutospacing="0" w:after="0" w:afterAutospacing="0"/>
                    <w:ind w:left="0" w:right="0"/>
                    <w:jc w:val="center"/>
                    <w:rPr>
                      <w:rFonts w:hint="default" w:ascii="Times New Roman" w:hAnsi="Times New Roman" w:eastAsia="宋体" w:cs="Times New Roman"/>
                      <w:b/>
                      <w:bCs/>
                      <w:color w:val="auto"/>
                      <w:szCs w:val="21"/>
                    </w:rPr>
                  </w:pPr>
                  <w:r>
                    <w:rPr>
                      <w:rFonts w:hint="default" w:ascii="Times New Roman" w:hAnsi="Times New Roman" w:eastAsia="宋体" w:cs="Times New Roman"/>
                      <w:b/>
                      <w:bCs/>
                      <w:color w:val="auto"/>
                      <w:szCs w:val="21"/>
                    </w:rPr>
                    <w:t>序号</w:t>
                  </w:r>
                </w:p>
              </w:tc>
              <w:tc>
                <w:tcPr>
                  <w:tcW w:w="1055" w:type="pct"/>
                  <w:vMerge w:val="restart"/>
                  <w:tcBorders>
                    <w:tl2br w:val="nil"/>
                    <w:tr2bl w:val="nil"/>
                  </w:tcBorders>
                  <w:vAlign w:val="center"/>
                </w:tcPr>
                <w:p w14:paraId="1C41376B">
                  <w:pPr>
                    <w:keepNext w:val="0"/>
                    <w:keepLines w:val="0"/>
                    <w:suppressLineNumbers w:val="0"/>
                    <w:spacing w:before="0" w:beforeAutospacing="0" w:after="0" w:afterAutospacing="0"/>
                    <w:ind w:left="0" w:right="0"/>
                    <w:jc w:val="center"/>
                    <w:rPr>
                      <w:rFonts w:hint="default" w:ascii="Times New Roman" w:hAnsi="Times New Roman" w:eastAsia="宋体" w:cs="Times New Roman"/>
                      <w:b/>
                      <w:bCs/>
                      <w:color w:val="auto"/>
                      <w:szCs w:val="21"/>
                    </w:rPr>
                  </w:pPr>
                  <w:r>
                    <w:rPr>
                      <w:rFonts w:hint="default" w:ascii="Times New Roman" w:hAnsi="Times New Roman" w:eastAsia="宋体" w:cs="Times New Roman"/>
                      <w:b/>
                      <w:bCs/>
                      <w:color w:val="auto"/>
                      <w:szCs w:val="21"/>
                    </w:rPr>
                    <w:t>排放口编号</w:t>
                  </w:r>
                </w:p>
              </w:tc>
              <w:tc>
                <w:tcPr>
                  <w:tcW w:w="910" w:type="pct"/>
                  <w:vMerge w:val="restart"/>
                  <w:tcBorders>
                    <w:tl2br w:val="nil"/>
                    <w:tr2bl w:val="nil"/>
                  </w:tcBorders>
                  <w:vAlign w:val="center"/>
                </w:tcPr>
                <w:p w14:paraId="0CF7B554">
                  <w:pPr>
                    <w:keepNext w:val="0"/>
                    <w:keepLines w:val="0"/>
                    <w:suppressLineNumbers w:val="0"/>
                    <w:spacing w:before="0" w:beforeAutospacing="0" w:after="0" w:afterAutospacing="0"/>
                    <w:ind w:left="0" w:right="0"/>
                    <w:jc w:val="center"/>
                    <w:rPr>
                      <w:rFonts w:hint="default" w:ascii="Times New Roman" w:hAnsi="Times New Roman" w:eastAsia="宋体" w:cs="Times New Roman"/>
                      <w:b/>
                      <w:bCs/>
                      <w:color w:val="auto"/>
                      <w:szCs w:val="21"/>
                    </w:rPr>
                  </w:pPr>
                  <w:r>
                    <w:rPr>
                      <w:rFonts w:hint="default" w:ascii="Times New Roman" w:hAnsi="Times New Roman" w:eastAsia="宋体" w:cs="Times New Roman"/>
                      <w:b/>
                      <w:bCs/>
                      <w:color w:val="auto"/>
                      <w:szCs w:val="21"/>
                    </w:rPr>
                    <w:t>污染物种类</w:t>
                  </w:r>
                </w:p>
              </w:tc>
              <w:tc>
                <w:tcPr>
                  <w:tcW w:w="2512" w:type="pct"/>
                  <w:gridSpan w:val="2"/>
                  <w:tcBorders>
                    <w:tl2br w:val="nil"/>
                    <w:tr2bl w:val="nil"/>
                  </w:tcBorders>
                  <w:vAlign w:val="center"/>
                </w:tcPr>
                <w:p w14:paraId="15F40680">
                  <w:pPr>
                    <w:keepNext w:val="0"/>
                    <w:keepLines w:val="0"/>
                    <w:suppressLineNumbers w:val="0"/>
                    <w:spacing w:before="0" w:beforeAutospacing="0" w:after="0" w:afterAutospacing="0"/>
                    <w:ind w:left="0" w:right="0"/>
                    <w:jc w:val="center"/>
                    <w:rPr>
                      <w:rFonts w:hint="default" w:ascii="Times New Roman" w:hAnsi="Times New Roman" w:eastAsia="宋体" w:cs="Times New Roman"/>
                      <w:b/>
                      <w:bCs/>
                      <w:color w:val="auto"/>
                      <w:szCs w:val="21"/>
                    </w:rPr>
                  </w:pPr>
                  <w:r>
                    <w:rPr>
                      <w:rFonts w:hint="default" w:ascii="Times New Roman" w:hAnsi="Times New Roman" w:eastAsia="宋体" w:cs="Times New Roman"/>
                      <w:b/>
                      <w:bCs/>
                      <w:color w:val="auto"/>
                      <w:szCs w:val="21"/>
                    </w:rPr>
                    <w:t>国家或地方污染物排放标准及其他按规定商定的排放协议</w:t>
                  </w:r>
                </w:p>
              </w:tc>
            </w:tr>
            <w:tr w14:paraId="0BACEED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397" w:hRule="atLeast"/>
                <w:jc w:val="center"/>
              </w:trPr>
              <w:tc>
                <w:tcPr>
                  <w:tcW w:w="520" w:type="pct"/>
                  <w:vMerge w:val="continue"/>
                  <w:tcBorders>
                    <w:tl2br w:val="nil"/>
                    <w:tr2bl w:val="nil"/>
                  </w:tcBorders>
                  <w:vAlign w:val="center"/>
                </w:tcPr>
                <w:p w14:paraId="0F8FE2DE">
                  <w:pPr>
                    <w:keepNext w:val="0"/>
                    <w:keepLines w:val="0"/>
                    <w:suppressLineNumbers w:val="0"/>
                    <w:spacing w:before="0" w:beforeAutospacing="0" w:after="0" w:afterAutospacing="0"/>
                    <w:ind w:left="0" w:right="0"/>
                    <w:jc w:val="center"/>
                    <w:rPr>
                      <w:rFonts w:hint="default" w:ascii="Times New Roman" w:hAnsi="Times New Roman" w:eastAsia="宋体" w:cs="Times New Roman"/>
                      <w:b/>
                      <w:bCs/>
                      <w:color w:val="auto"/>
                      <w:szCs w:val="21"/>
                    </w:rPr>
                  </w:pPr>
                </w:p>
              </w:tc>
              <w:tc>
                <w:tcPr>
                  <w:tcW w:w="1055" w:type="pct"/>
                  <w:vMerge w:val="continue"/>
                  <w:tcBorders>
                    <w:tl2br w:val="nil"/>
                    <w:tr2bl w:val="nil"/>
                  </w:tcBorders>
                  <w:vAlign w:val="center"/>
                </w:tcPr>
                <w:p w14:paraId="1DFF1666">
                  <w:pPr>
                    <w:keepNext w:val="0"/>
                    <w:keepLines w:val="0"/>
                    <w:suppressLineNumbers w:val="0"/>
                    <w:spacing w:before="0" w:beforeAutospacing="0" w:after="0" w:afterAutospacing="0"/>
                    <w:ind w:left="0" w:right="0"/>
                    <w:jc w:val="center"/>
                    <w:rPr>
                      <w:rFonts w:hint="default" w:ascii="Times New Roman" w:hAnsi="Times New Roman" w:eastAsia="宋体" w:cs="Times New Roman"/>
                      <w:b/>
                      <w:bCs/>
                      <w:color w:val="auto"/>
                      <w:szCs w:val="21"/>
                    </w:rPr>
                  </w:pPr>
                </w:p>
              </w:tc>
              <w:tc>
                <w:tcPr>
                  <w:tcW w:w="910" w:type="pct"/>
                  <w:vMerge w:val="continue"/>
                  <w:tcBorders>
                    <w:tl2br w:val="nil"/>
                    <w:tr2bl w:val="nil"/>
                  </w:tcBorders>
                  <w:vAlign w:val="center"/>
                </w:tcPr>
                <w:p w14:paraId="5E0AFFEC">
                  <w:pPr>
                    <w:keepNext w:val="0"/>
                    <w:keepLines w:val="0"/>
                    <w:suppressLineNumbers w:val="0"/>
                    <w:spacing w:before="0" w:beforeAutospacing="0" w:after="0" w:afterAutospacing="0"/>
                    <w:ind w:left="0" w:right="0"/>
                    <w:jc w:val="center"/>
                    <w:rPr>
                      <w:rFonts w:hint="default" w:ascii="Times New Roman" w:hAnsi="Times New Roman" w:eastAsia="宋体" w:cs="Times New Roman"/>
                      <w:b/>
                      <w:bCs/>
                      <w:color w:val="auto"/>
                      <w:szCs w:val="21"/>
                    </w:rPr>
                  </w:pPr>
                </w:p>
              </w:tc>
              <w:tc>
                <w:tcPr>
                  <w:tcW w:w="1660" w:type="pct"/>
                  <w:tcBorders>
                    <w:tl2br w:val="nil"/>
                    <w:tr2bl w:val="nil"/>
                  </w:tcBorders>
                  <w:vAlign w:val="center"/>
                </w:tcPr>
                <w:p w14:paraId="6708FBC4">
                  <w:pPr>
                    <w:keepNext w:val="0"/>
                    <w:keepLines w:val="0"/>
                    <w:suppressLineNumbers w:val="0"/>
                    <w:spacing w:before="0" w:beforeAutospacing="0" w:after="0" w:afterAutospacing="0"/>
                    <w:ind w:left="0" w:right="0"/>
                    <w:jc w:val="center"/>
                    <w:rPr>
                      <w:rFonts w:hint="default" w:ascii="Times New Roman" w:hAnsi="Times New Roman" w:eastAsia="宋体" w:cs="Times New Roman"/>
                      <w:b/>
                      <w:bCs/>
                      <w:color w:val="auto"/>
                      <w:szCs w:val="21"/>
                    </w:rPr>
                  </w:pPr>
                  <w:r>
                    <w:rPr>
                      <w:rFonts w:hint="default" w:ascii="Times New Roman" w:hAnsi="Times New Roman" w:eastAsia="宋体" w:cs="Times New Roman"/>
                      <w:b/>
                      <w:bCs/>
                      <w:color w:val="auto"/>
                      <w:szCs w:val="21"/>
                    </w:rPr>
                    <w:t>名称</w:t>
                  </w:r>
                </w:p>
              </w:tc>
              <w:tc>
                <w:tcPr>
                  <w:tcW w:w="851" w:type="pct"/>
                  <w:tcBorders>
                    <w:tl2br w:val="nil"/>
                    <w:tr2bl w:val="nil"/>
                  </w:tcBorders>
                  <w:vAlign w:val="center"/>
                </w:tcPr>
                <w:p w14:paraId="5EAF71C8">
                  <w:pPr>
                    <w:keepNext w:val="0"/>
                    <w:keepLines w:val="0"/>
                    <w:suppressLineNumbers w:val="0"/>
                    <w:spacing w:before="0" w:beforeAutospacing="0" w:after="0" w:afterAutospacing="0"/>
                    <w:ind w:left="0" w:right="0"/>
                    <w:jc w:val="center"/>
                    <w:rPr>
                      <w:rFonts w:hint="default" w:ascii="Times New Roman" w:hAnsi="Times New Roman" w:eastAsia="宋体" w:cs="Times New Roman"/>
                      <w:b/>
                      <w:bCs/>
                      <w:color w:val="auto"/>
                      <w:szCs w:val="21"/>
                    </w:rPr>
                  </w:pPr>
                  <w:r>
                    <w:rPr>
                      <w:rFonts w:hint="default" w:ascii="Times New Roman" w:hAnsi="Times New Roman" w:eastAsia="宋体" w:cs="Times New Roman"/>
                      <w:b/>
                      <w:bCs/>
                      <w:color w:val="auto"/>
                      <w:szCs w:val="21"/>
                    </w:rPr>
                    <w:t>浓度限值（mg/L）</w:t>
                  </w:r>
                </w:p>
              </w:tc>
            </w:tr>
            <w:tr w14:paraId="25E4EB5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397" w:hRule="atLeast"/>
                <w:jc w:val="center"/>
              </w:trPr>
              <w:tc>
                <w:tcPr>
                  <w:tcW w:w="520" w:type="pct"/>
                  <w:vMerge w:val="restart"/>
                  <w:tcBorders>
                    <w:tl2br w:val="nil"/>
                    <w:tr2bl w:val="nil"/>
                  </w:tcBorders>
                  <w:vAlign w:val="center"/>
                </w:tcPr>
                <w:p w14:paraId="0454224D">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rPr>
                    <w:t>1</w:t>
                  </w:r>
                </w:p>
              </w:tc>
              <w:tc>
                <w:tcPr>
                  <w:tcW w:w="1055" w:type="pct"/>
                  <w:vMerge w:val="restart"/>
                  <w:tcBorders>
                    <w:tl2br w:val="nil"/>
                    <w:tr2bl w:val="nil"/>
                  </w:tcBorders>
                  <w:vAlign w:val="center"/>
                </w:tcPr>
                <w:p w14:paraId="2AB4962D">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rPr>
                    <w:t>DW001</w:t>
                  </w:r>
                </w:p>
              </w:tc>
              <w:tc>
                <w:tcPr>
                  <w:tcW w:w="910" w:type="pct"/>
                  <w:tcBorders>
                    <w:tl2br w:val="nil"/>
                    <w:tr2bl w:val="nil"/>
                  </w:tcBorders>
                  <w:vAlign w:val="center"/>
                </w:tcPr>
                <w:p w14:paraId="6CF20AA5">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rPr>
                    <w:t>COD</w:t>
                  </w:r>
                  <w:r>
                    <w:rPr>
                      <w:rFonts w:hint="default" w:ascii="Times New Roman" w:hAnsi="Times New Roman" w:eastAsia="宋体" w:cs="Times New Roman"/>
                      <w:color w:val="auto"/>
                      <w:szCs w:val="21"/>
                      <w:vertAlign w:val="subscript"/>
                    </w:rPr>
                    <w:t>Cr</w:t>
                  </w:r>
                </w:p>
              </w:tc>
              <w:tc>
                <w:tcPr>
                  <w:tcW w:w="1660" w:type="pct"/>
                  <w:vMerge w:val="restart"/>
                  <w:tcBorders>
                    <w:tl2br w:val="nil"/>
                    <w:tr2bl w:val="nil"/>
                  </w:tcBorders>
                  <w:vAlign w:val="center"/>
                </w:tcPr>
                <w:p w14:paraId="1C8F5507">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rPr>
                    <w:t>安吉清源污水处理有限公司污水纳管标准</w:t>
                  </w:r>
                </w:p>
              </w:tc>
              <w:tc>
                <w:tcPr>
                  <w:tcW w:w="851" w:type="pct"/>
                  <w:tcBorders>
                    <w:tl2br w:val="nil"/>
                    <w:tr2bl w:val="nil"/>
                  </w:tcBorders>
                  <w:vAlign w:val="center"/>
                </w:tcPr>
                <w:p w14:paraId="41BDB566">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rPr>
                    <w:t>≤500</w:t>
                  </w:r>
                </w:p>
              </w:tc>
            </w:tr>
            <w:tr w14:paraId="5356A8E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397" w:hRule="atLeast"/>
                <w:jc w:val="center"/>
              </w:trPr>
              <w:tc>
                <w:tcPr>
                  <w:tcW w:w="520" w:type="pct"/>
                  <w:vMerge w:val="continue"/>
                  <w:tcBorders>
                    <w:tl2br w:val="nil"/>
                    <w:tr2bl w:val="nil"/>
                  </w:tcBorders>
                  <w:vAlign w:val="center"/>
                </w:tcPr>
                <w:p w14:paraId="5A242D0F">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p>
              </w:tc>
              <w:tc>
                <w:tcPr>
                  <w:tcW w:w="1055" w:type="pct"/>
                  <w:vMerge w:val="continue"/>
                  <w:tcBorders>
                    <w:tl2br w:val="nil"/>
                    <w:tr2bl w:val="nil"/>
                  </w:tcBorders>
                  <w:vAlign w:val="center"/>
                </w:tcPr>
                <w:p w14:paraId="38E17FDA">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p>
              </w:tc>
              <w:tc>
                <w:tcPr>
                  <w:tcW w:w="910" w:type="pct"/>
                  <w:tcBorders>
                    <w:tl2br w:val="nil"/>
                    <w:tr2bl w:val="nil"/>
                  </w:tcBorders>
                  <w:vAlign w:val="center"/>
                </w:tcPr>
                <w:p w14:paraId="3DF29B26">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rPr>
                    <w:t>氨氮</w:t>
                  </w:r>
                </w:p>
              </w:tc>
              <w:tc>
                <w:tcPr>
                  <w:tcW w:w="1660" w:type="pct"/>
                  <w:vMerge w:val="continue"/>
                  <w:tcBorders>
                    <w:tl2br w:val="nil"/>
                    <w:tr2bl w:val="nil"/>
                  </w:tcBorders>
                  <w:vAlign w:val="center"/>
                </w:tcPr>
                <w:p w14:paraId="1F36C930">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p>
              </w:tc>
              <w:tc>
                <w:tcPr>
                  <w:tcW w:w="851" w:type="pct"/>
                  <w:tcBorders>
                    <w:tl2br w:val="nil"/>
                    <w:tr2bl w:val="nil"/>
                  </w:tcBorders>
                  <w:vAlign w:val="center"/>
                </w:tcPr>
                <w:p w14:paraId="13D0FBC0">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rPr>
                    <w:t>≤35</w:t>
                  </w:r>
                </w:p>
              </w:tc>
            </w:tr>
          </w:tbl>
          <w:p w14:paraId="3E9A6994">
            <w:pPr>
              <w:keepNext w:val="0"/>
              <w:keepLines w:val="0"/>
              <w:suppressLineNumbers w:val="0"/>
              <w:spacing w:before="0" w:beforeAutospacing="0" w:after="0" w:afterAutospacing="0"/>
              <w:ind w:left="0" w:right="0"/>
              <w:jc w:val="center"/>
              <w:rPr>
                <w:rFonts w:hint="default" w:ascii="Times New Roman" w:hAnsi="Times New Roman" w:eastAsia="宋体" w:cs="Times New Roman"/>
                <w:b/>
                <w:bCs/>
                <w:color w:val="auto"/>
              </w:rPr>
            </w:pPr>
            <w:r>
              <w:rPr>
                <w:rFonts w:hint="eastAsia" w:ascii="Times New Roman" w:hAnsi="Times New Roman" w:eastAsia="宋体" w:cs="Times New Roman"/>
                <w:b/>
                <w:bCs/>
                <w:color w:val="auto"/>
              </w:rPr>
              <w:t>表4-1</w:t>
            </w:r>
            <w:r>
              <w:rPr>
                <w:rFonts w:hint="eastAsia" w:ascii="Times New Roman" w:hAnsi="Times New Roman" w:eastAsia="宋体" w:cs="Times New Roman"/>
                <w:b/>
                <w:bCs/>
                <w:color w:val="auto"/>
                <w:lang w:val="en-US" w:eastAsia="zh-CN"/>
              </w:rPr>
              <w:t>4</w:t>
            </w:r>
            <w:r>
              <w:rPr>
                <w:rFonts w:hint="eastAsia" w:ascii="Times New Roman" w:hAnsi="Times New Roman" w:eastAsia="宋体" w:cs="Times New Roman"/>
                <w:b/>
                <w:bCs/>
                <w:color w:val="auto"/>
              </w:rPr>
              <w:t xml:space="preserve">  废水污染物排放情况表</w:t>
            </w:r>
          </w:p>
          <w:tbl>
            <w:tblPr>
              <w:tblStyle w:val="22"/>
              <w:tblW w:w="4976" w:type="pct"/>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0" w:type="dxa"/>
                <w:bottom w:w="0" w:type="dxa"/>
                <w:right w:w="0" w:type="dxa"/>
              </w:tblCellMar>
            </w:tblPr>
            <w:tblGrid>
              <w:gridCol w:w="1075"/>
              <w:gridCol w:w="1538"/>
              <w:gridCol w:w="1791"/>
              <w:gridCol w:w="2160"/>
              <w:gridCol w:w="3950"/>
              <w:gridCol w:w="2672"/>
            </w:tblGrid>
            <w:tr w14:paraId="52E9951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397" w:hRule="atLeast"/>
                <w:jc w:val="center"/>
              </w:trPr>
              <w:tc>
                <w:tcPr>
                  <w:tcW w:w="407" w:type="pct"/>
                  <w:tcBorders>
                    <w:tl2br w:val="nil"/>
                    <w:tr2bl w:val="nil"/>
                  </w:tcBorders>
                  <w:vAlign w:val="center"/>
                </w:tcPr>
                <w:p w14:paraId="44D12D6E">
                  <w:pPr>
                    <w:keepNext w:val="0"/>
                    <w:keepLines w:val="0"/>
                    <w:suppressLineNumbers w:val="0"/>
                    <w:spacing w:before="0" w:beforeAutospacing="0" w:after="0" w:afterAutospacing="0"/>
                    <w:ind w:left="0" w:right="0"/>
                    <w:jc w:val="center"/>
                    <w:rPr>
                      <w:rFonts w:hint="default" w:ascii="Times New Roman" w:hAnsi="Times New Roman" w:eastAsia="宋体" w:cs="Times New Roman"/>
                      <w:b/>
                      <w:bCs/>
                      <w:color w:val="auto"/>
                      <w:szCs w:val="21"/>
                    </w:rPr>
                  </w:pPr>
                  <w:r>
                    <w:rPr>
                      <w:rFonts w:hint="default" w:ascii="Times New Roman" w:hAnsi="Times New Roman" w:eastAsia="宋体" w:cs="Times New Roman"/>
                      <w:b/>
                      <w:bCs/>
                      <w:color w:val="auto"/>
                      <w:szCs w:val="21"/>
                    </w:rPr>
                    <w:t>序号</w:t>
                  </w:r>
                </w:p>
              </w:tc>
              <w:tc>
                <w:tcPr>
                  <w:tcW w:w="582" w:type="pct"/>
                  <w:tcBorders>
                    <w:tl2br w:val="nil"/>
                    <w:tr2bl w:val="nil"/>
                  </w:tcBorders>
                  <w:vAlign w:val="center"/>
                </w:tcPr>
                <w:p w14:paraId="27C8A68F">
                  <w:pPr>
                    <w:keepNext w:val="0"/>
                    <w:keepLines w:val="0"/>
                    <w:suppressLineNumbers w:val="0"/>
                    <w:spacing w:before="0" w:beforeAutospacing="0" w:after="0" w:afterAutospacing="0"/>
                    <w:ind w:left="0" w:right="0"/>
                    <w:jc w:val="center"/>
                    <w:rPr>
                      <w:rFonts w:hint="default" w:ascii="Times New Roman" w:hAnsi="Times New Roman" w:eastAsia="宋体" w:cs="Times New Roman"/>
                      <w:b/>
                      <w:bCs/>
                      <w:color w:val="auto"/>
                      <w:szCs w:val="21"/>
                    </w:rPr>
                  </w:pPr>
                  <w:r>
                    <w:rPr>
                      <w:rFonts w:hint="default" w:ascii="Times New Roman" w:hAnsi="Times New Roman" w:eastAsia="宋体" w:cs="Times New Roman"/>
                      <w:b/>
                      <w:bCs/>
                      <w:color w:val="auto"/>
                      <w:szCs w:val="21"/>
                    </w:rPr>
                    <w:t>排放口编号</w:t>
                  </w:r>
                </w:p>
              </w:tc>
              <w:tc>
                <w:tcPr>
                  <w:tcW w:w="679" w:type="pct"/>
                  <w:tcBorders>
                    <w:tl2br w:val="nil"/>
                    <w:tr2bl w:val="nil"/>
                  </w:tcBorders>
                  <w:vAlign w:val="center"/>
                </w:tcPr>
                <w:p w14:paraId="57AA8E5F">
                  <w:pPr>
                    <w:keepNext w:val="0"/>
                    <w:keepLines w:val="0"/>
                    <w:suppressLineNumbers w:val="0"/>
                    <w:spacing w:before="0" w:beforeAutospacing="0" w:after="0" w:afterAutospacing="0"/>
                    <w:ind w:left="0" w:right="0"/>
                    <w:jc w:val="center"/>
                    <w:rPr>
                      <w:rFonts w:hint="default" w:ascii="Times New Roman" w:hAnsi="Times New Roman" w:eastAsia="宋体" w:cs="Times New Roman"/>
                      <w:b/>
                      <w:bCs/>
                      <w:color w:val="auto"/>
                      <w:szCs w:val="21"/>
                    </w:rPr>
                  </w:pPr>
                  <w:r>
                    <w:rPr>
                      <w:rFonts w:hint="default" w:ascii="Times New Roman" w:hAnsi="Times New Roman" w:eastAsia="宋体" w:cs="Times New Roman"/>
                      <w:b/>
                      <w:bCs/>
                      <w:color w:val="auto"/>
                      <w:szCs w:val="21"/>
                    </w:rPr>
                    <w:t>污染物种类</w:t>
                  </w:r>
                </w:p>
              </w:tc>
              <w:tc>
                <w:tcPr>
                  <w:tcW w:w="819" w:type="pct"/>
                  <w:tcBorders>
                    <w:tl2br w:val="nil"/>
                    <w:tr2bl w:val="nil"/>
                  </w:tcBorders>
                  <w:vAlign w:val="center"/>
                </w:tcPr>
                <w:p w14:paraId="4524A4DC">
                  <w:pPr>
                    <w:keepNext w:val="0"/>
                    <w:keepLines w:val="0"/>
                    <w:suppressLineNumbers w:val="0"/>
                    <w:spacing w:before="0" w:beforeAutospacing="0" w:after="0" w:afterAutospacing="0"/>
                    <w:ind w:left="0" w:right="0"/>
                    <w:jc w:val="center"/>
                    <w:rPr>
                      <w:rFonts w:hint="default" w:ascii="Times New Roman" w:hAnsi="Times New Roman" w:eastAsia="宋体" w:cs="Times New Roman"/>
                      <w:b/>
                      <w:bCs/>
                      <w:color w:val="auto"/>
                      <w:szCs w:val="21"/>
                    </w:rPr>
                  </w:pPr>
                  <w:r>
                    <w:rPr>
                      <w:rFonts w:hint="default" w:ascii="Times New Roman" w:hAnsi="Times New Roman" w:eastAsia="宋体" w:cs="Times New Roman"/>
                      <w:b/>
                      <w:bCs/>
                      <w:color w:val="auto"/>
                      <w:szCs w:val="21"/>
                    </w:rPr>
                    <w:t>排放浓度（mg/L）</w:t>
                  </w:r>
                </w:p>
              </w:tc>
              <w:tc>
                <w:tcPr>
                  <w:tcW w:w="1497" w:type="pct"/>
                  <w:tcBorders>
                    <w:tl2br w:val="nil"/>
                    <w:tr2bl w:val="nil"/>
                  </w:tcBorders>
                  <w:vAlign w:val="center"/>
                </w:tcPr>
                <w:p w14:paraId="29D5574D">
                  <w:pPr>
                    <w:keepNext w:val="0"/>
                    <w:keepLines w:val="0"/>
                    <w:suppressLineNumbers w:val="0"/>
                    <w:spacing w:before="0" w:beforeAutospacing="0" w:after="0" w:afterAutospacing="0"/>
                    <w:ind w:left="0" w:right="0"/>
                    <w:jc w:val="center"/>
                    <w:rPr>
                      <w:rFonts w:hint="default" w:ascii="Times New Roman" w:hAnsi="Times New Roman" w:eastAsia="宋体" w:cs="Times New Roman"/>
                      <w:b/>
                      <w:bCs/>
                      <w:color w:val="auto"/>
                      <w:szCs w:val="21"/>
                    </w:rPr>
                  </w:pPr>
                  <w:r>
                    <w:rPr>
                      <w:rFonts w:hint="eastAsia" w:ascii="Times New Roman" w:hAnsi="Times New Roman" w:eastAsia="宋体" w:cs="Times New Roman"/>
                      <w:b/>
                      <w:bCs/>
                      <w:color w:val="auto"/>
                      <w:szCs w:val="21"/>
                    </w:rPr>
                    <w:t>本项目</w:t>
                  </w:r>
                  <w:r>
                    <w:rPr>
                      <w:rFonts w:hint="default" w:ascii="Times New Roman" w:hAnsi="Times New Roman" w:eastAsia="宋体" w:cs="Times New Roman"/>
                      <w:b/>
                      <w:bCs/>
                      <w:color w:val="auto"/>
                      <w:szCs w:val="21"/>
                    </w:rPr>
                    <w:t>日排放量（t/d）</w:t>
                  </w:r>
                </w:p>
              </w:tc>
              <w:tc>
                <w:tcPr>
                  <w:tcW w:w="1013" w:type="pct"/>
                  <w:tcBorders>
                    <w:tl2br w:val="nil"/>
                    <w:tr2bl w:val="nil"/>
                  </w:tcBorders>
                  <w:vAlign w:val="center"/>
                </w:tcPr>
                <w:p w14:paraId="7882F478">
                  <w:pPr>
                    <w:keepNext w:val="0"/>
                    <w:keepLines w:val="0"/>
                    <w:suppressLineNumbers w:val="0"/>
                    <w:spacing w:before="0" w:beforeAutospacing="0" w:after="0" w:afterAutospacing="0"/>
                    <w:ind w:left="0" w:right="0"/>
                    <w:jc w:val="center"/>
                    <w:rPr>
                      <w:rFonts w:hint="default" w:ascii="Times New Roman" w:hAnsi="Times New Roman" w:eastAsia="宋体" w:cs="Times New Roman"/>
                      <w:b/>
                      <w:bCs/>
                      <w:color w:val="auto"/>
                      <w:szCs w:val="21"/>
                    </w:rPr>
                  </w:pPr>
                  <w:r>
                    <w:rPr>
                      <w:rFonts w:hint="eastAsia" w:ascii="Times New Roman" w:hAnsi="Times New Roman" w:eastAsia="宋体" w:cs="Times New Roman"/>
                      <w:b/>
                      <w:bCs/>
                      <w:color w:val="auto"/>
                      <w:szCs w:val="21"/>
                    </w:rPr>
                    <w:t>本项目</w:t>
                  </w:r>
                  <w:r>
                    <w:rPr>
                      <w:rFonts w:hint="default" w:ascii="Times New Roman" w:hAnsi="Times New Roman" w:eastAsia="宋体" w:cs="Times New Roman"/>
                      <w:b/>
                      <w:bCs/>
                      <w:color w:val="auto"/>
                      <w:szCs w:val="21"/>
                    </w:rPr>
                    <w:t>年排放量（t/a）</w:t>
                  </w:r>
                </w:p>
              </w:tc>
            </w:tr>
            <w:tr w14:paraId="63A8A52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397" w:hRule="atLeast"/>
                <w:jc w:val="center"/>
              </w:trPr>
              <w:tc>
                <w:tcPr>
                  <w:tcW w:w="407" w:type="pct"/>
                  <w:vMerge w:val="restart"/>
                  <w:tcBorders>
                    <w:tl2br w:val="nil"/>
                    <w:tr2bl w:val="nil"/>
                  </w:tcBorders>
                  <w:vAlign w:val="center"/>
                </w:tcPr>
                <w:p w14:paraId="66091946">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rPr>
                    <w:t>1</w:t>
                  </w:r>
                </w:p>
              </w:tc>
              <w:tc>
                <w:tcPr>
                  <w:tcW w:w="582" w:type="pct"/>
                  <w:vMerge w:val="restart"/>
                  <w:tcBorders>
                    <w:tl2br w:val="nil"/>
                    <w:tr2bl w:val="nil"/>
                  </w:tcBorders>
                  <w:vAlign w:val="center"/>
                </w:tcPr>
                <w:p w14:paraId="061B79AF">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rPr>
                    <w:t>DW001</w:t>
                  </w:r>
                </w:p>
              </w:tc>
              <w:tc>
                <w:tcPr>
                  <w:tcW w:w="679" w:type="pct"/>
                  <w:tcBorders>
                    <w:tl2br w:val="nil"/>
                    <w:tr2bl w:val="nil"/>
                  </w:tcBorders>
                  <w:vAlign w:val="center"/>
                </w:tcPr>
                <w:p w14:paraId="6717ED96">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rPr>
                    <w:t>COD</w:t>
                  </w:r>
                  <w:r>
                    <w:rPr>
                      <w:rFonts w:hint="default" w:ascii="Times New Roman" w:hAnsi="Times New Roman" w:eastAsia="宋体" w:cs="Times New Roman"/>
                      <w:color w:val="auto"/>
                      <w:szCs w:val="21"/>
                      <w:vertAlign w:val="subscript"/>
                    </w:rPr>
                    <w:t>Cr</w:t>
                  </w:r>
                </w:p>
              </w:tc>
              <w:tc>
                <w:tcPr>
                  <w:tcW w:w="2191" w:type="dxa"/>
                  <w:tcBorders>
                    <w:tl2br w:val="nil"/>
                    <w:tr2bl w:val="nil"/>
                  </w:tcBorders>
                  <w:vAlign w:val="center"/>
                </w:tcPr>
                <w:p w14:paraId="1C028A7B">
                  <w:pPr>
                    <w:keepNext w:val="0"/>
                    <w:keepLines w:val="0"/>
                    <w:suppressLineNumbers w:val="0"/>
                    <w:spacing w:before="0" w:beforeAutospacing="0" w:after="0" w:afterAutospacing="0"/>
                    <w:ind w:left="0" w:right="0"/>
                    <w:jc w:val="center"/>
                    <w:rPr>
                      <w:rFonts w:hint="eastAsia" w:ascii="Times New Roman" w:hAnsi="Times New Roman" w:eastAsia="宋体" w:cs="Times New Roman"/>
                      <w:color w:val="0000E1"/>
                      <w:szCs w:val="21"/>
                      <w:lang w:val="en-US" w:eastAsia="zh-CN"/>
                    </w:rPr>
                  </w:pPr>
                  <w:r>
                    <w:rPr>
                      <w:rFonts w:hint="eastAsia" w:ascii="Times New Roman" w:hAnsi="Times New Roman" w:eastAsia="宋体" w:cs="Times New Roman"/>
                      <w:color w:val="0000E1"/>
                      <w:szCs w:val="21"/>
                    </w:rPr>
                    <w:t>30</w:t>
                  </w:r>
                  <w:r>
                    <w:rPr>
                      <w:rFonts w:hint="eastAsia" w:ascii="Times New Roman" w:hAnsi="Times New Roman" w:eastAsia="宋体" w:cs="Times New Roman"/>
                      <w:color w:val="0000E1"/>
                      <w:szCs w:val="21"/>
                      <w:lang w:val="en-US" w:eastAsia="zh-CN"/>
                    </w:rPr>
                    <w:t>0</w:t>
                  </w:r>
                </w:p>
              </w:tc>
              <w:tc>
                <w:tcPr>
                  <w:tcW w:w="1497" w:type="pct"/>
                  <w:tcBorders>
                    <w:tl2br w:val="nil"/>
                    <w:tr2bl w:val="nil"/>
                  </w:tcBorders>
                  <w:vAlign w:val="center"/>
                </w:tcPr>
                <w:p w14:paraId="2887553F">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0000E1"/>
                      <w:szCs w:val="21"/>
                      <w:lang w:val="en-US" w:eastAsia="zh-CN"/>
                    </w:rPr>
                  </w:pPr>
                  <w:r>
                    <w:rPr>
                      <w:rFonts w:hint="eastAsia" w:ascii="Times New Roman" w:hAnsi="Times New Roman" w:eastAsia="宋体" w:cs="Times New Roman"/>
                      <w:color w:val="0000E1"/>
                      <w:szCs w:val="21"/>
                      <w:lang w:val="en-US" w:eastAsia="zh-CN"/>
                    </w:rPr>
                    <w:t>0.0012</w:t>
                  </w:r>
                </w:p>
              </w:tc>
              <w:tc>
                <w:tcPr>
                  <w:tcW w:w="2708" w:type="dxa"/>
                  <w:tcBorders>
                    <w:tl2br w:val="nil"/>
                    <w:tr2bl w:val="nil"/>
                  </w:tcBorders>
                  <w:vAlign w:val="center"/>
                </w:tcPr>
                <w:p w14:paraId="6ADE0D14">
                  <w:pPr>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color w:val="0000E1"/>
                      <w:szCs w:val="21"/>
                    </w:rPr>
                  </w:pPr>
                  <w:r>
                    <w:rPr>
                      <w:rFonts w:hint="eastAsia" w:ascii="Times New Roman" w:hAnsi="Times New Roman" w:eastAsia="宋体" w:cs="Times New Roman"/>
                      <w:color w:val="0000E1"/>
                      <w:szCs w:val="21"/>
                      <w:lang w:val="en-US" w:eastAsia="zh-CN"/>
                    </w:rPr>
                    <w:t>0.360</w:t>
                  </w:r>
                </w:p>
              </w:tc>
            </w:tr>
            <w:tr w14:paraId="6449218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397" w:hRule="atLeast"/>
                <w:jc w:val="center"/>
              </w:trPr>
              <w:tc>
                <w:tcPr>
                  <w:tcW w:w="407" w:type="pct"/>
                  <w:vMerge w:val="continue"/>
                  <w:tcBorders>
                    <w:tl2br w:val="nil"/>
                    <w:tr2bl w:val="nil"/>
                  </w:tcBorders>
                  <w:vAlign w:val="center"/>
                </w:tcPr>
                <w:p w14:paraId="57D406B5">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p>
              </w:tc>
              <w:tc>
                <w:tcPr>
                  <w:tcW w:w="582" w:type="pct"/>
                  <w:vMerge w:val="continue"/>
                  <w:tcBorders>
                    <w:tl2br w:val="nil"/>
                    <w:tr2bl w:val="nil"/>
                  </w:tcBorders>
                  <w:vAlign w:val="center"/>
                </w:tcPr>
                <w:p w14:paraId="7C12232B">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p>
              </w:tc>
              <w:tc>
                <w:tcPr>
                  <w:tcW w:w="679" w:type="pct"/>
                  <w:tcBorders>
                    <w:tl2br w:val="nil"/>
                    <w:tr2bl w:val="nil"/>
                  </w:tcBorders>
                  <w:vAlign w:val="center"/>
                </w:tcPr>
                <w:p w14:paraId="5EDC2B85">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rPr>
                    <w:t>氨氮</w:t>
                  </w:r>
                </w:p>
              </w:tc>
              <w:tc>
                <w:tcPr>
                  <w:tcW w:w="2191" w:type="dxa"/>
                  <w:tcBorders>
                    <w:tl2br w:val="nil"/>
                    <w:tr2bl w:val="nil"/>
                  </w:tcBorders>
                  <w:vAlign w:val="center"/>
                </w:tcPr>
                <w:p w14:paraId="3F7E73BE">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0000E1"/>
                      <w:szCs w:val="21"/>
                      <w:lang w:val="en-US" w:eastAsia="zh-CN"/>
                    </w:rPr>
                  </w:pPr>
                  <w:r>
                    <w:rPr>
                      <w:rFonts w:hint="eastAsia" w:ascii="Times New Roman" w:hAnsi="Times New Roman" w:eastAsia="宋体" w:cs="Times New Roman"/>
                      <w:color w:val="0000E1"/>
                      <w:szCs w:val="21"/>
                      <w:lang w:val="en-US" w:eastAsia="zh-CN"/>
                    </w:rPr>
                    <w:t>30</w:t>
                  </w:r>
                </w:p>
              </w:tc>
              <w:tc>
                <w:tcPr>
                  <w:tcW w:w="1497" w:type="pct"/>
                  <w:tcBorders>
                    <w:tl2br w:val="nil"/>
                    <w:tr2bl w:val="nil"/>
                  </w:tcBorders>
                  <w:vAlign w:val="center"/>
                </w:tcPr>
                <w:p w14:paraId="712B2579">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0000E1"/>
                      <w:szCs w:val="21"/>
                      <w:lang w:val="en-US" w:eastAsia="zh-CN"/>
                    </w:rPr>
                  </w:pPr>
                  <w:r>
                    <w:rPr>
                      <w:rFonts w:hint="eastAsia" w:ascii="Times New Roman" w:hAnsi="Times New Roman" w:eastAsia="宋体" w:cs="Times New Roman"/>
                      <w:color w:val="0000E1"/>
                      <w:szCs w:val="21"/>
                      <w:lang w:val="en-US" w:eastAsia="zh-CN"/>
                    </w:rPr>
                    <w:t>0.00012</w:t>
                  </w:r>
                </w:p>
              </w:tc>
              <w:tc>
                <w:tcPr>
                  <w:tcW w:w="2708" w:type="dxa"/>
                  <w:tcBorders>
                    <w:tl2br w:val="nil"/>
                    <w:tr2bl w:val="nil"/>
                  </w:tcBorders>
                  <w:vAlign w:val="center"/>
                </w:tcPr>
                <w:p w14:paraId="1F4990EA">
                  <w:pPr>
                    <w:keepNext w:val="0"/>
                    <w:keepLines w:val="0"/>
                    <w:suppressLineNumbers w:val="0"/>
                    <w:spacing w:before="0" w:beforeAutospacing="0" w:after="0" w:afterAutospacing="0"/>
                    <w:ind w:left="0" w:leftChars="0" w:right="0" w:rightChars="0"/>
                    <w:jc w:val="center"/>
                    <w:rPr>
                      <w:rFonts w:hint="eastAsia" w:ascii="Times New Roman" w:hAnsi="Times New Roman" w:eastAsia="宋体" w:cs="Times New Roman"/>
                      <w:color w:val="0000E1"/>
                      <w:szCs w:val="21"/>
                      <w:lang w:val="en-US" w:eastAsia="zh-CN"/>
                    </w:rPr>
                  </w:pPr>
                  <w:r>
                    <w:rPr>
                      <w:rFonts w:hint="eastAsia" w:ascii="Times New Roman" w:hAnsi="Times New Roman" w:eastAsia="宋体" w:cs="Times New Roman"/>
                      <w:color w:val="0000E1"/>
                      <w:szCs w:val="21"/>
                      <w:lang w:val="en-US" w:eastAsia="zh-CN"/>
                    </w:rPr>
                    <w:t>0.036</w:t>
                  </w:r>
                </w:p>
              </w:tc>
            </w:tr>
            <w:tr w14:paraId="560E4E2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397" w:hRule="atLeast"/>
                <w:jc w:val="center"/>
              </w:trPr>
              <w:tc>
                <w:tcPr>
                  <w:tcW w:w="990" w:type="pct"/>
                  <w:gridSpan w:val="2"/>
                  <w:vMerge w:val="restart"/>
                  <w:tcBorders>
                    <w:tl2br w:val="nil"/>
                    <w:tr2bl w:val="nil"/>
                  </w:tcBorders>
                  <w:vAlign w:val="center"/>
                </w:tcPr>
                <w:p w14:paraId="6497D437">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rPr>
                    <w:t>全厂排放口合计</w:t>
                  </w:r>
                </w:p>
              </w:tc>
              <w:tc>
                <w:tcPr>
                  <w:tcW w:w="2996" w:type="pct"/>
                  <w:gridSpan w:val="3"/>
                  <w:tcBorders>
                    <w:tl2br w:val="nil"/>
                    <w:tr2bl w:val="nil"/>
                  </w:tcBorders>
                  <w:vAlign w:val="center"/>
                </w:tcPr>
                <w:p w14:paraId="2FB52736">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rPr>
                    <w:t>COD</w:t>
                  </w:r>
                  <w:r>
                    <w:rPr>
                      <w:rFonts w:hint="default" w:ascii="Times New Roman" w:hAnsi="Times New Roman" w:eastAsia="宋体" w:cs="Times New Roman"/>
                      <w:color w:val="auto"/>
                      <w:szCs w:val="21"/>
                      <w:vertAlign w:val="subscript"/>
                    </w:rPr>
                    <w:t>Cr</w:t>
                  </w:r>
                </w:p>
              </w:tc>
              <w:tc>
                <w:tcPr>
                  <w:tcW w:w="2708" w:type="dxa"/>
                  <w:tcBorders>
                    <w:tl2br w:val="nil"/>
                    <w:tr2bl w:val="nil"/>
                  </w:tcBorders>
                  <w:vAlign w:val="center"/>
                </w:tcPr>
                <w:p w14:paraId="53AE054D">
                  <w:pPr>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color w:val="0000E1"/>
                      <w:szCs w:val="21"/>
                    </w:rPr>
                  </w:pPr>
                  <w:r>
                    <w:rPr>
                      <w:rFonts w:hint="eastAsia" w:ascii="Times New Roman" w:hAnsi="Times New Roman" w:eastAsia="宋体" w:cs="Times New Roman"/>
                      <w:color w:val="0000E1"/>
                      <w:szCs w:val="21"/>
                      <w:lang w:val="en-US" w:eastAsia="zh-CN"/>
                    </w:rPr>
                    <w:t>0.360</w:t>
                  </w:r>
                </w:p>
              </w:tc>
            </w:tr>
            <w:tr w14:paraId="5B8C572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397" w:hRule="atLeast"/>
                <w:jc w:val="center"/>
              </w:trPr>
              <w:tc>
                <w:tcPr>
                  <w:tcW w:w="990" w:type="pct"/>
                  <w:gridSpan w:val="2"/>
                  <w:vMerge w:val="continue"/>
                  <w:tcBorders>
                    <w:tl2br w:val="nil"/>
                    <w:tr2bl w:val="nil"/>
                  </w:tcBorders>
                  <w:vAlign w:val="center"/>
                </w:tcPr>
                <w:p w14:paraId="7DD87585">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p>
              </w:tc>
              <w:tc>
                <w:tcPr>
                  <w:tcW w:w="2996" w:type="pct"/>
                  <w:gridSpan w:val="3"/>
                  <w:tcBorders>
                    <w:tl2br w:val="nil"/>
                    <w:tr2bl w:val="nil"/>
                  </w:tcBorders>
                  <w:vAlign w:val="center"/>
                </w:tcPr>
                <w:p w14:paraId="7421633A">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rPr>
                    <w:t>氨氮</w:t>
                  </w:r>
                </w:p>
              </w:tc>
              <w:tc>
                <w:tcPr>
                  <w:tcW w:w="2708" w:type="dxa"/>
                  <w:tcBorders>
                    <w:tl2br w:val="nil"/>
                    <w:tr2bl w:val="nil"/>
                  </w:tcBorders>
                  <w:vAlign w:val="center"/>
                </w:tcPr>
                <w:p w14:paraId="3FE8A846">
                  <w:pPr>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color w:val="0000E1"/>
                      <w:szCs w:val="21"/>
                    </w:rPr>
                  </w:pPr>
                  <w:r>
                    <w:rPr>
                      <w:rFonts w:hint="eastAsia" w:ascii="Times New Roman" w:hAnsi="Times New Roman" w:eastAsia="宋体" w:cs="Times New Roman"/>
                      <w:color w:val="0000E1"/>
                      <w:szCs w:val="21"/>
                      <w:lang w:val="en-US" w:eastAsia="zh-CN"/>
                    </w:rPr>
                    <w:t>0.036</w:t>
                  </w:r>
                </w:p>
              </w:tc>
            </w:tr>
          </w:tbl>
          <w:p w14:paraId="31F939B5">
            <w:pPr>
              <w:keepNext w:val="0"/>
              <w:keepLines w:val="0"/>
              <w:suppressLineNumbers w:val="0"/>
              <w:spacing w:before="0" w:beforeAutospacing="0" w:after="0" w:afterAutospacing="0" w:line="360" w:lineRule="auto"/>
              <w:ind w:left="0" w:right="0"/>
              <w:rPr>
                <w:rFonts w:hint="default" w:ascii="Times New Roman" w:hAnsi="Times New Roman" w:eastAsia="宋体" w:cs="Times New Roman"/>
                <w:b/>
                <w:bCs/>
                <w:color w:val="auto"/>
                <w:sz w:val="24"/>
              </w:rPr>
            </w:pPr>
            <w:r>
              <w:rPr>
                <w:rFonts w:hint="eastAsia" w:ascii="Times New Roman" w:hAnsi="Times New Roman" w:eastAsia="宋体" w:cs="Times New Roman"/>
                <w:b/>
                <w:bCs/>
                <w:color w:val="auto"/>
                <w:sz w:val="24"/>
              </w:rPr>
              <w:t>4.2.2.3排污口设置及监测计划</w:t>
            </w:r>
          </w:p>
          <w:p w14:paraId="41279EDC">
            <w:pPr>
              <w:keepNext w:val="0"/>
              <w:keepLines w:val="0"/>
              <w:suppressLineNumbers w:val="0"/>
              <w:spacing w:before="0" w:beforeAutospacing="0" w:after="0" w:afterAutospacing="0" w:line="360" w:lineRule="auto"/>
              <w:ind w:left="0" w:right="0" w:firstLine="480" w:firstLineChars="200"/>
              <w:rPr>
                <w:rFonts w:hint="default" w:ascii="Times New Roman" w:hAnsi="Times New Roman" w:eastAsia="宋体" w:cs="Times New Roman"/>
                <w:color w:val="auto"/>
                <w:sz w:val="24"/>
              </w:rPr>
            </w:pPr>
            <w:r>
              <w:rPr>
                <w:rFonts w:hint="eastAsia" w:ascii="Times New Roman" w:hAnsi="Times New Roman" w:eastAsia="宋体" w:cs="Times New Roman"/>
                <w:color w:val="auto"/>
                <w:sz w:val="24"/>
              </w:rPr>
              <w:t>根据导则及《排污单位自行监测技术指南 总则》（HJ819-2017），《排污单位自行监测技术指南 橡胶和塑料制品》（HJ1207-2021）</w:t>
            </w:r>
            <w:r>
              <w:rPr>
                <w:rFonts w:hint="eastAsia" w:ascii="Times New Roman" w:hAnsi="Times New Roman" w:eastAsia="宋体" w:cs="Times New Roman"/>
                <w:color w:val="0000FF"/>
                <w:sz w:val="24"/>
                <w:lang w:eastAsia="zh-CN"/>
              </w:rPr>
              <w:t>、</w:t>
            </w:r>
            <w:r>
              <w:rPr>
                <w:rFonts w:hint="eastAsia" w:ascii="Times New Roman" w:hAnsi="Times New Roman" w:eastAsia="宋体" w:cs="Times New Roman"/>
                <w:color w:val="0000FF"/>
                <w:sz w:val="24"/>
                <w:highlight w:val="yellow"/>
                <w:lang w:eastAsia="zh-CN"/>
              </w:rPr>
              <w:t>《排污许可证申请与核发技术规范</w:t>
            </w:r>
            <w:r>
              <w:rPr>
                <w:rFonts w:hint="eastAsia" w:ascii="Times New Roman" w:hAnsi="Times New Roman" w:eastAsia="宋体" w:cs="Times New Roman"/>
                <w:color w:val="0000FF"/>
                <w:sz w:val="24"/>
                <w:highlight w:val="yellow"/>
                <w:lang w:val="en-US" w:eastAsia="zh-CN"/>
              </w:rPr>
              <w:t xml:space="preserve"> </w:t>
            </w:r>
            <w:r>
              <w:rPr>
                <w:rFonts w:hint="eastAsia" w:ascii="Times New Roman" w:hAnsi="Times New Roman" w:eastAsia="宋体" w:cs="Times New Roman"/>
                <w:color w:val="0000FF"/>
                <w:sz w:val="24"/>
                <w:highlight w:val="yellow"/>
                <w:lang w:eastAsia="zh-CN"/>
              </w:rPr>
              <w:t>汽车制造业》（HJ971-2018）</w:t>
            </w:r>
            <w:r>
              <w:rPr>
                <w:rFonts w:hint="eastAsia" w:ascii="Times New Roman" w:hAnsi="Times New Roman" w:eastAsia="宋体" w:cs="Times New Roman"/>
                <w:color w:val="auto"/>
                <w:sz w:val="24"/>
                <w:lang w:val="en-US" w:eastAsia="zh-CN"/>
              </w:rPr>
              <w:t>等</w:t>
            </w:r>
            <w:r>
              <w:rPr>
                <w:rFonts w:hint="eastAsia" w:ascii="Times New Roman" w:hAnsi="Times New Roman" w:eastAsia="宋体" w:cs="Times New Roman"/>
                <w:color w:val="auto"/>
                <w:sz w:val="24"/>
              </w:rPr>
              <w:t>要求，</w:t>
            </w:r>
            <w:r>
              <w:rPr>
                <w:rFonts w:hint="eastAsia" w:ascii="Times New Roman" w:hAnsi="Times New Roman" w:eastAsia="宋体" w:cs="Times New Roman"/>
                <w:color w:val="auto"/>
                <w:sz w:val="24"/>
                <w:lang w:val="en-US" w:eastAsia="zh-CN"/>
              </w:rPr>
              <w:t>单独排入公共污水处理系统的生活污水无需开展自行监测，但需要说明排放去向，</w:t>
            </w:r>
            <w:r>
              <w:rPr>
                <w:rFonts w:hint="eastAsia" w:ascii="Times New Roman" w:hAnsi="Times New Roman" w:eastAsia="宋体" w:cs="Times New Roman"/>
                <w:color w:val="auto"/>
                <w:sz w:val="24"/>
              </w:rPr>
              <w:t>本项目水污染物监测方案如下表所示。</w:t>
            </w:r>
          </w:p>
          <w:p w14:paraId="28062A0D">
            <w:pPr>
              <w:keepNext w:val="0"/>
              <w:keepLines w:val="0"/>
              <w:suppressLineNumbers w:val="0"/>
              <w:spacing w:before="0" w:beforeAutospacing="0" w:after="0" w:afterAutospacing="0"/>
              <w:ind w:left="0" w:right="0"/>
              <w:jc w:val="center"/>
              <w:rPr>
                <w:rFonts w:hint="default" w:ascii="Times New Roman" w:hAnsi="Times New Roman" w:eastAsia="宋体" w:cs="Times New Roman"/>
                <w:b/>
                <w:bCs/>
                <w:color w:val="auto"/>
              </w:rPr>
            </w:pPr>
            <w:r>
              <w:rPr>
                <w:rFonts w:hint="eastAsia" w:ascii="Times New Roman" w:hAnsi="Times New Roman" w:eastAsia="宋体" w:cs="Times New Roman"/>
                <w:b/>
                <w:bCs/>
                <w:color w:val="auto"/>
              </w:rPr>
              <w:t>表4-1</w:t>
            </w:r>
            <w:r>
              <w:rPr>
                <w:rFonts w:hint="eastAsia" w:ascii="Times New Roman" w:hAnsi="Times New Roman" w:eastAsia="宋体" w:cs="Times New Roman"/>
                <w:b/>
                <w:bCs/>
                <w:color w:val="auto"/>
                <w:lang w:val="en-US" w:eastAsia="zh-CN"/>
              </w:rPr>
              <w:t>5</w:t>
            </w:r>
            <w:r>
              <w:rPr>
                <w:rFonts w:hint="eastAsia" w:ascii="Times New Roman" w:hAnsi="Times New Roman" w:eastAsia="宋体" w:cs="Times New Roman"/>
                <w:b/>
                <w:bCs/>
                <w:color w:val="auto"/>
              </w:rPr>
              <w:t xml:space="preserve">  排污口设置及水污染物监测计划</w:t>
            </w:r>
          </w:p>
          <w:tbl>
            <w:tblPr>
              <w:tblStyle w:val="22"/>
              <w:tblW w:w="4998"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49"/>
              <w:gridCol w:w="913"/>
              <w:gridCol w:w="745"/>
              <w:gridCol w:w="1671"/>
              <w:gridCol w:w="737"/>
              <w:gridCol w:w="722"/>
              <w:gridCol w:w="858"/>
              <w:gridCol w:w="1851"/>
              <w:gridCol w:w="1219"/>
              <w:gridCol w:w="1114"/>
              <w:gridCol w:w="1174"/>
              <w:gridCol w:w="1397"/>
            </w:tblGrid>
            <w:tr w14:paraId="41E957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320" w:type="pct"/>
                  <w:vMerge w:val="restart"/>
                  <w:vAlign w:val="center"/>
                </w:tcPr>
                <w:p w14:paraId="0F87FD2E">
                  <w:pPr>
                    <w:keepNext w:val="0"/>
                    <w:keepLines w:val="0"/>
                    <w:suppressLineNumbers w:val="0"/>
                    <w:spacing w:before="0" w:beforeAutospacing="0" w:after="0" w:afterAutospacing="0"/>
                    <w:ind w:left="0" w:right="0"/>
                    <w:jc w:val="center"/>
                    <w:rPr>
                      <w:rFonts w:hint="default" w:ascii="Times New Roman" w:hAnsi="Times New Roman" w:eastAsia="宋体" w:cs="Times New Roman"/>
                      <w:b/>
                      <w:bCs/>
                      <w:color w:val="auto"/>
                      <w:szCs w:val="21"/>
                    </w:rPr>
                  </w:pPr>
                  <w:r>
                    <w:rPr>
                      <w:rFonts w:hint="default" w:ascii="Times New Roman" w:hAnsi="Times New Roman" w:eastAsia="宋体" w:cs="Times New Roman"/>
                      <w:b/>
                      <w:bCs/>
                      <w:color w:val="auto"/>
                      <w:szCs w:val="21"/>
                    </w:rPr>
                    <w:t>污染源类别</w:t>
                  </w:r>
                </w:p>
              </w:tc>
              <w:tc>
                <w:tcPr>
                  <w:tcW w:w="344" w:type="pct"/>
                  <w:vMerge w:val="restart"/>
                  <w:vAlign w:val="center"/>
                </w:tcPr>
                <w:p w14:paraId="6F0899FC">
                  <w:pPr>
                    <w:keepNext w:val="0"/>
                    <w:keepLines w:val="0"/>
                    <w:suppressLineNumbers w:val="0"/>
                    <w:spacing w:before="0" w:beforeAutospacing="0" w:after="0" w:afterAutospacing="0"/>
                    <w:ind w:left="0" w:right="0"/>
                    <w:jc w:val="center"/>
                    <w:rPr>
                      <w:rFonts w:hint="default" w:ascii="Times New Roman" w:hAnsi="Times New Roman" w:eastAsia="宋体" w:cs="Times New Roman"/>
                      <w:b/>
                      <w:bCs/>
                      <w:color w:val="auto"/>
                      <w:szCs w:val="21"/>
                    </w:rPr>
                  </w:pPr>
                  <w:r>
                    <w:rPr>
                      <w:rFonts w:hint="default" w:ascii="Times New Roman" w:hAnsi="Times New Roman" w:eastAsia="宋体" w:cs="Times New Roman"/>
                      <w:b/>
                      <w:bCs/>
                      <w:color w:val="auto"/>
                      <w:szCs w:val="21"/>
                    </w:rPr>
                    <w:t>排放口编号</w:t>
                  </w:r>
                </w:p>
              </w:tc>
              <w:tc>
                <w:tcPr>
                  <w:tcW w:w="281" w:type="pct"/>
                  <w:vMerge w:val="restart"/>
                  <w:vAlign w:val="center"/>
                </w:tcPr>
                <w:p w14:paraId="3808554E">
                  <w:pPr>
                    <w:keepNext w:val="0"/>
                    <w:keepLines w:val="0"/>
                    <w:suppressLineNumbers w:val="0"/>
                    <w:spacing w:before="0" w:beforeAutospacing="0" w:after="0" w:afterAutospacing="0"/>
                    <w:ind w:left="0" w:right="0"/>
                    <w:jc w:val="center"/>
                    <w:rPr>
                      <w:rFonts w:hint="default" w:ascii="Times New Roman" w:hAnsi="Times New Roman" w:eastAsia="宋体" w:cs="Times New Roman"/>
                      <w:b/>
                      <w:bCs/>
                      <w:color w:val="auto"/>
                      <w:szCs w:val="21"/>
                    </w:rPr>
                  </w:pPr>
                  <w:r>
                    <w:rPr>
                      <w:rFonts w:hint="default" w:ascii="Times New Roman" w:hAnsi="Times New Roman" w:eastAsia="宋体" w:cs="Times New Roman"/>
                      <w:b/>
                      <w:bCs/>
                      <w:color w:val="auto"/>
                      <w:szCs w:val="21"/>
                    </w:rPr>
                    <w:t>排放方式</w:t>
                  </w:r>
                </w:p>
              </w:tc>
              <w:tc>
                <w:tcPr>
                  <w:tcW w:w="908" w:type="pct"/>
                  <w:gridSpan w:val="2"/>
                  <w:vAlign w:val="center"/>
                </w:tcPr>
                <w:p w14:paraId="32BD5572">
                  <w:pPr>
                    <w:keepNext w:val="0"/>
                    <w:keepLines w:val="0"/>
                    <w:suppressLineNumbers w:val="0"/>
                    <w:spacing w:before="0" w:beforeAutospacing="0" w:after="0" w:afterAutospacing="0"/>
                    <w:ind w:left="0" w:right="0"/>
                    <w:jc w:val="center"/>
                    <w:rPr>
                      <w:rFonts w:hint="default" w:ascii="Times New Roman" w:hAnsi="Times New Roman" w:eastAsia="宋体" w:cs="Times New Roman"/>
                      <w:b/>
                      <w:bCs/>
                      <w:color w:val="auto"/>
                      <w:szCs w:val="21"/>
                    </w:rPr>
                  </w:pPr>
                  <w:r>
                    <w:rPr>
                      <w:rFonts w:hint="default" w:ascii="Times New Roman" w:hAnsi="Times New Roman" w:eastAsia="宋体" w:cs="Times New Roman"/>
                      <w:b/>
                      <w:bCs/>
                      <w:color w:val="auto"/>
                      <w:szCs w:val="21"/>
                    </w:rPr>
                    <w:t>排放口情况</w:t>
                  </w:r>
                </w:p>
              </w:tc>
              <w:tc>
                <w:tcPr>
                  <w:tcW w:w="272" w:type="pct"/>
                  <w:vMerge w:val="restart"/>
                  <w:vAlign w:val="center"/>
                </w:tcPr>
                <w:p w14:paraId="2483D487">
                  <w:pPr>
                    <w:keepNext w:val="0"/>
                    <w:keepLines w:val="0"/>
                    <w:suppressLineNumbers w:val="0"/>
                    <w:spacing w:before="0" w:beforeAutospacing="0" w:after="0" w:afterAutospacing="0"/>
                    <w:ind w:left="0" w:right="0"/>
                    <w:jc w:val="center"/>
                    <w:rPr>
                      <w:rFonts w:hint="default" w:ascii="Times New Roman" w:hAnsi="Times New Roman" w:eastAsia="宋体" w:cs="Times New Roman"/>
                      <w:b/>
                      <w:bCs/>
                      <w:color w:val="auto"/>
                      <w:szCs w:val="21"/>
                    </w:rPr>
                  </w:pPr>
                  <w:r>
                    <w:rPr>
                      <w:rFonts w:hint="default" w:ascii="Times New Roman" w:hAnsi="Times New Roman" w:eastAsia="宋体" w:cs="Times New Roman"/>
                      <w:b/>
                      <w:bCs/>
                      <w:color w:val="auto"/>
                      <w:szCs w:val="21"/>
                    </w:rPr>
                    <w:t>排放方式</w:t>
                  </w:r>
                </w:p>
              </w:tc>
              <w:tc>
                <w:tcPr>
                  <w:tcW w:w="323" w:type="pct"/>
                  <w:vMerge w:val="restart"/>
                  <w:vAlign w:val="center"/>
                </w:tcPr>
                <w:p w14:paraId="707CF7E9">
                  <w:pPr>
                    <w:keepNext w:val="0"/>
                    <w:keepLines w:val="0"/>
                    <w:suppressLineNumbers w:val="0"/>
                    <w:spacing w:before="0" w:beforeAutospacing="0" w:after="0" w:afterAutospacing="0"/>
                    <w:ind w:left="0" w:right="0"/>
                    <w:jc w:val="center"/>
                    <w:rPr>
                      <w:rFonts w:hint="default" w:ascii="Times New Roman" w:hAnsi="Times New Roman" w:eastAsia="宋体" w:cs="Times New Roman"/>
                      <w:b/>
                      <w:bCs/>
                      <w:color w:val="auto"/>
                      <w:szCs w:val="21"/>
                    </w:rPr>
                  </w:pPr>
                  <w:r>
                    <w:rPr>
                      <w:rFonts w:hint="default" w:ascii="Times New Roman" w:hAnsi="Times New Roman" w:eastAsia="宋体" w:cs="Times New Roman"/>
                      <w:b/>
                      <w:bCs/>
                      <w:color w:val="auto"/>
                      <w:szCs w:val="21"/>
                    </w:rPr>
                    <w:t>排放</w:t>
                  </w:r>
                </w:p>
                <w:p w14:paraId="053FA0AE">
                  <w:pPr>
                    <w:keepNext w:val="0"/>
                    <w:keepLines w:val="0"/>
                    <w:suppressLineNumbers w:val="0"/>
                    <w:spacing w:before="0" w:beforeAutospacing="0" w:after="0" w:afterAutospacing="0"/>
                    <w:ind w:left="0" w:right="0"/>
                    <w:jc w:val="center"/>
                    <w:rPr>
                      <w:rFonts w:hint="default" w:ascii="Times New Roman" w:hAnsi="Times New Roman" w:eastAsia="宋体" w:cs="Times New Roman"/>
                      <w:b/>
                      <w:bCs/>
                      <w:color w:val="auto"/>
                      <w:szCs w:val="21"/>
                    </w:rPr>
                  </w:pPr>
                  <w:r>
                    <w:rPr>
                      <w:rFonts w:hint="default" w:ascii="Times New Roman" w:hAnsi="Times New Roman" w:eastAsia="宋体" w:cs="Times New Roman"/>
                      <w:b/>
                      <w:bCs/>
                      <w:color w:val="auto"/>
                      <w:szCs w:val="21"/>
                    </w:rPr>
                    <w:t>去向</w:t>
                  </w:r>
                </w:p>
              </w:tc>
              <w:tc>
                <w:tcPr>
                  <w:tcW w:w="698" w:type="pct"/>
                  <w:vMerge w:val="restart"/>
                  <w:vAlign w:val="center"/>
                </w:tcPr>
                <w:p w14:paraId="7503F093">
                  <w:pPr>
                    <w:keepNext w:val="0"/>
                    <w:keepLines w:val="0"/>
                    <w:suppressLineNumbers w:val="0"/>
                    <w:spacing w:before="0" w:beforeAutospacing="0" w:after="0" w:afterAutospacing="0"/>
                    <w:ind w:left="0" w:right="0"/>
                    <w:jc w:val="center"/>
                    <w:rPr>
                      <w:rFonts w:hint="default" w:ascii="Times New Roman" w:hAnsi="Times New Roman" w:eastAsia="宋体" w:cs="Times New Roman"/>
                      <w:b/>
                      <w:bCs/>
                      <w:color w:val="auto"/>
                      <w:szCs w:val="21"/>
                    </w:rPr>
                  </w:pPr>
                  <w:r>
                    <w:rPr>
                      <w:rFonts w:hint="default" w:ascii="Times New Roman" w:hAnsi="Times New Roman" w:eastAsia="宋体" w:cs="Times New Roman"/>
                      <w:b/>
                      <w:bCs/>
                      <w:color w:val="auto"/>
                      <w:szCs w:val="21"/>
                    </w:rPr>
                    <w:t>排放规律</w:t>
                  </w:r>
                </w:p>
              </w:tc>
              <w:tc>
                <w:tcPr>
                  <w:tcW w:w="1323" w:type="pct"/>
                  <w:gridSpan w:val="3"/>
                  <w:vAlign w:val="center"/>
                </w:tcPr>
                <w:p w14:paraId="33312E8A">
                  <w:pPr>
                    <w:keepNext w:val="0"/>
                    <w:keepLines w:val="0"/>
                    <w:suppressLineNumbers w:val="0"/>
                    <w:spacing w:before="0" w:beforeAutospacing="0" w:after="0" w:afterAutospacing="0"/>
                    <w:ind w:left="0" w:right="0"/>
                    <w:jc w:val="center"/>
                    <w:rPr>
                      <w:rFonts w:hint="default" w:ascii="Times New Roman" w:hAnsi="Times New Roman" w:eastAsia="宋体" w:cs="Times New Roman"/>
                      <w:b/>
                      <w:bCs/>
                      <w:color w:val="auto"/>
                      <w:szCs w:val="21"/>
                    </w:rPr>
                  </w:pPr>
                  <w:r>
                    <w:rPr>
                      <w:rFonts w:hint="default" w:ascii="Times New Roman" w:hAnsi="Times New Roman" w:eastAsia="宋体" w:cs="Times New Roman"/>
                      <w:b/>
                      <w:bCs/>
                      <w:color w:val="auto"/>
                      <w:szCs w:val="21"/>
                    </w:rPr>
                    <w:t>检测要求</w:t>
                  </w:r>
                </w:p>
              </w:tc>
              <w:tc>
                <w:tcPr>
                  <w:tcW w:w="527" w:type="pct"/>
                  <w:vAlign w:val="center"/>
                </w:tcPr>
                <w:p w14:paraId="00D336C8">
                  <w:pPr>
                    <w:keepNext w:val="0"/>
                    <w:keepLines w:val="0"/>
                    <w:suppressLineNumbers w:val="0"/>
                    <w:spacing w:before="0" w:beforeAutospacing="0" w:after="0" w:afterAutospacing="0"/>
                    <w:ind w:left="0" w:right="0"/>
                    <w:jc w:val="center"/>
                    <w:rPr>
                      <w:rFonts w:hint="default" w:ascii="Times New Roman" w:hAnsi="Times New Roman" w:eastAsia="宋体" w:cs="Times New Roman"/>
                      <w:b/>
                      <w:bCs/>
                      <w:color w:val="auto"/>
                      <w:szCs w:val="21"/>
                    </w:rPr>
                  </w:pPr>
                  <w:r>
                    <w:rPr>
                      <w:rFonts w:hint="default" w:ascii="Times New Roman" w:hAnsi="Times New Roman" w:eastAsia="宋体" w:cs="Times New Roman"/>
                      <w:b/>
                      <w:bCs/>
                      <w:color w:val="auto"/>
                      <w:szCs w:val="21"/>
                    </w:rPr>
                    <w:t>排放标准</w:t>
                  </w:r>
                </w:p>
              </w:tc>
            </w:tr>
            <w:tr w14:paraId="68C412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320" w:type="pct"/>
                  <w:vMerge w:val="continue"/>
                  <w:vAlign w:val="center"/>
                </w:tcPr>
                <w:p w14:paraId="2FD054E0">
                  <w:pPr>
                    <w:keepNext w:val="0"/>
                    <w:keepLines w:val="0"/>
                    <w:suppressLineNumbers w:val="0"/>
                    <w:spacing w:before="0" w:beforeAutospacing="0" w:after="0" w:afterAutospacing="0"/>
                    <w:ind w:left="0" w:right="0"/>
                    <w:jc w:val="center"/>
                    <w:rPr>
                      <w:rFonts w:hint="default" w:ascii="Times New Roman" w:hAnsi="Times New Roman" w:eastAsia="宋体" w:cs="Times New Roman"/>
                      <w:b/>
                      <w:bCs/>
                      <w:color w:val="auto"/>
                      <w:szCs w:val="21"/>
                    </w:rPr>
                  </w:pPr>
                </w:p>
              </w:tc>
              <w:tc>
                <w:tcPr>
                  <w:tcW w:w="344" w:type="pct"/>
                  <w:vMerge w:val="continue"/>
                  <w:vAlign w:val="center"/>
                </w:tcPr>
                <w:p w14:paraId="6654F176">
                  <w:pPr>
                    <w:keepNext w:val="0"/>
                    <w:keepLines w:val="0"/>
                    <w:suppressLineNumbers w:val="0"/>
                    <w:spacing w:before="0" w:beforeAutospacing="0" w:after="0" w:afterAutospacing="0"/>
                    <w:ind w:left="0" w:right="0"/>
                    <w:jc w:val="center"/>
                    <w:rPr>
                      <w:rFonts w:hint="default" w:ascii="Times New Roman" w:hAnsi="Times New Roman" w:eastAsia="宋体" w:cs="Times New Roman"/>
                      <w:b/>
                      <w:bCs/>
                      <w:color w:val="auto"/>
                      <w:szCs w:val="21"/>
                    </w:rPr>
                  </w:pPr>
                </w:p>
              </w:tc>
              <w:tc>
                <w:tcPr>
                  <w:tcW w:w="281" w:type="pct"/>
                  <w:vMerge w:val="continue"/>
                  <w:vAlign w:val="center"/>
                </w:tcPr>
                <w:p w14:paraId="63C01EC5">
                  <w:pPr>
                    <w:keepNext w:val="0"/>
                    <w:keepLines w:val="0"/>
                    <w:suppressLineNumbers w:val="0"/>
                    <w:spacing w:before="0" w:beforeAutospacing="0" w:after="0" w:afterAutospacing="0"/>
                    <w:ind w:left="0" w:right="0"/>
                    <w:jc w:val="center"/>
                    <w:rPr>
                      <w:rFonts w:hint="default" w:ascii="Times New Roman" w:hAnsi="Times New Roman" w:eastAsia="宋体" w:cs="Times New Roman"/>
                      <w:b/>
                      <w:bCs/>
                      <w:color w:val="auto"/>
                      <w:szCs w:val="21"/>
                    </w:rPr>
                  </w:pPr>
                </w:p>
              </w:tc>
              <w:tc>
                <w:tcPr>
                  <w:tcW w:w="630" w:type="pct"/>
                  <w:vAlign w:val="center"/>
                </w:tcPr>
                <w:p w14:paraId="5C6962C7">
                  <w:pPr>
                    <w:keepNext w:val="0"/>
                    <w:keepLines w:val="0"/>
                    <w:suppressLineNumbers w:val="0"/>
                    <w:spacing w:before="0" w:beforeAutospacing="0" w:after="0" w:afterAutospacing="0"/>
                    <w:ind w:left="0" w:right="0"/>
                    <w:jc w:val="center"/>
                    <w:rPr>
                      <w:rFonts w:hint="default" w:ascii="Times New Roman" w:hAnsi="Times New Roman" w:eastAsia="宋体" w:cs="Times New Roman"/>
                      <w:b/>
                      <w:bCs/>
                      <w:color w:val="auto"/>
                      <w:szCs w:val="21"/>
                    </w:rPr>
                  </w:pPr>
                  <w:r>
                    <w:rPr>
                      <w:rFonts w:hint="default" w:ascii="Times New Roman" w:hAnsi="Times New Roman" w:eastAsia="宋体" w:cs="Times New Roman"/>
                      <w:b/>
                      <w:bCs/>
                      <w:color w:val="auto"/>
                      <w:szCs w:val="21"/>
                    </w:rPr>
                    <w:t>坐标</w:t>
                  </w:r>
                </w:p>
              </w:tc>
              <w:tc>
                <w:tcPr>
                  <w:tcW w:w="278" w:type="pct"/>
                  <w:vAlign w:val="center"/>
                </w:tcPr>
                <w:p w14:paraId="51FF45C2">
                  <w:pPr>
                    <w:keepNext w:val="0"/>
                    <w:keepLines w:val="0"/>
                    <w:suppressLineNumbers w:val="0"/>
                    <w:spacing w:before="0" w:beforeAutospacing="0" w:after="0" w:afterAutospacing="0"/>
                    <w:ind w:left="0" w:right="0"/>
                    <w:jc w:val="center"/>
                    <w:rPr>
                      <w:rFonts w:hint="default" w:ascii="Times New Roman" w:hAnsi="Times New Roman" w:eastAsia="宋体" w:cs="Times New Roman"/>
                      <w:b/>
                      <w:bCs/>
                      <w:color w:val="auto"/>
                      <w:szCs w:val="21"/>
                    </w:rPr>
                  </w:pPr>
                  <w:r>
                    <w:rPr>
                      <w:rFonts w:hint="default" w:ascii="Times New Roman" w:hAnsi="Times New Roman" w:eastAsia="宋体" w:cs="Times New Roman"/>
                      <w:b/>
                      <w:bCs/>
                      <w:color w:val="auto"/>
                      <w:szCs w:val="21"/>
                    </w:rPr>
                    <w:t>类型</w:t>
                  </w:r>
                </w:p>
              </w:tc>
              <w:tc>
                <w:tcPr>
                  <w:tcW w:w="272" w:type="pct"/>
                  <w:vMerge w:val="continue"/>
                  <w:vAlign w:val="center"/>
                </w:tcPr>
                <w:p w14:paraId="4923F8AB">
                  <w:pPr>
                    <w:keepNext w:val="0"/>
                    <w:keepLines w:val="0"/>
                    <w:suppressLineNumbers w:val="0"/>
                    <w:spacing w:before="0" w:beforeAutospacing="0" w:after="0" w:afterAutospacing="0"/>
                    <w:ind w:left="0" w:right="0"/>
                    <w:jc w:val="center"/>
                    <w:rPr>
                      <w:rFonts w:hint="default" w:ascii="Times New Roman" w:hAnsi="Times New Roman" w:eastAsia="宋体" w:cs="Times New Roman"/>
                      <w:b/>
                      <w:bCs/>
                      <w:color w:val="auto"/>
                      <w:szCs w:val="21"/>
                    </w:rPr>
                  </w:pPr>
                </w:p>
              </w:tc>
              <w:tc>
                <w:tcPr>
                  <w:tcW w:w="323" w:type="pct"/>
                  <w:vMerge w:val="continue"/>
                  <w:vAlign w:val="center"/>
                </w:tcPr>
                <w:p w14:paraId="0407A61F">
                  <w:pPr>
                    <w:keepNext w:val="0"/>
                    <w:keepLines w:val="0"/>
                    <w:suppressLineNumbers w:val="0"/>
                    <w:spacing w:before="0" w:beforeAutospacing="0" w:after="0" w:afterAutospacing="0"/>
                    <w:ind w:left="0" w:right="0"/>
                    <w:jc w:val="center"/>
                    <w:rPr>
                      <w:rFonts w:hint="default" w:ascii="Times New Roman" w:hAnsi="Times New Roman" w:eastAsia="宋体" w:cs="Times New Roman"/>
                      <w:b/>
                      <w:bCs/>
                      <w:color w:val="auto"/>
                      <w:szCs w:val="21"/>
                    </w:rPr>
                  </w:pPr>
                </w:p>
              </w:tc>
              <w:tc>
                <w:tcPr>
                  <w:tcW w:w="698" w:type="pct"/>
                  <w:vMerge w:val="continue"/>
                  <w:vAlign w:val="center"/>
                </w:tcPr>
                <w:p w14:paraId="347C9940">
                  <w:pPr>
                    <w:keepNext w:val="0"/>
                    <w:keepLines w:val="0"/>
                    <w:suppressLineNumbers w:val="0"/>
                    <w:spacing w:before="0" w:beforeAutospacing="0" w:after="0" w:afterAutospacing="0"/>
                    <w:ind w:left="0" w:right="0"/>
                    <w:jc w:val="center"/>
                    <w:rPr>
                      <w:rFonts w:hint="default" w:ascii="Times New Roman" w:hAnsi="Times New Roman" w:eastAsia="宋体" w:cs="Times New Roman"/>
                      <w:b/>
                      <w:bCs/>
                      <w:color w:val="auto"/>
                      <w:szCs w:val="21"/>
                    </w:rPr>
                  </w:pPr>
                </w:p>
              </w:tc>
              <w:tc>
                <w:tcPr>
                  <w:tcW w:w="460" w:type="pct"/>
                  <w:vAlign w:val="center"/>
                </w:tcPr>
                <w:p w14:paraId="2B10099D">
                  <w:pPr>
                    <w:keepNext w:val="0"/>
                    <w:keepLines w:val="0"/>
                    <w:suppressLineNumbers w:val="0"/>
                    <w:spacing w:before="0" w:beforeAutospacing="0" w:after="0" w:afterAutospacing="0"/>
                    <w:ind w:left="0" w:right="0"/>
                    <w:jc w:val="center"/>
                    <w:rPr>
                      <w:rFonts w:hint="default" w:ascii="Times New Roman" w:hAnsi="Times New Roman" w:eastAsia="宋体" w:cs="Times New Roman"/>
                      <w:b/>
                      <w:bCs/>
                      <w:color w:val="auto"/>
                      <w:szCs w:val="21"/>
                    </w:rPr>
                  </w:pPr>
                  <w:r>
                    <w:rPr>
                      <w:rFonts w:hint="default" w:ascii="Times New Roman" w:hAnsi="Times New Roman" w:eastAsia="宋体" w:cs="Times New Roman"/>
                      <w:b/>
                      <w:bCs/>
                      <w:color w:val="auto"/>
                      <w:szCs w:val="21"/>
                    </w:rPr>
                    <w:t>监测点位</w:t>
                  </w:r>
                </w:p>
              </w:tc>
              <w:tc>
                <w:tcPr>
                  <w:tcW w:w="420" w:type="pct"/>
                  <w:vAlign w:val="center"/>
                </w:tcPr>
                <w:p w14:paraId="214D8BF4">
                  <w:pPr>
                    <w:keepNext w:val="0"/>
                    <w:keepLines w:val="0"/>
                    <w:suppressLineNumbers w:val="0"/>
                    <w:spacing w:before="0" w:beforeAutospacing="0" w:after="0" w:afterAutospacing="0"/>
                    <w:ind w:left="0" w:right="0"/>
                    <w:jc w:val="center"/>
                    <w:rPr>
                      <w:rFonts w:hint="eastAsia" w:ascii="Times New Roman" w:hAnsi="Times New Roman" w:eastAsia="宋体" w:cs="Times New Roman"/>
                      <w:b/>
                      <w:bCs/>
                      <w:color w:val="auto"/>
                      <w:szCs w:val="21"/>
                      <w:lang w:val="en-US" w:eastAsia="zh-CN"/>
                    </w:rPr>
                  </w:pPr>
                  <w:r>
                    <w:rPr>
                      <w:rFonts w:hint="default" w:ascii="Times New Roman" w:hAnsi="Times New Roman" w:eastAsia="宋体" w:cs="Times New Roman"/>
                      <w:b/>
                      <w:bCs/>
                      <w:color w:val="auto"/>
                      <w:szCs w:val="21"/>
                    </w:rPr>
                    <w:t>监测</w:t>
                  </w:r>
                  <w:r>
                    <w:rPr>
                      <w:rFonts w:hint="default" w:ascii="Times New Roman" w:hAnsi="Times New Roman" w:eastAsia="宋体" w:cs="Times New Roman"/>
                      <w:b/>
                      <w:bCs/>
                      <w:color w:val="FF0000"/>
                      <w:szCs w:val="21"/>
                    </w:rPr>
                    <w:t>因</w:t>
                  </w:r>
                  <w:r>
                    <w:rPr>
                      <w:rFonts w:hint="eastAsia" w:ascii="Times New Roman" w:hAnsi="Times New Roman" w:eastAsia="宋体" w:cs="Times New Roman"/>
                      <w:b/>
                      <w:bCs/>
                      <w:color w:val="FF0000"/>
                      <w:szCs w:val="21"/>
                      <w:lang w:val="en-US" w:eastAsia="zh-CN"/>
                    </w:rPr>
                    <w:t>子</w:t>
                  </w:r>
                </w:p>
              </w:tc>
              <w:tc>
                <w:tcPr>
                  <w:tcW w:w="442" w:type="pct"/>
                  <w:vAlign w:val="center"/>
                </w:tcPr>
                <w:p w14:paraId="36FEC0CB">
                  <w:pPr>
                    <w:keepNext w:val="0"/>
                    <w:keepLines w:val="0"/>
                    <w:suppressLineNumbers w:val="0"/>
                    <w:spacing w:before="0" w:beforeAutospacing="0" w:after="0" w:afterAutospacing="0"/>
                    <w:ind w:left="0" w:right="0"/>
                    <w:jc w:val="center"/>
                    <w:rPr>
                      <w:rFonts w:hint="default" w:ascii="Times New Roman" w:hAnsi="Times New Roman" w:eastAsia="宋体" w:cs="Times New Roman"/>
                      <w:b/>
                      <w:bCs/>
                      <w:color w:val="auto"/>
                      <w:szCs w:val="21"/>
                    </w:rPr>
                  </w:pPr>
                  <w:r>
                    <w:rPr>
                      <w:rFonts w:hint="default" w:ascii="Times New Roman" w:hAnsi="Times New Roman" w:eastAsia="宋体" w:cs="Times New Roman"/>
                      <w:b/>
                      <w:bCs/>
                      <w:color w:val="auto"/>
                      <w:szCs w:val="21"/>
                    </w:rPr>
                    <w:t>监测频次</w:t>
                  </w:r>
                </w:p>
              </w:tc>
              <w:tc>
                <w:tcPr>
                  <w:tcW w:w="527" w:type="pct"/>
                  <w:vAlign w:val="center"/>
                </w:tcPr>
                <w:p w14:paraId="66370B94">
                  <w:pPr>
                    <w:keepNext w:val="0"/>
                    <w:keepLines w:val="0"/>
                    <w:suppressLineNumbers w:val="0"/>
                    <w:spacing w:before="0" w:beforeAutospacing="0" w:after="0" w:afterAutospacing="0"/>
                    <w:ind w:left="0" w:right="0"/>
                    <w:jc w:val="center"/>
                    <w:rPr>
                      <w:rFonts w:hint="default" w:ascii="Times New Roman" w:hAnsi="Times New Roman" w:eastAsia="宋体" w:cs="Times New Roman"/>
                      <w:b/>
                      <w:bCs/>
                      <w:color w:val="auto"/>
                      <w:szCs w:val="21"/>
                    </w:rPr>
                  </w:pPr>
                  <w:r>
                    <w:rPr>
                      <w:rFonts w:hint="default" w:ascii="Times New Roman" w:hAnsi="Times New Roman" w:eastAsia="宋体" w:cs="Times New Roman"/>
                      <w:b/>
                      <w:bCs/>
                      <w:color w:val="auto"/>
                      <w:szCs w:val="21"/>
                    </w:rPr>
                    <w:t>浓度限值（mg/L）</w:t>
                  </w:r>
                </w:p>
              </w:tc>
            </w:tr>
            <w:tr w14:paraId="3AB829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320" w:type="pct"/>
                  <w:vMerge w:val="restart"/>
                  <w:vAlign w:val="center"/>
                </w:tcPr>
                <w:p w14:paraId="4512C4E6">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rPr>
                    <w:t>废水</w:t>
                  </w:r>
                </w:p>
              </w:tc>
              <w:tc>
                <w:tcPr>
                  <w:tcW w:w="344" w:type="pct"/>
                  <w:vMerge w:val="restart"/>
                  <w:vAlign w:val="center"/>
                </w:tcPr>
                <w:p w14:paraId="7C1897BF">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rPr>
                    <w:t>DW001</w:t>
                  </w:r>
                </w:p>
              </w:tc>
              <w:tc>
                <w:tcPr>
                  <w:tcW w:w="281" w:type="pct"/>
                  <w:vMerge w:val="restart"/>
                  <w:vAlign w:val="center"/>
                </w:tcPr>
                <w:p w14:paraId="568285AD">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rPr>
                    <w:t>间接排放</w:t>
                  </w:r>
                </w:p>
              </w:tc>
              <w:tc>
                <w:tcPr>
                  <w:tcW w:w="630" w:type="pct"/>
                  <w:vMerge w:val="restart"/>
                  <w:vAlign w:val="center"/>
                </w:tcPr>
                <w:p w14:paraId="207DD34A">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lang w:val="en-US" w:eastAsia="zh-CN"/>
                    </w:rPr>
                  </w:pPr>
                  <w:r>
                    <w:rPr>
                      <w:rFonts w:hint="default" w:ascii="Times New Roman" w:hAnsi="Times New Roman" w:eastAsia="宋体" w:cs="Times New Roman"/>
                      <w:color w:val="auto"/>
                      <w:szCs w:val="21"/>
                    </w:rPr>
                    <w:t>E</w:t>
                  </w:r>
                  <w:r>
                    <w:rPr>
                      <w:rFonts w:hint="default" w:ascii="Times New Roman" w:hAnsi="Times New Roman" w:eastAsia="宋体" w:cs="Times New Roman"/>
                      <w:color w:val="auto"/>
                      <w:szCs w:val="21"/>
                      <w:lang w:val="en-US" w:eastAsia="zh-CN"/>
                    </w:rPr>
                    <w:t>119°39'00.623"</w:t>
                  </w:r>
                </w:p>
                <w:p w14:paraId="684F3176">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rPr>
                    <w:t>N</w:t>
                  </w:r>
                  <w:r>
                    <w:rPr>
                      <w:rFonts w:hint="default" w:ascii="Times New Roman" w:hAnsi="Times New Roman" w:eastAsia="宋体" w:cs="Times New Roman"/>
                      <w:color w:val="auto"/>
                      <w:szCs w:val="21"/>
                      <w:lang w:val="en-US" w:eastAsia="zh-CN"/>
                    </w:rPr>
                    <w:t>30°47'03.952"</w:t>
                  </w:r>
                </w:p>
              </w:tc>
              <w:tc>
                <w:tcPr>
                  <w:tcW w:w="278" w:type="pct"/>
                  <w:vMerge w:val="restart"/>
                  <w:vAlign w:val="center"/>
                </w:tcPr>
                <w:p w14:paraId="4129601F">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rPr>
                    <w:t>一般排放口</w:t>
                  </w:r>
                </w:p>
              </w:tc>
              <w:tc>
                <w:tcPr>
                  <w:tcW w:w="272" w:type="pct"/>
                  <w:vMerge w:val="restart"/>
                  <w:vAlign w:val="center"/>
                </w:tcPr>
                <w:p w14:paraId="6B596072">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rPr>
                    <w:t>间接排放</w:t>
                  </w:r>
                </w:p>
              </w:tc>
              <w:tc>
                <w:tcPr>
                  <w:tcW w:w="323" w:type="pct"/>
                  <w:vMerge w:val="restart"/>
                  <w:vAlign w:val="center"/>
                </w:tcPr>
                <w:p w14:paraId="5ED5F7CA">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rPr>
                    <w:t>安吉清源污水处理有限公司</w:t>
                  </w:r>
                </w:p>
              </w:tc>
              <w:tc>
                <w:tcPr>
                  <w:tcW w:w="698" w:type="pct"/>
                  <w:vMerge w:val="restart"/>
                  <w:vAlign w:val="center"/>
                </w:tcPr>
                <w:p w14:paraId="518FDC52">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rPr>
                    <w:t>间断排放，排放期间流量不稳定且无规律，但不属于冲击型排放</w:t>
                  </w:r>
                </w:p>
              </w:tc>
              <w:tc>
                <w:tcPr>
                  <w:tcW w:w="460" w:type="pct"/>
                  <w:vMerge w:val="restart"/>
                  <w:vAlign w:val="center"/>
                </w:tcPr>
                <w:p w14:paraId="17040AC3">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rPr>
                    <w:t>生活污水排放口</w:t>
                  </w:r>
                </w:p>
              </w:tc>
              <w:tc>
                <w:tcPr>
                  <w:tcW w:w="420" w:type="pct"/>
                  <w:vAlign w:val="center"/>
                </w:tcPr>
                <w:p w14:paraId="111D8D92">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rPr>
                    <w:t>COD</w:t>
                  </w:r>
                  <w:r>
                    <w:rPr>
                      <w:rFonts w:hint="default" w:ascii="Times New Roman" w:hAnsi="Times New Roman" w:eastAsia="宋体" w:cs="Times New Roman"/>
                      <w:color w:val="auto"/>
                      <w:szCs w:val="21"/>
                      <w:vertAlign w:val="subscript"/>
                    </w:rPr>
                    <w:t>Cr</w:t>
                  </w:r>
                </w:p>
              </w:tc>
              <w:tc>
                <w:tcPr>
                  <w:tcW w:w="442" w:type="pct"/>
                  <w:vMerge w:val="restart"/>
                  <w:vAlign w:val="center"/>
                </w:tcPr>
                <w:p w14:paraId="35CCCC64">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r>
                    <w:rPr>
                      <w:rFonts w:hint="default" w:ascii="Times New Roman" w:hAnsi="Times New Roman" w:eastAsia="宋体" w:cs="Times New Roman"/>
                      <w:color w:val="0000E1"/>
                      <w:szCs w:val="21"/>
                    </w:rPr>
                    <w:t>免予开展自行监测</w:t>
                  </w:r>
                </w:p>
              </w:tc>
              <w:tc>
                <w:tcPr>
                  <w:tcW w:w="527" w:type="pct"/>
                  <w:vAlign w:val="center"/>
                </w:tcPr>
                <w:p w14:paraId="0CC9F491">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rPr>
                    <w:t>≤500</w:t>
                  </w:r>
                </w:p>
              </w:tc>
            </w:tr>
            <w:tr w14:paraId="49811C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320" w:type="pct"/>
                  <w:vMerge w:val="continue"/>
                  <w:vAlign w:val="center"/>
                </w:tcPr>
                <w:p w14:paraId="460FAC23">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p>
              </w:tc>
              <w:tc>
                <w:tcPr>
                  <w:tcW w:w="344" w:type="pct"/>
                  <w:vMerge w:val="continue"/>
                  <w:vAlign w:val="center"/>
                </w:tcPr>
                <w:p w14:paraId="624B94ED">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p>
              </w:tc>
              <w:tc>
                <w:tcPr>
                  <w:tcW w:w="281" w:type="pct"/>
                  <w:vMerge w:val="continue"/>
                  <w:vAlign w:val="center"/>
                </w:tcPr>
                <w:p w14:paraId="089D3C9D">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p>
              </w:tc>
              <w:tc>
                <w:tcPr>
                  <w:tcW w:w="630" w:type="pct"/>
                  <w:vMerge w:val="continue"/>
                  <w:vAlign w:val="center"/>
                </w:tcPr>
                <w:p w14:paraId="132B17D3">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p>
              </w:tc>
              <w:tc>
                <w:tcPr>
                  <w:tcW w:w="278" w:type="pct"/>
                  <w:vMerge w:val="continue"/>
                  <w:vAlign w:val="center"/>
                </w:tcPr>
                <w:p w14:paraId="773DA362">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p>
              </w:tc>
              <w:tc>
                <w:tcPr>
                  <w:tcW w:w="272" w:type="pct"/>
                  <w:vMerge w:val="continue"/>
                  <w:vAlign w:val="center"/>
                </w:tcPr>
                <w:p w14:paraId="12B1ED7A">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p>
              </w:tc>
              <w:tc>
                <w:tcPr>
                  <w:tcW w:w="323" w:type="pct"/>
                  <w:vMerge w:val="continue"/>
                  <w:vAlign w:val="center"/>
                </w:tcPr>
                <w:p w14:paraId="4EF012FF">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p>
              </w:tc>
              <w:tc>
                <w:tcPr>
                  <w:tcW w:w="698" w:type="pct"/>
                  <w:vMerge w:val="continue"/>
                  <w:vAlign w:val="center"/>
                </w:tcPr>
                <w:p w14:paraId="6B15AAE2">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p>
              </w:tc>
              <w:tc>
                <w:tcPr>
                  <w:tcW w:w="460" w:type="pct"/>
                  <w:vMerge w:val="continue"/>
                  <w:vAlign w:val="center"/>
                </w:tcPr>
                <w:p w14:paraId="39498FAC">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p>
              </w:tc>
              <w:tc>
                <w:tcPr>
                  <w:tcW w:w="420" w:type="pct"/>
                  <w:vAlign w:val="center"/>
                </w:tcPr>
                <w:p w14:paraId="56197ECB">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rPr>
                    <w:t>氨氮</w:t>
                  </w:r>
                </w:p>
              </w:tc>
              <w:tc>
                <w:tcPr>
                  <w:tcW w:w="442" w:type="pct"/>
                  <w:vMerge w:val="continue"/>
                  <w:vAlign w:val="center"/>
                </w:tcPr>
                <w:p w14:paraId="2B220C43">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p>
              </w:tc>
              <w:tc>
                <w:tcPr>
                  <w:tcW w:w="527" w:type="pct"/>
                  <w:vAlign w:val="center"/>
                </w:tcPr>
                <w:p w14:paraId="543D2A00">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rPr>
                    <w:t>≤35</w:t>
                  </w:r>
                </w:p>
              </w:tc>
            </w:tr>
          </w:tbl>
          <w:p w14:paraId="1330B07C">
            <w:pPr>
              <w:keepNext w:val="0"/>
              <w:keepLines w:val="0"/>
              <w:suppressLineNumbers w:val="0"/>
              <w:spacing w:before="0" w:beforeAutospacing="0" w:after="0" w:afterAutospacing="0" w:line="360" w:lineRule="auto"/>
              <w:ind w:left="0" w:right="0"/>
              <w:rPr>
                <w:rFonts w:hint="default" w:ascii="Times New Roman" w:hAnsi="Times New Roman" w:eastAsia="宋体" w:cs="Times New Roman"/>
                <w:b/>
                <w:bCs/>
                <w:color w:val="auto"/>
                <w:sz w:val="24"/>
              </w:rPr>
            </w:pPr>
            <w:r>
              <w:rPr>
                <w:rFonts w:hint="eastAsia" w:ascii="Times New Roman" w:hAnsi="Times New Roman" w:eastAsia="宋体" w:cs="Times New Roman"/>
                <w:b/>
                <w:bCs/>
                <w:color w:val="auto"/>
                <w:sz w:val="24"/>
              </w:rPr>
              <w:t>4.2.2.4措施可行性及影响分析</w:t>
            </w:r>
          </w:p>
          <w:p w14:paraId="4DEF3107">
            <w:pPr>
              <w:keepNext w:val="0"/>
              <w:keepLines w:val="0"/>
              <w:suppressLineNumbers w:val="0"/>
              <w:spacing w:before="0" w:beforeAutospacing="0" w:after="0" w:afterAutospacing="0" w:line="360" w:lineRule="auto"/>
              <w:ind w:left="0" w:right="0" w:firstLine="480" w:firstLineChars="200"/>
              <w:rPr>
                <w:rFonts w:hint="default" w:ascii="Times New Roman" w:hAnsi="Times New Roman" w:eastAsia="宋体" w:cs="Times New Roman"/>
                <w:color w:val="auto"/>
                <w:sz w:val="24"/>
              </w:rPr>
            </w:pPr>
            <w:r>
              <w:rPr>
                <w:rFonts w:hint="eastAsia" w:ascii="Times New Roman" w:hAnsi="Times New Roman" w:eastAsia="宋体" w:cs="Times New Roman"/>
                <w:color w:val="auto"/>
                <w:sz w:val="24"/>
              </w:rPr>
              <w:t>（1）污水处理达标排放分析</w:t>
            </w:r>
          </w:p>
          <w:p w14:paraId="6C38CB48">
            <w:pPr>
              <w:keepNext w:val="0"/>
              <w:keepLines w:val="0"/>
              <w:suppressLineNumbers w:val="0"/>
              <w:spacing w:before="0" w:beforeAutospacing="0" w:after="0" w:afterAutospacing="0" w:line="360" w:lineRule="auto"/>
              <w:ind w:left="0" w:right="0" w:firstLine="480" w:firstLineChars="200"/>
              <w:rPr>
                <w:rFonts w:hint="default" w:ascii="Times New Roman" w:hAnsi="Times New Roman" w:eastAsia="宋体" w:cs="Times New Roman"/>
                <w:color w:val="auto"/>
                <w:sz w:val="24"/>
              </w:rPr>
            </w:pPr>
            <w:r>
              <w:rPr>
                <w:rFonts w:hint="eastAsia" w:ascii="Times New Roman" w:hAnsi="Times New Roman" w:eastAsia="宋体" w:cs="Times New Roman"/>
                <w:color w:val="auto"/>
                <w:sz w:val="24"/>
              </w:rPr>
              <w:t>本项目所在区域市政污水管网已经建成并接通使用，废水最终汇至安吉清源污水处理有限公司。项目仅排放生活污水，经预处理后可以满足纳管标准要求，对周边水环境无不利影响。</w:t>
            </w:r>
          </w:p>
          <w:p w14:paraId="59DB7F04">
            <w:pPr>
              <w:keepNext w:val="0"/>
              <w:keepLines w:val="0"/>
              <w:suppressLineNumbers w:val="0"/>
              <w:spacing w:before="0" w:beforeAutospacing="0" w:after="0" w:afterAutospacing="0" w:line="360" w:lineRule="auto"/>
              <w:ind w:left="0" w:right="0" w:firstLine="480" w:firstLineChars="200"/>
              <w:rPr>
                <w:rFonts w:hint="default" w:ascii="Times New Roman" w:hAnsi="Times New Roman" w:eastAsia="宋体" w:cs="Times New Roman"/>
                <w:color w:val="auto"/>
                <w:sz w:val="24"/>
              </w:rPr>
            </w:pPr>
            <w:r>
              <w:rPr>
                <w:rFonts w:hint="eastAsia" w:ascii="Times New Roman" w:hAnsi="Times New Roman" w:eastAsia="宋体" w:cs="Times New Roman"/>
                <w:color w:val="auto"/>
                <w:sz w:val="24"/>
              </w:rPr>
              <w:t>（2）依托集中污水处理厂可行性分析</w:t>
            </w:r>
          </w:p>
          <w:p w14:paraId="54A4B204">
            <w:pPr>
              <w:keepNext w:val="0"/>
              <w:keepLines w:val="0"/>
              <w:suppressLineNumbers w:val="0"/>
              <w:spacing w:before="0" w:beforeAutospacing="0" w:after="0" w:afterAutospacing="0" w:line="360" w:lineRule="auto"/>
              <w:ind w:left="0" w:right="0" w:firstLine="480" w:firstLineChars="200"/>
              <w:rPr>
                <w:rFonts w:hint="default" w:ascii="Times New Roman" w:hAnsi="Times New Roman" w:eastAsia="宋体" w:cs="Times New Roman"/>
                <w:color w:val="auto"/>
                <w:sz w:val="24"/>
              </w:rPr>
            </w:pPr>
            <w:r>
              <w:rPr>
                <w:rFonts w:hint="eastAsia" w:ascii="Times New Roman" w:hAnsi="Times New Roman" w:eastAsia="宋体" w:cs="Times New Roman"/>
                <w:color w:val="auto"/>
                <w:sz w:val="24"/>
              </w:rPr>
              <w:t>A、污水处理厂简介</w:t>
            </w:r>
          </w:p>
          <w:p w14:paraId="4D4E1D11">
            <w:pPr>
              <w:keepNext w:val="0"/>
              <w:keepLines w:val="0"/>
              <w:suppressLineNumbers w:val="0"/>
              <w:spacing w:before="0" w:beforeAutospacing="0" w:after="0" w:afterAutospacing="0" w:line="360" w:lineRule="auto"/>
              <w:ind w:left="0" w:right="0" w:firstLine="480" w:firstLineChars="200"/>
              <w:rPr>
                <w:rFonts w:hint="default" w:ascii="Times New Roman" w:hAnsi="Times New Roman" w:eastAsia="宋体" w:cs="Times New Roman"/>
                <w:color w:val="auto"/>
                <w:sz w:val="24"/>
              </w:rPr>
            </w:pPr>
            <w:r>
              <w:rPr>
                <w:rFonts w:hint="eastAsia" w:ascii="Times New Roman" w:hAnsi="Times New Roman" w:eastAsia="宋体" w:cs="Times New Roman"/>
                <w:color w:val="auto"/>
                <w:sz w:val="24"/>
              </w:rPr>
              <w:t>2015年安吉国源水务集团有限公司收购了安吉天子湖污水处理厂，并成立全资子公司安吉清源污水处理有限公司负责运营该污水处理厂。安吉清源污水处理有限公司设计总处理量2.5万m</w:t>
            </w:r>
            <w:r>
              <w:rPr>
                <w:rFonts w:hint="eastAsia" w:ascii="Times New Roman" w:hAnsi="Times New Roman" w:eastAsia="宋体" w:cs="Times New Roman"/>
                <w:color w:val="auto"/>
                <w:sz w:val="24"/>
                <w:vertAlign w:val="superscript"/>
              </w:rPr>
              <w:t>3</w:t>
            </w:r>
            <w:r>
              <w:rPr>
                <w:rFonts w:hint="eastAsia" w:ascii="Times New Roman" w:hAnsi="Times New Roman" w:eastAsia="宋体" w:cs="Times New Roman"/>
                <w:color w:val="auto"/>
                <w:sz w:val="24"/>
              </w:rPr>
              <w:t>/d（其中一期10000m</w:t>
            </w:r>
            <w:r>
              <w:rPr>
                <w:rFonts w:hint="eastAsia" w:ascii="Times New Roman" w:hAnsi="Times New Roman" w:eastAsia="宋体" w:cs="Times New Roman"/>
                <w:color w:val="auto"/>
                <w:sz w:val="24"/>
                <w:vertAlign w:val="superscript"/>
              </w:rPr>
              <w:t>3</w:t>
            </w:r>
            <w:r>
              <w:rPr>
                <w:rFonts w:hint="eastAsia" w:ascii="Times New Roman" w:hAnsi="Times New Roman" w:eastAsia="宋体" w:cs="Times New Roman"/>
                <w:color w:val="auto"/>
                <w:sz w:val="24"/>
              </w:rPr>
              <w:t>/d，实际建设7500m</w:t>
            </w:r>
            <w:r>
              <w:rPr>
                <w:rFonts w:hint="eastAsia" w:ascii="Times New Roman" w:hAnsi="Times New Roman" w:eastAsia="宋体" w:cs="Times New Roman"/>
                <w:color w:val="auto"/>
                <w:sz w:val="24"/>
                <w:vertAlign w:val="superscript"/>
              </w:rPr>
              <w:t>3</w:t>
            </w:r>
            <w:r>
              <w:rPr>
                <w:rFonts w:hint="eastAsia" w:ascii="Times New Roman" w:hAnsi="Times New Roman" w:eastAsia="宋体" w:cs="Times New Roman"/>
                <w:color w:val="auto"/>
                <w:sz w:val="24"/>
              </w:rPr>
              <w:t>/d；二期15000m</w:t>
            </w:r>
            <w:r>
              <w:rPr>
                <w:rFonts w:hint="eastAsia" w:ascii="Times New Roman" w:hAnsi="Times New Roman" w:eastAsia="宋体" w:cs="Times New Roman"/>
                <w:color w:val="auto"/>
                <w:sz w:val="24"/>
                <w:vertAlign w:val="superscript"/>
              </w:rPr>
              <w:t>3</w:t>
            </w:r>
            <w:r>
              <w:rPr>
                <w:rFonts w:hint="eastAsia" w:ascii="Times New Roman" w:hAnsi="Times New Roman" w:eastAsia="宋体" w:cs="Times New Roman"/>
                <w:color w:val="auto"/>
                <w:sz w:val="24"/>
              </w:rPr>
              <w:t>/d），安吉清源污水处理厂三期（扩建）及一、二期清洁排放提标改造工程项目环境影响报告表于2020年7月1日经湖州市生态环境局出具了审查意见（湖安环建[2020]83号），根据审查文件，扩建规模为日处理污水2万吨，工业废水与生活污水比例为7:3，采用</w:t>
            </w:r>
            <w:r>
              <w:rPr>
                <w:rFonts w:hint="eastAsia" w:ascii="Times New Roman" w:hAnsi="Times New Roman" w:eastAsia="宋体" w:cs="Times New Roman"/>
                <w:color w:val="auto"/>
                <w:sz w:val="24"/>
                <w:lang w:eastAsia="zh-CN"/>
              </w:rPr>
              <w:t>“</w:t>
            </w:r>
            <w:r>
              <w:rPr>
                <w:rFonts w:hint="eastAsia" w:ascii="Times New Roman" w:hAnsi="Times New Roman" w:eastAsia="宋体" w:cs="Times New Roman"/>
                <w:color w:val="auto"/>
                <w:sz w:val="24"/>
              </w:rPr>
              <w:t>预处理+调节池+多级AO生化池+反硝化生物滤池+高效沉淀池+纤维转盘滤池+次氯酸钠消毒</w:t>
            </w:r>
            <w:r>
              <w:rPr>
                <w:rFonts w:hint="eastAsia" w:ascii="Times New Roman" w:hAnsi="Times New Roman" w:eastAsia="宋体" w:cs="Times New Roman"/>
                <w:color w:val="auto"/>
                <w:sz w:val="24"/>
                <w:lang w:eastAsia="zh-CN"/>
              </w:rPr>
              <w:t>”</w:t>
            </w:r>
            <w:r>
              <w:rPr>
                <w:rFonts w:hint="eastAsia" w:ascii="Times New Roman" w:hAnsi="Times New Roman" w:eastAsia="宋体" w:cs="Times New Roman"/>
                <w:color w:val="auto"/>
                <w:sz w:val="24"/>
              </w:rPr>
              <w:t>工艺。一、二期提标改造依托三期预处理系统和深度处理系统，污水经内部配水调节后排入浑泥港。总的处理规模为4.25万t/d。设置标准化排放口，化学需氧量、氨氮、总氮和总磷等4项指标出水水质执行《城镇污水处理厂主要水污染物排放标准》（DB33/2169-2018）中表2标准，其余指标出水水质执行《城镇污水处理厂污染物排放标准》（GB18918-2002，含2006年、2025年修改单）中的一级A标准。</w:t>
            </w:r>
          </w:p>
          <w:p w14:paraId="48BDF84E">
            <w:pPr>
              <w:keepNext w:val="0"/>
              <w:keepLines w:val="0"/>
              <w:suppressLineNumbers w:val="0"/>
              <w:spacing w:before="0" w:beforeAutospacing="0" w:after="0" w:afterAutospacing="0" w:line="360" w:lineRule="auto"/>
              <w:ind w:left="0" w:right="0" w:firstLine="480" w:firstLineChars="200"/>
              <w:rPr>
                <w:rFonts w:hint="default" w:ascii="Times New Roman" w:hAnsi="Times New Roman" w:eastAsia="宋体" w:cs="Times New Roman"/>
                <w:color w:val="auto"/>
                <w:sz w:val="24"/>
              </w:rPr>
            </w:pPr>
            <w:r>
              <w:rPr>
                <w:rFonts w:hint="eastAsia" w:ascii="Times New Roman" w:hAnsi="Times New Roman" w:eastAsia="宋体" w:cs="Times New Roman"/>
                <w:color w:val="auto"/>
                <w:sz w:val="24"/>
              </w:rPr>
              <w:t>污水处理工艺流程如下：</w:t>
            </w:r>
          </w:p>
          <w:p w14:paraId="6DE0DFD2">
            <w:pPr>
              <w:keepNext w:val="0"/>
              <w:keepLines w:val="0"/>
              <w:suppressLineNumbers w:val="0"/>
              <w:spacing w:before="0" w:beforeAutospacing="0" w:after="0" w:afterAutospacing="0" w:line="360" w:lineRule="auto"/>
              <w:ind w:left="0" w:right="0"/>
              <w:rPr>
                <w:rFonts w:hint="default"/>
                <w:color w:val="auto"/>
              </w:rPr>
            </w:pPr>
          </w:p>
          <w:p w14:paraId="0B64A4C4">
            <w:pPr>
              <w:keepNext w:val="0"/>
              <w:keepLines w:val="0"/>
              <w:suppressLineNumbers w:val="0"/>
              <w:spacing w:before="0" w:beforeAutospacing="0" w:after="0" w:afterAutospacing="0" w:line="360" w:lineRule="auto"/>
              <w:ind w:left="0" w:right="0"/>
              <w:rPr>
                <w:rFonts w:hint="default"/>
                <w:color w:val="auto"/>
              </w:rPr>
            </w:pPr>
          </w:p>
          <w:p w14:paraId="68385B77">
            <w:pPr>
              <w:keepNext w:val="0"/>
              <w:keepLines w:val="0"/>
              <w:suppressLineNumbers w:val="0"/>
              <w:spacing w:before="0" w:beforeAutospacing="0" w:after="0" w:afterAutospacing="0" w:line="360" w:lineRule="auto"/>
              <w:ind w:left="0" w:right="0"/>
              <w:rPr>
                <w:rFonts w:hint="default"/>
                <w:color w:val="auto"/>
              </w:rPr>
            </w:pPr>
          </w:p>
        </w:tc>
      </w:tr>
    </w:tbl>
    <w:p w14:paraId="3AF9942F">
      <w:pPr>
        <w:rPr>
          <w:color w:val="auto"/>
        </w:rPr>
        <w:sectPr>
          <w:pgSz w:w="16838" w:h="11906" w:orient="landscape"/>
          <w:pgMar w:top="1417" w:right="1417" w:bottom="1417" w:left="1417" w:header="851" w:footer="992" w:gutter="0"/>
          <w:pgBorders>
            <w:top w:val="none" w:sz="0" w:space="0"/>
            <w:left w:val="none" w:sz="0" w:space="0"/>
            <w:bottom w:val="none" w:sz="0" w:space="0"/>
            <w:right w:val="none" w:sz="0" w:space="0"/>
          </w:pgBorders>
          <w:cols w:space="425" w:num="1"/>
          <w:docGrid w:type="lines" w:linePitch="312" w:charSpace="0"/>
        </w:sectPr>
      </w:pPr>
    </w:p>
    <w:tbl>
      <w:tblPr>
        <w:tblStyle w:val="23"/>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89"/>
        <w:gridCol w:w="8573"/>
      </w:tblGrid>
      <w:tr w14:paraId="611438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70" w:type="pct"/>
            <w:vAlign w:val="center"/>
          </w:tcPr>
          <w:p w14:paraId="13B692AA">
            <w:pPr>
              <w:keepNext w:val="0"/>
              <w:keepLines w:val="0"/>
              <w:suppressLineNumbers w:val="0"/>
              <w:spacing w:before="0" w:beforeAutospacing="0" w:after="0" w:afterAutospacing="0"/>
              <w:ind w:left="0" w:right="0"/>
              <w:jc w:val="center"/>
              <w:rPr>
                <w:rFonts w:hint="default" w:ascii="Times New Roman" w:hAnsi="Times New Roman" w:eastAsia="宋体" w:cs="Times New Roman"/>
                <w:b/>
                <w:bCs/>
                <w:color w:val="auto"/>
                <w:sz w:val="24"/>
              </w:rPr>
            </w:pPr>
            <w:r>
              <w:rPr>
                <w:rFonts w:hint="eastAsia" w:ascii="Times New Roman" w:hAnsi="Times New Roman" w:eastAsia="宋体" w:cs="Times New Roman"/>
                <w:b/>
                <w:bCs/>
                <w:color w:val="auto"/>
                <w:sz w:val="24"/>
              </w:rPr>
              <w:t>运营期环境影响和保护施</w:t>
            </w:r>
          </w:p>
        </w:tc>
        <w:tc>
          <w:tcPr>
            <w:tcW w:w="4729" w:type="pct"/>
          </w:tcPr>
          <w:p w14:paraId="5E253117">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color w:val="auto"/>
              </w:rPr>
            </w:pPr>
            <w:r>
              <w:rPr>
                <w:rFonts w:hint="default"/>
                <w:color w:val="auto"/>
              </w:rPr>
              <w:drawing>
                <wp:inline distT="0" distB="0" distL="114300" distR="114300">
                  <wp:extent cx="4857750" cy="1428750"/>
                  <wp:effectExtent l="0" t="0" r="0" b="0"/>
                  <wp:docPr id="8" name="图片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图片 8"/>
                          <pic:cNvPicPr>
                            <a:picLocks noChangeAspect="1"/>
                          </pic:cNvPicPr>
                        </pic:nvPicPr>
                        <pic:blipFill>
                          <a:blip r:embed="rId25"/>
                          <a:stretch>
                            <a:fillRect/>
                          </a:stretch>
                        </pic:blipFill>
                        <pic:spPr>
                          <a:xfrm>
                            <a:off x="0" y="0"/>
                            <a:ext cx="4857750" cy="1428750"/>
                          </a:xfrm>
                          <a:prstGeom prst="rect">
                            <a:avLst/>
                          </a:prstGeom>
                          <a:noFill/>
                          <a:ln>
                            <a:noFill/>
                          </a:ln>
                        </pic:spPr>
                      </pic:pic>
                    </a:graphicData>
                  </a:graphic>
                </wp:inline>
              </w:drawing>
            </w:r>
          </w:p>
          <w:p w14:paraId="53D91513">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Times New Roman" w:hAnsi="Times New Roman" w:eastAsia="宋体" w:cs="Times New Roman"/>
                <w:color w:val="auto"/>
                <w:sz w:val="24"/>
              </w:rPr>
            </w:pPr>
            <w:r>
              <w:rPr>
                <w:rFonts w:hint="eastAsia" w:ascii="Times New Roman" w:hAnsi="Times New Roman" w:eastAsia="宋体" w:cs="Times New Roman"/>
                <w:b/>
                <w:bCs/>
                <w:color w:val="auto"/>
              </w:rPr>
              <w:t>图</w:t>
            </w:r>
            <w:r>
              <w:rPr>
                <w:rFonts w:hint="default" w:ascii="Times New Roman" w:hAnsi="Times New Roman" w:eastAsia="宋体" w:cs="Times New Roman"/>
                <w:b/>
                <w:bCs/>
                <w:color w:val="auto"/>
              </w:rPr>
              <w:t>4-</w:t>
            </w:r>
            <w:r>
              <w:rPr>
                <w:rFonts w:hint="eastAsia" w:ascii="Times New Roman" w:hAnsi="Times New Roman" w:eastAsia="宋体" w:cs="Times New Roman"/>
                <w:b/>
                <w:bCs/>
                <w:color w:val="auto"/>
                <w:lang w:val="en-US" w:eastAsia="zh-CN"/>
              </w:rPr>
              <w:t>1</w:t>
            </w:r>
            <w:r>
              <w:rPr>
                <w:rFonts w:hint="default" w:ascii="Times New Roman" w:hAnsi="Times New Roman" w:eastAsia="宋体" w:cs="Times New Roman"/>
                <w:b/>
                <w:bCs/>
                <w:color w:val="auto"/>
              </w:rPr>
              <w:t xml:space="preserve"> </w:t>
            </w:r>
            <w:r>
              <w:rPr>
                <w:rFonts w:hint="eastAsia" w:ascii="Times New Roman" w:hAnsi="Times New Roman" w:eastAsia="宋体" w:cs="Times New Roman"/>
                <w:b/>
                <w:bCs/>
                <w:color w:val="auto"/>
              </w:rPr>
              <w:t xml:space="preserve"> 安吉清源污水处理有限公司污水处理工艺流程</w:t>
            </w:r>
          </w:p>
          <w:p w14:paraId="4A0A4BF3">
            <w:pPr>
              <w:keepNext w:val="0"/>
              <w:keepLines w:val="0"/>
              <w:suppressLineNumbers w:val="0"/>
              <w:spacing w:before="0" w:beforeAutospacing="0" w:after="0" w:afterAutospacing="0" w:line="360" w:lineRule="auto"/>
              <w:ind w:left="0" w:right="0" w:firstLine="480" w:firstLineChars="200"/>
              <w:rPr>
                <w:rFonts w:hint="default" w:ascii="Times New Roman" w:hAnsi="Times New Roman" w:eastAsia="宋体" w:cs="Times New Roman"/>
                <w:color w:val="auto"/>
                <w:sz w:val="24"/>
              </w:rPr>
            </w:pPr>
            <w:r>
              <w:rPr>
                <w:rFonts w:hint="eastAsia" w:ascii="Times New Roman" w:hAnsi="Times New Roman" w:eastAsia="宋体" w:cs="Times New Roman"/>
                <w:color w:val="auto"/>
                <w:sz w:val="24"/>
              </w:rPr>
              <w:t>为了解安吉清源污水处理有限公司现状运行状况，本环评收集该污水处理有限公司</w:t>
            </w:r>
            <w:r>
              <w:rPr>
                <w:rFonts w:hint="default" w:ascii="Times New Roman" w:hAnsi="Times New Roman" w:eastAsia="宋体" w:cs="Times New Roman"/>
                <w:color w:val="auto"/>
                <w:sz w:val="24"/>
              </w:rPr>
              <w:t>202</w:t>
            </w:r>
            <w:r>
              <w:rPr>
                <w:rFonts w:hint="eastAsia" w:ascii="Times New Roman" w:hAnsi="Times New Roman" w:eastAsia="宋体" w:cs="Times New Roman"/>
                <w:color w:val="auto"/>
                <w:sz w:val="24"/>
              </w:rPr>
              <w:t>5年5月13日～</w:t>
            </w:r>
            <w:r>
              <w:rPr>
                <w:rFonts w:hint="default" w:ascii="Times New Roman" w:hAnsi="Times New Roman" w:eastAsia="宋体" w:cs="Times New Roman"/>
                <w:color w:val="auto"/>
                <w:sz w:val="24"/>
              </w:rPr>
              <w:t>202</w:t>
            </w:r>
            <w:r>
              <w:rPr>
                <w:rFonts w:hint="eastAsia" w:ascii="Times New Roman" w:hAnsi="Times New Roman" w:eastAsia="宋体" w:cs="Times New Roman"/>
                <w:color w:val="auto"/>
                <w:sz w:val="24"/>
              </w:rPr>
              <w:t>5年5月19日在线监测数据，监测数据见下表，数据来源：浙江省重点排污单位自行监测信息公开平台。</w:t>
            </w:r>
          </w:p>
          <w:p w14:paraId="08107F26">
            <w:pPr>
              <w:keepNext w:val="0"/>
              <w:keepLines w:val="0"/>
              <w:suppressLineNumbers w:val="0"/>
              <w:spacing w:before="0" w:beforeAutospacing="0" w:after="0" w:afterAutospacing="0"/>
              <w:ind w:left="0" w:right="0"/>
              <w:jc w:val="center"/>
              <w:rPr>
                <w:rFonts w:hint="default" w:ascii="Times New Roman" w:hAnsi="Times New Roman" w:eastAsia="宋体" w:cs="Times New Roman"/>
                <w:b/>
                <w:bCs/>
                <w:color w:val="auto"/>
              </w:rPr>
            </w:pPr>
            <w:r>
              <w:rPr>
                <w:rFonts w:hint="eastAsia" w:ascii="Times New Roman" w:hAnsi="Times New Roman" w:eastAsia="宋体" w:cs="Times New Roman"/>
                <w:b/>
                <w:bCs/>
                <w:color w:val="auto"/>
              </w:rPr>
              <w:t>表4-1</w:t>
            </w:r>
            <w:r>
              <w:rPr>
                <w:rFonts w:hint="eastAsia" w:ascii="Times New Roman" w:hAnsi="Times New Roman" w:eastAsia="宋体" w:cs="Times New Roman"/>
                <w:b/>
                <w:bCs/>
                <w:color w:val="auto"/>
                <w:lang w:val="en-US" w:eastAsia="zh-CN"/>
              </w:rPr>
              <w:t>6</w:t>
            </w:r>
            <w:r>
              <w:rPr>
                <w:rFonts w:hint="eastAsia" w:ascii="Times New Roman" w:hAnsi="Times New Roman" w:eastAsia="宋体" w:cs="Times New Roman"/>
                <w:b/>
                <w:bCs/>
                <w:color w:val="auto"/>
              </w:rPr>
              <w:t xml:space="preserve">  安吉清源污水处理有限公司在线监测数据</w:t>
            </w:r>
          </w:p>
          <w:tbl>
            <w:tblPr>
              <w:tblStyle w:val="22"/>
              <w:tblW w:w="4999" w:type="pct"/>
              <w:jc w:val="center"/>
              <w:tblBorders>
                <w:top w:val="single" w:color="000000" w:sz="4" w:space="0"/>
                <w:left w:val="single" w:color="000000" w:sz="2" w:space="0"/>
                <w:bottom w:val="single" w:color="000000" w:sz="2" w:space="0"/>
                <w:right w:val="single" w:color="000000" w:sz="2" w:space="0"/>
                <w:insideH w:val="single" w:color="000000" w:sz="2" w:space="0"/>
                <w:insideV w:val="single" w:color="000000" w:sz="2" w:space="0"/>
              </w:tblBorders>
              <w:tblLayout w:type="autofit"/>
              <w:tblCellMar>
                <w:top w:w="15" w:type="dxa"/>
                <w:left w:w="15" w:type="dxa"/>
                <w:bottom w:w="15" w:type="dxa"/>
                <w:right w:w="15" w:type="dxa"/>
              </w:tblCellMar>
            </w:tblPr>
            <w:tblGrid>
              <w:gridCol w:w="1568"/>
              <w:gridCol w:w="1194"/>
              <w:gridCol w:w="1740"/>
              <w:gridCol w:w="1281"/>
              <w:gridCol w:w="1281"/>
              <w:gridCol w:w="1286"/>
            </w:tblGrid>
            <w:tr w14:paraId="2FDCA071">
              <w:tblPrEx>
                <w:tblBorders>
                  <w:top w:val="single" w:color="000000" w:sz="4" w:space="0"/>
                  <w:left w:val="single" w:color="000000" w:sz="2" w:space="0"/>
                  <w:bottom w:val="single" w:color="000000" w:sz="2" w:space="0"/>
                  <w:right w:val="single" w:color="000000" w:sz="2" w:space="0"/>
                  <w:insideH w:val="single" w:color="000000" w:sz="2" w:space="0"/>
                  <w:insideV w:val="single" w:color="000000" w:sz="2" w:space="0"/>
                </w:tblBorders>
                <w:tblCellMar>
                  <w:top w:w="15" w:type="dxa"/>
                  <w:left w:w="15" w:type="dxa"/>
                  <w:bottom w:w="15" w:type="dxa"/>
                  <w:right w:w="15" w:type="dxa"/>
                </w:tblCellMar>
              </w:tblPrEx>
              <w:trPr>
                <w:trHeight w:val="397" w:hRule="atLeast"/>
                <w:jc w:val="center"/>
              </w:trPr>
              <w:tc>
                <w:tcPr>
                  <w:tcW w:w="939" w:type="pct"/>
                  <w:vMerge w:val="restart"/>
                  <w:vAlign w:val="center"/>
                </w:tcPr>
                <w:p w14:paraId="7BEA8E6C">
                  <w:pPr>
                    <w:keepNext w:val="0"/>
                    <w:keepLines w:val="0"/>
                    <w:suppressLineNumbers w:val="0"/>
                    <w:spacing w:before="0" w:beforeAutospacing="0" w:after="0" w:afterAutospacing="0"/>
                    <w:ind w:left="0" w:right="0"/>
                    <w:jc w:val="center"/>
                    <w:rPr>
                      <w:rFonts w:hint="default" w:ascii="Times New Roman" w:hAnsi="Times New Roman" w:eastAsia="宋体" w:cs="Times New Roman"/>
                      <w:b/>
                      <w:bCs/>
                      <w:color w:val="auto"/>
                      <w:szCs w:val="21"/>
                    </w:rPr>
                  </w:pPr>
                  <w:r>
                    <w:rPr>
                      <w:rFonts w:hint="default" w:ascii="Times New Roman" w:hAnsi="Times New Roman" w:eastAsia="宋体" w:cs="Times New Roman"/>
                      <w:b/>
                      <w:bCs/>
                      <w:color w:val="auto"/>
                      <w:szCs w:val="21"/>
                    </w:rPr>
                    <w:t>监测时间</w:t>
                  </w:r>
                </w:p>
              </w:tc>
              <w:tc>
                <w:tcPr>
                  <w:tcW w:w="4060" w:type="pct"/>
                  <w:gridSpan w:val="5"/>
                  <w:vAlign w:val="center"/>
                </w:tcPr>
                <w:p w14:paraId="7066B939">
                  <w:pPr>
                    <w:keepNext w:val="0"/>
                    <w:keepLines w:val="0"/>
                    <w:suppressLineNumbers w:val="0"/>
                    <w:spacing w:before="0" w:beforeAutospacing="0" w:after="0" w:afterAutospacing="0"/>
                    <w:ind w:left="0" w:right="0"/>
                    <w:jc w:val="center"/>
                    <w:rPr>
                      <w:rFonts w:hint="default" w:ascii="Times New Roman" w:hAnsi="Times New Roman" w:eastAsia="宋体" w:cs="Times New Roman"/>
                      <w:b/>
                      <w:bCs/>
                      <w:color w:val="auto"/>
                      <w:szCs w:val="21"/>
                    </w:rPr>
                  </w:pPr>
                  <w:r>
                    <w:rPr>
                      <w:rFonts w:hint="default" w:ascii="Times New Roman" w:hAnsi="Times New Roman" w:eastAsia="宋体" w:cs="Times New Roman"/>
                      <w:b/>
                      <w:bCs/>
                      <w:color w:val="auto"/>
                      <w:szCs w:val="21"/>
                    </w:rPr>
                    <w:t>监测指标</w:t>
                  </w:r>
                </w:p>
              </w:tc>
            </w:tr>
            <w:tr w14:paraId="0124BED8">
              <w:tblPrEx>
                <w:tblBorders>
                  <w:top w:val="single" w:color="000000" w:sz="4" w:space="0"/>
                  <w:left w:val="single" w:color="000000" w:sz="2" w:space="0"/>
                  <w:bottom w:val="single" w:color="000000" w:sz="2" w:space="0"/>
                  <w:right w:val="single" w:color="000000" w:sz="2" w:space="0"/>
                  <w:insideH w:val="single" w:color="000000" w:sz="2" w:space="0"/>
                  <w:insideV w:val="single" w:color="000000" w:sz="2" w:space="0"/>
                </w:tblBorders>
                <w:tblCellMar>
                  <w:top w:w="15" w:type="dxa"/>
                  <w:left w:w="15" w:type="dxa"/>
                  <w:bottom w:w="15" w:type="dxa"/>
                  <w:right w:w="15" w:type="dxa"/>
                </w:tblCellMar>
              </w:tblPrEx>
              <w:trPr>
                <w:trHeight w:val="397" w:hRule="atLeast"/>
                <w:jc w:val="center"/>
              </w:trPr>
              <w:tc>
                <w:tcPr>
                  <w:tcW w:w="939" w:type="pct"/>
                  <w:vMerge w:val="continue"/>
                  <w:vAlign w:val="center"/>
                </w:tcPr>
                <w:p w14:paraId="3E03D5B5">
                  <w:pPr>
                    <w:keepNext w:val="0"/>
                    <w:keepLines w:val="0"/>
                    <w:suppressLineNumbers w:val="0"/>
                    <w:spacing w:before="0" w:beforeAutospacing="0" w:after="0" w:afterAutospacing="0"/>
                    <w:ind w:left="0" w:right="0"/>
                    <w:jc w:val="center"/>
                    <w:rPr>
                      <w:rFonts w:hint="default" w:ascii="Times New Roman" w:hAnsi="Times New Roman" w:eastAsia="宋体" w:cs="Times New Roman"/>
                      <w:b/>
                      <w:bCs/>
                      <w:color w:val="auto"/>
                      <w:szCs w:val="21"/>
                    </w:rPr>
                  </w:pPr>
                </w:p>
              </w:tc>
              <w:tc>
                <w:tcPr>
                  <w:tcW w:w="715" w:type="pct"/>
                  <w:vAlign w:val="center"/>
                </w:tcPr>
                <w:p w14:paraId="342A659C">
                  <w:pPr>
                    <w:keepNext w:val="0"/>
                    <w:keepLines w:val="0"/>
                    <w:suppressLineNumbers w:val="0"/>
                    <w:spacing w:before="0" w:beforeAutospacing="0" w:after="0" w:afterAutospacing="0"/>
                    <w:ind w:left="0" w:right="0"/>
                    <w:jc w:val="center"/>
                    <w:rPr>
                      <w:rFonts w:hint="default" w:ascii="Times New Roman" w:hAnsi="Times New Roman" w:eastAsia="宋体" w:cs="Times New Roman"/>
                      <w:b/>
                      <w:bCs/>
                      <w:color w:val="auto"/>
                      <w:szCs w:val="21"/>
                    </w:rPr>
                  </w:pPr>
                  <w:r>
                    <w:rPr>
                      <w:rFonts w:hint="default" w:ascii="Times New Roman" w:hAnsi="Times New Roman" w:eastAsia="宋体" w:cs="Times New Roman"/>
                      <w:b/>
                      <w:bCs/>
                      <w:color w:val="auto"/>
                      <w:szCs w:val="21"/>
                    </w:rPr>
                    <w:t>pH值</w:t>
                  </w:r>
                </w:p>
              </w:tc>
              <w:tc>
                <w:tcPr>
                  <w:tcW w:w="1042" w:type="pct"/>
                  <w:vAlign w:val="center"/>
                </w:tcPr>
                <w:p w14:paraId="5988D7E1">
                  <w:pPr>
                    <w:keepNext w:val="0"/>
                    <w:keepLines w:val="0"/>
                    <w:suppressLineNumbers w:val="0"/>
                    <w:spacing w:before="0" w:beforeAutospacing="0" w:after="0" w:afterAutospacing="0"/>
                    <w:ind w:left="0" w:right="0"/>
                    <w:jc w:val="center"/>
                    <w:rPr>
                      <w:rFonts w:hint="default" w:ascii="Times New Roman" w:hAnsi="Times New Roman" w:eastAsia="宋体" w:cs="Times New Roman"/>
                      <w:b/>
                      <w:bCs/>
                      <w:color w:val="auto"/>
                      <w:szCs w:val="21"/>
                    </w:rPr>
                  </w:pPr>
                  <w:r>
                    <w:rPr>
                      <w:rFonts w:hint="default" w:ascii="Times New Roman" w:hAnsi="Times New Roman" w:eastAsia="宋体" w:cs="Times New Roman"/>
                      <w:b/>
                      <w:bCs/>
                      <w:color w:val="auto"/>
                      <w:szCs w:val="21"/>
                    </w:rPr>
                    <w:t>化学需氧量</w:t>
                  </w:r>
                </w:p>
              </w:tc>
              <w:tc>
                <w:tcPr>
                  <w:tcW w:w="767" w:type="pct"/>
                  <w:vAlign w:val="center"/>
                </w:tcPr>
                <w:p w14:paraId="71CEB424">
                  <w:pPr>
                    <w:keepNext w:val="0"/>
                    <w:keepLines w:val="0"/>
                    <w:suppressLineNumbers w:val="0"/>
                    <w:spacing w:before="0" w:beforeAutospacing="0" w:after="0" w:afterAutospacing="0"/>
                    <w:ind w:left="0" w:right="0"/>
                    <w:jc w:val="center"/>
                    <w:rPr>
                      <w:rFonts w:hint="default" w:ascii="Times New Roman" w:hAnsi="Times New Roman" w:eastAsia="宋体" w:cs="Times New Roman"/>
                      <w:b/>
                      <w:bCs/>
                      <w:color w:val="auto"/>
                      <w:szCs w:val="21"/>
                    </w:rPr>
                  </w:pPr>
                  <w:r>
                    <w:rPr>
                      <w:rFonts w:hint="default" w:ascii="Times New Roman" w:hAnsi="Times New Roman" w:eastAsia="宋体" w:cs="Times New Roman"/>
                      <w:b/>
                      <w:bCs/>
                      <w:color w:val="auto"/>
                      <w:szCs w:val="21"/>
                    </w:rPr>
                    <w:t>氨氮</w:t>
                  </w:r>
                </w:p>
              </w:tc>
              <w:tc>
                <w:tcPr>
                  <w:tcW w:w="767" w:type="pct"/>
                  <w:vAlign w:val="center"/>
                </w:tcPr>
                <w:p w14:paraId="21E1CE61">
                  <w:pPr>
                    <w:keepNext w:val="0"/>
                    <w:keepLines w:val="0"/>
                    <w:suppressLineNumbers w:val="0"/>
                    <w:spacing w:before="0" w:beforeAutospacing="0" w:after="0" w:afterAutospacing="0"/>
                    <w:ind w:left="0" w:right="0"/>
                    <w:jc w:val="center"/>
                    <w:rPr>
                      <w:rFonts w:hint="default" w:ascii="Times New Roman" w:hAnsi="Times New Roman" w:eastAsia="宋体" w:cs="Times New Roman"/>
                      <w:b/>
                      <w:bCs/>
                      <w:color w:val="auto"/>
                      <w:szCs w:val="21"/>
                    </w:rPr>
                  </w:pPr>
                  <w:r>
                    <w:rPr>
                      <w:rFonts w:hint="default" w:ascii="Times New Roman" w:hAnsi="Times New Roman" w:eastAsia="宋体" w:cs="Times New Roman"/>
                      <w:b/>
                      <w:bCs/>
                      <w:color w:val="auto"/>
                      <w:szCs w:val="21"/>
                    </w:rPr>
                    <w:t>总磷</w:t>
                  </w:r>
                </w:p>
              </w:tc>
              <w:tc>
                <w:tcPr>
                  <w:tcW w:w="768" w:type="pct"/>
                  <w:vAlign w:val="center"/>
                </w:tcPr>
                <w:p w14:paraId="6EB7181B">
                  <w:pPr>
                    <w:keepNext w:val="0"/>
                    <w:keepLines w:val="0"/>
                    <w:suppressLineNumbers w:val="0"/>
                    <w:spacing w:before="0" w:beforeAutospacing="0" w:after="0" w:afterAutospacing="0"/>
                    <w:ind w:left="0" w:right="0"/>
                    <w:jc w:val="center"/>
                    <w:rPr>
                      <w:rFonts w:hint="default" w:ascii="Times New Roman" w:hAnsi="Times New Roman" w:eastAsia="宋体" w:cs="Times New Roman"/>
                      <w:b/>
                      <w:bCs/>
                      <w:color w:val="auto"/>
                      <w:szCs w:val="21"/>
                    </w:rPr>
                  </w:pPr>
                  <w:r>
                    <w:rPr>
                      <w:rFonts w:hint="default" w:ascii="Times New Roman" w:hAnsi="Times New Roman" w:eastAsia="宋体" w:cs="Times New Roman"/>
                      <w:b/>
                      <w:bCs/>
                      <w:color w:val="auto"/>
                      <w:szCs w:val="21"/>
                    </w:rPr>
                    <w:t>总氮</w:t>
                  </w:r>
                </w:p>
              </w:tc>
            </w:tr>
            <w:tr w14:paraId="01EEF24D">
              <w:tblPrEx>
                <w:tblBorders>
                  <w:top w:val="single" w:color="000000" w:sz="4" w:space="0"/>
                  <w:left w:val="single" w:color="000000" w:sz="2" w:space="0"/>
                  <w:bottom w:val="single" w:color="000000" w:sz="2" w:space="0"/>
                  <w:right w:val="single" w:color="000000" w:sz="2" w:space="0"/>
                  <w:insideH w:val="single" w:color="000000" w:sz="2" w:space="0"/>
                  <w:insideV w:val="single" w:color="000000" w:sz="2" w:space="0"/>
                </w:tblBorders>
                <w:tblCellMar>
                  <w:top w:w="15" w:type="dxa"/>
                  <w:left w:w="15" w:type="dxa"/>
                  <w:bottom w:w="15" w:type="dxa"/>
                  <w:right w:w="15" w:type="dxa"/>
                </w:tblCellMar>
              </w:tblPrEx>
              <w:trPr>
                <w:trHeight w:val="397" w:hRule="atLeast"/>
                <w:jc w:val="center"/>
              </w:trPr>
              <w:tc>
                <w:tcPr>
                  <w:tcW w:w="939" w:type="pct"/>
                  <w:vMerge w:val="continue"/>
                  <w:vAlign w:val="center"/>
                </w:tcPr>
                <w:p w14:paraId="79BA21D5">
                  <w:pPr>
                    <w:keepNext w:val="0"/>
                    <w:keepLines w:val="0"/>
                    <w:suppressLineNumbers w:val="0"/>
                    <w:spacing w:before="0" w:beforeAutospacing="0" w:after="0" w:afterAutospacing="0"/>
                    <w:ind w:left="0" w:right="0"/>
                    <w:jc w:val="center"/>
                    <w:rPr>
                      <w:rFonts w:hint="default" w:ascii="Times New Roman" w:hAnsi="Times New Roman" w:eastAsia="宋体" w:cs="Times New Roman"/>
                      <w:b/>
                      <w:bCs/>
                      <w:color w:val="auto"/>
                      <w:szCs w:val="21"/>
                    </w:rPr>
                  </w:pPr>
                </w:p>
              </w:tc>
              <w:tc>
                <w:tcPr>
                  <w:tcW w:w="715" w:type="pct"/>
                  <w:vAlign w:val="center"/>
                </w:tcPr>
                <w:p w14:paraId="74B0DF83">
                  <w:pPr>
                    <w:keepNext w:val="0"/>
                    <w:keepLines w:val="0"/>
                    <w:suppressLineNumbers w:val="0"/>
                    <w:spacing w:before="0" w:beforeAutospacing="0" w:after="0" w:afterAutospacing="0"/>
                    <w:ind w:left="0" w:right="0"/>
                    <w:jc w:val="center"/>
                    <w:rPr>
                      <w:rFonts w:hint="default" w:ascii="Times New Roman" w:hAnsi="Times New Roman" w:eastAsia="宋体" w:cs="Times New Roman"/>
                      <w:b/>
                      <w:bCs/>
                      <w:color w:val="auto"/>
                      <w:szCs w:val="21"/>
                    </w:rPr>
                  </w:pPr>
                  <w:r>
                    <w:rPr>
                      <w:rFonts w:hint="default" w:ascii="Times New Roman" w:hAnsi="Times New Roman" w:eastAsia="宋体" w:cs="Times New Roman"/>
                      <w:b/>
                      <w:bCs/>
                      <w:color w:val="auto"/>
                      <w:szCs w:val="21"/>
                    </w:rPr>
                    <w:t>/</w:t>
                  </w:r>
                </w:p>
              </w:tc>
              <w:tc>
                <w:tcPr>
                  <w:tcW w:w="1042" w:type="pct"/>
                  <w:vAlign w:val="center"/>
                </w:tcPr>
                <w:p w14:paraId="407BA8FD">
                  <w:pPr>
                    <w:keepNext w:val="0"/>
                    <w:keepLines w:val="0"/>
                    <w:suppressLineNumbers w:val="0"/>
                    <w:spacing w:before="0" w:beforeAutospacing="0" w:after="0" w:afterAutospacing="0"/>
                    <w:ind w:left="0" w:right="0"/>
                    <w:jc w:val="center"/>
                    <w:rPr>
                      <w:rFonts w:hint="default" w:ascii="Times New Roman" w:hAnsi="Times New Roman" w:eastAsia="宋体" w:cs="Times New Roman"/>
                      <w:b/>
                      <w:bCs/>
                      <w:color w:val="auto"/>
                      <w:szCs w:val="21"/>
                    </w:rPr>
                  </w:pPr>
                  <w:r>
                    <w:rPr>
                      <w:rFonts w:hint="default" w:ascii="Times New Roman" w:hAnsi="Times New Roman" w:eastAsia="宋体" w:cs="Times New Roman"/>
                      <w:b/>
                      <w:bCs/>
                      <w:color w:val="auto"/>
                      <w:szCs w:val="21"/>
                    </w:rPr>
                    <w:t>mg/L</w:t>
                  </w:r>
                </w:p>
              </w:tc>
              <w:tc>
                <w:tcPr>
                  <w:tcW w:w="767" w:type="pct"/>
                  <w:vAlign w:val="center"/>
                </w:tcPr>
                <w:p w14:paraId="630ECA40">
                  <w:pPr>
                    <w:keepNext w:val="0"/>
                    <w:keepLines w:val="0"/>
                    <w:suppressLineNumbers w:val="0"/>
                    <w:spacing w:before="0" w:beforeAutospacing="0" w:after="0" w:afterAutospacing="0"/>
                    <w:ind w:left="0" w:right="0"/>
                    <w:jc w:val="center"/>
                    <w:rPr>
                      <w:rFonts w:hint="default" w:ascii="Times New Roman" w:hAnsi="Times New Roman" w:eastAsia="宋体" w:cs="Times New Roman"/>
                      <w:b/>
                      <w:bCs/>
                      <w:color w:val="auto"/>
                      <w:szCs w:val="21"/>
                    </w:rPr>
                  </w:pPr>
                  <w:r>
                    <w:rPr>
                      <w:rFonts w:hint="default" w:ascii="Times New Roman" w:hAnsi="Times New Roman" w:eastAsia="宋体" w:cs="Times New Roman"/>
                      <w:b/>
                      <w:bCs/>
                      <w:color w:val="auto"/>
                      <w:szCs w:val="21"/>
                    </w:rPr>
                    <w:t>mg/L</w:t>
                  </w:r>
                </w:p>
              </w:tc>
              <w:tc>
                <w:tcPr>
                  <w:tcW w:w="767" w:type="pct"/>
                  <w:vAlign w:val="center"/>
                </w:tcPr>
                <w:p w14:paraId="4971D902">
                  <w:pPr>
                    <w:keepNext w:val="0"/>
                    <w:keepLines w:val="0"/>
                    <w:suppressLineNumbers w:val="0"/>
                    <w:spacing w:before="0" w:beforeAutospacing="0" w:after="0" w:afterAutospacing="0"/>
                    <w:ind w:left="0" w:right="0"/>
                    <w:jc w:val="center"/>
                    <w:rPr>
                      <w:rFonts w:hint="default" w:ascii="Times New Roman" w:hAnsi="Times New Roman" w:eastAsia="宋体" w:cs="Times New Roman"/>
                      <w:b/>
                      <w:bCs/>
                      <w:color w:val="auto"/>
                      <w:szCs w:val="21"/>
                    </w:rPr>
                  </w:pPr>
                  <w:r>
                    <w:rPr>
                      <w:rFonts w:hint="default" w:ascii="Times New Roman" w:hAnsi="Times New Roman" w:eastAsia="宋体" w:cs="Times New Roman"/>
                      <w:b/>
                      <w:bCs/>
                      <w:color w:val="auto"/>
                      <w:szCs w:val="21"/>
                    </w:rPr>
                    <w:t>mg/L</w:t>
                  </w:r>
                </w:p>
              </w:tc>
              <w:tc>
                <w:tcPr>
                  <w:tcW w:w="768" w:type="pct"/>
                  <w:vAlign w:val="center"/>
                </w:tcPr>
                <w:p w14:paraId="2F9F00D0">
                  <w:pPr>
                    <w:keepNext w:val="0"/>
                    <w:keepLines w:val="0"/>
                    <w:suppressLineNumbers w:val="0"/>
                    <w:spacing w:before="0" w:beforeAutospacing="0" w:after="0" w:afterAutospacing="0"/>
                    <w:ind w:left="0" w:right="0"/>
                    <w:jc w:val="center"/>
                    <w:rPr>
                      <w:rFonts w:hint="default" w:ascii="Times New Roman" w:hAnsi="Times New Roman" w:eastAsia="宋体" w:cs="Times New Roman"/>
                      <w:b/>
                      <w:bCs/>
                      <w:color w:val="auto"/>
                      <w:szCs w:val="21"/>
                    </w:rPr>
                  </w:pPr>
                  <w:r>
                    <w:rPr>
                      <w:rFonts w:hint="default" w:ascii="Times New Roman" w:hAnsi="Times New Roman" w:eastAsia="宋体" w:cs="Times New Roman"/>
                      <w:b/>
                      <w:bCs/>
                      <w:color w:val="auto"/>
                      <w:szCs w:val="21"/>
                    </w:rPr>
                    <w:t>mg/L</w:t>
                  </w:r>
                </w:p>
              </w:tc>
            </w:tr>
            <w:tr w14:paraId="25FB6EBF">
              <w:tblPrEx>
                <w:tblBorders>
                  <w:top w:val="single" w:color="000000" w:sz="4" w:space="0"/>
                  <w:left w:val="single" w:color="000000" w:sz="2" w:space="0"/>
                  <w:bottom w:val="single" w:color="000000" w:sz="2" w:space="0"/>
                  <w:right w:val="single" w:color="000000" w:sz="2" w:space="0"/>
                  <w:insideH w:val="single" w:color="000000" w:sz="2" w:space="0"/>
                  <w:insideV w:val="single" w:color="000000" w:sz="2" w:space="0"/>
                </w:tblBorders>
                <w:tblCellMar>
                  <w:top w:w="15" w:type="dxa"/>
                  <w:left w:w="15" w:type="dxa"/>
                  <w:bottom w:w="15" w:type="dxa"/>
                  <w:right w:w="15" w:type="dxa"/>
                </w:tblCellMar>
              </w:tblPrEx>
              <w:trPr>
                <w:trHeight w:val="397" w:hRule="atLeast"/>
                <w:jc w:val="center"/>
              </w:trPr>
              <w:tc>
                <w:tcPr>
                  <w:tcW w:w="939" w:type="pct"/>
                  <w:vAlign w:val="center"/>
                </w:tcPr>
                <w:p w14:paraId="46D21311">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rPr>
                    <w:t>202</w:t>
                  </w:r>
                  <w:r>
                    <w:rPr>
                      <w:rFonts w:hint="eastAsia" w:ascii="Times New Roman" w:hAnsi="Times New Roman" w:eastAsia="宋体" w:cs="Times New Roman"/>
                      <w:color w:val="auto"/>
                      <w:szCs w:val="21"/>
                    </w:rPr>
                    <w:t>5</w:t>
                  </w:r>
                  <w:r>
                    <w:rPr>
                      <w:rFonts w:hint="default" w:ascii="Times New Roman" w:hAnsi="Times New Roman" w:eastAsia="宋体" w:cs="Times New Roman"/>
                      <w:color w:val="auto"/>
                      <w:szCs w:val="21"/>
                    </w:rPr>
                    <w:t>-</w:t>
                  </w:r>
                  <w:r>
                    <w:rPr>
                      <w:rFonts w:hint="eastAsia" w:ascii="Times New Roman" w:hAnsi="Times New Roman" w:eastAsia="宋体" w:cs="Times New Roman"/>
                      <w:color w:val="auto"/>
                      <w:szCs w:val="21"/>
                    </w:rPr>
                    <w:t>5</w:t>
                  </w:r>
                  <w:r>
                    <w:rPr>
                      <w:rFonts w:hint="default" w:ascii="Times New Roman" w:hAnsi="Times New Roman" w:eastAsia="宋体" w:cs="Times New Roman"/>
                      <w:color w:val="auto"/>
                      <w:szCs w:val="21"/>
                    </w:rPr>
                    <w:t>-</w:t>
                  </w:r>
                  <w:r>
                    <w:rPr>
                      <w:rFonts w:hint="eastAsia" w:ascii="Times New Roman" w:hAnsi="Times New Roman" w:eastAsia="宋体" w:cs="Times New Roman"/>
                      <w:color w:val="auto"/>
                      <w:szCs w:val="21"/>
                    </w:rPr>
                    <w:t>19</w:t>
                  </w:r>
                </w:p>
              </w:tc>
              <w:tc>
                <w:tcPr>
                  <w:tcW w:w="715" w:type="pct"/>
                  <w:vAlign w:val="center"/>
                </w:tcPr>
                <w:p w14:paraId="04325BA2">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r>
                    <w:rPr>
                      <w:rFonts w:hint="eastAsia" w:ascii="Times New Roman" w:hAnsi="Times New Roman" w:eastAsia="宋体" w:cs="Times New Roman"/>
                      <w:color w:val="auto"/>
                      <w:szCs w:val="21"/>
                    </w:rPr>
                    <w:t>7.3</w:t>
                  </w:r>
                </w:p>
              </w:tc>
              <w:tc>
                <w:tcPr>
                  <w:tcW w:w="1042" w:type="pct"/>
                  <w:vAlign w:val="center"/>
                </w:tcPr>
                <w:p w14:paraId="1AF201E9">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r>
                    <w:rPr>
                      <w:rFonts w:hint="eastAsia" w:ascii="Times New Roman" w:hAnsi="Times New Roman" w:eastAsia="宋体" w:cs="Times New Roman"/>
                      <w:color w:val="auto"/>
                      <w:szCs w:val="21"/>
                    </w:rPr>
                    <w:t>25.75</w:t>
                  </w:r>
                </w:p>
              </w:tc>
              <w:tc>
                <w:tcPr>
                  <w:tcW w:w="767" w:type="pct"/>
                  <w:vAlign w:val="center"/>
                </w:tcPr>
                <w:p w14:paraId="514019FD">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r>
                    <w:rPr>
                      <w:rFonts w:hint="eastAsia" w:ascii="Times New Roman" w:hAnsi="Times New Roman" w:eastAsia="宋体" w:cs="Times New Roman"/>
                      <w:color w:val="auto"/>
                      <w:szCs w:val="21"/>
                    </w:rPr>
                    <w:t>0.0298</w:t>
                  </w:r>
                </w:p>
              </w:tc>
              <w:tc>
                <w:tcPr>
                  <w:tcW w:w="767" w:type="pct"/>
                  <w:vAlign w:val="center"/>
                </w:tcPr>
                <w:p w14:paraId="2331F0A7">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r>
                    <w:rPr>
                      <w:rFonts w:hint="eastAsia" w:ascii="Times New Roman" w:hAnsi="Times New Roman" w:eastAsia="宋体" w:cs="Times New Roman"/>
                      <w:color w:val="auto"/>
                      <w:szCs w:val="21"/>
                    </w:rPr>
                    <w:t>0.1346</w:t>
                  </w:r>
                </w:p>
              </w:tc>
              <w:tc>
                <w:tcPr>
                  <w:tcW w:w="768" w:type="pct"/>
                  <w:vAlign w:val="center"/>
                </w:tcPr>
                <w:p w14:paraId="4DEA062B">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r>
                    <w:rPr>
                      <w:rFonts w:hint="eastAsia" w:ascii="Times New Roman" w:hAnsi="Times New Roman" w:eastAsia="宋体" w:cs="Times New Roman"/>
                      <w:color w:val="auto"/>
                      <w:szCs w:val="21"/>
                    </w:rPr>
                    <w:t>4.355</w:t>
                  </w:r>
                </w:p>
              </w:tc>
            </w:tr>
            <w:tr w14:paraId="454AF615">
              <w:tblPrEx>
                <w:tblBorders>
                  <w:top w:val="single" w:color="000000" w:sz="4" w:space="0"/>
                  <w:left w:val="single" w:color="000000" w:sz="2" w:space="0"/>
                  <w:bottom w:val="single" w:color="000000" w:sz="2" w:space="0"/>
                  <w:right w:val="single" w:color="000000" w:sz="2" w:space="0"/>
                  <w:insideH w:val="single" w:color="000000" w:sz="2" w:space="0"/>
                  <w:insideV w:val="single" w:color="000000" w:sz="2" w:space="0"/>
                </w:tblBorders>
                <w:tblCellMar>
                  <w:top w:w="15" w:type="dxa"/>
                  <w:left w:w="15" w:type="dxa"/>
                  <w:bottom w:w="15" w:type="dxa"/>
                  <w:right w:w="15" w:type="dxa"/>
                </w:tblCellMar>
              </w:tblPrEx>
              <w:trPr>
                <w:trHeight w:val="397" w:hRule="atLeast"/>
                <w:jc w:val="center"/>
              </w:trPr>
              <w:tc>
                <w:tcPr>
                  <w:tcW w:w="939" w:type="pct"/>
                  <w:vAlign w:val="center"/>
                </w:tcPr>
                <w:p w14:paraId="39D46809">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rPr>
                    <w:t>2025-5-1</w:t>
                  </w:r>
                  <w:r>
                    <w:rPr>
                      <w:rFonts w:hint="eastAsia" w:ascii="Times New Roman" w:hAnsi="Times New Roman" w:eastAsia="宋体" w:cs="Times New Roman"/>
                      <w:color w:val="auto"/>
                      <w:szCs w:val="21"/>
                    </w:rPr>
                    <w:t>8</w:t>
                  </w:r>
                </w:p>
              </w:tc>
              <w:tc>
                <w:tcPr>
                  <w:tcW w:w="715" w:type="pct"/>
                  <w:vAlign w:val="center"/>
                </w:tcPr>
                <w:p w14:paraId="24A7E229">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r>
                    <w:rPr>
                      <w:rFonts w:hint="eastAsia" w:ascii="Times New Roman" w:hAnsi="Times New Roman" w:eastAsia="宋体" w:cs="Times New Roman"/>
                      <w:color w:val="auto"/>
                      <w:szCs w:val="21"/>
                    </w:rPr>
                    <w:t>6.96</w:t>
                  </w:r>
                </w:p>
              </w:tc>
              <w:tc>
                <w:tcPr>
                  <w:tcW w:w="1042" w:type="pct"/>
                  <w:vAlign w:val="center"/>
                </w:tcPr>
                <w:p w14:paraId="579BFDE8">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r>
                    <w:rPr>
                      <w:rFonts w:hint="eastAsia" w:ascii="Times New Roman" w:hAnsi="Times New Roman" w:eastAsia="宋体" w:cs="Times New Roman"/>
                      <w:color w:val="auto"/>
                      <w:szCs w:val="21"/>
                    </w:rPr>
                    <w:t>25.42</w:t>
                  </w:r>
                </w:p>
              </w:tc>
              <w:tc>
                <w:tcPr>
                  <w:tcW w:w="767" w:type="pct"/>
                  <w:vAlign w:val="center"/>
                </w:tcPr>
                <w:p w14:paraId="1668A445">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r>
                    <w:rPr>
                      <w:rFonts w:hint="eastAsia" w:ascii="Times New Roman" w:hAnsi="Times New Roman" w:eastAsia="宋体" w:cs="Times New Roman"/>
                      <w:color w:val="auto"/>
                      <w:szCs w:val="21"/>
                    </w:rPr>
                    <w:t>0.0331</w:t>
                  </w:r>
                </w:p>
              </w:tc>
              <w:tc>
                <w:tcPr>
                  <w:tcW w:w="767" w:type="pct"/>
                  <w:vAlign w:val="center"/>
                </w:tcPr>
                <w:p w14:paraId="4772AFA0">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r>
                    <w:rPr>
                      <w:rFonts w:hint="eastAsia" w:ascii="Times New Roman" w:hAnsi="Times New Roman" w:eastAsia="宋体" w:cs="Times New Roman"/>
                      <w:color w:val="auto"/>
                      <w:szCs w:val="21"/>
                    </w:rPr>
                    <w:t>0.1348</w:t>
                  </w:r>
                </w:p>
              </w:tc>
              <w:tc>
                <w:tcPr>
                  <w:tcW w:w="768" w:type="pct"/>
                  <w:vAlign w:val="center"/>
                </w:tcPr>
                <w:p w14:paraId="15C86EAF">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r>
                    <w:rPr>
                      <w:rFonts w:hint="eastAsia" w:ascii="Times New Roman" w:hAnsi="Times New Roman" w:eastAsia="宋体" w:cs="Times New Roman"/>
                      <w:color w:val="auto"/>
                      <w:szCs w:val="21"/>
                    </w:rPr>
                    <w:t>3.983</w:t>
                  </w:r>
                </w:p>
              </w:tc>
            </w:tr>
            <w:tr w14:paraId="3A336304">
              <w:tblPrEx>
                <w:tblBorders>
                  <w:top w:val="single" w:color="000000" w:sz="4" w:space="0"/>
                  <w:left w:val="single" w:color="000000" w:sz="2" w:space="0"/>
                  <w:bottom w:val="single" w:color="000000" w:sz="2" w:space="0"/>
                  <w:right w:val="single" w:color="000000" w:sz="2" w:space="0"/>
                  <w:insideH w:val="single" w:color="000000" w:sz="2" w:space="0"/>
                  <w:insideV w:val="single" w:color="000000" w:sz="2" w:space="0"/>
                </w:tblBorders>
                <w:tblCellMar>
                  <w:top w:w="15" w:type="dxa"/>
                  <w:left w:w="15" w:type="dxa"/>
                  <w:bottom w:w="15" w:type="dxa"/>
                  <w:right w:w="15" w:type="dxa"/>
                </w:tblCellMar>
              </w:tblPrEx>
              <w:trPr>
                <w:trHeight w:val="397" w:hRule="atLeast"/>
                <w:jc w:val="center"/>
              </w:trPr>
              <w:tc>
                <w:tcPr>
                  <w:tcW w:w="939" w:type="pct"/>
                  <w:vAlign w:val="center"/>
                </w:tcPr>
                <w:p w14:paraId="67CF5A8B">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rPr>
                    <w:t>2025-5-1</w:t>
                  </w:r>
                  <w:r>
                    <w:rPr>
                      <w:rFonts w:hint="eastAsia" w:ascii="Times New Roman" w:hAnsi="Times New Roman" w:eastAsia="宋体" w:cs="Times New Roman"/>
                      <w:color w:val="auto"/>
                      <w:szCs w:val="21"/>
                    </w:rPr>
                    <w:t>7</w:t>
                  </w:r>
                </w:p>
              </w:tc>
              <w:tc>
                <w:tcPr>
                  <w:tcW w:w="715" w:type="pct"/>
                  <w:vAlign w:val="center"/>
                </w:tcPr>
                <w:p w14:paraId="18D17B50">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r>
                    <w:rPr>
                      <w:rFonts w:hint="eastAsia" w:ascii="Times New Roman" w:hAnsi="Times New Roman" w:eastAsia="宋体" w:cs="Times New Roman"/>
                      <w:color w:val="auto"/>
                      <w:szCs w:val="21"/>
                    </w:rPr>
                    <w:t>6.92</w:t>
                  </w:r>
                </w:p>
              </w:tc>
              <w:tc>
                <w:tcPr>
                  <w:tcW w:w="1042" w:type="pct"/>
                  <w:vAlign w:val="center"/>
                </w:tcPr>
                <w:p w14:paraId="3774665C">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r>
                    <w:rPr>
                      <w:rFonts w:hint="eastAsia" w:ascii="Times New Roman" w:hAnsi="Times New Roman" w:eastAsia="宋体" w:cs="Times New Roman"/>
                      <w:color w:val="auto"/>
                      <w:szCs w:val="21"/>
                    </w:rPr>
                    <w:t>26.92</w:t>
                  </w:r>
                </w:p>
              </w:tc>
              <w:tc>
                <w:tcPr>
                  <w:tcW w:w="767" w:type="pct"/>
                  <w:vAlign w:val="center"/>
                </w:tcPr>
                <w:p w14:paraId="0787970A">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r>
                    <w:rPr>
                      <w:rFonts w:hint="eastAsia" w:ascii="Times New Roman" w:hAnsi="Times New Roman" w:eastAsia="宋体" w:cs="Times New Roman"/>
                      <w:color w:val="auto"/>
                      <w:szCs w:val="21"/>
                    </w:rPr>
                    <w:t>0.0359</w:t>
                  </w:r>
                </w:p>
              </w:tc>
              <w:tc>
                <w:tcPr>
                  <w:tcW w:w="767" w:type="pct"/>
                  <w:vAlign w:val="center"/>
                </w:tcPr>
                <w:p w14:paraId="77BA1646">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r>
                    <w:rPr>
                      <w:rFonts w:hint="eastAsia" w:ascii="Times New Roman" w:hAnsi="Times New Roman" w:eastAsia="宋体" w:cs="Times New Roman"/>
                      <w:color w:val="auto"/>
                      <w:szCs w:val="21"/>
                    </w:rPr>
                    <w:t>0.1667</w:t>
                  </w:r>
                </w:p>
              </w:tc>
              <w:tc>
                <w:tcPr>
                  <w:tcW w:w="768" w:type="pct"/>
                  <w:vAlign w:val="center"/>
                </w:tcPr>
                <w:p w14:paraId="38F56BBF">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r>
                    <w:rPr>
                      <w:rFonts w:hint="eastAsia" w:ascii="Times New Roman" w:hAnsi="Times New Roman" w:eastAsia="宋体" w:cs="Times New Roman"/>
                      <w:color w:val="auto"/>
                      <w:szCs w:val="21"/>
                    </w:rPr>
                    <w:t>3.973</w:t>
                  </w:r>
                </w:p>
              </w:tc>
            </w:tr>
            <w:tr w14:paraId="18319518">
              <w:tblPrEx>
                <w:tblBorders>
                  <w:top w:val="single" w:color="000000" w:sz="4" w:space="0"/>
                  <w:left w:val="single" w:color="000000" w:sz="2" w:space="0"/>
                  <w:bottom w:val="single" w:color="000000" w:sz="2" w:space="0"/>
                  <w:right w:val="single" w:color="000000" w:sz="2" w:space="0"/>
                  <w:insideH w:val="single" w:color="000000" w:sz="2" w:space="0"/>
                  <w:insideV w:val="single" w:color="000000" w:sz="2" w:space="0"/>
                </w:tblBorders>
                <w:tblCellMar>
                  <w:top w:w="15" w:type="dxa"/>
                  <w:left w:w="15" w:type="dxa"/>
                  <w:bottom w:w="15" w:type="dxa"/>
                  <w:right w:w="15" w:type="dxa"/>
                </w:tblCellMar>
              </w:tblPrEx>
              <w:trPr>
                <w:trHeight w:val="397" w:hRule="atLeast"/>
                <w:jc w:val="center"/>
              </w:trPr>
              <w:tc>
                <w:tcPr>
                  <w:tcW w:w="939" w:type="pct"/>
                  <w:vAlign w:val="center"/>
                </w:tcPr>
                <w:p w14:paraId="606A681E">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rPr>
                    <w:t>2025-5-1</w:t>
                  </w:r>
                  <w:r>
                    <w:rPr>
                      <w:rFonts w:hint="eastAsia" w:ascii="Times New Roman" w:hAnsi="Times New Roman" w:eastAsia="宋体" w:cs="Times New Roman"/>
                      <w:color w:val="auto"/>
                      <w:szCs w:val="21"/>
                    </w:rPr>
                    <w:t>6</w:t>
                  </w:r>
                </w:p>
              </w:tc>
              <w:tc>
                <w:tcPr>
                  <w:tcW w:w="715" w:type="pct"/>
                  <w:vAlign w:val="center"/>
                </w:tcPr>
                <w:p w14:paraId="6D2934AA">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r>
                    <w:rPr>
                      <w:rFonts w:hint="eastAsia" w:ascii="Times New Roman" w:hAnsi="Times New Roman" w:eastAsia="宋体" w:cs="Times New Roman"/>
                      <w:color w:val="auto"/>
                      <w:szCs w:val="21"/>
                    </w:rPr>
                    <w:t>6.89</w:t>
                  </w:r>
                </w:p>
              </w:tc>
              <w:tc>
                <w:tcPr>
                  <w:tcW w:w="1042" w:type="pct"/>
                  <w:vAlign w:val="center"/>
                </w:tcPr>
                <w:p w14:paraId="60D661EE">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r>
                    <w:rPr>
                      <w:rFonts w:hint="eastAsia" w:ascii="Times New Roman" w:hAnsi="Times New Roman" w:eastAsia="宋体" w:cs="Times New Roman"/>
                      <w:color w:val="auto"/>
                      <w:szCs w:val="21"/>
                    </w:rPr>
                    <w:t>27.71</w:t>
                  </w:r>
                </w:p>
              </w:tc>
              <w:tc>
                <w:tcPr>
                  <w:tcW w:w="767" w:type="pct"/>
                  <w:vAlign w:val="center"/>
                </w:tcPr>
                <w:p w14:paraId="1B77D130">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r>
                    <w:rPr>
                      <w:rFonts w:hint="eastAsia" w:ascii="Times New Roman" w:hAnsi="Times New Roman" w:eastAsia="宋体" w:cs="Times New Roman"/>
                      <w:color w:val="auto"/>
                      <w:szCs w:val="21"/>
                    </w:rPr>
                    <w:t>0.0312</w:t>
                  </w:r>
                </w:p>
              </w:tc>
              <w:tc>
                <w:tcPr>
                  <w:tcW w:w="767" w:type="pct"/>
                  <w:vAlign w:val="center"/>
                </w:tcPr>
                <w:p w14:paraId="5EA0DD3A">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r>
                    <w:rPr>
                      <w:rFonts w:hint="eastAsia" w:ascii="Times New Roman" w:hAnsi="Times New Roman" w:eastAsia="宋体" w:cs="Times New Roman"/>
                      <w:color w:val="auto"/>
                      <w:szCs w:val="21"/>
                    </w:rPr>
                    <w:t>0.2076</w:t>
                  </w:r>
                </w:p>
              </w:tc>
              <w:tc>
                <w:tcPr>
                  <w:tcW w:w="768" w:type="pct"/>
                  <w:vAlign w:val="center"/>
                </w:tcPr>
                <w:p w14:paraId="5C53DC26">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r>
                    <w:rPr>
                      <w:rFonts w:hint="eastAsia" w:ascii="Times New Roman" w:hAnsi="Times New Roman" w:eastAsia="宋体" w:cs="Times New Roman"/>
                      <w:color w:val="auto"/>
                      <w:szCs w:val="21"/>
                    </w:rPr>
                    <w:t>4.792</w:t>
                  </w:r>
                </w:p>
              </w:tc>
            </w:tr>
            <w:tr w14:paraId="147B5FE0">
              <w:tblPrEx>
                <w:tblBorders>
                  <w:top w:val="single" w:color="000000" w:sz="4" w:space="0"/>
                  <w:left w:val="single" w:color="000000" w:sz="2" w:space="0"/>
                  <w:bottom w:val="single" w:color="000000" w:sz="2" w:space="0"/>
                  <w:right w:val="single" w:color="000000" w:sz="2" w:space="0"/>
                  <w:insideH w:val="single" w:color="000000" w:sz="2" w:space="0"/>
                  <w:insideV w:val="single" w:color="000000" w:sz="2" w:space="0"/>
                </w:tblBorders>
                <w:tblCellMar>
                  <w:top w:w="15" w:type="dxa"/>
                  <w:left w:w="15" w:type="dxa"/>
                  <w:bottom w:w="15" w:type="dxa"/>
                  <w:right w:w="15" w:type="dxa"/>
                </w:tblCellMar>
              </w:tblPrEx>
              <w:trPr>
                <w:trHeight w:val="397" w:hRule="atLeast"/>
                <w:jc w:val="center"/>
              </w:trPr>
              <w:tc>
                <w:tcPr>
                  <w:tcW w:w="939" w:type="pct"/>
                  <w:vAlign w:val="center"/>
                </w:tcPr>
                <w:p w14:paraId="413173CA">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rPr>
                    <w:t>2025-5-1</w:t>
                  </w:r>
                  <w:r>
                    <w:rPr>
                      <w:rFonts w:hint="eastAsia" w:ascii="Times New Roman" w:hAnsi="Times New Roman" w:eastAsia="宋体" w:cs="Times New Roman"/>
                      <w:color w:val="auto"/>
                      <w:szCs w:val="21"/>
                    </w:rPr>
                    <w:t>5</w:t>
                  </w:r>
                </w:p>
              </w:tc>
              <w:tc>
                <w:tcPr>
                  <w:tcW w:w="715" w:type="pct"/>
                  <w:vAlign w:val="center"/>
                </w:tcPr>
                <w:p w14:paraId="2133DD75">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r>
                    <w:rPr>
                      <w:rFonts w:hint="eastAsia" w:ascii="Times New Roman" w:hAnsi="Times New Roman" w:eastAsia="宋体" w:cs="Times New Roman"/>
                      <w:color w:val="auto"/>
                      <w:szCs w:val="21"/>
                    </w:rPr>
                    <w:t>6.87</w:t>
                  </w:r>
                </w:p>
              </w:tc>
              <w:tc>
                <w:tcPr>
                  <w:tcW w:w="1042" w:type="pct"/>
                  <w:vAlign w:val="center"/>
                </w:tcPr>
                <w:p w14:paraId="5DC39982">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r>
                    <w:rPr>
                      <w:rFonts w:hint="eastAsia" w:ascii="Times New Roman" w:hAnsi="Times New Roman" w:eastAsia="宋体" w:cs="Times New Roman"/>
                      <w:color w:val="auto"/>
                      <w:szCs w:val="21"/>
                    </w:rPr>
                    <w:t>24.37</w:t>
                  </w:r>
                </w:p>
              </w:tc>
              <w:tc>
                <w:tcPr>
                  <w:tcW w:w="767" w:type="pct"/>
                  <w:vAlign w:val="center"/>
                </w:tcPr>
                <w:p w14:paraId="33E4FF6C">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r>
                    <w:rPr>
                      <w:rFonts w:hint="eastAsia" w:ascii="Times New Roman" w:hAnsi="Times New Roman" w:eastAsia="宋体" w:cs="Times New Roman"/>
                      <w:color w:val="auto"/>
                      <w:szCs w:val="21"/>
                    </w:rPr>
                    <w:t>0.0135</w:t>
                  </w:r>
                </w:p>
              </w:tc>
              <w:tc>
                <w:tcPr>
                  <w:tcW w:w="767" w:type="pct"/>
                  <w:vAlign w:val="center"/>
                </w:tcPr>
                <w:p w14:paraId="73279AFD">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r>
                    <w:rPr>
                      <w:rFonts w:hint="eastAsia" w:ascii="Times New Roman" w:hAnsi="Times New Roman" w:eastAsia="宋体" w:cs="Times New Roman"/>
                      <w:color w:val="auto"/>
                      <w:szCs w:val="21"/>
                    </w:rPr>
                    <w:t>0.1743</w:t>
                  </w:r>
                </w:p>
              </w:tc>
              <w:tc>
                <w:tcPr>
                  <w:tcW w:w="768" w:type="pct"/>
                  <w:vAlign w:val="center"/>
                </w:tcPr>
                <w:p w14:paraId="5171C40F">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r>
                    <w:rPr>
                      <w:rFonts w:hint="eastAsia" w:ascii="Times New Roman" w:hAnsi="Times New Roman" w:eastAsia="宋体" w:cs="Times New Roman"/>
                      <w:color w:val="auto"/>
                      <w:szCs w:val="21"/>
                    </w:rPr>
                    <w:t>4.758</w:t>
                  </w:r>
                </w:p>
              </w:tc>
            </w:tr>
            <w:tr w14:paraId="395D494C">
              <w:tblPrEx>
                <w:tblBorders>
                  <w:top w:val="single" w:color="000000" w:sz="4" w:space="0"/>
                  <w:left w:val="single" w:color="000000" w:sz="2" w:space="0"/>
                  <w:bottom w:val="single" w:color="000000" w:sz="2" w:space="0"/>
                  <w:right w:val="single" w:color="000000" w:sz="2" w:space="0"/>
                  <w:insideH w:val="single" w:color="000000" w:sz="2" w:space="0"/>
                  <w:insideV w:val="single" w:color="000000" w:sz="2" w:space="0"/>
                </w:tblBorders>
                <w:tblCellMar>
                  <w:top w:w="15" w:type="dxa"/>
                  <w:left w:w="15" w:type="dxa"/>
                  <w:bottom w:w="15" w:type="dxa"/>
                  <w:right w:w="15" w:type="dxa"/>
                </w:tblCellMar>
              </w:tblPrEx>
              <w:trPr>
                <w:trHeight w:val="397" w:hRule="atLeast"/>
                <w:jc w:val="center"/>
              </w:trPr>
              <w:tc>
                <w:tcPr>
                  <w:tcW w:w="939" w:type="pct"/>
                  <w:vAlign w:val="center"/>
                </w:tcPr>
                <w:p w14:paraId="5C19C17B">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rPr>
                    <w:t>2025-5-1</w:t>
                  </w:r>
                  <w:r>
                    <w:rPr>
                      <w:rFonts w:hint="eastAsia" w:ascii="Times New Roman" w:hAnsi="Times New Roman" w:eastAsia="宋体" w:cs="Times New Roman"/>
                      <w:color w:val="auto"/>
                      <w:szCs w:val="21"/>
                    </w:rPr>
                    <w:t>4</w:t>
                  </w:r>
                </w:p>
              </w:tc>
              <w:tc>
                <w:tcPr>
                  <w:tcW w:w="715" w:type="pct"/>
                  <w:vAlign w:val="center"/>
                </w:tcPr>
                <w:p w14:paraId="632072DC">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r>
                    <w:rPr>
                      <w:rFonts w:hint="eastAsia" w:ascii="Times New Roman" w:hAnsi="Times New Roman" w:eastAsia="宋体" w:cs="Times New Roman"/>
                      <w:color w:val="auto"/>
                      <w:szCs w:val="21"/>
                    </w:rPr>
                    <w:t>6.91</w:t>
                  </w:r>
                </w:p>
              </w:tc>
              <w:tc>
                <w:tcPr>
                  <w:tcW w:w="1042" w:type="pct"/>
                  <w:vAlign w:val="center"/>
                </w:tcPr>
                <w:p w14:paraId="6EE34054">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r>
                    <w:rPr>
                      <w:rFonts w:hint="eastAsia" w:ascii="Times New Roman" w:hAnsi="Times New Roman" w:eastAsia="宋体" w:cs="Times New Roman"/>
                      <w:color w:val="auto"/>
                      <w:szCs w:val="21"/>
                    </w:rPr>
                    <w:t>23.15</w:t>
                  </w:r>
                </w:p>
              </w:tc>
              <w:tc>
                <w:tcPr>
                  <w:tcW w:w="767" w:type="pct"/>
                  <w:vAlign w:val="center"/>
                </w:tcPr>
                <w:p w14:paraId="1F27D1A0">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r>
                    <w:rPr>
                      <w:rFonts w:hint="eastAsia" w:ascii="Times New Roman" w:hAnsi="Times New Roman" w:eastAsia="宋体" w:cs="Times New Roman"/>
                      <w:color w:val="auto"/>
                      <w:szCs w:val="21"/>
                    </w:rPr>
                    <w:t>0.0109</w:t>
                  </w:r>
                </w:p>
              </w:tc>
              <w:tc>
                <w:tcPr>
                  <w:tcW w:w="767" w:type="pct"/>
                  <w:vAlign w:val="center"/>
                </w:tcPr>
                <w:p w14:paraId="55A1AB62">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r>
                    <w:rPr>
                      <w:rFonts w:hint="eastAsia" w:ascii="Times New Roman" w:hAnsi="Times New Roman" w:eastAsia="宋体" w:cs="Times New Roman"/>
                      <w:color w:val="auto"/>
                      <w:szCs w:val="21"/>
                    </w:rPr>
                    <w:t>0.1531</w:t>
                  </w:r>
                </w:p>
              </w:tc>
              <w:tc>
                <w:tcPr>
                  <w:tcW w:w="768" w:type="pct"/>
                  <w:vAlign w:val="center"/>
                </w:tcPr>
                <w:p w14:paraId="3638BAA6">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r>
                    <w:rPr>
                      <w:rFonts w:hint="eastAsia" w:ascii="Times New Roman" w:hAnsi="Times New Roman" w:eastAsia="宋体" w:cs="Times New Roman"/>
                      <w:color w:val="auto"/>
                      <w:szCs w:val="21"/>
                    </w:rPr>
                    <w:t>4.947</w:t>
                  </w:r>
                </w:p>
              </w:tc>
            </w:tr>
            <w:tr w14:paraId="3ADBCCC5">
              <w:tblPrEx>
                <w:tblBorders>
                  <w:top w:val="single" w:color="000000" w:sz="4" w:space="0"/>
                  <w:left w:val="single" w:color="000000" w:sz="2" w:space="0"/>
                  <w:bottom w:val="single" w:color="000000" w:sz="2" w:space="0"/>
                  <w:right w:val="single" w:color="000000" w:sz="2" w:space="0"/>
                  <w:insideH w:val="single" w:color="000000" w:sz="2" w:space="0"/>
                  <w:insideV w:val="single" w:color="000000" w:sz="2" w:space="0"/>
                </w:tblBorders>
                <w:tblCellMar>
                  <w:top w:w="15" w:type="dxa"/>
                  <w:left w:w="15" w:type="dxa"/>
                  <w:bottom w:w="15" w:type="dxa"/>
                  <w:right w:w="15" w:type="dxa"/>
                </w:tblCellMar>
              </w:tblPrEx>
              <w:trPr>
                <w:trHeight w:val="397" w:hRule="atLeast"/>
                <w:jc w:val="center"/>
              </w:trPr>
              <w:tc>
                <w:tcPr>
                  <w:tcW w:w="939" w:type="pct"/>
                  <w:vAlign w:val="center"/>
                </w:tcPr>
                <w:p w14:paraId="4AD1BE07">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rPr>
                    <w:t>2025-5-1</w:t>
                  </w:r>
                  <w:r>
                    <w:rPr>
                      <w:rFonts w:hint="eastAsia" w:ascii="Times New Roman" w:hAnsi="Times New Roman" w:eastAsia="宋体" w:cs="Times New Roman"/>
                      <w:color w:val="auto"/>
                      <w:szCs w:val="21"/>
                    </w:rPr>
                    <w:t>3</w:t>
                  </w:r>
                </w:p>
              </w:tc>
              <w:tc>
                <w:tcPr>
                  <w:tcW w:w="715" w:type="pct"/>
                  <w:vAlign w:val="center"/>
                </w:tcPr>
                <w:p w14:paraId="6B73EF14">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r>
                    <w:rPr>
                      <w:rFonts w:hint="eastAsia" w:ascii="Times New Roman" w:hAnsi="Times New Roman" w:eastAsia="宋体" w:cs="Times New Roman"/>
                      <w:color w:val="auto"/>
                      <w:szCs w:val="21"/>
                    </w:rPr>
                    <w:t>6.95</w:t>
                  </w:r>
                </w:p>
              </w:tc>
              <w:tc>
                <w:tcPr>
                  <w:tcW w:w="1042" w:type="pct"/>
                  <w:vAlign w:val="center"/>
                </w:tcPr>
                <w:p w14:paraId="59A7B89E">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r>
                    <w:rPr>
                      <w:rFonts w:hint="eastAsia" w:ascii="Times New Roman" w:hAnsi="Times New Roman" w:eastAsia="宋体" w:cs="Times New Roman"/>
                      <w:color w:val="auto"/>
                      <w:szCs w:val="21"/>
                    </w:rPr>
                    <w:t>22.47</w:t>
                  </w:r>
                </w:p>
              </w:tc>
              <w:tc>
                <w:tcPr>
                  <w:tcW w:w="767" w:type="pct"/>
                  <w:vAlign w:val="center"/>
                </w:tcPr>
                <w:p w14:paraId="12626409">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r>
                    <w:rPr>
                      <w:rFonts w:hint="eastAsia" w:ascii="Times New Roman" w:hAnsi="Times New Roman" w:eastAsia="宋体" w:cs="Times New Roman"/>
                      <w:color w:val="auto"/>
                      <w:szCs w:val="21"/>
                    </w:rPr>
                    <w:t>0.01</w:t>
                  </w:r>
                </w:p>
              </w:tc>
              <w:tc>
                <w:tcPr>
                  <w:tcW w:w="767" w:type="pct"/>
                  <w:vAlign w:val="center"/>
                </w:tcPr>
                <w:p w14:paraId="63A4708E">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r>
                    <w:rPr>
                      <w:rFonts w:hint="eastAsia" w:ascii="Times New Roman" w:hAnsi="Times New Roman" w:eastAsia="宋体" w:cs="Times New Roman"/>
                      <w:color w:val="auto"/>
                      <w:szCs w:val="21"/>
                    </w:rPr>
                    <w:t>0.1578</w:t>
                  </w:r>
                </w:p>
              </w:tc>
              <w:tc>
                <w:tcPr>
                  <w:tcW w:w="768" w:type="pct"/>
                  <w:vAlign w:val="center"/>
                </w:tcPr>
                <w:p w14:paraId="367ED5C6">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r>
                    <w:rPr>
                      <w:rFonts w:hint="eastAsia" w:ascii="Times New Roman" w:hAnsi="Times New Roman" w:eastAsia="宋体" w:cs="Times New Roman"/>
                      <w:color w:val="auto"/>
                      <w:szCs w:val="21"/>
                    </w:rPr>
                    <w:t>4.918</w:t>
                  </w:r>
                </w:p>
              </w:tc>
            </w:tr>
            <w:tr w14:paraId="3EBDD274">
              <w:tblPrEx>
                <w:tblBorders>
                  <w:top w:val="single" w:color="000000" w:sz="4" w:space="0"/>
                  <w:left w:val="single" w:color="000000" w:sz="2" w:space="0"/>
                  <w:bottom w:val="single" w:color="000000" w:sz="2" w:space="0"/>
                  <w:right w:val="single" w:color="000000" w:sz="2" w:space="0"/>
                  <w:insideH w:val="single" w:color="000000" w:sz="2" w:space="0"/>
                  <w:insideV w:val="single" w:color="000000" w:sz="2" w:space="0"/>
                </w:tblBorders>
                <w:tblCellMar>
                  <w:top w:w="15" w:type="dxa"/>
                  <w:left w:w="15" w:type="dxa"/>
                  <w:bottom w:w="15" w:type="dxa"/>
                  <w:right w:w="15" w:type="dxa"/>
                </w:tblCellMar>
              </w:tblPrEx>
              <w:trPr>
                <w:trHeight w:val="397" w:hRule="atLeast"/>
                <w:jc w:val="center"/>
              </w:trPr>
              <w:tc>
                <w:tcPr>
                  <w:tcW w:w="939" w:type="pct"/>
                  <w:vAlign w:val="center"/>
                </w:tcPr>
                <w:p w14:paraId="1D4B721E">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rPr>
                    <w:t>最高允许排放浓度（日均值）</w:t>
                  </w:r>
                </w:p>
              </w:tc>
              <w:tc>
                <w:tcPr>
                  <w:tcW w:w="715" w:type="pct"/>
                  <w:vAlign w:val="center"/>
                </w:tcPr>
                <w:p w14:paraId="7265A67D">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r>
                    <w:rPr>
                      <w:rFonts w:hint="eastAsia" w:ascii="Times New Roman" w:hAnsi="Times New Roman" w:eastAsia="宋体" w:cs="Times New Roman"/>
                      <w:color w:val="auto"/>
                      <w:szCs w:val="21"/>
                    </w:rPr>
                    <w:t>6-9</w:t>
                  </w:r>
                </w:p>
              </w:tc>
              <w:tc>
                <w:tcPr>
                  <w:tcW w:w="1042" w:type="pct"/>
                  <w:vAlign w:val="center"/>
                </w:tcPr>
                <w:p w14:paraId="40B0EF17">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r>
                    <w:rPr>
                      <w:rFonts w:hint="eastAsia" w:ascii="Times New Roman" w:hAnsi="Times New Roman" w:eastAsia="宋体" w:cs="Times New Roman"/>
                      <w:color w:val="auto"/>
                      <w:szCs w:val="21"/>
                    </w:rPr>
                    <w:t>30</w:t>
                  </w:r>
                </w:p>
              </w:tc>
              <w:tc>
                <w:tcPr>
                  <w:tcW w:w="767" w:type="pct"/>
                  <w:vAlign w:val="center"/>
                </w:tcPr>
                <w:p w14:paraId="5ED10B90">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r>
                    <w:rPr>
                      <w:rFonts w:hint="eastAsia" w:ascii="Times New Roman" w:hAnsi="Times New Roman" w:eastAsia="宋体" w:cs="Times New Roman"/>
                      <w:color w:val="auto"/>
                      <w:szCs w:val="21"/>
                    </w:rPr>
                    <w:t>1.5（3）</w:t>
                  </w:r>
                  <w:r>
                    <w:rPr>
                      <w:rFonts w:hint="eastAsia" w:ascii="Times New Roman" w:hAnsi="Times New Roman" w:eastAsia="宋体" w:cs="Times New Roman"/>
                      <w:color w:val="auto"/>
                      <w:szCs w:val="21"/>
                      <w:vertAlign w:val="superscript"/>
                    </w:rPr>
                    <w:t>1</w:t>
                  </w:r>
                </w:p>
              </w:tc>
              <w:tc>
                <w:tcPr>
                  <w:tcW w:w="767" w:type="pct"/>
                  <w:vAlign w:val="center"/>
                </w:tcPr>
                <w:p w14:paraId="14B574B9">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r>
                    <w:rPr>
                      <w:rFonts w:hint="eastAsia" w:ascii="Times New Roman" w:hAnsi="Times New Roman" w:eastAsia="宋体" w:cs="Times New Roman"/>
                      <w:color w:val="auto"/>
                      <w:szCs w:val="21"/>
                    </w:rPr>
                    <w:t>0.3</w:t>
                  </w:r>
                </w:p>
              </w:tc>
              <w:tc>
                <w:tcPr>
                  <w:tcW w:w="768" w:type="pct"/>
                  <w:vAlign w:val="center"/>
                </w:tcPr>
                <w:p w14:paraId="104B95C8">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r>
                    <w:rPr>
                      <w:rFonts w:hint="eastAsia" w:ascii="Times New Roman" w:hAnsi="Times New Roman" w:eastAsia="宋体" w:cs="Times New Roman"/>
                      <w:color w:val="auto"/>
                      <w:szCs w:val="21"/>
                    </w:rPr>
                    <w:t>10（12）</w:t>
                  </w:r>
                  <w:r>
                    <w:rPr>
                      <w:rFonts w:hint="eastAsia" w:ascii="Times New Roman" w:hAnsi="Times New Roman" w:eastAsia="宋体" w:cs="Times New Roman"/>
                      <w:color w:val="auto"/>
                      <w:szCs w:val="21"/>
                      <w:vertAlign w:val="superscript"/>
                    </w:rPr>
                    <w:t>1</w:t>
                  </w:r>
                </w:p>
              </w:tc>
            </w:tr>
            <w:tr w14:paraId="42B82876">
              <w:tblPrEx>
                <w:tblBorders>
                  <w:top w:val="single" w:color="000000" w:sz="4" w:space="0"/>
                  <w:left w:val="single" w:color="000000" w:sz="2" w:space="0"/>
                  <w:bottom w:val="single" w:color="000000" w:sz="2" w:space="0"/>
                  <w:right w:val="single" w:color="000000" w:sz="2" w:space="0"/>
                  <w:insideH w:val="single" w:color="000000" w:sz="2" w:space="0"/>
                  <w:insideV w:val="single" w:color="000000" w:sz="2" w:space="0"/>
                </w:tblBorders>
                <w:tblCellMar>
                  <w:top w:w="15" w:type="dxa"/>
                  <w:left w:w="15" w:type="dxa"/>
                  <w:bottom w:w="15" w:type="dxa"/>
                  <w:right w:w="15" w:type="dxa"/>
                </w:tblCellMar>
              </w:tblPrEx>
              <w:trPr>
                <w:trHeight w:val="397" w:hRule="atLeast"/>
                <w:jc w:val="center"/>
              </w:trPr>
              <w:tc>
                <w:tcPr>
                  <w:tcW w:w="939" w:type="pct"/>
                  <w:vAlign w:val="center"/>
                </w:tcPr>
                <w:p w14:paraId="133F79D8">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rPr>
                    <w:t>达标情况</w:t>
                  </w:r>
                </w:p>
              </w:tc>
              <w:tc>
                <w:tcPr>
                  <w:tcW w:w="715" w:type="pct"/>
                  <w:vAlign w:val="center"/>
                </w:tcPr>
                <w:p w14:paraId="053214CF">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rPr>
                    <w:t>达标</w:t>
                  </w:r>
                </w:p>
              </w:tc>
              <w:tc>
                <w:tcPr>
                  <w:tcW w:w="1042" w:type="pct"/>
                  <w:vAlign w:val="center"/>
                </w:tcPr>
                <w:p w14:paraId="6D550BA8">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rPr>
                    <w:t>达标</w:t>
                  </w:r>
                </w:p>
              </w:tc>
              <w:tc>
                <w:tcPr>
                  <w:tcW w:w="767" w:type="pct"/>
                  <w:vAlign w:val="center"/>
                </w:tcPr>
                <w:p w14:paraId="72AD30A7">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rPr>
                    <w:t>达标</w:t>
                  </w:r>
                </w:p>
              </w:tc>
              <w:tc>
                <w:tcPr>
                  <w:tcW w:w="767" w:type="pct"/>
                  <w:vAlign w:val="center"/>
                </w:tcPr>
                <w:p w14:paraId="793063FC">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rPr>
                    <w:t>达标</w:t>
                  </w:r>
                </w:p>
              </w:tc>
              <w:tc>
                <w:tcPr>
                  <w:tcW w:w="768" w:type="pct"/>
                  <w:vAlign w:val="center"/>
                </w:tcPr>
                <w:p w14:paraId="5078BB59">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rPr>
                    <w:t>达标</w:t>
                  </w:r>
                </w:p>
              </w:tc>
            </w:tr>
            <w:tr w14:paraId="2F57CCDD">
              <w:tblPrEx>
                <w:tblBorders>
                  <w:top w:val="single" w:color="000000" w:sz="4" w:space="0"/>
                  <w:left w:val="single" w:color="000000" w:sz="2" w:space="0"/>
                  <w:bottom w:val="single" w:color="000000" w:sz="2" w:space="0"/>
                  <w:right w:val="single" w:color="000000" w:sz="2" w:space="0"/>
                  <w:insideH w:val="single" w:color="000000" w:sz="2" w:space="0"/>
                  <w:insideV w:val="single" w:color="000000" w:sz="2" w:space="0"/>
                </w:tblBorders>
                <w:tblCellMar>
                  <w:top w:w="15" w:type="dxa"/>
                  <w:left w:w="15" w:type="dxa"/>
                  <w:bottom w:w="15" w:type="dxa"/>
                  <w:right w:w="15" w:type="dxa"/>
                </w:tblCellMar>
              </w:tblPrEx>
              <w:trPr>
                <w:trHeight w:val="397" w:hRule="atLeast"/>
                <w:jc w:val="center"/>
              </w:trPr>
              <w:tc>
                <w:tcPr>
                  <w:tcW w:w="5000" w:type="pct"/>
                  <w:gridSpan w:val="6"/>
                  <w:vAlign w:val="center"/>
                </w:tcPr>
                <w:p w14:paraId="2DF51C9F">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rPr>
                    <w:t>注1：括号内数值为每年11月1日至次年3月31日执行。</w:t>
                  </w:r>
                </w:p>
              </w:tc>
            </w:tr>
          </w:tbl>
          <w:p w14:paraId="565B109A">
            <w:pPr>
              <w:keepNext w:val="0"/>
              <w:keepLines w:val="0"/>
              <w:suppressLineNumbers w:val="0"/>
              <w:spacing w:before="0" w:beforeAutospacing="0" w:after="0" w:afterAutospacing="0" w:line="360" w:lineRule="auto"/>
              <w:ind w:left="0" w:right="0" w:firstLine="480" w:firstLineChars="200"/>
              <w:rPr>
                <w:rFonts w:hint="default" w:ascii="Times New Roman" w:hAnsi="Times New Roman" w:eastAsia="宋体" w:cs="Times New Roman"/>
                <w:color w:val="auto"/>
                <w:sz w:val="24"/>
              </w:rPr>
            </w:pPr>
            <w:r>
              <w:rPr>
                <w:rFonts w:hint="eastAsia" w:ascii="Times New Roman" w:hAnsi="Times New Roman" w:eastAsia="宋体" w:cs="Times New Roman"/>
                <w:color w:val="auto"/>
                <w:sz w:val="24"/>
              </w:rPr>
              <w:t>根据上表可知，安吉清源污水处理有限公司尾水化学需氧量、氨氮、总氮、总磷排放满足《城镇污水处理厂主要水污染物排放标准》（</w:t>
            </w:r>
            <w:r>
              <w:rPr>
                <w:rFonts w:hint="default" w:ascii="Times New Roman" w:hAnsi="Times New Roman" w:eastAsia="宋体" w:cs="Times New Roman"/>
                <w:color w:val="auto"/>
                <w:sz w:val="24"/>
              </w:rPr>
              <w:t>DB33/2169-2018</w:t>
            </w:r>
            <w:r>
              <w:rPr>
                <w:rFonts w:hint="eastAsia" w:ascii="Times New Roman" w:hAnsi="Times New Roman" w:eastAsia="宋体" w:cs="Times New Roman"/>
                <w:color w:val="auto"/>
                <w:sz w:val="24"/>
              </w:rPr>
              <w:t>）中表2标准，p</w:t>
            </w:r>
            <w:r>
              <w:rPr>
                <w:rFonts w:hint="default" w:ascii="Times New Roman" w:hAnsi="Times New Roman" w:eastAsia="宋体" w:cs="Times New Roman"/>
                <w:color w:val="auto"/>
                <w:sz w:val="24"/>
              </w:rPr>
              <w:t>H</w:t>
            </w:r>
            <w:r>
              <w:rPr>
                <w:rFonts w:hint="eastAsia" w:ascii="Times New Roman" w:hAnsi="Times New Roman" w:eastAsia="宋体" w:cs="Times New Roman"/>
                <w:color w:val="auto"/>
                <w:sz w:val="24"/>
              </w:rPr>
              <w:t>值排放满足《城镇污水处理厂污染物排放标准》（GB18918-2002，含2006年、2025年修改单）中的一级</w:t>
            </w:r>
            <w:r>
              <w:rPr>
                <w:rFonts w:hint="default" w:ascii="Times New Roman" w:hAnsi="Times New Roman" w:eastAsia="宋体" w:cs="Times New Roman"/>
                <w:color w:val="auto"/>
                <w:sz w:val="24"/>
              </w:rPr>
              <w:t>A</w:t>
            </w:r>
            <w:r>
              <w:rPr>
                <w:rFonts w:hint="eastAsia" w:ascii="Times New Roman" w:hAnsi="Times New Roman" w:eastAsia="宋体" w:cs="Times New Roman"/>
                <w:color w:val="auto"/>
                <w:sz w:val="24"/>
              </w:rPr>
              <w:t>标准。</w:t>
            </w:r>
          </w:p>
          <w:p w14:paraId="7E98C75F">
            <w:pPr>
              <w:keepNext w:val="0"/>
              <w:keepLines w:val="0"/>
              <w:suppressLineNumbers w:val="0"/>
              <w:spacing w:before="0" w:beforeAutospacing="0" w:after="0" w:afterAutospacing="0" w:line="360" w:lineRule="auto"/>
              <w:ind w:left="0" w:right="0" w:firstLine="480" w:firstLineChars="200"/>
              <w:rPr>
                <w:rFonts w:hint="default" w:ascii="Times New Roman" w:hAnsi="Times New Roman" w:eastAsia="宋体" w:cs="Times New Roman"/>
                <w:color w:val="auto"/>
                <w:sz w:val="24"/>
              </w:rPr>
            </w:pPr>
            <w:r>
              <w:rPr>
                <w:rFonts w:hint="eastAsia" w:ascii="Times New Roman" w:hAnsi="Times New Roman" w:eastAsia="宋体" w:cs="Times New Roman"/>
                <w:color w:val="auto"/>
                <w:sz w:val="24"/>
              </w:rPr>
              <w:t>B、纳管可行性分析</w:t>
            </w:r>
          </w:p>
          <w:p w14:paraId="46258923">
            <w:pPr>
              <w:keepNext w:val="0"/>
              <w:keepLines w:val="0"/>
              <w:suppressLineNumbers w:val="0"/>
              <w:spacing w:before="0" w:beforeAutospacing="0" w:after="0" w:afterAutospacing="0" w:line="360" w:lineRule="auto"/>
              <w:ind w:left="0" w:right="0" w:firstLine="480" w:firstLineChars="200"/>
              <w:rPr>
                <w:rFonts w:hint="default"/>
                <w:color w:val="auto"/>
              </w:rPr>
            </w:pPr>
            <w:r>
              <w:rPr>
                <w:rFonts w:hint="eastAsia" w:ascii="Times New Roman" w:hAnsi="Times New Roman" w:eastAsia="宋体" w:cs="Times New Roman"/>
                <w:color w:val="auto"/>
                <w:sz w:val="24"/>
              </w:rPr>
              <w:t>安吉清源污水处理有限公司目前已建成的污水处理能力为4.25万吨/日，现实际处理量约2.82万吨/日，尚有处理余量1.43万吨/日。本项目营运期废水日排放量为</w:t>
            </w:r>
            <w:r>
              <w:rPr>
                <w:rFonts w:hint="eastAsia" w:ascii="Times New Roman" w:hAnsi="Times New Roman" w:eastAsia="宋体" w:cs="Times New Roman"/>
                <w:color w:val="0000E1"/>
                <w:sz w:val="24"/>
                <w:lang w:val="en-US" w:eastAsia="zh-CN"/>
              </w:rPr>
              <w:t>4</w:t>
            </w:r>
            <w:r>
              <w:rPr>
                <w:rFonts w:hint="eastAsia" w:ascii="Times New Roman" w:hAnsi="Times New Roman" w:eastAsia="宋体" w:cs="Times New Roman"/>
                <w:color w:val="0000E1"/>
                <w:sz w:val="24"/>
              </w:rPr>
              <w:t>t/d，年排放量为</w:t>
            </w:r>
            <w:r>
              <w:rPr>
                <w:rFonts w:hint="eastAsia" w:ascii="Times New Roman" w:hAnsi="Times New Roman" w:eastAsia="宋体" w:cs="Times New Roman"/>
                <w:color w:val="0000E1"/>
                <w:sz w:val="24"/>
                <w:lang w:val="en-US" w:eastAsia="zh-CN"/>
              </w:rPr>
              <w:t>1200</w:t>
            </w:r>
            <w:r>
              <w:rPr>
                <w:rFonts w:hint="eastAsia" w:ascii="Times New Roman" w:hAnsi="Times New Roman" w:eastAsia="宋体" w:cs="Times New Roman"/>
                <w:color w:val="0000E1"/>
                <w:sz w:val="24"/>
              </w:rPr>
              <w:t>t/a，仅占安吉清源污水处理有限公司剩余处理能力的</w:t>
            </w:r>
            <w:r>
              <w:rPr>
                <w:rFonts w:hint="eastAsia" w:ascii="Times New Roman" w:hAnsi="Times New Roman" w:eastAsia="宋体" w:cs="Times New Roman"/>
                <w:color w:val="0000E1"/>
                <w:sz w:val="24"/>
                <w:lang w:val="en-US" w:eastAsia="zh-CN"/>
              </w:rPr>
              <w:t>0.028</w:t>
            </w:r>
            <w:r>
              <w:rPr>
                <w:rFonts w:hint="eastAsia" w:ascii="Times New Roman" w:hAnsi="Times New Roman" w:eastAsia="宋体" w:cs="Times New Roman"/>
                <w:color w:val="0000E1"/>
                <w:sz w:val="24"/>
              </w:rPr>
              <w:t>%</w:t>
            </w:r>
            <w:r>
              <w:rPr>
                <w:rFonts w:hint="default"/>
                <w:color w:val="0000E1"/>
              </w:rPr>
              <w:commentReference w:id="70"/>
            </w:r>
            <w:r>
              <w:rPr>
                <w:rFonts w:hint="eastAsia" w:ascii="Times New Roman" w:hAnsi="Times New Roman" w:eastAsia="宋体" w:cs="Times New Roman"/>
                <w:color w:val="0000E1"/>
                <w:sz w:val="24"/>
              </w:rPr>
              <w:t>，</w:t>
            </w:r>
            <w:r>
              <w:rPr>
                <w:rFonts w:hint="eastAsia" w:ascii="Times New Roman" w:hAnsi="Times New Roman" w:eastAsia="宋体" w:cs="Times New Roman"/>
                <w:color w:val="auto"/>
                <w:sz w:val="24"/>
              </w:rPr>
              <w:t>且污染物成分较简单，均为常规污染物，不会对其处理能力和处理效率产生影响，因此所排废水完全可以纳入安吉清源污水处理有限公司集中处理。</w:t>
            </w:r>
          </w:p>
          <w:p w14:paraId="290AE6D9">
            <w:pPr>
              <w:keepNext w:val="0"/>
              <w:keepLines w:val="0"/>
              <w:suppressLineNumbers w:val="0"/>
              <w:spacing w:before="0" w:beforeAutospacing="0" w:after="0" w:afterAutospacing="0" w:line="360" w:lineRule="auto"/>
              <w:ind w:left="0" w:right="0"/>
              <w:rPr>
                <w:rFonts w:hint="default" w:ascii="Times New Roman" w:hAnsi="Times New Roman" w:eastAsia="宋体" w:cs="Times New Roman"/>
                <w:b/>
                <w:bCs/>
                <w:color w:val="auto"/>
                <w:sz w:val="24"/>
              </w:rPr>
            </w:pPr>
            <w:r>
              <w:rPr>
                <w:rFonts w:hint="eastAsia" w:ascii="Times New Roman" w:hAnsi="Times New Roman" w:eastAsia="宋体" w:cs="Times New Roman"/>
                <w:b/>
                <w:bCs/>
                <w:color w:val="auto"/>
                <w:sz w:val="24"/>
              </w:rPr>
              <w:t>4.2.3噪声</w:t>
            </w:r>
          </w:p>
          <w:p w14:paraId="2246D239">
            <w:pPr>
              <w:keepNext w:val="0"/>
              <w:keepLines w:val="0"/>
              <w:suppressLineNumbers w:val="0"/>
              <w:spacing w:before="0" w:beforeAutospacing="0" w:after="0" w:afterAutospacing="0" w:line="360" w:lineRule="auto"/>
              <w:ind w:left="0" w:right="0"/>
              <w:rPr>
                <w:rFonts w:hint="default" w:ascii="Times New Roman" w:hAnsi="Times New Roman" w:eastAsia="宋体" w:cs="Times New Roman"/>
                <w:b/>
                <w:bCs/>
                <w:color w:val="auto"/>
                <w:sz w:val="24"/>
              </w:rPr>
            </w:pPr>
            <w:r>
              <w:rPr>
                <w:rFonts w:hint="eastAsia" w:ascii="Times New Roman" w:hAnsi="Times New Roman" w:eastAsia="宋体" w:cs="Times New Roman"/>
                <w:b/>
                <w:bCs/>
                <w:color w:val="auto"/>
                <w:sz w:val="24"/>
              </w:rPr>
              <w:t>4.2.3.1预测模型</w:t>
            </w:r>
          </w:p>
          <w:p w14:paraId="11FBA1D0">
            <w:pPr>
              <w:keepNext w:val="0"/>
              <w:keepLines w:val="0"/>
              <w:suppressLineNumbers w:val="0"/>
              <w:spacing w:before="0" w:beforeAutospacing="0" w:after="0" w:afterAutospacing="0" w:line="360" w:lineRule="auto"/>
              <w:ind w:left="0" w:right="0" w:firstLine="480" w:firstLineChars="200"/>
              <w:rPr>
                <w:rFonts w:hint="default" w:ascii="Times New Roman" w:hAnsi="Times New Roman" w:eastAsia="宋体" w:cs="Times New Roman"/>
                <w:color w:val="auto"/>
                <w:sz w:val="24"/>
              </w:rPr>
            </w:pPr>
            <w:r>
              <w:rPr>
                <w:rFonts w:hint="eastAsia" w:ascii="Times New Roman" w:hAnsi="Times New Roman" w:eastAsia="宋体" w:cs="Times New Roman"/>
                <w:color w:val="auto"/>
                <w:sz w:val="24"/>
              </w:rPr>
              <w:t>根据项目建设内容及《环境影响评价技术导则—声环境》（HJ2.4-2021）的要求，项目环评采用的模型为《环境影响评价技术导则 声环境》（HJ2.4-2021）附录A（规范性附录）户外声传播的衰减和附录B（规范性附录）中</w:t>
            </w:r>
            <w:r>
              <w:rPr>
                <w:rFonts w:hint="eastAsia" w:ascii="Times New Roman" w:hAnsi="Times New Roman" w:eastAsia="宋体" w:cs="Times New Roman"/>
                <w:color w:val="auto"/>
                <w:sz w:val="24"/>
                <w:lang w:eastAsia="zh-CN"/>
              </w:rPr>
              <w:t>“</w:t>
            </w:r>
            <w:r>
              <w:rPr>
                <w:rFonts w:hint="eastAsia" w:ascii="Times New Roman" w:hAnsi="Times New Roman" w:eastAsia="宋体" w:cs="Times New Roman"/>
                <w:color w:val="auto"/>
                <w:sz w:val="24"/>
              </w:rPr>
              <w:t>B.1工业噪声预测计算模型</w:t>
            </w:r>
            <w:r>
              <w:rPr>
                <w:rFonts w:hint="eastAsia" w:ascii="Times New Roman" w:hAnsi="Times New Roman" w:eastAsia="宋体" w:cs="Times New Roman"/>
                <w:color w:val="auto"/>
                <w:sz w:val="24"/>
                <w:lang w:eastAsia="zh-CN"/>
              </w:rPr>
              <w:t>”</w:t>
            </w:r>
            <w:r>
              <w:rPr>
                <w:rFonts w:hint="eastAsia" w:ascii="Times New Roman" w:hAnsi="Times New Roman" w:eastAsia="宋体" w:cs="Times New Roman"/>
                <w:color w:val="auto"/>
                <w:sz w:val="24"/>
              </w:rPr>
              <w:t>。</w:t>
            </w:r>
          </w:p>
          <w:p w14:paraId="7D7B5883">
            <w:pPr>
              <w:keepNext w:val="0"/>
              <w:keepLines w:val="0"/>
              <w:suppressLineNumbers w:val="0"/>
              <w:spacing w:before="0" w:beforeAutospacing="0" w:after="0" w:afterAutospacing="0" w:line="360" w:lineRule="auto"/>
              <w:ind w:left="0" w:right="0"/>
              <w:rPr>
                <w:rFonts w:hint="default" w:ascii="Times New Roman" w:hAnsi="Times New Roman" w:eastAsia="宋体" w:cs="Times New Roman"/>
                <w:b/>
                <w:bCs/>
                <w:color w:val="auto"/>
                <w:sz w:val="24"/>
              </w:rPr>
            </w:pPr>
            <w:r>
              <w:rPr>
                <w:rFonts w:hint="eastAsia" w:ascii="Times New Roman" w:hAnsi="Times New Roman" w:eastAsia="宋体" w:cs="Times New Roman"/>
                <w:b/>
                <w:bCs/>
                <w:color w:val="auto"/>
                <w:sz w:val="24"/>
              </w:rPr>
              <w:t>4.2.3.2预测参数</w:t>
            </w:r>
          </w:p>
          <w:p w14:paraId="7FFFA361">
            <w:pPr>
              <w:keepNext w:val="0"/>
              <w:keepLines w:val="0"/>
              <w:suppressLineNumbers w:val="0"/>
              <w:spacing w:before="0" w:beforeAutospacing="0" w:after="0" w:afterAutospacing="0" w:line="360" w:lineRule="auto"/>
              <w:ind w:left="0" w:right="0" w:firstLine="480" w:firstLineChars="200"/>
              <w:rPr>
                <w:rFonts w:hint="default" w:ascii="Times New Roman" w:hAnsi="Times New Roman" w:eastAsia="宋体" w:cs="Times New Roman"/>
                <w:color w:val="auto"/>
                <w:sz w:val="24"/>
              </w:rPr>
            </w:pPr>
            <w:r>
              <w:rPr>
                <w:rFonts w:hint="eastAsia" w:ascii="Times New Roman" w:hAnsi="Times New Roman" w:eastAsia="宋体" w:cs="Times New Roman"/>
                <w:color w:val="auto"/>
                <w:sz w:val="24"/>
              </w:rPr>
              <w:t>项目在生产过程中产生的噪声主要源自压延涂布机、1450立式（浸涂）涂布生产线、1750立式（浸涂）涂布生产线</w:t>
            </w:r>
            <w:r>
              <w:rPr>
                <w:rFonts w:hint="eastAsia" w:ascii="Times New Roman" w:hAnsi="Times New Roman" w:eastAsia="宋体" w:cs="Times New Roman"/>
                <w:color w:val="auto"/>
                <w:sz w:val="24"/>
                <w:lang w:eastAsia="zh-CN"/>
              </w:rPr>
              <w:t>、</w:t>
            </w:r>
            <w:r>
              <w:rPr>
                <w:rFonts w:hint="eastAsia" w:ascii="Times New Roman" w:hAnsi="Times New Roman" w:eastAsia="宋体" w:cs="Times New Roman"/>
                <w:color w:val="auto"/>
                <w:sz w:val="24"/>
              </w:rPr>
              <w:t>超薄纳米板成型等，这些设备产生的噪声声级一般在60dB以上。项目产生噪声的噪声源强调查清单见表4-1</w:t>
            </w:r>
            <w:r>
              <w:rPr>
                <w:rFonts w:hint="eastAsia" w:ascii="Times New Roman" w:hAnsi="Times New Roman" w:eastAsia="宋体" w:cs="Times New Roman"/>
                <w:color w:val="auto"/>
                <w:sz w:val="24"/>
                <w:lang w:val="en-US" w:eastAsia="zh-CN"/>
              </w:rPr>
              <w:t>7</w:t>
            </w:r>
            <w:r>
              <w:rPr>
                <w:rFonts w:hint="eastAsia" w:ascii="Times New Roman" w:hAnsi="Times New Roman" w:eastAsia="宋体" w:cs="Times New Roman"/>
                <w:color w:val="auto"/>
                <w:sz w:val="24"/>
              </w:rPr>
              <w:t>、表4-1</w:t>
            </w:r>
            <w:r>
              <w:rPr>
                <w:rFonts w:hint="eastAsia" w:ascii="Times New Roman" w:hAnsi="Times New Roman" w:eastAsia="宋体" w:cs="Times New Roman"/>
                <w:color w:val="auto"/>
                <w:sz w:val="24"/>
                <w:lang w:val="en-US" w:eastAsia="zh-CN"/>
              </w:rPr>
              <w:t>8</w:t>
            </w:r>
            <w:r>
              <w:rPr>
                <w:rFonts w:hint="eastAsia" w:ascii="Times New Roman" w:hAnsi="Times New Roman" w:eastAsia="宋体" w:cs="Times New Roman"/>
                <w:color w:val="auto"/>
                <w:sz w:val="24"/>
              </w:rPr>
              <w:t>。噪声源分布见下图。</w:t>
            </w:r>
          </w:p>
          <w:p w14:paraId="0D2BC1F1">
            <w:pPr>
              <w:keepNext w:val="0"/>
              <w:keepLines w:val="0"/>
              <w:suppressLineNumbers w:val="0"/>
              <w:spacing w:before="0" w:beforeAutospacing="0" w:after="0" w:afterAutospacing="0"/>
              <w:ind w:left="0" w:right="0"/>
              <w:jc w:val="center"/>
              <w:rPr>
                <w:rFonts w:hint="default" w:ascii="Times New Roman" w:hAnsi="Times New Roman" w:eastAsia="宋体" w:cs="Times New Roman"/>
                <w:b/>
                <w:bCs/>
                <w:color w:val="auto"/>
              </w:rPr>
            </w:pPr>
            <w:r>
              <w:rPr>
                <w:rFonts w:hint="default"/>
                <w:color w:val="auto"/>
              </w:rPr>
              <w:object>
                <v:shape id="_x0000_i1032" o:spt="75" type="#_x0000_t75" style="height:286.8pt;width:356.25pt;" o:ole="t" filled="f" o:preferrelative="t" stroked="f" coordsize="21600,21600">
                  <v:path/>
                  <v:fill on="f" focussize="0,0"/>
                  <v:stroke on="f"/>
                  <v:imagedata r:id="rId27" o:title=""/>
                  <o:lock v:ext="edit" aspectratio="f"/>
                  <w10:wrap type="none"/>
                  <w10:anchorlock/>
                </v:shape>
                <o:OLEObject Type="Embed" ProgID="Visio.Drawing.15" ShapeID="_x0000_i1032" DrawAspect="Content" ObjectID="_1468075732" r:id="rId26">
                  <o:LockedField>false</o:LockedField>
                </o:OLEObject>
              </w:object>
            </w:r>
          </w:p>
          <w:p w14:paraId="62BBFE36">
            <w:pPr>
              <w:keepNext w:val="0"/>
              <w:keepLines w:val="0"/>
              <w:suppressLineNumbers w:val="0"/>
              <w:spacing w:before="0" w:beforeAutospacing="0" w:after="0" w:afterAutospacing="0"/>
              <w:ind w:left="0" w:right="0"/>
              <w:jc w:val="center"/>
              <w:rPr>
                <w:rFonts w:hint="default"/>
                <w:color w:val="auto"/>
              </w:rPr>
            </w:pPr>
            <w:r>
              <w:rPr>
                <w:rFonts w:hint="eastAsia" w:ascii="Times New Roman" w:hAnsi="Times New Roman" w:eastAsia="宋体" w:cs="Times New Roman"/>
                <w:b/>
                <w:bCs/>
                <w:color w:val="auto"/>
              </w:rPr>
              <w:t>图4-</w:t>
            </w:r>
            <w:r>
              <w:rPr>
                <w:rFonts w:hint="eastAsia" w:ascii="Times New Roman" w:hAnsi="Times New Roman" w:eastAsia="宋体" w:cs="Times New Roman"/>
                <w:b/>
                <w:bCs/>
                <w:color w:val="auto"/>
                <w:lang w:val="en-US" w:eastAsia="zh-CN"/>
              </w:rPr>
              <w:t>2</w:t>
            </w:r>
            <w:r>
              <w:rPr>
                <w:rFonts w:hint="eastAsia" w:ascii="Times New Roman" w:hAnsi="Times New Roman" w:eastAsia="宋体" w:cs="Times New Roman"/>
                <w:b/>
                <w:bCs/>
                <w:color w:val="auto"/>
              </w:rPr>
              <w:t xml:space="preserve">  噪声源分布图</w:t>
            </w:r>
          </w:p>
        </w:tc>
      </w:tr>
    </w:tbl>
    <w:p w14:paraId="5FBFF3C0">
      <w:pPr>
        <w:rPr>
          <w:color w:val="auto"/>
        </w:rPr>
        <w:sectPr>
          <w:pgSz w:w="11906" w:h="16838"/>
          <w:pgMar w:top="1417" w:right="1417" w:bottom="1417" w:left="1417" w:header="851" w:footer="992" w:gutter="0"/>
          <w:pgBorders>
            <w:top w:val="none" w:sz="0" w:space="0"/>
            <w:left w:val="none" w:sz="0" w:space="0"/>
            <w:bottom w:val="none" w:sz="0" w:space="0"/>
            <w:right w:val="none" w:sz="0" w:space="0"/>
          </w:pgBorders>
          <w:cols w:space="425" w:num="1"/>
          <w:docGrid w:type="lines" w:linePitch="312" w:charSpace="0"/>
        </w:sectPr>
      </w:pPr>
    </w:p>
    <w:tbl>
      <w:tblPr>
        <w:tblStyle w:val="23"/>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513"/>
        <w:gridCol w:w="13481"/>
      </w:tblGrid>
      <w:tr w14:paraId="40ECDE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16" w:type="dxa"/>
            <w:vAlign w:val="center"/>
          </w:tcPr>
          <w:p w14:paraId="61F70588">
            <w:pPr>
              <w:keepNext w:val="0"/>
              <w:keepLines w:val="0"/>
              <w:suppressLineNumbers w:val="0"/>
              <w:spacing w:before="0" w:beforeAutospacing="0" w:after="0" w:afterAutospacing="0"/>
              <w:ind w:left="0" w:right="0"/>
              <w:jc w:val="center"/>
              <w:rPr>
                <w:rFonts w:hint="default" w:ascii="Times New Roman" w:hAnsi="Times New Roman" w:eastAsia="宋体" w:cs="Times New Roman"/>
                <w:b/>
                <w:bCs/>
                <w:color w:val="auto"/>
                <w:sz w:val="24"/>
              </w:rPr>
            </w:pPr>
            <w:r>
              <w:rPr>
                <w:rFonts w:hint="eastAsia" w:ascii="Times New Roman" w:hAnsi="Times New Roman" w:eastAsia="宋体" w:cs="Times New Roman"/>
                <w:b/>
                <w:bCs/>
                <w:color w:val="auto"/>
                <w:sz w:val="24"/>
              </w:rPr>
              <w:t>运营期环境影响和保护施</w:t>
            </w:r>
          </w:p>
        </w:tc>
        <w:tc>
          <w:tcPr>
            <w:tcW w:w="13658" w:type="dxa"/>
            <w:vAlign w:val="center"/>
          </w:tcPr>
          <w:p w14:paraId="6E2EE946">
            <w:pPr>
              <w:keepNext w:val="0"/>
              <w:keepLines w:val="0"/>
              <w:suppressLineNumbers w:val="0"/>
              <w:spacing w:before="0" w:beforeAutospacing="0" w:after="0" w:afterAutospacing="0"/>
              <w:ind w:left="0" w:right="0"/>
              <w:jc w:val="center"/>
              <w:rPr>
                <w:rFonts w:hint="eastAsia" w:ascii="Times New Roman" w:hAnsi="Times New Roman" w:eastAsia="宋体" w:cs="Times New Roman"/>
                <w:b/>
                <w:bCs/>
                <w:color w:val="auto"/>
              </w:rPr>
            </w:pPr>
            <w:r>
              <w:rPr>
                <w:rFonts w:hint="eastAsia" w:ascii="Times New Roman" w:hAnsi="Times New Roman" w:eastAsia="宋体" w:cs="Times New Roman"/>
                <w:b/>
                <w:bCs/>
                <w:color w:val="auto"/>
              </w:rPr>
              <w:t>表4-1</w:t>
            </w:r>
            <w:r>
              <w:rPr>
                <w:rFonts w:hint="eastAsia" w:ascii="Times New Roman" w:hAnsi="Times New Roman" w:eastAsia="宋体" w:cs="Times New Roman"/>
                <w:b/>
                <w:bCs/>
                <w:color w:val="auto"/>
                <w:lang w:val="en-US" w:eastAsia="zh-CN"/>
              </w:rPr>
              <w:t>7</w:t>
            </w:r>
            <w:r>
              <w:rPr>
                <w:rFonts w:hint="eastAsia" w:ascii="Times New Roman" w:hAnsi="Times New Roman" w:eastAsia="宋体" w:cs="Times New Roman"/>
                <w:b/>
                <w:bCs/>
                <w:color w:val="auto"/>
              </w:rPr>
              <w:t xml:space="preserve">  工业企业噪声源强调查清单（室外声源）</w:t>
            </w:r>
          </w:p>
          <w:tbl>
            <w:tblPr>
              <w:tblStyle w:val="22"/>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Layout w:type="fixed"/>
              <w:tblCellMar>
                <w:top w:w="0" w:type="dxa"/>
                <w:left w:w="108" w:type="dxa"/>
                <w:bottom w:w="0" w:type="dxa"/>
                <w:right w:w="108" w:type="dxa"/>
              </w:tblCellMar>
            </w:tblPr>
            <w:tblGrid>
              <w:gridCol w:w="659"/>
              <w:gridCol w:w="3081"/>
              <w:gridCol w:w="2165"/>
              <w:gridCol w:w="800"/>
              <w:gridCol w:w="721"/>
              <w:gridCol w:w="853"/>
              <w:gridCol w:w="3223"/>
              <w:gridCol w:w="1753"/>
            </w:tblGrid>
            <w:tr w14:paraId="564A83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454" w:hRule="atLeast"/>
              </w:trPr>
              <w:tc>
                <w:tcPr>
                  <w:tcW w:w="543" w:type="dxa"/>
                  <w:vMerge w:val="restart"/>
                  <w:shd w:val="clear" w:color="auto" w:fill="auto"/>
                  <w:vAlign w:val="center"/>
                </w:tcPr>
                <w:p w14:paraId="0D811085">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jc w:val="center"/>
                    <w:textAlignment w:val="auto"/>
                    <w:rPr>
                      <w:rFonts w:hint="eastAsia" w:ascii="Times New Roman" w:hAnsi="Times New Roman" w:eastAsia="宋体" w:cs="Times New Roman"/>
                      <w:b/>
                      <w:bCs/>
                      <w:color w:val="auto"/>
                      <w:szCs w:val="21"/>
                    </w:rPr>
                  </w:pPr>
                  <w:r>
                    <w:rPr>
                      <w:rFonts w:hint="eastAsia" w:ascii="Times New Roman" w:hAnsi="Times New Roman" w:eastAsia="宋体" w:cs="Times New Roman"/>
                      <w:b/>
                      <w:bCs/>
                      <w:color w:val="auto"/>
                      <w:szCs w:val="21"/>
                    </w:rPr>
                    <w:t>序号</w:t>
                  </w:r>
                </w:p>
              </w:tc>
              <w:tc>
                <w:tcPr>
                  <w:tcW w:w="2533" w:type="dxa"/>
                  <w:vMerge w:val="restart"/>
                  <w:shd w:val="clear" w:color="auto" w:fill="auto"/>
                  <w:vAlign w:val="center"/>
                </w:tcPr>
                <w:p w14:paraId="6F726FC2">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jc w:val="center"/>
                    <w:textAlignment w:val="auto"/>
                    <w:rPr>
                      <w:rFonts w:hint="eastAsia" w:ascii="Times New Roman" w:hAnsi="Times New Roman" w:eastAsia="宋体" w:cs="Times New Roman"/>
                      <w:b/>
                      <w:bCs/>
                      <w:color w:val="auto"/>
                      <w:szCs w:val="21"/>
                    </w:rPr>
                  </w:pPr>
                  <w:r>
                    <w:rPr>
                      <w:rFonts w:hint="eastAsia" w:ascii="Times New Roman" w:hAnsi="Times New Roman" w:eastAsia="宋体" w:cs="Times New Roman"/>
                      <w:b/>
                      <w:bCs/>
                      <w:color w:val="auto"/>
                      <w:szCs w:val="21"/>
                    </w:rPr>
                    <w:t>声源名称</w:t>
                  </w:r>
                </w:p>
              </w:tc>
              <w:tc>
                <w:tcPr>
                  <w:tcW w:w="1780" w:type="dxa"/>
                  <w:vMerge w:val="restart"/>
                  <w:shd w:val="clear" w:color="auto" w:fill="auto"/>
                  <w:vAlign w:val="center"/>
                </w:tcPr>
                <w:p w14:paraId="4FEC97A6">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jc w:val="center"/>
                    <w:textAlignment w:val="auto"/>
                    <w:rPr>
                      <w:rFonts w:hint="eastAsia" w:ascii="Times New Roman" w:hAnsi="Times New Roman" w:eastAsia="宋体" w:cs="Times New Roman"/>
                      <w:b/>
                      <w:bCs/>
                      <w:color w:val="auto"/>
                      <w:szCs w:val="21"/>
                    </w:rPr>
                  </w:pPr>
                  <w:r>
                    <w:rPr>
                      <w:rFonts w:hint="eastAsia" w:ascii="Times New Roman" w:hAnsi="Times New Roman" w:eastAsia="宋体" w:cs="Times New Roman"/>
                      <w:b/>
                      <w:bCs/>
                      <w:color w:val="auto"/>
                      <w:szCs w:val="21"/>
                    </w:rPr>
                    <w:t>型号</w:t>
                  </w:r>
                </w:p>
              </w:tc>
              <w:tc>
                <w:tcPr>
                  <w:tcW w:w="1951" w:type="dxa"/>
                  <w:gridSpan w:val="3"/>
                  <w:shd w:val="clear" w:color="auto" w:fill="auto"/>
                  <w:vAlign w:val="center"/>
                </w:tcPr>
                <w:p w14:paraId="2DA5904D">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jc w:val="center"/>
                    <w:textAlignment w:val="auto"/>
                    <w:rPr>
                      <w:rFonts w:hint="eastAsia" w:ascii="Times New Roman" w:hAnsi="Times New Roman" w:eastAsia="宋体" w:cs="Times New Roman"/>
                      <w:b/>
                      <w:bCs/>
                      <w:color w:val="auto"/>
                      <w:szCs w:val="21"/>
                    </w:rPr>
                  </w:pPr>
                  <w:r>
                    <w:rPr>
                      <w:rFonts w:hint="eastAsia" w:ascii="Times New Roman" w:hAnsi="Times New Roman" w:eastAsia="宋体" w:cs="Times New Roman"/>
                      <w:b/>
                      <w:bCs/>
                      <w:color w:val="auto"/>
                      <w:szCs w:val="21"/>
                    </w:rPr>
                    <w:t>空间相对位置/m</w:t>
                  </w:r>
                </w:p>
              </w:tc>
              <w:tc>
                <w:tcPr>
                  <w:tcW w:w="2649" w:type="dxa"/>
                  <w:shd w:val="clear" w:color="auto" w:fill="auto"/>
                  <w:vAlign w:val="center"/>
                </w:tcPr>
                <w:p w14:paraId="4A7F4E93">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jc w:val="center"/>
                    <w:textAlignment w:val="auto"/>
                    <w:rPr>
                      <w:rFonts w:hint="eastAsia" w:ascii="Times New Roman" w:hAnsi="Times New Roman" w:eastAsia="宋体" w:cs="Times New Roman"/>
                      <w:b/>
                      <w:bCs/>
                      <w:color w:val="auto"/>
                      <w:szCs w:val="21"/>
                      <w:lang w:eastAsia="zh-CN"/>
                    </w:rPr>
                  </w:pPr>
                  <w:r>
                    <w:rPr>
                      <w:rFonts w:hint="eastAsia" w:ascii="Times New Roman" w:hAnsi="Times New Roman" w:eastAsia="宋体" w:cs="Times New Roman"/>
                      <w:b/>
                      <w:bCs/>
                      <w:color w:val="auto"/>
                      <w:szCs w:val="21"/>
                      <w:lang w:eastAsia="zh-CN"/>
                    </w:rPr>
                    <w:t>声源源强（任选一种）</w:t>
                  </w:r>
                </w:p>
              </w:tc>
              <w:tc>
                <w:tcPr>
                  <w:tcW w:w="1441" w:type="dxa"/>
                  <w:vMerge w:val="restart"/>
                  <w:shd w:val="clear" w:color="auto" w:fill="auto"/>
                  <w:vAlign w:val="center"/>
                </w:tcPr>
                <w:p w14:paraId="327CB334">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jc w:val="center"/>
                    <w:textAlignment w:val="auto"/>
                    <w:rPr>
                      <w:rFonts w:hint="eastAsia" w:ascii="Times New Roman" w:hAnsi="Times New Roman" w:eastAsia="宋体" w:cs="Times New Roman"/>
                      <w:b/>
                      <w:bCs/>
                      <w:color w:val="auto"/>
                      <w:szCs w:val="21"/>
                    </w:rPr>
                  </w:pPr>
                  <w:r>
                    <w:rPr>
                      <w:rFonts w:hint="eastAsia" w:ascii="Times New Roman" w:hAnsi="Times New Roman" w:eastAsia="宋体" w:cs="Times New Roman"/>
                      <w:b/>
                      <w:bCs/>
                      <w:color w:val="auto"/>
                      <w:szCs w:val="21"/>
                    </w:rPr>
                    <w:t>声源控制措施</w:t>
                  </w:r>
                </w:p>
              </w:tc>
            </w:tr>
            <w:tr w14:paraId="1DC489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543" w:type="dxa"/>
                  <w:vMerge w:val="continue"/>
                  <w:shd w:val="clear" w:color="auto" w:fill="auto"/>
                  <w:vAlign w:val="center"/>
                </w:tcPr>
                <w:p w14:paraId="69D923FD">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jc w:val="center"/>
                    <w:textAlignment w:val="auto"/>
                    <w:rPr>
                      <w:rFonts w:hint="eastAsia" w:ascii="Times New Roman" w:hAnsi="Times New Roman" w:eastAsia="宋体" w:cs="Times New Roman"/>
                      <w:b/>
                      <w:bCs/>
                      <w:color w:val="auto"/>
                      <w:szCs w:val="21"/>
                    </w:rPr>
                  </w:pPr>
                </w:p>
              </w:tc>
              <w:tc>
                <w:tcPr>
                  <w:tcW w:w="2533" w:type="dxa"/>
                  <w:vMerge w:val="continue"/>
                  <w:shd w:val="clear" w:color="auto" w:fill="auto"/>
                  <w:vAlign w:val="center"/>
                </w:tcPr>
                <w:p w14:paraId="27123EB3">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jc w:val="center"/>
                    <w:textAlignment w:val="auto"/>
                    <w:rPr>
                      <w:rFonts w:hint="eastAsia" w:ascii="Times New Roman" w:hAnsi="Times New Roman" w:eastAsia="宋体" w:cs="Times New Roman"/>
                      <w:b/>
                      <w:bCs/>
                      <w:color w:val="auto"/>
                      <w:szCs w:val="21"/>
                    </w:rPr>
                  </w:pPr>
                </w:p>
              </w:tc>
              <w:tc>
                <w:tcPr>
                  <w:tcW w:w="1780" w:type="dxa"/>
                  <w:vMerge w:val="continue"/>
                  <w:shd w:val="clear" w:color="auto" w:fill="auto"/>
                  <w:vAlign w:val="center"/>
                </w:tcPr>
                <w:p w14:paraId="75F53073">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jc w:val="center"/>
                    <w:textAlignment w:val="auto"/>
                    <w:rPr>
                      <w:rFonts w:hint="eastAsia" w:ascii="Times New Roman" w:hAnsi="Times New Roman" w:eastAsia="宋体" w:cs="Times New Roman"/>
                      <w:b/>
                      <w:bCs/>
                      <w:color w:val="auto"/>
                      <w:szCs w:val="21"/>
                    </w:rPr>
                  </w:pPr>
                </w:p>
              </w:tc>
              <w:tc>
                <w:tcPr>
                  <w:tcW w:w="657" w:type="dxa"/>
                  <w:shd w:val="clear" w:color="auto" w:fill="auto"/>
                  <w:vAlign w:val="center"/>
                </w:tcPr>
                <w:p w14:paraId="22F5997A">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jc w:val="center"/>
                    <w:textAlignment w:val="auto"/>
                    <w:rPr>
                      <w:rFonts w:hint="eastAsia" w:ascii="Times New Roman" w:hAnsi="Times New Roman" w:eastAsia="宋体" w:cs="Times New Roman"/>
                      <w:b/>
                      <w:bCs/>
                      <w:color w:val="auto"/>
                      <w:szCs w:val="21"/>
                    </w:rPr>
                  </w:pPr>
                  <w:r>
                    <w:rPr>
                      <w:rFonts w:hint="eastAsia" w:ascii="Times New Roman" w:hAnsi="Times New Roman" w:eastAsia="宋体" w:cs="Times New Roman"/>
                      <w:b/>
                      <w:bCs/>
                      <w:color w:val="auto"/>
                      <w:szCs w:val="21"/>
                    </w:rPr>
                    <w:t>X</w:t>
                  </w:r>
                </w:p>
              </w:tc>
              <w:tc>
                <w:tcPr>
                  <w:tcW w:w="593" w:type="dxa"/>
                  <w:shd w:val="clear" w:color="auto" w:fill="auto"/>
                  <w:vAlign w:val="center"/>
                </w:tcPr>
                <w:p w14:paraId="5216CF15">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jc w:val="center"/>
                    <w:textAlignment w:val="auto"/>
                    <w:rPr>
                      <w:rFonts w:hint="eastAsia" w:ascii="Times New Roman" w:hAnsi="Times New Roman" w:eastAsia="宋体" w:cs="Times New Roman"/>
                      <w:b/>
                      <w:bCs/>
                      <w:color w:val="auto"/>
                      <w:szCs w:val="21"/>
                    </w:rPr>
                  </w:pPr>
                  <w:r>
                    <w:rPr>
                      <w:rFonts w:hint="eastAsia" w:ascii="Times New Roman" w:hAnsi="Times New Roman" w:eastAsia="宋体" w:cs="Times New Roman"/>
                      <w:b/>
                      <w:bCs/>
                      <w:color w:val="auto"/>
                      <w:szCs w:val="21"/>
                    </w:rPr>
                    <w:t>Y</w:t>
                  </w:r>
                </w:p>
              </w:tc>
              <w:tc>
                <w:tcPr>
                  <w:tcW w:w="701" w:type="dxa"/>
                  <w:shd w:val="clear" w:color="auto" w:fill="auto"/>
                  <w:vAlign w:val="center"/>
                </w:tcPr>
                <w:p w14:paraId="0D17D7C2">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jc w:val="center"/>
                    <w:textAlignment w:val="auto"/>
                    <w:rPr>
                      <w:rFonts w:hint="eastAsia" w:ascii="Times New Roman" w:hAnsi="Times New Roman" w:eastAsia="宋体" w:cs="Times New Roman"/>
                      <w:b/>
                      <w:bCs/>
                      <w:color w:val="auto"/>
                      <w:szCs w:val="21"/>
                    </w:rPr>
                  </w:pPr>
                  <w:r>
                    <w:rPr>
                      <w:rFonts w:hint="eastAsia" w:ascii="Times New Roman" w:hAnsi="Times New Roman" w:eastAsia="宋体" w:cs="Times New Roman"/>
                      <w:b/>
                      <w:bCs/>
                      <w:color w:val="auto"/>
                      <w:szCs w:val="21"/>
                    </w:rPr>
                    <w:t>Z</w:t>
                  </w:r>
                </w:p>
              </w:tc>
              <w:tc>
                <w:tcPr>
                  <w:tcW w:w="2649" w:type="dxa"/>
                  <w:shd w:val="clear" w:color="auto" w:fill="auto"/>
                  <w:vAlign w:val="center"/>
                </w:tcPr>
                <w:p w14:paraId="34EDCFD3">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jc w:val="center"/>
                    <w:textAlignment w:val="auto"/>
                    <w:rPr>
                      <w:rFonts w:hint="eastAsia" w:ascii="Times New Roman" w:hAnsi="Times New Roman" w:eastAsia="宋体" w:cs="Times New Roman"/>
                      <w:b/>
                      <w:bCs/>
                      <w:color w:val="auto"/>
                      <w:szCs w:val="21"/>
                    </w:rPr>
                  </w:pPr>
                  <w:r>
                    <w:rPr>
                      <w:rFonts w:hint="eastAsia" w:ascii="Times New Roman" w:hAnsi="Times New Roman" w:eastAsia="宋体" w:cs="Times New Roman"/>
                      <w:b/>
                      <w:bCs/>
                      <w:color w:val="auto"/>
                      <w:szCs w:val="21"/>
                    </w:rPr>
                    <w:t>（声压级/距声源距离）/（dB</w:t>
                  </w:r>
                  <w:r>
                    <w:rPr>
                      <w:rFonts w:hint="eastAsia" w:ascii="Times New Roman" w:hAnsi="Times New Roman" w:eastAsia="宋体" w:cs="Times New Roman"/>
                      <w:b/>
                      <w:bCs/>
                      <w:color w:val="auto"/>
                      <w:szCs w:val="21"/>
                      <w:lang w:eastAsia="zh-CN"/>
                    </w:rPr>
                    <w:t>（</w:t>
                  </w:r>
                  <w:r>
                    <w:rPr>
                      <w:rFonts w:hint="eastAsia" w:ascii="Times New Roman" w:hAnsi="Times New Roman" w:eastAsia="宋体" w:cs="Times New Roman"/>
                      <w:b/>
                      <w:bCs/>
                      <w:color w:val="auto"/>
                      <w:szCs w:val="21"/>
                    </w:rPr>
                    <w:t>A</w:t>
                  </w:r>
                  <w:r>
                    <w:rPr>
                      <w:rFonts w:hint="eastAsia" w:ascii="Times New Roman" w:hAnsi="Times New Roman" w:eastAsia="宋体" w:cs="Times New Roman"/>
                      <w:b/>
                      <w:bCs/>
                      <w:color w:val="auto"/>
                      <w:szCs w:val="21"/>
                      <w:lang w:eastAsia="zh-CN"/>
                    </w:rPr>
                    <w:t>）</w:t>
                  </w:r>
                  <w:r>
                    <w:rPr>
                      <w:rFonts w:hint="eastAsia" w:ascii="Times New Roman" w:hAnsi="Times New Roman" w:eastAsia="宋体" w:cs="Times New Roman"/>
                      <w:b/>
                      <w:bCs/>
                      <w:color w:val="auto"/>
                      <w:szCs w:val="21"/>
                    </w:rPr>
                    <w:t>/m）</w:t>
                  </w:r>
                </w:p>
              </w:tc>
              <w:tc>
                <w:tcPr>
                  <w:tcW w:w="1441" w:type="dxa"/>
                  <w:vMerge w:val="continue"/>
                  <w:shd w:val="clear" w:color="auto" w:fill="auto"/>
                  <w:vAlign w:val="center"/>
                </w:tcPr>
                <w:p w14:paraId="3E22EFA4">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jc w:val="center"/>
                    <w:textAlignment w:val="auto"/>
                    <w:rPr>
                      <w:rFonts w:hint="eastAsia" w:ascii="Times New Roman" w:hAnsi="Times New Roman" w:eastAsia="宋体" w:cs="Times New Roman"/>
                      <w:b/>
                      <w:bCs/>
                      <w:color w:val="auto"/>
                      <w:szCs w:val="21"/>
                    </w:rPr>
                  </w:pPr>
                </w:p>
              </w:tc>
            </w:tr>
            <w:tr w14:paraId="057D64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543" w:type="dxa"/>
                  <w:shd w:val="clear" w:color="auto" w:fill="auto"/>
                  <w:vAlign w:val="center"/>
                </w:tcPr>
                <w:p w14:paraId="197927A1">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jc w:val="center"/>
                    <w:textAlignment w:val="auto"/>
                    <w:rPr>
                      <w:rFonts w:hint="eastAsia" w:ascii="Times New Roman" w:hAnsi="Times New Roman" w:eastAsia="宋体" w:cs="Times New Roman"/>
                      <w:color w:val="auto"/>
                      <w:szCs w:val="21"/>
                    </w:rPr>
                  </w:pPr>
                  <w:r>
                    <w:rPr>
                      <w:rFonts w:hint="eastAsia" w:ascii="Times New Roman" w:hAnsi="Times New Roman" w:eastAsia="宋体" w:cs="Times New Roman"/>
                      <w:color w:val="auto"/>
                      <w:szCs w:val="21"/>
                    </w:rPr>
                    <w:t>1</w:t>
                  </w:r>
                </w:p>
              </w:tc>
              <w:tc>
                <w:tcPr>
                  <w:tcW w:w="2533" w:type="dxa"/>
                  <w:shd w:val="clear" w:color="auto" w:fill="auto"/>
                  <w:vAlign w:val="center"/>
                </w:tcPr>
                <w:p w14:paraId="4808400D">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jc w:val="center"/>
                    <w:textAlignment w:val="auto"/>
                    <w:rPr>
                      <w:rFonts w:hint="eastAsia" w:ascii="Times New Roman" w:hAnsi="Times New Roman" w:eastAsia="宋体" w:cs="Times New Roman"/>
                      <w:color w:val="auto"/>
                      <w:szCs w:val="21"/>
                    </w:rPr>
                  </w:pPr>
                  <w:r>
                    <w:rPr>
                      <w:rFonts w:hint="eastAsia" w:ascii="Times New Roman" w:hAnsi="Times New Roman" w:eastAsia="宋体" w:cs="Times New Roman"/>
                      <w:color w:val="auto"/>
                      <w:szCs w:val="21"/>
                    </w:rPr>
                    <w:t>脉冲式布袋除尘器风机</w:t>
                  </w:r>
                </w:p>
              </w:tc>
              <w:tc>
                <w:tcPr>
                  <w:tcW w:w="1780" w:type="dxa"/>
                  <w:shd w:val="clear" w:color="auto" w:fill="auto"/>
                  <w:vAlign w:val="center"/>
                </w:tcPr>
                <w:p w14:paraId="3643DA58">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jc w:val="center"/>
                    <w:textAlignment w:val="auto"/>
                    <w:rPr>
                      <w:rFonts w:hint="eastAsia" w:ascii="Times New Roman" w:hAnsi="Times New Roman" w:eastAsia="宋体" w:cs="Times New Roman"/>
                      <w:color w:val="auto"/>
                      <w:szCs w:val="21"/>
                      <w:lang w:val="en-US" w:eastAsia="zh-CN"/>
                    </w:rPr>
                  </w:pPr>
                  <w:r>
                    <w:rPr>
                      <w:rFonts w:hint="eastAsia" w:ascii="Times New Roman" w:hAnsi="Times New Roman" w:eastAsia="宋体" w:cs="Times New Roman"/>
                      <w:color w:val="auto"/>
                      <w:szCs w:val="21"/>
                      <w:lang w:val="en-US" w:eastAsia="zh-CN"/>
                    </w:rPr>
                    <w:t>/</w:t>
                  </w:r>
                </w:p>
              </w:tc>
              <w:tc>
                <w:tcPr>
                  <w:tcW w:w="657" w:type="dxa"/>
                  <w:shd w:val="clear" w:color="auto" w:fill="auto"/>
                  <w:vAlign w:val="center"/>
                </w:tcPr>
                <w:p w14:paraId="229996F1">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jc w:val="center"/>
                    <w:textAlignment w:val="auto"/>
                    <w:rPr>
                      <w:rFonts w:hint="eastAsia" w:ascii="Times New Roman" w:hAnsi="Times New Roman" w:eastAsia="宋体" w:cs="Times New Roman"/>
                      <w:color w:val="auto"/>
                      <w:szCs w:val="21"/>
                    </w:rPr>
                  </w:pPr>
                  <w:r>
                    <w:rPr>
                      <w:rFonts w:hint="eastAsia" w:ascii="Times New Roman" w:hAnsi="Times New Roman" w:eastAsia="宋体" w:cs="Times New Roman"/>
                      <w:color w:val="auto"/>
                      <w:szCs w:val="21"/>
                    </w:rPr>
                    <w:t>-78.1</w:t>
                  </w:r>
                </w:p>
              </w:tc>
              <w:tc>
                <w:tcPr>
                  <w:tcW w:w="593" w:type="dxa"/>
                  <w:shd w:val="clear" w:color="auto" w:fill="auto"/>
                  <w:vAlign w:val="center"/>
                </w:tcPr>
                <w:p w14:paraId="3D8DCEE6">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jc w:val="center"/>
                    <w:textAlignment w:val="auto"/>
                    <w:rPr>
                      <w:rFonts w:hint="eastAsia" w:ascii="Times New Roman" w:hAnsi="Times New Roman" w:eastAsia="宋体" w:cs="Times New Roman"/>
                      <w:color w:val="auto"/>
                      <w:szCs w:val="21"/>
                    </w:rPr>
                  </w:pPr>
                  <w:r>
                    <w:rPr>
                      <w:rFonts w:hint="eastAsia" w:ascii="Times New Roman" w:hAnsi="Times New Roman" w:eastAsia="宋体" w:cs="Times New Roman"/>
                      <w:color w:val="auto"/>
                      <w:szCs w:val="21"/>
                    </w:rPr>
                    <w:t>-36</w:t>
                  </w:r>
                </w:p>
              </w:tc>
              <w:tc>
                <w:tcPr>
                  <w:tcW w:w="701" w:type="dxa"/>
                  <w:shd w:val="clear" w:color="auto" w:fill="auto"/>
                  <w:vAlign w:val="center"/>
                </w:tcPr>
                <w:p w14:paraId="788E06A4">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jc w:val="center"/>
                    <w:textAlignment w:val="auto"/>
                    <w:rPr>
                      <w:rFonts w:hint="eastAsia" w:ascii="Times New Roman" w:hAnsi="Times New Roman" w:eastAsia="宋体" w:cs="Times New Roman"/>
                      <w:color w:val="auto"/>
                      <w:szCs w:val="21"/>
                    </w:rPr>
                  </w:pPr>
                  <w:r>
                    <w:rPr>
                      <w:rFonts w:hint="eastAsia" w:ascii="Times New Roman" w:hAnsi="Times New Roman" w:eastAsia="宋体" w:cs="Times New Roman"/>
                      <w:color w:val="auto"/>
                      <w:szCs w:val="21"/>
                    </w:rPr>
                    <w:t>1.2</w:t>
                  </w:r>
                </w:p>
              </w:tc>
              <w:tc>
                <w:tcPr>
                  <w:tcW w:w="2649" w:type="dxa"/>
                  <w:shd w:val="clear" w:color="auto" w:fill="auto"/>
                  <w:vAlign w:val="center"/>
                </w:tcPr>
                <w:p w14:paraId="69C322E8">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jc w:val="center"/>
                    <w:textAlignment w:val="auto"/>
                    <w:rPr>
                      <w:rFonts w:hint="eastAsia" w:ascii="Times New Roman" w:hAnsi="Times New Roman" w:eastAsia="宋体" w:cs="Times New Roman"/>
                      <w:color w:val="auto"/>
                      <w:szCs w:val="21"/>
                    </w:rPr>
                  </w:pPr>
                  <w:r>
                    <w:rPr>
                      <w:rFonts w:hint="eastAsia" w:ascii="Times New Roman" w:hAnsi="Times New Roman" w:eastAsia="宋体" w:cs="Times New Roman"/>
                      <w:color w:val="auto"/>
                      <w:szCs w:val="21"/>
                    </w:rPr>
                    <w:t>85/1</w:t>
                  </w:r>
                </w:p>
              </w:tc>
              <w:tc>
                <w:tcPr>
                  <w:tcW w:w="1441" w:type="dxa"/>
                  <w:vMerge w:val="restart"/>
                  <w:shd w:val="clear" w:color="auto" w:fill="auto"/>
                  <w:vAlign w:val="center"/>
                </w:tcPr>
                <w:p w14:paraId="3DD478BA">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jc w:val="center"/>
                    <w:textAlignment w:val="auto"/>
                    <w:rPr>
                      <w:rFonts w:hint="eastAsia" w:ascii="Times New Roman" w:hAnsi="Times New Roman" w:eastAsia="宋体" w:cs="Times New Roman"/>
                      <w:color w:val="auto"/>
                      <w:szCs w:val="21"/>
                    </w:rPr>
                  </w:pPr>
                  <w:r>
                    <w:rPr>
                      <w:rFonts w:hint="eastAsia" w:ascii="Times New Roman" w:hAnsi="Times New Roman" w:eastAsia="宋体" w:cs="Times New Roman"/>
                      <w:color w:val="auto"/>
                      <w:szCs w:val="21"/>
                    </w:rPr>
                    <w:t>吸声、减振、隔声等</w:t>
                  </w:r>
                </w:p>
              </w:tc>
            </w:tr>
            <w:tr w14:paraId="0B1BCA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543" w:type="dxa"/>
                  <w:shd w:val="clear" w:color="auto" w:fill="auto"/>
                  <w:vAlign w:val="center"/>
                </w:tcPr>
                <w:p w14:paraId="1D5AE244">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jc w:val="center"/>
                    <w:textAlignment w:val="auto"/>
                    <w:rPr>
                      <w:rFonts w:hint="eastAsia" w:ascii="Times New Roman" w:hAnsi="Times New Roman" w:eastAsia="宋体" w:cs="Times New Roman"/>
                      <w:color w:val="auto"/>
                      <w:szCs w:val="21"/>
                      <w:lang w:val="en-US" w:eastAsia="en-US"/>
                    </w:rPr>
                  </w:pPr>
                  <w:r>
                    <w:rPr>
                      <w:rFonts w:hint="eastAsia" w:ascii="Times New Roman" w:hAnsi="Times New Roman" w:eastAsia="宋体" w:cs="Times New Roman"/>
                      <w:color w:val="auto"/>
                      <w:szCs w:val="21"/>
                    </w:rPr>
                    <w:t>2</w:t>
                  </w:r>
                </w:p>
              </w:tc>
              <w:tc>
                <w:tcPr>
                  <w:tcW w:w="2533" w:type="dxa"/>
                  <w:shd w:val="clear" w:color="auto" w:fill="auto"/>
                  <w:vAlign w:val="center"/>
                </w:tcPr>
                <w:p w14:paraId="77A7DE54">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jc w:val="center"/>
                    <w:textAlignment w:val="auto"/>
                    <w:rPr>
                      <w:rFonts w:hint="eastAsia" w:ascii="Times New Roman" w:hAnsi="Times New Roman" w:eastAsia="宋体" w:cs="Times New Roman"/>
                      <w:color w:val="auto"/>
                      <w:szCs w:val="21"/>
                      <w:lang w:val="en-US" w:eastAsia="en-US"/>
                    </w:rPr>
                  </w:pPr>
                  <w:r>
                    <w:rPr>
                      <w:rFonts w:hint="eastAsia" w:ascii="Times New Roman" w:hAnsi="Times New Roman" w:eastAsia="宋体" w:cs="Times New Roman"/>
                      <w:color w:val="auto"/>
                      <w:szCs w:val="21"/>
                    </w:rPr>
                    <w:t>水喷淋+干式过滤+二级活性炭吸附装置风机</w:t>
                  </w:r>
                </w:p>
              </w:tc>
              <w:tc>
                <w:tcPr>
                  <w:tcW w:w="1780" w:type="dxa"/>
                  <w:shd w:val="clear" w:color="auto" w:fill="auto"/>
                  <w:vAlign w:val="center"/>
                </w:tcPr>
                <w:p w14:paraId="3E6B6643">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jc w:val="center"/>
                    <w:textAlignment w:val="auto"/>
                    <w:rPr>
                      <w:rFonts w:hint="eastAsia" w:ascii="Times New Roman" w:hAnsi="Times New Roman" w:eastAsia="宋体" w:cs="Times New Roman"/>
                      <w:color w:val="auto"/>
                      <w:szCs w:val="21"/>
                      <w:lang w:val="en-US" w:eastAsia="zh-CN"/>
                    </w:rPr>
                  </w:pPr>
                  <w:r>
                    <w:rPr>
                      <w:rFonts w:hint="eastAsia" w:ascii="Times New Roman" w:hAnsi="Times New Roman" w:eastAsia="宋体" w:cs="Times New Roman"/>
                      <w:color w:val="auto"/>
                      <w:szCs w:val="21"/>
                      <w:lang w:val="en-US" w:eastAsia="zh-CN"/>
                    </w:rPr>
                    <w:t>/</w:t>
                  </w:r>
                </w:p>
              </w:tc>
              <w:tc>
                <w:tcPr>
                  <w:tcW w:w="657" w:type="dxa"/>
                  <w:shd w:val="clear" w:color="auto" w:fill="auto"/>
                  <w:vAlign w:val="center"/>
                </w:tcPr>
                <w:p w14:paraId="4505D0A0">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jc w:val="center"/>
                    <w:textAlignment w:val="auto"/>
                    <w:rPr>
                      <w:rFonts w:hint="eastAsia" w:ascii="Times New Roman" w:hAnsi="Times New Roman" w:eastAsia="宋体" w:cs="Times New Roman"/>
                      <w:color w:val="auto"/>
                      <w:szCs w:val="21"/>
                      <w:lang w:val="en-US" w:eastAsia="en-US"/>
                    </w:rPr>
                  </w:pPr>
                  <w:r>
                    <w:rPr>
                      <w:rFonts w:hint="eastAsia" w:ascii="Times New Roman" w:hAnsi="Times New Roman" w:eastAsia="宋体" w:cs="Times New Roman"/>
                      <w:color w:val="auto"/>
                      <w:szCs w:val="21"/>
                    </w:rPr>
                    <w:t>69.2</w:t>
                  </w:r>
                </w:p>
              </w:tc>
              <w:tc>
                <w:tcPr>
                  <w:tcW w:w="593" w:type="dxa"/>
                  <w:shd w:val="clear" w:color="auto" w:fill="auto"/>
                  <w:vAlign w:val="center"/>
                </w:tcPr>
                <w:p w14:paraId="358686E3">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jc w:val="center"/>
                    <w:textAlignment w:val="auto"/>
                    <w:rPr>
                      <w:rFonts w:hint="eastAsia" w:ascii="Times New Roman" w:hAnsi="Times New Roman" w:eastAsia="宋体" w:cs="Times New Roman"/>
                      <w:color w:val="auto"/>
                      <w:szCs w:val="21"/>
                      <w:lang w:val="en-US" w:eastAsia="en-US"/>
                    </w:rPr>
                  </w:pPr>
                  <w:r>
                    <w:rPr>
                      <w:rFonts w:hint="eastAsia" w:ascii="Times New Roman" w:hAnsi="Times New Roman" w:eastAsia="宋体" w:cs="Times New Roman"/>
                      <w:color w:val="auto"/>
                      <w:szCs w:val="21"/>
                    </w:rPr>
                    <w:t>28.4</w:t>
                  </w:r>
                </w:p>
              </w:tc>
              <w:tc>
                <w:tcPr>
                  <w:tcW w:w="701" w:type="dxa"/>
                  <w:shd w:val="clear" w:color="auto" w:fill="auto"/>
                  <w:vAlign w:val="center"/>
                </w:tcPr>
                <w:p w14:paraId="28495B27">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jc w:val="center"/>
                    <w:textAlignment w:val="auto"/>
                    <w:rPr>
                      <w:rFonts w:hint="eastAsia" w:ascii="Times New Roman" w:hAnsi="Times New Roman" w:eastAsia="宋体" w:cs="Times New Roman"/>
                      <w:color w:val="auto"/>
                      <w:szCs w:val="21"/>
                      <w:lang w:val="en-US" w:eastAsia="en-US"/>
                    </w:rPr>
                  </w:pPr>
                  <w:r>
                    <w:rPr>
                      <w:rFonts w:hint="eastAsia" w:ascii="Times New Roman" w:hAnsi="Times New Roman" w:eastAsia="宋体" w:cs="Times New Roman"/>
                      <w:color w:val="auto"/>
                      <w:szCs w:val="21"/>
                    </w:rPr>
                    <w:t>25.75</w:t>
                  </w:r>
                </w:p>
              </w:tc>
              <w:tc>
                <w:tcPr>
                  <w:tcW w:w="2649" w:type="dxa"/>
                  <w:shd w:val="clear" w:color="auto" w:fill="auto"/>
                  <w:vAlign w:val="center"/>
                </w:tcPr>
                <w:p w14:paraId="16EA940F">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jc w:val="center"/>
                    <w:textAlignment w:val="auto"/>
                    <w:rPr>
                      <w:rFonts w:hint="eastAsia" w:ascii="Times New Roman" w:hAnsi="Times New Roman" w:eastAsia="宋体" w:cs="Times New Roman"/>
                      <w:color w:val="auto"/>
                      <w:szCs w:val="21"/>
                      <w:lang w:val="en-US" w:eastAsia="en-US"/>
                    </w:rPr>
                  </w:pPr>
                  <w:r>
                    <w:rPr>
                      <w:rFonts w:hint="eastAsia" w:ascii="Times New Roman" w:hAnsi="Times New Roman" w:eastAsia="宋体" w:cs="Times New Roman"/>
                      <w:color w:val="auto"/>
                      <w:szCs w:val="21"/>
                    </w:rPr>
                    <w:t>85/1</w:t>
                  </w:r>
                </w:p>
              </w:tc>
              <w:tc>
                <w:tcPr>
                  <w:tcW w:w="1441" w:type="dxa"/>
                  <w:vMerge w:val="continue"/>
                  <w:shd w:val="clear" w:color="auto" w:fill="auto"/>
                  <w:vAlign w:val="center"/>
                </w:tcPr>
                <w:p w14:paraId="52F787B2">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jc w:val="center"/>
                    <w:textAlignment w:val="auto"/>
                    <w:rPr>
                      <w:rFonts w:hint="eastAsia" w:ascii="Times New Roman" w:hAnsi="Times New Roman" w:eastAsia="宋体" w:cs="Times New Roman"/>
                      <w:color w:val="auto"/>
                      <w:szCs w:val="21"/>
                      <w:lang w:val="en-US" w:eastAsia="en-US"/>
                    </w:rPr>
                  </w:pPr>
                </w:p>
              </w:tc>
            </w:tr>
            <w:tr w14:paraId="358AE7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543" w:type="dxa"/>
                  <w:shd w:val="clear" w:color="auto" w:fill="auto"/>
                  <w:vAlign w:val="center"/>
                </w:tcPr>
                <w:p w14:paraId="65D63A8F">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jc w:val="center"/>
                    <w:textAlignment w:val="auto"/>
                    <w:rPr>
                      <w:rFonts w:hint="eastAsia" w:ascii="Times New Roman" w:hAnsi="Times New Roman" w:eastAsia="宋体" w:cs="Times New Roman"/>
                      <w:color w:val="auto"/>
                      <w:szCs w:val="21"/>
                      <w:lang w:val="en-US" w:eastAsia="en-US"/>
                    </w:rPr>
                  </w:pPr>
                  <w:r>
                    <w:rPr>
                      <w:rFonts w:hint="eastAsia" w:ascii="Times New Roman" w:hAnsi="Times New Roman" w:eastAsia="宋体" w:cs="Times New Roman"/>
                      <w:color w:val="auto"/>
                      <w:szCs w:val="21"/>
                    </w:rPr>
                    <w:t>3</w:t>
                  </w:r>
                </w:p>
              </w:tc>
              <w:tc>
                <w:tcPr>
                  <w:tcW w:w="2533" w:type="dxa"/>
                  <w:shd w:val="clear" w:color="auto" w:fill="auto"/>
                  <w:vAlign w:val="center"/>
                </w:tcPr>
                <w:p w14:paraId="3159F1D8">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jc w:val="center"/>
                    <w:textAlignment w:val="auto"/>
                    <w:rPr>
                      <w:rFonts w:hint="eastAsia" w:ascii="Times New Roman" w:hAnsi="Times New Roman" w:eastAsia="宋体" w:cs="Times New Roman"/>
                      <w:color w:val="auto"/>
                      <w:szCs w:val="21"/>
                    </w:rPr>
                  </w:pPr>
                  <w:r>
                    <w:rPr>
                      <w:rFonts w:hint="eastAsia" w:ascii="Times New Roman" w:hAnsi="Times New Roman" w:eastAsia="宋体" w:cs="Times New Roman"/>
                      <w:color w:val="auto"/>
                      <w:szCs w:val="21"/>
                    </w:rPr>
                    <w:t>冷却塔</w:t>
                  </w:r>
                </w:p>
              </w:tc>
              <w:tc>
                <w:tcPr>
                  <w:tcW w:w="1780" w:type="dxa"/>
                  <w:shd w:val="clear" w:color="auto" w:fill="auto"/>
                  <w:vAlign w:val="center"/>
                </w:tcPr>
                <w:p w14:paraId="65BBE8EE">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jc w:val="center"/>
                    <w:textAlignment w:val="auto"/>
                    <w:rPr>
                      <w:rFonts w:hint="default" w:ascii="Times New Roman" w:hAnsi="Times New Roman" w:eastAsia="宋体" w:cs="Times New Roman"/>
                      <w:color w:val="auto"/>
                      <w:szCs w:val="21"/>
                      <w:lang w:val="en-US" w:eastAsia="zh-CN"/>
                    </w:rPr>
                  </w:pPr>
                  <w:r>
                    <w:rPr>
                      <w:rFonts w:hint="eastAsia" w:ascii="Times New Roman" w:hAnsi="Times New Roman" w:eastAsia="宋体" w:cs="Times New Roman"/>
                      <w:color w:val="auto"/>
                      <w:szCs w:val="21"/>
                      <w:lang w:val="en-US" w:eastAsia="zh-CN"/>
                    </w:rPr>
                    <w:t>LYKL-50L、50m</w:t>
                  </w:r>
                  <w:r>
                    <w:rPr>
                      <w:rFonts w:hint="eastAsia" w:ascii="Times New Roman" w:hAnsi="Times New Roman" w:eastAsia="宋体" w:cs="Times New Roman"/>
                      <w:color w:val="auto"/>
                      <w:szCs w:val="21"/>
                      <w:vertAlign w:val="superscript"/>
                      <w:lang w:val="en-US" w:eastAsia="zh-CN"/>
                    </w:rPr>
                    <w:t>3</w:t>
                  </w:r>
                  <w:r>
                    <w:rPr>
                      <w:rFonts w:hint="eastAsia" w:ascii="Times New Roman" w:hAnsi="Times New Roman" w:eastAsia="宋体" w:cs="Times New Roman"/>
                      <w:color w:val="auto"/>
                      <w:szCs w:val="21"/>
                      <w:lang w:val="en-US" w:eastAsia="zh-CN"/>
                    </w:rPr>
                    <w:t>/h</w:t>
                  </w:r>
                </w:p>
              </w:tc>
              <w:tc>
                <w:tcPr>
                  <w:tcW w:w="657" w:type="dxa"/>
                  <w:shd w:val="clear" w:color="auto" w:fill="auto"/>
                  <w:vAlign w:val="center"/>
                </w:tcPr>
                <w:p w14:paraId="6AB89B2C">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jc w:val="center"/>
                    <w:textAlignment w:val="auto"/>
                    <w:rPr>
                      <w:rFonts w:hint="eastAsia" w:ascii="Times New Roman" w:hAnsi="Times New Roman" w:eastAsia="宋体" w:cs="Times New Roman"/>
                      <w:color w:val="auto"/>
                      <w:szCs w:val="21"/>
                    </w:rPr>
                  </w:pPr>
                  <w:r>
                    <w:rPr>
                      <w:rFonts w:hint="eastAsia" w:ascii="Times New Roman" w:hAnsi="Times New Roman" w:eastAsia="宋体" w:cs="Times New Roman"/>
                      <w:color w:val="auto"/>
                      <w:szCs w:val="21"/>
                    </w:rPr>
                    <w:t>10.8</w:t>
                  </w:r>
                </w:p>
              </w:tc>
              <w:tc>
                <w:tcPr>
                  <w:tcW w:w="593" w:type="dxa"/>
                  <w:shd w:val="clear" w:color="auto" w:fill="auto"/>
                  <w:vAlign w:val="center"/>
                </w:tcPr>
                <w:p w14:paraId="7587F2F9">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jc w:val="center"/>
                    <w:textAlignment w:val="auto"/>
                    <w:rPr>
                      <w:rFonts w:hint="eastAsia" w:ascii="Times New Roman" w:hAnsi="Times New Roman" w:eastAsia="宋体" w:cs="Times New Roman"/>
                      <w:color w:val="auto"/>
                      <w:szCs w:val="21"/>
                    </w:rPr>
                  </w:pPr>
                  <w:r>
                    <w:rPr>
                      <w:rFonts w:hint="eastAsia" w:ascii="Times New Roman" w:hAnsi="Times New Roman" w:eastAsia="宋体" w:cs="Times New Roman"/>
                      <w:color w:val="auto"/>
                      <w:szCs w:val="21"/>
                    </w:rPr>
                    <w:t>12.5</w:t>
                  </w:r>
                </w:p>
              </w:tc>
              <w:tc>
                <w:tcPr>
                  <w:tcW w:w="701" w:type="dxa"/>
                  <w:shd w:val="clear" w:color="auto" w:fill="auto"/>
                  <w:vAlign w:val="center"/>
                </w:tcPr>
                <w:p w14:paraId="65FCB38E">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jc w:val="center"/>
                    <w:textAlignment w:val="auto"/>
                    <w:rPr>
                      <w:rFonts w:hint="eastAsia" w:ascii="Times New Roman" w:hAnsi="Times New Roman" w:eastAsia="宋体" w:cs="Times New Roman"/>
                      <w:color w:val="auto"/>
                      <w:szCs w:val="21"/>
                    </w:rPr>
                  </w:pPr>
                  <w:r>
                    <w:rPr>
                      <w:rFonts w:hint="eastAsia" w:ascii="Times New Roman" w:hAnsi="Times New Roman" w:eastAsia="宋体" w:cs="Times New Roman"/>
                      <w:color w:val="auto"/>
                      <w:szCs w:val="21"/>
                    </w:rPr>
                    <w:t>1.2</w:t>
                  </w:r>
                </w:p>
              </w:tc>
              <w:tc>
                <w:tcPr>
                  <w:tcW w:w="2649" w:type="dxa"/>
                  <w:shd w:val="clear" w:color="auto" w:fill="auto"/>
                  <w:vAlign w:val="center"/>
                </w:tcPr>
                <w:p w14:paraId="52A1F47F">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jc w:val="center"/>
                    <w:textAlignment w:val="auto"/>
                    <w:rPr>
                      <w:rFonts w:hint="eastAsia" w:ascii="Times New Roman" w:hAnsi="Times New Roman" w:eastAsia="宋体" w:cs="Times New Roman"/>
                      <w:color w:val="auto"/>
                      <w:szCs w:val="21"/>
                    </w:rPr>
                  </w:pPr>
                  <w:r>
                    <w:rPr>
                      <w:rFonts w:hint="eastAsia" w:ascii="Times New Roman" w:hAnsi="Times New Roman" w:eastAsia="宋体" w:cs="Times New Roman"/>
                      <w:color w:val="auto"/>
                      <w:szCs w:val="21"/>
                    </w:rPr>
                    <w:t>78/1</w:t>
                  </w:r>
                </w:p>
              </w:tc>
              <w:tc>
                <w:tcPr>
                  <w:tcW w:w="1441" w:type="dxa"/>
                  <w:vMerge w:val="continue"/>
                  <w:shd w:val="clear" w:color="auto" w:fill="auto"/>
                  <w:vAlign w:val="center"/>
                </w:tcPr>
                <w:p w14:paraId="7F3F9143">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jc w:val="center"/>
                    <w:textAlignment w:val="auto"/>
                    <w:rPr>
                      <w:rFonts w:hint="eastAsia" w:ascii="Times New Roman" w:hAnsi="Times New Roman" w:eastAsia="宋体" w:cs="Times New Roman"/>
                      <w:color w:val="auto"/>
                      <w:szCs w:val="21"/>
                    </w:rPr>
                  </w:pPr>
                </w:p>
              </w:tc>
            </w:tr>
            <w:tr w14:paraId="0892DF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543" w:type="dxa"/>
                  <w:shd w:val="clear" w:color="auto" w:fill="auto"/>
                  <w:vAlign w:val="center"/>
                </w:tcPr>
                <w:p w14:paraId="26CFC8D4">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jc w:val="center"/>
                    <w:textAlignment w:val="auto"/>
                    <w:rPr>
                      <w:rFonts w:hint="eastAsia" w:ascii="Times New Roman" w:hAnsi="Times New Roman" w:eastAsia="宋体" w:cs="Times New Roman"/>
                      <w:color w:val="auto"/>
                      <w:szCs w:val="21"/>
                      <w:lang w:val="en-US" w:eastAsia="en-US"/>
                    </w:rPr>
                  </w:pPr>
                  <w:r>
                    <w:rPr>
                      <w:rFonts w:hint="eastAsia" w:ascii="Times New Roman" w:hAnsi="Times New Roman" w:eastAsia="宋体" w:cs="Times New Roman"/>
                      <w:color w:val="auto"/>
                      <w:szCs w:val="21"/>
                    </w:rPr>
                    <w:t>4</w:t>
                  </w:r>
                </w:p>
              </w:tc>
              <w:tc>
                <w:tcPr>
                  <w:tcW w:w="2533" w:type="dxa"/>
                  <w:shd w:val="clear" w:color="auto" w:fill="auto"/>
                  <w:vAlign w:val="center"/>
                </w:tcPr>
                <w:p w14:paraId="0B79887D">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jc w:val="center"/>
                    <w:textAlignment w:val="auto"/>
                    <w:rPr>
                      <w:rFonts w:hint="eastAsia" w:ascii="Times New Roman" w:hAnsi="Times New Roman" w:eastAsia="宋体" w:cs="Times New Roman"/>
                      <w:color w:val="auto"/>
                      <w:szCs w:val="21"/>
                    </w:rPr>
                  </w:pPr>
                  <w:r>
                    <w:rPr>
                      <w:rFonts w:hint="eastAsia" w:ascii="Times New Roman" w:hAnsi="Times New Roman" w:eastAsia="宋体" w:cs="Times New Roman"/>
                      <w:color w:val="auto"/>
                      <w:szCs w:val="21"/>
                    </w:rPr>
                    <w:t>冷却水泵</w:t>
                  </w:r>
                </w:p>
              </w:tc>
              <w:tc>
                <w:tcPr>
                  <w:tcW w:w="1780" w:type="dxa"/>
                  <w:shd w:val="clear" w:color="auto" w:fill="auto"/>
                  <w:vAlign w:val="center"/>
                </w:tcPr>
                <w:p w14:paraId="42568AE3">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jc w:val="center"/>
                    <w:textAlignment w:val="auto"/>
                    <w:rPr>
                      <w:rFonts w:hint="default" w:ascii="Times New Roman" w:hAnsi="Times New Roman" w:eastAsia="宋体" w:cs="Times New Roman"/>
                      <w:color w:val="auto"/>
                      <w:szCs w:val="21"/>
                      <w:lang w:val="en-US" w:eastAsia="zh-CN"/>
                    </w:rPr>
                  </w:pPr>
                  <w:r>
                    <w:rPr>
                      <w:rFonts w:hint="eastAsia" w:ascii="Times New Roman" w:hAnsi="Times New Roman" w:eastAsia="宋体" w:cs="Times New Roman"/>
                      <w:color w:val="auto"/>
                      <w:szCs w:val="21"/>
                      <w:lang w:val="en-US" w:eastAsia="zh-CN"/>
                    </w:rPr>
                    <w:t>LYLR80-160</w:t>
                  </w:r>
                </w:p>
              </w:tc>
              <w:tc>
                <w:tcPr>
                  <w:tcW w:w="657" w:type="dxa"/>
                  <w:shd w:val="clear" w:color="auto" w:fill="auto"/>
                  <w:vAlign w:val="center"/>
                </w:tcPr>
                <w:p w14:paraId="63D8F8CB">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jc w:val="center"/>
                    <w:textAlignment w:val="auto"/>
                    <w:rPr>
                      <w:rFonts w:hint="eastAsia" w:ascii="Times New Roman" w:hAnsi="Times New Roman" w:eastAsia="宋体" w:cs="Times New Roman"/>
                      <w:color w:val="auto"/>
                      <w:szCs w:val="21"/>
                    </w:rPr>
                  </w:pPr>
                  <w:r>
                    <w:rPr>
                      <w:rFonts w:hint="eastAsia" w:ascii="Times New Roman" w:hAnsi="Times New Roman" w:eastAsia="宋体" w:cs="Times New Roman"/>
                      <w:color w:val="auto"/>
                      <w:szCs w:val="21"/>
                    </w:rPr>
                    <w:t>11.3</w:t>
                  </w:r>
                </w:p>
              </w:tc>
              <w:tc>
                <w:tcPr>
                  <w:tcW w:w="593" w:type="dxa"/>
                  <w:shd w:val="clear" w:color="auto" w:fill="auto"/>
                  <w:vAlign w:val="center"/>
                </w:tcPr>
                <w:p w14:paraId="1346D9C3">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jc w:val="center"/>
                    <w:textAlignment w:val="auto"/>
                    <w:rPr>
                      <w:rFonts w:hint="eastAsia" w:ascii="Times New Roman" w:hAnsi="Times New Roman" w:eastAsia="宋体" w:cs="Times New Roman"/>
                      <w:color w:val="auto"/>
                      <w:szCs w:val="21"/>
                    </w:rPr>
                  </w:pPr>
                  <w:r>
                    <w:rPr>
                      <w:rFonts w:hint="eastAsia" w:ascii="Times New Roman" w:hAnsi="Times New Roman" w:eastAsia="宋体" w:cs="Times New Roman"/>
                      <w:color w:val="auto"/>
                      <w:szCs w:val="21"/>
                    </w:rPr>
                    <w:t>10.4</w:t>
                  </w:r>
                </w:p>
              </w:tc>
              <w:tc>
                <w:tcPr>
                  <w:tcW w:w="701" w:type="dxa"/>
                  <w:shd w:val="clear" w:color="auto" w:fill="auto"/>
                  <w:vAlign w:val="center"/>
                </w:tcPr>
                <w:p w14:paraId="5F2D15DA">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jc w:val="center"/>
                    <w:textAlignment w:val="auto"/>
                    <w:rPr>
                      <w:rFonts w:hint="eastAsia" w:ascii="Times New Roman" w:hAnsi="Times New Roman" w:eastAsia="宋体" w:cs="Times New Roman"/>
                      <w:color w:val="auto"/>
                      <w:szCs w:val="21"/>
                    </w:rPr>
                  </w:pPr>
                  <w:r>
                    <w:rPr>
                      <w:rFonts w:hint="eastAsia" w:ascii="Times New Roman" w:hAnsi="Times New Roman" w:eastAsia="宋体" w:cs="Times New Roman"/>
                      <w:color w:val="auto"/>
                      <w:szCs w:val="21"/>
                    </w:rPr>
                    <w:t>1.2</w:t>
                  </w:r>
                </w:p>
              </w:tc>
              <w:tc>
                <w:tcPr>
                  <w:tcW w:w="2649" w:type="dxa"/>
                  <w:shd w:val="clear" w:color="auto" w:fill="auto"/>
                  <w:vAlign w:val="center"/>
                </w:tcPr>
                <w:p w14:paraId="42765EE1">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jc w:val="center"/>
                    <w:textAlignment w:val="auto"/>
                    <w:rPr>
                      <w:rFonts w:hint="eastAsia" w:ascii="Times New Roman" w:hAnsi="Times New Roman" w:eastAsia="宋体" w:cs="Times New Roman"/>
                      <w:color w:val="auto"/>
                      <w:szCs w:val="21"/>
                    </w:rPr>
                  </w:pPr>
                  <w:r>
                    <w:rPr>
                      <w:rFonts w:hint="eastAsia" w:ascii="Times New Roman" w:hAnsi="Times New Roman" w:eastAsia="宋体" w:cs="Times New Roman"/>
                      <w:color w:val="auto"/>
                      <w:szCs w:val="21"/>
                    </w:rPr>
                    <w:t>78/1</w:t>
                  </w:r>
                </w:p>
              </w:tc>
              <w:tc>
                <w:tcPr>
                  <w:tcW w:w="1441" w:type="dxa"/>
                  <w:vMerge w:val="continue"/>
                  <w:shd w:val="clear" w:color="auto" w:fill="auto"/>
                  <w:vAlign w:val="center"/>
                </w:tcPr>
                <w:p w14:paraId="3F87F71A">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jc w:val="center"/>
                    <w:textAlignment w:val="auto"/>
                    <w:rPr>
                      <w:rFonts w:hint="eastAsia" w:ascii="Times New Roman" w:hAnsi="Times New Roman" w:eastAsia="宋体" w:cs="Times New Roman"/>
                      <w:color w:val="auto"/>
                      <w:szCs w:val="21"/>
                    </w:rPr>
                  </w:pPr>
                </w:p>
              </w:tc>
            </w:tr>
            <w:tr w14:paraId="591DBC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543" w:type="dxa"/>
                  <w:shd w:val="clear" w:color="auto" w:fill="auto"/>
                  <w:vAlign w:val="center"/>
                </w:tcPr>
                <w:p w14:paraId="403EAF37">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jc w:val="center"/>
                    <w:textAlignment w:val="auto"/>
                    <w:rPr>
                      <w:rFonts w:hint="eastAsia" w:ascii="Times New Roman" w:hAnsi="Times New Roman" w:eastAsia="宋体" w:cs="Times New Roman"/>
                      <w:color w:val="auto"/>
                      <w:szCs w:val="21"/>
                      <w:lang w:val="en-US" w:eastAsia="en-US"/>
                    </w:rPr>
                  </w:pPr>
                  <w:r>
                    <w:rPr>
                      <w:rFonts w:hint="eastAsia" w:ascii="Times New Roman" w:hAnsi="Times New Roman" w:eastAsia="宋体" w:cs="Times New Roman"/>
                      <w:color w:val="auto"/>
                      <w:szCs w:val="21"/>
                    </w:rPr>
                    <w:t>5</w:t>
                  </w:r>
                </w:p>
              </w:tc>
              <w:tc>
                <w:tcPr>
                  <w:tcW w:w="2533" w:type="dxa"/>
                  <w:shd w:val="clear" w:color="auto" w:fill="auto"/>
                  <w:vAlign w:val="center"/>
                </w:tcPr>
                <w:p w14:paraId="3E89AE55">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jc w:val="center"/>
                    <w:textAlignment w:val="auto"/>
                    <w:rPr>
                      <w:rFonts w:hint="eastAsia" w:ascii="Times New Roman" w:hAnsi="Times New Roman" w:eastAsia="宋体" w:cs="Times New Roman"/>
                      <w:color w:val="auto"/>
                      <w:szCs w:val="21"/>
                    </w:rPr>
                  </w:pPr>
                  <w:r>
                    <w:rPr>
                      <w:rFonts w:hint="eastAsia" w:ascii="Times New Roman" w:hAnsi="Times New Roman" w:eastAsia="宋体" w:cs="Times New Roman"/>
                      <w:color w:val="auto"/>
                      <w:szCs w:val="21"/>
                    </w:rPr>
                    <w:t>风冷式冷水机</w:t>
                  </w:r>
                </w:p>
              </w:tc>
              <w:tc>
                <w:tcPr>
                  <w:tcW w:w="1780" w:type="dxa"/>
                  <w:shd w:val="clear" w:color="auto" w:fill="auto"/>
                  <w:vAlign w:val="center"/>
                </w:tcPr>
                <w:p w14:paraId="1E6908E8">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jc w:val="center"/>
                    <w:textAlignment w:val="auto"/>
                    <w:rPr>
                      <w:rFonts w:hint="default" w:ascii="Times New Roman" w:hAnsi="Times New Roman" w:eastAsia="宋体" w:cs="Times New Roman"/>
                      <w:color w:val="auto"/>
                      <w:szCs w:val="21"/>
                      <w:lang w:val="en-US" w:eastAsia="en-US"/>
                    </w:rPr>
                  </w:pPr>
                  <w:r>
                    <w:rPr>
                      <w:rFonts w:hint="default" w:ascii="Times New Roman" w:hAnsi="Times New Roman" w:eastAsia="宋体" w:cs="Times New Roman"/>
                      <w:color w:val="auto"/>
                      <w:szCs w:val="21"/>
                    </w:rPr>
                    <w:t>RSIC-05A</w:t>
                  </w:r>
                </w:p>
              </w:tc>
              <w:tc>
                <w:tcPr>
                  <w:tcW w:w="657" w:type="dxa"/>
                  <w:shd w:val="clear" w:color="auto" w:fill="auto"/>
                  <w:vAlign w:val="center"/>
                </w:tcPr>
                <w:p w14:paraId="640920DC">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jc w:val="center"/>
                    <w:textAlignment w:val="auto"/>
                    <w:rPr>
                      <w:rFonts w:hint="eastAsia" w:ascii="Times New Roman" w:hAnsi="Times New Roman" w:eastAsia="宋体" w:cs="Times New Roman"/>
                      <w:color w:val="auto"/>
                      <w:szCs w:val="21"/>
                    </w:rPr>
                  </w:pPr>
                  <w:r>
                    <w:rPr>
                      <w:rFonts w:hint="eastAsia" w:ascii="Times New Roman" w:hAnsi="Times New Roman" w:eastAsia="宋体" w:cs="Times New Roman"/>
                      <w:color w:val="auto"/>
                      <w:szCs w:val="21"/>
                    </w:rPr>
                    <w:t>11.9</w:t>
                  </w:r>
                </w:p>
              </w:tc>
              <w:tc>
                <w:tcPr>
                  <w:tcW w:w="593" w:type="dxa"/>
                  <w:shd w:val="clear" w:color="auto" w:fill="auto"/>
                  <w:vAlign w:val="center"/>
                </w:tcPr>
                <w:p w14:paraId="52DF43AD">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jc w:val="center"/>
                    <w:textAlignment w:val="auto"/>
                    <w:rPr>
                      <w:rFonts w:hint="eastAsia" w:ascii="Times New Roman" w:hAnsi="Times New Roman" w:eastAsia="宋体" w:cs="Times New Roman"/>
                      <w:color w:val="auto"/>
                      <w:szCs w:val="21"/>
                    </w:rPr>
                  </w:pPr>
                  <w:r>
                    <w:rPr>
                      <w:rFonts w:hint="eastAsia" w:ascii="Times New Roman" w:hAnsi="Times New Roman" w:eastAsia="宋体" w:cs="Times New Roman"/>
                      <w:color w:val="auto"/>
                      <w:szCs w:val="21"/>
                    </w:rPr>
                    <w:t>8.8</w:t>
                  </w:r>
                </w:p>
              </w:tc>
              <w:tc>
                <w:tcPr>
                  <w:tcW w:w="701" w:type="dxa"/>
                  <w:shd w:val="clear" w:color="auto" w:fill="auto"/>
                  <w:vAlign w:val="center"/>
                </w:tcPr>
                <w:p w14:paraId="36839C63">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jc w:val="center"/>
                    <w:textAlignment w:val="auto"/>
                    <w:rPr>
                      <w:rFonts w:hint="eastAsia" w:ascii="Times New Roman" w:hAnsi="Times New Roman" w:eastAsia="宋体" w:cs="Times New Roman"/>
                      <w:color w:val="auto"/>
                      <w:szCs w:val="21"/>
                    </w:rPr>
                  </w:pPr>
                  <w:r>
                    <w:rPr>
                      <w:rFonts w:hint="eastAsia" w:ascii="Times New Roman" w:hAnsi="Times New Roman" w:eastAsia="宋体" w:cs="Times New Roman"/>
                      <w:color w:val="auto"/>
                      <w:szCs w:val="21"/>
                    </w:rPr>
                    <w:t>1.2</w:t>
                  </w:r>
                </w:p>
              </w:tc>
              <w:tc>
                <w:tcPr>
                  <w:tcW w:w="2649" w:type="dxa"/>
                  <w:shd w:val="clear" w:color="auto" w:fill="auto"/>
                  <w:vAlign w:val="center"/>
                </w:tcPr>
                <w:p w14:paraId="259939F0">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jc w:val="center"/>
                    <w:textAlignment w:val="auto"/>
                    <w:rPr>
                      <w:rFonts w:hint="eastAsia" w:ascii="Times New Roman" w:hAnsi="Times New Roman" w:eastAsia="宋体" w:cs="Times New Roman"/>
                      <w:color w:val="auto"/>
                      <w:szCs w:val="21"/>
                    </w:rPr>
                  </w:pPr>
                  <w:r>
                    <w:rPr>
                      <w:rFonts w:hint="eastAsia" w:ascii="Times New Roman" w:hAnsi="Times New Roman" w:eastAsia="宋体" w:cs="Times New Roman"/>
                      <w:color w:val="auto"/>
                      <w:szCs w:val="21"/>
                    </w:rPr>
                    <w:t>80/1</w:t>
                  </w:r>
                </w:p>
              </w:tc>
              <w:tc>
                <w:tcPr>
                  <w:tcW w:w="1441" w:type="dxa"/>
                  <w:vMerge w:val="continue"/>
                  <w:shd w:val="clear" w:color="auto" w:fill="auto"/>
                  <w:vAlign w:val="center"/>
                </w:tcPr>
                <w:p w14:paraId="404597D2">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jc w:val="center"/>
                    <w:textAlignment w:val="auto"/>
                    <w:rPr>
                      <w:rFonts w:hint="eastAsia" w:ascii="Times New Roman" w:hAnsi="Times New Roman" w:eastAsia="宋体" w:cs="Times New Roman"/>
                      <w:color w:val="auto"/>
                      <w:szCs w:val="21"/>
                    </w:rPr>
                  </w:pPr>
                </w:p>
              </w:tc>
            </w:tr>
            <w:tr w14:paraId="76EB46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454" w:hRule="atLeast"/>
              </w:trPr>
              <w:tc>
                <w:tcPr>
                  <w:tcW w:w="543" w:type="dxa"/>
                  <w:shd w:val="clear" w:color="auto" w:fill="auto"/>
                  <w:vAlign w:val="center"/>
                </w:tcPr>
                <w:p w14:paraId="051AEB93">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jc w:val="center"/>
                    <w:textAlignment w:val="auto"/>
                    <w:rPr>
                      <w:rFonts w:hint="eastAsia" w:ascii="Times New Roman" w:hAnsi="Times New Roman" w:eastAsia="宋体" w:cs="Times New Roman"/>
                      <w:color w:val="auto"/>
                      <w:szCs w:val="21"/>
                      <w:lang w:val="en-US" w:eastAsia="en-US"/>
                    </w:rPr>
                  </w:pPr>
                  <w:r>
                    <w:rPr>
                      <w:rFonts w:hint="eastAsia" w:ascii="Times New Roman" w:hAnsi="Times New Roman" w:eastAsia="宋体" w:cs="Times New Roman"/>
                      <w:color w:val="auto"/>
                      <w:szCs w:val="21"/>
                    </w:rPr>
                    <w:t>6</w:t>
                  </w:r>
                </w:p>
              </w:tc>
              <w:tc>
                <w:tcPr>
                  <w:tcW w:w="2533" w:type="dxa"/>
                  <w:shd w:val="clear" w:color="auto" w:fill="auto"/>
                  <w:vAlign w:val="center"/>
                </w:tcPr>
                <w:p w14:paraId="54C1A578">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jc w:val="center"/>
                    <w:textAlignment w:val="auto"/>
                    <w:rPr>
                      <w:rFonts w:hint="eastAsia" w:ascii="Times New Roman" w:hAnsi="Times New Roman" w:eastAsia="宋体" w:cs="Times New Roman"/>
                      <w:color w:val="auto"/>
                      <w:szCs w:val="21"/>
                    </w:rPr>
                  </w:pPr>
                  <w:r>
                    <w:rPr>
                      <w:rFonts w:hint="eastAsia" w:ascii="Times New Roman" w:hAnsi="Times New Roman" w:eastAsia="宋体" w:cs="Times New Roman"/>
                      <w:color w:val="auto"/>
                      <w:szCs w:val="21"/>
                    </w:rPr>
                    <w:t>风冷式冷水机</w:t>
                  </w:r>
                </w:p>
              </w:tc>
              <w:tc>
                <w:tcPr>
                  <w:tcW w:w="1780" w:type="dxa"/>
                  <w:shd w:val="clear" w:color="auto" w:fill="auto"/>
                  <w:vAlign w:val="center"/>
                </w:tcPr>
                <w:p w14:paraId="1A0AC56D">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jc w:val="center"/>
                    <w:textAlignment w:val="auto"/>
                    <w:rPr>
                      <w:rFonts w:hint="default" w:ascii="Times New Roman" w:hAnsi="Times New Roman" w:eastAsia="宋体" w:cs="Times New Roman"/>
                      <w:color w:val="auto"/>
                      <w:szCs w:val="21"/>
                      <w:lang w:val="en-US" w:eastAsia="en-US"/>
                    </w:rPr>
                  </w:pPr>
                  <w:r>
                    <w:rPr>
                      <w:rFonts w:hint="default" w:ascii="Times New Roman" w:hAnsi="Times New Roman" w:eastAsia="宋体" w:cs="Times New Roman"/>
                      <w:color w:val="auto"/>
                      <w:szCs w:val="21"/>
                      <w:lang w:val="en-US" w:eastAsia="en-US"/>
                    </w:rPr>
                    <w:t>RSIC-05A</w:t>
                  </w:r>
                </w:p>
              </w:tc>
              <w:tc>
                <w:tcPr>
                  <w:tcW w:w="657" w:type="dxa"/>
                  <w:shd w:val="clear" w:color="auto" w:fill="auto"/>
                  <w:vAlign w:val="center"/>
                </w:tcPr>
                <w:p w14:paraId="71A5E641">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jc w:val="center"/>
                    <w:textAlignment w:val="auto"/>
                    <w:rPr>
                      <w:rFonts w:hint="eastAsia" w:ascii="Times New Roman" w:hAnsi="Times New Roman" w:eastAsia="宋体" w:cs="Times New Roman"/>
                      <w:color w:val="auto"/>
                      <w:szCs w:val="21"/>
                    </w:rPr>
                  </w:pPr>
                  <w:r>
                    <w:rPr>
                      <w:rFonts w:hint="eastAsia" w:ascii="Times New Roman" w:hAnsi="Times New Roman" w:eastAsia="宋体" w:cs="Times New Roman"/>
                      <w:color w:val="auto"/>
                      <w:szCs w:val="21"/>
                    </w:rPr>
                    <w:t>12.3</w:t>
                  </w:r>
                </w:p>
              </w:tc>
              <w:tc>
                <w:tcPr>
                  <w:tcW w:w="593" w:type="dxa"/>
                  <w:shd w:val="clear" w:color="auto" w:fill="auto"/>
                  <w:vAlign w:val="center"/>
                </w:tcPr>
                <w:p w14:paraId="4ED9A4BA">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jc w:val="center"/>
                    <w:textAlignment w:val="auto"/>
                    <w:rPr>
                      <w:rFonts w:hint="eastAsia" w:ascii="Times New Roman" w:hAnsi="Times New Roman" w:eastAsia="宋体" w:cs="Times New Roman"/>
                      <w:color w:val="auto"/>
                      <w:szCs w:val="21"/>
                    </w:rPr>
                  </w:pPr>
                  <w:r>
                    <w:rPr>
                      <w:rFonts w:hint="eastAsia" w:ascii="Times New Roman" w:hAnsi="Times New Roman" w:eastAsia="宋体" w:cs="Times New Roman"/>
                      <w:color w:val="auto"/>
                      <w:szCs w:val="21"/>
                    </w:rPr>
                    <w:t>7.4</w:t>
                  </w:r>
                </w:p>
              </w:tc>
              <w:tc>
                <w:tcPr>
                  <w:tcW w:w="701" w:type="dxa"/>
                  <w:shd w:val="clear" w:color="auto" w:fill="auto"/>
                  <w:vAlign w:val="center"/>
                </w:tcPr>
                <w:p w14:paraId="3F58E173">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jc w:val="center"/>
                    <w:textAlignment w:val="auto"/>
                    <w:rPr>
                      <w:rFonts w:hint="eastAsia" w:ascii="Times New Roman" w:hAnsi="Times New Roman" w:eastAsia="宋体" w:cs="Times New Roman"/>
                      <w:color w:val="auto"/>
                      <w:szCs w:val="21"/>
                    </w:rPr>
                  </w:pPr>
                  <w:r>
                    <w:rPr>
                      <w:rFonts w:hint="eastAsia" w:ascii="Times New Roman" w:hAnsi="Times New Roman" w:eastAsia="宋体" w:cs="Times New Roman"/>
                      <w:color w:val="auto"/>
                      <w:szCs w:val="21"/>
                    </w:rPr>
                    <w:t>1.2</w:t>
                  </w:r>
                </w:p>
              </w:tc>
              <w:tc>
                <w:tcPr>
                  <w:tcW w:w="2649" w:type="dxa"/>
                  <w:shd w:val="clear" w:color="auto" w:fill="auto"/>
                  <w:vAlign w:val="center"/>
                </w:tcPr>
                <w:p w14:paraId="7F968E6C">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jc w:val="center"/>
                    <w:textAlignment w:val="auto"/>
                    <w:rPr>
                      <w:rFonts w:hint="eastAsia" w:ascii="Times New Roman" w:hAnsi="Times New Roman" w:eastAsia="宋体" w:cs="Times New Roman"/>
                      <w:color w:val="auto"/>
                      <w:szCs w:val="21"/>
                    </w:rPr>
                  </w:pPr>
                  <w:r>
                    <w:rPr>
                      <w:rFonts w:hint="eastAsia" w:ascii="Times New Roman" w:hAnsi="Times New Roman" w:eastAsia="宋体" w:cs="Times New Roman"/>
                      <w:color w:val="auto"/>
                      <w:szCs w:val="21"/>
                    </w:rPr>
                    <w:t>80/1</w:t>
                  </w:r>
                </w:p>
              </w:tc>
              <w:tc>
                <w:tcPr>
                  <w:tcW w:w="1441" w:type="dxa"/>
                  <w:vMerge w:val="continue"/>
                  <w:shd w:val="clear" w:color="auto" w:fill="auto"/>
                  <w:vAlign w:val="center"/>
                </w:tcPr>
                <w:p w14:paraId="686474BB">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jc w:val="center"/>
                    <w:textAlignment w:val="auto"/>
                    <w:rPr>
                      <w:rFonts w:hint="eastAsia" w:ascii="Times New Roman" w:hAnsi="Times New Roman" w:eastAsia="宋体" w:cs="Times New Roman"/>
                      <w:color w:val="auto"/>
                      <w:szCs w:val="21"/>
                    </w:rPr>
                  </w:pPr>
                </w:p>
              </w:tc>
            </w:tr>
            <w:tr w14:paraId="68E380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543" w:type="dxa"/>
                  <w:shd w:val="clear" w:color="auto" w:fill="auto"/>
                  <w:vAlign w:val="center"/>
                </w:tcPr>
                <w:p w14:paraId="7B903FFC">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jc w:val="center"/>
                    <w:textAlignment w:val="auto"/>
                    <w:rPr>
                      <w:rFonts w:hint="eastAsia" w:ascii="Times New Roman" w:hAnsi="Times New Roman" w:eastAsia="宋体" w:cs="Times New Roman"/>
                      <w:color w:val="auto"/>
                      <w:szCs w:val="21"/>
                      <w:lang w:val="en-US" w:eastAsia="en-US"/>
                    </w:rPr>
                  </w:pPr>
                  <w:r>
                    <w:rPr>
                      <w:rFonts w:hint="eastAsia" w:ascii="Times New Roman" w:hAnsi="Times New Roman" w:eastAsia="宋体" w:cs="Times New Roman"/>
                      <w:color w:val="auto"/>
                      <w:szCs w:val="21"/>
                    </w:rPr>
                    <w:t>7</w:t>
                  </w:r>
                </w:p>
              </w:tc>
              <w:tc>
                <w:tcPr>
                  <w:tcW w:w="2533" w:type="dxa"/>
                  <w:shd w:val="clear" w:color="auto" w:fill="auto"/>
                  <w:vAlign w:val="center"/>
                </w:tcPr>
                <w:p w14:paraId="76DE6A33">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jc w:val="center"/>
                    <w:textAlignment w:val="auto"/>
                    <w:rPr>
                      <w:rFonts w:hint="eastAsia" w:ascii="Times New Roman" w:hAnsi="Times New Roman" w:eastAsia="宋体" w:cs="Times New Roman"/>
                      <w:color w:val="auto"/>
                      <w:szCs w:val="21"/>
                    </w:rPr>
                  </w:pPr>
                  <w:r>
                    <w:rPr>
                      <w:rFonts w:hint="eastAsia" w:ascii="Times New Roman" w:hAnsi="Times New Roman" w:eastAsia="宋体" w:cs="Times New Roman"/>
                      <w:color w:val="auto"/>
                      <w:szCs w:val="21"/>
                    </w:rPr>
                    <w:t>冷冻水泵</w:t>
                  </w:r>
                </w:p>
              </w:tc>
              <w:tc>
                <w:tcPr>
                  <w:tcW w:w="1780" w:type="dxa"/>
                  <w:shd w:val="clear" w:color="auto" w:fill="auto"/>
                  <w:vAlign w:val="center"/>
                </w:tcPr>
                <w:p w14:paraId="7CAC7C7D">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jc w:val="center"/>
                    <w:textAlignment w:val="auto"/>
                    <w:rPr>
                      <w:rFonts w:hint="eastAsia" w:ascii="Times New Roman" w:hAnsi="Times New Roman" w:eastAsia="宋体" w:cs="Times New Roman"/>
                      <w:color w:val="auto"/>
                      <w:szCs w:val="21"/>
                    </w:rPr>
                  </w:pPr>
                  <w:r>
                    <w:rPr>
                      <w:rFonts w:hint="default" w:ascii="Times New Roman" w:hAnsi="Times New Roman" w:eastAsia="宋体" w:cs="Times New Roman"/>
                      <w:color w:val="auto"/>
                      <w:szCs w:val="21"/>
                    </w:rPr>
                    <w:t>CM-50</w:t>
                  </w:r>
                </w:p>
              </w:tc>
              <w:tc>
                <w:tcPr>
                  <w:tcW w:w="657" w:type="dxa"/>
                  <w:shd w:val="clear" w:color="auto" w:fill="auto"/>
                  <w:vAlign w:val="center"/>
                </w:tcPr>
                <w:p w14:paraId="6B87106A">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jc w:val="center"/>
                    <w:textAlignment w:val="auto"/>
                    <w:rPr>
                      <w:rFonts w:hint="eastAsia" w:ascii="Times New Roman" w:hAnsi="Times New Roman" w:eastAsia="宋体" w:cs="Times New Roman"/>
                      <w:color w:val="auto"/>
                      <w:szCs w:val="21"/>
                    </w:rPr>
                  </w:pPr>
                  <w:r>
                    <w:rPr>
                      <w:rFonts w:hint="eastAsia" w:ascii="Times New Roman" w:hAnsi="Times New Roman" w:eastAsia="宋体" w:cs="Times New Roman"/>
                      <w:color w:val="auto"/>
                      <w:szCs w:val="21"/>
                    </w:rPr>
                    <w:t>11.1</w:t>
                  </w:r>
                </w:p>
              </w:tc>
              <w:tc>
                <w:tcPr>
                  <w:tcW w:w="593" w:type="dxa"/>
                  <w:shd w:val="clear" w:color="auto" w:fill="auto"/>
                  <w:vAlign w:val="center"/>
                </w:tcPr>
                <w:p w14:paraId="270CE3D5">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jc w:val="center"/>
                    <w:textAlignment w:val="auto"/>
                    <w:rPr>
                      <w:rFonts w:hint="eastAsia" w:ascii="Times New Roman" w:hAnsi="Times New Roman" w:eastAsia="宋体" w:cs="Times New Roman"/>
                      <w:color w:val="auto"/>
                      <w:szCs w:val="21"/>
                    </w:rPr>
                  </w:pPr>
                  <w:r>
                    <w:rPr>
                      <w:rFonts w:hint="eastAsia" w:ascii="Times New Roman" w:hAnsi="Times New Roman" w:eastAsia="宋体" w:cs="Times New Roman"/>
                      <w:color w:val="auto"/>
                      <w:szCs w:val="21"/>
                    </w:rPr>
                    <w:t>7.2</w:t>
                  </w:r>
                </w:p>
              </w:tc>
              <w:tc>
                <w:tcPr>
                  <w:tcW w:w="701" w:type="dxa"/>
                  <w:shd w:val="clear" w:color="auto" w:fill="auto"/>
                  <w:vAlign w:val="center"/>
                </w:tcPr>
                <w:p w14:paraId="5B30CD4B">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jc w:val="center"/>
                    <w:textAlignment w:val="auto"/>
                    <w:rPr>
                      <w:rFonts w:hint="eastAsia" w:ascii="Times New Roman" w:hAnsi="Times New Roman" w:eastAsia="宋体" w:cs="Times New Roman"/>
                      <w:color w:val="auto"/>
                      <w:szCs w:val="21"/>
                    </w:rPr>
                  </w:pPr>
                  <w:r>
                    <w:rPr>
                      <w:rFonts w:hint="eastAsia" w:ascii="Times New Roman" w:hAnsi="Times New Roman" w:eastAsia="宋体" w:cs="Times New Roman"/>
                      <w:color w:val="auto"/>
                      <w:szCs w:val="21"/>
                    </w:rPr>
                    <w:t>1.2</w:t>
                  </w:r>
                </w:p>
              </w:tc>
              <w:tc>
                <w:tcPr>
                  <w:tcW w:w="2649" w:type="dxa"/>
                  <w:shd w:val="clear" w:color="auto" w:fill="auto"/>
                  <w:vAlign w:val="center"/>
                </w:tcPr>
                <w:p w14:paraId="17075797">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jc w:val="center"/>
                    <w:textAlignment w:val="auto"/>
                    <w:rPr>
                      <w:rFonts w:hint="eastAsia" w:ascii="Times New Roman" w:hAnsi="Times New Roman" w:eastAsia="宋体" w:cs="Times New Roman"/>
                      <w:color w:val="auto"/>
                      <w:szCs w:val="21"/>
                    </w:rPr>
                  </w:pPr>
                  <w:r>
                    <w:rPr>
                      <w:rFonts w:hint="eastAsia" w:ascii="Times New Roman" w:hAnsi="Times New Roman" w:eastAsia="宋体" w:cs="Times New Roman"/>
                      <w:color w:val="auto"/>
                      <w:szCs w:val="21"/>
                    </w:rPr>
                    <w:t>78/1</w:t>
                  </w:r>
                </w:p>
              </w:tc>
              <w:tc>
                <w:tcPr>
                  <w:tcW w:w="1441" w:type="dxa"/>
                  <w:vMerge w:val="continue"/>
                  <w:shd w:val="clear" w:color="auto" w:fill="auto"/>
                  <w:vAlign w:val="center"/>
                </w:tcPr>
                <w:p w14:paraId="34CB04F4">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jc w:val="center"/>
                    <w:textAlignment w:val="auto"/>
                    <w:rPr>
                      <w:rFonts w:hint="eastAsia" w:ascii="Times New Roman" w:hAnsi="Times New Roman" w:eastAsia="宋体" w:cs="Times New Roman"/>
                      <w:color w:val="auto"/>
                      <w:szCs w:val="21"/>
                    </w:rPr>
                  </w:pPr>
                </w:p>
              </w:tc>
            </w:tr>
          </w:tbl>
          <w:p w14:paraId="390053D2">
            <w:pPr>
              <w:keepNext w:val="0"/>
              <w:keepLines w:val="0"/>
              <w:suppressLineNumbers w:val="0"/>
              <w:spacing w:before="0" w:beforeAutospacing="0" w:after="0" w:afterAutospacing="0"/>
              <w:ind w:left="0" w:right="0" w:firstLine="420" w:firstLineChars="200"/>
              <w:rPr>
                <w:rFonts w:hint="eastAsia" w:ascii="Times New Roman" w:hAnsi="Times New Roman" w:eastAsia="宋体" w:cs="Times New Roman"/>
                <w:color w:val="auto"/>
                <w:szCs w:val="21"/>
              </w:rPr>
            </w:pPr>
            <w:r>
              <w:rPr>
                <w:rFonts w:hint="eastAsia" w:ascii="Times New Roman" w:hAnsi="Times New Roman" w:eastAsia="宋体" w:cs="Times New Roman"/>
                <w:color w:val="auto"/>
                <w:szCs w:val="21"/>
              </w:rPr>
              <w:t>注：</w:t>
            </w:r>
            <w:r>
              <w:rPr>
                <w:rFonts w:hint="default" w:ascii="Times New Roman" w:hAnsi="Times New Roman" w:eastAsia="宋体" w:cs="Times New Roman"/>
                <w:color w:val="auto"/>
                <w:szCs w:val="21"/>
              </w:rPr>
              <w:t>表中坐标以厂界中心（</w:t>
            </w:r>
            <w:bookmarkStart w:id="31" w:name="PO_6"/>
            <w:r>
              <w:rPr>
                <w:rFonts w:hint="default" w:ascii="Times New Roman" w:hAnsi="Times New Roman" w:eastAsia="宋体" w:cs="Times New Roman"/>
                <w:color w:val="auto"/>
                <w:szCs w:val="21"/>
                <w:lang w:val="en-US" w:eastAsia="zh-CN"/>
              </w:rPr>
              <w:t>119.650016</w:t>
            </w:r>
            <w:r>
              <w:rPr>
                <w:rFonts w:hint="eastAsia" w:ascii="Times New Roman" w:hAnsi="Times New Roman" w:eastAsia="宋体" w:cs="Times New Roman"/>
                <w:color w:val="auto"/>
                <w:szCs w:val="21"/>
                <w:lang w:val="en-US" w:eastAsia="zh-CN"/>
              </w:rPr>
              <w:t>，</w:t>
            </w:r>
            <w:r>
              <w:rPr>
                <w:rFonts w:hint="default" w:ascii="Times New Roman" w:hAnsi="Times New Roman" w:eastAsia="宋体" w:cs="Times New Roman"/>
                <w:color w:val="auto"/>
                <w:szCs w:val="21"/>
                <w:lang w:val="en-US" w:eastAsia="zh-CN"/>
              </w:rPr>
              <w:t>30.784002</w:t>
            </w:r>
            <w:bookmarkEnd w:id="31"/>
            <w:r>
              <w:rPr>
                <w:rFonts w:hint="default" w:ascii="Times New Roman" w:hAnsi="Times New Roman" w:eastAsia="宋体" w:cs="Times New Roman"/>
                <w:color w:val="auto"/>
                <w:szCs w:val="21"/>
              </w:rPr>
              <w:t>）为坐标原点，正东向为X轴正方向，正北向为Y轴正方向</w:t>
            </w:r>
            <w:r>
              <w:rPr>
                <w:rFonts w:hint="eastAsia" w:ascii="Times New Roman" w:hAnsi="Times New Roman" w:eastAsia="宋体" w:cs="Times New Roman"/>
                <w:color w:val="auto"/>
                <w:szCs w:val="21"/>
              </w:rPr>
              <w:t>。</w:t>
            </w:r>
          </w:p>
          <w:p w14:paraId="7A9074DF">
            <w:pPr>
              <w:keepNext w:val="0"/>
              <w:keepLines w:val="0"/>
              <w:suppressLineNumbers w:val="0"/>
              <w:spacing w:before="0" w:beforeAutospacing="0" w:after="0" w:afterAutospacing="0"/>
              <w:ind w:left="0" w:right="0" w:firstLine="420" w:firstLineChars="200"/>
              <w:rPr>
                <w:rFonts w:hint="eastAsia" w:ascii="Times New Roman" w:hAnsi="Times New Roman" w:eastAsia="宋体" w:cs="Times New Roman"/>
                <w:color w:val="auto"/>
                <w:szCs w:val="21"/>
              </w:rPr>
            </w:pPr>
          </w:p>
          <w:p w14:paraId="38CC976A">
            <w:pPr>
              <w:keepNext w:val="0"/>
              <w:keepLines w:val="0"/>
              <w:suppressLineNumbers w:val="0"/>
              <w:spacing w:before="0" w:beforeAutospacing="0" w:after="0" w:afterAutospacing="0"/>
              <w:ind w:left="0" w:right="0" w:firstLine="420" w:firstLineChars="200"/>
              <w:rPr>
                <w:rFonts w:hint="eastAsia" w:ascii="Times New Roman" w:hAnsi="Times New Roman" w:eastAsia="宋体" w:cs="Times New Roman"/>
                <w:color w:val="auto"/>
                <w:szCs w:val="21"/>
              </w:rPr>
            </w:pPr>
          </w:p>
          <w:p w14:paraId="2E8942C3">
            <w:pPr>
              <w:keepNext w:val="0"/>
              <w:keepLines w:val="0"/>
              <w:suppressLineNumbers w:val="0"/>
              <w:spacing w:before="0" w:beforeAutospacing="0" w:after="0" w:afterAutospacing="0"/>
              <w:ind w:left="0" w:right="0" w:firstLine="420" w:firstLineChars="200"/>
              <w:rPr>
                <w:rFonts w:hint="eastAsia" w:ascii="Times New Roman" w:hAnsi="Times New Roman" w:eastAsia="宋体" w:cs="Times New Roman"/>
                <w:color w:val="auto"/>
                <w:szCs w:val="21"/>
              </w:rPr>
            </w:pPr>
          </w:p>
          <w:p w14:paraId="54BA3566">
            <w:pPr>
              <w:keepNext w:val="0"/>
              <w:keepLines w:val="0"/>
              <w:suppressLineNumbers w:val="0"/>
              <w:spacing w:before="0" w:beforeAutospacing="0" w:after="0" w:afterAutospacing="0"/>
              <w:ind w:left="0" w:right="0" w:firstLine="420" w:firstLineChars="200"/>
              <w:rPr>
                <w:rFonts w:hint="eastAsia" w:ascii="Times New Roman" w:hAnsi="Times New Roman" w:eastAsia="宋体" w:cs="Times New Roman"/>
                <w:color w:val="auto"/>
                <w:szCs w:val="21"/>
              </w:rPr>
            </w:pPr>
          </w:p>
          <w:p w14:paraId="2F15BB9F">
            <w:pPr>
              <w:keepNext w:val="0"/>
              <w:keepLines w:val="0"/>
              <w:suppressLineNumbers w:val="0"/>
              <w:spacing w:before="0" w:beforeAutospacing="0" w:after="0" w:afterAutospacing="0"/>
              <w:ind w:left="0" w:right="0" w:firstLine="420" w:firstLineChars="200"/>
              <w:rPr>
                <w:rFonts w:hint="eastAsia" w:ascii="Times New Roman" w:hAnsi="Times New Roman" w:eastAsia="宋体" w:cs="Times New Roman"/>
                <w:color w:val="auto"/>
                <w:szCs w:val="21"/>
              </w:rPr>
            </w:pPr>
          </w:p>
          <w:p w14:paraId="742B3CE1">
            <w:pPr>
              <w:keepNext w:val="0"/>
              <w:keepLines w:val="0"/>
              <w:suppressLineNumbers w:val="0"/>
              <w:spacing w:before="0" w:beforeAutospacing="0" w:after="0" w:afterAutospacing="0"/>
              <w:ind w:left="0" w:right="0" w:firstLine="420" w:firstLineChars="200"/>
              <w:rPr>
                <w:rFonts w:hint="eastAsia" w:ascii="Times New Roman" w:hAnsi="Times New Roman" w:eastAsia="宋体" w:cs="Times New Roman"/>
                <w:color w:val="auto"/>
                <w:szCs w:val="21"/>
              </w:rPr>
            </w:pPr>
          </w:p>
          <w:p w14:paraId="2403991C">
            <w:pPr>
              <w:keepNext w:val="0"/>
              <w:keepLines w:val="0"/>
              <w:suppressLineNumbers w:val="0"/>
              <w:spacing w:before="0" w:beforeAutospacing="0" w:after="0" w:afterAutospacing="0"/>
              <w:ind w:left="0" w:right="0" w:firstLine="420" w:firstLineChars="200"/>
              <w:rPr>
                <w:rFonts w:hint="eastAsia" w:ascii="Times New Roman" w:hAnsi="Times New Roman" w:eastAsia="宋体" w:cs="Times New Roman"/>
                <w:color w:val="auto"/>
                <w:szCs w:val="21"/>
              </w:rPr>
            </w:pPr>
          </w:p>
          <w:p w14:paraId="42AF9960">
            <w:pPr>
              <w:keepNext w:val="0"/>
              <w:keepLines w:val="0"/>
              <w:suppressLineNumbers w:val="0"/>
              <w:spacing w:before="0" w:beforeAutospacing="0" w:after="0" w:afterAutospacing="0"/>
              <w:ind w:left="0" w:right="0" w:firstLine="420" w:firstLineChars="200"/>
              <w:rPr>
                <w:rFonts w:hint="eastAsia" w:ascii="Times New Roman" w:hAnsi="Times New Roman" w:eastAsia="宋体" w:cs="Times New Roman"/>
                <w:color w:val="auto"/>
                <w:szCs w:val="21"/>
              </w:rPr>
            </w:pPr>
          </w:p>
          <w:p w14:paraId="727E0534">
            <w:pPr>
              <w:keepNext w:val="0"/>
              <w:keepLines w:val="0"/>
              <w:suppressLineNumbers w:val="0"/>
              <w:spacing w:before="0" w:beforeAutospacing="0" w:after="0" w:afterAutospacing="0"/>
              <w:ind w:left="0" w:right="0" w:firstLine="420" w:firstLineChars="200"/>
              <w:rPr>
                <w:rFonts w:hint="eastAsia" w:ascii="Times New Roman" w:hAnsi="Times New Roman" w:eastAsia="宋体" w:cs="Times New Roman"/>
                <w:color w:val="auto"/>
                <w:szCs w:val="21"/>
              </w:rPr>
            </w:pPr>
          </w:p>
          <w:p w14:paraId="5092A92F">
            <w:pPr>
              <w:keepNext w:val="0"/>
              <w:keepLines w:val="0"/>
              <w:suppressLineNumbers w:val="0"/>
              <w:spacing w:before="0" w:beforeAutospacing="0" w:after="0" w:afterAutospacing="0"/>
              <w:ind w:left="0" w:right="0" w:firstLine="420" w:firstLineChars="200"/>
              <w:rPr>
                <w:rFonts w:hint="eastAsia" w:ascii="Times New Roman" w:hAnsi="Times New Roman" w:eastAsia="宋体" w:cs="Times New Roman"/>
                <w:color w:val="auto"/>
                <w:szCs w:val="21"/>
              </w:rPr>
            </w:pPr>
          </w:p>
          <w:p w14:paraId="21CB48D8">
            <w:pPr>
              <w:keepNext w:val="0"/>
              <w:keepLines w:val="0"/>
              <w:suppressLineNumbers w:val="0"/>
              <w:spacing w:before="0" w:beforeAutospacing="0" w:after="0" w:afterAutospacing="0"/>
              <w:ind w:left="0" w:right="0" w:firstLine="420" w:firstLineChars="200"/>
              <w:rPr>
                <w:rFonts w:hint="eastAsia" w:ascii="Times New Roman" w:hAnsi="Times New Roman" w:eastAsia="宋体" w:cs="Times New Roman"/>
                <w:color w:val="auto"/>
                <w:szCs w:val="21"/>
              </w:rPr>
            </w:pPr>
          </w:p>
          <w:p w14:paraId="756B294E">
            <w:pPr>
              <w:keepNext w:val="0"/>
              <w:keepLines w:val="0"/>
              <w:suppressLineNumbers w:val="0"/>
              <w:spacing w:before="0" w:beforeAutospacing="0" w:after="0" w:afterAutospacing="0"/>
              <w:ind w:left="0" w:right="0" w:firstLine="420" w:firstLineChars="200"/>
              <w:rPr>
                <w:rFonts w:hint="eastAsia" w:ascii="Times New Roman" w:hAnsi="Times New Roman" w:eastAsia="宋体" w:cs="Times New Roman"/>
                <w:color w:val="auto"/>
                <w:szCs w:val="21"/>
              </w:rPr>
            </w:pPr>
          </w:p>
          <w:tbl>
            <w:tblPr>
              <w:tblStyle w:val="22"/>
              <w:tblpPr w:leftFromText="180" w:rightFromText="180" w:vertAnchor="text" w:horzAnchor="page" w:tblpXSpec="center" w:tblpY="323"/>
              <w:tblOverlap w:val="never"/>
              <w:tblW w:w="4999"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Layout w:type="fixed"/>
              <w:tblCellMar>
                <w:top w:w="0" w:type="dxa"/>
                <w:left w:w="108" w:type="dxa"/>
                <w:bottom w:w="0" w:type="dxa"/>
                <w:right w:w="108" w:type="dxa"/>
              </w:tblCellMar>
            </w:tblPr>
            <w:tblGrid>
              <w:gridCol w:w="482"/>
              <w:gridCol w:w="485"/>
              <w:gridCol w:w="541"/>
              <w:gridCol w:w="413"/>
              <w:gridCol w:w="637"/>
              <w:gridCol w:w="553"/>
              <w:gridCol w:w="563"/>
              <w:gridCol w:w="563"/>
              <w:gridCol w:w="564"/>
              <w:gridCol w:w="466"/>
              <w:gridCol w:w="466"/>
              <w:gridCol w:w="466"/>
              <w:gridCol w:w="467"/>
              <w:gridCol w:w="460"/>
              <w:gridCol w:w="460"/>
              <w:gridCol w:w="460"/>
              <w:gridCol w:w="462"/>
              <w:gridCol w:w="445"/>
              <w:gridCol w:w="444"/>
              <w:gridCol w:w="444"/>
              <w:gridCol w:w="444"/>
              <w:gridCol w:w="444"/>
              <w:gridCol w:w="470"/>
              <w:gridCol w:w="470"/>
              <w:gridCol w:w="470"/>
              <w:gridCol w:w="471"/>
              <w:gridCol w:w="648"/>
            </w:tblGrid>
            <w:tr w14:paraId="32D1FA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23" w:hRule="atLeast"/>
                <w:jc w:val="center"/>
              </w:trPr>
              <w:tc>
                <w:tcPr>
                  <w:tcW w:w="13258" w:type="dxa"/>
                  <w:gridSpan w:val="27"/>
                  <w:tcBorders>
                    <w:top w:val="nil"/>
                    <w:bottom w:val="single" w:color="auto" w:sz="4" w:space="0"/>
                    <w:right w:val="nil"/>
                  </w:tcBorders>
                  <w:shd w:val="clear" w:color="auto" w:fill="auto"/>
                  <w:vAlign w:val="center"/>
                </w:tcPr>
                <w:p w14:paraId="3A248290">
                  <w:pPr>
                    <w:keepNext w:val="0"/>
                    <w:keepLines w:val="0"/>
                    <w:suppressLineNumbers w:val="0"/>
                    <w:spacing w:before="0" w:beforeAutospacing="0" w:after="0" w:afterAutospacing="0"/>
                    <w:ind w:left="0" w:right="0"/>
                    <w:jc w:val="center"/>
                    <w:rPr>
                      <w:rFonts w:hint="default" w:ascii="Times New Roman" w:hAnsi="Times New Roman" w:eastAsia="宋体" w:cs="Times New Roman"/>
                      <w:b/>
                      <w:bCs w:val="0"/>
                      <w:color w:val="auto"/>
                      <w:sz w:val="21"/>
                      <w:szCs w:val="21"/>
                    </w:rPr>
                  </w:pPr>
                  <w:r>
                    <w:rPr>
                      <w:rFonts w:hint="default" w:ascii="Times New Roman" w:hAnsi="Times New Roman" w:eastAsia="宋体" w:cs="Times New Roman"/>
                      <w:b/>
                      <w:bCs/>
                      <w:color w:val="auto"/>
                      <w:sz w:val="21"/>
                      <w:szCs w:val="21"/>
                    </w:rPr>
                    <w:t>表4-1</w:t>
                  </w:r>
                  <w:r>
                    <w:rPr>
                      <w:rFonts w:hint="eastAsia" w:ascii="Times New Roman" w:hAnsi="Times New Roman" w:eastAsia="宋体" w:cs="Times New Roman"/>
                      <w:b/>
                      <w:bCs/>
                      <w:color w:val="auto"/>
                      <w:sz w:val="21"/>
                      <w:szCs w:val="21"/>
                      <w:lang w:val="en-US" w:eastAsia="zh-CN"/>
                    </w:rPr>
                    <w:t>8</w:t>
                  </w:r>
                  <w:r>
                    <w:rPr>
                      <w:rFonts w:hint="default" w:ascii="Times New Roman" w:hAnsi="Times New Roman" w:eastAsia="宋体" w:cs="Times New Roman"/>
                      <w:b/>
                      <w:bCs/>
                      <w:color w:val="auto"/>
                      <w:sz w:val="21"/>
                      <w:szCs w:val="21"/>
                    </w:rPr>
                    <w:t xml:space="preserve">  工业企业噪声源强调查清单（室内声源）</w:t>
                  </w:r>
                </w:p>
              </w:tc>
            </w:tr>
            <w:tr w14:paraId="7562C0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23" w:hRule="atLeast"/>
                <w:jc w:val="center"/>
              </w:trPr>
              <w:tc>
                <w:tcPr>
                  <w:tcW w:w="482" w:type="dxa"/>
                  <w:vMerge w:val="restart"/>
                  <w:tcBorders>
                    <w:top w:val="single" w:color="auto" w:sz="4" w:space="0"/>
                    <w:bottom w:val="single" w:color="auto" w:sz="4" w:space="0"/>
                  </w:tcBorders>
                  <w:shd w:val="clear" w:color="auto" w:fill="auto"/>
                  <w:vAlign w:val="center"/>
                </w:tcPr>
                <w:p w14:paraId="2A33CDBE">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b/>
                      <w:color w:val="auto"/>
                      <w:sz w:val="21"/>
                      <w:szCs w:val="21"/>
                    </w:rPr>
                    <w:t>序号</w:t>
                  </w:r>
                </w:p>
              </w:tc>
              <w:tc>
                <w:tcPr>
                  <w:tcW w:w="485" w:type="dxa"/>
                  <w:vMerge w:val="restart"/>
                  <w:tcBorders>
                    <w:top w:val="single" w:color="auto" w:sz="4" w:space="0"/>
                    <w:bottom w:val="single" w:color="auto" w:sz="4" w:space="0"/>
                  </w:tcBorders>
                  <w:shd w:val="clear" w:color="auto" w:fill="auto"/>
                  <w:vAlign w:val="center"/>
                </w:tcPr>
                <w:p w14:paraId="229CFCD5">
                  <w:pPr>
                    <w:keepNext w:val="0"/>
                    <w:keepLines w:val="0"/>
                    <w:suppressLineNumbers w:val="0"/>
                    <w:spacing w:before="0" w:beforeAutospacing="0" w:after="0" w:afterAutospacing="0"/>
                    <w:ind w:left="0" w:right="0"/>
                    <w:jc w:val="center"/>
                    <w:rPr>
                      <w:rFonts w:hint="default" w:ascii="Times New Roman" w:hAnsi="Times New Roman" w:eastAsia="宋体" w:cs="Times New Roman"/>
                      <w:b/>
                      <w:bCs/>
                      <w:color w:val="auto"/>
                      <w:sz w:val="21"/>
                      <w:szCs w:val="21"/>
                    </w:rPr>
                  </w:pPr>
                  <w:r>
                    <w:rPr>
                      <w:rFonts w:hint="default" w:ascii="Times New Roman" w:hAnsi="Times New Roman" w:eastAsia="宋体" w:cs="Times New Roman"/>
                      <w:b/>
                      <w:bCs/>
                      <w:color w:val="auto"/>
                      <w:sz w:val="21"/>
                      <w:szCs w:val="21"/>
                    </w:rPr>
                    <w:t>建筑物名称</w:t>
                  </w:r>
                </w:p>
              </w:tc>
              <w:tc>
                <w:tcPr>
                  <w:tcW w:w="541" w:type="dxa"/>
                  <w:vMerge w:val="restart"/>
                  <w:tcBorders>
                    <w:top w:val="single" w:color="auto" w:sz="4" w:space="0"/>
                    <w:bottom w:val="single" w:color="auto" w:sz="4" w:space="0"/>
                  </w:tcBorders>
                  <w:shd w:val="clear" w:color="auto" w:fill="auto"/>
                  <w:vAlign w:val="center"/>
                </w:tcPr>
                <w:p w14:paraId="42F938D8">
                  <w:pPr>
                    <w:keepNext w:val="0"/>
                    <w:keepLines w:val="0"/>
                    <w:suppressLineNumbers w:val="0"/>
                    <w:spacing w:before="0" w:beforeAutospacing="0" w:after="0" w:afterAutospacing="0"/>
                    <w:ind w:left="0" w:right="0"/>
                    <w:jc w:val="center"/>
                    <w:rPr>
                      <w:rFonts w:hint="default" w:ascii="Times New Roman" w:hAnsi="Times New Roman" w:eastAsia="宋体" w:cs="Times New Roman"/>
                      <w:b/>
                      <w:bCs/>
                      <w:color w:val="auto"/>
                      <w:sz w:val="21"/>
                      <w:szCs w:val="21"/>
                    </w:rPr>
                  </w:pPr>
                  <w:r>
                    <w:rPr>
                      <w:rFonts w:hint="default" w:ascii="Times New Roman" w:hAnsi="Times New Roman" w:eastAsia="宋体" w:cs="Times New Roman"/>
                      <w:b/>
                      <w:bCs/>
                      <w:color w:val="auto"/>
                      <w:sz w:val="21"/>
                      <w:szCs w:val="21"/>
                    </w:rPr>
                    <w:t>声源名称</w:t>
                  </w:r>
                </w:p>
              </w:tc>
              <w:tc>
                <w:tcPr>
                  <w:tcW w:w="413" w:type="dxa"/>
                  <w:vMerge w:val="restart"/>
                  <w:tcBorders>
                    <w:top w:val="single" w:color="auto" w:sz="4" w:space="0"/>
                    <w:bottom w:val="single" w:color="auto" w:sz="4" w:space="0"/>
                  </w:tcBorders>
                  <w:shd w:val="clear" w:color="auto" w:fill="auto"/>
                  <w:vAlign w:val="center"/>
                </w:tcPr>
                <w:p w14:paraId="287C3387">
                  <w:pPr>
                    <w:keepNext w:val="0"/>
                    <w:keepLines w:val="0"/>
                    <w:suppressLineNumbers w:val="0"/>
                    <w:spacing w:before="0" w:beforeAutospacing="0" w:after="0" w:afterAutospacing="0"/>
                    <w:ind w:left="0" w:right="0"/>
                    <w:jc w:val="center"/>
                    <w:rPr>
                      <w:rFonts w:hint="default" w:ascii="Times New Roman" w:hAnsi="Times New Roman" w:eastAsia="宋体" w:cs="Times New Roman"/>
                      <w:b/>
                      <w:bCs/>
                      <w:color w:val="auto"/>
                      <w:sz w:val="21"/>
                      <w:szCs w:val="21"/>
                    </w:rPr>
                  </w:pPr>
                  <w:r>
                    <w:rPr>
                      <w:rFonts w:hint="default" w:ascii="Times New Roman" w:hAnsi="Times New Roman" w:eastAsia="宋体" w:cs="Times New Roman"/>
                      <w:b/>
                      <w:bCs/>
                      <w:color w:val="auto"/>
                      <w:sz w:val="21"/>
                      <w:szCs w:val="21"/>
                    </w:rPr>
                    <w:t>型号</w:t>
                  </w:r>
                </w:p>
              </w:tc>
              <w:tc>
                <w:tcPr>
                  <w:tcW w:w="637" w:type="dxa"/>
                  <w:tcBorders>
                    <w:top w:val="single" w:color="auto" w:sz="4" w:space="0"/>
                    <w:bottom w:val="single" w:color="auto" w:sz="4" w:space="0"/>
                  </w:tcBorders>
                  <w:shd w:val="clear" w:color="auto" w:fill="auto"/>
                  <w:vAlign w:val="center"/>
                </w:tcPr>
                <w:p w14:paraId="4DAB0CF6">
                  <w:pPr>
                    <w:keepNext w:val="0"/>
                    <w:keepLines w:val="0"/>
                    <w:suppressLineNumbers w:val="0"/>
                    <w:spacing w:before="0" w:beforeAutospacing="0" w:after="0" w:afterAutospacing="0"/>
                    <w:ind w:left="0" w:right="0"/>
                    <w:jc w:val="center"/>
                    <w:rPr>
                      <w:rFonts w:hint="default" w:ascii="Times New Roman" w:hAnsi="Times New Roman" w:eastAsia="宋体" w:cs="Times New Roman"/>
                      <w:b/>
                      <w:bCs/>
                      <w:color w:val="auto"/>
                      <w:sz w:val="21"/>
                      <w:szCs w:val="21"/>
                      <w:lang w:eastAsia="zh-CN"/>
                    </w:rPr>
                  </w:pPr>
                  <w:r>
                    <w:rPr>
                      <w:rFonts w:hint="default" w:ascii="Times New Roman" w:hAnsi="Times New Roman" w:eastAsia="宋体" w:cs="Times New Roman"/>
                      <w:b/>
                      <w:bCs/>
                      <w:color w:val="auto"/>
                      <w:sz w:val="21"/>
                      <w:szCs w:val="21"/>
                      <w:lang w:eastAsia="zh-CN"/>
                    </w:rPr>
                    <w:t>声源源强</w:t>
                  </w:r>
                </w:p>
              </w:tc>
              <w:tc>
                <w:tcPr>
                  <w:tcW w:w="553" w:type="dxa"/>
                  <w:vMerge w:val="restart"/>
                  <w:tcBorders>
                    <w:top w:val="single" w:color="auto" w:sz="4" w:space="0"/>
                    <w:bottom w:val="single" w:color="auto" w:sz="4" w:space="0"/>
                  </w:tcBorders>
                  <w:shd w:val="clear" w:color="auto" w:fill="auto"/>
                  <w:vAlign w:val="center"/>
                </w:tcPr>
                <w:p w14:paraId="1CB4E07E">
                  <w:pPr>
                    <w:keepNext w:val="0"/>
                    <w:keepLines w:val="0"/>
                    <w:suppressLineNumbers w:val="0"/>
                    <w:spacing w:before="0" w:beforeAutospacing="0" w:after="0" w:afterAutospacing="0"/>
                    <w:ind w:left="0" w:right="0"/>
                    <w:jc w:val="center"/>
                    <w:rPr>
                      <w:rFonts w:hint="default" w:ascii="Times New Roman" w:hAnsi="Times New Roman" w:eastAsia="宋体" w:cs="Times New Roman"/>
                      <w:b/>
                      <w:bCs/>
                      <w:color w:val="auto"/>
                      <w:sz w:val="21"/>
                      <w:szCs w:val="21"/>
                    </w:rPr>
                  </w:pPr>
                  <w:r>
                    <w:rPr>
                      <w:rFonts w:hint="default" w:ascii="Times New Roman" w:hAnsi="Times New Roman" w:eastAsia="宋体" w:cs="Times New Roman"/>
                      <w:b/>
                      <w:bCs/>
                      <w:color w:val="auto"/>
                      <w:sz w:val="21"/>
                      <w:szCs w:val="21"/>
                    </w:rPr>
                    <w:t>声源控制措施</w:t>
                  </w:r>
                </w:p>
              </w:tc>
              <w:tc>
                <w:tcPr>
                  <w:tcW w:w="1690" w:type="dxa"/>
                  <w:gridSpan w:val="3"/>
                  <w:tcBorders>
                    <w:top w:val="single" w:color="auto" w:sz="4" w:space="0"/>
                    <w:bottom w:val="single" w:color="auto" w:sz="4" w:space="0"/>
                  </w:tcBorders>
                  <w:shd w:val="clear" w:color="auto" w:fill="auto"/>
                  <w:vAlign w:val="center"/>
                </w:tcPr>
                <w:p w14:paraId="0B6315F5">
                  <w:pPr>
                    <w:keepNext w:val="0"/>
                    <w:keepLines w:val="0"/>
                    <w:suppressLineNumbers w:val="0"/>
                    <w:spacing w:before="0" w:beforeAutospacing="0" w:after="0" w:afterAutospacing="0"/>
                    <w:ind w:left="0" w:right="0"/>
                    <w:jc w:val="center"/>
                    <w:rPr>
                      <w:rFonts w:hint="default" w:ascii="Times New Roman" w:hAnsi="Times New Roman" w:eastAsia="宋体" w:cs="Times New Roman"/>
                      <w:b/>
                      <w:bCs/>
                      <w:color w:val="auto"/>
                      <w:sz w:val="21"/>
                      <w:szCs w:val="21"/>
                    </w:rPr>
                  </w:pPr>
                  <w:r>
                    <w:rPr>
                      <w:rFonts w:hint="default" w:ascii="Times New Roman" w:hAnsi="Times New Roman" w:eastAsia="宋体" w:cs="Times New Roman"/>
                      <w:b/>
                      <w:bCs/>
                      <w:color w:val="auto"/>
                      <w:sz w:val="21"/>
                      <w:szCs w:val="21"/>
                    </w:rPr>
                    <w:t>空间相对位置/m</w:t>
                  </w:r>
                </w:p>
              </w:tc>
              <w:tc>
                <w:tcPr>
                  <w:tcW w:w="1865" w:type="dxa"/>
                  <w:gridSpan w:val="4"/>
                  <w:tcBorders>
                    <w:top w:val="single" w:color="auto" w:sz="4" w:space="0"/>
                    <w:bottom w:val="single" w:color="auto" w:sz="4" w:space="0"/>
                  </w:tcBorders>
                  <w:shd w:val="clear" w:color="auto" w:fill="auto"/>
                  <w:vAlign w:val="center"/>
                </w:tcPr>
                <w:p w14:paraId="5BBBB02A">
                  <w:pPr>
                    <w:keepNext w:val="0"/>
                    <w:keepLines w:val="0"/>
                    <w:suppressLineNumbers w:val="0"/>
                    <w:spacing w:before="0" w:beforeAutospacing="0" w:after="0" w:afterAutospacing="0"/>
                    <w:ind w:left="0" w:right="0"/>
                    <w:jc w:val="center"/>
                    <w:rPr>
                      <w:rFonts w:hint="default" w:ascii="Times New Roman" w:hAnsi="Times New Roman" w:eastAsia="宋体" w:cs="Times New Roman"/>
                      <w:b/>
                      <w:bCs/>
                      <w:color w:val="auto"/>
                      <w:sz w:val="21"/>
                      <w:szCs w:val="21"/>
                    </w:rPr>
                  </w:pPr>
                  <w:r>
                    <w:rPr>
                      <w:rFonts w:hint="default" w:ascii="Times New Roman" w:hAnsi="Times New Roman" w:eastAsia="宋体" w:cs="Times New Roman"/>
                      <w:b/>
                      <w:bCs/>
                      <w:color w:val="auto"/>
                      <w:sz w:val="21"/>
                      <w:szCs w:val="21"/>
                    </w:rPr>
                    <w:t>距室内边界距离/m</w:t>
                  </w:r>
                </w:p>
              </w:tc>
              <w:tc>
                <w:tcPr>
                  <w:tcW w:w="1842" w:type="dxa"/>
                  <w:gridSpan w:val="4"/>
                  <w:tcBorders>
                    <w:top w:val="single" w:color="auto" w:sz="4" w:space="0"/>
                    <w:bottom w:val="single" w:color="auto" w:sz="4" w:space="0"/>
                  </w:tcBorders>
                  <w:shd w:val="clear" w:color="auto" w:fill="auto"/>
                  <w:vAlign w:val="center"/>
                </w:tcPr>
                <w:p w14:paraId="02690CC6">
                  <w:pPr>
                    <w:keepNext w:val="0"/>
                    <w:keepLines w:val="0"/>
                    <w:suppressLineNumbers w:val="0"/>
                    <w:spacing w:before="0" w:beforeAutospacing="0" w:after="0" w:afterAutospacing="0"/>
                    <w:ind w:left="0" w:right="0"/>
                    <w:jc w:val="center"/>
                    <w:rPr>
                      <w:rFonts w:hint="eastAsia" w:ascii="Times New Roman" w:hAnsi="Times New Roman" w:eastAsia="宋体" w:cs="Times New Roman"/>
                      <w:b/>
                      <w:bCs/>
                      <w:color w:val="auto"/>
                      <w:sz w:val="21"/>
                      <w:szCs w:val="21"/>
                      <w:lang w:eastAsia="zh-CN"/>
                    </w:rPr>
                  </w:pPr>
                  <w:r>
                    <w:rPr>
                      <w:rFonts w:hint="default" w:ascii="Times New Roman" w:hAnsi="Times New Roman" w:eastAsia="宋体" w:cs="Times New Roman"/>
                      <w:b/>
                      <w:bCs/>
                      <w:color w:val="auto"/>
                      <w:sz w:val="21"/>
                      <w:szCs w:val="21"/>
                    </w:rPr>
                    <w:t>室内边界声级/dB</w:t>
                  </w:r>
                  <w:r>
                    <w:rPr>
                      <w:rFonts w:hint="eastAsia" w:ascii="Times New Roman" w:hAnsi="Times New Roman" w:eastAsia="宋体" w:cs="Times New Roman"/>
                      <w:b/>
                      <w:bCs/>
                      <w:color w:val="auto"/>
                      <w:sz w:val="21"/>
                      <w:szCs w:val="21"/>
                      <w:lang w:eastAsia="zh-CN"/>
                    </w:rPr>
                    <w:t>（</w:t>
                  </w:r>
                  <w:r>
                    <w:rPr>
                      <w:rFonts w:hint="default" w:ascii="Times New Roman" w:hAnsi="Times New Roman" w:eastAsia="宋体" w:cs="Times New Roman"/>
                      <w:b/>
                      <w:bCs/>
                      <w:color w:val="auto"/>
                      <w:sz w:val="21"/>
                      <w:szCs w:val="21"/>
                    </w:rPr>
                    <w:t>A</w:t>
                  </w:r>
                  <w:r>
                    <w:rPr>
                      <w:rFonts w:hint="eastAsia" w:ascii="Times New Roman" w:hAnsi="Times New Roman" w:eastAsia="宋体" w:cs="Times New Roman"/>
                      <w:b/>
                      <w:bCs/>
                      <w:color w:val="auto"/>
                      <w:sz w:val="21"/>
                      <w:szCs w:val="21"/>
                      <w:lang w:eastAsia="zh-CN"/>
                    </w:rPr>
                    <w:t>）</w:t>
                  </w:r>
                </w:p>
              </w:tc>
              <w:tc>
                <w:tcPr>
                  <w:tcW w:w="445" w:type="dxa"/>
                  <w:vMerge w:val="restart"/>
                  <w:tcBorders>
                    <w:top w:val="single" w:color="auto" w:sz="4" w:space="0"/>
                    <w:bottom w:val="single" w:color="auto" w:sz="4" w:space="0"/>
                  </w:tcBorders>
                  <w:shd w:val="clear" w:color="auto" w:fill="auto"/>
                  <w:vAlign w:val="center"/>
                </w:tcPr>
                <w:p w14:paraId="76F77BF9">
                  <w:pPr>
                    <w:keepNext w:val="0"/>
                    <w:keepLines w:val="0"/>
                    <w:suppressLineNumbers w:val="0"/>
                    <w:spacing w:before="0" w:beforeAutospacing="0" w:after="0" w:afterAutospacing="0"/>
                    <w:ind w:left="0" w:right="0"/>
                    <w:jc w:val="center"/>
                    <w:rPr>
                      <w:rFonts w:hint="default" w:ascii="Times New Roman" w:hAnsi="Times New Roman" w:eastAsia="宋体" w:cs="Times New Roman"/>
                      <w:b/>
                      <w:bCs/>
                      <w:color w:val="auto"/>
                      <w:sz w:val="21"/>
                      <w:szCs w:val="21"/>
                    </w:rPr>
                  </w:pPr>
                  <w:r>
                    <w:rPr>
                      <w:rFonts w:hint="default" w:ascii="Times New Roman" w:hAnsi="Times New Roman" w:eastAsia="宋体" w:cs="Times New Roman"/>
                      <w:b/>
                      <w:bCs/>
                      <w:color w:val="auto"/>
                      <w:sz w:val="21"/>
                      <w:szCs w:val="21"/>
                    </w:rPr>
                    <w:t>运行时段</w:t>
                  </w:r>
                </w:p>
              </w:tc>
              <w:tc>
                <w:tcPr>
                  <w:tcW w:w="1776" w:type="dxa"/>
                  <w:gridSpan w:val="4"/>
                  <w:tcBorders>
                    <w:top w:val="single" w:color="auto" w:sz="4" w:space="0"/>
                    <w:bottom w:val="single" w:color="auto" w:sz="4" w:space="0"/>
                  </w:tcBorders>
                  <w:shd w:val="clear" w:color="auto" w:fill="auto"/>
                  <w:vAlign w:val="center"/>
                </w:tcPr>
                <w:p w14:paraId="291CA4AB">
                  <w:pPr>
                    <w:keepNext w:val="0"/>
                    <w:keepLines w:val="0"/>
                    <w:suppressLineNumbers w:val="0"/>
                    <w:spacing w:before="0" w:beforeAutospacing="0" w:after="0" w:afterAutospacing="0"/>
                    <w:ind w:left="0" w:right="0"/>
                    <w:jc w:val="center"/>
                    <w:rPr>
                      <w:rFonts w:hint="eastAsia" w:ascii="Times New Roman" w:hAnsi="Times New Roman" w:eastAsia="宋体" w:cs="Times New Roman"/>
                      <w:b/>
                      <w:bCs/>
                      <w:color w:val="auto"/>
                      <w:sz w:val="21"/>
                      <w:szCs w:val="21"/>
                      <w:lang w:val="en-US" w:eastAsia="zh-CN"/>
                    </w:rPr>
                  </w:pPr>
                  <w:r>
                    <w:rPr>
                      <w:rFonts w:hint="default" w:ascii="Times New Roman" w:hAnsi="Times New Roman" w:eastAsia="宋体" w:cs="Times New Roman"/>
                      <w:b/>
                      <w:bCs/>
                      <w:color w:val="auto"/>
                      <w:sz w:val="21"/>
                      <w:szCs w:val="21"/>
                    </w:rPr>
                    <w:t>建筑物插入损失 / dB</w:t>
                  </w:r>
                  <w:r>
                    <w:rPr>
                      <w:rFonts w:hint="eastAsia" w:ascii="Times New Roman" w:hAnsi="Times New Roman" w:eastAsia="宋体" w:cs="Times New Roman"/>
                      <w:b/>
                      <w:bCs/>
                      <w:color w:val="auto"/>
                      <w:sz w:val="21"/>
                      <w:szCs w:val="21"/>
                      <w:lang w:eastAsia="zh-CN"/>
                    </w:rPr>
                    <w:t>（</w:t>
                  </w:r>
                  <w:r>
                    <w:rPr>
                      <w:rFonts w:hint="default" w:ascii="Times New Roman" w:hAnsi="Times New Roman" w:eastAsia="宋体" w:cs="Times New Roman"/>
                      <w:b/>
                      <w:bCs/>
                      <w:color w:val="auto"/>
                      <w:sz w:val="21"/>
                      <w:szCs w:val="21"/>
                    </w:rPr>
                    <w:t>A</w:t>
                  </w:r>
                  <w:r>
                    <w:rPr>
                      <w:rFonts w:hint="eastAsia" w:ascii="Times New Roman" w:hAnsi="Times New Roman" w:eastAsia="宋体" w:cs="Times New Roman"/>
                      <w:b/>
                      <w:bCs/>
                      <w:color w:val="auto"/>
                      <w:sz w:val="21"/>
                      <w:szCs w:val="21"/>
                      <w:lang w:eastAsia="zh-CN"/>
                    </w:rPr>
                    <w:t>）</w:t>
                  </w:r>
                </w:p>
              </w:tc>
              <w:tc>
                <w:tcPr>
                  <w:tcW w:w="2529" w:type="dxa"/>
                  <w:gridSpan w:val="5"/>
                  <w:tcBorders>
                    <w:top w:val="single" w:color="auto" w:sz="4" w:space="0"/>
                    <w:bottom w:val="single" w:color="auto" w:sz="4" w:space="0"/>
                  </w:tcBorders>
                  <w:shd w:val="clear" w:color="auto" w:fill="auto"/>
                  <w:vAlign w:val="center"/>
                </w:tcPr>
                <w:p w14:paraId="14438D9D">
                  <w:pPr>
                    <w:keepNext w:val="0"/>
                    <w:keepLines w:val="0"/>
                    <w:suppressLineNumbers w:val="0"/>
                    <w:spacing w:before="0" w:beforeAutospacing="0" w:after="0" w:afterAutospacing="0"/>
                    <w:ind w:left="0" w:right="0"/>
                    <w:jc w:val="center"/>
                    <w:rPr>
                      <w:rFonts w:hint="eastAsia" w:ascii="Times New Roman" w:hAnsi="Times New Roman" w:eastAsia="宋体" w:cs="Times New Roman"/>
                      <w:b/>
                      <w:bCs/>
                      <w:color w:val="auto"/>
                      <w:sz w:val="21"/>
                      <w:szCs w:val="21"/>
                      <w:lang w:eastAsia="zh-CN"/>
                    </w:rPr>
                  </w:pPr>
                  <w:r>
                    <w:rPr>
                      <w:rFonts w:hint="default" w:ascii="Times New Roman" w:hAnsi="Times New Roman" w:eastAsia="宋体" w:cs="Times New Roman"/>
                      <w:b/>
                      <w:bCs/>
                      <w:color w:val="auto"/>
                      <w:sz w:val="21"/>
                      <w:szCs w:val="21"/>
                    </w:rPr>
                    <w:t>建筑物外噪声声压级/dB</w:t>
                  </w:r>
                  <w:r>
                    <w:rPr>
                      <w:rFonts w:hint="eastAsia" w:ascii="Times New Roman" w:hAnsi="Times New Roman" w:eastAsia="宋体" w:cs="Times New Roman"/>
                      <w:b/>
                      <w:bCs/>
                      <w:color w:val="auto"/>
                      <w:sz w:val="21"/>
                      <w:szCs w:val="21"/>
                      <w:lang w:eastAsia="zh-CN"/>
                    </w:rPr>
                    <w:t>（</w:t>
                  </w:r>
                  <w:r>
                    <w:rPr>
                      <w:rFonts w:hint="default" w:ascii="Times New Roman" w:hAnsi="Times New Roman" w:eastAsia="宋体" w:cs="Times New Roman"/>
                      <w:b/>
                      <w:bCs/>
                      <w:color w:val="auto"/>
                      <w:sz w:val="21"/>
                      <w:szCs w:val="21"/>
                    </w:rPr>
                    <w:t>A</w:t>
                  </w:r>
                  <w:r>
                    <w:rPr>
                      <w:rFonts w:hint="eastAsia" w:ascii="Times New Roman" w:hAnsi="Times New Roman" w:eastAsia="宋体" w:cs="Times New Roman"/>
                      <w:b/>
                      <w:bCs/>
                      <w:color w:val="auto"/>
                      <w:sz w:val="21"/>
                      <w:szCs w:val="21"/>
                      <w:lang w:eastAsia="zh-CN"/>
                    </w:rPr>
                    <w:t>）</w:t>
                  </w:r>
                </w:p>
              </w:tc>
            </w:tr>
            <w:tr w14:paraId="3F27B2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23" w:hRule="atLeast"/>
                <w:jc w:val="center"/>
              </w:trPr>
              <w:tc>
                <w:tcPr>
                  <w:tcW w:w="482" w:type="dxa"/>
                  <w:vMerge w:val="continue"/>
                  <w:tcBorders>
                    <w:top w:val="single" w:color="auto" w:sz="4" w:space="0"/>
                  </w:tcBorders>
                  <w:shd w:val="clear" w:color="auto" w:fill="auto"/>
                  <w:vAlign w:val="center"/>
                </w:tcPr>
                <w:p w14:paraId="0DDCC388">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 w:val="21"/>
                      <w:szCs w:val="21"/>
                      <w:lang w:val="en-US" w:eastAsia="zh-CN"/>
                    </w:rPr>
                  </w:pPr>
                </w:p>
              </w:tc>
              <w:tc>
                <w:tcPr>
                  <w:tcW w:w="485" w:type="dxa"/>
                  <w:vMerge w:val="continue"/>
                  <w:tcBorders>
                    <w:top w:val="single" w:color="auto" w:sz="4" w:space="0"/>
                  </w:tcBorders>
                  <w:shd w:val="clear" w:color="auto" w:fill="auto"/>
                  <w:tcMar>
                    <w:top w:w="0" w:type="dxa"/>
                    <w:left w:w="0" w:type="dxa"/>
                    <w:bottom w:w="0" w:type="dxa"/>
                    <w:right w:w="0" w:type="dxa"/>
                  </w:tcMar>
                  <w:vAlign w:val="center"/>
                </w:tcPr>
                <w:p w14:paraId="79A9AC7D">
                  <w:pPr>
                    <w:keepNext w:val="0"/>
                    <w:keepLines w:val="0"/>
                    <w:suppressLineNumbers w:val="0"/>
                    <w:spacing w:before="0" w:beforeAutospacing="0" w:after="0" w:afterAutospacing="0"/>
                    <w:ind w:left="0" w:right="0"/>
                    <w:jc w:val="center"/>
                    <w:rPr>
                      <w:rFonts w:hint="default" w:ascii="Times New Roman" w:hAnsi="Times New Roman" w:eastAsia="宋体" w:cs="Times New Roman"/>
                      <w:b/>
                      <w:bCs/>
                      <w:color w:val="auto"/>
                      <w:sz w:val="21"/>
                      <w:szCs w:val="21"/>
                    </w:rPr>
                  </w:pPr>
                </w:p>
              </w:tc>
              <w:tc>
                <w:tcPr>
                  <w:tcW w:w="541" w:type="dxa"/>
                  <w:vMerge w:val="continue"/>
                  <w:tcBorders>
                    <w:top w:val="single" w:color="auto" w:sz="4" w:space="0"/>
                  </w:tcBorders>
                  <w:shd w:val="clear" w:color="auto" w:fill="auto"/>
                  <w:tcMar>
                    <w:top w:w="0" w:type="dxa"/>
                    <w:left w:w="0" w:type="dxa"/>
                    <w:bottom w:w="0" w:type="dxa"/>
                    <w:right w:w="0" w:type="dxa"/>
                  </w:tcMar>
                  <w:vAlign w:val="center"/>
                </w:tcPr>
                <w:p w14:paraId="00526C94">
                  <w:pPr>
                    <w:keepNext w:val="0"/>
                    <w:keepLines w:val="0"/>
                    <w:suppressLineNumbers w:val="0"/>
                    <w:spacing w:before="0" w:beforeAutospacing="0" w:after="0" w:afterAutospacing="0"/>
                    <w:ind w:left="0" w:right="0"/>
                    <w:jc w:val="center"/>
                    <w:rPr>
                      <w:rFonts w:hint="default" w:ascii="Times New Roman" w:hAnsi="Times New Roman" w:eastAsia="宋体" w:cs="Times New Roman"/>
                      <w:b/>
                      <w:bCs/>
                      <w:color w:val="auto"/>
                      <w:sz w:val="21"/>
                      <w:szCs w:val="21"/>
                    </w:rPr>
                  </w:pPr>
                </w:p>
              </w:tc>
              <w:tc>
                <w:tcPr>
                  <w:tcW w:w="413" w:type="dxa"/>
                  <w:vMerge w:val="continue"/>
                  <w:tcBorders>
                    <w:top w:val="single" w:color="auto" w:sz="4" w:space="0"/>
                  </w:tcBorders>
                  <w:shd w:val="clear" w:color="auto" w:fill="auto"/>
                  <w:tcMar>
                    <w:top w:w="0" w:type="dxa"/>
                    <w:left w:w="0" w:type="dxa"/>
                    <w:bottom w:w="0" w:type="dxa"/>
                    <w:right w:w="0" w:type="dxa"/>
                  </w:tcMar>
                  <w:vAlign w:val="center"/>
                </w:tcPr>
                <w:p w14:paraId="53C70378">
                  <w:pPr>
                    <w:keepNext w:val="0"/>
                    <w:keepLines w:val="0"/>
                    <w:suppressLineNumbers w:val="0"/>
                    <w:spacing w:before="0" w:beforeAutospacing="0" w:after="0" w:afterAutospacing="0"/>
                    <w:ind w:left="0" w:right="0"/>
                    <w:jc w:val="center"/>
                    <w:rPr>
                      <w:rFonts w:hint="default" w:ascii="Times New Roman" w:hAnsi="Times New Roman" w:eastAsia="宋体" w:cs="Times New Roman"/>
                      <w:b/>
                      <w:bCs/>
                      <w:color w:val="auto"/>
                      <w:sz w:val="21"/>
                      <w:szCs w:val="21"/>
                    </w:rPr>
                  </w:pPr>
                </w:p>
              </w:tc>
              <w:tc>
                <w:tcPr>
                  <w:tcW w:w="637" w:type="dxa"/>
                  <w:tcBorders>
                    <w:top w:val="single" w:color="auto" w:sz="4" w:space="0"/>
                  </w:tcBorders>
                  <w:shd w:val="clear" w:color="auto" w:fill="auto"/>
                  <w:tcMar>
                    <w:top w:w="0" w:type="dxa"/>
                    <w:left w:w="0" w:type="dxa"/>
                    <w:bottom w:w="0" w:type="dxa"/>
                    <w:right w:w="0" w:type="dxa"/>
                  </w:tcMar>
                  <w:vAlign w:val="center"/>
                </w:tcPr>
                <w:p w14:paraId="03DB67EB">
                  <w:pPr>
                    <w:keepNext w:val="0"/>
                    <w:keepLines w:val="0"/>
                    <w:suppressLineNumbers w:val="0"/>
                    <w:spacing w:before="0" w:beforeAutospacing="0" w:after="0" w:afterAutospacing="0"/>
                    <w:ind w:left="0" w:right="0"/>
                    <w:jc w:val="center"/>
                    <w:rPr>
                      <w:rFonts w:hint="default" w:ascii="Times New Roman" w:hAnsi="Times New Roman" w:eastAsia="宋体" w:cs="Times New Roman"/>
                      <w:b/>
                      <w:bCs/>
                      <w:color w:val="auto"/>
                      <w:sz w:val="21"/>
                      <w:szCs w:val="21"/>
                    </w:rPr>
                  </w:pPr>
                  <w:r>
                    <w:rPr>
                      <w:rFonts w:hint="default" w:ascii="Times New Roman" w:hAnsi="Times New Roman" w:eastAsia="宋体" w:cs="Times New Roman"/>
                      <w:b/>
                      <w:bCs/>
                      <w:color w:val="auto"/>
                      <w:sz w:val="21"/>
                      <w:szCs w:val="21"/>
                    </w:rPr>
                    <w:t>（声压级/距声源距离）/（dB</w:t>
                  </w:r>
                  <w:r>
                    <w:rPr>
                      <w:rFonts w:hint="eastAsia" w:ascii="Times New Roman" w:hAnsi="Times New Roman" w:eastAsia="宋体" w:cs="Times New Roman"/>
                      <w:b/>
                      <w:bCs/>
                      <w:color w:val="auto"/>
                      <w:sz w:val="21"/>
                      <w:szCs w:val="21"/>
                      <w:lang w:eastAsia="zh-CN"/>
                    </w:rPr>
                    <w:t>（</w:t>
                  </w:r>
                  <w:r>
                    <w:rPr>
                      <w:rFonts w:hint="default" w:ascii="Times New Roman" w:hAnsi="Times New Roman" w:eastAsia="宋体" w:cs="Times New Roman"/>
                      <w:b/>
                      <w:bCs/>
                      <w:color w:val="auto"/>
                      <w:sz w:val="21"/>
                      <w:szCs w:val="21"/>
                    </w:rPr>
                    <w:t>A</w:t>
                  </w:r>
                  <w:r>
                    <w:rPr>
                      <w:rFonts w:hint="eastAsia" w:ascii="Times New Roman" w:hAnsi="Times New Roman" w:eastAsia="宋体" w:cs="Times New Roman"/>
                      <w:b/>
                      <w:bCs/>
                      <w:color w:val="auto"/>
                      <w:sz w:val="21"/>
                      <w:szCs w:val="21"/>
                      <w:lang w:eastAsia="zh-CN"/>
                    </w:rPr>
                    <w:t>）</w:t>
                  </w:r>
                  <w:r>
                    <w:rPr>
                      <w:rFonts w:hint="default" w:ascii="Times New Roman" w:hAnsi="Times New Roman" w:eastAsia="宋体" w:cs="Times New Roman"/>
                      <w:b/>
                      <w:bCs/>
                      <w:color w:val="auto"/>
                      <w:sz w:val="21"/>
                      <w:szCs w:val="21"/>
                    </w:rPr>
                    <w:t>/m）</w:t>
                  </w:r>
                </w:p>
              </w:tc>
              <w:tc>
                <w:tcPr>
                  <w:tcW w:w="553" w:type="dxa"/>
                  <w:vMerge w:val="continue"/>
                  <w:tcBorders>
                    <w:top w:val="single" w:color="auto" w:sz="4" w:space="0"/>
                  </w:tcBorders>
                  <w:shd w:val="clear" w:color="auto" w:fill="auto"/>
                  <w:tcMar>
                    <w:top w:w="0" w:type="dxa"/>
                    <w:left w:w="0" w:type="dxa"/>
                    <w:bottom w:w="0" w:type="dxa"/>
                    <w:right w:w="0" w:type="dxa"/>
                  </w:tcMar>
                  <w:vAlign w:val="center"/>
                </w:tcPr>
                <w:p w14:paraId="1CC4CF9E">
                  <w:pPr>
                    <w:keepNext w:val="0"/>
                    <w:keepLines w:val="0"/>
                    <w:suppressLineNumbers w:val="0"/>
                    <w:spacing w:before="0" w:beforeAutospacing="0" w:after="0" w:afterAutospacing="0"/>
                    <w:ind w:left="0" w:right="0"/>
                    <w:jc w:val="center"/>
                    <w:rPr>
                      <w:rFonts w:hint="default" w:ascii="Times New Roman" w:hAnsi="Times New Roman" w:eastAsia="宋体" w:cs="Times New Roman"/>
                      <w:b/>
                      <w:bCs/>
                      <w:color w:val="auto"/>
                      <w:sz w:val="21"/>
                      <w:szCs w:val="21"/>
                    </w:rPr>
                  </w:pPr>
                </w:p>
              </w:tc>
              <w:tc>
                <w:tcPr>
                  <w:tcW w:w="563" w:type="dxa"/>
                  <w:tcBorders>
                    <w:top w:val="single" w:color="auto" w:sz="4" w:space="0"/>
                  </w:tcBorders>
                  <w:shd w:val="clear" w:color="auto" w:fill="auto"/>
                  <w:tcMar>
                    <w:top w:w="0" w:type="dxa"/>
                    <w:left w:w="0" w:type="dxa"/>
                    <w:bottom w:w="0" w:type="dxa"/>
                    <w:right w:w="0" w:type="dxa"/>
                  </w:tcMar>
                  <w:vAlign w:val="center"/>
                </w:tcPr>
                <w:p w14:paraId="39B5881C">
                  <w:pPr>
                    <w:keepNext w:val="0"/>
                    <w:keepLines w:val="0"/>
                    <w:suppressLineNumbers w:val="0"/>
                    <w:spacing w:before="0" w:beforeAutospacing="0" w:after="0" w:afterAutospacing="0"/>
                    <w:ind w:left="0" w:right="0"/>
                    <w:jc w:val="center"/>
                    <w:rPr>
                      <w:rFonts w:hint="default" w:ascii="Times New Roman" w:hAnsi="Times New Roman" w:eastAsia="宋体" w:cs="Times New Roman"/>
                      <w:b/>
                      <w:bCs/>
                      <w:color w:val="auto"/>
                      <w:sz w:val="21"/>
                      <w:szCs w:val="21"/>
                    </w:rPr>
                  </w:pPr>
                  <w:r>
                    <w:rPr>
                      <w:rFonts w:hint="default" w:ascii="Times New Roman" w:hAnsi="Times New Roman" w:eastAsia="宋体" w:cs="Times New Roman"/>
                      <w:b/>
                      <w:bCs/>
                      <w:color w:val="auto"/>
                      <w:sz w:val="21"/>
                      <w:szCs w:val="21"/>
                    </w:rPr>
                    <w:t>X</w:t>
                  </w:r>
                </w:p>
              </w:tc>
              <w:tc>
                <w:tcPr>
                  <w:tcW w:w="563" w:type="dxa"/>
                  <w:tcBorders>
                    <w:top w:val="single" w:color="auto" w:sz="4" w:space="0"/>
                  </w:tcBorders>
                  <w:shd w:val="clear" w:color="auto" w:fill="auto"/>
                  <w:tcMar>
                    <w:top w:w="0" w:type="dxa"/>
                    <w:left w:w="0" w:type="dxa"/>
                    <w:bottom w:w="0" w:type="dxa"/>
                    <w:right w:w="0" w:type="dxa"/>
                  </w:tcMar>
                  <w:vAlign w:val="center"/>
                </w:tcPr>
                <w:p w14:paraId="08B9B187">
                  <w:pPr>
                    <w:keepNext w:val="0"/>
                    <w:keepLines w:val="0"/>
                    <w:suppressLineNumbers w:val="0"/>
                    <w:spacing w:before="0" w:beforeAutospacing="0" w:after="0" w:afterAutospacing="0"/>
                    <w:ind w:left="0" w:right="0"/>
                    <w:jc w:val="center"/>
                    <w:rPr>
                      <w:rFonts w:hint="default" w:ascii="Times New Roman" w:hAnsi="Times New Roman" w:eastAsia="宋体" w:cs="Times New Roman"/>
                      <w:b/>
                      <w:bCs/>
                      <w:color w:val="auto"/>
                      <w:sz w:val="21"/>
                      <w:szCs w:val="21"/>
                    </w:rPr>
                  </w:pPr>
                  <w:r>
                    <w:rPr>
                      <w:rFonts w:hint="default" w:ascii="Times New Roman" w:hAnsi="Times New Roman" w:eastAsia="宋体" w:cs="Times New Roman"/>
                      <w:b/>
                      <w:bCs/>
                      <w:color w:val="auto"/>
                      <w:sz w:val="21"/>
                      <w:szCs w:val="21"/>
                    </w:rPr>
                    <w:t>Y</w:t>
                  </w:r>
                </w:p>
              </w:tc>
              <w:tc>
                <w:tcPr>
                  <w:tcW w:w="564" w:type="dxa"/>
                  <w:tcBorders>
                    <w:top w:val="single" w:color="auto" w:sz="4" w:space="0"/>
                  </w:tcBorders>
                  <w:shd w:val="clear" w:color="auto" w:fill="auto"/>
                  <w:tcMar>
                    <w:top w:w="0" w:type="dxa"/>
                    <w:left w:w="0" w:type="dxa"/>
                    <w:bottom w:w="0" w:type="dxa"/>
                    <w:right w:w="0" w:type="dxa"/>
                  </w:tcMar>
                  <w:vAlign w:val="center"/>
                </w:tcPr>
                <w:p w14:paraId="40F54FBB">
                  <w:pPr>
                    <w:keepNext w:val="0"/>
                    <w:keepLines w:val="0"/>
                    <w:suppressLineNumbers w:val="0"/>
                    <w:spacing w:before="0" w:beforeAutospacing="0" w:after="0" w:afterAutospacing="0"/>
                    <w:ind w:left="0" w:right="0"/>
                    <w:jc w:val="center"/>
                    <w:rPr>
                      <w:rFonts w:hint="default" w:ascii="Times New Roman" w:hAnsi="Times New Roman" w:eastAsia="宋体" w:cs="Times New Roman"/>
                      <w:b/>
                      <w:bCs/>
                      <w:color w:val="auto"/>
                      <w:sz w:val="21"/>
                      <w:szCs w:val="21"/>
                    </w:rPr>
                  </w:pPr>
                  <w:r>
                    <w:rPr>
                      <w:rFonts w:hint="default" w:ascii="Times New Roman" w:hAnsi="Times New Roman" w:eastAsia="宋体" w:cs="Times New Roman"/>
                      <w:b/>
                      <w:bCs/>
                      <w:color w:val="auto"/>
                      <w:sz w:val="21"/>
                      <w:szCs w:val="21"/>
                    </w:rPr>
                    <w:t>Z</w:t>
                  </w:r>
                </w:p>
              </w:tc>
              <w:tc>
                <w:tcPr>
                  <w:tcW w:w="466" w:type="dxa"/>
                  <w:tcBorders>
                    <w:top w:val="single" w:color="auto" w:sz="4" w:space="0"/>
                  </w:tcBorders>
                  <w:shd w:val="clear" w:color="auto" w:fill="auto"/>
                  <w:tcMar>
                    <w:top w:w="0" w:type="dxa"/>
                    <w:left w:w="0" w:type="dxa"/>
                    <w:bottom w:w="0" w:type="dxa"/>
                    <w:right w:w="0" w:type="dxa"/>
                  </w:tcMar>
                  <w:vAlign w:val="center"/>
                </w:tcPr>
                <w:p w14:paraId="77B16A08">
                  <w:pPr>
                    <w:keepNext w:val="0"/>
                    <w:keepLines w:val="0"/>
                    <w:suppressLineNumbers w:val="0"/>
                    <w:spacing w:before="0" w:beforeAutospacing="0" w:after="0" w:afterAutospacing="0"/>
                    <w:ind w:left="0" w:right="0"/>
                    <w:jc w:val="center"/>
                    <w:rPr>
                      <w:rFonts w:hint="default" w:ascii="Times New Roman" w:hAnsi="Times New Roman" w:eastAsia="宋体" w:cs="Times New Roman"/>
                      <w:b/>
                      <w:bCs/>
                      <w:color w:val="auto"/>
                      <w:sz w:val="21"/>
                      <w:szCs w:val="21"/>
                    </w:rPr>
                  </w:pPr>
                  <w:r>
                    <w:rPr>
                      <w:rFonts w:hint="default" w:ascii="Times New Roman" w:hAnsi="Times New Roman" w:eastAsia="宋体" w:cs="Times New Roman"/>
                      <w:b/>
                      <w:bCs/>
                      <w:color w:val="auto"/>
                      <w:sz w:val="21"/>
                      <w:szCs w:val="21"/>
                      <w:lang w:val="en-US" w:eastAsia="zh-CN"/>
                    </w:rPr>
                    <w:t>东</w:t>
                  </w:r>
                </w:p>
              </w:tc>
              <w:tc>
                <w:tcPr>
                  <w:tcW w:w="466" w:type="dxa"/>
                  <w:tcBorders>
                    <w:top w:val="single" w:color="auto" w:sz="4" w:space="0"/>
                  </w:tcBorders>
                  <w:shd w:val="clear" w:color="auto" w:fill="auto"/>
                  <w:tcMar>
                    <w:top w:w="0" w:type="dxa"/>
                    <w:left w:w="0" w:type="dxa"/>
                    <w:bottom w:w="0" w:type="dxa"/>
                    <w:right w:w="0" w:type="dxa"/>
                  </w:tcMar>
                  <w:vAlign w:val="center"/>
                </w:tcPr>
                <w:p w14:paraId="27C7EED1">
                  <w:pPr>
                    <w:keepNext w:val="0"/>
                    <w:keepLines w:val="0"/>
                    <w:suppressLineNumbers w:val="0"/>
                    <w:spacing w:before="0" w:beforeAutospacing="0" w:after="0" w:afterAutospacing="0"/>
                    <w:ind w:left="0" w:right="0"/>
                    <w:jc w:val="center"/>
                    <w:rPr>
                      <w:rFonts w:hint="default" w:ascii="Times New Roman" w:hAnsi="Times New Roman" w:eastAsia="宋体" w:cs="Times New Roman"/>
                      <w:b/>
                      <w:bCs/>
                      <w:color w:val="auto"/>
                      <w:sz w:val="21"/>
                      <w:szCs w:val="21"/>
                    </w:rPr>
                  </w:pPr>
                  <w:r>
                    <w:rPr>
                      <w:rFonts w:hint="default" w:ascii="Times New Roman" w:hAnsi="Times New Roman" w:eastAsia="宋体" w:cs="Times New Roman"/>
                      <w:b/>
                      <w:bCs/>
                      <w:color w:val="auto"/>
                      <w:sz w:val="21"/>
                      <w:szCs w:val="21"/>
                      <w:lang w:val="en-US" w:eastAsia="zh-CN"/>
                    </w:rPr>
                    <w:t>南</w:t>
                  </w:r>
                </w:p>
              </w:tc>
              <w:tc>
                <w:tcPr>
                  <w:tcW w:w="466" w:type="dxa"/>
                  <w:tcBorders>
                    <w:top w:val="single" w:color="auto" w:sz="4" w:space="0"/>
                  </w:tcBorders>
                  <w:shd w:val="clear" w:color="auto" w:fill="auto"/>
                  <w:tcMar>
                    <w:top w:w="0" w:type="dxa"/>
                    <w:left w:w="0" w:type="dxa"/>
                    <w:bottom w:w="0" w:type="dxa"/>
                    <w:right w:w="0" w:type="dxa"/>
                  </w:tcMar>
                  <w:vAlign w:val="center"/>
                </w:tcPr>
                <w:p w14:paraId="48622A7E">
                  <w:pPr>
                    <w:keepNext w:val="0"/>
                    <w:keepLines w:val="0"/>
                    <w:suppressLineNumbers w:val="0"/>
                    <w:spacing w:before="0" w:beforeAutospacing="0" w:after="0" w:afterAutospacing="0"/>
                    <w:ind w:left="0" w:right="0"/>
                    <w:jc w:val="center"/>
                    <w:rPr>
                      <w:rFonts w:hint="default" w:ascii="Times New Roman" w:hAnsi="Times New Roman" w:eastAsia="宋体" w:cs="Times New Roman"/>
                      <w:b/>
                      <w:bCs/>
                      <w:color w:val="auto"/>
                      <w:sz w:val="21"/>
                      <w:szCs w:val="21"/>
                    </w:rPr>
                  </w:pPr>
                  <w:r>
                    <w:rPr>
                      <w:rFonts w:hint="default" w:ascii="Times New Roman" w:hAnsi="Times New Roman" w:eastAsia="宋体" w:cs="Times New Roman"/>
                      <w:b/>
                      <w:bCs/>
                      <w:color w:val="auto"/>
                      <w:sz w:val="21"/>
                      <w:szCs w:val="21"/>
                      <w:lang w:val="en-US" w:eastAsia="zh-CN"/>
                    </w:rPr>
                    <w:t>西</w:t>
                  </w:r>
                </w:p>
              </w:tc>
              <w:tc>
                <w:tcPr>
                  <w:tcW w:w="467" w:type="dxa"/>
                  <w:tcBorders>
                    <w:top w:val="single" w:color="auto" w:sz="4" w:space="0"/>
                  </w:tcBorders>
                  <w:shd w:val="clear" w:color="auto" w:fill="auto"/>
                  <w:tcMar>
                    <w:top w:w="0" w:type="dxa"/>
                    <w:left w:w="0" w:type="dxa"/>
                    <w:bottom w:w="0" w:type="dxa"/>
                    <w:right w:w="0" w:type="dxa"/>
                  </w:tcMar>
                  <w:vAlign w:val="center"/>
                </w:tcPr>
                <w:p w14:paraId="11EB16F9">
                  <w:pPr>
                    <w:keepNext w:val="0"/>
                    <w:keepLines w:val="0"/>
                    <w:suppressLineNumbers w:val="0"/>
                    <w:spacing w:before="0" w:beforeAutospacing="0" w:after="0" w:afterAutospacing="0"/>
                    <w:ind w:left="0" w:right="0"/>
                    <w:jc w:val="center"/>
                    <w:rPr>
                      <w:rFonts w:hint="default" w:ascii="Times New Roman" w:hAnsi="Times New Roman" w:eastAsia="宋体" w:cs="Times New Roman"/>
                      <w:b/>
                      <w:bCs/>
                      <w:color w:val="auto"/>
                      <w:sz w:val="21"/>
                      <w:szCs w:val="21"/>
                    </w:rPr>
                  </w:pPr>
                  <w:r>
                    <w:rPr>
                      <w:rFonts w:hint="default" w:ascii="Times New Roman" w:hAnsi="Times New Roman" w:eastAsia="宋体" w:cs="Times New Roman"/>
                      <w:b/>
                      <w:bCs/>
                      <w:color w:val="auto"/>
                      <w:sz w:val="21"/>
                      <w:szCs w:val="21"/>
                      <w:lang w:val="en-US" w:eastAsia="zh-CN"/>
                    </w:rPr>
                    <w:t>北</w:t>
                  </w:r>
                </w:p>
              </w:tc>
              <w:tc>
                <w:tcPr>
                  <w:tcW w:w="460" w:type="dxa"/>
                  <w:tcBorders>
                    <w:top w:val="single" w:color="auto" w:sz="4" w:space="0"/>
                  </w:tcBorders>
                  <w:shd w:val="clear" w:color="auto" w:fill="auto"/>
                  <w:tcMar>
                    <w:top w:w="0" w:type="dxa"/>
                    <w:left w:w="0" w:type="dxa"/>
                    <w:bottom w:w="0" w:type="dxa"/>
                    <w:right w:w="0" w:type="dxa"/>
                  </w:tcMar>
                  <w:vAlign w:val="center"/>
                </w:tcPr>
                <w:p w14:paraId="3BE76C4E">
                  <w:pPr>
                    <w:keepNext w:val="0"/>
                    <w:keepLines w:val="0"/>
                    <w:suppressLineNumbers w:val="0"/>
                    <w:spacing w:before="0" w:beforeAutospacing="0" w:after="0" w:afterAutospacing="0"/>
                    <w:ind w:left="0" w:right="0"/>
                    <w:jc w:val="center"/>
                    <w:rPr>
                      <w:rFonts w:hint="default" w:ascii="Times New Roman" w:hAnsi="Times New Roman" w:eastAsia="宋体" w:cs="Times New Roman"/>
                      <w:b/>
                      <w:bCs/>
                      <w:color w:val="auto"/>
                      <w:sz w:val="21"/>
                      <w:szCs w:val="21"/>
                    </w:rPr>
                  </w:pPr>
                  <w:r>
                    <w:rPr>
                      <w:rFonts w:hint="default" w:ascii="Times New Roman" w:hAnsi="Times New Roman" w:eastAsia="宋体" w:cs="Times New Roman"/>
                      <w:b/>
                      <w:bCs/>
                      <w:color w:val="auto"/>
                      <w:sz w:val="21"/>
                      <w:szCs w:val="21"/>
                      <w:lang w:val="en-US" w:eastAsia="zh-CN"/>
                    </w:rPr>
                    <w:t>东</w:t>
                  </w:r>
                </w:p>
              </w:tc>
              <w:tc>
                <w:tcPr>
                  <w:tcW w:w="460" w:type="dxa"/>
                  <w:tcBorders>
                    <w:top w:val="single" w:color="auto" w:sz="4" w:space="0"/>
                  </w:tcBorders>
                  <w:shd w:val="clear" w:color="auto" w:fill="auto"/>
                  <w:tcMar>
                    <w:top w:w="0" w:type="dxa"/>
                    <w:left w:w="0" w:type="dxa"/>
                    <w:bottom w:w="0" w:type="dxa"/>
                    <w:right w:w="0" w:type="dxa"/>
                  </w:tcMar>
                  <w:vAlign w:val="center"/>
                </w:tcPr>
                <w:p w14:paraId="4E4995BA">
                  <w:pPr>
                    <w:keepNext w:val="0"/>
                    <w:keepLines w:val="0"/>
                    <w:suppressLineNumbers w:val="0"/>
                    <w:spacing w:before="0" w:beforeAutospacing="0" w:after="0" w:afterAutospacing="0"/>
                    <w:ind w:left="0" w:right="0"/>
                    <w:jc w:val="center"/>
                    <w:rPr>
                      <w:rFonts w:hint="default" w:ascii="Times New Roman" w:hAnsi="Times New Roman" w:eastAsia="宋体" w:cs="Times New Roman"/>
                      <w:b/>
                      <w:bCs/>
                      <w:color w:val="auto"/>
                      <w:sz w:val="21"/>
                      <w:szCs w:val="21"/>
                    </w:rPr>
                  </w:pPr>
                  <w:r>
                    <w:rPr>
                      <w:rFonts w:hint="default" w:ascii="Times New Roman" w:hAnsi="Times New Roman" w:eastAsia="宋体" w:cs="Times New Roman"/>
                      <w:b/>
                      <w:bCs/>
                      <w:color w:val="auto"/>
                      <w:sz w:val="21"/>
                      <w:szCs w:val="21"/>
                      <w:lang w:val="en-US" w:eastAsia="zh-CN"/>
                    </w:rPr>
                    <w:t>南</w:t>
                  </w:r>
                </w:p>
              </w:tc>
              <w:tc>
                <w:tcPr>
                  <w:tcW w:w="460" w:type="dxa"/>
                  <w:tcBorders>
                    <w:top w:val="single" w:color="auto" w:sz="4" w:space="0"/>
                  </w:tcBorders>
                  <w:shd w:val="clear" w:color="auto" w:fill="auto"/>
                  <w:tcMar>
                    <w:top w:w="0" w:type="dxa"/>
                    <w:left w:w="0" w:type="dxa"/>
                    <w:bottom w:w="0" w:type="dxa"/>
                    <w:right w:w="0" w:type="dxa"/>
                  </w:tcMar>
                  <w:vAlign w:val="center"/>
                </w:tcPr>
                <w:p w14:paraId="1788856A">
                  <w:pPr>
                    <w:keepNext w:val="0"/>
                    <w:keepLines w:val="0"/>
                    <w:suppressLineNumbers w:val="0"/>
                    <w:spacing w:before="0" w:beforeAutospacing="0" w:after="0" w:afterAutospacing="0"/>
                    <w:ind w:left="0" w:right="0"/>
                    <w:jc w:val="center"/>
                    <w:rPr>
                      <w:rFonts w:hint="default" w:ascii="Times New Roman" w:hAnsi="Times New Roman" w:eastAsia="宋体" w:cs="Times New Roman"/>
                      <w:b/>
                      <w:bCs/>
                      <w:color w:val="auto"/>
                      <w:sz w:val="21"/>
                      <w:szCs w:val="21"/>
                    </w:rPr>
                  </w:pPr>
                  <w:r>
                    <w:rPr>
                      <w:rFonts w:hint="default" w:ascii="Times New Roman" w:hAnsi="Times New Roman" w:eastAsia="宋体" w:cs="Times New Roman"/>
                      <w:b/>
                      <w:bCs/>
                      <w:color w:val="auto"/>
                      <w:sz w:val="21"/>
                      <w:szCs w:val="21"/>
                      <w:lang w:val="en-US" w:eastAsia="zh-CN"/>
                    </w:rPr>
                    <w:t>西</w:t>
                  </w:r>
                </w:p>
              </w:tc>
              <w:tc>
                <w:tcPr>
                  <w:tcW w:w="462" w:type="dxa"/>
                  <w:tcBorders>
                    <w:top w:val="single" w:color="auto" w:sz="4" w:space="0"/>
                  </w:tcBorders>
                  <w:shd w:val="clear" w:color="auto" w:fill="auto"/>
                  <w:tcMar>
                    <w:top w:w="0" w:type="dxa"/>
                    <w:left w:w="0" w:type="dxa"/>
                    <w:bottom w:w="0" w:type="dxa"/>
                    <w:right w:w="0" w:type="dxa"/>
                  </w:tcMar>
                  <w:vAlign w:val="center"/>
                </w:tcPr>
                <w:p w14:paraId="4C23B61F">
                  <w:pPr>
                    <w:keepNext w:val="0"/>
                    <w:keepLines w:val="0"/>
                    <w:suppressLineNumbers w:val="0"/>
                    <w:spacing w:before="0" w:beforeAutospacing="0" w:after="0" w:afterAutospacing="0"/>
                    <w:ind w:left="0" w:right="0"/>
                    <w:jc w:val="center"/>
                    <w:rPr>
                      <w:rFonts w:hint="default" w:ascii="Times New Roman" w:hAnsi="Times New Roman" w:eastAsia="宋体" w:cs="Times New Roman"/>
                      <w:b/>
                      <w:bCs/>
                      <w:color w:val="auto"/>
                      <w:sz w:val="21"/>
                      <w:szCs w:val="21"/>
                    </w:rPr>
                  </w:pPr>
                  <w:r>
                    <w:rPr>
                      <w:rFonts w:hint="default" w:ascii="Times New Roman" w:hAnsi="Times New Roman" w:eastAsia="宋体" w:cs="Times New Roman"/>
                      <w:b/>
                      <w:bCs/>
                      <w:color w:val="auto"/>
                      <w:sz w:val="21"/>
                      <w:szCs w:val="21"/>
                      <w:lang w:val="en-US" w:eastAsia="zh-CN"/>
                    </w:rPr>
                    <w:t>北</w:t>
                  </w:r>
                </w:p>
              </w:tc>
              <w:tc>
                <w:tcPr>
                  <w:tcW w:w="445" w:type="dxa"/>
                  <w:vMerge w:val="continue"/>
                  <w:tcBorders>
                    <w:top w:val="single" w:color="auto" w:sz="4" w:space="0"/>
                  </w:tcBorders>
                  <w:shd w:val="clear" w:color="auto" w:fill="auto"/>
                  <w:tcMar>
                    <w:top w:w="0" w:type="dxa"/>
                    <w:left w:w="0" w:type="dxa"/>
                    <w:bottom w:w="0" w:type="dxa"/>
                    <w:right w:w="0" w:type="dxa"/>
                  </w:tcMar>
                  <w:vAlign w:val="center"/>
                </w:tcPr>
                <w:p w14:paraId="27358B40">
                  <w:pPr>
                    <w:keepNext w:val="0"/>
                    <w:keepLines w:val="0"/>
                    <w:suppressLineNumbers w:val="0"/>
                    <w:spacing w:before="0" w:beforeAutospacing="0" w:after="0" w:afterAutospacing="0"/>
                    <w:ind w:left="0" w:right="0"/>
                    <w:jc w:val="center"/>
                    <w:rPr>
                      <w:rFonts w:hint="default" w:ascii="Times New Roman" w:hAnsi="Times New Roman" w:eastAsia="宋体" w:cs="Times New Roman"/>
                      <w:b/>
                      <w:bCs/>
                      <w:color w:val="auto"/>
                      <w:sz w:val="21"/>
                      <w:szCs w:val="21"/>
                    </w:rPr>
                  </w:pPr>
                </w:p>
              </w:tc>
              <w:tc>
                <w:tcPr>
                  <w:tcW w:w="444" w:type="dxa"/>
                  <w:tcBorders>
                    <w:top w:val="single" w:color="auto" w:sz="4" w:space="0"/>
                  </w:tcBorders>
                  <w:shd w:val="clear" w:color="auto" w:fill="auto"/>
                  <w:tcMar>
                    <w:top w:w="0" w:type="dxa"/>
                    <w:left w:w="0" w:type="dxa"/>
                    <w:bottom w:w="0" w:type="dxa"/>
                    <w:right w:w="0" w:type="dxa"/>
                  </w:tcMar>
                  <w:vAlign w:val="center"/>
                </w:tcPr>
                <w:p w14:paraId="69E3EC9B">
                  <w:pPr>
                    <w:keepNext w:val="0"/>
                    <w:keepLines w:val="0"/>
                    <w:suppressLineNumbers w:val="0"/>
                    <w:spacing w:before="0" w:beforeAutospacing="0" w:after="0" w:afterAutospacing="0"/>
                    <w:ind w:left="0" w:right="0"/>
                    <w:jc w:val="center"/>
                    <w:rPr>
                      <w:rFonts w:hint="default" w:ascii="Times New Roman" w:hAnsi="Times New Roman" w:eastAsia="宋体" w:cs="Times New Roman"/>
                      <w:b/>
                      <w:bCs/>
                      <w:color w:val="auto"/>
                      <w:sz w:val="21"/>
                      <w:szCs w:val="21"/>
                    </w:rPr>
                  </w:pPr>
                  <w:r>
                    <w:rPr>
                      <w:rFonts w:hint="default" w:ascii="Times New Roman" w:hAnsi="Times New Roman" w:eastAsia="宋体" w:cs="Times New Roman"/>
                      <w:b/>
                      <w:bCs/>
                      <w:color w:val="auto"/>
                      <w:sz w:val="21"/>
                      <w:szCs w:val="21"/>
                      <w:lang w:val="en-US" w:eastAsia="zh-CN"/>
                    </w:rPr>
                    <w:t>东</w:t>
                  </w:r>
                </w:p>
              </w:tc>
              <w:tc>
                <w:tcPr>
                  <w:tcW w:w="444" w:type="dxa"/>
                  <w:tcBorders>
                    <w:top w:val="single" w:color="auto" w:sz="4" w:space="0"/>
                  </w:tcBorders>
                  <w:shd w:val="clear" w:color="auto" w:fill="auto"/>
                  <w:tcMar>
                    <w:top w:w="0" w:type="dxa"/>
                    <w:left w:w="0" w:type="dxa"/>
                    <w:bottom w:w="0" w:type="dxa"/>
                    <w:right w:w="0" w:type="dxa"/>
                  </w:tcMar>
                  <w:vAlign w:val="center"/>
                </w:tcPr>
                <w:p w14:paraId="1FB3D7C2">
                  <w:pPr>
                    <w:keepNext w:val="0"/>
                    <w:keepLines w:val="0"/>
                    <w:suppressLineNumbers w:val="0"/>
                    <w:spacing w:before="0" w:beforeAutospacing="0" w:after="0" w:afterAutospacing="0"/>
                    <w:ind w:left="0" w:right="0"/>
                    <w:jc w:val="center"/>
                    <w:rPr>
                      <w:rFonts w:hint="default" w:ascii="Times New Roman" w:hAnsi="Times New Roman" w:eastAsia="宋体" w:cs="Times New Roman"/>
                      <w:b/>
                      <w:bCs/>
                      <w:color w:val="auto"/>
                      <w:sz w:val="21"/>
                      <w:szCs w:val="21"/>
                    </w:rPr>
                  </w:pPr>
                  <w:r>
                    <w:rPr>
                      <w:rFonts w:hint="default" w:ascii="Times New Roman" w:hAnsi="Times New Roman" w:eastAsia="宋体" w:cs="Times New Roman"/>
                      <w:b/>
                      <w:bCs/>
                      <w:color w:val="auto"/>
                      <w:sz w:val="21"/>
                      <w:szCs w:val="21"/>
                      <w:lang w:val="en-US" w:eastAsia="zh-CN"/>
                    </w:rPr>
                    <w:t>南</w:t>
                  </w:r>
                </w:p>
              </w:tc>
              <w:tc>
                <w:tcPr>
                  <w:tcW w:w="444" w:type="dxa"/>
                  <w:tcBorders>
                    <w:top w:val="single" w:color="auto" w:sz="4" w:space="0"/>
                  </w:tcBorders>
                  <w:shd w:val="clear" w:color="auto" w:fill="auto"/>
                  <w:tcMar>
                    <w:top w:w="0" w:type="dxa"/>
                    <w:left w:w="0" w:type="dxa"/>
                    <w:bottom w:w="0" w:type="dxa"/>
                    <w:right w:w="0" w:type="dxa"/>
                  </w:tcMar>
                  <w:vAlign w:val="center"/>
                </w:tcPr>
                <w:p w14:paraId="13A6DD48">
                  <w:pPr>
                    <w:keepNext w:val="0"/>
                    <w:keepLines w:val="0"/>
                    <w:suppressLineNumbers w:val="0"/>
                    <w:spacing w:before="0" w:beforeAutospacing="0" w:after="0" w:afterAutospacing="0"/>
                    <w:ind w:left="0" w:right="0"/>
                    <w:jc w:val="center"/>
                    <w:rPr>
                      <w:rFonts w:hint="default" w:ascii="Times New Roman" w:hAnsi="Times New Roman" w:eastAsia="宋体" w:cs="Times New Roman"/>
                      <w:b/>
                      <w:bCs/>
                      <w:color w:val="auto"/>
                      <w:sz w:val="21"/>
                      <w:szCs w:val="21"/>
                    </w:rPr>
                  </w:pPr>
                  <w:r>
                    <w:rPr>
                      <w:rFonts w:hint="default" w:ascii="Times New Roman" w:hAnsi="Times New Roman" w:eastAsia="宋体" w:cs="Times New Roman"/>
                      <w:b/>
                      <w:bCs/>
                      <w:color w:val="auto"/>
                      <w:sz w:val="21"/>
                      <w:szCs w:val="21"/>
                      <w:lang w:val="en-US" w:eastAsia="zh-CN"/>
                    </w:rPr>
                    <w:t>西</w:t>
                  </w:r>
                </w:p>
              </w:tc>
              <w:tc>
                <w:tcPr>
                  <w:tcW w:w="444" w:type="dxa"/>
                  <w:tcBorders>
                    <w:top w:val="single" w:color="auto" w:sz="4" w:space="0"/>
                  </w:tcBorders>
                  <w:shd w:val="clear" w:color="auto" w:fill="auto"/>
                  <w:tcMar>
                    <w:top w:w="0" w:type="dxa"/>
                    <w:left w:w="0" w:type="dxa"/>
                    <w:bottom w:w="0" w:type="dxa"/>
                    <w:right w:w="0" w:type="dxa"/>
                  </w:tcMar>
                  <w:vAlign w:val="center"/>
                </w:tcPr>
                <w:p w14:paraId="6F036776">
                  <w:pPr>
                    <w:keepNext w:val="0"/>
                    <w:keepLines w:val="0"/>
                    <w:suppressLineNumbers w:val="0"/>
                    <w:spacing w:before="0" w:beforeAutospacing="0" w:after="0" w:afterAutospacing="0"/>
                    <w:ind w:left="0" w:right="0"/>
                    <w:jc w:val="center"/>
                    <w:rPr>
                      <w:rFonts w:hint="default" w:ascii="Times New Roman" w:hAnsi="Times New Roman" w:eastAsia="宋体" w:cs="Times New Roman"/>
                      <w:b/>
                      <w:bCs/>
                      <w:color w:val="auto"/>
                      <w:sz w:val="21"/>
                      <w:szCs w:val="21"/>
                    </w:rPr>
                  </w:pPr>
                  <w:r>
                    <w:rPr>
                      <w:rFonts w:hint="default" w:ascii="Times New Roman" w:hAnsi="Times New Roman" w:eastAsia="宋体" w:cs="Times New Roman"/>
                      <w:b/>
                      <w:bCs/>
                      <w:color w:val="auto"/>
                      <w:sz w:val="21"/>
                      <w:szCs w:val="21"/>
                      <w:lang w:val="en-US" w:eastAsia="zh-CN"/>
                    </w:rPr>
                    <w:t>北</w:t>
                  </w:r>
                </w:p>
              </w:tc>
              <w:tc>
                <w:tcPr>
                  <w:tcW w:w="470" w:type="dxa"/>
                  <w:tcBorders>
                    <w:top w:val="single" w:color="auto" w:sz="4" w:space="0"/>
                  </w:tcBorders>
                  <w:shd w:val="clear" w:color="auto" w:fill="auto"/>
                  <w:tcMar>
                    <w:top w:w="0" w:type="dxa"/>
                    <w:left w:w="0" w:type="dxa"/>
                    <w:bottom w:w="0" w:type="dxa"/>
                    <w:right w:w="0" w:type="dxa"/>
                  </w:tcMar>
                  <w:vAlign w:val="center"/>
                </w:tcPr>
                <w:p w14:paraId="0DF9C921">
                  <w:pPr>
                    <w:keepNext w:val="0"/>
                    <w:keepLines w:val="0"/>
                    <w:suppressLineNumbers w:val="0"/>
                    <w:spacing w:before="0" w:beforeAutospacing="0" w:after="0" w:afterAutospacing="0"/>
                    <w:ind w:left="0" w:right="0"/>
                    <w:jc w:val="center"/>
                    <w:rPr>
                      <w:rFonts w:hint="default" w:ascii="Times New Roman" w:hAnsi="Times New Roman" w:eastAsia="宋体" w:cs="Times New Roman"/>
                      <w:b/>
                      <w:bCs/>
                      <w:color w:val="auto"/>
                      <w:sz w:val="21"/>
                      <w:szCs w:val="21"/>
                    </w:rPr>
                  </w:pPr>
                  <w:r>
                    <w:rPr>
                      <w:rFonts w:hint="default" w:ascii="Times New Roman" w:hAnsi="Times New Roman" w:eastAsia="宋体" w:cs="Times New Roman"/>
                      <w:b/>
                      <w:bCs/>
                      <w:color w:val="auto"/>
                      <w:sz w:val="21"/>
                      <w:szCs w:val="21"/>
                      <w:lang w:val="en-US" w:eastAsia="zh-CN"/>
                    </w:rPr>
                    <w:t>东</w:t>
                  </w:r>
                </w:p>
              </w:tc>
              <w:tc>
                <w:tcPr>
                  <w:tcW w:w="470" w:type="dxa"/>
                  <w:tcBorders>
                    <w:top w:val="single" w:color="auto" w:sz="4" w:space="0"/>
                  </w:tcBorders>
                  <w:shd w:val="clear" w:color="auto" w:fill="auto"/>
                  <w:tcMar>
                    <w:top w:w="0" w:type="dxa"/>
                    <w:left w:w="0" w:type="dxa"/>
                    <w:bottom w:w="0" w:type="dxa"/>
                    <w:right w:w="0" w:type="dxa"/>
                  </w:tcMar>
                  <w:vAlign w:val="center"/>
                </w:tcPr>
                <w:p w14:paraId="444E4ABA">
                  <w:pPr>
                    <w:keepNext w:val="0"/>
                    <w:keepLines w:val="0"/>
                    <w:suppressLineNumbers w:val="0"/>
                    <w:spacing w:before="0" w:beforeAutospacing="0" w:after="0" w:afterAutospacing="0"/>
                    <w:ind w:left="0" w:right="0"/>
                    <w:jc w:val="center"/>
                    <w:rPr>
                      <w:rFonts w:hint="default" w:ascii="Times New Roman" w:hAnsi="Times New Roman" w:eastAsia="宋体" w:cs="Times New Roman"/>
                      <w:b/>
                      <w:bCs/>
                      <w:color w:val="auto"/>
                      <w:sz w:val="21"/>
                      <w:szCs w:val="21"/>
                    </w:rPr>
                  </w:pPr>
                  <w:r>
                    <w:rPr>
                      <w:rFonts w:hint="default" w:ascii="Times New Roman" w:hAnsi="Times New Roman" w:eastAsia="宋体" w:cs="Times New Roman"/>
                      <w:b/>
                      <w:bCs/>
                      <w:color w:val="auto"/>
                      <w:sz w:val="21"/>
                      <w:szCs w:val="21"/>
                      <w:lang w:val="en-US" w:eastAsia="zh-CN"/>
                    </w:rPr>
                    <w:t>南</w:t>
                  </w:r>
                </w:p>
              </w:tc>
              <w:tc>
                <w:tcPr>
                  <w:tcW w:w="470" w:type="dxa"/>
                  <w:tcBorders>
                    <w:top w:val="single" w:color="auto" w:sz="4" w:space="0"/>
                  </w:tcBorders>
                  <w:shd w:val="clear" w:color="auto" w:fill="auto"/>
                  <w:tcMar>
                    <w:top w:w="0" w:type="dxa"/>
                    <w:left w:w="0" w:type="dxa"/>
                    <w:bottom w:w="0" w:type="dxa"/>
                    <w:right w:w="0" w:type="dxa"/>
                  </w:tcMar>
                  <w:vAlign w:val="center"/>
                </w:tcPr>
                <w:p w14:paraId="60A5815B">
                  <w:pPr>
                    <w:keepNext w:val="0"/>
                    <w:keepLines w:val="0"/>
                    <w:suppressLineNumbers w:val="0"/>
                    <w:spacing w:before="0" w:beforeAutospacing="0" w:after="0" w:afterAutospacing="0"/>
                    <w:ind w:left="0" w:right="0"/>
                    <w:jc w:val="center"/>
                    <w:rPr>
                      <w:rFonts w:hint="default" w:ascii="Times New Roman" w:hAnsi="Times New Roman" w:eastAsia="宋体" w:cs="Times New Roman"/>
                      <w:b/>
                      <w:bCs/>
                      <w:color w:val="auto"/>
                      <w:sz w:val="21"/>
                      <w:szCs w:val="21"/>
                    </w:rPr>
                  </w:pPr>
                  <w:r>
                    <w:rPr>
                      <w:rFonts w:hint="default" w:ascii="Times New Roman" w:hAnsi="Times New Roman" w:eastAsia="宋体" w:cs="Times New Roman"/>
                      <w:b/>
                      <w:bCs/>
                      <w:color w:val="auto"/>
                      <w:sz w:val="21"/>
                      <w:szCs w:val="21"/>
                      <w:lang w:val="en-US" w:eastAsia="zh-CN"/>
                    </w:rPr>
                    <w:t>西</w:t>
                  </w:r>
                </w:p>
              </w:tc>
              <w:tc>
                <w:tcPr>
                  <w:tcW w:w="471" w:type="dxa"/>
                  <w:tcBorders>
                    <w:top w:val="single" w:color="auto" w:sz="4" w:space="0"/>
                  </w:tcBorders>
                  <w:shd w:val="clear" w:color="auto" w:fill="auto"/>
                  <w:tcMar>
                    <w:top w:w="0" w:type="dxa"/>
                    <w:left w:w="0" w:type="dxa"/>
                    <w:bottom w:w="0" w:type="dxa"/>
                    <w:right w:w="0" w:type="dxa"/>
                  </w:tcMar>
                  <w:vAlign w:val="center"/>
                </w:tcPr>
                <w:p w14:paraId="534CDE9F">
                  <w:pPr>
                    <w:keepNext w:val="0"/>
                    <w:keepLines w:val="0"/>
                    <w:suppressLineNumbers w:val="0"/>
                    <w:spacing w:before="0" w:beforeAutospacing="0" w:after="0" w:afterAutospacing="0"/>
                    <w:ind w:left="0" w:right="0"/>
                    <w:jc w:val="center"/>
                    <w:rPr>
                      <w:rFonts w:hint="default" w:ascii="Times New Roman" w:hAnsi="Times New Roman" w:eastAsia="宋体" w:cs="Times New Roman"/>
                      <w:b/>
                      <w:bCs/>
                      <w:color w:val="auto"/>
                      <w:sz w:val="21"/>
                      <w:szCs w:val="21"/>
                    </w:rPr>
                  </w:pPr>
                  <w:r>
                    <w:rPr>
                      <w:rFonts w:hint="default" w:ascii="Times New Roman" w:hAnsi="Times New Roman" w:eastAsia="宋体" w:cs="Times New Roman"/>
                      <w:b/>
                      <w:bCs/>
                      <w:color w:val="auto"/>
                      <w:sz w:val="21"/>
                      <w:szCs w:val="21"/>
                      <w:lang w:val="en-US" w:eastAsia="zh-CN"/>
                    </w:rPr>
                    <w:t>北</w:t>
                  </w:r>
                </w:p>
              </w:tc>
              <w:tc>
                <w:tcPr>
                  <w:tcW w:w="648" w:type="dxa"/>
                  <w:tcBorders>
                    <w:top w:val="single" w:color="auto" w:sz="4" w:space="0"/>
                  </w:tcBorders>
                  <w:shd w:val="clear" w:color="auto" w:fill="auto"/>
                  <w:tcMar>
                    <w:top w:w="0" w:type="dxa"/>
                    <w:left w:w="0" w:type="dxa"/>
                    <w:bottom w:w="0" w:type="dxa"/>
                    <w:right w:w="0" w:type="dxa"/>
                  </w:tcMar>
                  <w:vAlign w:val="center"/>
                </w:tcPr>
                <w:p w14:paraId="367CB45E">
                  <w:pPr>
                    <w:keepNext w:val="0"/>
                    <w:keepLines w:val="0"/>
                    <w:suppressLineNumbers w:val="0"/>
                    <w:spacing w:before="0" w:beforeAutospacing="0" w:after="0" w:afterAutospacing="0"/>
                    <w:ind w:left="0" w:right="0"/>
                    <w:jc w:val="center"/>
                    <w:rPr>
                      <w:rFonts w:hint="default" w:ascii="Times New Roman" w:hAnsi="Times New Roman" w:eastAsia="宋体" w:cs="Times New Roman"/>
                      <w:b/>
                      <w:bCs/>
                      <w:color w:val="auto"/>
                      <w:sz w:val="21"/>
                      <w:szCs w:val="21"/>
                    </w:rPr>
                  </w:pPr>
                  <w:r>
                    <w:rPr>
                      <w:rFonts w:hint="default" w:ascii="Times New Roman" w:hAnsi="Times New Roman" w:eastAsia="宋体" w:cs="Times New Roman"/>
                      <w:b/>
                      <w:bCs/>
                      <w:color w:val="auto"/>
                      <w:sz w:val="21"/>
                      <w:szCs w:val="21"/>
                    </w:rPr>
                    <w:t>建筑物外距离</w:t>
                  </w:r>
                </w:p>
              </w:tc>
            </w:tr>
            <w:tr w14:paraId="21AC1E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23" w:hRule="atLeast"/>
                <w:jc w:val="center"/>
              </w:trPr>
              <w:tc>
                <w:tcPr>
                  <w:tcW w:w="482" w:type="dxa"/>
                  <w:shd w:val="clear" w:color="auto" w:fill="auto"/>
                  <w:vAlign w:val="center"/>
                </w:tcPr>
                <w:p w14:paraId="29E253B8">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1</w:t>
                  </w:r>
                </w:p>
              </w:tc>
              <w:tc>
                <w:tcPr>
                  <w:tcW w:w="485" w:type="dxa"/>
                  <w:vMerge w:val="restart"/>
                  <w:shd w:val="clear" w:color="auto" w:fill="auto"/>
                  <w:tcMar>
                    <w:top w:w="0" w:type="dxa"/>
                    <w:left w:w="0" w:type="dxa"/>
                    <w:bottom w:w="0" w:type="dxa"/>
                    <w:right w:w="0" w:type="dxa"/>
                  </w:tcMar>
                  <w:vAlign w:val="center"/>
                </w:tcPr>
                <w:p w14:paraId="2D044C83">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1#</w:t>
                  </w:r>
                  <w:r>
                    <w:rPr>
                      <w:rFonts w:hint="eastAsia" w:ascii="Times New Roman" w:hAnsi="Times New Roman" w:eastAsia="宋体" w:cs="Times New Roman"/>
                      <w:color w:val="auto"/>
                      <w:sz w:val="21"/>
                      <w:szCs w:val="21"/>
                      <w:lang w:val="en-US" w:eastAsia="zh-CN"/>
                    </w:rPr>
                    <w:t>厂房</w:t>
                  </w:r>
                  <w:r>
                    <w:rPr>
                      <w:rFonts w:hint="default" w:ascii="Times New Roman" w:hAnsi="Times New Roman" w:eastAsia="宋体" w:cs="Times New Roman"/>
                      <w:color w:val="auto"/>
                      <w:sz w:val="21"/>
                      <w:szCs w:val="21"/>
                    </w:rPr>
                    <w:t>声屏障</w:t>
                  </w:r>
                </w:p>
              </w:tc>
              <w:tc>
                <w:tcPr>
                  <w:tcW w:w="541" w:type="dxa"/>
                  <w:shd w:val="clear" w:color="auto" w:fill="auto"/>
                  <w:tcMar>
                    <w:top w:w="0" w:type="dxa"/>
                    <w:left w:w="0" w:type="dxa"/>
                    <w:bottom w:w="0" w:type="dxa"/>
                    <w:right w:w="0" w:type="dxa"/>
                  </w:tcMar>
                  <w:vAlign w:val="center"/>
                </w:tcPr>
                <w:p w14:paraId="1E72A83A">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自动拆包机</w:t>
                  </w:r>
                </w:p>
              </w:tc>
              <w:tc>
                <w:tcPr>
                  <w:tcW w:w="413" w:type="dxa"/>
                  <w:shd w:val="clear" w:color="auto" w:fill="auto"/>
                  <w:tcMar>
                    <w:top w:w="0" w:type="dxa"/>
                    <w:left w:w="0" w:type="dxa"/>
                    <w:bottom w:w="0" w:type="dxa"/>
                    <w:right w:w="0" w:type="dxa"/>
                  </w:tcMar>
                  <w:vAlign w:val="center"/>
                </w:tcPr>
                <w:p w14:paraId="785D77A9">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宋体" w:cs="Times New Roman"/>
                      <w:color w:val="auto"/>
                      <w:sz w:val="21"/>
                      <w:szCs w:val="21"/>
                      <w:highlight w:val="none"/>
                      <w:lang w:val="en-US" w:eastAsia="en-US" w:bidi="ar-SA"/>
                    </w:rPr>
                  </w:pPr>
                  <w:r>
                    <w:rPr>
                      <w:rFonts w:hint="default" w:ascii="Times New Roman" w:hAnsi="Times New Roman" w:eastAsia="宋体" w:cs="Times New Roman"/>
                      <w:color w:val="auto"/>
                      <w:kern w:val="0"/>
                      <w:sz w:val="21"/>
                      <w:szCs w:val="21"/>
                      <w:highlight w:val="none"/>
                      <w:lang w:bidi="ar"/>
                    </w:rPr>
                    <w:t>标准</w:t>
                  </w:r>
                </w:p>
              </w:tc>
              <w:tc>
                <w:tcPr>
                  <w:tcW w:w="637" w:type="dxa"/>
                  <w:shd w:val="clear" w:color="auto" w:fill="auto"/>
                  <w:tcMar>
                    <w:top w:w="0" w:type="dxa"/>
                    <w:left w:w="0" w:type="dxa"/>
                    <w:bottom w:w="0" w:type="dxa"/>
                    <w:right w:w="0" w:type="dxa"/>
                  </w:tcMar>
                  <w:vAlign w:val="center"/>
                </w:tcPr>
                <w:p w14:paraId="4FC10EDB">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75/1</w:t>
                  </w:r>
                </w:p>
              </w:tc>
              <w:tc>
                <w:tcPr>
                  <w:tcW w:w="553" w:type="dxa"/>
                  <w:vMerge w:val="restart"/>
                  <w:shd w:val="clear" w:color="auto" w:fill="auto"/>
                  <w:tcMar>
                    <w:top w:w="0" w:type="dxa"/>
                    <w:left w:w="0" w:type="dxa"/>
                    <w:bottom w:w="0" w:type="dxa"/>
                    <w:right w:w="0" w:type="dxa"/>
                  </w:tcMar>
                  <w:vAlign w:val="center"/>
                </w:tcPr>
                <w:p w14:paraId="4D89BAAA">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lang w:val="en-US" w:eastAsia="zh-CN"/>
                    </w:rPr>
                    <w:t>选用噪声低、振动小的设备；对风机等高噪声设备加设减振垫；合理布置设备位置；车间安装隔声门窗，生产时关闭门窗；加强生产现场管理和设备养护，减少或降低人为噪声</w:t>
                  </w:r>
                </w:p>
              </w:tc>
              <w:tc>
                <w:tcPr>
                  <w:tcW w:w="563" w:type="dxa"/>
                  <w:shd w:val="clear" w:color="auto" w:fill="auto"/>
                  <w:tcMar>
                    <w:top w:w="0" w:type="dxa"/>
                    <w:left w:w="0" w:type="dxa"/>
                    <w:bottom w:w="0" w:type="dxa"/>
                    <w:right w:w="0" w:type="dxa"/>
                  </w:tcMar>
                  <w:vAlign w:val="center"/>
                </w:tcPr>
                <w:p w14:paraId="58DE68DA">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-49.2</w:t>
                  </w:r>
                </w:p>
              </w:tc>
              <w:tc>
                <w:tcPr>
                  <w:tcW w:w="563" w:type="dxa"/>
                  <w:shd w:val="clear" w:color="auto" w:fill="auto"/>
                  <w:tcMar>
                    <w:top w:w="0" w:type="dxa"/>
                    <w:left w:w="0" w:type="dxa"/>
                    <w:bottom w:w="0" w:type="dxa"/>
                    <w:right w:w="0" w:type="dxa"/>
                  </w:tcMar>
                  <w:vAlign w:val="center"/>
                </w:tcPr>
                <w:p w14:paraId="1CA2545B">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-33</w:t>
                  </w:r>
                </w:p>
              </w:tc>
              <w:tc>
                <w:tcPr>
                  <w:tcW w:w="564" w:type="dxa"/>
                  <w:shd w:val="clear" w:color="auto" w:fill="auto"/>
                  <w:tcMar>
                    <w:top w:w="0" w:type="dxa"/>
                    <w:left w:w="0" w:type="dxa"/>
                    <w:bottom w:w="0" w:type="dxa"/>
                    <w:right w:w="0" w:type="dxa"/>
                  </w:tcMar>
                  <w:vAlign w:val="center"/>
                </w:tcPr>
                <w:p w14:paraId="40A800D7">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1.2</w:t>
                  </w:r>
                </w:p>
              </w:tc>
              <w:tc>
                <w:tcPr>
                  <w:tcW w:w="466" w:type="dxa"/>
                  <w:shd w:val="clear" w:color="auto" w:fill="auto"/>
                  <w:tcMar>
                    <w:top w:w="0" w:type="dxa"/>
                    <w:left w:w="0" w:type="dxa"/>
                    <w:bottom w:w="0" w:type="dxa"/>
                    <w:right w:w="0" w:type="dxa"/>
                  </w:tcMar>
                  <w:vAlign w:val="center"/>
                </w:tcPr>
                <w:p w14:paraId="7D095FF7">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55.2</w:t>
                  </w:r>
                </w:p>
              </w:tc>
              <w:tc>
                <w:tcPr>
                  <w:tcW w:w="466" w:type="dxa"/>
                  <w:shd w:val="clear" w:color="auto" w:fill="auto"/>
                  <w:tcMar>
                    <w:top w:w="0" w:type="dxa"/>
                    <w:left w:w="0" w:type="dxa"/>
                    <w:bottom w:w="0" w:type="dxa"/>
                    <w:right w:w="0" w:type="dxa"/>
                  </w:tcMar>
                  <w:vAlign w:val="center"/>
                </w:tcPr>
                <w:p w14:paraId="700BF49E">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7.3</w:t>
                  </w:r>
                </w:p>
              </w:tc>
              <w:tc>
                <w:tcPr>
                  <w:tcW w:w="466" w:type="dxa"/>
                  <w:shd w:val="clear" w:color="auto" w:fill="auto"/>
                  <w:tcMar>
                    <w:top w:w="0" w:type="dxa"/>
                    <w:left w:w="0" w:type="dxa"/>
                    <w:bottom w:w="0" w:type="dxa"/>
                    <w:right w:w="0" w:type="dxa"/>
                  </w:tcMar>
                  <w:vAlign w:val="center"/>
                </w:tcPr>
                <w:p w14:paraId="3A1228A3">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28.6</w:t>
                  </w:r>
                </w:p>
              </w:tc>
              <w:tc>
                <w:tcPr>
                  <w:tcW w:w="467" w:type="dxa"/>
                  <w:shd w:val="clear" w:color="auto" w:fill="auto"/>
                  <w:tcMar>
                    <w:top w:w="0" w:type="dxa"/>
                    <w:left w:w="0" w:type="dxa"/>
                    <w:bottom w:w="0" w:type="dxa"/>
                    <w:right w:w="0" w:type="dxa"/>
                  </w:tcMar>
                  <w:vAlign w:val="center"/>
                </w:tcPr>
                <w:p w14:paraId="39576699">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49.9</w:t>
                  </w:r>
                </w:p>
              </w:tc>
              <w:tc>
                <w:tcPr>
                  <w:tcW w:w="460" w:type="dxa"/>
                  <w:shd w:val="clear" w:color="auto" w:fill="auto"/>
                  <w:tcMar>
                    <w:top w:w="0" w:type="dxa"/>
                    <w:left w:w="0" w:type="dxa"/>
                    <w:bottom w:w="0" w:type="dxa"/>
                    <w:right w:w="0" w:type="dxa"/>
                  </w:tcMar>
                  <w:vAlign w:val="center"/>
                </w:tcPr>
                <w:p w14:paraId="129BE829">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57.4</w:t>
                  </w:r>
                </w:p>
              </w:tc>
              <w:tc>
                <w:tcPr>
                  <w:tcW w:w="460" w:type="dxa"/>
                  <w:shd w:val="clear" w:color="auto" w:fill="auto"/>
                  <w:tcMar>
                    <w:top w:w="0" w:type="dxa"/>
                    <w:left w:w="0" w:type="dxa"/>
                    <w:bottom w:w="0" w:type="dxa"/>
                    <w:right w:w="0" w:type="dxa"/>
                  </w:tcMar>
                  <w:vAlign w:val="center"/>
                </w:tcPr>
                <w:p w14:paraId="5026D0A7">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57.7</w:t>
                  </w:r>
                </w:p>
              </w:tc>
              <w:tc>
                <w:tcPr>
                  <w:tcW w:w="460" w:type="dxa"/>
                  <w:shd w:val="clear" w:color="auto" w:fill="auto"/>
                  <w:tcMar>
                    <w:top w:w="0" w:type="dxa"/>
                    <w:left w:w="0" w:type="dxa"/>
                    <w:bottom w:w="0" w:type="dxa"/>
                    <w:right w:w="0" w:type="dxa"/>
                  </w:tcMar>
                  <w:vAlign w:val="center"/>
                </w:tcPr>
                <w:p w14:paraId="2C3F5E5C">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57.5</w:t>
                  </w:r>
                </w:p>
              </w:tc>
              <w:tc>
                <w:tcPr>
                  <w:tcW w:w="462" w:type="dxa"/>
                  <w:shd w:val="clear" w:color="auto" w:fill="auto"/>
                  <w:tcMar>
                    <w:top w:w="0" w:type="dxa"/>
                    <w:left w:w="0" w:type="dxa"/>
                    <w:bottom w:w="0" w:type="dxa"/>
                    <w:right w:w="0" w:type="dxa"/>
                  </w:tcMar>
                  <w:vAlign w:val="center"/>
                </w:tcPr>
                <w:p w14:paraId="3D7D0548">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57.4</w:t>
                  </w:r>
                </w:p>
              </w:tc>
              <w:tc>
                <w:tcPr>
                  <w:tcW w:w="445" w:type="dxa"/>
                  <w:vMerge w:val="restart"/>
                  <w:shd w:val="clear" w:color="auto" w:fill="auto"/>
                  <w:tcMar>
                    <w:top w:w="0" w:type="dxa"/>
                    <w:left w:w="0" w:type="dxa"/>
                    <w:bottom w:w="0" w:type="dxa"/>
                    <w:right w:w="0" w:type="dxa"/>
                  </w:tcMar>
                  <w:vAlign w:val="center"/>
                </w:tcPr>
                <w:p w14:paraId="10D65C2B">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FF0000"/>
                      <w:sz w:val="21"/>
                      <w:szCs w:val="21"/>
                      <w:lang w:val="en-US" w:eastAsia="zh-CN"/>
                    </w:rPr>
                    <w:t>昼</w:t>
                  </w:r>
                  <w:r>
                    <w:rPr>
                      <w:rFonts w:hint="eastAsia" w:ascii="Times New Roman" w:hAnsi="Times New Roman" w:eastAsia="宋体" w:cs="Times New Roman"/>
                      <w:color w:val="FF0000"/>
                      <w:sz w:val="21"/>
                      <w:szCs w:val="21"/>
                      <w:lang w:val="en-US" w:eastAsia="zh-CN"/>
                    </w:rPr>
                    <w:t>夜</w:t>
                  </w:r>
                  <w:r>
                    <w:rPr>
                      <w:rFonts w:hint="default" w:ascii="Times New Roman" w:hAnsi="Times New Roman" w:eastAsia="宋体" w:cs="Times New Roman"/>
                      <w:color w:val="FF0000"/>
                      <w:sz w:val="21"/>
                      <w:szCs w:val="21"/>
                      <w:lang w:val="en-US" w:eastAsia="zh-CN"/>
                    </w:rPr>
                    <w:t>间</w:t>
                  </w:r>
                </w:p>
              </w:tc>
              <w:tc>
                <w:tcPr>
                  <w:tcW w:w="444" w:type="dxa"/>
                  <w:shd w:val="clear" w:color="auto" w:fill="auto"/>
                  <w:tcMar>
                    <w:top w:w="0" w:type="dxa"/>
                    <w:left w:w="0" w:type="dxa"/>
                    <w:bottom w:w="0" w:type="dxa"/>
                    <w:right w:w="0" w:type="dxa"/>
                  </w:tcMar>
                  <w:vAlign w:val="center"/>
                </w:tcPr>
                <w:p w14:paraId="421CEA2C">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20.0</w:t>
                  </w:r>
                </w:p>
              </w:tc>
              <w:tc>
                <w:tcPr>
                  <w:tcW w:w="444" w:type="dxa"/>
                  <w:shd w:val="clear" w:color="auto" w:fill="auto"/>
                  <w:tcMar>
                    <w:top w:w="0" w:type="dxa"/>
                    <w:left w:w="0" w:type="dxa"/>
                    <w:bottom w:w="0" w:type="dxa"/>
                    <w:right w:w="0" w:type="dxa"/>
                  </w:tcMar>
                  <w:vAlign w:val="center"/>
                </w:tcPr>
                <w:p w14:paraId="6394AF58">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20.0</w:t>
                  </w:r>
                </w:p>
              </w:tc>
              <w:tc>
                <w:tcPr>
                  <w:tcW w:w="444" w:type="dxa"/>
                  <w:shd w:val="clear" w:color="auto" w:fill="auto"/>
                  <w:tcMar>
                    <w:top w:w="0" w:type="dxa"/>
                    <w:left w:w="0" w:type="dxa"/>
                    <w:bottom w:w="0" w:type="dxa"/>
                    <w:right w:w="0" w:type="dxa"/>
                  </w:tcMar>
                  <w:vAlign w:val="center"/>
                </w:tcPr>
                <w:p w14:paraId="73AD8C78">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20.0</w:t>
                  </w:r>
                </w:p>
              </w:tc>
              <w:tc>
                <w:tcPr>
                  <w:tcW w:w="444" w:type="dxa"/>
                  <w:shd w:val="clear" w:color="auto" w:fill="auto"/>
                  <w:tcMar>
                    <w:top w:w="0" w:type="dxa"/>
                    <w:left w:w="0" w:type="dxa"/>
                    <w:bottom w:w="0" w:type="dxa"/>
                    <w:right w:w="0" w:type="dxa"/>
                  </w:tcMar>
                  <w:vAlign w:val="center"/>
                </w:tcPr>
                <w:p w14:paraId="399DDE09">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20.0</w:t>
                  </w:r>
                </w:p>
              </w:tc>
              <w:tc>
                <w:tcPr>
                  <w:tcW w:w="470" w:type="dxa"/>
                  <w:shd w:val="clear" w:color="auto" w:fill="auto"/>
                  <w:tcMar>
                    <w:top w:w="0" w:type="dxa"/>
                    <w:left w:w="0" w:type="dxa"/>
                    <w:bottom w:w="0" w:type="dxa"/>
                    <w:right w:w="0" w:type="dxa"/>
                  </w:tcMar>
                  <w:vAlign w:val="center"/>
                </w:tcPr>
                <w:p w14:paraId="26741D9C">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37.4</w:t>
                  </w:r>
                </w:p>
              </w:tc>
              <w:tc>
                <w:tcPr>
                  <w:tcW w:w="470" w:type="dxa"/>
                  <w:shd w:val="clear" w:color="auto" w:fill="auto"/>
                  <w:tcMar>
                    <w:top w:w="0" w:type="dxa"/>
                    <w:left w:w="0" w:type="dxa"/>
                    <w:bottom w:w="0" w:type="dxa"/>
                    <w:right w:w="0" w:type="dxa"/>
                  </w:tcMar>
                  <w:vAlign w:val="center"/>
                </w:tcPr>
                <w:p w14:paraId="3CE51937">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37.7</w:t>
                  </w:r>
                </w:p>
              </w:tc>
              <w:tc>
                <w:tcPr>
                  <w:tcW w:w="470" w:type="dxa"/>
                  <w:shd w:val="clear" w:color="auto" w:fill="auto"/>
                  <w:tcMar>
                    <w:top w:w="0" w:type="dxa"/>
                    <w:left w:w="0" w:type="dxa"/>
                    <w:bottom w:w="0" w:type="dxa"/>
                    <w:right w:w="0" w:type="dxa"/>
                  </w:tcMar>
                  <w:vAlign w:val="center"/>
                </w:tcPr>
                <w:p w14:paraId="24DB4012">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37.5</w:t>
                  </w:r>
                </w:p>
              </w:tc>
              <w:tc>
                <w:tcPr>
                  <w:tcW w:w="471" w:type="dxa"/>
                  <w:shd w:val="clear" w:color="auto" w:fill="auto"/>
                  <w:tcMar>
                    <w:top w:w="0" w:type="dxa"/>
                    <w:left w:w="0" w:type="dxa"/>
                    <w:bottom w:w="0" w:type="dxa"/>
                    <w:right w:w="0" w:type="dxa"/>
                  </w:tcMar>
                  <w:vAlign w:val="center"/>
                </w:tcPr>
                <w:p w14:paraId="6B5B46B2">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37.4</w:t>
                  </w:r>
                </w:p>
              </w:tc>
              <w:tc>
                <w:tcPr>
                  <w:tcW w:w="648" w:type="dxa"/>
                  <w:shd w:val="clear" w:color="auto" w:fill="auto"/>
                  <w:tcMar>
                    <w:top w:w="0" w:type="dxa"/>
                    <w:left w:w="0" w:type="dxa"/>
                    <w:bottom w:w="0" w:type="dxa"/>
                    <w:right w:w="0" w:type="dxa"/>
                  </w:tcMar>
                  <w:vAlign w:val="center"/>
                </w:tcPr>
                <w:p w14:paraId="2A9B9920">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1</w:t>
                  </w:r>
                </w:p>
              </w:tc>
            </w:tr>
            <w:tr w14:paraId="5E3DFA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482" w:type="dxa"/>
                  <w:shd w:val="clear" w:color="auto" w:fill="auto"/>
                  <w:vAlign w:val="center"/>
                </w:tcPr>
                <w:p w14:paraId="2FC09C20">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2</w:t>
                  </w:r>
                </w:p>
              </w:tc>
              <w:tc>
                <w:tcPr>
                  <w:tcW w:w="485" w:type="dxa"/>
                  <w:vMerge w:val="continue"/>
                  <w:shd w:val="clear" w:color="auto" w:fill="auto"/>
                  <w:tcMar>
                    <w:top w:w="0" w:type="dxa"/>
                    <w:left w:w="0" w:type="dxa"/>
                    <w:bottom w:w="0" w:type="dxa"/>
                    <w:right w:w="0" w:type="dxa"/>
                  </w:tcMar>
                  <w:vAlign w:val="center"/>
                </w:tcPr>
                <w:p w14:paraId="3EE5A3BD">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 w:val="21"/>
                      <w:szCs w:val="21"/>
                    </w:rPr>
                  </w:pPr>
                </w:p>
              </w:tc>
              <w:tc>
                <w:tcPr>
                  <w:tcW w:w="541" w:type="dxa"/>
                  <w:shd w:val="clear" w:color="auto" w:fill="auto"/>
                  <w:tcMar>
                    <w:top w:w="0" w:type="dxa"/>
                    <w:left w:w="0" w:type="dxa"/>
                    <w:bottom w:w="0" w:type="dxa"/>
                    <w:right w:w="0" w:type="dxa"/>
                  </w:tcMar>
                  <w:vAlign w:val="center"/>
                </w:tcPr>
                <w:p w14:paraId="7D0FD743">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隔膜泵</w:t>
                  </w:r>
                  <w:r>
                    <w:rPr>
                      <w:rFonts w:hint="eastAsia" w:ascii="Times New Roman" w:hAnsi="Times New Roman" w:eastAsia="宋体" w:cs="Times New Roman"/>
                      <w:color w:val="auto"/>
                      <w:sz w:val="21"/>
                      <w:szCs w:val="21"/>
                      <w:lang w:eastAsia="zh-CN"/>
                    </w:rPr>
                    <w:t>，</w:t>
                  </w:r>
                  <w:r>
                    <w:rPr>
                      <w:rFonts w:hint="default" w:ascii="Times New Roman" w:hAnsi="Times New Roman" w:eastAsia="宋体" w:cs="Times New Roman"/>
                      <w:color w:val="auto"/>
                      <w:sz w:val="21"/>
                      <w:szCs w:val="21"/>
                    </w:rPr>
                    <w:t>14台（按点声源组预测）</w:t>
                  </w:r>
                </w:p>
              </w:tc>
              <w:tc>
                <w:tcPr>
                  <w:tcW w:w="413" w:type="dxa"/>
                  <w:shd w:val="clear" w:color="auto" w:fill="auto"/>
                  <w:tcMar>
                    <w:top w:w="0" w:type="dxa"/>
                    <w:left w:w="0" w:type="dxa"/>
                    <w:bottom w:w="0" w:type="dxa"/>
                    <w:right w:w="0" w:type="dxa"/>
                  </w:tcMar>
                  <w:vAlign w:val="center"/>
                </w:tcPr>
                <w:p w14:paraId="66A5651D">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宋体" w:cs="Times New Roman"/>
                      <w:color w:val="auto"/>
                      <w:sz w:val="21"/>
                      <w:szCs w:val="21"/>
                      <w:highlight w:val="none"/>
                      <w:lang w:val="en-US" w:eastAsia="en-US" w:bidi="ar-SA"/>
                    </w:rPr>
                  </w:pPr>
                  <w:r>
                    <w:rPr>
                      <w:rFonts w:hint="default" w:ascii="Times New Roman" w:hAnsi="Times New Roman" w:eastAsia="宋体" w:cs="Times New Roman"/>
                      <w:color w:val="auto"/>
                      <w:kern w:val="0"/>
                      <w:sz w:val="21"/>
                      <w:szCs w:val="21"/>
                      <w:highlight w:val="none"/>
                      <w:lang w:bidi="ar"/>
                    </w:rPr>
                    <w:t>S30B1A1EABS000-FB（3寸）</w:t>
                  </w:r>
                </w:p>
              </w:tc>
              <w:tc>
                <w:tcPr>
                  <w:tcW w:w="637" w:type="dxa"/>
                  <w:shd w:val="clear" w:color="auto" w:fill="auto"/>
                  <w:tcMar>
                    <w:top w:w="0" w:type="dxa"/>
                    <w:left w:w="0" w:type="dxa"/>
                    <w:bottom w:w="0" w:type="dxa"/>
                    <w:right w:w="0" w:type="dxa"/>
                  </w:tcMar>
                  <w:vAlign w:val="center"/>
                </w:tcPr>
                <w:p w14:paraId="2301A688">
                  <w:pPr>
                    <w:keepNext w:val="0"/>
                    <w:keepLines w:val="0"/>
                    <w:suppressLineNumbers w:val="0"/>
                    <w:spacing w:before="0" w:beforeAutospacing="0" w:after="0" w:afterAutospacing="0"/>
                    <w:ind w:left="0" w:right="0"/>
                    <w:jc w:val="center"/>
                    <w:rPr>
                      <w:rFonts w:hint="eastAsia" w:ascii="Times New Roman" w:hAnsi="Times New Roman" w:eastAsia="宋体" w:cs="Times New Roman"/>
                      <w:color w:val="auto"/>
                      <w:sz w:val="21"/>
                      <w:szCs w:val="21"/>
                      <w:lang w:eastAsia="zh-CN"/>
                    </w:rPr>
                  </w:pPr>
                  <w:r>
                    <w:rPr>
                      <w:rFonts w:hint="default" w:ascii="Times New Roman" w:hAnsi="Times New Roman" w:eastAsia="宋体" w:cs="Times New Roman"/>
                      <w:color w:val="auto"/>
                      <w:sz w:val="21"/>
                      <w:szCs w:val="21"/>
                    </w:rPr>
                    <w:t>75/1（等效后：86.5/1</w:t>
                  </w:r>
                  <w:r>
                    <w:rPr>
                      <w:rFonts w:hint="eastAsia" w:ascii="Times New Roman" w:hAnsi="Times New Roman" w:eastAsia="宋体" w:cs="Times New Roman"/>
                      <w:color w:val="auto"/>
                      <w:sz w:val="21"/>
                      <w:szCs w:val="21"/>
                      <w:lang w:eastAsia="zh-CN"/>
                    </w:rPr>
                    <w:t>）</w:t>
                  </w:r>
                </w:p>
              </w:tc>
              <w:tc>
                <w:tcPr>
                  <w:tcW w:w="553" w:type="dxa"/>
                  <w:vMerge w:val="continue"/>
                  <w:shd w:val="clear" w:color="auto" w:fill="auto"/>
                  <w:tcMar>
                    <w:top w:w="0" w:type="dxa"/>
                    <w:left w:w="0" w:type="dxa"/>
                    <w:bottom w:w="0" w:type="dxa"/>
                    <w:right w:w="0" w:type="dxa"/>
                  </w:tcMar>
                  <w:vAlign w:val="center"/>
                </w:tcPr>
                <w:p w14:paraId="78799C40">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 w:val="21"/>
                      <w:szCs w:val="21"/>
                    </w:rPr>
                  </w:pPr>
                </w:p>
              </w:tc>
              <w:tc>
                <w:tcPr>
                  <w:tcW w:w="563" w:type="dxa"/>
                  <w:shd w:val="clear" w:color="auto" w:fill="auto"/>
                  <w:tcMar>
                    <w:top w:w="0" w:type="dxa"/>
                    <w:left w:w="0" w:type="dxa"/>
                    <w:bottom w:w="0" w:type="dxa"/>
                    <w:right w:w="0" w:type="dxa"/>
                  </w:tcMar>
                  <w:vAlign w:val="center"/>
                </w:tcPr>
                <w:p w14:paraId="67AB87CE">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-43.4</w:t>
                  </w:r>
                </w:p>
              </w:tc>
              <w:tc>
                <w:tcPr>
                  <w:tcW w:w="563" w:type="dxa"/>
                  <w:shd w:val="clear" w:color="auto" w:fill="auto"/>
                  <w:tcMar>
                    <w:top w:w="0" w:type="dxa"/>
                    <w:left w:w="0" w:type="dxa"/>
                    <w:bottom w:w="0" w:type="dxa"/>
                    <w:right w:w="0" w:type="dxa"/>
                  </w:tcMar>
                  <w:vAlign w:val="center"/>
                </w:tcPr>
                <w:p w14:paraId="0BB7F530">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-31.5</w:t>
                  </w:r>
                </w:p>
              </w:tc>
              <w:tc>
                <w:tcPr>
                  <w:tcW w:w="564" w:type="dxa"/>
                  <w:shd w:val="clear" w:color="auto" w:fill="auto"/>
                  <w:tcMar>
                    <w:top w:w="0" w:type="dxa"/>
                    <w:left w:w="0" w:type="dxa"/>
                    <w:bottom w:w="0" w:type="dxa"/>
                    <w:right w:w="0" w:type="dxa"/>
                  </w:tcMar>
                  <w:vAlign w:val="center"/>
                </w:tcPr>
                <w:p w14:paraId="71162CC2">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1.2</w:t>
                  </w:r>
                </w:p>
              </w:tc>
              <w:tc>
                <w:tcPr>
                  <w:tcW w:w="466" w:type="dxa"/>
                  <w:shd w:val="clear" w:color="auto" w:fill="auto"/>
                  <w:tcMar>
                    <w:top w:w="0" w:type="dxa"/>
                    <w:left w:w="0" w:type="dxa"/>
                    <w:bottom w:w="0" w:type="dxa"/>
                    <w:right w:w="0" w:type="dxa"/>
                  </w:tcMar>
                  <w:vAlign w:val="center"/>
                </w:tcPr>
                <w:p w14:paraId="646399D7">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49.2</w:t>
                  </w:r>
                </w:p>
              </w:tc>
              <w:tc>
                <w:tcPr>
                  <w:tcW w:w="466" w:type="dxa"/>
                  <w:shd w:val="clear" w:color="auto" w:fill="auto"/>
                  <w:tcMar>
                    <w:top w:w="0" w:type="dxa"/>
                    <w:left w:w="0" w:type="dxa"/>
                    <w:bottom w:w="0" w:type="dxa"/>
                    <w:right w:w="0" w:type="dxa"/>
                  </w:tcMar>
                  <w:vAlign w:val="center"/>
                </w:tcPr>
                <w:p w14:paraId="0CC9973B">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7.5</w:t>
                  </w:r>
                </w:p>
              </w:tc>
              <w:tc>
                <w:tcPr>
                  <w:tcW w:w="466" w:type="dxa"/>
                  <w:shd w:val="clear" w:color="auto" w:fill="auto"/>
                  <w:tcMar>
                    <w:top w:w="0" w:type="dxa"/>
                    <w:left w:w="0" w:type="dxa"/>
                    <w:bottom w:w="0" w:type="dxa"/>
                    <w:right w:w="0" w:type="dxa"/>
                  </w:tcMar>
                  <w:vAlign w:val="center"/>
                </w:tcPr>
                <w:p w14:paraId="458A3E73">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34.6</w:t>
                  </w:r>
                </w:p>
              </w:tc>
              <w:tc>
                <w:tcPr>
                  <w:tcW w:w="467" w:type="dxa"/>
                  <w:shd w:val="clear" w:color="auto" w:fill="auto"/>
                  <w:tcMar>
                    <w:top w:w="0" w:type="dxa"/>
                    <w:left w:w="0" w:type="dxa"/>
                    <w:bottom w:w="0" w:type="dxa"/>
                    <w:right w:w="0" w:type="dxa"/>
                  </w:tcMar>
                  <w:vAlign w:val="center"/>
                </w:tcPr>
                <w:p w14:paraId="2BE01473">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49.7</w:t>
                  </w:r>
                </w:p>
              </w:tc>
              <w:tc>
                <w:tcPr>
                  <w:tcW w:w="460" w:type="dxa"/>
                  <w:shd w:val="clear" w:color="auto" w:fill="auto"/>
                  <w:tcMar>
                    <w:top w:w="0" w:type="dxa"/>
                    <w:left w:w="0" w:type="dxa"/>
                    <w:bottom w:w="0" w:type="dxa"/>
                    <w:right w:w="0" w:type="dxa"/>
                  </w:tcMar>
                  <w:vAlign w:val="center"/>
                </w:tcPr>
                <w:p w14:paraId="2B784649">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60.9</w:t>
                  </w:r>
                </w:p>
              </w:tc>
              <w:tc>
                <w:tcPr>
                  <w:tcW w:w="460" w:type="dxa"/>
                  <w:shd w:val="clear" w:color="auto" w:fill="auto"/>
                  <w:tcMar>
                    <w:top w:w="0" w:type="dxa"/>
                    <w:left w:w="0" w:type="dxa"/>
                    <w:bottom w:w="0" w:type="dxa"/>
                    <w:right w:w="0" w:type="dxa"/>
                  </w:tcMar>
                  <w:vAlign w:val="center"/>
                </w:tcPr>
                <w:p w14:paraId="69C91490">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61.2</w:t>
                  </w:r>
                </w:p>
              </w:tc>
              <w:tc>
                <w:tcPr>
                  <w:tcW w:w="460" w:type="dxa"/>
                  <w:shd w:val="clear" w:color="auto" w:fill="auto"/>
                  <w:tcMar>
                    <w:top w:w="0" w:type="dxa"/>
                    <w:left w:w="0" w:type="dxa"/>
                    <w:bottom w:w="0" w:type="dxa"/>
                    <w:right w:w="0" w:type="dxa"/>
                  </w:tcMar>
                  <w:vAlign w:val="center"/>
                </w:tcPr>
                <w:p w14:paraId="0ADB8021">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61.0</w:t>
                  </w:r>
                </w:p>
              </w:tc>
              <w:tc>
                <w:tcPr>
                  <w:tcW w:w="462" w:type="dxa"/>
                  <w:shd w:val="clear" w:color="auto" w:fill="auto"/>
                  <w:tcMar>
                    <w:top w:w="0" w:type="dxa"/>
                    <w:left w:w="0" w:type="dxa"/>
                    <w:bottom w:w="0" w:type="dxa"/>
                    <w:right w:w="0" w:type="dxa"/>
                  </w:tcMar>
                  <w:vAlign w:val="center"/>
                </w:tcPr>
                <w:p w14:paraId="63D1BF31">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60.9</w:t>
                  </w:r>
                </w:p>
              </w:tc>
              <w:tc>
                <w:tcPr>
                  <w:tcW w:w="445" w:type="dxa"/>
                  <w:vMerge w:val="continue"/>
                  <w:shd w:val="clear" w:color="auto" w:fill="auto"/>
                  <w:tcMar>
                    <w:top w:w="0" w:type="dxa"/>
                    <w:left w:w="0" w:type="dxa"/>
                    <w:bottom w:w="0" w:type="dxa"/>
                    <w:right w:w="0" w:type="dxa"/>
                  </w:tcMar>
                  <w:vAlign w:val="center"/>
                </w:tcPr>
                <w:p w14:paraId="53EBBBCD">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 w:val="21"/>
                      <w:szCs w:val="21"/>
                    </w:rPr>
                  </w:pPr>
                </w:p>
              </w:tc>
              <w:tc>
                <w:tcPr>
                  <w:tcW w:w="444" w:type="dxa"/>
                  <w:shd w:val="clear" w:color="auto" w:fill="auto"/>
                  <w:tcMar>
                    <w:top w:w="0" w:type="dxa"/>
                    <w:left w:w="0" w:type="dxa"/>
                    <w:bottom w:w="0" w:type="dxa"/>
                    <w:right w:w="0" w:type="dxa"/>
                  </w:tcMar>
                  <w:vAlign w:val="center"/>
                </w:tcPr>
                <w:p w14:paraId="25E98AF9">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20.0</w:t>
                  </w:r>
                </w:p>
              </w:tc>
              <w:tc>
                <w:tcPr>
                  <w:tcW w:w="444" w:type="dxa"/>
                  <w:shd w:val="clear" w:color="auto" w:fill="auto"/>
                  <w:tcMar>
                    <w:top w:w="0" w:type="dxa"/>
                    <w:left w:w="0" w:type="dxa"/>
                    <w:bottom w:w="0" w:type="dxa"/>
                    <w:right w:w="0" w:type="dxa"/>
                  </w:tcMar>
                  <w:vAlign w:val="center"/>
                </w:tcPr>
                <w:p w14:paraId="01FE017D">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20.0</w:t>
                  </w:r>
                </w:p>
              </w:tc>
              <w:tc>
                <w:tcPr>
                  <w:tcW w:w="444" w:type="dxa"/>
                  <w:shd w:val="clear" w:color="auto" w:fill="auto"/>
                  <w:tcMar>
                    <w:top w:w="0" w:type="dxa"/>
                    <w:left w:w="0" w:type="dxa"/>
                    <w:bottom w:w="0" w:type="dxa"/>
                    <w:right w:w="0" w:type="dxa"/>
                  </w:tcMar>
                  <w:vAlign w:val="center"/>
                </w:tcPr>
                <w:p w14:paraId="7AF87894">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20.0</w:t>
                  </w:r>
                </w:p>
              </w:tc>
              <w:tc>
                <w:tcPr>
                  <w:tcW w:w="444" w:type="dxa"/>
                  <w:shd w:val="clear" w:color="auto" w:fill="auto"/>
                  <w:tcMar>
                    <w:top w:w="0" w:type="dxa"/>
                    <w:left w:w="0" w:type="dxa"/>
                    <w:bottom w:w="0" w:type="dxa"/>
                    <w:right w:w="0" w:type="dxa"/>
                  </w:tcMar>
                  <w:vAlign w:val="center"/>
                </w:tcPr>
                <w:p w14:paraId="19E00022">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20.0</w:t>
                  </w:r>
                </w:p>
              </w:tc>
              <w:tc>
                <w:tcPr>
                  <w:tcW w:w="470" w:type="dxa"/>
                  <w:shd w:val="clear" w:color="auto" w:fill="auto"/>
                  <w:tcMar>
                    <w:top w:w="0" w:type="dxa"/>
                    <w:left w:w="0" w:type="dxa"/>
                    <w:bottom w:w="0" w:type="dxa"/>
                    <w:right w:w="0" w:type="dxa"/>
                  </w:tcMar>
                  <w:vAlign w:val="center"/>
                </w:tcPr>
                <w:p w14:paraId="7D8DC74D">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40.9</w:t>
                  </w:r>
                </w:p>
              </w:tc>
              <w:tc>
                <w:tcPr>
                  <w:tcW w:w="470" w:type="dxa"/>
                  <w:shd w:val="clear" w:color="auto" w:fill="auto"/>
                  <w:tcMar>
                    <w:top w:w="0" w:type="dxa"/>
                    <w:left w:w="0" w:type="dxa"/>
                    <w:bottom w:w="0" w:type="dxa"/>
                    <w:right w:w="0" w:type="dxa"/>
                  </w:tcMar>
                  <w:vAlign w:val="center"/>
                </w:tcPr>
                <w:p w14:paraId="13D4270B">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41.2</w:t>
                  </w:r>
                </w:p>
              </w:tc>
              <w:tc>
                <w:tcPr>
                  <w:tcW w:w="470" w:type="dxa"/>
                  <w:shd w:val="clear" w:color="auto" w:fill="auto"/>
                  <w:tcMar>
                    <w:top w:w="0" w:type="dxa"/>
                    <w:left w:w="0" w:type="dxa"/>
                    <w:bottom w:w="0" w:type="dxa"/>
                    <w:right w:w="0" w:type="dxa"/>
                  </w:tcMar>
                  <w:vAlign w:val="center"/>
                </w:tcPr>
                <w:p w14:paraId="05A94C67">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41.0</w:t>
                  </w:r>
                </w:p>
              </w:tc>
              <w:tc>
                <w:tcPr>
                  <w:tcW w:w="471" w:type="dxa"/>
                  <w:shd w:val="clear" w:color="auto" w:fill="auto"/>
                  <w:tcMar>
                    <w:top w:w="0" w:type="dxa"/>
                    <w:left w:w="0" w:type="dxa"/>
                    <w:bottom w:w="0" w:type="dxa"/>
                    <w:right w:w="0" w:type="dxa"/>
                  </w:tcMar>
                  <w:vAlign w:val="center"/>
                </w:tcPr>
                <w:p w14:paraId="50799202">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40.9</w:t>
                  </w:r>
                </w:p>
              </w:tc>
              <w:tc>
                <w:tcPr>
                  <w:tcW w:w="648" w:type="dxa"/>
                  <w:shd w:val="clear" w:color="auto" w:fill="auto"/>
                  <w:tcMar>
                    <w:top w:w="0" w:type="dxa"/>
                    <w:left w:w="0" w:type="dxa"/>
                    <w:bottom w:w="0" w:type="dxa"/>
                    <w:right w:w="0" w:type="dxa"/>
                  </w:tcMar>
                  <w:vAlign w:val="center"/>
                </w:tcPr>
                <w:p w14:paraId="1196438F">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1</w:t>
                  </w:r>
                </w:p>
              </w:tc>
            </w:tr>
            <w:tr w14:paraId="3E04D8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23" w:hRule="atLeast"/>
                <w:jc w:val="center"/>
              </w:trPr>
              <w:tc>
                <w:tcPr>
                  <w:tcW w:w="482" w:type="dxa"/>
                  <w:shd w:val="clear" w:color="auto" w:fill="auto"/>
                  <w:vAlign w:val="center"/>
                </w:tcPr>
                <w:p w14:paraId="49A9FA55">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3</w:t>
                  </w:r>
                </w:p>
              </w:tc>
              <w:tc>
                <w:tcPr>
                  <w:tcW w:w="485" w:type="dxa"/>
                  <w:vMerge w:val="continue"/>
                  <w:shd w:val="clear" w:color="auto" w:fill="auto"/>
                  <w:tcMar>
                    <w:top w:w="0" w:type="dxa"/>
                    <w:left w:w="0" w:type="dxa"/>
                    <w:bottom w:w="0" w:type="dxa"/>
                    <w:right w:w="0" w:type="dxa"/>
                  </w:tcMar>
                  <w:vAlign w:val="center"/>
                </w:tcPr>
                <w:p w14:paraId="3B51A29D">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 w:val="21"/>
                      <w:szCs w:val="21"/>
                    </w:rPr>
                  </w:pPr>
                </w:p>
              </w:tc>
              <w:tc>
                <w:tcPr>
                  <w:tcW w:w="541" w:type="dxa"/>
                  <w:shd w:val="clear" w:color="auto" w:fill="auto"/>
                  <w:tcMar>
                    <w:top w:w="0" w:type="dxa"/>
                    <w:left w:w="0" w:type="dxa"/>
                    <w:bottom w:w="0" w:type="dxa"/>
                    <w:right w:w="0" w:type="dxa"/>
                  </w:tcMar>
                  <w:vAlign w:val="center"/>
                </w:tcPr>
                <w:p w14:paraId="1B22F8DB">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高速混合机</w:t>
                  </w:r>
                </w:p>
              </w:tc>
              <w:tc>
                <w:tcPr>
                  <w:tcW w:w="413" w:type="dxa"/>
                  <w:shd w:val="clear" w:color="auto" w:fill="auto"/>
                  <w:tcMar>
                    <w:top w:w="0" w:type="dxa"/>
                    <w:left w:w="0" w:type="dxa"/>
                    <w:bottom w:w="0" w:type="dxa"/>
                    <w:right w:w="0" w:type="dxa"/>
                  </w:tcMar>
                  <w:vAlign w:val="center"/>
                </w:tcPr>
                <w:p w14:paraId="60076119">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宋体" w:cs="Times New Roman"/>
                      <w:color w:val="auto"/>
                      <w:sz w:val="21"/>
                      <w:szCs w:val="21"/>
                      <w:highlight w:val="none"/>
                      <w:lang w:val="en-US" w:eastAsia="en-US" w:bidi="ar-SA"/>
                    </w:rPr>
                  </w:pPr>
                  <w:r>
                    <w:rPr>
                      <w:rFonts w:hint="default" w:ascii="Times New Roman" w:hAnsi="Times New Roman" w:eastAsia="宋体" w:cs="Times New Roman"/>
                      <w:color w:val="auto"/>
                      <w:kern w:val="0"/>
                      <w:sz w:val="21"/>
                      <w:szCs w:val="21"/>
                      <w:highlight w:val="none"/>
                      <w:lang w:bidi="ar"/>
                    </w:rPr>
                    <w:t>SHR1000L</w:t>
                  </w:r>
                </w:p>
              </w:tc>
              <w:tc>
                <w:tcPr>
                  <w:tcW w:w="637" w:type="dxa"/>
                  <w:shd w:val="clear" w:color="auto" w:fill="auto"/>
                  <w:tcMar>
                    <w:top w:w="0" w:type="dxa"/>
                    <w:left w:w="0" w:type="dxa"/>
                    <w:bottom w:w="0" w:type="dxa"/>
                    <w:right w:w="0" w:type="dxa"/>
                  </w:tcMar>
                  <w:vAlign w:val="center"/>
                </w:tcPr>
                <w:p w14:paraId="5FE0DC99">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78/1</w:t>
                  </w:r>
                </w:p>
              </w:tc>
              <w:tc>
                <w:tcPr>
                  <w:tcW w:w="553" w:type="dxa"/>
                  <w:vMerge w:val="continue"/>
                  <w:shd w:val="clear" w:color="auto" w:fill="auto"/>
                  <w:tcMar>
                    <w:top w:w="0" w:type="dxa"/>
                    <w:left w:w="0" w:type="dxa"/>
                    <w:bottom w:w="0" w:type="dxa"/>
                    <w:right w:w="0" w:type="dxa"/>
                  </w:tcMar>
                  <w:vAlign w:val="center"/>
                </w:tcPr>
                <w:p w14:paraId="3702AA3E">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 w:val="21"/>
                      <w:szCs w:val="21"/>
                    </w:rPr>
                  </w:pPr>
                </w:p>
              </w:tc>
              <w:tc>
                <w:tcPr>
                  <w:tcW w:w="563" w:type="dxa"/>
                  <w:shd w:val="clear" w:color="auto" w:fill="auto"/>
                  <w:tcMar>
                    <w:top w:w="0" w:type="dxa"/>
                    <w:left w:w="0" w:type="dxa"/>
                    <w:bottom w:w="0" w:type="dxa"/>
                    <w:right w:w="0" w:type="dxa"/>
                  </w:tcMar>
                  <w:vAlign w:val="center"/>
                </w:tcPr>
                <w:p w14:paraId="19575AE2">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-52</w:t>
                  </w:r>
                </w:p>
              </w:tc>
              <w:tc>
                <w:tcPr>
                  <w:tcW w:w="563" w:type="dxa"/>
                  <w:shd w:val="clear" w:color="auto" w:fill="auto"/>
                  <w:tcMar>
                    <w:top w:w="0" w:type="dxa"/>
                    <w:left w:w="0" w:type="dxa"/>
                    <w:bottom w:w="0" w:type="dxa"/>
                    <w:right w:w="0" w:type="dxa"/>
                  </w:tcMar>
                  <w:vAlign w:val="center"/>
                </w:tcPr>
                <w:p w14:paraId="7C620FEC">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-29.4</w:t>
                  </w:r>
                </w:p>
              </w:tc>
              <w:tc>
                <w:tcPr>
                  <w:tcW w:w="564" w:type="dxa"/>
                  <w:shd w:val="clear" w:color="auto" w:fill="auto"/>
                  <w:tcMar>
                    <w:top w:w="0" w:type="dxa"/>
                    <w:left w:w="0" w:type="dxa"/>
                    <w:bottom w:w="0" w:type="dxa"/>
                    <w:right w:w="0" w:type="dxa"/>
                  </w:tcMar>
                  <w:vAlign w:val="center"/>
                </w:tcPr>
                <w:p w14:paraId="1A393948">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1.2</w:t>
                  </w:r>
                </w:p>
              </w:tc>
              <w:tc>
                <w:tcPr>
                  <w:tcW w:w="466" w:type="dxa"/>
                  <w:shd w:val="clear" w:color="auto" w:fill="auto"/>
                  <w:tcMar>
                    <w:top w:w="0" w:type="dxa"/>
                    <w:left w:w="0" w:type="dxa"/>
                    <w:bottom w:w="0" w:type="dxa"/>
                    <w:right w:w="0" w:type="dxa"/>
                  </w:tcMar>
                  <w:vAlign w:val="center"/>
                </w:tcPr>
                <w:p w14:paraId="510A95A8">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57.2</w:t>
                  </w:r>
                </w:p>
              </w:tc>
              <w:tc>
                <w:tcPr>
                  <w:tcW w:w="466" w:type="dxa"/>
                  <w:shd w:val="clear" w:color="auto" w:fill="auto"/>
                  <w:tcMar>
                    <w:top w:w="0" w:type="dxa"/>
                    <w:left w:w="0" w:type="dxa"/>
                    <w:bottom w:w="0" w:type="dxa"/>
                    <w:right w:w="0" w:type="dxa"/>
                  </w:tcMar>
                  <w:vAlign w:val="center"/>
                </w:tcPr>
                <w:p w14:paraId="477F8005">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11.4</w:t>
                  </w:r>
                </w:p>
              </w:tc>
              <w:tc>
                <w:tcPr>
                  <w:tcW w:w="466" w:type="dxa"/>
                  <w:shd w:val="clear" w:color="auto" w:fill="auto"/>
                  <w:tcMar>
                    <w:top w:w="0" w:type="dxa"/>
                    <w:left w:w="0" w:type="dxa"/>
                    <w:bottom w:w="0" w:type="dxa"/>
                    <w:right w:w="0" w:type="dxa"/>
                  </w:tcMar>
                  <w:vAlign w:val="center"/>
                </w:tcPr>
                <w:p w14:paraId="4879A097">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26.6</w:t>
                  </w:r>
                </w:p>
              </w:tc>
              <w:tc>
                <w:tcPr>
                  <w:tcW w:w="467" w:type="dxa"/>
                  <w:shd w:val="clear" w:color="auto" w:fill="auto"/>
                  <w:tcMar>
                    <w:top w:w="0" w:type="dxa"/>
                    <w:left w:w="0" w:type="dxa"/>
                    <w:bottom w:w="0" w:type="dxa"/>
                    <w:right w:w="0" w:type="dxa"/>
                  </w:tcMar>
                  <w:vAlign w:val="center"/>
                </w:tcPr>
                <w:p w14:paraId="27ABAACF">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45.8</w:t>
                  </w:r>
                </w:p>
              </w:tc>
              <w:tc>
                <w:tcPr>
                  <w:tcW w:w="460" w:type="dxa"/>
                  <w:shd w:val="clear" w:color="auto" w:fill="auto"/>
                  <w:tcMar>
                    <w:top w:w="0" w:type="dxa"/>
                    <w:left w:w="0" w:type="dxa"/>
                    <w:bottom w:w="0" w:type="dxa"/>
                    <w:right w:w="0" w:type="dxa"/>
                  </w:tcMar>
                  <w:vAlign w:val="center"/>
                </w:tcPr>
                <w:p w14:paraId="50BF9857">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57.4</w:t>
                  </w:r>
                </w:p>
              </w:tc>
              <w:tc>
                <w:tcPr>
                  <w:tcW w:w="460" w:type="dxa"/>
                  <w:shd w:val="clear" w:color="auto" w:fill="auto"/>
                  <w:tcMar>
                    <w:top w:w="0" w:type="dxa"/>
                    <w:left w:w="0" w:type="dxa"/>
                    <w:bottom w:w="0" w:type="dxa"/>
                    <w:right w:w="0" w:type="dxa"/>
                  </w:tcMar>
                  <w:vAlign w:val="center"/>
                </w:tcPr>
                <w:p w14:paraId="6759BB02">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57.5</w:t>
                  </w:r>
                </w:p>
              </w:tc>
              <w:tc>
                <w:tcPr>
                  <w:tcW w:w="460" w:type="dxa"/>
                  <w:shd w:val="clear" w:color="auto" w:fill="auto"/>
                  <w:tcMar>
                    <w:top w:w="0" w:type="dxa"/>
                    <w:left w:w="0" w:type="dxa"/>
                    <w:bottom w:w="0" w:type="dxa"/>
                    <w:right w:w="0" w:type="dxa"/>
                  </w:tcMar>
                  <w:vAlign w:val="center"/>
                </w:tcPr>
                <w:p w14:paraId="38D0CBE7">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57.5</w:t>
                  </w:r>
                </w:p>
              </w:tc>
              <w:tc>
                <w:tcPr>
                  <w:tcW w:w="462" w:type="dxa"/>
                  <w:shd w:val="clear" w:color="auto" w:fill="auto"/>
                  <w:tcMar>
                    <w:top w:w="0" w:type="dxa"/>
                    <w:left w:w="0" w:type="dxa"/>
                    <w:bottom w:w="0" w:type="dxa"/>
                    <w:right w:w="0" w:type="dxa"/>
                  </w:tcMar>
                  <w:vAlign w:val="center"/>
                </w:tcPr>
                <w:p w14:paraId="11B3D7BA">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57.4</w:t>
                  </w:r>
                </w:p>
              </w:tc>
              <w:tc>
                <w:tcPr>
                  <w:tcW w:w="445" w:type="dxa"/>
                  <w:vMerge w:val="continue"/>
                  <w:shd w:val="clear" w:color="auto" w:fill="auto"/>
                  <w:tcMar>
                    <w:top w:w="0" w:type="dxa"/>
                    <w:left w:w="0" w:type="dxa"/>
                    <w:bottom w:w="0" w:type="dxa"/>
                    <w:right w:w="0" w:type="dxa"/>
                  </w:tcMar>
                  <w:vAlign w:val="center"/>
                </w:tcPr>
                <w:p w14:paraId="1BDB658F">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 w:val="21"/>
                      <w:szCs w:val="21"/>
                    </w:rPr>
                  </w:pPr>
                </w:p>
              </w:tc>
              <w:tc>
                <w:tcPr>
                  <w:tcW w:w="444" w:type="dxa"/>
                  <w:shd w:val="clear" w:color="auto" w:fill="auto"/>
                  <w:tcMar>
                    <w:top w:w="0" w:type="dxa"/>
                    <w:left w:w="0" w:type="dxa"/>
                    <w:bottom w:w="0" w:type="dxa"/>
                    <w:right w:w="0" w:type="dxa"/>
                  </w:tcMar>
                  <w:vAlign w:val="center"/>
                </w:tcPr>
                <w:p w14:paraId="7639B12F">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20.0</w:t>
                  </w:r>
                </w:p>
              </w:tc>
              <w:tc>
                <w:tcPr>
                  <w:tcW w:w="444" w:type="dxa"/>
                  <w:shd w:val="clear" w:color="auto" w:fill="auto"/>
                  <w:tcMar>
                    <w:top w:w="0" w:type="dxa"/>
                    <w:left w:w="0" w:type="dxa"/>
                    <w:bottom w:w="0" w:type="dxa"/>
                    <w:right w:w="0" w:type="dxa"/>
                  </w:tcMar>
                  <w:vAlign w:val="center"/>
                </w:tcPr>
                <w:p w14:paraId="12DFF240">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20.0</w:t>
                  </w:r>
                </w:p>
              </w:tc>
              <w:tc>
                <w:tcPr>
                  <w:tcW w:w="444" w:type="dxa"/>
                  <w:shd w:val="clear" w:color="auto" w:fill="auto"/>
                  <w:tcMar>
                    <w:top w:w="0" w:type="dxa"/>
                    <w:left w:w="0" w:type="dxa"/>
                    <w:bottom w:w="0" w:type="dxa"/>
                    <w:right w:w="0" w:type="dxa"/>
                  </w:tcMar>
                  <w:vAlign w:val="center"/>
                </w:tcPr>
                <w:p w14:paraId="054D2FBC">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20.0</w:t>
                  </w:r>
                </w:p>
              </w:tc>
              <w:tc>
                <w:tcPr>
                  <w:tcW w:w="444" w:type="dxa"/>
                  <w:shd w:val="clear" w:color="auto" w:fill="auto"/>
                  <w:tcMar>
                    <w:top w:w="0" w:type="dxa"/>
                    <w:left w:w="0" w:type="dxa"/>
                    <w:bottom w:w="0" w:type="dxa"/>
                    <w:right w:w="0" w:type="dxa"/>
                  </w:tcMar>
                  <w:vAlign w:val="center"/>
                </w:tcPr>
                <w:p w14:paraId="22AD9D8D">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20.0</w:t>
                  </w:r>
                </w:p>
              </w:tc>
              <w:tc>
                <w:tcPr>
                  <w:tcW w:w="470" w:type="dxa"/>
                  <w:shd w:val="clear" w:color="auto" w:fill="auto"/>
                  <w:tcMar>
                    <w:top w:w="0" w:type="dxa"/>
                    <w:left w:w="0" w:type="dxa"/>
                    <w:bottom w:w="0" w:type="dxa"/>
                    <w:right w:w="0" w:type="dxa"/>
                  </w:tcMar>
                  <w:vAlign w:val="center"/>
                </w:tcPr>
                <w:p w14:paraId="7D3A532B">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37.4</w:t>
                  </w:r>
                </w:p>
              </w:tc>
              <w:tc>
                <w:tcPr>
                  <w:tcW w:w="470" w:type="dxa"/>
                  <w:shd w:val="clear" w:color="auto" w:fill="auto"/>
                  <w:tcMar>
                    <w:top w:w="0" w:type="dxa"/>
                    <w:left w:w="0" w:type="dxa"/>
                    <w:bottom w:w="0" w:type="dxa"/>
                    <w:right w:w="0" w:type="dxa"/>
                  </w:tcMar>
                  <w:vAlign w:val="center"/>
                </w:tcPr>
                <w:p w14:paraId="07C7322D">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37.5</w:t>
                  </w:r>
                </w:p>
              </w:tc>
              <w:tc>
                <w:tcPr>
                  <w:tcW w:w="470" w:type="dxa"/>
                  <w:shd w:val="clear" w:color="auto" w:fill="auto"/>
                  <w:tcMar>
                    <w:top w:w="0" w:type="dxa"/>
                    <w:left w:w="0" w:type="dxa"/>
                    <w:bottom w:w="0" w:type="dxa"/>
                    <w:right w:w="0" w:type="dxa"/>
                  </w:tcMar>
                  <w:vAlign w:val="center"/>
                </w:tcPr>
                <w:p w14:paraId="0AC3B3C9">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37.5</w:t>
                  </w:r>
                </w:p>
              </w:tc>
              <w:tc>
                <w:tcPr>
                  <w:tcW w:w="471" w:type="dxa"/>
                  <w:shd w:val="clear" w:color="auto" w:fill="auto"/>
                  <w:tcMar>
                    <w:top w:w="0" w:type="dxa"/>
                    <w:left w:w="0" w:type="dxa"/>
                    <w:bottom w:w="0" w:type="dxa"/>
                    <w:right w:w="0" w:type="dxa"/>
                  </w:tcMar>
                  <w:vAlign w:val="center"/>
                </w:tcPr>
                <w:p w14:paraId="722A660B">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37.4</w:t>
                  </w:r>
                </w:p>
              </w:tc>
              <w:tc>
                <w:tcPr>
                  <w:tcW w:w="648" w:type="dxa"/>
                  <w:shd w:val="clear" w:color="auto" w:fill="auto"/>
                  <w:tcMar>
                    <w:top w:w="0" w:type="dxa"/>
                    <w:left w:w="0" w:type="dxa"/>
                    <w:bottom w:w="0" w:type="dxa"/>
                    <w:right w:w="0" w:type="dxa"/>
                  </w:tcMar>
                  <w:vAlign w:val="center"/>
                </w:tcPr>
                <w:p w14:paraId="4E2A97D5">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1</w:t>
                  </w:r>
                </w:p>
              </w:tc>
            </w:tr>
            <w:tr w14:paraId="6F29F5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482" w:type="dxa"/>
                  <w:shd w:val="clear" w:color="auto" w:fill="auto"/>
                  <w:vAlign w:val="center"/>
                </w:tcPr>
                <w:p w14:paraId="6B6FCDCB">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4</w:t>
                  </w:r>
                </w:p>
              </w:tc>
              <w:tc>
                <w:tcPr>
                  <w:tcW w:w="485" w:type="dxa"/>
                  <w:vMerge w:val="continue"/>
                  <w:shd w:val="clear" w:color="auto" w:fill="auto"/>
                  <w:tcMar>
                    <w:top w:w="0" w:type="dxa"/>
                    <w:left w:w="0" w:type="dxa"/>
                    <w:bottom w:w="0" w:type="dxa"/>
                    <w:right w:w="0" w:type="dxa"/>
                  </w:tcMar>
                  <w:vAlign w:val="center"/>
                </w:tcPr>
                <w:p w14:paraId="5E2EA58C">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 w:val="21"/>
                      <w:szCs w:val="21"/>
                    </w:rPr>
                  </w:pPr>
                </w:p>
              </w:tc>
              <w:tc>
                <w:tcPr>
                  <w:tcW w:w="541" w:type="dxa"/>
                  <w:shd w:val="clear" w:color="auto" w:fill="auto"/>
                  <w:tcMar>
                    <w:top w:w="0" w:type="dxa"/>
                    <w:left w:w="0" w:type="dxa"/>
                    <w:bottom w:w="0" w:type="dxa"/>
                    <w:right w:w="0" w:type="dxa"/>
                  </w:tcMar>
                  <w:vAlign w:val="center"/>
                </w:tcPr>
                <w:p w14:paraId="23914BAD">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超薄纳米板成型机</w:t>
                  </w:r>
                  <w:r>
                    <w:rPr>
                      <w:rFonts w:hint="eastAsia" w:ascii="Times New Roman" w:hAnsi="Times New Roman" w:eastAsia="宋体" w:cs="Times New Roman"/>
                      <w:color w:val="auto"/>
                      <w:sz w:val="21"/>
                      <w:szCs w:val="21"/>
                      <w:lang w:eastAsia="zh-CN"/>
                    </w:rPr>
                    <w:t>，</w:t>
                  </w:r>
                  <w:r>
                    <w:rPr>
                      <w:rFonts w:hint="default" w:ascii="Times New Roman" w:hAnsi="Times New Roman" w:eastAsia="宋体" w:cs="Times New Roman"/>
                      <w:color w:val="auto"/>
                      <w:sz w:val="21"/>
                      <w:szCs w:val="21"/>
                    </w:rPr>
                    <w:t>6台（按点声源组预测）</w:t>
                  </w:r>
                </w:p>
              </w:tc>
              <w:tc>
                <w:tcPr>
                  <w:tcW w:w="413" w:type="dxa"/>
                  <w:shd w:val="clear" w:color="auto" w:fill="auto"/>
                  <w:tcMar>
                    <w:top w:w="0" w:type="dxa"/>
                    <w:left w:w="0" w:type="dxa"/>
                    <w:bottom w:w="0" w:type="dxa"/>
                    <w:right w:w="0" w:type="dxa"/>
                  </w:tcMar>
                  <w:vAlign w:val="center"/>
                </w:tcPr>
                <w:p w14:paraId="6A7A7B0E">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宋体" w:cs="Times New Roman"/>
                      <w:color w:val="auto"/>
                      <w:sz w:val="21"/>
                      <w:szCs w:val="21"/>
                      <w:highlight w:val="none"/>
                      <w:lang w:val="en-US" w:eastAsia="en-US" w:bidi="ar-SA"/>
                    </w:rPr>
                  </w:pPr>
                  <w:r>
                    <w:rPr>
                      <w:rFonts w:hint="default" w:ascii="Times New Roman" w:hAnsi="Times New Roman" w:eastAsia="宋体" w:cs="Times New Roman"/>
                      <w:color w:val="auto"/>
                      <w:kern w:val="0"/>
                      <w:sz w:val="21"/>
                      <w:szCs w:val="21"/>
                      <w:highlight w:val="none"/>
                      <w:lang w:bidi="ar"/>
                    </w:rPr>
                    <w:t>SP5060</w:t>
                  </w:r>
                </w:p>
              </w:tc>
              <w:tc>
                <w:tcPr>
                  <w:tcW w:w="637" w:type="dxa"/>
                  <w:shd w:val="clear" w:color="auto" w:fill="auto"/>
                  <w:tcMar>
                    <w:top w:w="0" w:type="dxa"/>
                    <w:left w:w="0" w:type="dxa"/>
                    <w:bottom w:w="0" w:type="dxa"/>
                    <w:right w:w="0" w:type="dxa"/>
                  </w:tcMar>
                  <w:vAlign w:val="center"/>
                </w:tcPr>
                <w:p w14:paraId="0CD533A9">
                  <w:pPr>
                    <w:keepNext w:val="0"/>
                    <w:keepLines w:val="0"/>
                    <w:suppressLineNumbers w:val="0"/>
                    <w:spacing w:before="0" w:beforeAutospacing="0" w:after="0" w:afterAutospacing="0"/>
                    <w:ind w:left="0" w:right="0"/>
                    <w:jc w:val="center"/>
                    <w:rPr>
                      <w:rFonts w:hint="eastAsia" w:ascii="Times New Roman" w:hAnsi="Times New Roman" w:eastAsia="宋体" w:cs="Times New Roman"/>
                      <w:color w:val="auto"/>
                      <w:sz w:val="21"/>
                      <w:szCs w:val="21"/>
                      <w:lang w:eastAsia="zh-CN"/>
                    </w:rPr>
                  </w:pPr>
                  <w:r>
                    <w:rPr>
                      <w:rFonts w:hint="default" w:ascii="Times New Roman" w:hAnsi="Times New Roman" w:eastAsia="宋体" w:cs="Times New Roman"/>
                      <w:color w:val="auto"/>
                      <w:sz w:val="21"/>
                      <w:szCs w:val="21"/>
                    </w:rPr>
                    <w:t>80/1（等效后：87.8/1</w:t>
                  </w:r>
                  <w:r>
                    <w:rPr>
                      <w:rFonts w:hint="eastAsia" w:ascii="Times New Roman" w:hAnsi="Times New Roman" w:eastAsia="宋体" w:cs="Times New Roman"/>
                      <w:color w:val="auto"/>
                      <w:sz w:val="21"/>
                      <w:szCs w:val="21"/>
                      <w:lang w:eastAsia="zh-CN"/>
                    </w:rPr>
                    <w:t>）</w:t>
                  </w:r>
                </w:p>
              </w:tc>
              <w:tc>
                <w:tcPr>
                  <w:tcW w:w="553" w:type="dxa"/>
                  <w:vMerge w:val="continue"/>
                  <w:shd w:val="clear" w:color="auto" w:fill="auto"/>
                  <w:tcMar>
                    <w:top w:w="0" w:type="dxa"/>
                    <w:left w:w="0" w:type="dxa"/>
                    <w:bottom w:w="0" w:type="dxa"/>
                    <w:right w:w="0" w:type="dxa"/>
                  </w:tcMar>
                  <w:vAlign w:val="center"/>
                </w:tcPr>
                <w:p w14:paraId="5F13EF25">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 w:val="21"/>
                      <w:szCs w:val="21"/>
                    </w:rPr>
                  </w:pPr>
                </w:p>
              </w:tc>
              <w:tc>
                <w:tcPr>
                  <w:tcW w:w="563" w:type="dxa"/>
                  <w:shd w:val="clear" w:color="auto" w:fill="auto"/>
                  <w:tcMar>
                    <w:top w:w="0" w:type="dxa"/>
                    <w:left w:w="0" w:type="dxa"/>
                    <w:bottom w:w="0" w:type="dxa"/>
                    <w:right w:w="0" w:type="dxa"/>
                  </w:tcMar>
                  <w:vAlign w:val="center"/>
                </w:tcPr>
                <w:p w14:paraId="693B4B67">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-60.3</w:t>
                  </w:r>
                </w:p>
              </w:tc>
              <w:tc>
                <w:tcPr>
                  <w:tcW w:w="563" w:type="dxa"/>
                  <w:shd w:val="clear" w:color="auto" w:fill="auto"/>
                  <w:tcMar>
                    <w:top w:w="0" w:type="dxa"/>
                    <w:left w:w="0" w:type="dxa"/>
                    <w:bottom w:w="0" w:type="dxa"/>
                    <w:right w:w="0" w:type="dxa"/>
                  </w:tcMar>
                  <w:vAlign w:val="center"/>
                </w:tcPr>
                <w:p w14:paraId="4702AFFB">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-27.6</w:t>
                  </w:r>
                </w:p>
              </w:tc>
              <w:tc>
                <w:tcPr>
                  <w:tcW w:w="564" w:type="dxa"/>
                  <w:shd w:val="clear" w:color="auto" w:fill="auto"/>
                  <w:tcMar>
                    <w:top w:w="0" w:type="dxa"/>
                    <w:left w:w="0" w:type="dxa"/>
                    <w:bottom w:w="0" w:type="dxa"/>
                    <w:right w:w="0" w:type="dxa"/>
                  </w:tcMar>
                  <w:vAlign w:val="center"/>
                </w:tcPr>
                <w:p w14:paraId="3BB3F83F">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1.2</w:t>
                  </w:r>
                </w:p>
              </w:tc>
              <w:tc>
                <w:tcPr>
                  <w:tcW w:w="466" w:type="dxa"/>
                  <w:shd w:val="clear" w:color="auto" w:fill="auto"/>
                  <w:tcMar>
                    <w:top w:w="0" w:type="dxa"/>
                    <w:left w:w="0" w:type="dxa"/>
                    <w:bottom w:w="0" w:type="dxa"/>
                    <w:right w:w="0" w:type="dxa"/>
                  </w:tcMar>
                  <w:vAlign w:val="center"/>
                </w:tcPr>
                <w:p w14:paraId="0C46E4EF">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64.9</w:t>
                  </w:r>
                </w:p>
              </w:tc>
              <w:tc>
                <w:tcPr>
                  <w:tcW w:w="466" w:type="dxa"/>
                  <w:shd w:val="clear" w:color="auto" w:fill="auto"/>
                  <w:tcMar>
                    <w:top w:w="0" w:type="dxa"/>
                    <w:left w:w="0" w:type="dxa"/>
                    <w:bottom w:w="0" w:type="dxa"/>
                    <w:right w:w="0" w:type="dxa"/>
                  </w:tcMar>
                  <w:vAlign w:val="center"/>
                </w:tcPr>
                <w:p w14:paraId="203C5083">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15.0</w:t>
                  </w:r>
                </w:p>
              </w:tc>
              <w:tc>
                <w:tcPr>
                  <w:tcW w:w="466" w:type="dxa"/>
                  <w:shd w:val="clear" w:color="auto" w:fill="auto"/>
                  <w:tcMar>
                    <w:top w:w="0" w:type="dxa"/>
                    <w:left w:w="0" w:type="dxa"/>
                    <w:bottom w:w="0" w:type="dxa"/>
                    <w:right w:w="0" w:type="dxa"/>
                  </w:tcMar>
                  <w:vAlign w:val="center"/>
                </w:tcPr>
                <w:p w14:paraId="35ACB89F">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18.8</w:t>
                  </w:r>
                </w:p>
              </w:tc>
              <w:tc>
                <w:tcPr>
                  <w:tcW w:w="467" w:type="dxa"/>
                  <w:shd w:val="clear" w:color="auto" w:fill="auto"/>
                  <w:tcMar>
                    <w:top w:w="0" w:type="dxa"/>
                    <w:left w:w="0" w:type="dxa"/>
                    <w:bottom w:w="0" w:type="dxa"/>
                    <w:right w:w="0" w:type="dxa"/>
                  </w:tcMar>
                  <w:vAlign w:val="center"/>
                </w:tcPr>
                <w:p w14:paraId="0C70558E">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42.3</w:t>
                  </w:r>
                </w:p>
              </w:tc>
              <w:tc>
                <w:tcPr>
                  <w:tcW w:w="460" w:type="dxa"/>
                  <w:shd w:val="clear" w:color="auto" w:fill="auto"/>
                  <w:tcMar>
                    <w:top w:w="0" w:type="dxa"/>
                    <w:left w:w="0" w:type="dxa"/>
                    <w:bottom w:w="0" w:type="dxa"/>
                    <w:right w:w="0" w:type="dxa"/>
                  </w:tcMar>
                  <w:vAlign w:val="center"/>
                </w:tcPr>
                <w:p w14:paraId="13FD5E87">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57.2</w:t>
                  </w:r>
                </w:p>
              </w:tc>
              <w:tc>
                <w:tcPr>
                  <w:tcW w:w="460" w:type="dxa"/>
                  <w:shd w:val="clear" w:color="auto" w:fill="auto"/>
                  <w:tcMar>
                    <w:top w:w="0" w:type="dxa"/>
                    <w:left w:w="0" w:type="dxa"/>
                    <w:bottom w:w="0" w:type="dxa"/>
                    <w:right w:w="0" w:type="dxa"/>
                  </w:tcMar>
                  <w:vAlign w:val="center"/>
                </w:tcPr>
                <w:p w14:paraId="17FF82D3">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57.3</w:t>
                  </w:r>
                </w:p>
              </w:tc>
              <w:tc>
                <w:tcPr>
                  <w:tcW w:w="460" w:type="dxa"/>
                  <w:shd w:val="clear" w:color="auto" w:fill="auto"/>
                  <w:tcMar>
                    <w:top w:w="0" w:type="dxa"/>
                    <w:left w:w="0" w:type="dxa"/>
                    <w:bottom w:w="0" w:type="dxa"/>
                    <w:right w:w="0" w:type="dxa"/>
                  </w:tcMar>
                  <w:vAlign w:val="center"/>
                </w:tcPr>
                <w:p w14:paraId="43CCF235">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57.3</w:t>
                  </w:r>
                </w:p>
              </w:tc>
              <w:tc>
                <w:tcPr>
                  <w:tcW w:w="462" w:type="dxa"/>
                  <w:shd w:val="clear" w:color="auto" w:fill="auto"/>
                  <w:tcMar>
                    <w:top w:w="0" w:type="dxa"/>
                    <w:left w:w="0" w:type="dxa"/>
                    <w:bottom w:w="0" w:type="dxa"/>
                    <w:right w:w="0" w:type="dxa"/>
                  </w:tcMar>
                  <w:vAlign w:val="center"/>
                </w:tcPr>
                <w:p w14:paraId="6D0AA114">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57.3</w:t>
                  </w:r>
                </w:p>
              </w:tc>
              <w:tc>
                <w:tcPr>
                  <w:tcW w:w="445" w:type="dxa"/>
                  <w:vMerge w:val="continue"/>
                  <w:shd w:val="clear" w:color="auto" w:fill="auto"/>
                  <w:tcMar>
                    <w:top w:w="0" w:type="dxa"/>
                    <w:left w:w="0" w:type="dxa"/>
                    <w:bottom w:w="0" w:type="dxa"/>
                    <w:right w:w="0" w:type="dxa"/>
                  </w:tcMar>
                  <w:vAlign w:val="center"/>
                </w:tcPr>
                <w:p w14:paraId="28B396A8">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 w:val="21"/>
                      <w:szCs w:val="21"/>
                    </w:rPr>
                  </w:pPr>
                </w:p>
              </w:tc>
              <w:tc>
                <w:tcPr>
                  <w:tcW w:w="444" w:type="dxa"/>
                  <w:shd w:val="clear" w:color="auto" w:fill="auto"/>
                  <w:tcMar>
                    <w:top w:w="0" w:type="dxa"/>
                    <w:left w:w="0" w:type="dxa"/>
                    <w:bottom w:w="0" w:type="dxa"/>
                    <w:right w:w="0" w:type="dxa"/>
                  </w:tcMar>
                  <w:vAlign w:val="center"/>
                </w:tcPr>
                <w:p w14:paraId="3807F5D1">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20.0</w:t>
                  </w:r>
                </w:p>
              </w:tc>
              <w:tc>
                <w:tcPr>
                  <w:tcW w:w="444" w:type="dxa"/>
                  <w:shd w:val="clear" w:color="auto" w:fill="auto"/>
                  <w:tcMar>
                    <w:top w:w="0" w:type="dxa"/>
                    <w:left w:w="0" w:type="dxa"/>
                    <w:bottom w:w="0" w:type="dxa"/>
                    <w:right w:w="0" w:type="dxa"/>
                  </w:tcMar>
                  <w:vAlign w:val="center"/>
                </w:tcPr>
                <w:p w14:paraId="686FDB07">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20.0</w:t>
                  </w:r>
                </w:p>
              </w:tc>
              <w:tc>
                <w:tcPr>
                  <w:tcW w:w="444" w:type="dxa"/>
                  <w:shd w:val="clear" w:color="auto" w:fill="auto"/>
                  <w:tcMar>
                    <w:top w:w="0" w:type="dxa"/>
                    <w:left w:w="0" w:type="dxa"/>
                    <w:bottom w:w="0" w:type="dxa"/>
                    <w:right w:w="0" w:type="dxa"/>
                  </w:tcMar>
                  <w:vAlign w:val="center"/>
                </w:tcPr>
                <w:p w14:paraId="4236D6A2">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20.0</w:t>
                  </w:r>
                </w:p>
              </w:tc>
              <w:tc>
                <w:tcPr>
                  <w:tcW w:w="444" w:type="dxa"/>
                  <w:shd w:val="clear" w:color="auto" w:fill="auto"/>
                  <w:tcMar>
                    <w:top w:w="0" w:type="dxa"/>
                    <w:left w:w="0" w:type="dxa"/>
                    <w:bottom w:w="0" w:type="dxa"/>
                    <w:right w:w="0" w:type="dxa"/>
                  </w:tcMar>
                  <w:vAlign w:val="center"/>
                </w:tcPr>
                <w:p w14:paraId="70ECD47C">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20.0</w:t>
                  </w:r>
                </w:p>
              </w:tc>
              <w:tc>
                <w:tcPr>
                  <w:tcW w:w="470" w:type="dxa"/>
                  <w:shd w:val="clear" w:color="auto" w:fill="auto"/>
                  <w:tcMar>
                    <w:top w:w="0" w:type="dxa"/>
                    <w:left w:w="0" w:type="dxa"/>
                    <w:bottom w:w="0" w:type="dxa"/>
                    <w:right w:w="0" w:type="dxa"/>
                  </w:tcMar>
                  <w:vAlign w:val="center"/>
                </w:tcPr>
                <w:p w14:paraId="2ACD2B89">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37.2</w:t>
                  </w:r>
                </w:p>
              </w:tc>
              <w:tc>
                <w:tcPr>
                  <w:tcW w:w="470" w:type="dxa"/>
                  <w:shd w:val="clear" w:color="auto" w:fill="auto"/>
                  <w:tcMar>
                    <w:top w:w="0" w:type="dxa"/>
                    <w:left w:w="0" w:type="dxa"/>
                    <w:bottom w:w="0" w:type="dxa"/>
                    <w:right w:w="0" w:type="dxa"/>
                  </w:tcMar>
                  <w:vAlign w:val="center"/>
                </w:tcPr>
                <w:p w14:paraId="08205968">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37.3</w:t>
                  </w:r>
                </w:p>
              </w:tc>
              <w:tc>
                <w:tcPr>
                  <w:tcW w:w="470" w:type="dxa"/>
                  <w:shd w:val="clear" w:color="auto" w:fill="auto"/>
                  <w:tcMar>
                    <w:top w:w="0" w:type="dxa"/>
                    <w:left w:w="0" w:type="dxa"/>
                    <w:bottom w:w="0" w:type="dxa"/>
                    <w:right w:w="0" w:type="dxa"/>
                  </w:tcMar>
                  <w:vAlign w:val="center"/>
                </w:tcPr>
                <w:p w14:paraId="78712E47">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37.3</w:t>
                  </w:r>
                </w:p>
              </w:tc>
              <w:tc>
                <w:tcPr>
                  <w:tcW w:w="471" w:type="dxa"/>
                  <w:shd w:val="clear" w:color="auto" w:fill="auto"/>
                  <w:tcMar>
                    <w:top w:w="0" w:type="dxa"/>
                    <w:left w:w="0" w:type="dxa"/>
                    <w:bottom w:w="0" w:type="dxa"/>
                    <w:right w:w="0" w:type="dxa"/>
                  </w:tcMar>
                  <w:vAlign w:val="center"/>
                </w:tcPr>
                <w:p w14:paraId="04A08AA1">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37.3</w:t>
                  </w:r>
                </w:p>
              </w:tc>
              <w:tc>
                <w:tcPr>
                  <w:tcW w:w="648" w:type="dxa"/>
                  <w:shd w:val="clear" w:color="auto" w:fill="auto"/>
                  <w:tcMar>
                    <w:top w:w="0" w:type="dxa"/>
                    <w:left w:w="0" w:type="dxa"/>
                    <w:bottom w:w="0" w:type="dxa"/>
                    <w:right w:w="0" w:type="dxa"/>
                  </w:tcMar>
                  <w:vAlign w:val="center"/>
                </w:tcPr>
                <w:p w14:paraId="48E2043B">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1</w:t>
                  </w:r>
                </w:p>
              </w:tc>
            </w:tr>
            <w:tr w14:paraId="051603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23" w:hRule="atLeast"/>
                <w:jc w:val="center"/>
              </w:trPr>
              <w:tc>
                <w:tcPr>
                  <w:tcW w:w="482" w:type="dxa"/>
                  <w:shd w:val="clear" w:color="auto" w:fill="auto"/>
                  <w:vAlign w:val="center"/>
                </w:tcPr>
                <w:p w14:paraId="649A5D6C">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5</w:t>
                  </w:r>
                </w:p>
              </w:tc>
              <w:tc>
                <w:tcPr>
                  <w:tcW w:w="485" w:type="dxa"/>
                  <w:vMerge w:val="continue"/>
                  <w:shd w:val="clear" w:color="auto" w:fill="auto"/>
                  <w:tcMar>
                    <w:top w:w="0" w:type="dxa"/>
                    <w:left w:w="0" w:type="dxa"/>
                    <w:bottom w:w="0" w:type="dxa"/>
                    <w:right w:w="0" w:type="dxa"/>
                  </w:tcMar>
                  <w:vAlign w:val="center"/>
                </w:tcPr>
                <w:p w14:paraId="20498A17">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 w:val="21"/>
                      <w:szCs w:val="21"/>
                    </w:rPr>
                  </w:pPr>
                </w:p>
              </w:tc>
              <w:tc>
                <w:tcPr>
                  <w:tcW w:w="541" w:type="dxa"/>
                  <w:shd w:val="clear" w:color="auto" w:fill="auto"/>
                  <w:tcMar>
                    <w:top w:w="0" w:type="dxa"/>
                    <w:left w:w="0" w:type="dxa"/>
                    <w:bottom w:w="0" w:type="dxa"/>
                    <w:right w:w="0" w:type="dxa"/>
                  </w:tcMar>
                  <w:vAlign w:val="center"/>
                </w:tcPr>
                <w:p w14:paraId="6F14F543">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码垛整平机</w:t>
                  </w:r>
                  <w:r>
                    <w:rPr>
                      <w:rFonts w:hint="eastAsia" w:ascii="Times New Roman" w:hAnsi="Times New Roman" w:eastAsia="宋体" w:cs="Times New Roman"/>
                      <w:color w:val="auto"/>
                      <w:sz w:val="21"/>
                      <w:szCs w:val="21"/>
                      <w:lang w:eastAsia="zh-CN"/>
                    </w:rPr>
                    <w:t>，</w:t>
                  </w:r>
                  <w:r>
                    <w:rPr>
                      <w:rFonts w:hint="default" w:ascii="Times New Roman" w:hAnsi="Times New Roman" w:eastAsia="宋体" w:cs="Times New Roman"/>
                      <w:color w:val="auto"/>
                      <w:sz w:val="21"/>
                      <w:szCs w:val="21"/>
                    </w:rPr>
                    <w:t>6台（按点声源组预测）</w:t>
                  </w:r>
                </w:p>
              </w:tc>
              <w:tc>
                <w:tcPr>
                  <w:tcW w:w="413" w:type="dxa"/>
                  <w:shd w:val="clear" w:color="auto" w:fill="auto"/>
                  <w:tcMar>
                    <w:top w:w="0" w:type="dxa"/>
                    <w:left w:w="0" w:type="dxa"/>
                    <w:bottom w:w="0" w:type="dxa"/>
                    <w:right w:w="0" w:type="dxa"/>
                  </w:tcMar>
                  <w:vAlign w:val="center"/>
                </w:tcPr>
                <w:p w14:paraId="140E5611">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宋体" w:cs="Times New Roman"/>
                      <w:color w:val="auto"/>
                      <w:sz w:val="21"/>
                      <w:szCs w:val="21"/>
                      <w:highlight w:val="none"/>
                      <w:lang w:val="en-US" w:eastAsia="en-US" w:bidi="ar-SA"/>
                    </w:rPr>
                  </w:pPr>
                  <w:r>
                    <w:rPr>
                      <w:rFonts w:hint="default" w:ascii="Times New Roman" w:hAnsi="Times New Roman" w:eastAsia="宋体" w:cs="Times New Roman"/>
                      <w:color w:val="auto"/>
                      <w:kern w:val="0"/>
                      <w:sz w:val="21"/>
                      <w:szCs w:val="21"/>
                      <w:highlight w:val="none"/>
                      <w:lang w:bidi="ar"/>
                    </w:rPr>
                    <w:t>适应超薄压机规格</w:t>
                  </w:r>
                </w:p>
              </w:tc>
              <w:tc>
                <w:tcPr>
                  <w:tcW w:w="637" w:type="dxa"/>
                  <w:shd w:val="clear" w:color="auto" w:fill="auto"/>
                  <w:tcMar>
                    <w:top w:w="0" w:type="dxa"/>
                    <w:left w:w="0" w:type="dxa"/>
                    <w:bottom w:w="0" w:type="dxa"/>
                    <w:right w:w="0" w:type="dxa"/>
                  </w:tcMar>
                  <w:vAlign w:val="center"/>
                </w:tcPr>
                <w:p w14:paraId="0498546C">
                  <w:pPr>
                    <w:keepNext w:val="0"/>
                    <w:keepLines w:val="0"/>
                    <w:suppressLineNumbers w:val="0"/>
                    <w:spacing w:before="0" w:beforeAutospacing="0" w:after="0" w:afterAutospacing="0"/>
                    <w:ind w:left="0" w:right="0"/>
                    <w:jc w:val="center"/>
                    <w:rPr>
                      <w:rFonts w:hint="eastAsia" w:ascii="Times New Roman" w:hAnsi="Times New Roman" w:eastAsia="宋体" w:cs="Times New Roman"/>
                      <w:color w:val="auto"/>
                      <w:sz w:val="21"/>
                      <w:szCs w:val="21"/>
                      <w:lang w:eastAsia="zh-CN"/>
                    </w:rPr>
                  </w:pPr>
                  <w:r>
                    <w:rPr>
                      <w:rFonts w:hint="default" w:ascii="Times New Roman" w:hAnsi="Times New Roman" w:eastAsia="宋体" w:cs="Times New Roman"/>
                      <w:color w:val="auto"/>
                      <w:sz w:val="21"/>
                      <w:szCs w:val="21"/>
                    </w:rPr>
                    <w:t>75/1（等效后：82.8/1</w:t>
                  </w:r>
                  <w:r>
                    <w:rPr>
                      <w:rFonts w:hint="eastAsia" w:ascii="Times New Roman" w:hAnsi="Times New Roman" w:eastAsia="宋体" w:cs="Times New Roman"/>
                      <w:color w:val="auto"/>
                      <w:sz w:val="21"/>
                      <w:szCs w:val="21"/>
                      <w:lang w:eastAsia="zh-CN"/>
                    </w:rPr>
                    <w:t>）</w:t>
                  </w:r>
                </w:p>
              </w:tc>
              <w:tc>
                <w:tcPr>
                  <w:tcW w:w="553" w:type="dxa"/>
                  <w:vMerge w:val="continue"/>
                  <w:shd w:val="clear" w:color="auto" w:fill="auto"/>
                  <w:tcMar>
                    <w:top w:w="0" w:type="dxa"/>
                    <w:left w:w="0" w:type="dxa"/>
                    <w:bottom w:w="0" w:type="dxa"/>
                    <w:right w:w="0" w:type="dxa"/>
                  </w:tcMar>
                  <w:vAlign w:val="center"/>
                </w:tcPr>
                <w:p w14:paraId="5620892E">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 w:val="21"/>
                      <w:szCs w:val="21"/>
                    </w:rPr>
                  </w:pPr>
                </w:p>
              </w:tc>
              <w:tc>
                <w:tcPr>
                  <w:tcW w:w="563" w:type="dxa"/>
                  <w:shd w:val="clear" w:color="auto" w:fill="auto"/>
                  <w:tcMar>
                    <w:top w:w="0" w:type="dxa"/>
                    <w:left w:w="0" w:type="dxa"/>
                    <w:bottom w:w="0" w:type="dxa"/>
                    <w:right w:w="0" w:type="dxa"/>
                  </w:tcMar>
                  <w:vAlign w:val="center"/>
                </w:tcPr>
                <w:p w14:paraId="6036A149">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-62.2</w:t>
                  </w:r>
                </w:p>
              </w:tc>
              <w:tc>
                <w:tcPr>
                  <w:tcW w:w="563" w:type="dxa"/>
                  <w:shd w:val="clear" w:color="auto" w:fill="auto"/>
                  <w:tcMar>
                    <w:top w:w="0" w:type="dxa"/>
                    <w:left w:w="0" w:type="dxa"/>
                    <w:bottom w:w="0" w:type="dxa"/>
                    <w:right w:w="0" w:type="dxa"/>
                  </w:tcMar>
                  <w:vAlign w:val="center"/>
                </w:tcPr>
                <w:p w14:paraId="3C41F427">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-27.9</w:t>
                  </w:r>
                </w:p>
              </w:tc>
              <w:tc>
                <w:tcPr>
                  <w:tcW w:w="564" w:type="dxa"/>
                  <w:shd w:val="clear" w:color="auto" w:fill="auto"/>
                  <w:tcMar>
                    <w:top w:w="0" w:type="dxa"/>
                    <w:left w:w="0" w:type="dxa"/>
                    <w:bottom w:w="0" w:type="dxa"/>
                    <w:right w:w="0" w:type="dxa"/>
                  </w:tcMar>
                  <w:vAlign w:val="center"/>
                </w:tcPr>
                <w:p w14:paraId="239329E9">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1.2</w:t>
                  </w:r>
                </w:p>
              </w:tc>
              <w:tc>
                <w:tcPr>
                  <w:tcW w:w="466" w:type="dxa"/>
                  <w:shd w:val="clear" w:color="auto" w:fill="auto"/>
                  <w:tcMar>
                    <w:top w:w="0" w:type="dxa"/>
                    <w:left w:w="0" w:type="dxa"/>
                    <w:bottom w:w="0" w:type="dxa"/>
                    <w:right w:w="0" w:type="dxa"/>
                  </w:tcMar>
                  <w:vAlign w:val="center"/>
                </w:tcPr>
                <w:p w14:paraId="6703CBE8">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66.8</w:t>
                  </w:r>
                </w:p>
              </w:tc>
              <w:tc>
                <w:tcPr>
                  <w:tcW w:w="466" w:type="dxa"/>
                  <w:shd w:val="clear" w:color="auto" w:fill="auto"/>
                  <w:tcMar>
                    <w:top w:w="0" w:type="dxa"/>
                    <w:left w:w="0" w:type="dxa"/>
                    <w:bottom w:w="0" w:type="dxa"/>
                    <w:right w:w="0" w:type="dxa"/>
                  </w:tcMar>
                  <w:vAlign w:val="center"/>
                </w:tcPr>
                <w:p w14:paraId="3E81F119">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15.1</w:t>
                  </w:r>
                </w:p>
              </w:tc>
              <w:tc>
                <w:tcPr>
                  <w:tcW w:w="466" w:type="dxa"/>
                  <w:shd w:val="clear" w:color="auto" w:fill="auto"/>
                  <w:tcMar>
                    <w:top w:w="0" w:type="dxa"/>
                    <w:left w:w="0" w:type="dxa"/>
                    <w:bottom w:w="0" w:type="dxa"/>
                    <w:right w:w="0" w:type="dxa"/>
                  </w:tcMar>
                  <w:vAlign w:val="center"/>
                </w:tcPr>
                <w:p w14:paraId="4A540FE1">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16.9</w:t>
                  </w:r>
                </w:p>
              </w:tc>
              <w:tc>
                <w:tcPr>
                  <w:tcW w:w="467" w:type="dxa"/>
                  <w:shd w:val="clear" w:color="auto" w:fill="auto"/>
                  <w:tcMar>
                    <w:top w:w="0" w:type="dxa"/>
                    <w:left w:w="0" w:type="dxa"/>
                    <w:bottom w:w="0" w:type="dxa"/>
                    <w:right w:w="0" w:type="dxa"/>
                  </w:tcMar>
                  <w:vAlign w:val="center"/>
                </w:tcPr>
                <w:p w14:paraId="1FBFEF3E">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42.2</w:t>
                  </w:r>
                </w:p>
              </w:tc>
              <w:tc>
                <w:tcPr>
                  <w:tcW w:w="460" w:type="dxa"/>
                  <w:shd w:val="clear" w:color="auto" w:fill="auto"/>
                  <w:tcMar>
                    <w:top w:w="0" w:type="dxa"/>
                    <w:left w:w="0" w:type="dxa"/>
                    <w:bottom w:w="0" w:type="dxa"/>
                    <w:right w:w="0" w:type="dxa"/>
                  </w:tcMar>
                  <w:vAlign w:val="center"/>
                </w:tcPr>
                <w:p w14:paraId="691358A7">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65.2</w:t>
                  </w:r>
                </w:p>
              </w:tc>
              <w:tc>
                <w:tcPr>
                  <w:tcW w:w="460" w:type="dxa"/>
                  <w:shd w:val="clear" w:color="auto" w:fill="auto"/>
                  <w:tcMar>
                    <w:top w:w="0" w:type="dxa"/>
                    <w:left w:w="0" w:type="dxa"/>
                    <w:bottom w:w="0" w:type="dxa"/>
                    <w:right w:w="0" w:type="dxa"/>
                  </w:tcMar>
                  <w:vAlign w:val="center"/>
                </w:tcPr>
                <w:p w14:paraId="12558905">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65.3</w:t>
                  </w:r>
                </w:p>
              </w:tc>
              <w:tc>
                <w:tcPr>
                  <w:tcW w:w="460" w:type="dxa"/>
                  <w:shd w:val="clear" w:color="auto" w:fill="auto"/>
                  <w:tcMar>
                    <w:top w:w="0" w:type="dxa"/>
                    <w:left w:w="0" w:type="dxa"/>
                    <w:bottom w:w="0" w:type="dxa"/>
                    <w:right w:w="0" w:type="dxa"/>
                  </w:tcMar>
                  <w:vAlign w:val="center"/>
                </w:tcPr>
                <w:p w14:paraId="507854AA">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65.3</w:t>
                  </w:r>
                </w:p>
              </w:tc>
              <w:tc>
                <w:tcPr>
                  <w:tcW w:w="462" w:type="dxa"/>
                  <w:shd w:val="clear" w:color="auto" w:fill="auto"/>
                  <w:tcMar>
                    <w:top w:w="0" w:type="dxa"/>
                    <w:left w:w="0" w:type="dxa"/>
                    <w:bottom w:w="0" w:type="dxa"/>
                    <w:right w:w="0" w:type="dxa"/>
                  </w:tcMar>
                  <w:vAlign w:val="center"/>
                </w:tcPr>
                <w:p w14:paraId="69486D08">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65.3</w:t>
                  </w:r>
                </w:p>
              </w:tc>
              <w:tc>
                <w:tcPr>
                  <w:tcW w:w="445" w:type="dxa"/>
                  <w:vMerge w:val="continue"/>
                  <w:shd w:val="clear" w:color="auto" w:fill="auto"/>
                  <w:tcMar>
                    <w:top w:w="0" w:type="dxa"/>
                    <w:left w:w="0" w:type="dxa"/>
                    <w:bottom w:w="0" w:type="dxa"/>
                    <w:right w:w="0" w:type="dxa"/>
                  </w:tcMar>
                  <w:vAlign w:val="center"/>
                </w:tcPr>
                <w:p w14:paraId="2BDEE7DD">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 w:val="21"/>
                      <w:szCs w:val="21"/>
                    </w:rPr>
                  </w:pPr>
                </w:p>
              </w:tc>
              <w:tc>
                <w:tcPr>
                  <w:tcW w:w="444" w:type="dxa"/>
                  <w:shd w:val="clear" w:color="auto" w:fill="auto"/>
                  <w:tcMar>
                    <w:top w:w="0" w:type="dxa"/>
                    <w:left w:w="0" w:type="dxa"/>
                    <w:bottom w:w="0" w:type="dxa"/>
                    <w:right w:w="0" w:type="dxa"/>
                  </w:tcMar>
                  <w:vAlign w:val="center"/>
                </w:tcPr>
                <w:p w14:paraId="3C60CA79">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20.0</w:t>
                  </w:r>
                </w:p>
              </w:tc>
              <w:tc>
                <w:tcPr>
                  <w:tcW w:w="444" w:type="dxa"/>
                  <w:shd w:val="clear" w:color="auto" w:fill="auto"/>
                  <w:tcMar>
                    <w:top w:w="0" w:type="dxa"/>
                    <w:left w:w="0" w:type="dxa"/>
                    <w:bottom w:w="0" w:type="dxa"/>
                    <w:right w:w="0" w:type="dxa"/>
                  </w:tcMar>
                  <w:vAlign w:val="center"/>
                </w:tcPr>
                <w:p w14:paraId="2C9C252A">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20.0</w:t>
                  </w:r>
                </w:p>
              </w:tc>
              <w:tc>
                <w:tcPr>
                  <w:tcW w:w="444" w:type="dxa"/>
                  <w:shd w:val="clear" w:color="auto" w:fill="auto"/>
                  <w:tcMar>
                    <w:top w:w="0" w:type="dxa"/>
                    <w:left w:w="0" w:type="dxa"/>
                    <w:bottom w:w="0" w:type="dxa"/>
                    <w:right w:w="0" w:type="dxa"/>
                  </w:tcMar>
                  <w:vAlign w:val="center"/>
                </w:tcPr>
                <w:p w14:paraId="0032467F">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20.0</w:t>
                  </w:r>
                </w:p>
              </w:tc>
              <w:tc>
                <w:tcPr>
                  <w:tcW w:w="444" w:type="dxa"/>
                  <w:shd w:val="clear" w:color="auto" w:fill="auto"/>
                  <w:tcMar>
                    <w:top w:w="0" w:type="dxa"/>
                    <w:left w:w="0" w:type="dxa"/>
                    <w:bottom w:w="0" w:type="dxa"/>
                    <w:right w:w="0" w:type="dxa"/>
                  </w:tcMar>
                  <w:vAlign w:val="center"/>
                </w:tcPr>
                <w:p w14:paraId="611E86BA">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20.0</w:t>
                  </w:r>
                </w:p>
              </w:tc>
              <w:tc>
                <w:tcPr>
                  <w:tcW w:w="470" w:type="dxa"/>
                  <w:shd w:val="clear" w:color="auto" w:fill="auto"/>
                  <w:tcMar>
                    <w:top w:w="0" w:type="dxa"/>
                    <w:left w:w="0" w:type="dxa"/>
                    <w:bottom w:w="0" w:type="dxa"/>
                    <w:right w:w="0" w:type="dxa"/>
                  </w:tcMar>
                  <w:vAlign w:val="center"/>
                </w:tcPr>
                <w:p w14:paraId="3D75F515">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45.2</w:t>
                  </w:r>
                </w:p>
              </w:tc>
              <w:tc>
                <w:tcPr>
                  <w:tcW w:w="470" w:type="dxa"/>
                  <w:shd w:val="clear" w:color="auto" w:fill="auto"/>
                  <w:tcMar>
                    <w:top w:w="0" w:type="dxa"/>
                    <w:left w:w="0" w:type="dxa"/>
                    <w:bottom w:w="0" w:type="dxa"/>
                    <w:right w:w="0" w:type="dxa"/>
                  </w:tcMar>
                  <w:vAlign w:val="center"/>
                </w:tcPr>
                <w:p w14:paraId="73D8DDE7">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45.3</w:t>
                  </w:r>
                </w:p>
              </w:tc>
              <w:tc>
                <w:tcPr>
                  <w:tcW w:w="470" w:type="dxa"/>
                  <w:shd w:val="clear" w:color="auto" w:fill="auto"/>
                  <w:tcMar>
                    <w:top w:w="0" w:type="dxa"/>
                    <w:left w:w="0" w:type="dxa"/>
                    <w:bottom w:w="0" w:type="dxa"/>
                    <w:right w:w="0" w:type="dxa"/>
                  </w:tcMar>
                  <w:vAlign w:val="center"/>
                </w:tcPr>
                <w:p w14:paraId="7A907694">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45.3</w:t>
                  </w:r>
                </w:p>
              </w:tc>
              <w:tc>
                <w:tcPr>
                  <w:tcW w:w="471" w:type="dxa"/>
                  <w:shd w:val="clear" w:color="auto" w:fill="auto"/>
                  <w:tcMar>
                    <w:top w:w="0" w:type="dxa"/>
                    <w:left w:w="0" w:type="dxa"/>
                    <w:bottom w:w="0" w:type="dxa"/>
                    <w:right w:w="0" w:type="dxa"/>
                  </w:tcMar>
                  <w:vAlign w:val="center"/>
                </w:tcPr>
                <w:p w14:paraId="2105F3D5">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45.3</w:t>
                  </w:r>
                </w:p>
              </w:tc>
              <w:tc>
                <w:tcPr>
                  <w:tcW w:w="648" w:type="dxa"/>
                  <w:shd w:val="clear" w:color="auto" w:fill="auto"/>
                  <w:tcMar>
                    <w:top w:w="0" w:type="dxa"/>
                    <w:left w:w="0" w:type="dxa"/>
                    <w:bottom w:w="0" w:type="dxa"/>
                    <w:right w:w="0" w:type="dxa"/>
                  </w:tcMar>
                  <w:vAlign w:val="center"/>
                </w:tcPr>
                <w:p w14:paraId="0AD3C2D9">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1</w:t>
                  </w:r>
                </w:p>
              </w:tc>
            </w:tr>
            <w:tr w14:paraId="380DEC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23" w:hRule="atLeast"/>
                <w:jc w:val="center"/>
              </w:trPr>
              <w:tc>
                <w:tcPr>
                  <w:tcW w:w="482" w:type="dxa"/>
                  <w:shd w:val="clear" w:color="auto" w:fill="auto"/>
                  <w:vAlign w:val="center"/>
                </w:tcPr>
                <w:p w14:paraId="7C7D412A">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6</w:t>
                  </w:r>
                </w:p>
              </w:tc>
              <w:tc>
                <w:tcPr>
                  <w:tcW w:w="485" w:type="dxa"/>
                  <w:vMerge w:val="continue"/>
                  <w:shd w:val="clear" w:color="auto" w:fill="auto"/>
                  <w:tcMar>
                    <w:top w:w="0" w:type="dxa"/>
                    <w:left w:w="0" w:type="dxa"/>
                    <w:bottom w:w="0" w:type="dxa"/>
                    <w:right w:w="0" w:type="dxa"/>
                  </w:tcMar>
                  <w:vAlign w:val="center"/>
                </w:tcPr>
                <w:p w14:paraId="59404A78">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 w:val="21"/>
                      <w:szCs w:val="21"/>
                    </w:rPr>
                  </w:pPr>
                </w:p>
              </w:tc>
              <w:tc>
                <w:tcPr>
                  <w:tcW w:w="541" w:type="dxa"/>
                  <w:shd w:val="clear" w:color="auto" w:fill="auto"/>
                  <w:tcMar>
                    <w:top w:w="0" w:type="dxa"/>
                    <w:left w:w="0" w:type="dxa"/>
                    <w:bottom w:w="0" w:type="dxa"/>
                    <w:right w:w="0" w:type="dxa"/>
                  </w:tcMar>
                  <w:vAlign w:val="center"/>
                </w:tcPr>
                <w:p w14:paraId="3CB171E5">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激光切割机</w:t>
                  </w:r>
                  <w:r>
                    <w:rPr>
                      <w:rFonts w:hint="eastAsia" w:ascii="Times New Roman" w:hAnsi="Times New Roman" w:eastAsia="宋体" w:cs="Times New Roman"/>
                      <w:color w:val="auto"/>
                      <w:sz w:val="21"/>
                      <w:szCs w:val="21"/>
                      <w:lang w:eastAsia="zh-CN"/>
                    </w:rPr>
                    <w:t>，</w:t>
                  </w:r>
                  <w:r>
                    <w:rPr>
                      <w:rFonts w:hint="default" w:ascii="Times New Roman" w:hAnsi="Times New Roman" w:eastAsia="宋体" w:cs="Times New Roman"/>
                      <w:color w:val="auto"/>
                      <w:sz w:val="21"/>
                      <w:szCs w:val="21"/>
                    </w:rPr>
                    <w:t>4台（按点声源组预测）</w:t>
                  </w:r>
                </w:p>
              </w:tc>
              <w:tc>
                <w:tcPr>
                  <w:tcW w:w="413" w:type="dxa"/>
                  <w:shd w:val="clear" w:color="auto" w:fill="auto"/>
                  <w:tcMar>
                    <w:top w:w="0" w:type="dxa"/>
                    <w:left w:w="0" w:type="dxa"/>
                    <w:bottom w:w="0" w:type="dxa"/>
                    <w:right w:w="0" w:type="dxa"/>
                  </w:tcMar>
                  <w:vAlign w:val="center"/>
                </w:tcPr>
                <w:p w14:paraId="2D2682AC">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宋体" w:cs="Times New Roman"/>
                      <w:color w:val="auto"/>
                      <w:sz w:val="21"/>
                      <w:szCs w:val="21"/>
                      <w:highlight w:val="none"/>
                      <w:lang w:val="en-US" w:eastAsia="en-US" w:bidi="ar-SA"/>
                    </w:rPr>
                  </w:pPr>
                  <w:r>
                    <w:rPr>
                      <w:rFonts w:hint="default" w:ascii="Times New Roman" w:hAnsi="Times New Roman" w:eastAsia="宋体" w:cs="Times New Roman"/>
                      <w:color w:val="auto"/>
                      <w:kern w:val="0"/>
                      <w:sz w:val="21"/>
                      <w:szCs w:val="21"/>
                      <w:highlight w:val="none"/>
                      <w:lang w:bidi="ar"/>
                    </w:rPr>
                    <w:t>CO</w:t>
                  </w:r>
                  <w:r>
                    <w:rPr>
                      <w:rFonts w:hint="default" w:ascii="Times New Roman" w:hAnsi="Times New Roman" w:eastAsia="宋体" w:cs="Times New Roman"/>
                      <w:color w:val="auto"/>
                      <w:kern w:val="0"/>
                      <w:sz w:val="21"/>
                      <w:szCs w:val="21"/>
                      <w:highlight w:val="none"/>
                      <w:vertAlign w:val="subscript"/>
                      <w:lang w:bidi="ar"/>
                    </w:rPr>
                    <w:t>2</w:t>
                  </w:r>
                </w:p>
              </w:tc>
              <w:tc>
                <w:tcPr>
                  <w:tcW w:w="637" w:type="dxa"/>
                  <w:shd w:val="clear" w:color="auto" w:fill="auto"/>
                  <w:tcMar>
                    <w:top w:w="0" w:type="dxa"/>
                    <w:left w:w="0" w:type="dxa"/>
                    <w:bottom w:w="0" w:type="dxa"/>
                    <w:right w:w="0" w:type="dxa"/>
                  </w:tcMar>
                  <w:vAlign w:val="center"/>
                </w:tcPr>
                <w:p w14:paraId="76ADF095">
                  <w:pPr>
                    <w:keepNext w:val="0"/>
                    <w:keepLines w:val="0"/>
                    <w:suppressLineNumbers w:val="0"/>
                    <w:spacing w:before="0" w:beforeAutospacing="0" w:after="0" w:afterAutospacing="0"/>
                    <w:ind w:left="0" w:right="0"/>
                    <w:jc w:val="center"/>
                    <w:rPr>
                      <w:rFonts w:hint="eastAsia" w:ascii="Times New Roman" w:hAnsi="Times New Roman" w:eastAsia="宋体" w:cs="Times New Roman"/>
                      <w:color w:val="auto"/>
                      <w:sz w:val="21"/>
                      <w:szCs w:val="21"/>
                      <w:lang w:eastAsia="zh-CN"/>
                    </w:rPr>
                  </w:pPr>
                  <w:r>
                    <w:rPr>
                      <w:rFonts w:hint="default" w:ascii="Times New Roman" w:hAnsi="Times New Roman" w:eastAsia="宋体" w:cs="Times New Roman"/>
                      <w:color w:val="auto"/>
                      <w:sz w:val="21"/>
                      <w:szCs w:val="21"/>
                    </w:rPr>
                    <w:t>75/1（等效后：81.0/1</w:t>
                  </w:r>
                  <w:r>
                    <w:rPr>
                      <w:rFonts w:hint="eastAsia" w:ascii="Times New Roman" w:hAnsi="Times New Roman" w:eastAsia="宋体" w:cs="Times New Roman"/>
                      <w:color w:val="auto"/>
                      <w:sz w:val="21"/>
                      <w:szCs w:val="21"/>
                      <w:lang w:eastAsia="zh-CN"/>
                    </w:rPr>
                    <w:t>）</w:t>
                  </w:r>
                </w:p>
              </w:tc>
              <w:tc>
                <w:tcPr>
                  <w:tcW w:w="553" w:type="dxa"/>
                  <w:vMerge w:val="continue"/>
                  <w:shd w:val="clear" w:color="auto" w:fill="auto"/>
                  <w:tcMar>
                    <w:top w:w="0" w:type="dxa"/>
                    <w:left w:w="0" w:type="dxa"/>
                    <w:bottom w:w="0" w:type="dxa"/>
                    <w:right w:w="0" w:type="dxa"/>
                  </w:tcMar>
                  <w:vAlign w:val="center"/>
                </w:tcPr>
                <w:p w14:paraId="4296B068">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 w:val="21"/>
                      <w:szCs w:val="21"/>
                    </w:rPr>
                  </w:pPr>
                </w:p>
              </w:tc>
              <w:tc>
                <w:tcPr>
                  <w:tcW w:w="563" w:type="dxa"/>
                  <w:shd w:val="clear" w:color="auto" w:fill="auto"/>
                  <w:tcMar>
                    <w:top w:w="0" w:type="dxa"/>
                    <w:left w:w="0" w:type="dxa"/>
                    <w:bottom w:w="0" w:type="dxa"/>
                    <w:right w:w="0" w:type="dxa"/>
                  </w:tcMar>
                  <w:vAlign w:val="center"/>
                </w:tcPr>
                <w:p w14:paraId="4AA679A6">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-34.9</w:t>
                  </w:r>
                </w:p>
              </w:tc>
              <w:tc>
                <w:tcPr>
                  <w:tcW w:w="563" w:type="dxa"/>
                  <w:shd w:val="clear" w:color="auto" w:fill="auto"/>
                  <w:tcMar>
                    <w:top w:w="0" w:type="dxa"/>
                    <w:left w:w="0" w:type="dxa"/>
                    <w:bottom w:w="0" w:type="dxa"/>
                    <w:right w:w="0" w:type="dxa"/>
                  </w:tcMar>
                  <w:vAlign w:val="center"/>
                </w:tcPr>
                <w:p w14:paraId="70472B24">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-32</w:t>
                  </w:r>
                </w:p>
              </w:tc>
              <w:tc>
                <w:tcPr>
                  <w:tcW w:w="564" w:type="dxa"/>
                  <w:shd w:val="clear" w:color="auto" w:fill="auto"/>
                  <w:tcMar>
                    <w:top w:w="0" w:type="dxa"/>
                    <w:left w:w="0" w:type="dxa"/>
                    <w:bottom w:w="0" w:type="dxa"/>
                    <w:right w:w="0" w:type="dxa"/>
                  </w:tcMar>
                  <w:vAlign w:val="center"/>
                </w:tcPr>
                <w:p w14:paraId="4658DCAB">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1.2</w:t>
                  </w:r>
                </w:p>
              </w:tc>
              <w:tc>
                <w:tcPr>
                  <w:tcW w:w="466" w:type="dxa"/>
                  <w:shd w:val="clear" w:color="auto" w:fill="auto"/>
                  <w:tcMar>
                    <w:top w:w="0" w:type="dxa"/>
                    <w:left w:w="0" w:type="dxa"/>
                    <w:bottom w:w="0" w:type="dxa"/>
                    <w:right w:w="0" w:type="dxa"/>
                  </w:tcMar>
                  <w:vAlign w:val="center"/>
                </w:tcPr>
                <w:p w14:paraId="6946BCE0">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41.0</w:t>
                  </w:r>
                </w:p>
              </w:tc>
              <w:tc>
                <w:tcPr>
                  <w:tcW w:w="466" w:type="dxa"/>
                  <w:shd w:val="clear" w:color="auto" w:fill="auto"/>
                  <w:tcMar>
                    <w:top w:w="0" w:type="dxa"/>
                    <w:left w:w="0" w:type="dxa"/>
                    <w:bottom w:w="0" w:type="dxa"/>
                    <w:right w:w="0" w:type="dxa"/>
                  </w:tcMar>
                  <w:vAlign w:val="center"/>
                </w:tcPr>
                <w:p w14:paraId="5EE4F134">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5.1</w:t>
                  </w:r>
                </w:p>
              </w:tc>
              <w:tc>
                <w:tcPr>
                  <w:tcW w:w="466" w:type="dxa"/>
                  <w:shd w:val="clear" w:color="auto" w:fill="auto"/>
                  <w:tcMar>
                    <w:top w:w="0" w:type="dxa"/>
                    <w:left w:w="0" w:type="dxa"/>
                    <w:bottom w:w="0" w:type="dxa"/>
                    <w:right w:w="0" w:type="dxa"/>
                  </w:tcMar>
                  <w:vAlign w:val="center"/>
                </w:tcPr>
                <w:p w14:paraId="25F86E5D">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42.8</w:t>
                  </w:r>
                </w:p>
              </w:tc>
              <w:tc>
                <w:tcPr>
                  <w:tcW w:w="467" w:type="dxa"/>
                  <w:shd w:val="clear" w:color="auto" w:fill="auto"/>
                  <w:tcMar>
                    <w:top w:w="0" w:type="dxa"/>
                    <w:left w:w="0" w:type="dxa"/>
                    <w:bottom w:w="0" w:type="dxa"/>
                    <w:right w:w="0" w:type="dxa"/>
                  </w:tcMar>
                  <w:vAlign w:val="center"/>
                </w:tcPr>
                <w:p w14:paraId="155A46E8">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52.0</w:t>
                  </w:r>
                </w:p>
              </w:tc>
              <w:tc>
                <w:tcPr>
                  <w:tcW w:w="460" w:type="dxa"/>
                  <w:shd w:val="clear" w:color="auto" w:fill="auto"/>
                  <w:tcMar>
                    <w:top w:w="0" w:type="dxa"/>
                    <w:left w:w="0" w:type="dxa"/>
                    <w:bottom w:w="0" w:type="dxa"/>
                    <w:right w:w="0" w:type="dxa"/>
                  </w:tcMar>
                  <w:vAlign w:val="center"/>
                </w:tcPr>
                <w:p w14:paraId="2AD21151">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55.5</w:t>
                  </w:r>
                </w:p>
              </w:tc>
              <w:tc>
                <w:tcPr>
                  <w:tcW w:w="460" w:type="dxa"/>
                  <w:shd w:val="clear" w:color="auto" w:fill="auto"/>
                  <w:tcMar>
                    <w:top w:w="0" w:type="dxa"/>
                    <w:left w:w="0" w:type="dxa"/>
                    <w:bottom w:w="0" w:type="dxa"/>
                    <w:right w:w="0" w:type="dxa"/>
                  </w:tcMar>
                  <w:vAlign w:val="center"/>
                </w:tcPr>
                <w:p w14:paraId="12D5AEB3">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55.9</w:t>
                  </w:r>
                </w:p>
              </w:tc>
              <w:tc>
                <w:tcPr>
                  <w:tcW w:w="460" w:type="dxa"/>
                  <w:shd w:val="clear" w:color="auto" w:fill="auto"/>
                  <w:tcMar>
                    <w:top w:w="0" w:type="dxa"/>
                    <w:left w:w="0" w:type="dxa"/>
                    <w:bottom w:w="0" w:type="dxa"/>
                    <w:right w:w="0" w:type="dxa"/>
                  </w:tcMar>
                  <w:vAlign w:val="center"/>
                </w:tcPr>
                <w:p w14:paraId="51F47ED3">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55.4</w:t>
                  </w:r>
                </w:p>
              </w:tc>
              <w:tc>
                <w:tcPr>
                  <w:tcW w:w="462" w:type="dxa"/>
                  <w:shd w:val="clear" w:color="auto" w:fill="auto"/>
                  <w:tcMar>
                    <w:top w:w="0" w:type="dxa"/>
                    <w:left w:w="0" w:type="dxa"/>
                    <w:bottom w:w="0" w:type="dxa"/>
                    <w:right w:w="0" w:type="dxa"/>
                  </w:tcMar>
                  <w:vAlign w:val="center"/>
                </w:tcPr>
                <w:p w14:paraId="00E4F989">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55.4</w:t>
                  </w:r>
                </w:p>
              </w:tc>
              <w:tc>
                <w:tcPr>
                  <w:tcW w:w="445" w:type="dxa"/>
                  <w:vMerge w:val="continue"/>
                  <w:shd w:val="clear" w:color="auto" w:fill="auto"/>
                  <w:tcMar>
                    <w:top w:w="0" w:type="dxa"/>
                    <w:left w:w="0" w:type="dxa"/>
                    <w:bottom w:w="0" w:type="dxa"/>
                    <w:right w:w="0" w:type="dxa"/>
                  </w:tcMar>
                  <w:vAlign w:val="center"/>
                </w:tcPr>
                <w:p w14:paraId="34B64527">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 w:val="21"/>
                      <w:szCs w:val="21"/>
                    </w:rPr>
                  </w:pPr>
                </w:p>
              </w:tc>
              <w:tc>
                <w:tcPr>
                  <w:tcW w:w="444" w:type="dxa"/>
                  <w:shd w:val="clear" w:color="auto" w:fill="auto"/>
                  <w:tcMar>
                    <w:top w:w="0" w:type="dxa"/>
                    <w:left w:w="0" w:type="dxa"/>
                    <w:bottom w:w="0" w:type="dxa"/>
                    <w:right w:w="0" w:type="dxa"/>
                  </w:tcMar>
                  <w:vAlign w:val="center"/>
                </w:tcPr>
                <w:p w14:paraId="4297C3D6">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20.0</w:t>
                  </w:r>
                </w:p>
              </w:tc>
              <w:tc>
                <w:tcPr>
                  <w:tcW w:w="444" w:type="dxa"/>
                  <w:shd w:val="clear" w:color="auto" w:fill="auto"/>
                  <w:tcMar>
                    <w:top w:w="0" w:type="dxa"/>
                    <w:left w:w="0" w:type="dxa"/>
                    <w:bottom w:w="0" w:type="dxa"/>
                    <w:right w:w="0" w:type="dxa"/>
                  </w:tcMar>
                  <w:vAlign w:val="center"/>
                </w:tcPr>
                <w:p w14:paraId="2D558B10">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20.0</w:t>
                  </w:r>
                </w:p>
              </w:tc>
              <w:tc>
                <w:tcPr>
                  <w:tcW w:w="444" w:type="dxa"/>
                  <w:shd w:val="clear" w:color="auto" w:fill="auto"/>
                  <w:tcMar>
                    <w:top w:w="0" w:type="dxa"/>
                    <w:left w:w="0" w:type="dxa"/>
                    <w:bottom w:w="0" w:type="dxa"/>
                    <w:right w:w="0" w:type="dxa"/>
                  </w:tcMar>
                  <w:vAlign w:val="center"/>
                </w:tcPr>
                <w:p w14:paraId="412878BC">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20.0</w:t>
                  </w:r>
                </w:p>
              </w:tc>
              <w:tc>
                <w:tcPr>
                  <w:tcW w:w="444" w:type="dxa"/>
                  <w:shd w:val="clear" w:color="auto" w:fill="auto"/>
                  <w:tcMar>
                    <w:top w:w="0" w:type="dxa"/>
                    <w:left w:w="0" w:type="dxa"/>
                    <w:bottom w:w="0" w:type="dxa"/>
                    <w:right w:w="0" w:type="dxa"/>
                  </w:tcMar>
                  <w:vAlign w:val="center"/>
                </w:tcPr>
                <w:p w14:paraId="39B438E5">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20.0</w:t>
                  </w:r>
                </w:p>
              </w:tc>
              <w:tc>
                <w:tcPr>
                  <w:tcW w:w="470" w:type="dxa"/>
                  <w:shd w:val="clear" w:color="auto" w:fill="auto"/>
                  <w:tcMar>
                    <w:top w:w="0" w:type="dxa"/>
                    <w:left w:w="0" w:type="dxa"/>
                    <w:bottom w:w="0" w:type="dxa"/>
                    <w:right w:w="0" w:type="dxa"/>
                  </w:tcMar>
                  <w:vAlign w:val="center"/>
                </w:tcPr>
                <w:p w14:paraId="0CFD9003">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35.5</w:t>
                  </w:r>
                </w:p>
              </w:tc>
              <w:tc>
                <w:tcPr>
                  <w:tcW w:w="470" w:type="dxa"/>
                  <w:shd w:val="clear" w:color="auto" w:fill="auto"/>
                  <w:tcMar>
                    <w:top w:w="0" w:type="dxa"/>
                    <w:left w:w="0" w:type="dxa"/>
                    <w:bottom w:w="0" w:type="dxa"/>
                    <w:right w:w="0" w:type="dxa"/>
                  </w:tcMar>
                  <w:vAlign w:val="center"/>
                </w:tcPr>
                <w:p w14:paraId="4A999EE9">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35.9</w:t>
                  </w:r>
                </w:p>
              </w:tc>
              <w:tc>
                <w:tcPr>
                  <w:tcW w:w="470" w:type="dxa"/>
                  <w:shd w:val="clear" w:color="auto" w:fill="auto"/>
                  <w:tcMar>
                    <w:top w:w="0" w:type="dxa"/>
                    <w:left w:w="0" w:type="dxa"/>
                    <w:bottom w:w="0" w:type="dxa"/>
                    <w:right w:w="0" w:type="dxa"/>
                  </w:tcMar>
                  <w:vAlign w:val="center"/>
                </w:tcPr>
                <w:p w14:paraId="1DC7E993">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35.4</w:t>
                  </w:r>
                </w:p>
              </w:tc>
              <w:tc>
                <w:tcPr>
                  <w:tcW w:w="471" w:type="dxa"/>
                  <w:shd w:val="clear" w:color="auto" w:fill="auto"/>
                  <w:tcMar>
                    <w:top w:w="0" w:type="dxa"/>
                    <w:left w:w="0" w:type="dxa"/>
                    <w:bottom w:w="0" w:type="dxa"/>
                    <w:right w:w="0" w:type="dxa"/>
                  </w:tcMar>
                  <w:vAlign w:val="center"/>
                </w:tcPr>
                <w:p w14:paraId="4EA9D6F0">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35.4</w:t>
                  </w:r>
                </w:p>
              </w:tc>
              <w:tc>
                <w:tcPr>
                  <w:tcW w:w="648" w:type="dxa"/>
                  <w:shd w:val="clear" w:color="auto" w:fill="auto"/>
                  <w:tcMar>
                    <w:top w:w="0" w:type="dxa"/>
                    <w:left w:w="0" w:type="dxa"/>
                    <w:bottom w:w="0" w:type="dxa"/>
                    <w:right w:w="0" w:type="dxa"/>
                  </w:tcMar>
                  <w:vAlign w:val="center"/>
                </w:tcPr>
                <w:p w14:paraId="21142B1D">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1</w:t>
                  </w:r>
                </w:p>
              </w:tc>
            </w:tr>
            <w:tr w14:paraId="1CDDFE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23" w:hRule="atLeast"/>
                <w:jc w:val="center"/>
              </w:trPr>
              <w:tc>
                <w:tcPr>
                  <w:tcW w:w="482" w:type="dxa"/>
                  <w:shd w:val="clear" w:color="auto" w:fill="auto"/>
                  <w:vAlign w:val="center"/>
                </w:tcPr>
                <w:p w14:paraId="0E95ECCF">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7</w:t>
                  </w:r>
                </w:p>
              </w:tc>
              <w:tc>
                <w:tcPr>
                  <w:tcW w:w="485" w:type="dxa"/>
                  <w:vMerge w:val="continue"/>
                  <w:shd w:val="clear" w:color="auto" w:fill="auto"/>
                  <w:tcMar>
                    <w:top w:w="0" w:type="dxa"/>
                    <w:left w:w="0" w:type="dxa"/>
                    <w:bottom w:w="0" w:type="dxa"/>
                    <w:right w:w="0" w:type="dxa"/>
                  </w:tcMar>
                  <w:vAlign w:val="center"/>
                </w:tcPr>
                <w:p w14:paraId="42CE8624">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 w:val="21"/>
                      <w:szCs w:val="21"/>
                    </w:rPr>
                  </w:pPr>
                </w:p>
              </w:tc>
              <w:tc>
                <w:tcPr>
                  <w:tcW w:w="541" w:type="dxa"/>
                  <w:shd w:val="clear" w:color="auto" w:fill="auto"/>
                  <w:tcMar>
                    <w:top w:w="0" w:type="dxa"/>
                    <w:left w:w="0" w:type="dxa"/>
                    <w:bottom w:w="0" w:type="dxa"/>
                    <w:right w:w="0" w:type="dxa"/>
                  </w:tcMar>
                  <w:vAlign w:val="center"/>
                </w:tcPr>
                <w:p w14:paraId="0764AECA">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三工位贴合机</w:t>
                  </w:r>
                  <w:r>
                    <w:rPr>
                      <w:rFonts w:hint="eastAsia" w:ascii="Times New Roman" w:hAnsi="Times New Roman" w:eastAsia="宋体" w:cs="Times New Roman"/>
                      <w:color w:val="auto"/>
                      <w:sz w:val="21"/>
                      <w:szCs w:val="21"/>
                      <w:lang w:eastAsia="zh-CN"/>
                    </w:rPr>
                    <w:t>，</w:t>
                  </w:r>
                  <w:r>
                    <w:rPr>
                      <w:rFonts w:hint="default" w:ascii="Times New Roman" w:hAnsi="Times New Roman" w:eastAsia="宋体" w:cs="Times New Roman"/>
                      <w:color w:val="auto"/>
                      <w:sz w:val="21"/>
                      <w:szCs w:val="21"/>
                    </w:rPr>
                    <w:t>5台（按点声源组预测）</w:t>
                  </w:r>
                </w:p>
              </w:tc>
              <w:tc>
                <w:tcPr>
                  <w:tcW w:w="413" w:type="dxa"/>
                  <w:shd w:val="clear" w:color="auto" w:fill="auto"/>
                  <w:tcMar>
                    <w:top w:w="0" w:type="dxa"/>
                    <w:left w:w="0" w:type="dxa"/>
                    <w:bottom w:w="0" w:type="dxa"/>
                    <w:right w:w="0" w:type="dxa"/>
                  </w:tcMar>
                  <w:vAlign w:val="center"/>
                </w:tcPr>
                <w:p w14:paraId="32BF95EA">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宋体" w:cs="Times New Roman"/>
                      <w:color w:val="auto"/>
                      <w:sz w:val="21"/>
                      <w:szCs w:val="21"/>
                      <w:highlight w:val="none"/>
                      <w:lang w:val="en-US" w:eastAsia="en-US" w:bidi="ar-SA"/>
                    </w:rPr>
                  </w:pPr>
                  <w:r>
                    <w:rPr>
                      <w:rFonts w:hint="default" w:ascii="Times New Roman" w:hAnsi="Times New Roman" w:eastAsia="宋体" w:cs="Times New Roman"/>
                      <w:color w:val="auto"/>
                      <w:kern w:val="0"/>
                      <w:sz w:val="21"/>
                      <w:szCs w:val="21"/>
                      <w:highlight w:val="none"/>
                      <w:lang w:bidi="ar"/>
                    </w:rPr>
                    <w:t>WD-T650-3</w:t>
                  </w:r>
                </w:p>
              </w:tc>
              <w:tc>
                <w:tcPr>
                  <w:tcW w:w="637" w:type="dxa"/>
                  <w:shd w:val="clear" w:color="auto" w:fill="auto"/>
                  <w:tcMar>
                    <w:top w:w="0" w:type="dxa"/>
                    <w:left w:w="0" w:type="dxa"/>
                    <w:bottom w:w="0" w:type="dxa"/>
                    <w:right w:w="0" w:type="dxa"/>
                  </w:tcMar>
                  <w:vAlign w:val="center"/>
                </w:tcPr>
                <w:p w14:paraId="1D221FDC">
                  <w:pPr>
                    <w:keepNext w:val="0"/>
                    <w:keepLines w:val="0"/>
                    <w:suppressLineNumbers w:val="0"/>
                    <w:spacing w:before="0" w:beforeAutospacing="0" w:after="0" w:afterAutospacing="0"/>
                    <w:ind w:left="0" w:right="0"/>
                    <w:jc w:val="center"/>
                    <w:rPr>
                      <w:rFonts w:hint="eastAsia" w:ascii="Times New Roman" w:hAnsi="Times New Roman" w:eastAsia="宋体" w:cs="Times New Roman"/>
                      <w:color w:val="auto"/>
                      <w:sz w:val="21"/>
                      <w:szCs w:val="21"/>
                      <w:lang w:eastAsia="zh-CN"/>
                    </w:rPr>
                  </w:pPr>
                  <w:r>
                    <w:rPr>
                      <w:rFonts w:hint="default" w:ascii="Times New Roman" w:hAnsi="Times New Roman" w:eastAsia="宋体" w:cs="Times New Roman"/>
                      <w:color w:val="auto"/>
                      <w:sz w:val="21"/>
                      <w:szCs w:val="21"/>
                    </w:rPr>
                    <w:t>75/1（等效后：81.0/1</w:t>
                  </w:r>
                  <w:r>
                    <w:rPr>
                      <w:rFonts w:hint="eastAsia" w:ascii="Times New Roman" w:hAnsi="Times New Roman" w:eastAsia="宋体" w:cs="Times New Roman"/>
                      <w:color w:val="auto"/>
                      <w:sz w:val="21"/>
                      <w:szCs w:val="21"/>
                      <w:lang w:eastAsia="zh-CN"/>
                    </w:rPr>
                    <w:t>）</w:t>
                  </w:r>
                </w:p>
              </w:tc>
              <w:tc>
                <w:tcPr>
                  <w:tcW w:w="553" w:type="dxa"/>
                  <w:vMerge w:val="continue"/>
                  <w:shd w:val="clear" w:color="auto" w:fill="auto"/>
                  <w:tcMar>
                    <w:top w:w="0" w:type="dxa"/>
                    <w:left w:w="0" w:type="dxa"/>
                    <w:bottom w:w="0" w:type="dxa"/>
                    <w:right w:w="0" w:type="dxa"/>
                  </w:tcMar>
                  <w:vAlign w:val="center"/>
                </w:tcPr>
                <w:p w14:paraId="4D0AAD95">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 w:val="21"/>
                      <w:szCs w:val="21"/>
                    </w:rPr>
                  </w:pPr>
                </w:p>
              </w:tc>
              <w:tc>
                <w:tcPr>
                  <w:tcW w:w="563" w:type="dxa"/>
                  <w:shd w:val="clear" w:color="auto" w:fill="auto"/>
                  <w:tcMar>
                    <w:top w:w="0" w:type="dxa"/>
                    <w:left w:w="0" w:type="dxa"/>
                    <w:bottom w:w="0" w:type="dxa"/>
                    <w:right w:w="0" w:type="dxa"/>
                  </w:tcMar>
                  <w:vAlign w:val="center"/>
                </w:tcPr>
                <w:p w14:paraId="0D387998">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-22.1</w:t>
                  </w:r>
                </w:p>
              </w:tc>
              <w:tc>
                <w:tcPr>
                  <w:tcW w:w="563" w:type="dxa"/>
                  <w:shd w:val="clear" w:color="auto" w:fill="auto"/>
                  <w:tcMar>
                    <w:top w:w="0" w:type="dxa"/>
                    <w:left w:w="0" w:type="dxa"/>
                    <w:bottom w:w="0" w:type="dxa"/>
                    <w:right w:w="0" w:type="dxa"/>
                  </w:tcMar>
                  <w:vAlign w:val="center"/>
                </w:tcPr>
                <w:p w14:paraId="34402B6A">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-30.1</w:t>
                  </w:r>
                </w:p>
              </w:tc>
              <w:tc>
                <w:tcPr>
                  <w:tcW w:w="564" w:type="dxa"/>
                  <w:shd w:val="clear" w:color="auto" w:fill="auto"/>
                  <w:tcMar>
                    <w:top w:w="0" w:type="dxa"/>
                    <w:left w:w="0" w:type="dxa"/>
                    <w:bottom w:w="0" w:type="dxa"/>
                    <w:right w:w="0" w:type="dxa"/>
                  </w:tcMar>
                  <w:vAlign w:val="center"/>
                </w:tcPr>
                <w:p w14:paraId="710AE668">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1.2</w:t>
                  </w:r>
                </w:p>
              </w:tc>
              <w:tc>
                <w:tcPr>
                  <w:tcW w:w="466" w:type="dxa"/>
                  <w:shd w:val="clear" w:color="auto" w:fill="auto"/>
                  <w:tcMar>
                    <w:top w:w="0" w:type="dxa"/>
                    <w:left w:w="0" w:type="dxa"/>
                    <w:bottom w:w="0" w:type="dxa"/>
                    <w:right w:w="0" w:type="dxa"/>
                  </w:tcMar>
                  <w:vAlign w:val="center"/>
                </w:tcPr>
                <w:p w14:paraId="10388EC5">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28.0</w:t>
                  </w:r>
                </w:p>
              </w:tc>
              <w:tc>
                <w:tcPr>
                  <w:tcW w:w="466" w:type="dxa"/>
                  <w:shd w:val="clear" w:color="auto" w:fill="auto"/>
                  <w:tcMar>
                    <w:top w:w="0" w:type="dxa"/>
                    <w:left w:w="0" w:type="dxa"/>
                    <w:bottom w:w="0" w:type="dxa"/>
                    <w:right w:w="0" w:type="dxa"/>
                  </w:tcMar>
                  <w:vAlign w:val="center"/>
                </w:tcPr>
                <w:p w14:paraId="597903B7">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4.1</w:t>
                  </w:r>
                </w:p>
              </w:tc>
              <w:tc>
                <w:tcPr>
                  <w:tcW w:w="466" w:type="dxa"/>
                  <w:shd w:val="clear" w:color="auto" w:fill="auto"/>
                  <w:tcMar>
                    <w:top w:w="0" w:type="dxa"/>
                    <w:left w:w="0" w:type="dxa"/>
                    <w:bottom w:w="0" w:type="dxa"/>
                    <w:right w:w="0" w:type="dxa"/>
                  </w:tcMar>
                  <w:vAlign w:val="center"/>
                </w:tcPr>
                <w:p w14:paraId="637692C7">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55.7</w:t>
                  </w:r>
                </w:p>
              </w:tc>
              <w:tc>
                <w:tcPr>
                  <w:tcW w:w="467" w:type="dxa"/>
                  <w:shd w:val="clear" w:color="auto" w:fill="auto"/>
                  <w:tcMar>
                    <w:top w:w="0" w:type="dxa"/>
                    <w:left w:w="0" w:type="dxa"/>
                    <w:bottom w:w="0" w:type="dxa"/>
                    <w:right w:w="0" w:type="dxa"/>
                  </w:tcMar>
                  <w:vAlign w:val="center"/>
                </w:tcPr>
                <w:p w14:paraId="7B42E381">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52.9</w:t>
                  </w:r>
                </w:p>
              </w:tc>
              <w:tc>
                <w:tcPr>
                  <w:tcW w:w="460" w:type="dxa"/>
                  <w:shd w:val="clear" w:color="auto" w:fill="auto"/>
                  <w:tcMar>
                    <w:top w:w="0" w:type="dxa"/>
                    <w:left w:w="0" w:type="dxa"/>
                    <w:bottom w:w="0" w:type="dxa"/>
                    <w:right w:w="0" w:type="dxa"/>
                  </w:tcMar>
                  <w:vAlign w:val="center"/>
                </w:tcPr>
                <w:p w14:paraId="2B665DAD">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63.5</w:t>
                  </w:r>
                </w:p>
              </w:tc>
              <w:tc>
                <w:tcPr>
                  <w:tcW w:w="460" w:type="dxa"/>
                  <w:shd w:val="clear" w:color="auto" w:fill="auto"/>
                  <w:tcMar>
                    <w:top w:w="0" w:type="dxa"/>
                    <w:left w:w="0" w:type="dxa"/>
                    <w:bottom w:w="0" w:type="dxa"/>
                    <w:right w:w="0" w:type="dxa"/>
                  </w:tcMar>
                  <w:vAlign w:val="center"/>
                </w:tcPr>
                <w:p w14:paraId="598BC5F7">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64.1</w:t>
                  </w:r>
                </w:p>
              </w:tc>
              <w:tc>
                <w:tcPr>
                  <w:tcW w:w="460" w:type="dxa"/>
                  <w:shd w:val="clear" w:color="auto" w:fill="auto"/>
                  <w:tcMar>
                    <w:top w:w="0" w:type="dxa"/>
                    <w:left w:w="0" w:type="dxa"/>
                    <w:bottom w:w="0" w:type="dxa"/>
                    <w:right w:w="0" w:type="dxa"/>
                  </w:tcMar>
                  <w:vAlign w:val="center"/>
                </w:tcPr>
                <w:p w14:paraId="4ABBF5D0">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63.4</w:t>
                  </w:r>
                </w:p>
              </w:tc>
              <w:tc>
                <w:tcPr>
                  <w:tcW w:w="462" w:type="dxa"/>
                  <w:shd w:val="clear" w:color="auto" w:fill="auto"/>
                  <w:tcMar>
                    <w:top w:w="0" w:type="dxa"/>
                    <w:left w:w="0" w:type="dxa"/>
                    <w:bottom w:w="0" w:type="dxa"/>
                    <w:right w:w="0" w:type="dxa"/>
                  </w:tcMar>
                  <w:vAlign w:val="center"/>
                </w:tcPr>
                <w:p w14:paraId="79CE4E8F">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63.4</w:t>
                  </w:r>
                </w:p>
              </w:tc>
              <w:tc>
                <w:tcPr>
                  <w:tcW w:w="445" w:type="dxa"/>
                  <w:vMerge w:val="continue"/>
                  <w:shd w:val="clear" w:color="auto" w:fill="auto"/>
                  <w:tcMar>
                    <w:top w:w="0" w:type="dxa"/>
                    <w:left w:w="0" w:type="dxa"/>
                    <w:bottom w:w="0" w:type="dxa"/>
                    <w:right w:w="0" w:type="dxa"/>
                  </w:tcMar>
                  <w:vAlign w:val="center"/>
                </w:tcPr>
                <w:p w14:paraId="47DFE8A7">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 w:val="21"/>
                      <w:szCs w:val="21"/>
                    </w:rPr>
                  </w:pPr>
                </w:p>
              </w:tc>
              <w:tc>
                <w:tcPr>
                  <w:tcW w:w="444" w:type="dxa"/>
                  <w:shd w:val="clear" w:color="auto" w:fill="auto"/>
                  <w:tcMar>
                    <w:top w:w="0" w:type="dxa"/>
                    <w:left w:w="0" w:type="dxa"/>
                    <w:bottom w:w="0" w:type="dxa"/>
                    <w:right w:w="0" w:type="dxa"/>
                  </w:tcMar>
                  <w:vAlign w:val="center"/>
                </w:tcPr>
                <w:p w14:paraId="6E1AA521">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20.0</w:t>
                  </w:r>
                </w:p>
              </w:tc>
              <w:tc>
                <w:tcPr>
                  <w:tcW w:w="444" w:type="dxa"/>
                  <w:shd w:val="clear" w:color="auto" w:fill="auto"/>
                  <w:tcMar>
                    <w:top w:w="0" w:type="dxa"/>
                    <w:left w:w="0" w:type="dxa"/>
                    <w:bottom w:w="0" w:type="dxa"/>
                    <w:right w:w="0" w:type="dxa"/>
                  </w:tcMar>
                  <w:vAlign w:val="center"/>
                </w:tcPr>
                <w:p w14:paraId="42CFC458">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20.0</w:t>
                  </w:r>
                </w:p>
              </w:tc>
              <w:tc>
                <w:tcPr>
                  <w:tcW w:w="444" w:type="dxa"/>
                  <w:shd w:val="clear" w:color="auto" w:fill="auto"/>
                  <w:tcMar>
                    <w:top w:w="0" w:type="dxa"/>
                    <w:left w:w="0" w:type="dxa"/>
                    <w:bottom w:w="0" w:type="dxa"/>
                    <w:right w:w="0" w:type="dxa"/>
                  </w:tcMar>
                  <w:vAlign w:val="center"/>
                </w:tcPr>
                <w:p w14:paraId="57524B68">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20.0</w:t>
                  </w:r>
                </w:p>
              </w:tc>
              <w:tc>
                <w:tcPr>
                  <w:tcW w:w="444" w:type="dxa"/>
                  <w:shd w:val="clear" w:color="auto" w:fill="auto"/>
                  <w:tcMar>
                    <w:top w:w="0" w:type="dxa"/>
                    <w:left w:w="0" w:type="dxa"/>
                    <w:bottom w:w="0" w:type="dxa"/>
                    <w:right w:w="0" w:type="dxa"/>
                  </w:tcMar>
                  <w:vAlign w:val="center"/>
                </w:tcPr>
                <w:p w14:paraId="7020B7F5">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20.0</w:t>
                  </w:r>
                </w:p>
              </w:tc>
              <w:tc>
                <w:tcPr>
                  <w:tcW w:w="470" w:type="dxa"/>
                  <w:shd w:val="clear" w:color="auto" w:fill="auto"/>
                  <w:tcMar>
                    <w:top w:w="0" w:type="dxa"/>
                    <w:left w:w="0" w:type="dxa"/>
                    <w:bottom w:w="0" w:type="dxa"/>
                    <w:right w:w="0" w:type="dxa"/>
                  </w:tcMar>
                  <w:vAlign w:val="center"/>
                </w:tcPr>
                <w:p w14:paraId="2CF5379F">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43.5</w:t>
                  </w:r>
                </w:p>
              </w:tc>
              <w:tc>
                <w:tcPr>
                  <w:tcW w:w="470" w:type="dxa"/>
                  <w:shd w:val="clear" w:color="auto" w:fill="auto"/>
                  <w:tcMar>
                    <w:top w:w="0" w:type="dxa"/>
                    <w:left w:w="0" w:type="dxa"/>
                    <w:bottom w:w="0" w:type="dxa"/>
                    <w:right w:w="0" w:type="dxa"/>
                  </w:tcMar>
                  <w:vAlign w:val="center"/>
                </w:tcPr>
                <w:p w14:paraId="7694D556">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44.1</w:t>
                  </w:r>
                </w:p>
              </w:tc>
              <w:tc>
                <w:tcPr>
                  <w:tcW w:w="470" w:type="dxa"/>
                  <w:shd w:val="clear" w:color="auto" w:fill="auto"/>
                  <w:tcMar>
                    <w:top w:w="0" w:type="dxa"/>
                    <w:left w:w="0" w:type="dxa"/>
                    <w:bottom w:w="0" w:type="dxa"/>
                    <w:right w:w="0" w:type="dxa"/>
                  </w:tcMar>
                  <w:vAlign w:val="center"/>
                </w:tcPr>
                <w:p w14:paraId="3B94F80D">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43.4</w:t>
                  </w:r>
                </w:p>
              </w:tc>
              <w:tc>
                <w:tcPr>
                  <w:tcW w:w="471" w:type="dxa"/>
                  <w:shd w:val="clear" w:color="auto" w:fill="auto"/>
                  <w:tcMar>
                    <w:top w:w="0" w:type="dxa"/>
                    <w:left w:w="0" w:type="dxa"/>
                    <w:bottom w:w="0" w:type="dxa"/>
                    <w:right w:w="0" w:type="dxa"/>
                  </w:tcMar>
                  <w:vAlign w:val="center"/>
                </w:tcPr>
                <w:p w14:paraId="3AF8F372">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43.4</w:t>
                  </w:r>
                </w:p>
              </w:tc>
              <w:tc>
                <w:tcPr>
                  <w:tcW w:w="648" w:type="dxa"/>
                  <w:shd w:val="clear" w:color="auto" w:fill="auto"/>
                  <w:tcMar>
                    <w:top w:w="0" w:type="dxa"/>
                    <w:left w:w="0" w:type="dxa"/>
                    <w:bottom w:w="0" w:type="dxa"/>
                    <w:right w:w="0" w:type="dxa"/>
                  </w:tcMar>
                  <w:vAlign w:val="center"/>
                </w:tcPr>
                <w:p w14:paraId="7BA048D7">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1</w:t>
                  </w:r>
                </w:p>
              </w:tc>
            </w:tr>
            <w:tr w14:paraId="1FD2B9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482" w:type="dxa"/>
                  <w:shd w:val="clear" w:color="auto" w:fill="auto"/>
                  <w:vAlign w:val="center"/>
                </w:tcPr>
                <w:p w14:paraId="32438259">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8</w:t>
                  </w:r>
                </w:p>
              </w:tc>
              <w:tc>
                <w:tcPr>
                  <w:tcW w:w="485" w:type="dxa"/>
                  <w:vMerge w:val="continue"/>
                  <w:shd w:val="clear" w:color="auto" w:fill="auto"/>
                  <w:tcMar>
                    <w:top w:w="0" w:type="dxa"/>
                    <w:left w:w="0" w:type="dxa"/>
                    <w:bottom w:w="0" w:type="dxa"/>
                    <w:right w:w="0" w:type="dxa"/>
                  </w:tcMar>
                  <w:vAlign w:val="center"/>
                </w:tcPr>
                <w:p w14:paraId="0379E45A">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 w:val="21"/>
                      <w:szCs w:val="21"/>
                    </w:rPr>
                  </w:pPr>
                </w:p>
              </w:tc>
              <w:tc>
                <w:tcPr>
                  <w:tcW w:w="541" w:type="dxa"/>
                  <w:shd w:val="clear" w:color="auto" w:fill="auto"/>
                  <w:tcMar>
                    <w:top w:w="0" w:type="dxa"/>
                    <w:left w:w="0" w:type="dxa"/>
                    <w:bottom w:w="0" w:type="dxa"/>
                    <w:right w:w="0" w:type="dxa"/>
                  </w:tcMar>
                  <w:vAlign w:val="center"/>
                </w:tcPr>
                <w:p w14:paraId="7F88EA54">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真空热合机</w:t>
                  </w:r>
                  <w:r>
                    <w:rPr>
                      <w:rFonts w:hint="eastAsia" w:ascii="Times New Roman" w:hAnsi="Times New Roman" w:eastAsia="宋体" w:cs="Times New Roman"/>
                      <w:color w:val="auto"/>
                      <w:sz w:val="21"/>
                      <w:szCs w:val="21"/>
                      <w:lang w:eastAsia="zh-CN"/>
                    </w:rPr>
                    <w:t>，</w:t>
                  </w:r>
                  <w:r>
                    <w:rPr>
                      <w:rFonts w:hint="default" w:ascii="Times New Roman" w:hAnsi="Times New Roman" w:eastAsia="宋体" w:cs="Times New Roman"/>
                      <w:color w:val="auto"/>
                      <w:sz w:val="21"/>
                      <w:szCs w:val="21"/>
                    </w:rPr>
                    <w:t>10台（按点声源组预测）</w:t>
                  </w:r>
                </w:p>
              </w:tc>
              <w:tc>
                <w:tcPr>
                  <w:tcW w:w="413" w:type="dxa"/>
                  <w:shd w:val="clear" w:color="auto" w:fill="auto"/>
                  <w:tcMar>
                    <w:top w:w="0" w:type="dxa"/>
                    <w:left w:w="0" w:type="dxa"/>
                    <w:bottom w:w="0" w:type="dxa"/>
                    <w:right w:w="0" w:type="dxa"/>
                  </w:tcMar>
                  <w:vAlign w:val="center"/>
                </w:tcPr>
                <w:p w14:paraId="4CA5C9D3">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宋体" w:cs="Times New Roman"/>
                      <w:color w:val="auto"/>
                      <w:sz w:val="21"/>
                      <w:szCs w:val="21"/>
                      <w:highlight w:val="none"/>
                      <w:lang w:val="en-US" w:eastAsia="en-US" w:bidi="ar-SA"/>
                    </w:rPr>
                  </w:pPr>
                  <w:r>
                    <w:rPr>
                      <w:rFonts w:hint="default" w:ascii="Times New Roman" w:hAnsi="Times New Roman" w:eastAsia="宋体" w:cs="Times New Roman"/>
                      <w:color w:val="auto"/>
                      <w:kern w:val="0"/>
                      <w:sz w:val="21"/>
                      <w:szCs w:val="21"/>
                      <w:highlight w:val="none"/>
                      <w:lang w:bidi="ar"/>
                    </w:rPr>
                    <w:t>WD-RY60120</w:t>
                  </w:r>
                </w:p>
              </w:tc>
              <w:tc>
                <w:tcPr>
                  <w:tcW w:w="637" w:type="dxa"/>
                  <w:shd w:val="clear" w:color="auto" w:fill="auto"/>
                  <w:tcMar>
                    <w:top w:w="0" w:type="dxa"/>
                    <w:left w:w="0" w:type="dxa"/>
                    <w:bottom w:w="0" w:type="dxa"/>
                    <w:right w:w="0" w:type="dxa"/>
                  </w:tcMar>
                  <w:vAlign w:val="center"/>
                </w:tcPr>
                <w:p w14:paraId="28A8D3B0">
                  <w:pPr>
                    <w:keepNext w:val="0"/>
                    <w:keepLines w:val="0"/>
                    <w:suppressLineNumbers w:val="0"/>
                    <w:spacing w:before="0" w:beforeAutospacing="0" w:after="0" w:afterAutospacing="0"/>
                    <w:ind w:left="0" w:right="0"/>
                    <w:jc w:val="center"/>
                    <w:rPr>
                      <w:rFonts w:hint="eastAsia" w:ascii="Times New Roman" w:hAnsi="Times New Roman" w:eastAsia="宋体" w:cs="Times New Roman"/>
                      <w:color w:val="auto"/>
                      <w:sz w:val="21"/>
                      <w:szCs w:val="21"/>
                      <w:lang w:eastAsia="zh-CN"/>
                    </w:rPr>
                  </w:pPr>
                  <w:r>
                    <w:rPr>
                      <w:rFonts w:hint="default" w:ascii="Times New Roman" w:hAnsi="Times New Roman" w:eastAsia="宋体" w:cs="Times New Roman"/>
                      <w:color w:val="auto"/>
                      <w:sz w:val="21"/>
                      <w:szCs w:val="21"/>
                    </w:rPr>
                    <w:t>74/1（等效后：80.0/1</w:t>
                  </w:r>
                  <w:r>
                    <w:rPr>
                      <w:rFonts w:hint="eastAsia" w:ascii="Times New Roman" w:hAnsi="Times New Roman" w:eastAsia="宋体" w:cs="Times New Roman"/>
                      <w:color w:val="auto"/>
                      <w:sz w:val="21"/>
                      <w:szCs w:val="21"/>
                      <w:lang w:eastAsia="zh-CN"/>
                    </w:rPr>
                    <w:t>）</w:t>
                  </w:r>
                </w:p>
              </w:tc>
              <w:tc>
                <w:tcPr>
                  <w:tcW w:w="553" w:type="dxa"/>
                  <w:vMerge w:val="continue"/>
                  <w:shd w:val="clear" w:color="auto" w:fill="auto"/>
                  <w:tcMar>
                    <w:top w:w="0" w:type="dxa"/>
                    <w:left w:w="0" w:type="dxa"/>
                    <w:bottom w:w="0" w:type="dxa"/>
                    <w:right w:w="0" w:type="dxa"/>
                  </w:tcMar>
                  <w:vAlign w:val="center"/>
                </w:tcPr>
                <w:p w14:paraId="71079179">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 w:val="21"/>
                      <w:szCs w:val="21"/>
                    </w:rPr>
                  </w:pPr>
                </w:p>
              </w:tc>
              <w:tc>
                <w:tcPr>
                  <w:tcW w:w="563" w:type="dxa"/>
                  <w:shd w:val="clear" w:color="auto" w:fill="auto"/>
                  <w:tcMar>
                    <w:top w:w="0" w:type="dxa"/>
                    <w:left w:w="0" w:type="dxa"/>
                    <w:bottom w:w="0" w:type="dxa"/>
                    <w:right w:w="0" w:type="dxa"/>
                  </w:tcMar>
                  <w:vAlign w:val="center"/>
                </w:tcPr>
                <w:p w14:paraId="4C05F80C">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-20.6</w:t>
                  </w:r>
                </w:p>
              </w:tc>
              <w:tc>
                <w:tcPr>
                  <w:tcW w:w="563" w:type="dxa"/>
                  <w:shd w:val="clear" w:color="auto" w:fill="auto"/>
                  <w:tcMar>
                    <w:top w:w="0" w:type="dxa"/>
                    <w:left w:w="0" w:type="dxa"/>
                    <w:bottom w:w="0" w:type="dxa"/>
                    <w:right w:w="0" w:type="dxa"/>
                  </w:tcMar>
                  <w:vAlign w:val="center"/>
                </w:tcPr>
                <w:p w14:paraId="347DF26E">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-26.9</w:t>
                  </w:r>
                </w:p>
              </w:tc>
              <w:tc>
                <w:tcPr>
                  <w:tcW w:w="564" w:type="dxa"/>
                  <w:shd w:val="clear" w:color="auto" w:fill="auto"/>
                  <w:tcMar>
                    <w:top w:w="0" w:type="dxa"/>
                    <w:left w:w="0" w:type="dxa"/>
                    <w:bottom w:w="0" w:type="dxa"/>
                    <w:right w:w="0" w:type="dxa"/>
                  </w:tcMar>
                  <w:vAlign w:val="center"/>
                </w:tcPr>
                <w:p w14:paraId="1D82D2A4">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1.2</w:t>
                  </w:r>
                </w:p>
              </w:tc>
              <w:tc>
                <w:tcPr>
                  <w:tcW w:w="466" w:type="dxa"/>
                  <w:shd w:val="clear" w:color="auto" w:fill="auto"/>
                  <w:tcMar>
                    <w:top w:w="0" w:type="dxa"/>
                    <w:left w:w="0" w:type="dxa"/>
                    <w:bottom w:w="0" w:type="dxa"/>
                    <w:right w:w="0" w:type="dxa"/>
                  </w:tcMar>
                  <w:vAlign w:val="center"/>
                </w:tcPr>
                <w:p w14:paraId="229B8232">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25.9</w:t>
                  </w:r>
                </w:p>
              </w:tc>
              <w:tc>
                <w:tcPr>
                  <w:tcW w:w="466" w:type="dxa"/>
                  <w:shd w:val="clear" w:color="auto" w:fill="auto"/>
                  <w:tcMar>
                    <w:top w:w="0" w:type="dxa"/>
                    <w:left w:w="0" w:type="dxa"/>
                    <w:bottom w:w="0" w:type="dxa"/>
                    <w:right w:w="0" w:type="dxa"/>
                  </w:tcMar>
                  <w:vAlign w:val="center"/>
                </w:tcPr>
                <w:p w14:paraId="71F6B443">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6.9</w:t>
                  </w:r>
                </w:p>
              </w:tc>
              <w:tc>
                <w:tcPr>
                  <w:tcW w:w="466" w:type="dxa"/>
                  <w:shd w:val="clear" w:color="auto" w:fill="auto"/>
                  <w:tcMar>
                    <w:top w:w="0" w:type="dxa"/>
                    <w:left w:w="0" w:type="dxa"/>
                    <w:bottom w:w="0" w:type="dxa"/>
                    <w:right w:w="0" w:type="dxa"/>
                  </w:tcMar>
                  <w:vAlign w:val="center"/>
                </w:tcPr>
                <w:p w14:paraId="0D4B3C42">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57.8</w:t>
                  </w:r>
                </w:p>
              </w:tc>
              <w:tc>
                <w:tcPr>
                  <w:tcW w:w="467" w:type="dxa"/>
                  <w:shd w:val="clear" w:color="auto" w:fill="auto"/>
                  <w:tcMar>
                    <w:top w:w="0" w:type="dxa"/>
                    <w:left w:w="0" w:type="dxa"/>
                    <w:bottom w:w="0" w:type="dxa"/>
                    <w:right w:w="0" w:type="dxa"/>
                  </w:tcMar>
                  <w:vAlign w:val="center"/>
                </w:tcPr>
                <w:p w14:paraId="1435DF8D">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50.1</w:t>
                  </w:r>
                </w:p>
              </w:tc>
              <w:tc>
                <w:tcPr>
                  <w:tcW w:w="460" w:type="dxa"/>
                  <w:shd w:val="clear" w:color="auto" w:fill="auto"/>
                  <w:tcMar>
                    <w:top w:w="0" w:type="dxa"/>
                    <w:left w:w="0" w:type="dxa"/>
                    <w:bottom w:w="0" w:type="dxa"/>
                    <w:right w:w="0" w:type="dxa"/>
                  </w:tcMar>
                  <w:vAlign w:val="center"/>
                </w:tcPr>
                <w:p w14:paraId="3DB865E5">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63.5</w:t>
                  </w:r>
                </w:p>
              </w:tc>
              <w:tc>
                <w:tcPr>
                  <w:tcW w:w="460" w:type="dxa"/>
                  <w:shd w:val="clear" w:color="auto" w:fill="auto"/>
                  <w:tcMar>
                    <w:top w:w="0" w:type="dxa"/>
                    <w:left w:w="0" w:type="dxa"/>
                    <w:bottom w:w="0" w:type="dxa"/>
                    <w:right w:w="0" w:type="dxa"/>
                  </w:tcMar>
                  <w:vAlign w:val="center"/>
                </w:tcPr>
                <w:p w14:paraId="22F7FEB0">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63.7</w:t>
                  </w:r>
                </w:p>
              </w:tc>
              <w:tc>
                <w:tcPr>
                  <w:tcW w:w="460" w:type="dxa"/>
                  <w:shd w:val="clear" w:color="auto" w:fill="auto"/>
                  <w:tcMar>
                    <w:top w:w="0" w:type="dxa"/>
                    <w:left w:w="0" w:type="dxa"/>
                    <w:bottom w:w="0" w:type="dxa"/>
                    <w:right w:w="0" w:type="dxa"/>
                  </w:tcMar>
                  <w:vAlign w:val="center"/>
                </w:tcPr>
                <w:p w14:paraId="3A0C24BE">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63.4</w:t>
                  </w:r>
                </w:p>
              </w:tc>
              <w:tc>
                <w:tcPr>
                  <w:tcW w:w="462" w:type="dxa"/>
                  <w:shd w:val="clear" w:color="auto" w:fill="auto"/>
                  <w:tcMar>
                    <w:top w:w="0" w:type="dxa"/>
                    <w:left w:w="0" w:type="dxa"/>
                    <w:bottom w:w="0" w:type="dxa"/>
                    <w:right w:w="0" w:type="dxa"/>
                  </w:tcMar>
                  <w:vAlign w:val="center"/>
                </w:tcPr>
                <w:p w14:paraId="23111530">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63.4</w:t>
                  </w:r>
                </w:p>
              </w:tc>
              <w:tc>
                <w:tcPr>
                  <w:tcW w:w="445" w:type="dxa"/>
                  <w:vMerge w:val="continue"/>
                  <w:shd w:val="clear" w:color="auto" w:fill="auto"/>
                  <w:tcMar>
                    <w:top w:w="0" w:type="dxa"/>
                    <w:left w:w="0" w:type="dxa"/>
                    <w:bottom w:w="0" w:type="dxa"/>
                    <w:right w:w="0" w:type="dxa"/>
                  </w:tcMar>
                  <w:vAlign w:val="center"/>
                </w:tcPr>
                <w:p w14:paraId="357CDD50">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 w:val="21"/>
                      <w:szCs w:val="21"/>
                    </w:rPr>
                  </w:pPr>
                </w:p>
              </w:tc>
              <w:tc>
                <w:tcPr>
                  <w:tcW w:w="444" w:type="dxa"/>
                  <w:shd w:val="clear" w:color="auto" w:fill="auto"/>
                  <w:tcMar>
                    <w:top w:w="0" w:type="dxa"/>
                    <w:left w:w="0" w:type="dxa"/>
                    <w:bottom w:w="0" w:type="dxa"/>
                    <w:right w:w="0" w:type="dxa"/>
                  </w:tcMar>
                  <w:vAlign w:val="center"/>
                </w:tcPr>
                <w:p w14:paraId="278EC4F2">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20.0</w:t>
                  </w:r>
                </w:p>
              </w:tc>
              <w:tc>
                <w:tcPr>
                  <w:tcW w:w="444" w:type="dxa"/>
                  <w:shd w:val="clear" w:color="auto" w:fill="auto"/>
                  <w:tcMar>
                    <w:top w:w="0" w:type="dxa"/>
                    <w:left w:w="0" w:type="dxa"/>
                    <w:bottom w:w="0" w:type="dxa"/>
                    <w:right w:w="0" w:type="dxa"/>
                  </w:tcMar>
                  <w:vAlign w:val="center"/>
                </w:tcPr>
                <w:p w14:paraId="7D6F4919">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20.0</w:t>
                  </w:r>
                </w:p>
              </w:tc>
              <w:tc>
                <w:tcPr>
                  <w:tcW w:w="444" w:type="dxa"/>
                  <w:shd w:val="clear" w:color="auto" w:fill="auto"/>
                  <w:tcMar>
                    <w:top w:w="0" w:type="dxa"/>
                    <w:left w:w="0" w:type="dxa"/>
                    <w:bottom w:w="0" w:type="dxa"/>
                    <w:right w:w="0" w:type="dxa"/>
                  </w:tcMar>
                  <w:vAlign w:val="center"/>
                </w:tcPr>
                <w:p w14:paraId="54CF76E6">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20.0</w:t>
                  </w:r>
                </w:p>
              </w:tc>
              <w:tc>
                <w:tcPr>
                  <w:tcW w:w="444" w:type="dxa"/>
                  <w:shd w:val="clear" w:color="auto" w:fill="auto"/>
                  <w:tcMar>
                    <w:top w:w="0" w:type="dxa"/>
                    <w:left w:w="0" w:type="dxa"/>
                    <w:bottom w:w="0" w:type="dxa"/>
                    <w:right w:w="0" w:type="dxa"/>
                  </w:tcMar>
                  <w:vAlign w:val="center"/>
                </w:tcPr>
                <w:p w14:paraId="2264A0BF">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20.0</w:t>
                  </w:r>
                </w:p>
              </w:tc>
              <w:tc>
                <w:tcPr>
                  <w:tcW w:w="470" w:type="dxa"/>
                  <w:shd w:val="clear" w:color="auto" w:fill="auto"/>
                  <w:tcMar>
                    <w:top w:w="0" w:type="dxa"/>
                    <w:left w:w="0" w:type="dxa"/>
                    <w:bottom w:w="0" w:type="dxa"/>
                    <w:right w:w="0" w:type="dxa"/>
                  </w:tcMar>
                  <w:vAlign w:val="center"/>
                </w:tcPr>
                <w:p w14:paraId="54711EF7">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43.5</w:t>
                  </w:r>
                </w:p>
              </w:tc>
              <w:tc>
                <w:tcPr>
                  <w:tcW w:w="470" w:type="dxa"/>
                  <w:shd w:val="clear" w:color="auto" w:fill="auto"/>
                  <w:tcMar>
                    <w:top w:w="0" w:type="dxa"/>
                    <w:left w:w="0" w:type="dxa"/>
                    <w:bottom w:w="0" w:type="dxa"/>
                    <w:right w:w="0" w:type="dxa"/>
                  </w:tcMar>
                  <w:vAlign w:val="center"/>
                </w:tcPr>
                <w:p w14:paraId="46C44001">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43.7</w:t>
                  </w:r>
                </w:p>
              </w:tc>
              <w:tc>
                <w:tcPr>
                  <w:tcW w:w="470" w:type="dxa"/>
                  <w:shd w:val="clear" w:color="auto" w:fill="auto"/>
                  <w:tcMar>
                    <w:top w:w="0" w:type="dxa"/>
                    <w:left w:w="0" w:type="dxa"/>
                    <w:bottom w:w="0" w:type="dxa"/>
                    <w:right w:w="0" w:type="dxa"/>
                  </w:tcMar>
                  <w:vAlign w:val="center"/>
                </w:tcPr>
                <w:p w14:paraId="3AA51834">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43.4</w:t>
                  </w:r>
                </w:p>
              </w:tc>
              <w:tc>
                <w:tcPr>
                  <w:tcW w:w="471" w:type="dxa"/>
                  <w:shd w:val="clear" w:color="auto" w:fill="auto"/>
                  <w:tcMar>
                    <w:top w:w="0" w:type="dxa"/>
                    <w:left w:w="0" w:type="dxa"/>
                    <w:bottom w:w="0" w:type="dxa"/>
                    <w:right w:w="0" w:type="dxa"/>
                  </w:tcMar>
                  <w:vAlign w:val="center"/>
                </w:tcPr>
                <w:p w14:paraId="7261807E">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43.4</w:t>
                  </w:r>
                </w:p>
              </w:tc>
              <w:tc>
                <w:tcPr>
                  <w:tcW w:w="648" w:type="dxa"/>
                  <w:shd w:val="clear" w:color="auto" w:fill="auto"/>
                  <w:tcMar>
                    <w:top w:w="0" w:type="dxa"/>
                    <w:left w:w="0" w:type="dxa"/>
                    <w:bottom w:w="0" w:type="dxa"/>
                    <w:right w:w="0" w:type="dxa"/>
                  </w:tcMar>
                  <w:vAlign w:val="center"/>
                </w:tcPr>
                <w:p w14:paraId="13071C2E">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1</w:t>
                  </w:r>
                </w:p>
              </w:tc>
            </w:tr>
            <w:tr w14:paraId="05739E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482" w:type="dxa"/>
                  <w:shd w:val="clear" w:color="auto" w:fill="auto"/>
                  <w:vAlign w:val="center"/>
                </w:tcPr>
                <w:p w14:paraId="23418389">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9</w:t>
                  </w:r>
                </w:p>
              </w:tc>
              <w:tc>
                <w:tcPr>
                  <w:tcW w:w="485" w:type="dxa"/>
                  <w:vMerge w:val="continue"/>
                  <w:shd w:val="clear" w:color="auto" w:fill="auto"/>
                  <w:tcMar>
                    <w:top w:w="0" w:type="dxa"/>
                    <w:left w:w="0" w:type="dxa"/>
                    <w:bottom w:w="0" w:type="dxa"/>
                    <w:right w:w="0" w:type="dxa"/>
                  </w:tcMar>
                  <w:vAlign w:val="center"/>
                </w:tcPr>
                <w:p w14:paraId="558F4D94">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 w:val="21"/>
                      <w:szCs w:val="21"/>
                    </w:rPr>
                  </w:pPr>
                </w:p>
              </w:tc>
              <w:tc>
                <w:tcPr>
                  <w:tcW w:w="541" w:type="dxa"/>
                  <w:shd w:val="clear" w:color="auto" w:fill="auto"/>
                  <w:tcMar>
                    <w:top w:w="0" w:type="dxa"/>
                    <w:left w:w="0" w:type="dxa"/>
                    <w:bottom w:w="0" w:type="dxa"/>
                    <w:right w:w="0" w:type="dxa"/>
                  </w:tcMar>
                  <w:vAlign w:val="center"/>
                </w:tcPr>
                <w:p w14:paraId="3551D92F">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贴合裁切一体机</w:t>
                  </w:r>
                  <w:r>
                    <w:rPr>
                      <w:rFonts w:hint="eastAsia" w:ascii="Times New Roman" w:hAnsi="Times New Roman" w:eastAsia="宋体" w:cs="Times New Roman"/>
                      <w:color w:val="auto"/>
                      <w:sz w:val="21"/>
                      <w:szCs w:val="21"/>
                      <w:lang w:eastAsia="zh-CN"/>
                    </w:rPr>
                    <w:t>，</w:t>
                  </w:r>
                  <w:r>
                    <w:rPr>
                      <w:rFonts w:hint="default" w:ascii="Times New Roman" w:hAnsi="Times New Roman" w:eastAsia="宋体" w:cs="Times New Roman"/>
                      <w:color w:val="auto"/>
                      <w:sz w:val="21"/>
                      <w:szCs w:val="21"/>
                    </w:rPr>
                    <w:t>12台（按点声源组预测）</w:t>
                  </w:r>
                </w:p>
              </w:tc>
              <w:tc>
                <w:tcPr>
                  <w:tcW w:w="413" w:type="dxa"/>
                  <w:shd w:val="clear" w:color="auto" w:fill="auto"/>
                  <w:tcMar>
                    <w:top w:w="0" w:type="dxa"/>
                    <w:left w:w="0" w:type="dxa"/>
                    <w:bottom w:w="0" w:type="dxa"/>
                    <w:right w:w="0" w:type="dxa"/>
                  </w:tcMar>
                  <w:vAlign w:val="center"/>
                </w:tcPr>
                <w:p w14:paraId="7BA9A7E7">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宋体" w:cs="Times New Roman"/>
                      <w:color w:val="auto"/>
                      <w:sz w:val="21"/>
                      <w:szCs w:val="21"/>
                      <w:highlight w:val="none"/>
                      <w:lang w:val="en-US" w:eastAsia="en-US" w:bidi="ar-SA"/>
                    </w:rPr>
                  </w:pPr>
                  <w:r>
                    <w:rPr>
                      <w:rFonts w:hint="default" w:ascii="Times New Roman" w:hAnsi="Times New Roman" w:eastAsia="宋体" w:cs="Times New Roman"/>
                      <w:color w:val="auto"/>
                      <w:kern w:val="0"/>
                      <w:sz w:val="21"/>
                      <w:szCs w:val="21"/>
                      <w:highlight w:val="none"/>
                      <w:lang w:bidi="ar"/>
                    </w:rPr>
                    <w:t>WD-THJ750-3</w:t>
                  </w:r>
                </w:p>
              </w:tc>
              <w:tc>
                <w:tcPr>
                  <w:tcW w:w="637" w:type="dxa"/>
                  <w:shd w:val="clear" w:color="auto" w:fill="auto"/>
                  <w:tcMar>
                    <w:top w:w="0" w:type="dxa"/>
                    <w:left w:w="0" w:type="dxa"/>
                    <w:bottom w:w="0" w:type="dxa"/>
                    <w:right w:w="0" w:type="dxa"/>
                  </w:tcMar>
                  <w:vAlign w:val="center"/>
                </w:tcPr>
                <w:p w14:paraId="61A0CC08">
                  <w:pPr>
                    <w:keepNext w:val="0"/>
                    <w:keepLines w:val="0"/>
                    <w:suppressLineNumbers w:val="0"/>
                    <w:spacing w:before="0" w:beforeAutospacing="0" w:after="0" w:afterAutospacing="0"/>
                    <w:ind w:left="0" w:right="0"/>
                    <w:jc w:val="center"/>
                    <w:rPr>
                      <w:rFonts w:hint="eastAsia" w:ascii="Times New Roman" w:hAnsi="Times New Roman" w:eastAsia="宋体" w:cs="Times New Roman"/>
                      <w:color w:val="auto"/>
                      <w:sz w:val="21"/>
                      <w:szCs w:val="21"/>
                      <w:lang w:eastAsia="zh-CN"/>
                    </w:rPr>
                  </w:pPr>
                  <w:r>
                    <w:rPr>
                      <w:rFonts w:hint="default" w:ascii="Times New Roman" w:hAnsi="Times New Roman" w:eastAsia="宋体" w:cs="Times New Roman"/>
                      <w:color w:val="auto"/>
                      <w:sz w:val="21"/>
                      <w:szCs w:val="21"/>
                    </w:rPr>
                    <w:t>70/1（等效后：80.8/1</w:t>
                  </w:r>
                  <w:r>
                    <w:rPr>
                      <w:rFonts w:hint="eastAsia" w:ascii="Times New Roman" w:hAnsi="Times New Roman" w:eastAsia="宋体" w:cs="Times New Roman"/>
                      <w:color w:val="auto"/>
                      <w:sz w:val="21"/>
                      <w:szCs w:val="21"/>
                      <w:lang w:eastAsia="zh-CN"/>
                    </w:rPr>
                    <w:t>）</w:t>
                  </w:r>
                </w:p>
              </w:tc>
              <w:tc>
                <w:tcPr>
                  <w:tcW w:w="553" w:type="dxa"/>
                  <w:vMerge w:val="continue"/>
                  <w:shd w:val="clear" w:color="auto" w:fill="auto"/>
                  <w:tcMar>
                    <w:top w:w="0" w:type="dxa"/>
                    <w:left w:w="0" w:type="dxa"/>
                    <w:bottom w:w="0" w:type="dxa"/>
                    <w:right w:w="0" w:type="dxa"/>
                  </w:tcMar>
                  <w:vAlign w:val="center"/>
                </w:tcPr>
                <w:p w14:paraId="6118CE61">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 w:val="21"/>
                      <w:szCs w:val="21"/>
                    </w:rPr>
                  </w:pPr>
                </w:p>
              </w:tc>
              <w:tc>
                <w:tcPr>
                  <w:tcW w:w="563" w:type="dxa"/>
                  <w:shd w:val="clear" w:color="auto" w:fill="auto"/>
                  <w:tcMar>
                    <w:top w:w="0" w:type="dxa"/>
                    <w:left w:w="0" w:type="dxa"/>
                    <w:bottom w:w="0" w:type="dxa"/>
                    <w:right w:w="0" w:type="dxa"/>
                  </w:tcMar>
                  <w:vAlign w:val="center"/>
                </w:tcPr>
                <w:p w14:paraId="0C309571">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-27.9</w:t>
                  </w:r>
                </w:p>
              </w:tc>
              <w:tc>
                <w:tcPr>
                  <w:tcW w:w="563" w:type="dxa"/>
                  <w:shd w:val="clear" w:color="auto" w:fill="auto"/>
                  <w:tcMar>
                    <w:top w:w="0" w:type="dxa"/>
                    <w:left w:w="0" w:type="dxa"/>
                    <w:bottom w:w="0" w:type="dxa"/>
                    <w:right w:w="0" w:type="dxa"/>
                  </w:tcMar>
                  <w:vAlign w:val="center"/>
                </w:tcPr>
                <w:p w14:paraId="7699AEE3">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-22.6</w:t>
                  </w:r>
                </w:p>
              </w:tc>
              <w:tc>
                <w:tcPr>
                  <w:tcW w:w="564" w:type="dxa"/>
                  <w:shd w:val="clear" w:color="auto" w:fill="auto"/>
                  <w:tcMar>
                    <w:top w:w="0" w:type="dxa"/>
                    <w:left w:w="0" w:type="dxa"/>
                    <w:bottom w:w="0" w:type="dxa"/>
                    <w:right w:w="0" w:type="dxa"/>
                  </w:tcMar>
                  <w:vAlign w:val="center"/>
                </w:tcPr>
                <w:p w14:paraId="5F35EAF8">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1.2</w:t>
                  </w:r>
                </w:p>
              </w:tc>
              <w:tc>
                <w:tcPr>
                  <w:tcW w:w="466" w:type="dxa"/>
                  <w:shd w:val="clear" w:color="auto" w:fill="auto"/>
                  <w:tcMar>
                    <w:top w:w="0" w:type="dxa"/>
                    <w:left w:w="0" w:type="dxa"/>
                    <w:bottom w:w="0" w:type="dxa"/>
                    <w:right w:w="0" w:type="dxa"/>
                  </w:tcMar>
                  <w:vAlign w:val="center"/>
                </w:tcPr>
                <w:p w14:paraId="5370566C">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32.2</w:t>
                  </w:r>
                </w:p>
              </w:tc>
              <w:tc>
                <w:tcPr>
                  <w:tcW w:w="466" w:type="dxa"/>
                  <w:shd w:val="clear" w:color="auto" w:fill="auto"/>
                  <w:tcMar>
                    <w:top w:w="0" w:type="dxa"/>
                    <w:left w:w="0" w:type="dxa"/>
                    <w:bottom w:w="0" w:type="dxa"/>
                    <w:right w:w="0" w:type="dxa"/>
                  </w:tcMar>
                  <w:vAlign w:val="center"/>
                </w:tcPr>
                <w:p w14:paraId="4E7BEB52">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12.7</w:t>
                  </w:r>
                </w:p>
              </w:tc>
              <w:tc>
                <w:tcPr>
                  <w:tcW w:w="466" w:type="dxa"/>
                  <w:shd w:val="clear" w:color="auto" w:fill="auto"/>
                  <w:tcMar>
                    <w:top w:w="0" w:type="dxa"/>
                    <w:left w:w="0" w:type="dxa"/>
                    <w:bottom w:w="0" w:type="dxa"/>
                    <w:right w:w="0" w:type="dxa"/>
                  </w:tcMar>
                  <w:vAlign w:val="center"/>
                </w:tcPr>
                <w:p w14:paraId="5F492984">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51.6</w:t>
                  </w:r>
                </w:p>
              </w:tc>
              <w:tc>
                <w:tcPr>
                  <w:tcW w:w="467" w:type="dxa"/>
                  <w:shd w:val="clear" w:color="auto" w:fill="auto"/>
                  <w:tcMar>
                    <w:top w:w="0" w:type="dxa"/>
                    <w:left w:w="0" w:type="dxa"/>
                    <w:bottom w:w="0" w:type="dxa"/>
                    <w:right w:w="0" w:type="dxa"/>
                  </w:tcMar>
                  <w:vAlign w:val="center"/>
                </w:tcPr>
                <w:p w14:paraId="6E20F542">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44.3</w:t>
                  </w:r>
                </w:p>
              </w:tc>
              <w:tc>
                <w:tcPr>
                  <w:tcW w:w="460" w:type="dxa"/>
                  <w:shd w:val="clear" w:color="auto" w:fill="auto"/>
                  <w:tcMar>
                    <w:top w:w="0" w:type="dxa"/>
                    <w:left w:w="0" w:type="dxa"/>
                    <w:bottom w:w="0" w:type="dxa"/>
                    <w:right w:w="0" w:type="dxa"/>
                  </w:tcMar>
                  <w:vAlign w:val="center"/>
                </w:tcPr>
                <w:p w14:paraId="15EF4413">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68.3</w:t>
                  </w:r>
                </w:p>
              </w:tc>
              <w:tc>
                <w:tcPr>
                  <w:tcW w:w="460" w:type="dxa"/>
                  <w:shd w:val="clear" w:color="auto" w:fill="auto"/>
                  <w:tcMar>
                    <w:top w:w="0" w:type="dxa"/>
                    <w:left w:w="0" w:type="dxa"/>
                    <w:bottom w:w="0" w:type="dxa"/>
                    <w:right w:w="0" w:type="dxa"/>
                  </w:tcMar>
                  <w:vAlign w:val="center"/>
                </w:tcPr>
                <w:p w14:paraId="5DE9579A">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68.3</w:t>
                  </w:r>
                </w:p>
              </w:tc>
              <w:tc>
                <w:tcPr>
                  <w:tcW w:w="460" w:type="dxa"/>
                  <w:shd w:val="clear" w:color="auto" w:fill="auto"/>
                  <w:tcMar>
                    <w:top w:w="0" w:type="dxa"/>
                    <w:left w:w="0" w:type="dxa"/>
                    <w:bottom w:w="0" w:type="dxa"/>
                    <w:right w:w="0" w:type="dxa"/>
                  </w:tcMar>
                  <w:vAlign w:val="center"/>
                </w:tcPr>
                <w:p w14:paraId="5F728E1B">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68.2</w:t>
                  </w:r>
                </w:p>
              </w:tc>
              <w:tc>
                <w:tcPr>
                  <w:tcW w:w="462" w:type="dxa"/>
                  <w:shd w:val="clear" w:color="auto" w:fill="auto"/>
                  <w:tcMar>
                    <w:top w:w="0" w:type="dxa"/>
                    <w:left w:w="0" w:type="dxa"/>
                    <w:bottom w:w="0" w:type="dxa"/>
                    <w:right w:w="0" w:type="dxa"/>
                  </w:tcMar>
                  <w:vAlign w:val="center"/>
                </w:tcPr>
                <w:p w14:paraId="48F82331">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68.2</w:t>
                  </w:r>
                </w:p>
              </w:tc>
              <w:tc>
                <w:tcPr>
                  <w:tcW w:w="445" w:type="dxa"/>
                  <w:vMerge w:val="continue"/>
                  <w:shd w:val="clear" w:color="auto" w:fill="auto"/>
                  <w:tcMar>
                    <w:top w:w="0" w:type="dxa"/>
                    <w:left w:w="0" w:type="dxa"/>
                    <w:bottom w:w="0" w:type="dxa"/>
                    <w:right w:w="0" w:type="dxa"/>
                  </w:tcMar>
                  <w:vAlign w:val="center"/>
                </w:tcPr>
                <w:p w14:paraId="28BF4E79">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 w:val="21"/>
                      <w:szCs w:val="21"/>
                    </w:rPr>
                  </w:pPr>
                </w:p>
              </w:tc>
              <w:tc>
                <w:tcPr>
                  <w:tcW w:w="444" w:type="dxa"/>
                  <w:shd w:val="clear" w:color="auto" w:fill="auto"/>
                  <w:tcMar>
                    <w:top w:w="0" w:type="dxa"/>
                    <w:left w:w="0" w:type="dxa"/>
                    <w:bottom w:w="0" w:type="dxa"/>
                    <w:right w:w="0" w:type="dxa"/>
                  </w:tcMar>
                  <w:vAlign w:val="center"/>
                </w:tcPr>
                <w:p w14:paraId="398ED4C2">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20.0</w:t>
                  </w:r>
                </w:p>
              </w:tc>
              <w:tc>
                <w:tcPr>
                  <w:tcW w:w="444" w:type="dxa"/>
                  <w:shd w:val="clear" w:color="auto" w:fill="auto"/>
                  <w:tcMar>
                    <w:top w:w="0" w:type="dxa"/>
                    <w:left w:w="0" w:type="dxa"/>
                    <w:bottom w:w="0" w:type="dxa"/>
                    <w:right w:w="0" w:type="dxa"/>
                  </w:tcMar>
                  <w:vAlign w:val="center"/>
                </w:tcPr>
                <w:p w14:paraId="315EA35B">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20.0</w:t>
                  </w:r>
                </w:p>
              </w:tc>
              <w:tc>
                <w:tcPr>
                  <w:tcW w:w="444" w:type="dxa"/>
                  <w:shd w:val="clear" w:color="auto" w:fill="auto"/>
                  <w:tcMar>
                    <w:top w:w="0" w:type="dxa"/>
                    <w:left w:w="0" w:type="dxa"/>
                    <w:bottom w:w="0" w:type="dxa"/>
                    <w:right w:w="0" w:type="dxa"/>
                  </w:tcMar>
                  <w:vAlign w:val="center"/>
                </w:tcPr>
                <w:p w14:paraId="35A29C07">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20.0</w:t>
                  </w:r>
                </w:p>
              </w:tc>
              <w:tc>
                <w:tcPr>
                  <w:tcW w:w="444" w:type="dxa"/>
                  <w:shd w:val="clear" w:color="auto" w:fill="auto"/>
                  <w:tcMar>
                    <w:top w:w="0" w:type="dxa"/>
                    <w:left w:w="0" w:type="dxa"/>
                    <w:bottom w:w="0" w:type="dxa"/>
                    <w:right w:w="0" w:type="dxa"/>
                  </w:tcMar>
                  <w:vAlign w:val="center"/>
                </w:tcPr>
                <w:p w14:paraId="5FC21967">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20.0</w:t>
                  </w:r>
                </w:p>
              </w:tc>
              <w:tc>
                <w:tcPr>
                  <w:tcW w:w="470" w:type="dxa"/>
                  <w:shd w:val="clear" w:color="auto" w:fill="auto"/>
                  <w:tcMar>
                    <w:top w:w="0" w:type="dxa"/>
                    <w:left w:w="0" w:type="dxa"/>
                    <w:bottom w:w="0" w:type="dxa"/>
                    <w:right w:w="0" w:type="dxa"/>
                  </w:tcMar>
                  <w:vAlign w:val="center"/>
                </w:tcPr>
                <w:p w14:paraId="56E63DD1">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48.3</w:t>
                  </w:r>
                </w:p>
              </w:tc>
              <w:tc>
                <w:tcPr>
                  <w:tcW w:w="470" w:type="dxa"/>
                  <w:shd w:val="clear" w:color="auto" w:fill="auto"/>
                  <w:tcMar>
                    <w:top w:w="0" w:type="dxa"/>
                    <w:left w:w="0" w:type="dxa"/>
                    <w:bottom w:w="0" w:type="dxa"/>
                    <w:right w:w="0" w:type="dxa"/>
                  </w:tcMar>
                  <w:vAlign w:val="center"/>
                </w:tcPr>
                <w:p w14:paraId="33F2DAF7">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48.3</w:t>
                  </w:r>
                </w:p>
              </w:tc>
              <w:tc>
                <w:tcPr>
                  <w:tcW w:w="470" w:type="dxa"/>
                  <w:shd w:val="clear" w:color="auto" w:fill="auto"/>
                  <w:tcMar>
                    <w:top w:w="0" w:type="dxa"/>
                    <w:left w:w="0" w:type="dxa"/>
                    <w:bottom w:w="0" w:type="dxa"/>
                    <w:right w:w="0" w:type="dxa"/>
                  </w:tcMar>
                  <w:vAlign w:val="center"/>
                </w:tcPr>
                <w:p w14:paraId="0C16595B">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48.2</w:t>
                  </w:r>
                </w:p>
              </w:tc>
              <w:tc>
                <w:tcPr>
                  <w:tcW w:w="471" w:type="dxa"/>
                  <w:shd w:val="clear" w:color="auto" w:fill="auto"/>
                  <w:tcMar>
                    <w:top w:w="0" w:type="dxa"/>
                    <w:left w:w="0" w:type="dxa"/>
                    <w:bottom w:w="0" w:type="dxa"/>
                    <w:right w:w="0" w:type="dxa"/>
                  </w:tcMar>
                  <w:vAlign w:val="center"/>
                </w:tcPr>
                <w:p w14:paraId="7AB47807">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48.2</w:t>
                  </w:r>
                </w:p>
              </w:tc>
              <w:tc>
                <w:tcPr>
                  <w:tcW w:w="648" w:type="dxa"/>
                  <w:shd w:val="clear" w:color="auto" w:fill="auto"/>
                  <w:tcMar>
                    <w:top w:w="0" w:type="dxa"/>
                    <w:left w:w="0" w:type="dxa"/>
                    <w:bottom w:w="0" w:type="dxa"/>
                    <w:right w:w="0" w:type="dxa"/>
                  </w:tcMar>
                  <w:vAlign w:val="center"/>
                </w:tcPr>
                <w:p w14:paraId="0C05A239">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1</w:t>
                  </w:r>
                </w:p>
              </w:tc>
            </w:tr>
            <w:tr w14:paraId="4F0AB6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482" w:type="dxa"/>
                  <w:shd w:val="clear" w:color="auto" w:fill="auto"/>
                  <w:vAlign w:val="center"/>
                </w:tcPr>
                <w:p w14:paraId="59EB4FEB">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10</w:t>
                  </w:r>
                </w:p>
              </w:tc>
              <w:tc>
                <w:tcPr>
                  <w:tcW w:w="485" w:type="dxa"/>
                  <w:vMerge w:val="continue"/>
                  <w:shd w:val="clear" w:color="auto" w:fill="auto"/>
                  <w:tcMar>
                    <w:top w:w="0" w:type="dxa"/>
                    <w:left w:w="0" w:type="dxa"/>
                    <w:bottom w:w="0" w:type="dxa"/>
                    <w:right w:w="0" w:type="dxa"/>
                  </w:tcMar>
                  <w:vAlign w:val="center"/>
                </w:tcPr>
                <w:p w14:paraId="1755114A">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 w:val="21"/>
                      <w:szCs w:val="21"/>
                    </w:rPr>
                  </w:pPr>
                </w:p>
              </w:tc>
              <w:tc>
                <w:tcPr>
                  <w:tcW w:w="541" w:type="dxa"/>
                  <w:shd w:val="clear" w:color="auto" w:fill="auto"/>
                  <w:tcMar>
                    <w:top w:w="0" w:type="dxa"/>
                    <w:left w:w="0" w:type="dxa"/>
                    <w:bottom w:w="0" w:type="dxa"/>
                    <w:right w:w="0" w:type="dxa"/>
                  </w:tcMar>
                  <w:vAlign w:val="center"/>
                </w:tcPr>
                <w:p w14:paraId="4EEF312A">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片材裁切机</w:t>
                  </w:r>
                  <w:r>
                    <w:rPr>
                      <w:rFonts w:hint="eastAsia" w:ascii="Times New Roman" w:hAnsi="Times New Roman" w:eastAsia="宋体" w:cs="Times New Roman"/>
                      <w:color w:val="auto"/>
                      <w:sz w:val="21"/>
                      <w:szCs w:val="21"/>
                      <w:lang w:eastAsia="zh-CN"/>
                    </w:rPr>
                    <w:t>，</w:t>
                  </w:r>
                  <w:r>
                    <w:rPr>
                      <w:rFonts w:hint="default" w:ascii="Times New Roman" w:hAnsi="Times New Roman" w:eastAsia="宋体" w:cs="Times New Roman"/>
                      <w:color w:val="auto"/>
                      <w:sz w:val="21"/>
                      <w:szCs w:val="21"/>
                    </w:rPr>
                    <w:t>6台（按点声源组预测）</w:t>
                  </w:r>
                </w:p>
              </w:tc>
              <w:tc>
                <w:tcPr>
                  <w:tcW w:w="413" w:type="dxa"/>
                  <w:shd w:val="clear" w:color="auto" w:fill="auto"/>
                  <w:tcMar>
                    <w:top w:w="0" w:type="dxa"/>
                    <w:left w:w="0" w:type="dxa"/>
                    <w:bottom w:w="0" w:type="dxa"/>
                    <w:right w:w="0" w:type="dxa"/>
                  </w:tcMar>
                  <w:vAlign w:val="center"/>
                </w:tcPr>
                <w:p w14:paraId="77ECDE39">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宋体" w:cs="Times New Roman"/>
                      <w:color w:val="auto"/>
                      <w:sz w:val="21"/>
                      <w:szCs w:val="21"/>
                      <w:highlight w:val="none"/>
                      <w:lang w:val="en-US" w:eastAsia="en-US" w:bidi="ar-SA"/>
                    </w:rPr>
                  </w:pPr>
                  <w:r>
                    <w:rPr>
                      <w:rFonts w:hint="default" w:ascii="Times New Roman" w:hAnsi="Times New Roman" w:eastAsia="宋体" w:cs="Times New Roman"/>
                      <w:color w:val="auto"/>
                      <w:kern w:val="0"/>
                      <w:sz w:val="21"/>
                      <w:szCs w:val="21"/>
                      <w:highlight w:val="none"/>
                      <w:lang w:bidi="ar"/>
                    </w:rPr>
                    <w:t>WD-YCP650*1050</w:t>
                  </w:r>
                </w:p>
              </w:tc>
              <w:tc>
                <w:tcPr>
                  <w:tcW w:w="637" w:type="dxa"/>
                  <w:shd w:val="clear" w:color="auto" w:fill="auto"/>
                  <w:tcMar>
                    <w:top w:w="0" w:type="dxa"/>
                    <w:left w:w="0" w:type="dxa"/>
                    <w:bottom w:w="0" w:type="dxa"/>
                    <w:right w:w="0" w:type="dxa"/>
                  </w:tcMar>
                  <w:vAlign w:val="center"/>
                </w:tcPr>
                <w:p w14:paraId="7D561E3B">
                  <w:pPr>
                    <w:keepNext w:val="0"/>
                    <w:keepLines w:val="0"/>
                    <w:suppressLineNumbers w:val="0"/>
                    <w:spacing w:before="0" w:beforeAutospacing="0" w:after="0" w:afterAutospacing="0"/>
                    <w:ind w:left="0" w:right="0"/>
                    <w:jc w:val="center"/>
                    <w:rPr>
                      <w:rFonts w:hint="eastAsia" w:ascii="Times New Roman" w:hAnsi="Times New Roman" w:eastAsia="宋体" w:cs="Times New Roman"/>
                      <w:color w:val="auto"/>
                      <w:sz w:val="21"/>
                      <w:szCs w:val="21"/>
                      <w:lang w:eastAsia="zh-CN"/>
                    </w:rPr>
                  </w:pPr>
                  <w:r>
                    <w:rPr>
                      <w:rFonts w:hint="default" w:ascii="Times New Roman" w:hAnsi="Times New Roman" w:eastAsia="宋体" w:cs="Times New Roman"/>
                      <w:color w:val="auto"/>
                      <w:sz w:val="21"/>
                      <w:szCs w:val="21"/>
                    </w:rPr>
                    <w:t>70/1（等效后：77.8/1</w:t>
                  </w:r>
                  <w:r>
                    <w:rPr>
                      <w:rFonts w:hint="eastAsia" w:ascii="Times New Roman" w:hAnsi="Times New Roman" w:eastAsia="宋体" w:cs="Times New Roman"/>
                      <w:color w:val="auto"/>
                      <w:sz w:val="21"/>
                      <w:szCs w:val="21"/>
                      <w:lang w:eastAsia="zh-CN"/>
                    </w:rPr>
                    <w:t>）</w:t>
                  </w:r>
                </w:p>
              </w:tc>
              <w:tc>
                <w:tcPr>
                  <w:tcW w:w="553" w:type="dxa"/>
                  <w:vMerge w:val="continue"/>
                  <w:shd w:val="clear" w:color="auto" w:fill="auto"/>
                  <w:tcMar>
                    <w:top w:w="0" w:type="dxa"/>
                    <w:left w:w="0" w:type="dxa"/>
                    <w:bottom w:w="0" w:type="dxa"/>
                    <w:right w:w="0" w:type="dxa"/>
                  </w:tcMar>
                  <w:vAlign w:val="center"/>
                </w:tcPr>
                <w:p w14:paraId="0960ADF6">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 w:val="21"/>
                      <w:szCs w:val="21"/>
                    </w:rPr>
                  </w:pPr>
                </w:p>
              </w:tc>
              <w:tc>
                <w:tcPr>
                  <w:tcW w:w="563" w:type="dxa"/>
                  <w:shd w:val="clear" w:color="auto" w:fill="auto"/>
                  <w:tcMar>
                    <w:top w:w="0" w:type="dxa"/>
                    <w:left w:w="0" w:type="dxa"/>
                    <w:bottom w:w="0" w:type="dxa"/>
                    <w:right w:w="0" w:type="dxa"/>
                  </w:tcMar>
                  <w:vAlign w:val="center"/>
                </w:tcPr>
                <w:p w14:paraId="0712A7C5">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-28.6</w:t>
                  </w:r>
                </w:p>
              </w:tc>
              <w:tc>
                <w:tcPr>
                  <w:tcW w:w="563" w:type="dxa"/>
                  <w:shd w:val="clear" w:color="auto" w:fill="auto"/>
                  <w:tcMar>
                    <w:top w:w="0" w:type="dxa"/>
                    <w:left w:w="0" w:type="dxa"/>
                    <w:bottom w:w="0" w:type="dxa"/>
                    <w:right w:w="0" w:type="dxa"/>
                  </w:tcMar>
                  <w:vAlign w:val="center"/>
                </w:tcPr>
                <w:p w14:paraId="004271DC">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-20.8</w:t>
                  </w:r>
                </w:p>
              </w:tc>
              <w:tc>
                <w:tcPr>
                  <w:tcW w:w="564" w:type="dxa"/>
                  <w:shd w:val="clear" w:color="auto" w:fill="auto"/>
                  <w:tcMar>
                    <w:top w:w="0" w:type="dxa"/>
                    <w:left w:w="0" w:type="dxa"/>
                    <w:bottom w:w="0" w:type="dxa"/>
                    <w:right w:w="0" w:type="dxa"/>
                  </w:tcMar>
                  <w:vAlign w:val="center"/>
                </w:tcPr>
                <w:p w14:paraId="1A859293">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1.2</w:t>
                  </w:r>
                </w:p>
              </w:tc>
              <w:tc>
                <w:tcPr>
                  <w:tcW w:w="466" w:type="dxa"/>
                  <w:shd w:val="clear" w:color="auto" w:fill="auto"/>
                  <w:tcMar>
                    <w:top w:w="0" w:type="dxa"/>
                    <w:left w:w="0" w:type="dxa"/>
                    <w:bottom w:w="0" w:type="dxa"/>
                    <w:right w:w="0" w:type="dxa"/>
                  </w:tcMar>
                  <w:vAlign w:val="center"/>
                </w:tcPr>
                <w:p w14:paraId="2ECB13A7">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32.5</w:t>
                  </w:r>
                </w:p>
              </w:tc>
              <w:tc>
                <w:tcPr>
                  <w:tcW w:w="466" w:type="dxa"/>
                  <w:shd w:val="clear" w:color="auto" w:fill="auto"/>
                  <w:tcMar>
                    <w:top w:w="0" w:type="dxa"/>
                    <w:left w:w="0" w:type="dxa"/>
                    <w:bottom w:w="0" w:type="dxa"/>
                    <w:right w:w="0" w:type="dxa"/>
                  </w:tcMar>
                  <w:vAlign w:val="center"/>
                </w:tcPr>
                <w:p w14:paraId="23C5E5C5">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14.7</w:t>
                  </w:r>
                </w:p>
              </w:tc>
              <w:tc>
                <w:tcPr>
                  <w:tcW w:w="466" w:type="dxa"/>
                  <w:shd w:val="clear" w:color="auto" w:fill="auto"/>
                  <w:tcMar>
                    <w:top w:w="0" w:type="dxa"/>
                    <w:left w:w="0" w:type="dxa"/>
                    <w:bottom w:w="0" w:type="dxa"/>
                    <w:right w:w="0" w:type="dxa"/>
                  </w:tcMar>
                  <w:vAlign w:val="center"/>
                </w:tcPr>
                <w:p w14:paraId="766C56A0">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51.2</w:t>
                  </w:r>
                </w:p>
              </w:tc>
              <w:tc>
                <w:tcPr>
                  <w:tcW w:w="467" w:type="dxa"/>
                  <w:shd w:val="clear" w:color="auto" w:fill="auto"/>
                  <w:tcMar>
                    <w:top w:w="0" w:type="dxa"/>
                    <w:left w:w="0" w:type="dxa"/>
                    <w:bottom w:w="0" w:type="dxa"/>
                    <w:right w:w="0" w:type="dxa"/>
                  </w:tcMar>
                  <w:vAlign w:val="center"/>
                </w:tcPr>
                <w:p w14:paraId="75D3FA28">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42.4</w:t>
                  </w:r>
                </w:p>
              </w:tc>
              <w:tc>
                <w:tcPr>
                  <w:tcW w:w="460" w:type="dxa"/>
                  <w:shd w:val="clear" w:color="auto" w:fill="auto"/>
                  <w:tcMar>
                    <w:top w:w="0" w:type="dxa"/>
                    <w:left w:w="0" w:type="dxa"/>
                    <w:bottom w:w="0" w:type="dxa"/>
                    <w:right w:w="0" w:type="dxa"/>
                  </w:tcMar>
                  <w:vAlign w:val="center"/>
                </w:tcPr>
                <w:p w14:paraId="7E998609">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65.3</w:t>
                  </w:r>
                </w:p>
              </w:tc>
              <w:tc>
                <w:tcPr>
                  <w:tcW w:w="460" w:type="dxa"/>
                  <w:shd w:val="clear" w:color="auto" w:fill="auto"/>
                  <w:tcMar>
                    <w:top w:w="0" w:type="dxa"/>
                    <w:left w:w="0" w:type="dxa"/>
                    <w:bottom w:w="0" w:type="dxa"/>
                    <w:right w:w="0" w:type="dxa"/>
                  </w:tcMar>
                  <w:vAlign w:val="center"/>
                </w:tcPr>
                <w:p w14:paraId="1E04E5AF">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65.3</w:t>
                  </w:r>
                </w:p>
              </w:tc>
              <w:tc>
                <w:tcPr>
                  <w:tcW w:w="460" w:type="dxa"/>
                  <w:shd w:val="clear" w:color="auto" w:fill="auto"/>
                  <w:tcMar>
                    <w:top w:w="0" w:type="dxa"/>
                    <w:left w:w="0" w:type="dxa"/>
                    <w:bottom w:w="0" w:type="dxa"/>
                    <w:right w:w="0" w:type="dxa"/>
                  </w:tcMar>
                  <w:vAlign w:val="center"/>
                </w:tcPr>
                <w:p w14:paraId="6F94D5DD">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65.2</w:t>
                  </w:r>
                </w:p>
              </w:tc>
              <w:tc>
                <w:tcPr>
                  <w:tcW w:w="462" w:type="dxa"/>
                  <w:shd w:val="clear" w:color="auto" w:fill="auto"/>
                  <w:tcMar>
                    <w:top w:w="0" w:type="dxa"/>
                    <w:left w:w="0" w:type="dxa"/>
                    <w:bottom w:w="0" w:type="dxa"/>
                    <w:right w:w="0" w:type="dxa"/>
                  </w:tcMar>
                  <w:vAlign w:val="center"/>
                </w:tcPr>
                <w:p w14:paraId="21125890">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65.3</w:t>
                  </w:r>
                </w:p>
              </w:tc>
              <w:tc>
                <w:tcPr>
                  <w:tcW w:w="445" w:type="dxa"/>
                  <w:vMerge w:val="continue"/>
                  <w:shd w:val="clear" w:color="auto" w:fill="auto"/>
                  <w:tcMar>
                    <w:top w:w="0" w:type="dxa"/>
                    <w:left w:w="0" w:type="dxa"/>
                    <w:bottom w:w="0" w:type="dxa"/>
                    <w:right w:w="0" w:type="dxa"/>
                  </w:tcMar>
                  <w:vAlign w:val="center"/>
                </w:tcPr>
                <w:p w14:paraId="35A6E7B1">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 w:val="21"/>
                      <w:szCs w:val="21"/>
                    </w:rPr>
                  </w:pPr>
                </w:p>
              </w:tc>
              <w:tc>
                <w:tcPr>
                  <w:tcW w:w="444" w:type="dxa"/>
                  <w:shd w:val="clear" w:color="auto" w:fill="auto"/>
                  <w:tcMar>
                    <w:top w:w="0" w:type="dxa"/>
                    <w:left w:w="0" w:type="dxa"/>
                    <w:bottom w:w="0" w:type="dxa"/>
                    <w:right w:w="0" w:type="dxa"/>
                  </w:tcMar>
                  <w:vAlign w:val="center"/>
                </w:tcPr>
                <w:p w14:paraId="07A4032C">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20.0</w:t>
                  </w:r>
                </w:p>
              </w:tc>
              <w:tc>
                <w:tcPr>
                  <w:tcW w:w="444" w:type="dxa"/>
                  <w:shd w:val="clear" w:color="auto" w:fill="auto"/>
                  <w:tcMar>
                    <w:top w:w="0" w:type="dxa"/>
                    <w:left w:w="0" w:type="dxa"/>
                    <w:bottom w:w="0" w:type="dxa"/>
                    <w:right w:w="0" w:type="dxa"/>
                  </w:tcMar>
                  <w:vAlign w:val="center"/>
                </w:tcPr>
                <w:p w14:paraId="5C2FE2FB">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20.0</w:t>
                  </w:r>
                </w:p>
              </w:tc>
              <w:tc>
                <w:tcPr>
                  <w:tcW w:w="444" w:type="dxa"/>
                  <w:shd w:val="clear" w:color="auto" w:fill="auto"/>
                  <w:tcMar>
                    <w:top w:w="0" w:type="dxa"/>
                    <w:left w:w="0" w:type="dxa"/>
                    <w:bottom w:w="0" w:type="dxa"/>
                    <w:right w:w="0" w:type="dxa"/>
                  </w:tcMar>
                  <w:vAlign w:val="center"/>
                </w:tcPr>
                <w:p w14:paraId="771876F0">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20.0</w:t>
                  </w:r>
                </w:p>
              </w:tc>
              <w:tc>
                <w:tcPr>
                  <w:tcW w:w="444" w:type="dxa"/>
                  <w:shd w:val="clear" w:color="auto" w:fill="auto"/>
                  <w:tcMar>
                    <w:top w:w="0" w:type="dxa"/>
                    <w:left w:w="0" w:type="dxa"/>
                    <w:bottom w:w="0" w:type="dxa"/>
                    <w:right w:w="0" w:type="dxa"/>
                  </w:tcMar>
                  <w:vAlign w:val="center"/>
                </w:tcPr>
                <w:p w14:paraId="5FE156A2">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20.0</w:t>
                  </w:r>
                </w:p>
              </w:tc>
              <w:tc>
                <w:tcPr>
                  <w:tcW w:w="470" w:type="dxa"/>
                  <w:shd w:val="clear" w:color="auto" w:fill="auto"/>
                  <w:tcMar>
                    <w:top w:w="0" w:type="dxa"/>
                    <w:left w:w="0" w:type="dxa"/>
                    <w:bottom w:w="0" w:type="dxa"/>
                    <w:right w:w="0" w:type="dxa"/>
                  </w:tcMar>
                  <w:vAlign w:val="center"/>
                </w:tcPr>
                <w:p w14:paraId="4F112B4E">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45.3</w:t>
                  </w:r>
                </w:p>
              </w:tc>
              <w:tc>
                <w:tcPr>
                  <w:tcW w:w="470" w:type="dxa"/>
                  <w:shd w:val="clear" w:color="auto" w:fill="auto"/>
                  <w:tcMar>
                    <w:top w:w="0" w:type="dxa"/>
                    <w:left w:w="0" w:type="dxa"/>
                    <w:bottom w:w="0" w:type="dxa"/>
                    <w:right w:w="0" w:type="dxa"/>
                  </w:tcMar>
                  <w:vAlign w:val="center"/>
                </w:tcPr>
                <w:p w14:paraId="5A92ED1F">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45.3</w:t>
                  </w:r>
                </w:p>
              </w:tc>
              <w:tc>
                <w:tcPr>
                  <w:tcW w:w="470" w:type="dxa"/>
                  <w:shd w:val="clear" w:color="auto" w:fill="auto"/>
                  <w:tcMar>
                    <w:top w:w="0" w:type="dxa"/>
                    <w:left w:w="0" w:type="dxa"/>
                    <w:bottom w:w="0" w:type="dxa"/>
                    <w:right w:w="0" w:type="dxa"/>
                  </w:tcMar>
                  <w:vAlign w:val="center"/>
                </w:tcPr>
                <w:p w14:paraId="11E02A30">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45.2</w:t>
                  </w:r>
                </w:p>
              </w:tc>
              <w:tc>
                <w:tcPr>
                  <w:tcW w:w="471" w:type="dxa"/>
                  <w:shd w:val="clear" w:color="auto" w:fill="auto"/>
                  <w:tcMar>
                    <w:top w:w="0" w:type="dxa"/>
                    <w:left w:w="0" w:type="dxa"/>
                    <w:bottom w:w="0" w:type="dxa"/>
                    <w:right w:w="0" w:type="dxa"/>
                  </w:tcMar>
                  <w:vAlign w:val="center"/>
                </w:tcPr>
                <w:p w14:paraId="4FE040A6">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45.3</w:t>
                  </w:r>
                </w:p>
              </w:tc>
              <w:tc>
                <w:tcPr>
                  <w:tcW w:w="648" w:type="dxa"/>
                  <w:shd w:val="clear" w:color="auto" w:fill="auto"/>
                  <w:tcMar>
                    <w:top w:w="0" w:type="dxa"/>
                    <w:left w:w="0" w:type="dxa"/>
                    <w:bottom w:w="0" w:type="dxa"/>
                    <w:right w:w="0" w:type="dxa"/>
                  </w:tcMar>
                  <w:vAlign w:val="center"/>
                </w:tcPr>
                <w:p w14:paraId="3AD60E6C">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1</w:t>
                  </w:r>
                </w:p>
              </w:tc>
            </w:tr>
            <w:tr w14:paraId="135BE7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23" w:hRule="atLeast"/>
                <w:jc w:val="center"/>
              </w:trPr>
              <w:tc>
                <w:tcPr>
                  <w:tcW w:w="482" w:type="dxa"/>
                  <w:shd w:val="clear" w:color="auto" w:fill="auto"/>
                  <w:vAlign w:val="center"/>
                </w:tcPr>
                <w:p w14:paraId="309744BF">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11</w:t>
                  </w:r>
                </w:p>
              </w:tc>
              <w:tc>
                <w:tcPr>
                  <w:tcW w:w="485" w:type="dxa"/>
                  <w:vMerge w:val="continue"/>
                  <w:shd w:val="clear" w:color="auto" w:fill="auto"/>
                  <w:tcMar>
                    <w:top w:w="0" w:type="dxa"/>
                    <w:left w:w="0" w:type="dxa"/>
                    <w:bottom w:w="0" w:type="dxa"/>
                    <w:right w:w="0" w:type="dxa"/>
                  </w:tcMar>
                  <w:vAlign w:val="center"/>
                </w:tcPr>
                <w:p w14:paraId="1B3DF4F6">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 w:val="21"/>
                      <w:szCs w:val="21"/>
                    </w:rPr>
                  </w:pPr>
                </w:p>
              </w:tc>
              <w:tc>
                <w:tcPr>
                  <w:tcW w:w="541" w:type="dxa"/>
                  <w:shd w:val="clear" w:color="auto" w:fill="auto"/>
                  <w:tcMar>
                    <w:top w:w="0" w:type="dxa"/>
                    <w:left w:w="0" w:type="dxa"/>
                    <w:bottom w:w="0" w:type="dxa"/>
                    <w:right w:w="0" w:type="dxa"/>
                  </w:tcMar>
                  <w:vAlign w:val="center"/>
                </w:tcPr>
                <w:p w14:paraId="5B286DDD">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视觉模切机</w:t>
                  </w:r>
                </w:p>
              </w:tc>
              <w:tc>
                <w:tcPr>
                  <w:tcW w:w="413" w:type="dxa"/>
                  <w:shd w:val="clear" w:color="auto" w:fill="auto"/>
                  <w:tcMar>
                    <w:top w:w="0" w:type="dxa"/>
                    <w:left w:w="0" w:type="dxa"/>
                    <w:bottom w:w="0" w:type="dxa"/>
                    <w:right w:w="0" w:type="dxa"/>
                  </w:tcMar>
                  <w:vAlign w:val="center"/>
                </w:tcPr>
                <w:p w14:paraId="3D58143A">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宋体" w:cs="Times New Roman"/>
                      <w:color w:val="auto"/>
                      <w:sz w:val="21"/>
                      <w:szCs w:val="21"/>
                      <w:highlight w:val="none"/>
                      <w:lang w:val="en-US" w:eastAsia="en-US" w:bidi="ar-SA"/>
                    </w:rPr>
                  </w:pPr>
                  <w:r>
                    <w:rPr>
                      <w:rFonts w:hint="default" w:ascii="Times New Roman" w:hAnsi="Times New Roman" w:eastAsia="宋体" w:cs="Times New Roman"/>
                      <w:color w:val="auto"/>
                      <w:kern w:val="0"/>
                      <w:sz w:val="21"/>
                      <w:szCs w:val="21"/>
                      <w:highlight w:val="none"/>
                      <w:lang w:bidi="ar"/>
                    </w:rPr>
                    <w:t>WD-CCD650</w:t>
                  </w:r>
                </w:p>
              </w:tc>
              <w:tc>
                <w:tcPr>
                  <w:tcW w:w="637" w:type="dxa"/>
                  <w:shd w:val="clear" w:color="auto" w:fill="auto"/>
                  <w:tcMar>
                    <w:top w:w="0" w:type="dxa"/>
                    <w:left w:w="0" w:type="dxa"/>
                    <w:bottom w:w="0" w:type="dxa"/>
                    <w:right w:w="0" w:type="dxa"/>
                  </w:tcMar>
                  <w:vAlign w:val="center"/>
                </w:tcPr>
                <w:p w14:paraId="406C3A6B">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70/1</w:t>
                  </w:r>
                </w:p>
              </w:tc>
              <w:tc>
                <w:tcPr>
                  <w:tcW w:w="553" w:type="dxa"/>
                  <w:vMerge w:val="continue"/>
                  <w:shd w:val="clear" w:color="auto" w:fill="auto"/>
                  <w:tcMar>
                    <w:top w:w="0" w:type="dxa"/>
                    <w:left w:w="0" w:type="dxa"/>
                    <w:bottom w:w="0" w:type="dxa"/>
                    <w:right w:w="0" w:type="dxa"/>
                  </w:tcMar>
                  <w:vAlign w:val="center"/>
                </w:tcPr>
                <w:p w14:paraId="6BFF56A7">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 w:val="21"/>
                      <w:szCs w:val="21"/>
                    </w:rPr>
                  </w:pPr>
                </w:p>
              </w:tc>
              <w:tc>
                <w:tcPr>
                  <w:tcW w:w="563" w:type="dxa"/>
                  <w:shd w:val="clear" w:color="auto" w:fill="auto"/>
                  <w:tcMar>
                    <w:top w:w="0" w:type="dxa"/>
                    <w:left w:w="0" w:type="dxa"/>
                    <w:bottom w:w="0" w:type="dxa"/>
                    <w:right w:w="0" w:type="dxa"/>
                  </w:tcMar>
                  <w:vAlign w:val="center"/>
                </w:tcPr>
                <w:p w14:paraId="2E125A12">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-25.9</w:t>
                  </w:r>
                </w:p>
              </w:tc>
              <w:tc>
                <w:tcPr>
                  <w:tcW w:w="563" w:type="dxa"/>
                  <w:shd w:val="clear" w:color="auto" w:fill="auto"/>
                  <w:tcMar>
                    <w:top w:w="0" w:type="dxa"/>
                    <w:left w:w="0" w:type="dxa"/>
                    <w:bottom w:w="0" w:type="dxa"/>
                    <w:right w:w="0" w:type="dxa"/>
                  </w:tcMar>
                  <w:vAlign w:val="center"/>
                </w:tcPr>
                <w:p w14:paraId="0B3AA3EF">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-20.7</w:t>
                  </w:r>
                </w:p>
              </w:tc>
              <w:tc>
                <w:tcPr>
                  <w:tcW w:w="564" w:type="dxa"/>
                  <w:shd w:val="clear" w:color="auto" w:fill="auto"/>
                  <w:tcMar>
                    <w:top w:w="0" w:type="dxa"/>
                    <w:left w:w="0" w:type="dxa"/>
                    <w:bottom w:w="0" w:type="dxa"/>
                    <w:right w:w="0" w:type="dxa"/>
                  </w:tcMar>
                  <w:vAlign w:val="center"/>
                </w:tcPr>
                <w:p w14:paraId="5C769E47">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1.2</w:t>
                  </w:r>
                </w:p>
              </w:tc>
              <w:tc>
                <w:tcPr>
                  <w:tcW w:w="466" w:type="dxa"/>
                  <w:shd w:val="clear" w:color="auto" w:fill="auto"/>
                  <w:tcMar>
                    <w:top w:w="0" w:type="dxa"/>
                    <w:left w:w="0" w:type="dxa"/>
                    <w:bottom w:w="0" w:type="dxa"/>
                    <w:right w:w="0" w:type="dxa"/>
                  </w:tcMar>
                  <w:vAlign w:val="center"/>
                </w:tcPr>
                <w:p w14:paraId="43CAB94B">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29.8</w:t>
                  </w:r>
                </w:p>
              </w:tc>
              <w:tc>
                <w:tcPr>
                  <w:tcW w:w="466" w:type="dxa"/>
                  <w:shd w:val="clear" w:color="auto" w:fill="auto"/>
                  <w:tcMar>
                    <w:top w:w="0" w:type="dxa"/>
                    <w:left w:w="0" w:type="dxa"/>
                    <w:bottom w:w="0" w:type="dxa"/>
                    <w:right w:w="0" w:type="dxa"/>
                  </w:tcMar>
                  <w:vAlign w:val="center"/>
                </w:tcPr>
                <w:p w14:paraId="01077C62">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14.2</w:t>
                  </w:r>
                </w:p>
              </w:tc>
              <w:tc>
                <w:tcPr>
                  <w:tcW w:w="466" w:type="dxa"/>
                  <w:shd w:val="clear" w:color="auto" w:fill="auto"/>
                  <w:tcMar>
                    <w:top w:w="0" w:type="dxa"/>
                    <w:left w:w="0" w:type="dxa"/>
                    <w:bottom w:w="0" w:type="dxa"/>
                    <w:right w:w="0" w:type="dxa"/>
                  </w:tcMar>
                  <w:vAlign w:val="center"/>
                </w:tcPr>
                <w:p w14:paraId="5334132E">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53.9</w:t>
                  </w:r>
                </w:p>
              </w:tc>
              <w:tc>
                <w:tcPr>
                  <w:tcW w:w="467" w:type="dxa"/>
                  <w:shd w:val="clear" w:color="auto" w:fill="auto"/>
                  <w:tcMar>
                    <w:top w:w="0" w:type="dxa"/>
                    <w:left w:w="0" w:type="dxa"/>
                    <w:bottom w:w="0" w:type="dxa"/>
                    <w:right w:w="0" w:type="dxa"/>
                  </w:tcMar>
                  <w:vAlign w:val="center"/>
                </w:tcPr>
                <w:p w14:paraId="11596162">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42.9</w:t>
                  </w:r>
                </w:p>
              </w:tc>
              <w:tc>
                <w:tcPr>
                  <w:tcW w:w="460" w:type="dxa"/>
                  <w:shd w:val="clear" w:color="auto" w:fill="auto"/>
                  <w:tcMar>
                    <w:top w:w="0" w:type="dxa"/>
                    <w:left w:w="0" w:type="dxa"/>
                    <w:bottom w:w="0" w:type="dxa"/>
                    <w:right w:w="0" w:type="dxa"/>
                  </w:tcMar>
                  <w:vAlign w:val="center"/>
                </w:tcPr>
                <w:p w14:paraId="5AA17DCB">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57.5</w:t>
                  </w:r>
                </w:p>
              </w:tc>
              <w:tc>
                <w:tcPr>
                  <w:tcW w:w="460" w:type="dxa"/>
                  <w:shd w:val="clear" w:color="auto" w:fill="auto"/>
                  <w:tcMar>
                    <w:top w:w="0" w:type="dxa"/>
                    <w:left w:w="0" w:type="dxa"/>
                    <w:bottom w:w="0" w:type="dxa"/>
                    <w:right w:w="0" w:type="dxa"/>
                  </w:tcMar>
                  <w:vAlign w:val="center"/>
                </w:tcPr>
                <w:p w14:paraId="5E87DF27">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57.5</w:t>
                  </w:r>
                </w:p>
              </w:tc>
              <w:tc>
                <w:tcPr>
                  <w:tcW w:w="460" w:type="dxa"/>
                  <w:shd w:val="clear" w:color="auto" w:fill="auto"/>
                  <w:tcMar>
                    <w:top w:w="0" w:type="dxa"/>
                    <w:left w:w="0" w:type="dxa"/>
                    <w:bottom w:w="0" w:type="dxa"/>
                    <w:right w:w="0" w:type="dxa"/>
                  </w:tcMar>
                  <w:vAlign w:val="center"/>
                </w:tcPr>
                <w:p w14:paraId="3C4EECE1">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57.4</w:t>
                  </w:r>
                </w:p>
              </w:tc>
              <w:tc>
                <w:tcPr>
                  <w:tcW w:w="462" w:type="dxa"/>
                  <w:shd w:val="clear" w:color="auto" w:fill="auto"/>
                  <w:tcMar>
                    <w:top w:w="0" w:type="dxa"/>
                    <w:left w:w="0" w:type="dxa"/>
                    <w:bottom w:w="0" w:type="dxa"/>
                    <w:right w:w="0" w:type="dxa"/>
                  </w:tcMar>
                  <w:vAlign w:val="center"/>
                </w:tcPr>
                <w:p w14:paraId="07682699">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57.4</w:t>
                  </w:r>
                </w:p>
              </w:tc>
              <w:tc>
                <w:tcPr>
                  <w:tcW w:w="445" w:type="dxa"/>
                  <w:vMerge w:val="continue"/>
                  <w:shd w:val="clear" w:color="auto" w:fill="auto"/>
                  <w:tcMar>
                    <w:top w:w="0" w:type="dxa"/>
                    <w:left w:w="0" w:type="dxa"/>
                    <w:bottom w:w="0" w:type="dxa"/>
                    <w:right w:w="0" w:type="dxa"/>
                  </w:tcMar>
                  <w:vAlign w:val="center"/>
                </w:tcPr>
                <w:p w14:paraId="67D1A846">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 w:val="21"/>
                      <w:szCs w:val="21"/>
                    </w:rPr>
                  </w:pPr>
                </w:p>
              </w:tc>
              <w:tc>
                <w:tcPr>
                  <w:tcW w:w="444" w:type="dxa"/>
                  <w:shd w:val="clear" w:color="auto" w:fill="auto"/>
                  <w:tcMar>
                    <w:top w:w="0" w:type="dxa"/>
                    <w:left w:w="0" w:type="dxa"/>
                    <w:bottom w:w="0" w:type="dxa"/>
                    <w:right w:w="0" w:type="dxa"/>
                  </w:tcMar>
                  <w:vAlign w:val="center"/>
                </w:tcPr>
                <w:p w14:paraId="2DBDC653">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20.0</w:t>
                  </w:r>
                </w:p>
              </w:tc>
              <w:tc>
                <w:tcPr>
                  <w:tcW w:w="444" w:type="dxa"/>
                  <w:shd w:val="clear" w:color="auto" w:fill="auto"/>
                  <w:tcMar>
                    <w:top w:w="0" w:type="dxa"/>
                    <w:left w:w="0" w:type="dxa"/>
                    <w:bottom w:w="0" w:type="dxa"/>
                    <w:right w:w="0" w:type="dxa"/>
                  </w:tcMar>
                  <w:vAlign w:val="center"/>
                </w:tcPr>
                <w:p w14:paraId="1A4D692E">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20.0</w:t>
                  </w:r>
                </w:p>
              </w:tc>
              <w:tc>
                <w:tcPr>
                  <w:tcW w:w="444" w:type="dxa"/>
                  <w:shd w:val="clear" w:color="auto" w:fill="auto"/>
                  <w:tcMar>
                    <w:top w:w="0" w:type="dxa"/>
                    <w:left w:w="0" w:type="dxa"/>
                    <w:bottom w:w="0" w:type="dxa"/>
                    <w:right w:w="0" w:type="dxa"/>
                  </w:tcMar>
                  <w:vAlign w:val="center"/>
                </w:tcPr>
                <w:p w14:paraId="4E7A4014">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20.0</w:t>
                  </w:r>
                </w:p>
              </w:tc>
              <w:tc>
                <w:tcPr>
                  <w:tcW w:w="444" w:type="dxa"/>
                  <w:shd w:val="clear" w:color="auto" w:fill="auto"/>
                  <w:tcMar>
                    <w:top w:w="0" w:type="dxa"/>
                    <w:left w:w="0" w:type="dxa"/>
                    <w:bottom w:w="0" w:type="dxa"/>
                    <w:right w:w="0" w:type="dxa"/>
                  </w:tcMar>
                  <w:vAlign w:val="center"/>
                </w:tcPr>
                <w:p w14:paraId="0B112F46">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20.0</w:t>
                  </w:r>
                </w:p>
              </w:tc>
              <w:tc>
                <w:tcPr>
                  <w:tcW w:w="470" w:type="dxa"/>
                  <w:shd w:val="clear" w:color="auto" w:fill="auto"/>
                  <w:tcMar>
                    <w:top w:w="0" w:type="dxa"/>
                    <w:left w:w="0" w:type="dxa"/>
                    <w:bottom w:w="0" w:type="dxa"/>
                    <w:right w:w="0" w:type="dxa"/>
                  </w:tcMar>
                  <w:vAlign w:val="center"/>
                </w:tcPr>
                <w:p w14:paraId="6698B0F0">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37.5</w:t>
                  </w:r>
                </w:p>
              </w:tc>
              <w:tc>
                <w:tcPr>
                  <w:tcW w:w="470" w:type="dxa"/>
                  <w:shd w:val="clear" w:color="auto" w:fill="auto"/>
                  <w:tcMar>
                    <w:top w:w="0" w:type="dxa"/>
                    <w:left w:w="0" w:type="dxa"/>
                    <w:bottom w:w="0" w:type="dxa"/>
                    <w:right w:w="0" w:type="dxa"/>
                  </w:tcMar>
                  <w:vAlign w:val="center"/>
                </w:tcPr>
                <w:p w14:paraId="562D2C0B">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37.5</w:t>
                  </w:r>
                </w:p>
              </w:tc>
              <w:tc>
                <w:tcPr>
                  <w:tcW w:w="470" w:type="dxa"/>
                  <w:shd w:val="clear" w:color="auto" w:fill="auto"/>
                  <w:tcMar>
                    <w:top w:w="0" w:type="dxa"/>
                    <w:left w:w="0" w:type="dxa"/>
                    <w:bottom w:w="0" w:type="dxa"/>
                    <w:right w:w="0" w:type="dxa"/>
                  </w:tcMar>
                  <w:vAlign w:val="center"/>
                </w:tcPr>
                <w:p w14:paraId="6CD9CE64">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37.4</w:t>
                  </w:r>
                </w:p>
              </w:tc>
              <w:tc>
                <w:tcPr>
                  <w:tcW w:w="471" w:type="dxa"/>
                  <w:shd w:val="clear" w:color="auto" w:fill="auto"/>
                  <w:tcMar>
                    <w:top w:w="0" w:type="dxa"/>
                    <w:left w:w="0" w:type="dxa"/>
                    <w:bottom w:w="0" w:type="dxa"/>
                    <w:right w:w="0" w:type="dxa"/>
                  </w:tcMar>
                  <w:vAlign w:val="center"/>
                </w:tcPr>
                <w:p w14:paraId="6FEE90A6">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37.4</w:t>
                  </w:r>
                </w:p>
              </w:tc>
              <w:tc>
                <w:tcPr>
                  <w:tcW w:w="648" w:type="dxa"/>
                  <w:shd w:val="clear" w:color="auto" w:fill="auto"/>
                  <w:tcMar>
                    <w:top w:w="0" w:type="dxa"/>
                    <w:left w:w="0" w:type="dxa"/>
                    <w:bottom w:w="0" w:type="dxa"/>
                    <w:right w:w="0" w:type="dxa"/>
                  </w:tcMar>
                  <w:vAlign w:val="center"/>
                </w:tcPr>
                <w:p w14:paraId="0784C556">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1</w:t>
                  </w:r>
                </w:p>
              </w:tc>
            </w:tr>
            <w:tr w14:paraId="597EAC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23" w:hRule="atLeast"/>
                <w:jc w:val="center"/>
              </w:trPr>
              <w:tc>
                <w:tcPr>
                  <w:tcW w:w="482" w:type="dxa"/>
                  <w:shd w:val="clear" w:color="auto" w:fill="auto"/>
                  <w:vAlign w:val="center"/>
                </w:tcPr>
                <w:p w14:paraId="2F761D5A">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12</w:t>
                  </w:r>
                </w:p>
              </w:tc>
              <w:tc>
                <w:tcPr>
                  <w:tcW w:w="485" w:type="dxa"/>
                  <w:vMerge w:val="continue"/>
                  <w:shd w:val="clear" w:color="auto" w:fill="auto"/>
                  <w:tcMar>
                    <w:top w:w="0" w:type="dxa"/>
                    <w:left w:w="0" w:type="dxa"/>
                    <w:bottom w:w="0" w:type="dxa"/>
                    <w:right w:w="0" w:type="dxa"/>
                  </w:tcMar>
                  <w:vAlign w:val="center"/>
                </w:tcPr>
                <w:p w14:paraId="4BFC2C1B">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 w:val="21"/>
                      <w:szCs w:val="21"/>
                    </w:rPr>
                  </w:pPr>
                </w:p>
              </w:tc>
              <w:tc>
                <w:tcPr>
                  <w:tcW w:w="541" w:type="dxa"/>
                  <w:shd w:val="clear" w:color="auto" w:fill="auto"/>
                  <w:tcMar>
                    <w:top w:w="0" w:type="dxa"/>
                    <w:left w:w="0" w:type="dxa"/>
                    <w:bottom w:w="0" w:type="dxa"/>
                    <w:right w:w="0" w:type="dxa"/>
                  </w:tcMar>
                  <w:vAlign w:val="center"/>
                </w:tcPr>
                <w:p w14:paraId="5F0FCC02">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高速摸切机</w:t>
                  </w:r>
                </w:p>
              </w:tc>
              <w:tc>
                <w:tcPr>
                  <w:tcW w:w="413" w:type="dxa"/>
                  <w:shd w:val="clear" w:color="auto" w:fill="auto"/>
                  <w:tcMar>
                    <w:top w:w="0" w:type="dxa"/>
                    <w:left w:w="0" w:type="dxa"/>
                    <w:bottom w:w="0" w:type="dxa"/>
                    <w:right w:w="0" w:type="dxa"/>
                  </w:tcMar>
                  <w:vAlign w:val="center"/>
                </w:tcPr>
                <w:p w14:paraId="58214201">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宋体" w:cs="Times New Roman"/>
                      <w:color w:val="auto"/>
                      <w:sz w:val="21"/>
                      <w:szCs w:val="21"/>
                      <w:highlight w:val="none"/>
                      <w:lang w:val="en-US" w:eastAsia="en-US" w:bidi="ar-SA"/>
                    </w:rPr>
                  </w:pPr>
                  <w:r>
                    <w:rPr>
                      <w:rFonts w:hint="default" w:ascii="Times New Roman" w:hAnsi="Times New Roman" w:eastAsia="宋体" w:cs="Times New Roman"/>
                      <w:color w:val="auto"/>
                      <w:kern w:val="0"/>
                      <w:sz w:val="21"/>
                      <w:szCs w:val="21"/>
                      <w:highlight w:val="none"/>
                      <w:lang w:bidi="ar"/>
                    </w:rPr>
                    <w:t>WD-DP65</w:t>
                  </w:r>
                </w:p>
              </w:tc>
              <w:tc>
                <w:tcPr>
                  <w:tcW w:w="637" w:type="dxa"/>
                  <w:shd w:val="clear" w:color="auto" w:fill="auto"/>
                  <w:tcMar>
                    <w:top w:w="0" w:type="dxa"/>
                    <w:left w:w="0" w:type="dxa"/>
                    <w:bottom w:w="0" w:type="dxa"/>
                    <w:right w:w="0" w:type="dxa"/>
                  </w:tcMar>
                  <w:vAlign w:val="center"/>
                </w:tcPr>
                <w:p w14:paraId="732225BE">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70/1</w:t>
                  </w:r>
                </w:p>
              </w:tc>
              <w:tc>
                <w:tcPr>
                  <w:tcW w:w="553" w:type="dxa"/>
                  <w:vMerge w:val="continue"/>
                  <w:shd w:val="clear" w:color="auto" w:fill="auto"/>
                  <w:tcMar>
                    <w:top w:w="0" w:type="dxa"/>
                    <w:left w:w="0" w:type="dxa"/>
                    <w:bottom w:w="0" w:type="dxa"/>
                    <w:right w:w="0" w:type="dxa"/>
                  </w:tcMar>
                  <w:vAlign w:val="center"/>
                </w:tcPr>
                <w:p w14:paraId="6154AAC9">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 w:val="21"/>
                      <w:szCs w:val="21"/>
                    </w:rPr>
                  </w:pPr>
                </w:p>
              </w:tc>
              <w:tc>
                <w:tcPr>
                  <w:tcW w:w="563" w:type="dxa"/>
                  <w:shd w:val="clear" w:color="auto" w:fill="auto"/>
                  <w:tcMar>
                    <w:top w:w="0" w:type="dxa"/>
                    <w:left w:w="0" w:type="dxa"/>
                    <w:bottom w:w="0" w:type="dxa"/>
                    <w:right w:w="0" w:type="dxa"/>
                  </w:tcMar>
                  <w:vAlign w:val="center"/>
                </w:tcPr>
                <w:p w14:paraId="4D08E297">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-26.2</w:t>
                  </w:r>
                </w:p>
              </w:tc>
              <w:tc>
                <w:tcPr>
                  <w:tcW w:w="563" w:type="dxa"/>
                  <w:shd w:val="clear" w:color="auto" w:fill="auto"/>
                  <w:tcMar>
                    <w:top w:w="0" w:type="dxa"/>
                    <w:left w:w="0" w:type="dxa"/>
                    <w:bottom w:w="0" w:type="dxa"/>
                    <w:right w:w="0" w:type="dxa"/>
                  </w:tcMar>
                  <w:vAlign w:val="center"/>
                </w:tcPr>
                <w:p w14:paraId="423F826D">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-19.1</w:t>
                  </w:r>
                </w:p>
              </w:tc>
              <w:tc>
                <w:tcPr>
                  <w:tcW w:w="564" w:type="dxa"/>
                  <w:shd w:val="clear" w:color="auto" w:fill="auto"/>
                  <w:tcMar>
                    <w:top w:w="0" w:type="dxa"/>
                    <w:left w:w="0" w:type="dxa"/>
                    <w:bottom w:w="0" w:type="dxa"/>
                    <w:right w:w="0" w:type="dxa"/>
                  </w:tcMar>
                  <w:vAlign w:val="center"/>
                </w:tcPr>
                <w:p w14:paraId="54AB2CFB">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1.2</w:t>
                  </w:r>
                </w:p>
              </w:tc>
              <w:tc>
                <w:tcPr>
                  <w:tcW w:w="466" w:type="dxa"/>
                  <w:shd w:val="clear" w:color="auto" w:fill="auto"/>
                  <w:tcMar>
                    <w:top w:w="0" w:type="dxa"/>
                    <w:left w:w="0" w:type="dxa"/>
                    <w:bottom w:w="0" w:type="dxa"/>
                    <w:right w:w="0" w:type="dxa"/>
                  </w:tcMar>
                  <w:vAlign w:val="center"/>
                </w:tcPr>
                <w:p w14:paraId="3FB8B8F9">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29.8</w:t>
                  </w:r>
                </w:p>
              </w:tc>
              <w:tc>
                <w:tcPr>
                  <w:tcW w:w="466" w:type="dxa"/>
                  <w:shd w:val="clear" w:color="auto" w:fill="auto"/>
                  <w:tcMar>
                    <w:top w:w="0" w:type="dxa"/>
                    <w:left w:w="0" w:type="dxa"/>
                    <w:bottom w:w="0" w:type="dxa"/>
                    <w:right w:w="0" w:type="dxa"/>
                  </w:tcMar>
                  <w:vAlign w:val="center"/>
                </w:tcPr>
                <w:p w14:paraId="35E8A67E">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15.8</w:t>
                  </w:r>
                </w:p>
              </w:tc>
              <w:tc>
                <w:tcPr>
                  <w:tcW w:w="466" w:type="dxa"/>
                  <w:shd w:val="clear" w:color="auto" w:fill="auto"/>
                  <w:tcMar>
                    <w:top w:w="0" w:type="dxa"/>
                    <w:left w:w="0" w:type="dxa"/>
                    <w:bottom w:w="0" w:type="dxa"/>
                    <w:right w:w="0" w:type="dxa"/>
                  </w:tcMar>
                  <w:vAlign w:val="center"/>
                </w:tcPr>
                <w:p w14:paraId="45CA7A7F">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53.9</w:t>
                  </w:r>
                </w:p>
              </w:tc>
              <w:tc>
                <w:tcPr>
                  <w:tcW w:w="467" w:type="dxa"/>
                  <w:shd w:val="clear" w:color="auto" w:fill="auto"/>
                  <w:tcMar>
                    <w:top w:w="0" w:type="dxa"/>
                    <w:left w:w="0" w:type="dxa"/>
                    <w:bottom w:w="0" w:type="dxa"/>
                    <w:right w:w="0" w:type="dxa"/>
                  </w:tcMar>
                  <w:vAlign w:val="center"/>
                </w:tcPr>
                <w:p w14:paraId="371E2770">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41.2</w:t>
                  </w:r>
                </w:p>
              </w:tc>
              <w:tc>
                <w:tcPr>
                  <w:tcW w:w="460" w:type="dxa"/>
                  <w:shd w:val="clear" w:color="auto" w:fill="auto"/>
                  <w:tcMar>
                    <w:top w:w="0" w:type="dxa"/>
                    <w:left w:w="0" w:type="dxa"/>
                    <w:bottom w:w="0" w:type="dxa"/>
                    <w:right w:w="0" w:type="dxa"/>
                  </w:tcMar>
                  <w:vAlign w:val="center"/>
                </w:tcPr>
                <w:p w14:paraId="2D1503D2">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57.5</w:t>
                  </w:r>
                </w:p>
              </w:tc>
              <w:tc>
                <w:tcPr>
                  <w:tcW w:w="460" w:type="dxa"/>
                  <w:shd w:val="clear" w:color="auto" w:fill="auto"/>
                  <w:tcMar>
                    <w:top w:w="0" w:type="dxa"/>
                    <w:left w:w="0" w:type="dxa"/>
                    <w:bottom w:w="0" w:type="dxa"/>
                    <w:right w:w="0" w:type="dxa"/>
                  </w:tcMar>
                  <w:vAlign w:val="center"/>
                </w:tcPr>
                <w:p w14:paraId="4E869FB8">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57.5</w:t>
                  </w:r>
                </w:p>
              </w:tc>
              <w:tc>
                <w:tcPr>
                  <w:tcW w:w="460" w:type="dxa"/>
                  <w:shd w:val="clear" w:color="auto" w:fill="auto"/>
                  <w:tcMar>
                    <w:top w:w="0" w:type="dxa"/>
                    <w:left w:w="0" w:type="dxa"/>
                    <w:bottom w:w="0" w:type="dxa"/>
                    <w:right w:w="0" w:type="dxa"/>
                  </w:tcMar>
                  <w:vAlign w:val="center"/>
                </w:tcPr>
                <w:p w14:paraId="548A121C">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57.4</w:t>
                  </w:r>
                </w:p>
              </w:tc>
              <w:tc>
                <w:tcPr>
                  <w:tcW w:w="462" w:type="dxa"/>
                  <w:shd w:val="clear" w:color="auto" w:fill="auto"/>
                  <w:tcMar>
                    <w:top w:w="0" w:type="dxa"/>
                    <w:left w:w="0" w:type="dxa"/>
                    <w:bottom w:w="0" w:type="dxa"/>
                    <w:right w:w="0" w:type="dxa"/>
                  </w:tcMar>
                  <w:vAlign w:val="center"/>
                </w:tcPr>
                <w:p w14:paraId="037CA3A6">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57.5</w:t>
                  </w:r>
                </w:p>
              </w:tc>
              <w:tc>
                <w:tcPr>
                  <w:tcW w:w="445" w:type="dxa"/>
                  <w:vMerge w:val="continue"/>
                  <w:shd w:val="clear" w:color="auto" w:fill="auto"/>
                  <w:tcMar>
                    <w:top w:w="0" w:type="dxa"/>
                    <w:left w:w="0" w:type="dxa"/>
                    <w:bottom w:w="0" w:type="dxa"/>
                    <w:right w:w="0" w:type="dxa"/>
                  </w:tcMar>
                  <w:vAlign w:val="center"/>
                </w:tcPr>
                <w:p w14:paraId="64F3593D">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 w:val="21"/>
                      <w:szCs w:val="21"/>
                    </w:rPr>
                  </w:pPr>
                </w:p>
              </w:tc>
              <w:tc>
                <w:tcPr>
                  <w:tcW w:w="444" w:type="dxa"/>
                  <w:shd w:val="clear" w:color="auto" w:fill="auto"/>
                  <w:tcMar>
                    <w:top w:w="0" w:type="dxa"/>
                    <w:left w:w="0" w:type="dxa"/>
                    <w:bottom w:w="0" w:type="dxa"/>
                    <w:right w:w="0" w:type="dxa"/>
                  </w:tcMar>
                  <w:vAlign w:val="center"/>
                </w:tcPr>
                <w:p w14:paraId="43899C9D">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20.0</w:t>
                  </w:r>
                </w:p>
              </w:tc>
              <w:tc>
                <w:tcPr>
                  <w:tcW w:w="444" w:type="dxa"/>
                  <w:shd w:val="clear" w:color="auto" w:fill="auto"/>
                  <w:tcMar>
                    <w:top w:w="0" w:type="dxa"/>
                    <w:left w:w="0" w:type="dxa"/>
                    <w:bottom w:w="0" w:type="dxa"/>
                    <w:right w:w="0" w:type="dxa"/>
                  </w:tcMar>
                  <w:vAlign w:val="center"/>
                </w:tcPr>
                <w:p w14:paraId="20A8FDEE">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20.0</w:t>
                  </w:r>
                </w:p>
              </w:tc>
              <w:tc>
                <w:tcPr>
                  <w:tcW w:w="444" w:type="dxa"/>
                  <w:shd w:val="clear" w:color="auto" w:fill="auto"/>
                  <w:tcMar>
                    <w:top w:w="0" w:type="dxa"/>
                    <w:left w:w="0" w:type="dxa"/>
                    <w:bottom w:w="0" w:type="dxa"/>
                    <w:right w:w="0" w:type="dxa"/>
                  </w:tcMar>
                  <w:vAlign w:val="center"/>
                </w:tcPr>
                <w:p w14:paraId="6BEB3618">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20.0</w:t>
                  </w:r>
                </w:p>
              </w:tc>
              <w:tc>
                <w:tcPr>
                  <w:tcW w:w="444" w:type="dxa"/>
                  <w:shd w:val="clear" w:color="auto" w:fill="auto"/>
                  <w:tcMar>
                    <w:top w:w="0" w:type="dxa"/>
                    <w:left w:w="0" w:type="dxa"/>
                    <w:bottom w:w="0" w:type="dxa"/>
                    <w:right w:w="0" w:type="dxa"/>
                  </w:tcMar>
                  <w:vAlign w:val="center"/>
                </w:tcPr>
                <w:p w14:paraId="695CCEAB">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20.0</w:t>
                  </w:r>
                </w:p>
              </w:tc>
              <w:tc>
                <w:tcPr>
                  <w:tcW w:w="470" w:type="dxa"/>
                  <w:shd w:val="clear" w:color="auto" w:fill="auto"/>
                  <w:tcMar>
                    <w:top w:w="0" w:type="dxa"/>
                    <w:left w:w="0" w:type="dxa"/>
                    <w:bottom w:w="0" w:type="dxa"/>
                    <w:right w:w="0" w:type="dxa"/>
                  </w:tcMar>
                  <w:vAlign w:val="center"/>
                </w:tcPr>
                <w:p w14:paraId="00C4C306">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37.5</w:t>
                  </w:r>
                </w:p>
              </w:tc>
              <w:tc>
                <w:tcPr>
                  <w:tcW w:w="470" w:type="dxa"/>
                  <w:shd w:val="clear" w:color="auto" w:fill="auto"/>
                  <w:tcMar>
                    <w:top w:w="0" w:type="dxa"/>
                    <w:left w:w="0" w:type="dxa"/>
                    <w:bottom w:w="0" w:type="dxa"/>
                    <w:right w:w="0" w:type="dxa"/>
                  </w:tcMar>
                  <w:vAlign w:val="center"/>
                </w:tcPr>
                <w:p w14:paraId="0075C18E">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37.5</w:t>
                  </w:r>
                </w:p>
              </w:tc>
              <w:tc>
                <w:tcPr>
                  <w:tcW w:w="470" w:type="dxa"/>
                  <w:shd w:val="clear" w:color="auto" w:fill="auto"/>
                  <w:tcMar>
                    <w:top w:w="0" w:type="dxa"/>
                    <w:left w:w="0" w:type="dxa"/>
                    <w:bottom w:w="0" w:type="dxa"/>
                    <w:right w:w="0" w:type="dxa"/>
                  </w:tcMar>
                  <w:vAlign w:val="center"/>
                </w:tcPr>
                <w:p w14:paraId="7FA72BDB">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37.4</w:t>
                  </w:r>
                </w:p>
              </w:tc>
              <w:tc>
                <w:tcPr>
                  <w:tcW w:w="471" w:type="dxa"/>
                  <w:shd w:val="clear" w:color="auto" w:fill="auto"/>
                  <w:tcMar>
                    <w:top w:w="0" w:type="dxa"/>
                    <w:left w:w="0" w:type="dxa"/>
                    <w:bottom w:w="0" w:type="dxa"/>
                    <w:right w:w="0" w:type="dxa"/>
                  </w:tcMar>
                  <w:vAlign w:val="center"/>
                </w:tcPr>
                <w:p w14:paraId="562C10E9">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37.5</w:t>
                  </w:r>
                </w:p>
              </w:tc>
              <w:tc>
                <w:tcPr>
                  <w:tcW w:w="648" w:type="dxa"/>
                  <w:shd w:val="clear" w:color="auto" w:fill="auto"/>
                  <w:tcMar>
                    <w:top w:w="0" w:type="dxa"/>
                    <w:left w:w="0" w:type="dxa"/>
                    <w:bottom w:w="0" w:type="dxa"/>
                    <w:right w:w="0" w:type="dxa"/>
                  </w:tcMar>
                  <w:vAlign w:val="center"/>
                </w:tcPr>
                <w:p w14:paraId="77C2D2F7">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1</w:t>
                  </w:r>
                </w:p>
              </w:tc>
            </w:tr>
            <w:tr w14:paraId="3B5051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482" w:type="dxa"/>
                  <w:shd w:val="clear" w:color="auto" w:fill="auto"/>
                  <w:vAlign w:val="center"/>
                </w:tcPr>
                <w:p w14:paraId="6EF215E9">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13</w:t>
                  </w:r>
                </w:p>
              </w:tc>
              <w:tc>
                <w:tcPr>
                  <w:tcW w:w="485" w:type="dxa"/>
                  <w:vMerge w:val="continue"/>
                  <w:shd w:val="clear" w:color="auto" w:fill="auto"/>
                  <w:tcMar>
                    <w:top w:w="0" w:type="dxa"/>
                    <w:left w:w="0" w:type="dxa"/>
                    <w:bottom w:w="0" w:type="dxa"/>
                    <w:right w:w="0" w:type="dxa"/>
                  </w:tcMar>
                  <w:vAlign w:val="center"/>
                </w:tcPr>
                <w:p w14:paraId="096DEB43">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 w:val="21"/>
                      <w:szCs w:val="21"/>
                    </w:rPr>
                  </w:pPr>
                </w:p>
              </w:tc>
              <w:tc>
                <w:tcPr>
                  <w:tcW w:w="541" w:type="dxa"/>
                  <w:shd w:val="clear" w:color="auto" w:fill="auto"/>
                  <w:tcMar>
                    <w:top w:w="0" w:type="dxa"/>
                    <w:left w:w="0" w:type="dxa"/>
                    <w:bottom w:w="0" w:type="dxa"/>
                    <w:right w:w="0" w:type="dxa"/>
                  </w:tcMar>
                  <w:vAlign w:val="center"/>
                </w:tcPr>
                <w:p w14:paraId="29E48005">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正反面贴胶机</w:t>
                  </w:r>
                  <w:r>
                    <w:rPr>
                      <w:rFonts w:hint="eastAsia" w:ascii="Times New Roman" w:hAnsi="Times New Roman" w:eastAsia="宋体" w:cs="Times New Roman"/>
                      <w:color w:val="auto"/>
                      <w:sz w:val="21"/>
                      <w:szCs w:val="21"/>
                      <w:lang w:eastAsia="zh-CN"/>
                    </w:rPr>
                    <w:t>，</w:t>
                  </w:r>
                  <w:r>
                    <w:rPr>
                      <w:rFonts w:hint="default" w:ascii="Times New Roman" w:hAnsi="Times New Roman" w:eastAsia="宋体" w:cs="Times New Roman"/>
                      <w:color w:val="auto"/>
                      <w:sz w:val="21"/>
                      <w:szCs w:val="21"/>
                    </w:rPr>
                    <w:t>4台（按点声源组预测）</w:t>
                  </w:r>
                </w:p>
              </w:tc>
              <w:tc>
                <w:tcPr>
                  <w:tcW w:w="413" w:type="dxa"/>
                  <w:shd w:val="clear" w:color="auto" w:fill="auto"/>
                  <w:tcMar>
                    <w:top w:w="0" w:type="dxa"/>
                    <w:left w:w="0" w:type="dxa"/>
                    <w:bottom w:w="0" w:type="dxa"/>
                    <w:right w:w="0" w:type="dxa"/>
                  </w:tcMar>
                  <w:vAlign w:val="center"/>
                </w:tcPr>
                <w:p w14:paraId="001699A5">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宋体" w:cs="Times New Roman"/>
                      <w:color w:val="auto"/>
                      <w:sz w:val="21"/>
                      <w:szCs w:val="21"/>
                      <w:highlight w:val="none"/>
                      <w:lang w:val="en-US" w:eastAsia="en-US" w:bidi="ar-SA"/>
                    </w:rPr>
                  </w:pPr>
                  <w:r>
                    <w:rPr>
                      <w:rFonts w:hint="default" w:ascii="Times New Roman" w:hAnsi="Times New Roman" w:eastAsia="宋体" w:cs="Times New Roman"/>
                      <w:color w:val="auto"/>
                      <w:kern w:val="0"/>
                      <w:sz w:val="21"/>
                      <w:szCs w:val="21"/>
                      <w:highlight w:val="none"/>
                      <w:lang w:bidi="ar"/>
                    </w:rPr>
                    <w:t>WD-TP320自动贴合机</w:t>
                  </w:r>
                </w:p>
              </w:tc>
              <w:tc>
                <w:tcPr>
                  <w:tcW w:w="637" w:type="dxa"/>
                  <w:shd w:val="clear" w:color="auto" w:fill="auto"/>
                  <w:tcMar>
                    <w:top w:w="0" w:type="dxa"/>
                    <w:left w:w="0" w:type="dxa"/>
                    <w:bottom w:w="0" w:type="dxa"/>
                    <w:right w:w="0" w:type="dxa"/>
                  </w:tcMar>
                  <w:vAlign w:val="center"/>
                </w:tcPr>
                <w:p w14:paraId="61B3B00A">
                  <w:pPr>
                    <w:keepNext w:val="0"/>
                    <w:keepLines w:val="0"/>
                    <w:suppressLineNumbers w:val="0"/>
                    <w:spacing w:before="0" w:beforeAutospacing="0" w:after="0" w:afterAutospacing="0"/>
                    <w:ind w:left="0" w:right="0"/>
                    <w:jc w:val="center"/>
                    <w:rPr>
                      <w:rFonts w:hint="eastAsia" w:ascii="Times New Roman" w:hAnsi="Times New Roman" w:eastAsia="宋体" w:cs="Times New Roman"/>
                      <w:color w:val="auto"/>
                      <w:sz w:val="21"/>
                      <w:szCs w:val="21"/>
                      <w:lang w:eastAsia="zh-CN"/>
                    </w:rPr>
                  </w:pPr>
                  <w:r>
                    <w:rPr>
                      <w:rFonts w:hint="default" w:ascii="Times New Roman" w:hAnsi="Times New Roman" w:eastAsia="宋体" w:cs="Times New Roman"/>
                      <w:color w:val="auto"/>
                      <w:sz w:val="21"/>
                      <w:szCs w:val="21"/>
                    </w:rPr>
                    <w:t>74/1（等效后：80.0/1</w:t>
                  </w:r>
                  <w:r>
                    <w:rPr>
                      <w:rFonts w:hint="eastAsia" w:ascii="Times New Roman" w:hAnsi="Times New Roman" w:eastAsia="宋体" w:cs="Times New Roman"/>
                      <w:color w:val="auto"/>
                      <w:sz w:val="21"/>
                      <w:szCs w:val="21"/>
                      <w:lang w:eastAsia="zh-CN"/>
                    </w:rPr>
                    <w:t>）</w:t>
                  </w:r>
                </w:p>
              </w:tc>
              <w:tc>
                <w:tcPr>
                  <w:tcW w:w="553" w:type="dxa"/>
                  <w:vMerge w:val="continue"/>
                  <w:shd w:val="clear" w:color="auto" w:fill="auto"/>
                  <w:tcMar>
                    <w:top w:w="0" w:type="dxa"/>
                    <w:left w:w="0" w:type="dxa"/>
                    <w:bottom w:w="0" w:type="dxa"/>
                    <w:right w:w="0" w:type="dxa"/>
                  </w:tcMar>
                  <w:vAlign w:val="center"/>
                </w:tcPr>
                <w:p w14:paraId="6099D985">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 w:val="21"/>
                      <w:szCs w:val="21"/>
                    </w:rPr>
                  </w:pPr>
                </w:p>
              </w:tc>
              <w:tc>
                <w:tcPr>
                  <w:tcW w:w="563" w:type="dxa"/>
                  <w:shd w:val="clear" w:color="auto" w:fill="auto"/>
                  <w:tcMar>
                    <w:top w:w="0" w:type="dxa"/>
                    <w:left w:w="0" w:type="dxa"/>
                    <w:bottom w:w="0" w:type="dxa"/>
                    <w:right w:w="0" w:type="dxa"/>
                  </w:tcMar>
                  <w:vAlign w:val="center"/>
                </w:tcPr>
                <w:p w14:paraId="38AF185B">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-15.6</w:t>
                  </w:r>
                </w:p>
              </w:tc>
              <w:tc>
                <w:tcPr>
                  <w:tcW w:w="563" w:type="dxa"/>
                  <w:shd w:val="clear" w:color="auto" w:fill="auto"/>
                  <w:tcMar>
                    <w:top w:w="0" w:type="dxa"/>
                    <w:left w:w="0" w:type="dxa"/>
                    <w:bottom w:w="0" w:type="dxa"/>
                    <w:right w:w="0" w:type="dxa"/>
                  </w:tcMar>
                  <w:vAlign w:val="center"/>
                </w:tcPr>
                <w:p w14:paraId="79CD35A1">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-18.6</w:t>
                  </w:r>
                </w:p>
              </w:tc>
              <w:tc>
                <w:tcPr>
                  <w:tcW w:w="564" w:type="dxa"/>
                  <w:shd w:val="clear" w:color="auto" w:fill="auto"/>
                  <w:tcMar>
                    <w:top w:w="0" w:type="dxa"/>
                    <w:left w:w="0" w:type="dxa"/>
                    <w:bottom w:w="0" w:type="dxa"/>
                    <w:right w:w="0" w:type="dxa"/>
                  </w:tcMar>
                  <w:vAlign w:val="center"/>
                </w:tcPr>
                <w:p w14:paraId="7D1C837F">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1.2</w:t>
                  </w:r>
                </w:p>
              </w:tc>
              <w:tc>
                <w:tcPr>
                  <w:tcW w:w="466" w:type="dxa"/>
                  <w:shd w:val="clear" w:color="auto" w:fill="auto"/>
                  <w:tcMar>
                    <w:top w:w="0" w:type="dxa"/>
                    <w:left w:w="0" w:type="dxa"/>
                    <w:bottom w:w="0" w:type="dxa"/>
                    <w:right w:w="0" w:type="dxa"/>
                  </w:tcMar>
                  <w:vAlign w:val="center"/>
                </w:tcPr>
                <w:p w14:paraId="1EC3E5AB">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19.3</w:t>
                  </w:r>
                </w:p>
              </w:tc>
              <w:tc>
                <w:tcPr>
                  <w:tcW w:w="466" w:type="dxa"/>
                  <w:shd w:val="clear" w:color="auto" w:fill="auto"/>
                  <w:tcMar>
                    <w:top w:w="0" w:type="dxa"/>
                    <w:left w:w="0" w:type="dxa"/>
                    <w:bottom w:w="0" w:type="dxa"/>
                    <w:right w:w="0" w:type="dxa"/>
                  </w:tcMar>
                  <w:vAlign w:val="center"/>
                </w:tcPr>
                <w:p w14:paraId="41A4D4C5">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13.9</w:t>
                  </w:r>
                </w:p>
              </w:tc>
              <w:tc>
                <w:tcPr>
                  <w:tcW w:w="466" w:type="dxa"/>
                  <w:shd w:val="clear" w:color="auto" w:fill="auto"/>
                  <w:tcMar>
                    <w:top w:w="0" w:type="dxa"/>
                    <w:left w:w="0" w:type="dxa"/>
                    <w:bottom w:w="0" w:type="dxa"/>
                    <w:right w:w="0" w:type="dxa"/>
                  </w:tcMar>
                  <w:vAlign w:val="center"/>
                </w:tcPr>
                <w:p w14:paraId="3FD2EA50">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64.4</w:t>
                  </w:r>
                </w:p>
              </w:tc>
              <w:tc>
                <w:tcPr>
                  <w:tcW w:w="467" w:type="dxa"/>
                  <w:shd w:val="clear" w:color="auto" w:fill="auto"/>
                  <w:tcMar>
                    <w:top w:w="0" w:type="dxa"/>
                    <w:left w:w="0" w:type="dxa"/>
                    <w:bottom w:w="0" w:type="dxa"/>
                    <w:right w:w="0" w:type="dxa"/>
                  </w:tcMar>
                  <w:vAlign w:val="center"/>
                </w:tcPr>
                <w:p w14:paraId="2C7FEB08">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43.0</w:t>
                  </w:r>
                </w:p>
              </w:tc>
              <w:tc>
                <w:tcPr>
                  <w:tcW w:w="460" w:type="dxa"/>
                  <w:shd w:val="clear" w:color="auto" w:fill="auto"/>
                  <w:tcMar>
                    <w:top w:w="0" w:type="dxa"/>
                    <w:left w:w="0" w:type="dxa"/>
                    <w:bottom w:w="0" w:type="dxa"/>
                    <w:right w:w="0" w:type="dxa"/>
                  </w:tcMar>
                  <w:vAlign w:val="center"/>
                </w:tcPr>
                <w:p w14:paraId="561C59A6">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55.5</w:t>
                  </w:r>
                </w:p>
              </w:tc>
              <w:tc>
                <w:tcPr>
                  <w:tcW w:w="460" w:type="dxa"/>
                  <w:shd w:val="clear" w:color="auto" w:fill="auto"/>
                  <w:tcMar>
                    <w:top w:w="0" w:type="dxa"/>
                    <w:left w:w="0" w:type="dxa"/>
                    <w:bottom w:w="0" w:type="dxa"/>
                    <w:right w:w="0" w:type="dxa"/>
                  </w:tcMar>
                  <w:vAlign w:val="center"/>
                </w:tcPr>
                <w:p w14:paraId="068BCF92">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55.5</w:t>
                  </w:r>
                </w:p>
              </w:tc>
              <w:tc>
                <w:tcPr>
                  <w:tcW w:w="460" w:type="dxa"/>
                  <w:shd w:val="clear" w:color="auto" w:fill="auto"/>
                  <w:tcMar>
                    <w:top w:w="0" w:type="dxa"/>
                    <w:left w:w="0" w:type="dxa"/>
                    <w:bottom w:w="0" w:type="dxa"/>
                    <w:right w:w="0" w:type="dxa"/>
                  </w:tcMar>
                  <w:vAlign w:val="center"/>
                </w:tcPr>
                <w:p w14:paraId="73B269E6">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55.4</w:t>
                  </w:r>
                </w:p>
              </w:tc>
              <w:tc>
                <w:tcPr>
                  <w:tcW w:w="462" w:type="dxa"/>
                  <w:shd w:val="clear" w:color="auto" w:fill="auto"/>
                  <w:tcMar>
                    <w:top w:w="0" w:type="dxa"/>
                    <w:left w:w="0" w:type="dxa"/>
                    <w:bottom w:w="0" w:type="dxa"/>
                    <w:right w:w="0" w:type="dxa"/>
                  </w:tcMar>
                  <w:vAlign w:val="center"/>
                </w:tcPr>
                <w:p w14:paraId="2E98AE2C">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55.4</w:t>
                  </w:r>
                </w:p>
              </w:tc>
              <w:tc>
                <w:tcPr>
                  <w:tcW w:w="445" w:type="dxa"/>
                  <w:vMerge w:val="continue"/>
                  <w:shd w:val="clear" w:color="auto" w:fill="auto"/>
                  <w:tcMar>
                    <w:top w:w="0" w:type="dxa"/>
                    <w:left w:w="0" w:type="dxa"/>
                    <w:bottom w:w="0" w:type="dxa"/>
                    <w:right w:w="0" w:type="dxa"/>
                  </w:tcMar>
                  <w:vAlign w:val="center"/>
                </w:tcPr>
                <w:p w14:paraId="25120F50">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 w:val="21"/>
                      <w:szCs w:val="21"/>
                    </w:rPr>
                  </w:pPr>
                </w:p>
              </w:tc>
              <w:tc>
                <w:tcPr>
                  <w:tcW w:w="444" w:type="dxa"/>
                  <w:shd w:val="clear" w:color="auto" w:fill="auto"/>
                  <w:tcMar>
                    <w:top w:w="0" w:type="dxa"/>
                    <w:left w:w="0" w:type="dxa"/>
                    <w:bottom w:w="0" w:type="dxa"/>
                    <w:right w:w="0" w:type="dxa"/>
                  </w:tcMar>
                  <w:vAlign w:val="center"/>
                </w:tcPr>
                <w:p w14:paraId="3C0E1F11">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20.0</w:t>
                  </w:r>
                </w:p>
              </w:tc>
              <w:tc>
                <w:tcPr>
                  <w:tcW w:w="444" w:type="dxa"/>
                  <w:shd w:val="clear" w:color="auto" w:fill="auto"/>
                  <w:tcMar>
                    <w:top w:w="0" w:type="dxa"/>
                    <w:left w:w="0" w:type="dxa"/>
                    <w:bottom w:w="0" w:type="dxa"/>
                    <w:right w:w="0" w:type="dxa"/>
                  </w:tcMar>
                  <w:vAlign w:val="center"/>
                </w:tcPr>
                <w:p w14:paraId="53FED40D">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20.0</w:t>
                  </w:r>
                </w:p>
              </w:tc>
              <w:tc>
                <w:tcPr>
                  <w:tcW w:w="444" w:type="dxa"/>
                  <w:shd w:val="clear" w:color="auto" w:fill="auto"/>
                  <w:tcMar>
                    <w:top w:w="0" w:type="dxa"/>
                    <w:left w:w="0" w:type="dxa"/>
                    <w:bottom w:w="0" w:type="dxa"/>
                    <w:right w:w="0" w:type="dxa"/>
                  </w:tcMar>
                  <w:vAlign w:val="center"/>
                </w:tcPr>
                <w:p w14:paraId="306747F8">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20.0</w:t>
                  </w:r>
                </w:p>
              </w:tc>
              <w:tc>
                <w:tcPr>
                  <w:tcW w:w="444" w:type="dxa"/>
                  <w:shd w:val="clear" w:color="auto" w:fill="auto"/>
                  <w:tcMar>
                    <w:top w:w="0" w:type="dxa"/>
                    <w:left w:w="0" w:type="dxa"/>
                    <w:bottom w:w="0" w:type="dxa"/>
                    <w:right w:w="0" w:type="dxa"/>
                  </w:tcMar>
                  <w:vAlign w:val="center"/>
                </w:tcPr>
                <w:p w14:paraId="676E506D">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20.0</w:t>
                  </w:r>
                </w:p>
              </w:tc>
              <w:tc>
                <w:tcPr>
                  <w:tcW w:w="470" w:type="dxa"/>
                  <w:shd w:val="clear" w:color="auto" w:fill="auto"/>
                  <w:tcMar>
                    <w:top w:w="0" w:type="dxa"/>
                    <w:left w:w="0" w:type="dxa"/>
                    <w:bottom w:w="0" w:type="dxa"/>
                    <w:right w:w="0" w:type="dxa"/>
                  </w:tcMar>
                  <w:vAlign w:val="center"/>
                </w:tcPr>
                <w:p w14:paraId="04253489">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35.5</w:t>
                  </w:r>
                </w:p>
              </w:tc>
              <w:tc>
                <w:tcPr>
                  <w:tcW w:w="470" w:type="dxa"/>
                  <w:shd w:val="clear" w:color="auto" w:fill="auto"/>
                  <w:tcMar>
                    <w:top w:w="0" w:type="dxa"/>
                    <w:left w:w="0" w:type="dxa"/>
                    <w:bottom w:w="0" w:type="dxa"/>
                    <w:right w:w="0" w:type="dxa"/>
                  </w:tcMar>
                  <w:vAlign w:val="center"/>
                </w:tcPr>
                <w:p w14:paraId="30B7F455">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35.5</w:t>
                  </w:r>
                </w:p>
              </w:tc>
              <w:tc>
                <w:tcPr>
                  <w:tcW w:w="470" w:type="dxa"/>
                  <w:shd w:val="clear" w:color="auto" w:fill="auto"/>
                  <w:tcMar>
                    <w:top w:w="0" w:type="dxa"/>
                    <w:left w:w="0" w:type="dxa"/>
                    <w:bottom w:w="0" w:type="dxa"/>
                    <w:right w:w="0" w:type="dxa"/>
                  </w:tcMar>
                  <w:vAlign w:val="center"/>
                </w:tcPr>
                <w:p w14:paraId="44E388D9">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35.4</w:t>
                  </w:r>
                </w:p>
              </w:tc>
              <w:tc>
                <w:tcPr>
                  <w:tcW w:w="471" w:type="dxa"/>
                  <w:shd w:val="clear" w:color="auto" w:fill="auto"/>
                  <w:tcMar>
                    <w:top w:w="0" w:type="dxa"/>
                    <w:left w:w="0" w:type="dxa"/>
                    <w:bottom w:w="0" w:type="dxa"/>
                    <w:right w:w="0" w:type="dxa"/>
                  </w:tcMar>
                  <w:vAlign w:val="center"/>
                </w:tcPr>
                <w:p w14:paraId="48AF3223">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35.4</w:t>
                  </w:r>
                </w:p>
              </w:tc>
              <w:tc>
                <w:tcPr>
                  <w:tcW w:w="648" w:type="dxa"/>
                  <w:shd w:val="clear" w:color="auto" w:fill="auto"/>
                  <w:tcMar>
                    <w:top w:w="0" w:type="dxa"/>
                    <w:left w:w="0" w:type="dxa"/>
                    <w:bottom w:w="0" w:type="dxa"/>
                    <w:right w:w="0" w:type="dxa"/>
                  </w:tcMar>
                  <w:vAlign w:val="center"/>
                </w:tcPr>
                <w:p w14:paraId="43687523">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1</w:t>
                  </w:r>
                </w:p>
              </w:tc>
            </w:tr>
            <w:tr w14:paraId="0E142B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23" w:hRule="atLeast"/>
                <w:jc w:val="center"/>
              </w:trPr>
              <w:tc>
                <w:tcPr>
                  <w:tcW w:w="482" w:type="dxa"/>
                  <w:shd w:val="clear" w:color="auto" w:fill="auto"/>
                  <w:vAlign w:val="center"/>
                </w:tcPr>
                <w:p w14:paraId="6A8B961C">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14</w:t>
                  </w:r>
                </w:p>
              </w:tc>
              <w:tc>
                <w:tcPr>
                  <w:tcW w:w="485" w:type="dxa"/>
                  <w:vMerge w:val="continue"/>
                  <w:shd w:val="clear" w:color="auto" w:fill="auto"/>
                  <w:tcMar>
                    <w:top w:w="0" w:type="dxa"/>
                    <w:left w:w="0" w:type="dxa"/>
                    <w:bottom w:w="0" w:type="dxa"/>
                    <w:right w:w="0" w:type="dxa"/>
                  </w:tcMar>
                  <w:vAlign w:val="center"/>
                </w:tcPr>
                <w:p w14:paraId="21BD1798">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 w:val="21"/>
                      <w:szCs w:val="21"/>
                    </w:rPr>
                  </w:pPr>
                </w:p>
              </w:tc>
              <w:tc>
                <w:tcPr>
                  <w:tcW w:w="541" w:type="dxa"/>
                  <w:shd w:val="clear" w:color="auto" w:fill="auto"/>
                  <w:tcMar>
                    <w:top w:w="0" w:type="dxa"/>
                    <w:left w:w="0" w:type="dxa"/>
                    <w:bottom w:w="0" w:type="dxa"/>
                    <w:right w:w="0" w:type="dxa"/>
                  </w:tcMar>
                  <w:vAlign w:val="center"/>
                </w:tcPr>
                <w:p w14:paraId="485E118E">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视觉贴胶机</w:t>
                  </w:r>
                </w:p>
              </w:tc>
              <w:tc>
                <w:tcPr>
                  <w:tcW w:w="413" w:type="dxa"/>
                  <w:shd w:val="clear" w:color="auto" w:fill="auto"/>
                  <w:tcMar>
                    <w:top w:w="0" w:type="dxa"/>
                    <w:left w:w="0" w:type="dxa"/>
                    <w:bottom w:w="0" w:type="dxa"/>
                    <w:right w:w="0" w:type="dxa"/>
                  </w:tcMar>
                  <w:vAlign w:val="center"/>
                </w:tcPr>
                <w:p w14:paraId="30305024">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宋体" w:cs="Times New Roman"/>
                      <w:color w:val="auto"/>
                      <w:sz w:val="21"/>
                      <w:szCs w:val="21"/>
                      <w:highlight w:val="none"/>
                      <w:lang w:val="en-US" w:eastAsia="en-US" w:bidi="ar-SA"/>
                    </w:rPr>
                  </w:pPr>
                  <w:r>
                    <w:rPr>
                      <w:rFonts w:hint="default" w:ascii="Times New Roman" w:hAnsi="Times New Roman" w:eastAsia="宋体" w:cs="Times New Roman"/>
                      <w:color w:val="auto"/>
                      <w:kern w:val="0"/>
                      <w:sz w:val="21"/>
                      <w:szCs w:val="21"/>
                      <w:highlight w:val="none"/>
                      <w:lang w:bidi="ar"/>
                    </w:rPr>
                    <w:t>CCD-320</w:t>
                  </w:r>
                </w:p>
              </w:tc>
              <w:tc>
                <w:tcPr>
                  <w:tcW w:w="637" w:type="dxa"/>
                  <w:shd w:val="clear" w:color="auto" w:fill="auto"/>
                  <w:tcMar>
                    <w:top w:w="0" w:type="dxa"/>
                    <w:left w:w="0" w:type="dxa"/>
                    <w:bottom w:w="0" w:type="dxa"/>
                    <w:right w:w="0" w:type="dxa"/>
                  </w:tcMar>
                  <w:vAlign w:val="center"/>
                </w:tcPr>
                <w:p w14:paraId="5551B03C">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73/1</w:t>
                  </w:r>
                </w:p>
              </w:tc>
              <w:tc>
                <w:tcPr>
                  <w:tcW w:w="553" w:type="dxa"/>
                  <w:vMerge w:val="continue"/>
                  <w:shd w:val="clear" w:color="auto" w:fill="auto"/>
                  <w:tcMar>
                    <w:top w:w="0" w:type="dxa"/>
                    <w:left w:w="0" w:type="dxa"/>
                    <w:bottom w:w="0" w:type="dxa"/>
                    <w:right w:w="0" w:type="dxa"/>
                  </w:tcMar>
                  <w:vAlign w:val="center"/>
                </w:tcPr>
                <w:p w14:paraId="6796B989">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 w:val="21"/>
                      <w:szCs w:val="21"/>
                    </w:rPr>
                  </w:pPr>
                </w:p>
              </w:tc>
              <w:tc>
                <w:tcPr>
                  <w:tcW w:w="563" w:type="dxa"/>
                  <w:shd w:val="clear" w:color="auto" w:fill="auto"/>
                  <w:tcMar>
                    <w:top w:w="0" w:type="dxa"/>
                    <w:left w:w="0" w:type="dxa"/>
                    <w:bottom w:w="0" w:type="dxa"/>
                    <w:right w:w="0" w:type="dxa"/>
                  </w:tcMar>
                  <w:vAlign w:val="center"/>
                </w:tcPr>
                <w:p w14:paraId="2B1B1D7B">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-9.3</w:t>
                  </w:r>
                </w:p>
              </w:tc>
              <w:tc>
                <w:tcPr>
                  <w:tcW w:w="563" w:type="dxa"/>
                  <w:shd w:val="clear" w:color="auto" w:fill="auto"/>
                  <w:tcMar>
                    <w:top w:w="0" w:type="dxa"/>
                    <w:left w:w="0" w:type="dxa"/>
                    <w:bottom w:w="0" w:type="dxa"/>
                    <w:right w:w="0" w:type="dxa"/>
                  </w:tcMar>
                  <w:vAlign w:val="center"/>
                </w:tcPr>
                <w:p w14:paraId="1AA08334">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-16.9</w:t>
                  </w:r>
                </w:p>
              </w:tc>
              <w:tc>
                <w:tcPr>
                  <w:tcW w:w="564" w:type="dxa"/>
                  <w:shd w:val="clear" w:color="auto" w:fill="auto"/>
                  <w:tcMar>
                    <w:top w:w="0" w:type="dxa"/>
                    <w:left w:w="0" w:type="dxa"/>
                    <w:bottom w:w="0" w:type="dxa"/>
                    <w:right w:w="0" w:type="dxa"/>
                  </w:tcMar>
                  <w:vAlign w:val="center"/>
                </w:tcPr>
                <w:p w14:paraId="157CC840">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1.2</w:t>
                  </w:r>
                </w:p>
              </w:tc>
              <w:tc>
                <w:tcPr>
                  <w:tcW w:w="466" w:type="dxa"/>
                  <w:shd w:val="clear" w:color="auto" w:fill="auto"/>
                  <w:tcMar>
                    <w:top w:w="0" w:type="dxa"/>
                    <w:left w:w="0" w:type="dxa"/>
                    <w:bottom w:w="0" w:type="dxa"/>
                    <w:right w:w="0" w:type="dxa"/>
                  </w:tcMar>
                  <w:vAlign w:val="center"/>
                </w:tcPr>
                <w:p w14:paraId="128307B6">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12.8</w:t>
                  </w:r>
                </w:p>
              </w:tc>
              <w:tc>
                <w:tcPr>
                  <w:tcW w:w="466" w:type="dxa"/>
                  <w:shd w:val="clear" w:color="auto" w:fill="auto"/>
                  <w:tcMar>
                    <w:top w:w="0" w:type="dxa"/>
                    <w:left w:w="0" w:type="dxa"/>
                    <w:bottom w:w="0" w:type="dxa"/>
                    <w:right w:w="0" w:type="dxa"/>
                  </w:tcMar>
                  <w:vAlign w:val="center"/>
                </w:tcPr>
                <w:p w14:paraId="07B735F2">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14.2</w:t>
                  </w:r>
                </w:p>
              </w:tc>
              <w:tc>
                <w:tcPr>
                  <w:tcW w:w="466" w:type="dxa"/>
                  <w:shd w:val="clear" w:color="auto" w:fill="auto"/>
                  <w:tcMar>
                    <w:top w:w="0" w:type="dxa"/>
                    <w:left w:w="0" w:type="dxa"/>
                    <w:bottom w:w="0" w:type="dxa"/>
                    <w:right w:w="0" w:type="dxa"/>
                  </w:tcMar>
                  <w:vAlign w:val="center"/>
                </w:tcPr>
                <w:p w14:paraId="34712490">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70.9</w:t>
                  </w:r>
                </w:p>
              </w:tc>
              <w:tc>
                <w:tcPr>
                  <w:tcW w:w="467" w:type="dxa"/>
                  <w:shd w:val="clear" w:color="auto" w:fill="auto"/>
                  <w:tcMar>
                    <w:top w:w="0" w:type="dxa"/>
                    <w:left w:w="0" w:type="dxa"/>
                    <w:bottom w:w="0" w:type="dxa"/>
                    <w:right w:w="0" w:type="dxa"/>
                  </w:tcMar>
                  <w:vAlign w:val="center"/>
                </w:tcPr>
                <w:p w14:paraId="4DA36B4B">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42.7</w:t>
                  </w:r>
                </w:p>
              </w:tc>
              <w:tc>
                <w:tcPr>
                  <w:tcW w:w="460" w:type="dxa"/>
                  <w:shd w:val="clear" w:color="auto" w:fill="auto"/>
                  <w:tcMar>
                    <w:top w:w="0" w:type="dxa"/>
                    <w:left w:w="0" w:type="dxa"/>
                    <w:bottom w:w="0" w:type="dxa"/>
                    <w:right w:w="0" w:type="dxa"/>
                  </w:tcMar>
                  <w:vAlign w:val="center"/>
                </w:tcPr>
                <w:p w14:paraId="79471BB7">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57.5</w:t>
                  </w:r>
                </w:p>
              </w:tc>
              <w:tc>
                <w:tcPr>
                  <w:tcW w:w="460" w:type="dxa"/>
                  <w:shd w:val="clear" w:color="auto" w:fill="auto"/>
                  <w:tcMar>
                    <w:top w:w="0" w:type="dxa"/>
                    <w:left w:w="0" w:type="dxa"/>
                    <w:bottom w:w="0" w:type="dxa"/>
                    <w:right w:w="0" w:type="dxa"/>
                  </w:tcMar>
                  <w:vAlign w:val="center"/>
                </w:tcPr>
                <w:p w14:paraId="7DEE9C87">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57.5</w:t>
                  </w:r>
                </w:p>
              </w:tc>
              <w:tc>
                <w:tcPr>
                  <w:tcW w:w="460" w:type="dxa"/>
                  <w:shd w:val="clear" w:color="auto" w:fill="auto"/>
                  <w:tcMar>
                    <w:top w:w="0" w:type="dxa"/>
                    <w:left w:w="0" w:type="dxa"/>
                    <w:bottom w:w="0" w:type="dxa"/>
                    <w:right w:w="0" w:type="dxa"/>
                  </w:tcMar>
                  <w:vAlign w:val="center"/>
                </w:tcPr>
                <w:p w14:paraId="6E99A03E">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57.4</w:t>
                  </w:r>
                </w:p>
              </w:tc>
              <w:tc>
                <w:tcPr>
                  <w:tcW w:w="462" w:type="dxa"/>
                  <w:shd w:val="clear" w:color="auto" w:fill="auto"/>
                  <w:tcMar>
                    <w:top w:w="0" w:type="dxa"/>
                    <w:left w:w="0" w:type="dxa"/>
                    <w:bottom w:w="0" w:type="dxa"/>
                    <w:right w:w="0" w:type="dxa"/>
                  </w:tcMar>
                  <w:vAlign w:val="center"/>
                </w:tcPr>
                <w:p w14:paraId="406D43D5">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57.4</w:t>
                  </w:r>
                </w:p>
              </w:tc>
              <w:tc>
                <w:tcPr>
                  <w:tcW w:w="445" w:type="dxa"/>
                  <w:vMerge w:val="continue"/>
                  <w:shd w:val="clear" w:color="auto" w:fill="auto"/>
                  <w:tcMar>
                    <w:top w:w="0" w:type="dxa"/>
                    <w:left w:w="0" w:type="dxa"/>
                    <w:bottom w:w="0" w:type="dxa"/>
                    <w:right w:w="0" w:type="dxa"/>
                  </w:tcMar>
                  <w:vAlign w:val="center"/>
                </w:tcPr>
                <w:p w14:paraId="68478474">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 w:val="21"/>
                      <w:szCs w:val="21"/>
                    </w:rPr>
                  </w:pPr>
                </w:p>
              </w:tc>
              <w:tc>
                <w:tcPr>
                  <w:tcW w:w="444" w:type="dxa"/>
                  <w:shd w:val="clear" w:color="auto" w:fill="auto"/>
                  <w:tcMar>
                    <w:top w:w="0" w:type="dxa"/>
                    <w:left w:w="0" w:type="dxa"/>
                    <w:bottom w:w="0" w:type="dxa"/>
                    <w:right w:w="0" w:type="dxa"/>
                  </w:tcMar>
                  <w:vAlign w:val="center"/>
                </w:tcPr>
                <w:p w14:paraId="167F2FD4">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20.0</w:t>
                  </w:r>
                </w:p>
              </w:tc>
              <w:tc>
                <w:tcPr>
                  <w:tcW w:w="444" w:type="dxa"/>
                  <w:shd w:val="clear" w:color="auto" w:fill="auto"/>
                  <w:tcMar>
                    <w:top w:w="0" w:type="dxa"/>
                    <w:left w:w="0" w:type="dxa"/>
                    <w:bottom w:w="0" w:type="dxa"/>
                    <w:right w:w="0" w:type="dxa"/>
                  </w:tcMar>
                  <w:vAlign w:val="center"/>
                </w:tcPr>
                <w:p w14:paraId="463B1250">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20.0</w:t>
                  </w:r>
                </w:p>
              </w:tc>
              <w:tc>
                <w:tcPr>
                  <w:tcW w:w="444" w:type="dxa"/>
                  <w:shd w:val="clear" w:color="auto" w:fill="auto"/>
                  <w:tcMar>
                    <w:top w:w="0" w:type="dxa"/>
                    <w:left w:w="0" w:type="dxa"/>
                    <w:bottom w:w="0" w:type="dxa"/>
                    <w:right w:w="0" w:type="dxa"/>
                  </w:tcMar>
                  <w:vAlign w:val="center"/>
                </w:tcPr>
                <w:p w14:paraId="788D4789">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20.0</w:t>
                  </w:r>
                </w:p>
              </w:tc>
              <w:tc>
                <w:tcPr>
                  <w:tcW w:w="444" w:type="dxa"/>
                  <w:shd w:val="clear" w:color="auto" w:fill="auto"/>
                  <w:tcMar>
                    <w:top w:w="0" w:type="dxa"/>
                    <w:left w:w="0" w:type="dxa"/>
                    <w:bottom w:w="0" w:type="dxa"/>
                    <w:right w:w="0" w:type="dxa"/>
                  </w:tcMar>
                  <w:vAlign w:val="center"/>
                </w:tcPr>
                <w:p w14:paraId="5B0B6533">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20.0</w:t>
                  </w:r>
                </w:p>
              </w:tc>
              <w:tc>
                <w:tcPr>
                  <w:tcW w:w="470" w:type="dxa"/>
                  <w:shd w:val="clear" w:color="auto" w:fill="auto"/>
                  <w:tcMar>
                    <w:top w:w="0" w:type="dxa"/>
                    <w:left w:w="0" w:type="dxa"/>
                    <w:bottom w:w="0" w:type="dxa"/>
                    <w:right w:w="0" w:type="dxa"/>
                  </w:tcMar>
                  <w:vAlign w:val="center"/>
                </w:tcPr>
                <w:p w14:paraId="269281E6">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37.5</w:t>
                  </w:r>
                </w:p>
              </w:tc>
              <w:tc>
                <w:tcPr>
                  <w:tcW w:w="470" w:type="dxa"/>
                  <w:shd w:val="clear" w:color="auto" w:fill="auto"/>
                  <w:tcMar>
                    <w:top w:w="0" w:type="dxa"/>
                    <w:left w:w="0" w:type="dxa"/>
                    <w:bottom w:w="0" w:type="dxa"/>
                    <w:right w:w="0" w:type="dxa"/>
                  </w:tcMar>
                  <w:vAlign w:val="center"/>
                </w:tcPr>
                <w:p w14:paraId="5BF13689">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37.5</w:t>
                  </w:r>
                </w:p>
              </w:tc>
              <w:tc>
                <w:tcPr>
                  <w:tcW w:w="470" w:type="dxa"/>
                  <w:shd w:val="clear" w:color="auto" w:fill="auto"/>
                  <w:tcMar>
                    <w:top w:w="0" w:type="dxa"/>
                    <w:left w:w="0" w:type="dxa"/>
                    <w:bottom w:w="0" w:type="dxa"/>
                    <w:right w:w="0" w:type="dxa"/>
                  </w:tcMar>
                  <w:vAlign w:val="center"/>
                </w:tcPr>
                <w:p w14:paraId="511BE0C7">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37.4</w:t>
                  </w:r>
                </w:p>
              </w:tc>
              <w:tc>
                <w:tcPr>
                  <w:tcW w:w="471" w:type="dxa"/>
                  <w:shd w:val="clear" w:color="auto" w:fill="auto"/>
                  <w:tcMar>
                    <w:top w:w="0" w:type="dxa"/>
                    <w:left w:w="0" w:type="dxa"/>
                    <w:bottom w:w="0" w:type="dxa"/>
                    <w:right w:w="0" w:type="dxa"/>
                  </w:tcMar>
                  <w:vAlign w:val="center"/>
                </w:tcPr>
                <w:p w14:paraId="787A0ECC">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37.4</w:t>
                  </w:r>
                </w:p>
              </w:tc>
              <w:tc>
                <w:tcPr>
                  <w:tcW w:w="648" w:type="dxa"/>
                  <w:shd w:val="clear" w:color="auto" w:fill="auto"/>
                  <w:tcMar>
                    <w:top w:w="0" w:type="dxa"/>
                    <w:left w:w="0" w:type="dxa"/>
                    <w:bottom w:w="0" w:type="dxa"/>
                    <w:right w:w="0" w:type="dxa"/>
                  </w:tcMar>
                  <w:vAlign w:val="center"/>
                </w:tcPr>
                <w:p w14:paraId="55834233">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1</w:t>
                  </w:r>
                </w:p>
              </w:tc>
            </w:tr>
            <w:tr w14:paraId="5CEFB0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23" w:hRule="atLeast"/>
                <w:jc w:val="center"/>
              </w:trPr>
              <w:tc>
                <w:tcPr>
                  <w:tcW w:w="482" w:type="dxa"/>
                  <w:shd w:val="clear" w:color="auto" w:fill="auto"/>
                  <w:vAlign w:val="center"/>
                </w:tcPr>
                <w:p w14:paraId="09C13A86">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15</w:t>
                  </w:r>
                </w:p>
              </w:tc>
              <w:tc>
                <w:tcPr>
                  <w:tcW w:w="485" w:type="dxa"/>
                  <w:vMerge w:val="continue"/>
                  <w:shd w:val="clear" w:color="auto" w:fill="auto"/>
                  <w:tcMar>
                    <w:top w:w="0" w:type="dxa"/>
                    <w:left w:w="0" w:type="dxa"/>
                    <w:bottom w:w="0" w:type="dxa"/>
                    <w:right w:w="0" w:type="dxa"/>
                  </w:tcMar>
                  <w:vAlign w:val="center"/>
                </w:tcPr>
                <w:p w14:paraId="70A8ED5D">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 w:val="21"/>
                      <w:szCs w:val="21"/>
                    </w:rPr>
                  </w:pPr>
                </w:p>
              </w:tc>
              <w:tc>
                <w:tcPr>
                  <w:tcW w:w="541" w:type="dxa"/>
                  <w:shd w:val="clear" w:color="auto" w:fill="auto"/>
                  <w:tcMar>
                    <w:top w:w="0" w:type="dxa"/>
                    <w:left w:w="0" w:type="dxa"/>
                    <w:bottom w:w="0" w:type="dxa"/>
                    <w:right w:w="0" w:type="dxa"/>
                  </w:tcMar>
                  <w:vAlign w:val="center"/>
                </w:tcPr>
                <w:p w14:paraId="4478BE89">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成品检测机</w:t>
                  </w:r>
                  <w:r>
                    <w:rPr>
                      <w:rFonts w:hint="eastAsia" w:ascii="Times New Roman" w:hAnsi="Times New Roman" w:eastAsia="宋体" w:cs="Times New Roman"/>
                      <w:color w:val="auto"/>
                      <w:sz w:val="21"/>
                      <w:szCs w:val="21"/>
                      <w:lang w:eastAsia="zh-CN"/>
                    </w:rPr>
                    <w:t>，</w:t>
                  </w:r>
                  <w:r>
                    <w:rPr>
                      <w:rFonts w:hint="default" w:ascii="Times New Roman" w:hAnsi="Times New Roman" w:eastAsia="宋体" w:cs="Times New Roman"/>
                      <w:color w:val="auto"/>
                      <w:sz w:val="21"/>
                      <w:szCs w:val="21"/>
                    </w:rPr>
                    <w:t>2台（按点声源组预测）</w:t>
                  </w:r>
                </w:p>
              </w:tc>
              <w:tc>
                <w:tcPr>
                  <w:tcW w:w="413" w:type="dxa"/>
                  <w:shd w:val="clear" w:color="auto" w:fill="auto"/>
                  <w:tcMar>
                    <w:top w:w="0" w:type="dxa"/>
                    <w:left w:w="0" w:type="dxa"/>
                    <w:bottom w:w="0" w:type="dxa"/>
                    <w:right w:w="0" w:type="dxa"/>
                  </w:tcMar>
                  <w:vAlign w:val="center"/>
                </w:tcPr>
                <w:p w14:paraId="70695B71">
                  <w:pPr>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color w:val="auto"/>
                      <w:sz w:val="21"/>
                      <w:szCs w:val="21"/>
                      <w:highlight w:val="none"/>
                      <w:lang w:val="en-US" w:eastAsia="en-US" w:bidi="ar-SA"/>
                    </w:rPr>
                  </w:pPr>
                  <w:r>
                    <w:rPr>
                      <w:rFonts w:hint="default" w:ascii="Times New Roman" w:hAnsi="Times New Roman" w:eastAsia="宋体" w:cs="Times New Roman"/>
                      <w:color w:val="auto"/>
                      <w:sz w:val="21"/>
                      <w:szCs w:val="21"/>
                      <w:highlight w:val="none"/>
                    </w:rPr>
                    <w:t>/</w:t>
                  </w:r>
                </w:p>
              </w:tc>
              <w:tc>
                <w:tcPr>
                  <w:tcW w:w="637" w:type="dxa"/>
                  <w:shd w:val="clear" w:color="auto" w:fill="auto"/>
                  <w:tcMar>
                    <w:top w:w="0" w:type="dxa"/>
                    <w:left w:w="0" w:type="dxa"/>
                    <w:bottom w:w="0" w:type="dxa"/>
                    <w:right w:w="0" w:type="dxa"/>
                  </w:tcMar>
                  <w:vAlign w:val="center"/>
                </w:tcPr>
                <w:p w14:paraId="3CFE5043">
                  <w:pPr>
                    <w:keepNext w:val="0"/>
                    <w:keepLines w:val="0"/>
                    <w:suppressLineNumbers w:val="0"/>
                    <w:spacing w:before="0" w:beforeAutospacing="0" w:after="0" w:afterAutospacing="0"/>
                    <w:ind w:left="0" w:right="0"/>
                    <w:jc w:val="center"/>
                    <w:rPr>
                      <w:rFonts w:hint="eastAsia" w:ascii="Times New Roman" w:hAnsi="Times New Roman" w:eastAsia="宋体" w:cs="Times New Roman"/>
                      <w:color w:val="auto"/>
                      <w:sz w:val="21"/>
                      <w:szCs w:val="21"/>
                      <w:lang w:eastAsia="zh-CN"/>
                    </w:rPr>
                  </w:pPr>
                  <w:r>
                    <w:rPr>
                      <w:rFonts w:hint="default" w:ascii="Times New Roman" w:hAnsi="Times New Roman" w:eastAsia="宋体" w:cs="Times New Roman"/>
                      <w:color w:val="auto"/>
                      <w:sz w:val="21"/>
                      <w:szCs w:val="21"/>
                    </w:rPr>
                    <w:t>65/1（等效后：68.0/1</w:t>
                  </w:r>
                  <w:r>
                    <w:rPr>
                      <w:rFonts w:hint="eastAsia" w:ascii="Times New Roman" w:hAnsi="Times New Roman" w:eastAsia="宋体" w:cs="Times New Roman"/>
                      <w:color w:val="auto"/>
                      <w:sz w:val="21"/>
                      <w:szCs w:val="21"/>
                      <w:lang w:eastAsia="zh-CN"/>
                    </w:rPr>
                    <w:t>）</w:t>
                  </w:r>
                </w:p>
              </w:tc>
              <w:tc>
                <w:tcPr>
                  <w:tcW w:w="553" w:type="dxa"/>
                  <w:vMerge w:val="continue"/>
                  <w:shd w:val="clear" w:color="auto" w:fill="auto"/>
                  <w:tcMar>
                    <w:top w:w="0" w:type="dxa"/>
                    <w:left w:w="0" w:type="dxa"/>
                    <w:bottom w:w="0" w:type="dxa"/>
                    <w:right w:w="0" w:type="dxa"/>
                  </w:tcMar>
                  <w:vAlign w:val="center"/>
                </w:tcPr>
                <w:p w14:paraId="526F11A8">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 w:val="21"/>
                      <w:szCs w:val="21"/>
                    </w:rPr>
                  </w:pPr>
                </w:p>
              </w:tc>
              <w:tc>
                <w:tcPr>
                  <w:tcW w:w="563" w:type="dxa"/>
                  <w:shd w:val="clear" w:color="auto" w:fill="auto"/>
                  <w:tcMar>
                    <w:top w:w="0" w:type="dxa"/>
                    <w:left w:w="0" w:type="dxa"/>
                    <w:bottom w:w="0" w:type="dxa"/>
                    <w:right w:w="0" w:type="dxa"/>
                  </w:tcMar>
                  <w:vAlign w:val="center"/>
                </w:tcPr>
                <w:p w14:paraId="48CA38AF">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-8.1</w:t>
                  </w:r>
                </w:p>
              </w:tc>
              <w:tc>
                <w:tcPr>
                  <w:tcW w:w="563" w:type="dxa"/>
                  <w:shd w:val="clear" w:color="auto" w:fill="auto"/>
                  <w:tcMar>
                    <w:top w:w="0" w:type="dxa"/>
                    <w:left w:w="0" w:type="dxa"/>
                    <w:bottom w:w="0" w:type="dxa"/>
                    <w:right w:w="0" w:type="dxa"/>
                  </w:tcMar>
                  <w:vAlign w:val="center"/>
                </w:tcPr>
                <w:p w14:paraId="4B3F493F">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-21.5</w:t>
                  </w:r>
                </w:p>
              </w:tc>
              <w:tc>
                <w:tcPr>
                  <w:tcW w:w="564" w:type="dxa"/>
                  <w:shd w:val="clear" w:color="auto" w:fill="auto"/>
                  <w:tcMar>
                    <w:top w:w="0" w:type="dxa"/>
                    <w:left w:w="0" w:type="dxa"/>
                    <w:bottom w:w="0" w:type="dxa"/>
                    <w:right w:w="0" w:type="dxa"/>
                  </w:tcMar>
                  <w:vAlign w:val="center"/>
                </w:tcPr>
                <w:p w14:paraId="40447EE5">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1.2</w:t>
                  </w:r>
                </w:p>
              </w:tc>
              <w:tc>
                <w:tcPr>
                  <w:tcW w:w="466" w:type="dxa"/>
                  <w:shd w:val="clear" w:color="auto" w:fill="auto"/>
                  <w:tcMar>
                    <w:top w:w="0" w:type="dxa"/>
                    <w:left w:w="0" w:type="dxa"/>
                    <w:bottom w:w="0" w:type="dxa"/>
                    <w:right w:w="0" w:type="dxa"/>
                  </w:tcMar>
                  <w:vAlign w:val="center"/>
                </w:tcPr>
                <w:p w14:paraId="7A691430">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12.6</w:t>
                  </w:r>
                </w:p>
              </w:tc>
              <w:tc>
                <w:tcPr>
                  <w:tcW w:w="466" w:type="dxa"/>
                  <w:shd w:val="clear" w:color="auto" w:fill="auto"/>
                  <w:tcMar>
                    <w:top w:w="0" w:type="dxa"/>
                    <w:left w:w="0" w:type="dxa"/>
                    <w:bottom w:w="0" w:type="dxa"/>
                    <w:right w:w="0" w:type="dxa"/>
                  </w:tcMar>
                  <w:vAlign w:val="center"/>
                </w:tcPr>
                <w:p w14:paraId="0DD2E4B9">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9.5</w:t>
                  </w:r>
                </w:p>
              </w:tc>
              <w:tc>
                <w:tcPr>
                  <w:tcW w:w="466" w:type="dxa"/>
                  <w:shd w:val="clear" w:color="auto" w:fill="auto"/>
                  <w:tcMar>
                    <w:top w:w="0" w:type="dxa"/>
                    <w:left w:w="0" w:type="dxa"/>
                    <w:bottom w:w="0" w:type="dxa"/>
                    <w:right w:w="0" w:type="dxa"/>
                  </w:tcMar>
                  <w:vAlign w:val="center"/>
                </w:tcPr>
                <w:p w14:paraId="31DD5DC3">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71.2</w:t>
                  </w:r>
                </w:p>
              </w:tc>
              <w:tc>
                <w:tcPr>
                  <w:tcW w:w="467" w:type="dxa"/>
                  <w:shd w:val="clear" w:color="auto" w:fill="auto"/>
                  <w:tcMar>
                    <w:top w:w="0" w:type="dxa"/>
                    <w:left w:w="0" w:type="dxa"/>
                    <w:bottom w:w="0" w:type="dxa"/>
                    <w:right w:w="0" w:type="dxa"/>
                  </w:tcMar>
                  <w:vAlign w:val="center"/>
                </w:tcPr>
                <w:p w14:paraId="24ED7BB2">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47.4</w:t>
                  </w:r>
                </w:p>
              </w:tc>
              <w:tc>
                <w:tcPr>
                  <w:tcW w:w="460" w:type="dxa"/>
                  <w:shd w:val="clear" w:color="auto" w:fill="auto"/>
                  <w:tcMar>
                    <w:top w:w="0" w:type="dxa"/>
                    <w:left w:w="0" w:type="dxa"/>
                    <w:bottom w:w="0" w:type="dxa"/>
                    <w:right w:w="0" w:type="dxa"/>
                  </w:tcMar>
                  <w:vAlign w:val="center"/>
                </w:tcPr>
                <w:p w14:paraId="43D094D7">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47.5</w:t>
                  </w:r>
                </w:p>
              </w:tc>
              <w:tc>
                <w:tcPr>
                  <w:tcW w:w="460" w:type="dxa"/>
                  <w:shd w:val="clear" w:color="auto" w:fill="auto"/>
                  <w:tcMar>
                    <w:top w:w="0" w:type="dxa"/>
                    <w:left w:w="0" w:type="dxa"/>
                    <w:bottom w:w="0" w:type="dxa"/>
                    <w:right w:w="0" w:type="dxa"/>
                  </w:tcMar>
                  <w:vAlign w:val="center"/>
                </w:tcPr>
                <w:p w14:paraId="3614AFC2">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47.6</w:t>
                  </w:r>
                </w:p>
              </w:tc>
              <w:tc>
                <w:tcPr>
                  <w:tcW w:w="460" w:type="dxa"/>
                  <w:shd w:val="clear" w:color="auto" w:fill="auto"/>
                  <w:tcMar>
                    <w:top w:w="0" w:type="dxa"/>
                    <w:left w:w="0" w:type="dxa"/>
                    <w:bottom w:w="0" w:type="dxa"/>
                    <w:right w:w="0" w:type="dxa"/>
                  </w:tcMar>
                  <w:vAlign w:val="center"/>
                </w:tcPr>
                <w:p w14:paraId="31A9CD22">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47.4</w:t>
                  </w:r>
                </w:p>
              </w:tc>
              <w:tc>
                <w:tcPr>
                  <w:tcW w:w="462" w:type="dxa"/>
                  <w:shd w:val="clear" w:color="auto" w:fill="auto"/>
                  <w:tcMar>
                    <w:top w:w="0" w:type="dxa"/>
                    <w:left w:w="0" w:type="dxa"/>
                    <w:bottom w:w="0" w:type="dxa"/>
                    <w:right w:w="0" w:type="dxa"/>
                  </w:tcMar>
                  <w:vAlign w:val="center"/>
                </w:tcPr>
                <w:p w14:paraId="005987DA">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47.4</w:t>
                  </w:r>
                </w:p>
              </w:tc>
              <w:tc>
                <w:tcPr>
                  <w:tcW w:w="445" w:type="dxa"/>
                  <w:vMerge w:val="continue"/>
                  <w:shd w:val="clear" w:color="auto" w:fill="auto"/>
                  <w:tcMar>
                    <w:top w:w="0" w:type="dxa"/>
                    <w:left w:w="0" w:type="dxa"/>
                    <w:bottom w:w="0" w:type="dxa"/>
                    <w:right w:w="0" w:type="dxa"/>
                  </w:tcMar>
                  <w:vAlign w:val="center"/>
                </w:tcPr>
                <w:p w14:paraId="307A7B26">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 w:val="21"/>
                      <w:szCs w:val="21"/>
                    </w:rPr>
                  </w:pPr>
                </w:p>
              </w:tc>
              <w:tc>
                <w:tcPr>
                  <w:tcW w:w="444" w:type="dxa"/>
                  <w:shd w:val="clear" w:color="auto" w:fill="auto"/>
                  <w:tcMar>
                    <w:top w:w="0" w:type="dxa"/>
                    <w:left w:w="0" w:type="dxa"/>
                    <w:bottom w:w="0" w:type="dxa"/>
                    <w:right w:w="0" w:type="dxa"/>
                  </w:tcMar>
                  <w:vAlign w:val="center"/>
                </w:tcPr>
                <w:p w14:paraId="58A21FEF">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20.0</w:t>
                  </w:r>
                </w:p>
              </w:tc>
              <w:tc>
                <w:tcPr>
                  <w:tcW w:w="444" w:type="dxa"/>
                  <w:shd w:val="clear" w:color="auto" w:fill="auto"/>
                  <w:tcMar>
                    <w:top w:w="0" w:type="dxa"/>
                    <w:left w:w="0" w:type="dxa"/>
                    <w:bottom w:w="0" w:type="dxa"/>
                    <w:right w:w="0" w:type="dxa"/>
                  </w:tcMar>
                  <w:vAlign w:val="center"/>
                </w:tcPr>
                <w:p w14:paraId="5AF111BA">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20.0</w:t>
                  </w:r>
                </w:p>
              </w:tc>
              <w:tc>
                <w:tcPr>
                  <w:tcW w:w="444" w:type="dxa"/>
                  <w:shd w:val="clear" w:color="auto" w:fill="auto"/>
                  <w:tcMar>
                    <w:top w:w="0" w:type="dxa"/>
                    <w:left w:w="0" w:type="dxa"/>
                    <w:bottom w:w="0" w:type="dxa"/>
                    <w:right w:w="0" w:type="dxa"/>
                  </w:tcMar>
                  <w:vAlign w:val="center"/>
                </w:tcPr>
                <w:p w14:paraId="51970308">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20.0</w:t>
                  </w:r>
                </w:p>
              </w:tc>
              <w:tc>
                <w:tcPr>
                  <w:tcW w:w="444" w:type="dxa"/>
                  <w:shd w:val="clear" w:color="auto" w:fill="auto"/>
                  <w:tcMar>
                    <w:top w:w="0" w:type="dxa"/>
                    <w:left w:w="0" w:type="dxa"/>
                    <w:bottom w:w="0" w:type="dxa"/>
                    <w:right w:w="0" w:type="dxa"/>
                  </w:tcMar>
                  <w:vAlign w:val="center"/>
                </w:tcPr>
                <w:p w14:paraId="075BC108">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20.0</w:t>
                  </w:r>
                </w:p>
              </w:tc>
              <w:tc>
                <w:tcPr>
                  <w:tcW w:w="470" w:type="dxa"/>
                  <w:shd w:val="clear" w:color="auto" w:fill="auto"/>
                  <w:tcMar>
                    <w:top w:w="0" w:type="dxa"/>
                    <w:left w:w="0" w:type="dxa"/>
                    <w:bottom w:w="0" w:type="dxa"/>
                    <w:right w:w="0" w:type="dxa"/>
                  </w:tcMar>
                  <w:vAlign w:val="center"/>
                </w:tcPr>
                <w:p w14:paraId="42A193E3">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27.5</w:t>
                  </w:r>
                </w:p>
              </w:tc>
              <w:tc>
                <w:tcPr>
                  <w:tcW w:w="470" w:type="dxa"/>
                  <w:shd w:val="clear" w:color="auto" w:fill="auto"/>
                  <w:tcMar>
                    <w:top w:w="0" w:type="dxa"/>
                    <w:left w:w="0" w:type="dxa"/>
                    <w:bottom w:w="0" w:type="dxa"/>
                    <w:right w:w="0" w:type="dxa"/>
                  </w:tcMar>
                  <w:vAlign w:val="center"/>
                </w:tcPr>
                <w:p w14:paraId="4B484922">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27.6</w:t>
                  </w:r>
                </w:p>
              </w:tc>
              <w:tc>
                <w:tcPr>
                  <w:tcW w:w="470" w:type="dxa"/>
                  <w:shd w:val="clear" w:color="auto" w:fill="auto"/>
                  <w:tcMar>
                    <w:top w:w="0" w:type="dxa"/>
                    <w:left w:w="0" w:type="dxa"/>
                    <w:bottom w:w="0" w:type="dxa"/>
                    <w:right w:w="0" w:type="dxa"/>
                  </w:tcMar>
                  <w:vAlign w:val="center"/>
                </w:tcPr>
                <w:p w14:paraId="68A5426C">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27.4</w:t>
                  </w:r>
                </w:p>
              </w:tc>
              <w:tc>
                <w:tcPr>
                  <w:tcW w:w="471" w:type="dxa"/>
                  <w:shd w:val="clear" w:color="auto" w:fill="auto"/>
                  <w:tcMar>
                    <w:top w:w="0" w:type="dxa"/>
                    <w:left w:w="0" w:type="dxa"/>
                    <w:bottom w:w="0" w:type="dxa"/>
                    <w:right w:w="0" w:type="dxa"/>
                  </w:tcMar>
                  <w:vAlign w:val="center"/>
                </w:tcPr>
                <w:p w14:paraId="2632F12F">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27.4</w:t>
                  </w:r>
                </w:p>
              </w:tc>
              <w:tc>
                <w:tcPr>
                  <w:tcW w:w="648" w:type="dxa"/>
                  <w:shd w:val="clear" w:color="auto" w:fill="auto"/>
                  <w:tcMar>
                    <w:top w:w="0" w:type="dxa"/>
                    <w:left w:w="0" w:type="dxa"/>
                    <w:bottom w:w="0" w:type="dxa"/>
                    <w:right w:w="0" w:type="dxa"/>
                  </w:tcMar>
                  <w:vAlign w:val="center"/>
                </w:tcPr>
                <w:p w14:paraId="5F3E57C0">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1</w:t>
                  </w:r>
                </w:p>
              </w:tc>
            </w:tr>
            <w:tr w14:paraId="6EF5B3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482" w:type="dxa"/>
                  <w:shd w:val="clear" w:color="auto" w:fill="auto"/>
                  <w:vAlign w:val="center"/>
                </w:tcPr>
                <w:p w14:paraId="2FC0ADF4">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16</w:t>
                  </w:r>
                </w:p>
              </w:tc>
              <w:tc>
                <w:tcPr>
                  <w:tcW w:w="485" w:type="dxa"/>
                  <w:vMerge w:val="continue"/>
                  <w:shd w:val="clear" w:color="auto" w:fill="auto"/>
                  <w:tcMar>
                    <w:top w:w="0" w:type="dxa"/>
                    <w:left w:w="0" w:type="dxa"/>
                    <w:bottom w:w="0" w:type="dxa"/>
                    <w:right w:w="0" w:type="dxa"/>
                  </w:tcMar>
                  <w:vAlign w:val="center"/>
                </w:tcPr>
                <w:p w14:paraId="27F9BC4B">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 w:val="21"/>
                      <w:szCs w:val="21"/>
                    </w:rPr>
                  </w:pPr>
                </w:p>
              </w:tc>
              <w:tc>
                <w:tcPr>
                  <w:tcW w:w="541" w:type="dxa"/>
                  <w:shd w:val="clear" w:color="auto" w:fill="auto"/>
                  <w:tcMar>
                    <w:top w:w="0" w:type="dxa"/>
                    <w:left w:w="0" w:type="dxa"/>
                    <w:bottom w:w="0" w:type="dxa"/>
                    <w:right w:w="0" w:type="dxa"/>
                  </w:tcMar>
                  <w:vAlign w:val="center"/>
                </w:tcPr>
                <w:p w14:paraId="130C77C5">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纳米板包裹自动化设备</w:t>
                  </w:r>
                  <w:r>
                    <w:rPr>
                      <w:rFonts w:hint="eastAsia" w:ascii="Times New Roman" w:hAnsi="Times New Roman" w:eastAsia="宋体" w:cs="Times New Roman"/>
                      <w:color w:val="auto"/>
                      <w:sz w:val="21"/>
                      <w:szCs w:val="21"/>
                      <w:lang w:eastAsia="zh-CN"/>
                    </w:rPr>
                    <w:t>，</w:t>
                  </w:r>
                  <w:r>
                    <w:rPr>
                      <w:rFonts w:hint="default" w:ascii="Times New Roman" w:hAnsi="Times New Roman" w:eastAsia="宋体" w:cs="Times New Roman"/>
                      <w:color w:val="auto"/>
                      <w:sz w:val="21"/>
                      <w:szCs w:val="21"/>
                    </w:rPr>
                    <w:t>2台（按点声源组预测）</w:t>
                  </w:r>
                </w:p>
              </w:tc>
              <w:tc>
                <w:tcPr>
                  <w:tcW w:w="413" w:type="dxa"/>
                  <w:shd w:val="clear" w:color="auto" w:fill="auto"/>
                  <w:tcMar>
                    <w:top w:w="0" w:type="dxa"/>
                    <w:left w:w="0" w:type="dxa"/>
                    <w:bottom w:w="0" w:type="dxa"/>
                    <w:right w:w="0" w:type="dxa"/>
                  </w:tcMar>
                  <w:vAlign w:val="center"/>
                </w:tcPr>
                <w:p w14:paraId="23A20175">
                  <w:pPr>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color w:val="auto"/>
                      <w:sz w:val="21"/>
                      <w:szCs w:val="21"/>
                      <w:highlight w:val="none"/>
                      <w:lang w:val="en-US" w:eastAsia="en-US" w:bidi="ar-SA"/>
                    </w:rPr>
                  </w:pPr>
                  <w:r>
                    <w:rPr>
                      <w:rFonts w:hint="default" w:ascii="Times New Roman" w:hAnsi="Times New Roman" w:eastAsia="宋体" w:cs="Times New Roman"/>
                      <w:color w:val="auto"/>
                      <w:sz w:val="21"/>
                      <w:szCs w:val="21"/>
                      <w:highlight w:val="none"/>
                    </w:rPr>
                    <w:t>/</w:t>
                  </w:r>
                </w:p>
              </w:tc>
              <w:tc>
                <w:tcPr>
                  <w:tcW w:w="637" w:type="dxa"/>
                  <w:shd w:val="clear" w:color="auto" w:fill="auto"/>
                  <w:tcMar>
                    <w:top w:w="0" w:type="dxa"/>
                    <w:left w:w="0" w:type="dxa"/>
                    <w:bottom w:w="0" w:type="dxa"/>
                    <w:right w:w="0" w:type="dxa"/>
                  </w:tcMar>
                  <w:vAlign w:val="center"/>
                </w:tcPr>
                <w:p w14:paraId="179D14CC">
                  <w:pPr>
                    <w:keepNext w:val="0"/>
                    <w:keepLines w:val="0"/>
                    <w:suppressLineNumbers w:val="0"/>
                    <w:spacing w:before="0" w:beforeAutospacing="0" w:after="0" w:afterAutospacing="0"/>
                    <w:ind w:left="0" w:right="0"/>
                    <w:jc w:val="center"/>
                    <w:rPr>
                      <w:rFonts w:hint="eastAsia" w:ascii="Times New Roman" w:hAnsi="Times New Roman" w:eastAsia="宋体" w:cs="Times New Roman"/>
                      <w:color w:val="auto"/>
                      <w:sz w:val="21"/>
                      <w:szCs w:val="21"/>
                      <w:lang w:eastAsia="zh-CN"/>
                    </w:rPr>
                  </w:pPr>
                  <w:r>
                    <w:rPr>
                      <w:rFonts w:hint="default" w:ascii="Times New Roman" w:hAnsi="Times New Roman" w:eastAsia="宋体" w:cs="Times New Roman"/>
                      <w:color w:val="auto"/>
                      <w:sz w:val="21"/>
                      <w:szCs w:val="21"/>
                    </w:rPr>
                    <w:t>72/1（等效后：75.0/1</w:t>
                  </w:r>
                  <w:r>
                    <w:rPr>
                      <w:rFonts w:hint="eastAsia" w:ascii="Times New Roman" w:hAnsi="Times New Roman" w:eastAsia="宋体" w:cs="Times New Roman"/>
                      <w:color w:val="auto"/>
                      <w:sz w:val="21"/>
                      <w:szCs w:val="21"/>
                      <w:lang w:eastAsia="zh-CN"/>
                    </w:rPr>
                    <w:t>）</w:t>
                  </w:r>
                </w:p>
              </w:tc>
              <w:tc>
                <w:tcPr>
                  <w:tcW w:w="553" w:type="dxa"/>
                  <w:vMerge w:val="continue"/>
                  <w:shd w:val="clear" w:color="auto" w:fill="auto"/>
                  <w:tcMar>
                    <w:top w:w="0" w:type="dxa"/>
                    <w:left w:w="0" w:type="dxa"/>
                    <w:bottom w:w="0" w:type="dxa"/>
                    <w:right w:w="0" w:type="dxa"/>
                  </w:tcMar>
                  <w:vAlign w:val="center"/>
                </w:tcPr>
                <w:p w14:paraId="60779A0A">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 w:val="21"/>
                      <w:szCs w:val="21"/>
                    </w:rPr>
                  </w:pPr>
                </w:p>
              </w:tc>
              <w:tc>
                <w:tcPr>
                  <w:tcW w:w="563" w:type="dxa"/>
                  <w:shd w:val="clear" w:color="auto" w:fill="auto"/>
                  <w:tcMar>
                    <w:top w:w="0" w:type="dxa"/>
                    <w:left w:w="0" w:type="dxa"/>
                    <w:bottom w:w="0" w:type="dxa"/>
                    <w:right w:w="0" w:type="dxa"/>
                  </w:tcMar>
                  <w:vAlign w:val="center"/>
                </w:tcPr>
                <w:p w14:paraId="2630F68E">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-8.2</w:t>
                  </w:r>
                </w:p>
              </w:tc>
              <w:tc>
                <w:tcPr>
                  <w:tcW w:w="563" w:type="dxa"/>
                  <w:shd w:val="clear" w:color="auto" w:fill="auto"/>
                  <w:tcMar>
                    <w:top w:w="0" w:type="dxa"/>
                    <w:left w:w="0" w:type="dxa"/>
                    <w:bottom w:w="0" w:type="dxa"/>
                    <w:right w:w="0" w:type="dxa"/>
                  </w:tcMar>
                  <w:vAlign w:val="center"/>
                </w:tcPr>
                <w:p w14:paraId="6EDAEAAE">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-22.6</w:t>
                  </w:r>
                </w:p>
              </w:tc>
              <w:tc>
                <w:tcPr>
                  <w:tcW w:w="564" w:type="dxa"/>
                  <w:shd w:val="clear" w:color="auto" w:fill="auto"/>
                  <w:tcMar>
                    <w:top w:w="0" w:type="dxa"/>
                    <w:left w:w="0" w:type="dxa"/>
                    <w:bottom w:w="0" w:type="dxa"/>
                    <w:right w:w="0" w:type="dxa"/>
                  </w:tcMar>
                  <w:vAlign w:val="center"/>
                </w:tcPr>
                <w:p w14:paraId="5AED1364">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1.2</w:t>
                  </w:r>
                </w:p>
              </w:tc>
              <w:tc>
                <w:tcPr>
                  <w:tcW w:w="466" w:type="dxa"/>
                  <w:shd w:val="clear" w:color="auto" w:fill="auto"/>
                  <w:tcMar>
                    <w:top w:w="0" w:type="dxa"/>
                    <w:left w:w="0" w:type="dxa"/>
                    <w:bottom w:w="0" w:type="dxa"/>
                    <w:right w:w="0" w:type="dxa"/>
                  </w:tcMar>
                  <w:vAlign w:val="center"/>
                </w:tcPr>
                <w:p w14:paraId="427C5249">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12.9</w:t>
                  </w:r>
                </w:p>
              </w:tc>
              <w:tc>
                <w:tcPr>
                  <w:tcW w:w="466" w:type="dxa"/>
                  <w:shd w:val="clear" w:color="auto" w:fill="auto"/>
                  <w:tcMar>
                    <w:top w:w="0" w:type="dxa"/>
                    <w:left w:w="0" w:type="dxa"/>
                    <w:bottom w:w="0" w:type="dxa"/>
                    <w:right w:w="0" w:type="dxa"/>
                  </w:tcMar>
                  <w:vAlign w:val="center"/>
                </w:tcPr>
                <w:p w14:paraId="20DB291F">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8.4</w:t>
                  </w:r>
                </w:p>
              </w:tc>
              <w:tc>
                <w:tcPr>
                  <w:tcW w:w="466" w:type="dxa"/>
                  <w:shd w:val="clear" w:color="auto" w:fill="auto"/>
                  <w:tcMar>
                    <w:top w:w="0" w:type="dxa"/>
                    <w:left w:w="0" w:type="dxa"/>
                    <w:bottom w:w="0" w:type="dxa"/>
                    <w:right w:w="0" w:type="dxa"/>
                  </w:tcMar>
                  <w:vAlign w:val="center"/>
                </w:tcPr>
                <w:p w14:paraId="344ADA6D">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70.8</w:t>
                  </w:r>
                </w:p>
              </w:tc>
              <w:tc>
                <w:tcPr>
                  <w:tcW w:w="467" w:type="dxa"/>
                  <w:shd w:val="clear" w:color="auto" w:fill="auto"/>
                  <w:tcMar>
                    <w:top w:w="0" w:type="dxa"/>
                    <w:left w:w="0" w:type="dxa"/>
                    <w:bottom w:w="0" w:type="dxa"/>
                    <w:right w:w="0" w:type="dxa"/>
                  </w:tcMar>
                  <w:vAlign w:val="center"/>
                </w:tcPr>
                <w:p w14:paraId="5C077C0C">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48.5</w:t>
                  </w:r>
                </w:p>
              </w:tc>
              <w:tc>
                <w:tcPr>
                  <w:tcW w:w="460" w:type="dxa"/>
                  <w:shd w:val="clear" w:color="auto" w:fill="auto"/>
                  <w:tcMar>
                    <w:top w:w="0" w:type="dxa"/>
                    <w:left w:w="0" w:type="dxa"/>
                    <w:bottom w:w="0" w:type="dxa"/>
                    <w:right w:w="0" w:type="dxa"/>
                  </w:tcMar>
                  <w:vAlign w:val="center"/>
                </w:tcPr>
                <w:p w14:paraId="6544D7CD">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60.5</w:t>
                  </w:r>
                </w:p>
              </w:tc>
              <w:tc>
                <w:tcPr>
                  <w:tcW w:w="460" w:type="dxa"/>
                  <w:shd w:val="clear" w:color="auto" w:fill="auto"/>
                  <w:tcMar>
                    <w:top w:w="0" w:type="dxa"/>
                    <w:left w:w="0" w:type="dxa"/>
                    <w:bottom w:w="0" w:type="dxa"/>
                    <w:right w:w="0" w:type="dxa"/>
                  </w:tcMar>
                  <w:vAlign w:val="center"/>
                </w:tcPr>
                <w:p w14:paraId="4D7B4281">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60.6</w:t>
                  </w:r>
                </w:p>
              </w:tc>
              <w:tc>
                <w:tcPr>
                  <w:tcW w:w="460" w:type="dxa"/>
                  <w:shd w:val="clear" w:color="auto" w:fill="auto"/>
                  <w:tcMar>
                    <w:top w:w="0" w:type="dxa"/>
                    <w:left w:w="0" w:type="dxa"/>
                    <w:bottom w:w="0" w:type="dxa"/>
                    <w:right w:w="0" w:type="dxa"/>
                  </w:tcMar>
                  <w:vAlign w:val="center"/>
                </w:tcPr>
                <w:p w14:paraId="790B42AF">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60.4</w:t>
                  </w:r>
                </w:p>
              </w:tc>
              <w:tc>
                <w:tcPr>
                  <w:tcW w:w="462" w:type="dxa"/>
                  <w:shd w:val="clear" w:color="auto" w:fill="auto"/>
                  <w:tcMar>
                    <w:top w:w="0" w:type="dxa"/>
                    <w:left w:w="0" w:type="dxa"/>
                    <w:bottom w:w="0" w:type="dxa"/>
                    <w:right w:w="0" w:type="dxa"/>
                  </w:tcMar>
                  <w:vAlign w:val="center"/>
                </w:tcPr>
                <w:p w14:paraId="62E3629D">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60.4</w:t>
                  </w:r>
                </w:p>
              </w:tc>
              <w:tc>
                <w:tcPr>
                  <w:tcW w:w="445" w:type="dxa"/>
                  <w:vMerge w:val="continue"/>
                  <w:shd w:val="clear" w:color="auto" w:fill="auto"/>
                  <w:tcMar>
                    <w:top w:w="0" w:type="dxa"/>
                    <w:left w:w="0" w:type="dxa"/>
                    <w:bottom w:w="0" w:type="dxa"/>
                    <w:right w:w="0" w:type="dxa"/>
                  </w:tcMar>
                  <w:vAlign w:val="center"/>
                </w:tcPr>
                <w:p w14:paraId="683E4C64">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 w:val="21"/>
                      <w:szCs w:val="21"/>
                    </w:rPr>
                  </w:pPr>
                </w:p>
              </w:tc>
              <w:tc>
                <w:tcPr>
                  <w:tcW w:w="444" w:type="dxa"/>
                  <w:shd w:val="clear" w:color="auto" w:fill="auto"/>
                  <w:tcMar>
                    <w:top w:w="0" w:type="dxa"/>
                    <w:left w:w="0" w:type="dxa"/>
                    <w:bottom w:w="0" w:type="dxa"/>
                    <w:right w:w="0" w:type="dxa"/>
                  </w:tcMar>
                  <w:vAlign w:val="center"/>
                </w:tcPr>
                <w:p w14:paraId="096D8895">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20.0</w:t>
                  </w:r>
                </w:p>
              </w:tc>
              <w:tc>
                <w:tcPr>
                  <w:tcW w:w="444" w:type="dxa"/>
                  <w:shd w:val="clear" w:color="auto" w:fill="auto"/>
                  <w:tcMar>
                    <w:top w:w="0" w:type="dxa"/>
                    <w:left w:w="0" w:type="dxa"/>
                    <w:bottom w:w="0" w:type="dxa"/>
                    <w:right w:w="0" w:type="dxa"/>
                  </w:tcMar>
                  <w:vAlign w:val="center"/>
                </w:tcPr>
                <w:p w14:paraId="6925C716">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20.0</w:t>
                  </w:r>
                </w:p>
              </w:tc>
              <w:tc>
                <w:tcPr>
                  <w:tcW w:w="444" w:type="dxa"/>
                  <w:shd w:val="clear" w:color="auto" w:fill="auto"/>
                  <w:tcMar>
                    <w:top w:w="0" w:type="dxa"/>
                    <w:left w:w="0" w:type="dxa"/>
                    <w:bottom w:w="0" w:type="dxa"/>
                    <w:right w:w="0" w:type="dxa"/>
                  </w:tcMar>
                  <w:vAlign w:val="center"/>
                </w:tcPr>
                <w:p w14:paraId="5CE69E04">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20.0</w:t>
                  </w:r>
                </w:p>
              </w:tc>
              <w:tc>
                <w:tcPr>
                  <w:tcW w:w="444" w:type="dxa"/>
                  <w:shd w:val="clear" w:color="auto" w:fill="auto"/>
                  <w:tcMar>
                    <w:top w:w="0" w:type="dxa"/>
                    <w:left w:w="0" w:type="dxa"/>
                    <w:bottom w:w="0" w:type="dxa"/>
                    <w:right w:w="0" w:type="dxa"/>
                  </w:tcMar>
                  <w:vAlign w:val="center"/>
                </w:tcPr>
                <w:p w14:paraId="09400FB4">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20.0</w:t>
                  </w:r>
                </w:p>
              </w:tc>
              <w:tc>
                <w:tcPr>
                  <w:tcW w:w="470" w:type="dxa"/>
                  <w:shd w:val="clear" w:color="auto" w:fill="auto"/>
                  <w:tcMar>
                    <w:top w:w="0" w:type="dxa"/>
                    <w:left w:w="0" w:type="dxa"/>
                    <w:bottom w:w="0" w:type="dxa"/>
                    <w:right w:w="0" w:type="dxa"/>
                  </w:tcMar>
                  <w:vAlign w:val="center"/>
                </w:tcPr>
                <w:p w14:paraId="3A20B7B2">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40.5</w:t>
                  </w:r>
                </w:p>
              </w:tc>
              <w:tc>
                <w:tcPr>
                  <w:tcW w:w="470" w:type="dxa"/>
                  <w:shd w:val="clear" w:color="auto" w:fill="auto"/>
                  <w:tcMar>
                    <w:top w:w="0" w:type="dxa"/>
                    <w:left w:w="0" w:type="dxa"/>
                    <w:bottom w:w="0" w:type="dxa"/>
                    <w:right w:w="0" w:type="dxa"/>
                  </w:tcMar>
                  <w:vAlign w:val="center"/>
                </w:tcPr>
                <w:p w14:paraId="6B4B6364">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40.6</w:t>
                  </w:r>
                </w:p>
              </w:tc>
              <w:tc>
                <w:tcPr>
                  <w:tcW w:w="470" w:type="dxa"/>
                  <w:shd w:val="clear" w:color="auto" w:fill="auto"/>
                  <w:tcMar>
                    <w:top w:w="0" w:type="dxa"/>
                    <w:left w:w="0" w:type="dxa"/>
                    <w:bottom w:w="0" w:type="dxa"/>
                    <w:right w:w="0" w:type="dxa"/>
                  </w:tcMar>
                  <w:vAlign w:val="center"/>
                </w:tcPr>
                <w:p w14:paraId="61E7A151">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40.4</w:t>
                  </w:r>
                </w:p>
              </w:tc>
              <w:tc>
                <w:tcPr>
                  <w:tcW w:w="471" w:type="dxa"/>
                  <w:shd w:val="clear" w:color="auto" w:fill="auto"/>
                  <w:tcMar>
                    <w:top w:w="0" w:type="dxa"/>
                    <w:left w:w="0" w:type="dxa"/>
                    <w:bottom w:w="0" w:type="dxa"/>
                    <w:right w:w="0" w:type="dxa"/>
                  </w:tcMar>
                  <w:vAlign w:val="center"/>
                </w:tcPr>
                <w:p w14:paraId="6CB5DBAB">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40.4</w:t>
                  </w:r>
                </w:p>
              </w:tc>
              <w:tc>
                <w:tcPr>
                  <w:tcW w:w="648" w:type="dxa"/>
                  <w:shd w:val="clear" w:color="auto" w:fill="auto"/>
                  <w:tcMar>
                    <w:top w:w="0" w:type="dxa"/>
                    <w:left w:w="0" w:type="dxa"/>
                    <w:bottom w:w="0" w:type="dxa"/>
                    <w:right w:w="0" w:type="dxa"/>
                  </w:tcMar>
                  <w:vAlign w:val="center"/>
                </w:tcPr>
                <w:p w14:paraId="1C195BC5">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1</w:t>
                  </w:r>
                </w:p>
              </w:tc>
            </w:tr>
            <w:tr w14:paraId="5923C2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482" w:type="dxa"/>
                  <w:shd w:val="clear" w:color="auto" w:fill="auto"/>
                  <w:vAlign w:val="center"/>
                </w:tcPr>
                <w:p w14:paraId="6EC35EC2">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17</w:t>
                  </w:r>
                </w:p>
              </w:tc>
              <w:tc>
                <w:tcPr>
                  <w:tcW w:w="485" w:type="dxa"/>
                  <w:vMerge w:val="continue"/>
                  <w:shd w:val="clear" w:color="auto" w:fill="auto"/>
                  <w:tcMar>
                    <w:top w:w="0" w:type="dxa"/>
                    <w:left w:w="0" w:type="dxa"/>
                    <w:bottom w:w="0" w:type="dxa"/>
                    <w:right w:w="0" w:type="dxa"/>
                  </w:tcMar>
                  <w:vAlign w:val="center"/>
                </w:tcPr>
                <w:p w14:paraId="578B4E15">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 w:val="21"/>
                      <w:szCs w:val="21"/>
                    </w:rPr>
                  </w:pPr>
                </w:p>
              </w:tc>
              <w:tc>
                <w:tcPr>
                  <w:tcW w:w="541" w:type="dxa"/>
                  <w:shd w:val="clear" w:color="auto" w:fill="auto"/>
                  <w:tcMar>
                    <w:top w:w="0" w:type="dxa"/>
                    <w:left w:w="0" w:type="dxa"/>
                    <w:bottom w:w="0" w:type="dxa"/>
                    <w:right w:w="0" w:type="dxa"/>
                  </w:tcMar>
                  <w:vAlign w:val="center"/>
                </w:tcPr>
                <w:p w14:paraId="4551B931">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桁架机械手</w:t>
                  </w:r>
                  <w:r>
                    <w:rPr>
                      <w:rFonts w:hint="eastAsia" w:ascii="Times New Roman" w:hAnsi="Times New Roman" w:eastAsia="宋体" w:cs="Times New Roman"/>
                      <w:color w:val="auto"/>
                      <w:sz w:val="21"/>
                      <w:szCs w:val="21"/>
                      <w:lang w:eastAsia="zh-CN"/>
                    </w:rPr>
                    <w:t>，</w:t>
                  </w:r>
                  <w:r>
                    <w:rPr>
                      <w:rFonts w:hint="default" w:ascii="Times New Roman" w:hAnsi="Times New Roman" w:eastAsia="宋体" w:cs="Times New Roman"/>
                      <w:color w:val="auto"/>
                      <w:sz w:val="21"/>
                      <w:szCs w:val="21"/>
                    </w:rPr>
                    <w:t>2台（按点声源组预测）</w:t>
                  </w:r>
                </w:p>
              </w:tc>
              <w:tc>
                <w:tcPr>
                  <w:tcW w:w="413" w:type="dxa"/>
                  <w:shd w:val="clear" w:color="auto" w:fill="auto"/>
                  <w:tcMar>
                    <w:top w:w="0" w:type="dxa"/>
                    <w:left w:w="0" w:type="dxa"/>
                    <w:bottom w:w="0" w:type="dxa"/>
                    <w:right w:w="0" w:type="dxa"/>
                  </w:tcMar>
                  <w:vAlign w:val="center"/>
                </w:tcPr>
                <w:p w14:paraId="6E162CA3">
                  <w:pPr>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color w:val="auto"/>
                      <w:sz w:val="21"/>
                      <w:szCs w:val="21"/>
                      <w:highlight w:val="none"/>
                      <w:lang w:val="en-US" w:eastAsia="en-US" w:bidi="ar-SA"/>
                    </w:rPr>
                  </w:pPr>
                  <w:r>
                    <w:rPr>
                      <w:rFonts w:hint="default" w:ascii="Times New Roman" w:hAnsi="Times New Roman" w:eastAsia="宋体" w:cs="Times New Roman"/>
                      <w:color w:val="auto"/>
                      <w:sz w:val="21"/>
                      <w:szCs w:val="21"/>
                      <w:highlight w:val="none"/>
                    </w:rPr>
                    <w:t>/</w:t>
                  </w:r>
                </w:p>
              </w:tc>
              <w:tc>
                <w:tcPr>
                  <w:tcW w:w="637" w:type="dxa"/>
                  <w:shd w:val="clear" w:color="auto" w:fill="auto"/>
                  <w:tcMar>
                    <w:top w:w="0" w:type="dxa"/>
                    <w:left w:w="0" w:type="dxa"/>
                    <w:bottom w:w="0" w:type="dxa"/>
                    <w:right w:w="0" w:type="dxa"/>
                  </w:tcMar>
                  <w:vAlign w:val="center"/>
                </w:tcPr>
                <w:p w14:paraId="76A1FB7F">
                  <w:pPr>
                    <w:keepNext w:val="0"/>
                    <w:keepLines w:val="0"/>
                    <w:suppressLineNumbers w:val="0"/>
                    <w:spacing w:before="0" w:beforeAutospacing="0" w:after="0" w:afterAutospacing="0"/>
                    <w:ind w:left="0" w:right="0"/>
                    <w:jc w:val="center"/>
                    <w:rPr>
                      <w:rFonts w:hint="eastAsia" w:ascii="Times New Roman" w:hAnsi="Times New Roman" w:eastAsia="宋体" w:cs="Times New Roman"/>
                      <w:color w:val="auto"/>
                      <w:sz w:val="21"/>
                      <w:szCs w:val="21"/>
                      <w:lang w:eastAsia="zh-CN"/>
                    </w:rPr>
                  </w:pPr>
                  <w:r>
                    <w:rPr>
                      <w:rFonts w:hint="default" w:ascii="Times New Roman" w:hAnsi="Times New Roman" w:eastAsia="宋体" w:cs="Times New Roman"/>
                      <w:color w:val="auto"/>
                      <w:sz w:val="21"/>
                      <w:szCs w:val="21"/>
                    </w:rPr>
                    <w:t>73/1（等效后：79.0/1</w:t>
                  </w:r>
                  <w:r>
                    <w:rPr>
                      <w:rFonts w:hint="eastAsia" w:ascii="Times New Roman" w:hAnsi="Times New Roman" w:eastAsia="宋体" w:cs="Times New Roman"/>
                      <w:color w:val="auto"/>
                      <w:sz w:val="21"/>
                      <w:szCs w:val="21"/>
                      <w:lang w:eastAsia="zh-CN"/>
                    </w:rPr>
                    <w:t>）</w:t>
                  </w:r>
                </w:p>
              </w:tc>
              <w:tc>
                <w:tcPr>
                  <w:tcW w:w="553" w:type="dxa"/>
                  <w:vMerge w:val="continue"/>
                  <w:shd w:val="clear" w:color="auto" w:fill="auto"/>
                  <w:tcMar>
                    <w:top w:w="0" w:type="dxa"/>
                    <w:left w:w="0" w:type="dxa"/>
                    <w:bottom w:w="0" w:type="dxa"/>
                    <w:right w:w="0" w:type="dxa"/>
                  </w:tcMar>
                  <w:vAlign w:val="center"/>
                </w:tcPr>
                <w:p w14:paraId="10B7A156">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 w:val="21"/>
                      <w:szCs w:val="21"/>
                    </w:rPr>
                  </w:pPr>
                </w:p>
              </w:tc>
              <w:tc>
                <w:tcPr>
                  <w:tcW w:w="563" w:type="dxa"/>
                  <w:shd w:val="clear" w:color="auto" w:fill="auto"/>
                  <w:tcMar>
                    <w:top w:w="0" w:type="dxa"/>
                    <w:left w:w="0" w:type="dxa"/>
                    <w:bottom w:w="0" w:type="dxa"/>
                    <w:right w:w="0" w:type="dxa"/>
                  </w:tcMar>
                  <w:vAlign w:val="center"/>
                </w:tcPr>
                <w:p w14:paraId="6BB50B0E">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-36.4</w:t>
                  </w:r>
                </w:p>
              </w:tc>
              <w:tc>
                <w:tcPr>
                  <w:tcW w:w="563" w:type="dxa"/>
                  <w:shd w:val="clear" w:color="auto" w:fill="auto"/>
                  <w:tcMar>
                    <w:top w:w="0" w:type="dxa"/>
                    <w:left w:w="0" w:type="dxa"/>
                    <w:bottom w:w="0" w:type="dxa"/>
                    <w:right w:w="0" w:type="dxa"/>
                  </w:tcMar>
                  <w:vAlign w:val="center"/>
                </w:tcPr>
                <w:p w14:paraId="0EE423C7">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-23.9</w:t>
                  </w:r>
                </w:p>
              </w:tc>
              <w:tc>
                <w:tcPr>
                  <w:tcW w:w="564" w:type="dxa"/>
                  <w:shd w:val="clear" w:color="auto" w:fill="auto"/>
                  <w:tcMar>
                    <w:top w:w="0" w:type="dxa"/>
                    <w:left w:w="0" w:type="dxa"/>
                    <w:bottom w:w="0" w:type="dxa"/>
                    <w:right w:w="0" w:type="dxa"/>
                  </w:tcMar>
                  <w:vAlign w:val="center"/>
                </w:tcPr>
                <w:p w14:paraId="288CD070">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1.2</w:t>
                  </w:r>
                </w:p>
              </w:tc>
              <w:tc>
                <w:tcPr>
                  <w:tcW w:w="466" w:type="dxa"/>
                  <w:shd w:val="clear" w:color="auto" w:fill="auto"/>
                  <w:tcMar>
                    <w:top w:w="0" w:type="dxa"/>
                    <w:left w:w="0" w:type="dxa"/>
                    <w:bottom w:w="0" w:type="dxa"/>
                    <w:right w:w="0" w:type="dxa"/>
                  </w:tcMar>
                  <w:vAlign w:val="center"/>
                </w:tcPr>
                <w:p w14:paraId="52FF2D48">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40.8</w:t>
                  </w:r>
                </w:p>
              </w:tc>
              <w:tc>
                <w:tcPr>
                  <w:tcW w:w="466" w:type="dxa"/>
                  <w:shd w:val="clear" w:color="auto" w:fill="auto"/>
                  <w:tcMar>
                    <w:top w:w="0" w:type="dxa"/>
                    <w:left w:w="0" w:type="dxa"/>
                    <w:bottom w:w="0" w:type="dxa"/>
                    <w:right w:w="0" w:type="dxa"/>
                  </w:tcMar>
                  <w:vAlign w:val="center"/>
                </w:tcPr>
                <w:p w14:paraId="1763B15C">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13.3</w:t>
                  </w:r>
                </w:p>
              </w:tc>
              <w:tc>
                <w:tcPr>
                  <w:tcW w:w="466" w:type="dxa"/>
                  <w:shd w:val="clear" w:color="auto" w:fill="auto"/>
                  <w:tcMar>
                    <w:top w:w="0" w:type="dxa"/>
                    <w:left w:w="0" w:type="dxa"/>
                    <w:bottom w:w="0" w:type="dxa"/>
                    <w:right w:w="0" w:type="dxa"/>
                  </w:tcMar>
                  <w:vAlign w:val="center"/>
                </w:tcPr>
                <w:p w14:paraId="4EB4F0F2">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43.0</w:t>
                  </w:r>
                </w:p>
              </w:tc>
              <w:tc>
                <w:tcPr>
                  <w:tcW w:w="467" w:type="dxa"/>
                  <w:shd w:val="clear" w:color="auto" w:fill="auto"/>
                  <w:tcMar>
                    <w:top w:w="0" w:type="dxa"/>
                    <w:left w:w="0" w:type="dxa"/>
                    <w:bottom w:w="0" w:type="dxa"/>
                    <w:right w:w="0" w:type="dxa"/>
                  </w:tcMar>
                  <w:vAlign w:val="center"/>
                </w:tcPr>
                <w:p w14:paraId="532C30CC">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43.8</w:t>
                  </w:r>
                </w:p>
              </w:tc>
              <w:tc>
                <w:tcPr>
                  <w:tcW w:w="460" w:type="dxa"/>
                  <w:shd w:val="clear" w:color="auto" w:fill="auto"/>
                  <w:tcMar>
                    <w:top w:w="0" w:type="dxa"/>
                    <w:left w:w="0" w:type="dxa"/>
                    <w:bottom w:w="0" w:type="dxa"/>
                    <w:right w:w="0" w:type="dxa"/>
                  </w:tcMar>
                  <w:vAlign w:val="center"/>
                </w:tcPr>
                <w:p w14:paraId="1C0B807B">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63.5</w:t>
                  </w:r>
                </w:p>
              </w:tc>
              <w:tc>
                <w:tcPr>
                  <w:tcW w:w="460" w:type="dxa"/>
                  <w:shd w:val="clear" w:color="auto" w:fill="auto"/>
                  <w:tcMar>
                    <w:top w:w="0" w:type="dxa"/>
                    <w:left w:w="0" w:type="dxa"/>
                    <w:bottom w:w="0" w:type="dxa"/>
                    <w:right w:w="0" w:type="dxa"/>
                  </w:tcMar>
                  <w:vAlign w:val="center"/>
                </w:tcPr>
                <w:p w14:paraId="70DE2C9B">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63.5</w:t>
                  </w:r>
                </w:p>
              </w:tc>
              <w:tc>
                <w:tcPr>
                  <w:tcW w:w="460" w:type="dxa"/>
                  <w:shd w:val="clear" w:color="auto" w:fill="auto"/>
                  <w:tcMar>
                    <w:top w:w="0" w:type="dxa"/>
                    <w:left w:w="0" w:type="dxa"/>
                    <w:bottom w:w="0" w:type="dxa"/>
                    <w:right w:w="0" w:type="dxa"/>
                  </w:tcMar>
                  <w:vAlign w:val="center"/>
                </w:tcPr>
                <w:p w14:paraId="7326AD28">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63.4</w:t>
                  </w:r>
                </w:p>
              </w:tc>
              <w:tc>
                <w:tcPr>
                  <w:tcW w:w="462" w:type="dxa"/>
                  <w:shd w:val="clear" w:color="auto" w:fill="auto"/>
                  <w:tcMar>
                    <w:top w:w="0" w:type="dxa"/>
                    <w:left w:w="0" w:type="dxa"/>
                    <w:bottom w:w="0" w:type="dxa"/>
                    <w:right w:w="0" w:type="dxa"/>
                  </w:tcMar>
                  <w:vAlign w:val="center"/>
                </w:tcPr>
                <w:p w14:paraId="58771A6A">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63.4</w:t>
                  </w:r>
                </w:p>
              </w:tc>
              <w:tc>
                <w:tcPr>
                  <w:tcW w:w="445" w:type="dxa"/>
                  <w:vMerge w:val="continue"/>
                  <w:shd w:val="clear" w:color="auto" w:fill="auto"/>
                  <w:tcMar>
                    <w:top w:w="0" w:type="dxa"/>
                    <w:left w:w="0" w:type="dxa"/>
                    <w:bottom w:w="0" w:type="dxa"/>
                    <w:right w:w="0" w:type="dxa"/>
                  </w:tcMar>
                  <w:vAlign w:val="center"/>
                </w:tcPr>
                <w:p w14:paraId="6072FDFC">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 w:val="21"/>
                      <w:szCs w:val="21"/>
                    </w:rPr>
                  </w:pPr>
                </w:p>
              </w:tc>
              <w:tc>
                <w:tcPr>
                  <w:tcW w:w="444" w:type="dxa"/>
                  <w:shd w:val="clear" w:color="auto" w:fill="auto"/>
                  <w:tcMar>
                    <w:top w:w="0" w:type="dxa"/>
                    <w:left w:w="0" w:type="dxa"/>
                    <w:bottom w:w="0" w:type="dxa"/>
                    <w:right w:w="0" w:type="dxa"/>
                  </w:tcMar>
                  <w:vAlign w:val="center"/>
                </w:tcPr>
                <w:p w14:paraId="1C7F47A7">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20.0</w:t>
                  </w:r>
                </w:p>
              </w:tc>
              <w:tc>
                <w:tcPr>
                  <w:tcW w:w="444" w:type="dxa"/>
                  <w:shd w:val="clear" w:color="auto" w:fill="auto"/>
                  <w:tcMar>
                    <w:top w:w="0" w:type="dxa"/>
                    <w:left w:w="0" w:type="dxa"/>
                    <w:bottom w:w="0" w:type="dxa"/>
                    <w:right w:w="0" w:type="dxa"/>
                  </w:tcMar>
                  <w:vAlign w:val="center"/>
                </w:tcPr>
                <w:p w14:paraId="564EC543">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20.0</w:t>
                  </w:r>
                </w:p>
              </w:tc>
              <w:tc>
                <w:tcPr>
                  <w:tcW w:w="444" w:type="dxa"/>
                  <w:shd w:val="clear" w:color="auto" w:fill="auto"/>
                  <w:tcMar>
                    <w:top w:w="0" w:type="dxa"/>
                    <w:left w:w="0" w:type="dxa"/>
                    <w:bottom w:w="0" w:type="dxa"/>
                    <w:right w:w="0" w:type="dxa"/>
                  </w:tcMar>
                  <w:vAlign w:val="center"/>
                </w:tcPr>
                <w:p w14:paraId="3A536333">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20.0</w:t>
                  </w:r>
                </w:p>
              </w:tc>
              <w:tc>
                <w:tcPr>
                  <w:tcW w:w="444" w:type="dxa"/>
                  <w:shd w:val="clear" w:color="auto" w:fill="auto"/>
                  <w:tcMar>
                    <w:top w:w="0" w:type="dxa"/>
                    <w:left w:w="0" w:type="dxa"/>
                    <w:bottom w:w="0" w:type="dxa"/>
                    <w:right w:w="0" w:type="dxa"/>
                  </w:tcMar>
                  <w:vAlign w:val="center"/>
                </w:tcPr>
                <w:p w14:paraId="151D96B3">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20.0</w:t>
                  </w:r>
                </w:p>
              </w:tc>
              <w:tc>
                <w:tcPr>
                  <w:tcW w:w="470" w:type="dxa"/>
                  <w:shd w:val="clear" w:color="auto" w:fill="auto"/>
                  <w:tcMar>
                    <w:top w:w="0" w:type="dxa"/>
                    <w:left w:w="0" w:type="dxa"/>
                    <w:bottom w:w="0" w:type="dxa"/>
                    <w:right w:w="0" w:type="dxa"/>
                  </w:tcMar>
                  <w:vAlign w:val="center"/>
                </w:tcPr>
                <w:p w14:paraId="296DC1AC">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43.5</w:t>
                  </w:r>
                </w:p>
              </w:tc>
              <w:tc>
                <w:tcPr>
                  <w:tcW w:w="470" w:type="dxa"/>
                  <w:shd w:val="clear" w:color="auto" w:fill="auto"/>
                  <w:tcMar>
                    <w:top w:w="0" w:type="dxa"/>
                    <w:left w:w="0" w:type="dxa"/>
                    <w:bottom w:w="0" w:type="dxa"/>
                    <w:right w:w="0" w:type="dxa"/>
                  </w:tcMar>
                  <w:vAlign w:val="center"/>
                </w:tcPr>
                <w:p w14:paraId="62FEF4BA">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43.5</w:t>
                  </w:r>
                </w:p>
              </w:tc>
              <w:tc>
                <w:tcPr>
                  <w:tcW w:w="470" w:type="dxa"/>
                  <w:shd w:val="clear" w:color="auto" w:fill="auto"/>
                  <w:tcMar>
                    <w:top w:w="0" w:type="dxa"/>
                    <w:left w:w="0" w:type="dxa"/>
                    <w:bottom w:w="0" w:type="dxa"/>
                    <w:right w:w="0" w:type="dxa"/>
                  </w:tcMar>
                  <w:vAlign w:val="center"/>
                </w:tcPr>
                <w:p w14:paraId="01E02325">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43.4</w:t>
                  </w:r>
                </w:p>
              </w:tc>
              <w:tc>
                <w:tcPr>
                  <w:tcW w:w="471" w:type="dxa"/>
                  <w:shd w:val="clear" w:color="auto" w:fill="auto"/>
                  <w:tcMar>
                    <w:top w:w="0" w:type="dxa"/>
                    <w:left w:w="0" w:type="dxa"/>
                    <w:bottom w:w="0" w:type="dxa"/>
                    <w:right w:w="0" w:type="dxa"/>
                  </w:tcMar>
                  <w:vAlign w:val="center"/>
                </w:tcPr>
                <w:p w14:paraId="355288B7">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43.4</w:t>
                  </w:r>
                </w:p>
              </w:tc>
              <w:tc>
                <w:tcPr>
                  <w:tcW w:w="648" w:type="dxa"/>
                  <w:shd w:val="clear" w:color="auto" w:fill="auto"/>
                  <w:tcMar>
                    <w:top w:w="0" w:type="dxa"/>
                    <w:left w:w="0" w:type="dxa"/>
                    <w:bottom w:w="0" w:type="dxa"/>
                    <w:right w:w="0" w:type="dxa"/>
                  </w:tcMar>
                  <w:vAlign w:val="center"/>
                </w:tcPr>
                <w:p w14:paraId="7572CAA5">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1</w:t>
                  </w:r>
                </w:p>
              </w:tc>
            </w:tr>
            <w:tr w14:paraId="7335B6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23" w:hRule="atLeast"/>
                <w:jc w:val="center"/>
              </w:trPr>
              <w:tc>
                <w:tcPr>
                  <w:tcW w:w="482" w:type="dxa"/>
                  <w:shd w:val="clear" w:color="auto" w:fill="auto"/>
                  <w:vAlign w:val="center"/>
                </w:tcPr>
                <w:p w14:paraId="223794DB">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18</w:t>
                  </w:r>
                </w:p>
              </w:tc>
              <w:tc>
                <w:tcPr>
                  <w:tcW w:w="485" w:type="dxa"/>
                  <w:vMerge w:val="restart"/>
                  <w:shd w:val="clear" w:color="auto" w:fill="auto"/>
                  <w:tcMar>
                    <w:top w:w="0" w:type="dxa"/>
                    <w:left w:w="0" w:type="dxa"/>
                    <w:bottom w:w="0" w:type="dxa"/>
                    <w:right w:w="0" w:type="dxa"/>
                  </w:tcMar>
                  <w:vAlign w:val="center"/>
                </w:tcPr>
                <w:p w14:paraId="227F2226">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2#</w:t>
                  </w:r>
                  <w:r>
                    <w:rPr>
                      <w:rFonts w:hint="eastAsia" w:ascii="Times New Roman" w:hAnsi="Times New Roman" w:eastAsia="宋体" w:cs="Times New Roman"/>
                      <w:color w:val="auto"/>
                      <w:sz w:val="21"/>
                      <w:szCs w:val="21"/>
                      <w:lang w:val="en-US" w:eastAsia="zh-CN"/>
                    </w:rPr>
                    <w:t>厂房</w:t>
                  </w:r>
                  <w:r>
                    <w:rPr>
                      <w:rFonts w:hint="default" w:ascii="Times New Roman" w:hAnsi="Times New Roman" w:eastAsia="宋体" w:cs="Times New Roman"/>
                      <w:color w:val="auto"/>
                      <w:sz w:val="21"/>
                      <w:szCs w:val="21"/>
                    </w:rPr>
                    <w:t>声屏障</w:t>
                  </w:r>
                </w:p>
              </w:tc>
              <w:tc>
                <w:tcPr>
                  <w:tcW w:w="541" w:type="dxa"/>
                  <w:shd w:val="clear" w:color="auto" w:fill="auto"/>
                  <w:tcMar>
                    <w:top w:w="0" w:type="dxa"/>
                    <w:left w:w="0" w:type="dxa"/>
                    <w:bottom w:w="0" w:type="dxa"/>
                    <w:right w:w="0" w:type="dxa"/>
                  </w:tcMar>
                  <w:vAlign w:val="center"/>
                </w:tcPr>
                <w:p w14:paraId="67958442">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立式液态射出成型机</w:t>
                  </w:r>
                </w:p>
              </w:tc>
              <w:tc>
                <w:tcPr>
                  <w:tcW w:w="413" w:type="dxa"/>
                  <w:shd w:val="clear" w:color="auto" w:fill="auto"/>
                  <w:tcMar>
                    <w:top w:w="0" w:type="dxa"/>
                    <w:left w:w="0" w:type="dxa"/>
                    <w:bottom w:w="0" w:type="dxa"/>
                    <w:right w:w="0" w:type="dxa"/>
                  </w:tcMar>
                  <w:vAlign w:val="center"/>
                </w:tcPr>
                <w:p w14:paraId="26BA10F1">
                  <w:pPr>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color w:val="auto"/>
                      <w:sz w:val="21"/>
                      <w:szCs w:val="21"/>
                      <w:highlight w:val="none"/>
                    </w:rPr>
                    <w:t>KT-VS200-2S</w:t>
                  </w:r>
                </w:p>
              </w:tc>
              <w:tc>
                <w:tcPr>
                  <w:tcW w:w="637" w:type="dxa"/>
                  <w:shd w:val="clear" w:color="auto" w:fill="auto"/>
                  <w:tcMar>
                    <w:top w:w="0" w:type="dxa"/>
                    <w:left w:w="0" w:type="dxa"/>
                    <w:bottom w:w="0" w:type="dxa"/>
                    <w:right w:w="0" w:type="dxa"/>
                  </w:tcMar>
                  <w:vAlign w:val="center"/>
                </w:tcPr>
                <w:p w14:paraId="25986CDD">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80/1</w:t>
                  </w:r>
                </w:p>
              </w:tc>
              <w:tc>
                <w:tcPr>
                  <w:tcW w:w="553" w:type="dxa"/>
                  <w:vMerge w:val="continue"/>
                  <w:shd w:val="clear" w:color="auto" w:fill="auto"/>
                  <w:tcMar>
                    <w:top w:w="0" w:type="dxa"/>
                    <w:left w:w="0" w:type="dxa"/>
                    <w:bottom w:w="0" w:type="dxa"/>
                    <w:right w:w="0" w:type="dxa"/>
                  </w:tcMar>
                  <w:vAlign w:val="center"/>
                </w:tcPr>
                <w:p w14:paraId="615AE69C">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 w:val="21"/>
                      <w:szCs w:val="21"/>
                    </w:rPr>
                  </w:pPr>
                </w:p>
              </w:tc>
              <w:tc>
                <w:tcPr>
                  <w:tcW w:w="563" w:type="dxa"/>
                  <w:shd w:val="clear" w:color="auto" w:fill="auto"/>
                  <w:tcMar>
                    <w:top w:w="0" w:type="dxa"/>
                    <w:left w:w="0" w:type="dxa"/>
                    <w:bottom w:w="0" w:type="dxa"/>
                    <w:right w:w="0" w:type="dxa"/>
                  </w:tcMar>
                  <w:vAlign w:val="center"/>
                </w:tcPr>
                <w:p w14:paraId="7BFD09BF">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63.3</w:t>
                  </w:r>
                </w:p>
              </w:tc>
              <w:tc>
                <w:tcPr>
                  <w:tcW w:w="563" w:type="dxa"/>
                  <w:shd w:val="clear" w:color="auto" w:fill="auto"/>
                  <w:tcMar>
                    <w:top w:w="0" w:type="dxa"/>
                    <w:left w:w="0" w:type="dxa"/>
                    <w:bottom w:w="0" w:type="dxa"/>
                    <w:right w:w="0" w:type="dxa"/>
                  </w:tcMar>
                  <w:vAlign w:val="center"/>
                </w:tcPr>
                <w:p w14:paraId="4332FA3F">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22.1</w:t>
                  </w:r>
                </w:p>
              </w:tc>
              <w:tc>
                <w:tcPr>
                  <w:tcW w:w="564" w:type="dxa"/>
                  <w:shd w:val="clear" w:color="auto" w:fill="auto"/>
                  <w:tcMar>
                    <w:top w:w="0" w:type="dxa"/>
                    <w:left w:w="0" w:type="dxa"/>
                    <w:bottom w:w="0" w:type="dxa"/>
                    <w:right w:w="0" w:type="dxa"/>
                  </w:tcMar>
                  <w:vAlign w:val="center"/>
                </w:tcPr>
                <w:p w14:paraId="49CC556B">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1.2</w:t>
                  </w:r>
                </w:p>
              </w:tc>
              <w:tc>
                <w:tcPr>
                  <w:tcW w:w="466" w:type="dxa"/>
                  <w:shd w:val="clear" w:color="auto" w:fill="auto"/>
                  <w:tcMar>
                    <w:top w:w="0" w:type="dxa"/>
                    <w:left w:w="0" w:type="dxa"/>
                    <w:bottom w:w="0" w:type="dxa"/>
                    <w:right w:w="0" w:type="dxa"/>
                  </w:tcMar>
                  <w:vAlign w:val="center"/>
                </w:tcPr>
                <w:p w14:paraId="1DDE26C6">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16.3</w:t>
                  </w:r>
                </w:p>
              </w:tc>
              <w:tc>
                <w:tcPr>
                  <w:tcW w:w="466" w:type="dxa"/>
                  <w:shd w:val="clear" w:color="auto" w:fill="auto"/>
                  <w:tcMar>
                    <w:top w:w="0" w:type="dxa"/>
                    <w:left w:w="0" w:type="dxa"/>
                    <w:bottom w:w="0" w:type="dxa"/>
                    <w:right w:w="0" w:type="dxa"/>
                  </w:tcMar>
                  <w:vAlign w:val="center"/>
                </w:tcPr>
                <w:p w14:paraId="418ECFFD">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36.1</w:t>
                  </w:r>
                </w:p>
              </w:tc>
              <w:tc>
                <w:tcPr>
                  <w:tcW w:w="466" w:type="dxa"/>
                  <w:shd w:val="clear" w:color="auto" w:fill="auto"/>
                  <w:tcMar>
                    <w:top w:w="0" w:type="dxa"/>
                    <w:left w:w="0" w:type="dxa"/>
                    <w:bottom w:w="0" w:type="dxa"/>
                    <w:right w:w="0" w:type="dxa"/>
                  </w:tcMar>
                  <w:vAlign w:val="center"/>
                </w:tcPr>
                <w:p w14:paraId="693320A5">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66.3</w:t>
                  </w:r>
                </w:p>
              </w:tc>
              <w:tc>
                <w:tcPr>
                  <w:tcW w:w="467" w:type="dxa"/>
                  <w:shd w:val="clear" w:color="auto" w:fill="auto"/>
                  <w:tcMar>
                    <w:top w:w="0" w:type="dxa"/>
                    <w:left w:w="0" w:type="dxa"/>
                    <w:bottom w:w="0" w:type="dxa"/>
                    <w:right w:w="0" w:type="dxa"/>
                  </w:tcMar>
                  <w:vAlign w:val="center"/>
                </w:tcPr>
                <w:p w14:paraId="3E03FFE7">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20.8</w:t>
                  </w:r>
                </w:p>
              </w:tc>
              <w:tc>
                <w:tcPr>
                  <w:tcW w:w="460" w:type="dxa"/>
                  <w:shd w:val="clear" w:color="auto" w:fill="auto"/>
                  <w:tcMar>
                    <w:top w:w="0" w:type="dxa"/>
                    <w:left w:w="0" w:type="dxa"/>
                    <w:bottom w:w="0" w:type="dxa"/>
                    <w:right w:w="0" w:type="dxa"/>
                  </w:tcMar>
                  <w:vAlign w:val="center"/>
                </w:tcPr>
                <w:p w14:paraId="5E174330">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55.1</w:t>
                  </w:r>
                </w:p>
              </w:tc>
              <w:tc>
                <w:tcPr>
                  <w:tcW w:w="460" w:type="dxa"/>
                  <w:shd w:val="clear" w:color="auto" w:fill="auto"/>
                  <w:tcMar>
                    <w:top w:w="0" w:type="dxa"/>
                    <w:left w:w="0" w:type="dxa"/>
                    <w:bottom w:w="0" w:type="dxa"/>
                    <w:right w:w="0" w:type="dxa"/>
                  </w:tcMar>
                  <w:vAlign w:val="center"/>
                </w:tcPr>
                <w:p w14:paraId="558C20A3">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55.0</w:t>
                  </w:r>
                </w:p>
              </w:tc>
              <w:tc>
                <w:tcPr>
                  <w:tcW w:w="460" w:type="dxa"/>
                  <w:shd w:val="clear" w:color="auto" w:fill="auto"/>
                  <w:tcMar>
                    <w:top w:w="0" w:type="dxa"/>
                    <w:left w:w="0" w:type="dxa"/>
                    <w:bottom w:w="0" w:type="dxa"/>
                    <w:right w:w="0" w:type="dxa"/>
                  </w:tcMar>
                  <w:vAlign w:val="center"/>
                </w:tcPr>
                <w:p w14:paraId="6238B35E">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55.0</w:t>
                  </w:r>
                </w:p>
              </w:tc>
              <w:tc>
                <w:tcPr>
                  <w:tcW w:w="462" w:type="dxa"/>
                  <w:shd w:val="clear" w:color="auto" w:fill="auto"/>
                  <w:tcMar>
                    <w:top w:w="0" w:type="dxa"/>
                    <w:left w:w="0" w:type="dxa"/>
                    <w:bottom w:w="0" w:type="dxa"/>
                    <w:right w:w="0" w:type="dxa"/>
                  </w:tcMar>
                  <w:vAlign w:val="center"/>
                </w:tcPr>
                <w:p w14:paraId="31762DC7">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55.1</w:t>
                  </w:r>
                </w:p>
              </w:tc>
              <w:tc>
                <w:tcPr>
                  <w:tcW w:w="445" w:type="dxa"/>
                  <w:vMerge w:val="continue"/>
                  <w:shd w:val="clear" w:color="auto" w:fill="auto"/>
                  <w:tcMar>
                    <w:top w:w="0" w:type="dxa"/>
                    <w:left w:w="0" w:type="dxa"/>
                    <w:bottom w:w="0" w:type="dxa"/>
                    <w:right w:w="0" w:type="dxa"/>
                  </w:tcMar>
                  <w:vAlign w:val="center"/>
                </w:tcPr>
                <w:p w14:paraId="3F3E2BF9">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 w:val="21"/>
                      <w:szCs w:val="21"/>
                    </w:rPr>
                  </w:pPr>
                </w:p>
              </w:tc>
              <w:tc>
                <w:tcPr>
                  <w:tcW w:w="444" w:type="dxa"/>
                  <w:shd w:val="clear" w:color="auto" w:fill="auto"/>
                  <w:tcMar>
                    <w:top w:w="0" w:type="dxa"/>
                    <w:left w:w="0" w:type="dxa"/>
                    <w:bottom w:w="0" w:type="dxa"/>
                    <w:right w:w="0" w:type="dxa"/>
                  </w:tcMar>
                  <w:vAlign w:val="center"/>
                </w:tcPr>
                <w:p w14:paraId="1AB4D833">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20.0</w:t>
                  </w:r>
                </w:p>
              </w:tc>
              <w:tc>
                <w:tcPr>
                  <w:tcW w:w="444" w:type="dxa"/>
                  <w:shd w:val="clear" w:color="auto" w:fill="auto"/>
                  <w:tcMar>
                    <w:top w:w="0" w:type="dxa"/>
                    <w:left w:w="0" w:type="dxa"/>
                    <w:bottom w:w="0" w:type="dxa"/>
                    <w:right w:w="0" w:type="dxa"/>
                  </w:tcMar>
                  <w:vAlign w:val="center"/>
                </w:tcPr>
                <w:p w14:paraId="06C659B0">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20.0</w:t>
                  </w:r>
                </w:p>
              </w:tc>
              <w:tc>
                <w:tcPr>
                  <w:tcW w:w="444" w:type="dxa"/>
                  <w:shd w:val="clear" w:color="auto" w:fill="auto"/>
                  <w:tcMar>
                    <w:top w:w="0" w:type="dxa"/>
                    <w:left w:w="0" w:type="dxa"/>
                    <w:bottom w:w="0" w:type="dxa"/>
                    <w:right w:w="0" w:type="dxa"/>
                  </w:tcMar>
                  <w:vAlign w:val="center"/>
                </w:tcPr>
                <w:p w14:paraId="6E5EAC63">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20.0</w:t>
                  </w:r>
                </w:p>
              </w:tc>
              <w:tc>
                <w:tcPr>
                  <w:tcW w:w="444" w:type="dxa"/>
                  <w:shd w:val="clear" w:color="auto" w:fill="auto"/>
                  <w:tcMar>
                    <w:top w:w="0" w:type="dxa"/>
                    <w:left w:w="0" w:type="dxa"/>
                    <w:bottom w:w="0" w:type="dxa"/>
                    <w:right w:w="0" w:type="dxa"/>
                  </w:tcMar>
                  <w:vAlign w:val="center"/>
                </w:tcPr>
                <w:p w14:paraId="00A8DB1F">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20.0</w:t>
                  </w:r>
                </w:p>
              </w:tc>
              <w:tc>
                <w:tcPr>
                  <w:tcW w:w="470" w:type="dxa"/>
                  <w:shd w:val="clear" w:color="auto" w:fill="auto"/>
                  <w:tcMar>
                    <w:top w:w="0" w:type="dxa"/>
                    <w:left w:w="0" w:type="dxa"/>
                    <w:bottom w:w="0" w:type="dxa"/>
                    <w:right w:w="0" w:type="dxa"/>
                  </w:tcMar>
                  <w:vAlign w:val="center"/>
                </w:tcPr>
                <w:p w14:paraId="1FB4C92E">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35.1</w:t>
                  </w:r>
                </w:p>
              </w:tc>
              <w:tc>
                <w:tcPr>
                  <w:tcW w:w="470" w:type="dxa"/>
                  <w:shd w:val="clear" w:color="auto" w:fill="auto"/>
                  <w:tcMar>
                    <w:top w:w="0" w:type="dxa"/>
                    <w:left w:w="0" w:type="dxa"/>
                    <w:bottom w:w="0" w:type="dxa"/>
                    <w:right w:w="0" w:type="dxa"/>
                  </w:tcMar>
                  <w:vAlign w:val="center"/>
                </w:tcPr>
                <w:p w14:paraId="7C6FAD26">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35.0</w:t>
                  </w:r>
                </w:p>
              </w:tc>
              <w:tc>
                <w:tcPr>
                  <w:tcW w:w="470" w:type="dxa"/>
                  <w:shd w:val="clear" w:color="auto" w:fill="auto"/>
                  <w:tcMar>
                    <w:top w:w="0" w:type="dxa"/>
                    <w:left w:w="0" w:type="dxa"/>
                    <w:bottom w:w="0" w:type="dxa"/>
                    <w:right w:w="0" w:type="dxa"/>
                  </w:tcMar>
                  <w:vAlign w:val="center"/>
                </w:tcPr>
                <w:p w14:paraId="79FAAD99">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35.0</w:t>
                  </w:r>
                </w:p>
              </w:tc>
              <w:tc>
                <w:tcPr>
                  <w:tcW w:w="471" w:type="dxa"/>
                  <w:shd w:val="clear" w:color="auto" w:fill="auto"/>
                  <w:tcMar>
                    <w:top w:w="0" w:type="dxa"/>
                    <w:left w:w="0" w:type="dxa"/>
                    <w:bottom w:w="0" w:type="dxa"/>
                    <w:right w:w="0" w:type="dxa"/>
                  </w:tcMar>
                  <w:vAlign w:val="center"/>
                </w:tcPr>
                <w:p w14:paraId="008FCD9A">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35.1</w:t>
                  </w:r>
                </w:p>
              </w:tc>
              <w:tc>
                <w:tcPr>
                  <w:tcW w:w="648" w:type="dxa"/>
                  <w:shd w:val="clear" w:color="auto" w:fill="auto"/>
                  <w:tcMar>
                    <w:top w:w="0" w:type="dxa"/>
                    <w:left w:w="0" w:type="dxa"/>
                    <w:bottom w:w="0" w:type="dxa"/>
                    <w:right w:w="0" w:type="dxa"/>
                  </w:tcMar>
                  <w:vAlign w:val="center"/>
                </w:tcPr>
                <w:p w14:paraId="24F216AA">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1</w:t>
                  </w:r>
                </w:p>
              </w:tc>
            </w:tr>
            <w:tr w14:paraId="5D2CE1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23" w:hRule="atLeast"/>
                <w:jc w:val="center"/>
              </w:trPr>
              <w:tc>
                <w:tcPr>
                  <w:tcW w:w="482" w:type="dxa"/>
                  <w:shd w:val="clear" w:color="auto" w:fill="auto"/>
                  <w:vAlign w:val="center"/>
                </w:tcPr>
                <w:p w14:paraId="48D89DF8">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19</w:t>
                  </w:r>
                </w:p>
              </w:tc>
              <w:tc>
                <w:tcPr>
                  <w:tcW w:w="485" w:type="dxa"/>
                  <w:vMerge w:val="continue"/>
                  <w:shd w:val="clear" w:color="auto" w:fill="auto"/>
                  <w:tcMar>
                    <w:top w:w="0" w:type="dxa"/>
                    <w:left w:w="0" w:type="dxa"/>
                    <w:bottom w:w="0" w:type="dxa"/>
                    <w:right w:w="0" w:type="dxa"/>
                  </w:tcMar>
                  <w:vAlign w:val="center"/>
                </w:tcPr>
                <w:p w14:paraId="6C5D0303">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 w:val="21"/>
                      <w:szCs w:val="21"/>
                    </w:rPr>
                  </w:pPr>
                </w:p>
              </w:tc>
              <w:tc>
                <w:tcPr>
                  <w:tcW w:w="541" w:type="dxa"/>
                  <w:shd w:val="clear" w:color="auto" w:fill="auto"/>
                  <w:tcMar>
                    <w:top w:w="0" w:type="dxa"/>
                    <w:left w:w="0" w:type="dxa"/>
                    <w:bottom w:w="0" w:type="dxa"/>
                    <w:right w:w="0" w:type="dxa"/>
                  </w:tcMar>
                  <w:vAlign w:val="center"/>
                </w:tcPr>
                <w:p w14:paraId="3834B818">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FF0000"/>
                      <w:sz w:val="21"/>
                      <w:szCs w:val="21"/>
                    </w:rPr>
                    <w:t>双组份</w:t>
                  </w:r>
                  <w:r>
                    <w:rPr>
                      <w:rFonts w:hint="default" w:ascii="Times New Roman" w:hAnsi="Times New Roman" w:eastAsia="宋体" w:cs="Times New Roman"/>
                      <w:color w:val="auto"/>
                      <w:sz w:val="21"/>
                      <w:szCs w:val="21"/>
                    </w:rPr>
                    <w:t>打胶机</w:t>
                  </w:r>
                  <w:r>
                    <w:rPr>
                      <w:rFonts w:hint="eastAsia" w:ascii="Times New Roman" w:hAnsi="Times New Roman" w:eastAsia="宋体" w:cs="Times New Roman"/>
                      <w:color w:val="auto"/>
                      <w:sz w:val="21"/>
                      <w:szCs w:val="21"/>
                      <w:lang w:eastAsia="zh-CN"/>
                    </w:rPr>
                    <w:t>，</w:t>
                  </w:r>
                  <w:r>
                    <w:rPr>
                      <w:rFonts w:hint="default" w:ascii="Times New Roman" w:hAnsi="Times New Roman" w:eastAsia="宋体" w:cs="Times New Roman"/>
                      <w:color w:val="auto"/>
                      <w:sz w:val="21"/>
                      <w:szCs w:val="21"/>
                    </w:rPr>
                    <w:t>5台（按点声源组预测）</w:t>
                  </w:r>
                </w:p>
              </w:tc>
              <w:tc>
                <w:tcPr>
                  <w:tcW w:w="413" w:type="dxa"/>
                  <w:shd w:val="clear" w:color="auto" w:fill="auto"/>
                  <w:tcMar>
                    <w:top w:w="0" w:type="dxa"/>
                    <w:left w:w="0" w:type="dxa"/>
                    <w:bottom w:w="0" w:type="dxa"/>
                    <w:right w:w="0" w:type="dxa"/>
                  </w:tcMar>
                  <w:vAlign w:val="center"/>
                </w:tcPr>
                <w:p w14:paraId="798CCA0C">
                  <w:pPr>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color w:val="auto"/>
                      <w:sz w:val="21"/>
                      <w:szCs w:val="21"/>
                      <w:highlight w:val="none"/>
                      <w:lang w:val="en-US" w:eastAsia="en-US" w:bidi="ar-SA"/>
                    </w:rPr>
                  </w:pPr>
                  <w:r>
                    <w:rPr>
                      <w:rFonts w:hint="default" w:ascii="Times New Roman" w:hAnsi="Times New Roman" w:eastAsia="宋体" w:cs="Times New Roman"/>
                      <w:color w:val="auto"/>
                      <w:sz w:val="21"/>
                      <w:szCs w:val="21"/>
                      <w:highlight w:val="none"/>
                    </w:rPr>
                    <w:t>自制</w:t>
                  </w:r>
                </w:p>
              </w:tc>
              <w:tc>
                <w:tcPr>
                  <w:tcW w:w="637" w:type="dxa"/>
                  <w:shd w:val="clear" w:color="auto" w:fill="auto"/>
                  <w:tcMar>
                    <w:top w:w="0" w:type="dxa"/>
                    <w:left w:w="0" w:type="dxa"/>
                    <w:bottom w:w="0" w:type="dxa"/>
                    <w:right w:w="0" w:type="dxa"/>
                  </w:tcMar>
                  <w:vAlign w:val="center"/>
                </w:tcPr>
                <w:p w14:paraId="76D15475">
                  <w:pPr>
                    <w:keepNext w:val="0"/>
                    <w:keepLines w:val="0"/>
                    <w:suppressLineNumbers w:val="0"/>
                    <w:spacing w:before="0" w:beforeAutospacing="0" w:after="0" w:afterAutospacing="0"/>
                    <w:ind w:left="0" w:right="0"/>
                    <w:jc w:val="center"/>
                    <w:rPr>
                      <w:rFonts w:hint="eastAsia" w:ascii="Times New Roman" w:hAnsi="Times New Roman" w:eastAsia="宋体" w:cs="Times New Roman"/>
                      <w:color w:val="auto"/>
                      <w:sz w:val="21"/>
                      <w:szCs w:val="21"/>
                      <w:lang w:eastAsia="zh-CN"/>
                    </w:rPr>
                  </w:pPr>
                  <w:r>
                    <w:rPr>
                      <w:rFonts w:hint="default" w:ascii="Times New Roman" w:hAnsi="Times New Roman" w:eastAsia="宋体" w:cs="Times New Roman"/>
                      <w:color w:val="auto"/>
                      <w:sz w:val="21"/>
                      <w:szCs w:val="21"/>
                    </w:rPr>
                    <w:t>74/1（等效后：81.0/1</w:t>
                  </w:r>
                  <w:r>
                    <w:rPr>
                      <w:rFonts w:hint="eastAsia" w:ascii="Times New Roman" w:hAnsi="Times New Roman" w:eastAsia="宋体" w:cs="Times New Roman"/>
                      <w:color w:val="auto"/>
                      <w:sz w:val="21"/>
                      <w:szCs w:val="21"/>
                      <w:lang w:eastAsia="zh-CN"/>
                    </w:rPr>
                    <w:t>）</w:t>
                  </w:r>
                </w:p>
              </w:tc>
              <w:tc>
                <w:tcPr>
                  <w:tcW w:w="553" w:type="dxa"/>
                  <w:vMerge w:val="continue"/>
                  <w:shd w:val="clear" w:color="auto" w:fill="auto"/>
                  <w:tcMar>
                    <w:top w:w="0" w:type="dxa"/>
                    <w:left w:w="0" w:type="dxa"/>
                    <w:bottom w:w="0" w:type="dxa"/>
                    <w:right w:w="0" w:type="dxa"/>
                  </w:tcMar>
                  <w:vAlign w:val="center"/>
                </w:tcPr>
                <w:p w14:paraId="31DAD410">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 w:val="21"/>
                      <w:szCs w:val="21"/>
                    </w:rPr>
                  </w:pPr>
                </w:p>
              </w:tc>
              <w:tc>
                <w:tcPr>
                  <w:tcW w:w="563" w:type="dxa"/>
                  <w:shd w:val="clear" w:color="auto" w:fill="auto"/>
                  <w:tcMar>
                    <w:top w:w="0" w:type="dxa"/>
                    <w:left w:w="0" w:type="dxa"/>
                    <w:bottom w:w="0" w:type="dxa"/>
                    <w:right w:w="0" w:type="dxa"/>
                  </w:tcMar>
                  <w:vAlign w:val="center"/>
                </w:tcPr>
                <w:p w14:paraId="4B1F2652">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61.1</w:t>
                  </w:r>
                </w:p>
              </w:tc>
              <w:tc>
                <w:tcPr>
                  <w:tcW w:w="563" w:type="dxa"/>
                  <w:shd w:val="clear" w:color="auto" w:fill="auto"/>
                  <w:tcMar>
                    <w:top w:w="0" w:type="dxa"/>
                    <w:left w:w="0" w:type="dxa"/>
                    <w:bottom w:w="0" w:type="dxa"/>
                    <w:right w:w="0" w:type="dxa"/>
                  </w:tcMar>
                  <w:vAlign w:val="center"/>
                </w:tcPr>
                <w:p w14:paraId="6D606302">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24.9</w:t>
                  </w:r>
                </w:p>
              </w:tc>
              <w:tc>
                <w:tcPr>
                  <w:tcW w:w="564" w:type="dxa"/>
                  <w:shd w:val="clear" w:color="auto" w:fill="auto"/>
                  <w:tcMar>
                    <w:top w:w="0" w:type="dxa"/>
                    <w:left w:w="0" w:type="dxa"/>
                    <w:bottom w:w="0" w:type="dxa"/>
                    <w:right w:w="0" w:type="dxa"/>
                  </w:tcMar>
                  <w:vAlign w:val="center"/>
                </w:tcPr>
                <w:p w14:paraId="4CFB8DC6">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1.2</w:t>
                  </w:r>
                </w:p>
              </w:tc>
              <w:tc>
                <w:tcPr>
                  <w:tcW w:w="466" w:type="dxa"/>
                  <w:shd w:val="clear" w:color="auto" w:fill="auto"/>
                  <w:tcMar>
                    <w:top w:w="0" w:type="dxa"/>
                    <w:left w:w="0" w:type="dxa"/>
                    <w:bottom w:w="0" w:type="dxa"/>
                    <w:right w:w="0" w:type="dxa"/>
                  </w:tcMar>
                  <w:vAlign w:val="center"/>
                </w:tcPr>
                <w:p w14:paraId="0E3D0143">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17.8</w:t>
                  </w:r>
                </w:p>
              </w:tc>
              <w:tc>
                <w:tcPr>
                  <w:tcW w:w="466" w:type="dxa"/>
                  <w:shd w:val="clear" w:color="auto" w:fill="auto"/>
                  <w:tcMar>
                    <w:top w:w="0" w:type="dxa"/>
                    <w:left w:w="0" w:type="dxa"/>
                    <w:bottom w:w="0" w:type="dxa"/>
                    <w:right w:w="0" w:type="dxa"/>
                  </w:tcMar>
                  <w:vAlign w:val="center"/>
                </w:tcPr>
                <w:p w14:paraId="776A6CF4">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39.3</w:t>
                  </w:r>
                </w:p>
              </w:tc>
              <w:tc>
                <w:tcPr>
                  <w:tcW w:w="466" w:type="dxa"/>
                  <w:shd w:val="clear" w:color="auto" w:fill="auto"/>
                  <w:tcMar>
                    <w:top w:w="0" w:type="dxa"/>
                    <w:left w:w="0" w:type="dxa"/>
                    <w:bottom w:w="0" w:type="dxa"/>
                    <w:right w:w="0" w:type="dxa"/>
                  </w:tcMar>
                  <w:vAlign w:val="center"/>
                </w:tcPr>
                <w:p w14:paraId="2FF0E7FA">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64.7</w:t>
                  </w:r>
                </w:p>
              </w:tc>
              <w:tc>
                <w:tcPr>
                  <w:tcW w:w="467" w:type="dxa"/>
                  <w:shd w:val="clear" w:color="auto" w:fill="auto"/>
                  <w:tcMar>
                    <w:top w:w="0" w:type="dxa"/>
                    <w:left w:w="0" w:type="dxa"/>
                    <w:bottom w:w="0" w:type="dxa"/>
                    <w:right w:w="0" w:type="dxa"/>
                  </w:tcMar>
                  <w:vAlign w:val="center"/>
                </w:tcPr>
                <w:p w14:paraId="4971E2D8">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17.6</w:t>
                  </w:r>
                </w:p>
              </w:tc>
              <w:tc>
                <w:tcPr>
                  <w:tcW w:w="460" w:type="dxa"/>
                  <w:shd w:val="clear" w:color="auto" w:fill="auto"/>
                  <w:tcMar>
                    <w:top w:w="0" w:type="dxa"/>
                    <w:left w:w="0" w:type="dxa"/>
                    <w:bottom w:w="0" w:type="dxa"/>
                    <w:right w:w="0" w:type="dxa"/>
                  </w:tcMar>
                  <w:vAlign w:val="center"/>
                </w:tcPr>
                <w:p w14:paraId="5B6AC384">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54.1</w:t>
                  </w:r>
                </w:p>
              </w:tc>
              <w:tc>
                <w:tcPr>
                  <w:tcW w:w="460" w:type="dxa"/>
                  <w:shd w:val="clear" w:color="auto" w:fill="auto"/>
                  <w:tcMar>
                    <w:top w:w="0" w:type="dxa"/>
                    <w:left w:w="0" w:type="dxa"/>
                    <w:bottom w:w="0" w:type="dxa"/>
                    <w:right w:w="0" w:type="dxa"/>
                  </w:tcMar>
                  <w:vAlign w:val="center"/>
                </w:tcPr>
                <w:p w14:paraId="01973FC4">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54.0</w:t>
                  </w:r>
                </w:p>
              </w:tc>
              <w:tc>
                <w:tcPr>
                  <w:tcW w:w="460" w:type="dxa"/>
                  <w:shd w:val="clear" w:color="auto" w:fill="auto"/>
                  <w:tcMar>
                    <w:top w:w="0" w:type="dxa"/>
                    <w:left w:w="0" w:type="dxa"/>
                    <w:bottom w:w="0" w:type="dxa"/>
                    <w:right w:w="0" w:type="dxa"/>
                  </w:tcMar>
                  <w:vAlign w:val="center"/>
                </w:tcPr>
                <w:p w14:paraId="313E93E5">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54.0</w:t>
                  </w:r>
                </w:p>
              </w:tc>
              <w:tc>
                <w:tcPr>
                  <w:tcW w:w="462" w:type="dxa"/>
                  <w:shd w:val="clear" w:color="auto" w:fill="auto"/>
                  <w:tcMar>
                    <w:top w:w="0" w:type="dxa"/>
                    <w:left w:w="0" w:type="dxa"/>
                    <w:bottom w:w="0" w:type="dxa"/>
                    <w:right w:w="0" w:type="dxa"/>
                  </w:tcMar>
                  <w:vAlign w:val="center"/>
                </w:tcPr>
                <w:p w14:paraId="18537C26">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54.1</w:t>
                  </w:r>
                </w:p>
              </w:tc>
              <w:tc>
                <w:tcPr>
                  <w:tcW w:w="445" w:type="dxa"/>
                  <w:vMerge w:val="continue"/>
                  <w:shd w:val="clear" w:color="auto" w:fill="auto"/>
                  <w:tcMar>
                    <w:top w:w="0" w:type="dxa"/>
                    <w:left w:w="0" w:type="dxa"/>
                    <w:bottom w:w="0" w:type="dxa"/>
                    <w:right w:w="0" w:type="dxa"/>
                  </w:tcMar>
                  <w:vAlign w:val="center"/>
                </w:tcPr>
                <w:p w14:paraId="5D233F75">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 w:val="21"/>
                      <w:szCs w:val="21"/>
                    </w:rPr>
                  </w:pPr>
                </w:p>
              </w:tc>
              <w:tc>
                <w:tcPr>
                  <w:tcW w:w="444" w:type="dxa"/>
                  <w:shd w:val="clear" w:color="auto" w:fill="auto"/>
                  <w:tcMar>
                    <w:top w:w="0" w:type="dxa"/>
                    <w:left w:w="0" w:type="dxa"/>
                    <w:bottom w:w="0" w:type="dxa"/>
                    <w:right w:w="0" w:type="dxa"/>
                  </w:tcMar>
                  <w:vAlign w:val="center"/>
                </w:tcPr>
                <w:p w14:paraId="65A2D369">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20.0</w:t>
                  </w:r>
                </w:p>
              </w:tc>
              <w:tc>
                <w:tcPr>
                  <w:tcW w:w="444" w:type="dxa"/>
                  <w:shd w:val="clear" w:color="auto" w:fill="auto"/>
                  <w:tcMar>
                    <w:top w:w="0" w:type="dxa"/>
                    <w:left w:w="0" w:type="dxa"/>
                    <w:bottom w:w="0" w:type="dxa"/>
                    <w:right w:w="0" w:type="dxa"/>
                  </w:tcMar>
                  <w:vAlign w:val="center"/>
                </w:tcPr>
                <w:p w14:paraId="2CEEF803">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20.0</w:t>
                  </w:r>
                </w:p>
              </w:tc>
              <w:tc>
                <w:tcPr>
                  <w:tcW w:w="444" w:type="dxa"/>
                  <w:shd w:val="clear" w:color="auto" w:fill="auto"/>
                  <w:tcMar>
                    <w:top w:w="0" w:type="dxa"/>
                    <w:left w:w="0" w:type="dxa"/>
                    <w:bottom w:w="0" w:type="dxa"/>
                    <w:right w:w="0" w:type="dxa"/>
                  </w:tcMar>
                  <w:vAlign w:val="center"/>
                </w:tcPr>
                <w:p w14:paraId="22C5ACD8">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20.0</w:t>
                  </w:r>
                </w:p>
              </w:tc>
              <w:tc>
                <w:tcPr>
                  <w:tcW w:w="444" w:type="dxa"/>
                  <w:shd w:val="clear" w:color="auto" w:fill="auto"/>
                  <w:tcMar>
                    <w:top w:w="0" w:type="dxa"/>
                    <w:left w:w="0" w:type="dxa"/>
                    <w:bottom w:w="0" w:type="dxa"/>
                    <w:right w:w="0" w:type="dxa"/>
                  </w:tcMar>
                  <w:vAlign w:val="center"/>
                </w:tcPr>
                <w:p w14:paraId="2CB0B993">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20.0</w:t>
                  </w:r>
                </w:p>
              </w:tc>
              <w:tc>
                <w:tcPr>
                  <w:tcW w:w="470" w:type="dxa"/>
                  <w:shd w:val="clear" w:color="auto" w:fill="auto"/>
                  <w:tcMar>
                    <w:top w:w="0" w:type="dxa"/>
                    <w:left w:w="0" w:type="dxa"/>
                    <w:bottom w:w="0" w:type="dxa"/>
                    <w:right w:w="0" w:type="dxa"/>
                  </w:tcMar>
                  <w:vAlign w:val="center"/>
                </w:tcPr>
                <w:p w14:paraId="1B1A7C33">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34.1</w:t>
                  </w:r>
                </w:p>
              </w:tc>
              <w:tc>
                <w:tcPr>
                  <w:tcW w:w="470" w:type="dxa"/>
                  <w:shd w:val="clear" w:color="auto" w:fill="auto"/>
                  <w:tcMar>
                    <w:top w:w="0" w:type="dxa"/>
                    <w:left w:w="0" w:type="dxa"/>
                    <w:bottom w:w="0" w:type="dxa"/>
                    <w:right w:w="0" w:type="dxa"/>
                  </w:tcMar>
                  <w:vAlign w:val="center"/>
                </w:tcPr>
                <w:p w14:paraId="674615BD">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34.0</w:t>
                  </w:r>
                </w:p>
              </w:tc>
              <w:tc>
                <w:tcPr>
                  <w:tcW w:w="470" w:type="dxa"/>
                  <w:shd w:val="clear" w:color="auto" w:fill="auto"/>
                  <w:tcMar>
                    <w:top w:w="0" w:type="dxa"/>
                    <w:left w:w="0" w:type="dxa"/>
                    <w:bottom w:w="0" w:type="dxa"/>
                    <w:right w:w="0" w:type="dxa"/>
                  </w:tcMar>
                  <w:vAlign w:val="center"/>
                </w:tcPr>
                <w:p w14:paraId="545E1A88">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34.0</w:t>
                  </w:r>
                </w:p>
              </w:tc>
              <w:tc>
                <w:tcPr>
                  <w:tcW w:w="471" w:type="dxa"/>
                  <w:shd w:val="clear" w:color="auto" w:fill="auto"/>
                  <w:tcMar>
                    <w:top w:w="0" w:type="dxa"/>
                    <w:left w:w="0" w:type="dxa"/>
                    <w:bottom w:w="0" w:type="dxa"/>
                    <w:right w:w="0" w:type="dxa"/>
                  </w:tcMar>
                  <w:vAlign w:val="center"/>
                </w:tcPr>
                <w:p w14:paraId="2CC80AB8">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34.1</w:t>
                  </w:r>
                </w:p>
              </w:tc>
              <w:tc>
                <w:tcPr>
                  <w:tcW w:w="648" w:type="dxa"/>
                  <w:shd w:val="clear" w:color="auto" w:fill="auto"/>
                  <w:tcMar>
                    <w:top w:w="0" w:type="dxa"/>
                    <w:left w:w="0" w:type="dxa"/>
                    <w:bottom w:w="0" w:type="dxa"/>
                    <w:right w:w="0" w:type="dxa"/>
                  </w:tcMar>
                  <w:vAlign w:val="center"/>
                </w:tcPr>
                <w:p w14:paraId="1CA50680">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1</w:t>
                  </w:r>
                </w:p>
              </w:tc>
            </w:tr>
            <w:tr w14:paraId="23188C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482" w:type="dxa"/>
                  <w:shd w:val="clear" w:color="auto" w:fill="auto"/>
                  <w:vAlign w:val="center"/>
                </w:tcPr>
                <w:p w14:paraId="4F150B75">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20</w:t>
                  </w:r>
                </w:p>
              </w:tc>
              <w:tc>
                <w:tcPr>
                  <w:tcW w:w="485" w:type="dxa"/>
                  <w:vMerge w:val="continue"/>
                  <w:shd w:val="clear" w:color="auto" w:fill="auto"/>
                  <w:tcMar>
                    <w:top w:w="0" w:type="dxa"/>
                    <w:left w:w="0" w:type="dxa"/>
                    <w:bottom w:w="0" w:type="dxa"/>
                    <w:right w:w="0" w:type="dxa"/>
                  </w:tcMar>
                  <w:vAlign w:val="center"/>
                </w:tcPr>
                <w:p w14:paraId="03C73FF2">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 w:val="21"/>
                      <w:szCs w:val="21"/>
                    </w:rPr>
                  </w:pPr>
                </w:p>
              </w:tc>
              <w:tc>
                <w:tcPr>
                  <w:tcW w:w="541" w:type="dxa"/>
                  <w:shd w:val="clear" w:color="auto" w:fill="auto"/>
                  <w:tcMar>
                    <w:top w:w="0" w:type="dxa"/>
                    <w:left w:w="0" w:type="dxa"/>
                    <w:bottom w:w="0" w:type="dxa"/>
                    <w:right w:w="0" w:type="dxa"/>
                  </w:tcMar>
                  <w:vAlign w:val="center"/>
                </w:tcPr>
                <w:p w14:paraId="6848AA4C">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FF0000"/>
                      <w:sz w:val="21"/>
                      <w:szCs w:val="21"/>
                    </w:rPr>
                    <w:t>双组份</w:t>
                  </w:r>
                  <w:r>
                    <w:rPr>
                      <w:rFonts w:hint="default" w:ascii="Times New Roman" w:hAnsi="Times New Roman" w:eastAsia="宋体" w:cs="Times New Roman"/>
                      <w:color w:val="auto"/>
                      <w:sz w:val="21"/>
                      <w:szCs w:val="21"/>
                    </w:rPr>
                    <w:t>压料机</w:t>
                  </w:r>
                  <w:r>
                    <w:rPr>
                      <w:rFonts w:hint="eastAsia" w:ascii="Times New Roman" w:hAnsi="Times New Roman" w:eastAsia="宋体" w:cs="Times New Roman"/>
                      <w:color w:val="auto"/>
                      <w:sz w:val="21"/>
                      <w:szCs w:val="21"/>
                      <w:lang w:eastAsia="zh-CN"/>
                    </w:rPr>
                    <w:t>，</w:t>
                  </w:r>
                  <w:r>
                    <w:rPr>
                      <w:rFonts w:hint="default" w:ascii="Times New Roman" w:hAnsi="Times New Roman" w:eastAsia="宋体" w:cs="Times New Roman"/>
                      <w:color w:val="auto"/>
                      <w:sz w:val="21"/>
                      <w:szCs w:val="21"/>
                    </w:rPr>
                    <w:t>15台（按点声源组预测）</w:t>
                  </w:r>
                </w:p>
              </w:tc>
              <w:tc>
                <w:tcPr>
                  <w:tcW w:w="413" w:type="dxa"/>
                  <w:shd w:val="clear" w:color="auto" w:fill="auto"/>
                  <w:tcMar>
                    <w:top w:w="0" w:type="dxa"/>
                    <w:left w:w="0" w:type="dxa"/>
                    <w:bottom w:w="0" w:type="dxa"/>
                    <w:right w:w="0" w:type="dxa"/>
                  </w:tcMar>
                  <w:vAlign w:val="center"/>
                </w:tcPr>
                <w:p w14:paraId="14EFE001">
                  <w:pPr>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color w:val="auto"/>
                      <w:sz w:val="21"/>
                      <w:szCs w:val="21"/>
                      <w:highlight w:val="none"/>
                      <w:lang w:val="en-US" w:eastAsia="en-US" w:bidi="ar-SA"/>
                    </w:rPr>
                  </w:pPr>
                  <w:r>
                    <w:rPr>
                      <w:rFonts w:hint="default" w:ascii="Times New Roman" w:hAnsi="Times New Roman" w:eastAsia="宋体" w:cs="Times New Roman"/>
                      <w:color w:val="auto"/>
                      <w:sz w:val="21"/>
                      <w:szCs w:val="21"/>
                      <w:highlight w:val="none"/>
                    </w:rPr>
                    <w:t>TJ-200</w:t>
                  </w:r>
                </w:p>
              </w:tc>
              <w:tc>
                <w:tcPr>
                  <w:tcW w:w="637" w:type="dxa"/>
                  <w:shd w:val="clear" w:color="auto" w:fill="auto"/>
                  <w:tcMar>
                    <w:top w:w="0" w:type="dxa"/>
                    <w:left w:w="0" w:type="dxa"/>
                    <w:bottom w:w="0" w:type="dxa"/>
                    <w:right w:w="0" w:type="dxa"/>
                  </w:tcMar>
                  <w:vAlign w:val="center"/>
                </w:tcPr>
                <w:p w14:paraId="42F1CE57">
                  <w:pPr>
                    <w:keepNext w:val="0"/>
                    <w:keepLines w:val="0"/>
                    <w:suppressLineNumbers w:val="0"/>
                    <w:spacing w:before="0" w:beforeAutospacing="0" w:after="0" w:afterAutospacing="0"/>
                    <w:ind w:left="0" w:right="0"/>
                    <w:jc w:val="center"/>
                    <w:rPr>
                      <w:rFonts w:hint="eastAsia" w:ascii="Times New Roman" w:hAnsi="Times New Roman" w:eastAsia="宋体" w:cs="Times New Roman"/>
                      <w:color w:val="auto"/>
                      <w:sz w:val="21"/>
                      <w:szCs w:val="21"/>
                      <w:lang w:eastAsia="zh-CN"/>
                    </w:rPr>
                  </w:pPr>
                  <w:r>
                    <w:rPr>
                      <w:rFonts w:hint="default" w:ascii="Times New Roman" w:hAnsi="Times New Roman" w:eastAsia="宋体" w:cs="Times New Roman"/>
                      <w:color w:val="auto"/>
                      <w:sz w:val="21"/>
                      <w:szCs w:val="21"/>
                    </w:rPr>
                    <w:t>75/1（等效后：81.0/1</w:t>
                  </w:r>
                  <w:r>
                    <w:rPr>
                      <w:rFonts w:hint="eastAsia" w:ascii="Times New Roman" w:hAnsi="Times New Roman" w:eastAsia="宋体" w:cs="Times New Roman"/>
                      <w:color w:val="auto"/>
                      <w:sz w:val="21"/>
                      <w:szCs w:val="21"/>
                      <w:lang w:eastAsia="zh-CN"/>
                    </w:rPr>
                    <w:t>）</w:t>
                  </w:r>
                </w:p>
              </w:tc>
              <w:tc>
                <w:tcPr>
                  <w:tcW w:w="553" w:type="dxa"/>
                  <w:vMerge w:val="continue"/>
                  <w:shd w:val="clear" w:color="auto" w:fill="auto"/>
                  <w:tcMar>
                    <w:top w:w="0" w:type="dxa"/>
                    <w:left w:w="0" w:type="dxa"/>
                    <w:bottom w:w="0" w:type="dxa"/>
                    <w:right w:w="0" w:type="dxa"/>
                  </w:tcMar>
                  <w:vAlign w:val="center"/>
                </w:tcPr>
                <w:p w14:paraId="6A076F7D">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 w:val="21"/>
                      <w:szCs w:val="21"/>
                    </w:rPr>
                  </w:pPr>
                </w:p>
              </w:tc>
              <w:tc>
                <w:tcPr>
                  <w:tcW w:w="563" w:type="dxa"/>
                  <w:shd w:val="clear" w:color="auto" w:fill="auto"/>
                  <w:tcMar>
                    <w:top w:w="0" w:type="dxa"/>
                    <w:left w:w="0" w:type="dxa"/>
                    <w:bottom w:w="0" w:type="dxa"/>
                    <w:right w:w="0" w:type="dxa"/>
                  </w:tcMar>
                  <w:vAlign w:val="center"/>
                </w:tcPr>
                <w:p w14:paraId="6C57379F">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57.5</w:t>
                  </w:r>
                </w:p>
              </w:tc>
              <w:tc>
                <w:tcPr>
                  <w:tcW w:w="563" w:type="dxa"/>
                  <w:shd w:val="clear" w:color="auto" w:fill="auto"/>
                  <w:tcMar>
                    <w:top w:w="0" w:type="dxa"/>
                    <w:left w:w="0" w:type="dxa"/>
                    <w:bottom w:w="0" w:type="dxa"/>
                    <w:right w:w="0" w:type="dxa"/>
                  </w:tcMar>
                  <w:vAlign w:val="center"/>
                </w:tcPr>
                <w:p w14:paraId="5615EE50">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28.4</w:t>
                  </w:r>
                </w:p>
              </w:tc>
              <w:tc>
                <w:tcPr>
                  <w:tcW w:w="564" w:type="dxa"/>
                  <w:shd w:val="clear" w:color="auto" w:fill="auto"/>
                  <w:tcMar>
                    <w:top w:w="0" w:type="dxa"/>
                    <w:left w:w="0" w:type="dxa"/>
                    <w:bottom w:w="0" w:type="dxa"/>
                    <w:right w:w="0" w:type="dxa"/>
                  </w:tcMar>
                  <w:vAlign w:val="center"/>
                </w:tcPr>
                <w:p w14:paraId="5C962A93">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1.2</w:t>
                  </w:r>
                </w:p>
              </w:tc>
              <w:tc>
                <w:tcPr>
                  <w:tcW w:w="466" w:type="dxa"/>
                  <w:shd w:val="clear" w:color="auto" w:fill="auto"/>
                  <w:tcMar>
                    <w:top w:w="0" w:type="dxa"/>
                    <w:left w:w="0" w:type="dxa"/>
                    <w:bottom w:w="0" w:type="dxa"/>
                    <w:right w:w="0" w:type="dxa"/>
                  </w:tcMar>
                  <w:vAlign w:val="center"/>
                </w:tcPr>
                <w:p w14:paraId="228A1260">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20.5</w:t>
                  </w:r>
                </w:p>
              </w:tc>
              <w:tc>
                <w:tcPr>
                  <w:tcW w:w="466" w:type="dxa"/>
                  <w:shd w:val="clear" w:color="auto" w:fill="auto"/>
                  <w:tcMar>
                    <w:top w:w="0" w:type="dxa"/>
                    <w:left w:w="0" w:type="dxa"/>
                    <w:bottom w:w="0" w:type="dxa"/>
                    <w:right w:w="0" w:type="dxa"/>
                  </w:tcMar>
                  <w:vAlign w:val="center"/>
                </w:tcPr>
                <w:p w14:paraId="7EBDA3E3">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43.5</w:t>
                  </w:r>
                </w:p>
              </w:tc>
              <w:tc>
                <w:tcPr>
                  <w:tcW w:w="466" w:type="dxa"/>
                  <w:shd w:val="clear" w:color="auto" w:fill="auto"/>
                  <w:tcMar>
                    <w:top w:w="0" w:type="dxa"/>
                    <w:left w:w="0" w:type="dxa"/>
                    <w:bottom w:w="0" w:type="dxa"/>
                    <w:right w:w="0" w:type="dxa"/>
                  </w:tcMar>
                  <w:vAlign w:val="center"/>
                </w:tcPr>
                <w:p w14:paraId="5E03596F">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61.9</w:t>
                  </w:r>
                </w:p>
              </w:tc>
              <w:tc>
                <w:tcPr>
                  <w:tcW w:w="467" w:type="dxa"/>
                  <w:shd w:val="clear" w:color="auto" w:fill="auto"/>
                  <w:tcMar>
                    <w:top w:w="0" w:type="dxa"/>
                    <w:left w:w="0" w:type="dxa"/>
                    <w:bottom w:w="0" w:type="dxa"/>
                    <w:right w:w="0" w:type="dxa"/>
                  </w:tcMar>
                  <w:vAlign w:val="center"/>
                </w:tcPr>
                <w:p w14:paraId="747B940B">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13.3</w:t>
                  </w:r>
                </w:p>
              </w:tc>
              <w:tc>
                <w:tcPr>
                  <w:tcW w:w="460" w:type="dxa"/>
                  <w:shd w:val="clear" w:color="auto" w:fill="auto"/>
                  <w:tcMar>
                    <w:top w:w="0" w:type="dxa"/>
                    <w:left w:w="0" w:type="dxa"/>
                    <w:bottom w:w="0" w:type="dxa"/>
                    <w:right w:w="0" w:type="dxa"/>
                  </w:tcMar>
                  <w:vAlign w:val="center"/>
                </w:tcPr>
                <w:p w14:paraId="07BB5FA5">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61.1</w:t>
                  </w:r>
                </w:p>
              </w:tc>
              <w:tc>
                <w:tcPr>
                  <w:tcW w:w="460" w:type="dxa"/>
                  <w:shd w:val="clear" w:color="auto" w:fill="auto"/>
                  <w:tcMar>
                    <w:top w:w="0" w:type="dxa"/>
                    <w:left w:w="0" w:type="dxa"/>
                    <w:bottom w:w="0" w:type="dxa"/>
                    <w:right w:w="0" w:type="dxa"/>
                  </w:tcMar>
                  <w:vAlign w:val="center"/>
                </w:tcPr>
                <w:p w14:paraId="79AC2EF4">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61.0</w:t>
                  </w:r>
                </w:p>
              </w:tc>
              <w:tc>
                <w:tcPr>
                  <w:tcW w:w="460" w:type="dxa"/>
                  <w:shd w:val="clear" w:color="auto" w:fill="auto"/>
                  <w:tcMar>
                    <w:top w:w="0" w:type="dxa"/>
                    <w:left w:w="0" w:type="dxa"/>
                    <w:bottom w:w="0" w:type="dxa"/>
                    <w:right w:w="0" w:type="dxa"/>
                  </w:tcMar>
                  <w:vAlign w:val="center"/>
                </w:tcPr>
                <w:p w14:paraId="01B9ADB9">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61.0</w:t>
                  </w:r>
                </w:p>
              </w:tc>
              <w:tc>
                <w:tcPr>
                  <w:tcW w:w="462" w:type="dxa"/>
                  <w:shd w:val="clear" w:color="auto" w:fill="auto"/>
                  <w:tcMar>
                    <w:top w:w="0" w:type="dxa"/>
                    <w:left w:w="0" w:type="dxa"/>
                    <w:bottom w:w="0" w:type="dxa"/>
                    <w:right w:w="0" w:type="dxa"/>
                  </w:tcMar>
                  <w:vAlign w:val="center"/>
                </w:tcPr>
                <w:p w14:paraId="78F5D5B5">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61.1</w:t>
                  </w:r>
                </w:p>
              </w:tc>
              <w:tc>
                <w:tcPr>
                  <w:tcW w:w="445" w:type="dxa"/>
                  <w:vMerge w:val="continue"/>
                  <w:shd w:val="clear" w:color="auto" w:fill="auto"/>
                  <w:tcMar>
                    <w:top w:w="0" w:type="dxa"/>
                    <w:left w:w="0" w:type="dxa"/>
                    <w:bottom w:w="0" w:type="dxa"/>
                    <w:right w:w="0" w:type="dxa"/>
                  </w:tcMar>
                  <w:vAlign w:val="center"/>
                </w:tcPr>
                <w:p w14:paraId="1F81195A">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 w:val="21"/>
                      <w:szCs w:val="21"/>
                    </w:rPr>
                  </w:pPr>
                </w:p>
              </w:tc>
              <w:tc>
                <w:tcPr>
                  <w:tcW w:w="444" w:type="dxa"/>
                  <w:shd w:val="clear" w:color="auto" w:fill="auto"/>
                  <w:tcMar>
                    <w:top w:w="0" w:type="dxa"/>
                    <w:left w:w="0" w:type="dxa"/>
                    <w:bottom w:w="0" w:type="dxa"/>
                    <w:right w:w="0" w:type="dxa"/>
                  </w:tcMar>
                  <w:vAlign w:val="center"/>
                </w:tcPr>
                <w:p w14:paraId="18D703E6">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20.0</w:t>
                  </w:r>
                </w:p>
              </w:tc>
              <w:tc>
                <w:tcPr>
                  <w:tcW w:w="444" w:type="dxa"/>
                  <w:shd w:val="clear" w:color="auto" w:fill="auto"/>
                  <w:tcMar>
                    <w:top w:w="0" w:type="dxa"/>
                    <w:left w:w="0" w:type="dxa"/>
                    <w:bottom w:w="0" w:type="dxa"/>
                    <w:right w:w="0" w:type="dxa"/>
                  </w:tcMar>
                  <w:vAlign w:val="center"/>
                </w:tcPr>
                <w:p w14:paraId="6E6D02F4">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20.0</w:t>
                  </w:r>
                </w:p>
              </w:tc>
              <w:tc>
                <w:tcPr>
                  <w:tcW w:w="444" w:type="dxa"/>
                  <w:shd w:val="clear" w:color="auto" w:fill="auto"/>
                  <w:tcMar>
                    <w:top w:w="0" w:type="dxa"/>
                    <w:left w:w="0" w:type="dxa"/>
                    <w:bottom w:w="0" w:type="dxa"/>
                    <w:right w:w="0" w:type="dxa"/>
                  </w:tcMar>
                  <w:vAlign w:val="center"/>
                </w:tcPr>
                <w:p w14:paraId="25E72C0F">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20.0</w:t>
                  </w:r>
                </w:p>
              </w:tc>
              <w:tc>
                <w:tcPr>
                  <w:tcW w:w="444" w:type="dxa"/>
                  <w:shd w:val="clear" w:color="auto" w:fill="auto"/>
                  <w:tcMar>
                    <w:top w:w="0" w:type="dxa"/>
                    <w:left w:w="0" w:type="dxa"/>
                    <w:bottom w:w="0" w:type="dxa"/>
                    <w:right w:w="0" w:type="dxa"/>
                  </w:tcMar>
                  <w:vAlign w:val="center"/>
                </w:tcPr>
                <w:p w14:paraId="7A7514D7">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20.0</w:t>
                  </w:r>
                </w:p>
              </w:tc>
              <w:tc>
                <w:tcPr>
                  <w:tcW w:w="470" w:type="dxa"/>
                  <w:shd w:val="clear" w:color="auto" w:fill="auto"/>
                  <w:tcMar>
                    <w:top w:w="0" w:type="dxa"/>
                    <w:left w:w="0" w:type="dxa"/>
                    <w:bottom w:w="0" w:type="dxa"/>
                    <w:right w:w="0" w:type="dxa"/>
                  </w:tcMar>
                  <w:vAlign w:val="center"/>
                </w:tcPr>
                <w:p w14:paraId="71A1EB89">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41.1</w:t>
                  </w:r>
                </w:p>
              </w:tc>
              <w:tc>
                <w:tcPr>
                  <w:tcW w:w="470" w:type="dxa"/>
                  <w:shd w:val="clear" w:color="auto" w:fill="auto"/>
                  <w:tcMar>
                    <w:top w:w="0" w:type="dxa"/>
                    <w:left w:w="0" w:type="dxa"/>
                    <w:bottom w:w="0" w:type="dxa"/>
                    <w:right w:w="0" w:type="dxa"/>
                  </w:tcMar>
                  <w:vAlign w:val="center"/>
                </w:tcPr>
                <w:p w14:paraId="56F718C0">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41.0</w:t>
                  </w:r>
                </w:p>
              </w:tc>
              <w:tc>
                <w:tcPr>
                  <w:tcW w:w="470" w:type="dxa"/>
                  <w:shd w:val="clear" w:color="auto" w:fill="auto"/>
                  <w:tcMar>
                    <w:top w:w="0" w:type="dxa"/>
                    <w:left w:w="0" w:type="dxa"/>
                    <w:bottom w:w="0" w:type="dxa"/>
                    <w:right w:w="0" w:type="dxa"/>
                  </w:tcMar>
                  <w:vAlign w:val="center"/>
                </w:tcPr>
                <w:p w14:paraId="76C49577">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41.0</w:t>
                  </w:r>
                </w:p>
              </w:tc>
              <w:tc>
                <w:tcPr>
                  <w:tcW w:w="471" w:type="dxa"/>
                  <w:shd w:val="clear" w:color="auto" w:fill="auto"/>
                  <w:tcMar>
                    <w:top w:w="0" w:type="dxa"/>
                    <w:left w:w="0" w:type="dxa"/>
                    <w:bottom w:w="0" w:type="dxa"/>
                    <w:right w:w="0" w:type="dxa"/>
                  </w:tcMar>
                  <w:vAlign w:val="center"/>
                </w:tcPr>
                <w:p w14:paraId="2FC1CAB8">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41.1</w:t>
                  </w:r>
                </w:p>
              </w:tc>
              <w:tc>
                <w:tcPr>
                  <w:tcW w:w="648" w:type="dxa"/>
                  <w:shd w:val="clear" w:color="auto" w:fill="auto"/>
                  <w:tcMar>
                    <w:top w:w="0" w:type="dxa"/>
                    <w:left w:w="0" w:type="dxa"/>
                    <w:bottom w:w="0" w:type="dxa"/>
                    <w:right w:w="0" w:type="dxa"/>
                  </w:tcMar>
                  <w:vAlign w:val="center"/>
                </w:tcPr>
                <w:p w14:paraId="62BE24AA">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1</w:t>
                  </w:r>
                </w:p>
              </w:tc>
            </w:tr>
            <w:tr w14:paraId="14D562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23" w:hRule="atLeast"/>
                <w:jc w:val="center"/>
              </w:trPr>
              <w:tc>
                <w:tcPr>
                  <w:tcW w:w="482" w:type="dxa"/>
                  <w:shd w:val="clear" w:color="auto" w:fill="auto"/>
                  <w:vAlign w:val="center"/>
                </w:tcPr>
                <w:p w14:paraId="180F58A2">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21</w:t>
                  </w:r>
                </w:p>
              </w:tc>
              <w:tc>
                <w:tcPr>
                  <w:tcW w:w="485" w:type="dxa"/>
                  <w:vMerge w:val="continue"/>
                  <w:shd w:val="clear" w:color="auto" w:fill="auto"/>
                  <w:tcMar>
                    <w:top w:w="0" w:type="dxa"/>
                    <w:left w:w="0" w:type="dxa"/>
                    <w:bottom w:w="0" w:type="dxa"/>
                    <w:right w:w="0" w:type="dxa"/>
                  </w:tcMar>
                  <w:vAlign w:val="center"/>
                </w:tcPr>
                <w:p w14:paraId="73CDEF06">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 w:val="21"/>
                      <w:szCs w:val="21"/>
                    </w:rPr>
                  </w:pPr>
                </w:p>
              </w:tc>
              <w:tc>
                <w:tcPr>
                  <w:tcW w:w="541" w:type="dxa"/>
                  <w:shd w:val="clear" w:color="auto" w:fill="auto"/>
                  <w:tcMar>
                    <w:top w:w="0" w:type="dxa"/>
                    <w:left w:w="0" w:type="dxa"/>
                    <w:bottom w:w="0" w:type="dxa"/>
                    <w:right w:w="0" w:type="dxa"/>
                  </w:tcMar>
                  <w:vAlign w:val="center"/>
                </w:tcPr>
                <w:p w14:paraId="7AD8DB09">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压延涂布机</w:t>
                  </w:r>
                  <w:r>
                    <w:rPr>
                      <w:rFonts w:hint="eastAsia" w:ascii="Times New Roman" w:hAnsi="Times New Roman" w:eastAsia="宋体" w:cs="Times New Roman"/>
                      <w:color w:val="auto"/>
                      <w:sz w:val="21"/>
                      <w:szCs w:val="21"/>
                      <w:lang w:eastAsia="zh-CN"/>
                    </w:rPr>
                    <w:t>，</w:t>
                  </w:r>
                  <w:r>
                    <w:rPr>
                      <w:rFonts w:hint="default" w:ascii="Times New Roman" w:hAnsi="Times New Roman" w:eastAsia="宋体" w:cs="Times New Roman"/>
                      <w:color w:val="auto"/>
                      <w:sz w:val="21"/>
                      <w:szCs w:val="21"/>
                    </w:rPr>
                    <w:t>5台（按点声源组预测）</w:t>
                  </w:r>
                </w:p>
              </w:tc>
              <w:tc>
                <w:tcPr>
                  <w:tcW w:w="413" w:type="dxa"/>
                  <w:shd w:val="clear" w:color="auto" w:fill="auto"/>
                  <w:tcMar>
                    <w:top w:w="0" w:type="dxa"/>
                    <w:left w:w="0" w:type="dxa"/>
                    <w:bottom w:w="0" w:type="dxa"/>
                    <w:right w:w="0" w:type="dxa"/>
                  </w:tcMar>
                  <w:vAlign w:val="center"/>
                </w:tcPr>
                <w:p w14:paraId="1CAF9624">
                  <w:pPr>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color w:val="auto"/>
                      <w:sz w:val="21"/>
                      <w:szCs w:val="21"/>
                      <w:highlight w:val="none"/>
                      <w:lang w:val="en-US" w:eastAsia="en-US" w:bidi="ar-SA"/>
                    </w:rPr>
                  </w:pPr>
                  <w:r>
                    <w:rPr>
                      <w:rFonts w:hint="default" w:ascii="Times New Roman" w:hAnsi="Times New Roman" w:eastAsia="宋体" w:cs="Times New Roman"/>
                      <w:color w:val="auto"/>
                      <w:sz w:val="21"/>
                      <w:szCs w:val="21"/>
                      <w:highlight w:val="none"/>
                    </w:rPr>
                    <w:t>1450-M</w:t>
                  </w:r>
                </w:p>
              </w:tc>
              <w:tc>
                <w:tcPr>
                  <w:tcW w:w="637" w:type="dxa"/>
                  <w:shd w:val="clear" w:color="auto" w:fill="auto"/>
                  <w:tcMar>
                    <w:top w:w="0" w:type="dxa"/>
                    <w:left w:w="0" w:type="dxa"/>
                    <w:bottom w:w="0" w:type="dxa"/>
                    <w:right w:w="0" w:type="dxa"/>
                  </w:tcMar>
                  <w:vAlign w:val="center"/>
                </w:tcPr>
                <w:p w14:paraId="397B05A5">
                  <w:pPr>
                    <w:keepNext w:val="0"/>
                    <w:keepLines w:val="0"/>
                    <w:suppressLineNumbers w:val="0"/>
                    <w:spacing w:before="0" w:beforeAutospacing="0" w:after="0" w:afterAutospacing="0"/>
                    <w:ind w:left="0" w:right="0"/>
                    <w:jc w:val="center"/>
                    <w:rPr>
                      <w:rFonts w:hint="eastAsia" w:ascii="Times New Roman" w:hAnsi="Times New Roman" w:eastAsia="宋体" w:cs="Times New Roman"/>
                      <w:color w:val="auto"/>
                      <w:sz w:val="21"/>
                      <w:szCs w:val="21"/>
                      <w:lang w:eastAsia="zh-CN"/>
                    </w:rPr>
                  </w:pPr>
                  <w:r>
                    <w:rPr>
                      <w:rFonts w:hint="default" w:ascii="Times New Roman" w:hAnsi="Times New Roman" w:eastAsia="宋体" w:cs="Times New Roman"/>
                      <w:color w:val="auto"/>
                      <w:sz w:val="21"/>
                      <w:szCs w:val="21"/>
                    </w:rPr>
                    <w:t>75/1（等效后：81.0/1</w:t>
                  </w:r>
                  <w:r>
                    <w:rPr>
                      <w:rFonts w:hint="eastAsia" w:ascii="Times New Roman" w:hAnsi="Times New Roman" w:eastAsia="宋体" w:cs="Times New Roman"/>
                      <w:color w:val="auto"/>
                      <w:sz w:val="21"/>
                      <w:szCs w:val="21"/>
                      <w:lang w:eastAsia="zh-CN"/>
                    </w:rPr>
                    <w:t>）</w:t>
                  </w:r>
                </w:p>
              </w:tc>
              <w:tc>
                <w:tcPr>
                  <w:tcW w:w="553" w:type="dxa"/>
                  <w:vMerge w:val="continue"/>
                  <w:shd w:val="clear" w:color="auto" w:fill="auto"/>
                  <w:tcMar>
                    <w:top w:w="0" w:type="dxa"/>
                    <w:left w:w="0" w:type="dxa"/>
                    <w:bottom w:w="0" w:type="dxa"/>
                    <w:right w:w="0" w:type="dxa"/>
                  </w:tcMar>
                  <w:vAlign w:val="center"/>
                </w:tcPr>
                <w:p w14:paraId="7D728CA4">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 w:val="21"/>
                      <w:szCs w:val="21"/>
                    </w:rPr>
                  </w:pPr>
                </w:p>
              </w:tc>
              <w:tc>
                <w:tcPr>
                  <w:tcW w:w="563" w:type="dxa"/>
                  <w:shd w:val="clear" w:color="auto" w:fill="auto"/>
                  <w:tcMar>
                    <w:top w:w="0" w:type="dxa"/>
                    <w:left w:w="0" w:type="dxa"/>
                    <w:bottom w:w="0" w:type="dxa"/>
                    <w:right w:w="0" w:type="dxa"/>
                  </w:tcMar>
                  <w:vAlign w:val="center"/>
                </w:tcPr>
                <w:p w14:paraId="4435697B">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62.1</w:t>
                  </w:r>
                </w:p>
              </w:tc>
              <w:tc>
                <w:tcPr>
                  <w:tcW w:w="563" w:type="dxa"/>
                  <w:shd w:val="clear" w:color="auto" w:fill="auto"/>
                  <w:tcMar>
                    <w:top w:w="0" w:type="dxa"/>
                    <w:left w:w="0" w:type="dxa"/>
                    <w:bottom w:w="0" w:type="dxa"/>
                    <w:right w:w="0" w:type="dxa"/>
                  </w:tcMar>
                  <w:vAlign w:val="center"/>
                </w:tcPr>
                <w:p w14:paraId="0937DAF0">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30.9</w:t>
                  </w:r>
                </w:p>
              </w:tc>
              <w:tc>
                <w:tcPr>
                  <w:tcW w:w="564" w:type="dxa"/>
                  <w:shd w:val="clear" w:color="auto" w:fill="auto"/>
                  <w:tcMar>
                    <w:top w:w="0" w:type="dxa"/>
                    <w:left w:w="0" w:type="dxa"/>
                    <w:bottom w:w="0" w:type="dxa"/>
                    <w:right w:w="0" w:type="dxa"/>
                  </w:tcMar>
                  <w:vAlign w:val="center"/>
                </w:tcPr>
                <w:p w14:paraId="40A39886">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1.2</w:t>
                  </w:r>
                </w:p>
              </w:tc>
              <w:tc>
                <w:tcPr>
                  <w:tcW w:w="466" w:type="dxa"/>
                  <w:shd w:val="clear" w:color="auto" w:fill="auto"/>
                  <w:tcMar>
                    <w:top w:w="0" w:type="dxa"/>
                    <w:left w:w="0" w:type="dxa"/>
                    <w:bottom w:w="0" w:type="dxa"/>
                    <w:right w:w="0" w:type="dxa"/>
                  </w:tcMar>
                  <w:vAlign w:val="center"/>
                </w:tcPr>
                <w:p w14:paraId="2752D309">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15.5</w:t>
                  </w:r>
                </w:p>
              </w:tc>
              <w:tc>
                <w:tcPr>
                  <w:tcW w:w="466" w:type="dxa"/>
                  <w:shd w:val="clear" w:color="auto" w:fill="auto"/>
                  <w:tcMar>
                    <w:top w:w="0" w:type="dxa"/>
                    <w:left w:w="0" w:type="dxa"/>
                    <w:bottom w:w="0" w:type="dxa"/>
                    <w:right w:w="0" w:type="dxa"/>
                  </w:tcMar>
                  <w:vAlign w:val="center"/>
                </w:tcPr>
                <w:p w14:paraId="0E838930">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45.0</w:t>
                  </w:r>
                </w:p>
              </w:tc>
              <w:tc>
                <w:tcPr>
                  <w:tcW w:w="466" w:type="dxa"/>
                  <w:shd w:val="clear" w:color="auto" w:fill="auto"/>
                  <w:tcMar>
                    <w:top w:w="0" w:type="dxa"/>
                    <w:left w:w="0" w:type="dxa"/>
                    <w:bottom w:w="0" w:type="dxa"/>
                    <w:right w:w="0" w:type="dxa"/>
                  </w:tcMar>
                  <w:vAlign w:val="center"/>
                </w:tcPr>
                <w:p w14:paraId="755C91D7">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66.9</w:t>
                  </w:r>
                </w:p>
              </w:tc>
              <w:tc>
                <w:tcPr>
                  <w:tcW w:w="467" w:type="dxa"/>
                  <w:shd w:val="clear" w:color="auto" w:fill="auto"/>
                  <w:tcMar>
                    <w:top w:w="0" w:type="dxa"/>
                    <w:left w:w="0" w:type="dxa"/>
                    <w:bottom w:w="0" w:type="dxa"/>
                    <w:right w:w="0" w:type="dxa"/>
                  </w:tcMar>
                  <w:vAlign w:val="center"/>
                </w:tcPr>
                <w:p w14:paraId="019A58DC">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11.9</w:t>
                  </w:r>
                </w:p>
              </w:tc>
              <w:tc>
                <w:tcPr>
                  <w:tcW w:w="460" w:type="dxa"/>
                  <w:shd w:val="clear" w:color="auto" w:fill="auto"/>
                  <w:tcMar>
                    <w:top w:w="0" w:type="dxa"/>
                    <w:left w:w="0" w:type="dxa"/>
                    <w:bottom w:w="0" w:type="dxa"/>
                    <w:right w:w="0" w:type="dxa"/>
                  </w:tcMar>
                  <w:vAlign w:val="center"/>
                </w:tcPr>
                <w:p w14:paraId="6EC48676">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61.1</w:t>
                  </w:r>
                </w:p>
              </w:tc>
              <w:tc>
                <w:tcPr>
                  <w:tcW w:w="460" w:type="dxa"/>
                  <w:shd w:val="clear" w:color="auto" w:fill="auto"/>
                  <w:tcMar>
                    <w:top w:w="0" w:type="dxa"/>
                    <w:left w:w="0" w:type="dxa"/>
                    <w:bottom w:w="0" w:type="dxa"/>
                    <w:right w:w="0" w:type="dxa"/>
                  </w:tcMar>
                  <w:vAlign w:val="center"/>
                </w:tcPr>
                <w:p w14:paraId="0BD1D6F7">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61.0</w:t>
                  </w:r>
                </w:p>
              </w:tc>
              <w:tc>
                <w:tcPr>
                  <w:tcW w:w="460" w:type="dxa"/>
                  <w:shd w:val="clear" w:color="auto" w:fill="auto"/>
                  <w:tcMar>
                    <w:top w:w="0" w:type="dxa"/>
                    <w:left w:w="0" w:type="dxa"/>
                    <w:bottom w:w="0" w:type="dxa"/>
                    <w:right w:w="0" w:type="dxa"/>
                  </w:tcMar>
                  <w:vAlign w:val="center"/>
                </w:tcPr>
                <w:p w14:paraId="51E3FD0C">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61.0</w:t>
                  </w:r>
                </w:p>
              </w:tc>
              <w:tc>
                <w:tcPr>
                  <w:tcW w:w="462" w:type="dxa"/>
                  <w:shd w:val="clear" w:color="auto" w:fill="auto"/>
                  <w:tcMar>
                    <w:top w:w="0" w:type="dxa"/>
                    <w:left w:w="0" w:type="dxa"/>
                    <w:bottom w:w="0" w:type="dxa"/>
                    <w:right w:w="0" w:type="dxa"/>
                  </w:tcMar>
                  <w:vAlign w:val="center"/>
                </w:tcPr>
                <w:p w14:paraId="3C57B518">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61.2</w:t>
                  </w:r>
                </w:p>
              </w:tc>
              <w:tc>
                <w:tcPr>
                  <w:tcW w:w="445" w:type="dxa"/>
                  <w:vMerge w:val="continue"/>
                  <w:shd w:val="clear" w:color="auto" w:fill="auto"/>
                  <w:tcMar>
                    <w:top w:w="0" w:type="dxa"/>
                    <w:left w:w="0" w:type="dxa"/>
                    <w:bottom w:w="0" w:type="dxa"/>
                    <w:right w:w="0" w:type="dxa"/>
                  </w:tcMar>
                  <w:vAlign w:val="center"/>
                </w:tcPr>
                <w:p w14:paraId="06E16DE3">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 w:val="21"/>
                      <w:szCs w:val="21"/>
                    </w:rPr>
                  </w:pPr>
                </w:p>
              </w:tc>
              <w:tc>
                <w:tcPr>
                  <w:tcW w:w="444" w:type="dxa"/>
                  <w:shd w:val="clear" w:color="auto" w:fill="auto"/>
                  <w:tcMar>
                    <w:top w:w="0" w:type="dxa"/>
                    <w:left w:w="0" w:type="dxa"/>
                    <w:bottom w:w="0" w:type="dxa"/>
                    <w:right w:w="0" w:type="dxa"/>
                  </w:tcMar>
                  <w:vAlign w:val="center"/>
                </w:tcPr>
                <w:p w14:paraId="4F33CAC2">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20.0</w:t>
                  </w:r>
                </w:p>
              </w:tc>
              <w:tc>
                <w:tcPr>
                  <w:tcW w:w="444" w:type="dxa"/>
                  <w:shd w:val="clear" w:color="auto" w:fill="auto"/>
                  <w:tcMar>
                    <w:top w:w="0" w:type="dxa"/>
                    <w:left w:w="0" w:type="dxa"/>
                    <w:bottom w:w="0" w:type="dxa"/>
                    <w:right w:w="0" w:type="dxa"/>
                  </w:tcMar>
                  <w:vAlign w:val="center"/>
                </w:tcPr>
                <w:p w14:paraId="2488ECC0">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20.0</w:t>
                  </w:r>
                </w:p>
              </w:tc>
              <w:tc>
                <w:tcPr>
                  <w:tcW w:w="444" w:type="dxa"/>
                  <w:shd w:val="clear" w:color="auto" w:fill="auto"/>
                  <w:tcMar>
                    <w:top w:w="0" w:type="dxa"/>
                    <w:left w:w="0" w:type="dxa"/>
                    <w:bottom w:w="0" w:type="dxa"/>
                    <w:right w:w="0" w:type="dxa"/>
                  </w:tcMar>
                  <w:vAlign w:val="center"/>
                </w:tcPr>
                <w:p w14:paraId="51B3A6D8">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20.0</w:t>
                  </w:r>
                </w:p>
              </w:tc>
              <w:tc>
                <w:tcPr>
                  <w:tcW w:w="444" w:type="dxa"/>
                  <w:shd w:val="clear" w:color="auto" w:fill="auto"/>
                  <w:tcMar>
                    <w:top w:w="0" w:type="dxa"/>
                    <w:left w:w="0" w:type="dxa"/>
                    <w:bottom w:w="0" w:type="dxa"/>
                    <w:right w:w="0" w:type="dxa"/>
                  </w:tcMar>
                  <w:vAlign w:val="center"/>
                </w:tcPr>
                <w:p w14:paraId="761C53F6">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20.0</w:t>
                  </w:r>
                </w:p>
              </w:tc>
              <w:tc>
                <w:tcPr>
                  <w:tcW w:w="470" w:type="dxa"/>
                  <w:shd w:val="clear" w:color="auto" w:fill="auto"/>
                  <w:tcMar>
                    <w:top w:w="0" w:type="dxa"/>
                    <w:left w:w="0" w:type="dxa"/>
                    <w:bottom w:w="0" w:type="dxa"/>
                    <w:right w:w="0" w:type="dxa"/>
                  </w:tcMar>
                  <w:vAlign w:val="center"/>
                </w:tcPr>
                <w:p w14:paraId="2B4467F0">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41.1</w:t>
                  </w:r>
                </w:p>
              </w:tc>
              <w:tc>
                <w:tcPr>
                  <w:tcW w:w="470" w:type="dxa"/>
                  <w:shd w:val="clear" w:color="auto" w:fill="auto"/>
                  <w:tcMar>
                    <w:top w:w="0" w:type="dxa"/>
                    <w:left w:w="0" w:type="dxa"/>
                    <w:bottom w:w="0" w:type="dxa"/>
                    <w:right w:w="0" w:type="dxa"/>
                  </w:tcMar>
                  <w:vAlign w:val="center"/>
                </w:tcPr>
                <w:p w14:paraId="1048F7AF">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41.0</w:t>
                  </w:r>
                </w:p>
              </w:tc>
              <w:tc>
                <w:tcPr>
                  <w:tcW w:w="470" w:type="dxa"/>
                  <w:shd w:val="clear" w:color="auto" w:fill="auto"/>
                  <w:tcMar>
                    <w:top w:w="0" w:type="dxa"/>
                    <w:left w:w="0" w:type="dxa"/>
                    <w:bottom w:w="0" w:type="dxa"/>
                    <w:right w:w="0" w:type="dxa"/>
                  </w:tcMar>
                  <w:vAlign w:val="center"/>
                </w:tcPr>
                <w:p w14:paraId="78F113F8">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41.0</w:t>
                  </w:r>
                </w:p>
              </w:tc>
              <w:tc>
                <w:tcPr>
                  <w:tcW w:w="471" w:type="dxa"/>
                  <w:shd w:val="clear" w:color="auto" w:fill="auto"/>
                  <w:tcMar>
                    <w:top w:w="0" w:type="dxa"/>
                    <w:left w:w="0" w:type="dxa"/>
                    <w:bottom w:w="0" w:type="dxa"/>
                    <w:right w:w="0" w:type="dxa"/>
                  </w:tcMar>
                  <w:vAlign w:val="center"/>
                </w:tcPr>
                <w:p w14:paraId="21AA3DD9">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41.2</w:t>
                  </w:r>
                </w:p>
              </w:tc>
              <w:tc>
                <w:tcPr>
                  <w:tcW w:w="648" w:type="dxa"/>
                  <w:shd w:val="clear" w:color="auto" w:fill="auto"/>
                  <w:tcMar>
                    <w:top w:w="0" w:type="dxa"/>
                    <w:left w:w="0" w:type="dxa"/>
                    <w:bottom w:w="0" w:type="dxa"/>
                    <w:right w:w="0" w:type="dxa"/>
                  </w:tcMar>
                  <w:vAlign w:val="center"/>
                </w:tcPr>
                <w:p w14:paraId="25862C0F">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1</w:t>
                  </w:r>
                </w:p>
              </w:tc>
            </w:tr>
            <w:tr w14:paraId="55B6C9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482" w:type="dxa"/>
                  <w:shd w:val="clear" w:color="auto" w:fill="auto"/>
                  <w:vAlign w:val="center"/>
                </w:tcPr>
                <w:p w14:paraId="64290C1D">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22</w:t>
                  </w:r>
                </w:p>
              </w:tc>
              <w:tc>
                <w:tcPr>
                  <w:tcW w:w="485" w:type="dxa"/>
                  <w:vMerge w:val="continue"/>
                  <w:shd w:val="clear" w:color="auto" w:fill="auto"/>
                  <w:tcMar>
                    <w:top w:w="0" w:type="dxa"/>
                    <w:left w:w="0" w:type="dxa"/>
                    <w:bottom w:w="0" w:type="dxa"/>
                    <w:right w:w="0" w:type="dxa"/>
                  </w:tcMar>
                  <w:vAlign w:val="center"/>
                </w:tcPr>
                <w:p w14:paraId="6D51C800">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 w:val="21"/>
                      <w:szCs w:val="21"/>
                    </w:rPr>
                  </w:pPr>
                </w:p>
              </w:tc>
              <w:tc>
                <w:tcPr>
                  <w:tcW w:w="541" w:type="dxa"/>
                  <w:shd w:val="clear" w:color="auto" w:fill="auto"/>
                  <w:tcMar>
                    <w:top w:w="0" w:type="dxa"/>
                    <w:left w:w="0" w:type="dxa"/>
                    <w:bottom w:w="0" w:type="dxa"/>
                    <w:right w:w="0" w:type="dxa"/>
                  </w:tcMar>
                  <w:vAlign w:val="center"/>
                </w:tcPr>
                <w:p w14:paraId="7CCE9D45">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1450立式（浸涂）涂布生产线</w:t>
                  </w:r>
                  <w:r>
                    <w:rPr>
                      <w:rFonts w:hint="eastAsia" w:ascii="Times New Roman" w:hAnsi="Times New Roman" w:eastAsia="宋体" w:cs="Times New Roman"/>
                      <w:color w:val="auto"/>
                      <w:sz w:val="21"/>
                      <w:szCs w:val="21"/>
                      <w:lang w:eastAsia="zh-CN"/>
                    </w:rPr>
                    <w:t>，</w:t>
                  </w:r>
                  <w:r>
                    <w:rPr>
                      <w:rFonts w:hint="default" w:ascii="Times New Roman" w:hAnsi="Times New Roman" w:eastAsia="宋体" w:cs="Times New Roman"/>
                      <w:color w:val="auto"/>
                      <w:sz w:val="21"/>
                      <w:szCs w:val="21"/>
                    </w:rPr>
                    <w:t>2台（按点声源组预测）</w:t>
                  </w:r>
                </w:p>
              </w:tc>
              <w:tc>
                <w:tcPr>
                  <w:tcW w:w="413" w:type="dxa"/>
                  <w:shd w:val="clear" w:color="auto" w:fill="auto"/>
                  <w:tcMar>
                    <w:top w:w="0" w:type="dxa"/>
                    <w:left w:w="0" w:type="dxa"/>
                    <w:bottom w:w="0" w:type="dxa"/>
                    <w:right w:w="0" w:type="dxa"/>
                  </w:tcMar>
                  <w:vAlign w:val="center"/>
                </w:tcPr>
                <w:p w14:paraId="767C5948">
                  <w:pPr>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color w:val="auto"/>
                      <w:sz w:val="21"/>
                      <w:szCs w:val="21"/>
                      <w:highlight w:val="none"/>
                      <w:lang w:val="en-US" w:eastAsia="en-US" w:bidi="ar-SA"/>
                    </w:rPr>
                  </w:pPr>
                  <w:r>
                    <w:rPr>
                      <w:rFonts w:hint="default" w:ascii="Times New Roman" w:hAnsi="Times New Roman" w:eastAsia="宋体" w:cs="Times New Roman"/>
                      <w:color w:val="auto"/>
                      <w:sz w:val="21"/>
                      <w:szCs w:val="21"/>
                      <w:highlight w:val="none"/>
                    </w:rPr>
                    <w:t>1450</w:t>
                  </w:r>
                </w:p>
              </w:tc>
              <w:tc>
                <w:tcPr>
                  <w:tcW w:w="637" w:type="dxa"/>
                  <w:shd w:val="clear" w:color="auto" w:fill="auto"/>
                  <w:tcMar>
                    <w:top w:w="0" w:type="dxa"/>
                    <w:left w:w="0" w:type="dxa"/>
                    <w:bottom w:w="0" w:type="dxa"/>
                    <w:right w:w="0" w:type="dxa"/>
                  </w:tcMar>
                  <w:vAlign w:val="center"/>
                </w:tcPr>
                <w:p w14:paraId="12759ADA">
                  <w:pPr>
                    <w:keepNext w:val="0"/>
                    <w:keepLines w:val="0"/>
                    <w:suppressLineNumbers w:val="0"/>
                    <w:spacing w:before="0" w:beforeAutospacing="0" w:after="0" w:afterAutospacing="0"/>
                    <w:ind w:left="0" w:right="0"/>
                    <w:jc w:val="center"/>
                    <w:rPr>
                      <w:rFonts w:hint="eastAsia" w:ascii="Times New Roman" w:hAnsi="Times New Roman" w:eastAsia="宋体" w:cs="Times New Roman"/>
                      <w:color w:val="auto"/>
                      <w:sz w:val="21"/>
                      <w:szCs w:val="21"/>
                      <w:lang w:eastAsia="zh-CN"/>
                    </w:rPr>
                  </w:pPr>
                  <w:r>
                    <w:rPr>
                      <w:rFonts w:hint="default" w:ascii="Times New Roman" w:hAnsi="Times New Roman" w:eastAsia="宋体" w:cs="Times New Roman"/>
                      <w:color w:val="auto"/>
                      <w:sz w:val="21"/>
                      <w:szCs w:val="21"/>
                    </w:rPr>
                    <w:t>76/1（等效后：79.0/1</w:t>
                  </w:r>
                  <w:r>
                    <w:rPr>
                      <w:rFonts w:hint="eastAsia" w:ascii="Times New Roman" w:hAnsi="Times New Roman" w:eastAsia="宋体" w:cs="Times New Roman"/>
                      <w:color w:val="auto"/>
                      <w:sz w:val="21"/>
                      <w:szCs w:val="21"/>
                      <w:lang w:eastAsia="zh-CN"/>
                    </w:rPr>
                    <w:t>）</w:t>
                  </w:r>
                </w:p>
              </w:tc>
              <w:tc>
                <w:tcPr>
                  <w:tcW w:w="553" w:type="dxa"/>
                  <w:vMerge w:val="continue"/>
                  <w:shd w:val="clear" w:color="auto" w:fill="auto"/>
                  <w:tcMar>
                    <w:top w:w="0" w:type="dxa"/>
                    <w:left w:w="0" w:type="dxa"/>
                    <w:bottom w:w="0" w:type="dxa"/>
                    <w:right w:w="0" w:type="dxa"/>
                  </w:tcMar>
                  <w:vAlign w:val="center"/>
                </w:tcPr>
                <w:p w14:paraId="1A549B84">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 w:val="21"/>
                      <w:szCs w:val="21"/>
                    </w:rPr>
                  </w:pPr>
                </w:p>
              </w:tc>
              <w:tc>
                <w:tcPr>
                  <w:tcW w:w="563" w:type="dxa"/>
                  <w:shd w:val="clear" w:color="auto" w:fill="auto"/>
                  <w:tcMar>
                    <w:top w:w="0" w:type="dxa"/>
                    <w:left w:w="0" w:type="dxa"/>
                    <w:bottom w:w="0" w:type="dxa"/>
                    <w:right w:w="0" w:type="dxa"/>
                  </w:tcMar>
                  <w:vAlign w:val="center"/>
                </w:tcPr>
                <w:p w14:paraId="02B27620">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58.7</w:t>
                  </w:r>
                </w:p>
              </w:tc>
              <w:tc>
                <w:tcPr>
                  <w:tcW w:w="563" w:type="dxa"/>
                  <w:shd w:val="clear" w:color="auto" w:fill="auto"/>
                  <w:tcMar>
                    <w:top w:w="0" w:type="dxa"/>
                    <w:left w:w="0" w:type="dxa"/>
                    <w:bottom w:w="0" w:type="dxa"/>
                    <w:right w:w="0" w:type="dxa"/>
                  </w:tcMar>
                  <w:vAlign w:val="center"/>
                </w:tcPr>
                <w:p w14:paraId="4109EFFE">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24.3</w:t>
                  </w:r>
                </w:p>
              </w:tc>
              <w:tc>
                <w:tcPr>
                  <w:tcW w:w="564" w:type="dxa"/>
                  <w:shd w:val="clear" w:color="auto" w:fill="auto"/>
                  <w:tcMar>
                    <w:top w:w="0" w:type="dxa"/>
                    <w:left w:w="0" w:type="dxa"/>
                    <w:bottom w:w="0" w:type="dxa"/>
                    <w:right w:w="0" w:type="dxa"/>
                  </w:tcMar>
                  <w:vAlign w:val="center"/>
                </w:tcPr>
                <w:p w14:paraId="6909E920">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1.2</w:t>
                  </w:r>
                </w:p>
              </w:tc>
              <w:tc>
                <w:tcPr>
                  <w:tcW w:w="466" w:type="dxa"/>
                  <w:shd w:val="clear" w:color="auto" w:fill="auto"/>
                  <w:tcMar>
                    <w:top w:w="0" w:type="dxa"/>
                    <w:left w:w="0" w:type="dxa"/>
                    <w:bottom w:w="0" w:type="dxa"/>
                    <w:right w:w="0" w:type="dxa"/>
                  </w:tcMar>
                  <w:vAlign w:val="center"/>
                </w:tcPr>
                <w:p w14:paraId="135BA4F6">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20.3</w:t>
                  </w:r>
                </w:p>
              </w:tc>
              <w:tc>
                <w:tcPr>
                  <w:tcW w:w="466" w:type="dxa"/>
                  <w:shd w:val="clear" w:color="auto" w:fill="auto"/>
                  <w:tcMar>
                    <w:top w:w="0" w:type="dxa"/>
                    <w:left w:w="0" w:type="dxa"/>
                    <w:bottom w:w="0" w:type="dxa"/>
                    <w:right w:w="0" w:type="dxa"/>
                  </w:tcMar>
                  <w:vAlign w:val="center"/>
                </w:tcPr>
                <w:p w14:paraId="3CC33D01">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39.3</w:t>
                  </w:r>
                </w:p>
              </w:tc>
              <w:tc>
                <w:tcPr>
                  <w:tcW w:w="466" w:type="dxa"/>
                  <w:shd w:val="clear" w:color="auto" w:fill="auto"/>
                  <w:tcMar>
                    <w:top w:w="0" w:type="dxa"/>
                    <w:left w:w="0" w:type="dxa"/>
                    <w:bottom w:w="0" w:type="dxa"/>
                    <w:right w:w="0" w:type="dxa"/>
                  </w:tcMar>
                  <w:vAlign w:val="center"/>
                </w:tcPr>
                <w:p w14:paraId="2B7B46D8">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62.2</w:t>
                  </w:r>
                </w:p>
              </w:tc>
              <w:tc>
                <w:tcPr>
                  <w:tcW w:w="467" w:type="dxa"/>
                  <w:shd w:val="clear" w:color="auto" w:fill="auto"/>
                  <w:tcMar>
                    <w:top w:w="0" w:type="dxa"/>
                    <w:left w:w="0" w:type="dxa"/>
                    <w:bottom w:w="0" w:type="dxa"/>
                    <w:right w:w="0" w:type="dxa"/>
                  </w:tcMar>
                  <w:vAlign w:val="center"/>
                </w:tcPr>
                <w:p w14:paraId="2A9931BD">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17.6</w:t>
                  </w:r>
                </w:p>
              </w:tc>
              <w:tc>
                <w:tcPr>
                  <w:tcW w:w="460" w:type="dxa"/>
                  <w:shd w:val="clear" w:color="auto" w:fill="auto"/>
                  <w:tcMar>
                    <w:top w:w="0" w:type="dxa"/>
                    <w:left w:w="0" w:type="dxa"/>
                    <w:bottom w:w="0" w:type="dxa"/>
                    <w:right w:w="0" w:type="dxa"/>
                  </w:tcMar>
                  <w:vAlign w:val="center"/>
                </w:tcPr>
                <w:p w14:paraId="06AA8E26">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50.1</w:t>
                  </w:r>
                </w:p>
              </w:tc>
              <w:tc>
                <w:tcPr>
                  <w:tcW w:w="460" w:type="dxa"/>
                  <w:shd w:val="clear" w:color="auto" w:fill="auto"/>
                  <w:tcMar>
                    <w:top w:w="0" w:type="dxa"/>
                    <w:left w:w="0" w:type="dxa"/>
                    <w:bottom w:w="0" w:type="dxa"/>
                    <w:right w:w="0" w:type="dxa"/>
                  </w:tcMar>
                  <w:vAlign w:val="center"/>
                </w:tcPr>
                <w:p w14:paraId="20E67A98">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50.0</w:t>
                  </w:r>
                </w:p>
              </w:tc>
              <w:tc>
                <w:tcPr>
                  <w:tcW w:w="460" w:type="dxa"/>
                  <w:shd w:val="clear" w:color="auto" w:fill="auto"/>
                  <w:tcMar>
                    <w:top w:w="0" w:type="dxa"/>
                    <w:left w:w="0" w:type="dxa"/>
                    <w:bottom w:w="0" w:type="dxa"/>
                    <w:right w:w="0" w:type="dxa"/>
                  </w:tcMar>
                  <w:vAlign w:val="center"/>
                </w:tcPr>
                <w:p w14:paraId="6B89367B">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50.0</w:t>
                  </w:r>
                </w:p>
              </w:tc>
              <w:tc>
                <w:tcPr>
                  <w:tcW w:w="462" w:type="dxa"/>
                  <w:shd w:val="clear" w:color="auto" w:fill="auto"/>
                  <w:tcMar>
                    <w:top w:w="0" w:type="dxa"/>
                    <w:left w:w="0" w:type="dxa"/>
                    <w:bottom w:w="0" w:type="dxa"/>
                    <w:right w:w="0" w:type="dxa"/>
                  </w:tcMar>
                  <w:vAlign w:val="center"/>
                </w:tcPr>
                <w:p w14:paraId="11197666">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50.1</w:t>
                  </w:r>
                </w:p>
              </w:tc>
              <w:tc>
                <w:tcPr>
                  <w:tcW w:w="445" w:type="dxa"/>
                  <w:vMerge w:val="continue"/>
                  <w:shd w:val="clear" w:color="auto" w:fill="auto"/>
                  <w:tcMar>
                    <w:top w:w="0" w:type="dxa"/>
                    <w:left w:w="0" w:type="dxa"/>
                    <w:bottom w:w="0" w:type="dxa"/>
                    <w:right w:w="0" w:type="dxa"/>
                  </w:tcMar>
                  <w:vAlign w:val="center"/>
                </w:tcPr>
                <w:p w14:paraId="3F4A3A60">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 w:val="21"/>
                      <w:szCs w:val="21"/>
                    </w:rPr>
                  </w:pPr>
                </w:p>
              </w:tc>
              <w:tc>
                <w:tcPr>
                  <w:tcW w:w="444" w:type="dxa"/>
                  <w:shd w:val="clear" w:color="auto" w:fill="auto"/>
                  <w:tcMar>
                    <w:top w:w="0" w:type="dxa"/>
                    <w:left w:w="0" w:type="dxa"/>
                    <w:bottom w:w="0" w:type="dxa"/>
                    <w:right w:w="0" w:type="dxa"/>
                  </w:tcMar>
                  <w:vAlign w:val="center"/>
                </w:tcPr>
                <w:p w14:paraId="7F2D448C">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20.0</w:t>
                  </w:r>
                </w:p>
              </w:tc>
              <w:tc>
                <w:tcPr>
                  <w:tcW w:w="444" w:type="dxa"/>
                  <w:shd w:val="clear" w:color="auto" w:fill="auto"/>
                  <w:tcMar>
                    <w:top w:w="0" w:type="dxa"/>
                    <w:left w:w="0" w:type="dxa"/>
                    <w:bottom w:w="0" w:type="dxa"/>
                    <w:right w:w="0" w:type="dxa"/>
                  </w:tcMar>
                  <w:vAlign w:val="center"/>
                </w:tcPr>
                <w:p w14:paraId="6CFF3CF6">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20.0</w:t>
                  </w:r>
                </w:p>
              </w:tc>
              <w:tc>
                <w:tcPr>
                  <w:tcW w:w="444" w:type="dxa"/>
                  <w:shd w:val="clear" w:color="auto" w:fill="auto"/>
                  <w:tcMar>
                    <w:top w:w="0" w:type="dxa"/>
                    <w:left w:w="0" w:type="dxa"/>
                    <w:bottom w:w="0" w:type="dxa"/>
                    <w:right w:w="0" w:type="dxa"/>
                  </w:tcMar>
                  <w:vAlign w:val="center"/>
                </w:tcPr>
                <w:p w14:paraId="332A6C95">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20.0</w:t>
                  </w:r>
                </w:p>
              </w:tc>
              <w:tc>
                <w:tcPr>
                  <w:tcW w:w="444" w:type="dxa"/>
                  <w:shd w:val="clear" w:color="auto" w:fill="auto"/>
                  <w:tcMar>
                    <w:top w:w="0" w:type="dxa"/>
                    <w:left w:w="0" w:type="dxa"/>
                    <w:bottom w:w="0" w:type="dxa"/>
                    <w:right w:w="0" w:type="dxa"/>
                  </w:tcMar>
                  <w:vAlign w:val="center"/>
                </w:tcPr>
                <w:p w14:paraId="720A4913">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20.0</w:t>
                  </w:r>
                </w:p>
              </w:tc>
              <w:tc>
                <w:tcPr>
                  <w:tcW w:w="470" w:type="dxa"/>
                  <w:shd w:val="clear" w:color="auto" w:fill="auto"/>
                  <w:tcMar>
                    <w:top w:w="0" w:type="dxa"/>
                    <w:left w:w="0" w:type="dxa"/>
                    <w:bottom w:w="0" w:type="dxa"/>
                    <w:right w:w="0" w:type="dxa"/>
                  </w:tcMar>
                  <w:vAlign w:val="center"/>
                </w:tcPr>
                <w:p w14:paraId="1EE2D17B">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30.1</w:t>
                  </w:r>
                </w:p>
              </w:tc>
              <w:tc>
                <w:tcPr>
                  <w:tcW w:w="470" w:type="dxa"/>
                  <w:shd w:val="clear" w:color="auto" w:fill="auto"/>
                  <w:tcMar>
                    <w:top w:w="0" w:type="dxa"/>
                    <w:left w:w="0" w:type="dxa"/>
                    <w:bottom w:w="0" w:type="dxa"/>
                    <w:right w:w="0" w:type="dxa"/>
                  </w:tcMar>
                  <w:vAlign w:val="center"/>
                </w:tcPr>
                <w:p w14:paraId="077F18A3">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30.0</w:t>
                  </w:r>
                </w:p>
              </w:tc>
              <w:tc>
                <w:tcPr>
                  <w:tcW w:w="470" w:type="dxa"/>
                  <w:shd w:val="clear" w:color="auto" w:fill="auto"/>
                  <w:tcMar>
                    <w:top w:w="0" w:type="dxa"/>
                    <w:left w:w="0" w:type="dxa"/>
                    <w:bottom w:w="0" w:type="dxa"/>
                    <w:right w:w="0" w:type="dxa"/>
                  </w:tcMar>
                  <w:vAlign w:val="center"/>
                </w:tcPr>
                <w:p w14:paraId="62F78358">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30.0</w:t>
                  </w:r>
                </w:p>
              </w:tc>
              <w:tc>
                <w:tcPr>
                  <w:tcW w:w="471" w:type="dxa"/>
                  <w:shd w:val="clear" w:color="auto" w:fill="auto"/>
                  <w:tcMar>
                    <w:top w:w="0" w:type="dxa"/>
                    <w:left w:w="0" w:type="dxa"/>
                    <w:bottom w:w="0" w:type="dxa"/>
                    <w:right w:w="0" w:type="dxa"/>
                  </w:tcMar>
                  <w:vAlign w:val="center"/>
                </w:tcPr>
                <w:p w14:paraId="56F1F094">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30.1</w:t>
                  </w:r>
                </w:p>
              </w:tc>
              <w:tc>
                <w:tcPr>
                  <w:tcW w:w="648" w:type="dxa"/>
                  <w:shd w:val="clear" w:color="auto" w:fill="auto"/>
                  <w:tcMar>
                    <w:top w:w="0" w:type="dxa"/>
                    <w:left w:w="0" w:type="dxa"/>
                    <w:bottom w:w="0" w:type="dxa"/>
                    <w:right w:w="0" w:type="dxa"/>
                  </w:tcMar>
                  <w:vAlign w:val="center"/>
                </w:tcPr>
                <w:p w14:paraId="527196B1">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1</w:t>
                  </w:r>
                </w:p>
              </w:tc>
            </w:tr>
            <w:tr w14:paraId="671A92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482" w:type="dxa"/>
                  <w:shd w:val="clear" w:color="auto" w:fill="auto"/>
                  <w:vAlign w:val="center"/>
                </w:tcPr>
                <w:p w14:paraId="3F79550F">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23</w:t>
                  </w:r>
                </w:p>
              </w:tc>
              <w:tc>
                <w:tcPr>
                  <w:tcW w:w="485" w:type="dxa"/>
                  <w:vMerge w:val="continue"/>
                  <w:shd w:val="clear" w:color="auto" w:fill="auto"/>
                  <w:tcMar>
                    <w:top w:w="0" w:type="dxa"/>
                    <w:left w:w="0" w:type="dxa"/>
                    <w:bottom w:w="0" w:type="dxa"/>
                    <w:right w:w="0" w:type="dxa"/>
                  </w:tcMar>
                  <w:vAlign w:val="center"/>
                </w:tcPr>
                <w:p w14:paraId="11622906">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 w:val="21"/>
                      <w:szCs w:val="21"/>
                    </w:rPr>
                  </w:pPr>
                </w:p>
              </w:tc>
              <w:tc>
                <w:tcPr>
                  <w:tcW w:w="541" w:type="dxa"/>
                  <w:shd w:val="clear" w:color="auto" w:fill="auto"/>
                  <w:tcMar>
                    <w:top w:w="0" w:type="dxa"/>
                    <w:left w:w="0" w:type="dxa"/>
                    <w:bottom w:w="0" w:type="dxa"/>
                    <w:right w:w="0" w:type="dxa"/>
                  </w:tcMar>
                  <w:vAlign w:val="center"/>
                </w:tcPr>
                <w:p w14:paraId="7D07870E">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FF0000"/>
                      <w:sz w:val="21"/>
                      <w:szCs w:val="21"/>
                    </w:rPr>
                    <w:t>隧道式烤箱</w:t>
                  </w:r>
                  <w:r>
                    <w:rPr>
                      <w:rFonts w:hint="eastAsia" w:ascii="Times New Roman" w:hAnsi="Times New Roman" w:eastAsia="宋体" w:cs="Times New Roman"/>
                      <w:color w:val="FF0000"/>
                      <w:sz w:val="21"/>
                      <w:szCs w:val="21"/>
                      <w:lang w:eastAsia="zh-CN"/>
                    </w:rPr>
                    <w:t>，</w:t>
                  </w:r>
                  <w:r>
                    <w:rPr>
                      <w:rFonts w:hint="default" w:ascii="Times New Roman" w:hAnsi="Times New Roman" w:eastAsia="宋体" w:cs="Times New Roman"/>
                      <w:color w:val="auto"/>
                      <w:sz w:val="21"/>
                      <w:szCs w:val="21"/>
                    </w:rPr>
                    <w:t>5台（按点声源组预测）</w:t>
                  </w:r>
                </w:p>
              </w:tc>
              <w:tc>
                <w:tcPr>
                  <w:tcW w:w="413" w:type="dxa"/>
                  <w:shd w:val="clear" w:color="auto" w:fill="auto"/>
                  <w:tcMar>
                    <w:top w:w="0" w:type="dxa"/>
                    <w:left w:w="0" w:type="dxa"/>
                    <w:bottom w:w="0" w:type="dxa"/>
                    <w:right w:w="0" w:type="dxa"/>
                  </w:tcMar>
                  <w:vAlign w:val="center"/>
                </w:tcPr>
                <w:p w14:paraId="079E9D2D">
                  <w:pPr>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color w:val="auto"/>
                      <w:sz w:val="21"/>
                      <w:szCs w:val="21"/>
                      <w:highlight w:val="none"/>
                      <w:lang w:val="en-US" w:eastAsia="en-US" w:bidi="ar-SA"/>
                    </w:rPr>
                  </w:pPr>
                  <w:r>
                    <w:rPr>
                      <w:rFonts w:hint="default" w:ascii="Times New Roman" w:hAnsi="Times New Roman" w:eastAsia="宋体" w:cs="Times New Roman"/>
                      <w:color w:val="auto"/>
                      <w:sz w:val="21"/>
                      <w:szCs w:val="21"/>
                      <w:highlight w:val="none"/>
                    </w:rPr>
                    <w:t>1600-E</w:t>
                  </w:r>
                </w:p>
              </w:tc>
              <w:tc>
                <w:tcPr>
                  <w:tcW w:w="637" w:type="dxa"/>
                  <w:shd w:val="clear" w:color="auto" w:fill="auto"/>
                  <w:tcMar>
                    <w:top w:w="0" w:type="dxa"/>
                    <w:left w:w="0" w:type="dxa"/>
                    <w:bottom w:w="0" w:type="dxa"/>
                    <w:right w:w="0" w:type="dxa"/>
                  </w:tcMar>
                  <w:vAlign w:val="center"/>
                </w:tcPr>
                <w:p w14:paraId="1E992C77">
                  <w:pPr>
                    <w:keepNext w:val="0"/>
                    <w:keepLines w:val="0"/>
                    <w:suppressLineNumbers w:val="0"/>
                    <w:spacing w:before="0" w:beforeAutospacing="0" w:after="0" w:afterAutospacing="0"/>
                    <w:ind w:left="0" w:right="0"/>
                    <w:jc w:val="center"/>
                    <w:rPr>
                      <w:rFonts w:hint="eastAsia" w:ascii="Times New Roman" w:hAnsi="Times New Roman" w:eastAsia="宋体" w:cs="Times New Roman"/>
                      <w:color w:val="auto"/>
                      <w:sz w:val="21"/>
                      <w:szCs w:val="21"/>
                      <w:lang w:eastAsia="zh-CN"/>
                    </w:rPr>
                  </w:pPr>
                  <w:r>
                    <w:rPr>
                      <w:rFonts w:hint="default" w:ascii="Times New Roman" w:hAnsi="Times New Roman" w:eastAsia="宋体" w:cs="Times New Roman"/>
                      <w:color w:val="auto"/>
                      <w:sz w:val="21"/>
                      <w:szCs w:val="21"/>
                    </w:rPr>
                    <w:t>70/1（等效后：76.0/1</w:t>
                  </w:r>
                  <w:r>
                    <w:rPr>
                      <w:rFonts w:hint="eastAsia" w:ascii="Times New Roman" w:hAnsi="Times New Roman" w:eastAsia="宋体" w:cs="Times New Roman"/>
                      <w:color w:val="auto"/>
                      <w:sz w:val="21"/>
                      <w:szCs w:val="21"/>
                      <w:lang w:eastAsia="zh-CN"/>
                    </w:rPr>
                    <w:t>）</w:t>
                  </w:r>
                </w:p>
              </w:tc>
              <w:tc>
                <w:tcPr>
                  <w:tcW w:w="553" w:type="dxa"/>
                  <w:vMerge w:val="continue"/>
                  <w:shd w:val="clear" w:color="auto" w:fill="auto"/>
                  <w:tcMar>
                    <w:top w:w="0" w:type="dxa"/>
                    <w:left w:w="0" w:type="dxa"/>
                    <w:bottom w:w="0" w:type="dxa"/>
                    <w:right w:w="0" w:type="dxa"/>
                  </w:tcMar>
                  <w:vAlign w:val="center"/>
                </w:tcPr>
                <w:p w14:paraId="6262B279">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 w:val="21"/>
                      <w:szCs w:val="21"/>
                    </w:rPr>
                  </w:pPr>
                </w:p>
              </w:tc>
              <w:tc>
                <w:tcPr>
                  <w:tcW w:w="563" w:type="dxa"/>
                  <w:shd w:val="clear" w:color="auto" w:fill="auto"/>
                  <w:tcMar>
                    <w:top w:w="0" w:type="dxa"/>
                    <w:left w:w="0" w:type="dxa"/>
                    <w:bottom w:w="0" w:type="dxa"/>
                    <w:right w:w="0" w:type="dxa"/>
                  </w:tcMar>
                  <w:vAlign w:val="center"/>
                </w:tcPr>
                <w:p w14:paraId="6F3A082D">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63</w:t>
                  </w:r>
                </w:p>
              </w:tc>
              <w:tc>
                <w:tcPr>
                  <w:tcW w:w="563" w:type="dxa"/>
                  <w:shd w:val="clear" w:color="auto" w:fill="auto"/>
                  <w:tcMar>
                    <w:top w:w="0" w:type="dxa"/>
                    <w:left w:w="0" w:type="dxa"/>
                    <w:bottom w:w="0" w:type="dxa"/>
                    <w:right w:w="0" w:type="dxa"/>
                  </w:tcMar>
                  <w:vAlign w:val="center"/>
                </w:tcPr>
                <w:p w14:paraId="37358D86">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29.3</w:t>
                  </w:r>
                </w:p>
              </w:tc>
              <w:tc>
                <w:tcPr>
                  <w:tcW w:w="564" w:type="dxa"/>
                  <w:shd w:val="clear" w:color="auto" w:fill="auto"/>
                  <w:tcMar>
                    <w:top w:w="0" w:type="dxa"/>
                    <w:left w:w="0" w:type="dxa"/>
                    <w:bottom w:w="0" w:type="dxa"/>
                    <w:right w:w="0" w:type="dxa"/>
                  </w:tcMar>
                  <w:vAlign w:val="center"/>
                </w:tcPr>
                <w:p w14:paraId="4AD2B254">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1.2</w:t>
                  </w:r>
                </w:p>
              </w:tc>
              <w:tc>
                <w:tcPr>
                  <w:tcW w:w="466" w:type="dxa"/>
                  <w:shd w:val="clear" w:color="auto" w:fill="auto"/>
                  <w:tcMar>
                    <w:top w:w="0" w:type="dxa"/>
                    <w:left w:w="0" w:type="dxa"/>
                    <w:bottom w:w="0" w:type="dxa"/>
                    <w:right w:w="0" w:type="dxa"/>
                  </w:tcMar>
                  <w:vAlign w:val="center"/>
                </w:tcPr>
                <w:p w14:paraId="17D181E4">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14.9</w:t>
                  </w:r>
                </w:p>
              </w:tc>
              <w:tc>
                <w:tcPr>
                  <w:tcW w:w="466" w:type="dxa"/>
                  <w:shd w:val="clear" w:color="auto" w:fill="auto"/>
                  <w:tcMar>
                    <w:top w:w="0" w:type="dxa"/>
                    <w:left w:w="0" w:type="dxa"/>
                    <w:bottom w:w="0" w:type="dxa"/>
                    <w:right w:w="0" w:type="dxa"/>
                  </w:tcMar>
                  <w:vAlign w:val="center"/>
                </w:tcPr>
                <w:p w14:paraId="470A878B">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43.2</w:t>
                  </w:r>
                </w:p>
              </w:tc>
              <w:tc>
                <w:tcPr>
                  <w:tcW w:w="466" w:type="dxa"/>
                  <w:shd w:val="clear" w:color="auto" w:fill="auto"/>
                  <w:tcMar>
                    <w:top w:w="0" w:type="dxa"/>
                    <w:left w:w="0" w:type="dxa"/>
                    <w:bottom w:w="0" w:type="dxa"/>
                    <w:right w:w="0" w:type="dxa"/>
                  </w:tcMar>
                  <w:vAlign w:val="center"/>
                </w:tcPr>
                <w:p w14:paraId="57303385">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67.4</w:t>
                  </w:r>
                </w:p>
              </w:tc>
              <w:tc>
                <w:tcPr>
                  <w:tcW w:w="467" w:type="dxa"/>
                  <w:shd w:val="clear" w:color="auto" w:fill="auto"/>
                  <w:tcMar>
                    <w:top w:w="0" w:type="dxa"/>
                    <w:left w:w="0" w:type="dxa"/>
                    <w:bottom w:w="0" w:type="dxa"/>
                    <w:right w:w="0" w:type="dxa"/>
                  </w:tcMar>
                  <w:vAlign w:val="center"/>
                </w:tcPr>
                <w:p w14:paraId="63779F06">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13.7</w:t>
                  </w:r>
                </w:p>
              </w:tc>
              <w:tc>
                <w:tcPr>
                  <w:tcW w:w="460" w:type="dxa"/>
                  <w:shd w:val="clear" w:color="auto" w:fill="auto"/>
                  <w:tcMar>
                    <w:top w:w="0" w:type="dxa"/>
                    <w:left w:w="0" w:type="dxa"/>
                    <w:bottom w:w="0" w:type="dxa"/>
                    <w:right w:w="0" w:type="dxa"/>
                  </w:tcMar>
                  <w:vAlign w:val="center"/>
                </w:tcPr>
                <w:p w14:paraId="215AD25E">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61.1</w:t>
                  </w:r>
                </w:p>
              </w:tc>
              <w:tc>
                <w:tcPr>
                  <w:tcW w:w="460" w:type="dxa"/>
                  <w:shd w:val="clear" w:color="auto" w:fill="auto"/>
                  <w:tcMar>
                    <w:top w:w="0" w:type="dxa"/>
                    <w:left w:w="0" w:type="dxa"/>
                    <w:bottom w:w="0" w:type="dxa"/>
                    <w:right w:w="0" w:type="dxa"/>
                  </w:tcMar>
                  <w:vAlign w:val="center"/>
                </w:tcPr>
                <w:p w14:paraId="718FC87D">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61.0</w:t>
                  </w:r>
                </w:p>
              </w:tc>
              <w:tc>
                <w:tcPr>
                  <w:tcW w:w="460" w:type="dxa"/>
                  <w:shd w:val="clear" w:color="auto" w:fill="auto"/>
                  <w:tcMar>
                    <w:top w:w="0" w:type="dxa"/>
                    <w:left w:w="0" w:type="dxa"/>
                    <w:bottom w:w="0" w:type="dxa"/>
                    <w:right w:w="0" w:type="dxa"/>
                  </w:tcMar>
                  <w:vAlign w:val="center"/>
                </w:tcPr>
                <w:p w14:paraId="57A5C8BD">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61.0</w:t>
                  </w:r>
                </w:p>
              </w:tc>
              <w:tc>
                <w:tcPr>
                  <w:tcW w:w="462" w:type="dxa"/>
                  <w:shd w:val="clear" w:color="auto" w:fill="auto"/>
                  <w:tcMar>
                    <w:top w:w="0" w:type="dxa"/>
                    <w:left w:w="0" w:type="dxa"/>
                    <w:bottom w:w="0" w:type="dxa"/>
                    <w:right w:w="0" w:type="dxa"/>
                  </w:tcMar>
                  <w:vAlign w:val="center"/>
                </w:tcPr>
                <w:p w14:paraId="6D51DAF5">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61.1</w:t>
                  </w:r>
                </w:p>
              </w:tc>
              <w:tc>
                <w:tcPr>
                  <w:tcW w:w="445" w:type="dxa"/>
                  <w:vMerge w:val="continue"/>
                  <w:shd w:val="clear" w:color="auto" w:fill="auto"/>
                  <w:tcMar>
                    <w:top w:w="0" w:type="dxa"/>
                    <w:left w:w="0" w:type="dxa"/>
                    <w:bottom w:w="0" w:type="dxa"/>
                    <w:right w:w="0" w:type="dxa"/>
                  </w:tcMar>
                  <w:vAlign w:val="center"/>
                </w:tcPr>
                <w:p w14:paraId="76338DA3">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 w:val="21"/>
                      <w:szCs w:val="21"/>
                    </w:rPr>
                  </w:pPr>
                </w:p>
              </w:tc>
              <w:tc>
                <w:tcPr>
                  <w:tcW w:w="444" w:type="dxa"/>
                  <w:shd w:val="clear" w:color="auto" w:fill="auto"/>
                  <w:tcMar>
                    <w:top w:w="0" w:type="dxa"/>
                    <w:left w:w="0" w:type="dxa"/>
                    <w:bottom w:w="0" w:type="dxa"/>
                    <w:right w:w="0" w:type="dxa"/>
                  </w:tcMar>
                  <w:vAlign w:val="center"/>
                </w:tcPr>
                <w:p w14:paraId="3BC8B37C">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20.0</w:t>
                  </w:r>
                </w:p>
              </w:tc>
              <w:tc>
                <w:tcPr>
                  <w:tcW w:w="444" w:type="dxa"/>
                  <w:shd w:val="clear" w:color="auto" w:fill="auto"/>
                  <w:tcMar>
                    <w:top w:w="0" w:type="dxa"/>
                    <w:left w:w="0" w:type="dxa"/>
                    <w:bottom w:w="0" w:type="dxa"/>
                    <w:right w:w="0" w:type="dxa"/>
                  </w:tcMar>
                  <w:vAlign w:val="center"/>
                </w:tcPr>
                <w:p w14:paraId="78920C5D">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20.0</w:t>
                  </w:r>
                </w:p>
              </w:tc>
              <w:tc>
                <w:tcPr>
                  <w:tcW w:w="444" w:type="dxa"/>
                  <w:shd w:val="clear" w:color="auto" w:fill="auto"/>
                  <w:tcMar>
                    <w:top w:w="0" w:type="dxa"/>
                    <w:left w:w="0" w:type="dxa"/>
                    <w:bottom w:w="0" w:type="dxa"/>
                    <w:right w:w="0" w:type="dxa"/>
                  </w:tcMar>
                  <w:vAlign w:val="center"/>
                </w:tcPr>
                <w:p w14:paraId="3684BDCC">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20.0</w:t>
                  </w:r>
                </w:p>
              </w:tc>
              <w:tc>
                <w:tcPr>
                  <w:tcW w:w="444" w:type="dxa"/>
                  <w:shd w:val="clear" w:color="auto" w:fill="auto"/>
                  <w:tcMar>
                    <w:top w:w="0" w:type="dxa"/>
                    <w:left w:w="0" w:type="dxa"/>
                    <w:bottom w:w="0" w:type="dxa"/>
                    <w:right w:w="0" w:type="dxa"/>
                  </w:tcMar>
                  <w:vAlign w:val="center"/>
                </w:tcPr>
                <w:p w14:paraId="66261A6E">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20.0</w:t>
                  </w:r>
                </w:p>
              </w:tc>
              <w:tc>
                <w:tcPr>
                  <w:tcW w:w="470" w:type="dxa"/>
                  <w:shd w:val="clear" w:color="auto" w:fill="auto"/>
                  <w:tcMar>
                    <w:top w:w="0" w:type="dxa"/>
                    <w:left w:w="0" w:type="dxa"/>
                    <w:bottom w:w="0" w:type="dxa"/>
                    <w:right w:w="0" w:type="dxa"/>
                  </w:tcMar>
                  <w:vAlign w:val="center"/>
                </w:tcPr>
                <w:p w14:paraId="4499518E">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41.1</w:t>
                  </w:r>
                </w:p>
              </w:tc>
              <w:tc>
                <w:tcPr>
                  <w:tcW w:w="470" w:type="dxa"/>
                  <w:shd w:val="clear" w:color="auto" w:fill="auto"/>
                  <w:tcMar>
                    <w:top w:w="0" w:type="dxa"/>
                    <w:left w:w="0" w:type="dxa"/>
                    <w:bottom w:w="0" w:type="dxa"/>
                    <w:right w:w="0" w:type="dxa"/>
                  </w:tcMar>
                  <w:vAlign w:val="center"/>
                </w:tcPr>
                <w:p w14:paraId="4DD0EE4A">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41.0</w:t>
                  </w:r>
                </w:p>
              </w:tc>
              <w:tc>
                <w:tcPr>
                  <w:tcW w:w="470" w:type="dxa"/>
                  <w:shd w:val="clear" w:color="auto" w:fill="auto"/>
                  <w:tcMar>
                    <w:top w:w="0" w:type="dxa"/>
                    <w:left w:w="0" w:type="dxa"/>
                    <w:bottom w:w="0" w:type="dxa"/>
                    <w:right w:w="0" w:type="dxa"/>
                  </w:tcMar>
                  <w:vAlign w:val="center"/>
                </w:tcPr>
                <w:p w14:paraId="5A6C17DB">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41.0</w:t>
                  </w:r>
                </w:p>
              </w:tc>
              <w:tc>
                <w:tcPr>
                  <w:tcW w:w="471" w:type="dxa"/>
                  <w:shd w:val="clear" w:color="auto" w:fill="auto"/>
                  <w:tcMar>
                    <w:top w:w="0" w:type="dxa"/>
                    <w:left w:w="0" w:type="dxa"/>
                    <w:bottom w:w="0" w:type="dxa"/>
                    <w:right w:w="0" w:type="dxa"/>
                  </w:tcMar>
                  <w:vAlign w:val="center"/>
                </w:tcPr>
                <w:p w14:paraId="3342E207">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41.1</w:t>
                  </w:r>
                </w:p>
              </w:tc>
              <w:tc>
                <w:tcPr>
                  <w:tcW w:w="648" w:type="dxa"/>
                  <w:shd w:val="clear" w:color="auto" w:fill="auto"/>
                  <w:tcMar>
                    <w:top w:w="0" w:type="dxa"/>
                    <w:left w:w="0" w:type="dxa"/>
                    <w:bottom w:w="0" w:type="dxa"/>
                    <w:right w:w="0" w:type="dxa"/>
                  </w:tcMar>
                  <w:vAlign w:val="center"/>
                </w:tcPr>
                <w:p w14:paraId="0C25B0CD">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1</w:t>
                  </w:r>
                </w:p>
              </w:tc>
            </w:tr>
            <w:tr w14:paraId="2A8EA6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23" w:hRule="atLeast"/>
                <w:jc w:val="center"/>
              </w:trPr>
              <w:tc>
                <w:tcPr>
                  <w:tcW w:w="482" w:type="dxa"/>
                  <w:shd w:val="clear" w:color="auto" w:fill="auto"/>
                  <w:vAlign w:val="center"/>
                </w:tcPr>
                <w:p w14:paraId="34BEE6EE">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24</w:t>
                  </w:r>
                </w:p>
              </w:tc>
              <w:tc>
                <w:tcPr>
                  <w:tcW w:w="485" w:type="dxa"/>
                  <w:vMerge w:val="continue"/>
                  <w:shd w:val="clear" w:color="auto" w:fill="auto"/>
                  <w:tcMar>
                    <w:top w:w="0" w:type="dxa"/>
                    <w:left w:w="0" w:type="dxa"/>
                    <w:bottom w:w="0" w:type="dxa"/>
                    <w:right w:w="0" w:type="dxa"/>
                  </w:tcMar>
                  <w:vAlign w:val="center"/>
                </w:tcPr>
                <w:p w14:paraId="3EEF15B3">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 w:val="21"/>
                      <w:szCs w:val="21"/>
                    </w:rPr>
                  </w:pPr>
                </w:p>
              </w:tc>
              <w:tc>
                <w:tcPr>
                  <w:tcW w:w="541" w:type="dxa"/>
                  <w:shd w:val="clear" w:color="auto" w:fill="auto"/>
                  <w:tcMar>
                    <w:top w:w="0" w:type="dxa"/>
                    <w:left w:w="0" w:type="dxa"/>
                    <w:bottom w:w="0" w:type="dxa"/>
                    <w:right w:w="0" w:type="dxa"/>
                  </w:tcMar>
                  <w:vAlign w:val="center"/>
                </w:tcPr>
                <w:p w14:paraId="5A5944FB">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1750立式（浸涂）涂布生产线</w:t>
                  </w:r>
                  <w:r>
                    <w:rPr>
                      <w:rFonts w:hint="eastAsia" w:ascii="Times New Roman" w:hAnsi="Times New Roman" w:eastAsia="宋体" w:cs="Times New Roman"/>
                      <w:color w:val="auto"/>
                      <w:sz w:val="21"/>
                      <w:szCs w:val="21"/>
                      <w:lang w:eastAsia="zh-CN"/>
                    </w:rPr>
                    <w:t>，</w:t>
                  </w:r>
                  <w:r>
                    <w:rPr>
                      <w:rFonts w:hint="default" w:ascii="Times New Roman" w:hAnsi="Times New Roman" w:eastAsia="宋体" w:cs="Times New Roman"/>
                      <w:color w:val="auto"/>
                      <w:sz w:val="21"/>
                      <w:szCs w:val="21"/>
                    </w:rPr>
                    <w:t>5台（按点声源组预测）</w:t>
                  </w:r>
                </w:p>
              </w:tc>
              <w:tc>
                <w:tcPr>
                  <w:tcW w:w="413" w:type="dxa"/>
                  <w:shd w:val="clear" w:color="auto" w:fill="auto"/>
                  <w:tcMar>
                    <w:top w:w="0" w:type="dxa"/>
                    <w:left w:w="0" w:type="dxa"/>
                    <w:bottom w:w="0" w:type="dxa"/>
                    <w:right w:w="0" w:type="dxa"/>
                  </w:tcMar>
                  <w:vAlign w:val="center"/>
                </w:tcPr>
                <w:p w14:paraId="55D22B87">
                  <w:pPr>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color w:val="auto"/>
                      <w:sz w:val="21"/>
                      <w:szCs w:val="21"/>
                      <w:highlight w:val="none"/>
                      <w:lang w:val="en-US" w:eastAsia="en-US" w:bidi="ar-SA"/>
                    </w:rPr>
                  </w:pPr>
                  <w:r>
                    <w:rPr>
                      <w:rFonts w:hint="default" w:ascii="Times New Roman" w:hAnsi="Times New Roman" w:eastAsia="宋体" w:cs="Times New Roman"/>
                      <w:color w:val="auto"/>
                      <w:sz w:val="21"/>
                      <w:szCs w:val="21"/>
                      <w:highlight w:val="none"/>
                    </w:rPr>
                    <w:t>1750</w:t>
                  </w:r>
                </w:p>
              </w:tc>
              <w:tc>
                <w:tcPr>
                  <w:tcW w:w="637" w:type="dxa"/>
                  <w:shd w:val="clear" w:color="auto" w:fill="auto"/>
                  <w:tcMar>
                    <w:top w:w="0" w:type="dxa"/>
                    <w:left w:w="0" w:type="dxa"/>
                    <w:bottom w:w="0" w:type="dxa"/>
                    <w:right w:w="0" w:type="dxa"/>
                  </w:tcMar>
                  <w:vAlign w:val="center"/>
                </w:tcPr>
                <w:p w14:paraId="14D99CFD">
                  <w:pPr>
                    <w:keepNext w:val="0"/>
                    <w:keepLines w:val="0"/>
                    <w:suppressLineNumbers w:val="0"/>
                    <w:spacing w:before="0" w:beforeAutospacing="0" w:after="0" w:afterAutospacing="0"/>
                    <w:ind w:left="0" w:right="0"/>
                    <w:jc w:val="center"/>
                    <w:rPr>
                      <w:rFonts w:hint="eastAsia" w:ascii="Times New Roman" w:hAnsi="Times New Roman" w:eastAsia="宋体" w:cs="Times New Roman"/>
                      <w:color w:val="auto"/>
                      <w:sz w:val="21"/>
                      <w:szCs w:val="21"/>
                      <w:lang w:eastAsia="zh-CN"/>
                    </w:rPr>
                  </w:pPr>
                  <w:r>
                    <w:rPr>
                      <w:rFonts w:hint="default" w:ascii="Times New Roman" w:hAnsi="Times New Roman" w:eastAsia="宋体" w:cs="Times New Roman"/>
                      <w:color w:val="auto"/>
                      <w:sz w:val="21"/>
                      <w:szCs w:val="21"/>
                    </w:rPr>
                    <w:t>76/1（等效后：82.0/1</w:t>
                  </w:r>
                  <w:r>
                    <w:rPr>
                      <w:rFonts w:hint="eastAsia" w:ascii="Times New Roman" w:hAnsi="Times New Roman" w:eastAsia="宋体" w:cs="Times New Roman"/>
                      <w:color w:val="auto"/>
                      <w:sz w:val="21"/>
                      <w:szCs w:val="21"/>
                      <w:lang w:eastAsia="zh-CN"/>
                    </w:rPr>
                    <w:t>）</w:t>
                  </w:r>
                </w:p>
              </w:tc>
              <w:tc>
                <w:tcPr>
                  <w:tcW w:w="553" w:type="dxa"/>
                  <w:vMerge w:val="continue"/>
                  <w:shd w:val="clear" w:color="auto" w:fill="auto"/>
                  <w:tcMar>
                    <w:top w:w="0" w:type="dxa"/>
                    <w:left w:w="0" w:type="dxa"/>
                    <w:bottom w:w="0" w:type="dxa"/>
                    <w:right w:w="0" w:type="dxa"/>
                  </w:tcMar>
                  <w:vAlign w:val="center"/>
                </w:tcPr>
                <w:p w14:paraId="79FE81A0">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 w:val="21"/>
                      <w:szCs w:val="21"/>
                    </w:rPr>
                  </w:pPr>
                </w:p>
              </w:tc>
              <w:tc>
                <w:tcPr>
                  <w:tcW w:w="563" w:type="dxa"/>
                  <w:shd w:val="clear" w:color="auto" w:fill="auto"/>
                  <w:tcMar>
                    <w:top w:w="0" w:type="dxa"/>
                    <w:left w:w="0" w:type="dxa"/>
                    <w:bottom w:w="0" w:type="dxa"/>
                    <w:right w:w="0" w:type="dxa"/>
                  </w:tcMar>
                  <w:vAlign w:val="center"/>
                </w:tcPr>
                <w:p w14:paraId="1FBA5196">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56.7</w:t>
                  </w:r>
                </w:p>
              </w:tc>
              <w:tc>
                <w:tcPr>
                  <w:tcW w:w="563" w:type="dxa"/>
                  <w:shd w:val="clear" w:color="auto" w:fill="auto"/>
                  <w:tcMar>
                    <w:top w:w="0" w:type="dxa"/>
                    <w:left w:w="0" w:type="dxa"/>
                    <w:bottom w:w="0" w:type="dxa"/>
                    <w:right w:w="0" w:type="dxa"/>
                  </w:tcMar>
                  <w:vAlign w:val="center"/>
                </w:tcPr>
                <w:p w14:paraId="4CD43FB0">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23.3</w:t>
                  </w:r>
                </w:p>
              </w:tc>
              <w:tc>
                <w:tcPr>
                  <w:tcW w:w="564" w:type="dxa"/>
                  <w:shd w:val="clear" w:color="auto" w:fill="auto"/>
                  <w:tcMar>
                    <w:top w:w="0" w:type="dxa"/>
                    <w:left w:w="0" w:type="dxa"/>
                    <w:bottom w:w="0" w:type="dxa"/>
                    <w:right w:w="0" w:type="dxa"/>
                  </w:tcMar>
                  <w:vAlign w:val="center"/>
                </w:tcPr>
                <w:p w14:paraId="58585C6F">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1.2</w:t>
                  </w:r>
                </w:p>
              </w:tc>
              <w:tc>
                <w:tcPr>
                  <w:tcW w:w="466" w:type="dxa"/>
                  <w:shd w:val="clear" w:color="auto" w:fill="auto"/>
                  <w:tcMar>
                    <w:top w:w="0" w:type="dxa"/>
                    <w:left w:w="0" w:type="dxa"/>
                    <w:bottom w:w="0" w:type="dxa"/>
                    <w:right w:w="0" w:type="dxa"/>
                  </w:tcMar>
                  <w:vAlign w:val="center"/>
                </w:tcPr>
                <w:p w14:paraId="6CFD67E4">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22.4</w:t>
                  </w:r>
                </w:p>
              </w:tc>
              <w:tc>
                <w:tcPr>
                  <w:tcW w:w="466" w:type="dxa"/>
                  <w:shd w:val="clear" w:color="auto" w:fill="auto"/>
                  <w:tcMar>
                    <w:top w:w="0" w:type="dxa"/>
                    <w:left w:w="0" w:type="dxa"/>
                    <w:bottom w:w="0" w:type="dxa"/>
                    <w:right w:w="0" w:type="dxa"/>
                  </w:tcMar>
                  <w:vAlign w:val="center"/>
                </w:tcPr>
                <w:p w14:paraId="0951FC54">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38.8</w:t>
                  </w:r>
                </w:p>
              </w:tc>
              <w:tc>
                <w:tcPr>
                  <w:tcW w:w="466" w:type="dxa"/>
                  <w:shd w:val="clear" w:color="auto" w:fill="auto"/>
                  <w:tcMar>
                    <w:top w:w="0" w:type="dxa"/>
                    <w:left w:w="0" w:type="dxa"/>
                    <w:bottom w:w="0" w:type="dxa"/>
                    <w:right w:w="0" w:type="dxa"/>
                  </w:tcMar>
                  <w:vAlign w:val="center"/>
                </w:tcPr>
                <w:p w14:paraId="3FEFDDD8">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60.1</w:t>
                  </w:r>
                </w:p>
              </w:tc>
              <w:tc>
                <w:tcPr>
                  <w:tcW w:w="467" w:type="dxa"/>
                  <w:shd w:val="clear" w:color="auto" w:fill="auto"/>
                  <w:tcMar>
                    <w:top w:w="0" w:type="dxa"/>
                    <w:left w:w="0" w:type="dxa"/>
                    <w:bottom w:w="0" w:type="dxa"/>
                    <w:right w:w="0" w:type="dxa"/>
                  </w:tcMar>
                  <w:vAlign w:val="center"/>
                </w:tcPr>
                <w:p w14:paraId="09373C15">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18.1</w:t>
                  </w:r>
                </w:p>
              </w:tc>
              <w:tc>
                <w:tcPr>
                  <w:tcW w:w="460" w:type="dxa"/>
                  <w:shd w:val="clear" w:color="auto" w:fill="auto"/>
                  <w:tcMar>
                    <w:top w:w="0" w:type="dxa"/>
                    <w:left w:w="0" w:type="dxa"/>
                    <w:bottom w:w="0" w:type="dxa"/>
                    <w:right w:w="0" w:type="dxa"/>
                  </w:tcMar>
                  <w:vAlign w:val="center"/>
                </w:tcPr>
                <w:p w14:paraId="69F79212">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61.1</w:t>
                  </w:r>
                </w:p>
              </w:tc>
              <w:tc>
                <w:tcPr>
                  <w:tcW w:w="460" w:type="dxa"/>
                  <w:shd w:val="clear" w:color="auto" w:fill="auto"/>
                  <w:tcMar>
                    <w:top w:w="0" w:type="dxa"/>
                    <w:left w:w="0" w:type="dxa"/>
                    <w:bottom w:w="0" w:type="dxa"/>
                    <w:right w:w="0" w:type="dxa"/>
                  </w:tcMar>
                  <w:vAlign w:val="center"/>
                </w:tcPr>
                <w:p w14:paraId="32E65286">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61.0</w:t>
                  </w:r>
                </w:p>
              </w:tc>
              <w:tc>
                <w:tcPr>
                  <w:tcW w:w="460" w:type="dxa"/>
                  <w:shd w:val="clear" w:color="auto" w:fill="auto"/>
                  <w:tcMar>
                    <w:top w:w="0" w:type="dxa"/>
                    <w:left w:w="0" w:type="dxa"/>
                    <w:bottom w:w="0" w:type="dxa"/>
                    <w:right w:w="0" w:type="dxa"/>
                  </w:tcMar>
                  <w:vAlign w:val="center"/>
                </w:tcPr>
                <w:p w14:paraId="4FD87E0E">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61.0</w:t>
                  </w:r>
                </w:p>
              </w:tc>
              <w:tc>
                <w:tcPr>
                  <w:tcW w:w="462" w:type="dxa"/>
                  <w:shd w:val="clear" w:color="auto" w:fill="auto"/>
                  <w:tcMar>
                    <w:top w:w="0" w:type="dxa"/>
                    <w:left w:w="0" w:type="dxa"/>
                    <w:bottom w:w="0" w:type="dxa"/>
                    <w:right w:w="0" w:type="dxa"/>
                  </w:tcMar>
                  <w:vAlign w:val="center"/>
                </w:tcPr>
                <w:p w14:paraId="72FB8721">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61.1</w:t>
                  </w:r>
                </w:p>
              </w:tc>
              <w:tc>
                <w:tcPr>
                  <w:tcW w:w="445" w:type="dxa"/>
                  <w:vMerge w:val="continue"/>
                  <w:shd w:val="clear" w:color="auto" w:fill="auto"/>
                  <w:tcMar>
                    <w:top w:w="0" w:type="dxa"/>
                    <w:left w:w="0" w:type="dxa"/>
                    <w:bottom w:w="0" w:type="dxa"/>
                    <w:right w:w="0" w:type="dxa"/>
                  </w:tcMar>
                  <w:vAlign w:val="center"/>
                </w:tcPr>
                <w:p w14:paraId="5CCE5729">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 w:val="21"/>
                      <w:szCs w:val="21"/>
                    </w:rPr>
                  </w:pPr>
                </w:p>
              </w:tc>
              <w:tc>
                <w:tcPr>
                  <w:tcW w:w="444" w:type="dxa"/>
                  <w:shd w:val="clear" w:color="auto" w:fill="auto"/>
                  <w:tcMar>
                    <w:top w:w="0" w:type="dxa"/>
                    <w:left w:w="0" w:type="dxa"/>
                    <w:bottom w:w="0" w:type="dxa"/>
                    <w:right w:w="0" w:type="dxa"/>
                  </w:tcMar>
                  <w:vAlign w:val="center"/>
                </w:tcPr>
                <w:p w14:paraId="29034215">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20.0</w:t>
                  </w:r>
                </w:p>
              </w:tc>
              <w:tc>
                <w:tcPr>
                  <w:tcW w:w="444" w:type="dxa"/>
                  <w:shd w:val="clear" w:color="auto" w:fill="auto"/>
                  <w:tcMar>
                    <w:top w:w="0" w:type="dxa"/>
                    <w:left w:w="0" w:type="dxa"/>
                    <w:bottom w:w="0" w:type="dxa"/>
                    <w:right w:w="0" w:type="dxa"/>
                  </w:tcMar>
                  <w:vAlign w:val="center"/>
                </w:tcPr>
                <w:p w14:paraId="58392C7B">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20.0</w:t>
                  </w:r>
                </w:p>
              </w:tc>
              <w:tc>
                <w:tcPr>
                  <w:tcW w:w="444" w:type="dxa"/>
                  <w:shd w:val="clear" w:color="auto" w:fill="auto"/>
                  <w:tcMar>
                    <w:top w:w="0" w:type="dxa"/>
                    <w:left w:w="0" w:type="dxa"/>
                    <w:bottom w:w="0" w:type="dxa"/>
                    <w:right w:w="0" w:type="dxa"/>
                  </w:tcMar>
                  <w:vAlign w:val="center"/>
                </w:tcPr>
                <w:p w14:paraId="28EAB814">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20.0</w:t>
                  </w:r>
                </w:p>
              </w:tc>
              <w:tc>
                <w:tcPr>
                  <w:tcW w:w="444" w:type="dxa"/>
                  <w:shd w:val="clear" w:color="auto" w:fill="auto"/>
                  <w:tcMar>
                    <w:top w:w="0" w:type="dxa"/>
                    <w:left w:w="0" w:type="dxa"/>
                    <w:bottom w:w="0" w:type="dxa"/>
                    <w:right w:w="0" w:type="dxa"/>
                  </w:tcMar>
                  <w:vAlign w:val="center"/>
                </w:tcPr>
                <w:p w14:paraId="022D312F">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20.0</w:t>
                  </w:r>
                </w:p>
              </w:tc>
              <w:tc>
                <w:tcPr>
                  <w:tcW w:w="470" w:type="dxa"/>
                  <w:shd w:val="clear" w:color="auto" w:fill="auto"/>
                  <w:tcMar>
                    <w:top w:w="0" w:type="dxa"/>
                    <w:left w:w="0" w:type="dxa"/>
                    <w:bottom w:w="0" w:type="dxa"/>
                    <w:right w:w="0" w:type="dxa"/>
                  </w:tcMar>
                  <w:vAlign w:val="center"/>
                </w:tcPr>
                <w:p w14:paraId="404C23D1">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41.1</w:t>
                  </w:r>
                </w:p>
              </w:tc>
              <w:tc>
                <w:tcPr>
                  <w:tcW w:w="470" w:type="dxa"/>
                  <w:shd w:val="clear" w:color="auto" w:fill="auto"/>
                  <w:tcMar>
                    <w:top w:w="0" w:type="dxa"/>
                    <w:left w:w="0" w:type="dxa"/>
                    <w:bottom w:w="0" w:type="dxa"/>
                    <w:right w:w="0" w:type="dxa"/>
                  </w:tcMar>
                  <w:vAlign w:val="center"/>
                </w:tcPr>
                <w:p w14:paraId="41D29B7F">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41.0</w:t>
                  </w:r>
                </w:p>
              </w:tc>
              <w:tc>
                <w:tcPr>
                  <w:tcW w:w="470" w:type="dxa"/>
                  <w:shd w:val="clear" w:color="auto" w:fill="auto"/>
                  <w:tcMar>
                    <w:top w:w="0" w:type="dxa"/>
                    <w:left w:w="0" w:type="dxa"/>
                    <w:bottom w:w="0" w:type="dxa"/>
                    <w:right w:w="0" w:type="dxa"/>
                  </w:tcMar>
                  <w:vAlign w:val="center"/>
                </w:tcPr>
                <w:p w14:paraId="3A443DFB">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41.0</w:t>
                  </w:r>
                </w:p>
              </w:tc>
              <w:tc>
                <w:tcPr>
                  <w:tcW w:w="471" w:type="dxa"/>
                  <w:shd w:val="clear" w:color="auto" w:fill="auto"/>
                  <w:tcMar>
                    <w:top w:w="0" w:type="dxa"/>
                    <w:left w:w="0" w:type="dxa"/>
                    <w:bottom w:w="0" w:type="dxa"/>
                    <w:right w:w="0" w:type="dxa"/>
                  </w:tcMar>
                  <w:vAlign w:val="center"/>
                </w:tcPr>
                <w:p w14:paraId="15716892">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41.1</w:t>
                  </w:r>
                </w:p>
              </w:tc>
              <w:tc>
                <w:tcPr>
                  <w:tcW w:w="648" w:type="dxa"/>
                  <w:shd w:val="clear" w:color="auto" w:fill="auto"/>
                  <w:tcMar>
                    <w:top w:w="0" w:type="dxa"/>
                    <w:left w:w="0" w:type="dxa"/>
                    <w:bottom w:w="0" w:type="dxa"/>
                    <w:right w:w="0" w:type="dxa"/>
                  </w:tcMar>
                  <w:vAlign w:val="center"/>
                </w:tcPr>
                <w:p w14:paraId="462CC66C">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1</w:t>
                  </w:r>
                </w:p>
              </w:tc>
            </w:tr>
            <w:tr w14:paraId="6C3FC2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23" w:hRule="atLeast"/>
                <w:jc w:val="center"/>
              </w:trPr>
              <w:tc>
                <w:tcPr>
                  <w:tcW w:w="482" w:type="dxa"/>
                  <w:shd w:val="clear" w:color="auto" w:fill="auto"/>
                  <w:vAlign w:val="center"/>
                </w:tcPr>
                <w:p w14:paraId="44507756">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25</w:t>
                  </w:r>
                </w:p>
              </w:tc>
              <w:tc>
                <w:tcPr>
                  <w:tcW w:w="485" w:type="dxa"/>
                  <w:vMerge w:val="continue"/>
                  <w:shd w:val="clear" w:color="auto" w:fill="auto"/>
                  <w:tcMar>
                    <w:top w:w="0" w:type="dxa"/>
                    <w:left w:w="0" w:type="dxa"/>
                    <w:bottom w:w="0" w:type="dxa"/>
                    <w:right w:w="0" w:type="dxa"/>
                  </w:tcMar>
                  <w:vAlign w:val="center"/>
                </w:tcPr>
                <w:p w14:paraId="5587B31F">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 w:val="21"/>
                      <w:szCs w:val="21"/>
                    </w:rPr>
                  </w:pPr>
                </w:p>
              </w:tc>
              <w:tc>
                <w:tcPr>
                  <w:tcW w:w="541" w:type="dxa"/>
                  <w:shd w:val="clear" w:color="auto" w:fill="auto"/>
                  <w:tcMar>
                    <w:top w:w="0" w:type="dxa"/>
                    <w:left w:w="0" w:type="dxa"/>
                    <w:bottom w:w="0" w:type="dxa"/>
                    <w:right w:w="0" w:type="dxa"/>
                  </w:tcMar>
                  <w:vAlign w:val="center"/>
                </w:tcPr>
                <w:p w14:paraId="5E2F1291">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剥离收卷机 （双面剥离型）</w:t>
                  </w:r>
                  <w:r>
                    <w:rPr>
                      <w:rFonts w:hint="eastAsia" w:ascii="Times New Roman" w:hAnsi="Times New Roman" w:eastAsia="宋体" w:cs="Times New Roman"/>
                      <w:color w:val="auto"/>
                      <w:sz w:val="21"/>
                      <w:szCs w:val="21"/>
                      <w:lang w:eastAsia="zh-CN"/>
                    </w:rPr>
                    <w:t>，</w:t>
                  </w:r>
                  <w:r>
                    <w:rPr>
                      <w:rFonts w:hint="default" w:ascii="Times New Roman" w:hAnsi="Times New Roman" w:eastAsia="宋体" w:cs="Times New Roman"/>
                      <w:color w:val="auto"/>
                      <w:sz w:val="21"/>
                      <w:szCs w:val="21"/>
                    </w:rPr>
                    <w:t>5台（按点声源组预测）</w:t>
                  </w:r>
                </w:p>
              </w:tc>
              <w:tc>
                <w:tcPr>
                  <w:tcW w:w="413" w:type="dxa"/>
                  <w:shd w:val="clear" w:color="auto" w:fill="auto"/>
                  <w:tcMar>
                    <w:top w:w="0" w:type="dxa"/>
                    <w:left w:w="0" w:type="dxa"/>
                    <w:bottom w:w="0" w:type="dxa"/>
                    <w:right w:w="0" w:type="dxa"/>
                  </w:tcMar>
                  <w:vAlign w:val="center"/>
                </w:tcPr>
                <w:p w14:paraId="59777B4C">
                  <w:pPr>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color w:val="auto"/>
                      <w:sz w:val="21"/>
                      <w:szCs w:val="21"/>
                      <w:highlight w:val="none"/>
                      <w:lang w:val="en-US" w:eastAsia="en-US" w:bidi="ar-SA"/>
                    </w:rPr>
                  </w:pPr>
                  <w:r>
                    <w:rPr>
                      <w:rFonts w:hint="default" w:ascii="Times New Roman" w:hAnsi="Times New Roman" w:eastAsia="宋体" w:cs="Times New Roman"/>
                      <w:color w:val="auto"/>
                      <w:sz w:val="21"/>
                      <w:szCs w:val="21"/>
                      <w:highlight w:val="none"/>
                    </w:rPr>
                    <w:t>SLF1450-M</w:t>
                  </w:r>
                </w:p>
              </w:tc>
              <w:tc>
                <w:tcPr>
                  <w:tcW w:w="637" w:type="dxa"/>
                  <w:shd w:val="clear" w:color="auto" w:fill="auto"/>
                  <w:tcMar>
                    <w:top w:w="0" w:type="dxa"/>
                    <w:left w:w="0" w:type="dxa"/>
                    <w:bottom w:w="0" w:type="dxa"/>
                    <w:right w:w="0" w:type="dxa"/>
                  </w:tcMar>
                  <w:vAlign w:val="center"/>
                </w:tcPr>
                <w:p w14:paraId="46BB857B">
                  <w:pPr>
                    <w:keepNext w:val="0"/>
                    <w:keepLines w:val="0"/>
                    <w:suppressLineNumbers w:val="0"/>
                    <w:spacing w:before="0" w:beforeAutospacing="0" w:after="0" w:afterAutospacing="0"/>
                    <w:ind w:left="0" w:right="0"/>
                    <w:jc w:val="center"/>
                    <w:rPr>
                      <w:rFonts w:hint="eastAsia" w:ascii="Times New Roman" w:hAnsi="Times New Roman" w:eastAsia="宋体" w:cs="Times New Roman"/>
                      <w:color w:val="auto"/>
                      <w:sz w:val="21"/>
                      <w:szCs w:val="21"/>
                      <w:lang w:eastAsia="zh-CN"/>
                    </w:rPr>
                  </w:pPr>
                  <w:r>
                    <w:rPr>
                      <w:rFonts w:hint="default" w:ascii="Times New Roman" w:hAnsi="Times New Roman" w:eastAsia="宋体" w:cs="Times New Roman"/>
                      <w:color w:val="auto"/>
                      <w:sz w:val="21"/>
                      <w:szCs w:val="21"/>
                    </w:rPr>
                    <w:t>75/1（等效后：86.8/1</w:t>
                  </w:r>
                  <w:r>
                    <w:rPr>
                      <w:rFonts w:hint="eastAsia" w:ascii="Times New Roman" w:hAnsi="Times New Roman" w:eastAsia="宋体" w:cs="Times New Roman"/>
                      <w:color w:val="auto"/>
                      <w:sz w:val="21"/>
                      <w:szCs w:val="21"/>
                      <w:lang w:eastAsia="zh-CN"/>
                    </w:rPr>
                    <w:t>）</w:t>
                  </w:r>
                </w:p>
              </w:tc>
              <w:tc>
                <w:tcPr>
                  <w:tcW w:w="553" w:type="dxa"/>
                  <w:vMerge w:val="continue"/>
                  <w:shd w:val="clear" w:color="auto" w:fill="auto"/>
                  <w:tcMar>
                    <w:top w:w="0" w:type="dxa"/>
                    <w:left w:w="0" w:type="dxa"/>
                    <w:bottom w:w="0" w:type="dxa"/>
                    <w:right w:w="0" w:type="dxa"/>
                  </w:tcMar>
                  <w:vAlign w:val="center"/>
                </w:tcPr>
                <w:p w14:paraId="51F69BB0">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 w:val="21"/>
                      <w:szCs w:val="21"/>
                    </w:rPr>
                  </w:pPr>
                </w:p>
              </w:tc>
              <w:tc>
                <w:tcPr>
                  <w:tcW w:w="563" w:type="dxa"/>
                  <w:shd w:val="clear" w:color="auto" w:fill="auto"/>
                  <w:tcMar>
                    <w:top w:w="0" w:type="dxa"/>
                    <w:left w:w="0" w:type="dxa"/>
                    <w:bottom w:w="0" w:type="dxa"/>
                    <w:right w:w="0" w:type="dxa"/>
                  </w:tcMar>
                  <w:vAlign w:val="center"/>
                </w:tcPr>
                <w:p w14:paraId="225A9469">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28.6</w:t>
                  </w:r>
                </w:p>
              </w:tc>
              <w:tc>
                <w:tcPr>
                  <w:tcW w:w="563" w:type="dxa"/>
                  <w:shd w:val="clear" w:color="auto" w:fill="auto"/>
                  <w:tcMar>
                    <w:top w:w="0" w:type="dxa"/>
                    <w:left w:w="0" w:type="dxa"/>
                    <w:bottom w:w="0" w:type="dxa"/>
                    <w:right w:w="0" w:type="dxa"/>
                  </w:tcMar>
                  <w:vAlign w:val="center"/>
                </w:tcPr>
                <w:p w14:paraId="2B6590C1">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20.8</w:t>
                  </w:r>
                </w:p>
              </w:tc>
              <w:tc>
                <w:tcPr>
                  <w:tcW w:w="564" w:type="dxa"/>
                  <w:shd w:val="clear" w:color="auto" w:fill="auto"/>
                  <w:tcMar>
                    <w:top w:w="0" w:type="dxa"/>
                    <w:left w:w="0" w:type="dxa"/>
                    <w:bottom w:w="0" w:type="dxa"/>
                    <w:right w:w="0" w:type="dxa"/>
                  </w:tcMar>
                  <w:vAlign w:val="center"/>
                </w:tcPr>
                <w:p w14:paraId="6498D5F5">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1.2</w:t>
                  </w:r>
                </w:p>
              </w:tc>
              <w:tc>
                <w:tcPr>
                  <w:tcW w:w="466" w:type="dxa"/>
                  <w:shd w:val="clear" w:color="auto" w:fill="auto"/>
                  <w:tcMar>
                    <w:top w:w="0" w:type="dxa"/>
                    <w:left w:w="0" w:type="dxa"/>
                    <w:bottom w:w="0" w:type="dxa"/>
                    <w:right w:w="0" w:type="dxa"/>
                  </w:tcMar>
                  <w:vAlign w:val="center"/>
                </w:tcPr>
                <w:p w14:paraId="77AFB386">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50.4</w:t>
                  </w:r>
                </w:p>
              </w:tc>
              <w:tc>
                <w:tcPr>
                  <w:tcW w:w="466" w:type="dxa"/>
                  <w:shd w:val="clear" w:color="auto" w:fill="auto"/>
                  <w:tcMar>
                    <w:top w:w="0" w:type="dxa"/>
                    <w:left w:w="0" w:type="dxa"/>
                    <w:bottom w:w="0" w:type="dxa"/>
                    <w:right w:w="0" w:type="dxa"/>
                  </w:tcMar>
                  <w:vAlign w:val="center"/>
                </w:tcPr>
                <w:p w14:paraId="56FE99B2">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42.6</w:t>
                  </w:r>
                </w:p>
              </w:tc>
              <w:tc>
                <w:tcPr>
                  <w:tcW w:w="466" w:type="dxa"/>
                  <w:shd w:val="clear" w:color="auto" w:fill="auto"/>
                  <w:tcMar>
                    <w:top w:w="0" w:type="dxa"/>
                    <w:left w:w="0" w:type="dxa"/>
                    <w:bottom w:w="0" w:type="dxa"/>
                    <w:right w:w="0" w:type="dxa"/>
                  </w:tcMar>
                  <w:vAlign w:val="center"/>
                </w:tcPr>
                <w:p w14:paraId="5D790468">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32.0</w:t>
                  </w:r>
                </w:p>
              </w:tc>
              <w:tc>
                <w:tcPr>
                  <w:tcW w:w="467" w:type="dxa"/>
                  <w:shd w:val="clear" w:color="auto" w:fill="auto"/>
                  <w:tcMar>
                    <w:top w:w="0" w:type="dxa"/>
                    <w:left w:w="0" w:type="dxa"/>
                    <w:bottom w:w="0" w:type="dxa"/>
                    <w:right w:w="0" w:type="dxa"/>
                  </w:tcMar>
                  <w:vAlign w:val="center"/>
                </w:tcPr>
                <w:p w14:paraId="04DB2B07">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14.3</w:t>
                  </w:r>
                </w:p>
              </w:tc>
              <w:tc>
                <w:tcPr>
                  <w:tcW w:w="460" w:type="dxa"/>
                  <w:shd w:val="clear" w:color="auto" w:fill="auto"/>
                  <w:tcMar>
                    <w:top w:w="0" w:type="dxa"/>
                    <w:left w:w="0" w:type="dxa"/>
                    <w:bottom w:w="0" w:type="dxa"/>
                    <w:right w:w="0" w:type="dxa"/>
                  </w:tcMar>
                  <w:vAlign w:val="center"/>
                </w:tcPr>
                <w:p w14:paraId="20292394">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66.8</w:t>
                  </w:r>
                </w:p>
              </w:tc>
              <w:tc>
                <w:tcPr>
                  <w:tcW w:w="460" w:type="dxa"/>
                  <w:shd w:val="clear" w:color="auto" w:fill="auto"/>
                  <w:tcMar>
                    <w:top w:w="0" w:type="dxa"/>
                    <w:left w:w="0" w:type="dxa"/>
                    <w:bottom w:w="0" w:type="dxa"/>
                    <w:right w:w="0" w:type="dxa"/>
                  </w:tcMar>
                  <w:vAlign w:val="center"/>
                </w:tcPr>
                <w:p w14:paraId="7D64A439">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66.8</w:t>
                  </w:r>
                </w:p>
              </w:tc>
              <w:tc>
                <w:tcPr>
                  <w:tcW w:w="460" w:type="dxa"/>
                  <w:shd w:val="clear" w:color="auto" w:fill="auto"/>
                  <w:tcMar>
                    <w:top w:w="0" w:type="dxa"/>
                    <w:left w:w="0" w:type="dxa"/>
                    <w:bottom w:w="0" w:type="dxa"/>
                    <w:right w:w="0" w:type="dxa"/>
                  </w:tcMar>
                  <w:vAlign w:val="center"/>
                </w:tcPr>
                <w:p w14:paraId="7CEFD728">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66.8</w:t>
                  </w:r>
                </w:p>
              </w:tc>
              <w:tc>
                <w:tcPr>
                  <w:tcW w:w="462" w:type="dxa"/>
                  <w:shd w:val="clear" w:color="auto" w:fill="auto"/>
                  <w:tcMar>
                    <w:top w:w="0" w:type="dxa"/>
                    <w:left w:w="0" w:type="dxa"/>
                    <w:bottom w:w="0" w:type="dxa"/>
                    <w:right w:w="0" w:type="dxa"/>
                  </w:tcMar>
                  <w:vAlign w:val="center"/>
                </w:tcPr>
                <w:p w14:paraId="24164812">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66.9</w:t>
                  </w:r>
                </w:p>
              </w:tc>
              <w:tc>
                <w:tcPr>
                  <w:tcW w:w="445" w:type="dxa"/>
                  <w:vMerge w:val="continue"/>
                  <w:shd w:val="clear" w:color="auto" w:fill="auto"/>
                  <w:tcMar>
                    <w:top w:w="0" w:type="dxa"/>
                    <w:left w:w="0" w:type="dxa"/>
                    <w:bottom w:w="0" w:type="dxa"/>
                    <w:right w:w="0" w:type="dxa"/>
                  </w:tcMar>
                  <w:vAlign w:val="center"/>
                </w:tcPr>
                <w:p w14:paraId="63CB1A0C">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 w:val="21"/>
                      <w:szCs w:val="21"/>
                    </w:rPr>
                  </w:pPr>
                </w:p>
              </w:tc>
              <w:tc>
                <w:tcPr>
                  <w:tcW w:w="444" w:type="dxa"/>
                  <w:shd w:val="clear" w:color="auto" w:fill="auto"/>
                  <w:tcMar>
                    <w:top w:w="0" w:type="dxa"/>
                    <w:left w:w="0" w:type="dxa"/>
                    <w:bottom w:w="0" w:type="dxa"/>
                    <w:right w:w="0" w:type="dxa"/>
                  </w:tcMar>
                  <w:vAlign w:val="center"/>
                </w:tcPr>
                <w:p w14:paraId="0456B4AF">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20.0</w:t>
                  </w:r>
                </w:p>
              </w:tc>
              <w:tc>
                <w:tcPr>
                  <w:tcW w:w="444" w:type="dxa"/>
                  <w:shd w:val="clear" w:color="auto" w:fill="auto"/>
                  <w:tcMar>
                    <w:top w:w="0" w:type="dxa"/>
                    <w:left w:w="0" w:type="dxa"/>
                    <w:bottom w:w="0" w:type="dxa"/>
                    <w:right w:w="0" w:type="dxa"/>
                  </w:tcMar>
                  <w:vAlign w:val="center"/>
                </w:tcPr>
                <w:p w14:paraId="1401F2D2">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20.0</w:t>
                  </w:r>
                </w:p>
              </w:tc>
              <w:tc>
                <w:tcPr>
                  <w:tcW w:w="444" w:type="dxa"/>
                  <w:shd w:val="clear" w:color="auto" w:fill="auto"/>
                  <w:tcMar>
                    <w:top w:w="0" w:type="dxa"/>
                    <w:left w:w="0" w:type="dxa"/>
                    <w:bottom w:w="0" w:type="dxa"/>
                    <w:right w:w="0" w:type="dxa"/>
                  </w:tcMar>
                  <w:vAlign w:val="center"/>
                </w:tcPr>
                <w:p w14:paraId="227D3B34">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20.0</w:t>
                  </w:r>
                </w:p>
              </w:tc>
              <w:tc>
                <w:tcPr>
                  <w:tcW w:w="444" w:type="dxa"/>
                  <w:shd w:val="clear" w:color="auto" w:fill="auto"/>
                  <w:tcMar>
                    <w:top w:w="0" w:type="dxa"/>
                    <w:left w:w="0" w:type="dxa"/>
                    <w:bottom w:w="0" w:type="dxa"/>
                    <w:right w:w="0" w:type="dxa"/>
                  </w:tcMar>
                  <w:vAlign w:val="center"/>
                </w:tcPr>
                <w:p w14:paraId="23C68068">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20.0</w:t>
                  </w:r>
                </w:p>
              </w:tc>
              <w:tc>
                <w:tcPr>
                  <w:tcW w:w="470" w:type="dxa"/>
                  <w:shd w:val="clear" w:color="auto" w:fill="auto"/>
                  <w:tcMar>
                    <w:top w:w="0" w:type="dxa"/>
                    <w:left w:w="0" w:type="dxa"/>
                    <w:bottom w:w="0" w:type="dxa"/>
                    <w:right w:w="0" w:type="dxa"/>
                  </w:tcMar>
                  <w:vAlign w:val="center"/>
                </w:tcPr>
                <w:p w14:paraId="7870A8AC">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46.8</w:t>
                  </w:r>
                </w:p>
              </w:tc>
              <w:tc>
                <w:tcPr>
                  <w:tcW w:w="470" w:type="dxa"/>
                  <w:shd w:val="clear" w:color="auto" w:fill="auto"/>
                  <w:tcMar>
                    <w:top w:w="0" w:type="dxa"/>
                    <w:left w:w="0" w:type="dxa"/>
                    <w:bottom w:w="0" w:type="dxa"/>
                    <w:right w:w="0" w:type="dxa"/>
                  </w:tcMar>
                  <w:vAlign w:val="center"/>
                </w:tcPr>
                <w:p w14:paraId="460D1A63">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46.8</w:t>
                  </w:r>
                </w:p>
              </w:tc>
              <w:tc>
                <w:tcPr>
                  <w:tcW w:w="470" w:type="dxa"/>
                  <w:shd w:val="clear" w:color="auto" w:fill="auto"/>
                  <w:tcMar>
                    <w:top w:w="0" w:type="dxa"/>
                    <w:left w:w="0" w:type="dxa"/>
                    <w:bottom w:w="0" w:type="dxa"/>
                    <w:right w:w="0" w:type="dxa"/>
                  </w:tcMar>
                  <w:vAlign w:val="center"/>
                </w:tcPr>
                <w:p w14:paraId="596A3CD2">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46.8</w:t>
                  </w:r>
                </w:p>
              </w:tc>
              <w:tc>
                <w:tcPr>
                  <w:tcW w:w="471" w:type="dxa"/>
                  <w:shd w:val="clear" w:color="auto" w:fill="auto"/>
                  <w:tcMar>
                    <w:top w:w="0" w:type="dxa"/>
                    <w:left w:w="0" w:type="dxa"/>
                    <w:bottom w:w="0" w:type="dxa"/>
                    <w:right w:w="0" w:type="dxa"/>
                  </w:tcMar>
                  <w:vAlign w:val="center"/>
                </w:tcPr>
                <w:p w14:paraId="6470CD64">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46.9</w:t>
                  </w:r>
                </w:p>
              </w:tc>
              <w:tc>
                <w:tcPr>
                  <w:tcW w:w="648" w:type="dxa"/>
                  <w:shd w:val="clear" w:color="auto" w:fill="auto"/>
                  <w:tcMar>
                    <w:top w:w="0" w:type="dxa"/>
                    <w:left w:w="0" w:type="dxa"/>
                    <w:bottom w:w="0" w:type="dxa"/>
                    <w:right w:w="0" w:type="dxa"/>
                  </w:tcMar>
                  <w:vAlign w:val="center"/>
                </w:tcPr>
                <w:p w14:paraId="7117C033">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1</w:t>
                  </w:r>
                </w:p>
              </w:tc>
            </w:tr>
            <w:tr w14:paraId="02656A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482" w:type="dxa"/>
                  <w:shd w:val="clear" w:color="auto" w:fill="auto"/>
                  <w:vAlign w:val="center"/>
                </w:tcPr>
                <w:p w14:paraId="603E3365">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26</w:t>
                  </w:r>
                </w:p>
              </w:tc>
              <w:tc>
                <w:tcPr>
                  <w:tcW w:w="485" w:type="dxa"/>
                  <w:vMerge w:val="continue"/>
                  <w:shd w:val="clear" w:color="auto" w:fill="auto"/>
                  <w:tcMar>
                    <w:top w:w="0" w:type="dxa"/>
                    <w:left w:w="0" w:type="dxa"/>
                    <w:bottom w:w="0" w:type="dxa"/>
                    <w:right w:w="0" w:type="dxa"/>
                  </w:tcMar>
                  <w:vAlign w:val="center"/>
                </w:tcPr>
                <w:p w14:paraId="14F25BB3">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 w:val="21"/>
                      <w:szCs w:val="21"/>
                    </w:rPr>
                  </w:pPr>
                </w:p>
              </w:tc>
              <w:tc>
                <w:tcPr>
                  <w:tcW w:w="541" w:type="dxa"/>
                  <w:shd w:val="clear" w:color="auto" w:fill="auto"/>
                  <w:tcMar>
                    <w:top w:w="0" w:type="dxa"/>
                    <w:left w:w="0" w:type="dxa"/>
                    <w:bottom w:w="0" w:type="dxa"/>
                    <w:right w:w="0" w:type="dxa"/>
                  </w:tcMar>
                  <w:vAlign w:val="center"/>
                </w:tcPr>
                <w:p w14:paraId="46B68DC1">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复卷检查机</w:t>
                  </w:r>
                  <w:r>
                    <w:rPr>
                      <w:rFonts w:hint="eastAsia" w:ascii="Times New Roman" w:hAnsi="Times New Roman" w:eastAsia="宋体" w:cs="Times New Roman"/>
                      <w:color w:val="auto"/>
                      <w:sz w:val="21"/>
                      <w:szCs w:val="21"/>
                      <w:lang w:eastAsia="zh-CN"/>
                    </w:rPr>
                    <w:t>，</w:t>
                  </w:r>
                  <w:r>
                    <w:rPr>
                      <w:rFonts w:hint="default" w:ascii="Times New Roman" w:hAnsi="Times New Roman" w:eastAsia="宋体" w:cs="Times New Roman"/>
                      <w:color w:val="auto"/>
                      <w:sz w:val="21"/>
                      <w:szCs w:val="21"/>
                    </w:rPr>
                    <w:t>5台（按点声源组预测）</w:t>
                  </w:r>
                </w:p>
              </w:tc>
              <w:tc>
                <w:tcPr>
                  <w:tcW w:w="413" w:type="dxa"/>
                  <w:shd w:val="clear" w:color="auto" w:fill="auto"/>
                  <w:tcMar>
                    <w:top w:w="0" w:type="dxa"/>
                    <w:left w:w="0" w:type="dxa"/>
                    <w:bottom w:w="0" w:type="dxa"/>
                    <w:right w:w="0" w:type="dxa"/>
                  </w:tcMar>
                  <w:vAlign w:val="center"/>
                </w:tcPr>
                <w:p w14:paraId="7A52E690">
                  <w:pPr>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color w:val="auto"/>
                      <w:sz w:val="21"/>
                      <w:szCs w:val="21"/>
                      <w:highlight w:val="none"/>
                      <w:lang w:val="en-US" w:eastAsia="en-US" w:bidi="ar-SA"/>
                    </w:rPr>
                  </w:pPr>
                  <w:r>
                    <w:rPr>
                      <w:rFonts w:hint="default" w:ascii="Times New Roman" w:hAnsi="Times New Roman" w:eastAsia="宋体" w:cs="Times New Roman"/>
                      <w:color w:val="auto"/>
                      <w:sz w:val="21"/>
                      <w:szCs w:val="21"/>
                      <w:highlight w:val="none"/>
                    </w:rPr>
                    <w:t>FJ1450-JC</w:t>
                  </w:r>
                </w:p>
              </w:tc>
              <w:tc>
                <w:tcPr>
                  <w:tcW w:w="637" w:type="dxa"/>
                  <w:shd w:val="clear" w:color="auto" w:fill="auto"/>
                  <w:tcMar>
                    <w:top w:w="0" w:type="dxa"/>
                    <w:left w:w="0" w:type="dxa"/>
                    <w:bottom w:w="0" w:type="dxa"/>
                    <w:right w:w="0" w:type="dxa"/>
                  </w:tcMar>
                  <w:vAlign w:val="center"/>
                </w:tcPr>
                <w:p w14:paraId="182550F0">
                  <w:pPr>
                    <w:keepNext w:val="0"/>
                    <w:keepLines w:val="0"/>
                    <w:suppressLineNumbers w:val="0"/>
                    <w:spacing w:before="0" w:beforeAutospacing="0" w:after="0" w:afterAutospacing="0"/>
                    <w:ind w:left="0" w:right="0"/>
                    <w:jc w:val="center"/>
                    <w:rPr>
                      <w:rFonts w:hint="eastAsia" w:ascii="Times New Roman" w:hAnsi="Times New Roman" w:eastAsia="宋体" w:cs="Times New Roman"/>
                      <w:color w:val="auto"/>
                      <w:sz w:val="21"/>
                      <w:szCs w:val="21"/>
                      <w:lang w:eastAsia="zh-CN"/>
                    </w:rPr>
                  </w:pPr>
                  <w:r>
                    <w:rPr>
                      <w:rFonts w:hint="default" w:ascii="Times New Roman" w:hAnsi="Times New Roman" w:eastAsia="宋体" w:cs="Times New Roman"/>
                      <w:color w:val="auto"/>
                      <w:sz w:val="21"/>
                      <w:szCs w:val="21"/>
                    </w:rPr>
                    <w:t>75/1（等效后：82.0/1</w:t>
                  </w:r>
                  <w:r>
                    <w:rPr>
                      <w:rFonts w:hint="eastAsia" w:ascii="Times New Roman" w:hAnsi="Times New Roman" w:eastAsia="宋体" w:cs="Times New Roman"/>
                      <w:color w:val="auto"/>
                      <w:sz w:val="21"/>
                      <w:szCs w:val="21"/>
                      <w:lang w:eastAsia="zh-CN"/>
                    </w:rPr>
                    <w:t>）</w:t>
                  </w:r>
                </w:p>
              </w:tc>
              <w:tc>
                <w:tcPr>
                  <w:tcW w:w="553" w:type="dxa"/>
                  <w:vMerge w:val="continue"/>
                  <w:shd w:val="clear" w:color="auto" w:fill="auto"/>
                  <w:tcMar>
                    <w:top w:w="0" w:type="dxa"/>
                    <w:left w:w="0" w:type="dxa"/>
                    <w:bottom w:w="0" w:type="dxa"/>
                    <w:right w:w="0" w:type="dxa"/>
                  </w:tcMar>
                  <w:vAlign w:val="center"/>
                </w:tcPr>
                <w:p w14:paraId="5BC57996">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 w:val="21"/>
                      <w:szCs w:val="21"/>
                    </w:rPr>
                  </w:pPr>
                </w:p>
              </w:tc>
              <w:tc>
                <w:tcPr>
                  <w:tcW w:w="563" w:type="dxa"/>
                  <w:shd w:val="clear" w:color="auto" w:fill="auto"/>
                  <w:tcMar>
                    <w:top w:w="0" w:type="dxa"/>
                    <w:left w:w="0" w:type="dxa"/>
                    <w:bottom w:w="0" w:type="dxa"/>
                    <w:right w:w="0" w:type="dxa"/>
                  </w:tcMar>
                  <w:vAlign w:val="center"/>
                </w:tcPr>
                <w:p w14:paraId="7085C471">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27.9</w:t>
                  </w:r>
                </w:p>
              </w:tc>
              <w:tc>
                <w:tcPr>
                  <w:tcW w:w="563" w:type="dxa"/>
                  <w:shd w:val="clear" w:color="auto" w:fill="auto"/>
                  <w:tcMar>
                    <w:top w:w="0" w:type="dxa"/>
                    <w:left w:w="0" w:type="dxa"/>
                    <w:bottom w:w="0" w:type="dxa"/>
                    <w:right w:w="0" w:type="dxa"/>
                  </w:tcMar>
                  <w:vAlign w:val="center"/>
                </w:tcPr>
                <w:p w14:paraId="17EE54B3">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23.3</w:t>
                  </w:r>
                </w:p>
              </w:tc>
              <w:tc>
                <w:tcPr>
                  <w:tcW w:w="564" w:type="dxa"/>
                  <w:shd w:val="clear" w:color="auto" w:fill="auto"/>
                  <w:tcMar>
                    <w:top w:w="0" w:type="dxa"/>
                    <w:left w:w="0" w:type="dxa"/>
                    <w:bottom w:w="0" w:type="dxa"/>
                    <w:right w:w="0" w:type="dxa"/>
                  </w:tcMar>
                  <w:vAlign w:val="center"/>
                </w:tcPr>
                <w:p w14:paraId="5B027A06">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1.2</w:t>
                  </w:r>
                </w:p>
              </w:tc>
              <w:tc>
                <w:tcPr>
                  <w:tcW w:w="466" w:type="dxa"/>
                  <w:shd w:val="clear" w:color="auto" w:fill="auto"/>
                  <w:tcMar>
                    <w:top w:w="0" w:type="dxa"/>
                    <w:left w:w="0" w:type="dxa"/>
                    <w:bottom w:w="0" w:type="dxa"/>
                    <w:right w:w="0" w:type="dxa"/>
                  </w:tcMar>
                  <w:vAlign w:val="center"/>
                </w:tcPr>
                <w:p w14:paraId="39D804D9">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50.5</w:t>
                  </w:r>
                </w:p>
              </w:tc>
              <w:tc>
                <w:tcPr>
                  <w:tcW w:w="466" w:type="dxa"/>
                  <w:shd w:val="clear" w:color="auto" w:fill="auto"/>
                  <w:tcMar>
                    <w:top w:w="0" w:type="dxa"/>
                    <w:left w:w="0" w:type="dxa"/>
                    <w:bottom w:w="0" w:type="dxa"/>
                    <w:right w:w="0" w:type="dxa"/>
                  </w:tcMar>
                  <w:vAlign w:val="center"/>
                </w:tcPr>
                <w:p w14:paraId="64183DEA">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45.2</w:t>
                  </w:r>
                </w:p>
              </w:tc>
              <w:tc>
                <w:tcPr>
                  <w:tcW w:w="466" w:type="dxa"/>
                  <w:shd w:val="clear" w:color="auto" w:fill="auto"/>
                  <w:tcMar>
                    <w:top w:w="0" w:type="dxa"/>
                    <w:left w:w="0" w:type="dxa"/>
                    <w:bottom w:w="0" w:type="dxa"/>
                    <w:right w:w="0" w:type="dxa"/>
                  </w:tcMar>
                  <w:vAlign w:val="center"/>
                </w:tcPr>
                <w:p w14:paraId="121FCC17">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31.8</w:t>
                  </w:r>
                </w:p>
              </w:tc>
              <w:tc>
                <w:tcPr>
                  <w:tcW w:w="467" w:type="dxa"/>
                  <w:shd w:val="clear" w:color="auto" w:fill="auto"/>
                  <w:tcMar>
                    <w:top w:w="0" w:type="dxa"/>
                    <w:left w:w="0" w:type="dxa"/>
                    <w:bottom w:w="0" w:type="dxa"/>
                    <w:right w:w="0" w:type="dxa"/>
                  </w:tcMar>
                  <w:vAlign w:val="center"/>
                </w:tcPr>
                <w:p w14:paraId="79075D66">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11.7</w:t>
                  </w:r>
                </w:p>
              </w:tc>
              <w:tc>
                <w:tcPr>
                  <w:tcW w:w="460" w:type="dxa"/>
                  <w:shd w:val="clear" w:color="auto" w:fill="auto"/>
                  <w:tcMar>
                    <w:top w:w="0" w:type="dxa"/>
                    <w:left w:w="0" w:type="dxa"/>
                    <w:bottom w:w="0" w:type="dxa"/>
                    <w:right w:w="0" w:type="dxa"/>
                  </w:tcMar>
                  <w:vAlign w:val="center"/>
                </w:tcPr>
                <w:p w14:paraId="6CB0F659">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54.0</w:t>
                  </w:r>
                </w:p>
              </w:tc>
              <w:tc>
                <w:tcPr>
                  <w:tcW w:w="460" w:type="dxa"/>
                  <w:shd w:val="clear" w:color="auto" w:fill="auto"/>
                  <w:tcMar>
                    <w:top w:w="0" w:type="dxa"/>
                    <w:left w:w="0" w:type="dxa"/>
                    <w:bottom w:w="0" w:type="dxa"/>
                    <w:right w:w="0" w:type="dxa"/>
                  </w:tcMar>
                  <w:vAlign w:val="center"/>
                </w:tcPr>
                <w:p w14:paraId="0ADB4B4F">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54.0</w:t>
                  </w:r>
                </w:p>
              </w:tc>
              <w:tc>
                <w:tcPr>
                  <w:tcW w:w="460" w:type="dxa"/>
                  <w:shd w:val="clear" w:color="auto" w:fill="auto"/>
                  <w:tcMar>
                    <w:top w:w="0" w:type="dxa"/>
                    <w:left w:w="0" w:type="dxa"/>
                    <w:bottom w:w="0" w:type="dxa"/>
                    <w:right w:w="0" w:type="dxa"/>
                  </w:tcMar>
                  <w:vAlign w:val="center"/>
                </w:tcPr>
                <w:p w14:paraId="1CBA0EF2">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54.0</w:t>
                  </w:r>
                </w:p>
              </w:tc>
              <w:tc>
                <w:tcPr>
                  <w:tcW w:w="462" w:type="dxa"/>
                  <w:shd w:val="clear" w:color="auto" w:fill="auto"/>
                  <w:tcMar>
                    <w:top w:w="0" w:type="dxa"/>
                    <w:left w:w="0" w:type="dxa"/>
                    <w:bottom w:w="0" w:type="dxa"/>
                    <w:right w:w="0" w:type="dxa"/>
                  </w:tcMar>
                  <w:vAlign w:val="center"/>
                </w:tcPr>
                <w:p w14:paraId="2F5082CA">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54.2</w:t>
                  </w:r>
                </w:p>
              </w:tc>
              <w:tc>
                <w:tcPr>
                  <w:tcW w:w="445" w:type="dxa"/>
                  <w:vMerge w:val="continue"/>
                  <w:shd w:val="clear" w:color="auto" w:fill="auto"/>
                  <w:tcMar>
                    <w:top w:w="0" w:type="dxa"/>
                    <w:left w:w="0" w:type="dxa"/>
                    <w:bottom w:w="0" w:type="dxa"/>
                    <w:right w:w="0" w:type="dxa"/>
                  </w:tcMar>
                  <w:vAlign w:val="center"/>
                </w:tcPr>
                <w:p w14:paraId="64971212">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 w:val="21"/>
                      <w:szCs w:val="21"/>
                    </w:rPr>
                  </w:pPr>
                </w:p>
              </w:tc>
              <w:tc>
                <w:tcPr>
                  <w:tcW w:w="444" w:type="dxa"/>
                  <w:shd w:val="clear" w:color="auto" w:fill="auto"/>
                  <w:tcMar>
                    <w:top w:w="0" w:type="dxa"/>
                    <w:left w:w="0" w:type="dxa"/>
                    <w:bottom w:w="0" w:type="dxa"/>
                    <w:right w:w="0" w:type="dxa"/>
                  </w:tcMar>
                  <w:vAlign w:val="center"/>
                </w:tcPr>
                <w:p w14:paraId="7E4EE1FE">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20.0</w:t>
                  </w:r>
                </w:p>
              </w:tc>
              <w:tc>
                <w:tcPr>
                  <w:tcW w:w="444" w:type="dxa"/>
                  <w:shd w:val="clear" w:color="auto" w:fill="auto"/>
                  <w:tcMar>
                    <w:top w:w="0" w:type="dxa"/>
                    <w:left w:w="0" w:type="dxa"/>
                    <w:bottom w:w="0" w:type="dxa"/>
                    <w:right w:w="0" w:type="dxa"/>
                  </w:tcMar>
                  <w:vAlign w:val="center"/>
                </w:tcPr>
                <w:p w14:paraId="03336232">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20.0</w:t>
                  </w:r>
                </w:p>
              </w:tc>
              <w:tc>
                <w:tcPr>
                  <w:tcW w:w="444" w:type="dxa"/>
                  <w:shd w:val="clear" w:color="auto" w:fill="auto"/>
                  <w:tcMar>
                    <w:top w:w="0" w:type="dxa"/>
                    <w:left w:w="0" w:type="dxa"/>
                    <w:bottom w:w="0" w:type="dxa"/>
                    <w:right w:w="0" w:type="dxa"/>
                  </w:tcMar>
                  <w:vAlign w:val="center"/>
                </w:tcPr>
                <w:p w14:paraId="606487DD">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20.0</w:t>
                  </w:r>
                </w:p>
              </w:tc>
              <w:tc>
                <w:tcPr>
                  <w:tcW w:w="444" w:type="dxa"/>
                  <w:shd w:val="clear" w:color="auto" w:fill="auto"/>
                  <w:tcMar>
                    <w:top w:w="0" w:type="dxa"/>
                    <w:left w:w="0" w:type="dxa"/>
                    <w:bottom w:w="0" w:type="dxa"/>
                    <w:right w:w="0" w:type="dxa"/>
                  </w:tcMar>
                  <w:vAlign w:val="center"/>
                </w:tcPr>
                <w:p w14:paraId="4C547132">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20.0</w:t>
                  </w:r>
                </w:p>
              </w:tc>
              <w:tc>
                <w:tcPr>
                  <w:tcW w:w="470" w:type="dxa"/>
                  <w:shd w:val="clear" w:color="auto" w:fill="auto"/>
                  <w:tcMar>
                    <w:top w:w="0" w:type="dxa"/>
                    <w:left w:w="0" w:type="dxa"/>
                    <w:bottom w:w="0" w:type="dxa"/>
                    <w:right w:w="0" w:type="dxa"/>
                  </w:tcMar>
                  <w:vAlign w:val="center"/>
                </w:tcPr>
                <w:p w14:paraId="46ACB2D9">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34.0</w:t>
                  </w:r>
                </w:p>
              </w:tc>
              <w:tc>
                <w:tcPr>
                  <w:tcW w:w="470" w:type="dxa"/>
                  <w:shd w:val="clear" w:color="auto" w:fill="auto"/>
                  <w:tcMar>
                    <w:top w:w="0" w:type="dxa"/>
                    <w:left w:w="0" w:type="dxa"/>
                    <w:bottom w:w="0" w:type="dxa"/>
                    <w:right w:w="0" w:type="dxa"/>
                  </w:tcMar>
                  <w:vAlign w:val="center"/>
                </w:tcPr>
                <w:p w14:paraId="36A2FBCB">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34.0</w:t>
                  </w:r>
                </w:p>
              </w:tc>
              <w:tc>
                <w:tcPr>
                  <w:tcW w:w="470" w:type="dxa"/>
                  <w:shd w:val="clear" w:color="auto" w:fill="auto"/>
                  <w:tcMar>
                    <w:top w:w="0" w:type="dxa"/>
                    <w:left w:w="0" w:type="dxa"/>
                    <w:bottom w:w="0" w:type="dxa"/>
                    <w:right w:w="0" w:type="dxa"/>
                  </w:tcMar>
                  <w:vAlign w:val="center"/>
                </w:tcPr>
                <w:p w14:paraId="5091C965">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34.0</w:t>
                  </w:r>
                </w:p>
              </w:tc>
              <w:tc>
                <w:tcPr>
                  <w:tcW w:w="471" w:type="dxa"/>
                  <w:shd w:val="clear" w:color="auto" w:fill="auto"/>
                  <w:tcMar>
                    <w:top w:w="0" w:type="dxa"/>
                    <w:left w:w="0" w:type="dxa"/>
                    <w:bottom w:w="0" w:type="dxa"/>
                    <w:right w:w="0" w:type="dxa"/>
                  </w:tcMar>
                  <w:vAlign w:val="center"/>
                </w:tcPr>
                <w:p w14:paraId="3CC2384A">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34.2</w:t>
                  </w:r>
                </w:p>
              </w:tc>
              <w:tc>
                <w:tcPr>
                  <w:tcW w:w="648" w:type="dxa"/>
                  <w:shd w:val="clear" w:color="auto" w:fill="auto"/>
                  <w:tcMar>
                    <w:top w:w="0" w:type="dxa"/>
                    <w:left w:w="0" w:type="dxa"/>
                    <w:bottom w:w="0" w:type="dxa"/>
                    <w:right w:w="0" w:type="dxa"/>
                  </w:tcMar>
                  <w:vAlign w:val="center"/>
                </w:tcPr>
                <w:p w14:paraId="3E23A77C">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1</w:t>
                  </w:r>
                </w:p>
              </w:tc>
            </w:tr>
            <w:tr w14:paraId="163E4D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23" w:hRule="atLeast"/>
                <w:jc w:val="center"/>
              </w:trPr>
              <w:tc>
                <w:tcPr>
                  <w:tcW w:w="482" w:type="dxa"/>
                  <w:shd w:val="clear" w:color="auto" w:fill="auto"/>
                  <w:vAlign w:val="center"/>
                </w:tcPr>
                <w:p w14:paraId="721E47C6">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27</w:t>
                  </w:r>
                </w:p>
              </w:tc>
              <w:tc>
                <w:tcPr>
                  <w:tcW w:w="485" w:type="dxa"/>
                  <w:vMerge w:val="continue"/>
                  <w:shd w:val="clear" w:color="auto" w:fill="auto"/>
                  <w:tcMar>
                    <w:top w:w="0" w:type="dxa"/>
                    <w:left w:w="0" w:type="dxa"/>
                    <w:bottom w:w="0" w:type="dxa"/>
                    <w:right w:w="0" w:type="dxa"/>
                  </w:tcMar>
                  <w:vAlign w:val="center"/>
                </w:tcPr>
                <w:p w14:paraId="4AAA8605">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 w:val="21"/>
                      <w:szCs w:val="21"/>
                    </w:rPr>
                  </w:pPr>
                </w:p>
              </w:tc>
              <w:tc>
                <w:tcPr>
                  <w:tcW w:w="541" w:type="dxa"/>
                  <w:shd w:val="clear" w:color="auto" w:fill="auto"/>
                  <w:tcMar>
                    <w:top w:w="0" w:type="dxa"/>
                    <w:left w:w="0" w:type="dxa"/>
                    <w:bottom w:w="0" w:type="dxa"/>
                    <w:right w:w="0" w:type="dxa"/>
                  </w:tcMar>
                  <w:vAlign w:val="center"/>
                </w:tcPr>
                <w:p w14:paraId="1443105F">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大模切机</w:t>
                  </w:r>
                  <w:r>
                    <w:rPr>
                      <w:rFonts w:hint="eastAsia" w:ascii="Times New Roman" w:hAnsi="Times New Roman" w:eastAsia="宋体" w:cs="Times New Roman"/>
                      <w:color w:val="auto"/>
                      <w:sz w:val="21"/>
                      <w:szCs w:val="21"/>
                      <w:lang w:eastAsia="zh-CN"/>
                    </w:rPr>
                    <w:t>，</w:t>
                  </w:r>
                  <w:r>
                    <w:rPr>
                      <w:rFonts w:hint="default" w:ascii="Times New Roman" w:hAnsi="Times New Roman" w:eastAsia="宋体" w:cs="Times New Roman"/>
                      <w:color w:val="auto"/>
                      <w:sz w:val="21"/>
                      <w:szCs w:val="21"/>
                    </w:rPr>
                    <w:t>4台（按点声源组预测）</w:t>
                  </w:r>
                </w:p>
              </w:tc>
              <w:tc>
                <w:tcPr>
                  <w:tcW w:w="413" w:type="dxa"/>
                  <w:shd w:val="clear" w:color="auto" w:fill="auto"/>
                  <w:tcMar>
                    <w:top w:w="0" w:type="dxa"/>
                    <w:left w:w="0" w:type="dxa"/>
                    <w:bottom w:w="0" w:type="dxa"/>
                    <w:right w:w="0" w:type="dxa"/>
                  </w:tcMar>
                  <w:vAlign w:val="center"/>
                </w:tcPr>
                <w:p w14:paraId="726C09B2">
                  <w:pPr>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color w:val="auto"/>
                      <w:sz w:val="21"/>
                      <w:szCs w:val="21"/>
                      <w:highlight w:val="none"/>
                      <w:lang w:val="en-US" w:eastAsia="en-US" w:bidi="ar-SA"/>
                    </w:rPr>
                  </w:pPr>
                  <w:r>
                    <w:rPr>
                      <w:rFonts w:hint="default" w:ascii="Times New Roman" w:hAnsi="Times New Roman" w:eastAsia="宋体" w:cs="Times New Roman"/>
                      <w:color w:val="auto"/>
                      <w:sz w:val="21"/>
                      <w:szCs w:val="21"/>
                      <w:highlight w:val="none"/>
                    </w:rPr>
                    <w:t>150吨</w:t>
                  </w:r>
                </w:p>
              </w:tc>
              <w:tc>
                <w:tcPr>
                  <w:tcW w:w="637" w:type="dxa"/>
                  <w:shd w:val="clear" w:color="auto" w:fill="auto"/>
                  <w:tcMar>
                    <w:top w:w="0" w:type="dxa"/>
                    <w:left w:w="0" w:type="dxa"/>
                    <w:bottom w:w="0" w:type="dxa"/>
                    <w:right w:w="0" w:type="dxa"/>
                  </w:tcMar>
                  <w:vAlign w:val="center"/>
                </w:tcPr>
                <w:p w14:paraId="083C004C">
                  <w:pPr>
                    <w:keepNext w:val="0"/>
                    <w:keepLines w:val="0"/>
                    <w:suppressLineNumbers w:val="0"/>
                    <w:spacing w:before="0" w:beforeAutospacing="0" w:after="0" w:afterAutospacing="0"/>
                    <w:ind w:left="0" w:right="0"/>
                    <w:jc w:val="center"/>
                    <w:rPr>
                      <w:rFonts w:hint="eastAsia" w:ascii="Times New Roman" w:hAnsi="Times New Roman" w:eastAsia="宋体" w:cs="Times New Roman"/>
                      <w:color w:val="auto"/>
                      <w:sz w:val="21"/>
                      <w:szCs w:val="21"/>
                      <w:lang w:eastAsia="zh-CN"/>
                    </w:rPr>
                  </w:pPr>
                  <w:r>
                    <w:rPr>
                      <w:rFonts w:hint="default" w:ascii="Times New Roman" w:hAnsi="Times New Roman" w:eastAsia="宋体" w:cs="Times New Roman"/>
                      <w:color w:val="auto"/>
                      <w:sz w:val="21"/>
                      <w:szCs w:val="21"/>
                    </w:rPr>
                    <w:t>70/1（等效后：76.0/1</w:t>
                  </w:r>
                  <w:r>
                    <w:rPr>
                      <w:rFonts w:hint="eastAsia" w:ascii="Times New Roman" w:hAnsi="Times New Roman" w:eastAsia="宋体" w:cs="Times New Roman"/>
                      <w:color w:val="auto"/>
                      <w:sz w:val="21"/>
                      <w:szCs w:val="21"/>
                      <w:lang w:eastAsia="zh-CN"/>
                    </w:rPr>
                    <w:t>）</w:t>
                  </w:r>
                </w:p>
              </w:tc>
              <w:tc>
                <w:tcPr>
                  <w:tcW w:w="553" w:type="dxa"/>
                  <w:vMerge w:val="continue"/>
                  <w:shd w:val="clear" w:color="auto" w:fill="auto"/>
                  <w:tcMar>
                    <w:top w:w="0" w:type="dxa"/>
                    <w:left w:w="0" w:type="dxa"/>
                    <w:bottom w:w="0" w:type="dxa"/>
                    <w:right w:w="0" w:type="dxa"/>
                  </w:tcMar>
                  <w:vAlign w:val="center"/>
                </w:tcPr>
                <w:p w14:paraId="06FE278F">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 w:val="21"/>
                      <w:szCs w:val="21"/>
                    </w:rPr>
                  </w:pPr>
                </w:p>
              </w:tc>
              <w:tc>
                <w:tcPr>
                  <w:tcW w:w="563" w:type="dxa"/>
                  <w:shd w:val="clear" w:color="auto" w:fill="auto"/>
                  <w:tcMar>
                    <w:top w:w="0" w:type="dxa"/>
                    <w:left w:w="0" w:type="dxa"/>
                    <w:bottom w:w="0" w:type="dxa"/>
                    <w:right w:w="0" w:type="dxa"/>
                  </w:tcMar>
                  <w:vAlign w:val="center"/>
                </w:tcPr>
                <w:p w14:paraId="588D92D2">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37.4</w:t>
                  </w:r>
                </w:p>
              </w:tc>
              <w:tc>
                <w:tcPr>
                  <w:tcW w:w="563" w:type="dxa"/>
                  <w:shd w:val="clear" w:color="auto" w:fill="auto"/>
                  <w:tcMar>
                    <w:top w:w="0" w:type="dxa"/>
                    <w:left w:w="0" w:type="dxa"/>
                    <w:bottom w:w="0" w:type="dxa"/>
                    <w:right w:w="0" w:type="dxa"/>
                  </w:tcMar>
                  <w:vAlign w:val="center"/>
                </w:tcPr>
                <w:p w14:paraId="7CB96C54">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-8.8</w:t>
                  </w:r>
                </w:p>
              </w:tc>
              <w:tc>
                <w:tcPr>
                  <w:tcW w:w="564" w:type="dxa"/>
                  <w:shd w:val="clear" w:color="auto" w:fill="auto"/>
                  <w:tcMar>
                    <w:top w:w="0" w:type="dxa"/>
                    <w:left w:w="0" w:type="dxa"/>
                    <w:bottom w:w="0" w:type="dxa"/>
                    <w:right w:w="0" w:type="dxa"/>
                  </w:tcMar>
                  <w:vAlign w:val="center"/>
                </w:tcPr>
                <w:p w14:paraId="4854A105">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1.2</w:t>
                  </w:r>
                </w:p>
              </w:tc>
              <w:tc>
                <w:tcPr>
                  <w:tcW w:w="466" w:type="dxa"/>
                  <w:shd w:val="clear" w:color="auto" w:fill="auto"/>
                  <w:tcMar>
                    <w:top w:w="0" w:type="dxa"/>
                    <w:left w:w="0" w:type="dxa"/>
                    <w:bottom w:w="0" w:type="dxa"/>
                    <w:right w:w="0" w:type="dxa"/>
                  </w:tcMar>
                  <w:vAlign w:val="center"/>
                </w:tcPr>
                <w:p w14:paraId="17A0D531">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48.4</w:t>
                  </w:r>
                </w:p>
              </w:tc>
              <w:tc>
                <w:tcPr>
                  <w:tcW w:w="466" w:type="dxa"/>
                  <w:shd w:val="clear" w:color="auto" w:fill="auto"/>
                  <w:tcMar>
                    <w:top w:w="0" w:type="dxa"/>
                    <w:left w:w="0" w:type="dxa"/>
                    <w:bottom w:w="0" w:type="dxa"/>
                    <w:right w:w="0" w:type="dxa"/>
                  </w:tcMar>
                  <w:vAlign w:val="center"/>
                </w:tcPr>
                <w:p w14:paraId="2081BC67">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11.8</w:t>
                  </w:r>
                </w:p>
              </w:tc>
              <w:tc>
                <w:tcPr>
                  <w:tcW w:w="466" w:type="dxa"/>
                  <w:shd w:val="clear" w:color="auto" w:fill="auto"/>
                  <w:tcMar>
                    <w:top w:w="0" w:type="dxa"/>
                    <w:left w:w="0" w:type="dxa"/>
                    <w:bottom w:w="0" w:type="dxa"/>
                    <w:right w:w="0" w:type="dxa"/>
                  </w:tcMar>
                  <w:vAlign w:val="center"/>
                </w:tcPr>
                <w:p w14:paraId="573A3448">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34.6</w:t>
                  </w:r>
                </w:p>
              </w:tc>
              <w:tc>
                <w:tcPr>
                  <w:tcW w:w="467" w:type="dxa"/>
                  <w:shd w:val="clear" w:color="auto" w:fill="auto"/>
                  <w:tcMar>
                    <w:top w:w="0" w:type="dxa"/>
                    <w:left w:w="0" w:type="dxa"/>
                    <w:bottom w:w="0" w:type="dxa"/>
                    <w:right w:w="0" w:type="dxa"/>
                  </w:tcMar>
                  <w:vAlign w:val="center"/>
                </w:tcPr>
                <w:p w14:paraId="25825E0C">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45.1</w:t>
                  </w:r>
                </w:p>
              </w:tc>
              <w:tc>
                <w:tcPr>
                  <w:tcW w:w="460" w:type="dxa"/>
                  <w:shd w:val="clear" w:color="auto" w:fill="auto"/>
                  <w:tcMar>
                    <w:top w:w="0" w:type="dxa"/>
                    <w:left w:w="0" w:type="dxa"/>
                    <w:bottom w:w="0" w:type="dxa"/>
                    <w:right w:w="0" w:type="dxa"/>
                  </w:tcMar>
                  <w:vAlign w:val="center"/>
                </w:tcPr>
                <w:p w14:paraId="67861FE8">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53.0</w:t>
                  </w:r>
                </w:p>
              </w:tc>
              <w:tc>
                <w:tcPr>
                  <w:tcW w:w="460" w:type="dxa"/>
                  <w:shd w:val="clear" w:color="auto" w:fill="auto"/>
                  <w:tcMar>
                    <w:top w:w="0" w:type="dxa"/>
                    <w:left w:w="0" w:type="dxa"/>
                    <w:bottom w:w="0" w:type="dxa"/>
                    <w:right w:w="0" w:type="dxa"/>
                  </w:tcMar>
                  <w:vAlign w:val="center"/>
                </w:tcPr>
                <w:p w14:paraId="3AB319E6">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53.2</w:t>
                  </w:r>
                </w:p>
              </w:tc>
              <w:tc>
                <w:tcPr>
                  <w:tcW w:w="460" w:type="dxa"/>
                  <w:shd w:val="clear" w:color="auto" w:fill="auto"/>
                  <w:tcMar>
                    <w:top w:w="0" w:type="dxa"/>
                    <w:left w:w="0" w:type="dxa"/>
                    <w:bottom w:w="0" w:type="dxa"/>
                    <w:right w:w="0" w:type="dxa"/>
                  </w:tcMar>
                  <w:vAlign w:val="center"/>
                </w:tcPr>
                <w:p w14:paraId="356E8A84">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53.0</w:t>
                  </w:r>
                </w:p>
              </w:tc>
              <w:tc>
                <w:tcPr>
                  <w:tcW w:w="462" w:type="dxa"/>
                  <w:shd w:val="clear" w:color="auto" w:fill="auto"/>
                  <w:tcMar>
                    <w:top w:w="0" w:type="dxa"/>
                    <w:left w:w="0" w:type="dxa"/>
                    <w:bottom w:w="0" w:type="dxa"/>
                    <w:right w:w="0" w:type="dxa"/>
                  </w:tcMar>
                  <w:vAlign w:val="center"/>
                </w:tcPr>
                <w:p w14:paraId="32DF1FA6">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53.0</w:t>
                  </w:r>
                </w:p>
              </w:tc>
              <w:tc>
                <w:tcPr>
                  <w:tcW w:w="445" w:type="dxa"/>
                  <w:vMerge w:val="continue"/>
                  <w:shd w:val="clear" w:color="auto" w:fill="auto"/>
                  <w:tcMar>
                    <w:top w:w="0" w:type="dxa"/>
                    <w:left w:w="0" w:type="dxa"/>
                    <w:bottom w:w="0" w:type="dxa"/>
                    <w:right w:w="0" w:type="dxa"/>
                  </w:tcMar>
                  <w:vAlign w:val="center"/>
                </w:tcPr>
                <w:p w14:paraId="1B969FCC">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 w:val="21"/>
                      <w:szCs w:val="21"/>
                    </w:rPr>
                  </w:pPr>
                </w:p>
              </w:tc>
              <w:tc>
                <w:tcPr>
                  <w:tcW w:w="444" w:type="dxa"/>
                  <w:shd w:val="clear" w:color="auto" w:fill="auto"/>
                  <w:tcMar>
                    <w:top w:w="0" w:type="dxa"/>
                    <w:left w:w="0" w:type="dxa"/>
                    <w:bottom w:w="0" w:type="dxa"/>
                    <w:right w:w="0" w:type="dxa"/>
                  </w:tcMar>
                  <w:vAlign w:val="center"/>
                </w:tcPr>
                <w:p w14:paraId="556FDC36">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20.0</w:t>
                  </w:r>
                </w:p>
              </w:tc>
              <w:tc>
                <w:tcPr>
                  <w:tcW w:w="444" w:type="dxa"/>
                  <w:shd w:val="clear" w:color="auto" w:fill="auto"/>
                  <w:tcMar>
                    <w:top w:w="0" w:type="dxa"/>
                    <w:left w:w="0" w:type="dxa"/>
                    <w:bottom w:w="0" w:type="dxa"/>
                    <w:right w:w="0" w:type="dxa"/>
                  </w:tcMar>
                  <w:vAlign w:val="center"/>
                </w:tcPr>
                <w:p w14:paraId="0EB0A044">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20.0</w:t>
                  </w:r>
                </w:p>
              </w:tc>
              <w:tc>
                <w:tcPr>
                  <w:tcW w:w="444" w:type="dxa"/>
                  <w:shd w:val="clear" w:color="auto" w:fill="auto"/>
                  <w:tcMar>
                    <w:top w:w="0" w:type="dxa"/>
                    <w:left w:w="0" w:type="dxa"/>
                    <w:bottom w:w="0" w:type="dxa"/>
                    <w:right w:w="0" w:type="dxa"/>
                  </w:tcMar>
                  <w:vAlign w:val="center"/>
                </w:tcPr>
                <w:p w14:paraId="422204DD">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20.0</w:t>
                  </w:r>
                </w:p>
              </w:tc>
              <w:tc>
                <w:tcPr>
                  <w:tcW w:w="444" w:type="dxa"/>
                  <w:shd w:val="clear" w:color="auto" w:fill="auto"/>
                  <w:tcMar>
                    <w:top w:w="0" w:type="dxa"/>
                    <w:left w:w="0" w:type="dxa"/>
                    <w:bottom w:w="0" w:type="dxa"/>
                    <w:right w:w="0" w:type="dxa"/>
                  </w:tcMar>
                  <w:vAlign w:val="center"/>
                </w:tcPr>
                <w:p w14:paraId="727C915F">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20.0</w:t>
                  </w:r>
                </w:p>
              </w:tc>
              <w:tc>
                <w:tcPr>
                  <w:tcW w:w="470" w:type="dxa"/>
                  <w:shd w:val="clear" w:color="auto" w:fill="auto"/>
                  <w:tcMar>
                    <w:top w:w="0" w:type="dxa"/>
                    <w:left w:w="0" w:type="dxa"/>
                    <w:bottom w:w="0" w:type="dxa"/>
                    <w:right w:w="0" w:type="dxa"/>
                  </w:tcMar>
                  <w:vAlign w:val="center"/>
                </w:tcPr>
                <w:p w14:paraId="53F24B2E">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33.0</w:t>
                  </w:r>
                </w:p>
              </w:tc>
              <w:tc>
                <w:tcPr>
                  <w:tcW w:w="470" w:type="dxa"/>
                  <w:shd w:val="clear" w:color="auto" w:fill="auto"/>
                  <w:tcMar>
                    <w:top w:w="0" w:type="dxa"/>
                    <w:left w:w="0" w:type="dxa"/>
                    <w:bottom w:w="0" w:type="dxa"/>
                    <w:right w:w="0" w:type="dxa"/>
                  </w:tcMar>
                  <w:vAlign w:val="center"/>
                </w:tcPr>
                <w:p w14:paraId="6D03ABA9">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33.2</w:t>
                  </w:r>
                </w:p>
              </w:tc>
              <w:tc>
                <w:tcPr>
                  <w:tcW w:w="470" w:type="dxa"/>
                  <w:shd w:val="clear" w:color="auto" w:fill="auto"/>
                  <w:tcMar>
                    <w:top w:w="0" w:type="dxa"/>
                    <w:left w:w="0" w:type="dxa"/>
                    <w:bottom w:w="0" w:type="dxa"/>
                    <w:right w:w="0" w:type="dxa"/>
                  </w:tcMar>
                  <w:vAlign w:val="center"/>
                </w:tcPr>
                <w:p w14:paraId="0F9FC98F">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33.0</w:t>
                  </w:r>
                </w:p>
              </w:tc>
              <w:tc>
                <w:tcPr>
                  <w:tcW w:w="471" w:type="dxa"/>
                  <w:shd w:val="clear" w:color="auto" w:fill="auto"/>
                  <w:tcMar>
                    <w:top w:w="0" w:type="dxa"/>
                    <w:left w:w="0" w:type="dxa"/>
                    <w:bottom w:w="0" w:type="dxa"/>
                    <w:right w:w="0" w:type="dxa"/>
                  </w:tcMar>
                  <w:vAlign w:val="center"/>
                </w:tcPr>
                <w:p w14:paraId="5D99EB3B">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33.0</w:t>
                  </w:r>
                </w:p>
              </w:tc>
              <w:tc>
                <w:tcPr>
                  <w:tcW w:w="648" w:type="dxa"/>
                  <w:shd w:val="clear" w:color="auto" w:fill="auto"/>
                  <w:tcMar>
                    <w:top w:w="0" w:type="dxa"/>
                    <w:left w:w="0" w:type="dxa"/>
                    <w:bottom w:w="0" w:type="dxa"/>
                    <w:right w:w="0" w:type="dxa"/>
                  </w:tcMar>
                  <w:vAlign w:val="center"/>
                </w:tcPr>
                <w:p w14:paraId="7475EE08">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1</w:t>
                  </w:r>
                </w:p>
              </w:tc>
            </w:tr>
            <w:tr w14:paraId="0E5C80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482" w:type="dxa"/>
                  <w:shd w:val="clear" w:color="auto" w:fill="auto"/>
                  <w:vAlign w:val="center"/>
                </w:tcPr>
                <w:p w14:paraId="7F7E2B79">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28</w:t>
                  </w:r>
                </w:p>
              </w:tc>
              <w:tc>
                <w:tcPr>
                  <w:tcW w:w="485" w:type="dxa"/>
                  <w:vMerge w:val="continue"/>
                  <w:shd w:val="clear" w:color="auto" w:fill="auto"/>
                  <w:tcMar>
                    <w:top w:w="0" w:type="dxa"/>
                    <w:left w:w="0" w:type="dxa"/>
                    <w:bottom w:w="0" w:type="dxa"/>
                    <w:right w:w="0" w:type="dxa"/>
                  </w:tcMar>
                  <w:vAlign w:val="center"/>
                </w:tcPr>
                <w:p w14:paraId="03CCD8D4">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 w:val="21"/>
                      <w:szCs w:val="21"/>
                    </w:rPr>
                  </w:pPr>
                </w:p>
              </w:tc>
              <w:tc>
                <w:tcPr>
                  <w:tcW w:w="541" w:type="dxa"/>
                  <w:shd w:val="clear" w:color="auto" w:fill="auto"/>
                  <w:tcMar>
                    <w:top w:w="0" w:type="dxa"/>
                    <w:left w:w="0" w:type="dxa"/>
                    <w:bottom w:w="0" w:type="dxa"/>
                    <w:right w:w="0" w:type="dxa"/>
                  </w:tcMar>
                  <w:vAlign w:val="center"/>
                </w:tcPr>
                <w:p w14:paraId="73A364E1">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圆刀机</w:t>
                  </w:r>
                  <w:r>
                    <w:rPr>
                      <w:rFonts w:hint="eastAsia" w:ascii="Times New Roman" w:hAnsi="Times New Roman" w:eastAsia="宋体" w:cs="Times New Roman"/>
                      <w:color w:val="auto"/>
                      <w:sz w:val="21"/>
                      <w:szCs w:val="21"/>
                      <w:lang w:eastAsia="zh-CN"/>
                    </w:rPr>
                    <w:t>，</w:t>
                  </w:r>
                  <w:r>
                    <w:rPr>
                      <w:rFonts w:hint="default" w:ascii="Times New Roman" w:hAnsi="Times New Roman" w:eastAsia="宋体" w:cs="Times New Roman"/>
                      <w:color w:val="auto"/>
                      <w:sz w:val="21"/>
                      <w:szCs w:val="21"/>
                    </w:rPr>
                    <w:t>2台（按点声源组预测）</w:t>
                  </w:r>
                </w:p>
              </w:tc>
              <w:tc>
                <w:tcPr>
                  <w:tcW w:w="413" w:type="dxa"/>
                  <w:shd w:val="clear" w:color="auto" w:fill="auto"/>
                  <w:tcMar>
                    <w:top w:w="0" w:type="dxa"/>
                    <w:left w:w="0" w:type="dxa"/>
                    <w:bottom w:w="0" w:type="dxa"/>
                    <w:right w:w="0" w:type="dxa"/>
                  </w:tcMar>
                  <w:vAlign w:val="center"/>
                </w:tcPr>
                <w:p w14:paraId="32D4610A">
                  <w:pPr>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color w:val="auto"/>
                      <w:sz w:val="21"/>
                      <w:szCs w:val="21"/>
                      <w:highlight w:val="none"/>
                      <w:lang w:val="en-US" w:eastAsia="en-US" w:bidi="ar-SA"/>
                    </w:rPr>
                  </w:pPr>
                  <w:r>
                    <w:rPr>
                      <w:rFonts w:hint="default" w:ascii="Times New Roman" w:hAnsi="Times New Roman" w:eastAsia="宋体" w:cs="Times New Roman"/>
                      <w:color w:val="auto"/>
                      <w:sz w:val="21"/>
                      <w:szCs w:val="21"/>
                      <w:highlight w:val="none"/>
                    </w:rPr>
                    <w:t>250</w:t>
                  </w:r>
                </w:p>
              </w:tc>
              <w:tc>
                <w:tcPr>
                  <w:tcW w:w="637" w:type="dxa"/>
                  <w:shd w:val="clear" w:color="auto" w:fill="auto"/>
                  <w:tcMar>
                    <w:top w:w="0" w:type="dxa"/>
                    <w:left w:w="0" w:type="dxa"/>
                    <w:bottom w:w="0" w:type="dxa"/>
                    <w:right w:w="0" w:type="dxa"/>
                  </w:tcMar>
                  <w:vAlign w:val="center"/>
                </w:tcPr>
                <w:p w14:paraId="3270A31F">
                  <w:pPr>
                    <w:keepNext w:val="0"/>
                    <w:keepLines w:val="0"/>
                    <w:suppressLineNumbers w:val="0"/>
                    <w:spacing w:before="0" w:beforeAutospacing="0" w:after="0" w:afterAutospacing="0"/>
                    <w:ind w:left="0" w:right="0"/>
                    <w:jc w:val="center"/>
                    <w:rPr>
                      <w:rFonts w:hint="eastAsia" w:ascii="Times New Roman" w:hAnsi="Times New Roman" w:eastAsia="宋体" w:cs="Times New Roman"/>
                      <w:color w:val="auto"/>
                      <w:sz w:val="21"/>
                      <w:szCs w:val="21"/>
                      <w:lang w:eastAsia="zh-CN"/>
                    </w:rPr>
                  </w:pPr>
                  <w:r>
                    <w:rPr>
                      <w:rFonts w:hint="default" w:ascii="Times New Roman" w:hAnsi="Times New Roman" w:eastAsia="宋体" w:cs="Times New Roman"/>
                      <w:color w:val="auto"/>
                      <w:sz w:val="21"/>
                      <w:szCs w:val="21"/>
                    </w:rPr>
                    <w:t>70/1（等效后：73.0/1</w:t>
                  </w:r>
                  <w:r>
                    <w:rPr>
                      <w:rFonts w:hint="eastAsia" w:ascii="Times New Roman" w:hAnsi="Times New Roman" w:eastAsia="宋体" w:cs="Times New Roman"/>
                      <w:color w:val="auto"/>
                      <w:sz w:val="21"/>
                      <w:szCs w:val="21"/>
                      <w:lang w:eastAsia="zh-CN"/>
                    </w:rPr>
                    <w:t>）</w:t>
                  </w:r>
                </w:p>
              </w:tc>
              <w:tc>
                <w:tcPr>
                  <w:tcW w:w="553" w:type="dxa"/>
                  <w:vMerge w:val="continue"/>
                  <w:shd w:val="clear" w:color="auto" w:fill="auto"/>
                  <w:tcMar>
                    <w:top w:w="0" w:type="dxa"/>
                    <w:left w:w="0" w:type="dxa"/>
                    <w:bottom w:w="0" w:type="dxa"/>
                    <w:right w:w="0" w:type="dxa"/>
                  </w:tcMar>
                  <w:vAlign w:val="center"/>
                </w:tcPr>
                <w:p w14:paraId="5D8D1AA9">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 w:val="21"/>
                      <w:szCs w:val="21"/>
                    </w:rPr>
                  </w:pPr>
                </w:p>
              </w:tc>
              <w:tc>
                <w:tcPr>
                  <w:tcW w:w="563" w:type="dxa"/>
                  <w:shd w:val="clear" w:color="auto" w:fill="auto"/>
                  <w:tcMar>
                    <w:top w:w="0" w:type="dxa"/>
                    <w:left w:w="0" w:type="dxa"/>
                    <w:bottom w:w="0" w:type="dxa"/>
                    <w:right w:w="0" w:type="dxa"/>
                  </w:tcMar>
                  <w:vAlign w:val="center"/>
                </w:tcPr>
                <w:p w14:paraId="6DDE13F6">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34.9</w:t>
                  </w:r>
                </w:p>
              </w:tc>
              <w:tc>
                <w:tcPr>
                  <w:tcW w:w="563" w:type="dxa"/>
                  <w:shd w:val="clear" w:color="auto" w:fill="auto"/>
                  <w:tcMar>
                    <w:top w:w="0" w:type="dxa"/>
                    <w:left w:w="0" w:type="dxa"/>
                    <w:bottom w:w="0" w:type="dxa"/>
                    <w:right w:w="0" w:type="dxa"/>
                  </w:tcMar>
                  <w:vAlign w:val="center"/>
                </w:tcPr>
                <w:p w14:paraId="2A3FEFB9">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-4.5</w:t>
                  </w:r>
                </w:p>
              </w:tc>
              <w:tc>
                <w:tcPr>
                  <w:tcW w:w="564" w:type="dxa"/>
                  <w:shd w:val="clear" w:color="auto" w:fill="auto"/>
                  <w:tcMar>
                    <w:top w:w="0" w:type="dxa"/>
                    <w:left w:w="0" w:type="dxa"/>
                    <w:bottom w:w="0" w:type="dxa"/>
                    <w:right w:w="0" w:type="dxa"/>
                  </w:tcMar>
                  <w:vAlign w:val="center"/>
                </w:tcPr>
                <w:p w14:paraId="00F19CAD">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1.2</w:t>
                  </w:r>
                </w:p>
              </w:tc>
              <w:tc>
                <w:tcPr>
                  <w:tcW w:w="466" w:type="dxa"/>
                  <w:shd w:val="clear" w:color="auto" w:fill="auto"/>
                  <w:tcMar>
                    <w:top w:w="0" w:type="dxa"/>
                    <w:left w:w="0" w:type="dxa"/>
                    <w:bottom w:w="0" w:type="dxa"/>
                    <w:right w:w="0" w:type="dxa"/>
                  </w:tcMar>
                  <w:vAlign w:val="center"/>
                </w:tcPr>
                <w:p w14:paraId="2853958F">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49.9</w:t>
                  </w:r>
                </w:p>
              </w:tc>
              <w:tc>
                <w:tcPr>
                  <w:tcW w:w="466" w:type="dxa"/>
                  <w:shd w:val="clear" w:color="auto" w:fill="auto"/>
                  <w:tcMar>
                    <w:top w:w="0" w:type="dxa"/>
                    <w:left w:w="0" w:type="dxa"/>
                    <w:bottom w:w="0" w:type="dxa"/>
                    <w:right w:w="0" w:type="dxa"/>
                  </w:tcMar>
                  <w:vAlign w:val="center"/>
                </w:tcPr>
                <w:p w14:paraId="5486194F">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16.5</w:t>
                  </w:r>
                </w:p>
              </w:tc>
              <w:tc>
                <w:tcPr>
                  <w:tcW w:w="466" w:type="dxa"/>
                  <w:shd w:val="clear" w:color="auto" w:fill="auto"/>
                  <w:tcMar>
                    <w:top w:w="0" w:type="dxa"/>
                    <w:left w:w="0" w:type="dxa"/>
                    <w:bottom w:w="0" w:type="dxa"/>
                    <w:right w:w="0" w:type="dxa"/>
                  </w:tcMar>
                  <w:vAlign w:val="center"/>
                </w:tcPr>
                <w:p w14:paraId="650D4C2B">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33.0</w:t>
                  </w:r>
                </w:p>
              </w:tc>
              <w:tc>
                <w:tcPr>
                  <w:tcW w:w="467" w:type="dxa"/>
                  <w:shd w:val="clear" w:color="auto" w:fill="auto"/>
                  <w:tcMar>
                    <w:top w:w="0" w:type="dxa"/>
                    <w:left w:w="0" w:type="dxa"/>
                    <w:bottom w:w="0" w:type="dxa"/>
                    <w:right w:w="0" w:type="dxa"/>
                  </w:tcMar>
                  <w:vAlign w:val="center"/>
                </w:tcPr>
                <w:p w14:paraId="32A2B587">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40.3</w:t>
                  </w:r>
                </w:p>
              </w:tc>
              <w:tc>
                <w:tcPr>
                  <w:tcW w:w="460" w:type="dxa"/>
                  <w:shd w:val="clear" w:color="auto" w:fill="auto"/>
                  <w:tcMar>
                    <w:top w:w="0" w:type="dxa"/>
                    <w:left w:w="0" w:type="dxa"/>
                    <w:bottom w:w="0" w:type="dxa"/>
                    <w:right w:w="0" w:type="dxa"/>
                  </w:tcMar>
                  <w:vAlign w:val="center"/>
                </w:tcPr>
                <w:p w14:paraId="48DDBC04">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50.0</w:t>
                  </w:r>
                </w:p>
              </w:tc>
              <w:tc>
                <w:tcPr>
                  <w:tcW w:w="460" w:type="dxa"/>
                  <w:shd w:val="clear" w:color="auto" w:fill="auto"/>
                  <w:tcMar>
                    <w:top w:w="0" w:type="dxa"/>
                    <w:left w:w="0" w:type="dxa"/>
                    <w:bottom w:w="0" w:type="dxa"/>
                    <w:right w:w="0" w:type="dxa"/>
                  </w:tcMar>
                  <w:vAlign w:val="center"/>
                </w:tcPr>
                <w:p w14:paraId="428FA871">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50.1</w:t>
                  </w:r>
                </w:p>
              </w:tc>
              <w:tc>
                <w:tcPr>
                  <w:tcW w:w="460" w:type="dxa"/>
                  <w:shd w:val="clear" w:color="auto" w:fill="auto"/>
                  <w:tcMar>
                    <w:top w:w="0" w:type="dxa"/>
                    <w:left w:w="0" w:type="dxa"/>
                    <w:bottom w:w="0" w:type="dxa"/>
                    <w:right w:w="0" w:type="dxa"/>
                  </w:tcMar>
                  <w:vAlign w:val="center"/>
                </w:tcPr>
                <w:p w14:paraId="77417460">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50.0</w:t>
                  </w:r>
                </w:p>
              </w:tc>
              <w:tc>
                <w:tcPr>
                  <w:tcW w:w="462" w:type="dxa"/>
                  <w:shd w:val="clear" w:color="auto" w:fill="auto"/>
                  <w:tcMar>
                    <w:top w:w="0" w:type="dxa"/>
                    <w:left w:w="0" w:type="dxa"/>
                    <w:bottom w:w="0" w:type="dxa"/>
                    <w:right w:w="0" w:type="dxa"/>
                  </w:tcMar>
                  <w:vAlign w:val="center"/>
                </w:tcPr>
                <w:p w14:paraId="248D693E">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50.0</w:t>
                  </w:r>
                </w:p>
              </w:tc>
              <w:tc>
                <w:tcPr>
                  <w:tcW w:w="445" w:type="dxa"/>
                  <w:vMerge w:val="continue"/>
                  <w:shd w:val="clear" w:color="auto" w:fill="auto"/>
                  <w:tcMar>
                    <w:top w:w="0" w:type="dxa"/>
                    <w:left w:w="0" w:type="dxa"/>
                    <w:bottom w:w="0" w:type="dxa"/>
                    <w:right w:w="0" w:type="dxa"/>
                  </w:tcMar>
                  <w:vAlign w:val="center"/>
                </w:tcPr>
                <w:p w14:paraId="37D6F8E9">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 w:val="21"/>
                      <w:szCs w:val="21"/>
                    </w:rPr>
                  </w:pPr>
                </w:p>
              </w:tc>
              <w:tc>
                <w:tcPr>
                  <w:tcW w:w="444" w:type="dxa"/>
                  <w:shd w:val="clear" w:color="auto" w:fill="auto"/>
                  <w:tcMar>
                    <w:top w:w="0" w:type="dxa"/>
                    <w:left w:w="0" w:type="dxa"/>
                    <w:bottom w:w="0" w:type="dxa"/>
                    <w:right w:w="0" w:type="dxa"/>
                  </w:tcMar>
                  <w:vAlign w:val="center"/>
                </w:tcPr>
                <w:p w14:paraId="23FBF1BC">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20.0</w:t>
                  </w:r>
                </w:p>
              </w:tc>
              <w:tc>
                <w:tcPr>
                  <w:tcW w:w="444" w:type="dxa"/>
                  <w:shd w:val="clear" w:color="auto" w:fill="auto"/>
                  <w:tcMar>
                    <w:top w:w="0" w:type="dxa"/>
                    <w:left w:w="0" w:type="dxa"/>
                    <w:bottom w:w="0" w:type="dxa"/>
                    <w:right w:w="0" w:type="dxa"/>
                  </w:tcMar>
                  <w:vAlign w:val="center"/>
                </w:tcPr>
                <w:p w14:paraId="0EA83213">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20.0</w:t>
                  </w:r>
                </w:p>
              </w:tc>
              <w:tc>
                <w:tcPr>
                  <w:tcW w:w="444" w:type="dxa"/>
                  <w:shd w:val="clear" w:color="auto" w:fill="auto"/>
                  <w:tcMar>
                    <w:top w:w="0" w:type="dxa"/>
                    <w:left w:w="0" w:type="dxa"/>
                    <w:bottom w:w="0" w:type="dxa"/>
                    <w:right w:w="0" w:type="dxa"/>
                  </w:tcMar>
                  <w:vAlign w:val="center"/>
                </w:tcPr>
                <w:p w14:paraId="3708816C">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20.0</w:t>
                  </w:r>
                </w:p>
              </w:tc>
              <w:tc>
                <w:tcPr>
                  <w:tcW w:w="444" w:type="dxa"/>
                  <w:shd w:val="clear" w:color="auto" w:fill="auto"/>
                  <w:tcMar>
                    <w:top w:w="0" w:type="dxa"/>
                    <w:left w:w="0" w:type="dxa"/>
                    <w:bottom w:w="0" w:type="dxa"/>
                    <w:right w:w="0" w:type="dxa"/>
                  </w:tcMar>
                  <w:vAlign w:val="center"/>
                </w:tcPr>
                <w:p w14:paraId="474469BE">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20.0</w:t>
                  </w:r>
                </w:p>
              </w:tc>
              <w:tc>
                <w:tcPr>
                  <w:tcW w:w="470" w:type="dxa"/>
                  <w:shd w:val="clear" w:color="auto" w:fill="auto"/>
                  <w:tcMar>
                    <w:top w:w="0" w:type="dxa"/>
                    <w:left w:w="0" w:type="dxa"/>
                    <w:bottom w:w="0" w:type="dxa"/>
                    <w:right w:w="0" w:type="dxa"/>
                  </w:tcMar>
                  <w:vAlign w:val="center"/>
                </w:tcPr>
                <w:p w14:paraId="5EDDD895">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30.0</w:t>
                  </w:r>
                </w:p>
              </w:tc>
              <w:tc>
                <w:tcPr>
                  <w:tcW w:w="470" w:type="dxa"/>
                  <w:shd w:val="clear" w:color="auto" w:fill="auto"/>
                  <w:tcMar>
                    <w:top w:w="0" w:type="dxa"/>
                    <w:left w:w="0" w:type="dxa"/>
                    <w:bottom w:w="0" w:type="dxa"/>
                    <w:right w:w="0" w:type="dxa"/>
                  </w:tcMar>
                  <w:vAlign w:val="center"/>
                </w:tcPr>
                <w:p w14:paraId="0DC80BB5">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30.1</w:t>
                  </w:r>
                </w:p>
              </w:tc>
              <w:tc>
                <w:tcPr>
                  <w:tcW w:w="470" w:type="dxa"/>
                  <w:shd w:val="clear" w:color="auto" w:fill="auto"/>
                  <w:tcMar>
                    <w:top w:w="0" w:type="dxa"/>
                    <w:left w:w="0" w:type="dxa"/>
                    <w:bottom w:w="0" w:type="dxa"/>
                    <w:right w:w="0" w:type="dxa"/>
                  </w:tcMar>
                  <w:vAlign w:val="center"/>
                </w:tcPr>
                <w:p w14:paraId="634BA197">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30.0</w:t>
                  </w:r>
                </w:p>
              </w:tc>
              <w:tc>
                <w:tcPr>
                  <w:tcW w:w="471" w:type="dxa"/>
                  <w:shd w:val="clear" w:color="auto" w:fill="auto"/>
                  <w:tcMar>
                    <w:top w:w="0" w:type="dxa"/>
                    <w:left w:w="0" w:type="dxa"/>
                    <w:bottom w:w="0" w:type="dxa"/>
                    <w:right w:w="0" w:type="dxa"/>
                  </w:tcMar>
                  <w:vAlign w:val="center"/>
                </w:tcPr>
                <w:p w14:paraId="353E73F2">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30.0</w:t>
                  </w:r>
                </w:p>
              </w:tc>
              <w:tc>
                <w:tcPr>
                  <w:tcW w:w="648" w:type="dxa"/>
                  <w:shd w:val="clear" w:color="auto" w:fill="auto"/>
                  <w:tcMar>
                    <w:top w:w="0" w:type="dxa"/>
                    <w:left w:w="0" w:type="dxa"/>
                    <w:bottom w:w="0" w:type="dxa"/>
                    <w:right w:w="0" w:type="dxa"/>
                  </w:tcMar>
                  <w:vAlign w:val="center"/>
                </w:tcPr>
                <w:p w14:paraId="7F2ADACF">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1</w:t>
                  </w:r>
                </w:p>
              </w:tc>
            </w:tr>
            <w:tr w14:paraId="11E053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482" w:type="dxa"/>
                  <w:shd w:val="clear" w:color="auto" w:fill="auto"/>
                  <w:vAlign w:val="center"/>
                </w:tcPr>
                <w:p w14:paraId="4590DC2D">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29</w:t>
                  </w:r>
                </w:p>
              </w:tc>
              <w:tc>
                <w:tcPr>
                  <w:tcW w:w="485" w:type="dxa"/>
                  <w:vMerge w:val="continue"/>
                  <w:shd w:val="clear" w:color="auto" w:fill="auto"/>
                  <w:tcMar>
                    <w:top w:w="0" w:type="dxa"/>
                    <w:left w:w="0" w:type="dxa"/>
                    <w:bottom w:w="0" w:type="dxa"/>
                    <w:right w:w="0" w:type="dxa"/>
                  </w:tcMar>
                  <w:vAlign w:val="center"/>
                </w:tcPr>
                <w:p w14:paraId="33CE20F8">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 w:val="21"/>
                      <w:szCs w:val="21"/>
                    </w:rPr>
                  </w:pPr>
                </w:p>
              </w:tc>
              <w:tc>
                <w:tcPr>
                  <w:tcW w:w="541" w:type="dxa"/>
                  <w:shd w:val="clear" w:color="auto" w:fill="auto"/>
                  <w:tcMar>
                    <w:top w:w="0" w:type="dxa"/>
                    <w:left w:w="0" w:type="dxa"/>
                    <w:bottom w:w="0" w:type="dxa"/>
                    <w:right w:w="0" w:type="dxa"/>
                  </w:tcMar>
                  <w:vAlign w:val="center"/>
                </w:tcPr>
                <w:p w14:paraId="3B25A095">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圆刀机</w:t>
                  </w:r>
                  <w:r>
                    <w:rPr>
                      <w:rFonts w:hint="eastAsia" w:ascii="Times New Roman" w:hAnsi="Times New Roman" w:eastAsia="宋体" w:cs="Times New Roman"/>
                      <w:color w:val="auto"/>
                      <w:sz w:val="21"/>
                      <w:szCs w:val="21"/>
                      <w:lang w:eastAsia="zh-CN"/>
                    </w:rPr>
                    <w:t>，</w:t>
                  </w:r>
                  <w:r>
                    <w:rPr>
                      <w:rFonts w:hint="default" w:ascii="Times New Roman" w:hAnsi="Times New Roman" w:eastAsia="宋体" w:cs="Times New Roman"/>
                      <w:color w:val="auto"/>
                      <w:sz w:val="21"/>
                      <w:szCs w:val="21"/>
                    </w:rPr>
                    <w:t>4台（按点声源组预测）</w:t>
                  </w:r>
                </w:p>
              </w:tc>
              <w:tc>
                <w:tcPr>
                  <w:tcW w:w="413" w:type="dxa"/>
                  <w:shd w:val="clear" w:color="auto" w:fill="auto"/>
                  <w:tcMar>
                    <w:top w:w="0" w:type="dxa"/>
                    <w:left w:w="0" w:type="dxa"/>
                    <w:bottom w:w="0" w:type="dxa"/>
                    <w:right w:w="0" w:type="dxa"/>
                  </w:tcMar>
                  <w:vAlign w:val="center"/>
                </w:tcPr>
                <w:p w14:paraId="40C07F99">
                  <w:pPr>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color w:val="auto"/>
                      <w:sz w:val="21"/>
                      <w:szCs w:val="21"/>
                      <w:highlight w:val="none"/>
                      <w:lang w:val="en-US" w:eastAsia="en-US" w:bidi="ar-SA"/>
                    </w:rPr>
                  </w:pPr>
                  <w:r>
                    <w:rPr>
                      <w:rFonts w:hint="default" w:ascii="Times New Roman" w:hAnsi="Times New Roman" w:eastAsia="宋体" w:cs="Times New Roman"/>
                      <w:color w:val="auto"/>
                      <w:sz w:val="21"/>
                      <w:szCs w:val="21"/>
                      <w:highlight w:val="none"/>
                    </w:rPr>
                    <w:t>350</w:t>
                  </w:r>
                </w:p>
              </w:tc>
              <w:tc>
                <w:tcPr>
                  <w:tcW w:w="637" w:type="dxa"/>
                  <w:shd w:val="clear" w:color="auto" w:fill="auto"/>
                  <w:tcMar>
                    <w:top w:w="0" w:type="dxa"/>
                    <w:left w:w="0" w:type="dxa"/>
                    <w:bottom w:w="0" w:type="dxa"/>
                    <w:right w:w="0" w:type="dxa"/>
                  </w:tcMar>
                  <w:vAlign w:val="center"/>
                </w:tcPr>
                <w:p w14:paraId="7BE169E2">
                  <w:pPr>
                    <w:keepNext w:val="0"/>
                    <w:keepLines w:val="0"/>
                    <w:suppressLineNumbers w:val="0"/>
                    <w:spacing w:before="0" w:beforeAutospacing="0" w:after="0" w:afterAutospacing="0"/>
                    <w:ind w:left="0" w:right="0"/>
                    <w:jc w:val="center"/>
                    <w:rPr>
                      <w:rFonts w:hint="eastAsia" w:ascii="Times New Roman" w:hAnsi="Times New Roman" w:eastAsia="宋体" w:cs="Times New Roman"/>
                      <w:color w:val="auto"/>
                      <w:sz w:val="21"/>
                      <w:szCs w:val="21"/>
                      <w:lang w:eastAsia="zh-CN"/>
                    </w:rPr>
                  </w:pPr>
                  <w:r>
                    <w:rPr>
                      <w:rFonts w:hint="default" w:ascii="Times New Roman" w:hAnsi="Times New Roman" w:eastAsia="宋体" w:cs="Times New Roman"/>
                      <w:color w:val="auto"/>
                      <w:sz w:val="21"/>
                      <w:szCs w:val="21"/>
                    </w:rPr>
                    <w:t>70/1（等效后：76.0/1</w:t>
                  </w:r>
                  <w:r>
                    <w:rPr>
                      <w:rFonts w:hint="eastAsia" w:ascii="Times New Roman" w:hAnsi="Times New Roman" w:eastAsia="宋体" w:cs="Times New Roman"/>
                      <w:color w:val="auto"/>
                      <w:sz w:val="21"/>
                      <w:szCs w:val="21"/>
                      <w:lang w:eastAsia="zh-CN"/>
                    </w:rPr>
                    <w:t>）</w:t>
                  </w:r>
                </w:p>
              </w:tc>
              <w:tc>
                <w:tcPr>
                  <w:tcW w:w="553" w:type="dxa"/>
                  <w:vMerge w:val="continue"/>
                  <w:shd w:val="clear" w:color="auto" w:fill="auto"/>
                  <w:tcMar>
                    <w:top w:w="0" w:type="dxa"/>
                    <w:left w:w="0" w:type="dxa"/>
                    <w:bottom w:w="0" w:type="dxa"/>
                    <w:right w:w="0" w:type="dxa"/>
                  </w:tcMar>
                  <w:vAlign w:val="center"/>
                </w:tcPr>
                <w:p w14:paraId="4E38EBC8">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 w:val="21"/>
                      <w:szCs w:val="21"/>
                    </w:rPr>
                  </w:pPr>
                </w:p>
              </w:tc>
              <w:tc>
                <w:tcPr>
                  <w:tcW w:w="563" w:type="dxa"/>
                  <w:shd w:val="clear" w:color="auto" w:fill="auto"/>
                  <w:tcMar>
                    <w:top w:w="0" w:type="dxa"/>
                    <w:left w:w="0" w:type="dxa"/>
                    <w:bottom w:w="0" w:type="dxa"/>
                    <w:right w:w="0" w:type="dxa"/>
                  </w:tcMar>
                  <w:vAlign w:val="center"/>
                </w:tcPr>
                <w:p w14:paraId="17ABF75A">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39.2</w:t>
                  </w:r>
                </w:p>
              </w:tc>
              <w:tc>
                <w:tcPr>
                  <w:tcW w:w="563" w:type="dxa"/>
                  <w:shd w:val="clear" w:color="auto" w:fill="auto"/>
                  <w:tcMar>
                    <w:top w:w="0" w:type="dxa"/>
                    <w:left w:w="0" w:type="dxa"/>
                    <w:bottom w:w="0" w:type="dxa"/>
                    <w:right w:w="0" w:type="dxa"/>
                  </w:tcMar>
                  <w:vAlign w:val="center"/>
                </w:tcPr>
                <w:p w14:paraId="6BAAA99A">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-4</w:t>
                  </w:r>
                </w:p>
              </w:tc>
              <w:tc>
                <w:tcPr>
                  <w:tcW w:w="564" w:type="dxa"/>
                  <w:shd w:val="clear" w:color="auto" w:fill="auto"/>
                  <w:tcMar>
                    <w:top w:w="0" w:type="dxa"/>
                    <w:left w:w="0" w:type="dxa"/>
                    <w:bottom w:w="0" w:type="dxa"/>
                    <w:right w:w="0" w:type="dxa"/>
                  </w:tcMar>
                  <w:vAlign w:val="center"/>
                </w:tcPr>
                <w:p w14:paraId="2A62C800">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1.2</w:t>
                  </w:r>
                </w:p>
              </w:tc>
              <w:tc>
                <w:tcPr>
                  <w:tcW w:w="466" w:type="dxa"/>
                  <w:shd w:val="clear" w:color="auto" w:fill="auto"/>
                  <w:tcMar>
                    <w:top w:w="0" w:type="dxa"/>
                    <w:left w:w="0" w:type="dxa"/>
                    <w:bottom w:w="0" w:type="dxa"/>
                    <w:right w:w="0" w:type="dxa"/>
                  </w:tcMar>
                  <w:vAlign w:val="center"/>
                </w:tcPr>
                <w:p w14:paraId="594E55CF">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45.6</w:t>
                  </w:r>
                </w:p>
              </w:tc>
              <w:tc>
                <w:tcPr>
                  <w:tcW w:w="466" w:type="dxa"/>
                  <w:shd w:val="clear" w:color="auto" w:fill="auto"/>
                  <w:tcMar>
                    <w:top w:w="0" w:type="dxa"/>
                    <w:left w:w="0" w:type="dxa"/>
                    <w:bottom w:w="0" w:type="dxa"/>
                    <w:right w:w="0" w:type="dxa"/>
                  </w:tcMar>
                  <w:vAlign w:val="center"/>
                </w:tcPr>
                <w:p w14:paraId="09A314C0">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16.0</w:t>
                  </w:r>
                </w:p>
              </w:tc>
              <w:tc>
                <w:tcPr>
                  <w:tcW w:w="466" w:type="dxa"/>
                  <w:shd w:val="clear" w:color="auto" w:fill="auto"/>
                  <w:tcMar>
                    <w:top w:w="0" w:type="dxa"/>
                    <w:left w:w="0" w:type="dxa"/>
                    <w:bottom w:w="0" w:type="dxa"/>
                    <w:right w:w="0" w:type="dxa"/>
                  </w:tcMar>
                  <w:vAlign w:val="center"/>
                </w:tcPr>
                <w:p w14:paraId="16CA31A7">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37.3</w:t>
                  </w:r>
                </w:p>
              </w:tc>
              <w:tc>
                <w:tcPr>
                  <w:tcW w:w="467" w:type="dxa"/>
                  <w:shd w:val="clear" w:color="auto" w:fill="auto"/>
                  <w:tcMar>
                    <w:top w:w="0" w:type="dxa"/>
                    <w:left w:w="0" w:type="dxa"/>
                    <w:bottom w:w="0" w:type="dxa"/>
                    <w:right w:w="0" w:type="dxa"/>
                  </w:tcMar>
                  <w:vAlign w:val="center"/>
                </w:tcPr>
                <w:p w14:paraId="11E4C3FE">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40.8</w:t>
                  </w:r>
                </w:p>
              </w:tc>
              <w:tc>
                <w:tcPr>
                  <w:tcW w:w="460" w:type="dxa"/>
                  <w:shd w:val="clear" w:color="auto" w:fill="auto"/>
                  <w:tcMar>
                    <w:top w:w="0" w:type="dxa"/>
                    <w:left w:w="0" w:type="dxa"/>
                    <w:bottom w:w="0" w:type="dxa"/>
                    <w:right w:w="0" w:type="dxa"/>
                  </w:tcMar>
                  <w:vAlign w:val="center"/>
                </w:tcPr>
                <w:p w14:paraId="50B36D83">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61.0</w:t>
                  </w:r>
                </w:p>
              </w:tc>
              <w:tc>
                <w:tcPr>
                  <w:tcW w:w="460" w:type="dxa"/>
                  <w:shd w:val="clear" w:color="auto" w:fill="auto"/>
                  <w:tcMar>
                    <w:top w:w="0" w:type="dxa"/>
                    <w:left w:w="0" w:type="dxa"/>
                    <w:bottom w:w="0" w:type="dxa"/>
                    <w:right w:w="0" w:type="dxa"/>
                  </w:tcMar>
                  <w:vAlign w:val="center"/>
                </w:tcPr>
                <w:p w14:paraId="0286F0FE">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61.1</w:t>
                  </w:r>
                </w:p>
              </w:tc>
              <w:tc>
                <w:tcPr>
                  <w:tcW w:w="460" w:type="dxa"/>
                  <w:shd w:val="clear" w:color="auto" w:fill="auto"/>
                  <w:tcMar>
                    <w:top w:w="0" w:type="dxa"/>
                    <w:left w:w="0" w:type="dxa"/>
                    <w:bottom w:w="0" w:type="dxa"/>
                    <w:right w:w="0" w:type="dxa"/>
                  </w:tcMar>
                  <w:vAlign w:val="center"/>
                </w:tcPr>
                <w:p w14:paraId="3A048A83">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61.0</w:t>
                  </w:r>
                </w:p>
              </w:tc>
              <w:tc>
                <w:tcPr>
                  <w:tcW w:w="462" w:type="dxa"/>
                  <w:shd w:val="clear" w:color="auto" w:fill="auto"/>
                  <w:tcMar>
                    <w:top w:w="0" w:type="dxa"/>
                    <w:left w:w="0" w:type="dxa"/>
                    <w:bottom w:w="0" w:type="dxa"/>
                    <w:right w:w="0" w:type="dxa"/>
                  </w:tcMar>
                  <w:vAlign w:val="center"/>
                </w:tcPr>
                <w:p w14:paraId="58E6EE72">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61.0</w:t>
                  </w:r>
                </w:p>
              </w:tc>
              <w:tc>
                <w:tcPr>
                  <w:tcW w:w="445" w:type="dxa"/>
                  <w:vMerge w:val="continue"/>
                  <w:shd w:val="clear" w:color="auto" w:fill="auto"/>
                  <w:tcMar>
                    <w:top w:w="0" w:type="dxa"/>
                    <w:left w:w="0" w:type="dxa"/>
                    <w:bottom w:w="0" w:type="dxa"/>
                    <w:right w:w="0" w:type="dxa"/>
                  </w:tcMar>
                  <w:vAlign w:val="center"/>
                </w:tcPr>
                <w:p w14:paraId="47C9EB54">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 w:val="21"/>
                      <w:szCs w:val="21"/>
                    </w:rPr>
                  </w:pPr>
                </w:p>
              </w:tc>
              <w:tc>
                <w:tcPr>
                  <w:tcW w:w="444" w:type="dxa"/>
                  <w:shd w:val="clear" w:color="auto" w:fill="auto"/>
                  <w:tcMar>
                    <w:top w:w="0" w:type="dxa"/>
                    <w:left w:w="0" w:type="dxa"/>
                    <w:bottom w:w="0" w:type="dxa"/>
                    <w:right w:w="0" w:type="dxa"/>
                  </w:tcMar>
                  <w:vAlign w:val="center"/>
                </w:tcPr>
                <w:p w14:paraId="38EFAEEB">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20.0</w:t>
                  </w:r>
                </w:p>
              </w:tc>
              <w:tc>
                <w:tcPr>
                  <w:tcW w:w="444" w:type="dxa"/>
                  <w:shd w:val="clear" w:color="auto" w:fill="auto"/>
                  <w:tcMar>
                    <w:top w:w="0" w:type="dxa"/>
                    <w:left w:w="0" w:type="dxa"/>
                    <w:bottom w:w="0" w:type="dxa"/>
                    <w:right w:w="0" w:type="dxa"/>
                  </w:tcMar>
                  <w:vAlign w:val="center"/>
                </w:tcPr>
                <w:p w14:paraId="3E23484C">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20.0</w:t>
                  </w:r>
                </w:p>
              </w:tc>
              <w:tc>
                <w:tcPr>
                  <w:tcW w:w="444" w:type="dxa"/>
                  <w:shd w:val="clear" w:color="auto" w:fill="auto"/>
                  <w:tcMar>
                    <w:top w:w="0" w:type="dxa"/>
                    <w:left w:w="0" w:type="dxa"/>
                    <w:bottom w:w="0" w:type="dxa"/>
                    <w:right w:w="0" w:type="dxa"/>
                  </w:tcMar>
                  <w:vAlign w:val="center"/>
                </w:tcPr>
                <w:p w14:paraId="1D7C420D">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20.0</w:t>
                  </w:r>
                </w:p>
              </w:tc>
              <w:tc>
                <w:tcPr>
                  <w:tcW w:w="444" w:type="dxa"/>
                  <w:shd w:val="clear" w:color="auto" w:fill="auto"/>
                  <w:tcMar>
                    <w:top w:w="0" w:type="dxa"/>
                    <w:left w:w="0" w:type="dxa"/>
                    <w:bottom w:w="0" w:type="dxa"/>
                    <w:right w:w="0" w:type="dxa"/>
                  </w:tcMar>
                  <w:vAlign w:val="center"/>
                </w:tcPr>
                <w:p w14:paraId="6CB3E770">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20.0</w:t>
                  </w:r>
                </w:p>
              </w:tc>
              <w:tc>
                <w:tcPr>
                  <w:tcW w:w="470" w:type="dxa"/>
                  <w:shd w:val="clear" w:color="auto" w:fill="auto"/>
                  <w:tcMar>
                    <w:top w:w="0" w:type="dxa"/>
                    <w:left w:w="0" w:type="dxa"/>
                    <w:bottom w:w="0" w:type="dxa"/>
                    <w:right w:w="0" w:type="dxa"/>
                  </w:tcMar>
                  <w:vAlign w:val="center"/>
                </w:tcPr>
                <w:p w14:paraId="65277695">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41.0</w:t>
                  </w:r>
                </w:p>
              </w:tc>
              <w:tc>
                <w:tcPr>
                  <w:tcW w:w="470" w:type="dxa"/>
                  <w:shd w:val="clear" w:color="auto" w:fill="auto"/>
                  <w:tcMar>
                    <w:top w:w="0" w:type="dxa"/>
                    <w:left w:w="0" w:type="dxa"/>
                    <w:bottom w:w="0" w:type="dxa"/>
                    <w:right w:w="0" w:type="dxa"/>
                  </w:tcMar>
                  <w:vAlign w:val="center"/>
                </w:tcPr>
                <w:p w14:paraId="0346A716">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41.1</w:t>
                  </w:r>
                </w:p>
              </w:tc>
              <w:tc>
                <w:tcPr>
                  <w:tcW w:w="470" w:type="dxa"/>
                  <w:shd w:val="clear" w:color="auto" w:fill="auto"/>
                  <w:tcMar>
                    <w:top w:w="0" w:type="dxa"/>
                    <w:left w:w="0" w:type="dxa"/>
                    <w:bottom w:w="0" w:type="dxa"/>
                    <w:right w:w="0" w:type="dxa"/>
                  </w:tcMar>
                  <w:vAlign w:val="center"/>
                </w:tcPr>
                <w:p w14:paraId="73E8FAD0">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41.0</w:t>
                  </w:r>
                </w:p>
              </w:tc>
              <w:tc>
                <w:tcPr>
                  <w:tcW w:w="471" w:type="dxa"/>
                  <w:shd w:val="clear" w:color="auto" w:fill="auto"/>
                  <w:tcMar>
                    <w:top w:w="0" w:type="dxa"/>
                    <w:left w:w="0" w:type="dxa"/>
                    <w:bottom w:w="0" w:type="dxa"/>
                    <w:right w:w="0" w:type="dxa"/>
                  </w:tcMar>
                  <w:vAlign w:val="center"/>
                </w:tcPr>
                <w:p w14:paraId="7F3221E3">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41.0</w:t>
                  </w:r>
                </w:p>
              </w:tc>
              <w:tc>
                <w:tcPr>
                  <w:tcW w:w="648" w:type="dxa"/>
                  <w:shd w:val="clear" w:color="auto" w:fill="auto"/>
                  <w:tcMar>
                    <w:top w:w="0" w:type="dxa"/>
                    <w:left w:w="0" w:type="dxa"/>
                    <w:bottom w:w="0" w:type="dxa"/>
                    <w:right w:w="0" w:type="dxa"/>
                  </w:tcMar>
                  <w:vAlign w:val="center"/>
                </w:tcPr>
                <w:p w14:paraId="315A8CEA">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1</w:t>
                  </w:r>
                </w:p>
              </w:tc>
            </w:tr>
            <w:tr w14:paraId="60992A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23" w:hRule="atLeast"/>
                <w:jc w:val="center"/>
              </w:trPr>
              <w:tc>
                <w:tcPr>
                  <w:tcW w:w="482" w:type="dxa"/>
                  <w:shd w:val="clear" w:color="auto" w:fill="auto"/>
                  <w:vAlign w:val="center"/>
                </w:tcPr>
                <w:p w14:paraId="020B0B53">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30</w:t>
                  </w:r>
                </w:p>
              </w:tc>
              <w:tc>
                <w:tcPr>
                  <w:tcW w:w="485" w:type="dxa"/>
                  <w:vMerge w:val="continue"/>
                  <w:shd w:val="clear" w:color="auto" w:fill="auto"/>
                  <w:tcMar>
                    <w:top w:w="0" w:type="dxa"/>
                    <w:left w:w="0" w:type="dxa"/>
                    <w:bottom w:w="0" w:type="dxa"/>
                    <w:right w:w="0" w:type="dxa"/>
                  </w:tcMar>
                  <w:vAlign w:val="center"/>
                </w:tcPr>
                <w:p w14:paraId="01A388D2">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 w:val="21"/>
                      <w:szCs w:val="21"/>
                    </w:rPr>
                  </w:pPr>
                </w:p>
              </w:tc>
              <w:tc>
                <w:tcPr>
                  <w:tcW w:w="541" w:type="dxa"/>
                  <w:shd w:val="clear" w:color="auto" w:fill="auto"/>
                  <w:tcMar>
                    <w:top w:w="0" w:type="dxa"/>
                    <w:left w:w="0" w:type="dxa"/>
                    <w:bottom w:w="0" w:type="dxa"/>
                    <w:right w:w="0" w:type="dxa"/>
                  </w:tcMar>
                  <w:vAlign w:val="center"/>
                </w:tcPr>
                <w:p w14:paraId="01867B16">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1350切卷机</w:t>
                  </w:r>
                </w:p>
              </w:tc>
              <w:tc>
                <w:tcPr>
                  <w:tcW w:w="413" w:type="dxa"/>
                  <w:shd w:val="clear" w:color="auto" w:fill="auto"/>
                  <w:tcMar>
                    <w:top w:w="0" w:type="dxa"/>
                    <w:left w:w="0" w:type="dxa"/>
                    <w:bottom w:w="0" w:type="dxa"/>
                    <w:right w:w="0" w:type="dxa"/>
                  </w:tcMar>
                  <w:vAlign w:val="center"/>
                </w:tcPr>
                <w:p w14:paraId="3D7202D9">
                  <w:pPr>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color w:val="auto"/>
                      <w:sz w:val="21"/>
                      <w:szCs w:val="21"/>
                      <w:highlight w:val="none"/>
                      <w:lang w:val="en-US" w:eastAsia="en-US" w:bidi="ar-SA"/>
                    </w:rPr>
                  </w:pPr>
                  <w:r>
                    <w:rPr>
                      <w:rFonts w:hint="default" w:ascii="Times New Roman" w:hAnsi="Times New Roman" w:eastAsia="宋体" w:cs="Times New Roman"/>
                      <w:color w:val="auto"/>
                      <w:sz w:val="21"/>
                      <w:szCs w:val="21"/>
                      <w:highlight w:val="none"/>
                    </w:rPr>
                    <w:t>1350</w:t>
                  </w:r>
                </w:p>
              </w:tc>
              <w:tc>
                <w:tcPr>
                  <w:tcW w:w="637" w:type="dxa"/>
                  <w:shd w:val="clear" w:color="auto" w:fill="auto"/>
                  <w:tcMar>
                    <w:top w:w="0" w:type="dxa"/>
                    <w:left w:w="0" w:type="dxa"/>
                    <w:bottom w:w="0" w:type="dxa"/>
                    <w:right w:w="0" w:type="dxa"/>
                  </w:tcMar>
                  <w:vAlign w:val="center"/>
                </w:tcPr>
                <w:p w14:paraId="40B44EB1">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70/1</w:t>
                  </w:r>
                </w:p>
              </w:tc>
              <w:tc>
                <w:tcPr>
                  <w:tcW w:w="553" w:type="dxa"/>
                  <w:vMerge w:val="continue"/>
                  <w:shd w:val="clear" w:color="auto" w:fill="auto"/>
                  <w:tcMar>
                    <w:top w:w="0" w:type="dxa"/>
                    <w:left w:w="0" w:type="dxa"/>
                    <w:bottom w:w="0" w:type="dxa"/>
                    <w:right w:w="0" w:type="dxa"/>
                  </w:tcMar>
                  <w:vAlign w:val="center"/>
                </w:tcPr>
                <w:p w14:paraId="34F8249B">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 w:val="21"/>
                      <w:szCs w:val="21"/>
                    </w:rPr>
                  </w:pPr>
                </w:p>
              </w:tc>
              <w:tc>
                <w:tcPr>
                  <w:tcW w:w="563" w:type="dxa"/>
                  <w:shd w:val="clear" w:color="auto" w:fill="auto"/>
                  <w:tcMar>
                    <w:top w:w="0" w:type="dxa"/>
                    <w:left w:w="0" w:type="dxa"/>
                    <w:bottom w:w="0" w:type="dxa"/>
                    <w:right w:w="0" w:type="dxa"/>
                  </w:tcMar>
                  <w:vAlign w:val="center"/>
                </w:tcPr>
                <w:p w14:paraId="0A0711B9">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44.4</w:t>
                  </w:r>
                </w:p>
              </w:tc>
              <w:tc>
                <w:tcPr>
                  <w:tcW w:w="563" w:type="dxa"/>
                  <w:shd w:val="clear" w:color="auto" w:fill="auto"/>
                  <w:tcMar>
                    <w:top w:w="0" w:type="dxa"/>
                    <w:left w:w="0" w:type="dxa"/>
                    <w:bottom w:w="0" w:type="dxa"/>
                    <w:right w:w="0" w:type="dxa"/>
                  </w:tcMar>
                  <w:vAlign w:val="center"/>
                </w:tcPr>
                <w:p w14:paraId="7F476008">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-1.8</w:t>
                  </w:r>
                </w:p>
              </w:tc>
              <w:tc>
                <w:tcPr>
                  <w:tcW w:w="564" w:type="dxa"/>
                  <w:shd w:val="clear" w:color="auto" w:fill="auto"/>
                  <w:tcMar>
                    <w:top w:w="0" w:type="dxa"/>
                    <w:left w:w="0" w:type="dxa"/>
                    <w:bottom w:w="0" w:type="dxa"/>
                    <w:right w:w="0" w:type="dxa"/>
                  </w:tcMar>
                  <w:vAlign w:val="center"/>
                </w:tcPr>
                <w:p w14:paraId="0F56C192">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1.2</w:t>
                  </w:r>
                </w:p>
              </w:tc>
              <w:tc>
                <w:tcPr>
                  <w:tcW w:w="466" w:type="dxa"/>
                  <w:shd w:val="clear" w:color="auto" w:fill="auto"/>
                  <w:tcMar>
                    <w:top w:w="0" w:type="dxa"/>
                    <w:left w:w="0" w:type="dxa"/>
                    <w:bottom w:w="0" w:type="dxa"/>
                    <w:right w:w="0" w:type="dxa"/>
                  </w:tcMar>
                  <w:vAlign w:val="center"/>
                </w:tcPr>
                <w:p w14:paraId="31C102D1">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40.0</w:t>
                  </w:r>
                </w:p>
              </w:tc>
              <w:tc>
                <w:tcPr>
                  <w:tcW w:w="466" w:type="dxa"/>
                  <w:shd w:val="clear" w:color="auto" w:fill="auto"/>
                  <w:tcMar>
                    <w:top w:w="0" w:type="dxa"/>
                    <w:left w:w="0" w:type="dxa"/>
                    <w:bottom w:w="0" w:type="dxa"/>
                    <w:right w:w="0" w:type="dxa"/>
                  </w:tcMar>
                  <w:vAlign w:val="center"/>
                </w:tcPr>
                <w:p w14:paraId="77C6FED5">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17.0</w:t>
                  </w:r>
                </w:p>
              </w:tc>
              <w:tc>
                <w:tcPr>
                  <w:tcW w:w="466" w:type="dxa"/>
                  <w:shd w:val="clear" w:color="auto" w:fill="auto"/>
                  <w:tcMar>
                    <w:top w:w="0" w:type="dxa"/>
                    <w:left w:w="0" w:type="dxa"/>
                    <w:bottom w:w="0" w:type="dxa"/>
                    <w:right w:w="0" w:type="dxa"/>
                  </w:tcMar>
                  <w:vAlign w:val="center"/>
                </w:tcPr>
                <w:p w14:paraId="599DFF76">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42.9</w:t>
                  </w:r>
                </w:p>
              </w:tc>
              <w:tc>
                <w:tcPr>
                  <w:tcW w:w="467" w:type="dxa"/>
                  <w:shd w:val="clear" w:color="auto" w:fill="auto"/>
                  <w:tcMar>
                    <w:top w:w="0" w:type="dxa"/>
                    <w:left w:w="0" w:type="dxa"/>
                    <w:bottom w:w="0" w:type="dxa"/>
                    <w:right w:w="0" w:type="dxa"/>
                  </w:tcMar>
                  <w:vAlign w:val="center"/>
                </w:tcPr>
                <w:p w14:paraId="1BB49366">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39.8</w:t>
                  </w:r>
                </w:p>
              </w:tc>
              <w:tc>
                <w:tcPr>
                  <w:tcW w:w="460" w:type="dxa"/>
                  <w:shd w:val="clear" w:color="auto" w:fill="auto"/>
                  <w:tcMar>
                    <w:top w:w="0" w:type="dxa"/>
                    <w:left w:w="0" w:type="dxa"/>
                    <w:bottom w:w="0" w:type="dxa"/>
                    <w:right w:w="0" w:type="dxa"/>
                  </w:tcMar>
                  <w:vAlign w:val="center"/>
                </w:tcPr>
                <w:p w14:paraId="74507691">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55.0</w:t>
                  </w:r>
                </w:p>
              </w:tc>
              <w:tc>
                <w:tcPr>
                  <w:tcW w:w="460" w:type="dxa"/>
                  <w:shd w:val="clear" w:color="auto" w:fill="auto"/>
                  <w:tcMar>
                    <w:top w:w="0" w:type="dxa"/>
                    <w:left w:w="0" w:type="dxa"/>
                    <w:bottom w:w="0" w:type="dxa"/>
                    <w:right w:w="0" w:type="dxa"/>
                  </w:tcMar>
                  <w:vAlign w:val="center"/>
                </w:tcPr>
                <w:p w14:paraId="24747875">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55.1</w:t>
                  </w:r>
                </w:p>
              </w:tc>
              <w:tc>
                <w:tcPr>
                  <w:tcW w:w="460" w:type="dxa"/>
                  <w:shd w:val="clear" w:color="auto" w:fill="auto"/>
                  <w:tcMar>
                    <w:top w:w="0" w:type="dxa"/>
                    <w:left w:w="0" w:type="dxa"/>
                    <w:bottom w:w="0" w:type="dxa"/>
                    <w:right w:w="0" w:type="dxa"/>
                  </w:tcMar>
                  <w:vAlign w:val="center"/>
                </w:tcPr>
                <w:p w14:paraId="08E30F8E">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55.0</w:t>
                  </w:r>
                </w:p>
              </w:tc>
              <w:tc>
                <w:tcPr>
                  <w:tcW w:w="462" w:type="dxa"/>
                  <w:shd w:val="clear" w:color="auto" w:fill="auto"/>
                  <w:tcMar>
                    <w:top w:w="0" w:type="dxa"/>
                    <w:left w:w="0" w:type="dxa"/>
                    <w:bottom w:w="0" w:type="dxa"/>
                    <w:right w:w="0" w:type="dxa"/>
                  </w:tcMar>
                  <w:vAlign w:val="center"/>
                </w:tcPr>
                <w:p w14:paraId="26CB164B">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55.0</w:t>
                  </w:r>
                </w:p>
              </w:tc>
              <w:tc>
                <w:tcPr>
                  <w:tcW w:w="445" w:type="dxa"/>
                  <w:vMerge w:val="continue"/>
                  <w:shd w:val="clear" w:color="auto" w:fill="auto"/>
                  <w:tcMar>
                    <w:top w:w="0" w:type="dxa"/>
                    <w:left w:w="0" w:type="dxa"/>
                    <w:bottom w:w="0" w:type="dxa"/>
                    <w:right w:w="0" w:type="dxa"/>
                  </w:tcMar>
                  <w:vAlign w:val="center"/>
                </w:tcPr>
                <w:p w14:paraId="538CB800">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 w:val="21"/>
                      <w:szCs w:val="21"/>
                    </w:rPr>
                  </w:pPr>
                </w:p>
              </w:tc>
              <w:tc>
                <w:tcPr>
                  <w:tcW w:w="444" w:type="dxa"/>
                  <w:shd w:val="clear" w:color="auto" w:fill="auto"/>
                  <w:tcMar>
                    <w:top w:w="0" w:type="dxa"/>
                    <w:left w:w="0" w:type="dxa"/>
                    <w:bottom w:w="0" w:type="dxa"/>
                    <w:right w:w="0" w:type="dxa"/>
                  </w:tcMar>
                  <w:vAlign w:val="center"/>
                </w:tcPr>
                <w:p w14:paraId="1660600F">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20.0</w:t>
                  </w:r>
                </w:p>
              </w:tc>
              <w:tc>
                <w:tcPr>
                  <w:tcW w:w="444" w:type="dxa"/>
                  <w:shd w:val="clear" w:color="auto" w:fill="auto"/>
                  <w:tcMar>
                    <w:top w:w="0" w:type="dxa"/>
                    <w:left w:w="0" w:type="dxa"/>
                    <w:bottom w:w="0" w:type="dxa"/>
                    <w:right w:w="0" w:type="dxa"/>
                  </w:tcMar>
                  <w:vAlign w:val="center"/>
                </w:tcPr>
                <w:p w14:paraId="46966636">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20.0</w:t>
                  </w:r>
                </w:p>
              </w:tc>
              <w:tc>
                <w:tcPr>
                  <w:tcW w:w="444" w:type="dxa"/>
                  <w:shd w:val="clear" w:color="auto" w:fill="auto"/>
                  <w:tcMar>
                    <w:top w:w="0" w:type="dxa"/>
                    <w:left w:w="0" w:type="dxa"/>
                    <w:bottom w:w="0" w:type="dxa"/>
                    <w:right w:w="0" w:type="dxa"/>
                  </w:tcMar>
                  <w:vAlign w:val="center"/>
                </w:tcPr>
                <w:p w14:paraId="029A0787">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20.0</w:t>
                  </w:r>
                </w:p>
              </w:tc>
              <w:tc>
                <w:tcPr>
                  <w:tcW w:w="444" w:type="dxa"/>
                  <w:shd w:val="clear" w:color="auto" w:fill="auto"/>
                  <w:tcMar>
                    <w:top w:w="0" w:type="dxa"/>
                    <w:left w:w="0" w:type="dxa"/>
                    <w:bottom w:w="0" w:type="dxa"/>
                    <w:right w:w="0" w:type="dxa"/>
                  </w:tcMar>
                  <w:vAlign w:val="center"/>
                </w:tcPr>
                <w:p w14:paraId="39AB253B">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20.0</w:t>
                  </w:r>
                </w:p>
              </w:tc>
              <w:tc>
                <w:tcPr>
                  <w:tcW w:w="470" w:type="dxa"/>
                  <w:shd w:val="clear" w:color="auto" w:fill="auto"/>
                  <w:tcMar>
                    <w:top w:w="0" w:type="dxa"/>
                    <w:left w:w="0" w:type="dxa"/>
                    <w:bottom w:w="0" w:type="dxa"/>
                    <w:right w:w="0" w:type="dxa"/>
                  </w:tcMar>
                  <w:vAlign w:val="center"/>
                </w:tcPr>
                <w:p w14:paraId="27FFB33B">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35.0</w:t>
                  </w:r>
                </w:p>
              </w:tc>
              <w:tc>
                <w:tcPr>
                  <w:tcW w:w="470" w:type="dxa"/>
                  <w:shd w:val="clear" w:color="auto" w:fill="auto"/>
                  <w:tcMar>
                    <w:top w:w="0" w:type="dxa"/>
                    <w:left w:w="0" w:type="dxa"/>
                    <w:bottom w:w="0" w:type="dxa"/>
                    <w:right w:w="0" w:type="dxa"/>
                  </w:tcMar>
                  <w:vAlign w:val="center"/>
                </w:tcPr>
                <w:p w14:paraId="34F17D16">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35.1</w:t>
                  </w:r>
                </w:p>
              </w:tc>
              <w:tc>
                <w:tcPr>
                  <w:tcW w:w="470" w:type="dxa"/>
                  <w:shd w:val="clear" w:color="auto" w:fill="auto"/>
                  <w:tcMar>
                    <w:top w:w="0" w:type="dxa"/>
                    <w:left w:w="0" w:type="dxa"/>
                    <w:bottom w:w="0" w:type="dxa"/>
                    <w:right w:w="0" w:type="dxa"/>
                  </w:tcMar>
                  <w:vAlign w:val="center"/>
                </w:tcPr>
                <w:p w14:paraId="4BD69AB4">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35.0</w:t>
                  </w:r>
                </w:p>
              </w:tc>
              <w:tc>
                <w:tcPr>
                  <w:tcW w:w="471" w:type="dxa"/>
                  <w:shd w:val="clear" w:color="auto" w:fill="auto"/>
                  <w:tcMar>
                    <w:top w:w="0" w:type="dxa"/>
                    <w:left w:w="0" w:type="dxa"/>
                    <w:bottom w:w="0" w:type="dxa"/>
                    <w:right w:w="0" w:type="dxa"/>
                  </w:tcMar>
                  <w:vAlign w:val="center"/>
                </w:tcPr>
                <w:p w14:paraId="6D632790">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35.0</w:t>
                  </w:r>
                </w:p>
              </w:tc>
              <w:tc>
                <w:tcPr>
                  <w:tcW w:w="648" w:type="dxa"/>
                  <w:shd w:val="clear" w:color="auto" w:fill="auto"/>
                  <w:tcMar>
                    <w:top w:w="0" w:type="dxa"/>
                    <w:left w:w="0" w:type="dxa"/>
                    <w:bottom w:w="0" w:type="dxa"/>
                    <w:right w:w="0" w:type="dxa"/>
                  </w:tcMar>
                  <w:vAlign w:val="center"/>
                </w:tcPr>
                <w:p w14:paraId="412ABDD8">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1</w:t>
                  </w:r>
                </w:p>
              </w:tc>
            </w:tr>
            <w:tr w14:paraId="79319B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482" w:type="dxa"/>
                  <w:shd w:val="clear" w:color="auto" w:fill="auto"/>
                  <w:vAlign w:val="center"/>
                </w:tcPr>
                <w:p w14:paraId="21CCA6A2">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31</w:t>
                  </w:r>
                </w:p>
              </w:tc>
              <w:tc>
                <w:tcPr>
                  <w:tcW w:w="485" w:type="dxa"/>
                  <w:vMerge w:val="continue"/>
                  <w:shd w:val="clear" w:color="auto" w:fill="auto"/>
                  <w:tcMar>
                    <w:top w:w="0" w:type="dxa"/>
                    <w:left w:w="0" w:type="dxa"/>
                    <w:bottom w:w="0" w:type="dxa"/>
                    <w:right w:w="0" w:type="dxa"/>
                  </w:tcMar>
                  <w:vAlign w:val="center"/>
                </w:tcPr>
                <w:p w14:paraId="6DD4933A">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 w:val="21"/>
                      <w:szCs w:val="21"/>
                    </w:rPr>
                  </w:pPr>
                </w:p>
              </w:tc>
              <w:tc>
                <w:tcPr>
                  <w:tcW w:w="541" w:type="dxa"/>
                  <w:shd w:val="clear" w:color="auto" w:fill="auto"/>
                  <w:tcMar>
                    <w:top w:w="0" w:type="dxa"/>
                    <w:left w:w="0" w:type="dxa"/>
                    <w:bottom w:w="0" w:type="dxa"/>
                    <w:right w:w="0" w:type="dxa"/>
                  </w:tcMar>
                  <w:vAlign w:val="center"/>
                </w:tcPr>
                <w:p w14:paraId="4C01462A">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450异步模切机</w:t>
                  </w:r>
                  <w:r>
                    <w:rPr>
                      <w:rFonts w:hint="eastAsia" w:ascii="Times New Roman" w:hAnsi="Times New Roman" w:eastAsia="宋体" w:cs="Times New Roman"/>
                      <w:color w:val="auto"/>
                      <w:sz w:val="21"/>
                      <w:szCs w:val="21"/>
                      <w:lang w:eastAsia="zh-CN"/>
                    </w:rPr>
                    <w:t>，</w:t>
                  </w:r>
                  <w:r>
                    <w:rPr>
                      <w:rFonts w:hint="default" w:ascii="Times New Roman" w:hAnsi="Times New Roman" w:eastAsia="宋体" w:cs="Times New Roman"/>
                      <w:color w:val="auto"/>
                      <w:sz w:val="21"/>
                      <w:szCs w:val="21"/>
                    </w:rPr>
                    <w:t>4台（按点声源组预测）</w:t>
                  </w:r>
                </w:p>
              </w:tc>
              <w:tc>
                <w:tcPr>
                  <w:tcW w:w="413" w:type="dxa"/>
                  <w:shd w:val="clear" w:color="auto" w:fill="auto"/>
                  <w:tcMar>
                    <w:top w:w="0" w:type="dxa"/>
                    <w:left w:w="0" w:type="dxa"/>
                    <w:bottom w:w="0" w:type="dxa"/>
                    <w:right w:w="0" w:type="dxa"/>
                  </w:tcMar>
                  <w:vAlign w:val="center"/>
                </w:tcPr>
                <w:p w14:paraId="174B94CD">
                  <w:pPr>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color w:val="auto"/>
                      <w:sz w:val="21"/>
                      <w:szCs w:val="21"/>
                      <w:highlight w:val="none"/>
                      <w:lang w:val="en-US" w:eastAsia="en-US" w:bidi="ar-SA"/>
                    </w:rPr>
                  </w:pPr>
                  <w:r>
                    <w:rPr>
                      <w:rFonts w:hint="default" w:ascii="Times New Roman" w:hAnsi="Times New Roman" w:eastAsia="宋体" w:cs="Times New Roman"/>
                      <w:color w:val="auto"/>
                      <w:sz w:val="21"/>
                      <w:szCs w:val="21"/>
                      <w:highlight w:val="none"/>
                    </w:rPr>
                    <w:t>450</w:t>
                  </w:r>
                </w:p>
              </w:tc>
              <w:tc>
                <w:tcPr>
                  <w:tcW w:w="637" w:type="dxa"/>
                  <w:shd w:val="clear" w:color="auto" w:fill="auto"/>
                  <w:tcMar>
                    <w:top w:w="0" w:type="dxa"/>
                    <w:left w:w="0" w:type="dxa"/>
                    <w:bottom w:w="0" w:type="dxa"/>
                    <w:right w:w="0" w:type="dxa"/>
                  </w:tcMar>
                  <w:vAlign w:val="center"/>
                </w:tcPr>
                <w:p w14:paraId="6BCA2001">
                  <w:pPr>
                    <w:keepNext w:val="0"/>
                    <w:keepLines w:val="0"/>
                    <w:suppressLineNumbers w:val="0"/>
                    <w:spacing w:before="0" w:beforeAutospacing="0" w:after="0" w:afterAutospacing="0"/>
                    <w:ind w:left="0" w:right="0"/>
                    <w:jc w:val="center"/>
                    <w:rPr>
                      <w:rFonts w:hint="eastAsia" w:ascii="Times New Roman" w:hAnsi="Times New Roman" w:eastAsia="宋体" w:cs="Times New Roman"/>
                      <w:color w:val="auto"/>
                      <w:sz w:val="21"/>
                      <w:szCs w:val="21"/>
                      <w:lang w:eastAsia="zh-CN"/>
                    </w:rPr>
                  </w:pPr>
                  <w:r>
                    <w:rPr>
                      <w:rFonts w:hint="default" w:ascii="Times New Roman" w:hAnsi="Times New Roman" w:eastAsia="宋体" w:cs="Times New Roman"/>
                      <w:color w:val="auto"/>
                      <w:sz w:val="21"/>
                      <w:szCs w:val="21"/>
                    </w:rPr>
                    <w:t>70/1（等效后：82.0/1</w:t>
                  </w:r>
                  <w:r>
                    <w:rPr>
                      <w:rFonts w:hint="eastAsia" w:ascii="Times New Roman" w:hAnsi="Times New Roman" w:eastAsia="宋体" w:cs="Times New Roman"/>
                      <w:color w:val="auto"/>
                      <w:sz w:val="21"/>
                      <w:szCs w:val="21"/>
                      <w:lang w:eastAsia="zh-CN"/>
                    </w:rPr>
                    <w:t>）</w:t>
                  </w:r>
                </w:p>
              </w:tc>
              <w:tc>
                <w:tcPr>
                  <w:tcW w:w="553" w:type="dxa"/>
                  <w:vMerge w:val="continue"/>
                  <w:shd w:val="clear" w:color="auto" w:fill="auto"/>
                  <w:tcMar>
                    <w:top w:w="0" w:type="dxa"/>
                    <w:left w:w="0" w:type="dxa"/>
                    <w:bottom w:w="0" w:type="dxa"/>
                    <w:right w:w="0" w:type="dxa"/>
                  </w:tcMar>
                  <w:vAlign w:val="center"/>
                </w:tcPr>
                <w:p w14:paraId="4C2E377A">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 w:val="21"/>
                      <w:szCs w:val="21"/>
                    </w:rPr>
                  </w:pPr>
                </w:p>
              </w:tc>
              <w:tc>
                <w:tcPr>
                  <w:tcW w:w="563" w:type="dxa"/>
                  <w:shd w:val="clear" w:color="auto" w:fill="auto"/>
                  <w:tcMar>
                    <w:top w:w="0" w:type="dxa"/>
                    <w:left w:w="0" w:type="dxa"/>
                    <w:bottom w:w="0" w:type="dxa"/>
                    <w:right w:w="0" w:type="dxa"/>
                  </w:tcMar>
                  <w:vAlign w:val="center"/>
                </w:tcPr>
                <w:p w14:paraId="3F024CF6">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39.1</w:t>
                  </w:r>
                </w:p>
              </w:tc>
              <w:tc>
                <w:tcPr>
                  <w:tcW w:w="563" w:type="dxa"/>
                  <w:shd w:val="clear" w:color="auto" w:fill="auto"/>
                  <w:tcMar>
                    <w:top w:w="0" w:type="dxa"/>
                    <w:left w:w="0" w:type="dxa"/>
                    <w:bottom w:w="0" w:type="dxa"/>
                    <w:right w:w="0" w:type="dxa"/>
                  </w:tcMar>
                  <w:vAlign w:val="center"/>
                </w:tcPr>
                <w:p w14:paraId="7D01B3DB">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-1.6</w:t>
                  </w:r>
                </w:p>
              </w:tc>
              <w:tc>
                <w:tcPr>
                  <w:tcW w:w="564" w:type="dxa"/>
                  <w:shd w:val="clear" w:color="auto" w:fill="auto"/>
                  <w:tcMar>
                    <w:top w:w="0" w:type="dxa"/>
                    <w:left w:w="0" w:type="dxa"/>
                    <w:bottom w:w="0" w:type="dxa"/>
                    <w:right w:w="0" w:type="dxa"/>
                  </w:tcMar>
                  <w:vAlign w:val="center"/>
                </w:tcPr>
                <w:p w14:paraId="6075DC76">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1.2</w:t>
                  </w:r>
                </w:p>
              </w:tc>
              <w:tc>
                <w:tcPr>
                  <w:tcW w:w="466" w:type="dxa"/>
                  <w:shd w:val="clear" w:color="auto" w:fill="auto"/>
                  <w:tcMar>
                    <w:top w:w="0" w:type="dxa"/>
                    <w:left w:w="0" w:type="dxa"/>
                    <w:bottom w:w="0" w:type="dxa"/>
                    <w:right w:w="0" w:type="dxa"/>
                  </w:tcMar>
                  <w:vAlign w:val="center"/>
                </w:tcPr>
                <w:p w14:paraId="3C9E949A">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45.2</w:t>
                  </w:r>
                </w:p>
              </w:tc>
              <w:tc>
                <w:tcPr>
                  <w:tcW w:w="466" w:type="dxa"/>
                  <w:shd w:val="clear" w:color="auto" w:fill="auto"/>
                  <w:tcMar>
                    <w:top w:w="0" w:type="dxa"/>
                    <w:left w:w="0" w:type="dxa"/>
                    <w:bottom w:w="0" w:type="dxa"/>
                    <w:right w:w="0" w:type="dxa"/>
                  </w:tcMar>
                  <w:vAlign w:val="center"/>
                </w:tcPr>
                <w:p w14:paraId="1C9A9FA5">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18.4</w:t>
                  </w:r>
                </w:p>
              </w:tc>
              <w:tc>
                <w:tcPr>
                  <w:tcW w:w="466" w:type="dxa"/>
                  <w:shd w:val="clear" w:color="auto" w:fill="auto"/>
                  <w:tcMar>
                    <w:top w:w="0" w:type="dxa"/>
                    <w:left w:w="0" w:type="dxa"/>
                    <w:bottom w:w="0" w:type="dxa"/>
                    <w:right w:w="0" w:type="dxa"/>
                  </w:tcMar>
                  <w:vAlign w:val="center"/>
                </w:tcPr>
                <w:p w14:paraId="27677E48">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37.7</w:t>
                  </w:r>
                </w:p>
              </w:tc>
              <w:tc>
                <w:tcPr>
                  <w:tcW w:w="467" w:type="dxa"/>
                  <w:shd w:val="clear" w:color="auto" w:fill="auto"/>
                  <w:tcMar>
                    <w:top w:w="0" w:type="dxa"/>
                    <w:left w:w="0" w:type="dxa"/>
                    <w:bottom w:w="0" w:type="dxa"/>
                    <w:right w:w="0" w:type="dxa"/>
                  </w:tcMar>
                  <w:vAlign w:val="center"/>
                </w:tcPr>
                <w:p w14:paraId="76CC0A63">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38.4</w:t>
                  </w:r>
                </w:p>
              </w:tc>
              <w:tc>
                <w:tcPr>
                  <w:tcW w:w="460" w:type="dxa"/>
                  <w:shd w:val="clear" w:color="auto" w:fill="auto"/>
                  <w:tcMar>
                    <w:top w:w="0" w:type="dxa"/>
                    <w:left w:w="0" w:type="dxa"/>
                    <w:bottom w:w="0" w:type="dxa"/>
                    <w:right w:w="0" w:type="dxa"/>
                  </w:tcMar>
                  <w:vAlign w:val="center"/>
                </w:tcPr>
                <w:p w14:paraId="52C8C796">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67.0</w:t>
                  </w:r>
                </w:p>
              </w:tc>
              <w:tc>
                <w:tcPr>
                  <w:tcW w:w="460" w:type="dxa"/>
                  <w:shd w:val="clear" w:color="auto" w:fill="auto"/>
                  <w:tcMar>
                    <w:top w:w="0" w:type="dxa"/>
                    <w:left w:w="0" w:type="dxa"/>
                    <w:bottom w:w="0" w:type="dxa"/>
                    <w:right w:w="0" w:type="dxa"/>
                  </w:tcMar>
                  <w:vAlign w:val="center"/>
                </w:tcPr>
                <w:p w14:paraId="7268829F">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67.1</w:t>
                  </w:r>
                </w:p>
              </w:tc>
              <w:tc>
                <w:tcPr>
                  <w:tcW w:w="460" w:type="dxa"/>
                  <w:shd w:val="clear" w:color="auto" w:fill="auto"/>
                  <w:tcMar>
                    <w:top w:w="0" w:type="dxa"/>
                    <w:left w:w="0" w:type="dxa"/>
                    <w:bottom w:w="0" w:type="dxa"/>
                    <w:right w:w="0" w:type="dxa"/>
                  </w:tcMar>
                  <w:vAlign w:val="center"/>
                </w:tcPr>
                <w:p w14:paraId="6A8B6901">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67.0</w:t>
                  </w:r>
                </w:p>
              </w:tc>
              <w:tc>
                <w:tcPr>
                  <w:tcW w:w="462" w:type="dxa"/>
                  <w:shd w:val="clear" w:color="auto" w:fill="auto"/>
                  <w:tcMar>
                    <w:top w:w="0" w:type="dxa"/>
                    <w:left w:w="0" w:type="dxa"/>
                    <w:bottom w:w="0" w:type="dxa"/>
                    <w:right w:w="0" w:type="dxa"/>
                  </w:tcMar>
                  <w:vAlign w:val="center"/>
                </w:tcPr>
                <w:p w14:paraId="5A5A7DF2">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67.0</w:t>
                  </w:r>
                </w:p>
              </w:tc>
              <w:tc>
                <w:tcPr>
                  <w:tcW w:w="445" w:type="dxa"/>
                  <w:vMerge w:val="continue"/>
                  <w:shd w:val="clear" w:color="auto" w:fill="auto"/>
                  <w:tcMar>
                    <w:top w:w="0" w:type="dxa"/>
                    <w:left w:w="0" w:type="dxa"/>
                    <w:bottom w:w="0" w:type="dxa"/>
                    <w:right w:w="0" w:type="dxa"/>
                  </w:tcMar>
                  <w:vAlign w:val="center"/>
                </w:tcPr>
                <w:p w14:paraId="19C850BC">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 w:val="21"/>
                      <w:szCs w:val="21"/>
                    </w:rPr>
                  </w:pPr>
                </w:p>
              </w:tc>
              <w:tc>
                <w:tcPr>
                  <w:tcW w:w="444" w:type="dxa"/>
                  <w:shd w:val="clear" w:color="auto" w:fill="auto"/>
                  <w:tcMar>
                    <w:top w:w="0" w:type="dxa"/>
                    <w:left w:w="0" w:type="dxa"/>
                    <w:bottom w:w="0" w:type="dxa"/>
                    <w:right w:w="0" w:type="dxa"/>
                  </w:tcMar>
                  <w:vAlign w:val="center"/>
                </w:tcPr>
                <w:p w14:paraId="05934C78">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20.0</w:t>
                  </w:r>
                </w:p>
              </w:tc>
              <w:tc>
                <w:tcPr>
                  <w:tcW w:w="444" w:type="dxa"/>
                  <w:shd w:val="clear" w:color="auto" w:fill="auto"/>
                  <w:tcMar>
                    <w:top w:w="0" w:type="dxa"/>
                    <w:left w:w="0" w:type="dxa"/>
                    <w:bottom w:w="0" w:type="dxa"/>
                    <w:right w:w="0" w:type="dxa"/>
                  </w:tcMar>
                  <w:vAlign w:val="center"/>
                </w:tcPr>
                <w:p w14:paraId="6DD8E9BA">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20.0</w:t>
                  </w:r>
                </w:p>
              </w:tc>
              <w:tc>
                <w:tcPr>
                  <w:tcW w:w="444" w:type="dxa"/>
                  <w:shd w:val="clear" w:color="auto" w:fill="auto"/>
                  <w:tcMar>
                    <w:top w:w="0" w:type="dxa"/>
                    <w:left w:w="0" w:type="dxa"/>
                    <w:bottom w:w="0" w:type="dxa"/>
                    <w:right w:w="0" w:type="dxa"/>
                  </w:tcMar>
                  <w:vAlign w:val="center"/>
                </w:tcPr>
                <w:p w14:paraId="75559CF9">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20.0</w:t>
                  </w:r>
                </w:p>
              </w:tc>
              <w:tc>
                <w:tcPr>
                  <w:tcW w:w="444" w:type="dxa"/>
                  <w:shd w:val="clear" w:color="auto" w:fill="auto"/>
                  <w:tcMar>
                    <w:top w:w="0" w:type="dxa"/>
                    <w:left w:w="0" w:type="dxa"/>
                    <w:bottom w:w="0" w:type="dxa"/>
                    <w:right w:w="0" w:type="dxa"/>
                  </w:tcMar>
                  <w:vAlign w:val="center"/>
                </w:tcPr>
                <w:p w14:paraId="26F3D827">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20.0</w:t>
                  </w:r>
                </w:p>
              </w:tc>
              <w:tc>
                <w:tcPr>
                  <w:tcW w:w="470" w:type="dxa"/>
                  <w:shd w:val="clear" w:color="auto" w:fill="auto"/>
                  <w:tcMar>
                    <w:top w:w="0" w:type="dxa"/>
                    <w:left w:w="0" w:type="dxa"/>
                    <w:bottom w:w="0" w:type="dxa"/>
                    <w:right w:w="0" w:type="dxa"/>
                  </w:tcMar>
                  <w:vAlign w:val="center"/>
                </w:tcPr>
                <w:p w14:paraId="628B9270">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47.0</w:t>
                  </w:r>
                </w:p>
              </w:tc>
              <w:tc>
                <w:tcPr>
                  <w:tcW w:w="470" w:type="dxa"/>
                  <w:shd w:val="clear" w:color="auto" w:fill="auto"/>
                  <w:tcMar>
                    <w:top w:w="0" w:type="dxa"/>
                    <w:left w:w="0" w:type="dxa"/>
                    <w:bottom w:w="0" w:type="dxa"/>
                    <w:right w:w="0" w:type="dxa"/>
                  </w:tcMar>
                  <w:vAlign w:val="center"/>
                </w:tcPr>
                <w:p w14:paraId="21CB4C64">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47.1</w:t>
                  </w:r>
                </w:p>
              </w:tc>
              <w:tc>
                <w:tcPr>
                  <w:tcW w:w="470" w:type="dxa"/>
                  <w:shd w:val="clear" w:color="auto" w:fill="auto"/>
                  <w:tcMar>
                    <w:top w:w="0" w:type="dxa"/>
                    <w:left w:w="0" w:type="dxa"/>
                    <w:bottom w:w="0" w:type="dxa"/>
                    <w:right w:w="0" w:type="dxa"/>
                  </w:tcMar>
                  <w:vAlign w:val="center"/>
                </w:tcPr>
                <w:p w14:paraId="310311C3">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47.0</w:t>
                  </w:r>
                </w:p>
              </w:tc>
              <w:tc>
                <w:tcPr>
                  <w:tcW w:w="471" w:type="dxa"/>
                  <w:shd w:val="clear" w:color="auto" w:fill="auto"/>
                  <w:tcMar>
                    <w:top w:w="0" w:type="dxa"/>
                    <w:left w:w="0" w:type="dxa"/>
                    <w:bottom w:w="0" w:type="dxa"/>
                    <w:right w:w="0" w:type="dxa"/>
                  </w:tcMar>
                  <w:vAlign w:val="center"/>
                </w:tcPr>
                <w:p w14:paraId="29E8BC83">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47.0</w:t>
                  </w:r>
                </w:p>
              </w:tc>
              <w:tc>
                <w:tcPr>
                  <w:tcW w:w="648" w:type="dxa"/>
                  <w:shd w:val="clear" w:color="auto" w:fill="auto"/>
                  <w:tcMar>
                    <w:top w:w="0" w:type="dxa"/>
                    <w:left w:w="0" w:type="dxa"/>
                    <w:bottom w:w="0" w:type="dxa"/>
                    <w:right w:w="0" w:type="dxa"/>
                  </w:tcMar>
                  <w:vAlign w:val="center"/>
                </w:tcPr>
                <w:p w14:paraId="2992576B">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1</w:t>
                  </w:r>
                </w:p>
              </w:tc>
            </w:tr>
            <w:tr w14:paraId="2B2405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23" w:hRule="atLeast"/>
                <w:jc w:val="center"/>
              </w:trPr>
              <w:tc>
                <w:tcPr>
                  <w:tcW w:w="482" w:type="dxa"/>
                  <w:shd w:val="clear" w:color="auto" w:fill="auto"/>
                  <w:vAlign w:val="center"/>
                </w:tcPr>
                <w:p w14:paraId="378B715F">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32</w:t>
                  </w:r>
                </w:p>
              </w:tc>
              <w:tc>
                <w:tcPr>
                  <w:tcW w:w="485" w:type="dxa"/>
                  <w:vMerge w:val="continue"/>
                  <w:shd w:val="clear" w:color="auto" w:fill="auto"/>
                  <w:tcMar>
                    <w:top w:w="0" w:type="dxa"/>
                    <w:left w:w="0" w:type="dxa"/>
                    <w:bottom w:w="0" w:type="dxa"/>
                    <w:right w:w="0" w:type="dxa"/>
                  </w:tcMar>
                  <w:vAlign w:val="center"/>
                </w:tcPr>
                <w:p w14:paraId="755BFECF">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 w:val="21"/>
                      <w:szCs w:val="21"/>
                    </w:rPr>
                  </w:pPr>
                </w:p>
              </w:tc>
              <w:tc>
                <w:tcPr>
                  <w:tcW w:w="541" w:type="dxa"/>
                  <w:shd w:val="clear" w:color="auto" w:fill="auto"/>
                  <w:tcMar>
                    <w:top w:w="0" w:type="dxa"/>
                    <w:left w:w="0" w:type="dxa"/>
                    <w:bottom w:w="0" w:type="dxa"/>
                    <w:right w:w="0" w:type="dxa"/>
                  </w:tcMar>
                  <w:vAlign w:val="center"/>
                </w:tcPr>
                <w:p w14:paraId="6EBF74DC">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1500分条机</w:t>
                  </w:r>
                </w:p>
              </w:tc>
              <w:tc>
                <w:tcPr>
                  <w:tcW w:w="413" w:type="dxa"/>
                  <w:shd w:val="clear" w:color="auto" w:fill="auto"/>
                  <w:tcMar>
                    <w:top w:w="0" w:type="dxa"/>
                    <w:left w:w="0" w:type="dxa"/>
                    <w:bottom w:w="0" w:type="dxa"/>
                    <w:right w:w="0" w:type="dxa"/>
                  </w:tcMar>
                  <w:vAlign w:val="center"/>
                </w:tcPr>
                <w:p w14:paraId="74E12F96">
                  <w:pPr>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color w:val="auto"/>
                      <w:sz w:val="21"/>
                      <w:szCs w:val="21"/>
                      <w:highlight w:val="none"/>
                      <w:lang w:val="en-US" w:eastAsia="en-US" w:bidi="ar-SA"/>
                    </w:rPr>
                  </w:pPr>
                  <w:r>
                    <w:rPr>
                      <w:rFonts w:hint="default" w:ascii="Times New Roman" w:hAnsi="Times New Roman" w:eastAsia="宋体" w:cs="Times New Roman"/>
                      <w:color w:val="auto"/>
                      <w:sz w:val="21"/>
                      <w:szCs w:val="21"/>
                      <w:highlight w:val="none"/>
                    </w:rPr>
                    <w:t>1500</w:t>
                  </w:r>
                </w:p>
              </w:tc>
              <w:tc>
                <w:tcPr>
                  <w:tcW w:w="637" w:type="dxa"/>
                  <w:shd w:val="clear" w:color="auto" w:fill="auto"/>
                  <w:tcMar>
                    <w:top w:w="0" w:type="dxa"/>
                    <w:left w:w="0" w:type="dxa"/>
                    <w:bottom w:w="0" w:type="dxa"/>
                    <w:right w:w="0" w:type="dxa"/>
                  </w:tcMar>
                  <w:vAlign w:val="center"/>
                </w:tcPr>
                <w:p w14:paraId="6C281504">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70/1</w:t>
                  </w:r>
                </w:p>
              </w:tc>
              <w:tc>
                <w:tcPr>
                  <w:tcW w:w="553" w:type="dxa"/>
                  <w:vMerge w:val="continue"/>
                  <w:shd w:val="clear" w:color="auto" w:fill="auto"/>
                  <w:tcMar>
                    <w:top w:w="0" w:type="dxa"/>
                    <w:left w:w="0" w:type="dxa"/>
                    <w:bottom w:w="0" w:type="dxa"/>
                    <w:right w:w="0" w:type="dxa"/>
                  </w:tcMar>
                  <w:vAlign w:val="center"/>
                </w:tcPr>
                <w:p w14:paraId="21475EE7">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 w:val="21"/>
                      <w:szCs w:val="21"/>
                    </w:rPr>
                  </w:pPr>
                </w:p>
              </w:tc>
              <w:tc>
                <w:tcPr>
                  <w:tcW w:w="563" w:type="dxa"/>
                  <w:shd w:val="clear" w:color="auto" w:fill="auto"/>
                  <w:tcMar>
                    <w:top w:w="0" w:type="dxa"/>
                    <w:left w:w="0" w:type="dxa"/>
                    <w:bottom w:w="0" w:type="dxa"/>
                    <w:right w:w="0" w:type="dxa"/>
                  </w:tcMar>
                  <w:vAlign w:val="center"/>
                </w:tcPr>
                <w:p w14:paraId="3F4184BC">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43.7</w:t>
                  </w:r>
                </w:p>
              </w:tc>
              <w:tc>
                <w:tcPr>
                  <w:tcW w:w="563" w:type="dxa"/>
                  <w:shd w:val="clear" w:color="auto" w:fill="auto"/>
                  <w:tcMar>
                    <w:top w:w="0" w:type="dxa"/>
                    <w:left w:w="0" w:type="dxa"/>
                    <w:bottom w:w="0" w:type="dxa"/>
                    <w:right w:w="0" w:type="dxa"/>
                  </w:tcMar>
                  <w:vAlign w:val="center"/>
                </w:tcPr>
                <w:p w14:paraId="30608D58">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1.2</w:t>
                  </w:r>
                </w:p>
              </w:tc>
              <w:tc>
                <w:tcPr>
                  <w:tcW w:w="564" w:type="dxa"/>
                  <w:shd w:val="clear" w:color="auto" w:fill="auto"/>
                  <w:tcMar>
                    <w:top w:w="0" w:type="dxa"/>
                    <w:left w:w="0" w:type="dxa"/>
                    <w:bottom w:w="0" w:type="dxa"/>
                    <w:right w:w="0" w:type="dxa"/>
                  </w:tcMar>
                  <w:vAlign w:val="center"/>
                </w:tcPr>
                <w:p w14:paraId="692CCB70">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1.2</w:t>
                  </w:r>
                </w:p>
              </w:tc>
              <w:tc>
                <w:tcPr>
                  <w:tcW w:w="466" w:type="dxa"/>
                  <w:shd w:val="clear" w:color="auto" w:fill="auto"/>
                  <w:tcMar>
                    <w:top w:w="0" w:type="dxa"/>
                    <w:left w:w="0" w:type="dxa"/>
                    <w:bottom w:w="0" w:type="dxa"/>
                    <w:right w:w="0" w:type="dxa"/>
                  </w:tcMar>
                  <w:vAlign w:val="center"/>
                </w:tcPr>
                <w:p w14:paraId="512D1CB7">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40.0</w:t>
                  </w:r>
                </w:p>
              </w:tc>
              <w:tc>
                <w:tcPr>
                  <w:tcW w:w="466" w:type="dxa"/>
                  <w:shd w:val="clear" w:color="auto" w:fill="auto"/>
                  <w:tcMar>
                    <w:top w:w="0" w:type="dxa"/>
                    <w:left w:w="0" w:type="dxa"/>
                    <w:bottom w:w="0" w:type="dxa"/>
                    <w:right w:w="0" w:type="dxa"/>
                  </w:tcMar>
                  <w:vAlign w:val="center"/>
                </w:tcPr>
                <w:p w14:paraId="7356B9A3">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20.1</w:t>
                  </w:r>
                </w:p>
              </w:tc>
              <w:tc>
                <w:tcPr>
                  <w:tcW w:w="466" w:type="dxa"/>
                  <w:shd w:val="clear" w:color="auto" w:fill="auto"/>
                  <w:tcMar>
                    <w:top w:w="0" w:type="dxa"/>
                    <w:left w:w="0" w:type="dxa"/>
                    <w:bottom w:w="0" w:type="dxa"/>
                    <w:right w:w="0" w:type="dxa"/>
                  </w:tcMar>
                  <w:vAlign w:val="center"/>
                </w:tcPr>
                <w:p w14:paraId="237C6CD9">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42.8</w:t>
                  </w:r>
                </w:p>
              </w:tc>
              <w:tc>
                <w:tcPr>
                  <w:tcW w:w="467" w:type="dxa"/>
                  <w:shd w:val="clear" w:color="auto" w:fill="auto"/>
                  <w:tcMar>
                    <w:top w:w="0" w:type="dxa"/>
                    <w:left w:w="0" w:type="dxa"/>
                    <w:bottom w:w="0" w:type="dxa"/>
                    <w:right w:w="0" w:type="dxa"/>
                  </w:tcMar>
                  <w:vAlign w:val="center"/>
                </w:tcPr>
                <w:p w14:paraId="4EF59599">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36.8</w:t>
                  </w:r>
                </w:p>
              </w:tc>
              <w:tc>
                <w:tcPr>
                  <w:tcW w:w="460" w:type="dxa"/>
                  <w:shd w:val="clear" w:color="auto" w:fill="auto"/>
                  <w:tcMar>
                    <w:top w:w="0" w:type="dxa"/>
                    <w:left w:w="0" w:type="dxa"/>
                    <w:bottom w:w="0" w:type="dxa"/>
                    <w:right w:w="0" w:type="dxa"/>
                  </w:tcMar>
                  <w:vAlign w:val="center"/>
                </w:tcPr>
                <w:p w14:paraId="2C9DA71C">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55.0</w:t>
                  </w:r>
                </w:p>
              </w:tc>
              <w:tc>
                <w:tcPr>
                  <w:tcW w:w="460" w:type="dxa"/>
                  <w:shd w:val="clear" w:color="auto" w:fill="auto"/>
                  <w:tcMar>
                    <w:top w:w="0" w:type="dxa"/>
                    <w:left w:w="0" w:type="dxa"/>
                    <w:bottom w:w="0" w:type="dxa"/>
                    <w:right w:w="0" w:type="dxa"/>
                  </w:tcMar>
                  <w:vAlign w:val="center"/>
                </w:tcPr>
                <w:p w14:paraId="7DC3943D">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55.1</w:t>
                  </w:r>
                </w:p>
              </w:tc>
              <w:tc>
                <w:tcPr>
                  <w:tcW w:w="460" w:type="dxa"/>
                  <w:shd w:val="clear" w:color="auto" w:fill="auto"/>
                  <w:tcMar>
                    <w:top w:w="0" w:type="dxa"/>
                    <w:left w:w="0" w:type="dxa"/>
                    <w:bottom w:w="0" w:type="dxa"/>
                    <w:right w:w="0" w:type="dxa"/>
                  </w:tcMar>
                  <w:vAlign w:val="center"/>
                </w:tcPr>
                <w:p w14:paraId="00F82589">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55.0</w:t>
                  </w:r>
                </w:p>
              </w:tc>
              <w:tc>
                <w:tcPr>
                  <w:tcW w:w="462" w:type="dxa"/>
                  <w:shd w:val="clear" w:color="auto" w:fill="auto"/>
                  <w:tcMar>
                    <w:top w:w="0" w:type="dxa"/>
                    <w:left w:w="0" w:type="dxa"/>
                    <w:bottom w:w="0" w:type="dxa"/>
                    <w:right w:w="0" w:type="dxa"/>
                  </w:tcMar>
                  <w:vAlign w:val="center"/>
                </w:tcPr>
                <w:p w14:paraId="72833477">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55.0</w:t>
                  </w:r>
                </w:p>
              </w:tc>
              <w:tc>
                <w:tcPr>
                  <w:tcW w:w="445" w:type="dxa"/>
                  <w:vMerge w:val="continue"/>
                  <w:shd w:val="clear" w:color="auto" w:fill="auto"/>
                  <w:tcMar>
                    <w:top w:w="0" w:type="dxa"/>
                    <w:left w:w="0" w:type="dxa"/>
                    <w:bottom w:w="0" w:type="dxa"/>
                    <w:right w:w="0" w:type="dxa"/>
                  </w:tcMar>
                  <w:vAlign w:val="center"/>
                </w:tcPr>
                <w:p w14:paraId="6947976B">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 w:val="21"/>
                      <w:szCs w:val="21"/>
                    </w:rPr>
                  </w:pPr>
                </w:p>
              </w:tc>
              <w:tc>
                <w:tcPr>
                  <w:tcW w:w="444" w:type="dxa"/>
                  <w:shd w:val="clear" w:color="auto" w:fill="auto"/>
                  <w:tcMar>
                    <w:top w:w="0" w:type="dxa"/>
                    <w:left w:w="0" w:type="dxa"/>
                    <w:bottom w:w="0" w:type="dxa"/>
                    <w:right w:w="0" w:type="dxa"/>
                  </w:tcMar>
                  <w:vAlign w:val="center"/>
                </w:tcPr>
                <w:p w14:paraId="470BF949">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20.0</w:t>
                  </w:r>
                </w:p>
              </w:tc>
              <w:tc>
                <w:tcPr>
                  <w:tcW w:w="444" w:type="dxa"/>
                  <w:shd w:val="clear" w:color="auto" w:fill="auto"/>
                  <w:tcMar>
                    <w:top w:w="0" w:type="dxa"/>
                    <w:left w:w="0" w:type="dxa"/>
                    <w:bottom w:w="0" w:type="dxa"/>
                    <w:right w:w="0" w:type="dxa"/>
                  </w:tcMar>
                  <w:vAlign w:val="center"/>
                </w:tcPr>
                <w:p w14:paraId="55593084">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20.0</w:t>
                  </w:r>
                </w:p>
              </w:tc>
              <w:tc>
                <w:tcPr>
                  <w:tcW w:w="444" w:type="dxa"/>
                  <w:shd w:val="clear" w:color="auto" w:fill="auto"/>
                  <w:tcMar>
                    <w:top w:w="0" w:type="dxa"/>
                    <w:left w:w="0" w:type="dxa"/>
                    <w:bottom w:w="0" w:type="dxa"/>
                    <w:right w:w="0" w:type="dxa"/>
                  </w:tcMar>
                  <w:vAlign w:val="center"/>
                </w:tcPr>
                <w:p w14:paraId="016DD6D4">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20.0</w:t>
                  </w:r>
                </w:p>
              </w:tc>
              <w:tc>
                <w:tcPr>
                  <w:tcW w:w="444" w:type="dxa"/>
                  <w:shd w:val="clear" w:color="auto" w:fill="auto"/>
                  <w:tcMar>
                    <w:top w:w="0" w:type="dxa"/>
                    <w:left w:w="0" w:type="dxa"/>
                    <w:bottom w:w="0" w:type="dxa"/>
                    <w:right w:w="0" w:type="dxa"/>
                  </w:tcMar>
                  <w:vAlign w:val="center"/>
                </w:tcPr>
                <w:p w14:paraId="1EBC0B1D">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20.0</w:t>
                  </w:r>
                </w:p>
              </w:tc>
              <w:tc>
                <w:tcPr>
                  <w:tcW w:w="470" w:type="dxa"/>
                  <w:shd w:val="clear" w:color="auto" w:fill="auto"/>
                  <w:tcMar>
                    <w:top w:w="0" w:type="dxa"/>
                    <w:left w:w="0" w:type="dxa"/>
                    <w:bottom w:w="0" w:type="dxa"/>
                    <w:right w:w="0" w:type="dxa"/>
                  </w:tcMar>
                  <w:vAlign w:val="center"/>
                </w:tcPr>
                <w:p w14:paraId="2B8A64F3">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35.0</w:t>
                  </w:r>
                </w:p>
              </w:tc>
              <w:tc>
                <w:tcPr>
                  <w:tcW w:w="470" w:type="dxa"/>
                  <w:shd w:val="clear" w:color="auto" w:fill="auto"/>
                  <w:tcMar>
                    <w:top w:w="0" w:type="dxa"/>
                    <w:left w:w="0" w:type="dxa"/>
                    <w:bottom w:w="0" w:type="dxa"/>
                    <w:right w:w="0" w:type="dxa"/>
                  </w:tcMar>
                  <w:vAlign w:val="center"/>
                </w:tcPr>
                <w:p w14:paraId="19AE5B9D">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35.1</w:t>
                  </w:r>
                </w:p>
              </w:tc>
              <w:tc>
                <w:tcPr>
                  <w:tcW w:w="470" w:type="dxa"/>
                  <w:shd w:val="clear" w:color="auto" w:fill="auto"/>
                  <w:tcMar>
                    <w:top w:w="0" w:type="dxa"/>
                    <w:left w:w="0" w:type="dxa"/>
                    <w:bottom w:w="0" w:type="dxa"/>
                    <w:right w:w="0" w:type="dxa"/>
                  </w:tcMar>
                  <w:vAlign w:val="center"/>
                </w:tcPr>
                <w:p w14:paraId="3E648108">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35.0</w:t>
                  </w:r>
                </w:p>
              </w:tc>
              <w:tc>
                <w:tcPr>
                  <w:tcW w:w="471" w:type="dxa"/>
                  <w:shd w:val="clear" w:color="auto" w:fill="auto"/>
                  <w:tcMar>
                    <w:top w:w="0" w:type="dxa"/>
                    <w:left w:w="0" w:type="dxa"/>
                    <w:bottom w:w="0" w:type="dxa"/>
                    <w:right w:w="0" w:type="dxa"/>
                  </w:tcMar>
                  <w:vAlign w:val="center"/>
                </w:tcPr>
                <w:p w14:paraId="1B135D4B">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35.0</w:t>
                  </w:r>
                </w:p>
              </w:tc>
              <w:tc>
                <w:tcPr>
                  <w:tcW w:w="648" w:type="dxa"/>
                  <w:shd w:val="clear" w:color="auto" w:fill="auto"/>
                  <w:tcMar>
                    <w:top w:w="0" w:type="dxa"/>
                    <w:left w:w="0" w:type="dxa"/>
                    <w:bottom w:w="0" w:type="dxa"/>
                    <w:right w:w="0" w:type="dxa"/>
                  </w:tcMar>
                  <w:vAlign w:val="center"/>
                </w:tcPr>
                <w:p w14:paraId="61A35A35">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1</w:t>
                  </w:r>
                </w:p>
              </w:tc>
            </w:tr>
            <w:tr w14:paraId="09F896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23" w:hRule="atLeast"/>
                <w:jc w:val="center"/>
              </w:trPr>
              <w:tc>
                <w:tcPr>
                  <w:tcW w:w="482" w:type="dxa"/>
                  <w:shd w:val="clear" w:color="auto" w:fill="auto"/>
                  <w:vAlign w:val="center"/>
                </w:tcPr>
                <w:p w14:paraId="15CE081B">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33</w:t>
                  </w:r>
                </w:p>
              </w:tc>
              <w:tc>
                <w:tcPr>
                  <w:tcW w:w="485" w:type="dxa"/>
                  <w:vMerge w:val="continue"/>
                  <w:shd w:val="clear" w:color="auto" w:fill="auto"/>
                  <w:tcMar>
                    <w:top w:w="0" w:type="dxa"/>
                    <w:left w:w="0" w:type="dxa"/>
                    <w:bottom w:w="0" w:type="dxa"/>
                    <w:right w:w="0" w:type="dxa"/>
                  </w:tcMar>
                  <w:vAlign w:val="center"/>
                </w:tcPr>
                <w:p w14:paraId="125082C4">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 w:val="21"/>
                      <w:szCs w:val="21"/>
                    </w:rPr>
                  </w:pPr>
                </w:p>
              </w:tc>
              <w:tc>
                <w:tcPr>
                  <w:tcW w:w="541" w:type="dxa"/>
                  <w:shd w:val="clear" w:color="auto" w:fill="auto"/>
                  <w:tcMar>
                    <w:top w:w="0" w:type="dxa"/>
                    <w:left w:w="0" w:type="dxa"/>
                    <w:bottom w:w="0" w:type="dxa"/>
                    <w:right w:w="0" w:type="dxa"/>
                  </w:tcMar>
                  <w:vAlign w:val="center"/>
                </w:tcPr>
                <w:p w14:paraId="5F124044">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电脑式裁切机</w:t>
                  </w:r>
                  <w:r>
                    <w:rPr>
                      <w:rFonts w:hint="eastAsia" w:ascii="Times New Roman" w:hAnsi="Times New Roman" w:eastAsia="宋体" w:cs="Times New Roman"/>
                      <w:color w:val="auto"/>
                      <w:sz w:val="21"/>
                      <w:szCs w:val="21"/>
                      <w:lang w:eastAsia="zh-CN"/>
                    </w:rPr>
                    <w:t>，</w:t>
                  </w:r>
                  <w:r>
                    <w:rPr>
                      <w:rFonts w:hint="default" w:ascii="Times New Roman" w:hAnsi="Times New Roman" w:eastAsia="宋体" w:cs="Times New Roman"/>
                      <w:color w:val="auto"/>
                      <w:sz w:val="21"/>
                      <w:szCs w:val="21"/>
                    </w:rPr>
                    <w:t>4台（按点声源组预测）</w:t>
                  </w:r>
                </w:p>
              </w:tc>
              <w:tc>
                <w:tcPr>
                  <w:tcW w:w="413" w:type="dxa"/>
                  <w:shd w:val="clear" w:color="auto" w:fill="auto"/>
                  <w:tcMar>
                    <w:top w:w="0" w:type="dxa"/>
                    <w:left w:w="0" w:type="dxa"/>
                    <w:bottom w:w="0" w:type="dxa"/>
                    <w:right w:w="0" w:type="dxa"/>
                  </w:tcMar>
                  <w:vAlign w:val="center"/>
                </w:tcPr>
                <w:p w14:paraId="0B08031B">
                  <w:pPr>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color w:val="auto"/>
                      <w:sz w:val="21"/>
                      <w:szCs w:val="21"/>
                      <w:highlight w:val="none"/>
                      <w:lang w:val="en-US" w:eastAsia="en-US" w:bidi="ar-SA"/>
                    </w:rPr>
                  </w:pPr>
                  <w:r>
                    <w:rPr>
                      <w:rFonts w:hint="default" w:ascii="Times New Roman" w:hAnsi="Times New Roman" w:eastAsia="宋体" w:cs="Times New Roman"/>
                      <w:color w:val="auto"/>
                      <w:sz w:val="21"/>
                      <w:szCs w:val="21"/>
                      <w:highlight w:val="none"/>
                    </w:rPr>
                    <w:t>450</w:t>
                  </w:r>
                </w:p>
              </w:tc>
              <w:tc>
                <w:tcPr>
                  <w:tcW w:w="637" w:type="dxa"/>
                  <w:shd w:val="clear" w:color="auto" w:fill="auto"/>
                  <w:tcMar>
                    <w:top w:w="0" w:type="dxa"/>
                    <w:left w:w="0" w:type="dxa"/>
                    <w:bottom w:w="0" w:type="dxa"/>
                    <w:right w:w="0" w:type="dxa"/>
                  </w:tcMar>
                  <w:vAlign w:val="center"/>
                </w:tcPr>
                <w:p w14:paraId="09AC600F">
                  <w:pPr>
                    <w:keepNext w:val="0"/>
                    <w:keepLines w:val="0"/>
                    <w:suppressLineNumbers w:val="0"/>
                    <w:spacing w:before="0" w:beforeAutospacing="0" w:after="0" w:afterAutospacing="0"/>
                    <w:ind w:left="0" w:right="0"/>
                    <w:jc w:val="center"/>
                    <w:rPr>
                      <w:rFonts w:hint="eastAsia" w:ascii="Times New Roman" w:hAnsi="Times New Roman" w:eastAsia="宋体" w:cs="Times New Roman"/>
                      <w:color w:val="auto"/>
                      <w:sz w:val="21"/>
                      <w:szCs w:val="21"/>
                      <w:lang w:eastAsia="zh-CN"/>
                    </w:rPr>
                  </w:pPr>
                  <w:r>
                    <w:rPr>
                      <w:rFonts w:hint="default" w:ascii="Times New Roman" w:hAnsi="Times New Roman" w:eastAsia="宋体" w:cs="Times New Roman"/>
                      <w:color w:val="auto"/>
                      <w:sz w:val="21"/>
                      <w:szCs w:val="21"/>
                    </w:rPr>
                    <w:t>70/1（等效后：76.0/1</w:t>
                  </w:r>
                  <w:r>
                    <w:rPr>
                      <w:rFonts w:hint="eastAsia" w:ascii="Times New Roman" w:hAnsi="Times New Roman" w:eastAsia="宋体" w:cs="Times New Roman"/>
                      <w:color w:val="auto"/>
                      <w:sz w:val="21"/>
                      <w:szCs w:val="21"/>
                      <w:lang w:eastAsia="zh-CN"/>
                    </w:rPr>
                    <w:t>）</w:t>
                  </w:r>
                </w:p>
              </w:tc>
              <w:tc>
                <w:tcPr>
                  <w:tcW w:w="553" w:type="dxa"/>
                  <w:vMerge w:val="continue"/>
                  <w:shd w:val="clear" w:color="auto" w:fill="auto"/>
                  <w:tcMar>
                    <w:top w:w="0" w:type="dxa"/>
                    <w:left w:w="0" w:type="dxa"/>
                    <w:bottom w:w="0" w:type="dxa"/>
                    <w:right w:w="0" w:type="dxa"/>
                  </w:tcMar>
                  <w:vAlign w:val="center"/>
                </w:tcPr>
                <w:p w14:paraId="6D1BD669">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 w:val="21"/>
                      <w:szCs w:val="21"/>
                    </w:rPr>
                  </w:pPr>
                </w:p>
              </w:tc>
              <w:tc>
                <w:tcPr>
                  <w:tcW w:w="563" w:type="dxa"/>
                  <w:shd w:val="clear" w:color="auto" w:fill="auto"/>
                  <w:tcMar>
                    <w:top w:w="0" w:type="dxa"/>
                    <w:left w:w="0" w:type="dxa"/>
                    <w:bottom w:w="0" w:type="dxa"/>
                    <w:right w:w="0" w:type="dxa"/>
                  </w:tcMar>
                  <w:vAlign w:val="center"/>
                </w:tcPr>
                <w:p w14:paraId="0CC718E8">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37.6</w:t>
                  </w:r>
                </w:p>
              </w:tc>
              <w:tc>
                <w:tcPr>
                  <w:tcW w:w="563" w:type="dxa"/>
                  <w:shd w:val="clear" w:color="auto" w:fill="auto"/>
                  <w:tcMar>
                    <w:top w:w="0" w:type="dxa"/>
                    <w:left w:w="0" w:type="dxa"/>
                    <w:bottom w:w="0" w:type="dxa"/>
                    <w:right w:w="0" w:type="dxa"/>
                  </w:tcMar>
                  <w:vAlign w:val="center"/>
                </w:tcPr>
                <w:p w14:paraId="03C3CE1C">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0.4</w:t>
                  </w:r>
                </w:p>
              </w:tc>
              <w:tc>
                <w:tcPr>
                  <w:tcW w:w="564" w:type="dxa"/>
                  <w:shd w:val="clear" w:color="auto" w:fill="auto"/>
                  <w:tcMar>
                    <w:top w:w="0" w:type="dxa"/>
                    <w:left w:w="0" w:type="dxa"/>
                    <w:bottom w:w="0" w:type="dxa"/>
                    <w:right w:w="0" w:type="dxa"/>
                  </w:tcMar>
                  <w:vAlign w:val="center"/>
                </w:tcPr>
                <w:p w14:paraId="76522AA4">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1.2</w:t>
                  </w:r>
                </w:p>
              </w:tc>
              <w:tc>
                <w:tcPr>
                  <w:tcW w:w="466" w:type="dxa"/>
                  <w:shd w:val="clear" w:color="auto" w:fill="auto"/>
                  <w:tcMar>
                    <w:top w:w="0" w:type="dxa"/>
                    <w:left w:w="0" w:type="dxa"/>
                    <w:bottom w:w="0" w:type="dxa"/>
                    <w:right w:w="0" w:type="dxa"/>
                  </w:tcMar>
                  <w:vAlign w:val="center"/>
                </w:tcPr>
                <w:p w14:paraId="5D2B53F5">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46.2</w:t>
                  </w:r>
                </w:p>
              </w:tc>
              <w:tc>
                <w:tcPr>
                  <w:tcW w:w="466" w:type="dxa"/>
                  <w:shd w:val="clear" w:color="auto" w:fill="auto"/>
                  <w:tcMar>
                    <w:top w:w="0" w:type="dxa"/>
                    <w:left w:w="0" w:type="dxa"/>
                    <w:bottom w:w="0" w:type="dxa"/>
                    <w:right w:w="0" w:type="dxa"/>
                  </w:tcMar>
                  <w:vAlign w:val="center"/>
                </w:tcPr>
                <w:p w14:paraId="265A77CE">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20.7</w:t>
                  </w:r>
                </w:p>
              </w:tc>
              <w:tc>
                <w:tcPr>
                  <w:tcW w:w="466" w:type="dxa"/>
                  <w:shd w:val="clear" w:color="auto" w:fill="auto"/>
                  <w:tcMar>
                    <w:top w:w="0" w:type="dxa"/>
                    <w:left w:w="0" w:type="dxa"/>
                    <w:bottom w:w="0" w:type="dxa"/>
                    <w:right w:w="0" w:type="dxa"/>
                  </w:tcMar>
                  <w:vAlign w:val="center"/>
                </w:tcPr>
                <w:p w14:paraId="441925AF">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36.7</w:t>
                  </w:r>
                </w:p>
              </w:tc>
              <w:tc>
                <w:tcPr>
                  <w:tcW w:w="467" w:type="dxa"/>
                  <w:shd w:val="clear" w:color="auto" w:fill="auto"/>
                  <w:tcMar>
                    <w:top w:w="0" w:type="dxa"/>
                    <w:left w:w="0" w:type="dxa"/>
                    <w:bottom w:w="0" w:type="dxa"/>
                    <w:right w:w="0" w:type="dxa"/>
                  </w:tcMar>
                  <w:vAlign w:val="center"/>
                </w:tcPr>
                <w:p w14:paraId="327DA120">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36.2</w:t>
                  </w:r>
                </w:p>
              </w:tc>
              <w:tc>
                <w:tcPr>
                  <w:tcW w:w="460" w:type="dxa"/>
                  <w:shd w:val="clear" w:color="auto" w:fill="auto"/>
                  <w:tcMar>
                    <w:top w:w="0" w:type="dxa"/>
                    <w:left w:w="0" w:type="dxa"/>
                    <w:bottom w:w="0" w:type="dxa"/>
                    <w:right w:w="0" w:type="dxa"/>
                  </w:tcMar>
                  <w:vAlign w:val="center"/>
                </w:tcPr>
                <w:p w14:paraId="34100A60">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61.0</w:t>
                  </w:r>
                </w:p>
              </w:tc>
              <w:tc>
                <w:tcPr>
                  <w:tcW w:w="460" w:type="dxa"/>
                  <w:shd w:val="clear" w:color="auto" w:fill="auto"/>
                  <w:tcMar>
                    <w:top w:w="0" w:type="dxa"/>
                    <w:left w:w="0" w:type="dxa"/>
                    <w:bottom w:w="0" w:type="dxa"/>
                    <w:right w:w="0" w:type="dxa"/>
                  </w:tcMar>
                  <w:vAlign w:val="center"/>
                </w:tcPr>
                <w:p w14:paraId="572CA6C0">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61.1</w:t>
                  </w:r>
                </w:p>
              </w:tc>
              <w:tc>
                <w:tcPr>
                  <w:tcW w:w="460" w:type="dxa"/>
                  <w:shd w:val="clear" w:color="auto" w:fill="auto"/>
                  <w:tcMar>
                    <w:top w:w="0" w:type="dxa"/>
                    <w:left w:w="0" w:type="dxa"/>
                    <w:bottom w:w="0" w:type="dxa"/>
                    <w:right w:w="0" w:type="dxa"/>
                  </w:tcMar>
                  <w:vAlign w:val="center"/>
                </w:tcPr>
                <w:p w14:paraId="44B8BF4B">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61.0</w:t>
                  </w:r>
                </w:p>
              </w:tc>
              <w:tc>
                <w:tcPr>
                  <w:tcW w:w="462" w:type="dxa"/>
                  <w:shd w:val="clear" w:color="auto" w:fill="auto"/>
                  <w:tcMar>
                    <w:top w:w="0" w:type="dxa"/>
                    <w:left w:w="0" w:type="dxa"/>
                    <w:bottom w:w="0" w:type="dxa"/>
                    <w:right w:w="0" w:type="dxa"/>
                  </w:tcMar>
                  <w:vAlign w:val="center"/>
                </w:tcPr>
                <w:p w14:paraId="1AFFC830">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61.0</w:t>
                  </w:r>
                </w:p>
              </w:tc>
              <w:tc>
                <w:tcPr>
                  <w:tcW w:w="445" w:type="dxa"/>
                  <w:vMerge w:val="continue"/>
                  <w:shd w:val="clear" w:color="auto" w:fill="auto"/>
                  <w:tcMar>
                    <w:top w:w="0" w:type="dxa"/>
                    <w:left w:w="0" w:type="dxa"/>
                    <w:bottom w:w="0" w:type="dxa"/>
                    <w:right w:w="0" w:type="dxa"/>
                  </w:tcMar>
                  <w:vAlign w:val="center"/>
                </w:tcPr>
                <w:p w14:paraId="0E888B2D">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 w:val="21"/>
                      <w:szCs w:val="21"/>
                    </w:rPr>
                  </w:pPr>
                </w:p>
              </w:tc>
              <w:tc>
                <w:tcPr>
                  <w:tcW w:w="444" w:type="dxa"/>
                  <w:shd w:val="clear" w:color="auto" w:fill="auto"/>
                  <w:tcMar>
                    <w:top w:w="0" w:type="dxa"/>
                    <w:left w:w="0" w:type="dxa"/>
                    <w:bottom w:w="0" w:type="dxa"/>
                    <w:right w:w="0" w:type="dxa"/>
                  </w:tcMar>
                  <w:vAlign w:val="center"/>
                </w:tcPr>
                <w:p w14:paraId="72267109">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20.0</w:t>
                  </w:r>
                </w:p>
              </w:tc>
              <w:tc>
                <w:tcPr>
                  <w:tcW w:w="444" w:type="dxa"/>
                  <w:shd w:val="clear" w:color="auto" w:fill="auto"/>
                  <w:tcMar>
                    <w:top w:w="0" w:type="dxa"/>
                    <w:left w:w="0" w:type="dxa"/>
                    <w:bottom w:w="0" w:type="dxa"/>
                    <w:right w:w="0" w:type="dxa"/>
                  </w:tcMar>
                  <w:vAlign w:val="center"/>
                </w:tcPr>
                <w:p w14:paraId="117B8F6C">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20.0</w:t>
                  </w:r>
                </w:p>
              </w:tc>
              <w:tc>
                <w:tcPr>
                  <w:tcW w:w="444" w:type="dxa"/>
                  <w:shd w:val="clear" w:color="auto" w:fill="auto"/>
                  <w:tcMar>
                    <w:top w:w="0" w:type="dxa"/>
                    <w:left w:w="0" w:type="dxa"/>
                    <w:bottom w:w="0" w:type="dxa"/>
                    <w:right w:w="0" w:type="dxa"/>
                  </w:tcMar>
                  <w:vAlign w:val="center"/>
                </w:tcPr>
                <w:p w14:paraId="5A1AED05">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20.0</w:t>
                  </w:r>
                </w:p>
              </w:tc>
              <w:tc>
                <w:tcPr>
                  <w:tcW w:w="444" w:type="dxa"/>
                  <w:shd w:val="clear" w:color="auto" w:fill="auto"/>
                  <w:tcMar>
                    <w:top w:w="0" w:type="dxa"/>
                    <w:left w:w="0" w:type="dxa"/>
                    <w:bottom w:w="0" w:type="dxa"/>
                    <w:right w:w="0" w:type="dxa"/>
                  </w:tcMar>
                  <w:vAlign w:val="center"/>
                </w:tcPr>
                <w:p w14:paraId="09D371DA">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20.0</w:t>
                  </w:r>
                </w:p>
              </w:tc>
              <w:tc>
                <w:tcPr>
                  <w:tcW w:w="470" w:type="dxa"/>
                  <w:shd w:val="clear" w:color="auto" w:fill="auto"/>
                  <w:tcMar>
                    <w:top w:w="0" w:type="dxa"/>
                    <w:left w:w="0" w:type="dxa"/>
                    <w:bottom w:w="0" w:type="dxa"/>
                    <w:right w:w="0" w:type="dxa"/>
                  </w:tcMar>
                  <w:vAlign w:val="center"/>
                </w:tcPr>
                <w:p w14:paraId="2DC95120">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41.0</w:t>
                  </w:r>
                </w:p>
              </w:tc>
              <w:tc>
                <w:tcPr>
                  <w:tcW w:w="470" w:type="dxa"/>
                  <w:shd w:val="clear" w:color="auto" w:fill="auto"/>
                  <w:tcMar>
                    <w:top w:w="0" w:type="dxa"/>
                    <w:left w:w="0" w:type="dxa"/>
                    <w:bottom w:w="0" w:type="dxa"/>
                    <w:right w:w="0" w:type="dxa"/>
                  </w:tcMar>
                  <w:vAlign w:val="center"/>
                </w:tcPr>
                <w:p w14:paraId="513EA158">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41.1</w:t>
                  </w:r>
                </w:p>
              </w:tc>
              <w:tc>
                <w:tcPr>
                  <w:tcW w:w="470" w:type="dxa"/>
                  <w:shd w:val="clear" w:color="auto" w:fill="auto"/>
                  <w:tcMar>
                    <w:top w:w="0" w:type="dxa"/>
                    <w:left w:w="0" w:type="dxa"/>
                    <w:bottom w:w="0" w:type="dxa"/>
                    <w:right w:w="0" w:type="dxa"/>
                  </w:tcMar>
                  <w:vAlign w:val="center"/>
                </w:tcPr>
                <w:p w14:paraId="18C65588">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41.0</w:t>
                  </w:r>
                </w:p>
              </w:tc>
              <w:tc>
                <w:tcPr>
                  <w:tcW w:w="471" w:type="dxa"/>
                  <w:shd w:val="clear" w:color="auto" w:fill="auto"/>
                  <w:tcMar>
                    <w:top w:w="0" w:type="dxa"/>
                    <w:left w:w="0" w:type="dxa"/>
                    <w:bottom w:w="0" w:type="dxa"/>
                    <w:right w:w="0" w:type="dxa"/>
                  </w:tcMar>
                  <w:vAlign w:val="center"/>
                </w:tcPr>
                <w:p w14:paraId="4C21C0A7">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41.0</w:t>
                  </w:r>
                </w:p>
              </w:tc>
              <w:tc>
                <w:tcPr>
                  <w:tcW w:w="648" w:type="dxa"/>
                  <w:shd w:val="clear" w:color="auto" w:fill="auto"/>
                  <w:tcMar>
                    <w:top w:w="0" w:type="dxa"/>
                    <w:left w:w="0" w:type="dxa"/>
                    <w:bottom w:w="0" w:type="dxa"/>
                    <w:right w:w="0" w:type="dxa"/>
                  </w:tcMar>
                  <w:vAlign w:val="center"/>
                </w:tcPr>
                <w:p w14:paraId="73795EFB">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1</w:t>
                  </w:r>
                </w:p>
              </w:tc>
            </w:tr>
            <w:tr w14:paraId="57DD3A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482" w:type="dxa"/>
                  <w:shd w:val="clear" w:color="auto" w:fill="auto"/>
                  <w:vAlign w:val="center"/>
                </w:tcPr>
                <w:p w14:paraId="013F70A1">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34</w:t>
                  </w:r>
                </w:p>
              </w:tc>
              <w:tc>
                <w:tcPr>
                  <w:tcW w:w="485" w:type="dxa"/>
                  <w:vMerge w:val="continue"/>
                  <w:shd w:val="clear" w:color="auto" w:fill="auto"/>
                  <w:tcMar>
                    <w:top w:w="0" w:type="dxa"/>
                    <w:left w:w="0" w:type="dxa"/>
                    <w:bottom w:w="0" w:type="dxa"/>
                    <w:right w:w="0" w:type="dxa"/>
                  </w:tcMar>
                  <w:vAlign w:val="center"/>
                </w:tcPr>
                <w:p w14:paraId="4FCB639D">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 w:val="21"/>
                      <w:szCs w:val="21"/>
                    </w:rPr>
                  </w:pPr>
                </w:p>
              </w:tc>
              <w:tc>
                <w:tcPr>
                  <w:tcW w:w="541" w:type="dxa"/>
                  <w:shd w:val="clear" w:color="auto" w:fill="auto"/>
                  <w:tcMar>
                    <w:top w:w="0" w:type="dxa"/>
                    <w:left w:w="0" w:type="dxa"/>
                    <w:bottom w:w="0" w:type="dxa"/>
                    <w:right w:w="0" w:type="dxa"/>
                  </w:tcMar>
                  <w:vAlign w:val="center"/>
                </w:tcPr>
                <w:p w14:paraId="4A6920CB">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激光打样机</w:t>
                  </w:r>
                </w:p>
              </w:tc>
              <w:tc>
                <w:tcPr>
                  <w:tcW w:w="413" w:type="dxa"/>
                  <w:shd w:val="clear" w:color="auto" w:fill="auto"/>
                  <w:tcMar>
                    <w:top w:w="0" w:type="dxa"/>
                    <w:left w:w="0" w:type="dxa"/>
                    <w:bottom w:w="0" w:type="dxa"/>
                    <w:right w:w="0" w:type="dxa"/>
                  </w:tcMar>
                  <w:vAlign w:val="center"/>
                </w:tcPr>
                <w:p w14:paraId="03988485">
                  <w:pPr>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color w:val="auto"/>
                      <w:sz w:val="21"/>
                      <w:szCs w:val="21"/>
                      <w:highlight w:val="none"/>
                      <w:lang w:val="en-US" w:eastAsia="en-US" w:bidi="ar-SA"/>
                    </w:rPr>
                  </w:pPr>
                  <w:r>
                    <w:rPr>
                      <w:rFonts w:hint="default" w:ascii="Times New Roman" w:hAnsi="Times New Roman" w:eastAsia="宋体" w:cs="Times New Roman"/>
                      <w:color w:val="auto"/>
                      <w:sz w:val="21"/>
                      <w:szCs w:val="21"/>
                      <w:highlight w:val="none"/>
                    </w:rPr>
                    <w:t>650</w:t>
                  </w:r>
                </w:p>
              </w:tc>
              <w:tc>
                <w:tcPr>
                  <w:tcW w:w="637" w:type="dxa"/>
                  <w:shd w:val="clear" w:color="auto" w:fill="auto"/>
                  <w:tcMar>
                    <w:top w:w="0" w:type="dxa"/>
                    <w:left w:w="0" w:type="dxa"/>
                    <w:bottom w:w="0" w:type="dxa"/>
                    <w:right w:w="0" w:type="dxa"/>
                  </w:tcMar>
                  <w:vAlign w:val="center"/>
                </w:tcPr>
                <w:p w14:paraId="7354000F">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70/1</w:t>
                  </w:r>
                </w:p>
              </w:tc>
              <w:tc>
                <w:tcPr>
                  <w:tcW w:w="553" w:type="dxa"/>
                  <w:vMerge w:val="continue"/>
                  <w:shd w:val="clear" w:color="auto" w:fill="auto"/>
                  <w:tcMar>
                    <w:top w:w="0" w:type="dxa"/>
                    <w:left w:w="0" w:type="dxa"/>
                    <w:bottom w:w="0" w:type="dxa"/>
                    <w:right w:w="0" w:type="dxa"/>
                  </w:tcMar>
                  <w:vAlign w:val="center"/>
                </w:tcPr>
                <w:p w14:paraId="362515F8">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 w:val="21"/>
                      <w:szCs w:val="21"/>
                    </w:rPr>
                  </w:pPr>
                </w:p>
              </w:tc>
              <w:tc>
                <w:tcPr>
                  <w:tcW w:w="563" w:type="dxa"/>
                  <w:shd w:val="clear" w:color="auto" w:fill="auto"/>
                  <w:tcMar>
                    <w:top w:w="0" w:type="dxa"/>
                    <w:left w:w="0" w:type="dxa"/>
                    <w:bottom w:w="0" w:type="dxa"/>
                    <w:right w:w="0" w:type="dxa"/>
                  </w:tcMar>
                  <w:vAlign w:val="center"/>
                </w:tcPr>
                <w:p w14:paraId="589006F3">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46.4</w:t>
                  </w:r>
                </w:p>
              </w:tc>
              <w:tc>
                <w:tcPr>
                  <w:tcW w:w="563" w:type="dxa"/>
                  <w:shd w:val="clear" w:color="auto" w:fill="auto"/>
                  <w:tcMar>
                    <w:top w:w="0" w:type="dxa"/>
                    <w:left w:w="0" w:type="dxa"/>
                    <w:bottom w:w="0" w:type="dxa"/>
                    <w:right w:w="0" w:type="dxa"/>
                  </w:tcMar>
                  <w:vAlign w:val="center"/>
                </w:tcPr>
                <w:p w14:paraId="13FBC82F">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0.8</w:t>
                  </w:r>
                </w:p>
              </w:tc>
              <w:tc>
                <w:tcPr>
                  <w:tcW w:w="564" w:type="dxa"/>
                  <w:shd w:val="clear" w:color="auto" w:fill="auto"/>
                  <w:tcMar>
                    <w:top w:w="0" w:type="dxa"/>
                    <w:left w:w="0" w:type="dxa"/>
                    <w:bottom w:w="0" w:type="dxa"/>
                    <w:right w:w="0" w:type="dxa"/>
                  </w:tcMar>
                  <w:vAlign w:val="center"/>
                </w:tcPr>
                <w:p w14:paraId="77A04FA6">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1.2</w:t>
                  </w:r>
                </w:p>
              </w:tc>
              <w:tc>
                <w:tcPr>
                  <w:tcW w:w="466" w:type="dxa"/>
                  <w:shd w:val="clear" w:color="auto" w:fill="auto"/>
                  <w:tcMar>
                    <w:top w:w="0" w:type="dxa"/>
                    <w:left w:w="0" w:type="dxa"/>
                    <w:bottom w:w="0" w:type="dxa"/>
                    <w:right w:w="0" w:type="dxa"/>
                  </w:tcMar>
                  <w:vAlign w:val="center"/>
                </w:tcPr>
                <w:p w14:paraId="1FE81046">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37.5</w:t>
                  </w:r>
                </w:p>
              </w:tc>
              <w:tc>
                <w:tcPr>
                  <w:tcW w:w="466" w:type="dxa"/>
                  <w:shd w:val="clear" w:color="auto" w:fill="auto"/>
                  <w:tcMar>
                    <w:top w:w="0" w:type="dxa"/>
                    <w:left w:w="0" w:type="dxa"/>
                    <w:bottom w:w="0" w:type="dxa"/>
                    <w:right w:w="0" w:type="dxa"/>
                  </w:tcMar>
                  <w:vAlign w:val="center"/>
                </w:tcPr>
                <w:p w14:paraId="28BB74C4">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19.1</w:t>
                  </w:r>
                </w:p>
              </w:tc>
              <w:tc>
                <w:tcPr>
                  <w:tcW w:w="466" w:type="dxa"/>
                  <w:shd w:val="clear" w:color="auto" w:fill="auto"/>
                  <w:tcMar>
                    <w:top w:w="0" w:type="dxa"/>
                    <w:left w:w="0" w:type="dxa"/>
                    <w:bottom w:w="0" w:type="dxa"/>
                    <w:right w:w="0" w:type="dxa"/>
                  </w:tcMar>
                  <w:vAlign w:val="center"/>
                </w:tcPr>
                <w:p w14:paraId="2EBEB622">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45.4</w:t>
                  </w:r>
                </w:p>
              </w:tc>
              <w:tc>
                <w:tcPr>
                  <w:tcW w:w="467" w:type="dxa"/>
                  <w:shd w:val="clear" w:color="auto" w:fill="auto"/>
                  <w:tcMar>
                    <w:top w:w="0" w:type="dxa"/>
                    <w:left w:w="0" w:type="dxa"/>
                    <w:bottom w:w="0" w:type="dxa"/>
                    <w:right w:w="0" w:type="dxa"/>
                  </w:tcMar>
                  <w:vAlign w:val="center"/>
                </w:tcPr>
                <w:p w14:paraId="44B81B78">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37.7</w:t>
                  </w:r>
                </w:p>
              </w:tc>
              <w:tc>
                <w:tcPr>
                  <w:tcW w:w="460" w:type="dxa"/>
                  <w:shd w:val="clear" w:color="auto" w:fill="auto"/>
                  <w:tcMar>
                    <w:top w:w="0" w:type="dxa"/>
                    <w:left w:w="0" w:type="dxa"/>
                    <w:bottom w:w="0" w:type="dxa"/>
                    <w:right w:w="0" w:type="dxa"/>
                  </w:tcMar>
                  <w:vAlign w:val="center"/>
                </w:tcPr>
                <w:p w14:paraId="78C6A2A9">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55.0</w:t>
                  </w:r>
                </w:p>
              </w:tc>
              <w:tc>
                <w:tcPr>
                  <w:tcW w:w="460" w:type="dxa"/>
                  <w:shd w:val="clear" w:color="auto" w:fill="auto"/>
                  <w:tcMar>
                    <w:top w:w="0" w:type="dxa"/>
                    <w:left w:w="0" w:type="dxa"/>
                    <w:bottom w:w="0" w:type="dxa"/>
                    <w:right w:w="0" w:type="dxa"/>
                  </w:tcMar>
                  <w:vAlign w:val="center"/>
                </w:tcPr>
                <w:p w14:paraId="6F3EE4E6">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55.1</w:t>
                  </w:r>
                </w:p>
              </w:tc>
              <w:tc>
                <w:tcPr>
                  <w:tcW w:w="460" w:type="dxa"/>
                  <w:shd w:val="clear" w:color="auto" w:fill="auto"/>
                  <w:tcMar>
                    <w:top w:w="0" w:type="dxa"/>
                    <w:left w:w="0" w:type="dxa"/>
                    <w:bottom w:w="0" w:type="dxa"/>
                    <w:right w:w="0" w:type="dxa"/>
                  </w:tcMar>
                  <w:vAlign w:val="center"/>
                </w:tcPr>
                <w:p w14:paraId="5BDB6271">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55.0</w:t>
                  </w:r>
                </w:p>
              </w:tc>
              <w:tc>
                <w:tcPr>
                  <w:tcW w:w="462" w:type="dxa"/>
                  <w:shd w:val="clear" w:color="auto" w:fill="auto"/>
                  <w:tcMar>
                    <w:top w:w="0" w:type="dxa"/>
                    <w:left w:w="0" w:type="dxa"/>
                    <w:bottom w:w="0" w:type="dxa"/>
                    <w:right w:w="0" w:type="dxa"/>
                  </w:tcMar>
                  <w:vAlign w:val="center"/>
                </w:tcPr>
                <w:p w14:paraId="75F101A5">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55.0</w:t>
                  </w:r>
                </w:p>
              </w:tc>
              <w:tc>
                <w:tcPr>
                  <w:tcW w:w="445" w:type="dxa"/>
                  <w:vMerge w:val="continue"/>
                  <w:shd w:val="clear" w:color="auto" w:fill="auto"/>
                  <w:tcMar>
                    <w:top w:w="0" w:type="dxa"/>
                    <w:left w:w="0" w:type="dxa"/>
                    <w:bottom w:w="0" w:type="dxa"/>
                    <w:right w:w="0" w:type="dxa"/>
                  </w:tcMar>
                  <w:vAlign w:val="center"/>
                </w:tcPr>
                <w:p w14:paraId="092F0BF2">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 w:val="21"/>
                      <w:szCs w:val="21"/>
                    </w:rPr>
                  </w:pPr>
                </w:p>
              </w:tc>
              <w:tc>
                <w:tcPr>
                  <w:tcW w:w="444" w:type="dxa"/>
                  <w:shd w:val="clear" w:color="auto" w:fill="auto"/>
                  <w:tcMar>
                    <w:top w:w="0" w:type="dxa"/>
                    <w:left w:w="0" w:type="dxa"/>
                    <w:bottom w:w="0" w:type="dxa"/>
                    <w:right w:w="0" w:type="dxa"/>
                  </w:tcMar>
                  <w:vAlign w:val="center"/>
                </w:tcPr>
                <w:p w14:paraId="3B546B63">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20.0</w:t>
                  </w:r>
                </w:p>
              </w:tc>
              <w:tc>
                <w:tcPr>
                  <w:tcW w:w="444" w:type="dxa"/>
                  <w:shd w:val="clear" w:color="auto" w:fill="auto"/>
                  <w:tcMar>
                    <w:top w:w="0" w:type="dxa"/>
                    <w:left w:w="0" w:type="dxa"/>
                    <w:bottom w:w="0" w:type="dxa"/>
                    <w:right w:w="0" w:type="dxa"/>
                  </w:tcMar>
                  <w:vAlign w:val="center"/>
                </w:tcPr>
                <w:p w14:paraId="4097BEDE">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20.0</w:t>
                  </w:r>
                </w:p>
              </w:tc>
              <w:tc>
                <w:tcPr>
                  <w:tcW w:w="444" w:type="dxa"/>
                  <w:shd w:val="clear" w:color="auto" w:fill="auto"/>
                  <w:tcMar>
                    <w:top w:w="0" w:type="dxa"/>
                    <w:left w:w="0" w:type="dxa"/>
                    <w:bottom w:w="0" w:type="dxa"/>
                    <w:right w:w="0" w:type="dxa"/>
                  </w:tcMar>
                  <w:vAlign w:val="center"/>
                </w:tcPr>
                <w:p w14:paraId="42EBE090">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20.0</w:t>
                  </w:r>
                </w:p>
              </w:tc>
              <w:tc>
                <w:tcPr>
                  <w:tcW w:w="444" w:type="dxa"/>
                  <w:shd w:val="clear" w:color="auto" w:fill="auto"/>
                  <w:tcMar>
                    <w:top w:w="0" w:type="dxa"/>
                    <w:left w:w="0" w:type="dxa"/>
                    <w:bottom w:w="0" w:type="dxa"/>
                    <w:right w:w="0" w:type="dxa"/>
                  </w:tcMar>
                  <w:vAlign w:val="center"/>
                </w:tcPr>
                <w:p w14:paraId="357EAEDB">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20.0</w:t>
                  </w:r>
                </w:p>
              </w:tc>
              <w:tc>
                <w:tcPr>
                  <w:tcW w:w="470" w:type="dxa"/>
                  <w:shd w:val="clear" w:color="auto" w:fill="auto"/>
                  <w:tcMar>
                    <w:top w:w="0" w:type="dxa"/>
                    <w:left w:w="0" w:type="dxa"/>
                    <w:bottom w:w="0" w:type="dxa"/>
                    <w:right w:w="0" w:type="dxa"/>
                  </w:tcMar>
                  <w:vAlign w:val="center"/>
                </w:tcPr>
                <w:p w14:paraId="79081378">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35.0</w:t>
                  </w:r>
                </w:p>
              </w:tc>
              <w:tc>
                <w:tcPr>
                  <w:tcW w:w="470" w:type="dxa"/>
                  <w:shd w:val="clear" w:color="auto" w:fill="auto"/>
                  <w:tcMar>
                    <w:top w:w="0" w:type="dxa"/>
                    <w:left w:w="0" w:type="dxa"/>
                    <w:bottom w:w="0" w:type="dxa"/>
                    <w:right w:w="0" w:type="dxa"/>
                  </w:tcMar>
                  <w:vAlign w:val="center"/>
                </w:tcPr>
                <w:p w14:paraId="3B7544A5">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35.1</w:t>
                  </w:r>
                </w:p>
              </w:tc>
              <w:tc>
                <w:tcPr>
                  <w:tcW w:w="470" w:type="dxa"/>
                  <w:shd w:val="clear" w:color="auto" w:fill="auto"/>
                  <w:tcMar>
                    <w:top w:w="0" w:type="dxa"/>
                    <w:left w:w="0" w:type="dxa"/>
                    <w:bottom w:w="0" w:type="dxa"/>
                    <w:right w:w="0" w:type="dxa"/>
                  </w:tcMar>
                  <w:vAlign w:val="center"/>
                </w:tcPr>
                <w:p w14:paraId="1CA3A06F">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35.0</w:t>
                  </w:r>
                </w:p>
              </w:tc>
              <w:tc>
                <w:tcPr>
                  <w:tcW w:w="471" w:type="dxa"/>
                  <w:shd w:val="clear" w:color="auto" w:fill="auto"/>
                  <w:tcMar>
                    <w:top w:w="0" w:type="dxa"/>
                    <w:left w:w="0" w:type="dxa"/>
                    <w:bottom w:w="0" w:type="dxa"/>
                    <w:right w:w="0" w:type="dxa"/>
                  </w:tcMar>
                  <w:vAlign w:val="center"/>
                </w:tcPr>
                <w:p w14:paraId="1D2FE31E">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35.0</w:t>
                  </w:r>
                </w:p>
              </w:tc>
              <w:tc>
                <w:tcPr>
                  <w:tcW w:w="648" w:type="dxa"/>
                  <w:shd w:val="clear" w:color="auto" w:fill="auto"/>
                  <w:tcMar>
                    <w:top w:w="0" w:type="dxa"/>
                    <w:left w:w="0" w:type="dxa"/>
                    <w:bottom w:w="0" w:type="dxa"/>
                    <w:right w:w="0" w:type="dxa"/>
                  </w:tcMar>
                  <w:vAlign w:val="center"/>
                </w:tcPr>
                <w:p w14:paraId="0E7C04C4">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1</w:t>
                  </w:r>
                </w:p>
              </w:tc>
            </w:tr>
            <w:tr w14:paraId="711473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23" w:hRule="atLeast"/>
                <w:jc w:val="center"/>
              </w:trPr>
              <w:tc>
                <w:tcPr>
                  <w:tcW w:w="482" w:type="dxa"/>
                  <w:shd w:val="clear" w:color="auto" w:fill="auto"/>
                  <w:vAlign w:val="center"/>
                </w:tcPr>
                <w:p w14:paraId="727875EF">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35</w:t>
                  </w:r>
                </w:p>
              </w:tc>
              <w:tc>
                <w:tcPr>
                  <w:tcW w:w="485" w:type="dxa"/>
                  <w:vMerge w:val="continue"/>
                  <w:shd w:val="clear" w:color="auto" w:fill="auto"/>
                  <w:tcMar>
                    <w:top w:w="0" w:type="dxa"/>
                    <w:left w:w="0" w:type="dxa"/>
                    <w:bottom w:w="0" w:type="dxa"/>
                    <w:right w:w="0" w:type="dxa"/>
                  </w:tcMar>
                  <w:vAlign w:val="center"/>
                </w:tcPr>
                <w:p w14:paraId="3A4BFCFF">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 w:val="21"/>
                      <w:szCs w:val="21"/>
                    </w:rPr>
                  </w:pPr>
                </w:p>
              </w:tc>
              <w:tc>
                <w:tcPr>
                  <w:tcW w:w="541" w:type="dxa"/>
                  <w:shd w:val="clear" w:color="auto" w:fill="auto"/>
                  <w:tcMar>
                    <w:top w:w="0" w:type="dxa"/>
                    <w:left w:w="0" w:type="dxa"/>
                    <w:bottom w:w="0" w:type="dxa"/>
                    <w:right w:w="0" w:type="dxa"/>
                  </w:tcMar>
                  <w:vAlign w:val="center"/>
                </w:tcPr>
                <w:p w14:paraId="1F2F8142">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多功能分条机</w:t>
                  </w:r>
                </w:p>
              </w:tc>
              <w:tc>
                <w:tcPr>
                  <w:tcW w:w="413" w:type="dxa"/>
                  <w:shd w:val="clear" w:color="auto" w:fill="auto"/>
                  <w:tcMar>
                    <w:top w:w="0" w:type="dxa"/>
                    <w:left w:w="0" w:type="dxa"/>
                    <w:bottom w:w="0" w:type="dxa"/>
                    <w:right w:w="0" w:type="dxa"/>
                  </w:tcMar>
                  <w:vAlign w:val="center"/>
                </w:tcPr>
                <w:p w14:paraId="69522EEB">
                  <w:pPr>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color w:val="auto"/>
                      <w:sz w:val="21"/>
                      <w:szCs w:val="21"/>
                      <w:highlight w:val="none"/>
                      <w:lang w:val="en-US" w:eastAsia="en-US" w:bidi="ar-SA"/>
                    </w:rPr>
                  </w:pPr>
                  <w:r>
                    <w:rPr>
                      <w:rFonts w:hint="default" w:ascii="Times New Roman" w:hAnsi="Times New Roman" w:eastAsia="宋体" w:cs="Times New Roman"/>
                      <w:color w:val="auto"/>
                      <w:sz w:val="21"/>
                      <w:szCs w:val="21"/>
                      <w:highlight w:val="none"/>
                    </w:rPr>
                    <w:t>350</w:t>
                  </w:r>
                </w:p>
              </w:tc>
              <w:tc>
                <w:tcPr>
                  <w:tcW w:w="637" w:type="dxa"/>
                  <w:shd w:val="clear" w:color="auto" w:fill="auto"/>
                  <w:tcMar>
                    <w:top w:w="0" w:type="dxa"/>
                    <w:left w:w="0" w:type="dxa"/>
                    <w:bottom w:w="0" w:type="dxa"/>
                    <w:right w:w="0" w:type="dxa"/>
                  </w:tcMar>
                  <w:vAlign w:val="center"/>
                </w:tcPr>
                <w:p w14:paraId="54B6DE10">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70/1</w:t>
                  </w:r>
                </w:p>
              </w:tc>
              <w:tc>
                <w:tcPr>
                  <w:tcW w:w="553" w:type="dxa"/>
                  <w:vMerge w:val="continue"/>
                  <w:shd w:val="clear" w:color="auto" w:fill="auto"/>
                  <w:tcMar>
                    <w:top w:w="0" w:type="dxa"/>
                    <w:left w:w="0" w:type="dxa"/>
                    <w:bottom w:w="0" w:type="dxa"/>
                    <w:right w:w="0" w:type="dxa"/>
                  </w:tcMar>
                  <w:vAlign w:val="center"/>
                </w:tcPr>
                <w:p w14:paraId="7E9401F8">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 w:val="21"/>
                      <w:szCs w:val="21"/>
                    </w:rPr>
                  </w:pPr>
                </w:p>
              </w:tc>
              <w:tc>
                <w:tcPr>
                  <w:tcW w:w="563" w:type="dxa"/>
                  <w:shd w:val="clear" w:color="auto" w:fill="auto"/>
                  <w:tcMar>
                    <w:top w:w="0" w:type="dxa"/>
                    <w:left w:w="0" w:type="dxa"/>
                    <w:bottom w:w="0" w:type="dxa"/>
                    <w:right w:w="0" w:type="dxa"/>
                  </w:tcMar>
                  <w:vAlign w:val="center"/>
                </w:tcPr>
                <w:p w14:paraId="5D481E19">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42.7</w:t>
                  </w:r>
                </w:p>
              </w:tc>
              <w:tc>
                <w:tcPr>
                  <w:tcW w:w="563" w:type="dxa"/>
                  <w:shd w:val="clear" w:color="auto" w:fill="auto"/>
                  <w:tcMar>
                    <w:top w:w="0" w:type="dxa"/>
                    <w:left w:w="0" w:type="dxa"/>
                    <w:bottom w:w="0" w:type="dxa"/>
                    <w:right w:w="0" w:type="dxa"/>
                  </w:tcMar>
                  <w:vAlign w:val="center"/>
                </w:tcPr>
                <w:p w14:paraId="21C0C090">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2.5</w:t>
                  </w:r>
                </w:p>
              </w:tc>
              <w:tc>
                <w:tcPr>
                  <w:tcW w:w="564" w:type="dxa"/>
                  <w:shd w:val="clear" w:color="auto" w:fill="auto"/>
                  <w:tcMar>
                    <w:top w:w="0" w:type="dxa"/>
                    <w:left w:w="0" w:type="dxa"/>
                    <w:bottom w:w="0" w:type="dxa"/>
                    <w:right w:w="0" w:type="dxa"/>
                  </w:tcMar>
                  <w:vAlign w:val="center"/>
                </w:tcPr>
                <w:p w14:paraId="78EDF9EC">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1.2</w:t>
                  </w:r>
                </w:p>
              </w:tc>
              <w:tc>
                <w:tcPr>
                  <w:tcW w:w="466" w:type="dxa"/>
                  <w:shd w:val="clear" w:color="auto" w:fill="auto"/>
                  <w:tcMar>
                    <w:top w:w="0" w:type="dxa"/>
                    <w:left w:w="0" w:type="dxa"/>
                    <w:bottom w:w="0" w:type="dxa"/>
                    <w:right w:w="0" w:type="dxa"/>
                  </w:tcMar>
                  <w:vAlign w:val="center"/>
                </w:tcPr>
                <w:p w14:paraId="2089068F">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40.7</w:t>
                  </w:r>
                </w:p>
              </w:tc>
              <w:tc>
                <w:tcPr>
                  <w:tcW w:w="466" w:type="dxa"/>
                  <w:shd w:val="clear" w:color="auto" w:fill="auto"/>
                  <w:tcMar>
                    <w:top w:w="0" w:type="dxa"/>
                    <w:left w:w="0" w:type="dxa"/>
                    <w:bottom w:w="0" w:type="dxa"/>
                    <w:right w:w="0" w:type="dxa"/>
                  </w:tcMar>
                  <w:vAlign w:val="center"/>
                </w:tcPr>
                <w:p w14:paraId="3896386F">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21.6</w:t>
                  </w:r>
                </w:p>
              </w:tc>
              <w:tc>
                <w:tcPr>
                  <w:tcW w:w="466" w:type="dxa"/>
                  <w:shd w:val="clear" w:color="auto" w:fill="auto"/>
                  <w:tcMar>
                    <w:top w:w="0" w:type="dxa"/>
                    <w:left w:w="0" w:type="dxa"/>
                    <w:bottom w:w="0" w:type="dxa"/>
                    <w:right w:w="0" w:type="dxa"/>
                  </w:tcMar>
                  <w:vAlign w:val="center"/>
                </w:tcPr>
                <w:p w14:paraId="336C18D2">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42.1</w:t>
                  </w:r>
                </w:p>
              </w:tc>
              <w:tc>
                <w:tcPr>
                  <w:tcW w:w="467" w:type="dxa"/>
                  <w:shd w:val="clear" w:color="auto" w:fill="auto"/>
                  <w:tcMar>
                    <w:top w:w="0" w:type="dxa"/>
                    <w:left w:w="0" w:type="dxa"/>
                    <w:bottom w:w="0" w:type="dxa"/>
                    <w:right w:w="0" w:type="dxa"/>
                  </w:tcMar>
                  <w:vAlign w:val="center"/>
                </w:tcPr>
                <w:p w14:paraId="4A350DC7">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35.3</w:t>
                  </w:r>
                </w:p>
              </w:tc>
              <w:tc>
                <w:tcPr>
                  <w:tcW w:w="460" w:type="dxa"/>
                  <w:shd w:val="clear" w:color="auto" w:fill="auto"/>
                  <w:tcMar>
                    <w:top w:w="0" w:type="dxa"/>
                    <w:left w:w="0" w:type="dxa"/>
                    <w:bottom w:w="0" w:type="dxa"/>
                    <w:right w:w="0" w:type="dxa"/>
                  </w:tcMar>
                  <w:vAlign w:val="center"/>
                </w:tcPr>
                <w:p w14:paraId="23C35EA0">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55.0</w:t>
                  </w:r>
                </w:p>
              </w:tc>
              <w:tc>
                <w:tcPr>
                  <w:tcW w:w="460" w:type="dxa"/>
                  <w:shd w:val="clear" w:color="auto" w:fill="auto"/>
                  <w:tcMar>
                    <w:top w:w="0" w:type="dxa"/>
                    <w:left w:w="0" w:type="dxa"/>
                    <w:bottom w:w="0" w:type="dxa"/>
                    <w:right w:w="0" w:type="dxa"/>
                  </w:tcMar>
                  <w:vAlign w:val="center"/>
                </w:tcPr>
                <w:p w14:paraId="32514193">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55.1</w:t>
                  </w:r>
                </w:p>
              </w:tc>
              <w:tc>
                <w:tcPr>
                  <w:tcW w:w="460" w:type="dxa"/>
                  <w:shd w:val="clear" w:color="auto" w:fill="auto"/>
                  <w:tcMar>
                    <w:top w:w="0" w:type="dxa"/>
                    <w:left w:w="0" w:type="dxa"/>
                    <w:bottom w:w="0" w:type="dxa"/>
                    <w:right w:w="0" w:type="dxa"/>
                  </w:tcMar>
                  <w:vAlign w:val="center"/>
                </w:tcPr>
                <w:p w14:paraId="10389FA3">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55.0</w:t>
                  </w:r>
                </w:p>
              </w:tc>
              <w:tc>
                <w:tcPr>
                  <w:tcW w:w="462" w:type="dxa"/>
                  <w:shd w:val="clear" w:color="auto" w:fill="auto"/>
                  <w:tcMar>
                    <w:top w:w="0" w:type="dxa"/>
                    <w:left w:w="0" w:type="dxa"/>
                    <w:bottom w:w="0" w:type="dxa"/>
                    <w:right w:w="0" w:type="dxa"/>
                  </w:tcMar>
                  <w:vAlign w:val="center"/>
                </w:tcPr>
                <w:p w14:paraId="151C287D">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55.0</w:t>
                  </w:r>
                </w:p>
              </w:tc>
              <w:tc>
                <w:tcPr>
                  <w:tcW w:w="445" w:type="dxa"/>
                  <w:vMerge w:val="continue"/>
                  <w:shd w:val="clear" w:color="auto" w:fill="auto"/>
                  <w:tcMar>
                    <w:top w:w="0" w:type="dxa"/>
                    <w:left w:w="0" w:type="dxa"/>
                    <w:bottom w:w="0" w:type="dxa"/>
                    <w:right w:w="0" w:type="dxa"/>
                  </w:tcMar>
                  <w:vAlign w:val="center"/>
                </w:tcPr>
                <w:p w14:paraId="19E13995">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 w:val="21"/>
                      <w:szCs w:val="21"/>
                    </w:rPr>
                  </w:pPr>
                </w:p>
              </w:tc>
              <w:tc>
                <w:tcPr>
                  <w:tcW w:w="444" w:type="dxa"/>
                  <w:shd w:val="clear" w:color="auto" w:fill="auto"/>
                  <w:tcMar>
                    <w:top w:w="0" w:type="dxa"/>
                    <w:left w:w="0" w:type="dxa"/>
                    <w:bottom w:w="0" w:type="dxa"/>
                    <w:right w:w="0" w:type="dxa"/>
                  </w:tcMar>
                  <w:vAlign w:val="center"/>
                </w:tcPr>
                <w:p w14:paraId="56B4947A">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20.0</w:t>
                  </w:r>
                </w:p>
              </w:tc>
              <w:tc>
                <w:tcPr>
                  <w:tcW w:w="444" w:type="dxa"/>
                  <w:shd w:val="clear" w:color="auto" w:fill="auto"/>
                  <w:tcMar>
                    <w:top w:w="0" w:type="dxa"/>
                    <w:left w:w="0" w:type="dxa"/>
                    <w:bottom w:w="0" w:type="dxa"/>
                    <w:right w:w="0" w:type="dxa"/>
                  </w:tcMar>
                  <w:vAlign w:val="center"/>
                </w:tcPr>
                <w:p w14:paraId="56AE0E97">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20.0</w:t>
                  </w:r>
                </w:p>
              </w:tc>
              <w:tc>
                <w:tcPr>
                  <w:tcW w:w="444" w:type="dxa"/>
                  <w:shd w:val="clear" w:color="auto" w:fill="auto"/>
                  <w:tcMar>
                    <w:top w:w="0" w:type="dxa"/>
                    <w:left w:w="0" w:type="dxa"/>
                    <w:bottom w:w="0" w:type="dxa"/>
                    <w:right w:w="0" w:type="dxa"/>
                  </w:tcMar>
                  <w:vAlign w:val="center"/>
                </w:tcPr>
                <w:p w14:paraId="606C8E27">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20.0</w:t>
                  </w:r>
                </w:p>
              </w:tc>
              <w:tc>
                <w:tcPr>
                  <w:tcW w:w="444" w:type="dxa"/>
                  <w:shd w:val="clear" w:color="auto" w:fill="auto"/>
                  <w:tcMar>
                    <w:top w:w="0" w:type="dxa"/>
                    <w:left w:w="0" w:type="dxa"/>
                    <w:bottom w:w="0" w:type="dxa"/>
                    <w:right w:w="0" w:type="dxa"/>
                  </w:tcMar>
                  <w:vAlign w:val="center"/>
                </w:tcPr>
                <w:p w14:paraId="6EACFB57">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20.0</w:t>
                  </w:r>
                </w:p>
              </w:tc>
              <w:tc>
                <w:tcPr>
                  <w:tcW w:w="470" w:type="dxa"/>
                  <w:shd w:val="clear" w:color="auto" w:fill="auto"/>
                  <w:tcMar>
                    <w:top w:w="0" w:type="dxa"/>
                    <w:left w:w="0" w:type="dxa"/>
                    <w:bottom w:w="0" w:type="dxa"/>
                    <w:right w:w="0" w:type="dxa"/>
                  </w:tcMar>
                  <w:vAlign w:val="center"/>
                </w:tcPr>
                <w:p w14:paraId="4C088327">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35.0</w:t>
                  </w:r>
                </w:p>
              </w:tc>
              <w:tc>
                <w:tcPr>
                  <w:tcW w:w="470" w:type="dxa"/>
                  <w:shd w:val="clear" w:color="auto" w:fill="auto"/>
                  <w:tcMar>
                    <w:top w:w="0" w:type="dxa"/>
                    <w:left w:w="0" w:type="dxa"/>
                    <w:bottom w:w="0" w:type="dxa"/>
                    <w:right w:w="0" w:type="dxa"/>
                  </w:tcMar>
                  <w:vAlign w:val="center"/>
                </w:tcPr>
                <w:p w14:paraId="4AE97EB3">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35.1</w:t>
                  </w:r>
                </w:p>
              </w:tc>
              <w:tc>
                <w:tcPr>
                  <w:tcW w:w="470" w:type="dxa"/>
                  <w:shd w:val="clear" w:color="auto" w:fill="auto"/>
                  <w:tcMar>
                    <w:top w:w="0" w:type="dxa"/>
                    <w:left w:w="0" w:type="dxa"/>
                    <w:bottom w:w="0" w:type="dxa"/>
                    <w:right w:w="0" w:type="dxa"/>
                  </w:tcMar>
                  <w:vAlign w:val="center"/>
                </w:tcPr>
                <w:p w14:paraId="33CC82E6">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35.0</w:t>
                  </w:r>
                </w:p>
              </w:tc>
              <w:tc>
                <w:tcPr>
                  <w:tcW w:w="471" w:type="dxa"/>
                  <w:shd w:val="clear" w:color="auto" w:fill="auto"/>
                  <w:tcMar>
                    <w:top w:w="0" w:type="dxa"/>
                    <w:left w:w="0" w:type="dxa"/>
                    <w:bottom w:w="0" w:type="dxa"/>
                    <w:right w:w="0" w:type="dxa"/>
                  </w:tcMar>
                  <w:vAlign w:val="center"/>
                </w:tcPr>
                <w:p w14:paraId="7251A7FE">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35.0</w:t>
                  </w:r>
                </w:p>
              </w:tc>
              <w:tc>
                <w:tcPr>
                  <w:tcW w:w="648" w:type="dxa"/>
                  <w:shd w:val="clear" w:color="auto" w:fill="auto"/>
                  <w:tcMar>
                    <w:top w:w="0" w:type="dxa"/>
                    <w:left w:w="0" w:type="dxa"/>
                    <w:bottom w:w="0" w:type="dxa"/>
                    <w:right w:w="0" w:type="dxa"/>
                  </w:tcMar>
                  <w:vAlign w:val="center"/>
                </w:tcPr>
                <w:p w14:paraId="2F1498CE">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1</w:t>
                  </w:r>
                </w:p>
              </w:tc>
            </w:tr>
            <w:tr w14:paraId="19B1D1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23" w:hRule="atLeast"/>
                <w:jc w:val="center"/>
              </w:trPr>
              <w:tc>
                <w:tcPr>
                  <w:tcW w:w="482" w:type="dxa"/>
                  <w:shd w:val="clear" w:color="auto" w:fill="auto"/>
                  <w:vAlign w:val="center"/>
                </w:tcPr>
                <w:p w14:paraId="6B4B697D">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36</w:t>
                  </w:r>
                </w:p>
              </w:tc>
              <w:tc>
                <w:tcPr>
                  <w:tcW w:w="485" w:type="dxa"/>
                  <w:vMerge w:val="continue"/>
                  <w:shd w:val="clear" w:color="auto" w:fill="auto"/>
                  <w:tcMar>
                    <w:top w:w="0" w:type="dxa"/>
                    <w:left w:w="0" w:type="dxa"/>
                    <w:bottom w:w="0" w:type="dxa"/>
                    <w:right w:w="0" w:type="dxa"/>
                  </w:tcMar>
                  <w:vAlign w:val="center"/>
                </w:tcPr>
                <w:p w14:paraId="3FD39F2E">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 w:val="21"/>
                      <w:szCs w:val="21"/>
                    </w:rPr>
                  </w:pPr>
                </w:p>
              </w:tc>
              <w:tc>
                <w:tcPr>
                  <w:tcW w:w="541" w:type="dxa"/>
                  <w:shd w:val="clear" w:color="auto" w:fill="auto"/>
                  <w:tcMar>
                    <w:top w:w="0" w:type="dxa"/>
                    <w:left w:w="0" w:type="dxa"/>
                    <w:bottom w:w="0" w:type="dxa"/>
                    <w:right w:w="0" w:type="dxa"/>
                  </w:tcMar>
                  <w:vAlign w:val="center"/>
                </w:tcPr>
                <w:p w14:paraId="409C91DA">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650底涂机</w:t>
                  </w:r>
                  <w:r>
                    <w:rPr>
                      <w:rFonts w:hint="eastAsia" w:ascii="Times New Roman" w:hAnsi="Times New Roman" w:eastAsia="宋体" w:cs="Times New Roman"/>
                      <w:color w:val="auto"/>
                      <w:sz w:val="21"/>
                      <w:szCs w:val="21"/>
                      <w:lang w:eastAsia="zh-CN"/>
                    </w:rPr>
                    <w:t>，</w:t>
                  </w:r>
                  <w:r>
                    <w:rPr>
                      <w:rFonts w:hint="default" w:ascii="Times New Roman" w:hAnsi="Times New Roman" w:eastAsia="宋体" w:cs="Times New Roman"/>
                      <w:color w:val="auto"/>
                      <w:sz w:val="21"/>
                      <w:szCs w:val="21"/>
                    </w:rPr>
                    <w:t>2台（按点声源组预测）</w:t>
                  </w:r>
                </w:p>
              </w:tc>
              <w:tc>
                <w:tcPr>
                  <w:tcW w:w="413" w:type="dxa"/>
                  <w:shd w:val="clear" w:color="auto" w:fill="auto"/>
                  <w:tcMar>
                    <w:top w:w="0" w:type="dxa"/>
                    <w:left w:w="0" w:type="dxa"/>
                    <w:bottom w:w="0" w:type="dxa"/>
                    <w:right w:w="0" w:type="dxa"/>
                  </w:tcMar>
                  <w:vAlign w:val="center"/>
                </w:tcPr>
                <w:p w14:paraId="3A5A3AE8">
                  <w:pPr>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color w:val="auto"/>
                      <w:sz w:val="21"/>
                      <w:szCs w:val="21"/>
                      <w:highlight w:val="none"/>
                    </w:rPr>
                    <w:t>650</w:t>
                  </w:r>
                </w:p>
              </w:tc>
              <w:tc>
                <w:tcPr>
                  <w:tcW w:w="637" w:type="dxa"/>
                  <w:shd w:val="clear" w:color="auto" w:fill="auto"/>
                  <w:tcMar>
                    <w:top w:w="0" w:type="dxa"/>
                    <w:left w:w="0" w:type="dxa"/>
                    <w:bottom w:w="0" w:type="dxa"/>
                    <w:right w:w="0" w:type="dxa"/>
                  </w:tcMar>
                  <w:vAlign w:val="center"/>
                </w:tcPr>
                <w:p w14:paraId="7C398520">
                  <w:pPr>
                    <w:keepNext w:val="0"/>
                    <w:keepLines w:val="0"/>
                    <w:suppressLineNumbers w:val="0"/>
                    <w:spacing w:before="0" w:beforeAutospacing="0" w:after="0" w:afterAutospacing="0"/>
                    <w:ind w:left="0" w:right="0"/>
                    <w:jc w:val="center"/>
                    <w:rPr>
                      <w:rFonts w:hint="eastAsia" w:ascii="Times New Roman" w:hAnsi="Times New Roman" w:eastAsia="宋体" w:cs="Times New Roman"/>
                      <w:color w:val="auto"/>
                      <w:sz w:val="21"/>
                      <w:szCs w:val="21"/>
                      <w:lang w:eastAsia="zh-CN"/>
                    </w:rPr>
                  </w:pPr>
                  <w:r>
                    <w:rPr>
                      <w:rFonts w:hint="default" w:ascii="Times New Roman" w:hAnsi="Times New Roman" w:eastAsia="宋体" w:cs="Times New Roman"/>
                      <w:color w:val="auto"/>
                      <w:sz w:val="21"/>
                      <w:szCs w:val="21"/>
                    </w:rPr>
                    <w:t>75/1（等效后：81.0/1</w:t>
                  </w:r>
                  <w:r>
                    <w:rPr>
                      <w:rFonts w:hint="eastAsia" w:ascii="Times New Roman" w:hAnsi="Times New Roman" w:eastAsia="宋体" w:cs="Times New Roman"/>
                      <w:color w:val="auto"/>
                      <w:sz w:val="21"/>
                      <w:szCs w:val="21"/>
                      <w:lang w:eastAsia="zh-CN"/>
                    </w:rPr>
                    <w:t>）</w:t>
                  </w:r>
                </w:p>
              </w:tc>
              <w:tc>
                <w:tcPr>
                  <w:tcW w:w="553" w:type="dxa"/>
                  <w:vMerge w:val="continue"/>
                  <w:shd w:val="clear" w:color="auto" w:fill="auto"/>
                  <w:tcMar>
                    <w:top w:w="0" w:type="dxa"/>
                    <w:left w:w="0" w:type="dxa"/>
                    <w:bottom w:w="0" w:type="dxa"/>
                    <w:right w:w="0" w:type="dxa"/>
                  </w:tcMar>
                  <w:vAlign w:val="center"/>
                </w:tcPr>
                <w:p w14:paraId="7F962100">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 w:val="21"/>
                      <w:szCs w:val="21"/>
                    </w:rPr>
                  </w:pPr>
                </w:p>
              </w:tc>
              <w:tc>
                <w:tcPr>
                  <w:tcW w:w="563" w:type="dxa"/>
                  <w:shd w:val="clear" w:color="auto" w:fill="auto"/>
                  <w:tcMar>
                    <w:top w:w="0" w:type="dxa"/>
                    <w:left w:w="0" w:type="dxa"/>
                    <w:bottom w:w="0" w:type="dxa"/>
                    <w:right w:w="0" w:type="dxa"/>
                  </w:tcMar>
                  <w:vAlign w:val="center"/>
                </w:tcPr>
                <w:p w14:paraId="103FF256">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2.2</w:t>
                  </w:r>
                </w:p>
              </w:tc>
              <w:tc>
                <w:tcPr>
                  <w:tcW w:w="563" w:type="dxa"/>
                  <w:shd w:val="clear" w:color="auto" w:fill="auto"/>
                  <w:tcMar>
                    <w:top w:w="0" w:type="dxa"/>
                    <w:left w:w="0" w:type="dxa"/>
                    <w:bottom w:w="0" w:type="dxa"/>
                    <w:right w:w="0" w:type="dxa"/>
                  </w:tcMar>
                  <w:vAlign w:val="center"/>
                </w:tcPr>
                <w:p w14:paraId="795DB483">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24.1</w:t>
                  </w:r>
                </w:p>
              </w:tc>
              <w:tc>
                <w:tcPr>
                  <w:tcW w:w="564" w:type="dxa"/>
                  <w:shd w:val="clear" w:color="auto" w:fill="auto"/>
                  <w:tcMar>
                    <w:top w:w="0" w:type="dxa"/>
                    <w:left w:w="0" w:type="dxa"/>
                    <w:bottom w:w="0" w:type="dxa"/>
                    <w:right w:w="0" w:type="dxa"/>
                  </w:tcMar>
                  <w:vAlign w:val="center"/>
                </w:tcPr>
                <w:p w14:paraId="03C99198">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1.2</w:t>
                  </w:r>
                </w:p>
              </w:tc>
              <w:tc>
                <w:tcPr>
                  <w:tcW w:w="466" w:type="dxa"/>
                  <w:shd w:val="clear" w:color="auto" w:fill="auto"/>
                  <w:tcMar>
                    <w:top w:w="0" w:type="dxa"/>
                    <w:left w:w="0" w:type="dxa"/>
                    <w:bottom w:w="0" w:type="dxa"/>
                    <w:right w:w="0" w:type="dxa"/>
                  </w:tcMar>
                  <w:vAlign w:val="center"/>
                </w:tcPr>
                <w:p w14:paraId="1E6FCFFC">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75.4</w:t>
                  </w:r>
                </w:p>
              </w:tc>
              <w:tc>
                <w:tcPr>
                  <w:tcW w:w="466" w:type="dxa"/>
                  <w:shd w:val="clear" w:color="auto" w:fill="auto"/>
                  <w:tcMar>
                    <w:top w:w="0" w:type="dxa"/>
                    <w:left w:w="0" w:type="dxa"/>
                    <w:bottom w:w="0" w:type="dxa"/>
                    <w:right w:w="0" w:type="dxa"/>
                  </w:tcMar>
                  <w:vAlign w:val="center"/>
                </w:tcPr>
                <w:p w14:paraId="36A10D54">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51.7</w:t>
                  </w:r>
                </w:p>
              </w:tc>
              <w:tc>
                <w:tcPr>
                  <w:tcW w:w="466" w:type="dxa"/>
                  <w:shd w:val="clear" w:color="auto" w:fill="auto"/>
                  <w:tcMar>
                    <w:top w:w="0" w:type="dxa"/>
                    <w:left w:w="0" w:type="dxa"/>
                    <w:bottom w:w="0" w:type="dxa"/>
                    <w:right w:w="0" w:type="dxa"/>
                  </w:tcMar>
                  <w:vAlign w:val="center"/>
                </w:tcPr>
                <w:p w14:paraId="6EA36B06">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6.8</w:t>
                  </w:r>
                </w:p>
              </w:tc>
              <w:tc>
                <w:tcPr>
                  <w:tcW w:w="467" w:type="dxa"/>
                  <w:shd w:val="clear" w:color="auto" w:fill="auto"/>
                  <w:tcMar>
                    <w:top w:w="0" w:type="dxa"/>
                    <w:left w:w="0" w:type="dxa"/>
                    <w:bottom w:w="0" w:type="dxa"/>
                    <w:right w:w="0" w:type="dxa"/>
                  </w:tcMar>
                  <w:vAlign w:val="center"/>
                </w:tcPr>
                <w:p w14:paraId="07226B9E">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5.1</w:t>
                  </w:r>
                </w:p>
              </w:tc>
              <w:tc>
                <w:tcPr>
                  <w:tcW w:w="460" w:type="dxa"/>
                  <w:shd w:val="clear" w:color="auto" w:fill="auto"/>
                  <w:tcMar>
                    <w:top w:w="0" w:type="dxa"/>
                    <w:left w:w="0" w:type="dxa"/>
                    <w:bottom w:w="0" w:type="dxa"/>
                    <w:right w:w="0" w:type="dxa"/>
                  </w:tcMar>
                  <w:vAlign w:val="center"/>
                </w:tcPr>
                <w:p w14:paraId="570348A4">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61.0</w:t>
                  </w:r>
                </w:p>
              </w:tc>
              <w:tc>
                <w:tcPr>
                  <w:tcW w:w="460" w:type="dxa"/>
                  <w:shd w:val="clear" w:color="auto" w:fill="auto"/>
                  <w:tcMar>
                    <w:top w:w="0" w:type="dxa"/>
                    <w:left w:w="0" w:type="dxa"/>
                    <w:bottom w:w="0" w:type="dxa"/>
                    <w:right w:w="0" w:type="dxa"/>
                  </w:tcMar>
                  <w:vAlign w:val="center"/>
                </w:tcPr>
                <w:p w14:paraId="2412E6FF">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61.0</w:t>
                  </w:r>
                </w:p>
              </w:tc>
              <w:tc>
                <w:tcPr>
                  <w:tcW w:w="460" w:type="dxa"/>
                  <w:shd w:val="clear" w:color="auto" w:fill="auto"/>
                  <w:tcMar>
                    <w:top w:w="0" w:type="dxa"/>
                    <w:left w:w="0" w:type="dxa"/>
                    <w:bottom w:w="0" w:type="dxa"/>
                    <w:right w:w="0" w:type="dxa"/>
                  </w:tcMar>
                  <w:vAlign w:val="center"/>
                </w:tcPr>
                <w:p w14:paraId="13B27F10">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61.5</w:t>
                  </w:r>
                </w:p>
              </w:tc>
              <w:tc>
                <w:tcPr>
                  <w:tcW w:w="462" w:type="dxa"/>
                  <w:shd w:val="clear" w:color="auto" w:fill="auto"/>
                  <w:tcMar>
                    <w:top w:w="0" w:type="dxa"/>
                    <w:left w:w="0" w:type="dxa"/>
                    <w:bottom w:w="0" w:type="dxa"/>
                    <w:right w:w="0" w:type="dxa"/>
                  </w:tcMar>
                  <w:vAlign w:val="center"/>
                </w:tcPr>
                <w:p w14:paraId="6A909792">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61.8</w:t>
                  </w:r>
                </w:p>
              </w:tc>
              <w:tc>
                <w:tcPr>
                  <w:tcW w:w="445" w:type="dxa"/>
                  <w:vMerge w:val="continue"/>
                  <w:shd w:val="clear" w:color="auto" w:fill="auto"/>
                  <w:tcMar>
                    <w:top w:w="0" w:type="dxa"/>
                    <w:left w:w="0" w:type="dxa"/>
                    <w:bottom w:w="0" w:type="dxa"/>
                    <w:right w:w="0" w:type="dxa"/>
                  </w:tcMar>
                  <w:vAlign w:val="center"/>
                </w:tcPr>
                <w:p w14:paraId="09C18B91">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 w:val="21"/>
                      <w:szCs w:val="21"/>
                    </w:rPr>
                  </w:pPr>
                </w:p>
              </w:tc>
              <w:tc>
                <w:tcPr>
                  <w:tcW w:w="444" w:type="dxa"/>
                  <w:shd w:val="clear" w:color="auto" w:fill="auto"/>
                  <w:tcMar>
                    <w:top w:w="0" w:type="dxa"/>
                    <w:left w:w="0" w:type="dxa"/>
                    <w:bottom w:w="0" w:type="dxa"/>
                    <w:right w:w="0" w:type="dxa"/>
                  </w:tcMar>
                  <w:vAlign w:val="center"/>
                </w:tcPr>
                <w:p w14:paraId="1B5C8C35">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20.0</w:t>
                  </w:r>
                </w:p>
              </w:tc>
              <w:tc>
                <w:tcPr>
                  <w:tcW w:w="444" w:type="dxa"/>
                  <w:shd w:val="clear" w:color="auto" w:fill="auto"/>
                  <w:tcMar>
                    <w:top w:w="0" w:type="dxa"/>
                    <w:left w:w="0" w:type="dxa"/>
                    <w:bottom w:w="0" w:type="dxa"/>
                    <w:right w:w="0" w:type="dxa"/>
                  </w:tcMar>
                  <w:vAlign w:val="center"/>
                </w:tcPr>
                <w:p w14:paraId="71367835">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20.0</w:t>
                  </w:r>
                </w:p>
              </w:tc>
              <w:tc>
                <w:tcPr>
                  <w:tcW w:w="444" w:type="dxa"/>
                  <w:shd w:val="clear" w:color="auto" w:fill="auto"/>
                  <w:tcMar>
                    <w:top w:w="0" w:type="dxa"/>
                    <w:left w:w="0" w:type="dxa"/>
                    <w:bottom w:w="0" w:type="dxa"/>
                    <w:right w:w="0" w:type="dxa"/>
                  </w:tcMar>
                  <w:vAlign w:val="center"/>
                </w:tcPr>
                <w:p w14:paraId="145C7306">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20.0</w:t>
                  </w:r>
                </w:p>
              </w:tc>
              <w:tc>
                <w:tcPr>
                  <w:tcW w:w="444" w:type="dxa"/>
                  <w:shd w:val="clear" w:color="auto" w:fill="auto"/>
                  <w:tcMar>
                    <w:top w:w="0" w:type="dxa"/>
                    <w:left w:w="0" w:type="dxa"/>
                    <w:bottom w:w="0" w:type="dxa"/>
                    <w:right w:w="0" w:type="dxa"/>
                  </w:tcMar>
                  <w:vAlign w:val="center"/>
                </w:tcPr>
                <w:p w14:paraId="6BE77026">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20.0</w:t>
                  </w:r>
                </w:p>
              </w:tc>
              <w:tc>
                <w:tcPr>
                  <w:tcW w:w="470" w:type="dxa"/>
                  <w:shd w:val="clear" w:color="auto" w:fill="auto"/>
                  <w:tcMar>
                    <w:top w:w="0" w:type="dxa"/>
                    <w:left w:w="0" w:type="dxa"/>
                    <w:bottom w:w="0" w:type="dxa"/>
                    <w:right w:w="0" w:type="dxa"/>
                  </w:tcMar>
                  <w:vAlign w:val="center"/>
                </w:tcPr>
                <w:p w14:paraId="1AE710DD">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41.0</w:t>
                  </w:r>
                </w:p>
              </w:tc>
              <w:tc>
                <w:tcPr>
                  <w:tcW w:w="470" w:type="dxa"/>
                  <w:shd w:val="clear" w:color="auto" w:fill="auto"/>
                  <w:tcMar>
                    <w:top w:w="0" w:type="dxa"/>
                    <w:left w:w="0" w:type="dxa"/>
                    <w:bottom w:w="0" w:type="dxa"/>
                    <w:right w:w="0" w:type="dxa"/>
                  </w:tcMar>
                  <w:vAlign w:val="center"/>
                </w:tcPr>
                <w:p w14:paraId="275CD96C">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41.0</w:t>
                  </w:r>
                </w:p>
              </w:tc>
              <w:tc>
                <w:tcPr>
                  <w:tcW w:w="470" w:type="dxa"/>
                  <w:shd w:val="clear" w:color="auto" w:fill="auto"/>
                  <w:tcMar>
                    <w:top w:w="0" w:type="dxa"/>
                    <w:left w:w="0" w:type="dxa"/>
                    <w:bottom w:w="0" w:type="dxa"/>
                    <w:right w:w="0" w:type="dxa"/>
                  </w:tcMar>
                  <w:vAlign w:val="center"/>
                </w:tcPr>
                <w:p w14:paraId="48BF4045">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41.5</w:t>
                  </w:r>
                </w:p>
              </w:tc>
              <w:tc>
                <w:tcPr>
                  <w:tcW w:w="471" w:type="dxa"/>
                  <w:shd w:val="clear" w:color="auto" w:fill="auto"/>
                  <w:tcMar>
                    <w:top w:w="0" w:type="dxa"/>
                    <w:left w:w="0" w:type="dxa"/>
                    <w:bottom w:w="0" w:type="dxa"/>
                    <w:right w:w="0" w:type="dxa"/>
                  </w:tcMar>
                  <w:vAlign w:val="center"/>
                </w:tcPr>
                <w:p w14:paraId="6F7ED7E4">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41.8</w:t>
                  </w:r>
                </w:p>
              </w:tc>
              <w:tc>
                <w:tcPr>
                  <w:tcW w:w="648" w:type="dxa"/>
                  <w:shd w:val="clear" w:color="auto" w:fill="auto"/>
                  <w:tcMar>
                    <w:top w:w="0" w:type="dxa"/>
                    <w:left w:w="0" w:type="dxa"/>
                    <w:bottom w:w="0" w:type="dxa"/>
                    <w:right w:w="0" w:type="dxa"/>
                  </w:tcMar>
                  <w:vAlign w:val="center"/>
                </w:tcPr>
                <w:p w14:paraId="53183042">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1</w:t>
                  </w:r>
                </w:p>
              </w:tc>
            </w:tr>
            <w:tr w14:paraId="251FFD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23" w:hRule="atLeast"/>
                <w:jc w:val="center"/>
              </w:trPr>
              <w:tc>
                <w:tcPr>
                  <w:tcW w:w="482" w:type="dxa"/>
                  <w:shd w:val="clear" w:color="auto" w:fill="auto"/>
                  <w:vAlign w:val="center"/>
                </w:tcPr>
                <w:p w14:paraId="49257693">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37</w:t>
                  </w:r>
                </w:p>
              </w:tc>
              <w:tc>
                <w:tcPr>
                  <w:tcW w:w="485" w:type="dxa"/>
                  <w:vMerge w:val="continue"/>
                  <w:shd w:val="clear" w:color="auto" w:fill="auto"/>
                  <w:tcMar>
                    <w:top w:w="0" w:type="dxa"/>
                    <w:left w:w="0" w:type="dxa"/>
                    <w:bottom w:w="0" w:type="dxa"/>
                    <w:right w:w="0" w:type="dxa"/>
                  </w:tcMar>
                  <w:vAlign w:val="center"/>
                </w:tcPr>
                <w:p w14:paraId="3036C415">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 w:val="21"/>
                      <w:szCs w:val="21"/>
                    </w:rPr>
                  </w:pPr>
                </w:p>
              </w:tc>
              <w:tc>
                <w:tcPr>
                  <w:tcW w:w="541" w:type="dxa"/>
                  <w:shd w:val="clear" w:color="auto" w:fill="auto"/>
                  <w:tcMar>
                    <w:top w:w="0" w:type="dxa"/>
                    <w:left w:w="0" w:type="dxa"/>
                    <w:bottom w:w="0" w:type="dxa"/>
                    <w:right w:w="0" w:type="dxa"/>
                  </w:tcMar>
                  <w:vAlign w:val="center"/>
                </w:tcPr>
                <w:p w14:paraId="221136FF">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多工位贴合机</w:t>
                  </w:r>
                  <w:r>
                    <w:rPr>
                      <w:rFonts w:hint="eastAsia" w:ascii="Times New Roman" w:hAnsi="Times New Roman" w:eastAsia="宋体" w:cs="Times New Roman"/>
                      <w:color w:val="auto"/>
                      <w:sz w:val="21"/>
                      <w:szCs w:val="21"/>
                      <w:lang w:eastAsia="zh-CN"/>
                    </w:rPr>
                    <w:t>，</w:t>
                  </w:r>
                  <w:r>
                    <w:rPr>
                      <w:rFonts w:hint="default" w:ascii="Times New Roman" w:hAnsi="Times New Roman" w:eastAsia="宋体" w:cs="Times New Roman"/>
                      <w:color w:val="auto"/>
                      <w:sz w:val="21"/>
                      <w:szCs w:val="21"/>
                    </w:rPr>
                    <w:t>4台（按点声源组预测）</w:t>
                  </w:r>
                </w:p>
              </w:tc>
              <w:tc>
                <w:tcPr>
                  <w:tcW w:w="413" w:type="dxa"/>
                  <w:shd w:val="clear" w:color="auto" w:fill="auto"/>
                  <w:tcMar>
                    <w:top w:w="0" w:type="dxa"/>
                    <w:left w:w="0" w:type="dxa"/>
                    <w:bottom w:w="0" w:type="dxa"/>
                    <w:right w:w="0" w:type="dxa"/>
                  </w:tcMar>
                  <w:vAlign w:val="center"/>
                </w:tcPr>
                <w:p w14:paraId="57908DF7">
                  <w:pPr>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color w:val="auto"/>
                      <w:sz w:val="21"/>
                      <w:szCs w:val="21"/>
                      <w:highlight w:val="none"/>
                    </w:rPr>
                    <w:t>450</w:t>
                  </w:r>
                </w:p>
              </w:tc>
              <w:tc>
                <w:tcPr>
                  <w:tcW w:w="637" w:type="dxa"/>
                  <w:shd w:val="clear" w:color="auto" w:fill="auto"/>
                  <w:tcMar>
                    <w:top w:w="0" w:type="dxa"/>
                    <w:left w:w="0" w:type="dxa"/>
                    <w:bottom w:w="0" w:type="dxa"/>
                    <w:right w:w="0" w:type="dxa"/>
                  </w:tcMar>
                  <w:vAlign w:val="center"/>
                </w:tcPr>
                <w:p w14:paraId="3D79114D">
                  <w:pPr>
                    <w:keepNext w:val="0"/>
                    <w:keepLines w:val="0"/>
                    <w:suppressLineNumbers w:val="0"/>
                    <w:spacing w:before="0" w:beforeAutospacing="0" w:after="0" w:afterAutospacing="0"/>
                    <w:ind w:left="0" w:right="0"/>
                    <w:jc w:val="center"/>
                    <w:rPr>
                      <w:rFonts w:hint="eastAsia" w:ascii="Times New Roman" w:hAnsi="Times New Roman" w:eastAsia="宋体" w:cs="Times New Roman"/>
                      <w:color w:val="auto"/>
                      <w:sz w:val="21"/>
                      <w:szCs w:val="21"/>
                      <w:lang w:eastAsia="zh-CN"/>
                    </w:rPr>
                  </w:pPr>
                  <w:r>
                    <w:rPr>
                      <w:rFonts w:hint="default" w:ascii="Times New Roman" w:hAnsi="Times New Roman" w:eastAsia="宋体" w:cs="Times New Roman"/>
                      <w:color w:val="auto"/>
                      <w:sz w:val="21"/>
                      <w:szCs w:val="21"/>
                    </w:rPr>
                    <w:t>75/1（等效后：81.0/1</w:t>
                  </w:r>
                  <w:r>
                    <w:rPr>
                      <w:rFonts w:hint="eastAsia" w:ascii="Times New Roman" w:hAnsi="Times New Roman" w:eastAsia="宋体" w:cs="Times New Roman"/>
                      <w:color w:val="auto"/>
                      <w:sz w:val="21"/>
                      <w:szCs w:val="21"/>
                      <w:lang w:eastAsia="zh-CN"/>
                    </w:rPr>
                    <w:t>）</w:t>
                  </w:r>
                </w:p>
              </w:tc>
              <w:tc>
                <w:tcPr>
                  <w:tcW w:w="553" w:type="dxa"/>
                  <w:vMerge w:val="continue"/>
                  <w:shd w:val="clear" w:color="auto" w:fill="auto"/>
                  <w:tcMar>
                    <w:top w:w="0" w:type="dxa"/>
                    <w:left w:w="0" w:type="dxa"/>
                    <w:bottom w:w="0" w:type="dxa"/>
                    <w:right w:w="0" w:type="dxa"/>
                  </w:tcMar>
                  <w:vAlign w:val="center"/>
                </w:tcPr>
                <w:p w14:paraId="7FFD54E8">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 w:val="21"/>
                      <w:szCs w:val="21"/>
                    </w:rPr>
                  </w:pPr>
                </w:p>
              </w:tc>
              <w:tc>
                <w:tcPr>
                  <w:tcW w:w="563" w:type="dxa"/>
                  <w:shd w:val="clear" w:color="auto" w:fill="auto"/>
                  <w:tcMar>
                    <w:top w:w="0" w:type="dxa"/>
                    <w:left w:w="0" w:type="dxa"/>
                    <w:bottom w:w="0" w:type="dxa"/>
                    <w:right w:w="0" w:type="dxa"/>
                  </w:tcMar>
                  <w:vAlign w:val="center"/>
                </w:tcPr>
                <w:p w14:paraId="568BECF4">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2.6</w:t>
                  </w:r>
                </w:p>
              </w:tc>
              <w:tc>
                <w:tcPr>
                  <w:tcW w:w="563" w:type="dxa"/>
                  <w:shd w:val="clear" w:color="auto" w:fill="auto"/>
                  <w:tcMar>
                    <w:top w:w="0" w:type="dxa"/>
                    <w:left w:w="0" w:type="dxa"/>
                    <w:bottom w:w="0" w:type="dxa"/>
                    <w:right w:w="0" w:type="dxa"/>
                  </w:tcMar>
                  <w:vAlign w:val="center"/>
                </w:tcPr>
                <w:p w14:paraId="0F5D6997">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22.2</w:t>
                  </w:r>
                </w:p>
              </w:tc>
              <w:tc>
                <w:tcPr>
                  <w:tcW w:w="564" w:type="dxa"/>
                  <w:shd w:val="clear" w:color="auto" w:fill="auto"/>
                  <w:tcMar>
                    <w:top w:w="0" w:type="dxa"/>
                    <w:left w:w="0" w:type="dxa"/>
                    <w:bottom w:w="0" w:type="dxa"/>
                    <w:right w:w="0" w:type="dxa"/>
                  </w:tcMar>
                  <w:vAlign w:val="center"/>
                </w:tcPr>
                <w:p w14:paraId="22C9DD1F">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1.2</w:t>
                  </w:r>
                </w:p>
              </w:tc>
              <w:tc>
                <w:tcPr>
                  <w:tcW w:w="466" w:type="dxa"/>
                  <w:shd w:val="clear" w:color="auto" w:fill="auto"/>
                  <w:tcMar>
                    <w:top w:w="0" w:type="dxa"/>
                    <w:left w:w="0" w:type="dxa"/>
                    <w:bottom w:w="0" w:type="dxa"/>
                    <w:right w:w="0" w:type="dxa"/>
                  </w:tcMar>
                  <w:vAlign w:val="center"/>
                </w:tcPr>
                <w:p w14:paraId="337FF429">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75.4</w:t>
                  </w:r>
                </w:p>
              </w:tc>
              <w:tc>
                <w:tcPr>
                  <w:tcW w:w="466" w:type="dxa"/>
                  <w:shd w:val="clear" w:color="auto" w:fill="auto"/>
                  <w:tcMar>
                    <w:top w:w="0" w:type="dxa"/>
                    <w:left w:w="0" w:type="dxa"/>
                    <w:bottom w:w="0" w:type="dxa"/>
                    <w:right w:w="0" w:type="dxa"/>
                  </w:tcMar>
                  <w:vAlign w:val="center"/>
                </w:tcPr>
                <w:p w14:paraId="7D830E4D">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49.7</w:t>
                  </w:r>
                </w:p>
              </w:tc>
              <w:tc>
                <w:tcPr>
                  <w:tcW w:w="466" w:type="dxa"/>
                  <w:shd w:val="clear" w:color="auto" w:fill="auto"/>
                  <w:tcMar>
                    <w:top w:w="0" w:type="dxa"/>
                    <w:left w:w="0" w:type="dxa"/>
                    <w:bottom w:w="0" w:type="dxa"/>
                    <w:right w:w="0" w:type="dxa"/>
                  </w:tcMar>
                  <w:vAlign w:val="center"/>
                </w:tcPr>
                <w:p w14:paraId="106FB186">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6.8</w:t>
                  </w:r>
                </w:p>
              </w:tc>
              <w:tc>
                <w:tcPr>
                  <w:tcW w:w="467" w:type="dxa"/>
                  <w:shd w:val="clear" w:color="auto" w:fill="auto"/>
                  <w:tcMar>
                    <w:top w:w="0" w:type="dxa"/>
                    <w:left w:w="0" w:type="dxa"/>
                    <w:bottom w:w="0" w:type="dxa"/>
                    <w:right w:w="0" w:type="dxa"/>
                  </w:tcMar>
                  <w:vAlign w:val="center"/>
                </w:tcPr>
                <w:p w14:paraId="0C0119BE">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7.1</w:t>
                  </w:r>
                </w:p>
              </w:tc>
              <w:tc>
                <w:tcPr>
                  <w:tcW w:w="460" w:type="dxa"/>
                  <w:shd w:val="clear" w:color="auto" w:fill="auto"/>
                  <w:tcMar>
                    <w:top w:w="0" w:type="dxa"/>
                    <w:left w:w="0" w:type="dxa"/>
                    <w:bottom w:w="0" w:type="dxa"/>
                    <w:right w:w="0" w:type="dxa"/>
                  </w:tcMar>
                  <w:vAlign w:val="center"/>
                </w:tcPr>
                <w:p w14:paraId="7A8DEBEB">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61.0</w:t>
                  </w:r>
                </w:p>
              </w:tc>
              <w:tc>
                <w:tcPr>
                  <w:tcW w:w="460" w:type="dxa"/>
                  <w:shd w:val="clear" w:color="auto" w:fill="auto"/>
                  <w:tcMar>
                    <w:top w:w="0" w:type="dxa"/>
                    <w:left w:w="0" w:type="dxa"/>
                    <w:bottom w:w="0" w:type="dxa"/>
                    <w:right w:w="0" w:type="dxa"/>
                  </w:tcMar>
                  <w:vAlign w:val="center"/>
                </w:tcPr>
                <w:p w14:paraId="0CAE9D5D">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61.0</w:t>
                  </w:r>
                </w:p>
              </w:tc>
              <w:tc>
                <w:tcPr>
                  <w:tcW w:w="460" w:type="dxa"/>
                  <w:shd w:val="clear" w:color="auto" w:fill="auto"/>
                  <w:tcMar>
                    <w:top w:w="0" w:type="dxa"/>
                    <w:left w:w="0" w:type="dxa"/>
                    <w:bottom w:w="0" w:type="dxa"/>
                    <w:right w:w="0" w:type="dxa"/>
                  </w:tcMar>
                  <w:vAlign w:val="center"/>
                </w:tcPr>
                <w:p w14:paraId="5C65D7E3">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61.5</w:t>
                  </w:r>
                </w:p>
              </w:tc>
              <w:tc>
                <w:tcPr>
                  <w:tcW w:w="462" w:type="dxa"/>
                  <w:shd w:val="clear" w:color="auto" w:fill="auto"/>
                  <w:tcMar>
                    <w:top w:w="0" w:type="dxa"/>
                    <w:left w:w="0" w:type="dxa"/>
                    <w:bottom w:w="0" w:type="dxa"/>
                    <w:right w:w="0" w:type="dxa"/>
                  </w:tcMar>
                  <w:vAlign w:val="center"/>
                </w:tcPr>
                <w:p w14:paraId="73AA0EA5">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61.4</w:t>
                  </w:r>
                </w:p>
              </w:tc>
              <w:tc>
                <w:tcPr>
                  <w:tcW w:w="445" w:type="dxa"/>
                  <w:vMerge w:val="continue"/>
                  <w:shd w:val="clear" w:color="auto" w:fill="auto"/>
                  <w:tcMar>
                    <w:top w:w="0" w:type="dxa"/>
                    <w:left w:w="0" w:type="dxa"/>
                    <w:bottom w:w="0" w:type="dxa"/>
                    <w:right w:w="0" w:type="dxa"/>
                  </w:tcMar>
                  <w:vAlign w:val="center"/>
                </w:tcPr>
                <w:p w14:paraId="07F4E36B">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 w:val="21"/>
                      <w:szCs w:val="21"/>
                    </w:rPr>
                  </w:pPr>
                </w:p>
              </w:tc>
              <w:tc>
                <w:tcPr>
                  <w:tcW w:w="444" w:type="dxa"/>
                  <w:shd w:val="clear" w:color="auto" w:fill="auto"/>
                  <w:tcMar>
                    <w:top w:w="0" w:type="dxa"/>
                    <w:left w:w="0" w:type="dxa"/>
                    <w:bottom w:w="0" w:type="dxa"/>
                    <w:right w:w="0" w:type="dxa"/>
                  </w:tcMar>
                  <w:vAlign w:val="center"/>
                </w:tcPr>
                <w:p w14:paraId="5D5E64EA">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20.0</w:t>
                  </w:r>
                </w:p>
              </w:tc>
              <w:tc>
                <w:tcPr>
                  <w:tcW w:w="444" w:type="dxa"/>
                  <w:shd w:val="clear" w:color="auto" w:fill="auto"/>
                  <w:tcMar>
                    <w:top w:w="0" w:type="dxa"/>
                    <w:left w:w="0" w:type="dxa"/>
                    <w:bottom w:w="0" w:type="dxa"/>
                    <w:right w:w="0" w:type="dxa"/>
                  </w:tcMar>
                  <w:vAlign w:val="center"/>
                </w:tcPr>
                <w:p w14:paraId="6074CC6F">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20.0</w:t>
                  </w:r>
                </w:p>
              </w:tc>
              <w:tc>
                <w:tcPr>
                  <w:tcW w:w="444" w:type="dxa"/>
                  <w:shd w:val="clear" w:color="auto" w:fill="auto"/>
                  <w:tcMar>
                    <w:top w:w="0" w:type="dxa"/>
                    <w:left w:w="0" w:type="dxa"/>
                    <w:bottom w:w="0" w:type="dxa"/>
                    <w:right w:w="0" w:type="dxa"/>
                  </w:tcMar>
                  <w:vAlign w:val="center"/>
                </w:tcPr>
                <w:p w14:paraId="06C0F921">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20.0</w:t>
                  </w:r>
                </w:p>
              </w:tc>
              <w:tc>
                <w:tcPr>
                  <w:tcW w:w="444" w:type="dxa"/>
                  <w:shd w:val="clear" w:color="auto" w:fill="auto"/>
                  <w:tcMar>
                    <w:top w:w="0" w:type="dxa"/>
                    <w:left w:w="0" w:type="dxa"/>
                    <w:bottom w:w="0" w:type="dxa"/>
                    <w:right w:w="0" w:type="dxa"/>
                  </w:tcMar>
                  <w:vAlign w:val="center"/>
                </w:tcPr>
                <w:p w14:paraId="7F66B1CE">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20.0</w:t>
                  </w:r>
                </w:p>
              </w:tc>
              <w:tc>
                <w:tcPr>
                  <w:tcW w:w="470" w:type="dxa"/>
                  <w:shd w:val="clear" w:color="auto" w:fill="auto"/>
                  <w:tcMar>
                    <w:top w:w="0" w:type="dxa"/>
                    <w:left w:w="0" w:type="dxa"/>
                    <w:bottom w:w="0" w:type="dxa"/>
                    <w:right w:w="0" w:type="dxa"/>
                  </w:tcMar>
                  <w:vAlign w:val="center"/>
                </w:tcPr>
                <w:p w14:paraId="64F45D77">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41.0</w:t>
                  </w:r>
                </w:p>
              </w:tc>
              <w:tc>
                <w:tcPr>
                  <w:tcW w:w="470" w:type="dxa"/>
                  <w:shd w:val="clear" w:color="auto" w:fill="auto"/>
                  <w:tcMar>
                    <w:top w:w="0" w:type="dxa"/>
                    <w:left w:w="0" w:type="dxa"/>
                    <w:bottom w:w="0" w:type="dxa"/>
                    <w:right w:w="0" w:type="dxa"/>
                  </w:tcMar>
                  <w:vAlign w:val="center"/>
                </w:tcPr>
                <w:p w14:paraId="3A505C5E">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41.0</w:t>
                  </w:r>
                </w:p>
              </w:tc>
              <w:tc>
                <w:tcPr>
                  <w:tcW w:w="470" w:type="dxa"/>
                  <w:shd w:val="clear" w:color="auto" w:fill="auto"/>
                  <w:tcMar>
                    <w:top w:w="0" w:type="dxa"/>
                    <w:left w:w="0" w:type="dxa"/>
                    <w:bottom w:w="0" w:type="dxa"/>
                    <w:right w:w="0" w:type="dxa"/>
                  </w:tcMar>
                  <w:vAlign w:val="center"/>
                </w:tcPr>
                <w:p w14:paraId="3BDB66E0">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41.5</w:t>
                  </w:r>
                </w:p>
              </w:tc>
              <w:tc>
                <w:tcPr>
                  <w:tcW w:w="471" w:type="dxa"/>
                  <w:shd w:val="clear" w:color="auto" w:fill="auto"/>
                  <w:tcMar>
                    <w:top w:w="0" w:type="dxa"/>
                    <w:left w:w="0" w:type="dxa"/>
                    <w:bottom w:w="0" w:type="dxa"/>
                    <w:right w:w="0" w:type="dxa"/>
                  </w:tcMar>
                  <w:vAlign w:val="center"/>
                </w:tcPr>
                <w:p w14:paraId="706B9B8C">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41.4</w:t>
                  </w:r>
                </w:p>
              </w:tc>
              <w:tc>
                <w:tcPr>
                  <w:tcW w:w="648" w:type="dxa"/>
                  <w:shd w:val="clear" w:color="auto" w:fill="auto"/>
                  <w:tcMar>
                    <w:top w:w="0" w:type="dxa"/>
                    <w:left w:w="0" w:type="dxa"/>
                    <w:bottom w:w="0" w:type="dxa"/>
                    <w:right w:w="0" w:type="dxa"/>
                  </w:tcMar>
                  <w:vAlign w:val="center"/>
                </w:tcPr>
                <w:p w14:paraId="656E4FA0">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1</w:t>
                  </w:r>
                </w:p>
              </w:tc>
            </w:tr>
            <w:tr w14:paraId="1AD2D1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482" w:type="dxa"/>
                  <w:shd w:val="clear" w:color="auto" w:fill="auto"/>
                  <w:vAlign w:val="center"/>
                </w:tcPr>
                <w:p w14:paraId="603294B8">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38</w:t>
                  </w:r>
                </w:p>
              </w:tc>
              <w:tc>
                <w:tcPr>
                  <w:tcW w:w="485" w:type="dxa"/>
                  <w:vMerge w:val="continue"/>
                  <w:shd w:val="clear" w:color="auto" w:fill="auto"/>
                  <w:tcMar>
                    <w:top w:w="0" w:type="dxa"/>
                    <w:left w:w="0" w:type="dxa"/>
                    <w:bottom w:w="0" w:type="dxa"/>
                    <w:right w:w="0" w:type="dxa"/>
                  </w:tcMar>
                  <w:vAlign w:val="center"/>
                </w:tcPr>
                <w:p w14:paraId="68D37913">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 w:val="21"/>
                      <w:szCs w:val="21"/>
                    </w:rPr>
                  </w:pPr>
                </w:p>
              </w:tc>
              <w:tc>
                <w:tcPr>
                  <w:tcW w:w="541" w:type="dxa"/>
                  <w:shd w:val="clear" w:color="auto" w:fill="auto"/>
                  <w:tcMar>
                    <w:top w:w="0" w:type="dxa"/>
                    <w:left w:w="0" w:type="dxa"/>
                    <w:bottom w:w="0" w:type="dxa"/>
                    <w:right w:w="0" w:type="dxa"/>
                  </w:tcMar>
                  <w:vAlign w:val="center"/>
                </w:tcPr>
                <w:p w14:paraId="64455E86">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空压机</w:t>
                  </w:r>
                </w:p>
              </w:tc>
              <w:tc>
                <w:tcPr>
                  <w:tcW w:w="413" w:type="dxa"/>
                  <w:shd w:val="clear" w:color="auto" w:fill="auto"/>
                  <w:tcMar>
                    <w:top w:w="0" w:type="dxa"/>
                    <w:left w:w="0" w:type="dxa"/>
                    <w:bottom w:w="0" w:type="dxa"/>
                    <w:right w:w="0" w:type="dxa"/>
                  </w:tcMar>
                  <w:vAlign w:val="center"/>
                </w:tcPr>
                <w:p w14:paraId="285F33E0">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lang w:val="en-US" w:eastAsia="zh-CN"/>
                    </w:rPr>
                    <w:t>ES-10e/8</w:t>
                  </w:r>
                </w:p>
              </w:tc>
              <w:tc>
                <w:tcPr>
                  <w:tcW w:w="637" w:type="dxa"/>
                  <w:shd w:val="clear" w:color="auto" w:fill="auto"/>
                  <w:tcMar>
                    <w:top w:w="0" w:type="dxa"/>
                    <w:left w:w="0" w:type="dxa"/>
                    <w:bottom w:w="0" w:type="dxa"/>
                    <w:right w:w="0" w:type="dxa"/>
                  </w:tcMar>
                  <w:vAlign w:val="center"/>
                </w:tcPr>
                <w:p w14:paraId="75E87314">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90/1</w:t>
                  </w:r>
                </w:p>
              </w:tc>
              <w:tc>
                <w:tcPr>
                  <w:tcW w:w="553" w:type="dxa"/>
                  <w:vMerge w:val="continue"/>
                  <w:shd w:val="clear" w:color="auto" w:fill="auto"/>
                  <w:tcMar>
                    <w:top w:w="0" w:type="dxa"/>
                    <w:left w:w="0" w:type="dxa"/>
                    <w:bottom w:w="0" w:type="dxa"/>
                    <w:right w:w="0" w:type="dxa"/>
                  </w:tcMar>
                  <w:vAlign w:val="center"/>
                </w:tcPr>
                <w:p w14:paraId="073CC2C6">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 w:val="21"/>
                      <w:szCs w:val="21"/>
                    </w:rPr>
                  </w:pPr>
                </w:p>
              </w:tc>
              <w:tc>
                <w:tcPr>
                  <w:tcW w:w="563" w:type="dxa"/>
                  <w:shd w:val="clear" w:color="auto" w:fill="auto"/>
                  <w:tcMar>
                    <w:top w:w="0" w:type="dxa"/>
                    <w:left w:w="0" w:type="dxa"/>
                    <w:bottom w:w="0" w:type="dxa"/>
                    <w:right w:w="0" w:type="dxa"/>
                  </w:tcMar>
                  <w:vAlign w:val="center"/>
                </w:tcPr>
                <w:p w14:paraId="11029058">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74.6</w:t>
                  </w:r>
                </w:p>
              </w:tc>
              <w:tc>
                <w:tcPr>
                  <w:tcW w:w="563" w:type="dxa"/>
                  <w:shd w:val="clear" w:color="auto" w:fill="auto"/>
                  <w:tcMar>
                    <w:top w:w="0" w:type="dxa"/>
                    <w:left w:w="0" w:type="dxa"/>
                    <w:bottom w:w="0" w:type="dxa"/>
                    <w:right w:w="0" w:type="dxa"/>
                  </w:tcMar>
                  <w:vAlign w:val="center"/>
                </w:tcPr>
                <w:p w14:paraId="3D4C8A81">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-2.1</w:t>
                  </w:r>
                </w:p>
              </w:tc>
              <w:tc>
                <w:tcPr>
                  <w:tcW w:w="564" w:type="dxa"/>
                  <w:shd w:val="clear" w:color="auto" w:fill="auto"/>
                  <w:tcMar>
                    <w:top w:w="0" w:type="dxa"/>
                    <w:left w:w="0" w:type="dxa"/>
                    <w:bottom w:w="0" w:type="dxa"/>
                    <w:right w:w="0" w:type="dxa"/>
                  </w:tcMar>
                  <w:vAlign w:val="center"/>
                </w:tcPr>
                <w:p w14:paraId="4C59E9D2">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9.2</w:t>
                  </w:r>
                </w:p>
              </w:tc>
              <w:tc>
                <w:tcPr>
                  <w:tcW w:w="466" w:type="dxa"/>
                  <w:shd w:val="clear" w:color="auto" w:fill="auto"/>
                  <w:tcMar>
                    <w:top w:w="0" w:type="dxa"/>
                    <w:left w:w="0" w:type="dxa"/>
                    <w:bottom w:w="0" w:type="dxa"/>
                    <w:right w:w="0" w:type="dxa"/>
                  </w:tcMar>
                  <w:vAlign w:val="center"/>
                </w:tcPr>
                <w:p w14:paraId="79B574B3">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10.6</w:t>
                  </w:r>
                </w:p>
              </w:tc>
              <w:tc>
                <w:tcPr>
                  <w:tcW w:w="466" w:type="dxa"/>
                  <w:shd w:val="clear" w:color="auto" w:fill="auto"/>
                  <w:tcMar>
                    <w:top w:w="0" w:type="dxa"/>
                    <w:left w:w="0" w:type="dxa"/>
                    <w:bottom w:w="0" w:type="dxa"/>
                    <w:right w:w="0" w:type="dxa"/>
                  </w:tcMar>
                  <w:vAlign w:val="center"/>
                </w:tcPr>
                <w:p w14:paraId="39DB5186">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10.0</w:t>
                  </w:r>
                </w:p>
              </w:tc>
              <w:tc>
                <w:tcPr>
                  <w:tcW w:w="466" w:type="dxa"/>
                  <w:shd w:val="clear" w:color="auto" w:fill="auto"/>
                  <w:tcMar>
                    <w:top w:w="0" w:type="dxa"/>
                    <w:left w:w="0" w:type="dxa"/>
                    <w:bottom w:w="0" w:type="dxa"/>
                    <w:right w:w="0" w:type="dxa"/>
                  </w:tcMar>
                  <w:vAlign w:val="center"/>
                </w:tcPr>
                <w:p w14:paraId="060A85BA">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72.4</w:t>
                  </w:r>
                </w:p>
              </w:tc>
              <w:tc>
                <w:tcPr>
                  <w:tcW w:w="467" w:type="dxa"/>
                  <w:shd w:val="clear" w:color="auto" w:fill="auto"/>
                  <w:tcMar>
                    <w:top w:w="0" w:type="dxa"/>
                    <w:left w:w="0" w:type="dxa"/>
                    <w:bottom w:w="0" w:type="dxa"/>
                    <w:right w:w="0" w:type="dxa"/>
                  </w:tcMar>
                  <w:vAlign w:val="center"/>
                </w:tcPr>
                <w:p w14:paraId="479DDFCB">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46.9</w:t>
                  </w:r>
                </w:p>
              </w:tc>
              <w:tc>
                <w:tcPr>
                  <w:tcW w:w="460" w:type="dxa"/>
                  <w:shd w:val="clear" w:color="auto" w:fill="auto"/>
                  <w:tcMar>
                    <w:top w:w="0" w:type="dxa"/>
                    <w:left w:w="0" w:type="dxa"/>
                    <w:bottom w:w="0" w:type="dxa"/>
                    <w:right w:w="0" w:type="dxa"/>
                  </w:tcMar>
                  <w:vAlign w:val="center"/>
                </w:tcPr>
                <w:p w14:paraId="490D2929">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55.2</w:t>
                  </w:r>
                </w:p>
              </w:tc>
              <w:tc>
                <w:tcPr>
                  <w:tcW w:w="460" w:type="dxa"/>
                  <w:shd w:val="clear" w:color="auto" w:fill="auto"/>
                  <w:tcMar>
                    <w:top w:w="0" w:type="dxa"/>
                    <w:left w:w="0" w:type="dxa"/>
                    <w:bottom w:w="0" w:type="dxa"/>
                    <w:right w:w="0" w:type="dxa"/>
                  </w:tcMar>
                  <w:vAlign w:val="center"/>
                </w:tcPr>
                <w:p w14:paraId="4E6B0EC2">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55.2</w:t>
                  </w:r>
                </w:p>
              </w:tc>
              <w:tc>
                <w:tcPr>
                  <w:tcW w:w="460" w:type="dxa"/>
                  <w:shd w:val="clear" w:color="auto" w:fill="auto"/>
                  <w:tcMar>
                    <w:top w:w="0" w:type="dxa"/>
                    <w:left w:w="0" w:type="dxa"/>
                    <w:bottom w:w="0" w:type="dxa"/>
                    <w:right w:w="0" w:type="dxa"/>
                  </w:tcMar>
                  <w:vAlign w:val="center"/>
                </w:tcPr>
                <w:p w14:paraId="5F596D95">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55.0</w:t>
                  </w:r>
                </w:p>
              </w:tc>
              <w:tc>
                <w:tcPr>
                  <w:tcW w:w="462" w:type="dxa"/>
                  <w:shd w:val="clear" w:color="auto" w:fill="auto"/>
                  <w:tcMar>
                    <w:top w:w="0" w:type="dxa"/>
                    <w:left w:w="0" w:type="dxa"/>
                    <w:bottom w:w="0" w:type="dxa"/>
                    <w:right w:w="0" w:type="dxa"/>
                  </w:tcMar>
                  <w:vAlign w:val="center"/>
                </w:tcPr>
                <w:p w14:paraId="16A286F9">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55.0</w:t>
                  </w:r>
                </w:p>
              </w:tc>
              <w:tc>
                <w:tcPr>
                  <w:tcW w:w="445" w:type="dxa"/>
                  <w:vMerge w:val="continue"/>
                  <w:shd w:val="clear" w:color="auto" w:fill="auto"/>
                  <w:tcMar>
                    <w:top w:w="0" w:type="dxa"/>
                    <w:left w:w="0" w:type="dxa"/>
                    <w:bottom w:w="0" w:type="dxa"/>
                    <w:right w:w="0" w:type="dxa"/>
                  </w:tcMar>
                  <w:vAlign w:val="center"/>
                </w:tcPr>
                <w:p w14:paraId="0AE0F9A5">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 w:val="21"/>
                      <w:szCs w:val="21"/>
                    </w:rPr>
                  </w:pPr>
                </w:p>
              </w:tc>
              <w:tc>
                <w:tcPr>
                  <w:tcW w:w="444" w:type="dxa"/>
                  <w:shd w:val="clear" w:color="auto" w:fill="auto"/>
                  <w:tcMar>
                    <w:top w:w="0" w:type="dxa"/>
                    <w:left w:w="0" w:type="dxa"/>
                    <w:bottom w:w="0" w:type="dxa"/>
                    <w:right w:w="0" w:type="dxa"/>
                  </w:tcMar>
                  <w:vAlign w:val="center"/>
                </w:tcPr>
                <w:p w14:paraId="505C3627">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20.0</w:t>
                  </w:r>
                </w:p>
              </w:tc>
              <w:tc>
                <w:tcPr>
                  <w:tcW w:w="444" w:type="dxa"/>
                  <w:shd w:val="clear" w:color="auto" w:fill="auto"/>
                  <w:tcMar>
                    <w:top w:w="0" w:type="dxa"/>
                    <w:left w:w="0" w:type="dxa"/>
                    <w:bottom w:w="0" w:type="dxa"/>
                    <w:right w:w="0" w:type="dxa"/>
                  </w:tcMar>
                  <w:vAlign w:val="center"/>
                </w:tcPr>
                <w:p w14:paraId="0E40CA3F">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20.0</w:t>
                  </w:r>
                </w:p>
              </w:tc>
              <w:tc>
                <w:tcPr>
                  <w:tcW w:w="444" w:type="dxa"/>
                  <w:shd w:val="clear" w:color="auto" w:fill="auto"/>
                  <w:tcMar>
                    <w:top w:w="0" w:type="dxa"/>
                    <w:left w:w="0" w:type="dxa"/>
                    <w:bottom w:w="0" w:type="dxa"/>
                    <w:right w:w="0" w:type="dxa"/>
                  </w:tcMar>
                  <w:vAlign w:val="center"/>
                </w:tcPr>
                <w:p w14:paraId="37741383">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20.0</w:t>
                  </w:r>
                </w:p>
              </w:tc>
              <w:tc>
                <w:tcPr>
                  <w:tcW w:w="444" w:type="dxa"/>
                  <w:shd w:val="clear" w:color="auto" w:fill="auto"/>
                  <w:tcMar>
                    <w:top w:w="0" w:type="dxa"/>
                    <w:left w:w="0" w:type="dxa"/>
                    <w:bottom w:w="0" w:type="dxa"/>
                    <w:right w:w="0" w:type="dxa"/>
                  </w:tcMar>
                  <w:vAlign w:val="center"/>
                </w:tcPr>
                <w:p w14:paraId="179FFEE0">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20.0</w:t>
                  </w:r>
                </w:p>
              </w:tc>
              <w:tc>
                <w:tcPr>
                  <w:tcW w:w="470" w:type="dxa"/>
                  <w:shd w:val="clear" w:color="auto" w:fill="auto"/>
                  <w:tcMar>
                    <w:top w:w="0" w:type="dxa"/>
                    <w:left w:w="0" w:type="dxa"/>
                    <w:bottom w:w="0" w:type="dxa"/>
                    <w:right w:w="0" w:type="dxa"/>
                  </w:tcMar>
                  <w:vAlign w:val="center"/>
                </w:tcPr>
                <w:p w14:paraId="295032CB">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35.2</w:t>
                  </w:r>
                </w:p>
              </w:tc>
              <w:tc>
                <w:tcPr>
                  <w:tcW w:w="470" w:type="dxa"/>
                  <w:shd w:val="clear" w:color="auto" w:fill="auto"/>
                  <w:tcMar>
                    <w:top w:w="0" w:type="dxa"/>
                    <w:left w:w="0" w:type="dxa"/>
                    <w:bottom w:w="0" w:type="dxa"/>
                    <w:right w:w="0" w:type="dxa"/>
                  </w:tcMar>
                  <w:vAlign w:val="center"/>
                </w:tcPr>
                <w:p w14:paraId="69F64C19">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35.2</w:t>
                  </w:r>
                </w:p>
              </w:tc>
              <w:tc>
                <w:tcPr>
                  <w:tcW w:w="470" w:type="dxa"/>
                  <w:shd w:val="clear" w:color="auto" w:fill="auto"/>
                  <w:tcMar>
                    <w:top w:w="0" w:type="dxa"/>
                    <w:left w:w="0" w:type="dxa"/>
                    <w:bottom w:w="0" w:type="dxa"/>
                    <w:right w:w="0" w:type="dxa"/>
                  </w:tcMar>
                  <w:vAlign w:val="center"/>
                </w:tcPr>
                <w:p w14:paraId="0A8F500C">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35.0</w:t>
                  </w:r>
                </w:p>
              </w:tc>
              <w:tc>
                <w:tcPr>
                  <w:tcW w:w="471" w:type="dxa"/>
                  <w:shd w:val="clear" w:color="auto" w:fill="auto"/>
                  <w:tcMar>
                    <w:top w:w="0" w:type="dxa"/>
                    <w:left w:w="0" w:type="dxa"/>
                    <w:bottom w:w="0" w:type="dxa"/>
                    <w:right w:w="0" w:type="dxa"/>
                  </w:tcMar>
                  <w:vAlign w:val="center"/>
                </w:tcPr>
                <w:p w14:paraId="2F6AAB26">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35.0</w:t>
                  </w:r>
                </w:p>
              </w:tc>
              <w:tc>
                <w:tcPr>
                  <w:tcW w:w="648" w:type="dxa"/>
                  <w:shd w:val="clear" w:color="auto" w:fill="auto"/>
                  <w:tcMar>
                    <w:top w:w="0" w:type="dxa"/>
                    <w:left w:w="0" w:type="dxa"/>
                    <w:bottom w:w="0" w:type="dxa"/>
                    <w:right w:w="0" w:type="dxa"/>
                  </w:tcMar>
                  <w:vAlign w:val="center"/>
                </w:tcPr>
                <w:p w14:paraId="3040E1F6">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1</w:t>
                  </w:r>
                </w:p>
              </w:tc>
            </w:tr>
            <w:tr w14:paraId="1139E3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482" w:type="dxa"/>
                  <w:shd w:val="clear" w:color="auto" w:fill="auto"/>
                  <w:vAlign w:val="center"/>
                </w:tcPr>
                <w:p w14:paraId="677AFE93">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39</w:t>
                  </w:r>
                </w:p>
              </w:tc>
              <w:tc>
                <w:tcPr>
                  <w:tcW w:w="485" w:type="dxa"/>
                  <w:vMerge w:val="continue"/>
                  <w:shd w:val="clear" w:color="auto" w:fill="auto"/>
                  <w:tcMar>
                    <w:top w:w="0" w:type="dxa"/>
                    <w:left w:w="0" w:type="dxa"/>
                    <w:bottom w:w="0" w:type="dxa"/>
                    <w:right w:w="0" w:type="dxa"/>
                  </w:tcMar>
                  <w:vAlign w:val="center"/>
                </w:tcPr>
                <w:p w14:paraId="72A97BC9">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 w:val="21"/>
                      <w:szCs w:val="21"/>
                    </w:rPr>
                  </w:pPr>
                </w:p>
              </w:tc>
              <w:tc>
                <w:tcPr>
                  <w:tcW w:w="541" w:type="dxa"/>
                  <w:shd w:val="clear" w:color="auto" w:fill="auto"/>
                  <w:tcMar>
                    <w:top w:w="0" w:type="dxa"/>
                    <w:left w:w="0" w:type="dxa"/>
                    <w:bottom w:w="0" w:type="dxa"/>
                    <w:right w:w="0" w:type="dxa"/>
                  </w:tcMar>
                  <w:vAlign w:val="center"/>
                </w:tcPr>
                <w:p w14:paraId="7FCF96F3">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空压机</w:t>
                  </w:r>
                  <w:r>
                    <w:rPr>
                      <w:rFonts w:hint="eastAsia" w:ascii="Times New Roman" w:hAnsi="Times New Roman" w:eastAsia="宋体" w:cs="Times New Roman"/>
                      <w:color w:val="auto"/>
                      <w:sz w:val="21"/>
                      <w:szCs w:val="21"/>
                      <w:lang w:eastAsia="zh-CN"/>
                    </w:rPr>
                    <w:t>，</w:t>
                  </w:r>
                  <w:r>
                    <w:rPr>
                      <w:rFonts w:hint="default" w:ascii="Times New Roman" w:hAnsi="Times New Roman" w:eastAsia="宋体" w:cs="Times New Roman"/>
                      <w:color w:val="auto"/>
                      <w:sz w:val="21"/>
                      <w:szCs w:val="21"/>
                    </w:rPr>
                    <w:t>2台（按点声源组预测）</w:t>
                  </w:r>
                </w:p>
              </w:tc>
              <w:tc>
                <w:tcPr>
                  <w:tcW w:w="413" w:type="dxa"/>
                  <w:shd w:val="clear" w:color="auto" w:fill="auto"/>
                  <w:tcMar>
                    <w:top w:w="0" w:type="dxa"/>
                    <w:left w:w="0" w:type="dxa"/>
                    <w:bottom w:w="0" w:type="dxa"/>
                    <w:right w:w="0" w:type="dxa"/>
                  </w:tcMar>
                  <w:vAlign w:val="center"/>
                </w:tcPr>
                <w:p w14:paraId="36E5AA5E">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lang w:val="en-US" w:eastAsia="zh-CN"/>
                    </w:rPr>
                    <w:t>XS-30/18、ES-50/8</w:t>
                  </w:r>
                </w:p>
              </w:tc>
              <w:tc>
                <w:tcPr>
                  <w:tcW w:w="637" w:type="dxa"/>
                  <w:shd w:val="clear" w:color="auto" w:fill="auto"/>
                  <w:tcMar>
                    <w:top w:w="0" w:type="dxa"/>
                    <w:left w:w="0" w:type="dxa"/>
                    <w:bottom w:w="0" w:type="dxa"/>
                    <w:right w:w="0" w:type="dxa"/>
                  </w:tcMar>
                  <w:vAlign w:val="center"/>
                </w:tcPr>
                <w:p w14:paraId="46F5E462">
                  <w:pPr>
                    <w:keepNext w:val="0"/>
                    <w:keepLines w:val="0"/>
                    <w:suppressLineNumbers w:val="0"/>
                    <w:spacing w:before="0" w:beforeAutospacing="0" w:after="0" w:afterAutospacing="0"/>
                    <w:ind w:left="0" w:right="0"/>
                    <w:jc w:val="center"/>
                    <w:rPr>
                      <w:rFonts w:hint="eastAsia" w:ascii="Times New Roman" w:hAnsi="Times New Roman" w:eastAsia="宋体" w:cs="Times New Roman"/>
                      <w:color w:val="auto"/>
                      <w:sz w:val="21"/>
                      <w:szCs w:val="21"/>
                      <w:lang w:eastAsia="zh-CN"/>
                    </w:rPr>
                  </w:pPr>
                  <w:r>
                    <w:rPr>
                      <w:rFonts w:hint="default" w:ascii="Times New Roman" w:hAnsi="Times New Roman" w:eastAsia="宋体" w:cs="Times New Roman"/>
                      <w:color w:val="auto"/>
                      <w:sz w:val="21"/>
                      <w:szCs w:val="21"/>
                    </w:rPr>
                    <w:t>90/1（等效后：96.0/1</w:t>
                  </w:r>
                  <w:r>
                    <w:rPr>
                      <w:rFonts w:hint="eastAsia" w:ascii="Times New Roman" w:hAnsi="Times New Roman" w:eastAsia="宋体" w:cs="Times New Roman"/>
                      <w:color w:val="auto"/>
                      <w:sz w:val="21"/>
                      <w:szCs w:val="21"/>
                      <w:lang w:eastAsia="zh-CN"/>
                    </w:rPr>
                    <w:t>）</w:t>
                  </w:r>
                </w:p>
              </w:tc>
              <w:tc>
                <w:tcPr>
                  <w:tcW w:w="553" w:type="dxa"/>
                  <w:vMerge w:val="continue"/>
                  <w:shd w:val="clear" w:color="auto" w:fill="auto"/>
                  <w:tcMar>
                    <w:top w:w="0" w:type="dxa"/>
                    <w:left w:w="0" w:type="dxa"/>
                    <w:bottom w:w="0" w:type="dxa"/>
                    <w:right w:w="0" w:type="dxa"/>
                  </w:tcMar>
                  <w:vAlign w:val="center"/>
                </w:tcPr>
                <w:p w14:paraId="7DFF5650">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 w:val="21"/>
                      <w:szCs w:val="21"/>
                    </w:rPr>
                  </w:pPr>
                </w:p>
              </w:tc>
              <w:tc>
                <w:tcPr>
                  <w:tcW w:w="563" w:type="dxa"/>
                  <w:shd w:val="clear" w:color="auto" w:fill="auto"/>
                  <w:tcMar>
                    <w:top w:w="0" w:type="dxa"/>
                    <w:left w:w="0" w:type="dxa"/>
                    <w:bottom w:w="0" w:type="dxa"/>
                    <w:right w:w="0" w:type="dxa"/>
                  </w:tcMar>
                  <w:vAlign w:val="center"/>
                </w:tcPr>
                <w:p w14:paraId="1A9081A5">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20</w:t>
                  </w:r>
                </w:p>
              </w:tc>
              <w:tc>
                <w:tcPr>
                  <w:tcW w:w="563" w:type="dxa"/>
                  <w:shd w:val="clear" w:color="auto" w:fill="auto"/>
                  <w:tcMar>
                    <w:top w:w="0" w:type="dxa"/>
                    <w:left w:w="0" w:type="dxa"/>
                    <w:bottom w:w="0" w:type="dxa"/>
                    <w:right w:w="0" w:type="dxa"/>
                  </w:tcMar>
                  <w:vAlign w:val="center"/>
                </w:tcPr>
                <w:p w14:paraId="58D5E5B9">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27.2</w:t>
                  </w:r>
                </w:p>
              </w:tc>
              <w:tc>
                <w:tcPr>
                  <w:tcW w:w="564" w:type="dxa"/>
                  <w:shd w:val="clear" w:color="auto" w:fill="auto"/>
                  <w:tcMar>
                    <w:top w:w="0" w:type="dxa"/>
                    <w:left w:w="0" w:type="dxa"/>
                    <w:bottom w:w="0" w:type="dxa"/>
                    <w:right w:w="0" w:type="dxa"/>
                  </w:tcMar>
                  <w:vAlign w:val="center"/>
                </w:tcPr>
                <w:p w14:paraId="3A73E87D">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1.2</w:t>
                  </w:r>
                </w:p>
              </w:tc>
              <w:tc>
                <w:tcPr>
                  <w:tcW w:w="466" w:type="dxa"/>
                  <w:shd w:val="clear" w:color="auto" w:fill="auto"/>
                  <w:tcMar>
                    <w:top w:w="0" w:type="dxa"/>
                    <w:left w:w="0" w:type="dxa"/>
                    <w:bottom w:w="0" w:type="dxa"/>
                    <w:right w:w="0" w:type="dxa"/>
                  </w:tcMar>
                  <w:vAlign w:val="center"/>
                </w:tcPr>
                <w:p w14:paraId="13D66331">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57.4</w:t>
                  </w:r>
                </w:p>
              </w:tc>
              <w:tc>
                <w:tcPr>
                  <w:tcW w:w="466" w:type="dxa"/>
                  <w:shd w:val="clear" w:color="auto" w:fill="auto"/>
                  <w:tcMar>
                    <w:top w:w="0" w:type="dxa"/>
                    <w:left w:w="0" w:type="dxa"/>
                    <w:bottom w:w="0" w:type="dxa"/>
                    <w:right w:w="0" w:type="dxa"/>
                  </w:tcMar>
                  <w:vAlign w:val="center"/>
                </w:tcPr>
                <w:p w14:paraId="6A9AB955">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50.7</w:t>
                  </w:r>
                </w:p>
              </w:tc>
              <w:tc>
                <w:tcPr>
                  <w:tcW w:w="466" w:type="dxa"/>
                  <w:shd w:val="clear" w:color="auto" w:fill="auto"/>
                  <w:tcMar>
                    <w:top w:w="0" w:type="dxa"/>
                    <w:left w:w="0" w:type="dxa"/>
                    <w:bottom w:w="0" w:type="dxa"/>
                    <w:right w:w="0" w:type="dxa"/>
                  </w:tcMar>
                  <w:vAlign w:val="center"/>
                </w:tcPr>
                <w:p w14:paraId="3EB62BE4">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24.9</w:t>
                  </w:r>
                </w:p>
              </w:tc>
              <w:tc>
                <w:tcPr>
                  <w:tcW w:w="467" w:type="dxa"/>
                  <w:shd w:val="clear" w:color="auto" w:fill="auto"/>
                  <w:tcMar>
                    <w:top w:w="0" w:type="dxa"/>
                    <w:left w:w="0" w:type="dxa"/>
                    <w:bottom w:w="0" w:type="dxa"/>
                    <w:right w:w="0" w:type="dxa"/>
                  </w:tcMar>
                  <w:vAlign w:val="center"/>
                </w:tcPr>
                <w:p w14:paraId="2537E384">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6.1</w:t>
                  </w:r>
                </w:p>
              </w:tc>
              <w:tc>
                <w:tcPr>
                  <w:tcW w:w="460" w:type="dxa"/>
                  <w:shd w:val="clear" w:color="auto" w:fill="auto"/>
                  <w:tcMar>
                    <w:top w:w="0" w:type="dxa"/>
                    <w:left w:w="0" w:type="dxa"/>
                    <w:bottom w:w="0" w:type="dxa"/>
                    <w:right w:w="0" w:type="dxa"/>
                  </w:tcMar>
                  <w:vAlign w:val="center"/>
                </w:tcPr>
                <w:p w14:paraId="1522DE5D">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61.0</w:t>
                  </w:r>
                </w:p>
              </w:tc>
              <w:tc>
                <w:tcPr>
                  <w:tcW w:w="460" w:type="dxa"/>
                  <w:shd w:val="clear" w:color="auto" w:fill="auto"/>
                  <w:tcMar>
                    <w:top w:w="0" w:type="dxa"/>
                    <w:left w:w="0" w:type="dxa"/>
                    <w:bottom w:w="0" w:type="dxa"/>
                    <w:right w:w="0" w:type="dxa"/>
                  </w:tcMar>
                  <w:vAlign w:val="center"/>
                </w:tcPr>
                <w:p w14:paraId="58CC146D">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61.0</w:t>
                  </w:r>
                </w:p>
              </w:tc>
              <w:tc>
                <w:tcPr>
                  <w:tcW w:w="460" w:type="dxa"/>
                  <w:shd w:val="clear" w:color="auto" w:fill="auto"/>
                  <w:tcMar>
                    <w:top w:w="0" w:type="dxa"/>
                    <w:left w:w="0" w:type="dxa"/>
                    <w:bottom w:w="0" w:type="dxa"/>
                    <w:right w:w="0" w:type="dxa"/>
                  </w:tcMar>
                  <w:vAlign w:val="center"/>
                </w:tcPr>
                <w:p w14:paraId="4682614A">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61.1</w:t>
                  </w:r>
                </w:p>
              </w:tc>
              <w:tc>
                <w:tcPr>
                  <w:tcW w:w="462" w:type="dxa"/>
                  <w:shd w:val="clear" w:color="auto" w:fill="auto"/>
                  <w:tcMar>
                    <w:top w:w="0" w:type="dxa"/>
                    <w:left w:w="0" w:type="dxa"/>
                    <w:bottom w:w="0" w:type="dxa"/>
                    <w:right w:w="0" w:type="dxa"/>
                  </w:tcMar>
                  <w:vAlign w:val="center"/>
                </w:tcPr>
                <w:p w14:paraId="5BEE2F80">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61.6</w:t>
                  </w:r>
                </w:p>
              </w:tc>
              <w:tc>
                <w:tcPr>
                  <w:tcW w:w="445" w:type="dxa"/>
                  <w:vMerge w:val="continue"/>
                  <w:shd w:val="clear" w:color="auto" w:fill="auto"/>
                  <w:tcMar>
                    <w:top w:w="0" w:type="dxa"/>
                    <w:left w:w="0" w:type="dxa"/>
                    <w:bottom w:w="0" w:type="dxa"/>
                    <w:right w:w="0" w:type="dxa"/>
                  </w:tcMar>
                  <w:vAlign w:val="center"/>
                </w:tcPr>
                <w:p w14:paraId="093BE123">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 w:val="21"/>
                      <w:szCs w:val="21"/>
                    </w:rPr>
                  </w:pPr>
                </w:p>
              </w:tc>
              <w:tc>
                <w:tcPr>
                  <w:tcW w:w="444" w:type="dxa"/>
                  <w:shd w:val="clear" w:color="auto" w:fill="auto"/>
                  <w:tcMar>
                    <w:top w:w="0" w:type="dxa"/>
                    <w:left w:w="0" w:type="dxa"/>
                    <w:bottom w:w="0" w:type="dxa"/>
                    <w:right w:w="0" w:type="dxa"/>
                  </w:tcMar>
                  <w:vAlign w:val="center"/>
                </w:tcPr>
                <w:p w14:paraId="6D1CC763">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20.0</w:t>
                  </w:r>
                </w:p>
              </w:tc>
              <w:tc>
                <w:tcPr>
                  <w:tcW w:w="444" w:type="dxa"/>
                  <w:shd w:val="clear" w:color="auto" w:fill="auto"/>
                  <w:tcMar>
                    <w:top w:w="0" w:type="dxa"/>
                    <w:left w:w="0" w:type="dxa"/>
                    <w:bottom w:w="0" w:type="dxa"/>
                    <w:right w:w="0" w:type="dxa"/>
                  </w:tcMar>
                  <w:vAlign w:val="center"/>
                </w:tcPr>
                <w:p w14:paraId="6801914D">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20.0</w:t>
                  </w:r>
                </w:p>
              </w:tc>
              <w:tc>
                <w:tcPr>
                  <w:tcW w:w="444" w:type="dxa"/>
                  <w:shd w:val="clear" w:color="auto" w:fill="auto"/>
                  <w:tcMar>
                    <w:top w:w="0" w:type="dxa"/>
                    <w:left w:w="0" w:type="dxa"/>
                    <w:bottom w:w="0" w:type="dxa"/>
                    <w:right w:w="0" w:type="dxa"/>
                  </w:tcMar>
                  <w:vAlign w:val="center"/>
                </w:tcPr>
                <w:p w14:paraId="5A6BE1DF">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20.0</w:t>
                  </w:r>
                </w:p>
              </w:tc>
              <w:tc>
                <w:tcPr>
                  <w:tcW w:w="444" w:type="dxa"/>
                  <w:shd w:val="clear" w:color="auto" w:fill="auto"/>
                  <w:tcMar>
                    <w:top w:w="0" w:type="dxa"/>
                    <w:left w:w="0" w:type="dxa"/>
                    <w:bottom w:w="0" w:type="dxa"/>
                    <w:right w:w="0" w:type="dxa"/>
                  </w:tcMar>
                  <w:vAlign w:val="center"/>
                </w:tcPr>
                <w:p w14:paraId="5EC4FF9F">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20.0</w:t>
                  </w:r>
                </w:p>
              </w:tc>
              <w:tc>
                <w:tcPr>
                  <w:tcW w:w="470" w:type="dxa"/>
                  <w:shd w:val="clear" w:color="auto" w:fill="auto"/>
                  <w:tcMar>
                    <w:top w:w="0" w:type="dxa"/>
                    <w:left w:w="0" w:type="dxa"/>
                    <w:bottom w:w="0" w:type="dxa"/>
                    <w:right w:w="0" w:type="dxa"/>
                  </w:tcMar>
                  <w:vAlign w:val="center"/>
                </w:tcPr>
                <w:p w14:paraId="61100AD1">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41.0</w:t>
                  </w:r>
                </w:p>
              </w:tc>
              <w:tc>
                <w:tcPr>
                  <w:tcW w:w="470" w:type="dxa"/>
                  <w:shd w:val="clear" w:color="auto" w:fill="auto"/>
                  <w:tcMar>
                    <w:top w:w="0" w:type="dxa"/>
                    <w:left w:w="0" w:type="dxa"/>
                    <w:bottom w:w="0" w:type="dxa"/>
                    <w:right w:w="0" w:type="dxa"/>
                  </w:tcMar>
                  <w:vAlign w:val="center"/>
                </w:tcPr>
                <w:p w14:paraId="23000D14">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41.0</w:t>
                  </w:r>
                </w:p>
              </w:tc>
              <w:tc>
                <w:tcPr>
                  <w:tcW w:w="470" w:type="dxa"/>
                  <w:shd w:val="clear" w:color="auto" w:fill="auto"/>
                  <w:tcMar>
                    <w:top w:w="0" w:type="dxa"/>
                    <w:left w:w="0" w:type="dxa"/>
                    <w:bottom w:w="0" w:type="dxa"/>
                    <w:right w:w="0" w:type="dxa"/>
                  </w:tcMar>
                  <w:vAlign w:val="center"/>
                </w:tcPr>
                <w:p w14:paraId="6B68D48F">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41.1</w:t>
                  </w:r>
                </w:p>
              </w:tc>
              <w:tc>
                <w:tcPr>
                  <w:tcW w:w="471" w:type="dxa"/>
                  <w:shd w:val="clear" w:color="auto" w:fill="auto"/>
                  <w:tcMar>
                    <w:top w:w="0" w:type="dxa"/>
                    <w:left w:w="0" w:type="dxa"/>
                    <w:bottom w:w="0" w:type="dxa"/>
                    <w:right w:w="0" w:type="dxa"/>
                  </w:tcMar>
                  <w:vAlign w:val="center"/>
                </w:tcPr>
                <w:p w14:paraId="3EF839DA">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41.6</w:t>
                  </w:r>
                </w:p>
              </w:tc>
              <w:tc>
                <w:tcPr>
                  <w:tcW w:w="648" w:type="dxa"/>
                  <w:shd w:val="clear" w:color="auto" w:fill="auto"/>
                  <w:tcMar>
                    <w:top w:w="0" w:type="dxa"/>
                    <w:left w:w="0" w:type="dxa"/>
                    <w:bottom w:w="0" w:type="dxa"/>
                    <w:right w:w="0" w:type="dxa"/>
                  </w:tcMar>
                  <w:vAlign w:val="center"/>
                </w:tcPr>
                <w:p w14:paraId="196BBC65">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1</w:t>
                  </w:r>
                </w:p>
              </w:tc>
            </w:tr>
            <w:tr w14:paraId="0ECBB2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23" w:hRule="atLeast"/>
                <w:jc w:val="center"/>
              </w:trPr>
              <w:tc>
                <w:tcPr>
                  <w:tcW w:w="482" w:type="dxa"/>
                  <w:shd w:val="clear" w:color="auto" w:fill="auto"/>
                  <w:vAlign w:val="center"/>
                </w:tcPr>
                <w:p w14:paraId="01927113">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40</w:t>
                  </w:r>
                </w:p>
              </w:tc>
              <w:tc>
                <w:tcPr>
                  <w:tcW w:w="485" w:type="dxa"/>
                  <w:vMerge w:val="continue"/>
                  <w:shd w:val="clear" w:color="auto" w:fill="auto"/>
                  <w:tcMar>
                    <w:top w:w="0" w:type="dxa"/>
                    <w:left w:w="0" w:type="dxa"/>
                    <w:bottom w:w="0" w:type="dxa"/>
                    <w:right w:w="0" w:type="dxa"/>
                  </w:tcMar>
                  <w:vAlign w:val="center"/>
                </w:tcPr>
                <w:p w14:paraId="54AAD470">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 w:val="21"/>
                      <w:szCs w:val="21"/>
                    </w:rPr>
                  </w:pPr>
                </w:p>
              </w:tc>
              <w:tc>
                <w:tcPr>
                  <w:tcW w:w="541" w:type="dxa"/>
                  <w:shd w:val="clear" w:color="auto" w:fill="auto"/>
                  <w:tcMar>
                    <w:top w:w="0" w:type="dxa"/>
                    <w:left w:w="0" w:type="dxa"/>
                    <w:bottom w:w="0" w:type="dxa"/>
                    <w:right w:w="0" w:type="dxa"/>
                  </w:tcMar>
                  <w:vAlign w:val="center"/>
                </w:tcPr>
                <w:p w14:paraId="0944B605">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变压器</w:t>
                  </w:r>
                </w:p>
              </w:tc>
              <w:tc>
                <w:tcPr>
                  <w:tcW w:w="413" w:type="dxa"/>
                  <w:shd w:val="clear" w:color="auto" w:fill="auto"/>
                  <w:tcMar>
                    <w:top w:w="0" w:type="dxa"/>
                    <w:left w:w="0" w:type="dxa"/>
                    <w:bottom w:w="0" w:type="dxa"/>
                    <w:right w:w="0" w:type="dxa"/>
                  </w:tcMar>
                  <w:vAlign w:val="center"/>
                </w:tcPr>
                <w:p w14:paraId="05551D1E">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SCB14-1000/10</w:t>
                  </w:r>
                </w:p>
              </w:tc>
              <w:tc>
                <w:tcPr>
                  <w:tcW w:w="637" w:type="dxa"/>
                  <w:shd w:val="clear" w:color="auto" w:fill="auto"/>
                  <w:tcMar>
                    <w:top w:w="0" w:type="dxa"/>
                    <w:left w:w="0" w:type="dxa"/>
                    <w:bottom w:w="0" w:type="dxa"/>
                    <w:right w:w="0" w:type="dxa"/>
                  </w:tcMar>
                  <w:vAlign w:val="center"/>
                </w:tcPr>
                <w:p w14:paraId="0AB33F48">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75/1</w:t>
                  </w:r>
                </w:p>
              </w:tc>
              <w:tc>
                <w:tcPr>
                  <w:tcW w:w="553" w:type="dxa"/>
                  <w:vMerge w:val="continue"/>
                  <w:shd w:val="clear" w:color="auto" w:fill="auto"/>
                  <w:tcMar>
                    <w:top w:w="0" w:type="dxa"/>
                    <w:left w:w="0" w:type="dxa"/>
                    <w:bottom w:w="0" w:type="dxa"/>
                    <w:right w:w="0" w:type="dxa"/>
                  </w:tcMar>
                  <w:vAlign w:val="center"/>
                </w:tcPr>
                <w:p w14:paraId="24AF99F9">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 w:val="21"/>
                      <w:szCs w:val="21"/>
                    </w:rPr>
                  </w:pPr>
                </w:p>
              </w:tc>
              <w:tc>
                <w:tcPr>
                  <w:tcW w:w="563" w:type="dxa"/>
                  <w:shd w:val="clear" w:color="auto" w:fill="auto"/>
                  <w:tcMar>
                    <w:top w:w="0" w:type="dxa"/>
                    <w:left w:w="0" w:type="dxa"/>
                    <w:bottom w:w="0" w:type="dxa"/>
                    <w:right w:w="0" w:type="dxa"/>
                  </w:tcMar>
                  <w:vAlign w:val="center"/>
                </w:tcPr>
                <w:p w14:paraId="68B8D2E2">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69.7</w:t>
                  </w:r>
                </w:p>
              </w:tc>
              <w:tc>
                <w:tcPr>
                  <w:tcW w:w="563" w:type="dxa"/>
                  <w:shd w:val="clear" w:color="auto" w:fill="auto"/>
                  <w:tcMar>
                    <w:top w:w="0" w:type="dxa"/>
                    <w:left w:w="0" w:type="dxa"/>
                    <w:bottom w:w="0" w:type="dxa"/>
                    <w:right w:w="0" w:type="dxa"/>
                  </w:tcMar>
                  <w:vAlign w:val="center"/>
                </w:tcPr>
                <w:p w14:paraId="0460F145">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39.5</w:t>
                  </w:r>
                </w:p>
              </w:tc>
              <w:tc>
                <w:tcPr>
                  <w:tcW w:w="564" w:type="dxa"/>
                  <w:shd w:val="clear" w:color="auto" w:fill="auto"/>
                  <w:tcMar>
                    <w:top w:w="0" w:type="dxa"/>
                    <w:left w:w="0" w:type="dxa"/>
                    <w:bottom w:w="0" w:type="dxa"/>
                    <w:right w:w="0" w:type="dxa"/>
                  </w:tcMar>
                  <w:vAlign w:val="center"/>
                </w:tcPr>
                <w:p w14:paraId="15AB4802">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1.2</w:t>
                  </w:r>
                </w:p>
              </w:tc>
              <w:tc>
                <w:tcPr>
                  <w:tcW w:w="466" w:type="dxa"/>
                  <w:shd w:val="clear" w:color="auto" w:fill="auto"/>
                  <w:tcMar>
                    <w:top w:w="0" w:type="dxa"/>
                    <w:left w:w="0" w:type="dxa"/>
                    <w:bottom w:w="0" w:type="dxa"/>
                    <w:right w:w="0" w:type="dxa"/>
                  </w:tcMar>
                  <w:vAlign w:val="center"/>
                </w:tcPr>
                <w:p w14:paraId="123C0602">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6.1</w:t>
                  </w:r>
                </w:p>
              </w:tc>
              <w:tc>
                <w:tcPr>
                  <w:tcW w:w="466" w:type="dxa"/>
                  <w:shd w:val="clear" w:color="auto" w:fill="auto"/>
                  <w:tcMar>
                    <w:top w:w="0" w:type="dxa"/>
                    <w:left w:w="0" w:type="dxa"/>
                    <w:bottom w:w="0" w:type="dxa"/>
                    <w:right w:w="0" w:type="dxa"/>
                  </w:tcMar>
                  <w:vAlign w:val="center"/>
                </w:tcPr>
                <w:p w14:paraId="68A88BA3">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51.7</w:t>
                  </w:r>
                </w:p>
              </w:tc>
              <w:tc>
                <w:tcPr>
                  <w:tcW w:w="466" w:type="dxa"/>
                  <w:shd w:val="clear" w:color="auto" w:fill="auto"/>
                  <w:tcMar>
                    <w:top w:w="0" w:type="dxa"/>
                    <w:left w:w="0" w:type="dxa"/>
                    <w:bottom w:w="0" w:type="dxa"/>
                    <w:right w:w="0" w:type="dxa"/>
                  </w:tcMar>
                  <w:vAlign w:val="center"/>
                </w:tcPr>
                <w:p w14:paraId="22D12E2B">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76.1</w:t>
                  </w:r>
                </w:p>
              </w:tc>
              <w:tc>
                <w:tcPr>
                  <w:tcW w:w="467" w:type="dxa"/>
                  <w:shd w:val="clear" w:color="auto" w:fill="auto"/>
                  <w:tcMar>
                    <w:top w:w="0" w:type="dxa"/>
                    <w:left w:w="0" w:type="dxa"/>
                    <w:bottom w:w="0" w:type="dxa"/>
                    <w:right w:w="0" w:type="dxa"/>
                  </w:tcMar>
                  <w:vAlign w:val="center"/>
                </w:tcPr>
                <w:p w14:paraId="7AA7B6F6">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5.3</w:t>
                  </w:r>
                </w:p>
              </w:tc>
              <w:tc>
                <w:tcPr>
                  <w:tcW w:w="460" w:type="dxa"/>
                  <w:shd w:val="clear" w:color="auto" w:fill="auto"/>
                  <w:tcMar>
                    <w:top w:w="0" w:type="dxa"/>
                    <w:left w:w="0" w:type="dxa"/>
                    <w:bottom w:w="0" w:type="dxa"/>
                    <w:right w:w="0" w:type="dxa"/>
                  </w:tcMar>
                  <w:vAlign w:val="center"/>
                </w:tcPr>
                <w:p w14:paraId="7BE3FEFA">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55.6</w:t>
                  </w:r>
                </w:p>
              </w:tc>
              <w:tc>
                <w:tcPr>
                  <w:tcW w:w="460" w:type="dxa"/>
                  <w:shd w:val="clear" w:color="auto" w:fill="auto"/>
                  <w:tcMar>
                    <w:top w:w="0" w:type="dxa"/>
                    <w:left w:w="0" w:type="dxa"/>
                    <w:bottom w:w="0" w:type="dxa"/>
                    <w:right w:w="0" w:type="dxa"/>
                  </w:tcMar>
                  <w:vAlign w:val="center"/>
                </w:tcPr>
                <w:p w14:paraId="2DD0E7AF">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55.0</w:t>
                  </w:r>
                </w:p>
              </w:tc>
              <w:tc>
                <w:tcPr>
                  <w:tcW w:w="460" w:type="dxa"/>
                  <w:shd w:val="clear" w:color="auto" w:fill="auto"/>
                  <w:tcMar>
                    <w:top w:w="0" w:type="dxa"/>
                    <w:left w:w="0" w:type="dxa"/>
                    <w:bottom w:w="0" w:type="dxa"/>
                    <w:right w:w="0" w:type="dxa"/>
                  </w:tcMar>
                  <w:vAlign w:val="center"/>
                </w:tcPr>
                <w:p w14:paraId="42FFB33C">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55.0</w:t>
                  </w:r>
                </w:p>
              </w:tc>
              <w:tc>
                <w:tcPr>
                  <w:tcW w:w="462" w:type="dxa"/>
                  <w:shd w:val="clear" w:color="auto" w:fill="auto"/>
                  <w:tcMar>
                    <w:top w:w="0" w:type="dxa"/>
                    <w:left w:w="0" w:type="dxa"/>
                    <w:bottom w:w="0" w:type="dxa"/>
                    <w:right w:w="0" w:type="dxa"/>
                  </w:tcMar>
                  <w:vAlign w:val="center"/>
                </w:tcPr>
                <w:p w14:paraId="3806FC11">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55.7</w:t>
                  </w:r>
                </w:p>
              </w:tc>
              <w:tc>
                <w:tcPr>
                  <w:tcW w:w="445" w:type="dxa"/>
                  <w:vMerge w:val="continue"/>
                  <w:shd w:val="clear" w:color="auto" w:fill="auto"/>
                  <w:tcMar>
                    <w:top w:w="0" w:type="dxa"/>
                    <w:left w:w="0" w:type="dxa"/>
                    <w:bottom w:w="0" w:type="dxa"/>
                    <w:right w:w="0" w:type="dxa"/>
                  </w:tcMar>
                  <w:vAlign w:val="center"/>
                </w:tcPr>
                <w:p w14:paraId="7B0B32BB">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 w:val="21"/>
                      <w:szCs w:val="21"/>
                    </w:rPr>
                  </w:pPr>
                </w:p>
              </w:tc>
              <w:tc>
                <w:tcPr>
                  <w:tcW w:w="444" w:type="dxa"/>
                  <w:shd w:val="clear" w:color="auto" w:fill="auto"/>
                  <w:tcMar>
                    <w:top w:w="0" w:type="dxa"/>
                    <w:left w:w="0" w:type="dxa"/>
                    <w:bottom w:w="0" w:type="dxa"/>
                    <w:right w:w="0" w:type="dxa"/>
                  </w:tcMar>
                  <w:vAlign w:val="center"/>
                </w:tcPr>
                <w:p w14:paraId="108F5C3F">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20.0</w:t>
                  </w:r>
                </w:p>
              </w:tc>
              <w:tc>
                <w:tcPr>
                  <w:tcW w:w="444" w:type="dxa"/>
                  <w:shd w:val="clear" w:color="auto" w:fill="auto"/>
                  <w:tcMar>
                    <w:top w:w="0" w:type="dxa"/>
                    <w:left w:w="0" w:type="dxa"/>
                    <w:bottom w:w="0" w:type="dxa"/>
                    <w:right w:w="0" w:type="dxa"/>
                  </w:tcMar>
                  <w:vAlign w:val="center"/>
                </w:tcPr>
                <w:p w14:paraId="64B384CF">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20.0</w:t>
                  </w:r>
                </w:p>
              </w:tc>
              <w:tc>
                <w:tcPr>
                  <w:tcW w:w="444" w:type="dxa"/>
                  <w:shd w:val="clear" w:color="auto" w:fill="auto"/>
                  <w:tcMar>
                    <w:top w:w="0" w:type="dxa"/>
                    <w:left w:w="0" w:type="dxa"/>
                    <w:bottom w:w="0" w:type="dxa"/>
                    <w:right w:w="0" w:type="dxa"/>
                  </w:tcMar>
                  <w:vAlign w:val="center"/>
                </w:tcPr>
                <w:p w14:paraId="1265BAC3">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20.0</w:t>
                  </w:r>
                </w:p>
              </w:tc>
              <w:tc>
                <w:tcPr>
                  <w:tcW w:w="444" w:type="dxa"/>
                  <w:shd w:val="clear" w:color="auto" w:fill="auto"/>
                  <w:tcMar>
                    <w:top w:w="0" w:type="dxa"/>
                    <w:left w:w="0" w:type="dxa"/>
                    <w:bottom w:w="0" w:type="dxa"/>
                    <w:right w:w="0" w:type="dxa"/>
                  </w:tcMar>
                  <w:vAlign w:val="center"/>
                </w:tcPr>
                <w:p w14:paraId="7CAE70F9">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20.0</w:t>
                  </w:r>
                </w:p>
              </w:tc>
              <w:tc>
                <w:tcPr>
                  <w:tcW w:w="470" w:type="dxa"/>
                  <w:shd w:val="clear" w:color="auto" w:fill="auto"/>
                  <w:tcMar>
                    <w:top w:w="0" w:type="dxa"/>
                    <w:left w:w="0" w:type="dxa"/>
                    <w:bottom w:w="0" w:type="dxa"/>
                    <w:right w:w="0" w:type="dxa"/>
                  </w:tcMar>
                  <w:vAlign w:val="center"/>
                </w:tcPr>
                <w:p w14:paraId="0A233913">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35.6</w:t>
                  </w:r>
                </w:p>
              </w:tc>
              <w:tc>
                <w:tcPr>
                  <w:tcW w:w="470" w:type="dxa"/>
                  <w:shd w:val="clear" w:color="auto" w:fill="auto"/>
                  <w:tcMar>
                    <w:top w:w="0" w:type="dxa"/>
                    <w:left w:w="0" w:type="dxa"/>
                    <w:bottom w:w="0" w:type="dxa"/>
                    <w:right w:w="0" w:type="dxa"/>
                  </w:tcMar>
                  <w:vAlign w:val="center"/>
                </w:tcPr>
                <w:p w14:paraId="79ABCF5F">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35.0</w:t>
                  </w:r>
                </w:p>
              </w:tc>
              <w:tc>
                <w:tcPr>
                  <w:tcW w:w="470" w:type="dxa"/>
                  <w:shd w:val="clear" w:color="auto" w:fill="auto"/>
                  <w:tcMar>
                    <w:top w:w="0" w:type="dxa"/>
                    <w:left w:w="0" w:type="dxa"/>
                    <w:bottom w:w="0" w:type="dxa"/>
                    <w:right w:w="0" w:type="dxa"/>
                  </w:tcMar>
                  <w:vAlign w:val="center"/>
                </w:tcPr>
                <w:p w14:paraId="1BA5EA15">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35.0</w:t>
                  </w:r>
                </w:p>
              </w:tc>
              <w:tc>
                <w:tcPr>
                  <w:tcW w:w="471" w:type="dxa"/>
                  <w:shd w:val="clear" w:color="auto" w:fill="auto"/>
                  <w:tcMar>
                    <w:top w:w="0" w:type="dxa"/>
                    <w:left w:w="0" w:type="dxa"/>
                    <w:bottom w:w="0" w:type="dxa"/>
                    <w:right w:w="0" w:type="dxa"/>
                  </w:tcMar>
                  <w:vAlign w:val="center"/>
                </w:tcPr>
                <w:p w14:paraId="6AE8230A">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35.7</w:t>
                  </w:r>
                </w:p>
              </w:tc>
              <w:tc>
                <w:tcPr>
                  <w:tcW w:w="648" w:type="dxa"/>
                  <w:shd w:val="clear" w:color="auto" w:fill="auto"/>
                  <w:tcMar>
                    <w:top w:w="0" w:type="dxa"/>
                    <w:left w:w="0" w:type="dxa"/>
                    <w:bottom w:w="0" w:type="dxa"/>
                    <w:right w:w="0" w:type="dxa"/>
                  </w:tcMar>
                  <w:vAlign w:val="center"/>
                </w:tcPr>
                <w:p w14:paraId="0D0B55CD">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1</w:t>
                  </w:r>
                </w:p>
              </w:tc>
            </w:tr>
          </w:tbl>
          <w:p w14:paraId="731F2A34">
            <w:pPr>
              <w:keepNext w:val="0"/>
              <w:keepLines w:val="0"/>
              <w:suppressLineNumbers w:val="0"/>
              <w:spacing w:before="0" w:beforeAutospacing="0" w:after="0" w:afterAutospacing="0"/>
              <w:ind w:left="0" w:right="0" w:firstLine="420" w:firstLineChars="200"/>
              <w:rPr>
                <w:rFonts w:hint="default" w:ascii="Times New Roman" w:hAnsi="Times New Roman" w:eastAsia="宋体" w:cs="Times New Roman"/>
                <w:color w:val="auto"/>
                <w:szCs w:val="21"/>
              </w:rPr>
            </w:pPr>
            <w:r>
              <w:rPr>
                <w:rFonts w:hint="eastAsia" w:ascii="Times New Roman" w:hAnsi="Times New Roman" w:eastAsia="宋体" w:cs="Times New Roman"/>
                <w:color w:val="auto"/>
                <w:szCs w:val="21"/>
              </w:rPr>
              <w:t>注：</w:t>
            </w:r>
            <w:r>
              <w:rPr>
                <w:rFonts w:hint="default" w:ascii="Times New Roman" w:hAnsi="Times New Roman" w:eastAsia="宋体" w:cs="Times New Roman"/>
                <w:color w:val="auto"/>
                <w:szCs w:val="21"/>
              </w:rPr>
              <w:t>表中坐标以厂界中心（</w:t>
            </w:r>
            <w:bookmarkStart w:id="32" w:name="PO_7"/>
            <w:r>
              <w:rPr>
                <w:rFonts w:hint="default" w:ascii="Times New Roman" w:hAnsi="Times New Roman" w:eastAsia="宋体" w:cs="Times New Roman"/>
                <w:color w:val="auto"/>
                <w:szCs w:val="21"/>
                <w:lang w:val="en-US" w:eastAsia="zh-CN"/>
              </w:rPr>
              <w:t>119.650016</w:t>
            </w:r>
            <w:r>
              <w:rPr>
                <w:rFonts w:hint="eastAsia" w:ascii="Times New Roman" w:hAnsi="Times New Roman" w:eastAsia="宋体" w:cs="Times New Roman"/>
                <w:color w:val="auto"/>
                <w:szCs w:val="21"/>
                <w:lang w:val="en-US" w:eastAsia="zh-CN"/>
              </w:rPr>
              <w:t>，</w:t>
            </w:r>
            <w:r>
              <w:rPr>
                <w:rFonts w:hint="default" w:ascii="Times New Roman" w:hAnsi="Times New Roman" w:eastAsia="宋体" w:cs="Times New Roman"/>
                <w:color w:val="auto"/>
                <w:szCs w:val="21"/>
                <w:lang w:val="en-US" w:eastAsia="zh-CN"/>
              </w:rPr>
              <w:t>30.784002</w:t>
            </w:r>
            <w:bookmarkEnd w:id="32"/>
            <w:r>
              <w:rPr>
                <w:rFonts w:hint="default" w:ascii="Times New Roman" w:hAnsi="Times New Roman" w:eastAsia="宋体" w:cs="Times New Roman"/>
                <w:color w:val="auto"/>
                <w:szCs w:val="21"/>
              </w:rPr>
              <w:t>）为坐标原点，正东向为X轴正方向，正北向为Y轴正方向</w:t>
            </w:r>
            <w:r>
              <w:rPr>
                <w:rFonts w:hint="eastAsia" w:ascii="Times New Roman" w:hAnsi="Times New Roman" w:eastAsia="宋体" w:cs="Times New Roman"/>
                <w:color w:val="auto"/>
                <w:szCs w:val="21"/>
              </w:rPr>
              <w:t>。</w:t>
            </w:r>
          </w:p>
          <w:p w14:paraId="0DA2FDBC">
            <w:pPr>
              <w:keepNext w:val="0"/>
              <w:keepLines w:val="0"/>
              <w:suppressLineNumbers w:val="0"/>
              <w:spacing w:before="0" w:beforeAutospacing="0" w:after="0" w:afterAutospacing="0"/>
              <w:ind w:left="0" w:right="0"/>
              <w:rPr>
                <w:rFonts w:hint="default"/>
                <w:color w:val="auto"/>
              </w:rPr>
            </w:pPr>
          </w:p>
          <w:p w14:paraId="523E9A41">
            <w:pPr>
              <w:keepNext w:val="0"/>
              <w:keepLines w:val="0"/>
              <w:suppressLineNumbers w:val="0"/>
              <w:spacing w:before="0" w:beforeAutospacing="0" w:after="0" w:afterAutospacing="0"/>
              <w:ind w:left="0" w:right="0"/>
              <w:rPr>
                <w:rFonts w:hint="default"/>
                <w:color w:val="auto"/>
              </w:rPr>
            </w:pPr>
          </w:p>
          <w:p w14:paraId="1A9F6B7F">
            <w:pPr>
              <w:keepNext w:val="0"/>
              <w:keepLines w:val="0"/>
              <w:suppressLineNumbers w:val="0"/>
              <w:spacing w:before="0" w:beforeAutospacing="0" w:after="0" w:afterAutospacing="0"/>
              <w:ind w:left="0" w:right="0"/>
              <w:rPr>
                <w:rFonts w:hint="default"/>
                <w:color w:val="auto"/>
              </w:rPr>
            </w:pPr>
          </w:p>
          <w:p w14:paraId="01844BC3">
            <w:pPr>
              <w:keepNext w:val="0"/>
              <w:keepLines w:val="0"/>
              <w:suppressLineNumbers w:val="0"/>
              <w:spacing w:before="0" w:beforeAutospacing="0" w:after="0" w:afterAutospacing="0"/>
              <w:ind w:left="0" w:right="0"/>
              <w:rPr>
                <w:rFonts w:hint="default"/>
                <w:color w:val="auto"/>
              </w:rPr>
            </w:pPr>
          </w:p>
        </w:tc>
      </w:tr>
    </w:tbl>
    <w:p w14:paraId="5A0F80DF">
      <w:pPr>
        <w:rPr>
          <w:color w:val="auto"/>
        </w:rPr>
        <w:sectPr>
          <w:pgSz w:w="16838" w:h="11906" w:orient="landscape"/>
          <w:pgMar w:top="1417" w:right="1417" w:bottom="1417" w:left="1417" w:header="851" w:footer="992" w:gutter="0"/>
          <w:pgBorders>
            <w:top w:val="none" w:sz="0" w:space="0"/>
            <w:left w:val="none" w:sz="0" w:space="0"/>
            <w:bottom w:val="none" w:sz="0" w:space="0"/>
            <w:right w:val="none" w:sz="0" w:space="0"/>
          </w:pgBorders>
          <w:cols w:space="425" w:num="1"/>
          <w:docGrid w:type="lines" w:linePitch="312" w:charSpace="0"/>
        </w:sectPr>
      </w:pPr>
    </w:p>
    <w:tbl>
      <w:tblPr>
        <w:tblStyle w:val="23"/>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89"/>
        <w:gridCol w:w="8573"/>
      </w:tblGrid>
      <w:tr w14:paraId="5879AD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781" w:hRule="atLeast"/>
        </w:trPr>
        <w:tc>
          <w:tcPr>
            <w:tcW w:w="270" w:type="pct"/>
            <w:vAlign w:val="center"/>
          </w:tcPr>
          <w:p w14:paraId="1FCFD749">
            <w:pPr>
              <w:keepNext w:val="0"/>
              <w:keepLines w:val="0"/>
              <w:suppressLineNumbers w:val="0"/>
              <w:spacing w:before="0" w:beforeAutospacing="0" w:after="0" w:afterAutospacing="0"/>
              <w:ind w:left="0" w:right="0"/>
              <w:jc w:val="center"/>
              <w:rPr>
                <w:rFonts w:hint="default" w:ascii="Times New Roman" w:hAnsi="Times New Roman" w:eastAsia="宋体" w:cs="Times New Roman"/>
                <w:b/>
                <w:bCs/>
                <w:color w:val="auto"/>
                <w:sz w:val="24"/>
              </w:rPr>
            </w:pPr>
            <w:r>
              <w:rPr>
                <w:rFonts w:hint="eastAsia" w:ascii="Times New Roman" w:hAnsi="Times New Roman" w:eastAsia="宋体" w:cs="Times New Roman"/>
                <w:b/>
                <w:bCs/>
                <w:color w:val="auto"/>
                <w:sz w:val="24"/>
              </w:rPr>
              <w:t>运营期环境影响和保护施</w:t>
            </w:r>
          </w:p>
        </w:tc>
        <w:tc>
          <w:tcPr>
            <w:tcW w:w="4729" w:type="pct"/>
          </w:tcPr>
          <w:p w14:paraId="0382D10F">
            <w:pPr>
              <w:keepNext w:val="0"/>
              <w:keepLines w:val="0"/>
              <w:suppressLineNumbers w:val="0"/>
              <w:spacing w:before="0" w:beforeAutospacing="0" w:after="0" w:afterAutospacing="0" w:line="360" w:lineRule="auto"/>
              <w:ind w:left="0" w:right="0" w:firstLine="480" w:firstLineChars="200"/>
              <w:rPr>
                <w:rFonts w:hint="default" w:ascii="Times New Roman" w:hAnsi="Times New Roman" w:eastAsia="宋体" w:cs="Times New Roman"/>
                <w:color w:val="auto"/>
                <w:sz w:val="24"/>
              </w:rPr>
            </w:pPr>
            <w:r>
              <w:rPr>
                <w:rFonts w:hint="eastAsia" w:ascii="Times New Roman" w:hAnsi="Times New Roman" w:eastAsia="宋体" w:cs="Times New Roman"/>
                <w:color w:val="auto"/>
                <w:sz w:val="24"/>
              </w:rPr>
              <w:t>（2）基础数据</w:t>
            </w:r>
          </w:p>
          <w:p w14:paraId="4C9ACF24">
            <w:pPr>
              <w:keepNext w:val="0"/>
              <w:keepLines w:val="0"/>
              <w:suppressLineNumbers w:val="0"/>
              <w:spacing w:before="0" w:beforeAutospacing="0" w:after="0" w:afterAutospacing="0" w:line="360" w:lineRule="auto"/>
              <w:ind w:left="0" w:right="0" w:firstLine="480" w:firstLineChars="200"/>
              <w:rPr>
                <w:rFonts w:hint="default" w:ascii="Times New Roman" w:hAnsi="Times New Roman" w:eastAsia="宋体" w:cs="Times New Roman"/>
                <w:color w:val="auto"/>
                <w:sz w:val="24"/>
              </w:rPr>
            </w:pPr>
            <w:r>
              <w:rPr>
                <w:rFonts w:hint="eastAsia" w:ascii="Times New Roman" w:hAnsi="Times New Roman" w:eastAsia="宋体" w:cs="Times New Roman"/>
                <w:color w:val="auto"/>
                <w:sz w:val="24"/>
              </w:rPr>
              <w:t>项目噪声环境影响预测基础数据见表4-1</w:t>
            </w:r>
            <w:r>
              <w:rPr>
                <w:rFonts w:hint="eastAsia" w:ascii="Times New Roman" w:hAnsi="Times New Roman" w:eastAsia="宋体" w:cs="Times New Roman"/>
                <w:color w:val="auto"/>
                <w:sz w:val="24"/>
                <w:lang w:val="en-US" w:eastAsia="zh-CN"/>
              </w:rPr>
              <w:t>9</w:t>
            </w:r>
            <w:r>
              <w:rPr>
                <w:rFonts w:hint="eastAsia" w:ascii="Times New Roman" w:hAnsi="Times New Roman" w:eastAsia="宋体" w:cs="Times New Roman"/>
                <w:color w:val="auto"/>
                <w:sz w:val="24"/>
              </w:rPr>
              <w:t>。</w:t>
            </w:r>
          </w:p>
          <w:p w14:paraId="6A0975BC">
            <w:pPr>
              <w:keepNext w:val="0"/>
              <w:keepLines w:val="0"/>
              <w:suppressLineNumbers w:val="0"/>
              <w:spacing w:before="0" w:beforeAutospacing="0" w:after="0" w:afterAutospacing="0"/>
              <w:ind w:left="0" w:right="0"/>
              <w:jc w:val="center"/>
              <w:rPr>
                <w:rFonts w:hint="default" w:ascii="Times New Roman" w:hAnsi="Times New Roman" w:eastAsia="宋体" w:cs="Times New Roman"/>
                <w:b/>
                <w:bCs/>
                <w:color w:val="auto"/>
              </w:rPr>
            </w:pPr>
            <w:r>
              <w:rPr>
                <w:rFonts w:hint="eastAsia" w:ascii="Times New Roman" w:hAnsi="Times New Roman" w:eastAsia="宋体" w:cs="Times New Roman"/>
                <w:b/>
                <w:bCs/>
                <w:color w:val="auto"/>
              </w:rPr>
              <w:t>表4-1</w:t>
            </w:r>
            <w:r>
              <w:rPr>
                <w:rFonts w:hint="eastAsia" w:ascii="Times New Roman" w:hAnsi="Times New Roman" w:eastAsia="宋体" w:cs="Times New Roman"/>
                <w:b/>
                <w:bCs/>
                <w:color w:val="auto"/>
                <w:lang w:val="en-US" w:eastAsia="zh-CN"/>
              </w:rPr>
              <w:t>9</w:t>
            </w:r>
            <w:r>
              <w:rPr>
                <w:rFonts w:hint="eastAsia" w:ascii="Times New Roman" w:hAnsi="Times New Roman" w:eastAsia="宋体" w:cs="Times New Roman"/>
                <w:b/>
                <w:bCs/>
                <w:color w:val="auto"/>
              </w:rPr>
              <w:t xml:space="preserve">  项目噪声环境影响预测基础数据表</w:t>
            </w:r>
          </w:p>
          <w:tbl>
            <w:tblPr>
              <w:tblStyle w:val="22"/>
              <w:tblW w:w="4998"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438"/>
              <w:gridCol w:w="2734"/>
              <w:gridCol w:w="2086"/>
              <w:gridCol w:w="2086"/>
            </w:tblGrid>
            <w:tr w14:paraId="7CDC53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exact"/>
                <w:jc w:val="center"/>
              </w:trPr>
              <w:tc>
                <w:tcPr>
                  <w:tcW w:w="861" w:type="pct"/>
                  <w:vAlign w:val="center"/>
                </w:tcPr>
                <w:p w14:paraId="07F6AF73">
                  <w:pPr>
                    <w:keepNext w:val="0"/>
                    <w:keepLines w:val="0"/>
                    <w:suppressLineNumbers w:val="0"/>
                    <w:spacing w:before="0" w:beforeAutospacing="0" w:after="0" w:afterAutospacing="0"/>
                    <w:ind w:left="0" w:right="0"/>
                    <w:jc w:val="center"/>
                    <w:rPr>
                      <w:rFonts w:hint="default" w:ascii="Times New Roman" w:hAnsi="Times New Roman" w:eastAsia="宋体" w:cs="Times New Roman"/>
                      <w:b/>
                      <w:bCs/>
                      <w:color w:val="auto"/>
                      <w:szCs w:val="21"/>
                    </w:rPr>
                  </w:pPr>
                  <w:bookmarkStart w:id="33" w:name="PT_4"/>
                  <w:r>
                    <w:rPr>
                      <w:rFonts w:hint="default" w:ascii="Times New Roman" w:hAnsi="Times New Roman" w:eastAsia="宋体" w:cs="Times New Roman"/>
                      <w:b/>
                      <w:bCs/>
                      <w:color w:val="auto"/>
                      <w:szCs w:val="21"/>
                    </w:rPr>
                    <w:t>序号</w:t>
                  </w:r>
                </w:p>
              </w:tc>
              <w:tc>
                <w:tcPr>
                  <w:tcW w:w="1638" w:type="pct"/>
                  <w:vAlign w:val="center"/>
                </w:tcPr>
                <w:p w14:paraId="1DB595D0">
                  <w:pPr>
                    <w:keepNext w:val="0"/>
                    <w:keepLines w:val="0"/>
                    <w:suppressLineNumbers w:val="0"/>
                    <w:spacing w:before="0" w:beforeAutospacing="0" w:after="0" w:afterAutospacing="0"/>
                    <w:ind w:left="0" w:right="0"/>
                    <w:jc w:val="center"/>
                    <w:rPr>
                      <w:rFonts w:hint="default" w:ascii="Times New Roman" w:hAnsi="Times New Roman" w:eastAsia="宋体" w:cs="Times New Roman"/>
                      <w:b/>
                      <w:bCs/>
                      <w:color w:val="auto"/>
                      <w:szCs w:val="21"/>
                    </w:rPr>
                  </w:pPr>
                  <w:r>
                    <w:rPr>
                      <w:rFonts w:hint="default" w:ascii="Times New Roman" w:hAnsi="Times New Roman" w:eastAsia="宋体" w:cs="Times New Roman"/>
                      <w:b/>
                      <w:bCs/>
                      <w:color w:val="auto"/>
                      <w:szCs w:val="21"/>
                    </w:rPr>
                    <w:t>名称</w:t>
                  </w:r>
                </w:p>
              </w:tc>
              <w:tc>
                <w:tcPr>
                  <w:tcW w:w="1250" w:type="pct"/>
                  <w:vAlign w:val="center"/>
                </w:tcPr>
                <w:p w14:paraId="5A410788">
                  <w:pPr>
                    <w:keepNext w:val="0"/>
                    <w:keepLines w:val="0"/>
                    <w:suppressLineNumbers w:val="0"/>
                    <w:spacing w:before="0" w:beforeAutospacing="0" w:after="0" w:afterAutospacing="0"/>
                    <w:ind w:left="0" w:right="0"/>
                    <w:jc w:val="center"/>
                    <w:rPr>
                      <w:rFonts w:hint="default" w:ascii="Times New Roman" w:hAnsi="Times New Roman" w:eastAsia="宋体" w:cs="Times New Roman"/>
                      <w:b/>
                      <w:bCs/>
                      <w:color w:val="auto"/>
                      <w:szCs w:val="21"/>
                    </w:rPr>
                  </w:pPr>
                  <w:r>
                    <w:rPr>
                      <w:rFonts w:hint="default" w:ascii="Times New Roman" w:hAnsi="Times New Roman" w:eastAsia="宋体" w:cs="Times New Roman"/>
                      <w:b/>
                      <w:bCs/>
                      <w:color w:val="auto"/>
                      <w:szCs w:val="21"/>
                    </w:rPr>
                    <w:t>单位</w:t>
                  </w:r>
                </w:p>
              </w:tc>
              <w:tc>
                <w:tcPr>
                  <w:tcW w:w="1250" w:type="pct"/>
                  <w:vAlign w:val="center"/>
                </w:tcPr>
                <w:p w14:paraId="0BCAC460">
                  <w:pPr>
                    <w:keepNext w:val="0"/>
                    <w:keepLines w:val="0"/>
                    <w:suppressLineNumbers w:val="0"/>
                    <w:spacing w:before="0" w:beforeAutospacing="0" w:after="0" w:afterAutospacing="0"/>
                    <w:ind w:left="0" w:right="0"/>
                    <w:jc w:val="center"/>
                    <w:rPr>
                      <w:rFonts w:hint="default" w:ascii="Times New Roman" w:hAnsi="Times New Roman" w:eastAsia="宋体" w:cs="Times New Roman"/>
                      <w:b/>
                      <w:bCs/>
                      <w:color w:val="auto"/>
                      <w:szCs w:val="21"/>
                    </w:rPr>
                  </w:pPr>
                  <w:r>
                    <w:rPr>
                      <w:rFonts w:hint="default" w:ascii="Times New Roman" w:hAnsi="Times New Roman" w:eastAsia="宋体" w:cs="Times New Roman"/>
                      <w:b/>
                      <w:bCs/>
                      <w:color w:val="auto"/>
                      <w:szCs w:val="21"/>
                    </w:rPr>
                    <w:t>数据</w:t>
                  </w:r>
                </w:p>
                <w:bookmarkEnd w:id="33"/>
              </w:tc>
            </w:tr>
            <w:tr w14:paraId="4167D0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exact"/>
                <w:jc w:val="center"/>
              </w:trPr>
              <w:tc>
                <w:tcPr>
                  <w:tcW w:w="861" w:type="pct"/>
                  <w:vAlign w:val="center"/>
                </w:tcPr>
                <w:p w14:paraId="2B876013">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rPr>
                    <w:t>1</w:t>
                  </w:r>
                </w:p>
              </w:tc>
              <w:tc>
                <w:tcPr>
                  <w:tcW w:w="1638" w:type="pct"/>
                  <w:vAlign w:val="center"/>
                </w:tcPr>
                <w:p w14:paraId="037D7DC4">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rPr>
                    <w:t>年平均风速</w:t>
                  </w:r>
                </w:p>
              </w:tc>
              <w:tc>
                <w:tcPr>
                  <w:tcW w:w="1250" w:type="pct"/>
                  <w:vAlign w:val="center"/>
                </w:tcPr>
                <w:p w14:paraId="004E78E9">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rPr>
                    <w:t>m/s</w:t>
                  </w:r>
                </w:p>
              </w:tc>
              <w:tc>
                <w:tcPr>
                  <w:tcW w:w="1250" w:type="pct"/>
                  <w:vAlign w:val="center"/>
                </w:tcPr>
                <w:p w14:paraId="5D8138AB">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rPr>
                    <w:t>2</w:t>
                  </w:r>
                </w:p>
              </w:tc>
            </w:tr>
            <w:tr w14:paraId="6CE88D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exact"/>
                <w:jc w:val="center"/>
              </w:trPr>
              <w:tc>
                <w:tcPr>
                  <w:tcW w:w="861" w:type="pct"/>
                  <w:vAlign w:val="center"/>
                </w:tcPr>
                <w:p w14:paraId="46B80CE2">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rPr>
                    <w:t>2</w:t>
                  </w:r>
                </w:p>
              </w:tc>
              <w:tc>
                <w:tcPr>
                  <w:tcW w:w="1638" w:type="pct"/>
                  <w:vAlign w:val="center"/>
                </w:tcPr>
                <w:p w14:paraId="1DD31046">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rPr>
                    <w:t>主导风向</w:t>
                  </w:r>
                </w:p>
              </w:tc>
              <w:tc>
                <w:tcPr>
                  <w:tcW w:w="1250" w:type="pct"/>
                  <w:vAlign w:val="center"/>
                </w:tcPr>
                <w:p w14:paraId="4523FC8F">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rPr>
                    <w:t>/</w:t>
                  </w:r>
                </w:p>
              </w:tc>
              <w:tc>
                <w:tcPr>
                  <w:tcW w:w="1250" w:type="pct"/>
                  <w:vAlign w:val="center"/>
                </w:tcPr>
                <w:p w14:paraId="109CDD75">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rPr>
                    <w:t>东北风</w:t>
                  </w:r>
                </w:p>
              </w:tc>
            </w:tr>
            <w:tr w14:paraId="43374B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exact"/>
                <w:jc w:val="center"/>
              </w:trPr>
              <w:tc>
                <w:tcPr>
                  <w:tcW w:w="861" w:type="pct"/>
                  <w:vAlign w:val="center"/>
                </w:tcPr>
                <w:p w14:paraId="3084545F">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rPr>
                    <w:t>3</w:t>
                  </w:r>
                </w:p>
              </w:tc>
              <w:tc>
                <w:tcPr>
                  <w:tcW w:w="1638" w:type="pct"/>
                  <w:vAlign w:val="center"/>
                </w:tcPr>
                <w:p w14:paraId="5FA598DA">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rPr>
                    <w:t>年平均气温</w:t>
                  </w:r>
                </w:p>
              </w:tc>
              <w:tc>
                <w:tcPr>
                  <w:tcW w:w="1250" w:type="pct"/>
                  <w:vAlign w:val="center"/>
                </w:tcPr>
                <w:p w14:paraId="6EE5C2F3">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rPr>
                    <w:t>℃</w:t>
                  </w:r>
                </w:p>
              </w:tc>
              <w:tc>
                <w:tcPr>
                  <w:tcW w:w="1250" w:type="pct"/>
                  <w:vAlign w:val="center"/>
                </w:tcPr>
                <w:p w14:paraId="7F74E9B9">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rPr>
                    <w:t>20</w:t>
                  </w:r>
                </w:p>
              </w:tc>
            </w:tr>
            <w:tr w14:paraId="467BED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exact"/>
                <w:jc w:val="center"/>
              </w:trPr>
              <w:tc>
                <w:tcPr>
                  <w:tcW w:w="861" w:type="pct"/>
                  <w:vAlign w:val="center"/>
                </w:tcPr>
                <w:p w14:paraId="3B5394BE">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rPr>
                    <w:t>4</w:t>
                  </w:r>
                </w:p>
              </w:tc>
              <w:tc>
                <w:tcPr>
                  <w:tcW w:w="1638" w:type="pct"/>
                  <w:vAlign w:val="center"/>
                </w:tcPr>
                <w:p w14:paraId="107E01F6">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rPr>
                    <w:t>年平均相对湿度</w:t>
                  </w:r>
                </w:p>
              </w:tc>
              <w:tc>
                <w:tcPr>
                  <w:tcW w:w="1250" w:type="pct"/>
                  <w:vAlign w:val="center"/>
                </w:tcPr>
                <w:p w14:paraId="4D1DF20A">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rPr>
                    <w:t>%</w:t>
                  </w:r>
                </w:p>
              </w:tc>
              <w:tc>
                <w:tcPr>
                  <w:tcW w:w="1250" w:type="pct"/>
                  <w:vAlign w:val="center"/>
                </w:tcPr>
                <w:p w14:paraId="10DB41E7">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rPr>
                    <w:t>50</w:t>
                  </w:r>
                </w:p>
              </w:tc>
            </w:tr>
            <w:tr w14:paraId="593DEB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exact"/>
                <w:jc w:val="center"/>
              </w:trPr>
              <w:tc>
                <w:tcPr>
                  <w:tcW w:w="861" w:type="pct"/>
                  <w:vAlign w:val="center"/>
                </w:tcPr>
                <w:p w14:paraId="1B4D2C2D">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rPr>
                    <w:t>5</w:t>
                  </w:r>
                </w:p>
              </w:tc>
              <w:tc>
                <w:tcPr>
                  <w:tcW w:w="1638" w:type="pct"/>
                  <w:vAlign w:val="center"/>
                </w:tcPr>
                <w:p w14:paraId="7AA480B4">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rPr>
                    <w:t>大气压强</w:t>
                  </w:r>
                </w:p>
              </w:tc>
              <w:tc>
                <w:tcPr>
                  <w:tcW w:w="1250" w:type="pct"/>
                  <w:vAlign w:val="center"/>
                </w:tcPr>
                <w:p w14:paraId="13EA68BD">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rPr>
                    <w:t>atm</w:t>
                  </w:r>
                </w:p>
              </w:tc>
              <w:tc>
                <w:tcPr>
                  <w:tcW w:w="1250" w:type="pct"/>
                  <w:vAlign w:val="center"/>
                </w:tcPr>
                <w:p w14:paraId="22C0CB24">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rPr>
                    <w:t>1</w:t>
                  </w:r>
                </w:p>
              </w:tc>
            </w:tr>
          </w:tbl>
          <w:p w14:paraId="0076EF78">
            <w:pPr>
              <w:keepNext w:val="0"/>
              <w:keepLines w:val="0"/>
              <w:suppressLineNumbers w:val="0"/>
              <w:spacing w:before="0" w:beforeAutospacing="0" w:after="0" w:afterAutospacing="0" w:line="360" w:lineRule="auto"/>
              <w:ind w:left="0" w:right="0" w:firstLine="480" w:firstLineChars="200"/>
              <w:rPr>
                <w:rFonts w:hint="eastAsia" w:ascii="Times New Roman" w:hAnsi="Times New Roman" w:eastAsia="宋体" w:cs="Times New Roman"/>
                <w:b/>
                <w:bCs/>
                <w:color w:val="auto"/>
                <w:sz w:val="24"/>
              </w:rPr>
            </w:pPr>
            <w:r>
              <w:rPr>
                <w:rFonts w:hint="eastAsia" w:ascii="Times New Roman" w:hAnsi="Times New Roman" w:eastAsia="宋体" w:cs="Times New Roman"/>
                <w:color w:val="auto"/>
                <w:sz w:val="24"/>
                <w:lang w:eastAsia="zh-CN"/>
              </w:rPr>
              <w:t>声源和预测点间的地形、高差、障碍物、树林、灌木等的分布情况以及地面覆盖情况（如草地、水面、水泥地面、土质地面等）根据现场踏勘、项目总平图等，并结合卫星图片地理信息数据确定，数据精度为10m。</w:t>
            </w:r>
          </w:p>
          <w:p w14:paraId="3782B1BB">
            <w:pPr>
              <w:keepNext w:val="0"/>
              <w:keepLines w:val="0"/>
              <w:suppressLineNumbers w:val="0"/>
              <w:spacing w:before="0" w:beforeAutospacing="0" w:after="0" w:afterAutospacing="0" w:line="360" w:lineRule="auto"/>
              <w:ind w:left="0" w:right="0"/>
              <w:rPr>
                <w:rFonts w:hint="default" w:ascii="Times New Roman" w:hAnsi="Times New Roman" w:eastAsia="宋体" w:cs="Times New Roman"/>
                <w:b/>
                <w:bCs/>
                <w:color w:val="auto"/>
                <w:sz w:val="24"/>
              </w:rPr>
            </w:pPr>
            <w:r>
              <w:rPr>
                <w:rFonts w:hint="eastAsia" w:ascii="Times New Roman" w:hAnsi="Times New Roman" w:eastAsia="宋体" w:cs="Times New Roman"/>
                <w:b/>
                <w:bCs/>
                <w:color w:val="auto"/>
                <w:sz w:val="24"/>
              </w:rPr>
              <w:t>4.2.3.3预测结果</w:t>
            </w:r>
          </w:p>
          <w:p w14:paraId="2BE9122D">
            <w:pPr>
              <w:keepNext w:val="0"/>
              <w:keepLines w:val="0"/>
              <w:suppressLineNumbers w:val="0"/>
              <w:spacing w:before="0" w:beforeAutospacing="0" w:after="0" w:afterAutospacing="0" w:line="360" w:lineRule="auto"/>
              <w:ind w:left="0" w:right="0" w:firstLine="480" w:firstLineChars="200"/>
              <w:rPr>
                <w:rFonts w:hint="default" w:ascii="Times New Roman" w:hAnsi="Times New Roman" w:eastAsia="宋体" w:cs="Times New Roman"/>
                <w:color w:val="auto"/>
                <w:sz w:val="24"/>
              </w:rPr>
            </w:pPr>
            <w:r>
              <w:rPr>
                <w:rFonts w:hint="eastAsia" w:ascii="Times New Roman" w:hAnsi="Times New Roman" w:eastAsia="宋体" w:cs="Times New Roman"/>
                <w:color w:val="auto"/>
                <w:sz w:val="24"/>
              </w:rPr>
              <w:t>通过预测模型计算，项目厂界噪声预测结果与达标分析见表4-</w:t>
            </w:r>
            <w:r>
              <w:rPr>
                <w:rFonts w:hint="eastAsia" w:ascii="Times New Roman" w:hAnsi="Times New Roman" w:eastAsia="宋体" w:cs="Times New Roman"/>
                <w:color w:val="auto"/>
                <w:sz w:val="24"/>
                <w:lang w:val="en-US" w:eastAsia="zh-CN"/>
              </w:rPr>
              <w:t>20</w:t>
            </w:r>
            <w:r>
              <w:rPr>
                <w:rFonts w:hint="eastAsia" w:ascii="Times New Roman" w:hAnsi="Times New Roman" w:eastAsia="宋体" w:cs="Times New Roman"/>
                <w:color w:val="auto"/>
                <w:sz w:val="24"/>
              </w:rPr>
              <w:t>。</w:t>
            </w:r>
          </w:p>
          <w:p w14:paraId="276B0784">
            <w:pPr>
              <w:keepNext w:val="0"/>
              <w:keepLines w:val="0"/>
              <w:suppressLineNumbers w:val="0"/>
              <w:spacing w:before="0" w:beforeAutospacing="0" w:after="0" w:afterAutospacing="0"/>
              <w:ind w:left="0" w:right="0"/>
              <w:jc w:val="center"/>
              <w:rPr>
                <w:rFonts w:hint="default" w:ascii="Times New Roman" w:hAnsi="Times New Roman" w:eastAsia="宋体" w:cs="Times New Roman"/>
                <w:b/>
                <w:bCs/>
                <w:color w:val="auto"/>
              </w:rPr>
            </w:pPr>
            <w:r>
              <w:rPr>
                <w:rFonts w:hint="eastAsia" w:ascii="Times New Roman" w:hAnsi="Times New Roman" w:eastAsia="宋体" w:cs="Times New Roman"/>
                <w:b/>
                <w:bCs/>
                <w:color w:val="auto"/>
              </w:rPr>
              <w:t>表4-</w:t>
            </w:r>
            <w:r>
              <w:rPr>
                <w:rFonts w:hint="eastAsia" w:ascii="Times New Roman" w:hAnsi="Times New Roman" w:eastAsia="宋体" w:cs="Times New Roman"/>
                <w:b/>
                <w:bCs/>
                <w:color w:val="auto"/>
                <w:lang w:val="en-US" w:eastAsia="zh-CN"/>
              </w:rPr>
              <w:t>20</w:t>
            </w:r>
            <w:r>
              <w:rPr>
                <w:rFonts w:hint="eastAsia" w:ascii="Times New Roman" w:hAnsi="Times New Roman" w:eastAsia="宋体" w:cs="Times New Roman"/>
                <w:b/>
                <w:bCs/>
                <w:color w:val="auto"/>
              </w:rPr>
              <w:t xml:space="preserve">  厂界噪声预测结果与达标分析</w:t>
            </w:r>
            <w:bookmarkStart w:id="34" w:name="PT_7"/>
            <w:r>
              <w:rPr>
                <w:rFonts w:hint="eastAsia" w:ascii="Times New Roman" w:hAnsi="Times New Roman" w:eastAsia="宋体" w:cs="Times New Roman"/>
                <w:b/>
                <w:bCs/>
                <w:color w:val="auto"/>
              </w:rPr>
              <w:t>表</w:t>
            </w:r>
          </w:p>
          <w:bookmarkEnd w:id="34"/>
          <w:tbl>
            <w:tblPr>
              <w:tblStyle w:val="22"/>
              <w:tblW w:w="4998"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078"/>
              <w:gridCol w:w="785"/>
              <w:gridCol w:w="785"/>
              <w:gridCol w:w="788"/>
              <w:gridCol w:w="973"/>
              <w:gridCol w:w="1387"/>
              <w:gridCol w:w="1387"/>
              <w:gridCol w:w="1161"/>
            </w:tblGrid>
            <w:tr w14:paraId="0B7A52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97" w:hRule="atLeast"/>
                <w:jc w:val="center"/>
              </w:trPr>
              <w:tc>
                <w:tcPr>
                  <w:tcW w:w="645" w:type="pct"/>
                  <w:vMerge w:val="restart"/>
                  <w:vAlign w:val="center"/>
                </w:tcPr>
                <w:p w14:paraId="500C0B26">
                  <w:pPr>
                    <w:keepNext w:val="0"/>
                    <w:keepLines w:val="0"/>
                    <w:suppressLineNumbers w:val="0"/>
                    <w:spacing w:before="0" w:beforeAutospacing="0" w:after="0" w:afterAutospacing="0"/>
                    <w:ind w:left="0" w:right="0"/>
                    <w:jc w:val="center"/>
                    <w:rPr>
                      <w:rFonts w:hint="default" w:ascii="Times New Roman" w:hAnsi="Times New Roman" w:eastAsia="宋体" w:cs="Times New Roman"/>
                      <w:b/>
                      <w:bCs/>
                      <w:color w:val="auto"/>
                      <w:szCs w:val="21"/>
                    </w:rPr>
                  </w:pPr>
                  <w:r>
                    <w:rPr>
                      <w:rFonts w:hint="default" w:ascii="Times New Roman" w:hAnsi="Times New Roman" w:eastAsia="宋体" w:cs="Times New Roman"/>
                      <w:b/>
                      <w:bCs/>
                      <w:color w:val="auto"/>
                      <w:szCs w:val="21"/>
                    </w:rPr>
                    <w:t>预测方位</w:t>
                  </w:r>
                </w:p>
              </w:tc>
              <w:tc>
                <w:tcPr>
                  <w:tcW w:w="1412" w:type="pct"/>
                  <w:gridSpan w:val="3"/>
                  <w:vAlign w:val="center"/>
                </w:tcPr>
                <w:p w14:paraId="7914937B">
                  <w:pPr>
                    <w:keepNext w:val="0"/>
                    <w:keepLines w:val="0"/>
                    <w:suppressLineNumbers w:val="0"/>
                    <w:spacing w:before="0" w:beforeAutospacing="0" w:after="0" w:afterAutospacing="0"/>
                    <w:ind w:left="0" w:right="0"/>
                    <w:jc w:val="center"/>
                    <w:rPr>
                      <w:rFonts w:hint="default" w:ascii="Times New Roman" w:hAnsi="Times New Roman" w:eastAsia="宋体" w:cs="Times New Roman"/>
                      <w:b/>
                      <w:bCs/>
                      <w:color w:val="auto"/>
                      <w:szCs w:val="21"/>
                    </w:rPr>
                  </w:pPr>
                  <w:r>
                    <w:rPr>
                      <w:rFonts w:hint="default" w:ascii="Times New Roman" w:hAnsi="Times New Roman" w:eastAsia="宋体" w:cs="Times New Roman"/>
                      <w:b/>
                      <w:bCs/>
                      <w:color w:val="auto"/>
                      <w:szCs w:val="21"/>
                    </w:rPr>
                    <w:t>最大值点空间相对位置/m</w:t>
                  </w:r>
                </w:p>
              </w:tc>
              <w:tc>
                <w:tcPr>
                  <w:tcW w:w="583" w:type="pct"/>
                  <w:vMerge w:val="restart"/>
                  <w:vAlign w:val="center"/>
                </w:tcPr>
                <w:p w14:paraId="256ADE5B">
                  <w:pPr>
                    <w:keepNext w:val="0"/>
                    <w:keepLines w:val="0"/>
                    <w:suppressLineNumbers w:val="0"/>
                    <w:spacing w:before="0" w:beforeAutospacing="0" w:after="0" w:afterAutospacing="0"/>
                    <w:ind w:left="0" w:right="0"/>
                    <w:jc w:val="center"/>
                    <w:rPr>
                      <w:rFonts w:hint="default" w:ascii="Times New Roman" w:hAnsi="Times New Roman" w:eastAsia="宋体" w:cs="Times New Roman"/>
                      <w:b/>
                      <w:bCs/>
                      <w:color w:val="auto"/>
                      <w:szCs w:val="21"/>
                    </w:rPr>
                  </w:pPr>
                  <w:commentRangeStart w:id="71"/>
                  <w:commentRangeStart w:id="72"/>
                  <w:r>
                    <w:rPr>
                      <w:rFonts w:hint="default" w:ascii="Times New Roman" w:hAnsi="Times New Roman" w:eastAsia="宋体" w:cs="Times New Roman"/>
                      <w:b/>
                      <w:bCs/>
                      <w:color w:val="auto"/>
                      <w:szCs w:val="21"/>
                    </w:rPr>
                    <w:t>时段</w:t>
                  </w:r>
                  <w:commentRangeEnd w:id="71"/>
                  <w:r>
                    <w:rPr>
                      <w:rFonts w:hint="default"/>
                    </w:rPr>
                    <w:commentReference w:id="71"/>
                  </w:r>
                  <w:commentRangeEnd w:id="72"/>
                  <w:r>
                    <w:rPr>
                      <w:rFonts w:hint="default"/>
                    </w:rPr>
                    <w:commentReference w:id="72"/>
                  </w:r>
                </w:p>
              </w:tc>
              <w:tc>
                <w:tcPr>
                  <w:tcW w:w="831" w:type="pct"/>
                  <w:vMerge w:val="restart"/>
                  <w:vAlign w:val="center"/>
                </w:tcPr>
                <w:p w14:paraId="0FE10887">
                  <w:pPr>
                    <w:keepNext w:val="0"/>
                    <w:keepLines w:val="0"/>
                    <w:suppressLineNumbers w:val="0"/>
                    <w:spacing w:before="0" w:beforeAutospacing="0" w:after="0" w:afterAutospacing="0"/>
                    <w:ind w:left="0" w:right="0"/>
                    <w:jc w:val="center"/>
                    <w:rPr>
                      <w:rFonts w:hint="default" w:ascii="Times New Roman" w:hAnsi="Times New Roman" w:eastAsia="宋体" w:cs="Times New Roman"/>
                      <w:b/>
                      <w:bCs/>
                      <w:color w:val="auto"/>
                      <w:szCs w:val="21"/>
                    </w:rPr>
                  </w:pPr>
                  <w:r>
                    <w:rPr>
                      <w:rFonts w:hint="default" w:ascii="Times New Roman" w:hAnsi="Times New Roman" w:eastAsia="宋体" w:cs="Times New Roman"/>
                      <w:b/>
                      <w:bCs/>
                      <w:color w:val="auto"/>
                      <w:szCs w:val="21"/>
                    </w:rPr>
                    <w:t>贡献值（dB</w:t>
                  </w:r>
                  <w:r>
                    <w:rPr>
                      <w:rFonts w:hint="eastAsia" w:ascii="Times New Roman" w:hAnsi="Times New Roman" w:eastAsia="宋体" w:cs="Times New Roman"/>
                      <w:b/>
                      <w:bCs/>
                      <w:color w:val="auto"/>
                      <w:szCs w:val="21"/>
                      <w:lang w:eastAsia="zh-CN"/>
                    </w:rPr>
                    <w:t>（</w:t>
                  </w:r>
                  <w:r>
                    <w:rPr>
                      <w:rFonts w:hint="default" w:ascii="Times New Roman" w:hAnsi="Times New Roman" w:eastAsia="宋体" w:cs="Times New Roman"/>
                      <w:b/>
                      <w:bCs/>
                      <w:color w:val="auto"/>
                      <w:szCs w:val="21"/>
                    </w:rPr>
                    <w:t>A</w:t>
                  </w:r>
                  <w:r>
                    <w:rPr>
                      <w:rFonts w:hint="eastAsia" w:ascii="Times New Roman" w:hAnsi="Times New Roman" w:eastAsia="宋体" w:cs="Times New Roman"/>
                      <w:b/>
                      <w:bCs/>
                      <w:color w:val="auto"/>
                      <w:szCs w:val="21"/>
                      <w:lang w:eastAsia="zh-CN"/>
                    </w:rPr>
                    <w:t>）</w:t>
                  </w:r>
                  <w:r>
                    <w:rPr>
                      <w:rFonts w:hint="default" w:ascii="Times New Roman" w:hAnsi="Times New Roman" w:eastAsia="宋体" w:cs="Times New Roman"/>
                      <w:b/>
                      <w:bCs/>
                      <w:color w:val="auto"/>
                      <w:szCs w:val="21"/>
                    </w:rPr>
                    <w:t>）</w:t>
                  </w:r>
                </w:p>
              </w:tc>
              <w:tc>
                <w:tcPr>
                  <w:tcW w:w="831" w:type="pct"/>
                  <w:vMerge w:val="restart"/>
                  <w:vAlign w:val="center"/>
                </w:tcPr>
                <w:p w14:paraId="4710D0C0">
                  <w:pPr>
                    <w:keepNext w:val="0"/>
                    <w:keepLines w:val="0"/>
                    <w:suppressLineNumbers w:val="0"/>
                    <w:spacing w:before="0" w:beforeAutospacing="0" w:after="0" w:afterAutospacing="0"/>
                    <w:ind w:left="0" w:right="0"/>
                    <w:jc w:val="center"/>
                    <w:rPr>
                      <w:rFonts w:hint="default" w:ascii="Times New Roman" w:hAnsi="Times New Roman" w:eastAsia="宋体" w:cs="Times New Roman"/>
                      <w:b/>
                      <w:bCs/>
                      <w:color w:val="auto"/>
                      <w:szCs w:val="21"/>
                    </w:rPr>
                  </w:pPr>
                  <w:r>
                    <w:rPr>
                      <w:rFonts w:hint="default" w:ascii="Times New Roman" w:hAnsi="Times New Roman" w:eastAsia="宋体" w:cs="Times New Roman"/>
                      <w:b/>
                      <w:bCs/>
                      <w:color w:val="auto"/>
                      <w:szCs w:val="21"/>
                    </w:rPr>
                    <w:t>标准限值（dB</w:t>
                  </w:r>
                  <w:r>
                    <w:rPr>
                      <w:rFonts w:hint="eastAsia" w:ascii="Times New Roman" w:hAnsi="Times New Roman" w:eastAsia="宋体" w:cs="Times New Roman"/>
                      <w:b/>
                      <w:bCs/>
                      <w:color w:val="auto"/>
                      <w:szCs w:val="21"/>
                      <w:lang w:eastAsia="zh-CN"/>
                    </w:rPr>
                    <w:t>（</w:t>
                  </w:r>
                  <w:r>
                    <w:rPr>
                      <w:rFonts w:hint="default" w:ascii="Times New Roman" w:hAnsi="Times New Roman" w:eastAsia="宋体" w:cs="Times New Roman"/>
                      <w:b/>
                      <w:bCs/>
                      <w:color w:val="auto"/>
                      <w:szCs w:val="21"/>
                    </w:rPr>
                    <w:t>A</w:t>
                  </w:r>
                  <w:r>
                    <w:rPr>
                      <w:rFonts w:hint="eastAsia" w:ascii="Times New Roman" w:hAnsi="Times New Roman" w:eastAsia="宋体" w:cs="Times New Roman"/>
                      <w:b/>
                      <w:bCs/>
                      <w:color w:val="auto"/>
                      <w:szCs w:val="21"/>
                      <w:lang w:eastAsia="zh-CN"/>
                    </w:rPr>
                    <w:t>）</w:t>
                  </w:r>
                  <w:r>
                    <w:rPr>
                      <w:rFonts w:hint="default" w:ascii="Times New Roman" w:hAnsi="Times New Roman" w:eastAsia="宋体" w:cs="Times New Roman"/>
                      <w:b/>
                      <w:bCs/>
                      <w:color w:val="auto"/>
                      <w:szCs w:val="21"/>
                    </w:rPr>
                    <w:t>）</w:t>
                  </w:r>
                </w:p>
              </w:tc>
              <w:tc>
                <w:tcPr>
                  <w:tcW w:w="695" w:type="pct"/>
                  <w:vMerge w:val="restart"/>
                  <w:vAlign w:val="center"/>
                </w:tcPr>
                <w:p w14:paraId="6B2527F2">
                  <w:pPr>
                    <w:keepNext w:val="0"/>
                    <w:keepLines w:val="0"/>
                    <w:suppressLineNumbers w:val="0"/>
                    <w:spacing w:before="0" w:beforeAutospacing="0" w:after="0" w:afterAutospacing="0"/>
                    <w:ind w:left="0" w:right="0"/>
                    <w:jc w:val="center"/>
                    <w:rPr>
                      <w:rFonts w:hint="default" w:ascii="Times New Roman" w:hAnsi="Times New Roman" w:eastAsia="宋体" w:cs="Times New Roman"/>
                      <w:b/>
                      <w:bCs/>
                      <w:color w:val="auto"/>
                      <w:szCs w:val="21"/>
                    </w:rPr>
                  </w:pPr>
                  <w:r>
                    <w:rPr>
                      <w:rFonts w:hint="default" w:ascii="Times New Roman" w:hAnsi="Times New Roman" w:eastAsia="宋体" w:cs="Times New Roman"/>
                      <w:b/>
                      <w:bCs/>
                      <w:color w:val="auto"/>
                      <w:szCs w:val="21"/>
                    </w:rPr>
                    <w:t>达标情况</w:t>
                  </w:r>
                </w:p>
              </w:tc>
            </w:tr>
            <w:tr w14:paraId="6DD271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645" w:type="pct"/>
                  <w:vMerge w:val="continue"/>
                  <w:vAlign w:val="center"/>
                </w:tcPr>
                <w:p w14:paraId="6EC43495">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p>
              </w:tc>
              <w:tc>
                <w:tcPr>
                  <w:tcW w:w="470" w:type="pct"/>
                  <w:vAlign w:val="center"/>
                </w:tcPr>
                <w:p w14:paraId="78222CDD">
                  <w:pPr>
                    <w:keepNext w:val="0"/>
                    <w:keepLines w:val="0"/>
                    <w:suppressLineNumbers w:val="0"/>
                    <w:spacing w:before="0" w:beforeAutospacing="0" w:after="0" w:afterAutospacing="0"/>
                    <w:ind w:left="0" w:right="0"/>
                    <w:jc w:val="center"/>
                    <w:rPr>
                      <w:rFonts w:hint="default" w:ascii="Times New Roman" w:hAnsi="Times New Roman" w:eastAsia="宋体" w:cs="Times New Roman"/>
                      <w:b/>
                      <w:bCs/>
                      <w:color w:val="auto"/>
                      <w:szCs w:val="21"/>
                    </w:rPr>
                  </w:pPr>
                  <w:r>
                    <w:rPr>
                      <w:rFonts w:hint="default" w:ascii="Times New Roman" w:hAnsi="Times New Roman" w:eastAsia="宋体" w:cs="Times New Roman"/>
                      <w:b/>
                      <w:bCs/>
                      <w:color w:val="auto"/>
                      <w:szCs w:val="21"/>
                    </w:rPr>
                    <w:t>X</w:t>
                  </w:r>
                </w:p>
              </w:tc>
              <w:tc>
                <w:tcPr>
                  <w:tcW w:w="470" w:type="pct"/>
                  <w:vAlign w:val="center"/>
                </w:tcPr>
                <w:p w14:paraId="52201A7D">
                  <w:pPr>
                    <w:keepNext w:val="0"/>
                    <w:keepLines w:val="0"/>
                    <w:suppressLineNumbers w:val="0"/>
                    <w:spacing w:before="0" w:beforeAutospacing="0" w:after="0" w:afterAutospacing="0"/>
                    <w:ind w:left="0" w:right="0"/>
                    <w:jc w:val="center"/>
                    <w:rPr>
                      <w:rFonts w:hint="default" w:ascii="Times New Roman" w:hAnsi="Times New Roman" w:eastAsia="宋体" w:cs="Times New Roman"/>
                      <w:b/>
                      <w:bCs/>
                      <w:color w:val="auto"/>
                      <w:szCs w:val="21"/>
                    </w:rPr>
                  </w:pPr>
                  <w:r>
                    <w:rPr>
                      <w:rFonts w:hint="default" w:ascii="Times New Roman" w:hAnsi="Times New Roman" w:eastAsia="宋体" w:cs="Times New Roman"/>
                      <w:b/>
                      <w:bCs/>
                      <w:color w:val="auto"/>
                      <w:szCs w:val="21"/>
                    </w:rPr>
                    <w:t>Y</w:t>
                  </w:r>
                </w:p>
              </w:tc>
              <w:tc>
                <w:tcPr>
                  <w:tcW w:w="472" w:type="pct"/>
                  <w:vAlign w:val="center"/>
                </w:tcPr>
                <w:p w14:paraId="34A4FF28">
                  <w:pPr>
                    <w:keepNext w:val="0"/>
                    <w:keepLines w:val="0"/>
                    <w:suppressLineNumbers w:val="0"/>
                    <w:spacing w:before="0" w:beforeAutospacing="0" w:after="0" w:afterAutospacing="0"/>
                    <w:ind w:left="0" w:right="0"/>
                    <w:jc w:val="center"/>
                    <w:rPr>
                      <w:rFonts w:hint="default" w:ascii="Times New Roman" w:hAnsi="Times New Roman" w:eastAsia="宋体" w:cs="Times New Roman"/>
                      <w:b/>
                      <w:bCs/>
                      <w:color w:val="auto"/>
                      <w:szCs w:val="21"/>
                    </w:rPr>
                  </w:pPr>
                  <w:r>
                    <w:rPr>
                      <w:rFonts w:hint="default" w:ascii="Times New Roman" w:hAnsi="Times New Roman" w:eastAsia="宋体" w:cs="Times New Roman"/>
                      <w:b/>
                      <w:bCs/>
                      <w:color w:val="auto"/>
                      <w:szCs w:val="21"/>
                    </w:rPr>
                    <w:t>Z</w:t>
                  </w:r>
                </w:p>
              </w:tc>
              <w:tc>
                <w:tcPr>
                  <w:tcW w:w="583" w:type="pct"/>
                  <w:vMerge w:val="continue"/>
                  <w:vAlign w:val="center"/>
                </w:tcPr>
                <w:p w14:paraId="38DD81E4">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p>
              </w:tc>
              <w:tc>
                <w:tcPr>
                  <w:tcW w:w="831" w:type="pct"/>
                  <w:vMerge w:val="continue"/>
                  <w:vAlign w:val="center"/>
                </w:tcPr>
                <w:p w14:paraId="24CCD1EF">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p>
              </w:tc>
              <w:tc>
                <w:tcPr>
                  <w:tcW w:w="831" w:type="pct"/>
                  <w:vMerge w:val="continue"/>
                  <w:vAlign w:val="center"/>
                </w:tcPr>
                <w:p w14:paraId="609E89F3">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p>
              </w:tc>
              <w:tc>
                <w:tcPr>
                  <w:tcW w:w="695" w:type="pct"/>
                  <w:vMerge w:val="continue"/>
                  <w:vAlign w:val="center"/>
                </w:tcPr>
                <w:p w14:paraId="3D1F1E19">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p>
              </w:tc>
            </w:tr>
            <w:tr w14:paraId="6B0E88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645" w:type="pct"/>
                  <w:vAlign w:val="center"/>
                </w:tcPr>
                <w:p w14:paraId="3D53ACD1">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rPr>
                    <w:t>东侧</w:t>
                  </w:r>
                </w:p>
              </w:tc>
              <w:tc>
                <w:tcPr>
                  <w:tcW w:w="470" w:type="pct"/>
                  <w:vAlign w:val="center"/>
                </w:tcPr>
                <w:p w14:paraId="4E199209">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rPr>
                    <w:t>80.6</w:t>
                  </w:r>
                </w:p>
              </w:tc>
              <w:tc>
                <w:tcPr>
                  <w:tcW w:w="470" w:type="pct"/>
                  <w:vAlign w:val="center"/>
                </w:tcPr>
                <w:p w14:paraId="46044161">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rPr>
                    <w:t>28.1</w:t>
                  </w:r>
                </w:p>
              </w:tc>
              <w:tc>
                <w:tcPr>
                  <w:tcW w:w="472" w:type="pct"/>
                  <w:vAlign w:val="center"/>
                </w:tcPr>
                <w:p w14:paraId="2C4D0579">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rPr>
                    <w:t>1.2</w:t>
                  </w:r>
                </w:p>
              </w:tc>
              <w:tc>
                <w:tcPr>
                  <w:tcW w:w="583" w:type="pct"/>
                  <w:vAlign w:val="center"/>
                </w:tcPr>
                <w:p w14:paraId="21D7C7A1">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rPr>
                    <w:t>昼间</w:t>
                  </w:r>
                </w:p>
              </w:tc>
              <w:tc>
                <w:tcPr>
                  <w:tcW w:w="831" w:type="pct"/>
                  <w:vAlign w:val="center"/>
                </w:tcPr>
                <w:p w14:paraId="6E1228B4">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rPr>
                    <w:t>55.4</w:t>
                  </w:r>
                </w:p>
              </w:tc>
              <w:tc>
                <w:tcPr>
                  <w:tcW w:w="831" w:type="pct"/>
                  <w:vAlign w:val="center"/>
                </w:tcPr>
                <w:p w14:paraId="49B06A97">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rPr>
                    <w:t>65</w:t>
                  </w:r>
                </w:p>
              </w:tc>
              <w:tc>
                <w:tcPr>
                  <w:tcW w:w="695" w:type="pct"/>
                  <w:vAlign w:val="center"/>
                </w:tcPr>
                <w:p w14:paraId="0FF5FD99">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rPr>
                    <w:t>达标</w:t>
                  </w:r>
                </w:p>
              </w:tc>
            </w:tr>
            <w:tr w14:paraId="69C908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645" w:type="pct"/>
                  <w:vAlign w:val="center"/>
                </w:tcPr>
                <w:p w14:paraId="18DDD7D9">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rPr>
                    <w:t>南侧</w:t>
                  </w:r>
                </w:p>
              </w:tc>
              <w:tc>
                <w:tcPr>
                  <w:tcW w:w="470" w:type="pct"/>
                  <w:vAlign w:val="center"/>
                </w:tcPr>
                <w:p w14:paraId="11AE59D4">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rPr>
                    <w:t>15.2</w:t>
                  </w:r>
                </w:p>
              </w:tc>
              <w:tc>
                <w:tcPr>
                  <w:tcW w:w="470" w:type="pct"/>
                  <w:vAlign w:val="center"/>
                </w:tcPr>
                <w:p w14:paraId="68B8E41E">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rPr>
                    <w:t>-1.9</w:t>
                  </w:r>
                </w:p>
              </w:tc>
              <w:tc>
                <w:tcPr>
                  <w:tcW w:w="472" w:type="pct"/>
                  <w:vAlign w:val="center"/>
                </w:tcPr>
                <w:p w14:paraId="18144564">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rPr>
                    <w:t>1.2</w:t>
                  </w:r>
                </w:p>
              </w:tc>
              <w:tc>
                <w:tcPr>
                  <w:tcW w:w="583" w:type="pct"/>
                  <w:vAlign w:val="center"/>
                </w:tcPr>
                <w:p w14:paraId="5CB6D5C8">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rPr>
                    <w:t>昼间</w:t>
                  </w:r>
                </w:p>
              </w:tc>
              <w:tc>
                <w:tcPr>
                  <w:tcW w:w="831" w:type="pct"/>
                  <w:vAlign w:val="center"/>
                </w:tcPr>
                <w:p w14:paraId="6D344C4B">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rPr>
                    <w:t>60.7</w:t>
                  </w:r>
                </w:p>
              </w:tc>
              <w:tc>
                <w:tcPr>
                  <w:tcW w:w="831" w:type="pct"/>
                  <w:vAlign w:val="center"/>
                </w:tcPr>
                <w:p w14:paraId="0A5FD601">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rPr>
                    <w:t>65</w:t>
                  </w:r>
                </w:p>
              </w:tc>
              <w:tc>
                <w:tcPr>
                  <w:tcW w:w="695" w:type="pct"/>
                  <w:vAlign w:val="center"/>
                </w:tcPr>
                <w:p w14:paraId="19A1A87A">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rPr>
                    <w:t>达标</w:t>
                  </w:r>
                </w:p>
              </w:tc>
            </w:tr>
            <w:tr w14:paraId="0D2047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645" w:type="pct"/>
                  <w:vAlign w:val="center"/>
                </w:tcPr>
                <w:p w14:paraId="5E3F4EDC">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rPr>
                    <w:t>西侧</w:t>
                  </w:r>
                </w:p>
              </w:tc>
              <w:tc>
                <w:tcPr>
                  <w:tcW w:w="470" w:type="pct"/>
                  <w:vAlign w:val="center"/>
                </w:tcPr>
                <w:p w14:paraId="3DC135EC">
                  <w:pPr>
                    <w:keepNext w:val="0"/>
                    <w:keepLines w:val="0"/>
                    <w:suppressLineNumbers w:val="0"/>
                    <w:spacing w:before="0" w:beforeAutospacing="0" w:after="0" w:afterAutospacing="0"/>
                    <w:ind w:left="0" w:right="0"/>
                    <w:jc w:val="center"/>
                    <w:rPr>
                      <w:rFonts w:hint="eastAsia" w:ascii="Times New Roman" w:hAnsi="Times New Roman" w:eastAsia="宋体" w:cs="Times New Roman"/>
                      <w:color w:val="auto"/>
                      <w:szCs w:val="21"/>
                      <w:lang w:eastAsia="zh-CN"/>
                    </w:rPr>
                  </w:pPr>
                  <w:r>
                    <w:rPr>
                      <w:rFonts w:hint="eastAsia" w:ascii="Times New Roman" w:hAnsi="Times New Roman" w:eastAsia="宋体" w:cs="Times New Roman"/>
                      <w:color w:val="auto"/>
                      <w:szCs w:val="21"/>
                      <w:lang w:val="en-US" w:eastAsia="zh-CN"/>
                    </w:rPr>
                    <w:t>/</w:t>
                  </w:r>
                </w:p>
              </w:tc>
              <w:tc>
                <w:tcPr>
                  <w:tcW w:w="470" w:type="pct"/>
                  <w:vAlign w:val="center"/>
                </w:tcPr>
                <w:p w14:paraId="383E7D12">
                  <w:pPr>
                    <w:keepNext w:val="0"/>
                    <w:keepLines w:val="0"/>
                    <w:suppressLineNumbers w:val="0"/>
                    <w:spacing w:before="0" w:beforeAutospacing="0" w:after="0" w:afterAutospacing="0"/>
                    <w:ind w:left="0" w:right="0"/>
                    <w:jc w:val="center"/>
                    <w:rPr>
                      <w:rFonts w:hint="eastAsia" w:ascii="Times New Roman" w:hAnsi="Times New Roman" w:eastAsia="宋体" w:cs="Times New Roman"/>
                      <w:color w:val="auto"/>
                      <w:szCs w:val="21"/>
                      <w:lang w:eastAsia="zh-CN"/>
                    </w:rPr>
                  </w:pPr>
                  <w:r>
                    <w:rPr>
                      <w:rFonts w:hint="eastAsia" w:ascii="Times New Roman" w:hAnsi="Times New Roman" w:eastAsia="宋体" w:cs="Times New Roman"/>
                      <w:color w:val="auto"/>
                      <w:szCs w:val="21"/>
                      <w:lang w:val="en-US" w:eastAsia="zh-CN"/>
                    </w:rPr>
                    <w:t>/</w:t>
                  </w:r>
                </w:p>
              </w:tc>
              <w:tc>
                <w:tcPr>
                  <w:tcW w:w="472" w:type="pct"/>
                  <w:vAlign w:val="center"/>
                </w:tcPr>
                <w:p w14:paraId="5050E950">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rPr>
                    <w:t>1.2</w:t>
                  </w:r>
                </w:p>
              </w:tc>
              <w:tc>
                <w:tcPr>
                  <w:tcW w:w="583" w:type="pct"/>
                  <w:vAlign w:val="center"/>
                </w:tcPr>
                <w:p w14:paraId="4B1390BB">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rPr>
                    <w:t>昼间</w:t>
                  </w:r>
                </w:p>
              </w:tc>
              <w:tc>
                <w:tcPr>
                  <w:tcW w:w="831" w:type="pct"/>
                  <w:vAlign w:val="center"/>
                </w:tcPr>
                <w:p w14:paraId="48A43AA3">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rPr>
                    <w:t>0</w:t>
                  </w:r>
                </w:p>
              </w:tc>
              <w:tc>
                <w:tcPr>
                  <w:tcW w:w="831" w:type="pct"/>
                  <w:vAlign w:val="center"/>
                </w:tcPr>
                <w:p w14:paraId="5F6A5DD9">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rPr>
                    <w:t>65</w:t>
                  </w:r>
                </w:p>
              </w:tc>
              <w:tc>
                <w:tcPr>
                  <w:tcW w:w="695" w:type="pct"/>
                  <w:vAlign w:val="center"/>
                </w:tcPr>
                <w:p w14:paraId="0E9F377C">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rPr>
                    <w:t>达标</w:t>
                  </w:r>
                </w:p>
              </w:tc>
            </w:tr>
            <w:tr w14:paraId="2231DA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645" w:type="pct"/>
                  <w:vAlign w:val="center"/>
                </w:tcPr>
                <w:p w14:paraId="60B91C5E">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rPr>
                    <w:t>北侧</w:t>
                  </w:r>
                </w:p>
              </w:tc>
              <w:tc>
                <w:tcPr>
                  <w:tcW w:w="470" w:type="pct"/>
                  <w:vAlign w:val="center"/>
                </w:tcPr>
                <w:p w14:paraId="38822E1F">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rPr>
                    <w:t>12.6</w:t>
                  </w:r>
                </w:p>
              </w:tc>
              <w:tc>
                <w:tcPr>
                  <w:tcW w:w="470" w:type="pct"/>
                  <w:vAlign w:val="center"/>
                </w:tcPr>
                <w:p w14:paraId="75302B48">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rPr>
                    <w:t>8.1</w:t>
                  </w:r>
                </w:p>
              </w:tc>
              <w:tc>
                <w:tcPr>
                  <w:tcW w:w="472" w:type="pct"/>
                  <w:vAlign w:val="center"/>
                </w:tcPr>
                <w:p w14:paraId="53F9690F">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rPr>
                    <w:t>1.2</w:t>
                  </w:r>
                </w:p>
              </w:tc>
              <w:tc>
                <w:tcPr>
                  <w:tcW w:w="583" w:type="pct"/>
                  <w:vAlign w:val="center"/>
                </w:tcPr>
                <w:p w14:paraId="224040B0">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rPr>
                    <w:t>昼间</w:t>
                  </w:r>
                </w:p>
              </w:tc>
              <w:tc>
                <w:tcPr>
                  <w:tcW w:w="831" w:type="pct"/>
                  <w:vAlign w:val="center"/>
                </w:tcPr>
                <w:p w14:paraId="15FE6A6B">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rPr>
                    <w:t>61.7</w:t>
                  </w:r>
                </w:p>
              </w:tc>
              <w:tc>
                <w:tcPr>
                  <w:tcW w:w="831" w:type="pct"/>
                  <w:vAlign w:val="center"/>
                </w:tcPr>
                <w:p w14:paraId="5C45537A">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rPr>
                    <w:t>65</w:t>
                  </w:r>
                </w:p>
              </w:tc>
              <w:tc>
                <w:tcPr>
                  <w:tcW w:w="695" w:type="pct"/>
                  <w:vAlign w:val="center"/>
                </w:tcPr>
                <w:p w14:paraId="6AA04988">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rPr>
                    <w:t>达标</w:t>
                  </w:r>
                </w:p>
              </w:tc>
            </w:tr>
          </w:tbl>
          <w:p w14:paraId="147B24F1">
            <w:pPr>
              <w:keepNext w:val="0"/>
              <w:keepLines w:val="0"/>
              <w:suppressLineNumbers w:val="0"/>
              <w:spacing w:before="0" w:beforeAutospacing="0" w:after="0" w:afterAutospacing="0"/>
              <w:ind w:left="0" w:right="0" w:firstLine="420" w:firstLineChars="200"/>
              <w:rPr>
                <w:rFonts w:hint="default" w:ascii="Times New Roman" w:hAnsi="Times New Roman" w:eastAsia="宋体" w:cs="Times New Roman"/>
                <w:color w:val="auto"/>
                <w:szCs w:val="21"/>
              </w:rPr>
            </w:pPr>
            <w:r>
              <w:rPr>
                <w:rFonts w:hint="eastAsia" w:ascii="Times New Roman" w:hAnsi="Times New Roman" w:eastAsia="宋体" w:cs="Times New Roman"/>
                <w:color w:val="auto"/>
                <w:szCs w:val="21"/>
              </w:rPr>
              <w:t>注：</w:t>
            </w:r>
            <w:r>
              <w:rPr>
                <w:rFonts w:hint="default" w:ascii="Times New Roman" w:hAnsi="Times New Roman" w:eastAsia="宋体" w:cs="Times New Roman"/>
                <w:color w:val="auto"/>
                <w:szCs w:val="21"/>
              </w:rPr>
              <w:t>表中坐标以厂界中心（</w:t>
            </w:r>
            <w:bookmarkStart w:id="35" w:name="PO_8"/>
            <w:r>
              <w:rPr>
                <w:rFonts w:hint="default" w:ascii="Times New Roman" w:hAnsi="Times New Roman" w:eastAsia="宋体" w:cs="Times New Roman"/>
                <w:color w:val="auto"/>
                <w:szCs w:val="21"/>
                <w:lang w:val="en-US" w:eastAsia="zh-CN"/>
              </w:rPr>
              <w:t>119.650016</w:t>
            </w:r>
            <w:r>
              <w:rPr>
                <w:rFonts w:hint="eastAsia" w:ascii="Times New Roman" w:hAnsi="Times New Roman" w:eastAsia="宋体" w:cs="Times New Roman"/>
                <w:color w:val="auto"/>
                <w:szCs w:val="21"/>
                <w:lang w:val="en-US" w:eastAsia="zh-CN"/>
              </w:rPr>
              <w:t>，</w:t>
            </w:r>
            <w:r>
              <w:rPr>
                <w:rFonts w:hint="default" w:ascii="Times New Roman" w:hAnsi="Times New Roman" w:eastAsia="宋体" w:cs="Times New Roman"/>
                <w:color w:val="auto"/>
                <w:szCs w:val="21"/>
                <w:lang w:val="en-US" w:eastAsia="zh-CN"/>
              </w:rPr>
              <w:t>30.784002</w:t>
            </w:r>
            <w:bookmarkEnd w:id="35"/>
            <w:r>
              <w:rPr>
                <w:rFonts w:hint="default" w:ascii="Times New Roman" w:hAnsi="Times New Roman" w:eastAsia="宋体" w:cs="Times New Roman"/>
                <w:color w:val="auto"/>
                <w:szCs w:val="21"/>
              </w:rPr>
              <w:t>）为坐标原点，正东向为X轴正方向，正北向为Y轴正方向</w:t>
            </w:r>
            <w:r>
              <w:rPr>
                <w:rFonts w:hint="eastAsia" w:ascii="Times New Roman" w:hAnsi="Times New Roman" w:eastAsia="宋体" w:cs="Times New Roman"/>
                <w:color w:val="auto"/>
                <w:szCs w:val="21"/>
              </w:rPr>
              <w:t>。</w:t>
            </w:r>
          </w:p>
          <w:p w14:paraId="53450120">
            <w:pPr>
              <w:keepNext w:val="0"/>
              <w:keepLines w:val="0"/>
              <w:suppressLineNumbers w:val="0"/>
              <w:spacing w:before="0" w:beforeAutospacing="0" w:after="0" w:afterAutospacing="0" w:line="360" w:lineRule="auto"/>
              <w:ind w:left="0" w:right="0" w:firstLine="480" w:firstLineChars="200"/>
              <w:rPr>
                <w:rFonts w:hint="default" w:ascii="Times New Roman" w:hAnsi="Times New Roman" w:eastAsia="宋体" w:cs="Times New Roman"/>
                <w:color w:val="auto"/>
                <w:sz w:val="24"/>
              </w:rPr>
            </w:pPr>
            <w:r>
              <w:rPr>
                <w:rFonts w:hint="eastAsia" w:ascii="Times New Roman" w:hAnsi="Times New Roman" w:eastAsia="宋体" w:cs="Times New Roman"/>
                <w:color w:val="auto"/>
                <w:sz w:val="24"/>
              </w:rPr>
              <w:t>由上表可知，正常工况下，项目厂界</w:t>
            </w:r>
            <w:r>
              <w:rPr>
                <w:rFonts w:hint="eastAsia" w:ascii="Times New Roman" w:hAnsi="Times New Roman" w:eastAsia="宋体" w:cs="Times New Roman"/>
                <w:color w:val="FF0000"/>
                <w:sz w:val="24"/>
                <w:lang w:val="en-US" w:eastAsia="zh-CN"/>
              </w:rPr>
              <w:t>昼夜间</w:t>
            </w:r>
            <w:r>
              <w:rPr>
                <w:rFonts w:hint="eastAsia" w:ascii="Times New Roman" w:hAnsi="Times New Roman" w:eastAsia="宋体" w:cs="Times New Roman"/>
                <w:color w:val="auto"/>
                <w:sz w:val="24"/>
              </w:rPr>
              <w:t>噪声满足《工业企业厂界环境噪声排放标准》（GB12348-2008）3类标准。</w:t>
            </w:r>
          </w:p>
          <w:p w14:paraId="1948FEB8">
            <w:pPr>
              <w:keepNext w:val="0"/>
              <w:keepLines w:val="0"/>
              <w:suppressLineNumbers w:val="0"/>
              <w:spacing w:before="0" w:beforeAutospacing="0" w:after="0" w:afterAutospacing="0" w:line="360" w:lineRule="auto"/>
              <w:ind w:left="0" w:right="0"/>
              <w:rPr>
                <w:rFonts w:hint="default" w:ascii="Times New Roman" w:hAnsi="Times New Roman" w:eastAsia="宋体" w:cs="Times New Roman"/>
                <w:b/>
                <w:bCs/>
                <w:color w:val="auto"/>
                <w:sz w:val="24"/>
              </w:rPr>
            </w:pPr>
            <w:r>
              <w:rPr>
                <w:rFonts w:hint="default" w:ascii="Times New Roman" w:hAnsi="Times New Roman" w:eastAsia="宋体" w:cs="Times New Roman"/>
                <w:b/>
                <w:bCs/>
                <w:color w:val="auto"/>
                <w:sz w:val="24"/>
              </w:rPr>
              <w:t>4.2.3.4监测计划</w:t>
            </w:r>
          </w:p>
          <w:p w14:paraId="2060A75F">
            <w:pPr>
              <w:keepNext w:val="0"/>
              <w:keepLines w:val="0"/>
              <w:suppressLineNumbers w:val="0"/>
              <w:spacing w:before="0" w:beforeAutospacing="0" w:after="0" w:afterAutospacing="0" w:line="360" w:lineRule="auto"/>
              <w:ind w:left="0" w:right="0" w:firstLine="480" w:firstLineChars="200"/>
              <w:rPr>
                <w:rFonts w:hint="default" w:ascii="Times New Roman" w:hAnsi="Times New Roman" w:eastAsia="宋体" w:cs="Times New Roman"/>
                <w:color w:val="auto"/>
                <w:sz w:val="24"/>
              </w:rPr>
            </w:pPr>
            <w:r>
              <w:rPr>
                <w:rFonts w:hint="eastAsia" w:ascii="Times New Roman" w:hAnsi="Times New Roman" w:eastAsia="宋体" w:cs="Times New Roman"/>
                <w:color w:val="auto"/>
                <w:sz w:val="24"/>
              </w:rPr>
              <w:t>根据导则及《排污单位自行监测技术指南 总则》（HJ819-2017）要求，本项目噪声监测方案如下表所示。</w:t>
            </w:r>
          </w:p>
          <w:p w14:paraId="3701A8C6">
            <w:pPr>
              <w:keepNext w:val="0"/>
              <w:keepLines w:val="0"/>
              <w:suppressLineNumbers w:val="0"/>
              <w:spacing w:before="0" w:beforeAutospacing="0" w:after="0" w:afterAutospacing="0"/>
              <w:ind w:left="0" w:right="0"/>
              <w:jc w:val="center"/>
              <w:rPr>
                <w:rFonts w:hint="default" w:ascii="Times New Roman" w:hAnsi="Times New Roman" w:eastAsia="宋体" w:cs="Times New Roman"/>
                <w:b/>
                <w:bCs/>
                <w:color w:val="auto"/>
              </w:rPr>
            </w:pPr>
            <w:r>
              <w:rPr>
                <w:rFonts w:hint="eastAsia" w:ascii="Times New Roman" w:hAnsi="Times New Roman" w:eastAsia="宋体" w:cs="Times New Roman"/>
                <w:b/>
                <w:bCs/>
                <w:color w:val="auto"/>
              </w:rPr>
              <w:t>表4-</w:t>
            </w:r>
            <w:r>
              <w:rPr>
                <w:rFonts w:hint="eastAsia" w:ascii="Times New Roman" w:hAnsi="Times New Roman" w:eastAsia="宋体" w:cs="Times New Roman"/>
                <w:b/>
                <w:bCs/>
                <w:color w:val="auto"/>
                <w:lang w:val="en-US" w:eastAsia="zh-CN"/>
              </w:rPr>
              <w:t>21</w:t>
            </w:r>
            <w:r>
              <w:rPr>
                <w:rFonts w:hint="eastAsia" w:ascii="Times New Roman" w:hAnsi="Times New Roman" w:eastAsia="宋体" w:cs="Times New Roman"/>
                <w:b/>
                <w:bCs/>
                <w:color w:val="auto"/>
              </w:rPr>
              <w:t xml:space="preserve">  项目噪声监测计划</w:t>
            </w:r>
          </w:p>
          <w:tbl>
            <w:tblPr>
              <w:tblStyle w:val="22"/>
              <w:tblW w:w="4998"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795"/>
              <w:gridCol w:w="1956"/>
              <w:gridCol w:w="2505"/>
              <w:gridCol w:w="2088"/>
            </w:tblGrid>
            <w:tr w14:paraId="162054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1076" w:type="pct"/>
                  <w:noWrap/>
                  <w:vAlign w:val="center"/>
                </w:tcPr>
                <w:p w14:paraId="55B495C9">
                  <w:pPr>
                    <w:keepNext w:val="0"/>
                    <w:keepLines w:val="0"/>
                    <w:suppressLineNumbers w:val="0"/>
                    <w:spacing w:before="0" w:beforeAutospacing="0" w:after="0" w:afterAutospacing="0"/>
                    <w:ind w:left="0" w:right="0"/>
                    <w:jc w:val="center"/>
                    <w:rPr>
                      <w:rFonts w:hint="default" w:ascii="Times New Roman" w:hAnsi="Times New Roman" w:eastAsia="宋体" w:cs="Times New Roman"/>
                      <w:b/>
                      <w:bCs/>
                      <w:color w:val="auto"/>
                      <w:szCs w:val="21"/>
                    </w:rPr>
                  </w:pPr>
                  <w:r>
                    <w:rPr>
                      <w:rFonts w:hint="default" w:ascii="Times New Roman" w:hAnsi="Times New Roman" w:eastAsia="宋体" w:cs="Times New Roman"/>
                      <w:b/>
                      <w:bCs/>
                      <w:color w:val="auto"/>
                      <w:szCs w:val="21"/>
                    </w:rPr>
                    <w:t>监测内容</w:t>
                  </w:r>
                </w:p>
              </w:tc>
              <w:tc>
                <w:tcPr>
                  <w:tcW w:w="1172" w:type="pct"/>
                  <w:noWrap/>
                  <w:vAlign w:val="center"/>
                </w:tcPr>
                <w:p w14:paraId="0BE32267">
                  <w:pPr>
                    <w:keepNext w:val="0"/>
                    <w:keepLines w:val="0"/>
                    <w:suppressLineNumbers w:val="0"/>
                    <w:spacing w:before="0" w:beforeAutospacing="0" w:after="0" w:afterAutospacing="0"/>
                    <w:ind w:left="0" w:right="0"/>
                    <w:jc w:val="center"/>
                    <w:rPr>
                      <w:rFonts w:hint="default" w:ascii="Times New Roman" w:hAnsi="Times New Roman" w:eastAsia="宋体" w:cs="Times New Roman"/>
                      <w:b/>
                      <w:bCs/>
                      <w:color w:val="auto"/>
                      <w:szCs w:val="21"/>
                    </w:rPr>
                  </w:pPr>
                  <w:r>
                    <w:rPr>
                      <w:rFonts w:hint="default" w:ascii="Times New Roman" w:hAnsi="Times New Roman" w:eastAsia="宋体" w:cs="Times New Roman"/>
                      <w:b/>
                      <w:bCs/>
                      <w:color w:val="auto"/>
                      <w:szCs w:val="21"/>
                    </w:rPr>
                    <w:t>监测点位</w:t>
                  </w:r>
                </w:p>
              </w:tc>
              <w:tc>
                <w:tcPr>
                  <w:tcW w:w="1500" w:type="pct"/>
                  <w:noWrap/>
                  <w:vAlign w:val="center"/>
                </w:tcPr>
                <w:p w14:paraId="23AB8FDA">
                  <w:pPr>
                    <w:keepNext w:val="0"/>
                    <w:keepLines w:val="0"/>
                    <w:suppressLineNumbers w:val="0"/>
                    <w:spacing w:before="0" w:beforeAutospacing="0" w:after="0" w:afterAutospacing="0"/>
                    <w:ind w:left="0" w:right="0"/>
                    <w:jc w:val="center"/>
                    <w:rPr>
                      <w:rFonts w:hint="default" w:ascii="Times New Roman" w:hAnsi="Times New Roman" w:eastAsia="宋体" w:cs="Times New Roman"/>
                      <w:b/>
                      <w:bCs/>
                      <w:color w:val="auto"/>
                      <w:szCs w:val="21"/>
                    </w:rPr>
                  </w:pPr>
                  <w:r>
                    <w:rPr>
                      <w:rFonts w:hint="default" w:ascii="Times New Roman" w:hAnsi="Times New Roman" w:eastAsia="宋体" w:cs="Times New Roman"/>
                      <w:b/>
                      <w:bCs/>
                      <w:color w:val="auto"/>
                      <w:szCs w:val="21"/>
                    </w:rPr>
                    <w:t>监测项目</w:t>
                  </w:r>
                </w:p>
              </w:tc>
              <w:tc>
                <w:tcPr>
                  <w:tcW w:w="1250" w:type="pct"/>
                  <w:noWrap/>
                  <w:vAlign w:val="center"/>
                </w:tcPr>
                <w:p w14:paraId="07BA6E26">
                  <w:pPr>
                    <w:keepNext w:val="0"/>
                    <w:keepLines w:val="0"/>
                    <w:suppressLineNumbers w:val="0"/>
                    <w:spacing w:before="0" w:beforeAutospacing="0" w:after="0" w:afterAutospacing="0"/>
                    <w:ind w:left="0" w:right="0"/>
                    <w:jc w:val="center"/>
                    <w:rPr>
                      <w:rFonts w:hint="default" w:ascii="Times New Roman" w:hAnsi="Times New Roman" w:eastAsia="宋体" w:cs="Times New Roman"/>
                      <w:b/>
                      <w:bCs/>
                      <w:color w:val="auto"/>
                      <w:szCs w:val="21"/>
                    </w:rPr>
                  </w:pPr>
                  <w:r>
                    <w:rPr>
                      <w:rFonts w:hint="default" w:ascii="Times New Roman" w:hAnsi="Times New Roman" w:eastAsia="宋体" w:cs="Times New Roman"/>
                      <w:b/>
                      <w:bCs/>
                      <w:color w:val="auto"/>
                      <w:szCs w:val="21"/>
                    </w:rPr>
                    <w:t>监测频率</w:t>
                  </w:r>
                </w:p>
              </w:tc>
            </w:tr>
            <w:tr w14:paraId="0089FC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1076" w:type="pct"/>
                  <w:noWrap/>
                  <w:vAlign w:val="center"/>
                </w:tcPr>
                <w:p w14:paraId="7143D75F">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rPr>
                    <w:t>噪声</w:t>
                  </w:r>
                </w:p>
              </w:tc>
              <w:tc>
                <w:tcPr>
                  <w:tcW w:w="1172" w:type="pct"/>
                  <w:noWrap/>
                  <w:vAlign w:val="center"/>
                </w:tcPr>
                <w:p w14:paraId="52AA4103">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rPr>
                    <w:t>厂界</w:t>
                  </w:r>
                </w:p>
              </w:tc>
              <w:tc>
                <w:tcPr>
                  <w:tcW w:w="1500" w:type="pct"/>
                  <w:noWrap/>
                  <w:vAlign w:val="center"/>
                </w:tcPr>
                <w:p w14:paraId="688CE056">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rPr>
                    <w:t>昼夜间Leq（A）</w:t>
                  </w:r>
                </w:p>
              </w:tc>
              <w:tc>
                <w:tcPr>
                  <w:tcW w:w="1250" w:type="pct"/>
                  <w:noWrap/>
                  <w:vAlign w:val="center"/>
                </w:tcPr>
                <w:p w14:paraId="7F8731AF">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rPr>
                    <w:t>1次/季度</w:t>
                  </w:r>
                </w:p>
              </w:tc>
            </w:tr>
          </w:tbl>
          <w:p w14:paraId="5EA608F5">
            <w:pPr>
              <w:keepNext w:val="0"/>
              <w:keepLines w:val="0"/>
              <w:suppressLineNumbers w:val="0"/>
              <w:spacing w:before="0" w:beforeAutospacing="0" w:after="0" w:afterAutospacing="0" w:line="360" w:lineRule="auto"/>
              <w:ind w:left="0" w:right="0"/>
              <w:rPr>
                <w:rFonts w:hint="eastAsia" w:ascii="Times New Roman" w:hAnsi="Times New Roman" w:eastAsia="宋体" w:cs="Times New Roman"/>
                <w:b/>
                <w:bCs/>
                <w:color w:val="auto"/>
                <w:sz w:val="24"/>
              </w:rPr>
            </w:pPr>
          </w:p>
          <w:p w14:paraId="013759CA">
            <w:pPr>
              <w:keepNext w:val="0"/>
              <w:keepLines w:val="0"/>
              <w:suppressLineNumbers w:val="0"/>
              <w:spacing w:before="0" w:beforeAutospacing="0" w:after="0" w:afterAutospacing="0" w:line="360" w:lineRule="auto"/>
              <w:ind w:left="0" w:right="0"/>
              <w:rPr>
                <w:rFonts w:hint="eastAsia" w:ascii="Times New Roman" w:hAnsi="Times New Roman" w:eastAsia="宋体" w:cs="Times New Roman"/>
                <w:b/>
                <w:bCs/>
                <w:color w:val="auto"/>
                <w:sz w:val="24"/>
              </w:rPr>
            </w:pPr>
          </w:p>
          <w:p w14:paraId="48B1A35F">
            <w:pPr>
              <w:keepNext w:val="0"/>
              <w:keepLines w:val="0"/>
              <w:suppressLineNumbers w:val="0"/>
              <w:spacing w:before="0" w:beforeAutospacing="0" w:after="0" w:afterAutospacing="0" w:line="360" w:lineRule="auto"/>
              <w:ind w:left="0" w:right="0"/>
              <w:rPr>
                <w:rFonts w:hint="default" w:ascii="Times New Roman" w:hAnsi="Times New Roman" w:eastAsia="宋体" w:cs="Times New Roman"/>
                <w:b/>
                <w:bCs/>
                <w:color w:val="auto"/>
                <w:sz w:val="24"/>
              </w:rPr>
            </w:pPr>
            <w:r>
              <w:rPr>
                <w:rFonts w:hint="eastAsia" w:ascii="Times New Roman" w:hAnsi="Times New Roman" w:eastAsia="宋体" w:cs="Times New Roman"/>
                <w:b/>
                <w:bCs/>
                <w:color w:val="auto"/>
                <w:sz w:val="24"/>
              </w:rPr>
              <w:t>4.2.4固体废物</w:t>
            </w:r>
          </w:p>
          <w:p w14:paraId="61D53CA4">
            <w:pPr>
              <w:keepNext w:val="0"/>
              <w:keepLines w:val="0"/>
              <w:suppressLineNumbers w:val="0"/>
              <w:spacing w:before="0" w:beforeAutospacing="0" w:after="0" w:afterAutospacing="0" w:line="360" w:lineRule="auto"/>
              <w:ind w:left="0" w:right="0"/>
              <w:rPr>
                <w:rFonts w:hint="default" w:ascii="Times New Roman" w:hAnsi="Times New Roman" w:eastAsia="宋体" w:cs="Times New Roman"/>
                <w:b/>
                <w:bCs/>
                <w:color w:val="auto"/>
                <w:sz w:val="24"/>
              </w:rPr>
            </w:pPr>
            <w:r>
              <w:rPr>
                <w:rFonts w:hint="eastAsia" w:ascii="Times New Roman" w:hAnsi="Times New Roman" w:eastAsia="宋体" w:cs="Times New Roman"/>
                <w:b/>
                <w:bCs/>
                <w:color w:val="auto"/>
                <w:sz w:val="24"/>
              </w:rPr>
              <w:t>4.2.4.1源强分析</w:t>
            </w:r>
          </w:p>
          <w:p w14:paraId="4C844FAC">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firstLine="480" w:firstLineChars="200"/>
              <w:textAlignment w:val="auto"/>
              <w:rPr>
                <w:rFonts w:hint="default" w:ascii="Times New Roman" w:hAnsi="Times New Roman" w:eastAsia="宋体" w:cs="Times New Roman"/>
                <w:color w:val="auto"/>
                <w:sz w:val="24"/>
                <w:szCs w:val="24"/>
              </w:rPr>
            </w:pPr>
            <w:r>
              <w:rPr>
                <w:rFonts w:hint="eastAsia" w:ascii="Times New Roman" w:hAnsi="Times New Roman" w:eastAsia="宋体" w:cs="Times New Roman"/>
                <w:color w:val="auto"/>
                <w:sz w:val="24"/>
                <w:szCs w:val="24"/>
              </w:rPr>
              <w:t>（1）生活垃圾</w:t>
            </w:r>
          </w:p>
          <w:p w14:paraId="0AF14923">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firstLine="480" w:firstLineChars="200"/>
              <w:textAlignment w:val="auto"/>
              <w:rPr>
                <w:rFonts w:hint="default" w:ascii="Times New Roman" w:hAnsi="Times New Roman" w:eastAsia="宋体" w:cs="Times New Roman"/>
                <w:color w:val="auto"/>
                <w:sz w:val="24"/>
                <w:szCs w:val="24"/>
              </w:rPr>
            </w:pPr>
            <w:r>
              <w:rPr>
                <w:rFonts w:hint="eastAsia" w:ascii="Times New Roman" w:hAnsi="Times New Roman" w:eastAsia="宋体" w:cs="Times New Roman"/>
                <w:color w:val="auto"/>
                <w:sz w:val="24"/>
                <w:szCs w:val="24"/>
              </w:rPr>
              <w:t>本项目职工</w:t>
            </w:r>
            <w:r>
              <w:rPr>
                <w:rFonts w:hint="eastAsia" w:ascii="Times New Roman" w:hAnsi="Times New Roman" w:eastAsia="宋体" w:cs="Times New Roman"/>
                <w:color w:val="auto"/>
                <w:sz w:val="24"/>
                <w:szCs w:val="24"/>
                <w:lang w:val="en-US" w:eastAsia="zh-CN"/>
              </w:rPr>
              <w:t>1</w:t>
            </w:r>
            <w:r>
              <w:rPr>
                <w:rFonts w:hint="eastAsia" w:ascii="Times New Roman" w:hAnsi="Times New Roman" w:eastAsia="宋体" w:cs="Times New Roman"/>
                <w:color w:val="auto"/>
                <w:sz w:val="24"/>
                <w:szCs w:val="24"/>
              </w:rPr>
              <w:t>00人，厂区内不设食堂和宿舍，</w:t>
            </w:r>
            <w:r>
              <w:rPr>
                <w:rFonts w:hint="eastAsia" w:ascii="Times New Roman" w:hAnsi="Times New Roman" w:eastAsia="宋体" w:cs="Times New Roman"/>
                <w:color w:val="auto"/>
                <w:sz w:val="24"/>
                <w:szCs w:val="24"/>
                <w:lang w:val="en-US" w:eastAsia="zh-CN"/>
              </w:rPr>
              <w:t>实行两班制生产（每班8h）</w:t>
            </w:r>
            <w:r>
              <w:rPr>
                <w:rFonts w:hint="eastAsia" w:ascii="Times New Roman" w:hAnsi="Times New Roman" w:eastAsia="宋体" w:cs="Times New Roman"/>
                <w:color w:val="auto"/>
                <w:sz w:val="24"/>
                <w:szCs w:val="24"/>
              </w:rPr>
              <w:t>，年生产天数为300d。生活垃圾的产生量按0.5kg/人·d，则本项目产生量为</w:t>
            </w:r>
            <w:r>
              <w:rPr>
                <w:rFonts w:hint="eastAsia" w:ascii="Times New Roman" w:hAnsi="Times New Roman" w:eastAsia="宋体" w:cs="Times New Roman"/>
                <w:color w:val="auto"/>
                <w:sz w:val="24"/>
                <w:szCs w:val="24"/>
                <w:lang w:val="en-US" w:eastAsia="zh-CN"/>
              </w:rPr>
              <w:t>1</w:t>
            </w:r>
            <w:r>
              <w:rPr>
                <w:rFonts w:hint="eastAsia" w:ascii="Times New Roman" w:hAnsi="Times New Roman" w:eastAsia="宋体" w:cs="Times New Roman"/>
                <w:color w:val="auto"/>
                <w:sz w:val="24"/>
                <w:szCs w:val="24"/>
              </w:rPr>
              <w:t>5t/a</w:t>
            </w:r>
            <w:r>
              <w:rPr>
                <w:rFonts w:hint="eastAsia" w:ascii="Times New Roman" w:hAnsi="Times New Roman" w:eastAsia="宋体" w:cs="Times New Roman"/>
                <w:color w:val="auto"/>
                <w:sz w:val="24"/>
                <w:szCs w:val="24"/>
                <w:lang w:eastAsia="zh-CN"/>
              </w:rPr>
              <w:t>，</w:t>
            </w:r>
            <w:r>
              <w:rPr>
                <w:rFonts w:hint="eastAsia" w:ascii="Times New Roman" w:hAnsi="Times New Roman" w:eastAsia="宋体" w:cs="Times New Roman"/>
                <w:color w:val="auto"/>
                <w:sz w:val="24"/>
                <w:szCs w:val="24"/>
              </w:rPr>
              <w:t>收集后由环卫部门统一清运。</w:t>
            </w:r>
          </w:p>
          <w:p w14:paraId="5490C9EF">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firstLine="480" w:firstLineChars="200"/>
              <w:textAlignment w:val="auto"/>
              <w:rPr>
                <w:rFonts w:hint="eastAsia" w:ascii="Times New Roman" w:hAnsi="Times New Roman" w:eastAsia="宋体" w:cs="Times New Roman"/>
                <w:color w:val="auto"/>
                <w:sz w:val="24"/>
                <w:szCs w:val="24"/>
              </w:rPr>
            </w:pPr>
            <w:r>
              <w:rPr>
                <w:rFonts w:hint="eastAsia" w:ascii="Times New Roman" w:hAnsi="Times New Roman" w:eastAsia="宋体" w:cs="Times New Roman"/>
                <w:color w:val="auto"/>
                <w:sz w:val="24"/>
                <w:szCs w:val="24"/>
              </w:rPr>
              <w:t>（2）</w:t>
            </w:r>
            <w:r>
              <w:rPr>
                <w:rFonts w:hint="eastAsia" w:ascii="Times New Roman" w:hAnsi="Times New Roman" w:eastAsia="宋体" w:cs="Times New Roman"/>
                <w:color w:val="auto"/>
                <w:sz w:val="24"/>
                <w:szCs w:val="24"/>
                <w:lang w:val="en-US" w:eastAsia="zh-CN"/>
              </w:rPr>
              <w:t>一般工业固体废物</w:t>
            </w:r>
          </w:p>
          <w:p w14:paraId="2AF9DCD1">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firstLine="480" w:firstLineChars="200"/>
              <w:textAlignment w:val="auto"/>
              <w:rPr>
                <w:rFonts w:hint="eastAsia" w:ascii="Times New Roman" w:hAnsi="Times New Roman" w:eastAsia="宋体" w:cs="Times New Roman"/>
                <w:color w:val="auto"/>
                <w:sz w:val="24"/>
                <w:szCs w:val="24"/>
              </w:rPr>
            </w:pPr>
            <w:r>
              <w:rPr>
                <w:rFonts w:hint="eastAsia" w:ascii="Times New Roman" w:hAnsi="Times New Roman" w:eastAsia="宋体" w:cs="Times New Roman"/>
                <w:color w:val="auto"/>
                <w:sz w:val="24"/>
                <w:szCs w:val="24"/>
                <w:lang w:val="en-US" w:eastAsia="zh-CN"/>
              </w:rPr>
              <w:t>①</w:t>
            </w:r>
            <w:r>
              <w:rPr>
                <w:rFonts w:hint="eastAsia" w:ascii="Times New Roman" w:hAnsi="Times New Roman" w:eastAsia="宋体" w:cs="Times New Roman"/>
                <w:color w:val="auto"/>
                <w:sz w:val="24"/>
                <w:szCs w:val="24"/>
              </w:rPr>
              <w:t>废PET膜</w:t>
            </w:r>
          </w:p>
          <w:p w14:paraId="6B6794CE">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firstLine="480" w:firstLineChars="200"/>
              <w:textAlignment w:val="auto"/>
              <w:rPr>
                <w:rFonts w:hint="eastAsia" w:ascii="Times New Roman" w:hAnsi="Times New Roman" w:eastAsia="宋体" w:cs="Times New Roman"/>
                <w:color w:val="auto"/>
                <w:sz w:val="24"/>
                <w:szCs w:val="24"/>
                <w:lang w:val="en-US" w:eastAsia="zh-CN"/>
              </w:rPr>
            </w:pPr>
            <w:r>
              <w:rPr>
                <w:rFonts w:hint="eastAsia" w:ascii="Times New Roman" w:hAnsi="Times New Roman" w:eastAsia="宋体" w:cs="Times New Roman"/>
                <w:color w:val="auto"/>
                <w:sz w:val="24"/>
                <w:szCs w:val="24"/>
              </w:rPr>
              <w:t>压延涂布</w:t>
            </w:r>
            <w:r>
              <w:rPr>
                <w:rFonts w:hint="eastAsia" w:ascii="Times New Roman" w:hAnsi="Times New Roman" w:eastAsia="宋体" w:cs="Times New Roman"/>
                <w:color w:val="auto"/>
                <w:sz w:val="24"/>
                <w:szCs w:val="24"/>
                <w:lang w:val="en-US" w:eastAsia="zh-CN"/>
              </w:rPr>
              <w:t>过程中同时双面包裹PET膜进行保护，烘烤固化结束后，在收卷过程同时揭除双面包裹的PET膜。根据企业提供的资料，PET膜用量为500万m</w:t>
            </w:r>
            <w:r>
              <w:rPr>
                <w:rFonts w:hint="eastAsia" w:ascii="Times New Roman" w:hAnsi="Times New Roman" w:eastAsia="宋体" w:cs="Times New Roman"/>
                <w:color w:val="auto"/>
                <w:sz w:val="24"/>
                <w:szCs w:val="24"/>
                <w:vertAlign w:val="superscript"/>
                <w:lang w:val="en-US" w:eastAsia="zh-CN"/>
              </w:rPr>
              <w:t>2</w:t>
            </w:r>
            <w:r>
              <w:rPr>
                <w:rFonts w:hint="eastAsia" w:ascii="Times New Roman" w:hAnsi="Times New Roman" w:eastAsia="宋体" w:cs="Times New Roman"/>
                <w:color w:val="auto"/>
                <w:sz w:val="24"/>
                <w:szCs w:val="24"/>
                <w:lang w:val="en-US" w:eastAsia="zh-CN"/>
              </w:rPr>
              <w:t>/a，厚度为0.075mm，密度取1.38g/cm</w:t>
            </w:r>
            <w:r>
              <w:rPr>
                <w:rFonts w:hint="eastAsia" w:ascii="Times New Roman" w:hAnsi="Times New Roman" w:eastAsia="宋体" w:cs="Times New Roman"/>
                <w:color w:val="auto"/>
                <w:sz w:val="24"/>
                <w:szCs w:val="24"/>
                <w:vertAlign w:val="superscript"/>
                <w:lang w:val="en-US" w:eastAsia="zh-CN"/>
              </w:rPr>
              <w:t>3</w:t>
            </w:r>
            <w:r>
              <w:rPr>
                <w:rFonts w:hint="eastAsia" w:ascii="Times New Roman" w:hAnsi="Times New Roman" w:eastAsia="宋体" w:cs="Times New Roman"/>
                <w:color w:val="auto"/>
                <w:sz w:val="24"/>
                <w:szCs w:val="24"/>
                <w:lang w:val="en-US" w:eastAsia="zh-CN"/>
              </w:rPr>
              <w:t>，由PET重量与面积换算公式核算0.075mm厚度换算率为1kg=9.66m</w:t>
            </w:r>
            <w:r>
              <w:rPr>
                <w:rFonts w:hint="eastAsia" w:ascii="Times New Roman" w:hAnsi="Times New Roman" w:eastAsia="宋体" w:cs="Times New Roman"/>
                <w:color w:val="auto"/>
                <w:sz w:val="24"/>
                <w:szCs w:val="24"/>
                <w:vertAlign w:val="superscript"/>
                <w:lang w:val="en-US" w:eastAsia="zh-CN"/>
              </w:rPr>
              <w:t>2</w:t>
            </w:r>
            <w:r>
              <w:rPr>
                <w:rFonts w:hint="eastAsia" w:ascii="Times New Roman" w:hAnsi="Times New Roman" w:eastAsia="宋体" w:cs="Times New Roman"/>
                <w:color w:val="auto"/>
                <w:sz w:val="24"/>
                <w:szCs w:val="24"/>
                <w:lang w:val="en-US" w:eastAsia="zh-CN"/>
              </w:rPr>
              <w:t>，则折算重量约</w:t>
            </w:r>
            <w:r>
              <w:rPr>
                <w:rFonts w:hint="eastAsia" w:ascii="Times New Roman" w:hAnsi="Times New Roman" w:eastAsia="宋体" w:cs="Times New Roman"/>
                <w:color w:val="0000E1"/>
                <w:sz w:val="24"/>
                <w:szCs w:val="24"/>
                <w:lang w:val="en-US" w:eastAsia="zh-CN"/>
              </w:rPr>
              <w:t>517.5t/a。</w:t>
            </w:r>
            <w:r>
              <w:rPr>
                <w:rFonts w:hint="eastAsia" w:ascii="Times New Roman" w:hAnsi="Times New Roman" w:eastAsia="宋体" w:cs="Times New Roman"/>
                <w:color w:val="auto"/>
                <w:sz w:val="24"/>
                <w:szCs w:val="24"/>
                <w:lang w:val="en-US" w:eastAsia="zh-CN"/>
              </w:rPr>
              <w:t>同时在烘烤固化PET膜受热会产生一定量的废气，根据4.2.1.1源强分析可知，废气产生量为0.114t/a，故废PET膜产生量约</w:t>
            </w:r>
            <w:r>
              <w:rPr>
                <w:rFonts w:hint="eastAsia" w:ascii="Times New Roman" w:hAnsi="Times New Roman" w:eastAsia="宋体" w:cs="Times New Roman"/>
                <w:color w:val="0000E1"/>
                <w:sz w:val="24"/>
                <w:szCs w:val="24"/>
                <w:lang w:val="en-US" w:eastAsia="zh-CN"/>
              </w:rPr>
              <w:t>517.386t/a，</w:t>
            </w:r>
            <w:r>
              <w:rPr>
                <w:rFonts w:hint="eastAsia" w:ascii="Times New Roman" w:hAnsi="Times New Roman" w:eastAsia="宋体" w:cs="Times New Roman"/>
                <w:color w:val="auto"/>
                <w:sz w:val="24"/>
                <w:szCs w:val="24"/>
                <w:lang w:val="en-US" w:eastAsia="zh-CN"/>
              </w:rPr>
              <w:t>集中收集后委托一般工业固废单位处置或收运。</w:t>
            </w:r>
          </w:p>
          <w:p w14:paraId="1FD83C19">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firstLine="480" w:firstLineChars="200"/>
              <w:textAlignment w:val="auto"/>
              <w:rPr>
                <w:rFonts w:hint="eastAsia" w:ascii="Times New Roman" w:hAnsi="Times New Roman" w:eastAsia="宋体" w:cs="Times New Roman"/>
                <w:color w:val="auto"/>
                <w:sz w:val="24"/>
                <w:szCs w:val="24"/>
                <w:lang w:val="en-US" w:eastAsia="zh-CN"/>
              </w:rPr>
            </w:pPr>
            <w:r>
              <w:rPr>
                <w:rFonts w:hint="eastAsia" w:ascii="Times New Roman" w:hAnsi="Times New Roman" w:eastAsia="宋体" w:cs="Times New Roman"/>
                <w:color w:val="auto"/>
                <w:sz w:val="24"/>
                <w:szCs w:val="24"/>
                <w:lang w:val="en-US" w:eastAsia="zh-CN"/>
              </w:rPr>
              <w:t>②边角料</w:t>
            </w:r>
          </w:p>
          <w:p w14:paraId="73C071AD">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firstLine="480" w:firstLineChars="200"/>
              <w:textAlignment w:val="auto"/>
              <w:rPr>
                <w:rFonts w:hint="eastAsia" w:ascii="Times New Roman" w:hAnsi="Times New Roman" w:eastAsia="宋体" w:cs="Times New Roman"/>
                <w:color w:val="auto"/>
                <w:sz w:val="24"/>
                <w:szCs w:val="24"/>
                <w:lang w:val="en-US" w:eastAsia="zh-CN"/>
              </w:rPr>
            </w:pPr>
            <w:r>
              <w:rPr>
                <w:rFonts w:hint="eastAsia" w:ascii="Times New Roman" w:hAnsi="Times New Roman" w:eastAsia="宋体" w:cs="Times New Roman"/>
                <w:color w:val="auto"/>
                <w:sz w:val="24"/>
                <w:szCs w:val="24"/>
                <w:lang w:val="en-US" w:eastAsia="zh-CN"/>
              </w:rPr>
              <w:t>复合隔膜产品中裁切、</w:t>
            </w:r>
            <w:r>
              <w:rPr>
                <w:rFonts w:hint="default" w:ascii="Times New Roman" w:hAnsi="Times New Roman" w:eastAsia="宋体" w:cs="Times New Roman"/>
                <w:color w:val="auto"/>
                <w:sz w:val="24"/>
                <w:szCs w:val="24"/>
                <w:lang w:val="en-US" w:eastAsia="zh-CN"/>
              </w:rPr>
              <w:t>纳米隔热</w:t>
            </w:r>
            <w:r>
              <w:rPr>
                <w:rFonts w:hint="eastAsia" w:ascii="Times New Roman" w:hAnsi="Times New Roman" w:eastAsia="宋体" w:cs="Times New Roman"/>
                <w:color w:val="auto"/>
                <w:sz w:val="24"/>
                <w:szCs w:val="24"/>
                <w:lang w:val="en-US" w:eastAsia="zh-CN"/>
              </w:rPr>
              <w:t>板</w:t>
            </w:r>
            <w:r>
              <w:rPr>
                <w:rFonts w:hint="default" w:ascii="Times New Roman" w:hAnsi="Times New Roman" w:eastAsia="宋体" w:cs="Times New Roman"/>
                <w:color w:val="auto"/>
                <w:sz w:val="24"/>
                <w:szCs w:val="24"/>
                <w:lang w:val="en-US" w:eastAsia="zh-CN"/>
              </w:rPr>
              <w:t>激光切割、修边裁切等加工过程中，会产生</w:t>
            </w:r>
            <w:r>
              <w:rPr>
                <w:rFonts w:hint="eastAsia" w:ascii="Times New Roman" w:hAnsi="Times New Roman" w:eastAsia="宋体" w:cs="Times New Roman"/>
                <w:color w:val="auto"/>
                <w:sz w:val="24"/>
                <w:szCs w:val="24"/>
                <w:lang w:val="en-US" w:eastAsia="zh-CN"/>
              </w:rPr>
              <w:t>一定</w:t>
            </w:r>
            <w:r>
              <w:rPr>
                <w:rFonts w:hint="default" w:ascii="Times New Roman" w:hAnsi="Times New Roman" w:eastAsia="宋体" w:cs="Times New Roman"/>
                <w:color w:val="auto"/>
                <w:sz w:val="24"/>
                <w:szCs w:val="24"/>
                <w:lang w:val="en-US" w:eastAsia="zh-CN"/>
              </w:rPr>
              <w:t>量的边角料；根据企业提供的资料，复合隔膜产品中边角料产生量约</w:t>
            </w:r>
            <w:r>
              <w:rPr>
                <w:rFonts w:hint="eastAsia" w:ascii="Times New Roman" w:hAnsi="Times New Roman" w:eastAsia="宋体" w:cs="Times New Roman"/>
                <w:color w:val="0000E1"/>
                <w:sz w:val="24"/>
                <w:szCs w:val="24"/>
                <w:lang w:val="en-US" w:eastAsia="zh-CN"/>
              </w:rPr>
              <w:t>2990.25</w:t>
            </w:r>
            <w:r>
              <w:rPr>
                <w:rFonts w:hint="default" w:ascii="Times New Roman" w:hAnsi="Times New Roman" w:eastAsia="宋体" w:cs="Times New Roman"/>
                <w:color w:val="0000E1"/>
                <w:sz w:val="24"/>
                <w:szCs w:val="24"/>
                <w:lang w:val="en-US" w:eastAsia="zh-CN"/>
              </w:rPr>
              <w:t>t/a</w:t>
            </w:r>
            <w:r>
              <w:rPr>
                <w:rFonts w:hint="eastAsia" w:ascii="Times New Roman" w:hAnsi="Times New Roman" w:eastAsia="宋体" w:cs="Times New Roman"/>
                <w:color w:val="auto"/>
                <w:sz w:val="24"/>
                <w:szCs w:val="24"/>
                <w:lang w:val="en-US" w:eastAsia="zh-CN"/>
              </w:rPr>
              <w:t>、纳米隔热产品中边角料产生量约</w:t>
            </w:r>
            <w:r>
              <w:rPr>
                <w:rFonts w:hint="eastAsia" w:ascii="Times New Roman" w:hAnsi="Times New Roman" w:eastAsia="宋体" w:cs="Times New Roman"/>
                <w:color w:val="0000FF"/>
                <w:sz w:val="24"/>
                <w:szCs w:val="24"/>
                <w:lang w:val="en-US" w:eastAsia="zh-CN"/>
              </w:rPr>
              <w:t>27.124</w:t>
            </w:r>
            <w:r>
              <w:rPr>
                <w:rFonts w:hint="eastAsia" w:ascii="Times New Roman" w:hAnsi="Times New Roman" w:eastAsia="宋体" w:cs="Times New Roman"/>
                <w:color w:val="auto"/>
                <w:sz w:val="24"/>
                <w:szCs w:val="24"/>
                <w:lang w:val="en-US" w:eastAsia="zh-CN"/>
              </w:rPr>
              <w:t>t/a，合计</w:t>
            </w:r>
            <w:r>
              <w:rPr>
                <w:rFonts w:hint="eastAsia" w:ascii="Times New Roman" w:hAnsi="Times New Roman" w:eastAsia="宋体" w:cs="Times New Roman"/>
                <w:color w:val="0000FF"/>
                <w:sz w:val="24"/>
                <w:szCs w:val="24"/>
                <w:lang w:val="en-US" w:eastAsia="zh-CN"/>
              </w:rPr>
              <w:t>3017.374</w:t>
            </w:r>
            <w:r>
              <w:rPr>
                <w:rFonts w:hint="eastAsia" w:ascii="Times New Roman" w:hAnsi="Times New Roman" w:eastAsia="宋体" w:cs="Times New Roman"/>
                <w:color w:val="auto"/>
                <w:sz w:val="24"/>
                <w:szCs w:val="24"/>
                <w:lang w:val="en-US" w:eastAsia="zh-CN"/>
              </w:rPr>
              <w:t>t/a，集中收集后委托一般工业固废单位处置或收运。</w:t>
            </w:r>
          </w:p>
          <w:p w14:paraId="41B800C7">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firstLine="480" w:firstLineChars="200"/>
              <w:textAlignment w:val="auto"/>
              <w:rPr>
                <w:rFonts w:hint="default" w:ascii="Times New Roman" w:hAnsi="Times New Roman" w:eastAsia="宋体" w:cs="Times New Roman"/>
                <w:color w:val="auto"/>
                <w:sz w:val="24"/>
                <w:szCs w:val="24"/>
                <w:lang w:val="en-US" w:eastAsia="zh-CN"/>
              </w:rPr>
            </w:pPr>
            <w:r>
              <w:rPr>
                <w:rFonts w:hint="eastAsia" w:ascii="Times New Roman" w:hAnsi="Times New Roman" w:eastAsia="宋体" w:cs="Times New Roman"/>
                <w:color w:val="auto"/>
                <w:sz w:val="24"/>
                <w:szCs w:val="24"/>
                <w:lang w:val="en-US" w:eastAsia="zh-CN"/>
              </w:rPr>
              <w:t>③不合格品</w:t>
            </w:r>
          </w:p>
          <w:p w14:paraId="1B52DEE6">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firstLine="480" w:firstLineChars="200"/>
              <w:textAlignment w:val="auto"/>
              <w:rPr>
                <w:rFonts w:hint="eastAsia" w:ascii="Times New Roman" w:hAnsi="Times New Roman" w:eastAsia="宋体" w:cs="Times New Roman"/>
                <w:color w:val="auto"/>
                <w:sz w:val="24"/>
                <w:szCs w:val="24"/>
                <w:lang w:val="en-US" w:eastAsia="zh-CN"/>
              </w:rPr>
            </w:pPr>
            <w:r>
              <w:rPr>
                <w:rFonts w:hint="eastAsia" w:ascii="Times New Roman" w:hAnsi="Times New Roman" w:eastAsia="宋体" w:cs="Times New Roman"/>
                <w:color w:val="auto"/>
                <w:sz w:val="24"/>
                <w:szCs w:val="24"/>
                <w:lang w:val="en-US" w:eastAsia="zh-CN"/>
              </w:rPr>
              <w:t>产品检验过程中会产生一定量的不合格品。根据企业提供的资料，复合隔膜产品中不合格品产生量约</w:t>
            </w:r>
            <w:r>
              <w:rPr>
                <w:rFonts w:hint="eastAsia" w:ascii="Times New Roman" w:hAnsi="Times New Roman" w:eastAsia="宋体" w:cs="Times New Roman"/>
                <w:color w:val="0000E1"/>
                <w:sz w:val="24"/>
                <w:szCs w:val="24"/>
                <w:lang w:val="en-US" w:eastAsia="zh-CN"/>
              </w:rPr>
              <w:t>2958.883t/a，</w:t>
            </w:r>
            <w:r>
              <w:rPr>
                <w:rFonts w:hint="eastAsia" w:ascii="Times New Roman" w:hAnsi="Times New Roman" w:eastAsia="宋体" w:cs="Times New Roman"/>
                <w:color w:val="auto"/>
                <w:sz w:val="24"/>
                <w:szCs w:val="24"/>
                <w:lang w:val="en-US" w:eastAsia="zh-CN"/>
              </w:rPr>
              <w:t>纳米隔热产品中不合格品产生量约</w:t>
            </w:r>
            <w:r>
              <w:rPr>
                <w:rFonts w:hint="eastAsia" w:ascii="Times New Roman" w:hAnsi="Times New Roman" w:eastAsia="宋体" w:cs="Times New Roman"/>
                <w:color w:val="0000E1"/>
                <w:sz w:val="24"/>
                <w:szCs w:val="24"/>
                <w:lang w:val="en-US" w:eastAsia="zh-CN"/>
              </w:rPr>
              <w:t>109.253t/a，</w:t>
            </w:r>
            <w:r>
              <w:rPr>
                <w:rFonts w:hint="eastAsia" w:ascii="Times New Roman" w:hAnsi="Times New Roman" w:eastAsia="宋体" w:cs="Times New Roman"/>
                <w:color w:val="auto"/>
                <w:sz w:val="24"/>
                <w:szCs w:val="24"/>
                <w:lang w:val="en-US" w:eastAsia="zh-CN"/>
              </w:rPr>
              <w:t>合计</w:t>
            </w:r>
            <w:r>
              <w:rPr>
                <w:rFonts w:hint="eastAsia" w:ascii="Times New Roman" w:hAnsi="Times New Roman" w:eastAsia="宋体" w:cs="Times New Roman"/>
                <w:color w:val="0000E1"/>
                <w:sz w:val="24"/>
                <w:szCs w:val="24"/>
                <w:lang w:val="en-US" w:eastAsia="zh-CN"/>
              </w:rPr>
              <w:t>3068.406</w:t>
            </w:r>
            <w:r>
              <w:rPr>
                <w:rFonts w:hint="eastAsia" w:ascii="Times New Roman" w:hAnsi="Times New Roman" w:eastAsia="宋体" w:cs="Times New Roman"/>
                <w:color w:val="auto"/>
                <w:sz w:val="24"/>
                <w:szCs w:val="24"/>
                <w:lang w:val="en-US" w:eastAsia="zh-CN"/>
              </w:rPr>
              <w:t>t/a，集中收集后委托一般工业固废单位处置或收运。</w:t>
            </w:r>
          </w:p>
          <w:p w14:paraId="21667F78">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firstLine="480" w:firstLineChars="200"/>
              <w:textAlignment w:val="auto"/>
              <w:rPr>
                <w:rFonts w:hint="eastAsia" w:ascii="Times New Roman" w:hAnsi="Times New Roman" w:eastAsia="宋体" w:cs="Times New Roman"/>
                <w:color w:val="auto"/>
                <w:sz w:val="24"/>
                <w:szCs w:val="24"/>
                <w:lang w:val="en-US" w:eastAsia="zh-CN"/>
              </w:rPr>
            </w:pPr>
            <w:r>
              <w:rPr>
                <w:rFonts w:hint="eastAsia" w:ascii="Times New Roman" w:hAnsi="Times New Roman" w:eastAsia="宋体" w:cs="Times New Roman"/>
                <w:color w:val="auto"/>
                <w:sz w:val="24"/>
                <w:szCs w:val="24"/>
                <w:lang w:val="en-US" w:eastAsia="zh-CN"/>
              </w:rPr>
              <w:t>④废保护膜</w:t>
            </w:r>
          </w:p>
          <w:p w14:paraId="139B443F">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firstLine="480" w:firstLineChars="200"/>
              <w:textAlignment w:val="auto"/>
              <w:rPr>
                <w:rFonts w:hint="eastAsia" w:ascii="Times New Roman" w:hAnsi="Times New Roman" w:eastAsia="宋体" w:cs="Times New Roman"/>
                <w:color w:val="auto"/>
                <w:sz w:val="24"/>
                <w:szCs w:val="24"/>
                <w:lang w:val="en-US" w:eastAsia="zh-CN"/>
              </w:rPr>
            </w:pPr>
            <w:r>
              <w:rPr>
                <w:rFonts w:hint="eastAsia" w:ascii="Times New Roman" w:hAnsi="Times New Roman" w:eastAsia="宋体" w:cs="Times New Roman"/>
                <w:color w:val="auto"/>
                <w:sz w:val="24"/>
                <w:szCs w:val="24"/>
                <w:lang w:val="en-US" w:eastAsia="zh-CN"/>
              </w:rPr>
              <w:t>本项目纳米隔热板产品中</w:t>
            </w:r>
            <w:r>
              <w:rPr>
                <w:rFonts w:hint="default" w:ascii="Times New Roman" w:hAnsi="Times New Roman" w:eastAsia="宋体" w:cs="Times New Roman"/>
                <w:color w:val="auto"/>
                <w:sz w:val="24"/>
                <w:szCs w:val="24"/>
                <w:lang w:val="en-US" w:eastAsia="zh-CN"/>
              </w:rPr>
              <w:t>贴胶</w:t>
            </w:r>
            <w:r>
              <w:rPr>
                <w:rFonts w:hint="eastAsia" w:ascii="Times New Roman" w:hAnsi="Times New Roman" w:eastAsia="宋体" w:cs="Times New Roman"/>
                <w:color w:val="auto"/>
                <w:sz w:val="24"/>
                <w:szCs w:val="24"/>
                <w:lang w:val="en-US" w:eastAsia="zh-CN"/>
              </w:rPr>
              <w:t>过程需使用泡棉条（硅基条）、双面胶两种辅料，该辅材两面贴有保护膜，使用过程需要撕掉保护膜，根据企业提供资料，保护膜约为原料的30%，则废保护膜产生量约</w:t>
            </w:r>
            <w:r>
              <w:rPr>
                <w:rFonts w:hint="eastAsia" w:ascii="Times New Roman" w:hAnsi="Times New Roman" w:eastAsia="宋体" w:cs="Times New Roman"/>
                <w:color w:val="0000FF"/>
                <w:sz w:val="24"/>
                <w:szCs w:val="24"/>
                <w:lang w:val="en-US" w:eastAsia="zh-CN"/>
              </w:rPr>
              <w:t>71.625</w:t>
            </w:r>
            <w:r>
              <w:rPr>
                <w:rFonts w:hint="eastAsia" w:ascii="Times New Roman" w:hAnsi="Times New Roman" w:eastAsia="宋体" w:cs="Times New Roman"/>
                <w:color w:val="auto"/>
                <w:sz w:val="24"/>
                <w:szCs w:val="24"/>
                <w:lang w:val="en-US" w:eastAsia="zh-CN"/>
              </w:rPr>
              <w:t>t/a，集中收集后委托一般工业固废单位处置或收运。</w:t>
            </w:r>
          </w:p>
          <w:p w14:paraId="0EE5DB57">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firstLine="480" w:firstLineChars="200"/>
              <w:textAlignment w:val="auto"/>
              <w:rPr>
                <w:rFonts w:hint="eastAsia" w:ascii="Times New Roman" w:hAnsi="Times New Roman" w:eastAsia="宋体" w:cs="Times New Roman"/>
                <w:color w:val="0000FF"/>
                <w:sz w:val="24"/>
                <w:szCs w:val="24"/>
                <w:lang w:val="en-US" w:eastAsia="zh-CN"/>
              </w:rPr>
            </w:pPr>
            <w:r>
              <w:rPr>
                <w:rFonts w:hint="eastAsia" w:ascii="Times New Roman" w:hAnsi="Times New Roman" w:eastAsia="宋体" w:cs="Times New Roman"/>
                <w:color w:val="0000FF"/>
                <w:sz w:val="24"/>
                <w:szCs w:val="24"/>
                <w:lang w:val="en-US" w:eastAsia="zh-CN"/>
              </w:rPr>
              <w:t>⑤废泡棉条（硅基条）</w:t>
            </w:r>
          </w:p>
          <w:p w14:paraId="44C3B332">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firstLine="480" w:firstLineChars="200"/>
              <w:textAlignment w:val="auto"/>
              <w:rPr>
                <w:rFonts w:hint="eastAsia" w:ascii="Times New Roman" w:hAnsi="Times New Roman" w:eastAsia="宋体" w:cs="Times New Roman"/>
                <w:color w:val="0000FF"/>
                <w:sz w:val="24"/>
                <w:szCs w:val="24"/>
                <w:lang w:val="en-US" w:eastAsia="zh-CN"/>
              </w:rPr>
            </w:pPr>
            <w:r>
              <w:rPr>
                <w:rFonts w:hint="eastAsia" w:ascii="Times New Roman" w:hAnsi="Times New Roman" w:eastAsia="宋体" w:cs="Times New Roman"/>
                <w:color w:val="0000FF"/>
                <w:sz w:val="24"/>
                <w:szCs w:val="24"/>
                <w:lang w:val="en-US" w:eastAsia="zh-CN"/>
              </w:rPr>
              <w:t>本项目辅料成型过程中会产生一定量的废泡棉条（硅基条），根据企业提供资料，废泡棉条（硅基条）约为原料的20%，则废泡棉条（硅基条）产生量约45.75t/a，集中收集后委托一般工业固废单位处置或收运。</w:t>
            </w:r>
          </w:p>
          <w:p w14:paraId="2E46F0D9">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firstLine="480" w:firstLineChars="200"/>
              <w:textAlignment w:val="auto"/>
              <w:rPr>
                <w:rFonts w:hint="default" w:ascii="Times New Roman" w:hAnsi="Times New Roman" w:eastAsia="宋体" w:cs="Times New Roman"/>
                <w:color w:val="auto"/>
                <w:sz w:val="24"/>
                <w:szCs w:val="24"/>
              </w:rPr>
            </w:pPr>
            <w:r>
              <w:rPr>
                <w:rFonts w:hint="eastAsia" w:ascii="Times New Roman" w:hAnsi="Times New Roman" w:eastAsia="宋体" w:cs="Times New Roman"/>
                <w:color w:val="auto"/>
                <w:sz w:val="24"/>
                <w:szCs w:val="24"/>
                <w:lang w:val="en-US" w:eastAsia="zh-CN"/>
              </w:rPr>
              <w:t>⑥</w:t>
            </w:r>
            <w:r>
              <w:rPr>
                <w:rFonts w:hint="eastAsia" w:ascii="Times New Roman" w:hAnsi="Times New Roman" w:eastAsia="宋体" w:cs="Times New Roman"/>
                <w:color w:val="auto"/>
                <w:sz w:val="24"/>
                <w:szCs w:val="24"/>
              </w:rPr>
              <w:t>废包装材料</w:t>
            </w:r>
          </w:p>
          <w:p w14:paraId="163769A4">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firstLine="480" w:firstLineChars="200"/>
              <w:textAlignment w:val="auto"/>
              <w:rPr>
                <w:rFonts w:hint="default" w:ascii="Times New Roman" w:hAnsi="Times New Roman" w:eastAsia="宋体" w:cs="Times New Roman"/>
                <w:color w:val="auto"/>
                <w:sz w:val="24"/>
                <w:szCs w:val="24"/>
              </w:rPr>
            </w:pPr>
            <w:r>
              <w:rPr>
                <w:rFonts w:hint="eastAsia" w:ascii="Times New Roman" w:hAnsi="Times New Roman" w:eastAsia="宋体" w:cs="Times New Roman"/>
                <w:color w:val="auto"/>
                <w:sz w:val="24"/>
                <w:szCs w:val="24"/>
              </w:rPr>
              <w:t>本项目粉料原辅料均采用袋装。气相法二氧化硅</w:t>
            </w:r>
            <w:r>
              <w:rPr>
                <w:rFonts w:hint="eastAsia" w:ascii="Times New Roman" w:hAnsi="Times New Roman" w:eastAsia="宋体" w:cs="Times New Roman"/>
                <w:color w:val="auto"/>
                <w:sz w:val="24"/>
                <w:szCs w:val="24"/>
                <w:lang w:eastAsia="zh-CN"/>
              </w:rPr>
              <w:t>、高含硅烧结纤丝</w:t>
            </w:r>
            <w:r>
              <w:rPr>
                <w:rFonts w:hint="eastAsia" w:ascii="Times New Roman" w:hAnsi="Times New Roman" w:eastAsia="宋体" w:cs="Times New Roman"/>
                <w:color w:val="auto"/>
                <w:sz w:val="24"/>
                <w:szCs w:val="24"/>
              </w:rPr>
              <w:t>包装规格为</w:t>
            </w:r>
            <w:r>
              <w:rPr>
                <w:rFonts w:hint="default" w:ascii="Times New Roman" w:hAnsi="Times New Roman" w:eastAsia="宋体" w:cs="Times New Roman"/>
                <w:color w:val="auto"/>
                <w:sz w:val="24"/>
                <w:szCs w:val="24"/>
              </w:rPr>
              <w:t>10kg/</w:t>
            </w:r>
            <w:r>
              <w:rPr>
                <w:rFonts w:hint="eastAsia" w:ascii="Times New Roman" w:hAnsi="Times New Roman" w:eastAsia="宋体" w:cs="Times New Roman"/>
                <w:color w:val="auto"/>
                <w:sz w:val="24"/>
                <w:szCs w:val="24"/>
              </w:rPr>
              <w:t>包，包装袋平均取</w:t>
            </w:r>
            <w:r>
              <w:rPr>
                <w:rFonts w:hint="default" w:ascii="Times New Roman" w:hAnsi="Times New Roman" w:eastAsia="宋体" w:cs="Times New Roman"/>
                <w:color w:val="auto"/>
                <w:sz w:val="24"/>
                <w:szCs w:val="24"/>
              </w:rPr>
              <w:t>0.01kg/</w:t>
            </w:r>
            <w:r>
              <w:rPr>
                <w:rFonts w:hint="eastAsia" w:ascii="Times New Roman" w:hAnsi="Times New Roman" w:eastAsia="宋体" w:cs="Times New Roman"/>
                <w:color w:val="auto"/>
                <w:sz w:val="24"/>
                <w:szCs w:val="24"/>
              </w:rPr>
              <w:t>个，年产生废包装袋</w:t>
            </w:r>
            <w:r>
              <w:rPr>
                <w:rFonts w:hint="eastAsia" w:ascii="Times New Roman" w:hAnsi="Times New Roman" w:eastAsia="宋体" w:cs="Times New Roman"/>
                <w:color w:val="auto"/>
                <w:sz w:val="24"/>
                <w:szCs w:val="24"/>
                <w:lang w:val="en-US" w:eastAsia="zh-CN"/>
              </w:rPr>
              <w:t>57900</w:t>
            </w:r>
            <w:r>
              <w:rPr>
                <w:rFonts w:hint="eastAsia" w:ascii="Times New Roman" w:hAnsi="Times New Roman" w:eastAsia="宋体" w:cs="Times New Roman"/>
                <w:color w:val="auto"/>
                <w:sz w:val="24"/>
                <w:szCs w:val="24"/>
              </w:rPr>
              <w:t>个，则废包装材料产生量为</w:t>
            </w:r>
            <w:r>
              <w:rPr>
                <w:rFonts w:hint="eastAsia" w:ascii="Times New Roman" w:hAnsi="Times New Roman" w:eastAsia="宋体" w:cs="Times New Roman"/>
                <w:color w:val="auto"/>
                <w:sz w:val="24"/>
                <w:szCs w:val="24"/>
                <w:lang w:val="en-US" w:eastAsia="zh-CN"/>
              </w:rPr>
              <w:t>0.579</w:t>
            </w:r>
            <w:r>
              <w:rPr>
                <w:rFonts w:hint="default" w:ascii="Times New Roman" w:hAnsi="Times New Roman" w:eastAsia="宋体" w:cs="Times New Roman"/>
                <w:color w:val="auto"/>
                <w:sz w:val="24"/>
                <w:szCs w:val="24"/>
              </w:rPr>
              <w:t>t/a</w:t>
            </w:r>
            <w:r>
              <w:rPr>
                <w:rFonts w:hint="eastAsia" w:ascii="Times New Roman" w:hAnsi="Times New Roman" w:eastAsia="宋体" w:cs="Times New Roman"/>
                <w:color w:val="auto"/>
                <w:sz w:val="24"/>
                <w:szCs w:val="24"/>
              </w:rPr>
              <w:t>；碳化硅包装规格为</w:t>
            </w:r>
            <w:r>
              <w:rPr>
                <w:rFonts w:hint="default" w:ascii="Times New Roman" w:hAnsi="Times New Roman" w:eastAsia="宋体" w:cs="Times New Roman"/>
                <w:color w:val="auto"/>
                <w:sz w:val="24"/>
                <w:szCs w:val="24"/>
              </w:rPr>
              <w:t>25kg/包</w:t>
            </w:r>
            <w:r>
              <w:rPr>
                <w:rFonts w:hint="eastAsia" w:ascii="Times New Roman" w:hAnsi="Times New Roman" w:eastAsia="宋体" w:cs="Times New Roman"/>
                <w:color w:val="auto"/>
                <w:sz w:val="24"/>
                <w:szCs w:val="24"/>
              </w:rPr>
              <w:t>，包装袋平均取</w:t>
            </w:r>
            <w:r>
              <w:rPr>
                <w:rFonts w:hint="eastAsia" w:ascii="Times New Roman" w:hAnsi="Times New Roman" w:eastAsia="宋体" w:cs="Times New Roman"/>
                <w:color w:val="auto"/>
                <w:sz w:val="24"/>
                <w:szCs w:val="24"/>
                <w:lang w:val="en-US" w:eastAsia="zh-CN"/>
              </w:rPr>
              <w:t>0.025</w:t>
            </w:r>
            <w:r>
              <w:rPr>
                <w:rFonts w:hint="default" w:ascii="Times New Roman" w:hAnsi="Times New Roman" w:eastAsia="宋体" w:cs="Times New Roman"/>
                <w:color w:val="auto"/>
                <w:sz w:val="24"/>
                <w:szCs w:val="24"/>
              </w:rPr>
              <w:t>kg/</w:t>
            </w:r>
            <w:r>
              <w:rPr>
                <w:rFonts w:hint="eastAsia" w:ascii="Times New Roman" w:hAnsi="Times New Roman" w:eastAsia="宋体" w:cs="Times New Roman"/>
                <w:color w:val="auto"/>
                <w:sz w:val="24"/>
                <w:szCs w:val="24"/>
              </w:rPr>
              <w:t>个，年产生废包装材料</w:t>
            </w:r>
            <w:r>
              <w:rPr>
                <w:rFonts w:hint="eastAsia" w:ascii="Times New Roman" w:hAnsi="Times New Roman" w:eastAsia="宋体" w:cs="Times New Roman"/>
                <w:color w:val="auto"/>
                <w:sz w:val="24"/>
                <w:szCs w:val="24"/>
                <w:lang w:val="en-US" w:eastAsia="zh-CN"/>
              </w:rPr>
              <w:t>4000</w:t>
            </w:r>
            <w:r>
              <w:rPr>
                <w:rFonts w:hint="eastAsia" w:ascii="Times New Roman" w:hAnsi="Times New Roman" w:eastAsia="宋体" w:cs="Times New Roman"/>
                <w:color w:val="auto"/>
                <w:sz w:val="24"/>
                <w:szCs w:val="24"/>
              </w:rPr>
              <w:t>个，则废包装材料产生量为</w:t>
            </w:r>
            <w:r>
              <w:rPr>
                <w:rFonts w:hint="eastAsia" w:ascii="Times New Roman" w:hAnsi="Times New Roman" w:eastAsia="宋体" w:cs="Times New Roman"/>
                <w:color w:val="auto"/>
                <w:sz w:val="24"/>
                <w:szCs w:val="24"/>
                <w:lang w:val="en-US" w:eastAsia="zh-CN"/>
              </w:rPr>
              <w:t>0.1</w:t>
            </w:r>
            <w:r>
              <w:rPr>
                <w:rFonts w:hint="default" w:ascii="Times New Roman" w:hAnsi="Times New Roman" w:eastAsia="宋体" w:cs="Times New Roman"/>
                <w:color w:val="auto"/>
                <w:sz w:val="24"/>
                <w:szCs w:val="24"/>
              </w:rPr>
              <w:t>t/a</w:t>
            </w:r>
            <w:r>
              <w:rPr>
                <w:rFonts w:hint="eastAsia" w:ascii="Times New Roman" w:hAnsi="Times New Roman" w:eastAsia="宋体" w:cs="Times New Roman"/>
                <w:color w:val="auto"/>
                <w:sz w:val="24"/>
                <w:szCs w:val="24"/>
              </w:rPr>
              <w:t>。综上所述，本项目产生的废包装材料总计约</w:t>
            </w:r>
            <w:r>
              <w:rPr>
                <w:rFonts w:hint="eastAsia" w:ascii="Times New Roman" w:hAnsi="Times New Roman" w:eastAsia="宋体" w:cs="Times New Roman"/>
                <w:color w:val="auto"/>
                <w:sz w:val="24"/>
                <w:szCs w:val="24"/>
                <w:lang w:val="en-US" w:eastAsia="zh-CN"/>
              </w:rPr>
              <w:t>0.679</w:t>
            </w:r>
            <w:r>
              <w:rPr>
                <w:rFonts w:hint="default" w:ascii="Times New Roman" w:hAnsi="Times New Roman" w:eastAsia="宋体" w:cs="Times New Roman"/>
                <w:color w:val="auto"/>
                <w:sz w:val="24"/>
                <w:szCs w:val="24"/>
              </w:rPr>
              <w:t>t/a</w:t>
            </w:r>
            <w:r>
              <w:rPr>
                <w:rFonts w:hint="eastAsia" w:ascii="Times New Roman" w:hAnsi="Times New Roman" w:eastAsia="宋体" w:cs="Times New Roman"/>
                <w:color w:val="auto"/>
                <w:sz w:val="24"/>
                <w:szCs w:val="24"/>
                <w:lang w:eastAsia="zh-CN"/>
              </w:rPr>
              <w:t>，</w:t>
            </w:r>
            <w:r>
              <w:rPr>
                <w:rFonts w:hint="eastAsia" w:ascii="Times New Roman" w:hAnsi="Times New Roman" w:eastAsia="宋体" w:cs="Times New Roman"/>
                <w:color w:val="auto"/>
                <w:sz w:val="24"/>
                <w:szCs w:val="24"/>
                <w:lang w:val="en-US" w:eastAsia="zh-CN"/>
              </w:rPr>
              <w:t>集中收集后委托一般工业固废单位处置或收运</w:t>
            </w:r>
            <w:r>
              <w:rPr>
                <w:rFonts w:hint="eastAsia" w:ascii="Times New Roman" w:hAnsi="Times New Roman" w:eastAsia="宋体" w:cs="Times New Roman"/>
                <w:color w:val="auto"/>
                <w:sz w:val="24"/>
                <w:szCs w:val="24"/>
              </w:rPr>
              <w:t>。</w:t>
            </w:r>
          </w:p>
          <w:p w14:paraId="06EFBAFA">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firstLine="480" w:firstLineChars="200"/>
              <w:textAlignment w:val="auto"/>
              <w:rPr>
                <w:rFonts w:hint="eastAsia" w:ascii="Times New Roman" w:hAnsi="Times New Roman" w:eastAsia="宋体" w:cs="Times New Roman"/>
                <w:color w:val="auto"/>
                <w:sz w:val="24"/>
                <w:szCs w:val="24"/>
                <w:lang w:val="en-US" w:eastAsia="zh-CN"/>
              </w:rPr>
            </w:pPr>
            <w:r>
              <w:rPr>
                <w:rFonts w:hint="eastAsia" w:ascii="Times New Roman" w:hAnsi="Times New Roman" w:eastAsia="宋体" w:cs="Times New Roman"/>
                <w:color w:val="auto"/>
                <w:sz w:val="24"/>
                <w:szCs w:val="24"/>
                <w:lang w:val="en-US" w:eastAsia="zh-CN"/>
              </w:rPr>
              <w:t>⑦收集的粉尘</w:t>
            </w:r>
          </w:p>
          <w:p w14:paraId="33F43B5B">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firstLine="480" w:firstLineChars="200"/>
              <w:textAlignment w:val="auto"/>
              <w:rPr>
                <w:rFonts w:hint="eastAsia" w:ascii="Times New Roman" w:hAnsi="Times New Roman" w:eastAsia="宋体" w:cs="Times New Roman"/>
                <w:color w:val="auto"/>
                <w:sz w:val="24"/>
                <w:szCs w:val="24"/>
                <w:lang w:val="en-US" w:eastAsia="zh-CN"/>
              </w:rPr>
            </w:pPr>
            <w:r>
              <w:rPr>
                <w:rFonts w:hint="eastAsia" w:ascii="Times New Roman" w:hAnsi="Times New Roman" w:eastAsia="宋体" w:cs="Times New Roman"/>
                <w:color w:val="auto"/>
                <w:sz w:val="24"/>
                <w:szCs w:val="24"/>
                <w:lang w:val="en-US" w:eastAsia="zh-CN"/>
              </w:rPr>
              <w:t>本项目纳米隔热板产品中拆包、投料、成型</w:t>
            </w:r>
            <w:r>
              <w:rPr>
                <w:rFonts w:hint="eastAsia" w:ascii="Times New Roman" w:hAnsi="Times New Roman" w:eastAsia="宋体" w:cs="Times New Roman"/>
                <w:color w:val="0000E1"/>
                <w:sz w:val="24"/>
                <w:szCs w:val="24"/>
                <w:lang w:val="en-US" w:eastAsia="zh-CN"/>
              </w:rPr>
              <w:t>、激光切割</w:t>
            </w:r>
            <w:r>
              <w:rPr>
                <w:rFonts w:hint="eastAsia" w:ascii="Times New Roman" w:hAnsi="Times New Roman" w:eastAsia="宋体" w:cs="Times New Roman"/>
                <w:color w:val="auto"/>
                <w:sz w:val="24"/>
                <w:szCs w:val="24"/>
                <w:lang w:val="en-US" w:eastAsia="zh-CN"/>
              </w:rPr>
              <w:t>过程中会产生一定量的粉尘，根据废气源强分析，收集的粉尘产生量为</w:t>
            </w:r>
            <w:r>
              <w:rPr>
                <w:rFonts w:hint="eastAsia" w:ascii="Times New Roman" w:hAnsi="Times New Roman" w:eastAsia="宋体" w:cs="Times New Roman"/>
                <w:color w:val="0000E1"/>
                <w:sz w:val="24"/>
                <w:szCs w:val="24"/>
                <w:lang w:val="en-US" w:eastAsia="zh-CN"/>
              </w:rPr>
              <w:t>0.923t/a，</w:t>
            </w:r>
            <w:r>
              <w:rPr>
                <w:rFonts w:hint="eastAsia" w:ascii="Times New Roman" w:hAnsi="Times New Roman" w:eastAsia="宋体" w:cs="Times New Roman"/>
                <w:color w:val="auto"/>
                <w:sz w:val="24"/>
                <w:szCs w:val="24"/>
                <w:lang w:val="en-US" w:eastAsia="zh-CN"/>
              </w:rPr>
              <w:t>集中收集后回用于生产。</w:t>
            </w:r>
          </w:p>
          <w:p w14:paraId="04865774">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firstLine="480" w:firstLineChars="200"/>
              <w:textAlignment w:val="auto"/>
              <w:rPr>
                <w:rFonts w:hint="eastAsia" w:ascii="Times New Roman" w:hAnsi="Times New Roman" w:eastAsia="宋体" w:cs="Times New Roman"/>
                <w:color w:val="auto"/>
                <w:sz w:val="24"/>
                <w:szCs w:val="24"/>
                <w:lang w:val="en-US" w:eastAsia="zh-CN"/>
              </w:rPr>
            </w:pPr>
            <w:r>
              <w:rPr>
                <w:rFonts w:hint="eastAsia" w:ascii="Times New Roman" w:hAnsi="Times New Roman" w:eastAsia="宋体" w:cs="Times New Roman"/>
                <w:color w:val="auto"/>
                <w:sz w:val="24"/>
                <w:szCs w:val="24"/>
                <w:lang w:val="en-US" w:eastAsia="zh-CN"/>
              </w:rPr>
              <w:t>⑧废布袋</w:t>
            </w:r>
          </w:p>
          <w:p w14:paraId="24BA85C3">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firstLine="480" w:firstLineChars="200"/>
              <w:textAlignment w:val="auto"/>
              <w:rPr>
                <w:rFonts w:hint="eastAsia" w:ascii="Times New Roman" w:hAnsi="Times New Roman" w:eastAsia="宋体" w:cs="Times New Roman"/>
                <w:color w:val="auto"/>
                <w:sz w:val="24"/>
                <w:szCs w:val="24"/>
                <w:lang w:val="en-US" w:eastAsia="zh-CN"/>
              </w:rPr>
            </w:pPr>
            <w:r>
              <w:rPr>
                <w:rFonts w:hint="eastAsia" w:ascii="Times New Roman" w:hAnsi="Times New Roman" w:eastAsia="宋体" w:cs="Times New Roman"/>
                <w:color w:val="auto"/>
                <w:sz w:val="24"/>
                <w:szCs w:val="24"/>
                <w:lang w:val="en-US" w:eastAsia="zh-CN"/>
              </w:rPr>
              <w:t>本项目拆包粉尘、投料粉尘、出料粉尘通过一套脉冲式布袋除尘器进行处理，脉冲式布袋除尘器中布袋会逐渐磨损，需要定期更换避免影响布袋除尘器使用寿命和处理效率。根据企业提供的资料</w:t>
            </w:r>
            <w:r>
              <w:rPr>
                <w:rFonts w:hint="eastAsia" w:ascii="Times New Roman" w:hAnsi="Times New Roman" w:eastAsia="宋体" w:cs="Times New Roman"/>
                <w:color w:val="0000E1"/>
                <w:sz w:val="24"/>
                <w:szCs w:val="24"/>
                <w:lang w:val="en-US" w:eastAsia="zh-CN"/>
              </w:rPr>
              <w:t>，脉冲式布袋除尘器配套脉冲布袋约120条，布袋单重约0.8kg，一年一换，则废布袋产生量为0.096t/a，</w:t>
            </w:r>
            <w:r>
              <w:rPr>
                <w:rFonts w:hint="eastAsia" w:ascii="Times New Roman" w:hAnsi="Times New Roman" w:eastAsia="宋体" w:cs="Times New Roman"/>
                <w:color w:val="auto"/>
                <w:sz w:val="24"/>
                <w:szCs w:val="24"/>
                <w:lang w:val="en-US" w:eastAsia="zh-CN"/>
              </w:rPr>
              <w:t>集中收集后委托一般工业固废单位处置或收运。</w:t>
            </w:r>
          </w:p>
          <w:p w14:paraId="28F22424">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firstLine="480" w:firstLineChars="200"/>
              <w:textAlignment w:val="auto"/>
              <w:rPr>
                <w:rFonts w:hint="eastAsia" w:ascii="Times New Roman" w:hAnsi="Times New Roman" w:eastAsia="宋体" w:cs="Times New Roman"/>
                <w:color w:val="0000E1"/>
                <w:sz w:val="24"/>
                <w:szCs w:val="24"/>
                <w:lang w:val="en-US" w:eastAsia="zh-CN"/>
              </w:rPr>
            </w:pPr>
            <w:r>
              <w:rPr>
                <w:rFonts w:hint="eastAsia" w:ascii="Times New Roman" w:hAnsi="Times New Roman" w:eastAsia="宋体" w:cs="Times New Roman"/>
                <w:color w:val="0000E1"/>
                <w:sz w:val="24"/>
                <w:szCs w:val="24"/>
                <w:lang w:val="en-US" w:eastAsia="zh-CN"/>
              </w:rPr>
              <w:t>⑨废滤筒</w:t>
            </w:r>
          </w:p>
          <w:p w14:paraId="48645735">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firstLine="480" w:firstLineChars="200"/>
              <w:textAlignment w:val="auto"/>
              <w:rPr>
                <w:rFonts w:hint="default" w:ascii="Times New Roman" w:hAnsi="Times New Roman" w:eastAsia="宋体" w:cs="Times New Roman"/>
                <w:color w:val="0000E1"/>
                <w:sz w:val="24"/>
                <w:szCs w:val="24"/>
                <w:lang w:val="en-US" w:eastAsia="zh-CN"/>
              </w:rPr>
            </w:pPr>
            <w:r>
              <w:rPr>
                <w:rFonts w:hint="default" w:ascii="Times New Roman" w:hAnsi="Times New Roman" w:eastAsia="宋体" w:cs="Times New Roman"/>
                <w:color w:val="0000E1"/>
                <w:sz w:val="24"/>
                <w:szCs w:val="24"/>
                <w:lang w:val="en-US" w:eastAsia="zh-CN"/>
              </w:rPr>
              <w:t>本项目激光</w:t>
            </w:r>
            <w:r>
              <w:rPr>
                <w:rFonts w:hint="eastAsia" w:ascii="Times New Roman" w:hAnsi="Times New Roman" w:eastAsia="宋体" w:cs="Times New Roman"/>
                <w:color w:val="0000E1"/>
                <w:sz w:val="24"/>
                <w:szCs w:val="24"/>
                <w:lang w:val="en-US" w:eastAsia="zh-CN"/>
              </w:rPr>
              <w:t>切割机</w:t>
            </w:r>
            <w:r>
              <w:rPr>
                <w:rFonts w:hint="default" w:ascii="Times New Roman" w:hAnsi="Times New Roman" w:eastAsia="宋体" w:cs="Times New Roman"/>
                <w:color w:val="0000E1"/>
                <w:sz w:val="24"/>
                <w:szCs w:val="24"/>
                <w:lang w:val="en-US" w:eastAsia="zh-CN"/>
              </w:rPr>
              <w:t>自带脉冲滤筒除尘系统对切割粉尘进行收集、处理。滤筒长期吸附粉尘易发生堵塞、破损，需定期更换；单台设备配置滤筒1支，每年更换1次，单支滤筒重量为10kg，</w:t>
            </w:r>
            <w:r>
              <w:rPr>
                <w:rFonts w:hint="eastAsia" w:ascii="Times New Roman" w:hAnsi="Times New Roman" w:eastAsia="宋体" w:cs="Times New Roman"/>
                <w:color w:val="0000E1"/>
                <w:sz w:val="24"/>
                <w:szCs w:val="24"/>
                <w:lang w:val="en-US" w:eastAsia="zh-CN"/>
              </w:rPr>
              <w:t>本项目共4台激光切割机，</w:t>
            </w:r>
            <w:r>
              <w:rPr>
                <w:rFonts w:hint="default" w:ascii="Times New Roman" w:hAnsi="Times New Roman" w:eastAsia="宋体" w:cs="Times New Roman"/>
                <w:color w:val="0000E1"/>
                <w:sz w:val="24"/>
                <w:szCs w:val="24"/>
                <w:lang w:val="en-US" w:eastAsia="zh-CN"/>
              </w:rPr>
              <w:t>则废滤筒产生量为0.0</w:t>
            </w:r>
            <w:r>
              <w:rPr>
                <w:rFonts w:hint="eastAsia" w:ascii="Times New Roman" w:hAnsi="Times New Roman" w:eastAsia="宋体" w:cs="Times New Roman"/>
                <w:color w:val="0000E1"/>
                <w:sz w:val="24"/>
                <w:szCs w:val="24"/>
                <w:lang w:val="en-US" w:eastAsia="zh-CN"/>
              </w:rPr>
              <w:t>4</w:t>
            </w:r>
            <w:r>
              <w:rPr>
                <w:rFonts w:hint="default" w:ascii="Times New Roman" w:hAnsi="Times New Roman" w:eastAsia="宋体" w:cs="Times New Roman"/>
                <w:color w:val="0000E1"/>
                <w:sz w:val="24"/>
                <w:szCs w:val="24"/>
                <w:lang w:val="en-US" w:eastAsia="zh-CN"/>
              </w:rPr>
              <w:t>t/a，集中收集后委托一般工业固废单位处置或收运。</w:t>
            </w:r>
          </w:p>
          <w:p w14:paraId="6FBABE22">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firstLine="480" w:firstLineChars="200"/>
              <w:textAlignment w:val="auto"/>
              <w:rPr>
                <w:rFonts w:hint="eastAsia" w:ascii="Times New Roman" w:hAnsi="Times New Roman" w:eastAsia="宋体" w:cs="Times New Roman"/>
                <w:color w:val="auto"/>
                <w:sz w:val="24"/>
                <w:szCs w:val="24"/>
                <w:lang w:val="en-US" w:eastAsia="zh-CN"/>
              </w:rPr>
            </w:pPr>
            <w:r>
              <w:rPr>
                <w:rFonts w:hint="eastAsia" w:ascii="Times New Roman" w:hAnsi="Times New Roman" w:eastAsia="宋体" w:cs="Times New Roman"/>
                <w:color w:val="auto"/>
                <w:sz w:val="24"/>
                <w:szCs w:val="24"/>
                <w:lang w:val="en-US" w:eastAsia="zh-CN"/>
              </w:rPr>
              <w:t>（3）危险废物</w:t>
            </w:r>
          </w:p>
          <w:p w14:paraId="0FC0C7DA">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firstLine="480" w:firstLineChars="200"/>
              <w:textAlignment w:val="auto"/>
              <w:rPr>
                <w:rFonts w:hint="eastAsia" w:ascii="Times New Roman" w:hAnsi="Times New Roman" w:eastAsia="宋体" w:cs="Times New Roman"/>
                <w:color w:val="auto"/>
                <w:sz w:val="24"/>
                <w:szCs w:val="24"/>
                <w:lang w:val="en-US" w:eastAsia="zh-CN"/>
              </w:rPr>
            </w:pPr>
            <w:r>
              <w:rPr>
                <w:rFonts w:hint="eastAsia" w:ascii="Times New Roman" w:hAnsi="Times New Roman" w:eastAsia="宋体" w:cs="Times New Roman"/>
                <w:color w:val="auto"/>
                <w:sz w:val="24"/>
                <w:szCs w:val="24"/>
                <w:lang w:val="en-US" w:eastAsia="zh-CN"/>
              </w:rPr>
              <w:t>①破损的废包装桶</w:t>
            </w:r>
          </w:p>
          <w:p w14:paraId="39F9CA3B">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firstLine="480" w:firstLineChars="200"/>
              <w:textAlignment w:val="auto"/>
              <w:rPr>
                <w:rFonts w:hint="default" w:ascii="Times New Roman" w:hAnsi="Times New Roman" w:eastAsia="宋体" w:cs="Times New Roman"/>
                <w:color w:val="auto"/>
                <w:sz w:val="24"/>
                <w:szCs w:val="24"/>
                <w:lang w:val="en-US" w:eastAsia="zh-CN"/>
              </w:rPr>
            </w:pPr>
            <w:r>
              <w:rPr>
                <w:rFonts w:hint="eastAsia" w:ascii="Times New Roman" w:hAnsi="Times New Roman" w:eastAsia="宋体" w:cs="Times New Roman"/>
                <w:color w:val="auto"/>
                <w:sz w:val="24"/>
                <w:szCs w:val="24"/>
                <w:lang w:val="en-US" w:eastAsia="zh-CN"/>
              </w:rPr>
              <w:t>本项目液体原辅料均采用桶装。陶瓷基料混合物包装规格为230kg/铁桶，包装桶取23kg/个，年生产废包装桶52174个，则废包装桶产生量为1200.002t/a；背胶处理剂包装规格为5kg/铁桶，包装桶取0.5kg/个，年产生废包装桶98个，则废包装桶产生量为0.049t/a。</w:t>
            </w:r>
          </w:p>
          <w:p w14:paraId="068EC740">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firstLine="480" w:firstLineChars="200"/>
              <w:textAlignment w:val="auto"/>
              <w:rPr>
                <w:rFonts w:hint="eastAsia" w:ascii="Times New Roman" w:hAnsi="Times New Roman" w:eastAsia="宋体" w:cs="Times New Roman"/>
                <w:color w:val="auto"/>
                <w:kern w:val="2"/>
                <w:sz w:val="24"/>
                <w:szCs w:val="24"/>
                <w:lang w:val="en-US" w:eastAsia="zh-CN" w:bidi="ar-SA"/>
              </w:rPr>
            </w:pPr>
            <w:r>
              <w:rPr>
                <w:rFonts w:hint="eastAsia" w:ascii="Times New Roman" w:hAnsi="Times New Roman" w:eastAsia="宋体" w:cs="Times New Roman"/>
                <w:color w:val="auto"/>
                <w:sz w:val="24"/>
                <w:szCs w:val="24"/>
                <w:lang w:val="en-US" w:eastAsia="zh-CN"/>
              </w:rPr>
              <w:t>破损量约占产生量的1%，则破损的废包装桶约12t/a。对照《国家危险废物名录》（2025年</w:t>
            </w:r>
            <w:r>
              <w:rPr>
                <w:rFonts w:hint="eastAsia" w:ascii="Times New Roman" w:hAnsi="Times New Roman" w:eastAsia="宋体" w:cs="Times New Roman"/>
                <w:color w:val="auto"/>
                <w:kern w:val="2"/>
                <w:sz w:val="24"/>
                <w:szCs w:val="24"/>
                <w:lang w:val="en-US" w:eastAsia="zh-CN" w:bidi="ar-SA"/>
              </w:rPr>
              <w:t>版），该固废属危险固废，废物类别为HW49其他废物，危废代码为900-041-49含有或者沾染毒性、感染性危险废物的废弃的包装物、容器、过滤吸附介质，集中收集后委托有危险废物处置资质的单位进行处理处置。</w:t>
            </w:r>
          </w:p>
          <w:p w14:paraId="57A74C0D">
            <w:pPr>
              <w:pStyle w:val="10"/>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firstLine="420" w:firstLineChars="200"/>
              <w:textAlignment w:val="auto"/>
              <w:rPr>
                <w:rFonts w:hint="eastAsia"/>
                <w:color w:val="auto"/>
                <w:lang w:val="en-US" w:eastAsia="zh-CN"/>
              </w:rPr>
            </w:pPr>
            <w:r>
              <w:rPr>
                <w:rFonts w:hint="eastAsia"/>
                <w:color w:val="auto"/>
                <w:lang w:val="en-US" w:eastAsia="zh-CN"/>
              </w:rPr>
              <w:t>注：本项目桶装原料使用过程会产生少量的空包装桶，空包装桶经企业收集后由单独设置的存放间存放，定期由生产厂家回收仍作为原始用途使用。根据《固体废物鉴别标准 通则》</w:t>
            </w:r>
            <w:r>
              <w:rPr>
                <w:rFonts w:hint="default" w:ascii="Times New Roman" w:hAnsi="Times New Roman" w:cs="Times New Roman"/>
                <w:color w:val="0000FF"/>
                <w:lang w:val="en-US" w:eastAsia="zh-CN"/>
              </w:rPr>
              <w:t>（GB 34330—2025）4.2.2 b不需要任何修复、加工，或存在功能缺陷但已恢复其原有使用功能的耐久性消费品（包含机电产品及零部件、元器件、生产装置、总成、容器），不作为固体废物管理。</w:t>
            </w:r>
          </w:p>
          <w:p w14:paraId="55E6B80F">
            <w:pPr>
              <w:pStyle w:val="10"/>
              <w:keepNext w:val="0"/>
              <w:keepLines w:val="0"/>
              <w:pageBreakBefore w:val="0"/>
              <w:widowControl w:val="0"/>
              <w:numPr>
                <w:ilvl w:val="0"/>
                <w:numId w:val="0"/>
              </w:numPr>
              <w:suppressLineNumbers w:val="0"/>
              <w:kinsoku/>
              <w:wordWrap/>
              <w:overflowPunct/>
              <w:topLinePunct w:val="0"/>
              <w:autoSpaceDE/>
              <w:autoSpaceDN/>
              <w:bidi w:val="0"/>
              <w:adjustRightInd/>
              <w:snapToGrid/>
              <w:spacing w:before="0" w:beforeAutospacing="0" w:after="0" w:afterAutospacing="0" w:line="360" w:lineRule="auto"/>
              <w:ind w:left="0" w:leftChars="0" w:right="0" w:firstLine="480" w:firstLineChars="200"/>
              <w:textAlignment w:val="auto"/>
              <w:rPr>
                <w:rFonts w:hint="eastAsia" w:ascii="Times New Roman" w:hAnsi="Times New Roman" w:eastAsia="宋体" w:cs="Times New Roman"/>
                <w:color w:val="auto"/>
                <w:kern w:val="2"/>
                <w:sz w:val="24"/>
                <w:szCs w:val="24"/>
                <w:lang w:val="en-US" w:eastAsia="zh-CN" w:bidi="ar-SA"/>
              </w:rPr>
            </w:pPr>
            <w:r>
              <w:rPr>
                <w:rFonts w:hint="eastAsia" w:ascii="Times New Roman" w:hAnsi="Times New Roman" w:eastAsia="宋体" w:cs="Times New Roman"/>
                <w:color w:val="auto"/>
                <w:kern w:val="2"/>
                <w:sz w:val="24"/>
                <w:szCs w:val="24"/>
                <w:lang w:val="en-US" w:eastAsia="zh-CN" w:bidi="ar-SA"/>
              </w:rPr>
              <w:t>②废润滑油</w:t>
            </w:r>
          </w:p>
          <w:p w14:paraId="20360563">
            <w:pPr>
              <w:pStyle w:val="10"/>
              <w:keepNext w:val="0"/>
              <w:keepLines w:val="0"/>
              <w:pageBreakBefore w:val="0"/>
              <w:widowControl w:val="0"/>
              <w:numPr>
                <w:ilvl w:val="0"/>
                <w:numId w:val="0"/>
              </w:numPr>
              <w:suppressLineNumbers w:val="0"/>
              <w:kinsoku/>
              <w:wordWrap/>
              <w:overflowPunct/>
              <w:topLinePunct w:val="0"/>
              <w:autoSpaceDE/>
              <w:autoSpaceDN/>
              <w:bidi w:val="0"/>
              <w:adjustRightInd/>
              <w:snapToGrid/>
              <w:spacing w:before="0" w:beforeAutospacing="0" w:after="0" w:afterAutospacing="0" w:line="360" w:lineRule="auto"/>
              <w:ind w:left="0" w:leftChars="0" w:right="0" w:firstLine="480" w:firstLineChars="200"/>
              <w:textAlignment w:val="auto"/>
              <w:rPr>
                <w:rFonts w:hint="eastAsia" w:ascii="Times New Roman" w:hAnsi="Times New Roman" w:eastAsia="宋体" w:cs="Times New Roman"/>
                <w:color w:val="auto"/>
                <w:kern w:val="2"/>
                <w:sz w:val="24"/>
                <w:szCs w:val="24"/>
                <w:lang w:val="en-US" w:eastAsia="zh-CN" w:bidi="ar-SA"/>
              </w:rPr>
            </w:pPr>
            <w:r>
              <w:rPr>
                <w:rFonts w:hint="eastAsia" w:ascii="Times New Roman" w:hAnsi="Times New Roman" w:eastAsia="宋体" w:cs="Times New Roman"/>
                <w:color w:val="auto"/>
                <w:kern w:val="2"/>
                <w:sz w:val="24"/>
                <w:szCs w:val="24"/>
                <w:lang w:val="en-US" w:eastAsia="zh-CN" w:bidi="ar-SA"/>
              </w:rPr>
              <w:t>本项目设备维护和保养时更换润滑油将产生废润滑油，本项目年使用润滑油0.1t/a，考虑使用过程中损耗20%，则废润滑油产生量为约0.08t/a。对照《国家危险废物名录》（2025年版），该固废属危险固废，废物类别为HW08废矿物油与含矿物油废物，废物代码为</w:t>
            </w:r>
            <w:r>
              <w:rPr>
                <w:rFonts w:hint="eastAsia" w:ascii="Times New Roman" w:hAnsi="Times New Roman" w:eastAsia="宋体" w:cs="Times New Roman"/>
                <w:color w:val="0000FF"/>
                <w:kern w:val="2"/>
                <w:sz w:val="24"/>
                <w:szCs w:val="24"/>
                <w:lang w:val="en-US" w:eastAsia="zh-CN" w:bidi="ar-SA"/>
              </w:rPr>
              <w:t>900-217-08使用工业齿轮油进行机械设备润滑过程中产生的废润滑油，</w:t>
            </w:r>
            <w:r>
              <w:rPr>
                <w:rFonts w:hint="eastAsia" w:ascii="Times New Roman" w:hAnsi="Times New Roman" w:eastAsia="宋体" w:cs="Times New Roman"/>
                <w:color w:val="auto"/>
                <w:kern w:val="2"/>
                <w:sz w:val="24"/>
                <w:szCs w:val="24"/>
                <w:lang w:val="en-US" w:eastAsia="zh-CN" w:bidi="ar-SA"/>
              </w:rPr>
              <w:t>集中收集后委托有危险废物处置资质的单位进行处理处置。</w:t>
            </w:r>
          </w:p>
          <w:p w14:paraId="2829A348">
            <w:pPr>
              <w:pStyle w:val="10"/>
              <w:keepNext w:val="0"/>
              <w:keepLines w:val="0"/>
              <w:pageBreakBefore w:val="0"/>
              <w:widowControl w:val="0"/>
              <w:numPr>
                <w:ilvl w:val="0"/>
                <w:numId w:val="0"/>
              </w:numPr>
              <w:suppressLineNumbers w:val="0"/>
              <w:kinsoku/>
              <w:wordWrap/>
              <w:overflowPunct/>
              <w:topLinePunct w:val="0"/>
              <w:autoSpaceDE/>
              <w:autoSpaceDN/>
              <w:bidi w:val="0"/>
              <w:adjustRightInd/>
              <w:snapToGrid/>
              <w:spacing w:before="0" w:beforeAutospacing="0" w:after="0" w:afterAutospacing="0" w:line="360" w:lineRule="auto"/>
              <w:ind w:left="0" w:leftChars="0" w:right="0" w:firstLine="480" w:firstLineChars="200"/>
              <w:textAlignment w:val="auto"/>
              <w:rPr>
                <w:rFonts w:hint="eastAsia" w:ascii="Times New Roman" w:hAnsi="Times New Roman" w:eastAsia="宋体" w:cs="Times New Roman"/>
                <w:color w:val="auto"/>
                <w:kern w:val="2"/>
                <w:sz w:val="24"/>
                <w:szCs w:val="24"/>
                <w:lang w:val="en-US" w:eastAsia="zh-CN" w:bidi="ar-SA"/>
              </w:rPr>
            </w:pPr>
            <w:r>
              <w:rPr>
                <w:rFonts w:hint="eastAsia" w:ascii="Times New Roman" w:hAnsi="Times New Roman" w:eastAsia="宋体" w:cs="Times New Roman"/>
                <w:color w:val="auto"/>
                <w:kern w:val="2"/>
                <w:sz w:val="24"/>
                <w:szCs w:val="24"/>
                <w:lang w:val="en-US" w:eastAsia="zh-CN" w:bidi="ar-SA"/>
              </w:rPr>
              <w:t>③废润滑油桶</w:t>
            </w:r>
          </w:p>
          <w:p w14:paraId="0D85FC5E">
            <w:pPr>
              <w:pStyle w:val="10"/>
              <w:keepNext w:val="0"/>
              <w:keepLines w:val="0"/>
              <w:pageBreakBefore w:val="0"/>
              <w:widowControl w:val="0"/>
              <w:numPr>
                <w:ilvl w:val="0"/>
                <w:numId w:val="0"/>
              </w:numPr>
              <w:suppressLineNumbers w:val="0"/>
              <w:kinsoku/>
              <w:wordWrap/>
              <w:overflowPunct/>
              <w:topLinePunct w:val="0"/>
              <w:autoSpaceDE/>
              <w:autoSpaceDN/>
              <w:bidi w:val="0"/>
              <w:adjustRightInd/>
              <w:snapToGrid/>
              <w:spacing w:before="0" w:beforeAutospacing="0" w:after="0" w:afterAutospacing="0" w:line="360" w:lineRule="auto"/>
              <w:ind w:left="0" w:leftChars="0" w:right="0" w:firstLine="480" w:firstLineChars="200"/>
              <w:textAlignment w:val="auto"/>
              <w:rPr>
                <w:rFonts w:hint="eastAsia" w:ascii="Times New Roman" w:hAnsi="Times New Roman" w:eastAsia="宋体" w:cs="Times New Roman"/>
                <w:color w:val="auto"/>
                <w:kern w:val="2"/>
                <w:sz w:val="24"/>
                <w:szCs w:val="24"/>
                <w:lang w:val="en-US" w:eastAsia="zh-CN" w:bidi="ar-SA"/>
              </w:rPr>
            </w:pPr>
            <w:r>
              <w:rPr>
                <w:rFonts w:hint="eastAsia" w:ascii="Times New Roman" w:hAnsi="Times New Roman" w:eastAsia="宋体" w:cs="Times New Roman"/>
                <w:color w:val="auto"/>
                <w:kern w:val="2"/>
                <w:sz w:val="24"/>
                <w:szCs w:val="24"/>
                <w:lang w:val="en-US" w:eastAsia="zh-CN" w:bidi="ar-SA"/>
              </w:rPr>
              <w:t>本项目润滑油用于设备维护和保养，包装规格为20kg/铁桶，根据其年消耗量计算，废润滑油桶年产生5个，单只重量约为2kg，年产生量约为0.01t/a。对照《国家危险废物名录》（2025年版），该固废属危险固废，废物类别为HW08废矿物油与含矿物油废物，危废代码为900-249-08其他生产、销售、使用过程中产生的废矿物油及沾染矿物油的废弃包装物，集中收集后委托有危险废物处置资质的单位进行处理处置。</w:t>
            </w:r>
          </w:p>
          <w:p w14:paraId="649F38F8">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firstLine="480" w:firstLineChars="200"/>
              <w:textAlignment w:val="auto"/>
              <w:rPr>
                <w:rFonts w:hint="eastAsia" w:ascii="Times New Roman" w:hAnsi="Times New Roman" w:eastAsia="宋体" w:cs="Times New Roman"/>
                <w:color w:val="auto"/>
                <w:kern w:val="2"/>
                <w:sz w:val="24"/>
                <w:szCs w:val="24"/>
                <w:lang w:val="en-US" w:eastAsia="zh-CN" w:bidi="ar-SA"/>
              </w:rPr>
            </w:pPr>
            <w:r>
              <w:rPr>
                <w:rFonts w:hint="eastAsia" w:ascii="Times New Roman" w:hAnsi="Times New Roman" w:eastAsia="宋体" w:cs="Times New Roman"/>
                <w:color w:val="auto"/>
                <w:kern w:val="2"/>
                <w:sz w:val="24"/>
                <w:szCs w:val="24"/>
                <w:lang w:val="en-US" w:eastAsia="zh-CN" w:bidi="ar-SA"/>
              </w:rPr>
              <w:t>④废弃的含油抹布及劳保用品</w:t>
            </w:r>
          </w:p>
          <w:p w14:paraId="7F3C9D8B">
            <w:pPr>
              <w:pStyle w:val="10"/>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firstLine="480" w:firstLineChars="200"/>
              <w:textAlignment w:val="auto"/>
              <w:rPr>
                <w:rFonts w:hint="eastAsia" w:ascii="Times New Roman" w:hAnsi="Times New Roman" w:eastAsia="宋体" w:cs="Times New Roman"/>
                <w:color w:val="auto"/>
                <w:kern w:val="2"/>
                <w:sz w:val="24"/>
                <w:szCs w:val="24"/>
                <w:lang w:val="en-US" w:eastAsia="zh-CN" w:bidi="ar-SA"/>
              </w:rPr>
            </w:pPr>
            <w:r>
              <w:rPr>
                <w:rFonts w:hint="eastAsia" w:ascii="Times New Roman" w:hAnsi="Times New Roman" w:eastAsia="宋体" w:cs="Times New Roman"/>
                <w:color w:val="auto"/>
                <w:kern w:val="2"/>
                <w:sz w:val="24"/>
                <w:szCs w:val="24"/>
                <w:lang w:val="en-US" w:eastAsia="zh-CN" w:bidi="ar-SA"/>
              </w:rPr>
              <w:t>本项目职工工作和设备维修过程会产生废弃的含油抹布及劳保用品。根据企业提供资料，产生量约0.5t/a。对照《国家危险废物名录》（2025年版），该固废属危险固废，废物类别为HW49其他废物，危废代码为900-041-49含有或者沾染毒性、感染性危险废物的废弃的包装物、容器、过滤吸附介质，集中收集后委托有危险废物处置资质的单位进行处理处置。</w:t>
            </w:r>
          </w:p>
          <w:p w14:paraId="43DF8816">
            <w:pPr>
              <w:pStyle w:val="10"/>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firstLine="480" w:firstLineChars="200"/>
              <w:textAlignment w:val="auto"/>
              <w:rPr>
                <w:rFonts w:hint="eastAsia" w:ascii="Times New Roman" w:hAnsi="Times New Roman" w:eastAsia="宋体" w:cs="Times New Roman"/>
                <w:color w:val="auto"/>
                <w:kern w:val="2"/>
                <w:sz w:val="24"/>
                <w:szCs w:val="24"/>
                <w:lang w:val="en-US" w:eastAsia="zh-CN" w:bidi="ar-SA"/>
              </w:rPr>
            </w:pPr>
            <w:r>
              <w:rPr>
                <w:rFonts w:hint="eastAsia" w:ascii="Times New Roman" w:hAnsi="Times New Roman" w:eastAsia="宋体" w:cs="Times New Roman"/>
                <w:color w:val="auto"/>
                <w:kern w:val="2"/>
                <w:sz w:val="24"/>
                <w:szCs w:val="24"/>
                <w:lang w:val="en-US" w:eastAsia="zh-CN" w:bidi="ar-SA"/>
              </w:rPr>
              <w:t>⑤喷淋废水</w:t>
            </w:r>
          </w:p>
          <w:p w14:paraId="3B572763">
            <w:pPr>
              <w:pStyle w:val="10"/>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firstLine="480" w:firstLineChars="200"/>
              <w:textAlignment w:val="auto"/>
              <w:rPr>
                <w:rFonts w:hint="eastAsia" w:ascii="Times New Roman" w:hAnsi="Times New Roman" w:eastAsia="宋体" w:cs="Times New Roman"/>
                <w:color w:val="auto"/>
                <w:kern w:val="2"/>
                <w:sz w:val="24"/>
                <w:szCs w:val="24"/>
                <w:lang w:val="en-US" w:eastAsia="zh-CN" w:bidi="ar-SA"/>
              </w:rPr>
            </w:pPr>
            <w:r>
              <w:rPr>
                <w:rFonts w:hint="eastAsia" w:ascii="Times New Roman" w:hAnsi="Times New Roman" w:eastAsia="宋体" w:cs="Times New Roman"/>
                <w:color w:val="0000E1"/>
                <w:kern w:val="2"/>
                <w:sz w:val="24"/>
                <w:szCs w:val="24"/>
                <w:lang w:val="en-US" w:eastAsia="zh-CN" w:bidi="ar-SA"/>
              </w:rPr>
              <w:t>本项目固化废气、背胶废气、辅料成型废气通过水喷淋塔进行降温冷却与预处理杂质去除，该过程会产生喷淋废水，</w:t>
            </w:r>
            <w:r>
              <w:rPr>
                <w:rFonts w:hint="eastAsia" w:ascii="Times New Roman" w:hAnsi="Times New Roman" w:eastAsia="宋体" w:cs="Times New Roman"/>
                <w:color w:val="auto"/>
                <w:kern w:val="2"/>
                <w:sz w:val="24"/>
                <w:szCs w:val="24"/>
                <w:lang w:val="en-US" w:eastAsia="zh-CN" w:bidi="ar-SA"/>
              </w:rPr>
              <w:t>根据4.2.2.1废水源强分析可知，更换后的喷淋废水作为危废处置，喷淋废水产生量约4t/a。对照《国家危险废物名录》（2025年版），该固废属危险固废，废物类别为HW49其他废物，危废代码为900-041-49含有或沾染毒性、感染性危险废物的废弃包装物、容器、过滤吸附介质，集中收集后委托有危险废物处置资质的单位进行处理处置。</w:t>
            </w:r>
          </w:p>
          <w:p w14:paraId="1BE146C7">
            <w:pPr>
              <w:pStyle w:val="10"/>
              <w:keepNext w:val="0"/>
              <w:keepLines w:val="0"/>
              <w:pageBreakBefore w:val="0"/>
              <w:widowControl w:val="0"/>
              <w:numPr>
                <w:ilvl w:val="0"/>
                <w:numId w:val="0"/>
              </w:numPr>
              <w:suppressLineNumbers w:val="0"/>
              <w:kinsoku/>
              <w:wordWrap/>
              <w:overflowPunct/>
              <w:topLinePunct w:val="0"/>
              <w:autoSpaceDE/>
              <w:autoSpaceDN/>
              <w:bidi w:val="0"/>
              <w:adjustRightInd/>
              <w:snapToGrid/>
              <w:spacing w:before="0" w:beforeAutospacing="0" w:after="0" w:afterAutospacing="0" w:line="360" w:lineRule="auto"/>
              <w:ind w:left="0" w:leftChars="0" w:right="0" w:firstLine="480" w:firstLineChars="200"/>
              <w:textAlignment w:val="auto"/>
              <w:rPr>
                <w:rFonts w:hint="eastAsia" w:ascii="Times New Roman" w:hAnsi="Times New Roman" w:eastAsia="宋体" w:cs="Times New Roman"/>
                <w:color w:val="auto"/>
                <w:kern w:val="2"/>
                <w:sz w:val="24"/>
                <w:szCs w:val="24"/>
                <w:lang w:val="en-US" w:eastAsia="zh-CN" w:bidi="ar-SA"/>
              </w:rPr>
            </w:pPr>
            <w:r>
              <w:rPr>
                <w:rFonts w:hint="eastAsia" w:ascii="Times New Roman" w:hAnsi="Times New Roman" w:eastAsia="宋体" w:cs="Times New Roman"/>
                <w:color w:val="auto"/>
                <w:kern w:val="2"/>
                <w:sz w:val="24"/>
                <w:szCs w:val="24"/>
                <w:lang w:val="en-US" w:eastAsia="zh-CN" w:bidi="ar-SA"/>
              </w:rPr>
              <w:t>⑥废过滤棉</w:t>
            </w:r>
          </w:p>
          <w:p w14:paraId="65C14CB6">
            <w:pPr>
              <w:pStyle w:val="10"/>
              <w:keepNext w:val="0"/>
              <w:keepLines w:val="0"/>
              <w:pageBreakBefore w:val="0"/>
              <w:widowControl w:val="0"/>
              <w:numPr>
                <w:ilvl w:val="0"/>
                <w:numId w:val="0"/>
              </w:numPr>
              <w:suppressLineNumbers w:val="0"/>
              <w:kinsoku/>
              <w:wordWrap/>
              <w:overflowPunct/>
              <w:topLinePunct w:val="0"/>
              <w:autoSpaceDE/>
              <w:autoSpaceDN/>
              <w:bidi w:val="0"/>
              <w:adjustRightInd/>
              <w:snapToGrid/>
              <w:spacing w:before="0" w:beforeAutospacing="0" w:after="0" w:afterAutospacing="0" w:line="360" w:lineRule="auto"/>
              <w:ind w:left="0" w:leftChars="0" w:right="0" w:firstLine="480" w:firstLineChars="200"/>
              <w:textAlignment w:val="auto"/>
              <w:rPr>
                <w:rFonts w:hint="eastAsia"/>
                <w:color w:val="auto"/>
                <w:sz w:val="24"/>
                <w:szCs w:val="24"/>
                <w:lang w:val="en-US" w:eastAsia="zh-CN"/>
              </w:rPr>
            </w:pPr>
            <w:r>
              <w:rPr>
                <w:rFonts w:hint="eastAsia" w:ascii="Times New Roman" w:hAnsi="Times New Roman" w:eastAsia="宋体" w:cs="Times New Roman"/>
                <w:color w:val="auto"/>
                <w:kern w:val="2"/>
                <w:sz w:val="24"/>
                <w:szCs w:val="24"/>
                <w:lang w:val="en-US" w:eastAsia="zh-CN" w:bidi="ar-SA"/>
              </w:rPr>
              <w:t>本项目固化废气、背胶废气、辅料成型废气处理设施二级活性炭吸附前道使用过滤棉除湿，会产生废过滤棉，设施中单片过滤棉面积约为0.5m</w:t>
            </w:r>
            <w:r>
              <w:rPr>
                <w:rFonts w:hint="eastAsia" w:ascii="Times New Roman" w:hAnsi="Times New Roman" w:eastAsia="宋体" w:cs="Times New Roman"/>
                <w:color w:val="auto"/>
                <w:kern w:val="2"/>
                <w:sz w:val="24"/>
                <w:szCs w:val="24"/>
                <w:vertAlign w:val="superscript"/>
                <w:lang w:val="en-US" w:eastAsia="zh-CN" w:bidi="ar-SA"/>
              </w:rPr>
              <w:t>2</w:t>
            </w:r>
            <w:r>
              <w:rPr>
                <w:rFonts w:hint="eastAsia" w:ascii="Times New Roman" w:hAnsi="Times New Roman" w:eastAsia="宋体" w:cs="Times New Roman"/>
                <w:color w:val="auto"/>
                <w:kern w:val="2"/>
                <w:sz w:val="24"/>
                <w:szCs w:val="24"/>
                <w:lang w:val="en-US" w:eastAsia="zh-CN" w:bidi="ar-SA"/>
              </w:rPr>
              <w:t>，材质为钢网、绸和绒布滤料，单片重量约为6kg（含钢框），前后共3片，可循环使用，但存在损坏概率，损坏量按照3个月/片计算，得到每套设施年废过滤棉产生量为12片，</w:t>
            </w:r>
            <w:r>
              <w:rPr>
                <w:rFonts w:hint="eastAsia" w:ascii="Times New Roman" w:hAnsi="Times New Roman" w:eastAsia="宋体" w:cs="Times New Roman"/>
                <w:color w:val="0000E1"/>
                <w:kern w:val="2"/>
                <w:sz w:val="24"/>
                <w:szCs w:val="24"/>
                <w:lang w:val="en-US" w:eastAsia="zh-CN" w:bidi="ar-SA"/>
              </w:rPr>
              <w:t>则项目废过滤棉产生量为0.072t/a。</w:t>
            </w:r>
            <w:r>
              <w:rPr>
                <w:rFonts w:hint="eastAsia" w:ascii="Times New Roman" w:hAnsi="Times New Roman" w:eastAsia="宋体" w:cs="Times New Roman"/>
                <w:color w:val="auto"/>
                <w:kern w:val="2"/>
                <w:sz w:val="24"/>
                <w:szCs w:val="24"/>
                <w:lang w:val="en-US" w:eastAsia="zh-CN" w:bidi="ar-SA"/>
              </w:rPr>
              <w:t>对照《国家危险废物名录》（2025年版），该固废属危险固废，废物类别为HW49其他废物，危废代码为900-041-49含有或沾染毒性、感染性危险废物的废弃包装物、容器、过滤吸附介质，集中收集后委托有危险废物处置资质的单位进行处理处置</w:t>
            </w:r>
            <w:r>
              <w:rPr>
                <w:rFonts w:hint="eastAsia"/>
                <w:color w:val="auto"/>
                <w:sz w:val="24"/>
                <w:szCs w:val="24"/>
                <w:lang w:val="en-US" w:eastAsia="zh-CN"/>
              </w:rPr>
              <w:t>。</w:t>
            </w:r>
          </w:p>
          <w:p w14:paraId="03A3FA9D">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firstLine="480" w:firstLineChars="200"/>
              <w:textAlignment w:val="auto"/>
              <w:rPr>
                <w:rFonts w:hint="eastAsia"/>
                <w:color w:val="auto"/>
                <w:sz w:val="24"/>
                <w:szCs w:val="24"/>
                <w:lang w:val="en-US" w:eastAsia="zh-CN"/>
              </w:rPr>
            </w:pPr>
            <w:r>
              <w:rPr>
                <w:rFonts w:hint="eastAsia"/>
                <w:color w:val="auto"/>
                <w:sz w:val="24"/>
                <w:szCs w:val="24"/>
                <w:lang w:val="en-US" w:eastAsia="zh-CN"/>
              </w:rPr>
              <w:t>⑦废活性炭</w:t>
            </w:r>
          </w:p>
          <w:p w14:paraId="6DD62043">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firstLine="480" w:firstLineChars="200"/>
              <w:jc w:val="both"/>
              <w:textAlignment w:val="auto"/>
              <w:rPr>
                <w:rFonts w:hint="default" w:ascii="Times New Roman" w:hAnsi="Times New Roman" w:eastAsia="宋体" w:cs="Times New Roman"/>
                <w:color w:val="auto"/>
                <w:kern w:val="2"/>
                <w:sz w:val="24"/>
                <w:szCs w:val="24"/>
              </w:rPr>
            </w:pPr>
            <w:r>
              <w:rPr>
                <w:rFonts w:hint="eastAsia" w:ascii="宋体" w:hAnsi="宋体" w:eastAsia="宋体" w:cs="宋体"/>
                <w:color w:val="auto"/>
                <w:kern w:val="2"/>
                <w:sz w:val="24"/>
                <w:szCs w:val="24"/>
                <w:lang w:val="en-US" w:eastAsia="zh-CN" w:bidi="ar"/>
              </w:rPr>
              <w:t>本项目固化废气、背胶废气、辅料成型废气处理采用水喷淋+干式过滤+二级活性炭吸附装置处理，设施运行过程由于活性炭吸附饱和后需对活性炭进行更换，其装填量及更换周期类比《浙江省分散吸附</w:t>
            </w:r>
            <w:r>
              <w:rPr>
                <w:rFonts w:hint="default" w:ascii="Times New Roman" w:hAnsi="Times New Roman" w:eastAsia="宋体" w:cs="Times New Roman"/>
                <w:color w:val="auto"/>
                <w:kern w:val="2"/>
                <w:sz w:val="24"/>
                <w:szCs w:val="24"/>
                <w:lang w:val="en-US" w:eastAsia="zh-CN" w:bidi="ar"/>
              </w:rPr>
              <w:t>-</w:t>
            </w:r>
            <w:r>
              <w:rPr>
                <w:rFonts w:hint="eastAsia" w:ascii="宋体" w:hAnsi="宋体" w:eastAsia="宋体" w:cs="宋体"/>
                <w:color w:val="auto"/>
                <w:kern w:val="2"/>
                <w:sz w:val="24"/>
                <w:szCs w:val="24"/>
                <w:lang w:val="en-US" w:eastAsia="zh-CN" w:bidi="ar"/>
              </w:rPr>
              <w:t>集中再生活性炭法挥发性有机物治理体系建设技术指南（试行）》中的相关要求，具体见表</w:t>
            </w:r>
            <w:r>
              <w:rPr>
                <w:rFonts w:hint="default" w:ascii="Times New Roman" w:hAnsi="Times New Roman" w:eastAsia="宋体" w:cs="Times New Roman"/>
                <w:color w:val="auto"/>
                <w:kern w:val="2"/>
                <w:sz w:val="24"/>
                <w:szCs w:val="24"/>
                <w:lang w:val="en-US" w:eastAsia="zh-CN" w:bidi="ar"/>
              </w:rPr>
              <w:t>4-</w:t>
            </w:r>
            <w:r>
              <w:rPr>
                <w:rFonts w:hint="eastAsia" w:ascii="Times New Roman" w:hAnsi="Times New Roman" w:eastAsia="宋体" w:cs="Times New Roman"/>
                <w:color w:val="auto"/>
                <w:kern w:val="2"/>
                <w:sz w:val="24"/>
                <w:szCs w:val="24"/>
                <w:lang w:val="en-US" w:eastAsia="zh-CN" w:bidi="ar"/>
              </w:rPr>
              <w:t>22</w:t>
            </w:r>
            <w:r>
              <w:rPr>
                <w:rFonts w:hint="eastAsia" w:ascii="宋体" w:hAnsi="宋体" w:eastAsia="宋体" w:cs="宋体"/>
                <w:color w:val="auto"/>
                <w:kern w:val="2"/>
                <w:sz w:val="24"/>
                <w:szCs w:val="24"/>
                <w:lang w:val="en-US" w:eastAsia="zh-CN" w:bidi="ar"/>
              </w:rPr>
              <w:t>。</w:t>
            </w:r>
          </w:p>
          <w:p w14:paraId="36E0E9AB">
            <w:pPr>
              <w:keepNext w:val="0"/>
              <w:keepLines w:val="0"/>
              <w:widowControl w:val="0"/>
              <w:suppressLineNumbers w:val="0"/>
              <w:autoSpaceDE w:val="0"/>
              <w:autoSpaceDN/>
              <w:spacing w:before="0" w:beforeAutospacing="0" w:after="0" w:afterAutospacing="0"/>
              <w:ind w:left="0" w:right="0"/>
              <w:jc w:val="center"/>
              <w:rPr>
                <w:rFonts w:hint="default" w:ascii="Times New Roman" w:hAnsi="Times New Roman" w:eastAsia="宋体" w:cs="Times New Roman"/>
                <w:b/>
                <w:bCs w:val="0"/>
                <w:color w:val="auto"/>
                <w:kern w:val="0"/>
                <w:sz w:val="21"/>
                <w:szCs w:val="21"/>
              </w:rPr>
            </w:pPr>
            <w:r>
              <w:rPr>
                <w:rFonts w:hint="eastAsia" w:ascii="宋体" w:hAnsi="宋体" w:eastAsia="宋体" w:cs="宋体"/>
                <w:b/>
                <w:bCs w:val="0"/>
                <w:color w:val="auto"/>
                <w:kern w:val="0"/>
                <w:sz w:val="21"/>
                <w:szCs w:val="21"/>
                <w:lang w:val="en-US" w:eastAsia="zh-CN" w:bidi="ar"/>
              </w:rPr>
              <w:t>表</w:t>
            </w:r>
            <w:r>
              <w:rPr>
                <w:rFonts w:hint="default" w:ascii="Times New Roman" w:hAnsi="Times New Roman" w:eastAsia="宋体" w:cs="Times New Roman"/>
                <w:b/>
                <w:bCs w:val="0"/>
                <w:color w:val="auto"/>
                <w:kern w:val="0"/>
                <w:sz w:val="21"/>
                <w:szCs w:val="21"/>
                <w:lang w:val="en-US" w:eastAsia="zh-CN" w:bidi="ar"/>
              </w:rPr>
              <w:t>4-</w:t>
            </w:r>
            <w:r>
              <w:rPr>
                <w:rFonts w:hint="eastAsia" w:ascii="Times New Roman" w:hAnsi="Times New Roman" w:eastAsia="宋体" w:cs="Times New Roman"/>
                <w:b/>
                <w:bCs w:val="0"/>
                <w:color w:val="auto"/>
                <w:kern w:val="0"/>
                <w:sz w:val="21"/>
                <w:szCs w:val="21"/>
                <w:lang w:val="en-US" w:eastAsia="zh-CN" w:bidi="ar"/>
              </w:rPr>
              <w:t>22</w:t>
            </w:r>
            <w:r>
              <w:rPr>
                <w:rFonts w:hint="default" w:ascii="Times New Roman" w:hAnsi="Times New Roman" w:eastAsia="宋体" w:cs="Times New Roman"/>
                <w:b/>
                <w:bCs w:val="0"/>
                <w:color w:val="auto"/>
                <w:kern w:val="0"/>
                <w:sz w:val="21"/>
                <w:szCs w:val="21"/>
                <w:lang w:val="en-US" w:eastAsia="zh-CN" w:bidi="ar"/>
              </w:rPr>
              <w:t xml:space="preserve">  </w:t>
            </w:r>
            <w:r>
              <w:rPr>
                <w:rFonts w:hint="eastAsia" w:ascii="宋体" w:hAnsi="宋体" w:eastAsia="宋体" w:cs="宋体"/>
                <w:b/>
                <w:bCs w:val="0"/>
                <w:color w:val="auto"/>
                <w:kern w:val="0"/>
                <w:sz w:val="21"/>
                <w:szCs w:val="21"/>
                <w:lang w:val="en-US" w:eastAsia="zh-CN" w:bidi="ar"/>
              </w:rPr>
              <w:t>废气收集参数和最少活性炭装填量参考表</w:t>
            </w:r>
          </w:p>
          <w:tbl>
            <w:tblPr>
              <w:tblStyle w:val="22"/>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Layout w:type="fixed"/>
              <w:tblCellMar>
                <w:top w:w="0" w:type="dxa"/>
                <w:left w:w="108" w:type="dxa"/>
                <w:bottom w:w="0" w:type="dxa"/>
                <w:right w:w="108" w:type="dxa"/>
              </w:tblCellMar>
            </w:tblPr>
            <w:tblGrid>
              <w:gridCol w:w="503"/>
              <w:gridCol w:w="1851"/>
              <w:gridCol w:w="1903"/>
              <w:gridCol w:w="2913"/>
              <w:gridCol w:w="1177"/>
            </w:tblGrid>
            <w:tr w14:paraId="4870AB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397" w:hRule="atLeast"/>
                <w:jc w:val="center"/>
              </w:trPr>
              <w:tc>
                <w:tcPr>
                  <w:tcW w:w="4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F6480F9">
                  <w:pPr>
                    <w:keepNext w:val="0"/>
                    <w:keepLines w:val="0"/>
                    <w:widowControl w:val="0"/>
                    <w:suppressLineNumbers w:val="0"/>
                    <w:spacing w:before="0" w:beforeAutospacing="0" w:after="0" w:afterAutospacing="0"/>
                    <w:ind w:left="0" w:right="0"/>
                    <w:jc w:val="center"/>
                    <w:rPr>
                      <w:rFonts w:hint="default" w:ascii="Times New Roman" w:hAnsi="Times New Roman" w:eastAsia="宋体" w:cs="Times New Roman"/>
                      <w:b/>
                      <w:bCs/>
                      <w:color w:val="auto"/>
                      <w:kern w:val="2"/>
                      <w:sz w:val="21"/>
                      <w:szCs w:val="21"/>
                    </w:rPr>
                  </w:pPr>
                  <w:r>
                    <w:rPr>
                      <w:rFonts w:hint="eastAsia" w:ascii="宋体" w:hAnsi="宋体" w:eastAsia="宋体" w:cs="宋体"/>
                      <w:b/>
                      <w:bCs/>
                      <w:color w:val="auto"/>
                      <w:kern w:val="2"/>
                      <w:sz w:val="21"/>
                      <w:szCs w:val="21"/>
                      <w:lang w:val="en-US" w:eastAsia="zh-CN" w:bidi="ar"/>
                    </w:rPr>
                    <w:t>序号</w:t>
                  </w:r>
                </w:p>
              </w:tc>
              <w:tc>
                <w:tcPr>
                  <w:tcW w:w="1766" w:type="dxa"/>
                  <w:tcBorders>
                    <w:top w:val="single" w:color="auto" w:sz="4" w:space="0"/>
                    <w:left w:val="nil"/>
                    <w:bottom w:val="single" w:color="auto" w:sz="4" w:space="0"/>
                    <w:right w:val="single" w:color="auto" w:sz="4" w:space="0"/>
                  </w:tcBorders>
                  <w:shd w:val="clear" w:color="auto" w:fill="auto"/>
                  <w:noWrap/>
                  <w:vAlign w:val="center"/>
                </w:tcPr>
                <w:p w14:paraId="39C46DDF">
                  <w:pPr>
                    <w:keepNext w:val="0"/>
                    <w:keepLines w:val="0"/>
                    <w:widowControl w:val="0"/>
                    <w:suppressLineNumbers w:val="0"/>
                    <w:spacing w:before="0" w:beforeAutospacing="0" w:after="0" w:afterAutospacing="0"/>
                    <w:ind w:left="0" w:right="0"/>
                    <w:jc w:val="center"/>
                    <w:rPr>
                      <w:rFonts w:hint="default" w:ascii="Times New Roman" w:hAnsi="Times New Roman" w:eastAsia="宋体" w:cs="Times New Roman"/>
                      <w:b/>
                      <w:bCs/>
                      <w:color w:val="auto"/>
                      <w:kern w:val="2"/>
                      <w:sz w:val="21"/>
                      <w:szCs w:val="21"/>
                    </w:rPr>
                  </w:pPr>
                  <w:r>
                    <w:rPr>
                      <w:rFonts w:hint="eastAsia" w:ascii="宋体" w:hAnsi="宋体" w:eastAsia="宋体" w:cs="宋体"/>
                      <w:b/>
                      <w:bCs/>
                      <w:color w:val="auto"/>
                      <w:kern w:val="2"/>
                      <w:sz w:val="21"/>
                      <w:szCs w:val="21"/>
                      <w:lang w:val="en-US" w:eastAsia="zh-CN" w:bidi="ar"/>
                    </w:rPr>
                    <w:t>风量（</w:t>
                  </w:r>
                  <w:r>
                    <w:rPr>
                      <w:rFonts w:hint="default" w:ascii="Times New Roman" w:hAnsi="Times New Roman" w:eastAsia="宋体" w:cs="Times New Roman"/>
                      <w:b/>
                      <w:bCs/>
                      <w:color w:val="auto"/>
                      <w:kern w:val="2"/>
                      <w:sz w:val="21"/>
                      <w:szCs w:val="21"/>
                      <w:lang w:val="en-US" w:eastAsia="zh-CN" w:bidi="ar"/>
                    </w:rPr>
                    <w:t>Q</w:t>
                  </w:r>
                  <w:r>
                    <w:rPr>
                      <w:rFonts w:hint="eastAsia" w:ascii="宋体" w:hAnsi="宋体" w:eastAsia="宋体" w:cs="宋体"/>
                      <w:b/>
                      <w:bCs/>
                      <w:color w:val="auto"/>
                      <w:kern w:val="2"/>
                      <w:sz w:val="21"/>
                      <w:szCs w:val="21"/>
                      <w:lang w:val="en-US" w:eastAsia="zh-CN" w:bidi="ar"/>
                    </w:rPr>
                    <w:t>）范围</w:t>
                  </w:r>
                </w:p>
                <w:p w14:paraId="590EBCA0">
                  <w:pPr>
                    <w:keepNext w:val="0"/>
                    <w:keepLines w:val="0"/>
                    <w:widowControl w:val="0"/>
                    <w:suppressLineNumbers w:val="0"/>
                    <w:spacing w:before="0" w:beforeAutospacing="0" w:after="0" w:afterAutospacing="0"/>
                    <w:ind w:left="0" w:right="0"/>
                    <w:jc w:val="center"/>
                    <w:rPr>
                      <w:rFonts w:hint="default" w:ascii="Times New Roman" w:hAnsi="Times New Roman" w:eastAsia="宋体" w:cs="Times New Roman"/>
                      <w:b/>
                      <w:bCs/>
                      <w:color w:val="auto"/>
                      <w:kern w:val="2"/>
                      <w:sz w:val="21"/>
                      <w:szCs w:val="21"/>
                    </w:rPr>
                  </w:pPr>
                  <w:r>
                    <w:rPr>
                      <w:rFonts w:hint="default" w:ascii="Times New Roman" w:hAnsi="Times New Roman" w:eastAsia="宋体" w:cs="Times New Roman"/>
                      <w:b/>
                      <w:bCs/>
                      <w:color w:val="auto"/>
                      <w:kern w:val="2"/>
                      <w:sz w:val="21"/>
                      <w:szCs w:val="21"/>
                      <w:lang w:val="en-US" w:eastAsia="zh-CN" w:bidi="ar"/>
                    </w:rPr>
                    <w:t>Nm</w:t>
                  </w:r>
                  <w:r>
                    <w:rPr>
                      <w:rFonts w:hint="default" w:ascii="Times New Roman" w:hAnsi="Times New Roman" w:eastAsia="宋体" w:cs="Times New Roman"/>
                      <w:b/>
                      <w:bCs/>
                      <w:color w:val="auto"/>
                      <w:kern w:val="2"/>
                      <w:sz w:val="21"/>
                      <w:szCs w:val="21"/>
                      <w:vertAlign w:val="superscript"/>
                      <w:lang w:val="en-US" w:eastAsia="zh-CN" w:bidi="ar"/>
                    </w:rPr>
                    <w:t>3</w:t>
                  </w:r>
                  <w:r>
                    <w:rPr>
                      <w:rFonts w:hint="default" w:ascii="Times New Roman" w:hAnsi="Times New Roman" w:eastAsia="宋体" w:cs="Times New Roman"/>
                      <w:b/>
                      <w:bCs/>
                      <w:color w:val="auto"/>
                      <w:kern w:val="2"/>
                      <w:sz w:val="21"/>
                      <w:szCs w:val="21"/>
                      <w:lang w:val="en-US" w:eastAsia="zh-CN" w:bidi="ar"/>
                    </w:rPr>
                    <w:t>/h</w:t>
                  </w:r>
                </w:p>
              </w:tc>
              <w:tc>
                <w:tcPr>
                  <w:tcW w:w="1815" w:type="dxa"/>
                  <w:tcBorders>
                    <w:top w:val="single" w:color="auto" w:sz="4" w:space="0"/>
                    <w:left w:val="nil"/>
                    <w:bottom w:val="single" w:color="auto" w:sz="4" w:space="0"/>
                    <w:right w:val="single" w:color="auto" w:sz="4" w:space="0"/>
                  </w:tcBorders>
                  <w:shd w:val="clear" w:color="auto" w:fill="auto"/>
                  <w:noWrap/>
                  <w:vAlign w:val="center"/>
                </w:tcPr>
                <w:p w14:paraId="10FBC0FB">
                  <w:pPr>
                    <w:keepNext w:val="0"/>
                    <w:keepLines w:val="0"/>
                    <w:widowControl w:val="0"/>
                    <w:suppressLineNumbers w:val="0"/>
                    <w:spacing w:before="0" w:beforeAutospacing="0" w:after="0" w:afterAutospacing="0"/>
                    <w:ind w:left="0" w:right="0"/>
                    <w:jc w:val="center"/>
                    <w:rPr>
                      <w:rFonts w:hint="default" w:ascii="Times New Roman" w:hAnsi="Times New Roman" w:eastAsia="宋体" w:cs="Times New Roman"/>
                      <w:b/>
                      <w:bCs/>
                      <w:color w:val="auto"/>
                      <w:kern w:val="2"/>
                      <w:sz w:val="21"/>
                      <w:szCs w:val="21"/>
                    </w:rPr>
                  </w:pPr>
                  <w:r>
                    <w:rPr>
                      <w:rFonts w:hint="default" w:ascii="Times New Roman" w:hAnsi="Times New Roman" w:eastAsia="宋体" w:cs="Times New Roman"/>
                      <w:b/>
                      <w:bCs/>
                      <w:color w:val="auto"/>
                      <w:kern w:val="2"/>
                      <w:sz w:val="21"/>
                      <w:szCs w:val="21"/>
                      <w:lang w:val="en-US" w:eastAsia="zh-CN" w:bidi="ar"/>
                    </w:rPr>
                    <w:t>VOCs</w:t>
                  </w:r>
                  <w:r>
                    <w:rPr>
                      <w:rFonts w:hint="eastAsia" w:ascii="宋体" w:hAnsi="宋体" w:eastAsia="宋体" w:cs="宋体"/>
                      <w:b/>
                      <w:bCs/>
                      <w:color w:val="auto"/>
                      <w:kern w:val="2"/>
                      <w:sz w:val="21"/>
                      <w:szCs w:val="21"/>
                      <w:lang w:val="en-US" w:eastAsia="zh-CN" w:bidi="ar"/>
                    </w:rPr>
                    <w:t>初始浓度范围</w:t>
                  </w:r>
                  <w:r>
                    <w:rPr>
                      <w:rFonts w:hint="default" w:ascii="Times New Roman" w:hAnsi="Times New Roman" w:eastAsia="宋体" w:cs="Times New Roman"/>
                      <w:b/>
                      <w:bCs/>
                      <w:color w:val="auto"/>
                      <w:kern w:val="2"/>
                      <w:sz w:val="21"/>
                      <w:szCs w:val="21"/>
                      <w:lang w:val="en-US" w:eastAsia="zh-CN" w:bidi="ar"/>
                    </w:rPr>
                    <w:t>mg/Nm</w:t>
                  </w:r>
                  <w:r>
                    <w:rPr>
                      <w:rFonts w:hint="default" w:ascii="Times New Roman" w:hAnsi="Times New Roman" w:eastAsia="宋体" w:cs="Times New Roman"/>
                      <w:b/>
                      <w:bCs/>
                      <w:color w:val="auto"/>
                      <w:kern w:val="2"/>
                      <w:sz w:val="21"/>
                      <w:szCs w:val="21"/>
                      <w:vertAlign w:val="superscript"/>
                      <w:lang w:val="en-US" w:eastAsia="zh-CN" w:bidi="ar"/>
                    </w:rPr>
                    <w:t>3</w:t>
                  </w:r>
                </w:p>
              </w:tc>
              <w:tc>
                <w:tcPr>
                  <w:tcW w:w="2779" w:type="dxa"/>
                  <w:tcBorders>
                    <w:top w:val="single" w:color="auto" w:sz="4" w:space="0"/>
                    <w:left w:val="nil"/>
                    <w:bottom w:val="single" w:color="auto" w:sz="4" w:space="0"/>
                    <w:right w:val="single" w:color="auto" w:sz="4" w:space="0"/>
                  </w:tcBorders>
                  <w:shd w:val="clear" w:color="auto" w:fill="auto"/>
                  <w:noWrap/>
                  <w:vAlign w:val="center"/>
                </w:tcPr>
                <w:p w14:paraId="29EB432C">
                  <w:pPr>
                    <w:keepNext w:val="0"/>
                    <w:keepLines w:val="0"/>
                    <w:widowControl w:val="0"/>
                    <w:suppressLineNumbers w:val="0"/>
                    <w:spacing w:before="0" w:beforeAutospacing="0" w:after="0" w:afterAutospacing="0"/>
                    <w:ind w:left="0" w:right="0"/>
                    <w:jc w:val="center"/>
                    <w:rPr>
                      <w:rFonts w:hint="default" w:ascii="Times New Roman" w:hAnsi="Times New Roman" w:eastAsia="宋体" w:cs="Times New Roman"/>
                      <w:b/>
                      <w:bCs/>
                      <w:color w:val="auto"/>
                      <w:kern w:val="2"/>
                      <w:sz w:val="21"/>
                      <w:szCs w:val="21"/>
                    </w:rPr>
                  </w:pPr>
                  <w:r>
                    <w:rPr>
                      <w:rFonts w:hint="eastAsia" w:ascii="宋体" w:hAnsi="宋体" w:eastAsia="宋体" w:cs="宋体"/>
                      <w:b/>
                      <w:bCs/>
                      <w:color w:val="auto"/>
                      <w:kern w:val="2"/>
                      <w:sz w:val="21"/>
                      <w:szCs w:val="21"/>
                      <w:lang w:val="en-US" w:eastAsia="zh-CN" w:bidi="ar"/>
                    </w:rPr>
                    <w:t>活性炭最少装填量</w:t>
                  </w:r>
                  <w:r>
                    <w:rPr>
                      <w:rFonts w:hint="default" w:ascii="Times New Roman" w:hAnsi="Times New Roman" w:eastAsia="宋体" w:cs="Times New Roman"/>
                      <w:b/>
                      <w:bCs/>
                      <w:color w:val="auto"/>
                      <w:kern w:val="2"/>
                      <w:sz w:val="21"/>
                      <w:szCs w:val="21"/>
                      <w:lang w:val="en-US" w:eastAsia="zh-CN" w:bidi="ar"/>
                    </w:rPr>
                    <w:t>/</w:t>
                  </w:r>
                  <w:r>
                    <w:rPr>
                      <w:rFonts w:hint="eastAsia" w:ascii="宋体" w:hAnsi="宋体" w:eastAsia="宋体" w:cs="宋体"/>
                      <w:b/>
                      <w:bCs/>
                      <w:color w:val="auto"/>
                      <w:kern w:val="2"/>
                      <w:sz w:val="21"/>
                      <w:szCs w:val="21"/>
                      <w:lang w:val="en-US" w:eastAsia="zh-CN" w:bidi="ar"/>
                    </w:rPr>
                    <w:t>吨</w:t>
                  </w:r>
                </w:p>
                <w:p w14:paraId="257ED88A">
                  <w:pPr>
                    <w:keepNext w:val="0"/>
                    <w:keepLines w:val="0"/>
                    <w:widowControl w:val="0"/>
                    <w:suppressLineNumbers w:val="0"/>
                    <w:spacing w:before="0" w:beforeAutospacing="0" w:after="0" w:afterAutospacing="0"/>
                    <w:ind w:left="0" w:right="0"/>
                    <w:jc w:val="center"/>
                    <w:rPr>
                      <w:rFonts w:hint="default" w:ascii="Times New Roman" w:hAnsi="Times New Roman" w:eastAsia="宋体" w:cs="Times New Roman"/>
                      <w:b/>
                      <w:bCs/>
                      <w:color w:val="auto"/>
                      <w:kern w:val="2"/>
                      <w:sz w:val="21"/>
                      <w:szCs w:val="21"/>
                    </w:rPr>
                  </w:pPr>
                  <w:r>
                    <w:rPr>
                      <w:rFonts w:hint="eastAsia" w:ascii="宋体" w:hAnsi="宋体" w:eastAsia="宋体" w:cs="宋体"/>
                      <w:b/>
                      <w:bCs/>
                      <w:color w:val="auto"/>
                      <w:kern w:val="2"/>
                      <w:sz w:val="21"/>
                      <w:szCs w:val="21"/>
                      <w:lang w:val="en-US" w:eastAsia="zh-CN" w:bidi="ar"/>
                    </w:rPr>
                    <w:t>（按</w:t>
                  </w:r>
                  <w:r>
                    <w:rPr>
                      <w:rFonts w:hint="default" w:ascii="Times New Roman" w:hAnsi="Times New Roman" w:eastAsia="宋体" w:cs="Times New Roman"/>
                      <w:b/>
                      <w:bCs/>
                      <w:color w:val="auto"/>
                      <w:kern w:val="2"/>
                      <w:sz w:val="21"/>
                      <w:szCs w:val="21"/>
                      <w:lang w:val="en-US" w:eastAsia="zh-CN" w:bidi="ar"/>
                    </w:rPr>
                    <w:t>500</w:t>
                  </w:r>
                  <w:r>
                    <w:rPr>
                      <w:rFonts w:hint="eastAsia" w:ascii="宋体" w:hAnsi="宋体" w:eastAsia="宋体" w:cs="宋体"/>
                      <w:b/>
                      <w:bCs/>
                      <w:color w:val="auto"/>
                      <w:kern w:val="2"/>
                      <w:sz w:val="21"/>
                      <w:szCs w:val="21"/>
                      <w:lang w:val="en-US" w:eastAsia="zh-CN" w:bidi="ar"/>
                    </w:rPr>
                    <w:t>小时使用时间计）</w:t>
                  </w:r>
                </w:p>
              </w:tc>
              <w:tc>
                <w:tcPr>
                  <w:tcW w:w="1123" w:type="dxa"/>
                  <w:tcBorders>
                    <w:top w:val="single" w:color="auto" w:sz="4" w:space="0"/>
                    <w:left w:val="nil"/>
                    <w:bottom w:val="single" w:color="auto" w:sz="4" w:space="0"/>
                    <w:right w:val="single" w:color="auto" w:sz="4" w:space="0"/>
                  </w:tcBorders>
                  <w:shd w:val="clear" w:color="auto" w:fill="auto"/>
                  <w:noWrap/>
                  <w:vAlign w:val="center"/>
                </w:tcPr>
                <w:p w14:paraId="5821D5D2">
                  <w:pPr>
                    <w:keepNext w:val="0"/>
                    <w:keepLines w:val="0"/>
                    <w:widowControl w:val="0"/>
                    <w:suppressLineNumbers w:val="0"/>
                    <w:spacing w:before="0" w:beforeAutospacing="0" w:after="0" w:afterAutospacing="0"/>
                    <w:ind w:left="0" w:right="0"/>
                    <w:jc w:val="center"/>
                    <w:rPr>
                      <w:rFonts w:hint="default" w:ascii="Times New Roman" w:hAnsi="Times New Roman" w:eastAsia="宋体" w:cs="Times New Roman"/>
                      <w:b/>
                      <w:bCs/>
                      <w:color w:val="auto"/>
                      <w:kern w:val="2"/>
                      <w:sz w:val="21"/>
                      <w:szCs w:val="21"/>
                    </w:rPr>
                  </w:pPr>
                  <w:r>
                    <w:rPr>
                      <w:rFonts w:hint="eastAsia" w:ascii="宋体" w:hAnsi="宋体" w:eastAsia="宋体" w:cs="宋体"/>
                      <w:b/>
                      <w:bCs/>
                      <w:color w:val="auto"/>
                      <w:kern w:val="2"/>
                      <w:sz w:val="21"/>
                      <w:szCs w:val="21"/>
                      <w:lang w:val="en-US" w:eastAsia="zh-CN" w:bidi="ar"/>
                    </w:rPr>
                    <w:t>本项目</w:t>
                  </w:r>
                </w:p>
              </w:tc>
            </w:tr>
            <w:tr w14:paraId="40C9F3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4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EB05B32">
                  <w:pPr>
                    <w:keepNext w:val="0"/>
                    <w:keepLines w:val="0"/>
                    <w:widowControl w:val="0"/>
                    <w:suppressLineNumbers w:val="0"/>
                    <w:spacing w:before="0" w:beforeAutospacing="0" w:after="0" w:afterAutospacing="0"/>
                    <w:ind w:left="0" w:right="0"/>
                    <w:jc w:val="center"/>
                    <w:rPr>
                      <w:rFonts w:hint="default" w:ascii="Times New Roman" w:hAnsi="Times New Roman" w:eastAsia="宋体" w:cs="Times New Roman"/>
                      <w:color w:val="auto"/>
                      <w:kern w:val="2"/>
                      <w:sz w:val="21"/>
                      <w:szCs w:val="21"/>
                    </w:rPr>
                  </w:pPr>
                  <w:r>
                    <w:rPr>
                      <w:rFonts w:hint="default" w:ascii="Times New Roman" w:hAnsi="Times New Roman" w:eastAsia="宋体" w:cs="Times New Roman"/>
                      <w:color w:val="auto"/>
                      <w:kern w:val="2"/>
                      <w:sz w:val="21"/>
                      <w:szCs w:val="21"/>
                      <w:lang w:val="en-US" w:eastAsia="zh-CN" w:bidi="ar"/>
                    </w:rPr>
                    <w:t>1</w:t>
                  </w:r>
                </w:p>
              </w:tc>
              <w:tc>
                <w:tcPr>
                  <w:tcW w:w="1766" w:type="dxa"/>
                  <w:vMerge w:val="restart"/>
                  <w:tcBorders>
                    <w:top w:val="nil"/>
                    <w:left w:val="nil"/>
                    <w:bottom w:val="single" w:color="auto" w:sz="4" w:space="0"/>
                    <w:right w:val="single" w:color="auto" w:sz="4" w:space="0"/>
                  </w:tcBorders>
                  <w:shd w:val="clear" w:color="auto" w:fill="auto"/>
                  <w:noWrap/>
                  <w:vAlign w:val="center"/>
                </w:tcPr>
                <w:p w14:paraId="30502013">
                  <w:pPr>
                    <w:keepNext w:val="0"/>
                    <w:keepLines w:val="0"/>
                    <w:widowControl w:val="0"/>
                    <w:suppressLineNumbers w:val="0"/>
                    <w:spacing w:before="0" w:beforeAutospacing="0" w:after="0" w:afterAutospacing="0"/>
                    <w:ind w:left="0" w:right="0"/>
                    <w:jc w:val="center"/>
                    <w:rPr>
                      <w:rFonts w:hint="default" w:ascii="Times New Roman" w:hAnsi="Times New Roman" w:eastAsia="宋体" w:cs="Times New Roman"/>
                      <w:color w:val="auto"/>
                      <w:kern w:val="2"/>
                      <w:sz w:val="21"/>
                      <w:szCs w:val="21"/>
                    </w:rPr>
                  </w:pPr>
                  <w:r>
                    <w:rPr>
                      <w:rFonts w:hint="default" w:ascii="Times New Roman" w:hAnsi="Times New Roman" w:eastAsia="宋体" w:cs="Times New Roman"/>
                      <w:color w:val="auto"/>
                      <w:kern w:val="2"/>
                      <w:sz w:val="21"/>
                      <w:szCs w:val="21"/>
                      <w:lang w:val="en-US" w:eastAsia="zh-CN" w:bidi="ar"/>
                    </w:rPr>
                    <w:t>Q&lt;5000</w:t>
                  </w:r>
                </w:p>
              </w:tc>
              <w:tc>
                <w:tcPr>
                  <w:tcW w:w="1815" w:type="dxa"/>
                  <w:tcBorders>
                    <w:top w:val="single" w:color="auto" w:sz="4" w:space="0"/>
                    <w:left w:val="nil"/>
                    <w:bottom w:val="single" w:color="auto" w:sz="4" w:space="0"/>
                    <w:right w:val="single" w:color="auto" w:sz="4" w:space="0"/>
                  </w:tcBorders>
                  <w:shd w:val="clear" w:color="auto" w:fill="auto"/>
                  <w:noWrap/>
                  <w:vAlign w:val="center"/>
                </w:tcPr>
                <w:p w14:paraId="5B436605">
                  <w:pPr>
                    <w:keepNext w:val="0"/>
                    <w:keepLines w:val="0"/>
                    <w:widowControl w:val="0"/>
                    <w:suppressLineNumbers w:val="0"/>
                    <w:spacing w:before="0" w:beforeAutospacing="0" w:after="0" w:afterAutospacing="0"/>
                    <w:ind w:left="0" w:right="0"/>
                    <w:jc w:val="center"/>
                    <w:rPr>
                      <w:rFonts w:hint="default" w:ascii="Times New Roman" w:hAnsi="Times New Roman" w:eastAsia="宋体" w:cs="Times New Roman"/>
                      <w:color w:val="auto"/>
                      <w:kern w:val="2"/>
                      <w:sz w:val="21"/>
                      <w:szCs w:val="21"/>
                    </w:rPr>
                  </w:pPr>
                  <w:r>
                    <w:rPr>
                      <w:rFonts w:hint="default" w:ascii="Times New Roman" w:hAnsi="Times New Roman" w:eastAsia="宋体" w:cs="Times New Roman"/>
                      <w:color w:val="auto"/>
                      <w:kern w:val="2"/>
                      <w:sz w:val="21"/>
                      <w:szCs w:val="21"/>
                      <w:lang w:val="en-US" w:eastAsia="zh-CN" w:bidi="ar"/>
                    </w:rPr>
                    <w:t>0~200</w:t>
                  </w:r>
                </w:p>
              </w:tc>
              <w:tc>
                <w:tcPr>
                  <w:tcW w:w="2779" w:type="dxa"/>
                  <w:tcBorders>
                    <w:top w:val="single" w:color="auto" w:sz="4" w:space="0"/>
                    <w:left w:val="nil"/>
                    <w:bottom w:val="single" w:color="auto" w:sz="4" w:space="0"/>
                    <w:right w:val="single" w:color="auto" w:sz="4" w:space="0"/>
                  </w:tcBorders>
                  <w:shd w:val="clear" w:color="auto" w:fill="auto"/>
                  <w:noWrap/>
                  <w:vAlign w:val="center"/>
                </w:tcPr>
                <w:p w14:paraId="7DE73D1B">
                  <w:pPr>
                    <w:keepNext w:val="0"/>
                    <w:keepLines w:val="0"/>
                    <w:widowControl w:val="0"/>
                    <w:suppressLineNumbers w:val="0"/>
                    <w:spacing w:before="0" w:beforeAutospacing="0" w:after="0" w:afterAutospacing="0"/>
                    <w:ind w:left="0" w:right="0"/>
                    <w:jc w:val="center"/>
                    <w:rPr>
                      <w:rFonts w:hint="default" w:ascii="Times New Roman" w:hAnsi="Times New Roman" w:eastAsia="宋体" w:cs="Times New Roman"/>
                      <w:color w:val="auto"/>
                      <w:kern w:val="2"/>
                      <w:sz w:val="21"/>
                      <w:szCs w:val="21"/>
                    </w:rPr>
                  </w:pPr>
                  <w:r>
                    <w:rPr>
                      <w:rFonts w:hint="default" w:ascii="Times New Roman" w:hAnsi="Times New Roman" w:eastAsia="宋体" w:cs="Times New Roman"/>
                      <w:color w:val="auto"/>
                      <w:kern w:val="2"/>
                      <w:sz w:val="21"/>
                      <w:szCs w:val="21"/>
                      <w:lang w:val="en-US" w:eastAsia="zh-CN" w:bidi="ar"/>
                    </w:rPr>
                    <w:t>0.5</w:t>
                  </w:r>
                </w:p>
              </w:tc>
              <w:tc>
                <w:tcPr>
                  <w:tcW w:w="1123" w:type="dxa"/>
                  <w:vMerge w:val="restart"/>
                  <w:tcBorders>
                    <w:top w:val="nil"/>
                    <w:left w:val="nil"/>
                    <w:bottom w:val="single" w:color="auto" w:sz="4" w:space="0"/>
                    <w:right w:val="single" w:color="auto" w:sz="4" w:space="0"/>
                  </w:tcBorders>
                  <w:shd w:val="clear" w:color="auto" w:fill="auto"/>
                  <w:noWrap/>
                  <w:vAlign w:val="center"/>
                </w:tcPr>
                <w:p w14:paraId="39A203AE">
                  <w:pPr>
                    <w:keepNext w:val="0"/>
                    <w:keepLines w:val="0"/>
                    <w:widowControl w:val="0"/>
                    <w:suppressLineNumbers w:val="0"/>
                    <w:spacing w:before="0" w:beforeAutospacing="0" w:after="0" w:afterAutospacing="0"/>
                    <w:ind w:left="0" w:right="0"/>
                    <w:jc w:val="both"/>
                    <w:rPr>
                      <w:rFonts w:hint="default" w:ascii="Times New Roman" w:hAnsi="Times New Roman" w:eastAsia="宋体" w:cs="Times New Roman"/>
                      <w:color w:val="auto"/>
                      <w:kern w:val="2"/>
                      <w:sz w:val="21"/>
                      <w:szCs w:val="21"/>
                    </w:rPr>
                  </w:pPr>
                  <w:r>
                    <w:rPr>
                      <w:rFonts w:hint="eastAsia" w:ascii="宋体" w:hAnsi="宋体" w:eastAsia="宋体" w:cs="宋体"/>
                      <w:color w:val="auto"/>
                      <w:kern w:val="2"/>
                      <w:sz w:val="21"/>
                      <w:szCs w:val="21"/>
                      <w:lang w:val="en-US" w:eastAsia="zh-CN" w:bidi="ar"/>
                    </w:rPr>
                    <w:t>固化废气、背胶废气、辅料成型废气：吸附风量</w:t>
                  </w:r>
                  <w:r>
                    <w:rPr>
                      <w:rFonts w:hint="default" w:ascii="Times New Roman" w:hAnsi="Times New Roman" w:eastAsia="宋体" w:cs="Times New Roman"/>
                      <w:color w:val="auto"/>
                      <w:kern w:val="2"/>
                      <w:sz w:val="21"/>
                      <w:szCs w:val="21"/>
                      <w:lang w:val="en-US" w:eastAsia="zh-CN" w:bidi="ar"/>
                    </w:rPr>
                    <w:t>37000m</w:t>
                  </w:r>
                  <w:r>
                    <w:rPr>
                      <w:rFonts w:hint="default" w:ascii="Times New Roman" w:hAnsi="Times New Roman" w:eastAsia="宋体" w:cs="Times New Roman"/>
                      <w:color w:val="auto"/>
                      <w:kern w:val="2"/>
                      <w:sz w:val="21"/>
                      <w:szCs w:val="21"/>
                      <w:vertAlign w:val="superscript"/>
                      <w:lang w:val="en-US" w:eastAsia="zh-CN" w:bidi="ar"/>
                    </w:rPr>
                    <w:t>3</w:t>
                  </w:r>
                  <w:r>
                    <w:rPr>
                      <w:rFonts w:hint="default" w:ascii="Times New Roman" w:hAnsi="Times New Roman" w:eastAsia="宋体" w:cs="Times New Roman"/>
                      <w:color w:val="auto"/>
                      <w:kern w:val="2"/>
                      <w:sz w:val="21"/>
                      <w:szCs w:val="21"/>
                      <w:lang w:val="en-US" w:eastAsia="zh-CN" w:bidi="ar"/>
                    </w:rPr>
                    <w:t>/h</w:t>
                  </w:r>
                  <w:r>
                    <w:rPr>
                      <w:rFonts w:hint="eastAsia" w:ascii="宋体" w:hAnsi="宋体" w:eastAsia="宋体" w:cs="宋体"/>
                      <w:color w:val="auto"/>
                      <w:kern w:val="2"/>
                      <w:sz w:val="21"/>
                      <w:szCs w:val="21"/>
                      <w:lang w:val="en-US" w:eastAsia="zh-CN" w:bidi="ar"/>
                    </w:rPr>
                    <w:t>，初始浓度小于</w:t>
                  </w:r>
                  <w:r>
                    <w:rPr>
                      <w:rFonts w:hint="default" w:ascii="Times New Roman" w:hAnsi="Times New Roman" w:eastAsia="宋体" w:cs="Times New Roman"/>
                      <w:color w:val="auto"/>
                      <w:kern w:val="2"/>
                      <w:sz w:val="21"/>
                      <w:szCs w:val="21"/>
                      <w:lang w:val="en-US" w:eastAsia="zh-CN" w:bidi="ar"/>
                    </w:rPr>
                    <w:t>200</w:t>
                  </w:r>
                </w:p>
              </w:tc>
            </w:tr>
            <w:tr w14:paraId="4B6D26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4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C68B270">
                  <w:pPr>
                    <w:keepNext w:val="0"/>
                    <w:keepLines w:val="0"/>
                    <w:widowControl w:val="0"/>
                    <w:suppressLineNumbers w:val="0"/>
                    <w:spacing w:before="0" w:beforeAutospacing="0" w:after="0" w:afterAutospacing="0"/>
                    <w:ind w:left="0" w:right="0"/>
                    <w:jc w:val="center"/>
                    <w:rPr>
                      <w:rFonts w:hint="default" w:ascii="Times New Roman" w:hAnsi="Times New Roman" w:eastAsia="宋体" w:cs="Times New Roman"/>
                      <w:color w:val="auto"/>
                      <w:kern w:val="2"/>
                      <w:sz w:val="21"/>
                      <w:szCs w:val="21"/>
                    </w:rPr>
                  </w:pPr>
                  <w:r>
                    <w:rPr>
                      <w:rFonts w:hint="default" w:ascii="Times New Roman" w:hAnsi="Times New Roman" w:eastAsia="宋体" w:cs="Times New Roman"/>
                      <w:color w:val="auto"/>
                      <w:kern w:val="2"/>
                      <w:sz w:val="21"/>
                      <w:szCs w:val="21"/>
                      <w:lang w:val="en-US" w:eastAsia="zh-CN" w:bidi="ar"/>
                    </w:rPr>
                    <w:t>2</w:t>
                  </w:r>
                </w:p>
              </w:tc>
              <w:tc>
                <w:tcPr>
                  <w:tcW w:w="1766" w:type="dxa"/>
                  <w:vMerge w:val="continue"/>
                  <w:tcBorders>
                    <w:top w:val="nil"/>
                    <w:left w:val="nil"/>
                    <w:bottom w:val="single" w:color="auto" w:sz="4" w:space="0"/>
                    <w:right w:val="single" w:color="auto" w:sz="4" w:space="0"/>
                  </w:tcBorders>
                  <w:shd w:val="clear" w:color="auto" w:fill="auto"/>
                  <w:noWrap/>
                  <w:vAlign w:val="center"/>
                </w:tcPr>
                <w:p w14:paraId="19B96968">
                  <w:pPr>
                    <w:keepNext w:val="0"/>
                    <w:keepLines w:val="0"/>
                    <w:suppressLineNumbers w:val="0"/>
                    <w:spacing w:before="0" w:beforeAutospacing="0" w:after="0" w:afterAutospacing="0"/>
                    <w:ind w:left="0" w:right="0"/>
                    <w:rPr>
                      <w:rFonts w:hint="default" w:ascii="Times New Roman" w:hAnsi="Times New Roman" w:cs="Times New Roman"/>
                      <w:color w:val="auto"/>
                      <w:sz w:val="20"/>
                      <w:szCs w:val="20"/>
                    </w:rPr>
                  </w:pPr>
                </w:p>
              </w:tc>
              <w:tc>
                <w:tcPr>
                  <w:tcW w:w="1815" w:type="dxa"/>
                  <w:tcBorders>
                    <w:top w:val="single" w:color="auto" w:sz="4" w:space="0"/>
                    <w:left w:val="nil"/>
                    <w:bottom w:val="single" w:color="auto" w:sz="4" w:space="0"/>
                    <w:right w:val="single" w:color="auto" w:sz="4" w:space="0"/>
                  </w:tcBorders>
                  <w:shd w:val="clear" w:color="auto" w:fill="auto"/>
                  <w:noWrap/>
                  <w:vAlign w:val="center"/>
                </w:tcPr>
                <w:p w14:paraId="651D72B7">
                  <w:pPr>
                    <w:keepNext w:val="0"/>
                    <w:keepLines w:val="0"/>
                    <w:widowControl w:val="0"/>
                    <w:suppressLineNumbers w:val="0"/>
                    <w:spacing w:before="0" w:beforeAutospacing="0" w:after="0" w:afterAutospacing="0"/>
                    <w:ind w:left="0" w:right="0"/>
                    <w:jc w:val="center"/>
                    <w:rPr>
                      <w:rFonts w:hint="default" w:ascii="Times New Roman" w:hAnsi="Times New Roman" w:eastAsia="宋体" w:cs="Times New Roman"/>
                      <w:color w:val="auto"/>
                      <w:kern w:val="2"/>
                      <w:sz w:val="21"/>
                      <w:szCs w:val="21"/>
                    </w:rPr>
                  </w:pPr>
                  <w:r>
                    <w:rPr>
                      <w:rFonts w:hint="default" w:ascii="Times New Roman" w:hAnsi="Times New Roman" w:eastAsia="宋体" w:cs="Times New Roman"/>
                      <w:color w:val="auto"/>
                      <w:kern w:val="2"/>
                      <w:sz w:val="21"/>
                      <w:szCs w:val="21"/>
                      <w:lang w:val="en-US" w:eastAsia="zh-CN" w:bidi="ar"/>
                    </w:rPr>
                    <w:t>200~300</w:t>
                  </w:r>
                </w:p>
              </w:tc>
              <w:tc>
                <w:tcPr>
                  <w:tcW w:w="2779" w:type="dxa"/>
                  <w:tcBorders>
                    <w:top w:val="single" w:color="auto" w:sz="4" w:space="0"/>
                    <w:left w:val="nil"/>
                    <w:bottom w:val="single" w:color="auto" w:sz="4" w:space="0"/>
                    <w:right w:val="single" w:color="auto" w:sz="4" w:space="0"/>
                  </w:tcBorders>
                  <w:shd w:val="clear" w:color="auto" w:fill="auto"/>
                  <w:noWrap/>
                  <w:vAlign w:val="center"/>
                </w:tcPr>
                <w:p w14:paraId="75423F81">
                  <w:pPr>
                    <w:keepNext w:val="0"/>
                    <w:keepLines w:val="0"/>
                    <w:widowControl w:val="0"/>
                    <w:suppressLineNumbers w:val="0"/>
                    <w:spacing w:before="0" w:beforeAutospacing="0" w:after="0" w:afterAutospacing="0"/>
                    <w:ind w:left="0" w:right="0"/>
                    <w:jc w:val="center"/>
                    <w:rPr>
                      <w:rFonts w:hint="default" w:ascii="Times New Roman" w:hAnsi="Times New Roman" w:eastAsia="宋体" w:cs="Times New Roman"/>
                      <w:color w:val="auto"/>
                      <w:kern w:val="2"/>
                      <w:sz w:val="21"/>
                      <w:szCs w:val="21"/>
                    </w:rPr>
                  </w:pPr>
                  <w:r>
                    <w:rPr>
                      <w:rFonts w:hint="default" w:ascii="Times New Roman" w:hAnsi="Times New Roman" w:eastAsia="宋体" w:cs="Times New Roman"/>
                      <w:color w:val="auto"/>
                      <w:kern w:val="2"/>
                      <w:sz w:val="21"/>
                      <w:szCs w:val="21"/>
                      <w:lang w:val="en-US" w:eastAsia="zh-CN" w:bidi="ar"/>
                    </w:rPr>
                    <w:t>2</w:t>
                  </w:r>
                </w:p>
              </w:tc>
              <w:tc>
                <w:tcPr>
                  <w:tcW w:w="1123" w:type="dxa"/>
                  <w:vMerge w:val="continue"/>
                  <w:tcBorders>
                    <w:top w:val="nil"/>
                    <w:left w:val="nil"/>
                    <w:bottom w:val="single" w:color="auto" w:sz="4" w:space="0"/>
                    <w:right w:val="single" w:color="auto" w:sz="4" w:space="0"/>
                  </w:tcBorders>
                  <w:shd w:val="clear" w:color="auto" w:fill="auto"/>
                  <w:noWrap/>
                  <w:vAlign w:val="center"/>
                </w:tcPr>
                <w:p w14:paraId="090D4604">
                  <w:pPr>
                    <w:keepNext w:val="0"/>
                    <w:keepLines w:val="0"/>
                    <w:suppressLineNumbers w:val="0"/>
                    <w:spacing w:before="0" w:beforeAutospacing="0" w:after="0" w:afterAutospacing="0"/>
                    <w:ind w:left="0" w:right="0"/>
                    <w:rPr>
                      <w:rFonts w:hint="default" w:ascii="Times New Roman" w:hAnsi="Times New Roman" w:cs="Times New Roman"/>
                      <w:color w:val="auto"/>
                      <w:sz w:val="20"/>
                      <w:szCs w:val="20"/>
                    </w:rPr>
                  </w:pPr>
                </w:p>
              </w:tc>
            </w:tr>
            <w:tr w14:paraId="359A92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4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D874842">
                  <w:pPr>
                    <w:keepNext w:val="0"/>
                    <w:keepLines w:val="0"/>
                    <w:widowControl w:val="0"/>
                    <w:suppressLineNumbers w:val="0"/>
                    <w:spacing w:before="0" w:beforeAutospacing="0" w:after="0" w:afterAutospacing="0"/>
                    <w:ind w:left="0" w:right="0"/>
                    <w:jc w:val="center"/>
                    <w:rPr>
                      <w:rFonts w:hint="default" w:ascii="Times New Roman" w:hAnsi="Times New Roman" w:eastAsia="宋体" w:cs="Times New Roman"/>
                      <w:color w:val="auto"/>
                      <w:kern w:val="2"/>
                      <w:sz w:val="21"/>
                      <w:szCs w:val="21"/>
                    </w:rPr>
                  </w:pPr>
                  <w:r>
                    <w:rPr>
                      <w:rFonts w:hint="default" w:ascii="Times New Roman" w:hAnsi="Times New Roman" w:eastAsia="宋体" w:cs="Times New Roman"/>
                      <w:color w:val="auto"/>
                      <w:kern w:val="2"/>
                      <w:sz w:val="21"/>
                      <w:szCs w:val="21"/>
                      <w:lang w:val="en-US" w:eastAsia="zh-CN" w:bidi="ar"/>
                    </w:rPr>
                    <w:t>3</w:t>
                  </w:r>
                </w:p>
              </w:tc>
              <w:tc>
                <w:tcPr>
                  <w:tcW w:w="1766" w:type="dxa"/>
                  <w:vMerge w:val="continue"/>
                  <w:tcBorders>
                    <w:top w:val="nil"/>
                    <w:left w:val="nil"/>
                    <w:bottom w:val="single" w:color="auto" w:sz="4" w:space="0"/>
                    <w:right w:val="single" w:color="auto" w:sz="4" w:space="0"/>
                  </w:tcBorders>
                  <w:shd w:val="clear" w:color="auto" w:fill="auto"/>
                  <w:noWrap/>
                  <w:vAlign w:val="center"/>
                </w:tcPr>
                <w:p w14:paraId="03578FF7">
                  <w:pPr>
                    <w:keepNext w:val="0"/>
                    <w:keepLines w:val="0"/>
                    <w:suppressLineNumbers w:val="0"/>
                    <w:spacing w:before="0" w:beforeAutospacing="0" w:after="0" w:afterAutospacing="0"/>
                    <w:ind w:left="0" w:right="0"/>
                    <w:rPr>
                      <w:rFonts w:hint="default" w:ascii="Times New Roman" w:hAnsi="Times New Roman" w:cs="Times New Roman"/>
                      <w:color w:val="auto"/>
                      <w:sz w:val="20"/>
                      <w:szCs w:val="20"/>
                    </w:rPr>
                  </w:pPr>
                </w:p>
              </w:tc>
              <w:tc>
                <w:tcPr>
                  <w:tcW w:w="1815" w:type="dxa"/>
                  <w:tcBorders>
                    <w:top w:val="single" w:color="auto" w:sz="4" w:space="0"/>
                    <w:left w:val="nil"/>
                    <w:bottom w:val="single" w:color="auto" w:sz="4" w:space="0"/>
                    <w:right w:val="single" w:color="auto" w:sz="4" w:space="0"/>
                  </w:tcBorders>
                  <w:shd w:val="clear" w:color="auto" w:fill="auto"/>
                  <w:noWrap/>
                  <w:vAlign w:val="center"/>
                </w:tcPr>
                <w:p w14:paraId="0EA53060">
                  <w:pPr>
                    <w:keepNext w:val="0"/>
                    <w:keepLines w:val="0"/>
                    <w:widowControl w:val="0"/>
                    <w:suppressLineNumbers w:val="0"/>
                    <w:spacing w:before="0" w:beforeAutospacing="0" w:after="0" w:afterAutospacing="0"/>
                    <w:ind w:left="0" w:right="0"/>
                    <w:jc w:val="center"/>
                    <w:rPr>
                      <w:rFonts w:hint="default" w:ascii="Times New Roman" w:hAnsi="Times New Roman" w:eastAsia="宋体" w:cs="Times New Roman"/>
                      <w:color w:val="auto"/>
                      <w:kern w:val="2"/>
                      <w:sz w:val="21"/>
                      <w:szCs w:val="21"/>
                    </w:rPr>
                  </w:pPr>
                  <w:r>
                    <w:rPr>
                      <w:rFonts w:hint="default" w:ascii="Times New Roman" w:hAnsi="Times New Roman" w:eastAsia="宋体" w:cs="Times New Roman"/>
                      <w:color w:val="auto"/>
                      <w:kern w:val="2"/>
                      <w:sz w:val="21"/>
                      <w:szCs w:val="21"/>
                      <w:lang w:val="en-US" w:eastAsia="zh-CN" w:bidi="ar"/>
                    </w:rPr>
                    <w:t>300~400</w:t>
                  </w:r>
                </w:p>
              </w:tc>
              <w:tc>
                <w:tcPr>
                  <w:tcW w:w="2779" w:type="dxa"/>
                  <w:tcBorders>
                    <w:top w:val="single" w:color="auto" w:sz="4" w:space="0"/>
                    <w:left w:val="nil"/>
                    <w:bottom w:val="single" w:color="auto" w:sz="4" w:space="0"/>
                    <w:right w:val="single" w:color="auto" w:sz="4" w:space="0"/>
                  </w:tcBorders>
                  <w:shd w:val="clear" w:color="auto" w:fill="auto"/>
                  <w:noWrap/>
                  <w:vAlign w:val="center"/>
                </w:tcPr>
                <w:p w14:paraId="18356FE6">
                  <w:pPr>
                    <w:keepNext w:val="0"/>
                    <w:keepLines w:val="0"/>
                    <w:widowControl w:val="0"/>
                    <w:suppressLineNumbers w:val="0"/>
                    <w:spacing w:before="0" w:beforeAutospacing="0" w:after="0" w:afterAutospacing="0"/>
                    <w:ind w:left="0" w:right="0"/>
                    <w:jc w:val="center"/>
                    <w:rPr>
                      <w:rFonts w:hint="default" w:ascii="Times New Roman" w:hAnsi="Times New Roman" w:eastAsia="宋体" w:cs="Times New Roman"/>
                      <w:color w:val="auto"/>
                      <w:kern w:val="2"/>
                      <w:sz w:val="21"/>
                      <w:szCs w:val="21"/>
                    </w:rPr>
                  </w:pPr>
                  <w:r>
                    <w:rPr>
                      <w:rFonts w:hint="default" w:ascii="Times New Roman" w:hAnsi="Times New Roman" w:eastAsia="宋体" w:cs="Times New Roman"/>
                      <w:color w:val="auto"/>
                      <w:kern w:val="2"/>
                      <w:sz w:val="21"/>
                      <w:szCs w:val="21"/>
                      <w:lang w:val="en-US" w:eastAsia="zh-CN" w:bidi="ar"/>
                    </w:rPr>
                    <w:t>3</w:t>
                  </w:r>
                </w:p>
              </w:tc>
              <w:tc>
                <w:tcPr>
                  <w:tcW w:w="1123" w:type="dxa"/>
                  <w:vMerge w:val="continue"/>
                  <w:tcBorders>
                    <w:top w:val="nil"/>
                    <w:left w:val="nil"/>
                    <w:bottom w:val="single" w:color="auto" w:sz="4" w:space="0"/>
                    <w:right w:val="single" w:color="auto" w:sz="4" w:space="0"/>
                  </w:tcBorders>
                  <w:shd w:val="clear" w:color="auto" w:fill="auto"/>
                  <w:noWrap/>
                  <w:vAlign w:val="center"/>
                </w:tcPr>
                <w:p w14:paraId="1DB23864">
                  <w:pPr>
                    <w:keepNext w:val="0"/>
                    <w:keepLines w:val="0"/>
                    <w:suppressLineNumbers w:val="0"/>
                    <w:spacing w:before="0" w:beforeAutospacing="0" w:after="0" w:afterAutospacing="0"/>
                    <w:ind w:left="0" w:right="0"/>
                    <w:rPr>
                      <w:rFonts w:hint="default" w:ascii="Times New Roman" w:hAnsi="Times New Roman" w:cs="Times New Roman"/>
                      <w:color w:val="auto"/>
                      <w:sz w:val="20"/>
                      <w:szCs w:val="20"/>
                    </w:rPr>
                  </w:pPr>
                </w:p>
              </w:tc>
            </w:tr>
            <w:tr w14:paraId="421F19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3" w:hRule="atLeast"/>
                <w:jc w:val="center"/>
              </w:trPr>
              <w:tc>
                <w:tcPr>
                  <w:tcW w:w="4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E823FD8">
                  <w:pPr>
                    <w:keepNext w:val="0"/>
                    <w:keepLines w:val="0"/>
                    <w:widowControl w:val="0"/>
                    <w:suppressLineNumbers w:val="0"/>
                    <w:spacing w:before="0" w:beforeAutospacing="0" w:after="0" w:afterAutospacing="0"/>
                    <w:ind w:left="0" w:right="0"/>
                    <w:jc w:val="center"/>
                    <w:rPr>
                      <w:rFonts w:hint="default" w:ascii="Times New Roman" w:hAnsi="Times New Roman" w:eastAsia="宋体" w:cs="Times New Roman"/>
                      <w:color w:val="auto"/>
                      <w:kern w:val="2"/>
                      <w:sz w:val="21"/>
                      <w:szCs w:val="21"/>
                    </w:rPr>
                  </w:pPr>
                  <w:r>
                    <w:rPr>
                      <w:rFonts w:hint="default" w:ascii="Times New Roman" w:hAnsi="Times New Roman" w:eastAsia="宋体" w:cs="Times New Roman"/>
                      <w:color w:val="auto"/>
                      <w:kern w:val="2"/>
                      <w:sz w:val="21"/>
                      <w:szCs w:val="21"/>
                      <w:lang w:val="en-US" w:eastAsia="zh-CN" w:bidi="ar"/>
                    </w:rPr>
                    <w:t>4</w:t>
                  </w:r>
                </w:p>
              </w:tc>
              <w:tc>
                <w:tcPr>
                  <w:tcW w:w="1766" w:type="dxa"/>
                  <w:vMerge w:val="continue"/>
                  <w:tcBorders>
                    <w:top w:val="nil"/>
                    <w:left w:val="nil"/>
                    <w:bottom w:val="single" w:color="auto" w:sz="4" w:space="0"/>
                    <w:right w:val="single" w:color="auto" w:sz="4" w:space="0"/>
                  </w:tcBorders>
                  <w:shd w:val="clear" w:color="auto" w:fill="auto"/>
                  <w:noWrap/>
                  <w:vAlign w:val="center"/>
                </w:tcPr>
                <w:p w14:paraId="5BD03486">
                  <w:pPr>
                    <w:keepNext w:val="0"/>
                    <w:keepLines w:val="0"/>
                    <w:suppressLineNumbers w:val="0"/>
                    <w:spacing w:before="0" w:beforeAutospacing="0" w:after="0" w:afterAutospacing="0"/>
                    <w:ind w:left="0" w:right="0"/>
                    <w:rPr>
                      <w:rFonts w:hint="default" w:ascii="Times New Roman" w:hAnsi="Times New Roman" w:cs="Times New Roman"/>
                      <w:color w:val="auto"/>
                      <w:sz w:val="20"/>
                      <w:szCs w:val="20"/>
                    </w:rPr>
                  </w:pPr>
                </w:p>
              </w:tc>
              <w:tc>
                <w:tcPr>
                  <w:tcW w:w="1815" w:type="dxa"/>
                  <w:tcBorders>
                    <w:top w:val="single" w:color="auto" w:sz="4" w:space="0"/>
                    <w:left w:val="nil"/>
                    <w:bottom w:val="single" w:color="auto" w:sz="4" w:space="0"/>
                    <w:right w:val="single" w:color="auto" w:sz="4" w:space="0"/>
                  </w:tcBorders>
                  <w:shd w:val="clear" w:color="auto" w:fill="auto"/>
                  <w:noWrap/>
                  <w:vAlign w:val="center"/>
                </w:tcPr>
                <w:p w14:paraId="45D7C957">
                  <w:pPr>
                    <w:keepNext w:val="0"/>
                    <w:keepLines w:val="0"/>
                    <w:widowControl w:val="0"/>
                    <w:suppressLineNumbers w:val="0"/>
                    <w:spacing w:before="0" w:beforeAutospacing="0" w:after="0" w:afterAutospacing="0"/>
                    <w:ind w:left="0" w:right="0"/>
                    <w:jc w:val="center"/>
                    <w:rPr>
                      <w:rFonts w:hint="default" w:ascii="Times New Roman" w:hAnsi="Times New Roman" w:eastAsia="宋体" w:cs="Times New Roman"/>
                      <w:color w:val="auto"/>
                      <w:kern w:val="2"/>
                      <w:sz w:val="21"/>
                      <w:szCs w:val="21"/>
                    </w:rPr>
                  </w:pPr>
                  <w:r>
                    <w:rPr>
                      <w:rFonts w:hint="default" w:ascii="Times New Roman" w:hAnsi="Times New Roman" w:eastAsia="宋体" w:cs="Times New Roman"/>
                      <w:color w:val="auto"/>
                      <w:kern w:val="2"/>
                      <w:sz w:val="21"/>
                      <w:szCs w:val="21"/>
                      <w:lang w:val="en-US" w:eastAsia="zh-CN" w:bidi="ar"/>
                    </w:rPr>
                    <w:t>400~500</w:t>
                  </w:r>
                </w:p>
              </w:tc>
              <w:tc>
                <w:tcPr>
                  <w:tcW w:w="2779" w:type="dxa"/>
                  <w:tcBorders>
                    <w:top w:val="single" w:color="auto" w:sz="4" w:space="0"/>
                    <w:left w:val="nil"/>
                    <w:bottom w:val="single" w:color="auto" w:sz="4" w:space="0"/>
                    <w:right w:val="single" w:color="auto" w:sz="4" w:space="0"/>
                  </w:tcBorders>
                  <w:shd w:val="clear" w:color="auto" w:fill="auto"/>
                  <w:noWrap/>
                  <w:vAlign w:val="center"/>
                </w:tcPr>
                <w:p w14:paraId="6339808C">
                  <w:pPr>
                    <w:keepNext w:val="0"/>
                    <w:keepLines w:val="0"/>
                    <w:widowControl w:val="0"/>
                    <w:suppressLineNumbers w:val="0"/>
                    <w:spacing w:before="0" w:beforeAutospacing="0" w:after="0" w:afterAutospacing="0"/>
                    <w:ind w:left="0" w:right="0"/>
                    <w:jc w:val="center"/>
                    <w:rPr>
                      <w:rFonts w:hint="default" w:ascii="Times New Roman" w:hAnsi="Times New Roman" w:eastAsia="宋体" w:cs="Times New Roman"/>
                      <w:color w:val="auto"/>
                      <w:kern w:val="2"/>
                      <w:sz w:val="21"/>
                      <w:szCs w:val="21"/>
                    </w:rPr>
                  </w:pPr>
                  <w:r>
                    <w:rPr>
                      <w:rFonts w:hint="default" w:ascii="Times New Roman" w:hAnsi="Times New Roman" w:eastAsia="宋体" w:cs="Times New Roman"/>
                      <w:color w:val="auto"/>
                      <w:kern w:val="2"/>
                      <w:sz w:val="21"/>
                      <w:szCs w:val="21"/>
                      <w:lang w:val="en-US" w:eastAsia="zh-CN" w:bidi="ar"/>
                    </w:rPr>
                    <w:t>4</w:t>
                  </w:r>
                </w:p>
              </w:tc>
              <w:tc>
                <w:tcPr>
                  <w:tcW w:w="1123" w:type="dxa"/>
                  <w:vMerge w:val="continue"/>
                  <w:tcBorders>
                    <w:top w:val="nil"/>
                    <w:left w:val="nil"/>
                    <w:bottom w:val="single" w:color="auto" w:sz="4" w:space="0"/>
                    <w:right w:val="single" w:color="auto" w:sz="4" w:space="0"/>
                  </w:tcBorders>
                  <w:shd w:val="clear" w:color="auto" w:fill="auto"/>
                  <w:noWrap/>
                  <w:vAlign w:val="center"/>
                </w:tcPr>
                <w:p w14:paraId="3FAFA3A6">
                  <w:pPr>
                    <w:keepNext w:val="0"/>
                    <w:keepLines w:val="0"/>
                    <w:suppressLineNumbers w:val="0"/>
                    <w:spacing w:before="0" w:beforeAutospacing="0" w:after="0" w:afterAutospacing="0"/>
                    <w:ind w:left="0" w:right="0"/>
                    <w:rPr>
                      <w:rFonts w:hint="default" w:ascii="Times New Roman" w:hAnsi="Times New Roman" w:cs="Times New Roman"/>
                      <w:color w:val="auto"/>
                      <w:sz w:val="20"/>
                      <w:szCs w:val="20"/>
                    </w:rPr>
                  </w:pPr>
                </w:p>
              </w:tc>
            </w:tr>
            <w:tr w14:paraId="01BDEC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4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F289092">
                  <w:pPr>
                    <w:keepNext w:val="0"/>
                    <w:keepLines w:val="0"/>
                    <w:widowControl w:val="0"/>
                    <w:suppressLineNumbers w:val="0"/>
                    <w:spacing w:before="0" w:beforeAutospacing="0" w:after="0" w:afterAutospacing="0"/>
                    <w:ind w:left="0" w:right="0"/>
                    <w:jc w:val="center"/>
                    <w:rPr>
                      <w:rFonts w:hint="default" w:ascii="Times New Roman" w:hAnsi="Times New Roman" w:eastAsia="宋体" w:cs="Times New Roman"/>
                      <w:color w:val="auto"/>
                      <w:kern w:val="2"/>
                      <w:sz w:val="21"/>
                      <w:szCs w:val="21"/>
                    </w:rPr>
                  </w:pPr>
                  <w:r>
                    <w:rPr>
                      <w:rFonts w:hint="default" w:ascii="Times New Roman" w:hAnsi="Times New Roman" w:eastAsia="宋体" w:cs="Times New Roman"/>
                      <w:color w:val="auto"/>
                      <w:kern w:val="2"/>
                      <w:sz w:val="21"/>
                      <w:szCs w:val="21"/>
                      <w:lang w:val="en-US" w:eastAsia="zh-CN" w:bidi="ar"/>
                    </w:rPr>
                    <w:t>5</w:t>
                  </w:r>
                </w:p>
              </w:tc>
              <w:tc>
                <w:tcPr>
                  <w:tcW w:w="1766" w:type="dxa"/>
                  <w:vMerge w:val="restart"/>
                  <w:tcBorders>
                    <w:top w:val="nil"/>
                    <w:left w:val="nil"/>
                    <w:bottom w:val="single" w:color="auto" w:sz="4" w:space="0"/>
                    <w:right w:val="single" w:color="auto" w:sz="4" w:space="0"/>
                  </w:tcBorders>
                  <w:shd w:val="clear" w:color="auto" w:fill="auto"/>
                  <w:noWrap/>
                  <w:vAlign w:val="center"/>
                </w:tcPr>
                <w:p w14:paraId="38F5764E">
                  <w:pPr>
                    <w:keepNext w:val="0"/>
                    <w:keepLines w:val="0"/>
                    <w:widowControl w:val="0"/>
                    <w:suppressLineNumbers w:val="0"/>
                    <w:spacing w:before="0" w:beforeAutospacing="0" w:after="0" w:afterAutospacing="0"/>
                    <w:ind w:left="0" w:right="0"/>
                    <w:jc w:val="center"/>
                    <w:rPr>
                      <w:rFonts w:hint="default" w:ascii="Times New Roman" w:hAnsi="Times New Roman" w:eastAsia="宋体" w:cs="Times New Roman"/>
                      <w:color w:val="auto"/>
                      <w:kern w:val="2"/>
                      <w:sz w:val="21"/>
                      <w:szCs w:val="21"/>
                    </w:rPr>
                  </w:pPr>
                  <w:r>
                    <w:rPr>
                      <w:rFonts w:hint="default" w:ascii="Times New Roman" w:hAnsi="Times New Roman" w:eastAsia="宋体" w:cs="Times New Roman"/>
                      <w:color w:val="auto"/>
                      <w:kern w:val="2"/>
                      <w:sz w:val="21"/>
                      <w:szCs w:val="21"/>
                      <w:lang w:val="en-US" w:eastAsia="zh-CN" w:bidi="ar"/>
                    </w:rPr>
                    <w:t>5000≤Q&lt;10000</w:t>
                  </w:r>
                </w:p>
              </w:tc>
              <w:tc>
                <w:tcPr>
                  <w:tcW w:w="1815" w:type="dxa"/>
                  <w:tcBorders>
                    <w:top w:val="single" w:color="auto" w:sz="4" w:space="0"/>
                    <w:left w:val="nil"/>
                    <w:bottom w:val="single" w:color="auto" w:sz="4" w:space="0"/>
                    <w:right w:val="single" w:color="auto" w:sz="4" w:space="0"/>
                  </w:tcBorders>
                  <w:shd w:val="clear" w:color="auto" w:fill="auto"/>
                  <w:noWrap/>
                  <w:vAlign w:val="center"/>
                </w:tcPr>
                <w:p w14:paraId="2AB880B9">
                  <w:pPr>
                    <w:keepNext w:val="0"/>
                    <w:keepLines w:val="0"/>
                    <w:widowControl w:val="0"/>
                    <w:suppressLineNumbers w:val="0"/>
                    <w:spacing w:before="0" w:beforeAutospacing="0" w:after="0" w:afterAutospacing="0"/>
                    <w:ind w:left="0" w:right="0"/>
                    <w:jc w:val="center"/>
                    <w:rPr>
                      <w:rFonts w:hint="default" w:ascii="Times New Roman" w:hAnsi="Times New Roman" w:eastAsia="宋体" w:cs="Times New Roman"/>
                      <w:color w:val="auto"/>
                      <w:kern w:val="2"/>
                      <w:sz w:val="21"/>
                      <w:szCs w:val="21"/>
                    </w:rPr>
                  </w:pPr>
                  <w:r>
                    <w:rPr>
                      <w:rFonts w:hint="default" w:ascii="Times New Roman" w:hAnsi="Times New Roman" w:eastAsia="宋体" w:cs="Times New Roman"/>
                      <w:color w:val="auto"/>
                      <w:kern w:val="2"/>
                      <w:sz w:val="21"/>
                      <w:szCs w:val="21"/>
                      <w:lang w:val="en-US" w:eastAsia="zh-CN" w:bidi="ar"/>
                    </w:rPr>
                    <w:t>0~200</w:t>
                  </w:r>
                </w:p>
              </w:tc>
              <w:tc>
                <w:tcPr>
                  <w:tcW w:w="2779" w:type="dxa"/>
                  <w:tcBorders>
                    <w:top w:val="single" w:color="auto" w:sz="4" w:space="0"/>
                    <w:left w:val="nil"/>
                    <w:bottom w:val="single" w:color="auto" w:sz="4" w:space="0"/>
                    <w:right w:val="single" w:color="auto" w:sz="4" w:space="0"/>
                  </w:tcBorders>
                  <w:shd w:val="clear" w:color="auto" w:fill="auto"/>
                  <w:noWrap/>
                  <w:vAlign w:val="center"/>
                </w:tcPr>
                <w:p w14:paraId="08167310">
                  <w:pPr>
                    <w:keepNext w:val="0"/>
                    <w:keepLines w:val="0"/>
                    <w:widowControl w:val="0"/>
                    <w:suppressLineNumbers w:val="0"/>
                    <w:spacing w:before="0" w:beforeAutospacing="0" w:after="0" w:afterAutospacing="0"/>
                    <w:ind w:left="0" w:right="0"/>
                    <w:jc w:val="center"/>
                    <w:rPr>
                      <w:rFonts w:hint="default" w:ascii="Times New Roman" w:hAnsi="Times New Roman" w:eastAsia="宋体" w:cs="Times New Roman"/>
                      <w:color w:val="auto"/>
                      <w:kern w:val="2"/>
                      <w:sz w:val="21"/>
                      <w:szCs w:val="21"/>
                    </w:rPr>
                  </w:pPr>
                  <w:r>
                    <w:rPr>
                      <w:rFonts w:hint="default" w:ascii="Times New Roman" w:hAnsi="Times New Roman" w:eastAsia="宋体" w:cs="Times New Roman"/>
                      <w:color w:val="auto"/>
                      <w:kern w:val="2"/>
                      <w:sz w:val="21"/>
                      <w:szCs w:val="21"/>
                      <w:lang w:val="en-US" w:eastAsia="zh-CN" w:bidi="ar"/>
                    </w:rPr>
                    <w:t>1</w:t>
                  </w:r>
                </w:p>
              </w:tc>
              <w:tc>
                <w:tcPr>
                  <w:tcW w:w="1123" w:type="dxa"/>
                  <w:vMerge w:val="continue"/>
                  <w:tcBorders>
                    <w:top w:val="nil"/>
                    <w:left w:val="nil"/>
                    <w:bottom w:val="single" w:color="auto" w:sz="4" w:space="0"/>
                    <w:right w:val="single" w:color="auto" w:sz="4" w:space="0"/>
                  </w:tcBorders>
                  <w:shd w:val="clear" w:color="auto" w:fill="auto"/>
                  <w:noWrap/>
                  <w:vAlign w:val="center"/>
                </w:tcPr>
                <w:p w14:paraId="5D7F7857">
                  <w:pPr>
                    <w:keepNext w:val="0"/>
                    <w:keepLines w:val="0"/>
                    <w:suppressLineNumbers w:val="0"/>
                    <w:spacing w:before="0" w:beforeAutospacing="0" w:after="0" w:afterAutospacing="0"/>
                    <w:ind w:left="0" w:right="0"/>
                    <w:rPr>
                      <w:rFonts w:hint="default" w:ascii="Times New Roman" w:hAnsi="Times New Roman" w:cs="Times New Roman"/>
                      <w:color w:val="auto"/>
                      <w:sz w:val="20"/>
                      <w:szCs w:val="20"/>
                    </w:rPr>
                  </w:pPr>
                </w:p>
              </w:tc>
            </w:tr>
            <w:tr w14:paraId="51364B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397" w:hRule="atLeast"/>
                <w:jc w:val="center"/>
              </w:trPr>
              <w:tc>
                <w:tcPr>
                  <w:tcW w:w="4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FE07AAC">
                  <w:pPr>
                    <w:keepNext w:val="0"/>
                    <w:keepLines w:val="0"/>
                    <w:widowControl w:val="0"/>
                    <w:suppressLineNumbers w:val="0"/>
                    <w:spacing w:before="0" w:beforeAutospacing="0" w:after="0" w:afterAutospacing="0"/>
                    <w:ind w:left="0" w:right="0"/>
                    <w:jc w:val="center"/>
                    <w:rPr>
                      <w:rFonts w:hint="default" w:ascii="Times New Roman" w:hAnsi="Times New Roman" w:eastAsia="宋体" w:cs="Times New Roman"/>
                      <w:color w:val="auto"/>
                      <w:kern w:val="2"/>
                      <w:sz w:val="21"/>
                      <w:szCs w:val="21"/>
                    </w:rPr>
                  </w:pPr>
                  <w:r>
                    <w:rPr>
                      <w:rFonts w:hint="default" w:ascii="Times New Roman" w:hAnsi="Times New Roman" w:eastAsia="宋体" w:cs="Times New Roman"/>
                      <w:color w:val="auto"/>
                      <w:kern w:val="2"/>
                      <w:sz w:val="21"/>
                      <w:szCs w:val="21"/>
                      <w:lang w:val="en-US" w:eastAsia="zh-CN" w:bidi="ar"/>
                    </w:rPr>
                    <w:t>6</w:t>
                  </w:r>
                </w:p>
              </w:tc>
              <w:tc>
                <w:tcPr>
                  <w:tcW w:w="1766" w:type="dxa"/>
                  <w:vMerge w:val="continue"/>
                  <w:tcBorders>
                    <w:top w:val="nil"/>
                    <w:left w:val="nil"/>
                    <w:bottom w:val="single" w:color="auto" w:sz="4" w:space="0"/>
                    <w:right w:val="single" w:color="auto" w:sz="4" w:space="0"/>
                  </w:tcBorders>
                  <w:shd w:val="clear" w:color="auto" w:fill="auto"/>
                  <w:noWrap/>
                  <w:vAlign w:val="center"/>
                </w:tcPr>
                <w:p w14:paraId="15C6F2A6">
                  <w:pPr>
                    <w:keepNext w:val="0"/>
                    <w:keepLines w:val="0"/>
                    <w:suppressLineNumbers w:val="0"/>
                    <w:spacing w:before="0" w:beforeAutospacing="0" w:after="0" w:afterAutospacing="0"/>
                    <w:ind w:left="0" w:right="0"/>
                    <w:rPr>
                      <w:rFonts w:hint="default" w:ascii="Times New Roman" w:hAnsi="Times New Roman" w:cs="Times New Roman"/>
                      <w:color w:val="auto"/>
                      <w:sz w:val="20"/>
                      <w:szCs w:val="20"/>
                    </w:rPr>
                  </w:pPr>
                </w:p>
              </w:tc>
              <w:tc>
                <w:tcPr>
                  <w:tcW w:w="1815" w:type="dxa"/>
                  <w:tcBorders>
                    <w:top w:val="single" w:color="auto" w:sz="4" w:space="0"/>
                    <w:left w:val="nil"/>
                    <w:bottom w:val="single" w:color="auto" w:sz="4" w:space="0"/>
                    <w:right w:val="single" w:color="auto" w:sz="4" w:space="0"/>
                  </w:tcBorders>
                  <w:shd w:val="clear" w:color="auto" w:fill="auto"/>
                  <w:noWrap/>
                  <w:vAlign w:val="center"/>
                </w:tcPr>
                <w:p w14:paraId="650792C8">
                  <w:pPr>
                    <w:keepNext w:val="0"/>
                    <w:keepLines w:val="0"/>
                    <w:widowControl w:val="0"/>
                    <w:suppressLineNumbers w:val="0"/>
                    <w:spacing w:before="0" w:beforeAutospacing="0" w:after="0" w:afterAutospacing="0"/>
                    <w:ind w:left="0" w:right="0"/>
                    <w:jc w:val="center"/>
                    <w:rPr>
                      <w:rFonts w:hint="default" w:ascii="Times New Roman" w:hAnsi="Times New Roman" w:eastAsia="宋体" w:cs="Times New Roman"/>
                      <w:color w:val="auto"/>
                      <w:kern w:val="2"/>
                      <w:sz w:val="21"/>
                      <w:szCs w:val="21"/>
                    </w:rPr>
                  </w:pPr>
                  <w:r>
                    <w:rPr>
                      <w:rFonts w:hint="default" w:ascii="Times New Roman" w:hAnsi="Times New Roman" w:eastAsia="宋体" w:cs="Times New Roman"/>
                      <w:color w:val="auto"/>
                      <w:kern w:val="2"/>
                      <w:sz w:val="21"/>
                      <w:szCs w:val="21"/>
                      <w:lang w:val="en-US" w:eastAsia="zh-CN" w:bidi="ar"/>
                    </w:rPr>
                    <w:t>200~300</w:t>
                  </w:r>
                </w:p>
              </w:tc>
              <w:tc>
                <w:tcPr>
                  <w:tcW w:w="2779" w:type="dxa"/>
                  <w:tcBorders>
                    <w:top w:val="single" w:color="auto" w:sz="4" w:space="0"/>
                    <w:left w:val="nil"/>
                    <w:bottom w:val="single" w:color="auto" w:sz="4" w:space="0"/>
                    <w:right w:val="single" w:color="auto" w:sz="4" w:space="0"/>
                  </w:tcBorders>
                  <w:shd w:val="clear" w:color="auto" w:fill="auto"/>
                  <w:noWrap/>
                  <w:vAlign w:val="center"/>
                </w:tcPr>
                <w:p w14:paraId="6B479ED4">
                  <w:pPr>
                    <w:keepNext w:val="0"/>
                    <w:keepLines w:val="0"/>
                    <w:widowControl w:val="0"/>
                    <w:suppressLineNumbers w:val="0"/>
                    <w:spacing w:before="0" w:beforeAutospacing="0" w:after="0" w:afterAutospacing="0"/>
                    <w:ind w:left="0" w:right="0"/>
                    <w:jc w:val="center"/>
                    <w:rPr>
                      <w:rFonts w:hint="default" w:ascii="Times New Roman" w:hAnsi="Times New Roman" w:eastAsia="宋体" w:cs="Times New Roman"/>
                      <w:color w:val="auto"/>
                      <w:kern w:val="2"/>
                      <w:sz w:val="21"/>
                      <w:szCs w:val="21"/>
                    </w:rPr>
                  </w:pPr>
                  <w:r>
                    <w:rPr>
                      <w:rFonts w:hint="default" w:ascii="Times New Roman" w:hAnsi="Times New Roman" w:eastAsia="宋体" w:cs="Times New Roman"/>
                      <w:color w:val="auto"/>
                      <w:kern w:val="2"/>
                      <w:sz w:val="21"/>
                      <w:szCs w:val="21"/>
                      <w:lang w:val="en-US" w:eastAsia="zh-CN" w:bidi="ar"/>
                    </w:rPr>
                    <w:t>3</w:t>
                  </w:r>
                </w:p>
              </w:tc>
              <w:tc>
                <w:tcPr>
                  <w:tcW w:w="1123" w:type="dxa"/>
                  <w:vMerge w:val="continue"/>
                  <w:tcBorders>
                    <w:top w:val="nil"/>
                    <w:left w:val="nil"/>
                    <w:bottom w:val="single" w:color="auto" w:sz="4" w:space="0"/>
                    <w:right w:val="single" w:color="auto" w:sz="4" w:space="0"/>
                  </w:tcBorders>
                  <w:shd w:val="clear" w:color="auto" w:fill="auto"/>
                  <w:noWrap/>
                  <w:vAlign w:val="center"/>
                </w:tcPr>
                <w:p w14:paraId="7B12BCE5">
                  <w:pPr>
                    <w:keepNext w:val="0"/>
                    <w:keepLines w:val="0"/>
                    <w:suppressLineNumbers w:val="0"/>
                    <w:spacing w:before="0" w:beforeAutospacing="0" w:after="0" w:afterAutospacing="0"/>
                    <w:ind w:left="0" w:right="0"/>
                    <w:rPr>
                      <w:rFonts w:hint="default" w:ascii="Times New Roman" w:hAnsi="Times New Roman" w:cs="Times New Roman"/>
                      <w:color w:val="auto"/>
                      <w:sz w:val="20"/>
                      <w:szCs w:val="20"/>
                    </w:rPr>
                  </w:pPr>
                </w:p>
              </w:tc>
            </w:tr>
            <w:tr w14:paraId="7923C3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397" w:hRule="atLeast"/>
                <w:jc w:val="center"/>
              </w:trPr>
              <w:tc>
                <w:tcPr>
                  <w:tcW w:w="4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AE9FE9F">
                  <w:pPr>
                    <w:keepNext w:val="0"/>
                    <w:keepLines w:val="0"/>
                    <w:widowControl w:val="0"/>
                    <w:suppressLineNumbers w:val="0"/>
                    <w:spacing w:before="0" w:beforeAutospacing="0" w:after="0" w:afterAutospacing="0"/>
                    <w:ind w:left="0" w:right="0"/>
                    <w:jc w:val="center"/>
                    <w:rPr>
                      <w:rFonts w:hint="default" w:ascii="Times New Roman" w:hAnsi="Times New Roman" w:eastAsia="宋体" w:cs="Times New Roman"/>
                      <w:color w:val="auto"/>
                      <w:kern w:val="2"/>
                      <w:sz w:val="21"/>
                      <w:szCs w:val="21"/>
                    </w:rPr>
                  </w:pPr>
                  <w:r>
                    <w:rPr>
                      <w:rFonts w:hint="default" w:ascii="Times New Roman" w:hAnsi="Times New Roman" w:eastAsia="宋体" w:cs="Times New Roman"/>
                      <w:color w:val="auto"/>
                      <w:kern w:val="2"/>
                      <w:sz w:val="21"/>
                      <w:szCs w:val="21"/>
                      <w:lang w:val="en-US" w:eastAsia="zh-CN" w:bidi="ar"/>
                    </w:rPr>
                    <w:t>7</w:t>
                  </w:r>
                </w:p>
              </w:tc>
              <w:tc>
                <w:tcPr>
                  <w:tcW w:w="1766" w:type="dxa"/>
                  <w:vMerge w:val="continue"/>
                  <w:tcBorders>
                    <w:top w:val="nil"/>
                    <w:left w:val="nil"/>
                    <w:bottom w:val="single" w:color="auto" w:sz="4" w:space="0"/>
                    <w:right w:val="single" w:color="auto" w:sz="4" w:space="0"/>
                  </w:tcBorders>
                  <w:shd w:val="clear" w:color="auto" w:fill="auto"/>
                  <w:noWrap/>
                  <w:vAlign w:val="center"/>
                </w:tcPr>
                <w:p w14:paraId="4B7B46DB">
                  <w:pPr>
                    <w:keepNext w:val="0"/>
                    <w:keepLines w:val="0"/>
                    <w:suppressLineNumbers w:val="0"/>
                    <w:spacing w:before="0" w:beforeAutospacing="0" w:after="0" w:afterAutospacing="0"/>
                    <w:ind w:left="0" w:right="0"/>
                    <w:rPr>
                      <w:rFonts w:hint="default" w:ascii="Times New Roman" w:hAnsi="Times New Roman" w:cs="Times New Roman"/>
                      <w:color w:val="auto"/>
                      <w:sz w:val="20"/>
                      <w:szCs w:val="20"/>
                    </w:rPr>
                  </w:pPr>
                </w:p>
              </w:tc>
              <w:tc>
                <w:tcPr>
                  <w:tcW w:w="1815" w:type="dxa"/>
                  <w:tcBorders>
                    <w:top w:val="single" w:color="auto" w:sz="4" w:space="0"/>
                    <w:left w:val="nil"/>
                    <w:bottom w:val="single" w:color="auto" w:sz="4" w:space="0"/>
                    <w:right w:val="single" w:color="auto" w:sz="4" w:space="0"/>
                  </w:tcBorders>
                  <w:shd w:val="clear" w:color="auto" w:fill="auto"/>
                  <w:noWrap/>
                  <w:vAlign w:val="center"/>
                </w:tcPr>
                <w:p w14:paraId="47346F92">
                  <w:pPr>
                    <w:keepNext w:val="0"/>
                    <w:keepLines w:val="0"/>
                    <w:widowControl w:val="0"/>
                    <w:suppressLineNumbers w:val="0"/>
                    <w:spacing w:before="0" w:beforeAutospacing="0" w:after="0" w:afterAutospacing="0"/>
                    <w:ind w:left="0" w:right="0"/>
                    <w:jc w:val="center"/>
                    <w:rPr>
                      <w:rFonts w:hint="default" w:ascii="Times New Roman" w:hAnsi="Times New Roman" w:eastAsia="宋体" w:cs="Times New Roman"/>
                      <w:color w:val="auto"/>
                      <w:kern w:val="2"/>
                      <w:sz w:val="21"/>
                      <w:szCs w:val="21"/>
                    </w:rPr>
                  </w:pPr>
                  <w:r>
                    <w:rPr>
                      <w:rFonts w:hint="default" w:ascii="Times New Roman" w:hAnsi="Times New Roman" w:eastAsia="宋体" w:cs="Times New Roman"/>
                      <w:color w:val="auto"/>
                      <w:kern w:val="2"/>
                      <w:sz w:val="21"/>
                      <w:szCs w:val="21"/>
                      <w:lang w:val="en-US" w:eastAsia="zh-CN" w:bidi="ar"/>
                    </w:rPr>
                    <w:t>300~400</w:t>
                  </w:r>
                </w:p>
              </w:tc>
              <w:tc>
                <w:tcPr>
                  <w:tcW w:w="2779" w:type="dxa"/>
                  <w:tcBorders>
                    <w:top w:val="single" w:color="auto" w:sz="4" w:space="0"/>
                    <w:left w:val="nil"/>
                    <w:bottom w:val="single" w:color="auto" w:sz="4" w:space="0"/>
                    <w:right w:val="single" w:color="auto" w:sz="4" w:space="0"/>
                  </w:tcBorders>
                  <w:shd w:val="clear" w:color="auto" w:fill="auto"/>
                  <w:noWrap/>
                  <w:vAlign w:val="center"/>
                </w:tcPr>
                <w:p w14:paraId="333057EF">
                  <w:pPr>
                    <w:keepNext w:val="0"/>
                    <w:keepLines w:val="0"/>
                    <w:widowControl w:val="0"/>
                    <w:suppressLineNumbers w:val="0"/>
                    <w:spacing w:before="0" w:beforeAutospacing="0" w:after="0" w:afterAutospacing="0"/>
                    <w:ind w:left="0" w:right="0"/>
                    <w:jc w:val="center"/>
                    <w:rPr>
                      <w:rFonts w:hint="default" w:ascii="Times New Roman" w:hAnsi="Times New Roman" w:eastAsia="宋体" w:cs="Times New Roman"/>
                      <w:color w:val="auto"/>
                      <w:kern w:val="2"/>
                      <w:sz w:val="21"/>
                      <w:szCs w:val="21"/>
                    </w:rPr>
                  </w:pPr>
                  <w:r>
                    <w:rPr>
                      <w:rFonts w:hint="default" w:ascii="Times New Roman" w:hAnsi="Times New Roman" w:eastAsia="宋体" w:cs="Times New Roman"/>
                      <w:color w:val="auto"/>
                      <w:kern w:val="2"/>
                      <w:sz w:val="21"/>
                      <w:szCs w:val="21"/>
                      <w:lang w:val="en-US" w:eastAsia="zh-CN" w:bidi="ar"/>
                    </w:rPr>
                    <w:t>5</w:t>
                  </w:r>
                </w:p>
              </w:tc>
              <w:tc>
                <w:tcPr>
                  <w:tcW w:w="1123" w:type="dxa"/>
                  <w:vMerge w:val="continue"/>
                  <w:tcBorders>
                    <w:top w:val="nil"/>
                    <w:left w:val="nil"/>
                    <w:bottom w:val="single" w:color="auto" w:sz="4" w:space="0"/>
                    <w:right w:val="single" w:color="auto" w:sz="4" w:space="0"/>
                  </w:tcBorders>
                  <w:shd w:val="clear" w:color="auto" w:fill="auto"/>
                  <w:noWrap/>
                  <w:vAlign w:val="center"/>
                </w:tcPr>
                <w:p w14:paraId="4F05CD7B">
                  <w:pPr>
                    <w:keepNext w:val="0"/>
                    <w:keepLines w:val="0"/>
                    <w:suppressLineNumbers w:val="0"/>
                    <w:spacing w:before="0" w:beforeAutospacing="0" w:after="0" w:afterAutospacing="0"/>
                    <w:ind w:left="0" w:right="0"/>
                    <w:rPr>
                      <w:rFonts w:hint="default" w:ascii="Times New Roman" w:hAnsi="Times New Roman" w:cs="Times New Roman"/>
                      <w:color w:val="auto"/>
                      <w:sz w:val="20"/>
                      <w:szCs w:val="20"/>
                    </w:rPr>
                  </w:pPr>
                </w:p>
              </w:tc>
            </w:tr>
            <w:tr w14:paraId="1C1038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397" w:hRule="atLeast"/>
                <w:jc w:val="center"/>
              </w:trPr>
              <w:tc>
                <w:tcPr>
                  <w:tcW w:w="4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A1729D9">
                  <w:pPr>
                    <w:keepNext w:val="0"/>
                    <w:keepLines w:val="0"/>
                    <w:widowControl w:val="0"/>
                    <w:suppressLineNumbers w:val="0"/>
                    <w:spacing w:before="0" w:beforeAutospacing="0" w:after="0" w:afterAutospacing="0"/>
                    <w:ind w:left="0" w:right="0"/>
                    <w:jc w:val="center"/>
                    <w:rPr>
                      <w:rFonts w:hint="default" w:ascii="Times New Roman" w:hAnsi="Times New Roman" w:eastAsia="宋体" w:cs="Times New Roman"/>
                      <w:color w:val="auto"/>
                      <w:kern w:val="2"/>
                      <w:sz w:val="21"/>
                      <w:szCs w:val="21"/>
                    </w:rPr>
                  </w:pPr>
                  <w:r>
                    <w:rPr>
                      <w:rFonts w:hint="default" w:ascii="Times New Roman" w:hAnsi="Times New Roman" w:eastAsia="宋体" w:cs="Times New Roman"/>
                      <w:color w:val="auto"/>
                      <w:kern w:val="2"/>
                      <w:sz w:val="21"/>
                      <w:szCs w:val="21"/>
                      <w:lang w:val="en-US" w:eastAsia="zh-CN" w:bidi="ar"/>
                    </w:rPr>
                    <w:t>8</w:t>
                  </w:r>
                </w:p>
              </w:tc>
              <w:tc>
                <w:tcPr>
                  <w:tcW w:w="1766" w:type="dxa"/>
                  <w:vMerge w:val="continue"/>
                  <w:tcBorders>
                    <w:top w:val="nil"/>
                    <w:left w:val="nil"/>
                    <w:bottom w:val="single" w:color="auto" w:sz="4" w:space="0"/>
                    <w:right w:val="single" w:color="auto" w:sz="4" w:space="0"/>
                  </w:tcBorders>
                  <w:shd w:val="clear" w:color="auto" w:fill="auto"/>
                  <w:noWrap/>
                  <w:vAlign w:val="center"/>
                </w:tcPr>
                <w:p w14:paraId="266D6929">
                  <w:pPr>
                    <w:keepNext w:val="0"/>
                    <w:keepLines w:val="0"/>
                    <w:suppressLineNumbers w:val="0"/>
                    <w:spacing w:before="0" w:beforeAutospacing="0" w:after="0" w:afterAutospacing="0"/>
                    <w:ind w:left="0" w:right="0"/>
                    <w:rPr>
                      <w:rFonts w:hint="default" w:ascii="Times New Roman" w:hAnsi="Times New Roman" w:cs="Times New Roman"/>
                      <w:color w:val="auto"/>
                      <w:sz w:val="20"/>
                      <w:szCs w:val="20"/>
                    </w:rPr>
                  </w:pPr>
                </w:p>
              </w:tc>
              <w:tc>
                <w:tcPr>
                  <w:tcW w:w="1815" w:type="dxa"/>
                  <w:tcBorders>
                    <w:top w:val="single" w:color="auto" w:sz="4" w:space="0"/>
                    <w:left w:val="nil"/>
                    <w:bottom w:val="single" w:color="auto" w:sz="4" w:space="0"/>
                    <w:right w:val="single" w:color="auto" w:sz="4" w:space="0"/>
                  </w:tcBorders>
                  <w:shd w:val="clear" w:color="auto" w:fill="auto"/>
                  <w:noWrap/>
                  <w:vAlign w:val="center"/>
                </w:tcPr>
                <w:p w14:paraId="14BEE521">
                  <w:pPr>
                    <w:keepNext w:val="0"/>
                    <w:keepLines w:val="0"/>
                    <w:widowControl w:val="0"/>
                    <w:suppressLineNumbers w:val="0"/>
                    <w:spacing w:before="0" w:beforeAutospacing="0" w:after="0" w:afterAutospacing="0"/>
                    <w:ind w:left="0" w:right="0"/>
                    <w:jc w:val="center"/>
                    <w:rPr>
                      <w:rFonts w:hint="default" w:ascii="Times New Roman" w:hAnsi="Times New Roman" w:eastAsia="宋体" w:cs="Times New Roman"/>
                      <w:color w:val="auto"/>
                      <w:kern w:val="2"/>
                      <w:sz w:val="21"/>
                      <w:szCs w:val="21"/>
                    </w:rPr>
                  </w:pPr>
                  <w:r>
                    <w:rPr>
                      <w:rFonts w:hint="default" w:ascii="Times New Roman" w:hAnsi="Times New Roman" w:eastAsia="宋体" w:cs="Times New Roman"/>
                      <w:color w:val="auto"/>
                      <w:kern w:val="2"/>
                      <w:sz w:val="21"/>
                      <w:szCs w:val="21"/>
                      <w:lang w:val="en-US" w:eastAsia="zh-CN" w:bidi="ar"/>
                    </w:rPr>
                    <w:t>400~500</w:t>
                  </w:r>
                </w:p>
              </w:tc>
              <w:tc>
                <w:tcPr>
                  <w:tcW w:w="2779" w:type="dxa"/>
                  <w:tcBorders>
                    <w:top w:val="single" w:color="auto" w:sz="4" w:space="0"/>
                    <w:left w:val="nil"/>
                    <w:bottom w:val="single" w:color="auto" w:sz="4" w:space="0"/>
                    <w:right w:val="single" w:color="auto" w:sz="4" w:space="0"/>
                  </w:tcBorders>
                  <w:shd w:val="clear" w:color="auto" w:fill="auto"/>
                  <w:noWrap/>
                  <w:vAlign w:val="center"/>
                </w:tcPr>
                <w:p w14:paraId="26E8B480">
                  <w:pPr>
                    <w:keepNext w:val="0"/>
                    <w:keepLines w:val="0"/>
                    <w:widowControl w:val="0"/>
                    <w:suppressLineNumbers w:val="0"/>
                    <w:spacing w:before="0" w:beforeAutospacing="0" w:after="0" w:afterAutospacing="0"/>
                    <w:ind w:left="0" w:right="0"/>
                    <w:jc w:val="center"/>
                    <w:rPr>
                      <w:rFonts w:hint="default" w:ascii="Times New Roman" w:hAnsi="Times New Roman" w:eastAsia="宋体" w:cs="Times New Roman"/>
                      <w:color w:val="auto"/>
                      <w:kern w:val="2"/>
                      <w:sz w:val="21"/>
                      <w:szCs w:val="21"/>
                    </w:rPr>
                  </w:pPr>
                  <w:r>
                    <w:rPr>
                      <w:rFonts w:hint="default" w:ascii="Times New Roman" w:hAnsi="Times New Roman" w:eastAsia="宋体" w:cs="Times New Roman"/>
                      <w:color w:val="auto"/>
                      <w:kern w:val="2"/>
                      <w:sz w:val="21"/>
                      <w:szCs w:val="21"/>
                      <w:lang w:val="en-US" w:eastAsia="zh-CN" w:bidi="ar"/>
                    </w:rPr>
                    <w:t>7</w:t>
                  </w:r>
                </w:p>
              </w:tc>
              <w:tc>
                <w:tcPr>
                  <w:tcW w:w="1123" w:type="dxa"/>
                  <w:vMerge w:val="continue"/>
                  <w:tcBorders>
                    <w:top w:val="nil"/>
                    <w:left w:val="nil"/>
                    <w:bottom w:val="single" w:color="auto" w:sz="4" w:space="0"/>
                    <w:right w:val="single" w:color="auto" w:sz="4" w:space="0"/>
                  </w:tcBorders>
                  <w:shd w:val="clear" w:color="auto" w:fill="auto"/>
                  <w:noWrap/>
                  <w:vAlign w:val="center"/>
                </w:tcPr>
                <w:p w14:paraId="2C1771F2">
                  <w:pPr>
                    <w:keepNext w:val="0"/>
                    <w:keepLines w:val="0"/>
                    <w:suppressLineNumbers w:val="0"/>
                    <w:spacing w:before="0" w:beforeAutospacing="0" w:after="0" w:afterAutospacing="0"/>
                    <w:ind w:left="0" w:right="0"/>
                    <w:rPr>
                      <w:rFonts w:hint="default" w:ascii="Times New Roman" w:hAnsi="Times New Roman" w:cs="Times New Roman"/>
                      <w:color w:val="auto"/>
                      <w:sz w:val="20"/>
                      <w:szCs w:val="20"/>
                    </w:rPr>
                  </w:pPr>
                </w:p>
              </w:tc>
            </w:tr>
            <w:tr w14:paraId="0B08A1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380" w:hRule="atLeast"/>
                <w:jc w:val="center"/>
              </w:trPr>
              <w:tc>
                <w:tcPr>
                  <w:tcW w:w="4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69722FD">
                  <w:pPr>
                    <w:keepNext w:val="0"/>
                    <w:keepLines w:val="0"/>
                    <w:widowControl w:val="0"/>
                    <w:suppressLineNumbers w:val="0"/>
                    <w:spacing w:before="0" w:beforeAutospacing="0" w:after="0" w:afterAutospacing="0"/>
                    <w:ind w:left="0" w:right="0"/>
                    <w:jc w:val="center"/>
                    <w:rPr>
                      <w:rFonts w:hint="default" w:ascii="Times New Roman" w:hAnsi="Times New Roman" w:eastAsia="宋体" w:cs="Times New Roman"/>
                      <w:color w:val="auto"/>
                      <w:kern w:val="2"/>
                      <w:sz w:val="21"/>
                      <w:szCs w:val="21"/>
                    </w:rPr>
                  </w:pPr>
                  <w:r>
                    <w:rPr>
                      <w:rFonts w:hint="default" w:ascii="Times New Roman" w:hAnsi="Times New Roman" w:eastAsia="宋体" w:cs="Times New Roman"/>
                      <w:color w:val="auto"/>
                      <w:kern w:val="2"/>
                      <w:sz w:val="21"/>
                      <w:szCs w:val="21"/>
                      <w:lang w:val="en-US" w:eastAsia="zh-CN" w:bidi="ar"/>
                    </w:rPr>
                    <w:t>9</w:t>
                  </w:r>
                </w:p>
              </w:tc>
              <w:tc>
                <w:tcPr>
                  <w:tcW w:w="1766" w:type="dxa"/>
                  <w:vMerge w:val="restart"/>
                  <w:tcBorders>
                    <w:top w:val="nil"/>
                    <w:left w:val="nil"/>
                    <w:bottom w:val="single" w:color="auto" w:sz="4" w:space="0"/>
                    <w:right w:val="single" w:color="auto" w:sz="4" w:space="0"/>
                  </w:tcBorders>
                  <w:shd w:val="clear" w:color="auto" w:fill="auto"/>
                  <w:noWrap/>
                  <w:vAlign w:val="center"/>
                </w:tcPr>
                <w:p w14:paraId="273E162F">
                  <w:pPr>
                    <w:keepNext w:val="0"/>
                    <w:keepLines w:val="0"/>
                    <w:widowControl w:val="0"/>
                    <w:suppressLineNumbers w:val="0"/>
                    <w:spacing w:before="0" w:beforeAutospacing="0" w:after="0" w:afterAutospacing="0"/>
                    <w:ind w:left="0" w:right="0"/>
                    <w:jc w:val="center"/>
                    <w:rPr>
                      <w:rFonts w:hint="default" w:ascii="Times New Roman" w:hAnsi="Times New Roman" w:eastAsia="宋体" w:cs="Times New Roman"/>
                      <w:color w:val="auto"/>
                      <w:kern w:val="2"/>
                      <w:sz w:val="21"/>
                      <w:szCs w:val="21"/>
                    </w:rPr>
                  </w:pPr>
                  <w:r>
                    <w:rPr>
                      <w:rFonts w:hint="default" w:ascii="Times New Roman" w:hAnsi="Times New Roman" w:eastAsia="宋体" w:cs="Times New Roman"/>
                      <w:color w:val="auto"/>
                      <w:kern w:val="2"/>
                      <w:sz w:val="21"/>
                      <w:szCs w:val="21"/>
                      <w:lang w:val="en-US" w:eastAsia="zh-CN" w:bidi="ar"/>
                    </w:rPr>
                    <w:t>10000≤Q&lt;20000</w:t>
                  </w:r>
                </w:p>
              </w:tc>
              <w:tc>
                <w:tcPr>
                  <w:tcW w:w="1815" w:type="dxa"/>
                  <w:tcBorders>
                    <w:top w:val="single" w:color="auto" w:sz="4" w:space="0"/>
                    <w:left w:val="nil"/>
                    <w:bottom w:val="single" w:color="auto" w:sz="4" w:space="0"/>
                    <w:right w:val="single" w:color="auto" w:sz="4" w:space="0"/>
                  </w:tcBorders>
                  <w:shd w:val="clear" w:color="auto" w:fill="auto"/>
                  <w:noWrap/>
                  <w:vAlign w:val="center"/>
                </w:tcPr>
                <w:p w14:paraId="6D2DCCCB">
                  <w:pPr>
                    <w:keepNext w:val="0"/>
                    <w:keepLines w:val="0"/>
                    <w:widowControl w:val="0"/>
                    <w:suppressLineNumbers w:val="0"/>
                    <w:spacing w:before="0" w:beforeAutospacing="0" w:after="0" w:afterAutospacing="0"/>
                    <w:ind w:left="0" w:right="0"/>
                    <w:jc w:val="center"/>
                    <w:rPr>
                      <w:rFonts w:hint="default" w:ascii="Times New Roman" w:hAnsi="Times New Roman" w:eastAsia="宋体" w:cs="Times New Roman"/>
                      <w:color w:val="auto"/>
                      <w:kern w:val="2"/>
                      <w:sz w:val="21"/>
                      <w:szCs w:val="21"/>
                    </w:rPr>
                  </w:pPr>
                  <w:r>
                    <w:rPr>
                      <w:rFonts w:hint="default" w:ascii="Times New Roman" w:hAnsi="Times New Roman" w:eastAsia="宋体" w:cs="Times New Roman"/>
                      <w:color w:val="auto"/>
                      <w:kern w:val="2"/>
                      <w:sz w:val="21"/>
                      <w:szCs w:val="21"/>
                      <w:lang w:val="en-US" w:eastAsia="zh-CN" w:bidi="ar"/>
                    </w:rPr>
                    <w:t>0~200</w:t>
                  </w:r>
                </w:p>
              </w:tc>
              <w:tc>
                <w:tcPr>
                  <w:tcW w:w="2779" w:type="dxa"/>
                  <w:tcBorders>
                    <w:top w:val="single" w:color="auto" w:sz="4" w:space="0"/>
                    <w:left w:val="nil"/>
                    <w:bottom w:val="single" w:color="auto" w:sz="4" w:space="0"/>
                    <w:right w:val="single" w:color="auto" w:sz="4" w:space="0"/>
                  </w:tcBorders>
                  <w:shd w:val="clear" w:color="auto" w:fill="auto"/>
                  <w:noWrap/>
                  <w:vAlign w:val="center"/>
                </w:tcPr>
                <w:p w14:paraId="69F794F6">
                  <w:pPr>
                    <w:keepNext w:val="0"/>
                    <w:keepLines w:val="0"/>
                    <w:widowControl w:val="0"/>
                    <w:suppressLineNumbers w:val="0"/>
                    <w:spacing w:before="0" w:beforeAutospacing="0" w:after="0" w:afterAutospacing="0"/>
                    <w:ind w:left="0" w:right="0"/>
                    <w:jc w:val="center"/>
                    <w:rPr>
                      <w:rFonts w:hint="default" w:ascii="Times New Roman" w:hAnsi="Times New Roman" w:eastAsia="宋体" w:cs="Times New Roman"/>
                      <w:color w:val="auto"/>
                      <w:kern w:val="2"/>
                      <w:sz w:val="21"/>
                      <w:szCs w:val="21"/>
                    </w:rPr>
                  </w:pPr>
                  <w:r>
                    <w:rPr>
                      <w:rFonts w:hint="default" w:ascii="Times New Roman" w:hAnsi="Times New Roman" w:eastAsia="宋体" w:cs="Times New Roman"/>
                      <w:color w:val="auto"/>
                      <w:kern w:val="2"/>
                      <w:sz w:val="21"/>
                      <w:szCs w:val="21"/>
                      <w:lang w:val="en-US" w:eastAsia="zh-CN" w:bidi="ar"/>
                    </w:rPr>
                    <w:t>1.5</w:t>
                  </w:r>
                </w:p>
              </w:tc>
              <w:tc>
                <w:tcPr>
                  <w:tcW w:w="1123" w:type="dxa"/>
                  <w:vMerge w:val="continue"/>
                  <w:tcBorders>
                    <w:top w:val="nil"/>
                    <w:left w:val="nil"/>
                    <w:bottom w:val="single" w:color="auto" w:sz="4" w:space="0"/>
                    <w:right w:val="single" w:color="auto" w:sz="4" w:space="0"/>
                  </w:tcBorders>
                  <w:shd w:val="clear" w:color="auto" w:fill="auto"/>
                  <w:noWrap/>
                  <w:vAlign w:val="center"/>
                </w:tcPr>
                <w:p w14:paraId="4B0372AA">
                  <w:pPr>
                    <w:keepNext w:val="0"/>
                    <w:keepLines w:val="0"/>
                    <w:suppressLineNumbers w:val="0"/>
                    <w:spacing w:before="0" w:beforeAutospacing="0" w:after="0" w:afterAutospacing="0"/>
                    <w:ind w:left="0" w:right="0"/>
                    <w:rPr>
                      <w:rFonts w:hint="default" w:ascii="Times New Roman" w:hAnsi="Times New Roman" w:cs="Times New Roman"/>
                      <w:color w:val="auto"/>
                      <w:sz w:val="20"/>
                      <w:szCs w:val="20"/>
                    </w:rPr>
                  </w:pPr>
                </w:p>
              </w:tc>
            </w:tr>
            <w:tr w14:paraId="1619FA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397" w:hRule="atLeast"/>
                <w:jc w:val="center"/>
              </w:trPr>
              <w:tc>
                <w:tcPr>
                  <w:tcW w:w="4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A1E6711">
                  <w:pPr>
                    <w:keepNext w:val="0"/>
                    <w:keepLines w:val="0"/>
                    <w:widowControl w:val="0"/>
                    <w:suppressLineNumbers w:val="0"/>
                    <w:spacing w:before="0" w:beforeAutospacing="0" w:after="0" w:afterAutospacing="0"/>
                    <w:ind w:left="0" w:right="0"/>
                    <w:jc w:val="center"/>
                    <w:rPr>
                      <w:rFonts w:hint="default" w:ascii="Times New Roman" w:hAnsi="Times New Roman" w:eastAsia="宋体" w:cs="Times New Roman"/>
                      <w:color w:val="auto"/>
                      <w:kern w:val="2"/>
                      <w:sz w:val="21"/>
                      <w:szCs w:val="21"/>
                    </w:rPr>
                  </w:pPr>
                  <w:r>
                    <w:rPr>
                      <w:rFonts w:hint="default" w:ascii="Times New Roman" w:hAnsi="Times New Roman" w:eastAsia="宋体" w:cs="Times New Roman"/>
                      <w:color w:val="auto"/>
                      <w:kern w:val="2"/>
                      <w:sz w:val="21"/>
                      <w:szCs w:val="21"/>
                      <w:lang w:val="en-US" w:eastAsia="zh-CN" w:bidi="ar"/>
                    </w:rPr>
                    <w:t>10</w:t>
                  </w:r>
                </w:p>
              </w:tc>
              <w:tc>
                <w:tcPr>
                  <w:tcW w:w="1766" w:type="dxa"/>
                  <w:vMerge w:val="continue"/>
                  <w:tcBorders>
                    <w:top w:val="nil"/>
                    <w:left w:val="nil"/>
                    <w:bottom w:val="single" w:color="auto" w:sz="4" w:space="0"/>
                    <w:right w:val="single" w:color="auto" w:sz="4" w:space="0"/>
                  </w:tcBorders>
                  <w:shd w:val="clear" w:color="auto" w:fill="auto"/>
                  <w:noWrap/>
                  <w:vAlign w:val="center"/>
                </w:tcPr>
                <w:p w14:paraId="35462334">
                  <w:pPr>
                    <w:keepNext w:val="0"/>
                    <w:keepLines w:val="0"/>
                    <w:suppressLineNumbers w:val="0"/>
                    <w:spacing w:before="0" w:beforeAutospacing="0" w:after="0" w:afterAutospacing="0"/>
                    <w:ind w:left="0" w:right="0"/>
                    <w:rPr>
                      <w:rFonts w:hint="default" w:ascii="Times New Roman" w:hAnsi="Times New Roman" w:cs="Times New Roman"/>
                      <w:color w:val="auto"/>
                      <w:sz w:val="20"/>
                      <w:szCs w:val="20"/>
                    </w:rPr>
                  </w:pPr>
                </w:p>
              </w:tc>
              <w:tc>
                <w:tcPr>
                  <w:tcW w:w="1815" w:type="dxa"/>
                  <w:tcBorders>
                    <w:top w:val="single" w:color="auto" w:sz="4" w:space="0"/>
                    <w:left w:val="nil"/>
                    <w:bottom w:val="single" w:color="auto" w:sz="4" w:space="0"/>
                    <w:right w:val="single" w:color="auto" w:sz="4" w:space="0"/>
                  </w:tcBorders>
                  <w:shd w:val="clear" w:color="auto" w:fill="auto"/>
                  <w:noWrap/>
                  <w:vAlign w:val="center"/>
                </w:tcPr>
                <w:p w14:paraId="3A0D7D86">
                  <w:pPr>
                    <w:keepNext w:val="0"/>
                    <w:keepLines w:val="0"/>
                    <w:widowControl w:val="0"/>
                    <w:suppressLineNumbers w:val="0"/>
                    <w:spacing w:before="0" w:beforeAutospacing="0" w:after="0" w:afterAutospacing="0"/>
                    <w:ind w:left="0" w:right="0"/>
                    <w:jc w:val="center"/>
                    <w:rPr>
                      <w:rFonts w:hint="default" w:ascii="Times New Roman" w:hAnsi="Times New Roman" w:eastAsia="宋体" w:cs="Times New Roman"/>
                      <w:color w:val="auto"/>
                      <w:kern w:val="2"/>
                      <w:sz w:val="21"/>
                      <w:szCs w:val="21"/>
                    </w:rPr>
                  </w:pPr>
                  <w:r>
                    <w:rPr>
                      <w:rFonts w:hint="default" w:ascii="Times New Roman" w:hAnsi="Times New Roman" w:eastAsia="宋体" w:cs="Times New Roman"/>
                      <w:color w:val="auto"/>
                      <w:kern w:val="2"/>
                      <w:sz w:val="21"/>
                      <w:szCs w:val="21"/>
                      <w:lang w:val="en-US" w:eastAsia="zh-CN" w:bidi="ar"/>
                    </w:rPr>
                    <w:t>200~300</w:t>
                  </w:r>
                </w:p>
              </w:tc>
              <w:tc>
                <w:tcPr>
                  <w:tcW w:w="2779" w:type="dxa"/>
                  <w:tcBorders>
                    <w:top w:val="single" w:color="auto" w:sz="4" w:space="0"/>
                    <w:left w:val="nil"/>
                    <w:bottom w:val="single" w:color="auto" w:sz="4" w:space="0"/>
                    <w:right w:val="single" w:color="auto" w:sz="4" w:space="0"/>
                  </w:tcBorders>
                  <w:shd w:val="clear" w:color="auto" w:fill="auto"/>
                  <w:noWrap/>
                  <w:vAlign w:val="center"/>
                </w:tcPr>
                <w:p w14:paraId="7BB00B10">
                  <w:pPr>
                    <w:keepNext w:val="0"/>
                    <w:keepLines w:val="0"/>
                    <w:widowControl w:val="0"/>
                    <w:suppressLineNumbers w:val="0"/>
                    <w:spacing w:before="0" w:beforeAutospacing="0" w:after="0" w:afterAutospacing="0"/>
                    <w:ind w:left="0" w:right="0"/>
                    <w:jc w:val="center"/>
                    <w:rPr>
                      <w:rFonts w:hint="default" w:ascii="Times New Roman" w:hAnsi="Times New Roman" w:eastAsia="宋体" w:cs="Times New Roman"/>
                      <w:color w:val="auto"/>
                      <w:kern w:val="2"/>
                      <w:sz w:val="21"/>
                      <w:szCs w:val="21"/>
                    </w:rPr>
                  </w:pPr>
                  <w:r>
                    <w:rPr>
                      <w:rFonts w:hint="default" w:ascii="Times New Roman" w:hAnsi="Times New Roman" w:eastAsia="宋体" w:cs="Times New Roman"/>
                      <w:color w:val="auto"/>
                      <w:kern w:val="2"/>
                      <w:sz w:val="21"/>
                      <w:szCs w:val="21"/>
                      <w:lang w:val="en-US" w:eastAsia="zh-CN" w:bidi="ar"/>
                    </w:rPr>
                    <w:t>4</w:t>
                  </w:r>
                </w:p>
              </w:tc>
              <w:tc>
                <w:tcPr>
                  <w:tcW w:w="1123" w:type="dxa"/>
                  <w:vMerge w:val="continue"/>
                  <w:tcBorders>
                    <w:top w:val="nil"/>
                    <w:left w:val="nil"/>
                    <w:bottom w:val="single" w:color="auto" w:sz="4" w:space="0"/>
                    <w:right w:val="single" w:color="auto" w:sz="4" w:space="0"/>
                  </w:tcBorders>
                  <w:shd w:val="clear" w:color="auto" w:fill="auto"/>
                  <w:noWrap/>
                  <w:vAlign w:val="center"/>
                </w:tcPr>
                <w:p w14:paraId="0FAD52AD">
                  <w:pPr>
                    <w:keepNext w:val="0"/>
                    <w:keepLines w:val="0"/>
                    <w:suppressLineNumbers w:val="0"/>
                    <w:spacing w:before="0" w:beforeAutospacing="0" w:after="0" w:afterAutospacing="0"/>
                    <w:ind w:left="0" w:right="0"/>
                    <w:rPr>
                      <w:rFonts w:hint="default" w:ascii="Times New Roman" w:hAnsi="Times New Roman" w:cs="Times New Roman"/>
                      <w:color w:val="auto"/>
                      <w:sz w:val="20"/>
                      <w:szCs w:val="20"/>
                    </w:rPr>
                  </w:pPr>
                </w:p>
              </w:tc>
            </w:tr>
            <w:tr w14:paraId="098012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4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CEE9A74">
                  <w:pPr>
                    <w:keepNext w:val="0"/>
                    <w:keepLines w:val="0"/>
                    <w:widowControl w:val="0"/>
                    <w:suppressLineNumbers w:val="0"/>
                    <w:spacing w:before="0" w:beforeAutospacing="0" w:after="0" w:afterAutospacing="0"/>
                    <w:ind w:left="0" w:right="0"/>
                    <w:jc w:val="center"/>
                    <w:rPr>
                      <w:rFonts w:hint="default" w:ascii="Times New Roman" w:hAnsi="Times New Roman" w:eastAsia="宋体" w:cs="Times New Roman"/>
                      <w:color w:val="auto"/>
                      <w:kern w:val="2"/>
                      <w:sz w:val="21"/>
                      <w:szCs w:val="21"/>
                    </w:rPr>
                  </w:pPr>
                  <w:r>
                    <w:rPr>
                      <w:rFonts w:hint="default" w:ascii="Times New Roman" w:hAnsi="Times New Roman" w:eastAsia="宋体" w:cs="Times New Roman"/>
                      <w:color w:val="auto"/>
                      <w:kern w:val="2"/>
                      <w:sz w:val="21"/>
                      <w:szCs w:val="21"/>
                      <w:lang w:val="en-US" w:eastAsia="zh-CN" w:bidi="ar"/>
                    </w:rPr>
                    <w:t>11</w:t>
                  </w:r>
                </w:p>
              </w:tc>
              <w:tc>
                <w:tcPr>
                  <w:tcW w:w="1766" w:type="dxa"/>
                  <w:vMerge w:val="continue"/>
                  <w:tcBorders>
                    <w:top w:val="nil"/>
                    <w:left w:val="nil"/>
                    <w:bottom w:val="single" w:color="auto" w:sz="4" w:space="0"/>
                    <w:right w:val="single" w:color="auto" w:sz="4" w:space="0"/>
                  </w:tcBorders>
                  <w:shd w:val="clear" w:color="auto" w:fill="auto"/>
                  <w:noWrap/>
                  <w:vAlign w:val="center"/>
                </w:tcPr>
                <w:p w14:paraId="0DEFF876">
                  <w:pPr>
                    <w:keepNext w:val="0"/>
                    <w:keepLines w:val="0"/>
                    <w:suppressLineNumbers w:val="0"/>
                    <w:spacing w:before="0" w:beforeAutospacing="0" w:after="0" w:afterAutospacing="0"/>
                    <w:ind w:left="0" w:right="0"/>
                    <w:rPr>
                      <w:rFonts w:hint="default" w:ascii="Times New Roman" w:hAnsi="Times New Roman" w:cs="Times New Roman"/>
                      <w:color w:val="auto"/>
                      <w:sz w:val="20"/>
                      <w:szCs w:val="20"/>
                    </w:rPr>
                  </w:pPr>
                </w:p>
              </w:tc>
              <w:tc>
                <w:tcPr>
                  <w:tcW w:w="1815" w:type="dxa"/>
                  <w:tcBorders>
                    <w:top w:val="single" w:color="auto" w:sz="4" w:space="0"/>
                    <w:left w:val="nil"/>
                    <w:bottom w:val="single" w:color="auto" w:sz="4" w:space="0"/>
                    <w:right w:val="single" w:color="auto" w:sz="4" w:space="0"/>
                  </w:tcBorders>
                  <w:shd w:val="clear" w:color="auto" w:fill="auto"/>
                  <w:noWrap/>
                  <w:vAlign w:val="center"/>
                </w:tcPr>
                <w:p w14:paraId="1CC0E154">
                  <w:pPr>
                    <w:keepNext w:val="0"/>
                    <w:keepLines w:val="0"/>
                    <w:widowControl w:val="0"/>
                    <w:suppressLineNumbers w:val="0"/>
                    <w:spacing w:before="0" w:beforeAutospacing="0" w:after="0" w:afterAutospacing="0"/>
                    <w:ind w:left="0" w:right="0"/>
                    <w:jc w:val="center"/>
                    <w:rPr>
                      <w:rFonts w:hint="default" w:ascii="Times New Roman" w:hAnsi="Times New Roman" w:eastAsia="宋体" w:cs="Times New Roman"/>
                      <w:color w:val="auto"/>
                      <w:kern w:val="2"/>
                      <w:sz w:val="21"/>
                      <w:szCs w:val="21"/>
                    </w:rPr>
                  </w:pPr>
                  <w:r>
                    <w:rPr>
                      <w:rFonts w:hint="default" w:ascii="Times New Roman" w:hAnsi="Times New Roman" w:eastAsia="宋体" w:cs="Times New Roman"/>
                      <w:color w:val="auto"/>
                      <w:kern w:val="2"/>
                      <w:sz w:val="21"/>
                      <w:szCs w:val="21"/>
                      <w:lang w:val="en-US" w:eastAsia="zh-CN" w:bidi="ar"/>
                    </w:rPr>
                    <w:t>300~400</w:t>
                  </w:r>
                </w:p>
              </w:tc>
              <w:tc>
                <w:tcPr>
                  <w:tcW w:w="2779" w:type="dxa"/>
                  <w:tcBorders>
                    <w:top w:val="single" w:color="auto" w:sz="4" w:space="0"/>
                    <w:left w:val="nil"/>
                    <w:bottom w:val="single" w:color="auto" w:sz="4" w:space="0"/>
                    <w:right w:val="single" w:color="auto" w:sz="4" w:space="0"/>
                  </w:tcBorders>
                  <w:shd w:val="clear" w:color="auto" w:fill="auto"/>
                  <w:noWrap/>
                  <w:vAlign w:val="center"/>
                </w:tcPr>
                <w:p w14:paraId="5A920A2D">
                  <w:pPr>
                    <w:keepNext w:val="0"/>
                    <w:keepLines w:val="0"/>
                    <w:widowControl w:val="0"/>
                    <w:suppressLineNumbers w:val="0"/>
                    <w:spacing w:before="0" w:beforeAutospacing="0" w:after="0" w:afterAutospacing="0"/>
                    <w:ind w:left="0" w:right="0"/>
                    <w:jc w:val="center"/>
                    <w:rPr>
                      <w:rFonts w:hint="default" w:ascii="Times New Roman" w:hAnsi="Times New Roman" w:eastAsia="宋体" w:cs="Times New Roman"/>
                      <w:color w:val="auto"/>
                      <w:kern w:val="2"/>
                      <w:sz w:val="21"/>
                      <w:szCs w:val="21"/>
                    </w:rPr>
                  </w:pPr>
                  <w:r>
                    <w:rPr>
                      <w:rFonts w:hint="default" w:ascii="Times New Roman" w:hAnsi="Times New Roman" w:eastAsia="宋体" w:cs="Times New Roman"/>
                      <w:color w:val="auto"/>
                      <w:kern w:val="2"/>
                      <w:sz w:val="21"/>
                      <w:szCs w:val="21"/>
                      <w:lang w:val="en-US" w:eastAsia="zh-CN" w:bidi="ar"/>
                    </w:rPr>
                    <w:t>7</w:t>
                  </w:r>
                </w:p>
              </w:tc>
              <w:tc>
                <w:tcPr>
                  <w:tcW w:w="1123" w:type="dxa"/>
                  <w:vMerge w:val="continue"/>
                  <w:tcBorders>
                    <w:top w:val="nil"/>
                    <w:left w:val="nil"/>
                    <w:bottom w:val="single" w:color="auto" w:sz="4" w:space="0"/>
                    <w:right w:val="single" w:color="auto" w:sz="4" w:space="0"/>
                  </w:tcBorders>
                  <w:shd w:val="clear" w:color="auto" w:fill="auto"/>
                  <w:noWrap/>
                  <w:vAlign w:val="center"/>
                </w:tcPr>
                <w:p w14:paraId="63B7A9F9">
                  <w:pPr>
                    <w:keepNext w:val="0"/>
                    <w:keepLines w:val="0"/>
                    <w:suppressLineNumbers w:val="0"/>
                    <w:spacing w:before="0" w:beforeAutospacing="0" w:after="0" w:afterAutospacing="0"/>
                    <w:ind w:left="0" w:right="0"/>
                    <w:rPr>
                      <w:rFonts w:hint="default" w:ascii="Times New Roman" w:hAnsi="Times New Roman" w:cs="Times New Roman"/>
                      <w:color w:val="auto"/>
                      <w:sz w:val="20"/>
                      <w:szCs w:val="20"/>
                    </w:rPr>
                  </w:pPr>
                </w:p>
              </w:tc>
            </w:tr>
            <w:tr w14:paraId="5E4070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4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AE1D87D">
                  <w:pPr>
                    <w:keepNext w:val="0"/>
                    <w:keepLines w:val="0"/>
                    <w:widowControl w:val="0"/>
                    <w:suppressLineNumbers w:val="0"/>
                    <w:spacing w:before="0" w:beforeAutospacing="0" w:after="0" w:afterAutospacing="0"/>
                    <w:ind w:left="0" w:right="0"/>
                    <w:jc w:val="center"/>
                    <w:rPr>
                      <w:rFonts w:hint="default" w:ascii="Times New Roman" w:hAnsi="Times New Roman" w:eastAsia="宋体" w:cs="Times New Roman"/>
                      <w:color w:val="auto"/>
                      <w:kern w:val="2"/>
                      <w:sz w:val="21"/>
                      <w:szCs w:val="21"/>
                    </w:rPr>
                  </w:pPr>
                  <w:r>
                    <w:rPr>
                      <w:rFonts w:hint="default" w:ascii="Times New Roman" w:hAnsi="Times New Roman" w:eastAsia="宋体" w:cs="Times New Roman"/>
                      <w:color w:val="auto"/>
                      <w:kern w:val="2"/>
                      <w:sz w:val="21"/>
                      <w:szCs w:val="21"/>
                      <w:lang w:val="en-US" w:eastAsia="zh-CN" w:bidi="ar"/>
                    </w:rPr>
                    <w:t>12</w:t>
                  </w:r>
                </w:p>
              </w:tc>
              <w:tc>
                <w:tcPr>
                  <w:tcW w:w="1766" w:type="dxa"/>
                  <w:vMerge w:val="continue"/>
                  <w:tcBorders>
                    <w:top w:val="nil"/>
                    <w:left w:val="nil"/>
                    <w:bottom w:val="single" w:color="auto" w:sz="4" w:space="0"/>
                    <w:right w:val="single" w:color="auto" w:sz="4" w:space="0"/>
                  </w:tcBorders>
                  <w:shd w:val="clear" w:color="auto" w:fill="auto"/>
                  <w:noWrap/>
                  <w:vAlign w:val="center"/>
                </w:tcPr>
                <w:p w14:paraId="60937F61">
                  <w:pPr>
                    <w:keepNext w:val="0"/>
                    <w:keepLines w:val="0"/>
                    <w:suppressLineNumbers w:val="0"/>
                    <w:spacing w:before="0" w:beforeAutospacing="0" w:after="0" w:afterAutospacing="0"/>
                    <w:ind w:left="0" w:right="0"/>
                    <w:rPr>
                      <w:rFonts w:hint="default" w:ascii="Times New Roman" w:hAnsi="Times New Roman" w:cs="Times New Roman"/>
                      <w:color w:val="auto"/>
                      <w:sz w:val="20"/>
                      <w:szCs w:val="20"/>
                    </w:rPr>
                  </w:pPr>
                </w:p>
              </w:tc>
              <w:tc>
                <w:tcPr>
                  <w:tcW w:w="1815" w:type="dxa"/>
                  <w:tcBorders>
                    <w:top w:val="single" w:color="auto" w:sz="4" w:space="0"/>
                    <w:left w:val="nil"/>
                    <w:bottom w:val="single" w:color="auto" w:sz="4" w:space="0"/>
                    <w:right w:val="single" w:color="auto" w:sz="4" w:space="0"/>
                  </w:tcBorders>
                  <w:shd w:val="clear" w:color="auto" w:fill="auto"/>
                  <w:noWrap/>
                  <w:vAlign w:val="center"/>
                </w:tcPr>
                <w:p w14:paraId="62E78B61">
                  <w:pPr>
                    <w:keepNext w:val="0"/>
                    <w:keepLines w:val="0"/>
                    <w:widowControl w:val="0"/>
                    <w:suppressLineNumbers w:val="0"/>
                    <w:spacing w:before="0" w:beforeAutospacing="0" w:after="0" w:afterAutospacing="0"/>
                    <w:ind w:left="0" w:right="0"/>
                    <w:jc w:val="center"/>
                    <w:rPr>
                      <w:rFonts w:hint="default" w:ascii="Times New Roman" w:hAnsi="Times New Roman" w:eastAsia="宋体" w:cs="Times New Roman"/>
                      <w:color w:val="auto"/>
                      <w:kern w:val="2"/>
                      <w:sz w:val="21"/>
                      <w:szCs w:val="21"/>
                    </w:rPr>
                  </w:pPr>
                  <w:r>
                    <w:rPr>
                      <w:rFonts w:hint="default" w:ascii="Times New Roman" w:hAnsi="Times New Roman" w:eastAsia="宋体" w:cs="Times New Roman"/>
                      <w:color w:val="auto"/>
                      <w:kern w:val="2"/>
                      <w:sz w:val="21"/>
                      <w:szCs w:val="21"/>
                      <w:lang w:val="en-US" w:eastAsia="zh-CN" w:bidi="ar"/>
                    </w:rPr>
                    <w:t>400~500</w:t>
                  </w:r>
                </w:p>
              </w:tc>
              <w:tc>
                <w:tcPr>
                  <w:tcW w:w="2779" w:type="dxa"/>
                  <w:tcBorders>
                    <w:top w:val="single" w:color="auto" w:sz="4" w:space="0"/>
                    <w:left w:val="nil"/>
                    <w:bottom w:val="single" w:color="auto" w:sz="4" w:space="0"/>
                    <w:right w:val="single" w:color="auto" w:sz="4" w:space="0"/>
                  </w:tcBorders>
                  <w:shd w:val="clear" w:color="auto" w:fill="auto"/>
                  <w:noWrap/>
                  <w:vAlign w:val="center"/>
                </w:tcPr>
                <w:p w14:paraId="3A8E25F6">
                  <w:pPr>
                    <w:keepNext w:val="0"/>
                    <w:keepLines w:val="0"/>
                    <w:widowControl w:val="0"/>
                    <w:suppressLineNumbers w:val="0"/>
                    <w:spacing w:before="0" w:beforeAutospacing="0" w:after="0" w:afterAutospacing="0"/>
                    <w:ind w:left="0" w:right="0"/>
                    <w:jc w:val="center"/>
                    <w:rPr>
                      <w:rFonts w:hint="default" w:ascii="Times New Roman" w:hAnsi="Times New Roman" w:eastAsia="宋体" w:cs="Times New Roman"/>
                      <w:color w:val="auto"/>
                      <w:kern w:val="2"/>
                      <w:sz w:val="21"/>
                      <w:szCs w:val="21"/>
                    </w:rPr>
                  </w:pPr>
                  <w:r>
                    <w:rPr>
                      <w:rFonts w:hint="default" w:ascii="Times New Roman" w:hAnsi="Times New Roman" w:eastAsia="宋体" w:cs="Times New Roman"/>
                      <w:color w:val="auto"/>
                      <w:kern w:val="2"/>
                      <w:sz w:val="21"/>
                      <w:szCs w:val="21"/>
                      <w:lang w:val="en-US" w:eastAsia="zh-CN" w:bidi="ar"/>
                    </w:rPr>
                    <w:t>10</w:t>
                  </w:r>
                </w:p>
              </w:tc>
              <w:tc>
                <w:tcPr>
                  <w:tcW w:w="1123" w:type="dxa"/>
                  <w:vMerge w:val="continue"/>
                  <w:tcBorders>
                    <w:top w:val="nil"/>
                    <w:left w:val="nil"/>
                    <w:bottom w:val="single" w:color="auto" w:sz="4" w:space="0"/>
                    <w:right w:val="single" w:color="auto" w:sz="4" w:space="0"/>
                  </w:tcBorders>
                  <w:shd w:val="clear" w:color="auto" w:fill="auto"/>
                  <w:noWrap/>
                  <w:vAlign w:val="center"/>
                </w:tcPr>
                <w:p w14:paraId="19A86B70">
                  <w:pPr>
                    <w:keepNext w:val="0"/>
                    <w:keepLines w:val="0"/>
                    <w:suppressLineNumbers w:val="0"/>
                    <w:spacing w:before="0" w:beforeAutospacing="0" w:after="0" w:afterAutospacing="0"/>
                    <w:ind w:left="0" w:right="0"/>
                    <w:rPr>
                      <w:rFonts w:hint="default" w:ascii="Times New Roman" w:hAnsi="Times New Roman" w:cs="Times New Roman"/>
                      <w:color w:val="auto"/>
                      <w:sz w:val="20"/>
                      <w:szCs w:val="20"/>
                    </w:rPr>
                  </w:pPr>
                </w:p>
              </w:tc>
            </w:tr>
          </w:tbl>
          <w:p w14:paraId="42A31C4F">
            <w:pPr>
              <w:keepNext w:val="0"/>
              <w:keepLines w:val="0"/>
              <w:widowControl w:val="0"/>
              <w:suppressLineNumbers w:val="0"/>
              <w:spacing w:before="0" w:beforeAutospacing="0" w:after="0" w:afterAutospacing="0" w:line="360" w:lineRule="auto"/>
              <w:ind w:left="0" w:right="0" w:firstLine="480" w:firstLineChars="200"/>
              <w:jc w:val="both"/>
              <w:rPr>
                <w:rFonts w:hint="eastAsia"/>
                <w:color w:val="auto"/>
                <w:lang w:val="en-US" w:eastAsia="zh-CN"/>
              </w:rPr>
            </w:pPr>
            <w:r>
              <w:rPr>
                <w:rFonts w:hint="eastAsia" w:ascii="宋体" w:hAnsi="宋体" w:eastAsia="宋体" w:cs="宋体"/>
                <w:color w:val="auto"/>
                <w:kern w:val="2"/>
                <w:sz w:val="24"/>
                <w:szCs w:val="24"/>
                <w:lang w:val="en-US" w:eastAsia="zh-CN" w:bidi="ar"/>
              </w:rPr>
              <w:t>由上表得知，本项目固化废气、背胶废气、辅料成型废气处理设施活性炭一次最少填装量为</w:t>
            </w:r>
            <w:r>
              <w:rPr>
                <w:rFonts w:hint="default" w:ascii="Times New Roman" w:hAnsi="Times New Roman" w:eastAsia="宋体" w:cs="Times New Roman"/>
                <w:color w:val="auto"/>
                <w:kern w:val="2"/>
                <w:sz w:val="24"/>
                <w:szCs w:val="24"/>
                <w:lang w:val="en-US" w:eastAsia="zh-CN" w:bidi="ar"/>
              </w:rPr>
              <w:t>2.5t</w:t>
            </w:r>
            <w:r>
              <w:rPr>
                <w:rFonts w:hint="eastAsia" w:ascii="宋体" w:hAnsi="宋体" w:eastAsia="宋体" w:cs="宋体"/>
                <w:color w:val="auto"/>
                <w:kern w:val="2"/>
                <w:sz w:val="24"/>
                <w:szCs w:val="24"/>
                <w:lang w:val="en-US" w:eastAsia="zh-CN" w:bidi="ar"/>
              </w:rPr>
              <w:t>（按</w:t>
            </w:r>
            <w:r>
              <w:rPr>
                <w:rFonts w:hint="default" w:ascii="Times New Roman" w:hAnsi="Times New Roman" w:eastAsia="宋体" w:cs="Times New Roman"/>
                <w:color w:val="auto"/>
                <w:kern w:val="2"/>
                <w:sz w:val="24"/>
                <w:szCs w:val="24"/>
                <w:lang w:val="en-US" w:eastAsia="zh-CN" w:bidi="ar"/>
              </w:rPr>
              <w:t>500</w:t>
            </w:r>
            <w:r>
              <w:rPr>
                <w:rFonts w:hint="eastAsia" w:ascii="宋体" w:hAnsi="宋体" w:eastAsia="宋体" w:cs="宋体"/>
                <w:color w:val="auto"/>
                <w:kern w:val="2"/>
                <w:sz w:val="24"/>
                <w:szCs w:val="24"/>
                <w:lang w:val="en-US" w:eastAsia="zh-CN" w:bidi="ar"/>
              </w:rPr>
              <w:t>小时使用时间计），更换次数为</w:t>
            </w:r>
            <w:r>
              <w:rPr>
                <w:rFonts w:hint="eastAsia" w:ascii="Times New Roman" w:hAnsi="Times New Roman" w:eastAsia="宋体" w:cs="Times New Roman"/>
                <w:color w:val="auto"/>
                <w:kern w:val="2"/>
                <w:sz w:val="24"/>
                <w:szCs w:val="24"/>
                <w:lang w:val="en-US" w:eastAsia="zh-CN" w:bidi="ar"/>
              </w:rPr>
              <w:t>10</w:t>
            </w:r>
            <w:r>
              <w:rPr>
                <w:rFonts w:hint="eastAsia" w:ascii="宋体" w:hAnsi="宋体" w:eastAsia="宋体" w:cs="宋体"/>
                <w:color w:val="auto"/>
                <w:kern w:val="2"/>
                <w:sz w:val="24"/>
                <w:szCs w:val="24"/>
                <w:lang w:val="en-US" w:eastAsia="zh-CN" w:bidi="ar"/>
              </w:rPr>
              <w:t>次。本项目固化废气、背胶废气、辅料成型废气处理设施为二级活性炭吸附装置，二级活性炭箱填装量按一次最少填装量的</w:t>
            </w:r>
            <w:r>
              <w:rPr>
                <w:rFonts w:hint="default" w:ascii="Times New Roman" w:hAnsi="Times New Roman" w:eastAsia="宋体" w:cs="Times New Roman"/>
                <w:color w:val="auto"/>
                <w:kern w:val="2"/>
                <w:sz w:val="24"/>
                <w:szCs w:val="24"/>
                <w:lang w:val="en-US" w:eastAsia="zh-CN" w:bidi="ar"/>
              </w:rPr>
              <w:t>1.5</w:t>
            </w:r>
            <w:r>
              <w:rPr>
                <w:rFonts w:hint="eastAsia" w:ascii="宋体" w:hAnsi="宋体" w:eastAsia="宋体" w:cs="宋体"/>
                <w:color w:val="auto"/>
                <w:kern w:val="2"/>
                <w:sz w:val="24"/>
                <w:szCs w:val="24"/>
                <w:lang w:val="en-US" w:eastAsia="zh-CN" w:bidi="ar"/>
              </w:rPr>
              <w:t>倍计，即二级活性炭箱一次填装量为</w:t>
            </w:r>
            <w:r>
              <w:rPr>
                <w:rFonts w:hint="default" w:ascii="Times New Roman" w:hAnsi="Times New Roman" w:eastAsia="宋体" w:cs="Times New Roman"/>
                <w:color w:val="auto"/>
                <w:kern w:val="2"/>
                <w:sz w:val="24"/>
                <w:szCs w:val="24"/>
                <w:lang w:val="en-US" w:eastAsia="zh-CN" w:bidi="ar"/>
              </w:rPr>
              <w:t>3.75t</w:t>
            </w:r>
            <w:r>
              <w:rPr>
                <w:rFonts w:hint="eastAsia" w:ascii="宋体" w:hAnsi="宋体" w:eastAsia="宋体" w:cs="宋体"/>
                <w:color w:val="auto"/>
                <w:kern w:val="2"/>
                <w:sz w:val="24"/>
                <w:szCs w:val="24"/>
                <w:lang w:val="en-US" w:eastAsia="zh-CN" w:bidi="ar"/>
              </w:rPr>
              <w:t>，则更换活性炭量为</w:t>
            </w:r>
            <w:r>
              <w:rPr>
                <w:rFonts w:hint="eastAsia" w:ascii="Times New Roman" w:hAnsi="Times New Roman" w:eastAsia="宋体" w:cs="Times New Roman"/>
                <w:color w:val="auto"/>
                <w:kern w:val="2"/>
                <w:sz w:val="24"/>
                <w:szCs w:val="24"/>
                <w:lang w:val="en-US" w:eastAsia="zh-CN" w:bidi="ar"/>
              </w:rPr>
              <w:t>37.5</w:t>
            </w:r>
            <w:r>
              <w:rPr>
                <w:rFonts w:hint="default" w:ascii="Times New Roman" w:hAnsi="Times New Roman" w:eastAsia="宋体" w:cs="Times New Roman"/>
                <w:color w:val="auto"/>
                <w:kern w:val="2"/>
                <w:sz w:val="24"/>
                <w:szCs w:val="24"/>
                <w:lang w:val="en-US" w:eastAsia="zh-CN" w:bidi="ar"/>
              </w:rPr>
              <w:t>t/a</w:t>
            </w:r>
            <w:r>
              <w:rPr>
                <w:rFonts w:hint="eastAsia" w:ascii="宋体" w:hAnsi="宋体" w:eastAsia="宋体" w:cs="宋体"/>
                <w:color w:val="auto"/>
                <w:kern w:val="2"/>
                <w:sz w:val="24"/>
                <w:szCs w:val="24"/>
                <w:lang w:val="en-US" w:eastAsia="zh-CN" w:bidi="ar"/>
              </w:rPr>
              <w:t>，根据前文废气源强分析，吸附的固化废气、背胶废气、辅料成型废气中的挥发性有机物量为</w:t>
            </w:r>
            <w:r>
              <w:rPr>
                <w:rFonts w:hint="eastAsia" w:ascii="Times New Roman" w:hAnsi="Times New Roman" w:eastAsia="宋体" w:cs="Times New Roman"/>
                <w:color w:val="0000E1"/>
                <w:kern w:val="2"/>
                <w:sz w:val="24"/>
                <w:szCs w:val="24"/>
                <w:lang w:val="en-US" w:eastAsia="zh-CN" w:bidi="ar"/>
              </w:rPr>
              <w:t>2.141</w:t>
            </w:r>
            <w:r>
              <w:rPr>
                <w:rFonts w:hint="default" w:ascii="Times New Roman" w:hAnsi="Times New Roman" w:eastAsia="宋体" w:cs="Times New Roman"/>
                <w:color w:val="auto"/>
                <w:kern w:val="2"/>
                <w:sz w:val="24"/>
                <w:szCs w:val="24"/>
                <w:lang w:val="en-US" w:eastAsia="zh-CN" w:bidi="ar"/>
              </w:rPr>
              <w:t>t/a</w:t>
            </w:r>
            <w:r>
              <w:rPr>
                <w:rFonts w:hint="eastAsia" w:ascii="宋体" w:hAnsi="宋体" w:eastAsia="宋体" w:cs="宋体"/>
                <w:color w:val="auto"/>
                <w:kern w:val="2"/>
                <w:sz w:val="24"/>
                <w:szCs w:val="24"/>
                <w:lang w:val="en-US" w:eastAsia="zh-CN" w:bidi="ar"/>
              </w:rPr>
              <w:t>，则废活性炭产生量约为</w:t>
            </w:r>
            <w:r>
              <w:rPr>
                <w:rFonts w:hint="eastAsia" w:ascii="Times New Roman" w:hAnsi="Times New Roman" w:eastAsia="宋体" w:cs="Times New Roman"/>
                <w:color w:val="0000E1"/>
                <w:kern w:val="2"/>
                <w:sz w:val="24"/>
                <w:szCs w:val="24"/>
                <w:lang w:val="en-US" w:eastAsia="zh-CN" w:bidi="ar"/>
              </w:rPr>
              <w:t>39.641</w:t>
            </w:r>
            <w:r>
              <w:rPr>
                <w:rFonts w:hint="default" w:ascii="Times New Roman" w:hAnsi="Times New Roman" w:eastAsia="宋体" w:cs="Times New Roman"/>
                <w:color w:val="0000E1"/>
                <w:kern w:val="2"/>
                <w:sz w:val="24"/>
                <w:szCs w:val="24"/>
                <w:lang w:val="en-US" w:eastAsia="zh-CN" w:bidi="ar"/>
              </w:rPr>
              <w:t>t/a</w:t>
            </w:r>
            <w:r>
              <w:rPr>
                <w:rFonts w:hint="eastAsia" w:ascii="宋体" w:hAnsi="宋体" w:eastAsia="宋体" w:cs="宋体"/>
                <w:color w:val="auto"/>
                <w:kern w:val="2"/>
                <w:sz w:val="24"/>
                <w:szCs w:val="24"/>
                <w:lang w:val="en-US" w:eastAsia="zh-CN" w:bidi="ar"/>
              </w:rPr>
              <w:t>（包含吸附的挥发性有机物量）。</w:t>
            </w:r>
            <w:r>
              <w:rPr>
                <w:rFonts w:hint="eastAsia" w:ascii="宋体" w:hAnsi="宋体" w:eastAsia="宋体" w:cs="宋体"/>
                <w:color w:val="auto"/>
                <w:kern w:val="2"/>
                <w:sz w:val="24"/>
                <w:szCs w:val="24"/>
              </w:rPr>
              <w:t>对照《国家危险废物名录》（</w:t>
            </w:r>
            <w:r>
              <w:rPr>
                <w:rFonts w:hint="default" w:ascii="Times New Roman" w:hAnsi="Times New Roman" w:eastAsia="宋体" w:cs="Times New Roman"/>
                <w:color w:val="auto"/>
                <w:kern w:val="2"/>
                <w:sz w:val="24"/>
                <w:szCs w:val="24"/>
              </w:rPr>
              <w:t>2025</w:t>
            </w:r>
            <w:r>
              <w:rPr>
                <w:rFonts w:hint="eastAsia" w:ascii="宋体" w:hAnsi="宋体" w:eastAsia="宋体" w:cs="宋体"/>
                <w:color w:val="auto"/>
                <w:kern w:val="2"/>
                <w:sz w:val="24"/>
                <w:szCs w:val="24"/>
              </w:rPr>
              <w:t>年版），该固废属于危险固废，废物类别为</w:t>
            </w:r>
            <w:r>
              <w:rPr>
                <w:rFonts w:hint="default" w:ascii="Times New Roman" w:hAnsi="Times New Roman" w:eastAsia="宋体" w:cs="Times New Roman"/>
                <w:color w:val="auto"/>
                <w:kern w:val="2"/>
                <w:sz w:val="24"/>
                <w:szCs w:val="24"/>
              </w:rPr>
              <w:t>HW49</w:t>
            </w:r>
            <w:r>
              <w:rPr>
                <w:rFonts w:hint="eastAsia" w:ascii="宋体" w:hAnsi="宋体" w:eastAsia="宋体" w:cs="宋体"/>
                <w:color w:val="auto"/>
                <w:kern w:val="2"/>
                <w:sz w:val="24"/>
                <w:szCs w:val="24"/>
              </w:rPr>
              <w:t>其他废物，废物代码为</w:t>
            </w:r>
            <w:r>
              <w:rPr>
                <w:rFonts w:hint="default" w:ascii="Times New Roman" w:hAnsi="Times New Roman" w:eastAsia="宋体" w:cs="Times New Roman"/>
                <w:color w:val="auto"/>
                <w:kern w:val="2"/>
                <w:sz w:val="24"/>
                <w:szCs w:val="24"/>
              </w:rPr>
              <w:t>900-039-49</w:t>
            </w:r>
            <w:r>
              <w:rPr>
                <w:rFonts w:hint="eastAsia" w:ascii="宋体" w:hAnsi="宋体" w:eastAsia="宋体" w:cs="宋体"/>
                <w:color w:val="auto"/>
                <w:kern w:val="2"/>
                <w:sz w:val="24"/>
                <w:szCs w:val="24"/>
              </w:rPr>
              <w:t>烟气、</w:t>
            </w:r>
            <w:r>
              <w:rPr>
                <w:rFonts w:hint="default" w:ascii="Times New Roman" w:hAnsi="Times New Roman" w:eastAsia="宋体" w:cs="Times New Roman"/>
                <w:color w:val="auto"/>
                <w:kern w:val="2"/>
                <w:sz w:val="24"/>
                <w:szCs w:val="24"/>
              </w:rPr>
              <w:t>VOCs</w:t>
            </w:r>
            <w:r>
              <w:rPr>
                <w:rFonts w:hint="eastAsia" w:ascii="宋体" w:hAnsi="宋体" w:eastAsia="宋体" w:cs="宋体"/>
                <w:color w:val="auto"/>
                <w:kern w:val="2"/>
                <w:sz w:val="24"/>
                <w:szCs w:val="24"/>
              </w:rPr>
              <w:t>治理过程（不包括餐饮行业油烟治理过程）产生的废活性炭，化学原料和化学制品脱色（不包括有机合成食品添加剂脱色）、除杂、净化过程产生的废活性炭，集中收集后委托有资质的活性炭再生中心处置。</w:t>
            </w:r>
          </w:p>
          <w:p w14:paraId="1ABC0FA2">
            <w:pPr>
              <w:keepNext w:val="0"/>
              <w:keepLines w:val="0"/>
              <w:suppressLineNumbers w:val="0"/>
              <w:spacing w:before="0" w:beforeAutospacing="0" w:after="0" w:afterAutospacing="0" w:line="360" w:lineRule="auto"/>
              <w:ind w:left="0" w:right="0"/>
              <w:rPr>
                <w:rFonts w:hint="default" w:ascii="Times New Roman" w:hAnsi="Times New Roman" w:eastAsia="宋体" w:cs="Times New Roman"/>
                <w:color w:val="auto"/>
                <w:sz w:val="24"/>
              </w:rPr>
            </w:pPr>
          </w:p>
          <w:p w14:paraId="3BB08C80">
            <w:pPr>
              <w:keepNext w:val="0"/>
              <w:keepLines w:val="0"/>
              <w:suppressLineNumbers w:val="0"/>
              <w:spacing w:before="0" w:beforeAutospacing="0" w:after="0" w:afterAutospacing="0" w:line="360" w:lineRule="auto"/>
              <w:ind w:left="0" w:right="0"/>
              <w:rPr>
                <w:rFonts w:hint="default" w:ascii="Times New Roman" w:hAnsi="Times New Roman" w:eastAsia="宋体" w:cs="Times New Roman"/>
                <w:color w:val="auto"/>
                <w:sz w:val="24"/>
              </w:rPr>
            </w:pPr>
          </w:p>
          <w:p w14:paraId="7F0ACB62">
            <w:pPr>
              <w:keepNext w:val="0"/>
              <w:keepLines w:val="0"/>
              <w:suppressLineNumbers w:val="0"/>
              <w:spacing w:before="0" w:beforeAutospacing="0" w:after="0" w:afterAutospacing="0" w:line="360" w:lineRule="auto"/>
              <w:ind w:left="0" w:right="0"/>
              <w:rPr>
                <w:rFonts w:hint="default" w:ascii="Times New Roman" w:hAnsi="Times New Roman" w:eastAsia="宋体" w:cs="Times New Roman"/>
                <w:color w:val="auto"/>
                <w:sz w:val="24"/>
              </w:rPr>
            </w:pPr>
          </w:p>
          <w:p w14:paraId="5C297A57">
            <w:pPr>
              <w:keepNext w:val="0"/>
              <w:keepLines w:val="0"/>
              <w:suppressLineNumbers w:val="0"/>
              <w:spacing w:before="0" w:beforeAutospacing="0" w:after="0" w:afterAutospacing="0" w:line="360" w:lineRule="auto"/>
              <w:ind w:left="0" w:right="0"/>
              <w:rPr>
                <w:rFonts w:hint="default" w:ascii="Times New Roman" w:hAnsi="Times New Roman" w:eastAsia="宋体" w:cs="Times New Roman"/>
                <w:color w:val="auto"/>
                <w:sz w:val="24"/>
              </w:rPr>
            </w:pPr>
          </w:p>
          <w:p w14:paraId="3E4752AB">
            <w:pPr>
              <w:keepNext w:val="0"/>
              <w:keepLines w:val="0"/>
              <w:suppressLineNumbers w:val="0"/>
              <w:spacing w:before="0" w:beforeAutospacing="0" w:after="0" w:afterAutospacing="0" w:line="360" w:lineRule="auto"/>
              <w:ind w:left="0" w:right="0"/>
              <w:rPr>
                <w:rFonts w:hint="default" w:ascii="Times New Roman" w:hAnsi="Times New Roman" w:eastAsia="宋体" w:cs="Times New Roman"/>
                <w:color w:val="auto"/>
                <w:sz w:val="24"/>
              </w:rPr>
            </w:pPr>
          </w:p>
          <w:p w14:paraId="38240251">
            <w:pPr>
              <w:keepNext w:val="0"/>
              <w:keepLines w:val="0"/>
              <w:suppressLineNumbers w:val="0"/>
              <w:spacing w:before="0" w:beforeAutospacing="0" w:after="0" w:afterAutospacing="0"/>
              <w:ind w:left="0" w:right="0"/>
              <w:rPr>
                <w:rFonts w:hint="default"/>
                <w:color w:val="auto"/>
              </w:rPr>
            </w:pPr>
          </w:p>
          <w:p w14:paraId="64F696D7">
            <w:pPr>
              <w:keepNext w:val="0"/>
              <w:keepLines w:val="0"/>
              <w:suppressLineNumbers w:val="0"/>
              <w:spacing w:before="0" w:beforeAutospacing="0" w:after="0" w:afterAutospacing="0"/>
              <w:ind w:left="0" w:right="0"/>
              <w:rPr>
                <w:rFonts w:hint="default"/>
                <w:color w:val="auto"/>
              </w:rPr>
            </w:pPr>
          </w:p>
          <w:p w14:paraId="1178AD75">
            <w:pPr>
              <w:keepNext w:val="0"/>
              <w:keepLines w:val="0"/>
              <w:suppressLineNumbers w:val="0"/>
              <w:spacing w:before="0" w:beforeAutospacing="0" w:after="0" w:afterAutospacing="0"/>
              <w:ind w:left="0" w:right="0"/>
              <w:rPr>
                <w:rFonts w:hint="default"/>
                <w:color w:val="auto"/>
              </w:rPr>
            </w:pPr>
          </w:p>
          <w:p w14:paraId="4F029AE9">
            <w:pPr>
              <w:keepNext w:val="0"/>
              <w:keepLines w:val="0"/>
              <w:suppressLineNumbers w:val="0"/>
              <w:spacing w:before="0" w:beforeAutospacing="0" w:after="0" w:afterAutospacing="0"/>
              <w:ind w:left="0" w:right="0"/>
              <w:rPr>
                <w:rFonts w:hint="default"/>
                <w:color w:val="auto"/>
              </w:rPr>
            </w:pPr>
          </w:p>
          <w:p w14:paraId="7F940D1D">
            <w:pPr>
              <w:keepNext w:val="0"/>
              <w:keepLines w:val="0"/>
              <w:suppressLineNumbers w:val="0"/>
              <w:spacing w:before="0" w:beforeAutospacing="0" w:after="0" w:afterAutospacing="0"/>
              <w:ind w:left="0" w:right="0"/>
              <w:rPr>
                <w:rFonts w:hint="default"/>
                <w:color w:val="auto"/>
              </w:rPr>
            </w:pPr>
          </w:p>
          <w:p w14:paraId="2C2A6CAF">
            <w:pPr>
              <w:keepNext w:val="0"/>
              <w:keepLines w:val="0"/>
              <w:suppressLineNumbers w:val="0"/>
              <w:spacing w:before="0" w:beforeAutospacing="0" w:after="0" w:afterAutospacing="0"/>
              <w:ind w:left="0" w:right="0"/>
              <w:rPr>
                <w:rFonts w:hint="default"/>
                <w:color w:val="auto"/>
              </w:rPr>
            </w:pPr>
          </w:p>
          <w:p w14:paraId="6E8FEF6E">
            <w:pPr>
              <w:keepNext w:val="0"/>
              <w:keepLines w:val="0"/>
              <w:suppressLineNumbers w:val="0"/>
              <w:spacing w:before="0" w:beforeAutospacing="0" w:after="0" w:afterAutospacing="0"/>
              <w:ind w:left="0" w:right="0"/>
              <w:rPr>
                <w:rFonts w:hint="default"/>
                <w:color w:val="auto"/>
              </w:rPr>
            </w:pPr>
          </w:p>
          <w:p w14:paraId="699EFE09">
            <w:pPr>
              <w:keepNext w:val="0"/>
              <w:keepLines w:val="0"/>
              <w:suppressLineNumbers w:val="0"/>
              <w:spacing w:before="0" w:beforeAutospacing="0" w:after="0" w:afterAutospacing="0"/>
              <w:ind w:left="0" w:right="0"/>
              <w:rPr>
                <w:rFonts w:hint="default"/>
                <w:color w:val="auto"/>
              </w:rPr>
            </w:pPr>
          </w:p>
          <w:p w14:paraId="093EFFE5">
            <w:pPr>
              <w:keepNext w:val="0"/>
              <w:keepLines w:val="0"/>
              <w:suppressLineNumbers w:val="0"/>
              <w:spacing w:before="0" w:beforeAutospacing="0" w:after="0" w:afterAutospacing="0"/>
              <w:ind w:left="0" w:right="0"/>
              <w:rPr>
                <w:rFonts w:hint="default"/>
                <w:color w:val="auto"/>
              </w:rPr>
            </w:pPr>
          </w:p>
          <w:p w14:paraId="5C84DF0C">
            <w:pPr>
              <w:keepNext w:val="0"/>
              <w:keepLines w:val="0"/>
              <w:suppressLineNumbers w:val="0"/>
              <w:spacing w:before="0" w:beforeAutospacing="0" w:after="0" w:afterAutospacing="0"/>
              <w:ind w:left="0" w:right="0"/>
              <w:rPr>
                <w:rFonts w:hint="default"/>
                <w:color w:val="auto"/>
              </w:rPr>
            </w:pPr>
          </w:p>
          <w:p w14:paraId="381ECC34">
            <w:pPr>
              <w:keepNext w:val="0"/>
              <w:keepLines w:val="0"/>
              <w:suppressLineNumbers w:val="0"/>
              <w:spacing w:before="0" w:beforeAutospacing="0" w:after="0" w:afterAutospacing="0"/>
              <w:ind w:left="0" w:right="0"/>
              <w:rPr>
                <w:rFonts w:hint="default"/>
                <w:color w:val="auto"/>
              </w:rPr>
            </w:pPr>
          </w:p>
          <w:p w14:paraId="4BC1107B">
            <w:pPr>
              <w:keepNext w:val="0"/>
              <w:keepLines w:val="0"/>
              <w:suppressLineNumbers w:val="0"/>
              <w:spacing w:before="0" w:beforeAutospacing="0" w:after="0" w:afterAutospacing="0"/>
              <w:ind w:left="0" w:right="0"/>
              <w:rPr>
                <w:rFonts w:hint="default"/>
                <w:color w:val="auto"/>
              </w:rPr>
            </w:pPr>
          </w:p>
          <w:p w14:paraId="7356E17D">
            <w:pPr>
              <w:keepNext w:val="0"/>
              <w:keepLines w:val="0"/>
              <w:suppressLineNumbers w:val="0"/>
              <w:spacing w:before="0" w:beforeAutospacing="0" w:after="0" w:afterAutospacing="0"/>
              <w:ind w:left="0" w:right="0"/>
              <w:rPr>
                <w:rFonts w:hint="default"/>
                <w:color w:val="auto"/>
              </w:rPr>
            </w:pPr>
          </w:p>
          <w:p w14:paraId="780061E3">
            <w:pPr>
              <w:keepNext w:val="0"/>
              <w:keepLines w:val="0"/>
              <w:suppressLineNumbers w:val="0"/>
              <w:spacing w:before="0" w:beforeAutospacing="0" w:after="0" w:afterAutospacing="0"/>
              <w:ind w:left="0" w:right="0"/>
              <w:rPr>
                <w:rFonts w:hint="default"/>
                <w:color w:val="auto"/>
              </w:rPr>
            </w:pPr>
          </w:p>
          <w:p w14:paraId="576D799F">
            <w:pPr>
              <w:keepNext w:val="0"/>
              <w:keepLines w:val="0"/>
              <w:suppressLineNumbers w:val="0"/>
              <w:spacing w:before="0" w:beforeAutospacing="0" w:after="0" w:afterAutospacing="0"/>
              <w:ind w:left="0" w:right="0"/>
              <w:rPr>
                <w:rFonts w:hint="default"/>
                <w:color w:val="auto"/>
              </w:rPr>
            </w:pPr>
          </w:p>
          <w:p w14:paraId="2A24738D">
            <w:pPr>
              <w:keepNext w:val="0"/>
              <w:keepLines w:val="0"/>
              <w:suppressLineNumbers w:val="0"/>
              <w:spacing w:before="0" w:beforeAutospacing="0" w:after="0" w:afterAutospacing="0"/>
              <w:ind w:left="0" w:right="0"/>
              <w:rPr>
                <w:rFonts w:hint="default"/>
                <w:color w:val="auto"/>
              </w:rPr>
            </w:pPr>
          </w:p>
          <w:p w14:paraId="4B6ED236">
            <w:pPr>
              <w:keepNext w:val="0"/>
              <w:keepLines w:val="0"/>
              <w:suppressLineNumbers w:val="0"/>
              <w:spacing w:before="0" w:beforeAutospacing="0" w:after="0" w:afterAutospacing="0"/>
              <w:ind w:left="0" w:right="0"/>
              <w:rPr>
                <w:rFonts w:hint="default"/>
                <w:color w:val="auto"/>
              </w:rPr>
            </w:pPr>
          </w:p>
          <w:p w14:paraId="36C0D506">
            <w:pPr>
              <w:keepNext w:val="0"/>
              <w:keepLines w:val="0"/>
              <w:suppressLineNumbers w:val="0"/>
              <w:spacing w:before="0" w:beforeAutospacing="0" w:after="0" w:afterAutospacing="0"/>
              <w:ind w:left="0" w:right="0"/>
              <w:rPr>
                <w:rFonts w:hint="default"/>
                <w:color w:val="auto"/>
              </w:rPr>
            </w:pPr>
          </w:p>
        </w:tc>
      </w:tr>
    </w:tbl>
    <w:p w14:paraId="4F02CE30">
      <w:pPr>
        <w:rPr>
          <w:color w:val="auto"/>
        </w:rPr>
        <w:sectPr>
          <w:pgSz w:w="11906" w:h="16838"/>
          <w:pgMar w:top="1417" w:right="1417" w:bottom="1417" w:left="1417" w:header="851" w:footer="992" w:gutter="0"/>
          <w:pgBorders>
            <w:top w:val="none" w:sz="0" w:space="0"/>
            <w:left w:val="none" w:sz="0" w:space="0"/>
            <w:bottom w:val="none" w:sz="0" w:space="0"/>
            <w:right w:val="none" w:sz="0" w:space="0"/>
          </w:pgBorders>
          <w:cols w:space="425" w:num="1"/>
          <w:docGrid w:type="lines" w:linePitch="312" w:charSpace="0"/>
        </w:sectPr>
      </w:pPr>
    </w:p>
    <w:tbl>
      <w:tblPr>
        <w:tblStyle w:val="23"/>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510"/>
        <w:gridCol w:w="13484"/>
      </w:tblGrid>
      <w:tr w14:paraId="07FC5E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08" w:hRule="atLeast"/>
        </w:trPr>
        <w:tc>
          <w:tcPr>
            <w:tcW w:w="182" w:type="pct"/>
            <w:vAlign w:val="center"/>
          </w:tcPr>
          <w:p w14:paraId="39ACDF7B">
            <w:pPr>
              <w:keepNext w:val="0"/>
              <w:keepLines w:val="0"/>
              <w:suppressLineNumbers w:val="0"/>
              <w:spacing w:before="0" w:beforeAutospacing="0" w:after="0" w:afterAutospacing="0"/>
              <w:ind w:left="0" w:right="0"/>
              <w:jc w:val="center"/>
              <w:rPr>
                <w:rFonts w:hint="default" w:ascii="Times New Roman" w:hAnsi="Times New Roman" w:eastAsia="宋体" w:cs="Times New Roman"/>
                <w:b/>
                <w:bCs/>
                <w:color w:val="auto"/>
                <w:sz w:val="24"/>
              </w:rPr>
            </w:pPr>
            <w:r>
              <w:rPr>
                <w:rFonts w:hint="eastAsia" w:ascii="Times New Roman" w:hAnsi="Times New Roman" w:eastAsia="宋体" w:cs="Times New Roman"/>
                <w:b/>
                <w:bCs/>
                <w:color w:val="auto"/>
                <w:sz w:val="24"/>
              </w:rPr>
              <w:t>运营期环境影响和保护施</w:t>
            </w:r>
          </w:p>
        </w:tc>
        <w:tc>
          <w:tcPr>
            <w:tcW w:w="4817" w:type="pct"/>
            <w:vAlign w:val="center"/>
          </w:tcPr>
          <w:p w14:paraId="38063592">
            <w:pPr>
              <w:keepNext w:val="0"/>
              <w:keepLines w:val="0"/>
              <w:suppressLineNumbers w:val="0"/>
              <w:spacing w:before="0" w:beforeAutospacing="0" w:after="0" w:afterAutospacing="0" w:line="360" w:lineRule="auto"/>
              <w:ind w:left="0" w:right="0" w:firstLine="480" w:firstLineChars="200"/>
              <w:rPr>
                <w:rFonts w:hint="default" w:ascii="Times New Roman" w:hAnsi="Times New Roman" w:eastAsia="宋体" w:cs="Times New Roman"/>
                <w:color w:val="auto"/>
                <w:sz w:val="24"/>
              </w:rPr>
            </w:pPr>
            <w:r>
              <w:rPr>
                <w:rFonts w:hint="eastAsia" w:ascii="Times New Roman" w:hAnsi="Times New Roman" w:eastAsia="宋体" w:cs="Times New Roman"/>
                <w:color w:val="auto"/>
                <w:sz w:val="24"/>
              </w:rPr>
              <w:t>根据《固体废物鉴别标准 通则》规定，判断每种副产物均属于固体废物，具体见下表。</w:t>
            </w:r>
          </w:p>
          <w:p w14:paraId="6141EB3E">
            <w:pPr>
              <w:keepNext w:val="0"/>
              <w:keepLines w:val="0"/>
              <w:suppressLineNumbers w:val="0"/>
              <w:spacing w:before="0" w:beforeAutospacing="0" w:after="0" w:afterAutospacing="0"/>
              <w:ind w:left="0" w:right="0"/>
              <w:jc w:val="center"/>
              <w:rPr>
                <w:rFonts w:hint="default" w:ascii="Times New Roman" w:hAnsi="Times New Roman" w:eastAsia="宋体" w:cs="Times New Roman"/>
                <w:b/>
                <w:bCs/>
                <w:color w:val="auto"/>
              </w:rPr>
            </w:pPr>
            <w:r>
              <w:rPr>
                <w:rFonts w:hint="eastAsia" w:ascii="Times New Roman" w:hAnsi="Times New Roman" w:eastAsia="宋体" w:cs="Times New Roman"/>
                <w:b/>
                <w:bCs/>
                <w:color w:val="auto"/>
              </w:rPr>
              <w:t>表4-2</w:t>
            </w:r>
            <w:r>
              <w:rPr>
                <w:rFonts w:hint="eastAsia" w:ascii="Times New Roman" w:hAnsi="Times New Roman" w:eastAsia="宋体" w:cs="Times New Roman"/>
                <w:b/>
                <w:bCs/>
                <w:color w:val="auto"/>
                <w:lang w:val="en-US" w:eastAsia="zh-CN"/>
              </w:rPr>
              <w:t>3</w:t>
            </w:r>
            <w:r>
              <w:rPr>
                <w:rFonts w:hint="eastAsia" w:ascii="Times New Roman" w:hAnsi="Times New Roman" w:eastAsia="宋体" w:cs="Times New Roman"/>
                <w:b/>
                <w:bCs/>
                <w:color w:val="auto"/>
              </w:rPr>
              <w:t xml:space="preserve">  副产物属性判定表</w:t>
            </w:r>
          </w:p>
          <w:tbl>
            <w:tblPr>
              <w:tblStyle w:val="22"/>
              <w:tblW w:w="4997"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28" w:type="dxa"/>
                <w:bottom w:w="0" w:type="dxa"/>
                <w:right w:w="28" w:type="dxa"/>
              </w:tblCellMar>
            </w:tblPr>
            <w:tblGrid>
              <w:gridCol w:w="634"/>
              <w:gridCol w:w="1785"/>
              <w:gridCol w:w="1505"/>
              <w:gridCol w:w="1148"/>
              <w:gridCol w:w="997"/>
              <w:gridCol w:w="1598"/>
              <w:gridCol w:w="1317"/>
              <w:gridCol w:w="4267"/>
            </w:tblGrid>
            <w:tr w14:paraId="74B9BD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97" w:hRule="atLeast"/>
                <w:jc w:val="center"/>
              </w:trPr>
              <w:tc>
                <w:tcPr>
                  <w:tcW w:w="239" w:type="pct"/>
                  <w:vAlign w:val="center"/>
                </w:tcPr>
                <w:p w14:paraId="38EA951F">
                  <w:pPr>
                    <w:keepNext w:val="0"/>
                    <w:keepLines w:val="0"/>
                    <w:suppressLineNumbers w:val="0"/>
                    <w:spacing w:before="0" w:beforeAutospacing="0" w:after="0" w:afterAutospacing="0"/>
                    <w:ind w:left="0" w:right="0"/>
                    <w:jc w:val="center"/>
                    <w:rPr>
                      <w:rFonts w:hint="default" w:ascii="Times New Roman" w:hAnsi="Times New Roman" w:eastAsia="宋体" w:cs="Times New Roman"/>
                      <w:b/>
                      <w:bCs/>
                      <w:color w:val="auto"/>
                      <w:szCs w:val="21"/>
                    </w:rPr>
                  </w:pPr>
                  <w:r>
                    <w:rPr>
                      <w:rFonts w:hint="default" w:ascii="Times New Roman" w:hAnsi="Times New Roman" w:eastAsia="宋体" w:cs="Times New Roman"/>
                      <w:b/>
                      <w:bCs/>
                      <w:color w:val="auto"/>
                      <w:szCs w:val="21"/>
                    </w:rPr>
                    <w:t>序号</w:t>
                  </w:r>
                </w:p>
              </w:tc>
              <w:tc>
                <w:tcPr>
                  <w:tcW w:w="673" w:type="pct"/>
                  <w:vAlign w:val="center"/>
                </w:tcPr>
                <w:p w14:paraId="1A6799CF">
                  <w:pPr>
                    <w:keepNext w:val="0"/>
                    <w:keepLines w:val="0"/>
                    <w:suppressLineNumbers w:val="0"/>
                    <w:spacing w:before="0" w:beforeAutospacing="0" w:after="0" w:afterAutospacing="0"/>
                    <w:ind w:left="0" w:right="0"/>
                    <w:jc w:val="center"/>
                    <w:rPr>
                      <w:rFonts w:hint="default" w:ascii="Times New Roman" w:hAnsi="Times New Roman" w:eastAsia="宋体" w:cs="Times New Roman"/>
                      <w:b/>
                      <w:bCs/>
                      <w:color w:val="auto"/>
                      <w:szCs w:val="21"/>
                    </w:rPr>
                  </w:pPr>
                  <w:r>
                    <w:rPr>
                      <w:rFonts w:hint="default" w:ascii="Times New Roman" w:hAnsi="Times New Roman" w:eastAsia="宋体" w:cs="Times New Roman"/>
                      <w:b/>
                      <w:bCs/>
                      <w:color w:val="auto"/>
                      <w:szCs w:val="21"/>
                    </w:rPr>
                    <w:t>副产物名称</w:t>
                  </w:r>
                </w:p>
              </w:tc>
              <w:tc>
                <w:tcPr>
                  <w:tcW w:w="1001" w:type="pct"/>
                  <w:gridSpan w:val="2"/>
                  <w:vAlign w:val="center"/>
                </w:tcPr>
                <w:p w14:paraId="138461FC">
                  <w:pPr>
                    <w:keepNext w:val="0"/>
                    <w:keepLines w:val="0"/>
                    <w:suppressLineNumbers w:val="0"/>
                    <w:spacing w:before="0" w:beforeAutospacing="0" w:after="0" w:afterAutospacing="0"/>
                    <w:ind w:left="0" w:right="0"/>
                    <w:jc w:val="center"/>
                    <w:rPr>
                      <w:rFonts w:hint="default" w:ascii="Times New Roman" w:hAnsi="Times New Roman" w:eastAsia="宋体" w:cs="Times New Roman"/>
                      <w:b/>
                      <w:bCs/>
                      <w:color w:val="auto"/>
                      <w:szCs w:val="21"/>
                    </w:rPr>
                  </w:pPr>
                  <w:r>
                    <w:rPr>
                      <w:rFonts w:hint="default" w:ascii="Times New Roman" w:hAnsi="Times New Roman" w:eastAsia="宋体" w:cs="Times New Roman"/>
                      <w:b/>
                      <w:bCs/>
                      <w:color w:val="auto"/>
                      <w:szCs w:val="21"/>
                    </w:rPr>
                    <w:t>产生工序</w:t>
                  </w:r>
                </w:p>
              </w:tc>
              <w:tc>
                <w:tcPr>
                  <w:tcW w:w="376" w:type="pct"/>
                  <w:vAlign w:val="center"/>
                </w:tcPr>
                <w:p w14:paraId="58AFB479">
                  <w:pPr>
                    <w:keepNext w:val="0"/>
                    <w:keepLines w:val="0"/>
                    <w:suppressLineNumbers w:val="0"/>
                    <w:spacing w:before="0" w:beforeAutospacing="0" w:after="0" w:afterAutospacing="0"/>
                    <w:ind w:left="0" w:right="0"/>
                    <w:jc w:val="center"/>
                    <w:rPr>
                      <w:rFonts w:hint="default" w:ascii="Times New Roman" w:hAnsi="Times New Roman" w:eastAsia="宋体" w:cs="Times New Roman"/>
                      <w:b/>
                      <w:bCs/>
                      <w:color w:val="auto"/>
                      <w:szCs w:val="21"/>
                    </w:rPr>
                  </w:pPr>
                  <w:r>
                    <w:rPr>
                      <w:rFonts w:hint="default" w:ascii="Times New Roman" w:hAnsi="Times New Roman" w:eastAsia="宋体" w:cs="Times New Roman"/>
                      <w:b/>
                      <w:bCs/>
                      <w:color w:val="auto"/>
                      <w:szCs w:val="21"/>
                    </w:rPr>
                    <w:t>形态</w:t>
                  </w:r>
                </w:p>
              </w:tc>
              <w:tc>
                <w:tcPr>
                  <w:tcW w:w="602" w:type="pct"/>
                  <w:vAlign w:val="center"/>
                </w:tcPr>
                <w:p w14:paraId="67AB5B13">
                  <w:pPr>
                    <w:keepNext w:val="0"/>
                    <w:keepLines w:val="0"/>
                    <w:suppressLineNumbers w:val="0"/>
                    <w:spacing w:before="0" w:beforeAutospacing="0" w:after="0" w:afterAutospacing="0"/>
                    <w:ind w:left="0" w:right="0"/>
                    <w:jc w:val="center"/>
                    <w:rPr>
                      <w:rFonts w:hint="default" w:ascii="Times New Roman" w:hAnsi="Times New Roman" w:eastAsia="宋体" w:cs="Times New Roman"/>
                      <w:b/>
                      <w:bCs/>
                      <w:color w:val="auto"/>
                      <w:szCs w:val="21"/>
                    </w:rPr>
                  </w:pPr>
                  <w:r>
                    <w:rPr>
                      <w:rFonts w:hint="default" w:ascii="Times New Roman" w:hAnsi="Times New Roman" w:eastAsia="宋体" w:cs="Times New Roman"/>
                      <w:b/>
                      <w:bCs/>
                      <w:color w:val="auto"/>
                      <w:szCs w:val="21"/>
                    </w:rPr>
                    <w:t>主要成分</w:t>
                  </w:r>
                </w:p>
              </w:tc>
              <w:tc>
                <w:tcPr>
                  <w:tcW w:w="496" w:type="pct"/>
                  <w:vAlign w:val="center"/>
                </w:tcPr>
                <w:p w14:paraId="33D1CEEE">
                  <w:pPr>
                    <w:keepNext w:val="0"/>
                    <w:keepLines w:val="0"/>
                    <w:suppressLineNumbers w:val="0"/>
                    <w:spacing w:before="0" w:beforeAutospacing="0" w:after="0" w:afterAutospacing="0"/>
                    <w:ind w:left="0" w:right="0"/>
                    <w:jc w:val="center"/>
                    <w:rPr>
                      <w:rFonts w:hint="default" w:ascii="Times New Roman" w:hAnsi="Times New Roman" w:eastAsia="宋体" w:cs="Times New Roman"/>
                      <w:b/>
                      <w:bCs/>
                      <w:color w:val="auto"/>
                      <w:szCs w:val="21"/>
                    </w:rPr>
                  </w:pPr>
                  <w:r>
                    <w:rPr>
                      <w:rFonts w:hint="default" w:ascii="Times New Roman" w:hAnsi="Times New Roman" w:eastAsia="宋体" w:cs="Times New Roman"/>
                      <w:b/>
                      <w:bCs/>
                      <w:color w:val="auto"/>
                      <w:szCs w:val="21"/>
                    </w:rPr>
                    <w:t>是否属于固体废物</w:t>
                  </w:r>
                </w:p>
              </w:tc>
              <w:tc>
                <w:tcPr>
                  <w:tcW w:w="1610" w:type="pct"/>
                  <w:vAlign w:val="center"/>
                </w:tcPr>
                <w:p w14:paraId="12FC50F0">
                  <w:pPr>
                    <w:keepNext w:val="0"/>
                    <w:keepLines w:val="0"/>
                    <w:suppressLineNumbers w:val="0"/>
                    <w:spacing w:before="0" w:beforeAutospacing="0" w:after="0" w:afterAutospacing="0"/>
                    <w:ind w:left="0" w:right="0"/>
                    <w:jc w:val="center"/>
                    <w:rPr>
                      <w:rFonts w:hint="default" w:ascii="Times New Roman" w:hAnsi="Times New Roman" w:eastAsia="宋体" w:cs="Times New Roman"/>
                      <w:b/>
                      <w:bCs/>
                      <w:color w:val="auto"/>
                      <w:szCs w:val="21"/>
                    </w:rPr>
                  </w:pPr>
                  <w:r>
                    <w:rPr>
                      <w:rFonts w:hint="default" w:ascii="Times New Roman" w:hAnsi="Times New Roman" w:eastAsia="宋体" w:cs="Times New Roman"/>
                      <w:b/>
                      <w:bCs/>
                      <w:color w:val="auto"/>
                      <w:szCs w:val="21"/>
                    </w:rPr>
                    <w:t>判定依据</w:t>
                  </w:r>
                </w:p>
              </w:tc>
            </w:tr>
            <w:tr w14:paraId="06B04C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97" w:hRule="atLeast"/>
                <w:jc w:val="center"/>
              </w:trPr>
              <w:tc>
                <w:tcPr>
                  <w:tcW w:w="239" w:type="pct"/>
                  <w:vAlign w:val="center"/>
                </w:tcPr>
                <w:p w14:paraId="14B39800">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rPr>
                    <w:t>1</w:t>
                  </w:r>
                </w:p>
              </w:tc>
              <w:tc>
                <w:tcPr>
                  <w:tcW w:w="673" w:type="pct"/>
                  <w:vAlign w:val="center"/>
                </w:tcPr>
                <w:p w14:paraId="48DAFDC2">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rPr>
                    <w:t>生活垃圾</w:t>
                  </w:r>
                </w:p>
              </w:tc>
              <w:tc>
                <w:tcPr>
                  <w:tcW w:w="1001" w:type="pct"/>
                  <w:gridSpan w:val="2"/>
                  <w:vAlign w:val="center"/>
                </w:tcPr>
                <w:p w14:paraId="1445D971">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rPr>
                    <w:t>职工生活</w:t>
                  </w:r>
                </w:p>
              </w:tc>
              <w:tc>
                <w:tcPr>
                  <w:tcW w:w="376" w:type="pct"/>
                  <w:vAlign w:val="center"/>
                </w:tcPr>
                <w:p w14:paraId="56B36EFC">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rPr>
                    <w:t>固态</w:t>
                  </w:r>
                </w:p>
              </w:tc>
              <w:tc>
                <w:tcPr>
                  <w:tcW w:w="602" w:type="pct"/>
                  <w:vAlign w:val="center"/>
                </w:tcPr>
                <w:p w14:paraId="3CB59675">
                  <w:pPr>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rPr>
                    <w:t>生活垃圾</w:t>
                  </w:r>
                </w:p>
              </w:tc>
              <w:tc>
                <w:tcPr>
                  <w:tcW w:w="496" w:type="pct"/>
                  <w:vAlign w:val="center"/>
                </w:tcPr>
                <w:p w14:paraId="1D59E956">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rPr>
                    <w:t>是</w:t>
                  </w:r>
                </w:p>
              </w:tc>
              <w:tc>
                <w:tcPr>
                  <w:tcW w:w="1610" w:type="pct"/>
                  <w:vAlign w:val="center"/>
                </w:tcPr>
                <w:p w14:paraId="1D595220">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lang w:val="en-US" w:eastAsia="zh-CN"/>
                    </w:rPr>
                    <w:t>4.1 a）生活垃圾</w:t>
                  </w:r>
                </w:p>
              </w:tc>
            </w:tr>
            <w:tr w14:paraId="33EC52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97" w:hRule="atLeast"/>
                <w:jc w:val="center"/>
              </w:trPr>
              <w:tc>
                <w:tcPr>
                  <w:tcW w:w="239" w:type="pct"/>
                  <w:shd w:val="clear" w:color="auto" w:fill="auto"/>
                  <w:vAlign w:val="center"/>
                </w:tcPr>
                <w:p w14:paraId="0505A585">
                  <w:pPr>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color w:val="auto"/>
                      <w:kern w:val="2"/>
                      <w:sz w:val="21"/>
                      <w:szCs w:val="21"/>
                      <w:lang w:val="en-US" w:eastAsia="zh-CN" w:bidi="ar-SA"/>
                    </w:rPr>
                  </w:pPr>
                  <w:r>
                    <w:rPr>
                      <w:rFonts w:hint="default" w:ascii="Times New Roman" w:hAnsi="Times New Roman" w:eastAsia="宋体" w:cs="Times New Roman"/>
                      <w:color w:val="auto"/>
                      <w:szCs w:val="21"/>
                    </w:rPr>
                    <w:t>2</w:t>
                  </w:r>
                </w:p>
              </w:tc>
              <w:tc>
                <w:tcPr>
                  <w:tcW w:w="673" w:type="pct"/>
                  <w:shd w:val="clear" w:color="auto" w:fill="auto"/>
                  <w:vAlign w:val="center"/>
                </w:tcPr>
                <w:p w14:paraId="0BF87DDC">
                  <w:pPr>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color w:val="auto"/>
                      <w:kern w:val="2"/>
                      <w:sz w:val="21"/>
                      <w:szCs w:val="21"/>
                      <w:lang w:val="en-US" w:eastAsia="zh-CN" w:bidi="ar-SA"/>
                    </w:rPr>
                  </w:pPr>
                  <w:r>
                    <w:rPr>
                      <w:rFonts w:hint="eastAsia" w:ascii="Times New Roman" w:hAnsi="Times New Roman" w:eastAsia="宋体" w:cs="Times New Roman"/>
                      <w:color w:val="auto"/>
                      <w:szCs w:val="21"/>
                    </w:rPr>
                    <w:t>废PET膜</w:t>
                  </w:r>
                </w:p>
              </w:tc>
              <w:tc>
                <w:tcPr>
                  <w:tcW w:w="1001" w:type="pct"/>
                  <w:gridSpan w:val="2"/>
                  <w:vAlign w:val="center"/>
                </w:tcPr>
                <w:p w14:paraId="2E7F1D22">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rPr>
                    <w:t>收卷</w:t>
                  </w:r>
                </w:p>
              </w:tc>
              <w:tc>
                <w:tcPr>
                  <w:tcW w:w="376" w:type="pct"/>
                  <w:vAlign w:val="center"/>
                </w:tcPr>
                <w:p w14:paraId="2A7E024C">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rPr>
                    <w:t>固态</w:t>
                  </w:r>
                </w:p>
              </w:tc>
              <w:tc>
                <w:tcPr>
                  <w:tcW w:w="602" w:type="pct"/>
                  <w:vAlign w:val="center"/>
                </w:tcPr>
                <w:p w14:paraId="78F9211B">
                  <w:pPr>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color w:val="auto"/>
                      <w:szCs w:val="21"/>
                    </w:rPr>
                  </w:pPr>
                  <w:r>
                    <w:rPr>
                      <w:rFonts w:hint="eastAsia" w:ascii="Times New Roman" w:hAnsi="Times New Roman" w:eastAsia="宋体" w:cs="Times New Roman"/>
                      <w:color w:val="auto"/>
                      <w:szCs w:val="21"/>
                    </w:rPr>
                    <w:t>废PET膜</w:t>
                  </w:r>
                </w:p>
              </w:tc>
              <w:tc>
                <w:tcPr>
                  <w:tcW w:w="496" w:type="pct"/>
                  <w:vAlign w:val="center"/>
                </w:tcPr>
                <w:p w14:paraId="414AF93A">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rPr>
                    <w:t>是</w:t>
                  </w:r>
                </w:p>
              </w:tc>
              <w:tc>
                <w:tcPr>
                  <w:tcW w:w="1610" w:type="pct"/>
                  <w:vMerge w:val="restart"/>
                  <w:vAlign w:val="center"/>
                </w:tcPr>
                <w:p w14:paraId="2A31D410">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lang w:val="en-US" w:eastAsia="zh-CN"/>
                    </w:rPr>
                    <w:t>5.2e材料加工、改性、表面处理以及其他处理过程中产生的残余物质</w:t>
                  </w:r>
                </w:p>
              </w:tc>
            </w:tr>
            <w:tr w14:paraId="3CAF0E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07" w:hRule="atLeast"/>
                <w:jc w:val="center"/>
              </w:trPr>
              <w:tc>
                <w:tcPr>
                  <w:tcW w:w="239" w:type="pct"/>
                  <w:vMerge w:val="restart"/>
                  <w:shd w:val="clear" w:color="auto" w:fill="auto"/>
                  <w:vAlign w:val="center"/>
                </w:tcPr>
                <w:p w14:paraId="7C7E51A3">
                  <w:pPr>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rPr>
                    <w:t>3</w:t>
                  </w:r>
                </w:p>
              </w:tc>
              <w:tc>
                <w:tcPr>
                  <w:tcW w:w="673" w:type="pct"/>
                  <w:vMerge w:val="restart"/>
                  <w:shd w:val="clear" w:color="auto" w:fill="auto"/>
                  <w:vAlign w:val="center"/>
                </w:tcPr>
                <w:p w14:paraId="2949C8A3">
                  <w:pPr>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color w:val="auto"/>
                      <w:kern w:val="2"/>
                      <w:sz w:val="21"/>
                      <w:szCs w:val="21"/>
                      <w:lang w:val="en-US" w:eastAsia="zh-CN" w:bidi="ar-SA"/>
                    </w:rPr>
                  </w:pPr>
                  <w:r>
                    <w:rPr>
                      <w:rFonts w:hint="eastAsia" w:ascii="Times New Roman" w:hAnsi="Times New Roman" w:eastAsia="宋体" w:cs="Times New Roman"/>
                      <w:color w:val="auto"/>
                      <w:szCs w:val="21"/>
                    </w:rPr>
                    <w:t>边角料</w:t>
                  </w:r>
                </w:p>
              </w:tc>
              <w:tc>
                <w:tcPr>
                  <w:tcW w:w="567" w:type="pct"/>
                  <w:shd w:val="clear" w:color="auto" w:fill="auto"/>
                  <w:vAlign w:val="center"/>
                </w:tcPr>
                <w:p w14:paraId="07BB4B33">
                  <w:pPr>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color w:val="auto"/>
                      <w:kern w:val="2"/>
                      <w:sz w:val="21"/>
                      <w:szCs w:val="21"/>
                      <w:lang w:val="en-US" w:eastAsia="zh-CN" w:bidi="ar-SA"/>
                    </w:rPr>
                  </w:pPr>
                  <w:r>
                    <w:rPr>
                      <w:rFonts w:hint="eastAsia" w:ascii="Times New Roman" w:hAnsi="Times New Roman" w:eastAsia="宋体" w:cs="Times New Roman"/>
                      <w:color w:val="auto"/>
                      <w:szCs w:val="21"/>
                    </w:rPr>
                    <w:t>复合隔膜</w:t>
                  </w:r>
                </w:p>
              </w:tc>
              <w:tc>
                <w:tcPr>
                  <w:tcW w:w="433" w:type="pct"/>
                  <w:shd w:val="clear" w:color="auto" w:fill="auto"/>
                  <w:vAlign w:val="center"/>
                </w:tcPr>
                <w:p w14:paraId="07C8A345">
                  <w:pPr>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color w:val="auto"/>
                      <w:kern w:val="2"/>
                      <w:sz w:val="21"/>
                      <w:szCs w:val="21"/>
                      <w:lang w:val="en-US" w:eastAsia="zh-CN" w:bidi="ar-SA"/>
                    </w:rPr>
                  </w:pPr>
                  <w:r>
                    <w:rPr>
                      <w:rFonts w:hint="eastAsia" w:ascii="Times New Roman" w:hAnsi="Times New Roman" w:eastAsia="宋体" w:cs="Times New Roman"/>
                      <w:color w:val="auto"/>
                      <w:szCs w:val="21"/>
                    </w:rPr>
                    <w:t>裁切</w:t>
                  </w:r>
                </w:p>
              </w:tc>
              <w:tc>
                <w:tcPr>
                  <w:tcW w:w="376" w:type="pct"/>
                  <w:vMerge w:val="restart"/>
                  <w:vAlign w:val="center"/>
                </w:tcPr>
                <w:p w14:paraId="1948DF50">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rPr>
                    <w:t>固态</w:t>
                  </w:r>
                </w:p>
              </w:tc>
              <w:tc>
                <w:tcPr>
                  <w:tcW w:w="602" w:type="pct"/>
                  <w:vMerge w:val="restart"/>
                  <w:vAlign w:val="center"/>
                </w:tcPr>
                <w:p w14:paraId="33F68F9F">
                  <w:pPr>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color w:val="auto"/>
                      <w:szCs w:val="21"/>
                    </w:rPr>
                  </w:pPr>
                  <w:r>
                    <w:rPr>
                      <w:rFonts w:hint="eastAsia" w:ascii="Times New Roman" w:hAnsi="Times New Roman" w:eastAsia="宋体" w:cs="Times New Roman"/>
                      <w:color w:val="auto"/>
                      <w:szCs w:val="21"/>
                    </w:rPr>
                    <w:t>边角料</w:t>
                  </w:r>
                </w:p>
              </w:tc>
              <w:tc>
                <w:tcPr>
                  <w:tcW w:w="496" w:type="pct"/>
                  <w:vMerge w:val="restart"/>
                  <w:vAlign w:val="center"/>
                </w:tcPr>
                <w:p w14:paraId="6460A1B7">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rPr>
                    <w:t>是</w:t>
                  </w:r>
                </w:p>
              </w:tc>
              <w:tc>
                <w:tcPr>
                  <w:tcW w:w="1610" w:type="pct"/>
                  <w:vMerge w:val="continue"/>
                  <w:vAlign w:val="center"/>
                </w:tcPr>
                <w:p w14:paraId="148ABC4F">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p>
              </w:tc>
            </w:tr>
            <w:tr w14:paraId="183358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07" w:hRule="atLeast"/>
                <w:jc w:val="center"/>
              </w:trPr>
              <w:tc>
                <w:tcPr>
                  <w:tcW w:w="239" w:type="pct"/>
                  <w:vMerge w:val="continue"/>
                  <w:shd w:val="clear" w:color="auto" w:fill="auto"/>
                  <w:vAlign w:val="center"/>
                </w:tcPr>
                <w:p w14:paraId="26C73AAD">
                  <w:pPr>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color w:val="auto"/>
                      <w:kern w:val="2"/>
                      <w:sz w:val="21"/>
                      <w:szCs w:val="21"/>
                      <w:lang w:val="en-US" w:eastAsia="zh-CN" w:bidi="ar-SA"/>
                    </w:rPr>
                  </w:pPr>
                </w:p>
              </w:tc>
              <w:tc>
                <w:tcPr>
                  <w:tcW w:w="673" w:type="pct"/>
                  <w:vMerge w:val="continue"/>
                  <w:shd w:val="clear" w:color="auto" w:fill="auto"/>
                  <w:vAlign w:val="center"/>
                </w:tcPr>
                <w:p w14:paraId="781A04BA">
                  <w:pPr>
                    <w:keepNext w:val="0"/>
                    <w:keepLines w:val="0"/>
                    <w:suppressLineNumbers w:val="0"/>
                    <w:spacing w:before="0" w:beforeAutospacing="0" w:after="0" w:afterAutospacing="0"/>
                    <w:ind w:left="0" w:right="0"/>
                    <w:jc w:val="center"/>
                    <w:rPr>
                      <w:rFonts w:hint="default"/>
                      <w:color w:val="auto"/>
                    </w:rPr>
                  </w:pPr>
                </w:p>
              </w:tc>
              <w:tc>
                <w:tcPr>
                  <w:tcW w:w="567" w:type="pct"/>
                  <w:shd w:val="clear" w:color="auto" w:fill="auto"/>
                  <w:vAlign w:val="center"/>
                </w:tcPr>
                <w:p w14:paraId="070518F1">
                  <w:pPr>
                    <w:keepNext w:val="0"/>
                    <w:keepLines w:val="0"/>
                    <w:suppressLineNumbers w:val="0"/>
                    <w:spacing w:before="0" w:beforeAutospacing="0" w:after="0" w:afterAutospacing="0"/>
                    <w:ind w:left="0" w:right="0"/>
                    <w:jc w:val="center"/>
                    <w:rPr>
                      <w:rFonts w:hint="eastAsia" w:ascii="Times New Roman" w:hAnsi="Times New Roman" w:eastAsia="宋体" w:cs="Times New Roman"/>
                      <w:color w:val="auto"/>
                      <w:kern w:val="2"/>
                      <w:sz w:val="21"/>
                      <w:szCs w:val="21"/>
                      <w:lang w:val="en-US" w:eastAsia="zh-CN" w:bidi="ar-SA"/>
                    </w:rPr>
                  </w:pPr>
                  <w:r>
                    <w:rPr>
                      <w:rFonts w:hint="eastAsia" w:ascii="Times New Roman" w:hAnsi="Times New Roman" w:eastAsia="宋体" w:cs="Times New Roman"/>
                      <w:color w:val="auto"/>
                      <w:szCs w:val="21"/>
                    </w:rPr>
                    <w:t>纳米隔热板</w:t>
                  </w:r>
                </w:p>
              </w:tc>
              <w:tc>
                <w:tcPr>
                  <w:tcW w:w="433" w:type="pct"/>
                  <w:shd w:val="clear" w:color="auto" w:fill="auto"/>
                  <w:vAlign w:val="center"/>
                </w:tcPr>
                <w:p w14:paraId="530D7FD1">
                  <w:pPr>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color w:val="auto"/>
                      <w:kern w:val="2"/>
                      <w:sz w:val="21"/>
                      <w:szCs w:val="21"/>
                      <w:lang w:val="en-US" w:eastAsia="zh-CN" w:bidi="ar-SA"/>
                    </w:rPr>
                  </w:pPr>
                  <w:r>
                    <w:rPr>
                      <w:rFonts w:hint="eastAsia" w:ascii="Times New Roman" w:hAnsi="Times New Roman" w:eastAsia="宋体" w:cs="Times New Roman"/>
                      <w:color w:val="auto"/>
                      <w:szCs w:val="21"/>
                    </w:rPr>
                    <w:t>激光切割</w:t>
                  </w:r>
                  <w:r>
                    <w:rPr>
                      <w:rFonts w:hint="eastAsia" w:ascii="Times New Roman" w:hAnsi="Times New Roman" w:eastAsia="宋体" w:cs="Times New Roman"/>
                      <w:color w:val="auto"/>
                      <w:szCs w:val="21"/>
                      <w:lang w:eastAsia="zh-CN"/>
                    </w:rPr>
                    <w:t>、</w:t>
                  </w:r>
                  <w:r>
                    <w:rPr>
                      <w:rFonts w:hint="eastAsia" w:ascii="Times New Roman" w:hAnsi="Times New Roman" w:eastAsia="宋体" w:cs="Times New Roman"/>
                      <w:color w:val="auto"/>
                      <w:szCs w:val="21"/>
                      <w:lang w:val="en-US" w:eastAsia="zh-CN"/>
                    </w:rPr>
                    <w:t>修边裁切</w:t>
                  </w:r>
                </w:p>
              </w:tc>
              <w:tc>
                <w:tcPr>
                  <w:tcW w:w="376" w:type="pct"/>
                  <w:vMerge w:val="continue"/>
                  <w:vAlign w:val="center"/>
                </w:tcPr>
                <w:p w14:paraId="04125C22">
                  <w:pPr>
                    <w:keepNext w:val="0"/>
                    <w:keepLines w:val="0"/>
                    <w:suppressLineNumbers w:val="0"/>
                    <w:spacing w:before="0" w:beforeAutospacing="0" w:after="0" w:afterAutospacing="0"/>
                    <w:ind w:left="0" w:right="0"/>
                    <w:jc w:val="center"/>
                    <w:rPr>
                      <w:rFonts w:hint="default"/>
                      <w:color w:val="auto"/>
                    </w:rPr>
                  </w:pPr>
                </w:p>
              </w:tc>
              <w:tc>
                <w:tcPr>
                  <w:tcW w:w="602" w:type="pct"/>
                  <w:vMerge w:val="continue"/>
                  <w:vAlign w:val="center"/>
                </w:tcPr>
                <w:p w14:paraId="3CF2201B">
                  <w:pPr>
                    <w:keepNext w:val="0"/>
                    <w:keepLines w:val="0"/>
                    <w:suppressLineNumbers w:val="0"/>
                    <w:spacing w:before="0" w:beforeAutospacing="0" w:after="0" w:afterAutospacing="0"/>
                    <w:ind w:left="0" w:right="0"/>
                    <w:jc w:val="center"/>
                    <w:rPr>
                      <w:rFonts w:hint="default"/>
                      <w:color w:val="auto"/>
                    </w:rPr>
                  </w:pPr>
                </w:p>
              </w:tc>
              <w:tc>
                <w:tcPr>
                  <w:tcW w:w="496" w:type="pct"/>
                  <w:vMerge w:val="continue"/>
                  <w:vAlign w:val="center"/>
                </w:tcPr>
                <w:p w14:paraId="1467E8EA">
                  <w:pPr>
                    <w:keepNext w:val="0"/>
                    <w:keepLines w:val="0"/>
                    <w:suppressLineNumbers w:val="0"/>
                    <w:spacing w:before="0" w:beforeAutospacing="0" w:after="0" w:afterAutospacing="0"/>
                    <w:ind w:left="0" w:right="0"/>
                    <w:jc w:val="center"/>
                    <w:rPr>
                      <w:rFonts w:hint="default"/>
                      <w:color w:val="auto"/>
                    </w:rPr>
                  </w:pPr>
                </w:p>
              </w:tc>
              <w:tc>
                <w:tcPr>
                  <w:tcW w:w="1610" w:type="pct"/>
                  <w:vMerge w:val="continue"/>
                  <w:vAlign w:val="center"/>
                </w:tcPr>
                <w:p w14:paraId="7AE076AA">
                  <w:pPr>
                    <w:keepNext w:val="0"/>
                    <w:keepLines w:val="0"/>
                    <w:suppressLineNumbers w:val="0"/>
                    <w:spacing w:before="0" w:beforeAutospacing="0" w:after="0" w:afterAutospacing="0"/>
                    <w:ind w:left="0" w:right="0"/>
                    <w:jc w:val="center"/>
                    <w:rPr>
                      <w:rFonts w:hint="default"/>
                      <w:color w:val="auto"/>
                    </w:rPr>
                  </w:pPr>
                </w:p>
              </w:tc>
            </w:tr>
            <w:tr w14:paraId="50EA43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97" w:hRule="atLeast"/>
                <w:jc w:val="center"/>
              </w:trPr>
              <w:tc>
                <w:tcPr>
                  <w:tcW w:w="239" w:type="pct"/>
                  <w:shd w:val="clear" w:color="auto" w:fill="auto"/>
                  <w:vAlign w:val="center"/>
                </w:tcPr>
                <w:p w14:paraId="0E4EAD3D">
                  <w:pPr>
                    <w:keepNext w:val="0"/>
                    <w:keepLines w:val="0"/>
                    <w:suppressLineNumbers w:val="0"/>
                    <w:spacing w:before="0" w:beforeAutospacing="0" w:after="0" w:afterAutospacing="0"/>
                    <w:ind w:left="0" w:leftChars="0" w:right="0" w:rightChars="0"/>
                    <w:jc w:val="center"/>
                    <w:rPr>
                      <w:rFonts w:hint="eastAsia" w:ascii="Times New Roman" w:hAnsi="Times New Roman" w:eastAsia="宋体" w:cs="Times New Roman"/>
                      <w:color w:val="auto"/>
                      <w:kern w:val="2"/>
                      <w:sz w:val="21"/>
                      <w:szCs w:val="21"/>
                      <w:lang w:val="en-US" w:eastAsia="zh-CN" w:bidi="ar-SA"/>
                    </w:rPr>
                  </w:pPr>
                  <w:r>
                    <w:rPr>
                      <w:rFonts w:hint="eastAsia" w:ascii="Times New Roman" w:hAnsi="Times New Roman" w:eastAsia="宋体" w:cs="Times New Roman"/>
                      <w:color w:val="auto"/>
                      <w:szCs w:val="21"/>
                      <w:lang w:val="en-US" w:eastAsia="zh-CN"/>
                    </w:rPr>
                    <w:t>4</w:t>
                  </w:r>
                </w:p>
              </w:tc>
              <w:tc>
                <w:tcPr>
                  <w:tcW w:w="673" w:type="pct"/>
                  <w:shd w:val="clear" w:color="auto" w:fill="auto"/>
                  <w:vAlign w:val="center"/>
                </w:tcPr>
                <w:p w14:paraId="156D5117">
                  <w:pPr>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color w:val="auto"/>
                      <w:kern w:val="2"/>
                      <w:sz w:val="21"/>
                      <w:szCs w:val="21"/>
                      <w:lang w:val="en-US" w:eastAsia="zh-CN" w:bidi="ar-SA"/>
                    </w:rPr>
                  </w:pPr>
                  <w:r>
                    <w:rPr>
                      <w:rFonts w:hint="eastAsia" w:ascii="Times New Roman" w:hAnsi="Times New Roman" w:eastAsia="宋体" w:cs="Times New Roman"/>
                      <w:color w:val="auto"/>
                      <w:szCs w:val="21"/>
                    </w:rPr>
                    <w:t>不合格品</w:t>
                  </w:r>
                </w:p>
              </w:tc>
              <w:tc>
                <w:tcPr>
                  <w:tcW w:w="1001" w:type="pct"/>
                  <w:gridSpan w:val="2"/>
                  <w:shd w:val="clear" w:color="auto" w:fill="auto"/>
                  <w:vAlign w:val="center"/>
                </w:tcPr>
                <w:p w14:paraId="444E7D7B">
                  <w:pPr>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color w:val="auto"/>
                      <w:kern w:val="2"/>
                      <w:sz w:val="21"/>
                      <w:szCs w:val="21"/>
                      <w:lang w:val="en-US" w:eastAsia="zh-CN" w:bidi="ar-SA"/>
                    </w:rPr>
                  </w:pPr>
                  <w:r>
                    <w:rPr>
                      <w:rFonts w:hint="eastAsia" w:ascii="Times New Roman" w:hAnsi="Times New Roman" w:eastAsia="宋体" w:cs="Times New Roman"/>
                      <w:color w:val="auto"/>
                      <w:szCs w:val="21"/>
                    </w:rPr>
                    <w:t>检验</w:t>
                  </w:r>
                </w:p>
              </w:tc>
              <w:tc>
                <w:tcPr>
                  <w:tcW w:w="376" w:type="pct"/>
                  <w:vAlign w:val="center"/>
                </w:tcPr>
                <w:p w14:paraId="0EE352EE">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rPr>
                    <w:t>固态</w:t>
                  </w:r>
                </w:p>
              </w:tc>
              <w:tc>
                <w:tcPr>
                  <w:tcW w:w="602" w:type="pct"/>
                  <w:vAlign w:val="center"/>
                </w:tcPr>
                <w:p w14:paraId="3D6EBCA5">
                  <w:pPr>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color w:val="auto"/>
                      <w:szCs w:val="21"/>
                    </w:rPr>
                  </w:pPr>
                  <w:r>
                    <w:rPr>
                      <w:rFonts w:hint="eastAsia" w:ascii="Times New Roman" w:hAnsi="Times New Roman" w:eastAsia="宋体" w:cs="Times New Roman"/>
                      <w:color w:val="auto"/>
                      <w:szCs w:val="21"/>
                    </w:rPr>
                    <w:t>不合格品</w:t>
                  </w:r>
                </w:p>
              </w:tc>
              <w:tc>
                <w:tcPr>
                  <w:tcW w:w="496" w:type="pct"/>
                  <w:vAlign w:val="center"/>
                </w:tcPr>
                <w:p w14:paraId="77C6630C">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rPr>
                    <w:t>是</w:t>
                  </w:r>
                </w:p>
              </w:tc>
              <w:tc>
                <w:tcPr>
                  <w:tcW w:w="1610" w:type="pct"/>
                  <w:vAlign w:val="center"/>
                </w:tcPr>
                <w:p w14:paraId="0D529A1F">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lang w:val="en-US" w:eastAsia="zh-CN"/>
                    </w:rPr>
                    <w:t>4.1 g）存在外观缺陷、功能减退，或使用寿命到期等原因，不能满足使用要求而被原使用者放弃的耐久性消费品</w:t>
                  </w:r>
                </w:p>
              </w:tc>
            </w:tr>
            <w:tr w14:paraId="01C6B5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97" w:hRule="atLeast"/>
                <w:jc w:val="center"/>
              </w:trPr>
              <w:tc>
                <w:tcPr>
                  <w:tcW w:w="239" w:type="pct"/>
                  <w:shd w:val="clear" w:color="auto" w:fill="auto"/>
                  <w:vAlign w:val="center"/>
                </w:tcPr>
                <w:p w14:paraId="3F64F028">
                  <w:pPr>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color w:val="auto"/>
                      <w:kern w:val="2"/>
                      <w:sz w:val="21"/>
                      <w:szCs w:val="21"/>
                      <w:lang w:val="en-US" w:eastAsia="zh-CN" w:bidi="ar-SA"/>
                    </w:rPr>
                  </w:pPr>
                  <w:r>
                    <w:rPr>
                      <w:rFonts w:hint="default" w:ascii="Times New Roman" w:hAnsi="Times New Roman" w:eastAsia="宋体" w:cs="Times New Roman"/>
                      <w:color w:val="auto"/>
                      <w:szCs w:val="21"/>
                    </w:rPr>
                    <w:t>5</w:t>
                  </w:r>
                </w:p>
              </w:tc>
              <w:tc>
                <w:tcPr>
                  <w:tcW w:w="673" w:type="pct"/>
                  <w:shd w:val="clear" w:color="auto" w:fill="auto"/>
                  <w:vAlign w:val="center"/>
                </w:tcPr>
                <w:p w14:paraId="52B1B302">
                  <w:pPr>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color w:val="auto"/>
                      <w:kern w:val="2"/>
                      <w:sz w:val="21"/>
                      <w:szCs w:val="21"/>
                      <w:lang w:val="en-US" w:eastAsia="zh-CN" w:bidi="ar-SA"/>
                    </w:rPr>
                  </w:pPr>
                  <w:r>
                    <w:rPr>
                      <w:rFonts w:hint="default" w:ascii="Times New Roman" w:hAnsi="Times New Roman" w:eastAsia="宋体" w:cs="Times New Roman"/>
                      <w:color w:val="auto"/>
                      <w:szCs w:val="21"/>
                    </w:rPr>
                    <w:t>废</w:t>
                  </w:r>
                  <w:r>
                    <w:rPr>
                      <w:rFonts w:hint="eastAsia" w:ascii="Times New Roman" w:hAnsi="Times New Roman" w:eastAsia="宋体" w:cs="Times New Roman"/>
                      <w:color w:val="auto"/>
                      <w:szCs w:val="21"/>
                      <w:lang w:val="en-US" w:eastAsia="zh-CN"/>
                    </w:rPr>
                    <w:t>保护</w:t>
                  </w:r>
                  <w:r>
                    <w:rPr>
                      <w:rFonts w:hint="default" w:ascii="Times New Roman" w:hAnsi="Times New Roman" w:eastAsia="宋体" w:cs="Times New Roman"/>
                      <w:color w:val="auto"/>
                      <w:szCs w:val="21"/>
                    </w:rPr>
                    <w:t>膜</w:t>
                  </w:r>
                </w:p>
              </w:tc>
              <w:tc>
                <w:tcPr>
                  <w:tcW w:w="1001" w:type="pct"/>
                  <w:gridSpan w:val="2"/>
                  <w:shd w:val="clear" w:color="auto" w:fill="auto"/>
                  <w:vAlign w:val="center"/>
                </w:tcPr>
                <w:p w14:paraId="7D32B43D">
                  <w:pPr>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color w:val="auto"/>
                      <w:kern w:val="2"/>
                      <w:sz w:val="21"/>
                      <w:szCs w:val="21"/>
                      <w:lang w:val="en-US" w:eastAsia="zh-CN" w:bidi="ar-SA"/>
                    </w:rPr>
                  </w:pPr>
                  <w:r>
                    <w:rPr>
                      <w:rFonts w:hint="eastAsia" w:ascii="Times New Roman" w:hAnsi="Times New Roman" w:eastAsia="宋体" w:cs="Times New Roman"/>
                      <w:color w:val="auto"/>
                      <w:szCs w:val="21"/>
                      <w:lang w:val="en-US" w:eastAsia="zh-CN"/>
                    </w:rPr>
                    <w:t>贴胶</w:t>
                  </w:r>
                </w:p>
              </w:tc>
              <w:tc>
                <w:tcPr>
                  <w:tcW w:w="376" w:type="pct"/>
                  <w:vAlign w:val="center"/>
                </w:tcPr>
                <w:p w14:paraId="5045529B">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rPr>
                    <w:t>固态</w:t>
                  </w:r>
                </w:p>
              </w:tc>
              <w:tc>
                <w:tcPr>
                  <w:tcW w:w="602" w:type="pct"/>
                  <w:vAlign w:val="center"/>
                </w:tcPr>
                <w:p w14:paraId="42FDECE1">
                  <w:pPr>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rPr>
                    <w:t>废</w:t>
                  </w:r>
                  <w:r>
                    <w:rPr>
                      <w:rFonts w:hint="eastAsia" w:ascii="Times New Roman" w:hAnsi="Times New Roman" w:eastAsia="宋体" w:cs="Times New Roman"/>
                      <w:color w:val="auto"/>
                      <w:szCs w:val="21"/>
                      <w:lang w:val="en-US" w:eastAsia="zh-CN"/>
                    </w:rPr>
                    <w:t>保护</w:t>
                  </w:r>
                  <w:r>
                    <w:rPr>
                      <w:rFonts w:hint="default" w:ascii="Times New Roman" w:hAnsi="Times New Roman" w:eastAsia="宋体" w:cs="Times New Roman"/>
                      <w:color w:val="auto"/>
                      <w:szCs w:val="21"/>
                    </w:rPr>
                    <w:t>膜</w:t>
                  </w:r>
                </w:p>
              </w:tc>
              <w:tc>
                <w:tcPr>
                  <w:tcW w:w="496" w:type="pct"/>
                  <w:vAlign w:val="center"/>
                </w:tcPr>
                <w:p w14:paraId="1EBAC339">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rPr>
                    <w:t>是</w:t>
                  </w:r>
                </w:p>
              </w:tc>
              <w:tc>
                <w:tcPr>
                  <w:tcW w:w="1610" w:type="pct"/>
                  <w:vAlign w:val="center"/>
                </w:tcPr>
                <w:p w14:paraId="58A7DC0B">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lang w:val="en-US" w:eastAsia="zh-CN"/>
                    </w:rPr>
                    <w:t>5.2e材料加工、改性、表面处理以及其他处理过程中产生的残余物质</w:t>
                  </w:r>
                </w:p>
              </w:tc>
            </w:tr>
            <w:tr w14:paraId="69470D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97" w:hRule="atLeast"/>
                <w:jc w:val="center"/>
              </w:trPr>
              <w:tc>
                <w:tcPr>
                  <w:tcW w:w="239" w:type="pct"/>
                  <w:shd w:val="clear" w:color="auto" w:fill="auto"/>
                  <w:vAlign w:val="center"/>
                </w:tcPr>
                <w:p w14:paraId="549F8F2D">
                  <w:pPr>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color w:val="0000FF"/>
                      <w:kern w:val="2"/>
                      <w:sz w:val="21"/>
                      <w:szCs w:val="21"/>
                      <w:lang w:val="en-US" w:eastAsia="zh-CN" w:bidi="ar-SA"/>
                    </w:rPr>
                  </w:pPr>
                  <w:r>
                    <w:rPr>
                      <w:rFonts w:hint="default" w:ascii="Times New Roman" w:hAnsi="Times New Roman" w:eastAsia="宋体" w:cs="Times New Roman"/>
                      <w:color w:val="0000FF"/>
                      <w:szCs w:val="21"/>
                    </w:rPr>
                    <w:t>6</w:t>
                  </w:r>
                </w:p>
              </w:tc>
              <w:tc>
                <w:tcPr>
                  <w:tcW w:w="673" w:type="pct"/>
                  <w:shd w:val="clear" w:color="auto" w:fill="auto"/>
                  <w:vAlign w:val="center"/>
                </w:tcPr>
                <w:p w14:paraId="3D1AB26C">
                  <w:pPr>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color w:val="0000FF"/>
                      <w:szCs w:val="21"/>
                      <w:lang w:val="en-US" w:eastAsia="zh-CN"/>
                    </w:rPr>
                  </w:pPr>
                  <w:r>
                    <w:rPr>
                      <w:rFonts w:hint="default" w:ascii="Times New Roman" w:hAnsi="Times New Roman" w:eastAsia="宋体" w:cs="Times New Roman"/>
                      <w:color w:val="0000FF"/>
                      <w:szCs w:val="21"/>
                      <w:lang w:val="en-US" w:eastAsia="zh-CN"/>
                    </w:rPr>
                    <w:t>废泡棉条</w:t>
                  </w:r>
                </w:p>
                <w:p w14:paraId="57FF9FCC">
                  <w:pPr>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color w:val="0000FF"/>
                      <w:szCs w:val="21"/>
                    </w:rPr>
                  </w:pPr>
                  <w:r>
                    <w:rPr>
                      <w:rFonts w:hint="default" w:ascii="Times New Roman" w:hAnsi="Times New Roman" w:eastAsia="宋体" w:cs="Times New Roman"/>
                      <w:color w:val="0000FF"/>
                      <w:szCs w:val="21"/>
                      <w:lang w:val="en-US" w:eastAsia="zh-CN"/>
                    </w:rPr>
                    <w:t>（硅基条）</w:t>
                  </w:r>
                </w:p>
              </w:tc>
              <w:tc>
                <w:tcPr>
                  <w:tcW w:w="1001" w:type="pct"/>
                  <w:gridSpan w:val="2"/>
                  <w:shd w:val="clear" w:color="auto" w:fill="auto"/>
                  <w:vAlign w:val="center"/>
                </w:tcPr>
                <w:p w14:paraId="10397683">
                  <w:pPr>
                    <w:keepNext w:val="0"/>
                    <w:keepLines w:val="0"/>
                    <w:suppressLineNumbers w:val="0"/>
                    <w:spacing w:before="0" w:beforeAutospacing="0" w:after="0" w:afterAutospacing="0"/>
                    <w:ind w:left="0" w:leftChars="0" w:right="0" w:rightChars="0"/>
                    <w:jc w:val="center"/>
                    <w:rPr>
                      <w:rFonts w:hint="eastAsia" w:ascii="Times New Roman" w:hAnsi="Times New Roman" w:eastAsia="宋体" w:cs="Times New Roman"/>
                      <w:color w:val="0000FF"/>
                      <w:szCs w:val="21"/>
                      <w:lang w:val="en-US" w:eastAsia="zh-CN"/>
                    </w:rPr>
                  </w:pPr>
                  <w:r>
                    <w:rPr>
                      <w:rFonts w:hint="eastAsia" w:ascii="Times New Roman" w:hAnsi="Times New Roman" w:eastAsia="宋体" w:cs="Times New Roman"/>
                      <w:color w:val="0000FF"/>
                      <w:szCs w:val="21"/>
                      <w:lang w:val="en-US" w:eastAsia="zh-CN"/>
                    </w:rPr>
                    <w:t>辅料成型</w:t>
                  </w:r>
                </w:p>
              </w:tc>
              <w:tc>
                <w:tcPr>
                  <w:tcW w:w="376" w:type="pct"/>
                  <w:vAlign w:val="center"/>
                </w:tcPr>
                <w:p w14:paraId="1B55145A">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0000FF"/>
                      <w:szCs w:val="21"/>
                    </w:rPr>
                  </w:pPr>
                  <w:r>
                    <w:rPr>
                      <w:rFonts w:hint="default" w:ascii="Times New Roman" w:hAnsi="Times New Roman" w:eastAsia="宋体" w:cs="Times New Roman"/>
                      <w:color w:val="0000FF"/>
                      <w:szCs w:val="21"/>
                    </w:rPr>
                    <w:t>固态</w:t>
                  </w:r>
                </w:p>
              </w:tc>
              <w:tc>
                <w:tcPr>
                  <w:tcW w:w="602" w:type="pct"/>
                  <w:vAlign w:val="center"/>
                </w:tcPr>
                <w:p w14:paraId="79DC027E">
                  <w:pPr>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color w:val="0000FF"/>
                      <w:szCs w:val="21"/>
                      <w:lang w:val="en-US" w:eastAsia="zh-CN"/>
                    </w:rPr>
                  </w:pPr>
                  <w:r>
                    <w:rPr>
                      <w:rFonts w:hint="default" w:ascii="Times New Roman" w:hAnsi="Times New Roman" w:eastAsia="宋体" w:cs="Times New Roman"/>
                      <w:color w:val="0000FF"/>
                      <w:szCs w:val="21"/>
                      <w:lang w:val="en-US" w:eastAsia="zh-CN"/>
                    </w:rPr>
                    <w:t>废泡棉条</w:t>
                  </w:r>
                </w:p>
                <w:p w14:paraId="4DBB0D9A">
                  <w:pPr>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color w:val="0000FF"/>
                      <w:szCs w:val="21"/>
                    </w:rPr>
                  </w:pPr>
                  <w:r>
                    <w:rPr>
                      <w:rFonts w:hint="default" w:ascii="Times New Roman" w:hAnsi="Times New Roman" w:eastAsia="宋体" w:cs="Times New Roman"/>
                      <w:color w:val="0000FF"/>
                      <w:szCs w:val="21"/>
                      <w:lang w:val="en-US" w:eastAsia="zh-CN"/>
                    </w:rPr>
                    <w:t>（硅基条）</w:t>
                  </w:r>
                </w:p>
              </w:tc>
              <w:tc>
                <w:tcPr>
                  <w:tcW w:w="496" w:type="pct"/>
                  <w:vAlign w:val="center"/>
                </w:tcPr>
                <w:p w14:paraId="77E03CB6">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0000FF"/>
                      <w:szCs w:val="21"/>
                    </w:rPr>
                  </w:pPr>
                  <w:r>
                    <w:rPr>
                      <w:rFonts w:hint="default" w:ascii="Times New Roman" w:hAnsi="Times New Roman" w:eastAsia="宋体" w:cs="Times New Roman"/>
                      <w:color w:val="0000FF"/>
                      <w:szCs w:val="21"/>
                    </w:rPr>
                    <w:t>是</w:t>
                  </w:r>
                </w:p>
              </w:tc>
              <w:tc>
                <w:tcPr>
                  <w:tcW w:w="1610" w:type="pct"/>
                  <w:vAlign w:val="center"/>
                </w:tcPr>
                <w:p w14:paraId="5E24BB15">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0000FF"/>
                      <w:szCs w:val="21"/>
                      <w:lang w:val="en-US" w:eastAsia="zh-CN"/>
                    </w:rPr>
                  </w:pPr>
                  <w:r>
                    <w:rPr>
                      <w:rFonts w:hint="default" w:ascii="Times New Roman" w:hAnsi="Times New Roman" w:eastAsia="宋体" w:cs="Times New Roman"/>
                      <w:color w:val="0000FF"/>
                      <w:szCs w:val="21"/>
                      <w:lang w:val="en-US" w:eastAsia="zh-CN"/>
                    </w:rPr>
                    <w:t>5.2e材料加工、改性、表面处理以及其他处理过程中产生的残余物质</w:t>
                  </w:r>
                </w:p>
              </w:tc>
            </w:tr>
            <w:tr w14:paraId="16F716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97" w:hRule="atLeast"/>
                <w:jc w:val="center"/>
              </w:trPr>
              <w:tc>
                <w:tcPr>
                  <w:tcW w:w="239" w:type="pct"/>
                  <w:shd w:val="clear" w:color="auto" w:fill="auto"/>
                  <w:vAlign w:val="center"/>
                </w:tcPr>
                <w:p w14:paraId="49E56811">
                  <w:pPr>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color w:val="auto"/>
                      <w:kern w:val="2"/>
                      <w:sz w:val="21"/>
                      <w:szCs w:val="21"/>
                      <w:lang w:val="en-US" w:eastAsia="zh-CN" w:bidi="ar-SA"/>
                    </w:rPr>
                  </w:pPr>
                  <w:r>
                    <w:rPr>
                      <w:rFonts w:hint="default" w:ascii="Times New Roman" w:hAnsi="Times New Roman" w:eastAsia="宋体" w:cs="Times New Roman"/>
                      <w:color w:val="auto"/>
                      <w:szCs w:val="21"/>
                    </w:rPr>
                    <w:t>7</w:t>
                  </w:r>
                </w:p>
              </w:tc>
              <w:tc>
                <w:tcPr>
                  <w:tcW w:w="673" w:type="pct"/>
                  <w:shd w:val="clear" w:color="auto" w:fill="auto"/>
                  <w:vAlign w:val="center"/>
                </w:tcPr>
                <w:p w14:paraId="47E401A3">
                  <w:pPr>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color w:val="auto"/>
                      <w:kern w:val="2"/>
                      <w:sz w:val="21"/>
                      <w:szCs w:val="21"/>
                      <w:lang w:val="en-US" w:eastAsia="zh-CN" w:bidi="ar-SA"/>
                    </w:rPr>
                  </w:pPr>
                  <w:r>
                    <w:rPr>
                      <w:rFonts w:hint="default" w:ascii="Times New Roman" w:hAnsi="Times New Roman" w:eastAsia="宋体" w:cs="Times New Roman"/>
                      <w:color w:val="auto"/>
                      <w:kern w:val="0"/>
                      <w:szCs w:val="21"/>
                      <w:lang w:bidi="ar"/>
                    </w:rPr>
                    <w:t>废包装材料</w:t>
                  </w:r>
                </w:p>
              </w:tc>
              <w:tc>
                <w:tcPr>
                  <w:tcW w:w="1001" w:type="pct"/>
                  <w:gridSpan w:val="2"/>
                  <w:shd w:val="clear" w:color="auto" w:fill="auto"/>
                  <w:vAlign w:val="center"/>
                </w:tcPr>
                <w:p w14:paraId="371C48F8">
                  <w:pPr>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color w:val="auto"/>
                      <w:kern w:val="2"/>
                      <w:sz w:val="21"/>
                      <w:szCs w:val="21"/>
                      <w:lang w:val="en-US" w:eastAsia="zh-CN" w:bidi="ar-SA"/>
                    </w:rPr>
                  </w:pPr>
                  <w:r>
                    <w:rPr>
                      <w:rFonts w:hint="eastAsia" w:ascii="Times New Roman" w:hAnsi="Times New Roman" w:eastAsia="宋体" w:cs="Times New Roman"/>
                      <w:color w:val="auto"/>
                      <w:szCs w:val="21"/>
                      <w:lang w:val="en-US" w:eastAsia="zh-CN"/>
                    </w:rPr>
                    <w:t>原辅材料使用后</w:t>
                  </w:r>
                </w:p>
              </w:tc>
              <w:tc>
                <w:tcPr>
                  <w:tcW w:w="376" w:type="pct"/>
                  <w:vAlign w:val="center"/>
                </w:tcPr>
                <w:p w14:paraId="38EE09A1">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rPr>
                    <w:t>固态</w:t>
                  </w:r>
                </w:p>
              </w:tc>
              <w:tc>
                <w:tcPr>
                  <w:tcW w:w="602" w:type="pct"/>
                  <w:vAlign w:val="center"/>
                </w:tcPr>
                <w:p w14:paraId="02C1EF96">
                  <w:pPr>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color w:val="auto"/>
                      <w:szCs w:val="21"/>
                    </w:rPr>
                  </w:pPr>
                  <w:r>
                    <w:rPr>
                      <w:rFonts w:hint="default" w:ascii="Times New Roman" w:hAnsi="Times New Roman" w:eastAsia="宋体" w:cs="Times New Roman"/>
                      <w:color w:val="auto"/>
                      <w:kern w:val="0"/>
                      <w:szCs w:val="21"/>
                      <w:lang w:bidi="ar"/>
                    </w:rPr>
                    <w:t>废包装材料</w:t>
                  </w:r>
                </w:p>
              </w:tc>
              <w:tc>
                <w:tcPr>
                  <w:tcW w:w="496" w:type="pct"/>
                  <w:vAlign w:val="center"/>
                </w:tcPr>
                <w:p w14:paraId="1943C02B">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rPr>
                    <w:t>是</w:t>
                  </w:r>
                </w:p>
              </w:tc>
              <w:tc>
                <w:tcPr>
                  <w:tcW w:w="1610" w:type="pct"/>
                  <w:vAlign w:val="center"/>
                </w:tcPr>
                <w:p w14:paraId="0CD7078E">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lang w:val="en-US" w:eastAsia="zh-CN"/>
                    </w:rPr>
                    <w:t>4.1 c）生产、生活和其他活动中使用过的一次性物品，以及其他不能按原有用途使用的非耐久性日常用品</w:t>
                  </w:r>
                </w:p>
              </w:tc>
            </w:tr>
            <w:tr w14:paraId="17BC14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97" w:hRule="atLeast"/>
                <w:jc w:val="center"/>
              </w:trPr>
              <w:tc>
                <w:tcPr>
                  <w:tcW w:w="239" w:type="pct"/>
                  <w:shd w:val="clear" w:color="auto" w:fill="auto"/>
                  <w:vAlign w:val="center"/>
                </w:tcPr>
                <w:p w14:paraId="30A1D957">
                  <w:pPr>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color w:val="auto"/>
                      <w:kern w:val="2"/>
                      <w:sz w:val="21"/>
                      <w:szCs w:val="21"/>
                      <w:lang w:val="en-US" w:eastAsia="zh-CN" w:bidi="ar-SA"/>
                    </w:rPr>
                  </w:pPr>
                  <w:r>
                    <w:rPr>
                      <w:rFonts w:hint="default" w:ascii="Times New Roman" w:hAnsi="Times New Roman" w:eastAsia="宋体" w:cs="Times New Roman"/>
                      <w:color w:val="auto"/>
                      <w:szCs w:val="21"/>
                    </w:rPr>
                    <w:t>8</w:t>
                  </w:r>
                </w:p>
              </w:tc>
              <w:tc>
                <w:tcPr>
                  <w:tcW w:w="673" w:type="pct"/>
                  <w:shd w:val="clear" w:color="auto" w:fill="auto"/>
                  <w:vAlign w:val="center"/>
                </w:tcPr>
                <w:p w14:paraId="38AF13F0">
                  <w:pPr>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color w:val="auto"/>
                      <w:kern w:val="2"/>
                      <w:sz w:val="21"/>
                      <w:szCs w:val="21"/>
                      <w:lang w:val="en-US" w:eastAsia="zh-CN" w:bidi="ar-SA"/>
                    </w:rPr>
                  </w:pPr>
                  <w:r>
                    <w:rPr>
                      <w:rFonts w:hint="default" w:ascii="Times New Roman" w:hAnsi="Times New Roman" w:eastAsia="宋体" w:cs="Times New Roman"/>
                      <w:color w:val="auto"/>
                      <w:kern w:val="2"/>
                      <w:sz w:val="21"/>
                      <w:szCs w:val="21"/>
                      <w:lang w:val="en-US" w:eastAsia="zh-CN" w:bidi="ar-SA"/>
                    </w:rPr>
                    <w:t>收集的粉尘</w:t>
                  </w:r>
                </w:p>
              </w:tc>
              <w:tc>
                <w:tcPr>
                  <w:tcW w:w="1001" w:type="pct"/>
                  <w:gridSpan w:val="2"/>
                  <w:vAlign w:val="center"/>
                </w:tcPr>
                <w:p w14:paraId="4908137A">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rPr>
                    <w:t>废气处理</w:t>
                  </w:r>
                </w:p>
              </w:tc>
              <w:tc>
                <w:tcPr>
                  <w:tcW w:w="376" w:type="pct"/>
                  <w:vAlign w:val="center"/>
                </w:tcPr>
                <w:p w14:paraId="130E764D">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rPr>
                    <w:t>固态</w:t>
                  </w:r>
                </w:p>
              </w:tc>
              <w:tc>
                <w:tcPr>
                  <w:tcW w:w="602" w:type="pct"/>
                  <w:vAlign w:val="center"/>
                </w:tcPr>
                <w:p w14:paraId="461BD1B5">
                  <w:pPr>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color w:val="auto"/>
                      <w:szCs w:val="21"/>
                    </w:rPr>
                  </w:pPr>
                  <w:r>
                    <w:rPr>
                      <w:rFonts w:hint="default" w:ascii="Times New Roman" w:hAnsi="Times New Roman" w:eastAsia="宋体" w:cs="Times New Roman"/>
                      <w:color w:val="auto"/>
                      <w:kern w:val="2"/>
                      <w:sz w:val="21"/>
                      <w:szCs w:val="21"/>
                      <w:lang w:val="en-US" w:eastAsia="zh-CN" w:bidi="ar-SA"/>
                    </w:rPr>
                    <w:t>收集的粉尘</w:t>
                  </w:r>
                </w:p>
              </w:tc>
              <w:tc>
                <w:tcPr>
                  <w:tcW w:w="496" w:type="pct"/>
                  <w:vAlign w:val="center"/>
                </w:tcPr>
                <w:p w14:paraId="5F01FBFF">
                  <w:pPr>
                    <w:keepNext w:val="0"/>
                    <w:keepLines w:val="0"/>
                    <w:suppressLineNumbers w:val="0"/>
                    <w:spacing w:before="0" w:beforeAutospacing="0" w:after="0" w:afterAutospacing="0"/>
                    <w:ind w:left="0" w:right="0"/>
                    <w:jc w:val="center"/>
                    <w:rPr>
                      <w:rFonts w:hint="eastAsia" w:ascii="Times New Roman" w:hAnsi="Times New Roman" w:eastAsia="宋体" w:cs="Times New Roman"/>
                      <w:color w:val="auto"/>
                      <w:szCs w:val="21"/>
                      <w:lang w:val="en-US" w:eastAsia="zh-CN"/>
                    </w:rPr>
                  </w:pPr>
                  <w:r>
                    <w:rPr>
                      <w:rFonts w:hint="eastAsia" w:ascii="Times New Roman" w:hAnsi="Times New Roman" w:eastAsia="宋体" w:cs="Times New Roman"/>
                      <w:color w:val="auto"/>
                      <w:szCs w:val="21"/>
                      <w:lang w:val="en-US" w:eastAsia="zh-CN"/>
                    </w:rPr>
                    <w:t>否</w:t>
                  </w:r>
                </w:p>
              </w:tc>
              <w:tc>
                <w:tcPr>
                  <w:tcW w:w="1610" w:type="pct"/>
                  <w:vAlign w:val="center"/>
                </w:tcPr>
                <w:p w14:paraId="24DB2619">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lang w:val="en-US" w:eastAsia="zh-CN"/>
                    </w:rPr>
                    <w:t>4.2.2 b不需要任何修复、加工，或存在功能缺陷但已恢复其原有使用功能的耐久性消费品（包含机电产品及零部件、元器件、生产装置、总成、容器）</w:t>
                  </w:r>
                </w:p>
              </w:tc>
            </w:tr>
            <w:tr w14:paraId="1BD6C2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97" w:hRule="atLeast"/>
                <w:jc w:val="center"/>
              </w:trPr>
              <w:tc>
                <w:tcPr>
                  <w:tcW w:w="239" w:type="pct"/>
                  <w:shd w:val="clear" w:color="auto" w:fill="auto"/>
                  <w:vAlign w:val="center"/>
                </w:tcPr>
                <w:p w14:paraId="19540D99">
                  <w:pPr>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color w:val="auto"/>
                      <w:kern w:val="2"/>
                      <w:sz w:val="21"/>
                      <w:szCs w:val="21"/>
                      <w:lang w:val="en-US" w:eastAsia="zh-CN" w:bidi="ar-SA"/>
                    </w:rPr>
                  </w:pPr>
                  <w:r>
                    <w:rPr>
                      <w:rFonts w:hint="default" w:ascii="Times New Roman" w:hAnsi="Times New Roman" w:eastAsia="宋体" w:cs="Times New Roman"/>
                      <w:color w:val="auto"/>
                      <w:szCs w:val="21"/>
                    </w:rPr>
                    <w:t>9</w:t>
                  </w:r>
                </w:p>
              </w:tc>
              <w:tc>
                <w:tcPr>
                  <w:tcW w:w="673" w:type="pct"/>
                  <w:vAlign w:val="center"/>
                </w:tcPr>
                <w:p w14:paraId="0EC852CB">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lang w:val="en-US" w:eastAsia="zh-CN"/>
                    </w:rPr>
                    <w:t>废布袋</w:t>
                  </w:r>
                </w:p>
              </w:tc>
              <w:tc>
                <w:tcPr>
                  <w:tcW w:w="1001" w:type="pct"/>
                  <w:gridSpan w:val="2"/>
                  <w:vAlign w:val="center"/>
                </w:tcPr>
                <w:p w14:paraId="6123EEF8">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rPr>
                    <w:t>废气处理</w:t>
                  </w:r>
                </w:p>
              </w:tc>
              <w:tc>
                <w:tcPr>
                  <w:tcW w:w="376" w:type="pct"/>
                  <w:vAlign w:val="center"/>
                </w:tcPr>
                <w:p w14:paraId="4CE935B3">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rPr>
                    <w:t>固态</w:t>
                  </w:r>
                </w:p>
              </w:tc>
              <w:tc>
                <w:tcPr>
                  <w:tcW w:w="602" w:type="pct"/>
                  <w:vAlign w:val="center"/>
                </w:tcPr>
                <w:p w14:paraId="6C23F4A7">
                  <w:pPr>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lang w:val="en-US" w:eastAsia="zh-CN"/>
                    </w:rPr>
                    <w:t>废布袋</w:t>
                  </w:r>
                </w:p>
              </w:tc>
              <w:tc>
                <w:tcPr>
                  <w:tcW w:w="496" w:type="pct"/>
                  <w:vAlign w:val="center"/>
                </w:tcPr>
                <w:p w14:paraId="6A2F4174">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rPr>
                    <w:t>是</w:t>
                  </w:r>
                </w:p>
              </w:tc>
              <w:tc>
                <w:tcPr>
                  <w:tcW w:w="1610" w:type="pct"/>
                  <w:vMerge w:val="restart"/>
                  <w:vAlign w:val="center"/>
                </w:tcPr>
                <w:p w14:paraId="2811FB8A">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lang w:val="en-US" w:eastAsia="zh-CN"/>
                    </w:rPr>
                    <w:t>4.1 g）存在外观缺陷、功能减退，或使用寿命到期等原因，不能满足使用要求而被原使用者放弃的耐久性消费品</w:t>
                  </w:r>
                </w:p>
              </w:tc>
            </w:tr>
            <w:tr w14:paraId="571541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97" w:hRule="atLeast"/>
                <w:jc w:val="center"/>
              </w:trPr>
              <w:tc>
                <w:tcPr>
                  <w:tcW w:w="239" w:type="pct"/>
                  <w:shd w:val="clear" w:color="auto" w:fill="auto"/>
                  <w:vAlign w:val="center"/>
                </w:tcPr>
                <w:p w14:paraId="5E62CA3E">
                  <w:pPr>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color w:val="0000E1"/>
                      <w:kern w:val="2"/>
                      <w:sz w:val="21"/>
                      <w:szCs w:val="21"/>
                      <w:lang w:val="en-US" w:eastAsia="zh-CN" w:bidi="ar-SA"/>
                    </w:rPr>
                  </w:pPr>
                  <w:r>
                    <w:rPr>
                      <w:rFonts w:hint="default" w:ascii="Times New Roman" w:hAnsi="Times New Roman" w:eastAsia="宋体" w:cs="Times New Roman"/>
                      <w:color w:val="0000E1"/>
                      <w:szCs w:val="21"/>
                    </w:rPr>
                    <w:t>10</w:t>
                  </w:r>
                </w:p>
              </w:tc>
              <w:tc>
                <w:tcPr>
                  <w:tcW w:w="673" w:type="pct"/>
                  <w:vAlign w:val="center"/>
                </w:tcPr>
                <w:p w14:paraId="17120670">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0000E1"/>
                      <w:szCs w:val="21"/>
                      <w:lang w:val="en-US" w:eastAsia="zh-CN"/>
                    </w:rPr>
                  </w:pPr>
                  <w:r>
                    <w:rPr>
                      <w:rFonts w:hint="default" w:ascii="Times New Roman" w:hAnsi="Times New Roman" w:eastAsia="宋体" w:cs="Times New Roman"/>
                      <w:color w:val="0000E1"/>
                      <w:szCs w:val="21"/>
                      <w:lang w:val="en-US" w:eastAsia="zh-CN"/>
                    </w:rPr>
                    <w:t>废滤筒</w:t>
                  </w:r>
                </w:p>
              </w:tc>
              <w:tc>
                <w:tcPr>
                  <w:tcW w:w="1001" w:type="pct"/>
                  <w:gridSpan w:val="2"/>
                  <w:shd w:val="clear" w:color="auto" w:fill="auto"/>
                  <w:vAlign w:val="center"/>
                </w:tcPr>
                <w:p w14:paraId="4EEFF30C">
                  <w:pPr>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color w:val="0000E1"/>
                      <w:kern w:val="2"/>
                      <w:sz w:val="21"/>
                      <w:szCs w:val="21"/>
                      <w:lang w:val="en-US" w:eastAsia="zh-CN" w:bidi="ar-SA"/>
                    </w:rPr>
                  </w:pPr>
                  <w:r>
                    <w:rPr>
                      <w:rFonts w:hint="default" w:ascii="Times New Roman" w:hAnsi="Times New Roman" w:eastAsia="宋体" w:cs="Times New Roman"/>
                      <w:color w:val="0000E1"/>
                      <w:szCs w:val="21"/>
                    </w:rPr>
                    <w:t>废气处理</w:t>
                  </w:r>
                </w:p>
              </w:tc>
              <w:tc>
                <w:tcPr>
                  <w:tcW w:w="376" w:type="pct"/>
                  <w:shd w:val="clear" w:color="auto" w:fill="auto"/>
                  <w:vAlign w:val="center"/>
                </w:tcPr>
                <w:p w14:paraId="7A68759D">
                  <w:pPr>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color w:val="0000E1"/>
                      <w:kern w:val="2"/>
                      <w:sz w:val="21"/>
                      <w:szCs w:val="21"/>
                      <w:lang w:val="en-US" w:eastAsia="zh-CN" w:bidi="ar-SA"/>
                    </w:rPr>
                  </w:pPr>
                  <w:r>
                    <w:rPr>
                      <w:rFonts w:hint="default" w:ascii="Times New Roman" w:hAnsi="Times New Roman" w:eastAsia="宋体" w:cs="Times New Roman"/>
                      <w:color w:val="0000E1"/>
                      <w:szCs w:val="21"/>
                    </w:rPr>
                    <w:t>固态</w:t>
                  </w:r>
                </w:p>
              </w:tc>
              <w:tc>
                <w:tcPr>
                  <w:tcW w:w="602" w:type="pct"/>
                  <w:vAlign w:val="center"/>
                </w:tcPr>
                <w:p w14:paraId="4B41224E">
                  <w:pPr>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color w:val="0000E1"/>
                      <w:szCs w:val="21"/>
                      <w:lang w:val="en-US" w:eastAsia="zh-CN"/>
                    </w:rPr>
                  </w:pPr>
                  <w:r>
                    <w:rPr>
                      <w:rFonts w:hint="default" w:ascii="Times New Roman" w:hAnsi="Times New Roman" w:eastAsia="宋体" w:cs="Times New Roman"/>
                      <w:color w:val="0000E1"/>
                      <w:szCs w:val="21"/>
                      <w:lang w:val="en-US" w:eastAsia="zh-CN"/>
                    </w:rPr>
                    <w:t>废滤筒</w:t>
                  </w:r>
                </w:p>
              </w:tc>
              <w:tc>
                <w:tcPr>
                  <w:tcW w:w="496" w:type="pct"/>
                  <w:vAlign w:val="center"/>
                </w:tcPr>
                <w:p w14:paraId="36A047E1">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0000E1"/>
                      <w:szCs w:val="21"/>
                    </w:rPr>
                  </w:pPr>
                  <w:r>
                    <w:rPr>
                      <w:rFonts w:hint="default" w:ascii="Times New Roman" w:hAnsi="Times New Roman" w:eastAsia="宋体" w:cs="Times New Roman"/>
                      <w:color w:val="0000E1"/>
                      <w:szCs w:val="21"/>
                    </w:rPr>
                    <w:t>是</w:t>
                  </w:r>
                </w:p>
              </w:tc>
              <w:tc>
                <w:tcPr>
                  <w:tcW w:w="1610" w:type="pct"/>
                  <w:vMerge w:val="continue"/>
                  <w:vAlign w:val="center"/>
                </w:tcPr>
                <w:p w14:paraId="600E12E3">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lang w:val="en-US" w:eastAsia="zh-CN"/>
                    </w:rPr>
                  </w:pPr>
                </w:p>
              </w:tc>
            </w:tr>
            <w:tr w14:paraId="69EB6E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97" w:hRule="atLeast"/>
                <w:jc w:val="center"/>
              </w:trPr>
              <w:tc>
                <w:tcPr>
                  <w:tcW w:w="239" w:type="pct"/>
                  <w:shd w:val="clear" w:color="auto" w:fill="auto"/>
                  <w:vAlign w:val="center"/>
                </w:tcPr>
                <w:p w14:paraId="3CA377C9">
                  <w:pPr>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color w:val="auto"/>
                      <w:kern w:val="2"/>
                      <w:sz w:val="21"/>
                      <w:szCs w:val="21"/>
                      <w:lang w:val="en-US" w:eastAsia="zh-CN" w:bidi="ar-SA"/>
                    </w:rPr>
                  </w:pPr>
                  <w:r>
                    <w:rPr>
                      <w:rFonts w:hint="default" w:ascii="Times New Roman" w:hAnsi="Times New Roman" w:eastAsia="宋体" w:cs="Times New Roman"/>
                      <w:color w:val="auto"/>
                      <w:szCs w:val="21"/>
                    </w:rPr>
                    <w:t>11</w:t>
                  </w:r>
                </w:p>
              </w:tc>
              <w:tc>
                <w:tcPr>
                  <w:tcW w:w="673" w:type="pct"/>
                  <w:shd w:val="clear" w:color="auto" w:fill="auto"/>
                  <w:vAlign w:val="center"/>
                </w:tcPr>
                <w:p w14:paraId="332C2BE6">
                  <w:pPr>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color w:val="auto"/>
                      <w:kern w:val="2"/>
                      <w:sz w:val="21"/>
                      <w:szCs w:val="21"/>
                      <w:lang w:val="en-US" w:eastAsia="zh-CN" w:bidi="ar-SA"/>
                    </w:rPr>
                  </w:pPr>
                  <w:r>
                    <w:rPr>
                      <w:rFonts w:hint="eastAsia" w:ascii="Times New Roman" w:hAnsi="Times New Roman" w:eastAsia="宋体" w:cs="Times New Roman"/>
                      <w:color w:val="auto"/>
                      <w:szCs w:val="21"/>
                    </w:rPr>
                    <w:t>破损的</w:t>
                  </w:r>
                  <w:r>
                    <w:rPr>
                      <w:rFonts w:hint="default" w:ascii="Times New Roman" w:hAnsi="Times New Roman" w:eastAsia="宋体" w:cs="Times New Roman"/>
                      <w:color w:val="auto"/>
                      <w:szCs w:val="21"/>
                    </w:rPr>
                    <w:t>废包装桶</w:t>
                  </w:r>
                </w:p>
              </w:tc>
              <w:tc>
                <w:tcPr>
                  <w:tcW w:w="1001" w:type="pct"/>
                  <w:gridSpan w:val="2"/>
                  <w:shd w:val="clear" w:color="auto" w:fill="auto"/>
                  <w:vAlign w:val="center"/>
                </w:tcPr>
                <w:p w14:paraId="23E78E1C">
                  <w:pPr>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color w:val="auto"/>
                      <w:kern w:val="2"/>
                      <w:sz w:val="21"/>
                      <w:szCs w:val="21"/>
                      <w:lang w:val="en-US" w:eastAsia="zh-CN" w:bidi="ar-SA"/>
                    </w:rPr>
                  </w:pPr>
                  <w:r>
                    <w:rPr>
                      <w:rFonts w:hint="eastAsia" w:ascii="Times New Roman" w:hAnsi="Times New Roman" w:eastAsia="宋体" w:cs="Times New Roman"/>
                      <w:color w:val="auto"/>
                      <w:szCs w:val="21"/>
                      <w:lang w:val="en-US" w:eastAsia="zh-CN"/>
                    </w:rPr>
                    <w:t>原辅材料使用后</w:t>
                  </w:r>
                </w:p>
              </w:tc>
              <w:tc>
                <w:tcPr>
                  <w:tcW w:w="376" w:type="pct"/>
                  <w:vAlign w:val="center"/>
                </w:tcPr>
                <w:p w14:paraId="678A8AFD">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rPr>
                    <w:t>固态</w:t>
                  </w:r>
                </w:p>
              </w:tc>
              <w:tc>
                <w:tcPr>
                  <w:tcW w:w="602" w:type="pct"/>
                  <w:vAlign w:val="center"/>
                </w:tcPr>
                <w:p w14:paraId="2D99BC9A">
                  <w:pPr>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color w:val="auto"/>
                      <w:szCs w:val="21"/>
                    </w:rPr>
                  </w:pPr>
                  <w:r>
                    <w:rPr>
                      <w:rFonts w:hint="eastAsia" w:ascii="Times New Roman" w:hAnsi="Times New Roman" w:eastAsia="宋体" w:cs="Times New Roman"/>
                      <w:color w:val="auto"/>
                      <w:szCs w:val="21"/>
                    </w:rPr>
                    <w:t>破损的</w:t>
                  </w:r>
                  <w:r>
                    <w:rPr>
                      <w:rFonts w:hint="default" w:ascii="Times New Roman" w:hAnsi="Times New Roman" w:eastAsia="宋体" w:cs="Times New Roman"/>
                      <w:color w:val="auto"/>
                      <w:szCs w:val="21"/>
                    </w:rPr>
                    <w:t>废包装桶</w:t>
                  </w:r>
                </w:p>
              </w:tc>
              <w:tc>
                <w:tcPr>
                  <w:tcW w:w="496" w:type="pct"/>
                  <w:vAlign w:val="center"/>
                </w:tcPr>
                <w:p w14:paraId="5F386977">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rPr>
                    <w:t>是</w:t>
                  </w:r>
                </w:p>
              </w:tc>
              <w:tc>
                <w:tcPr>
                  <w:tcW w:w="1610" w:type="pct"/>
                  <w:vMerge w:val="restart"/>
                  <w:vAlign w:val="center"/>
                </w:tcPr>
                <w:p w14:paraId="7A263672">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lang w:val="en-US" w:eastAsia="zh-CN"/>
                    </w:rPr>
                    <w:t>4.1 d）生产活动使用过程中，因沾染、掺入、混杂无用或有害物质，或发生化学变化，使得其物质组成不能满足原使用者使用要求的生产物料</w:t>
                  </w:r>
                </w:p>
              </w:tc>
            </w:tr>
            <w:tr w14:paraId="5E222B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97" w:hRule="atLeast"/>
                <w:jc w:val="center"/>
              </w:trPr>
              <w:tc>
                <w:tcPr>
                  <w:tcW w:w="239" w:type="pct"/>
                  <w:shd w:val="clear" w:color="auto" w:fill="auto"/>
                  <w:vAlign w:val="center"/>
                </w:tcPr>
                <w:p w14:paraId="7DC00F69">
                  <w:pPr>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color w:val="auto"/>
                      <w:kern w:val="2"/>
                      <w:sz w:val="21"/>
                      <w:szCs w:val="21"/>
                      <w:lang w:val="en-US" w:eastAsia="zh-CN" w:bidi="ar-SA"/>
                    </w:rPr>
                  </w:pPr>
                  <w:r>
                    <w:rPr>
                      <w:rFonts w:hint="default" w:ascii="Times New Roman" w:hAnsi="Times New Roman" w:eastAsia="宋体" w:cs="Times New Roman"/>
                      <w:color w:val="auto"/>
                      <w:szCs w:val="21"/>
                    </w:rPr>
                    <w:t>12</w:t>
                  </w:r>
                </w:p>
              </w:tc>
              <w:tc>
                <w:tcPr>
                  <w:tcW w:w="673" w:type="pct"/>
                  <w:shd w:val="clear" w:color="auto" w:fill="auto"/>
                  <w:vAlign w:val="center"/>
                </w:tcPr>
                <w:p w14:paraId="42BC7C67">
                  <w:pPr>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color w:val="auto"/>
                      <w:kern w:val="2"/>
                      <w:sz w:val="21"/>
                      <w:szCs w:val="21"/>
                      <w:lang w:val="en-US" w:eastAsia="zh-CN" w:bidi="ar-SA"/>
                    </w:rPr>
                  </w:pPr>
                  <w:r>
                    <w:rPr>
                      <w:rFonts w:hint="default" w:ascii="Times New Roman" w:hAnsi="Times New Roman" w:eastAsia="宋体" w:cs="Times New Roman"/>
                      <w:color w:val="auto"/>
                      <w:szCs w:val="21"/>
                    </w:rPr>
                    <w:t>废润滑油</w:t>
                  </w:r>
                </w:p>
              </w:tc>
              <w:tc>
                <w:tcPr>
                  <w:tcW w:w="1001" w:type="pct"/>
                  <w:gridSpan w:val="2"/>
                  <w:vMerge w:val="restart"/>
                  <w:shd w:val="clear" w:color="auto" w:fill="auto"/>
                  <w:vAlign w:val="center"/>
                </w:tcPr>
                <w:p w14:paraId="62A48917">
                  <w:pPr>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color w:val="auto"/>
                      <w:kern w:val="2"/>
                      <w:sz w:val="21"/>
                      <w:szCs w:val="21"/>
                      <w:lang w:val="en-US" w:eastAsia="zh-CN" w:bidi="ar-SA"/>
                    </w:rPr>
                  </w:pPr>
                  <w:r>
                    <w:rPr>
                      <w:rFonts w:hint="eastAsia" w:ascii="Times New Roman" w:hAnsi="Times New Roman" w:eastAsia="宋体" w:cs="Times New Roman"/>
                      <w:color w:val="auto"/>
                      <w:szCs w:val="21"/>
                      <w:lang w:val="en-US" w:eastAsia="zh-CN"/>
                    </w:rPr>
                    <w:t>设备维护和保养</w:t>
                  </w:r>
                </w:p>
              </w:tc>
              <w:tc>
                <w:tcPr>
                  <w:tcW w:w="376" w:type="pct"/>
                  <w:vAlign w:val="center"/>
                </w:tcPr>
                <w:p w14:paraId="475A2F06">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r>
                    <w:rPr>
                      <w:rFonts w:hint="eastAsia" w:ascii="Times New Roman" w:hAnsi="Times New Roman" w:eastAsia="宋体" w:cs="Times New Roman"/>
                      <w:color w:val="auto"/>
                      <w:szCs w:val="21"/>
                      <w:lang w:val="en-US" w:eastAsia="zh-CN"/>
                    </w:rPr>
                    <w:t>液</w:t>
                  </w:r>
                  <w:r>
                    <w:rPr>
                      <w:rFonts w:hint="default" w:ascii="Times New Roman" w:hAnsi="Times New Roman" w:eastAsia="宋体" w:cs="Times New Roman"/>
                      <w:color w:val="auto"/>
                      <w:szCs w:val="21"/>
                    </w:rPr>
                    <w:t>态</w:t>
                  </w:r>
                </w:p>
              </w:tc>
              <w:tc>
                <w:tcPr>
                  <w:tcW w:w="602" w:type="pct"/>
                  <w:vAlign w:val="center"/>
                </w:tcPr>
                <w:p w14:paraId="1AD6FBC1">
                  <w:pPr>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rPr>
                    <w:t>废润滑油</w:t>
                  </w:r>
                </w:p>
              </w:tc>
              <w:tc>
                <w:tcPr>
                  <w:tcW w:w="496" w:type="pct"/>
                  <w:vAlign w:val="center"/>
                </w:tcPr>
                <w:p w14:paraId="1A221806">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rPr>
                    <w:t>是</w:t>
                  </w:r>
                </w:p>
              </w:tc>
              <w:tc>
                <w:tcPr>
                  <w:tcW w:w="1610" w:type="pct"/>
                  <w:vMerge w:val="continue"/>
                  <w:vAlign w:val="center"/>
                </w:tcPr>
                <w:p w14:paraId="50E5C76E">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p>
              </w:tc>
            </w:tr>
            <w:tr w14:paraId="7A9974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97" w:hRule="atLeast"/>
                <w:jc w:val="center"/>
              </w:trPr>
              <w:tc>
                <w:tcPr>
                  <w:tcW w:w="239" w:type="pct"/>
                  <w:shd w:val="clear" w:color="auto" w:fill="auto"/>
                  <w:vAlign w:val="center"/>
                </w:tcPr>
                <w:p w14:paraId="4CD9B1BD">
                  <w:pPr>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color w:val="auto"/>
                      <w:kern w:val="2"/>
                      <w:sz w:val="21"/>
                      <w:szCs w:val="21"/>
                      <w:lang w:val="en-US" w:eastAsia="zh-CN" w:bidi="ar-SA"/>
                    </w:rPr>
                  </w:pPr>
                  <w:r>
                    <w:rPr>
                      <w:rFonts w:hint="default" w:ascii="Times New Roman" w:hAnsi="Times New Roman" w:eastAsia="宋体" w:cs="Times New Roman"/>
                      <w:color w:val="auto"/>
                      <w:szCs w:val="21"/>
                    </w:rPr>
                    <w:t>13</w:t>
                  </w:r>
                </w:p>
              </w:tc>
              <w:tc>
                <w:tcPr>
                  <w:tcW w:w="673" w:type="pct"/>
                  <w:shd w:val="clear" w:color="auto" w:fill="auto"/>
                  <w:vAlign w:val="center"/>
                </w:tcPr>
                <w:p w14:paraId="1F87DEED">
                  <w:pPr>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color w:val="auto"/>
                      <w:kern w:val="2"/>
                      <w:sz w:val="21"/>
                      <w:szCs w:val="21"/>
                      <w:lang w:val="en-US" w:eastAsia="zh-CN" w:bidi="ar-SA"/>
                    </w:rPr>
                  </w:pPr>
                  <w:r>
                    <w:rPr>
                      <w:rFonts w:hint="default" w:ascii="Times New Roman" w:hAnsi="Times New Roman" w:eastAsia="宋体" w:cs="Times New Roman"/>
                      <w:color w:val="auto"/>
                      <w:szCs w:val="21"/>
                    </w:rPr>
                    <w:t>废润滑油桶</w:t>
                  </w:r>
                </w:p>
              </w:tc>
              <w:tc>
                <w:tcPr>
                  <w:tcW w:w="1001" w:type="pct"/>
                  <w:gridSpan w:val="2"/>
                  <w:vMerge w:val="continue"/>
                  <w:vAlign w:val="center"/>
                </w:tcPr>
                <w:p w14:paraId="7664ABBD">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p>
              </w:tc>
              <w:tc>
                <w:tcPr>
                  <w:tcW w:w="376" w:type="pct"/>
                  <w:vAlign w:val="center"/>
                </w:tcPr>
                <w:p w14:paraId="4AE45C80">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rPr>
                    <w:t>固态</w:t>
                  </w:r>
                </w:p>
              </w:tc>
              <w:tc>
                <w:tcPr>
                  <w:tcW w:w="602" w:type="pct"/>
                  <w:vAlign w:val="center"/>
                </w:tcPr>
                <w:p w14:paraId="2C7BCCE8">
                  <w:pPr>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rPr>
                    <w:t>废润滑油桶</w:t>
                  </w:r>
                </w:p>
              </w:tc>
              <w:tc>
                <w:tcPr>
                  <w:tcW w:w="496" w:type="pct"/>
                  <w:vAlign w:val="center"/>
                </w:tcPr>
                <w:p w14:paraId="073011EF">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rPr>
                    <w:t>是</w:t>
                  </w:r>
                </w:p>
              </w:tc>
              <w:tc>
                <w:tcPr>
                  <w:tcW w:w="1610" w:type="pct"/>
                  <w:vMerge w:val="continue"/>
                  <w:vAlign w:val="center"/>
                </w:tcPr>
                <w:p w14:paraId="087C2FC0">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p>
              </w:tc>
            </w:tr>
            <w:tr w14:paraId="2B1340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97" w:hRule="atLeast"/>
                <w:jc w:val="center"/>
              </w:trPr>
              <w:tc>
                <w:tcPr>
                  <w:tcW w:w="239" w:type="pct"/>
                  <w:shd w:val="clear" w:color="auto" w:fill="auto"/>
                  <w:vAlign w:val="center"/>
                </w:tcPr>
                <w:p w14:paraId="0419183E">
                  <w:pPr>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color w:val="auto"/>
                      <w:kern w:val="2"/>
                      <w:sz w:val="21"/>
                      <w:szCs w:val="21"/>
                      <w:lang w:val="en-US" w:eastAsia="zh-CN" w:bidi="ar-SA"/>
                    </w:rPr>
                  </w:pPr>
                  <w:r>
                    <w:rPr>
                      <w:rFonts w:hint="default" w:ascii="Times New Roman" w:hAnsi="Times New Roman" w:eastAsia="宋体" w:cs="Times New Roman"/>
                      <w:color w:val="auto"/>
                      <w:szCs w:val="21"/>
                    </w:rPr>
                    <w:t>14</w:t>
                  </w:r>
                </w:p>
              </w:tc>
              <w:tc>
                <w:tcPr>
                  <w:tcW w:w="673" w:type="pct"/>
                  <w:shd w:val="clear" w:color="auto" w:fill="auto"/>
                  <w:vAlign w:val="center"/>
                </w:tcPr>
                <w:p w14:paraId="66338542">
                  <w:pPr>
                    <w:keepNext w:val="0"/>
                    <w:keepLines w:val="0"/>
                    <w:widowControl/>
                    <w:suppressLineNumbers w:val="0"/>
                    <w:spacing w:before="0" w:beforeAutospacing="0" w:after="0" w:afterAutospacing="0"/>
                    <w:ind w:left="0" w:leftChars="0" w:right="0" w:rightChars="0"/>
                    <w:jc w:val="center"/>
                    <w:rPr>
                      <w:rFonts w:hint="default" w:ascii="Times New Roman" w:hAnsi="Times New Roman" w:eastAsia="宋体" w:cs="Times New Roman"/>
                      <w:color w:val="auto"/>
                      <w:kern w:val="2"/>
                      <w:sz w:val="21"/>
                      <w:szCs w:val="21"/>
                      <w:lang w:val="en-US" w:eastAsia="zh-CN" w:bidi="ar-SA"/>
                    </w:rPr>
                  </w:pPr>
                  <w:r>
                    <w:rPr>
                      <w:rFonts w:hint="default" w:ascii="Times New Roman" w:hAnsi="Times New Roman" w:eastAsia="宋体" w:cs="Times New Roman"/>
                      <w:color w:val="auto"/>
                      <w:kern w:val="0"/>
                      <w:szCs w:val="21"/>
                      <w:lang w:bidi="ar"/>
                    </w:rPr>
                    <w:t>废弃的含油抹布及劳保用品</w:t>
                  </w:r>
                </w:p>
              </w:tc>
              <w:tc>
                <w:tcPr>
                  <w:tcW w:w="1001" w:type="pct"/>
                  <w:gridSpan w:val="2"/>
                  <w:shd w:val="clear" w:color="auto" w:fill="auto"/>
                  <w:vAlign w:val="center"/>
                </w:tcPr>
                <w:p w14:paraId="2E6B3F73">
                  <w:pPr>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color w:val="auto"/>
                      <w:kern w:val="2"/>
                      <w:sz w:val="21"/>
                      <w:szCs w:val="21"/>
                      <w:lang w:val="en-US" w:eastAsia="zh-CN" w:bidi="ar-SA"/>
                    </w:rPr>
                  </w:pPr>
                  <w:r>
                    <w:rPr>
                      <w:rFonts w:hint="default" w:ascii="Times New Roman" w:hAnsi="Times New Roman" w:eastAsia="宋体" w:cs="Times New Roman"/>
                      <w:color w:val="auto"/>
                      <w:szCs w:val="21"/>
                    </w:rPr>
                    <w:t>职工工作和设备维修</w:t>
                  </w:r>
                </w:p>
              </w:tc>
              <w:tc>
                <w:tcPr>
                  <w:tcW w:w="376" w:type="pct"/>
                  <w:vAlign w:val="center"/>
                </w:tcPr>
                <w:p w14:paraId="64C74C17">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rPr>
                    <w:t>固态</w:t>
                  </w:r>
                </w:p>
              </w:tc>
              <w:tc>
                <w:tcPr>
                  <w:tcW w:w="602" w:type="pct"/>
                  <w:vAlign w:val="center"/>
                </w:tcPr>
                <w:p w14:paraId="50F7BA74">
                  <w:pPr>
                    <w:keepNext w:val="0"/>
                    <w:keepLines w:val="0"/>
                    <w:widowControl/>
                    <w:suppressLineNumbers w:val="0"/>
                    <w:spacing w:before="0" w:beforeAutospacing="0" w:after="0" w:afterAutospacing="0"/>
                    <w:ind w:left="0" w:leftChars="0" w:right="0" w:rightChars="0"/>
                    <w:jc w:val="center"/>
                    <w:rPr>
                      <w:rFonts w:hint="default" w:ascii="Times New Roman" w:hAnsi="Times New Roman" w:eastAsia="宋体" w:cs="Times New Roman"/>
                      <w:color w:val="auto"/>
                      <w:szCs w:val="21"/>
                    </w:rPr>
                  </w:pPr>
                  <w:r>
                    <w:rPr>
                      <w:rFonts w:hint="default" w:ascii="Times New Roman" w:hAnsi="Times New Roman" w:eastAsia="宋体" w:cs="Times New Roman"/>
                      <w:color w:val="auto"/>
                      <w:kern w:val="0"/>
                      <w:szCs w:val="21"/>
                      <w:lang w:bidi="ar"/>
                    </w:rPr>
                    <w:t>废弃的含油抹布及劳保用品</w:t>
                  </w:r>
                </w:p>
              </w:tc>
              <w:tc>
                <w:tcPr>
                  <w:tcW w:w="496" w:type="pct"/>
                  <w:vAlign w:val="center"/>
                </w:tcPr>
                <w:p w14:paraId="0C077094">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rPr>
                    <w:t>是</w:t>
                  </w:r>
                </w:p>
              </w:tc>
              <w:tc>
                <w:tcPr>
                  <w:tcW w:w="1610" w:type="pct"/>
                  <w:vMerge w:val="continue"/>
                  <w:vAlign w:val="center"/>
                </w:tcPr>
                <w:p w14:paraId="0AF050FC">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p>
              </w:tc>
            </w:tr>
            <w:tr w14:paraId="12D08A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97" w:hRule="atLeast"/>
                <w:jc w:val="center"/>
              </w:trPr>
              <w:tc>
                <w:tcPr>
                  <w:tcW w:w="239" w:type="pct"/>
                  <w:shd w:val="clear" w:color="auto" w:fill="auto"/>
                  <w:vAlign w:val="center"/>
                </w:tcPr>
                <w:p w14:paraId="2AB2F246">
                  <w:pPr>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color w:val="auto"/>
                      <w:kern w:val="2"/>
                      <w:sz w:val="21"/>
                      <w:szCs w:val="21"/>
                      <w:lang w:val="en-US" w:eastAsia="zh-CN" w:bidi="ar-SA"/>
                    </w:rPr>
                  </w:pPr>
                  <w:r>
                    <w:rPr>
                      <w:rFonts w:hint="default" w:ascii="Times New Roman" w:hAnsi="Times New Roman" w:eastAsia="宋体" w:cs="Times New Roman"/>
                      <w:color w:val="auto"/>
                      <w:szCs w:val="21"/>
                    </w:rPr>
                    <w:t>15</w:t>
                  </w:r>
                </w:p>
              </w:tc>
              <w:tc>
                <w:tcPr>
                  <w:tcW w:w="673" w:type="pct"/>
                  <w:shd w:val="clear" w:color="auto" w:fill="auto"/>
                  <w:vAlign w:val="center"/>
                </w:tcPr>
                <w:p w14:paraId="530EF442">
                  <w:pPr>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color w:val="auto"/>
                      <w:kern w:val="2"/>
                      <w:sz w:val="21"/>
                      <w:szCs w:val="21"/>
                      <w:lang w:val="en-US" w:eastAsia="zh-CN" w:bidi="ar-SA"/>
                    </w:rPr>
                  </w:pPr>
                  <w:r>
                    <w:rPr>
                      <w:rFonts w:hint="default" w:ascii="Times New Roman" w:hAnsi="Times New Roman" w:eastAsia="宋体" w:cs="Times New Roman"/>
                      <w:color w:val="auto"/>
                      <w:szCs w:val="21"/>
                    </w:rPr>
                    <w:t>喷淋废水</w:t>
                  </w:r>
                </w:p>
              </w:tc>
              <w:tc>
                <w:tcPr>
                  <w:tcW w:w="1001" w:type="pct"/>
                  <w:gridSpan w:val="2"/>
                  <w:vMerge w:val="restart"/>
                  <w:vAlign w:val="center"/>
                </w:tcPr>
                <w:p w14:paraId="553696F4">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rPr>
                    <w:t>废气处理</w:t>
                  </w:r>
                </w:p>
              </w:tc>
              <w:tc>
                <w:tcPr>
                  <w:tcW w:w="376" w:type="pct"/>
                  <w:vAlign w:val="center"/>
                </w:tcPr>
                <w:p w14:paraId="794A85B9">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0000E1"/>
                      <w:szCs w:val="21"/>
                    </w:rPr>
                  </w:pPr>
                  <w:r>
                    <w:rPr>
                      <w:rFonts w:hint="default" w:ascii="Times New Roman" w:hAnsi="Times New Roman" w:eastAsia="宋体" w:cs="Times New Roman"/>
                      <w:color w:val="0000E1"/>
                      <w:szCs w:val="21"/>
                      <w:lang w:val="en-US" w:eastAsia="zh-CN"/>
                    </w:rPr>
                    <w:t>液态</w:t>
                  </w:r>
                </w:p>
              </w:tc>
              <w:tc>
                <w:tcPr>
                  <w:tcW w:w="602" w:type="pct"/>
                  <w:shd w:val="clear" w:color="auto" w:fill="auto"/>
                  <w:vAlign w:val="center"/>
                </w:tcPr>
                <w:p w14:paraId="736D0DAF">
                  <w:pPr>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color w:val="auto"/>
                      <w:kern w:val="2"/>
                      <w:sz w:val="21"/>
                      <w:szCs w:val="21"/>
                      <w:lang w:val="en-US" w:eastAsia="zh-CN" w:bidi="ar-SA"/>
                    </w:rPr>
                  </w:pPr>
                  <w:r>
                    <w:rPr>
                      <w:rFonts w:hint="default" w:ascii="Times New Roman" w:hAnsi="Times New Roman" w:eastAsia="宋体" w:cs="Times New Roman"/>
                      <w:color w:val="auto"/>
                      <w:szCs w:val="21"/>
                    </w:rPr>
                    <w:t>喷淋废水</w:t>
                  </w:r>
                </w:p>
              </w:tc>
              <w:tc>
                <w:tcPr>
                  <w:tcW w:w="496" w:type="pct"/>
                  <w:vAlign w:val="center"/>
                </w:tcPr>
                <w:p w14:paraId="4F02AEBA">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rPr>
                    <w:t>是</w:t>
                  </w:r>
                </w:p>
              </w:tc>
              <w:tc>
                <w:tcPr>
                  <w:tcW w:w="1610" w:type="pct"/>
                  <w:vMerge w:val="continue"/>
                  <w:vAlign w:val="center"/>
                </w:tcPr>
                <w:p w14:paraId="21D51B7D">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p>
              </w:tc>
            </w:tr>
            <w:tr w14:paraId="09F509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97" w:hRule="atLeast"/>
                <w:jc w:val="center"/>
              </w:trPr>
              <w:tc>
                <w:tcPr>
                  <w:tcW w:w="239" w:type="pct"/>
                  <w:shd w:val="clear" w:color="auto" w:fill="auto"/>
                  <w:vAlign w:val="center"/>
                </w:tcPr>
                <w:p w14:paraId="60410928">
                  <w:pPr>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color w:val="auto"/>
                      <w:kern w:val="2"/>
                      <w:sz w:val="21"/>
                      <w:szCs w:val="21"/>
                      <w:lang w:val="en-US" w:eastAsia="zh-CN" w:bidi="ar-SA"/>
                    </w:rPr>
                  </w:pPr>
                  <w:r>
                    <w:rPr>
                      <w:rFonts w:hint="default" w:ascii="Times New Roman" w:hAnsi="Times New Roman" w:eastAsia="宋体" w:cs="Times New Roman"/>
                      <w:color w:val="auto"/>
                      <w:szCs w:val="21"/>
                    </w:rPr>
                    <w:t>1</w:t>
                  </w:r>
                  <w:r>
                    <w:rPr>
                      <w:rFonts w:hint="eastAsia" w:ascii="Times New Roman" w:hAnsi="Times New Roman" w:eastAsia="宋体" w:cs="Times New Roman"/>
                      <w:color w:val="auto"/>
                      <w:szCs w:val="21"/>
                      <w:lang w:val="en-US" w:eastAsia="zh-CN"/>
                    </w:rPr>
                    <w:t>6</w:t>
                  </w:r>
                </w:p>
              </w:tc>
              <w:tc>
                <w:tcPr>
                  <w:tcW w:w="673" w:type="pct"/>
                  <w:shd w:val="clear" w:color="auto" w:fill="auto"/>
                  <w:vAlign w:val="center"/>
                </w:tcPr>
                <w:p w14:paraId="68B9EDCA">
                  <w:pPr>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color w:val="auto"/>
                      <w:kern w:val="2"/>
                      <w:sz w:val="21"/>
                      <w:szCs w:val="21"/>
                      <w:lang w:val="en-US" w:eastAsia="zh-CN" w:bidi="ar-SA"/>
                    </w:rPr>
                  </w:pPr>
                  <w:r>
                    <w:rPr>
                      <w:rFonts w:hint="default" w:ascii="Times New Roman" w:hAnsi="Times New Roman" w:eastAsia="宋体" w:cs="Times New Roman"/>
                      <w:color w:val="auto"/>
                      <w:szCs w:val="21"/>
                      <w:lang w:val="en-US" w:eastAsia="zh-CN"/>
                    </w:rPr>
                    <w:t>废过滤棉</w:t>
                  </w:r>
                </w:p>
              </w:tc>
              <w:tc>
                <w:tcPr>
                  <w:tcW w:w="1001" w:type="pct"/>
                  <w:gridSpan w:val="2"/>
                  <w:vMerge w:val="continue"/>
                  <w:vAlign w:val="center"/>
                </w:tcPr>
                <w:p w14:paraId="4895E5D4">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p>
              </w:tc>
              <w:tc>
                <w:tcPr>
                  <w:tcW w:w="376" w:type="pct"/>
                  <w:vAlign w:val="center"/>
                </w:tcPr>
                <w:p w14:paraId="33361AD9">
                  <w:pPr>
                    <w:keepNext w:val="0"/>
                    <w:keepLines w:val="0"/>
                    <w:suppressLineNumbers w:val="0"/>
                    <w:spacing w:before="0" w:beforeAutospacing="0" w:after="0" w:afterAutospacing="0"/>
                    <w:ind w:left="0" w:right="0"/>
                    <w:jc w:val="center"/>
                    <w:rPr>
                      <w:rFonts w:hint="eastAsia" w:ascii="Times New Roman" w:hAnsi="Times New Roman" w:eastAsia="宋体" w:cs="Times New Roman"/>
                      <w:color w:val="0000E1"/>
                      <w:szCs w:val="21"/>
                      <w:lang w:val="en-US" w:eastAsia="zh-CN"/>
                    </w:rPr>
                  </w:pPr>
                  <w:r>
                    <w:rPr>
                      <w:rFonts w:hint="eastAsia" w:ascii="Times New Roman" w:hAnsi="Times New Roman" w:eastAsia="宋体" w:cs="Times New Roman"/>
                      <w:color w:val="0000E1"/>
                      <w:szCs w:val="21"/>
                      <w:lang w:val="en-US" w:eastAsia="zh-CN"/>
                    </w:rPr>
                    <w:t>固态</w:t>
                  </w:r>
                </w:p>
              </w:tc>
              <w:tc>
                <w:tcPr>
                  <w:tcW w:w="602" w:type="pct"/>
                  <w:shd w:val="clear" w:color="auto" w:fill="auto"/>
                  <w:vAlign w:val="center"/>
                </w:tcPr>
                <w:p w14:paraId="58A07E7B">
                  <w:pPr>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color w:val="auto"/>
                      <w:kern w:val="2"/>
                      <w:sz w:val="21"/>
                      <w:szCs w:val="21"/>
                      <w:lang w:val="en-US" w:eastAsia="zh-CN" w:bidi="ar-SA"/>
                    </w:rPr>
                  </w:pPr>
                  <w:r>
                    <w:rPr>
                      <w:rFonts w:hint="default" w:ascii="Times New Roman" w:hAnsi="Times New Roman" w:eastAsia="宋体" w:cs="Times New Roman"/>
                      <w:color w:val="auto"/>
                      <w:szCs w:val="21"/>
                      <w:lang w:val="en-US" w:eastAsia="zh-CN"/>
                    </w:rPr>
                    <w:t>废过滤棉</w:t>
                  </w:r>
                </w:p>
              </w:tc>
              <w:tc>
                <w:tcPr>
                  <w:tcW w:w="496" w:type="pct"/>
                  <w:vAlign w:val="center"/>
                </w:tcPr>
                <w:p w14:paraId="67F78698">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rPr>
                    <w:t>是</w:t>
                  </w:r>
                </w:p>
              </w:tc>
              <w:tc>
                <w:tcPr>
                  <w:tcW w:w="1610" w:type="pct"/>
                  <w:vMerge w:val="continue"/>
                  <w:vAlign w:val="center"/>
                </w:tcPr>
                <w:p w14:paraId="21F6254C">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p>
              </w:tc>
            </w:tr>
            <w:tr w14:paraId="7B44C0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97" w:hRule="atLeast"/>
                <w:jc w:val="center"/>
              </w:trPr>
              <w:tc>
                <w:tcPr>
                  <w:tcW w:w="239" w:type="pct"/>
                  <w:shd w:val="clear" w:color="auto" w:fill="auto"/>
                  <w:vAlign w:val="center"/>
                </w:tcPr>
                <w:p w14:paraId="56C50E7C">
                  <w:pPr>
                    <w:keepNext w:val="0"/>
                    <w:keepLines w:val="0"/>
                    <w:suppressLineNumbers w:val="0"/>
                    <w:spacing w:before="0" w:beforeAutospacing="0" w:after="0" w:afterAutospacing="0"/>
                    <w:ind w:left="0" w:leftChars="0" w:right="0" w:rightChars="0"/>
                    <w:jc w:val="center"/>
                    <w:rPr>
                      <w:rFonts w:hint="eastAsia" w:ascii="Times New Roman" w:hAnsi="Times New Roman" w:eastAsia="宋体" w:cs="Times New Roman"/>
                      <w:color w:val="auto"/>
                      <w:kern w:val="2"/>
                      <w:sz w:val="21"/>
                      <w:szCs w:val="21"/>
                      <w:lang w:val="en-US" w:eastAsia="zh-CN" w:bidi="ar-SA"/>
                    </w:rPr>
                  </w:pPr>
                  <w:r>
                    <w:rPr>
                      <w:rFonts w:hint="default" w:ascii="Times New Roman" w:hAnsi="Times New Roman" w:eastAsia="宋体" w:cs="Times New Roman"/>
                      <w:color w:val="auto"/>
                      <w:szCs w:val="21"/>
                    </w:rPr>
                    <w:t>1</w:t>
                  </w:r>
                  <w:r>
                    <w:rPr>
                      <w:rFonts w:hint="eastAsia" w:ascii="Times New Roman" w:hAnsi="Times New Roman" w:eastAsia="宋体" w:cs="Times New Roman"/>
                      <w:color w:val="auto"/>
                      <w:szCs w:val="21"/>
                      <w:lang w:val="en-US" w:eastAsia="zh-CN"/>
                    </w:rPr>
                    <w:t>7</w:t>
                  </w:r>
                </w:p>
              </w:tc>
              <w:tc>
                <w:tcPr>
                  <w:tcW w:w="673" w:type="pct"/>
                  <w:shd w:val="clear" w:color="auto" w:fill="auto"/>
                  <w:vAlign w:val="center"/>
                </w:tcPr>
                <w:p w14:paraId="0AF04B68">
                  <w:pPr>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color w:val="auto"/>
                      <w:kern w:val="2"/>
                      <w:sz w:val="21"/>
                      <w:szCs w:val="21"/>
                      <w:lang w:val="en-US" w:eastAsia="zh-CN" w:bidi="ar-SA"/>
                    </w:rPr>
                  </w:pPr>
                  <w:r>
                    <w:rPr>
                      <w:rFonts w:hint="default" w:ascii="Times New Roman" w:hAnsi="Times New Roman" w:eastAsia="宋体" w:cs="Times New Roman"/>
                      <w:color w:val="auto"/>
                      <w:szCs w:val="21"/>
                    </w:rPr>
                    <w:t>废活性炭</w:t>
                  </w:r>
                </w:p>
              </w:tc>
              <w:tc>
                <w:tcPr>
                  <w:tcW w:w="1001" w:type="pct"/>
                  <w:gridSpan w:val="2"/>
                  <w:vMerge w:val="continue"/>
                  <w:vAlign w:val="center"/>
                </w:tcPr>
                <w:p w14:paraId="25F17FFA">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p>
              </w:tc>
              <w:tc>
                <w:tcPr>
                  <w:tcW w:w="376" w:type="pct"/>
                  <w:vAlign w:val="center"/>
                </w:tcPr>
                <w:p w14:paraId="37088663">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rPr>
                    <w:t>固态</w:t>
                  </w:r>
                </w:p>
              </w:tc>
              <w:tc>
                <w:tcPr>
                  <w:tcW w:w="602" w:type="pct"/>
                  <w:shd w:val="clear" w:color="auto" w:fill="auto"/>
                  <w:vAlign w:val="center"/>
                </w:tcPr>
                <w:p w14:paraId="4304C89F">
                  <w:pPr>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color w:val="auto"/>
                      <w:kern w:val="2"/>
                      <w:sz w:val="21"/>
                      <w:szCs w:val="21"/>
                      <w:lang w:val="en-US" w:eastAsia="zh-CN" w:bidi="ar-SA"/>
                    </w:rPr>
                  </w:pPr>
                  <w:r>
                    <w:rPr>
                      <w:rFonts w:hint="default" w:ascii="Times New Roman" w:hAnsi="Times New Roman" w:eastAsia="宋体" w:cs="Times New Roman"/>
                      <w:color w:val="auto"/>
                      <w:szCs w:val="21"/>
                    </w:rPr>
                    <w:t>废活性炭</w:t>
                  </w:r>
                </w:p>
              </w:tc>
              <w:tc>
                <w:tcPr>
                  <w:tcW w:w="496" w:type="pct"/>
                  <w:vAlign w:val="center"/>
                </w:tcPr>
                <w:p w14:paraId="522483AE">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rPr>
                    <w:t>是</w:t>
                  </w:r>
                </w:p>
              </w:tc>
              <w:tc>
                <w:tcPr>
                  <w:tcW w:w="1610" w:type="pct"/>
                  <w:vMerge w:val="continue"/>
                  <w:vAlign w:val="center"/>
                </w:tcPr>
                <w:p w14:paraId="5D182713">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p>
              </w:tc>
            </w:tr>
          </w:tbl>
          <w:p w14:paraId="7C86E716">
            <w:pPr>
              <w:keepNext w:val="0"/>
              <w:keepLines w:val="0"/>
              <w:suppressLineNumbers w:val="0"/>
              <w:spacing w:before="0" w:beforeAutospacing="0" w:after="0" w:afterAutospacing="0" w:line="360" w:lineRule="auto"/>
              <w:ind w:left="0" w:right="0"/>
              <w:rPr>
                <w:rFonts w:hint="default" w:ascii="Times New Roman" w:hAnsi="Times New Roman" w:eastAsia="宋体" w:cs="Times New Roman"/>
                <w:b/>
                <w:bCs/>
                <w:color w:val="auto"/>
                <w:sz w:val="24"/>
              </w:rPr>
            </w:pPr>
            <w:r>
              <w:rPr>
                <w:rFonts w:hint="eastAsia" w:ascii="Times New Roman" w:hAnsi="Times New Roman" w:eastAsia="宋体" w:cs="Times New Roman"/>
                <w:b/>
                <w:bCs/>
                <w:color w:val="auto"/>
                <w:sz w:val="24"/>
              </w:rPr>
              <w:t>4.2.4.2污染源强核算及环境管理要求</w:t>
            </w:r>
          </w:p>
          <w:p w14:paraId="5E5C3E76">
            <w:pPr>
              <w:keepNext w:val="0"/>
              <w:keepLines w:val="0"/>
              <w:suppressLineNumbers w:val="0"/>
              <w:spacing w:before="0" w:beforeAutospacing="0" w:after="0" w:afterAutospacing="0"/>
              <w:ind w:left="0" w:right="0"/>
              <w:jc w:val="center"/>
              <w:rPr>
                <w:rFonts w:hint="eastAsia" w:ascii="Times New Roman" w:hAnsi="Times New Roman" w:eastAsia="宋体" w:cs="Times New Roman"/>
                <w:b/>
                <w:bCs/>
                <w:color w:val="auto"/>
              </w:rPr>
            </w:pPr>
            <w:r>
              <w:rPr>
                <w:rFonts w:hint="eastAsia" w:ascii="Times New Roman" w:hAnsi="Times New Roman" w:eastAsia="宋体" w:cs="Times New Roman"/>
                <w:b/>
                <w:bCs/>
                <w:color w:val="auto"/>
              </w:rPr>
              <w:t>表4-2</w:t>
            </w:r>
            <w:r>
              <w:rPr>
                <w:rFonts w:hint="eastAsia" w:ascii="Times New Roman" w:hAnsi="Times New Roman" w:eastAsia="宋体" w:cs="Times New Roman"/>
                <w:b/>
                <w:bCs/>
                <w:color w:val="auto"/>
                <w:lang w:val="en-US" w:eastAsia="zh-CN"/>
              </w:rPr>
              <w:t>4</w:t>
            </w:r>
            <w:r>
              <w:rPr>
                <w:rFonts w:hint="eastAsia" w:ascii="Times New Roman" w:hAnsi="Times New Roman" w:eastAsia="宋体" w:cs="Times New Roman"/>
                <w:b/>
                <w:bCs/>
                <w:color w:val="auto"/>
              </w:rPr>
              <w:t xml:space="preserve">  固体废物污染源源强核算结果及相关参数一览表</w:t>
            </w:r>
          </w:p>
          <w:tbl>
            <w:tblPr>
              <w:tblStyle w:val="22"/>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Layout w:type="fixed"/>
              <w:tblCellMar>
                <w:top w:w="0" w:type="dxa"/>
                <w:left w:w="108" w:type="dxa"/>
                <w:bottom w:w="0" w:type="dxa"/>
                <w:right w:w="108" w:type="dxa"/>
              </w:tblCellMar>
            </w:tblPr>
            <w:tblGrid>
              <w:gridCol w:w="636"/>
              <w:gridCol w:w="1565"/>
              <w:gridCol w:w="1215"/>
              <w:gridCol w:w="1320"/>
              <w:gridCol w:w="661"/>
              <w:gridCol w:w="554"/>
              <w:gridCol w:w="1365"/>
              <w:gridCol w:w="1005"/>
              <w:gridCol w:w="1005"/>
              <w:gridCol w:w="1122"/>
              <w:gridCol w:w="653"/>
              <w:gridCol w:w="650"/>
              <w:gridCol w:w="1507"/>
            </w:tblGrid>
            <w:tr w14:paraId="25B428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397" w:hRule="atLeast"/>
                <w:jc w:val="center"/>
              </w:trPr>
              <w:tc>
                <w:tcPr>
                  <w:tcW w:w="636" w:type="dxa"/>
                  <w:tcBorders>
                    <w:top w:val="single" w:color="auto" w:sz="4" w:space="0"/>
                    <w:left w:val="single" w:color="auto" w:sz="4" w:space="0"/>
                    <w:bottom w:val="single" w:color="auto" w:sz="4" w:space="0"/>
                    <w:right w:val="single" w:color="auto" w:sz="4" w:space="0"/>
                  </w:tcBorders>
                  <w:shd w:val="clear" w:color="auto" w:fill="auto"/>
                  <w:vAlign w:val="center"/>
                </w:tcPr>
                <w:p w14:paraId="13452DE4">
                  <w:pPr>
                    <w:keepNext w:val="0"/>
                    <w:keepLines w:val="0"/>
                    <w:widowControl w:val="0"/>
                    <w:suppressLineNumbers w:val="0"/>
                    <w:spacing w:before="0" w:beforeAutospacing="0" w:after="0" w:afterAutospacing="0"/>
                    <w:ind w:left="0" w:right="0"/>
                    <w:jc w:val="center"/>
                    <w:rPr>
                      <w:rFonts w:hint="default" w:ascii="Times New Roman" w:hAnsi="Times New Roman" w:eastAsia="宋体" w:cs="Times New Roman"/>
                      <w:b/>
                      <w:bCs/>
                      <w:color w:val="auto"/>
                      <w:kern w:val="2"/>
                      <w:sz w:val="21"/>
                      <w:szCs w:val="21"/>
                    </w:rPr>
                  </w:pPr>
                  <w:r>
                    <w:rPr>
                      <w:rFonts w:hint="eastAsia" w:ascii="宋体" w:hAnsi="宋体" w:eastAsia="宋体" w:cs="宋体"/>
                      <w:b/>
                      <w:bCs/>
                      <w:color w:val="auto"/>
                      <w:kern w:val="2"/>
                      <w:sz w:val="21"/>
                      <w:szCs w:val="21"/>
                      <w:lang w:val="en-US" w:eastAsia="zh-CN" w:bidi="ar"/>
                    </w:rPr>
                    <w:t>序号</w:t>
                  </w:r>
                </w:p>
              </w:tc>
              <w:tc>
                <w:tcPr>
                  <w:tcW w:w="1565" w:type="dxa"/>
                  <w:tcBorders>
                    <w:top w:val="single" w:color="auto" w:sz="4" w:space="0"/>
                    <w:left w:val="single" w:color="auto" w:sz="4" w:space="0"/>
                    <w:bottom w:val="single" w:color="auto" w:sz="4" w:space="0"/>
                    <w:right w:val="single" w:color="auto" w:sz="4" w:space="0"/>
                  </w:tcBorders>
                  <w:shd w:val="clear" w:color="auto" w:fill="auto"/>
                  <w:vAlign w:val="center"/>
                </w:tcPr>
                <w:p w14:paraId="76DA9D9A">
                  <w:pPr>
                    <w:keepNext w:val="0"/>
                    <w:keepLines w:val="0"/>
                    <w:widowControl w:val="0"/>
                    <w:suppressLineNumbers w:val="0"/>
                    <w:spacing w:before="0" w:beforeAutospacing="0" w:after="0" w:afterAutospacing="0"/>
                    <w:ind w:left="0" w:right="0"/>
                    <w:jc w:val="center"/>
                    <w:rPr>
                      <w:rFonts w:hint="default" w:ascii="Times New Roman" w:hAnsi="Times New Roman" w:eastAsia="宋体" w:cs="Times New Roman"/>
                      <w:b/>
                      <w:bCs/>
                      <w:color w:val="auto"/>
                      <w:kern w:val="2"/>
                      <w:sz w:val="21"/>
                      <w:szCs w:val="21"/>
                    </w:rPr>
                  </w:pPr>
                  <w:r>
                    <w:rPr>
                      <w:rFonts w:hint="eastAsia" w:ascii="宋体" w:hAnsi="宋体" w:eastAsia="宋体" w:cs="宋体"/>
                      <w:b/>
                      <w:bCs/>
                      <w:color w:val="auto"/>
                      <w:kern w:val="2"/>
                      <w:sz w:val="21"/>
                      <w:szCs w:val="21"/>
                      <w:lang w:val="en-US" w:eastAsia="zh-CN" w:bidi="ar"/>
                    </w:rPr>
                    <w:t>固废名称</w:t>
                  </w:r>
                </w:p>
              </w:tc>
              <w:tc>
                <w:tcPr>
                  <w:tcW w:w="2535" w:type="dxa"/>
                  <w:gridSpan w:val="2"/>
                  <w:tcBorders>
                    <w:top w:val="single" w:color="auto" w:sz="4" w:space="0"/>
                    <w:left w:val="single" w:color="auto" w:sz="4" w:space="0"/>
                    <w:bottom w:val="single" w:color="auto" w:sz="4" w:space="0"/>
                    <w:right w:val="single" w:color="auto" w:sz="4" w:space="0"/>
                  </w:tcBorders>
                  <w:shd w:val="clear" w:color="auto" w:fill="auto"/>
                  <w:vAlign w:val="center"/>
                </w:tcPr>
                <w:p w14:paraId="1E703647">
                  <w:pPr>
                    <w:keepNext w:val="0"/>
                    <w:keepLines w:val="0"/>
                    <w:widowControl w:val="0"/>
                    <w:suppressLineNumbers w:val="0"/>
                    <w:spacing w:before="0" w:beforeAutospacing="0" w:after="0" w:afterAutospacing="0"/>
                    <w:ind w:left="0" w:right="0"/>
                    <w:jc w:val="center"/>
                    <w:rPr>
                      <w:rFonts w:hint="default" w:ascii="Times New Roman" w:hAnsi="Times New Roman" w:eastAsia="宋体" w:cs="Times New Roman"/>
                      <w:b/>
                      <w:bCs/>
                      <w:color w:val="auto"/>
                      <w:kern w:val="2"/>
                      <w:sz w:val="21"/>
                      <w:szCs w:val="21"/>
                    </w:rPr>
                  </w:pPr>
                  <w:r>
                    <w:rPr>
                      <w:rFonts w:hint="eastAsia" w:ascii="宋体" w:hAnsi="宋体" w:eastAsia="宋体" w:cs="宋体"/>
                      <w:b/>
                      <w:bCs/>
                      <w:color w:val="auto"/>
                      <w:kern w:val="2"/>
                      <w:sz w:val="21"/>
                      <w:szCs w:val="21"/>
                      <w:lang w:val="en-US" w:eastAsia="zh-CN" w:bidi="ar"/>
                    </w:rPr>
                    <w:t>产生工序</w:t>
                  </w:r>
                </w:p>
              </w:tc>
              <w:tc>
                <w:tcPr>
                  <w:tcW w:w="661" w:type="dxa"/>
                  <w:tcBorders>
                    <w:top w:val="single" w:color="auto" w:sz="4" w:space="0"/>
                    <w:left w:val="single" w:color="auto" w:sz="4" w:space="0"/>
                    <w:bottom w:val="single" w:color="auto" w:sz="4" w:space="0"/>
                    <w:right w:val="single" w:color="auto" w:sz="4" w:space="0"/>
                  </w:tcBorders>
                  <w:shd w:val="clear" w:color="auto" w:fill="auto"/>
                  <w:vAlign w:val="center"/>
                </w:tcPr>
                <w:p w14:paraId="243164F3">
                  <w:pPr>
                    <w:keepNext w:val="0"/>
                    <w:keepLines w:val="0"/>
                    <w:widowControl w:val="0"/>
                    <w:suppressLineNumbers w:val="0"/>
                    <w:spacing w:before="0" w:beforeAutospacing="0" w:after="0" w:afterAutospacing="0"/>
                    <w:ind w:left="0" w:right="0"/>
                    <w:jc w:val="center"/>
                    <w:rPr>
                      <w:rFonts w:hint="default" w:ascii="Times New Roman" w:hAnsi="Times New Roman" w:eastAsia="宋体" w:cs="Times New Roman"/>
                      <w:b/>
                      <w:bCs/>
                      <w:color w:val="auto"/>
                      <w:kern w:val="2"/>
                      <w:sz w:val="21"/>
                      <w:szCs w:val="21"/>
                    </w:rPr>
                  </w:pPr>
                  <w:r>
                    <w:rPr>
                      <w:rFonts w:hint="eastAsia" w:ascii="宋体" w:hAnsi="宋体" w:eastAsia="宋体" w:cs="宋体"/>
                      <w:b/>
                      <w:bCs/>
                      <w:color w:val="auto"/>
                      <w:kern w:val="2"/>
                      <w:sz w:val="21"/>
                      <w:szCs w:val="21"/>
                      <w:lang w:val="en-US" w:eastAsia="zh-CN" w:bidi="ar"/>
                    </w:rPr>
                    <w:t>形态</w:t>
                  </w:r>
                </w:p>
              </w:tc>
              <w:tc>
                <w:tcPr>
                  <w:tcW w:w="554" w:type="dxa"/>
                  <w:tcBorders>
                    <w:top w:val="single" w:color="auto" w:sz="4" w:space="0"/>
                    <w:left w:val="single" w:color="auto" w:sz="4" w:space="0"/>
                    <w:bottom w:val="single" w:color="auto" w:sz="4" w:space="0"/>
                    <w:right w:val="single" w:color="auto" w:sz="4" w:space="0"/>
                  </w:tcBorders>
                  <w:shd w:val="clear" w:color="auto" w:fill="auto"/>
                  <w:vAlign w:val="center"/>
                </w:tcPr>
                <w:p w14:paraId="27320B00">
                  <w:pPr>
                    <w:keepNext w:val="0"/>
                    <w:keepLines w:val="0"/>
                    <w:widowControl w:val="0"/>
                    <w:suppressLineNumbers w:val="0"/>
                    <w:spacing w:before="0" w:beforeAutospacing="0" w:after="0" w:afterAutospacing="0"/>
                    <w:ind w:left="0" w:right="0"/>
                    <w:jc w:val="center"/>
                    <w:rPr>
                      <w:rFonts w:hint="default" w:ascii="Times New Roman" w:hAnsi="Times New Roman" w:eastAsia="宋体" w:cs="Times New Roman"/>
                      <w:b/>
                      <w:bCs/>
                      <w:color w:val="auto"/>
                      <w:kern w:val="2"/>
                      <w:sz w:val="21"/>
                      <w:szCs w:val="21"/>
                    </w:rPr>
                  </w:pPr>
                  <w:r>
                    <w:rPr>
                      <w:rFonts w:hint="eastAsia" w:ascii="宋体" w:hAnsi="宋体" w:eastAsia="宋体" w:cs="宋体"/>
                      <w:b/>
                      <w:bCs/>
                      <w:color w:val="auto"/>
                      <w:kern w:val="2"/>
                      <w:sz w:val="21"/>
                      <w:szCs w:val="21"/>
                      <w:lang w:val="en-US" w:eastAsia="zh-CN" w:bidi="ar"/>
                    </w:rPr>
                    <w:t>属性</w:t>
                  </w:r>
                </w:p>
              </w:tc>
              <w:tc>
                <w:tcPr>
                  <w:tcW w:w="1365" w:type="dxa"/>
                  <w:tcBorders>
                    <w:top w:val="single" w:color="auto" w:sz="4" w:space="0"/>
                    <w:left w:val="single" w:color="auto" w:sz="4" w:space="0"/>
                    <w:bottom w:val="single" w:color="auto" w:sz="4" w:space="0"/>
                    <w:right w:val="single" w:color="auto" w:sz="4" w:space="0"/>
                  </w:tcBorders>
                  <w:shd w:val="clear" w:color="auto" w:fill="auto"/>
                  <w:vAlign w:val="center"/>
                </w:tcPr>
                <w:p w14:paraId="49BC84C5">
                  <w:pPr>
                    <w:keepNext w:val="0"/>
                    <w:keepLines w:val="0"/>
                    <w:widowControl w:val="0"/>
                    <w:suppressLineNumbers w:val="0"/>
                    <w:spacing w:before="0" w:beforeAutospacing="0" w:after="0" w:afterAutospacing="0"/>
                    <w:ind w:left="0" w:right="0"/>
                    <w:jc w:val="center"/>
                    <w:rPr>
                      <w:rFonts w:hint="default" w:ascii="Times New Roman" w:hAnsi="Times New Roman" w:eastAsia="宋体" w:cs="Times New Roman"/>
                      <w:b/>
                      <w:bCs/>
                      <w:color w:val="auto"/>
                      <w:kern w:val="2"/>
                      <w:sz w:val="21"/>
                      <w:szCs w:val="21"/>
                    </w:rPr>
                  </w:pPr>
                  <w:r>
                    <w:rPr>
                      <w:rFonts w:hint="eastAsia" w:ascii="宋体" w:hAnsi="宋体" w:eastAsia="宋体" w:cs="宋体"/>
                      <w:b/>
                      <w:bCs/>
                      <w:color w:val="auto"/>
                      <w:kern w:val="2"/>
                      <w:sz w:val="21"/>
                      <w:szCs w:val="21"/>
                      <w:lang w:val="en-US" w:eastAsia="zh-CN" w:bidi="ar"/>
                    </w:rPr>
                    <w:t>废物类别及代码</w:t>
                  </w:r>
                </w:p>
              </w:tc>
              <w:tc>
                <w:tcPr>
                  <w:tcW w:w="2010" w:type="dxa"/>
                  <w:gridSpan w:val="2"/>
                  <w:tcBorders>
                    <w:top w:val="single" w:color="auto" w:sz="4" w:space="0"/>
                    <w:left w:val="single" w:color="auto" w:sz="4" w:space="0"/>
                    <w:bottom w:val="single" w:color="auto" w:sz="4" w:space="0"/>
                    <w:right w:val="single" w:color="auto" w:sz="4" w:space="0"/>
                  </w:tcBorders>
                  <w:shd w:val="clear" w:color="auto" w:fill="auto"/>
                  <w:vAlign w:val="center"/>
                </w:tcPr>
                <w:p w14:paraId="23180ACF">
                  <w:pPr>
                    <w:keepNext w:val="0"/>
                    <w:keepLines w:val="0"/>
                    <w:widowControl w:val="0"/>
                    <w:suppressLineNumbers w:val="0"/>
                    <w:spacing w:before="0" w:beforeAutospacing="0" w:after="0" w:afterAutospacing="0"/>
                    <w:ind w:left="0" w:right="0"/>
                    <w:jc w:val="center"/>
                    <w:rPr>
                      <w:rFonts w:hint="default" w:ascii="Times New Roman" w:hAnsi="Times New Roman" w:eastAsia="宋体" w:cs="Times New Roman"/>
                      <w:b/>
                      <w:bCs/>
                      <w:color w:val="auto"/>
                      <w:kern w:val="2"/>
                      <w:sz w:val="21"/>
                      <w:szCs w:val="21"/>
                    </w:rPr>
                  </w:pPr>
                  <w:r>
                    <w:rPr>
                      <w:rFonts w:hint="eastAsia" w:ascii="宋体" w:hAnsi="宋体" w:eastAsia="宋体" w:cs="宋体"/>
                      <w:b/>
                      <w:bCs/>
                      <w:color w:val="auto"/>
                      <w:kern w:val="2"/>
                      <w:sz w:val="21"/>
                      <w:szCs w:val="21"/>
                      <w:lang w:val="en-US" w:eastAsia="zh-CN" w:bidi="ar"/>
                    </w:rPr>
                    <w:t>产生量（</w:t>
                  </w:r>
                  <w:r>
                    <w:rPr>
                      <w:rFonts w:hint="default" w:ascii="Times New Roman" w:hAnsi="Times New Roman" w:eastAsia="宋体" w:cs="Times New Roman"/>
                      <w:color w:val="auto"/>
                      <w:kern w:val="2"/>
                      <w:sz w:val="21"/>
                      <w:szCs w:val="21"/>
                      <w:lang w:val="en-US" w:eastAsia="zh-CN" w:bidi="ar"/>
                    </w:rPr>
                    <w:t>t/a</w:t>
                  </w:r>
                  <w:r>
                    <w:rPr>
                      <w:rFonts w:hint="eastAsia" w:ascii="宋体" w:hAnsi="宋体" w:eastAsia="宋体" w:cs="宋体"/>
                      <w:b/>
                      <w:bCs/>
                      <w:color w:val="auto"/>
                      <w:kern w:val="2"/>
                      <w:sz w:val="21"/>
                      <w:szCs w:val="21"/>
                      <w:lang w:val="en-US" w:eastAsia="zh-CN" w:bidi="ar"/>
                    </w:rPr>
                    <w:t>）</w:t>
                  </w:r>
                </w:p>
              </w:tc>
              <w:tc>
                <w:tcPr>
                  <w:tcW w:w="1122" w:type="dxa"/>
                  <w:tcBorders>
                    <w:top w:val="single" w:color="auto" w:sz="4" w:space="0"/>
                    <w:left w:val="single" w:color="auto" w:sz="4" w:space="0"/>
                    <w:bottom w:val="single" w:color="auto" w:sz="4" w:space="0"/>
                    <w:right w:val="single" w:color="auto" w:sz="4" w:space="0"/>
                  </w:tcBorders>
                  <w:shd w:val="clear" w:color="auto" w:fill="auto"/>
                  <w:vAlign w:val="center"/>
                </w:tcPr>
                <w:p w14:paraId="1A57E395">
                  <w:pPr>
                    <w:keepNext w:val="0"/>
                    <w:keepLines w:val="0"/>
                    <w:widowControl w:val="0"/>
                    <w:suppressLineNumbers w:val="0"/>
                    <w:spacing w:before="0" w:beforeAutospacing="0" w:after="0" w:afterAutospacing="0"/>
                    <w:ind w:left="0" w:right="0"/>
                    <w:jc w:val="center"/>
                    <w:rPr>
                      <w:rFonts w:hint="default" w:ascii="Times New Roman" w:hAnsi="Times New Roman" w:eastAsia="宋体" w:cs="Times New Roman"/>
                      <w:b/>
                      <w:bCs/>
                      <w:color w:val="auto"/>
                      <w:kern w:val="2"/>
                      <w:sz w:val="21"/>
                      <w:szCs w:val="21"/>
                    </w:rPr>
                  </w:pPr>
                  <w:r>
                    <w:rPr>
                      <w:rFonts w:hint="eastAsia" w:ascii="宋体" w:hAnsi="宋体" w:eastAsia="宋体" w:cs="宋体"/>
                      <w:b/>
                      <w:bCs/>
                      <w:color w:val="auto"/>
                      <w:kern w:val="2"/>
                      <w:sz w:val="21"/>
                      <w:szCs w:val="21"/>
                      <w:lang w:val="en-US" w:eastAsia="zh-CN" w:bidi="ar"/>
                    </w:rPr>
                    <w:t>主要成分</w:t>
                  </w:r>
                </w:p>
              </w:tc>
              <w:tc>
                <w:tcPr>
                  <w:tcW w:w="653" w:type="dxa"/>
                  <w:tcBorders>
                    <w:top w:val="single" w:color="auto" w:sz="4" w:space="0"/>
                    <w:left w:val="single" w:color="auto" w:sz="4" w:space="0"/>
                    <w:bottom w:val="single" w:color="auto" w:sz="4" w:space="0"/>
                    <w:right w:val="single" w:color="auto" w:sz="4" w:space="0"/>
                  </w:tcBorders>
                  <w:shd w:val="clear" w:color="auto" w:fill="auto"/>
                  <w:vAlign w:val="center"/>
                </w:tcPr>
                <w:p w14:paraId="5DE8E0B3">
                  <w:pPr>
                    <w:keepNext w:val="0"/>
                    <w:keepLines w:val="0"/>
                    <w:widowControl w:val="0"/>
                    <w:suppressLineNumbers w:val="0"/>
                    <w:spacing w:before="0" w:beforeAutospacing="0" w:after="0" w:afterAutospacing="0"/>
                    <w:ind w:left="0" w:right="0"/>
                    <w:jc w:val="center"/>
                    <w:rPr>
                      <w:rFonts w:hint="default" w:ascii="Times New Roman" w:hAnsi="Times New Roman" w:eastAsia="宋体" w:cs="Times New Roman"/>
                      <w:b/>
                      <w:bCs/>
                      <w:color w:val="auto"/>
                      <w:kern w:val="2"/>
                      <w:sz w:val="21"/>
                      <w:szCs w:val="21"/>
                    </w:rPr>
                  </w:pPr>
                  <w:r>
                    <w:rPr>
                      <w:rFonts w:hint="eastAsia" w:ascii="宋体" w:hAnsi="宋体" w:eastAsia="宋体" w:cs="宋体"/>
                      <w:b/>
                      <w:bCs/>
                      <w:color w:val="auto"/>
                      <w:kern w:val="2"/>
                      <w:sz w:val="21"/>
                      <w:szCs w:val="21"/>
                      <w:lang w:val="en-US" w:eastAsia="zh-CN" w:bidi="ar"/>
                    </w:rPr>
                    <w:t>产废周期</w:t>
                  </w:r>
                </w:p>
              </w:tc>
              <w:tc>
                <w:tcPr>
                  <w:tcW w:w="650" w:type="dxa"/>
                  <w:tcBorders>
                    <w:top w:val="single" w:color="auto" w:sz="4" w:space="0"/>
                    <w:left w:val="single" w:color="auto" w:sz="4" w:space="0"/>
                    <w:bottom w:val="single" w:color="auto" w:sz="4" w:space="0"/>
                    <w:right w:val="single" w:color="auto" w:sz="4" w:space="0"/>
                  </w:tcBorders>
                  <w:shd w:val="clear" w:color="auto" w:fill="auto"/>
                  <w:vAlign w:val="center"/>
                </w:tcPr>
                <w:p w14:paraId="3EB8FE4B">
                  <w:pPr>
                    <w:keepNext w:val="0"/>
                    <w:keepLines w:val="0"/>
                    <w:widowControl w:val="0"/>
                    <w:suppressLineNumbers w:val="0"/>
                    <w:spacing w:before="0" w:beforeAutospacing="0" w:after="0" w:afterAutospacing="0"/>
                    <w:ind w:left="0" w:right="0"/>
                    <w:jc w:val="center"/>
                    <w:rPr>
                      <w:rFonts w:hint="default" w:ascii="Times New Roman" w:hAnsi="Times New Roman" w:eastAsia="宋体" w:cs="Times New Roman"/>
                      <w:b/>
                      <w:bCs/>
                      <w:color w:val="auto"/>
                      <w:kern w:val="2"/>
                      <w:sz w:val="21"/>
                      <w:szCs w:val="21"/>
                    </w:rPr>
                  </w:pPr>
                  <w:r>
                    <w:rPr>
                      <w:rFonts w:hint="eastAsia" w:ascii="宋体" w:hAnsi="宋体" w:eastAsia="宋体" w:cs="宋体"/>
                      <w:b/>
                      <w:bCs/>
                      <w:color w:val="auto"/>
                      <w:kern w:val="2"/>
                      <w:sz w:val="21"/>
                      <w:szCs w:val="21"/>
                      <w:lang w:val="en-US" w:eastAsia="zh-CN" w:bidi="ar"/>
                    </w:rPr>
                    <w:t>危险特性</w:t>
                  </w:r>
                </w:p>
              </w:tc>
              <w:tc>
                <w:tcPr>
                  <w:tcW w:w="1507" w:type="dxa"/>
                  <w:tcBorders>
                    <w:top w:val="single" w:color="auto" w:sz="4" w:space="0"/>
                    <w:left w:val="single" w:color="auto" w:sz="4" w:space="0"/>
                    <w:bottom w:val="single" w:color="auto" w:sz="4" w:space="0"/>
                    <w:right w:val="single" w:color="auto" w:sz="4" w:space="0"/>
                  </w:tcBorders>
                  <w:shd w:val="clear" w:color="auto" w:fill="auto"/>
                  <w:vAlign w:val="center"/>
                </w:tcPr>
                <w:p w14:paraId="10167E48">
                  <w:pPr>
                    <w:keepNext w:val="0"/>
                    <w:keepLines w:val="0"/>
                    <w:widowControl w:val="0"/>
                    <w:suppressLineNumbers w:val="0"/>
                    <w:spacing w:before="0" w:beforeAutospacing="0" w:after="0" w:afterAutospacing="0"/>
                    <w:ind w:left="0" w:right="0"/>
                    <w:jc w:val="center"/>
                    <w:rPr>
                      <w:rFonts w:hint="default" w:ascii="Times New Roman" w:hAnsi="Times New Roman" w:eastAsia="宋体" w:cs="Times New Roman"/>
                      <w:b/>
                      <w:bCs/>
                      <w:color w:val="auto"/>
                      <w:kern w:val="2"/>
                      <w:sz w:val="21"/>
                      <w:szCs w:val="21"/>
                    </w:rPr>
                  </w:pPr>
                  <w:r>
                    <w:rPr>
                      <w:rFonts w:hint="eastAsia" w:ascii="宋体" w:hAnsi="宋体" w:eastAsia="宋体" w:cs="宋体"/>
                      <w:b/>
                      <w:bCs/>
                      <w:color w:val="auto"/>
                      <w:kern w:val="2"/>
                      <w:sz w:val="21"/>
                      <w:szCs w:val="21"/>
                      <w:lang w:val="en-US" w:eastAsia="zh-CN" w:bidi="ar"/>
                    </w:rPr>
                    <w:t>防治措施</w:t>
                  </w:r>
                </w:p>
              </w:tc>
            </w:tr>
            <w:tr w14:paraId="12BF1B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cantSplit/>
                <w:jc w:val="center"/>
              </w:trPr>
              <w:tc>
                <w:tcPr>
                  <w:tcW w:w="636" w:type="dxa"/>
                  <w:tcBorders>
                    <w:top w:val="single" w:color="auto" w:sz="4" w:space="0"/>
                    <w:left w:val="single" w:color="auto" w:sz="4" w:space="0"/>
                    <w:bottom w:val="single" w:color="auto" w:sz="4" w:space="0"/>
                    <w:right w:val="single" w:color="auto" w:sz="4" w:space="0"/>
                  </w:tcBorders>
                  <w:shd w:val="clear" w:color="auto" w:fill="auto"/>
                  <w:vAlign w:val="center"/>
                </w:tcPr>
                <w:p w14:paraId="2CF73172">
                  <w:pPr>
                    <w:keepNext w:val="0"/>
                    <w:keepLines w:val="0"/>
                    <w:widowControl w:val="0"/>
                    <w:suppressLineNumbers w:val="0"/>
                    <w:spacing w:before="0" w:beforeAutospacing="0" w:after="0" w:afterAutospacing="0"/>
                    <w:ind w:left="0" w:right="0"/>
                    <w:jc w:val="center"/>
                    <w:rPr>
                      <w:rFonts w:hint="default" w:ascii="Times New Roman" w:hAnsi="Times New Roman" w:eastAsia="宋体" w:cs="Times New Roman"/>
                      <w:color w:val="auto"/>
                      <w:kern w:val="2"/>
                      <w:sz w:val="21"/>
                      <w:szCs w:val="21"/>
                    </w:rPr>
                  </w:pPr>
                  <w:r>
                    <w:rPr>
                      <w:rFonts w:hint="default" w:ascii="Times New Roman" w:hAnsi="Times New Roman" w:eastAsia="宋体" w:cs="Times New Roman"/>
                      <w:color w:val="auto"/>
                      <w:kern w:val="2"/>
                      <w:sz w:val="21"/>
                      <w:szCs w:val="21"/>
                      <w:lang w:val="en-US" w:eastAsia="zh-CN" w:bidi="ar"/>
                    </w:rPr>
                    <w:t>1</w:t>
                  </w:r>
                </w:p>
              </w:tc>
              <w:tc>
                <w:tcPr>
                  <w:tcW w:w="1565" w:type="dxa"/>
                  <w:tcBorders>
                    <w:top w:val="single" w:color="auto" w:sz="4" w:space="0"/>
                    <w:left w:val="single" w:color="auto" w:sz="4" w:space="0"/>
                    <w:bottom w:val="single" w:color="auto" w:sz="4" w:space="0"/>
                    <w:right w:val="single" w:color="auto" w:sz="4" w:space="0"/>
                  </w:tcBorders>
                  <w:shd w:val="clear" w:color="auto" w:fill="auto"/>
                  <w:vAlign w:val="center"/>
                </w:tcPr>
                <w:p w14:paraId="0F7F7589">
                  <w:pPr>
                    <w:keepNext w:val="0"/>
                    <w:keepLines w:val="0"/>
                    <w:widowControl w:val="0"/>
                    <w:suppressLineNumbers w:val="0"/>
                    <w:spacing w:before="0" w:beforeAutospacing="0" w:after="0" w:afterAutospacing="0"/>
                    <w:ind w:left="0" w:right="0"/>
                    <w:jc w:val="center"/>
                    <w:rPr>
                      <w:rFonts w:hint="default" w:ascii="Times New Roman" w:hAnsi="Times New Roman" w:eastAsia="宋体" w:cs="Times New Roman"/>
                      <w:color w:val="auto"/>
                      <w:kern w:val="2"/>
                      <w:sz w:val="21"/>
                      <w:szCs w:val="21"/>
                    </w:rPr>
                  </w:pPr>
                  <w:r>
                    <w:rPr>
                      <w:rFonts w:hint="eastAsia" w:ascii="宋体" w:hAnsi="宋体" w:eastAsia="宋体" w:cs="宋体"/>
                      <w:color w:val="auto"/>
                      <w:kern w:val="2"/>
                      <w:sz w:val="21"/>
                      <w:szCs w:val="21"/>
                      <w:lang w:val="en-US" w:eastAsia="zh-CN" w:bidi="ar"/>
                    </w:rPr>
                    <w:t>生活垃圾</w:t>
                  </w:r>
                </w:p>
              </w:tc>
              <w:tc>
                <w:tcPr>
                  <w:tcW w:w="2535" w:type="dxa"/>
                  <w:gridSpan w:val="2"/>
                  <w:tcBorders>
                    <w:top w:val="single" w:color="auto" w:sz="4" w:space="0"/>
                    <w:left w:val="single" w:color="auto" w:sz="4" w:space="0"/>
                    <w:bottom w:val="single" w:color="auto" w:sz="4" w:space="0"/>
                    <w:right w:val="single" w:color="auto" w:sz="4" w:space="0"/>
                  </w:tcBorders>
                  <w:shd w:val="clear" w:color="auto" w:fill="auto"/>
                  <w:vAlign w:val="center"/>
                </w:tcPr>
                <w:p w14:paraId="743DD9D0">
                  <w:pPr>
                    <w:keepNext w:val="0"/>
                    <w:keepLines w:val="0"/>
                    <w:widowControl w:val="0"/>
                    <w:suppressLineNumbers w:val="0"/>
                    <w:spacing w:before="0" w:beforeAutospacing="0" w:after="0" w:afterAutospacing="0"/>
                    <w:ind w:left="0" w:right="0"/>
                    <w:jc w:val="center"/>
                    <w:rPr>
                      <w:rFonts w:hint="default" w:ascii="Times New Roman" w:hAnsi="Times New Roman" w:eastAsia="宋体" w:cs="Times New Roman"/>
                      <w:color w:val="auto"/>
                      <w:kern w:val="2"/>
                      <w:sz w:val="21"/>
                      <w:szCs w:val="21"/>
                    </w:rPr>
                  </w:pPr>
                  <w:r>
                    <w:rPr>
                      <w:rFonts w:hint="eastAsia" w:ascii="宋体" w:hAnsi="宋体" w:eastAsia="宋体" w:cs="宋体"/>
                      <w:color w:val="auto"/>
                      <w:kern w:val="2"/>
                      <w:sz w:val="21"/>
                      <w:szCs w:val="21"/>
                      <w:lang w:val="en-US" w:eastAsia="zh-CN" w:bidi="ar"/>
                    </w:rPr>
                    <w:t>职工生活</w:t>
                  </w:r>
                </w:p>
              </w:tc>
              <w:tc>
                <w:tcPr>
                  <w:tcW w:w="661" w:type="dxa"/>
                  <w:tcBorders>
                    <w:top w:val="single" w:color="auto" w:sz="4" w:space="0"/>
                    <w:left w:val="single" w:color="auto" w:sz="4" w:space="0"/>
                    <w:bottom w:val="single" w:color="auto" w:sz="4" w:space="0"/>
                    <w:right w:val="single" w:color="auto" w:sz="4" w:space="0"/>
                  </w:tcBorders>
                  <w:shd w:val="clear" w:color="auto" w:fill="auto"/>
                  <w:vAlign w:val="center"/>
                </w:tcPr>
                <w:p w14:paraId="11B12FB7">
                  <w:pPr>
                    <w:keepNext w:val="0"/>
                    <w:keepLines w:val="0"/>
                    <w:widowControl w:val="0"/>
                    <w:suppressLineNumbers w:val="0"/>
                    <w:spacing w:before="0" w:beforeAutospacing="0" w:after="0" w:afterAutospacing="0"/>
                    <w:ind w:left="0" w:right="0"/>
                    <w:jc w:val="center"/>
                    <w:rPr>
                      <w:rFonts w:hint="default" w:ascii="Times New Roman" w:hAnsi="Times New Roman" w:eastAsia="宋体" w:cs="Times New Roman"/>
                      <w:color w:val="auto"/>
                      <w:kern w:val="2"/>
                      <w:sz w:val="21"/>
                      <w:szCs w:val="21"/>
                    </w:rPr>
                  </w:pPr>
                  <w:r>
                    <w:rPr>
                      <w:rFonts w:hint="eastAsia" w:ascii="宋体" w:hAnsi="宋体" w:eastAsia="宋体" w:cs="宋体"/>
                      <w:color w:val="auto"/>
                      <w:kern w:val="2"/>
                      <w:sz w:val="21"/>
                      <w:szCs w:val="21"/>
                      <w:lang w:val="en-US" w:eastAsia="zh-CN" w:bidi="ar"/>
                    </w:rPr>
                    <w:t>固态</w:t>
                  </w:r>
                </w:p>
              </w:tc>
              <w:tc>
                <w:tcPr>
                  <w:tcW w:w="554" w:type="dxa"/>
                  <w:tcBorders>
                    <w:top w:val="single" w:color="auto" w:sz="4" w:space="0"/>
                    <w:left w:val="single" w:color="auto" w:sz="4" w:space="0"/>
                    <w:bottom w:val="single" w:color="auto" w:sz="4" w:space="0"/>
                    <w:right w:val="single" w:color="auto" w:sz="4" w:space="0"/>
                  </w:tcBorders>
                  <w:shd w:val="clear" w:color="auto" w:fill="auto"/>
                  <w:vAlign w:val="center"/>
                </w:tcPr>
                <w:p w14:paraId="1CB27146">
                  <w:pPr>
                    <w:keepNext w:val="0"/>
                    <w:keepLines w:val="0"/>
                    <w:widowControl w:val="0"/>
                    <w:suppressLineNumbers w:val="0"/>
                    <w:spacing w:before="0" w:beforeAutospacing="0" w:after="0" w:afterAutospacing="0"/>
                    <w:ind w:left="0" w:right="0"/>
                    <w:jc w:val="center"/>
                    <w:rPr>
                      <w:rFonts w:hint="default" w:ascii="Times New Roman" w:hAnsi="Times New Roman" w:eastAsia="宋体" w:cs="Times New Roman"/>
                      <w:color w:val="auto"/>
                      <w:kern w:val="2"/>
                      <w:sz w:val="21"/>
                      <w:szCs w:val="21"/>
                    </w:rPr>
                  </w:pPr>
                  <w:r>
                    <w:rPr>
                      <w:rFonts w:hint="default" w:ascii="Times New Roman" w:hAnsi="Times New Roman" w:eastAsia="宋体" w:cs="Times New Roman"/>
                      <w:color w:val="auto"/>
                      <w:kern w:val="2"/>
                      <w:sz w:val="21"/>
                      <w:szCs w:val="21"/>
                      <w:lang w:val="en-US" w:eastAsia="zh-CN" w:bidi="ar"/>
                    </w:rPr>
                    <w:t>/</w:t>
                  </w:r>
                </w:p>
              </w:tc>
              <w:tc>
                <w:tcPr>
                  <w:tcW w:w="1365" w:type="dxa"/>
                  <w:tcBorders>
                    <w:top w:val="single" w:color="auto" w:sz="4" w:space="0"/>
                    <w:left w:val="single" w:color="auto" w:sz="4" w:space="0"/>
                    <w:bottom w:val="single" w:color="auto" w:sz="4" w:space="0"/>
                    <w:right w:val="single" w:color="auto" w:sz="4" w:space="0"/>
                  </w:tcBorders>
                  <w:shd w:val="clear" w:color="auto" w:fill="auto"/>
                  <w:vAlign w:val="center"/>
                </w:tcPr>
                <w:p w14:paraId="21973193">
                  <w:pPr>
                    <w:keepNext w:val="0"/>
                    <w:keepLines w:val="0"/>
                    <w:widowControl w:val="0"/>
                    <w:suppressLineNumbers w:val="0"/>
                    <w:spacing w:before="0" w:beforeAutospacing="0" w:after="0" w:afterAutospacing="0"/>
                    <w:ind w:left="0" w:right="0"/>
                    <w:jc w:val="center"/>
                    <w:rPr>
                      <w:rFonts w:hint="default" w:ascii="Times New Roman" w:hAnsi="Times New Roman" w:eastAsia="宋体" w:cs="Times New Roman"/>
                      <w:color w:val="auto"/>
                      <w:kern w:val="2"/>
                      <w:sz w:val="21"/>
                      <w:szCs w:val="21"/>
                      <w:lang w:val="en-US" w:eastAsia="zh-CN" w:bidi="ar"/>
                    </w:rPr>
                  </w:pPr>
                  <w:r>
                    <w:rPr>
                      <w:rFonts w:hint="default" w:ascii="Times New Roman" w:hAnsi="Times New Roman" w:eastAsia="宋体" w:cs="Times New Roman"/>
                      <w:color w:val="auto"/>
                      <w:kern w:val="2"/>
                      <w:sz w:val="21"/>
                      <w:szCs w:val="21"/>
                      <w:lang w:val="en-US" w:eastAsia="zh-CN" w:bidi="ar"/>
                    </w:rPr>
                    <w:t>SW64</w:t>
                  </w:r>
                </w:p>
                <w:p w14:paraId="5FD383B2">
                  <w:pPr>
                    <w:keepNext w:val="0"/>
                    <w:keepLines w:val="0"/>
                    <w:widowControl w:val="0"/>
                    <w:suppressLineNumbers w:val="0"/>
                    <w:spacing w:before="0" w:beforeAutospacing="0" w:after="0" w:afterAutospacing="0"/>
                    <w:ind w:left="0" w:right="0"/>
                    <w:jc w:val="center"/>
                    <w:rPr>
                      <w:rFonts w:hint="default" w:ascii="Times New Roman" w:hAnsi="Times New Roman" w:eastAsia="宋体" w:cs="Times New Roman"/>
                      <w:color w:val="auto"/>
                      <w:kern w:val="2"/>
                      <w:sz w:val="21"/>
                      <w:szCs w:val="21"/>
                    </w:rPr>
                  </w:pPr>
                  <w:r>
                    <w:rPr>
                      <w:rFonts w:hint="default" w:ascii="Times New Roman" w:hAnsi="Times New Roman" w:eastAsia="宋体" w:cs="Times New Roman"/>
                      <w:color w:val="auto"/>
                      <w:kern w:val="2"/>
                      <w:sz w:val="21"/>
                      <w:szCs w:val="21"/>
                      <w:lang w:val="en-US" w:eastAsia="zh-CN" w:bidi="ar"/>
                    </w:rPr>
                    <w:t>900-099-S64</w:t>
                  </w:r>
                </w:p>
              </w:tc>
              <w:tc>
                <w:tcPr>
                  <w:tcW w:w="2010" w:type="dxa"/>
                  <w:gridSpan w:val="2"/>
                  <w:tcBorders>
                    <w:top w:val="single" w:color="auto" w:sz="4" w:space="0"/>
                    <w:left w:val="single" w:color="auto" w:sz="4" w:space="0"/>
                    <w:bottom w:val="single" w:color="auto" w:sz="4" w:space="0"/>
                    <w:right w:val="single" w:color="auto" w:sz="4" w:space="0"/>
                  </w:tcBorders>
                  <w:shd w:val="clear" w:color="auto" w:fill="auto"/>
                  <w:vAlign w:val="center"/>
                </w:tcPr>
                <w:p w14:paraId="5E8CF372">
                  <w:pPr>
                    <w:keepNext w:val="0"/>
                    <w:keepLines w:val="0"/>
                    <w:widowControl w:val="0"/>
                    <w:suppressLineNumbers w:val="0"/>
                    <w:spacing w:before="0" w:beforeAutospacing="0" w:after="0" w:afterAutospacing="0"/>
                    <w:ind w:left="0" w:right="0"/>
                    <w:jc w:val="center"/>
                    <w:rPr>
                      <w:rFonts w:hint="default" w:ascii="Times New Roman" w:hAnsi="Times New Roman" w:eastAsia="宋体" w:cs="Times New Roman"/>
                      <w:color w:val="auto"/>
                      <w:kern w:val="2"/>
                      <w:sz w:val="21"/>
                      <w:szCs w:val="21"/>
                      <w:lang w:val="en-US"/>
                    </w:rPr>
                  </w:pPr>
                  <w:r>
                    <w:rPr>
                      <w:rFonts w:hint="eastAsia" w:ascii="Times New Roman" w:hAnsi="Times New Roman" w:eastAsia="宋体" w:cs="Times New Roman"/>
                      <w:color w:val="auto"/>
                      <w:kern w:val="2"/>
                      <w:sz w:val="21"/>
                      <w:szCs w:val="21"/>
                      <w:lang w:val="en-US" w:eastAsia="zh-CN" w:bidi="ar"/>
                    </w:rPr>
                    <w:t>15</w:t>
                  </w:r>
                </w:p>
              </w:tc>
              <w:tc>
                <w:tcPr>
                  <w:tcW w:w="1122" w:type="dxa"/>
                  <w:tcBorders>
                    <w:top w:val="single" w:color="auto" w:sz="4" w:space="0"/>
                    <w:left w:val="single" w:color="auto" w:sz="4" w:space="0"/>
                    <w:bottom w:val="single" w:color="auto" w:sz="4" w:space="0"/>
                    <w:right w:val="single" w:color="auto" w:sz="4" w:space="0"/>
                  </w:tcBorders>
                  <w:shd w:val="clear" w:color="auto" w:fill="auto"/>
                  <w:vAlign w:val="center"/>
                </w:tcPr>
                <w:p w14:paraId="7585599F">
                  <w:pPr>
                    <w:keepNext w:val="0"/>
                    <w:keepLines w:val="0"/>
                    <w:widowControl w:val="0"/>
                    <w:suppressLineNumbers w:val="0"/>
                    <w:spacing w:before="0" w:beforeAutospacing="0" w:after="0" w:afterAutospacing="0"/>
                    <w:ind w:left="0" w:leftChars="0" w:right="0" w:rightChars="0"/>
                    <w:jc w:val="center"/>
                    <w:rPr>
                      <w:rFonts w:hint="default" w:ascii="Times New Roman" w:hAnsi="Times New Roman" w:eastAsia="宋体" w:cs="Times New Roman"/>
                      <w:color w:val="auto"/>
                      <w:kern w:val="2"/>
                      <w:sz w:val="21"/>
                      <w:szCs w:val="21"/>
                    </w:rPr>
                  </w:pPr>
                  <w:r>
                    <w:rPr>
                      <w:rFonts w:hint="eastAsia" w:ascii="宋体" w:hAnsi="宋体" w:eastAsia="宋体" w:cs="宋体"/>
                      <w:color w:val="auto"/>
                      <w:kern w:val="2"/>
                      <w:sz w:val="21"/>
                      <w:szCs w:val="21"/>
                      <w:lang w:val="en-US" w:eastAsia="zh-CN" w:bidi="ar"/>
                    </w:rPr>
                    <w:t>生活垃圾</w:t>
                  </w:r>
                </w:p>
              </w:tc>
              <w:tc>
                <w:tcPr>
                  <w:tcW w:w="653" w:type="dxa"/>
                  <w:tcBorders>
                    <w:top w:val="single" w:color="auto" w:sz="4" w:space="0"/>
                    <w:left w:val="single" w:color="auto" w:sz="4" w:space="0"/>
                    <w:bottom w:val="single" w:color="auto" w:sz="4" w:space="0"/>
                    <w:right w:val="single" w:color="auto" w:sz="4" w:space="0"/>
                  </w:tcBorders>
                  <w:shd w:val="clear" w:color="auto" w:fill="auto"/>
                  <w:vAlign w:val="center"/>
                </w:tcPr>
                <w:p w14:paraId="4EC46022">
                  <w:pPr>
                    <w:keepNext w:val="0"/>
                    <w:keepLines w:val="0"/>
                    <w:widowControl w:val="0"/>
                    <w:suppressLineNumbers w:val="0"/>
                    <w:spacing w:before="0" w:beforeAutospacing="0" w:after="0" w:afterAutospacing="0"/>
                    <w:ind w:left="0" w:right="0"/>
                    <w:jc w:val="center"/>
                    <w:rPr>
                      <w:rFonts w:hint="default" w:ascii="Times New Roman" w:hAnsi="Times New Roman" w:eastAsia="宋体" w:cs="Times New Roman"/>
                      <w:color w:val="auto"/>
                      <w:kern w:val="2"/>
                      <w:sz w:val="21"/>
                      <w:szCs w:val="21"/>
                    </w:rPr>
                  </w:pPr>
                  <w:r>
                    <w:rPr>
                      <w:rFonts w:hint="default" w:ascii="Times New Roman" w:hAnsi="Times New Roman" w:eastAsia="宋体" w:cs="Times New Roman"/>
                      <w:color w:val="auto"/>
                      <w:kern w:val="2"/>
                      <w:sz w:val="21"/>
                      <w:szCs w:val="21"/>
                      <w:lang w:val="en-US" w:eastAsia="zh-CN" w:bidi="ar"/>
                    </w:rPr>
                    <w:t>1</w:t>
                  </w:r>
                  <w:r>
                    <w:rPr>
                      <w:rFonts w:hint="eastAsia" w:ascii="宋体" w:hAnsi="宋体" w:eastAsia="宋体" w:cs="宋体"/>
                      <w:color w:val="auto"/>
                      <w:kern w:val="2"/>
                      <w:sz w:val="21"/>
                      <w:szCs w:val="21"/>
                      <w:lang w:val="en-US" w:eastAsia="zh-CN" w:bidi="ar"/>
                    </w:rPr>
                    <w:t>天</w:t>
                  </w:r>
                </w:p>
              </w:tc>
              <w:tc>
                <w:tcPr>
                  <w:tcW w:w="650" w:type="dxa"/>
                  <w:tcBorders>
                    <w:top w:val="single" w:color="auto" w:sz="4" w:space="0"/>
                    <w:left w:val="single" w:color="auto" w:sz="4" w:space="0"/>
                    <w:bottom w:val="single" w:color="auto" w:sz="4" w:space="0"/>
                    <w:right w:val="single" w:color="auto" w:sz="4" w:space="0"/>
                  </w:tcBorders>
                  <w:shd w:val="clear" w:color="auto" w:fill="auto"/>
                  <w:vAlign w:val="center"/>
                </w:tcPr>
                <w:p w14:paraId="5B98013A">
                  <w:pPr>
                    <w:keepNext w:val="0"/>
                    <w:keepLines w:val="0"/>
                    <w:widowControl w:val="0"/>
                    <w:suppressLineNumbers w:val="0"/>
                    <w:spacing w:before="0" w:beforeAutospacing="0" w:after="0" w:afterAutospacing="0"/>
                    <w:ind w:left="0" w:right="0"/>
                    <w:jc w:val="center"/>
                    <w:rPr>
                      <w:rFonts w:hint="default" w:ascii="Times New Roman" w:hAnsi="Times New Roman" w:eastAsia="宋体" w:cs="Times New Roman"/>
                      <w:color w:val="auto"/>
                      <w:kern w:val="2"/>
                      <w:sz w:val="21"/>
                      <w:szCs w:val="21"/>
                    </w:rPr>
                  </w:pPr>
                  <w:r>
                    <w:rPr>
                      <w:rFonts w:hint="default" w:ascii="Times New Roman" w:hAnsi="Times New Roman" w:eastAsia="宋体" w:cs="Times New Roman"/>
                      <w:color w:val="auto"/>
                      <w:kern w:val="2"/>
                      <w:sz w:val="21"/>
                      <w:szCs w:val="21"/>
                      <w:lang w:val="en-US" w:eastAsia="zh-CN" w:bidi="ar"/>
                    </w:rPr>
                    <w:t>/</w:t>
                  </w:r>
                </w:p>
              </w:tc>
              <w:tc>
                <w:tcPr>
                  <w:tcW w:w="1507" w:type="dxa"/>
                  <w:tcBorders>
                    <w:top w:val="single" w:color="auto" w:sz="4" w:space="0"/>
                    <w:left w:val="single" w:color="auto" w:sz="4" w:space="0"/>
                    <w:bottom w:val="single" w:color="auto" w:sz="4" w:space="0"/>
                    <w:right w:val="single" w:color="auto" w:sz="4" w:space="0"/>
                  </w:tcBorders>
                  <w:shd w:val="clear" w:color="auto" w:fill="auto"/>
                  <w:vAlign w:val="center"/>
                </w:tcPr>
                <w:p w14:paraId="20BF31C0">
                  <w:pPr>
                    <w:keepNext w:val="0"/>
                    <w:keepLines w:val="0"/>
                    <w:widowControl w:val="0"/>
                    <w:suppressLineNumbers w:val="0"/>
                    <w:spacing w:before="0" w:beforeAutospacing="0" w:after="0" w:afterAutospacing="0"/>
                    <w:ind w:left="0" w:right="0"/>
                    <w:jc w:val="center"/>
                    <w:rPr>
                      <w:rFonts w:hint="default" w:ascii="Times New Roman" w:hAnsi="Times New Roman" w:eastAsia="宋体" w:cs="Times New Roman"/>
                      <w:color w:val="auto"/>
                      <w:kern w:val="2"/>
                      <w:sz w:val="21"/>
                      <w:szCs w:val="21"/>
                    </w:rPr>
                  </w:pPr>
                  <w:r>
                    <w:rPr>
                      <w:rFonts w:hint="eastAsia" w:ascii="宋体" w:hAnsi="宋体" w:eastAsia="宋体" w:cs="宋体"/>
                      <w:color w:val="auto"/>
                      <w:kern w:val="2"/>
                      <w:sz w:val="21"/>
                      <w:szCs w:val="21"/>
                      <w:lang w:val="en-US" w:eastAsia="zh-CN" w:bidi="ar"/>
                    </w:rPr>
                    <w:t>收集后由环卫部门统一清运</w:t>
                  </w:r>
                </w:p>
              </w:tc>
            </w:tr>
            <w:tr w14:paraId="496E67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444" w:hRule="atLeast"/>
                <w:jc w:val="center"/>
              </w:trPr>
              <w:tc>
                <w:tcPr>
                  <w:tcW w:w="636" w:type="dxa"/>
                  <w:tcBorders>
                    <w:top w:val="single" w:color="auto" w:sz="4" w:space="0"/>
                    <w:left w:val="single" w:color="auto" w:sz="4" w:space="0"/>
                    <w:right w:val="single" w:color="auto" w:sz="4" w:space="0"/>
                  </w:tcBorders>
                  <w:shd w:val="clear" w:color="auto" w:fill="auto"/>
                  <w:vAlign w:val="center"/>
                </w:tcPr>
                <w:p w14:paraId="03E4E0A8">
                  <w:pPr>
                    <w:keepNext w:val="0"/>
                    <w:keepLines w:val="0"/>
                    <w:widowControl w:val="0"/>
                    <w:suppressLineNumbers w:val="0"/>
                    <w:spacing w:before="0" w:beforeAutospacing="0" w:after="0" w:afterAutospacing="0"/>
                    <w:ind w:left="0" w:right="0"/>
                    <w:jc w:val="center"/>
                    <w:rPr>
                      <w:rFonts w:hint="default" w:ascii="Times New Roman" w:hAnsi="Times New Roman" w:eastAsia="宋体" w:cs="Times New Roman"/>
                      <w:color w:val="auto"/>
                      <w:kern w:val="2"/>
                      <w:sz w:val="21"/>
                      <w:szCs w:val="21"/>
                    </w:rPr>
                  </w:pPr>
                  <w:r>
                    <w:rPr>
                      <w:rFonts w:hint="default" w:ascii="Times New Roman" w:hAnsi="Times New Roman" w:eastAsia="宋体" w:cs="Times New Roman"/>
                      <w:color w:val="auto"/>
                      <w:kern w:val="2"/>
                      <w:sz w:val="21"/>
                      <w:szCs w:val="21"/>
                      <w:lang w:val="en-US" w:eastAsia="zh-CN" w:bidi="ar"/>
                    </w:rPr>
                    <w:t>2</w:t>
                  </w:r>
                </w:p>
              </w:tc>
              <w:tc>
                <w:tcPr>
                  <w:tcW w:w="1565" w:type="dxa"/>
                  <w:tcBorders>
                    <w:top w:val="single" w:color="auto" w:sz="4" w:space="0"/>
                    <w:left w:val="single" w:color="auto" w:sz="4" w:space="0"/>
                    <w:right w:val="single" w:color="auto" w:sz="4" w:space="0"/>
                  </w:tcBorders>
                  <w:shd w:val="clear" w:color="auto" w:fill="auto"/>
                  <w:vAlign w:val="center"/>
                </w:tcPr>
                <w:p w14:paraId="6D893F84">
                  <w:pPr>
                    <w:keepNext w:val="0"/>
                    <w:keepLines w:val="0"/>
                    <w:widowControl w:val="0"/>
                    <w:suppressLineNumbers w:val="0"/>
                    <w:spacing w:before="0" w:beforeAutospacing="0" w:after="0" w:afterAutospacing="0"/>
                    <w:ind w:left="0" w:leftChars="0" w:right="0" w:rightChars="0"/>
                    <w:jc w:val="center"/>
                    <w:rPr>
                      <w:rFonts w:hint="default" w:ascii="Times New Roman" w:hAnsi="Times New Roman" w:eastAsia="宋体" w:cs="Times New Roman"/>
                      <w:color w:val="auto"/>
                      <w:kern w:val="2"/>
                      <w:sz w:val="21"/>
                      <w:szCs w:val="21"/>
                    </w:rPr>
                  </w:pPr>
                  <w:r>
                    <w:rPr>
                      <w:rFonts w:hint="eastAsia" w:ascii="宋体" w:hAnsi="宋体" w:eastAsia="宋体" w:cs="宋体"/>
                      <w:color w:val="auto"/>
                      <w:kern w:val="2"/>
                      <w:sz w:val="21"/>
                      <w:szCs w:val="21"/>
                      <w:lang w:val="en-US" w:eastAsia="zh-CN" w:bidi="ar"/>
                    </w:rPr>
                    <w:t>废</w:t>
                  </w:r>
                  <w:r>
                    <w:rPr>
                      <w:rFonts w:hint="default" w:ascii="Times New Roman" w:hAnsi="Times New Roman" w:eastAsia="宋体" w:cs="Times New Roman"/>
                      <w:color w:val="auto"/>
                      <w:kern w:val="2"/>
                      <w:sz w:val="21"/>
                      <w:szCs w:val="21"/>
                      <w:lang w:val="en-US" w:eastAsia="zh-CN" w:bidi="ar"/>
                    </w:rPr>
                    <w:t>PET</w:t>
                  </w:r>
                  <w:r>
                    <w:rPr>
                      <w:rFonts w:hint="eastAsia" w:ascii="宋体" w:hAnsi="宋体" w:eastAsia="宋体" w:cs="宋体"/>
                      <w:color w:val="auto"/>
                      <w:kern w:val="2"/>
                      <w:sz w:val="21"/>
                      <w:szCs w:val="21"/>
                      <w:lang w:val="en-US" w:eastAsia="zh-CN" w:bidi="ar"/>
                    </w:rPr>
                    <w:t>膜</w:t>
                  </w:r>
                </w:p>
              </w:tc>
              <w:tc>
                <w:tcPr>
                  <w:tcW w:w="2535" w:type="dxa"/>
                  <w:gridSpan w:val="2"/>
                  <w:tcBorders>
                    <w:top w:val="single" w:color="auto" w:sz="4" w:space="0"/>
                    <w:left w:val="single" w:color="auto" w:sz="4" w:space="0"/>
                    <w:right w:val="single" w:color="auto" w:sz="4" w:space="0"/>
                  </w:tcBorders>
                  <w:shd w:val="clear" w:color="auto" w:fill="auto"/>
                  <w:vAlign w:val="center"/>
                </w:tcPr>
                <w:p w14:paraId="56272D17">
                  <w:pPr>
                    <w:keepNext w:val="0"/>
                    <w:keepLines w:val="0"/>
                    <w:widowControl w:val="0"/>
                    <w:suppressLineNumbers w:val="0"/>
                    <w:spacing w:before="0" w:beforeAutospacing="0" w:after="0" w:afterAutospacing="0"/>
                    <w:ind w:left="0" w:right="0"/>
                    <w:jc w:val="center"/>
                    <w:rPr>
                      <w:rFonts w:hint="default" w:ascii="Times New Roman" w:hAnsi="Times New Roman" w:eastAsia="宋体" w:cs="Times New Roman"/>
                      <w:color w:val="auto"/>
                      <w:kern w:val="2"/>
                      <w:sz w:val="21"/>
                      <w:szCs w:val="21"/>
                    </w:rPr>
                  </w:pPr>
                  <w:r>
                    <w:rPr>
                      <w:rFonts w:hint="eastAsia" w:ascii="宋体" w:hAnsi="宋体" w:eastAsia="宋体" w:cs="宋体"/>
                      <w:color w:val="auto"/>
                      <w:kern w:val="2"/>
                      <w:sz w:val="21"/>
                      <w:szCs w:val="21"/>
                      <w:lang w:val="en-US" w:eastAsia="zh-CN" w:bidi="ar"/>
                    </w:rPr>
                    <w:t>收卷</w:t>
                  </w:r>
                </w:p>
              </w:tc>
              <w:tc>
                <w:tcPr>
                  <w:tcW w:w="661" w:type="dxa"/>
                  <w:tcBorders>
                    <w:top w:val="single" w:color="auto" w:sz="4" w:space="0"/>
                    <w:left w:val="single" w:color="auto" w:sz="4" w:space="0"/>
                    <w:right w:val="single" w:color="auto" w:sz="4" w:space="0"/>
                  </w:tcBorders>
                  <w:shd w:val="clear" w:color="auto" w:fill="auto"/>
                  <w:vAlign w:val="center"/>
                </w:tcPr>
                <w:p w14:paraId="4A368354">
                  <w:pPr>
                    <w:keepNext w:val="0"/>
                    <w:keepLines w:val="0"/>
                    <w:widowControl w:val="0"/>
                    <w:suppressLineNumbers w:val="0"/>
                    <w:spacing w:before="0" w:beforeAutospacing="0" w:after="0" w:afterAutospacing="0"/>
                    <w:ind w:left="0" w:right="0"/>
                    <w:jc w:val="center"/>
                    <w:rPr>
                      <w:rFonts w:hint="default" w:ascii="Times New Roman" w:hAnsi="Times New Roman" w:eastAsia="宋体" w:cs="Times New Roman"/>
                      <w:color w:val="auto"/>
                      <w:kern w:val="2"/>
                      <w:sz w:val="21"/>
                      <w:szCs w:val="21"/>
                    </w:rPr>
                  </w:pPr>
                  <w:r>
                    <w:rPr>
                      <w:rFonts w:hint="eastAsia" w:ascii="宋体" w:hAnsi="宋体" w:eastAsia="宋体" w:cs="宋体"/>
                      <w:color w:val="auto"/>
                      <w:kern w:val="2"/>
                      <w:sz w:val="21"/>
                      <w:szCs w:val="21"/>
                      <w:lang w:val="en-US" w:eastAsia="zh-CN" w:bidi="ar"/>
                    </w:rPr>
                    <w:t>固态</w:t>
                  </w:r>
                </w:p>
              </w:tc>
              <w:tc>
                <w:tcPr>
                  <w:tcW w:w="554" w:type="dxa"/>
                  <w:vMerge w:val="restart"/>
                  <w:tcBorders>
                    <w:top w:val="nil"/>
                    <w:left w:val="single" w:color="auto" w:sz="4" w:space="0"/>
                    <w:right w:val="single" w:color="auto" w:sz="4" w:space="0"/>
                  </w:tcBorders>
                  <w:shd w:val="clear" w:color="auto" w:fill="auto"/>
                  <w:vAlign w:val="center"/>
                </w:tcPr>
                <w:p w14:paraId="78E575CC">
                  <w:pPr>
                    <w:keepNext w:val="0"/>
                    <w:keepLines w:val="0"/>
                    <w:widowControl w:val="0"/>
                    <w:suppressLineNumbers w:val="0"/>
                    <w:spacing w:before="0" w:beforeAutospacing="0" w:after="0" w:afterAutospacing="0"/>
                    <w:ind w:left="0" w:right="0"/>
                    <w:jc w:val="center"/>
                    <w:rPr>
                      <w:rFonts w:hint="default" w:ascii="Times New Roman" w:hAnsi="Times New Roman" w:eastAsia="宋体" w:cs="Times New Roman"/>
                      <w:color w:val="auto"/>
                      <w:kern w:val="2"/>
                      <w:sz w:val="21"/>
                      <w:szCs w:val="21"/>
                    </w:rPr>
                  </w:pPr>
                  <w:r>
                    <w:rPr>
                      <w:rFonts w:hint="eastAsia" w:ascii="宋体" w:hAnsi="宋体" w:eastAsia="宋体" w:cs="宋体"/>
                      <w:color w:val="auto"/>
                      <w:kern w:val="2"/>
                      <w:sz w:val="21"/>
                      <w:szCs w:val="21"/>
                      <w:lang w:val="en-US" w:eastAsia="zh-CN" w:bidi="ar"/>
                    </w:rPr>
                    <w:t>一般固废</w:t>
                  </w:r>
                </w:p>
              </w:tc>
              <w:tc>
                <w:tcPr>
                  <w:tcW w:w="1365" w:type="dxa"/>
                  <w:tcBorders>
                    <w:top w:val="single" w:color="auto" w:sz="4" w:space="0"/>
                    <w:left w:val="single" w:color="auto" w:sz="4" w:space="0"/>
                    <w:bottom w:val="single" w:color="auto" w:sz="4" w:space="0"/>
                    <w:right w:val="single" w:color="auto" w:sz="4" w:space="0"/>
                  </w:tcBorders>
                  <w:shd w:val="clear" w:color="auto" w:fill="auto"/>
                  <w:vAlign w:val="center"/>
                </w:tcPr>
                <w:p w14:paraId="3D95B2E9">
                  <w:pPr>
                    <w:keepNext w:val="0"/>
                    <w:keepLines w:val="0"/>
                    <w:widowControl w:val="0"/>
                    <w:suppressLineNumbers w:val="0"/>
                    <w:spacing w:before="0" w:beforeAutospacing="0" w:after="0" w:afterAutospacing="0"/>
                    <w:ind w:left="0" w:right="0"/>
                    <w:jc w:val="center"/>
                    <w:rPr>
                      <w:rFonts w:hint="default" w:ascii="Times New Roman" w:hAnsi="Times New Roman" w:eastAsia="宋体" w:cs="Times New Roman"/>
                      <w:color w:val="0000E1"/>
                      <w:kern w:val="2"/>
                      <w:sz w:val="21"/>
                      <w:szCs w:val="21"/>
                      <w:lang w:val="en-US" w:eastAsia="zh-CN" w:bidi="ar"/>
                    </w:rPr>
                  </w:pPr>
                  <w:r>
                    <w:rPr>
                      <w:rFonts w:hint="default" w:ascii="Times New Roman" w:hAnsi="Times New Roman" w:eastAsia="宋体" w:cs="Times New Roman"/>
                      <w:color w:val="0000E1"/>
                      <w:kern w:val="2"/>
                      <w:sz w:val="21"/>
                      <w:szCs w:val="21"/>
                      <w:lang w:val="en-US" w:eastAsia="zh-CN" w:bidi="ar"/>
                    </w:rPr>
                    <w:t>SW6</w:t>
                  </w:r>
                  <w:r>
                    <w:rPr>
                      <w:rFonts w:hint="eastAsia" w:ascii="Times New Roman" w:hAnsi="Times New Roman" w:eastAsia="宋体" w:cs="Times New Roman"/>
                      <w:color w:val="0000E1"/>
                      <w:kern w:val="2"/>
                      <w:sz w:val="21"/>
                      <w:szCs w:val="21"/>
                      <w:lang w:val="en-US" w:eastAsia="zh-CN" w:bidi="ar"/>
                    </w:rPr>
                    <w:t>2</w:t>
                  </w:r>
                </w:p>
                <w:p w14:paraId="746A799E">
                  <w:pPr>
                    <w:keepNext w:val="0"/>
                    <w:keepLines w:val="0"/>
                    <w:widowControl w:val="0"/>
                    <w:suppressLineNumbers w:val="0"/>
                    <w:spacing w:before="0" w:beforeAutospacing="0" w:after="0" w:afterAutospacing="0"/>
                    <w:ind w:left="0" w:right="0"/>
                    <w:jc w:val="center"/>
                    <w:rPr>
                      <w:rFonts w:hint="default" w:ascii="Times New Roman" w:hAnsi="Times New Roman" w:eastAsia="宋体" w:cs="Times New Roman"/>
                      <w:color w:val="0000E1"/>
                      <w:kern w:val="2"/>
                      <w:sz w:val="21"/>
                      <w:szCs w:val="21"/>
                      <w:lang w:val="en-US"/>
                    </w:rPr>
                  </w:pPr>
                  <w:r>
                    <w:rPr>
                      <w:rFonts w:hint="default" w:ascii="Times New Roman" w:hAnsi="Times New Roman" w:eastAsia="宋体" w:cs="Times New Roman"/>
                      <w:color w:val="0000E1"/>
                      <w:kern w:val="2"/>
                      <w:sz w:val="21"/>
                      <w:szCs w:val="21"/>
                      <w:lang w:val="en-US" w:eastAsia="zh-CN" w:bidi="ar"/>
                    </w:rPr>
                    <w:t>900-00</w:t>
                  </w:r>
                  <w:r>
                    <w:rPr>
                      <w:rFonts w:hint="eastAsia" w:ascii="Times New Roman" w:hAnsi="Times New Roman" w:eastAsia="宋体" w:cs="Times New Roman"/>
                      <w:color w:val="0000E1"/>
                      <w:kern w:val="2"/>
                      <w:sz w:val="21"/>
                      <w:szCs w:val="21"/>
                      <w:lang w:val="en-US" w:eastAsia="zh-CN" w:bidi="ar"/>
                    </w:rPr>
                    <w:t>3</w:t>
                  </w:r>
                  <w:r>
                    <w:rPr>
                      <w:rFonts w:hint="default" w:ascii="Times New Roman" w:hAnsi="Times New Roman" w:eastAsia="宋体" w:cs="Times New Roman"/>
                      <w:color w:val="0000E1"/>
                      <w:kern w:val="2"/>
                      <w:sz w:val="21"/>
                      <w:szCs w:val="21"/>
                      <w:lang w:val="en-US" w:eastAsia="zh-CN" w:bidi="ar"/>
                    </w:rPr>
                    <w:t>-S</w:t>
                  </w:r>
                  <w:r>
                    <w:rPr>
                      <w:rFonts w:hint="eastAsia" w:ascii="Times New Roman" w:hAnsi="Times New Roman" w:eastAsia="宋体" w:cs="Times New Roman"/>
                      <w:color w:val="0000E1"/>
                      <w:kern w:val="2"/>
                      <w:sz w:val="21"/>
                      <w:szCs w:val="21"/>
                      <w:lang w:val="en-US" w:eastAsia="zh-CN" w:bidi="ar"/>
                    </w:rPr>
                    <w:t>17</w:t>
                  </w:r>
                </w:p>
              </w:tc>
              <w:tc>
                <w:tcPr>
                  <w:tcW w:w="2010" w:type="dxa"/>
                  <w:gridSpan w:val="2"/>
                  <w:tcBorders>
                    <w:top w:val="single" w:color="auto" w:sz="4" w:space="0"/>
                    <w:left w:val="single" w:color="auto" w:sz="4" w:space="0"/>
                    <w:right w:val="single" w:color="auto" w:sz="4" w:space="0"/>
                  </w:tcBorders>
                  <w:shd w:val="clear" w:color="auto" w:fill="auto"/>
                  <w:vAlign w:val="center"/>
                </w:tcPr>
                <w:p w14:paraId="4C0A9F5A">
                  <w:pPr>
                    <w:keepNext w:val="0"/>
                    <w:keepLines w:val="0"/>
                    <w:widowControl w:val="0"/>
                    <w:suppressLineNumbers w:val="0"/>
                    <w:spacing w:before="0" w:beforeAutospacing="0" w:after="0" w:afterAutospacing="0"/>
                    <w:ind w:left="0" w:right="0"/>
                    <w:jc w:val="center"/>
                    <w:rPr>
                      <w:rFonts w:hint="default" w:ascii="Times New Roman" w:hAnsi="Times New Roman" w:eastAsia="宋体" w:cs="Times New Roman"/>
                      <w:color w:val="0000E1"/>
                      <w:kern w:val="2"/>
                      <w:sz w:val="21"/>
                      <w:szCs w:val="21"/>
                      <w:lang w:val="en-US"/>
                    </w:rPr>
                  </w:pPr>
                  <w:r>
                    <w:rPr>
                      <w:rFonts w:hint="eastAsia" w:ascii="Times New Roman" w:hAnsi="Times New Roman" w:eastAsia="宋体" w:cs="Times New Roman"/>
                      <w:color w:val="0000E1"/>
                      <w:kern w:val="2"/>
                      <w:sz w:val="21"/>
                      <w:szCs w:val="21"/>
                      <w:lang w:val="en-US" w:eastAsia="zh-CN" w:bidi="ar"/>
                    </w:rPr>
                    <w:t>517.386</w:t>
                  </w:r>
                </w:p>
              </w:tc>
              <w:tc>
                <w:tcPr>
                  <w:tcW w:w="1122" w:type="dxa"/>
                  <w:tcBorders>
                    <w:top w:val="single" w:color="auto" w:sz="4" w:space="0"/>
                    <w:left w:val="single" w:color="auto" w:sz="4" w:space="0"/>
                    <w:right w:val="single" w:color="auto" w:sz="4" w:space="0"/>
                  </w:tcBorders>
                  <w:shd w:val="clear" w:color="auto" w:fill="auto"/>
                  <w:vAlign w:val="center"/>
                </w:tcPr>
                <w:p w14:paraId="4502178F">
                  <w:pPr>
                    <w:keepNext w:val="0"/>
                    <w:keepLines w:val="0"/>
                    <w:widowControl w:val="0"/>
                    <w:suppressLineNumbers w:val="0"/>
                    <w:spacing w:before="0" w:beforeAutospacing="0" w:after="0" w:afterAutospacing="0"/>
                    <w:ind w:left="0" w:leftChars="0" w:right="0" w:rightChars="0"/>
                    <w:jc w:val="center"/>
                    <w:rPr>
                      <w:rFonts w:hint="default" w:ascii="Times New Roman" w:hAnsi="Times New Roman" w:eastAsia="宋体" w:cs="Times New Roman"/>
                      <w:color w:val="auto"/>
                      <w:kern w:val="2"/>
                      <w:sz w:val="21"/>
                      <w:szCs w:val="21"/>
                    </w:rPr>
                  </w:pPr>
                  <w:r>
                    <w:rPr>
                      <w:rFonts w:hint="eastAsia" w:ascii="宋体" w:hAnsi="宋体" w:eastAsia="宋体" w:cs="宋体"/>
                      <w:color w:val="auto"/>
                      <w:kern w:val="2"/>
                      <w:sz w:val="21"/>
                      <w:szCs w:val="21"/>
                      <w:lang w:val="en-US" w:eastAsia="zh-CN" w:bidi="ar"/>
                    </w:rPr>
                    <w:t>废</w:t>
                  </w:r>
                  <w:r>
                    <w:rPr>
                      <w:rFonts w:hint="default" w:ascii="Times New Roman" w:hAnsi="Times New Roman" w:eastAsia="宋体" w:cs="Times New Roman"/>
                      <w:color w:val="auto"/>
                      <w:kern w:val="2"/>
                      <w:sz w:val="21"/>
                      <w:szCs w:val="21"/>
                      <w:lang w:val="en-US" w:eastAsia="zh-CN" w:bidi="ar"/>
                    </w:rPr>
                    <w:t>PET</w:t>
                  </w:r>
                  <w:r>
                    <w:rPr>
                      <w:rFonts w:hint="eastAsia" w:ascii="宋体" w:hAnsi="宋体" w:eastAsia="宋体" w:cs="宋体"/>
                      <w:color w:val="auto"/>
                      <w:kern w:val="2"/>
                      <w:sz w:val="21"/>
                      <w:szCs w:val="21"/>
                      <w:lang w:val="en-US" w:eastAsia="zh-CN" w:bidi="ar"/>
                    </w:rPr>
                    <w:t>膜</w:t>
                  </w:r>
                </w:p>
              </w:tc>
              <w:tc>
                <w:tcPr>
                  <w:tcW w:w="653" w:type="dxa"/>
                  <w:tcBorders>
                    <w:top w:val="single" w:color="auto" w:sz="4" w:space="0"/>
                    <w:left w:val="single" w:color="auto" w:sz="4" w:space="0"/>
                    <w:right w:val="single" w:color="auto" w:sz="4" w:space="0"/>
                  </w:tcBorders>
                  <w:shd w:val="clear" w:color="auto" w:fill="auto"/>
                  <w:vAlign w:val="center"/>
                </w:tcPr>
                <w:p w14:paraId="0EA8BECD">
                  <w:pPr>
                    <w:keepNext w:val="0"/>
                    <w:keepLines w:val="0"/>
                    <w:widowControl w:val="0"/>
                    <w:suppressLineNumbers w:val="0"/>
                    <w:spacing w:before="0" w:beforeAutospacing="0" w:after="0" w:afterAutospacing="0"/>
                    <w:ind w:left="0" w:right="0"/>
                    <w:jc w:val="center"/>
                    <w:rPr>
                      <w:rFonts w:hint="default" w:ascii="Times New Roman" w:hAnsi="Times New Roman" w:eastAsia="宋体" w:cs="Times New Roman"/>
                      <w:color w:val="auto"/>
                      <w:kern w:val="2"/>
                      <w:sz w:val="21"/>
                      <w:szCs w:val="21"/>
                    </w:rPr>
                  </w:pPr>
                  <w:r>
                    <w:rPr>
                      <w:rFonts w:hint="default" w:ascii="Times New Roman" w:hAnsi="Times New Roman" w:eastAsia="宋体" w:cs="Times New Roman"/>
                      <w:color w:val="auto"/>
                      <w:kern w:val="2"/>
                      <w:sz w:val="21"/>
                      <w:szCs w:val="21"/>
                      <w:lang w:val="en-US" w:eastAsia="zh-CN" w:bidi="ar"/>
                    </w:rPr>
                    <w:t>1</w:t>
                  </w:r>
                  <w:r>
                    <w:rPr>
                      <w:rFonts w:hint="eastAsia" w:ascii="宋体" w:hAnsi="宋体" w:eastAsia="宋体" w:cs="宋体"/>
                      <w:color w:val="auto"/>
                      <w:kern w:val="2"/>
                      <w:sz w:val="21"/>
                      <w:szCs w:val="21"/>
                      <w:lang w:val="en-US" w:eastAsia="zh-CN" w:bidi="ar"/>
                    </w:rPr>
                    <w:t>天</w:t>
                  </w:r>
                </w:p>
              </w:tc>
              <w:tc>
                <w:tcPr>
                  <w:tcW w:w="650" w:type="dxa"/>
                  <w:vMerge w:val="restart"/>
                  <w:tcBorders>
                    <w:top w:val="nil"/>
                    <w:left w:val="single" w:color="auto" w:sz="4" w:space="0"/>
                    <w:right w:val="single" w:color="auto" w:sz="4" w:space="0"/>
                  </w:tcBorders>
                  <w:shd w:val="clear" w:color="auto" w:fill="auto"/>
                  <w:vAlign w:val="center"/>
                </w:tcPr>
                <w:p w14:paraId="7326DF02">
                  <w:pPr>
                    <w:keepNext w:val="0"/>
                    <w:keepLines w:val="0"/>
                    <w:widowControl w:val="0"/>
                    <w:suppressLineNumbers w:val="0"/>
                    <w:spacing w:before="0" w:beforeAutospacing="0" w:after="0" w:afterAutospacing="0"/>
                    <w:ind w:left="0" w:right="0"/>
                    <w:jc w:val="center"/>
                    <w:rPr>
                      <w:rFonts w:hint="default" w:ascii="Times New Roman" w:hAnsi="Times New Roman" w:eastAsia="宋体" w:cs="Times New Roman"/>
                      <w:color w:val="auto"/>
                      <w:kern w:val="2"/>
                      <w:sz w:val="21"/>
                      <w:szCs w:val="21"/>
                    </w:rPr>
                  </w:pPr>
                  <w:r>
                    <w:rPr>
                      <w:rFonts w:hint="default" w:ascii="Times New Roman" w:hAnsi="Times New Roman" w:eastAsia="宋体" w:cs="Times New Roman"/>
                      <w:color w:val="auto"/>
                      <w:kern w:val="2"/>
                      <w:sz w:val="21"/>
                      <w:szCs w:val="21"/>
                      <w:lang w:val="en-US" w:eastAsia="zh-CN" w:bidi="ar"/>
                    </w:rPr>
                    <w:t>/</w:t>
                  </w:r>
                </w:p>
              </w:tc>
              <w:tc>
                <w:tcPr>
                  <w:tcW w:w="1507" w:type="dxa"/>
                  <w:vMerge w:val="restart"/>
                  <w:tcBorders>
                    <w:top w:val="nil"/>
                    <w:left w:val="single" w:color="auto" w:sz="4" w:space="0"/>
                    <w:right w:val="single" w:color="auto" w:sz="4" w:space="0"/>
                  </w:tcBorders>
                  <w:shd w:val="clear" w:color="auto" w:fill="auto"/>
                  <w:vAlign w:val="center"/>
                </w:tcPr>
                <w:p w14:paraId="045DBBCC">
                  <w:pPr>
                    <w:keepNext w:val="0"/>
                    <w:keepLines w:val="0"/>
                    <w:widowControl w:val="0"/>
                    <w:suppressLineNumbers w:val="0"/>
                    <w:spacing w:before="0" w:beforeAutospacing="0" w:after="0" w:afterAutospacing="0"/>
                    <w:ind w:left="0" w:right="0"/>
                    <w:jc w:val="center"/>
                    <w:rPr>
                      <w:rFonts w:hint="default" w:ascii="Times New Roman" w:hAnsi="Times New Roman" w:eastAsia="宋体" w:cs="Times New Roman"/>
                      <w:color w:val="auto"/>
                      <w:kern w:val="2"/>
                      <w:sz w:val="21"/>
                      <w:szCs w:val="21"/>
                    </w:rPr>
                  </w:pPr>
                  <w:r>
                    <w:rPr>
                      <w:rFonts w:hint="eastAsia" w:ascii="宋体" w:hAnsi="宋体" w:eastAsia="宋体" w:cs="宋体"/>
                      <w:color w:val="auto"/>
                      <w:kern w:val="2"/>
                      <w:sz w:val="21"/>
                      <w:szCs w:val="21"/>
                      <w:lang w:val="en-US" w:eastAsia="zh-CN" w:bidi="ar"/>
                    </w:rPr>
                    <w:t>集中收集后委托一般工业固废单位处置或收运</w:t>
                  </w:r>
                </w:p>
              </w:tc>
            </w:tr>
            <w:tr w14:paraId="615314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307" w:hRule="atLeast"/>
                <w:jc w:val="center"/>
              </w:trPr>
              <w:tc>
                <w:tcPr>
                  <w:tcW w:w="636" w:type="dxa"/>
                  <w:vMerge w:val="restart"/>
                  <w:tcBorders>
                    <w:top w:val="nil"/>
                    <w:left w:val="single" w:color="auto" w:sz="4" w:space="0"/>
                    <w:bottom w:val="single" w:color="auto" w:sz="4" w:space="0"/>
                    <w:right w:val="single" w:color="auto" w:sz="4" w:space="0"/>
                  </w:tcBorders>
                  <w:shd w:val="clear" w:color="auto" w:fill="auto"/>
                  <w:vAlign w:val="center"/>
                </w:tcPr>
                <w:p w14:paraId="5EB92013">
                  <w:pPr>
                    <w:keepNext w:val="0"/>
                    <w:keepLines w:val="0"/>
                    <w:widowControl w:val="0"/>
                    <w:suppressLineNumbers w:val="0"/>
                    <w:spacing w:before="0" w:beforeAutospacing="0" w:after="0" w:afterAutospacing="0"/>
                    <w:ind w:left="0" w:right="0"/>
                    <w:jc w:val="center"/>
                    <w:rPr>
                      <w:rFonts w:hint="default" w:ascii="Times New Roman" w:hAnsi="Times New Roman" w:eastAsia="宋体" w:cs="Times New Roman"/>
                      <w:color w:val="auto"/>
                      <w:kern w:val="2"/>
                      <w:sz w:val="21"/>
                      <w:szCs w:val="21"/>
                    </w:rPr>
                  </w:pPr>
                  <w:r>
                    <w:rPr>
                      <w:rFonts w:hint="default" w:ascii="Times New Roman" w:hAnsi="Times New Roman" w:eastAsia="宋体" w:cs="Times New Roman"/>
                      <w:color w:val="auto"/>
                      <w:kern w:val="2"/>
                      <w:sz w:val="21"/>
                      <w:szCs w:val="21"/>
                      <w:lang w:val="en-US" w:eastAsia="zh-CN" w:bidi="ar"/>
                    </w:rPr>
                    <w:t>3</w:t>
                  </w:r>
                </w:p>
              </w:tc>
              <w:tc>
                <w:tcPr>
                  <w:tcW w:w="1565" w:type="dxa"/>
                  <w:vMerge w:val="restart"/>
                  <w:tcBorders>
                    <w:top w:val="nil"/>
                    <w:left w:val="single" w:color="auto" w:sz="4" w:space="0"/>
                    <w:bottom w:val="single" w:color="auto" w:sz="4" w:space="0"/>
                    <w:right w:val="single" w:color="auto" w:sz="4" w:space="0"/>
                  </w:tcBorders>
                  <w:shd w:val="clear" w:color="auto" w:fill="auto"/>
                  <w:vAlign w:val="center"/>
                </w:tcPr>
                <w:p w14:paraId="4FD5385B">
                  <w:pPr>
                    <w:keepNext w:val="0"/>
                    <w:keepLines w:val="0"/>
                    <w:widowControl w:val="0"/>
                    <w:suppressLineNumbers w:val="0"/>
                    <w:spacing w:before="0" w:beforeAutospacing="0" w:after="0" w:afterAutospacing="0"/>
                    <w:ind w:left="0" w:leftChars="0" w:right="0" w:rightChars="0"/>
                    <w:jc w:val="center"/>
                    <w:rPr>
                      <w:rFonts w:hint="default" w:ascii="Times New Roman" w:hAnsi="Times New Roman" w:eastAsia="宋体" w:cs="Times New Roman"/>
                      <w:color w:val="auto"/>
                      <w:kern w:val="2"/>
                      <w:sz w:val="21"/>
                      <w:szCs w:val="21"/>
                    </w:rPr>
                  </w:pPr>
                  <w:r>
                    <w:rPr>
                      <w:rFonts w:hint="eastAsia" w:ascii="宋体" w:hAnsi="宋体" w:eastAsia="宋体" w:cs="宋体"/>
                      <w:color w:val="auto"/>
                      <w:kern w:val="2"/>
                      <w:sz w:val="21"/>
                      <w:szCs w:val="21"/>
                      <w:lang w:val="en-US" w:eastAsia="zh-CN" w:bidi="ar"/>
                    </w:rPr>
                    <w:t>边角料</w:t>
                  </w:r>
                </w:p>
              </w:tc>
              <w:tc>
                <w:tcPr>
                  <w:tcW w:w="1215" w:type="dxa"/>
                  <w:tcBorders>
                    <w:top w:val="single" w:color="auto" w:sz="4" w:space="0"/>
                    <w:left w:val="single" w:color="auto" w:sz="4" w:space="0"/>
                    <w:bottom w:val="single" w:color="auto" w:sz="4" w:space="0"/>
                    <w:right w:val="single" w:color="auto" w:sz="4" w:space="0"/>
                  </w:tcBorders>
                  <w:shd w:val="clear" w:color="auto" w:fill="auto"/>
                  <w:vAlign w:val="center"/>
                </w:tcPr>
                <w:p w14:paraId="372FB8B7">
                  <w:pPr>
                    <w:keepNext w:val="0"/>
                    <w:keepLines w:val="0"/>
                    <w:widowControl w:val="0"/>
                    <w:suppressLineNumbers w:val="0"/>
                    <w:spacing w:before="0" w:beforeAutospacing="0" w:after="0" w:afterAutospacing="0"/>
                    <w:ind w:left="0" w:leftChars="0" w:right="0" w:rightChars="0"/>
                    <w:jc w:val="center"/>
                    <w:rPr>
                      <w:rFonts w:hint="default" w:ascii="Times New Roman" w:hAnsi="Times New Roman" w:eastAsia="宋体" w:cs="Times New Roman"/>
                      <w:color w:val="auto"/>
                      <w:kern w:val="2"/>
                      <w:sz w:val="21"/>
                      <w:szCs w:val="21"/>
                    </w:rPr>
                  </w:pPr>
                  <w:r>
                    <w:rPr>
                      <w:rFonts w:hint="eastAsia" w:ascii="宋体" w:hAnsi="宋体" w:eastAsia="宋体" w:cs="宋体"/>
                      <w:color w:val="auto"/>
                      <w:kern w:val="2"/>
                      <w:sz w:val="21"/>
                      <w:szCs w:val="21"/>
                      <w:lang w:val="en-US" w:eastAsia="zh-CN" w:bidi="ar"/>
                    </w:rPr>
                    <w:t>复合隔膜</w:t>
                  </w:r>
                </w:p>
              </w:tc>
              <w:tc>
                <w:tcPr>
                  <w:tcW w:w="1320" w:type="dxa"/>
                  <w:tcBorders>
                    <w:top w:val="single" w:color="auto" w:sz="4" w:space="0"/>
                    <w:left w:val="single" w:color="auto" w:sz="4" w:space="0"/>
                    <w:bottom w:val="single" w:color="auto" w:sz="4" w:space="0"/>
                    <w:right w:val="single" w:color="auto" w:sz="4" w:space="0"/>
                  </w:tcBorders>
                  <w:shd w:val="clear" w:color="auto" w:fill="auto"/>
                  <w:vAlign w:val="center"/>
                </w:tcPr>
                <w:p w14:paraId="4CFC2E7C">
                  <w:pPr>
                    <w:keepNext w:val="0"/>
                    <w:keepLines w:val="0"/>
                    <w:widowControl w:val="0"/>
                    <w:suppressLineNumbers w:val="0"/>
                    <w:spacing w:before="0" w:beforeAutospacing="0" w:after="0" w:afterAutospacing="0"/>
                    <w:ind w:left="0" w:leftChars="0" w:right="0" w:rightChars="0"/>
                    <w:jc w:val="center"/>
                    <w:rPr>
                      <w:rFonts w:hint="default" w:ascii="Times New Roman" w:hAnsi="Times New Roman" w:eastAsia="宋体" w:cs="Times New Roman"/>
                      <w:color w:val="auto"/>
                      <w:kern w:val="2"/>
                      <w:sz w:val="21"/>
                      <w:szCs w:val="21"/>
                    </w:rPr>
                  </w:pPr>
                  <w:r>
                    <w:rPr>
                      <w:rFonts w:hint="eastAsia" w:ascii="宋体" w:hAnsi="宋体" w:eastAsia="宋体" w:cs="宋体"/>
                      <w:color w:val="auto"/>
                      <w:kern w:val="2"/>
                      <w:sz w:val="21"/>
                      <w:szCs w:val="21"/>
                      <w:lang w:val="en-US" w:eastAsia="zh-CN" w:bidi="ar"/>
                    </w:rPr>
                    <w:t>裁切</w:t>
                  </w:r>
                </w:p>
              </w:tc>
              <w:tc>
                <w:tcPr>
                  <w:tcW w:w="661" w:type="dxa"/>
                  <w:vMerge w:val="restart"/>
                  <w:tcBorders>
                    <w:top w:val="nil"/>
                    <w:left w:val="single" w:color="auto" w:sz="4" w:space="0"/>
                    <w:bottom w:val="single" w:color="auto" w:sz="4" w:space="0"/>
                    <w:right w:val="single" w:color="auto" w:sz="4" w:space="0"/>
                  </w:tcBorders>
                  <w:shd w:val="clear" w:color="auto" w:fill="auto"/>
                  <w:vAlign w:val="center"/>
                </w:tcPr>
                <w:p w14:paraId="6500BB40">
                  <w:pPr>
                    <w:keepNext w:val="0"/>
                    <w:keepLines w:val="0"/>
                    <w:widowControl w:val="0"/>
                    <w:suppressLineNumbers w:val="0"/>
                    <w:spacing w:before="0" w:beforeAutospacing="0" w:after="0" w:afterAutospacing="0"/>
                    <w:ind w:left="0" w:right="0"/>
                    <w:jc w:val="center"/>
                    <w:rPr>
                      <w:rFonts w:hint="default" w:ascii="Times New Roman" w:hAnsi="Times New Roman" w:eastAsia="宋体" w:cs="Times New Roman"/>
                      <w:color w:val="auto"/>
                      <w:kern w:val="2"/>
                      <w:sz w:val="21"/>
                      <w:szCs w:val="21"/>
                    </w:rPr>
                  </w:pPr>
                  <w:r>
                    <w:rPr>
                      <w:rFonts w:hint="eastAsia" w:ascii="宋体" w:hAnsi="宋体" w:eastAsia="宋体" w:cs="宋体"/>
                      <w:color w:val="auto"/>
                      <w:kern w:val="2"/>
                      <w:sz w:val="21"/>
                      <w:szCs w:val="21"/>
                      <w:lang w:val="en-US" w:eastAsia="zh-CN" w:bidi="ar"/>
                    </w:rPr>
                    <w:t>固态</w:t>
                  </w:r>
                </w:p>
              </w:tc>
              <w:tc>
                <w:tcPr>
                  <w:tcW w:w="554" w:type="dxa"/>
                  <w:vMerge w:val="continue"/>
                  <w:tcBorders>
                    <w:left w:val="single" w:color="auto" w:sz="4" w:space="0"/>
                    <w:right w:val="single" w:color="auto" w:sz="4" w:space="0"/>
                  </w:tcBorders>
                  <w:shd w:val="clear" w:color="auto" w:fill="auto"/>
                  <w:vAlign w:val="center"/>
                </w:tcPr>
                <w:p w14:paraId="7BED8BD3">
                  <w:pPr>
                    <w:keepNext w:val="0"/>
                    <w:keepLines w:val="0"/>
                    <w:suppressLineNumbers w:val="0"/>
                    <w:spacing w:before="0" w:beforeAutospacing="0" w:after="0" w:afterAutospacing="0"/>
                    <w:ind w:left="0" w:right="0"/>
                    <w:jc w:val="center"/>
                    <w:rPr>
                      <w:rFonts w:hint="default" w:ascii="Times New Roman" w:hAnsi="Times New Roman" w:cs="Times New Roman"/>
                      <w:color w:val="auto"/>
                      <w:sz w:val="20"/>
                      <w:szCs w:val="20"/>
                    </w:rPr>
                  </w:pPr>
                </w:p>
              </w:tc>
              <w:tc>
                <w:tcPr>
                  <w:tcW w:w="1365" w:type="dxa"/>
                  <w:vMerge w:val="restart"/>
                  <w:tcBorders>
                    <w:top w:val="single" w:color="auto" w:sz="4" w:space="0"/>
                    <w:left w:val="single" w:color="auto" w:sz="4" w:space="0"/>
                    <w:bottom w:val="single" w:color="auto" w:sz="4" w:space="0"/>
                    <w:right w:val="single" w:color="auto" w:sz="4" w:space="0"/>
                  </w:tcBorders>
                  <w:shd w:val="clear" w:color="auto" w:fill="auto"/>
                  <w:vAlign w:val="center"/>
                </w:tcPr>
                <w:p w14:paraId="15AF9409">
                  <w:pPr>
                    <w:keepNext w:val="0"/>
                    <w:keepLines w:val="0"/>
                    <w:widowControl w:val="0"/>
                    <w:suppressLineNumbers w:val="0"/>
                    <w:spacing w:before="0" w:beforeAutospacing="0" w:after="0" w:afterAutospacing="0"/>
                    <w:ind w:left="0" w:right="0"/>
                    <w:jc w:val="center"/>
                    <w:rPr>
                      <w:rFonts w:hint="default" w:ascii="Times New Roman" w:hAnsi="Times New Roman" w:eastAsia="宋体" w:cs="Times New Roman"/>
                      <w:color w:val="auto"/>
                      <w:kern w:val="2"/>
                      <w:sz w:val="21"/>
                      <w:szCs w:val="21"/>
                      <w:lang w:val="en-US" w:eastAsia="zh-CN" w:bidi="ar"/>
                    </w:rPr>
                  </w:pPr>
                  <w:r>
                    <w:rPr>
                      <w:rFonts w:hint="default" w:ascii="Times New Roman" w:hAnsi="Times New Roman" w:eastAsia="宋体" w:cs="Times New Roman"/>
                      <w:color w:val="auto"/>
                      <w:kern w:val="2"/>
                      <w:sz w:val="21"/>
                      <w:szCs w:val="21"/>
                      <w:lang w:val="en-US" w:eastAsia="zh-CN" w:bidi="ar"/>
                    </w:rPr>
                    <w:t>SW</w:t>
                  </w:r>
                  <w:r>
                    <w:rPr>
                      <w:rFonts w:hint="eastAsia" w:ascii="Times New Roman" w:hAnsi="Times New Roman" w:eastAsia="宋体" w:cs="Times New Roman"/>
                      <w:color w:val="auto"/>
                      <w:kern w:val="2"/>
                      <w:sz w:val="21"/>
                      <w:szCs w:val="21"/>
                      <w:lang w:val="en-US" w:eastAsia="zh-CN" w:bidi="ar"/>
                    </w:rPr>
                    <w:t>59</w:t>
                  </w:r>
                </w:p>
                <w:p w14:paraId="38D5F989">
                  <w:pPr>
                    <w:keepNext w:val="0"/>
                    <w:keepLines w:val="0"/>
                    <w:widowControl w:val="0"/>
                    <w:suppressLineNumbers w:val="0"/>
                    <w:spacing w:before="0" w:beforeAutospacing="0" w:after="0" w:afterAutospacing="0"/>
                    <w:ind w:left="0" w:right="0"/>
                    <w:jc w:val="center"/>
                    <w:rPr>
                      <w:rFonts w:hint="default" w:ascii="Times New Roman" w:hAnsi="Times New Roman" w:eastAsia="宋体" w:cs="Times New Roman"/>
                      <w:color w:val="auto"/>
                      <w:kern w:val="2"/>
                      <w:sz w:val="21"/>
                      <w:szCs w:val="21"/>
                    </w:rPr>
                  </w:pPr>
                  <w:r>
                    <w:rPr>
                      <w:rFonts w:hint="default" w:ascii="Times New Roman" w:hAnsi="Times New Roman" w:eastAsia="宋体" w:cs="Times New Roman"/>
                      <w:color w:val="auto"/>
                      <w:kern w:val="2"/>
                      <w:sz w:val="21"/>
                      <w:szCs w:val="21"/>
                      <w:lang w:val="en-US" w:eastAsia="zh-CN" w:bidi="ar"/>
                    </w:rPr>
                    <w:t>900-099-S59</w:t>
                  </w:r>
                </w:p>
              </w:tc>
              <w:tc>
                <w:tcPr>
                  <w:tcW w:w="1005" w:type="dxa"/>
                  <w:tcBorders>
                    <w:top w:val="nil"/>
                    <w:left w:val="single" w:color="auto" w:sz="4" w:space="0"/>
                    <w:bottom w:val="single" w:color="auto" w:sz="4" w:space="0"/>
                    <w:right w:val="single" w:color="auto" w:sz="4" w:space="0"/>
                  </w:tcBorders>
                  <w:shd w:val="clear" w:color="auto" w:fill="auto"/>
                  <w:vAlign w:val="center"/>
                </w:tcPr>
                <w:p w14:paraId="0CBD5D1E">
                  <w:pPr>
                    <w:keepNext w:val="0"/>
                    <w:keepLines w:val="0"/>
                    <w:widowControl w:val="0"/>
                    <w:suppressLineNumbers w:val="0"/>
                    <w:spacing w:before="0" w:beforeAutospacing="0" w:after="0" w:afterAutospacing="0"/>
                    <w:ind w:left="0" w:right="0"/>
                    <w:jc w:val="center"/>
                    <w:rPr>
                      <w:rFonts w:hint="default" w:ascii="Times New Roman" w:hAnsi="Times New Roman" w:eastAsia="宋体" w:cs="Times New Roman"/>
                      <w:color w:val="0000FF"/>
                      <w:kern w:val="2"/>
                      <w:sz w:val="21"/>
                      <w:szCs w:val="21"/>
                      <w:lang w:val="en-US"/>
                    </w:rPr>
                  </w:pPr>
                  <w:r>
                    <w:rPr>
                      <w:rFonts w:hint="eastAsia" w:ascii="Times New Roman" w:hAnsi="Times New Roman" w:eastAsia="宋体" w:cs="Times New Roman"/>
                      <w:color w:val="0000FF"/>
                      <w:kern w:val="2"/>
                      <w:sz w:val="21"/>
                      <w:szCs w:val="21"/>
                      <w:lang w:val="en-US" w:eastAsia="zh-CN" w:bidi="ar"/>
                    </w:rPr>
                    <w:t>2990.25</w:t>
                  </w:r>
                </w:p>
              </w:tc>
              <w:tc>
                <w:tcPr>
                  <w:tcW w:w="1005" w:type="dxa"/>
                  <w:vMerge w:val="restart"/>
                  <w:tcBorders>
                    <w:top w:val="nil"/>
                    <w:left w:val="single" w:color="auto" w:sz="4" w:space="0"/>
                    <w:right w:val="single" w:color="auto" w:sz="4" w:space="0"/>
                  </w:tcBorders>
                  <w:shd w:val="clear" w:color="auto" w:fill="auto"/>
                  <w:vAlign w:val="center"/>
                </w:tcPr>
                <w:p w14:paraId="2244368F">
                  <w:pPr>
                    <w:keepNext w:val="0"/>
                    <w:keepLines w:val="0"/>
                    <w:widowControl w:val="0"/>
                    <w:suppressLineNumbers w:val="0"/>
                    <w:spacing w:before="0" w:beforeAutospacing="0" w:after="0" w:afterAutospacing="0"/>
                    <w:ind w:left="0" w:right="0"/>
                    <w:jc w:val="center"/>
                    <w:rPr>
                      <w:rFonts w:hint="default" w:ascii="Times New Roman" w:hAnsi="Times New Roman" w:eastAsia="宋体" w:cs="Times New Roman"/>
                      <w:color w:val="0000FF"/>
                      <w:kern w:val="2"/>
                      <w:sz w:val="21"/>
                      <w:szCs w:val="21"/>
                      <w:lang w:val="en-US" w:eastAsia="zh-CN" w:bidi="ar"/>
                    </w:rPr>
                  </w:pPr>
                  <w:r>
                    <w:rPr>
                      <w:rFonts w:hint="eastAsia" w:ascii="Times New Roman" w:hAnsi="Times New Roman" w:eastAsia="宋体" w:cs="Times New Roman"/>
                      <w:color w:val="0000FF"/>
                      <w:kern w:val="2"/>
                      <w:sz w:val="21"/>
                      <w:szCs w:val="21"/>
                      <w:lang w:val="en-US" w:eastAsia="zh-CN" w:bidi="ar"/>
                    </w:rPr>
                    <w:t>3017.374</w:t>
                  </w:r>
                </w:p>
              </w:tc>
              <w:tc>
                <w:tcPr>
                  <w:tcW w:w="1122" w:type="dxa"/>
                  <w:vMerge w:val="restart"/>
                  <w:tcBorders>
                    <w:top w:val="nil"/>
                    <w:left w:val="single" w:color="auto" w:sz="4" w:space="0"/>
                    <w:bottom w:val="single" w:color="auto" w:sz="4" w:space="0"/>
                    <w:right w:val="single" w:color="auto" w:sz="4" w:space="0"/>
                  </w:tcBorders>
                  <w:shd w:val="clear" w:color="auto" w:fill="auto"/>
                  <w:vAlign w:val="center"/>
                </w:tcPr>
                <w:p w14:paraId="1EEC33B4">
                  <w:pPr>
                    <w:keepNext w:val="0"/>
                    <w:keepLines w:val="0"/>
                    <w:widowControl w:val="0"/>
                    <w:suppressLineNumbers w:val="0"/>
                    <w:spacing w:before="0" w:beforeAutospacing="0" w:after="0" w:afterAutospacing="0"/>
                    <w:ind w:left="0" w:leftChars="0" w:right="0" w:rightChars="0"/>
                    <w:jc w:val="center"/>
                    <w:rPr>
                      <w:rFonts w:hint="default" w:ascii="Times New Roman" w:hAnsi="Times New Roman" w:eastAsia="宋体" w:cs="Times New Roman"/>
                      <w:color w:val="auto"/>
                      <w:kern w:val="2"/>
                      <w:sz w:val="21"/>
                      <w:szCs w:val="21"/>
                    </w:rPr>
                  </w:pPr>
                  <w:r>
                    <w:rPr>
                      <w:rFonts w:hint="eastAsia" w:ascii="宋体" w:hAnsi="宋体" w:eastAsia="宋体" w:cs="宋体"/>
                      <w:color w:val="auto"/>
                      <w:kern w:val="2"/>
                      <w:sz w:val="21"/>
                      <w:szCs w:val="21"/>
                      <w:lang w:val="en-US" w:eastAsia="zh-CN" w:bidi="ar"/>
                    </w:rPr>
                    <w:t>边角料</w:t>
                  </w:r>
                </w:p>
              </w:tc>
              <w:tc>
                <w:tcPr>
                  <w:tcW w:w="653" w:type="dxa"/>
                  <w:vMerge w:val="restart"/>
                  <w:tcBorders>
                    <w:top w:val="nil"/>
                    <w:left w:val="single" w:color="auto" w:sz="4" w:space="0"/>
                    <w:bottom w:val="single" w:color="auto" w:sz="4" w:space="0"/>
                    <w:right w:val="single" w:color="auto" w:sz="4" w:space="0"/>
                  </w:tcBorders>
                  <w:shd w:val="clear" w:color="auto" w:fill="auto"/>
                  <w:vAlign w:val="center"/>
                </w:tcPr>
                <w:p w14:paraId="76BE9B56">
                  <w:pPr>
                    <w:keepNext w:val="0"/>
                    <w:keepLines w:val="0"/>
                    <w:widowControl w:val="0"/>
                    <w:suppressLineNumbers w:val="0"/>
                    <w:spacing w:before="0" w:beforeAutospacing="0" w:after="0" w:afterAutospacing="0"/>
                    <w:ind w:left="0" w:right="0"/>
                    <w:jc w:val="center"/>
                    <w:rPr>
                      <w:rFonts w:hint="default" w:ascii="Times New Roman" w:hAnsi="Times New Roman" w:eastAsia="宋体" w:cs="Times New Roman"/>
                      <w:color w:val="auto"/>
                      <w:kern w:val="2"/>
                      <w:sz w:val="21"/>
                      <w:szCs w:val="21"/>
                    </w:rPr>
                  </w:pPr>
                  <w:r>
                    <w:rPr>
                      <w:rFonts w:hint="default" w:ascii="Times New Roman" w:hAnsi="Times New Roman" w:eastAsia="宋体" w:cs="Times New Roman"/>
                      <w:color w:val="auto"/>
                      <w:kern w:val="2"/>
                      <w:sz w:val="21"/>
                      <w:szCs w:val="21"/>
                      <w:lang w:val="en-US" w:eastAsia="zh-CN" w:bidi="ar"/>
                    </w:rPr>
                    <w:t>1</w:t>
                  </w:r>
                  <w:r>
                    <w:rPr>
                      <w:rFonts w:hint="eastAsia" w:ascii="宋体" w:hAnsi="宋体" w:eastAsia="宋体" w:cs="宋体"/>
                      <w:color w:val="auto"/>
                      <w:kern w:val="2"/>
                      <w:sz w:val="21"/>
                      <w:szCs w:val="21"/>
                      <w:lang w:val="en-US" w:eastAsia="zh-CN" w:bidi="ar"/>
                    </w:rPr>
                    <w:t>天</w:t>
                  </w:r>
                </w:p>
              </w:tc>
              <w:tc>
                <w:tcPr>
                  <w:tcW w:w="650" w:type="dxa"/>
                  <w:vMerge w:val="continue"/>
                  <w:tcBorders>
                    <w:left w:val="single" w:color="auto" w:sz="4" w:space="0"/>
                    <w:right w:val="single" w:color="auto" w:sz="4" w:space="0"/>
                  </w:tcBorders>
                  <w:shd w:val="clear" w:color="auto" w:fill="auto"/>
                  <w:vAlign w:val="center"/>
                </w:tcPr>
                <w:p w14:paraId="1DA30E30">
                  <w:pPr>
                    <w:keepNext w:val="0"/>
                    <w:keepLines w:val="0"/>
                    <w:suppressLineNumbers w:val="0"/>
                    <w:spacing w:before="0" w:beforeAutospacing="0" w:after="0" w:afterAutospacing="0"/>
                    <w:ind w:left="0" w:right="0"/>
                    <w:jc w:val="center"/>
                    <w:rPr>
                      <w:rFonts w:hint="default" w:ascii="Times New Roman" w:hAnsi="Times New Roman" w:cs="Times New Roman"/>
                      <w:color w:val="auto"/>
                      <w:sz w:val="20"/>
                      <w:szCs w:val="20"/>
                    </w:rPr>
                  </w:pPr>
                </w:p>
              </w:tc>
              <w:tc>
                <w:tcPr>
                  <w:tcW w:w="1507" w:type="dxa"/>
                  <w:vMerge w:val="continue"/>
                  <w:tcBorders>
                    <w:left w:val="single" w:color="auto" w:sz="4" w:space="0"/>
                    <w:right w:val="single" w:color="auto" w:sz="4" w:space="0"/>
                  </w:tcBorders>
                  <w:shd w:val="clear" w:color="auto" w:fill="auto"/>
                  <w:vAlign w:val="center"/>
                </w:tcPr>
                <w:p w14:paraId="3DF8D13B">
                  <w:pPr>
                    <w:keepNext w:val="0"/>
                    <w:keepLines w:val="0"/>
                    <w:suppressLineNumbers w:val="0"/>
                    <w:spacing w:before="0" w:beforeAutospacing="0" w:after="0" w:afterAutospacing="0"/>
                    <w:ind w:left="0" w:right="0"/>
                    <w:jc w:val="center"/>
                    <w:rPr>
                      <w:rFonts w:hint="default" w:ascii="Times New Roman" w:hAnsi="Times New Roman" w:cs="Times New Roman"/>
                      <w:color w:val="auto"/>
                      <w:sz w:val="20"/>
                      <w:szCs w:val="20"/>
                    </w:rPr>
                  </w:pPr>
                </w:p>
              </w:tc>
            </w:tr>
            <w:tr w14:paraId="44A996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307" w:hRule="atLeast"/>
                <w:jc w:val="center"/>
              </w:trPr>
              <w:tc>
                <w:tcPr>
                  <w:tcW w:w="636" w:type="dxa"/>
                  <w:vMerge w:val="continue"/>
                  <w:tcBorders>
                    <w:top w:val="nil"/>
                    <w:left w:val="single" w:color="auto" w:sz="4" w:space="0"/>
                    <w:bottom w:val="single" w:color="auto" w:sz="4" w:space="0"/>
                    <w:right w:val="single" w:color="auto" w:sz="4" w:space="0"/>
                  </w:tcBorders>
                  <w:shd w:val="clear" w:color="auto" w:fill="auto"/>
                  <w:vAlign w:val="center"/>
                </w:tcPr>
                <w:p w14:paraId="29E07AD3">
                  <w:pPr>
                    <w:keepNext w:val="0"/>
                    <w:keepLines w:val="0"/>
                    <w:suppressLineNumbers w:val="0"/>
                    <w:spacing w:before="0" w:beforeAutospacing="0" w:after="0" w:afterAutospacing="0"/>
                    <w:ind w:left="0" w:right="0"/>
                    <w:jc w:val="center"/>
                    <w:rPr>
                      <w:rFonts w:hint="default" w:ascii="Times New Roman" w:hAnsi="Times New Roman" w:cs="Times New Roman"/>
                      <w:color w:val="auto"/>
                      <w:sz w:val="20"/>
                      <w:szCs w:val="20"/>
                    </w:rPr>
                  </w:pPr>
                </w:p>
              </w:tc>
              <w:tc>
                <w:tcPr>
                  <w:tcW w:w="1565" w:type="dxa"/>
                  <w:vMerge w:val="continue"/>
                  <w:tcBorders>
                    <w:top w:val="nil"/>
                    <w:left w:val="single" w:color="auto" w:sz="4" w:space="0"/>
                    <w:bottom w:val="single" w:color="auto" w:sz="4" w:space="0"/>
                    <w:right w:val="single" w:color="auto" w:sz="4" w:space="0"/>
                  </w:tcBorders>
                  <w:shd w:val="clear" w:color="auto" w:fill="auto"/>
                  <w:vAlign w:val="center"/>
                </w:tcPr>
                <w:p w14:paraId="49B1CD43">
                  <w:pPr>
                    <w:keepNext w:val="0"/>
                    <w:keepLines w:val="0"/>
                    <w:suppressLineNumbers w:val="0"/>
                    <w:spacing w:before="0" w:beforeAutospacing="0" w:after="0" w:afterAutospacing="0"/>
                    <w:ind w:left="0" w:right="0"/>
                    <w:jc w:val="center"/>
                    <w:rPr>
                      <w:rFonts w:hint="default" w:ascii="Times New Roman" w:hAnsi="Times New Roman" w:cs="Times New Roman"/>
                      <w:color w:val="auto"/>
                      <w:sz w:val="20"/>
                      <w:szCs w:val="20"/>
                    </w:rPr>
                  </w:pPr>
                </w:p>
              </w:tc>
              <w:tc>
                <w:tcPr>
                  <w:tcW w:w="1215" w:type="dxa"/>
                  <w:tcBorders>
                    <w:top w:val="single" w:color="auto" w:sz="4" w:space="0"/>
                    <w:left w:val="single" w:color="auto" w:sz="4" w:space="0"/>
                    <w:bottom w:val="single" w:color="auto" w:sz="4" w:space="0"/>
                    <w:right w:val="single" w:color="auto" w:sz="4" w:space="0"/>
                  </w:tcBorders>
                  <w:shd w:val="clear" w:color="auto" w:fill="auto"/>
                  <w:vAlign w:val="center"/>
                </w:tcPr>
                <w:p w14:paraId="04C83A26">
                  <w:pPr>
                    <w:keepNext w:val="0"/>
                    <w:keepLines w:val="0"/>
                    <w:widowControl w:val="0"/>
                    <w:suppressLineNumbers w:val="0"/>
                    <w:spacing w:before="0" w:beforeAutospacing="0" w:after="0" w:afterAutospacing="0"/>
                    <w:ind w:left="0" w:leftChars="0" w:right="0" w:rightChars="0"/>
                    <w:jc w:val="center"/>
                    <w:rPr>
                      <w:rFonts w:hint="default" w:ascii="Calibri" w:hAnsi="Calibri" w:eastAsia="宋体" w:cs="Times New Roman"/>
                      <w:color w:val="auto"/>
                      <w:kern w:val="2"/>
                      <w:sz w:val="21"/>
                      <w:szCs w:val="21"/>
                    </w:rPr>
                  </w:pPr>
                  <w:r>
                    <w:rPr>
                      <w:rFonts w:hint="eastAsia" w:ascii="宋体" w:hAnsi="宋体" w:eastAsia="宋体" w:cs="宋体"/>
                      <w:color w:val="auto"/>
                      <w:kern w:val="2"/>
                      <w:sz w:val="21"/>
                      <w:szCs w:val="21"/>
                      <w:lang w:val="en-US" w:eastAsia="zh-CN" w:bidi="ar"/>
                    </w:rPr>
                    <w:t>纳米隔热板</w:t>
                  </w:r>
                </w:p>
              </w:tc>
              <w:tc>
                <w:tcPr>
                  <w:tcW w:w="1320" w:type="dxa"/>
                  <w:tcBorders>
                    <w:top w:val="single" w:color="auto" w:sz="4" w:space="0"/>
                    <w:left w:val="single" w:color="auto" w:sz="4" w:space="0"/>
                    <w:bottom w:val="single" w:color="auto" w:sz="4" w:space="0"/>
                    <w:right w:val="single" w:color="auto" w:sz="4" w:space="0"/>
                  </w:tcBorders>
                  <w:shd w:val="clear" w:color="auto" w:fill="auto"/>
                  <w:vAlign w:val="center"/>
                </w:tcPr>
                <w:p w14:paraId="167A58E6">
                  <w:pPr>
                    <w:keepNext w:val="0"/>
                    <w:keepLines w:val="0"/>
                    <w:widowControl w:val="0"/>
                    <w:suppressLineNumbers w:val="0"/>
                    <w:spacing w:before="0" w:beforeAutospacing="0" w:after="0" w:afterAutospacing="0"/>
                    <w:ind w:left="0" w:leftChars="0" w:right="0" w:rightChars="0"/>
                    <w:jc w:val="center"/>
                    <w:rPr>
                      <w:rFonts w:hint="default" w:ascii="Calibri" w:hAnsi="Calibri" w:eastAsia="宋体" w:cs="Times New Roman"/>
                      <w:color w:val="auto"/>
                      <w:kern w:val="2"/>
                      <w:sz w:val="21"/>
                      <w:szCs w:val="21"/>
                    </w:rPr>
                  </w:pPr>
                  <w:r>
                    <w:rPr>
                      <w:rFonts w:hint="eastAsia" w:ascii="宋体" w:hAnsi="宋体" w:eastAsia="宋体" w:cs="宋体"/>
                      <w:color w:val="auto"/>
                      <w:kern w:val="2"/>
                      <w:sz w:val="21"/>
                      <w:szCs w:val="21"/>
                      <w:lang w:val="en-US" w:eastAsia="zh-CN" w:bidi="ar"/>
                    </w:rPr>
                    <w:t>激光切割、修边裁切</w:t>
                  </w:r>
                </w:p>
              </w:tc>
              <w:tc>
                <w:tcPr>
                  <w:tcW w:w="661" w:type="dxa"/>
                  <w:vMerge w:val="continue"/>
                  <w:tcBorders>
                    <w:top w:val="nil"/>
                    <w:left w:val="single" w:color="auto" w:sz="4" w:space="0"/>
                    <w:bottom w:val="single" w:color="auto" w:sz="4" w:space="0"/>
                    <w:right w:val="single" w:color="auto" w:sz="4" w:space="0"/>
                  </w:tcBorders>
                  <w:shd w:val="clear" w:color="auto" w:fill="auto"/>
                  <w:vAlign w:val="center"/>
                </w:tcPr>
                <w:p w14:paraId="351C964D">
                  <w:pPr>
                    <w:keepNext w:val="0"/>
                    <w:keepLines w:val="0"/>
                    <w:suppressLineNumbers w:val="0"/>
                    <w:spacing w:before="0" w:beforeAutospacing="0" w:after="0" w:afterAutospacing="0"/>
                    <w:ind w:left="0" w:right="0"/>
                    <w:jc w:val="center"/>
                    <w:rPr>
                      <w:rFonts w:hint="default" w:ascii="Times New Roman" w:hAnsi="Times New Roman" w:cs="Times New Roman"/>
                      <w:color w:val="auto"/>
                      <w:sz w:val="20"/>
                      <w:szCs w:val="20"/>
                    </w:rPr>
                  </w:pPr>
                </w:p>
              </w:tc>
              <w:tc>
                <w:tcPr>
                  <w:tcW w:w="554" w:type="dxa"/>
                  <w:vMerge w:val="continue"/>
                  <w:tcBorders>
                    <w:left w:val="single" w:color="auto" w:sz="4" w:space="0"/>
                    <w:right w:val="single" w:color="auto" w:sz="4" w:space="0"/>
                  </w:tcBorders>
                  <w:shd w:val="clear" w:color="auto" w:fill="auto"/>
                  <w:vAlign w:val="center"/>
                </w:tcPr>
                <w:p w14:paraId="68D9C3E3">
                  <w:pPr>
                    <w:keepNext w:val="0"/>
                    <w:keepLines w:val="0"/>
                    <w:suppressLineNumbers w:val="0"/>
                    <w:spacing w:before="0" w:beforeAutospacing="0" w:after="0" w:afterAutospacing="0"/>
                    <w:ind w:left="0" w:right="0"/>
                    <w:jc w:val="center"/>
                    <w:rPr>
                      <w:rFonts w:hint="default" w:ascii="Times New Roman" w:hAnsi="Times New Roman" w:cs="Times New Roman"/>
                      <w:color w:val="auto"/>
                      <w:sz w:val="20"/>
                      <w:szCs w:val="20"/>
                    </w:rPr>
                  </w:pPr>
                </w:p>
              </w:tc>
              <w:tc>
                <w:tcPr>
                  <w:tcW w:w="1365"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14:paraId="1DFB6A43">
                  <w:pPr>
                    <w:keepNext w:val="0"/>
                    <w:keepLines w:val="0"/>
                    <w:suppressLineNumbers w:val="0"/>
                    <w:spacing w:before="0" w:beforeAutospacing="0" w:after="0" w:afterAutospacing="0"/>
                    <w:ind w:left="0" w:right="0"/>
                    <w:jc w:val="center"/>
                    <w:rPr>
                      <w:rFonts w:hint="default" w:ascii="Times New Roman" w:hAnsi="Times New Roman" w:cs="Times New Roman"/>
                      <w:color w:val="auto"/>
                      <w:sz w:val="20"/>
                      <w:szCs w:val="20"/>
                    </w:rPr>
                  </w:pPr>
                </w:p>
              </w:tc>
              <w:tc>
                <w:tcPr>
                  <w:tcW w:w="1005" w:type="dxa"/>
                  <w:tcBorders>
                    <w:top w:val="nil"/>
                    <w:left w:val="single" w:color="auto" w:sz="4" w:space="0"/>
                    <w:bottom w:val="single" w:color="auto" w:sz="4" w:space="0"/>
                    <w:right w:val="single" w:color="auto" w:sz="4" w:space="0"/>
                  </w:tcBorders>
                  <w:shd w:val="clear" w:color="auto" w:fill="auto"/>
                  <w:vAlign w:val="center"/>
                </w:tcPr>
                <w:p w14:paraId="28AE6E5A">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0000FF"/>
                      <w:sz w:val="20"/>
                      <w:szCs w:val="20"/>
                      <w:lang w:val="en-US" w:eastAsia="zh-CN"/>
                    </w:rPr>
                  </w:pPr>
                  <w:r>
                    <w:rPr>
                      <w:rFonts w:hint="eastAsia" w:ascii="Times New Roman" w:hAnsi="Times New Roman" w:cs="Times New Roman"/>
                      <w:color w:val="0000FF"/>
                      <w:sz w:val="20"/>
                      <w:szCs w:val="20"/>
                      <w:lang w:val="en-US" w:eastAsia="zh-CN"/>
                    </w:rPr>
                    <w:t>27.124</w:t>
                  </w:r>
                </w:p>
              </w:tc>
              <w:tc>
                <w:tcPr>
                  <w:tcW w:w="1005" w:type="dxa"/>
                  <w:vMerge w:val="continue"/>
                  <w:tcBorders>
                    <w:left w:val="single" w:color="auto" w:sz="4" w:space="0"/>
                    <w:bottom w:val="single" w:color="auto" w:sz="4" w:space="0"/>
                    <w:right w:val="single" w:color="auto" w:sz="4" w:space="0"/>
                  </w:tcBorders>
                  <w:shd w:val="clear" w:color="auto" w:fill="auto"/>
                  <w:vAlign w:val="center"/>
                </w:tcPr>
                <w:p w14:paraId="31EAAF79">
                  <w:pPr>
                    <w:keepNext w:val="0"/>
                    <w:keepLines w:val="0"/>
                    <w:suppressLineNumbers w:val="0"/>
                    <w:spacing w:before="0" w:beforeAutospacing="0" w:after="0" w:afterAutospacing="0"/>
                    <w:ind w:left="0" w:right="0"/>
                    <w:jc w:val="center"/>
                    <w:rPr>
                      <w:rFonts w:hint="default" w:ascii="Times New Roman" w:hAnsi="Times New Roman" w:cs="Times New Roman"/>
                      <w:color w:val="0000FF"/>
                      <w:sz w:val="20"/>
                      <w:szCs w:val="20"/>
                    </w:rPr>
                  </w:pPr>
                </w:p>
              </w:tc>
              <w:tc>
                <w:tcPr>
                  <w:tcW w:w="1122" w:type="dxa"/>
                  <w:vMerge w:val="continue"/>
                  <w:tcBorders>
                    <w:top w:val="nil"/>
                    <w:left w:val="single" w:color="auto" w:sz="4" w:space="0"/>
                    <w:bottom w:val="single" w:color="auto" w:sz="4" w:space="0"/>
                    <w:right w:val="single" w:color="auto" w:sz="4" w:space="0"/>
                  </w:tcBorders>
                  <w:shd w:val="clear" w:color="auto" w:fill="auto"/>
                  <w:vAlign w:val="center"/>
                </w:tcPr>
                <w:p w14:paraId="5816B21E">
                  <w:pPr>
                    <w:keepNext w:val="0"/>
                    <w:keepLines w:val="0"/>
                    <w:suppressLineNumbers w:val="0"/>
                    <w:spacing w:before="0" w:beforeAutospacing="0" w:after="0" w:afterAutospacing="0"/>
                    <w:ind w:left="0" w:right="0"/>
                    <w:jc w:val="center"/>
                    <w:rPr>
                      <w:rFonts w:hint="default" w:ascii="Times New Roman" w:hAnsi="Times New Roman" w:cs="Times New Roman"/>
                      <w:color w:val="auto"/>
                      <w:sz w:val="20"/>
                      <w:szCs w:val="20"/>
                    </w:rPr>
                  </w:pPr>
                </w:p>
              </w:tc>
              <w:tc>
                <w:tcPr>
                  <w:tcW w:w="653" w:type="dxa"/>
                  <w:vMerge w:val="continue"/>
                  <w:tcBorders>
                    <w:top w:val="nil"/>
                    <w:left w:val="single" w:color="auto" w:sz="4" w:space="0"/>
                    <w:bottom w:val="single" w:color="auto" w:sz="4" w:space="0"/>
                    <w:right w:val="single" w:color="auto" w:sz="4" w:space="0"/>
                  </w:tcBorders>
                  <w:shd w:val="clear" w:color="auto" w:fill="auto"/>
                  <w:vAlign w:val="center"/>
                </w:tcPr>
                <w:p w14:paraId="4B70B1FF">
                  <w:pPr>
                    <w:keepNext w:val="0"/>
                    <w:keepLines w:val="0"/>
                    <w:suppressLineNumbers w:val="0"/>
                    <w:spacing w:before="0" w:beforeAutospacing="0" w:after="0" w:afterAutospacing="0"/>
                    <w:ind w:left="0" w:right="0"/>
                    <w:jc w:val="center"/>
                    <w:rPr>
                      <w:rFonts w:hint="default" w:ascii="Times New Roman" w:hAnsi="Times New Roman" w:cs="Times New Roman"/>
                      <w:color w:val="auto"/>
                      <w:sz w:val="20"/>
                      <w:szCs w:val="20"/>
                    </w:rPr>
                  </w:pPr>
                </w:p>
              </w:tc>
              <w:tc>
                <w:tcPr>
                  <w:tcW w:w="650" w:type="dxa"/>
                  <w:vMerge w:val="continue"/>
                  <w:tcBorders>
                    <w:left w:val="single" w:color="auto" w:sz="4" w:space="0"/>
                    <w:right w:val="single" w:color="auto" w:sz="4" w:space="0"/>
                  </w:tcBorders>
                  <w:shd w:val="clear" w:color="auto" w:fill="auto"/>
                  <w:vAlign w:val="center"/>
                </w:tcPr>
                <w:p w14:paraId="0011D4DC">
                  <w:pPr>
                    <w:keepNext w:val="0"/>
                    <w:keepLines w:val="0"/>
                    <w:suppressLineNumbers w:val="0"/>
                    <w:spacing w:before="0" w:beforeAutospacing="0" w:after="0" w:afterAutospacing="0"/>
                    <w:ind w:left="0" w:right="0"/>
                    <w:jc w:val="center"/>
                    <w:rPr>
                      <w:rFonts w:hint="default" w:ascii="Times New Roman" w:hAnsi="Times New Roman" w:cs="Times New Roman"/>
                      <w:color w:val="auto"/>
                      <w:sz w:val="20"/>
                      <w:szCs w:val="20"/>
                    </w:rPr>
                  </w:pPr>
                </w:p>
              </w:tc>
              <w:tc>
                <w:tcPr>
                  <w:tcW w:w="1507" w:type="dxa"/>
                  <w:vMerge w:val="continue"/>
                  <w:tcBorders>
                    <w:left w:val="single" w:color="auto" w:sz="4" w:space="0"/>
                    <w:right w:val="single" w:color="auto" w:sz="4" w:space="0"/>
                  </w:tcBorders>
                  <w:shd w:val="clear" w:color="auto" w:fill="auto"/>
                  <w:vAlign w:val="center"/>
                </w:tcPr>
                <w:p w14:paraId="166BDA80">
                  <w:pPr>
                    <w:keepNext w:val="0"/>
                    <w:keepLines w:val="0"/>
                    <w:suppressLineNumbers w:val="0"/>
                    <w:spacing w:before="0" w:beforeAutospacing="0" w:after="0" w:afterAutospacing="0"/>
                    <w:ind w:left="0" w:right="0"/>
                    <w:jc w:val="center"/>
                    <w:rPr>
                      <w:rFonts w:hint="default" w:ascii="Times New Roman" w:hAnsi="Times New Roman" w:cs="Times New Roman"/>
                      <w:color w:val="auto"/>
                      <w:sz w:val="20"/>
                      <w:szCs w:val="20"/>
                    </w:rPr>
                  </w:pPr>
                </w:p>
              </w:tc>
            </w:tr>
            <w:tr w14:paraId="391255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397" w:hRule="atLeast"/>
                <w:jc w:val="center"/>
              </w:trPr>
              <w:tc>
                <w:tcPr>
                  <w:tcW w:w="636" w:type="dxa"/>
                  <w:tcBorders>
                    <w:top w:val="single" w:color="auto" w:sz="4" w:space="0"/>
                    <w:left w:val="single" w:color="auto" w:sz="4" w:space="0"/>
                    <w:bottom w:val="single" w:color="auto" w:sz="4" w:space="0"/>
                    <w:right w:val="single" w:color="auto" w:sz="4" w:space="0"/>
                  </w:tcBorders>
                  <w:shd w:val="clear" w:color="auto" w:fill="auto"/>
                  <w:vAlign w:val="center"/>
                </w:tcPr>
                <w:p w14:paraId="2CFAA20E">
                  <w:pPr>
                    <w:keepNext w:val="0"/>
                    <w:keepLines w:val="0"/>
                    <w:widowControl w:val="0"/>
                    <w:suppressLineNumbers w:val="0"/>
                    <w:spacing w:before="0" w:beforeAutospacing="0" w:after="0" w:afterAutospacing="0"/>
                    <w:ind w:left="0" w:right="0"/>
                    <w:jc w:val="center"/>
                    <w:rPr>
                      <w:rFonts w:hint="default" w:ascii="Times New Roman" w:hAnsi="Times New Roman" w:eastAsia="宋体" w:cs="Times New Roman"/>
                      <w:color w:val="auto"/>
                      <w:kern w:val="2"/>
                      <w:sz w:val="21"/>
                      <w:szCs w:val="21"/>
                    </w:rPr>
                  </w:pPr>
                  <w:r>
                    <w:rPr>
                      <w:rFonts w:hint="default" w:ascii="Times New Roman" w:hAnsi="Times New Roman" w:eastAsia="宋体" w:cs="Times New Roman"/>
                      <w:color w:val="auto"/>
                      <w:kern w:val="2"/>
                      <w:sz w:val="21"/>
                      <w:szCs w:val="21"/>
                      <w:lang w:val="en-US" w:eastAsia="zh-CN" w:bidi="ar"/>
                    </w:rPr>
                    <w:t>4</w:t>
                  </w:r>
                </w:p>
              </w:tc>
              <w:tc>
                <w:tcPr>
                  <w:tcW w:w="1565" w:type="dxa"/>
                  <w:tcBorders>
                    <w:top w:val="single" w:color="auto" w:sz="4" w:space="0"/>
                    <w:left w:val="single" w:color="auto" w:sz="4" w:space="0"/>
                    <w:bottom w:val="single" w:color="auto" w:sz="4" w:space="0"/>
                    <w:right w:val="single" w:color="auto" w:sz="4" w:space="0"/>
                  </w:tcBorders>
                  <w:shd w:val="clear" w:color="auto" w:fill="auto"/>
                  <w:vAlign w:val="center"/>
                </w:tcPr>
                <w:p w14:paraId="4284F06E">
                  <w:pPr>
                    <w:keepNext w:val="0"/>
                    <w:keepLines w:val="0"/>
                    <w:widowControl w:val="0"/>
                    <w:suppressLineNumbers w:val="0"/>
                    <w:spacing w:before="0" w:beforeAutospacing="0" w:after="0" w:afterAutospacing="0"/>
                    <w:ind w:left="0" w:right="0"/>
                    <w:jc w:val="center"/>
                    <w:rPr>
                      <w:rFonts w:hint="default" w:ascii="Times New Roman" w:hAnsi="Times New Roman" w:eastAsia="宋体" w:cs="Times New Roman"/>
                      <w:color w:val="auto"/>
                      <w:kern w:val="2"/>
                      <w:sz w:val="21"/>
                      <w:szCs w:val="21"/>
                    </w:rPr>
                  </w:pPr>
                  <w:r>
                    <w:rPr>
                      <w:rFonts w:hint="eastAsia" w:ascii="宋体" w:hAnsi="宋体" w:eastAsia="宋体" w:cs="宋体"/>
                      <w:color w:val="auto"/>
                      <w:kern w:val="2"/>
                      <w:sz w:val="21"/>
                      <w:szCs w:val="21"/>
                      <w:lang w:val="en-US" w:eastAsia="zh-CN" w:bidi="ar"/>
                    </w:rPr>
                    <w:t>不合格品</w:t>
                  </w:r>
                </w:p>
              </w:tc>
              <w:tc>
                <w:tcPr>
                  <w:tcW w:w="2535" w:type="dxa"/>
                  <w:gridSpan w:val="2"/>
                  <w:tcBorders>
                    <w:top w:val="single" w:color="auto" w:sz="4" w:space="0"/>
                    <w:left w:val="single" w:color="auto" w:sz="4" w:space="0"/>
                    <w:bottom w:val="single" w:color="auto" w:sz="4" w:space="0"/>
                    <w:right w:val="single" w:color="auto" w:sz="4" w:space="0"/>
                  </w:tcBorders>
                  <w:shd w:val="clear" w:color="auto" w:fill="auto"/>
                  <w:vAlign w:val="center"/>
                </w:tcPr>
                <w:p w14:paraId="00FFC6C8">
                  <w:pPr>
                    <w:keepNext w:val="0"/>
                    <w:keepLines w:val="0"/>
                    <w:widowControl w:val="0"/>
                    <w:suppressLineNumbers w:val="0"/>
                    <w:spacing w:before="0" w:beforeAutospacing="0" w:after="0" w:afterAutospacing="0"/>
                    <w:ind w:left="0" w:leftChars="0" w:right="0" w:rightChars="0"/>
                    <w:jc w:val="center"/>
                    <w:rPr>
                      <w:rFonts w:hint="default" w:ascii="Times New Roman" w:hAnsi="Times New Roman" w:eastAsia="宋体" w:cs="Times New Roman"/>
                      <w:color w:val="auto"/>
                      <w:kern w:val="2"/>
                      <w:sz w:val="21"/>
                      <w:szCs w:val="21"/>
                    </w:rPr>
                  </w:pPr>
                  <w:r>
                    <w:rPr>
                      <w:rFonts w:hint="eastAsia" w:ascii="宋体" w:hAnsi="宋体" w:eastAsia="宋体" w:cs="宋体"/>
                      <w:color w:val="auto"/>
                      <w:kern w:val="2"/>
                      <w:sz w:val="21"/>
                      <w:szCs w:val="21"/>
                      <w:lang w:val="en-US" w:eastAsia="zh-CN" w:bidi="ar"/>
                    </w:rPr>
                    <w:t>检验</w:t>
                  </w:r>
                </w:p>
              </w:tc>
              <w:tc>
                <w:tcPr>
                  <w:tcW w:w="661" w:type="dxa"/>
                  <w:tcBorders>
                    <w:top w:val="single" w:color="auto" w:sz="4" w:space="0"/>
                    <w:left w:val="single" w:color="auto" w:sz="4" w:space="0"/>
                    <w:bottom w:val="single" w:color="auto" w:sz="4" w:space="0"/>
                    <w:right w:val="single" w:color="auto" w:sz="4" w:space="0"/>
                  </w:tcBorders>
                  <w:shd w:val="clear" w:color="auto" w:fill="auto"/>
                  <w:vAlign w:val="center"/>
                </w:tcPr>
                <w:p w14:paraId="633B76D7">
                  <w:pPr>
                    <w:keepNext w:val="0"/>
                    <w:keepLines w:val="0"/>
                    <w:widowControl w:val="0"/>
                    <w:suppressLineNumbers w:val="0"/>
                    <w:spacing w:before="0" w:beforeAutospacing="0" w:after="0" w:afterAutospacing="0"/>
                    <w:ind w:left="0" w:right="0"/>
                    <w:jc w:val="center"/>
                    <w:rPr>
                      <w:rFonts w:hint="default" w:ascii="Times New Roman" w:hAnsi="Times New Roman" w:eastAsia="宋体" w:cs="Times New Roman"/>
                      <w:color w:val="auto"/>
                      <w:kern w:val="2"/>
                      <w:sz w:val="21"/>
                      <w:szCs w:val="21"/>
                    </w:rPr>
                  </w:pPr>
                  <w:r>
                    <w:rPr>
                      <w:rFonts w:hint="eastAsia" w:ascii="宋体" w:hAnsi="宋体" w:eastAsia="宋体" w:cs="宋体"/>
                      <w:color w:val="auto"/>
                      <w:kern w:val="2"/>
                      <w:sz w:val="21"/>
                      <w:szCs w:val="21"/>
                      <w:lang w:val="en-US" w:eastAsia="zh-CN" w:bidi="ar"/>
                    </w:rPr>
                    <w:t>固态</w:t>
                  </w:r>
                </w:p>
              </w:tc>
              <w:tc>
                <w:tcPr>
                  <w:tcW w:w="554" w:type="dxa"/>
                  <w:vMerge w:val="continue"/>
                  <w:tcBorders>
                    <w:left w:val="single" w:color="auto" w:sz="4" w:space="0"/>
                    <w:right w:val="single" w:color="auto" w:sz="4" w:space="0"/>
                  </w:tcBorders>
                  <w:shd w:val="clear" w:color="auto" w:fill="auto"/>
                  <w:vAlign w:val="center"/>
                </w:tcPr>
                <w:p w14:paraId="3CECE91E">
                  <w:pPr>
                    <w:keepNext w:val="0"/>
                    <w:keepLines w:val="0"/>
                    <w:suppressLineNumbers w:val="0"/>
                    <w:spacing w:before="0" w:beforeAutospacing="0" w:after="0" w:afterAutospacing="0"/>
                    <w:ind w:left="0" w:right="0"/>
                    <w:jc w:val="center"/>
                    <w:rPr>
                      <w:rFonts w:hint="default" w:ascii="Times New Roman" w:hAnsi="Times New Roman" w:cs="Times New Roman"/>
                      <w:color w:val="auto"/>
                      <w:sz w:val="20"/>
                      <w:szCs w:val="20"/>
                    </w:rPr>
                  </w:pPr>
                </w:p>
              </w:tc>
              <w:tc>
                <w:tcPr>
                  <w:tcW w:w="1365" w:type="dxa"/>
                  <w:tcBorders>
                    <w:top w:val="single" w:color="auto" w:sz="4" w:space="0"/>
                    <w:left w:val="single" w:color="auto" w:sz="4" w:space="0"/>
                    <w:bottom w:val="single" w:color="auto" w:sz="4" w:space="0"/>
                    <w:right w:val="single" w:color="auto" w:sz="4" w:space="0"/>
                  </w:tcBorders>
                  <w:shd w:val="clear" w:color="auto" w:fill="auto"/>
                  <w:vAlign w:val="center"/>
                </w:tcPr>
                <w:p w14:paraId="3A08D55C">
                  <w:pPr>
                    <w:keepNext w:val="0"/>
                    <w:keepLines w:val="0"/>
                    <w:widowControl w:val="0"/>
                    <w:suppressLineNumbers w:val="0"/>
                    <w:spacing w:before="0" w:beforeAutospacing="0" w:after="0" w:afterAutospacing="0"/>
                    <w:ind w:left="0" w:right="0"/>
                    <w:jc w:val="center"/>
                    <w:rPr>
                      <w:rFonts w:hint="default" w:ascii="Times New Roman" w:hAnsi="Times New Roman" w:eastAsia="宋体" w:cs="Times New Roman"/>
                      <w:color w:val="auto"/>
                      <w:kern w:val="2"/>
                      <w:sz w:val="21"/>
                      <w:szCs w:val="21"/>
                      <w:lang w:val="en-US" w:eastAsia="zh-CN" w:bidi="ar"/>
                    </w:rPr>
                  </w:pPr>
                  <w:r>
                    <w:rPr>
                      <w:rFonts w:hint="default" w:ascii="Times New Roman" w:hAnsi="Times New Roman" w:eastAsia="宋体" w:cs="Times New Roman"/>
                      <w:color w:val="auto"/>
                      <w:kern w:val="2"/>
                      <w:sz w:val="21"/>
                      <w:szCs w:val="21"/>
                      <w:lang w:val="en-US" w:eastAsia="zh-CN" w:bidi="ar"/>
                    </w:rPr>
                    <w:t>SW59</w:t>
                  </w:r>
                </w:p>
                <w:p w14:paraId="3B07FAF0">
                  <w:pPr>
                    <w:keepNext w:val="0"/>
                    <w:keepLines w:val="0"/>
                    <w:widowControl w:val="0"/>
                    <w:suppressLineNumbers w:val="0"/>
                    <w:spacing w:before="0" w:beforeAutospacing="0" w:after="0" w:afterAutospacing="0"/>
                    <w:ind w:left="0" w:right="0"/>
                    <w:jc w:val="center"/>
                    <w:rPr>
                      <w:rFonts w:hint="default" w:ascii="Times New Roman" w:hAnsi="Times New Roman" w:eastAsia="宋体" w:cs="Times New Roman"/>
                      <w:color w:val="auto"/>
                      <w:kern w:val="2"/>
                      <w:sz w:val="21"/>
                      <w:szCs w:val="21"/>
                    </w:rPr>
                  </w:pPr>
                  <w:r>
                    <w:rPr>
                      <w:rFonts w:hint="default" w:ascii="Times New Roman" w:hAnsi="Times New Roman" w:eastAsia="宋体" w:cs="Times New Roman"/>
                      <w:color w:val="auto"/>
                      <w:kern w:val="2"/>
                      <w:sz w:val="21"/>
                      <w:szCs w:val="21"/>
                      <w:lang w:val="en-US" w:eastAsia="zh-CN" w:bidi="ar"/>
                    </w:rPr>
                    <w:t>900-099-S59</w:t>
                  </w:r>
                </w:p>
              </w:tc>
              <w:tc>
                <w:tcPr>
                  <w:tcW w:w="2010" w:type="dxa"/>
                  <w:gridSpan w:val="2"/>
                  <w:tcBorders>
                    <w:top w:val="single" w:color="auto" w:sz="4" w:space="0"/>
                    <w:left w:val="single" w:color="auto" w:sz="4" w:space="0"/>
                    <w:bottom w:val="single" w:color="auto" w:sz="4" w:space="0"/>
                    <w:right w:val="single" w:color="auto" w:sz="4" w:space="0"/>
                  </w:tcBorders>
                  <w:shd w:val="clear" w:color="auto" w:fill="auto"/>
                  <w:vAlign w:val="center"/>
                </w:tcPr>
                <w:p w14:paraId="7B2196A9">
                  <w:pPr>
                    <w:keepNext w:val="0"/>
                    <w:keepLines w:val="0"/>
                    <w:widowControl w:val="0"/>
                    <w:suppressLineNumbers w:val="0"/>
                    <w:spacing w:before="0" w:beforeAutospacing="0" w:after="0" w:afterAutospacing="0"/>
                    <w:ind w:left="0" w:right="0"/>
                    <w:jc w:val="center"/>
                    <w:rPr>
                      <w:rFonts w:hint="default" w:ascii="Times New Roman" w:hAnsi="Times New Roman" w:eastAsia="宋体" w:cs="Times New Roman"/>
                      <w:color w:val="auto"/>
                      <w:kern w:val="2"/>
                      <w:sz w:val="21"/>
                      <w:szCs w:val="21"/>
                      <w:lang w:val="en-US"/>
                    </w:rPr>
                  </w:pPr>
                  <w:r>
                    <w:rPr>
                      <w:rFonts w:hint="eastAsia" w:ascii="Times New Roman" w:hAnsi="Times New Roman" w:eastAsia="宋体" w:cs="Times New Roman"/>
                      <w:color w:val="0000E1"/>
                      <w:kern w:val="2"/>
                      <w:sz w:val="21"/>
                      <w:szCs w:val="21"/>
                      <w:lang w:val="en-US" w:eastAsia="zh-CN" w:bidi="ar"/>
                    </w:rPr>
                    <w:t>3068.406</w:t>
                  </w:r>
                </w:p>
              </w:tc>
              <w:tc>
                <w:tcPr>
                  <w:tcW w:w="1122" w:type="dxa"/>
                  <w:tcBorders>
                    <w:top w:val="single" w:color="auto" w:sz="4" w:space="0"/>
                    <w:left w:val="single" w:color="auto" w:sz="4" w:space="0"/>
                    <w:bottom w:val="single" w:color="auto" w:sz="4" w:space="0"/>
                    <w:right w:val="single" w:color="auto" w:sz="4" w:space="0"/>
                  </w:tcBorders>
                  <w:shd w:val="clear" w:color="auto" w:fill="auto"/>
                  <w:vAlign w:val="center"/>
                </w:tcPr>
                <w:p w14:paraId="333147FD">
                  <w:pPr>
                    <w:keepNext w:val="0"/>
                    <w:keepLines w:val="0"/>
                    <w:widowControl w:val="0"/>
                    <w:suppressLineNumbers w:val="0"/>
                    <w:spacing w:before="0" w:beforeAutospacing="0" w:after="0" w:afterAutospacing="0"/>
                    <w:ind w:left="0" w:leftChars="0" w:right="0" w:rightChars="0"/>
                    <w:jc w:val="center"/>
                    <w:rPr>
                      <w:rFonts w:hint="default" w:ascii="Times New Roman" w:hAnsi="Times New Roman" w:eastAsia="宋体" w:cs="Times New Roman"/>
                      <w:color w:val="auto"/>
                      <w:kern w:val="2"/>
                      <w:sz w:val="21"/>
                      <w:szCs w:val="21"/>
                    </w:rPr>
                  </w:pPr>
                  <w:r>
                    <w:rPr>
                      <w:rFonts w:hint="eastAsia" w:ascii="宋体" w:hAnsi="宋体" w:eastAsia="宋体" w:cs="宋体"/>
                      <w:color w:val="auto"/>
                      <w:kern w:val="2"/>
                      <w:sz w:val="21"/>
                      <w:szCs w:val="21"/>
                      <w:lang w:val="en-US" w:eastAsia="zh-CN" w:bidi="ar"/>
                    </w:rPr>
                    <w:t>不合格品</w:t>
                  </w:r>
                </w:p>
              </w:tc>
              <w:tc>
                <w:tcPr>
                  <w:tcW w:w="653" w:type="dxa"/>
                  <w:tcBorders>
                    <w:top w:val="single" w:color="auto" w:sz="4" w:space="0"/>
                    <w:left w:val="single" w:color="auto" w:sz="4" w:space="0"/>
                    <w:bottom w:val="single" w:color="auto" w:sz="4" w:space="0"/>
                    <w:right w:val="single" w:color="auto" w:sz="4" w:space="0"/>
                  </w:tcBorders>
                  <w:shd w:val="clear" w:color="auto" w:fill="auto"/>
                  <w:vAlign w:val="center"/>
                </w:tcPr>
                <w:p w14:paraId="103A49A5">
                  <w:pPr>
                    <w:keepNext w:val="0"/>
                    <w:keepLines w:val="0"/>
                    <w:widowControl w:val="0"/>
                    <w:suppressLineNumbers w:val="0"/>
                    <w:spacing w:before="0" w:beforeAutospacing="0" w:after="0" w:afterAutospacing="0"/>
                    <w:ind w:left="0" w:right="0"/>
                    <w:jc w:val="center"/>
                    <w:rPr>
                      <w:rFonts w:hint="default" w:ascii="Times New Roman" w:hAnsi="Times New Roman" w:eastAsia="宋体" w:cs="Times New Roman"/>
                      <w:color w:val="auto"/>
                      <w:kern w:val="2"/>
                      <w:sz w:val="21"/>
                      <w:szCs w:val="21"/>
                    </w:rPr>
                  </w:pPr>
                  <w:r>
                    <w:rPr>
                      <w:rFonts w:hint="default" w:ascii="Times New Roman" w:hAnsi="Times New Roman" w:eastAsia="宋体" w:cs="Times New Roman"/>
                      <w:color w:val="auto"/>
                      <w:kern w:val="2"/>
                      <w:sz w:val="21"/>
                      <w:szCs w:val="21"/>
                      <w:lang w:val="en-US" w:eastAsia="zh-CN" w:bidi="ar"/>
                    </w:rPr>
                    <w:t>1</w:t>
                  </w:r>
                  <w:r>
                    <w:rPr>
                      <w:rFonts w:hint="eastAsia" w:ascii="宋体" w:hAnsi="宋体" w:eastAsia="宋体" w:cs="宋体"/>
                      <w:color w:val="auto"/>
                      <w:kern w:val="2"/>
                      <w:sz w:val="21"/>
                      <w:szCs w:val="21"/>
                      <w:lang w:val="en-US" w:eastAsia="zh-CN" w:bidi="ar"/>
                    </w:rPr>
                    <w:t>天</w:t>
                  </w:r>
                </w:p>
              </w:tc>
              <w:tc>
                <w:tcPr>
                  <w:tcW w:w="650" w:type="dxa"/>
                  <w:vMerge w:val="continue"/>
                  <w:tcBorders>
                    <w:left w:val="single" w:color="auto" w:sz="4" w:space="0"/>
                    <w:right w:val="single" w:color="auto" w:sz="4" w:space="0"/>
                  </w:tcBorders>
                  <w:shd w:val="clear" w:color="auto" w:fill="auto"/>
                  <w:vAlign w:val="center"/>
                </w:tcPr>
                <w:p w14:paraId="28BADB92">
                  <w:pPr>
                    <w:keepNext w:val="0"/>
                    <w:keepLines w:val="0"/>
                    <w:suppressLineNumbers w:val="0"/>
                    <w:spacing w:before="0" w:beforeAutospacing="0" w:after="0" w:afterAutospacing="0"/>
                    <w:ind w:left="0" w:right="0"/>
                    <w:jc w:val="center"/>
                    <w:rPr>
                      <w:rFonts w:hint="default" w:ascii="Times New Roman" w:hAnsi="Times New Roman" w:cs="Times New Roman"/>
                      <w:color w:val="auto"/>
                      <w:sz w:val="20"/>
                      <w:szCs w:val="20"/>
                    </w:rPr>
                  </w:pPr>
                </w:p>
              </w:tc>
              <w:tc>
                <w:tcPr>
                  <w:tcW w:w="1507" w:type="dxa"/>
                  <w:vMerge w:val="continue"/>
                  <w:tcBorders>
                    <w:left w:val="single" w:color="auto" w:sz="4" w:space="0"/>
                    <w:right w:val="single" w:color="auto" w:sz="4" w:space="0"/>
                  </w:tcBorders>
                  <w:shd w:val="clear" w:color="auto" w:fill="auto"/>
                  <w:vAlign w:val="center"/>
                </w:tcPr>
                <w:p w14:paraId="17BEE803">
                  <w:pPr>
                    <w:keepNext w:val="0"/>
                    <w:keepLines w:val="0"/>
                    <w:suppressLineNumbers w:val="0"/>
                    <w:spacing w:before="0" w:beforeAutospacing="0" w:after="0" w:afterAutospacing="0"/>
                    <w:ind w:left="0" w:right="0"/>
                    <w:jc w:val="center"/>
                    <w:rPr>
                      <w:rFonts w:hint="default" w:ascii="Times New Roman" w:hAnsi="Times New Roman" w:cs="Times New Roman"/>
                      <w:color w:val="auto"/>
                      <w:sz w:val="20"/>
                      <w:szCs w:val="20"/>
                    </w:rPr>
                  </w:pPr>
                </w:p>
              </w:tc>
            </w:tr>
            <w:tr w14:paraId="16F6B1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397" w:hRule="atLeast"/>
                <w:jc w:val="center"/>
              </w:trPr>
              <w:tc>
                <w:tcPr>
                  <w:tcW w:w="636" w:type="dxa"/>
                  <w:tcBorders>
                    <w:top w:val="single" w:color="auto" w:sz="4" w:space="0"/>
                    <w:left w:val="single" w:color="auto" w:sz="4" w:space="0"/>
                    <w:bottom w:val="single" w:color="auto" w:sz="4" w:space="0"/>
                    <w:right w:val="single" w:color="auto" w:sz="4" w:space="0"/>
                  </w:tcBorders>
                  <w:shd w:val="clear" w:color="auto" w:fill="auto"/>
                  <w:vAlign w:val="center"/>
                </w:tcPr>
                <w:p w14:paraId="5BC3AB13">
                  <w:pPr>
                    <w:keepNext w:val="0"/>
                    <w:keepLines w:val="0"/>
                    <w:widowControl w:val="0"/>
                    <w:suppressLineNumbers w:val="0"/>
                    <w:spacing w:before="0" w:beforeAutospacing="0" w:after="0" w:afterAutospacing="0"/>
                    <w:ind w:left="0" w:right="0"/>
                    <w:jc w:val="center"/>
                    <w:rPr>
                      <w:rFonts w:hint="default" w:ascii="Times New Roman" w:hAnsi="Times New Roman" w:eastAsia="宋体" w:cs="Times New Roman"/>
                      <w:color w:val="auto"/>
                      <w:kern w:val="2"/>
                      <w:sz w:val="21"/>
                      <w:szCs w:val="21"/>
                    </w:rPr>
                  </w:pPr>
                  <w:r>
                    <w:rPr>
                      <w:rFonts w:hint="default" w:ascii="Times New Roman" w:hAnsi="Times New Roman" w:eastAsia="宋体" w:cs="Times New Roman"/>
                      <w:color w:val="auto"/>
                      <w:kern w:val="2"/>
                      <w:sz w:val="21"/>
                      <w:szCs w:val="21"/>
                      <w:lang w:val="en-US" w:eastAsia="zh-CN" w:bidi="ar"/>
                    </w:rPr>
                    <w:t>5</w:t>
                  </w:r>
                </w:p>
              </w:tc>
              <w:tc>
                <w:tcPr>
                  <w:tcW w:w="1565" w:type="dxa"/>
                  <w:tcBorders>
                    <w:top w:val="single" w:color="auto" w:sz="4" w:space="0"/>
                    <w:left w:val="single" w:color="auto" w:sz="4" w:space="0"/>
                    <w:bottom w:val="single" w:color="auto" w:sz="4" w:space="0"/>
                    <w:right w:val="single" w:color="auto" w:sz="4" w:space="0"/>
                  </w:tcBorders>
                  <w:shd w:val="clear" w:color="auto" w:fill="auto"/>
                  <w:vAlign w:val="center"/>
                </w:tcPr>
                <w:p w14:paraId="0F42F71B">
                  <w:pPr>
                    <w:keepNext w:val="0"/>
                    <w:keepLines w:val="0"/>
                    <w:widowControl w:val="0"/>
                    <w:suppressLineNumbers w:val="0"/>
                    <w:spacing w:before="0" w:beforeAutospacing="0" w:after="0" w:afterAutospacing="0"/>
                    <w:ind w:left="0" w:leftChars="0" w:right="0" w:rightChars="0"/>
                    <w:jc w:val="center"/>
                    <w:rPr>
                      <w:rFonts w:hint="default" w:ascii="Times New Roman" w:hAnsi="Times New Roman" w:eastAsia="宋体" w:cs="Times New Roman"/>
                      <w:color w:val="auto"/>
                      <w:kern w:val="2"/>
                      <w:sz w:val="21"/>
                      <w:szCs w:val="21"/>
                    </w:rPr>
                  </w:pPr>
                  <w:r>
                    <w:rPr>
                      <w:rFonts w:hint="eastAsia" w:ascii="宋体" w:hAnsi="宋体" w:eastAsia="宋体" w:cs="宋体"/>
                      <w:color w:val="auto"/>
                      <w:kern w:val="2"/>
                      <w:sz w:val="21"/>
                      <w:szCs w:val="21"/>
                      <w:lang w:val="en-US" w:eastAsia="zh-CN" w:bidi="ar"/>
                    </w:rPr>
                    <w:t>废保护膜</w:t>
                  </w:r>
                </w:p>
              </w:tc>
              <w:tc>
                <w:tcPr>
                  <w:tcW w:w="2535" w:type="dxa"/>
                  <w:gridSpan w:val="2"/>
                  <w:tcBorders>
                    <w:top w:val="single" w:color="auto" w:sz="4" w:space="0"/>
                    <w:left w:val="single" w:color="auto" w:sz="4" w:space="0"/>
                    <w:bottom w:val="single" w:color="auto" w:sz="4" w:space="0"/>
                    <w:right w:val="single" w:color="auto" w:sz="4" w:space="0"/>
                  </w:tcBorders>
                  <w:shd w:val="clear" w:color="auto" w:fill="auto"/>
                  <w:vAlign w:val="center"/>
                </w:tcPr>
                <w:p w14:paraId="28BD603A">
                  <w:pPr>
                    <w:keepNext w:val="0"/>
                    <w:keepLines w:val="0"/>
                    <w:widowControl w:val="0"/>
                    <w:suppressLineNumbers w:val="0"/>
                    <w:spacing w:before="0" w:beforeAutospacing="0" w:after="0" w:afterAutospacing="0"/>
                    <w:ind w:left="0" w:leftChars="0" w:right="0" w:rightChars="0"/>
                    <w:jc w:val="center"/>
                    <w:rPr>
                      <w:rFonts w:hint="default" w:ascii="Times New Roman" w:hAnsi="Times New Roman" w:eastAsia="宋体" w:cs="Times New Roman"/>
                      <w:color w:val="auto"/>
                      <w:kern w:val="2"/>
                      <w:sz w:val="21"/>
                      <w:szCs w:val="21"/>
                    </w:rPr>
                  </w:pPr>
                  <w:r>
                    <w:rPr>
                      <w:rFonts w:hint="eastAsia" w:ascii="宋体" w:hAnsi="宋体" w:eastAsia="宋体" w:cs="宋体"/>
                      <w:color w:val="auto"/>
                      <w:kern w:val="2"/>
                      <w:sz w:val="21"/>
                      <w:szCs w:val="21"/>
                      <w:lang w:val="en-US" w:eastAsia="zh-CN" w:bidi="ar"/>
                    </w:rPr>
                    <w:t>贴胶</w:t>
                  </w:r>
                </w:p>
              </w:tc>
              <w:tc>
                <w:tcPr>
                  <w:tcW w:w="661" w:type="dxa"/>
                  <w:tcBorders>
                    <w:top w:val="single" w:color="auto" w:sz="4" w:space="0"/>
                    <w:left w:val="single" w:color="auto" w:sz="4" w:space="0"/>
                    <w:bottom w:val="single" w:color="auto" w:sz="4" w:space="0"/>
                    <w:right w:val="single" w:color="auto" w:sz="4" w:space="0"/>
                  </w:tcBorders>
                  <w:shd w:val="clear" w:color="auto" w:fill="auto"/>
                  <w:vAlign w:val="center"/>
                </w:tcPr>
                <w:p w14:paraId="3FD476B9">
                  <w:pPr>
                    <w:keepNext w:val="0"/>
                    <w:keepLines w:val="0"/>
                    <w:widowControl w:val="0"/>
                    <w:suppressLineNumbers w:val="0"/>
                    <w:spacing w:before="0" w:beforeAutospacing="0" w:after="0" w:afterAutospacing="0"/>
                    <w:ind w:left="0" w:right="0"/>
                    <w:jc w:val="center"/>
                    <w:rPr>
                      <w:rFonts w:hint="default" w:ascii="Times New Roman" w:hAnsi="Times New Roman" w:eastAsia="宋体" w:cs="Times New Roman"/>
                      <w:color w:val="auto"/>
                      <w:kern w:val="2"/>
                      <w:sz w:val="21"/>
                      <w:szCs w:val="21"/>
                    </w:rPr>
                  </w:pPr>
                  <w:r>
                    <w:rPr>
                      <w:rFonts w:hint="eastAsia" w:ascii="宋体" w:hAnsi="宋体" w:eastAsia="宋体" w:cs="宋体"/>
                      <w:color w:val="auto"/>
                      <w:kern w:val="2"/>
                      <w:sz w:val="21"/>
                      <w:szCs w:val="21"/>
                      <w:lang w:val="en-US" w:eastAsia="zh-CN" w:bidi="ar"/>
                    </w:rPr>
                    <w:t>固态</w:t>
                  </w:r>
                </w:p>
              </w:tc>
              <w:tc>
                <w:tcPr>
                  <w:tcW w:w="554" w:type="dxa"/>
                  <w:vMerge w:val="continue"/>
                  <w:tcBorders>
                    <w:left w:val="single" w:color="auto" w:sz="4" w:space="0"/>
                    <w:right w:val="single" w:color="auto" w:sz="4" w:space="0"/>
                  </w:tcBorders>
                  <w:shd w:val="clear" w:color="auto" w:fill="auto"/>
                  <w:vAlign w:val="center"/>
                </w:tcPr>
                <w:p w14:paraId="11C6CEAC">
                  <w:pPr>
                    <w:keepNext w:val="0"/>
                    <w:keepLines w:val="0"/>
                    <w:suppressLineNumbers w:val="0"/>
                    <w:spacing w:before="0" w:beforeAutospacing="0" w:after="0" w:afterAutospacing="0"/>
                    <w:ind w:left="0" w:right="0"/>
                    <w:jc w:val="center"/>
                    <w:rPr>
                      <w:rFonts w:hint="default" w:ascii="Times New Roman" w:hAnsi="Times New Roman" w:cs="Times New Roman"/>
                      <w:color w:val="auto"/>
                      <w:sz w:val="20"/>
                      <w:szCs w:val="20"/>
                    </w:rPr>
                  </w:pPr>
                </w:p>
              </w:tc>
              <w:tc>
                <w:tcPr>
                  <w:tcW w:w="1365" w:type="dxa"/>
                  <w:tcBorders>
                    <w:top w:val="single" w:color="auto" w:sz="4" w:space="0"/>
                    <w:left w:val="single" w:color="auto" w:sz="4" w:space="0"/>
                    <w:bottom w:val="single" w:color="auto" w:sz="4" w:space="0"/>
                    <w:right w:val="single" w:color="auto" w:sz="4" w:space="0"/>
                  </w:tcBorders>
                  <w:shd w:val="clear" w:color="auto" w:fill="auto"/>
                  <w:vAlign w:val="center"/>
                </w:tcPr>
                <w:p w14:paraId="5A793F97">
                  <w:pPr>
                    <w:keepNext w:val="0"/>
                    <w:keepLines w:val="0"/>
                    <w:widowControl w:val="0"/>
                    <w:suppressLineNumbers w:val="0"/>
                    <w:spacing w:before="0" w:beforeAutospacing="0" w:after="0" w:afterAutospacing="0"/>
                    <w:ind w:left="0" w:right="0"/>
                    <w:jc w:val="center"/>
                    <w:rPr>
                      <w:rFonts w:hint="default" w:ascii="Times New Roman" w:hAnsi="Times New Roman" w:eastAsia="宋体" w:cs="Times New Roman"/>
                      <w:color w:val="0000FF"/>
                      <w:kern w:val="2"/>
                      <w:sz w:val="21"/>
                      <w:szCs w:val="21"/>
                      <w:lang w:val="en-US" w:eastAsia="zh-CN" w:bidi="ar"/>
                    </w:rPr>
                  </w:pPr>
                  <w:r>
                    <w:rPr>
                      <w:rFonts w:hint="default" w:ascii="Times New Roman" w:hAnsi="Times New Roman" w:eastAsia="宋体" w:cs="Times New Roman"/>
                      <w:color w:val="0000FF"/>
                      <w:kern w:val="2"/>
                      <w:sz w:val="21"/>
                      <w:szCs w:val="21"/>
                      <w:lang w:val="en-US" w:eastAsia="zh-CN" w:bidi="ar"/>
                    </w:rPr>
                    <w:t>SW62</w:t>
                  </w:r>
                </w:p>
                <w:p w14:paraId="31E7251B">
                  <w:pPr>
                    <w:keepNext w:val="0"/>
                    <w:keepLines w:val="0"/>
                    <w:widowControl w:val="0"/>
                    <w:suppressLineNumbers w:val="0"/>
                    <w:spacing w:before="0" w:beforeAutospacing="0" w:after="0" w:afterAutospacing="0"/>
                    <w:ind w:left="0" w:right="0"/>
                    <w:jc w:val="center"/>
                    <w:rPr>
                      <w:rFonts w:hint="default" w:ascii="Times New Roman" w:hAnsi="Times New Roman" w:eastAsia="宋体" w:cs="Times New Roman"/>
                      <w:color w:val="auto"/>
                      <w:kern w:val="2"/>
                      <w:sz w:val="21"/>
                      <w:szCs w:val="21"/>
                    </w:rPr>
                  </w:pPr>
                  <w:r>
                    <w:rPr>
                      <w:rFonts w:hint="default" w:ascii="Times New Roman" w:hAnsi="Times New Roman" w:eastAsia="宋体" w:cs="Times New Roman"/>
                      <w:color w:val="0000FF"/>
                      <w:kern w:val="2"/>
                      <w:sz w:val="21"/>
                      <w:szCs w:val="21"/>
                      <w:lang w:val="en-US" w:eastAsia="zh-CN" w:bidi="ar"/>
                    </w:rPr>
                    <w:t>900-003-S17</w:t>
                  </w:r>
                </w:p>
              </w:tc>
              <w:tc>
                <w:tcPr>
                  <w:tcW w:w="2010" w:type="dxa"/>
                  <w:gridSpan w:val="2"/>
                  <w:tcBorders>
                    <w:top w:val="single" w:color="auto" w:sz="4" w:space="0"/>
                    <w:left w:val="single" w:color="auto" w:sz="4" w:space="0"/>
                    <w:bottom w:val="single" w:color="auto" w:sz="4" w:space="0"/>
                    <w:right w:val="single" w:color="auto" w:sz="4" w:space="0"/>
                  </w:tcBorders>
                  <w:shd w:val="clear" w:color="auto" w:fill="auto"/>
                  <w:vAlign w:val="center"/>
                </w:tcPr>
                <w:p w14:paraId="4D12CE39">
                  <w:pPr>
                    <w:keepNext w:val="0"/>
                    <w:keepLines w:val="0"/>
                    <w:widowControl w:val="0"/>
                    <w:suppressLineNumbers w:val="0"/>
                    <w:spacing w:before="0" w:beforeAutospacing="0" w:after="0" w:afterAutospacing="0"/>
                    <w:ind w:left="0" w:right="0"/>
                    <w:jc w:val="center"/>
                    <w:rPr>
                      <w:rFonts w:hint="default" w:ascii="Times New Roman" w:hAnsi="Times New Roman" w:eastAsia="宋体" w:cs="Times New Roman"/>
                      <w:color w:val="auto"/>
                      <w:kern w:val="2"/>
                      <w:sz w:val="21"/>
                      <w:szCs w:val="21"/>
                      <w:lang w:val="en-US"/>
                    </w:rPr>
                  </w:pPr>
                  <w:r>
                    <w:rPr>
                      <w:rFonts w:hint="eastAsia" w:ascii="Times New Roman" w:hAnsi="Times New Roman" w:eastAsia="宋体" w:cs="Times New Roman"/>
                      <w:color w:val="0000FF"/>
                      <w:kern w:val="2"/>
                      <w:sz w:val="21"/>
                      <w:szCs w:val="21"/>
                      <w:lang w:val="en-US" w:eastAsia="zh-CN" w:bidi="ar"/>
                    </w:rPr>
                    <w:t>71.625</w:t>
                  </w:r>
                </w:p>
              </w:tc>
              <w:tc>
                <w:tcPr>
                  <w:tcW w:w="1122" w:type="dxa"/>
                  <w:tcBorders>
                    <w:top w:val="single" w:color="auto" w:sz="4" w:space="0"/>
                    <w:left w:val="single" w:color="auto" w:sz="4" w:space="0"/>
                    <w:bottom w:val="single" w:color="auto" w:sz="4" w:space="0"/>
                    <w:right w:val="single" w:color="auto" w:sz="4" w:space="0"/>
                  </w:tcBorders>
                  <w:shd w:val="clear" w:color="auto" w:fill="auto"/>
                  <w:vAlign w:val="center"/>
                </w:tcPr>
                <w:p w14:paraId="6D3BABBA">
                  <w:pPr>
                    <w:keepNext w:val="0"/>
                    <w:keepLines w:val="0"/>
                    <w:widowControl w:val="0"/>
                    <w:suppressLineNumbers w:val="0"/>
                    <w:spacing w:before="0" w:beforeAutospacing="0" w:after="0" w:afterAutospacing="0"/>
                    <w:ind w:left="0" w:leftChars="0" w:right="0" w:rightChars="0"/>
                    <w:jc w:val="center"/>
                    <w:rPr>
                      <w:rFonts w:hint="default" w:ascii="Times New Roman" w:hAnsi="Times New Roman" w:eastAsia="宋体" w:cs="Times New Roman"/>
                      <w:color w:val="auto"/>
                      <w:kern w:val="2"/>
                      <w:sz w:val="21"/>
                      <w:szCs w:val="21"/>
                    </w:rPr>
                  </w:pPr>
                  <w:r>
                    <w:rPr>
                      <w:rFonts w:hint="eastAsia" w:ascii="宋体" w:hAnsi="宋体" w:eastAsia="宋体" w:cs="宋体"/>
                      <w:color w:val="auto"/>
                      <w:kern w:val="2"/>
                      <w:sz w:val="21"/>
                      <w:szCs w:val="21"/>
                      <w:lang w:val="en-US" w:eastAsia="zh-CN" w:bidi="ar"/>
                    </w:rPr>
                    <w:t>废保护膜</w:t>
                  </w:r>
                </w:p>
              </w:tc>
              <w:tc>
                <w:tcPr>
                  <w:tcW w:w="653" w:type="dxa"/>
                  <w:tcBorders>
                    <w:top w:val="single" w:color="auto" w:sz="4" w:space="0"/>
                    <w:left w:val="single" w:color="auto" w:sz="4" w:space="0"/>
                    <w:bottom w:val="single" w:color="auto" w:sz="4" w:space="0"/>
                    <w:right w:val="single" w:color="auto" w:sz="4" w:space="0"/>
                  </w:tcBorders>
                  <w:shd w:val="clear" w:color="auto" w:fill="auto"/>
                  <w:vAlign w:val="center"/>
                </w:tcPr>
                <w:p w14:paraId="58167609">
                  <w:pPr>
                    <w:keepNext w:val="0"/>
                    <w:keepLines w:val="0"/>
                    <w:widowControl w:val="0"/>
                    <w:suppressLineNumbers w:val="0"/>
                    <w:spacing w:before="0" w:beforeAutospacing="0" w:after="0" w:afterAutospacing="0"/>
                    <w:ind w:left="0" w:right="0"/>
                    <w:jc w:val="center"/>
                    <w:rPr>
                      <w:rFonts w:hint="default" w:ascii="Times New Roman" w:hAnsi="Times New Roman" w:eastAsia="宋体" w:cs="Times New Roman"/>
                      <w:color w:val="auto"/>
                      <w:kern w:val="2"/>
                      <w:sz w:val="21"/>
                      <w:szCs w:val="21"/>
                    </w:rPr>
                  </w:pPr>
                  <w:r>
                    <w:rPr>
                      <w:rFonts w:hint="default" w:ascii="Times New Roman" w:hAnsi="Times New Roman" w:eastAsia="宋体" w:cs="Times New Roman"/>
                      <w:color w:val="auto"/>
                      <w:kern w:val="2"/>
                      <w:sz w:val="21"/>
                      <w:szCs w:val="21"/>
                      <w:lang w:val="en-US" w:eastAsia="zh-CN" w:bidi="ar"/>
                    </w:rPr>
                    <w:t>1</w:t>
                  </w:r>
                  <w:r>
                    <w:rPr>
                      <w:rFonts w:hint="eastAsia" w:ascii="宋体" w:hAnsi="宋体" w:eastAsia="宋体" w:cs="宋体"/>
                      <w:color w:val="auto"/>
                      <w:kern w:val="2"/>
                      <w:sz w:val="21"/>
                      <w:szCs w:val="21"/>
                      <w:lang w:val="en-US" w:eastAsia="zh-CN" w:bidi="ar"/>
                    </w:rPr>
                    <w:t>天</w:t>
                  </w:r>
                </w:p>
              </w:tc>
              <w:tc>
                <w:tcPr>
                  <w:tcW w:w="650" w:type="dxa"/>
                  <w:vMerge w:val="continue"/>
                  <w:tcBorders>
                    <w:left w:val="single" w:color="auto" w:sz="4" w:space="0"/>
                    <w:right w:val="single" w:color="auto" w:sz="4" w:space="0"/>
                  </w:tcBorders>
                  <w:shd w:val="clear" w:color="auto" w:fill="auto"/>
                  <w:vAlign w:val="center"/>
                </w:tcPr>
                <w:p w14:paraId="3AD7E207">
                  <w:pPr>
                    <w:keepNext w:val="0"/>
                    <w:keepLines w:val="0"/>
                    <w:suppressLineNumbers w:val="0"/>
                    <w:spacing w:before="0" w:beforeAutospacing="0" w:after="0" w:afterAutospacing="0"/>
                    <w:ind w:left="0" w:right="0"/>
                    <w:jc w:val="center"/>
                    <w:rPr>
                      <w:rFonts w:hint="default" w:ascii="Times New Roman" w:hAnsi="Times New Roman" w:cs="Times New Roman"/>
                      <w:color w:val="auto"/>
                      <w:sz w:val="20"/>
                      <w:szCs w:val="20"/>
                    </w:rPr>
                  </w:pPr>
                </w:p>
              </w:tc>
              <w:tc>
                <w:tcPr>
                  <w:tcW w:w="1507" w:type="dxa"/>
                  <w:vMerge w:val="continue"/>
                  <w:tcBorders>
                    <w:left w:val="single" w:color="auto" w:sz="4" w:space="0"/>
                    <w:right w:val="single" w:color="auto" w:sz="4" w:space="0"/>
                  </w:tcBorders>
                  <w:shd w:val="clear" w:color="auto" w:fill="auto"/>
                  <w:vAlign w:val="center"/>
                </w:tcPr>
                <w:p w14:paraId="5D44B529">
                  <w:pPr>
                    <w:keepNext w:val="0"/>
                    <w:keepLines w:val="0"/>
                    <w:suppressLineNumbers w:val="0"/>
                    <w:spacing w:before="0" w:beforeAutospacing="0" w:after="0" w:afterAutospacing="0"/>
                    <w:ind w:left="0" w:right="0"/>
                    <w:jc w:val="center"/>
                    <w:rPr>
                      <w:rFonts w:hint="default" w:ascii="Times New Roman" w:hAnsi="Times New Roman" w:cs="Times New Roman"/>
                      <w:color w:val="auto"/>
                      <w:sz w:val="20"/>
                      <w:szCs w:val="20"/>
                    </w:rPr>
                  </w:pPr>
                </w:p>
              </w:tc>
            </w:tr>
            <w:tr w14:paraId="3E4338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397" w:hRule="atLeast"/>
                <w:jc w:val="center"/>
              </w:trPr>
              <w:tc>
                <w:tcPr>
                  <w:tcW w:w="636" w:type="dxa"/>
                  <w:tcBorders>
                    <w:top w:val="single" w:color="auto" w:sz="4" w:space="0"/>
                    <w:left w:val="single" w:color="auto" w:sz="4" w:space="0"/>
                    <w:bottom w:val="single" w:color="auto" w:sz="4" w:space="0"/>
                    <w:right w:val="single" w:color="auto" w:sz="4" w:space="0"/>
                  </w:tcBorders>
                  <w:shd w:val="clear" w:color="auto" w:fill="auto"/>
                  <w:vAlign w:val="center"/>
                </w:tcPr>
                <w:p w14:paraId="4A6D5218">
                  <w:pPr>
                    <w:keepNext w:val="0"/>
                    <w:keepLines w:val="0"/>
                    <w:widowControl w:val="0"/>
                    <w:suppressLineNumbers w:val="0"/>
                    <w:spacing w:before="0" w:beforeAutospacing="0" w:after="0" w:afterAutospacing="0"/>
                    <w:ind w:left="0" w:leftChars="0" w:right="0" w:rightChars="0"/>
                    <w:jc w:val="center"/>
                    <w:rPr>
                      <w:rFonts w:hint="default" w:ascii="Times New Roman" w:hAnsi="Times New Roman" w:eastAsia="宋体" w:cs="Times New Roman"/>
                      <w:color w:val="0000FF"/>
                      <w:kern w:val="2"/>
                      <w:sz w:val="21"/>
                      <w:szCs w:val="21"/>
                      <w:lang w:val="en-US" w:eastAsia="zh-CN" w:bidi="ar-SA"/>
                    </w:rPr>
                  </w:pPr>
                  <w:r>
                    <w:rPr>
                      <w:rFonts w:hint="default" w:ascii="Times New Roman" w:hAnsi="Times New Roman" w:eastAsia="宋体" w:cs="Times New Roman"/>
                      <w:color w:val="0000FF"/>
                      <w:kern w:val="2"/>
                      <w:sz w:val="21"/>
                      <w:szCs w:val="21"/>
                      <w:lang w:val="en-US" w:eastAsia="zh-CN" w:bidi="ar"/>
                    </w:rPr>
                    <w:t>6</w:t>
                  </w:r>
                </w:p>
              </w:tc>
              <w:tc>
                <w:tcPr>
                  <w:tcW w:w="1565" w:type="dxa"/>
                  <w:tcBorders>
                    <w:top w:val="single" w:color="auto" w:sz="4" w:space="0"/>
                    <w:left w:val="single" w:color="auto" w:sz="4" w:space="0"/>
                    <w:bottom w:val="single" w:color="auto" w:sz="4" w:space="0"/>
                    <w:right w:val="single" w:color="auto" w:sz="4" w:space="0"/>
                  </w:tcBorders>
                  <w:shd w:val="clear" w:color="auto" w:fill="auto"/>
                  <w:vAlign w:val="center"/>
                </w:tcPr>
                <w:p w14:paraId="381D1605">
                  <w:pPr>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color w:val="0000FF"/>
                      <w:szCs w:val="21"/>
                      <w:lang w:val="en-US" w:eastAsia="zh-CN"/>
                    </w:rPr>
                  </w:pPr>
                  <w:r>
                    <w:rPr>
                      <w:rFonts w:hint="default" w:ascii="Times New Roman" w:hAnsi="Times New Roman" w:eastAsia="宋体" w:cs="Times New Roman"/>
                      <w:color w:val="0000FF"/>
                      <w:szCs w:val="21"/>
                      <w:lang w:val="en-US" w:eastAsia="zh-CN"/>
                    </w:rPr>
                    <w:t>废泡棉条</w:t>
                  </w:r>
                </w:p>
                <w:p w14:paraId="19D78118">
                  <w:pPr>
                    <w:keepNext w:val="0"/>
                    <w:keepLines w:val="0"/>
                    <w:suppressLineNumbers w:val="0"/>
                    <w:spacing w:before="0" w:beforeAutospacing="0" w:after="0" w:afterAutospacing="0"/>
                    <w:ind w:left="0" w:leftChars="0" w:right="0" w:rightChars="0"/>
                    <w:jc w:val="center"/>
                    <w:rPr>
                      <w:rFonts w:hint="eastAsia" w:ascii="Times New Roman" w:hAnsi="Times New Roman" w:eastAsia="宋体" w:cs="Times New Roman"/>
                      <w:color w:val="0000FF"/>
                      <w:kern w:val="2"/>
                      <w:sz w:val="21"/>
                      <w:szCs w:val="21"/>
                      <w:lang w:val="en-US" w:eastAsia="zh-CN" w:bidi="ar-SA"/>
                    </w:rPr>
                  </w:pPr>
                  <w:r>
                    <w:rPr>
                      <w:rFonts w:hint="default" w:ascii="Times New Roman" w:hAnsi="Times New Roman" w:eastAsia="宋体" w:cs="Times New Roman"/>
                      <w:color w:val="0000FF"/>
                      <w:szCs w:val="21"/>
                      <w:lang w:val="en-US" w:eastAsia="zh-CN"/>
                    </w:rPr>
                    <w:t>（硅基条）</w:t>
                  </w:r>
                </w:p>
              </w:tc>
              <w:tc>
                <w:tcPr>
                  <w:tcW w:w="2535" w:type="dxa"/>
                  <w:gridSpan w:val="2"/>
                  <w:tcBorders>
                    <w:top w:val="single" w:color="auto" w:sz="4" w:space="0"/>
                    <w:left w:val="single" w:color="auto" w:sz="4" w:space="0"/>
                    <w:bottom w:val="single" w:color="auto" w:sz="4" w:space="0"/>
                    <w:right w:val="single" w:color="auto" w:sz="4" w:space="0"/>
                  </w:tcBorders>
                  <w:shd w:val="clear" w:color="auto" w:fill="auto"/>
                  <w:vAlign w:val="center"/>
                </w:tcPr>
                <w:p w14:paraId="3E1B5866">
                  <w:pPr>
                    <w:keepNext w:val="0"/>
                    <w:keepLines w:val="0"/>
                    <w:suppressLineNumbers w:val="0"/>
                    <w:spacing w:before="0" w:beforeAutospacing="0" w:after="0" w:afterAutospacing="0"/>
                    <w:ind w:left="0" w:leftChars="0" w:right="0" w:rightChars="0"/>
                    <w:jc w:val="center"/>
                    <w:rPr>
                      <w:rFonts w:hint="eastAsia" w:ascii="Times New Roman" w:hAnsi="Times New Roman" w:eastAsia="宋体" w:cs="Times New Roman"/>
                      <w:color w:val="0000FF"/>
                      <w:kern w:val="2"/>
                      <w:sz w:val="21"/>
                      <w:szCs w:val="21"/>
                      <w:lang w:val="en-US" w:eastAsia="zh-CN" w:bidi="ar-SA"/>
                    </w:rPr>
                  </w:pPr>
                  <w:r>
                    <w:rPr>
                      <w:rFonts w:hint="eastAsia" w:ascii="Times New Roman" w:hAnsi="Times New Roman" w:eastAsia="宋体" w:cs="Times New Roman"/>
                      <w:color w:val="0000FF"/>
                      <w:szCs w:val="21"/>
                      <w:lang w:val="en-US" w:eastAsia="zh-CN"/>
                    </w:rPr>
                    <w:t>辅料成型</w:t>
                  </w:r>
                </w:p>
              </w:tc>
              <w:tc>
                <w:tcPr>
                  <w:tcW w:w="661" w:type="dxa"/>
                  <w:tcBorders>
                    <w:top w:val="single" w:color="auto" w:sz="4" w:space="0"/>
                    <w:left w:val="single" w:color="auto" w:sz="4" w:space="0"/>
                    <w:bottom w:val="single" w:color="auto" w:sz="4" w:space="0"/>
                    <w:right w:val="single" w:color="auto" w:sz="4" w:space="0"/>
                  </w:tcBorders>
                  <w:shd w:val="clear" w:color="auto" w:fill="auto"/>
                  <w:vAlign w:val="center"/>
                </w:tcPr>
                <w:p w14:paraId="7852276B">
                  <w:pPr>
                    <w:keepNext w:val="0"/>
                    <w:keepLines w:val="0"/>
                    <w:suppressLineNumbers w:val="0"/>
                    <w:spacing w:before="0" w:beforeAutospacing="0" w:after="0" w:afterAutospacing="0"/>
                    <w:ind w:left="0" w:leftChars="0" w:right="0" w:rightChars="0"/>
                    <w:jc w:val="center"/>
                    <w:rPr>
                      <w:rFonts w:hint="eastAsia" w:ascii="Times New Roman" w:hAnsi="Times New Roman" w:eastAsia="宋体" w:cs="Times New Roman"/>
                      <w:color w:val="0000FF"/>
                      <w:kern w:val="2"/>
                      <w:sz w:val="21"/>
                      <w:szCs w:val="21"/>
                      <w:lang w:val="en-US" w:eastAsia="zh-CN" w:bidi="ar-SA"/>
                    </w:rPr>
                  </w:pPr>
                  <w:r>
                    <w:rPr>
                      <w:rFonts w:hint="default" w:ascii="Times New Roman" w:hAnsi="Times New Roman" w:eastAsia="宋体" w:cs="Times New Roman"/>
                      <w:color w:val="0000FF"/>
                      <w:szCs w:val="21"/>
                    </w:rPr>
                    <w:t>固态</w:t>
                  </w:r>
                </w:p>
              </w:tc>
              <w:tc>
                <w:tcPr>
                  <w:tcW w:w="554" w:type="dxa"/>
                  <w:vMerge w:val="continue"/>
                  <w:tcBorders>
                    <w:left w:val="single" w:color="auto" w:sz="4" w:space="0"/>
                    <w:right w:val="single" w:color="auto" w:sz="4" w:space="0"/>
                  </w:tcBorders>
                  <w:shd w:val="clear" w:color="auto" w:fill="auto"/>
                  <w:vAlign w:val="center"/>
                </w:tcPr>
                <w:p w14:paraId="162E213E">
                  <w:pPr>
                    <w:keepNext w:val="0"/>
                    <w:keepLines w:val="0"/>
                    <w:suppressLineNumbers w:val="0"/>
                    <w:spacing w:before="0" w:beforeAutospacing="0" w:after="0" w:afterAutospacing="0"/>
                    <w:ind w:left="0" w:right="0"/>
                    <w:jc w:val="center"/>
                    <w:rPr>
                      <w:rFonts w:hint="default" w:ascii="Times New Roman" w:hAnsi="Times New Roman" w:cs="Times New Roman"/>
                      <w:color w:val="0000FF"/>
                      <w:sz w:val="20"/>
                      <w:szCs w:val="20"/>
                    </w:rPr>
                  </w:pPr>
                </w:p>
              </w:tc>
              <w:tc>
                <w:tcPr>
                  <w:tcW w:w="1365" w:type="dxa"/>
                  <w:tcBorders>
                    <w:top w:val="single" w:color="auto" w:sz="4" w:space="0"/>
                    <w:left w:val="single" w:color="auto" w:sz="4" w:space="0"/>
                    <w:bottom w:val="single" w:color="auto" w:sz="4" w:space="0"/>
                    <w:right w:val="single" w:color="auto" w:sz="4" w:space="0"/>
                  </w:tcBorders>
                  <w:shd w:val="clear" w:color="auto" w:fill="auto"/>
                  <w:vAlign w:val="center"/>
                </w:tcPr>
                <w:p w14:paraId="11CBC478">
                  <w:pPr>
                    <w:keepNext w:val="0"/>
                    <w:keepLines w:val="0"/>
                    <w:widowControl w:val="0"/>
                    <w:suppressLineNumbers w:val="0"/>
                    <w:spacing w:before="0" w:beforeAutospacing="0" w:after="0" w:afterAutospacing="0"/>
                    <w:ind w:left="0" w:right="0"/>
                    <w:jc w:val="center"/>
                    <w:rPr>
                      <w:rFonts w:hint="default" w:ascii="Times New Roman" w:hAnsi="Times New Roman" w:eastAsia="宋体" w:cs="Times New Roman"/>
                      <w:color w:val="0000FF"/>
                      <w:kern w:val="2"/>
                      <w:sz w:val="21"/>
                      <w:szCs w:val="21"/>
                      <w:lang w:val="en-US" w:eastAsia="zh-CN" w:bidi="ar"/>
                    </w:rPr>
                  </w:pPr>
                  <w:r>
                    <w:rPr>
                      <w:rFonts w:hint="default" w:ascii="Times New Roman" w:hAnsi="Times New Roman" w:eastAsia="宋体" w:cs="Times New Roman"/>
                      <w:color w:val="0000FF"/>
                      <w:kern w:val="2"/>
                      <w:sz w:val="21"/>
                      <w:szCs w:val="21"/>
                      <w:lang w:val="en-US" w:eastAsia="zh-CN" w:bidi="ar"/>
                    </w:rPr>
                    <w:t>SW59</w:t>
                  </w:r>
                </w:p>
                <w:p w14:paraId="5358A305">
                  <w:pPr>
                    <w:keepNext w:val="0"/>
                    <w:keepLines w:val="0"/>
                    <w:widowControl w:val="0"/>
                    <w:suppressLineNumbers w:val="0"/>
                    <w:spacing w:before="0" w:beforeAutospacing="0" w:after="0" w:afterAutospacing="0"/>
                    <w:ind w:left="0" w:right="0"/>
                    <w:jc w:val="center"/>
                    <w:rPr>
                      <w:rFonts w:hint="default" w:ascii="Times New Roman" w:hAnsi="Times New Roman" w:eastAsia="宋体" w:cs="Times New Roman"/>
                      <w:color w:val="0000FF"/>
                      <w:kern w:val="2"/>
                      <w:sz w:val="21"/>
                      <w:szCs w:val="21"/>
                      <w:lang w:val="en-US" w:eastAsia="zh-CN" w:bidi="ar"/>
                    </w:rPr>
                  </w:pPr>
                  <w:r>
                    <w:rPr>
                      <w:rFonts w:hint="default" w:ascii="Times New Roman" w:hAnsi="Times New Roman" w:eastAsia="宋体" w:cs="Times New Roman"/>
                      <w:color w:val="0000FF"/>
                      <w:kern w:val="2"/>
                      <w:sz w:val="21"/>
                      <w:szCs w:val="21"/>
                      <w:lang w:val="en-US" w:eastAsia="zh-CN" w:bidi="ar"/>
                    </w:rPr>
                    <w:t>900-099-S59</w:t>
                  </w:r>
                </w:p>
              </w:tc>
              <w:tc>
                <w:tcPr>
                  <w:tcW w:w="2010" w:type="dxa"/>
                  <w:gridSpan w:val="2"/>
                  <w:tcBorders>
                    <w:top w:val="single" w:color="auto" w:sz="4" w:space="0"/>
                    <w:left w:val="single" w:color="auto" w:sz="4" w:space="0"/>
                    <w:bottom w:val="single" w:color="auto" w:sz="4" w:space="0"/>
                    <w:right w:val="single" w:color="auto" w:sz="4" w:space="0"/>
                  </w:tcBorders>
                  <w:shd w:val="clear" w:color="auto" w:fill="auto"/>
                  <w:vAlign w:val="center"/>
                </w:tcPr>
                <w:p w14:paraId="23A56A31">
                  <w:pPr>
                    <w:keepNext w:val="0"/>
                    <w:keepLines w:val="0"/>
                    <w:widowControl w:val="0"/>
                    <w:suppressLineNumbers w:val="0"/>
                    <w:spacing w:before="0" w:beforeAutospacing="0" w:after="0" w:afterAutospacing="0"/>
                    <w:ind w:left="0" w:right="0"/>
                    <w:jc w:val="center"/>
                    <w:rPr>
                      <w:rFonts w:hint="eastAsia" w:ascii="Times New Roman" w:hAnsi="Times New Roman" w:eastAsia="宋体" w:cs="Times New Roman"/>
                      <w:color w:val="0000FF"/>
                      <w:kern w:val="2"/>
                      <w:sz w:val="21"/>
                      <w:szCs w:val="21"/>
                      <w:lang w:val="en-US" w:eastAsia="zh-CN" w:bidi="ar"/>
                    </w:rPr>
                  </w:pPr>
                  <w:r>
                    <w:rPr>
                      <w:rFonts w:hint="eastAsia" w:ascii="Times New Roman" w:hAnsi="Times New Roman" w:eastAsia="宋体" w:cs="Times New Roman"/>
                      <w:color w:val="0000FF"/>
                      <w:kern w:val="2"/>
                      <w:sz w:val="21"/>
                      <w:szCs w:val="21"/>
                      <w:lang w:val="en-US" w:eastAsia="zh-CN" w:bidi="ar"/>
                    </w:rPr>
                    <w:t>45.75</w:t>
                  </w:r>
                </w:p>
              </w:tc>
              <w:tc>
                <w:tcPr>
                  <w:tcW w:w="1122" w:type="dxa"/>
                  <w:tcBorders>
                    <w:top w:val="single" w:color="auto" w:sz="4" w:space="0"/>
                    <w:left w:val="single" w:color="auto" w:sz="4" w:space="0"/>
                    <w:bottom w:val="single" w:color="auto" w:sz="4" w:space="0"/>
                    <w:right w:val="single" w:color="auto" w:sz="4" w:space="0"/>
                  </w:tcBorders>
                  <w:shd w:val="clear" w:color="auto" w:fill="auto"/>
                  <w:vAlign w:val="center"/>
                </w:tcPr>
                <w:p w14:paraId="152D25A8">
                  <w:pPr>
                    <w:keepNext w:val="0"/>
                    <w:keepLines w:val="0"/>
                    <w:widowControl w:val="0"/>
                    <w:suppressLineNumbers w:val="0"/>
                    <w:spacing w:before="0" w:beforeAutospacing="0" w:after="0" w:afterAutospacing="0"/>
                    <w:ind w:left="0" w:leftChars="0" w:right="0" w:rightChars="0"/>
                    <w:jc w:val="center"/>
                    <w:rPr>
                      <w:rFonts w:hint="eastAsia" w:ascii="宋体" w:hAnsi="宋体" w:eastAsia="宋体" w:cs="宋体"/>
                      <w:color w:val="0000FF"/>
                      <w:kern w:val="2"/>
                      <w:sz w:val="21"/>
                      <w:szCs w:val="21"/>
                      <w:lang w:val="en-US" w:eastAsia="zh-CN" w:bidi="ar"/>
                    </w:rPr>
                  </w:pPr>
                  <w:r>
                    <w:rPr>
                      <w:rFonts w:hint="eastAsia" w:ascii="宋体" w:hAnsi="宋体" w:eastAsia="宋体" w:cs="宋体"/>
                      <w:color w:val="0000FF"/>
                      <w:kern w:val="2"/>
                      <w:sz w:val="21"/>
                      <w:szCs w:val="21"/>
                      <w:lang w:val="en-US" w:eastAsia="zh-CN" w:bidi="ar"/>
                    </w:rPr>
                    <w:t>废泡棉条</w:t>
                  </w:r>
                </w:p>
                <w:p w14:paraId="54499923">
                  <w:pPr>
                    <w:keepNext w:val="0"/>
                    <w:keepLines w:val="0"/>
                    <w:widowControl w:val="0"/>
                    <w:suppressLineNumbers w:val="0"/>
                    <w:spacing w:before="0" w:beforeAutospacing="0" w:after="0" w:afterAutospacing="0"/>
                    <w:ind w:left="0" w:leftChars="0" w:right="0" w:rightChars="0"/>
                    <w:jc w:val="center"/>
                    <w:rPr>
                      <w:rFonts w:hint="eastAsia" w:ascii="宋体" w:hAnsi="宋体" w:eastAsia="宋体" w:cs="宋体"/>
                      <w:color w:val="0000FF"/>
                      <w:kern w:val="2"/>
                      <w:sz w:val="21"/>
                      <w:szCs w:val="21"/>
                      <w:lang w:val="en-US" w:eastAsia="zh-CN" w:bidi="ar"/>
                    </w:rPr>
                  </w:pPr>
                  <w:r>
                    <w:rPr>
                      <w:rFonts w:hint="eastAsia" w:ascii="宋体" w:hAnsi="宋体" w:eastAsia="宋体" w:cs="宋体"/>
                      <w:color w:val="0000FF"/>
                      <w:kern w:val="2"/>
                      <w:sz w:val="21"/>
                      <w:szCs w:val="21"/>
                      <w:lang w:val="en-US" w:eastAsia="zh-CN" w:bidi="ar"/>
                    </w:rPr>
                    <w:t>（硅基条）</w:t>
                  </w:r>
                </w:p>
              </w:tc>
              <w:tc>
                <w:tcPr>
                  <w:tcW w:w="653" w:type="dxa"/>
                  <w:tcBorders>
                    <w:top w:val="single" w:color="auto" w:sz="4" w:space="0"/>
                    <w:left w:val="single" w:color="auto" w:sz="4" w:space="0"/>
                    <w:bottom w:val="single" w:color="auto" w:sz="4" w:space="0"/>
                    <w:right w:val="single" w:color="auto" w:sz="4" w:space="0"/>
                  </w:tcBorders>
                  <w:shd w:val="clear" w:color="auto" w:fill="auto"/>
                  <w:vAlign w:val="center"/>
                </w:tcPr>
                <w:p w14:paraId="1060D8E6">
                  <w:pPr>
                    <w:keepNext w:val="0"/>
                    <w:keepLines w:val="0"/>
                    <w:widowControl w:val="0"/>
                    <w:suppressLineNumbers w:val="0"/>
                    <w:spacing w:before="0" w:beforeAutospacing="0" w:after="0" w:afterAutospacing="0"/>
                    <w:ind w:left="0" w:right="0"/>
                    <w:jc w:val="center"/>
                    <w:rPr>
                      <w:rFonts w:hint="default" w:ascii="Times New Roman" w:hAnsi="Times New Roman" w:eastAsia="宋体" w:cs="Times New Roman"/>
                      <w:color w:val="0000FF"/>
                      <w:kern w:val="2"/>
                      <w:sz w:val="21"/>
                      <w:szCs w:val="21"/>
                      <w:lang w:val="en-US" w:eastAsia="zh-CN" w:bidi="ar"/>
                    </w:rPr>
                  </w:pPr>
                  <w:r>
                    <w:rPr>
                      <w:rFonts w:hint="default" w:ascii="Times New Roman" w:hAnsi="Times New Roman" w:eastAsia="宋体" w:cs="Times New Roman"/>
                      <w:color w:val="0000FF"/>
                      <w:kern w:val="2"/>
                      <w:sz w:val="21"/>
                      <w:szCs w:val="21"/>
                      <w:lang w:val="en-US" w:eastAsia="zh-CN" w:bidi="ar"/>
                    </w:rPr>
                    <w:t>1天</w:t>
                  </w:r>
                </w:p>
              </w:tc>
              <w:tc>
                <w:tcPr>
                  <w:tcW w:w="650" w:type="dxa"/>
                  <w:vMerge w:val="continue"/>
                  <w:tcBorders>
                    <w:left w:val="single" w:color="auto" w:sz="4" w:space="0"/>
                    <w:right w:val="single" w:color="auto" w:sz="4" w:space="0"/>
                  </w:tcBorders>
                  <w:shd w:val="clear" w:color="auto" w:fill="auto"/>
                  <w:vAlign w:val="center"/>
                </w:tcPr>
                <w:p w14:paraId="6F7EDABF">
                  <w:pPr>
                    <w:keepNext w:val="0"/>
                    <w:keepLines w:val="0"/>
                    <w:suppressLineNumbers w:val="0"/>
                    <w:spacing w:before="0" w:beforeAutospacing="0" w:after="0" w:afterAutospacing="0"/>
                    <w:ind w:left="0" w:right="0"/>
                    <w:jc w:val="center"/>
                    <w:rPr>
                      <w:rFonts w:hint="default" w:ascii="Times New Roman" w:hAnsi="Times New Roman" w:cs="Times New Roman"/>
                      <w:color w:val="auto"/>
                      <w:sz w:val="20"/>
                      <w:szCs w:val="20"/>
                    </w:rPr>
                  </w:pPr>
                </w:p>
              </w:tc>
              <w:tc>
                <w:tcPr>
                  <w:tcW w:w="1507" w:type="dxa"/>
                  <w:vMerge w:val="continue"/>
                  <w:tcBorders>
                    <w:left w:val="single" w:color="auto" w:sz="4" w:space="0"/>
                    <w:right w:val="single" w:color="auto" w:sz="4" w:space="0"/>
                  </w:tcBorders>
                  <w:shd w:val="clear" w:color="auto" w:fill="auto"/>
                  <w:vAlign w:val="center"/>
                </w:tcPr>
                <w:p w14:paraId="16199369">
                  <w:pPr>
                    <w:keepNext w:val="0"/>
                    <w:keepLines w:val="0"/>
                    <w:suppressLineNumbers w:val="0"/>
                    <w:spacing w:before="0" w:beforeAutospacing="0" w:after="0" w:afterAutospacing="0"/>
                    <w:ind w:left="0" w:right="0"/>
                    <w:jc w:val="center"/>
                    <w:rPr>
                      <w:rFonts w:hint="default" w:ascii="Times New Roman" w:hAnsi="Times New Roman" w:cs="Times New Roman"/>
                      <w:color w:val="auto"/>
                      <w:sz w:val="20"/>
                      <w:szCs w:val="20"/>
                    </w:rPr>
                  </w:pPr>
                </w:p>
              </w:tc>
            </w:tr>
            <w:tr w14:paraId="533CF6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397" w:hRule="atLeast"/>
                <w:jc w:val="center"/>
              </w:trPr>
              <w:tc>
                <w:tcPr>
                  <w:tcW w:w="636" w:type="dxa"/>
                  <w:tcBorders>
                    <w:top w:val="single" w:color="auto" w:sz="4" w:space="0"/>
                    <w:left w:val="single" w:color="auto" w:sz="4" w:space="0"/>
                    <w:bottom w:val="single" w:color="auto" w:sz="4" w:space="0"/>
                    <w:right w:val="single" w:color="auto" w:sz="4" w:space="0"/>
                  </w:tcBorders>
                  <w:shd w:val="clear" w:color="auto" w:fill="auto"/>
                  <w:vAlign w:val="center"/>
                </w:tcPr>
                <w:p w14:paraId="7F3A9AD9">
                  <w:pPr>
                    <w:keepNext w:val="0"/>
                    <w:keepLines w:val="0"/>
                    <w:widowControl w:val="0"/>
                    <w:suppressLineNumbers w:val="0"/>
                    <w:spacing w:before="0" w:beforeAutospacing="0" w:after="0" w:afterAutospacing="0"/>
                    <w:ind w:left="0" w:leftChars="0" w:right="0" w:rightChars="0"/>
                    <w:jc w:val="center"/>
                    <w:rPr>
                      <w:rFonts w:hint="default" w:ascii="Times New Roman" w:hAnsi="Times New Roman" w:eastAsia="宋体" w:cs="Times New Roman"/>
                      <w:color w:val="auto"/>
                      <w:kern w:val="2"/>
                      <w:sz w:val="21"/>
                      <w:szCs w:val="21"/>
                      <w:lang w:val="en-US" w:eastAsia="zh-CN" w:bidi="ar-SA"/>
                    </w:rPr>
                  </w:pPr>
                  <w:r>
                    <w:rPr>
                      <w:rFonts w:hint="eastAsia" w:ascii="Times New Roman" w:hAnsi="Times New Roman" w:eastAsia="宋体" w:cs="Times New Roman"/>
                      <w:color w:val="auto"/>
                      <w:kern w:val="2"/>
                      <w:sz w:val="21"/>
                      <w:szCs w:val="21"/>
                      <w:lang w:val="en-US" w:eastAsia="zh-CN" w:bidi="ar"/>
                    </w:rPr>
                    <w:t>7</w:t>
                  </w:r>
                </w:p>
              </w:tc>
              <w:tc>
                <w:tcPr>
                  <w:tcW w:w="1565" w:type="dxa"/>
                  <w:tcBorders>
                    <w:top w:val="single" w:color="auto" w:sz="4" w:space="0"/>
                    <w:left w:val="single" w:color="auto" w:sz="4" w:space="0"/>
                    <w:bottom w:val="single" w:color="auto" w:sz="4" w:space="0"/>
                    <w:right w:val="single" w:color="auto" w:sz="4" w:space="0"/>
                  </w:tcBorders>
                  <w:shd w:val="clear" w:color="auto" w:fill="auto"/>
                  <w:vAlign w:val="center"/>
                </w:tcPr>
                <w:p w14:paraId="51A6727B">
                  <w:pPr>
                    <w:keepNext w:val="0"/>
                    <w:keepLines w:val="0"/>
                    <w:widowControl w:val="0"/>
                    <w:suppressLineNumbers w:val="0"/>
                    <w:spacing w:before="0" w:beforeAutospacing="0" w:after="0" w:afterAutospacing="0"/>
                    <w:ind w:left="0" w:leftChars="0" w:right="0" w:rightChars="0"/>
                    <w:jc w:val="center"/>
                    <w:rPr>
                      <w:rFonts w:hint="default" w:ascii="Times New Roman" w:hAnsi="Times New Roman" w:eastAsia="宋体" w:cs="Times New Roman"/>
                      <w:color w:val="auto"/>
                      <w:kern w:val="2"/>
                      <w:sz w:val="21"/>
                      <w:szCs w:val="21"/>
                    </w:rPr>
                  </w:pPr>
                  <w:r>
                    <w:rPr>
                      <w:rFonts w:hint="eastAsia" w:ascii="宋体" w:hAnsi="宋体" w:eastAsia="宋体" w:cs="宋体"/>
                      <w:color w:val="auto"/>
                      <w:kern w:val="0"/>
                      <w:sz w:val="21"/>
                      <w:szCs w:val="21"/>
                      <w:lang w:val="en-US" w:eastAsia="zh-CN" w:bidi="ar"/>
                    </w:rPr>
                    <w:t>废包装材料</w:t>
                  </w:r>
                </w:p>
              </w:tc>
              <w:tc>
                <w:tcPr>
                  <w:tcW w:w="2535" w:type="dxa"/>
                  <w:gridSpan w:val="2"/>
                  <w:tcBorders>
                    <w:top w:val="single" w:color="auto" w:sz="4" w:space="0"/>
                    <w:left w:val="single" w:color="auto" w:sz="4" w:space="0"/>
                    <w:bottom w:val="single" w:color="auto" w:sz="4" w:space="0"/>
                    <w:right w:val="single" w:color="auto" w:sz="4" w:space="0"/>
                  </w:tcBorders>
                  <w:shd w:val="clear" w:color="auto" w:fill="auto"/>
                  <w:vAlign w:val="center"/>
                </w:tcPr>
                <w:p w14:paraId="56A7416F">
                  <w:pPr>
                    <w:keepNext w:val="0"/>
                    <w:keepLines w:val="0"/>
                    <w:widowControl w:val="0"/>
                    <w:suppressLineNumbers w:val="0"/>
                    <w:spacing w:before="0" w:beforeAutospacing="0" w:after="0" w:afterAutospacing="0"/>
                    <w:ind w:left="0" w:leftChars="0" w:right="0" w:rightChars="0"/>
                    <w:jc w:val="center"/>
                    <w:rPr>
                      <w:rFonts w:hint="default" w:ascii="Times New Roman" w:hAnsi="Times New Roman" w:eastAsia="宋体" w:cs="Times New Roman"/>
                      <w:color w:val="auto"/>
                      <w:kern w:val="2"/>
                      <w:sz w:val="21"/>
                      <w:szCs w:val="21"/>
                    </w:rPr>
                  </w:pPr>
                  <w:r>
                    <w:rPr>
                      <w:rFonts w:hint="eastAsia" w:ascii="宋体" w:hAnsi="宋体" w:eastAsia="宋体" w:cs="宋体"/>
                      <w:color w:val="auto"/>
                      <w:kern w:val="2"/>
                      <w:sz w:val="21"/>
                      <w:szCs w:val="21"/>
                      <w:lang w:val="en-US" w:eastAsia="zh-CN" w:bidi="ar"/>
                    </w:rPr>
                    <w:t>原辅材料使用后</w:t>
                  </w:r>
                </w:p>
              </w:tc>
              <w:tc>
                <w:tcPr>
                  <w:tcW w:w="661" w:type="dxa"/>
                  <w:tcBorders>
                    <w:top w:val="single" w:color="auto" w:sz="4" w:space="0"/>
                    <w:left w:val="single" w:color="auto" w:sz="4" w:space="0"/>
                    <w:bottom w:val="single" w:color="auto" w:sz="4" w:space="0"/>
                    <w:right w:val="single" w:color="auto" w:sz="4" w:space="0"/>
                  </w:tcBorders>
                  <w:shd w:val="clear" w:color="auto" w:fill="auto"/>
                  <w:vAlign w:val="center"/>
                </w:tcPr>
                <w:p w14:paraId="6B71C0B6">
                  <w:pPr>
                    <w:keepNext w:val="0"/>
                    <w:keepLines w:val="0"/>
                    <w:widowControl w:val="0"/>
                    <w:suppressLineNumbers w:val="0"/>
                    <w:spacing w:before="0" w:beforeAutospacing="0" w:after="0" w:afterAutospacing="0"/>
                    <w:ind w:left="0" w:right="0"/>
                    <w:jc w:val="center"/>
                    <w:rPr>
                      <w:rFonts w:hint="default" w:ascii="Times New Roman" w:hAnsi="Times New Roman" w:eastAsia="宋体" w:cs="Times New Roman"/>
                      <w:color w:val="auto"/>
                      <w:kern w:val="2"/>
                      <w:sz w:val="21"/>
                      <w:szCs w:val="21"/>
                    </w:rPr>
                  </w:pPr>
                  <w:r>
                    <w:rPr>
                      <w:rFonts w:hint="eastAsia" w:ascii="宋体" w:hAnsi="宋体" w:eastAsia="宋体" w:cs="宋体"/>
                      <w:color w:val="auto"/>
                      <w:kern w:val="2"/>
                      <w:sz w:val="21"/>
                      <w:szCs w:val="21"/>
                      <w:lang w:val="en-US" w:eastAsia="zh-CN" w:bidi="ar"/>
                    </w:rPr>
                    <w:t>固态</w:t>
                  </w:r>
                </w:p>
              </w:tc>
              <w:tc>
                <w:tcPr>
                  <w:tcW w:w="554" w:type="dxa"/>
                  <w:vMerge w:val="continue"/>
                  <w:tcBorders>
                    <w:left w:val="single" w:color="auto" w:sz="4" w:space="0"/>
                    <w:right w:val="single" w:color="auto" w:sz="4" w:space="0"/>
                  </w:tcBorders>
                  <w:shd w:val="clear" w:color="auto" w:fill="auto"/>
                  <w:vAlign w:val="center"/>
                </w:tcPr>
                <w:p w14:paraId="57A21886">
                  <w:pPr>
                    <w:keepNext w:val="0"/>
                    <w:keepLines w:val="0"/>
                    <w:suppressLineNumbers w:val="0"/>
                    <w:spacing w:before="0" w:beforeAutospacing="0" w:after="0" w:afterAutospacing="0"/>
                    <w:ind w:left="0" w:right="0"/>
                    <w:jc w:val="center"/>
                    <w:rPr>
                      <w:rFonts w:hint="default" w:ascii="Times New Roman" w:hAnsi="Times New Roman" w:cs="Times New Roman"/>
                      <w:color w:val="auto"/>
                      <w:sz w:val="20"/>
                      <w:szCs w:val="20"/>
                    </w:rPr>
                  </w:pPr>
                </w:p>
              </w:tc>
              <w:tc>
                <w:tcPr>
                  <w:tcW w:w="1365" w:type="dxa"/>
                  <w:tcBorders>
                    <w:top w:val="single" w:color="auto" w:sz="4" w:space="0"/>
                    <w:left w:val="single" w:color="auto" w:sz="4" w:space="0"/>
                    <w:bottom w:val="single" w:color="auto" w:sz="4" w:space="0"/>
                    <w:right w:val="single" w:color="auto" w:sz="4" w:space="0"/>
                  </w:tcBorders>
                  <w:shd w:val="clear" w:color="auto" w:fill="auto"/>
                  <w:vAlign w:val="center"/>
                </w:tcPr>
                <w:p w14:paraId="2DA2FDDA">
                  <w:pPr>
                    <w:keepNext w:val="0"/>
                    <w:keepLines w:val="0"/>
                    <w:widowControl w:val="0"/>
                    <w:suppressLineNumbers w:val="0"/>
                    <w:spacing w:before="0" w:beforeAutospacing="0" w:after="0" w:afterAutospacing="0"/>
                    <w:ind w:left="0" w:right="0"/>
                    <w:jc w:val="center"/>
                    <w:rPr>
                      <w:rFonts w:hint="default" w:ascii="Times New Roman" w:hAnsi="Times New Roman" w:eastAsia="宋体" w:cs="Times New Roman"/>
                      <w:color w:val="auto"/>
                      <w:kern w:val="2"/>
                      <w:sz w:val="21"/>
                      <w:szCs w:val="21"/>
                      <w:lang w:val="en-US" w:eastAsia="zh-CN" w:bidi="ar"/>
                    </w:rPr>
                  </w:pPr>
                  <w:r>
                    <w:rPr>
                      <w:rFonts w:hint="default" w:ascii="Times New Roman" w:hAnsi="Times New Roman" w:eastAsia="宋体" w:cs="Times New Roman"/>
                      <w:color w:val="auto"/>
                      <w:kern w:val="2"/>
                      <w:sz w:val="21"/>
                      <w:szCs w:val="21"/>
                      <w:lang w:val="en-US" w:eastAsia="zh-CN" w:bidi="ar"/>
                    </w:rPr>
                    <w:t>SW62</w:t>
                  </w:r>
                </w:p>
                <w:p w14:paraId="6D59C4BA">
                  <w:pPr>
                    <w:keepNext w:val="0"/>
                    <w:keepLines w:val="0"/>
                    <w:widowControl w:val="0"/>
                    <w:suppressLineNumbers w:val="0"/>
                    <w:spacing w:before="0" w:beforeAutospacing="0" w:after="0" w:afterAutospacing="0"/>
                    <w:ind w:left="0" w:right="0"/>
                    <w:jc w:val="center"/>
                    <w:rPr>
                      <w:rFonts w:hint="default" w:ascii="Times New Roman" w:hAnsi="Times New Roman" w:eastAsia="宋体" w:cs="Times New Roman"/>
                      <w:color w:val="auto"/>
                      <w:kern w:val="2"/>
                      <w:sz w:val="21"/>
                      <w:szCs w:val="21"/>
                    </w:rPr>
                  </w:pPr>
                  <w:r>
                    <w:rPr>
                      <w:rFonts w:hint="default" w:ascii="Times New Roman" w:hAnsi="Times New Roman" w:eastAsia="宋体" w:cs="Times New Roman"/>
                      <w:color w:val="auto"/>
                      <w:kern w:val="2"/>
                      <w:sz w:val="21"/>
                      <w:szCs w:val="21"/>
                      <w:lang w:val="en-US" w:eastAsia="zh-CN" w:bidi="ar"/>
                    </w:rPr>
                    <w:t>900-002-S62</w:t>
                  </w:r>
                </w:p>
              </w:tc>
              <w:tc>
                <w:tcPr>
                  <w:tcW w:w="2010" w:type="dxa"/>
                  <w:gridSpan w:val="2"/>
                  <w:tcBorders>
                    <w:top w:val="single" w:color="auto" w:sz="4" w:space="0"/>
                    <w:left w:val="single" w:color="auto" w:sz="4" w:space="0"/>
                    <w:bottom w:val="single" w:color="auto" w:sz="4" w:space="0"/>
                    <w:right w:val="single" w:color="auto" w:sz="4" w:space="0"/>
                  </w:tcBorders>
                  <w:shd w:val="clear" w:color="auto" w:fill="auto"/>
                  <w:vAlign w:val="center"/>
                </w:tcPr>
                <w:p w14:paraId="3CC2C595">
                  <w:pPr>
                    <w:keepNext w:val="0"/>
                    <w:keepLines w:val="0"/>
                    <w:widowControl w:val="0"/>
                    <w:suppressLineNumbers w:val="0"/>
                    <w:spacing w:before="0" w:beforeAutospacing="0" w:after="0" w:afterAutospacing="0"/>
                    <w:ind w:left="0" w:right="0"/>
                    <w:jc w:val="center"/>
                    <w:rPr>
                      <w:rFonts w:hint="default" w:ascii="Times New Roman" w:hAnsi="Times New Roman" w:eastAsia="宋体" w:cs="Times New Roman"/>
                      <w:color w:val="auto"/>
                      <w:kern w:val="2"/>
                      <w:sz w:val="21"/>
                      <w:szCs w:val="21"/>
                      <w:lang w:val="en-US"/>
                    </w:rPr>
                  </w:pPr>
                  <w:r>
                    <w:rPr>
                      <w:rFonts w:hint="eastAsia" w:ascii="Times New Roman" w:hAnsi="Times New Roman" w:eastAsia="宋体" w:cs="Times New Roman"/>
                      <w:color w:val="auto"/>
                      <w:kern w:val="2"/>
                      <w:sz w:val="21"/>
                      <w:szCs w:val="21"/>
                      <w:lang w:val="en-US" w:eastAsia="zh-CN" w:bidi="ar"/>
                    </w:rPr>
                    <w:t>0.679</w:t>
                  </w:r>
                </w:p>
              </w:tc>
              <w:tc>
                <w:tcPr>
                  <w:tcW w:w="1122" w:type="dxa"/>
                  <w:tcBorders>
                    <w:top w:val="single" w:color="auto" w:sz="4" w:space="0"/>
                    <w:left w:val="single" w:color="auto" w:sz="4" w:space="0"/>
                    <w:bottom w:val="single" w:color="auto" w:sz="4" w:space="0"/>
                    <w:right w:val="single" w:color="auto" w:sz="4" w:space="0"/>
                  </w:tcBorders>
                  <w:shd w:val="clear" w:color="auto" w:fill="auto"/>
                  <w:vAlign w:val="center"/>
                </w:tcPr>
                <w:p w14:paraId="4E6B6E1A">
                  <w:pPr>
                    <w:keepNext w:val="0"/>
                    <w:keepLines w:val="0"/>
                    <w:widowControl w:val="0"/>
                    <w:suppressLineNumbers w:val="0"/>
                    <w:spacing w:before="0" w:beforeAutospacing="0" w:after="0" w:afterAutospacing="0"/>
                    <w:ind w:left="0" w:leftChars="0" w:right="0" w:rightChars="0"/>
                    <w:jc w:val="center"/>
                    <w:rPr>
                      <w:rFonts w:hint="default" w:ascii="Times New Roman" w:hAnsi="Times New Roman" w:eastAsia="宋体" w:cs="Times New Roman"/>
                      <w:color w:val="auto"/>
                      <w:kern w:val="2"/>
                      <w:sz w:val="21"/>
                      <w:szCs w:val="21"/>
                    </w:rPr>
                  </w:pPr>
                  <w:r>
                    <w:rPr>
                      <w:rFonts w:hint="eastAsia" w:ascii="宋体" w:hAnsi="宋体" w:eastAsia="宋体" w:cs="宋体"/>
                      <w:color w:val="auto"/>
                      <w:kern w:val="0"/>
                      <w:sz w:val="21"/>
                      <w:szCs w:val="21"/>
                      <w:lang w:val="en-US" w:eastAsia="zh-CN" w:bidi="ar"/>
                    </w:rPr>
                    <w:t>废包装材料</w:t>
                  </w:r>
                </w:p>
              </w:tc>
              <w:tc>
                <w:tcPr>
                  <w:tcW w:w="653" w:type="dxa"/>
                  <w:tcBorders>
                    <w:top w:val="single" w:color="auto" w:sz="4" w:space="0"/>
                    <w:left w:val="single" w:color="auto" w:sz="4" w:space="0"/>
                    <w:bottom w:val="single" w:color="auto" w:sz="4" w:space="0"/>
                    <w:right w:val="single" w:color="auto" w:sz="4" w:space="0"/>
                  </w:tcBorders>
                  <w:shd w:val="clear" w:color="auto" w:fill="auto"/>
                  <w:vAlign w:val="center"/>
                </w:tcPr>
                <w:p w14:paraId="1A42EDBC">
                  <w:pPr>
                    <w:keepNext w:val="0"/>
                    <w:keepLines w:val="0"/>
                    <w:widowControl w:val="0"/>
                    <w:suppressLineNumbers w:val="0"/>
                    <w:spacing w:before="0" w:beforeAutospacing="0" w:after="0" w:afterAutospacing="0"/>
                    <w:ind w:left="0" w:right="0"/>
                    <w:jc w:val="center"/>
                    <w:rPr>
                      <w:rFonts w:hint="default" w:ascii="Times New Roman" w:hAnsi="Times New Roman" w:eastAsia="宋体" w:cs="Times New Roman"/>
                      <w:color w:val="auto"/>
                      <w:kern w:val="2"/>
                      <w:sz w:val="21"/>
                      <w:szCs w:val="21"/>
                    </w:rPr>
                  </w:pPr>
                  <w:r>
                    <w:rPr>
                      <w:rFonts w:hint="eastAsia" w:ascii="宋体" w:hAnsi="宋体" w:eastAsia="宋体" w:cs="宋体"/>
                      <w:color w:val="auto"/>
                      <w:kern w:val="2"/>
                      <w:sz w:val="21"/>
                      <w:szCs w:val="21"/>
                      <w:lang w:val="en-US" w:eastAsia="zh-CN" w:bidi="ar"/>
                    </w:rPr>
                    <w:t>1天</w:t>
                  </w:r>
                </w:p>
              </w:tc>
              <w:tc>
                <w:tcPr>
                  <w:tcW w:w="650" w:type="dxa"/>
                  <w:vMerge w:val="continue"/>
                  <w:tcBorders>
                    <w:left w:val="single" w:color="auto" w:sz="4" w:space="0"/>
                    <w:right w:val="single" w:color="auto" w:sz="4" w:space="0"/>
                  </w:tcBorders>
                  <w:shd w:val="clear" w:color="auto" w:fill="auto"/>
                  <w:vAlign w:val="center"/>
                </w:tcPr>
                <w:p w14:paraId="46D0CDFB">
                  <w:pPr>
                    <w:keepNext w:val="0"/>
                    <w:keepLines w:val="0"/>
                    <w:suppressLineNumbers w:val="0"/>
                    <w:spacing w:before="0" w:beforeAutospacing="0" w:after="0" w:afterAutospacing="0"/>
                    <w:ind w:left="0" w:right="0"/>
                    <w:jc w:val="center"/>
                    <w:rPr>
                      <w:rFonts w:hint="default" w:ascii="Times New Roman" w:hAnsi="Times New Roman" w:cs="Times New Roman"/>
                      <w:color w:val="auto"/>
                      <w:sz w:val="20"/>
                      <w:szCs w:val="20"/>
                    </w:rPr>
                  </w:pPr>
                </w:p>
              </w:tc>
              <w:tc>
                <w:tcPr>
                  <w:tcW w:w="1507" w:type="dxa"/>
                  <w:vMerge w:val="continue"/>
                  <w:tcBorders>
                    <w:left w:val="single" w:color="auto" w:sz="4" w:space="0"/>
                    <w:right w:val="single" w:color="auto" w:sz="4" w:space="0"/>
                  </w:tcBorders>
                  <w:shd w:val="clear" w:color="auto" w:fill="auto"/>
                  <w:vAlign w:val="center"/>
                </w:tcPr>
                <w:p w14:paraId="20808208">
                  <w:pPr>
                    <w:keepNext w:val="0"/>
                    <w:keepLines w:val="0"/>
                    <w:widowControl w:val="0"/>
                    <w:suppressLineNumbers w:val="0"/>
                    <w:spacing w:before="0" w:beforeAutospacing="0" w:after="0" w:afterAutospacing="0"/>
                    <w:ind w:left="0" w:right="0"/>
                    <w:jc w:val="center"/>
                    <w:rPr>
                      <w:rFonts w:hint="default" w:ascii="Times New Roman" w:hAnsi="Times New Roman" w:eastAsia="宋体" w:cs="Times New Roman"/>
                      <w:color w:val="auto"/>
                      <w:kern w:val="2"/>
                      <w:sz w:val="21"/>
                      <w:szCs w:val="21"/>
                    </w:rPr>
                  </w:pPr>
                </w:p>
              </w:tc>
            </w:tr>
            <w:tr w14:paraId="338986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397" w:hRule="atLeast"/>
                <w:jc w:val="center"/>
              </w:trPr>
              <w:tc>
                <w:tcPr>
                  <w:tcW w:w="636" w:type="dxa"/>
                  <w:tcBorders>
                    <w:top w:val="single" w:color="auto" w:sz="4" w:space="0"/>
                    <w:left w:val="single" w:color="auto" w:sz="4" w:space="0"/>
                    <w:bottom w:val="single" w:color="auto" w:sz="4" w:space="0"/>
                    <w:right w:val="single" w:color="auto" w:sz="4" w:space="0"/>
                  </w:tcBorders>
                  <w:shd w:val="clear" w:color="auto" w:fill="auto"/>
                  <w:vAlign w:val="center"/>
                </w:tcPr>
                <w:p w14:paraId="2236F177">
                  <w:pPr>
                    <w:keepNext w:val="0"/>
                    <w:keepLines w:val="0"/>
                    <w:widowControl w:val="0"/>
                    <w:suppressLineNumbers w:val="0"/>
                    <w:spacing w:before="0" w:beforeAutospacing="0" w:after="0" w:afterAutospacing="0"/>
                    <w:ind w:left="0" w:leftChars="0" w:right="0" w:rightChars="0"/>
                    <w:jc w:val="center"/>
                    <w:rPr>
                      <w:rFonts w:hint="default" w:ascii="Times New Roman" w:hAnsi="Times New Roman" w:eastAsia="宋体" w:cs="Times New Roman"/>
                      <w:color w:val="auto"/>
                      <w:kern w:val="2"/>
                      <w:sz w:val="21"/>
                      <w:szCs w:val="21"/>
                      <w:lang w:val="en-US" w:eastAsia="zh-CN" w:bidi="ar-SA"/>
                    </w:rPr>
                  </w:pPr>
                  <w:r>
                    <w:rPr>
                      <w:rFonts w:hint="eastAsia" w:ascii="Times New Roman" w:hAnsi="Times New Roman" w:eastAsia="宋体" w:cs="Times New Roman"/>
                      <w:color w:val="auto"/>
                      <w:kern w:val="2"/>
                      <w:sz w:val="21"/>
                      <w:szCs w:val="21"/>
                      <w:lang w:val="en-US" w:eastAsia="zh-CN" w:bidi="ar"/>
                    </w:rPr>
                    <w:t>8</w:t>
                  </w:r>
                </w:p>
              </w:tc>
              <w:tc>
                <w:tcPr>
                  <w:tcW w:w="1565" w:type="dxa"/>
                  <w:tcBorders>
                    <w:top w:val="single" w:color="auto" w:sz="4" w:space="0"/>
                    <w:left w:val="single" w:color="auto" w:sz="4" w:space="0"/>
                    <w:bottom w:val="single" w:color="auto" w:sz="4" w:space="0"/>
                    <w:right w:val="single" w:color="auto" w:sz="4" w:space="0"/>
                  </w:tcBorders>
                  <w:shd w:val="clear" w:color="auto" w:fill="auto"/>
                  <w:vAlign w:val="center"/>
                </w:tcPr>
                <w:p w14:paraId="27C47482">
                  <w:pPr>
                    <w:keepNext w:val="0"/>
                    <w:keepLines w:val="0"/>
                    <w:widowControl w:val="0"/>
                    <w:suppressLineNumbers w:val="0"/>
                    <w:spacing w:before="0" w:beforeAutospacing="0" w:after="0" w:afterAutospacing="0"/>
                    <w:ind w:left="0" w:leftChars="0" w:right="0" w:rightChars="0"/>
                    <w:jc w:val="center"/>
                    <w:rPr>
                      <w:rFonts w:hint="default" w:ascii="Times New Roman" w:hAnsi="Times New Roman" w:eastAsia="宋体" w:cs="Times New Roman"/>
                      <w:color w:val="auto"/>
                      <w:kern w:val="2"/>
                      <w:sz w:val="21"/>
                      <w:szCs w:val="21"/>
                    </w:rPr>
                  </w:pPr>
                  <w:r>
                    <w:rPr>
                      <w:rFonts w:hint="eastAsia" w:ascii="宋体" w:hAnsi="宋体" w:eastAsia="宋体" w:cs="宋体"/>
                      <w:color w:val="auto"/>
                      <w:kern w:val="2"/>
                      <w:sz w:val="21"/>
                      <w:szCs w:val="21"/>
                      <w:lang w:val="en-US" w:eastAsia="zh-CN" w:bidi="ar"/>
                    </w:rPr>
                    <w:t>废布袋</w:t>
                  </w:r>
                </w:p>
              </w:tc>
              <w:tc>
                <w:tcPr>
                  <w:tcW w:w="2535" w:type="dxa"/>
                  <w:gridSpan w:val="2"/>
                  <w:tcBorders>
                    <w:top w:val="single" w:color="auto" w:sz="4" w:space="0"/>
                    <w:left w:val="single" w:color="auto" w:sz="4" w:space="0"/>
                    <w:bottom w:val="single" w:color="auto" w:sz="4" w:space="0"/>
                    <w:right w:val="single" w:color="auto" w:sz="4" w:space="0"/>
                  </w:tcBorders>
                  <w:shd w:val="clear" w:color="auto" w:fill="auto"/>
                  <w:vAlign w:val="center"/>
                </w:tcPr>
                <w:p w14:paraId="2B7F07AD">
                  <w:pPr>
                    <w:keepNext w:val="0"/>
                    <w:keepLines w:val="0"/>
                    <w:widowControl w:val="0"/>
                    <w:suppressLineNumbers w:val="0"/>
                    <w:spacing w:before="0" w:beforeAutospacing="0" w:after="0" w:afterAutospacing="0"/>
                    <w:ind w:left="0" w:leftChars="0" w:right="0" w:rightChars="0"/>
                    <w:jc w:val="center"/>
                    <w:rPr>
                      <w:rFonts w:hint="default" w:ascii="Times New Roman" w:hAnsi="Times New Roman" w:eastAsia="宋体" w:cs="Times New Roman"/>
                      <w:color w:val="auto"/>
                      <w:kern w:val="2"/>
                      <w:sz w:val="21"/>
                      <w:szCs w:val="21"/>
                    </w:rPr>
                  </w:pPr>
                  <w:r>
                    <w:rPr>
                      <w:rFonts w:hint="eastAsia" w:ascii="宋体" w:hAnsi="宋体" w:eastAsia="宋体" w:cs="宋体"/>
                      <w:color w:val="auto"/>
                      <w:kern w:val="2"/>
                      <w:sz w:val="21"/>
                      <w:szCs w:val="21"/>
                      <w:lang w:val="en-US" w:eastAsia="zh-CN" w:bidi="ar"/>
                    </w:rPr>
                    <w:t>废气处理</w:t>
                  </w:r>
                </w:p>
              </w:tc>
              <w:tc>
                <w:tcPr>
                  <w:tcW w:w="661" w:type="dxa"/>
                  <w:tcBorders>
                    <w:top w:val="single" w:color="auto" w:sz="4" w:space="0"/>
                    <w:left w:val="single" w:color="auto" w:sz="4" w:space="0"/>
                    <w:bottom w:val="single" w:color="auto" w:sz="4" w:space="0"/>
                    <w:right w:val="single" w:color="auto" w:sz="4" w:space="0"/>
                  </w:tcBorders>
                  <w:shd w:val="clear" w:color="auto" w:fill="auto"/>
                  <w:vAlign w:val="center"/>
                </w:tcPr>
                <w:p w14:paraId="134B1099">
                  <w:pPr>
                    <w:keepNext w:val="0"/>
                    <w:keepLines w:val="0"/>
                    <w:widowControl w:val="0"/>
                    <w:suppressLineNumbers w:val="0"/>
                    <w:spacing w:before="0" w:beforeAutospacing="0" w:after="0" w:afterAutospacing="0"/>
                    <w:ind w:left="0" w:right="0"/>
                    <w:jc w:val="center"/>
                    <w:rPr>
                      <w:rFonts w:hint="default" w:ascii="Times New Roman" w:hAnsi="Times New Roman" w:eastAsia="宋体" w:cs="Times New Roman"/>
                      <w:color w:val="auto"/>
                      <w:kern w:val="2"/>
                      <w:sz w:val="21"/>
                      <w:szCs w:val="21"/>
                    </w:rPr>
                  </w:pPr>
                  <w:r>
                    <w:rPr>
                      <w:rFonts w:hint="eastAsia" w:ascii="宋体" w:hAnsi="宋体" w:eastAsia="宋体" w:cs="宋体"/>
                      <w:color w:val="auto"/>
                      <w:kern w:val="2"/>
                      <w:sz w:val="21"/>
                      <w:szCs w:val="21"/>
                      <w:lang w:val="en-US" w:eastAsia="zh-CN" w:bidi="ar"/>
                    </w:rPr>
                    <w:t>固态</w:t>
                  </w:r>
                </w:p>
              </w:tc>
              <w:tc>
                <w:tcPr>
                  <w:tcW w:w="554" w:type="dxa"/>
                  <w:vMerge w:val="continue"/>
                  <w:tcBorders>
                    <w:left w:val="single" w:color="auto" w:sz="4" w:space="0"/>
                    <w:right w:val="single" w:color="auto" w:sz="4" w:space="0"/>
                  </w:tcBorders>
                  <w:shd w:val="clear" w:color="auto" w:fill="auto"/>
                  <w:vAlign w:val="center"/>
                </w:tcPr>
                <w:p w14:paraId="6CFB1028">
                  <w:pPr>
                    <w:keepNext w:val="0"/>
                    <w:keepLines w:val="0"/>
                    <w:suppressLineNumbers w:val="0"/>
                    <w:spacing w:before="0" w:beforeAutospacing="0" w:after="0" w:afterAutospacing="0"/>
                    <w:ind w:left="0" w:right="0"/>
                    <w:jc w:val="center"/>
                    <w:rPr>
                      <w:rFonts w:hint="default" w:ascii="Times New Roman" w:hAnsi="Times New Roman" w:cs="Times New Roman"/>
                      <w:color w:val="auto"/>
                      <w:sz w:val="20"/>
                      <w:szCs w:val="20"/>
                    </w:rPr>
                  </w:pPr>
                </w:p>
              </w:tc>
              <w:tc>
                <w:tcPr>
                  <w:tcW w:w="1365" w:type="dxa"/>
                  <w:tcBorders>
                    <w:top w:val="nil"/>
                    <w:left w:val="single" w:color="auto" w:sz="4" w:space="0"/>
                    <w:bottom w:val="single" w:color="auto" w:sz="4" w:space="0"/>
                    <w:right w:val="single" w:color="auto" w:sz="4" w:space="0"/>
                  </w:tcBorders>
                  <w:shd w:val="clear" w:color="auto" w:fill="auto"/>
                  <w:vAlign w:val="center"/>
                </w:tcPr>
                <w:p w14:paraId="49F44D19">
                  <w:pPr>
                    <w:keepNext w:val="0"/>
                    <w:keepLines w:val="0"/>
                    <w:suppressLineNumbers w:val="0"/>
                    <w:spacing w:before="0" w:beforeAutospacing="0" w:after="0" w:afterAutospacing="0"/>
                    <w:ind w:left="0" w:right="0"/>
                    <w:jc w:val="center"/>
                    <w:rPr>
                      <w:rFonts w:hint="default" w:ascii="Times New Roman" w:hAnsi="Times New Roman" w:cs="Times New Roman"/>
                      <w:color w:val="auto"/>
                      <w:sz w:val="20"/>
                      <w:szCs w:val="20"/>
                      <w:lang w:val="en-US" w:eastAsia="zh-CN"/>
                    </w:rPr>
                  </w:pPr>
                  <w:r>
                    <w:rPr>
                      <w:rFonts w:hint="default" w:ascii="Times New Roman" w:hAnsi="Times New Roman" w:cs="Times New Roman"/>
                      <w:color w:val="auto"/>
                      <w:sz w:val="20"/>
                      <w:szCs w:val="20"/>
                      <w:lang w:val="en-US" w:eastAsia="zh-CN"/>
                    </w:rPr>
                    <w:t>SW59</w:t>
                  </w:r>
                </w:p>
                <w:p w14:paraId="56F01934">
                  <w:pPr>
                    <w:keepNext w:val="0"/>
                    <w:keepLines w:val="0"/>
                    <w:suppressLineNumbers w:val="0"/>
                    <w:spacing w:before="0" w:beforeAutospacing="0" w:after="0" w:afterAutospacing="0"/>
                    <w:ind w:left="0" w:right="0"/>
                    <w:jc w:val="center"/>
                    <w:rPr>
                      <w:rFonts w:hint="default" w:ascii="Times New Roman" w:hAnsi="Times New Roman" w:cs="Times New Roman"/>
                      <w:color w:val="auto"/>
                      <w:sz w:val="20"/>
                      <w:szCs w:val="20"/>
                    </w:rPr>
                  </w:pPr>
                  <w:r>
                    <w:rPr>
                      <w:rFonts w:hint="default" w:ascii="Times New Roman" w:hAnsi="Times New Roman" w:cs="Times New Roman"/>
                      <w:color w:val="auto"/>
                      <w:sz w:val="20"/>
                      <w:szCs w:val="20"/>
                      <w:lang w:val="en-US" w:eastAsia="zh-CN"/>
                    </w:rPr>
                    <w:t>900-009-S59</w:t>
                  </w:r>
                </w:p>
              </w:tc>
              <w:tc>
                <w:tcPr>
                  <w:tcW w:w="2010" w:type="dxa"/>
                  <w:gridSpan w:val="2"/>
                  <w:tcBorders>
                    <w:top w:val="single" w:color="auto" w:sz="4" w:space="0"/>
                    <w:left w:val="single" w:color="auto" w:sz="4" w:space="0"/>
                    <w:bottom w:val="single" w:color="auto" w:sz="4" w:space="0"/>
                    <w:right w:val="single" w:color="auto" w:sz="4" w:space="0"/>
                  </w:tcBorders>
                  <w:shd w:val="clear" w:color="auto" w:fill="auto"/>
                  <w:vAlign w:val="center"/>
                </w:tcPr>
                <w:p w14:paraId="563BC11A">
                  <w:pPr>
                    <w:keepNext w:val="0"/>
                    <w:keepLines w:val="0"/>
                    <w:widowControl w:val="0"/>
                    <w:suppressLineNumbers w:val="0"/>
                    <w:spacing w:before="0" w:beforeAutospacing="0" w:after="0" w:afterAutospacing="0"/>
                    <w:ind w:left="0" w:right="0"/>
                    <w:jc w:val="center"/>
                    <w:rPr>
                      <w:rFonts w:hint="default" w:ascii="Times New Roman" w:hAnsi="Times New Roman" w:eastAsia="宋体" w:cs="Times New Roman"/>
                      <w:color w:val="0000E1"/>
                      <w:kern w:val="2"/>
                      <w:sz w:val="21"/>
                      <w:szCs w:val="21"/>
                      <w:lang w:val="en-US"/>
                    </w:rPr>
                  </w:pPr>
                  <w:r>
                    <w:rPr>
                      <w:rFonts w:hint="eastAsia" w:ascii="Times New Roman" w:hAnsi="Times New Roman" w:eastAsia="宋体" w:cs="Times New Roman"/>
                      <w:color w:val="0000E1"/>
                      <w:kern w:val="2"/>
                      <w:sz w:val="21"/>
                      <w:szCs w:val="21"/>
                      <w:lang w:val="en-US" w:eastAsia="zh-CN" w:bidi="ar"/>
                    </w:rPr>
                    <w:t>0.096</w:t>
                  </w:r>
                </w:p>
              </w:tc>
              <w:tc>
                <w:tcPr>
                  <w:tcW w:w="1122" w:type="dxa"/>
                  <w:tcBorders>
                    <w:top w:val="single" w:color="auto" w:sz="4" w:space="0"/>
                    <w:left w:val="single" w:color="auto" w:sz="4" w:space="0"/>
                    <w:bottom w:val="single" w:color="auto" w:sz="4" w:space="0"/>
                    <w:right w:val="single" w:color="auto" w:sz="4" w:space="0"/>
                  </w:tcBorders>
                  <w:shd w:val="clear" w:color="auto" w:fill="auto"/>
                  <w:vAlign w:val="center"/>
                </w:tcPr>
                <w:p w14:paraId="2119572E">
                  <w:pPr>
                    <w:keepNext w:val="0"/>
                    <w:keepLines w:val="0"/>
                    <w:widowControl w:val="0"/>
                    <w:suppressLineNumbers w:val="0"/>
                    <w:spacing w:before="0" w:beforeAutospacing="0" w:after="0" w:afterAutospacing="0"/>
                    <w:ind w:left="0" w:right="0"/>
                    <w:jc w:val="center"/>
                    <w:rPr>
                      <w:rFonts w:hint="default" w:ascii="Times New Roman" w:hAnsi="Times New Roman" w:eastAsia="宋体" w:cs="Times New Roman"/>
                      <w:color w:val="auto"/>
                      <w:kern w:val="2"/>
                      <w:sz w:val="21"/>
                      <w:szCs w:val="21"/>
                    </w:rPr>
                  </w:pPr>
                  <w:r>
                    <w:rPr>
                      <w:rFonts w:hint="eastAsia" w:ascii="宋体" w:hAnsi="宋体" w:eastAsia="宋体" w:cs="宋体"/>
                      <w:color w:val="auto"/>
                      <w:kern w:val="2"/>
                      <w:sz w:val="21"/>
                      <w:szCs w:val="21"/>
                      <w:lang w:val="en-US" w:eastAsia="zh-CN" w:bidi="ar"/>
                    </w:rPr>
                    <w:t>废布袋</w:t>
                  </w:r>
                </w:p>
              </w:tc>
              <w:tc>
                <w:tcPr>
                  <w:tcW w:w="653" w:type="dxa"/>
                  <w:tcBorders>
                    <w:top w:val="single" w:color="auto" w:sz="4" w:space="0"/>
                    <w:left w:val="single" w:color="auto" w:sz="4" w:space="0"/>
                    <w:bottom w:val="single" w:color="auto" w:sz="4" w:space="0"/>
                    <w:right w:val="single" w:color="auto" w:sz="4" w:space="0"/>
                  </w:tcBorders>
                  <w:shd w:val="clear" w:color="auto" w:fill="auto"/>
                  <w:vAlign w:val="center"/>
                </w:tcPr>
                <w:p w14:paraId="5A6C1AE4">
                  <w:pPr>
                    <w:keepNext w:val="0"/>
                    <w:keepLines w:val="0"/>
                    <w:widowControl w:val="0"/>
                    <w:suppressLineNumbers w:val="0"/>
                    <w:spacing w:before="0" w:beforeAutospacing="0" w:after="0" w:afterAutospacing="0"/>
                    <w:ind w:left="0" w:right="0"/>
                    <w:jc w:val="center"/>
                    <w:rPr>
                      <w:rFonts w:hint="default" w:ascii="Times New Roman" w:hAnsi="Times New Roman" w:eastAsia="宋体" w:cs="Times New Roman"/>
                      <w:color w:val="auto"/>
                      <w:kern w:val="2"/>
                      <w:sz w:val="21"/>
                      <w:szCs w:val="21"/>
                    </w:rPr>
                  </w:pPr>
                  <w:r>
                    <w:rPr>
                      <w:rFonts w:hint="default" w:ascii="Times New Roman" w:hAnsi="Times New Roman" w:eastAsia="宋体" w:cs="Times New Roman"/>
                      <w:color w:val="auto"/>
                      <w:kern w:val="2"/>
                      <w:sz w:val="21"/>
                      <w:szCs w:val="21"/>
                      <w:lang w:val="en-US" w:eastAsia="zh-CN" w:bidi="ar"/>
                    </w:rPr>
                    <w:t>1年</w:t>
                  </w:r>
                </w:p>
              </w:tc>
              <w:tc>
                <w:tcPr>
                  <w:tcW w:w="650" w:type="dxa"/>
                  <w:vMerge w:val="continue"/>
                  <w:tcBorders>
                    <w:left w:val="single" w:color="auto" w:sz="4" w:space="0"/>
                    <w:right w:val="single" w:color="auto" w:sz="4" w:space="0"/>
                  </w:tcBorders>
                  <w:shd w:val="clear" w:color="auto" w:fill="auto"/>
                  <w:vAlign w:val="center"/>
                </w:tcPr>
                <w:p w14:paraId="2D380C83">
                  <w:pPr>
                    <w:keepNext w:val="0"/>
                    <w:keepLines w:val="0"/>
                    <w:suppressLineNumbers w:val="0"/>
                    <w:spacing w:before="0" w:beforeAutospacing="0" w:after="0" w:afterAutospacing="0"/>
                    <w:ind w:left="0" w:right="0"/>
                    <w:jc w:val="center"/>
                    <w:rPr>
                      <w:rFonts w:hint="default" w:ascii="Times New Roman" w:hAnsi="Times New Roman" w:cs="Times New Roman"/>
                      <w:color w:val="auto"/>
                      <w:sz w:val="20"/>
                      <w:szCs w:val="20"/>
                    </w:rPr>
                  </w:pPr>
                </w:p>
              </w:tc>
              <w:tc>
                <w:tcPr>
                  <w:tcW w:w="1507" w:type="dxa"/>
                  <w:vMerge w:val="continue"/>
                  <w:tcBorders>
                    <w:left w:val="single" w:color="auto" w:sz="4" w:space="0"/>
                    <w:right w:val="single" w:color="auto" w:sz="4" w:space="0"/>
                  </w:tcBorders>
                  <w:shd w:val="clear" w:color="auto" w:fill="auto"/>
                  <w:vAlign w:val="center"/>
                </w:tcPr>
                <w:p w14:paraId="6BD6C991">
                  <w:pPr>
                    <w:keepNext w:val="0"/>
                    <w:keepLines w:val="0"/>
                    <w:suppressLineNumbers w:val="0"/>
                    <w:spacing w:before="0" w:beforeAutospacing="0" w:after="0" w:afterAutospacing="0"/>
                    <w:ind w:left="0" w:right="0"/>
                    <w:jc w:val="center"/>
                    <w:rPr>
                      <w:rFonts w:hint="default" w:ascii="Times New Roman" w:hAnsi="Times New Roman" w:cs="Times New Roman"/>
                      <w:color w:val="auto"/>
                      <w:sz w:val="20"/>
                      <w:szCs w:val="20"/>
                    </w:rPr>
                  </w:pPr>
                </w:p>
              </w:tc>
            </w:tr>
            <w:tr w14:paraId="10632E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397" w:hRule="atLeast"/>
                <w:jc w:val="center"/>
              </w:trPr>
              <w:tc>
                <w:tcPr>
                  <w:tcW w:w="636" w:type="dxa"/>
                  <w:tcBorders>
                    <w:top w:val="single" w:color="auto" w:sz="4" w:space="0"/>
                    <w:left w:val="single" w:color="auto" w:sz="4" w:space="0"/>
                    <w:bottom w:val="single" w:color="auto" w:sz="4" w:space="0"/>
                    <w:right w:val="single" w:color="auto" w:sz="4" w:space="0"/>
                  </w:tcBorders>
                  <w:shd w:val="clear" w:color="auto" w:fill="auto"/>
                  <w:vAlign w:val="center"/>
                </w:tcPr>
                <w:p w14:paraId="39DEF7EF">
                  <w:pPr>
                    <w:keepNext w:val="0"/>
                    <w:keepLines w:val="0"/>
                    <w:widowControl w:val="0"/>
                    <w:suppressLineNumbers w:val="0"/>
                    <w:spacing w:before="0" w:beforeAutospacing="0" w:after="0" w:afterAutospacing="0"/>
                    <w:ind w:left="0" w:leftChars="0" w:right="0" w:rightChars="0"/>
                    <w:jc w:val="center"/>
                    <w:rPr>
                      <w:rFonts w:hint="eastAsia" w:ascii="Times New Roman" w:hAnsi="Times New Roman" w:eastAsia="宋体" w:cs="Times New Roman"/>
                      <w:color w:val="0000E1"/>
                      <w:kern w:val="2"/>
                      <w:sz w:val="21"/>
                      <w:szCs w:val="21"/>
                      <w:lang w:val="en-US" w:eastAsia="zh-CN" w:bidi="ar-SA"/>
                    </w:rPr>
                  </w:pPr>
                  <w:r>
                    <w:rPr>
                      <w:rFonts w:hint="default" w:ascii="Times New Roman" w:hAnsi="Times New Roman" w:eastAsia="宋体" w:cs="Times New Roman"/>
                      <w:color w:val="0000E1"/>
                      <w:kern w:val="2"/>
                      <w:sz w:val="21"/>
                      <w:szCs w:val="21"/>
                      <w:lang w:val="en-US" w:eastAsia="zh-CN" w:bidi="ar"/>
                    </w:rPr>
                    <w:t>9</w:t>
                  </w:r>
                </w:p>
              </w:tc>
              <w:tc>
                <w:tcPr>
                  <w:tcW w:w="1565" w:type="dxa"/>
                  <w:tcBorders>
                    <w:top w:val="single" w:color="auto" w:sz="4" w:space="0"/>
                    <w:left w:val="single" w:color="auto" w:sz="4" w:space="0"/>
                    <w:bottom w:val="single" w:color="auto" w:sz="4" w:space="0"/>
                    <w:right w:val="single" w:color="auto" w:sz="4" w:space="0"/>
                  </w:tcBorders>
                  <w:shd w:val="clear" w:color="auto" w:fill="auto"/>
                  <w:vAlign w:val="center"/>
                </w:tcPr>
                <w:p w14:paraId="4E2082E4">
                  <w:pPr>
                    <w:keepNext w:val="0"/>
                    <w:keepLines w:val="0"/>
                    <w:suppressLineNumbers w:val="0"/>
                    <w:spacing w:before="0" w:beforeAutospacing="0" w:after="0" w:afterAutospacing="0"/>
                    <w:ind w:left="0" w:leftChars="0" w:right="0" w:rightChars="0"/>
                    <w:jc w:val="center"/>
                    <w:rPr>
                      <w:rFonts w:hint="eastAsia" w:ascii="Times New Roman" w:hAnsi="Times New Roman" w:eastAsia="宋体" w:cs="Times New Roman"/>
                      <w:color w:val="0000E1"/>
                      <w:kern w:val="2"/>
                      <w:sz w:val="21"/>
                      <w:szCs w:val="21"/>
                      <w:lang w:val="en-US" w:eastAsia="zh-CN" w:bidi="ar-SA"/>
                    </w:rPr>
                  </w:pPr>
                  <w:r>
                    <w:rPr>
                      <w:rFonts w:hint="default" w:ascii="Times New Roman" w:hAnsi="Times New Roman" w:eastAsia="宋体" w:cs="Times New Roman"/>
                      <w:color w:val="0000E1"/>
                      <w:szCs w:val="21"/>
                      <w:lang w:val="en-US" w:eastAsia="zh-CN"/>
                    </w:rPr>
                    <w:t>废滤筒</w:t>
                  </w:r>
                </w:p>
              </w:tc>
              <w:tc>
                <w:tcPr>
                  <w:tcW w:w="2535" w:type="dxa"/>
                  <w:gridSpan w:val="2"/>
                  <w:tcBorders>
                    <w:top w:val="single" w:color="auto" w:sz="4" w:space="0"/>
                    <w:left w:val="single" w:color="auto" w:sz="4" w:space="0"/>
                    <w:bottom w:val="single" w:color="auto" w:sz="4" w:space="0"/>
                    <w:right w:val="single" w:color="auto" w:sz="4" w:space="0"/>
                  </w:tcBorders>
                  <w:shd w:val="clear" w:color="auto" w:fill="auto"/>
                  <w:vAlign w:val="center"/>
                </w:tcPr>
                <w:p w14:paraId="6109CD10">
                  <w:pPr>
                    <w:keepNext w:val="0"/>
                    <w:keepLines w:val="0"/>
                    <w:suppressLineNumbers w:val="0"/>
                    <w:spacing w:before="0" w:beforeAutospacing="0" w:after="0" w:afterAutospacing="0"/>
                    <w:ind w:left="0" w:leftChars="0" w:right="0" w:rightChars="0"/>
                    <w:jc w:val="center"/>
                    <w:rPr>
                      <w:rFonts w:hint="eastAsia" w:ascii="Times New Roman" w:hAnsi="Times New Roman" w:eastAsia="宋体" w:cs="Times New Roman"/>
                      <w:color w:val="0000E1"/>
                      <w:kern w:val="2"/>
                      <w:sz w:val="21"/>
                      <w:szCs w:val="21"/>
                      <w:lang w:val="en-US" w:eastAsia="zh-CN" w:bidi="ar-SA"/>
                    </w:rPr>
                  </w:pPr>
                  <w:r>
                    <w:rPr>
                      <w:rFonts w:hint="default" w:ascii="Times New Roman" w:hAnsi="Times New Roman" w:eastAsia="宋体" w:cs="Times New Roman"/>
                      <w:color w:val="0000E1"/>
                      <w:szCs w:val="21"/>
                    </w:rPr>
                    <w:t>废气处理</w:t>
                  </w:r>
                </w:p>
              </w:tc>
              <w:tc>
                <w:tcPr>
                  <w:tcW w:w="661" w:type="dxa"/>
                  <w:tcBorders>
                    <w:top w:val="single" w:color="auto" w:sz="4" w:space="0"/>
                    <w:left w:val="single" w:color="auto" w:sz="4" w:space="0"/>
                    <w:bottom w:val="single" w:color="auto" w:sz="4" w:space="0"/>
                    <w:right w:val="single" w:color="auto" w:sz="4" w:space="0"/>
                  </w:tcBorders>
                  <w:shd w:val="clear" w:color="auto" w:fill="auto"/>
                  <w:vAlign w:val="center"/>
                </w:tcPr>
                <w:p w14:paraId="2A46A823">
                  <w:pPr>
                    <w:keepNext w:val="0"/>
                    <w:keepLines w:val="0"/>
                    <w:widowControl w:val="0"/>
                    <w:suppressLineNumbers w:val="0"/>
                    <w:spacing w:before="0" w:beforeAutospacing="0" w:after="0" w:afterAutospacing="0"/>
                    <w:ind w:left="0" w:right="0"/>
                    <w:jc w:val="center"/>
                    <w:rPr>
                      <w:rFonts w:hint="eastAsia" w:ascii="宋体" w:hAnsi="宋体" w:eastAsia="宋体" w:cs="宋体"/>
                      <w:color w:val="0000E1"/>
                      <w:kern w:val="2"/>
                      <w:sz w:val="21"/>
                      <w:szCs w:val="21"/>
                      <w:lang w:val="en-US" w:eastAsia="zh-CN" w:bidi="ar"/>
                    </w:rPr>
                  </w:pPr>
                  <w:r>
                    <w:rPr>
                      <w:rFonts w:hint="eastAsia" w:ascii="宋体" w:hAnsi="宋体" w:eastAsia="宋体" w:cs="宋体"/>
                      <w:color w:val="0000E1"/>
                      <w:kern w:val="2"/>
                      <w:sz w:val="21"/>
                      <w:szCs w:val="21"/>
                      <w:lang w:val="en-US" w:eastAsia="zh-CN" w:bidi="ar"/>
                    </w:rPr>
                    <w:t>固态</w:t>
                  </w:r>
                </w:p>
              </w:tc>
              <w:tc>
                <w:tcPr>
                  <w:tcW w:w="554" w:type="dxa"/>
                  <w:vMerge w:val="continue"/>
                  <w:tcBorders>
                    <w:left w:val="single" w:color="auto" w:sz="4" w:space="0"/>
                    <w:bottom w:val="single" w:color="auto" w:sz="4" w:space="0"/>
                    <w:right w:val="single" w:color="auto" w:sz="4" w:space="0"/>
                  </w:tcBorders>
                  <w:shd w:val="clear" w:color="auto" w:fill="auto"/>
                  <w:vAlign w:val="center"/>
                </w:tcPr>
                <w:p w14:paraId="1B2042EE">
                  <w:pPr>
                    <w:keepNext w:val="0"/>
                    <w:keepLines w:val="0"/>
                    <w:suppressLineNumbers w:val="0"/>
                    <w:spacing w:before="0" w:beforeAutospacing="0" w:after="0" w:afterAutospacing="0"/>
                    <w:ind w:left="0" w:right="0"/>
                    <w:jc w:val="center"/>
                    <w:rPr>
                      <w:rFonts w:hint="default" w:ascii="Times New Roman" w:hAnsi="Times New Roman" w:cs="Times New Roman"/>
                      <w:color w:val="0000E1"/>
                      <w:sz w:val="20"/>
                      <w:szCs w:val="20"/>
                    </w:rPr>
                  </w:pPr>
                </w:p>
              </w:tc>
              <w:tc>
                <w:tcPr>
                  <w:tcW w:w="1365" w:type="dxa"/>
                  <w:tcBorders>
                    <w:top w:val="nil"/>
                    <w:left w:val="single" w:color="auto" w:sz="4" w:space="0"/>
                    <w:bottom w:val="single" w:color="auto" w:sz="4" w:space="0"/>
                    <w:right w:val="single" w:color="auto" w:sz="4" w:space="0"/>
                  </w:tcBorders>
                  <w:shd w:val="clear" w:color="auto" w:fill="auto"/>
                  <w:vAlign w:val="center"/>
                </w:tcPr>
                <w:p w14:paraId="5ACB0B6B">
                  <w:pPr>
                    <w:keepNext w:val="0"/>
                    <w:keepLines w:val="0"/>
                    <w:suppressLineNumbers w:val="0"/>
                    <w:spacing w:before="0" w:beforeAutospacing="0" w:after="0" w:afterAutospacing="0"/>
                    <w:ind w:left="0" w:right="0"/>
                    <w:jc w:val="center"/>
                    <w:rPr>
                      <w:rFonts w:hint="default" w:ascii="Times New Roman" w:hAnsi="Times New Roman" w:cs="Times New Roman"/>
                      <w:color w:val="0000E1"/>
                      <w:sz w:val="20"/>
                      <w:szCs w:val="20"/>
                      <w:lang w:val="en-US" w:eastAsia="zh-CN"/>
                    </w:rPr>
                  </w:pPr>
                  <w:r>
                    <w:rPr>
                      <w:rFonts w:hint="default" w:ascii="Times New Roman" w:hAnsi="Times New Roman" w:cs="Times New Roman"/>
                      <w:color w:val="0000E1"/>
                      <w:sz w:val="20"/>
                      <w:szCs w:val="20"/>
                      <w:lang w:val="en-US" w:eastAsia="zh-CN"/>
                    </w:rPr>
                    <w:t>SW59</w:t>
                  </w:r>
                </w:p>
                <w:p w14:paraId="5EC8F80A">
                  <w:pPr>
                    <w:keepNext w:val="0"/>
                    <w:keepLines w:val="0"/>
                    <w:suppressLineNumbers w:val="0"/>
                    <w:spacing w:before="0" w:beforeAutospacing="0" w:after="0" w:afterAutospacing="0"/>
                    <w:ind w:left="0" w:right="0"/>
                    <w:jc w:val="center"/>
                    <w:rPr>
                      <w:rFonts w:hint="default" w:ascii="Times New Roman" w:hAnsi="Times New Roman" w:cs="Times New Roman"/>
                      <w:color w:val="0000E1"/>
                      <w:sz w:val="20"/>
                      <w:szCs w:val="20"/>
                      <w:lang w:val="en-US" w:eastAsia="zh-CN"/>
                    </w:rPr>
                  </w:pPr>
                  <w:r>
                    <w:rPr>
                      <w:rFonts w:hint="default" w:ascii="Times New Roman" w:hAnsi="Times New Roman" w:cs="Times New Roman"/>
                      <w:color w:val="0000E1"/>
                      <w:sz w:val="20"/>
                      <w:szCs w:val="20"/>
                      <w:lang w:val="en-US" w:eastAsia="zh-CN"/>
                    </w:rPr>
                    <w:t>900-009-S59</w:t>
                  </w:r>
                </w:p>
              </w:tc>
              <w:tc>
                <w:tcPr>
                  <w:tcW w:w="2010" w:type="dxa"/>
                  <w:gridSpan w:val="2"/>
                  <w:tcBorders>
                    <w:top w:val="single" w:color="auto" w:sz="4" w:space="0"/>
                    <w:left w:val="single" w:color="auto" w:sz="4" w:space="0"/>
                    <w:bottom w:val="single" w:color="auto" w:sz="4" w:space="0"/>
                    <w:right w:val="single" w:color="auto" w:sz="4" w:space="0"/>
                  </w:tcBorders>
                  <w:shd w:val="clear" w:color="auto" w:fill="auto"/>
                  <w:vAlign w:val="center"/>
                </w:tcPr>
                <w:p w14:paraId="35D04490">
                  <w:pPr>
                    <w:keepNext w:val="0"/>
                    <w:keepLines w:val="0"/>
                    <w:widowControl w:val="0"/>
                    <w:suppressLineNumbers w:val="0"/>
                    <w:spacing w:before="0" w:beforeAutospacing="0" w:after="0" w:afterAutospacing="0"/>
                    <w:ind w:left="0" w:right="0"/>
                    <w:jc w:val="center"/>
                    <w:rPr>
                      <w:rFonts w:hint="default" w:ascii="Times New Roman" w:hAnsi="Times New Roman" w:eastAsia="宋体" w:cs="Times New Roman"/>
                      <w:color w:val="0000E1"/>
                      <w:kern w:val="2"/>
                      <w:sz w:val="21"/>
                      <w:szCs w:val="21"/>
                      <w:lang w:val="en-US" w:eastAsia="zh-CN" w:bidi="ar"/>
                    </w:rPr>
                  </w:pPr>
                  <w:r>
                    <w:rPr>
                      <w:rFonts w:hint="eastAsia" w:ascii="Times New Roman" w:hAnsi="Times New Roman" w:eastAsia="宋体" w:cs="Times New Roman"/>
                      <w:color w:val="0000E1"/>
                      <w:kern w:val="2"/>
                      <w:sz w:val="21"/>
                      <w:szCs w:val="21"/>
                      <w:lang w:val="en-US" w:eastAsia="zh-CN" w:bidi="ar"/>
                    </w:rPr>
                    <w:t>0.04</w:t>
                  </w:r>
                </w:p>
              </w:tc>
              <w:tc>
                <w:tcPr>
                  <w:tcW w:w="1122" w:type="dxa"/>
                  <w:tcBorders>
                    <w:top w:val="single" w:color="auto" w:sz="4" w:space="0"/>
                    <w:left w:val="single" w:color="auto" w:sz="4" w:space="0"/>
                    <w:bottom w:val="single" w:color="auto" w:sz="4" w:space="0"/>
                    <w:right w:val="single" w:color="auto" w:sz="4" w:space="0"/>
                  </w:tcBorders>
                  <w:shd w:val="clear" w:color="auto" w:fill="auto"/>
                  <w:vAlign w:val="center"/>
                </w:tcPr>
                <w:p w14:paraId="4E5E1DB4">
                  <w:pPr>
                    <w:keepNext w:val="0"/>
                    <w:keepLines w:val="0"/>
                    <w:widowControl w:val="0"/>
                    <w:suppressLineNumbers w:val="0"/>
                    <w:spacing w:before="0" w:beforeAutospacing="0" w:after="0" w:afterAutospacing="0"/>
                    <w:ind w:left="0" w:right="0"/>
                    <w:jc w:val="center"/>
                    <w:rPr>
                      <w:rFonts w:hint="eastAsia" w:ascii="宋体" w:hAnsi="宋体" w:eastAsia="宋体" w:cs="宋体"/>
                      <w:color w:val="0000E1"/>
                      <w:kern w:val="2"/>
                      <w:sz w:val="21"/>
                      <w:szCs w:val="21"/>
                      <w:lang w:val="en-US" w:eastAsia="zh-CN" w:bidi="ar"/>
                    </w:rPr>
                  </w:pPr>
                  <w:r>
                    <w:rPr>
                      <w:rFonts w:hint="eastAsia" w:ascii="宋体" w:hAnsi="宋体" w:eastAsia="宋体" w:cs="宋体"/>
                      <w:color w:val="0000E1"/>
                      <w:kern w:val="2"/>
                      <w:sz w:val="21"/>
                      <w:szCs w:val="21"/>
                      <w:lang w:val="en-US" w:eastAsia="zh-CN" w:bidi="ar"/>
                    </w:rPr>
                    <w:t>废滤筒</w:t>
                  </w:r>
                </w:p>
              </w:tc>
              <w:tc>
                <w:tcPr>
                  <w:tcW w:w="653" w:type="dxa"/>
                  <w:tcBorders>
                    <w:top w:val="single" w:color="auto" w:sz="4" w:space="0"/>
                    <w:left w:val="single" w:color="auto" w:sz="4" w:space="0"/>
                    <w:bottom w:val="single" w:color="auto" w:sz="4" w:space="0"/>
                    <w:right w:val="single" w:color="auto" w:sz="4" w:space="0"/>
                  </w:tcBorders>
                  <w:shd w:val="clear" w:color="auto" w:fill="auto"/>
                  <w:vAlign w:val="center"/>
                </w:tcPr>
                <w:p w14:paraId="700CC373">
                  <w:pPr>
                    <w:keepNext w:val="0"/>
                    <w:keepLines w:val="0"/>
                    <w:widowControl w:val="0"/>
                    <w:suppressLineNumbers w:val="0"/>
                    <w:spacing w:before="0" w:beforeAutospacing="0" w:after="0" w:afterAutospacing="0"/>
                    <w:ind w:left="0" w:right="0"/>
                    <w:jc w:val="center"/>
                    <w:rPr>
                      <w:rFonts w:hint="default" w:ascii="Times New Roman" w:hAnsi="Times New Roman" w:eastAsia="宋体" w:cs="Times New Roman"/>
                      <w:color w:val="0000E1"/>
                      <w:kern w:val="2"/>
                      <w:sz w:val="21"/>
                      <w:szCs w:val="21"/>
                      <w:lang w:val="en-US" w:eastAsia="zh-CN" w:bidi="ar"/>
                    </w:rPr>
                  </w:pPr>
                  <w:r>
                    <w:rPr>
                      <w:rFonts w:hint="default" w:ascii="Times New Roman" w:hAnsi="Times New Roman" w:eastAsia="宋体" w:cs="Times New Roman"/>
                      <w:color w:val="0000E1"/>
                      <w:kern w:val="2"/>
                      <w:sz w:val="21"/>
                      <w:szCs w:val="21"/>
                      <w:lang w:val="en-US" w:eastAsia="zh-CN" w:bidi="ar"/>
                    </w:rPr>
                    <w:t>1年</w:t>
                  </w:r>
                </w:p>
              </w:tc>
              <w:tc>
                <w:tcPr>
                  <w:tcW w:w="650" w:type="dxa"/>
                  <w:vMerge w:val="continue"/>
                  <w:tcBorders>
                    <w:left w:val="single" w:color="auto" w:sz="4" w:space="0"/>
                    <w:bottom w:val="single" w:color="auto" w:sz="4" w:space="0"/>
                    <w:right w:val="single" w:color="auto" w:sz="4" w:space="0"/>
                  </w:tcBorders>
                  <w:shd w:val="clear" w:color="auto" w:fill="auto"/>
                  <w:vAlign w:val="center"/>
                </w:tcPr>
                <w:p w14:paraId="0AE87710">
                  <w:pPr>
                    <w:keepNext w:val="0"/>
                    <w:keepLines w:val="0"/>
                    <w:suppressLineNumbers w:val="0"/>
                    <w:spacing w:before="0" w:beforeAutospacing="0" w:after="0" w:afterAutospacing="0"/>
                    <w:ind w:left="0" w:right="0"/>
                    <w:jc w:val="center"/>
                    <w:rPr>
                      <w:rFonts w:hint="default" w:ascii="Times New Roman" w:hAnsi="Times New Roman" w:cs="Times New Roman"/>
                      <w:color w:val="auto"/>
                      <w:sz w:val="20"/>
                      <w:szCs w:val="20"/>
                    </w:rPr>
                  </w:pPr>
                </w:p>
              </w:tc>
              <w:tc>
                <w:tcPr>
                  <w:tcW w:w="1507" w:type="dxa"/>
                  <w:vMerge w:val="continue"/>
                  <w:tcBorders>
                    <w:left w:val="single" w:color="auto" w:sz="4" w:space="0"/>
                    <w:right w:val="single" w:color="auto" w:sz="4" w:space="0"/>
                  </w:tcBorders>
                  <w:shd w:val="clear" w:color="auto" w:fill="auto"/>
                  <w:vAlign w:val="center"/>
                </w:tcPr>
                <w:p w14:paraId="340E9196">
                  <w:pPr>
                    <w:keepNext w:val="0"/>
                    <w:keepLines w:val="0"/>
                    <w:suppressLineNumbers w:val="0"/>
                    <w:spacing w:before="0" w:beforeAutospacing="0" w:after="0" w:afterAutospacing="0"/>
                    <w:ind w:left="0" w:right="0"/>
                    <w:jc w:val="center"/>
                    <w:rPr>
                      <w:rFonts w:hint="default" w:ascii="Times New Roman" w:hAnsi="Times New Roman" w:cs="Times New Roman"/>
                      <w:color w:val="auto"/>
                      <w:sz w:val="20"/>
                      <w:szCs w:val="20"/>
                    </w:rPr>
                  </w:pPr>
                </w:p>
              </w:tc>
            </w:tr>
            <w:tr w14:paraId="5399DE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397" w:hRule="atLeast"/>
                <w:jc w:val="center"/>
              </w:trPr>
              <w:tc>
                <w:tcPr>
                  <w:tcW w:w="636" w:type="dxa"/>
                  <w:tcBorders>
                    <w:top w:val="single" w:color="auto" w:sz="4" w:space="0"/>
                    <w:left w:val="single" w:color="auto" w:sz="4" w:space="0"/>
                    <w:bottom w:val="single" w:color="auto" w:sz="4" w:space="0"/>
                    <w:right w:val="single" w:color="auto" w:sz="4" w:space="0"/>
                  </w:tcBorders>
                  <w:shd w:val="clear" w:color="auto" w:fill="auto"/>
                  <w:vAlign w:val="center"/>
                </w:tcPr>
                <w:p w14:paraId="3F97C6DE">
                  <w:pPr>
                    <w:keepNext w:val="0"/>
                    <w:keepLines w:val="0"/>
                    <w:widowControl w:val="0"/>
                    <w:suppressLineNumbers w:val="0"/>
                    <w:spacing w:before="0" w:beforeAutospacing="0" w:after="0" w:afterAutospacing="0"/>
                    <w:ind w:left="0" w:leftChars="0" w:right="0" w:rightChars="0"/>
                    <w:jc w:val="center"/>
                    <w:rPr>
                      <w:rFonts w:hint="default" w:ascii="Times New Roman" w:hAnsi="Times New Roman" w:eastAsia="宋体" w:cs="Times New Roman"/>
                      <w:color w:val="auto"/>
                      <w:kern w:val="2"/>
                      <w:sz w:val="21"/>
                      <w:szCs w:val="21"/>
                      <w:lang w:val="en-US" w:eastAsia="zh-CN" w:bidi="ar-SA"/>
                    </w:rPr>
                  </w:pPr>
                  <w:r>
                    <w:rPr>
                      <w:rFonts w:hint="default" w:ascii="Times New Roman" w:hAnsi="Times New Roman" w:eastAsia="宋体" w:cs="Times New Roman"/>
                      <w:color w:val="auto"/>
                      <w:kern w:val="2"/>
                      <w:sz w:val="21"/>
                      <w:szCs w:val="21"/>
                      <w:lang w:val="en-US" w:eastAsia="zh-CN" w:bidi="ar"/>
                    </w:rPr>
                    <w:t>10</w:t>
                  </w:r>
                </w:p>
              </w:tc>
              <w:tc>
                <w:tcPr>
                  <w:tcW w:w="1565" w:type="dxa"/>
                  <w:tcBorders>
                    <w:top w:val="single" w:color="auto" w:sz="4" w:space="0"/>
                    <w:left w:val="single" w:color="auto" w:sz="4" w:space="0"/>
                    <w:bottom w:val="single" w:color="auto" w:sz="4" w:space="0"/>
                    <w:right w:val="single" w:color="auto" w:sz="4" w:space="0"/>
                  </w:tcBorders>
                  <w:shd w:val="clear" w:color="auto" w:fill="auto"/>
                  <w:vAlign w:val="center"/>
                </w:tcPr>
                <w:p w14:paraId="72AD614F">
                  <w:pPr>
                    <w:keepNext w:val="0"/>
                    <w:keepLines w:val="0"/>
                    <w:widowControl w:val="0"/>
                    <w:suppressLineNumbers w:val="0"/>
                    <w:spacing w:before="0" w:beforeAutospacing="0" w:after="0" w:afterAutospacing="0"/>
                    <w:ind w:left="0" w:leftChars="0" w:right="0" w:rightChars="0"/>
                    <w:jc w:val="center"/>
                    <w:rPr>
                      <w:rFonts w:hint="default" w:ascii="Times New Roman" w:hAnsi="Times New Roman" w:eastAsia="宋体" w:cs="Times New Roman"/>
                      <w:color w:val="auto"/>
                      <w:kern w:val="2"/>
                      <w:sz w:val="21"/>
                      <w:szCs w:val="21"/>
                    </w:rPr>
                  </w:pPr>
                  <w:r>
                    <w:rPr>
                      <w:rFonts w:hint="eastAsia" w:ascii="宋体" w:hAnsi="宋体" w:eastAsia="宋体" w:cs="宋体"/>
                      <w:color w:val="auto"/>
                      <w:kern w:val="2"/>
                      <w:sz w:val="21"/>
                      <w:szCs w:val="21"/>
                      <w:lang w:val="en-US" w:eastAsia="zh-CN" w:bidi="ar"/>
                    </w:rPr>
                    <w:t>破损的废包装桶</w:t>
                  </w:r>
                </w:p>
              </w:tc>
              <w:tc>
                <w:tcPr>
                  <w:tcW w:w="2535" w:type="dxa"/>
                  <w:gridSpan w:val="2"/>
                  <w:tcBorders>
                    <w:top w:val="single" w:color="auto" w:sz="4" w:space="0"/>
                    <w:left w:val="single" w:color="auto" w:sz="4" w:space="0"/>
                    <w:bottom w:val="single" w:color="auto" w:sz="4" w:space="0"/>
                    <w:right w:val="single" w:color="auto" w:sz="4" w:space="0"/>
                  </w:tcBorders>
                  <w:shd w:val="clear" w:color="auto" w:fill="auto"/>
                  <w:vAlign w:val="center"/>
                </w:tcPr>
                <w:p w14:paraId="6B2EE944">
                  <w:pPr>
                    <w:keepNext w:val="0"/>
                    <w:keepLines w:val="0"/>
                    <w:widowControl w:val="0"/>
                    <w:suppressLineNumbers w:val="0"/>
                    <w:spacing w:before="0" w:beforeAutospacing="0" w:after="0" w:afterAutospacing="0"/>
                    <w:ind w:left="0" w:leftChars="0" w:right="0" w:rightChars="0"/>
                    <w:jc w:val="center"/>
                    <w:rPr>
                      <w:rFonts w:hint="default" w:ascii="Times New Roman" w:hAnsi="Times New Roman" w:eastAsia="宋体" w:cs="Times New Roman"/>
                      <w:color w:val="auto"/>
                      <w:kern w:val="2"/>
                      <w:sz w:val="21"/>
                      <w:szCs w:val="21"/>
                    </w:rPr>
                  </w:pPr>
                  <w:r>
                    <w:rPr>
                      <w:rFonts w:hint="eastAsia" w:ascii="宋体" w:hAnsi="宋体" w:eastAsia="宋体" w:cs="宋体"/>
                      <w:color w:val="auto"/>
                      <w:kern w:val="2"/>
                      <w:sz w:val="21"/>
                      <w:szCs w:val="21"/>
                      <w:lang w:val="en-US" w:eastAsia="zh-CN" w:bidi="ar"/>
                    </w:rPr>
                    <w:t>原辅材料使用后</w:t>
                  </w:r>
                </w:p>
              </w:tc>
              <w:tc>
                <w:tcPr>
                  <w:tcW w:w="661" w:type="dxa"/>
                  <w:tcBorders>
                    <w:top w:val="single" w:color="auto" w:sz="4" w:space="0"/>
                    <w:left w:val="single" w:color="auto" w:sz="4" w:space="0"/>
                    <w:bottom w:val="single" w:color="auto" w:sz="4" w:space="0"/>
                    <w:right w:val="single" w:color="auto" w:sz="4" w:space="0"/>
                  </w:tcBorders>
                  <w:shd w:val="clear" w:color="auto" w:fill="auto"/>
                  <w:vAlign w:val="center"/>
                </w:tcPr>
                <w:p w14:paraId="5F81B8D9">
                  <w:pPr>
                    <w:keepNext w:val="0"/>
                    <w:keepLines w:val="0"/>
                    <w:widowControl w:val="0"/>
                    <w:suppressLineNumbers w:val="0"/>
                    <w:spacing w:before="0" w:beforeAutospacing="0" w:after="0" w:afterAutospacing="0"/>
                    <w:ind w:left="0" w:right="0"/>
                    <w:jc w:val="center"/>
                    <w:rPr>
                      <w:rFonts w:hint="default" w:ascii="Times New Roman" w:hAnsi="Times New Roman" w:eastAsia="宋体" w:cs="Times New Roman"/>
                      <w:color w:val="auto"/>
                      <w:kern w:val="2"/>
                      <w:sz w:val="21"/>
                      <w:szCs w:val="21"/>
                    </w:rPr>
                  </w:pPr>
                  <w:r>
                    <w:rPr>
                      <w:rFonts w:hint="eastAsia" w:ascii="宋体" w:hAnsi="宋体" w:eastAsia="宋体" w:cs="宋体"/>
                      <w:color w:val="auto"/>
                      <w:kern w:val="2"/>
                      <w:sz w:val="21"/>
                      <w:szCs w:val="21"/>
                      <w:lang w:val="en-US" w:eastAsia="zh-CN" w:bidi="ar"/>
                    </w:rPr>
                    <w:t>固态</w:t>
                  </w:r>
                </w:p>
              </w:tc>
              <w:tc>
                <w:tcPr>
                  <w:tcW w:w="554" w:type="dxa"/>
                  <w:vMerge w:val="restart"/>
                  <w:tcBorders>
                    <w:top w:val="nil"/>
                    <w:left w:val="single" w:color="auto" w:sz="4" w:space="0"/>
                    <w:bottom w:val="single" w:color="auto" w:sz="4" w:space="0"/>
                    <w:right w:val="single" w:color="auto" w:sz="4" w:space="0"/>
                  </w:tcBorders>
                  <w:shd w:val="clear" w:color="auto" w:fill="auto"/>
                  <w:vAlign w:val="center"/>
                </w:tcPr>
                <w:p w14:paraId="1CDE2A24">
                  <w:pPr>
                    <w:keepNext w:val="0"/>
                    <w:keepLines w:val="0"/>
                    <w:widowControl w:val="0"/>
                    <w:suppressLineNumbers w:val="0"/>
                    <w:spacing w:before="0" w:beforeAutospacing="0" w:after="0" w:afterAutospacing="0"/>
                    <w:ind w:left="0" w:right="0"/>
                    <w:jc w:val="center"/>
                    <w:rPr>
                      <w:rFonts w:hint="default" w:ascii="Times New Roman" w:hAnsi="Times New Roman" w:eastAsia="宋体" w:cs="Times New Roman"/>
                      <w:color w:val="auto"/>
                      <w:kern w:val="2"/>
                      <w:sz w:val="21"/>
                      <w:szCs w:val="21"/>
                    </w:rPr>
                  </w:pPr>
                  <w:r>
                    <w:rPr>
                      <w:rFonts w:hint="eastAsia" w:ascii="宋体" w:hAnsi="宋体" w:eastAsia="宋体" w:cs="宋体"/>
                      <w:color w:val="auto"/>
                      <w:kern w:val="2"/>
                      <w:sz w:val="21"/>
                      <w:szCs w:val="21"/>
                      <w:lang w:val="en-US" w:eastAsia="zh-CN" w:bidi="ar"/>
                    </w:rPr>
                    <w:t>危险废物</w:t>
                  </w:r>
                </w:p>
              </w:tc>
              <w:tc>
                <w:tcPr>
                  <w:tcW w:w="1365" w:type="dxa"/>
                  <w:tcBorders>
                    <w:top w:val="single" w:color="auto" w:sz="4" w:space="0"/>
                    <w:left w:val="single" w:color="auto" w:sz="4" w:space="0"/>
                    <w:bottom w:val="single" w:color="auto" w:sz="4" w:space="0"/>
                    <w:right w:val="single" w:color="auto" w:sz="4" w:space="0"/>
                  </w:tcBorders>
                  <w:shd w:val="clear" w:color="auto" w:fill="auto"/>
                  <w:vAlign w:val="center"/>
                </w:tcPr>
                <w:p w14:paraId="10C71CC4">
                  <w:pPr>
                    <w:keepNext w:val="0"/>
                    <w:keepLines w:val="0"/>
                    <w:widowControl w:val="0"/>
                    <w:suppressLineNumbers w:val="0"/>
                    <w:spacing w:before="0" w:beforeAutospacing="0" w:after="0" w:afterAutospacing="0"/>
                    <w:ind w:left="0" w:right="0"/>
                    <w:jc w:val="center"/>
                    <w:rPr>
                      <w:rFonts w:hint="default" w:ascii="Times New Roman" w:hAnsi="Times New Roman" w:eastAsia="宋体" w:cs="Times New Roman"/>
                      <w:color w:val="auto"/>
                      <w:kern w:val="2"/>
                      <w:sz w:val="21"/>
                      <w:szCs w:val="21"/>
                      <w:lang w:val="en-US" w:eastAsia="zh-CN" w:bidi="ar"/>
                    </w:rPr>
                  </w:pPr>
                  <w:r>
                    <w:rPr>
                      <w:rFonts w:hint="default" w:ascii="Times New Roman" w:hAnsi="Times New Roman" w:eastAsia="宋体" w:cs="Times New Roman"/>
                      <w:color w:val="auto"/>
                      <w:kern w:val="2"/>
                      <w:sz w:val="21"/>
                      <w:szCs w:val="21"/>
                      <w:lang w:val="en-US" w:eastAsia="zh-CN" w:bidi="ar"/>
                    </w:rPr>
                    <w:t>HW49</w:t>
                  </w:r>
                </w:p>
                <w:p w14:paraId="6F60CE3A">
                  <w:pPr>
                    <w:keepNext w:val="0"/>
                    <w:keepLines w:val="0"/>
                    <w:widowControl w:val="0"/>
                    <w:suppressLineNumbers w:val="0"/>
                    <w:spacing w:before="0" w:beforeAutospacing="0" w:after="0" w:afterAutospacing="0"/>
                    <w:ind w:left="0" w:right="0"/>
                    <w:jc w:val="center"/>
                    <w:rPr>
                      <w:rFonts w:hint="default" w:ascii="Times New Roman" w:hAnsi="Times New Roman" w:eastAsia="宋体" w:cs="Times New Roman"/>
                      <w:color w:val="auto"/>
                      <w:kern w:val="2"/>
                      <w:sz w:val="21"/>
                      <w:szCs w:val="21"/>
                    </w:rPr>
                  </w:pPr>
                  <w:r>
                    <w:rPr>
                      <w:rFonts w:hint="default" w:ascii="Times New Roman" w:hAnsi="Times New Roman" w:eastAsia="宋体" w:cs="Times New Roman"/>
                      <w:color w:val="auto"/>
                      <w:kern w:val="2"/>
                      <w:sz w:val="21"/>
                      <w:szCs w:val="21"/>
                      <w:lang w:val="en-US" w:eastAsia="zh-CN" w:bidi="ar"/>
                    </w:rPr>
                    <w:t>900-041-49</w:t>
                  </w:r>
                </w:p>
              </w:tc>
              <w:tc>
                <w:tcPr>
                  <w:tcW w:w="2010" w:type="dxa"/>
                  <w:gridSpan w:val="2"/>
                  <w:tcBorders>
                    <w:top w:val="single" w:color="auto" w:sz="4" w:space="0"/>
                    <w:left w:val="single" w:color="auto" w:sz="4" w:space="0"/>
                    <w:bottom w:val="single" w:color="auto" w:sz="4" w:space="0"/>
                    <w:right w:val="single" w:color="auto" w:sz="4" w:space="0"/>
                  </w:tcBorders>
                  <w:shd w:val="clear" w:color="auto" w:fill="auto"/>
                  <w:vAlign w:val="center"/>
                </w:tcPr>
                <w:p w14:paraId="34C40F9D">
                  <w:pPr>
                    <w:keepNext w:val="0"/>
                    <w:keepLines w:val="0"/>
                    <w:widowControl w:val="0"/>
                    <w:suppressLineNumbers w:val="0"/>
                    <w:spacing w:before="0" w:beforeAutospacing="0" w:after="0" w:afterAutospacing="0"/>
                    <w:ind w:left="0" w:right="0"/>
                    <w:jc w:val="center"/>
                    <w:rPr>
                      <w:rFonts w:hint="default" w:ascii="Times New Roman" w:hAnsi="Times New Roman" w:eastAsia="宋体" w:cs="Times New Roman"/>
                      <w:color w:val="auto"/>
                      <w:kern w:val="2"/>
                      <w:sz w:val="21"/>
                      <w:szCs w:val="21"/>
                      <w:lang w:val="en-US"/>
                    </w:rPr>
                  </w:pPr>
                  <w:r>
                    <w:rPr>
                      <w:rFonts w:hint="eastAsia" w:ascii="Times New Roman" w:hAnsi="Times New Roman" w:eastAsia="宋体" w:cs="Times New Roman"/>
                      <w:color w:val="auto"/>
                      <w:kern w:val="2"/>
                      <w:sz w:val="21"/>
                      <w:szCs w:val="21"/>
                      <w:lang w:val="en-US" w:eastAsia="zh-CN" w:bidi="ar"/>
                    </w:rPr>
                    <w:t>12</w:t>
                  </w:r>
                </w:p>
              </w:tc>
              <w:tc>
                <w:tcPr>
                  <w:tcW w:w="1122" w:type="dxa"/>
                  <w:tcBorders>
                    <w:top w:val="single" w:color="auto" w:sz="4" w:space="0"/>
                    <w:left w:val="single" w:color="auto" w:sz="4" w:space="0"/>
                    <w:bottom w:val="single" w:color="auto" w:sz="4" w:space="0"/>
                    <w:right w:val="single" w:color="auto" w:sz="4" w:space="0"/>
                  </w:tcBorders>
                  <w:shd w:val="clear" w:color="auto" w:fill="auto"/>
                  <w:vAlign w:val="center"/>
                </w:tcPr>
                <w:p w14:paraId="7951063F">
                  <w:pPr>
                    <w:keepNext w:val="0"/>
                    <w:keepLines w:val="0"/>
                    <w:widowControl w:val="0"/>
                    <w:suppressLineNumbers w:val="0"/>
                    <w:spacing w:before="0" w:beforeAutospacing="0" w:after="0" w:afterAutospacing="0"/>
                    <w:ind w:left="0" w:right="0"/>
                    <w:jc w:val="center"/>
                    <w:rPr>
                      <w:rFonts w:hint="default" w:ascii="Times New Roman" w:hAnsi="Times New Roman" w:eastAsia="宋体" w:cs="Times New Roman"/>
                      <w:color w:val="auto"/>
                      <w:kern w:val="2"/>
                      <w:sz w:val="21"/>
                      <w:szCs w:val="21"/>
                    </w:rPr>
                  </w:pPr>
                  <w:r>
                    <w:rPr>
                      <w:rFonts w:hint="eastAsia" w:ascii="宋体" w:hAnsi="宋体" w:eastAsia="宋体" w:cs="宋体"/>
                      <w:color w:val="auto"/>
                      <w:kern w:val="2"/>
                      <w:sz w:val="21"/>
                      <w:szCs w:val="21"/>
                      <w:lang w:val="en-US" w:eastAsia="zh-CN" w:bidi="ar"/>
                    </w:rPr>
                    <w:t>破损的废包装桶</w:t>
                  </w:r>
                </w:p>
              </w:tc>
              <w:tc>
                <w:tcPr>
                  <w:tcW w:w="653" w:type="dxa"/>
                  <w:tcBorders>
                    <w:top w:val="single" w:color="auto" w:sz="4" w:space="0"/>
                    <w:left w:val="single" w:color="auto" w:sz="4" w:space="0"/>
                    <w:bottom w:val="single" w:color="auto" w:sz="4" w:space="0"/>
                    <w:right w:val="single" w:color="auto" w:sz="4" w:space="0"/>
                  </w:tcBorders>
                  <w:shd w:val="clear" w:color="auto" w:fill="auto"/>
                  <w:vAlign w:val="center"/>
                </w:tcPr>
                <w:p w14:paraId="61249B85">
                  <w:pPr>
                    <w:keepNext w:val="0"/>
                    <w:keepLines w:val="0"/>
                    <w:widowControl w:val="0"/>
                    <w:suppressLineNumbers w:val="0"/>
                    <w:spacing w:before="0" w:beforeAutospacing="0" w:after="0" w:afterAutospacing="0"/>
                    <w:ind w:left="0" w:right="0"/>
                    <w:jc w:val="center"/>
                    <w:rPr>
                      <w:rFonts w:hint="default" w:ascii="Times New Roman" w:hAnsi="Times New Roman" w:eastAsia="宋体" w:cs="Times New Roman"/>
                      <w:color w:val="auto"/>
                      <w:kern w:val="2"/>
                      <w:sz w:val="21"/>
                      <w:szCs w:val="21"/>
                    </w:rPr>
                  </w:pPr>
                  <w:r>
                    <w:rPr>
                      <w:rFonts w:hint="default" w:ascii="Times New Roman" w:hAnsi="Times New Roman" w:eastAsia="宋体" w:cs="Times New Roman"/>
                      <w:color w:val="auto"/>
                      <w:kern w:val="2"/>
                      <w:sz w:val="21"/>
                      <w:szCs w:val="21"/>
                      <w:lang w:val="en-US" w:eastAsia="zh-CN" w:bidi="ar"/>
                    </w:rPr>
                    <w:t>1天</w:t>
                  </w:r>
                </w:p>
              </w:tc>
              <w:tc>
                <w:tcPr>
                  <w:tcW w:w="650" w:type="dxa"/>
                  <w:tcBorders>
                    <w:top w:val="single" w:color="auto" w:sz="4" w:space="0"/>
                    <w:left w:val="single" w:color="auto" w:sz="4" w:space="0"/>
                    <w:bottom w:val="single" w:color="auto" w:sz="4" w:space="0"/>
                    <w:right w:val="single" w:color="auto" w:sz="4" w:space="0"/>
                  </w:tcBorders>
                  <w:shd w:val="clear" w:color="auto" w:fill="auto"/>
                  <w:vAlign w:val="center"/>
                </w:tcPr>
                <w:p w14:paraId="4629BFBE">
                  <w:pPr>
                    <w:keepNext w:val="0"/>
                    <w:keepLines w:val="0"/>
                    <w:widowControl w:val="0"/>
                    <w:suppressLineNumbers w:val="0"/>
                    <w:spacing w:before="0" w:beforeAutospacing="0" w:after="0" w:afterAutospacing="0"/>
                    <w:ind w:left="0" w:right="0"/>
                    <w:jc w:val="center"/>
                    <w:rPr>
                      <w:rFonts w:hint="default" w:ascii="Times New Roman" w:hAnsi="Times New Roman" w:eastAsia="宋体" w:cs="Times New Roman"/>
                      <w:color w:val="auto"/>
                      <w:kern w:val="2"/>
                      <w:sz w:val="21"/>
                      <w:szCs w:val="21"/>
                    </w:rPr>
                  </w:pPr>
                  <w:r>
                    <w:rPr>
                      <w:rFonts w:hint="default" w:ascii="Times New Roman" w:hAnsi="Times New Roman" w:eastAsia="宋体" w:cs="Times New Roman"/>
                      <w:color w:val="auto"/>
                      <w:kern w:val="2"/>
                      <w:sz w:val="21"/>
                      <w:szCs w:val="21"/>
                      <w:lang w:val="en-US" w:eastAsia="zh-CN" w:bidi="ar"/>
                    </w:rPr>
                    <w:t>T/In</w:t>
                  </w:r>
                </w:p>
              </w:tc>
              <w:tc>
                <w:tcPr>
                  <w:tcW w:w="1507" w:type="dxa"/>
                  <w:vMerge w:val="restart"/>
                  <w:tcBorders>
                    <w:top w:val="nil"/>
                    <w:left w:val="single" w:color="auto" w:sz="4" w:space="0"/>
                    <w:right w:val="single" w:color="auto" w:sz="4" w:space="0"/>
                  </w:tcBorders>
                  <w:shd w:val="clear" w:color="auto" w:fill="auto"/>
                  <w:vAlign w:val="center"/>
                </w:tcPr>
                <w:p w14:paraId="140311EA">
                  <w:pPr>
                    <w:keepNext w:val="0"/>
                    <w:keepLines w:val="0"/>
                    <w:widowControl w:val="0"/>
                    <w:suppressLineNumbers w:val="0"/>
                    <w:spacing w:before="0" w:beforeAutospacing="0" w:after="0" w:afterAutospacing="0"/>
                    <w:ind w:left="0" w:right="0"/>
                    <w:jc w:val="center"/>
                    <w:rPr>
                      <w:rFonts w:hint="default" w:ascii="Times New Roman" w:hAnsi="Times New Roman" w:eastAsia="宋体" w:cs="Times New Roman"/>
                      <w:color w:val="auto"/>
                      <w:kern w:val="2"/>
                      <w:sz w:val="21"/>
                      <w:szCs w:val="21"/>
                    </w:rPr>
                  </w:pPr>
                  <w:r>
                    <w:rPr>
                      <w:rFonts w:hint="eastAsia" w:ascii="宋体" w:hAnsi="宋体" w:eastAsia="宋体" w:cs="宋体"/>
                      <w:color w:val="auto"/>
                      <w:kern w:val="2"/>
                      <w:sz w:val="21"/>
                      <w:szCs w:val="21"/>
                      <w:lang w:val="en-US" w:eastAsia="zh-CN" w:bidi="ar"/>
                    </w:rPr>
                    <w:t>集中收集后委托有危险废物处置资质的单位进行处理处置</w:t>
                  </w:r>
                </w:p>
              </w:tc>
            </w:tr>
            <w:tr w14:paraId="38EB92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397" w:hRule="atLeast"/>
                <w:jc w:val="center"/>
              </w:trPr>
              <w:tc>
                <w:tcPr>
                  <w:tcW w:w="636" w:type="dxa"/>
                  <w:tcBorders>
                    <w:top w:val="single" w:color="auto" w:sz="4" w:space="0"/>
                    <w:left w:val="single" w:color="auto" w:sz="4" w:space="0"/>
                    <w:bottom w:val="single" w:color="auto" w:sz="4" w:space="0"/>
                    <w:right w:val="single" w:color="auto" w:sz="4" w:space="0"/>
                  </w:tcBorders>
                  <w:shd w:val="clear" w:color="auto" w:fill="auto"/>
                  <w:vAlign w:val="center"/>
                </w:tcPr>
                <w:p w14:paraId="792DFEA4">
                  <w:pPr>
                    <w:keepNext w:val="0"/>
                    <w:keepLines w:val="0"/>
                    <w:widowControl w:val="0"/>
                    <w:suppressLineNumbers w:val="0"/>
                    <w:spacing w:before="0" w:beforeAutospacing="0" w:after="0" w:afterAutospacing="0"/>
                    <w:ind w:left="0" w:leftChars="0" w:right="0" w:rightChars="0"/>
                    <w:jc w:val="center"/>
                    <w:rPr>
                      <w:rFonts w:hint="default" w:ascii="Times New Roman" w:hAnsi="Times New Roman" w:eastAsia="宋体" w:cs="Times New Roman"/>
                      <w:color w:val="auto"/>
                      <w:kern w:val="2"/>
                      <w:sz w:val="21"/>
                      <w:szCs w:val="21"/>
                      <w:lang w:val="en-US" w:eastAsia="zh-CN" w:bidi="ar-SA"/>
                    </w:rPr>
                  </w:pPr>
                  <w:r>
                    <w:rPr>
                      <w:rFonts w:hint="default" w:ascii="Times New Roman" w:hAnsi="Times New Roman" w:eastAsia="宋体" w:cs="Times New Roman"/>
                      <w:color w:val="auto"/>
                      <w:kern w:val="2"/>
                      <w:sz w:val="21"/>
                      <w:szCs w:val="21"/>
                      <w:lang w:val="en-US" w:eastAsia="zh-CN" w:bidi="ar"/>
                    </w:rPr>
                    <w:t>11</w:t>
                  </w:r>
                </w:p>
              </w:tc>
              <w:tc>
                <w:tcPr>
                  <w:tcW w:w="1565" w:type="dxa"/>
                  <w:tcBorders>
                    <w:top w:val="single" w:color="auto" w:sz="4" w:space="0"/>
                    <w:left w:val="single" w:color="auto" w:sz="4" w:space="0"/>
                    <w:bottom w:val="single" w:color="auto" w:sz="4" w:space="0"/>
                    <w:right w:val="single" w:color="auto" w:sz="4" w:space="0"/>
                  </w:tcBorders>
                  <w:shd w:val="clear" w:color="auto" w:fill="auto"/>
                  <w:vAlign w:val="center"/>
                </w:tcPr>
                <w:p w14:paraId="3450157C">
                  <w:pPr>
                    <w:keepNext w:val="0"/>
                    <w:keepLines w:val="0"/>
                    <w:widowControl w:val="0"/>
                    <w:suppressLineNumbers w:val="0"/>
                    <w:spacing w:before="0" w:beforeAutospacing="0" w:after="0" w:afterAutospacing="0"/>
                    <w:ind w:left="0" w:leftChars="0" w:right="0" w:rightChars="0"/>
                    <w:jc w:val="center"/>
                    <w:rPr>
                      <w:rFonts w:hint="default" w:ascii="Times New Roman" w:hAnsi="Times New Roman" w:eastAsia="宋体" w:cs="Times New Roman"/>
                      <w:color w:val="auto"/>
                      <w:kern w:val="2"/>
                      <w:sz w:val="21"/>
                      <w:szCs w:val="21"/>
                    </w:rPr>
                  </w:pPr>
                  <w:r>
                    <w:rPr>
                      <w:rFonts w:hint="eastAsia" w:ascii="宋体" w:hAnsi="宋体" w:eastAsia="宋体" w:cs="宋体"/>
                      <w:color w:val="auto"/>
                      <w:kern w:val="2"/>
                      <w:sz w:val="21"/>
                      <w:szCs w:val="21"/>
                      <w:lang w:val="en-US" w:eastAsia="zh-CN" w:bidi="ar"/>
                    </w:rPr>
                    <w:t>废润滑油</w:t>
                  </w:r>
                </w:p>
              </w:tc>
              <w:tc>
                <w:tcPr>
                  <w:tcW w:w="2535" w:type="dxa"/>
                  <w:gridSpan w:val="2"/>
                  <w:vMerge w:val="restart"/>
                  <w:tcBorders>
                    <w:top w:val="nil"/>
                    <w:left w:val="single" w:color="auto" w:sz="4" w:space="0"/>
                    <w:bottom w:val="single" w:color="auto" w:sz="4" w:space="0"/>
                    <w:right w:val="single" w:color="auto" w:sz="4" w:space="0"/>
                  </w:tcBorders>
                  <w:shd w:val="clear" w:color="auto" w:fill="auto"/>
                  <w:vAlign w:val="center"/>
                </w:tcPr>
                <w:p w14:paraId="2F088694">
                  <w:pPr>
                    <w:keepNext w:val="0"/>
                    <w:keepLines w:val="0"/>
                    <w:widowControl w:val="0"/>
                    <w:suppressLineNumbers w:val="0"/>
                    <w:spacing w:before="0" w:beforeAutospacing="0" w:after="0" w:afterAutospacing="0"/>
                    <w:ind w:left="0" w:leftChars="0" w:right="0" w:rightChars="0"/>
                    <w:jc w:val="center"/>
                    <w:rPr>
                      <w:rFonts w:hint="default" w:ascii="Times New Roman" w:hAnsi="Times New Roman" w:eastAsia="宋体" w:cs="Times New Roman"/>
                      <w:color w:val="auto"/>
                      <w:kern w:val="2"/>
                      <w:sz w:val="21"/>
                      <w:szCs w:val="21"/>
                    </w:rPr>
                  </w:pPr>
                  <w:r>
                    <w:rPr>
                      <w:rFonts w:hint="eastAsia" w:ascii="宋体" w:hAnsi="宋体" w:eastAsia="宋体" w:cs="宋体"/>
                      <w:color w:val="auto"/>
                      <w:kern w:val="2"/>
                      <w:sz w:val="21"/>
                      <w:szCs w:val="21"/>
                      <w:lang w:val="en-US" w:eastAsia="zh-CN" w:bidi="ar"/>
                    </w:rPr>
                    <w:t>设备维护和保养</w:t>
                  </w:r>
                </w:p>
              </w:tc>
              <w:tc>
                <w:tcPr>
                  <w:tcW w:w="661" w:type="dxa"/>
                  <w:tcBorders>
                    <w:top w:val="single" w:color="auto" w:sz="4" w:space="0"/>
                    <w:left w:val="single" w:color="auto" w:sz="4" w:space="0"/>
                    <w:bottom w:val="single" w:color="auto" w:sz="4" w:space="0"/>
                    <w:right w:val="single" w:color="auto" w:sz="4" w:space="0"/>
                  </w:tcBorders>
                  <w:shd w:val="clear" w:color="auto" w:fill="auto"/>
                  <w:vAlign w:val="center"/>
                </w:tcPr>
                <w:p w14:paraId="05EAF084">
                  <w:pPr>
                    <w:keepNext w:val="0"/>
                    <w:keepLines w:val="0"/>
                    <w:widowControl w:val="0"/>
                    <w:suppressLineNumbers w:val="0"/>
                    <w:spacing w:before="0" w:beforeAutospacing="0" w:after="0" w:afterAutospacing="0"/>
                    <w:ind w:left="0" w:right="0"/>
                    <w:jc w:val="center"/>
                    <w:rPr>
                      <w:rFonts w:hint="default" w:ascii="Times New Roman" w:hAnsi="Times New Roman" w:eastAsia="宋体" w:cs="Times New Roman"/>
                      <w:color w:val="auto"/>
                      <w:kern w:val="2"/>
                      <w:sz w:val="21"/>
                      <w:szCs w:val="21"/>
                    </w:rPr>
                  </w:pPr>
                  <w:r>
                    <w:rPr>
                      <w:rFonts w:hint="eastAsia" w:ascii="宋体" w:hAnsi="宋体" w:eastAsia="宋体" w:cs="宋体"/>
                      <w:color w:val="auto"/>
                      <w:kern w:val="2"/>
                      <w:sz w:val="21"/>
                      <w:szCs w:val="21"/>
                      <w:lang w:val="en-US" w:eastAsia="zh-CN" w:bidi="ar"/>
                    </w:rPr>
                    <w:t>液态</w:t>
                  </w:r>
                </w:p>
              </w:tc>
              <w:tc>
                <w:tcPr>
                  <w:tcW w:w="554" w:type="dxa"/>
                  <w:vMerge w:val="continue"/>
                  <w:tcBorders>
                    <w:top w:val="nil"/>
                    <w:left w:val="single" w:color="auto" w:sz="4" w:space="0"/>
                    <w:bottom w:val="single" w:color="auto" w:sz="4" w:space="0"/>
                    <w:right w:val="single" w:color="auto" w:sz="4" w:space="0"/>
                  </w:tcBorders>
                  <w:shd w:val="clear" w:color="auto" w:fill="auto"/>
                  <w:vAlign w:val="center"/>
                </w:tcPr>
                <w:p w14:paraId="3550C361">
                  <w:pPr>
                    <w:keepNext w:val="0"/>
                    <w:keepLines w:val="0"/>
                    <w:suppressLineNumbers w:val="0"/>
                    <w:spacing w:before="0" w:beforeAutospacing="0" w:after="0" w:afterAutospacing="0"/>
                    <w:ind w:left="0" w:right="0"/>
                    <w:jc w:val="center"/>
                    <w:rPr>
                      <w:rFonts w:hint="default" w:ascii="Times New Roman" w:hAnsi="Times New Roman" w:cs="Times New Roman"/>
                      <w:color w:val="auto"/>
                      <w:sz w:val="20"/>
                      <w:szCs w:val="20"/>
                    </w:rPr>
                  </w:pPr>
                </w:p>
              </w:tc>
              <w:tc>
                <w:tcPr>
                  <w:tcW w:w="1365" w:type="dxa"/>
                  <w:tcBorders>
                    <w:top w:val="nil"/>
                    <w:left w:val="single" w:color="auto" w:sz="4" w:space="0"/>
                    <w:bottom w:val="single" w:color="auto" w:sz="4" w:space="0"/>
                    <w:right w:val="single" w:color="auto" w:sz="4" w:space="0"/>
                  </w:tcBorders>
                  <w:shd w:val="clear" w:color="auto" w:fill="auto"/>
                  <w:vAlign w:val="center"/>
                </w:tcPr>
                <w:p w14:paraId="442DC464">
                  <w:pPr>
                    <w:keepNext w:val="0"/>
                    <w:keepLines w:val="0"/>
                    <w:widowControl w:val="0"/>
                    <w:suppressLineNumbers w:val="0"/>
                    <w:spacing w:before="0" w:beforeAutospacing="0" w:after="0" w:afterAutospacing="0"/>
                    <w:ind w:left="0" w:right="0"/>
                    <w:jc w:val="center"/>
                    <w:rPr>
                      <w:rFonts w:hint="default" w:ascii="Times New Roman" w:hAnsi="Times New Roman" w:eastAsia="宋体" w:cs="Times New Roman"/>
                      <w:color w:val="0000FF"/>
                      <w:kern w:val="2"/>
                      <w:sz w:val="21"/>
                      <w:szCs w:val="21"/>
                    </w:rPr>
                  </w:pPr>
                  <w:r>
                    <w:rPr>
                      <w:rFonts w:hint="default" w:ascii="Times New Roman" w:hAnsi="Times New Roman" w:eastAsia="宋体" w:cs="Times New Roman"/>
                      <w:color w:val="0000FF"/>
                      <w:kern w:val="2"/>
                      <w:sz w:val="21"/>
                      <w:szCs w:val="21"/>
                      <w:lang w:val="en-US" w:eastAsia="zh-CN" w:bidi="ar"/>
                    </w:rPr>
                    <w:t>HW08</w:t>
                  </w:r>
                </w:p>
                <w:p w14:paraId="1DB659D7">
                  <w:pPr>
                    <w:keepNext w:val="0"/>
                    <w:keepLines w:val="0"/>
                    <w:widowControl w:val="0"/>
                    <w:suppressLineNumbers w:val="0"/>
                    <w:spacing w:before="0" w:beforeAutospacing="0" w:after="0" w:afterAutospacing="0"/>
                    <w:ind w:left="0" w:right="0"/>
                    <w:jc w:val="center"/>
                    <w:rPr>
                      <w:rFonts w:hint="default" w:ascii="Times New Roman" w:hAnsi="Times New Roman" w:eastAsia="宋体" w:cs="Times New Roman"/>
                      <w:color w:val="auto"/>
                      <w:kern w:val="2"/>
                      <w:sz w:val="21"/>
                      <w:szCs w:val="21"/>
                    </w:rPr>
                  </w:pPr>
                  <w:r>
                    <w:rPr>
                      <w:rFonts w:hint="default" w:ascii="Times New Roman" w:hAnsi="Times New Roman" w:eastAsia="宋体" w:cs="Times New Roman"/>
                      <w:color w:val="0000FF"/>
                      <w:kern w:val="2"/>
                      <w:sz w:val="21"/>
                      <w:szCs w:val="21"/>
                      <w:lang w:val="en-US" w:eastAsia="zh-CN" w:bidi="ar"/>
                    </w:rPr>
                    <w:t>900-21</w:t>
                  </w:r>
                  <w:r>
                    <w:rPr>
                      <w:rFonts w:hint="eastAsia" w:ascii="Times New Roman" w:hAnsi="Times New Roman" w:eastAsia="宋体" w:cs="Times New Roman"/>
                      <w:color w:val="0000FF"/>
                      <w:kern w:val="2"/>
                      <w:sz w:val="21"/>
                      <w:szCs w:val="21"/>
                      <w:lang w:val="en-US" w:eastAsia="zh-CN" w:bidi="ar"/>
                    </w:rPr>
                    <w:t>7</w:t>
                  </w:r>
                  <w:r>
                    <w:rPr>
                      <w:rFonts w:hint="default" w:ascii="Times New Roman" w:hAnsi="Times New Roman" w:eastAsia="宋体" w:cs="Times New Roman"/>
                      <w:color w:val="0000FF"/>
                      <w:kern w:val="2"/>
                      <w:sz w:val="21"/>
                      <w:szCs w:val="21"/>
                      <w:lang w:val="en-US" w:eastAsia="zh-CN" w:bidi="ar"/>
                    </w:rPr>
                    <w:t>-08</w:t>
                  </w:r>
                </w:p>
              </w:tc>
              <w:tc>
                <w:tcPr>
                  <w:tcW w:w="2010" w:type="dxa"/>
                  <w:gridSpan w:val="2"/>
                  <w:tcBorders>
                    <w:top w:val="single" w:color="auto" w:sz="4" w:space="0"/>
                    <w:left w:val="single" w:color="auto" w:sz="4" w:space="0"/>
                    <w:bottom w:val="single" w:color="auto" w:sz="4" w:space="0"/>
                    <w:right w:val="single" w:color="auto" w:sz="4" w:space="0"/>
                  </w:tcBorders>
                  <w:shd w:val="clear" w:color="auto" w:fill="auto"/>
                  <w:vAlign w:val="center"/>
                </w:tcPr>
                <w:p w14:paraId="61ED3838">
                  <w:pPr>
                    <w:keepNext w:val="0"/>
                    <w:keepLines w:val="0"/>
                    <w:widowControl w:val="0"/>
                    <w:suppressLineNumbers w:val="0"/>
                    <w:spacing w:before="0" w:beforeAutospacing="0" w:after="0" w:afterAutospacing="0"/>
                    <w:ind w:left="0" w:right="0"/>
                    <w:jc w:val="center"/>
                    <w:rPr>
                      <w:rFonts w:hint="default" w:ascii="Times New Roman" w:hAnsi="Times New Roman" w:eastAsia="宋体" w:cs="Times New Roman"/>
                      <w:color w:val="auto"/>
                      <w:kern w:val="2"/>
                      <w:sz w:val="21"/>
                      <w:szCs w:val="21"/>
                      <w:lang w:val="en-US"/>
                    </w:rPr>
                  </w:pPr>
                  <w:r>
                    <w:rPr>
                      <w:rFonts w:hint="eastAsia" w:ascii="Times New Roman" w:hAnsi="Times New Roman" w:eastAsia="宋体" w:cs="Times New Roman"/>
                      <w:color w:val="auto"/>
                      <w:kern w:val="2"/>
                      <w:sz w:val="21"/>
                      <w:szCs w:val="21"/>
                      <w:lang w:val="en-US" w:eastAsia="zh-CN" w:bidi="ar"/>
                    </w:rPr>
                    <w:t>0.08</w:t>
                  </w:r>
                </w:p>
              </w:tc>
              <w:tc>
                <w:tcPr>
                  <w:tcW w:w="1122" w:type="dxa"/>
                  <w:tcBorders>
                    <w:top w:val="single" w:color="auto" w:sz="4" w:space="0"/>
                    <w:left w:val="single" w:color="auto" w:sz="4" w:space="0"/>
                    <w:bottom w:val="single" w:color="auto" w:sz="4" w:space="0"/>
                    <w:right w:val="single" w:color="auto" w:sz="4" w:space="0"/>
                  </w:tcBorders>
                  <w:shd w:val="clear" w:color="auto" w:fill="auto"/>
                  <w:vAlign w:val="center"/>
                </w:tcPr>
                <w:p w14:paraId="74DE0251">
                  <w:pPr>
                    <w:keepNext w:val="0"/>
                    <w:keepLines w:val="0"/>
                    <w:widowControl w:val="0"/>
                    <w:suppressLineNumbers w:val="0"/>
                    <w:spacing w:before="0" w:beforeAutospacing="0" w:after="0" w:afterAutospacing="0"/>
                    <w:ind w:left="0" w:right="0"/>
                    <w:jc w:val="center"/>
                    <w:rPr>
                      <w:rFonts w:hint="default" w:ascii="Times New Roman" w:hAnsi="Times New Roman" w:eastAsia="宋体" w:cs="Times New Roman"/>
                      <w:color w:val="auto"/>
                      <w:kern w:val="2"/>
                      <w:sz w:val="21"/>
                      <w:szCs w:val="21"/>
                    </w:rPr>
                  </w:pPr>
                  <w:r>
                    <w:rPr>
                      <w:rFonts w:hint="eastAsia" w:ascii="宋体" w:hAnsi="宋体" w:eastAsia="宋体" w:cs="宋体"/>
                      <w:color w:val="auto"/>
                      <w:kern w:val="2"/>
                      <w:sz w:val="21"/>
                      <w:szCs w:val="21"/>
                      <w:lang w:val="en-US" w:eastAsia="zh-CN" w:bidi="ar"/>
                    </w:rPr>
                    <w:t>废润滑油</w:t>
                  </w:r>
                </w:p>
              </w:tc>
              <w:tc>
                <w:tcPr>
                  <w:tcW w:w="653" w:type="dxa"/>
                  <w:tcBorders>
                    <w:top w:val="single" w:color="auto" w:sz="4" w:space="0"/>
                    <w:left w:val="single" w:color="auto" w:sz="4" w:space="0"/>
                    <w:bottom w:val="single" w:color="auto" w:sz="4" w:space="0"/>
                    <w:right w:val="single" w:color="auto" w:sz="4" w:space="0"/>
                  </w:tcBorders>
                  <w:shd w:val="clear" w:color="auto" w:fill="auto"/>
                  <w:vAlign w:val="center"/>
                </w:tcPr>
                <w:p w14:paraId="5A65D5C7">
                  <w:pPr>
                    <w:keepNext w:val="0"/>
                    <w:keepLines w:val="0"/>
                    <w:widowControl w:val="0"/>
                    <w:suppressLineNumbers w:val="0"/>
                    <w:spacing w:before="0" w:beforeAutospacing="0" w:after="0" w:afterAutospacing="0"/>
                    <w:ind w:left="0" w:right="0"/>
                    <w:jc w:val="center"/>
                    <w:rPr>
                      <w:rFonts w:hint="default" w:ascii="Times New Roman" w:hAnsi="Times New Roman" w:eastAsia="宋体" w:cs="Times New Roman"/>
                      <w:color w:val="auto"/>
                      <w:kern w:val="2"/>
                      <w:sz w:val="21"/>
                      <w:szCs w:val="21"/>
                    </w:rPr>
                  </w:pPr>
                  <w:r>
                    <w:rPr>
                      <w:rFonts w:hint="eastAsia" w:ascii="宋体" w:hAnsi="宋体" w:eastAsia="宋体" w:cs="宋体"/>
                      <w:color w:val="auto"/>
                      <w:kern w:val="2"/>
                      <w:sz w:val="21"/>
                      <w:szCs w:val="21"/>
                      <w:lang w:val="en-US" w:eastAsia="zh-CN" w:bidi="ar"/>
                    </w:rPr>
                    <w:t>1年</w:t>
                  </w:r>
                </w:p>
              </w:tc>
              <w:tc>
                <w:tcPr>
                  <w:tcW w:w="650" w:type="dxa"/>
                  <w:tcBorders>
                    <w:top w:val="nil"/>
                    <w:left w:val="single" w:color="auto" w:sz="4" w:space="0"/>
                    <w:bottom w:val="single" w:color="auto" w:sz="4" w:space="0"/>
                    <w:right w:val="single" w:color="auto" w:sz="4" w:space="0"/>
                  </w:tcBorders>
                  <w:shd w:val="clear" w:color="auto" w:fill="auto"/>
                  <w:vAlign w:val="center"/>
                </w:tcPr>
                <w:p w14:paraId="18A66456">
                  <w:pPr>
                    <w:keepNext w:val="0"/>
                    <w:keepLines w:val="0"/>
                    <w:widowControl w:val="0"/>
                    <w:suppressLineNumbers w:val="0"/>
                    <w:spacing w:before="0" w:beforeAutospacing="0" w:after="0" w:afterAutospacing="0"/>
                    <w:ind w:left="0" w:right="0"/>
                    <w:jc w:val="center"/>
                    <w:rPr>
                      <w:rFonts w:hint="default" w:ascii="Times New Roman" w:hAnsi="Times New Roman" w:eastAsia="宋体" w:cs="Times New Roman"/>
                      <w:color w:val="auto"/>
                      <w:kern w:val="2"/>
                      <w:sz w:val="21"/>
                      <w:szCs w:val="21"/>
                    </w:rPr>
                  </w:pPr>
                  <w:r>
                    <w:rPr>
                      <w:rFonts w:hint="default" w:ascii="Times New Roman" w:hAnsi="Times New Roman" w:eastAsia="宋体" w:cs="Times New Roman"/>
                      <w:color w:val="0000FF"/>
                      <w:kern w:val="2"/>
                      <w:sz w:val="21"/>
                      <w:szCs w:val="21"/>
                      <w:lang w:val="en-US" w:eastAsia="zh-CN"/>
                    </w:rPr>
                    <w:t>T，I</w:t>
                  </w:r>
                </w:p>
              </w:tc>
              <w:tc>
                <w:tcPr>
                  <w:tcW w:w="1507" w:type="dxa"/>
                  <w:vMerge w:val="continue"/>
                  <w:tcBorders>
                    <w:left w:val="single" w:color="auto" w:sz="4" w:space="0"/>
                    <w:right w:val="single" w:color="auto" w:sz="4" w:space="0"/>
                  </w:tcBorders>
                  <w:shd w:val="clear" w:color="auto" w:fill="auto"/>
                  <w:vAlign w:val="center"/>
                </w:tcPr>
                <w:p w14:paraId="5BB89EA6">
                  <w:pPr>
                    <w:keepNext w:val="0"/>
                    <w:keepLines w:val="0"/>
                    <w:suppressLineNumbers w:val="0"/>
                    <w:spacing w:before="0" w:beforeAutospacing="0" w:after="0" w:afterAutospacing="0"/>
                    <w:ind w:left="0" w:right="0"/>
                    <w:jc w:val="center"/>
                    <w:rPr>
                      <w:rFonts w:hint="default" w:ascii="Times New Roman" w:hAnsi="Times New Roman" w:cs="Times New Roman"/>
                      <w:color w:val="auto"/>
                      <w:sz w:val="20"/>
                      <w:szCs w:val="20"/>
                    </w:rPr>
                  </w:pPr>
                </w:p>
              </w:tc>
            </w:tr>
            <w:tr w14:paraId="30B012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397" w:hRule="atLeast"/>
                <w:jc w:val="center"/>
              </w:trPr>
              <w:tc>
                <w:tcPr>
                  <w:tcW w:w="636" w:type="dxa"/>
                  <w:tcBorders>
                    <w:top w:val="single" w:color="auto" w:sz="4" w:space="0"/>
                    <w:left w:val="single" w:color="auto" w:sz="4" w:space="0"/>
                    <w:bottom w:val="single" w:color="auto" w:sz="4" w:space="0"/>
                    <w:right w:val="single" w:color="auto" w:sz="4" w:space="0"/>
                  </w:tcBorders>
                  <w:shd w:val="clear" w:color="auto" w:fill="auto"/>
                  <w:vAlign w:val="center"/>
                </w:tcPr>
                <w:p w14:paraId="18AE1E6C">
                  <w:pPr>
                    <w:keepNext w:val="0"/>
                    <w:keepLines w:val="0"/>
                    <w:widowControl w:val="0"/>
                    <w:suppressLineNumbers w:val="0"/>
                    <w:spacing w:before="0" w:beforeAutospacing="0" w:after="0" w:afterAutospacing="0"/>
                    <w:ind w:left="0" w:leftChars="0" w:right="0" w:rightChars="0"/>
                    <w:jc w:val="center"/>
                    <w:rPr>
                      <w:rFonts w:hint="default" w:ascii="Times New Roman" w:hAnsi="Times New Roman" w:eastAsia="宋体" w:cs="Times New Roman"/>
                      <w:color w:val="auto"/>
                      <w:kern w:val="2"/>
                      <w:sz w:val="21"/>
                      <w:szCs w:val="21"/>
                      <w:lang w:val="en-US" w:eastAsia="zh-CN" w:bidi="ar-SA"/>
                    </w:rPr>
                  </w:pPr>
                  <w:r>
                    <w:rPr>
                      <w:rFonts w:hint="eastAsia" w:ascii="Times New Roman" w:hAnsi="Times New Roman" w:eastAsia="宋体" w:cs="Times New Roman"/>
                      <w:color w:val="auto"/>
                      <w:kern w:val="2"/>
                      <w:sz w:val="21"/>
                      <w:szCs w:val="21"/>
                      <w:lang w:val="en-US" w:eastAsia="zh-CN" w:bidi="ar"/>
                    </w:rPr>
                    <w:t>12</w:t>
                  </w:r>
                </w:p>
              </w:tc>
              <w:tc>
                <w:tcPr>
                  <w:tcW w:w="1565" w:type="dxa"/>
                  <w:tcBorders>
                    <w:top w:val="single" w:color="auto" w:sz="4" w:space="0"/>
                    <w:left w:val="single" w:color="auto" w:sz="4" w:space="0"/>
                    <w:bottom w:val="single" w:color="auto" w:sz="4" w:space="0"/>
                    <w:right w:val="single" w:color="auto" w:sz="4" w:space="0"/>
                  </w:tcBorders>
                  <w:shd w:val="clear" w:color="auto" w:fill="auto"/>
                  <w:vAlign w:val="center"/>
                </w:tcPr>
                <w:p w14:paraId="0B7ECE19">
                  <w:pPr>
                    <w:keepNext w:val="0"/>
                    <w:keepLines w:val="0"/>
                    <w:widowControl w:val="0"/>
                    <w:suppressLineNumbers w:val="0"/>
                    <w:spacing w:before="0" w:beforeAutospacing="0" w:after="0" w:afterAutospacing="0"/>
                    <w:ind w:left="0" w:leftChars="0" w:right="0" w:rightChars="0"/>
                    <w:jc w:val="center"/>
                    <w:rPr>
                      <w:rFonts w:hint="default" w:ascii="Times New Roman" w:hAnsi="Times New Roman" w:eastAsia="宋体" w:cs="Times New Roman"/>
                      <w:color w:val="auto"/>
                      <w:kern w:val="2"/>
                      <w:sz w:val="21"/>
                      <w:szCs w:val="21"/>
                    </w:rPr>
                  </w:pPr>
                  <w:r>
                    <w:rPr>
                      <w:rFonts w:hint="eastAsia" w:ascii="宋体" w:hAnsi="宋体" w:eastAsia="宋体" w:cs="宋体"/>
                      <w:color w:val="auto"/>
                      <w:kern w:val="2"/>
                      <w:sz w:val="21"/>
                      <w:szCs w:val="21"/>
                      <w:lang w:val="en-US" w:eastAsia="zh-CN" w:bidi="ar"/>
                    </w:rPr>
                    <w:t>废润滑油桶</w:t>
                  </w:r>
                </w:p>
              </w:tc>
              <w:tc>
                <w:tcPr>
                  <w:tcW w:w="2535" w:type="dxa"/>
                  <w:gridSpan w:val="2"/>
                  <w:vMerge w:val="continue"/>
                  <w:tcBorders>
                    <w:top w:val="nil"/>
                    <w:left w:val="single" w:color="auto" w:sz="4" w:space="0"/>
                    <w:bottom w:val="single" w:color="auto" w:sz="4" w:space="0"/>
                    <w:right w:val="single" w:color="auto" w:sz="4" w:space="0"/>
                  </w:tcBorders>
                  <w:shd w:val="clear" w:color="auto" w:fill="auto"/>
                  <w:vAlign w:val="center"/>
                </w:tcPr>
                <w:p w14:paraId="20265513">
                  <w:pPr>
                    <w:keepNext w:val="0"/>
                    <w:keepLines w:val="0"/>
                    <w:suppressLineNumbers w:val="0"/>
                    <w:spacing w:before="0" w:beforeAutospacing="0" w:after="0" w:afterAutospacing="0"/>
                    <w:ind w:left="0" w:right="0"/>
                    <w:jc w:val="center"/>
                    <w:rPr>
                      <w:rFonts w:hint="default" w:ascii="Times New Roman" w:hAnsi="Times New Roman" w:cs="Times New Roman"/>
                      <w:color w:val="auto"/>
                      <w:sz w:val="20"/>
                      <w:szCs w:val="20"/>
                    </w:rPr>
                  </w:pPr>
                </w:p>
              </w:tc>
              <w:tc>
                <w:tcPr>
                  <w:tcW w:w="661" w:type="dxa"/>
                  <w:tcBorders>
                    <w:top w:val="single" w:color="auto" w:sz="4" w:space="0"/>
                    <w:left w:val="single" w:color="auto" w:sz="4" w:space="0"/>
                    <w:bottom w:val="single" w:color="auto" w:sz="4" w:space="0"/>
                    <w:right w:val="single" w:color="auto" w:sz="4" w:space="0"/>
                  </w:tcBorders>
                  <w:shd w:val="clear" w:color="auto" w:fill="auto"/>
                  <w:vAlign w:val="center"/>
                </w:tcPr>
                <w:p w14:paraId="7960104A">
                  <w:pPr>
                    <w:keepNext w:val="0"/>
                    <w:keepLines w:val="0"/>
                    <w:widowControl w:val="0"/>
                    <w:suppressLineNumbers w:val="0"/>
                    <w:spacing w:before="0" w:beforeAutospacing="0" w:after="0" w:afterAutospacing="0"/>
                    <w:ind w:left="0" w:right="0"/>
                    <w:jc w:val="center"/>
                    <w:rPr>
                      <w:rFonts w:hint="default" w:ascii="Times New Roman" w:hAnsi="Times New Roman" w:eastAsia="宋体" w:cs="Times New Roman"/>
                      <w:color w:val="auto"/>
                      <w:kern w:val="2"/>
                      <w:sz w:val="21"/>
                      <w:szCs w:val="21"/>
                    </w:rPr>
                  </w:pPr>
                  <w:r>
                    <w:rPr>
                      <w:rFonts w:hint="eastAsia" w:ascii="宋体" w:hAnsi="宋体" w:eastAsia="宋体" w:cs="宋体"/>
                      <w:color w:val="auto"/>
                      <w:kern w:val="2"/>
                      <w:sz w:val="21"/>
                      <w:szCs w:val="21"/>
                      <w:lang w:val="en-US" w:eastAsia="zh-CN" w:bidi="ar"/>
                    </w:rPr>
                    <w:t>固态</w:t>
                  </w:r>
                </w:p>
              </w:tc>
              <w:tc>
                <w:tcPr>
                  <w:tcW w:w="554" w:type="dxa"/>
                  <w:vMerge w:val="continue"/>
                  <w:tcBorders>
                    <w:top w:val="nil"/>
                    <w:left w:val="single" w:color="auto" w:sz="4" w:space="0"/>
                    <w:bottom w:val="single" w:color="auto" w:sz="4" w:space="0"/>
                    <w:right w:val="single" w:color="auto" w:sz="4" w:space="0"/>
                  </w:tcBorders>
                  <w:shd w:val="clear" w:color="auto" w:fill="auto"/>
                  <w:vAlign w:val="center"/>
                </w:tcPr>
                <w:p w14:paraId="168C7D9C">
                  <w:pPr>
                    <w:keepNext w:val="0"/>
                    <w:keepLines w:val="0"/>
                    <w:suppressLineNumbers w:val="0"/>
                    <w:spacing w:before="0" w:beforeAutospacing="0" w:after="0" w:afterAutospacing="0"/>
                    <w:ind w:left="0" w:right="0"/>
                    <w:jc w:val="center"/>
                    <w:rPr>
                      <w:rFonts w:hint="default" w:ascii="Times New Roman" w:hAnsi="Times New Roman" w:cs="Times New Roman"/>
                      <w:color w:val="auto"/>
                      <w:sz w:val="20"/>
                      <w:szCs w:val="20"/>
                    </w:rPr>
                  </w:pPr>
                </w:p>
              </w:tc>
              <w:tc>
                <w:tcPr>
                  <w:tcW w:w="1365" w:type="dxa"/>
                  <w:tcBorders>
                    <w:top w:val="nil"/>
                    <w:left w:val="single" w:color="auto" w:sz="4" w:space="0"/>
                    <w:bottom w:val="single" w:color="auto" w:sz="4" w:space="0"/>
                    <w:right w:val="single" w:color="auto" w:sz="4" w:space="0"/>
                  </w:tcBorders>
                  <w:shd w:val="clear" w:color="auto" w:fill="auto"/>
                  <w:vAlign w:val="center"/>
                </w:tcPr>
                <w:p w14:paraId="7BF8CC67">
                  <w:pPr>
                    <w:keepNext w:val="0"/>
                    <w:keepLines w:val="0"/>
                    <w:suppressLineNumbers w:val="0"/>
                    <w:spacing w:before="0" w:beforeAutospacing="0" w:after="0" w:afterAutospacing="0"/>
                    <w:ind w:left="0" w:right="0"/>
                    <w:jc w:val="center"/>
                    <w:rPr>
                      <w:rFonts w:hint="eastAsia" w:ascii="Times New Roman" w:hAnsi="Times New Roman" w:cs="Times New Roman"/>
                      <w:color w:val="auto"/>
                      <w:sz w:val="20"/>
                      <w:szCs w:val="20"/>
                      <w:lang w:val="en-US" w:eastAsia="zh-CN"/>
                    </w:rPr>
                  </w:pPr>
                  <w:r>
                    <w:rPr>
                      <w:rFonts w:hint="eastAsia" w:ascii="Times New Roman" w:hAnsi="Times New Roman" w:cs="Times New Roman"/>
                      <w:color w:val="auto"/>
                      <w:sz w:val="20"/>
                      <w:szCs w:val="20"/>
                      <w:lang w:val="en-US" w:eastAsia="zh-CN"/>
                    </w:rPr>
                    <w:t>HW08</w:t>
                  </w:r>
                </w:p>
                <w:p w14:paraId="6C4C7789">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 w:val="20"/>
                      <w:szCs w:val="20"/>
                      <w:lang w:val="en-US" w:eastAsia="zh-CN"/>
                    </w:rPr>
                  </w:pPr>
                  <w:r>
                    <w:rPr>
                      <w:rFonts w:hint="eastAsia" w:ascii="Times New Roman" w:hAnsi="Times New Roman" w:cs="Times New Roman"/>
                      <w:color w:val="auto"/>
                      <w:sz w:val="20"/>
                      <w:szCs w:val="20"/>
                      <w:lang w:val="en-US" w:eastAsia="zh-CN"/>
                    </w:rPr>
                    <w:t>900-249-08</w:t>
                  </w:r>
                </w:p>
              </w:tc>
              <w:tc>
                <w:tcPr>
                  <w:tcW w:w="2010" w:type="dxa"/>
                  <w:gridSpan w:val="2"/>
                  <w:tcBorders>
                    <w:top w:val="single" w:color="auto" w:sz="4" w:space="0"/>
                    <w:left w:val="single" w:color="auto" w:sz="4" w:space="0"/>
                    <w:bottom w:val="single" w:color="auto" w:sz="4" w:space="0"/>
                    <w:right w:val="single" w:color="auto" w:sz="4" w:space="0"/>
                  </w:tcBorders>
                  <w:shd w:val="clear" w:color="auto" w:fill="auto"/>
                  <w:vAlign w:val="center"/>
                </w:tcPr>
                <w:p w14:paraId="0A816914">
                  <w:pPr>
                    <w:keepNext w:val="0"/>
                    <w:keepLines w:val="0"/>
                    <w:widowControl w:val="0"/>
                    <w:suppressLineNumbers w:val="0"/>
                    <w:spacing w:before="0" w:beforeAutospacing="0" w:after="0" w:afterAutospacing="0"/>
                    <w:ind w:left="0" w:right="0"/>
                    <w:jc w:val="center"/>
                    <w:rPr>
                      <w:rFonts w:hint="default" w:ascii="Times New Roman" w:hAnsi="Times New Roman" w:eastAsia="宋体" w:cs="Times New Roman"/>
                      <w:color w:val="auto"/>
                      <w:kern w:val="2"/>
                      <w:sz w:val="21"/>
                      <w:szCs w:val="21"/>
                    </w:rPr>
                  </w:pPr>
                  <w:r>
                    <w:rPr>
                      <w:rFonts w:hint="default" w:ascii="Times New Roman" w:hAnsi="Times New Roman" w:eastAsia="宋体" w:cs="Times New Roman"/>
                      <w:color w:val="auto"/>
                      <w:kern w:val="2"/>
                      <w:sz w:val="21"/>
                      <w:szCs w:val="21"/>
                      <w:lang w:val="en-US" w:eastAsia="zh-CN" w:bidi="ar"/>
                    </w:rPr>
                    <w:t>0.01</w:t>
                  </w:r>
                </w:p>
              </w:tc>
              <w:tc>
                <w:tcPr>
                  <w:tcW w:w="1122" w:type="dxa"/>
                  <w:tcBorders>
                    <w:top w:val="single" w:color="auto" w:sz="4" w:space="0"/>
                    <w:left w:val="single" w:color="auto" w:sz="4" w:space="0"/>
                    <w:bottom w:val="single" w:color="auto" w:sz="4" w:space="0"/>
                    <w:right w:val="single" w:color="auto" w:sz="4" w:space="0"/>
                  </w:tcBorders>
                  <w:shd w:val="clear" w:color="auto" w:fill="auto"/>
                  <w:vAlign w:val="center"/>
                </w:tcPr>
                <w:p w14:paraId="7D11083D">
                  <w:pPr>
                    <w:keepNext w:val="0"/>
                    <w:keepLines w:val="0"/>
                    <w:widowControl w:val="0"/>
                    <w:suppressLineNumbers w:val="0"/>
                    <w:spacing w:before="0" w:beforeAutospacing="0" w:after="0" w:afterAutospacing="0"/>
                    <w:ind w:left="0" w:right="0"/>
                    <w:jc w:val="center"/>
                    <w:rPr>
                      <w:rFonts w:hint="default" w:ascii="Times New Roman" w:hAnsi="Times New Roman" w:eastAsia="宋体" w:cs="Times New Roman"/>
                      <w:color w:val="auto"/>
                      <w:kern w:val="2"/>
                      <w:sz w:val="21"/>
                      <w:szCs w:val="21"/>
                    </w:rPr>
                  </w:pPr>
                  <w:r>
                    <w:rPr>
                      <w:rFonts w:hint="eastAsia" w:ascii="宋体" w:hAnsi="宋体" w:eastAsia="宋体" w:cs="宋体"/>
                      <w:color w:val="auto"/>
                      <w:kern w:val="2"/>
                      <w:sz w:val="21"/>
                      <w:szCs w:val="21"/>
                      <w:lang w:val="en-US" w:eastAsia="zh-CN" w:bidi="ar"/>
                    </w:rPr>
                    <w:t>废润滑油桶</w:t>
                  </w:r>
                </w:p>
              </w:tc>
              <w:tc>
                <w:tcPr>
                  <w:tcW w:w="653" w:type="dxa"/>
                  <w:tcBorders>
                    <w:top w:val="single" w:color="auto" w:sz="4" w:space="0"/>
                    <w:left w:val="single" w:color="auto" w:sz="4" w:space="0"/>
                    <w:bottom w:val="single" w:color="auto" w:sz="4" w:space="0"/>
                    <w:right w:val="single" w:color="auto" w:sz="4" w:space="0"/>
                  </w:tcBorders>
                  <w:shd w:val="clear" w:color="auto" w:fill="auto"/>
                  <w:vAlign w:val="center"/>
                </w:tcPr>
                <w:p w14:paraId="46B59AA1">
                  <w:pPr>
                    <w:keepNext w:val="0"/>
                    <w:keepLines w:val="0"/>
                    <w:widowControl w:val="0"/>
                    <w:suppressLineNumbers w:val="0"/>
                    <w:spacing w:before="0" w:beforeAutospacing="0" w:after="0" w:afterAutospacing="0"/>
                    <w:ind w:left="0" w:right="0"/>
                    <w:jc w:val="center"/>
                    <w:rPr>
                      <w:rFonts w:hint="default" w:ascii="Times New Roman" w:hAnsi="Times New Roman" w:eastAsia="宋体" w:cs="Times New Roman"/>
                      <w:color w:val="auto"/>
                      <w:kern w:val="2"/>
                      <w:sz w:val="21"/>
                      <w:szCs w:val="21"/>
                    </w:rPr>
                  </w:pPr>
                  <w:r>
                    <w:rPr>
                      <w:rFonts w:hint="default" w:ascii="Times New Roman" w:hAnsi="Times New Roman" w:eastAsia="宋体" w:cs="Times New Roman"/>
                      <w:color w:val="auto"/>
                      <w:kern w:val="2"/>
                      <w:sz w:val="21"/>
                      <w:szCs w:val="21"/>
                      <w:lang w:val="en-US" w:eastAsia="zh-CN" w:bidi="ar"/>
                    </w:rPr>
                    <w:t>1年</w:t>
                  </w:r>
                </w:p>
              </w:tc>
              <w:tc>
                <w:tcPr>
                  <w:tcW w:w="650" w:type="dxa"/>
                  <w:tcBorders>
                    <w:top w:val="nil"/>
                    <w:left w:val="single" w:color="auto" w:sz="4" w:space="0"/>
                    <w:bottom w:val="single" w:color="auto" w:sz="4" w:space="0"/>
                    <w:right w:val="single" w:color="auto" w:sz="4" w:space="0"/>
                  </w:tcBorders>
                  <w:shd w:val="clear" w:color="auto" w:fill="auto"/>
                  <w:vAlign w:val="center"/>
                </w:tcPr>
                <w:p w14:paraId="7D0A8A79">
                  <w:pPr>
                    <w:keepNext w:val="0"/>
                    <w:keepLines w:val="0"/>
                    <w:suppressLineNumbers w:val="0"/>
                    <w:spacing w:before="0" w:beforeAutospacing="0" w:after="0" w:afterAutospacing="0"/>
                    <w:ind w:left="0" w:right="0"/>
                    <w:jc w:val="center"/>
                    <w:rPr>
                      <w:rFonts w:hint="default" w:ascii="Times New Roman" w:hAnsi="Times New Roman" w:cs="Times New Roman"/>
                      <w:color w:val="auto"/>
                      <w:sz w:val="20"/>
                      <w:szCs w:val="20"/>
                    </w:rPr>
                  </w:pPr>
                  <w:r>
                    <w:rPr>
                      <w:rFonts w:hint="default" w:ascii="Times New Roman" w:hAnsi="Times New Roman" w:eastAsia="宋体" w:cs="Times New Roman"/>
                      <w:color w:val="auto"/>
                      <w:kern w:val="2"/>
                      <w:sz w:val="21"/>
                      <w:szCs w:val="21"/>
                      <w:lang w:val="en-US" w:eastAsia="zh-CN" w:bidi="ar"/>
                    </w:rPr>
                    <w:t>T</w:t>
                  </w:r>
                  <w:r>
                    <w:rPr>
                      <w:rFonts w:hint="eastAsia" w:ascii="宋体" w:hAnsi="宋体" w:eastAsia="宋体" w:cs="宋体"/>
                      <w:color w:val="auto"/>
                      <w:kern w:val="2"/>
                      <w:sz w:val="21"/>
                      <w:szCs w:val="21"/>
                      <w:lang w:val="en-US" w:eastAsia="zh-CN" w:bidi="ar"/>
                    </w:rPr>
                    <w:t>，</w:t>
                  </w:r>
                  <w:r>
                    <w:rPr>
                      <w:rFonts w:hint="default" w:ascii="Times New Roman" w:hAnsi="Times New Roman" w:eastAsia="宋体" w:cs="Times New Roman"/>
                      <w:color w:val="auto"/>
                      <w:kern w:val="2"/>
                      <w:sz w:val="21"/>
                      <w:szCs w:val="21"/>
                      <w:lang w:val="en-US" w:eastAsia="zh-CN" w:bidi="ar"/>
                    </w:rPr>
                    <w:t>I</w:t>
                  </w:r>
                </w:p>
              </w:tc>
              <w:tc>
                <w:tcPr>
                  <w:tcW w:w="1507" w:type="dxa"/>
                  <w:vMerge w:val="continue"/>
                  <w:tcBorders>
                    <w:left w:val="single" w:color="auto" w:sz="4" w:space="0"/>
                    <w:right w:val="single" w:color="auto" w:sz="4" w:space="0"/>
                  </w:tcBorders>
                  <w:shd w:val="clear" w:color="auto" w:fill="auto"/>
                  <w:vAlign w:val="center"/>
                </w:tcPr>
                <w:p w14:paraId="0B82B2E8">
                  <w:pPr>
                    <w:keepNext w:val="0"/>
                    <w:keepLines w:val="0"/>
                    <w:suppressLineNumbers w:val="0"/>
                    <w:spacing w:before="0" w:beforeAutospacing="0" w:after="0" w:afterAutospacing="0"/>
                    <w:ind w:left="0" w:right="0"/>
                    <w:jc w:val="center"/>
                    <w:rPr>
                      <w:rFonts w:hint="default" w:ascii="Times New Roman" w:hAnsi="Times New Roman" w:cs="Times New Roman"/>
                      <w:color w:val="auto"/>
                      <w:sz w:val="20"/>
                      <w:szCs w:val="20"/>
                    </w:rPr>
                  </w:pPr>
                </w:p>
              </w:tc>
            </w:tr>
            <w:tr w14:paraId="21ED37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397" w:hRule="atLeast"/>
                <w:jc w:val="center"/>
              </w:trPr>
              <w:tc>
                <w:tcPr>
                  <w:tcW w:w="636" w:type="dxa"/>
                  <w:tcBorders>
                    <w:top w:val="single" w:color="auto" w:sz="4" w:space="0"/>
                    <w:left w:val="single" w:color="auto" w:sz="4" w:space="0"/>
                    <w:bottom w:val="single" w:color="auto" w:sz="4" w:space="0"/>
                    <w:right w:val="single" w:color="auto" w:sz="4" w:space="0"/>
                  </w:tcBorders>
                  <w:shd w:val="clear" w:color="auto" w:fill="auto"/>
                  <w:vAlign w:val="center"/>
                </w:tcPr>
                <w:p w14:paraId="5054A5F2">
                  <w:pPr>
                    <w:keepNext w:val="0"/>
                    <w:keepLines w:val="0"/>
                    <w:widowControl w:val="0"/>
                    <w:suppressLineNumbers w:val="0"/>
                    <w:spacing w:before="0" w:beforeAutospacing="0" w:after="0" w:afterAutospacing="0"/>
                    <w:ind w:left="0" w:leftChars="0" w:right="0" w:rightChars="0"/>
                    <w:jc w:val="center"/>
                    <w:rPr>
                      <w:rFonts w:hint="default" w:ascii="Times New Roman" w:hAnsi="Times New Roman" w:eastAsia="宋体" w:cs="Times New Roman"/>
                      <w:color w:val="auto"/>
                      <w:kern w:val="2"/>
                      <w:sz w:val="21"/>
                      <w:szCs w:val="21"/>
                      <w:lang w:val="en-US" w:eastAsia="zh-CN" w:bidi="ar-SA"/>
                    </w:rPr>
                  </w:pPr>
                  <w:r>
                    <w:rPr>
                      <w:rFonts w:hint="default" w:ascii="Times New Roman" w:hAnsi="Times New Roman" w:eastAsia="宋体" w:cs="Times New Roman"/>
                      <w:color w:val="auto"/>
                      <w:kern w:val="2"/>
                      <w:sz w:val="21"/>
                      <w:szCs w:val="21"/>
                      <w:lang w:val="en-US" w:eastAsia="zh-CN" w:bidi="ar"/>
                    </w:rPr>
                    <w:t>13</w:t>
                  </w:r>
                </w:p>
              </w:tc>
              <w:tc>
                <w:tcPr>
                  <w:tcW w:w="1565" w:type="dxa"/>
                  <w:tcBorders>
                    <w:top w:val="single" w:color="auto" w:sz="4" w:space="0"/>
                    <w:left w:val="single" w:color="auto" w:sz="4" w:space="0"/>
                    <w:bottom w:val="single" w:color="auto" w:sz="4" w:space="0"/>
                    <w:right w:val="single" w:color="auto" w:sz="4" w:space="0"/>
                  </w:tcBorders>
                  <w:shd w:val="clear" w:color="auto" w:fill="auto"/>
                  <w:vAlign w:val="center"/>
                </w:tcPr>
                <w:p w14:paraId="4171B95C">
                  <w:pPr>
                    <w:keepNext w:val="0"/>
                    <w:keepLines w:val="0"/>
                    <w:widowControl/>
                    <w:suppressLineNumbers w:val="0"/>
                    <w:spacing w:before="0" w:beforeAutospacing="0" w:after="0" w:afterAutospacing="0"/>
                    <w:ind w:left="0" w:leftChars="0" w:right="0" w:rightChars="0"/>
                    <w:jc w:val="center"/>
                    <w:rPr>
                      <w:rFonts w:hint="default" w:ascii="Times New Roman" w:hAnsi="Times New Roman" w:eastAsia="宋体" w:cs="Times New Roman"/>
                      <w:color w:val="auto"/>
                      <w:kern w:val="2"/>
                      <w:sz w:val="21"/>
                      <w:szCs w:val="21"/>
                    </w:rPr>
                  </w:pPr>
                  <w:r>
                    <w:rPr>
                      <w:rFonts w:hint="eastAsia" w:ascii="宋体" w:hAnsi="宋体" w:eastAsia="宋体" w:cs="宋体"/>
                      <w:color w:val="auto"/>
                      <w:kern w:val="0"/>
                      <w:sz w:val="21"/>
                      <w:szCs w:val="21"/>
                      <w:lang w:val="en-US" w:eastAsia="zh-CN" w:bidi="ar"/>
                    </w:rPr>
                    <w:t>废弃的含油抹布及劳保用品</w:t>
                  </w:r>
                </w:p>
              </w:tc>
              <w:tc>
                <w:tcPr>
                  <w:tcW w:w="2535" w:type="dxa"/>
                  <w:gridSpan w:val="2"/>
                  <w:tcBorders>
                    <w:top w:val="single" w:color="auto" w:sz="4" w:space="0"/>
                    <w:left w:val="single" w:color="auto" w:sz="4" w:space="0"/>
                    <w:bottom w:val="single" w:color="auto" w:sz="4" w:space="0"/>
                    <w:right w:val="single" w:color="auto" w:sz="4" w:space="0"/>
                  </w:tcBorders>
                  <w:shd w:val="clear" w:color="auto" w:fill="auto"/>
                  <w:vAlign w:val="center"/>
                </w:tcPr>
                <w:p w14:paraId="4C528000">
                  <w:pPr>
                    <w:keepNext w:val="0"/>
                    <w:keepLines w:val="0"/>
                    <w:widowControl w:val="0"/>
                    <w:suppressLineNumbers w:val="0"/>
                    <w:spacing w:before="0" w:beforeAutospacing="0" w:after="0" w:afterAutospacing="0"/>
                    <w:ind w:left="0" w:leftChars="0" w:right="0" w:rightChars="0"/>
                    <w:jc w:val="center"/>
                    <w:rPr>
                      <w:rFonts w:hint="default" w:ascii="宋体" w:hAnsi="宋体" w:eastAsia="宋体" w:cs="宋体"/>
                      <w:color w:val="auto"/>
                      <w:kern w:val="2"/>
                      <w:sz w:val="21"/>
                      <w:szCs w:val="21"/>
                      <w:lang w:val="en-US" w:eastAsia="zh-CN" w:bidi="ar"/>
                    </w:rPr>
                  </w:pPr>
                  <w:r>
                    <w:rPr>
                      <w:rFonts w:hint="eastAsia" w:ascii="宋体" w:hAnsi="宋体" w:eastAsia="宋体" w:cs="宋体"/>
                      <w:color w:val="auto"/>
                      <w:kern w:val="2"/>
                      <w:sz w:val="21"/>
                      <w:szCs w:val="21"/>
                      <w:lang w:val="en-US" w:eastAsia="zh-CN" w:bidi="ar"/>
                    </w:rPr>
                    <w:t>职工工作和设备维修</w:t>
                  </w:r>
                </w:p>
              </w:tc>
              <w:tc>
                <w:tcPr>
                  <w:tcW w:w="661" w:type="dxa"/>
                  <w:tcBorders>
                    <w:top w:val="single" w:color="auto" w:sz="4" w:space="0"/>
                    <w:left w:val="single" w:color="auto" w:sz="4" w:space="0"/>
                    <w:bottom w:val="single" w:color="auto" w:sz="4" w:space="0"/>
                    <w:right w:val="single" w:color="auto" w:sz="4" w:space="0"/>
                  </w:tcBorders>
                  <w:shd w:val="clear" w:color="auto" w:fill="auto"/>
                  <w:vAlign w:val="center"/>
                </w:tcPr>
                <w:p w14:paraId="37A4C4FA">
                  <w:pPr>
                    <w:keepNext w:val="0"/>
                    <w:keepLines w:val="0"/>
                    <w:widowControl w:val="0"/>
                    <w:suppressLineNumbers w:val="0"/>
                    <w:spacing w:before="0" w:beforeAutospacing="0" w:after="0" w:afterAutospacing="0"/>
                    <w:ind w:left="0" w:right="0"/>
                    <w:jc w:val="center"/>
                    <w:rPr>
                      <w:rFonts w:hint="default" w:ascii="Times New Roman" w:hAnsi="Times New Roman" w:eastAsia="宋体" w:cs="Times New Roman"/>
                      <w:color w:val="auto"/>
                      <w:kern w:val="2"/>
                      <w:sz w:val="21"/>
                      <w:szCs w:val="21"/>
                    </w:rPr>
                  </w:pPr>
                  <w:r>
                    <w:rPr>
                      <w:rFonts w:hint="eastAsia" w:ascii="宋体" w:hAnsi="宋体" w:eastAsia="宋体" w:cs="宋体"/>
                      <w:color w:val="auto"/>
                      <w:kern w:val="2"/>
                      <w:sz w:val="21"/>
                      <w:szCs w:val="21"/>
                      <w:lang w:val="en-US" w:eastAsia="zh-CN" w:bidi="ar"/>
                    </w:rPr>
                    <w:t>固态</w:t>
                  </w:r>
                </w:p>
              </w:tc>
              <w:tc>
                <w:tcPr>
                  <w:tcW w:w="554" w:type="dxa"/>
                  <w:vMerge w:val="continue"/>
                  <w:tcBorders>
                    <w:top w:val="nil"/>
                    <w:left w:val="single" w:color="auto" w:sz="4" w:space="0"/>
                    <w:bottom w:val="single" w:color="auto" w:sz="4" w:space="0"/>
                    <w:right w:val="single" w:color="auto" w:sz="4" w:space="0"/>
                  </w:tcBorders>
                  <w:shd w:val="clear" w:color="auto" w:fill="auto"/>
                  <w:vAlign w:val="center"/>
                </w:tcPr>
                <w:p w14:paraId="5B884370">
                  <w:pPr>
                    <w:keepNext w:val="0"/>
                    <w:keepLines w:val="0"/>
                    <w:suppressLineNumbers w:val="0"/>
                    <w:spacing w:before="0" w:beforeAutospacing="0" w:after="0" w:afterAutospacing="0"/>
                    <w:ind w:left="0" w:right="0"/>
                    <w:jc w:val="center"/>
                    <w:rPr>
                      <w:rFonts w:hint="default" w:ascii="Times New Roman" w:hAnsi="Times New Roman" w:cs="Times New Roman"/>
                      <w:color w:val="auto"/>
                      <w:sz w:val="20"/>
                      <w:szCs w:val="20"/>
                    </w:rPr>
                  </w:pPr>
                </w:p>
              </w:tc>
              <w:tc>
                <w:tcPr>
                  <w:tcW w:w="1365" w:type="dxa"/>
                  <w:tcBorders>
                    <w:top w:val="single" w:color="auto" w:sz="4" w:space="0"/>
                    <w:left w:val="single" w:color="auto" w:sz="4" w:space="0"/>
                    <w:bottom w:val="single" w:color="auto" w:sz="4" w:space="0"/>
                    <w:right w:val="single" w:color="auto" w:sz="4" w:space="0"/>
                  </w:tcBorders>
                  <w:shd w:val="clear" w:color="auto" w:fill="auto"/>
                  <w:vAlign w:val="center"/>
                </w:tcPr>
                <w:p w14:paraId="41FD4EA5">
                  <w:pPr>
                    <w:keepNext w:val="0"/>
                    <w:keepLines w:val="0"/>
                    <w:widowControl w:val="0"/>
                    <w:suppressLineNumbers w:val="0"/>
                    <w:spacing w:before="0" w:beforeAutospacing="0" w:after="0" w:afterAutospacing="0"/>
                    <w:ind w:left="0" w:right="0"/>
                    <w:jc w:val="center"/>
                    <w:rPr>
                      <w:rFonts w:hint="default" w:ascii="Times New Roman" w:hAnsi="Times New Roman" w:eastAsia="宋体" w:cs="Times New Roman"/>
                      <w:color w:val="auto"/>
                      <w:kern w:val="2"/>
                      <w:sz w:val="21"/>
                      <w:szCs w:val="21"/>
                      <w:lang w:val="en-US" w:eastAsia="zh-CN" w:bidi="ar"/>
                    </w:rPr>
                  </w:pPr>
                  <w:r>
                    <w:rPr>
                      <w:rFonts w:hint="default" w:ascii="Times New Roman" w:hAnsi="Times New Roman" w:eastAsia="宋体" w:cs="Times New Roman"/>
                      <w:color w:val="auto"/>
                      <w:kern w:val="2"/>
                      <w:sz w:val="21"/>
                      <w:szCs w:val="21"/>
                      <w:lang w:val="en-US" w:eastAsia="zh-CN" w:bidi="ar"/>
                    </w:rPr>
                    <w:t>HW49</w:t>
                  </w:r>
                </w:p>
                <w:p w14:paraId="2BBE190C">
                  <w:pPr>
                    <w:keepNext w:val="0"/>
                    <w:keepLines w:val="0"/>
                    <w:widowControl w:val="0"/>
                    <w:suppressLineNumbers w:val="0"/>
                    <w:spacing w:before="0" w:beforeAutospacing="0" w:after="0" w:afterAutospacing="0"/>
                    <w:ind w:left="0" w:right="0"/>
                    <w:jc w:val="center"/>
                    <w:rPr>
                      <w:rFonts w:hint="default" w:ascii="Times New Roman" w:hAnsi="Times New Roman" w:eastAsia="宋体" w:cs="Times New Roman"/>
                      <w:color w:val="auto"/>
                      <w:kern w:val="2"/>
                      <w:sz w:val="21"/>
                      <w:szCs w:val="21"/>
                    </w:rPr>
                  </w:pPr>
                  <w:r>
                    <w:rPr>
                      <w:rFonts w:hint="default" w:ascii="Times New Roman" w:hAnsi="Times New Roman" w:eastAsia="宋体" w:cs="Times New Roman"/>
                      <w:color w:val="auto"/>
                      <w:kern w:val="2"/>
                      <w:sz w:val="21"/>
                      <w:szCs w:val="21"/>
                      <w:lang w:val="en-US" w:eastAsia="zh-CN" w:bidi="ar"/>
                    </w:rPr>
                    <w:t>900-041-49</w:t>
                  </w:r>
                </w:p>
              </w:tc>
              <w:tc>
                <w:tcPr>
                  <w:tcW w:w="2010" w:type="dxa"/>
                  <w:gridSpan w:val="2"/>
                  <w:tcBorders>
                    <w:top w:val="single" w:color="auto" w:sz="4" w:space="0"/>
                    <w:left w:val="single" w:color="auto" w:sz="4" w:space="0"/>
                    <w:bottom w:val="single" w:color="auto" w:sz="4" w:space="0"/>
                    <w:right w:val="single" w:color="auto" w:sz="4" w:space="0"/>
                  </w:tcBorders>
                  <w:shd w:val="clear" w:color="auto" w:fill="auto"/>
                  <w:vAlign w:val="center"/>
                </w:tcPr>
                <w:p w14:paraId="0CCE4D4D">
                  <w:pPr>
                    <w:keepNext w:val="0"/>
                    <w:keepLines w:val="0"/>
                    <w:widowControl w:val="0"/>
                    <w:suppressLineNumbers w:val="0"/>
                    <w:spacing w:before="0" w:beforeAutospacing="0" w:after="0" w:afterAutospacing="0"/>
                    <w:ind w:left="0" w:right="0"/>
                    <w:jc w:val="center"/>
                    <w:rPr>
                      <w:rFonts w:hint="default" w:ascii="Times New Roman" w:hAnsi="Times New Roman" w:eastAsia="宋体" w:cs="Times New Roman"/>
                      <w:color w:val="auto"/>
                      <w:kern w:val="2"/>
                      <w:sz w:val="21"/>
                      <w:szCs w:val="21"/>
                    </w:rPr>
                  </w:pPr>
                  <w:r>
                    <w:rPr>
                      <w:rFonts w:hint="default" w:ascii="Times New Roman" w:hAnsi="Times New Roman" w:eastAsia="宋体" w:cs="Times New Roman"/>
                      <w:color w:val="auto"/>
                      <w:kern w:val="2"/>
                      <w:sz w:val="21"/>
                      <w:szCs w:val="21"/>
                      <w:lang w:val="en-US" w:eastAsia="zh-CN" w:bidi="ar"/>
                    </w:rPr>
                    <w:t>0.</w:t>
                  </w:r>
                  <w:r>
                    <w:rPr>
                      <w:rFonts w:hint="eastAsia" w:ascii="Times New Roman" w:hAnsi="Times New Roman" w:eastAsia="宋体" w:cs="Times New Roman"/>
                      <w:color w:val="auto"/>
                      <w:kern w:val="2"/>
                      <w:sz w:val="21"/>
                      <w:szCs w:val="21"/>
                      <w:lang w:val="en-US" w:eastAsia="zh-CN" w:bidi="ar"/>
                    </w:rPr>
                    <w:t>5</w:t>
                  </w:r>
                </w:p>
              </w:tc>
              <w:tc>
                <w:tcPr>
                  <w:tcW w:w="1122" w:type="dxa"/>
                  <w:tcBorders>
                    <w:top w:val="single" w:color="auto" w:sz="4" w:space="0"/>
                    <w:left w:val="single" w:color="auto" w:sz="4" w:space="0"/>
                    <w:bottom w:val="single" w:color="auto" w:sz="4" w:space="0"/>
                    <w:right w:val="single" w:color="auto" w:sz="4" w:space="0"/>
                  </w:tcBorders>
                  <w:shd w:val="clear" w:color="auto" w:fill="auto"/>
                  <w:vAlign w:val="center"/>
                </w:tcPr>
                <w:p w14:paraId="2093D42D">
                  <w:pPr>
                    <w:keepNext w:val="0"/>
                    <w:keepLines w:val="0"/>
                    <w:widowControl w:val="0"/>
                    <w:suppressLineNumbers w:val="0"/>
                    <w:spacing w:before="0" w:beforeAutospacing="0" w:after="0" w:afterAutospacing="0"/>
                    <w:ind w:left="0" w:right="0"/>
                    <w:jc w:val="center"/>
                    <w:rPr>
                      <w:rFonts w:hint="default" w:ascii="Times New Roman" w:hAnsi="Times New Roman" w:eastAsia="宋体" w:cs="Times New Roman"/>
                      <w:color w:val="auto"/>
                      <w:kern w:val="2"/>
                      <w:sz w:val="21"/>
                      <w:szCs w:val="21"/>
                    </w:rPr>
                  </w:pPr>
                  <w:r>
                    <w:rPr>
                      <w:rFonts w:hint="eastAsia" w:ascii="宋体" w:hAnsi="宋体" w:eastAsia="宋体" w:cs="宋体"/>
                      <w:color w:val="auto"/>
                      <w:kern w:val="2"/>
                      <w:sz w:val="21"/>
                      <w:szCs w:val="21"/>
                      <w:lang w:val="en-US" w:eastAsia="zh-CN" w:bidi="ar"/>
                    </w:rPr>
                    <w:t>废弃的含油抹布及劳保用品</w:t>
                  </w:r>
                </w:p>
              </w:tc>
              <w:tc>
                <w:tcPr>
                  <w:tcW w:w="653" w:type="dxa"/>
                  <w:tcBorders>
                    <w:top w:val="single" w:color="auto" w:sz="4" w:space="0"/>
                    <w:left w:val="single" w:color="auto" w:sz="4" w:space="0"/>
                    <w:bottom w:val="single" w:color="auto" w:sz="4" w:space="0"/>
                    <w:right w:val="single" w:color="auto" w:sz="4" w:space="0"/>
                  </w:tcBorders>
                  <w:shd w:val="clear" w:color="auto" w:fill="auto"/>
                  <w:vAlign w:val="center"/>
                </w:tcPr>
                <w:p w14:paraId="5E79A4D1">
                  <w:pPr>
                    <w:keepNext w:val="0"/>
                    <w:keepLines w:val="0"/>
                    <w:widowControl w:val="0"/>
                    <w:suppressLineNumbers w:val="0"/>
                    <w:spacing w:before="0" w:beforeAutospacing="0" w:after="0" w:afterAutospacing="0"/>
                    <w:ind w:left="0" w:right="0"/>
                    <w:jc w:val="center"/>
                    <w:rPr>
                      <w:rFonts w:hint="default" w:ascii="Times New Roman" w:hAnsi="Times New Roman" w:eastAsia="宋体" w:cs="Times New Roman"/>
                      <w:color w:val="auto"/>
                      <w:kern w:val="2"/>
                      <w:sz w:val="21"/>
                      <w:szCs w:val="21"/>
                    </w:rPr>
                  </w:pPr>
                  <w:r>
                    <w:rPr>
                      <w:rFonts w:hint="eastAsia" w:ascii="宋体" w:hAnsi="宋体" w:eastAsia="宋体" w:cs="宋体"/>
                      <w:color w:val="auto"/>
                      <w:kern w:val="2"/>
                      <w:sz w:val="21"/>
                      <w:szCs w:val="21"/>
                      <w:lang w:val="en-US" w:eastAsia="zh-CN" w:bidi="ar"/>
                    </w:rPr>
                    <w:t>1天</w:t>
                  </w:r>
                </w:p>
              </w:tc>
              <w:tc>
                <w:tcPr>
                  <w:tcW w:w="650" w:type="dxa"/>
                  <w:tcBorders>
                    <w:top w:val="single" w:color="auto" w:sz="4" w:space="0"/>
                    <w:left w:val="single" w:color="auto" w:sz="4" w:space="0"/>
                    <w:bottom w:val="single" w:color="auto" w:sz="4" w:space="0"/>
                    <w:right w:val="single" w:color="auto" w:sz="4" w:space="0"/>
                  </w:tcBorders>
                  <w:shd w:val="clear" w:color="auto" w:fill="auto"/>
                  <w:vAlign w:val="center"/>
                </w:tcPr>
                <w:p w14:paraId="33A1FDF0">
                  <w:pPr>
                    <w:keepNext w:val="0"/>
                    <w:keepLines w:val="0"/>
                    <w:widowControl w:val="0"/>
                    <w:suppressLineNumbers w:val="0"/>
                    <w:spacing w:before="0" w:beforeAutospacing="0" w:after="0" w:afterAutospacing="0"/>
                    <w:ind w:left="0" w:right="0"/>
                    <w:jc w:val="center"/>
                    <w:rPr>
                      <w:rFonts w:hint="default" w:ascii="Times New Roman" w:hAnsi="Times New Roman" w:eastAsia="宋体" w:cs="Times New Roman"/>
                      <w:color w:val="auto"/>
                      <w:kern w:val="2"/>
                      <w:sz w:val="21"/>
                      <w:szCs w:val="21"/>
                    </w:rPr>
                  </w:pPr>
                  <w:r>
                    <w:rPr>
                      <w:rFonts w:hint="default" w:ascii="Times New Roman" w:hAnsi="Times New Roman" w:eastAsia="宋体" w:cs="Times New Roman"/>
                      <w:color w:val="auto"/>
                      <w:kern w:val="2"/>
                      <w:sz w:val="21"/>
                      <w:szCs w:val="21"/>
                      <w:lang w:val="en-US" w:eastAsia="zh-CN" w:bidi="ar"/>
                    </w:rPr>
                    <w:t>T/In</w:t>
                  </w:r>
                </w:p>
              </w:tc>
              <w:tc>
                <w:tcPr>
                  <w:tcW w:w="1507" w:type="dxa"/>
                  <w:vMerge w:val="continue"/>
                  <w:tcBorders>
                    <w:left w:val="single" w:color="auto" w:sz="4" w:space="0"/>
                    <w:right w:val="single" w:color="auto" w:sz="4" w:space="0"/>
                  </w:tcBorders>
                  <w:shd w:val="clear" w:color="auto" w:fill="auto"/>
                  <w:vAlign w:val="center"/>
                </w:tcPr>
                <w:p w14:paraId="7745043F">
                  <w:pPr>
                    <w:keepNext w:val="0"/>
                    <w:keepLines w:val="0"/>
                    <w:suppressLineNumbers w:val="0"/>
                    <w:spacing w:before="0" w:beforeAutospacing="0" w:after="0" w:afterAutospacing="0"/>
                    <w:ind w:left="0" w:right="0"/>
                    <w:jc w:val="center"/>
                    <w:rPr>
                      <w:rFonts w:hint="default" w:ascii="Times New Roman" w:hAnsi="Times New Roman" w:cs="Times New Roman"/>
                      <w:color w:val="auto"/>
                      <w:sz w:val="20"/>
                      <w:szCs w:val="20"/>
                    </w:rPr>
                  </w:pPr>
                </w:p>
              </w:tc>
            </w:tr>
            <w:tr w14:paraId="01307F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397" w:hRule="atLeast"/>
                <w:jc w:val="center"/>
              </w:trPr>
              <w:tc>
                <w:tcPr>
                  <w:tcW w:w="636" w:type="dxa"/>
                  <w:tcBorders>
                    <w:top w:val="single" w:color="auto" w:sz="4" w:space="0"/>
                    <w:left w:val="single" w:color="auto" w:sz="4" w:space="0"/>
                    <w:bottom w:val="single" w:color="auto" w:sz="4" w:space="0"/>
                    <w:right w:val="single" w:color="auto" w:sz="4" w:space="0"/>
                  </w:tcBorders>
                  <w:shd w:val="clear" w:color="auto" w:fill="auto"/>
                  <w:vAlign w:val="center"/>
                </w:tcPr>
                <w:p w14:paraId="7E741D5B">
                  <w:pPr>
                    <w:keepNext w:val="0"/>
                    <w:keepLines w:val="0"/>
                    <w:widowControl w:val="0"/>
                    <w:suppressLineNumbers w:val="0"/>
                    <w:spacing w:before="0" w:beforeAutospacing="0" w:after="0" w:afterAutospacing="0"/>
                    <w:ind w:left="0" w:leftChars="0" w:right="0" w:rightChars="0"/>
                    <w:jc w:val="center"/>
                    <w:rPr>
                      <w:rFonts w:hint="default" w:ascii="Times New Roman" w:hAnsi="Times New Roman" w:eastAsia="宋体" w:cs="Times New Roman"/>
                      <w:color w:val="auto"/>
                      <w:kern w:val="2"/>
                      <w:sz w:val="21"/>
                      <w:szCs w:val="21"/>
                      <w:lang w:val="en-US" w:eastAsia="zh-CN" w:bidi="ar-SA"/>
                    </w:rPr>
                  </w:pPr>
                  <w:r>
                    <w:rPr>
                      <w:rFonts w:hint="default" w:ascii="Times New Roman" w:hAnsi="Times New Roman" w:eastAsia="宋体" w:cs="Times New Roman"/>
                      <w:color w:val="auto"/>
                      <w:kern w:val="2"/>
                      <w:sz w:val="21"/>
                      <w:szCs w:val="21"/>
                      <w:lang w:val="en-US" w:eastAsia="zh-CN" w:bidi="ar"/>
                    </w:rPr>
                    <w:t>14</w:t>
                  </w:r>
                </w:p>
              </w:tc>
              <w:tc>
                <w:tcPr>
                  <w:tcW w:w="1565" w:type="dxa"/>
                  <w:tcBorders>
                    <w:top w:val="single" w:color="auto" w:sz="4" w:space="0"/>
                    <w:left w:val="single" w:color="auto" w:sz="4" w:space="0"/>
                    <w:bottom w:val="single" w:color="auto" w:sz="4" w:space="0"/>
                    <w:right w:val="single" w:color="auto" w:sz="4" w:space="0"/>
                  </w:tcBorders>
                  <w:shd w:val="clear" w:color="auto" w:fill="auto"/>
                  <w:vAlign w:val="center"/>
                </w:tcPr>
                <w:p w14:paraId="4B3F01A4">
                  <w:pPr>
                    <w:keepNext w:val="0"/>
                    <w:keepLines w:val="0"/>
                    <w:widowControl w:val="0"/>
                    <w:suppressLineNumbers w:val="0"/>
                    <w:spacing w:before="0" w:beforeAutospacing="0" w:after="0" w:afterAutospacing="0"/>
                    <w:ind w:left="0" w:leftChars="0" w:right="0" w:rightChars="0"/>
                    <w:jc w:val="center"/>
                    <w:rPr>
                      <w:rFonts w:hint="default" w:ascii="Times New Roman" w:hAnsi="Times New Roman" w:eastAsia="宋体" w:cs="Times New Roman"/>
                      <w:color w:val="auto"/>
                      <w:kern w:val="2"/>
                      <w:sz w:val="21"/>
                      <w:szCs w:val="21"/>
                    </w:rPr>
                  </w:pPr>
                  <w:r>
                    <w:rPr>
                      <w:rFonts w:hint="eastAsia" w:ascii="宋体" w:hAnsi="宋体" w:eastAsia="宋体" w:cs="宋体"/>
                      <w:color w:val="auto"/>
                      <w:kern w:val="2"/>
                      <w:sz w:val="21"/>
                      <w:szCs w:val="21"/>
                      <w:lang w:val="en-US" w:eastAsia="zh-CN" w:bidi="ar"/>
                    </w:rPr>
                    <w:t>喷淋废水</w:t>
                  </w:r>
                </w:p>
              </w:tc>
              <w:tc>
                <w:tcPr>
                  <w:tcW w:w="2535" w:type="dxa"/>
                  <w:gridSpan w:val="2"/>
                  <w:vMerge w:val="restart"/>
                  <w:tcBorders>
                    <w:top w:val="nil"/>
                    <w:left w:val="single" w:color="auto" w:sz="4" w:space="0"/>
                    <w:right w:val="single" w:color="auto" w:sz="4" w:space="0"/>
                  </w:tcBorders>
                  <w:shd w:val="clear" w:color="auto" w:fill="auto"/>
                  <w:vAlign w:val="center"/>
                </w:tcPr>
                <w:p w14:paraId="32EAFDE0">
                  <w:pPr>
                    <w:keepNext w:val="0"/>
                    <w:keepLines w:val="0"/>
                    <w:widowControl w:val="0"/>
                    <w:suppressLineNumbers w:val="0"/>
                    <w:spacing w:before="0" w:beforeAutospacing="0" w:after="0" w:afterAutospacing="0"/>
                    <w:ind w:left="0" w:leftChars="0" w:right="0" w:rightChars="0"/>
                    <w:jc w:val="center"/>
                    <w:rPr>
                      <w:rFonts w:hint="default" w:ascii="宋体" w:hAnsi="宋体" w:eastAsia="宋体" w:cs="宋体"/>
                      <w:color w:val="auto"/>
                      <w:kern w:val="2"/>
                      <w:sz w:val="21"/>
                      <w:szCs w:val="21"/>
                      <w:lang w:val="en-US" w:eastAsia="zh-CN" w:bidi="ar"/>
                    </w:rPr>
                  </w:pPr>
                  <w:r>
                    <w:rPr>
                      <w:rFonts w:hint="default" w:ascii="宋体" w:hAnsi="宋体" w:eastAsia="宋体" w:cs="宋体"/>
                      <w:color w:val="auto"/>
                      <w:kern w:val="2"/>
                      <w:sz w:val="21"/>
                      <w:szCs w:val="21"/>
                      <w:lang w:val="en-US" w:eastAsia="zh-CN" w:bidi="ar"/>
                    </w:rPr>
                    <w:t>废气处理</w:t>
                  </w:r>
                </w:p>
              </w:tc>
              <w:tc>
                <w:tcPr>
                  <w:tcW w:w="661" w:type="dxa"/>
                  <w:tcBorders>
                    <w:top w:val="single" w:color="auto" w:sz="4" w:space="0"/>
                    <w:left w:val="single" w:color="auto" w:sz="4" w:space="0"/>
                    <w:bottom w:val="single" w:color="auto" w:sz="4" w:space="0"/>
                    <w:right w:val="single" w:color="auto" w:sz="4" w:space="0"/>
                  </w:tcBorders>
                  <w:shd w:val="clear" w:color="auto" w:fill="auto"/>
                  <w:vAlign w:val="center"/>
                </w:tcPr>
                <w:p w14:paraId="73CFA573">
                  <w:pPr>
                    <w:keepNext w:val="0"/>
                    <w:keepLines w:val="0"/>
                    <w:widowControl w:val="0"/>
                    <w:suppressLineNumbers w:val="0"/>
                    <w:spacing w:before="0" w:beforeAutospacing="0" w:after="0" w:afterAutospacing="0"/>
                    <w:ind w:left="0" w:right="0"/>
                    <w:jc w:val="center"/>
                    <w:rPr>
                      <w:rFonts w:hint="default" w:ascii="Times New Roman" w:hAnsi="Times New Roman" w:eastAsia="宋体" w:cs="Times New Roman"/>
                      <w:color w:val="auto"/>
                      <w:kern w:val="2"/>
                      <w:sz w:val="21"/>
                      <w:szCs w:val="21"/>
                    </w:rPr>
                  </w:pPr>
                  <w:r>
                    <w:rPr>
                      <w:rFonts w:hint="eastAsia" w:ascii="宋体" w:hAnsi="宋体" w:eastAsia="宋体" w:cs="宋体"/>
                      <w:color w:val="auto"/>
                      <w:kern w:val="2"/>
                      <w:sz w:val="21"/>
                      <w:szCs w:val="21"/>
                      <w:lang w:val="en-US" w:eastAsia="zh-CN" w:bidi="ar"/>
                    </w:rPr>
                    <w:t>液态</w:t>
                  </w:r>
                </w:p>
              </w:tc>
              <w:tc>
                <w:tcPr>
                  <w:tcW w:w="554" w:type="dxa"/>
                  <w:vMerge w:val="continue"/>
                  <w:tcBorders>
                    <w:top w:val="nil"/>
                    <w:left w:val="single" w:color="auto" w:sz="4" w:space="0"/>
                    <w:bottom w:val="single" w:color="auto" w:sz="4" w:space="0"/>
                    <w:right w:val="single" w:color="auto" w:sz="4" w:space="0"/>
                  </w:tcBorders>
                  <w:shd w:val="clear" w:color="auto" w:fill="auto"/>
                  <w:vAlign w:val="center"/>
                </w:tcPr>
                <w:p w14:paraId="10805348">
                  <w:pPr>
                    <w:keepNext w:val="0"/>
                    <w:keepLines w:val="0"/>
                    <w:suppressLineNumbers w:val="0"/>
                    <w:spacing w:before="0" w:beforeAutospacing="0" w:after="0" w:afterAutospacing="0"/>
                    <w:ind w:left="0" w:right="0"/>
                    <w:jc w:val="center"/>
                    <w:rPr>
                      <w:rFonts w:hint="default" w:ascii="Times New Roman" w:hAnsi="Times New Roman" w:cs="Times New Roman"/>
                      <w:color w:val="auto"/>
                      <w:sz w:val="20"/>
                      <w:szCs w:val="20"/>
                    </w:rPr>
                  </w:pPr>
                </w:p>
              </w:tc>
              <w:tc>
                <w:tcPr>
                  <w:tcW w:w="1365" w:type="dxa"/>
                  <w:tcBorders>
                    <w:top w:val="single" w:color="auto" w:sz="4" w:space="0"/>
                    <w:left w:val="single" w:color="auto" w:sz="4" w:space="0"/>
                    <w:bottom w:val="single" w:color="auto" w:sz="4" w:space="0"/>
                    <w:right w:val="single" w:color="auto" w:sz="4" w:space="0"/>
                  </w:tcBorders>
                  <w:shd w:val="clear" w:color="auto" w:fill="auto"/>
                  <w:vAlign w:val="center"/>
                </w:tcPr>
                <w:p w14:paraId="7E98956C">
                  <w:pPr>
                    <w:keepNext w:val="0"/>
                    <w:keepLines w:val="0"/>
                    <w:widowControl w:val="0"/>
                    <w:suppressLineNumbers w:val="0"/>
                    <w:spacing w:before="0" w:beforeAutospacing="0" w:after="0" w:afterAutospacing="0"/>
                    <w:ind w:left="0" w:right="0"/>
                    <w:jc w:val="center"/>
                    <w:rPr>
                      <w:rFonts w:hint="default" w:ascii="Times New Roman" w:hAnsi="Times New Roman" w:eastAsia="宋体" w:cs="Times New Roman"/>
                      <w:color w:val="auto"/>
                      <w:kern w:val="2"/>
                      <w:sz w:val="21"/>
                      <w:szCs w:val="21"/>
                    </w:rPr>
                  </w:pPr>
                  <w:r>
                    <w:rPr>
                      <w:rFonts w:hint="default" w:ascii="Times New Roman" w:hAnsi="Times New Roman" w:eastAsia="宋体" w:cs="Times New Roman"/>
                      <w:color w:val="auto"/>
                      <w:kern w:val="2"/>
                      <w:sz w:val="21"/>
                      <w:szCs w:val="21"/>
                      <w:lang w:val="en-US" w:eastAsia="zh-CN" w:bidi="ar"/>
                    </w:rPr>
                    <w:t>HW49</w:t>
                  </w:r>
                </w:p>
                <w:p w14:paraId="63815C5E">
                  <w:pPr>
                    <w:keepNext w:val="0"/>
                    <w:keepLines w:val="0"/>
                    <w:widowControl w:val="0"/>
                    <w:suppressLineNumbers w:val="0"/>
                    <w:spacing w:before="0" w:beforeAutospacing="0" w:after="0" w:afterAutospacing="0"/>
                    <w:ind w:left="0" w:right="0"/>
                    <w:jc w:val="center"/>
                    <w:rPr>
                      <w:rFonts w:hint="default" w:ascii="Times New Roman" w:hAnsi="Times New Roman" w:eastAsia="宋体" w:cs="Times New Roman"/>
                      <w:color w:val="auto"/>
                      <w:kern w:val="2"/>
                      <w:sz w:val="21"/>
                      <w:szCs w:val="21"/>
                    </w:rPr>
                  </w:pPr>
                  <w:r>
                    <w:rPr>
                      <w:rFonts w:hint="default" w:ascii="Times New Roman" w:hAnsi="Times New Roman" w:eastAsia="宋体" w:cs="Times New Roman"/>
                      <w:color w:val="auto"/>
                      <w:kern w:val="2"/>
                      <w:sz w:val="21"/>
                      <w:szCs w:val="21"/>
                      <w:lang w:val="en-US" w:eastAsia="zh-CN" w:bidi="ar"/>
                    </w:rPr>
                    <w:t>900-041-49</w:t>
                  </w:r>
                </w:p>
              </w:tc>
              <w:tc>
                <w:tcPr>
                  <w:tcW w:w="2010" w:type="dxa"/>
                  <w:gridSpan w:val="2"/>
                  <w:tcBorders>
                    <w:top w:val="single" w:color="auto" w:sz="4" w:space="0"/>
                    <w:left w:val="single" w:color="auto" w:sz="4" w:space="0"/>
                    <w:bottom w:val="single" w:color="auto" w:sz="4" w:space="0"/>
                    <w:right w:val="single" w:color="auto" w:sz="4" w:space="0"/>
                  </w:tcBorders>
                  <w:shd w:val="clear" w:color="auto" w:fill="auto"/>
                  <w:vAlign w:val="center"/>
                </w:tcPr>
                <w:p w14:paraId="34568CDF">
                  <w:pPr>
                    <w:keepNext w:val="0"/>
                    <w:keepLines w:val="0"/>
                    <w:widowControl w:val="0"/>
                    <w:suppressLineNumbers w:val="0"/>
                    <w:spacing w:before="0" w:beforeAutospacing="0" w:after="0" w:afterAutospacing="0"/>
                    <w:ind w:left="0" w:right="0"/>
                    <w:jc w:val="center"/>
                    <w:rPr>
                      <w:rFonts w:hint="default" w:ascii="Times New Roman" w:hAnsi="Times New Roman" w:eastAsia="宋体" w:cs="Times New Roman"/>
                      <w:color w:val="auto"/>
                      <w:kern w:val="2"/>
                      <w:sz w:val="21"/>
                      <w:szCs w:val="21"/>
                    </w:rPr>
                  </w:pPr>
                  <w:r>
                    <w:rPr>
                      <w:rFonts w:hint="eastAsia" w:ascii="Times New Roman" w:hAnsi="Times New Roman" w:eastAsia="宋体" w:cs="Times New Roman"/>
                      <w:color w:val="auto"/>
                      <w:kern w:val="2"/>
                      <w:sz w:val="21"/>
                      <w:szCs w:val="21"/>
                      <w:lang w:val="en-US" w:eastAsia="zh-CN" w:bidi="ar"/>
                    </w:rPr>
                    <w:t>4</w:t>
                  </w:r>
                </w:p>
              </w:tc>
              <w:tc>
                <w:tcPr>
                  <w:tcW w:w="1122" w:type="dxa"/>
                  <w:tcBorders>
                    <w:top w:val="single" w:color="auto" w:sz="4" w:space="0"/>
                    <w:left w:val="single" w:color="auto" w:sz="4" w:space="0"/>
                    <w:bottom w:val="single" w:color="auto" w:sz="4" w:space="0"/>
                    <w:right w:val="single" w:color="auto" w:sz="4" w:space="0"/>
                  </w:tcBorders>
                  <w:shd w:val="clear" w:color="auto" w:fill="auto"/>
                  <w:vAlign w:val="center"/>
                </w:tcPr>
                <w:p w14:paraId="173F52D1">
                  <w:pPr>
                    <w:keepNext w:val="0"/>
                    <w:keepLines w:val="0"/>
                    <w:widowControl w:val="0"/>
                    <w:suppressLineNumbers w:val="0"/>
                    <w:spacing w:before="0" w:beforeAutospacing="0" w:after="0" w:afterAutospacing="0"/>
                    <w:ind w:left="0" w:right="0"/>
                    <w:jc w:val="center"/>
                    <w:rPr>
                      <w:rFonts w:hint="default" w:ascii="Times New Roman" w:hAnsi="Times New Roman" w:eastAsia="宋体" w:cs="Times New Roman"/>
                      <w:color w:val="auto"/>
                      <w:kern w:val="2"/>
                      <w:sz w:val="21"/>
                      <w:szCs w:val="21"/>
                    </w:rPr>
                  </w:pPr>
                  <w:r>
                    <w:rPr>
                      <w:rFonts w:hint="eastAsia" w:ascii="宋体" w:hAnsi="宋体" w:eastAsia="宋体" w:cs="宋体"/>
                      <w:color w:val="auto"/>
                      <w:kern w:val="2"/>
                      <w:sz w:val="21"/>
                      <w:szCs w:val="21"/>
                      <w:lang w:val="en-US" w:eastAsia="zh-CN" w:bidi="ar"/>
                    </w:rPr>
                    <w:t>喷淋废水</w:t>
                  </w:r>
                </w:p>
              </w:tc>
              <w:tc>
                <w:tcPr>
                  <w:tcW w:w="653" w:type="dxa"/>
                  <w:tcBorders>
                    <w:top w:val="single" w:color="auto" w:sz="4" w:space="0"/>
                    <w:left w:val="single" w:color="auto" w:sz="4" w:space="0"/>
                    <w:bottom w:val="single" w:color="auto" w:sz="4" w:space="0"/>
                    <w:right w:val="single" w:color="auto" w:sz="4" w:space="0"/>
                  </w:tcBorders>
                  <w:shd w:val="clear" w:color="auto" w:fill="auto"/>
                  <w:vAlign w:val="center"/>
                </w:tcPr>
                <w:p w14:paraId="2D37D7CA">
                  <w:pPr>
                    <w:keepNext w:val="0"/>
                    <w:keepLines w:val="0"/>
                    <w:widowControl w:val="0"/>
                    <w:suppressLineNumbers w:val="0"/>
                    <w:spacing w:before="0" w:beforeAutospacing="0" w:after="0" w:afterAutospacing="0"/>
                    <w:ind w:left="0" w:right="0"/>
                    <w:jc w:val="center"/>
                    <w:rPr>
                      <w:rFonts w:hint="default" w:ascii="Times New Roman" w:hAnsi="Times New Roman" w:eastAsia="宋体" w:cs="Times New Roman"/>
                      <w:color w:val="auto"/>
                      <w:kern w:val="2"/>
                      <w:sz w:val="21"/>
                      <w:szCs w:val="21"/>
                    </w:rPr>
                  </w:pPr>
                  <w:r>
                    <w:rPr>
                      <w:rFonts w:hint="eastAsia" w:ascii="Times New Roman" w:hAnsi="Times New Roman" w:eastAsia="宋体" w:cs="Times New Roman"/>
                      <w:color w:val="auto"/>
                      <w:kern w:val="2"/>
                      <w:sz w:val="21"/>
                      <w:szCs w:val="21"/>
                      <w:lang w:val="en-US" w:eastAsia="zh-CN" w:bidi="ar"/>
                    </w:rPr>
                    <w:t>6</w:t>
                  </w:r>
                  <w:r>
                    <w:rPr>
                      <w:rFonts w:hint="default" w:ascii="Times New Roman" w:hAnsi="Times New Roman" w:eastAsia="宋体" w:cs="Times New Roman"/>
                      <w:color w:val="auto"/>
                      <w:kern w:val="2"/>
                      <w:sz w:val="21"/>
                      <w:szCs w:val="21"/>
                      <w:lang w:val="en-US" w:eastAsia="zh-CN" w:bidi="ar"/>
                    </w:rPr>
                    <w:t>个月</w:t>
                  </w:r>
                </w:p>
              </w:tc>
              <w:tc>
                <w:tcPr>
                  <w:tcW w:w="650" w:type="dxa"/>
                  <w:tcBorders>
                    <w:top w:val="single" w:color="auto" w:sz="4" w:space="0"/>
                    <w:left w:val="single" w:color="auto" w:sz="4" w:space="0"/>
                    <w:bottom w:val="single" w:color="auto" w:sz="4" w:space="0"/>
                    <w:right w:val="single" w:color="auto" w:sz="4" w:space="0"/>
                  </w:tcBorders>
                  <w:shd w:val="clear" w:color="auto" w:fill="auto"/>
                  <w:vAlign w:val="center"/>
                </w:tcPr>
                <w:p w14:paraId="3F769815">
                  <w:pPr>
                    <w:keepNext w:val="0"/>
                    <w:keepLines w:val="0"/>
                    <w:widowControl w:val="0"/>
                    <w:suppressLineNumbers w:val="0"/>
                    <w:spacing w:before="0" w:beforeAutospacing="0" w:after="0" w:afterAutospacing="0"/>
                    <w:ind w:left="0" w:right="0"/>
                    <w:jc w:val="center"/>
                    <w:rPr>
                      <w:rFonts w:hint="default" w:ascii="Times New Roman" w:hAnsi="Times New Roman" w:eastAsia="宋体" w:cs="Times New Roman"/>
                      <w:color w:val="auto"/>
                      <w:kern w:val="2"/>
                      <w:sz w:val="21"/>
                      <w:szCs w:val="21"/>
                    </w:rPr>
                  </w:pPr>
                  <w:r>
                    <w:rPr>
                      <w:rFonts w:hint="default" w:ascii="Times New Roman" w:hAnsi="Times New Roman" w:eastAsia="宋体" w:cs="Times New Roman"/>
                      <w:color w:val="auto"/>
                      <w:kern w:val="2"/>
                      <w:sz w:val="21"/>
                      <w:szCs w:val="21"/>
                      <w:lang w:val="en-US" w:eastAsia="zh-CN" w:bidi="ar"/>
                    </w:rPr>
                    <w:t>T/In</w:t>
                  </w:r>
                </w:p>
              </w:tc>
              <w:tc>
                <w:tcPr>
                  <w:tcW w:w="1507" w:type="dxa"/>
                  <w:vMerge w:val="continue"/>
                  <w:tcBorders>
                    <w:left w:val="single" w:color="auto" w:sz="4" w:space="0"/>
                    <w:right w:val="single" w:color="auto" w:sz="4" w:space="0"/>
                  </w:tcBorders>
                  <w:shd w:val="clear" w:color="auto" w:fill="auto"/>
                  <w:vAlign w:val="center"/>
                </w:tcPr>
                <w:p w14:paraId="456F0F41">
                  <w:pPr>
                    <w:keepNext w:val="0"/>
                    <w:keepLines w:val="0"/>
                    <w:suppressLineNumbers w:val="0"/>
                    <w:spacing w:before="0" w:beforeAutospacing="0" w:after="0" w:afterAutospacing="0"/>
                    <w:ind w:left="0" w:right="0"/>
                    <w:jc w:val="center"/>
                    <w:rPr>
                      <w:rFonts w:hint="default" w:ascii="Times New Roman" w:hAnsi="Times New Roman" w:cs="Times New Roman"/>
                      <w:color w:val="auto"/>
                      <w:sz w:val="20"/>
                      <w:szCs w:val="20"/>
                    </w:rPr>
                  </w:pPr>
                </w:p>
              </w:tc>
            </w:tr>
            <w:tr w14:paraId="716125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397" w:hRule="atLeast"/>
                <w:jc w:val="center"/>
              </w:trPr>
              <w:tc>
                <w:tcPr>
                  <w:tcW w:w="636" w:type="dxa"/>
                  <w:tcBorders>
                    <w:top w:val="single" w:color="auto" w:sz="4" w:space="0"/>
                    <w:left w:val="single" w:color="auto" w:sz="4" w:space="0"/>
                    <w:bottom w:val="single" w:color="auto" w:sz="4" w:space="0"/>
                    <w:right w:val="single" w:color="auto" w:sz="4" w:space="0"/>
                  </w:tcBorders>
                  <w:shd w:val="clear" w:color="auto" w:fill="auto"/>
                  <w:vAlign w:val="center"/>
                </w:tcPr>
                <w:p w14:paraId="5DD5D72A">
                  <w:pPr>
                    <w:keepNext w:val="0"/>
                    <w:keepLines w:val="0"/>
                    <w:widowControl w:val="0"/>
                    <w:suppressLineNumbers w:val="0"/>
                    <w:spacing w:before="0" w:beforeAutospacing="0" w:after="0" w:afterAutospacing="0"/>
                    <w:ind w:left="0" w:leftChars="0" w:right="0" w:rightChars="0"/>
                    <w:jc w:val="center"/>
                    <w:rPr>
                      <w:rFonts w:hint="default" w:ascii="Times New Roman" w:hAnsi="Times New Roman" w:eastAsia="宋体" w:cs="Times New Roman"/>
                      <w:color w:val="auto"/>
                      <w:kern w:val="2"/>
                      <w:sz w:val="21"/>
                      <w:szCs w:val="21"/>
                      <w:lang w:val="en-US" w:eastAsia="zh-CN" w:bidi="ar-SA"/>
                    </w:rPr>
                  </w:pPr>
                  <w:r>
                    <w:rPr>
                      <w:rFonts w:hint="default" w:ascii="Times New Roman" w:hAnsi="Times New Roman" w:eastAsia="宋体" w:cs="Times New Roman"/>
                      <w:color w:val="auto"/>
                      <w:kern w:val="2"/>
                      <w:sz w:val="21"/>
                      <w:szCs w:val="21"/>
                      <w:lang w:val="en-US" w:eastAsia="zh-CN" w:bidi="ar"/>
                    </w:rPr>
                    <w:t>1</w:t>
                  </w:r>
                  <w:r>
                    <w:rPr>
                      <w:rFonts w:hint="eastAsia" w:ascii="Times New Roman" w:hAnsi="Times New Roman" w:eastAsia="宋体" w:cs="Times New Roman"/>
                      <w:color w:val="auto"/>
                      <w:kern w:val="2"/>
                      <w:sz w:val="21"/>
                      <w:szCs w:val="21"/>
                      <w:lang w:val="en-US" w:eastAsia="zh-CN" w:bidi="ar"/>
                    </w:rPr>
                    <w:t>5</w:t>
                  </w:r>
                </w:p>
              </w:tc>
              <w:tc>
                <w:tcPr>
                  <w:tcW w:w="1565" w:type="dxa"/>
                  <w:tcBorders>
                    <w:top w:val="single" w:color="auto" w:sz="4" w:space="0"/>
                    <w:left w:val="single" w:color="auto" w:sz="4" w:space="0"/>
                    <w:bottom w:val="single" w:color="auto" w:sz="4" w:space="0"/>
                    <w:right w:val="single" w:color="auto" w:sz="4" w:space="0"/>
                  </w:tcBorders>
                  <w:shd w:val="clear" w:color="auto" w:fill="auto"/>
                  <w:vAlign w:val="center"/>
                </w:tcPr>
                <w:p w14:paraId="1C84AFEF">
                  <w:pPr>
                    <w:keepNext w:val="0"/>
                    <w:keepLines w:val="0"/>
                    <w:widowControl w:val="0"/>
                    <w:suppressLineNumbers w:val="0"/>
                    <w:spacing w:before="0" w:beforeAutospacing="0" w:after="0" w:afterAutospacing="0"/>
                    <w:ind w:left="0" w:leftChars="0" w:right="0" w:rightChars="0"/>
                    <w:jc w:val="center"/>
                    <w:rPr>
                      <w:rFonts w:hint="default" w:ascii="Times New Roman" w:hAnsi="Times New Roman" w:eastAsia="宋体" w:cs="Times New Roman"/>
                      <w:color w:val="auto"/>
                      <w:kern w:val="2"/>
                      <w:sz w:val="21"/>
                      <w:szCs w:val="21"/>
                    </w:rPr>
                  </w:pPr>
                  <w:r>
                    <w:rPr>
                      <w:rFonts w:hint="eastAsia" w:ascii="宋体" w:hAnsi="宋体" w:eastAsia="宋体" w:cs="宋体"/>
                      <w:color w:val="0000E1"/>
                      <w:kern w:val="2"/>
                      <w:sz w:val="21"/>
                      <w:szCs w:val="21"/>
                      <w:lang w:val="en-US" w:eastAsia="zh-CN" w:bidi="ar"/>
                    </w:rPr>
                    <w:t>废过滤棉</w:t>
                  </w:r>
                </w:p>
              </w:tc>
              <w:tc>
                <w:tcPr>
                  <w:tcW w:w="2535" w:type="dxa"/>
                  <w:gridSpan w:val="2"/>
                  <w:vMerge w:val="continue"/>
                  <w:tcBorders>
                    <w:top w:val="nil"/>
                    <w:left w:val="single" w:color="auto" w:sz="4" w:space="0"/>
                    <w:bottom w:val="single" w:color="auto" w:sz="4" w:space="0"/>
                    <w:right w:val="single" w:color="auto" w:sz="4" w:space="0"/>
                  </w:tcBorders>
                  <w:shd w:val="clear" w:color="auto" w:fill="auto"/>
                  <w:vAlign w:val="center"/>
                </w:tcPr>
                <w:p w14:paraId="74BEE5E8">
                  <w:pPr>
                    <w:keepNext w:val="0"/>
                    <w:keepLines w:val="0"/>
                    <w:suppressLineNumbers w:val="0"/>
                    <w:spacing w:before="0" w:beforeAutospacing="0" w:after="0" w:afterAutospacing="0"/>
                    <w:ind w:left="0" w:right="0"/>
                    <w:jc w:val="center"/>
                    <w:rPr>
                      <w:rFonts w:hint="default" w:ascii="Times New Roman" w:hAnsi="Times New Roman" w:cs="Times New Roman"/>
                      <w:color w:val="auto"/>
                      <w:sz w:val="20"/>
                      <w:szCs w:val="20"/>
                    </w:rPr>
                  </w:pPr>
                </w:p>
              </w:tc>
              <w:tc>
                <w:tcPr>
                  <w:tcW w:w="661" w:type="dxa"/>
                  <w:tcBorders>
                    <w:top w:val="single" w:color="auto" w:sz="4" w:space="0"/>
                    <w:left w:val="single" w:color="auto" w:sz="4" w:space="0"/>
                    <w:bottom w:val="single" w:color="auto" w:sz="4" w:space="0"/>
                    <w:right w:val="single" w:color="auto" w:sz="4" w:space="0"/>
                  </w:tcBorders>
                  <w:shd w:val="clear" w:color="auto" w:fill="auto"/>
                  <w:vAlign w:val="center"/>
                </w:tcPr>
                <w:p w14:paraId="2869F631">
                  <w:pPr>
                    <w:keepNext w:val="0"/>
                    <w:keepLines w:val="0"/>
                    <w:widowControl w:val="0"/>
                    <w:suppressLineNumbers w:val="0"/>
                    <w:spacing w:before="0" w:beforeAutospacing="0" w:after="0" w:afterAutospacing="0"/>
                    <w:ind w:left="0" w:right="0"/>
                    <w:jc w:val="center"/>
                    <w:rPr>
                      <w:rFonts w:hint="default" w:ascii="Times New Roman" w:hAnsi="Times New Roman" w:eastAsia="宋体" w:cs="Times New Roman"/>
                      <w:color w:val="auto"/>
                      <w:kern w:val="2"/>
                      <w:sz w:val="21"/>
                      <w:szCs w:val="21"/>
                    </w:rPr>
                  </w:pPr>
                  <w:r>
                    <w:rPr>
                      <w:rFonts w:hint="eastAsia" w:ascii="宋体" w:hAnsi="宋体" w:eastAsia="宋体" w:cs="宋体"/>
                      <w:color w:val="auto"/>
                      <w:kern w:val="2"/>
                      <w:sz w:val="21"/>
                      <w:szCs w:val="21"/>
                      <w:lang w:val="en-US" w:eastAsia="zh-CN" w:bidi="ar"/>
                    </w:rPr>
                    <w:t>固态</w:t>
                  </w:r>
                </w:p>
              </w:tc>
              <w:tc>
                <w:tcPr>
                  <w:tcW w:w="554" w:type="dxa"/>
                  <w:vMerge w:val="continue"/>
                  <w:tcBorders>
                    <w:top w:val="nil"/>
                    <w:left w:val="single" w:color="auto" w:sz="4" w:space="0"/>
                    <w:bottom w:val="single" w:color="auto" w:sz="4" w:space="0"/>
                    <w:right w:val="single" w:color="auto" w:sz="4" w:space="0"/>
                  </w:tcBorders>
                  <w:shd w:val="clear" w:color="auto" w:fill="auto"/>
                  <w:vAlign w:val="center"/>
                </w:tcPr>
                <w:p w14:paraId="0CAAF8EB">
                  <w:pPr>
                    <w:keepNext w:val="0"/>
                    <w:keepLines w:val="0"/>
                    <w:suppressLineNumbers w:val="0"/>
                    <w:spacing w:before="0" w:beforeAutospacing="0" w:after="0" w:afterAutospacing="0"/>
                    <w:ind w:left="0" w:right="0"/>
                    <w:jc w:val="center"/>
                    <w:rPr>
                      <w:rFonts w:hint="default" w:ascii="Times New Roman" w:hAnsi="Times New Roman" w:cs="Times New Roman"/>
                      <w:color w:val="auto"/>
                      <w:sz w:val="20"/>
                      <w:szCs w:val="20"/>
                    </w:rPr>
                  </w:pPr>
                </w:p>
              </w:tc>
              <w:tc>
                <w:tcPr>
                  <w:tcW w:w="1365" w:type="dxa"/>
                  <w:tcBorders>
                    <w:top w:val="single" w:color="auto" w:sz="4" w:space="0"/>
                    <w:left w:val="single" w:color="auto" w:sz="4" w:space="0"/>
                    <w:bottom w:val="single" w:color="auto" w:sz="4" w:space="0"/>
                    <w:right w:val="single" w:color="auto" w:sz="4" w:space="0"/>
                  </w:tcBorders>
                  <w:shd w:val="clear" w:color="auto" w:fill="auto"/>
                  <w:vAlign w:val="center"/>
                </w:tcPr>
                <w:p w14:paraId="3549F7E7">
                  <w:pPr>
                    <w:keepNext w:val="0"/>
                    <w:keepLines w:val="0"/>
                    <w:widowControl w:val="0"/>
                    <w:suppressLineNumbers w:val="0"/>
                    <w:spacing w:before="0" w:beforeAutospacing="0" w:after="0" w:afterAutospacing="0"/>
                    <w:ind w:left="0" w:right="0"/>
                    <w:jc w:val="center"/>
                    <w:rPr>
                      <w:rFonts w:hint="default" w:ascii="Times New Roman" w:hAnsi="Times New Roman" w:eastAsia="宋体" w:cs="Times New Roman"/>
                      <w:color w:val="auto"/>
                      <w:kern w:val="2"/>
                      <w:sz w:val="21"/>
                      <w:szCs w:val="21"/>
                      <w:lang w:val="en-US" w:eastAsia="zh-CN" w:bidi="ar"/>
                    </w:rPr>
                  </w:pPr>
                  <w:r>
                    <w:rPr>
                      <w:rFonts w:hint="default" w:ascii="Times New Roman" w:hAnsi="Times New Roman" w:eastAsia="宋体" w:cs="Times New Roman"/>
                      <w:color w:val="auto"/>
                      <w:kern w:val="2"/>
                      <w:sz w:val="21"/>
                      <w:szCs w:val="21"/>
                      <w:lang w:val="en-US" w:eastAsia="zh-CN" w:bidi="ar"/>
                    </w:rPr>
                    <w:t>HW49</w:t>
                  </w:r>
                </w:p>
                <w:p w14:paraId="614F17E2">
                  <w:pPr>
                    <w:keepNext w:val="0"/>
                    <w:keepLines w:val="0"/>
                    <w:widowControl w:val="0"/>
                    <w:suppressLineNumbers w:val="0"/>
                    <w:spacing w:before="0" w:beforeAutospacing="0" w:after="0" w:afterAutospacing="0"/>
                    <w:ind w:left="0" w:right="0"/>
                    <w:jc w:val="center"/>
                    <w:rPr>
                      <w:rFonts w:hint="default" w:ascii="Times New Roman" w:hAnsi="Times New Roman" w:eastAsia="宋体" w:cs="Times New Roman"/>
                      <w:color w:val="auto"/>
                      <w:kern w:val="2"/>
                      <w:sz w:val="21"/>
                      <w:szCs w:val="21"/>
                    </w:rPr>
                  </w:pPr>
                  <w:r>
                    <w:rPr>
                      <w:rFonts w:hint="default" w:ascii="Times New Roman" w:hAnsi="Times New Roman" w:eastAsia="宋体" w:cs="Times New Roman"/>
                      <w:color w:val="auto"/>
                      <w:kern w:val="2"/>
                      <w:sz w:val="21"/>
                      <w:szCs w:val="21"/>
                      <w:lang w:val="en-US" w:eastAsia="zh-CN" w:bidi="ar"/>
                    </w:rPr>
                    <w:t>900-041-49</w:t>
                  </w:r>
                </w:p>
              </w:tc>
              <w:tc>
                <w:tcPr>
                  <w:tcW w:w="2010" w:type="dxa"/>
                  <w:gridSpan w:val="2"/>
                  <w:tcBorders>
                    <w:top w:val="single" w:color="auto" w:sz="4" w:space="0"/>
                    <w:left w:val="single" w:color="auto" w:sz="4" w:space="0"/>
                    <w:bottom w:val="single" w:color="auto" w:sz="4" w:space="0"/>
                    <w:right w:val="single" w:color="auto" w:sz="4" w:space="0"/>
                  </w:tcBorders>
                  <w:shd w:val="clear" w:color="auto" w:fill="auto"/>
                  <w:vAlign w:val="center"/>
                </w:tcPr>
                <w:p w14:paraId="349D5BC0">
                  <w:pPr>
                    <w:keepNext w:val="0"/>
                    <w:keepLines w:val="0"/>
                    <w:widowControl w:val="0"/>
                    <w:suppressLineNumbers w:val="0"/>
                    <w:spacing w:before="0" w:beforeAutospacing="0" w:after="0" w:afterAutospacing="0"/>
                    <w:ind w:left="0" w:right="0"/>
                    <w:jc w:val="center"/>
                    <w:rPr>
                      <w:rFonts w:hint="default" w:ascii="Times New Roman" w:hAnsi="Times New Roman" w:eastAsia="宋体" w:cs="Times New Roman"/>
                      <w:color w:val="auto"/>
                      <w:kern w:val="2"/>
                      <w:sz w:val="21"/>
                      <w:szCs w:val="21"/>
                      <w:highlight w:val="none"/>
                      <w:lang w:val="en-US"/>
                    </w:rPr>
                  </w:pPr>
                  <w:r>
                    <w:rPr>
                      <w:rFonts w:hint="eastAsia" w:ascii="Times New Roman" w:hAnsi="Times New Roman" w:eastAsia="宋体" w:cs="Times New Roman"/>
                      <w:color w:val="0000E1"/>
                      <w:kern w:val="2"/>
                      <w:sz w:val="21"/>
                      <w:szCs w:val="21"/>
                      <w:highlight w:val="none"/>
                      <w:lang w:val="en-US" w:eastAsia="zh-CN" w:bidi="ar"/>
                    </w:rPr>
                    <w:t>0.072</w:t>
                  </w:r>
                </w:p>
              </w:tc>
              <w:tc>
                <w:tcPr>
                  <w:tcW w:w="1122" w:type="dxa"/>
                  <w:tcBorders>
                    <w:top w:val="single" w:color="auto" w:sz="4" w:space="0"/>
                    <w:left w:val="single" w:color="auto" w:sz="4" w:space="0"/>
                    <w:bottom w:val="single" w:color="auto" w:sz="4" w:space="0"/>
                    <w:right w:val="single" w:color="auto" w:sz="4" w:space="0"/>
                  </w:tcBorders>
                  <w:shd w:val="clear" w:color="auto" w:fill="auto"/>
                  <w:vAlign w:val="center"/>
                </w:tcPr>
                <w:p w14:paraId="330BEC99">
                  <w:pPr>
                    <w:keepNext w:val="0"/>
                    <w:keepLines w:val="0"/>
                    <w:widowControl w:val="0"/>
                    <w:suppressLineNumbers w:val="0"/>
                    <w:spacing w:before="0" w:beforeAutospacing="0" w:after="0" w:afterAutospacing="0"/>
                    <w:ind w:left="0" w:right="0"/>
                    <w:jc w:val="center"/>
                    <w:rPr>
                      <w:rFonts w:hint="default" w:ascii="Times New Roman" w:hAnsi="Times New Roman" w:eastAsia="宋体" w:cs="Times New Roman"/>
                      <w:color w:val="auto"/>
                      <w:kern w:val="2"/>
                      <w:sz w:val="21"/>
                      <w:szCs w:val="21"/>
                      <w:highlight w:val="none"/>
                    </w:rPr>
                  </w:pPr>
                  <w:r>
                    <w:rPr>
                      <w:rFonts w:hint="eastAsia" w:ascii="宋体" w:hAnsi="宋体" w:eastAsia="宋体" w:cs="宋体"/>
                      <w:color w:val="auto"/>
                      <w:kern w:val="2"/>
                      <w:sz w:val="21"/>
                      <w:szCs w:val="21"/>
                      <w:highlight w:val="none"/>
                      <w:lang w:val="en-US" w:eastAsia="zh-CN" w:bidi="ar"/>
                    </w:rPr>
                    <w:t>废过滤棉</w:t>
                  </w:r>
                </w:p>
              </w:tc>
              <w:tc>
                <w:tcPr>
                  <w:tcW w:w="653" w:type="dxa"/>
                  <w:tcBorders>
                    <w:top w:val="single" w:color="auto" w:sz="4" w:space="0"/>
                    <w:left w:val="single" w:color="auto" w:sz="4" w:space="0"/>
                    <w:bottom w:val="single" w:color="auto" w:sz="4" w:space="0"/>
                    <w:right w:val="single" w:color="auto" w:sz="4" w:space="0"/>
                  </w:tcBorders>
                  <w:shd w:val="clear" w:color="auto" w:fill="auto"/>
                  <w:vAlign w:val="center"/>
                </w:tcPr>
                <w:p w14:paraId="555271E9">
                  <w:pPr>
                    <w:keepNext w:val="0"/>
                    <w:keepLines w:val="0"/>
                    <w:widowControl w:val="0"/>
                    <w:suppressLineNumbers w:val="0"/>
                    <w:spacing w:before="0" w:beforeAutospacing="0" w:after="0" w:afterAutospacing="0"/>
                    <w:ind w:left="0" w:right="0"/>
                    <w:jc w:val="center"/>
                    <w:rPr>
                      <w:rFonts w:hint="default" w:ascii="Times New Roman" w:hAnsi="Times New Roman" w:eastAsia="宋体" w:cs="Times New Roman"/>
                      <w:color w:val="auto"/>
                      <w:kern w:val="2"/>
                      <w:sz w:val="21"/>
                      <w:szCs w:val="21"/>
                      <w:highlight w:val="none"/>
                    </w:rPr>
                  </w:pPr>
                  <w:r>
                    <w:rPr>
                      <w:rFonts w:hint="default" w:ascii="Times New Roman" w:hAnsi="Times New Roman" w:eastAsia="宋体" w:cs="Times New Roman"/>
                      <w:color w:val="auto"/>
                      <w:kern w:val="2"/>
                      <w:sz w:val="21"/>
                      <w:szCs w:val="21"/>
                      <w:highlight w:val="none"/>
                      <w:lang w:val="en-US" w:eastAsia="zh-CN" w:bidi="ar"/>
                    </w:rPr>
                    <w:t>3</w:t>
                  </w:r>
                  <w:r>
                    <w:rPr>
                      <w:rFonts w:hint="eastAsia" w:ascii="宋体" w:hAnsi="宋体" w:eastAsia="宋体" w:cs="宋体"/>
                      <w:color w:val="auto"/>
                      <w:kern w:val="2"/>
                      <w:sz w:val="21"/>
                      <w:szCs w:val="21"/>
                      <w:highlight w:val="none"/>
                      <w:lang w:val="en-US" w:eastAsia="zh-CN" w:bidi="ar"/>
                    </w:rPr>
                    <w:t>个月</w:t>
                  </w:r>
                </w:p>
              </w:tc>
              <w:tc>
                <w:tcPr>
                  <w:tcW w:w="650" w:type="dxa"/>
                  <w:tcBorders>
                    <w:top w:val="single" w:color="auto" w:sz="4" w:space="0"/>
                    <w:left w:val="single" w:color="auto" w:sz="4" w:space="0"/>
                    <w:bottom w:val="single" w:color="auto" w:sz="4" w:space="0"/>
                    <w:right w:val="single" w:color="auto" w:sz="4" w:space="0"/>
                  </w:tcBorders>
                  <w:shd w:val="clear" w:color="auto" w:fill="auto"/>
                  <w:vAlign w:val="center"/>
                </w:tcPr>
                <w:p w14:paraId="1F4ED5EA">
                  <w:pPr>
                    <w:keepNext w:val="0"/>
                    <w:keepLines w:val="0"/>
                    <w:widowControl w:val="0"/>
                    <w:suppressLineNumbers w:val="0"/>
                    <w:spacing w:before="0" w:beforeAutospacing="0" w:after="0" w:afterAutospacing="0"/>
                    <w:ind w:left="0" w:right="0"/>
                    <w:jc w:val="center"/>
                    <w:rPr>
                      <w:rFonts w:hint="default" w:ascii="Times New Roman" w:hAnsi="Times New Roman" w:eastAsia="宋体" w:cs="Times New Roman"/>
                      <w:color w:val="auto"/>
                      <w:kern w:val="2"/>
                      <w:sz w:val="21"/>
                      <w:szCs w:val="21"/>
                      <w:highlight w:val="none"/>
                    </w:rPr>
                  </w:pPr>
                  <w:r>
                    <w:rPr>
                      <w:rFonts w:hint="default" w:ascii="Times New Roman" w:hAnsi="Times New Roman" w:eastAsia="宋体" w:cs="Times New Roman"/>
                      <w:color w:val="auto"/>
                      <w:kern w:val="2"/>
                      <w:sz w:val="21"/>
                      <w:szCs w:val="21"/>
                      <w:highlight w:val="none"/>
                      <w:lang w:val="en-US" w:eastAsia="zh-CN" w:bidi="ar"/>
                    </w:rPr>
                    <w:t>T/In</w:t>
                  </w:r>
                </w:p>
              </w:tc>
              <w:tc>
                <w:tcPr>
                  <w:tcW w:w="1507" w:type="dxa"/>
                  <w:vMerge w:val="continue"/>
                  <w:tcBorders>
                    <w:left w:val="single" w:color="auto" w:sz="4" w:space="0"/>
                    <w:bottom w:val="single" w:color="auto" w:sz="4" w:space="0"/>
                    <w:right w:val="single" w:color="auto" w:sz="4" w:space="0"/>
                  </w:tcBorders>
                  <w:shd w:val="clear" w:color="auto" w:fill="auto"/>
                  <w:vAlign w:val="center"/>
                </w:tcPr>
                <w:p w14:paraId="3F1212C7">
                  <w:pPr>
                    <w:keepNext w:val="0"/>
                    <w:keepLines w:val="0"/>
                    <w:widowControl w:val="0"/>
                    <w:suppressLineNumbers w:val="0"/>
                    <w:spacing w:before="0" w:beforeAutospacing="0" w:after="0" w:afterAutospacing="0"/>
                    <w:ind w:left="0" w:right="0"/>
                    <w:jc w:val="center"/>
                    <w:rPr>
                      <w:rFonts w:hint="default" w:ascii="Times New Roman" w:hAnsi="Times New Roman" w:eastAsia="宋体" w:cs="Times New Roman"/>
                      <w:color w:val="auto"/>
                      <w:kern w:val="2"/>
                      <w:sz w:val="21"/>
                      <w:szCs w:val="21"/>
                    </w:rPr>
                  </w:pPr>
                </w:p>
              </w:tc>
            </w:tr>
            <w:tr w14:paraId="03E5FE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397" w:hRule="atLeast"/>
                <w:jc w:val="center"/>
              </w:trPr>
              <w:tc>
                <w:tcPr>
                  <w:tcW w:w="636" w:type="dxa"/>
                  <w:tcBorders>
                    <w:top w:val="single" w:color="auto" w:sz="4" w:space="0"/>
                    <w:left w:val="single" w:color="auto" w:sz="4" w:space="0"/>
                    <w:bottom w:val="single" w:color="auto" w:sz="4" w:space="0"/>
                    <w:right w:val="single" w:color="auto" w:sz="4" w:space="0"/>
                  </w:tcBorders>
                  <w:shd w:val="clear" w:color="auto" w:fill="auto"/>
                  <w:vAlign w:val="center"/>
                </w:tcPr>
                <w:p w14:paraId="48442463">
                  <w:pPr>
                    <w:keepNext w:val="0"/>
                    <w:keepLines w:val="0"/>
                    <w:widowControl w:val="0"/>
                    <w:suppressLineNumbers w:val="0"/>
                    <w:spacing w:before="0" w:beforeAutospacing="0" w:after="0" w:afterAutospacing="0"/>
                    <w:ind w:left="0" w:leftChars="0" w:right="0" w:rightChars="0"/>
                    <w:jc w:val="center"/>
                    <w:rPr>
                      <w:rFonts w:hint="default" w:ascii="Times New Roman" w:hAnsi="Times New Roman" w:eastAsia="宋体" w:cs="Times New Roman"/>
                      <w:color w:val="auto"/>
                      <w:kern w:val="2"/>
                      <w:sz w:val="21"/>
                      <w:szCs w:val="21"/>
                      <w:lang w:val="en-US" w:eastAsia="zh-CN" w:bidi="ar-SA"/>
                    </w:rPr>
                  </w:pPr>
                  <w:r>
                    <w:rPr>
                      <w:rFonts w:hint="default" w:ascii="Times New Roman" w:hAnsi="Times New Roman" w:eastAsia="宋体" w:cs="Times New Roman"/>
                      <w:color w:val="auto"/>
                      <w:kern w:val="2"/>
                      <w:sz w:val="21"/>
                      <w:szCs w:val="21"/>
                      <w:lang w:val="en-US" w:eastAsia="zh-CN" w:bidi="ar"/>
                    </w:rPr>
                    <w:t>1</w:t>
                  </w:r>
                  <w:r>
                    <w:rPr>
                      <w:rFonts w:hint="eastAsia" w:ascii="Times New Roman" w:hAnsi="Times New Roman" w:eastAsia="宋体" w:cs="Times New Roman"/>
                      <w:color w:val="auto"/>
                      <w:kern w:val="2"/>
                      <w:sz w:val="21"/>
                      <w:szCs w:val="21"/>
                      <w:lang w:val="en-US" w:eastAsia="zh-CN" w:bidi="ar"/>
                    </w:rPr>
                    <w:t>6</w:t>
                  </w:r>
                </w:p>
              </w:tc>
              <w:tc>
                <w:tcPr>
                  <w:tcW w:w="1565" w:type="dxa"/>
                  <w:tcBorders>
                    <w:top w:val="single" w:color="auto" w:sz="4" w:space="0"/>
                    <w:left w:val="single" w:color="auto" w:sz="4" w:space="0"/>
                    <w:bottom w:val="single" w:color="auto" w:sz="4" w:space="0"/>
                    <w:right w:val="single" w:color="auto" w:sz="4" w:space="0"/>
                  </w:tcBorders>
                  <w:shd w:val="clear" w:color="auto" w:fill="auto"/>
                  <w:vAlign w:val="center"/>
                </w:tcPr>
                <w:p w14:paraId="03545CFB">
                  <w:pPr>
                    <w:keepNext w:val="0"/>
                    <w:keepLines w:val="0"/>
                    <w:widowControl w:val="0"/>
                    <w:suppressLineNumbers w:val="0"/>
                    <w:spacing w:before="0" w:beforeAutospacing="0" w:after="0" w:afterAutospacing="0"/>
                    <w:ind w:left="0" w:leftChars="0" w:right="0" w:rightChars="0"/>
                    <w:jc w:val="center"/>
                    <w:rPr>
                      <w:rFonts w:hint="default" w:ascii="Times New Roman" w:hAnsi="Times New Roman" w:eastAsia="宋体" w:cs="Times New Roman"/>
                      <w:color w:val="auto"/>
                      <w:kern w:val="2"/>
                      <w:sz w:val="21"/>
                      <w:szCs w:val="21"/>
                    </w:rPr>
                  </w:pPr>
                  <w:r>
                    <w:rPr>
                      <w:rFonts w:hint="eastAsia" w:ascii="宋体" w:hAnsi="宋体" w:eastAsia="宋体" w:cs="宋体"/>
                      <w:color w:val="auto"/>
                      <w:kern w:val="2"/>
                      <w:sz w:val="21"/>
                      <w:szCs w:val="21"/>
                      <w:lang w:val="en-US" w:eastAsia="zh-CN" w:bidi="ar"/>
                    </w:rPr>
                    <w:t>废活性炭</w:t>
                  </w:r>
                </w:p>
              </w:tc>
              <w:tc>
                <w:tcPr>
                  <w:tcW w:w="2535" w:type="dxa"/>
                  <w:gridSpan w:val="2"/>
                  <w:vMerge w:val="continue"/>
                  <w:tcBorders>
                    <w:top w:val="nil"/>
                    <w:left w:val="single" w:color="auto" w:sz="4" w:space="0"/>
                    <w:bottom w:val="single" w:color="auto" w:sz="4" w:space="0"/>
                    <w:right w:val="single" w:color="auto" w:sz="4" w:space="0"/>
                  </w:tcBorders>
                  <w:shd w:val="clear" w:color="auto" w:fill="auto"/>
                  <w:vAlign w:val="center"/>
                </w:tcPr>
                <w:p w14:paraId="5C2BF253">
                  <w:pPr>
                    <w:keepNext w:val="0"/>
                    <w:keepLines w:val="0"/>
                    <w:suppressLineNumbers w:val="0"/>
                    <w:spacing w:before="0" w:beforeAutospacing="0" w:after="0" w:afterAutospacing="0"/>
                    <w:ind w:left="0" w:right="0"/>
                    <w:jc w:val="center"/>
                    <w:rPr>
                      <w:rFonts w:hint="default" w:ascii="Times New Roman" w:hAnsi="Times New Roman" w:cs="Times New Roman"/>
                      <w:color w:val="auto"/>
                      <w:sz w:val="20"/>
                      <w:szCs w:val="20"/>
                    </w:rPr>
                  </w:pPr>
                </w:p>
              </w:tc>
              <w:tc>
                <w:tcPr>
                  <w:tcW w:w="661" w:type="dxa"/>
                  <w:tcBorders>
                    <w:top w:val="single" w:color="auto" w:sz="4" w:space="0"/>
                    <w:left w:val="single" w:color="auto" w:sz="4" w:space="0"/>
                    <w:bottom w:val="single" w:color="auto" w:sz="4" w:space="0"/>
                    <w:right w:val="single" w:color="auto" w:sz="4" w:space="0"/>
                  </w:tcBorders>
                  <w:shd w:val="clear" w:color="auto" w:fill="auto"/>
                  <w:vAlign w:val="center"/>
                </w:tcPr>
                <w:p w14:paraId="029FD645">
                  <w:pPr>
                    <w:keepNext w:val="0"/>
                    <w:keepLines w:val="0"/>
                    <w:widowControl w:val="0"/>
                    <w:suppressLineNumbers w:val="0"/>
                    <w:spacing w:before="0" w:beforeAutospacing="0" w:after="0" w:afterAutospacing="0"/>
                    <w:ind w:left="0" w:right="0"/>
                    <w:jc w:val="center"/>
                    <w:rPr>
                      <w:rFonts w:hint="default" w:ascii="Times New Roman" w:hAnsi="Times New Roman" w:eastAsia="宋体" w:cs="Times New Roman"/>
                      <w:color w:val="auto"/>
                      <w:kern w:val="2"/>
                      <w:sz w:val="21"/>
                      <w:szCs w:val="21"/>
                    </w:rPr>
                  </w:pPr>
                  <w:r>
                    <w:rPr>
                      <w:rFonts w:hint="eastAsia" w:ascii="宋体" w:hAnsi="宋体" w:eastAsia="宋体" w:cs="宋体"/>
                      <w:color w:val="auto"/>
                      <w:kern w:val="2"/>
                      <w:sz w:val="21"/>
                      <w:szCs w:val="21"/>
                      <w:lang w:val="en-US" w:eastAsia="zh-CN" w:bidi="ar"/>
                    </w:rPr>
                    <w:t>固态</w:t>
                  </w:r>
                </w:p>
              </w:tc>
              <w:tc>
                <w:tcPr>
                  <w:tcW w:w="554" w:type="dxa"/>
                  <w:vMerge w:val="continue"/>
                  <w:tcBorders>
                    <w:top w:val="nil"/>
                    <w:left w:val="single" w:color="auto" w:sz="4" w:space="0"/>
                    <w:bottom w:val="single" w:color="auto" w:sz="4" w:space="0"/>
                    <w:right w:val="single" w:color="auto" w:sz="4" w:space="0"/>
                  </w:tcBorders>
                  <w:shd w:val="clear" w:color="auto" w:fill="auto"/>
                  <w:vAlign w:val="center"/>
                </w:tcPr>
                <w:p w14:paraId="305D5FDD">
                  <w:pPr>
                    <w:keepNext w:val="0"/>
                    <w:keepLines w:val="0"/>
                    <w:suppressLineNumbers w:val="0"/>
                    <w:spacing w:before="0" w:beforeAutospacing="0" w:after="0" w:afterAutospacing="0"/>
                    <w:ind w:left="0" w:right="0"/>
                    <w:jc w:val="center"/>
                    <w:rPr>
                      <w:rFonts w:hint="default" w:ascii="Times New Roman" w:hAnsi="Times New Roman" w:cs="Times New Roman"/>
                      <w:color w:val="auto"/>
                      <w:sz w:val="20"/>
                      <w:szCs w:val="20"/>
                    </w:rPr>
                  </w:pPr>
                </w:p>
              </w:tc>
              <w:tc>
                <w:tcPr>
                  <w:tcW w:w="1365" w:type="dxa"/>
                  <w:tcBorders>
                    <w:top w:val="single" w:color="auto" w:sz="4" w:space="0"/>
                    <w:left w:val="single" w:color="auto" w:sz="4" w:space="0"/>
                    <w:bottom w:val="single" w:color="auto" w:sz="4" w:space="0"/>
                    <w:right w:val="single" w:color="auto" w:sz="4" w:space="0"/>
                  </w:tcBorders>
                  <w:shd w:val="clear" w:color="auto" w:fill="auto"/>
                  <w:vAlign w:val="center"/>
                </w:tcPr>
                <w:p w14:paraId="31941E3E">
                  <w:pPr>
                    <w:keepNext w:val="0"/>
                    <w:keepLines w:val="0"/>
                    <w:widowControl w:val="0"/>
                    <w:suppressLineNumbers w:val="0"/>
                    <w:spacing w:before="0" w:beforeAutospacing="0" w:after="0" w:afterAutospacing="0"/>
                    <w:ind w:left="0" w:right="0"/>
                    <w:jc w:val="center"/>
                    <w:rPr>
                      <w:rFonts w:hint="default" w:ascii="Times New Roman" w:hAnsi="Times New Roman" w:eastAsia="宋体" w:cs="Times New Roman"/>
                      <w:color w:val="auto"/>
                      <w:kern w:val="2"/>
                      <w:sz w:val="21"/>
                      <w:szCs w:val="21"/>
                    </w:rPr>
                  </w:pPr>
                  <w:r>
                    <w:rPr>
                      <w:rFonts w:hint="default" w:ascii="Times New Roman" w:hAnsi="Times New Roman" w:eastAsia="宋体" w:cs="Times New Roman"/>
                      <w:color w:val="auto"/>
                      <w:kern w:val="2"/>
                      <w:sz w:val="21"/>
                      <w:szCs w:val="21"/>
                      <w:lang w:val="en-US" w:eastAsia="zh-CN"/>
                    </w:rPr>
                    <w:t>HW49</w:t>
                  </w:r>
                </w:p>
                <w:p w14:paraId="3DC38621">
                  <w:pPr>
                    <w:keepNext w:val="0"/>
                    <w:keepLines w:val="0"/>
                    <w:widowControl w:val="0"/>
                    <w:suppressLineNumbers w:val="0"/>
                    <w:spacing w:before="0" w:beforeAutospacing="0" w:after="0" w:afterAutospacing="0"/>
                    <w:ind w:left="0" w:right="0"/>
                    <w:jc w:val="center"/>
                    <w:rPr>
                      <w:rFonts w:hint="default" w:ascii="Times New Roman" w:hAnsi="Times New Roman" w:eastAsia="宋体" w:cs="Times New Roman"/>
                      <w:color w:val="auto"/>
                      <w:kern w:val="2"/>
                      <w:sz w:val="21"/>
                      <w:szCs w:val="21"/>
                    </w:rPr>
                  </w:pPr>
                  <w:r>
                    <w:rPr>
                      <w:rFonts w:hint="default" w:ascii="Times New Roman" w:hAnsi="Times New Roman" w:eastAsia="宋体" w:cs="Times New Roman"/>
                      <w:color w:val="auto"/>
                      <w:kern w:val="2"/>
                      <w:sz w:val="21"/>
                      <w:szCs w:val="21"/>
                      <w:lang w:val="en-US" w:eastAsia="zh-CN"/>
                    </w:rPr>
                    <w:t>900-039-49</w:t>
                  </w:r>
                </w:p>
              </w:tc>
              <w:tc>
                <w:tcPr>
                  <w:tcW w:w="2010" w:type="dxa"/>
                  <w:gridSpan w:val="2"/>
                  <w:tcBorders>
                    <w:top w:val="single" w:color="auto" w:sz="4" w:space="0"/>
                    <w:left w:val="single" w:color="auto" w:sz="4" w:space="0"/>
                    <w:bottom w:val="single" w:color="auto" w:sz="4" w:space="0"/>
                    <w:right w:val="single" w:color="auto" w:sz="4" w:space="0"/>
                  </w:tcBorders>
                  <w:shd w:val="clear" w:color="auto" w:fill="auto"/>
                  <w:vAlign w:val="center"/>
                </w:tcPr>
                <w:p w14:paraId="5F60FD58">
                  <w:pPr>
                    <w:keepNext w:val="0"/>
                    <w:keepLines w:val="0"/>
                    <w:widowControl w:val="0"/>
                    <w:suppressLineNumbers w:val="0"/>
                    <w:spacing w:before="0" w:beforeAutospacing="0" w:after="0" w:afterAutospacing="0"/>
                    <w:ind w:left="0" w:right="0"/>
                    <w:jc w:val="center"/>
                    <w:rPr>
                      <w:rFonts w:hint="default" w:ascii="Times New Roman" w:hAnsi="Times New Roman" w:eastAsia="宋体" w:cs="Times New Roman"/>
                      <w:color w:val="auto"/>
                      <w:kern w:val="2"/>
                      <w:sz w:val="21"/>
                      <w:szCs w:val="21"/>
                      <w:highlight w:val="none"/>
                      <w:lang w:val="en-US"/>
                    </w:rPr>
                  </w:pPr>
                  <w:r>
                    <w:rPr>
                      <w:rFonts w:hint="default" w:ascii="Times New Roman" w:hAnsi="Times New Roman" w:eastAsia="宋体" w:cs="Times New Roman"/>
                      <w:color w:val="0000FF"/>
                      <w:kern w:val="2"/>
                      <w:sz w:val="21"/>
                      <w:szCs w:val="21"/>
                      <w:highlight w:val="none"/>
                      <w:lang w:val="en-US" w:eastAsia="zh-CN"/>
                    </w:rPr>
                    <w:t>39.641</w:t>
                  </w:r>
                </w:p>
              </w:tc>
              <w:tc>
                <w:tcPr>
                  <w:tcW w:w="1122" w:type="dxa"/>
                  <w:tcBorders>
                    <w:top w:val="single" w:color="auto" w:sz="4" w:space="0"/>
                    <w:left w:val="single" w:color="auto" w:sz="4" w:space="0"/>
                    <w:bottom w:val="single" w:color="auto" w:sz="4" w:space="0"/>
                    <w:right w:val="single" w:color="auto" w:sz="4" w:space="0"/>
                  </w:tcBorders>
                  <w:shd w:val="clear" w:color="auto" w:fill="auto"/>
                  <w:vAlign w:val="center"/>
                </w:tcPr>
                <w:p w14:paraId="23B0778E">
                  <w:pPr>
                    <w:keepNext w:val="0"/>
                    <w:keepLines w:val="0"/>
                    <w:widowControl w:val="0"/>
                    <w:suppressLineNumbers w:val="0"/>
                    <w:spacing w:before="0" w:beforeAutospacing="0" w:after="0" w:afterAutospacing="0"/>
                    <w:ind w:left="0" w:right="0"/>
                    <w:jc w:val="center"/>
                    <w:rPr>
                      <w:rFonts w:hint="default" w:ascii="Times New Roman" w:hAnsi="Times New Roman" w:eastAsia="宋体" w:cs="Times New Roman"/>
                      <w:color w:val="auto"/>
                      <w:kern w:val="2"/>
                      <w:sz w:val="21"/>
                      <w:szCs w:val="21"/>
                      <w:highlight w:val="none"/>
                    </w:rPr>
                  </w:pPr>
                  <w:r>
                    <w:rPr>
                      <w:rFonts w:hint="default" w:ascii="Times New Roman" w:hAnsi="Times New Roman" w:eastAsia="宋体" w:cs="Times New Roman"/>
                      <w:color w:val="auto"/>
                      <w:kern w:val="2"/>
                      <w:sz w:val="21"/>
                      <w:szCs w:val="21"/>
                      <w:highlight w:val="none"/>
                      <w:lang w:val="en-US" w:eastAsia="zh-CN"/>
                    </w:rPr>
                    <w:t>废活性炭</w:t>
                  </w:r>
                </w:p>
              </w:tc>
              <w:tc>
                <w:tcPr>
                  <w:tcW w:w="653" w:type="dxa"/>
                  <w:tcBorders>
                    <w:top w:val="single" w:color="auto" w:sz="4" w:space="0"/>
                    <w:left w:val="single" w:color="auto" w:sz="4" w:space="0"/>
                    <w:bottom w:val="single" w:color="auto" w:sz="4" w:space="0"/>
                    <w:right w:val="single" w:color="auto" w:sz="4" w:space="0"/>
                  </w:tcBorders>
                  <w:shd w:val="clear" w:color="auto" w:fill="auto"/>
                  <w:vAlign w:val="center"/>
                </w:tcPr>
                <w:p w14:paraId="49ED5AE5">
                  <w:pPr>
                    <w:keepNext w:val="0"/>
                    <w:keepLines w:val="0"/>
                    <w:widowControl w:val="0"/>
                    <w:suppressLineNumbers w:val="0"/>
                    <w:spacing w:before="0" w:beforeAutospacing="0" w:after="0" w:afterAutospacing="0"/>
                    <w:ind w:left="0" w:right="0"/>
                    <w:jc w:val="center"/>
                    <w:rPr>
                      <w:rFonts w:hint="default" w:ascii="Times New Roman" w:hAnsi="Times New Roman" w:eastAsia="宋体" w:cs="Times New Roman"/>
                      <w:color w:val="auto"/>
                      <w:kern w:val="2"/>
                      <w:sz w:val="21"/>
                      <w:szCs w:val="21"/>
                      <w:highlight w:val="none"/>
                      <w:lang w:val="en-US" w:eastAsia="zh-CN"/>
                    </w:rPr>
                  </w:pPr>
                  <w:r>
                    <w:rPr>
                      <w:rFonts w:hint="eastAsia" w:ascii="Times New Roman" w:hAnsi="Times New Roman" w:eastAsia="宋体" w:cs="Times New Roman"/>
                      <w:color w:val="auto"/>
                      <w:kern w:val="2"/>
                      <w:sz w:val="21"/>
                      <w:szCs w:val="21"/>
                      <w:highlight w:val="none"/>
                      <w:lang w:val="en-US" w:eastAsia="zh-CN"/>
                    </w:rPr>
                    <w:t>1.2个月</w:t>
                  </w:r>
                </w:p>
              </w:tc>
              <w:tc>
                <w:tcPr>
                  <w:tcW w:w="650" w:type="dxa"/>
                  <w:tcBorders>
                    <w:top w:val="single" w:color="auto" w:sz="4" w:space="0"/>
                    <w:left w:val="single" w:color="auto" w:sz="4" w:space="0"/>
                    <w:bottom w:val="single" w:color="auto" w:sz="4" w:space="0"/>
                    <w:right w:val="single" w:color="auto" w:sz="4" w:space="0"/>
                  </w:tcBorders>
                  <w:shd w:val="clear" w:color="auto" w:fill="auto"/>
                  <w:vAlign w:val="center"/>
                </w:tcPr>
                <w:p w14:paraId="27F554E0">
                  <w:pPr>
                    <w:keepNext w:val="0"/>
                    <w:keepLines w:val="0"/>
                    <w:widowControl w:val="0"/>
                    <w:suppressLineNumbers w:val="0"/>
                    <w:spacing w:before="0" w:beforeAutospacing="0" w:after="0" w:afterAutospacing="0"/>
                    <w:ind w:left="0" w:right="0"/>
                    <w:jc w:val="center"/>
                    <w:rPr>
                      <w:rFonts w:hint="default" w:ascii="Times New Roman" w:hAnsi="Times New Roman" w:eastAsia="宋体" w:cs="Times New Roman"/>
                      <w:color w:val="auto"/>
                      <w:kern w:val="2"/>
                      <w:sz w:val="21"/>
                      <w:szCs w:val="21"/>
                      <w:highlight w:val="none"/>
                    </w:rPr>
                  </w:pPr>
                  <w:r>
                    <w:rPr>
                      <w:rFonts w:hint="default" w:ascii="Times New Roman" w:hAnsi="Times New Roman" w:eastAsia="宋体" w:cs="Times New Roman"/>
                      <w:color w:val="auto"/>
                      <w:kern w:val="2"/>
                      <w:sz w:val="21"/>
                      <w:szCs w:val="21"/>
                      <w:highlight w:val="none"/>
                      <w:lang w:val="en-US" w:eastAsia="zh-CN"/>
                    </w:rPr>
                    <w:t>T</w:t>
                  </w:r>
                </w:p>
              </w:tc>
              <w:tc>
                <w:tcPr>
                  <w:tcW w:w="1507" w:type="dxa"/>
                  <w:tcBorders>
                    <w:top w:val="single" w:color="auto" w:sz="4" w:space="0"/>
                    <w:left w:val="single" w:color="auto" w:sz="4" w:space="0"/>
                    <w:bottom w:val="single" w:color="auto" w:sz="4" w:space="0"/>
                    <w:right w:val="single" w:color="auto" w:sz="4" w:space="0"/>
                  </w:tcBorders>
                  <w:shd w:val="clear" w:color="auto" w:fill="auto"/>
                  <w:vAlign w:val="center"/>
                </w:tcPr>
                <w:p w14:paraId="1AA3DDF9">
                  <w:pPr>
                    <w:keepNext w:val="0"/>
                    <w:keepLines w:val="0"/>
                    <w:widowControl w:val="0"/>
                    <w:suppressLineNumbers w:val="0"/>
                    <w:spacing w:before="0" w:beforeAutospacing="0" w:after="0" w:afterAutospacing="0"/>
                    <w:ind w:left="0" w:right="0"/>
                    <w:jc w:val="center"/>
                    <w:rPr>
                      <w:rFonts w:hint="default" w:ascii="Times New Roman" w:hAnsi="Times New Roman" w:eastAsia="宋体" w:cs="Times New Roman"/>
                      <w:color w:val="auto"/>
                      <w:kern w:val="2"/>
                      <w:sz w:val="21"/>
                      <w:szCs w:val="21"/>
                    </w:rPr>
                  </w:pPr>
                  <w:r>
                    <w:rPr>
                      <w:rFonts w:hint="default" w:ascii="Times New Roman" w:hAnsi="Times New Roman" w:eastAsia="宋体" w:cs="Times New Roman"/>
                      <w:color w:val="auto"/>
                      <w:kern w:val="2"/>
                      <w:sz w:val="21"/>
                      <w:szCs w:val="21"/>
                    </w:rPr>
                    <w:t>集中收集后委托有资质的活性炭再生中心处置</w:t>
                  </w:r>
                </w:p>
              </w:tc>
            </w:tr>
          </w:tbl>
          <w:p w14:paraId="61DB2483">
            <w:pPr>
              <w:keepNext w:val="0"/>
              <w:keepLines w:val="0"/>
              <w:suppressLineNumbers w:val="0"/>
              <w:spacing w:before="0" w:beforeAutospacing="0" w:after="0" w:afterAutospacing="0" w:line="360" w:lineRule="auto"/>
              <w:ind w:left="0" w:right="0" w:firstLine="480" w:firstLineChars="200"/>
              <w:rPr>
                <w:rFonts w:hint="default" w:ascii="Times New Roman" w:hAnsi="Times New Roman" w:eastAsia="宋体" w:cs="Times New Roman"/>
                <w:color w:val="auto"/>
                <w:sz w:val="24"/>
              </w:rPr>
            </w:pPr>
            <w:r>
              <w:rPr>
                <w:rFonts w:hint="eastAsia" w:ascii="Times New Roman" w:hAnsi="Times New Roman" w:eastAsia="宋体" w:cs="Times New Roman"/>
                <w:color w:val="auto"/>
                <w:sz w:val="24"/>
              </w:rPr>
              <w:t>由上表可知，本项目实施后各项固废均能得到妥善处置，不排入自然环境，对周围环境无影响。</w:t>
            </w:r>
          </w:p>
          <w:p w14:paraId="2F1499C5">
            <w:pPr>
              <w:keepNext w:val="0"/>
              <w:keepLines w:val="0"/>
              <w:suppressLineNumbers w:val="0"/>
              <w:spacing w:before="0" w:beforeAutospacing="0" w:after="0" w:afterAutospacing="0" w:line="360" w:lineRule="auto"/>
              <w:ind w:left="0" w:right="0" w:firstLine="480" w:firstLineChars="200"/>
              <w:rPr>
                <w:rFonts w:hint="default" w:ascii="Times New Roman" w:hAnsi="Times New Roman" w:eastAsia="宋体" w:cs="Times New Roman"/>
                <w:color w:val="auto"/>
                <w:sz w:val="24"/>
              </w:rPr>
            </w:pPr>
            <w:r>
              <w:rPr>
                <w:rFonts w:hint="eastAsia" w:ascii="Times New Roman" w:hAnsi="Times New Roman" w:eastAsia="宋体" w:cs="Times New Roman"/>
                <w:color w:val="auto"/>
                <w:sz w:val="24"/>
              </w:rPr>
              <w:t>本项目所在厂区将建立统一的固废分类收集、统一堆放场地制度。堆放场所须按防雨淋、防渗漏等要求设置，危险废物存放容器必须加盖密闭，防止泄漏。各类废物由密闭容器收集后暂存在暂存场地内，不得露天放置。放置场所做好地面的硬化防腐，并设置明显的标志。具体防治措施如下所述。</w:t>
            </w:r>
          </w:p>
          <w:p w14:paraId="445BEEC9">
            <w:pPr>
              <w:keepNext w:val="0"/>
              <w:keepLines w:val="0"/>
              <w:suppressLineNumbers w:val="0"/>
              <w:spacing w:before="0" w:beforeAutospacing="0" w:after="0" w:afterAutospacing="0" w:line="360" w:lineRule="auto"/>
              <w:ind w:left="0" w:right="0" w:firstLine="480" w:firstLineChars="200"/>
              <w:rPr>
                <w:rFonts w:hint="default" w:ascii="Times New Roman" w:hAnsi="Times New Roman" w:eastAsia="宋体" w:cs="Times New Roman"/>
                <w:color w:val="auto"/>
                <w:sz w:val="24"/>
              </w:rPr>
            </w:pPr>
            <w:r>
              <w:rPr>
                <w:rFonts w:hint="eastAsia" w:ascii="Times New Roman" w:hAnsi="Times New Roman" w:eastAsia="宋体" w:cs="Times New Roman"/>
                <w:color w:val="auto"/>
                <w:sz w:val="24"/>
              </w:rPr>
              <w:t>（1）一般固废</w:t>
            </w:r>
          </w:p>
          <w:p w14:paraId="4CB07828">
            <w:pPr>
              <w:keepNext w:val="0"/>
              <w:keepLines w:val="0"/>
              <w:suppressLineNumbers w:val="0"/>
              <w:spacing w:before="0" w:beforeAutospacing="0" w:after="0" w:afterAutospacing="0" w:line="360" w:lineRule="auto"/>
              <w:ind w:left="0" w:right="0" w:firstLine="480" w:firstLineChars="200"/>
              <w:rPr>
                <w:rFonts w:hint="eastAsia" w:ascii="Times New Roman" w:hAnsi="Times New Roman" w:eastAsia="宋体" w:cs="Times New Roman"/>
                <w:color w:val="auto"/>
                <w:sz w:val="24"/>
              </w:rPr>
            </w:pPr>
            <w:r>
              <w:rPr>
                <w:rFonts w:hint="eastAsia" w:ascii="Times New Roman" w:hAnsi="Times New Roman" w:eastAsia="宋体" w:cs="Times New Roman"/>
                <w:color w:val="auto"/>
                <w:sz w:val="24"/>
              </w:rPr>
              <w:t>在厂区内设置一般固废仓库，必须按照</w:t>
            </w:r>
            <w:r>
              <w:rPr>
                <w:rFonts w:hint="eastAsia" w:ascii="Times New Roman" w:hAnsi="Times New Roman" w:eastAsia="宋体" w:cs="Times New Roman"/>
                <w:color w:val="auto"/>
                <w:sz w:val="24"/>
                <w:highlight w:val="none"/>
              </w:rPr>
              <w:t>《中华人民共和国生态环境法典》</w:t>
            </w:r>
            <w:r>
              <w:rPr>
                <w:rFonts w:hint="eastAsia" w:ascii="Times New Roman" w:hAnsi="Times New Roman" w:eastAsia="宋体" w:cs="Times New Roman"/>
                <w:color w:val="auto"/>
                <w:sz w:val="24"/>
                <w:highlight w:val="none"/>
                <w:lang w:eastAsia="zh-CN"/>
              </w:rPr>
              <w:t>、</w:t>
            </w:r>
            <w:r>
              <w:rPr>
                <w:rFonts w:hint="eastAsia" w:ascii="Times New Roman" w:hAnsi="Times New Roman" w:eastAsia="宋体" w:cs="Times New Roman"/>
                <w:color w:val="auto"/>
                <w:sz w:val="24"/>
                <w:highlight w:val="none"/>
                <w:lang w:val="en-US" w:eastAsia="zh-CN"/>
              </w:rPr>
              <w:t>《</w:t>
            </w:r>
            <w:r>
              <w:rPr>
                <w:rFonts w:hint="eastAsia" w:ascii="Times New Roman" w:hAnsi="Times New Roman" w:eastAsia="宋体" w:cs="Times New Roman"/>
                <w:color w:val="auto"/>
                <w:sz w:val="24"/>
                <w:lang w:val="en-US" w:eastAsia="zh-CN"/>
              </w:rPr>
              <w:t>关于印发《一般工业固体废物环境管理工作指南》的通知》（环办固体函〔2026〕18号）</w:t>
            </w:r>
            <w:r>
              <w:rPr>
                <w:rFonts w:hint="eastAsia" w:ascii="Times New Roman" w:hAnsi="Times New Roman" w:eastAsia="宋体" w:cs="Times New Roman"/>
                <w:color w:val="auto"/>
                <w:sz w:val="24"/>
              </w:rPr>
              <w:t>的工业固体废物管理条款要求执行，其贮存场所应满足防渗漏、防雨淋、防扬尘等环境保护要求，不得形成二次污染。本项目一般固废仓库</w:t>
            </w:r>
            <w:r>
              <w:rPr>
                <w:rFonts w:hint="eastAsia" w:ascii="Times New Roman" w:hAnsi="Times New Roman" w:eastAsia="宋体" w:cs="Times New Roman"/>
                <w:color w:val="auto"/>
                <w:sz w:val="24"/>
                <w:lang w:val="en-US" w:eastAsia="zh-CN"/>
              </w:rPr>
              <w:t>设置于2#厂房东北侧单独房间内</w:t>
            </w:r>
            <w:r>
              <w:rPr>
                <w:rFonts w:hint="eastAsia" w:ascii="Times New Roman" w:hAnsi="Times New Roman" w:eastAsia="宋体" w:cs="Times New Roman"/>
                <w:color w:val="auto"/>
                <w:sz w:val="24"/>
              </w:rPr>
              <w:t>，</w:t>
            </w:r>
            <w:r>
              <w:rPr>
                <w:rFonts w:hint="eastAsia" w:ascii="Times New Roman" w:hAnsi="Times New Roman" w:eastAsia="宋体" w:cs="Times New Roman"/>
                <w:color w:val="auto"/>
                <w:sz w:val="24"/>
                <w:lang w:val="en-US" w:eastAsia="zh-CN"/>
              </w:rPr>
              <w:t>面积约为25</w:t>
            </w:r>
            <w:r>
              <w:rPr>
                <w:rFonts w:hint="eastAsia" w:ascii="Times New Roman" w:hAnsi="Times New Roman" w:eastAsia="宋体" w:cs="Times New Roman"/>
                <w:color w:val="auto"/>
                <w:sz w:val="24"/>
              </w:rPr>
              <w:t>m</w:t>
            </w:r>
            <w:r>
              <w:rPr>
                <w:rFonts w:hint="eastAsia" w:ascii="Times New Roman" w:hAnsi="Times New Roman" w:eastAsia="宋体" w:cs="Times New Roman"/>
                <w:color w:val="auto"/>
                <w:sz w:val="24"/>
                <w:vertAlign w:val="superscript"/>
              </w:rPr>
              <w:t>2</w:t>
            </w:r>
            <w:r>
              <w:rPr>
                <w:rFonts w:hint="eastAsia" w:ascii="Times New Roman" w:hAnsi="Times New Roman" w:eastAsia="宋体" w:cs="Times New Roman"/>
                <w:color w:val="auto"/>
                <w:sz w:val="24"/>
                <w:lang w:eastAsia="zh-CN"/>
              </w:rPr>
              <w:t>，</w:t>
            </w:r>
            <w:r>
              <w:rPr>
                <w:rFonts w:hint="eastAsia" w:ascii="Times New Roman" w:hAnsi="Times New Roman" w:eastAsia="宋体" w:cs="Times New Roman"/>
                <w:color w:val="auto"/>
                <w:sz w:val="24"/>
              </w:rPr>
              <w:t>暂存点为水泥地面，能做到防扬散、防流失、防止雨水的冲刷及防渗漏等相关要求，各类一般废物定置分类存放。一般固废在运输过程中要防止散落地面，以免产生二次污染。一般固废按资源化、无害化的方式进行处置。</w:t>
            </w:r>
          </w:p>
          <w:p w14:paraId="3E3BF6C1">
            <w:pPr>
              <w:keepNext w:val="0"/>
              <w:keepLines w:val="0"/>
              <w:suppressLineNumbers w:val="0"/>
              <w:spacing w:before="0" w:beforeAutospacing="0" w:after="0" w:afterAutospacing="0" w:line="360" w:lineRule="auto"/>
              <w:ind w:left="0" w:right="0" w:firstLine="480" w:firstLineChars="200"/>
              <w:rPr>
                <w:rFonts w:hint="eastAsia" w:ascii="Times New Roman" w:hAnsi="Times New Roman" w:eastAsia="宋体" w:cs="Times New Roman"/>
                <w:color w:val="auto"/>
                <w:sz w:val="24"/>
                <w:lang w:val="en-US" w:eastAsia="zh-CN"/>
              </w:rPr>
            </w:pPr>
            <w:r>
              <w:rPr>
                <w:rFonts w:hint="eastAsia" w:ascii="Times New Roman" w:hAnsi="Times New Roman" w:eastAsia="宋体" w:cs="Times New Roman"/>
                <w:color w:val="auto"/>
                <w:sz w:val="24"/>
                <w:lang w:val="en-US" w:eastAsia="zh-CN"/>
              </w:rPr>
              <w:t>1）根据GB18599-2020，本环评提出如下管理要求：</w:t>
            </w:r>
          </w:p>
          <w:p w14:paraId="3DB1D6E6">
            <w:pPr>
              <w:keepNext w:val="0"/>
              <w:keepLines w:val="0"/>
              <w:suppressLineNumbers w:val="0"/>
              <w:spacing w:before="0" w:beforeAutospacing="0" w:after="0" w:afterAutospacing="0" w:line="360" w:lineRule="auto"/>
              <w:ind w:left="0" w:right="0" w:firstLine="480" w:firstLineChars="200"/>
              <w:rPr>
                <w:rFonts w:hint="eastAsia" w:ascii="Times New Roman" w:hAnsi="Times New Roman" w:eastAsia="宋体" w:cs="Times New Roman"/>
                <w:color w:val="auto"/>
                <w:sz w:val="24"/>
                <w:lang w:val="en-US" w:eastAsia="zh-CN"/>
              </w:rPr>
            </w:pPr>
            <w:r>
              <w:rPr>
                <w:rFonts w:hint="eastAsia" w:ascii="Times New Roman" w:hAnsi="Times New Roman" w:eastAsia="宋体" w:cs="Times New Roman"/>
                <w:color w:val="auto"/>
                <w:sz w:val="24"/>
                <w:lang w:val="en-US" w:eastAsia="zh-CN"/>
              </w:rPr>
              <w:t>①不相容的一般工业固体废物应设置不同的分区进行贮存。</w:t>
            </w:r>
          </w:p>
          <w:p w14:paraId="1F89F456">
            <w:pPr>
              <w:keepNext w:val="0"/>
              <w:keepLines w:val="0"/>
              <w:suppressLineNumbers w:val="0"/>
              <w:spacing w:before="0" w:beforeAutospacing="0" w:after="0" w:afterAutospacing="0" w:line="360" w:lineRule="auto"/>
              <w:ind w:left="0" w:right="0" w:firstLine="480" w:firstLineChars="200"/>
              <w:rPr>
                <w:rFonts w:hint="eastAsia" w:ascii="Times New Roman" w:hAnsi="Times New Roman" w:eastAsia="宋体" w:cs="Times New Roman"/>
                <w:color w:val="auto"/>
                <w:sz w:val="24"/>
                <w:lang w:val="en-US" w:eastAsia="zh-CN"/>
              </w:rPr>
            </w:pPr>
            <w:r>
              <w:rPr>
                <w:rFonts w:hint="eastAsia" w:ascii="Times New Roman" w:hAnsi="Times New Roman" w:eastAsia="宋体" w:cs="Times New Roman"/>
                <w:color w:val="auto"/>
                <w:sz w:val="24"/>
                <w:lang w:val="en-US" w:eastAsia="zh-CN"/>
              </w:rPr>
              <w:t>②危险废物和生活垃圾不得进入一般工业固体废物贮存场。</w:t>
            </w:r>
          </w:p>
          <w:p w14:paraId="5991BEC3">
            <w:pPr>
              <w:keepNext w:val="0"/>
              <w:keepLines w:val="0"/>
              <w:suppressLineNumbers w:val="0"/>
              <w:spacing w:before="0" w:beforeAutospacing="0" w:after="0" w:afterAutospacing="0" w:line="360" w:lineRule="auto"/>
              <w:ind w:left="0" w:right="0" w:firstLine="480" w:firstLineChars="200"/>
              <w:rPr>
                <w:rFonts w:hint="eastAsia" w:ascii="Times New Roman" w:hAnsi="Times New Roman" w:eastAsia="宋体" w:cs="Times New Roman"/>
                <w:color w:val="auto"/>
                <w:sz w:val="24"/>
                <w:lang w:val="en-US" w:eastAsia="zh-CN"/>
              </w:rPr>
            </w:pPr>
            <w:r>
              <w:rPr>
                <w:rFonts w:hint="eastAsia" w:ascii="Times New Roman" w:hAnsi="Times New Roman" w:eastAsia="宋体" w:cs="Times New Roman"/>
                <w:color w:val="auto"/>
                <w:sz w:val="24"/>
                <w:lang w:val="en-US" w:eastAsia="zh-CN"/>
              </w:rPr>
              <w:t>③贮存场运行企业应建立档案管理制度，并按照国家档案管理等法律法规进行整理与归档，永久保存。</w:t>
            </w:r>
          </w:p>
          <w:p w14:paraId="54ACC0DB">
            <w:pPr>
              <w:keepNext w:val="0"/>
              <w:keepLines w:val="0"/>
              <w:suppressLineNumbers w:val="0"/>
              <w:spacing w:before="0" w:beforeAutospacing="0" w:after="0" w:afterAutospacing="0" w:line="360" w:lineRule="auto"/>
              <w:ind w:left="0" w:right="0" w:firstLine="480" w:firstLineChars="200"/>
              <w:rPr>
                <w:rFonts w:hint="eastAsia" w:ascii="Times New Roman" w:hAnsi="Times New Roman" w:eastAsia="宋体" w:cs="Times New Roman"/>
                <w:color w:val="auto"/>
                <w:sz w:val="24"/>
                <w:lang w:val="en-US" w:eastAsia="zh-CN"/>
              </w:rPr>
            </w:pPr>
            <w:r>
              <w:rPr>
                <w:rFonts w:hint="eastAsia" w:ascii="Times New Roman" w:hAnsi="Times New Roman" w:eastAsia="宋体" w:cs="Times New Roman"/>
                <w:color w:val="auto"/>
                <w:sz w:val="24"/>
                <w:lang w:val="en-US" w:eastAsia="zh-CN"/>
              </w:rPr>
              <w:t>④贮存场的环境保护图形标志应符合GB15562.2的规定，并应定期检查和维护。</w:t>
            </w:r>
          </w:p>
          <w:p w14:paraId="4164B2FC">
            <w:pPr>
              <w:keepNext w:val="0"/>
              <w:keepLines w:val="0"/>
              <w:suppressLineNumbers w:val="0"/>
              <w:spacing w:before="0" w:beforeAutospacing="0" w:after="0" w:afterAutospacing="0" w:line="360" w:lineRule="auto"/>
              <w:ind w:left="0" w:right="0" w:firstLine="480" w:firstLineChars="200"/>
              <w:rPr>
                <w:rFonts w:hint="eastAsia" w:ascii="Times New Roman" w:hAnsi="Times New Roman" w:eastAsia="宋体" w:cs="Times New Roman"/>
                <w:color w:val="auto"/>
                <w:sz w:val="24"/>
                <w:lang w:val="en-US" w:eastAsia="zh-CN"/>
              </w:rPr>
            </w:pPr>
            <w:r>
              <w:rPr>
                <w:rFonts w:hint="eastAsia" w:ascii="Times New Roman" w:hAnsi="Times New Roman" w:eastAsia="宋体" w:cs="Times New Roman"/>
                <w:color w:val="auto"/>
                <w:sz w:val="24"/>
                <w:lang w:val="en-US" w:eastAsia="zh-CN"/>
              </w:rPr>
              <w:t>2）根据《浙江省工业固体废物电子转移联单管理办法（试行）》，本环评提出如下管理要求：</w:t>
            </w:r>
          </w:p>
          <w:p w14:paraId="71F76ABF">
            <w:pPr>
              <w:keepNext w:val="0"/>
              <w:keepLines w:val="0"/>
              <w:suppressLineNumbers w:val="0"/>
              <w:spacing w:before="0" w:beforeAutospacing="0" w:after="0" w:afterAutospacing="0" w:line="360" w:lineRule="auto"/>
              <w:ind w:left="0" w:right="0" w:firstLine="480" w:firstLineChars="200"/>
              <w:rPr>
                <w:rFonts w:hint="eastAsia" w:ascii="Times New Roman" w:hAnsi="Times New Roman" w:eastAsia="宋体" w:cs="Times New Roman"/>
                <w:color w:val="auto"/>
                <w:sz w:val="24"/>
              </w:rPr>
            </w:pPr>
            <w:r>
              <w:rPr>
                <w:rFonts w:hint="eastAsia" w:ascii="Times New Roman" w:hAnsi="Times New Roman" w:eastAsia="宋体" w:cs="Times New Roman"/>
                <w:color w:val="auto"/>
                <w:sz w:val="24"/>
                <w:lang w:val="en-US" w:eastAsia="zh-CN"/>
              </w:rPr>
              <w:t>1.联单发起：移出人委托他人运输和利用处置工业固体废物时，必须通过省固废系统发起电子转移联单，并如实填写移出人、承运人、接收人信息以及工业固体废物的种类、重量等信息。</w:t>
            </w:r>
          </w:p>
          <w:p w14:paraId="61FC2F59">
            <w:pPr>
              <w:keepNext w:val="0"/>
              <w:keepLines w:val="0"/>
              <w:suppressLineNumbers w:val="0"/>
              <w:spacing w:before="0" w:beforeAutospacing="0" w:after="0" w:afterAutospacing="0" w:line="360" w:lineRule="auto"/>
              <w:ind w:left="0" w:right="0" w:firstLine="480" w:firstLineChars="200"/>
              <w:rPr>
                <w:rFonts w:hint="eastAsia" w:ascii="Times New Roman" w:hAnsi="Times New Roman" w:eastAsia="宋体" w:cs="Times New Roman"/>
                <w:color w:val="auto"/>
                <w:sz w:val="24"/>
              </w:rPr>
            </w:pPr>
            <w:r>
              <w:rPr>
                <w:rFonts w:hint="eastAsia" w:ascii="Times New Roman" w:hAnsi="Times New Roman" w:eastAsia="宋体" w:cs="Times New Roman"/>
                <w:color w:val="auto"/>
                <w:sz w:val="24"/>
                <w:lang w:val="en-US" w:eastAsia="zh-CN"/>
              </w:rPr>
              <w:t>2.一车多家联单管理：如果承运人一车同时为多个移出人转移工业固体废物，每个移出人都需要分别填写电子转移联单，确保每个转移活动都有清晰的记录和管理。</w:t>
            </w:r>
          </w:p>
          <w:p w14:paraId="7F5FA511">
            <w:pPr>
              <w:keepNext w:val="0"/>
              <w:keepLines w:val="0"/>
              <w:suppressLineNumbers w:val="0"/>
              <w:spacing w:before="0" w:beforeAutospacing="0" w:after="0" w:afterAutospacing="0" w:line="360" w:lineRule="auto"/>
              <w:ind w:left="0" w:right="0" w:firstLine="480" w:firstLineChars="200"/>
              <w:rPr>
                <w:rFonts w:hint="eastAsia" w:ascii="Times New Roman" w:hAnsi="Times New Roman" w:eastAsia="宋体" w:cs="Times New Roman"/>
                <w:color w:val="auto"/>
                <w:sz w:val="24"/>
              </w:rPr>
            </w:pPr>
            <w:r>
              <w:rPr>
                <w:rFonts w:hint="eastAsia" w:ascii="Times New Roman" w:hAnsi="Times New Roman" w:eastAsia="宋体" w:cs="Times New Roman"/>
                <w:color w:val="auto"/>
                <w:sz w:val="24"/>
                <w:lang w:val="en-US" w:eastAsia="zh-CN"/>
              </w:rPr>
              <w:t>3.承运管理：承运人在开始运输之前，必须核实并确认移出人填写的电子转移联单信息。前后承运人应明确运输交接的时间和地点，并通过省固废系统核实联单信息后方可进行转移。</w:t>
            </w:r>
          </w:p>
          <w:p w14:paraId="7141D7F3">
            <w:pPr>
              <w:keepNext w:val="0"/>
              <w:keepLines w:val="0"/>
              <w:suppressLineNumbers w:val="0"/>
              <w:spacing w:before="0" w:beforeAutospacing="0" w:after="0" w:afterAutospacing="0" w:line="360" w:lineRule="auto"/>
              <w:ind w:left="0" w:right="0" w:firstLine="480" w:firstLineChars="200"/>
              <w:rPr>
                <w:rFonts w:hint="eastAsia" w:ascii="Times New Roman" w:hAnsi="Times New Roman" w:eastAsia="宋体" w:cs="Times New Roman"/>
                <w:color w:val="auto"/>
                <w:sz w:val="24"/>
              </w:rPr>
            </w:pPr>
            <w:r>
              <w:rPr>
                <w:rFonts w:hint="eastAsia" w:ascii="Times New Roman" w:hAnsi="Times New Roman" w:eastAsia="宋体" w:cs="Times New Roman"/>
                <w:color w:val="auto"/>
                <w:sz w:val="24"/>
                <w:lang w:val="en-US" w:eastAsia="zh-CN"/>
              </w:rPr>
              <w:t>4.接收管理：接收人在实际接收工业固体废物时，应当对照电子转移联单核验承运人运抵的工业固体废物种类、重量等信息。确认无误的情况下，应在接收后5个工作日内通过省固废系统确认接收。如发现差异，需与移出人协商修改。</w:t>
            </w:r>
          </w:p>
          <w:p w14:paraId="1D37A59F">
            <w:pPr>
              <w:keepNext w:val="0"/>
              <w:keepLines w:val="0"/>
              <w:suppressLineNumbers w:val="0"/>
              <w:spacing w:before="0" w:beforeAutospacing="0" w:after="0" w:afterAutospacing="0" w:line="360" w:lineRule="auto"/>
              <w:ind w:left="0" w:right="0" w:firstLine="480" w:firstLineChars="200"/>
              <w:rPr>
                <w:rFonts w:hint="eastAsia" w:ascii="Times New Roman" w:hAnsi="Times New Roman" w:eastAsia="宋体" w:cs="Times New Roman"/>
                <w:color w:val="auto"/>
                <w:sz w:val="24"/>
              </w:rPr>
            </w:pPr>
            <w:r>
              <w:rPr>
                <w:rFonts w:hint="eastAsia" w:ascii="Times New Roman" w:hAnsi="Times New Roman" w:eastAsia="宋体" w:cs="Times New Roman"/>
                <w:color w:val="auto"/>
                <w:sz w:val="24"/>
                <w:lang w:val="en-US" w:eastAsia="zh-CN"/>
              </w:rPr>
              <w:t>5.非交通工具转移：以管道、输送带等非交通工具转移工业固体废物的情况下，移出人和接收人应按月填写电子转移联单，记录上一个月涉及的工业固体废物转移信息。</w:t>
            </w:r>
          </w:p>
          <w:p w14:paraId="5671F145">
            <w:pPr>
              <w:keepNext w:val="0"/>
              <w:keepLines w:val="0"/>
              <w:suppressLineNumbers w:val="0"/>
              <w:spacing w:before="0" w:beforeAutospacing="0" w:after="0" w:afterAutospacing="0" w:line="360" w:lineRule="auto"/>
              <w:ind w:left="0" w:right="0" w:firstLine="480" w:firstLineChars="200"/>
              <w:rPr>
                <w:rFonts w:hint="eastAsia" w:ascii="Times New Roman" w:hAnsi="Times New Roman" w:eastAsia="宋体" w:cs="Times New Roman"/>
                <w:color w:val="auto"/>
                <w:sz w:val="24"/>
              </w:rPr>
            </w:pPr>
            <w:r>
              <w:rPr>
                <w:rFonts w:hint="eastAsia" w:ascii="Times New Roman" w:hAnsi="Times New Roman" w:eastAsia="宋体" w:cs="Times New Roman"/>
                <w:color w:val="auto"/>
                <w:sz w:val="24"/>
                <w:lang w:val="en-US" w:eastAsia="zh-CN"/>
              </w:rPr>
              <w:t>6.跨省转移管理：跨省转移工业固体废物时，移出人应通过省固废系统发起电子转移联单，并在运抵后5个工作日内上传接收凭证。接收人需要确认运抵信息并在相同时限内填写接收信息及上传凭证。</w:t>
            </w:r>
          </w:p>
          <w:p w14:paraId="5271CB4E">
            <w:pPr>
              <w:keepNext w:val="0"/>
              <w:keepLines w:val="0"/>
              <w:suppressLineNumbers w:val="0"/>
              <w:spacing w:before="0" w:beforeAutospacing="0" w:after="0" w:afterAutospacing="0" w:line="360" w:lineRule="auto"/>
              <w:ind w:left="0" w:right="0" w:firstLine="480" w:firstLineChars="200"/>
              <w:rPr>
                <w:rFonts w:hint="eastAsia" w:ascii="Times New Roman" w:hAnsi="Times New Roman" w:eastAsia="宋体" w:cs="Times New Roman"/>
                <w:color w:val="auto"/>
                <w:sz w:val="24"/>
              </w:rPr>
            </w:pPr>
            <w:r>
              <w:rPr>
                <w:rFonts w:hint="eastAsia" w:ascii="Times New Roman" w:hAnsi="Times New Roman" w:eastAsia="宋体" w:cs="Times New Roman"/>
                <w:color w:val="auto"/>
                <w:sz w:val="24"/>
                <w:lang w:val="en-US" w:eastAsia="zh-CN"/>
              </w:rPr>
              <w:t>7.大宗联单：工业固体废物产生量大且单类工业固体废物每日通过道路运输车辆转移10批次以上的移出人，可通过省固废系统按日填写大宗工业固体废物电子转移联单。不同类别的工业固体废物或委托多个承运人的情况下，需分别填写联单。</w:t>
            </w:r>
          </w:p>
          <w:p w14:paraId="7E9D9700">
            <w:pPr>
              <w:keepNext w:val="0"/>
              <w:keepLines w:val="0"/>
              <w:suppressLineNumbers w:val="0"/>
              <w:spacing w:before="0" w:beforeAutospacing="0" w:after="0" w:afterAutospacing="0" w:line="360" w:lineRule="auto"/>
              <w:ind w:left="0" w:right="0" w:firstLine="480" w:firstLineChars="200"/>
              <w:rPr>
                <w:rFonts w:hint="default" w:ascii="Times New Roman" w:hAnsi="Times New Roman" w:eastAsia="宋体" w:cs="Times New Roman"/>
                <w:color w:val="auto"/>
                <w:sz w:val="24"/>
              </w:rPr>
            </w:pPr>
            <w:r>
              <w:rPr>
                <w:rFonts w:hint="eastAsia" w:ascii="Times New Roman" w:hAnsi="Times New Roman" w:eastAsia="宋体" w:cs="Times New Roman"/>
                <w:color w:val="auto"/>
                <w:sz w:val="24"/>
              </w:rPr>
              <w:t>根据调查，项目所在地附近能够处置项目产生一般固废的处置公司情况如下表所示。</w:t>
            </w:r>
          </w:p>
          <w:p w14:paraId="7EB6DF2C">
            <w:pPr>
              <w:keepNext w:val="0"/>
              <w:keepLines w:val="0"/>
              <w:suppressLineNumbers w:val="0"/>
              <w:spacing w:before="0" w:beforeAutospacing="0" w:after="0" w:afterAutospacing="0"/>
              <w:ind w:left="0" w:right="0"/>
              <w:jc w:val="center"/>
              <w:rPr>
                <w:rFonts w:hint="default" w:ascii="Times New Roman" w:hAnsi="Times New Roman" w:eastAsia="宋体" w:cs="Times New Roman"/>
                <w:b/>
                <w:bCs/>
                <w:color w:val="auto"/>
              </w:rPr>
            </w:pPr>
            <w:r>
              <w:rPr>
                <w:rFonts w:hint="eastAsia" w:ascii="Times New Roman" w:hAnsi="Times New Roman" w:eastAsia="宋体" w:cs="Times New Roman"/>
                <w:b/>
                <w:bCs/>
                <w:color w:val="auto"/>
              </w:rPr>
              <w:t>表</w:t>
            </w:r>
            <w:r>
              <w:rPr>
                <w:rFonts w:hint="default" w:ascii="Times New Roman" w:hAnsi="Times New Roman" w:eastAsia="宋体" w:cs="Times New Roman"/>
                <w:b/>
                <w:bCs/>
                <w:color w:val="auto"/>
              </w:rPr>
              <w:t>4-2</w:t>
            </w:r>
            <w:r>
              <w:rPr>
                <w:rFonts w:hint="eastAsia" w:ascii="Times New Roman" w:hAnsi="Times New Roman" w:eastAsia="宋体" w:cs="Times New Roman"/>
                <w:b/>
                <w:bCs/>
                <w:color w:val="auto"/>
                <w:lang w:val="en-US" w:eastAsia="zh-CN"/>
              </w:rPr>
              <w:t>5</w:t>
            </w:r>
            <w:r>
              <w:rPr>
                <w:rFonts w:hint="default" w:ascii="Times New Roman" w:hAnsi="Times New Roman" w:eastAsia="宋体" w:cs="Times New Roman"/>
                <w:b/>
                <w:bCs/>
                <w:color w:val="auto"/>
              </w:rPr>
              <w:t xml:space="preserve"> </w:t>
            </w:r>
            <w:r>
              <w:rPr>
                <w:rFonts w:hint="eastAsia" w:ascii="Times New Roman" w:hAnsi="Times New Roman" w:eastAsia="宋体" w:cs="Times New Roman"/>
                <w:b/>
                <w:bCs/>
                <w:color w:val="auto"/>
              </w:rPr>
              <w:t xml:space="preserve"> 本项目周边物资回收公司情况</w:t>
            </w:r>
          </w:p>
          <w:tbl>
            <w:tblPr>
              <w:tblStyle w:val="23"/>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162"/>
              <w:gridCol w:w="6286"/>
              <w:gridCol w:w="5810"/>
            </w:tblGrid>
            <w:tr w14:paraId="53E230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1176" w:type="dxa"/>
                  <w:vAlign w:val="center"/>
                </w:tcPr>
                <w:p w14:paraId="489C84B5">
                  <w:pPr>
                    <w:keepNext w:val="0"/>
                    <w:keepLines w:val="0"/>
                    <w:suppressLineNumbers w:val="0"/>
                    <w:spacing w:before="0" w:beforeAutospacing="0" w:after="0" w:afterAutospacing="0"/>
                    <w:ind w:left="0" w:right="0"/>
                    <w:jc w:val="center"/>
                    <w:rPr>
                      <w:rFonts w:hint="default" w:ascii="Times New Roman" w:hAnsi="Times New Roman" w:eastAsia="宋体" w:cs="Times New Roman"/>
                      <w:b/>
                      <w:bCs/>
                      <w:color w:val="auto"/>
                      <w:szCs w:val="21"/>
                    </w:rPr>
                  </w:pPr>
                  <w:r>
                    <w:rPr>
                      <w:rFonts w:hint="default" w:ascii="Times New Roman" w:hAnsi="Times New Roman" w:eastAsia="宋体" w:cs="Times New Roman"/>
                      <w:b/>
                      <w:bCs/>
                      <w:color w:val="auto"/>
                      <w:szCs w:val="21"/>
                    </w:rPr>
                    <w:t>序号</w:t>
                  </w:r>
                </w:p>
              </w:tc>
              <w:tc>
                <w:tcPr>
                  <w:tcW w:w="6375" w:type="dxa"/>
                  <w:vAlign w:val="center"/>
                </w:tcPr>
                <w:p w14:paraId="379BF8FC">
                  <w:pPr>
                    <w:keepNext w:val="0"/>
                    <w:keepLines w:val="0"/>
                    <w:suppressLineNumbers w:val="0"/>
                    <w:spacing w:before="0" w:beforeAutospacing="0" w:after="0" w:afterAutospacing="0"/>
                    <w:ind w:left="0" w:right="0"/>
                    <w:jc w:val="center"/>
                    <w:rPr>
                      <w:rFonts w:hint="default" w:ascii="Times New Roman" w:hAnsi="Times New Roman" w:eastAsia="宋体" w:cs="Times New Roman"/>
                      <w:b/>
                      <w:bCs/>
                      <w:color w:val="auto"/>
                      <w:szCs w:val="21"/>
                    </w:rPr>
                  </w:pPr>
                  <w:r>
                    <w:rPr>
                      <w:rFonts w:hint="default" w:ascii="Times New Roman" w:hAnsi="Times New Roman" w:eastAsia="宋体" w:cs="Times New Roman"/>
                      <w:b/>
                      <w:bCs/>
                      <w:color w:val="auto"/>
                      <w:szCs w:val="21"/>
                    </w:rPr>
                    <w:t>公司名称</w:t>
                  </w:r>
                </w:p>
              </w:tc>
              <w:tc>
                <w:tcPr>
                  <w:tcW w:w="5891" w:type="dxa"/>
                  <w:vAlign w:val="center"/>
                </w:tcPr>
                <w:p w14:paraId="75AB9E3B">
                  <w:pPr>
                    <w:keepNext w:val="0"/>
                    <w:keepLines w:val="0"/>
                    <w:suppressLineNumbers w:val="0"/>
                    <w:spacing w:before="0" w:beforeAutospacing="0" w:after="0" w:afterAutospacing="0"/>
                    <w:ind w:left="0" w:right="0"/>
                    <w:jc w:val="center"/>
                    <w:rPr>
                      <w:rFonts w:hint="default" w:ascii="Times New Roman" w:hAnsi="Times New Roman" w:eastAsia="宋体" w:cs="Times New Roman"/>
                      <w:b/>
                      <w:bCs/>
                      <w:color w:val="auto"/>
                      <w:szCs w:val="21"/>
                    </w:rPr>
                  </w:pPr>
                  <w:r>
                    <w:rPr>
                      <w:rFonts w:hint="default" w:ascii="Times New Roman" w:hAnsi="Times New Roman" w:eastAsia="宋体" w:cs="Times New Roman"/>
                      <w:b/>
                      <w:bCs/>
                      <w:color w:val="auto"/>
                      <w:szCs w:val="21"/>
                    </w:rPr>
                    <w:t>公司地址</w:t>
                  </w:r>
                </w:p>
              </w:tc>
            </w:tr>
            <w:tr w14:paraId="72AF23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1176" w:type="dxa"/>
                  <w:vAlign w:val="center"/>
                </w:tcPr>
                <w:p w14:paraId="276F3E77">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rPr>
                    <w:t>1</w:t>
                  </w:r>
                </w:p>
              </w:tc>
              <w:tc>
                <w:tcPr>
                  <w:tcW w:w="6375" w:type="dxa"/>
                  <w:vAlign w:val="center"/>
                </w:tcPr>
                <w:p w14:paraId="71BC2FBF">
                  <w:pPr>
                    <w:keepNext w:val="0"/>
                    <w:keepLines w:val="0"/>
                    <w:suppressLineNumbers w:val="0"/>
                    <w:spacing w:before="0" w:beforeAutospacing="0" w:after="0" w:afterAutospacing="0" w:line="240" w:lineRule="auto"/>
                    <w:ind w:left="0" w:right="0"/>
                    <w:jc w:val="center"/>
                    <w:rPr>
                      <w:rFonts w:hint="default" w:ascii="Times New Roman" w:hAnsi="Times New Roman" w:eastAsia="宋体" w:cs="Times New Roman"/>
                      <w:color w:val="auto"/>
                      <w:szCs w:val="21"/>
                    </w:rPr>
                  </w:pPr>
                  <w:r>
                    <w:rPr>
                      <w:rFonts w:hint="default" w:ascii="Times New Roman" w:hAnsi="Times New Roman" w:eastAsia="宋体" w:cs="Times New Roman"/>
                      <w:b w:val="0"/>
                      <w:bCs w:val="0"/>
                      <w:color w:val="auto"/>
                      <w:sz w:val="21"/>
                      <w:szCs w:val="21"/>
                      <w:lang w:val="en-US" w:eastAsia="zh-CN"/>
                    </w:rPr>
                    <w:t>安吉县立兴废旧物资回收有限公司</w:t>
                  </w:r>
                </w:p>
              </w:tc>
              <w:tc>
                <w:tcPr>
                  <w:tcW w:w="5891" w:type="dxa"/>
                  <w:vAlign w:val="center"/>
                </w:tcPr>
                <w:p w14:paraId="5B80AE64">
                  <w:pPr>
                    <w:keepNext w:val="0"/>
                    <w:keepLines w:val="0"/>
                    <w:suppressLineNumbers w:val="0"/>
                    <w:spacing w:before="0" w:beforeAutospacing="0" w:after="0" w:afterAutospacing="0" w:line="240" w:lineRule="auto"/>
                    <w:ind w:left="0" w:right="0"/>
                    <w:jc w:val="center"/>
                    <w:rPr>
                      <w:rFonts w:hint="default" w:ascii="Times New Roman" w:hAnsi="Times New Roman" w:eastAsia="宋体" w:cs="Times New Roman"/>
                      <w:color w:val="auto"/>
                      <w:szCs w:val="21"/>
                    </w:rPr>
                  </w:pPr>
                  <w:r>
                    <w:rPr>
                      <w:rFonts w:hint="default" w:ascii="Times New Roman" w:hAnsi="Times New Roman" w:eastAsia="宋体" w:cs="Times New Roman"/>
                      <w:b w:val="0"/>
                      <w:bCs w:val="0"/>
                      <w:color w:val="auto"/>
                      <w:sz w:val="21"/>
                      <w:szCs w:val="21"/>
                    </w:rPr>
                    <w:t>安吉县皈山乡孝源村</w:t>
                  </w:r>
                </w:p>
              </w:tc>
            </w:tr>
            <w:tr w14:paraId="5D1937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1176" w:type="dxa"/>
                  <w:vAlign w:val="center"/>
                </w:tcPr>
                <w:p w14:paraId="43FEF66D">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rPr>
                    <w:t>2</w:t>
                  </w:r>
                </w:p>
              </w:tc>
              <w:tc>
                <w:tcPr>
                  <w:tcW w:w="6375" w:type="dxa"/>
                  <w:vAlign w:val="center"/>
                </w:tcPr>
                <w:p w14:paraId="27408F3D">
                  <w:pPr>
                    <w:keepNext w:val="0"/>
                    <w:keepLines w:val="0"/>
                    <w:suppressLineNumbers w:val="0"/>
                    <w:spacing w:before="0" w:beforeAutospacing="0" w:after="0" w:afterAutospacing="0" w:line="240" w:lineRule="auto"/>
                    <w:ind w:left="0" w:right="0"/>
                    <w:jc w:val="center"/>
                    <w:rPr>
                      <w:rFonts w:hint="default" w:ascii="Times New Roman" w:hAnsi="Times New Roman" w:eastAsia="宋体" w:cs="Times New Roman"/>
                      <w:color w:val="auto"/>
                      <w:szCs w:val="21"/>
                    </w:rPr>
                  </w:pPr>
                  <w:r>
                    <w:rPr>
                      <w:rFonts w:hint="default" w:ascii="Times New Roman" w:hAnsi="Times New Roman" w:eastAsia="宋体" w:cs="Times New Roman"/>
                      <w:b w:val="0"/>
                      <w:bCs w:val="0"/>
                      <w:color w:val="auto"/>
                      <w:sz w:val="21"/>
                      <w:szCs w:val="21"/>
                      <w:lang w:val="en-US" w:eastAsia="zh-CN"/>
                    </w:rPr>
                    <w:t>安吉华吉再生资源回收有限公司</w:t>
                  </w:r>
                </w:p>
              </w:tc>
              <w:tc>
                <w:tcPr>
                  <w:tcW w:w="5891" w:type="dxa"/>
                  <w:vAlign w:val="center"/>
                </w:tcPr>
                <w:p w14:paraId="72C3D041">
                  <w:pPr>
                    <w:keepNext w:val="0"/>
                    <w:keepLines w:val="0"/>
                    <w:suppressLineNumbers w:val="0"/>
                    <w:spacing w:before="0" w:beforeAutospacing="0" w:after="0" w:afterAutospacing="0" w:line="240" w:lineRule="auto"/>
                    <w:ind w:left="0" w:right="0"/>
                    <w:jc w:val="center"/>
                    <w:rPr>
                      <w:rFonts w:hint="default" w:ascii="Times New Roman" w:hAnsi="Times New Roman" w:eastAsia="宋体" w:cs="Times New Roman"/>
                      <w:color w:val="auto"/>
                      <w:szCs w:val="21"/>
                    </w:rPr>
                  </w:pPr>
                  <w:r>
                    <w:rPr>
                      <w:rFonts w:hint="default" w:ascii="Times New Roman" w:hAnsi="Times New Roman" w:eastAsia="宋体" w:cs="Times New Roman"/>
                      <w:b w:val="0"/>
                      <w:bCs w:val="0"/>
                      <w:color w:val="auto"/>
                      <w:sz w:val="21"/>
                      <w:szCs w:val="21"/>
                    </w:rPr>
                    <w:t>安吉县递铺街道塘铺工业园区1幢（浙江安吉至尚家具有限公司内）</w:t>
                  </w:r>
                </w:p>
              </w:tc>
            </w:tr>
            <w:tr w14:paraId="3C7A2C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1176" w:type="dxa"/>
                  <w:vAlign w:val="center"/>
                </w:tcPr>
                <w:p w14:paraId="2B6703BB">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rPr>
                    <w:t>3</w:t>
                  </w:r>
                </w:p>
              </w:tc>
              <w:tc>
                <w:tcPr>
                  <w:tcW w:w="6375" w:type="dxa"/>
                  <w:vAlign w:val="center"/>
                </w:tcPr>
                <w:p w14:paraId="2A06E7DD">
                  <w:pPr>
                    <w:keepNext w:val="0"/>
                    <w:keepLines w:val="0"/>
                    <w:suppressLineNumbers w:val="0"/>
                    <w:spacing w:before="0" w:beforeAutospacing="0" w:after="0" w:afterAutospacing="0" w:line="240" w:lineRule="auto"/>
                    <w:ind w:left="0" w:right="0"/>
                    <w:jc w:val="center"/>
                    <w:rPr>
                      <w:rFonts w:hint="default" w:ascii="Times New Roman" w:hAnsi="Times New Roman" w:eastAsia="宋体" w:cs="Times New Roman"/>
                      <w:color w:val="auto"/>
                      <w:szCs w:val="21"/>
                    </w:rPr>
                  </w:pPr>
                  <w:r>
                    <w:rPr>
                      <w:rFonts w:hint="default" w:ascii="Times New Roman" w:hAnsi="Times New Roman" w:eastAsia="宋体" w:cs="Times New Roman"/>
                      <w:b w:val="0"/>
                      <w:bCs w:val="0"/>
                      <w:color w:val="0000E1"/>
                      <w:sz w:val="21"/>
                      <w:szCs w:val="21"/>
                      <w:lang w:val="en-US" w:eastAsia="zh-CN"/>
                    </w:rPr>
                    <w:t>安吉县旺盛废旧物资经营有限公司</w:t>
                  </w:r>
                </w:p>
              </w:tc>
              <w:tc>
                <w:tcPr>
                  <w:tcW w:w="5891" w:type="dxa"/>
                  <w:vAlign w:val="center"/>
                </w:tcPr>
                <w:p w14:paraId="65F9D556">
                  <w:pPr>
                    <w:keepNext w:val="0"/>
                    <w:keepLines w:val="0"/>
                    <w:suppressLineNumbers w:val="0"/>
                    <w:spacing w:before="0" w:beforeAutospacing="0" w:after="0" w:afterAutospacing="0" w:line="240" w:lineRule="auto"/>
                    <w:ind w:left="0" w:right="0"/>
                    <w:jc w:val="center"/>
                    <w:rPr>
                      <w:rFonts w:hint="default" w:ascii="Times New Roman" w:hAnsi="Times New Roman" w:eastAsia="宋体" w:cs="Times New Roman"/>
                      <w:color w:val="auto"/>
                      <w:szCs w:val="21"/>
                    </w:rPr>
                  </w:pPr>
                  <w:r>
                    <w:rPr>
                      <w:rFonts w:hint="default" w:ascii="Times New Roman" w:hAnsi="Times New Roman" w:eastAsia="宋体" w:cs="Times New Roman"/>
                      <w:b w:val="0"/>
                      <w:bCs w:val="0"/>
                      <w:color w:val="auto"/>
                      <w:sz w:val="21"/>
                      <w:szCs w:val="21"/>
                    </w:rPr>
                    <w:t>安吉县</w:t>
                  </w:r>
                  <w:r>
                    <w:rPr>
                      <w:rFonts w:hint="default" w:ascii="Times New Roman" w:hAnsi="Times New Roman" w:eastAsia="宋体" w:cs="Times New Roman"/>
                      <w:b w:val="0"/>
                      <w:bCs w:val="0"/>
                      <w:color w:val="auto"/>
                      <w:sz w:val="21"/>
                      <w:szCs w:val="21"/>
                      <w:lang w:val="en-US" w:eastAsia="zh-CN"/>
                    </w:rPr>
                    <w:t>孝丰镇下汤工业区</w:t>
                  </w:r>
                </w:p>
              </w:tc>
            </w:tr>
          </w:tbl>
          <w:p w14:paraId="35FA651E">
            <w:pPr>
              <w:keepNext w:val="0"/>
              <w:keepLines w:val="0"/>
              <w:suppressLineNumbers w:val="0"/>
              <w:spacing w:before="0" w:beforeAutospacing="0" w:after="0" w:afterAutospacing="0" w:line="360" w:lineRule="auto"/>
              <w:ind w:left="0" w:right="0" w:firstLine="480" w:firstLineChars="200"/>
              <w:rPr>
                <w:rFonts w:hint="default" w:ascii="Times New Roman" w:hAnsi="Times New Roman" w:eastAsia="宋体" w:cs="Times New Roman"/>
                <w:color w:val="auto"/>
                <w:sz w:val="24"/>
              </w:rPr>
            </w:pPr>
            <w:r>
              <w:rPr>
                <w:rFonts w:hint="eastAsia" w:ascii="Times New Roman" w:hAnsi="Times New Roman" w:eastAsia="宋体" w:cs="Times New Roman"/>
                <w:color w:val="auto"/>
                <w:sz w:val="24"/>
              </w:rPr>
              <w:t>（2）危险废物</w:t>
            </w:r>
          </w:p>
          <w:p w14:paraId="28189AF5">
            <w:pPr>
              <w:keepNext w:val="0"/>
              <w:keepLines w:val="0"/>
              <w:suppressLineNumbers w:val="0"/>
              <w:spacing w:before="0" w:beforeAutospacing="0" w:after="0" w:afterAutospacing="0" w:line="360" w:lineRule="auto"/>
              <w:ind w:left="0" w:right="0" w:firstLine="480" w:firstLineChars="200"/>
              <w:rPr>
                <w:rFonts w:hint="eastAsia" w:ascii="Times New Roman" w:hAnsi="Times New Roman" w:eastAsia="宋体" w:cs="Times New Roman"/>
                <w:color w:val="auto"/>
                <w:sz w:val="24"/>
                <w:lang w:val="en-US" w:eastAsia="zh-CN"/>
              </w:rPr>
            </w:pPr>
            <w:r>
              <w:rPr>
                <w:rFonts w:hint="eastAsia" w:ascii="Times New Roman" w:hAnsi="Times New Roman" w:eastAsia="宋体" w:cs="Times New Roman"/>
                <w:color w:val="auto"/>
                <w:sz w:val="24"/>
                <w:lang w:val="en-US" w:eastAsia="zh-CN"/>
              </w:rPr>
              <w:t>①危险废物贮存场所（设施）污染防治措施</w:t>
            </w:r>
          </w:p>
          <w:p w14:paraId="620605EA">
            <w:pPr>
              <w:keepNext w:val="0"/>
              <w:keepLines w:val="0"/>
              <w:suppressLineNumbers w:val="0"/>
              <w:spacing w:before="0" w:beforeAutospacing="0" w:after="0" w:afterAutospacing="0" w:line="360" w:lineRule="auto"/>
              <w:ind w:left="0" w:right="0" w:firstLine="480" w:firstLineChars="200"/>
              <w:rPr>
                <w:rFonts w:hint="default" w:ascii="Times New Roman" w:hAnsi="Times New Roman" w:eastAsia="宋体" w:cs="Times New Roman"/>
                <w:color w:val="auto"/>
                <w:sz w:val="24"/>
              </w:rPr>
            </w:pPr>
            <w:r>
              <w:rPr>
                <w:rFonts w:hint="eastAsia" w:ascii="Times New Roman" w:hAnsi="Times New Roman" w:eastAsia="宋体" w:cs="Times New Roman"/>
                <w:color w:val="auto"/>
                <w:sz w:val="24"/>
                <w:lang w:val="en-US" w:eastAsia="zh-CN"/>
              </w:rPr>
              <w:t>本项目危险废物贮存场所（设施）基本情况见下表</w:t>
            </w:r>
            <w:r>
              <w:rPr>
                <w:rFonts w:hint="eastAsia" w:ascii="Times New Roman" w:hAnsi="Times New Roman" w:eastAsia="宋体" w:cs="Times New Roman"/>
                <w:color w:val="auto"/>
                <w:sz w:val="24"/>
              </w:rPr>
              <w:t>。</w:t>
            </w:r>
          </w:p>
          <w:p w14:paraId="1C1DCFEE">
            <w:pPr>
              <w:keepNext w:val="0"/>
              <w:keepLines w:val="0"/>
              <w:suppressLineNumbers w:val="0"/>
              <w:spacing w:before="0" w:beforeAutospacing="0" w:after="0" w:afterAutospacing="0"/>
              <w:ind w:left="0" w:right="0"/>
              <w:jc w:val="center"/>
              <w:rPr>
                <w:rFonts w:hint="default" w:ascii="Times New Roman" w:hAnsi="Times New Roman" w:eastAsia="宋体" w:cs="Times New Roman"/>
                <w:b/>
                <w:bCs/>
                <w:color w:val="auto"/>
              </w:rPr>
            </w:pPr>
            <w:r>
              <w:rPr>
                <w:rFonts w:hint="eastAsia" w:ascii="Times New Roman" w:hAnsi="Times New Roman" w:eastAsia="宋体" w:cs="Times New Roman"/>
                <w:b/>
                <w:bCs/>
                <w:color w:val="auto"/>
              </w:rPr>
              <w:t>表4-2</w:t>
            </w:r>
            <w:r>
              <w:rPr>
                <w:rFonts w:hint="eastAsia" w:ascii="Times New Roman" w:hAnsi="Times New Roman" w:eastAsia="宋体" w:cs="Times New Roman"/>
                <w:b/>
                <w:bCs/>
                <w:color w:val="auto"/>
                <w:lang w:val="en-US" w:eastAsia="zh-CN"/>
              </w:rPr>
              <w:t>6</w:t>
            </w:r>
            <w:r>
              <w:rPr>
                <w:rFonts w:hint="eastAsia" w:ascii="Times New Roman" w:hAnsi="Times New Roman" w:eastAsia="宋体" w:cs="Times New Roman"/>
                <w:b/>
                <w:bCs/>
                <w:color w:val="auto"/>
              </w:rPr>
              <w:t xml:space="preserve">  危险废物贮存场所（设施）基本情况表</w:t>
            </w:r>
          </w:p>
          <w:tbl>
            <w:tblPr>
              <w:tblStyle w:val="22"/>
              <w:tblW w:w="4989" w:type="pct"/>
              <w:jc w:val="center"/>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Layout w:type="fixed"/>
              <w:tblCellMar>
                <w:top w:w="0" w:type="dxa"/>
                <w:left w:w="108" w:type="dxa"/>
                <w:bottom w:w="0" w:type="dxa"/>
                <w:right w:w="108" w:type="dxa"/>
              </w:tblCellMar>
            </w:tblPr>
            <w:tblGrid>
              <w:gridCol w:w="681"/>
              <w:gridCol w:w="1494"/>
              <w:gridCol w:w="2665"/>
              <w:gridCol w:w="1465"/>
              <w:gridCol w:w="1465"/>
              <w:gridCol w:w="1049"/>
              <w:gridCol w:w="1015"/>
              <w:gridCol w:w="1155"/>
              <w:gridCol w:w="1123"/>
              <w:gridCol w:w="1123"/>
            </w:tblGrid>
            <w:tr w14:paraId="33D0A5BE">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397" w:hRule="atLeast"/>
                <w:jc w:val="center"/>
              </w:trPr>
              <w:tc>
                <w:tcPr>
                  <w:tcW w:w="257" w:type="pct"/>
                  <w:noWrap/>
                  <w:tcMar>
                    <w:left w:w="51" w:type="dxa"/>
                    <w:right w:w="51" w:type="dxa"/>
                  </w:tcMar>
                  <w:vAlign w:val="center"/>
                </w:tcPr>
                <w:p w14:paraId="3EBEA2D8">
                  <w:pPr>
                    <w:keepNext w:val="0"/>
                    <w:keepLines w:val="0"/>
                    <w:suppressLineNumbers w:val="0"/>
                    <w:spacing w:before="0" w:beforeAutospacing="0" w:after="0" w:afterAutospacing="0"/>
                    <w:ind w:left="0" w:right="0"/>
                    <w:jc w:val="center"/>
                    <w:rPr>
                      <w:rFonts w:hint="default" w:ascii="Times New Roman" w:hAnsi="Times New Roman" w:eastAsia="宋体" w:cs="Times New Roman"/>
                      <w:b/>
                      <w:bCs/>
                      <w:color w:val="auto"/>
                      <w:szCs w:val="21"/>
                    </w:rPr>
                  </w:pPr>
                  <w:r>
                    <w:rPr>
                      <w:rFonts w:hint="default" w:ascii="Times New Roman" w:hAnsi="Times New Roman" w:eastAsia="宋体" w:cs="Times New Roman"/>
                      <w:b/>
                      <w:bCs/>
                      <w:color w:val="auto"/>
                      <w:szCs w:val="21"/>
                    </w:rPr>
                    <w:t>序号</w:t>
                  </w:r>
                </w:p>
              </w:tc>
              <w:tc>
                <w:tcPr>
                  <w:tcW w:w="564" w:type="pct"/>
                  <w:tcBorders>
                    <w:right w:val="single" w:color="auto" w:sz="4" w:space="0"/>
                  </w:tcBorders>
                  <w:noWrap/>
                  <w:tcMar>
                    <w:left w:w="51" w:type="dxa"/>
                    <w:right w:w="51" w:type="dxa"/>
                  </w:tcMar>
                  <w:vAlign w:val="center"/>
                </w:tcPr>
                <w:p w14:paraId="327A19F4">
                  <w:pPr>
                    <w:keepNext w:val="0"/>
                    <w:keepLines w:val="0"/>
                    <w:suppressLineNumbers w:val="0"/>
                    <w:spacing w:before="0" w:beforeAutospacing="0" w:after="0" w:afterAutospacing="0"/>
                    <w:ind w:left="0" w:right="0"/>
                    <w:jc w:val="center"/>
                    <w:rPr>
                      <w:rFonts w:hint="default" w:ascii="Times New Roman" w:hAnsi="Times New Roman" w:eastAsia="宋体" w:cs="Times New Roman"/>
                      <w:b/>
                      <w:bCs/>
                      <w:color w:val="auto"/>
                      <w:szCs w:val="21"/>
                    </w:rPr>
                  </w:pPr>
                  <w:r>
                    <w:rPr>
                      <w:rFonts w:hint="default" w:ascii="Times New Roman" w:hAnsi="Times New Roman" w:eastAsia="宋体" w:cs="Times New Roman"/>
                      <w:b/>
                      <w:bCs/>
                      <w:color w:val="auto"/>
                      <w:szCs w:val="21"/>
                    </w:rPr>
                    <w:t>贮存场所名称</w:t>
                  </w:r>
                </w:p>
              </w:tc>
              <w:tc>
                <w:tcPr>
                  <w:tcW w:w="1006" w:type="pct"/>
                  <w:tcBorders>
                    <w:left w:val="single" w:color="auto" w:sz="4" w:space="0"/>
                  </w:tcBorders>
                  <w:noWrap/>
                  <w:tcMar>
                    <w:left w:w="51" w:type="dxa"/>
                    <w:right w:w="51" w:type="dxa"/>
                  </w:tcMar>
                  <w:vAlign w:val="center"/>
                </w:tcPr>
                <w:p w14:paraId="1142652F">
                  <w:pPr>
                    <w:keepNext w:val="0"/>
                    <w:keepLines w:val="0"/>
                    <w:suppressLineNumbers w:val="0"/>
                    <w:spacing w:before="0" w:beforeAutospacing="0" w:after="0" w:afterAutospacing="0"/>
                    <w:ind w:left="0" w:right="0"/>
                    <w:jc w:val="center"/>
                    <w:rPr>
                      <w:rFonts w:hint="default" w:ascii="Times New Roman" w:hAnsi="Times New Roman" w:eastAsia="宋体" w:cs="Times New Roman"/>
                      <w:b/>
                      <w:bCs/>
                      <w:color w:val="auto"/>
                      <w:szCs w:val="21"/>
                    </w:rPr>
                  </w:pPr>
                  <w:r>
                    <w:rPr>
                      <w:rFonts w:hint="default" w:ascii="Times New Roman" w:hAnsi="Times New Roman" w:eastAsia="宋体" w:cs="Times New Roman"/>
                      <w:b/>
                      <w:bCs/>
                      <w:color w:val="auto"/>
                      <w:szCs w:val="21"/>
                    </w:rPr>
                    <w:t>危险废物名称</w:t>
                  </w:r>
                </w:p>
              </w:tc>
              <w:tc>
                <w:tcPr>
                  <w:tcW w:w="553" w:type="pct"/>
                  <w:noWrap/>
                  <w:tcMar>
                    <w:left w:w="51" w:type="dxa"/>
                    <w:right w:w="51" w:type="dxa"/>
                  </w:tcMar>
                  <w:vAlign w:val="center"/>
                </w:tcPr>
                <w:p w14:paraId="3B3070C0">
                  <w:pPr>
                    <w:keepNext w:val="0"/>
                    <w:keepLines w:val="0"/>
                    <w:suppressLineNumbers w:val="0"/>
                    <w:spacing w:before="0" w:beforeAutospacing="0" w:after="0" w:afterAutospacing="0"/>
                    <w:ind w:left="0" w:right="0"/>
                    <w:jc w:val="center"/>
                    <w:rPr>
                      <w:rFonts w:hint="default" w:ascii="Times New Roman" w:hAnsi="Times New Roman" w:eastAsia="宋体" w:cs="Times New Roman"/>
                      <w:b/>
                      <w:bCs/>
                      <w:color w:val="auto"/>
                      <w:szCs w:val="21"/>
                    </w:rPr>
                  </w:pPr>
                  <w:r>
                    <w:rPr>
                      <w:rFonts w:hint="default" w:ascii="Times New Roman" w:hAnsi="Times New Roman" w:eastAsia="宋体" w:cs="Times New Roman"/>
                      <w:b/>
                      <w:bCs/>
                      <w:color w:val="auto"/>
                      <w:szCs w:val="21"/>
                    </w:rPr>
                    <w:t>危险废物类别</w:t>
                  </w:r>
                </w:p>
              </w:tc>
              <w:tc>
                <w:tcPr>
                  <w:tcW w:w="553" w:type="pct"/>
                  <w:noWrap/>
                  <w:tcMar>
                    <w:left w:w="51" w:type="dxa"/>
                    <w:right w:w="51" w:type="dxa"/>
                  </w:tcMar>
                  <w:vAlign w:val="center"/>
                </w:tcPr>
                <w:p w14:paraId="4C6243D3">
                  <w:pPr>
                    <w:keepNext w:val="0"/>
                    <w:keepLines w:val="0"/>
                    <w:suppressLineNumbers w:val="0"/>
                    <w:spacing w:before="0" w:beforeAutospacing="0" w:after="0" w:afterAutospacing="0"/>
                    <w:ind w:left="0" w:right="0"/>
                    <w:jc w:val="center"/>
                    <w:rPr>
                      <w:rFonts w:hint="default" w:ascii="Times New Roman" w:hAnsi="Times New Roman" w:eastAsia="宋体" w:cs="Times New Roman"/>
                      <w:b/>
                      <w:bCs/>
                      <w:color w:val="auto"/>
                      <w:szCs w:val="21"/>
                    </w:rPr>
                  </w:pPr>
                  <w:r>
                    <w:rPr>
                      <w:rFonts w:hint="default" w:ascii="Times New Roman" w:hAnsi="Times New Roman" w:eastAsia="宋体" w:cs="Times New Roman"/>
                      <w:b/>
                      <w:bCs/>
                      <w:color w:val="auto"/>
                      <w:szCs w:val="21"/>
                    </w:rPr>
                    <w:t>危险废物代码</w:t>
                  </w:r>
                </w:p>
              </w:tc>
              <w:tc>
                <w:tcPr>
                  <w:tcW w:w="396" w:type="pct"/>
                  <w:noWrap/>
                  <w:tcMar>
                    <w:left w:w="51" w:type="dxa"/>
                    <w:right w:w="51" w:type="dxa"/>
                  </w:tcMar>
                  <w:vAlign w:val="center"/>
                </w:tcPr>
                <w:p w14:paraId="70D0D9D4">
                  <w:pPr>
                    <w:keepNext w:val="0"/>
                    <w:keepLines w:val="0"/>
                    <w:suppressLineNumbers w:val="0"/>
                    <w:spacing w:before="0" w:beforeAutospacing="0" w:after="0" w:afterAutospacing="0"/>
                    <w:ind w:left="0" w:right="0"/>
                    <w:jc w:val="center"/>
                    <w:rPr>
                      <w:rFonts w:hint="default" w:ascii="Times New Roman" w:hAnsi="Times New Roman" w:eastAsia="宋体" w:cs="Times New Roman"/>
                      <w:b/>
                      <w:bCs/>
                      <w:color w:val="auto"/>
                      <w:szCs w:val="21"/>
                    </w:rPr>
                  </w:pPr>
                  <w:r>
                    <w:rPr>
                      <w:rFonts w:hint="default" w:ascii="Times New Roman" w:hAnsi="Times New Roman" w:eastAsia="宋体" w:cs="Times New Roman"/>
                      <w:b/>
                      <w:bCs/>
                      <w:color w:val="auto"/>
                      <w:szCs w:val="21"/>
                    </w:rPr>
                    <w:t>位置</w:t>
                  </w:r>
                </w:p>
              </w:tc>
              <w:tc>
                <w:tcPr>
                  <w:tcW w:w="383" w:type="pct"/>
                  <w:noWrap/>
                  <w:tcMar>
                    <w:left w:w="51" w:type="dxa"/>
                    <w:right w:w="51" w:type="dxa"/>
                  </w:tcMar>
                  <w:vAlign w:val="center"/>
                </w:tcPr>
                <w:p w14:paraId="1741949A">
                  <w:pPr>
                    <w:keepNext w:val="0"/>
                    <w:keepLines w:val="0"/>
                    <w:suppressLineNumbers w:val="0"/>
                    <w:spacing w:before="0" w:beforeAutospacing="0" w:after="0" w:afterAutospacing="0"/>
                    <w:ind w:left="0" w:right="0"/>
                    <w:jc w:val="center"/>
                    <w:rPr>
                      <w:rFonts w:hint="default" w:ascii="Times New Roman" w:hAnsi="Times New Roman" w:eastAsia="宋体" w:cs="Times New Roman"/>
                      <w:b/>
                      <w:bCs/>
                      <w:color w:val="auto"/>
                      <w:szCs w:val="21"/>
                    </w:rPr>
                  </w:pPr>
                  <w:r>
                    <w:rPr>
                      <w:rFonts w:hint="default" w:ascii="Times New Roman" w:hAnsi="Times New Roman" w:eastAsia="宋体" w:cs="Times New Roman"/>
                      <w:b/>
                      <w:bCs/>
                      <w:color w:val="auto"/>
                      <w:szCs w:val="21"/>
                    </w:rPr>
                    <w:t>占地面积</w:t>
                  </w:r>
                </w:p>
              </w:tc>
              <w:tc>
                <w:tcPr>
                  <w:tcW w:w="436" w:type="pct"/>
                  <w:tcBorders>
                    <w:right w:val="single" w:color="auto" w:sz="4" w:space="0"/>
                  </w:tcBorders>
                  <w:noWrap/>
                  <w:tcMar>
                    <w:left w:w="51" w:type="dxa"/>
                    <w:right w:w="51" w:type="dxa"/>
                  </w:tcMar>
                  <w:vAlign w:val="center"/>
                </w:tcPr>
                <w:p w14:paraId="49EE91B7">
                  <w:pPr>
                    <w:keepNext w:val="0"/>
                    <w:keepLines w:val="0"/>
                    <w:suppressLineNumbers w:val="0"/>
                    <w:spacing w:before="0" w:beforeAutospacing="0" w:after="0" w:afterAutospacing="0"/>
                    <w:ind w:left="0" w:right="0"/>
                    <w:jc w:val="center"/>
                    <w:rPr>
                      <w:rFonts w:hint="default" w:ascii="Times New Roman" w:hAnsi="Times New Roman" w:eastAsia="宋体" w:cs="Times New Roman"/>
                      <w:b/>
                      <w:bCs/>
                      <w:color w:val="auto"/>
                      <w:szCs w:val="21"/>
                    </w:rPr>
                  </w:pPr>
                  <w:r>
                    <w:rPr>
                      <w:rFonts w:hint="default" w:ascii="Times New Roman" w:hAnsi="Times New Roman" w:eastAsia="宋体" w:cs="Times New Roman"/>
                      <w:b/>
                      <w:bCs/>
                      <w:color w:val="auto"/>
                      <w:szCs w:val="21"/>
                    </w:rPr>
                    <w:t>贮存方式</w:t>
                  </w:r>
                </w:p>
              </w:tc>
              <w:tc>
                <w:tcPr>
                  <w:tcW w:w="424" w:type="pct"/>
                  <w:tcBorders>
                    <w:left w:val="single" w:color="auto" w:sz="4" w:space="0"/>
                  </w:tcBorders>
                  <w:noWrap/>
                  <w:vAlign w:val="center"/>
                </w:tcPr>
                <w:p w14:paraId="6058F50B">
                  <w:pPr>
                    <w:keepNext w:val="0"/>
                    <w:keepLines w:val="0"/>
                    <w:suppressLineNumbers w:val="0"/>
                    <w:spacing w:before="0" w:beforeAutospacing="0" w:after="0" w:afterAutospacing="0"/>
                    <w:ind w:left="0" w:right="0"/>
                    <w:jc w:val="center"/>
                    <w:rPr>
                      <w:rFonts w:hint="default" w:ascii="Times New Roman" w:hAnsi="Times New Roman" w:eastAsia="宋体" w:cs="Times New Roman"/>
                      <w:b/>
                      <w:bCs/>
                      <w:color w:val="auto"/>
                      <w:szCs w:val="21"/>
                    </w:rPr>
                  </w:pPr>
                  <w:r>
                    <w:rPr>
                      <w:rFonts w:hint="default" w:ascii="Times New Roman" w:hAnsi="Times New Roman" w:eastAsia="宋体" w:cs="Times New Roman"/>
                      <w:b/>
                      <w:bCs/>
                      <w:color w:val="auto"/>
                      <w:szCs w:val="21"/>
                    </w:rPr>
                    <w:t>贮存能力</w:t>
                  </w:r>
                </w:p>
              </w:tc>
              <w:tc>
                <w:tcPr>
                  <w:tcW w:w="424" w:type="pct"/>
                  <w:tcBorders>
                    <w:left w:val="single" w:color="auto" w:sz="4" w:space="0"/>
                  </w:tcBorders>
                  <w:noWrap/>
                  <w:vAlign w:val="center"/>
                </w:tcPr>
                <w:p w14:paraId="4FBD7F7C">
                  <w:pPr>
                    <w:keepNext w:val="0"/>
                    <w:keepLines w:val="0"/>
                    <w:suppressLineNumbers w:val="0"/>
                    <w:spacing w:before="0" w:beforeAutospacing="0" w:after="0" w:afterAutospacing="0"/>
                    <w:ind w:left="0" w:right="0"/>
                    <w:jc w:val="center"/>
                    <w:rPr>
                      <w:rFonts w:hint="default" w:ascii="Times New Roman" w:hAnsi="Times New Roman" w:eastAsia="宋体" w:cs="Times New Roman"/>
                      <w:b/>
                      <w:bCs/>
                      <w:color w:val="auto"/>
                      <w:szCs w:val="21"/>
                    </w:rPr>
                  </w:pPr>
                  <w:r>
                    <w:rPr>
                      <w:rFonts w:hint="default" w:ascii="Times New Roman" w:hAnsi="Times New Roman" w:eastAsia="宋体" w:cs="Times New Roman"/>
                      <w:b/>
                      <w:bCs/>
                      <w:color w:val="auto"/>
                      <w:szCs w:val="21"/>
                    </w:rPr>
                    <w:t>贮存周期</w:t>
                  </w:r>
                </w:p>
              </w:tc>
            </w:tr>
            <w:tr w14:paraId="2ADFF5FF">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397" w:hRule="atLeast"/>
                <w:jc w:val="center"/>
              </w:trPr>
              <w:tc>
                <w:tcPr>
                  <w:tcW w:w="257" w:type="pct"/>
                  <w:noWrap/>
                  <w:tcMar>
                    <w:left w:w="51" w:type="dxa"/>
                    <w:right w:w="51" w:type="dxa"/>
                  </w:tcMar>
                  <w:vAlign w:val="center"/>
                </w:tcPr>
                <w:p w14:paraId="667340DD">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rPr>
                    <w:t>1</w:t>
                  </w:r>
                </w:p>
              </w:tc>
              <w:tc>
                <w:tcPr>
                  <w:tcW w:w="564" w:type="pct"/>
                  <w:vMerge w:val="restart"/>
                  <w:tcBorders>
                    <w:right w:val="single" w:color="auto" w:sz="4" w:space="0"/>
                  </w:tcBorders>
                  <w:noWrap/>
                  <w:tcMar>
                    <w:left w:w="51" w:type="dxa"/>
                    <w:right w:w="51" w:type="dxa"/>
                  </w:tcMar>
                  <w:vAlign w:val="center"/>
                </w:tcPr>
                <w:p w14:paraId="6E8C4C21">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rPr>
                    <w:t>危废仓库</w:t>
                  </w:r>
                </w:p>
              </w:tc>
              <w:tc>
                <w:tcPr>
                  <w:tcW w:w="1006" w:type="pct"/>
                  <w:tcBorders>
                    <w:left w:val="single" w:color="auto" w:sz="4" w:space="0"/>
                  </w:tcBorders>
                  <w:shd w:val="clear" w:color="auto" w:fill="auto"/>
                  <w:noWrap/>
                  <w:tcMar>
                    <w:left w:w="51" w:type="dxa"/>
                    <w:right w:w="51" w:type="dxa"/>
                  </w:tcMar>
                  <w:vAlign w:val="center"/>
                </w:tcPr>
                <w:p w14:paraId="175172C5">
                  <w:pPr>
                    <w:keepNext w:val="0"/>
                    <w:keepLines w:val="0"/>
                    <w:widowControl w:val="0"/>
                    <w:suppressLineNumbers w:val="0"/>
                    <w:spacing w:before="0" w:beforeAutospacing="0" w:after="0" w:afterAutospacing="0"/>
                    <w:ind w:left="0" w:leftChars="0" w:right="0" w:rightChars="0"/>
                    <w:jc w:val="center"/>
                    <w:rPr>
                      <w:rFonts w:hint="default" w:ascii="Times New Roman" w:hAnsi="Times New Roman" w:eastAsia="宋体" w:cs="Times New Roman"/>
                      <w:color w:val="auto"/>
                      <w:kern w:val="2"/>
                      <w:sz w:val="21"/>
                      <w:szCs w:val="21"/>
                      <w:lang w:val="en-US" w:eastAsia="zh-CN" w:bidi="ar-SA"/>
                    </w:rPr>
                  </w:pPr>
                  <w:r>
                    <w:rPr>
                      <w:rFonts w:hint="eastAsia" w:ascii="宋体" w:hAnsi="宋体" w:eastAsia="宋体" w:cs="宋体"/>
                      <w:color w:val="auto"/>
                      <w:kern w:val="2"/>
                      <w:sz w:val="21"/>
                      <w:szCs w:val="21"/>
                      <w:lang w:val="en-US" w:eastAsia="zh-CN" w:bidi="ar"/>
                    </w:rPr>
                    <w:t>破损的废包装桶</w:t>
                  </w:r>
                </w:p>
              </w:tc>
              <w:tc>
                <w:tcPr>
                  <w:tcW w:w="553" w:type="pct"/>
                  <w:noWrap/>
                  <w:tcMar>
                    <w:left w:w="51" w:type="dxa"/>
                    <w:right w:w="51" w:type="dxa"/>
                  </w:tcMar>
                  <w:vAlign w:val="center"/>
                </w:tcPr>
                <w:p w14:paraId="645441CD">
                  <w:pPr>
                    <w:keepNext w:val="0"/>
                    <w:keepLines w:val="0"/>
                    <w:widowControl w:val="0"/>
                    <w:suppressLineNumbers w:val="0"/>
                    <w:spacing w:before="0" w:beforeAutospacing="0" w:after="0" w:afterAutospacing="0"/>
                    <w:ind w:left="0" w:right="0"/>
                    <w:jc w:val="center"/>
                    <w:rPr>
                      <w:rFonts w:hint="default" w:ascii="Times New Roman" w:hAnsi="Times New Roman" w:eastAsia="宋体" w:cs="Times New Roman"/>
                      <w:color w:val="auto"/>
                      <w:szCs w:val="21"/>
                    </w:rPr>
                  </w:pPr>
                  <w:r>
                    <w:rPr>
                      <w:rFonts w:hint="default" w:ascii="Times New Roman" w:hAnsi="Times New Roman" w:eastAsia="宋体" w:cs="Times New Roman"/>
                      <w:color w:val="auto"/>
                      <w:kern w:val="2"/>
                      <w:sz w:val="21"/>
                      <w:szCs w:val="21"/>
                      <w:lang w:val="en-US" w:eastAsia="zh-CN" w:bidi="ar"/>
                    </w:rPr>
                    <w:t>HW49</w:t>
                  </w:r>
                </w:p>
              </w:tc>
              <w:tc>
                <w:tcPr>
                  <w:tcW w:w="553" w:type="pct"/>
                  <w:noWrap/>
                  <w:tcMar>
                    <w:left w:w="51" w:type="dxa"/>
                    <w:right w:w="51" w:type="dxa"/>
                  </w:tcMar>
                  <w:vAlign w:val="center"/>
                </w:tcPr>
                <w:p w14:paraId="3DBDDA3C">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r>
                    <w:rPr>
                      <w:rFonts w:hint="default" w:ascii="Times New Roman" w:hAnsi="Times New Roman" w:eastAsia="宋体" w:cs="Times New Roman"/>
                      <w:color w:val="auto"/>
                      <w:kern w:val="2"/>
                      <w:sz w:val="21"/>
                      <w:szCs w:val="21"/>
                      <w:lang w:val="en-US" w:eastAsia="zh-CN" w:bidi="ar"/>
                    </w:rPr>
                    <w:t>900-041-49</w:t>
                  </w:r>
                </w:p>
              </w:tc>
              <w:tc>
                <w:tcPr>
                  <w:tcW w:w="396" w:type="pct"/>
                  <w:vMerge w:val="restart"/>
                  <w:noWrap/>
                  <w:tcMar>
                    <w:left w:w="51" w:type="dxa"/>
                    <w:right w:w="51" w:type="dxa"/>
                  </w:tcMar>
                  <w:vAlign w:val="center"/>
                </w:tcPr>
                <w:p w14:paraId="376A0A3C">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lang w:val="en-US" w:eastAsia="zh-CN"/>
                    </w:rPr>
                  </w:pPr>
                  <w:r>
                    <w:rPr>
                      <w:rFonts w:hint="eastAsia" w:ascii="Times New Roman" w:hAnsi="Times New Roman" w:eastAsia="宋体" w:cs="Times New Roman"/>
                      <w:color w:val="auto"/>
                      <w:szCs w:val="21"/>
                      <w:lang w:val="en-US" w:eastAsia="zh-CN"/>
                    </w:rPr>
                    <w:t>2#厂房</w:t>
                  </w:r>
                  <w:r>
                    <w:rPr>
                      <w:rFonts w:hint="eastAsia" w:ascii="Times New Roman" w:hAnsi="Times New Roman" w:eastAsia="宋体" w:cs="Times New Roman"/>
                      <w:color w:val="0000E1"/>
                      <w:szCs w:val="21"/>
                      <w:lang w:val="en-US" w:eastAsia="zh-CN"/>
                    </w:rPr>
                    <w:t>外东北侧单独房间内</w:t>
                  </w:r>
                </w:p>
              </w:tc>
              <w:tc>
                <w:tcPr>
                  <w:tcW w:w="383" w:type="pct"/>
                  <w:vMerge w:val="restart"/>
                  <w:tcBorders>
                    <w:top w:val="single" w:color="auto" w:sz="4" w:space="0"/>
                  </w:tcBorders>
                  <w:noWrap/>
                  <w:tcMar>
                    <w:left w:w="51" w:type="dxa"/>
                    <w:right w:w="51" w:type="dxa"/>
                  </w:tcMar>
                  <w:vAlign w:val="center"/>
                </w:tcPr>
                <w:p w14:paraId="7A1782D9">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r>
                    <w:rPr>
                      <w:rFonts w:hint="eastAsia" w:ascii="Times New Roman" w:hAnsi="Times New Roman" w:eastAsia="宋体" w:cs="Times New Roman"/>
                      <w:color w:val="auto"/>
                      <w:szCs w:val="21"/>
                      <w:lang w:val="en-US" w:eastAsia="zh-CN"/>
                    </w:rPr>
                    <w:t>14</w:t>
                  </w:r>
                  <w:r>
                    <w:rPr>
                      <w:rFonts w:hint="default" w:ascii="Times New Roman" w:hAnsi="Times New Roman" w:eastAsia="宋体" w:cs="Times New Roman"/>
                      <w:color w:val="auto"/>
                      <w:szCs w:val="21"/>
                    </w:rPr>
                    <w:t>m</w:t>
                  </w:r>
                  <w:r>
                    <w:rPr>
                      <w:rFonts w:hint="default" w:ascii="Times New Roman" w:hAnsi="Times New Roman" w:eastAsia="宋体" w:cs="Times New Roman"/>
                      <w:color w:val="auto"/>
                      <w:szCs w:val="21"/>
                      <w:vertAlign w:val="superscript"/>
                    </w:rPr>
                    <w:t>2</w:t>
                  </w:r>
                </w:p>
              </w:tc>
              <w:tc>
                <w:tcPr>
                  <w:tcW w:w="436" w:type="pct"/>
                  <w:vMerge w:val="restart"/>
                  <w:tcBorders>
                    <w:top w:val="single" w:color="auto" w:sz="4" w:space="0"/>
                    <w:right w:val="single" w:color="auto" w:sz="4" w:space="0"/>
                  </w:tcBorders>
                  <w:noWrap/>
                  <w:tcMar>
                    <w:left w:w="51" w:type="dxa"/>
                    <w:right w:w="51" w:type="dxa"/>
                  </w:tcMar>
                  <w:vAlign w:val="center"/>
                </w:tcPr>
                <w:p w14:paraId="7303C3FA">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rPr>
                    <w:t>隔离储存、密封包装</w:t>
                  </w:r>
                </w:p>
              </w:tc>
              <w:tc>
                <w:tcPr>
                  <w:tcW w:w="424" w:type="pct"/>
                  <w:vMerge w:val="restart"/>
                  <w:tcBorders>
                    <w:top w:val="single" w:color="auto" w:sz="4" w:space="0"/>
                    <w:left w:val="single" w:color="auto" w:sz="4" w:space="0"/>
                  </w:tcBorders>
                  <w:noWrap/>
                  <w:vAlign w:val="center"/>
                </w:tcPr>
                <w:p w14:paraId="7282457A">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r>
                    <w:rPr>
                      <w:rFonts w:hint="eastAsia" w:ascii="Times New Roman" w:hAnsi="Times New Roman" w:eastAsia="宋体" w:cs="Times New Roman"/>
                      <w:color w:val="auto"/>
                      <w:szCs w:val="21"/>
                      <w:lang w:val="en-US" w:eastAsia="zh-CN"/>
                    </w:rPr>
                    <w:t>11.2</w:t>
                  </w:r>
                  <w:r>
                    <w:rPr>
                      <w:rFonts w:hint="default" w:ascii="Times New Roman" w:hAnsi="Times New Roman" w:eastAsia="宋体" w:cs="Times New Roman"/>
                      <w:color w:val="auto"/>
                      <w:szCs w:val="21"/>
                    </w:rPr>
                    <w:t>t/a</w:t>
                  </w:r>
                </w:p>
              </w:tc>
              <w:tc>
                <w:tcPr>
                  <w:tcW w:w="424" w:type="pct"/>
                  <w:tcBorders>
                    <w:top w:val="single" w:color="auto" w:sz="4" w:space="0"/>
                    <w:left w:val="single" w:color="auto" w:sz="4" w:space="0"/>
                  </w:tcBorders>
                  <w:noWrap/>
                  <w:vAlign w:val="center"/>
                </w:tcPr>
                <w:p w14:paraId="0AB05CAC">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lang w:val="en-US" w:eastAsia="zh-CN"/>
                    </w:rPr>
                  </w:pPr>
                  <w:r>
                    <w:rPr>
                      <w:rFonts w:hint="eastAsia" w:ascii="Times New Roman" w:hAnsi="Times New Roman" w:eastAsia="宋体" w:cs="Times New Roman"/>
                      <w:color w:val="auto"/>
                      <w:szCs w:val="21"/>
                      <w:lang w:val="en-US" w:eastAsia="zh-CN"/>
                    </w:rPr>
                    <w:t>2个月</w:t>
                  </w:r>
                </w:p>
              </w:tc>
            </w:tr>
            <w:tr w14:paraId="6A52D1E8">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397" w:hRule="atLeast"/>
                <w:jc w:val="center"/>
              </w:trPr>
              <w:tc>
                <w:tcPr>
                  <w:tcW w:w="257" w:type="pct"/>
                  <w:noWrap/>
                  <w:tcMar>
                    <w:left w:w="51" w:type="dxa"/>
                    <w:right w:w="51" w:type="dxa"/>
                  </w:tcMar>
                  <w:vAlign w:val="center"/>
                </w:tcPr>
                <w:p w14:paraId="6CED045C">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rPr>
                    <w:t>2</w:t>
                  </w:r>
                </w:p>
              </w:tc>
              <w:tc>
                <w:tcPr>
                  <w:tcW w:w="564" w:type="pct"/>
                  <w:vMerge w:val="continue"/>
                  <w:tcBorders>
                    <w:right w:val="single" w:color="auto" w:sz="4" w:space="0"/>
                  </w:tcBorders>
                  <w:noWrap/>
                  <w:tcMar>
                    <w:left w:w="51" w:type="dxa"/>
                    <w:right w:w="51" w:type="dxa"/>
                  </w:tcMar>
                  <w:vAlign w:val="center"/>
                </w:tcPr>
                <w:p w14:paraId="5BCD3D9F">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p>
              </w:tc>
              <w:tc>
                <w:tcPr>
                  <w:tcW w:w="1006" w:type="pct"/>
                  <w:tcBorders>
                    <w:left w:val="single" w:color="auto" w:sz="4" w:space="0"/>
                  </w:tcBorders>
                  <w:shd w:val="clear" w:color="auto" w:fill="auto"/>
                  <w:noWrap/>
                  <w:tcMar>
                    <w:left w:w="51" w:type="dxa"/>
                    <w:right w:w="51" w:type="dxa"/>
                  </w:tcMar>
                  <w:vAlign w:val="center"/>
                </w:tcPr>
                <w:p w14:paraId="6BC1F4DF">
                  <w:pPr>
                    <w:keepNext w:val="0"/>
                    <w:keepLines w:val="0"/>
                    <w:widowControl w:val="0"/>
                    <w:suppressLineNumbers w:val="0"/>
                    <w:spacing w:before="0" w:beforeAutospacing="0" w:after="0" w:afterAutospacing="0"/>
                    <w:ind w:left="0" w:leftChars="0" w:right="0" w:rightChars="0"/>
                    <w:jc w:val="center"/>
                    <w:rPr>
                      <w:rFonts w:hint="default" w:ascii="Times New Roman" w:hAnsi="Times New Roman" w:eastAsia="宋体" w:cs="Times New Roman"/>
                      <w:color w:val="auto"/>
                      <w:kern w:val="2"/>
                      <w:sz w:val="21"/>
                      <w:szCs w:val="21"/>
                      <w:lang w:val="en-US" w:eastAsia="zh-CN" w:bidi="ar-SA"/>
                    </w:rPr>
                  </w:pPr>
                  <w:r>
                    <w:rPr>
                      <w:rFonts w:hint="eastAsia" w:ascii="宋体" w:hAnsi="宋体" w:eastAsia="宋体" w:cs="宋体"/>
                      <w:color w:val="auto"/>
                      <w:kern w:val="2"/>
                      <w:sz w:val="21"/>
                      <w:szCs w:val="21"/>
                      <w:lang w:val="en-US" w:eastAsia="zh-CN" w:bidi="ar"/>
                    </w:rPr>
                    <w:t>废润滑油</w:t>
                  </w:r>
                </w:p>
              </w:tc>
              <w:tc>
                <w:tcPr>
                  <w:tcW w:w="553" w:type="pct"/>
                  <w:noWrap/>
                  <w:tcMar>
                    <w:left w:w="51" w:type="dxa"/>
                    <w:right w:w="51" w:type="dxa"/>
                  </w:tcMar>
                  <w:vAlign w:val="center"/>
                </w:tcPr>
                <w:p w14:paraId="07A416B1">
                  <w:pPr>
                    <w:keepNext w:val="0"/>
                    <w:keepLines w:val="0"/>
                    <w:widowControl w:val="0"/>
                    <w:suppressLineNumbers w:val="0"/>
                    <w:spacing w:before="0" w:beforeAutospacing="0" w:after="0" w:afterAutospacing="0"/>
                    <w:ind w:left="0" w:right="0"/>
                    <w:jc w:val="center"/>
                    <w:rPr>
                      <w:rFonts w:hint="default" w:ascii="Times New Roman" w:hAnsi="Times New Roman" w:eastAsia="宋体" w:cs="Times New Roman"/>
                      <w:color w:val="auto"/>
                      <w:szCs w:val="21"/>
                    </w:rPr>
                  </w:pPr>
                  <w:r>
                    <w:rPr>
                      <w:rFonts w:hint="default" w:ascii="Times New Roman" w:hAnsi="Times New Roman" w:eastAsia="宋体" w:cs="Times New Roman"/>
                      <w:color w:val="auto"/>
                      <w:kern w:val="2"/>
                      <w:sz w:val="21"/>
                      <w:szCs w:val="21"/>
                      <w:lang w:val="en-US" w:eastAsia="zh-CN" w:bidi="ar"/>
                    </w:rPr>
                    <w:t>HW08</w:t>
                  </w:r>
                </w:p>
              </w:tc>
              <w:tc>
                <w:tcPr>
                  <w:tcW w:w="553" w:type="pct"/>
                  <w:noWrap/>
                  <w:tcMar>
                    <w:left w:w="51" w:type="dxa"/>
                    <w:right w:w="51" w:type="dxa"/>
                  </w:tcMar>
                  <w:vAlign w:val="center"/>
                </w:tcPr>
                <w:p w14:paraId="327AD9C4">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r>
                    <w:rPr>
                      <w:rFonts w:hint="default" w:ascii="Times New Roman" w:hAnsi="Times New Roman" w:eastAsia="宋体" w:cs="Times New Roman"/>
                      <w:color w:val="0000FF"/>
                      <w:kern w:val="2"/>
                      <w:sz w:val="21"/>
                      <w:szCs w:val="21"/>
                      <w:lang w:val="en-US" w:eastAsia="zh-CN" w:bidi="ar"/>
                    </w:rPr>
                    <w:t>900-21</w:t>
                  </w:r>
                  <w:r>
                    <w:rPr>
                      <w:rFonts w:hint="eastAsia" w:ascii="Times New Roman" w:hAnsi="Times New Roman" w:eastAsia="宋体" w:cs="Times New Roman"/>
                      <w:color w:val="0000FF"/>
                      <w:kern w:val="2"/>
                      <w:sz w:val="21"/>
                      <w:szCs w:val="21"/>
                      <w:lang w:val="en-US" w:eastAsia="zh-CN" w:bidi="ar"/>
                    </w:rPr>
                    <w:t>7</w:t>
                  </w:r>
                  <w:r>
                    <w:rPr>
                      <w:rFonts w:hint="default" w:ascii="Times New Roman" w:hAnsi="Times New Roman" w:eastAsia="宋体" w:cs="Times New Roman"/>
                      <w:color w:val="0000FF"/>
                      <w:kern w:val="2"/>
                      <w:sz w:val="21"/>
                      <w:szCs w:val="21"/>
                      <w:lang w:val="en-US" w:eastAsia="zh-CN" w:bidi="ar"/>
                    </w:rPr>
                    <w:t>-08</w:t>
                  </w:r>
                </w:p>
              </w:tc>
              <w:tc>
                <w:tcPr>
                  <w:tcW w:w="396" w:type="pct"/>
                  <w:vMerge w:val="continue"/>
                  <w:noWrap/>
                  <w:tcMar>
                    <w:left w:w="51" w:type="dxa"/>
                    <w:right w:w="51" w:type="dxa"/>
                  </w:tcMar>
                  <w:vAlign w:val="center"/>
                </w:tcPr>
                <w:p w14:paraId="2E010E45">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p>
              </w:tc>
              <w:tc>
                <w:tcPr>
                  <w:tcW w:w="383" w:type="pct"/>
                  <w:vMerge w:val="continue"/>
                  <w:noWrap/>
                  <w:tcMar>
                    <w:left w:w="51" w:type="dxa"/>
                    <w:right w:w="51" w:type="dxa"/>
                  </w:tcMar>
                  <w:vAlign w:val="center"/>
                </w:tcPr>
                <w:p w14:paraId="798D2D47">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p>
              </w:tc>
              <w:tc>
                <w:tcPr>
                  <w:tcW w:w="436" w:type="pct"/>
                  <w:vMerge w:val="continue"/>
                  <w:tcBorders>
                    <w:right w:val="single" w:color="auto" w:sz="4" w:space="0"/>
                  </w:tcBorders>
                  <w:noWrap/>
                  <w:tcMar>
                    <w:left w:w="51" w:type="dxa"/>
                    <w:right w:w="51" w:type="dxa"/>
                  </w:tcMar>
                  <w:vAlign w:val="center"/>
                </w:tcPr>
                <w:p w14:paraId="380EF02F">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p>
              </w:tc>
              <w:tc>
                <w:tcPr>
                  <w:tcW w:w="424" w:type="pct"/>
                  <w:vMerge w:val="continue"/>
                  <w:tcBorders>
                    <w:left w:val="single" w:color="auto" w:sz="4" w:space="0"/>
                  </w:tcBorders>
                  <w:noWrap/>
                  <w:vAlign w:val="center"/>
                </w:tcPr>
                <w:p w14:paraId="30210A6D">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p>
              </w:tc>
              <w:tc>
                <w:tcPr>
                  <w:tcW w:w="424" w:type="pct"/>
                  <w:tcBorders>
                    <w:left w:val="single" w:color="auto" w:sz="4" w:space="0"/>
                  </w:tcBorders>
                  <w:noWrap/>
                  <w:vAlign w:val="center"/>
                </w:tcPr>
                <w:p w14:paraId="7E99B8C8">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lang w:val="en-US" w:eastAsia="zh-CN"/>
                    </w:rPr>
                  </w:pPr>
                  <w:r>
                    <w:rPr>
                      <w:rFonts w:hint="eastAsia" w:ascii="Times New Roman" w:hAnsi="Times New Roman" w:eastAsia="宋体" w:cs="Times New Roman"/>
                      <w:color w:val="auto"/>
                      <w:szCs w:val="21"/>
                      <w:lang w:val="en-US" w:eastAsia="zh-CN"/>
                    </w:rPr>
                    <w:t>1年</w:t>
                  </w:r>
                </w:p>
              </w:tc>
            </w:tr>
            <w:tr w14:paraId="722EE298">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397" w:hRule="atLeast"/>
                <w:jc w:val="center"/>
              </w:trPr>
              <w:tc>
                <w:tcPr>
                  <w:tcW w:w="257" w:type="pct"/>
                  <w:noWrap/>
                  <w:tcMar>
                    <w:left w:w="51" w:type="dxa"/>
                    <w:right w:w="51" w:type="dxa"/>
                  </w:tcMar>
                  <w:vAlign w:val="center"/>
                </w:tcPr>
                <w:p w14:paraId="064B97DD">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rPr>
                    <w:t>3</w:t>
                  </w:r>
                </w:p>
              </w:tc>
              <w:tc>
                <w:tcPr>
                  <w:tcW w:w="564" w:type="pct"/>
                  <w:vMerge w:val="continue"/>
                  <w:tcBorders>
                    <w:right w:val="single" w:color="auto" w:sz="4" w:space="0"/>
                  </w:tcBorders>
                  <w:noWrap/>
                  <w:tcMar>
                    <w:left w:w="51" w:type="dxa"/>
                    <w:right w:w="51" w:type="dxa"/>
                  </w:tcMar>
                  <w:vAlign w:val="center"/>
                </w:tcPr>
                <w:p w14:paraId="1D0D9FF3">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p>
              </w:tc>
              <w:tc>
                <w:tcPr>
                  <w:tcW w:w="1006" w:type="pct"/>
                  <w:tcBorders>
                    <w:left w:val="single" w:color="auto" w:sz="4" w:space="0"/>
                  </w:tcBorders>
                  <w:shd w:val="clear" w:color="auto" w:fill="auto"/>
                  <w:noWrap/>
                  <w:tcMar>
                    <w:left w:w="51" w:type="dxa"/>
                    <w:right w:w="51" w:type="dxa"/>
                  </w:tcMar>
                  <w:vAlign w:val="center"/>
                </w:tcPr>
                <w:p w14:paraId="2EBDFCA1">
                  <w:pPr>
                    <w:keepNext w:val="0"/>
                    <w:keepLines w:val="0"/>
                    <w:widowControl w:val="0"/>
                    <w:suppressLineNumbers w:val="0"/>
                    <w:spacing w:before="0" w:beforeAutospacing="0" w:after="0" w:afterAutospacing="0"/>
                    <w:ind w:left="0" w:leftChars="0" w:right="0" w:rightChars="0"/>
                    <w:jc w:val="center"/>
                    <w:rPr>
                      <w:rFonts w:hint="default" w:ascii="Times New Roman" w:hAnsi="Times New Roman" w:eastAsia="宋体" w:cs="Times New Roman"/>
                      <w:color w:val="auto"/>
                      <w:kern w:val="2"/>
                      <w:sz w:val="21"/>
                      <w:szCs w:val="21"/>
                      <w:lang w:val="en-US" w:eastAsia="zh-CN" w:bidi="ar-SA"/>
                    </w:rPr>
                  </w:pPr>
                  <w:r>
                    <w:rPr>
                      <w:rFonts w:hint="eastAsia" w:ascii="宋体" w:hAnsi="宋体" w:eastAsia="宋体" w:cs="宋体"/>
                      <w:color w:val="auto"/>
                      <w:kern w:val="2"/>
                      <w:sz w:val="21"/>
                      <w:szCs w:val="21"/>
                      <w:lang w:val="en-US" w:eastAsia="zh-CN" w:bidi="ar"/>
                    </w:rPr>
                    <w:t>废润滑油桶</w:t>
                  </w:r>
                </w:p>
              </w:tc>
              <w:tc>
                <w:tcPr>
                  <w:tcW w:w="553" w:type="pct"/>
                  <w:noWrap/>
                  <w:tcMar>
                    <w:left w:w="51" w:type="dxa"/>
                    <w:right w:w="51" w:type="dxa"/>
                  </w:tcMar>
                  <w:vAlign w:val="center"/>
                </w:tcPr>
                <w:p w14:paraId="7C0B6D58">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r>
                    <w:rPr>
                      <w:rFonts w:hint="eastAsia" w:ascii="Times New Roman" w:hAnsi="Times New Roman" w:cs="Times New Roman"/>
                      <w:color w:val="auto"/>
                      <w:sz w:val="20"/>
                      <w:szCs w:val="20"/>
                      <w:lang w:val="en-US" w:eastAsia="zh-CN"/>
                    </w:rPr>
                    <w:t>HW08</w:t>
                  </w:r>
                </w:p>
              </w:tc>
              <w:tc>
                <w:tcPr>
                  <w:tcW w:w="553" w:type="pct"/>
                  <w:noWrap/>
                  <w:tcMar>
                    <w:left w:w="51" w:type="dxa"/>
                    <w:right w:w="51" w:type="dxa"/>
                  </w:tcMar>
                  <w:vAlign w:val="center"/>
                </w:tcPr>
                <w:p w14:paraId="6B2960BC">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r>
                    <w:rPr>
                      <w:rFonts w:hint="eastAsia" w:ascii="Times New Roman" w:hAnsi="Times New Roman" w:cs="Times New Roman"/>
                      <w:color w:val="auto"/>
                      <w:sz w:val="20"/>
                      <w:szCs w:val="20"/>
                      <w:lang w:val="en-US" w:eastAsia="zh-CN"/>
                    </w:rPr>
                    <w:t>900-249-08</w:t>
                  </w:r>
                </w:p>
              </w:tc>
              <w:tc>
                <w:tcPr>
                  <w:tcW w:w="396" w:type="pct"/>
                  <w:vMerge w:val="continue"/>
                  <w:noWrap/>
                  <w:tcMar>
                    <w:left w:w="51" w:type="dxa"/>
                    <w:right w:w="51" w:type="dxa"/>
                  </w:tcMar>
                  <w:vAlign w:val="center"/>
                </w:tcPr>
                <w:p w14:paraId="2D70F2CD">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p>
              </w:tc>
              <w:tc>
                <w:tcPr>
                  <w:tcW w:w="383" w:type="pct"/>
                  <w:vMerge w:val="continue"/>
                  <w:noWrap/>
                  <w:tcMar>
                    <w:left w:w="51" w:type="dxa"/>
                    <w:right w:w="51" w:type="dxa"/>
                  </w:tcMar>
                  <w:vAlign w:val="center"/>
                </w:tcPr>
                <w:p w14:paraId="611F6887">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p>
              </w:tc>
              <w:tc>
                <w:tcPr>
                  <w:tcW w:w="436" w:type="pct"/>
                  <w:vMerge w:val="continue"/>
                  <w:tcBorders>
                    <w:right w:val="single" w:color="auto" w:sz="4" w:space="0"/>
                  </w:tcBorders>
                  <w:noWrap/>
                  <w:tcMar>
                    <w:left w:w="51" w:type="dxa"/>
                    <w:right w:w="51" w:type="dxa"/>
                  </w:tcMar>
                  <w:vAlign w:val="center"/>
                </w:tcPr>
                <w:p w14:paraId="0CF9FCE1">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p>
              </w:tc>
              <w:tc>
                <w:tcPr>
                  <w:tcW w:w="424" w:type="pct"/>
                  <w:vMerge w:val="continue"/>
                  <w:tcBorders>
                    <w:left w:val="single" w:color="auto" w:sz="4" w:space="0"/>
                  </w:tcBorders>
                  <w:noWrap/>
                  <w:vAlign w:val="center"/>
                </w:tcPr>
                <w:p w14:paraId="6D67048C">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p>
              </w:tc>
              <w:tc>
                <w:tcPr>
                  <w:tcW w:w="424" w:type="pct"/>
                  <w:tcBorders>
                    <w:left w:val="single" w:color="auto" w:sz="4" w:space="0"/>
                  </w:tcBorders>
                  <w:noWrap/>
                  <w:vAlign w:val="center"/>
                </w:tcPr>
                <w:p w14:paraId="242673A2">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lang w:val="en-US" w:eastAsia="zh-CN"/>
                    </w:rPr>
                    <w:t>1年</w:t>
                  </w:r>
                </w:p>
              </w:tc>
            </w:tr>
            <w:tr w14:paraId="48E86262">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232" w:hRule="atLeast"/>
                <w:jc w:val="center"/>
              </w:trPr>
              <w:tc>
                <w:tcPr>
                  <w:tcW w:w="257" w:type="pct"/>
                  <w:noWrap/>
                  <w:tcMar>
                    <w:left w:w="51" w:type="dxa"/>
                    <w:right w:w="51" w:type="dxa"/>
                  </w:tcMar>
                  <w:vAlign w:val="center"/>
                </w:tcPr>
                <w:p w14:paraId="0BB7CBC5">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rPr>
                    <w:t>4</w:t>
                  </w:r>
                </w:p>
              </w:tc>
              <w:tc>
                <w:tcPr>
                  <w:tcW w:w="564" w:type="pct"/>
                  <w:vMerge w:val="continue"/>
                  <w:tcBorders>
                    <w:right w:val="single" w:color="auto" w:sz="4" w:space="0"/>
                  </w:tcBorders>
                  <w:noWrap/>
                  <w:tcMar>
                    <w:left w:w="51" w:type="dxa"/>
                    <w:right w:w="51" w:type="dxa"/>
                  </w:tcMar>
                  <w:vAlign w:val="center"/>
                </w:tcPr>
                <w:p w14:paraId="2511036F">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p>
              </w:tc>
              <w:tc>
                <w:tcPr>
                  <w:tcW w:w="1006" w:type="pct"/>
                  <w:tcBorders>
                    <w:left w:val="single" w:color="auto" w:sz="4" w:space="0"/>
                  </w:tcBorders>
                  <w:shd w:val="clear" w:color="auto" w:fill="auto"/>
                  <w:noWrap/>
                  <w:tcMar>
                    <w:left w:w="51" w:type="dxa"/>
                    <w:right w:w="51" w:type="dxa"/>
                  </w:tcMar>
                  <w:vAlign w:val="center"/>
                </w:tcPr>
                <w:p w14:paraId="18BD7C03">
                  <w:pPr>
                    <w:keepNext w:val="0"/>
                    <w:keepLines w:val="0"/>
                    <w:widowControl/>
                    <w:suppressLineNumbers w:val="0"/>
                    <w:spacing w:before="0" w:beforeAutospacing="0" w:after="0" w:afterAutospacing="0"/>
                    <w:ind w:left="0" w:leftChars="0" w:right="0" w:rightChars="0"/>
                    <w:jc w:val="center"/>
                    <w:rPr>
                      <w:rFonts w:hint="default" w:ascii="Times New Roman" w:hAnsi="Times New Roman" w:eastAsia="宋体" w:cs="Times New Roman"/>
                      <w:color w:val="auto"/>
                      <w:kern w:val="2"/>
                      <w:sz w:val="21"/>
                      <w:szCs w:val="21"/>
                      <w:lang w:val="en-US" w:eastAsia="zh-CN" w:bidi="ar-SA"/>
                    </w:rPr>
                  </w:pPr>
                  <w:r>
                    <w:rPr>
                      <w:rFonts w:hint="eastAsia" w:ascii="宋体" w:hAnsi="宋体" w:eastAsia="宋体" w:cs="宋体"/>
                      <w:color w:val="auto"/>
                      <w:kern w:val="0"/>
                      <w:sz w:val="21"/>
                      <w:szCs w:val="21"/>
                      <w:lang w:val="en-US" w:eastAsia="zh-CN" w:bidi="ar"/>
                    </w:rPr>
                    <w:t>废弃的含油抹布及劳保用品</w:t>
                  </w:r>
                </w:p>
              </w:tc>
              <w:tc>
                <w:tcPr>
                  <w:tcW w:w="553" w:type="pct"/>
                  <w:noWrap/>
                  <w:tcMar>
                    <w:left w:w="51" w:type="dxa"/>
                    <w:right w:w="51" w:type="dxa"/>
                  </w:tcMar>
                  <w:vAlign w:val="center"/>
                </w:tcPr>
                <w:p w14:paraId="1CCE6D57">
                  <w:pPr>
                    <w:keepNext w:val="0"/>
                    <w:keepLines w:val="0"/>
                    <w:widowControl w:val="0"/>
                    <w:suppressLineNumbers w:val="0"/>
                    <w:spacing w:before="0" w:beforeAutospacing="0" w:after="0" w:afterAutospacing="0"/>
                    <w:ind w:left="0" w:right="0"/>
                    <w:jc w:val="center"/>
                    <w:rPr>
                      <w:rFonts w:hint="default" w:ascii="Times New Roman" w:hAnsi="Times New Roman" w:eastAsia="宋体" w:cs="Times New Roman"/>
                      <w:color w:val="auto"/>
                      <w:szCs w:val="21"/>
                    </w:rPr>
                  </w:pPr>
                  <w:r>
                    <w:rPr>
                      <w:rFonts w:hint="default" w:ascii="Times New Roman" w:hAnsi="Times New Roman" w:eastAsia="宋体" w:cs="Times New Roman"/>
                      <w:color w:val="auto"/>
                      <w:kern w:val="2"/>
                      <w:sz w:val="21"/>
                      <w:szCs w:val="21"/>
                      <w:lang w:val="en-US" w:eastAsia="zh-CN" w:bidi="ar"/>
                    </w:rPr>
                    <w:t>HW49</w:t>
                  </w:r>
                </w:p>
              </w:tc>
              <w:tc>
                <w:tcPr>
                  <w:tcW w:w="553" w:type="pct"/>
                  <w:noWrap/>
                  <w:tcMar>
                    <w:left w:w="51" w:type="dxa"/>
                    <w:right w:w="51" w:type="dxa"/>
                  </w:tcMar>
                  <w:vAlign w:val="center"/>
                </w:tcPr>
                <w:p w14:paraId="3BAB4AA3">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r>
                    <w:rPr>
                      <w:rFonts w:hint="default" w:ascii="Times New Roman" w:hAnsi="Times New Roman" w:eastAsia="宋体" w:cs="Times New Roman"/>
                      <w:color w:val="auto"/>
                      <w:kern w:val="2"/>
                      <w:sz w:val="21"/>
                      <w:szCs w:val="21"/>
                      <w:lang w:val="en-US" w:eastAsia="zh-CN" w:bidi="ar"/>
                    </w:rPr>
                    <w:t>900-041-49</w:t>
                  </w:r>
                </w:p>
              </w:tc>
              <w:tc>
                <w:tcPr>
                  <w:tcW w:w="396" w:type="pct"/>
                  <w:vMerge w:val="continue"/>
                  <w:noWrap/>
                  <w:tcMar>
                    <w:left w:w="51" w:type="dxa"/>
                    <w:right w:w="51" w:type="dxa"/>
                  </w:tcMar>
                  <w:vAlign w:val="center"/>
                </w:tcPr>
                <w:p w14:paraId="355B1CC4">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p>
              </w:tc>
              <w:tc>
                <w:tcPr>
                  <w:tcW w:w="383" w:type="pct"/>
                  <w:vMerge w:val="continue"/>
                  <w:noWrap/>
                  <w:tcMar>
                    <w:left w:w="51" w:type="dxa"/>
                    <w:right w:w="51" w:type="dxa"/>
                  </w:tcMar>
                  <w:vAlign w:val="center"/>
                </w:tcPr>
                <w:p w14:paraId="036B64F9">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p>
              </w:tc>
              <w:tc>
                <w:tcPr>
                  <w:tcW w:w="436" w:type="pct"/>
                  <w:vMerge w:val="continue"/>
                  <w:tcBorders>
                    <w:right w:val="single" w:color="auto" w:sz="4" w:space="0"/>
                  </w:tcBorders>
                  <w:noWrap/>
                  <w:tcMar>
                    <w:left w:w="51" w:type="dxa"/>
                    <w:right w:w="51" w:type="dxa"/>
                  </w:tcMar>
                  <w:vAlign w:val="center"/>
                </w:tcPr>
                <w:p w14:paraId="4A0D48CC">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p>
              </w:tc>
              <w:tc>
                <w:tcPr>
                  <w:tcW w:w="424" w:type="pct"/>
                  <w:vMerge w:val="continue"/>
                  <w:tcBorders>
                    <w:left w:val="single" w:color="auto" w:sz="4" w:space="0"/>
                  </w:tcBorders>
                  <w:noWrap/>
                  <w:vAlign w:val="center"/>
                </w:tcPr>
                <w:p w14:paraId="7AAE979E">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p>
              </w:tc>
              <w:tc>
                <w:tcPr>
                  <w:tcW w:w="424" w:type="pct"/>
                  <w:tcBorders>
                    <w:left w:val="single" w:color="auto" w:sz="4" w:space="0"/>
                  </w:tcBorders>
                  <w:noWrap/>
                  <w:vAlign w:val="center"/>
                </w:tcPr>
                <w:p w14:paraId="16FB7C9D">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lang w:val="en-US" w:eastAsia="zh-CN"/>
                    </w:rPr>
                    <w:t>2个月</w:t>
                  </w:r>
                </w:p>
              </w:tc>
            </w:tr>
            <w:tr w14:paraId="6CEDB74E">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397" w:hRule="atLeast"/>
                <w:jc w:val="center"/>
              </w:trPr>
              <w:tc>
                <w:tcPr>
                  <w:tcW w:w="257" w:type="pct"/>
                  <w:noWrap/>
                  <w:tcMar>
                    <w:left w:w="51" w:type="dxa"/>
                    <w:right w:w="51" w:type="dxa"/>
                  </w:tcMar>
                  <w:vAlign w:val="center"/>
                </w:tcPr>
                <w:p w14:paraId="16133128">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rPr>
                    <w:t>5</w:t>
                  </w:r>
                </w:p>
              </w:tc>
              <w:tc>
                <w:tcPr>
                  <w:tcW w:w="564" w:type="pct"/>
                  <w:vMerge w:val="continue"/>
                  <w:tcBorders>
                    <w:right w:val="single" w:color="auto" w:sz="4" w:space="0"/>
                  </w:tcBorders>
                  <w:noWrap/>
                  <w:tcMar>
                    <w:left w:w="51" w:type="dxa"/>
                    <w:right w:w="51" w:type="dxa"/>
                  </w:tcMar>
                  <w:vAlign w:val="center"/>
                </w:tcPr>
                <w:p w14:paraId="7951800E">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p>
              </w:tc>
              <w:tc>
                <w:tcPr>
                  <w:tcW w:w="1006" w:type="pct"/>
                  <w:tcBorders>
                    <w:left w:val="single" w:color="auto" w:sz="4" w:space="0"/>
                  </w:tcBorders>
                  <w:shd w:val="clear" w:color="auto" w:fill="auto"/>
                  <w:noWrap/>
                  <w:tcMar>
                    <w:left w:w="51" w:type="dxa"/>
                    <w:right w:w="51" w:type="dxa"/>
                  </w:tcMar>
                  <w:vAlign w:val="center"/>
                </w:tcPr>
                <w:p w14:paraId="46AA7F96">
                  <w:pPr>
                    <w:keepNext w:val="0"/>
                    <w:keepLines w:val="0"/>
                    <w:widowControl w:val="0"/>
                    <w:suppressLineNumbers w:val="0"/>
                    <w:spacing w:before="0" w:beforeAutospacing="0" w:after="0" w:afterAutospacing="0"/>
                    <w:ind w:left="0" w:leftChars="0" w:right="0" w:rightChars="0"/>
                    <w:jc w:val="center"/>
                    <w:rPr>
                      <w:rFonts w:hint="default" w:ascii="Times New Roman" w:hAnsi="Times New Roman" w:eastAsia="宋体" w:cs="Times New Roman"/>
                      <w:color w:val="auto"/>
                      <w:kern w:val="2"/>
                      <w:sz w:val="21"/>
                      <w:szCs w:val="21"/>
                      <w:lang w:val="en-US" w:eastAsia="zh-CN" w:bidi="ar-SA"/>
                    </w:rPr>
                  </w:pPr>
                  <w:r>
                    <w:rPr>
                      <w:rFonts w:hint="eastAsia" w:ascii="宋体" w:hAnsi="宋体" w:eastAsia="宋体" w:cs="宋体"/>
                      <w:color w:val="auto"/>
                      <w:kern w:val="2"/>
                      <w:sz w:val="21"/>
                      <w:szCs w:val="21"/>
                      <w:lang w:val="en-US" w:eastAsia="zh-CN" w:bidi="ar"/>
                    </w:rPr>
                    <w:t>喷淋废水</w:t>
                  </w:r>
                </w:p>
              </w:tc>
              <w:tc>
                <w:tcPr>
                  <w:tcW w:w="553" w:type="pct"/>
                  <w:noWrap/>
                  <w:tcMar>
                    <w:left w:w="51" w:type="dxa"/>
                    <w:right w:w="51" w:type="dxa"/>
                  </w:tcMar>
                  <w:vAlign w:val="center"/>
                </w:tcPr>
                <w:p w14:paraId="513F645E">
                  <w:pPr>
                    <w:keepNext w:val="0"/>
                    <w:keepLines w:val="0"/>
                    <w:widowControl w:val="0"/>
                    <w:suppressLineNumbers w:val="0"/>
                    <w:spacing w:before="0" w:beforeAutospacing="0" w:after="0" w:afterAutospacing="0"/>
                    <w:ind w:left="0" w:right="0"/>
                    <w:jc w:val="center"/>
                    <w:rPr>
                      <w:rFonts w:hint="default" w:ascii="Times New Roman" w:hAnsi="Times New Roman" w:eastAsia="宋体" w:cs="Times New Roman"/>
                      <w:color w:val="auto"/>
                      <w:szCs w:val="21"/>
                    </w:rPr>
                  </w:pPr>
                  <w:r>
                    <w:rPr>
                      <w:rFonts w:hint="default" w:ascii="Times New Roman" w:hAnsi="Times New Roman" w:eastAsia="宋体" w:cs="Times New Roman"/>
                      <w:color w:val="auto"/>
                      <w:kern w:val="2"/>
                      <w:sz w:val="21"/>
                      <w:szCs w:val="21"/>
                      <w:lang w:val="en-US" w:eastAsia="zh-CN" w:bidi="ar"/>
                    </w:rPr>
                    <w:t>HW49</w:t>
                  </w:r>
                </w:p>
              </w:tc>
              <w:tc>
                <w:tcPr>
                  <w:tcW w:w="553" w:type="pct"/>
                  <w:noWrap/>
                  <w:tcMar>
                    <w:left w:w="51" w:type="dxa"/>
                    <w:right w:w="51" w:type="dxa"/>
                  </w:tcMar>
                  <w:vAlign w:val="center"/>
                </w:tcPr>
                <w:p w14:paraId="54D0A97A">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r>
                    <w:rPr>
                      <w:rFonts w:hint="default" w:ascii="Times New Roman" w:hAnsi="Times New Roman" w:eastAsia="宋体" w:cs="Times New Roman"/>
                      <w:color w:val="auto"/>
                      <w:kern w:val="2"/>
                      <w:sz w:val="21"/>
                      <w:szCs w:val="21"/>
                      <w:lang w:val="en-US" w:eastAsia="zh-CN" w:bidi="ar"/>
                    </w:rPr>
                    <w:t>900-041-49</w:t>
                  </w:r>
                </w:p>
              </w:tc>
              <w:tc>
                <w:tcPr>
                  <w:tcW w:w="396" w:type="pct"/>
                  <w:vMerge w:val="continue"/>
                  <w:noWrap/>
                  <w:tcMar>
                    <w:left w:w="51" w:type="dxa"/>
                    <w:right w:w="51" w:type="dxa"/>
                  </w:tcMar>
                  <w:vAlign w:val="center"/>
                </w:tcPr>
                <w:p w14:paraId="6402947F">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p>
              </w:tc>
              <w:tc>
                <w:tcPr>
                  <w:tcW w:w="383" w:type="pct"/>
                  <w:vMerge w:val="continue"/>
                  <w:noWrap/>
                  <w:tcMar>
                    <w:left w:w="51" w:type="dxa"/>
                    <w:right w:w="51" w:type="dxa"/>
                  </w:tcMar>
                  <w:vAlign w:val="center"/>
                </w:tcPr>
                <w:p w14:paraId="5207AA8C">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p>
              </w:tc>
              <w:tc>
                <w:tcPr>
                  <w:tcW w:w="436" w:type="pct"/>
                  <w:vMerge w:val="continue"/>
                  <w:tcBorders>
                    <w:right w:val="single" w:color="auto" w:sz="4" w:space="0"/>
                  </w:tcBorders>
                  <w:noWrap/>
                  <w:tcMar>
                    <w:left w:w="51" w:type="dxa"/>
                    <w:right w:w="51" w:type="dxa"/>
                  </w:tcMar>
                  <w:vAlign w:val="center"/>
                </w:tcPr>
                <w:p w14:paraId="0B26919B">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p>
              </w:tc>
              <w:tc>
                <w:tcPr>
                  <w:tcW w:w="424" w:type="pct"/>
                  <w:vMerge w:val="continue"/>
                  <w:tcBorders>
                    <w:left w:val="single" w:color="auto" w:sz="4" w:space="0"/>
                  </w:tcBorders>
                  <w:noWrap/>
                  <w:vAlign w:val="center"/>
                </w:tcPr>
                <w:p w14:paraId="61ACAB7E">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p>
              </w:tc>
              <w:tc>
                <w:tcPr>
                  <w:tcW w:w="424" w:type="pct"/>
                  <w:tcBorders>
                    <w:left w:val="single" w:color="auto" w:sz="4" w:space="0"/>
                  </w:tcBorders>
                  <w:noWrap/>
                  <w:vAlign w:val="center"/>
                </w:tcPr>
                <w:p w14:paraId="383BE5DA">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lang w:val="en-US" w:eastAsia="zh-CN"/>
                    </w:rPr>
                  </w:pPr>
                  <w:r>
                    <w:rPr>
                      <w:rFonts w:hint="eastAsia" w:ascii="Times New Roman" w:hAnsi="Times New Roman" w:eastAsia="宋体" w:cs="Times New Roman"/>
                      <w:color w:val="auto"/>
                      <w:szCs w:val="21"/>
                      <w:lang w:val="en-US" w:eastAsia="zh-CN"/>
                    </w:rPr>
                    <w:t>6个月</w:t>
                  </w:r>
                </w:p>
              </w:tc>
            </w:tr>
            <w:tr w14:paraId="4909F91C">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397" w:hRule="atLeast"/>
                <w:jc w:val="center"/>
              </w:trPr>
              <w:tc>
                <w:tcPr>
                  <w:tcW w:w="257" w:type="pct"/>
                  <w:noWrap/>
                  <w:tcMar>
                    <w:left w:w="51" w:type="dxa"/>
                    <w:right w:w="51" w:type="dxa"/>
                  </w:tcMar>
                  <w:vAlign w:val="center"/>
                </w:tcPr>
                <w:p w14:paraId="22444A9C">
                  <w:pPr>
                    <w:keepNext w:val="0"/>
                    <w:keepLines w:val="0"/>
                    <w:suppressLineNumbers w:val="0"/>
                    <w:spacing w:before="0" w:beforeAutospacing="0" w:after="0" w:afterAutospacing="0"/>
                    <w:ind w:left="0" w:right="0"/>
                    <w:jc w:val="center"/>
                    <w:rPr>
                      <w:rFonts w:hint="eastAsia" w:ascii="Times New Roman" w:hAnsi="Times New Roman" w:eastAsia="宋体" w:cs="Times New Roman"/>
                      <w:color w:val="auto"/>
                      <w:szCs w:val="21"/>
                      <w:lang w:val="en-US" w:eastAsia="zh-CN"/>
                    </w:rPr>
                  </w:pPr>
                  <w:r>
                    <w:rPr>
                      <w:rFonts w:hint="eastAsia" w:ascii="Times New Roman" w:hAnsi="Times New Roman" w:eastAsia="宋体" w:cs="Times New Roman"/>
                      <w:color w:val="auto"/>
                      <w:szCs w:val="21"/>
                      <w:lang w:val="en-US" w:eastAsia="zh-CN"/>
                    </w:rPr>
                    <w:t>6</w:t>
                  </w:r>
                </w:p>
              </w:tc>
              <w:tc>
                <w:tcPr>
                  <w:tcW w:w="564" w:type="pct"/>
                  <w:vMerge w:val="continue"/>
                  <w:tcBorders>
                    <w:right w:val="single" w:color="auto" w:sz="4" w:space="0"/>
                  </w:tcBorders>
                  <w:noWrap/>
                  <w:tcMar>
                    <w:left w:w="51" w:type="dxa"/>
                    <w:right w:w="51" w:type="dxa"/>
                  </w:tcMar>
                  <w:vAlign w:val="center"/>
                </w:tcPr>
                <w:p w14:paraId="0C40D993">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p>
              </w:tc>
              <w:tc>
                <w:tcPr>
                  <w:tcW w:w="1006" w:type="pct"/>
                  <w:tcBorders>
                    <w:left w:val="single" w:color="auto" w:sz="4" w:space="0"/>
                  </w:tcBorders>
                  <w:shd w:val="clear" w:color="auto" w:fill="auto"/>
                  <w:noWrap/>
                  <w:tcMar>
                    <w:left w:w="51" w:type="dxa"/>
                    <w:right w:w="51" w:type="dxa"/>
                  </w:tcMar>
                  <w:vAlign w:val="center"/>
                </w:tcPr>
                <w:p w14:paraId="32748640">
                  <w:pPr>
                    <w:keepNext w:val="0"/>
                    <w:keepLines w:val="0"/>
                    <w:widowControl w:val="0"/>
                    <w:suppressLineNumbers w:val="0"/>
                    <w:spacing w:before="0" w:beforeAutospacing="0" w:after="0" w:afterAutospacing="0"/>
                    <w:ind w:left="0" w:leftChars="0" w:right="0" w:rightChars="0"/>
                    <w:jc w:val="center"/>
                    <w:rPr>
                      <w:rFonts w:hint="default" w:ascii="Times New Roman" w:hAnsi="Times New Roman" w:eastAsia="宋体" w:cs="Times New Roman"/>
                      <w:color w:val="auto"/>
                      <w:kern w:val="2"/>
                      <w:sz w:val="21"/>
                      <w:szCs w:val="21"/>
                      <w:lang w:val="en-US" w:eastAsia="zh-CN" w:bidi="ar-SA"/>
                    </w:rPr>
                  </w:pPr>
                  <w:r>
                    <w:rPr>
                      <w:rFonts w:hint="eastAsia" w:ascii="宋体" w:hAnsi="宋体" w:eastAsia="宋体" w:cs="宋体"/>
                      <w:color w:val="auto"/>
                      <w:kern w:val="2"/>
                      <w:sz w:val="21"/>
                      <w:szCs w:val="21"/>
                      <w:lang w:val="en-US" w:eastAsia="zh-CN" w:bidi="ar"/>
                    </w:rPr>
                    <w:t>废过滤棉</w:t>
                  </w:r>
                </w:p>
              </w:tc>
              <w:tc>
                <w:tcPr>
                  <w:tcW w:w="553" w:type="pct"/>
                  <w:noWrap/>
                  <w:tcMar>
                    <w:left w:w="51" w:type="dxa"/>
                    <w:right w:w="51" w:type="dxa"/>
                  </w:tcMar>
                  <w:vAlign w:val="center"/>
                </w:tcPr>
                <w:p w14:paraId="2CCA7AF3">
                  <w:pPr>
                    <w:keepNext w:val="0"/>
                    <w:keepLines w:val="0"/>
                    <w:widowControl w:val="0"/>
                    <w:suppressLineNumbers w:val="0"/>
                    <w:spacing w:before="0" w:beforeAutospacing="0" w:after="0" w:afterAutospacing="0"/>
                    <w:ind w:left="0" w:right="0"/>
                    <w:jc w:val="center"/>
                    <w:rPr>
                      <w:rFonts w:hint="default" w:ascii="Times New Roman" w:hAnsi="Times New Roman" w:eastAsia="宋体" w:cs="Times New Roman"/>
                      <w:color w:val="auto"/>
                      <w:szCs w:val="21"/>
                    </w:rPr>
                  </w:pPr>
                  <w:r>
                    <w:rPr>
                      <w:rFonts w:hint="default" w:ascii="Times New Roman" w:hAnsi="Times New Roman" w:eastAsia="宋体" w:cs="Times New Roman"/>
                      <w:color w:val="auto"/>
                      <w:kern w:val="2"/>
                      <w:sz w:val="21"/>
                      <w:szCs w:val="21"/>
                      <w:lang w:val="en-US" w:eastAsia="zh-CN" w:bidi="ar"/>
                    </w:rPr>
                    <w:t>HW49</w:t>
                  </w:r>
                </w:p>
              </w:tc>
              <w:tc>
                <w:tcPr>
                  <w:tcW w:w="553" w:type="pct"/>
                  <w:noWrap/>
                  <w:tcMar>
                    <w:left w:w="51" w:type="dxa"/>
                    <w:right w:w="51" w:type="dxa"/>
                  </w:tcMar>
                  <w:vAlign w:val="center"/>
                </w:tcPr>
                <w:p w14:paraId="70E4ACE4">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r>
                    <w:rPr>
                      <w:rFonts w:hint="default" w:ascii="Times New Roman" w:hAnsi="Times New Roman" w:eastAsia="宋体" w:cs="Times New Roman"/>
                      <w:color w:val="auto"/>
                      <w:kern w:val="2"/>
                      <w:sz w:val="21"/>
                      <w:szCs w:val="21"/>
                      <w:lang w:val="en-US" w:eastAsia="zh-CN" w:bidi="ar"/>
                    </w:rPr>
                    <w:t>900-041-49</w:t>
                  </w:r>
                </w:p>
              </w:tc>
              <w:tc>
                <w:tcPr>
                  <w:tcW w:w="396" w:type="pct"/>
                  <w:vMerge w:val="continue"/>
                  <w:noWrap/>
                  <w:tcMar>
                    <w:left w:w="51" w:type="dxa"/>
                    <w:right w:w="51" w:type="dxa"/>
                  </w:tcMar>
                  <w:vAlign w:val="center"/>
                </w:tcPr>
                <w:p w14:paraId="39A8B284">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p>
              </w:tc>
              <w:tc>
                <w:tcPr>
                  <w:tcW w:w="383" w:type="pct"/>
                  <w:vMerge w:val="continue"/>
                  <w:noWrap/>
                  <w:tcMar>
                    <w:left w:w="51" w:type="dxa"/>
                    <w:right w:w="51" w:type="dxa"/>
                  </w:tcMar>
                  <w:vAlign w:val="center"/>
                </w:tcPr>
                <w:p w14:paraId="0CBDA8D0">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p>
              </w:tc>
              <w:tc>
                <w:tcPr>
                  <w:tcW w:w="436" w:type="pct"/>
                  <w:vMerge w:val="continue"/>
                  <w:tcBorders>
                    <w:right w:val="single" w:color="auto" w:sz="4" w:space="0"/>
                  </w:tcBorders>
                  <w:noWrap/>
                  <w:tcMar>
                    <w:left w:w="51" w:type="dxa"/>
                    <w:right w:w="51" w:type="dxa"/>
                  </w:tcMar>
                  <w:vAlign w:val="center"/>
                </w:tcPr>
                <w:p w14:paraId="787A9020">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p>
              </w:tc>
              <w:tc>
                <w:tcPr>
                  <w:tcW w:w="424" w:type="pct"/>
                  <w:vMerge w:val="continue"/>
                  <w:tcBorders>
                    <w:left w:val="single" w:color="auto" w:sz="4" w:space="0"/>
                  </w:tcBorders>
                  <w:noWrap/>
                  <w:vAlign w:val="center"/>
                </w:tcPr>
                <w:p w14:paraId="4AB8B778">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p>
              </w:tc>
              <w:tc>
                <w:tcPr>
                  <w:tcW w:w="424" w:type="pct"/>
                  <w:tcBorders>
                    <w:left w:val="single" w:color="auto" w:sz="4" w:space="0"/>
                  </w:tcBorders>
                  <w:noWrap/>
                  <w:vAlign w:val="center"/>
                </w:tcPr>
                <w:p w14:paraId="59EB1E6D">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lang w:val="en-US" w:eastAsia="zh-CN"/>
                    </w:rPr>
                    <w:t>1年</w:t>
                  </w:r>
                </w:p>
              </w:tc>
            </w:tr>
            <w:tr w14:paraId="7971FA88">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397" w:hRule="atLeast"/>
                <w:jc w:val="center"/>
              </w:trPr>
              <w:tc>
                <w:tcPr>
                  <w:tcW w:w="257" w:type="pct"/>
                  <w:noWrap/>
                  <w:tcMar>
                    <w:left w:w="51" w:type="dxa"/>
                    <w:right w:w="51" w:type="dxa"/>
                  </w:tcMar>
                  <w:vAlign w:val="center"/>
                </w:tcPr>
                <w:p w14:paraId="52E27BED">
                  <w:pPr>
                    <w:keepNext w:val="0"/>
                    <w:keepLines w:val="0"/>
                    <w:suppressLineNumbers w:val="0"/>
                    <w:spacing w:before="0" w:beforeAutospacing="0" w:after="0" w:afterAutospacing="0"/>
                    <w:ind w:left="0" w:right="0"/>
                    <w:jc w:val="center"/>
                    <w:rPr>
                      <w:rFonts w:hint="eastAsia" w:ascii="Times New Roman" w:hAnsi="Times New Roman" w:eastAsia="宋体" w:cs="Times New Roman"/>
                      <w:color w:val="auto"/>
                      <w:szCs w:val="21"/>
                      <w:lang w:val="en-US" w:eastAsia="zh-CN"/>
                    </w:rPr>
                  </w:pPr>
                  <w:r>
                    <w:rPr>
                      <w:rFonts w:hint="eastAsia" w:ascii="Times New Roman" w:hAnsi="Times New Roman" w:eastAsia="宋体" w:cs="Times New Roman"/>
                      <w:color w:val="auto"/>
                      <w:szCs w:val="21"/>
                      <w:lang w:val="en-US" w:eastAsia="zh-CN"/>
                    </w:rPr>
                    <w:t>7</w:t>
                  </w:r>
                </w:p>
              </w:tc>
              <w:tc>
                <w:tcPr>
                  <w:tcW w:w="564" w:type="pct"/>
                  <w:vMerge w:val="continue"/>
                  <w:tcBorders>
                    <w:right w:val="single" w:color="auto" w:sz="4" w:space="0"/>
                  </w:tcBorders>
                  <w:noWrap/>
                  <w:tcMar>
                    <w:left w:w="51" w:type="dxa"/>
                    <w:right w:w="51" w:type="dxa"/>
                  </w:tcMar>
                  <w:vAlign w:val="center"/>
                </w:tcPr>
                <w:p w14:paraId="4822A93F">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p>
              </w:tc>
              <w:tc>
                <w:tcPr>
                  <w:tcW w:w="1006" w:type="pct"/>
                  <w:tcBorders>
                    <w:left w:val="single" w:color="auto" w:sz="4" w:space="0"/>
                  </w:tcBorders>
                  <w:shd w:val="clear" w:color="auto" w:fill="auto"/>
                  <w:noWrap/>
                  <w:tcMar>
                    <w:left w:w="51" w:type="dxa"/>
                    <w:right w:w="51" w:type="dxa"/>
                  </w:tcMar>
                  <w:vAlign w:val="center"/>
                </w:tcPr>
                <w:p w14:paraId="1859B1DA">
                  <w:pPr>
                    <w:keepNext w:val="0"/>
                    <w:keepLines w:val="0"/>
                    <w:widowControl w:val="0"/>
                    <w:suppressLineNumbers w:val="0"/>
                    <w:spacing w:before="0" w:beforeAutospacing="0" w:after="0" w:afterAutospacing="0"/>
                    <w:ind w:left="0" w:leftChars="0" w:right="0" w:rightChars="0"/>
                    <w:jc w:val="center"/>
                    <w:rPr>
                      <w:rFonts w:hint="default" w:ascii="Times New Roman" w:hAnsi="Times New Roman" w:eastAsia="宋体" w:cs="Times New Roman"/>
                      <w:color w:val="auto"/>
                      <w:kern w:val="2"/>
                      <w:sz w:val="21"/>
                      <w:szCs w:val="21"/>
                      <w:lang w:val="en-US" w:eastAsia="zh-CN" w:bidi="ar-SA"/>
                    </w:rPr>
                  </w:pPr>
                  <w:r>
                    <w:rPr>
                      <w:rFonts w:hint="eastAsia" w:ascii="宋体" w:hAnsi="宋体" w:eastAsia="宋体" w:cs="宋体"/>
                      <w:color w:val="auto"/>
                      <w:kern w:val="2"/>
                      <w:sz w:val="21"/>
                      <w:szCs w:val="21"/>
                      <w:lang w:val="en-US" w:eastAsia="zh-CN" w:bidi="ar"/>
                    </w:rPr>
                    <w:t>废活性炭</w:t>
                  </w:r>
                </w:p>
              </w:tc>
              <w:tc>
                <w:tcPr>
                  <w:tcW w:w="553" w:type="pct"/>
                  <w:noWrap/>
                  <w:tcMar>
                    <w:left w:w="51" w:type="dxa"/>
                    <w:right w:w="51" w:type="dxa"/>
                  </w:tcMar>
                  <w:vAlign w:val="center"/>
                </w:tcPr>
                <w:p w14:paraId="79733245">
                  <w:pPr>
                    <w:keepNext w:val="0"/>
                    <w:keepLines w:val="0"/>
                    <w:widowControl w:val="0"/>
                    <w:suppressLineNumbers w:val="0"/>
                    <w:spacing w:before="0" w:beforeAutospacing="0" w:after="0" w:afterAutospacing="0"/>
                    <w:ind w:left="0" w:right="0"/>
                    <w:jc w:val="center"/>
                    <w:rPr>
                      <w:rFonts w:hint="default" w:ascii="Times New Roman" w:hAnsi="Times New Roman" w:eastAsia="宋体" w:cs="Times New Roman"/>
                      <w:color w:val="auto"/>
                      <w:szCs w:val="21"/>
                    </w:rPr>
                  </w:pPr>
                  <w:r>
                    <w:rPr>
                      <w:rFonts w:hint="default" w:ascii="Times New Roman" w:hAnsi="Times New Roman" w:eastAsia="宋体" w:cs="Times New Roman"/>
                      <w:color w:val="auto"/>
                      <w:kern w:val="2"/>
                      <w:sz w:val="21"/>
                      <w:szCs w:val="21"/>
                      <w:lang w:val="en-US" w:eastAsia="zh-CN"/>
                    </w:rPr>
                    <w:t>HW49</w:t>
                  </w:r>
                </w:p>
              </w:tc>
              <w:tc>
                <w:tcPr>
                  <w:tcW w:w="553" w:type="pct"/>
                  <w:noWrap/>
                  <w:tcMar>
                    <w:left w:w="51" w:type="dxa"/>
                    <w:right w:w="51" w:type="dxa"/>
                  </w:tcMar>
                  <w:vAlign w:val="center"/>
                </w:tcPr>
                <w:p w14:paraId="679C00C0">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r>
                    <w:rPr>
                      <w:rFonts w:hint="default" w:ascii="Times New Roman" w:hAnsi="Times New Roman" w:eastAsia="宋体" w:cs="Times New Roman"/>
                      <w:color w:val="auto"/>
                      <w:kern w:val="2"/>
                      <w:sz w:val="21"/>
                      <w:szCs w:val="21"/>
                      <w:lang w:val="en-US" w:eastAsia="zh-CN"/>
                    </w:rPr>
                    <w:t>900-039-49</w:t>
                  </w:r>
                </w:p>
              </w:tc>
              <w:tc>
                <w:tcPr>
                  <w:tcW w:w="396" w:type="pct"/>
                  <w:vMerge w:val="continue"/>
                  <w:noWrap/>
                  <w:tcMar>
                    <w:left w:w="51" w:type="dxa"/>
                    <w:right w:w="51" w:type="dxa"/>
                  </w:tcMar>
                  <w:vAlign w:val="center"/>
                </w:tcPr>
                <w:p w14:paraId="5DF5CC50">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p>
              </w:tc>
              <w:tc>
                <w:tcPr>
                  <w:tcW w:w="383" w:type="pct"/>
                  <w:vMerge w:val="continue"/>
                  <w:noWrap/>
                  <w:tcMar>
                    <w:left w:w="51" w:type="dxa"/>
                    <w:right w:w="51" w:type="dxa"/>
                  </w:tcMar>
                  <w:vAlign w:val="center"/>
                </w:tcPr>
                <w:p w14:paraId="40C7CEA9">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p>
              </w:tc>
              <w:tc>
                <w:tcPr>
                  <w:tcW w:w="436" w:type="pct"/>
                  <w:vMerge w:val="continue"/>
                  <w:tcBorders>
                    <w:right w:val="single" w:color="auto" w:sz="4" w:space="0"/>
                  </w:tcBorders>
                  <w:noWrap/>
                  <w:tcMar>
                    <w:left w:w="51" w:type="dxa"/>
                    <w:right w:w="51" w:type="dxa"/>
                  </w:tcMar>
                  <w:vAlign w:val="center"/>
                </w:tcPr>
                <w:p w14:paraId="22E2DDA9">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p>
              </w:tc>
              <w:tc>
                <w:tcPr>
                  <w:tcW w:w="424" w:type="pct"/>
                  <w:vMerge w:val="continue"/>
                  <w:tcBorders>
                    <w:left w:val="single" w:color="auto" w:sz="4" w:space="0"/>
                  </w:tcBorders>
                  <w:noWrap/>
                  <w:vAlign w:val="center"/>
                </w:tcPr>
                <w:p w14:paraId="31C58807">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p>
              </w:tc>
              <w:tc>
                <w:tcPr>
                  <w:tcW w:w="424" w:type="pct"/>
                  <w:tcBorders>
                    <w:left w:val="single" w:color="auto" w:sz="4" w:space="0"/>
                  </w:tcBorders>
                  <w:noWrap/>
                  <w:vAlign w:val="center"/>
                </w:tcPr>
                <w:p w14:paraId="269DCF26">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lang w:val="en-US" w:eastAsia="zh-CN"/>
                    </w:rPr>
                    <w:t>2个月</w:t>
                  </w:r>
                </w:p>
              </w:tc>
            </w:tr>
            <w:tr w14:paraId="75503370">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397" w:hRule="atLeast"/>
                <w:jc w:val="center"/>
              </w:trPr>
              <w:tc>
                <w:tcPr>
                  <w:tcW w:w="5000" w:type="pct"/>
                  <w:gridSpan w:val="10"/>
                  <w:noWrap/>
                  <w:tcMar>
                    <w:left w:w="51" w:type="dxa"/>
                    <w:right w:w="51" w:type="dxa"/>
                  </w:tcMar>
                  <w:vAlign w:val="center"/>
                </w:tcPr>
                <w:p w14:paraId="20254C90">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lang w:val="en-US" w:eastAsia="zh-CN"/>
                    </w:rPr>
                    <w:t>危废仓库建筑面积1</w:t>
                  </w:r>
                  <w:r>
                    <w:rPr>
                      <w:rFonts w:hint="eastAsia" w:ascii="Times New Roman" w:hAnsi="Times New Roman" w:eastAsia="宋体" w:cs="Times New Roman"/>
                      <w:color w:val="auto"/>
                      <w:szCs w:val="21"/>
                      <w:lang w:val="en-US" w:eastAsia="zh-CN"/>
                    </w:rPr>
                    <w:t>4</w:t>
                  </w:r>
                  <w:r>
                    <w:rPr>
                      <w:rFonts w:hint="default" w:ascii="Times New Roman" w:hAnsi="Times New Roman" w:eastAsia="宋体" w:cs="Times New Roman"/>
                      <w:color w:val="auto"/>
                      <w:szCs w:val="21"/>
                      <w:lang w:val="en-US" w:eastAsia="zh-CN"/>
                    </w:rPr>
                    <w:t>m</w:t>
                  </w:r>
                  <w:r>
                    <w:rPr>
                      <w:rFonts w:hint="default" w:ascii="Times New Roman" w:hAnsi="Times New Roman" w:eastAsia="宋体" w:cs="Times New Roman"/>
                      <w:color w:val="auto"/>
                      <w:szCs w:val="21"/>
                      <w:vertAlign w:val="superscript"/>
                      <w:lang w:val="en-US" w:eastAsia="zh-CN"/>
                    </w:rPr>
                    <w:t>2</w:t>
                  </w:r>
                  <w:r>
                    <w:rPr>
                      <w:rFonts w:hint="default" w:ascii="Times New Roman" w:hAnsi="Times New Roman" w:eastAsia="宋体" w:cs="Times New Roman"/>
                      <w:color w:val="auto"/>
                      <w:szCs w:val="21"/>
                      <w:lang w:val="en-US" w:eastAsia="zh-CN"/>
                    </w:rPr>
                    <w:t>，最大临时贮存量</w:t>
                  </w:r>
                  <w:r>
                    <w:rPr>
                      <w:rFonts w:hint="eastAsia" w:ascii="Times New Roman" w:hAnsi="Times New Roman" w:eastAsia="宋体" w:cs="Times New Roman"/>
                      <w:color w:val="auto"/>
                      <w:szCs w:val="21"/>
                      <w:lang w:val="en-US" w:eastAsia="zh-CN"/>
                    </w:rPr>
                    <w:t>11.2</w:t>
                  </w:r>
                  <w:r>
                    <w:rPr>
                      <w:rFonts w:hint="default" w:ascii="Times New Roman" w:hAnsi="Times New Roman" w:eastAsia="宋体" w:cs="Times New Roman"/>
                      <w:color w:val="auto"/>
                      <w:szCs w:val="21"/>
                      <w:lang w:val="en-US" w:eastAsia="zh-CN"/>
                    </w:rPr>
                    <w:t>吨（0.8吨/m</w:t>
                  </w:r>
                  <w:r>
                    <w:rPr>
                      <w:rFonts w:hint="default" w:ascii="Times New Roman" w:hAnsi="Times New Roman" w:eastAsia="宋体" w:cs="Times New Roman"/>
                      <w:color w:val="auto"/>
                      <w:szCs w:val="21"/>
                      <w:vertAlign w:val="superscript"/>
                      <w:lang w:val="en-US" w:eastAsia="zh-CN"/>
                    </w:rPr>
                    <w:t>2</w:t>
                  </w:r>
                  <w:r>
                    <w:rPr>
                      <w:rFonts w:hint="default" w:ascii="Times New Roman" w:hAnsi="Times New Roman" w:eastAsia="宋体" w:cs="Times New Roman"/>
                      <w:color w:val="auto"/>
                      <w:szCs w:val="21"/>
                      <w:lang w:val="en-US" w:eastAsia="zh-CN"/>
                    </w:rPr>
                    <w:t>），项目危废总产生量约</w:t>
                  </w:r>
                  <w:r>
                    <w:rPr>
                      <w:rFonts w:hint="eastAsia" w:ascii="Times New Roman" w:hAnsi="Times New Roman" w:eastAsia="宋体" w:cs="Times New Roman"/>
                      <w:color w:val="0000E1"/>
                      <w:szCs w:val="21"/>
                      <w:lang w:val="en-US" w:eastAsia="zh-CN"/>
                    </w:rPr>
                    <w:t>56.303</w:t>
                  </w:r>
                  <w:r>
                    <w:rPr>
                      <w:rFonts w:hint="default" w:ascii="Times New Roman" w:hAnsi="Times New Roman" w:eastAsia="宋体" w:cs="Times New Roman"/>
                      <w:color w:val="auto"/>
                      <w:szCs w:val="21"/>
                      <w:lang w:val="en-US" w:eastAsia="zh-CN"/>
                    </w:rPr>
                    <w:t>吨/年，废活性炭</w:t>
                  </w:r>
                  <w:r>
                    <w:rPr>
                      <w:rFonts w:hint="eastAsia" w:ascii="Times New Roman" w:hAnsi="Times New Roman" w:eastAsia="宋体" w:cs="Times New Roman"/>
                      <w:color w:val="auto"/>
                      <w:szCs w:val="21"/>
                      <w:lang w:val="en-US" w:eastAsia="zh-CN"/>
                    </w:rPr>
                    <w:t>、破损的废包装桶、废弃的含油抹布及劳保用品</w:t>
                  </w:r>
                  <w:r>
                    <w:rPr>
                      <w:rFonts w:hint="default" w:ascii="Times New Roman" w:hAnsi="Times New Roman" w:eastAsia="宋体" w:cs="Times New Roman"/>
                      <w:color w:val="auto"/>
                      <w:szCs w:val="21"/>
                      <w:lang w:val="en-US" w:eastAsia="zh-CN"/>
                    </w:rPr>
                    <w:t>2个月转运一次</w:t>
                  </w:r>
                  <w:r>
                    <w:rPr>
                      <w:rFonts w:hint="eastAsia" w:ascii="Times New Roman" w:hAnsi="Times New Roman" w:eastAsia="宋体" w:cs="Times New Roman"/>
                      <w:color w:val="auto"/>
                      <w:szCs w:val="21"/>
                      <w:lang w:val="en-US" w:eastAsia="zh-CN"/>
                    </w:rPr>
                    <w:t>；喷淋废水6个月转运一次，其余危废12个月转运一次，</w:t>
                  </w:r>
                  <w:r>
                    <w:rPr>
                      <w:rFonts w:hint="default" w:ascii="Times New Roman" w:hAnsi="Times New Roman" w:eastAsia="宋体" w:cs="Times New Roman"/>
                      <w:color w:val="auto"/>
                      <w:szCs w:val="21"/>
                      <w:lang w:val="en-US" w:eastAsia="zh-CN"/>
                    </w:rPr>
                    <w:t>因此项目危废暂存场所一次最大存储量约为</w:t>
                  </w:r>
                  <w:r>
                    <w:rPr>
                      <w:rFonts w:hint="eastAsia" w:ascii="Times New Roman" w:hAnsi="Times New Roman" w:eastAsia="宋体" w:cs="Times New Roman"/>
                      <w:color w:val="0000E1"/>
                      <w:szCs w:val="21"/>
                      <w:lang w:val="en-US" w:eastAsia="zh-CN"/>
                    </w:rPr>
                    <w:t>10.852</w:t>
                  </w:r>
                  <w:r>
                    <w:rPr>
                      <w:rFonts w:hint="default" w:ascii="Times New Roman" w:hAnsi="Times New Roman" w:eastAsia="宋体" w:cs="Times New Roman"/>
                      <w:color w:val="auto"/>
                      <w:szCs w:val="21"/>
                      <w:lang w:val="en-US" w:eastAsia="zh-CN"/>
                    </w:rPr>
                    <w:t>吨，设计储存量</w:t>
                  </w:r>
                  <w:r>
                    <w:rPr>
                      <w:rFonts w:hint="eastAsia" w:ascii="Times New Roman" w:hAnsi="Times New Roman" w:eastAsia="宋体" w:cs="Times New Roman"/>
                      <w:color w:val="auto"/>
                      <w:szCs w:val="21"/>
                      <w:lang w:val="en-US" w:eastAsia="zh-CN"/>
                    </w:rPr>
                    <w:t>11.2</w:t>
                  </w:r>
                  <w:r>
                    <w:rPr>
                      <w:rFonts w:hint="default" w:ascii="Times New Roman" w:hAnsi="Times New Roman" w:eastAsia="宋体" w:cs="Times New Roman"/>
                      <w:color w:val="auto"/>
                      <w:szCs w:val="21"/>
                      <w:lang w:val="en-US" w:eastAsia="zh-CN"/>
                    </w:rPr>
                    <w:t>吨，可满足其贮存能力。</w:t>
                  </w:r>
                </w:p>
              </w:tc>
            </w:tr>
          </w:tbl>
          <w:p w14:paraId="74E28171">
            <w:pPr>
              <w:keepNext w:val="0"/>
              <w:keepLines w:val="0"/>
              <w:suppressLineNumbers w:val="0"/>
              <w:spacing w:before="0" w:beforeAutospacing="0" w:after="0" w:afterAutospacing="0" w:line="360" w:lineRule="auto"/>
              <w:ind w:left="0" w:right="0" w:firstLine="480" w:firstLineChars="200"/>
              <w:rPr>
                <w:rFonts w:hint="default" w:ascii="Times New Roman" w:hAnsi="Times New Roman" w:eastAsia="宋体" w:cs="Times New Roman"/>
                <w:color w:val="auto"/>
                <w:sz w:val="24"/>
              </w:rPr>
            </w:pPr>
            <w:r>
              <w:rPr>
                <w:rFonts w:hint="eastAsia" w:ascii="Times New Roman" w:hAnsi="Times New Roman" w:eastAsia="宋体" w:cs="Times New Roman"/>
                <w:color w:val="auto"/>
                <w:sz w:val="24"/>
              </w:rPr>
              <w:t>本项目危险废物贮存场所设置于</w:t>
            </w:r>
            <w:r>
              <w:rPr>
                <w:rFonts w:hint="eastAsia" w:ascii="Times New Roman" w:hAnsi="Times New Roman" w:eastAsia="宋体" w:cs="Times New Roman"/>
                <w:color w:val="auto"/>
                <w:sz w:val="24"/>
                <w:lang w:val="en-US" w:eastAsia="zh-CN"/>
              </w:rPr>
              <w:t>2#厂房</w:t>
            </w:r>
            <w:r>
              <w:rPr>
                <w:rFonts w:hint="eastAsia" w:ascii="Times New Roman" w:hAnsi="Times New Roman" w:eastAsia="宋体" w:cs="Times New Roman"/>
                <w:color w:val="0000E1"/>
                <w:sz w:val="24"/>
                <w:lang w:val="en-US" w:eastAsia="zh-CN"/>
              </w:rPr>
              <w:t>外东北侧单独房间内</w:t>
            </w:r>
            <w:r>
              <w:rPr>
                <w:rFonts w:hint="eastAsia" w:ascii="Times New Roman" w:hAnsi="Times New Roman" w:eastAsia="宋体" w:cs="Times New Roman"/>
                <w:color w:val="auto"/>
                <w:sz w:val="24"/>
              </w:rPr>
              <w:t>，占地面积约</w:t>
            </w:r>
            <w:r>
              <w:rPr>
                <w:rFonts w:hint="eastAsia" w:ascii="Times New Roman" w:hAnsi="Times New Roman" w:eastAsia="宋体" w:cs="Times New Roman"/>
                <w:color w:val="auto"/>
                <w:sz w:val="24"/>
                <w:lang w:val="en-US" w:eastAsia="zh-CN"/>
              </w:rPr>
              <w:t>14</w:t>
            </w:r>
            <w:r>
              <w:rPr>
                <w:rFonts w:hint="eastAsia" w:ascii="Times New Roman" w:hAnsi="Times New Roman" w:eastAsia="宋体" w:cs="Times New Roman"/>
                <w:color w:val="auto"/>
                <w:sz w:val="24"/>
              </w:rPr>
              <w:t>m</w:t>
            </w:r>
            <w:r>
              <w:rPr>
                <w:rFonts w:hint="eastAsia" w:ascii="Times New Roman" w:hAnsi="Times New Roman" w:eastAsia="宋体" w:cs="Times New Roman"/>
                <w:color w:val="auto"/>
                <w:sz w:val="24"/>
                <w:vertAlign w:val="superscript"/>
              </w:rPr>
              <w:t>2</w:t>
            </w:r>
            <w:r>
              <w:rPr>
                <w:rFonts w:hint="eastAsia" w:ascii="Times New Roman" w:hAnsi="Times New Roman" w:eastAsia="宋体" w:cs="Times New Roman"/>
                <w:color w:val="auto"/>
                <w:sz w:val="24"/>
              </w:rPr>
              <w:t>，所有危险固废的收集和暂存都应按《危险废物贮存污染控制标准》（GB18597-2023）相关要求。</w:t>
            </w:r>
          </w:p>
          <w:p w14:paraId="65DEC6E4">
            <w:pPr>
              <w:keepNext w:val="0"/>
              <w:keepLines w:val="0"/>
              <w:suppressLineNumbers w:val="0"/>
              <w:spacing w:before="0" w:beforeAutospacing="0" w:after="0" w:afterAutospacing="0" w:line="360" w:lineRule="auto"/>
              <w:ind w:left="0" w:right="0" w:firstLine="480" w:firstLineChars="200"/>
              <w:rPr>
                <w:rFonts w:hint="eastAsia" w:ascii="Times New Roman" w:hAnsi="Times New Roman" w:eastAsia="宋体" w:cs="Times New Roman"/>
                <w:color w:val="auto"/>
                <w:sz w:val="24"/>
              </w:rPr>
            </w:pPr>
            <w:r>
              <w:rPr>
                <w:rFonts w:hint="eastAsia" w:ascii="Times New Roman" w:hAnsi="Times New Roman" w:eastAsia="宋体" w:cs="Times New Roman"/>
                <w:color w:val="auto"/>
                <w:sz w:val="24"/>
              </w:rPr>
              <w:t>②危险废物运输过程的污染防治措施</w:t>
            </w:r>
          </w:p>
          <w:p w14:paraId="598A540B">
            <w:pPr>
              <w:keepNext w:val="0"/>
              <w:keepLines w:val="0"/>
              <w:suppressLineNumbers w:val="0"/>
              <w:spacing w:before="0" w:beforeAutospacing="0" w:after="0" w:afterAutospacing="0" w:line="360" w:lineRule="auto"/>
              <w:ind w:left="0" w:right="0" w:firstLine="480" w:firstLineChars="200"/>
              <w:rPr>
                <w:rFonts w:hint="eastAsia" w:ascii="Times New Roman" w:hAnsi="Times New Roman" w:eastAsia="宋体" w:cs="Times New Roman"/>
                <w:color w:val="auto"/>
                <w:sz w:val="24"/>
              </w:rPr>
            </w:pPr>
            <w:r>
              <w:rPr>
                <w:rFonts w:hint="eastAsia" w:ascii="Times New Roman" w:hAnsi="Times New Roman" w:eastAsia="宋体" w:cs="Times New Roman"/>
                <w:color w:val="auto"/>
                <w:sz w:val="24"/>
              </w:rPr>
              <w:t>危险固废在转移过程中，均应严格遵从《危险废物转移管理办法》（生态环境部 公安部 交通运输部 部令第23号）及其它有关规定的要求，以便管理部门对危险废物的流向进行有效控制，防止在转移过程中将危险废物排放至环境中，转移的危险废物，必须按照国家有关规定填写危险废物转移联单；采用专门密闭车辆，防止散落和流洒；对危险废物的转移处理须严格按照《危险废物转移管理办法》（生态环境部 公安部 交通运输部 部令第23号）执行。</w:t>
            </w:r>
          </w:p>
          <w:p w14:paraId="4AE34864">
            <w:pPr>
              <w:keepNext w:val="0"/>
              <w:keepLines w:val="0"/>
              <w:suppressLineNumbers w:val="0"/>
              <w:spacing w:before="0" w:beforeAutospacing="0" w:after="0" w:afterAutospacing="0" w:line="360" w:lineRule="auto"/>
              <w:ind w:left="0" w:right="0" w:firstLine="480" w:firstLineChars="200"/>
              <w:rPr>
                <w:rFonts w:hint="eastAsia" w:ascii="Times New Roman" w:hAnsi="Times New Roman" w:eastAsia="宋体" w:cs="Times New Roman"/>
                <w:color w:val="auto"/>
                <w:sz w:val="24"/>
              </w:rPr>
            </w:pPr>
            <w:r>
              <w:rPr>
                <w:rFonts w:hint="eastAsia" w:ascii="Times New Roman" w:hAnsi="Times New Roman" w:eastAsia="宋体" w:cs="Times New Roman"/>
                <w:color w:val="auto"/>
                <w:sz w:val="24"/>
              </w:rPr>
              <w:t>本项目危废外运委托有资质的危险废物运输公司进行运输，运输过程中危废的散落会对沿线环境卫生产生一定影响，同时散落的废物经雨水冲刷后的有害物质会对沿线的土壤及水体造成污染。本次评价要求危废外运采用专门密闭车辆，防止散落和流洒，同时配备有消防器材，以应对突发</w:t>
            </w:r>
            <w:r>
              <w:rPr>
                <w:rFonts w:hint="eastAsia" w:ascii="Times New Roman" w:hAnsi="Times New Roman" w:eastAsia="宋体" w:cs="Times New Roman"/>
                <w:color w:val="0000E1"/>
                <w:sz w:val="24"/>
              </w:rPr>
              <w:t>生态环境事件</w:t>
            </w:r>
            <w:r>
              <w:rPr>
                <w:rFonts w:hint="eastAsia" w:ascii="Times New Roman" w:hAnsi="Times New Roman" w:eastAsia="宋体" w:cs="Times New Roman"/>
                <w:color w:val="auto"/>
                <w:sz w:val="24"/>
              </w:rPr>
              <w:t>。运输卸装过程中也要严格按照国家有关规定执行，包括</w:t>
            </w:r>
            <w:r>
              <w:rPr>
                <w:rFonts w:hint="eastAsia" w:ascii="Times New Roman" w:hAnsi="Times New Roman" w:eastAsia="宋体" w:cs="Times New Roman"/>
                <w:color w:val="00B050"/>
                <w:sz w:val="24"/>
              </w:rPr>
              <w:t>《汽车运输危险货物规则》（JT 617-2004）</w:t>
            </w:r>
            <w:r>
              <w:rPr>
                <w:rFonts w:hint="eastAsia" w:ascii="Times New Roman" w:hAnsi="Times New Roman" w:eastAsia="宋体" w:cs="Times New Roman"/>
                <w:color w:val="auto"/>
                <w:sz w:val="24"/>
              </w:rPr>
              <w:t>、</w:t>
            </w:r>
            <w:r>
              <w:rPr>
                <w:rFonts w:hint="eastAsia" w:ascii="Times New Roman" w:hAnsi="Times New Roman" w:eastAsia="宋体" w:cs="Times New Roman"/>
                <w:color w:val="00B050"/>
                <w:sz w:val="24"/>
              </w:rPr>
              <w:t>《危险货物道路运输规则》</w:t>
            </w:r>
            <w:r>
              <w:rPr>
                <w:rFonts w:hint="eastAsia" w:ascii="Times New Roman" w:hAnsi="Times New Roman" w:eastAsia="宋体" w:cs="Times New Roman"/>
                <w:color w:val="00B050"/>
                <w:sz w:val="24"/>
                <w:lang w:eastAsia="zh-CN"/>
              </w:rPr>
              <w:t>（</w:t>
            </w:r>
            <w:r>
              <w:rPr>
                <w:rFonts w:hint="eastAsia" w:ascii="Times New Roman" w:hAnsi="Times New Roman" w:eastAsia="宋体" w:cs="Times New Roman"/>
                <w:color w:val="00B050"/>
                <w:sz w:val="24"/>
              </w:rPr>
              <w:t>JT/T 617-2018</w:t>
            </w:r>
            <w:r>
              <w:rPr>
                <w:rFonts w:hint="eastAsia" w:ascii="Times New Roman" w:hAnsi="Times New Roman" w:eastAsia="宋体" w:cs="Times New Roman"/>
                <w:color w:val="00B050"/>
                <w:sz w:val="24"/>
                <w:lang w:eastAsia="zh-CN"/>
              </w:rPr>
              <w:t>）</w:t>
            </w:r>
            <w:r>
              <w:rPr>
                <w:rFonts w:hint="eastAsia" w:ascii="Times New Roman" w:hAnsi="Times New Roman" w:eastAsia="宋体" w:cs="Times New Roman"/>
                <w:color w:val="auto"/>
                <w:sz w:val="24"/>
              </w:rPr>
              <w:t>等。在采取相应的防治措施后，可以避免或者降低危废在运输过程中发生散落、泄漏所引起的环境影响。</w:t>
            </w:r>
          </w:p>
          <w:p w14:paraId="210C8A54">
            <w:pPr>
              <w:keepNext w:val="0"/>
              <w:keepLines w:val="0"/>
              <w:suppressLineNumbers w:val="0"/>
              <w:spacing w:before="0" w:beforeAutospacing="0" w:after="0" w:afterAutospacing="0" w:line="360" w:lineRule="auto"/>
              <w:ind w:left="0" w:right="0" w:firstLine="480" w:firstLineChars="200"/>
              <w:rPr>
                <w:rFonts w:hint="default" w:ascii="Times New Roman" w:hAnsi="Times New Roman" w:eastAsia="宋体" w:cs="Times New Roman"/>
                <w:color w:val="auto"/>
                <w:sz w:val="24"/>
              </w:rPr>
            </w:pPr>
            <w:r>
              <w:rPr>
                <w:rFonts w:hint="eastAsia" w:ascii="Times New Roman" w:hAnsi="Times New Roman" w:eastAsia="宋体" w:cs="Times New Roman"/>
                <w:color w:val="auto"/>
                <w:sz w:val="24"/>
              </w:rPr>
              <w:t>根据调查，项目所在地附近能够处置本项目产生的危险废物的处置公司情况如下表所示。</w:t>
            </w:r>
          </w:p>
          <w:p w14:paraId="792370DC">
            <w:pPr>
              <w:keepNext w:val="0"/>
              <w:keepLines w:val="0"/>
              <w:suppressLineNumbers w:val="0"/>
              <w:spacing w:before="0" w:beforeAutospacing="0" w:after="0" w:afterAutospacing="0"/>
              <w:ind w:left="0" w:right="0"/>
              <w:jc w:val="center"/>
              <w:rPr>
                <w:rFonts w:hint="default" w:ascii="Times New Roman" w:hAnsi="Times New Roman" w:eastAsia="宋体" w:cs="Times New Roman"/>
                <w:b/>
                <w:bCs/>
                <w:color w:val="auto"/>
              </w:rPr>
            </w:pPr>
            <w:r>
              <w:rPr>
                <w:rFonts w:hint="eastAsia" w:ascii="Times New Roman" w:hAnsi="Times New Roman" w:eastAsia="宋体" w:cs="Times New Roman"/>
                <w:b/>
                <w:bCs/>
                <w:color w:val="auto"/>
              </w:rPr>
              <w:t>表</w:t>
            </w:r>
            <w:r>
              <w:rPr>
                <w:rFonts w:hint="default" w:ascii="Times New Roman" w:hAnsi="Times New Roman" w:eastAsia="宋体" w:cs="Times New Roman"/>
                <w:b/>
                <w:bCs/>
                <w:color w:val="auto"/>
              </w:rPr>
              <w:t>4-2</w:t>
            </w:r>
            <w:r>
              <w:rPr>
                <w:rFonts w:hint="eastAsia" w:ascii="Times New Roman" w:hAnsi="Times New Roman" w:eastAsia="宋体" w:cs="Times New Roman"/>
                <w:b/>
                <w:bCs/>
                <w:color w:val="auto"/>
                <w:lang w:val="en-US" w:eastAsia="zh-CN"/>
              </w:rPr>
              <w:t>7</w:t>
            </w:r>
            <w:r>
              <w:rPr>
                <w:rFonts w:hint="default" w:ascii="Times New Roman" w:hAnsi="Times New Roman" w:eastAsia="宋体" w:cs="Times New Roman"/>
                <w:b/>
                <w:bCs/>
                <w:color w:val="auto"/>
              </w:rPr>
              <w:t xml:space="preserve"> </w:t>
            </w:r>
            <w:r>
              <w:rPr>
                <w:rFonts w:hint="eastAsia" w:ascii="Times New Roman" w:hAnsi="Times New Roman" w:eastAsia="宋体" w:cs="Times New Roman"/>
                <w:b/>
                <w:bCs/>
                <w:color w:val="auto"/>
              </w:rPr>
              <w:t xml:space="preserve"> 本项目周边危废公司情况</w:t>
            </w:r>
          </w:p>
          <w:tbl>
            <w:tblPr>
              <w:tblStyle w:val="23"/>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50"/>
              <w:gridCol w:w="1584"/>
              <w:gridCol w:w="1584"/>
              <w:gridCol w:w="6606"/>
              <w:gridCol w:w="890"/>
              <w:gridCol w:w="1944"/>
            </w:tblGrid>
            <w:tr w14:paraId="3C8C96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657" w:type="dxa"/>
                  <w:vAlign w:val="center"/>
                </w:tcPr>
                <w:p w14:paraId="5FAD988A">
                  <w:pPr>
                    <w:keepNext w:val="0"/>
                    <w:keepLines w:val="0"/>
                    <w:suppressLineNumbers w:val="0"/>
                    <w:spacing w:before="0" w:beforeAutospacing="0" w:after="0" w:afterAutospacing="0"/>
                    <w:ind w:left="0" w:right="0"/>
                    <w:jc w:val="center"/>
                    <w:rPr>
                      <w:rFonts w:hint="default" w:ascii="Times New Roman" w:hAnsi="Times New Roman" w:eastAsia="宋体" w:cs="Times New Roman"/>
                      <w:b/>
                      <w:bCs/>
                      <w:color w:val="auto"/>
                      <w:szCs w:val="21"/>
                    </w:rPr>
                  </w:pPr>
                  <w:r>
                    <w:rPr>
                      <w:rFonts w:hint="default" w:ascii="Times New Roman" w:hAnsi="Times New Roman" w:eastAsia="宋体" w:cs="Times New Roman"/>
                      <w:b/>
                      <w:bCs/>
                      <w:color w:val="auto"/>
                      <w:szCs w:val="21"/>
                    </w:rPr>
                    <w:t>序号</w:t>
                  </w:r>
                </w:p>
              </w:tc>
              <w:tc>
                <w:tcPr>
                  <w:tcW w:w="1605" w:type="dxa"/>
                  <w:vAlign w:val="center"/>
                </w:tcPr>
                <w:p w14:paraId="21C1C046">
                  <w:pPr>
                    <w:keepNext w:val="0"/>
                    <w:keepLines w:val="0"/>
                    <w:suppressLineNumbers w:val="0"/>
                    <w:spacing w:before="0" w:beforeAutospacing="0" w:after="0" w:afterAutospacing="0"/>
                    <w:ind w:left="0" w:right="0"/>
                    <w:jc w:val="center"/>
                    <w:rPr>
                      <w:rFonts w:hint="default" w:ascii="Times New Roman" w:hAnsi="Times New Roman" w:eastAsia="宋体" w:cs="Times New Roman"/>
                      <w:b/>
                      <w:bCs/>
                      <w:color w:val="auto"/>
                      <w:szCs w:val="21"/>
                    </w:rPr>
                  </w:pPr>
                  <w:r>
                    <w:rPr>
                      <w:rFonts w:hint="default" w:ascii="Times New Roman" w:hAnsi="Times New Roman" w:eastAsia="宋体" w:cs="Times New Roman"/>
                      <w:b/>
                      <w:bCs/>
                      <w:color w:val="auto"/>
                      <w:szCs w:val="21"/>
                    </w:rPr>
                    <w:t>公司名称</w:t>
                  </w:r>
                </w:p>
              </w:tc>
              <w:tc>
                <w:tcPr>
                  <w:tcW w:w="1605" w:type="dxa"/>
                  <w:vAlign w:val="center"/>
                </w:tcPr>
                <w:p w14:paraId="20FA049D">
                  <w:pPr>
                    <w:keepNext w:val="0"/>
                    <w:keepLines w:val="0"/>
                    <w:suppressLineNumbers w:val="0"/>
                    <w:spacing w:before="0" w:beforeAutospacing="0" w:after="0" w:afterAutospacing="0"/>
                    <w:ind w:left="0" w:right="0"/>
                    <w:jc w:val="center"/>
                    <w:rPr>
                      <w:rFonts w:hint="default" w:ascii="Times New Roman" w:hAnsi="Times New Roman" w:eastAsia="宋体" w:cs="Times New Roman"/>
                      <w:b/>
                      <w:bCs/>
                      <w:color w:val="auto"/>
                      <w:szCs w:val="21"/>
                    </w:rPr>
                  </w:pPr>
                  <w:r>
                    <w:rPr>
                      <w:rFonts w:hint="default" w:ascii="Times New Roman" w:hAnsi="Times New Roman" w:eastAsia="宋体" w:cs="Times New Roman"/>
                      <w:b/>
                      <w:bCs/>
                      <w:color w:val="auto"/>
                      <w:szCs w:val="21"/>
                    </w:rPr>
                    <w:t>经营许可证号</w:t>
                  </w:r>
                </w:p>
              </w:tc>
              <w:tc>
                <w:tcPr>
                  <w:tcW w:w="6705" w:type="dxa"/>
                  <w:vAlign w:val="center"/>
                </w:tcPr>
                <w:p w14:paraId="328FC3F1">
                  <w:pPr>
                    <w:keepNext w:val="0"/>
                    <w:keepLines w:val="0"/>
                    <w:suppressLineNumbers w:val="0"/>
                    <w:spacing w:before="0" w:beforeAutospacing="0" w:after="0" w:afterAutospacing="0"/>
                    <w:ind w:left="0" w:right="0"/>
                    <w:jc w:val="center"/>
                    <w:rPr>
                      <w:rFonts w:hint="default" w:ascii="Times New Roman" w:hAnsi="Times New Roman" w:eastAsia="宋体" w:cs="Times New Roman"/>
                      <w:b/>
                      <w:bCs/>
                      <w:color w:val="auto"/>
                      <w:szCs w:val="21"/>
                    </w:rPr>
                  </w:pPr>
                  <w:r>
                    <w:rPr>
                      <w:rFonts w:hint="default" w:ascii="Times New Roman" w:hAnsi="Times New Roman" w:eastAsia="宋体" w:cs="Times New Roman"/>
                      <w:b/>
                      <w:bCs/>
                      <w:color w:val="auto"/>
                      <w:szCs w:val="21"/>
                    </w:rPr>
                    <w:t>资质类别许可证</w:t>
                  </w:r>
                </w:p>
              </w:tc>
              <w:tc>
                <w:tcPr>
                  <w:tcW w:w="900" w:type="dxa"/>
                  <w:vAlign w:val="center"/>
                </w:tcPr>
                <w:p w14:paraId="505CC446">
                  <w:pPr>
                    <w:keepNext w:val="0"/>
                    <w:keepLines w:val="0"/>
                    <w:suppressLineNumbers w:val="0"/>
                    <w:spacing w:before="0" w:beforeAutospacing="0" w:after="0" w:afterAutospacing="0"/>
                    <w:ind w:left="0" w:right="0"/>
                    <w:jc w:val="center"/>
                    <w:rPr>
                      <w:rFonts w:hint="default" w:ascii="Times New Roman" w:hAnsi="Times New Roman" w:eastAsia="宋体" w:cs="Times New Roman"/>
                      <w:b/>
                      <w:bCs/>
                      <w:color w:val="auto"/>
                      <w:szCs w:val="21"/>
                    </w:rPr>
                  </w:pPr>
                  <w:r>
                    <w:rPr>
                      <w:rFonts w:hint="default" w:ascii="Times New Roman" w:hAnsi="Times New Roman" w:eastAsia="宋体" w:cs="Times New Roman"/>
                      <w:b/>
                      <w:bCs/>
                      <w:color w:val="auto"/>
                      <w:szCs w:val="21"/>
                    </w:rPr>
                    <w:t>有效期</w:t>
                  </w:r>
                </w:p>
              </w:tc>
              <w:tc>
                <w:tcPr>
                  <w:tcW w:w="1970" w:type="dxa"/>
                  <w:vAlign w:val="center"/>
                </w:tcPr>
                <w:p w14:paraId="11E29576">
                  <w:pPr>
                    <w:keepNext w:val="0"/>
                    <w:keepLines w:val="0"/>
                    <w:suppressLineNumbers w:val="0"/>
                    <w:spacing w:before="0" w:beforeAutospacing="0" w:after="0" w:afterAutospacing="0"/>
                    <w:ind w:left="0" w:right="0"/>
                    <w:jc w:val="center"/>
                    <w:rPr>
                      <w:rFonts w:hint="default" w:ascii="Times New Roman" w:hAnsi="Times New Roman" w:eastAsia="宋体" w:cs="Times New Roman"/>
                      <w:b/>
                      <w:bCs/>
                      <w:color w:val="auto"/>
                      <w:szCs w:val="21"/>
                    </w:rPr>
                  </w:pPr>
                  <w:r>
                    <w:rPr>
                      <w:rFonts w:hint="default" w:ascii="Times New Roman" w:hAnsi="Times New Roman" w:eastAsia="宋体" w:cs="Times New Roman"/>
                      <w:b/>
                      <w:bCs/>
                      <w:color w:val="auto"/>
                      <w:szCs w:val="21"/>
                    </w:rPr>
                    <w:t>颁发日期</w:t>
                  </w:r>
                </w:p>
              </w:tc>
            </w:tr>
            <w:tr w14:paraId="0DAFB7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657" w:type="dxa"/>
                  <w:vAlign w:val="center"/>
                </w:tcPr>
                <w:p w14:paraId="7869182D">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rPr>
                    <w:t>1</w:t>
                  </w:r>
                </w:p>
              </w:tc>
              <w:tc>
                <w:tcPr>
                  <w:tcW w:w="1605" w:type="dxa"/>
                  <w:vAlign w:val="center"/>
                </w:tcPr>
                <w:p w14:paraId="72D17785">
                  <w:pPr>
                    <w:keepNext w:val="0"/>
                    <w:keepLines w:val="0"/>
                    <w:suppressLineNumbers w:val="0"/>
                    <w:spacing w:before="0" w:beforeAutospacing="0" w:after="0" w:afterAutospacing="0" w:line="240" w:lineRule="auto"/>
                    <w:ind w:left="0" w:right="0"/>
                    <w:jc w:val="center"/>
                    <w:rPr>
                      <w:rFonts w:hint="default" w:ascii="Times New Roman" w:hAnsi="Times New Roman" w:eastAsia="宋体" w:cs="Times New Roman"/>
                      <w:color w:val="auto"/>
                      <w:szCs w:val="21"/>
                    </w:rPr>
                  </w:pPr>
                  <w:r>
                    <w:rPr>
                      <w:rFonts w:hint="default" w:ascii="Times New Roman" w:hAnsi="Times New Roman" w:eastAsia="宋体" w:cs="Times New Roman"/>
                      <w:b w:val="0"/>
                      <w:bCs w:val="0"/>
                      <w:color w:val="auto"/>
                      <w:sz w:val="21"/>
                      <w:szCs w:val="21"/>
                      <w:lang w:val="en-US" w:eastAsia="zh-CN"/>
                    </w:rPr>
                    <w:t>安吉纳海环境有限公司</w:t>
                  </w:r>
                </w:p>
              </w:tc>
              <w:tc>
                <w:tcPr>
                  <w:tcW w:w="1605" w:type="dxa"/>
                  <w:vAlign w:val="center"/>
                </w:tcPr>
                <w:p w14:paraId="68E32F36">
                  <w:pPr>
                    <w:keepNext w:val="0"/>
                    <w:keepLines w:val="0"/>
                    <w:suppressLineNumbers w:val="0"/>
                    <w:spacing w:before="0" w:beforeAutospacing="0" w:after="0" w:afterAutospacing="0" w:line="240" w:lineRule="auto"/>
                    <w:ind w:left="0" w:right="0"/>
                    <w:jc w:val="center"/>
                    <w:rPr>
                      <w:rFonts w:hint="default" w:ascii="Times New Roman" w:hAnsi="Times New Roman" w:eastAsia="宋体" w:cs="Times New Roman"/>
                      <w:color w:val="auto"/>
                      <w:szCs w:val="21"/>
                    </w:rPr>
                  </w:pPr>
                  <w:r>
                    <w:rPr>
                      <w:rFonts w:hint="default" w:ascii="Times New Roman" w:hAnsi="Times New Roman" w:eastAsia="宋体" w:cs="Times New Roman"/>
                      <w:b w:val="0"/>
                      <w:bCs w:val="0"/>
                      <w:color w:val="auto"/>
                      <w:sz w:val="21"/>
                      <w:szCs w:val="21"/>
                      <w:lang w:val="en-US" w:eastAsia="zh-CN"/>
                    </w:rPr>
                    <w:t>3305000125</w:t>
                  </w:r>
                </w:p>
              </w:tc>
              <w:tc>
                <w:tcPr>
                  <w:tcW w:w="6705" w:type="dxa"/>
                  <w:vAlign w:val="center"/>
                </w:tcPr>
                <w:p w14:paraId="6E971B3B">
                  <w:pPr>
                    <w:keepNext w:val="0"/>
                    <w:keepLines w:val="0"/>
                    <w:suppressLineNumbers w:val="0"/>
                    <w:spacing w:before="0" w:beforeAutospacing="0" w:after="0" w:afterAutospacing="0" w:line="240" w:lineRule="auto"/>
                    <w:ind w:left="0" w:right="0"/>
                    <w:jc w:val="center"/>
                    <w:rPr>
                      <w:rFonts w:hint="default" w:ascii="Times New Roman" w:hAnsi="Times New Roman" w:eastAsia="宋体" w:cs="Times New Roman"/>
                      <w:color w:val="auto"/>
                      <w:szCs w:val="21"/>
                    </w:rPr>
                  </w:pPr>
                  <w:r>
                    <w:rPr>
                      <w:rFonts w:hint="default" w:ascii="Times New Roman" w:hAnsi="Times New Roman" w:eastAsia="宋体" w:cs="Times New Roman"/>
                      <w:b w:val="0"/>
                      <w:bCs w:val="0"/>
                      <w:color w:val="auto"/>
                      <w:sz w:val="21"/>
                      <w:szCs w:val="21"/>
                      <w:lang w:val="en-US" w:eastAsia="zh-CN"/>
                    </w:rPr>
                    <w:t>HW02、HW03、HW04、HW05、HW06、HW08、HW09、HW11、HW12、HW13、HW14、HW16、HW17、HW18、HW19、HW29、HW32、HW37、HW39、HW46、HW47、HW48、HW49、HW50</w:t>
                  </w:r>
                </w:p>
              </w:tc>
              <w:tc>
                <w:tcPr>
                  <w:tcW w:w="900" w:type="dxa"/>
                  <w:vAlign w:val="center"/>
                </w:tcPr>
                <w:p w14:paraId="35FCA6DD">
                  <w:pPr>
                    <w:keepNext w:val="0"/>
                    <w:keepLines w:val="0"/>
                    <w:suppressLineNumbers w:val="0"/>
                    <w:spacing w:before="0" w:beforeAutospacing="0" w:after="0" w:afterAutospacing="0" w:line="240" w:lineRule="auto"/>
                    <w:ind w:left="0" w:right="0"/>
                    <w:jc w:val="center"/>
                    <w:rPr>
                      <w:rFonts w:hint="default" w:ascii="Times New Roman" w:hAnsi="Times New Roman" w:eastAsia="宋体" w:cs="Times New Roman"/>
                      <w:color w:val="auto"/>
                      <w:szCs w:val="21"/>
                    </w:rPr>
                  </w:pPr>
                  <w:r>
                    <w:rPr>
                      <w:rFonts w:hint="default" w:ascii="Times New Roman" w:hAnsi="Times New Roman" w:eastAsia="宋体" w:cs="Times New Roman"/>
                      <w:b w:val="0"/>
                      <w:bCs w:val="0"/>
                      <w:color w:val="auto"/>
                      <w:sz w:val="21"/>
                      <w:szCs w:val="21"/>
                      <w:lang w:val="en-US" w:eastAsia="zh-CN"/>
                    </w:rPr>
                    <w:t>5年</w:t>
                  </w:r>
                </w:p>
              </w:tc>
              <w:tc>
                <w:tcPr>
                  <w:tcW w:w="1970" w:type="dxa"/>
                  <w:vAlign w:val="center"/>
                </w:tcPr>
                <w:p w14:paraId="389A2CA6">
                  <w:pPr>
                    <w:keepNext w:val="0"/>
                    <w:keepLines w:val="0"/>
                    <w:suppressLineNumbers w:val="0"/>
                    <w:spacing w:before="0" w:beforeAutospacing="0" w:after="0" w:afterAutospacing="0" w:line="240" w:lineRule="auto"/>
                    <w:ind w:left="0" w:right="0"/>
                    <w:jc w:val="center"/>
                    <w:rPr>
                      <w:rFonts w:hint="default" w:ascii="Times New Roman" w:hAnsi="Times New Roman" w:eastAsia="宋体" w:cs="Times New Roman"/>
                      <w:color w:val="auto"/>
                      <w:szCs w:val="21"/>
                    </w:rPr>
                  </w:pPr>
                  <w:r>
                    <w:rPr>
                      <w:rFonts w:hint="default" w:ascii="Times New Roman" w:hAnsi="Times New Roman" w:eastAsia="宋体" w:cs="Times New Roman"/>
                      <w:b w:val="0"/>
                      <w:bCs w:val="0"/>
                      <w:color w:val="auto"/>
                      <w:sz w:val="21"/>
                      <w:szCs w:val="21"/>
                      <w:lang w:val="en-US" w:eastAsia="zh-CN"/>
                    </w:rPr>
                    <w:t>2021年12月13日</w:t>
                  </w:r>
                </w:p>
              </w:tc>
            </w:tr>
            <w:tr w14:paraId="74877F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657" w:type="dxa"/>
                  <w:vAlign w:val="center"/>
                </w:tcPr>
                <w:p w14:paraId="2916992D">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rPr>
                    <w:t>2</w:t>
                  </w:r>
                </w:p>
              </w:tc>
              <w:tc>
                <w:tcPr>
                  <w:tcW w:w="1605" w:type="dxa"/>
                  <w:vAlign w:val="center"/>
                </w:tcPr>
                <w:p w14:paraId="62FF1548">
                  <w:pPr>
                    <w:keepNext w:val="0"/>
                    <w:keepLines w:val="0"/>
                    <w:suppressLineNumbers w:val="0"/>
                    <w:spacing w:before="0" w:beforeAutospacing="0" w:after="0" w:afterAutospacing="0" w:line="240" w:lineRule="auto"/>
                    <w:ind w:left="0" w:right="0"/>
                    <w:jc w:val="center"/>
                    <w:rPr>
                      <w:rFonts w:hint="default" w:ascii="Times New Roman" w:hAnsi="Times New Roman" w:eastAsia="宋体" w:cs="Times New Roman"/>
                      <w:color w:val="auto"/>
                      <w:szCs w:val="21"/>
                    </w:rPr>
                  </w:pPr>
                  <w:r>
                    <w:rPr>
                      <w:rFonts w:hint="default" w:ascii="Times New Roman" w:hAnsi="Times New Roman" w:eastAsia="宋体" w:cs="Times New Roman"/>
                      <w:b w:val="0"/>
                      <w:bCs w:val="0"/>
                      <w:color w:val="auto"/>
                      <w:sz w:val="21"/>
                      <w:szCs w:val="21"/>
                      <w:lang w:val="en-US" w:eastAsia="zh-CN"/>
                    </w:rPr>
                    <w:t>杭州立佳环境服务有限公司</w:t>
                  </w:r>
                </w:p>
              </w:tc>
              <w:tc>
                <w:tcPr>
                  <w:tcW w:w="1605" w:type="dxa"/>
                  <w:vAlign w:val="center"/>
                </w:tcPr>
                <w:p w14:paraId="6EE0655D">
                  <w:pPr>
                    <w:keepNext w:val="0"/>
                    <w:keepLines w:val="0"/>
                    <w:suppressLineNumbers w:val="0"/>
                    <w:spacing w:before="0" w:beforeAutospacing="0" w:after="0" w:afterAutospacing="0" w:line="240" w:lineRule="auto"/>
                    <w:ind w:left="0" w:right="0"/>
                    <w:jc w:val="center"/>
                    <w:rPr>
                      <w:rFonts w:hint="default" w:ascii="Times New Roman" w:hAnsi="Times New Roman" w:eastAsia="宋体" w:cs="Times New Roman"/>
                      <w:color w:val="auto"/>
                      <w:szCs w:val="21"/>
                    </w:rPr>
                  </w:pPr>
                  <w:r>
                    <w:rPr>
                      <w:rFonts w:hint="default" w:ascii="Times New Roman" w:hAnsi="Times New Roman" w:eastAsia="宋体" w:cs="Times New Roman"/>
                      <w:b w:val="0"/>
                      <w:bCs w:val="0"/>
                      <w:color w:val="auto"/>
                      <w:sz w:val="21"/>
                      <w:szCs w:val="21"/>
                      <w:lang w:val="en-US" w:eastAsia="zh-CN"/>
                    </w:rPr>
                    <w:t>3301000323</w:t>
                  </w:r>
                </w:p>
              </w:tc>
              <w:tc>
                <w:tcPr>
                  <w:tcW w:w="6705" w:type="dxa"/>
                  <w:vAlign w:val="center"/>
                </w:tcPr>
                <w:p w14:paraId="319D8471">
                  <w:pPr>
                    <w:keepNext w:val="0"/>
                    <w:keepLines w:val="0"/>
                    <w:suppressLineNumbers w:val="0"/>
                    <w:spacing w:before="0" w:beforeAutospacing="0" w:after="0" w:afterAutospacing="0" w:line="240" w:lineRule="auto"/>
                    <w:ind w:left="0" w:right="0"/>
                    <w:jc w:val="center"/>
                    <w:rPr>
                      <w:rFonts w:hint="default" w:ascii="Times New Roman" w:hAnsi="Times New Roman" w:eastAsia="宋体" w:cs="Times New Roman"/>
                      <w:color w:val="auto"/>
                      <w:szCs w:val="21"/>
                    </w:rPr>
                  </w:pPr>
                  <w:r>
                    <w:rPr>
                      <w:rFonts w:hint="default" w:ascii="Times New Roman" w:hAnsi="Times New Roman" w:eastAsia="宋体" w:cs="Times New Roman"/>
                      <w:b w:val="0"/>
                      <w:bCs w:val="0"/>
                      <w:color w:val="auto"/>
                      <w:sz w:val="21"/>
                      <w:szCs w:val="21"/>
                      <w:lang w:val="en-US" w:eastAsia="zh-CN"/>
                    </w:rPr>
                    <w:t>HW02、HW03、HW04、HW05、HW06、HW07、HW08、HW09、HW11、HW12、HW13、HW14、HW16、HW17、HW18、HW19、HW20、HW21、HW22、HW23、HW24、HW25、HW26、HW27、HW28、HW29、HW30、HW31、HW32、HW33、HW34、HW36、HW37、HW38、HW39、HW40、HW45、HW46、HW47、HW48、HW49、HW50</w:t>
                  </w:r>
                </w:p>
              </w:tc>
              <w:tc>
                <w:tcPr>
                  <w:tcW w:w="900" w:type="dxa"/>
                  <w:vAlign w:val="center"/>
                </w:tcPr>
                <w:p w14:paraId="02EEAD02">
                  <w:pPr>
                    <w:keepNext w:val="0"/>
                    <w:keepLines w:val="0"/>
                    <w:suppressLineNumbers w:val="0"/>
                    <w:spacing w:before="0" w:beforeAutospacing="0" w:after="0" w:afterAutospacing="0" w:line="240" w:lineRule="auto"/>
                    <w:ind w:left="0" w:right="0"/>
                    <w:jc w:val="center"/>
                    <w:rPr>
                      <w:rFonts w:hint="default" w:ascii="Times New Roman" w:hAnsi="Times New Roman" w:eastAsia="宋体" w:cs="Times New Roman"/>
                      <w:color w:val="auto"/>
                      <w:szCs w:val="21"/>
                    </w:rPr>
                  </w:pPr>
                  <w:r>
                    <w:rPr>
                      <w:rFonts w:hint="default" w:ascii="Times New Roman" w:hAnsi="Times New Roman" w:eastAsia="宋体" w:cs="Times New Roman"/>
                      <w:b w:val="0"/>
                      <w:bCs w:val="0"/>
                      <w:color w:val="auto"/>
                      <w:sz w:val="21"/>
                      <w:szCs w:val="21"/>
                      <w:lang w:val="en-US" w:eastAsia="zh-CN"/>
                    </w:rPr>
                    <w:t>5年</w:t>
                  </w:r>
                </w:p>
              </w:tc>
              <w:tc>
                <w:tcPr>
                  <w:tcW w:w="1970" w:type="dxa"/>
                  <w:vAlign w:val="center"/>
                </w:tcPr>
                <w:p w14:paraId="196FE3EB">
                  <w:pPr>
                    <w:keepNext w:val="0"/>
                    <w:keepLines w:val="0"/>
                    <w:suppressLineNumbers w:val="0"/>
                    <w:spacing w:before="0" w:beforeAutospacing="0" w:after="0" w:afterAutospacing="0" w:line="240" w:lineRule="auto"/>
                    <w:ind w:left="0" w:right="0"/>
                    <w:jc w:val="center"/>
                    <w:rPr>
                      <w:rFonts w:hint="default" w:ascii="Times New Roman" w:hAnsi="Times New Roman" w:eastAsia="宋体" w:cs="Times New Roman"/>
                      <w:color w:val="auto"/>
                      <w:szCs w:val="21"/>
                    </w:rPr>
                  </w:pPr>
                  <w:r>
                    <w:rPr>
                      <w:rFonts w:hint="default" w:ascii="Times New Roman" w:hAnsi="Times New Roman" w:eastAsia="宋体" w:cs="Times New Roman"/>
                      <w:b w:val="0"/>
                      <w:bCs w:val="0"/>
                      <w:color w:val="auto"/>
                      <w:sz w:val="21"/>
                      <w:szCs w:val="21"/>
                      <w:lang w:val="en-US" w:eastAsia="zh-CN"/>
                    </w:rPr>
                    <w:t>2022年4月14日</w:t>
                  </w:r>
                </w:p>
              </w:tc>
            </w:tr>
          </w:tbl>
          <w:p w14:paraId="0D22B813">
            <w:pPr>
              <w:keepNext w:val="0"/>
              <w:keepLines w:val="0"/>
              <w:suppressLineNumbers w:val="0"/>
              <w:spacing w:before="0" w:beforeAutospacing="0" w:after="0" w:afterAutospacing="0" w:line="360" w:lineRule="auto"/>
              <w:ind w:left="0" w:right="0" w:firstLine="480" w:firstLineChars="200"/>
              <w:rPr>
                <w:rFonts w:hint="eastAsia" w:ascii="Times New Roman" w:hAnsi="Times New Roman" w:eastAsia="宋体" w:cs="Times New Roman"/>
                <w:color w:val="auto"/>
                <w:sz w:val="24"/>
              </w:rPr>
            </w:pPr>
            <w:r>
              <w:rPr>
                <w:rFonts w:hint="eastAsia" w:ascii="Times New Roman" w:hAnsi="Times New Roman" w:eastAsia="宋体" w:cs="Times New Roman"/>
                <w:color w:val="auto"/>
                <w:sz w:val="24"/>
              </w:rPr>
              <w:t>综上所述，只要企业落实好各类固体废物，特别是危险废物的收集、贮存、运输、利用、处置等各环节污染防治措施及环境管理措施，以</w:t>
            </w:r>
            <w:r>
              <w:rPr>
                <w:rFonts w:hint="eastAsia" w:ascii="Times New Roman" w:hAnsi="Times New Roman" w:eastAsia="宋体" w:cs="Times New Roman"/>
                <w:color w:val="auto"/>
                <w:sz w:val="24"/>
                <w:lang w:eastAsia="zh-CN"/>
              </w:rPr>
              <w:t>“</w:t>
            </w:r>
            <w:r>
              <w:rPr>
                <w:rFonts w:hint="eastAsia" w:ascii="Times New Roman" w:hAnsi="Times New Roman" w:eastAsia="宋体" w:cs="Times New Roman"/>
                <w:color w:val="auto"/>
                <w:sz w:val="24"/>
              </w:rPr>
              <w:t>减量化、资源化、无害化</w:t>
            </w:r>
            <w:r>
              <w:rPr>
                <w:rFonts w:hint="eastAsia" w:ascii="Times New Roman" w:hAnsi="Times New Roman" w:eastAsia="宋体" w:cs="Times New Roman"/>
                <w:color w:val="auto"/>
                <w:sz w:val="24"/>
                <w:lang w:eastAsia="zh-CN"/>
              </w:rPr>
              <w:t>”</w:t>
            </w:r>
            <w:r>
              <w:rPr>
                <w:rFonts w:hint="eastAsia" w:ascii="Times New Roman" w:hAnsi="Times New Roman" w:eastAsia="宋体" w:cs="Times New Roman"/>
                <w:color w:val="auto"/>
                <w:sz w:val="24"/>
              </w:rPr>
              <w:t>为基本原则，加强管理，及时处置，则固体废物对环境的影响不大。</w:t>
            </w:r>
          </w:p>
          <w:p w14:paraId="6CC75A82">
            <w:pPr>
              <w:keepNext w:val="0"/>
              <w:keepLines w:val="0"/>
              <w:suppressLineNumbers w:val="0"/>
              <w:spacing w:before="0" w:beforeAutospacing="0" w:after="0" w:afterAutospacing="0" w:line="360" w:lineRule="auto"/>
              <w:ind w:left="0" w:right="0" w:firstLine="480" w:firstLineChars="200"/>
              <w:rPr>
                <w:rFonts w:hint="eastAsia" w:ascii="Times New Roman" w:hAnsi="Times New Roman" w:eastAsia="宋体" w:cs="Times New Roman"/>
                <w:color w:val="auto"/>
                <w:sz w:val="24"/>
              </w:rPr>
            </w:pPr>
          </w:p>
          <w:p w14:paraId="64C21BC0">
            <w:pPr>
              <w:keepNext w:val="0"/>
              <w:keepLines w:val="0"/>
              <w:suppressLineNumbers w:val="0"/>
              <w:spacing w:before="0" w:beforeAutospacing="0" w:after="0" w:afterAutospacing="0" w:line="360" w:lineRule="auto"/>
              <w:ind w:left="0" w:right="0" w:firstLine="480" w:firstLineChars="200"/>
              <w:rPr>
                <w:rFonts w:hint="eastAsia" w:ascii="Times New Roman" w:hAnsi="Times New Roman" w:eastAsia="宋体" w:cs="Times New Roman"/>
                <w:color w:val="auto"/>
                <w:sz w:val="24"/>
              </w:rPr>
            </w:pPr>
          </w:p>
          <w:p w14:paraId="624AA18F">
            <w:pPr>
              <w:keepNext w:val="0"/>
              <w:keepLines w:val="0"/>
              <w:suppressLineNumbers w:val="0"/>
              <w:spacing w:before="0" w:beforeAutospacing="0" w:after="0" w:afterAutospacing="0" w:line="360" w:lineRule="auto"/>
              <w:ind w:left="0" w:right="0" w:firstLine="480" w:firstLineChars="200"/>
              <w:rPr>
                <w:rFonts w:hint="eastAsia" w:ascii="Times New Roman" w:hAnsi="Times New Roman" w:eastAsia="宋体" w:cs="Times New Roman"/>
                <w:color w:val="auto"/>
                <w:sz w:val="24"/>
              </w:rPr>
            </w:pPr>
          </w:p>
          <w:p w14:paraId="712B1CFB">
            <w:pPr>
              <w:keepNext w:val="0"/>
              <w:keepLines w:val="0"/>
              <w:suppressLineNumbers w:val="0"/>
              <w:spacing w:before="0" w:beforeAutospacing="0" w:after="0" w:afterAutospacing="0" w:line="360" w:lineRule="auto"/>
              <w:ind w:left="0" w:right="0" w:firstLine="480" w:firstLineChars="200"/>
              <w:rPr>
                <w:rFonts w:hint="eastAsia" w:ascii="Times New Roman" w:hAnsi="Times New Roman" w:eastAsia="宋体" w:cs="Times New Roman"/>
                <w:color w:val="auto"/>
                <w:sz w:val="24"/>
              </w:rPr>
            </w:pPr>
          </w:p>
          <w:p w14:paraId="376F6174">
            <w:pPr>
              <w:keepNext w:val="0"/>
              <w:keepLines w:val="0"/>
              <w:suppressLineNumbers w:val="0"/>
              <w:spacing w:before="0" w:beforeAutospacing="0" w:after="0" w:afterAutospacing="0" w:line="360" w:lineRule="auto"/>
              <w:ind w:left="0" w:right="0" w:firstLine="480" w:firstLineChars="200"/>
              <w:rPr>
                <w:rFonts w:hint="eastAsia" w:ascii="Times New Roman" w:hAnsi="Times New Roman" w:eastAsia="宋体" w:cs="Times New Roman"/>
                <w:color w:val="auto"/>
                <w:sz w:val="24"/>
              </w:rPr>
            </w:pPr>
          </w:p>
          <w:p w14:paraId="38C9C5FC">
            <w:pPr>
              <w:keepNext w:val="0"/>
              <w:keepLines w:val="0"/>
              <w:suppressLineNumbers w:val="0"/>
              <w:spacing w:before="0" w:beforeAutospacing="0" w:after="0" w:afterAutospacing="0" w:line="360" w:lineRule="auto"/>
              <w:ind w:left="0" w:right="0" w:firstLine="480" w:firstLineChars="200"/>
              <w:rPr>
                <w:rFonts w:hint="eastAsia" w:ascii="Times New Roman" w:hAnsi="Times New Roman" w:eastAsia="宋体" w:cs="Times New Roman"/>
                <w:color w:val="auto"/>
                <w:sz w:val="24"/>
              </w:rPr>
            </w:pPr>
          </w:p>
          <w:p w14:paraId="234756CD">
            <w:pPr>
              <w:keepNext w:val="0"/>
              <w:keepLines w:val="0"/>
              <w:suppressLineNumbers w:val="0"/>
              <w:spacing w:before="0" w:beforeAutospacing="0" w:after="0" w:afterAutospacing="0" w:line="360" w:lineRule="auto"/>
              <w:ind w:left="0" w:right="0" w:firstLine="480" w:firstLineChars="200"/>
              <w:rPr>
                <w:rFonts w:hint="eastAsia" w:ascii="Times New Roman" w:hAnsi="Times New Roman" w:eastAsia="宋体" w:cs="Times New Roman"/>
                <w:color w:val="auto"/>
                <w:sz w:val="24"/>
              </w:rPr>
            </w:pPr>
          </w:p>
          <w:p w14:paraId="097440F1">
            <w:pPr>
              <w:keepNext w:val="0"/>
              <w:keepLines w:val="0"/>
              <w:suppressLineNumbers w:val="0"/>
              <w:spacing w:before="0" w:beforeAutospacing="0" w:after="0" w:afterAutospacing="0" w:line="360" w:lineRule="auto"/>
              <w:ind w:left="0" w:right="0" w:firstLine="480" w:firstLineChars="200"/>
              <w:rPr>
                <w:rFonts w:hint="eastAsia" w:ascii="Times New Roman" w:hAnsi="Times New Roman" w:eastAsia="宋体" w:cs="Times New Roman"/>
                <w:color w:val="auto"/>
                <w:sz w:val="24"/>
              </w:rPr>
            </w:pPr>
          </w:p>
          <w:p w14:paraId="77F4B5C1">
            <w:pPr>
              <w:keepNext w:val="0"/>
              <w:keepLines w:val="0"/>
              <w:suppressLineNumbers w:val="0"/>
              <w:spacing w:before="0" w:beforeAutospacing="0" w:after="0" w:afterAutospacing="0" w:line="360" w:lineRule="auto"/>
              <w:ind w:left="0" w:right="0"/>
              <w:rPr>
                <w:rFonts w:hint="default" w:ascii="Times New Roman" w:hAnsi="Times New Roman" w:eastAsia="宋体" w:cs="Times New Roman"/>
                <w:color w:val="auto"/>
                <w:sz w:val="24"/>
              </w:rPr>
            </w:pPr>
          </w:p>
        </w:tc>
      </w:tr>
    </w:tbl>
    <w:p w14:paraId="77D4B838">
      <w:pPr>
        <w:rPr>
          <w:color w:val="auto"/>
        </w:rPr>
        <w:sectPr>
          <w:pgSz w:w="16838" w:h="11906" w:orient="landscape"/>
          <w:pgMar w:top="1417" w:right="1417" w:bottom="1417" w:left="1417" w:header="851" w:footer="992" w:gutter="0"/>
          <w:pgBorders>
            <w:top w:val="none" w:sz="0" w:space="0"/>
            <w:left w:val="none" w:sz="0" w:space="0"/>
            <w:bottom w:val="none" w:sz="0" w:space="0"/>
            <w:right w:val="none" w:sz="0" w:space="0"/>
          </w:pgBorders>
          <w:cols w:space="425" w:num="1"/>
          <w:docGrid w:type="lines" w:linePitch="312" w:charSpace="0"/>
        </w:sectPr>
      </w:pPr>
    </w:p>
    <w:tbl>
      <w:tblPr>
        <w:tblStyle w:val="23"/>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89"/>
        <w:gridCol w:w="8573"/>
      </w:tblGrid>
      <w:tr w14:paraId="115E0C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270" w:type="pct"/>
            <w:vAlign w:val="center"/>
          </w:tcPr>
          <w:p w14:paraId="36AC31E8">
            <w:pPr>
              <w:keepNext w:val="0"/>
              <w:keepLines w:val="0"/>
              <w:suppressLineNumbers w:val="0"/>
              <w:spacing w:before="0" w:beforeAutospacing="0" w:after="0" w:afterAutospacing="0"/>
              <w:ind w:left="0" w:right="0"/>
              <w:jc w:val="center"/>
              <w:rPr>
                <w:rFonts w:hint="default" w:ascii="Times New Roman" w:hAnsi="Times New Roman" w:eastAsia="宋体" w:cs="Times New Roman"/>
                <w:b/>
                <w:bCs/>
                <w:color w:val="auto"/>
                <w:sz w:val="24"/>
              </w:rPr>
            </w:pPr>
            <w:r>
              <w:rPr>
                <w:rFonts w:hint="eastAsia" w:ascii="Times New Roman" w:hAnsi="Times New Roman" w:eastAsia="宋体" w:cs="Times New Roman"/>
                <w:b/>
                <w:bCs/>
                <w:color w:val="auto"/>
                <w:sz w:val="24"/>
              </w:rPr>
              <w:t>运营期环境影响和保护施</w:t>
            </w:r>
          </w:p>
        </w:tc>
        <w:tc>
          <w:tcPr>
            <w:tcW w:w="4729" w:type="pct"/>
          </w:tcPr>
          <w:p w14:paraId="07036AF9">
            <w:pPr>
              <w:keepNext w:val="0"/>
              <w:keepLines w:val="0"/>
              <w:suppressLineNumbers w:val="0"/>
              <w:spacing w:before="0" w:beforeAutospacing="0" w:after="0" w:afterAutospacing="0" w:line="360" w:lineRule="auto"/>
              <w:ind w:left="0" w:right="0"/>
              <w:rPr>
                <w:rFonts w:hint="default" w:ascii="Times New Roman" w:hAnsi="Times New Roman" w:eastAsia="宋体" w:cs="Times New Roman"/>
                <w:b/>
                <w:bCs/>
                <w:color w:val="auto"/>
                <w:sz w:val="24"/>
              </w:rPr>
            </w:pPr>
            <w:r>
              <w:rPr>
                <w:rFonts w:hint="eastAsia" w:ascii="Times New Roman" w:hAnsi="Times New Roman" w:eastAsia="宋体" w:cs="Times New Roman"/>
                <w:b/>
                <w:bCs/>
                <w:color w:val="auto"/>
                <w:sz w:val="24"/>
              </w:rPr>
              <w:t>4.2.5地下水、土壤</w:t>
            </w:r>
          </w:p>
          <w:p w14:paraId="292B9632">
            <w:pPr>
              <w:keepNext w:val="0"/>
              <w:keepLines w:val="0"/>
              <w:suppressLineNumbers w:val="0"/>
              <w:spacing w:before="0" w:beforeAutospacing="0" w:after="0" w:afterAutospacing="0" w:line="360" w:lineRule="auto"/>
              <w:ind w:left="0" w:right="0" w:firstLine="480" w:firstLineChars="200"/>
              <w:rPr>
                <w:rFonts w:hint="default" w:ascii="Times New Roman" w:hAnsi="Times New Roman" w:eastAsia="宋体" w:cs="Times New Roman"/>
                <w:color w:val="auto"/>
                <w:sz w:val="24"/>
              </w:rPr>
            </w:pPr>
            <w:r>
              <w:rPr>
                <w:rFonts w:hint="eastAsia" w:ascii="Times New Roman" w:hAnsi="Times New Roman" w:eastAsia="宋体" w:cs="Times New Roman"/>
                <w:color w:val="auto"/>
                <w:sz w:val="24"/>
              </w:rPr>
              <w:t>根据《建设项目环境影响报告表编制技术指南（污染影响类）》（试行）要求，本项目可不开展地下水、土壤环境影响评价工作。</w:t>
            </w:r>
          </w:p>
          <w:p w14:paraId="082DB770">
            <w:pPr>
              <w:keepNext w:val="0"/>
              <w:keepLines w:val="0"/>
              <w:suppressLineNumbers w:val="0"/>
              <w:spacing w:before="0" w:beforeAutospacing="0" w:after="0" w:afterAutospacing="0" w:line="360" w:lineRule="auto"/>
              <w:ind w:left="0" w:right="0" w:firstLine="480" w:firstLineChars="200"/>
              <w:rPr>
                <w:rFonts w:hint="default" w:ascii="Times New Roman" w:hAnsi="Times New Roman" w:eastAsia="宋体" w:cs="Times New Roman"/>
                <w:color w:val="auto"/>
                <w:sz w:val="24"/>
              </w:rPr>
            </w:pPr>
            <w:r>
              <w:rPr>
                <w:rFonts w:hint="default" w:ascii="Times New Roman" w:hAnsi="Times New Roman" w:eastAsia="宋体" w:cs="Times New Roman"/>
                <w:color w:val="auto"/>
                <w:sz w:val="24"/>
              </w:rPr>
              <w:t>为了防止建设项目</w:t>
            </w:r>
            <w:r>
              <w:rPr>
                <w:rFonts w:hint="eastAsia" w:ascii="Times New Roman" w:hAnsi="Times New Roman" w:eastAsia="宋体" w:cs="Times New Roman"/>
                <w:color w:val="auto"/>
                <w:sz w:val="24"/>
              </w:rPr>
              <w:t>化学品及</w:t>
            </w:r>
            <w:r>
              <w:rPr>
                <w:rFonts w:hint="default" w:ascii="Times New Roman" w:hAnsi="Times New Roman" w:eastAsia="宋体" w:cs="Times New Roman"/>
                <w:color w:val="auto"/>
                <w:sz w:val="24"/>
              </w:rPr>
              <w:t>危废的泄漏对地下水和土壤造成污染，对厂区内可能泄漏污染物的污染区地面进行防渗处理，并及时地将泄漏、渗漏的污染物收集起来进行处理，可有效防止洒落地面的污染物渗入地下。根据国家相关标准和规范，针对</w:t>
            </w:r>
            <w:r>
              <w:rPr>
                <w:rFonts w:hint="eastAsia" w:ascii="Times New Roman" w:hAnsi="Times New Roman" w:eastAsia="宋体" w:cs="Times New Roman"/>
                <w:color w:val="auto"/>
                <w:sz w:val="24"/>
              </w:rPr>
              <w:t>不同</w:t>
            </w:r>
            <w:r>
              <w:rPr>
                <w:rFonts w:hint="default" w:ascii="Times New Roman" w:hAnsi="Times New Roman" w:eastAsia="宋体" w:cs="Times New Roman"/>
                <w:color w:val="auto"/>
                <w:sz w:val="24"/>
              </w:rPr>
              <w:t>的污染防治区域采用不同的防渗措施，</w:t>
            </w:r>
            <w:r>
              <w:rPr>
                <w:rFonts w:hint="eastAsia" w:ascii="Times New Roman" w:hAnsi="Times New Roman" w:eastAsia="宋体" w:cs="Times New Roman"/>
                <w:color w:val="auto"/>
                <w:sz w:val="24"/>
              </w:rPr>
              <w:t>且</w:t>
            </w:r>
            <w:r>
              <w:rPr>
                <w:rFonts w:hint="default" w:ascii="Times New Roman" w:hAnsi="Times New Roman" w:eastAsia="宋体" w:cs="Times New Roman"/>
                <w:color w:val="auto"/>
                <w:sz w:val="24"/>
              </w:rPr>
              <w:t>根据实际情况在满足防渗标准的前提下作必要调整。</w:t>
            </w:r>
          </w:p>
          <w:p w14:paraId="5CE2EACC">
            <w:pPr>
              <w:keepNext w:val="0"/>
              <w:keepLines w:val="0"/>
              <w:suppressLineNumbers w:val="0"/>
              <w:spacing w:before="0" w:beforeAutospacing="0" w:after="0" w:afterAutospacing="0"/>
              <w:ind w:left="0" w:right="0"/>
              <w:jc w:val="center"/>
              <w:rPr>
                <w:rFonts w:hint="default" w:ascii="Times New Roman" w:hAnsi="Times New Roman" w:eastAsia="宋体" w:cs="Times New Roman"/>
                <w:b/>
                <w:bCs/>
                <w:color w:val="auto"/>
              </w:rPr>
            </w:pPr>
            <w:r>
              <w:rPr>
                <w:rFonts w:hint="default" w:ascii="Times New Roman" w:hAnsi="Times New Roman" w:eastAsia="宋体" w:cs="Times New Roman"/>
                <w:b/>
                <w:bCs/>
                <w:color w:val="auto"/>
              </w:rPr>
              <w:t>表4-</w:t>
            </w:r>
            <w:r>
              <w:rPr>
                <w:rFonts w:hint="eastAsia" w:ascii="Times New Roman" w:hAnsi="Times New Roman" w:eastAsia="宋体" w:cs="Times New Roman"/>
                <w:b/>
                <w:bCs/>
                <w:color w:val="auto"/>
              </w:rPr>
              <w:t>2</w:t>
            </w:r>
            <w:r>
              <w:rPr>
                <w:rFonts w:hint="eastAsia" w:ascii="Times New Roman" w:hAnsi="Times New Roman" w:eastAsia="宋体" w:cs="Times New Roman"/>
                <w:b/>
                <w:bCs/>
                <w:color w:val="auto"/>
                <w:lang w:val="en-US" w:eastAsia="zh-CN"/>
              </w:rPr>
              <w:t>8</w:t>
            </w:r>
            <w:r>
              <w:rPr>
                <w:rFonts w:hint="default" w:ascii="Times New Roman" w:hAnsi="Times New Roman" w:eastAsia="宋体" w:cs="Times New Roman"/>
                <w:b/>
                <w:bCs/>
                <w:color w:val="auto"/>
              </w:rPr>
              <w:t xml:space="preserve">  防渗分区识别结果及要求</w:t>
            </w:r>
          </w:p>
          <w:tbl>
            <w:tblPr>
              <w:tblStyle w:val="23"/>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85"/>
              <w:gridCol w:w="2455"/>
              <w:gridCol w:w="1298"/>
              <w:gridCol w:w="3909"/>
            </w:tblGrid>
            <w:tr w14:paraId="07A35F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410" w:type="pct"/>
                  <w:vAlign w:val="center"/>
                </w:tcPr>
                <w:p w14:paraId="08568D46">
                  <w:pPr>
                    <w:keepNext w:val="0"/>
                    <w:keepLines w:val="0"/>
                    <w:suppressLineNumbers w:val="0"/>
                    <w:spacing w:before="0" w:beforeAutospacing="0" w:after="0" w:afterAutospacing="0"/>
                    <w:ind w:left="0" w:right="0"/>
                    <w:jc w:val="center"/>
                    <w:rPr>
                      <w:rFonts w:hint="default" w:ascii="Times New Roman" w:hAnsi="Times New Roman" w:eastAsia="宋体" w:cs="Times New Roman"/>
                      <w:b/>
                      <w:bCs/>
                      <w:color w:val="auto"/>
                      <w:szCs w:val="21"/>
                    </w:rPr>
                  </w:pPr>
                  <w:r>
                    <w:rPr>
                      <w:rFonts w:hint="default" w:ascii="Times New Roman" w:hAnsi="Times New Roman" w:eastAsia="宋体" w:cs="Times New Roman"/>
                      <w:b/>
                      <w:bCs/>
                      <w:color w:val="auto"/>
                      <w:szCs w:val="21"/>
                    </w:rPr>
                    <w:t>序号</w:t>
                  </w:r>
                </w:p>
              </w:tc>
              <w:tc>
                <w:tcPr>
                  <w:tcW w:w="1470" w:type="pct"/>
                  <w:vAlign w:val="center"/>
                </w:tcPr>
                <w:p w14:paraId="7B765EE3">
                  <w:pPr>
                    <w:keepNext w:val="0"/>
                    <w:keepLines w:val="0"/>
                    <w:suppressLineNumbers w:val="0"/>
                    <w:spacing w:before="0" w:beforeAutospacing="0" w:after="0" w:afterAutospacing="0"/>
                    <w:ind w:left="0" w:right="0"/>
                    <w:jc w:val="center"/>
                    <w:rPr>
                      <w:rFonts w:hint="default" w:ascii="Times New Roman" w:hAnsi="Times New Roman" w:eastAsia="宋体" w:cs="Times New Roman"/>
                      <w:b/>
                      <w:bCs/>
                      <w:color w:val="auto"/>
                      <w:szCs w:val="21"/>
                    </w:rPr>
                  </w:pPr>
                  <w:r>
                    <w:rPr>
                      <w:rFonts w:hint="default" w:ascii="Times New Roman" w:hAnsi="Times New Roman" w:eastAsia="宋体" w:cs="Times New Roman"/>
                      <w:b/>
                      <w:bCs/>
                      <w:color w:val="auto"/>
                      <w:szCs w:val="21"/>
                    </w:rPr>
                    <w:t>区域</w:t>
                  </w:r>
                </w:p>
              </w:tc>
              <w:tc>
                <w:tcPr>
                  <w:tcW w:w="777" w:type="pct"/>
                  <w:vAlign w:val="center"/>
                </w:tcPr>
                <w:p w14:paraId="07232DF8">
                  <w:pPr>
                    <w:keepNext w:val="0"/>
                    <w:keepLines w:val="0"/>
                    <w:suppressLineNumbers w:val="0"/>
                    <w:spacing w:before="0" w:beforeAutospacing="0" w:after="0" w:afterAutospacing="0"/>
                    <w:ind w:left="0" w:right="0"/>
                    <w:jc w:val="center"/>
                    <w:rPr>
                      <w:rFonts w:hint="default" w:ascii="Times New Roman" w:hAnsi="Times New Roman" w:eastAsia="宋体" w:cs="Times New Roman"/>
                      <w:b/>
                      <w:bCs/>
                      <w:color w:val="auto"/>
                      <w:szCs w:val="21"/>
                    </w:rPr>
                  </w:pPr>
                  <w:r>
                    <w:rPr>
                      <w:rFonts w:hint="default" w:ascii="Times New Roman" w:hAnsi="Times New Roman" w:eastAsia="宋体" w:cs="Times New Roman"/>
                      <w:b/>
                      <w:bCs/>
                      <w:color w:val="auto"/>
                      <w:szCs w:val="21"/>
                    </w:rPr>
                    <w:t>识别结果</w:t>
                  </w:r>
                </w:p>
              </w:tc>
              <w:tc>
                <w:tcPr>
                  <w:tcW w:w="2341" w:type="pct"/>
                  <w:vAlign w:val="center"/>
                </w:tcPr>
                <w:p w14:paraId="6BA72E2D">
                  <w:pPr>
                    <w:keepNext w:val="0"/>
                    <w:keepLines w:val="0"/>
                    <w:suppressLineNumbers w:val="0"/>
                    <w:spacing w:before="0" w:beforeAutospacing="0" w:after="0" w:afterAutospacing="0"/>
                    <w:ind w:left="0" w:right="0"/>
                    <w:jc w:val="center"/>
                    <w:rPr>
                      <w:rFonts w:hint="default" w:ascii="Times New Roman" w:hAnsi="Times New Roman" w:eastAsia="宋体" w:cs="Times New Roman"/>
                      <w:b/>
                      <w:bCs/>
                      <w:color w:val="auto"/>
                      <w:szCs w:val="21"/>
                    </w:rPr>
                  </w:pPr>
                  <w:r>
                    <w:rPr>
                      <w:rFonts w:hint="default" w:ascii="Times New Roman" w:hAnsi="Times New Roman" w:eastAsia="宋体" w:cs="Times New Roman"/>
                      <w:b/>
                      <w:bCs/>
                      <w:color w:val="auto"/>
                      <w:szCs w:val="21"/>
                    </w:rPr>
                    <w:t>防渗要求</w:t>
                  </w:r>
                </w:p>
              </w:tc>
            </w:tr>
            <w:tr w14:paraId="718879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410" w:type="pct"/>
                  <w:vAlign w:val="center"/>
                </w:tcPr>
                <w:p w14:paraId="2187DBE8">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rPr>
                    <w:t>1</w:t>
                  </w:r>
                </w:p>
              </w:tc>
              <w:tc>
                <w:tcPr>
                  <w:tcW w:w="1470" w:type="pct"/>
                  <w:vAlign w:val="center"/>
                </w:tcPr>
                <w:p w14:paraId="44B4A85D">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lang w:val="en-US" w:eastAsia="zh-CN"/>
                    </w:rPr>
                  </w:pPr>
                  <w:r>
                    <w:rPr>
                      <w:rFonts w:hint="default" w:ascii="Times New Roman" w:hAnsi="Times New Roman" w:eastAsia="宋体" w:cs="Times New Roman"/>
                      <w:color w:val="auto"/>
                      <w:szCs w:val="21"/>
                    </w:rPr>
                    <w:t>生产区、</w:t>
                  </w:r>
                  <w:r>
                    <w:rPr>
                      <w:rFonts w:hint="default" w:ascii="Times New Roman" w:hAnsi="Times New Roman" w:eastAsia="宋体" w:cs="Times New Roman"/>
                      <w:color w:val="auto"/>
                      <w:szCs w:val="21"/>
                      <w:lang w:val="en-US" w:eastAsia="zh-CN"/>
                    </w:rPr>
                    <w:t>化学品仓库、</w:t>
                  </w:r>
                </w:p>
                <w:p w14:paraId="1AC2FB25">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lang w:val="en-US" w:eastAsia="zh-CN"/>
                    </w:rPr>
                    <w:t>危废仓库</w:t>
                  </w:r>
                </w:p>
              </w:tc>
              <w:tc>
                <w:tcPr>
                  <w:tcW w:w="777" w:type="pct"/>
                  <w:vAlign w:val="center"/>
                </w:tcPr>
                <w:p w14:paraId="0C3B345A">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rPr>
                    <w:t>重点防渗区</w:t>
                  </w:r>
                </w:p>
              </w:tc>
              <w:tc>
                <w:tcPr>
                  <w:tcW w:w="2341" w:type="pct"/>
                  <w:vAlign w:val="center"/>
                </w:tcPr>
                <w:p w14:paraId="56540D20">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rPr>
                    <w:t>等效黏土防渗层Mb≥6.0m，K≤1×10</w:t>
                  </w:r>
                  <w:r>
                    <w:rPr>
                      <w:rFonts w:hint="default" w:ascii="Times New Roman" w:hAnsi="Times New Roman" w:eastAsia="宋体" w:cs="Times New Roman"/>
                      <w:color w:val="auto"/>
                      <w:szCs w:val="21"/>
                      <w:vertAlign w:val="superscript"/>
                    </w:rPr>
                    <w:t>-7</w:t>
                  </w:r>
                  <w:r>
                    <w:rPr>
                      <w:rFonts w:hint="default" w:ascii="Times New Roman" w:hAnsi="Times New Roman" w:eastAsia="宋体" w:cs="Times New Roman"/>
                      <w:color w:val="auto"/>
                      <w:szCs w:val="21"/>
                    </w:rPr>
                    <w:t>cm/s；或参照GB18598执行</w:t>
                  </w:r>
                </w:p>
              </w:tc>
            </w:tr>
            <w:tr w14:paraId="46F682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410" w:type="pct"/>
                  <w:vAlign w:val="center"/>
                </w:tcPr>
                <w:p w14:paraId="1BB5FDB3">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rPr>
                    <w:t>2</w:t>
                  </w:r>
                </w:p>
              </w:tc>
              <w:tc>
                <w:tcPr>
                  <w:tcW w:w="1470" w:type="pct"/>
                  <w:vAlign w:val="center"/>
                </w:tcPr>
                <w:p w14:paraId="2FD28D7A">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rPr>
                    <w:t>办公区、一般固废仓库</w:t>
                  </w:r>
                </w:p>
              </w:tc>
              <w:tc>
                <w:tcPr>
                  <w:tcW w:w="777" w:type="pct"/>
                  <w:vAlign w:val="center"/>
                </w:tcPr>
                <w:p w14:paraId="3B8A45CE">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rPr>
                    <w:t>一般防渗区</w:t>
                  </w:r>
                </w:p>
              </w:tc>
              <w:tc>
                <w:tcPr>
                  <w:tcW w:w="2341" w:type="pct"/>
                  <w:vAlign w:val="center"/>
                </w:tcPr>
                <w:p w14:paraId="42A4CA6D">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rPr>
                    <w:t>等效黏土防渗层Mb≥1.5m，K≤1×10</w:t>
                  </w:r>
                  <w:r>
                    <w:rPr>
                      <w:rFonts w:hint="default" w:ascii="Times New Roman" w:hAnsi="Times New Roman" w:eastAsia="宋体" w:cs="Times New Roman"/>
                      <w:color w:val="auto"/>
                      <w:szCs w:val="21"/>
                      <w:vertAlign w:val="superscript"/>
                    </w:rPr>
                    <w:t>-7</w:t>
                  </w:r>
                  <w:r>
                    <w:rPr>
                      <w:rFonts w:hint="default" w:ascii="Times New Roman" w:hAnsi="Times New Roman" w:eastAsia="宋体" w:cs="Times New Roman"/>
                      <w:color w:val="auto"/>
                      <w:szCs w:val="21"/>
                    </w:rPr>
                    <w:t>cm/s；或参照GB16889执行</w:t>
                  </w:r>
                </w:p>
              </w:tc>
            </w:tr>
            <w:tr w14:paraId="7A856E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410" w:type="pct"/>
                  <w:vAlign w:val="center"/>
                </w:tcPr>
                <w:p w14:paraId="4389800B">
                  <w:pPr>
                    <w:keepNext w:val="0"/>
                    <w:keepLines w:val="0"/>
                    <w:suppressLineNumbers w:val="0"/>
                    <w:spacing w:before="0" w:beforeAutospacing="0" w:after="0" w:afterAutospacing="0"/>
                    <w:ind w:left="0" w:right="0"/>
                    <w:jc w:val="center"/>
                    <w:rPr>
                      <w:rFonts w:hint="eastAsia" w:ascii="Times New Roman" w:hAnsi="Times New Roman" w:eastAsia="宋体" w:cs="Times New Roman"/>
                      <w:color w:val="auto"/>
                      <w:szCs w:val="21"/>
                      <w:lang w:val="en-US" w:eastAsia="zh-CN"/>
                    </w:rPr>
                  </w:pPr>
                  <w:r>
                    <w:rPr>
                      <w:rFonts w:hint="eastAsia" w:ascii="Times New Roman" w:hAnsi="Times New Roman" w:eastAsia="宋体" w:cs="Times New Roman"/>
                      <w:color w:val="auto"/>
                      <w:szCs w:val="21"/>
                      <w:lang w:val="en-US" w:eastAsia="zh-CN"/>
                    </w:rPr>
                    <w:t>3</w:t>
                  </w:r>
                </w:p>
              </w:tc>
              <w:tc>
                <w:tcPr>
                  <w:tcW w:w="1470" w:type="pct"/>
                  <w:shd w:val="clear" w:color="auto" w:fill="auto"/>
                  <w:vAlign w:val="center"/>
                </w:tcPr>
                <w:p w14:paraId="740E098B">
                  <w:pPr>
                    <w:keepNext w:val="0"/>
                    <w:keepLines w:val="0"/>
                    <w:suppressLineNumbers w:val="0"/>
                    <w:spacing w:before="0" w:beforeAutospacing="0" w:after="0" w:afterAutospacing="0" w:line="240" w:lineRule="auto"/>
                    <w:ind w:left="0" w:leftChars="0" w:right="0" w:rightChars="0"/>
                    <w:jc w:val="center"/>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color w:val="auto"/>
                      <w:sz w:val="21"/>
                      <w:szCs w:val="21"/>
                      <w:highlight w:val="none"/>
                      <w:lang w:val="en-US" w:eastAsia="zh-CN"/>
                    </w:rPr>
                    <w:t>其他</w:t>
                  </w:r>
                </w:p>
              </w:tc>
              <w:tc>
                <w:tcPr>
                  <w:tcW w:w="777" w:type="pct"/>
                  <w:shd w:val="clear" w:color="auto" w:fill="auto"/>
                  <w:vAlign w:val="center"/>
                </w:tcPr>
                <w:p w14:paraId="1A7F16B4">
                  <w:pPr>
                    <w:keepNext w:val="0"/>
                    <w:keepLines w:val="0"/>
                    <w:suppressLineNumbers w:val="0"/>
                    <w:spacing w:before="0" w:beforeAutospacing="0" w:after="0" w:afterAutospacing="0" w:line="240" w:lineRule="auto"/>
                    <w:ind w:left="0" w:leftChars="0" w:right="0" w:rightChars="0"/>
                    <w:jc w:val="center"/>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color w:val="auto"/>
                      <w:sz w:val="21"/>
                      <w:szCs w:val="21"/>
                      <w:highlight w:val="none"/>
                    </w:rPr>
                    <w:t>简单防渗区</w:t>
                  </w:r>
                </w:p>
              </w:tc>
              <w:tc>
                <w:tcPr>
                  <w:tcW w:w="2341" w:type="pct"/>
                  <w:shd w:val="clear" w:color="auto" w:fill="auto"/>
                  <w:vAlign w:val="center"/>
                </w:tcPr>
                <w:p w14:paraId="1F2FA761">
                  <w:pPr>
                    <w:keepNext w:val="0"/>
                    <w:keepLines w:val="0"/>
                    <w:suppressLineNumbers w:val="0"/>
                    <w:spacing w:before="0" w:beforeAutospacing="0" w:after="0" w:afterAutospacing="0" w:line="240" w:lineRule="auto"/>
                    <w:ind w:left="0" w:leftChars="0" w:right="0" w:rightChars="0"/>
                    <w:jc w:val="center"/>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color w:val="auto"/>
                      <w:sz w:val="21"/>
                      <w:szCs w:val="21"/>
                      <w:highlight w:val="none"/>
                    </w:rPr>
                    <w:t>一般地面硬化</w:t>
                  </w:r>
                </w:p>
              </w:tc>
            </w:tr>
          </w:tbl>
          <w:p w14:paraId="79EEC19C">
            <w:pPr>
              <w:keepNext w:val="0"/>
              <w:keepLines w:val="0"/>
              <w:suppressLineNumbers w:val="0"/>
              <w:spacing w:before="0" w:beforeAutospacing="0" w:after="0" w:afterAutospacing="0" w:line="360" w:lineRule="auto"/>
              <w:ind w:left="0" w:right="0" w:firstLine="480" w:firstLineChars="200"/>
              <w:rPr>
                <w:rFonts w:hint="default" w:ascii="Times New Roman" w:hAnsi="Times New Roman" w:eastAsia="宋体" w:cs="Times New Roman"/>
                <w:color w:val="auto"/>
                <w:sz w:val="24"/>
              </w:rPr>
            </w:pPr>
            <w:r>
              <w:rPr>
                <w:rFonts w:hint="default" w:ascii="Times New Roman" w:hAnsi="Times New Roman" w:eastAsia="宋体" w:cs="Times New Roman"/>
                <w:color w:val="auto"/>
                <w:sz w:val="24"/>
              </w:rPr>
              <w:t>建设项目营运期重点防渗区和一般防渗区应按照本评价的要求做好防渗措施，公司制定有相应的管理制度，定期检查生产装置区、污水管线等连接处阀门，及时更换损坏的阀门；及时更换破裂的管，充分做好排污管道的防渗处理，杜绝污水、原辅料等渗漏，防止</w:t>
            </w:r>
            <w:r>
              <w:rPr>
                <w:rFonts w:hint="eastAsia" w:ascii="Times New Roman" w:hAnsi="Times New Roman" w:eastAsia="宋体" w:cs="Times New Roman"/>
                <w:color w:val="auto"/>
                <w:sz w:val="24"/>
                <w:lang w:eastAsia="zh-CN"/>
              </w:rPr>
              <w:t>“</w:t>
            </w:r>
            <w:r>
              <w:rPr>
                <w:rFonts w:hint="default" w:ascii="Times New Roman" w:hAnsi="Times New Roman" w:eastAsia="宋体" w:cs="Times New Roman"/>
                <w:color w:val="auto"/>
                <w:sz w:val="24"/>
              </w:rPr>
              <w:t>跑、冒、滴、漏</w:t>
            </w:r>
            <w:r>
              <w:rPr>
                <w:rFonts w:hint="eastAsia" w:ascii="Times New Roman" w:hAnsi="Times New Roman" w:eastAsia="宋体" w:cs="Times New Roman"/>
                <w:color w:val="auto"/>
                <w:sz w:val="24"/>
                <w:lang w:eastAsia="zh-CN"/>
              </w:rPr>
              <w:t>”</w:t>
            </w:r>
            <w:r>
              <w:rPr>
                <w:rFonts w:hint="default" w:ascii="Times New Roman" w:hAnsi="Times New Roman" w:eastAsia="宋体" w:cs="Times New Roman"/>
                <w:color w:val="auto"/>
                <w:sz w:val="24"/>
              </w:rPr>
              <w:t>现象的发生。</w:t>
            </w:r>
          </w:p>
          <w:p w14:paraId="57867601">
            <w:pPr>
              <w:keepNext w:val="0"/>
              <w:keepLines w:val="0"/>
              <w:suppressLineNumbers w:val="0"/>
              <w:spacing w:before="0" w:beforeAutospacing="0" w:after="0" w:afterAutospacing="0" w:line="360" w:lineRule="auto"/>
              <w:ind w:left="0" w:right="0" w:firstLine="482" w:firstLineChars="200"/>
              <w:rPr>
                <w:rFonts w:hint="default" w:ascii="Times New Roman" w:hAnsi="Times New Roman" w:eastAsia="宋体" w:cs="Times New Roman"/>
                <w:color w:val="auto"/>
                <w:sz w:val="24"/>
              </w:rPr>
            </w:pPr>
            <w:r>
              <w:rPr>
                <w:rFonts w:hint="default" w:ascii="Times New Roman" w:hAnsi="Times New Roman" w:eastAsia="宋体" w:cs="Times New Roman"/>
                <w:b/>
                <w:bCs/>
                <w:color w:val="auto"/>
                <w:sz w:val="24"/>
              </w:rPr>
              <w:t>重点防渗区防渗措施：</w:t>
            </w:r>
            <w:r>
              <w:rPr>
                <w:rFonts w:hint="default" w:ascii="Times New Roman" w:hAnsi="Times New Roman" w:eastAsia="宋体" w:cs="Times New Roman"/>
                <w:color w:val="auto"/>
                <w:sz w:val="24"/>
              </w:rPr>
              <w:t>针对重点防渗区，可通过下述措施可使重点污染区各单元防渗层渗透系数</w:t>
            </w:r>
            <w:r>
              <w:rPr>
                <w:rFonts w:hint="default" w:ascii="Times New Roman" w:hAnsi="Times New Roman" w:eastAsia="宋体" w:cs="Times New Roman"/>
                <w:color w:val="0000FF"/>
                <w:sz w:val="24"/>
              </w:rPr>
              <w:t>≤10</w:t>
            </w:r>
            <w:r>
              <w:rPr>
                <w:rFonts w:hint="default" w:ascii="Times New Roman" w:hAnsi="Times New Roman" w:eastAsia="宋体" w:cs="Times New Roman"/>
                <w:color w:val="0000FF"/>
                <w:sz w:val="24"/>
                <w:vertAlign w:val="superscript"/>
              </w:rPr>
              <w:t>-</w:t>
            </w:r>
            <w:r>
              <w:rPr>
                <w:rFonts w:hint="eastAsia" w:ascii="Times New Roman" w:hAnsi="Times New Roman" w:eastAsia="宋体" w:cs="Times New Roman"/>
                <w:color w:val="0000FF"/>
                <w:sz w:val="24"/>
                <w:vertAlign w:val="superscript"/>
                <w:lang w:val="en-US" w:eastAsia="zh-CN"/>
              </w:rPr>
              <w:t>7</w:t>
            </w:r>
            <w:r>
              <w:rPr>
                <w:rFonts w:hint="default" w:ascii="Times New Roman" w:hAnsi="Times New Roman" w:eastAsia="宋体" w:cs="Times New Roman"/>
                <w:color w:val="auto"/>
                <w:sz w:val="24"/>
              </w:rPr>
              <w:t>cm/s，主要采取措施（自上而下）：</w:t>
            </w:r>
          </w:p>
          <w:p w14:paraId="5C69F9C6">
            <w:pPr>
              <w:keepNext w:val="0"/>
              <w:keepLines w:val="0"/>
              <w:suppressLineNumbers w:val="0"/>
              <w:spacing w:before="0" w:beforeAutospacing="0" w:after="0" w:afterAutospacing="0" w:line="360" w:lineRule="auto"/>
              <w:ind w:left="0" w:right="0" w:firstLine="480" w:firstLineChars="200"/>
              <w:rPr>
                <w:rFonts w:hint="default" w:ascii="Times New Roman" w:hAnsi="Times New Roman" w:eastAsia="宋体" w:cs="Times New Roman"/>
                <w:color w:val="auto"/>
                <w:sz w:val="24"/>
              </w:rPr>
            </w:pPr>
            <w:r>
              <w:rPr>
                <w:rFonts w:hint="default" w:ascii="Times New Roman" w:hAnsi="Times New Roman" w:eastAsia="宋体" w:cs="Times New Roman"/>
                <w:color w:val="auto"/>
                <w:sz w:val="24"/>
              </w:rPr>
              <w:t>A、采用铁桶或其它容器盛装液体原材料，以杜绝渗漏洞；建议危废暂存间设置托盘，将危废与地面彻底隔绝。</w:t>
            </w:r>
          </w:p>
          <w:p w14:paraId="68A012F8">
            <w:pPr>
              <w:keepNext w:val="0"/>
              <w:keepLines w:val="0"/>
              <w:suppressLineNumbers w:val="0"/>
              <w:spacing w:before="0" w:beforeAutospacing="0" w:after="0" w:afterAutospacing="0" w:line="360" w:lineRule="auto"/>
              <w:ind w:left="0" w:right="0" w:firstLine="480" w:firstLineChars="200"/>
              <w:rPr>
                <w:rFonts w:hint="default" w:ascii="Times New Roman" w:hAnsi="Times New Roman" w:eastAsia="宋体" w:cs="Times New Roman"/>
                <w:color w:val="auto"/>
                <w:sz w:val="24"/>
              </w:rPr>
            </w:pPr>
            <w:r>
              <w:rPr>
                <w:rFonts w:hint="default" w:ascii="Times New Roman" w:hAnsi="Times New Roman" w:eastAsia="宋体" w:cs="Times New Roman"/>
                <w:color w:val="auto"/>
                <w:sz w:val="24"/>
              </w:rPr>
              <w:t>B、地面的表面铺2毫米厚高密度聚乙烯，或至少2毫米厚的其它人工材料，凡墙与地面相交的墙立面铺装180mm高的踢脚线（围堰）。</w:t>
            </w:r>
          </w:p>
          <w:p w14:paraId="60049F77">
            <w:pPr>
              <w:keepNext w:val="0"/>
              <w:keepLines w:val="0"/>
              <w:suppressLineNumbers w:val="0"/>
              <w:spacing w:before="0" w:beforeAutospacing="0" w:after="0" w:afterAutospacing="0" w:line="360" w:lineRule="auto"/>
              <w:ind w:left="0" w:right="0" w:firstLine="480" w:firstLineChars="200"/>
              <w:rPr>
                <w:rFonts w:hint="default" w:ascii="Times New Roman" w:hAnsi="Times New Roman" w:eastAsia="宋体" w:cs="Times New Roman"/>
                <w:color w:val="0000FF"/>
                <w:sz w:val="24"/>
              </w:rPr>
            </w:pPr>
            <w:r>
              <w:rPr>
                <w:rFonts w:hint="default" w:ascii="Times New Roman" w:hAnsi="Times New Roman" w:eastAsia="宋体" w:cs="Times New Roman"/>
                <w:color w:val="0000FF"/>
                <w:sz w:val="24"/>
              </w:rPr>
              <w:t>C、</w:t>
            </w:r>
            <w:r>
              <w:rPr>
                <w:rFonts w:hint="eastAsia" w:ascii="Times New Roman" w:hAnsi="Times New Roman" w:eastAsia="宋体" w:cs="Times New Roman"/>
                <w:color w:val="0000FF"/>
                <w:sz w:val="24"/>
              </w:rPr>
              <w:t>采用密闭容器盛装液体原料杜绝渗漏，地面设置耐腐蚀托盘与围堰，防渗地坪采用高标号防渗混凝土面层并涂刷环氧树脂地坪漆，杜绝各类化学品物料渗漏下渗</w:t>
            </w:r>
            <w:r>
              <w:rPr>
                <w:rFonts w:hint="default" w:ascii="Times New Roman" w:hAnsi="Times New Roman" w:eastAsia="宋体" w:cs="Times New Roman"/>
                <w:color w:val="0000FF"/>
                <w:sz w:val="24"/>
              </w:rPr>
              <w:t>。</w:t>
            </w:r>
          </w:p>
          <w:p w14:paraId="2C667D3C">
            <w:pPr>
              <w:keepNext w:val="0"/>
              <w:keepLines w:val="0"/>
              <w:suppressLineNumbers w:val="0"/>
              <w:spacing w:before="0" w:beforeAutospacing="0" w:after="0" w:afterAutospacing="0" w:line="360" w:lineRule="auto"/>
              <w:ind w:left="0" w:right="0" w:firstLine="480" w:firstLineChars="200"/>
              <w:rPr>
                <w:rFonts w:hint="default" w:ascii="Times New Roman" w:hAnsi="Times New Roman" w:eastAsia="宋体" w:cs="Times New Roman"/>
                <w:color w:val="auto"/>
                <w:sz w:val="24"/>
              </w:rPr>
            </w:pPr>
            <w:r>
              <w:rPr>
                <w:rFonts w:hint="default" w:ascii="Times New Roman" w:hAnsi="Times New Roman" w:eastAsia="宋体" w:cs="Times New Roman"/>
                <w:color w:val="auto"/>
                <w:sz w:val="24"/>
              </w:rPr>
              <w:t>建设单位应对厂区内可能泄漏污染物的污染区地面进行防渗处理，及时地将泄漏、渗漏的污染物收集起来进行处理，有效防止洒落地面的污染物渗入地下。此外，加强管理，完善管理机制，建立严格的管理制度，遵守操作规程，尽量避免污染物下渗。</w:t>
            </w:r>
          </w:p>
          <w:p w14:paraId="72DF3AF0">
            <w:pPr>
              <w:keepNext w:val="0"/>
              <w:keepLines w:val="0"/>
              <w:suppressLineNumbers w:val="0"/>
              <w:spacing w:before="0" w:beforeAutospacing="0" w:after="0" w:afterAutospacing="0" w:line="360" w:lineRule="auto"/>
              <w:ind w:left="0" w:right="0" w:firstLine="482" w:firstLineChars="200"/>
              <w:rPr>
                <w:rFonts w:hint="default" w:ascii="Times New Roman" w:hAnsi="Times New Roman" w:eastAsia="宋体" w:cs="Times New Roman"/>
                <w:color w:val="auto"/>
                <w:sz w:val="24"/>
              </w:rPr>
            </w:pPr>
            <w:r>
              <w:rPr>
                <w:rFonts w:hint="default" w:ascii="Times New Roman" w:hAnsi="Times New Roman" w:eastAsia="宋体" w:cs="Times New Roman"/>
                <w:b/>
                <w:bCs/>
                <w:color w:val="auto"/>
                <w:sz w:val="24"/>
              </w:rPr>
              <w:t>一般防渗区防渗措施：</w:t>
            </w:r>
            <w:r>
              <w:rPr>
                <w:rFonts w:hint="default" w:ascii="Times New Roman" w:hAnsi="Times New Roman" w:eastAsia="宋体" w:cs="Times New Roman"/>
                <w:color w:val="auto"/>
                <w:sz w:val="24"/>
              </w:rPr>
              <w:t>一般防渗区地面采取地面刷环氧树脂，可使一般污染区各单元防渗层渗透系数≤1.0×10</w:t>
            </w:r>
            <w:r>
              <w:rPr>
                <w:rFonts w:hint="default" w:ascii="Times New Roman" w:hAnsi="Times New Roman" w:eastAsia="宋体" w:cs="Times New Roman"/>
                <w:color w:val="auto"/>
                <w:sz w:val="24"/>
                <w:vertAlign w:val="superscript"/>
              </w:rPr>
              <w:t>-7</w:t>
            </w:r>
            <w:r>
              <w:rPr>
                <w:rFonts w:hint="default" w:ascii="Times New Roman" w:hAnsi="Times New Roman" w:eastAsia="宋体" w:cs="Times New Roman"/>
                <w:color w:val="auto"/>
                <w:sz w:val="24"/>
              </w:rPr>
              <w:t>cm/s。</w:t>
            </w:r>
          </w:p>
          <w:p w14:paraId="78E508B6">
            <w:pPr>
              <w:keepNext w:val="0"/>
              <w:keepLines w:val="0"/>
              <w:suppressLineNumbers w:val="0"/>
              <w:spacing w:before="0" w:beforeAutospacing="0" w:after="0" w:afterAutospacing="0" w:line="360" w:lineRule="auto"/>
              <w:ind w:left="0" w:right="0" w:firstLine="480" w:firstLineChars="200"/>
              <w:rPr>
                <w:rFonts w:hint="default" w:ascii="Times New Roman" w:hAnsi="Times New Roman" w:eastAsia="宋体" w:cs="Times New Roman"/>
                <w:color w:val="auto"/>
                <w:sz w:val="24"/>
              </w:rPr>
            </w:pPr>
            <w:r>
              <w:rPr>
                <w:rFonts w:hint="default" w:ascii="Times New Roman" w:hAnsi="Times New Roman" w:eastAsia="宋体" w:cs="Times New Roman"/>
                <w:color w:val="auto"/>
                <w:sz w:val="24"/>
              </w:rPr>
              <w:t>综上，由污染途径及对应措施分析可知，建设项目对可能产生地下水、土壤影响的各项途径均进行有效预防；在确保各项防渗措施得以落实，并加强维护和厂区环境管理的前提下，可有效控制厂区内的污染物</w:t>
            </w:r>
            <w:r>
              <w:rPr>
                <w:rFonts w:hint="eastAsia" w:ascii="Times New Roman" w:hAnsi="Times New Roman" w:eastAsia="宋体" w:cs="Times New Roman"/>
                <w:color w:val="auto"/>
                <w:sz w:val="24"/>
              </w:rPr>
              <w:t>、化学品</w:t>
            </w:r>
            <w:r>
              <w:rPr>
                <w:rFonts w:hint="default" w:ascii="Times New Roman" w:hAnsi="Times New Roman" w:eastAsia="宋体" w:cs="Times New Roman"/>
                <w:color w:val="auto"/>
                <w:sz w:val="24"/>
              </w:rPr>
              <w:t>以及危废等下渗现象，避免污染地下水和土壤。因此，采取以上措施后正常状态下，厂区的地表与地下的水力联系基本被切断，污染物不会规模性渗入地下水和土壤，本项目不会对区域地下水、土壤环境产生明显影响。</w:t>
            </w:r>
          </w:p>
          <w:p w14:paraId="058C3451">
            <w:pPr>
              <w:keepNext w:val="0"/>
              <w:keepLines w:val="0"/>
              <w:suppressLineNumbers w:val="0"/>
              <w:spacing w:before="0" w:beforeAutospacing="0" w:after="0" w:afterAutospacing="0" w:line="360" w:lineRule="auto"/>
              <w:ind w:left="0" w:right="0"/>
              <w:rPr>
                <w:rFonts w:hint="default" w:ascii="Times New Roman" w:hAnsi="Times New Roman" w:eastAsia="宋体" w:cs="Times New Roman"/>
                <w:b/>
                <w:bCs/>
                <w:color w:val="auto"/>
                <w:sz w:val="24"/>
              </w:rPr>
            </w:pPr>
            <w:r>
              <w:rPr>
                <w:rFonts w:hint="eastAsia" w:ascii="Times New Roman" w:hAnsi="Times New Roman" w:eastAsia="宋体" w:cs="Times New Roman"/>
                <w:b/>
                <w:bCs/>
                <w:color w:val="auto"/>
                <w:sz w:val="24"/>
              </w:rPr>
              <w:t>4.2.6</w:t>
            </w:r>
            <w:r>
              <w:rPr>
                <w:rFonts w:hint="eastAsia" w:ascii="Times New Roman" w:hAnsi="Times New Roman" w:eastAsia="宋体" w:cs="Times New Roman"/>
                <w:b/>
                <w:bCs/>
                <w:color w:val="auto"/>
                <w:sz w:val="24"/>
                <w:lang w:val="en-US" w:eastAsia="zh-CN"/>
              </w:rPr>
              <w:t>生态环境</w:t>
            </w:r>
          </w:p>
          <w:p w14:paraId="6EBFC730">
            <w:pPr>
              <w:keepNext w:val="0"/>
              <w:keepLines w:val="0"/>
              <w:suppressLineNumbers w:val="0"/>
              <w:spacing w:before="0" w:beforeAutospacing="0" w:after="0" w:afterAutospacing="0" w:line="360" w:lineRule="auto"/>
              <w:ind w:left="0" w:right="0" w:firstLine="480" w:firstLineChars="200"/>
              <w:rPr>
                <w:rFonts w:hint="default" w:ascii="Times New Roman" w:hAnsi="Times New Roman" w:eastAsia="宋体" w:cs="Times New Roman"/>
                <w:color w:val="auto"/>
                <w:sz w:val="24"/>
              </w:rPr>
            </w:pPr>
            <w:r>
              <w:rPr>
                <w:rFonts w:hint="default" w:ascii="Times New Roman" w:hAnsi="Times New Roman" w:eastAsia="宋体" w:cs="Times New Roman"/>
                <w:color w:val="auto"/>
                <w:sz w:val="24"/>
              </w:rPr>
              <w:t>本项目</w:t>
            </w:r>
            <w:r>
              <w:rPr>
                <w:rFonts w:hint="eastAsia" w:ascii="Times New Roman" w:hAnsi="Times New Roman" w:eastAsia="宋体" w:cs="Times New Roman"/>
                <w:color w:val="auto"/>
                <w:sz w:val="24"/>
              </w:rPr>
              <w:t>位于</w:t>
            </w:r>
            <w:r>
              <w:rPr>
                <w:rFonts w:hint="default" w:ascii="Times New Roman" w:hAnsi="Times New Roman" w:eastAsia="宋体" w:cs="Times New Roman"/>
                <w:color w:val="auto"/>
                <w:sz w:val="24"/>
              </w:rPr>
              <w:t>浙江省湖州市安吉县天子湖镇长隆路398号</w:t>
            </w:r>
            <w:r>
              <w:rPr>
                <w:rFonts w:hint="default" w:ascii="Times New Roman" w:hAnsi="Times New Roman" w:eastAsia="宋体" w:cs="Times New Roman"/>
                <w:color w:val="0000E1"/>
                <w:sz w:val="24"/>
              </w:rPr>
              <w:t>1号厂房1楼，2号厂房1楼</w:t>
            </w:r>
            <w:r>
              <w:rPr>
                <w:rFonts w:hint="default" w:ascii="Times New Roman" w:hAnsi="Times New Roman" w:eastAsia="宋体" w:cs="Times New Roman"/>
                <w:color w:val="0000E1"/>
                <w:sz w:val="24"/>
                <w:lang w:eastAsia="zh-CN"/>
              </w:rPr>
              <w:t>、</w:t>
            </w:r>
            <w:r>
              <w:rPr>
                <w:rFonts w:hint="default" w:ascii="Times New Roman" w:hAnsi="Times New Roman" w:eastAsia="宋体" w:cs="Times New Roman"/>
                <w:color w:val="0000E1"/>
                <w:sz w:val="24"/>
              </w:rPr>
              <w:t>2楼</w:t>
            </w:r>
            <w:r>
              <w:rPr>
                <w:rFonts w:hint="default" w:ascii="Times New Roman" w:hAnsi="Times New Roman" w:eastAsia="宋体" w:cs="Times New Roman"/>
                <w:color w:val="auto"/>
                <w:sz w:val="24"/>
              </w:rPr>
              <w:t>（浙江吉珈科技有限公司内）</w:t>
            </w:r>
            <w:r>
              <w:rPr>
                <w:rFonts w:hint="eastAsia" w:ascii="Times New Roman" w:hAnsi="Times New Roman" w:eastAsia="宋体" w:cs="Times New Roman"/>
                <w:color w:val="auto"/>
                <w:sz w:val="24"/>
              </w:rPr>
              <w:t>，租赁</w:t>
            </w:r>
            <w:r>
              <w:rPr>
                <w:rFonts w:hint="default" w:ascii="Times New Roman" w:hAnsi="Times New Roman" w:eastAsia="宋体" w:cs="Times New Roman"/>
                <w:color w:val="auto"/>
                <w:sz w:val="24"/>
              </w:rPr>
              <w:t>浙江吉珈科技有限公司闲置厂房组织生产，不涉及新增用地，厂房建设等工程，不会对周边生态环境造成明显影响。</w:t>
            </w:r>
          </w:p>
          <w:p w14:paraId="4E496C61">
            <w:pPr>
              <w:keepNext w:val="0"/>
              <w:keepLines w:val="0"/>
              <w:suppressLineNumbers w:val="0"/>
              <w:spacing w:before="0" w:beforeAutospacing="0" w:after="0" w:afterAutospacing="0" w:line="360" w:lineRule="auto"/>
              <w:ind w:left="0" w:right="0"/>
              <w:rPr>
                <w:rFonts w:hint="default" w:ascii="Times New Roman" w:hAnsi="Times New Roman" w:eastAsia="宋体" w:cs="Times New Roman"/>
                <w:b/>
                <w:bCs/>
                <w:color w:val="auto"/>
                <w:sz w:val="24"/>
              </w:rPr>
            </w:pPr>
            <w:r>
              <w:rPr>
                <w:rFonts w:hint="eastAsia" w:ascii="Times New Roman" w:hAnsi="Times New Roman" w:eastAsia="宋体" w:cs="Times New Roman"/>
                <w:b/>
                <w:bCs/>
                <w:color w:val="auto"/>
                <w:sz w:val="24"/>
              </w:rPr>
              <w:t>4.2.7环境风险</w:t>
            </w:r>
          </w:p>
          <w:p w14:paraId="6C3CB584">
            <w:pPr>
              <w:keepNext w:val="0"/>
              <w:keepLines w:val="0"/>
              <w:suppressLineNumbers w:val="0"/>
              <w:spacing w:before="0" w:beforeAutospacing="0" w:after="0" w:afterAutospacing="0" w:line="360" w:lineRule="auto"/>
              <w:ind w:left="0" w:right="0" w:firstLine="480" w:firstLineChars="200"/>
              <w:rPr>
                <w:rFonts w:hint="default" w:ascii="Times New Roman" w:hAnsi="Times New Roman" w:eastAsia="宋体" w:cs="Times New Roman"/>
                <w:color w:val="auto"/>
                <w:sz w:val="24"/>
                <w:lang w:val="en-US" w:eastAsia="zh-CN"/>
              </w:rPr>
            </w:pPr>
            <w:r>
              <w:rPr>
                <w:rFonts w:hint="default" w:ascii="Times New Roman" w:hAnsi="Times New Roman" w:eastAsia="宋体" w:cs="Times New Roman"/>
                <w:color w:val="auto"/>
                <w:sz w:val="24"/>
                <w:lang w:val="en-US" w:eastAsia="zh-CN"/>
              </w:rPr>
              <w:t>环境风险评价的目的是分析和预测建设项目存在的潜在危险、有害因素，建设项目建设和运营期间可能发生的突发性事件或事故，引起有害有毒和易燃易爆等物质的泄露，所造成的人身安全与环境影响和损害程度，提出合理可行的防范、应急与减缓措施，以使建设项目事故率、损失和环境影响达到可接受的水平。</w:t>
            </w:r>
          </w:p>
          <w:p w14:paraId="2E241C55">
            <w:pPr>
              <w:keepNext w:val="0"/>
              <w:keepLines w:val="0"/>
              <w:suppressLineNumbers w:val="0"/>
              <w:spacing w:before="0" w:beforeAutospacing="0" w:after="0" w:afterAutospacing="0" w:line="360" w:lineRule="auto"/>
              <w:ind w:left="0" w:right="0" w:firstLine="480" w:firstLineChars="200"/>
              <w:rPr>
                <w:rFonts w:hint="default" w:ascii="Times New Roman" w:hAnsi="Times New Roman" w:eastAsia="宋体" w:cs="Times New Roman"/>
                <w:color w:val="auto"/>
                <w:sz w:val="24"/>
                <w:lang w:val="en-US" w:eastAsia="zh-CN"/>
              </w:rPr>
            </w:pPr>
            <w:r>
              <w:rPr>
                <w:rFonts w:hint="eastAsia" w:ascii="Times New Roman" w:hAnsi="Times New Roman" w:eastAsia="宋体" w:cs="Times New Roman"/>
                <w:color w:val="auto"/>
                <w:sz w:val="24"/>
                <w:lang w:val="en-US" w:eastAsia="zh-CN"/>
              </w:rPr>
              <w:t>（1）</w:t>
            </w:r>
            <w:r>
              <w:rPr>
                <w:rFonts w:hint="default" w:ascii="Times New Roman" w:hAnsi="Times New Roman" w:eastAsia="宋体" w:cs="Times New Roman"/>
                <w:color w:val="auto"/>
                <w:sz w:val="24"/>
                <w:lang w:val="en-US" w:eastAsia="zh-CN"/>
              </w:rPr>
              <w:t>风险源调查</w:t>
            </w:r>
          </w:p>
          <w:p w14:paraId="71CFAD76">
            <w:pPr>
              <w:keepNext w:val="0"/>
              <w:keepLines w:val="0"/>
              <w:suppressLineNumbers w:val="0"/>
              <w:spacing w:before="0" w:beforeAutospacing="0" w:after="0" w:afterAutospacing="0" w:line="360" w:lineRule="auto"/>
              <w:ind w:left="0" w:right="0" w:firstLine="480" w:firstLineChars="200"/>
              <w:rPr>
                <w:rFonts w:hint="default" w:ascii="Times New Roman" w:hAnsi="Times New Roman" w:eastAsia="宋体" w:cs="Times New Roman"/>
                <w:color w:val="auto"/>
                <w:sz w:val="24"/>
              </w:rPr>
            </w:pPr>
            <w:r>
              <w:rPr>
                <w:rFonts w:hint="default" w:ascii="Times New Roman" w:hAnsi="Times New Roman" w:eastAsia="宋体" w:cs="Times New Roman"/>
                <w:color w:val="auto"/>
                <w:sz w:val="24"/>
              </w:rPr>
              <w:t>本项目涉及的危险物资分布及影响途径见</w:t>
            </w:r>
            <w:r>
              <w:rPr>
                <w:rFonts w:hint="eastAsia" w:ascii="Times New Roman" w:hAnsi="Times New Roman" w:eastAsia="宋体" w:cs="Times New Roman"/>
                <w:color w:val="auto"/>
                <w:sz w:val="24"/>
              </w:rPr>
              <w:t>下表</w:t>
            </w:r>
            <w:r>
              <w:rPr>
                <w:rFonts w:hint="default" w:ascii="Times New Roman" w:hAnsi="Times New Roman" w:eastAsia="宋体" w:cs="Times New Roman"/>
                <w:color w:val="auto"/>
                <w:sz w:val="24"/>
              </w:rPr>
              <w:t>。</w:t>
            </w:r>
          </w:p>
          <w:p w14:paraId="473E7B1B">
            <w:pPr>
              <w:keepNext w:val="0"/>
              <w:keepLines w:val="0"/>
              <w:suppressLineNumbers w:val="0"/>
              <w:spacing w:before="0" w:beforeAutospacing="0" w:after="0" w:afterAutospacing="0"/>
              <w:ind w:left="0" w:right="0"/>
              <w:jc w:val="center"/>
              <w:rPr>
                <w:rFonts w:hint="default" w:ascii="Times New Roman" w:hAnsi="Times New Roman" w:eastAsia="宋体" w:cs="Times New Roman"/>
                <w:b/>
                <w:bCs/>
                <w:color w:val="auto"/>
              </w:rPr>
            </w:pPr>
            <w:r>
              <w:rPr>
                <w:rFonts w:hint="default" w:ascii="Times New Roman" w:hAnsi="Times New Roman" w:eastAsia="宋体" w:cs="Times New Roman"/>
                <w:b/>
                <w:bCs/>
                <w:color w:val="auto"/>
              </w:rPr>
              <w:t>表4-</w:t>
            </w:r>
            <w:r>
              <w:rPr>
                <w:rFonts w:hint="eastAsia" w:ascii="Times New Roman" w:hAnsi="Times New Roman" w:eastAsia="宋体" w:cs="Times New Roman"/>
                <w:b/>
                <w:bCs/>
                <w:color w:val="auto"/>
              </w:rPr>
              <w:t>2</w:t>
            </w:r>
            <w:r>
              <w:rPr>
                <w:rFonts w:hint="eastAsia" w:ascii="Times New Roman" w:hAnsi="Times New Roman" w:eastAsia="宋体" w:cs="Times New Roman"/>
                <w:b/>
                <w:bCs/>
                <w:color w:val="auto"/>
                <w:lang w:val="en-US" w:eastAsia="zh-CN"/>
              </w:rPr>
              <w:t>9</w:t>
            </w:r>
            <w:r>
              <w:rPr>
                <w:rFonts w:hint="default" w:ascii="Times New Roman" w:hAnsi="Times New Roman" w:eastAsia="宋体" w:cs="Times New Roman"/>
                <w:b/>
                <w:bCs/>
                <w:color w:val="auto"/>
              </w:rPr>
              <w:t xml:space="preserve">  建设</w:t>
            </w:r>
            <w:r>
              <w:rPr>
                <w:rFonts w:hint="eastAsia" w:ascii="Times New Roman" w:hAnsi="Times New Roman" w:eastAsia="宋体" w:cs="Times New Roman"/>
                <w:b/>
                <w:bCs/>
                <w:color w:val="auto"/>
              </w:rPr>
              <w:t>项目</w:t>
            </w:r>
            <w:r>
              <w:rPr>
                <w:rFonts w:hint="default" w:ascii="Times New Roman" w:hAnsi="Times New Roman" w:eastAsia="宋体" w:cs="Times New Roman"/>
                <w:b/>
                <w:bCs/>
                <w:color w:val="auto"/>
              </w:rPr>
              <w:t>环境风险物质及影响途径识别表</w:t>
            </w:r>
          </w:p>
          <w:tbl>
            <w:tblPr>
              <w:tblStyle w:val="23"/>
              <w:tblW w:w="8186"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398"/>
              <w:gridCol w:w="1085"/>
              <w:gridCol w:w="1500"/>
              <w:gridCol w:w="2670"/>
              <w:gridCol w:w="1410"/>
              <w:gridCol w:w="1123"/>
            </w:tblGrid>
            <w:tr w14:paraId="1ACD56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398" w:type="dxa"/>
                  <w:vAlign w:val="center"/>
                </w:tcPr>
                <w:p w14:paraId="4305A2BC">
                  <w:pPr>
                    <w:keepNext w:val="0"/>
                    <w:keepLines w:val="0"/>
                    <w:suppressLineNumbers w:val="0"/>
                    <w:spacing w:before="0" w:beforeAutospacing="0" w:after="0" w:afterAutospacing="0"/>
                    <w:ind w:left="0" w:right="0"/>
                    <w:jc w:val="center"/>
                    <w:rPr>
                      <w:rFonts w:hint="default" w:ascii="Times New Roman" w:hAnsi="Times New Roman" w:eastAsia="宋体" w:cs="Times New Roman"/>
                      <w:b/>
                      <w:bCs/>
                      <w:color w:val="auto"/>
                      <w:szCs w:val="21"/>
                    </w:rPr>
                  </w:pPr>
                  <w:r>
                    <w:rPr>
                      <w:rFonts w:hint="default" w:ascii="Times New Roman" w:hAnsi="Times New Roman" w:eastAsia="宋体" w:cs="Times New Roman"/>
                      <w:b/>
                      <w:bCs/>
                      <w:color w:val="auto"/>
                      <w:szCs w:val="21"/>
                    </w:rPr>
                    <w:t>序号</w:t>
                  </w:r>
                </w:p>
              </w:tc>
              <w:tc>
                <w:tcPr>
                  <w:tcW w:w="1085" w:type="dxa"/>
                  <w:vAlign w:val="center"/>
                </w:tcPr>
                <w:p w14:paraId="4A40DDAA">
                  <w:pPr>
                    <w:keepNext w:val="0"/>
                    <w:keepLines w:val="0"/>
                    <w:suppressLineNumbers w:val="0"/>
                    <w:spacing w:before="0" w:beforeAutospacing="0" w:after="0" w:afterAutospacing="0"/>
                    <w:ind w:left="0" w:right="0"/>
                    <w:jc w:val="center"/>
                    <w:rPr>
                      <w:rFonts w:hint="default" w:ascii="Times New Roman" w:hAnsi="Times New Roman" w:eastAsia="宋体" w:cs="Times New Roman"/>
                      <w:b/>
                      <w:bCs/>
                      <w:color w:val="auto"/>
                      <w:szCs w:val="21"/>
                    </w:rPr>
                  </w:pPr>
                  <w:r>
                    <w:rPr>
                      <w:rFonts w:hint="default" w:ascii="Times New Roman" w:hAnsi="Times New Roman" w:eastAsia="宋体" w:cs="Times New Roman"/>
                      <w:b/>
                      <w:bCs/>
                      <w:color w:val="auto"/>
                      <w:szCs w:val="21"/>
                    </w:rPr>
                    <w:t>危险单元</w:t>
                  </w:r>
                </w:p>
              </w:tc>
              <w:tc>
                <w:tcPr>
                  <w:tcW w:w="1500" w:type="dxa"/>
                  <w:vAlign w:val="center"/>
                </w:tcPr>
                <w:p w14:paraId="358494A8">
                  <w:pPr>
                    <w:keepNext w:val="0"/>
                    <w:keepLines w:val="0"/>
                    <w:suppressLineNumbers w:val="0"/>
                    <w:spacing w:before="0" w:beforeAutospacing="0" w:after="0" w:afterAutospacing="0"/>
                    <w:ind w:left="0" w:right="0"/>
                    <w:jc w:val="center"/>
                    <w:rPr>
                      <w:rFonts w:hint="default" w:ascii="Times New Roman" w:hAnsi="Times New Roman" w:eastAsia="宋体" w:cs="Times New Roman"/>
                      <w:b/>
                      <w:bCs/>
                      <w:color w:val="auto"/>
                      <w:szCs w:val="21"/>
                    </w:rPr>
                  </w:pPr>
                  <w:r>
                    <w:rPr>
                      <w:rFonts w:hint="default" w:ascii="Times New Roman" w:hAnsi="Times New Roman" w:eastAsia="宋体" w:cs="Times New Roman"/>
                      <w:b/>
                      <w:bCs/>
                      <w:color w:val="auto"/>
                      <w:szCs w:val="21"/>
                    </w:rPr>
                    <w:t>风险源</w:t>
                  </w:r>
                </w:p>
              </w:tc>
              <w:tc>
                <w:tcPr>
                  <w:tcW w:w="2670" w:type="dxa"/>
                  <w:vAlign w:val="center"/>
                </w:tcPr>
                <w:p w14:paraId="3A47B8F7">
                  <w:pPr>
                    <w:keepNext w:val="0"/>
                    <w:keepLines w:val="0"/>
                    <w:suppressLineNumbers w:val="0"/>
                    <w:spacing w:before="0" w:beforeAutospacing="0" w:after="0" w:afterAutospacing="0"/>
                    <w:ind w:left="0" w:right="0"/>
                    <w:jc w:val="center"/>
                    <w:rPr>
                      <w:rFonts w:hint="default" w:ascii="Times New Roman" w:hAnsi="Times New Roman" w:eastAsia="宋体" w:cs="Times New Roman"/>
                      <w:b/>
                      <w:bCs/>
                      <w:color w:val="auto"/>
                      <w:szCs w:val="21"/>
                    </w:rPr>
                  </w:pPr>
                  <w:r>
                    <w:rPr>
                      <w:rFonts w:hint="default" w:ascii="Times New Roman" w:hAnsi="Times New Roman" w:eastAsia="宋体" w:cs="Times New Roman"/>
                      <w:b/>
                      <w:bCs/>
                      <w:color w:val="auto"/>
                      <w:szCs w:val="21"/>
                    </w:rPr>
                    <w:t>主要危险物质</w:t>
                  </w:r>
                </w:p>
              </w:tc>
              <w:tc>
                <w:tcPr>
                  <w:tcW w:w="1410" w:type="dxa"/>
                  <w:vAlign w:val="center"/>
                </w:tcPr>
                <w:p w14:paraId="6C8F9D97">
                  <w:pPr>
                    <w:keepNext w:val="0"/>
                    <w:keepLines w:val="0"/>
                    <w:suppressLineNumbers w:val="0"/>
                    <w:spacing w:before="0" w:beforeAutospacing="0" w:after="0" w:afterAutospacing="0"/>
                    <w:ind w:left="0" w:right="0"/>
                    <w:jc w:val="center"/>
                    <w:rPr>
                      <w:rFonts w:hint="default" w:ascii="Times New Roman" w:hAnsi="Times New Roman" w:eastAsia="宋体" w:cs="Times New Roman"/>
                      <w:b/>
                      <w:bCs/>
                      <w:color w:val="auto"/>
                      <w:szCs w:val="21"/>
                    </w:rPr>
                  </w:pPr>
                  <w:r>
                    <w:rPr>
                      <w:rFonts w:hint="default" w:ascii="Times New Roman" w:hAnsi="Times New Roman" w:eastAsia="宋体" w:cs="Times New Roman"/>
                      <w:b/>
                      <w:bCs/>
                      <w:color w:val="auto"/>
                      <w:szCs w:val="21"/>
                    </w:rPr>
                    <w:t>环境风险</w:t>
                  </w:r>
                </w:p>
                <w:p w14:paraId="5C9D9D18">
                  <w:pPr>
                    <w:keepNext w:val="0"/>
                    <w:keepLines w:val="0"/>
                    <w:suppressLineNumbers w:val="0"/>
                    <w:spacing w:before="0" w:beforeAutospacing="0" w:after="0" w:afterAutospacing="0"/>
                    <w:ind w:left="0" w:right="0"/>
                    <w:jc w:val="center"/>
                    <w:rPr>
                      <w:rFonts w:hint="default" w:ascii="Times New Roman" w:hAnsi="Times New Roman" w:eastAsia="宋体" w:cs="Times New Roman"/>
                      <w:b/>
                      <w:bCs/>
                      <w:color w:val="auto"/>
                      <w:szCs w:val="21"/>
                    </w:rPr>
                  </w:pPr>
                  <w:r>
                    <w:rPr>
                      <w:rFonts w:hint="default" w:ascii="Times New Roman" w:hAnsi="Times New Roman" w:eastAsia="宋体" w:cs="Times New Roman"/>
                      <w:b/>
                      <w:bCs/>
                      <w:color w:val="auto"/>
                      <w:szCs w:val="21"/>
                    </w:rPr>
                    <w:t>类型</w:t>
                  </w:r>
                </w:p>
              </w:tc>
              <w:tc>
                <w:tcPr>
                  <w:tcW w:w="1123" w:type="dxa"/>
                  <w:vAlign w:val="center"/>
                </w:tcPr>
                <w:p w14:paraId="25A089A5">
                  <w:pPr>
                    <w:keepNext w:val="0"/>
                    <w:keepLines w:val="0"/>
                    <w:suppressLineNumbers w:val="0"/>
                    <w:spacing w:before="0" w:beforeAutospacing="0" w:after="0" w:afterAutospacing="0"/>
                    <w:ind w:left="0" w:right="0"/>
                    <w:jc w:val="center"/>
                    <w:rPr>
                      <w:rFonts w:hint="default" w:ascii="Times New Roman" w:hAnsi="Times New Roman" w:eastAsia="宋体" w:cs="Times New Roman"/>
                      <w:b/>
                      <w:bCs/>
                      <w:color w:val="auto"/>
                      <w:szCs w:val="21"/>
                    </w:rPr>
                  </w:pPr>
                  <w:r>
                    <w:rPr>
                      <w:rFonts w:hint="default" w:ascii="Times New Roman" w:hAnsi="Times New Roman" w:eastAsia="宋体" w:cs="Times New Roman"/>
                      <w:b/>
                      <w:bCs/>
                      <w:color w:val="auto"/>
                      <w:szCs w:val="21"/>
                    </w:rPr>
                    <w:t>环境影响途径</w:t>
                  </w:r>
                </w:p>
              </w:tc>
            </w:tr>
            <w:tr w14:paraId="2A28FA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398" w:type="dxa"/>
                  <w:vAlign w:val="center"/>
                </w:tcPr>
                <w:p w14:paraId="5274E698">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rPr>
                    <w:t>1</w:t>
                  </w:r>
                </w:p>
              </w:tc>
              <w:tc>
                <w:tcPr>
                  <w:tcW w:w="1085" w:type="dxa"/>
                  <w:vAlign w:val="center"/>
                </w:tcPr>
                <w:p w14:paraId="646C799B">
                  <w:pPr>
                    <w:keepNext w:val="0"/>
                    <w:keepLines w:val="0"/>
                    <w:widowControl w:val="0"/>
                    <w:suppressLineNumbers w:val="0"/>
                    <w:spacing w:before="0" w:beforeAutospacing="0" w:after="0" w:afterAutospacing="0"/>
                    <w:ind w:left="0" w:right="0"/>
                    <w:jc w:val="center"/>
                    <w:rPr>
                      <w:rFonts w:hint="eastAsia" w:ascii="宋体" w:hAnsi="宋体" w:eastAsia="宋体" w:cs="宋体"/>
                      <w:color w:val="auto"/>
                      <w:kern w:val="2"/>
                      <w:sz w:val="21"/>
                      <w:szCs w:val="21"/>
                      <w:highlight w:val="none"/>
                      <w:lang w:val="en-US" w:eastAsia="zh-CN" w:bidi="ar"/>
                    </w:rPr>
                  </w:pPr>
                  <w:r>
                    <w:rPr>
                      <w:rFonts w:hint="eastAsia" w:ascii="宋体" w:hAnsi="宋体" w:eastAsia="宋体" w:cs="宋体"/>
                      <w:color w:val="auto"/>
                      <w:kern w:val="2"/>
                      <w:sz w:val="21"/>
                      <w:szCs w:val="21"/>
                      <w:highlight w:val="none"/>
                      <w:lang w:val="en-US" w:eastAsia="zh-CN" w:bidi="ar"/>
                    </w:rPr>
                    <w:t>化学品</w:t>
                  </w:r>
                </w:p>
                <w:p w14:paraId="1104981F">
                  <w:pPr>
                    <w:keepNext w:val="0"/>
                    <w:keepLines w:val="0"/>
                    <w:widowControl w:val="0"/>
                    <w:suppressLineNumbers w:val="0"/>
                    <w:spacing w:before="0" w:beforeAutospacing="0" w:after="0" w:afterAutospacing="0"/>
                    <w:ind w:left="0" w:leftChars="0" w:right="0" w:rightChars="0"/>
                    <w:jc w:val="center"/>
                    <w:rPr>
                      <w:rFonts w:hint="default" w:ascii="Times New Roman" w:hAnsi="Times New Roman" w:eastAsia="宋体" w:cs="Times New Roman"/>
                      <w:color w:val="auto"/>
                      <w:szCs w:val="21"/>
                    </w:rPr>
                  </w:pPr>
                  <w:r>
                    <w:rPr>
                      <w:rFonts w:hint="eastAsia" w:ascii="宋体" w:hAnsi="宋体" w:eastAsia="宋体" w:cs="宋体"/>
                      <w:color w:val="auto"/>
                      <w:kern w:val="2"/>
                      <w:sz w:val="21"/>
                      <w:szCs w:val="21"/>
                      <w:highlight w:val="none"/>
                      <w:lang w:val="en-US" w:eastAsia="zh-CN" w:bidi="ar"/>
                    </w:rPr>
                    <w:t>仓库</w:t>
                  </w:r>
                </w:p>
              </w:tc>
              <w:tc>
                <w:tcPr>
                  <w:tcW w:w="1500" w:type="dxa"/>
                  <w:vAlign w:val="center"/>
                </w:tcPr>
                <w:p w14:paraId="698DE0D0">
                  <w:pPr>
                    <w:keepNext w:val="0"/>
                    <w:keepLines w:val="0"/>
                    <w:widowControl w:val="0"/>
                    <w:suppressLineNumbers w:val="0"/>
                    <w:spacing w:before="0" w:beforeAutospacing="0" w:after="0" w:afterAutospacing="0"/>
                    <w:ind w:left="0" w:leftChars="0" w:right="0" w:rightChars="0"/>
                    <w:jc w:val="center"/>
                    <w:rPr>
                      <w:rFonts w:hint="default" w:ascii="Times New Roman" w:hAnsi="Times New Roman" w:eastAsia="宋体" w:cs="Times New Roman"/>
                      <w:color w:val="auto"/>
                      <w:szCs w:val="21"/>
                    </w:rPr>
                  </w:pPr>
                  <w:r>
                    <w:rPr>
                      <w:rFonts w:hint="default" w:ascii="Times New Roman" w:hAnsi="Times New Roman" w:eastAsia="宋体" w:cs="Times New Roman"/>
                      <w:color w:val="auto"/>
                      <w:kern w:val="2"/>
                      <w:sz w:val="21"/>
                      <w:szCs w:val="21"/>
                      <w:highlight w:val="none"/>
                      <w:lang w:val="en-US" w:eastAsia="zh-CN" w:bidi="ar"/>
                    </w:rPr>
                    <w:t>化学品暂存区</w:t>
                  </w:r>
                </w:p>
              </w:tc>
              <w:tc>
                <w:tcPr>
                  <w:tcW w:w="2670" w:type="dxa"/>
                  <w:vAlign w:val="center"/>
                </w:tcPr>
                <w:p w14:paraId="02F67ECE">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lang w:val="en-US" w:eastAsia="zh-CN"/>
                    </w:rPr>
                    <w:t>陶瓷基料混合物</w:t>
                  </w:r>
                  <w:r>
                    <w:rPr>
                      <w:rFonts w:hint="default" w:ascii="Times New Roman" w:hAnsi="Times New Roman" w:eastAsia="宋体" w:cs="Times New Roman"/>
                      <w:color w:val="auto"/>
                      <w:szCs w:val="21"/>
                    </w:rPr>
                    <w:t>、</w:t>
                  </w:r>
                  <w:r>
                    <w:rPr>
                      <w:rFonts w:hint="default" w:ascii="Times New Roman" w:hAnsi="Times New Roman" w:eastAsia="宋体" w:cs="Times New Roman"/>
                      <w:color w:val="auto"/>
                      <w:szCs w:val="21"/>
                      <w:lang w:val="en-US" w:eastAsia="zh-CN"/>
                    </w:rPr>
                    <w:t>背胶处理剂</w:t>
                  </w:r>
                  <w:r>
                    <w:rPr>
                      <w:rFonts w:hint="eastAsia" w:ascii="Times New Roman" w:hAnsi="Times New Roman" w:eastAsia="宋体" w:cs="Times New Roman"/>
                      <w:color w:val="auto"/>
                      <w:szCs w:val="21"/>
                      <w:lang w:val="en-US" w:eastAsia="zh-CN"/>
                    </w:rPr>
                    <w:t>、</w:t>
                  </w:r>
                  <w:r>
                    <w:rPr>
                      <w:rFonts w:hint="default" w:ascii="Times New Roman" w:hAnsi="Times New Roman" w:eastAsia="宋体" w:cs="Times New Roman"/>
                      <w:color w:val="auto"/>
                      <w:szCs w:val="21"/>
                    </w:rPr>
                    <w:t>润滑油</w:t>
                  </w:r>
                </w:p>
              </w:tc>
              <w:tc>
                <w:tcPr>
                  <w:tcW w:w="1410" w:type="dxa"/>
                  <w:vMerge w:val="restart"/>
                  <w:vAlign w:val="center"/>
                </w:tcPr>
                <w:p w14:paraId="456B6640">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rPr>
                    <w:t>泄漏</w:t>
                  </w:r>
                </w:p>
              </w:tc>
              <w:tc>
                <w:tcPr>
                  <w:tcW w:w="1123" w:type="dxa"/>
                  <w:vMerge w:val="restart"/>
                  <w:vAlign w:val="center"/>
                </w:tcPr>
                <w:p w14:paraId="443E6EAF">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rPr>
                    <w:t>地表径流、土壤渗透</w:t>
                  </w:r>
                </w:p>
              </w:tc>
            </w:tr>
            <w:tr w14:paraId="3182D2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398" w:type="dxa"/>
                  <w:vAlign w:val="center"/>
                </w:tcPr>
                <w:p w14:paraId="0119332E">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rPr>
                    <w:t>2</w:t>
                  </w:r>
                </w:p>
              </w:tc>
              <w:tc>
                <w:tcPr>
                  <w:tcW w:w="1085" w:type="dxa"/>
                  <w:vAlign w:val="center"/>
                </w:tcPr>
                <w:p w14:paraId="3ECD0F14">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rPr>
                    <w:t>危废仓库</w:t>
                  </w:r>
                </w:p>
              </w:tc>
              <w:tc>
                <w:tcPr>
                  <w:tcW w:w="1500" w:type="dxa"/>
                  <w:vAlign w:val="center"/>
                </w:tcPr>
                <w:p w14:paraId="5BC841EA">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rPr>
                    <w:t>危废暂存区</w:t>
                  </w:r>
                </w:p>
              </w:tc>
              <w:tc>
                <w:tcPr>
                  <w:tcW w:w="2670" w:type="dxa"/>
                  <w:vAlign w:val="center"/>
                </w:tcPr>
                <w:p w14:paraId="2C959689">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rPr>
                    <w:t>危险废物</w:t>
                  </w:r>
                </w:p>
              </w:tc>
              <w:tc>
                <w:tcPr>
                  <w:tcW w:w="1410" w:type="dxa"/>
                  <w:vMerge w:val="continue"/>
                  <w:vAlign w:val="center"/>
                </w:tcPr>
                <w:p w14:paraId="01BCC829">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p>
              </w:tc>
              <w:tc>
                <w:tcPr>
                  <w:tcW w:w="1123" w:type="dxa"/>
                  <w:vMerge w:val="continue"/>
                  <w:vAlign w:val="center"/>
                </w:tcPr>
                <w:p w14:paraId="42577DD3">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p>
              </w:tc>
            </w:tr>
            <w:tr w14:paraId="5FE4AF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398" w:type="dxa"/>
                  <w:vAlign w:val="center"/>
                </w:tcPr>
                <w:p w14:paraId="6D14323A">
                  <w:pPr>
                    <w:keepNext w:val="0"/>
                    <w:keepLines w:val="0"/>
                    <w:suppressLineNumbers w:val="0"/>
                    <w:spacing w:before="0" w:beforeAutospacing="0" w:after="0" w:afterAutospacing="0"/>
                    <w:ind w:left="0" w:right="0"/>
                    <w:jc w:val="center"/>
                    <w:rPr>
                      <w:rFonts w:hint="eastAsia" w:ascii="Times New Roman" w:hAnsi="Times New Roman" w:eastAsia="宋体" w:cs="Times New Roman"/>
                      <w:color w:val="auto"/>
                      <w:szCs w:val="21"/>
                      <w:lang w:val="en-US" w:eastAsia="zh-CN"/>
                    </w:rPr>
                  </w:pPr>
                  <w:r>
                    <w:rPr>
                      <w:rFonts w:hint="eastAsia" w:ascii="Times New Roman" w:hAnsi="Times New Roman" w:eastAsia="宋体" w:cs="Times New Roman"/>
                      <w:color w:val="auto"/>
                      <w:szCs w:val="21"/>
                      <w:lang w:val="en-US" w:eastAsia="zh-CN"/>
                    </w:rPr>
                    <w:t>3</w:t>
                  </w:r>
                </w:p>
              </w:tc>
              <w:tc>
                <w:tcPr>
                  <w:tcW w:w="1085" w:type="dxa"/>
                  <w:shd w:val="clear" w:color="auto" w:fill="auto"/>
                  <w:vAlign w:val="center"/>
                </w:tcPr>
                <w:p w14:paraId="6A323ECD">
                  <w:pPr>
                    <w:keepNext w:val="0"/>
                    <w:keepLines w:val="0"/>
                    <w:widowControl w:val="0"/>
                    <w:suppressLineNumbers w:val="0"/>
                    <w:spacing w:before="0" w:beforeAutospacing="0" w:after="0" w:afterAutospacing="0"/>
                    <w:ind w:left="0" w:leftChars="0" w:right="0" w:rightChars="0"/>
                    <w:jc w:val="center"/>
                    <w:rPr>
                      <w:rFonts w:hint="default" w:ascii="Times New Roman" w:hAnsi="Times New Roman" w:eastAsia="宋体" w:cs="Times New Roman"/>
                      <w:color w:val="auto"/>
                      <w:kern w:val="2"/>
                      <w:sz w:val="21"/>
                      <w:szCs w:val="21"/>
                      <w:highlight w:val="none"/>
                      <w:lang w:val="en-US" w:eastAsia="zh-CN" w:bidi="ar-SA"/>
                    </w:rPr>
                  </w:pPr>
                  <w:r>
                    <w:rPr>
                      <w:rFonts w:hint="eastAsia" w:ascii="宋体" w:hAnsi="宋体" w:eastAsia="宋体" w:cs="宋体"/>
                      <w:color w:val="auto"/>
                      <w:kern w:val="2"/>
                      <w:sz w:val="21"/>
                      <w:szCs w:val="21"/>
                      <w:highlight w:val="none"/>
                      <w:lang w:val="en-US" w:eastAsia="zh-CN" w:bidi="ar"/>
                    </w:rPr>
                    <w:t>废气处理设施</w:t>
                  </w:r>
                </w:p>
              </w:tc>
              <w:tc>
                <w:tcPr>
                  <w:tcW w:w="1500" w:type="dxa"/>
                  <w:shd w:val="clear" w:color="auto" w:fill="auto"/>
                  <w:vAlign w:val="center"/>
                </w:tcPr>
                <w:p w14:paraId="3B5CCF4B">
                  <w:pPr>
                    <w:keepNext w:val="0"/>
                    <w:keepLines w:val="0"/>
                    <w:widowControl w:val="0"/>
                    <w:suppressLineNumbers w:val="0"/>
                    <w:spacing w:before="0" w:beforeAutospacing="0" w:after="0" w:afterAutospacing="0"/>
                    <w:ind w:left="0" w:leftChars="0" w:right="0" w:rightChars="0"/>
                    <w:jc w:val="center"/>
                    <w:rPr>
                      <w:rFonts w:hint="default" w:ascii="Times New Roman" w:hAnsi="Times New Roman" w:eastAsia="宋体" w:cs="Times New Roman"/>
                      <w:color w:val="auto"/>
                      <w:kern w:val="2"/>
                      <w:sz w:val="21"/>
                      <w:szCs w:val="21"/>
                      <w:highlight w:val="none"/>
                      <w:lang w:val="en-US" w:eastAsia="zh-CN" w:bidi="ar-SA"/>
                    </w:rPr>
                  </w:pPr>
                  <w:r>
                    <w:rPr>
                      <w:rFonts w:hint="eastAsia" w:ascii="宋体" w:hAnsi="宋体" w:eastAsia="宋体" w:cs="宋体"/>
                      <w:color w:val="auto"/>
                      <w:kern w:val="2"/>
                      <w:sz w:val="21"/>
                      <w:szCs w:val="21"/>
                      <w:highlight w:val="none"/>
                      <w:lang w:val="en-US" w:eastAsia="zh-CN" w:bidi="ar"/>
                    </w:rPr>
                    <w:t>废气处理装置</w:t>
                  </w:r>
                </w:p>
              </w:tc>
              <w:tc>
                <w:tcPr>
                  <w:tcW w:w="2670" w:type="dxa"/>
                  <w:vAlign w:val="center"/>
                </w:tcPr>
                <w:p w14:paraId="2707902D">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lang w:val="en-US" w:eastAsia="zh-CN"/>
                    </w:rPr>
                    <w:t>颗粒物、非甲烷总烃、臭气浓度</w:t>
                  </w:r>
                </w:p>
              </w:tc>
              <w:tc>
                <w:tcPr>
                  <w:tcW w:w="1410" w:type="dxa"/>
                  <w:vAlign w:val="center"/>
                </w:tcPr>
                <w:p w14:paraId="739BE8A0">
                  <w:pPr>
                    <w:keepNext w:val="0"/>
                    <w:keepLines w:val="0"/>
                    <w:widowControl w:val="0"/>
                    <w:suppressLineNumbers w:val="0"/>
                    <w:spacing w:before="0" w:beforeAutospacing="0" w:after="0" w:afterAutospacing="0"/>
                    <w:ind w:left="0" w:leftChars="0" w:right="0" w:rightChars="0"/>
                    <w:jc w:val="center"/>
                    <w:rPr>
                      <w:rFonts w:hint="default" w:ascii="Times New Roman" w:hAnsi="Times New Roman" w:eastAsia="宋体" w:cs="Times New Roman"/>
                      <w:color w:val="auto"/>
                      <w:szCs w:val="21"/>
                    </w:rPr>
                  </w:pPr>
                  <w:r>
                    <w:rPr>
                      <w:rFonts w:hint="eastAsia" w:ascii="宋体" w:hAnsi="宋体" w:eastAsia="宋体" w:cs="宋体"/>
                      <w:color w:val="auto"/>
                      <w:kern w:val="2"/>
                      <w:sz w:val="21"/>
                      <w:szCs w:val="21"/>
                      <w:highlight w:val="none"/>
                      <w:lang w:val="en-US" w:eastAsia="zh-CN" w:bidi="ar"/>
                    </w:rPr>
                    <w:t>装置故障、废气超标排放</w:t>
                  </w:r>
                </w:p>
              </w:tc>
              <w:tc>
                <w:tcPr>
                  <w:tcW w:w="1123" w:type="dxa"/>
                  <w:vAlign w:val="center"/>
                </w:tcPr>
                <w:p w14:paraId="49BF1924">
                  <w:pPr>
                    <w:keepNext w:val="0"/>
                    <w:keepLines w:val="0"/>
                    <w:widowControl w:val="0"/>
                    <w:suppressLineNumbers w:val="0"/>
                    <w:spacing w:before="0" w:beforeAutospacing="0" w:after="0" w:afterAutospacing="0"/>
                    <w:ind w:left="0" w:leftChars="0" w:right="0" w:rightChars="0"/>
                    <w:jc w:val="center"/>
                    <w:rPr>
                      <w:rFonts w:hint="default" w:ascii="Times New Roman" w:hAnsi="Times New Roman" w:eastAsia="宋体" w:cs="Times New Roman"/>
                      <w:color w:val="auto"/>
                      <w:szCs w:val="21"/>
                    </w:rPr>
                  </w:pPr>
                  <w:r>
                    <w:rPr>
                      <w:rFonts w:hint="eastAsia" w:ascii="宋体" w:hAnsi="宋体" w:eastAsia="宋体" w:cs="宋体"/>
                      <w:color w:val="auto"/>
                      <w:kern w:val="2"/>
                      <w:sz w:val="21"/>
                      <w:szCs w:val="21"/>
                      <w:highlight w:val="none"/>
                      <w:lang w:val="en-US" w:eastAsia="zh-CN" w:bidi="ar"/>
                    </w:rPr>
                    <w:t>扩散至大气环境</w:t>
                  </w:r>
                </w:p>
              </w:tc>
            </w:tr>
            <w:tr w14:paraId="4C0694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398" w:type="dxa"/>
                  <w:vAlign w:val="center"/>
                </w:tcPr>
                <w:p w14:paraId="02D58130">
                  <w:pPr>
                    <w:keepNext w:val="0"/>
                    <w:keepLines w:val="0"/>
                    <w:suppressLineNumbers w:val="0"/>
                    <w:spacing w:before="0" w:beforeAutospacing="0" w:after="0" w:afterAutospacing="0"/>
                    <w:ind w:left="0" w:right="0"/>
                    <w:jc w:val="center"/>
                    <w:rPr>
                      <w:rFonts w:hint="eastAsia" w:ascii="Times New Roman" w:hAnsi="Times New Roman" w:eastAsia="宋体" w:cs="Times New Roman"/>
                      <w:color w:val="auto"/>
                      <w:szCs w:val="21"/>
                      <w:lang w:eastAsia="zh-CN"/>
                    </w:rPr>
                  </w:pPr>
                  <w:r>
                    <w:rPr>
                      <w:rFonts w:hint="eastAsia" w:ascii="Times New Roman" w:hAnsi="Times New Roman" w:eastAsia="宋体" w:cs="Times New Roman"/>
                      <w:color w:val="auto"/>
                      <w:szCs w:val="21"/>
                      <w:lang w:val="en-US" w:eastAsia="zh-CN"/>
                    </w:rPr>
                    <w:t>4</w:t>
                  </w:r>
                </w:p>
              </w:tc>
              <w:tc>
                <w:tcPr>
                  <w:tcW w:w="1085" w:type="dxa"/>
                  <w:vAlign w:val="center"/>
                </w:tcPr>
                <w:p w14:paraId="53C9C6DC">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rPr>
                    <w:t>生产车间</w:t>
                  </w:r>
                </w:p>
              </w:tc>
              <w:tc>
                <w:tcPr>
                  <w:tcW w:w="1500" w:type="dxa"/>
                  <w:vAlign w:val="center"/>
                </w:tcPr>
                <w:p w14:paraId="7EDEB725">
                  <w:pPr>
                    <w:keepNext w:val="0"/>
                    <w:keepLines w:val="0"/>
                    <w:widowControl w:val="0"/>
                    <w:suppressLineNumbers w:val="0"/>
                    <w:spacing w:before="0" w:beforeAutospacing="0" w:after="0" w:afterAutospacing="0"/>
                    <w:ind w:left="0" w:leftChars="0" w:right="0" w:rightChars="0"/>
                    <w:jc w:val="center"/>
                    <w:rPr>
                      <w:rFonts w:hint="default" w:ascii="Times New Roman" w:hAnsi="Times New Roman" w:eastAsia="宋体" w:cs="Times New Roman"/>
                      <w:color w:val="auto"/>
                      <w:szCs w:val="21"/>
                    </w:rPr>
                  </w:pPr>
                  <w:r>
                    <w:rPr>
                      <w:rFonts w:hint="eastAsia" w:ascii="宋体" w:hAnsi="宋体" w:eastAsia="宋体" w:cs="宋体"/>
                      <w:color w:val="auto"/>
                      <w:kern w:val="2"/>
                      <w:sz w:val="21"/>
                      <w:szCs w:val="21"/>
                      <w:highlight w:val="none"/>
                      <w:lang w:val="en-US" w:eastAsia="zh-CN" w:bidi="ar"/>
                    </w:rPr>
                    <w:t>生产区域</w:t>
                  </w:r>
                </w:p>
              </w:tc>
              <w:tc>
                <w:tcPr>
                  <w:tcW w:w="2670" w:type="dxa"/>
                  <w:vAlign w:val="center"/>
                </w:tcPr>
                <w:p w14:paraId="4124F363">
                  <w:pPr>
                    <w:keepNext w:val="0"/>
                    <w:keepLines w:val="0"/>
                    <w:widowControl w:val="0"/>
                    <w:suppressLineNumbers w:val="0"/>
                    <w:spacing w:before="0" w:beforeAutospacing="0" w:after="0" w:afterAutospacing="0"/>
                    <w:ind w:left="0" w:leftChars="0" w:right="0" w:rightChars="0"/>
                    <w:jc w:val="center"/>
                    <w:rPr>
                      <w:rFonts w:hint="default" w:ascii="Times New Roman" w:hAnsi="Times New Roman" w:eastAsia="宋体" w:cs="Times New Roman"/>
                      <w:color w:val="auto"/>
                      <w:szCs w:val="21"/>
                    </w:rPr>
                  </w:pPr>
                  <w:r>
                    <w:rPr>
                      <w:rFonts w:hint="eastAsia" w:ascii="宋体" w:hAnsi="宋体" w:eastAsia="宋体" w:cs="宋体"/>
                      <w:color w:val="auto"/>
                      <w:kern w:val="2"/>
                      <w:sz w:val="21"/>
                      <w:szCs w:val="21"/>
                      <w:highlight w:val="none"/>
                      <w:lang w:val="en-US" w:eastAsia="zh-CN" w:bidi="ar"/>
                    </w:rPr>
                    <w:t>电线老化</w:t>
                  </w:r>
                </w:p>
              </w:tc>
              <w:tc>
                <w:tcPr>
                  <w:tcW w:w="1410" w:type="dxa"/>
                  <w:vAlign w:val="center"/>
                </w:tcPr>
                <w:p w14:paraId="4199FB00">
                  <w:pPr>
                    <w:keepNext w:val="0"/>
                    <w:keepLines w:val="0"/>
                    <w:widowControl w:val="0"/>
                    <w:suppressLineNumbers w:val="0"/>
                    <w:spacing w:before="0" w:beforeAutospacing="0" w:after="0" w:afterAutospacing="0"/>
                    <w:ind w:left="0" w:leftChars="0" w:right="0" w:rightChars="0"/>
                    <w:jc w:val="center"/>
                    <w:rPr>
                      <w:rFonts w:hint="default" w:ascii="Times New Roman" w:hAnsi="Times New Roman" w:eastAsia="宋体" w:cs="Times New Roman"/>
                      <w:color w:val="auto"/>
                      <w:szCs w:val="21"/>
                    </w:rPr>
                  </w:pPr>
                  <w:r>
                    <w:rPr>
                      <w:rFonts w:hint="eastAsia" w:ascii="宋体" w:hAnsi="宋体" w:eastAsia="宋体" w:cs="宋体"/>
                      <w:color w:val="auto"/>
                      <w:kern w:val="2"/>
                      <w:sz w:val="21"/>
                      <w:szCs w:val="21"/>
                      <w:highlight w:val="none"/>
                      <w:lang w:val="en-US" w:eastAsia="zh-CN" w:bidi="ar"/>
                    </w:rPr>
                    <w:t>火灾及其引起次生灾害爆炸事故</w:t>
                  </w:r>
                </w:p>
              </w:tc>
              <w:tc>
                <w:tcPr>
                  <w:tcW w:w="1123" w:type="dxa"/>
                  <w:vAlign w:val="center"/>
                </w:tcPr>
                <w:p w14:paraId="4B3F0744">
                  <w:pPr>
                    <w:keepNext w:val="0"/>
                    <w:keepLines w:val="0"/>
                    <w:widowControl w:val="0"/>
                    <w:suppressLineNumbers w:val="0"/>
                    <w:spacing w:before="0" w:beforeAutospacing="0" w:after="0" w:afterAutospacing="0"/>
                    <w:ind w:left="0" w:leftChars="0" w:right="0" w:rightChars="0"/>
                    <w:jc w:val="center"/>
                    <w:rPr>
                      <w:rFonts w:hint="default" w:ascii="Times New Roman" w:hAnsi="Times New Roman" w:eastAsia="宋体" w:cs="Times New Roman"/>
                      <w:color w:val="auto"/>
                      <w:szCs w:val="21"/>
                    </w:rPr>
                  </w:pPr>
                  <w:r>
                    <w:rPr>
                      <w:rFonts w:hint="eastAsia" w:ascii="宋体" w:hAnsi="宋体" w:eastAsia="宋体" w:cs="宋体"/>
                      <w:color w:val="auto"/>
                      <w:kern w:val="2"/>
                      <w:sz w:val="21"/>
                      <w:szCs w:val="21"/>
                      <w:highlight w:val="none"/>
                      <w:lang w:val="en-US" w:eastAsia="zh-CN" w:bidi="ar"/>
                    </w:rPr>
                    <w:t>扩散至大气环境、地表径流</w:t>
                  </w:r>
                </w:p>
              </w:tc>
            </w:tr>
          </w:tbl>
          <w:p w14:paraId="5F3A99E1">
            <w:pPr>
              <w:keepNext w:val="0"/>
              <w:keepLines w:val="0"/>
              <w:suppressLineNumbers w:val="0"/>
              <w:spacing w:before="0" w:beforeAutospacing="0" w:after="0" w:afterAutospacing="0" w:line="360" w:lineRule="auto"/>
              <w:ind w:left="0" w:right="0" w:firstLine="480" w:firstLineChars="200"/>
              <w:rPr>
                <w:rFonts w:hint="default" w:ascii="Times New Roman" w:hAnsi="Times New Roman" w:eastAsia="宋体" w:cs="Times New Roman"/>
                <w:color w:val="auto"/>
                <w:sz w:val="24"/>
              </w:rPr>
            </w:pPr>
            <w:r>
              <w:rPr>
                <w:rFonts w:hint="default" w:ascii="Times New Roman" w:hAnsi="Times New Roman" w:eastAsia="宋体" w:cs="Times New Roman"/>
                <w:color w:val="auto"/>
                <w:sz w:val="24"/>
                <w:lang w:val="en-US" w:eastAsia="zh-CN"/>
              </w:rPr>
              <w:t>（2）环境敏感目标调查</w:t>
            </w:r>
          </w:p>
          <w:p w14:paraId="4C2C769A">
            <w:pPr>
              <w:keepNext w:val="0"/>
              <w:keepLines w:val="0"/>
              <w:suppressLineNumbers w:val="0"/>
              <w:spacing w:before="0" w:beforeAutospacing="0" w:after="0" w:afterAutospacing="0" w:line="360" w:lineRule="auto"/>
              <w:ind w:left="0" w:right="0" w:firstLine="480" w:firstLineChars="200"/>
              <w:rPr>
                <w:rFonts w:hint="default" w:ascii="Times New Roman" w:hAnsi="Times New Roman" w:eastAsia="宋体" w:cs="Times New Roman"/>
                <w:color w:val="auto"/>
                <w:sz w:val="24"/>
                <w:lang w:val="en-US" w:eastAsia="zh-CN"/>
              </w:rPr>
            </w:pPr>
            <w:r>
              <w:rPr>
                <w:rFonts w:hint="default" w:ascii="Times New Roman" w:hAnsi="Times New Roman" w:eastAsia="宋体" w:cs="Times New Roman"/>
                <w:color w:val="auto"/>
                <w:sz w:val="24"/>
                <w:lang w:val="en-US" w:eastAsia="zh-CN"/>
              </w:rPr>
              <w:t>①大气环境敏感点排查。厂区所在区域属大气环境二类功能区，执行大气环境质量标准的二级标准。大气环境风险受体主要为周边的居民点。</w:t>
            </w:r>
          </w:p>
          <w:p w14:paraId="314651F6">
            <w:pPr>
              <w:keepNext w:val="0"/>
              <w:keepLines w:val="0"/>
              <w:suppressLineNumbers w:val="0"/>
              <w:spacing w:before="0" w:beforeAutospacing="0" w:after="0" w:afterAutospacing="0" w:line="360" w:lineRule="auto"/>
              <w:ind w:left="0" w:right="0" w:firstLine="480" w:firstLineChars="200"/>
              <w:rPr>
                <w:rFonts w:hint="default" w:ascii="Times New Roman" w:hAnsi="Times New Roman" w:eastAsia="宋体" w:cs="Times New Roman"/>
                <w:color w:val="auto"/>
                <w:sz w:val="24"/>
                <w:highlight w:val="yellow"/>
                <w:lang w:val="en-US" w:eastAsia="zh-CN"/>
              </w:rPr>
            </w:pPr>
            <w:r>
              <w:rPr>
                <w:rFonts w:hint="default" w:ascii="Times New Roman" w:hAnsi="Times New Roman" w:eastAsia="宋体" w:cs="Times New Roman"/>
                <w:color w:val="auto"/>
                <w:sz w:val="24"/>
                <w:lang w:val="en-US" w:eastAsia="zh-CN"/>
              </w:rPr>
              <w:t>②水环境敏感性排查。根据调查，在项目所在地附近区域内附近无饮用水源保护区，也没有自然保护区和珍稀水生生物保护区。</w:t>
            </w:r>
            <w:r>
              <w:rPr>
                <w:rFonts w:hint="default" w:ascii="Times New Roman" w:hAnsi="Times New Roman" w:eastAsia="宋体" w:cs="Times New Roman"/>
                <w:color w:val="auto"/>
                <w:sz w:val="24"/>
                <w:highlight w:val="none"/>
                <w:lang w:val="en-US" w:eastAsia="zh-CN"/>
              </w:rPr>
              <w:t>周边地表水主要为浑泥港，属Ⅲ类水体功能区。项目所在地区无地下水饮用水取水点等敏感目标。</w:t>
            </w:r>
          </w:p>
          <w:p w14:paraId="6389C91D">
            <w:pPr>
              <w:keepNext w:val="0"/>
              <w:keepLines w:val="0"/>
              <w:suppressLineNumbers w:val="0"/>
              <w:spacing w:before="0" w:beforeAutospacing="0" w:after="0" w:afterAutospacing="0" w:line="360" w:lineRule="auto"/>
              <w:ind w:left="0" w:right="0" w:firstLine="480" w:firstLineChars="200"/>
              <w:rPr>
                <w:rFonts w:hint="default" w:ascii="Times New Roman" w:hAnsi="Times New Roman" w:eastAsia="宋体" w:cs="Times New Roman"/>
                <w:color w:val="auto"/>
                <w:sz w:val="24"/>
                <w:lang w:val="en-US" w:eastAsia="zh-CN"/>
              </w:rPr>
            </w:pPr>
            <w:r>
              <w:rPr>
                <w:rFonts w:hint="default" w:ascii="Times New Roman" w:hAnsi="Times New Roman" w:eastAsia="宋体" w:cs="Times New Roman"/>
                <w:color w:val="auto"/>
                <w:sz w:val="24"/>
                <w:lang w:val="en-US" w:eastAsia="zh-CN"/>
              </w:rPr>
              <w:t>③生态红线排查。项目不在</w:t>
            </w:r>
            <w:r>
              <w:rPr>
                <w:rFonts w:hint="eastAsia" w:ascii="Times New Roman" w:hAnsi="Times New Roman" w:eastAsia="宋体" w:cs="Times New Roman"/>
                <w:color w:val="auto"/>
                <w:sz w:val="24"/>
                <w:lang w:val="en-US" w:eastAsia="zh-CN"/>
              </w:rPr>
              <w:t>安吉</w:t>
            </w:r>
            <w:r>
              <w:rPr>
                <w:rFonts w:hint="default" w:ascii="Times New Roman" w:hAnsi="Times New Roman" w:eastAsia="宋体" w:cs="Times New Roman"/>
                <w:color w:val="auto"/>
                <w:sz w:val="24"/>
                <w:lang w:val="en-US" w:eastAsia="zh-CN"/>
              </w:rPr>
              <w:t>县生态红线范围内。</w:t>
            </w:r>
          </w:p>
          <w:p w14:paraId="1E86D7EC">
            <w:pPr>
              <w:keepNext w:val="0"/>
              <w:keepLines w:val="0"/>
              <w:suppressLineNumbers w:val="0"/>
              <w:spacing w:before="0" w:beforeAutospacing="0" w:after="0" w:afterAutospacing="0" w:line="360" w:lineRule="auto"/>
              <w:ind w:left="0" w:right="0" w:firstLine="480" w:firstLineChars="200"/>
              <w:rPr>
                <w:rFonts w:hint="default" w:ascii="Times New Roman" w:hAnsi="Times New Roman" w:eastAsia="宋体" w:cs="Times New Roman"/>
                <w:color w:val="auto"/>
                <w:sz w:val="24"/>
              </w:rPr>
            </w:pPr>
            <w:r>
              <w:rPr>
                <w:rFonts w:hint="default" w:ascii="Times New Roman" w:hAnsi="Times New Roman" w:eastAsia="宋体" w:cs="Times New Roman"/>
                <w:color w:val="auto"/>
                <w:sz w:val="24"/>
                <w:lang w:val="en-US" w:eastAsia="zh-CN"/>
              </w:rPr>
              <w:t>④其它环境敏感性排查。本项目所在区不涉及文物古迹、古树名木等保护对象，也不属于水土流失重点防治区。</w:t>
            </w:r>
          </w:p>
          <w:p w14:paraId="2BABA60F">
            <w:pPr>
              <w:keepNext w:val="0"/>
              <w:keepLines w:val="0"/>
              <w:widowControl w:val="0"/>
              <w:suppressLineNumbers w:val="0"/>
              <w:spacing w:before="0" w:beforeAutospacing="0" w:after="0" w:afterAutospacing="0" w:line="360" w:lineRule="auto"/>
              <w:ind w:left="0" w:right="0" w:firstLine="480" w:firstLineChars="200"/>
              <w:jc w:val="both"/>
              <w:rPr>
                <w:rFonts w:hint="default" w:ascii="Times New Roman" w:hAnsi="Times New Roman" w:eastAsia="宋体" w:cs="Times New Roman"/>
                <w:color w:val="auto"/>
                <w:kern w:val="2"/>
                <w:sz w:val="24"/>
                <w:szCs w:val="24"/>
              </w:rPr>
            </w:pPr>
            <w:r>
              <w:rPr>
                <w:rFonts w:hint="eastAsia" w:ascii="宋体" w:hAnsi="宋体" w:eastAsia="宋体" w:cs="宋体"/>
                <w:color w:val="auto"/>
                <w:kern w:val="2"/>
                <w:sz w:val="24"/>
                <w:szCs w:val="24"/>
                <w:lang w:val="en-US" w:eastAsia="zh-CN" w:bidi="ar"/>
              </w:rPr>
              <w:t>（</w:t>
            </w:r>
            <w:r>
              <w:rPr>
                <w:rFonts w:hint="default" w:ascii="Times New Roman" w:hAnsi="Times New Roman" w:eastAsia="宋体" w:cs="Times New Roman"/>
                <w:color w:val="auto"/>
                <w:kern w:val="2"/>
                <w:sz w:val="24"/>
                <w:szCs w:val="24"/>
                <w:lang w:val="en-US" w:eastAsia="zh-CN" w:bidi="ar"/>
              </w:rPr>
              <w:t>3</w:t>
            </w:r>
            <w:r>
              <w:rPr>
                <w:rFonts w:hint="eastAsia" w:ascii="宋体" w:hAnsi="宋体" w:eastAsia="宋体" w:cs="宋体"/>
                <w:color w:val="auto"/>
                <w:kern w:val="2"/>
                <w:sz w:val="24"/>
                <w:szCs w:val="24"/>
                <w:lang w:val="en-US" w:eastAsia="zh-CN" w:bidi="ar"/>
              </w:rPr>
              <w:t>）环境风险评价等级</w:t>
            </w:r>
          </w:p>
          <w:p w14:paraId="792ABAF0">
            <w:pPr>
              <w:keepNext w:val="0"/>
              <w:keepLines w:val="0"/>
              <w:widowControl w:val="0"/>
              <w:suppressLineNumbers w:val="0"/>
              <w:spacing w:before="0" w:beforeAutospacing="0" w:after="0" w:afterAutospacing="0" w:line="360" w:lineRule="auto"/>
              <w:ind w:left="0" w:right="0" w:firstLine="480" w:firstLineChars="200"/>
              <w:jc w:val="both"/>
              <w:rPr>
                <w:rFonts w:hint="default" w:ascii="Times New Roman" w:hAnsi="Times New Roman" w:eastAsia="宋体" w:cs="Times New Roman"/>
                <w:color w:val="auto"/>
                <w:kern w:val="2"/>
                <w:sz w:val="24"/>
                <w:szCs w:val="24"/>
              </w:rPr>
            </w:pPr>
            <w:r>
              <w:rPr>
                <w:rFonts w:hint="eastAsia" w:ascii="宋体" w:hAnsi="宋体" w:eastAsia="宋体" w:cs="宋体"/>
                <w:color w:val="auto"/>
                <w:kern w:val="2"/>
                <w:sz w:val="24"/>
                <w:szCs w:val="24"/>
                <w:lang w:val="en-US" w:eastAsia="zh-CN" w:bidi="ar"/>
              </w:rPr>
              <w:t>根据《建设项目环境风险评价技术导则》（</w:t>
            </w:r>
            <w:r>
              <w:rPr>
                <w:rFonts w:hint="default" w:ascii="Times New Roman" w:hAnsi="Times New Roman" w:eastAsia="宋体" w:cs="Times New Roman"/>
                <w:color w:val="auto"/>
                <w:kern w:val="2"/>
                <w:sz w:val="24"/>
                <w:szCs w:val="24"/>
                <w:lang w:val="en-US" w:eastAsia="zh-CN" w:bidi="ar"/>
              </w:rPr>
              <w:t>HJ169-2018</w:t>
            </w:r>
            <w:r>
              <w:rPr>
                <w:rFonts w:hint="eastAsia" w:ascii="宋体" w:hAnsi="宋体" w:eastAsia="宋体" w:cs="宋体"/>
                <w:color w:val="auto"/>
                <w:kern w:val="2"/>
                <w:sz w:val="24"/>
                <w:szCs w:val="24"/>
                <w:lang w:val="en-US" w:eastAsia="zh-CN" w:bidi="ar"/>
              </w:rPr>
              <w:t>）中的内容，环境风险评价工作等级划分为一级、二级、三级。根据建设项目涉及的物质及工艺系统危险性和所在地的环境敏感性确定环境风险潜势，再确定评价工作等级。</w:t>
            </w:r>
          </w:p>
          <w:p w14:paraId="2EDACBE9">
            <w:pPr>
              <w:keepNext w:val="0"/>
              <w:keepLines w:val="0"/>
              <w:widowControl w:val="0"/>
              <w:suppressLineNumbers w:val="0"/>
              <w:spacing w:before="0" w:beforeAutospacing="0" w:after="0" w:afterAutospacing="0" w:line="360" w:lineRule="auto"/>
              <w:ind w:left="0" w:right="0" w:firstLine="480" w:firstLineChars="200"/>
              <w:jc w:val="both"/>
              <w:rPr>
                <w:rFonts w:hint="default" w:ascii="Times New Roman" w:hAnsi="Times New Roman" w:eastAsia="宋体" w:cs="Times New Roman"/>
                <w:color w:val="auto"/>
                <w:kern w:val="2"/>
                <w:sz w:val="24"/>
                <w:szCs w:val="24"/>
              </w:rPr>
            </w:pPr>
            <w:r>
              <w:rPr>
                <w:rFonts w:hint="default" w:ascii="Times New Roman" w:hAnsi="Times New Roman" w:eastAsia="宋体" w:cs="Times New Roman"/>
                <w:color w:val="auto"/>
                <w:kern w:val="2"/>
                <w:sz w:val="24"/>
                <w:szCs w:val="24"/>
                <w:lang w:val="en-US" w:eastAsia="zh-CN" w:bidi="ar"/>
              </w:rPr>
              <w:t>①</w:t>
            </w:r>
            <w:r>
              <w:rPr>
                <w:rFonts w:hint="eastAsia" w:ascii="宋体" w:hAnsi="宋体" w:eastAsia="宋体" w:cs="宋体"/>
                <w:color w:val="auto"/>
                <w:kern w:val="2"/>
                <w:sz w:val="24"/>
                <w:szCs w:val="24"/>
                <w:lang w:val="en-US" w:eastAsia="zh-CN" w:bidi="ar"/>
              </w:rPr>
              <w:t>危险物质数量与临界量比值（</w:t>
            </w:r>
            <w:r>
              <w:rPr>
                <w:rFonts w:hint="default" w:ascii="Times New Roman" w:hAnsi="Times New Roman" w:eastAsia="宋体" w:cs="Times New Roman"/>
                <w:color w:val="auto"/>
                <w:kern w:val="2"/>
                <w:sz w:val="24"/>
                <w:szCs w:val="24"/>
                <w:lang w:val="en-US" w:eastAsia="zh-CN" w:bidi="ar"/>
              </w:rPr>
              <w:t>Q</w:t>
            </w:r>
            <w:r>
              <w:rPr>
                <w:rFonts w:hint="eastAsia" w:ascii="宋体" w:hAnsi="宋体" w:eastAsia="宋体" w:cs="宋体"/>
                <w:color w:val="auto"/>
                <w:kern w:val="2"/>
                <w:sz w:val="24"/>
                <w:szCs w:val="24"/>
                <w:lang w:val="en-US" w:eastAsia="zh-CN" w:bidi="ar"/>
              </w:rPr>
              <w:t>）</w:t>
            </w:r>
          </w:p>
          <w:p w14:paraId="1220AA6A">
            <w:pPr>
              <w:keepNext w:val="0"/>
              <w:keepLines w:val="0"/>
              <w:widowControl w:val="0"/>
              <w:suppressLineNumbers w:val="0"/>
              <w:autoSpaceDE w:val="0"/>
              <w:autoSpaceDN/>
              <w:spacing w:before="0" w:beforeAutospacing="0" w:after="0" w:afterAutospacing="0" w:line="360" w:lineRule="auto"/>
              <w:ind w:left="0" w:right="0" w:firstLine="480" w:firstLineChars="200"/>
              <w:jc w:val="both"/>
              <w:rPr>
                <w:rFonts w:hint="default" w:ascii="Times New Roman" w:hAnsi="Times New Roman" w:eastAsia="宋体" w:cs="Times New Roman"/>
                <w:color w:val="auto"/>
                <w:kern w:val="2"/>
                <w:sz w:val="24"/>
                <w:szCs w:val="24"/>
              </w:rPr>
            </w:pPr>
            <w:r>
              <w:rPr>
                <w:rFonts w:hint="eastAsia" w:ascii="宋体" w:hAnsi="宋体" w:eastAsia="宋体" w:cs="宋体"/>
                <w:color w:val="auto"/>
                <w:kern w:val="2"/>
                <w:sz w:val="24"/>
                <w:szCs w:val="24"/>
                <w:lang w:val="en-US" w:eastAsia="zh-CN" w:bidi="ar"/>
              </w:rPr>
              <w:t>计算所涉及的每种危险物质在厂界内的最大存在总量与其在附录</w:t>
            </w:r>
            <w:r>
              <w:rPr>
                <w:rFonts w:hint="default" w:ascii="Times New Roman" w:hAnsi="Times New Roman" w:eastAsia="宋体" w:cs="Times New Roman"/>
                <w:color w:val="auto"/>
                <w:kern w:val="2"/>
                <w:sz w:val="24"/>
                <w:szCs w:val="24"/>
                <w:lang w:val="en-US" w:eastAsia="zh-CN" w:bidi="ar"/>
              </w:rPr>
              <w:t>B</w:t>
            </w:r>
            <w:r>
              <w:rPr>
                <w:rFonts w:hint="eastAsia" w:ascii="宋体" w:hAnsi="宋体" w:eastAsia="宋体" w:cs="宋体"/>
                <w:color w:val="auto"/>
                <w:kern w:val="2"/>
                <w:sz w:val="24"/>
                <w:szCs w:val="24"/>
                <w:lang w:val="en-US" w:eastAsia="zh-CN" w:bidi="ar"/>
              </w:rPr>
              <w:t>中对应临界量的比值</w:t>
            </w:r>
            <w:r>
              <w:rPr>
                <w:rFonts w:hint="default" w:ascii="Times New Roman" w:hAnsi="Times New Roman" w:eastAsia="宋体" w:cs="Times New Roman"/>
                <w:color w:val="auto"/>
                <w:kern w:val="2"/>
                <w:sz w:val="24"/>
                <w:szCs w:val="24"/>
                <w:lang w:val="en-US" w:eastAsia="zh-CN" w:bidi="ar"/>
              </w:rPr>
              <w:t>Q</w:t>
            </w:r>
            <w:r>
              <w:rPr>
                <w:rFonts w:hint="eastAsia" w:ascii="宋体" w:hAnsi="宋体" w:eastAsia="宋体" w:cs="宋体"/>
                <w:color w:val="auto"/>
                <w:kern w:val="2"/>
                <w:sz w:val="24"/>
                <w:szCs w:val="24"/>
                <w:lang w:val="en-US" w:eastAsia="zh-CN" w:bidi="ar"/>
              </w:rPr>
              <w:t>。在不同厂区的同一种物质，按其在厂界内的最大存在总量计算。对于长输管线项目，按照两个截断阀室之间管段危险物质最大存在总量计算。</w:t>
            </w:r>
          </w:p>
          <w:p w14:paraId="71DF1303">
            <w:pPr>
              <w:keepNext w:val="0"/>
              <w:keepLines w:val="0"/>
              <w:widowControl w:val="0"/>
              <w:suppressLineNumbers w:val="0"/>
              <w:autoSpaceDE w:val="0"/>
              <w:autoSpaceDN/>
              <w:spacing w:before="0" w:beforeAutospacing="0" w:after="0" w:afterAutospacing="0" w:line="360" w:lineRule="auto"/>
              <w:ind w:left="0" w:right="0" w:firstLine="480" w:firstLineChars="200"/>
              <w:jc w:val="both"/>
              <w:rPr>
                <w:rFonts w:hint="default" w:ascii="Times New Roman" w:hAnsi="Times New Roman" w:eastAsia="宋体" w:cs="Times New Roman"/>
                <w:color w:val="auto"/>
                <w:kern w:val="2"/>
                <w:sz w:val="24"/>
                <w:szCs w:val="24"/>
              </w:rPr>
            </w:pPr>
            <w:r>
              <w:rPr>
                <w:rFonts w:hint="eastAsia" w:ascii="宋体" w:hAnsi="宋体" w:eastAsia="宋体" w:cs="宋体"/>
                <w:color w:val="auto"/>
                <w:kern w:val="2"/>
                <w:sz w:val="24"/>
                <w:szCs w:val="24"/>
                <w:lang w:val="en-US" w:eastAsia="zh-CN" w:bidi="ar"/>
              </w:rPr>
              <w:t>当只涉及一种危险物质时，计算该物质的总量与其临界量比值，即为</w:t>
            </w:r>
            <w:r>
              <w:rPr>
                <w:rFonts w:hint="default" w:ascii="Times New Roman" w:hAnsi="Times New Roman" w:eastAsia="宋体" w:cs="Times New Roman"/>
                <w:color w:val="auto"/>
                <w:kern w:val="2"/>
                <w:sz w:val="24"/>
                <w:szCs w:val="24"/>
                <w:lang w:val="en-US" w:eastAsia="zh-CN" w:bidi="ar"/>
              </w:rPr>
              <w:t>Q</w:t>
            </w:r>
            <w:r>
              <w:rPr>
                <w:rFonts w:hint="eastAsia" w:ascii="宋体" w:hAnsi="宋体" w:eastAsia="宋体" w:cs="宋体"/>
                <w:color w:val="auto"/>
                <w:kern w:val="2"/>
                <w:sz w:val="24"/>
                <w:szCs w:val="24"/>
                <w:lang w:val="en-US" w:eastAsia="zh-CN" w:bidi="ar"/>
              </w:rPr>
              <w:t>；</w:t>
            </w:r>
          </w:p>
          <w:p w14:paraId="6635133F">
            <w:pPr>
              <w:keepNext w:val="0"/>
              <w:keepLines w:val="0"/>
              <w:widowControl w:val="0"/>
              <w:suppressLineNumbers w:val="0"/>
              <w:autoSpaceDE w:val="0"/>
              <w:autoSpaceDN/>
              <w:spacing w:before="0" w:beforeAutospacing="0" w:after="0" w:afterAutospacing="0" w:line="360" w:lineRule="auto"/>
              <w:ind w:left="0" w:right="0" w:firstLine="480" w:firstLineChars="200"/>
              <w:jc w:val="both"/>
              <w:rPr>
                <w:rFonts w:hint="default" w:ascii="Times New Roman" w:hAnsi="Times New Roman" w:eastAsia="宋体" w:cs="Times New Roman"/>
                <w:color w:val="auto"/>
                <w:kern w:val="2"/>
                <w:sz w:val="24"/>
                <w:szCs w:val="24"/>
              </w:rPr>
            </w:pPr>
            <w:r>
              <w:rPr>
                <w:rFonts w:hint="eastAsia" w:ascii="宋体" w:hAnsi="宋体" w:eastAsia="宋体" w:cs="宋体"/>
                <w:color w:val="auto"/>
                <w:kern w:val="2"/>
                <w:sz w:val="24"/>
                <w:szCs w:val="24"/>
                <w:lang w:val="en-US" w:eastAsia="zh-CN" w:bidi="ar"/>
              </w:rPr>
              <w:t>当存在多种危险物质时，则按式（</w:t>
            </w:r>
            <w:r>
              <w:rPr>
                <w:rFonts w:hint="default" w:ascii="Times New Roman" w:hAnsi="Times New Roman" w:eastAsia="宋体" w:cs="Times New Roman"/>
                <w:color w:val="auto"/>
                <w:kern w:val="2"/>
                <w:sz w:val="24"/>
                <w:szCs w:val="24"/>
                <w:lang w:val="en-US" w:eastAsia="zh-CN" w:bidi="ar"/>
              </w:rPr>
              <w:t>C.1</w:t>
            </w:r>
            <w:r>
              <w:rPr>
                <w:rFonts w:hint="eastAsia" w:ascii="宋体" w:hAnsi="宋体" w:eastAsia="宋体" w:cs="宋体"/>
                <w:color w:val="auto"/>
                <w:kern w:val="2"/>
                <w:sz w:val="24"/>
                <w:szCs w:val="24"/>
                <w:lang w:val="en-US" w:eastAsia="zh-CN" w:bidi="ar"/>
              </w:rPr>
              <w:t>）计算物质总量与其临界量比值（</w:t>
            </w:r>
            <w:r>
              <w:rPr>
                <w:rFonts w:hint="default" w:ascii="Times New Roman" w:hAnsi="Times New Roman" w:eastAsia="宋体" w:cs="Times New Roman"/>
                <w:color w:val="auto"/>
                <w:kern w:val="2"/>
                <w:sz w:val="24"/>
                <w:szCs w:val="24"/>
                <w:lang w:val="en-US" w:eastAsia="zh-CN" w:bidi="ar"/>
              </w:rPr>
              <w:t>Q</w:t>
            </w:r>
            <w:r>
              <w:rPr>
                <w:rFonts w:hint="eastAsia" w:ascii="宋体" w:hAnsi="宋体" w:eastAsia="宋体" w:cs="宋体"/>
                <w:color w:val="auto"/>
                <w:kern w:val="2"/>
                <w:sz w:val="24"/>
                <w:szCs w:val="24"/>
                <w:lang w:val="en-US" w:eastAsia="zh-CN" w:bidi="ar"/>
              </w:rPr>
              <w:t>）；</w:t>
            </w:r>
          </w:p>
          <w:p w14:paraId="561FA4F6">
            <w:pPr>
              <w:keepNext w:val="0"/>
              <w:keepLines w:val="0"/>
              <w:widowControl w:val="0"/>
              <w:suppressLineNumbers w:val="0"/>
              <w:autoSpaceDE w:val="0"/>
              <w:autoSpaceDN/>
              <w:spacing w:before="0" w:beforeAutospacing="0" w:after="0" w:afterAutospacing="0" w:line="360" w:lineRule="auto"/>
              <w:ind w:left="0" w:right="0"/>
              <w:jc w:val="center"/>
              <w:rPr>
                <w:rFonts w:hint="default" w:ascii="Times New Roman" w:hAnsi="Times New Roman" w:eastAsia="宋体" w:cs="Times New Roman"/>
                <w:b w:val="0"/>
                <w:bCs w:val="0"/>
                <w:color w:val="auto"/>
                <w:kern w:val="2"/>
                <w:sz w:val="21"/>
                <w:szCs w:val="21"/>
              </w:rPr>
            </w:pPr>
            <w:r>
              <w:rPr>
                <w:rFonts w:hint="default" w:ascii="Calibri" w:hAnsi="Calibri" w:eastAsia="宋体" w:cs="Times New Roman"/>
                <w:color w:val="auto"/>
                <w:kern w:val="2"/>
                <w:sz w:val="21"/>
                <w:szCs w:val="21"/>
                <w:lang w:val="en-US" w:eastAsia="zh-CN" w:bidi="ar"/>
              </w:rPr>
              <w:drawing>
                <wp:inline distT="0" distB="0" distL="114300" distR="114300">
                  <wp:extent cx="2133600" cy="533400"/>
                  <wp:effectExtent l="0" t="0" r="0" b="0"/>
                  <wp:docPr id="3" name="图片 7"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7" descr="IMG_256"/>
                          <pic:cNvPicPr>
                            <a:picLocks noChangeAspect="1"/>
                          </pic:cNvPicPr>
                        </pic:nvPicPr>
                        <pic:blipFill>
                          <a:blip r:embed="rId28"/>
                          <a:stretch>
                            <a:fillRect/>
                          </a:stretch>
                        </pic:blipFill>
                        <pic:spPr>
                          <a:xfrm>
                            <a:off x="0" y="0"/>
                            <a:ext cx="2133600" cy="533400"/>
                          </a:xfrm>
                          <a:prstGeom prst="rect">
                            <a:avLst/>
                          </a:prstGeom>
                          <a:noFill/>
                          <a:ln w="9525">
                            <a:noFill/>
                          </a:ln>
                        </pic:spPr>
                      </pic:pic>
                    </a:graphicData>
                  </a:graphic>
                </wp:inline>
              </w:drawing>
            </w:r>
          </w:p>
          <w:p w14:paraId="080CD31F">
            <w:pPr>
              <w:keepNext w:val="0"/>
              <w:keepLines w:val="0"/>
              <w:widowControl w:val="0"/>
              <w:suppressLineNumbers w:val="0"/>
              <w:autoSpaceDE w:val="0"/>
              <w:autoSpaceDN/>
              <w:spacing w:before="0" w:beforeAutospacing="0" w:after="0" w:afterAutospacing="0" w:line="360" w:lineRule="auto"/>
              <w:ind w:left="0" w:right="0" w:firstLine="480" w:firstLineChars="200"/>
              <w:jc w:val="both"/>
              <w:rPr>
                <w:rFonts w:hint="default" w:ascii="Times New Roman" w:hAnsi="Times New Roman" w:eastAsia="宋体" w:cs="Times New Roman"/>
                <w:color w:val="auto"/>
                <w:kern w:val="2"/>
                <w:sz w:val="24"/>
                <w:szCs w:val="24"/>
              </w:rPr>
            </w:pPr>
            <w:r>
              <w:rPr>
                <w:rFonts w:hint="eastAsia" w:ascii="宋体" w:hAnsi="宋体" w:eastAsia="宋体" w:cs="宋体"/>
                <w:color w:val="auto"/>
                <w:kern w:val="2"/>
                <w:sz w:val="24"/>
                <w:szCs w:val="24"/>
                <w:lang w:val="en-US" w:eastAsia="zh-CN" w:bidi="ar"/>
              </w:rPr>
              <w:t>式中：</w:t>
            </w:r>
            <w:r>
              <w:rPr>
                <w:rFonts w:hint="default" w:ascii="Times New Roman" w:hAnsi="Times New Roman" w:eastAsia="宋体" w:cs="Times New Roman"/>
                <w:color w:val="auto"/>
                <w:kern w:val="2"/>
                <w:sz w:val="24"/>
                <w:szCs w:val="24"/>
                <w:lang w:val="en-US" w:eastAsia="zh-CN" w:bidi="ar"/>
              </w:rPr>
              <w:t>q</w:t>
            </w:r>
            <w:r>
              <w:rPr>
                <w:rFonts w:hint="default" w:ascii="Times New Roman" w:hAnsi="Times New Roman" w:eastAsia="宋体" w:cs="Times New Roman"/>
                <w:color w:val="auto"/>
                <w:kern w:val="2"/>
                <w:sz w:val="24"/>
                <w:szCs w:val="24"/>
                <w:vertAlign w:val="subscript"/>
                <w:lang w:val="en-US" w:eastAsia="zh-CN" w:bidi="ar"/>
              </w:rPr>
              <w:t>1</w:t>
            </w:r>
            <w:r>
              <w:rPr>
                <w:rFonts w:hint="eastAsia" w:ascii="宋体" w:hAnsi="宋体" w:eastAsia="宋体" w:cs="宋体"/>
                <w:color w:val="auto"/>
                <w:kern w:val="2"/>
                <w:sz w:val="24"/>
                <w:szCs w:val="24"/>
                <w:lang w:val="en-US" w:eastAsia="zh-CN" w:bidi="ar"/>
              </w:rPr>
              <w:t>，</w:t>
            </w:r>
            <w:r>
              <w:rPr>
                <w:rFonts w:hint="default" w:ascii="Times New Roman" w:hAnsi="Times New Roman" w:eastAsia="宋体" w:cs="Times New Roman"/>
                <w:color w:val="auto"/>
                <w:kern w:val="2"/>
                <w:sz w:val="24"/>
                <w:szCs w:val="24"/>
                <w:lang w:val="en-US" w:eastAsia="zh-CN" w:bidi="ar"/>
              </w:rPr>
              <w:t>q</w:t>
            </w:r>
            <w:r>
              <w:rPr>
                <w:rFonts w:hint="default" w:ascii="Times New Roman" w:hAnsi="Times New Roman" w:eastAsia="宋体" w:cs="Times New Roman"/>
                <w:color w:val="auto"/>
                <w:kern w:val="2"/>
                <w:sz w:val="24"/>
                <w:szCs w:val="24"/>
                <w:vertAlign w:val="subscript"/>
                <w:lang w:val="en-US" w:eastAsia="zh-CN" w:bidi="ar"/>
              </w:rPr>
              <w:t>2</w:t>
            </w:r>
            <w:r>
              <w:rPr>
                <w:rFonts w:hint="eastAsia" w:ascii="宋体" w:hAnsi="宋体" w:eastAsia="宋体" w:cs="宋体"/>
                <w:color w:val="auto"/>
                <w:kern w:val="2"/>
                <w:sz w:val="24"/>
                <w:szCs w:val="24"/>
                <w:lang w:val="en-US" w:eastAsia="zh-CN" w:bidi="ar"/>
              </w:rPr>
              <w:t>，</w:t>
            </w:r>
            <w:r>
              <w:rPr>
                <w:rFonts w:hint="default" w:ascii="Times New Roman" w:hAnsi="Times New Roman" w:eastAsia="宋体" w:cs="Times New Roman"/>
                <w:color w:val="auto"/>
                <w:kern w:val="2"/>
                <w:sz w:val="24"/>
                <w:szCs w:val="24"/>
                <w:lang w:val="en-US" w:eastAsia="zh-CN" w:bidi="ar"/>
              </w:rPr>
              <w:t>...</w:t>
            </w:r>
            <w:r>
              <w:rPr>
                <w:rFonts w:hint="eastAsia" w:ascii="宋体" w:hAnsi="宋体" w:eastAsia="宋体" w:cs="宋体"/>
                <w:color w:val="auto"/>
                <w:kern w:val="2"/>
                <w:sz w:val="24"/>
                <w:szCs w:val="24"/>
                <w:lang w:val="en-US" w:eastAsia="zh-CN" w:bidi="ar"/>
              </w:rPr>
              <w:t>，</w:t>
            </w:r>
            <w:r>
              <w:rPr>
                <w:rFonts w:hint="default" w:ascii="Times New Roman" w:hAnsi="Times New Roman" w:eastAsia="宋体" w:cs="Times New Roman"/>
                <w:color w:val="auto"/>
                <w:kern w:val="2"/>
                <w:sz w:val="24"/>
                <w:szCs w:val="24"/>
                <w:lang w:val="en-US" w:eastAsia="zh-CN" w:bidi="ar"/>
              </w:rPr>
              <w:t>q</w:t>
            </w:r>
            <w:r>
              <w:rPr>
                <w:rFonts w:hint="default" w:ascii="Times New Roman" w:hAnsi="Times New Roman" w:eastAsia="宋体" w:cs="Times New Roman"/>
                <w:color w:val="auto"/>
                <w:kern w:val="2"/>
                <w:sz w:val="24"/>
                <w:szCs w:val="24"/>
                <w:vertAlign w:val="subscript"/>
                <w:lang w:val="en-US" w:eastAsia="zh-CN" w:bidi="ar"/>
              </w:rPr>
              <w:t>n</w:t>
            </w:r>
            <w:r>
              <w:rPr>
                <w:rFonts w:hint="default" w:ascii="Times New Roman" w:hAnsi="Times New Roman" w:eastAsia="宋体" w:cs="Times New Roman"/>
                <w:color w:val="auto"/>
                <w:kern w:val="2"/>
                <w:sz w:val="24"/>
                <w:szCs w:val="24"/>
                <w:lang w:val="en-US" w:eastAsia="zh-CN" w:bidi="ar"/>
              </w:rPr>
              <w:t>—</w:t>
            </w:r>
            <w:r>
              <w:rPr>
                <w:rFonts w:hint="eastAsia" w:ascii="宋体" w:hAnsi="宋体" w:eastAsia="宋体" w:cs="宋体"/>
                <w:color w:val="auto"/>
                <w:kern w:val="2"/>
                <w:sz w:val="24"/>
                <w:szCs w:val="24"/>
                <w:lang w:val="en-US" w:eastAsia="zh-CN" w:bidi="ar"/>
              </w:rPr>
              <w:t>每种危险物质的最大存在总量，</w:t>
            </w:r>
            <w:r>
              <w:rPr>
                <w:rFonts w:hint="default" w:ascii="Times New Roman" w:hAnsi="Times New Roman" w:eastAsia="宋体" w:cs="Times New Roman"/>
                <w:color w:val="auto"/>
                <w:kern w:val="2"/>
                <w:sz w:val="24"/>
                <w:szCs w:val="24"/>
                <w:lang w:val="en-US" w:eastAsia="zh-CN" w:bidi="ar"/>
              </w:rPr>
              <w:t>t</w:t>
            </w:r>
            <w:r>
              <w:rPr>
                <w:rFonts w:hint="eastAsia" w:ascii="宋体" w:hAnsi="宋体" w:eastAsia="宋体" w:cs="宋体"/>
                <w:color w:val="auto"/>
                <w:kern w:val="2"/>
                <w:sz w:val="24"/>
                <w:szCs w:val="24"/>
                <w:lang w:val="en-US" w:eastAsia="zh-CN" w:bidi="ar"/>
              </w:rPr>
              <w:t>；</w:t>
            </w:r>
          </w:p>
          <w:p w14:paraId="761D5980">
            <w:pPr>
              <w:keepNext w:val="0"/>
              <w:keepLines w:val="0"/>
              <w:widowControl w:val="0"/>
              <w:suppressLineNumbers w:val="0"/>
              <w:autoSpaceDE w:val="0"/>
              <w:autoSpaceDN/>
              <w:spacing w:before="0" w:beforeAutospacing="0" w:after="0" w:afterAutospacing="0" w:line="360" w:lineRule="auto"/>
              <w:ind w:left="0" w:right="0" w:firstLine="1200" w:firstLineChars="500"/>
              <w:jc w:val="both"/>
              <w:rPr>
                <w:rFonts w:hint="default" w:ascii="Times New Roman" w:hAnsi="Times New Roman" w:eastAsia="宋体" w:cs="Times New Roman"/>
                <w:color w:val="auto"/>
                <w:kern w:val="2"/>
                <w:sz w:val="24"/>
                <w:szCs w:val="24"/>
              </w:rPr>
            </w:pPr>
            <w:r>
              <w:rPr>
                <w:rFonts w:hint="default" w:ascii="Times New Roman" w:hAnsi="Times New Roman" w:eastAsia="宋体" w:cs="Times New Roman"/>
                <w:color w:val="auto"/>
                <w:kern w:val="2"/>
                <w:sz w:val="24"/>
                <w:szCs w:val="24"/>
                <w:lang w:val="en-US" w:eastAsia="zh-CN" w:bidi="ar"/>
              </w:rPr>
              <w:t>Q</w:t>
            </w:r>
            <w:r>
              <w:rPr>
                <w:rFonts w:hint="default" w:ascii="Times New Roman" w:hAnsi="Times New Roman" w:eastAsia="宋体" w:cs="Times New Roman"/>
                <w:color w:val="auto"/>
                <w:kern w:val="2"/>
                <w:sz w:val="24"/>
                <w:szCs w:val="24"/>
                <w:vertAlign w:val="subscript"/>
                <w:lang w:val="en-US" w:eastAsia="zh-CN" w:bidi="ar"/>
              </w:rPr>
              <w:t>1</w:t>
            </w:r>
            <w:r>
              <w:rPr>
                <w:rFonts w:hint="eastAsia" w:ascii="宋体" w:hAnsi="宋体" w:eastAsia="宋体" w:cs="宋体"/>
                <w:color w:val="auto"/>
                <w:kern w:val="2"/>
                <w:sz w:val="24"/>
                <w:szCs w:val="24"/>
                <w:lang w:val="en-US" w:eastAsia="zh-CN" w:bidi="ar"/>
              </w:rPr>
              <w:t>，</w:t>
            </w:r>
            <w:r>
              <w:rPr>
                <w:rFonts w:hint="default" w:ascii="Times New Roman" w:hAnsi="Times New Roman" w:eastAsia="宋体" w:cs="Times New Roman"/>
                <w:color w:val="auto"/>
                <w:kern w:val="2"/>
                <w:sz w:val="24"/>
                <w:szCs w:val="24"/>
                <w:lang w:val="en-US" w:eastAsia="zh-CN" w:bidi="ar"/>
              </w:rPr>
              <w:t>Q</w:t>
            </w:r>
            <w:r>
              <w:rPr>
                <w:rFonts w:hint="default" w:ascii="Times New Roman" w:hAnsi="Times New Roman" w:eastAsia="宋体" w:cs="Times New Roman"/>
                <w:color w:val="auto"/>
                <w:kern w:val="2"/>
                <w:sz w:val="24"/>
                <w:szCs w:val="24"/>
                <w:vertAlign w:val="subscript"/>
                <w:lang w:val="en-US" w:eastAsia="zh-CN" w:bidi="ar"/>
              </w:rPr>
              <w:t>2</w:t>
            </w:r>
            <w:r>
              <w:rPr>
                <w:rFonts w:hint="eastAsia" w:ascii="宋体" w:hAnsi="宋体" w:eastAsia="宋体" w:cs="宋体"/>
                <w:color w:val="auto"/>
                <w:kern w:val="2"/>
                <w:sz w:val="24"/>
                <w:szCs w:val="24"/>
                <w:lang w:val="en-US" w:eastAsia="zh-CN" w:bidi="ar"/>
              </w:rPr>
              <w:t>，</w:t>
            </w:r>
            <w:r>
              <w:rPr>
                <w:rFonts w:hint="default" w:ascii="Times New Roman" w:hAnsi="Times New Roman" w:eastAsia="宋体" w:cs="Times New Roman"/>
                <w:color w:val="auto"/>
                <w:kern w:val="2"/>
                <w:sz w:val="24"/>
                <w:szCs w:val="24"/>
                <w:lang w:val="en-US" w:eastAsia="zh-CN" w:bidi="ar"/>
              </w:rPr>
              <w:t>...</w:t>
            </w:r>
            <w:r>
              <w:rPr>
                <w:rFonts w:hint="eastAsia" w:ascii="宋体" w:hAnsi="宋体" w:eastAsia="宋体" w:cs="宋体"/>
                <w:color w:val="auto"/>
                <w:kern w:val="2"/>
                <w:sz w:val="24"/>
                <w:szCs w:val="24"/>
                <w:lang w:val="en-US" w:eastAsia="zh-CN" w:bidi="ar"/>
              </w:rPr>
              <w:t>，</w:t>
            </w:r>
            <w:r>
              <w:rPr>
                <w:rFonts w:hint="default" w:ascii="Times New Roman" w:hAnsi="Times New Roman" w:eastAsia="宋体" w:cs="Times New Roman"/>
                <w:color w:val="auto"/>
                <w:kern w:val="2"/>
                <w:sz w:val="24"/>
                <w:szCs w:val="24"/>
                <w:lang w:val="en-US" w:eastAsia="zh-CN" w:bidi="ar"/>
              </w:rPr>
              <w:t>Q</w:t>
            </w:r>
            <w:r>
              <w:rPr>
                <w:rFonts w:hint="default" w:ascii="Times New Roman" w:hAnsi="Times New Roman" w:eastAsia="宋体" w:cs="Times New Roman"/>
                <w:color w:val="auto"/>
                <w:kern w:val="2"/>
                <w:sz w:val="24"/>
                <w:szCs w:val="24"/>
                <w:vertAlign w:val="subscript"/>
                <w:lang w:val="en-US" w:eastAsia="zh-CN" w:bidi="ar"/>
              </w:rPr>
              <w:t>n</w:t>
            </w:r>
            <w:r>
              <w:rPr>
                <w:rFonts w:hint="default" w:ascii="Times New Roman" w:hAnsi="Times New Roman" w:eastAsia="宋体" w:cs="Times New Roman"/>
                <w:color w:val="auto"/>
                <w:kern w:val="2"/>
                <w:sz w:val="24"/>
                <w:szCs w:val="24"/>
                <w:lang w:val="en-US" w:eastAsia="zh-CN" w:bidi="ar"/>
              </w:rPr>
              <w:t>—</w:t>
            </w:r>
            <w:r>
              <w:rPr>
                <w:rFonts w:hint="eastAsia" w:ascii="宋体" w:hAnsi="宋体" w:eastAsia="宋体" w:cs="宋体"/>
                <w:color w:val="auto"/>
                <w:kern w:val="2"/>
                <w:sz w:val="24"/>
                <w:szCs w:val="24"/>
                <w:lang w:val="en-US" w:eastAsia="zh-CN" w:bidi="ar"/>
              </w:rPr>
              <w:t>每种危险物质的临界量，</w:t>
            </w:r>
            <w:r>
              <w:rPr>
                <w:rFonts w:hint="default" w:ascii="Times New Roman" w:hAnsi="Times New Roman" w:eastAsia="宋体" w:cs="Times New Roman"/>
                <w:color w:val="auto"/>
                <w:kern w:val="2"/>
                <w:sz w:val="24"/>
                <w:szCs w:val="24"/>
                <w:lang w:val="en-US" w:eastAsia="zh-CN" w:bidi="ar"/>
              </w:rPr>
              <w:t>t</w:t>
            </w:r>
            <w:r>
              <w:rPr>
                <w:rFonts w:hint="eastAsia" w:ascii="宋体" w:hAnsi="宋体" w:eastAsia="宋体" w:cs="宋体"/>
                <w:color w:val="auto"/>
                <w:kern w:val="2"/>
                <w:sz w:val="24"/>
                <w:szCs w:val="24"/>
                <w:lang w:val="en-US" w:eastAsia="zh-CN" w:bidi="ar"/>
              </w:rPr>
              <w:t>。</w:t>
            </w:r>
          </w:p>
          <w:p w14:paraId="3AEE992E">
            <w:pPr>
              <w:keepNext w:val="0"/>
              <w:keepLines w:val="0"/>
              <w:widowControl w:val="0"/>
              <w:suppressLineNumbers w:val="0"/>
              <w:autoSpaceDE w:val="0"/>
              <w:autoSpaceDN/>
              <w:spacing w:before="0" w:beforeAutospacing="0" w:after="0" w:afterAutospacing="0" w:line="360" w:lineRule="auto"/>
              <w:ind w:left="0" w:right="0" w:firstLine="480" w:firstLineChars="200"/>
              <w:jc w:val="both"/>
              <w:rPr>
                <w:rFonts w:hint="default" w:ascii="Times New Roman" w:hAnsi="Times New Roman" w:eastAsia="宋体" w:cs="Times New Roman"/>
                <w:color w:val="auto"/>
                <w:kern w:val="2"/>
                <w:sz w:val="24"/>
                <w:szCs w:val="24"/>
              </w:rPr>
            </w:pPr>
            <w:r>
              <w:rPr>
                <w:rFonts w:hint="eastAsia" w:ascii="宋体" w:hAnsi="宋体" w:eastAsia="宋体" w:cs="宋体"/>
                <w:color w:val="auto"/>
                <w:kern w:val="2"/>
                <w:sz w:val="24"/>
                <w:szCs w:val="24"/>
                <w:lang w:val="en-US" w:eastAsia="zh-CN" w:bidi="ar"/>
              </w:rPr>
              <w:t>当</w:t>
            </w:r>
            <w:r>
              <w:rPr>
                <w:rFonts w:hint="default" w:ascii="Times New Roman" w:hAnsi="Times New Roman" w:eastAsia="宋体" w:cs="Times New Roman"/>
                <w:color w:val="auto"/>
                <w:kern w:val="2"/>
                <w:sz w:val="24"/>
                <w:szCs w:val="24"/>
                <w:lang w:val="en-US" w:eastAsia="zh-CN" w:bidi="ar"/>
              </w:rPr>
              <w:t>Q&lt;1</w:t>
            </w:r>
            <w:r>
              <w:rPr>
                <w:rFonts w:hint="eastAsia" w:ascii="宋体" w:hAnsi="宋体" w:eastAsia="宋体" w:cs="宋体"/>
                <w:color w:val="auto"/>
                <w:kern w:val="2"/>
                <w:sz w:val="24"/>
                <w:szCs w:val="24"/>
                <w:lang w:val="en-US" w:eastAsia="zh-CN" w:bidi="ar"/>
              </w:rPr>
              <w:t>时，该项目环境风险潜势为</w:t>
            </w:r>
            <w:r>
              <w:rPr>
                <w:rFonts w:hint="default" w:ascii="Times New Roman" w:hAnsi="Times New Roman" w:eastAsia="宋体" w:cs="Times New Roman"/>
                <w:color w:val="auto"/>
                <w:kern w:val="2"/>
                <w:sz w:val="24"/>
                <w:szCs w:val="24"/>
                <w:lang w:val="en-US" w:eastAsia="zh-CN" w:bidi="ar"/>
              </w:rPr>
              <w:t>Ⅰ</w:t>
            </w:r>
            <w:r>
              <w:rPr>
                <w:rFonts w:hint="eastAsia" w:ascii="宋体" w:hAnsi="宋体" w:eastAsia="宋体" w:cs="宋体"/>
                <w:color w:val="auto"/>
                <w:kern w:val="2"/>
                <w:sz w:val="24"/>
                <w:szCs w:val="24"/>
                <w:lang w:val="en-US" w:eastAsia="zh-CN" w:bidi="ar"/>
              </w:rPr>
              <w:t>；</w:t>
            </w:r>
          </w:p>
          <w:p w14:paraId="6850B650">
            <w:pPr>
              <w:keepNext w:val="0"/>
              <w:keepLines w:val="0"/>
              <w:widowControl w:val="0"/>
              <w:suppressLineNumbers w:val="0"/>
              <w:autoSpaceDE w:val="0"/>
              <w:autoSpaceDN/>
              <w:spacing w:before="0" w:beforeAutospacing="0" w:after="0" w:afterAutospacing="0" w:line="360" w:lineRule="auto"/>
              <w:ind w:left="0" w:right="0" w:firstLine="480" w:firstLineChars="200"/>
              <w:jc w:val="both"/>
              <w:rPr>
                <w:rFonts w:hint="default" w:ascii="Times New Roman" w:hAnsi="Times New Roman" w:eastAsia="宋体" w:cs="Times New Roman"/>
                <w:color w:val="auto"/>
                <w:kern w:val="2"/>
                <w:sz w:val="24"/>
                <w:szCs w:val="24"/>
              </w:rPr>
            </w:pPr>
            <w:r>
              <w:rPr>
                <w:rFonts w:hint="eastAsia" w:ascii="宋体" w:hAnsi="宋体" w:eastAsia="宋体" w:cs="宋体"/>
                <w:color w:val="auto"/>
                <w:kern w:val="2"/>
                <w:sz w:val="24"/>
                <w:szCs w:val="24"/>
                <w:lang w:val="en-US" w:eastAsia="zh-CN" w:bidi="ar"/>
              </w:rPr>
              <w:t>当</w:t>
            </w:r>
            <w:r>
              <w:rPr>
                <w:rFonts w:hint="default" w:ascii="Times New Roman" w:hAnsi="Times New Roman" w:eastAsia="宋体" w:cs="Times New Roman"/>
                <w:color w:val="auto"/>
                <w:kern w:val="2"/>
                <w:sz w:val="24"/>
                <w:szCs w:val="24"/>
                <w:lang w:val="en-US" w:eastAsia="zh-CN" w:bidi="ar"/>
              </w:rPr>
              <w:t>Q≥1</w:t>
            </w:r>
            <w:r>
              <w:rPr>
                <w:rFonts w:hint="eastAsia" w:ascii="宋体" w:hAnsi="宋体" w:eastAsia="宋体" w:cs="宋体"/>
                <w:color w:val="auto"/>
                <w:kern w:val="2"/>
                <w:sz w:val="24"/>
                <w:szCs w:val="24"/>
                <w:lang w:val="en-US" w:eastAsia="zh-CN" w:bidi="ar"/>
              </w:rPr>
              <w:t>时，将</w:t>
            </w:r>
            <w:r>
              <w:rPr>
                <w:rFonts w:hint="default" w:ascii="Times New Roman" w:hAnsi="Times New Roman" w:eastAsia="宋体" w:cs="Times New Roman"/>
                <w:color w:val="auto"/>
                <w:kern w:val="2"/>
                <w:sz w:val="24"/>
                <w:szCs w:val="24"/>
                <w:lang w:val="en-US" w:eastAsia="zh-CN" w:bidi="ar"/>
              </w:rPr>
              <w:t>Q</w:t>
            </w:r>
            <w:r>
              <w:rPr>
                <w:rFonts w:hint="eastAsia" w:ascii="宋体" w:hAnsi="宋体" w:eastAsia="宋体" w:cs="宋体"/>
                <w:color w:val="auto"/>
                <w:kern w:val="2"/>
                <w:sz w:val="24"/>
                <w:szCs w:val="24"/>
                <w:lang w:val="en-US" w:eastAsia="zh-CN" w:bidi="ar"/>
              </w:rPr>
              <w:t>值划分为：（</w:t>
            </w:r>
            <w:r>
              <w:rPr>
                <w:rFonts w:hint="default" w:ascii="Times New Roman" w:hAnsi="Times New Roman" w:eastAsia="宋体" w:cs="Times New Roman"/>
                <w:color w:val="auto"/>
                <w:kern w:val="2"/>
                <w:sz w:val="24"/>
                <w:szCs w:val="24"/>
                <w:lang w:val="en-US" w:eastAsia="zh-CN" w:bidi="ar"/>
              </w:rPr>
              <w:t>1</w:t>
            </w:r>
            <w:r>
              <w:rPr>
                <w:rFonts w:hint="eastAsia" w:ascii="宋体" w:hAnsi="宋体" w:eastAsia="宋体" w:cs="宋体"/>
                <w:color w:val="auto"/>
                <w:kern w:val="2"/>
                <w:sz w:val="24"/>
                <w:szCs w:val="24"/>
                <w:lang w:val="en-US" w:eastAsia="zh-CN" w:bidi="ar"/>
              </w:rPr>
              <w:t>）</w:t>
            </w:r>
            <w:r>
              <w:rPr>
                <w:rFonts w:hint="default" w:ascii="Times New Roman" w:hAnsi="Times New Roman" w:eastAsia="宋体" w:cs="Times New Roman"/>
                <w:color w:val="auto"/>
                <w:kern w:val="2"/>
                <w:sz w:val="24"/>
                <w:szCs w:val="24"/>
                <w:lang w:val="en-US" w:eastAsia="zh-CN" w:bidi="ar"/>
              </w:rPr>
              <w:t>1≤Q&lt;10</w:t>
            </w:r>
            <w:r>
              <w:rPr>
                <w:rFonts w:hint="eastAsia" w:ascii="宋体" w:hAnsi="宋体" w:eastAsia="宋体" w:cs="宋体"/>
                <w:color w:val="auto"/>
                <w:kern w:val="2"/>
                <w:sz w:val="24"/>
                <w:szCs w:val="24"/>
                <w:lang w:val="en-US" w:eastAsia="zh-CN" w:bidi="ar"/>
              </w:rPr>
              <w:t>；（</w:t>
            </w:r>
            <w:r>
              <w:rPr>
                <w:rFonts w:hint="default" w:ascii="Times New Roman" w:hAnsi="Times New Roman" w:eastAsia="宋体" w:cs="Times New Roman"/>
                <w:color w:val="auto"/>
                <w:kern w:val="2"/>
                <w:sz w:val="24"/>
                <w:szCs w:val="24"/>
                <w:lang w:val="en-US" w:eastAsia="zh-CN" w:bidi="ar"/>
              </w:rPr>
              <w:t>2</w:t>
            </w:r>
            <w:r>
              <w:rPr>
                <w:rFonts w:hint="eastAsia" w:ascii="宋体" w:hAnsi="宋体" w:eastAsia="宋体" w:cs="宋体"/>
                <w:color w:val="auto"/>
                <w:kern w:val="2"/>
                <w:sz w:val="24"/>
                <w:szCs w:val="24"/>
                <w:lang w:val="en-US" w:eastAsia="zh-CN" w:bidi="ar"/>
              </w:rPr>
              <w:t>）</w:t>
            </w:r>
            <w:r>
              <w:rPr>
                <w:rFonts w:hint="default" w:ascii="Times New Roman" w:hAnsi="Times New Roman" w:eastAsia="宋体" w:cs="Times New Roman"/>
                <w:color w:val="auto"/>
                <w:kern w:val="2"/>
                <w:sz w:val="24"/>
                <w:szCs w:val="24"/>
                <w:lang w:val="en-US" w:eastAsia="zh-CN" w:bidi="ar"/>
              </w:rPr>
              <w:t>10≤Q&lt;100</w:t>
            </w:r>
            <w:r>
              <w:rPr>
                <w:rFonts w:hint="eastAsia" w:ascii="宋体" w:hAnsi="宋体" w:eastAsia="宋体" w:cs="宋体"/>
                <w:color w:val="auto"/>
                <w:kern w:val="2"/>
                <w:sz w:val="24"/>
                <w:szCs w:val="24"/>
                <w:lang w:val="en-US" w:eastAsia="zh-CN" w:bidi="ar"/>
              </w:rPr>
              <w:t>；（</w:t>
            </w:r>
            <w:r>
              <w:rPr>
                <w:rFonts w:hint="default" w:ascii="Times New Roman" w:hAnsi="Times New Roman" w:eastAsia="宋体" w:cs="Times New Roman"/>
                <w:color w:val="auto"/>
                <w:kern w:val="2"/>
                <w:sz w:val="24"/>
                <w:szCs w:val="24"/>
                <w:lang w:val="en-US" w:eastAsia="zh-CN" w:bidi="ar"/>
              </w:rPr>
              <w:t>3</w:t>
            </w:r>
            <w:r>
              <w:rPr>
                <w:rFonts w:hint="eastAsia" w:ascii="宋体" w:hAnsi="宋体" w:eastAsia="宋体" w:cs="宋体"/>
                <w:color w:val="auto"/>
                <w:kern w:val="2"/>
                <w:sz w:val="24"/>
                <w:szCs w:val="24"/>
                <w:lang w:val="en-US" w:eastAsia="zh-CN" w:bidi="ar"/>
              </w:rPr>
              <w:t>）</w:t>
            </w:r>
            <w:r>
              <w:rPr>
                <w:rFonts w:hint="default" w:ascii="Times New Roman" w:hAnsi="Times New Roman" w:eastAsia="宋体" w:cs="Times New Roman"/>
                <w:color w:val="auto"/>
                <w:kern w:val="2"/>
                <w:sz w:val="24"/>
                <w:szCs w:val="24"/>
                <w:lang w:val="en-US" w:eastAsia="zh-CN" w:bidi="ar"/>
              </w:rPr>
              <w:t>Q≥100</w:t>
            </w:r>
            <w:r>
              <w:rPr>
                <w:rFonts w:hint="eastAsia" w:ascii="宋体" w:hAnsi="宋体" w:eastAsia="宋体" w:cs="宋体"/>
                <w:color w:val="auto"/>
                <w:kern w:val="2"/>
                <w:sz w:val="24"/>
                <w:szCs w:val="24"/>
                <w:lang w:val="en-US" w:eastAsia="zh-CN" w:bidi="ar"/>
              </w:rPr>
              <w:t>。</w:t>
            </w:r>
          </w:p>
          <w:p w14:paraId="40561CB2">
            <w:pPr>
              <w:keepNext w:val="0"/>
              <w:keepLines w:val="0"/>
              <w:widowControl w:val="0"/>
              <w:suppressLineNumbers w:val="0"/>
              <w:autoSpaceDE w:val="0"/>
              <w:autoSpaceDN/>
              <w:spacing w:before="0" w:beforeAutospacing="0" w:after="0" w:afterAutospacing="0" w:line="360" w:lineRule="auto"/>
              <w:ind w:left="0" w:right="0" w:firstLine="480" w:firstLineChars="200"/>
              <w:jc w:val="both"/>
              <w:rPr>
                <w:rFonts w:hint="default" w:ascii="Calibri" w:hAnsi="Calibri" w:eastAsia="宋体" w:cs="Times New Roman"/>
                <w:color w:val="auto"/>
                <w:kern w:val="2"/>
                <w:sz w:val="21"/>
                <w:szCs w:val="21"/>
              </w:rPr>
            </w:pPr>
            <w:r>
              <w:rPr>
                <w:rFonts w:hint="eastAsia" w:ascii="宋体" w:hAnsi="宋体" w:eastAsia="宋体" w:cs="宋体"/>
                <w:color w:val="auto"/>
                <w:kern w:val="2"/>
                <w:sz w:val="24"/>
                <w:szCs w:val="24"/>
                <w:lang w:val="en-US" w:eastAsia="zh-CN" w:bidi="ar"/>
              </w:rPr>
              <w:t>本项目</w:t>
            </w:r>
            <w:r>
              <w:rPr>
                <w:rFonts w:hint="default" w:ascii="Times New Roman" w:hAnsi="Times New Roman" w:eastAsia="宋体" w:cs="Times New Roman"/>
                <w:color w:val="auto"/>
                <w:kern w:val="2"/>
                <w:sz w:val="24"/>
                <w:szCs w:val="24"/>
                <w:lang w:val="en-US" w:eastAsia="zh-CN" w:bidi="ar"/>
              </w:rPr>
              <w:t>Q</w:t>
            </w:r>
            <w:r>
              <w:rPr>
                <w:rFonts w:hint="eastAsia" w:ascii="宋体" w:hAnsi="宋体" w:eastAsia="宋体" w:cs="宋体"/>
                <w:color w:val="auto"/>
                <w:kern w:val="2"/>
                <w:sz w:val="24"/>
                <w:szCs w:val="24"/>
                <w:lang w:val="en-US" w:eastAsia="zh-CN" w:bidi="ar"/>
              </w:rPr>
              <w:t>值计算如下：</w:t>
            </w:r>
          </w:p>
          <w:p w14:paraId="2542CB8B">
            <w:pPr>
              <w:keepNext w:val="0"/>
              <w:keepLines w:val="0"/>
              <w:suppressLineNumbers w:val="0"/>
              <w:spacing w:before="0" w:beforeAutospacing="0" w:after="0" w:afterAutospacing="0"/>
              <w:ind w:left="0" w:right="0"/>
              <w:jc w:val="center"/>
              <w:rPr>
                <w:rFonts w:hint="default" w:ascii="Times New Roman" w:hAnsi="Times New Roman" w:eastAsia="宋体" w:cs="Times New Roman"/>
                <w:b/>
                <w:bCs/>
                <w:color w:val="auto"/>
              </w:rPr>
            </w:pPr>
            <w:r>
              <w:rPr>
                <w:rFonts w:hint="default" w:ascii="Times New Roman" w:hAnsi="Times New Roman" w:eastAsia="宋体" w:cs="Times New Roman"/>
                <w:b/>
                <w:bCs/>
                <w:color w:val="auto"/>
              </w:rPr>
              <w:t>表4-</w:t>
            </w:r>
            <w:r>
              <w:rPr>
                <w:rFonts w:hint="eastAsia" w:ascii="Times New Roman" w:hAnsi="Times New Roman" w:eastAsia="宋体" w:cs="Times New Roman"/>
                <w:b/>
                <w:bCs/>
                <w:color w:val="auto"/>
                <w:lang w:val="en-US" w:eastAsia="zh-CN"/>
              </w:rPr>
              <w:t>30</w:t>
            </w:r>
            <w:r>
              <w:rPr>
                <w:rFonts w:hint="default" w:ascii="Times New Roman" w:hAnsi="Times New Roman" w:eastAsia="宋体" w:cs="Times New Roman"/>
                <w:b/>
                <w:bCs/>
                <w:color w:val="auto"/>
              </w:rPr>
              <w:t xml:space="preserve">  建设</w:t>
            </w:r>
            <w:r>
              <w:rPr>
                <w:rFonts w:hint="eastAsia" w:ascii="Times New Roman" w:hAnsi="Times New Roman" w:eastAsia="宋体" w:cs="Times New Roman"/>
                <w:b/>
                <w:bCs/>
                <w:color w:val="auto"/>
              </w:rPr>
              <w:t>项目</w:t>
            </w:r>
            <w:r>
              <w:rPr>
                <w:rFonts w:hint="default" w:ascii="Times New Roman" w:hAnsi="Times New Roman" w:eastAsia="宋体" w:cs="Times New Roman"/>
                <w:b/>
                <w:bCs/>
                <w:color w:val="auto"/>
              </w:rPr>
              <w:t>危险物质Q值计算结果</w:t>
            </w:r>
          </w:p>
          <w:tbl>
            <w:tblPr>
              <w:tblStyle w:val="22"/>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719"/>
              <w:gridCol w:w="1530"/>
              <w:gridCol w:w="2385"/>
              <w:gridCol w:w="1461"/>
              <w:gridCol w:w="1252"/>
            </w:tblGrid>
            <w:tr w14:paraId="0C44E1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blHeader/>
                <w:jc w:val="center"/>
              </w:trPr>
              <w:tc>
                <w:tcPr>
                  <w:tcW w:w="1029" w:type="pct"/>
                  <w:vAlign w:val="center"/>
                </w:tcPr>
                <w:p w14:paraId="0E875C7B">
                  <w:pPr>
                    <w:keepNext w:val="0"/>
                    <w:keepLines w:val="0"/>
                    <w:suppressLineNumbers w:val="0"/>
                    <w:spacing w:before="0" w:beforeAutospacing="0" w:after="0" w:afterAutospacing="0"/>
                    <w:ind w:left="0" w:right="0"/>
                    <w:jc w:val="center"/>
                    <w:rPr>
                      <w:rFonts w:hint="default" w:ascii="Times New Roman" w:hAnsi="Times New Roman" w:eastAsia="宋体" w:cs="Times New Roman"/>
                      <w:b/>
                      <w:bCs/>
                      <w:color w:val="auto"/>
                      <w:szCs w:val="21"/>
                    </w:rPr>
                  </w:pPr>
                  <w:r>
                    <w:rPr>
                      <w:rFonts w:hint="default" w:ascii="Times New Roman" w:hAnsi="Times New Roman" w:eastAsia="宋体" w:cs="Times New Roman"/>
                      <w:b/>
                      <w:bCs/>
                      <w:color w:val="auto"/>
                      <w:szCs w:val="21"/>
                    </w:rPr>
                    <w:t>物料名称</w:t>
                  </w:r>
                </w:p>
              </w:tc>
              <w:tc>
                <w:tcPr>
                  <w:tcW w:w="916" w:type="pct"/>
                  <w:vAlign w:val="center"/>
                </w:tcPr>
                <w:p w14:paraId="79F38B02">
                  <w:pPr>
                    <w:keepNext w:val="0"/>
                    <w:keepLines w:val="0"/>
                    <w:suppressLineNumbers w:val="0"/>
                    <w:spacing w:before="0" w:beforeAutospacing="0" w:after="0" w:afterAutospacing="0"/>
                    <w:ind w:left="0" w:right="0"/>
                    <w:jc w:val="center"/>
                    <w:rPr>
                      <w:rFonts w:hint="default" w:ascii="Times New Roman" w:hAnsi="Times New Roman" w:eastAsia="宋体" w:cs="Times New Roman"/>
                      <w:b/>
                      <w:bCs/>
                      <w:color w:val="auto"/>
                      <w:szCs w:val="21"/>
                    </w:rPr>
                  </w:pPr>
                  <w:r>
                    <w:rPr>
                      <w:rFonts w:hint="default" w:ascii="Times New Roman" w:hAnsi="Times New Roman" w:eastAsia="宋体" w:cs="Times New Roman"/>
                      <w:b/>
                      <w:bCs/>
                      <w:color w:val="auto"/>
                      <w:szCs w:val="21"/>
                    </w:rPr>
                    <w:t>最大储存量t</w:t>
                  </w:r>
                </w:p>
              </w:tc>
              <w:tc>
                <w:tcPr>
                  <w:tcW w:w="1428" w:type="pct"/>
                  <w:vAlign w:val="center"/>
                </w:tcPr>
                <w:p w14:paraId="1D1E152B">
                  <w:pPr>
                    <w:keepNext w:val="0"/>
                    <w:keepLines w:val="0"/>
                    <w:suppressLineNumbers w:val="0"/>
                    <w:spacing w:before="0" w:beforeAutospacing="0" w:after="0" w:afterAutospacing="0"/>
                    <w:ind w:left="0" w:right="0"/>
                    <w:jc w:val="center"/>
                    <w:rPr>
                      <w:rFonts w:hint="default" w:ascii="Times New Roman" w:hAnsi="Times New Roman" w:eastAsia="宋体" w:cs="Times New Roman"/>
                      <w:b/>
                      <w:bCs/>
                      <w:color w:val="auto"/>
                      <w:szCs w:val="21"/>
                    </w:rPr>
                  </w:pPr>
                  <w:r>
                    <w:rPr>
                      <w:rFonts w:hint="default" w:ascii="Times New Roman" w:hAnsi="Times New Roman" w:eastAsia="宋体" w:cs="Times New Roman"/>
                      <w:b/>
                      <w:bCs/>
                      <w:color w:val="auto"/>
                      <w:szCs w:val="21"/>
                      <w:lang w:val="en-US" w:eastAsia="zh-CN"/>
                    </w:rPr>
                    <w:t>类别</w:t>
                  </w:r>
                </w:p>
              </w:tc>
              <w:tc>
                <w:tcPr>
                  <w:tcW w:w="875" w:type="pct"/>
                  <w:vAlign w:val="center"/>
                </w:tcPr>
                <w:p w14:paraId="0F28D200">
                  <w:pPr>
                    <w:keepNext w:val="0"/>
                    <w:keepLines w:val="0"/>
                    <w:suppressLineNumbers w:val="0"/>
                    <w:spacing w:before="0" w:beforeAutospacing="0" w:after="0" w:afterAutospacing="0"/>
                    <w:ind w:left="0" w:right="0"/>
                    <w:jc w:val="center"/>
                    <w:rPr>
                      <w:rFonts w:hint="default" w:ascii="Times New Roman" w:hAnsi="Times New Roman" w:eastAsia="宋体" w:cs="Times New Roman"/>
                      <w:b/>
                      <w:bCs/>
                      <w:color w:val="auto"/>
                      <w:szCs w:val="21"/>
                    </w:rPr>
                  </w:pPr>
                  <w:r>
                    <w:rPr>
                      <w:rFonts w:hint="default" w:ascii="Times New Roman" w:hAnsi="Times New Roman" w:eastAsia="宋体" w:cs="Times New Roman"/>
                      <w:b/>
                      <w:bCs/>
                      <w:color w:val="auto"/>
                      <w:szCs w:val="21"/>
                    </w:rPr>
                    <w:t>临界储存量t</w:t>
                  </w:r>
                </w:p>
              </w:tc>
              <w:tc>
                <w:tcPr>
                  <w:tcW w:w="749" w:type="pct"/>
                  <w:vAlign w:val="center"/>
                </w:tcPr>
                <w:p w14:paraId="2C0D10A9">
                  <w:pPr>
                    <w:keepNext w:val="0"/>
                    <w:keepLines w:val="0"/>
                    <w:suppressLineNumbers w:val="0"/>
                    <w:spacing w:before="0" w:beforeAutospacing="0" w:after="0" w:afterAutospacing="0"/>
                    <w:ind w:left="0" w:right="0"/>
                    <w:jc w:val="center"/>
                    <w:rPr>
                      <w:rFonts w:hint="default" w:ascii="Times New Roman" w:hAnsi="Times New Roman" w:eastAsia="宋体" w:cs="Times New Roman"/>
                      <w:b/>
                      <w:bCs/>
                      <w:color w:val="auto"/>
                      <w:szCs w:val="21"/>
                    </w:rPr>
                  </w:pPr>
                  <w:r>
                    <w:rPr>
                      <w:rFonts w:hint="default" w:ascii="Times New Roman" w:hAnsi="Times New Roman" w:eastAsia="宋体" w:cs="Times New Roman"/>
                      <w:b/>
                      <w:bCs/>
                      <w:color w:val="auto"/>
                      <w:szCs w:val="21"/>
                    </w:rPr>
                    <w:t>q/Q</w:t>
                  </w:r>
                </w:p>
              </w:tc>
            </w:tr>
            <w:tr w14:paraId="3CB935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1029" w:type="pct"/>
                  <w:vAlign w:val="center"/>
                </w:tcPr>
                <w:p w14:paraId="4FE68ABA">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rPr>
                    <w:t>润滑油</w:t>
                  </w:r>
                </w:p>
              </w:tc>
              <w:tc>
                <w:tcPr>
                  <w:tcW w:w="916" w:type="pct"/>
                  <w:vAlign w:val="center"/>
                </w:tcPr>
                <w:p w14:paraId="5A64EA65">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lang w:val="en-US" w:eastAsia="zh-CN"/>
                    </w:rPr>
                    <w:t>0.04</w:t>
                  </w:r>
                </w:p>
              </w:tc>
              <w:tc>
                <w:tcPr>
                  <w:tcW w:w="1428" w:type="pct"/>
                  <w:vAlign w:val="center"/>
                </w:tcPr>
                <w:p w14:paraId="725F7589">
                  <w:pPr>
                    <w:keepNext w:val="0"/>
                    <w:keepLines w:val="0"/>
                    <w:widowControl/>
                    <w:suppressLineNumbers w:val="0"/>
                    <w:spacing w:before="0" w:beforeAutospacing="0" w:after="0" w:afterAutospacing="0"/>
                    <w:ind w:left="0" w:leftChars="0" w:right="0" w:rightChars="0"/>
                    <w:jc w:val="center"/>
                    <w:rPr>
                      <w:rFonts w:hint="default" w:ascii="Times New Roman" w:hAnsi="Times New Roman" w:eastAsia="宋体" w:cs="Times New Roman"/>
                      <w:color w:val="auto"/>
                      <w:szCs w:val="21"/>
                    </w:rPr>
                  </w:pPr>
                  <w:r>
                    <w:rPr>
                      <w:rFonts w:hint="default" w:ascii="Times New Roman" w:hAnsi="Times New Roman" w:cs="Times New Roman"/>
                      <w:color w:val="auto"/>
                      <w:sz w:val="21"/>
                      <w:szCs w:val="96"/>
                      <w:highlight w:val="none"/>
                      <w:lang w:val="en-US" w:eastAsia="zh-CN"/>
                    </w:rPr>
                    <w:t>油类物质（矿物油类，如石油、汽油、柴油等；生物柴油等）</w:t>
                  </w:r>
                </w:p>
              </w:tc>
              <w:tc>
                <w:tcPr>
                  <w:tcW w:w="875" w:type="pct"/>
                  <w:vAlign w:val="center"/>
                </w:tcPr>
                <w:p w14:paraId="6C8102F3">
                  <w:pPr>
                    <w:keepNext w:val="0"/>
                    <w:keepLines w:val="0"/>
                    <w:widowControl/>
                    <w:suppressLineNumbers w:val="0"/>
                    <w:spacing w:before="0" w:beforeAutospacing="0" w:after="0" w:afterAutospacing="0"/>
                    <w:ind w:left="0" w:leftChars="0" w:right="0" w:rightChars="0"/>
                    <w:jc w:val="center"/>
                    <w:rPr>
                      <w:rFonts w:hint="default" w:ascii="Times New Roman" w:hAnsi="Times New Roman" w:eastAsia="宋体" w:cs="Times New Roman"/>
                      <w:color w:val="auto"/>
                      <w:szCs w:val="21"/>
                    </w:rPr>
                  </w:pPr>
                  <w:r>
                    <w:rPr>
                      <w:rFonts w:hint="default" w:ascii="Times New Roman" w:hAnsi="Times New Roman" w:cs="Times New Roman"/>
                      <w:color w:val="auto"/>
                      <w:sz w:val="21"/>
                      <w:szCs w:val="96"/>
                      <w:highlight w:val="none"/>
                    </w:rPr>
                    <w:t>2500</w:t>
                  </w:r>
                </w:p>
              </w:tc>
              <w:tc>
                <w:tcPr>
                  <w:tcW w:w="749" w:type="pct"/>
                  <w:vAlign w:val="center"/>
                </w:tcPr>
                <w:p w14:paraId="2C5B1173">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lang w:val="en-US" w:eastAsia="zh-CN"/>
                    </w:rPr>
                  </w:pPr>
                  <w:r>
                    <w:rPr>
                      <w:rFonts w:hint="eastAsia" w:ascii="Times New Roman" w:hAnsi="Times New Roman" w:eastAsia="宋体" w:cs="Times New Roman"/>
                      <w:color w:val="auto"/>
                      <w:szCs w:val="21"/>
                      <w:lang w:val="en-US" w:eastAsia="zh-CN"/>
                    </w:rPr>
                    <w:t>0.000016</w:t>
                  </w:r>
                </w:p>
              </w:tc>
            </w:tr>
            <w:tr w14:paraId="301423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1029" w:type="pct"/>
                  <w:vAlign w:val="center"/>
                </w:tcPr>
                <w:p w14:paraId="283DD018">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rPr>
                    <w:t>背胶处理剂</w:t>
                  </w:r>
                </w:p>
              </w:tc>
              <w:tc>
                <w:tcPr>
                  <w:tcW w:w="916" w:type="pct"/>
                  <w:vAlign w:val="center"/>
                </w:tcPr>
                <w:p w14:paraId="6664E063">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lang w:val="en-US" w:eastAsia="zh-CN"/>
                    </w:rPr>
                  </w:pPr>
                  <w:r>
                    <w:rPr>
                      <w:rFonts w:hint="eastAsia" w:ascii="Times New Roman" w:hAnsi="Times New Roman" w:eastAsia="宋体" w:cs="Times New Roman"/>
                      <w:color w:val="auto"/>
                      <w:szCs w:val="21"/>
                      <w:lang w:val="en-US" w:eastAsia="zh-CN"/>
                    </w:rPr>
                    <w:t>0.165</w:t>
                  </w:r>
                </w:p>
              </w:tc>
              <w:tc>
                <w:tcPr>
                  <w:tcW w:w="1428" w:type="pct"/>
                  <w:shd w:val="clear" w:color="auto" w:fill="auto"/>
                  <w:vAlign w:val="center"/>
                </w:tcPr>
                <w:p w14:paraId="64E852FB">
                  <w:pPr>
                    <w:keepNext w:val="0"/>
                    <w:keepLines w:val="0"/>
                    <w:suppressLineNumbers w:val="0"/>
                    <w:spacing w:before="0" w:beforeAutospacing="0" w:after="0" w:afterAutospacing="0" w:line="240" w:lineRule="auto"/>
                    <w:ind w:left="0" w:leftChars="0" w:right="0" w:rightChars="0"/>
                    <w:jc w:val="center"/>
                    <w:rPr>
                      <w:rFonts w:hint="default" w:ascii="Times New Roman" w:hAnsi="Times New Roman" w:eastAsia="宋体" w:cs="Times New Roman"/>
                      <w:color w:val="auto"/>
                      <w:kern w:val="2"/>
                      <w:sz w:val="21"/>
                      <w:szCs w:val="21"/>
                      <w:lang w:val="en-US" w:eastAsia="zh-CN" w:bidi="ar-SA"/>
                    </w:rPr>
                  </w:pPr>
                  <w:r>
                    <w:rPr>
                      <w:rFonts w:hint="eastAsia" w:ascii="Times New Roman" w:hAnsi="Times New Roman" w:eastAsia="宋体" w:cs="Times New Roman"/>
                      <w:color w:val="auto"/>
                      <w:sz w:val="21"/>
                      <w:szCs w:val="21"/>
                      <w:lang w:val="en-US" w:eastAsia="zh-CN"/>
                    </w:rPr>
                    <w:t>危害水环境物质（急性毒性类别1）</w:t>
                  </w:r>
                </w:p>
              </w:tc>
              <w:tc>
                <w:tcPr>
                  <w:tcW w:w="875" w:type="pct"/>
                  <w:shd w:val="clear" w:color="auto" w:fill="auto"/>
                  <w:vAlign w:val="center"/>
                </w:tcPr>
                <w:p w14:paraId="47013498">
                  <w:pPr>
                    <w:keepNext w:val="0"/>
                    <w:keepLines w:val="0"/>
                    <w:suppressLineNumbers w:val="0"/>
                    <w:spacing w:before="0" w:beforeAutospacing="0" w:after="0" w:afterAutospacing="0" w:line="240" w:lineRule="auto"/>
                    <w:ind w:left="0" w:leftChars="0" w:right="0" w:rightChars="0"/>
                    <w:jc w:val="center"/>
                    <w:rPr>
                      <w:rFonts w:hint="default" w:ascii="Times New Roman" w:hAnsi="Times New Roman" w:eastAsia="宋体" w:cs="Times New Roman"/>
                      <w:color w:val="auto"/>
                      <w:kern w:val="2"/>
                      <w:sz w:val="21"/>
                      <w:szCs w:val="21"/>
                      <w:lang w:val="en-US" w:eastAsia="zh-CN" w:bidi="ar-SA"/>
                    </w:rPr>
                  </w:pPr>
                  <w:r>
                    <w:rPr>
                      <w:rFonts w:hint="default" w:ascii="Times New Roman" w:hAnsi="Times New Roman" w:eastAsia="宋体" w:cs="Times New Roman"/>
                      <w:color w:val="auto"/>
                      <w:sz w:val="21"/>
                      <w:szCs w:val="21"/>
                      <w:lang w:val="en-US" w:eastAsia="zh-CN"/>
                    </w:rPr>
                    <w:t>100</w:t>
                  </w:r>
                </w:p>
              </w:tc>
              <w:tc>
                <w:tcPr>
                  <w:tcW w:w="749" w:type="pct"/>
                  <w:vAlign w:val="center"/>
                </w:tcPr>
                <w:p w14:paraId="144B8403">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lang w:val="en-US" w:eastAsia="zh-CN"/>
                    </w:rPr>
                  </w:pPr>
                  <w:r>
                    <w:rPr>
                      <w:rFonts w:hint="eastAsia" w:ascii="Times New Roman" w:hAnsi="Times New Roman" w:eastAsia="宋体" w:cs="Times New Roman"/>
                      <w:color w:val="auto"/>
                      <w:szCs w:val="21"/>
                      <w:lang w:val="en-US" w:eastAsia="zh-CN"/>
                    </w:rPr>
                    <w:t>0.001650</w:t>
                  </w:r>
                </w:p>
              </w:tc>
            </w:tr>
            <w:tr w14:paraId="448412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1029" w:type="pct"/>
                  <w:shd w:val="clear" w:color="auto" w:fill="auto"/>
                  <w:vAlign w:val="center"/>
                </w:tcPr>
                <w:p w14:paraId="6C2A7487">
                  <w:pPr>
                    <w:keepNext w:val="0"/>
                    <w:keepLines w:val="0"/>
                    <w:widowControl w:val="0"/>
                    <w:suppressLineNumbers w:val="0"/>
                    <w:spacing w:before="0" w:beforeAutospacing="0" w:after="0" w:afterAutospacing="0"/>
                    <w:ind w:left="0" w:leftChars="0" w:right="0" w:rightChars="0"/>
                    <w:jc w:val="center"/>
                    <w:rPr>
                      <w:rFonts w:hint="default" w:ascii="Times New Roman" w:hAnsi="Times New Roman" w:eastAsia="宋体" w:cs="Times New Roman"/>
                      <w:color w:val="auto"/>
                      <w:kern w:val="2"/>
                      <w:sz w:val="21"/>
                      <w:szCs w:val="21"/>
                      <w:lang w:val="en-US" w:eastAsia="zh-CN" w:bidi="ar-SA"/>
                    </w:rPr>
                  </w:pPr>
                  <w:r>
                    <w:rPr>
                      <w:rFonts w:hint="eastAsia" w:ascii="宋体" w:hAnsi="宋体" w:eastAsia="宋体" w:cs="宋体"/>
                      <w:color w:val="auto"/>
                      <w:kern w:val="2"/>
                      <w:sz w:val="21"/>
                      <w:szCs w:val="21"/>
                      <w:lang w:val="en-US" w:eastAsia="zh-CN" w:bidi="ar"/>
                    </w:rPr>
                    <w:t>废润滑油</w:t>
                  </w:r>
                </w:p>
              </w:tc>
              <w:tc>
                <w:tcPr>
                  <w:tcW w:w="916" w:type="pct"/>
                  <w:vAlign w:val="center"/>
                </w:tcPr>
                <w:p w14:paraId="3D96607B">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lang w:val="en-US" w:eastAsia="zh-CN"/>
                    </w:rPr>
                  </w:pPr>
                  <w:r>
                    <w:rPr>
                      <w:rFonts w:hint="eastAsia" w:ascii="Times New Roman" w:hAnsi="Times New Roman" w:eastAsia="宋体" w:cs="Times New Roman"/>
                      <w:color w:val="auto"/>
                      <w:szCs w:val="21"/>
                      <w:lang w:val="en-US" w:eastAsia="zh-CN"/>
                    </w:rPr>
                    <w:t>0.08</w:t>
                  </w:r>
                </w:p>
              </w:tc>
              <w:tc>
                <w:tcPr>
                  <w:tcW w:w="1428" w:type="pct"/>
                  <w:vAlign w:val="center"/>
                </w:tcPr>
                <w:p w14:paraId="333D81CB">
                  <w:pPr>
                    <w:keepNext w:val="0"/>
                    <w:keepLines w:val="0"/>
                    <w:widowControl/>
                    <w:suppressLineNumbers w:val="0"/>
                    <w:spacing w:before="0" w:beforeAutospacing="0" w:after="0" w:afterAutospacing="0"/>
                    <w:ind w:left="0" w:leftChars="0" w:right="0" w:rightChars="0"/>
                    <w:jc w:val="center"/>
                    <w:rPr>
                      <w:rFonts w:hint="default" w:ascii="Times New Roman" w:hAnsi="Times New Roman" w:eastAsia="宋体" w:cs="Times New Roman"/>
                      <w:color w:val="auto"/>
                      <w:szCs w:val="21"/>
                    </w:rPr>
                  </w:pPr>
                  <w:r>
                    <w:rPr>
                      <w:rFonts w:hint="default" w:ascii="Times New Roman" w:hAnsi="Times New Roman" w:cs="Times New Roman"/>
                      <w:color w:val="auto"/>
                      <w:sz w:val="21"/>
                      <w:szCs w:val="96"/>
                      <w:highlight w:val="none"/>
                      <w:lang w:val="en-US" w:eastAsia="zh-CN"/>
                    </w:rPr>
                    <w:t>油类物质（矿物油类，如石油、汽油、柴油等；生物柴油等）</w:t>
                  </w:r>
                </w:p>
              </w:tc>
              <w:tc>
                <w:tcPr>
                  <w:tcW w:w="875" w:type="pct"/>
                  <w:vAlign w:val="center"/>
                </w:tcPr>
                <w:p w14:paraId="2BEE0995">
                  <w:pPr>
                    <w:keepNext w:val="0"/>
                    <w:keepLines w:val="0"/>
                    <w:widowControl/>
                    <w:suppressLineNumbers w:val="0"/>
                    <w:spacing w:before="0" w:beforeAutospacing="0" w:after="0" w:afterAutospacing="0"/>
                    <w:ind w:left="0" w:leftChars="0" w:right="0" w:rightChars="0"/>
                    <w:jc w:val="center"/>
                    <w:rPr>
                      <w:rFonts w:hint="default" w:ascii="Times New Roman" w:hAnsi="Times New Roman" w:eastAsia="宋体" w:cs="Times New Roman"/>
                      <w:color w:val="auto"/>
                      <w:szCs w:val="21"/>
                    </w:rPr>
                  </w:pPr>
                  <w:r>
                    <w:rPr>
                      <w:rFonts w:hint="default" w:ascii="Times New Roman" w:hAnsi="Times New Roman" w:cs="Times New Roman"/>
                      <w:color w:val="auto"/>
                      <w:sz w:val="21"/>
                      <w:szCs w:val="96"/>
                      <w:highlight w:val="none"/>
                    </w:rPr>
                    <w:t>2500</w:t>
                  </w:r>
                </w:p>
              </w:tc>
              <w:tc>
                <w:tcPr>
                  <w:tcW w:w="749" w:type="pct"/>
                  <w:vAlign w:val="center"/>
                </w:tcPr>
                <w:p w14:paraId="45ED9946">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lang w:val="en-US" w:eastAsia="zh-CN"/>
                    </w:rPr>
                  </w:pPr>
                  <w:r>
                    <w:rPr>
                      <w:rFonts w:hint="eastAsia" w:ascii="Times New Roman" w:hAnsi="Times New Roman" w:eastAsia="宋体" w:cs="Times New Roman"/>
                      <w:color w:val="auto"/>
                      <w:szCs w:val="21"/>
                      <w:lang w:val="en-US" w:eastAsia="zh-CN"/>
                    </w:rPr>
                    <w:t>0.000032</w:t>
                  </w:r>
                </w:p>
              </w:tc>
            </w:tr>
            <w:tr w14:paraId="308526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1029" w:type="pct"/>
                  <w:shd w:val="clear" w:color="auto" w:fill="auto"/>
                  <w:vAlign w:val="center"/>
                </w:tcPr>
                <w:p w14:paraId="34907786">
                  <w:pPr>
                    <w:keepNext w:val="0"/>
                    <w:keepLines w:val="0"/>
                    <w:widowControl w:val="0"/>
                    <w:suppressLineNumbers w:val="0"/>
                    <w:spacing w:before="0" w:beforeAutospacing="0" w:after="0" w:afterAutospacing="0"/>
                    <w:ind w:left="0" w:leftChars="0" w:right="0" w:rightChars="0"/>
                    <w:jc w:val="center"/>
                    <w:rPr>
                      <w:rFonts w:hint="eastAsia" w:ascii="宋体" w:hAnsi="宋体" w:eastAsia="宋体" w:cs="宋体"/>
                      <w:color w:val="auto"/>
                      <w:kern w:val="2"/>
                      <w:sz w:val="21"/>
                      <w:szCs w:val="21"/>
                      <w:lang w:val="en-US" w:eastAsia="zh-CN" w:bidi="ar"/>
                    </w:rPr>
                  </w:pPr>
                  <w:r>
                    <w:rPr>
                      <w:rFonts w:hint="eastAsia" w:ascii="宋体" w:hAnsi="宋体" w:eastAsia="宋体" w:cs="宋体"/>
                      <w:color w:val="auto"/>
                      <w:kern w:val="2"/>
                      <w:sz w:val="21"/>
                      <w:szCs w:val="21"/>
                      <w:lang w:val="en-US" w:eastAsia="zh-CN" w:bidi="ar"/>
                    </w:rPr>
                    <w:t>破损的废包装桶</w:t>
                  </w:r>
                </w:p>
              </w:tc>
              <w:tc>
                <w:tcPr>
                  <w:tcW w:w="916" w:type="pct"/>
                  <w:vAlign w:val="center"/>
                </w:tcPr>
                <w:p w14:paraId="6BF9B277">
                  <w:pPr>
                    <w:keepNext w:val="0"/>
                    <w:keepLines w:val="0"/>
                    <w:suppressLineNumbers w:val="0"/>
                    <w:spacing w:before="0" w:beforeAutospacing="0" w:after="0" w:afterAutospacing="0"/>
                    <w:ind w:left="0" w:right="0"/>
                    <w:jc w:val="center"/>
                    <w:rPr>
                      <w:rFonts w:hint="eastAsia" w:ascii="Times New Roman" w:hAnsi="Times New Roman" w:eastAsia="宋体" w:cs="Times New Roman"/>
                      <w:color w:val="auto"/>
                      <w:szCs w:val="21"/>
                      <w:lang w:val="en-US" w:eastAsia="zh-CN"/>
                    </w:rPr>
                  </w:pPr>
                  <w:r>
                    <w:rPr>
                      <w:rFonts w:hint="eastAsia" w:ascii="Times New Roman" w:hAnsi="Times New Roman" w:eastAsia="宋体" w:cs="Times New Roman"/>
                      <w:color w:val="auto"/>
                      <w:szCs w:val="21"/>
                      <w:lang w:val="en-US" w:eastAsia="zh-CN"/>
                    </w:rPr>
                    <w:t>2</w:t>
                  </w:r>
                </w:p>
              </w:tc>
              <w:tc>
                <w:tcPr>
                  <w:tcW w:w="1428" w:type="pct"/>
                  <w:vMerge w:val="restart"/>
                  <w:vAlign w:val="center"/>
                </w:tcPr>
                <w:p w14:paraId="33117CA2">
                  <w:pPr>
                    <w:keepNext w:val="0"/>
                    <w:keepLines w:val="0"/>
                    <w:suppressLineNumbers w:val="0"/>
                    <w:spacing w:before="0" w:beforeAutospacing="0" w:after="0" w:afterAutospacing="0" w:line="240" w:lineRule="auto"/>
                    <w:ind w:left="0" w:leftChars="0" w:right="0" w:rightChars="0"/>
                    <w:jc w:val="center"/>
                    <w:rPr>
                      <w:rFonts w:hint="default" w:ascii="Times New Roman" w:hAnsi="Times New Roman" w:eastAsia="宋体" w:cs="Times New Roman"/>
                      <w:color w:val="auto"/>
                      <w:szCs w:val="21"/>
                    </w:rPr>
                  </w:pPr>
                  <w:r>
                    <w:rPr>
                      <w:rFonts w:hint="default" w:ascii="Times New Roman" w:hAnsi="Times New Roman" w:eastAsia="宋体" w:cs="Times New Roman"/>
                      <w:color w:val="auto"/>
                      <w:sz w:val="21"/>
                      <w:szCs w:val="21"/>
                      <w:highlight w:val="none"/>
                      <w:lang w:val="en-US" w:eastAsia="zh-CN"/>
                    </w:rPr>
                    <w:t>健康危险急性毒性物质（类别2，类别3）</w:t>
                  </w:r>
                </w:p>
              </w:tc>
              <w:tc>
                <w:tcPr>
                  <w:tcW w:w="875" w:type="pct"/>
                  <w:vMerge w:val="restart"/>
                  <w:vAlign w:val="center"/>
                </w:tcPr>
                <w:p w14:paraId="72C18FD2">
                  <w:pPr>
                    <w:keepNext w:val="0"/>
                    <w:keepLines w:val="0"/>
                    <w:suppressLineNumbers w:val="0"/>
                    <w:spacing w:before="0" w:beforeAutospacing="0" w:after="0" w:afterAutospacing="0" w:line="240" w:lineRule="auto"/>
                    <w:ind w:left="0" w:leftChars="0" w:right="0" w:rightChars="0"/>
                    <w:jc w:val="center"/>
                    <w:rPr>
                      <w:rFonts w:hint="default" w:ascii="Times New Roman" w:hAnsi="Times New Roman" w:eastAsia="宋体" w:cs="Times New Roman"/>
                      <w:color w:val="auto"/>
                      <w:szCs w:val="21"/>
                    </w:rPr>
                  </w:pPr>
                  <w:r>
                    <w:rPr>
                      <w:rFonts w:hint="default" w:ascii="Times New Roman" w:hAnsi="Times New Roman" w:eastAsia="宋体" w:cs="Times New Roman"/>
                      <w:color w:val="auto"/>
                      <w:sz w:val="21"/>
                      <w:szCs w:val="21"/>
                      <w:highlight w:val="none"/>
                      <w:lang w:val="en-US" w:eastAsia="zh-CN"/>
                    </w:rPr>
                    <w:t>50</w:t>
                  </w:r>
                </w:p>
              </w:tc>
              <w:tc>
                <w:tcPr>
                  <w:tcW w:w="749" w:type="pct"/>
                  <w:vAlign w:val="center"/>
                </w:tcPr>
                <w:p w14:paraId="43CF9EAF">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lang w:val="en-US" w:eastAsia="zh-CN"/>
                    </w:rPr>
                  </w:pPr>
                  <w:r>
                    <w:rPr>
                      <w:rFonts w:hint="eastAsia" w:ascii="Times New Roman" w:hAnsi="Times New Roman" w:eastAsia="宋体" w:cs="Times New Roman"/>
                      <w:color w:val="auto"/>
                      <w:szCs w:val="21"/>
                      <w:lang w:val="en-US" w:eastAsia="zh-CN"/>
                    </w:rPr>
                    <w:t>0.040000</w:t>
                  </w:r>
                </w:p>
              </w:tc>
            </w:tr>
            <w:tr w14:paraId="076F70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1029" w:type="pct"/>
                  <w:shd w:val="clear" w:color="auto" w:fill="auto"/>
                  <w:vAlign w:val="center"/>
                </w:tcPr>
                <w:p w14:paraId="4F80603D">
                  <w:pPr>
                    <w:keepNext w:val="0"/>
                    <w:keepLines w:val="0"/>
                    <w:widowControl w:val="0"/>
                    <w:suppressLineNumbers w:val="0"/>
                    <w:spacing w:before="0" w:beforeAutospacing="0" w:after="0" w:afterAutospacing="0"/>
                    <w:ind w:left="0" w:leftChars="0" w:right="0" w:rightChars="0"/>
                    <w:jc w:val="center"/>
                    <w:rPr>
                      <w:rFonts w:hint="default" w:ascii="Times New Roman" w:hAnsi="Times New Roman" w:eastAsia="宋体" w:cs="Times New Roman"/>
                      <w:color w:val="auto"/>
                      <w:kern w:val="2"/>
                      <w:sz w:val="21"/>
                      <w:szCs w:val="21"/>
                      <w:lang w:val="en-US" w:eastAsia="zh-CN" w:bidi="ar-SA"/>
                    </w:rPr>
                  </w:pPr>
                  <w:r>
                    <w:rPr>
                      <w:rFonts w:hint="eastAsia" w:ascii="宋体" w:hAnsi="宋体" w:eastAsia="宋体" w:cs="宋体"/>
                      <w:color w:val="auto"/>
                      <w:kern w:val="2"/>
                      <w:sz w:val="21"/>
                      <w:szCs w:val="21"/>
                      <w:lang w:val="en-US" w:eastAsia="zh-CN" w:bidi="ar"/>
                    </w:rPr>
                    <w:t>废润滑油桶</w:t>
                  </w:r>
                </w:p>
              </w:tc>
              <w:tc>
                <w:tcPr>
                  <w:tcW w:w="916" w:type="pct"/>
                  <w:vAlign w:val="center"/>
                </w:tcPr>
                <w:p w14:paraId="3C6FF911">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lang w:val="en-US" w:eastAsia="zh-CN"/>
                    </w:rPr>
                  </w:pPr>
                  <w:r>
                    <w:rPr>
                      <w:rFonts w:hint="eastAsia" w:ascii="Times New Roman" w:hAnsi="Times New Roman" w:eastAsia="宋体" w:cs="Times New Roman"/>
                      <w:color w:val="auto"/>
                      <w:szCs w:val="21"/>
                      <w:lang w:val="en-US" w:eastAsia="zh-CN"/>
                    </w:rPr>
                    <w:t>0.01</w:t>
                  </w:r>
                </w:p>
              </w:tc>
              <w:tc>
                <w:tcPr>
                  <w:tcW w:w="1428" w:type="pct"/>
                  <w:vMerge w:val="continue"/>
                  <w:vAlign w:val="center"/>
                </w:tcPr>
                <w:p w14:paraId="5B1A382A">
                  <w:pPr>
                    <w:keepNext w:val="0"/>
                    <w:keepLines w:val="0"/>
                    <w:suppressLineNumbers w:val="0"/>
                    <w:spacing w:before="0" w:beforeAutospacing="0" w:after="0" w:afterAutospacing="0" w:line="240" w:lineRule="auto"/>
                    <w:ind w:left="0" w:leftChars="0" w:right="0" w:rightChars="0"/>
                    <w:jc w:val="center"/>
                    <w:rPr>
                      <w:rFonts w:hint="default" w:ascii="Times New Roman" w:hAnsi="Times New Roman" w:eastAsia="宋体" w:cs="Times New Roman"/>
                      <w:color w:val="auto"/>
                      <w:szCs w:val="21"/>
                    </w:rPr>
                  </w:pPr>
                </w:p>
              </w:tc>
              <w:tc>
                <w:tcPr>
                  <w:tcW w:w="875" w:type="pct"/>
                  <w:vMerge w:val="continue"/>
                  <w:vAlign w:val="center"/>
                </w:tcPr>
                <w:p w14:paraId="5D9015D7">
                  <w:pPr>
                    <w:keepNext w:val="0"/>
                    <w:keepLines w:val="0"/>
                    <w:suppressLineNumbers w:val="0"/>
                    <w:spacing w:before="0" w:beforeAutospacing="0" w:after="0" w:afterAutospacing="0" w:line="240" w:lineRule="auto"/>
                    <w:ind w:left="0" w:leftChars="0" w:right="0" w:rightChars="0"/>
                    <w:jc w:val="center"/>
                    <w:rPr>
                      <w:rFonts w:hint="default" w:ascii="Times New Roman" w:hAnsi="Times New Roman" w:eastAsia="宋体" w:cs="Times New Roman"/>
                      <w:color w:val="auto"/>
                      <w:szCs w:val="21"/>
                    </w:rPr>
                  </w:pPr>
                </w:p>
              </w:tc>
              <w:tc>
                <w:tcPr>
                  <w:tcW w:w="749" w:type="pct"/>
                  <w:vAlign w:val="center"/>
                </w:tcPr>
                <w:p w14:paraId="09FF7253">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lang w:val="en-US" w:eastAsia="zh-CN"/>
                    </w:rPr>
                  </w:pPr>
                  <w:r>
                    <w:rPr>
                      <w:rFonts w:hint="eastAsia" w:ascii="Times New Roman" w:hAnsi="Times New Roman" w:eastAsia="宋体" w:cs="Times New Roman"/>
                      <w:color w:val="auto"/>
                      <w:szCs w:val="21"/>
                      <w:lang w:val="en-US" w:eastAsia="zh-CN"/>
                    </w:rPr>
                    <w:t>0.000200</w:t>
                  </w:r>
                </w:p>
              </w:tc>
            </w:tr>
            <w:tr w14:paraId="29F8C3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1029" w:type="pct"/>
                  <w:shd w:val="clear" w:color="auto" w:fill="auto"/>
                  <w:vAlign w:val="center"/>
                </w:tcPr>
                <w:p w14:paraId="219A5BD8">
                  <w:pPr>
                    <w:keepNext w:val="0"/>
                    <w:keepLines w:val="0"/>
                    <w:widowControl/>
                    <w:suppressLineNumbers w:val="0"/>
                    <w:spacing w:before="0" w:beforeAutospacing="0" w:after="0" w:afterAutospacing="0"/>
                    <w:ind w:left="0" w:leftChars="0" w:right="0" w:rightChars="0"/>
                    <w:jc w:val="center"/>
                    <w:rPr>
                      <w:rFonts w:hint="default" w:ascii="Times New Roman" w:hAnsi="Times New Roman" w:eastAsia="宋体" w:cs="Times New Roman"/>
                      <w:color w:val="auto"/>
                      <w:kern w:val="2"/>
                      <w:sz w:val="21"/>
                      <w:szCs w:val="21"/>
                      <w:lang w:val="en-US" w:eastAsia="zh-CN" w:bidi="ar-SA"/>
                    </w:rPr>
                  </w:pPr>
                  <w:r>
                    <w:rPr>
                      <w:rFonts w:hint="eastAsia" w:ascii="宋体" w:hAnsi="宋体" w:eastAsia="宋体" w:cs="宋体"/>
                      <w:color w:val="auto"/>
                      <w:kern w:val="0"/>
                      <w:sz w:val="21"/>
                      <w:szCs w:val="21"/>
                      <w:lang w:val="en-US" w:eastAsia="zh-CN" w:bidi="ar"/>
                    </w:rPr>
                    <w:t>废弃的含油抹布及劳保用品</w:t>
                  </w:r>
                </w:p>
              </w:tc>
              <w:tc>
                <w:tcPr>
                  <w:tcW w:w="916" w:type="pct"/>
                  <w:vAlign w:val="center"/>
                </w:tcPr>
                <w:p w14:paraId="1C249F97">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lang w:val="en-US" w:eastAsia="zh-CN"/>
                    </w:rPr>
                  </w:pPr>
                  <w:r>
                    <w:rPr>
                      <w:rFonts w:hint="eastAsia" w:ascii="Times New Roman" w:hAnsi="Times New Roman" w:eastAsia="宋体" w:cs="Times New Roman"/>
                      <w:color w:val="auto"/>
                      <w:szCs w:val="21"/>
                      <w:lang w:val="en-US" w:eastAsia="zh-CN"/>
                    </w:rPr>
                    <w:t>0.083</w:t>
                  </w:r>
                </w:p>
              </w:tc>
              <w:tc>
                <w:tcPr>
                  <w:tcW w:w="1428" w:type="pct"/>
                  <w:vMerge w:val="continue"/>
                  <w:vAlign w:val="center"/>
                </w:tcPr>
                <w:p w14:paraId="5643D4C2">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p>
              </w:tc>
              <w:tc>
                <w:tcPr>
                  <w:tcW w:w="875" w:type="pct"/>
                  <w:vMerge w:val="continue"/>
                  <w:vAlign w:val="center"/>
                </w:tcPr>
                <w:p w14:paraId="5AD68BD7">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p>
              </w:tc>
              <w:tc>
                <w:tcPr>
                  <w:tcW w:w="749" w:type="pct"/>
                  <w:vAlign w:val="center"/>
                </w:tcPr>
                <w:p w14:paraId="1DD956DF">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lang w:val="en-US" w:eastAsia="zh-CN"/>
                    </w:rPr>
                  </w:pPr>
                  <w:r>
                    <w:rPr>
                      <w:rFonts w:hint="eastAsia" w:ascii="Times New Roman" w:hAnsi="Times New Roman" w:eastAsia="宋体" w:cs="Times New Roman"/>
                      <w:color w:val="auto"/>
                      <w:szCs w:val="21"/>
                      <w:lang w:val="en-US" w:eastAsia="zh-CN"/>
                    </w:rPr>
                    <w:t>0.001660</w:t>
                  </w:r>
                </w:p>
              </w:tc>
            </w:tr>
            <w:tr w14:paraId="2B4839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1029" w:type="pct"/>
                  <w:shd w:val="clear" w:color="auto" w:fill="auto"/>
                  <w:vAlign w:val="center"/>
                </w:tcPr>
                <w:p w14:paraId="6F2CE320">
                  <w:pPr>
                    <w:keepNext w:val="0"/>
                    <w:keepLines w:val="0"/>
                    <w:widowControl w:val="0"/>
                    <w:suppressLineNumbers w:val="0"/>
                    <w:spacing w:before="0" w:beforeAutospacing="0" w:after="0" w:afterAutospacing="0"/>
                    <w:ind w:left="0" w:leftChars="0" w:right="0" w:rightChars="0"/>
                    <w:jc w:val="center"/>
                    <w:rPr>
                      <w:rFonts w:hint="default" w:ascii="Times New Roman" w:hAnsi="Times New Roman" w:eastAsia="宋体" w:cs="Times New Roman"/>
                      <w:color w:val="auto"/>
                      <w:kern w:val="2"/>
                      <w:sz w:val="21"/>
                      <w:szCs w:val="21"/>
                      <w:lang w:val="en-US" w:eastAsia="zh-CN" w:bidi="ar-SA"/>
                    </w:rPr>
                  </w:pPr>
                  <w:r>
                    <w:rPr>
                      <w:rFonts w:hint="eastAsia" w:ascii="宋体" w:hAnsi="宋体" w:eastAsia="宋体" w:cs="宋体"/>
                      <w:color w:val="auto"/>
                      <w:kern w:val="2"/>
                      <w:sz w:val="21"/>
                      <w:szCs w:val="21"/>
                      <w:lang w:val="en-US" w:eastAsia="zh-CN" w:bidi="ar"/>
                    </w:rPr>
                    <w:t>喷淋废水</w:t>
                  </w:r>
                </w:p>
              </w:tc>
              <w:tc>
                <w:tcPr>
                  <w:tcW w:w="916" w:type="pct"/>
                  <w:vAlign w:val="center"/>
                </w:tcPr>
                <w:p w14:paraId="0AD7EA2B">
                  <w:pPr>
                    <w:keepNext w:val="0"/>
                    <w:keepLines w:val="0"/>
                    <w:suppressLineNumbers w:val="0"/>
                    <w:spacing w:before="0" w:beforeAutospacing="0" w:after="0" w:afterAutospacing="0"/>
                    <w:ind w:left="0" w:right="0"/>
                    <w:jc w:val="center"/>
                    <w:rPr>
                      <w:rFonts w:hint="eastAsia" w:ascii="Times New Roman" w:hAnsi="Times New Roman" w:eastAsia="宋体" w:cs="Times New Roman"/>
                      <w:color w:val="auto"/>
                      <w:szCs w:val="21"/>
                      <w:lang w:val="en-US" w:eastAsia="zh-CN"/>
                    </w:rPr>
                  </w:pPr>
                  <w:r>
                    <w:rPr>
                      <w:rFonts w:hint="eastAsia" w:ascii="Times New Roman" w:hAnsi="Times New Roman" w:eastAsia="宋体" w:cs="Times New Roman"/>
                      <w:color w:val="auto"/>
                      <w:szCs w:val="21"/>
                      <w:lang w:val="en-US" w:eastAsia="zh-CN"/>
                    </w:rPr>
                    <w:t>2</w:t>
                  </w:r>
                </w:p>
              </w:tc>
              <w:tc>
                <w:tcPr>
                  <w:tcW w:w="1428" w:type="pct"/>
                  <w:vMerge w:val="continue"/>
                  <w:shd w:val="clear" w:color="auto" w:fill="auto"/>
                  <w:vAlign w:val="center"/>
                </w:tcPr>
                <w:p w14:paraId="1F6FA9F2">
                  <w:pPr>
                    <w:keepNext w:val="0"/>
                    <w:keepLines w:val="0"/>
                    <w:suppressLineNumbers w:val="0"/>
                    <w:spacing w:before="0" w:beforeAutospacing="0" w:after="0" w:afterAutospacing="0" w:line="240" w:lineRule="auto"/>
                    <w:ind w:left="0" w:leftChars="0" w:right="0" w:rightChars="0"/>
                    <w:jc w:val="center"/>
                    <w:rPr>
                      <w:rFonts w:hint="default" w:ascii="Times New Roman" w:hAnsi="Times New Roman" w:eastAsia="宋体" w:cs="Times New Roman"/>
                      <w:color w:val="auto"/>
                      <w:kern w:val="2"/>
                      <w:sz w:val="21"/>
                      <w:szCs w:val="21"/>
                      <w:highlight w:val="none"/>
                      <w:lang w:val="en-US" w:eastAsia="zh-CN" w:bidi="ar-SA"/>
                    </w:rPr>
                  </w:pPr>
                </w:p>
              </w:tc>
              <w:tc>
                <w:tcPr>
                  <w:tcW w:w="875" w:type="pct"/>
                  <w:vMerge w:val="continue"/>
                  <w:shd w:val="clear" w:color="auto" w:fill="auto"/>
                  <w:vAlign w:val="center"/>
                </w:tcPr>
                <w:p w14:paraId="66C33DC6">
                  <w:pPr>
                    <w:keepNext w:val="0"/>
                    <w:keepLines w:val="0"/>
                    <w:suppressLineNumbers w:val="0"/>
                    <w:spacing w:before="0" w:beforeAutospacing="0" w:after="0" w:afterAutospacing="0" w:line="240" w:lineRule="auto"/>
                    <w:ind w:left="0" w:leftChars="0" w:right="0" w:rightChars="0"/>
                    <w:jc w:val="center"/>
                    <w:rPr>
                      <w:rFonts w:hint="default" w:ascii="Times New Roman" w:hAnsi="Times New Roman" w:eastAsia="宋体" w:cs="Times New Roman"/>
                      <w:color w:val="auto"/>
                      <w:kern w:val="2"/>
                      <w:sz w:val="21"/>
                      <w:szCs w:val="21"/>
                      <w:highlight w:val="none"/>
                      <w:lang w:val="en-US" w:eastAsia="zh-CN" w:bidi="ar-SA"/>
                    </w:rPr>
                  </w:pPr>
                </w:p>
              </w:tc>
              <w:tc>
                <w:tcPr>
                  <w:tcW w:w="749" w:type="pct"/>
                  <w:vAlign w:val="center"/>
                </w:tcPr>
                <w:p w14:paraId="72C33C19">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lang w:val="en-US" w:eastAsia="zh-CN"/>
                    </w:rPr>
                  </w:pPr>
                  <w:r>
                    <w:rPr>
                      <w:rFonts w:hint="eastAsia" w:ascii="Times New Roman" w:hAnsi="Times New Roman" w:eastAsia="宋体" w:cs="Times New Roman"/>
                      <w:color w:val="auto"/>
                      <w:szCs w:val="21"/>
                      <w:lang w:val="en-US" w:eastAsia="zh-CN"/>
                    </w:rPr>
                    <w:t>0.040000</w:t>
                  </w:r>
                </w:p>
              </w:tc>
            </w:tr>
            <w:tr w14:paraId="3F5A5E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1029" w:type="pct"/>
                  <w:shd w:val="clear" w:color="auto" w:fill="auto"/>
                  <w:vAlign w:val="center"/>
                </w:tcPr>
                <w:p w14:paraId="55485F71">
                  <w:pPr>
                    <w:keepNext w:val="0"/>
                    <w:keepLines w:val="0"/>
                    <w:widowControl w:val="0"/>
                    <w:suppressLineNumbers w:val="0"/>
                    <w:spacing w:before="0" w:beforeAutospacing="0" w:after="0" w:afterAutospacing="0"/>
                    <w:ind w:left="0" w:leftChars="0" w:right="0" w:rightChars="0"/>
                    <w:jc w:val="center"/>
                    <w:rPr>
                      <w:rFonts w:hint="default" w:ascii="Times New Roman" w:hAnsi="Times New Roman" w:eastAsia="宋体" w:cs="Times New Roman"/>
                      <w:color w:val="auto"/>
                      <w:kern w:val="2"/>
                      <w:sz w:val="21"/>
                      <w:szCs w:val="21"/>
                      <w:lang w:val="en-US" w:eastAsia="zh-CN" w:bidi="ar-SA"/>
                    </w:rPr>
                  </w:pPr>
                  <w:r>
                    <w:rPr>
                      <w:rFonts w:hint="eastAsia" w:ascii="宋体" w:hAnsi="宋体" w:eastAsia="宋体" w:cs="宋体"/>
                      <w:color w:val="auto"/>
                      <w:kern w:val="2"/>
                      <w:sz w:val="21"/>
                      <w:szCs w:val="21"/>
                      <w:lang w:val="en-US" w:eastAsia="zh-CN" w:bidi="ar"/>
                    </w:rPr>
                    <w:t>废过滤棉</w:t>
                  </w:r>
                </w:p>
              </w:tc>
              <w:tc>
                <w:tcPr>
                  <w:tcW w:w="916" w:type="pct"/>
                  <w:vAlign w:val="center"/>
                </w:tcPr>
                <w:p w14:paraId="45029ABA">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0000E1"/>
                      <w:szCs w:val="21"/>
                      <w:lang w:val="en-US" w:eastAsia="zh-CN"/>
                    </w:rPr>
                  </w:pPr>
                  <w:r>
                    <w:rPr>
                      <w:rFonts w:hint="eastAsia" w:ascii="Times New Roman" w:hAnsi="Times New Roman" w:eastAsia="宋体" w:cs="Times New Roman"/>
                      <w:color w:val="0000E1"/>
                      <w:szCs w:val="21"/>
                      <w:lang w:val="en-US" w:eastAsia="zh-CN"/>
                    </w:rPr>
                    <w:t>0.072</w:t>
                  </w:r>
                </w:p>
              </w:tc>
              <w:tc>
                <w:tcPr>
                  <w:tcW w:w="1428" w:type="pct"/>
                  <w:vMerge w:val="continue"/>
                  <w:shd w:val="clear" w:color="auto" w:fill="auto"/>
                  <w:vAlign w:val="center"/>
                </w:tcPr>
                <w:p w14:paraId="2B82DE55">
                  <w:pPr>
                    <w:keepNext w:val="0"/>
                    <w:keepLines w:val="0"/>
                    <w:suppressLineNumbers w:val="0"/>
                    <w:spacing w:before="0" w:beforeAutospacing="0" w:after="0" w:afterAutospacing="0" w:line="240" w:lineRule="auto"/>
                    <w:ind w:left="0" w:leftChars="0" w:right="0" w:rightChars="0"/>
                    <w:jc w:val="center"/>
                    <w:rPr>
                      <w:rFonts w:hint="default" w:ascii="Times New Roman" w:hAnsi="Times New Roman" w:eastAsia="宋体" w:cs="Times New Roman"/>
                      <w:color w:val="auto"/>
                      <w:kern w:val="2"/>
                      <w:sz w:val="21"/>
                      <w:szCs w:val="21"/>
                      <w:highlight w:val="none"/>
                      <w:lang w:val="en-US" w:eastAsia="zh-CN" w:bidi="ar-SA"/>
                    </w:rPr>
                  </w:pPr>
                </w:p>
              </w:tc>
              <w:tc>
                <w:tcPr>
                  <w:tcW w:w="875" w:type="pct"/>
                  <w:vMerge w:val="continue"/>
                  <w:shd w:val="clear" w:color="auto" w:fill="auto"/>
                  <w:vAlign w:val="center"/>
                </w:tcPr>
                <w:p w14:paraId="408AAD73">
                  <w:pPr>
                    <w:keepNext w:val="0"/>
                    <w:keepLines w:val="0"/>
                    <w:suppressLineNumbers w:val="0"/>
                    <w:spacing w:before="0" w:beforeAutospacing="0" w:after="0" w:afterAutospacing="0" w:line="240" w:lineRule="auto"/>
                    <w:ind w:left="0" w:leftChars="0" w:right="0" w:rightChars="0"/>
                    <w:jc w:val="center"/>
                    <w:rPr>
                      <w:rFonts w:hint="default" w:ascii="Times New Roman" w:hAnsi="Times New Roman" w:eastAsia="宋体" w:cs="Times New Roman"/>
                      <w:color w:val="auto"/>
                      <w:kern w:val="2"/>
                      <w:sz w:val="21"/>
                      <w:szCs w:val="21"/>
                      <w:highlight w:val="none"/>
                      <w:lang w:val="en-US" w:eastAsia="zh-CN" w:bidi="ar-SA"/>
                    </w:rPr>
                  </w:pPr>
                </w:p>
              </w:tc>
              <w:tc>
                <w:tcPr>
                  <w:tcW w:w="749" w:type="pct"/>
                  <w:vAlign w:val="center"/>
                </w:tcPr>
                <w:p w14:paraId="6E0EA76A">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0000E1"/>
                      <w:szCs w:val="21"/>
                      <w:lang w:val="en-US" w:eastAsia="zh-CN"/>
                    </w:rPr>
                  </w:pPr>
                  <w:r>
                    <w:rPr>
                      <w:rFonts w:hint="eastAsia" w:ascii="Times New Roman" w:hAnsi="Times New Roman" w:eastAsia="宋体" w:cs="Times New Roman"/>
                      <w:color w:val="0000E1"/>
                      <w:szCs w:val="21"/>
                      <w:lang w:val="en-US" w:eastAsia="zh-CN"/>
                    </w:rPr>
                    <w:t>0.001440</w:t>
                  </w:r>
                </w:p>
              </w:tc>
            </w:tr>
            <w:tr w14:paraId="5B7C5A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1029" w:type="pct"/>
                  <w:shd w:val="clear" w:color="auto" w:fill="auto"/>
                  <w:vAlign w:val="center"/>
                </w:tcPr>
                <w:p w14:paraId="61B96BA9">
                  <w:pPr>
                    <w:keepNext w:val="0"/>
                    <w:keepLines w:val="0"/>
                    <w:widowControl w:val="0"/>
                    <w:suppressLineNumbers w:val="0"/>
                    <w:spacing w:before="0" w:beforeAutospacing="0" w:after="0" w:afterAutospacing="0"/>
                    <w:ind w:left="0" w:leftChars="0" w:right="0" w:rightChars="0"/>
                    <w:jc w:val="center"/>
                    <w:rPr>
                      <w:rFonts w:hint="default" w:ascii="Times New Roman" w:hAnsi="Times New Roman" w:eastAsia="宋体" w:cs="Times New Roman"/>
                      <w:color w:val="auto"/>
                      <w:kern w:val="2"/>
                      <w:sz w:val="21"/>
                      <w:szCs w:val="21"/>
                      <w:lang w:val="en-US" w:eastAsia="zh-CN" w:bidi="ar-SA"/>
                    </w:rPr>
                  </w:pPr>
                  <w:r>
                    <w:rPr>
                      <w:rFonts w:hint="eastAsia" w:ascii="宋体" w:hAnsi="宋体" w:eastAsia="宋体" w:cs="宋体"/>
                      <w:color w:val="auto"/>
                      <w:kern w:val="2"/>
                      <w:sz w:val="21"/>
                      <w:szCs w:val="21"/>
                      <w:lang w:val="en-US" w:eastAsia="zh-CN" w:bidi="ar"/>
                    </w:rPr>
                    <w:t>废活性炭</w:t>
                  </w:r>
                </w:p>
              </w:tc>
              <w:tc>
                <w:tcPr>
                  <w:tcW w:w="916" w:type="pct"/>
                  <w:vAlign w:val="center"/>
                </w:tcPr>
                <w:p w14:paraId="2465A213">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0000E1"/>
                      <w:szCs w:val="21"/>
                      <w:lang w:val="en-US" w:eastAsia="zh-CN"/>
                    </w:rPr>
                  </w:pPr>
                  <w:r>
                    <w:rPr>
                      <w:rFonts w:hint="eastAsia" w:ascii="Times New Roman" w:hAnsi="Times New Roman" w:eastAsia="宋体" w:cs="Times New Roman"/>
                      <w:color w:val="0000E1"/>
                      <w:szCs w:val="21"/>
                      <w:lang w:val="en-US" w:eastAsia="zh-CN"/>
                    </w:rPr>
                    <w:t>6.607</w:t>
                  </w:r>
                </w:p>
              </w:tc>
              <w:tc>
                <w:tcPr>
                  <w:tcW w:w="1428" w:type="pct"/>
                  <w:vMerge w:val="continue"/>
                  <w:vAlign w:val="center"/>
                </w:tcPr>
                <w:p w14:paraId="20C8CD08">
                  <w:pPr>
                    <w:keepNext w:val="0"/>
                    <w:keepLines w:val="0"/>
                    <w:suppressLineNumbers w:val="0"/>
                    <w:spacing w:before="0" w:beforeAutospacing="0" w:after="0" w:afterAutospacing="0" w:line="240" w:lineRule="auto"/>
                    <w:ind w:left="0" w:leftChars="0" w:right="0" w:rightChars="0"/>
                    <w:jc w:val="center"/>
                    <w:rPr>
                      <w:rFonts w:hint="default" w:ascii="Times New Roman" w:hAnsi="Times New Roman" w:eastAsia="宋体" w:cs="Times New Roman"/>
                      <w:color w:val="auto"/>
                      <w:szCs w:val="21"/>
                    </w:rPr>
                  </w:pPr>
                </w:p>
              </w:tc>
              <w:tc>
                <w:tcPr>
                  <w:tcW w:w="875" w:type="pct"/>
                  <w:vMerge w:val="continue"/>
                  <w:vAlign w:val="center"/>
                </w:tcPr>
                <w:p w14:paraId="54A93F28">
                  <w:pPr>
                    <w:keepNext w:val="0"/>
                    <w:keepLines w:val="0"/>
                    <w:suppressLineNumbers w:val="0"/>
                    <w:spacing w:before="0" w:beforeAutospacing="0" w:after="0" w:afterAutospacing="0" w:line="240" w:lineRule="auto"/>
                    <w:ind w:left="0" w:leftChars="0" w:right="0" w:rightChars="0"/>
                    <w:jc w:val="center"/>
                    <w:rPr>
                      <w:rFonts w:hint="default" w:ascii="Times New Roman" w:hAnsi="Times New Roman" w:eastAsia="宋体" w:cs="Times New Roman"/>
                      <w:color w:val="auto"/>
                      <w:szCs w:val="21"/>
                    </w:rPr>
                  </w:pPr>
                </w:p>
              </w:tc>
              <w:tc>
                <w:tcPr>
                  <w:tcW w:w="749" w:type="pct"/>
                  <w:vAlign w:val="center"/>
                </w:tcPr>
                <w:p w14:paraId="7248B173">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0000E1"/>
                      <w:szCs w:val="21"/>
                      <w:lang w:val="en-US" w:eastAsia="zh-CN"/>
                    </w:rPr>
                  </w:pPr>
                  <w:r>
                    <w:rPr>
                      <w:rFonts w:hint="eastAsia" w:ascii="Times New Roman" w:hAnsi="Times New Roman" w:eastAsia="宋体" w:cs="Times New Roman"/>
                      <w:color w:val="0000E1"/>
                      <w:szCs w:val="21"/>
                      <w:lang w:val="en-US" w:eastAsia="zh-CN"/>
                    </w:rPr>
                    <w:t>0.132140</w:t>
                  </w:r>
                </w:p>
              </w:tc>
            </w:tr>
            <w:tr w14:paraId="491931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3374" w:type="pct"/>
                  <w:gridSpan w:val="3"/>
                  <w:vAlign w:val="center"/>
                </w:tcPr>
                <w:p w14:paraId="0FB34E2F">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rPr>
                    <w:t>合计</w:t>
                  </w:r>
                </w:p>
              </w:tc>
              <w:tc>
                <w:tcPr>
                  <w:tcW w:w="875" w:type="pct"/>
                  <w:vAlign w:val="center"/>
                </w:tcPr>
                <w:p w14:paraId="5123A0BA">
                  <w:pPr>
                    <w:keepNext w:val="0"/>
                    <w:keepLines w:val="0"/>
                    <w:suppressLineNumbers w:val="0"/>
                    <w:spacing w:before="0" w:beforeAutospacing="0" w:after="0" w:afterAutospacing="0"/>
                    <w:ind w:left="0" w:right="0"/>
                    <w:jc w:val="center"/>
                    <w:rPr>
                      <w:rFonts w:hint="eastAsia" w:ascii="Times New Roman" w:hAnsi="Times New Roman" w:eastAsia="宋体" w:cs="Times New Roman"/>
                      <w:color w:val="auto"/>
                      <w:szCs w:val="21"/>
                      <w:lang w:val="en-US" w:eastAsia="zh-CN"/>
                    </w:rPr>
                  </w:pPr>
                  <w:r>
                    <w:rPr>
                      <w:rFonts w:hint="eastAsia" w:ascii="Times New Roman" w:hAnsi="Times New Roman" w:eastAsia="宋体" w:cs="Times New Roman"/>
                      <w:color w:val="auto"/>
                      <w:szCs w:val="21"/>
                      <w:lang w:val="en-US" w:eastAsia="zh-CN"/>
                    </w:rPr>
                    <w:t>/</w:t>
                  </w:r>
                </w:p>
              </w:tc>
              <w:tc>
                <w:tcPr>
                  <w:tcW w:w="749" w:type="pct"/>
                  <w:vAlign w:val="center"/>
                </w:tcPr>
                <w:p w14:paraId="6CCB2A0D">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0000E1"/>
                      <w:szCs w:val="21"/>
                      <w:lang w:val="en-US" w:eastAsia="zh-CN"/>
                    </w:rPr>
                  </w:pPr>
                  <w:r>
                    <w:rPr>
                      <w:rFonts w:hint="eastAsia" w:ascii="Times New Roman" w:hAnsi="Times New Roman" w:eastAsia="宋体" w:cs="Times New Roman"/>
                      <w:color w:val="0000E1"/>
                      <w:szCs w:val="21"/>
                      <w:lang w:val="en-US" w:eastAsia="zh-CN"/>
                    </w:rPr>
                    <w:t>0.217138</w:t>
                  </w:r>
                </w:p>
              </w:tc>
            </w:tr>
            <w:tr w14:paraId="26FA5B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5000" w:type="pct"/>
                  <w:gridSpan w:val="5"/>
                  <w:vAlign w:val="center"/>
                </w:tcPr>
                <w:p w14:paraId="65B3E0E4">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FF0000"/>
                      <w:szCs w:val="21"/>
                      <w:lang w:val="en-US" w:eastAsia="zh-CN"/>
                    </w:rPr>
                  </w:pPr>
                  <w:r>
                    <w:rPr>
                      <w:rFonts w:hint="eastAsia" w:ascii="Times New Roman" w:hAnsi="Times New Roman" w:eastAsia="宋体" w:cs="Times New Roman"/>
                      <w:color w:val="0000E1"/>
                      <w:szCs w:val="21"/>
                      <w:lang w:val="en-US" w:eastAsia="zh-CN"/>
                    </w:rPr>
                    <w:t>注：陶瓷基料混合物组分均为高沸点稳定硅聚合物与无机填料，不具备危险化学品急性毒性及易燃易爆特性，不属于风险物质。</w:t>
                  </w:r>
                </w:p>
              </w:tc>
            </w:tr>
          </w:tbl>
          <w:p w14:paraId="66977F46">
            <w:pPr>
              <w:keepNext w:val="0"/>
              <w:keepLines w:val="0"/>
              <w:suppressLineNumbers w:val="0"/>
              <w:spacing w:before="0" w:beforeAutospacing="0" w:after="0" w:afterAutospacing="0" w:line="360" w:lineRule="auto"/>
              <w:ind w:left="0" w:right="0" w:firstLine="480" w:firstLineChars="200"/>
              <w:rPr>
                <w:rFonts w:hint="default" w:ascii="Times New Roman" w:hAnsi="Times New Roman" w:eastAsia="宋体" w:cs="Times New Roman"/>
                <w:color w:val="auto"/>
                <w:sz w:val="24"/>
              </w:rPr>
            </w:pPr>
            <w:r>
              <w:rPr>
                <w:rFonts w:hint="default" w:ascii="Times New Roman" w:hAnsi="Times New Roman" w:eastAsia="宋体" w:cs="Times New Roman"/>
                <w:color w:val="auto"/>
                <w:sz w:val="24"/>
              </w:rPr>
              <w:t>本项目风险物质数量与临界量比值Q</w:t>
            </w:r>
            <w:r>
              <w:rPr>
                <w:rFonts w:hint="eastAsia" w:ascii="Times New Roman" w:hAnsi="Times New Roman" w:eastAsia="宋体" w:cs="Times New Roman"/>
                <w:color w:val="auto"/>
                <w:sz w:val="24"/>
                <w:lang w:val="en-US" w:eastAsia="zh-CN"/>
              </w:rPr>
              <w:t>=</w:t>
            </w:r>
            <w:r>
              <w:rPr>
                <w:rFonts w:hint="eastAsia" w:ascii="Times New Roman" w:hAnsi="Times New Roman" w:eastAsia="宋体" w:cs="Times New Roman"/>
                <w:color w:val="0000E1"/>
                <w:sz w:val="24"/>
                <w:lang w:val="en-US" w:eastAsia="zh-CN"/>
              </w:rPr>
              <w:t>0.217138</w:t>
            </w:r>
            <w:r>
              <w:rPr>
                <w:rFonts w:hint="default" w:ascii="Times New Roman" w:hAnsi="Times New Roman" w:eastAsia="宋体" w:cs="Times New Roman"/>
                <w:color w:val="auto"/>
                <w:sz w:val="24"/>
              </w:rPr>
              <w:t>＜1，无需设置环境风险专项评价。</w:t>
            </w:r>
          </w:p>
          <w:p w14:paraId="385007A7">
            <w:pPr>
              <w:keepNext w:val="0"/>
              <w:keepLines w:val="0"/>
              <w:widowControl w:val="0"/>
              <w:suppressLineNumbers w:val="0"/>
              <w:spacing w:before="0" w:beforeAutospacing="0" w:after="0" w:afterAutospacing="0" w:line="360" w:lineRule="auto"/>
              <w:ind w:left="0" w:right="0" w:firstLine="480" w:firstLineChars="200"/>
              <w:jc w:val="both"/>
              <w:rPr>
                <w:rFonts w:hint="default" w:ascii="Times New Roman" w:hAnsi="Times New Roman" w:eastAsia="宋体" w:cs="Times New Roman"/>
                <w:color w:val="auto"/>
                <w:kern w:val="2"/>
                <w:sz w:val="24"/>
                <w:szCs w:val="24"/>
              </w:rPr>
            </w:pPr>
            <w:r>
              <w:rPr>
                <w:rFonts w:hint="default" w:ascii="Times New Roman" w:hAnsi="Times New Roman" w:eastAsia="宋体" w:cs="Times New Roman"/>
                <w:color w:val="auto"/>
                <w:kern w:val="2"/>
                <w:sz w:val="24"/>
                <w:szCs w:val="24"/>
                <w:lang w:val="en-US" w:eastAsia="zh-CN" w:bidi="ar"/>
              </w:rPr>
              <w:t>②</w:t>
            </w:r>
            <w:r>
              <w:rPr>
                <w:rFonts w:hint="eastAsia" w:ascii="宋体" w:hAnsi="宋体" w:eastAsia="宋体" w:cs="宋体"/>
                <w:color w:val="auto"/>
                <w:kern w:val="2"/>
                <w:sz w:val="24"/>
                <w:szCs w:val="24"/>
                <w:lang w:val="en-US" w:eastAsia="zh-CN" w:bidi="ar"/>
              </w:rPr>
              <w:t>评价工作等级判定</w:t>
            </w:r>
          </w:p>
          <w:p w14:paraId="6A95FF1C">
            <w:pPr>
              <w:keepNext w:val="0"/>
              <w:keepLines w:val="0"/>
              <w:widowControl w:val="0"/>
              <w:suppressLineNumbers w:val="0"/>
              <w:spacing w:before="0" w:beforeAutospacing="0" w:after="0" w:afterAutospacing="0" w:line="360" w:lineRule="auto"/>
              <w:ind w:left="0" w:right="0" w:firstLine="480" w:firstLineChars="200"/>
              <w:jc w:val="both"/>
              <w:rPr>
                <w:rFonts w:hint="default" w:ascii="Times New Roman" w:hAnsi="Times New Roman" w:eastAsia="宋体" w:cs="Times New Roman"/>
                <w:color w:val="auto"/>
                <w:kern w:val="2"/>
                <w:sz w:val="24"/>
                <w:szCs w:val="24"/>
              </w:rPr>
            </w:pPr>
            <w:r>
              <w:rPr>
                <w:rFonts w:hint="eastAsia" w:ascii="宋体" w:hAnsi="宋体" w:eastAsia="宋体" w:cs="宋体"/>
                <w:color w:val="auto"/>
                <w:kern w:val="2"/>
                <w:sz w:val="24"/>
                <w:szCs w:val="24"/>
                <w:lang w:val="en-US" w:eastAsia="zh-CN" w:bidi="ar"/>
              </w:rPr>
              <w:t>根据《建设项目环境风险评价技术导则》（</w:t>
            </w:r>
            <w:r>
              <w:rPr>
                <w:rFonts w:hint="default" w:ascii="Times New Roman" w:hAnsi="Times New Roman" w:eastAsia="宋体" w:cs="Times New Roman"/>
                <w:color w:val="auto"/>
                <w:kern w:val="2"/>
                <w:sz w:val="24"/>
                <w:szCs w:val="24"/>
                <w:lang w:val="en-US" w:eastAsia="zh-CN" w:bidi="ar"/>
              </w:rPr>
              <w:t>HJ169-2018</w:t>
            </w:r>
            <w:r>
              <w:rPr>
                <w:rFonts w:hint="eastAsia" w:ascii="宋体" w:hAnsi="宋体" w:eastAsia="宋体" w:cs="宋体"/>
                <w:color w:val="auto"/>
                <w:kern w:val="2"/>
                <w:sz w:val="24"/>
                <w:szCs w:val="24"/>
                <w:lang w:val="en-US" w:eastAsia="zh-CN" w:bidi="ar"/>
              </w:rPr>
              <w:t>）确定本项目风险评价等级为简单分析</w:t>
            </w:r>
            <w:r>
              <w:rPr>
                <w:rFonts w:hint="default" w:ascii="Times New Roman" w:hAnsi="Times New Roman" w:eastAsia="宋体" w:cs="Times New Roman"/>
                <w:color w:val="auto"/>
                <w:kern w:val="2"/>
                <w:sz w:val="24"/>
                <w:szCs w:val="24"/>
                <w:lang w:val="en-US" w:eastAsia="zh-CN" w:bidi="ar"/>
              </w:rPr>
              <w:t>a</w:t>
            </w:r>
            <w:r>
              <w:rPr>
                <w:rFonts w:hint="eastAsia" w:ascii="宋体" w:hAnsi="宋体" w:eastAsia="宋体" w:cs="宋体"/>
                <w:color w:val="auto"/>
                <w:kern w:val="2"/>
                <w:sz w:val="24"/>
                <w:szCs w:val="24"/>
                <w:lang w:val="en-US" w:eastAsia="zh-CN" w:bidi="ar"/>
              </w:rPr>
              <w:t>。</w:t>
            </w:r>
          </w:p>
          <w:p w14:paraId="5F9F06C4">
            <w:pPr>
              <w:keepNext w:val="0"/>
              <w:keepLines w:val="0"/>
              <w:widowControl w:val="0"/>
              <w:suppressLineNumbers w:val="0"/>
              <w:spacing w:before="0" w:beforeAutospacing="0" w:after="0" w:afterAutospacing="0"/>
              <w:ind w:left="0" w:right="0"/>
              <w:jc w:val="center"/>
              <w:rPr>
                <w:rFonts w:hint="default" w:ascii="Times New Roman" w:hAnsi="Times New Roman" w:eastAsia="宋体" w:cs="Times New Roman"/>
                <w:b/>
                <w:bCs/>
                <w:color w:val="auto"/>
                <w:kern w:val="2"/>
                <w:sz w:val="21"/>
                <w:szCs w:val="21"/>
              </w:rPr>
            </w:pPr>
            <w:r>
              <w:rPr>
                <w:rFonts w:hint="eastAsia" w:ascii="宋体" w:hAnsi="宋体" w:eastAsia="宋体" w:cs="宋体"/>
                <w:b/>
                <w:bCs/>
                <w:color w:val="auto"/>
                <w:kern w:val="2"/>
                <w:sz w:val="21"/>
                <w:szCs w:val="21"/>
                <w:lang w:val="en-US" w:eastAsia="zh-CN" w:bidi="ar"/>
              </w:rPr>
              <w:t>表</w:t>
            </w:r>
            <w:r>
              <w:rPr>
                <w:rFonts w:hint="default" w:ascii="Times New Roman" w:hAnsi="Times New Roman" w:eastAsia="宋体" w:cs="Times New Roman"/>
                <w:b/>
                <w:bCs/>
                <w:color w:val="auto"/>
                <w:kern w:val="2"/>
                <w:sz w:val="21"/>
                <w:szCs w:val="21"/>
                <w:lang w:val="en-US" w:eastAsia="zh-CN" w:bidi="ar"/>
              </w:rPr>
              <w:t>4-</w:t>
            </w:r>
            <w:r>
              <w:rPr>
                <w:rFonts w:hint="eastAsia" w:ascii="Times New Roman" w:hAnsi="Times New Roman" w:eastAsia="宋体" w:cs="Times New Roman"/>
                <w:b/>
                <w:bCs/>
                <w:color w:val="auto"/>
                <w:kern w:val="2"/>
                <w:sz w:val="21"/>
                <w:szCs w:val="21"/>
                <w:lang w:val="en-US" w:eastAsia="zh-CN" w:bidi="ar"/>
              </w:rPr>
              <w:t>31</w:t>
            </w:r>
            <w:r>
              <w:rPr>
                <w:rFonts w:hint="default" w:ascii="Times New Roman" w:hAnsi="Times New Roman" w:eastAsia="宋体" w:cs="Times New Roman"/>
                <w:b/>
                <w:bCs/>
                <w:color w:val="auto"/>
                <w:kern w:val="2"/>
                <w:sz w:val="21"/>
                <w:szCs w:val="21"/>
                <w:lang w:val="en-US" w:eastAsia="zh-CN" w:bidi="ar"/>
              </w:rPr>
              <w:t xml:space="preserve">  </w:t>
            </w:r>
            <w:r>
              <w:rPr>
                <w:rFonts w:hint="eastAsia" w:ascii="宋体" w:hAnsi="宋体" w:eastAsia="宋体" w:cs="宋体"/>
                <w:b/>
                <w:bCs/>
                <w:color w:val="auto"/>
                <w:kern w:val="2"/>
                <w:sz w:val="21"/>
                <w:szCs w:val="21"/>
                <w:lang w:val="en-US" w:eastAsia="zh-CN" w:bidi="ar"/>
              </w:rPr>
              <w:t>评价工作等级划分</w:t>
            </w:r>
          </w:p>
          <w:tbl>
            <w:tblPr>
              <w:tblStyle w:val="23"/>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Layout w:type="fixed"/>
              <w:tblCellMar>
                <w:top w:w="0" w:type="dxa"/>
                <w:left w:w="108" w:type="dxa"/>
                <w:bottom w:w="0" w:type="dxa"/>
                <w:right w:w="108" w:type="dxa"/>
              </w:tblCellMar>
            </w:tblPr>
            <w:tblGrid>
              <w:gridCol w:w="1669"/>
              <w:gridCol w:w="1670"/>
              <w:gridCol w:w="1670"/>
              <w:gridCol w:w="1670"/>
              <w:gridCol w:w="1670"/>
            </w:tblGrid>
            <w:tr w14:paraId="197CF4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PrEx>
              <w:trPr>
                <w:trHeight w:val="397" w:hRule="atLeast"/>
                <w:jc w:val="center"/>
              </w:trPr>
              <w:tc>
                <w:tcPr>
                  <w:tcW w:w="1700" w:type="dxa"/>
                  <w:tcBorders>
                    <w:top w:val="single" w:color="auto" w:sz="4" w:space="0"/>
                    <w:left w:val="single" w:color="auto" w:sz="4" w:space="0"/>
                    <w:bottom w:val="single" w:color="auto" w:sz="4" w:space="0"/>
                    <w:right w:val="single" w:color="auto" w:sz="4" w:space="0"/>
                  </w:tcBorders>
                  <w:shd w:val="clear" w:color="auto" w:fill="auto"/>
                  <w:vAlign w:val="center"/>
                </w:tcPr>
                <w:p w14:paraId="3EF58CB1">
                  <w:pPr>
                    <w:keepNext w:val="0"/>
                    <w:keepLines w:val="0"/>
                    <w:widowControl w:val="0"/>
                    <w:suppressLineNumbers w:val="0"/>
                    <w:spacing w:before="0" w:beforeAutospacing="0" w:after="0" w:afterAutospacing="0"/>
                    <w:ind w:left="0" w:right="0"/>
                    <w:jc w:val="center"/>
                    <w:rPr>
                      <w:rFonts w:hint="default" w:ascii="Times New Roman" w:hAnsi="Times New Roman" w:eastAsia="宋体" w:cs="Times New Roman"/>
                      <w:b/>
                      <w:bCs/>
                      <w:color w:val="auto"/>
                      <w:kern w:val="2"/>
                      <w:sz w:val="21"/>
                      <w:szCs w:val="21"/>
                    </w:rPr>
                  </w:pPr>
                  <w:r>
                    <w:rPr>
                      <w:rFonts w:hint="eastAsia" w:ascii="宋体" w:hAnsi="宋体" w:eastAsia="宋体" w:cs="宋体"/>
                      <w:b/>
                      <w:bCs/>
                      <w:color w:val="auto"/>
                      <w:kern w:val="2"/>
                      <w:sz w:val="21"/>
                      <w:szCs w:val="21"/>
                      <w:lang w:val="en-US" w:eastAsia="zh-CN" w:bidi="ar"/>
                    </w:rPr>
                    <w:t>环境风险潜势</w:t>
                  </w:r>
                </w:p>
              </w:tc>
              <w:tc>
                <w:tcPr>
                  <w:tcW w:w="1701" w:type="dxa"/>
                  <w:tcBorders>
                    <w:top w:val="single" w:color="auto" w:sz="4" w:space="0"/>
                    <w:left w:val="nil"/>
                    <w:bottom w:val="single" w:color="auto" w:sz="4" w:space="0"/>
                    <w:right w:val="single" w:color="auto" w:sz="4" w:space="0"/>
                  </w:tcBorders>
                  <w:shd w:val="clear" w:color="auto" w:fill="auto"/>
                  <w:vAlign w:val="center"/>
                </w:tcPr>
                <w:p w14:paraId="4FAC4A33">
                  <w:pPr>
                    <w:keepNext w:val="0"/>
                    <w:keepLines w:val="0"/>
                    <w:widowControl w:val="0"/>
                    <w:suppressLineNumbers w:val="0"/>
                    <w:spacing w:before="0" w:beforeAutospacing="0" w:after="0" w:afterAutospacing="0"/>
                    <w:ind w:left="0" w:right="0"/>
                    <w:jc w:val="center"/>
                    <w:rPr>
                      <w:rFonts w:hint="default" w:ascii="Times New Roman" w:hAnsi="Times New Roman" w:eastAsia="宋体" w:cs="Times New Roman"/>
                      <w:b/>
                      <w:bCs/>
                      <w:color w:val="auto"/>
                      <w:kern w:val="2"/>
                      <w:sz w:val="21"/>
                      <w:szCs w:val="21"/>
                    </w:rPr>
                  </w:pPr>
                  <w:r>
                    <w:rPr>
                      <w:rFonts w:hint="default" w:ascii="Times New Roman" w:hAnsi="Times New Roman" w:eastAsia="宋体" w:cs="Times New Roman"/>
                      <w:b/>
                      <w:bCs/>
                      <w:color w:val="auto"/>
                      <w:kern w:val="2"/>
                      <w:sz w:val="21"/>
                      <w:szCs w:val="21"/>
                      <w:lang w:val="en-US" w:eastAsia="zh-CN" w:bidi="ar"/>
                    </w:rPr>
                    <w:t>Ⅳ</w:t>
                  </w:r>
                  <w:r>
                    <w:rPr>
                      <w:rFonts w:hint="eastAsia" w:ascii="宋体" w:hAnsi="宋体" w:eastAsia="宋体" w:cs="宋体"/>
                      <w:b/>
                      <w:bCs/>
                      <w:color w:val="auto"/>
                      <w:kern w:val="2"/>
                      <w:sz w:val="21"/>
                      <w:szCs w:val="21"/>
                      <w:lang w:val="en-US" w:eastAsia="zh-CN" w:bidi="ar"/>
                    </w:rPr>
                    <w:t>、</w:t>
                  </w:r>
                  <w:r>
                    <w:rPr>
                      <w:rFonts w:hint="default" w:ascii="Times New Roman" w:hAnsi="Times New Roman" w:eastAsia="宋体" w:cs="Times New Roman"/>
                      <w:b/>
                      <w:bCs/>
                      <w:color w:val="auto"/>
                      <w:kern w:val="2"/>
                      <w:sz w:val="21"/>
                      <w:szCs w:val="21"/>
                      <w:lang w:val="en-US" w:eastAsia="zh-CN" w:bidi="ar"/>
                    </w:rPr>
                    <w:t>Ⅳ+</w:t>
                  </w:r>
                </w:p>
              </w:tc>
              <w:tc>
                <w:tcPr>
                  <w:tcW w:w="1701" w:type="dxa"/>
                  <w:tcBorders>
                    <w:top w:val="single" w:color="auto" w:sz="4" w:space="0"/>
                    <w:left w:val="nil"/>
                    <w:bottom w:val="single" w:color="auto" w:sz="4" w:space="0"/>
                    <w:right w:val="single" w:color="auto" w:sz="4" w:space="0"/>
                  </w:tcBorders>
                  <w:shd w:val="clear" w:color="auto" w:fill="auto"/>
                  <w:vAlign w:val="center"/>
                </w:tcPr>
                <w:p w14:paraId="18DDFA08">
                  <w:pPr>
                    <w:keepNext w:val="0"/>
                    <w:keepLines w:val="0"/>
                    <w:widowControl w:val="0"/>
                    <w:suppressLineNumbers w:val="0"/>
                    <w:spacing w:before="0" w:beforeAutospacing="0" w:after="0" w:afterAutospacing="0"/>
                    <w:ind w:left="0" w:right="0"/>
                    <w:jc w:val="center"/>
                    <w:rPr>
                      <w:rFonts w:hint="default" w:ascii="Times New Roman" w:hAnsi="Times New Roman" w:eastAsia="宋体" w:cs="Times New Roman"/>
                      <w:b/>
                      <w:bCs/>
                      <w:color w:val="auto"/>
                      <w:kern w:val="2"/>
                      <w:sz w:val="21"/>
                      <w:szCs w:val="21"/>
                    </w:rPr>
                  </w:pPr>
                  <w:r>
                    <w:rPr>
                      <w:rFonts w:hint="default" w:ascii="Times New Roman" w:hAnsi="Times New Roman" w:eastAsia="宋体" w:cs="Times New Roman"/>
                      <w:b/>
                      <w:bCs/>
                      <w:color w:val="auto"/>
                      <w:kern w:val="2"/>
                      <w:sz w:val="21"/>
                      <w:szCs w:val="21"/>
                      <w:lang w:val="en-US" w:eastAsia="zh-CN" w:bidi="ar"/>
                    </w:rPr>
                    <w:t>Ⅲ</w:t>
                  </w:r>
                </w:p>
              </w:tc>
              <w:tc>
                <w:tcPr>
                  <w:tcW w:w="1701" w:type="dxa"/>
                  <w:tcBorders>
                    <w:top w:val="single" w:color="auto" w:sz="4" w:space="0"/>
                    <w:left w:val="nil"/>
                    <w:bottom w:val="single" w:color="auto" w:sz="4" w:space="0"/>
                    <w:right w:val="single" w:color="auto" w:sz="4" w:space="0"/>
                  </w:tcBorders>
                  <w:shd w:val="clear" w:color="auto" w:fill="auto"/>
                  <w:vAlign w:val="center"/>
                </w:tcPr>
                <w:p w14:paraId="7B012315">
                  <w:pPr>
                    <w:keepNext w:val="0"/>
                    <w:keepLines w:val="0"/>
                    <w:widowControl w:val="0"/>
                    <w:suppressLineNumbers w:val="0"/>
                    <w:spacing w:before="0" w:beforeAutospacing="0" w:after="0" w:afterAutospacing="0"/>
                    <w:ind w:left="0" w:right="0"/>
                    <w:jc w:val="center"/>
                    <w:rPr>
                      <w:rFonts w:hint="default" w:ascii="Times New Roman" w:hAnsi="Times New Roman" w:eastAsia="宋体" w:cs="Times New Roman"/>
                      <w:b/>
                      <w:bCs/>
                      <w:color w:val="auto"/>
                      <w:kern w:val="2"/>
                      <w:sz w:val="21"/>
                      <w:szCs w:val="21"/>
                    </w:rPr>
                  </w:pPr>
                  <w:r>
                    <w:rPr>
                      <w:rFonts w:hint="default" w:ascii="Times New Roman" w:hAnsi="Times New Roman" w:eastAsia="宋体" w:cs="Times New Roman"/>
                      <w:b/>
                      <w:bCs/>
                      <w:color w:val="auto"/>
                      <w:kern w:val="2"/>
                      <w:sz w:val="21"/>
                      <w:szCs w:val="21"/>
                      <w:lang w:val="en-US" w:eastAsia="zh-CN" w:bidi="ar"/>
                    </w:rPr>
                    <w:t>Ⅱ</w:t>
                  </w:r>
                </w:p>
              </w:tc>
              <w:tc>
                <w:tcPr>
                  <w:tcW w:w="1701" w:type="dxa"/>
                  <w:tcBorders>
                    <w:top w:val="single" w:color="auto" w:sz="4" w:space="0"/>
                    <w:left w:val="nil"/>
                    <w:bottom w:val="single" w:color="auto" w:sz="4" w:space="0"/>
                    <w:right w:val="single" w:color="auto" w:sz="4" w:space="0"/>
                  </w:tcBorders>
                  <w:shd w:val="clear" w:color="auto" w:fill="auto"/>
                  <w:vAlign w:val="center"/>
                </w:tcPr>
                <w:p w14:paraId="2A9EEB1C">
                  <w:pPr>
                    <w:keepNext w:val="0"/>
                    <w:keepLines w:val="0"/>
                    <w:widowControl w:val="0"/>
                    <w:suppressLineNumbers w:val="0"/>
                    <w:spacing w:before="0" w:beforeAutospacing="0" w:after="0" w:afterAutospacing="0"/>
                    <w:ind w:left="0" w:right="0"/>
                    <w:jc w:val="center"/>
                    <w:rPr>
                      <w:rFonts w:hint="default" w:ascii="Times New Roman" w:hAnsi="Times New Roman" w:eastAsia="宋体" w:cs="Times New Roman"/>
                      <w:b/>
                      <w:bCs/>
                      <w:color w:val="auto"/>
                      <w:kern w:val="2"/>
                      <w:sz w:val="21"/>
                      <w:szCs w:val="21"/>
                    </w:rPr>
                  </w:pPr>
                  <w:r>
                    <w:rPr>
                      <w:rFonts w:hint="default" w:ascii="Times New Roman" w:hAnsi="Times New Roman" w:eastAsia="宋体" w:cs="Times New Roman"/>
                      <w:b/>
                      <w:bCs/>
                      <w:color w:val="auto"/>
                      <w:kern w:val="2"/>
                      <w:sz w:val="21"/>
                      <w:szCs w:val="21"/>
                      <w:lang w:val="en-US" w:eastAsia="zh-CN" w:bidi="ar"/>
                    </w:rPr>
                    <w:t>Ι</w:t>
                  </w:r>
                </w:p>
              </w:tc>
            </w:tr>
            <w:tr w14:paraId="5DF1F6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1700" w:type="dxa"/>
                  <w:tcBorders>
                    <w:top w:val="single" w:color="auto" w:sz="4" w:space="0"/>
                    <w:left w:val="single" w:color="auto" w:sz="4" w:space="0"/>
                    <w:bottom w:val="single" w:color="auto" w:sz="4" w:space="0"/>
                    <w:right w:val="single" w:color="auto" w:sz="4" w:space="0"/>
                  </w:tcBorders>
                  <w:shd w:val="clear" w:color="auto" w:fill="auto"/>
                  <w:vAlign w:val="center"/>
                </w:tcPr>
                <w:p w14:paraId="4CA597D0">
                  <w:pPr>
                    <w:keepNext w:val="0"/>
                    <w:keepLines w:val="0"/>
                    <w:widowControl w:val="0"/>
                    <w:suppressLineNumbers w:val="0"/>
                    <w:spacing w:before="0" w:beforeAutospacing="0" w:after="0" w:afterAutospacing="0"/>
                    <w:ind w:left="0" w:right="0"/>
                    <w:jc w:val="center"/>
                    <w:rPr>
                      <w:rFonts w:hint="default" w:ascii="Times New Roman" w:hAnsi="Times New Roman" w:eastAsia="宋体" w:cs="Times New Roman"/>
                      <w:color w:val="auto"/>
                      <w:kern w:val="2"/>
                      <w:sz w:val="21"/>
                      <w:szCs w:val="21"/>
                    </w:rPr>
                  </w:pPr>
                  <w:r>
                    <w:rPr>
                      <w:rFonts w:hint="eastAsia" w:ascii="宋体" w:hAnsi="宋体" w:eastAsia="宋体" w:cs="宋体"/>
                      <w:color w:val="auto"/>
                      <w:kern w:val="2"/>
                      <w:sz w:val="21"/>
                      <w:szCs w:val="21"/>
                      <w:lang w:val="en-US" w:eastAsia="zh-CN" w:bidi="ar"/>
                    </w:rPr>
                    <w:t>评价工作等级</w:t>
                  </w:r>
                </w:p>
              </w:tc>
              <w:tc>
                <w:tcPr>
                  <w:tcW w:w="1701" w:type="dxa"/>
                  <w:tcBorders>
                    <w:top w:val="single" w:color="auto" w:sz="4" w:space="0"/>
                    <w:left w:val="nil"/>
                    <w:bottom w:val="single" w:color="auto" w:sz="4" w:space="0"/>
                    <w:right w:val="single" w:color="auto" w:sz="4" w:space="0"/>
                  </w:tcBorders>
                  <w:shd w:val="clear" w:color="auto" w:fill="auto"/>
                  <w:vAlign w:val="center"/>
                </w:tcPr>
                <w:p w14:paraId="177B028B">
                  <w:pPr>
                    <w:keepNext w:val="0"/>
                    <w:keepLines w:val="0"/>
                    <w:widowControl w:val="0"/>
                    <w:suppressLineNumbers w:val="0"/>
                    <w:spacing w:before="0" w:beforeAutospacing="0" w:after="0" w:afterAutospacing="0"/>
                    <w:ind w:left="0" w:right="0"/>
                    <w:jc w:val="center"/>
                    <w:rPr>
                      <w:rFonts w:hint="default" w:ascii="Times New Roman" w:hAnsi="Times New Roman" w:eastAsia="宋体" w:cs="Times New Roman"/>
                      <w:color w:val="auto"/>
                      <w:kern w:val="2"/>
                      <w:sz w:val="21"/>
                      <w:szCs w:val="21"/>
                    </w:rPr>
                  </w:pPr>
                  <w:r>
                    <w:rPr>
                      <w:rFonts w:hint="eastAsia" w:ascii="宋体" w:hAnsi="宋体" w:eastAsia="宋体" w:cs="宋体"/>
                      <w:color w:val="auto"/>
                      <w:kern w:val="2"/>
                      <w:sz w:val="21"/>
                      <w:szCs w:val="21"/>
                      <w:lang w:val="en-US" w:eastAsia="zh-CN" w:bidi="ar"/>
                    </w:rPr>
                    <w:t>一</w:t>
                  </w:r>
                </w:p>
              </w:tc>
              <w:tc>
                <w:tcPr>
                  <w:tcW w:w="1701" w:type="dxa"/>
                  <w:tcBorders>
                    <w:top w:val="single" w:color="auto" w:sz="4" w:space="0"/>
                    <w:left w:val="nil"/>
                    <w:bottom w:val="single" w:color="auto" w:sz="4" w:space="0"/>
                    <w:right w:val="single" w:color="auto" w:sz="4" w:space="0"/>
                  </w:tcBorders>
                  <w:shd w:val="clear" w:color="auto" w:fill="auto"/>
                  <w:vAlign w:val="center"/>
                </w:tcPr>
                <w:p w14:paraId="5C43438D">
                  <w:pPr>
                    <w:keepNext w:val="0"/>
                    <w:keepLines w:val="0"/>
                    <w:widowControl w:val="0"/>
                    <w:suppressLineNumbers w:val="0"/>
                    <w:spacing w:before="0" w:beforeAutospacing="0" w:after="0" w:afterAutospacing="0"/>
                    <w:ind w:left="0" w:right="0"/>
                    <w:jc w:val="center"/>
                    <w:rPr>
                      <w:rFonts w:hint="default" w:ascii="Times New Roman" w:hAnsi="Times New Roman" w:eastAsia="宋体" w:cs="Times New Roman"/>
                      <w:color w:val="auto"/>
                      <w:kern w:val="2"/>
                      <w:sz w:val="21"/>
                      <w:szCs w:val="21"/>
                    </w:rPr>
                  </w:pPr>
                  <w:r>
                    <w:rPr>
                      <w:rFonts w:hint="eastAsia" w:ascii="宋体" w:hAnsi="宋体" w:eastAsia="宋体" w:cs="宋体"/>
                      <w:color w:val="auto"/>
                      <w:kern w:val="2"/>
                      <w:sz w:val="21"/>
                      <w:szCs w:val="21"/>
                      <w:lang w:val="en-US" w:eastAsia="zh-CN" w:bidi="ar"/>
                    </w:rPr>
                    <w:t>二</w:t>
                  </w:r>
                </w:p>
              </w:tc>
              <w:tc>
                <w:tcPr>
                  <w:tcW w:w="1701" w:type="dxa"/>
                  <w:tcBorders>
                    <w:top w:val="single" w:color="auto" w:sz="4" w:space="0"/>
                    <w:left w:val="nil"/>
                    <w:bottom w:val="single" w:color="auto" w:sz="4" w:space="0"/>
                    <w:right w:val="single" w:color="auto" w:sz="4" w:space="0"/>
                  </w:tcBorders>
                  <w:shd w:val="clear" w:color="auto" w:fill="auto"/>
                  <w:vAlign w:val="center"/>
                </w:tcPr>
                <w:p w14:paraId="73BD5E24">
                  <w:pPr>
                    <w:keepNext w:val="0"/>
                    <w:keepLines w:val="0"/>
                    <w:widowControl w:val="0"/>
                    <w:suppressLineNumbers w:val="0"/>
                    <w:spacing w:before="0" w:beforeAutospacing="0" w:after="0" w:afterAutospacing="0"/>
                    <w:ind w:left="0" w:right="0"/>
                    <w:jc w:val="center"/>
                    <w:rPr>
                      <w:rFonts w:hint="default" w:ascii="Times New Roman" w:hAnsi="Times New Roman" w:eastAsia="宋体" w:cs="Times New Roman"/>
                      <w:color w:val="auto"/>
                      <w:kern w:val="2"/>
                      <w:sz w:val="21"/>
                      <w:szCs w:val="21"/>
                    </w:rPr>
                  </w:pPr>
                  <w:r>
                    <w:rPr>
                      <w:rFonts w:hint="eastAsia" w:ascii="宋体" w:hAnsi="宋体" w:eastAsia="宋体" w:cs="宋体"/>
                      <w:color w:val="auto"/>
                      <w:kern w:val="2"/>
                      <w:sz w:val="21"/>
                      <w:szCs w:val="21"/>
                      <w:lang w:val="en-US" w:eastAsia="zh-CN" w:bidi="ar"/>
                    </w:rPr>
                    <w:t>三</w:t>
                  </w:r>
                </w:p>
              </w:tc>
              <w:tc>
                <w:tcPr>
                  <w:tcW w:w="1701" w:type="dxa"/>
                  <w:tcBorders>
                    <w:top w:val="single" w:color="auto" w:sz="4" w:space="0"/>
                    <w:left w:val="nil"/>
                    <w:bottom w:val="single" w:color="auto" w:sz="4" w:space="0"/>
                    <w:right w:val="single" w:color="auto" w:sz="4" w:space="0"/>
                  </w:tcBorders>
                  <w:shd w:val="clear" w:color="auto" w:fill="auto"/>
                  <w:vAlign w:val="center"/>
                </w:tcPr>
                <w:p w14:paraId="28E213B5">
                  <w:pPr>
                    <w:keepNext w:val="0"/>
                    <w:keepLines w:val="0"/>
                    <w:widowControl w:val="0"/>
                    <w:suppressLineNumbers w:val="0"/>
                    <w:spacing w:before="0" w:beforeAutospacing="0" w:after="0" w:afterAutospacing="0"/>
                    <w:ind w:left="0" w:right="0"/>
                    <w:jc w:val="center"/>
                    <w:rPr>
                      <w:rFonts w:hint="default" w:ascii="Times New Roman" w:hAnsi="Times New Roman" w:eastAsia="宋体" w:cs="Times New Roman"/>
                      <w:color w:val="auto"/>
                      <w:kern w:val="2"/>
                      <w:sz w:val="21"/>
                      <w:szCs w:val="21"/>
                    </w:rPr>
                  </w:pPr>
                  <w:r>
                    <w:rPr>
                      <w:rFonts w:hint="eastAsia" w:ascii="宋体" w:hAnsi="宋体" w:eastAsia="宋体" w:cs="宋体"/>
                      <w:color w:val="auto"/>
                      <w:kern w:val="2"/>
                      <w:sz w:val="21"/>
                      <w:szCs w:val="21"/>
                      <w:lang w:val="en-US" w:eastAsia="zh-CN" w:bidi="ar"/>
                    </w:rPr>
                    <w:t>简单分析</w:t>
                  </w:r>
                  <w:r>
                    <w:rPr>
                      <w:rFonts w:hint="default" w:ascii="Times New Roman" w:hAnsi="Times New Roman" w:eastAsia="宋体" w:cs="Times New Roman"/>
                      <w:color w:val="auto"/>
                      <w:kern w:val="2"/>
                      <w:sz w:val="21"/>
                      <w:szCs w:val="21"/>
                      <w:lang w:val="en-US" w:eastAsia="zh-CN" w:bidi="ar"/>
                    </w:rPr>
                    <w:t>a</w:t>
                  </w:r>
                </w:p>
              </w:tc>
            </w:tr>
            <w:tr w14:paraId="5BCC43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8504" w:type="dxa"/>
                  <w:gridSpan w:val="5"/>
                  <w:tcBorders>
                    <w:top w:val="single" w:color="auto" w:sz="4" w:space="0"/>
                    <w:left w:val="single" w:color="auto" w:sz="4" w:space="0"/>
                    <w:bottom w:val="single" w:color="auto" w:sz="4" w:space="0"/>
                    <w:right w:val="single" w:color="auto" w:sz="4" w:space="0"/>
                  </w:tcBorders>
                  <w:shd w:val="clear" w:color="auto" w:fill="auto"/>
                  <w:vAlign w:val="center"/>
                </w:tcPr>
                <w:p w14:paraId="71914A97">
                  <w:pPr>
                    <w:keepNext w:val="0"/>
                    <w:keepLines w:val="0"/>
                    <w:widowControl w:val="0"/>
                    <w:suppressLineNumbers w:val="0"/>
                    <w:spacing w:before="0" w:beforeAutospacing="0" w:after="0" w:afterAutospacing="0"/>
                    <w:ind w:left="0" w:right="0"/>
                    <w:jc w:val="center"/>
                    <w:rPr>
                      <w:rFonts w:hint="default" w:ascii="Times New Roman" w:hAnsi="Times New Roman" w:eastAsia="宋体" w:cs="Times New Roman"/>
                      <w:color w:val="auto"/>
                      <w:kern w:val="2"/>
                      <w:sz w:val="21"/>
                      <w:szCs w:val="21"/>
                    </w:rPr>
                  </w:pPr>
                  <w:r>
                    <w:rPr>
                      <w:rFonts w:hint="default" w:ascii="Times New Roman" w:hAnsi="Times New Roman" w:eastAsia="宋体" w:cs="Times New Roman"/>
                      <w:color w:val="auto"/>
                      <w:kern w:val="2"/>
                      <w:sz w:val="21"/>
                      <w:szCs w:val="21"/>
                      <w:lang w:val="en-US" w:eastAsia="zh-CN" w:bidi="ar"/>
                    </w:rPr>
                    <w:t>a</w:t>
                  </w:r>
                  <w:r>
                    <w:rPr>
                      <w:rFonts w:hint="eastAsia" w:ascii="宋体" w:hAnsi="宋体" w:eastAsia="宋体" w:cs="宋体"/>
                      <w:color w:val="auto"/>
                      <w:kern w:val="2"/>
                      <w:sz w:val="21"/>
                      <w:szCs w:val="21"/>
                      <w:lang w:val="en-US" w:eastAsia="zh-CN" w:bidi="ar"/>
                    </w:rPr>
                    <w:t>是相对于详细评价工作内容而言，在描述危险物质、环境影响途径、环境危害后果、风险防范措施等方面给出定性的说明。</w:t>
                  </w:r>
                </w:p>
              </w:tc>
            </w:tr>
          </w:tbl>
          <w:p w14:paraId="15804B4B">
            <w:pPr>
              <w:keepNext w:val="0"/>
              <w:keepLines w:val="0"/>
              <w:suppressLineNumbers w:val="0"/>
              <w:spacing w:before="0" w:beforeAutospacing="0" w:after="0" w:afterAutospacing="0" w:line="360" w:lineRule="auto"/>
              <w:ind w:left="0" w:right="0" w:firstLine="480" w:firstLineChars="200"/>
              <w:rPr>
                <w:rFonts w:hint="default" w:ascii="Times New Roman" w:hAnsi="Times New Roman" w:eastAsia="宋体" w:cs="Times New Roman"/>
                <w:color w:val="auto"/>
                <w:sz w:val="24"/>
                <w:lang w:val="en-US" w:eastAsia="zh-CN"/>
              </w:rPr>
            </w:pPr>
            <w:r>
              <w:rPr>
                <w:rFonts w:hint="default" w:ascii="Times New Roman" w:hAnsi="Times New Roman" w:eastAsia="宋体" w:cs="Times New Roman"/>
                <w:color w:val="auto"/>
                <w:sz w:val="24"/>
                <w:lang w:val="en-US" w:eastAsia="zh-CN"/>
              </w:rPr>
              <w:t>（4）环境风险分析</w:t>
            </w:r>
          </w:p>
          <w:p w14:paraId="02B87A5C">
            <w:pPr>
              <w:keepNext w:val="0"/>
              <w:keepLines w:val="0"/>
              <w:suppressLineNumbers w:val="0"/>
              <w:spacing w:before="0" w:beforeAutospacing="0" w:after="0" w:afterAutospacing="0" w:line="360" w:lineRule="auto"/>
              <w:ind w:left="0" w:right="0" w:firstLine="480" w:firstLineChars="200"/>
              <w:rPr>
                <w:rFonts w:hint="default" w:ascii="Times New Roman" w:hAnsi="Times New Roman" w:eastAsia="宋体" w:cs="Times New Roman"/>
                <w:color w:val="auto"/>
                <w:sz w:val="24"/>
              </w:rPr>
            </w:pPr>
            <w:r>
              <w:rPr>
                <w:rFonts w:hint="default" w:ascii="Times New Roman" w:hAnsi="Times New Roman" w:eastAsia="宋体" w:cs="Times New Roman"/>
                <w:color w:val="auto"/>
                <w:sz w:val="24"/>
                <w:lang w:val="en-US" w:eastAsia="zh-CN"/>
              </w:rPr>
              <w:t>本项目可能存在化学品、危险固废泄漏</w:t>
            </w:r>
            <w:r>
              <w:rPr>
                <w:rFonts w:hint="default" w:ascii="Times New Roman" w:hAnsi="Times New Roman" w:eastAsia="宋体" w:cs="Times New Roman"/>
                <w:color w:val="auto"/>
                <w:sz w:val="24"/>
              </w:rPr>
              <w:t>和发生火灾以及末端处置过程中废气事故性排放所引起的风险，对当地大气环境、水环境、土壤环境造成影响。企业要从多方面积极采取防护措施，力争通过系统地管理、合理采取风险防范应急措施，提升员工操作能力，把此类风险事故降到最低，使得项目风险水准维持在较低水准。</w:t>
            </w:r>
          </w:p>
          <w:p w14:paraId="09B55C89">
            <w:pPr>
              <w:keepNext w:val="0"/>
              <w:keepLines w:val="0"/>
              <w:suppressLineNumbers w:val="0"/>
              <w:spacing w:before="0" w:beforeAutospacing="0" w:after="0" w:afterAutospacing="0" w:line="360" w:lineRule="auto"/>
              <w:ind w:left="0" w:right="0" w:firstLine="480" w:firstLineChars="200"/>
              <w:rPr>
                <w:rFonts w:hint="default" w:ascii="Times New Roman" w:hAnsi="Times New Roman" w:eastAsia="宋体" w:cs="Times New Roman"/>
                <w:color w:val="auto"/>
                <w:sz w:val="24"/>
              </w:rPr>
            </w:pPr>
            <w:r>
              <w:rPr>
                <w:rFonts w:hint="default" w:ascii="Times New Roman" w:hAnsi="Times New Roman" w:eastAsia="宋体" w:cs="Times New Roman"/>
                <w:color w:val="auto"/>
                <w:sz w:val="24"/>
                <w:lang w:val="en-US" w:eastAsia="zh-CN"/>
              </w:rPr>
              <w:t>（5）环境风险防范措施及应急要求</w:t>
            </w:r>
          </w:p>
          <w:p w14:paraId="731C5238">
            <w:pPr>
              <w:keepNext w:val="0"/>
              <w:keepLines w:val="0"/>
              <w:suppressLineNumbers w:val="0"/>
              <w:spacing w:before="0" w:beforeAutospacing="0" w:after="0" w:afterAutospacing="0" w:line="360" w:lineRule="auto"/>
              <w:ind w:left="0" w:right="0" w:firstLine="480" w:firstLineChars="200"/>
              <w:rPr>
                <w:rFonts w:hint="default" w:ascii="Times New Roman" w:hAnsi="Times New Roman" w:eastAsia="宋体" w:cs="Times New Roman"/>
                <w:color w:val="auto"/>
                <w:sz w:val="24"/>
              </w:rPr>
            </w:pPr>
            <w:r>
              <w:rPr>
                <w:rFonts w:hint="default" w:ascii="Times New Roman" w:hAnsi="Times New Roman" w:eastAsia="宋体" w:cs="Times New Roman"/>
                <w:color w:val="auto"/>
                <w:sz w:val="24"/>
              </w:rPr>
              <w:t>A、泄漏事故风险防范措施</w:t>
            </w:r>
          </w:p>
          <w:p w14:paraId="7934CFA5">
            <w:pPr>
              <w:keepNext w:val="0"/>
              <w:keepLines w:val="0"/>
              <w:suppressLineNumbers w:val="0"/>
              <w:spacing w:before="0" w:beforeAutospacing="0" w:after="0" w:afterAutospacing="0" w:line="360" w:lineRule="auto"/>
              <w:ind w:left="0" w:right="0" w:firstLine="480" w:firstLineChars="200"/>
              <w:rPr>
                <w:rFonts w:hint="default" w:ascii="Times New Roman" w:hAnsi="Times New Roman" w:eastAsia="宋体" w:cs="Times New Roman"/>
                <w:color w:val="auto"/>
                <w:sz w:val="24"/>
              </w:rPr>
            </w:pPr>
            <w:r>
              <w:rPr>
                <w:rFonts w:hint="default" w:ascii="Times New Roman" w:hAnsi="Times New Roman" w:eastAsia="宋体" w:cs="Times New Roman"/>
                <w:color w:val="auto"/>
                <w:sz w:val="24"/>
              </w:rPr>
              <w:t>1）为了保证各物料仓储和使用安全，本项目各物料的存储条件和设施必须严格按照有关文件中的要求执行，并有严格的管理。</w:t>
            </w:r>
          </w:p>
          <w:p w14:paraId="05F09427">
            <w:pPr>
              <w:keepNext w:val="0"/>
              <w:keepLines w:val="0"/>
              <w:suppressLineNumbers w:val="0"/>
              <w:spacing w:before="0" w:beforeAutospacing="0" w:after="0" w:afterAutospacing="0" w:line="360" w:lineRule="auto"/>
              <w:ind w:left="0" w:right="0" w:firstLine="480" w:firstLineChars="200"/>
              <w:rPr>
                <w:rFonts w:hint="default" w:ascii="Times New Roman" w:hAnsi="Times New Roman" w:eastAsia="宋体" w:cs="Times New Roman"/>
                <w:color w:val="auto"/>
                <w:sz w:val="24"/>
              </w:rPr>
            </w:pPr>
            <w:r>
              <w:rPr>
                <w:rFonts w:hint="default" w:ascii="Times New Roman" w:hAnsi="Times New Roman" w:eastAsia="宋体" w:cs="Times New Roman"/>
                <w:color w:val="auto"/>
                <w:sz w:val="24"/>
              </w:rPr>
              <w:t>2）总平面布置严格遵守国家颁布的有关防火和安全等方面规范和规定，在危险源布置方面，充分考虑厂内职工和厂外敏感目标的安全，一旦出现突发性事件时，对人员造成的伤害最小。</w:t>
            </w:r>
          </w:p>
          <w:p w14:paraId="107DCC91">
            <w:pPr>
              <w:keepNext w:val="0"/>
              <w:keepLines w:val="0"/>
              <w:suppressLineNumbers w:val="0"/>
              <w:spacing w:before="0" w:beforeAutospacing="0" w:after="0" w:afterAutospacing="0" w:line="360" w:lineRule="auto"/>
              <w:ind w:left="0" w:right="0" w:firstLine="480" w:firstLineChars="200"/>
              <w:rPr>
                <w:rFonts w:hint="default" w:ascii="Times New Roman" w:hAnsi="Times New Roman" w:eastAsia="宋体" w:cs="Times New Roman"/>
                <w:color w:val="auto"/>
                <w:sz w:val="24"/>
              </w:rPr>
            </w:pPr>
            <w:r>
              <w:rPr>
                <w:rFonts w:hint="default" w:ascii="Times New Roman" w:hAnsi="Times New Roman" w:eastAsia="宋体" w:cs="Times New Roman"/>
                <w:color w:val="auto"/>
                <w:sz w:val="24"/>
              </w:rPr>
              <w:t>3）在生产装置、仓储区等附近场所以及需要提醒人员注意的地点均应按标准设置各种安全标志，凡需要迅速发现并引起注意以防止发生事故的场所、部位，均按要求涂安全色。</w:t>
            </w:r>
          </w:p>
          <w:p w14:paraId="1D459037">
            <w:pPr>
              <w:keepNext w:val="0"/>
              <w:keepLines w:val="0"/>
              <w:suppressLineNumbers w:val="0"/>
              <w:spacing w:before="0" w:beforeAutospacing="0" w:after="0" w:afterAutospacing="0" w:line="360" w:lineRule="auto"/>
              <w:ind w:left="0" w:right="0" w:firstLine="480" w:firstLineChars="200"/>
              <w:rPr>
                <w:rFonts w:hint="default" w:ascii="Times New Roman" w:hAnsi="Times New Roman" w:eastAsia="宋体" w:cs="Times New Roman"/>
                <w:color w:val="auto"/>
                <w:sz w:val="24"/>
              </w:rPr>
            </w:pPr>
            <w:r>
              <w:rPr>
                <w:rFonts w:hint="default" w:ascii="Times New Roman" w:hAnsi="Times New Roman" w:eastAsia="宋体" w:cs="Times New Roman"/>
                <w:color w:val="auto"/>
                <w:sz w:val="24"/>
              </w:rPr>
              <w:t>4）车间、仓储区布置需通风良好，保证易燃易爆和有毒物质迅速稀释和扩散。</w:t>
            </w:r>
          </w:p>
          <w:p w14:paraId="7669FD37">
            <w:pPr>
              <w:keepNext w:val="0"/>
              <w:keepLines w:val="0"/>
              <w:suppressLineNumbers w:val="0"/>
              <w:spacing w:before="0" w:beforeAutospacing="0" w:after="0" w:afterAutospacing="0" w:line="360" w:lineRule="auto"/>
              <w:ind w:left="0" w:right="0" w:firstLine="480" w:firstLineChars="200"/>
              <w:rPr>
                <w:rFonts w:hint="default" w:ascii="Times New Roman" w:hAnsi="Times New Roman" w:eastAsia="宋体" w:cs="Times New Roman"/>
                <w:color w:val="auto"/>
                <w:sz w:val="24"/>
                <w:lang w:val="en-US" w:eastAsia="zh-CN"/>
              </w:rPr>
            </w:pPr>
            <w:r>
              <w:rPr>
                <w:rFonts w:hint="default" w:ascii="Times New Roman" w:hAnsi="Times New Roman" w:eastAsia="宋体" w:cs="Times New Roman"/>
                <w:color w:val="auto"/>
                <w:sz w:val="24"/>
                <w:lang w:val="en-US" w:eastAsia="zh-CN"/>
              </w:rPr>
              <w:t>B、火灾爆炸事故风险防范措施</w:t>
            </w:r>
          </w:p>
          <w:p w14:paraId="57A4C1BD">
            <w:pPr>
              <w:keepNext w:val="0"/>
              <w:keepLines w:val="0"/>
              <w:suppressLineNumbers w:val="0"/>
              <w:spacing w:before="0" w:beforeAutospacing="0" w:after="0" w:afterAutospacing="0" w:line="360" w:lineRule="auto"/>
              <w:ind w:left="0" w:right="0" w:firstLine="480" w:firstLineChars="200"/>
              <w:rPr>
                <w:rFonts w:hint="default" w:ascii="Times New Roman" w:hAnsi="Times New Roman" w:eastAsia="宋体" w:cs="Times New Roman"/>
                <w:color w:val="auto"/>
                <w:sz w:val="24"/>
                <w:lang w:val="en-US" w:eastAsia="zh-CN"/>
              </w:rPr>
            </w:pPr>
            <w:r>
              <w:rPr>
                <w:rFonts w:hint="default" w:ascii="Times New Roman" w:hAnsi="Times New Roman" w:eastAsia="宋体" w:cs="Times New Roman"/>
                <w:color w:val="auto"/>
                <w:sz w:val="24"/>
                <w:lang w:val="en-US" w:eastAsia="zh-CN"/>
              </w:rPr>
              <w:t>1）控制与消除火源</w:t>
            </w:r>
          </w:p>
          <w:p w14:paraId="11BD47D8">
            <w:pPr>
              <w:keepNext w:val="0"/>
              <w:keepLines w:val="0"/>
              <w:suppressLineNumbers w:val="0"/>
              <w:spacing w:before="0" w:beforeAutospacing="0" w:after="0" w:afterAutospacing="0" w:line="360" w:lineRule="auto"/>
              <w:ind w:left="0" w:right="0" w:firstLine="480" w:firstLineChars="200"/>
              <w:rPr>
                <w:rFonts w:hint="default" w:ascii="Times New Roman" w:hAnsi="Times New Roman" w:eastAsia="宋体" w:cs="Times New Roman"/>
                <w:color w:val="auto"/>
                <w:sz w:val="24"/>
                <w:lang w:val="en-US" w:eastAsia="zh-CN"/>
              </w:rPr>
            </w:pPr>
            <w:r>
              <w:rPr>
                <w:rFonts w:hint="default" w:ascii="Times New Roman" w:hAnsi="Times New Roman" w:eastAsia="宋体" w:cs="Times New Roman"/>
                <w:color w:val="auto"/>
                <w:sz w:val="24"/>
                <w:lang w:val="en-US" w:eastAsia="zh-CN"/>
              </w:rPr>
              <w:t>工作时严禁吸烟、携带火种等进入易燃易爆区；使用防爆型电器；严禁钢制工具敲打、撞击、抛掷；安装避雷装置；转动设备部位要保持清洁，防止因摩擦引起杂物等燃烧；化学品物料运输要请专门的、有资质的运输单位，运用专用的设备进行运输。</w:t>
            </w:r>
          </w:p>
          <w:p w14:paraId="13F32954">
            <w:pPr>
              <w:keepNext w:val="0"/>
              <w:keepLines w:val="0"/>
              <w:suppressLineNumbers w:val="0"/>
              <w:spacing w:before="0" w:beforeAutospacing="0" w:after="0" w:afterAutospacing="0" w:line="360" w:lineRule="auto"/>
              <w:ind w:left="0" w:right="0" w:firstLine="480" w:firstLineChars="200"/>
              <w:rPr>
                <w:rFonts w:hint="default" w:ascii="Times New Roman" w:hAnsi="Times New Roman" w:eastAsia="宋体" w:cs="Times New Roman"/>
                <w:color w:val="auto"/>
                <w:sz w:val="24"/>
                <w:lang w:val="en-US" w:eastAsia="zh-CN"/>
              </w:rPr>
            </w:pPr>
            <w:r>
              <w:rPr>
                <w:rFonts w:hint="default" w:ascii="Times New Roman" w:hAnsi="Times New Roman" w:eastAsia="宋体" w:cs="Times New Roman"/>
                <w:color w:val="auto"/>
                <w:sz w:val="24"/>
                <w:lang w:val="en-US" w:eastAsia="zh-CN"/>
              </w:rPr>
              <w:t>2）加强管理、严格纪律，遵守各项规章制度和操作规程，严格执行岗位责任制；坚持巡回检查，发现问题及时处理；加强培训、教育和考核工作。</w:t>
            </w:r>
          </w:p>
          <w:p w14:paraId="1325A4F2">
            <w:pPr>
              <w:keepNext w:val="0"/>
              <w:keepLines w:val="0"/>
              <w:suppressLineNumbers w:val="0"/>
              <w:spacing w:before="0" w:beforeAutospacing="0" w:after="0" w:afterAutospacing="0" w:line="360" w:lineRule="auto"/>
              <w:ind w:left="0" w:right="0" w:firstLine="480" w:firstLineChars="200"/>
              <w:rPr>
                <w:rFonts w:hint="default" w:ascii="Times New Roman" w:hAnsi="Times New Roman" w:eastAsia="宋体" w:cs="Times New Roman"/>
                <w:color w:val="auto"/>
                <w:sz w:val="24"/>
                <w:lang w:val="en-US" w:eastAsia="zh-CN"/>
              </w:rPr>
            </w:pPr>
            <w:r>
              <w:rPr>
                <w:rFonts w:hint="eastAsia" w:ascii="Times New Roman" w:hAnsi="Times New Roman" w:eastAsia="宋体" w:cs="Times New Roman"/>
                <w:color w:val="auto"/>
                <w:sz w:val="24"/>
                <w:lang w:val="en-US" w:eastAsia="zh-CN"/>
              </w:rPr>
              <w:t>C</w:t>
            </w:r>
            <w:r>
              <w:rPr>
                <w:rFonts w:hint="default" w:ascii="Times New Roman" w:hAnsi="Times New Roman" w:eastAsia="宋体" w:cs="Times New Roman"/>
                <w:color w:val="auto"/>
                <w:sz w:val="24"/>
                <w:lang w:val="en-US" w:eastAsia="zh-CN"/>
              </w:rPr>
              <w:t>、物料贮存风险防范措施</w:t>
            </w:r>
          </w:p>
          <w:p w14:paraId="062A1D65">
            <w:pPr>
              <w:keepNext w:val="0"/>
              <w:keepLines w:val="0"/>
              <w:suppressLineNumbers w:val="0"/>
              <w:spacing w:before="0" w:beforeAutospacing="0" w:after="0" w:afterAutospacing="0" w:line="360" w:lineRule="auto"/>
              <w:ind w:left="0" w:right="0" w:firstLine="480" w:firstLineChars="200"/>
              <w:rPr>
                <w:rFonts w:hint="default" w:ascii="Times New Roman" w:hAnsi="Times New Roman" w:eastAsia="宋体" w:cs="Times New Roman"/>
                <w:color w:val="auto"/>
                <w:sz w:val="24"/>
                <w:lang w:val="en-US" w:eastAsia="zh-CN"/>
              </w:rPr>
            </w:pPr>
            <w:r>
              <w:rPr>
                <w:rFonts w:hint="default" w:ascii="Times New Roman" w:hAnsi="Times New Roman" w:eastAsia="宋体" w:cs="Times New Roman"/>
                <w:color w:val="auto"/>
                <w:sz w:val="24"/>
                <w:lang w:val="en-US" w:eastAsia="zh-CN"/>
              </w:rPr>
              <w:t>1）原料存放点阴凉通风，远离热源、火种，防止日光曝晒，严禁受热。库内照明应采用防爆照明灯，存放点周围不得堆放任何可燃材料。</w:t>
            </w:r>
          </w:p>
          <w:p w14:paraId="132D5FDA">
            <w:pPr>
              <w:keepNext w:val="0"/>
              <w:keepLines w:val="0"/>
              <w:suppressLineNumbers w:val="0"/>
              <w:spacing w:before="0" w:beforeAutospacing="0" w:after="0" w:afterAutospacing="0" w:line="360" w:lineRule="auto"/>
              <w:ind w:left="0" w:right="0" w:firstLine="480" w:firstLineChars="200"/>
              <w:rPr>
                <w:rFonts w:hint="default" w:ascii="Times New Roman" w:hAnsi="Times New Roman" w:eastAsia="宋体" w:cs="Times New Roman"/>
                <w:color w:val="auto"/>
                <w:sz w:val="24"/>
                <w:lang w:val="en-US" w:eastAsia="zh-CN"/>
              </w:rPr>
            </w:pPr>
            <w:r>
              <w:rPr>
                <w:rFonts w:hint="default" w:ascii="Times New Roman" w:hAnsi="Times New Roman" w:eastAsia="宋体" w:cs="Times New Roman"/>
                <w:color w:val="auto"/>
                <w:sz w:val="24"/>
                <w:lang w:val="en-US" w:eastAsia="zh-CN"/>
              </w:rPr>
              <w:t>2）原材料区有专人管理，要有消防器材，要有醒目的防火标志。在原材料区张贴防火标示，并配有进出台账管理。</w:t>
            </w:r>
          </w:p>
          <w:p w14:paraId="51603BCE">
            <w:pPr>
              <w:keepNext w:val="0"/>
              <w:keepLines w:val="0"/>
              <w:suppressLineNumbers w:val="0"/>
              <w:spacing w:before="0" w:beforeAutospacing="0" w:after="0" w:afterAutospacing="0" w:line="360" w:lineRule="auto"/>
              <w:ind w:left="0" w:right="0" w:firstLine="480" w:firstLineChars="200"/>
              <w:rPr>
                <w:rFonts w:hint="default" w:ascii="Times New Roman" w:hAnsi="Times New Roman" w:eastAsia="宋体" w:cs="Times New Roman"/>
                <w:color w:val="auto"/>
                <w:sz w:val="24"/>
                <w:lang w:val="en-US" w:eastAsia="zh-CN"/>
              </w:rPr>
            </w:pPr>
            <w:r>
              <w:rPr>
                <w:rFonts w:hint="default" w:ascii="Times New Roman" w:hAnsi="Times New Roman" w:eastAsia="宋体" w:cs="Times New Roman"/>
                <w:color w:val="auto"/>
                <w:sz w:val="24"/>
                <w:lang w:val="en-US" w:eastAsia="zh-CN"/>
              </w:rPr>
              <w:t>3）危废仓库从严建设，进一步根据《危险废物污染防治技术政策》和《危险废物贮存污染控制标准》进行完善。同时建立健全固体废弃物管理制度和管理程式，固体废弃物应按照性质分类收集并有专人管理，进行监督登记并设置相应的应急救援器材和物资、每年进行预案演练，完善风险防控系统。</w:t>
            </w:r>
          </w:p>
          <w:p w14:paraId="1F6C6973">
            <w:pPr>
              <w:keepNext w:val="0"/>
              <w:keepLines w:val="0"/>
              <w:suppressLineNumbers w:val="0"/>
              <w:spacing w:before="0" w:beforeAutospacing="0" w:after="0" w:afterAutospacing="0" w:line="360" w:lineRule="auto"/>
              <w:ind w:left="0" w:right="0" w:firstLine="480" w:firstLineChars="200"/>
              <w:rPr>
                <w:rFonts w:hint="default" w:ascii="Times New Roman" w:hAnsi="Times New Roman" w:eastAsia="宋体" w:cs="Times New Roman"/>
                <w:color w:val="auto"/>
                <w:sz w:val="24"/>
                <w:lang w:val="en-US" w:eastAsia="zh-CN"/>
              </w:rPr>
            </w:pPr>
            <w:r>
              <w:rPr>
                <w:rFonts w:hint="default" w:ascii="Times New Roman" w:hAnsi="Times New Roman" w:eastAsia="宋体" w:cs="Times New Roman"/>
                <w:color w:val="auto"/>
                <w:sz w:val="24"/>
                <w:lang w:val="en-US" w:eastAsia="zh-CN"/>
              </w:rPr>
              <w:t>4）对员工进行日常风险教育和培训，提高安全防范知识的宣传力度。企业定期对员工进行安全培训教育，从控制过程减少了风险事故的产生。</w:t>
            </w:r>
          </w:p>
          <w:p w14:paraId="73910BAF">
            <w:pPr>
              <w:keepNext w:val="0"/>
              <w:keepLines w:val="0"/>
              <w:suppressLineNumbers w:val="0"/>
              <w:spacing w:before="0" w:beforeAutospacing="0" w:after="0" w:afterAutospacing="0" w:line="360" w:lineRule="auto"/>
              <w:ind w:left="0" w:right="0" w:firstLine="480" w:firstLineChars="200"/>
              <w:rPr>
                <w:rFonts w:hint="default" w:ascii="Times New Roman" w:hAnsi="Times New Roman" w:eastAsia="宋体" w:cs="Times New Roman"/>
                <w:color w:val="auto"/>
                <w:sz w:val="24"/>
                <w:lang w:val="en-US" w:eastAsia="zh-CN"/>
              </w:rPr>
            </w:pPr>
            <w:r>
              <w:rPr>
                <w:rFonts w:hint="eastAsia" w:ascii="Times New Roman" w:hAnsi="Times New Roman" w:eastAsia="宋体" w:cs="Times New Roman"/>
                <w:color w:val="auto"/>
                <w:sz w:val="24"/>
                <w:lang w:val="en-US" w:eastAsia="zh-CN"/>
              </w:rPr>
              <w:t>D</w:t>
            </w:r>
            <w:r>
              <w:rPr>
                <w:rFonts w:hint="default" w:ascii="Times New Roman" w:hAnsi="Times New Roman" w:eastAsia="宋体" w:cs="Times New Roman"/>
                <w:color w:val="auto"/>
                <w:sz w:val="24"/>
                <w:lang w:val="en-US" w:eastAsia="zh-CN"/>
              </w:rPr>
              <w:t>、环保设施风险防范措施</w:t>
            </w:r>
          </w:p>
          <w:p w14:paraId="2AA64053">
            <w:pPr>
              <w:keepNext w:val="0"/>
              <w:keepLines w:val="0"/>
              <w:suppressLineNumbers w:val="0"/>
              <w:spacing w:before="0" w:beforeAutospacing="0" w:after="0" w:afterAutospacing="0" w:line="360" w:lineRule="auto"/>
              <w:ind w:left="0" w:right="0" w:firstLine="480" w:firstLineChars="200"/>
              <w:rPr>
                <w:rFonts w:hint="default" w:ascii="Times New Roman" w:hAnsi="Times New Roman" w:eastAsia="宋体" w:cs="Times New Roman"/>
                <w:color w:val="auto"/>
                <w:sz w:val="24"/>
                <w:lang w:val="en-US" w:eastAsia="zh-CN"/>
              </w:rPr>
            </w:pPr>
            <w:r>
              <w:rPr>
                <w:rFonts w:hint="default" w:ascii="Times New Roman" w:hAnsi="Times New Roman" w:eastAsia="宋体" w:cs="Times New Roman"/>
                <w:color w:val="auto"/>
                <w:sz w:val="24"/>
                <w:lang w:val="en-US" w:eastAsia="zh-CN"/>
              </w:rPr>
              <w:t>根据《关于加强工业企业环保设施安全生产工作的指导意见》（浙应急基础[2022]143 号），新、改、扩建重点环保设施应纳入建设项目管理，充分考虑安全风险，确保风险可控后方可实施。本项目涉及的重点环保设施为水喷淋+干式过滤+二级活性炭吸附装置</w:t>
            </w:r>
            <w:r>
              <w:rPr>
                <w:rFonts w:hint="eastAsia" w:ascii="Times New Roman" w:hAnsi="Times New Roman" w:eastAsia="宋体" w:cs="Times New Roman"/>
                <w:color w:val="auto"/>
                <w:sz w:val="24"/>
                <w:lang w:val="en-US" w:eastAsia="zh-CN"/>
              </w:rPr>
              <w:t>、</w:t>
            </w:r>
            <w:r>
              <w:rPr>
                <w:rFonts w:hint="default" w:ascii="Times New Roman" w:hAnsi="Times New Roman" w:eastAsia="宋体" w:cs="Times New Roman"/>
                <w:color w:val="auto"/>
                <w:sz w:val="24"/>
                <w:lang w:val="en-US" w:eastAsia="zh-CN"/>
              </w:rPr>
              <w:t>脉冲式布袋除尘器等。应按照以下相关规定落实安全生产工作：</w:t>
            </w:r>
          </w:p>
          <w:p w14:paraId="7E2B4AF0">
            <w:pPr>
              <w:keepNext w:val="0"/>
              <w:keepLines w:val="0"/>
              <w:suppressLineNumbers w:val="0"/>
              <w:spacing w:before="0" w:beforeAutospacing="0" w:after="0" w:afterAutospacing="0" w:line="360" w:lineRule="auto"/>
              <w:ind w:left="0" w:right="0" w:firstLine="480" w:firstLineChars="200"/>
              <w:rPr>
                <w:rFonts w:hint="default" w:ascii="Times New Roman" w:hAnsi="Times New Roman" w:eastAsia="宋体" w:cs="Times New Roman"/>
                <w:color w:val="auto"/>
                <w:sz w:val="24"/>
                <w:lang w:val="en-US" w:eastAsia="zh-CN"/>
              </w:rPr>
            </w:pPr>
            <w:r>
              <w:rPr>
                <w:rFonts w:hint="default" w:ascii="Times New Roman" w:hAnsi="Times New Roman" w:eastAsia="宋体" w:cs="Times New Roman"/>
                <w:color w:val="auto"/>
                <w:sz w:val="24"/>
                <w:lang w:val="en-US" w:eastAsia="zh-CN"/>
              </w:rPr>
              <w:t>1）设计阶段。企业应当委托有相应资质（建设部门核发的综合、行业专项等设计资质）的设计单位对建设项目（含环保设施）进行设计，落实安全生产相关技术要求，自行开展或组织环保和安全生产有关专家参与设计审查，出具审查报告，并案审查意见进行修改完善。</w:t>
            </w:r>
          </w:p>
          <w:p w14:paraId="512776D8">
            <w:pPr>
              <w:keepNext w:val="0"/>
              <w:keepLines w:val="0"/>
              <w:suppressLineNumbers w:val="0"/>
              <w:spacing w:before="0" w:beforeAutospacing="0" w:after="0" w:afterAutospacing="0" w:line="360" w:lineRule="auto"/>
              <w:ind w:left="0" w:right="0" w:firstLine="480" w:firstLineChars="200"/>
              <w:rPr>
                <w:rFonts w:hint="default" w:ascii="Times New Roman" w:hAnsi="Times New Roman" w:eastAsia="宋体" w:cs="Times New Roman"/>
                <w:color w:val="auto"/>
                <w:sz w:val="24"/>
                <w:lang w:val="en-US" w:eastAsia="zh-CN"/>
              </w:rPr>
            </w:pPr>
            <w:r>
              <w:rPr>
                <w:rFonts w:hint="default" w:ascii="Times New Roman" w:hAnsi="Times New Roman" w:eastAsia="宋体" w:cs="Times New Roman"/>
                <w:color w:val="auto"/>
                <w:sz w:val="24"/>
                <w:lang w:val="en-US" w:eastAsia="zh-CN"/>
              </w:rPr>
              <w:t>2）建设和验收阶段。建设单位应严格按照设计方案和相关施工技术标准、规范施工。建设项目竣工后，建设单位应当按照法律、法规规定的标准和程序，对环保设施进行验收，确保环保设施符合生态环境和安全生产要求，并形成书面报告。</w:t>
            </w:r>
          </w:p>
          <w:p w14:paraId="39DF5A73">
            <w:pPr>
              <w:keepNext w:val="0"/>
              <w:keepLines w:val="0"/>
              <w:suppressLineNumbers w:val="0"/>
              <w:spacing w:before="0" w:beforeAutospacing="0" w:after="0" w:afterAutospacing="0" w:line="360" w:lineRule="auto"/>
              <w:ind w:left="0" w:right="0" w:firstLine="480" w:firstLineChars="200"/>
              <w:rPr>
                <w:rFonts w:hint="default" w:ascii="Times New Roman" w:hAnsi="Times New Roman" w:eastAsia="宋体" w:cs="Times New Roman"/>
                <w:color w:val="auto"/>
                <w:sz w:val="24"/>
                <w:lang w:val="en-US" w:eastAsia="zh-CN"/>
              </w:rPr>
            </w:pPr>
            <w:r>
              <w:rPr>
                <w:rFonts w:hint="default" w:ascii="Times New Roman" w:hAnsi="Times New Roman" w:eastAsia="宋体" w:cs="Times New Roman"/>
                <w:color w:val="auto"/>
                <w:sz w:val="24"/>
                <w:lang w:val="en-US" w:eastAsia="zh-CN"/>
              </w:rPr>
              <w:t>3）严格落实企业主体责任。企业要把环保设施安全落实到生产经营工作全过程各方面，建立环保设施台账和维护管理制度，对环保设施操作、危险作业等相关岗位人员开展安全操作规程、风险管控、应急处置等专项安全培训教育。要依法依规开展环保设施安全风险辨识管控和隐患排查治理，定期进行安全可靠性鉴定，设置必要的安全监测监控系统和连锁保护，严格日常安全检查。要严格执行吊装、动火、登高、有限空间、检维修等危险作业审批制度，落实安全隔离措施，实施现场安全监护，配齐应急处置装备，确保环保设施安全、温度、有效运行。</w:t>
            </w:r>
          </w:p>
          <w:p w14:paraId="359962E6">
            <w:pPr>
              <w:keepNext w:val="0"/>
              <w:keepLines w:val="0"/>
              <w:suppressLineNumbers w:val="0"/>
              <w:spacing w:before="0" w:beforeAutospacing="0" w:after="0" w:afterAutospacing="0" w:line="360" w:lineRule="auto"/>
              <w:ind w:left="0" w:right="0" w:firstLine="480" w:firstLineChars="200"/>
              <w:rPr>
                <w:rFonts w:hint="default" w:ascii="Times New Roman" w:hAnsi="Times New Roman" w:eastAsia="宋体" w:cs="Times New Roman"/>
                <w:color w:val="auto"/>
                <w:sz w:val="24"/>
                <w:lang w:val="en-US" w:eastAsia="zh-CN"/>
              </w:rPr>
            </w:pPr>
            <w:r>
              <w:rPr>
                <w:rFonts w:hint="default" w:ascii="Times New Roman" w:hAnsi="Times New Roman" w:eastAsia="宋体" w:cs="Times New Roman"/>
                <w:color w:val="auto"/>
                <w:sz w:val="24"/>
                <w:lang w:val="en-US" w:eastAsia="zh-CN"/>
              </w:rPr>
              <w:t>本项目环境风险简单分析内容见表4-3</w:t>
            </w:r>
            <w:r>
              <w:rPr>
                <w:rFonts w:hint="eastAsia" w:ascii="Times New Roman" w:hAnsi="Times New Roman" w:eastAsia="宋体" w:cs="Times New Roman"/>
                <w:color w:val="auto"/>
                <w:sz w:val="24"/>
                <w:lang w:val="en-US" w:eastAsia="zh-CN"/>
              </w:rPr>
              <w:t>2</w:t>
            </w:r>
            <w:r>
              <w:rPr>
                <w:rFonts w:hint="default" w:ascii="Times New Roman" w:hAnsi="Times New Roman" w:eastAsia="宋体" w:cs="Times New Roman"/>
                <w:color w:val="auto"/>
                <w:sz w:val="24"/>
                <w:lang w:val="en-US" w:eastAsia="zh-CN"/>
              </w:rPr>
              <w:t>。</w:t>
            </w:r>
          </w:p>
          <w:p w14:paraId="014E5C32">
            <w:pPr>
              <w:keepNext w:val="0"/>
              <w:keepLines w:val="0"/>
              <w:suppressLineNumbers w:val="0"/>
              <w:spacing w:before="0" w:beforeAutospacing="0" w:after="0" w:afterAutospacing="0"/>
              <w:ind w:left="0" w:right="0"/>
              <w:jc w:val="center"/>
              <w:rPr>
                <w:rFonts w:hint="default" w:ascii="Times New Roman" w:hAnsi="Times New Roman" w:eastAsia="宋体" w:cs="Times New Roman"/>
                <w:b/>
                <w:bCs/>
                <w:color w:val="auto"/>
              </w:rPr>
            </w:pPr>
            <w:r>
              <w:rPr>
                <w:rFonts w:hint="eastAsia" w:ascii="Times New Roman" w:hAnsi="Times New Roman" w:eastAsia="宋体" w:cs="Times New Roman"/>
                <w:b/>
                <w:bCs/>
                <w:color w:val="auto"/>
              </w:rPr>
              <w:t>表</w:t>
            </w:r>
            <w:r>
              <w:rPr>
                <w:rFonts w:hint="default" w:ascii="Times New Roman" w:hAnsi="Times New Roman" w:eastAsia="宋体" w:cs="Times New Roman"/>
                <w:b/>
                <w:bCs/>
                <w:color w:val="auto"/>
              </w:rPr>
              <w:t>4-</w:t>
            </w:r>
            <w:r>
              <w:rPr>
                <w:rFonts w:hint="eastAsia" w:ascii="Times New Roman" w:hAnsi="Times New Roman" w:eastAsia="宋体" w:cs="Times New Roman"/>
                <w:b/>
                <w:bCs/>
                <w:color w:val="auto"/>
                <w:lang w:val="en-US" w:eastAsia="zh-CN"/>
              </w:rPr>
              <w:t>32</w:t>
            </w:r>
            <w:r>
              <w:rPr>
                <w:rFonts w:hint="eastAsia" w:ascii="Times New Roman" w:hAnsi="Times New Roman" w:eastAsia="宋体" w:cs="Times New Roman"/>
                <w:b/>
                <w:bCs/>
                <w:color w:val="auto"/>
              </w:rPr>
              <w:t xml:space="preserve"> </w:t>
            </w:r>
            <w:r>
              <w:rPr>
                <w:rFonts w:hint="default" w:ascii="Times New Roman" w:hAnsi="Times New Roman" w:eastAsia="宋体" w:cs="Times New Roman"/>
                <w:b/>
                <w:bCs/>
                <w:color w:val="auto"/>
              </w:rPr>
              <w:t xml:space="preserve"> </w:t>
            </w:r>
            <w:r>
              <w:rPr>
                <w:rFonts w:hint="eastAsia" w:ascii="Times New Roman" w:hAnsi="Times New Roman" w:eastAsia="宋体" w:cs="Times New Roman"/>
                <w:b/>
                <w:bCs/>
                <w:color w:val="auto"/>
              </w:rPr>
              <w:t>本项目环境风险简单分析内容表</w:t>
            </w:r>
          </w:p>
          <w:tbl>
            <w:tblPr>
              <w:tblStyle w:val="23"/>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590"/>
              <w:gridCol w:w="6757"/>
            </w:tblGrid>
            <w:tr w14:paraId="671D44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1559" w:type="dxa"/>
                  <w:vAlign w:val="center"/>
                </w:tcPr>
                <w:p w14:paraId="36338F7B">
                  <w:pPr>
                    <w:keepNext w:val="0"/>
                    <w:keepLines w:val="0"/>
                    <w:suppressLineNumbers w:val="0"/>
                    <w:spacing w:before="0" w:beforeAutospacing="0" w:after="0" w:afterAutospacing="0"/>
                    <w:ind w:left="0" w:right="0"/>
                    <w:jc w:val="center"/>
                    <w:rPr>
                      <w:rFonts w:hint="default" w:ascii="Times New Roman" w:hAnsi="Times New Roman" w:eastAsia="宋体" w:cs="Times New Roman"/>
                      <w:b/>
                      <w:bCs/>
                      <w:color w:val="auto"/>
                      <w:szCs w:val="21"/>
                    </w:rPr>
                  </w:pPr>
                  <w:r>
                    <w:rPr>
                      <w:rFonts w:hint="default" w:ascii="Times New Roman" w:hAnsi="Times New Roman" w:eastAsia="宋体" w:cs="Times New Roman"/>
                      <w:b/>
                      <w:bCs/>
                      <w:color w:val="auto"/>
                      <w:szCs w:val="21"/>
                    </w:rPr>
                    <w:t>建设项目名称</w:t>
                  </w:r>
                </w:p>
              </w:tc>
              <w:tc>
                <w:tcPr>
                  <w:tcW w:w="6627" w:type="dxa"/>
                  <w:vAlign w:val="center"/>
                </w:tcPr>
                <w:p w14:paraId="731426B1">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rPr>
                    <w:t>浙江凌志源科技股份有限公司年产500万平方米第二代动力电池高安全陶瓷化复合隔膜及2000万片纳米隔热板项目</w:t>
                  </w:r>
                </w:p>
              </w:tc>
            </w:tr>
            <w:tr w14:paraId="1841D7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1559" w:type="dxa"/>
                  <w:vAlign w:val="center"/>
                </w:tcPr>
                <w:p w14:paraId="68E405C4">
                  <w:pPr>
                    <w:keepNext w:val="0"/>
                    <w:keepLines w:val="0"/>
                    <w:suppressLineNumbers w:val="0"/>
                    <w:spacing w:before="0" w:beforeAutospacing="0" w:after="0" w:afterAutospacing="0"/>
                    <w:ind w:left="0" w:right="0"/>
                    <w:jc w:val="center"/>
                    <w:rPr>
                      <w:rFonts w:hint="default" w:ascii="Times New Roman" w:hAnsi="Times New Roman" w:eastAsia="宋体" w:cs="Times New Roman"/>
                      <w:b/>
                      <w:bCs/>
                      <w:color w:val="auto"/>
                      <w:szCs w:val="21"/>
                    </w:rPr>
                  </w:pPr>
                  <w:r>
                    <w:rPr>
                      <w:rFonts w:hint="default" w:ascii="Times New Roman" w:hAnsi="Times New Roman" w:eastAsia="宋体" w:cs="Times New Roman"/>
                      <w:b/>
                      <w:bCs/>
                      <w:color w:val="auto"/>
                      <w:szCs w:val="21"/>
                    </w:rPr>
                    <w:t>建设地点</w:t>
                  </w:r>
                </w:p>
              </w:tc>
              <w:tc>
                <w:tcPr>
                  <w:tcW w:w="6627" w:type="dxa"/>
                  <w:vAlign w:val="center"/>
                </w:tcPr>
                <w:p w14:paraId="2355613A">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rPr>
                    <w:t>浙江省湖州市安吉县天子湖镇长隆路398号</w:t>
                  </w:r>
                  <w:r>
                    <w:rPr>
                      <w:rFonts w:hint="default" w:ascii="Times New Roman" w:hAnsi="Times New Roman" w:eastAsia="宋体" w:cs="Times New Roman"/>
                      <w:color w:val="0000E1"/>
                      <w:szCs w:val="21"/>
                    </w:rPr>
                    <w:t>1号厂房1楼，2号厂房1楼</w:t>
                  </w:r>
                  <w:r>
                    <w:rPr>
                      <w:rFonts w:hint="default" w:ascii="Times New Roman" w:hAnsi="Times New Roman" w:eastAsia="宋体" w:cs="Times New Roman"/>
                      <w:color w:val="0000E1"/>
                      <w:szCs w:val="21"/>
                      <w:lang w:eastAsia="zh-CN"/>
                    </w:rPr>
                    <w:t>、</w:t>
                  </w:r>
                  <w:r>
                    <w:rPr>
                      <w:rFonts w:hint="default" w:ascii="Times New Roman" w:hAnsi="Times New Roman" w:eastAsia="宋体" w:cs="Times New Roman"/>
                      <w:color w:val="0000E1"/>
                      <w:szCs w:val="21"/>
                    </w:rPr>
                    <w:t>2楼</w:t>
                  </w:r>
                  <w:r>
                    <w:rPr>
                      <w:rFonts w:hint="default" w:ascii="Times New Roman" w:hAnsi="Times New Roman" w:eastAsia="宋体" w:cs="Times New Roman"/>
                      <w:color w:val="auto"/>
                      <w:szCs w:val="21"/>
                    </w:rPr>
                    <w:t>（浙江吉珈科技有限公司内）</w:t>
                  </w:r>
                </w:p>
              </w:tc>
            </w:tr>
            <w:tr w14:paraId="2E24D1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1559" w:type="dxa"/>
                  <w:vAlign w:val="center"/>
                </w:tcPr>
                <w:p w14:paraId="30FDE173">
                  <w:pPr>
                    <w:keepNext w:val="0"/>
                    <w:keepLines w:val="0"/>
                    <w:suppressLineNumbers w:val="0"/>
                    <w:spacing w:before="0" w:beforeAutospacing="0" w:after="0" w:afterAutospacing="0"/>
                    <w:ind w:left="0" w:right="0"/>
                    <w:jc w:val="center"/>
                    <w:rPr>
                      <w:rFonts w:hint="default" w:ascii="Times New Roman" w:hAnsi="Times New Roman" w:eastAsia="宋体" w:cs="Times New Roman"/>
                      <w:b/>
                      <w:bCs/>
                      <w:color w:val="auto"/>
                      <w:szCs w:val="21"/>
                    </w:rPr>
                  </w:pPr>
                  <w:r>
                    <w:rPr>
                      <w:rFonts w:hint="default" w:ascii="Times New Roman" w:hAnsi="Times New Roman" w:eastAsia="宋体" w:cs="Times New Roman"/>
                      <w:b/>
                      <w:bCs/>
                      <w:color w:val="auto"/>
                      <w:szCs w:val="21"/>
                    </w:rPr>
                    <w:t>地理坐标</w:t>
                  </w:r>
                </w:p>
              </w:tc>
              <w:tc>
                <w:tcPr>
                  <w:tcW w:w="6627" w:type="dxa"/>
                  <w:vAlign w:val="center"/>
                </w:tcPr>
                <w:p w14:paraId="16BEBB51">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rPr>
                    <w:t>经度119°39'</w:t>
                  </w:r>
                  <w:r>
                    <w:rPr>
                      <w:rFonts w:hint="default" w:ascii="Times New Roman" w:hAnsi="Times New Roman" w:eastAsia="宋体" w:cs="Times New Roman"/>
                      <w:color w:val="auto"/>
                      <w:szCs w:val="21"/>
                      <w:lang w:val="en-US" w:eastAsia="zh-CN"/>
                    </w:rPr>
                    <w:t>01.166</w:t>
                  </w:r>
                  <w:r>
                    <w:rPr>
                      <w:rFonts w:hint="default" w:ascii="Times New Roman" w:hAnsi="Times New Roman" w:eastAsia="宋体" w:cs="Times New Roman"/>
                      <w:color w:val="auto"/>
                      <w:szCs w:val="21"/>
                    </w:rPr>
                    <w:t>"，纬度30°47'</w:t>
                  </w:r>
                  <w:r>
                    <w:rPr>
                      <w:rFonts w:hint="default" w:ascii="Times New Roman" w:hAnsi="Times New Roman" w:eastAsia="宋体" w:cs="Times New Roman"/>
                      <w:color w:val="auto"/>
                      <w:szCs w:val="21"/>
                      <w:lang w:val="en-US" w:eastAsia="zh-CN"/>
                    </w:rPr>
                    <w:t>02.532</w:t>
                  </w:r>
                  <w:r>
                    <w:rPr>
                      <w:rFonts w:hint="default" w:ascii="Times New Roman" w:hAnsi="Times New Roman" w:eastAsia="宋体" w:cs="Times New Roman"/>
                      <w:color w:val="auto"/>
                      <w:szCs w:val="21"/>
                    </w:rPr>
                    <w:t>"</w:t>
                  </w:r>
                </w:p>
              </w:tc>
            </w:tr>
            <w:tr w14:paraId="5FD9B1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1559" w:type="dxa"/>
                  <w:vAlign w:val="center"/>
                </w:tcPr>
                <w:p w14:paraId="557DECEE">
                  <w:pPr>
                    <w:keepNext w:val="0"/>
                    <w:keepLines w:val="0"/>
                    <w:suppressLineNumbers w:val="0"/>
                    <w:spacing w:before="0" w:beforeAutospacing="0" w:after="0" w:afterAutospacing="0"/>
                    <w:ind w:left="0" w:right="0"/>
                    <w:jc w:val="center"/>
                    <w:rPr>
                      <w:rFonts w:hint="default" w:ascii="Times New Roman" w:hAnsi="Times New Roman" w:eastAsia="宋体" w:cs="Times New Roman"/>
                      <w:b/>
                      <w:bCs/>
                      <w:color w:val="auto"/>
                      <w:szCs w:val="21"/>
                    </w:rPr>
                  </w:pPr>
                  <w:r>
                    <w:rPr>
                      <w:rFonts w:hint="default" w:ascii="Times New Roman" w:hAnsi="Times New Roman" w:eastAsia="宋体" w:cs="Times New Roman"/>
                      <w:b/>
                      <w:bCs/>
                      <w:color w:val="auto"/>
                      <w:szCs w:val="21"/>
                    </w:rPr>
                    <w:t>主要危险物质及分布</w:t>
                  </w:r>
                </w:p>
              </w:tc>
              <w:tc>
                <w:tcPr>
                  <w:tcW w:w="6627" w:type="dxa"/>
                  <w:vAlign w:val="center"/>
                </w:tcPr>
                <w:p w14:paraId="5E362FEE">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lang w:val="en-US" w:eastAsia="zh-CN"/>
                    </w:rPr>
                    <w:t>本项目涉及的风险物质为陶瓷基料混合物</w:t>
                  </w:r>
                  <w:r>
                    <w:rPr>
                      <w:rFonts w:hint="eastAsia" w:ascii="Times New Roman" w:hAnsi="Times New Roman" w:eastAsia="宋体" w:cs="Times New Roman"/>
                      <w:color w:val="auto"/>
                      <w:szCs w:val="21"/>
                      <w:lang w:val="en-US" w:eastAsia="zh-CN"/>
                    </w:rPr>
                    <w:t>、背胶处理剂、</w:t>
                  </w:r>
                  <w:r>
                    <w:rPr>
                      <w:rFonts w:hint="default" w:ascii="Times New Roman" w:hAnsi="Times New Roman" w:eastAsia="宋体" w:cs="Times New Roman"/>
                      <w:color w:val="auto"/>
                      <w:szCs w:val="21"/>
                      <w:lang w:val="en-US" w:eastAsia="zh-CN"/>
                    </w:rPr>
                    <w:t>润滑油，主要存放于化学品仓库；破损的废包装桶</w:t>
                  </w:r>
                  <w:r>
                    <w:rPr>
                      <w:rFonts w:hint="eastAsia" w:ascii="Times New Roman" w:hAnsi="Times New Roman" w:eastAsia="宋体" w:cs="Times New Roman"/>
                      <w:color w:val="auto"/>
                      <w:szCs w:val="21"/>
                      <w:lang w:val="en-US" w:eastAsia="zh-CN"/>
                    </w:rPr>
                    <w:t>、</w:t>
                  </w:r>
                  <w:r>
                    <w:rPr>
                      <w:rFonts w:hint="default" w:ascii="Times New Roman" w:hAnsi="Times New Roman" w:eastAsia="宋体" w:cs="Times New Roman"/>
                      <w:color w:val="auto"/>
                      <w:szCs w:val="21"/>
                      <w:lang w:val="en-US" w:eastAsia="zh-CN"/>
                    </w:rPr>
                    <w:t>废润滑油</w:t>
                  </w:r>
                  <w:r>
                    <w:rPr>
                      <w:rFonts w:hint="eastAsia" w:ascii="Times New Roman" w:hAnsi="Times New Roman" w:eastAsia="宋体" w:cs="Times New Roman"/>
                      <w:color w:val="auto"/>
                      <w:szCs w:val="21"/>
                      <w:lang w:val="en-US" w:eastAsia="zh-CN"/>
                    </w:rPr>
                    <w:t>、</w:t>
                  </w:r>
                  <w:r>
                    <w:rPr>
                      <w:rFonts w:hint="default" w:ascii="Times New Roman" w:hAnsi="Times New Roman" w:eastAsia="宋体" w:cs="Times New Roman"/>
                      <w:color w:val="auto"/>
                      <w:szCs w:val="21"/>
                      <w:lang w:val="en-US" w:eastAsia="zh-CN"/>
                    </w:rPr>
                    <w:t>废润滑油桶</w:t>
                  </w:r>
                  <w:r>
                    <w:rPr>
                      <w:rFonts w:hint="eastAsia" w:ascii="Times New Roman" w:hAnsi="Times New Roman" w:eastAsia="宋体" w:cs="Times New Roman"/>
                      <w:color w:val="auto"/>
                      <w:szCs w:val="21"/>
                      <w:lang w:val="en-US" w:eastAsia="zh-CN"/>
                    </w:rPr>
                    <w:t>、</w:t>
                  </w:r>
                  <w:r>
                    <w:rPr>
                      <w:rFonts w:hint="default" w:ascii="Times New Roman" w:hAnsi="Times New Roman" w:eastAsia="宋体" w:cs="Times New Roman"/>
                      <w:color w:val="auto"/>
                      <w:szCs w:val="21"/>
                      <w:lang w:val="en-US" w:eastAsia="zh-CN"/>
                    </w:rPr>
                    <w:t>废弃的含油抹布及劳保用品</w:t>
                  </w:r>
                  <w:r>
                    <w:rPr>
                      <w:rFonts w:hint="eastAsia" w:ascii="Times New Roman" w:hAnsi="Times New Roman" w:eastAsia="宋体" w:cs="Times New Roman"/>
                      <w:color w:val="auto"/>
                      <w:szCs w:val="21"/>
                      <w:lang w:val="en-US" w:eastAsia="zh-CN"/>
                    </w:rPr>
                    <w:t>、</w:t>
                  </w:r>
                  <w:r>
                    <w:rPr>
                      <w:rFonts w:hint="default" w:ascii="Times New Roman" w:hAnsi="Times New Roman" w:eastAsia="宋体" w:cs="Times New Roman"/>
                      <w:color w:val="auto"/>
                      <w:szCs w:val="21"/>
                      <w:lang w:val="en-US" w:eastAsia="zh-CN"/>
                    </w:rPr>
                    <w:t>喷淋废水</w:t>
                  </w:r>
                  <w:r>
                    <w:rPr>
                      <w:rFonts w:hint="eastAsia" w:ascii="Times New Roman" w:hAnsi="Times New Roman" w:eastAsia="宋体" w:cs="Times New Roman"/>
                      <w:color w:val="auto"/>
                      <w:szCs w:val="21"/>
                      <w:lang w:val="en-US" w:eastAsia="zh-CN"/>
                    </w:rPr>
                    <w:t>、</w:t>
                  </w:r>
                  <w:r>
                    <w:rPr>
                      <w:rFonts w:hint="default" w:ascii="Times New Roman" w:hAnsi="Times New Roman" w:eastAsia="宋体" w:cs="Times New Roman"/>
                      <w:color w:val="auto"/>
                      <w:szCs w:val="21"/>
                      <w:lang w:val="en-US" w:eastAsia="zh-CN"/>
                    </w:rPr>
                    <w:t>废过滤棉</w:t>
                  </w:r>
                  <w:r>
                    <w:rPr>
                      <w:rFonts w:hint="eastAsia" w:ascii="Times New Roman" w:hAnsi="Times New Roman" w:eastAsia="宋体" w:cs="Times New Roman"/>
                      <w:color w:val="auto"/>
                      <w:szCs w:val="21"/>
                      <w:lang w:val="en-US" w:eastAsia="zh-CN"/>
                    </w:rPr>
                    <w:t>、</w:t>
                  </w:r>
                  <w:r>
                    <w:rPr>
                      <w:rFonts w:hint="default" w:ascii="Times New Roman" w:hAnsi="Times New Roman" w:eastAsia="宋体" w:cs="Times New Roman"/>
                      <w:color w:val="auto"/>
                      <w:szCs w:val="21"/>
                      <w:lang w:val="en-US" w:eastAsia="zh-CN"/>
                    </w:rPr>
                    <w:t>废活性炭，主要存放于危废仓库</w:t>
                  </w:r>
                </w:p>
              </w:tc>
            </w:tr>
            <w:tr w14:paraId="7FD55E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1559" w:type="dxa"/>
                  <w:vAlign w:val="center"/>
                </w:tcPr>
                <w:p w14:paraId="3D7689A4">
                  <w:pPr>
                    <w:keepNext w:val="0"/>
                    <w:keepLines w:val="0"/>
                    <w:suppressLineNumbers w:val="0"/>
                    <w:spacing w:before="0" w:beforeAutospacing="0" w:after="0" w:afterAutospacing="0"/>
                    <w:ind w:left="0" w:right="0"/>
                    <w:jc w:val="center"/>
                    <w:rPr>
                      <w:rFonts w:hint="default" w:ascii="Times New Roman" w:hAnsi="Times New Roman" w:eastAsia="宋体" w:cs="Times New Roman"/>
                      <w:b/>
                      <w:bCs/>
                      <w:color w:val="auto"/>
                      <w:szCs w:val="21"/>
                    </w:rPr>
                  </w:pPr>
                  <w:r>
                    <w:rPr>
                      <w:rFonts w:hint="default" w:ascii="Times New Roman" w:hAnsi="Times New Roman" w:eastAsia="宋体" w:cs="Times New Roman"/>
                      <w:b/>
                      <w:bCs/>
                      <w:color w:val="auto"/>
                      <w:szCs w:val="21"/>
                    </w:rPr>
                    <w:t>环境影响途径及危害后果（大气、地表水、地下水等）</w:t>
                  </w:r>
                </w:p>
              </w:tc>
              <w:tc>
                <w:tcPr>
                  <w:tcW w:w="6627" w:type="dxa"/>
                  <w:vAlign w:val="center"/>
                </w:tcPr>
                <w:p w14:paraId="078B2349">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lang w:val="en-US" w:eastAsia="zh-CN"/>
                    </w:rPr>
                    <w:t>本项目发生的主要风险问题是化学品、危险固废泄漏，</w:t>
                  </w:r>
                  <w:r>
                    <w:rPr>
                      <w:rFonts w:hint="default" w:ascii="Times New Roman" w:hAnsi="Times New Roman" w:eastAsia="宋体" w:cs="Times New Roman"/>
                      <w:color w:val="0000FF"/>
                      <w:szCs w:val="21"/>
                      <w:lang w:val="en-US" w:eastAsia="zh-CN"/>
                    </w:rPr>
                    <w:t>以及废水、废气超标排放</w:t>
                  </w:r>
                  <w:r>
                    <w:rPr>
                      <w:rFonts w:hint="default" w:ascii="Times New Roman" w:hAnsi="Times New Roman" w:eastAsia="宋体" w:cs="Times New Roman"/>
                      <w:color w:val="0000FF"/>
                      <w:szCs w:val="21"/>
                    </w:rPr>
                    <w:t>对周围大气环境的影响</w:t>
                  </w:r>
                </w:p>
              </w:tc>
            </w:tr>
            <w:tr w14:paraId="1A3A74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1559" w:type="dxa"/>
                  <w:vAlign w:val="center"/>
                </w:tcPr>
                <w:p w14:paraId="379D93F9">
                  <w:pPr>
                    <w:keepNext w:val="0"/>
                    <w:keepLines w:val="0"/>
                    <w:suppressLineNumbers w:val="0"/>
                    <w:spacing w:before="0" w:beforeAutospacing="0" w:after="0" w:afterAutospacing="0"/>
                    <w:ind w:left="0" w:right="0"/>
                    <w:jc w:val="center"/>
                    <w:rPr>
                      <w:rFonts w:hint="default" w:ascii="Times New Roman" w:hAnsi="Times New Roman" w:eastAsia="宋体" w:cs="Times New Roman"/>
                      <w:b/>
                      <w:bCs/>
                      <w:color w:val="auto"/>
                      <w:szCs w:val="21"/>
                    </w:rPr>
                  </w:pPr>
                  <w:r>
                    <w:rPr>
                      <w:rFonts w:hint="default" w:ascii="Times New Roman" w:hAnsi="Times New Roman" w:eastAsia="宋体" w:cs="Times New Roman"/>
                      <w:b/>
                      <w:bCs/>
                      <w:color w:val="auto"/>
                      <w:szCs w:val="21"/>
                    </w:rPr>
                    <w:t>风险防范措施要求</w:t>
                  </w:r>
                </w:p>
              </w:tc>
              <w:tc>
                <w:tcPr>
                  <w:tcW w:w="6627" w:type="dxa"/>
                  <w:vAlign w:val="center"/>
                </w:tcPr>
                <w:p w14:paraId="55C621F4">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lang w:val="en-US" w:eastAsia="zh-CN"/>
                    </w:rPr>
                  </w:pPr>
                  <w:r>
                    <w:rPr>
                      <w:rFonts w:hint="eastAsia" w:ascii="Times New Roman" w:hAnsi="Times New Roman" w:eastAsia="宋体" w:cs="Times New Roman"/>
                      <w:color w:val="auto"/>
                      <w:szCs w:val="21"/>
                      <w:lang w:val="en-US" w:eastAsia="zh-CN"/>
                    </w:rPr>
                    <w:t>A、</w:t>
                  </w:r>
                  <w:r>
                    <w:rPr>
                      <w:rFonts w:hint="default" w:ascii="Times New Roman" w:hAnsi="Times New Roman" w:eastAsia="宋体" w:cs="Times New Roman"/>
                      <w:color w:val="auto"/>
                      <w:szCs w:val="21"/>
                      <w:lang w:val="en-US" w:eastAsia="zh-CN"/>
                    </w:rPr>
                    <w:t>泄漏事故风险防范措施B、火灾爆炸事故风险防范措施</w:t>
                  </w:r>
                </w:p>
                <w:p w14:paraId="4B7F3629">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lang w:val="en-US" w:eastAsia="zh-CN"/>
                    </w:rPr>
                    <w:t>C、物料贮存风险防范措施D、环保设施风险防范措施</w:t>
                  </w:r>
                </w:p>
              </w:tc>
            </w:tr>
            <w:tr w14:paraId="59C093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1559" w:type="dxa"/>
                  <w:shd w:val="clear" w:color="auto" w:fill="auto"/>
                  <w:vAlign w:val="center"/>
                </w:tcPr>
                <w:p w14:paraId="6C00DE41">
                  <w:pPr>
                    <w:keepNext w:val="0"/>
                    <w:keepLines w:val="0"/>
                    <w:widowControl w:val="0"/>
                    <w:suppressLineNumbers w:val="0"/>
                    <w:spacing w:before="0" w:beforeAutospacing="0" w:after="0" w:afterAutospacing="0"/>
                    <w:ind w:left="0" w:right="0"/>
                    <w:jc w:val="center"/>
                    <w:rPr>
                      <w:rFonts w:hint="default" w:ascii="Times New Roman" w:hAnsi="Times New Roman" w:eastAsia="宋体" w:cs="Times New Roman"/>
                      <w:b/>
                      <w:bCs/>
                      <w:color w:val="auto"/>
                      <w:kern w:val="2"/>
                      <w:sz w:val="21"/>
                      <w:szCs w:val="21"/>
                      <w:highlight w:val="none"/>
                    </w:rPr>
                  </w:pPr>
                  <w:r>
                    <w:rPr>
                      <w:rFonts w:hint="eastAsia" w:ascii="宋体" w:hAnsi="宋体" w:eastAsia="宋体" w:cs="宋体"/>
                      <w:b/>
                      <w:bCs/>
                      <w:color w:val="auto"/>
                      <w:kern w:val="2"/>
                      <w:sz w:val="21"/>
                      <w:szCs w:val="21"/>
                      <w:highlight w:val="none"/>
                      <w:lang w:val="en-US" w:eastAsia="zh-CN" w:bidi="ar"/>
                    </w:rPr>
                    <w:t>填报说明</w:t>
                  </w:r>
                </w:p>
                <w:p w14:paraId="63F197B6">
                  <w:pPr>
                    <w:keepNext w:val="0"/>
                    <w:keepLines w:val="0"/>
                    <w:widowControl w:val="0"/>
                    <w:suppressLineNumbers w:val="0"/>
                    <w:spacing w:before="0" w:beforeAutospacing="0" w:after="0" w:afterAutospacing="0"/>
                    <w:ind w:left="0" w:leftChars="0" w:right="0" w:rightChars="0"/>
                    <w:jc w:val="center"/>
                    <w:rPr>
                      <w:rFonts w:hint="default" w:ascii="Times New Roman" w:hAnsi="Times New Roman" w:eastAsia="宋体" w:cs="Times New Roman"/>
                      <w:b/>
                      <w:bCs/>
                      <w:color w:val="auto"/>
                      <w:kern w:val="2"/>
                      <w:sz w:val="21"/>
                      <w:szCs w:val="21"/>
                      <w:highlight w:val="none"/>
                      <w:lang w:val="en-US" w:eastAsia="zh-CN" w:bidi="ar-SA"/>
                    </w:rPr>
                  </w:pPr>
                  <w:r>
                    <w:rPr>
                      <w:rFonts w:hint="eastAsia" w:ascii="宋体" w:hAnsi="宋体" w:eastAsia="宋体" w:cs="宋体"/>
                      <w:b/>
                      <w:bCs/>
                      <w:color w:val="auto"/>
                      <w:kern w:val="2"/>
                      <w:sz w:val="21"/>
                      <w:szCs w:val="21"/>
                      <w:highlight w:val="none"/>
                      <w:lang w:val="en-US" w:eastAsia="zh-CN" w:bidi="ar"/>
                    </w:rPr>
                    <w:t>（列出项目相关信息及评价说明）</w:t>
                  </w:r>
                </w:p>
              </w:tc>
              <w:tc>
                <w:tcPr>
                  <w:tcW w:w="6627" w:type="dxa"/>
                  <w:shd w:val="clear" w:color="auto" w:fill="auto"/>
                  <w:vAlign w:val="center"/>
                </w:tcPr>
                <w:p w14:paraId="4EB8E762">
                  <w:pPr>
                    <w:keepNext w:val="0"/>
                    <w:keepLines w:val="0"/>
                    <w:widowControl w:val="0"/>
                    <w:suppressLineNumbers w:val="0"/>
                    <w:spacing w:before="0" w:beforeAutospacing="0" w:after="0" w:afterAutospacing="0"/>
                    <w:ind w:left="0" w:leftChars="0" w:right="0" w:rightChars="0"/>
                    <w:jc w:val="center"/>
                    <w:rPr>
                      <w:rFonts w:hint="default" w:ascii="Times New Roman" w:hAnsi="Times New Roman" w:eastAsia="宋体" w:cs="Times New Roman"/>
                      <w:color w:val="auto"/>
                      <w:kern w:val="2"/>
                      <w:sz w:val="21"/>
                      <w:szCs w:val="21"/>
                      <w:highlight w:val="none"/>
                      <w:lang w:val="en-US" w:eastAsia="zh-CN" w:bidi="ar-SA"/>
                    </w:rPr>
                  </w:pPr>
                  <w:r>
                    <w:rPr>
                      <w:rFonts w:hint="eastAsia" w:ascii="宋体" w:hAnsi="宋体" w:eastAsia="宋体" w:cs="宋体"/>
                      <w:color w:val="auto"/>
                      <w:kern w:val="2"/>
                      <w:sz w:val="21"/>
                      <w:szCs w:val="21"/>
                      <w:highlight w:val="none"/>
                      <w:lang w:val="en-US" w:eastAsia="zh-CN" w:bidi="ar"/>
                    </w:rPr>
                    <w:t>项目风险评价等级简单分析</w:t>
                  </w:r>
                  <w:r>
                    <w:rPr>
                      <w:rFonts w:hint="default" w:ascii="Times New Roman" w:hAnsi="Times New Roman" w:eastAsia="宋体" w:cs="Times New Roman"/>
                      <w:color w:val="auto"/>
                      <w:kern w:val="2"/>
                      <w:sz w:val="21"/>
                      <w:szCs w:val="21"/>
                      <w:highlight w:val="none"/>
                      <w:lang w:val="en-US" w:eastAsia="zh-CN" w:bidi="ar"/>
                    </w:rPr>
                    <w:t>a</w:t>
                  </w:r>
                </w:p>
              </w:tc>
            </w:tr>
          </w:tbl>
          <w:p w14:paraId="1FBDD23F">
            <w:pPr>
              <w:keepNext w:val="0"/>
              <w:keepLines w:val="0"/>
              <w:widowControl w:val="0"/>
              <w:suppressLineNumbers w:val="0"/>
              <w:spacing w:before="0" w:beforeAutospacing="0" w:after="0" w:afterAutospacing="0" w:line="360" w:lineRule="auto"/>
              <w:ind w:left="420" w:leftChars="200" w:right="0" w:rightChars="0"/>
              <w:jc w:val="both"/>
              <w:rPr>
                <w:rFonts w:hint="default" w:ascii="Times New Roman" w:hAnsi="Times New Roman" w:eastAsia="宋体" w:cs="Times New Roman"/>
                <w:color w:val="auto"/>
                <w:kern w:val="2"/>
                <w:sz w:val="24"/>
                <w:szCs w:val="24"/>
              </w:rPr>
            </w:pPr>
            <w:r>
              <w:rPr>
                <w:rFonts w:hint="eastAsia" w:ascii="宋体" w:hAnsi="宋体" w:eastAsia="宋体" w:cs="宋体"/>
                <w:color w:val="auto"/>
                <w:kern w:val="2"/>
                <w:sz w:val="24"/>
                <w:szCs w:val="24"/>
                <w:lang w:val="en-US" w:eastAsia="zh-CN" w:bidi="ar"/>
              </w:rPr>
              <w:t>（</w:t>
            </w:r>
            <w:r>
              <w:rPr>
                <w:rFonts w:hint="default" w:ascii="Times New Roman" w:hAnsi="Times New Roman" w:eastAsia="宋体" w:cs="Times New Roman"/>
                <w:color w:val="auto"/>
                <w:kern w:val="2"/>
                <w:sz w:val="24"/>
                <w:szCs w:val="24"/>
                <w:lang w:val="en-US" w:eastAsia="zh-CN" w:bidi="ar"/>
              </w:rPr>
              <w:t>6</w:t>
            </w:r>
            <w:r>
              <w:rPr>
                <w:rFonts w:hint="eastAsia" w:ascii="宋体" w:hAnsi="宋体" w:eastAsia="宋体" w:cs="宋体"/>
                <w:color w:val="auto"/>
                <w:kern w:val="2"/>
                <w:sz w:val="24"/>
                <w:szCs w:val="24"/>
                <w:lang w:val="en-US" w:eastAsia="zh-CN" w:bidi="ar"/>
              </w:rPr>
              <w:t>）应急预案编制要求</w:t>
            </w:r>
          </w:p>
          <w:p w14:paraId="1C57F9FE">
            <w:pPr>
              <w:keepNext w:val="0"/>
              <w:keepLines w:val="0"/>
              <w:widowControl w:val="0"/>
              <w:suppressLineNumbers w:val="0"/>
              <w:spacing w:before="0" w:beforeAutospacing="0" w:after="0" w:afterAutospacing="0" w:line="360" w:lineRule="auto"/>
              <w:ind w:left="0" w:right="0" w:rightChars="0" w:firstLine="480" w:firstLineChars="200"/>
              <w:jc w:val="both"/>
              <w:rPr>
                <w:rFonts w:hint="default" w:ascii="Times New Roman" w:hAnsi="Times New Roman" w:eastAsia="宋体" w:cs="Times New Roman"/>
                <w:b w:val="0"/>
                <w:color w:val="auto"/>
                <w:kern w:val="2"/>
                <w:sz w:val="24"/>
                <w:szCs w:val="24"/>
              </w:rPr>
            </w:pPr>
            <w:r>
              <w:rPr>
                <w:rFonts w:hint="eastAsia" w:ascii="宋体" w:hAnsi="宋体" w:eastAsia="宋体" w:cs="宋体"/>
                <w:b w:val="0"/>
                <w:color w:val="auto"/>
                <w:kern w:val="2"/>
                <w:sz w:val="24"/>
                <w:szCs w:val="24"/>
                <w:lang w:val="en-US" w:eastAsia="zh-CN" w:bidi="ar"/>
              </w:rPr>
              <w:t>本项目应衔接好突发生态环境事件应急预案的更新和备案工作。同时应配备满足要求的环境风险防范措施和应急设施，定期开展演练，进一步降低事故发生概率及可能造成危害。</w:t>
            </w:r>
          </w:p>
          <w:p w14:paraId="3B7464AD">
            <w:pPr>
              <w:keepNext w:val="0"/>
              <w:keepLines w:val="0"/>
              <w:widowControl w:val="0"/>
              <w:suppressLineNumbers w:val="0"/>
              <w:spacing w:before="0" w:beforeAutospacing="0" w:after="0" w:afterAutospacing="0" w:line="360" w:lineRule="auto"/>
              <w:ind w:left="420" w:leftChars="200" w:right="0" w:rightChars="0"/>
              <w:jc w:val="both"/>
              <w:rPr>
                <w:rFonts w:hint="default" w:ascii="Times New Roman" w:hAnsi="Times New Roman" w:eastAsia="宋体" w:cs="Times New Roman"/>
                <w:color w:val="auto"/>
                <w:kern w:val="2"/>
                <w:sz w:val="24"/>
                <w:szCs w:val="24"/>
              </w:rPr>
            </w:pPr>
            <w:r>
              <w:rPr>
                <w:rFonts w:hint="eastAsia" w:ascii="宋体" w:hAnsi="宋体" w:eastAsia="宋体" w:cs="宋体"/>
                <w:color w:val="auto"/>
                <w:kern w:val="2"/>
                <w:sz w:val="24"/>
                <w:szCs w:val="24"/>
                <w:lang w:val="en-US" w:eastAsia="zh-CN" w:bidi="ar"/>
              </w:rPr>
              <w:t>（</w:t>
            </w:r>
            <w:r>
              <w:rPr>
                <w:rFonts w:hint="default" w:ascii="Times New Roman" w:hAnsi="Times New Roman" w:eastAsia="宋体" w:cs="Times New Roman"/>
                <w:color w:val="auto"/>
                <w:kern w:val="2"/>
                <w:sz w:val="24"/>
                <w:szCs w:val="24"/>
                <w:lang w:val="en-US" w:eastAsia="zh-CN" w:bidi="ar"/>
              </w:rPr>
              <w:t>7</w:t>
            </w:r>
            <w:r>
              <w:rPr>
                <w:rFonts w:hint="eastAsia" w:ascii="宋体" w:hAnsi="宋体" w:eastAsia="宋体" w:cs="宋体"/>
                <w:color w:val="auto"/>
                <w:kern w:val="2"/>
                <w:sz w:val="24"/>
                <w:szCs w:val="24"/>
                <w:lang w:val="en-US" w:eastAsia="zh-CN" w:bidi="ar"/>
              </w:rPr>
              <w:t>）风险评价结论</w:t>
            </w:r>
          </w:p>
          <w:p w14:paraId="72BFE5EC">
            <w:pPr>
              <w:keepNext w:val="0"/>
              <w:keepLines w:val="0"/>
              <w:widowControl w:val="0"/>
              <w:suppressLineNumbers w:val="0"/>
              <w:spacing w:before="0" w:beforeAutospacing="0" w:after="0" w:afterAutospacing="0" w:line="360" w:lineRule="auto"/>
              <w:ind w:left="0" w:right="0" w:rightChars="0" w:firstLine="480" w:firstLineChars="200"/>
              <w:jc w:val="both"/>
              <w:rPr>
                <w:rFonts w:hint="default" w:ascii="Times New Roman" w:hAnsi="Times New Roman" w:eastAsia="宋体" w:cs="Times New Roman"/>
                <w:color w:val="auto"/>
                <w:kern w:val="2"/>
                <w:sz w:val="24"/>
                <w:szCs w:val="24"/>
              </w:rPr>
            </w:pPr>
            <w:r>
              <w:rPr>
                <w:rFonts w:hint="eastAsia" w:ascii="宋体" w:hAnsi="宋体" w:eastAsia="宋体" w:cs="宋体"/>
                <w:color w:val="auto"/>
                <w:kern w:val="2"/>
                <w:sz w:val="24"/>
                <w:szCs w:val="24"/>
                <w:lang w:val="en-US" w:eastAsia="zh-CN" w:bidi="ar"/>
              </w:rPr>
              <w:t>建设单位应按相关规定建设和完善消防设施，加强员工的思想教育工作和安全生产意识，加强车间管理，定期检查，消除安全隐患，以保证其正常工作。采取以上措施后，一般可认为各种事故发生的概率很小，环境风险可以接受。</w:t>
            </w:r>
          </w:p>
          <w:p w14:paraId="61680979">
            <w:pPr>
              <w:keepNext w:val="0"/>
              <w:keepLines w:val="0"/>
              <w:widowControl w:val="0"/>
              <w:suppressLineNumbers w:val="0"/>
              <w:spacing w:before="0" w:beforeAutospacing="0" w:after="0" w:afterAutospacing="0" w:line="360" w:lineRule="auto"/>
              <w:ind w:left="0" w:right="0"/>
              <w:jc w:val="both"/>
              <w:rPr>
                <w:rFonts w:hint="default" w:ascii="Times New Roman" w:hAnsi="Times New Roman" w:eastAsia="宋体" w:cs="Times New Roman"/>
                <w:b/>
                <w:bCs/>
                <w:color w:val="auto"/>
                <w:kern w:val="2"/>
                <w:sz w:val="24"/>
                <w:szCs w:val="24"/>
              </w:rPr>
            </w:pPr>
            <w:r>
              <w:rPr>
                <w:rFonts w:hint="default" w:ascii="Times New Roman" w:hAnsi="Times New Roman" w:eastAsia="宋体" w:cs="Times New Roman"/>
                <w:b/>
                <w:bCs/>
                <w:color w:val="auto"/>
                <w:kern w:val="2"/>
                <w:sz w:val="24"/>
                <w:szCs w:val="24"/>
                <w:lang w:val="en-US" w:eastAsia="zh-CN" w:bidi="ar"/>
              </w:rPr>
              <w:t>4.2.8</w:t>
            </w:r>
            <w:r>
              <w:rPr>
                <w:rFonts w:hint="eastAsia" w:ascii="宋体" w:hAnsi="宋体" w:eastAsia="宋体" w:cs="宋体"/>
                <w:b/>
                <w:bCs/>
                <w:color w:val="auto"/>
                <w:kern w:val="2"/>
                <w:sz w:val="24"/>
                <w:szCs w:val="24"/>
                <w:lang w:val="en-US" w:eastAsia="zh-CN" w:bidi="ar"/>
              </w:rPr>
              <w:t>环保投资</w:t>
            </w:r>
          </w:p>
          <w:p w14:paraId="1B9B00EA">
            <w:pPr>
              <w:keepNext w:val="0"/>
              <w:keepLines w:val="0"/>
              <w:widowControl w:val="0"/>
              <w:suppressLineNumbers w:val="0"/>
              <w:spacing w:before="0" w:beforeAutospacing="0" w:after="0" w:afterAutospacing="0" w:line="360" w:lineRule="auto"/>
              <w:ind w:left="0" w:right="0" w:firstLine="480" w:firstLineChars="200"/>
              <w:jc w:val="both"/>
              <w:rPr>
                <w:rFonts w:hint="default" w:ascii="Times New Roman" w:hAnsi="Times New Roman" w:eastAsia="宋体" w:cs="Times New Roman"/>
                <w:color w:val="auto"/>
                <w:kern w:val="2"/>
                <w:sz w:val="24"/>
                <w:szCs w:val="24"/>
              </w:rPr>
            </w:pPr>
            <w:r>
              <w:rPr>
                <w:rFonts w:hint="eastAsia" w:ascii="宋体" w:hAnsi="宋体" w:eastAsia="宋体" w:cs="宋体"/>
                <w:color w:val="auto"/>
                <w:kern w:val="2"/>
                <w:sz w:val="24"/>
                <w:szCs w:val="24"/>
                <w:lang w:val="en-US" w:eastAsia="zh-CN" w:bidi="ar"/>
              </w:rPr>
              <w:t>本项目环保投资估算</w:t>
            </w:r>
            <w:r>
              <w:rPr>
                <w:rFonts w:hint="eastAsia" w:ascii="Times New Roman" w:hAnsi="Times New Roman" w:eastAsia="宋体" w:cs="Times New Roman"/>
                <w:color w:val="0000E1"/>
                <w:kern w:val="2"/>
                <w:sz w:val="24"/>
                <w:szCs w:val="24"/>
                <w:lang w:val="en-US" w:eastAsia="zh-CN" w:bidi="ar"/>
              </w:rPr>
              <w:t>47</w:t>
            </w:r>
            <w:r>
              <w:rPr>
                <w:rFonts w:hint="eastAsia" w:ascii="宋体" w:hAnsi="宋体" w:eastAsia="宋体" w:cs="宋体"/>
                <w:color w:val="0000E1"/>
                <w:kern w:val="2"/>
                <w:sz w:val="24"/>
                <w:szCs w:val="24"/>
                <w:lang w:val="en-US" w:eastAsia="zh-CN" w:bidi="ar"/>
              </w:rPr>
              <w:t>万元</w:t>
            </w:r>
            <w:r>
              <w:rPr>
                <w:rFonts w:hint="eastAsia" w:ascii="宋体" w:hAnsi="宋体" w:eastAsia="宋体" w:cs="宋体"/>
                <w:color w:val="auto"/>
                <w:kern w:val="2"/>
                <w:sz w:val="24"/>
                <w:szCs w:val="24"/>
                <w:lang w:val="en-US" w:eastAsia="zh-CN" w:bidi="ar"/>
              </w:rPr>
              <w:t>，约占其总投资的</w:t>
            </w:r>
            <w:r>
              <w:rPr>
                <w:rFonts w:hint="eastAsia" w:ascii="Times New Roman" w:hAnsi="Times New Roman" w:eastAsia="宋体" w:cs="Times New Roman"/>
                <w:color w:val="0000E1"/>
                <w:kern w:val="2"/>
                <w:sz w:val="24"/>
                <w:szCs w:val="24"/>
                <w:lang w:val="en-US" w:eastAsia="zh-CN" w:bidi="ar"/>
              </w:rPr>
              <w:t>0.94</w:t>
            </w:r>
            <w:r>
              <w:rPr>
                <w:rFonts w:hint="default" w:ascii="Times New Roman" w:hAnsi="Times New Roman" w:eastAsia="宋体" w:cs="Times New Roman"/>
                <w:color w:val="0000E1"/>
                <w:kern w:val="2"/>
                <w:sz w:val="24"/>
                <w:szCs w:val="24"/>
                <w:lang w:val="en-US" w:eastAsia="zh-CN" w:bidi="ar"/>
              </w:rPr>
              <w:t>%</w:t>
            </w:r>
            <w:r>
              <w:rPr>
                <w:rFonts w:hint="eastAsia" w:ascii="宋体" w:hAnsi="宋体" w:eastAsia="宋体" w:cs="宋体"/>
                <w:color w:val="auto"/>
                <w:kern w:val="2"/>
                <w:sz w:val="24"/>
                <w:szCs w:val="24"/>
                <w:lang w:val="en-US" w:eastAsia="zh-CN" w:bidi="ar"/>
              </w:rPr>
              <w:t>，环保投资估算具体见下表。</w:t>
            </w:r>
          </w:p>
          <w:p w14:paraId="7DB258CE">
            <w:pPr>
              <w:keepNext w:val="0"/>
              <w:keepLines w:val="0"/>
              <w:widowControl w:val="0"/>
              <w:suppressLineNumbers w:val="0"/>
              <w:spacing w:before="0" w:beforeAutospacing="0" w:after="0" w:afterAutospacing="0"/>
              <w:ind w:left="0" w:right="0"/>
              <w:jc w:val="center"/>
              <w:rPr>
                <w:rFonts w:hint="default" w:ascii="Times New Roman" w:hAnsi="Times New Roman" w:eastAsia="宋体" w:cs="Times New Roman"/>
                <w:b/>
                <w:bCs/>
                <w:color w:val="auto"/>
                <w:kern w:val="2"/>
                <w:sz w:val="21"/>
                <w:szCs w:val="21"/>
              </w:rPr>
            </w:pPr>
            <w:r>
              <w:rPr>
                <w:rFonts w:hint="eastAsia" w:ascii="宋体" w:hAnsi="宋体" w:eastAsia="宋体" w:cs="宋体"/>
                <w:b/>
                <w:bCs/>
                <w:color w:val="auto"/>
                <w:kern w:val="2"/>
                <w:sz w:val="21"/>
                <w:szCs w:val="21"/>
                <w:lang w:val="en-US" w:eastAsia="zh-CN" w:bidi="ar"/>
              </w:rPr>
              <w:t>表</w:t>
            </w:r>
            <w:r>
              <w:rPr>
                <w:rFonts w:hint="default" w:ascii="Times New Roman" w:hAnsi="Times New Roman" w:eastAsia="宋体" w:cs="Times New Roman"/>
                <w:b/>
                <w:bCs/>
                <w:color w:val="auto"/>
                <w:kern w:val="2"/>
                <w:sz w:val="21"/>
                <w:szCs w:val="21"/>
                <w:lang w:val="en-US" w:eastAsia="zh-CN" w:bidi="ar"/>
              </w:rPr>
              <w:t>4-</w:t>
            </w:r>
            <w:r>
              <w:rPr>
                <w:rFonts w:hint="eastAsia" w:ascii="Times New Roman" w:hAnsi="Times New Roman" w:eastAsia="宋体" w:cs="Times New Roman"/>
                <w:b/>
                <w:bCs/>
                <w:color w:val="auto"/>
                <w:kern w:val="2"/>
                <w:sz w:val="21"/>
                <w:szCs w:val="21"/>
                <w:lang w:val="en-US" w:eastAsia="zh-CN" w:bidi="ar"/>
              </w:rPr>
              <w:t>33</w:t>
            </w:r>
            <w:r>
              <w:rPr>
                <w:rFonts w:hint="default" w:ascii="Times New Roman" w:hAnsi="Times New Roman" w:eastAsia="宋体" w:cs="Times New Roman"/>
                <w:b/>
                <w:bCs/>
                <w:color w:val="auto"/>
                <w:kern w:val="2"/>
                <w:sz w:val="21"/>
                <w:szCs w:val="21"/>
                <w:lang w:val="en-US" w:eastAsia="zh-CN" w:bidi="ar"/>
              </w:rPr>
              <w:t xml:space="preserve">  </w:t>
            </w:r>
            <w:r>
              <w:rPr>
                <w:rFonts w:hint="eastAsia" w:ascii="宋体" w:hAnsi="宋体" w:eastAsia="宋体" w:cs="宋体"/>
                <w:b/>
                <w:bCs/>
                <w:color w:val="auto"/>
                <w:kern w:val="2"/>
                <w:sz w:val="21"/>
                <w:szCs w:val="21"/>
                <w:lang w:val="en-US" w:eastAsia="zh-CN" w:bidi="ar"/>
              </w:rPr>
              <w:t>环保工程投资估算表</w:t>
            </w:r>
          </w:p>
          <w:tbl>
            <w:tblPr>
              <w:tblStyle w:val="22"/>
              <w:tblW w:w="8347"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Layout w:type="fixed"/>
              <w:tblCellMar>
                <w:top w:w="0" w:type="dxa"/>
                <w:left w:w="108" w:type="dxa"/>
                <w:bottom w:w="0" w:type="dxa"/>
                <w:right w:w="108" w:type="dxa"/>
              </w:tblCellMar>
            </w:tblPr>
            <w:tblGrid>
              <w:gridCol w:w="380"/>
              <w:gridCol w:w="795"/>
              <w:gridCol w:w="2260"/>
              <w:gridCol w:w="3844"/>
              <w:gridCol w:w="1068"/>
            </w:tblGrid>
            <w:tr w14:paraId="0181FB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397" w:hRule="atLeast"/>
                <w:jc w:val="center"/>
              </w:trPr>
              <w:tc>
                <w:tcPr>
                  <w:tcW w:w="1175" w:type="dxa"/>
                  <w:gridSpan w:val="2"/>
                  <w:tcBorders>
                    <w:top w:val="single" w:color="auto" w:sz="4" w:space="0"/>
                    <w:left w:val="single" w:color="auto" w:sz="4" w:space="0"/>
                    <w:bottom w:val="single" w:color="auto" w:sz="4" w:space="0"/>
                    <w:right w:val="single" w:color="auto" w:sz="4" w:space="0"/>
                  </w:tcBorders>
                  <w:shd w:val="clear" w:color="auto" w:fill="auto"/>
                  <w:noWrap/>
                  <w:vAlign w:val="center"/>
                </w:tcPr>
                <w:p w14:paraId="05056B63">
                  <w:pPr>
                    <w:keepNext w:val="0"/>
                    <w:keepLines w:val="0"/>
                    <w:widowControl w:val="0"/>
                    <w:suppressLineNumbers w:val="0"/>
                    <w:spacing w:before="0" w:beforeAutospacing="0" w:after="0" w:afterAutospacing="0"/>
                    <w:ind w:left="0" w:right="0"/>
                    <w:jc w:val="center"/>
                    <w:rPr>
                      <w:rFonts w:hint="default" w:ascii="Times New Roman" w:hAnsi="Times New Roman" w:eastAsia="宋体" w:cs="Times New Roman"/>
                      <w:b/>
                      <w:bCs/>
                      <w:color w:val="auto"/>
                      <w:kern w:val="2"/>
                      <w:sz w:val="21"/>
                      <w:szCs w:val="21"/>
                    </w:rPr>
                  </w:pPr>
                  <w:r>
                    <w:rPr>
                      <w:rFonts w:hint="eastAsia" w:ascii="宋体" w:hAnsi="宋体" w:eastAsia="宋体" w:cs="宋体"/>
                      <w:b/>
                      <w:bCs/>
                      <w:color w:val="auto"/>
                      <w:kern w:val="2"/>
                      <w:sz w:val="21"/>
                      <w:szCs w:val="21"/>
                      <w:lang w:val="en-US" w:eastAsia="zh-CN" w:bidi="ar"/>
                    </w:rPr>
                    <w:t>类别</w:t>
                  </w:r>
                </w:p>
              </w:tc>
              <w:tc>
                <w:tcPr>
                  <w:tcW w:w="6104" w:type="dxa"/>
                  <w:gridSpan w:val="2"/>
                  <w:tcBorders>
                    <w:top w:val="single" w:color="auto" w:sz="4" w:space="0"/>
                    <w:left w:val="single" w:color="auto" w:sz="4" w:space="0"/>
                    <w:bottom w:val="single" w:color="auto" w:sz="4" w:space="0"/>
                    <w:right w:val="single" w:color="auto" w:sz="4" w:space="0"/>
                  </w:tcBorders>
                  <w:shd w:val="clear" w:color="auto" w:fill="auto"/>
                  <w:noWrap/>
                  <w:vAlign w:val="center"/>
                </w:tcPr>
                <w:p w14:paraId="5F8D3ADB">
                  <w:pPr>
                    <w:keepNext w:val="0"/>
                    <w:keepLines w:val="0"/>
                    <w:widowControl w:val="0"/>
                    <w:suppressLineNumbers w:val="0"/>
                    <w:spacing w:before="0" w:beforeAutospacing="0" w:after="0" w:afterAutospacing="0"/>
                    <w:ind w:left="0" w:right="0"/>
                    <w:jc w:val="center"/>
                    <w:rPr>
                      <w:rFonts w:hint="default" w:ascii="Times New Roman" w:hAnsi="Times New Roman" w:eastAsia="宋体" w:cs="Times New Roman"/>
                      <w:b/>
                      <w:bCs/>
                      <w:color w:val="auto"/>
                      <w:kern w:val="2"/>
                      <w:sz w:val="21"/>
                      <w:szCs w:val="21"/>
                    </w:rPr>
                  </w:pPr>
                  <w:r>
                    <w:rPr>
                      <w:rFonts w:hint="eastAsia" w:ascii="宋体" w:hAnsi="宋体" w:eastAsia="宋体" w:cs="宋体"/>
                      <w:b/>
                      <w:bCs/>
                      <w:color w:val="auto"/>
                      <w:kern w:val="2"/>
                      <w:sz w:val="21"/>
                      <w:szCs w:val="21"/>
                      <w:lang w:val="en-US" w:eastAsia="zh-CN" w:bidi="ar"/>
                    </w:rPr>
                    <w:t>污染防治设施或措施名称</w:t>
                  </w:r>
                </w:p>
              </w:tc>
              <w:tc>
                <w:tcPr>
                  <w:tcW w:w="1068"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683FDD0">
                  <w:pPr>
                    <w:keepNext w:val="0"/>
                    <w:keepLines w:val="0"/>
                    <w:widowControl w:val="0"/>
                    <w:suppressLineNumbers w:val="0"/>
                    <w:spacing w:before="0" w:beforeAutospacing="0" w:after="0" w:afterAutospacing="0"/>
                    <w:ind w:left="0" w:right="0"/>
                    <w:jc w:val="center"/>
                    <w:rPr>
                      <w:rFonts w:hint="default" w:ascii="Times New Roman" w:hAnsi="Times New Roman" w:eastAsia="宋体" w:cs="Times New Roman"/>
                      <w:b/>
                      <w:bCs/>
                      <w:color w:val="auto"/>
                      <w:kern w:val="2"/>
                      <w:sz w:val="21"/>
                      <w:szCs w:val="21"/>
                    </w:rPr>
                  </w:pPr>
                  <w:r>
                    <w:rPr>
                      <w:rFonts w:hint="eastAsia" w:ascii="宋体" w:hAnsi="宋体" w:eastAsia="宋体" w:cs="宋体"/>
                      <w:b/>
                      <w:bCs/>
                      <w:color w:val="auto"/>
                      <w:kern w:val="2"/>
                      <w:sz w:val="21"/>
                      <w:szCs w:val="21"/>
                      <w:lang w:val="en-US" w:eastAsia="zh-CN" w:bidi="ar"/>
                    </w:rPr>
                    <w:t>投资估算</w:t>
                  </w:r>
                </w:p>
              </w:tc>
            </w:tr>
            <w:tr w14:paraId="35CCD6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317" w:hRule="atLeast"/>
                <w:jc w:val="center"/>
              </w:trPr>
              <w:tc>
                <w:tcPr>
                  <w:tcW w:w="380" w:type="dxa"/>
                  <w:vMerge w:val="restart"/>
                  <w:tcBorders>
                    <w:top w:val="nil"/>
                    <w:left w:val="single" w:color="auto" w:sz="4" w:space="0"/>
                    <w:bottom w:val="single" w:color="auto" w:sz="4" w:space="0"/>
                    <w:right w:val="single" w:color="auto" w:sz="4" w:space="0"/>
                  </w:tcBorders>
                  <w:shd w:val="clear" w:color="auto" w:fill="auto"/>
                  <w:noWrap/>
                  <w:vAlign w:val="center"/>
                </w:tcPr>
                <w:p w14:paraId="395B3653">
                  <w:pPr>
                    <w:keepNext w:val="0"/>
                    <w:keepLines w:val="0"/>
                    <w:widowControl w:val="0"/>
                    <w:suppressLineNumbers w:val="0"/>
                    <w:spacing w:before="0" w:beforeAutospacing="0" w:after="0" w:afterAutospacing="0"/>
                    <w:ind w:left="0" w:right="0"/>
                    <w:jc w:val="center"/>
                    <w:rPr>
                      <w:rFonts w:hint="default" w:ascii="Times New Roman" w:hAnsi="Times New Roman" w:eastAsia="宋体" w:cs="Times New Roman"/>
                      <w:color w:val="auto"/>
                      <w:kern w:val="2"/>
                      <w:sz w:val="21"/>
                      <w:szCs w:val="21"/>
                    </w:rPr>
                  </w:pPr>
                  <w:r>
                    <w:rPr>
                      <w:rFonts w:hint="eastAsia" w:ascii="宋体" w:hAnsi="宋体" w:eastAsia="宋体" w:cs="宋体"/>
                      <w:color w:val="auto"/>
                      <w:kern w:val="2"/>
                      <w:sz w:val="21"/>
                      <w:szCs w:val="21"/>
                      <w:lang w:val="en-US" w:eastAsia="zh-CN" w:bidi="ar"/>
                    </w:rPr>
                    <w:t>营运期</w:t>
                  </w:r>
                </w:p>
              </w:tc>
              <w:tc>
                <w:tcPr>
                  <w:tcW w:w="795" w:type="dxa"/>
                  <w:vMerge w:val="restart"/>
                  <w:tcBorders>
                    <w:top w:val="nil"/>
                    <w:left w:val="single" w:color="auto" w:sz="4" w:space="0"/>
                    <w:bottom w:val="single" w:color="auto" w:sz="4" w:space="0"/>
                    <w:right w:val="single" w:color="auto" w:sz="4" w:space="0"/>
                  </w:tcBorders>
                  <w:shd w:val="clear" w:color="auto" w:fill="auto"/>
                  <w:noWrap/>
                  <w:vAlign w:val="center"/>
                </w:tcPr>
                <w:p w14:paraId="0C423F14">
                  <w:pPr>
                    <w:keepNext w:val="0"/>
                    <w:keepLines w:val="0"/>
                    <w:widowControl w:val="0"/>
                    <w:suppressLineNumbers w:val="0"/>
                    <w:spacing w:before="0" w:beforeAutospacing="0" w:after="0" w:afterAutospacing="0"/>
                    <w:ind w:left="0" w:right="0"/>
                    <w:jc w:val="center"/>
                    <w:rPr>
                      <w:rFonts w:hint="default" w:ascii="Times New Roman" w:hAnsi="Times New Roman" w:eastAsia="宋体" w:cs="Times New Roman"/>
                      <w:color w:val="auto"/>
                      <w:kern w:val="2"/>
                      <w:sz w:val="21"/>
                      <w:szCs w:val="21"/>
                    </w:rPr>
                  </w:pPr>
                  <w:r>
                    <w:rPr>
                      <w:rFonts w:hint="eastAsia" w:ascii="宋体" w:hAnsi="宋体" w:eastAsia="宋体" w:cs="宋体"/>
                      <w:color w:val="auto"/>
                      <w:kern w:val="2"/>
                      <w:sz w:val="21"/>
                      <w:szCs w:val="21"/>
                      <w:lang w:val="en-US" w:eastAsia="zh-CN" w:bidi="ar"/>
                    </w:rPr>
                    <w:t>废气</w:t>
                  </w:r>
                </w:p>
              </w:tc>
              <w:tc>
                <w:tcPr>
                  <w:tcW w:w="226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C2A53F0">
                  <w:pPr>
                    <w:keepNext w:val="0"/>
                    <w:keepLines w:val="0"/>
                    <w:widowControl w:val="0"/>
                    <w:suppressLineNumbers w:val="0"/>
                    <w:spacing w:before="0" w:beforeAutospacing="0" w:after="0" w:afterAutospacing="0"/>
                    <w:ind w:left="0" w:right="0"/>
                    <w:jc w:val="center"/>
                    <w:rPr>
                      <w:rFonts w:hint="default" w:ascii="Times New Roman" w:hAnsi="Times New Roman" w:eastAsia="宋体" w:cs="Times New Roman"/>
                      <w:color w:val="auto"/>
                      <w:kern w:val="2"/>
                      <w:sz w:val="21"/>
                      <w:szCs w:val="21"/>
                    </w:rPr>
                  </w:pPr>
                  <w:r>
                    <w:rPr>
                      <w:rFonts w:hint="eastAsia" w:ascii="宋体" w:hAnsi="宋体" w:eastAsia="宋体" w:cs="宋体"/>
                      <w:color w:val="auto"/>
                      <w:kern w:val="2"/>
                      <w:sz w:val="21"/>
                      <w:szCs w:val="21"/>
                      <w:lang w:val="en-US" w:eastAsia="zh-CN" w:bidi="ar"/>
                    </w:rPr>
                    <w:t>固化废气、背胶废气、辅料成型废气</w:t>
                  </w:r>
                </w:p>
              </w:tc>
              <w:tc>
                <w:tcPr>
                  <w:tcW w:w="3844"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C5B3E81">
                  <w:pPr>
                    <w:keepNext w:val="0"/>
                    <w:keepLines w:val="0"/>
                    <w:widowControl w:val="0"/>
                    <w:suppressLineNumbers w:val="0"/>
                    <w:spacing w:before="0" w:beforeAutospacing="0" w:after="0" w:afterAutospacing="0"/>
                    <w:ind w:left="0" w:leftChars="0" w:right="0" w:rightChars="0"/>
                    <w:jc w:val="center"/>
                    <w:rPr>
                      <w:rFonts w:hint="default" w:ascii="Times New Roman" w:hAnsi="Times New Roman" w:eastAsia="宋体" w:cs="Times New Roman"/>
                      <w:color w:val="auto"/>
                      <w:kern w:val="2"/>
                      <w:sz w:val="21"/>
                      <w:szCs w:val="21"/>
                    </w:rPr>
                  </w:pPr>
                  <w:r>
                    <w:rPr>
                      <w:rFonts w:hint="eastAsia" w:ascii="宋体" w:hAnsi="宋体" w:eastAsia="宋体" w:cs="宋体"/>
                      <w:color w:val="auto"/>
                      <w:kern w:val="2"/>
                      <w:sz w:val="21"/>
                      <w:szCs w:val="21"/>
                      <w:lang w:val="en-US" w:eastAsia="zh-CN" w:bidi="ar"/>
                    </w:rPr>
                    <w:t>集气设施、水喷淋+干式过滤+二级活性炭吸附装置、排气筒及配套辅助设施</w:t>
                  </w:r>
                </w:p>
              </w:tc>
              <w:tc>
                <w:tcPr>
                  <w:tcW w:w="1068"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64A6FE5">
                  <w:pPr>
                    <w:keepNext w:val="0"/>
                    <w:keepLines w:val="0"/>
                    <w:widowControl w:val="0"/>
                    <w:suppressLineNumbers w:val="0"/>
                    <w:spacing w:before="0" w:beforeAutospacing="0" w:after="0" w:afterAutospacing="0"/>
                    <w:ind w:left="0" w:right="0"/>
                    <w:jc w:val="center"/>
                    <w:rPr>
                      <w:rFonts w:hint="eastAsia" w:ascii="Times New Roman" w:hAnsi="Times New Roman" w:eastAsia="宋体" w:cs="Times New Roman"/>
                      <w:color w:val="auto"/>
                      <w:kern w:val="2"/>
                      <w:sz w:val="21"/>
                      <w:szCs w:val="21"/>
                    </w:rPr>
                  </w:pPr>
                  <w:r>
                    <w:rPr>
                      <w:rFonts w:hint="eastAsia" w:ascii="Times New Roman" w:hAnsi="Times New Roman" w:eastAsia="宋体" w:cs="Times New Roman"/>
                      <w:color w:val="0000E1"/>
                      <w:kern w:val="2"/>
                      <w:sz w:val="21"/>
                      <w:szCs w:val="21"/>
                      <w:lang w:val="en-US" w:eastAsia="zh-CN" w:bidi="ar"/>
                    </w:rPr>
                    <w:t>20</w:t>
                  </w:r>
                  <w:r>
                    <w:rPr>
                      <w:rFonts w:hint="default" w:ascii="Times New Roman" w:hAnsi="Times New Roman" w:eastAsia="宋体" w:cs="Times New Roman"/>
                      <w:color w:val="0000E1"/>
                      <w:kern w:val="2"/>
                      <w:sz w:val="21"/>
                      <w:szCs w:val="21"/>
                      <w:lang w:val="en-US" w:eastAsia="zh-CN" w:bidi="ar"/>
                    </w:rPr>
                    <w:t>万元</w:t>
                  </w:r>
                </w:p>
              </w:tc>
            </w:tr>
            <w:tr w14:paraId="36B721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107" w:hRule="atLeast"/>
                <w:jc w:val="center"/>
              </w:trPr>
              <w:tc>
                <w:tcPr>
                  <w:tcW w:w="380" w:type="dxa"/>
                  <w:vMerge w:val="continue"/>
                  <w:tcBorders>
                    <w:top w:val="nil"/>
                    <w:left w:val="single" w:color="auto" w:sz="4" w:space="0"/>
                    <w:bottom w:val="single" w:color="auto" w:sz="4" w:space="0"/>
                    <w:right w:val="single" w:color="auto" w:sz="4" w:space="0"/>
                  </w:tcBorders>
                  <w:shd w:val="clear" w:color="auto" w:fill="auto"/>
                  <w:noWrap/>
                  <w:vAlign w:val="center"/>
                </w:tcPr>
                <w:p w14:paraId="5AA676CE">
                  <w:pPr>
                    <w:keepNext w:val="0"/>
                    <w:keepLines w:val="0"/>
                    <w:suppressLineNumbers w:val="0"/>
                    <w:spacing w:before="0" w:beforeAutospacing="0" w:after="0" w:afterAutospacing="0"/>
                    <w:ind w:left="0" w:right="0"/>
                    <w:rPr>
                      <w:rFonts w:hint="default" w:ascii="Times New Roman" w:hAnsi="Times New Roman" w:cs="Times New Roman"/>
                      <w:color w:val="auto"/>
                      <w:sz w:val="20"/>
                      <w:szCs w:val="20"/>
                    </w:rPr>
                  </w:pPr>
                </w:p>
              </w:tc>
              <w:tc>
                <w:tcPr>
                  <w:tcW w:w="795" w:type="dxa"/>
                  <w:vMerge w:val="continue"/>
                  <w:tcBorders>
                    <w:top w:val="nil"/>
                    <w:left w:val="single" w:color="auto" w:sz="4" w:space="0"/>
                    <w:bottom w:val="single" w:color="auto" w:sz="4" w:space="0"/>
                    <w:right w:val="single" w:color="auto" w:sz="4" w:space="0"/>
                  </w:tcBorders>
                  <w:shd w:val="clear" w:color="auto" w:fill="auto"/>
                  <w:noWrap/>
                  <w:vAlign w:val="center"/>
                </w:tcPr>
                <w:p w14:paraId="4975055B">
                  <w:pPr>
                    <w:keepNext w:val="0"/>
                    <w:keepLines w:val="0"/>
                    <w:suppressLineNumbers w:val="0"/>
                    <w:spacing w:before="0" w:beforeAutospacing="0" w:after="0" w:afterAutospacing="0"/>
                    <w:ind w:left="0" w:right="0"/>
                    <w:rPr>
                      <w:rFonts w:hint="default" w:ascii="Times New Roman" w:hAnsi="Times New Roman" w:cs="Times New Roman"/>
                      <w:color w:val="auto"/>
                      <w:sz w:val="20"/>
                      <w:szCs w:val="20"/>
                    </w:rPr>
                  </w:pPr>
                </w:p>
              </w:tc>
              <w:tc>
                <w:tcPr>
                  <w:tcW w:w="226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3DF3FBE">
                  <w:pPr>
                    <w:keepNext w:val="0"/>
                    <w:keepLines w:val="0"/>
                    <w:widowControl w:val="0"/>
                    <w:suppressLineNumbers w:val="0"/>
                    <w:spacing w:before="0" w:beforeAutospacing="0" w:after="0" w:afterAutospacing="0"/>
                    <w:ind w:left="0" w:right="0"/>
                    <w:jc w:val="center"/>
                    <w:rPr>
                      <w:rFonts w:hint="default" w:ascii="Times New Roman" w:hAnsi="Times New Roman" w:eastAsia="宋体" w:cs="Times New Roman"/>
                      <w:color w:val="auto"/>
                      <w:kern w:val="2"/>
                      <w:sz w:val="21"/>
                      <w:szCs w:val="21"/>
                    </w:rPr>
                  </w:pPr>
                  <w:r>
                    <w:rPr>
                      <w:rFonts w:hint="eastAsia" w:ascii="宋体" w:hAnsi="宋体" w:eastAsia="宋体" w:cs="宋体"/>
                      <w:color w:val="auto"/>
                      <w:kern w:val="2"/>
                      <w:sz w:val="21"/>
                      <w:szCs w:val="21"/>
                      <w:lang w:val="en-US" w:eastAsia="zh-CN" w:bidi="ar"/>
                    </w:rPr>
                    <w:t>拆包粉尘、投料粉尘、出料粉尘</w:t>
                  </w:r>
                </w:p>
              </w:tc>
              <w:tc>
                <w:tcPr>
                  <w:tcW w:w="3844"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4020741">
                  <w:pPr>
                    <w:keepNext w:val="0"/>
                    <w:keepLines w:val="0"/>
                    <w:widowControl w:val="0"/>
                    <w:suppressLineNumbers w:val="0"/>
                    <w:spacing w:before="0" w:beforeAutospacing="0" w:after="0" w:afterAutospacing="0"/>
                    <w:ind w:left="0" w:leftChars="0" w:right="0" w:rightChars="0"/>
                    <w:jc w:val="center"/>
                    <w:rPr>
                      <w:rFonts w:hint="default" w:ascii="Times New Roman" w:hAnsi="Times New Roman" w:eastAsia="宋体" w:cs="Times New Roman"/>
                      <w:color w:val="auto"/>
                      <w:kern w:val="2"/>
                      <w:sz w:val="21"/>
                      <w:szCs w:val="21"/>
                    </w:rPr>
                  </w:pPr>
                  <w:r>
                    <w:rPr>
                      <w:rFonts w:hint="eastAsia" w:ascii="宋体" w:hAnsi="宋体" w:eastAsia="宋体" w:cs="宋体"/>
                      <w:color w:val="auto"/>
                      <w:kern w:val="2"/>
                      <w:sz w:val="21"/>
                      <w:szCs w:val="21"/>
                      <w:lang w:val="en-US" w:eastAsia="zh-CN" w:bidi="ar"/>
                    </w:rPr>
                    <w:t>集气设施、脉冲式布袋除尘器、排气筒及配套辅助设施</w:t>
                  </w:r>
                </w:p>
              </w:tc>
              <w:tc>
                <w:tcPr>
                  <w:tcW w:w="1068"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C8CB8C2">
                  <w:pPr>
                    <w:keepNext w:val="0"/>
                    <w:keepLines w:val="0"/>
                    <w:widowControl w:val="0"/>
                    <w:suppressLineNumbers w:val="0"/>
                    <w:spacing w:before="0" w:beforeAutospacing="0" w:after="0" w:afterAutospacing="0"/>
                    <w:ind w:left="0" w:right="0"/>
                    <w:jc w:val="center"/>
                    <w:rPr>
                      <w:rFonts w:hint="default" w:ascii="Times New Roman" w:hAnsi="Times New Roman" w:eastAsia="宋体" w:cs="Times New Roman"/>
                      <w:color w:val="auto"/>
                      <w:kern w:val="2"/>
                      <w:sz w:val="21"/>
                      <w:szCs w:val="21"/>
                    </w:rPr>
                  </w:pPr>
                  <w:r>
                    <w:rPr>
                      <w:rFonts w:hint="eastAsia" w:ascii="Times New Roman" w:hAnsi="Times New Roman" w:eastAsia="宋体" w:cs="Times New Roman"/>
                      <w:color w:val="auto"/>
                      <w:kern w:val="2"/>
                      <w:sz w:val="21"/>
                      <w:szCs w:val="21"/>
                      <w:lang w:val="en-US" w:eastAsia="zh-CN" w:bidi="ar"/>
                    </w:rPr>
                    <w:t>15</w:t>
                  </w:r>
                  <w:r>
                    <w:rPr>
                      <w:rFonts w:hint="eastAsia" w:ascii="宋体" w:hAnsi="宋体" w:eastAsia="宋体" w:cs="宋体"/>
                      <w:color w:val="auto"/>
                      <w:kern w:val="2"/>
                      <w:sz w:val="21"/>
                      <w:szCs w:val="21"/>
                      <w:lang w:val="en-US" w:eastAsia="zh-CN" w:bidi="ar"/>
                    </w:rPr>
                    <w:t>万元</w:t>
                  </w:r>
                </w:p>
              </w:tc>
            </w:tr>
            <w:tr w14:paraId="1483E2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397" w:hRule="atLeast"/>
                <w:jc w:val="center"/>
              </w:trPr>
              <w:tc>
                <w:tcPr>
                  <w:tcW w:w="380" w:type="dxa"/>
                  <w:vMerge w:val="continue"/>
                  <w:tcBorders>
                    <w:top w:val="nil"/>
                    <w:left w:val="single" w:color="auto" w:sz="4" w:space="0"/>
                    <w:bottom w:val="single" w:color="auto" w:sz="4" w:space="0"/>
                    <w:right w:val="single" w:color="auto" w:sz="4" w:space="0"/>
                  </w:tcBorders>
                  <w:shd w:val="clear" w:color="auto" w:fill="auto"/>
                  <w:noWrap/>
                  <w:vAlign w:val="center"/>
                </w:tcPr>
                <w:p w14:paraId="26E2F4D6">
                  <w:pPr>
                    <w:keepNext w:val="0"/>
                    <w:keepLines w:val="0"/>
                    <w:suppressLineNumbers w:val="0"/>
                    <w:spacing w:before="0" w:beforeAutospacing="0" w:after="0" w:afterAutospacing="0"/>
                    <w:ind w:left="0" w:right="0"/>
                    <w:rPr>
                      <w:rFonts w:hint="default" w:ascii="Times New Roman" w:hAnsi="Times New Roman" w:cs="Times New Roman"/>
                      <w:color w:val="auto"/>
                      <w:sz w:val="20"/>
                      <w:szCs w:val="20"/>
                    </w:rPr>
                  </w:pPr>
                </w:p>
              </w:tc>
              <w:tc>
                <w:tcPr>
                  <w:tcW w:w="795"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76AC93B">
                  <w:pPr>
                    <w:keepNext w:val="0"/>
                    <w:keepLines w:val="0"/>
                    <w:widowControl w:val="0"/>
                    <w:suppressLineNumbers w:val="0"/>
                    <w:spacing w:before="0" w:beforeAutospacing="0" w:after="0" w:afterAutospacing="0"/>
                    <w:ind w:left="0" w:right="0"/>
                    <w:jc w:val="center"/>
                    <w:rPr>
                      <w:rFonts w:hint="default" w:ascii="Times New Roman" w:hAnsi="Times New Roman" w:eastAsia="宋体" w:cs="Times New Roman"/>
                      <w:color w:val="auto"/>
                      <w:kern w:val="2"/>
                      <w:sz w:val="21"/>
                      <w:szCs w:val="21"/>
                    </w:rPr>
                  </w:pPr>
                  <w:r>
                    <w:rPr>
                      <w:rFonts w:hint="eastAsia" w:ascii="宋体" w:hAnsi="宋体" w:eastAsia="宋体" w:cs="宋体"/>
                      <w:color w:val="auto"/>
                      <w:kern w:val="2"/>
                      <w:sz w:val="21"/>
                      <w:szCs w:val="21"/>
                      <w:lang w:val="en-US" w:eastAsia="zh-CN" w:bidi="ar"/>
                    </w:rPr>
                    <w:t>废水</w:t>
                  </w:r>
                </w:p>
              </w:tc>
              <w:tc>
                <w:tcPr>
                  <w:tcW w:w="6104" w:type="dxa"/>
                  <w:gridSpan w:val="2"/>
                  <w:tcBorders>
                    <w:top w:val="single" w:color="auto" w:sz="4" w:space="0"/>
                    <w:left w:val="single" w:color="auto" w:sz="4" w:space="0"/>
                    <w:bottom w:val="single" w:color="auto" w:sz="4" w:space="0"/>
                    <w:right w:val="single" w:color="auto" w:sz="4" w:space="0"/>
                  </w:tcBorders>
                  <w:shd w:val="clear" w:color="auto" w:fill="auto"/>
                  <w:noWrap/>
                  <w:vAlign w:val="center"/>
                </w:tcPr>
                <w:p w14:paraId="4BA849FA">
                  <w:pPr>
                    <w:keepNext w:val="0"/>
                    <w:keepLines w:val="0"/>
                    <w:widowControl w:val="0"/>
                    <w:suppressLineNumbers w:val="0"/>
                    <w:spacing w:before="0" w:beforeAutospacing="0" w:after="0" w:afterAutospacing="0"/>
                    <w:ind w:left="0" w:right="0"/>
                    <w:jc w:val="center"/>
                    <w:rPr>
                      <w:rFonts w:hint="default" w:ascii="Times New Roman" w:hAnsi="Times New Roman" w:eastAsia="宋体" w:cs="Times New Roman"/>
                      <w:color w:val="auto"/>
                      <w:kern w:val="2"/>
                      <w:sz w:val="21"/>
                      <w:szCs w:val="21"/>
                    </w:rPr>
                  </w:pPr>
                  <w:r>
                    <w:rPr>
                      <w:rFonts w:hint="eastAsia" w:ascii="宋体" w:hAnsi="宋体" w:eastAsia="宋体" w:cs="宋体"/>
                      <w:color w:val="auto"/>
                      <w:kern w:val="2"/>
                      <w:sz w:val="21"/>
                      <w:szCs w:val="21"/>
                      <w:lang w:val="en-US" w:eastAsia="zh-CN" w:bidi="ar"/>
                    </w:rPr>
                    <w:t>化粪池（依托出租方）</w:t>
                  </w:r>
                </w:p>
              </w:tc>
              <w:tc>
                <w:tcPr>
                  <w:tcW w:w="1068"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F67079F">
                  <w:pPr>
                    <w:keepNext w:val="0"/>
                    <w:keepLines w:val="0"/>
                    <w:widowControl w:val="0"/>
                    <w:suppressLineNumbers w:val="0"/>
                    <w:spacing w:before="0" w:beforeAutospacing="0" w:after="0" w:afterAutospacing="0"/>
                    <w:ind w:left="0" w:right="0"/>
                    <w:jc w:val="center"/>
                    <w:rPr>
                      <w:rFonts w:hint="default" w:ascii="Times New Roman" w:hAnsi="Times New Roman" w:eastAsia="宋体" w:cs="Times New Roman"/>
                      <w:color w:val="auto"/>
                      <w:kern w:val="2"/>
                      <w:sz w:val="21"/>
                      <w:szCs w:val="21"/>
                    </w:rPr>
                  </w:pPr>
                  <w:r>
                    <w:rPr>
                      <w:rFonts w:hint="default" w:ascii="Times New Roman" w:hAnsi="Times New Roman" w:eastAsia="宋体" w:cs="Times New Roman"/>
                      <w:color w:val="auto"/>
                      <w:kern w:val="2"/>
                      <w:sz w:val="21"/>
                      <w:szCs w:val="21"/>
                      <w:lang w:val="en-US" w:eastAsia="zh-CN" w:bidi="ar"/>
                    </w:rPr>
                    <w:t>0</w:t>
                  </w:r>
                  <w:r>
                    <w:rPr>
                      <w:rFonts w:hint="eastAsia" w:ascii="宋体" w:hAnsi="宋体" w:eastAsia="宋体" w:cs="宋体"/>
                      <w:color w:val="auto"/>
                      <w:kern w:val="2"/>
                      <w:sz w:val="21"/>
                      <w:szCs w:val="21"/>
                      <w:lang w:val="en-US" w:eastAsia="zh-CN" w:bidi="ar"/>
                    </w:rPr>
                    <w:t>万元</w:t>
                  </w:r>
                </w:p>
              </w:tc>
            </w:tr>
            <w:tr w14:paraId="292C44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397" w:hRule="atLeast"/>
                <w:jc w:val="center"/>
              </w:trPr>
              <w:tc>
                <w:tcPr>
                  <w:tcW w:w="380" w:type="dxa"/>
                  <w:vMerge w:val="continue"/>
                  <w:tcBorders>
                    <w:top w:val="nil"/>
                    <w:left w:val="single" w:color="auto" w:sz="4" w:space="0"/>
                    <w:bottom w:val="single" w:color="auto" w:sz="4" w:space="0"/>
                    <w:right w:val="single" w:color="auto" w:sz="4" w:space="0"/>
                  </w:tcBorders>
                  <w:shd w:val="clear" w:color="auto" w:fill="auto"/>
                  <w:noWrap/>
                  <w:vAlign w:val="center"/>
                </w:tcPr>
                <w:p w14:paraId="32C7122A">
                  <w:pPr>
                    <w:keepNext w:val="0"/>
                    <w:keepLines w:val="0"/>
                    <w:suppressLineNumbers w:val="0"/>
                    <w:spacing w:before="0" w:beforeAutospacing="0" w:after="0" w:afterAutospacing="0"/>
                    <w:ind w:left="0" w:right="0"/>
                    <w:rPr>
                      <w:rFonts w:hint="default" w:ascii="Times New Roman" w:hAnsi="Times New Roman" w:cs="Times New Roman"/>
                      <w:color w:val="auto"/>
                      <w:sz w:val="20"/>
                      <w:szCs w:val="20"/>
                    </w:rPr>
                  </w:pPr>
                </w:p>
              </w:tc>
              <w:tc>
                <w:tcPr>
                  <w:tcW w:w="795"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16D4EF7">
                  <w:pPr>
                    <w:keepNext w:val="0"/>
                    <w:keepLines w:val="0"/>
                    <w:widowControl w:val="0"/>
                    <w:suppressLineNumbers w:val="0"/>
                    <w:spacing w:before="0" w:beforeAutospacing="0" w:after="0" w:afterAutospacing="0"/>
                    <w:ind w:left="0" w:right="0"/>
                    <w:jc w:val="center"/>
                    <w:rPr>
                      <w:rFonts w:hint="default" w:ascii="Times New Roman" w:hAnsi="Times New Roman" w:eastAsia="宋体" w:cs="Times New Roman"/>
                      <w:color w:val="auto"/>
                      <w:kern w:val="2"/>
                      <w:sz w:val="21"/>
                      <w:szCs w:val="21"/>
                    </w:rPr>
                  </w:pPr>
                  <w:r>
                    <w:rPr>
                      <w:rFonts w:hint="eastAsia" w:ascii="宋体" w:hAnsi="宋体" w:eastAsia="宋体" w:cs="宋体"/>
                      <w:color w:val="auto"/>
                      <w:kern w:val="2"/>
                      <w:sz w:val="21"/>
                      <w:szCs w:val="21"/>
                      <w:lang w:val="en-US" w:eastAsia="zh-CN" w:bidi="ar"/>
                    </w:rPr>
                    <w:t>噪声</w:t>
                  </w:r>
                </w:p>
              </w:tc>
              <w:tc>
                <w:tcPr>
                  <w:tcW w:w="6104" w:type="dxa"/>
                  <w:gridSpan w:val="2"/>
                  <w:tcBorders>
                    <w:top w:val="single" w:color="auto" w:sz="4" w:space="0"/>
                    <w:left w:val="single" w:color="auto" w:sz="4" w:space="0"/>
                    <w:bottom w:val="single" w:color="auto" w:sz="4" w:space="0"/>
                    <w:right w:val="single" w:color="auto" w:sz="4" w:space="0"/>
                  </w:tcBorders>
                  <w:shd w:val="clear" w:color="auto" w:fill="auto"/>
                  <w:noWrap/>
                  <w:vAlign w:val="center"/>
                </w:tcPr>
                <w:p w14:paraId="07EAF4F2">
                  <w:pPr>
                    <w:keepNext w:val="0"/>
                    <w:keepLines w:val="0"/>
                    <w:widowControl w:val="0"/>
                    <w:suppressLineNumbers w:val="0"/>
                    <w:spacing w:before="0" w:beforeAutospacing="0" w:after="0" w:afterAutospacing="0"/>
                    <w:ind w:left="0" w:right="0"/>
                    <w:jc w:val="center"/>
                    <w:rPr>
                      <w:rFonts w:hint="default" w:ascii="Times New Roman" w:hAnsi="Times New Roman" w:eastAsia="宋体" w:cs="Times New Roman"/>
                      <w:color w:val="auto"/>
                      <w:kern w:val="2"/>
                      <w:sz w:val="21"/>
                      <w:szCs w:val="21"/>
                    </w:rPr>
                  </w:pPr>
                  <w:r>
                    <w:rPr>
                      <w:rFonts w:hint="eastAsia" w:ascii="宋体" w:hAnsi="宋体" w:eastAsia="宋体" w:cs="宋体"/>
                      <w:color w:val="auto"/>
                      <w:kern w:val="2"/>
                      <w:sz w:val="21"/>
                      <w:szCs w:val="21"/>
                      <w:lang w:val="en-US" w:eastAsia="zh-CN" w:bidi="ar"/>
                    </w:rPr>
                    <w:t>噪声防治</w:t>
                  </w:r>
                </w:p>
              </w:tc>
              <w:tc>
                <w:tcPr>
                  <w:tcW w:w="1068"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258D6B7">
                  <w:pPr>
                    <w:keepNext w:val="0"/>
                    <w:keepLines w:val="0"/>
                    <w:widowControl w:val="0"/>
                    <w:suppressLineNumbers w:val="0"/>
                    <w:spacing w:before="0" w:beforeAutospacing="0" w:after="0" w:afterAutospacing="0"/>
                    <w:ind w:left="0" w:right="0"/>
                    <w:jc w:val="center"/>
                    <w:rPr>
                      <w:rFonts w:hint="default" w:ascii="Times New Roman" w:hAnsi="Times New Roman" w:eastAsia="宋体" w:cs="Times New Roman"/>
                      <w:color w:val="auto"/>
                      <w:kern w:val="2"/>
                      <w:sz w:val="21"/>
                      <w:szCs w:val="21"/>
                    </w:rPr>
                  </w:pPr>
                  <w:r>
                    <w:rPr>
                      <w:rFonts w:hint="default" w:ascii="Times New Roman" w:hAnsi="Times New Roman" w:eastAsia="宋体" w:cs="Times New Roman"/>
                      <w:color w:val="auto"/>
                      <w:kern w:val="2"/>
                      <w:sz w:val="21"/>
                      <w:szCs w:val="21"/>
                      <w:lang w:val="en-US" w:eastAsia="zh-CN" w:bidi="ar"/>
                    </w:rPr>
                    <w:t>5</w:t>
                  </w:r>
                  <w:r>
                    <w:rPr>
                      <w:rFonts w:hint="eastAsia" w:ascii="宋体" w:hAnsi="宋体" w:eastAsia="宋体" w:cs="宋体"/>
                      <w:color w:val="auto"/>
                      <w:kern w:val="2"/>
                      <w:sz w:val="21"/>
                      <w:szCs w:val="21"/>
                      <w:lang w:val="en-US" w:eastAsia="zh-CN" w:bidi="ar"/>
                    </w:rPr>
                    <w:t>万元</w:t>
                  </w:r>
                </w:p>
              </w:tc>
            </w:tr>
            <w:tr w14:paraId="15D9AC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397" w:hRule="atLeast"/>
                <w:jc w:val="center"/>
              </w:trPr>
              <w:tc>
                <w:tcPr>
                  <w:tcW w:w="380" w:type="dxa"/>
                  <w:vMerge w:val="continue"/>
                  <w:tcBorders>
                    <w:top w:val="nil"/>
                    <w:left w:val="single" w:color="auto" w:sz="4" w:space="0"/>
                    <w:bottom w:val="single" w:color="auto" w:sz="4" w:space="0"/>
                    <w:right w:val="single" w:color="auto" w:sz="4" w:space="0"/>
                  </w:tcBorders>
                  <w:shd w:val="clear" w:color="auto" w:fill="auto"/>
                  <w:noWrap/>
                  <w:vAlign w:val="center"/>
                </w:tcPr>
                <w:p w14:paraId="0C659C51">
                  <w:pPr>
                    <w:keepNext w:val="0"/>
                    <w:keepLines w:val="0"/>
                    <w:suppressLineNumbers w:val="0"/>
                    <w:spacing w:before="0" w:beforeAutospacing="0" w:after="0" w:afterAutospacing="0"/>
                    <w:ind w:left="0" w:right="0"/>
                    <w:rPr>
                      <w:rFonts w:hint="default" w:ascii="Times New Roman" w:hAnsi="Times New Roman" w:cs="Times New Roman"/>
                      <w:color w:val="auto"/>
                      <w:sz w:val="20"/>
                      <w:szCs w:val="20"/>
                    </w:rPr>
                  </w:pPr>
                </w:p>
              </w:tc>
              <w:tc>
                <w:tcPr>
                  <w:tcW w:w="795" w:type="dxa"/>
                  <w:vMerge w:val="restart"/>
                  <w:tcBorders>
                    <w:top w:val="nil"/>
                    <w:left w:val="single" w:color="auto" w:sz="4" w:space="0"/>
                    <w:bottom w:val="single" w:color="auto" w:sz="4" w:space="0"/>
                    <w:right w:val="single" w:color="auto" w:sz="4" w:space="0"/>
                  </w:tcBorders>
                  <w:shd w:val="clear" w:color="auto" w:fill="auto"/>
                  <w:noWrap/>
                  <w:vAlign w:val="center"/>
                </w:tcPr>
                <w:p w14:paraId="19810AC2">
                  <w:pPr>
                    <w:keepNext w:val="0"/>
                    <w:keepLines w:val="0"/>
                    <w:widowControl w:val="0"/>
                    <w:suppressLineNumbers w:val="0"/>
                    <w:spacing w:before="0" w:beforeAutospacing="0" w:after="0" w:afterAutospacing="0"/>
                    <w:ind w:left="0" w:right="0"/>
                    <w:jc w:val="center"/>
                    <w:rPr>
                      <w:rFonts w:hint="default" w:ascii="Times New Roman" w:hAnsi="Times New Roman" w:eastAsia="宋体" w:cs="Times New Roman"/>
                      <w:color w:val="auto"/>
                      <w:kern w:val="2"/>
                      <w:sz w:val="21"/>
                      <w:szCs w:val="21"/>
                    </w:rPr>
                  </w:pPr>
                  <w:r>
                    <w:rPr>
                      <w:rFonts w:hint="eastAsia" w:ascii="宋体" w:hAnsi="宋体" w:eastAsia="宋体" w:cs="宋体"/>
                      <w:color w:val="auto"/>
                      <w:kern w:val="2"/>
                      <w:sz w:val="21"/>
                      <w:szCs w:val="21"/>
                      <w:lang w:val="en-US" w:eastAsia="zh-CN" w:bidi="ar"/>
                    </w:rPr>
                    <w:t>固废</w:t>
                  </w:r>
                </w:p>
              </w:tc>
              <w:tc>
                <w:tcPr>
                  <w:tcW w:w="6104" w:type="dxa"/>
                  <w:gridSpan w:val="2"/>
                  <w:tcBorders>
                    <w:top w:val="single" w:color="auto" w:sz="4" w:space="0"/>
                    <w:left w:val="single" w:color="auto" w:sz="4" w:space="0"/>
                    <w:bottom w:val="single" w:color="auto" w:sz="4" w:space="0"/>
                    <w:right w:val="single" w:color="auto" w:sz="4" w:space="0"/>
                  </w:tcBorders>
                  <w:shd w:val="clear" w:color="auto" w:fill="auto"/>
                  <w:noWrap/>
                  <w:vAlign w:val="center"/>
                </w:tcPr>
                <w:p w14:paraId="2946AF50">
                  <w:pPr>
                    <w:keepNext w:val="0"/>
                    <w:keepLines w:val="0"/>
                    <w:widowControl w:val="0"/>
                    <w:suppressLineNumbers w:val="0"/>
                    <w:autoSpaceDE w:val="0"/>
                    <w:autoSpaceDN/>
                    <w:spacing w:before="0" w:beforeAutospacing="0" w:after="0" w:afterAutospacing="0"/>
                    <w:ind w:left="0" w:leftChars="0" w:right="0" w:rightChars="0" w:firstLine="0" w:firstLineChars="0"/>
                    <w:jc w:val="center"/>
                    <w:rPr>
                      <w:rFonts w:hint="default" w:ascii="Times New Roman" w:hAnsi="Times New Roman" w:eastAsia="宋体" w:cs="Times New Roman"/>
                      <w:color w:val="auto"/>
                      <w:kern w:val="2"/>
                      <w:sz w:val="21"/>
                      <w:szCs w:val="21"/>
                    </w:rPr>
                  </w:pPr>
                  <w:r>
                    <w:rPr>
                      <w:rFonts w:hint="eastAsia" w:ascii="宋体" w:hAnsi="宋体" w:eastAsia="宋体" w:cs="宋体"/>
                      <w:color w:val="auto"/>
                      <w:kern w:val="2"/>
                      <w:sz w:val="21"/>
                      <w:szCs w:val="21"/>
                      <w:lang w:val="en-US" w:eastAsia="zh-CN" w:bidi="ar"/>
                    </w:rPr>
                    <w:t>一般固废仓库</w:t>
                  </w:r>
                </w:p>
              </w:tc>
              <w:tc>
                <w:tcPr>
                  <w:tcW w:w="1068"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3C94A26">
                  <w:pPr>
                    <w:keepNext w:val="0"/>
                    <w:keepLines w:val="0"/>
                    <w:widowControl w:val="0"/>
                    <w:suppressLineNumbers w:val="0"/>
                    <w:autoSpaceDE w:val="0"/>
                    <w:autoSpaceDN/>
                    <w:spacing w:before="0" w:beforeAutospacing="0" w:after="0" w:afterAutospacing="0"/>
                    <w:ind w:left="0" w:leftChars="0" w:right="0" w:rightChars="0" w:firstLine="0" w:firstLineChars="0"/>
                    <w:jc w:val="center"/>
                    <w:rPr>
                      <w:rFonts w:hint="default" w:ascii="Times New Roman" w:hAnsi="Times New Roman" w:eastAsia="宋体" w:cs="Times New Roman"/>
                      <w:color w:val="auto"/>
                      <w:kern w:val="2"/>
                      <w:sz w:val="21"/>
                      <w:szCs w:val="21"/>
                    </w:rPr>
                  </w:pPr>
                  <w:r>
                    <w:rPr>
                      <w:rFonts w:hint="default" w:ascii="Times New Roman" w:hAnsi="Times New Roman" w:eastAsia="宋体" w:cs="Times New Roman"/>
                      <w:color w:val="auto"/>
                      <w:kern w:val="2"/>
                      <w:sz w:val="21"/>
                      <w:szCs w:val="21"/>
                      <w:lang w:val="en-US" w:eastAsia="zh-CN" w:bidi="ar"/>
                    </w:rPr>
                    <w:t>2</w:t>
                  </w:r>
                  <w:r>
                    <w:rPr>
                      <w:rFonts w:hint="eastAsia" w:ascii="宋体" w:hAnsi="宋体" w:eastAsia="宋体" w:cs="宋体"/>
                      <w:color w:val="auto"/>
                      <w:kern w:val="2"/>
                      <w:sz w:val="21"/>
                      <w:szCs w:val="21"/>
                      <w:lang w:val="en-US" w:eastAsia="zh-CN" w:bidi="ar"/>
                    </w:rPr>
                    <w:t>万元</w:t>
                  </w:r>
                </w:p>
              </w:tc>
            </w:tr>
            <w:tr w14:paraId="07BBEF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397" w:hRule="atLeast"/>
                <w:jc w:val="center"/>
              </w:trPr>
              <w:tc>
                <w:tcPr>
                  <w:tcW w:w="380" w:type="dxa"/>
                  <w:vMerge w:val="continue"/>
                  <w:tcBorders>
                    <w:top w:val="nil"/>
                    <w:left w:val="single" w:color="auto" w:sz="4" w:space="0"/>
                    <w:bottom w:val="single" w:color="auto" w:sz="4" w:space="0"/>
                    <w:right w:val="single" w:color="auto" w:sz="4" w:space="0"/>
                  </w:tcBorders>
                  <w:shd w:val="clear" w:color="auto" w:fill="auto"/>
                  <w:noWrap/>
                  <w:vAlign w:val="center"/>
                </w:tcPr>
                <w:p w14:paraId="487215DE">
                  <w:pPr>
                    <w:keepNext w:val="0"/>
                    <w:keepLines w:val="0"/>
                    <w:suppressLineNumbers w:val="0"/>
                    <w:spacing w:before="0" w:beforeAutospacing="0" w:after="0" w:afterAutospacing="0"/>
                    <w:ind w:left="0" w:right="0"/>
                    <w:rPr>
                      <w:rFonts w:hint="default" w:ascii="Times New Roman" w:hAnsi="Times New Roman" w:cs="Times New Roman"/>
                      <w:color w:val="auto"/>
                      <w:sz w:val="20"/>
                      <w:szCs w:val="20"/>
                    </w:rPr>
                  </w:pPr>
                </w:p>
              </w:tc>
              <w:tc>
                <w:tcPr>
                  <w:tcW w:w="795" w:type="dxa"/>
                  <w:vMerge w:val="continue"/>
                  <w:tcBorders>
                    <w:top w:val="nil"/>
                    <w:left w:val="single" w:color="auto" w:sz="4" w:space="0"/>
                    <w:bottom w:val="single" w:color="auto" w:sz="4" w:space="0"/>
                    <w:right w:val="single" w:color="auto" w:sz="4" w:space="0"/>
                  </w:tcBorders>
                  <w:shd w:val="clear" w:color="auto" w:fill="auto"/>
                  <w:noWrap/>
                  <w:vAlign w:val="center"/>
                </w:tcPr>
                <w:p w14:paraId="44E0EA68">
                  <w:pPr>
                    <w:keepNext w:val="0"/>
                    <w:keepLines w:val="0"/>
                    <w:suppressLineNumbers w:val="0"/>
                    <w:spacing w:before="0" w:beforeAutospacing="0" w:after="0" w:afterAutospacing="0"/>
                    <w:ind w:left="0" w:right="0"/>
                    <w:rPr>
                      <w:rFonts w:hint="default" w:ascii="Times New Roman" w:hAnsi="Times New Roman" w:cs="Times New Roman"/>
                      <w:color w:val="auto"/>
                      <w:sz w:val="20"/>
                      <w:szCs w:val="20"/>
                    </w:rPr>
                  </w:pPr>
                </w:p>
              </w:tc>
              <w:tc>
                <w:tcPr>
                  <w:tcW w:w="6104" w:type="dxa"/>
                  <w:gridSpan w:val="2"/>
                  <w:tcBorders>
                    <w:top w:val="single" w:color="auto" w:sz="4" w:space="0"/>
                    <w:left w:val="single" w:color="auto" w:sz="4" w:space="0"/>
                    <w:bottom w:val="single" w:color="auto" w:sz="4" w:space="0"/>
                    <w:right w:val="single" w:color="auto" w:sz="4" w:space="0"/>
                  </w:tcBorders>
                  <w:shd w:val="clear" w:color="auto" w:fill="auto"/>
                  <w:noWrap/>
                  <w:vAlign w:val="center"/>
                </w:tcPr>
                <w:p w14:paraId="2D56E8E3">
                  <w:pPr>
                    <w:keepNext w:val="0"/>
                    <w:keepLines w:val="0"/>
                    <w:widowControl w:val="0"/>
                    <w:suppressLineNumbers w:val="0"/>
                    <w:autoSpaceDE w:val="0"/>
                    <w:autoSpaceDN/>
                    <w:spacing w:before="0" w:beforeAutospacing="0" w:after="0" w:afterAutospacing="0"/>
                    <w:ind w:left="0" w:leftChars="0" w:right="0" w:rightChars="0" w:firstLine="0" w:firstLineChars="0"/>
                    <w:jc w:val="center"/>
                    <w:rPr>
                      <w:rFonts w:hint="default" w:ascii="Times New Roman" w:hAnsi="Times New Roman" w:eastAsia="宋体" w:cs="Times New Roman"/>
                      <w:color w:val="auto"/>
                      <w:kern w:val="2"/>
                      <w:sz w:val="21"/>
                      <w:szCs w:val="21"/>
                    </w:rPr>
                  </w:pPr>
                  <w:r>
                    <w:rPr>
                      <w:rFonts w:hint="eastAsia" w:ascii="宋体" w:hAnsi="宋体" w:eastAsia="宋体" w:cs="宋体"/>
                      <w:color w:val="auto"/>
                      <w:kern w:val="2"/>
                      <w:sz w:val="21"/>
                      <w:szCs w:val="21"/>
                      <w:lang w:val="en-US" w:eastAsia="zh-CN" w:bidi="ar"/>
                    </w:rPr>
                    <w:t>危废仓库</w:t>
                  </w:r>
                </w:p>
              </w:tc>
              <w:tc>
                <w:tcPr>
                  <w:tcW w:w="1068"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30CE438">
                  <w:pPr>
                    <w:keepNext w:val="0"/>
                    <w:keepLines w:val="0"/>
                    <w:widowControl w:val="0"/>
                    <w:suppressLineNumbers w:val="0"/>
                    <w:autoSpaceDE w:val="0"/>
                    <w:autoSpaceDN/>
                    <w:spacing w:before="0" w:beforeAutospacing="0" w:after="0" w:afterAutospacing="0"/>
                    <w:ind w:left="0" w:leftChars="0" w:right="0" w:rightChars="0" w:firstLine="0" w:firstLineChars="0"/>
                    <w:jc w:val="center"/>
                    <w:rPr>
                      <w:rFonts w:hint="default" w:ascii="Times New Roman" w:hAnsi="Times New Roman" w:eastAsia="宋体" w:cs="Times New Roman"/>
                      <w:color w:val="auto"/>
                      <w:kern w:val="2"/>
                      <w:sz w:val="21"/>
                      <w:szCs w:val="21"/>
                    </w:rPr>
                  </w:pPr>
                  <w:r>
                    <w:rPr>
                      <w:rFonts w:hint="default" w:ascii="Times New Roman" w:hAnsi="Times New Roman" w:eastAsia="宋体" w:cs="Times New Roman"/>
                      <w:color w:val="auto"/>
                      <w:kern w:val="2"/>
                      <w:sz w:val="21"/>
                      <w:szCs w:val="21"/>
                      <w:lang w:val="en-US" w:eastAsia="zh-CN" w:bidi="ar"/>
                    </w:rPr>
                    <w:t>5</w:t>
                  </w:r>
                  <w:r>
                    <w:rPr>
                      <w:rFonts w:hint="eastAsia" w:ascii="宋体" w:hAnsi="宋体" w:eastAsia="宋体" w:cs="宋体"/>
                      <w:color w:val="auto"/>
                      <w:kern w:val="2"/>
                      <w:sz w:val="21"/>
                      <w:szCs w:val="21"/>
                      <w:lang w:val="en-US" w:eastAsia="zh-CN" w:bidi="ar"/>
                    </w:rPr>
                    <w:t>万元</w:t>
                  </w:r>
                </w:p>
              </w:tc>
            </w:tr>
            <w:tr w14:paraId="678B51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397" w:hRule="atLeast"/>
                <w:jc w:val="center"/>
              </w:trPr>
              <w:tc>
                <w:tcPr>
                  <w:tcW w:w="7279" w:type="dxa"/>
                  <w:gridSpan w:val="4"/>
                  <w:tcBorders>
                    <w:top w:val="single" w:color="auto" w:sz="4" w:space="0"/>
                    <w:left w:val="single" w:color="auto" w:sz="4" w:space="0"/>
                    <w:bottom w:val="single" w:color="auto" w:sz="4" w:space="0"/>
                    <w:right w:val="single" w:color="auto" w:sz="4" w:space="0"/>
                  </w:tcBorders>
                  <w:shd w:val="clear" w:color="auto" w:fill="auto"/>
                  <w:noWrap/>
                  <w:vAlign w:val="center"/>
                </w:tcPr>
                <w:p w14:paraId="1836FDE2">
                  <w:pPr>
                    <w:keepNext w:val="0"/>
                    <w:keepLines w:val="0"/>
                    <w:widowControl w:val="0"/>
                    <w:suppressLineNumbers w:val="0"/>
                    <w:spacing w:before="0" w:beforeAutospacing="0" w:after="0" w:afterAutospacing="0"/>
                    <w:ind w:left="0" w:right="0"/>
                    <w:jc w:val="center"/>
                    <w:rPr>
                      <w:rFonts w:hint="default" w:ascii="Times New Roman" w:hAnsi="Times New Roman" w:eastAsia="宋体" w:cs="Times New Roman"/>
                      <w:b/>
                      <w:bCs/>
                      <w:color w:val="auto"/>
                      <w:kern w:val="2"/>
                      <w:sz w:val="21"/>
                      <w:szCs w:val="21"/>
                    </w:rPr>
                  </w:pPr>
                  <w:r>
                    <w:rPr>
                      <w:rFonts w:hint="eastAsia" w:ascii="宋体" w:hAnsi="宋体" w:eastAsia="宋体" w:cs="宋体"/>
                      <w:b/>
                      <w:bCs/>
                      <w:color w:val="auto"/>
                      <w:kern w:val="2"/>
                      <w:sz w:val="21"/>
                      <w:szCs w:val="21"/>
                      <w:lang w:val="en-US" w:eastAsia="zh-CN" w:bidi="ar"/>
                    </w:rPr>
                    <w:t>合计</w:t>
                  </w:r>
                </w:p>
              </w:tc>
              <w:tc>
                <w:tcPr>
                  <w:tcW w:w="1068"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CE53F24">
                  <w:pPr>
                    <w:keepNext w:val="0"/>
                    <w:keepLines w:val="0"/>
                    <w:widowControl w:val="0"/>
                    <w:suppressLineNumbers w:val="0"/>
                    <w:spacing w:before="0" w:beforeAutospacing="0" w:after="0" w:afterAutospacing="0"/>
                    <w:ind w:left="0" w:right="0"/>
                    <w:jc w:val="center"/>
                    <w:rPr>
                      <w:rFonts w:hint="default" w:ascii="Times New Roman" w:hAnsi="Times New Roman" w:eastAsia="宋体" w:cs="Times New Roman"/>
                      <w:color w:val="auto"/>
                      <w:kern w:val="2"/>
                      <w:sz w:val="21"/>
                      <w:szCs w:val="21"/>
                    </w:rPr>
                  </w:pPr>
                  <w:r>
                    <w:rPr>
                      <w:rFonts w:hint="eastAsia" w:ascii="Times New Roman" w:hAnsi="Times New Roman" w:eastAsia="宋体" w:cs="Times New Roman"/>
                      <w:color w:val="0000E1"/>
                      <w:kern w:val="2"/>
                      <w:sz w:val="21"/>
                      <w:szCs w:val="21"/>
                      <w:lang w:val="en-US" w:eastAsia="zh-CN" w:bidi="ar"/>
                    </w:rPr>
                    <w:t>47</w:t>
                  </w:r>
                  <w:r>
                    <w:rPr>
                      <w:rFonts w:hint="eastAsia" w:ascii="宋体" w:hAnsi="宋体" w:eastAsia="宋体" w:cs="宋体"/>
                      <w:color w:val="0000E1"/>
                      <w:kern w:val="2"/>
                      <w:sz w:val="21"/>
                      <w:szCs w:val="21"/>
                      <w:lang w:val="en-US" w:eastAsia="zh-CN" w:bidi="ar"/>
                    </w:rPr>
                    <w:t>万元</w:t>
                  </w:r>
                </w:p>
              </w:tc>
            </w:tr>
          </w:tbl>
          <w:p w14:paraId="3CD24014">
            <w:pPr>
              <w:keepNext w:val="0"/>
              <w:keepLines w:val="0"/>
              <w:suppressLineNumbers w:val="0"/>
              <w:spacing w:before="0" w:beforeAutospacing="0" w:after="0" w:afterAutospacing="0" w:line="360" w:lineRule="auto"/>
              <w:ind w:left="0" w:right="0"/>
              <w:rPr>
                <w:rFonts w:hint="eastAsia" w:ascii="Times New Roman" w:hAnsi="Times New Roman" w:eastAsia="宋体" w:cs="Times New Roman"/>
                <w:b/>
                <w:bCs/>
                <w:color w:val="auto"/>
                <w:sz w:val="24"/>
              </w:rPr>
            </w:pPr>
          </w:p>
          <w:p w14:paraId="1121F00A">
            <w:pPr>
              <w:pStyle w:val="10"/>
              <w:keepNext w:val="0"/>
              <w:keepLines w:val="0"/>
              <w:suppressLineNumbers w:val="0"/>
              <w:spacing w:before="0" w:beforeAutospacing="0" w:afterAutospacing="0"/>
              <w:ind w:left="0" w:right="0"/>
              <w:rPr>
                <w:rFonts w:hint="default"/>
                <w:color w:val="auto"/>
              </w:rPr>
            </w:pPr>
          </w:p>
        </w:tc>
      </w:tr>
    </w:tbl>
    <w:p w14:paraId="60086430">
      <w:pPr>
        <w:rPr>
          <w:color w:val="auto"/>
        </w:rPr>
        <w:sectPr>
          <w:pgSz w:w="11906" w:h="16838"/>
          <w:pgMar w:top="1417" w:right="1417" w:bottom="1417" w:left="1417" w:header="851" w:footer="992" w:gutter="0"/>
          <w:pgBorders>
            <w:top w:val="none" w:sz="0" w:space="0"/>
            <w:left w:val="none" w:sz="0" w:space="0"/>
            <w:bottom w:val="none" w:sz="0" w:space="0"/>
            <w:right w:val="none" w:sz="0" w:space="0"/>
          </w:pgBorders>
          <w:cols w:space="425" w:num="1"/>
          <w:docGrid w:type="lines" w:linePitch="312" w:charSpace="0"/>
        </w:sectPr>
      </w:pPr>
    </w:p>
    <w:p w14:paraId="3CF87216">
      <w:pPr>
        <w:pStyle w:val="2"/>
        <w:rPr>
          <w:rFonts w:ascii="Times New Roman" w:hAnsi="Times New Roman" w:eastAsia="宋体" w:cs="Times New Roman"/>
          <w:color w:val="auto"/>
          <w:sz w:val="30"/>
          <w:szCs w:val="30"/>
        </w:rPr>
      </w:pPr>
      <w:bookmarkStart w:id="36" w:name="_Toc20285"/>
      <w:r>
        <w:rPr>
          <w:rFonts w:hint="eastAsia" w:ascii="Times New Roman" w:hAnsi="Times New Roman" w:eastAsia="宋体" w:cs="Times New Roman"/>
          <w:color w:val="auto"/>
          <w:sz w:val="30"/>
          <w:szCs w:val="30"/>
        </w:rPr>
        <w:t>五、</w:t>
      </w:r>
      <w:r>
        <w:rPr>
          <w:rFonts w:ascii="Times New Roman" w:hAnsi="Times New Roman" w:eastAsia="宋体" w:cs="Times New Roman"/>
          <w:color w:val="auto"/>
          <w:sz w:val="30"/>
          <w:szCs w:val="30"/>
        </w:rPr>
        <w:t>环境保护措施监督检查清单</w:t>
      </w:r>
      <w:bookmarkEnd w:id="36"/>
    </w:p>
    <w:tbl>
      <w:tblPr>
        <w:tblStyle w:val="23"/>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120"/>
        <w:gridCol w:w="1546"/>
        <w:gridCol w:w="996"/>
        <w:gridCol w:w="3472"/>
        <w:gridCol w:w="1748"/>
      </w:tblGrid>
      <w:tr w14:paraId="2EB96C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1120" w:type="dxa"/>
            <w:vAlign w:val="center"/>
          </w:tcPr>
          <w:p w14:paraId="223D7802">
            <w:pPr>
              <w:keepNext w:val="0"/>
              <w:keepLines w:val="0"/>
              <w:suppressLineNumbers w:val="0"/>
              <w:spacing w:before="0" w:beforeAutospacing="0" w:after="0" w:afterAutospacing="0"/>
              <w:ind w:left="0" w:right="0"/>
              <w:jc w:val="center"/>
              <w:rPr>
                <w:rFonts w:hint="default" w:ascii="Times New Roman" w:hAnsi="Times New Roman" w:eastAsia="宋体" w:cs="Times New Roman"/>
                <w:b/>
                <w:bCs/>
                <w:color w:val="auto"/>
                <w:szCs w:val="21"/>
              </w:rPr>
            </w:pPr>
            <w:r>
              <w:rPr>
                <w:rFonts w:hint="default" w:ascii="Times New Roman" w:hAnsi="Times New Roman" w:eastAsia="宋体" w:cs="Times New Roman"/>
                <w:b/>
                <w:bCs/>
                <w:color w:val="auto"/>
                <w:szCs w:val="21"/>
              </w:rPr>
              <w:t>内容要素</w:t>
            </w:r>
          </w:p>
        </w:tc>
        <w:tc>
          <w:tcPr>
            <w:tcW w:w="1546" w:type="dxa"/>
            <w:vAlign w:val="center"/>
          </w:tcPr>
          <w:p w14:paraId="2B31992E">
            <w:pPr>
              <w:keepNext w:val="0"/>
              <w:keepLines w:val="0"/>
              <w:suppressLineNumbers w:val="0"/>
              <w:spacing w:before="0" w:beforeAutospacing="0" w:after="0" w:afterAutospacing="0"/>
              <w:ind w:left="0" w:right="0"/>
              <w:jc w:val="center"/>
              <w:rPr>
                <w:rFonts w:hint="default" w:ascii="Times New Roman" w:hAnsi="Times New Roman" w:eastAsia="宋体" w:cs="Times New Roman"/>
                <w:b/>
                <w:bCs/>
                <w:color w:val="auto"/>
                <w:szCs w:val="21"/>
              </w:rPr>
            </w:pPr>
            <w:r>
              <w:rPr>
                <w:rFonts w:hint="default" w:ascii="Times New Roman" w:hAnsi="Times New Roman" w:eastAsia="宋体" w:cs="Times New Roman"/>
                <w:b/>
                <w:bCs/>
                <w:color w:val="auto"/>
                <w:szCs w:val="21"/>
              </w:rPr>
              <w:t>排放口</w:t>
            </w:r>
            <w:r>
              <w:rPr>
                <w:rFonts w:hint="eastAsia" w:ascii="Times New Roman" w:hAnsi="Times New Roman" w:eastAsia="宋体" w:cs="Times New Roman"/>
                <w:b/>
                <w:bCs/>
                <w:color w:val="auto"/>
                <w:szCs w:val="21"/>
                <w:lang w:eastAsia="zh-CN"/>
              </w:rPr>
              <w:t>（</w:t>
            </w:r>
            <w:r>
              <w:rPr>
                <w:rFonts w:hint="default" w:ascii="Times New Roman" w:hAnsi="Times New Roman" w:eastAsia="宋体" w:cs="Times New Roman"/>
                <w:b/>
                <w:bCs/>
                <w:color w:val="auto"/>
                <w:szCs w:val="21"/>
              </w:rPr>
              <w:t>编号、名称</w:t>
            </w:r>
            <w:r>
              <w:rPr>
                <w:rFonts w:hint="eastAsia" w:ascii="Times New Roman" w:hAnsi="Times New Roman" w:eastAsia="宋体" w:cs="Times New Roman"/>
                <w:b/>
                <w:bCs/>
                <w:color w:val="auto"/>
                <w:szCs w:val="21"/>
                <w:lang w:eastAsia="zh-CN"/>
              </w:rPr>
              <w:t>）</w:t>
            </w:r>
            <w:r>
              <w:rPr>
                <w:rFonts w:hint="default" w:ascii="Times New Roman" w:hAnsi="Times New Roman" w:eastAsia="宋体" w:cs="Times New Roman"/>
                <w:b/>
                <w:bCs/>
                <w:color w:val="auto"/>
                <w:szCs w:val="21"/>
              </w:rPr>
              <w:t>/污染源</w:t>
            </w:r>
          </w:p>
        </w:tc>
        <w:tc>
          <w:tcPr>
            <w:tcW w:w="996" w:type="dxa"/>
            <w:vAlign w:val="center"/>
          </w:tcPr>
          <w:p w14:paraId="28CE32E2">
            <w:pPr>
              <w:keepNext w:val="0"/>
              <w:keepLines w:val="0"/>
              <w:suppressLineNumbers w:val="0"/>
              <w:spacing w:before="0" w:beforeAutospacing="0" w:after="0" w:afterAutospacing="0"/>
              <w:ind w:left="0" w:right="0"/>
              <w:jc w:val="center"/>
              <w:rPr>
                <w:rFonts w:hint="default" w:ascii="Times New Roman" w:hAnsi="Times New Roman" w:eastAsia="宋体" w:cs="Times New Roman"/>
                <w:b/>
                <w:bCs/>
                <w:color w:val="auto"/>
                <w:szCs w:val="21"/>
              </w:rPr>
            </w:pPr>
            <w:r>
              <w:rPr>
                <w:rFonts w:hint="default" w:ascii="Times New Roman" w:hAnsi="Times New Roman" w:eastAsia="宋体" w:cs="Times New Roman"/>
                <w:b/>
                <w:bCs/>
                <w:color w:val="auto"/>
                <w:szCs w:val="21"/>
              </w:rPr>
              <w:t>污染物项目</w:t>
            </w:r>
          </w:p>
        </w:tc>
        <w:tc>
          <w:tcPr>
            <w:tcW w:w="3472" w:type="dxa"/>
            <w:vAlign w:val="center"/>
          </w:tcPr>
          <w:p w14:paraId="0982D249">
            <w:pPr>
              <w:keepNext w:val="0"/>
              <w:keepLines w:val="0"/>
              <w:suppressLineNumbers w:val="0"/>
              <w:spacing w:before="0" w:beforeAutospacing="0" w:after="0" w:afterAutospacing="0"/>
              <w:ind w:left="0" w:right="0"/>
              <w:jc w:val="center"/>
              <w:rPr>
                <w:rFonts w:hint="default" w:ascii="Times New Roman" w:hAnsi="Times New Roman" w:eastAsia="宋体" w:cs="Times New Roman"/>
                <w:b/>
                <w:bCs/>
                <w:color w:val="auto"/>
                <w:szCs w:val="21"/>
              </w:rPr>
            </w:pPr>
            <w:r>
              <w:rPr>
                <w:rFonts w:hint="default" w:ascii="Times New Roman" w:hAnsi="Times New Roman" w:eastAsia="宋体" w:cs="Times New Roman"/>
                <w:b/>
                <w:bCs/>
                <w:color w:val="auto"/>
                <w:szCs w:val="21"/>
              </w:rPr>
              <w:t>环境保护措施</w:t>
            </w:r>
          </w:p>
        </w:tc>
        <w:tc>
          <w:tcPr>
            <w:tcW w:w="1748" w:type="dxa"/>
            <w:vAlign w:val="center"/>
          </w:tcPr>
          <w:p w14:paraId="7AC9E740">
            <w:pPr>
              <w:keepNext w:val="0"/>
              <w:keepLines w:val="0"/>
              <w:suppressLineNumbers w:val="0"/>
              <w:spacing w:before="0" w:beforeAutospacing="0" w:after="0" w:afterAutospacing="0"/>
              <w:ind w:left="0" w:right="0"/>
              <w:jc w:val="center"/>
              <w:rPr>
                <w:rFonts w:hint="default" w:ascii="Times New Roman" w:hAnsi="Times New Roman" w:eastAsia="宋体" w:cs="Times New Roman"/>
                <w:b/>
                <w:bCs/>
                <w:color w:val="auto"/>
                <w:szCs w:val="21"/>
              </w:rPr>
            </w:pPr>
            <w:r>
              <w:rPr>
                <w:rFonts w:hint="default" w:ascii="Times New Roman" w:hAnsi="Times New Roman" w:eastAsia="宋体" w:cs="Times New Roman"/>
                <w:b/>
                <w:bCs/>
                <w:color w:val="auto"/>
                <w:szCs w:val="21"/>
              </w:rPr>
              <w:t>执行标准</w:t>
            </w:r>
          </w:p>
        </w:tc>
      </w:tr>
      <w:tr w14:paraId="6A88EB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1120" w:type="dxa"/>
            <w:vMerge w:val="restart"/>
            <w:vAlign w:val="center"/>
          </w:tcPr>
          <w:p w14:paraId="1575EC61">
            <w:pPr>
              <w:keepNext w:val="0"/>
              <w:keepLines w:val="0"/>
              <w:suppressLineNumbers w:val="0"/>
              <w:spacing w:before="0" w:beforeAutospacing="0" w:after="0" w:afterAutospacing="0"/>
              <w:ind w:left="0" w:right="0"/>
              <w:jc w:val="center"/>
              <w:rPr>
                <w:rFonts w:hint="default" w:ascii="Times New Roman" w:hAnsi="Times New Roman" w:eastAsia="宋体" w:cs="Times New Roman"/>
                <w:b/>
                <w:bCs/>
                <w:color w:val="auto"/>
                <w:szCs w:val="21"/>
              </w:rPr>
            </w:pPr>
            <w:r>
              <w:rPr>
                <w:rFonts w:hint="default" w:ascii="Times New Roman" w:hAnsi="Times New Roman" w:eastAsia="宋体" w:cs="Times New Roman"/>
                <w:b/>
                <w:bCs/>
                <w:color w:val="auto"/>
                <w:szCs w:val="21"/>
              </w:rPr>
              <w:t>大气环境</w:t>
            </w:r>
          </w:p>
        </w:tc>
        <w:tc>
          <w:tcPr>
            <w:tcW w:w="1546" w:type="dxa"/>
            <w:vAlign w:val="center"/>
          </w:tcPr>
          <w:p w14:paraId="5FE8DFFF">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lang w:val="en-US" w:eastAsia="zh-CN"/>
              </w:rPr>
              <w:t>贴合废气</w:t>
            </w:r>
          </w:p>
        </w:tc>
        <w:tc>
          <w:tcPr>
            <w:tcW w:w="996" w:type="dxa"/>
            <w:vAlign w:val="center"/>
          </w:tcPr>
          <w:p w14:paraId="63B73787">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rPr>
              <w:t>非甲烷总烃、臭气浓度</w:t>
            </w:r>
          </w:p>
        </w:tc>
        <w:tc>
          <w:tcPr>
            <w:tcW w:w="3472" w:type="dxa"/>
            <w:vAlign w:val="center"/>
          </w:tcPr>
          <w:p w14:paraId="57C005EA">
            <w:pPr>
              <w:keepNext w:val="0"/>
              <w:keepLines w:val="0"/>
              <w:suppressLineNumbers w:val="0"/>
              <w:spacing w:before="0" w:beforeAutospacing="0" w:after="0" w:afterAutospacing="0"/>
              <w:ind w:left="0" w:right="0"/>
              <w:jc w:val="center"/>
              <w:rPr>
                <w:rFonts w:hint="eastAsia" w:ascii="Times New Roman" w:hAnsi="Times New Roman" w:eastAsia="宋体" w:cs="Times New Roman"/>
                <w:color w:val="auto"/>
                <w:szCs w:val="21"/>
              </w:rPr>
            </w:pPr>
            <w:r>
              <w:rPr>
                <w:rFonts w:hint="eastAsia" w:ascii="Times New Roman" w:hAnsi="Times New Roman" w:eastAsia="宋体" w:cs="Times New Roman"/>
                <w:color w:val="auto"/>
                <w:szCs w:val="21"/>
                <w:lang w:val="en-US" w:eastAsia="zh-CN"/>
              </w:rPr>
              <w:t>产生的挥发废气量极少，不做定量分析，以无组织形式排放</w:t>
            </w:r>
          </w:p>
        </w:tc>
        <w:tc>
          <w:tcPr>
            <w:tcW w:w="1748" w:type="dxa"/>
            <w:vMerge w:val="restart"/>
            <w:vAlign w:val="center"/>
          </w:tcPr>
          <w:p w14:paraId="57A6663A">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rPr>
              <w:t>颗粒物、非甲烷总烃</w:t>
            </w:r>
            <w:r>
              <w:rPr>
                <w:rFonts w:hint="default" w:ascii="Times New Roman" w:hAnsi="Times New Roman" w:eastAsia="宋体" w:cs="Times New Roman"/>
                <w:color w:val="auto"/>
                <w:szCs w:val="21"/>
                <w:lang w:val="en-US" w:eastAsia="zh-CN"/>
              </w:rPr>
              <w:t>排放浓度</w:t>
            </w:r>
            <w:r>
              <w:rPr>
                <w:rFonts w:hint="eastAsia" w:ascii="Times New Roman" w:hAnsi="Times New Roman" w:eastAsia="宋体" w:cs="Times New Roman"/>
                <w:color w:val="auto"/>
                <w:szCs w:val="21"/>
                <w:lang w:val="en-US" w:eastAsia="zh-CN"/>
              </w:rPr>
              <w:t>执行</w:t>
            </w:r>
            <w:r>
              <w:rPr>
                <w:rFonts w:hint="default" w:ascii="Times New Roman" w:hAnsi="Times New Roman" w:eastAsia="宋体" w:cs="Times New Roman"/>
                <w:color w:val="auto"/>
                <w:szCs w:val="21"/>
              </w:rPr>
              <w:t>《合成树脂工业污染物排放标准》（GB31572-201</w:t>
            </w:r>
            <w:r>
              <w:rPr>
                <w:rFonts w:hint="default" w:ascii="Times New Roman" w:hAnsi="Times New Roman" w:eastAsia="宋体" w:cs="Times New Roman"/>
                <w:color w:val="00B050"/>
                <w:szCs w:val="21"/>
              </w:rPr>
              <w:t>5</w:t>
            </w:r>
            <w:r>
              <w:rPr>
                <w:rFonts w:hint="default" w:ascii="Times New Roman" w:hAnsi="Times New Roman" w:cs="Times New Roman"/>
                <w:color w:val="00B050"/>
              </w:rPr>
              <w:t>，含2024年修改单</w:t>
            </w:r>
            <w:r>
              <w:rPr>
                <w:rFonts w:hint="default" w:ascii="Times New Roman" w:hAnsi="Times New Roman" w:eastAsia="宋体" w:cs="Times New Roman"/>
                <w:color w:val="auto"/>
                <w:szCs w:val="21"/>
              </w:rPr>
              <w:t>）表5、表9中的限值标准，臭气浓度排放</w:t>
            </w:r>
            <w:r>
              <w:rPr>
                <w:rFonts w:hint="default" w:ascii="Times New Roman" w:hAnsi="Times New Roman" w:eastAsia="宋体" w:cs="Times New Roman"/>
                <w:color w:val="auto"/>
                <w:szCs w:val="21"/>
                <w:lang w:val="en-US" w:eastAsia="zh-CN"/>
              </w:rPr>
              <w:t>执行</w:t>
            </w:r>
            <w:r>
              <w:rPr>
                <w:rFonts w:hint="default" w:ascii="Times New Roman" w:hAnsi="Times New Roman" w:eastAsia="宋体" w:cs="Times New Roman"/>
                <w:color w:val="auto"/>
                <w:szCs w:val="21"/>
              </w:rPr>
              <w:t>《恶臭污染物排放标准》（GB14554-93）表2、表1中的限值标准</w:t>
            </w:r>
            <w:r>
              <w:rPr>
                <w:rFonts w:hint="default" w:ascii="Times New Roman" w:hAnsi="Times New Roman" w:eastAsia="宋体" w:cs="Times New Roman"/>
                <w:color w:val="auto"/>
                <w:szCs w:val="21"/>
                <w:lang w:val="en-US" w:eastAsia="zh-CN"/>
              </w:rPr>
              <w:t>和《湖州市木业、漆包线及塑料行业废气整治规范》中的较严值</w:t>
            </w:r>
            <w:r>
              <w:rPr>
                <w:rFonts w:hint="default" w:ascii="Times New Roman" w:hAnsi="Times New Roman" w:eastAsia="宋体" w:cs="Times New Roman"/>
                <w:color w:val="auto"/>
                <w:szCs w:val="21"/>
              </w:rPr>
              <w:t>，厂区内非甲烷总烃</w:t>
            </w:r>
            <w:r>
              <w:rPr>
                <w:rFonts w:hint="default" w:ascii="Times New Roman" w:hAnsi="Times New Roman" w:eastAsia="宋体" w:cs="Times New Roman"/>
                <w:color w:val="auto"/>
                <w:szCs w:val="21"/>
                <w:lang w:val="en-US" w:eastAsia="zh-CN"/>
              </w:rPr>
              <w:t>排放浓度执行</w:t>
            </w:r>
            <w:r>
              <w:rPr>
                <w:rFonts w:hint="default" w:ascii="Times New Roman" w:hAnsi="Times New Roman" w:eastAsia="宋体" w:cs="Times New Roman"/>
                <w:color w:val="auto"/>
                <w:szCs w:val="21"/>
              </w:rPr>
              <w:t>《挥发性有机物无组织排放控制标准》（GB37822—2019）表A.1中的限值标准</w:t>
            </w:r>
          </w:p>
        </w:tc>
      </w:tr>
      <w:tr w14:paraId="0B2733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1120" w:type="dxa"/>
            <w:vMerge w:val="continue"/>
            <w:vAlign w:val="center"/>
          </w:tcPr>
          <w:p w14:paraId="7B80C141">
            <w:pPr>
              <w:keepNext w:val="0"/>
              <w:keepLines w:val="0"/>
              <w:suppressLineNumbers w:val="0"/>
              <w:spacing w:before="0" w:beforeAutospacing="0" w:after="0" w:afterAutospacing="0"/>
              <w:ind w:left="0" w:right="0"/>
              <w:jc w:val="center"/>
              <w:rPr>
                <w:rFonts w:hint="default" w:ascii="Times New Roman" w:hAnsi="Times New Roman" w:eastAsia="宋体" w:cs="Times New Roman"/>
                <w:b/>
                <w:bCs/>
                <w:color w:val="auto"/>
                <w:szCs w:val="21"/>
              </w:rPr>
            </w:pPr>
          </w:p>
        </w:tc>
        <w:tc>
          <w:tcPr>
            <w:tcW w:w="1546" w:type="dxa"/>
            <w:vAlign w:val="center"/>
          </w:tcPr>
          <w:p w14:paraId="5CCFE33D">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0000E1"/>
                <w:szCs w:val="21"/>
                <w:lang w:val="en-US" w:eastAsia="zh-CN"/>
              </w:rPr>
            </w:pPr>
            <w:r>
              <w:rPr>
                <w:rFonts w:hint="default" w:ascii="Times New Roman" w:hAnsi="Times New Roman" w:eastAsia="宋体" w:cs="Times New Roman"/>
                <w:color w:val="0000E1"/>
                <w:szCs w:val="21"/>
                <w:lang w:val="en-US" w:eastAsia="zh-CN"/>
              </w:rPr>
              <w:t>激光切割粉尘</w:t>
            </w:r>
          </w:p>
        </w:tc>
        <w:tc>
          <w:tcPr>
            <w:tcW w:w="996" w:type="dxa"/>
            <w:vAlign w:val="center"/>
          </w:tcPr>
          <w:p w14:paraId="166A8A0D">
            <w:pPr>
              <w:keepNext w:val="0"/>
              <w:keepLines w:val="0"/>
              <w:suppressLineNumbers w:val="0"/>
              <w:spacing w:before="0" w:beforeAutospacing="0" w:after="0" w:afterAutospacing="0"/>
              <w:ind w:left="0" w:right="0"/>
              <w:jc w:val="center"/>
              <w:rPr>
                <w:rFonts w:hint="eastAsia" w:ascii="Times New Roman" w:hAnsi="Times New Roman" w:eastAsia="宋体" w:cs="Times New Roman"/>
                <w:color w:val="0000E1"/>
                <w:szCs w:val="21"/>
                <w:lang w:val="en-US" w:eastAsia="zh-CN"/>
              </w:rPr>
            </w:pPr>
            <w:r>
              <w:rPr>
                <w:rFonts w:hint="eastAsia" w:ascii="Times New Roman" w:hAnsi="Times New Roman" w:eastAsia="宋体" w:cs="Times New Roman"/>
                <w:color w:val="0000E1"/>
                <w:szCs w:val="21"/>
                <w:lang w:val="en-US" w:eastAsia="zh-CN"/>
              </w:rPr>
              <w:t>颗粒物</w:t>
            </w:r>
          </w:p>
        </w:tc>
        <w:tc>
          <w:tcPr>
            <w:tcW w:w="3472" w:type="dxa"/>
            <w:vAlign w:val="center"/>
          </w:tcPr>
          <w:p w14:paraId="0991F105">
            <w:pPr>
              <w:keepNext w:val="0"/>
              <w:keepLines w:val="0"/>
              <w:suppressLineNumbers w:val="0"/>
              <w:spacing w:before="0" w:beforeAutospacing="0" w:after="0" w:afterAutospacing="0"/>
              <w:ind w:left="0" w:right="0"/>
              <w:jc w:val="center"/>
              <w:rPr>
                <w:rFonts w:hint="eastAsia" w:ascii="Times New Roman" w:hAnsi="Times New Roman" w:eastAsia="宋体" w:cs="Times New Roman"/>
                <w:color w:val="0000E1"/>
                <w:szCs w:val="21"/>
                <w:lang w:val="en-US" w:eastAsia="zh-CN"/>
              </w:rPr>
            </w:pPr>
            <w:r>
              <w:rPr>
                <w:rFonts w:hint="eastAsia" w:ascii="Times New Roman" w:hAnsi="Times New Roman" w:eastAsia="宋体" w:cs="Times New Roman"/>
                <w:color w:val="0000E1"/>
                <w:szCs w:val="21"/>
                <w:lang w:val="en-US" w:eastAsia="zh-CN"/>
              </w:rPr>
              <w:t>本项目激光切割机自带脉冲滤筒除尘系统对切割粉尘进行收集、处理后无组织排放</w:t>
            </w:r>
          </w:p>
        </w:tc>
        <w:tc>
          <w:tcPr>
            <w:tcW w:w="1748" w:type="dxa"/>
            <w:vMerge w:val="continue"/>
            <w:vAlign w:val="center"/>
          </w:tcPr>
          <w:p w14:paraId="7CADA9AD">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p>
        </w:tc>
      </w:tr>
      <w:tr w14:paraId="698FB6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1120" w:type="dxa"/>
            <w:vMerge w:val="continue"/>
            <w:vAlign w:val="center"/>
          </w:tcPr>
          <w:p w14:paraId="68CA8DB5">
            <w:pPr>
              <w:keepNext w:val="0"/>
              <w:keepLines w:val="0"/>
              <w:suppressLineNumbers w:val="0"/>
              <w:spacing w:before="0" w:beforeAutospacing="0" w:after="0" w:afterAutospacing="0"/>
              <w:ind w:left="0" w:right="0"/>
              <w:jc w:val="center"/>
              <w:rPr>
                <w:rFonts w:hint="default" w:ascii="Times New Roman" w:hAnsi="Times New Roman" w:eastAsia="宋体" w:cs="Times New Roman"/>
                <w:b/>
                <w:bCs/>
                <w:color w:val="auto"/>
                <w:szCs w:val="21"/>
              </w:rPr>
            </w:pPr>
          </w:p>
        </w:tc>
        <w:tc>
          <w:tcPr>
            <w:tcW w:w="1546" w:type="dxa"/>
            <w:vAlign w:val="center"/>
          </w:tcPr>
          <w:p w14:paraId="3985D7FD">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lang w:val="en-US" w:eastAsia="zh-CN"/>
              </w:rPr>
              <w:t>真空热合废气</w:t>
            </w:r>
          </w:p>
        </w:tc>
        <w:tc>
          <w:tcPr>
            <w:tcW w:w="996" w:type="dxa"/>
            <w:vAlign w:val="center"/>
          </w:tcPr>
          <w:p w14:paraId="753768D1">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rPr>
              <w:t>非甲烷总烃、臭气浓度</w:t>
            </w:r>
          </w:p>
        </w:tc>
        <w:tc>
          <w:tcPr>
            <w:tcW w:w="3472" w:type="dxa"/>
            <w:vAlign w:val="center"/>
          </w:tcPr>
          <w:p w14:paraId="282C001B">
            <w:pPr>
              <w:keepNext w:val="0"/>
              <w:keepLines w:val="0"/>
              <w:suppressLineNumbers w:val="0"/>
              <w:spacing w:before="0" w:beforeAutospacing="0" w:after="0" w:afterAutospacing="0"/>
              <w:ind w:left="0" w:right="0"/>
              <w:jc w:val="center"/>
              <w:rPr>
                <w:rFonts w:hint="eastAsia" w:ascii="Times New Roman" w:hAnsi="Times New Roman" w:eastAsia="宋体" w:cs="Times New Roman"/>
                <w:color w:val="auto"/>
                <w:szCs w:val="21"/>
              </w:rPr>
            </w:pPr>
            <w:r>
              <w:rPr>
                <w:rFonts w:hint="eastAsia" w:ascii="Times New Roman" w:hAnsi="Times New Roman" w:eastAsia="宋体" w:cs="Times New Roman"/>
                <w:color w:val="auto"/>
                <w:szCs w:val="21"/>
                <w:lang w:val="en-US" w:eastAsia="zh-CN"/>
              </w:rPr>
              <w:t>非甲烷总烃的产生量和产生速率均较小，故真空热合过程产生的废气对环境影响较小，以无组织形式排放</w:t>
            </w:r>
          </w:p>
        </w:tc>
        <w:tc>
          <w:tcPr>
            <w:tcW w:w="1748" w:type="dxa"/>
            <w:vMerge w:val="continue"/>
            <w:vAlign w:val="center"/>
          </w:tcPr>
          <w:p w14:paraId="06769BDB">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p>
        </w:tc>
      </w:tr>
      <w:tr w14:paraId="1E38E3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1120" w:type="dxa"/>
            <w:vMerge w:val="continue"/>
            <w:vAlign w:val="center"/>
          </w:tcPr>
          <w:p w14:paraId="1A9572EE">
            <w:pPr>
              <w:keepNext w:val="0"/>
              <w:keepLines w:val="0"/>
              <w:suppressLineNumbers w:val="0"/>
              <w:spacing w:before="0" w:beforeAutospacing="0" w:after="0" w:afterAutospacing="0"/>
              <w:ind w:left="0" w:right="0"/>
              <w:jc w:val="center"/>
              <w:rPr>
                <w:rFonts w:hint="default" w:ascii="Times New Roman" w:hAnsi="Times New Roman" w:eastAsia="宋体" w:cs="Times New Roman"/>
                <w:b/>
                <w:bCs/>
                <w:color w:val="auto"/>
                <w:szCs w:val="21"/>
              </w:rPr>
            </w:pPr>
          </w:p>
        </w:tc>
        <w:tc>
          <w:tcPr>
            <w:tcW w:w="1546" w:type="dxa"/>
            <w:vAlign w:val="center"/>
          </w:tcPr>
          <w:p w14:paraId="7266E754">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rPr>
              <w:t>固化废气</w:t>
            </w:r>
            <w:r>
              <w:rPr>
                <w:rFonts w:hint="default" w:ascii="Times New Roman" w:hAnsi="Times New Roman" w:eastAsia="宋体" w:cs="Times New Roman"/>
                <w:color w:val="auto"/>
                <w:szCs w:val="21"/>
                <w:lang w:eastAsia="zh-CN"/>
              </w:rPr>
              <w:t>、</w:t>
            </w:r>
            <w:r>
              <w:rPr>
                <w:rFonts w:hint="default" w:ascii="Times New Roman" w:hAnsi="Times New Roman" w:eastAsia="宋体" w:cs="Times New Roman"/>
                <w:color w:val="auto"/>
                <w:szCs w:val="21"/>
                <w:lang w:val="en-US" w:eastAsia="zh-CN"/>
              </w:rPr>
              <w:t>背胶废气、辅料成型废气</w:t>
            </w:r>
            <w:r>
              <w:rPr>
                <w:rFonts w:hint="default" w:ascii="Times New Roman" w:hAnsi="Times New Roman" w:eastAsia="宋体" w:cs="Times New Roman"/>
                <w:color w:val="auto"/>
                <w:szCs w:val="21"/>
              </w:rPr>
              <w:t>排气筒DA001</w:t>
            </w:r>
          </w:p>
        </w:tc>
        <w:tc>
          <w:tcPr>
            <w:tcW w:w="996" w:type="dxa"/>
            <w:vAlign w:val="center"/>
          </w:tcPr>
          <w:p w14:paraId="70C57DAB">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rPr>
              <w:t>非甲烷总烃、臭气浓度</w:t>
            </w:r>
          </w:p>
        </w:tc>
        <w:tc>
          <w:tcPr>
            <w:tcW w:w="3472" w:type="dxa"/>
            <w:vAlign w:val="center"/>
          </w:tcPr>
          <w:p w14:paraId="63730893">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jc w:val="center"/>
              <w:textAlignment w:val="auto"/>
              <w:rPr>
                <w:rFonts w:hint="default" w:ascii="Times New Roman" w:hAnsi="Times New Roman" w:eastAsia="宋体" w:cs="Times New Roman"/>
                <w:color w:val="auto"/>
                <w:szCs w:val="21"/>
              </w:rPr>
            </w:pPr>
            <w:r>
              <w:rPr>
                <w:rFonts w:hint="eastAsia" w:ascii="Times New Roman" w:hAnsi="Times New Roman" w:eastAsia="宋体" w:cs="Times New Roman"/>
                <w:color w:val="auto"/>
                <w:szCs w:val="21"/>
                <w:lang w:val="en-US" w:eastAsia="zh-CN"/>
              </w:rPr>
              <w:t>本项目烘烤固化工序均为全密闭设备，在烘道进出口设置全密闭风罩，仅留进出口通道；本项目背胶贴合区整体密闭，在生产车间进行整体抽风，仅设置一个进出口，在非必要情况下也必须处于关闭状态，使生产车间整体处于相对密闭状态；本项目立式液态射出成型机运行过程保持加热段和成型段密闭，因此，废气仅在其物料完成成型工艺的出口散发，故拟在物料出口上方设置集气罩，以上废气经收集后通过一套水喷淋+干式过滤+二级活性炭吸附装置（TA001）处理，尾气由一根26m高的排气筒DA001排放</w:t>
            </w:r>
          </w:p>
        </w:tc>
        <w:tc>
          <w:tcPr>
            <w:tcW w:w="1748" w:type="dxa"/>
            <w:vMerge w:val="continue"/>
            <w:vAlign w:val="center"/>
          </w:tcPr>
          <w:p w14:paraId="4F1CC831">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p>
        </w:tc>
      </w:tr>
      <w:tr w14:paraId="19D1C6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1120" w:type="dxa"/>
            <w:vMerge w:val="continue"/>
            <w:vAlign w:val="center"/>
          </w:tcPr>
          <w:p w14:paraId="07698A17">
            <w:pPr>
              <w:keepNext w:val="0"/>
              <w:keepLines w:val="0"/>
              <w:suppressLineNumbers w:val="0"/>
              <w:spacing w:before="0" w:beforeAutospacing="0" w:after="0" w:afterAutospacing="0"/>
              <w:ind w:left="0" w:right="0"/>
              <w:jc w:val="center"/>
              <w:rPr>
                <w:rFonts w:hint="default" w:ascii="Times New Roman" w:hAnsi="Times New Roman" w:eastAsia="宋体" w:cs="Times New Roman"/>
                <w:b/>
                <w:bCs/>
                <w:color w:val="auto"/>
                <w:szCs w:val="21"/>
              </w:rPr>
            </w:pPr>
          </w:p>
        </w:tc>
        <w:tc>
          <w:tcPr>
            <w:tcW w:w="1546" w:type="dxa"/>
            <w:vAlign w:val="center"/>
          </w:tcPr>
          <w:p w14:paraId="76E336F8">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lang w:val="en-US" w:eastAsia="zh-CN"/>
              </w:rPr>
              <w:t>拆包粉尘、投料粉尘、出料粉尘</w:t>
            </w:r>
            <w:r>
              <w:rPr>
                <w:rFonts w:hint="default" w:ascii="Times New Roman" w:hAnsi="Times New Roman" w:eastAsia="宋体" w:cs="Times New Roman"/>
                <w:color w:val="auto"/>
                <w:szCs w:val="21"/>
              </w:rPr>
              <w:t>排气筒DA002</w:t>
            </w:r>
          </w:p>
        </w:tc>
        <w:tc>
          <w:tcPr>
            <w:tcW w:w="996" w:type="dxa"/>
            <w:vAlign w:val="center"/>
          </w:tcPr>
          <w:p w14:paraId="05C0C527">
            <w:pPr>
              <w:keepNext w:val="0"/>
              <w:keepLines w:val="0"/>
              <w:suppressLineNumbers w:val="0"/>
              <w:spacing w:before="0" w:beforeAutospacing="0" w:after="0" w:afterAutospacing="0"/>
              <w:ind w:left="0" w:right="0"/>
              <w:jc w:val="center"/>
              <w:rPr>
                <w:rFonts w:hint="eastAsia" w:ascii="Times New Roman" w:hAnsi="Times New Roman" w:eastAsia="宋体" w:cs="Times New Roman"/>
                <w:color w:val="auto"/>
                <w:szCs w:val="21"/>
                <w:lang w:eastAsia="zh-CN"/>
              </w:rPr>
            </w:pPr>
            <w:r>
              <w:rPr>
                <w:rFonts w:hint="eastAsia" w:ascii="Times New Roman" w:hAnsi="Times New Roman" w:eastAsia="宋体" w:cs="Times New Roman"/>
                <w:color w:val="auto"/>
                <w:szCs w:val="21"/>
                <w:lang w:val="en-US" w:eastAsia="zh-CN"/>
              </w:rPr>
              <w:t>颗粒物</w:t>
            </w:r>
          </w:p>
        </w:tc>
        <w:tc>
          <w:tcPr>
            <w:tcW w:w="3472" w:type="dxa"/>
            <w:vAlign w:val="center"/>
          </w:tcPr>
          <w:p w14:paraId="4F5822CA">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r>
              <w:rPr>
                <w:rFonts w:hint="eastAsia" w:ascii="Times New Roman" w:hAnsi="Times New Roman" w:eastAsia="宋体" w:cs="Times New Roman"/>
                <w:color w:val="auto"/>
                <w:szCs w:val="21"/>
                <w:lang w:val="en-US" w:eastAsia="zh-CN"/>
              </w:rPr>
              <w:t>本项目在自动拆包机、高速混合机投料口上方、超薄纳米板成型机出料口上方设置集气罩，废气经集气罩收集后通过一套脉冲式布袋除尘器（TA002）处理，尾气由一根26m高的排气筒DA002排放</w:t>
            </w:r>
          </w:p>
        </w:tc>
        <w:tc>
          <w:tcPr>
            <w:tcW w:w="1748" w:type="dxa"/>
            <w:vMerge w:val="continue"/>
            <w:vAlign w:val="center"/>
          </w:tcPr>
          <w:p w14:paraId="033B6D03">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p>
        </w:tc>
      </w:tr>
      <w:tr w14:paraId="5DA0E1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1120" w:type="dxa"/>
            <w:vMerge w:val="continue"/>
            <w:vAlign w:val="center"/>
          </w:tcPr>
          <w:p w14:paraId="1FB76374">
            <w:pPr>
              <w:keepNext w:val="0"/>
              <w:keepLines w:val="0"/>
              <w:suppressLineNumbers w:val="0"/>
              <w:spacing w:before="0" w:beforeAutospacing="0" w:after="0" w:afterAutospacing="0"/>
              <w:ind w:left="0" w:right="0"/>
              <w:jc w:val="center"/>
              <w:rPr>
                <w:rFonts w:hint="default" w:ascii="Times New Roman" w:hAnsi="Times New Roman" w:eastAsia="宋体" w:cs="Times New Roman"/>
                <w:b/>
                <w:bCs/>
                <w:color w:val="auto"/>
                <w:szCs w:val="21"/>
              </w:rPr>
            </w:pPr>
          </w:p>
        </w:tc>
        <w:tc>
          <w:tcPr>
            <w:tcW w:w="1546" w:type="dxa"/>
            <w:vMerge w:val="restart"/>
            <w:shd w:val="clear" w:color="auto" w:fill="auto"/>
            <w:vAlign w:val="center"/>
          </w:tcPr>
          <w:p w14:paraId="596F27AA">
            <w:pPr>
              <w:keepNext w:val="0"/>
              <w:keepLines w:val="0"/>
              <w:widowControl/>
              <w:suppressLineNumbers w:val="0"/>
              <w:wordWrap w:val="0"/>
              <w:spacing w:before="0" w:beforeAutospacing="0" w:after="0" w:afterAutospacing="0"/>
              <w:ind w:left="0" w:leftChars="0" w:right="0" w:rightChars="0"/>
              <w:jc w:val="center"/>
              <w:rPr>
                <w:rFonts w:hint="default" w:ascii="Times New Roman" w:hAnsi="Times New Roman" w:eastAsia="宋体" w:cs="Times New Roman"/>
                <w:color w:val="auto"/>
                <w:kern w:val="0"/>
                <w:sz w:val="21"/>
                <w:szCs w:val="21"/>
                <w:highlight w:val="none"/>
                <w:lang w:val="en-US" w:eastAsia="zh-CN" w:bidi="ar-SA"/>
              </w:rPr>
            </w:pPr>
            <w:r>
              <w:rPr>
                <w:rFonts w:hint="default" w:ascii="Times New Roman" w:hAnsi="Times New Roman" w:eastAsia="宋体" w:cs="Times New Roman"/>
                <w:color w:val="auto"/>
                <w:kern w:val="0"/>
                <w:sz w:val="21"/>
                <w:szCs w:val="21"/>
                <w:highlight w:val="none"/>
                <w:lang w:val="en-US" w:eastAsia="zh-CN"/>
              </w:rPr>
              <w:t>厂界</w:t>
            </w:r>
          </w:p>
        </w:tc>
        <w:tc>
          <w:tcPr>
            <w:tcW w:w="996" w:type="dxa"/>
            <w:shd w:val="clear" w:color="auto" w:fill="auto"/>
            <w:vAlign w:val="center"/>
          </w:tcPr>
          <w:p w14:paraId="18518C63">
            <w:pPr>
              <w:keepNext w:val="0"/>
              <w:keepLines w:val="0"/>
              <w:widowControl/>
              <w:suppressLineNumbers w:val="0"/>
              <w:wordWrap w:val="0"/>
              <w:spacing w:before="0" w:beforeAutospacing="0" w:after="0" w:afterAutospacing="0"/>
              <w:ind w:left="0" w:leftChars="0" w:right="0" w:rightChars="0"/>
              <w:jc w:val="center"/>
              <w:rPr>
                <w:rFonts w:hint="default" w:ascii="Times New Roman" w:hAnsi="Times New Roman" w:eastAsia="宋体" w:cs="Times New Roman"/>
                <w:color w:val="auto"/>
                <w:kern w:val="0"/>
                <w:sz w:val="21"/>
                <w:szCs w:val="21"/>
                <w:highlight w:val="none"/>
                <w:lang w:val="en-US" w:eastAsia="zh-CN" w:bidi="ar-SA"/>
              </w:rPr>
            </w:pPr>
            <w:r>
              <w:rPr>
                <w:rFonts w:hint="default" w:ascii="Times New Roman" w:hAnsi="Times New Roman" w:eastAsia="宋体" w:cs="Times New Roman"/>
                <w:color w:val="auto"/>
                <w:kern w:val="0"/>
                <w:sz w:val="21"/>
                <w:szCs w:val="21"/>
                <w:highlight w:val="none"/>
                <w:lang w:val="en-US" w:eastAsia="zh-CN"/>
              </w:rPr>
              <w:t>颗粒物</w:t>
            </w:r>
          </w:p>
        </w:tc>
        <w:tc>
          <w:tcPr>
            <w:tcW w:w="3472" w:type="dxa"/>
            <w:vMerge w:val="restart"/>
            <w:vAlign w:val="center"/>
          </w:tcPr>
          <w:p w14:paraId="00E1C0C6">
            <w:pPr>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lang w:val="en-US" w:eastAsia="zh-CN"/>
              </w:rPr>
              <w:t>加强管理，定期对设备进行检查和维护，保证设备的严密性，防止跑冒滴漏的产生，无组织排放</w:t>
            </w:r>
          </w:p>
        </w:tc>
        <w:tc>
          <w:tcPr>
            <w:tcW w:w="1748" w:type="dxa"/>
            <w:vMerge w:val="continue"/>
            <w:vAlign w:val="center"/>
          </w:tcPr>
          <w:p w14:paraId="4C0B03E2">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p>
        </w:tc>
      </w:tr>
      <w:tr w14:paraId="1176FC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1120" w:type="dxa"/>
            <w:vMerge w:val="continue"/>
            <w:vAlign w:val="center"/>
          </w:tcPr>
          <w:p w14:paraId="00070482">
            <w:pPr>
              <w:keepNext w:val="0"/>
              <w:keepLines w:val="0"/>
              <w:suppressLineNumbers w:val="0"/>
              <w:spacing w:before="0" w:beforeAutospacing="0" w:after="0" w:afterAutospacing="0"/>
              <w:ind w:left="0" w:right="0"/>
              <w:jc w:val="center"/>
              <w:rPr>
                <w:rFonts w:hint="default" w:ascii="Times New Roman" w:hAnsi="Times New Roman" w:eastAsia="宋体" w:cs="Times New Roman"/>
                <w:b/>
                <w:bCs/>
                <w:color w:val="auto"/>
                <w:szCs w:val="21"/>
              </w:rPr>
            </w:pPr>
          </w:p>
        </w:tc>
        <w:tc>
          <w:tcPr>
            <w:tcW w:w="1546" w:type="dxa"/>
            <w:vMerge w:val="continue"/>
            <w:vAlign w:val="center"/>
          </w:tcPr>
          <w:p w14:paraId="28449B70">
            <w:pPr>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color w:val="auto"/>
                <w:szCs w:val="21"/>
              </w:rPr>
            </w:pPr>
          </w:p>
        </w:tc>
        <w:tc>
          <w:tcPr>
            <w:tcW w:w="996" w:type="dxa"/>
            <w:shd w:val="clear" w:color="auto" w:fill="auto"/>
            <w:vAlign w:val="center"/>
          </w:tcPr>
          <w:p w14:paraId="6B0BD19B">
            <w:pPr>
              <w:keepNext w:val="0"/>
              <w:keepLines w:val="0"/>
              <w:widowControl/>
              <w:suppressLineNumbers w:val="0"/>
              <w:wordWrap w:val="0"/>
              <w:spacing w:before="0" w:beforeAutospacing="0" w:after="0" w:afterAutospacing="0"/>
              <w:ind w:left="0" w:leftChars="0" w:right="0" w:rightChars="0"/>
              <w:jc w:val="center"/>
              <w:rPr>
                <w:rFonts w:hint="default" w:ascii="Times New Roman" w:hAnsi="Times New Roman" w:eastAsia="宋体" w:cs="Times New Roman"/>
                <w:color w:val="auto"/>
                <w:kern w:val="0"/>
                <w:sz w:val="21"/>
                <w:szCs w:val="21"/>
                <w:highlight w:val="none"/>
                <w:lang w:val="en-US" w:eastAsia="zh-CN" w:bidi="ar-SA"/>
              </w:rPr>
            </w:pPr>
            <w:r>
              <w:rPr>
                <w:rFonts w:hint="default" w:ascii="Times New Roman" w:hAnsi="Times New Roman" w:eastAsia="宋体" w:cs="Times New Roman"/>
                <w:color w:val="auto"/>
                <w:kern w:val="0"/>
                <w:sz w:val="21"/>
                <w:szCs w:val="21"/>
                <w:highlight w:val="none"/>
                <w:lang w:val="en-US" w:eastAsia="zh-CN"/>
              </w:rPr>
              <w:t>非甲烷总烃、臭气浓度</w:t>
            </w:r>
          </w:p>
        </w:tc>
        <w:tc>
          <w:tcPr>
            <w:tcW w:w="3472" w:type="dxa"/>
            <w:vMerge w:val="continue"/>
            <w:vAlign w:val="center"/>
          </w:tcPr>
          <w:p w14:paraId="3F751E72">
            <w:pPr>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color w:val="auto"/>
                <w:szCs w:val="21"/>
              </w:rPr>
            </w:pPr>
          </w:p>
        </w:tc>
        <w:tc>
          <w:tcPr>
            <w:tcW w:w="1748" w:type="dxa"/>
            <w:vMerge w:val="continue"/>
            <w:vAlign w:val="center"/>
          </w:tcPr>
          <w:p w14:paraId="0B1DCE10">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p>
        </w:tc>
      </w:tr>
      <w:tr w14:paraId="77C6BE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1120" w:type="dxa"/>
            <w:vMerge w:val="continue"/>
            <w:vAlign w:val="center"/>
          </w:tcPr>
          <w:p w14:paraId="39D1A7DF">
            <w:pPr>
              <w:keepNext w:val="0"/>
              <w:keepLines w:val="0"/>
              <w:suppressLineNumbers w:val="0"/>
              <w:spacing w:before="0" w:beforeAutospacing="0" w:after="0" w:afterAutospacing="0"/>
              <w:ind w:left="0" w:right="0"/>
              <w:jc w:val="center"/>
              <w:rPr>
                <w:rFonts w:hint="default" w:ascii="Times New Roman" w:hAnsi="Times New Roman" w:eastAsia="宋体" w:cs="Times New Roman"/>
                <w:b/>
                <w:bCs/>
                <w:color w:val="auto"/>
                <w:szCs w:val="21"/>
              </w:rPr>
            </w:pPr>
          </w:p>
        </w:tc>
        <w:tc>
          <w:tcPr>
            <w:tcW w:w="1546" w:type="dxa"/>
            <w:shd w:val="clear" w:color="auto" w:fill="auto"/>
            <w:vAlign w:val="center"/>
          </w:tcPr>
          <w:p w14:paraId="4EE9D99F">
            <w:pPr>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color w:val="auto"/>
                <w:kern w:val="2"/>
                <w:sz w:val="21"/>
                <w:szCs w:val="21"/>
                <w:highlight w:val="none"/>
                <w:lang w:val="en-US" w:eastAsia="zh-CN" w:bidi="ar-SA"/>
              </w:rPr>
            </w:pPr>
            <w:r>
              <w:rPr>
                <w:rFonts w:hint="eastAsia" w:ascii="Times New Roman" w:hAnsi="Times New Roman" w:eastAsia="宋体" w:cs="Times New Roman"/>
                <w:color w:val="auto"/>
                <w:szCs w:val="21"/>
                <w:highlight w:val="none"/>
                <w:lang w:val="en-US" w:eastAsia="zh-CN"/>
              </w:rPr>
              <w:t>厂区内</w:t>
            </w:r>
          </w:p>
        </w:tc>
        <w:tc>
          <w:tcPr>
            <w:tcW w:w="996" w:type="dxa"/>
            <w:shd w:val="clear" w:color="auto" w:fill="auto"/>
            <w:vAlign w:val="center"/>
          </w:tcPr>
          <w:p w14:paraId="33A2692E">
            <w:pPr>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color w:val="auto"/>
                <w:sz w:val="21"/>
                <w:szCs w:val="21"/>
                <w:highlight w:val="none"/>
                <w:lang w:val="en-US" w:eastAsia="zh-CN"/>
              </w:rPr>
              <w:t>非甲烷总烃</w:t>
            </w:r>
          </w:p>
        </w:tc>
        <w:tc>
          <w:tcPr>
            <w:tcW w:w="3472" w:type="dxa"/>
            <w:vMerge w:val="continue"/>
            <w:vAlign w:val="center"/>
          </w:tcPr>
          <w:p w14:paraId="460D7502">
            <w:pPr>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color w:val="auto"/>
                <w:szCs w:val="21"/>
              </w:rPr>
            </w:pPr>
          </w:p>
        </w:tc>
        <w:tc>
          <w:tcPr>
            <w:tcW w:w="1748" w:type="dxa"/>
            <w:vMerge w:val="continue"/>
            <w:vAlign w:val="center"/>
          </w:tcPr>
          <w:p w14:paraId="1DC16BCF">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p>
        </w:tc>
      </w:tr>
      <w:tr w14:paraId="7ACBDD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1120" w:type="dxa"/>
            <w:vMerge w:val="restart"/>
            <w:vAlign w:val="center"/>
          </w:tcPr>
          <w:p w14:paraId="1CC94468">
            <w:pPr>
              <w:keepNext w:val="0"/>
              <w:keepLines w:val="0"/>
              <w:suppressLineNumbers w:val="0"/>
              <w:spacing w:before="0" w:beforeAutospacing="0" w:after="0" w:afterAutospacing="0"/>
              <w:ind w:left="0" w:right="0"/>
              <w:jc w:val="center"/>
              <w:rPr>
                <w:rFonts w:hint="default" w:ascii="Times New Roman" w:hAnsi="Times New Roman" w:eastAsia="宋体" w:cs="Times New Roman"/>
                <w:b/>
                <w:bCs/>
                <w:color w:val="auto"/>
                <w:szCs w:val="21"/>
              </w:rPr>
            </w:pPr>
            <w:r>
              <w:rPr>
                <w:rFonts w:hint="default" w:ascii="Times New Roman" w:hAnsi="Times New Roman" w:eastAsia="宋体" w:cs="Times New Roman"/>
                <w:b/>
                <w:bCs/>
                <w:color w:val="auto"/>
                <w:szCs w:val="21"/>
              </w:rPr>
              <w:t>地表水</w:t>
            </w:r>
          </w:p>
          <w:p w14:paraId="70521A67">
            <w:pPr>
              <w:keepNext w:val="0"/>
              <w:keepLines w:val="0"/>
              <w:suppressLineNumbers w:val="0"/>
              <w:spacing w:before="0" w:beforeAutospacing="0" w:after="0" w:afterAutospacing="0"/>
              <w:ind w:left="0" w:right="0"/>
              <w:jc w:val="center"/>
              <w:rPr>
                <w:rFonts w:hint="default" w:ascii="Times New Roman" w:hAnsi="Times New Roman" w:eastAsia="宋体" w:cs="Times New Roman"/>
                <w:b/>
                <w:bCs/>
                <w:color w:val="auto"/>
                <w:szCs w:val="21"/>
              </w:rPr>
            </w:pPr>
            <w:r>
              <w:rPr>
                <w:rFonts w:hint="default" w:ascii="Times New Roman" w:hAnsi="Times New Roman" w:eastAsia="宋体" w:cs="Times New Roman"/>
                <w:b/>
                <w:bCs/>
                <w:color w:val="auto"/>
                <w:szCs w:val="21"/>
              </w:rPr>
              <w:t>环境</w:t>
            </w:r>
          </w:p>
        </w:tc>
        <w:tc>
          <w:tcPr>
            <w:tcW w:w="1546" w:type="dxa"/>
            <w:vAlign w:val="center"/>
          </w:tcPr>
          <w:p w14:paraId="18CBCC58">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r>
              <w:rPr>
                <w:rFonts w:hint="eastAsia" w:ascii="Times New Roman" w:hAnsi="Times New Roman" w:eastAsia="宋体" w:cs="Times New Roman"/>
                <w:color w:val="auto"/>
                <w:szCs w:val="21"/>
              </w:rPr>
              <w:t>生活污水排放口DW001</w:t>
            </w:r>
          </w:p>
        </w:tc>
        <w:tc>
          <w:tcPr>
            <w:tcW w:w="996" w:type="dxa"/>
            <w:vAlign w:val="center"/>
          </w:tcPr>
          <w:p w14:paraId="5D6B073C">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r>
              <w:rPr>
                <w:rFonts w:hint="eastAsia" w:ascii="Times New Roman" w:hAnsi="Times New Roman" w:eastAsia="宋体" w:cs="Times New Roman"/>
                <w:color w:val="auto"/>
                <w:szCs w:val="21"/>
              </w:rPr>
              <w:t>COD</w:t>
            </w:r>
            <w:r>
              <w:rPr>
                <w:rFonts w:hint="eastAsia" w:ascii="Times New Roman" w:hAnsi="Times New Roman" w:eastAsia="宋体" w:cs="Times New Roman"/>
                <w:color w:val="auto"/>
                <w:szCs w:val="21"/>
                <w:vertAlign w:val="subscript"/>
              </w:rPr>
              <w:t>Cr</w:t>
            </w:r>
            <w:r>
              <w:rPr>
                <w:rFonts w:hint="eastAsia" w:ascii="Times New Roman" w:hAnsi="Times New Roman" w:eastAsia="宋体" w:cs="Times New Roman"/>
                <w:color w:val="auto"/>
                <w:szCs w:val="21"/>
              </w:rPr>
              <w:t>、NH</w:t>
            </w:r>
            <w:r>
              <w:rPr>
                <w:rFonts w:hint="eastAsia" w:ascii="Times New Roman" w:hAnsi="Times New Roman" w:eastAsia="宋体" w:cs="Times New Roman"/>
                <w:color w:val="auto"/>
                <w:szCs w:val="21"/>
                <w:vertAlign w:val="subscript"/>
              </w:rPr>
              <w:t>3</w:t>
            </w:r>
            <w:r>
              <w:rPr>
                <w:rFonts w:hint="eastAsia" w:ascii="Times New Roman" w:hAnsi="Times New Roman" w:eastAsia="宋体" w:cs="Times New Roman"/>
                <w:color w:val="auto"/>
                <w:szCs w:val="21"/>
              </w:rPr>
              <w:t>-N</w:t>
            </w:r>
          </w:p>
        </w:tc>
        <w:tc>
          <w:tcPr>
            <w:tcW w:w="3472" w:type="dxa"/>
            <w:vAlign w:val="center"/>
          </w:tcPr>
          <w:p w14:paraId="6E017CA2">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rPr>
              <w:t>经</w:t>
            </w:r>
            <w:r>
              <w:rPr>
                <w:rFonts w:hint="default" w:ascii="Times New Roman" w:hAnsi="Times New Roman" w:eastAsia="宋体" w:cs="Times New Roman"/>
                <w:color w:val="auto"/>
                <w:szCs w:val="21"/>
                <w:lang w:val="en-US" w:eastAsia="zh-CN"/>
              </w:rPr>
              <w:t>出租方</w:t>
            </w:r>
            <w:r>
              <w:rPr>
                <w:rFonts w:hint="default" w:ascii="Times New Roman" w:hAnsi="Times New Roman" w:eastAsia="宋体" w:cs="Times New Roman"/>
                <w:color w:val="auto"/>
                <w:szCs w:val="21"/>
              </w:rPr>
              <w:t>化粪池处理后排入周边市政污水管网，由市政污水管网纳入安吉清源污水处理有限公司处理</w:t>
            </w:r>
          </w:p>
        </w:tc>
        <w:tc>
          <w:tcPr>
            <w:tcW w:w="1748" w:type="dxa"/>
            <w:vAlign w:val="center"/>
          </w:tcPr>
          <w:p w14:paraId="4A174C03">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r>
              <w:rPr>
                <w:rFonts w:hint="eastAsia" w:ascii="Times New Roman" w:hAnsi="Times New Roman" w:eastAsia="宋体" w:cs="Times New Roman"/>
                <w:color w:val="auto"/>
                <w:szCs w:val="21"/>
              </w:rPr>
              <w:t>安吉清源污水处理有限公司污水纳管标准</w:t>
            </w:r>
          </w:p>
        </w:tc>
      </w:tr>
      <w:tr w14:paraId="541AE1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1120" w:type="dxa"/>
            <w:vMerge w:val="continue"/>
            <w:vAlign w:val="center"/>
          </w:tcPr>
          <w:p w14:paraId="7A101703">
            <w:pPr>
              <w:keepNext w:val="0"/>
              <w:keepLines w:val="0"/>
              <w:suppressLineNumbers w:val="0"/>
              <w:spacing w:before="0" w:beforeAutospacing="0" w:after="0" w:afterAutospacing="0"/>
              <w:ind w:left="0" w:right="0"/>
              <w:jc w:val="center"/>
              <w:rPr>
                <w:rFonts w:hint="default" w:ascii="Times New Roman" w:hAnsi="Times New Roman" w:eastAsia="宋体" w:cs="Times New Roman"/>
                <w:b/>
                <w:bCs/>
                <w:color w:val="auto"/>
                <w:szCs w:val="21"/>
              </w:rPr>
            </w:pPr>
          </w:p>
        </w:tc>
        <w:tc>
          <w:tcPr>
            <w:tcW w:w="1546" w:type="dxa"/>
            <w:vAlign w:val="center"/>
          </w:tcPr>
          <w:p w14:paraId="564FC1B4">
            <w:pPr>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lang w:val="en-US" w:eastAsia="zh-CN"/>
              </w:rPr>
              <w:t>间接</w:t>
            </w:r>
            <w:r>
              <w:rPr>
                <w:rFonts w:hint="default" w:ascii="Times New Roman" w:hAnsi="Times New Roman" w:eastAsia="宋体" w:cs="Times New Roman"/>
                <w:color w:val="auto"/>
                <w:szCs w:val="21"/>
              </w:rPr>
              <w:t>冷却水</w:t>
            </w:r>
          </w:p>
        </w:tc>
        <w:tc>
          <w:tcPr>
            <w:tcW w:w="996" w:type="dxa"/>
            <w:vAlign w:val="center"/>
          </w:tcPr>
          <w:p w14:paraId="4CC6FAB8">
            <w:pPr>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color w:val="auto"/>
                <w:szCs w:val="21"/>
              </w:rPr>
            </w:pPr>
            <w:r>
              <w:rPr>
                <w:rFonts w:hint="eastAsia" w:ascii="宋体" w:hAnsi="宋体" w:eastAsia="宋体" w:cs="宋体"/>
                <w:color w:val="auto"/>
                <w:szCs w:val="21"/>
                <w:lang w:bidi="ar"/>
              </w:rPr>
              <w:t>热量</w:t>
            </w:r>
          </w:p>
        </w:tc>
        <w:tc>
          <w:tcPr>
            <w:tcW w:w="3472" w:type="dxa"/>
            <w:vAlign w:val="center"/>
          </w:tcPr>
          <w:p w14:paraId="088D4701">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r>
              <w:rPr>
                <w:rFonts w:hint="eastAsia" w:ascii="Times New Roman" w:hAnsi="Times New Roman" w:eastAsia="宋体" w:cs="Times New Roman"/>
                <w:color w:val="auto"/>
                <w:szCs w:val="21"/>
                <w:lang w:val="en-US" w:eastAsia="zh-CN"/>
              </w:rPr>
              <w:t>循环使用不排放，只需定期补充新鲜水</w:t>
            </w:r>
          </w:p>
        </w:tc>
        <w:tc>
          <w:tcPr>
            <w:tcW w:w="1748" w:type="dxa"/>
            <w:vAlign w:val="center"/>
          </w:tcPr>
          <w:p w14:paraId="2EE9A2E4">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r>
              <w:rPr>
                <w:rFonts w:hint="eastAsia" w:ascii="Times New Roman" w:hAnsi="Times New Roman" w:eastAsia="宋体" w:cs="Times New Roman"/>
                <w:color w:val="auto"/>
                <w:szCs w:val="21"/>
              </w:rPr>
              <w:t>/</w:t>
            </w:r>
          </w:p>
        </w:tc>
      </w:tr>
      <w:tr w14:paraId="25755B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1120" w:type="dxa"/>
            <w:vMerge w:val="continue"/>
            <w:vAlign w:val="center"/>
          </w:tcPr>
          <w:p w14:paraId="57B7475A">
            <w:pPr>
              <w:keepNext w:val="0"/>
              <w:keepLines w:val="0"/>
              <w:suppressLineNumbers w:val="0"/>
              <w:spacing w:before="0" w:beforeAutospacing="0" w:after="0" w:afterAutospacing="0"/>
              <w:ind w:left="0" w:right="0"/>
              <w:jc w:val="center"/>
              <w:rPr>
                <w:rFonts w:hint="default" w:ascii="Times New Roman" w:hAnsi="Times New Roman" w:eastAsia="宋体" w:cs="Times New Roman"/>
                <w:b/>
                <w:bCs/>
                <w:color w:val="auto"/>
                <w:szCs w:val="21"/>
              </w:rPr>
            </w:pPr>
          </w:p>
        </w:tc>
        <w:tc>
          <w:tcPr>
            <w:tcW w:w="1546" w:type="dxa"/>
            <w:vAlign w:val="center"/>
          </w:tcPr>
          <w:p w14:paraId="0D954408">
            <w:pPr>
              <w:keepNext w:val="0"/>
              <w:keepLines w:val="0"/>
              <w:suppressLineNumbers w:val="0"/>
              <w:spacing w:before="0" w:beforeAutospacing="0" w:after="0" w:afterAutospacing="0"/>
              <w:ind w:left="0" w:leftChars="0" w:right="0" w:rightChars="0"/>
              <w:jc w:val="center"/>
              <w:rPr>
                <w:rFonts w:hint="eastAsia" w:ascii="Times New Roman" w:hAnsi="Times New Roman" w:eastAsia="宋体" w:cs="Times New Roman"/>
                <w:color w:val="auto"/>
                <w:szCs w:val="21"/>
              </w:rPr>
            </w:pPr>
            <w:r>
              <w:rPr>
                <w:rFonts w:hint="default" w:ascii="Times New Roman" w:hAnsi="Times New Roman" w:eastAsia="宋体" w:cs="Times New Roman"/>
                <w:color w:val="auto"/>
                <w:szCs w:val="21"/>
                <w:lang w:val="en-US" w:eastAsia="zh-CN"/>
              </w:rPr>
              <w:t>喷淋废水</w:t>
            </w:r>
          </w:p>
        </w:tc>
        <w:tc>
          <w:tcPr>
            <w:tcW w:w="996" w:type="dxa"/>
            <w:vAlign w:val="center"/>
          </w:tcPr>
          <w:p w14:paraId="0D3A1D5F">
            <w:pPr>
              <w:keepNext w:val="0"/>
              <w:keepLines w:val="0"/>
              <w:suppressLineNumbers w:val="0"/>
              <w:spacing w:before="0" w:beforeAutospacing="0" w:after="0" w:afterAutospacing="0"/>
              <w:ind w:left="0" w:leftChars="0" w:right="0" w:rightChars="0"/>
              <w:jc w:val="center"/>
              <w:rPr>
                <w:rFonts w:hint="eastAsia" w:ascii="Times New Roman" w:hAnsi="Times New Roman" w:eastAsia="宋体" w:cs="Times New Roman"/>
                <w:color w:val="auto"/>
                <w:szCs w:val="21"/>
              </w:rPr>
            </w:pPr>
            <w:r>
              <w:rPr>
                <w:rFonts w:hint="default" w:ascii="Times New Roman" w:hAnsi="Times New Roman" w:eastAsia="宋体" w:cs="Times New Roman"/>
                <w:color w:val="auto"/>
                <w:szCs w:val="21"/>
                <w:lang w:bidi="ar"/>
              </w:rPr>
              <w:t>COD</w:t>
            </w:r>
            <w:r>
              <w:rPr>
                <w:rFonts w:hint="default" w:ascii="Times New Roman" w:hAnsi="Times New Roman" w:eastAsia="宋体" w:cs="Times New Roman"/>
                <w:color w:val="auto"/>
                <w:szCs w:val="21"/>
                <w:vertAlign w:val="subscript"/>
                <w:lang w:bidi="ar"/>
              </w:rPr>
              <w:t>Cr</w:t>
            </w:r>
            <w:r>
              <w:rPr>
                <w:rFonts w:hint="eastAsia" w:ascii="宋体" w:hAnsi="宋体" w:eastAsia="宋体" w:cs="宋体"/>
                <w:color w:val="auto"/>
                <w:szCs w:val="21"/>
                <w:lang w:bidi="ar"/>
              </w:rPr>
              <w:t>、</w:t>
            </w:r>
            <w:r>
              <w:rPr>
                <w:rFonts w:hint="default" w:ascii="Times New Roman" w:hAnsi="Times New Roman" w:eastAsia="宋体" w:cs="Times New Roman"/>
                <w:color w:val="auto"/>
                <w:szCs w:val="21"/>
                <w:lang w:bidi="ar"/>
              </w:rPr>
              <w:t>SS</w:t>
            </w:r>
          </w:p>
        </w:tc>
        <w:tc>
          <w:tcPr>
            <w:tcW w:w="3472" w:type="dxa"/>
            <w:vAlign w:val="center"/>
          </w:tcPr>
          <w:p w14:paraId="4764CCF8">
            <w:pPr>
              <w:keepNext w:val="0"/>
              <w:keepLines w:val="0"/>
              <w:suppressLineNumbers w:val="0"/>
              <w:spacing w:before="0" w:beforeAutospacing="0" w:after="0" w:afterAutospacing="0"/>
              <w:ind w:left="0" w:right="0"/>
              <w:jc w:val="center"/>
              <w:rPr>
                <w:rFonts w:hint="eastAsia" w:ascii="Times New Roman" w:hAnsi="Times New Roman" w:eastAsia="宋体" w:cs="Times New Roman"/>
                <w:color w:val="auto"/>
                <w:szCs w:val="21"/>
                <w:lang w:val="en-US" w:eastAsia="zh-CN"/>
              </w:rPr>
            </w:pPr>
            <w:r>
              <w:rPr>
                <w:rFonts w:hint="eastAsia" w:ascii="Times New Roman" w:hAnsi="Times New Roman" w:eastAsia="宋体" w:cs="Times New Roman"/>
                <w:color w:val="auto"/>
                <w:szCs w:val="21"/>
                <w:lang w:val="en-US" w:eastAsia="zh-CN"/>
              </w:rPr>
              <w:t>当循环到一定程度后定期更换，更换后的喷淋废水作为危废处置</w:t>
            </w:r>
          </w:p>
        </w:tc>
        <w:tc>
          <w:tcPr>
            <w:tcW w:w="1748" w:type="dxa"/>
            <w:vAlign w:val="center"/>
          </w:tcPr>
          <w:p w14:paraId="7C0C5169">
            <w:pPr>
              <w:keepNext w:val="0"/>
              <w:keepLines w:val="0"/>
              <w:suppressLineNumbers w:val="0"/>
              <w:spacing w:before="0" w:beforeAutospacing="0" w:after="0" w:afterAutospacing="0"/>
              <w:ind w:left="0" w:right="0"/>
              <w:jc w:val="center"/>
              <w:rPr>
                <w:rFonts w:hint="eastAsia" w:ascii="Times New Roman" w:hAnsi="Times New Roman" w:eastAsia="宋体" w:cs="Times New Roman"/>
                <w:color w:val="auto"/>
                <w:szCs w:val="21"/>
                <w:lang w:val="en-US" w:eastAsia="zh-CN"/>
              </w:rPr>
            </w:pPr>
            <w:r>
              <w:rPr>
                <w:rFonts w:hint="eastAsia" w:ascii="Times New Roman" w:hAnsi="Times New Roman" w:eastAsia="宋体" w:cs="Times New Roman"/>
                <w:color w:val="auto"/>
                <w:szCs w:val="21"/>
                <w:lang w:val="en-US" w:eastAsia="zh-CN"/>
              </w:rPr>
              <w:t>/</w:t>
            </w:r>
          </w:p>
        </w:tc>
      </w:tr>
      <w:tr w14:paraId="07E17C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1120" w:type="dxa"/>
            <w:vAlign w:val="center"/>
          </w:tcPr>
          <w:p w14:paraId="263BF387">
            <w:pPr>
              <w:keepNext w:val="0"/>
              <w:keepLines w:val="0"/>
              <w:suppressLineNumbers w:val="0"/>
              <w:spacing w:before="0" w:beforeAutospacing="0" w:after="0" w:afterAutospacing="0"/>
              <w:ind w:left="0" w:right="0"/>
              <w:jc w:val="center"/>
              <w:rPr>
                <w:rFonts w:hint="default" w:ascii="Times New Roman" w:hAnsi="Times New Roman" w:eastAsia="宋体" w:cs="Times New Roman"/>
                <w:b/>
                <w:bCs/>
                <w:color w:val="auto"/>
                <w:szCs w:val="21"/>
              </w:rPr>
            </w:pPr>
            <w:r>
              <w:rPr>
                <w:rFonts w:hint="default" w:ascii="Times New Roman" w:hAnsi="Times New Roman" w:eastAsia="宋体" w:cs="Times New Roman"/>
                <w:b/>
                <w:bCs/>
                <w:color w:val="auto"/>
                <w:szCs w:val="21"/>
              </w:rPr>
              <w:t>声环境</w:t>
            </w:r>
          </w:p>
        </w:tc>
        <w:tc>
          <w:tcPr>
            <w:tcW w:w="1546" w:type="dxa"/>
            <w:vAlign w:val="center"/>
          </w:tcPr>
          <w:p w14:paraId="64FA4687">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r>
              <w:rPr>
                <w:rFonts w:hint="eastAsia" w:ascii="Times New Roman" w:hAnsi="Times New Roman" w:eastAsia="宋体" w:cs="Times New Roman"/>
                <w:color w:val="auto"/>
                <w:szCs w:val="21"/>
              </w:rPr>
              <w:t>设备运行</w:t>
            </w:r>
          </w:p>
        </w:tc>
        <w:tc>
          <w:tcPr>
            <w:tcW w:w="996" w:type="dxa"/>
            <w:vAlign w:val="center"/>
          </w:tcPr>
          <w:p w14:paraId="707083A1">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rPr>
              <w:t>等效连续A声级</w:t>
            </w:r>
          </w:p>
        </w:tc>
        <w:tc>
          <w:tcPr>
            <w:tcW w:w="3472" w:type="dxa"/>
            <w:vAlign w:val="center"/>
          </w:tcPr>
          <w:p w14:paraId="2776A87B">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lang w:val="en-US" w:eastAsia="zh-CN"/>
              </w:rPr>
              <w:t>选用噪声低、振动小的设备；对风机等高噪声设备加设减振垫；合理布置设备位置；车间安装隔声门窗，生产时关闭门窗；加强生产现场管理和设备养护，减少或降低人为噪声</w:t>
            </w:r>
          </w:p>
        </w:tc>
        <w:tc>
          <w:tcPr>
            <w:tcW w:w="1748" w:type="dxa"/>
            <w:vAlign w:val="center"/>
          </w:tcPr>
          <w:p w14:paraId="0E2A4D3B">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r>
              <w:rPr>
                <w:rFonts w:hint="eastAsia" w:ascii="Times New Roman" w:hAnsi="Times New Roman" w:eastAsia="宋体" w:cs="Times New Roman"/>
                <w:color w:val="auto"/>
                <w:szCs w:val="21"/>
              </w:rPr>
              <w:t>《工业企业厂界环境噪声排放标准》（</w:t>
            </w:r>
            <w:r>
              <w:rPr>
                <w:rFonts w:hint="default" w:ascii="Times New Roman" w:hAnsi="Times New Roman" w:eastAsia="宋体" w:cs="Times New Roman"/>
                <w:color w:val="auto"/>
                <w:szCs w:val="21"/>
              </w:rPr>
              <w:t>GB12348-2008</w:t>
            </w:r>
            <w:r>
              <w:rPr>
                <w:rFonts w:hint="eastAsia" w:ascii="Times New Roman" w:hAnsi="Times New Roman" w:eastAsia="宋体" w:cs="Times New Roman"/>
                <w:color w:val="auto"/>
                <w:szCs w:val="21"/>
              </w:rPr>
              <w:t>）中的</w:t>
            </w:r>
            <w:r>
              <w:rPr>
                <w:rFonts w:hint="default" w:ascii="Times New Roman" w:hAnsi="Times New Roman" w:eastAsia="宋体" w:cs="Times New Roman"/>
                <w:color w:val="auto"/>
                <w:szCs w:val="21"/>
              </w:rPr>
              <w:t>3</w:t>
            </w:r>
            <w:r>
              <w:rPr>
                <w:rFonts w:hint="eastAsia" w:ascii="Times New Roman" w:hAnsi="Times New Roman" w:eastAsia="宋体" w:cs="Times New Roman"/>
                <w:color w:val="auto"/>
                <w:szCs w:val="21"/>
              </w:rPr>
              <w:t>类标准</w:t>
            </w:r>
          </w:p>
        </w:tc>
      </w:tr>
      <w:tr w14:paraId="7760F1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1120" w:type="dxa"/>
            <w:vAlign w:val="center"/>
          </w:tcPr>
          <w:p w14:paraId="706080E5">
            <w:pPr>
              <w:keepNext w:val="0"/>
              <w:keepLines w:val="0"/>
              <w:suppressLineNumbers w:val="0"/>
              <w:spacing w:before="0" w:beforeAutospacing="0" w:after="0" w:afterAutospacing="0"/>
              <w:ind w:left="0" w:right="0"/>
              <w:jc w:val="center"/>
              <w:rPr>
                <w:rFonts w:hint="default" w:ascii="Times New Roman" w:hAnsi="Times New Roman" w:eastAsia="宋体" w:cs="Times New Roman"/>
                <w:b/>
                <w:bCs/>
                <w:color w:val="auto"/>
                <w:szCs w:val="21"/>
              </w:rPr>
            </w:pPr>
            <w:r>
              <w:rPr>
                <w:rFonts w:hint="default" w:ascii="Times New Roman" w:hAnsi="Times New Roman" w:eastAsia="宋体" w:cs="Times New Roman"/>
                <w:b/>
                <w:bCs/>
                <w:color w:val="auto"/>
                <w:szCs w:val="21"/>
              </w:rPr>
              <w:t>电磁辐射</w:t>
            </w:r>
          </w:p>
        </w:tc>
        <w:tc>
          <w:tcPr>
            <w:tcW w:w="7762" w:type="dxa"/>
            <w:gridSpan w:val="4"/>
            <w:vAlign w:val="center"/>
          </w:tcPr>
          <w:p w14:paraId="413DB54C">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rPr>
              <w:t>-</w:t>
            </w:r>
          </w:p>
        </w:tc>
      </w:tr>
      <w:tr w14:paraId="649629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1120" w:type="dxa"/>
            <w:vAlign w:val="center"/>
          </w:tcPr>
          <w:p w14:paraId="5D2B692D">
            <w:pPr>
              <w:keepNext w:val="0"/>
              <w:keepLines w:val="0"/>
              <w:suppressLineNumbers w:val="0"/>
              <w:spacing w:before="0" w:beforeAutospacing="0" w:after="0" w:afterAutospacing="0"/>
              <w:ind w:left="0" w:right="0"/>
              <w:jc w:val="center"/>
              <w:rPr>
                <w:rFonts w:hint="default" w:ascii="Times New Roman" w:hAnsi="Times New Roman" w:eastAsia="宋体" w:cs="Times New Roman"/>
                <w:b/>
                <w:bCs/>
                <w:color w:val="auto"/>
                <w:szCs w:val="21"/>
              </w:rPr>
            </w:pPr>
            <w:r>
              <w:rPr>
                <w:rFonts w:hint="default" w:ascii="Times New Roman" w:hAnsi="Times New Roman" w:eastAsia="宋体" w:cs="Times New Roman"/>
                <w:b/>
                <w:bCs/>
                <w:color w:val="auto"/>
                <w:szCs w:val="21"/>
              </w:rPr>
              <w:t>固体废物</w:t>
            </w:r>
          </w:p>
        </w:tc>
        <w:tc>
          <w:tcPr>
            <w:tcW w:w="7762" w:type="dxa"/>
            <w:gridSpan w:val="4"/>
            <w:vAlign w:val="center"/>
          </w:tcPr>
          <w:p w14:paraId="656EBEAF">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rPr>
              <w:t>按规范要求设置固废分类中心、危险废物暂存间和一般固废仓库</w:t>
            </w:r>
          </w:p>
        </w:tc>
      </w:tr>
      <w:tr w14:paraId="406BE6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1120" w:type="dxa"/>
            <w:vAlign w:val="center"/>
          </w:tcPr>
          <w:p w14:paraId="6FC3CD5F">
            <w:pPr>
              <w:keepNext w:val="0"/>
              <w:keepLines w:val="0"/>
              <w:suppressLineNumbers w:val="0"/>
              <w:spacing w:before="0" w:beforeAutospacing="0" w:after="0" w:afterAutospacing="0"/>
              <w:ind w:left="0" w:right="0"/>
              <w:jc w:val="center"/>
              <w:rPr>
                <w:rFonts w:hint="default" w:ascii="Times New Roman" w:hAnsi="Times New Roman" w:eastAsia="宋体" w:cs="Times New Roman"/>
                <w:b/>
                <w:bCs/>
                <w:color w:val="auto"/>
                <w:szCs w:val="21"/>
              </w:rPr>
            </w:pPr>
            <w:r>
              <w:rPr>
                <w:rFonts w:hint="default" w:ascii="Times New Roman" w:hAnsi="Times New Roman" w:eastAsia="宋体" w:cs="Times New Roman"/>
                <w:b/>
                <w:bCs/>
                <w:color w:val="auto"/>
                <w:szCs w:val="21"/>
              </w:rPr>
              <w:t>土壤及地下水污染防治措施</w:t>
            </w:r>
          </w:p>
        </w:tc>
        <w:tc>
          <w:tcPr>
            <w:tcW w:w="7762" w:type="dxa"/>
            <w:gridSpan w:val="4"/>
            <w:vAlign w:val="center"/>
          </w:tcPr>
          <w:p w14:paraId="45AAB198">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lang w:val="en-US" w:eastAsia="zh-CN"/>
              </w:rPr>
              <w:t>进行分区防渗措施，主要对化学品仓库、危废仓库进行重点防渗，地面采取20cm碎石铺底，再在上层铺20cm的混凝土硬化，再在上层设置环氧地坪。等效粘土防渗层Mb≥6.0m，K≤1.0×10-7cm/s；在厂内建设规范的危废仓库，按照《危险废物贮存污染控制标准》中的要求进行设置。或等效粘土防渗层Mb≥6.0m，K≤1.0×10-7cm/s，或参照GB18598执行</w:t>
            </w:r>
          </w:p>
        </w:tc>
      </w:tr>
      <w:tr w14:paraId="7DA104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1120" w:type="dxa"/>
            <w:vAlign w:val="center"/>
          </w:tcPr>
          <w:p w14:paraId="066D9493">
            <w:pPr>
              <w:keepNext w:val="0"/>
              <w:keepLines w:val="0"/>
              <w:suppressLineNumbers w:val="0"/>
              <w:spacing w:before="0" w:beforeAutospacing="0" w:after="0" w:afterAutospacing="0"/>
              <w:ind w:left="0" w:right="0"/>
              <w:jc w:val="center"/>
              <w:rPr>
                <w:rFonts w:hint="default" w:ascii="Times New Roman" w:hAnsi="Times New Roman" w:eastAsia="宋体" w:cs="Times New Roman"/>
                <w:b/>
                <w:bCs/>
                <w:color w:val="auto"/>
                <w:szCs w:val="21"/>
              </w:rPr>
            </w:pPr>
            <w:r>
              <w:rPr>
                <w:rFonts w:hint="default" w:ascii="Times New Roman" w:hAnsi="Times New Roman" w:eastAsia="宋体" w:cs="Times New Roman"/>
                <w:b/>
                <w:bCs/>
                <w:color w:val="auto"/>
                <w:szCs w:val="21"/>
              </w:rPr>
              <w:t>生态保护措施</w:t>
            </w:r>
          </w:p>
        </w:tc>
        <w:tc>
          <w:tcPr>
            <w:tcW w:w="7762" w:type="dxa"/>
            <w:gridSpan w:val="4"/>
            <w:vAlign w:val="center"/>
          </w:tcPr>
          <w:p w14:paraId="34E98506">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rPr>
              <w:t>-</w:t>
            </w:r>
          </w:p>
        </w:tc>
      </w:tr>
      <w:tr w14:paraId="3493D8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1120" w:type="dxa"/>
            <w:vAlign w:val="center"/>
          </w:tcPr>
          <w:p w14:paraId="25423392">
            <w:pPr>
              <w:keepNext w:val="0"/>
              <w:keepLines w:val="0"/>
              <w:suppressLineNumbers w:val="0"/>
              <w:spacing w:before="0" w:beforeAutospacing="0" w:after="0" w:afterAutospacing="0"/>
              <w:ind w:left="0" w:right="0"/>
              <w:jc w:val="center"/>
              <w:rPr>
                <w:rFonts w:hint="default" w:ascii="Times New Roman" w:hAnsi="Times New Roman" w:eastAsia="宋体" w:cs="Times New Roman"/>
                <w:b/>
                <w:bCs/>
                <w:color w:val="auto"/>
                <w:szCs w:val="21"/>
              </w:rPr>
            </w:pPr>
            <w:r>
              <w:rPr>
                <w:rFonts w:hint="default" w:ascii="Times New Roman" w:hAnsi="Times New Roman" w:eastAsia="宋体" w:cs="Times New Roman"/>
                <w:b/>
                <w:bCs/>
                <w:color w:val="auto"/>
                <w:szCs w:val="21"/>
              </w:rPr>
              <w:t>环境风险防范措施</w:t>
            </w:r>
          </w:p>
        </w:tc>
        <w:tc>
          <w:tcPr>
            <w:tcW w:w="7762" w:type="dxa"/>
            <w:gridSpan w:val="4"/>
            <w:vAlign w:val="center"/>
          </w:tcPr>
          <w:p w14:paraId="5AA0A8F9">
            <w:pPr>
              <w:keepNext w:val="0"/>
              <w:keepLines w:val="0"/>
              <w:numPr>
                <w:ilvl w:val="0"/>
                <w:numId w:val="3"/>
              </w:numPr>
              <w:suppressLineNumbers w:val="0"/>
              <w:spacing w:before="0" w:beforeAutospacing="0" w:after="0" w:afterAutospacing="0"/>
              <w:ind w:left="0" w:right="0"/>
              <w:jc w:val="center"/>
              <w:rPr>
                <w:rFonts w:hint="default" w:ascii="Times New Roman" w:hAnsi="Times New Roman" w:eastAsia="宋体" w:cs="Times New Roman"/>
                <w:color w:val="auto"/>
                <w:szCs w:val="21"/>
                <w:lang w:val="en-US" w:eastAsia="zh-CN"/>
              </w:rPr>
            </w:pPr>
            <w:r>
              <w:rPr>
                <w:rFonts w:hint="default" w:ascii="Times New Roman" w:hAnsi="Times New Roman" w:eastAsia="宋体" w:cs="Times New Roman"/>
                <w:color w:val="auto"/>
                <w:szCs w:val="21"/>
                <w:lang w:val="en-US" w:eastAsia="zh-CN"/>
              </w:rPr>
              <w:t>泄漏事故风险防范措施 B、火灾爆炸事故风险防范措施</w:t>
            </w:r>
          </w:p>
          <w:p w14:paraId="5949D480">
            <w:pPr>
              <w:keepNext w:val="0"/>
              <w:keepLines w:val="0"/>
              <w:numPr>
                <w:ilvl w:val="0"/>
                <w:numId w:val="0"/>
              </w:numPr>
              <w:suppressLineNumbers w:val="0"/>
              <w:spacing w:before="0" w:beforeAutospacing="0" w:after="0" w:afterAutospacing="0"/>
              <w:ind w:left="0" w:right="0" w:rightChars="0"/>
              <w:jc w:val="center"/>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lang w:val="en-US" w:eastAsia="zh-CN"/>
              </w:rPr>
              <w:t>C、物料贮存风险防范措施</w:t>
            </w:r>
            <w:r>
              <w:rPr>
                <w:rFonts w:hint="eastAsia" w:ascii="Times New Roman" w:hAnsi="Times New Roman" w:eastAsia="宋体" w:cs="Times New Roman"/>
                <w:color w:val="auto"/>
                <w:szCs w:val="21"/>
                <w:lang w:val="en-US" w:eastAsia="zh-CN"/>
              </w:rPr>
              <w:t xml:space="preserve"> </w:t>
            </w:r>
            <w:r>
              <w:rPr>
                <w:rFonts w:hint="default" w:ascii="Times New Roman" w:hAnsi="Times New Roman" w:eastAsia="宋体" w:cs="Times New Roman"/>
                <w:color w:val="auto"/>
                <w:szCs w:val="21"/>
                <w:lang w:val="en-US" w:eastAsia="zh-CN"/>
              </w:rPr>
              <w:t>D、环保设施风险防范措施</w:t>
            </w:r>
          </w:p>
        </w:tc>
      </w:tr>
      <w:tr w14:paraId="22A84B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1120" w:type="dxa"/>
            <w:vAlign w:val="center"/>
          </w:tcPr>
          <w:p w14:paraId="26F213B6">
            <w:pPr>
              <w:keepNext w:val="0"/>
              <w:keepLines w:val="0"/>
              <w:suppressLineNumbers w:val="0"/>
              <w:spacing w:before="0" w:beforeAutospacing="0" w:after="0" w:afterAutospacing="0"/>
              <w:ind w:left="0" w:right="0"/>
              <w:jc w:val="center"/>
              <w:rPr>
                <w:rFonts w:hint="default" w:ascii="Times New Roman" w:hAnsi="Times New Roman" w:eastAsia="宋体" w:cs="Times New Roman"/>
                <w:b/>
                <w:bCs/>
                <w:color w:val="auto"/>
                <w:szCs w:val="21"/>
              </w:rPr>
            </w:pPr>
            <w:r>
              <w:rPr>
                <w:rFonts w:hint="default" w:ascii="Times New Roman" w:hAnsi="Times New Roman" w:eastAsia="宋体" w:cs="Times New Roman"/>
                <w:b/>
                <w:bCs/>
                <w:color w:val="auto"/>
                <w:szCs w:val="21"/>
              </w:rPr>
              <w:t>其他环境管理要求</w:t>
            </w:r>
          </w:p>
        </w:tc>
        <w:tc>
          <w:tcPr>
            <w:tcW w:w="7762" w:type="dxa"/>
            <w:gridSpan w:val="4"/>
            <w:vAlign w:val="center"/>
          </w:tcPr>
          <w:p w14:paraId="2FEAE6AA">
            <w:pPr>
              <w:keepNext w:val="0"/>
              <w:keepLines w:val="0"/>
              <w:suppressLineNumbers w:val="0"/>
              <w:spacing w:before="0" w:beforeAutospacing="0" w:after="0" w:afterAutospacing="0"/>
              <w:ind w:left="0" w:right="0"/>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rPr>
              <w:t>（1）</w:t>
            </w:r>
            <w:r>
              <w:rPr>
                <w:rFonts w:hint="default" w:ascii="Times New Roman" w:hAnsi="Times New Roman" w:eastAsia="宋体" w:cs="Times New Roman"/>
                <w:color w:val="0000E1"/>
                <w:szCs w:val="21"/>
              </w:rPr>
              <w:t>生态环境管理制度建设</w:t>
            </w:r>
          </w:p>
          <w:p w14:paraId="619FCE6A">
            <w:pPr>
              <w:keepNext w:val="0"/>
              <w:keepLines w:val="0"/>
              <w:suppressLineNumbers w:val="0"/>
              <w:spacing w:before="0" w:beforeAutospacing="0" w:after="0" w:afterAutospacing="0"/>
              <w:ind w:left="0" w:right="0" w:firstLine="420" w:firstLineChars="200"/>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rPr>
              <w:t>项目投产后，企业应成立环境保护管理领导小组的组织架构，并设置环保科，指派一名领导分管环保工作，配备技术力量较强的环保管理人员，定期对公司所有环保设施进行监督管理，并明确环保责任，建立和健全各项环保管理制度，从上而下形成一整套环保管理网络，有效地保证环保工作有序的开展。</w:t>
            </w:r>
          </w:p>
          <w:p w14:paraId="4ABE9D5C">
            <w:pPr>
              <w:keepNext w:val="0"/>
              <w:keepLines w:val="0"/>
              <w:suppressLineNumbers w:val="0"/>
              <w:spacing w:before="0" w:beforeAutospacing="0" w:after="0" w:afterAutospacing="0"/>
              <w:ind w:left="0" w:right="0"/>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rPr>
              <w:t>（2）</w:t>
            </w:r>
            <w:r>
              <w:rPr>
                <w:rFonts w:hint="eastAsia" w:ascii="Times New Roman" w:hAnsi="Times New Roman" w:eastAsia="宋体" w:cs="Times New Roman"/>
                <w:color w:val="auto"/>
                <w:szCs w:val="21"/>
                <w:lang w:eastAsia="zh-CN"/>
              </w:rPr>
              <w:t>“</w:t>
            </w:r>
            <w:r>
              <w:rPr>
                <w:rFonts w:hint="default" w:ascii="Times New Roman" w:hAnsi="Times New Roman" w:eastAsia="宋体" w:cs="Times New Roman"/>
                <w:color w:val="auto"/>
                <w:szCs w:val="21"/>
              </w:rPr>
              <w:t>三同时</w:t>
            </w:r>
            <w:r>
              <w:rPr>
                <w:rFonts w:hint="eastAsia" w:ascii="Times New Roman" w:hAnsi="Times New Roman" w:eastAsia="宋体" w:cs="Times New Roman"/>
                <w:color w:val="auto"/>
                <w:szCs w:val="21"/>
                <w:lang w:eastAsia="zh-CN"/>
              </w:rPr>
              <w:t>”</w:t>
            </w:r>
            <w:r>
              <w:rPr>
                <w:rFonts w:hint="default" w:ascii="Times New Roman" w:hAnsi="Times New Roman" w:eastAsia="宋体" w:cs="Times New Roman"/>
                <w:color w:val="auto"/>
                <w:szCs w:val="21"/>
              </w:rPr>
              <w:t>管理要求</w:t>
            </w:r>
          </w:p>
          <w:p w14:paraId="0DA7BEFF">
            <w:pPr>
              <w:keepNext w:val="0"/>
              <w:keepLines w:val="0"/>
              <w:suppressLineNumbers w:val="0"/>
              <w:spacing w:before="0" w:beforeAutospacing="0" w:after="0" w:afterAutospacing="0"/>
              <w:ind w:left="0" w:right="0" w:firstLine="420" w:firstLineChars="200"/>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rPr>
              <w:t>根据《建设项目环境保护管理条例》，建设项目需要配套建设的</w:t>
            </w:r>
            <w:r>
              <w:rPr>
                <w:rFonts w:hint="default" w:ascii="Times New Roman" w:hAnsi="Times New Roman" w:eastAsia="宋体" w:cs="Times New Roman"/>
                <w:color w:val="0000E1"/>
                <w:szCs w:val="21"/>
              </w:rPr>
              <w:t>生态环境保护设施，</w:t>
            </w:r>
            <w:r>
              <w:rPr>
                <w:rFonts w:hint="default" w:ascii="Times New Roman" w:hAnsi="Times New Roman" w:eastAsia="宋体" w:cs="Times New Roman"/>
                <w:color w:val="auto"/>
                <w:szCs w:val="21"/>
              </w:rPr>
              <w:t>必须与主体工程同时设计、同时施工、同时投产使用。</w:t>
            </w:r>
          </w:p>
          <w:p w14:paraId="7756F7AD">
            <w:pPr>
              <w:keepNext w:val="0"/>
              <w:keepLines w:val="0"/>
              <w:suppressLineNumbers w:val="0"/>
              <w:spacing w:before="0" w:beforeAutospacing="0" w:after="0" w:afterAutospacing="0"/>
              <w:ind w:left="0" w:right="0"/>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rPr>
              <w:t>（3）竣工自主环保验收要求</w:t>
            </w:r>
          </w:p>
          <w:p w14:paraId="5E68AD25">
            <w:pPr>
              <w:keepNext w:val="0"/>
              <w:keepLines w:val="0"/>
              <w:suppressLineNumbers w:val="0"/>
              <w:spacing w:before="0" w:beforeAutospacing="0" w:after="0" w:afterAutospacing="0"/>
              <w:ind w:left="0" w:right="0" w:firstLine="420" w:firstLineChars="200"/>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rPr>
              <w:t>根据《建设项目环境保护管理条例》和《建设项目竣工环境保护验收暂行办法》，本项目建设完成后由企业开展自主验收。本项目竣工验收监测计划见下表。</w:t>
            </w:r>
          </w:p>
          <w:p w14:paraId="70C743AC">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r>
              <w:rPr>
                <w:rFonts w:hint="default" w:ascii="Times New Roman" w:hAnsi="Times New Roman" w:eastAsia="宋体" w:cs="Times New Roman"/>
                <w:b/>
                <w:bCs/>
                <w:color w:val="auto"/>
                <w:szCs w:val="21"/>
              </w:rPr>
              <w:t>表5-1  竣工自主环保验收监测计划</w:t>
            </w:r>
          </w:p>
          <w:tbl>
            <w:tblPr>
              <w:tblStyle w:val="22"/>
              <w:tblW w:w="4998"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122"/>
              <w:gridCol w:w="1754"/>
              <w:gridCol w:w="2646"/>
              <w:gridCol w:w="2011"/>
            </w:tblGrid>
            <w:tr w14:paraId="17D8EF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744" w:type="pct"/>
                  <w:vAlign w:val="center"/>
                </w:tcPr>
                <w:p w14:paraId="277C1885">
                  <w:pPr>
                    <w:keepNext w:val="0"/>
                    <w:keepLines w:val="0"/>
                    <w:suppressLineNumbers w:val="0"/>
                    <w:spacing w:before="0" w:beforeAutospacing="0" w:after="0" w:afterAutospacing="0"/>
                    <w:ind w:left="0" w:right="0"/>
                    <w:jc w:val="center"/>
                    <w:rPr>
                      <w:rFonts w:hint="default" w:ascii="Times New Roman" w:hAnsi="Times New Roman" w:eastAsia="宋体" w:cs="Times New Roman"/>
                      <w:b/>
                      <w:bCs/>
                      <w:color w:val="auto"/>
                      <w:szCs w:val="21"/>
                    </w:rPr>
                  </w:pPr>
                  <w:r>
                    <w:rPr>
                      <w:rFonts w:hint="default" w:ascii="Times New Roman" w:hAnsi="Times New Roman" w:eastAsia="宋体" w:cs="Times New Roman"/>
                      <w:b/>
                      <w:bCs/>
                      <w:color w:val="auto"/>
                      <w:szCs w:val="21"/>
                    </w:rPr>
                    <w:t>监测内容</w:t>
                  </w:r>
                </w:p>
              </w:tc>
              <w:tc>
                <w:tcPr>
                  <w:tcW w:w="1164" w:type="pct"/>
                  <w:vAlign w:val="center"/>
                </w:tcPr>
                <w:p w14:paraId="5EC563AE">
                  <w:pPr>
                    <w:keepNext w:val="0"/>
                    <w:keepLines w:val="0"/>
                    <w:suppressLineNumbers w:val="0"/>
                    <w:spacing w:before="0" w:beforeAutospacing="0" w:after="0" w:afterAutospacing="0"/>
                    <w:ind w:left="0" w:right="0"/>
                    <w:jc w:val="center"/>
                    <w:rPr>
                      <w:rFonts w:hint="default" w:ascii="Times New Roman" w:hAnsi="Times New Roman" w:eastAsia="宋体" w:cs="Times New Roman"/>
                      <w:b/>
                      <w:bCs/>
                      <w:color w:val="auto"/>
                      <w:szCs w:val="21"/>
                    </w:rPr>
                  </w:pPr>
                  <w:r>
                    <w:rPr>
                      <w:rFonts w:hint="default" w:ascii="Times New Roman" w:hAnsi="Times New Roman" w:eastAsia="宋体" w:cs="Times New Roman"/>
                      <w:b/>
                      <w:bCs/>
                      <w:color w:val="auto"/>
                      <w:szCs w:val="21"/>
                    </w:rPr>
                    <w:t>监测点位</w:t>
                  </w:r>
                </w:p>
              </w:tc>
              <w:tc>
                <w:tcPr>
                  <w:tcW w:w="1756" w:type="pct"/>
                  <w:vAlign w:val="center"/>
                </w:tcPr>
                <w:p w14:paraId="558E0159">
                  <w:pPr>
                    <w:keepNext w:val="0"/>
                    <w:keepLines w:val="0"/>
                    <w:suppressLineNumbers w:val="0"/>
                    <w:spacing w:before="0" w:beforeAutospacing="0" w:after="0" w:afterAutospacing="0"/>
                    <w:ind w:left="0" w:right="0"/>
                    <w:jc w:val="center"/>
                    <w:rPr>
                      <w:rFonts w:hint="default" w:ascii="Times New Roman" w:hAnsi="Times New Roman" w:eastAsia="宋体" w:cs="Times New Roman"/>
                      <w:b/>
                      <w:bCs/>
                      <w:color w:val="auto"/>
                      <w:szCs w:val="21"/>
                    </w:rPr>
                  </w:pPr>
                  <w:r>
                    <w:rPr>
                      <w:rFonts w:hint="default" w:ascii="Times New Roman" w:hAnsi="Times New Roman" w:eastAsia="宋体" w:cs="Times New Roman"/>
                      <w:b/>
                      <w:bCs/>
                      <w:color w:val="auto"/>
                      <w:szCs w:val="21"/>
                    </w:rPr>
                    <w:t>监测项目</w:t>
                  </w:r>
                </w:p>
              </w:tc>
              <w:tc>
                <w:tcPr>
                  <w:tcW w:w="1334" w:type="pct"/>
                  <w:vAlign w:val="center"/>
                </w:tcPr>
                <w:p w14:paraId="43D685D4">
                  <w:pPr>
                    <w:keepNext w:val="0"/>
                    <w:keepLines w:val="0"/>
                    <w:suppressLineNumbers w:val="0"/>
                    <w:spacing w:before="0" w:beforeAutospacing="0" w:after="0" w:afterAutospacing="0"/>
                    <w:ind w:left="0" w:right="0"/>
                    <w:jc w:val="center"/>
                    <w:rPr>
                      <w:rFonts w:hint="default" w:ascii="Times New Roman" w:hAnsi="Times New Roman" w:eastAsia="宋体" w:cs="Times New Roman"/>
                      <w:b/>
                      <w:bCs/>
                      <w:color w:val="auto"/>
                      <w:szCs w:val="21"/>
                    </w:rPr>
                  </w:pPr>
                  <w:r>
                    <w:rPr>
                      <w:rFonts w:hint="default" w:ascii="Times New Roman" w:hAnsi="Times New Roman" w:eastAsia="宋体" w:cs="Times New Roman"/>
                      <w:b/>
                      <w:bCs/>
                      <w:color w:val="auto"/>
                      <w:szCs w:val="21"/>
                    </w:rPr>
                    <w:t>监测频率</w:t>
                  </w:r>
                </w:p>
              </w:tc>
            </w:tr>
            <w:tr w14:paraId="44F4B6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744" w:type="pct"/>
                  <w:vMerge w:val="restart"/>
                  <w:vAlign w:val="center"/>
                </w:tcPr>
                <w:p w14:paraId="78625722">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rPr>
                    <w:t>废气</w:t>
                  </w:r>
                </w:p>
              </w:tc>
              <w:tc>
                <w:tcPr>
                  <w:tcW w:w="1164" w:type="pct"/>
                  <w:vMerge w:val="restart"/>
                  <w:vAlign w:val="center"/>
                </w:tcPr>
                <w:p w14:paraId="6FB5A996">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rPr>
                    <w:t>厂界</w:t>
                  </w:r>
                </w:p>
              </w:tc>
              <w:tc>
                <w:tcPr>
                  <w:tcW w:w="1756" w:type="pct"/>
                  <w:vAlign w:val="center"/>
                </w:tcPr>
                <w:p w14:paraId="2737D19C">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rPr>
                    <w:t>颗粒物、非甲烷总烃</w:t>
                  </w:r>
                </w:p>
              </w:tc>
              <w:tc>
                <w:tcPr>
                  <w:tcW w:w="1334" w:type="pct"/>
                  <w:vAlign w:val="center"/>
                </w:tcPr>
                <w:p w14:paraId="237119BA">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rPr>
                    <w:t>2个周期，3次/周期</w:t>
                  </w:r>
                </w:p>
              </w:tc>
            </w:tr>
            <w:tr w14:paraId="0C67FB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744" w:type="pct"/>
                  <w:vMerge w:val="continue"/>
                  <w:vAlign w:val="center"/>
                </w:tcPr>
                <w:p w14:paraId="7F7F5DF8">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p>
              </w:tc>
              <w:tc>
                <w:tcPr>
                  <w:tcW w:w="1164" w:type="pct"/>
                  <w:vMerge w:val="continue"/>
                  <w:vAlign w:val="center"/>
                </w:tcPr>
                <w:p w14:paraId="1E3E3021">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p>
              </w:tc>
              <w:tc>
                <w:tcPr>
                  <w:tcW w:w="1756" w:type="pct"/>
                  <w:vAlign w:val="center"/>
                </w:tcPr>
                <w:p w14:paraId="6F623E98">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rPr>
                    <w:t>臭气浓度</w:t>
                  </w:r>
                </w:p>
              </w:tc>
              <w:tc>
                <w:tcPr>
                  <w:tcW w:w="1334" w:type="pct"/>
                  <w:vAlign w:val="center"/>
                </w:tcPr>
                <w:p w14:paraId="6AF939EB">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rPr>
                    <w:t>2个周期，</w:t>
                  </w:r>
                  <w:r>
                    <w:rPr>
                      <w:rFonts w:hint="default" w:ascii="Times New Roman" w:hAnsi="Times New Roman" w:eastAsia="宋体" w:cs="Times New Roman"/>
                      <w:color w:val="auto"/>
                      <w:szCs w:val="21"/>
                      <w:lang w:val="en-US" w:eastAsia="zh-CN"/>
                    </w:rPr>
                    <w:t>4</w:t>
                  </w:r>
                  <w:r>
                    <w:rPr>
                      <w:rFonts w:hint="default" w:ascii="Times New Roman" w:hAnsi="Times New Roman" w:eastAsia="宋体" w:cs="Times New Roman"/>
                      <w:color w:val="auto"/>
                      <w:szCs w:val="21"/>
                    </w:rPr>
                    <w:t>次/周期</w:t>
                  </w:r>
                </w:p>
              </w:tc>
            </w:tr>
            <w:tr w14:paraId="061F37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744" w:type="pct"/>
                  <w:vMerge w:val="continue"/>
                  <w:vAlign w:val="center"/>
                </w:tcPr>
                <w:p w14:paraId="10D842E6">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p>
              </w:tc>
              <w:tc>
                <w:tcPr>
                  <w:tcW w:w="1164" w:type="pct"/>
                  <w:vAlign w:val="center"/>
                </w:tcPr>
                <w:p w14:paraId="4460B3DA">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rPr>
                    <w:t>厂区内</w:t>
                  </w:r>
                </w:p>
              </w:tc>
              <w:tc>
                <w:tcPr>
                  <w:tcW w:w="1756" w:type="pct"/>
                  <w:vAlign w:val="center"/>
                </w:tcPr>
                <w:p w14:paraId="4CE079C0">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rPr>
                    <w:t>非甲烷总烃</w:t>
                  </w:r>
                </w:p>
              </w:tc>
              <w:tc>
                <w:tcPr>
                  <w:tcW w:w="1334" w:type="pct"/>
                  <w:vMerge w:val="restart"/>
                  <w:vAlign w:val="center"/>
                </w:tcPr>
                <w:p w14:paraId="5AABA67F">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rPr>
                    <w:t>2个周期，3次/周期</w:t>
                  </w:r>
                </w:p>
              </w:tc>
            </w:tr>
            <w:tr w14:paraId="4E4CB7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744" w:type="pct"/>
                  <w:vMerge w:val="continue"/>
                  <w:vAlign w:val="center"/>
                </w:tcPr>
                <w:p w14:paraId="76A58E4C">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p>
              </w:tc>
              <w:tc>
                <w:tcPr>
                  <w:tcW w:w="1164" w:type="pct"/>
                  <w:vAlign w:val="center"/>
                </w:tcPr>
                <w:p w14:paraId="65BA703D">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rPr>
                    <w:t>固化废气</w:t>
                  </w:r>
                  <w:r>
                    <w:rPr>
                      <w:rFonts w:hint="default" w:ascii="Times New Roman" w:hAnsi="Times New Roman" w:eastAsia="宋体" w:cs="Times New Roman"/>
                      <w:color w:val="auto"/>
                      <w:szCs w:val="21"/>
                      <w:lang w:eastAsia="zh-CN"/>
                    </w:rPr>
                    <w:t>、</w:t>
                  </w:r>
                  <w:r>
                    <w:rPr>
                      <w:rFonts w:hint="default" w:ascii="Times New Roman" w:hAnsi="Times New Roman" w:eastAsia="宋体" w:cs="Times New Roman"/>
                      <w:color w:val="auto"/>
                      <w:szCs w:val="21"/>
                      <w:lang w:val="en-US" w:eastAsia="zh-CN"/>
                    </w:rPr>
                    <w:t>背胶废气、辅料成型废气</w:t>
                  </w:r>
                  <w:r>
                    <w:rPr>
                      <w:rFonts w:hint="default" w:ascii="Times New Roman" w:hAnsi="Times New Roman" w:eastAsia="宋体" w:cs="Times New Roman"/>
                      <w:color w:val="auto"/>
                      <w:szCs w:val="21"/>
                    </w:rPr>
                    <w:t>排气筒DA001</w:t>
                  </w:r>
                </w:p>
              </w:tc>
              <w:tc>
                <w:tcPr>
                  <w:tcW w:w="1756" w:type="pct"/>
                  <w:vAlign w:val="center"/>
                </w:tcPr>
                <w:p w14:paraId="3C70BF4F">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rPr>
                    <w:t>非甲烷总烃、臭气浓度</w:t>
                  </w:r>
                </w:p>
              </w:tc>
              <w:tc>
                <w:tcPr>
                  <w:tcW w:w="1334" w:type="pct"/>
                  <w:vMerge w:val="continue"/>
                  <w:vAlign w:val="center"/>
                </w:tcPr>
                <w:p w14:paraId="4C6809CC">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p>
              </w:tc>
            </w:tr>
            <w:tr w14:paraId="04242E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744" w:type="pct"/>
                  <w:vMerge w:val="continue"/>
                  <w:vAlign w:val="center"/>
                </w:tcPr>
                <w:p w14:paraId="702D0070">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p>
              </w:tc>
              <w:tc>
                <w:tcPr>
                  <w:tcW w:w="1164" w:type="pct"/>
                  <w:vAlign w:val="center"/>
                </w:tcPr>
                <w:p w14:paraId="29BB6A8B">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lang w:val="en-US" w:eastAsia="zh-CN"/>
                    </w:rPr>
                    <w:t>拆包粉尘、投料粉尘、出料粉尘</w:t>
                  </w:r>
                  <w:r>
                    <w:rPr>
                      <w:rFonts w:hint="default" w:ascii="Times New Roman" w:hAnsi="Times New Roman" w:eastAsia="宋体" w:cs="Times New Roman"/>
                      <w:color w:val="auto"/>
                      <w:szCs w:val="21"/>
                    </w:rPr>
                    <w:t>排气筒DA002</w:t>
                  </w:r>
                </w:p>
              </w:tc>
              <w:tc>
                <w:tcPr>
                  <w:tcW w:w="1756" w:type="pct"/>
                  <w:vAlign w:val="center"/>
                </w:tcPr>
                <w:p w14:paraId="15F329AB">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rPr>
                    <w:t>颗粒物</w:t>
                  </w:r>
                </w:p>
              </w:tc>
              <w:tc>
                <w:tcPr>
                  <w:tcW w:w="1334" w:type="pct"/>
                  <w:vMerge w:val="continue"/>
                  <w:vAlign w:val="center"/>
                </w:tcPr>
                <w:p w14:paraId="2C92506D">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p>
              </w:tc>
            </w:tr>
            <w:tr w14:paraId="1F28BA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744" w:type="pct"/>
                  <w:vAlign w:val="center"/>
                </w:tcPr>
                <w:p w14:paraId="7EF28EE0">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rPr>
                    <w:t>废水</w:t>
                  </w:r>
                </w:p>
              </w:tc>
              <w:tc>
                <w:tcPr>
                  <w:tcW w:w="1164" w:type="pct"/>
                  <w:vAlign w:val="center"/>
                </w:tcPr>
                <w:p w14:paraId="3A601945">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rPr>
                    <w:t>生活污水排放口</w:t>
                  </w:r>
                </w:p>
                <w:p w14:paraId="13B62EAE">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rPr>
                    <w:t>DW001</w:t>
                  </w:r>
                </w:p>
              </w:tc>
              <w:tc>
                <w:tcPr>
                  <w:tcW w:w="1756" w:type="pct"/>
                  <w:vAlign w:val="center"/>
                </w:tcPr>
                <w:p w14:paraId="4F298F0B">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rPr>
                    <w:t>COD</w:t>
                  </w:r>
                  <w:r>
                    <w:rPr>
                      <w:rFonts w:hint="default" w:ascii="Times New Roman" w:hAnsi="Times New Roman" w:eastAsia="宋体" w:cs="Times New Roman"/>
                      <w:color w:val="auto"/>
                      <w:szCs w:val="21"/>
                      <w:vertAlign w:val="subscript"/>
                    </w:rPr>
                    <w:t>Cr</w:t>
                  </w:r>
                  <w:r>
                    <w:rPr>
                      <w:rFonts w:hint="default" w:ascii="Times New Roman" w:hAnsi="Times New Roman" w:eastAsia="宋体" w:cs="Times New Roman"/>
                      <w:color w:val="auto"/>
                      <w:szCs w:val="21"/>
                    </w:rPr>
                    <w:t>、NH</w:t>
                  </w:r>
                  <w:r>
                    <w:rPr>
                      <w:rFonts w:hint="default" w:ascii="Times New Roman" w:hAnsi="Times New Roman" w:eastAsia="宋体" w:cs="Times New Roman"/>
                      <w:color w:val="auto"/>
                      <w:szCs w:val="21"/>
                      <w:vertAlign w:val="subscript"/>
                    </w:rPr>
                    <w:t>3</w:t>
                  </w:r>
                  <w:r>
                    <w:rPr>
                      <w:rFonts w:hint="default" w:ascii="Times New Roman" w:hAnsi="Times New Roman" w:eastAsia="宋体" w:cs="Times New Roman"/>
                      <w:color w:val="auto"/>
                      <w:szCs w:val="21"/>
                    </w:rPr>
                    <w:t>-N</w:t>
                  </w:r>
                </w:p>
              </w:tc>
              <w:tc>
                <w:tcPr>
                  <w:tcW w:w="1334" w:type="pct"/>
                  <w:vAlign w:val="center"/>
                </w:tcPr>
                <w:p w14:paraId="08617DEE">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rPr>
                    <w:t>2个周期，4次/周期</w:t>
                  </w:r>
                </w:p>
              </w:tc>
            </w:tr>
            <w:tr w14:paraId="03D236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744" w:type="pct"/>
                  <w:vAlign w:val="center"/>
                </w:tcPr>
                <w:p w14:paraId="787EECB6">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rPr>
                    <w:t>噪声</w:t>
                  </w:r>
                </w:p>
              </w:tc>
              <w:tc>
                <w:tcPr>
                  <w:tcW w:w="1164" w:type="pct"/>
                  <w:vAlign w:val="center"/>
                </w:tcPr>
                <w:p w14:paraId="384C07CA">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rPr>
                    <w:t>厂界</w:t>
                  </w:r>
                </w:p>
              </w:tc>
              <w:tc>
                <w:tcPr>
                  <w:tcW w:w="1756" w:type="pct"/>
                  <w:vAlign w:val="center"/>
                </w:tcPr>
                <w:p w14:paraId="57D3AC05">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rPr>
                    <w:t>昼间Leq（A）</w:t>
                  </w:r>
                </w:p>
              </w:tc>
              <w:tc>
                <w:tcPr>
                  <w:tcW w:w="1334" w:type="pct"/>
                  <w:vAlign w:val="center"/>
                </w:tcPr>
                <w:p w14:paraId="6E7B1B46">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rPr>
                    <w:t>2个周期，</w:t>
                  </w:r>
                  <w:r>
                    <w:rPr>
                      <w:rFonts w:hint="eastAsia" w:ascii="Times New Roman" w:hAnsi="Times New Roman" w:eastAsia="宋体" w:cs="Times New Roman"/>
                      <w:color w:val="auto"/>
                      <w:szCs w:val="21"/>
                      <w:lang w:val="en-US" w:eastAsia="zh-CN"/>
                    </w:rPr>
                    <w:t>1</w:t>
                  </w:r>
                  <w:r>
                    <w:rPr>
                      <w:rFonts w:hint="default" w:ascii="Times New Roman" w:hAnsi="Times New Roman" w:eastAsia="宋体" w:cs="Times New Roman"/>
                      <w:color w:val="auto"/>
                      <w:szCs w:val="21"/>
                    </w:rPr>
                    <w:t>次/周期</w:t>
                  </w:r>
                </w:p>
              </w:tc>
            </w:tr>
          </w:tbl>
          <w:p w14:paraId="326E9BA8">
            <w:pPr>
              <w:keepNext w:val="0"/>
              <w:keepLines w:val="0"/>
              <w:suppressLineNumbers w:val="0"/>
              <w:spacing w:before="0" w:beforeAutospacing="0" w:after="0" w:afterAutospacing="0"/>
              <w:ind w:left="0" w:right="0"/>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rPr>
              <w:t>（4）核发排污许可证</w:t>
            </w:r>
          </w:p>
          <w:p w14:paraId="585646F5">
            <w:pPr>
              <w:keepNext w:val="0"/>
              <w:keepLines w:val="0"/>
              <w:suppressLineNumbers w:val="0"/>
              <w:spacing w:before="0" w:beforeAutospacing="0" w:after="0" w:afterAutospacing="0"/>
              <w:ind w:left="0" w:right="0" w:firstLine="420" w:firstLineChars="200"/>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rPr>
              <w:t>《固定污染源排污许可分类管理名录（2019年版）》中规定，根据排放污染物的企业事业单位和其他生产经营者污染物产生量、排放量、对环境的影响程度等因素，实行排污许可重点管理、简化管理和登记管理。根据</w:t>
            </w:r>
            <w:r>
              <w:rPr>
                <w:rFonts w:hint="eastAsia" w:ascii="Times New Roman" w:hAnsi="Times New Roman" w:eastAsia="宋体" w:cs="Times New Roman"/>
                <w:color w:val="auto"/>
                <w:szCs w:val="21"/>
                <w:lang w:eastAsia="zh-CN"/>
              </w:rPr>
              <w:t>“</w:t>
            </w:r>
            <w:r>
              <w:rPr>
                <w:rFonts w:hint="default" w:ascii="Times New Roman" w:hAnsi="Times New Roman" w:eastAsia="宋体" w:cs="Times New Roman"/>
                <w:color w:val="auto"/>
                <w:szCs w:val="21"/>
              </w:rPr>
              <w:t>名录</w:t>
            </w:r>
            <w:r>
              <w:rPr>
                <w:rFonts w:hint="eastAsia" w:ascii="Times New Roman" w:hAnsi="Times New Roman" w:eastAsia="宋体" w:cs="Times New Roman"/>
                <w:color w:val="auto"/>
                <w:szCs w:val="21"/>
                <w:lang w:eastAsia="zh-CN"/>
              </w:rPr>
              <w:t>”</w:t>
            </w:r>
            <w:r>
              <w:rPr>
                <w:rFonts w:hint="default" w:ascii="Times New Roman" w:hAnsi="Times New Roman" w:eastAsia="宋体" w:cs="Times New Roman"/>
                <w:color w:val="auto"/>
                <w:szCs w:val="21"/>
              </w:rPr>
              <w:t>第四条规定，建设单位应当在启动生产设施或者发生实际排污之前申请取得排污许可证。</w:t>
            </w:r>
          </w:p>
          <w:p w14:paraId="52989275">
            <w:pPr>
              <w:keepNext w:val="0"/>
              <w:keepLines w:val="0"/>
              <w:suppressLineNumbers w:val="0"/>
              <w:spacing w:before="0" w:beforeAutospacing="0" w:after="0" w:afterAutospacing="0"/>
              <w:ind w:left="0" w:right="0" w:firstLine="420" w:firstLineChars="200"/>
              <w:rPr>
                <w:rFonts w:hint="default" w:ascii="Times New Roman" w:hAnsi="Times New Roman" w:eastAsia="宋体" w:cs="Times New Roman"/>
                <w:color w:val="auto"/>
                <w:szCs w:val="21"/>
                <w:lang w:val="en-US" w:eastAsia="zh-CN"/>
              </w:rPr>
            </w:pPr>
            <w:r>
              <w:rPr>
                <w:rFonts w:hint="default" w:ascii="Times New Roman" w:hAnsi="Times New Roman" w:eastAsia="宋体" w:cs="Times New Roman"/>
                <w:color w:val="auto"/>
                <w:szCs w:val="21"/>
              </w:rPr>
              <w:t>通过对照，企业行业类别属于</w:t>
            </w:r>
            <w:r>
              <w:rPr>
                <w:rFonts w:hint="eastAsia" w:ascii="Times New Roman" w:hAnsi="Times New Roman" w:eastAsia="宋体" w:cs="Times New Roman"/>
                <w:color w:val="auto"/>
                <w:szCs w:val="21"/>
                <w:lang w:eastAsia="zh-CN"/>
              </w:rPr>
              <w:t>“</w:t>
            </w:r>
            <w:r>
              <w:rPr>
                <w:rFonts w:hint="eastAsia" w:ascii="Times New Roman" w:hAnsi="Times New Roman" w:eastAsia="宋体" w:cs="Times New Roman"/>
                <w:color w:val="auto"/>
                <w:szCs w:val="21"/>
              </w:rPr>
              <w:t>二十四、橡胶和塑料制品业29-62、塑料制品业292-其他</w:t>
            </w:r>
            <w:r>
              <w:rPr>
                <w:rFonts w:hint="eastAsia" w:ascii="Times New Roman" w:hAnsi="Times New Roman" w:eastAsia="宋体" w:cs="Times New Roman"/>
                <w:color w:val="auto"/>
                <w:szCs w:val="21"/>
                <w:lang w:eastAsia="zh-CN"/>
              </w:rPr>
              <w:t>”、“</w:t>
            </w:r>
            <w:r>
              <w:rPr>
                <w:rFonts w:hint="eastAsia" w:ascii="Times New Roman" w:hAnsi="Times New Roman" w:eastAsia="宋体" w:cs="Times New Roman"/>
                <w:color w:val="auto"/>
                <w:szCs w:val="21"/>
                <w:lang w:val="en-US" w:eastAsia="zh-CN"/>
              </w:rPr>
              <w:t>二十五、非金属矿物制品业30-64、砖瓦、石材等建筑材料制造303-隔热和隔音材料制造3034</w:t>
            </w:r>
            <w:r>
              <w:rPr>
                <w:rFonts w:hint="eastAsia" w:ascii="Times New Roman" w:hAnsi="Times New Roman" w:eastAsia="宋体" w:cs="Times New Roman"/>
                <w:color w:val="auto"/>
                <w:szCs w:val="21"/>
                <w:lang w:eastAsia="zh-CN"/>
              </w:rPr>
              <w:t>”、“</w:t>
            </w:r>
            <w:r>
              <w:rPr>
                <w:rFonts w:hint="eastAsia" w:ascii="Times New Roman" w:hAnsi="Times New Roman" w:eastAsia="宋体" w:cs="Times New Roman"/>
                <w:color w:val="auto"/>
                <w:szCs w:val="21"/>
                <w:lang w:val="en-US" w:eastAsia="zh-CN"/>
              </w:rPr>
              <w:t>三十一、汽车制造业36-85、汽车零部件及配件制造367-其他</w:t>
            </w:r>
            <w:r>
              <w:rPr>
                <w:rFonts w:hint="eastAsia" w:ascii="Times New Roman" w:hAnsi="Times New Roman" w:eastAsia="宋体" w:cs="Times New Roman"/>
                <w:color w:val="auto"/>
                <w:szCs w:val="21"/>
                <w:lang w:eastAsia="zh-CN"/>
              </w:rPr>
              <w:t>”</w:t>
            </w:r>
            <w:r>
              <w:rPr>
                <w:rFonts w:hint="eastAsia" w:ascii="Times New Roman" w:hAnsi="Times New Roman" w:eastAsia="宋体" w:cs="Times New Roman"/>
                <w:color w:val="auto"/>
                <w:szCs w:val="21"/>
              </w:rPr>
              <w:t>，故实行排污许可</w:t>
            </w:r>
            <w:r>
              <w:rPr>
                <w:rFonts w:hint="eastAsia" w:ascii="Times New Roman" w:hAnsi="Times New Roman" w:eastAsia="宋体" w:cs="Times New Roman"/>
                <w:color w:val="auto"/>
                <w:szCs w:val="21"/>
                <w:lang w:eastAsia="zh-CN"/>
              </w:rPr>
              <w:t>“</w:t>
            </w:r>
            <w:r>
              <w:rPr>
                <w:rFonts w:hint="eastAsia" w:ascii="Times New Roman" w:hAnsi="Times New Roman" w:eastAsia="宋体" w:cs="Times New Roman"/>
                <w:color w:val="auto"/>
                <w:szCs w:val="21"/>
              </w:rPr>
              <w:t>简化管理</w:t>
            </w:r>
            <w:r>
              <w:rPr>
                <w:rFonts w:hint="eastAsia" w:ascii="Times New Roman" w:hAnsi="Times New Roman" w:eastAsia="宋体" w:cs="Times New Roman"/>
                <w:color w:val="auto"/>
                <w:szCs w:val="21"/>
                <w:lang w:eastAsia="zh-CN"/>
              </w:rPr>
              <w:t>”</w:t>
            </w:r>
            <w:r>
              <w:rPr>
                <w:rFonts w:hint="default" w:ascii="Times New Roman" w:hAnsi="Times New Roman" w:eastAsia="宋体" w:cs="Times New Roman"/>
                <w:color w:val="auto"/>
                <w:szCs w:val="21"/>
              </w:rPr>
              <w:t>，需在正式投产前</w:t>
            </w:r>
            <w:r>
              <w:rPr>
                <w:rFonts w:hint="eastAsia" w:ascii="Times New Roman" w:hAnsi="Times New Roman" w:eastAsia="宋体" w:cs="Times New Roman"/>
                <w:color w:val="auto"/>
                <w:szCs w:val="21"/>
              </w:rPr>
              <w:t>进行</w:t>
            </w:r>
            <w:r>
              <w:rPr>
                <w:rFonts w:hint="eastAsia" w:ascii="Times New Roman" w:hAnsi="Times New Roman" w:eastAsia="宋体" w:cs="Times New Roman"/>
                <w:color w:val="auto"/>
                <w:szCs w:val="21"/>
                <w:lang w:val="en-US" w:eastAsia="zh-CN"/>
              </w:rPr>
              <w:t>排污许可证的申领。</w:t>
            </w:r>
          </w:p>
          <w:p w14:paraId="00ED176C">
            <w:pPr>
              <w:keepNext w:val="0"/>
              <w:keepLines w:val="0"/>
              <w:suppressLineNumbers w:val="0"/>
              <w:spacing w:before="0" w:beforeAutospacing="0" w:after="0" w:afterAutospacing="0"/>
              <w:ind w:left="0" w:right="0" w:firstLine="420" w:firstLineChars="200"/>
              <w:rPr>
                <w:rFonts w:hint="default" w:ascii="Times New Roman" w:hAnsi="Times New Roman" w:eastAsia="宋体" w:cs="Times New Roman"/>
                <w:color w:val="auto"/>
                <w:szCs w:val="21"/>
              </w:rPr>
            </w:pPr>
          </w:p>
          <w:p w14:paraId="584A3310">
            <w:pPr>
              <w:pStyle w:val="10"/>
              <w:keepNext w:val="0"/>
              <w:keepLines w:val="0"/>
              <w:suppressLineNumbers w:val="0"/>
              <w:spacing w:before="0" w:beforeAutospacing="0" w:afterAutospacing="0"/>
              <w:ind w:left="0" w:right="0"/>
              <w:rPr>
                <w:rFonts w:hint="default" w:ascii="Times New Roman" w:hAnsi="Times New Roman" w:eastAsia="宋体" w:cs="Times New Roman"/>
                <w:color w:val="auto"/>
                <w:szCs w:val="21"/>
              </w:rPr>
            </w:pPr>
          </w:p>
          <w:p w14:paraId="59A43AF9">
            <w:pPr>
              <w:pStyle w:val="10"/>
              <w:keepNext w:val="0"/>
              <w:keepLines w:val="0"/>
              <w:suppressLineNumbers w:val="0"/>
              <w:spacing w:before="0" w:beforeAutospacing="0" w:afterAutospacing="0"/>
              <w:ind w:left="0" w:right="0"/>
              <w:rPr>
                <w:rFonts w:hint="default" w:ascii="Times New Roman" w:hAnsi="Times New Roman" w:eastAsia="宋体" w:cs="Times New Roman"/>
                <w:color w:val="auto"/>
                <w:szCs w:val="21"/>
              </w:rPr>
            </w:pPr>
          </w:p>
          <w:p w14:paraId="7D65A5D2">
            <w:pPr>
              <w:pStyle w:val="10"/>
              <w:keepNext w:val="0"/>
              <w:keepLines w:val="0"/>
              <w:suppressLineNumbers w:val="0"/>
              <w:spacing w:before="0" w:beforeAutospacing="0" w:afterAutospacing="0"/>
              <w:ind w:left="0" w:right="0"/>
              <w:rPr>
                <w:rFonts w:hint="default" w:ascii="Times New Roman" w:hAnsi="Times New Roman" w:eastAsia="宋体" w:cs="Times New Roman"/>
                <w:color w:val="auto"/>
                <w:szCs w:val="21"/>
              </w:rPr>
            </w:pPr>
          </w:p>
          <w:p w14:paraId="3B9C874D">
            <w:pPr>
              <w:pStyle w:val="10"/>
              <w:keepNext w:val="0"/>
              <w:keepLines w:val="0"/>
              <w:suppressLineNumbers w:val="0"/>
              <w:spacing w:before="0" w:beforeAutospacing="0" w:afterAutospacing="0"/>
              <w:ind w:left="0" w:right="0"/>
              <w:rPr>
                <w:rFonts w:hint="default" w:ascii="Times New Roman" w:hAnsi="Times New Roman" w:eastAsia="宋体" w:cs="Times New Roman"/>
                <w:color w:val="auto"/>
                <w:szCs w:val="21"/>
              </w:rPr>
            </w:pPr>
          </w:p>
          <w:p w14:paraId="0B03E330">
            <w:pPr>
              <w:pStyle w:val="10"/>
              <w:keepNext w:val="0"/>
              <w:keepLines w:val="0"/>
              <w:suppressLineNumbers w:val="0"/>
              <w:spacing w:before="0" w:beforeAutospacing="0" w:afterAutospacing="0"/>
              <w:ind w:left="0" w:right="0"/>
              <w:rPr>
                <w:rFonts w:hint="default" w:ascii="Times New Roman" w:hAnsi="Times New Roman" w:eastAsia="宋体" w:cs="Times New Roman"/>
                <w:color w:val="auto"/>
                <w:szCs w:val="21"/>
              </w:rPr>
            </w:pPr>
          </w:p>
          <w:p w14:paraId="0AF76217">
            <w:pPr>
              <w:pStyle w:val="10"/>
              <w:keepNext w:val="0"/>
              <w:keepLines w:val="0"/>
              <w:suppressLineNumbers w:val="0"/>
              <w:spacing w:before="0" w:beforeAutospacing="0" w:afterAutospacing="0"/>
              <w:ind w:left="0" w:right="0"/>
              <w:rPr>
                <w:rFonts w:hint="default" w:ascii="Times New Roman" w:hAnsi="Times New Roman" w:eastAsia="宋体" w:cs="Times New Roman"/>
                <w:color w:val="auto"/>
                <w:szCs w:val="21"/>
              </w:rPr>
            </w:pPr>
          </w:p>
          <w:p w14:paraId="795AF2ED">
            <w:pPr>
              <w:pStyle w:val="10"/>
              <w:keepNext w:val="0"/>
              <w:keepLines w:val="0"/>
              <w:suppressLineNumbers w:val="0"/>
              <w:spacing w:before="0" w:beforeAutospacing="0" w:afterAutospacing="0"/>
              <w:ind w:left="0" w:right="0"/>
              <w:rPr>
                <w:rFonts w:hint="default" w:ascii="Times New Roman" w:hAnsi="Times New Roman" w:eastAsia="宋体" w:cs="Times New Roman"/>
                <w:color w:val="auto"/>
                <w:szCs w:val="21"/>
              </w:rPr>
            </w:pPr>
          </w:p>
          <w:p w14:paraId="11726C1A">
            <w:pPr>
              <w:pStyle w:val="10"/>
              <w:keepNext w:val="0"/>
              <w:keepLines w:val="0"/>
              <w:suppressLineNumbers w:val="0"/>
              <w:spacing w:before="0" w:beforeAutospacing="0" w:afterAutospacing="0"/>
              <w:ind w:left="0" w:right="0"/>
              <w:rPr>
                <w:rFonts w:hint="default" w:ascii="Times New Roman" w:hAnsi="Times New Roman" w:eastAsia="宋体" w:cs="Times New Roman"/>
                <w:color w:val="auto"/>
                <w:szCs w:val="21"/>
              </w:rPr>
            </w:pPr>
          </w:p>
          <w:p w14:paraId="08289A26">
            <w:pPr>
              <w:pStyle w:val="10"/>
              <w:keepNext w:val="0"/>
              <w:keepLines w:val="0"/>
              <w:suppressLineNumbers w:val="0"/>
              <w:spacing w:before="0" w:beforeAutospacing="0" w:afterAutospacing="0"/>
              <w:ind w:left="0" w:right="0"/>
              <w:rPr>
                <w:rFonts w:hint="default" w:ascii="Times New Roman" w:hAnsi="Times New Roman" w:eastAsia="宋体" w:cs="Times New Roman"/>
                <w:color w:val="auto"/>
                <w:szCs w:val="21"/>
              </w:rPr>
            </w:pPr>
          </w:p>
          <w:p w14:paraId="14A99D9F">
            <w:pPr>
              <w:pStyle w:val="10"/>
              <w:keepNext w:val="0"/>
              <w:keepLines w:val="0"/>
              <w:suppressLineNumbers w:val="0"/>
              <w:spacing w:before="0" w:beforeAutospacing="0" w:afterAutospacing="0"/>
              <w:ind w:left="0" w:right="0"/>
              <w:rPr>
                <w:rFonts w:hint="default" w:ascii="Times New Roman" w:hAnsi="Times New Roman" w:eastAsia="宋体" w:cs="Times New Roman"/>
                <w:color w:val="auto"/>
                <w:szCs w:val="21"/>
              </w:rPr>
            </w:pPr>
          </w:p>
          <w:p w14:paraId="758BA176">
            <w:pPr>
              <w:pStyle w:val="10"/>
              <w:keepNext w:val="0"/>
              <w:keepLines w:val="0"/>
              <w:suppressLineNumbers w:val="0"/>
              <w:spacing w:before="0" w:beforeAutospacing="0" w:afterAutospacing="0"/>
              <w:ind w:left="0" w:right="0"/>
              <w:rPr>
                <w:rFonts w:hint="default" w:ascii="Times New Roman" w:hAnsi="Times New Roman" w:eastAsia="宋体" w:cs="Times New Roman"/>
                <w:color w:val="auto"/>
                <w:szCs w:val="21"/>
              </w:rPr>
            </w:pPr>
          </w:p>
          <w:p w14:paraId="413FB130">
            <w:pPr>
              <w:pStyle w:val="10"/>
              <w:keepNext w:val="0"/>
              <w:keepLines w:val="0"/>
              <w:suppressLineNumbers w:val="0"/>
              <w:spacing w:before="0" w:beforeAutospacing="0" w:afterAutospacing="0"/>
              <w:ind w:left="0" w:right="0"/>
              <w:rPr>
                <w:rFonts w:hint="default" w:ascii="Times New Roman" w:hAnsi="Times New Roman" w:eastAsia="宋体" w:cs="Times New Roman"/>
                <w:color w:val="auto"/>
                <w:szCs w:val="21"/>
              </w:rPr>
            </w:pPr>
          </w:p>
          <w:p w14:paraId="664F828A">
            <w:pPr>
              <w:pStyle w:val="10"/>
              <w:keepNext w:val="0"/>
              <w:keepLines w:val="0"/>
              <w:suppressLineNumbers w:val="0"/>
              <w:spacing w:before="0" w:beforeAutospacing="0" w:afterAutospacing="0"/>
              <w:ind w:left="0" w:right="0"/>
              <w:rPr>
                <w:rFonts w:hint="default" w:ascii="Times New Roman" w:hAnsi="Times New Roman" w:eastAsia="宋体" w:cs="Times New Roman"/>
                <w:color w:val="auto"/>
                <w:szCs w:val="21"/>
              </w:rPr>
            </w:pPr>
          </w:p>
          <w:p w14:paraId="0BFD4487">
            <w:pPr>
              <w:pStyle w:val="10"/>
              <w:keepNext w:val="0"/>
              <w:keepLines w:val="0"/>
              <w:suppressLineNumbers w:val="0"/>
              <w:spacing w:before="0" w:beforeAutospacing="0" w:afterAutospacing="0"/>
              <w:ind w:left="0" w:right="0"/>
              <w:rPr>
                <w:rFonts w:hint="default" w:ascii="Times New Roman" w:hAnsi="Times New Roman" w:eastAsia="宋体" w:cs="Times New Roman"/>
                <w:color w:val="auto"/>
                <w:szCs w:val="21"/>
              </w:rPr>
            </w:pPr>
          </w:p>
          <w:p w14:paraId="1F851AC7">
            <w:pPr>
              <w:keepNext w:val="0"/>
              <w:keepLines w:val="0"/>
              <w:suppressLineNumbers w:val="0"/>
              <w:spacing w:before="0" w:beforeAutospacing="0" w:after="0" w:afterAutospacing="0"/>
              <w:ind w:left="0" w:right="0"/>
              <w:rPr>
                <w:rFonts w:hint="default" w:ascii="Times New Roman" w:hAnsi="Times New Roman" w:eastAsia="宋体" w:cs="Times New Roman"/>
                <w:color w:val="auto"/>
                <w:szCs w:val="21"/>
              </w:rPr>
            </w:pPr>
          </w:p>
        </w:tc>
      </w:tr>
    </w:tbl>
    <w:p w14:paraId="56C246C8">
      <w:pPr>
        <w:pStyle w:val="21"/>
        <w:ind w:left="0" w:leftChars="0" w:firstLine="0" w:firstLineChars="0"/>
        <w:rPr>
          <w:color w:val="auto"/>
        </w:rPr>
        <w:sectPr>
          <w:pgSz w:w="11906" w:h="16838"/>
          <w:pgMar w:top="1417" w:right="1417" w:bottom="1417" w:left="1417" w:header="851" w:footer="992" w:gutter="0"/>
          <w:pgBorders>
            <w:top w:val="none" w:sz="0" w:space="0"/>
            <w:left w:val="none" w:sz="0" w:space="0"/>
            <w:bottom w:val="none" w:sz="0" w:space="0"/>
            <w:right w:val="none" w:sz="0" w:space="0"/>
          </w:pgBorders>
          <w:cols w:space="425" w:num="1"/>
          <w:docGrid w:type="lines" w:linePitch="312" w:charSpace="0"/>
        </w:sectPr>
      </w:pPr>
    </w:p>
    <w:p w14:paraId="67B5C3D3">
      <w:pPr>
        <w:pStyle w:val="2"/>
        <w:rPr>
          <w:rFonts w:ascii="Times New Roman" w:hAnsi="Times New Roman" w:eastAsia="宋体" w:cs="Times New Roman"/>
          <w:color w:val="auto"/>
          <w:sz w:val="30"/>
          <w:szCs w:val="30"/>
        </w:rPr>
      </w:pPr>
      <w:bookmarkStart w:id="37" w:name="_Toc20660"/>
      <w:r>
        <w:rPr>
          <w:rFonts w:hint="eastAsia" w:ascii="Times New Roman" w:hAnsi="Times New Roman" w:eastAsia="宋体" w:cs="Times New Roman"/>
          <w:color w:val="auto"/>
          <w:sz w:val="30"/>
          <w:szCs w:val="30"/>
        </w:rPr>
        <w:t>六、结论</w:t>
      </w:r>
      <w:bookmarkEnd w:id="37"/>
    </w:p>
    <w:tbl>
      <w:tblPr>
        <w:tblStyle w:val="23"/>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9062"/>
      </w:tblGrid>
      <w:tr w14:paraId="451925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014" w:hRule="atLeast"/>
        </w:trPr>
        <w:tc>
          <w:tcPr>
            <w:tcW w:w="5000" w:type="pct"/>
            <w:vAlign w:val="center"/>
          </w:tcPr>
          <w:p w14:paraId="34F8BA8B">
            <w:pPr>
              <w:keepNext w:val="0"/>
              <w:keepLines w:val="0"/>
              <w:suppressLineNumbers w:val="0"/>
              <w:spacing w:before="0" w:beforeAutospacing="0" w:after="0" w:afterAutospacing="0" w:line="360" w:lineRule="auto"/>
              <w:ind w:left="0" w:right="0" w:firstLine="480" w:firstLineChars="200"/>
              <w:jc w:val="both"/>
              <w:rPr>
                <w:rFonts w:hint="default"/>
                <w:color w:val="auto"/>
              </w:rPr>
            </w:pPr>
            <w:r>
              <w:rPr>
                <w:rFonts w:hint="eastAsia" w:ascii="Times New Roman" w:hAnsi="Times New Roman" w:eastAsia="宋体" w:cs="Times New Roman"/>
                <w:color w:val="auto"/>
                <w:sz w:val="24"/>
              </w:rPr>
              <w:t>本项目性质为</w:t>
            </w:r>
            <w:r>
              <w:rPr>
                <w:rFonts w:hint="eastAsia" w:ascii="Times New Roman" w:hAnsi="Times New Roman" w:eastAsia="宋体" w:cs="Times New Roman"/>
                <w:color w:val="auto"/>
                <w:sz w:val="24"/>
                <w:lang w:val="en-US" w:eastAsia="zh-CN"/>
              </w:rPr>
              <w:t>扩建</w:t>
            </w:r>
            <w:r>
              <w:rPr>
                <w:rFonts w:hint="eastAsia" w:ascii="Times New Roman" w:hAnsi="Times New Roman" w:eastAsia="宋体" w:cs="Times New Roman"/>
                <w:color w:val="auto"/>
                <w:sz w:val="24"/>
              </w:rPr>
              <w:t>，主要从事第二代动力电池高安全陶瓷化复合隔膜</w:t>
            </w:r>
            <w:r>
              <w:rPr>
                <w:rFonts w:hint="eastAsia" w:ascii="Times New Roman" w:hAnsi="Times New Roman" w:eastAsia="宋体" w:cs="Times New Roman"/>
                <w:color w:val="auto"/>
                <w:sz w:val="24"/>
                <w:lang w:eastAsia="zh-CN"/>
              </w:rPr>
              <w:t>、隔热板</w:t>
            </w:r>
            <w:r>
              <w:rPr>
                <w:rFonts w:hint="eastAsia" w:ascii="Times New Roman" w:hAnsi="Times New Roman" w:eastAsia="宋体" w:cs="Times New Roman"/>
                <w:color w:val="auto"/>
                <w:sz w:val="24"/>
                <w:lang w:val="en-US" w:eastAsia="zh-CN"/>
              </w:rPr>
              <w:t>的</w:t>
            </w:r>
            <w:r>
              <w:rPr>
                <w:rFonts w:hint="eastAsia" w:ascii="Times New Roman" w:hAnsi="Times New Roman" w:eastAsia="宋体" w:cs="Times New Roman"/>
                <w:color w:val="auto"/>
                <w:sz w:val="24"/>
              </w:rPr>
              <w:t>生产，根据《国民经济行业分类》（</w:t>
            </w:r>
            <w:r>
              <w:rPr>
                <w:rFonts w:hint="default" w:ascii="Times New Roman" w:hAnsi="Times New Roman" w:eastAsia="宋体" w:cs="Times New Roman"/>
                <w:color w:val="auto"/>
                <w:sz w:val="24"/>
              </w:rPr>
              <w:t>GB/T4754-2017</w:t>
            </w:r>
            <w:r>
              <w:rPr>
                <w:rFonts w:hint="eastAsia" w:ascii="Times New Roman" w:hAnsi="Times New Roman" w:eastAsia="宋体" w:cs="Times New Roman"/>
                <w:color w:val="auto"/>
                <w:sz w:val="24"/>
              </w:rPr>
              <w:t>），属于</w:t>
            </w:r>
            <w:r>
              <w:rPr>
                <w:rFonts w:hint="eastAsia" w:ascii="Times New Roman" w:hAnsi="Times New Roman" w:eastAsia="宋体" w:cs="Times New Roman"/>
                <w:color w:val="auto"/>
                <w:sz w:val="24"/>
                <w:lang w:val="en-US" w:eastAsia="zh-CN"/>
              </w:rPr>
              <w:t>C3670汽车零部件及配件制造、C2929塑料零件及其他塑料制品制造、</w:t>
            </w:r>
            <w:r>
              <w:rPr>
                <w:rFonts w:hint="eastAsia" w:ascii="Times New Roman" w:hAnsi="Times New Roman" w:eastAsia="宋体" w:cs="Times New Roman"/>
                <w:color w:val="auto"/>
                <w:sz w:val="24"/>
              </w:rPr>
              <w:t>C3034隔热和隔音材料制造，属二类工业。项目位于</w:t>
            </w:r>
            <w:r>
              <w:rPr>
                <w:rFonts w:hint="eastAsia" w:ascii="Times New Roman" w:hAnsi="Times New Roman" w:eastAsia="宋体" w:cs="Times New Roman"/>
                <w:color w:val="auto"/>
                <w:sz w:val="24"/>
                <w:lang w:eastAsia="zh-CN"/>
              </w:rPr>
              <w:t>“</w:t>
            </w:r>
            <w:r>
              <w:rPr>
                <w:rFonts w:hint="eastAsia" w:ascii="Times New Roman" w:hAnsi="Times New Roman" w:eastAsia="宋体" w:cs="Times New Roman"/>
                <w:color w:val="auto"/>
                <w:sz w:val="24"/>
              </w:rPr>
              <w:t>湖州市安吉县天子湖镇产业集聚重点管控单元（</w:t>
            </w:r>
            <w:r>
              <w:rPr>
                <w:rFonts w:hint="default" w:ascii="Times New Roman" w:hAnsi="Times New Roman" w:eastAsia="宋体" w:cs="Times New Roman"/>
                <w:color w:val="auto"/>
                <w:sz w:val="24"/>
              </w:rPr>
              <w:t>ZH33052320007</w:t>
            </w:r>
            <w:r>
              <w:rPr>
                <w:rFonts w:hint="eastAsia" w:ascii="Times New Roman" w:hAnsi="Times New Roman" w:eastAsia="宋体" w:cs="Times New Roman"/>
                <w:color w:val="auto"/>
                <w:sz w:val="24"/>
              </w:rPr>
              <w:t>）</w:t>
            </w:r>
            <w:r>
              <w:rPr>
                <w:rFonts w:hint="eastAsia" w:ascii="Times New Roman" w:hAnsi="Times New Roman" w:eastAsia="宋体" w:cs="Times New Roman"/>
                <w:color w:val="auto"/>
                <w:sz w:val="24"/>
                <w:lang w:eastAsia="zh-CN"/>
              </w:rPr>
              <w:t>”</w:t>
            </w:r>
            <w:r>
              <w:rPr>
                <w:rFonts w:hint="eastAsia" w:ascii="Times New Roman" w:hAnsi="Times New Roman" w:eastAsia="宋体" w:cs="Times New Roman"/>
                <w:color w:val="auto"/>
                <w:sz w:val="24"/>
              </w:rPr>
              <w:t>，符合安吉县</w:t>
            </w:r>
            <w:r>
              <w:rPr>
                <w:rFonts w:hint="eastAsia" w:ascii="Times New Roman" w:hAnsi="Times New Roman" w:eastAsia="宋体" w:cs="Times New Roman"/>
                <w:color w:val="auto"/>
                <w:sz w:val="24"/>
                <w:lang w:eastAsia="zh-CN"/>
              </w:rPr>
              <w:t>“</w:t>
            </w:r>
            <w:r>
              <w:rPr>
                <w:rFonts w:hint="eastAsia" w:ascii="Times New Roman" w:hAnsi="Times New Roman" w:eastAsia="宋体" w:cs="Times New Roman"/>
                <w:color w:val="auto"/>
                <w:sz w:val="24"/>
              </w:rPr>
              <w:t>生态环境分区管控</w:t>
            </w:r>
            <w:r>
              <w:rPr>
                <w:rFonts w:hint="eastAsia" w:ascii="Times New Roman" w:hAnsi="Times New Roman" w:eastAsia="宋体" w:cs="Times New Roman"/>
                <w:color w:val="auto"/>
                <w:sz w:val="24"/>
                <w:lang w:eastAsia="zh-CN"/>
              </w:rPr>
              <w:t>”</w:t>
            </w:r>
            <w:r>
              <w:rPr>
                <w:rFonts w:hint="eastAsia" w:ascii="Times New Roman" w:hAnsi="Times New Roman" w:eastAsia="宋体" w:cs="Times New Roman"/>
                <w:color w:val="auto"/>
                <w:sz w:val="24"/>
              </w:rPr>
              <w:t>控制要求。企业在正常生产并认真组织落实本环评提出的各项</w:t>
            </w:r>
            <w:r>
              <w:rPr>
                <w:rFonts w:hint="eastAsia" w:ascii="Times New Roman" w:hAnsi="Times New Roman" w:eastAsia="宋体" w:cs="Times New Roman"/>
                <w:color w:val="0000E1"/>
                <w:sz w:val="24"/>
              </w:rPr>
              <w:t>生态环境保护对策措施</w:t>
            </w:r>
            <w:r>
              <w:rPr>
                <w:rFonts w:hint="eastAsia" w:ascii="Times New Roman" w:hAnsi="Times New Roman" w:eastAsia="宋体" w:cs="Times New Roman"/>
                <w:color w:val="auto"/>
                <w:sz w:val="24"/>
              </w:rPr>
              <w:t>的基础上，能使各污染物排放全面稳定达到国家与地方环保相关标准规定要求，不会对周围环境产生明显不利影响，也不会改变项目所在区域环境功能区划要求，符合污染物达标排放和环境功能区划要求。项目实施后，</w:t>
            </w:r>
            <w:r>
              <w:rPr>
                <w:rFonts w:hint="eastAsia" w:ascii="Times New Roman" w:hAnsi="Times New Roman" w:eastAsia="宋体" w:cs="Times New Roman"/>
                <w:color w:val="auto"/>
                <w:sz w:val="24"/>
                <w:lang w:val="en-US" w:eastAsia="zh-CN"/>
              </w:rPr>
              <w:t>颗粒物、挥发性有机物</w:t>
            </w:r>
            <w:r>
              <w:rPr>
                <w:rFonts w:hint="eastAsia" w:ascii="Times New Roman" w:hAnsi="Times New Roman" w:eastAsia="宋体" w:cs="Times New Roman"/>
                <w:color w:val="auto"/>
                <w:sz w:val="24"/>
              </w:rPr>
              <w:t>按</w:t>
            </w:r>
            <w:r>
              <w:rPr>
                <w:rFonts w:hint="default" w:ascii="Times New Roman" w:hAnsi="Times New Roman" w:eastAsia="宋体" w:cs="Times New Roman"/>
                <w:color w:val="auto"/>
                <w:sz w:val="24"/>
              </w:rPr>
              <w:t>1</w:t>
            </w:r>
            <w:r>
              <w:rPr>
                <w:rFonts w:hint="eastAsia" w:ascii="Times New Roman" w:hAnsi="Times New Roman" w:eastAsia="宋体" w:cs="Times New Roman"/>
                <w:color w:val="auto"/>
                <w:sz w:val="24"/>
              </w:rPr>
              <w:t>：</w:t>
            </w:r>
            <w:r>
              <w:rPr>
                <w:rFonts w:hint="default" w:ascii="Times New Roman" w:hAnsi="Times New Roman" w:eastAsia="宋体" w:cs="Times New Roman"/>
                <w:color w:val="auto"/>
                <w:sz w:val="24"/>
              </w:rPr>
              <w:t>2</w:t>
            </w:r>
            <w:r>
              <w:rPr>
                <w:rFonts w:hint="eastAsia" w:ascii="Times New Roman" w:hAnsi="Times New Roman" w:eastAsia="宋体" w:cs="Times New Roman"/>
                <w:color w:val="auto"/>
                <w:sz w:val="24"/>
              </w:rPr>
              <w:t>区域替代削减</w:t>
            </w:r>
            <w:r>
              <w:rPr>
                <w:rFonts w:hint="eastAsia" w:ascii="Times New Roman" w:hAnsi="Times New Roman" w:eastAsia="宋体" w:cs="Times New Roman"/>
                <w:color w:val="auto"/>
                <w:sz w:val="24"/>
                <w:lang w:eastAsia="zh-CN"/>
              </w:rPr>
              <w:t>，</w:t>
            </w:r>
            <w:r>
              <w:rPr>
                <w:rFonts w:hint="eastAsia" w:ascii="Times New Roman" w:hAnsi="Times New Roman" w:eastAsia="宋体" w:cs="Times New Roman"/>
                <w:color w:val="auto"/>
                <w:sz w:val="24"/>
              </w:rPr>
              <w:t>符合总量控制要求。根据对项目原辅材料、生产工艺、生产设备、产品质量及资源利用等方面综合分析，项目建设体现了</w:t>
            </w:r>
            <w:r>
              <w:rPr>
                <w:rFonts w:hint="eastAsia" w:ascii="Times New Roman" w:hAnsi="Times New Roman" w:eastAsia="宋体" w:cs="Times New Roman"/>
                <w:color w:val="auto"/>
                <w:sz w:val="24"/>
                <w:lang w:eastAsia="zh-CN"/>
              </w:rPr>
              <w:t>“</w:t>
            </w:r>
            <w:r>
              <w:rPr>
                <w:rFonts w:hint="eastAsia" w:ascii="Times New Roman" w:hAnsi="Times New Roman" w:eastAsia="宋体" w:cs="Times New Roman"/>
                <w:color w:val="auto"/>
                <w:sz w:val="24"/>
              </w:rPr>
              <w:t>节能、降耗、减污、增效</w:t>
            </w:r>
            <w:r>
              <w:rPr>
                <w:rFonts w:hint="eastAsia" w:ascii="Times New Roman" w:hAnsi="Times New Roman" w:eastAsia="宋体" w:cs="Times New Roman"/>
                <w:color w:val="auto"/>
                <w:sz w:val="24"/>
                <w:lang w:eastAsia="zh-CN"/>
              </w:rPr>
              <w:t>”</w:t>
            </w:r>
            <w:r>
              <w:rPr>
                <w:rFonts w:hint="eastAsia" w:ascii="Times New Roman" w:hAnsi="Times New Roman" w:eastAsia="宋体" w:cs="Times New Roman"/>
                <w:color w:val="auto"/>
                <w:sz w:val="24"/>
              </w:rPr>
              <w:t>的清洁生产本质，具有一定的清洁生产水平，符合清洁生产要求。在严格落实环境风险防范措施基础上，项目环境风险能得以控制与防范，符合环境风险防范要求。项目所在地位于浙江省湖州市安吉县天子湖镇长隆路398号</w:t>
            </w:r>
            <w:r>
              <w:rPr>
                <w:rFonts w:hint="eastAsia" w:ascii="Times New Roman" w:hAnsi="Times New Roman" w:eastAsia="宋体" w:cs="Times New Roman"/>
                <w:color w:val="0000E1"/>
                <w:sz w:val="24"/>
              </w:rPr>
              <w:t>1号厂房1楼，2号厂房1楼</w:t>
            </w:r>
            <w:r>
              <w:rPr>
                <w:rFonts w:hint="eastAsia" w:ascii="Times New Roman" w:hAnsi="Times New Roman" w:eastAsia="宋体" w:cs="Times New Roman"/>
                <w:color w:val="0000E1"/>
                <w:sz w:val="24"/>
                <w:lang w:eastAsia="zh-CN"/>
              </w:rPr>
              <w:t>、</w:t>
            </w:r>
            <w:r>
              <w:rPr>
                <w:rFonts w:hint="eastAsia" w:ascii="Times New Roman" w:hAnsi="Times New Roman" w:eastAsia="宋体" w:cs="Times New Roman"/>
                <w:color w:val="0000E1"/>
                <w:sz w:val="24"/>
              </w:rPr>
              <w:t>2楼</w:t>
            </w:r>
            <w:r>
              <w:rPr>
                <w:rFonts w:hint="eastAsia" w:ascii="Times New Roman" w:hAnsi="Times New Roman" w:eastAsia="宋体" w:cs="Times New Roman"/>
                <w:color w:val="auto"/>
                <w:sz w:val="24"/>
              </w:rPr>
              <w:t>（浙江吉珈科技有限公司内）</w:t>
            </w:r>
            <w:r>
              <w:rPr>
                <w:rFonts w:hint="eastAsia" w:ascii="Times New Roman" w:hAnsi="Times New Roman" w:eastAsia="宋体" w:cs="Times New Roman"/>
                <w:color w:val="0000E1"/>
                <w:sz w:val="24"/>
              </w:rPr>
              <w:t>，租赁浙江吉珈科技有限公司12909.36平方米闲置厂房组织生产，</w:t>
            </w:r>
            <w:r>
              <w:rPr>
                <w:rFonts w:hint="eastAsia" w:ascii="Times New Roman" w:hAnsi="Times New Roman" w:eastAsia="宋体" w:cs="Times New Roman"/>
                <w:color w:val="auto"/>
                <w:sz w:val="24"/>
              </w:rPr>
              <w:t>规划用地性质为工业用地，符合土地利用总体规划和城乡规划要求。项目已通过</w:t>
            </w:r>
            <w:r>
              <w:rPr>
                <w:rFonts w:hint="eastAsia" w:ascii="Times New Roman" w:hAnsi="Times New Roman" w:eastAsia="宋体" w:cs="Times New Roman"/>
                <w:color w:val="auto"/>
                <w:sz w:val="24"/>
                <w:lang w:val="en-US" w:eastAsia="zh-CN"/>
              </w:rPr>
              <w:t>长合区长三角（湖州）产业合作区</w:t>
            </w:r>
            <w:r>
              <w:rPr>
                <w:rFonts w:hint="eastAsia" w:ascii="Times New Roman" w:hAnsi="Times New Roman" w:eastAsia="宋体" w:cs="Times New Roman"/>
                <w:color w:val="auto"/>
                <w:sz w:val="24"/>
              </w:rPr>
              <w:t>备案，项目代码：</w:t>
            </w:r>
            <w:r>
              <w:rPr>
                <w:rFonts w:hint="default" w:ascii="Times New Roman" w:hAnsi="Times New Roman" w:eastAsia="宋体" w:cs="Times New Roman"/>
                <w:color w:val="auto"/>
                <w:sz w:val="24"/>
                <w:lang w:val="en-US" w:eastAsia="zh-CN"/>
              </w:rPr>
              <w:t>2512-330554-04-02-214750</w:t>
            </w:r>
            <w:r>
              <w:rPr>
                <w:rFonts w:hint="eastAsia" w:ascii="Times New Roman" w:hAnsi="Times New Roman" w:eastAsia="宋体" w:cs="Times New Roman"/>
                <w:color w:val="auto"/>
                <w:sz w:val="24"/>
              </w:rPr>
              <w:t>，符合国家与地方产业政策要求。因此，从建设项目环评审批原则和环保要求角度出发，项目实施可行。</w:t>
            </w:r>
          </w:p>
        </w:tc>
      </w:tr>
    </w:tbl>
    <w:p w14:paraId="70AFA3FC">
      <w:pPr>
        <w:rPr>
          <w:color w:val="auto"/>
        </w:rPr>
        <w:sectPr>
          <w:pgSz w:w="11906" w:h="16838"/>
          <w:pgMar w:top="1417" w:right="1417" w:bottom="1417" w:left="1417" w:header="851" w:footer="992" w:gutter="0"/>
          <w:pgBorders>
            <w:top w:val="none" w:sz="0" w:space="0"/>
            <w:left w:val="none" w:sz="0" w:space="0"/>
            <w:bottom w:val="none" w:sz="0" w:space="0"/>
            <w:right w:val="none" w:sz="0" w:space="0"/>
          </w:pgBorders>
          <w:cols w:space="425" w:num="1"/>
          <w:docGrid w:type="lines" w:linePitch="312" w:charSpace="0"/>
        </w:sectPr>
      </w:pPr>
    </w:p>
    <w:p w14:paraId="1D32FE33">
      <w:pPr>
        <w:jc w:val="center"/>
        <w:rPr>
          <w:rFonts w:ascii="Times New Roman" w:hAnsi="Times New Roman" w:eastAsia="宋体" w:cs="Times New Roman"/>
          <w:b/>
          <w:bCs/>
          <w:color w:val="auto"/>
        </w:rPr>
      </w:pPr>
      <w:r>
        <w:rPr>
          <w:rFonts w:ascii="Times New Roman" w:hAnsi="Times New Roman" w:eastAsia="宋体" w:cs="Times New Roman"/>
          <w:b/>
          <w:bCs/>
          <w:color w:val="auto"/>
        </w:rPr>
        <w:t>建设项目污染物排放量汇总表</w:t>
      </w:r>
    </w:p>
    <w:p w14:paraId="484EA38C">
      <w:pPr>
        <w:jc w:val="right"/>
        <w:rPr>
          <w:rFonts w:ascii="Times New Roman" w:hAnsi="Times New Roman" w:eastAsia="宋体" w:cs="Times New Roman"/>
          <w:b/>
          <w:bCs/>
          <w:color w:val="auto"/>
        </w:rPr>
      </w:pPr>
      <w:r>
        <w:rPr>
          <w:rFonts w:ascii="Times New Roman" w:hAnsi="Times New Roman" w:eastAsia="宋体" w:cs="Times New Roman"/>
          <w:b/>
          <w:bCs/>
          <w:color w:val="auto"/>
        </w:rPr>
        <w:t>单位：t/a</w:t>
      </w:r>
    </w:p>
    <w:tbl>
      <w:tblPr>
        <w:tblStyle w:val="22"/>
        <w:tblW w:w="4979" w:type="pct"/>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autofit"/>
        <w:tblCellMar>
          <w:top w:w="0" w:type="dxa"/>
          <w:left w:w="0" w:type="dxa"/>
          <w:bottom w:w="0" w:type="dxa"/>
          <w:right w:w="0" w:type="dxa"/>
        </w:tblCellMar>
      </w:tblPr>
      <w:tblGrid>
        <w:gridCol w:w="712"/>
        <w:gridCol w:w="1945"/>
        <w:gridCol w:w="1990"/>
        <w:gridCol w:w="1302"/>
        <w:gridCol w:w="2009"/>
        <w:gridCol w:w="2006"/>
        <w:gridCol w:w="1787"/>
        <w:gridCol w:w="2356"/>
        <w:gridCol w:w="1521"/>
      </w:tblGrid>
      <w:tr w14:paraId="33144B8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40" w:hRule="atLeast"/>
          <w:jc w:val="center"/>
        </w:trPr>
        <w:tc>
          <w:tcPr>
            <w:tcW w:w="228" w:type="pct"/>
            <w:tcMar>
              <w:top w:w="0" w:type="dxa"/>
              <w:left w:w="28" w:type="dxa"/>
              <w:bottom w:w="0" w:type="dxa"/>
              <w:right w:w="28" w:type="dxa"/>
            </w:tcMar>
            <w:vAlign w:val="center"/>
          </w:tcPr>
          <w:p w14:paraId="0BE51478">
            <w:pPr>
              <w:keepNext w:val="0"/>
              <w:keepLines w:val="0"/>
              <w:suppressLineNumbers w:val="0"/>
              <w:tabs>
                <w:tab w:val="left" w:pos="4830"/>
              </w:tabs>
              <w:spacing w:before="0" w:beforeAutospacing="0" w:after="0" w:afterAutospacing="0"/>
              <w:ind w:left="0" w:right="0"/>
              <w:jc w:val="center"/>
              <w:rPr>
                <w:rFonts w:hint="default" w:ascii="Times New Roman" w:hAnsi="Times New Roman" w:eastAsia="宋体" w:cs="Times New Roman"/>
                <w:b/>
                <w:bCs/>
                <w:color w:val="auto"/>
                <w:szCs w:val="21"/>
              </w:rPr>
            </w:pPr>
            <w:r>
              <w:rPr>
                <w:rFonts w:hint="default" w:ascii="Times New Roman" w:hAnsi="Times New Roman" w:eastAsia="宋体" w:cs="Times New Roman"/>
                <w:b/>
                <w:bCs/>
                <w:color w:val="auto"/>
                <w:szCs w:val="21"/>
              </w:rPr>
              <w:t>项目</w:t>
            </w:r>
          </w:p>
          <w:p w14:paraId="6E4EF491">
            <w:pPr>
              <w:keepNext w:val="0"/>
              <w:keepLines w:val="0"/>
              <w:suppressLineNumbers w:val="0"/>
              <w:tabs>
                <w:tab w:val="left" w:pos="4830"/>
              </w:tabs>
              <w:spacing w:before="0" w:beforeAutospacing="0" w:after="0" w:afterAutospacing="0"/>
              <w:ind w:left="0" w:right="0"/>
              <w:jc w:val="center"/>
              <w:rPr>
                <w:rFonts w:hint="default" w:ascii="Times New Roman" w:hAnsi="Times New Roman" w:eastAsia="宋体" w:cs="Times New Roman"/>
                <w:b/>
                <w:bCs/>
                <w:color w:val="auto"/>
                <w:szCs w:val="21"/>
              </w:rPr>
            </w:pPr>
            <w:r>
              <w:rPr>
                <w:rFonts w:hint="default" w:ascii="Times New Roman" w:hAnsi="Times New Roman" w:eastAsia="宋体" w:cs="Times New Roman"/>
                <w:b/>
                <w:bCs/>
                <w:color w:val="auto"/>
                <w:szCs w:val="21"/>
              </w:rPr>
              <w:t>分类</w:t>
            </w:r>
          </w:p>
        </w:tc>
        <w:tc>
          <w:tcPr>
            <w:tcW w:w="622" w:type="pct"/>
            <w:tcMar>
              <w:top w:w="0" w:type="dxa"/>
              <w:left w:w="28" w:type="dxa"/>
              <w:bottom w:w="0" w:type="dxa"/>
              <w:right w:w="28" w:type="dxa"/>
            </w:tcMar>
            <w:vAlign w:val="center"/>
          </w:tcPr>
          <w:p w14:paraId="6609489F">
            <w:pPr>
              <w:keepNext w:val="0"/>
              <w:keepLines w:val="0"/>
              <w:suppressLineNumbers w:val="0"/>
              <w:tabs>
                <w:tab w:val="left" w:pos="4830"/>
              </w:tabs>
              <w:spacing w:before="0" w:beforeAutospacing="0" w:after="0" w:afterAutospacing="0"/>
              <w:ind w:left="0" w:right="0"/>
              <w:jc w:val="center"/>
              <w:rPr>
                <w:rFonts w:hint="default" w:ascii="Times New Roman" w:hAnsi="Times New Roman" w:eastAsia="宋体" w:cs="Times New Roman"/>
                <w:b/>
                <w:bCs/>
                <w:color w:val="auto"/>
                <w:szCs w:val="21"/>
              </w:rPr>
            </w:pPr>
            <w:r>
              <w:rPr>
                <w:rFonts w:hint="default" w:ascii="Times New Roman" w:hAnsi="Times New Roman" w:eastAsia="宋体" w:cs="Times New Roman"/>
                <w:b/>
                <w:bCs/>
                <w:color w:val="auto"/>
                <w:szCs w:val="21"/>
              </w:rPr>
              <w:t>污染物名称</w:t>
            </w:r>
          </w:p>
        </w:tc>
        <w:tc>
          <w:tcPr>
            <w:tcW w:w="636" w:type="pct"/>
            <w:tcMar>
              <w:top w:w="0" w:type="dxa"/>
              <w:left w:w="28" w:type="dxa"/>
              <w:bottom w:w="0" w:type="dxa"/>
              <w:right w:w="28" w:type="dxa"/>
            </w:tcMar>
            <w:vAlign w:val="center"/>
          </w:tcPr>
          <w:p w14:paraId="0D33F5F9">
            <w:pPr>
              <w:keepNext w:val="0"/>
              <w:keepLines w:val="0"/>
              <w:suppressLineNumbers w:val="0"/>
              <w:tabs>
                <w:tab w:val="left" w:pos="4830"/>
              </w:tabs>
              <w:spacing w:before="0" w:beforeAutospacing="0" w:after="0" w:afterAutospacing="0"/>
              <w:ind w:left="0" w:right="0"/>
              <w:jc w:val="center"/>
              <w:rPr>
                <w:rFonts w:hint="default" w:ascii="Times New Roman" w:hAnsi="Times New Roman" w:eastAsia="宋体" w:cs="Times New Roman"/>
                <w:b/>
                <w:bCs/>
                <w:color w:val="auto"/>
                <w:szCs w:val="21"/>
              </w:rPr>
            </w:pPr>
            <w:r>
              <w:rPr>
                <w:rFonts w:hint="default" w:ascii="Times New Roman" w:hAnsi="Times New Roman" w:eastAsia="宋体" w:cs="Times New Roman"/>
                <w:b/>
                <w:bCs/>
                <w:color w:val="auto"/>
                <w:szCs w:val="21"/>
              </w:rPr>
              <w:t>现有工程排放量</w:t>
            </w:r>
          </w:p>
          <w:p w14:paraId="1D700EC0">
            <w:pPr>
              <w:keepNext w:val="0"/>
              <w:keepLines w:val="0"/>
              <w:suppressLineNumbers w:val="0"/>
              <w:tabs>
                <w:tab w:val="left" w:pos="4830"/>
              </w:tabs>
              <w:spacing w:before="0" w:beforeAutospacing="0" w:after="0" w:afterAutospacing="0"/>
              <w:ind w:left="0" w:right="0"/>
              <w:jc w:val="center"/>
              <w:rPr>
                <w:rFonts w:hint="default" w:ascii="Times New Roman" w:hAnsi="Times New Roman" w:eastAsia="宋体" w:cs="Times New Roman"/>
                <w:b/>
                <w:bCs/>
                <w:color w:val="auto"/>
                <w:szCs w:val="21"/>
              </w:rPr>
            </w:pPr>
            <w:r>
              <w:rPr>
                <w:rFonts w:hint="default" w:ascii="Times New Roman" w:hAnsi="Times New Roman" w:eastAsia="宋体" w:cs="Times New Roman"/>
                <w:b/>
                <w:bCs/>
                <w:color w:val="auto"/>
                <w:szCs w:val="21"/>
              </w:rPr>
              <w:t>（固体废物产生量）①</w:t>
            </w:r>
          </w:p>
        </w:tc>
        <w:tc>
          <w:tcPr>
            <w:tcW w:w="416" w:type="pct"/>
            <w:tcMar>
              <w:top w:w="0" w:type="dxa"/>
              <w:left w:w="28" w:type="dxa"/>
              <w:bottom w:w="0" w:type="dxa"/>
              <w:right w:w="28" w:type="dxa"/>
            </w:tcMar>
            <w:vAlign w:val="center"/>
          </w:tcPr>
          <w:p w14:paraId="6EF2A58D">
            <w:pPr>
              <w:keepNext w:val="0"/>
              <w:keepLines w:val="0"/>
              <w:suppressLineNumbers w:val="0"/>
              <w:tabs>
                <w:tab w:val="left" w:pos="4830"/>
              </w:tabs>
              <w:spacing w:before="0" w:beforeAutospacing="0" w:after="0" w:afterAutospacing="0"/>
              <w:ind w:left="0" w:right="0"/>
              <w:jc w:val="center"/>
              <w:rPr>
                <w:rFonts w:hint="default" w:ascii="Times New Roman" w:hAnsi="Times New Roman" w:eastAsia="宋体" w:cs="Times New Roman"/>
                <w:b/>
                <w:bCs/>
                <w:color w:val="auto"/>
                <w:szCs w:val="21"/>
              </w:rPr>
            </w:pPr>
            <w:r>
              <w:rPr>
                <w:rFonts w:hint="default" w:ascii="Times New Roman" w:hAnsi="Times New Roman" w:eastAsia="宋体" w:cs="Times New Roman"/>
                <w:b/>
                <w:bCs/>
                <w:color w:val="auto"/>
                <w:szCs w:val="21"/>
              </w:rPr>
              <w:t>现有工程</w:t>
            </w:r>
          </w:p>
          <w:p w14:paraId="6DC60F33">
            <w:pPr>
              <w:keepNext w:val="0"/>
              <w:keepLines w:val="0"/>
              <w:suppressLineNumbers w:val="0"/>
              <w:tabs>
                <w:tab w:val="left" w:pos="4830"/>
              </w:tabs>
              <w:spacing w:before="0" w:beforeAutospacing="0" w:after="0" w:afterAutospacing="0"/>
              <w:ind w:left="0" w:right="0"/>
              <w:jc w:val="center"/>
              <w:rPr>
                <w:rFonts w:hint="default" w:ascii="Times New Roman" w:hAnsi="Times New Roman" w:eastAsia="宋体" w:cs="Times New Roman"/>
                <w:b/>
                <w:bCs/>
                <w:color w:val="auto"/>
                <w:szCs w:val="21"/>
              </w:rPr>
            </w:pPr>
            <w:r>
              <w:rPr>
                <w:rFonts w:hint="default" w:ascii="Times New Roman" w:hAnsi="Times New Roman" w:eastAsia="宋体" w:cs="Times New Roman"/>
                <w:b/>
                <w:bCs/>
                <w:color w:val="auto"/>
                <w:szCs w:val="21"/>
              </w:rPr>
              <w:t>许可排放量②</w:t>
            </w:r>
          </w:p>
        </w:tc>
        <w:tc>
          <w:tcPr>
            <w:tcW w:w="642" w:type="pct"/>
            <w:tcMar>
              <w:top w:w="0" w:type="dxa"/>
              <w:left w:w="28" w:type="dxa"/>
              <w:bottom w:w="0" w:type="dxa"/>
              <w:right w:w="28" w:type="dxa"/>
            </w:tcMar>
            <w:vAlign w:val="center"/>
          </w:tcPr>
          <w:p w14:paraId="624216D4">
            <w:pPr>
              <w:keepNext w:val="0"/>
              <w:keepLines w:val="0"/>
              <w:suppressLineNumbers w:val="0"/>
              <w:tabs>
                <w:tab w:val="left" w:pos="4830"/>
              </w:tabs>
              <w:spacing w:before="0" w:beforeAutospacing="0" w:after="0" w:afterAutospacing="0"/>
              <w:ind w:left="0" w:right="0"/>
              <w:jc w:val="center"/>
              <w:rPr>
                <w:rFonts w:hint="default" w:ascii="Times New Roman" w:hAnsi="Times New Roman" w:eastAsia="宋体" w:cs="Times New Roman"/>
                <w:b/>
                <w:bCs/>
                <w:color w:val="auto"/>
                <w:szCs w:val="21"/>
              </w:rPr>
            </w:pPr>
            <w:r>
              <w:rPr>
                <w:rFonts w:hint="default" w:ascii="Times New Roman" w:hAnsi="Times New Roman" w:eastAsia="宋体" w:cs="Times New Roman"/>
                <w:b/>
                <w:bCs/>
                <w:color w:val="auto"/>
                <w:szCs w:val="21"/>
              </w:rPr>
              <w:t>在建工程排放量</w:t>
            </w:r>
          </w:p>
          <w:p w14:paraId="1C72B43C">
            <w:pPr>
              <w:keepNext w:val="0"/>
              <w:keepLines w:val="0"/>
              <w:suppressLineNumbers w:val="0"/>
              <w:tabs>
                <w:tab w:val="left" w:pos="4830"/>
              </w:tabs>
              <w:spacing w:before="0" w:beforeAutospacing="0" w:after="0" w:afterAutospacing="0"/>
              <w:ind w:left="0" w:right="0"/>
              <w:jc w:val="center"/>
              <w:rPr>
                <w:rFonts w:hint="default" w:ascii="Times New Roman" w:hAnsi="Times New Roman" w:eastAsia="宋体" w:cs="Times New Roman"/>
                <w:b/>
                <w:bCs/>
                <w:color w:val="auto"/>
                <w:szCs w:val="21"/>
              </w:rPr>
            </w:pPr>
            <w:r>
              <w:rPr>
                <w:rFonts w:hint="default" w:ascii="Times New Roman" w:hAnsi="Times New Roman" w:eastAsia="宋体" w:cs="Times New Roman"/>
                <w:b/>
                <w:bCs/>
                <w:color w:val="auto"/>
                <w:szCs w:val="21"/>
              </w:rPr>
              <w:t>（固体废物产生量）③</w:t>
            </w:r>
          </w:p>
        </w:tc>
        <w:tc>
          <w:tcPr>
            <w:tcW w:w="641" w:type="pct"/>
            <w:tcMar>
              <w:top w:w="0" w:type="dxa"/>
              <w:left w:w="28" w:type="dxa"/>
              <w:bottom w:w="0" w:type="dxa"/>
              <w:right w:w="28" w:type="dxa"/>
            </w:tcMar>
            <w:vAlign w:val="center"/>
          </w:tcPr>
          <w:p w14:paraId="777926E1">
            <w:pPr>
              <w:keepNext w:val="0"/>
              <w:keepLines w:val="0"/>
              <w:suppressLineNumbers w:val="0"/>
              <w:tabs>
                <w:tab w:val="left" w:pos="4830"/>
              </w:tabs>
              <w:spacing w:before="0" w:beforeAutospacing="0" w:after="0" w:afterAutospacing="0"/>
              <w:ind w:left="0" w:right="0"/>
              <w:jc w:val="center"/>
              <w:rPr>
                <w:rFonts w:hint="default" w:ascii="Times New Roman" w:hAnsi="Times New Roman" w:eastAsia="宋体" w:cs="Times New Roman"/>
                <w:b/>
                <w:bCs/>
                <w:color w:val="auto"/>
                <w:szCs w:val="21"/>
              </w:rPr>
            </w:pPr>
            <w:r>
              <w:rPr>
                <w:rFonts w:hint="default" w:ascii="Times New Roman" w:hAnsi="Times New Roman" w:eastAsia="宋体" w:cs="Times New Roman"/>
                <w:b/>
                <w:bCs/>
                <w:color w:val="auto"/>
                <w:szCs w:val="21"/>
              </w:rPr>
              <w:t>本项目排放量</w:t>
            </w:r>
          </w:p>
          <w:p w14:paraId="7DD571B5">
            <w:pPr>
              <w:keepNext w:val="0"/>
              <w:keepLines w:val="0"/>
              <w:suppressLineNumbers w:val="0"/>
              <w:tabs>
                <w:tab w:val="left" w:pos="4830"/>
              </w:tabs>
              <w:spacing w:before="0" w:beforeAutospacing="0" w:after="0" w:afterAutospacing="0"/>
              <w:ind w:left="0" w:right="0"/>
              <w:jc w:val="center"/>
              <w:rPr>
                <w:rFonts w:hint="default" w:ascii="Times New Roman" w:hAnsi="Times New Roman" w:eastAsia="宋体" w:cs="Times New Roman"/>
                <w:b/>
                <w:bCs/>
                <w:color w:val="auto"/>
                <w:szCs w:val="21"/>
              </w:rPr>
            </w:pPr>
            <w:r>
              <w:rPr>
                <w:rFonts w:hint="default" w:ascii="Times New Roman" w:hAnsi="Times New Roman" w:eastAsia="宋体" w:cs="Times New Roman"/>
                <w:b/>
                <w:bCs/>
                <w:color w:val="auto"/>
                <w:szCs w:val="21"/>
              </w:rPr>
              <w:t>（固体废物产生量）④</w:t>
            </w:r>
          </w:p>
        </w:tc>
        <w:tc>
          <w:tcPr>
            <w:tcW w:w="571" w:type="pct"/>
            <w:tcMar>
              <w:top w:w="0" w:type="dxa"/>
              <w:left w:w="28" w:type="dxa"/>
              <w:bottom w:w="0" w:type="dxa"/>
              <w:right w:w="28" w:type="dxa"/>
            </w:tcMar>
            <w:vAlign w:val="center"/>
          </w:tcPr>
          <w:p w14:paraId="00782338">
            <w:pPr>
              <w:keepNext w:val="0"/>
              <w:keepLines w:val="0"/>
              <w:suppressLineNumbers w:val="0"/>
              <w:tabs>
                <w:tab w:val="left" w:pos="4830"/>
              </w:tabs>
              <w:spacing w:before="0" w:beforeAutospacing="0" w:after="0" w:afterAutospacing="0"/>
              <w:ind w:left="0" w:right="0"/>
              <w:jc w:val="center"/>
              <w:rPr>
                <w:rFonts w:hint="default" w:ascii="Times New Roman" w:hAnsi="Times New Roman" w:eastAsia="宋体" w:cs="Times New Roman"/>
                <w:b/>
                <w:bCs/>
                <w:color w:val="auto"/>
                <w:szCs w:val="21"/>
              </w:rPr>
            </w:pPr>
            <w:r>
              <w:rPr>
                <w:rFonts w:hint="default" w:ascii="Times New Roman" w:hAnsi="Times New Roman" w:eastAsia="宋体" w:cs="Times New Roman"/>
                <w:b/>
                <w:bCs/>
                <w:color w:val="auto"/>
                <w:szCs w:val="21"/>
              </w:rPr>
              <w:t>以新带老削减量</w:t>
            </w:r>
          </w:p>
          <w:p w14:paraId="1BEBD591">
            <w:pPr>
              <w:keepNext w:val="0"/>
              <w:keepLines w:val="0"/>
              <w:suppressLineNumbers w:val="0"/>
              <w:tabs>
                <w:tab w:val="left" w:pos="4830"/>
              </w:tabs>
              <w:spacing w:before="0" w:beforeAutospacing="0" w:after="0" w:afterAutospacing="0"/>
              <w:ind w:left="0" w:right="0"/>
              <w:jc w:val="center"/>
              <w:rPr>
                <w:rFonts w:hint="default" w:ascii="Times New Roman" w:hAnsi="Times New Roman" w:eastAsia="宋体" w:cs="Times New Roman"/>
                <w:b/>
                <w:bCs/>
                <w:color w:val="auto"/>
                <w:szCs w:val="21"/>
              </w:rPr>
            </w:pPr>
            <w:r>
              <w:rPr>
                <w:rFonts w:hint="default" w:ascii="Times New Roman" w:hAnsi="Times New Roman" w:eastAsia="宋体" w:cs="Times New Roman"/>
                <w:b/>
                <w:bCs/>
                <w:color w:val="auto"/>
                <w:szCs w:val="21"/>
              </w:rPr>
              <w:t>（新建项目不填）⑤</w:t>
            </w:r>
          </w:p>
        </w:tc>
        <w:tc>
          <w:tcPr>
            <w:tcW w:w="753" w:type="pct"/>
            <w:tcMar>
              <w:top w:w="0" w:type="dxa"/>
              <w:left w:w="28" w:type="dxa"/>
              <w:bottom w:w="0" w:type="dxa"/>
              <w:right w:w="28" w:type="dxa"/>
            </w:tcMar>
            <w:vAlign w:val="center"/>
          </w:tcPr>
          <w:p w14:paraId="416CD453">
            <w:pPr>
              <w:keepNext w:val="0"/>
              <w:keepLines w:val="0"/>
              <w:suppressLineNumbers w:val="0"/>
              <w:tabs>
                <w:tab w:val="left" w:pos="4830"/>
              </w:tabs>
              <w:spacing w:before="0" w:beforeAutospacing="0" w:after="0" w:afterAutospacing="0"/>
              <w:ind w:left="0" w:right="0"/>
              <w:jc w:val="center"/>
              <w:rPr>
                <w:rFonts w:hint="default" w:ascii="Times New Roman" w:hAnsi="Times New Roman" w:eastAsia="宋体" w:cs="Times New Roman"/>
                <w:b/>
                <w:bCs/>
                <w:color w:val="auto"/>
                <w:szCs w:val="21"/>
              </w:rPr>
            </w:pPr>
            <w:r>
              <w:rPr>
                <w:rFonts w:hint="default" w:ascii="Times New Roman" w:hAnsi="Times New Roman" w:eastAsia="宋体" w:cs="Times New Roman"/>
                <w:b/>
                <w:bCs/>
                <w:color w:val="auto"/>
                <w:szCs w:val="21"/>
              </w:rPr>
              <w:t>本项目建成后全厂排放量（固体废物产生量）⑥</w:t>
            </w:r>
          </w:p>
        </w:tc>
        <w:tc>
          <w:tcPr>
            <w:tcW w:w="486" w:type="pct"/>
            <w:tcMar>
              <w:top w:w="0" w:type="dxa"/>
              <w:left w:w="28" w:type="dxa"/>
              <w:bottom w:w="0" w:type="dxa"/>
              <w:right w:w="28" w:type="dxa"/>
            </w:tcMar>
            <w:vAlign w:val="center"/>
          </w:tcPr>
          <w:p w14:paraId="071A3F6C">
            <w:pPr>
              <w:keepNext w:val="0"/>
              <w:keepLines w:val="0"/>
              <w:suppressLineNumbers w:val="0"/>
              <w:tabs>
                <w:tab w:val="left" w:pos="4830"/>
              </w:tabs>
              <w:spacing w:before="0" w:beforeAutospacing="0" w:after="0" w:afterAutospacing="0"/>
              <w:ind w:left="0" w:right="0"/>
              <w:jc w:val="center"/>
              <w:rPr>
                <w:rFonts w:hint="default" w:ascii="Times New Roman" w:hAnsi="Times New Roman" w:eastAsia="宋体" w:cs="Times New Roman"/>
                <w:b/>
                <w:bCs/>
                <w:color w:val="auto"/>
                <w:szCs w:val="21"/>
              </w:rPr>
            </w:pPr>
            <w:r>
              <w:rPr>
                <w:rFonts w:hint="default" w:ascii="Times New Roman" w:hAnsi="Times New Roman" w:eastAsia="宋体" w:cs="Times New Roman"/>
                <w:b/>
                <w:bCs/>
                <w:color w:val="auto"/>
                <w:szCs w:val="21"/>
              </w:rPr>
              <w:t>变化量</w:t>
            </w:r>
          </w:p>
          <w:p w14:paraId="14FFC424">
            <w:pPr>
              <w:keepNext w:val="0"/>
              <w:keepLines w:val="0"/>
              <w:suppressLineNumbers w:val="0"/>
              <w:tabs>
                <w:tab w:val="left" w:pos="4830"/>
              </w:tabs>
              <w:spacing w:before="0" w:beforeAutospacing="0" w:after="0" w:afterAutospacing="0"/>
              <w:ind w:left="0" w:right="0"/>
              <w:jc w:val="center"/>
              <w:rPr>
                <w:rFonts w:hint="default" w:ascii="Times New Roman" w:hAnsi="Times New Roman" w:eastAsia="宋体" w:cs="Times New Roman"/>
                <w:b/>
                <w:bCs/>
                <w:color w:val="auto"/>
                <w:szCs w:val="21"/>
              </w:rPr>
            </w:pPr>
            <w:r>
              <w:rPr>
                <w:rFonts w:hint="default" w:ascii="Times New Roman" w:hAnsi="Times New Roman" w:eastAsia="宋体" w:cs="Times New Roman"/>
                <w:b/>
                <w:bCs/>
                <w:color w:val="auto"/>
                <w:szCs w:val="21"/>
              </w:rPr>
              <w:t>⑦</w:t>
            </w:r>
          </w:p>
        </w:tc>
      </w:tr>
      <w:tr w14:paraId="66229CF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40" w:hRule="atLeast"/>
          <w:jc w:val="center"/>
        </w:trPr>
        <w:tc>
          <w:tcPr>
            <w:tcW w:w="228" w:type="pct"/>
            <w:vMerge w:val="restart"/>
            <w:tcMar>
              <w:top w:w="0" w:type="dxa"/>
              <w:left w:w="108" w:type="dxa"/>
              <w:bottom w:w="0" w:type="dxa"/>
              <w:right w:w="108" w:type="dxa"/>
            </w:tcMar>
            <w:vAlign w:val="center"/>
          </w:tcPr>
          <w:p w14:paraId="2CA17712">
            <w:pPr>
              <w:keepNext w:val="0"/>
              <w:keepLines w:val="0"/>
              <w:suppressLineNumbers w:val="0"/>
              <w:wordWrap w:val="0"/>
              <w:spacing w:before="0" w:beforeAutospacing="0" w:after="0" w:afterAutospacing="0"/>
              <w:ind w:left="0" w:right="0"/>
              <w:jc w:val="center"/>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rPr>
              <w:t>废气</w:t>
            </w:r>
          </w:p>
        </w:tc>
        <w:tc>
          <w:tcPr>
            <w:tcW w:w="622" w:type="pct"/>
            <w:tcMar>
              <w:top w:w="0" w:type="dxa"/>
              <w:left w:w="108" w:type="dxa"/>
              <w:bottom w:w="0" w:type="dxa"/>
              <w:right w:w="108" w:type="dxa"/>
            </w:tcMar>
            <w:vAlign w:val="center"/>
          </w:tcPr>
          <w:p w14:paraId="4961B3E5">
            <w:pPr>
              <w:keepNext w:val="0"/>
              <w:keepLines w:val="0"/>
              <w:suppressLineNumbers w:val="0"/>
              <w:tabs>
                <w:tab w:val="left" w:pos="4830"/>
              </w:tabs>
              <w:spacing w:before="0" w:beforeAutospacing="0" w:after="0" w:afterAutospacing="0"/>
              <w:ind w:left="0" w:right="0"/>
              <w:jc w:val="center"/>
              <w:rPr>
                <w:rFonts w:hint="default" w:ascii="Times New Roman" w:hAnsi="Times New Roman" w:eastAsia="宋体" w:cs="Times New Roman"/>
                <w:color w:val="auto"/>
                <w:szCs w:val="21"/>
                <w:highlight w:val="none"/>
              </w:rPr>
            </w:pPr>
            <w:r>
              <w:rPr>
                <w:rFonts w:hint="default" w:ascii="Times New Roman" w:hAnsi="Times New Roman" w:eastAsia="宋体" w:cs="Times New Roman"/>
                <w:color w:val="auto"/>
                <w:szCs w:val="21"/>
                <w:highlight w:val="none"/>
              </w:rPr>
              <w:t>颗粒物</w:t>
            </w:r>
          </w:p>
        </w:tc>
        <w:tc>
          <w:tcPr>
            <w:tcW w:w="1990" w:type="dxa"/>
            <w:shd w:val="clear" w:color="auto" w:fill="auto"/>
            <w:tcMar>
              <w:top w:w="0" w:type="dxa"/>
              <w:left w:w="108" w:type="dxa"/>
              <w:bottom w:w="0" w:type="dxa"/>
              <w:right w:w="108" w:type="dxa"/>
            </w:tcMar>
            <w:vAlign w:val="center"/>
          </w:tcPr>
          <w:p w14:paraId="443F4789">
            <w:pPr>
              <w:keepNext w:val="0"/>
              <w:keepLines w:val="0"/>
              <w:suppressLineNumbers w:val="0"/>
              <w:spacing w:before="0" w:beforeAutospacing="0" w:after="0" w:afterAutospacing="0" w:line="240" w:lineRule="auto"/>
              <w:ind w:left="0" w:leftChars="0" w:right="0" w:rightChars="0"/>
              <w:jc w:val="center"/>
              <w:rPr>
                <w:rFonts w:hint="default" w:ascii="Times New Roman" w:hAnsi="Times New Roman" w:eastAsia="宋体" w:cs="Times New Roman"/>
                <w:color w:val="0000E1"/>
                <w:kern w:val="0"/>
                <w:sz w:val="21"/>
                <w:szCs w:val="21"/>
                <w:lang w:val="en-US" w:eastAsia="zh-CN" w:bidi="ar-SA"/>
              </w:rPr>
            </w:pPr>
            <w:r>
              <w:rPr>
                <w:rFonts w:hint="eastAsia" w:ascii="Times New Roman" w:hAnsi="Times New Roman" w:eastAsia="宋体" w:cs="Times New Roman"/>
                <w:b w:val="0"/>
                <w:bCs w:val="0"/>
                <w:color w:val="0000E1"/>
                <w:sz w:val="21"/>
                <w:szCs w:val="21"/>
                <w:lang w:val="en-US" w:eastAsia="zh-CN"/>
              </w:rPr>
              <w:t>6.148</w:t>
            </w:r>
          </w:p>
        </w:tc>
        <w:tc>
          <w:tcPr>
            <w:tcW w:w="1302" w:type="dxa"/>
            <w:tcMar>
              <w:top w:w="0" w:type="dxa"/>
              <w:left w:w="108" w:type="dxa"/>
              <w:bottom w:w="0" w:type="dxa"/>
              <w:right w:w="108" w:type="dxa"/>
            </w:tcMar>
            <w:vAlign w:val="center"/>
          </w:tcPr>
          <w:p w14:paraId="4AA82976">
            <w:pPr>
              <w:keepNext w:val="0"/>
              <w:keepLines w:val="0"/>
              <w:suppressLineNumbers w:val="0"/>
              <w:spacing w:before="0" w:beforeAutospacing="0" w:after="0" w:afterAutospacing="0" w:line="240" w:lineRule="auto"/>
              <w:ind w:left="0" w:leftChars="0" w:right="0" w:rightChars="0"/>
              <w:jc w:val="center"/>
              <w:rPr>
                <w:rFonts w:hint="default" w:ascii="Times New Roman" w:hAnsi="Times New Roman" w:eastAsia="宋体" w:cs="Times New Roman"/>
                <w:color w:val="0000E1"/>
                <w:szCs w:val="21"/>
              </w:rPr>
            </w:pPr>
            <w:r>
              <w:rPr>
                <w:rFonts w:hint="eastAsia" w:ascii="Times New Roman" w:hAnsi="Times New Roman" w:eastAsia="宋体" w:cs="Times New Roman"/>
                <w:b w:val="0"/>
                <w:bCs w:val="0"/>
                <w:color w:val="0000E1"/>
                <w:sz w:val="21"/>
                <w:szCs w:val="21"/>
                <w:lang w:val="en-US" w:eastAsia="zh-CN"/>
              </w:rPr>
              <w:t>6.148</w:t>
            </w:r>
          </w:p>
        </w:tc>
        <w:tc>
          <w:tcPr>
            <w:tcW w:w="642" w:type="pct"/>
            <w:tcMar>
              <w:top w:w="0" w:type="dxa"/>
              <w:left w:w="108" w:type="dxa"/>
              <w:bottom w:w="0" w:type="dxa"/>
              <w:right w:w="108" w:type="dxa"/>
            </w:tcMar>
            <w:vAlign w:val="center"/>
          </w:tcPr>
          <w:p w14:paraId="304B73C7">
            <w:pPr>
              <w:keepNext w:val="0"/>
              <w:keepLines w:val="0"/>
              <w:suppressLineNumbers w:val="0"/>
              <w:tabs>
                <w:tab w:val="left" w:pos="4830"/>
              </w:tabs>
              <w:spacing w:before="0" w:beforeAutospacing="0" w:after="0" w:afterAutospacing="0"/>
              <w:ind w:left="0" w:right="0"/>
              <w:jc w:val="center"/>
              <w:rPr>
                <w:rFonts w:hint="default" w:ascii="Times New Roman" w:hAnsi="Times New Roman" w:eastAsia="宋体" w:cs="Times New Roman"/>
                <w:color w:val="0000E1"/>
                <w:szCs w:val="21"/>
              </w:rPr>
            </w:pPr>
            <w:r>
              <w:rPr>
                <w:rFonts w:hint="default" w:ascii="Times New Roman" w:hAnsi="Times New Roman" w:eastAsia="宋体" w:cs="Times New Roman"/>
                <w:color w:val="0000E1"/>
                <w:szCs w:val="21"/>
              </w:rPr>
              <w:t>/</w:t>
            </w:r>
          </w:p>
        </w:tc>
        <w:tc>
          <w:tcPr>
            <w:tcW w:w="2006" w:type="dxa"/>
            <w:tcMar>
              <w:top w:w="0" w:type="dxa"/>
              <w:left w:w="108" w:type="dxa"/>
              <w:bottom w:w="0" w:type="dxa"/>
              <w:right w:w="108" w:type="dxa"/>
            </w:tcMar>
            <w:vAlign w:val="center"/>
          </w:tcPr>
          <w:p w14:paraId="59A55FF3">
            <w:pPr>
              <w:keepNext w:val="0"/>
              <w:keepLines w:val="0"/>
              <w:suppressLineNumbers w:val="0"/>
              <w:tabs>
                <w:tab w:val="left" w:pos="4830"/>
              </w:tabs>
              <w:spacing w:before="0" w:beforeAutospacing="0" w:after="0" w:afterAutospacing="0"/>
              <w:ind w:left="0" w:leftChars="0" w:right="0" w:rightChars="0"/>
              <w:jc w:val="center"/>
              <w:rPr>
                <w:rFonts w:hint="default" w:ascii="Times New Roman" w:hAnsi="Times New Roman" w:eastAsia="宋体" w:cs="Times New Roman"/>
                <w:color w:val="0000E1"/>
                <w:szCs w:val="21"/>
              </w:rPr>
            </w:pPr>
            <w:r>
              <w:rPr>
                <w:rFonts w:hint="eastAsia" w:ascii="Times New Roman" w:hAnsi="Times New Roman" w:eastAsia="宋体" w:cs="Times New Roman"/>
                <w:color w:val="0000E1"/>
                <w:kern w:val="0"/>
                <w:szCs w:val="21"/>
                <w:lang w:val="en-US" w:eastAsia="zh-CN"/>
              </w:rPr>
              <w:t>0.609</w:t>
            </w:r>
          </w:p>
        </w:tc>
        <w:tc>
          <w:tcPr>
            <w:tcW w:w="571" w:type="pct"/>
            <w:tcMar>
              <w:top w:w="0" w:type="dxa"/>
              <w:left w:w="108" w:type="dxa"/>
              <w:bottom w:w="0" w:type="dxa"/>
              <w:right w:w="108" w:type="dxa"/>
            </w:tcMar>
            <w:vAlign w:val="center"/>
          </w:tcPr>
          <w:p w14:paraId="385ED222">
            <w:pPr>
              <w:keepNext w:val="0"/>
              <w:keepLines w:val="0"/>
              <w:suppressLineNumbers w:val="0"/>
              <w:tabs>
                <w:tab w:val="left" w:pos="4830"/>
              </w:tabs>
              <w:spacing w:before="0" w:beforeAutospacing="0" w:after="0" w:afterAutospacing="0"/>
              <w:ind w:left="0" w:right="0"/>
              <w:jc w:val="center"/>
              <w:rPr>
                <w:rFonts w:hint="eastAsia" w:ascii="Times New Roman" w:hAnsi="Times New Roman" w:eastAsia="宋体" w:cs="Times New Roman"/>
                <w:color w:val="0000E1"/>
                <w:szCs w:val="21"/>
                <w:lang w:eastAsia="zh-CN"/>
              </w:rPr>
            </w:pPr>
            <w:r>
              <w:rPr>
                <w:rFonts w:hint="eastAsia" w:ascii="Times New Roman" w:hAnsi="Times New Roman" w:eastAsia="宋体" w:cs="Times New Roman"/>
                <w:color w:val="0000E1"/>
                <w:szCs w:val="21"/>
                <w:lang w:val="en-US" w:eastAsia="zh-CN"/>
              </w:rPr>
              <w:t>0</w:t>
            </w:r>
          </w:p>
        </w:tc>
        <w:tc>
          <w:tcPr>
            <w:tcW w:w="2356" w:type="dxa"/>
            <w:tcMar>
              <w:top w:w="0" w:type="dxa"/>
              <w:left w:w="108" w:type="dxa"/>
              <w:bottom w:w="0" w:type="dxa"/>
              <w:right w:w="108" w:type="dxa"/>
            </w:tcMar>
            <w:vAlign w:val="center"/>
          </w:tcPr>
          <w:p w14:paraId="28B02890">
            <w:pPr>
              <w:keepNext w:val="0"/>
              <w:keepLines w:val="0"/>
              <w:suppressLineNumbers w:val="0"/>
              <w:tabs>
                <w:tab w:val="left" w:pos="4830"/>
              </w:tabs>
              <w:spacing w:before="0" w:beforeAutospacing="0" w:after="0" w:afterAutospacing="0"/>
              <w:ind w:left="0" w:leftChars="0" w:right="0" w:rightChars="0"/>
              <w:jc w:val="center"/>
              <w:rPr>
                <w:rFonts w:hint="default" w:ascii="Times New Roman" w:hAnsi="Times New Roman" w:eastAsia="宋体" w:cs="Times New Roman"/>
                <w:color w:val="0000E1"/>
                <w:szCs w:val="21"/>
              </w:rPr>
            </w:pPr>
            <w:r>
              <w:rPr>
                <w:rFonts w:hint="eastAsia" w:ascii="Times New Roman" w:hAnsi="Times New Roman" w:eastAsia="宋体" w:cs="Times New Roman"/>
                <w:color w:val="0000E1"/>
                <w:szCs w:val="21"/>
                <w:lang w:val="en-US" w:eastAsia="zh-CN"/>
              </w:rPr>
              <w:t>6.757</w:t>
            </w:r>
          </w:p>
        </w:tc>
        <w:tc>
          <w:tcPr>
            <w:tcW w:w="1521" w:type="dxa"/>
            <w:tcMar>
              <w:top w:w="0" w:type="dxa"/>
              <w:left w:w="108" w:type="dxa"/>
              <w:bottom w:w="0" w:type="dxa"/>
              <w:right w:w="108" w:type="dxa"/>
            </w:tcMar>
            <w:vAlign w:val="center"/>
          </w:tcPr>
          <w:p w14:paraId="0910D75C">
            <w:pPr>
              <w:keepNext w:val="0"/>
              <w:keepLines w:val="0"/>
              <w:suppressLineNumbers w:val="0"/>
              <w:tabs>
                <w:tab w:val="left" w:pos="4830"/>
              </w:tabs>
              <w:spacing w:before="0" w:beforeAutospacing="0" w:after="0" w:afterAutospacing="0"/>
              <w:ind w:left="0" w:leftChars="0" w:right="0" w:rightChars="0"/>
              <w:jc w:val="center"/>
              <w:rPr>
                <w:rFonts w:hint="default" w:ascii="Times New Roman" w:hAnsi="Times New Roman" w:eastAsia="宋体" w:cs="Times New Roman"/>
                <w:color w:val="0000E1"/>
                <w:szCs w:val="21"/>
              </w:rPr>
            </w:pPr>
            <w:r>
              <w:rPr>
                <w:rFonts w:hint="eastAsia" w:ascii="Times New Roman" w:hAnsi="Times New Roman" w:eastAsia="宋体" w:cs="Times New Roman"/>
                <w:color w:val="0000E1"/>
                <w:kern w:val="0"/>
                <w:szCs w:val="21"/>
                <w:lang w:val="en-US" w:eastAsia="zh-CN"/>
              </w:rPr>
              <w:t>+0.609</w:t>
            </w:r>
          </w:p>
        </w:tc>
      </w:tr>
      <w:tr w14:paraId="1B368EB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40" w:hRule="atLeast"/>
          <w:jc w:val="center"/>
        </w:trPr>
        <w:tc>
          <w:tcPr>
            <w:tcW w:w="228" w:type="pct"/>
            <w:vMerge w:val="continue"/>
            <w:tcMar>
              <w:top w:w="0" w:type="dxa"/>
              <w:left w:w="108" w:type="dxa"/>
              <w:bottom w:w="0" w:type="dxa"/>
              <w:right w:w="108" w:type="dxa"/>
            </w:tcMar>
            <w:vAlign w:val="center"/>
          </w:tcPr>
          <w:p w14:paraId="58ED9B6E">
            <w:pPr>
              <w:keepNext w:val="0"/>
              <w:keepLines w:val="0"/>
              <w:suppressLineNumbers w:val="0"/>
              <w:wordWrap w:val="0"/>
              <w:spacing w:before="0" w:beforeAutospacing="0" w:after="0" w:afterAutospacing="0"/>
              <w:ind w:left="0" w:right="0"/>
              <w:jc w:val="center"/>
              <w:rPr>
                <w:rFonts w:hint="default" w:ascii="Times New Roman" w:hAnsi="Times New Roman" w:eastAsia="宋体" w:cs="Times New Roman"/>
                <w:color w:val="auto"/>
                <w:szCs w:val="21"/>
              </w:rPr>
            </w:pPr>
          </w:p>
        </w:tc>
        <w:tc>
          <w:tcPr>
            <w:tcW w:w="622" w:type="pct"/>
            <w:tcBorders>
              <w:bottom w:val="single" w:color="auto" w:sz="4" w:space="0"/>
            </w:tcBorders>
            <w:tcMar>
              <w:top w:w="0" w:type="dxa"/>
              <w:left w:w="108" w:type="dxa"/>
              <w:bottom w:w="0" w:type="dxa"/>
              <w:right w:w="108" w:type="dxa"/>
            </w:tcMar>
            <w:vAlign w:val="center"/>
          </w:tcPr>
          <w:p w14:paraId="2E70BF07">
            <w:pPr>
              <w:keepNext w:val="0"/>
              <w:keepLines w:val="0"/>
              <w:suppressLineNumbers w:val="0"/>
              <w:tabs>
                <w:tab w:val="left" w:pos="4830"/>
              </w:tabs>
              <w:spacing w:before="0" w:beforeAutospacing="0" w:after="0" w:afterAutospacing="0"/>
              <w:ind w:left="0" w:right="0"/>
              <w:jc w:val="center"/>
              <w:rPr>
                <w:rFonts w:hint="default" w:ascii="Times New Roman" w:hAnsi="Times New Roman" w:eastAsia="宋体" w:cs="Times New Roman"/>
                <w:color w:val="auto"/>
                <w:szCs w:val="21"/>
                <w:highlight w:val="none"/>
              </w:rPr>
            </w:pPr>
            <w:r>
              <w:rPr>
                <w:rFonts w:hint="default" w:ascii="Times New Roman" w:hAnsi="Times New Roman" w:eastAsia="宋体" w:cs="Times New Roman"/>
                <w:color w:val="auto"/>
                <w:szCs w:val="21"/>
                <w:highlight w:val="none"/>
              </w:rPr>
              <w:t>挥发性有机物</w:t>
            </w:r>
          </w:p>
        </w:tc>
        <w:tc>
          <w:tcPr>
            <w:tcW w:w="1990" w:type="dxa"/>
            <w:tcBorders>
              <w:bottom w:val="single" w:color="auto" w:sz="4" w:space="0"/>
            </w:tcBorders>
            <w:shd w:val="clear" w:color="auto" w:fill="auto"/>
            <w:tcMar>
              <w:top w:w="0" w:type="dxa"/>
              <w:left w:w="108" w:type="dxa"/>
              <w:bottom w:w="0" w:type="dxa"/>
              <w:right w:w="108" w:type="dxa"/>
            </w:tcMar>
            <w:vAlign w:val="center"/>
          </w:tcPr>
          <w:p w14:paraId="365D30E2">
            <w:pPr>
              <w:keepNext w:val="0"/>
              <w:keepLines w:val="0"/>
              <w:suppressLineNumbers w:val="0"/>
              <w:spacing w:before="0" w:beforeAutospacing="0" w:after="0" w:afterAutospacing="0" w:line="240" w:lineRule="auto"/>
              <w:ind w:left="0" w:leftChars="0" w:right="0" w:rightChars="0"/>
              <w:jc w:val="center"/>
              <w:rPr>
                <w:rFonts w:hint="default" w:ascii="Times New Roman" w:hAnsi="Times New Roman" w:eastAsia="宋体" w:cs="Times New Roman"/>
                <w:color w:val="0000E1"/>
                <w:kern w:val="0"/>
                <w:sz w:val="21"/>
                <w:szCs w:val="21"/>
                <w:lang w:val="en-US" w:eastAsia="zh-CN" w:bidi="ar-SA"/>
              </w:rPr>
            </w:pPr>
            <w:r>
              <w:rPr>
                <w:rFonts w:hint="eastAsia" w:ascii="Times New Roman" w:hAnsi="Times New Roman" w:eastAsia="宋体" w:cs="Times New Roman"/>
                <w:b w:val="0"/>
                <w:bCs w:val="0"/>
                <w:color w:val="0000E1"/>
                <w:sz w:val="21"/>
                <w:szCs w:val="21"/>
                <w:lang w:val="en-US" w:eastAsia="zh-CN"/>
              </w:rPr>
              <w:t>1.231</w:t>
            </w:r>
          </w:p>
        </w:tc>
        <w:tc>
          <w:tcPr>
            <w:tcW w:w="1302" w:type="dxa"/>
            <w:tcBorders>
              <w:bottom w:val="single" w:color="auto" w:sz="4" w:space="0"/>
            </w:tcBorders>
            <w:tcMar>
              <w:top w:w="0" w:type="dxa"/>
              <w:left w:w="108" w:type="dxa"/>
              <w:bottom w:w="0" w:type="dxa"/>
              <w:right w:w="108" w:type="dxa"/>
            </w:tcMar>
            <w:vAlign w:val="center"/>
          </w:tcPr>
          <w:p w14:paraId="30291090">
            <w:pPr>
              <w:keepNext w:val="0"/>
              <w:keepLines w:val="0"/>
              <w:suppressLineNumbers w:val="0"/>
              <w:spacing w:before="0" w:beforeAutospacing="0" w:after="0" w:afterAutospacing="0" w:line="240" w:lineRule="auto"/>
              <w:ind w:left="0" w:leftChars="0" w:right="0" w:rightChars="0"/>
              <w:jc w:val="center"/>
              <w:rPr>
                <w:rFonts w:hint="default" w:ascii="Times New Roman" w:hAnsi="Times New Roman" w:eastAsia="宋体" w:cs="Times New Roman"/>
                <w:color w:val="0000E1"/>
                <w:szCs w:val="21"/>
              </w:rPr>
            </w:pPr>
            <w:r>
              <w:rPr>
                <w:rFonts w:hint="eastAsia" w:ascii="Times New Roman" w:hAnsi="Times New Roman" w:eastAsia="宋体" w:cs="Times New Roman"/>
                <w:b w:val="0"/>
                <w:bCs w:val="0"/>
                <w:color w:val="0000E1"/>
                <w:sz w:val="21"/>
                <w:szCs w:val="21"/>
                <w:lang w:val="en-US" w:eastAsia="zh-CN"/>
              </w:rPr>
              <w:t>1.231</w:t>
            </w:r>
          </w:p>
        </w:tc>
        <w:tc>
          <w:tcPr>
            <w:tcW w:w="642" w:type="pct"/>
            <w:tcBorders>
              <w:bottom w:val="single" w:color="auto" w:sz="4" w:space="0"/>
            </w:tcBorders>
            <w:tcMar>
              <w:top w:w="0" w:type="dxa"/>
              <w:left w:w="108" w:type="dxa"/>
              <w:bottom w:w="0" w:type="dxa"/>
              <w:right w:w="108" w:type="dxa"/>
            </w:tcMar>
            <w:vAlign w:val="center"/>
          </w:tcPr>
          <w:p w14:paraId="326D4293">
            <w:pPr>
              <w:keepNext w:val="0"/>
              <w:keepLines w:val="0"/>
              <w:suppressLineNumbers w:val="0"/>
              <w:tabs>
                <w:tab w:val="left" w:pos="4830"/>
              </w:tabs>
              <w:spacing w:before="0" w:beforeAutospacing="0" w:after="0" w:afterAutospacing="0"/>
              <w:ind w:left="0" w:right="0"/>
              <w:jc w:val="center"/>
              <w:rPr>
                <w:rFonts w:hint="default" w:ascii="Times New Roman" w:hAnsi="Times New Roman" w:eastAsia="宋体" w:cs="Times New Roman"/>
                <w:color w:val="0000E1"/>
                <w:szCs w:val="21"/>
              </w:rPr>
            </w:pPr>
            <w:r>
              <w:rPr>
                <w:rFonts w:hint="default" w:ascii="Times New Roman" w:hAnsi="Times New Roman" w:eastAsia="宋体" w:cs="Times New Roman"/>
                <w:color w:val="0000E1"/>
                <w:szCs w:val="21"/>
              </w:rPr>
              <w:t>/</w:t>
            </w:r>
          </w:p>
        </w:tc>
        <w:tc>
          <w:tcPr>
            <w:tcW w:w="2006" w:type="dxa"/>
            <w:tcBorders>
              <w:bottom w:val="single" w:color="auto" w:sz="4" w:space="0"/>
            </w:tcBorders>
            <w:tcMar>
              <w:top w:w="0" w:type="dxa"/>
              <w:left w:w="108" w:type="dxa"/>
              <w:bottom w:w="0" w:type="dxa"/>
              <w:right w:w="108" w:type="dxa"/>
            </w:tcMar>
            <w:vAlign w:val="center"/>
          </w:tcPr>
          <w:p w14:paraId="249FC836">
            <w:pPr>
              <w:keepNext w:val="0"/>
              <w:keepLines w:val="0"/>
              <w:suppressLineNumbers w:val="0"/>
              <w:tabs>
                <w:tab w:val="left" w:pos="4830"/>
              </w:tabs>
              <w:spacing w:before="0" w:beforeAutospacing="0" w:after="0" w:afterAutospacing="0"/>
              <w:ind w:left="0" w:leftChars="0" w:right="0" w:rightChars="0"/>
              <w:jc w:val="center"/>
              <w:rPr>
                <w:rFonts w:hint="default" w:ascii="Times New Roman" w:hAnsi="Times New Roman" w:eastAsia="宋体" w:cs="Times New Roman"/>
                <w:color w:val="0000E1"/>
                <w:szCs w:val="21"/>
              </w:rPr>
            </w:pPr>
            <w:r>
              <w:rPr>
                <w:rFonts w:hint="eastAsia" w:ascii="Times New Roman" w:hAnsi="Times New Roman" w:eastAsia="宋体" w:cs="Times New Roman"/>
                <w:color w:val="0000E1"/>
                <w:kern w:val="0"/>
                <w:szCs w:val="21"/>
                <w:lang w:val="en-US" w:eastAsia="zh-CN"/>
              </w:rPr>
              <w:t>0.706</w:t>
            </w:r>
          </w:p>
        </w:tc>
        <w:tc>
          <w:tcPr>
            <w:tcW w:w="571" w:type="pct"/>
            <w:tcBorders>
              <w:bottom w:val="single" w:color="auto" w:sz="4" w:space="0"/>
            </w:tcBorders>
            <w:tcMar>
              <w:top w:w="0" w:type="dxa"/>
              <w:left w:w="108" w:type="dxa"/>
              <w:bottom w:w="0" w:type="dxa"/>
              <w:right w:w="108" w:type="dxa"/>
            </w:tcMar>
            <w:vAlign w:val="center"/>
          </w:tcPr>
          <w:p w14:paraId="20D08C0C">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0000E1"/>
                <w:szCs w:val="21"/>
              </w:rPr>
            </w:pPr>
            <w:r>
              <w:rPr>
                <w:rFonts w:hint="eastAsia" w:ascii="Times New Roman" w:hAnsi="Times New Roman" w:eastAsia="宋体" w:cs="Times New Roman"/>
                <w:color w:val="0000E1"/>
                <w:szCs w:val="21"/>
                <w:lang w:val="en-US" w:eastAsia="zh-CN"/>
              </w:rPr>
              <w:t>0</w:t>
            </w:r>
          </w:p>
        </w:tc>
        <w:tc>
          <w:tcPr>
            <w:tcW w:w="2356" w:type="dxa"/>
            <w:tcBorders>
              <w:bottom w:val="single" w:color="auto" w:sz="4" w:space="0"/>
            </w:tcBorders>
            <w:tcMar>
              <w:top w:w="0" w:type="dxa"/>
              <w:left w:w="108" w:type="dxa"/>
              <w:bottom w:w="0" w:type="dxa"/>
              <w:right w:w="108" w:type="dxa"/>
            </w:tcMar>
            <w:vAlign w:val="center"/>
          </w:tcPr>
          <w:p w14:paraId="7B996652">
            <w:pPr>
              <w:keepNext w:val="0"/>
              <w:keepLines w:val="0"/>
              <w:suppressLineNumbers w:val="0"/>
              <w:tabs>
                <w:tab w:val="left" w:pos="4830"/>
              </w:tabs>
              <w:spacing w:before="0" w:beforeAutospacing="0" w:after="0" w:afterAutospacing="0"/>
              <w:ind w:left="0" w:leftChars="0" w:right="0" w:rightChars="0"/>
              <w:jc w:val="center"/>
              <w:rPr>
                <w:rFonts w:hint="default" w:ascii="Times New Roman" w:hAnsi="Times New Roman" w:eastAsia="宋体" w:cs="Times New Roman"/>
                <w:color w:val="0000E1"/>
                <w:szCs w:val="21"/>
              </w:rPr>
            </w:pPr>
            <w:r>
              <w:rPr>
                <w:rFonts w:hint="eastAsia" w:ascii="Times New Roman" w:hAnsi="Times New Roman" w:eastAsia="宋体" w:cs="Times New Roman"/>
                <w:color w:val="0000E1"/>
                <w:szCs w:val="21"/>
                <w:lang w:val="en-US" w:eastAsia="zh-CN"/>
              </w:rPr>
              <w:t>1.937</w:t>
            </w:r>
          </w:p>
        </w:tc>
        <w:tc>
          <w:tcPr>
            <w:tcW w:w="1521" w:type="dxa"/>
            <w:tcBorders>
              <w:bottom w:val="single" w:color="auto" w:sz="4" w:space="0"/>
            </w:tcBorders>
            <w:tcMar>
              <w:top w:w="0" w:type="dxa"/>
              <w:left w:w="108" w:type="dxa"/>
              <w:bottom w:w="0" w:type="dxa"/>
              <w:right w:w="108" w:type="dxa"/>
            </w:tcMar>
            <w:vAlign w:val="center"/>
          </w:tcPr>
          <w:p w14:paraId="46F7604F">
            <w:pPr>
              <w:keepNext w:val="0"/>
              <w:keepLines w:val="0"/>
              <w:suppressLineNumbers w:val="0"/>
              <w:tabs>
                <w:tab w:val="left" w:pos="4830"/>
              </w:tabs>
              <w:spacing w:before="0" w:beforeAutospacing="0" w:after="0" w:afterAutospacing="0"/>
              <w:ind w:left="0" w:leftChars="0" w:right="0" w:rightChars="0"/>
              <w:jc w:val="center"/>
              <w:rPr>
                <w:rFonts w:hint="default" w:ascii="Times New Roman" w:hAnsi="Times New Roman" w:eastAsia="宋体" w:cs="Times New Roman"/>
                <w:color w:val="0000E1"/>
                <w:szCs w:val="21"/>
              </w:rPr>
            </w:pPr>
            <w:r>
              <w:rPr>
                <w:rFonts w:hint="eastAsia" w:ascii="Times New Roman" w:hAnsi="Times New Roman" w:eastAsia="宋体" w:cs="Times New Roman"/>
                <w:color w:val="0000E1"/>
                <w:kern w:val="0"/>
                <w:szCs w:val="21"/>
                <w:lang w:val="en-US" w:eastAsia="zh-CN"/>
              </w:rPr>
              <w:t>0.706</w:t>
            </w:r>
          </w:p>
        </w:tc>
      </w:tr>
      <w:tr w14:paraId="2D54146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40" w:hRule="atLeast"/>
          <w:jc w:val="center"/>
        </w:trPr>
        <w:tc>
          <w:tcPr>
            <w:tcW w:w="228" w:type="pct"/>
            <w:vMerge w:val="restart"/>
            <w:tcMar>
              <w:top w:w="0" w:type="dxa"/>
              <w:left w:w="108" w:type="dxa"/>
              <w:bottom w:w="0" w:type="dxa"/>
              <w:right w:w="108" w:type="dxa"/>
            </w:tcMar>
            <w:vAlign w:val="center"/>
          </w:tcPr>
          <w:p w14:paraId="009EC333">
            <w:pPr>
              <w:keepNext w:val="0"/>
              <w:keepLines w:val="0"/>
              <w:suppressLineNumbers w:val="0"/>
              <w:wordWrap w:val="0"/>
              <w:spacing w:before="0" w:beforeAutospacing="0" w:after="0" w:afterAutospacing="0"/>
              <w:ind w:left="0" w:right="0"/>
              <w:jc w:val="center"/>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rPr>
              <w:t>废水</w:t>
            </w:r>
          </w:p>
        </w:tc>
        <w:tc>
          <w:tcPr>
            <w:tcW w:w="622" w:type="pct"/>
            <w:tcBorders>
              <w:bottom w:val="single" w:color="auto" w:sz="4" w:space="0"/>
            </w:tcBorders>
            <w:tcMar>
              <w:top w:w="0" w:type="dxa"/>
              <w:left w:w="108" w:type="dxa"/>
              <w:bottom w:w="0" w:type="dxa"/>
              <w:right w:w="108" w:type="dxa"/>
            </w:tcMar>
            <w:vAlign w:val="center"/>
          </w:tcPr>
          <w:p w14:paraId="5CEF6A81">
            <w:pPr>
              <w:keepNext w:val="0"/>
              <w:keepLines w:val="0"/>
              <w:suppressLineNumbers w:val="0"/>
              <w:tabs>
                <w:tab w:val="left" w:pos="4830"/>
              </w:tabs>
              <w:spacing w:before="0" w:beforeAutospacing="0" w:after="0" w:afterAutospacing="0"/>
              <w:ind w:left="0" w:right="0"/>
              <w:jc w:val="center"/>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rPr>
              <w:t>水量</w:t>
            </w:r>
          </w:p>
        </w:tc>
        <w:tc>
          <w:tcPr>
            <w:tcW w:w="636" w:type="pct"/>
            <w:tcBorders>
              <w:bottom w:val="single" w:color="auto" w:sz="4" w:space="0"/>
            </w:tcBorders>
            <w:shd w:val="clear" w:color="auto" w:fill="auto"/>
            <w:tcMar>
              <w:top w:w="0" w:type="dxa"/>
              <w:left w:w="108" w:type="dxa"/>
              <w:bottom w:w="0" w:type="dxa"/>
              <w:right w:w="108" w:type="dxa"/>
            </w:tcMar>
            <w:vAlign w:val="center"/>
          </w:tcPr>
          <w:p w14:paraId="48F74864">
            <w:pPr>
              <w:keepNext w:val="0"/>
              <w:keepLines w:val="0"/>
              <w:suppressLineNumbers w:val="0"/>
              <w:spacing w:before="0" w:beforeAutospacing="0" w:after="0" w:afterAutospacing="0" w:line="240" w:lineRule="auto"/>
              <w:ind w:left="0" w:right="0"/>
              <w:jc w:val="center"/>
              <w:rPr>
                <w:rFonts w:hint="default" w:ascii="Times New Roman" w:hAnsi="Times New Roman" w:eastAsia="宋体" w:cs="Times New Roman"/>
                <w:b w:val="0"/>
                <w:bCs w:val="0"/>
                <w:color w:val="00B050"/>
                <w:sz w:val="21"/>
                <w:szCs w:val="21"/>
                <w:lang w:val="en-US" w:eastAsia="zh-CN"/>
              </w:rPr>
            </w:pPr>
            <w:r>
              <w:rPr>
                <w:rFonts w:hint="eastAsia" w:ascii="Times New Roman" w:hAnsi="Times New Roman" w:eastAsia="宋体" w:cs="Times New Roman"/>
                <w:b w:val="0"/>
                <w:bCs w:val="0"/>
                <w:color w:val="00B050"/>
                <w:sz w:val="21"/>
                <w:szCs w:val="21"/>
                <w:lang w:val="en-US" w:eastAsia="zh-CN"/>
              </w:rPr>
              <w:t>18000</w:t>
            </w:r>
          </w:p>
        </w:tc>
        <w:tc>
          <w:tcPr>
            <w:tcW w:w="416" w:type="pct"/>
            <w:tcBorders>
              <w:bottom w:val="single" w:color="auto" w:sz="4" w:space="0"/>
            </w:tcBorders>
            <w:tcMar>
              <w:top w:w="0" w:type="dxa"/>
              <w:left w:w="108" w:type="dxa"/>
              <w:bottom w:w="0" w:type="dxa"/>
              <w:right w:w="108" w:type="dxa"/>
            </w:tcMar>
            <w:vAlign w:val="center"/>
          </w:tcPr>
          <w:p w14:paraId="040A2D8F">
            <w:pPr>
              <w:keepNext w:val="0"/>
              <w:keepLines w:val="0"/>
              <w:suppressLineNumbers w:val="0"/>
              <w:spacing w:before="0" w:beforeAutospacing="0" w:after="0" w:afterAutospacing="0" w:line="240" w:lineRule="auto"/>
              <w:ind w:left="0" w:right="0"/>
              <w:jc w:val="center"/>
              <w:rPr>
                <w:rFonts w:hint="default" w:ascii="Times New Roman" w:hAnsi="Times New Roman" w:eastAsia="宋体" w:cs="Times New Roman"/>
                <w:color w:val="00B050"/>
                <w:szCs w:val="21"/>
              </w:rPr>
            </w:pPr>
            <w:r>
              <w:rPr>
                <w:rFonts w:hint="default" w:ascii="Times New Roman" w:hAnsi="Times New Roman" w:eastAsia="宋体" w:cs="Times New Roman"/>
                <w:b w:val="0"/>
                <w:bCs w:val="0"/>
                <w:color w:val="00B050"/>
                <w:sz w:val="21"/>
                <w:szCs w:val="21"/>
                <w:lang w:val="en-US" w:eastAsia="zh-CN"/>
              </w:rPr>
              <w:t>1</w:t>
            </w:r>
            <w:r>
              <w:rPr>
                <w:rFonts w:hint="eastAsia" w:ascii="Times New Roman" w:hAnsi="Times New Roman" w:eastAsia="宋体" w:cs="Times New Roman"/>
                <w:b w:val="0"/>
                <w:bCs w:val="0"/>
                <w:color w:val="00B050"/>
                <w:sz w:val="21"/>
                <w:szCs w:val="21"/>
                <w:lang w:val="en-US" w:eastAsia="zh-CN"/>
              </w:rPr>
              <w:t>800</w:t>
            </w:r>
            <w:r>
              <w:rPr>
                <w:rFonts w:hint="default" w:ascii="Times New Roman" w:hAnsi="Times New Roman" w:eastAsia="宋体" w:cs="Times New Roman"/>
                <w:b w:val="0"/>
                <w:bCs w:val="0"/>
                <w:color w:val="00B050"/>
                <w:sz w:val="21"/>
                <w:szCs w:val="21"/>
                <w:lang w:val="en-US" w:eastAsia="zh-CN"/>
              </w:rPr>
              <w:t>0</w:t>
            </w:r>
          </w:p>
        </w:tc>
        <w:tc>
          <w:tcPr>
            <w:tcW w:w="642" w:type="pct"/>
            <w:tcBorders>
              <w:bottom w:val="single" w:color="auto" w:sz="4" w:space="0"/>
            </w:tcBorders>
            <w:tcMar>
              <w:top w:w="0" w:type="dxa"/>
              <w:left w:w="108" w:type="dxa"/>
              <w:bottom w:w="0" w:type="dxa"/>
              <w:right w:w="108" w:type="dxa"/>
            </w:tcMar>
            <w:vAlign w:val="center"/>
          </w:tcPr>
          <w:p w14:paraId="5CD1ADF1">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rPr>
              <w:t>/</w:t>
            </w:r>
          </w:p>
        </w:tc>
        <w:tc>
          <w:tcPr>
            <w:tcW w:w="641" w:type="pct"/>
            <w:tcBorders>
              <w:bottom w:val="single" w:color="auto" w:sz="4" w:space="0"/>
            </w:tcBorders>
            <w:tcMar>
              <w:top w:w="0" w:type="dxa"/>
              <w:left w:w="108" w:type="dxa"/>
              <w:bottom w:w="0" w:type="dxa"/>
              <w:right w:w="108" w:type="dxa"/>
            </w:tcMar>
            <w:vAlign w:val="center"/>
          </w:tcPr>
          <w:p w14:paraId="638B7578">
            <w:pPr>
              <w:keepNext w:val="0"/>
              <w:keepLines w:val="0"/>
              <w:suppressLineNumbers w:val="0"/>
              <w:tabs>
                <w:tab w:val="left" w:pos="4830"/>
              </w:tabs>
              <w:spacing w:before="0" w:beforeAutospacing="0" w:after="0" w:afterAutospacing="0"/>
              <w:ind w:left="0" w:leftChars="0" w:right="0" w:rightChars="0"/>
              <w:jc w:val="center"/>
              <w:rPr>
                <w:rFonts w:hint="eastAsia" w:ascii="Times New Roman" w:hAnsi="Times New Roman" w:eastAsia="宋体" w:cs="Times New Roman"/>
                <w:color w:val="auto"/>
                <w:szCs w:val="21"/>
              </w:rPr>
            </w:pPr>
            <w:r>
              <w:rPr>
                <w:rFonts w:hint="default" w:ascii="Times New Roman" w:hAnsi="Times New Roman" w:eastAsia="宋体" w:cs="Times New Roman"/>
                <w:color w:val="auto"/>
                <w:kern w:val="0"/>
                <w:szCs w:val="21"/>
                <w:lang w:val="en-US" w:eastAsia="zh-CN"/>
              </w:rPr>
              <w:t>1200</w:t>
            </w:r>
          </w:p>
        </w:tc>
        <w:tc>
          <w:tcPr>
            <w:tcW w:w="571" w:type="pct"/>
            <w:tcBorders>
              <w:bottom w:val="single" w:color="auto" w:sz="4" w:space="0"/>
            </w:tcBorders>
            <w:tcMar>
              <w:top w:w="0" w:type="dxa"/>
              <w:left w:w="108" w:type="dxa"/>
              <w:bottom w:w="0" w:type="dxa"/>
              <w:right w:w="108" w:type="dxa"/>
            </w:tcMar>
            <w:vAlign w:val="center"/>
          </w:tcPr>
          <w:p w14:paraId="7A8CA0FD">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r>
              <w:rPr>
                <w:rFonts w:hint="eastAsia" w:ascii="Times New Roman" w:hAnsi="Times New Roman" w:eastAsia="宋体" w:cs="Times New Roman"/>
                <w:color w:val="auto"/>
                <w:szCs w:val="21"/>
                <w:lang w:val="en-US" w:eastAsia="zh-CN"/>
              </w:rPr>
              <w:t>0</w:t>
            </w:r>
          </w:p>
        </w:tc>
        <w:tc>
          <w:tcPr>
            <w:tcW w:w="753" w:type="pct"/>
            <w:tcBorders>
              <w:bottom w:val="single" w:color="auto" w:sz="4" w:space="0"/>
            </w:tcBorders>
            <w:tcMar>
              <w:top w:w="0" w:type="dxa"/>
              <w:left w:w="108" w:type="dxa"/>
              <w:bottom w:w="0" w:type="dxa"/>
              <w:right w:w="108" w:type="dxa"/>
            </w:tcMar>
            <w:vAlign w:val="center"/>
          </w:tcPr>
          <w:p w14:paraId="136EB059">
            <w:pPr>
              <w:keepNext w:val="0"/>
              <w:keepLines w:val="0"/>
              <w:suppressLineNumbers w:val="0"/>
              <w:tabs>
                <w:tab w:val="left" w:pos="4830"/>
              </w:tabs>
              <w:spacing w:before="0" w:beforeAutospacing="0" w:after="0" w:afterAutospacing="0"/>
              <w:ind w:left="0" w:leftChars="0" w:right="0" w:rightChars="0"/>
              <w:jc w:val="center"/>
              <w:rPr>
                <w:rFonts w:hint="default" w:ascii="Times New Roman" w:hAnsi="Times New Roman" w:eastAsia="宋体" w:cs="Times New Roman"/>
                <w:color w:val="auto"/>
                <w:szCs w:val="21"/>
                <w:lang w:val="en-US"/>
              </w:rPr>
            </w:pPr>
            <w:r>
              <w:rPr>
                <w:rFonts w:hint="eastAsia" w:ascii="Times New Roman" w:hAnsi="Times New Roman" w:eastAsia="宋体" w:cs="Times New Roman"/>
                <w:color w:val="00B050"/>
                <w:kern w:val="0"/>
                <w:szCs w:val="21"/>
                <w:lang w:val="en-US" w:eastAsia="zh-CN"/>
              </w:rPr>
              <w:t>19200</w:t>
            </w:r>
          </w:p>
        </w:tc>
        <w:tc>
          <w:tcPr>
            <w:tcW w:w="486" w:type="pct"/>
            <w:tcBorders>
              <w:bottom w:val="single" w:color="auto" w:sz="4" w:space="0"/>
            </w:tcBorders>
            <w:tcMar>
              <w:top w:w="0" w:type="dxa"/>
              <w:left w:w="108" w:type="dxa"/>
              <w:bottom w:w="0" w:type="dxa"/>
              <w:right w:w="108" w:type="dxa"/>
            </w:tcMar>
            <w:vAlign w:val="center"/>
          </w:tcPr>
          <w:p w14:paraId="35DF8A1E">
            <w:pPr>
              <w:keepNext w:val="0"/>
              <w:keepLines w:val="0"/>
              <w:suppressLineNumbers w:val="0"/>
              <w:tabs>
                <w:tab w:val="left" w:pos="4830"/>
              </w:tabs>
              <w:spacing w:before="0" w:beforeAutospacing="0" w:after="0" w:afterAutospacing="0"/>
              <w:ind w:left="0" w:leftChars="0" w:right="0" w:rightChars="0"/>
              <w:jc w:val="center"/>
              <w:rPr>
                <w:rFonts w:hint="eastAsia" w:ascii="Times New Roman" w:hAnsi="Times New Roman" w:eastAsia="宋体" w:cs="Times New Roman"/>
                <w:color w:val="auto"/>
                <w:szCs w:val="21"/>
              </w:rPr>
            </w:pPr>
            <w:r>
              <w:rPr>
                <w:rFonts w:hint="eastAsia" w:ascii="Times New Roman" w:hAnsi="Times New Roman" w:eastAsia="宋体" w:cs="Times New Roman"/>
                <w:color w:val="auto"/>
                <w:kern w:val="0"/>
                <w:szCs w:val="21"/>
                <w:lang w:val="en-US" w:eastAsia="zh-CN"/>
              </w:rPr>
              <w:t>+</w:t>
            </w:r>
            <w:r>
              <w:rPr>
                <w:rFonts w:hint="default" w:ascii="Times New Roman" w:hAnsi="Times New Roman" w:eastAsia="宋体" w:cs="Times New Roman"/>
                <w:color w:val="auto"/>
                <w:kern w:val="0"/>
                <w:szCs w:val="21"/>
                <w:lang w:val="en-US" w:eastAsia="zh-CN"/>
              </w:rPr>
              <w:t>1200</w:t>
            </w:r>
          </w:p>
        </w:tc>
      </w:tr>
      <w:tr w14:paraId="2998E80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40" w:hRule="atLeast"/>
          <w:jc w:val="center"/>
        </w:trPr>
        <w:tc>
          <w:tcPr>
            <w:tcW w:w="228" w:type="pct"/>
            <w:vMerge w:val="continue"/>
            <w:tcMar>
              <w:top w:w="0" w:type="dxa"/>
              <w:left w:w="108" w:type="dxa"/>
              <w:bottom w:w="0" w:type="dxa"/>
              <w:right w:w="108" w:type="dxa"/>
            </w:tcMar>
            <w:vAlign w:val="center"/>
          </w:tcPr>
          <w:p w14:paraId="170ED2E9">
            <w:pPr>
              <w:keepNext w:val="0"/>
              <w:keepLines w:val="0"/>
              <w:suppressLineNumbers w:val="0"/>
              <w:wordWrap w:val="0"/>
              <w:spacing w:before="0" w:beforeAutospacing="0" w:after="0" w:afterAutospacing="0"/>
              <w:ind w:left="0" w:right="0"/>
              <w:jc w:val="center"/>
              <w:rPr>
                <w:rFonts w:hint="default" w:ascii="Times New Roman" w:hAnsi="Times New Roman" w:eastAsia="宋体" w:cs="Times New Roman"/>
                <w:color w:val="auto"/>
                <w:szCs w:val="21"/>
              </w:rPr>
            </w:pPr>
          </w:p>
        </w:tc>
        <w:tc>
          <w:tcPr>
            <w:tcW w:w="622" w:type="pct"/>
            <w:tcMar>
              <w:top w:w="0" w:type="dxa"/>
              <w:left w:w="108" w:type="dxa"/>
              <w:bottom w:w="0" w:type="dxa"/>
              <w:right w:w="108" w:type="dxa"/>
            </w:tcMar>
            <w:vAlign w:val="center"/>
          </w:tcPr>
          <w:p w14:paraId="2EBDFDDA">
            <w:pPr>
              <w:keepNext w:val="0"/>
              <w:keepLines w:val="0"/>
              <w:suppressLineNumbers w:val="0"/>
              <w:tabs>
                <w:tab w:val="left" w:pos="4830"/>
              </w:tabs>
              <w:spacing w:before="0" w:beforeAutospacing="0" w:after="0" w:afterAutospacing="0"/>
              <w:ind w:left="0" w:right="0"/>
              <w:jc w:val="center"/>
              <w:rPr>
                <w:rFonts w:hint="default" w:ascii="Times New Roman" w:hAnsi="Times New Roman" w:eastAsia="宋体" w:cs="Times New Roman"/>
                <w:color w:val="auto"/>
                <w:szCs w:val="21"/>
              </w:rPr>
            </w:pPr>
            <w:r>
              <w:rPr>
                <w:rFonts w:hint="default" w:ascii="Times New Roman" w:hAnsi="Times New Roman" w:eastAsia="宋体" w:cs="Times New Roman"/>
                <w:color w:val="auto"/>
                <w:kern w:val="0"/>
                <w:szCs w:val="21"/>
              </w:rPr>
              <w:t>COD</w:t>
            </w:r>
            <w:r>
              <w:rPr>
                <w:rFonts w:hint="default" w:ascii="Times New Roman" w:hAnsi="Times New Roman" w:eastAsia="宋体" w:cs="Times New Roman"/>
                <w:color w:val="auto"/>
                <w:kern w:val="0"/>
                <w:szCs w:val="21"/>
                <w:vertAlign w:val="subscript"/>
              </w:rPr>
              <w:t>Cr</w:t>
            </w:r>
          </w:p>
        </w:tc>
        <w:tc>
          <w:tcPr>
            <w:tcW w:w="636" w:type="pct"/>
            <w:tcMar>
              <w:top w:w="0" w:type="dxa"/>
              <w:left w:w="108" w:type="dxa"/>
              <w:bottom w:w="0" w:type="dxa"/>
              <w:right w:w="108" w:type="dxa"/>
            </w:tcMar>
            <w:vAlign w:val="center"/>
          </w:tcPr>
          <w:p w14:paraId="49C0596E">
            <w:pPr>
              <w:keepNext w:val="0"/>
              <w:keepLines w:val="0"/>
              <w:suppressLineNumbers w:val="0"/>
              <w:spacing w:before="0" w:beforeAutospacing="0" w:after="0" w:afterAutospacing="0" w:line="240" w:lineRule="auto"/>
              <w:ind w:left="0" w:right="0"/>
              <w:jc w:val="center"/>
              <w:rPr>
                <w:rFonts w:hint="default" w:ascii="Times New Roman" w:hAnsi="Times New Roman" w:eastAsia="宋体" w:cs="Times New Roman"/>
                <w:color w:val="auto"/>
                <w:szCs w:val="21"/>
              </w:rPr>
            </w:pPr>
            <w:r>
              <w:rPr>
                <w:rFonts w:hint="default" w:ascii="Times New Roman" w:hAnsi="Times New Roman" w:eastAsia="宋体" w:cs="Times New Roman"/>
                <w:b w:val="0"/>
                <w:bCs w:val="0"/>
                <w:color w:val="auto"/>
                <w:sz w:val="21"/>
                <w:szCs w:val="21"/>
                <w:lang w:val="en-US" w:eastAsia="zh-CN"/>
              </w:rPr>
              <w:t>0.576</w:t>
            </w:r>
          </w:p>
        </w:tc>
        <w:tc>
          <w:tcPr>
            <w:tcW w:w="416" w:type="pct"/>
            <w:tcMar>
              <w:top w:w="0" w:type="dxa"/>
              <w:left w:w="108" w:type="dxa"/>
              <w:bottom w:w="0" w:type="dxa"/>
              <w:right w:w="108" w:type="dxa"/>
            </w:tcMar>
            <w:vAlign w:val="center"/>
          </w:tcPr>
          <w:p w14:paraId="7333A481">
            <w:pPr>
              <w:keepNext w:val="0"/>
              <w:keepLines w:val="0"/>
              <w:suppressLineNumbers w:val="0"/>
              <w:spacing w:before="0" w:beforeAutospacing="0" w:after="0" w:afterAutospacing="0" w:line="240" w:lineRule="auto"/>
              <w:ind w:left="0" w:right="0"/>
              <w:jc w:val="center"/>
              <w:rPr>
                <w:rFonts w:hint="default" w:ascii="Times New Roman" w:hAnsi="Times New Roman" w:eastAsia="宋体" w:cs="Times New Roman"/>
                <w:color w:val="auto"/>
                <w:szCs w:val="21"/>
              </w:rPr>
            </w:pPr>
            <w:r>
              <w:rPr>
                <w:rFonts w:hint="default" w:ascii="Times New Roman" w:hAnsi="Times New Roman" w:eastAsia="宋体" w:cs="Times New Roman"/>
                <w:b w:val="0"/>
                <w:bCs w:val="0"/>
                <w:color w:val="auto"/>
                <w:sz w:val="21"/>
                <w:szCs w:val="21"/>
                <w:lang w:val="en-US" w:eastAsia="zh-CN"/>
              </w:rPr>
              <w:t>0.576</w:t>
            </w:r>
          </w:p>
        </w:tc>
        <w:tc>
          <w:tcPr>
            <w:tcW w:w="642" w:type="pct"/>
            <w:tcMar>
              <w:top w:w="0" w:type="dxa"/>
              <w:left w:w="108" w:type="dxa"/>
              <w:bottom w:w="0" w:type="dxa"/>
              <w:right w:w="108" w:type="dxa"/>
            </w:tcMar>
            <w:vAlign w:val="center"/>
          </w:tcPr>
          <w:p w14:paraId="1F3AD703">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rPr>
              <w:t>/</w:t>
            </w:r>
          </w:p>
        </w:tc>
        <w:tc>
          <w:tcPr>
            <w:tcW w:w="641" w:type="pct"/>
            <w:tcMar>
              <w:top w:w="0" w:type="dxa"/>
              <w:left w:w="108" w:type="dxa"/>
              <w:bottom w:w="0" w:type="dxa"/>
              <w:right w:w="108" w:type="dxa"/>
            </w:tcMar>
            <w:vAlign w:val="center"/>
          </w:tcPr>
          <w:p w14:paraId="2F57422B">
            <w:pPr>
              <w:keepNext w:val="0"/>
              <w:keepLines w:val="0"/>
              <w:suppressLineNumbers w:val="0"/>
              <w:tabs>
                <w:tab w:val="left" w:pos="4830"/>
              </w:tabs>
              <w:spacing w:before="0" w:beforeAutospacing="0" w:after="0" w:afterAutospacing="0"/>
              <w:ind w:left="0" w:leftChars="0" w:right="0" w:rightChars="0"/>
              <w:jc w:val="center"/>
              <w:rPr>
                <w:rFonts w:hint="default" w:ascii="Times New Roman" w:hAnsi="Times New Roman" w:eastAsia="宋体" w:cs="Times New Roman"/>
                <w:color w:val="auto"/>
                <w:szCs w:val="21"/>
              </w:rPr>
            </w:pPr>
            <w:r>
              <w:rPr>
                <w:rFonts w:hint="default" w:ascii="Times New Roman" w:hAnsi="Times New Roman" w:eastAsia="宋体" w:cs="Times New Roman"/>
                <w:color w:val="auto"/>
                <w:kern w:val="0"/>
                <w:szCs w:val="21"/>
                <w:lang w:val="en-US" w:eastAsia="zh-CN"/>
              </w:rPr>
              <w:t>0.036</w:t>
            </w:r>
          </w:p>
        </w:tc>
        <w:tc>
          <w:tcPr>
            <w:tcW w:w="571" w:type="pct"/>
            <w:tcMar>
              <w:top w:w="0" w:type="dxa"/>
              <w:left w:w="108" w:type="dxa"/>
              <w:bottom w:w="0" w:type="dxa"/>
              <w:right w:w="108" w:type="dxa"/>
            </w:tcMar>
            <w:vAlign w:val="center"/>
          </w:tcPr>
          <w:p w14:paraId="41922850">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r>
              <w:rPr>
                <w:rFonts w:hint="eastAsia" w:ascii="Times New Roman" w:hAnsi="Times New Roman" w:eastAsia="宋体" w:cs="Times New Roman"/>
                <w:color w:val="auto"/>
                <w:szCs w:val="21"/>
                <w:lang w:val="en-US" w:eastAsia="zh-CN"/>
              </w:rPr>
              <w:t>0</w:t>
            </w:r>
          </w:p>
        </w:tc>
        <w:tc>
          <w:tcPr>
            <w:tcW w:w="753" w:type="pct"/>
            <w:tcMar>
              <w:top w:w="0" w:type="dxa"/>
              <w:left w:w="108" w:type="dxa"/>
              <w:bottom w:w="0" w:type="dxa"/>
              <w:right w:w="108" w:type="dxa"/>
            </w:tcMar>
            <w:vAlign w:val="center"/>
          </w:tcPr>
          <w:p w14:paraId="1F2163D9">
            <w:pPr>
              <w:keepNext w:val="0"/>
              <w:keepLines w:val="0"/>
              <w:suppressLineNumbers w:val="0"/>
              <w:tabs>
                <w:tab w:val="left" w:pos="4830"/>
              </w:tabs>
              <w:spacing w:before="0" w:beforeAutospacing="0" w:after="0" w:afterAutospacing="0"/>
              <w:ind w:left="0" w:leftChars="0" w:right="0" w:rightChars="0"/>
              <w:jc w:val="center"/>
              <w:rPr>
                <w:rFonts w:hint="default" w:ascii="Times New Roman" w:hAnsi="Times New Roman" w:eastAsia="宋体" w:cs="Times New Roman"/>
                <w:color w:val="auto"/>
                <w:szCs w:val="21"/>
              </w:rPr>
            </w:pPr>
            <w:r>
              <w:rPr>
                <w:rFonts w:hint="eastAsia" w:ascii="Times New Roman" w:hAnsi="Times New Roman" w:eastAsia="宋体" w:cs="Times New Roman"/>
                <w:color w:val="auto"/>
                <w:kern w:val="0"/>
                <w:szCs w:val="21"/>
                <w:lang w:val="en-US" w:eastAsia="zh-CN"/>
              </w:rPr>
              <w:t>0.612</w:t>
            </w:r>
          </w:p>
        </w:tc>
        <w:tc>
          <w:tcPr>
            <w:tcW w:w="486" w:type="pct"/>
            <w:tcMar>
              <w:top w:w="0" w:type="dxa"/>
              <w:left w:w="108" w:type="dxa"/>
              <w:bottom w:w="0" w:type="dxa"/>
              <w:right w:w="108" w:type="dxa"/>
            </w:tcMar>
            <w:vAlign w:val="center"/>
          </w:tcPr>
          <w:p w14:paraId="5F004D0D">
            <w:pPr>
              <w:keepNext w:val="0"/>
              <w:keepLines w:val="0"/>
              <w:suppressLineNumbers w:val="0"/>
              <w:tabs>
                <w:tab w:val="left" w:pos="4830"/>
              </w:tabs>
              <w:spacing w:before="0" w:beforeAutospacing="0" w:after="0" w:afterAutospacing="0"/>
              <w:ind w:left="0" w:leftChars="0" w:right="0" w:rightChars="0"/>
              <w:jc w:val="center"/>
              <w:rPr>
                <w:rFonts w:hint="default" w:ascii="Times New Roman" w:hAnsi="Times New Roman" w:eastAsia="宋体" w:cs="Times New Roman"/>
                <w:color w:val="auto"/>
                <w:szCs w:val="21"/>
              </w:rPr>
            </w:pPr>
            <w:r>
              <w:rPr>
                <w:rFonts w:hint="eastAsia" w:ascii="Times New Roman" w:hAnsi="Times New Roman" w:eastAsia="宋体" w:cs="Times New Roman"/>
                <w:color w:val="auto"/>
                <w:kern w:val="0"/>
                <w:szCs w:val="21"/>
                <w:lang w:val="en-US" w:eastAsia="zh-CN"/>
              </w:rPr>
              <w:t>+</w:t>
            </w:r>
            <w:r>
              <w:rPr>
                <w:rFonts w:hint="default" w:ascii="Times New Roman" w:hAnsi="Times New Roman" w:eastAsia="宋体" w:cs="Times New Roman"/>
                <w:color w:val="auto"/>
                <w:kern w:val="0"/>
                <w:szCs w:val="21"/>
                <w:lang w:val="en-US" w:eastAsia="zh-CN"/>
              </w:rPr>
              <w:t>0.036</w:t>
            </w:r>
          </w:p>
        </w:tc>
      </w:tr>
      <w:tr w14:paraId="7F3058A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40" w:hRule="atLeast"/>
          <w:jc w:val="center"/>
        </w:trPr>
        <w:tc>
          <w:tcPr>
            <w:tcW w:w="228" w:type="pct"/>
            <w:vMerge w:val="continue"/>
            <w:vAlign w:val="center"/>
          </w:tcPr>
          <w:p w14:paraId="6A0A3B7E">
            <w:pPr>
              <w:keepNext w:val="0"/>
              <w:keepLines w:val="0"/>
              <w:suppressLineNumbers w:val="0"/>
              <w:wordWrap w:val="0"/>
              <w:spacing w:before="0" w:beforeAutospacing="0" w:after="0" w:afterAutospacing="0"/>
              <w:ind w:left="0" w:right="0"/>
              <w:jc w:val="center"/>
              <w:rPr>
                <w:rFonts w:hint="default" w:ascii="Times New Roman" w:hAnsi="Times New Roman" w:eastAsia="宋体" w:cs="Times New Roman"/>
                <w:color w:val="auto"/>
                <w:szCs w:val="21"/>
              </w:rPr>
            </w:pPr>
          </w:p>
        </w:tc>
        <w:tc>
          <w:tcPr>
            <w:tcW w:w="622" w:type="pct"/>
            <w:tcBorders>
              <w:bottom w:val="single" w:color="auto" w:sz="4" w:space="0"/>
            </w:tcBorders>
            <w:tcMar>
              <w:top w:w="0" w:type="dxa"/>
              <w:left w:w="108" w:type="dxa"/>
              <w:bottom w:w="0" w:type="dxa"/>
              <w:right w:w="108" w:type="dxa"/>
            </w:tcMar>
            <w:vAlign w:val="center"/>
          </w:tcPr>
          <w:p w14:paraId="259940A5">
            <w:pPr>
              <w:keepNext w:val="0"/>
              <w:keepLines w:val="0"/>
              <w:suppressLineNumbers w:val="0"/>
              <w:tabs>
                <w:tab w:val="left" w:pos="4830"/>
              </w:tabs>
              <w:spacing w:before="0" w:beforeAutospacing="0" w:after="0" w:afterAutospacing="0"/>
              <w:ind w:left="0" w:right="0"/>
              <w:jc w:val="center"/>
              <w:rPr>
                <w:rFonts w:hint="default" w:ascii="Times New Roman" w:hAnsi="Times New Roman" w:eastAsia="宋体" w:cs="Times New Roman"/>
                <w:color w:val="auto"/>
                <w:szCs w:val="21"/>
              </w:rPr>
            </w:pPr>
            <w:r>
              <w:rPr>
                <w:rFonts w:hint="default" w:ascii="Times New Roman" w:hAnsi="Times New Roman" w:eastAsia="宋体" w:cs="Times New Roman"/>
                <w:color w:val="auto"/>
                <w:kern w:val="0"/>
                <w:szCs w:val="21"/>
              </w:rPr>
              <w:t>NH</w:t>
            </w:r>
            <w:r>
              <w:rPr>
                <w:rFonts w:hint="default" w:ascii="Times New Roman" w:hAnsi="Times New Roman" w:eastAsia="宋体" w:cs="Times New Roman"/>
                <w:color w:val="auto"/>
                <w:kern w:val="0"/>
                <w:szCs w:val="21"/>
                <w:vertAlign w:val="subscript"/>
              </w:rPr>
              <w:t>3</w:t>
            </w:r>
            <w:r>
              <w:rPr>
                <w:rFonts w:hint="default" w:ascii="Times New Roman" w:hAnsi="Times New Roman" w:eastAsia="宋体" w:cs="Times New Roman"/>
                <w:color w:val="auto"/>
                <w:kern w:val="0"/>
                <w:szCs w:val="21"/>
              </w:rPr>
              <w:t>-N</w:t>
            </w:r>
          </w:p>
        </w:tc>
        <w:tc>
          <w:tcPr>
            <w:tcW w:w="636" w:type="pct"/>
            <w:tcBorders>
              <w:bottom w:val="single" w:color="auto" w:sz="4" w:space="0"/>
            </w:tcBorders>
            <w:tcMar>
              <w:top w:w="0" w:type="dxa"/>
              <w:left w:w="108" w:type="dxa"/>
              <w:bottom w:w="0" w:type="dxa"/>
              <w:right w:w="108" w:type="dxa"/>
            </w:tcMar>
            <w:vAlign w:val="center"/>
          </w:tcPr>
          <w:p w14:paraId="0351B4B0">
            <w:pPr>
              <w:keepNext w:val="0"/>
              <w:keepLines w:val="0"/>
              <w:suppressLineNumbers w:val="0"/>
              <w:spacing w:before="0" w:beforeAutospacing="0" w:after="0" w:afterAutospacing="0" w:line="240" w:lineRule="auto"/>
              <w:ind w:left="0" w:right="0"/>
              <w:jc w:val="center"/>
              <w:rPr>
                <w:rFonts w:hint="default" w:ascii="Times New Roman" w:hAnsi="Times New Roman" w:eastAsia="宋体" w:cs="Times New Roman"/>
                <w:color w:val="auto"/>
                <w:szCs w:val="21"/>
              </w:rPr>
            </w:pPr>
            <w:r>
              <w:rPr>
                <w:rFonts w:hint="default" w:ascii="Times New Roman" w:hAnsi="Times New Roman" w:eastAsia="宋体" w:cs="Times New Roman"/>
                <w:b w:val="0"/>
                <w:bCs w:val="0"/>
                <w:color w:val="auto"/>
                <w:sz w:val="21"/>
                <w:szCs w:val="21"/>
                <w:lang w:val="en-US" w:eastAsia="zh-CN"/>
              </w:rPr>
              <w:t>0.022</w:t>
            </w:r>
          </w:p>
        </w:tc>
        <w:tc>
          <w:tcPr>
            <w:tcW w:w="416" w:type="pct"/>
            <w:tcBorders>
              <w:bottom w:val="single" w:color="auto" w:sz="4" w:space="0"/>
            </w:tcBorders>
            <w:tcMar>
              <w:top w:w="0" w:type="dxa"/>
              <w:left w:w="108" w:type="dxa"/>
              <w:bottom w:w="0" w:type="dxa"/>
              <w:right w:w="108" w:type="dxa"/>
            </w:tcMar>
            <w:vAlign w:val="center"/>
          </w:tcPr>
          <w:p w14:paraId="708D86FF">
            <w:pPr>
              <w:keepNext w:val="0"/>
              <w:keepLines w:val="0"/>
              <w:suppressLineNumbers w:val="0"/>
              <w:spacing w:before="0" w:beforeAutospacing="0" w:after="0" w:afterAutospacing="0" w:line="240" w:lineRule="auto"/>
              <w:ind w:left="0" w:right="0"/>
              <w:jc w:val="center"/>
              <w:rPr>
                <w:rFonts w:hint="default" w:ascii="Times New Roman" w:hAnsi="Times New Roman" w:eastAsia="宋体" w:cs="Times New Roman"/>
                <w:color w:val="auto"/>
                <w:szCs w:val="21"/>
              </w:rPr>
            </w:pPr>
            <w:r>
              <w:rPr>
                <w:rFonts w:hint="default" w:ascii="Times New Roman" w:hAnsi="Times New Roman" w:eastAsia="宋体" w:cs="Times New Roman"/>
                <w:b w:val="0"/>
                <w:bCs w:val="0"/>
                <w:color w:val="auto"/>
                <w:sz w:val="21"/>
                <w:szCs w:val="21"/>
                <w:lang w:val="en-US" w:eastAsia="zh-CN"/>
              </w:rPr>
              <w:t>0.022</w:t>
            </w:r>
          </w:p>
        </w:tc>
        <w:tc>
          <w:tcPr>
            <w:tcW w:w="642" w:type="pct"/>
            <w:tcBorders>
              <w:bottom w:val="single" w:color="auto" w:sz="4" w:space="0"/>
            </w:tcBorders>
            <w:tcMar>
              <w:top w:w="0" w:type="dxa"/>
              <w:left w:w="108" w:type="dxa"/>
              <w:bottom w:w="0" w:type="dxa"/>
              <w:right w:w="108" w:type="dxa"/>
            </w:tcMar>
            <w:vAlign w:val="center"/>
          </w:tcPr>
          <w:p w14:paraId="0080D449">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rPr>
              <w:t>/</w:t>
            </w:r>
          </w:p>
        </w:tc>
        <w:tc>
          <w:tcPr>
            <w:tcW w:w="641" w:type="pct"/>
            <w:tcBorders>
              <w:bottom w:val="single" w:color="auto" w:sz="4" w:space="0"/>
            </w:tcBorders>
            <w:tcMar>
              <w:top w:w="0" w:type="dxa"/>
              <w:left w:w="108" w:type="dxa"/>
              <w:bottom w:w="0" w:type="dxa"/>
              <w:right w:w="108" w:type="dxa"/>
            </w:tcMar>
            <w:vAlign w:val="center"/>
          </w:tcPr>
          <w:p w14:paraId="695CB16F">
            <w:pPr>
              <w:keepNext w:val="0"/>
              <w:keepLines w:val="0"/>
              <w:suppressLineNumbers w:val="0"/>
              <w:tabs>
                <w:tab w:val="left" w:pos="4830"/>
              </w:tabs>
              <w:spacing w:before="0" w:beforeAutospacing="0" w:after="0" w:afterAutospacing="0"/>
              <w:ind w:left="0" w:leftChars="0" w:right="0" w:rightChars="0"/>
              <w:jc w:val="center"/>
              <w:rPr>
                <w:rFonts w:hint="default" w:ascii="Times New Roman" w:hAnsi="Times New Roman" w:eastAsia="宋体" w:cs="Times New Roman"/>
                <w:color w:val="auto"/>
                <w:szCs w:val="21"/>
              </w:rPr>
            </w:pPr>
            <w:r>
              <w:rPr>
                <w:rFonts w:hint="default" w:ascii="Times New Roman" w:hAnsi="Times New Roman" w:eastAsia="宋体" w:cs="Times New Roman"/>
                <w:color w:val="auto"/>
                <w:kern w:val="0"/>
                <w:szCs w:val="21"/>
                <w:lang w:val="en-US" w:eastAsia="zh-CN"/>
              </w:rPr>
              <w:t>0.002</w:t>
            </w:r>
          </w:p>
        </w:tc>
        <w:tc>
          <w:tcPr>
            <w:tcW w:w="571" w:type="pct"/>
            <w:tcBorders>
              <w:bottom w:val="single" w:color="auto" w:sz="4" w:space="0"/>
            </w:tcBorders>
            <w:tcMar>
              <w:top w:w="0" w:type="dxa"/>
              <w:left w:w="108" w:type="dxa"/>
              <w:bottom w:w="0" w:type="dxa"/>
              <w:right w:w="108" w:type="dxa"/>
            </w:tcMar>
            <w:vAlign w:val="center"/>
          </w:tcPr>
          <w:p w14:paraId="240FE304">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r>
              <w:rPr>
                <w:rFonts w:hint="eastAsia" w:ascii="Times New Roman" w:hAnsi="Times New Roman" w:eastAsia="宋体" w:cs="Times New Roman"/>
                <w:color w:val="auto"/>
                <w:szCs w:val="21"/>
                <w:lang w:val="en-US" w:eastAsia="zh-CN"/>
              </w:rPr>
              <w:t>0</w:t>
            </w:r>
          </w:p>
        </w:tc>
        <w:tc>
          <w:tcPr>
            <w:tcW w:w="753" w:type="pct"/>
            <w:tcBorders>
              <w:bottom w:val="single" w:color="auto" w:sz="4" w:space="0"/>
            </w:tcBorders>
            <w:tcMar>
              <w:top w:w="0" w:type="dxa"/>
              <w:left w:w="108" w:type="dxa"/>
              <w:bottom w:w="0" w:type="dxa"/>
              <w:right w:w="108" w:type="dxa"/>
            </w:tcMar>
            <w:vAlign w:val="center"/>
          </w:tcPr>
          <w:p w14:paraId="1084E0C8">
            <w:pPr>
              <w:keepNext w:val="0"/>
              <w:keepLines w:val="0"/>
              <w:suppressLineNumbers w:val="0"/>
              <w:tabs>
                <w:tab w:val="left" w:pos="4830"/>
              </w:tabs>
              <w:spacing w:before="0" w:beforeAutospacing="0" w:after="0" w:afterAutospacing="0"/>
              <w:ind w:left="0" w:right="0"/>
              <w:jc w:val="center"/>
              <w:rPr>
                <w:rFonts w:hint="default" w:ascii="Times New Roman" w:hAnsi="Times New Roman" w:eastAsia="宋体" w:cs="Times New Roman"/>
                <w:color w:val="auto"/>
                <w:szCs w:val="21"/>
                <w:lang w:val="en-US" w:eastAsia="zh-CN"/>
              </w:rPr>
            </w:pPr>
            <w:r>
              <w:rPr>
                <w:rFonts w:hint="eastAsia" w:ascii="Times New Roman" w:hAnsi="Times New Roman" w:eastAsia="宋体" w:cs="Times New Roman"/>
                <w:color w:val="auto"/>
                <w:szCs w:val="21"/>
                <w:lang w:val="en-US" w:eastAsia="zh-CN"/>
              </w:rPr>
              <w:t>0.024</w:t>
            </w:r>
          </w:p>
        </w:tc>
        <w:tc>
          <w:tcPr>
            <w:tcW w:w="486" w:type="pct"/>
            <w:tcBorders>
              <w:bottom w:val="single" w:color="auto" w:sz="4" w:space="0"/>
            </w:tcBorders>
            <w:tcMar>
              <w:top w:w="0" w:type="dxa"/>
              <w:left w:w="108" w:type="dxa"/>
              <w:bottom w:w="0" w:type="dxa"/>
              <w:right w:w="108" w:type="dxa"/>
            </w:tcMar>
            <w:vAlign w:val="center"/>
          </w:tcPr>
          <w:p w14:paraId="54B00157">
            <w:pPr>
              <w:keepNext w:val="0"/>
              <w:keepLines w:val="0"/>
              <w:suppressLineNumbers w:val="0"/>
              <w:tabs>
                <w:tab w:val="left" w:pos="4830"/>
              </w:tabs>
              <w:spacing w:before="0" w:beforeAutospacing="0" w:after="0" w:afterAutospacing="0"/>
              <w:ind w:left="0" w:leftChars="0" w:right="0" w:rightChars="0"/>
              <w:jc w:val="center"/>
              <w:rPr>
                <w:rFonts w:hint="default" w:ascii="Times New Roman" w:hAnsi="Times New Roman" w:eastAsia="宋体" w:cs="Times New Roman"/>
                <w:color w:val="auto"/>
                <w:szCs w:val="21"/>
              </w:rPr>
            </w:pPr>
            <w:r>
              <w:rPr>
                <w:rFonts w:hint="eastAsia" w:ascii="Times New Roman" w:hAnsi="Times New Roman" w:eastAsia="宋体" w:cs="Times New Roman"/>
                <w:color w:val="auto"/>
                <w:kern w:val="0"/>
                <w:szCs w:val="21"/>
                <w:lang w:val="en-US" w:eastAsia="zh-CN"/>
              </w:rPr>
              <w:t>+</w:t>
            </w:r>
            <w:r>
              <w:rPr>
                <w:rFonts w:hint="default" w:ascii="Times New Roman" w:hAnsi="Times New Roman" w:eastAsia="宋体" w:cs="Times New Roman"/>
                <w:color w:val="auto"/>
                <w:kern w:val="0"/>
                <w:szCs w:val="21"/>
                <w:lang w:val="en-US" w:eastAsia="zh-CN"/>
              </w:rPr>
              <w:t>0.002</w:t>
            </w:r>
          </w:p>
        </w:tc>
      </w:tr>
      <w:tr w14:paraId="5DC6393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40" w:hRule="atLeast"/>
          <w:jc w:val="center"/>
        </w:trPr>
        <w:tc>
          <w:tcPr>
            <w:tcW w:w="228" w:type="pct"/>
            <w:vMerge w:val="restart"/>
            <w:tcMar>
              <w:top w:w="0" w:type="dxa"/>
              <w:left w:w="108" w:type="dxa"/>
              <w:bottom w:w="0" w:type="dxa"/>
              <w:right w:w="108" w:type="dxa"/>
            </w:tcMar>
            <w:vAlign w:val="center"/>
          </w:tcPr>
          <w:p w14:paraId="7CC59D4F">
            <w:pPr>
              <w:keepNext w:val="0"/>
              <w:keepLines w:val="0"/>
              <w:suppressLineNumbers w:val="0"/>
              <w:wordWrap w:val="0"/>
              <w:spacing w:before="0" w:beforeAutospacing="0" w:after="0" w:afterAutospacing="0"/>
              <w:ind w:left="0" w:right="0"/>
              <w:jc w:val="center"/>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rPr>
              <w:t>一般工业固废</w:t>
            </w:r>
          </w:p>
        </w:tc>
        <w:tc>
          <w:tcPr>
            <w:tcW w:w="622" w:type="pct"/>
            <w:tcMar>
              <w:top w:w="0" w:type="dxa"/>
              <w:left w:w="108" w:type="dxa"/>
              <w:bottom w:w="0" w:type="dxa"/>
              <w:right w:w="108" w:type="dxa"/>
            </w:tcMar>
            <w:vAlign w:val="center"/>
          </w:tcPr>
          <w:p w14:paraId="4430EB24">
            <w:pPr>
              <w:keepNext w:val="0"/>
              <w:keepLines w:val="0"/>
              <w:suppressLineNumbers w:val="0"/>
              <w:wordWrap w:val="0"/>
              <w:spacing w:before="0" w:beforeAutospacing="0" w:after="0" w:afterAutospacing="0"/>
              <w:ind w:left="0" w:right="0"/>
              <w:jc w:val="center"/>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lang w:val="en-US" w:eastAsia="zh-CN"/>
              </w:rPr>
              <w:t>废PET膜</w:t>
            </w:r>
          </w:p>
        </w:tc>
        <w:tc>
          <w:tcPr>
            <w:tcW w:w="636" w:type="pct"/>
            <w:tcMar>
              <w:top w:w="0" w:type="dxa"/>
              <w:left w:w="108" w:type="dxa"/>
              <w:bottom w:w="0" w:type="dxa"/>
              <w:right w:w="108" w:type="dxa"/>
            </w:tcMar>
            <w:vAlign w:val="center"/>
          </w:tcPr>
          <w:p w14:paraId="23B99F45">
            <w:pPr>
              <w:keepNext w:val="0"/>
              <w:keepLines w:val="0"/>
              <w:suppressLineNumbers w:val="0"/>
              <w:tabs>
                <w:tab w:val="left" w:pos="4830"/>
              </w:tabs>
              <w:spacing w:before="0" w:beforeAutospacing="0" w:after="0" w:afterAutospacing="0"/>
              <w:ind w:left="0" w:right="0"/>
              <w:jc w:val="center"/>
              <w:rPr>
                <w:rFonts w:hint="default" w:ascii="Times New Roman" w:hAnsi="Times New Roman" w:eastAsia="宋体" w:cs="Times New Roman"/>
                <w:color w:val="auto"/>
                <w:szCs w:val="21"/>
              </w:rPr>
            </w:pPr>
            <w:r>
              <w:rPr>
                <w:rFonts w:hint="eastAsia" w:ascii="Times New Roman" w:hAnsi="Times New Roman" w:eastAsia="宋体" w:cs="Times New Roman"/>
                <w:color w:val="auto"/>
                <w:szCs w:val="21"/>
                <w:lang w:val="en-US" w:eastAsia="zh-CN"/>
              </w:rPr>
              <w:t>0（</w:t>
            </w:r>
            <w:r>
              <w:rPr>
                <w:rFonts w:hint="default" w:ascii="Times New Roman" w:hAnsi="Times New Roman" w:eastAsia="宋体" w:cs="Times New Roman"/>
                <w:color w:val="auto"/>
                <w:szCs w:val="21"/>
                <w:lang w:val="en-US" w:eastAsia="zh-CN"/>
              </w:rPr>
              <w:t>0.4</w:t>
            </w:r>
            <w:r>
              <w:rPr>
                <w:rFonts w:hint="eastAsia" w:ascii="Times New Roman" w:hAnsi="Times New Roman" w:eastAsia="宋体" w:cs="Times New Roman"/>
                <w:color w:val="auto"/>
                <w:szCs w:val="21"/>
                <w:lang w:val="en-US" w:eastAsia="zh-CN"/>
              </w:rPr>
              <w:t>）</w:t>
            </w:r>
          </w:p>
        </w:tc>
        <w:tc>
          <w:tcPr>
            <w:tcW w:w="416" w:type="pct"/>
            <w:tcMar>
              <w:top w:w="0" w:type="dxa"/>
              <w:left w:w="108" w:type="dxa"/>
              <w:bottom w:w="0" w:type="dxa"/>
              <w:right w:w="108" w:type="dxa"/>
            </w:tcMar>
            <w:vAlign w:val="center"/>
          </w:tcPr>
          <w:p w14:paraId="231FCFB8">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r>
              <w:rPr>
                <w:rFonts w:hint="eastAsia" w:ascii="Times New Roman" w:hAnsi="Times New Roman" w:eastAsia="宋体" w:cs="Times New Roman"/>
                <w:color w:val="auto"/>
                <w:szCs w:val="21"/>
              </w:rPr>
              <w:t>0</w:t>
            </w:r>
          </w:p>
        </w:tc>
        <w:tc>
          <w:tcPr>
            <w:tcW w:w="642" w:type="pct"/>
            <w:tcMar>
              <w:top w:w="0" w:type="dxa"/>
              <w:left w:w="108" w:type="dxa"/>
              <w:bottom w:w="0" w:type="dxa"/>
              <w:right w:w="108" w:type="dxa"/>
            </w:tcMar>
            <w:vAlign w:val="center"/>
          </w:tcPr>
          <w:p w14:paraId="16707B6C">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rPr>
              <w:t>/</w:t>
            </w:r>
          </w:p>
        </w:tc>
        <w:tc>
          <w:tcPr>
            <w:tcW w:w="641" w:type="pct"/>
            <w:tcMar>
              <w:top w:w="0" w:type="dxa"/>
              <w:left w:w="108" w:type="dxa"/>
              <w:bottom w:w="0" w:type="dxa"/>
              <w:right w:w="108" w:type="dxa"/>
            </w:tcMar>
            <w:vAlign w:val="center"/>
          </w:tcPr>
          <w:p w14:paraId="743B8CD6">
            <w:pPr>
              <w:keepNext w:val="0"/>
              <w:keepLines w:val="0"/>
              <w:suppressLineNumbers w:val="0"/>
              <w:tabs>
                <w:tab w:val="left" w:pos="4830"/>
              </w:tabs>
              <w:spacing w:before="0" w:beforeAutospacing="0" w:after="0" w:afterAutospacing="0"/>
              <w:ind w:left="0" w:right="0"/>
              <w:jc w:val="center"/>
              <w:rPr>
                <w:rFonts w:hint="default" w:ascii="Times New Roman" w:hAnsi="Times New Roman" w:eastAsia="宋体" w:cs="Times New Roman"/>
                <w:color w:val="0000E1"/>
                <w:szCs w:val="21"/>
              </w:rPr>
            </w:pPr>
            <w:r>
              <w:rPr>
                <w:rFonts w:hint="default" w:ascii="Times New Roman" w:hAnsi="Times New Roman" w:eastAsia="宋体" w:cs="Times New Roman"/>
                <w:color w:val="0000E1"/>
                <w:szCs w:val="21"/>
                <w:lang w:val="en-US" w:eastAsia="zh-CN"/>
              </w:rPr>
              <w:t>0（517.386）</w:t>
            </w:r>
          </w:p>
        </w:tc>
        <w:tc>
          <w:tcPr>
            <w:tcW w:w="571" w:type="pct"/>
            <w:tcMar>
              <w:top w:w="0" w:type="dxa"/>
              <w:left w:w="108" w:type="dxa"/>
              <w:bottom w:w="0" w:type="dxa"/>
              <w:right w:w="108" w:type="dxa"/>
            </w:tcMar>
            <w:vAlign w:val="center"/>
          </w:tcPr>
          <w:p w14:paraId="2B96ED32">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0000E1"/>
                <w:szCs w:val="21"/>
              </w:rPr>
            </w:pPr>
            <w:r>
              <w:rPr>
                <w:rFonts w:hint="eastAsia" w:ascii="Times New Roman" w:hAnsi="Times New Roman" w:eastAsia="宋体" w:cs="Times New Roman"/>
                <w:color w:val="0000E1"/>
                <w:szCs w:val="21"/>
                <w:lang w:val="en-US" w:eastAsia="zh-CN"/>
              </w:rPr>
              <w:t>0</w:t>
            </w:r>
          </w:p>
        </w:tc>
        <w:tc>
          <w:tcPr>
            <w:tcW w:w="753" w:type="pct"/>
            <w:tcMar>
              <w:top w:w="0" w:type="dxa"/>
              <w:left w:w="108" w:type="dxa"/>
              <w:bottom w:w="0" w:type="dxa"/>
              <w:right w:w="108" w:type="dxa"/>
            </w:tcMar>
            <w:vAlign w:val="center"/>
          </w:tcPr>
          <w:p w14:paraId="58166FF4">
            <w:pPr>
              <w:keepNext w:val="0"/>
              <w:keepLines w:val="0"/>
              <w:suppressLineNumbers w:val="0"/>
              <w:tabs>
                <w:tab w:val="left" w:pos="4830"/>
              </w:tabs>
              <w:spacing w:before="0" w:beforeAutospacing="0" w:after="0" w:afterAutospacing="0"/>
              <w:ind w:left="0" w:right="0"/>
              <w:jc w:val="center"/>
              <w:rPr>
                <w:rFonts w:hint="default" w:ascii="Times New Roman" w:hAnsi="Times New Roman" w:eastAsia="宋体" w:cs="Times New Roman"/>
                <w:color w:val="0000E1"/>
                <w:szCs w:val="21"/>
                <w:lang w:val="en-US" w:eastAsia="zh-CN"/>
              </w:rPr>
            </w:pPr>
            <w:r>
              <w:rPr>
                <w:rFonts w:hint="default" w:ascii="Times New Roman" w:hAnsi="Times New Roman" w:eastAsia="宋体" w:cs="Times New Roman"/>
                <w:color w:val="0000E1"/>
                <w:szCs w:val="21"/>
                <w:lang w:val="en-US" w:eastAsia="zh-CN"/>
              </w:rPr>
              <w:t>0（</w:t>
            </w:r>
            <w:r>
              <w:rPr>
                <w:rFonts w:hint="eastAsia" w:ascii="Times New Roman" w:hAnsi="Times New Roman" w:eastAsia="宋体" w:cs="Times New Roman"/>
                <w:color w:val="0000E1"/>
                <w:szCs w:val="21"/>
                <w:lang w:val="en-US" w:eastAsia="zh-CN"/>
              </w:rPr>
              <w:t>517.786</w:t>
            </w:r>
            <w:r>
              <w:rPr>
                <w:rFonts w:hint="default" w:ascii="Times New Roman" w:hAnsi="Times New Roman" w:eastAsia="宋体" w:cs="Times New Roman"/>
                <w:color w:val="0000E1"/>
                <w:szCs w:val="21"/>
                <w:lang w:val="en-US" w:eastAsia="zh-CN"/>
              </w:rPr>
              <w:t>）</w:t>
            </w:r>
          </w:p>
        </w:tc>
        <w:tc>
          <w:tcPr>
            <w:tcW w:w="486" w:type="pct"/>
            <w:shd w:val="clear" w:color="auto" w:fill="auto"/>
            <w:tcMar>
              <w:top w:w="0" w:type="dxa"/>
              <w:left w:w="108" w:type="dxa"/>
              <w:bottom w:w="0" w:type="dxa"/>
              <w:right w:w="108" w:type="dxa"/>
            </w:tcMar>
            <w:vAlign w:val="center"/>
          </w:tcPr>
          <w:p w14:paraId="6FD1C6D8">
            <w:pPr>
              <w:keepNext w:val="0"/>
              <w:keepLines w:val="0"/>
              <w:suppressLineNumbers w:val="0"/>
              <w:tabs>
                <w:tab w:val="left" w:pos="4830"/>
              </w:tabs>
              <w:spacing w:before="0" w:beforeAutospacing="0" w:after="0" w:afterAutospacing="0"/>
              <w:ind w:left="0" w:leftChars="0" w:right="0" w:rightChars="0"/>
              <w:jc w:val="center"/>
              <w:rPr>
                <w:rFonts w:hint="default" w:ascii="Times New Roman" w:hAnsi="Times New Roman" w:eastAsia="宋体" w:cs="Times New Roman"/>
                <w:color w:val="0000E1"/>
                <w:kern w:val="2"/>
                <w:sz w:val="21"/>
                <w:szCs w:val="21"/>
                <w:lang w:val="en-US" w:eastAsia="zh-CN" w:bidi="ar-SA"/>
              </w:rPr>
            </w:pPr>
            <w:r>
              <w:rPr>
                <w:rFonts w:hint="eastAsia" w:ascii="Times New Roman" w:hAnsi="Times New Roman" w:eastAsia="宋体" w:cs="Times New Roman"/>
                <w:color w:val="0000E1"/>
                <w:szCs w:val="21"/>
                <w:lang w:val="en-US" w:eastAsia="zh-CN"/>
              </w:rPr>
              <w:t>+</w:t>
            </w:r>
            <w:r>
              <w:rPr>
                <w:rFonts w:hint="default" w:ascii="Times New Roman" w:hAnsi="Times New Roman" w:eastAsia="宋体" w:cs="Times New Roman"/>
                <w:color w:val="0000E1"/>
                <w:szCs w:val="21"/>
                <w:lang w:val="en-US" w:eastAsia="zh-CN"/>
              </w:rPr>
              <w:t>517.386</w:t>
            </w:r>
          </w:p>
        </w:tc>
      </w:tr>
      <w:tr w14:paraId="1F106B5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40" w:hRule="atLeast"/>
          <w:jc w:val="center"/>
        </w:trPr>
        <w:tc>
          <w:tcPr>
            <w:tcW w:w="228" w:type="pct"/>
            <w:vMerge w:val="continue"/>
            <w:tcMar>
              <w:top w:w="0" w:type="dxa"/>
              <w:left w:w="108" w:type="dxa"/>
              <w:bottom w:w="0" w:type="dxa"/>
              <w:right w:w="108" w:type="dxa"/>
            </w:tcMar>
            <w:vAlign w:val="center"/>
          </w:tcPr>
          <w:p w14:paraId="188CD5DC">
            <w:pPr>
              <w:keepNext w:val="0"/>
              <w:keepLines w:val="0"/>
              <w:suppressLineNumbers w:val="0"/>
              <w:wordWrap w:val="0"/>
              <w:spacing w:before="0" w:beforeAutospacing="0" w:after="0" w:afterAutospacing="0"/>
              <w:ind w:left="0" w:right="0"/>
              <w:jc w:val="center"/>
              <w:rPr>
                <w:rFonts w:hint="default" w:ascii="Times New Roman" w:hAnsi="Times New Roman" w:eastAsia="宋体" w:cs="Times New Roman"/>
                <w:color w:val="auto"/>
                <w:szCs w:val="21"/>
              </w:rPr>
            </w:pPr>
          </w:p>
        </w:tc>
        <w:tc>
          <w:tcPr>
            <w:tcW w:w="622" w:type="pct"/>
            <w:tcMar>
              <w:top w:w="0" w:type="dxa"/>
              <w:left w:w="108" w:type="dxa"/>
              <w:bottom w:w="0" w:type="dxa"/>
              <w:right w:w="108" w:type="dxa"/>
            </w:tcMar>
            <w:vAlign w:val="center"/>
          </w:tcPr>
          <w:p w14:paraId="6DF51037">
            <w:pPr>
              <w:keepNext w:val="0"/>
              <w:keepLines w:val="0"/>
              <w:suppressLineNumbers w:val="0"/>
              <w:wordWrap w:val="0"/>
              <w:spacing w:before="0" w:beforeAutospacing="0" w:after="0" w:afterAutospacing="0"/>
              <w:ind w:left="0" w:right="0"/>
              <w:jc w:val="center"/>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lang w:val="en-US" w:eastAsia="zh-CN"/>
              </w:rPr>
              <w:t>边角料</w:t>
            </w:r>
            <w:r>
              <w:rPr>
                <w:rFonts w:hint="eastAsia" w:ascii="Times New Roman" w:hAnsi="Times New Roman" w:eastAsia="宋体" w:cs="Times New Roman"/>
                <w:color w:val="auto"/>
                <w:szCs w:val="21"/>
                <w:lang w:val="en-US" w:eastAsia="zh-CN"/>
              </w:rPr>
              <w:t>、不合格品</w:t>
            </w:r>
          </w:p>
        </w:tc>
        <w:tc>
          <w:tcPr>
            <w:tcW w:w="636" w:type="pct"/>
            <w:tcMar>
              <w:top w:w="0" w:type="dxa"/>
              <w:left w:w="108" w:type="dxa"/>
              <w:bottom w:w="0" w:type="dxa"/>
              <w:right w:w="108" w:type="dxa"/>
            </w:tcMar>
            <w:vAlign w:val="center"/>
          </w:tcPr>
          <w:p w14:paraId="6D7C1021">
            <w:pPr>
              <w:keepNext w:val="0"/>
              <w:keepLines w:val="0"/>
              <w:suppressLineNumbers w:val="0"/>
              <w:tabs>
                <w:tab w:val="left" w:pos="4830"/>
              </w:tabs>
              <w:spacing w:before="0" w:beforeAutospacing="0" w:after="0" w:afterAutospacing="0"/>
              <w:ind w:left="0" w:right="0"/>
              <w:jc w:val="center"/>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lang w:val="en-US" w:eastAsia="zh-CN"/>
              </w:rPr>
              <w:t>0（194.622）</w:t>
            </w:r>
          </w:p>
        </w:tc>
        <w:tc>
          <w:tcPr>
            <w:tcW w:w="416" w:type="pct"/>
            <w:tcMar>
              <w:top w:w="0" w:type="dxa"/>
              <w:left w:w="108" w:type="dxa"/>
              <w:bottom w:w="0" w:type="dxa"/>
              <w:right w:w="108" w:type="dxa"/>
            </w:tcMar>
            <w:vAlign w:val="center"/>
          </w:tcPr>
          <w:p w14:paraId="4B83AF75">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r>
              <w:rPr>
                <w:rFonts w:hint="eastAsia" w:ascii="Times New Roman" w:hAnsi="Times New Roman" w:eastAsia="宋体" w:cs="Times New Roman"/>
                <w:color w:val="auto"/>
                <w:szCs w:val="21"/>
              </w:rPr>
              <w:t>0</w:t>
            </w:r>
          </w:p>
        </w:tc>
        <w:tc>
          <w:tcPr>
            <w:tcW w:w="642" w:type="pct"/>
            <w:tcMar>
              <w:top w:w="0" w:type="dxa"/>
              <w:left w:w="108" w:type="dxa"/>
              <w:bottom w:w="0" w:type="dxa"/>
              <w:right w:w="108" w:type="dxa"/>
            </w:tcMar>
            <w:vAlign w:val="center"/>
          </w:tcPr>
          <w:p w14:paraId="15EF03E2">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rPr>
              <w:t>/</w:t>
            </w:r>
          </w:p>
        </w:tc>
        <w:tc>
          <w:tcPr>
            <w:tcW w:w="641" w:type="pct"/>
            <w:tcMar>
              <w:top w:w="0" w:type="dxa"/>
              <w:left w:w="108" w:type="dxa"/>
              <w:bottom w:w="0" w:type="dxa"/>
              <w:right w:w="108" w:type="dxa"/>
            </w:tcMar>
            <w:vAlign w:val="center"/>
          </w:tcPr>
          <w:p w14:paraId="0D74A98E">
            <w:pPr>
              <w:keepNext w:val="0"/>
              <w:keepLines w:val="0"/>
              <w:suppressLineNumbers w:val="0"/>
              <w:tabs>
                <w:tab w:val="left" w:pos="4830"/>
              </w:tabs>
              <w:spacing w:before="0" w:beforeAutospacing="0" w:after="0" w:afterAutospacing="0"/>
              <w:ind w:left="0" w:right="0"/>
              <w:jc w:val="center"/>
              <w:rPr>
                <w:rFonts w:hint="default" w:ascii="Times New Roman" w:hAnsi="Times New Roman" w:eastAsia="宋体" w:cs="Times New Roman"/>
                <w:color w:val="0000E1"/>
                <w:szCs w:val="21"/>
                <w:lang w:val="en-US" w:eastAsia="zh-CN"/>
              </w:rPr>
            </w:pPr>
            <w:r>
              <w:rPr>
                <w:rFonts w:hint="eastAsia" w:ascii="Times New Roman" w:hAnsi="Times New Roman" w:eastAsia="宋体" w:cs="Times New Roman"/>
                <w:color w:val="0000E1"/>
                <w:szCs w:val="21"/>
                <w:lang w:val="en-US" w:eastAsia="zh-CN"/>
              </w:rPr>
              <w:t>0（6085.78）</w:t>
            </w:r>
          </w:p>
        </w:tc>
        <w:tc>
          <w:tcPr>
            <w:tcW w:w="571" w:type="pct"/>
            <w:tcMar>
              <w:top w:w="0" w:type="dxa"/>
              <w:left w:w="108" w:type="dxa"/>
              <w:bottom w:w="0" w:type="dxa"/>
              <w:right w:w="108" w:type="dxa"/>
            </w:tcMar>
            <w:vAlign w:val="center"/>
          </w:tcPr>
          <w:p w14:paraId="4F9965C1">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0000E1"/>
                <w:szCs w:val="21"/>
              </w:rPr>
            </w:pPr>
            <w:r>
              <w:rPr>
                <w:rFonts w:hint="eastAsia" w:ascii="Times New Roman" w:hAnsi="Times New Roman" w:eastAsia="宋体" w:cs="Times New Roman"/>
                <w:color w:val="0000E1"/>
                <w:szCs w:val="21"/>
                <w:lang w:val="en-US" w:eastAsia="zh-CN"/>
              </w:rPr>
              <w:t>0</w:t>
            </w:r>
          </w:p>
        </w:tc>
        <w:tc>
          <w:tcPr>
            <w:tcW w:w="753" w:type="pct"/>
            <w:tcMar>
              <w:top w:w="0" w:type="dxa"/>
              <w:left w:w="108" w:type="dxa"/>
              <w:bottom w:w="0" w:type="dxa"/>
              <w:right w:w="108" w:type="dxa"/>
            </w:tcMar>
            <w:vAlign w:val="center"/>
          </w:tcPr>
          <w:p w14:paraId="4AE18DA8">
            <w:pPr>
              <w:keepNext w:val="0"/>
              <w:keepLines w:val="0"/>
              <w:suppressLineNumbers w:val="0"/>
              <w:tabs>
                <w:tab w:val="left" w:pos="4830"/>
              </w:tabs>
              <w:spacing w:before="0" w:beforeAutospacing="0" w:after="0" w:afterAutospacing="0"/>
              <w:ind w:left="0" w:right="0"/>
              <w:jc w:val="center"/>
              <w:rPr>
                <w:rFonts w:hint="default" w:ascii="Times New Roman" w:hAnsi="Times New Roman" w:eastAsia="宋体" w:cs="Times New Roman"/>
                <w:color w:val="0000E1"/>
                <w:szCs w:val="21"/>
                <w:lang w:val="en-US" w:eastAsia="zh-CN"/>
              </w:rPr>
            </w:pPr>
            <w:r>
              <w:rPr>
                <w:rFonts w:hint="default" w:ascii="Times New Roman" w:hAnsi="Times New Roman" w:eastAsia="宋体" w:cs="Times New Roman"/>
                <w:color w:val="0000E1"/>
                <w:szCs w:val="21"/>
                <w:lang w:val="en-US" w:eastAsia="zh-CN"/>
              </w:rPr>
              <w:t>0（</w:t>
            </w:r>
            <w:r>
              <w:rPr>
                <w:rFonts w:hint="eastAsia" w:ascii="Times New Roman" w:hAnsi="Times New Roman" w:eastAsia="宋体" w:cs="Times New Roman"/>
                <w:color w:val="0000E1"/>
                <w:szCs w:val="21"/>
                <w:lang w:val="en-US" w:eastAsia="zh-CN"/>
              </w:rPr>
              <w:t>6280.402</w:t>
            </w:r>
            <w:r>
              <w:rPr>
                <w:rFonts w:hint="default" w:ascii="Times New Roman" w:hAnsi="Times New Roman" w:eastAsia="宋体" w:cs="Times New Roman"/>
                <w:color w:val="0000E1"/>
                <w:szCs w:val="21"/>
                <w:lang w:val="en-US" w:eastAsia="zh-CN"/>
              </w:rPr>
              <w:t>）</w:t>
            </w:r>
          </w:p>
        </w:tc>
        <w:tc>
          <w:tcPr>
            <w:tcW w:w="486" w:type="pct"/>
            <w:shd w:val="clear" w:color="auto" w:fill="auto"/>
            <w:tcMar>
              <w:top w:w="0" w:type="dxa"/>
              <w:left w:w="108" w:type="dxa"/>
              <w:bottom w:w="0" w:type="dxa"/>
              <w:right w:w="108" w:type="dxa"/>
            </w:tcMar>
            <w:vAlign w:val="center"/>
          </w:tcPr>
          <w:p w14:paraId="4A043920">
            <w:pPr>
              <w:keepNext w:val="0"/>
              <w:keepLines w:val="0"/>
              <w:suppressLineNumbers w:val="0"/>
              <w:tabs>
                <w:tab w:val="left" w:pos="4830"/>
              </w:tabs>
              <w:spacing w:before="0" w:beforeAutospacing="0" w:after="0" w:afterAutospacing="0"/>
              <w:ind w:left="0" w:leftChars="0" w:right="0" w:rightChars="0"/>
              <w:jc w:val="center"/>
              <w:rPr>
                <w:rFonts w:hint="default" w:ascii="Times New Roman" w:hAnsi="Times New Roman" w:eastAsia="宋体" w:cs="Times New Roman"/>
                <w:color w:val="0000E1"/>
                <w:kern w:val="2"/>
                <w:sz w:val="21"/>
                <w:szCs w:val="21"/>
                <w:lang w:val="en-US" w:eastAsia="zh-CN" w:bidi="ar-SA"/>
              </w:rPr>
            </w:pPr>
            <w:r>
              <w:rPr>
                <w:rFonts w:hint="eastAsia" w:ascii="Times New Roman" w:hAnsi="Times New Roman" w:eastAsia="宋体" w:cs="Times New Roman"/>
                <w:color w:val="0000E1"/>
                <w:szCs w:val="21"/>
                <w:lang w:val="en-US" w:eastAsia="zh-CN"/>
              </w:rPr>
              <w:t>+6085.78</w:t>
            </w:r>
          </w:p>
        </w:tc>
      </w:tr>
      <w:tr w14:paraId="0CB908B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90" w:hRule="atLeast"/>
          <w:jc w:val="center"/>
        </w:trPr>
        <w:tc>
          <w:tcPr>
            <w:tcW w:w="228" w:type="pct"/>
            <w:vMerge w:val="continue"/>
            <w:tcMar>
              <w:top w:w="0" w:type="dxa"/>
              <w:left w:w="108" w:type="dxa"/>
              <w:bottom w:w="0" w:type="dxa"/>
              <w:right w:w="108" w:type="dxa"/>
            </w:tcMar>
            <w:vAlign w:val="center"/>
          </w:tcPr>
          <w:p w14:paraId="2DF002E1">
            <w:pPr>
              <w:keepNext w:val="0"/>
              <w:keepLines w:val="0"/>
              <w:suppressLineNumbers w:val="0"/>
              <w:wordWrap w:val="0"/>
              <w:spacing w:before="0" w:beforeAutospacing="0" w:after="0" w:afterAutospacing="0"/>
              <w:ind w:left="0" w:right="0"/>
              <w:jc w:val="center"/>
              <w:rPr>
                <w:rFonts w:hint="default" w:ascii="Times New Roman" w:hAnsi="Times New Roman" w:eastAsia="宋体" w:cs="Times New Roman"/>
                <w:color w:val="auto"/>
                <w:szCs w:val="21"/>
              </w:rPr>
            </w:pPr>
          </w:p>
        </w:tc>
        <w:tc>
          <w:tcPr>
            <w:tcW w:w="622" w:type="pct"/>
            <w:tcMar>
              <w:top w:w="0" w:type="dxa"/>
              <w:left w:w="108" w:type="dxa"/>
              <w:bottom w:w="0" w:type="dxa"/>
              <w:right w:w="108" w:type="dxa"/>
            </w:tcMar>
            <w:vAlign w:val="center"/>
          </w:tcPr>
          <w:p w14:paraId="6BAB2F67">
            <w:pPr>
              <w:keepNext w:val="0"/>
              <w:keepLines w:val="0"/>
              <w:suppressLineNumbers w:val="0"/>
              <w:wordWrap w:val="0"/>
              <w:spacing w:before="0" w:beforeAutospacing="0" w:after="0" w:afterAutospacing="0"/>
              <w:ind w:left="0" w:right="0"/>
              <w:jc w:val="center"/>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lang w:val="en-US" w:eastAsia="zh-CN"/>
              </w:rPr>
              <w:t>废保护膜</w:t>
            </w:r>
          </w:p>
        </w:tc>
        <w:tc>
          <w:tcPr>
            <w:tcW w:w="636" w:type="pct"/>
            <w:tcMar>
              <w:top w:w="0" w:type="dxa"/>
              <w:left w:w="108" w:type="dxa"/>
              <w:bottom w:w="0" w:type="dxa"/>
              <w:right w:w="108" w:type="dxa"/>
            </w:tcMar>
            <w:vAlign w:val="center"/>
          </w:tcPr>
          <w:p w14:paraId="21466F11">
            <w:pPr>
              <w:keepNext w:val="0"/>
              <w:keepLines w:val="0"/>
              <w:suppressLineNumbers w:val="0"/>
              <w:tabs>
                <w:tab w:val="left" w:pos="4830"/>
              </w:tabs>
              <w:spacing w:before="0" w:beforeAutospacing="0" w:after="0" w:afterAutospacing="0"/>
              <w:ind w:left="0" w:right="0"/>
              <w:jc w:val="center"/>
              <w:rPr>
                <w:rFonts w:hint="eastAsia" w:ascii="Times New Roman" w:hAnsi="Times New Roman" w:eastAsia="宋体" w:cs="Times New Roman"/>
                <w:color w:val="auto"/>
                <w:szCs w:val="21"/>
                <w:lang w:val="en-US" w:eastAsia="zh-CN"/>
              </w:rPr>
            </w:pPr>
            <w:r>
              <w:rPr>
                <w:rFonts w:hint="eastAsia" w:ascii="Times New Roman" w:hAnsi="Times New Roman" w:eastAsia="宋体" w:cs="Times New Roman"/>
                <w:color w:val="auto"/>
                <w:szCs w:val="21"/>
                <w:lang w:val="en-US" w:eastAsia="zh-CN"/>
              </w:rPr>
              <w:t>0（0）</w:t>
            </w:r>
          </w:p>
        </w:tc>
        <w:tc>
          <w:tcPr>
            <w:tcW w:w="416" w:type="pct"/>
            <w:tcMar>
              <w:top w:w="0" w:type="dxa"/>
              <w:left w:w="108" w:type="dxa"/>
              <w:bottom w:w="0" w:type="dxa"/>
              <w:right w:w="108" w:type="dxa"/>
            </w:tcMar>
            <w:vAlign w:val="center"/>
          </w:tcPr>
          <w:p w14:paraId="261FA157">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r>
              <w:rPr>
                <w:rFonts w:hint="eastAsia" w:ascii="Times New Roman" w:hAnsi="Times New Roman" w:eastAsia="宋体" w:cs="Times New Roman"/>
                <w:color w:val="auto"/>
                <w:szCs w:val="21"/>
              </w:rPr>
              <w:t>0</w:t>
            </w:r>
          </w:p>
        </w:tc>
        <w:tc>
          <w:tcPr>
            <w:tcW w:w="642" w:type="pct"/>
            <w:tcMar>
              <w:top w:w="0" w:type="dxa"/>
              <w:left w:w="108" w:type="dxa"/>
              <w:bottom w:w="0" w:type="dxa"/>
              <w:right w:w="108" w:type="dxa"/>
            </w:tcMar>
            <w:vAlign w:val="center"/>
          </w:tcPr>
          <w:p w14:paraId="267D48FE">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rPr>
              <w:t>/</w:t>
            </w:r>
          </w:p>
        </w:tc>
        <w:tc>
          <w:tcPr>
            <w:tcW w:w="641" w:type="pct"/>
            <w:shd w:val="clear" w:color="auto" w:fill="auto"/>
            <w:tcMar>
              <w:top w:w="0" w:type="dxa"/>
              <w:left w:w="108" w:type="dxa"/>
              <w:bottom w:w="0" w:type="dxa"/>
              <w:right w:w="108" w:type="dxa"/>
            </w:tcMar>
            <w:vAlign w:val="center"/>
          </w:tcPr>
          <w:p w14:paraId="2F660F91">
            <w:pPr>
              <w:keepNext w:val="0"/>
              <w:keepLines w:val="0"/>
              <w:widowControl w:val="0"/>
              <w:suppressLineNumbers w:val="0"/>
              <w:spacing w:before="0" w:beforeAutospacing="0" w:after="0" w:afterAutospacing="0"/>
              <w:ind w:left="0" w:leftChars="0" w:right="0" w:rightChars="0"/>
              <w:jc w:val="center"/>
              <w:rPr>
                <w:rFonts w:hint="default" w:ascii="Times New Roman" w:hAnsi="Times New Roman" w:eastAsia="宋体" w:cs="Times New Roman"/>
                <w:color w:val="0000E1"/>
                <w:kern w:val="2"/>
                <w:sz w:val="21"/>
                <w:szCs w:val="21"/>
                <w:lang w:val="en-US" w:eastAsia="zh-CN" w:bidi="ar-SA"/>
              </w:rPr>
            </w:pPr>
            <w:r>
              <w:rPr>
                <w:rFonts w:hint="eastAsia" w:ascii="Times New Roman" w:hAnsi="Times New Roman" w:eastAsia="宋体" w:cs="Times New Roman"/>
                <w:color w:val="0000E1"/>
                <w:kern w:val="2"/>
                <w:sz w:val="21"/>
                <w:szCs w:val="21"/>
                <w:lang w:val="en-US" w:eastAsia="zh-CN" w:bidi="ar"/>
              </w:rPr>
              <w:t>0（71.625）</w:t>
            </w:r>
          </w:p>
        </w:tc>
        <w:tc>
          <w:tcPr>
            <w:tcW w:w="571" w:type="pct"/>
            <w:tcMar>
              <w:top w:w="0" w:type="dxa"/>
              <w:left w:w="108" w:type="dxa"/>
              <w:bottom w:w="0" w:type="dxa"/>
              <w:right w:w="108" w:type="dxa"/>
            </w:tcMar>
            <w:vAlign w:val="center"/>
          </w:tcPr>
          <w:p w14:paraId="796FF89A">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0000E1"/>
                <w:szCs w:val="21"/>
              </w:rPr>
            </w:pPr>
            <w:r>
              <w:rPr>
                <w:rFonts w:hint="eastAsia" w:ascii="Times New Roman" w:hAnsi="Times New Roman" w:eastAsia="宋体" w:cs="Times New Roman"/>
                <w:color w:val="0000E1"/>
                <w:szCs w:val="21"/>
                <w:lang w:val="en-US" w:eastAsia="zh-CN"/>
              </w:rPr>
              <w:t>0</w:t>
            </w:r>
          </w:p>
        </w:tc>
        <w:tc>
          <w:tcPr>
            <w:tcW w:w="753" w:type="pct"/>
            <w:tcMar>
              <w:top w:w="0" w:type="dxa"/>
              <w:left w:w="108" w:type="dxa"/>
              <w:bottom w:w="0" w:type="dxa"/>
              <w:right w:w="108" w:type="dxa"/>
            </w:tcMar>
            <w:vAlign w:val="center"/>
          </w:tcPr>
          <w:p w14:paraId="57A11E5C">
            <w:pPr>
              <w:keepNext w:val="0"/>
              <w:keepLines w:val="0"/>
              <w:suppressLineNumbers w:val="0"/>
              <w:tabs>
                <w:tab w:val="left" w:pos="4830"/>
              </w:tabs>
              <w:spacing w:before="0" w:beforeAutospacing="0" w:after="0" w:afterAutospacing="0"/>
              <w:ind w:left="0" w:right="0"/>
              <w:jc w:val="center"/>
              <w:rPr>
                <w:rFonts w:hint="default" w:ascii="Times New Roman" w:hAnsi="Times New Roman" w:eastAsia="宋体" w:cs="Times New Roman"/>
                <w:color w:val="0000E1"/>
                <w:szCs w:val="21"/>
                <w:lang w:val="en-US" w:eastAsia="zh-CN"/>
              </w:rPr>
            </w:pPr>
            <w:r>
              <w:rPr>
                <w:rFonts w:hint="default" w:ascii="Times New Roman" w:hAnsi="Times New Roman" w:eastAsia="宋体" w:cs="Times New Roman"/>
                <w:color w:val="0000E1"/>
                <w:szCs w:val="21"/>
                <w:lang w:val="en-US" w:eastAsia="zh-CN"/>
              </w:rPr>
              <w:t>0（71.625）</w:t>
            </w:r>
          </w:p>
        </w:tc>
        <w:tc>
          <w:tcPr>
            <w:tcW w:w="486" w:type="pct"/>
            <w:shd w:val="clear" w:color="auto" w:fill="auto"/>
            <w:tcMar>
              <w:top w:w="0" w:type="dxa"/>
              <w:left w:w="108" w:type="dxa"/>
              <w:bottom w:w="0" w:type="dxa"/>
              <w:right w:w="108" w:type="dxa"/>
            </w:tcMar>
            <w:vAlign w:val="center"/>
          </w:tcPr>
          <w:p w14:paraId="5B169759">
            <w:pPr>
              <w:keepNext w:val="0"/>
              <w:keepLines w:val="0"/>
              <w:widowControl w:val="0"/>
              <w:suppressLineNumbers w:val="0"/>
              <w:spacing w:before="0" w:beforeAutospacing="0" w:after="0" w:afterAutospacing="0"/>
              <w:ind w:left="0" w:leftChars="0" w:right="0" w:rightChars="0"/>
              <w:jc w:val="center"/>
              <w:rPr>
                <w:rFonts w:hint="default" w:ascii="Times New Roman" w:hAnsi="Times New Roman" w:eastAsia="宋体" w:cs="Times New Roman"/>
                <w:color w:val="0000E1"/>
                <w:kern w:val="2"/>
                <w:sz w:val="21"/>
                <w:szCs w:val="21"/>
                <w:lang w:val="en-US" w:eastAsia="zh-CN" w:bidi="ar-SA"/>
              </w:rPr>
            </w:pPr>
            <w:r>
              <w:rPr>
                <w:rFonts w:hint="eastAsia" w:ascii="Times New Roman" w:hAnsi="Times New Roman" w:eastAsia="宋体" w:cs="Times New Roman"/>
                <w:color w:val="0000E1"/>
                <w:kern w:val="2"/>
                <w:sz w:val="21"/>
                <w:szCs w:val="21"/>
                <w:lang w:val="en-US" w:eastAsia="zh-CN" w:bidi="ar"/>
              </w:rPr>
              <w:t>+71.625</w:t>
            </w:r>
          </w:p>
        </w:tc>
      </w:tr>
      <w:tr w14:paraId="5D7D4E3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90" w:hRule="atLeast"/>
          <w:jc w:val="center"/>
        </w:trPr>
        <w:tc>
          <w:tcPr>
            <w:tcW w:w="228" w:type="pct"/>
            <w:vMerge w:val="continue"/>
            <w:tcMar>
              <w:top w:w="0" w:type="dxa"/>
              <w:left w:w="108" w:type="dxa"/>
              <w:bottom w:w="0" w:type="dxa"/>
              <w:right w:w="108" w:type="dxa"/>
            </w:tcMar>
            <w:vAlign w:val="center"/>
          </w:tcPr>
          <w:p w14:paraId="17667E46">
            <w:pPr>
              <w:keepNext w:val="0"/>
              <w:keepLines w:val="0"/>
              <w:suppressLineNumbers w:val="0"/>
              <w:wordWrap w:val="0"/>
              <w:spacing w:before="0" w:beforeAutospacing="0" w:after="0" w:afterAutospacing="0"/>
              <w:ind w:left="0" w:right="0"/>
              <w:jc w:val="center"/>
              <w:rPr>
                <w:rFonts w:hint="default" w:ascii="Times New Roman" w:hAnsi="Times New Roman" w:eastAsia="宋体" w:cs="Times New Roman"/>
                <w:color w:val="auto"/>
                <w:szCs w:val="21"/>
              </w:rPr>
            </w:pPr>
          </w:p>
        </w:tc>
        <w:tc>
          <w:tcPr>
            <w:tcW w:w="622" w:type="pct"/>
            <w:tcMar>
              <w:top w:w="0" w:type="dxa"/>
              <w:left w:w="108" w:type="dxa"/>
              <w:bottom w:w="0" w:type="dxa"/>
              <w:right w:w="108" w:type="dxa"/>
            </w:tcMar>
            <w:vAlign w:val="center"/>
          </w:tcPr>
          <w:p w14:paraId="10346B61">
            <w:pPr>
              <w:keepNext w:val="0"/>
              <w:keepLines w:val="0"/>
              <w:suppressLineNumbers w:val="0"/>
              <w:wordWrap w:val="0"/>
              <w:spacing w:before="0" w:beforeAutospacing="0" w:after="0" w:afterAutospacing="0"/>
              <w:ind w:left="0" w:right="0"/>
              <w:jc w:val="center"/>
              <w:rPr>
                <w:rFonts w:hint="default" w:ascii="Times New Roman" w:hAnsi="Times New Roman" w:eastAsia="宋体" w:cs="Times New Roman"/>
                <w:color w:val="0000FF"/>
                <w:szCs w:val="21"/>
                <w:lang w:val="en-US" w:eastAsia="zh-CN"/>
              </w:rPr>
            </w:pPr>
            <w:r>
              <w:rPr>
                <w:rFonts w:hint="default" w:ascii="Times New Roman" w:hAnsi="Times New Roman" w:eastAsia="宋体" w:cs="Times New Roman"/>
                <w:color w:val="0000FF"/>
                <w:szCs w:val="21"/>
                <w:lang w:val="en-US" w:eastAsia="zh-CN"/>
              </w:rPr>
              <w:t>废泡棉条</w:t>
            </w:r>
          </w:p>
          <w:p w14:paraId="5AA32BBE">
            <w:pPr>
              <w:keepNext w:val="0"/>
              <w:keepLines w:val="0"/>
              <w:suppressLineNumbers w:val="0"/>
              <w:wordWrap w:val="0"/>
              <w:spacing w:before="0" w:beforeAutospacing="0" w:after="0" w:afterAutospacing="0"/>
              <w:ind w:left="0" w:right="0"/>
              <w:jc w:val="center"/>
              <w:rPr>
                <w:rFonts w:hint="default" w:ascii="Times New Roman" w:hAnsi="Times New Roman" w:eastAsia="宋体" w:cs="Times New Roman"/>
                <w:color w:val="0000FF"/>
                <w:szCs w:val="21"/>
                <w:lang w:val="en-US" w:eastAsia="zh-CN"/>
              </w:rPr>
            </w:pPr>
            <w:r>
              <w:rPr>
                <w:rFonts w:hint="default" w:ascii="Times New Roman" w:hAnsi="Times New Roman" w:eastAsia="宋体" w:cs="Times New Roman"/>
                <w:color w:val="0000FF"/>
                <w:szCs w:val="21"/>
                <w:lang w:val="en-US" w:eastAsia="zh-CN"/>
              </w:rPr>
              <w:t>（硅基条）</w:t>
            </w:r>
          </w:p>
        </w:tc>
        <w:tc>
          <w:tcPr>
            <w:tcW w:w="636" w:type="pct"/>
            <w:tcMar>
              <w:top w:w="0" w:type="dxa"/>
              <w:left w:w="108" w:type="dxa"/>
              <w:bottom w:w="0" w:type="dxa"/>
              <w:right w:w="108" w:type="dxa"/>
            </w:tcMar>
            <w:vAlign w:val="center"/>
          </w:tcPr>
          <w:p w14:paraId="480E57B4">
            <w:pPr>
              <w:keepNext w:val="0"/>
              <w:keepLines w:val="0"/>
              <w:widowControl w:val="0"/>
              <w:suppressLineNumbers w:val="0"/>
              <w:tabs>
                <w:tab w:val="left" w:pos="4830"/>
              </w:tabs>
              <w:spacing w:before="0" w:beforeAutospacing="0" w:after="0" w:afterAutospacing="0"/>
              <w:ind w:left="0" w:leftChars="0" w:right="0" w:rightChars="0"/>
              <w:jc w:val="center"/>
              <w:rPr>
                <w:rFonts w:hint="eastAsia" w:ascii="Times New Roman" w:hAnsi="Times New Roman" w:eastAsia="宋体" w:cs="Times New Roman"/>
                <w:color w:val="0000FF"/>
                <w:kern w:val="2"/>
                <w:sz w:val="21"/>
                <w:szCs w:val="21"/>
                <w:lang w:val="en-US" w:eastAsia="zh-CN" w:bidi="ar-SA"/>
              </w:rPr>
            </w:pPr>
            <w:r>
              <w:rPr>
                <w:rFonts w:hint="eastAsia" w:ascii="Times New Roman" w:hAnsi="Times New Roman" w:eastAsia="宋体" w:cs="Times New Roman"/>
                <w:color w:val="0000FF"/>
                <w:kern w:val="2"/>
                <w:sz w:val="21"/>
                <w:szCs w:val="21"/>
                <w:lang w:val="en-US" w:eastAsia="zh-CN" w:bidi="ar-SA"/>
              </w:rPr>
              <w:t>0（0）</w:t>
            </w:r>
          </w:p>
        </w:tc>
        <w:tc>
          <w:tcPr>
            <w:tcW w:w="416" w:type="pct"/>
            <w:tcMar>
              <w:top w:w="0" w:type="dxa"/>
              <w:left w:w="108" w:type="dxa"/>
              <w:bottom w:w="0" w:type="dxa"/>
              <w:right w:w="108" w:type="dxa"/>
            </w:tcMar>
            <w:vAlign w:val="center"/>
          </w:tcPr>
          <w:p w14:paraId="1E87E62B">
            <w:pPr>
              <w:keepNext w:val="0"/>
              <w:keepLines w:val="0"/>
              <w:suppressLineNumbers w:val="0"/>
              <w:spacing w:before="0" w:beforeAutospacing="0" w:after="0" w:afterAutospacing="0"/>
              <w:ind w:left="0" w:right="0"/>
              <w:jc w:val="center"/>
              <w:rPr>
                <w:rFonts w:hint="eastAsia" w:ascii="Times New Roman" w:hAnsi="Times New Roman" w:eastAsia="宋体" w:cs="Times New Roman"/>
                <w:color w:val="0000FF"/>
                <w:szCs w:val="21"/>
                <w:lang w:val="en-US" w:eastAsia="zh-CN"/>
              </w:rPr>
            </w:pPr>
            <w:r>
              <w:rPr>
                <w:rFonts w:hint="eastAsia" w:ascii="Times New Roman" w:hAnsi="Times New Roman" w:eastAsia="宋体" w:cs="Times New Roman"/>
                <w:color w:val="0000FF"/>
                <w:szCs w:val="21"/>
                <w:lang w:val="en-US" w:eastAsia="zh-CN"/>
              </w:rPr>
              <w:t>0</w:t>
            </w:r>
          </w:p>
        </w:tc>
        <w:tc>
          <w:tcPr>
            <w:tcW w:w="642" w:type="pct"/>
            <w:tcMar>
              <w:top w:w="0" w:type="dxa"/>
              <w:left w:w="108" w:type="dxa"/>
              <w:bottom w:w="0" w:type="dxa"/>
              <w:right w:w="108" w:type="dxa"/>
            </w:tcMar>
            <w:vAlign w:val="center"/>
          </w:tcPr>
          <w:p w14:paraId="1B5D3B18">
            <w:pPr>
              <w:keepNext w:val="0"/>
              <w:keepLines w:val="0"/>
              <w:suppressLineNumbers w:val="0"/>
              <w:spacing w:before="0" w:beforeAutospacing="0" w:after="0" w:afterAutospacing="0"/>
              <w:ind w:left="0" w:right="0"/>
              <w:jc w:val="center"/>
              <w:rPr>
                <w:rFonts w:hint="eastAsia" w:ascii="Times New Roman" w:hAnsi="Times New Roman" w:eastAsia="宋体" w:cs="Times New Roman"/>
                <w:color w:val="0000FF"/>
                <w:szCs w:val="21"/>
                <w:lang w:val="en-US" w:eastAsia="zh-CN"/>
              </w:rPr>
            </w:pPr>
            <w:r>
              <w:rPr>
                <w:rFonts w:hint="eastAsia" w:ascii="Times New Roman" w:hAnsi="Times New Roman" w:eastAsia="宋体" w:cs="Times New Roman"/>
                <w:color w:val="0000FF"/>
                <w:szCs w:val="21"/>
                <w:lang w:val="en-US" w:eastAsia="zh-CN"/>
              </w:rPr>
              <w:t>/</w:t>
            </w:r>
          </w:p>
        </w:tc>
        <w:tc>
          <w:tcPr>
            <w:tcW w:w="641" w:type="pct"/>
            <w:shd w:val="clear" w:color="auto" w:fill="auto"/>
            <w:tcMar>
              <w:top w:w="0" w:type="dxa"/>
              <w:left w:w="108" w:type="dxa"/>
              <w:bottom w:w="0" w:type="dxa"/>
              <w:right w:w="108" w:type="dxa"/>
            </w:tcMar>
            <w:vAlign w:val="center"/>
          </w:tcPr>
          <w:p w14:paraId="0F76A8DF">
            <w:pPr>
              <w:keepNext w:val="0"/>
              <w:keepLines w:val="0"/>
              <w:widowControl w:val="0"/>
              <w:suppressLineNumbers w:val="0"/>
              <w:spacing w:before="0" w:beforeAutospacing="0" w:after="0" w:afterAutospacing="0"/>
              <w:ind w:left="0" w:leftChars="0" w:right="0" w:rightChars="0"/>
              <w:jc w:val="center"/>
              <w:rPr>
                <w:rFonts w:hint="eastAsia" w:ascii="Times New Roman" w:hAnsi="Times New Roman" w:eastAsia="宋体" w:cs="Times New Roman"/>
                <w:color w:val="0000FF"/>
                <w:kern w:val="2"/>
                <w:sz w:val="21"/>
                <w:szCs w:val="21"/>
                <w:lang w:val="en-US" w:eastAsia="zh-CN" w:bidi="ar"/>
              </w:rPr>
            </w:pPr>
            <w:r>
              <w:rPr>
                <w:rFonts w:hint="eastAsia" w:ascii="Times New Roman" w:hAnsi="Times New Roman" w:eastAsia="宋体" w:cs="Times New Roman"/>
                <w:color w:val="0000FF"/>
                <w:kern w:val="2"/>
                <w:sz w:val="21"/>
                <w:szCs w:val="21"/>
                <w:lang w:val="en-US" w:eastAsia="zh-CN" w:bidi="ar"/>
              </w:rPr>
              <w:t>45.75</w:t>
            </w:r>
          </w:p>
        </w:tc>
        <w:tc>
          <w:tcPr>
            <w:tcW w:w="571" w:type="pct"/>
            <w:tcMar>
              <w:top w:w="0" w:type="dxa"/>
              <w:left w:w="108" w:type="dxa"/>
              <w:bottom w:w="0" w:type="dxa"/>
              <w:right w:w="108" w:type="dxa"/>
            </w:tcMar>
            <w:vAlign w:val="center"/>
          </w:tcPr>
          <w:p w14:paraId="2CA859F2">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0000FF"/>
                <w:szCs w:val="21"/>
                <w:lang w:val="en-US" w:eastAsia="zh-CN"/>
              </w:rPr>
            </w:pPr>
            <w:r>
              <w:rPr>
                <w:rFonts w:hint="eastAsia" w:ascii="Times New Roman" w:hAnsi="Times New Roman" w:eastAsia="宋体" w:cs="Times New Roman"/>
                <w:color w:val="0000FF"/>
                <w:szCs w:val="21"/>
                <w:lang w:val="en-US" w:eastAsia="zh-CN"/>
              </w:rPr>
              <w:t>0</w:t>
            </w:r>
          </w:p>
        </w:tc>
        <w:tc>
          <w:tcPr>
            <w:tcW w:w="753" w:type="pct"/>
            <w:tcMar>
              <w:top w:w="0" w:type="dxa"/>
              <w:left w:w="108" w:type="dxa"/>
              <w:bottom w:w="0" w:type="dxa"/>
              <w:right w:w="108" w:type="dxa"/>
            </w:tcMar>
            <w:vAlign w:val="center"/>
          </w:tcPr>
          <w:p w14:paraId="59229694">
            <w:pPr>
              <w:keepNext w:val="0"/>
              <w:keepLines w:val="0"/>
              <w:suppressLineNumbers w:val="0"/>
              <w:tabs>
                <w:tab w:val="left" w:pos="4830"/>
              </w:tabs>
              <w:spacing w:before="0" w:beforeAutospacing="0" w:after="0" w:afterAutospacing="0"/>
              <w:ind w:left="0" w:right="0"/>
              <w:jc w:val="center"/>
              <w:rPr>
                <w:rFonts w:hint="default" w:ascii="Times New Roman" w:hAnsi="Times New Roman" w:eastAsia="宋体" w:cs="Times New Roman"/>
                <w:color w:val="0000FF"/>
                <w:szCs w:val="21"/>
                <w:lang w:val="en-US" w:eastAsia="zh-CN"/>
              </w:rPr>
            </w:pPr>
            <w:r>
              <w:rPr>
                <w:rFonts w:hint="default" w:ascii="Times New Roman" w:hAnsi="Times New Roman" w:eastAsia="宋体" w:cs="Times New Roman"/>
                <w:color w:val="0000FF"/>
                <w:szCs w:val="21"/>
                <w:lang w:val="en-US" w:eastAsia="zh-CN"/>
              </w:rPr>
              <w:t>45.75</w:t>
            </w:r>
          </w:p>
        </w:tc>
        <w:tc>
          <w:tcPr>
            <w:tcW w:w="486" w:type="pct"/>
            <w:shd w:val="clear" w:color="auto" w:fill="auto"/>
            <w:tcMar>
              <w:top w:w="0" w:type="dxa"/>
              <w:left w:w="108" w:type="dxa"/>
              <w:bottom w:w="0" w:type="dxa"/>
              <w:right w:w="108" w:type="dxa"/>
            </w:tcMar>
            <w:vAlign w:val="center"/>
          </w:tcPr>
          <w:p w14:paraId="522786CA">
            <w:pPr>
              <w:keepNext w:val="0"/>
              <w:keepLines w:val="0"/>
              <w:widowControl w:val="0"/>
              <w:suppressLineNumbers w:val="0"/>
              <w:spacing w:before="0" w:beforeAutospacing="0" w:after="0" w:afterAutospacing="0"/>
              <w:ind w:left="0" w:leftChars="0" w:right="0" w:rightChars="0"/>
              <w:jc w:val="center"/>
              <w:rPr>
                <w:rFonts w:hint="eastAsia" w:ascii="Times New Roman" w:hAnsi="Times New Roman" w:eastAsia="宋体" w:cs="Times New Roman"/>
                <w:color w:val="0000FF"/>
                <w:kern w:val="2"/>
                <w:sz w:val="21"/>
                <w:szCs w:val="21"/>
                <w:lang w:val="en-US" w:eastAsia="zh-CN" w:bidi="ar"/>
              </w:rPr>
            </w:pPr>
            <w:r>
              <w:rPr>
                <w:rFonts w:hint="eastAsia" w:ascii="Times New Roman" w:hAnsi="Times New Roman" w:eastAsia="宋体" w:cs="Times New Roman"/>
                <w:color w:val="0000FF"/>
                <w:kern w:val="2"/>
                <w:sz w:val="21"/>
                <w:szCs w:val="21"/>
                <w:lang w:val="en-US" w:eastAsia="zh-CN" w:bidi="ar"/>
              </w:rPr>
              <w:t>+45.75</w:t>
            </w:r>
          </w:p>
        </w:tc>
      </w:tr>
      <w:tr w14:paraId="0CB8CE2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43" w:hRule="atLeast"/>
          <w:jc w:val="center"/>
        </w:trPr>
        <w:tc>
          <w:tcPr>
            <w:tcW w:w="228" w:type="pct"/>
            <w:vMerge w:val="continue"/>
            <w:vAlign w:val="center"/>
          </w:tcPr>
          <w:p w14:paraId="7C62841F">
            <w:pPr>
              <w:keepNext w:val="0"/>
              <w:keepLines w:val="0"/>
              <w:suppressLineNumbers w:val="0"/>
              <w:wordWrap w:val="0"/>
              <w:spacing w:before="0" w:beforeAutospacing="0" w:after="0" w:afterAutospacing="0"/>
              <w:ind w:left="0" w:right="0"/>
              <w:jc w:val="center"/>
              <w:rPr>
                <w:rFonts w:hint="default" w:ascii="Times New Roman" w:hAnsi="Times New Roman" w:eastAsia="宋体" w:cs="Times New Roman"/>
                <w:color w:val="auto"/>
                <w:szCs w:val="21"/>
              </w:rPr>
            </w:pPr>
          </w:p>
        </w:tc>
        <w:tc>
          <w:tcPr>
            <w:tcW w:w="622" w:type="pct"/>
            <w:tcMar>
              <w:top w:w="0" w:type="dxa"/>
              <w:left w:w="108" w:type="dxa"/>
              <w:bottom w:w="0" w:type="dxa"/>
              <w:right w:w="108" w:type="dxa"/>
            </w:tcMar>
            <w:vAlign w:val="center"/>
          </w:tcPr>
          <w:p w14:paraId="6B1E2807">
            <w:pPr>
              <w:keepNext w:val="0"/>
              <w:keepLines w:val="0"/>
              <w:suppressLineNumbers w:val="0"/>
              <w:wordWrap w:val="0"/>
              <w:spacing w:before="0" w:beforeAutospacing="0" w:after="0" w:afterAutospacing="0"/>
              <w:ind w:left="0" w:right="0"/>
              <w:jc w:val="center"/>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lang w:val="en-US" w:eastAsia="zh-CN"/>
              </w:rPr>
              <w:t>废包装材料</w:t>
            </w:r>
          </w:p>
        </w:tc>
        <w:tc>
          <w:tcPr>
            <w:tcW w:w="636" w:type="pct"/>
            <w:tcMar>
              <w:top w:w="0" w:type="dxa"/>
              <w:left w:w="108" w:type="dxa"/>
              <w:bottom w:w="0" w:type="dxa"/>
              <w:right w:w="108" w:type="dxa"/>
            </w:tcMar>
            <w:vAlign w:val="center"/>
          </w:tcPr>
          <w:p w14:paraId="7EF27CC4">
            <w:pPr>
              <w:keepNext w:val="0"/>
              <w:keepLines w:val="0"/>
              <w:suppressLineNumbers w:val="0"/>
              <w:tabs>
                <w:tab w:val="left" w:pos="4830"/>
              </w:tabs>
              <w:spacing w:before="0" w:beforeAutospacing="0" w:after="0" w:afterAutospacing="0"/>
              <w:ind w:left="0" w:right="0"/>
              <w:jc w:val="center"/>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lang w:val="en-US" w:eastAsia="zh-CN"/>
              </w:rPr>
              <w:t>0（9.4）</w:t>
            </w:r>
          </w:p>
        </w:tc>
        <w:tc>
          <w:tcPr>
            <w:tcW w:w="416" w:type="pct"/>
            <w:tcMar>
              <w:top w:w="0" w:type="dxa"/>
              <w:left w:w="108" w:type="dxa"/>
              <w:bottom w:w="0" w:type="dxa"/>
              <w:right w:w="108" w:type="dxa"/>
            </w:tcMar>
            <w:vAlign w:val="center"/>
          </w:tcPr>
          <w:p w14:paraId="37A95E85">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r>
              <w:rPr>
                <w:rFonts w:hint="eastAsia" w:ascii="Times New Roman" w:hAnsi="Times New Roman" w:eastAsia="宋体" w:cs="Times New Roman"/>
                <w:color w:val="auto"/>
                <w:szCs w:val="21"/>
              </w:rPr>
              <w:t>0</w:t>
            </w:r>
          </w:p>
        </w:tc>
        <w:tc>
          <w:tcPr>
            <w:tcW w:w="642" w:type="pct"/>
            <w:tcMar>
              <w:top w:w="0" w:type="dxa"/>
              <w:left w:w="108" w:type="dxa"/>
              <w:bottom w:w="0" w:type="dxa"/>
              <w:right w:w="108" w:type="dxa"/>
            </w:tcMar>
            <w:vAlign w:val="center"/>
          </w:tcPr>
          <w:p w14:paraId="779BDCC5">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rPr>
              <w:t>/</w:t>
            </w:r>
          </w:p>
        </w:tc>
        <w:tc>
          <w:tcPr>
            <w:tcW w:w="641" w:type="pct"/>
            <w:shd w:val="clear" w:color="auto" w:fill="auto"/>
            <w:tcMar>
              <w:top w:w="0" w:type="dxa"/>
              <w:left w:w="108" w:type="dxa"/>
              <w:bottom w:w="0" w:type="dxa"/>
              <w:right w:w="108" w:type="dxa"/>
            </w:tcMar>
            <w:vAlign w:val="center"/>
          </w:tcPr>
          <w:p w14:paraId="31716435">
            <w:pPr>
              <w:keepNext w:val="0"/>
              <w:keepLines w:val="0"/>
              <w:widowControl w:val="0"/>
              <w:suppressLineNumbers w:val="0"/>
              <w:spacing w:before="0" w:beforeAutospacing="0" w:after="0" w:afterAutospacing="0"/>
              <w:ind w:left="0" w:leftChars="0" w:right="0" w:rightChars="0"/>
              <w:jc w:val="center"/>
              <w:rPr>
                <w:rFonts w:hint="default" w:ascii="Times New Roman" w:hAnsi="Times New Roman" w:eastAsia="宋体" w:cs="Times New Roman"/>
                <w:color w:val="auto"/>
                <w:kern w:val="2"/>
                <w:sz w:val="21"/>
                <w:szCs w:val="21"/>
                <w:lang w:val="en-US" w:eastAsia="zh-CN" w:bidi="ar-SA"/>
              </w:rPr>
            </w:pPr>
            <w:r>
              <w:rPr>
                <w:rFonts w:hint="eastAsia" w:ascii="Times New Roman" w:hAnsi="Times New Roman" w:eastAsia="宋体" w:cs="Times New Roman"/>
                <w:color w:val="auto"/>
                <w:kern w:val="2"/>
                <w:sz w:val="21"/>
                <w:szCs w:val="21"/>
                <w:lang w:val="en-US" w:eastAsia="zh-CN" w:bidi="ar"/>
              </w:rPr>
              <w:t>0（0.679）</w:t>
            </w:r>
          </w:p>
        </w:tc>
        <w:tc>
          <w:tcPr>
            <w:tcW w:w="571" w:type="pct"/>
            <w:tcMar>
              <w:top w:w="0" w:type="dxa"/>
              <w:left w:w="108" w:type="dxa"/>
              <w:bottom w:w="0" w:type="dxa"/>
              <w:right w:w="108" w:type="dxa"/>
            </w:tcMar>
            <w:vAlign w:val="center"/>
          </w:tcPr>
          <w:p w14:paraId="661E1BCB">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r>
              <w:rPr>
                <w:rFonts w:hint="eastAsia" w:ascii="Times New Roman" w:hAnsi="Times New Roman" w:eastAsia="宋体" w:cs="Times New Roman"/>
                <w:color w:val="auto"/>
                <w:szCs w:val="21"/>
                <w:lang w:val="en-US" w:eastAsia="zh-CN"/>
              </w:rPr>
              <w:t>0</w:t>
            </w:r>
          </w:p>
        </w:tc>
        <w:tc>
          <w:tcPr>
            <w:tcW w:w="753" w:type="pct"/>
            <w:tcMar>
              <w:top w:w="0" w:type="dxa"/>
              <w:left w:w="108" w:type="dxa"/>
              <w:bottom w:w="0" w:type="dxa"/>
              <w:right w:w="108" w:type="dxa"/>
            </w:tcMar>
            <w:vAlign w:val="center"/>
          </w:tcPr>
          <w:p w14:paraId="2C1D3315">
            <w:pPr>
              <w:keepNext w:val="0"/>
              <w:keepLines w:val="0"/>
              <w:suppressLineNumbers w:val="0"/>
              <w:tabs>
                <w:tab w:val="left" w:pos="4830"/>
              </w:tabs>
              <w:spacing w:before="0" w:beforeAutospacing="0" w:after="0" w:afterAutospacing="0"/>
              <w:ind w:left="0" w:right="0"/>
              <w:jc w:val="center"/>
              <w:rPr>
                <w:rFonts w:hint="default" w:ascii="Times New Roman" w:hAnsi="Times New Roman" w:eastAsia="宋体" w:cs="Times New Roman"/>
                <w:color w:val="auto"/>
                <w:szCs w:val="21"/>
                <w:lang w:val="en-US" w:eastAsia="zh-CN"/>
              </w:rPr>
            </w:pPr>
            <w:r>
              <w:rPr>
                <w:rFonts w:hint="default" w:ascii="Times New Roman" w:hAnsi="Times New Roman" w:eastAsia="宋体" w:cs="Times New Roman"/>
                <w:color w:val="auto"/>
                <w:szCs w:val="21"/>
                <w:lang w:val="en-US" w:eastAsia="zh-CN"/>
              </w:rPr>
              <w:t>0（10.079）</w:t>
            </w:r>
          </w:p>
        </w:tc>
        <w:tc>
          <w:tcPr>
            <w:tcW w:w="486" w:type="pct"/>
            <w:shd w:val="clear" w:color="auto" w:fill="auto"/>
            <w:tcMar>
              <w:top w:w="0" w:type="dxa"/>
              <w:left w:w="108" w:type="dxa"/>
              <w:bottom w:w="0" w:type="dxa"/>
              <w:right w:w="108" w:type="dxa"/>
            </w:tcMar>
            <w:vAlign w:val="center"/>
          </w:tcPr>
          <w:p w14:paraId="773D7B86">
            <w:pPr>
              <w:keepNext w:val="0"/>
              <w:keepLines w:val="0"/>
              <w:widowControl w:val="0"/>
              <w:suppressLineNumbers w:val="0"/>
              <w:spacing w:before="0" w:beforeAutospacing="0" w:after="0" w:afterAutospacing="0"/>
              <w:ind w:left="0" w:leftChars="0" w:right="0" w:rightChars="0"/>
              <w:jc w:val="center"/>
              <w:rPr>
                <w:rFonts w:hint="default" w:ascii="Times New Roman" w:hAnsi="Times New Roman" w:eastAsia="宋体" w:cs="Times New Roman"/>
                <w:color w:val="auto"/>
                <w:kern w:val="2"/>
                <w:sz w:val="21"/>
                <w:szCs w:val="21"/>
                <w:lang w:val="en-US" w:eastAsia="zh-CN" w:bidi="ar-SA"/>
              </w:rPr>
            </w:pPr>
            <w:r>
              <w:rPr>
                <w:rFonts w:hint="eastAsia" w:ascii="Times New Roman" w:hAnsi="Times New Roman" w:eastAsia="宋体" w:cs="Times New Roman"/>
                <w:color w:val="auto"/>
                <w:kern w:val="2"/>
                <w:sz w:val="21"/>
                <w:szCs w:val="21"/>
                <w:lang w:val="en-US" w:eastAsia="zh-CN" w:bidi="ar"/>
              </w:rPr>
              <w:t>+0.679</w:t>
            </w:r>
          </w:p>
        </w:tc>
      </w:tr>
      <w:tr w14:paraId="03F3C4B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40" w:hRule="atLeast"/>
          <w:jc w:val="center"/>
        </w:trPr>
        <w:tc>
          <w:tcPr>
            <w:tcW w:w="228" w:type="pct"/>
            <w:vMerge w:val="continue"/>
            <w:vAlign w:val="center"/>
          </w:tcPr>
          <w:p w14:paraId="75EA7C73">
            <w:pPr>
              <w:keepNext w:val="0"/>
              <w:keepLines w:val="0"/>
              <w:suppressLineNumbers w:val="0"/>
              <w:wordWrap w:val="0"/>
              <w:spacing w:before="0" w:beforeAutospacing="0" w:after="0" w:afterAutospacing="0"/>
              <w:ind w:left="0" w:right="0"/>
              <w:jc w:val="center"/>
              <w:rPr>
                <w:rFonts w:hint="default" w:ascii="Times New Roman" w:hAnsi="Times New Roman" w:eastAsia="宋体" w:cs="Times New Roman"/>
                <w:color w:val="auto"/>
                <w:szCs w:val="21"/>
              </w:rPr>
            </w:pPr>
          </w:p>
        </w:tc>
        <w:tc>
          <w:tcPr>
            <w:tcW w:w="622" w:type="pct"/>
            <w:tcMar>
              <w:top w:w="0" w:type="dxa"/>
              <w:left w:w="108" w:type="dxa"/>
              <w:bottom w:w="0" w:type="dxa"/>
              <w:right w:w="108" w:type="dxa"/>
            </w:tcMar>
            <w:vAlign w:val="center"/>
          </w:tcPr>
          <w:p w14:paraId="325DC239">
            <w:pPr>
              <w:keepNext w:val="0"/>
              <w:keepLines w:val="0"/>
              <w:suppressLineNumbers w:val="0"/>
              <w:wordWrap w:val="0"/>
              <w:spacing w:before="0" w:beforeAutospacing="0" w:after="0" w:afterAutospacing="0"/>
              <w:ind w:left="0" w:right="0"/>
              <w:jc w:val="center"/>
              <w:rPr>
                <w:rFonts w:hint="default" w:ascii="Times New Roman" w:hAnsi="Times New Roman" w:eastAsia="宋体" w:cs="Times New Roman"/>
                <w:color w:val="auto"/>
                <w:szCs w:val="21"/>
                <w:lang w:val="en-US" w:eastAsia="zh-CN"/>
              </w:rPr>
            </w:pPr>
            <w:r>
              <w:rPr>
                <w:rFonts w:hint="default" w:ascii="Times New Roman" w:hAnsi="Times New Roman" w:eastAsia="宋体" w:cs="Times New Roman"/>
                <w:color w:val="auto"/>
                <w:szCs w:val="21"/>
                <w:lang w:val="en-US" w:eastAsia="zh-CN"/>
              </w:rPr>
              <w:t>废布袋</w:t>
            </w:r>
          </w:p>
        </w:tc>
        <w:tc>
          <w:tcPr>
            <w:tcW w:w="636" w:type="pct"/>
            <w:tcMar>
              <w:top w:w="0" w:type="dxa"/>
              <w:left w:w="108" w:type="dxa"/>
              <w:bottom w:w="0" w:type="dxa"/>
              <w:right w:w="108" w:type="dxa"/>
            </w:tcMar>
            <w:vAlign w:val="center"/>
          </w:tcPr>
          <w:p w14:paraId="1342AD0D">
            <w:pPr>
              <w:keepNext w:val="0"/>
              <w:keepLines w:val="0"/>
              <w:suppressLineNumbers w:val="0"/>
              <w:tabs>
                <w:tab w:val="left" w:pos="4830"/>
              </w:tabs>
              <w:spacing w:before="0" w:beforeAutospacing="0" w:after="0" w:afterAutospacing="0"/>
              <w:ind w:left="0" w:right="0"/>
              <w:jc w:val="center"/>
              <w:rPr>
                <w:rFonts w:hint="eastAsia" w:ascii="Times New Roman" w:hAnsi="Times New Roman" w:eastAsia="宋体" w:cs="Times New Roman"/>
                <w:color w:val="auto"/>
                <w:szCs w:val="21"/>
                <w:lang w:val="en-US" w:eastAsia="zh-CN"/>
              </w:rPr>
            </w:pPr>
            <w:r>
              <w:rPr>
                <w:rFonts w:hint="eastAsia" w:ascii="Times New Roman" w:hAnsi="Times New Roman" w:eastAsia="宋体" w:cs="Times New Roman"/>
                <w:color w:val="auto"/>
                <w:szCs w:val="21"/>
                <w:lang w:val="en-US" w:eastAsia="zh-CN"/>
              </w:rPr>
              <w:t>0（0）</w:t>
            </w:r>
          </w:p>
        </w:tc>
        <w:tc>
          <w:tcPr>
            <w:tcW w:w="416" w:type="pct"/>
            <w:tcMar>
              <w:top w:w="0" w:type="dxa"/>
              <w:left w:w="108" w:type="dxa"/>
              <w:bottom w:w="0" w:type="dxa"/>
              <w:right w:w="108" w:type="dxa"/>
            </w:tcMar>
            <w:vAlign w:val="center"/>
          </w:tcPr>
          <w:p w14:paraId="0AFB89EA">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r>
              <w:rPr>
                <w:rFonts w:hint="eastAsia" w:ascii="Times New Roman" w:hAnsi="Times New Roman" w:eastAsia="宋体" w:cs="Times New Roman"/>
                <w:color w:val="auto"/>
                <w:szCs w:val="21"/>
              </w:rPr>
              <w:t>0</w:t>
            </w:r>
          </w:p>
        </w:tc>
        <w:tc>
          <w:tcPr>
            <w:tcW w:w="642" w:type="pct"/>
            <w:tcMar>
              <w:top w:w="0" w:type="dxa"/>
              <w:left w:w="108" w:type="dxa"/>
              <w:bottom w:w="0" w:type="dxa"/>
              <w:right w:w="108" w:type="dxa"/>
            </w:tcMar>
            <w:vAlign w:val="center"/>
          </w:tcPr>
          <w:p w14:paraId="7D10D5CF">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rPr>
              <w:t>/</w:t>
            </w:r>
          </w:p>
        </w:tc>
        <w:tc>
          <w:tcPr>
            <w:tcW w:w="641" w:type="pct"/>
            <w:shd w:val="clear" w:color="auto" w:fill="auto"/>
            <w:tcMar>
              <w:top w:w="0" w:type="dxa"/>
              <w:left w:w="108" w:type="dxa"/>
              <w:bottom w:w="0" w:type="dxa"/>
              <w:right w:w="108" w:type="dxa"/>
            </w:tcMar>
            <w:vAlign w:val="center"/>
          </w:tcPr>
          <w:p w14:paraId="6B5494BC">
            <w:pPr>
              <w:keepNext w:val="0"/>
              <w:keepLines w:val="0"/>
              <w:widowControl w:val="0"/>
              <w:suppressLineNumbers w:val="0"/>
              <w:spacing w:before="0" w:beforeAutospacing="0" w:after="0" w:afterAutospacing="0"/>
              <w:ind w:left="0" w:leftChars="0" w:right="0" w:rightChars="0"/>
              <w:jc w:val="center"/>
              <w:rPr>
                <w:rFonts w:hint="eastAsia" w:ascii="Times New Roman" w:hAnsi="Times New Roman" w:eastAsia="宋体" w:cs="Times New Roman"/>
                <w:color w:val="0000E1"/>
                <w:kern w:val="2"/>
                <w:sz w:val="21"/>
                <w:szCs w:val="21"/>
                <w:lang w:val="en-US" w:eastAsia="zh-CN" w:bidi="ar-SA"/>
              </w:rPr>
            </w:pPr>
            <w:r>
              <w:rPr>
                <w:rFonts w:hint="eastAsia" w:ascii="Times New Roman" w:hAnsi="Times New Roman" w:eastAsia="宋体" w:cs="Times New Roman"/>
                <w:color w:val="0000E1"/>
                <w:kern w:val="2"/>
                <w:sz w:val="21"/>
                <w:szCs w:val="21"/>
                <w:lang w:val="en-US" w:eastAsia="zh-CN" w:bidi="ar"/>
              </w:rPr>
              <w:t>0（0.096）</w:t>
            </w:r>
          </w:p>
        </w:tc>
        <w:tc>
          <w:tcPr>
            <w:tcW w:w="571" w:type="pct"/>
            <w:tcMar>
              <w:top w:w="0" w:type="dxa"/>
              <w:left w:w="108" w:type="dxa"/>
              <w:bottom w:w="0" w:type="dxa"/>
              <w:right w:w="108" w:type="dxa"/>
            </w:tcMar>
            <w:vAlign w:val="center"/>
          </w:tcPr>
          <w:p w14:paraId="2C0DFCD7">
            <w:pPr>
              <w:keepNext w:val="0"/>
              <w:keepLines w:val="0"/>
              <w:suppressLineNumbers w:val="0"/>
              <w:spacing w:before="0" w:beforeAutospacing="0" w:after="0" w:afterAutospacing="0"/>
              <w:ind w:left="0" w:right="0"/>
              <w:jc w:val="center"/>
              <w:rPr>
                <w:rFonts w:hint="eastAsia" w:ascii="Times New Roman" w:hAnsi="Times New Roman" w:eastAsia="宋体" w:cs="Times New Roman"/>
                <w:color w:val="0000E1"/>
                <w:szCs w:val="21"/>
                <w:lang w:val="en-US" w:eastAsia="zh-CN"/>
              </w:rPr>
            </w:pPr>
            <w:r>
              <w:rPr>
                <w:rFonts w:hint="eastAsia" w:ascii="Times New Roman" w:hAnsi="Times New Roman" w:eastAsia="宋体" w:cs="Times New Roman"/>
                <w:color w:val="0000E1"/>
                <w:szCs w:val="21"/>
                <w:lang w:val="en-US" w:eastAsia="zh-CN"/>
              </w:rPr>
              <w:t>0</w:t>
            </w:r>
          </w:p>
        </w:tc>
        <w:tc>
          <w:tcPr>
            <w:tcW w:w="753" w:type="pct"/>
            <w:tcMar>
              <w:top w:w="0" w:type="dxa"/>
              <w:left w:w="108" w:type="dxa"/>
              <w:bottom w:w="0" w:type="dxa"/>
              <w:right w:w="108" w:type="dxa"/>
            </w:tcMar>
            <w:vAlign w:val="center"/>
          </w:tcPr>
          <w:p w14:paraId="2A12E613">
            <w:pPr>
              <w:keepNext w:val="0"/>
              <w:keepLines w:val="0"/>
              <w:suppressLineNumbers w:val="0"/>
              <w:tabs>
                <w:tab w:val="left" w:pos="4830"/>
              </w:tabs>
              <w:spacing w:before="0" w:beforeAutospacing="0" w:after="0" w:afterAutospacing="0"/>
              <w:ind w:left="0" w:right="0"/>
              <w:jc w:val="center"/>
              <w:rPr>
                <w:rFonts w:hint="eastAsia" w:ascii="Times New Roman" w:hAnsi="Times New Roman" w:eastAsia="宋体" w:cs="Times New Roman"/>
                <w:color w:val="0000E1"/>
                <w:szCs w:val="21"/>
                <w:lang w:val="en-US" w:eastAsia="zh-CN"/>
              </w:rPr>
            </w:pPr>
            <w:r>
              <w:rPr>
                <w:rFonts w:hint="default" w:ascii="Times New Roman" w:hAnsi="Times New Roman" w:eastAsia="宋体" w:cs="Times New Roman"/>
                <w:color w:val="0000E1"/>
                <w:szCs w:val="21"/>
                <w:lang w:val="en-US" w:eastAsia="zh-CN"/>
              </w:rPr>
              <w:t>0（</w:t>
            </w:r>
            <w:r>
              <w:rPr>
                <w:rFonts w:hint="eastAsia" w:ascii="Times New Roman" w:hAnsi="Times New Roman" w:eastAsia="宋体" w:cs="Times New Roman"/>
                <w:color w:val="0000E1"/>
                <w:szCs w:val="21"/>
                <w:lang w:val="en-US" w:eastAsia="zh-CN"/>
              </w:rPr>
              <w:t>0.096</w:t>
            </w:r>
            <w:r>
              <w:rPr>
                <w:rFonts w:hint="default" w:ascii="Times New Roman" w:hAnsi="Times New Roman" w:eastAsia="宋体" w:cs="Times New Roman"/>
                <w:color w:val="0000E1"/>
                <w:szCs w:val="21"/>
                <w:lang w:val="en-US" w:eastAsia="zh-CN"/>
              </w:rPr>
              <w:t>）</w:t>
            </w:r>
          </w:p>
        </w:tc>
        <w:tc>
          <w:tcPr>
            <w:tcW w:w="486" w:type="pct"/>
            <w:shd w:val="clear" w:color="auto" w:fill="auto"/>
            <w:tcMar>
              <w:top w:w="0" w:type="dxa"/>
              <w:left w:w="108" w:type="dxa"/>
              <w:bottom w:w="0" w:type="dxa"/>
              <w:right w:w="108" w:type="dxa"/>
            </w:tcMar>
            <w:vAlign w:val="center"/>
          </w:tcPr>
          <w:p w14:paraId="477FC7AB">
            <w:pPr>
              <w:keepNext w:val="0"/>
              <w:keepLines w:val="0"/>
              <w:widowControl w:val="0"/>
              <w:suppressLineNumbers w:val="0"/>
              <w:spacing w:before="0" w:beforeAutospacing="0" w:after="0" w:afterAutospacing="0"/>
              <w:ind w:left="0" w:leftChars="0" w:right="0" w:rightChars="0"/>
              <w:jc w:val="center"/>
              <w:rPr>
                <w:rFonts w:hint="default" w:ascii="Times New Roman" w:hAnsi="Times New Roman" w:eastAsia="宋体" w:cs="Times New Roman"/>
                <w:color w:val="0000E1"/>
                <w:kern w:val="2"/>
                <w:sz w:val="21"/>
                <w:szCs w:val="21"/>
                <w:lang w:val="en-US" w:eastAsia="zh-CN" w:bidi="ar-SA"/>
              </w:rPr>
            </w:pPr>
            <w:r>
              <w:rPr>
                <w:rFonts w:hint="eastAsia" w:ascii="Times New Roman" w:hAnsi="Times New Roman" w:eastAsia="宋体" w:cs="Times New Roman"/>
                <w:color w:val="0000E1"/>
                <w:kern w:val="2"/>
                <w:sz w:val="21"/>
                <w:szCs w:val="21"/>
                <w:lang w:val="en-US" w:eastAsia="zh-CN" w:bidi="ar"/>
              </w:rPr>
              <w:t>+0.096</w:t>
            </w:r>
          </w:p>
        </w:tc>
      </w:tr>
      <w:tr w14:paraId="3B0E378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40" w:hRule="atLeast"/>
          <w:jc w:val="center"/>
        </w:trPr>
        <w:tc>
          <w:tcPr>
            <w:tcW w:w="228" w:type="pct"/>
            <w:vMerge w:val="continue"/>
            <w:vAlign w:val="center"/>
          </w:tcPr>
          <w:p w14:paraId="5AC61ECA">
            <w:pPr>
              <w:keepNext w:val="0"/>
              <w:keepLines w:val="0"/>
              <w:suppressLineNumbers w:val="0"/>
              <w:wordWrap w:val="0"/>
              <w:spacing w:before="0" w:beforeAutospacing="0" w:after="0" w:afterAutospacing="0"/>
              <w:ind w:left="0" w:right="0"/>
              <w:jc w:val="center"/>
              <w:rPr>
                <w:rFonts w:hint="default" w:ascii="Times New Roman" w:hAnsi="Times New Roman" w:eastAsia="宋体" w:cs="Times New Roman"/>
                <w:color w:val="auto"/>
                <w:szCs w:val="21"/>
              </w:rPr>
            </w:pPr>
          </w:p>
        </w:tc>
        <w:tc>
          <w:tcPr>
            <w:tcW w:w="622" w:type="pct"/>
            <w:tcMar>
              <w:top w:w="0" w:type="dxa"/>
              <w:left w:w="108" w:type="dxa"/>
              <w:bottom w:w="0" w:type="dxa"/>
              <w:right w:w="108" w:type="dxa"/>
            </w:tcMar>
            <w:vAlign w:val="center"/>
          </w:tcPr>
          <w:p w14:paraId="0690138E">
            <w:pPr>
              <w:keepNext w:val="0"/>
              <w:keepLines w:val="0"/>
              <w:suppressLineNumbers w:val="0"/>
              <w:wordWrap w:val="0"/>
              <w:spacing w:before="0" w:beforeAutospacing="0" w:after="0" w:afterAutospacing="0"/>
              <w:ind w:left="0" w:right="0"/>
              <w:jc w:val="center"/>
              <w:rPr>
                <w:rFonts w:hint="default" w:ascii="Times New Roman" w:hAnsi="Times New Roman" w:eastAsia="宋体" w:cs="Times New Roman"/>
                <w:color w:val="0000E1"/>
                <w:szCs w:val="21"/>
                <w:lang w:val="en-US" w:eastAsia="zh-CN"/>
              </w:rPr>
            </w:pPr>
            <w:r>
              <w:rPr>
                <w:rFonts w:hint="default" w:ascii="Times New Roman" w:hAnsi="Times New Roman" w:eastAsia="宋体" w:cs="Times New Roman"/>
                <w:color w:val="0000E1"/>
                <w:szCs w:val="21"/>
                <w:lang w:val="en-US" w:eastAsia="zh-CN"/>
              </w:rPr>
              <w:t>废滤筒</w:t>
            </w:r>
          </w:p>
        </w:tc>
        <w:tc>
          <w:tcPr>
            <w:tcW w:w="636" w:type="pct"/>
            <w:shd w:val="clear" w:color="auto" w:fill="auto"/>
            <w:tcMar>
              <w:top w:w="0" w:type="dxa"/>
              <w:left w:w="108" w:type="dxa"/>
              <w:bottom w:w="0" w:type="dxa"/>
              <w:right w:w="108" w:type="dxa"/>
            </w:tcMar>
            <w:vAlign w:val="center"/>
          </w:tcPr>
          <w:p w14:paraId="030E3D0D">
            <w:pPr>
              <w:keepNext w:val="0"/>
              <w:keepLines w:val="0"/>
              <w:suppressLineNumbers w:val="0"/>
              <w:tabs>
                <w:tab w:val="left" w:pos="4830"/>
              </w:tabs>
              <w:spacing w:before="0" w:beforeAutospacing="0" w:after="0" w:afterAutospacing="0"/>
              <w:ind w:left="0" w:leftChars="0" w:right="0" w:rightChars="0"/>
              <w:jc w:val="center"/>
              <w:rPr>
                <w:rFonts w:hint="eastAsia" w:ascii="Times New Roman" w:hAnsi="Times New Roman" w:eastAsia="宋体" w:cs="Times New Roman"/>
                <w:color w:val="0000E1"/>
                <w:kern w:val="2"/>
                <w:sz w:val="21"/>
                <w:szCs w:val="21"/>
                <w:lang w:val="en-US" w:eastAsia="zh-CN" w:bidi="ar-SA"/>
              </w:rPr>
            </w:pPr>
            <w:r>
              <w:rPr>
                <w:rFonts w:hint="eastAsia" w:ascii="Times New Roman" w:hAnsi="Times New Roman" w:eastAsia="宋体" w:cs="Times New Roman"/>
                <w:color w:val="0000E1"/>
                <w:szCs w:val="21"/>
                <w:lang w:val="en-US" w:eastAsia="zh-CN"/>
              </w:rPr>
              <w:t>0（0）</w:t>
            </w:r>
          </w:p>
        </w:tc>
        <w:tc>
          <w:tcPr>
            <w:tcW w:w="416" w:type="pct"/>
            <w:shd w:val="clear" w:color="auto" w:fill="auto"/>
            <w:tcMar>
              <w:top w:w="0" w:type="dxa"/>
              <w:left w:w="108" w:type="dxa"/>
              <w:bottom w:w="0" w:type="dxa"/>
              <w:right w:w="108" w:type="dxa"/>
            </w:tcMar>
            <w:vAlign w:val="center"/>
          </w:tcPr>
          <w:p w14:paraId="408F85B2">
            <w:pPr>
              <w:keepNext w:val="0"/>
              <w:keepLines w:val="0"/>
              <w:suppressLineNumbers w:val="0"/>
              <w:spacing w:before="0" w:beforeAutospacing="0" w:after="0" w:afterAutospacing="0"/>
              <w:ind w:left="0" w:leftChars="0" w:right="0" w:rightChars="0"/>
              <w:jc w:val="center"/>
              <w:rPr>
                <w:rFonts w:hint="eastAsia" w:ascii="Times New Roman" w:hAnsi="Times New Roman" w:eastAsia="宋体" w:cs="Times New Roman"/>
                <w:color w:val="0000E1"/>
                <w:kern w:val="2"/>
                <w:sz w:val="21"/>
                <w:szCs w:val="21"/>
                <w:lang w:val="en-US" w:eastAsia="zh-CN" w:bidi="ar-SA"/>
              </w:rPr>
            </w:pPr>
            <w:r>
              <w:rPr>
                <w:rFonts w:hint="eastAsia" w:ascii="Times New Roman" w:hAnsi="Times New Roman" w:eastAsia="宋体" w:cs="Times New Roman"/>
                <w:color w:val="0000E1"/>
                <w:szCs w:val="21"/>
              </w:rPr>
              <w:t>0</w:t>
            </w:r>
          </w:p>
        </w:tc>
        <w:tc>
          <w:tcPr>
            <w:tcW w:w="642" w:type="pct"/>
            <w:shd w:val="clear" w:color="auto" w:fill="auto"/>
            <w:tcMar>
              <w:top w:w="0" w:type="dxa"/>
              <w:left w:w="108" w:type="dxa"/>
              <w:bottom w:w="0" w:type="dxa"/>
              <w:right w:w="108" w:type="dxa"/>
            </w:tcMar>
            <w:vAlign w:val="center"/>
          </w:tcPr>
          <w:p w14:paraId="0BE3B2DD">
            <w:pPr>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color w:val="0000E1"/>
                <w:kern w:val="2"/>
                <w:sz w:val="21"/>
                <w:szCs w:val="21"/>
                <w:lang w:val="en-US" w:eastAsia="zh-CN" w:bidi="ar-SA"/>
              </w:rPr>
            </w:pPr>
            <w:r>
              <w:rPr>
                <w:rFonts w:hint="default" w:ascii="Times New Roman" w:hAnsi="Times New Roman" w:eastAsia="宋体" w:cs="Times New Roman"/>
                <w:color w:val="0000E1"/>
                <w:szCs w:val="21"/>
              </w:rPr>
              <w:t>/</w:t>
            </w:r>
          </w:p>
        </w:tc>
        <w:tc>
          <w:tcPr>
            <w:tcW w:w="641" w:type="pct"/>
            <w:shd w:val="clear" w:color="auto" w:fill="auto"/>
            <w:tcMar>
              <w:top w:w="0" w:type="dxa"/>
              <w:left w:w="108" w:type="dxa"/>
              <w:bottom w:w="0" w:type="dxa"/>
              <w:right w:w="108" w:type="dxa"/>
            </w:tcMar>
            <w:vAlign w:val="center"/>
          </w:tcPr>
          <w:p w14:paraId="073EABDB">
            <w:pPr>
              <w:keepNext w:val="0"/>
              <w:keepLines w:val="0"/>
              <w:widowControl w:val="0"/>
              <w:suppressLineNumbers w:val="0"/>
              <w:spacing w:before="0" w:beforeAutospacing="0" w:after="0" w:afterAutospacing="0"/>
              <w:ind w:left="0" w:leftChars="0" w:right="0" w:rightChars="0"/>
              <w:jc w:val="center"/>
              <w:rPr>
                <w:rFonts w:hint="default" w:ascii="Times New Roman" w:hAnsi="Times New Roman" w:eastAsia="宋体" w:cs="Times New Roman"/>
                <w:color w:val="0000E1"/>
                <w:kern w:val="2"/>
                <w:sz w:val="21"/>
                <w:szCs w:val="21"/>
                <w:lang w:val="en-US" w:eastAsia="zh-CN" w:bidi="ar"/>
              </w:rPr>
            </w:pPr>
            <w:r>
              <w:rPr>
                <w:rFonts w:hint="eastAsia" w:ascii="Times New Roman" w:hAnsi="Times New Roman" w:eastAsia="宋体" w:cs="Times New Roman"/>
                <w:color w:val="0000E1"/>
                <w:kern w:val="2"/>
                <w:sz w:val="21"/>
                <w:szCs w:val="21"/>
                <w:lang w:val="en-US" w:eastAsia="zh-CN" w:bidi="ar"/>
              </w:rPr>
              <w:t>0（0.04）</w:t>
            </w:r>
          </w:p>
        </w:tc>
        <w:tc>
          <w:tcPr>
            <w:tcW w:w="571" w:type="pct"/>
            <w:tcMar>
              <w:top w:w="0" w:type="dxa"/>
              <w:left w:w="108" w:type="dxa"/>
              <w:bottom w:w="0" w:type="dxa"/>
              <w:right w:w="108" w:type="dxa"/>
            </w:tcMar>
            <w:vAlign w:val="center"/>
          </w:tcPr>
          <w:p w14:paraId="736BE846">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0000E1"/>
                <w:szCs w:val="21"/>
                <w:lang w:val="en-US" w:eastAsia="zh-CN"/>
              </w:rPr>
            </w:pPr>
            <w:r>
              <w:rPr>
                <w:rFonts w:hint="eastAsia" w:ascii="Times New Roman" w:hAnsi="Times New Roman" w:eastAsia="宋体" w:cs="Times New Roman"/>
                <w:color w:val="0000E1"/>
                <w:szCs w:val="21"/>
                <w:lang w:val="en-US" w:eastAsia="zh-CN"/>
              </w:rPr>
              <w:t>0</w:t>
            </w:r>
          </w:p>
        </w:tc>
        <w:tc>
          <w:tcPr>
            <w:tcW w:w="753" w:type="pct"/>
            <w:tcMar>
              <w:top w:w="0" w:type="dxa"/>
              <w:left w:w="108" w:type="dxa"/>
              <w:bottom w:w="0" w:type="dxa"/>
              <w:right w:w="108" w:type="dxa"/>
            </w:tcMar>
            <w:vAlign w:val="center"/>
          </w:tcPr>
          <w:p w14:paraId="137C9C00">
            <w:pPr>
              <w:keepNext w:val="0"/>
              <w:keepLines w:val="0"/>
              <w:suppressLineNumbers w:val="0"/>
              <w:tabs>
                <w:tab w:val="left" w:pos="4830"/>
              </w:tabs>
              <w:spacing w:before="0" w:beforeAutospacing="0" w:after="0" w:afterAutospacing="0"/>
              <w:ind w:left="0" w:right="0"/>
              <w:jc w:val="center"/>
              <w:rPr>
                <w:rFonts w:hint="default" w:ascii="Times New Roman" w:hAnsi="Times New Roman" w:eastAsia="宋体" w:cs="Times New Roman"/>
                <w:color w:val="0000E1"/>
                <w:szCs w:val="21"/>
                <w:lang w:val="en-US" w:eastAsia="zh-CN"/>
              </w:rPr>
            </w:pPr>
            <w:r>
              <w:rPr>
                <w:rFonts w:hint="default" w:ascii="Times New Roman" w:hAnsi="Times New Roman" w:eastAsia="宋体" w:cs="Times New Roman"/>
                <w:color w:val="0000E1"/>
                <w:szCs w:val="21"/>
                <w:lang w:val="en-US" w:eastAsia="zh-CN"/>
              </w:rPr>
              <w:t>0（0.04）</w:t>
            </w:r>
          </w:p>
        </w:tc>
        <w:tc>
          <w:tcPr>
            <w:tcW w:w="486" w:type="pct"/>
            <w:shd w:val="clear" w:color="auto" w:fill="auto"/>
            <w:tcMar>
              <w:top w:w="0" w:type="dxa"/>
              <w:left w:w="108" w:type="dxa"/>
              <w:bottom w:w="0" w:type="dxa"/>
              <w:right w:w="108" w:type="dxa"/>
            </w:tcMar>
            <w:vAlign w:val="center"/>
          </w:tcPr>
          <w:p w14:paraId="13E3A512">
            <w:pPr>
              <w:keepNext w:val="0"/>
              <w:keepLines w:val="0"/>
              <w:widowControl w:val="0"/>
              <w:suppressLineNumbers w:val="0"/>
              <w:spacing w:before="0" w:beforeAutospacing="0" w:after="0" w:afterAutospacing="0"/>
              <w:ind w:left="0" w:leftChars="0" w:right="0" w:rightChars="0"/>
              <w:jc w:val="center"/>
              <w:rPr>
                <w:rFonts w:hint="default" w:ascii="Times New Roman" w:hAnsi="Times New Roman" w:eastAsia="宋体" w:cs="Times New Roman"/>
                <w:color w:val="0000E1"/>
                <w:kern w:val="2"/>
                <w:sz w:val="21"/>
                <w:szCs w:val="21"/>
                <w:lang w:val="en-US" w:eastAsia="zh-CN" w:bidi="ar"/>
              </w:rPr>
            </w:pPr>
            <w:r>
              <w:rPr>
                <w:rFonts w:hint="eastAsia" w:ascii="Times New Roman" w:hAnsi="Times New Roman" w:eastAsia="宋体" w:cs="Times New Roman"/>
                <w:color w:val="0000E1"/>
                <w:kern w:val="2"/>
                <w:sz w:val="21"/>
                <w:szCs w:val="21"/>
                <w:lang w:val="en-US" w:eastAsia="zh-CN" w:bidi="ar"/>
              </w:rPr>
              <w:t>+0.04</w:t>
            </w:r>
          </w:p>
        </w:tc>
      </w:tr>
      <w:tr w14:paraId="039ADBE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40" w:hRule="atLeast"/>
          <w:jc w:val="center"/>
        </w:trPr>
        <w:tc>
          <w:tcPr>
            <w:tcW w:w="228" w:type="pct"/>
            <w:vMerge w:val="continue"/>
            <w:vAlign w:val="center"/>
          </w:tcPr>
          <w:p w14:paraId="033DBEE4">
            <w:pPr>
              <w:keepNext w:val="0"/>
              <w:keepLines w:val="0"/>
              <w:suppressLineNumbers w:val="0"/>
              <w:wordWrap w:val="0"/>
              <w:spacing w:before="0" w:beforeAutospacing="0" w:after="0" w:afterAutospacing="0"/>
              <w:ind w:left="0" w:right="0"/>
              <w:jc w:val="center"/>
              <w:rPr>
                <w:rFonts w:hint="default" w:ascii="Times New Roman" w:hAnsi="Times New Roman" w:eastAsia="宋体" w:cs="Times New Roman"/>
                <w:color w:val="auto"/>
                <w:szCs w:val="21"/>
              </w:rPr>
            </w:pPr>
          </w:p>
        </w:tc>
        <w:tc>
          <w:tcPr>
            <w:tcW w:w="622" w:type="pct"/>
            <w:tcMar>
              <w:top w:w="0" w:type="dxa"/>
              <w:left w:w="108" w:type="dxa"/>
              <w:bottom w:w="0" w:type="dxa"/>
              <w:right w:w="108" w:type="dxa"/>
            </w:tcMar>
            <w:vAlign w:val="center"/>
          </w:tcPr>
          <w:p w14:paraId="172D3259">
            <w:pPr>
              <w:keepNext w:val="0"/>
              <w:keepLines w:val="0"/>
              <w:suppressLineNumbers w:val="0"/>
              <w:wordWrap w:val="0"/>
              <w:spacing w:before="0" w:beforeAutospacing="0" w:after="0" w:afterAutospacing="0"/>
              <w:ind w:left="0" w:right="0"/>
              <w:jc w:val="center"/>
              <w:rPr>
                <w:rFonts w:hint="default" w:ascii="Times New Roman" w:hAnsi="Times New Roman" w:eastAsia="宋体" w:cs="Times New Roman"/>
                <w:color w:val="auto"/>
                <w:szCs w:val="21"/>
                <w:lang w:val="en-US" w:eastAsia="zh-CN"/>
              </w:rPr>
            </w:pPr>
            <w:r>
              <w:rPr>
                <w:rFonts w:hint="default" w:ascii="Times New Roman" w:hAnsi="Times New Roman" w:eastAsia="宋体" w:cs="Times New Roman"/>
                <w:color w:val="auto"/>
                <w:szCs w:val="21"/>
                <w:lang w:val="en-US" w:eastAsia="zh-CN"/>
              </w:rPr>
              <w:t>废PE膜</w:t>
            </w:r>
          </w:p>
        </w:tc>
        <w:tc>
          <w:tcPr>
            <w:tcW w:w="636" w:type="pct"/>
            <w:tcMar>
              <w:top w:w="0" w:type="dxa"/>
              <w:left w:w="108" w:type="dxa"/>
              <w:bottom w:w="0" w:type="dxa"/>
              <w:right w:w="108" w:type="dxa"/>
            </w:tcMar>
            <w:vAlign w:val="center"/>
          </w:tcPr>
          <w:p w14:paraId="75AADD56">
            <w:pPr>
              <w:keepNext w:val="0"/>
              <w:keepLines w:val="0"/>
              <w:suppressLineNumbers w:val="0"/>
              <w:tabs>
                <w:tab w:val="left" w:pos="4830"/>
              </w:tabs>
              <w:spacing w:before="0" w:beforeAutospacing="0" w:after="0" w:afterAutospacing="0"/>
              <w:ind w:left="0" w:right="0"/>
              <w:jc w:val="center"/>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lang w:val="en-US" w:eastAsia="zh-CN"/>
              </w:rPr>
              <w:t>0（0.4）</w:t>
            </w:r>
          </w:p>
        </w:tc>
        <w:tc>
          <w:tcPr>
            <w:tcW w:w="416" w:type="pct"/>
            <w:tcMar>
              <w:top w:w="0" w:type="dxa"/>
              <w:left w:w="108" w:type="dxa"/>
              <w:bottom w:w="0" w:type="dxa"/>
              <w:right w:w="108" w:type="dxa"/>
            </w:tcMar>
            <w:vAlign w:val="center"/>
          </w:tcPr>
          <w:p w14:paraId="4178B729">
            <w:pPr>
              <w:keepNext w:val="0"/>
              <w:keepLines w:val="0"/>
              <w:suppressLineNumbers w:val="0"/>
              <w:spacing w:before="0" w:beforeAutospacing="0" w:after="0" w:afterAutospacing="0"/>
              <w:ind w:left="0" w:right="0"/>
              <w:jc w:val="center"/>
              <w:rPr>
                <w:rFonts w:hint="eastAsia" w:ascii="Times New Roman" w:hAnsi="Times New Roman" w:eastAsia="宋体" w:cs="Times New Roman"/>
                <w:color w:val="auto"/>
                <w:szCs w:val="21"/>
              </w:rPr>
            </w:pPr>
            <w:r>
              <w:rPr>
                <w:rFonts w:hint="eastAsia" w:ascii="Times New Roman" w:hAnsi="Times New Roman" w:eastAsia="宋体" w:cs="Times New Roman"/>
                <w:color w:val="auto"/>
                <w:szCs w:val="21"/>
              </w:rPr>
              <w:t>0</w:t>
            </w:r>
          </w:p>
        </w:tc>
        <w:tc>
          <w:tcPr>
            <w:tcW w:w="642" w:type="pct"/>
            <w:tcMar>
              <w:top w:w="0" w:type="dxa"/>
              <w:left w:w="108" w:type="dxa"/>
              <w:bottom w:w="0" w:type="dxa"/>
              <w:right w:w="108" w:type="dxa"/>
            </w:tcMar>
            <w:vAlign w:val="center"/>
          </w:tcPr>
          <w:p w14:paraId="0BFA76E0">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rPr>
              <w:t>/</w:t>
            </w:r>
          </w:p>
        </w:tc>
        <w:tc>
          <w:tcPr>
            <w:tcW w:w="641" w:type="pct"/>
            <w:tcMar>
              <w:top w:w="0" w:type="dxa"/>
              <w:left w:w="108" w:type="dxa"/>
              <w:bottom w:w="0" w:type="dxa"/>
              <w:right w:w="108" w:type="dxa"/>
            </w:tcMar>
            <w:vAlign w:val="center"/>
          </w:tcPr>
          <w:p w14:paraId="3F97037D">
            <w:pPr>
              <w:keepNext w:val="0"/>
              <w:keepLines w:val="0"/>
              <w:suppressLineNumbers w:val="0"/>
              <w:tabs>
                <w:tab w:val="left" w:pos="4830"/>
              </w:tabs>
              <w:spacing w:before="0" w:beforeAutospacing="0" w:after="0" w:afterAutospacing="0"/>
              <w:ind w:left="0" w:right="0"/>
              <w:jc w:val="center"/>
              <w:rPr>
                <w:rFonts w:hint="eastAsia" w:ascii="Times New Roman" w:hAnsi="Times New Roman" w:eastAsia="宋体" w:cs="Times New Roman"/>
                <w:color w:val="auto"/>
                <w:szCs w:val="21"/>
                <w:lang w:val="en-US" w:eastAsia="zh-CN"/>
              </w:rPr>
            </w:pPr>
            <w:r>
              <w:rPr>
                <w:rFonts w:hint="eastAsia" w:ascii="Times New Roman" w:hAnsi="Times New Roman" w:eastAsia="宋体" w:cs="Times New Roman"/>
                <w:color w:val="auto"/>
                <w:szCs w:val="21"/>
                <w:lang w:val="en-US" w:eastAsia="zh-CN"/>
              </w:rPr>
              <w:t>0（0）</w:t>
            </w:r>
          </w:p>
        </w:tc>
        <w:tc>
          <w:tcPr>
            <w:tcW w:w="571" w:type="pct"/>
            <w:tcMar>
              <w:top w:w="0" w:type="dxa"/>
              <w:left w:w="108" w:type="dxa"/>
              <w:bottom w:w="0" w:type="dxa"/>
              <w:right w:w="108" w:type="dxa"/>
            </w:tcMar>
            <w:vAlign w:val="center"/>
          </w:tcPr>
          <w:p w14:paraId="13E9BDE0">
            <w:pPr>
              <w:keepNext w:val="0"/>
              <w:keepLines w:val="0"/>
              <w:suppressLineNumbers w:val="0"/>
              <w:spacing w:before="0" w:beforeAutospacing="0" w:after="0" w:afterAutospacing="0"/>
              <w:ind w:left="0" w:leftChars="0" w:right="0" w:rightChars="0"/>
              <w:jc w:val="center"/>
              <w:rPr>
                <w:rFonts w:hint="eastAsia" w:ascii="Times New Roman" w:hAnsi="Times New Roman" w:eastAsia="宋体" w:cs="Times New Roman"/>
                <w:color w:val="auto"/>
                <w:szCs w:val="21"/>
                <w:lang w:val="en-US" w:eastAsia="zh-CN"/>
              </w:rPr>
            </w:pPr>
            <w:r>
              <w:rPr>
                <w:rFonts w:hint="eastAsia" w:ascii="Times New Roman" w:hAnsi="Times New Roman" w:eastAsia="宋体" w:cs="Times New Roman"/>
                <w:color w:val="auto"/>
                <w:szCs w:val="21"/>
                <w:lang w:val="en-US" w:eastAsia="zh-CN"/>
              </w:rPr>
              <w:t>0</w:t>
            </w:r>
          </w:p>
        </w:tc>
        <w:tc>
          <w:tcPr>
            <w:tcW w:w="753" w:type="pct"/>
            <w:tcMar>
              <w:top w:w="0" w:type="dxa"/>
              <w:left w:w="108" w:type="dxa"/>
              <w:bottom w:w="0" w:type="dxa"/>
              <w:right w:w="108" w:type="dxa"/>
            </w:tcMar>
            <w:vAlign w:val="center"/>
          </w:tcPr>
          <w:p w14:paraId="7BA3233E">
            <w:pPr>
              <w:keepNext w:val="0"/>
              <w:keepLines w:val="0"/>
              <w:suppressLineNumbers w:val="0"/>
              <w:tabs>
                <w:tab w:val="left" w:pos="4830"/>
              </w:tabs>
              <w:spacing w:before="0" w:beforeAutospacing="0" w:after="0" w:afterAutospacing="0"/>
              <w:ind w:left="0" w:right="0"/>
              <w:jc w:val="center"/>
              <w:rPr>
                <w:rFonts w:hint="eastAsia" w:ascii="Times New Roman" w:hAnsi="Times New Roman" w:eastAsia="宋体" w:cs="Times New Roman"/>
                <w:color w:val="auto"/>
                <w:szCs w:val="21"/>
                <w:lang w:val="en-US" w:eastAsia="zh-CN"/>
              </w:rPr>
            </w:pPr>
            <w:r>
              <w:rPr>
                <w:rFonts w:hint="default" w:ascii="Times New Roman" w:hAnsi="Times New Roman" w:eastAsia="宋体" w:cs="Times New Roman"/>
                <w:color w:val="auto"/>
                <w:szCs w:val="21"/>
                <w:lang w:val="en-US" w:eastAsia="zh-CN"/>
              </w:rPr>
              <w:t>0（0.4）</w:t>
            </w:r>
          </w:p>
        </w:tc>
        <w:tc>
          <w:tcPr>
            <w:tcW w:w="486" w:type="pct"/>
            <w:shd w:val="clear" w:color="auto" w:fill="auto"/>
            <w:tcMar>
              <w:top w:w="0" w:type="dxa"/>
              <w:left w:w="108" w:type="dxa"/>
              <w:bottom w:w="0" w:type="dxa"/>
              <w:right w:w="108" w:type="dxa"/>
            </w:tcMar>
            <w:vAlign w:val="center"/>
          </w:tcPr>
          <w:p w14:paraId="19EB0A97">
            <w:pPr>
              <w:keepNext w:val="0"/>
              <w:keepLines w:val="0"/>
              <w:suppressLineNumbers w:val="0"/>
              <w:tabs>
                <w:tab w:val="left" w:pos="4830"/>
              </w:tabs>
              <w:spacing w:before="0" w:beforeAutospacing="0" w:after="0" w:afterAutospacing="0"/>
              <w:ind w:left="0" w:leftChars="0" w:right="0" w:rightChars="0"/>
              <w:jc w:val="center"/>
              <w:rPr>
                <w:rFonts w:hint="eastAsia" w:ascii="Times New Roman" w:hAnsi="Times New Roman" w:eastAsia="宋体" w:cs="Times New Roman"/>
                <w:color w:val="auto"/>
                <w:kern w:val="2"/>
                <w:sz w:val="21"/>
                <w:szCs w:val="21"/>
                <w:lang w:val="en-US" w:eastAsia="zh-CN" w:bidi="ar-SA"/>
              </w:rPr>
            </w:pPr>
            <w:r>
              <w:rPr>
                <w:rFonts w:hint="eastAsia" w:ascii="Times New Roman" w:hAnsi="Times New Roman" w:eastAsia="宋体" w:cs="Times New Roman"/>
                <w:color w:val="auto"/>
                <w:szCs w:val="21"/>
                <w:lang w:val="en-US" w:eastAsia="zh-CN"/>
              </w:rPr>
              <w:t>0</w:t>
            </w:r>
          </w:p>
        </w:tc>
      </w:tr>
      <w:tr w14:paraId="6C3BB6F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40" w:hRule="atLeast"/>
          <w:jc w:val="center"/>
        </w:trPr>
        <w:tc>
          <w:tcPr>
            <w:tcW w:w="228" w:type="pct"/>
            <w:vMerge w:val="continue"/>
            <w:vAlign w:val="center"/>
          </w:tcPr>
          <w:p w14:paraId="2E19D36D">
            <w:pPr>
              <w:keepNext w:val="0"/>
              <w:keepLines w:val="0"/>
              <w:suppressLineNumbers w:val="0"/>
              <w:wordWrap w:val="0"/>
              <w:spacing w:before="0" w:beforeAutospacing="0" w:after="0" w:afterAutospacing="0"/>
              <w:ind w:left="0" w:right="0"/>
              <w:jc w:val="center"/>
              <w:rPr>
                <w:rFonts w:hint="default" w:ascii="Times New Roman" w:hAnsi="Times New Roman" w:eastAsia="宋体" w:cs="Times New Roman"/>
                <w:color w:val="auto"/>
                <w:szCs w:val="21"/>
              </w:rPr>
            </w:pPr>
          </w:p>
        </w:tc>
        <w:tc>
          <w:tcPr>
            <w:tcW w:w="622" w:type="pct"/>
            <w:tcMar>
              <w:top w:w="0" w:type="dxa"/>
              <w:left w:w="108" w:type="dxa"/>
              <w:bottom w:w="0" w:type="dxa"/>
              <w:right w:w="108" w:type="dxa"/>
            </w:tcMar>
            <w:vAlign w:val="center"/>
          </w:tcPr>
          <w:p w14:paraId="5E623D99">
            <w:pPr>
              <w:keepNext w:val="0"/>
              <w:keepLines w:val="0"/>
              <w:suppressLineNumbers w:val="0"/>
              <w:wordWrap w:val="0"/>
              <w:spacing w:before="0" w:beforeAutospacing="0" w:after="0" w:afterAutospacing="0"/>
              <w:ind w:left="0" w:right="0"/>
              <w:jc w:val="center"/>
              <w:rPr>
                <w:rFonts w:hint="default" w:ascii="Times New Roman" w:hAnsi="Times New Roman" w:eastAsia="宋体" w:cs="Times New Roman"/>
                <w:color w:val="auto"/>
                <w:szCs w:val="21"/>
                <w:lang w:val="en-US" w:eastAsia="zh-CN"/>
              </w:rPr>
            </w:pPr>
            <w:r>
              <w:rPr>
                <w:rFonts w:hint="default" w:ascii="Times New Roman" w:hAnsi="Times New Roman" w:eastAsia="宋体" w:cs="Times New Roman"/>
                <w:color w:val="auto"/>
                <w:szCs w:val="21"/>
                <w:lang w:val="en-US" w:eastAsia="zh-CN"/>
              </w:rPr>
              <w:t>收集的粉尘</w:t>
            </w:r>
          </w:p>
        </w:tc>
        <w:tc>
          <w:tcPr>
            <w:tcW w:w="636" w:type="pct"/>
            <w:tcMar>
              <w:top w:w="0" w:type="dxa"/>
              <w:left w:w="108" w:type="dxa"/>
              <w:bottom w:w="0" w:type="dxa"/>
              <w:right w:w="108" w:type="dxa"/>
            </w:tcMar>
            <w:vAlign w:val="center"/>
          </w:tcPr>
          <w:p w14:paraId="119F034C">
            <w:pPr>
              <w:keepNext w:val="0"/>
              <w:keepLines w:val="0"/>
              <w:suppressLineNumbers w:val="0"/>
              <w:tabs>
                <w:tab w:val="left" w:pos="4830"/>
              </w:tabs>
              <w:spacing w:before="0" w:beforeAutospacing="0" w:after="0" w:afterAutospacing="0"/>
              <w:ind w:left="0" w:right="0"/>
              <w:jc w:val="center"/>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lang w:val="en-US" w:eastAsia="zh-CN"/>
              </w:rPr>
              <w:t>0（50.252）</w:t>
            </w:r>
          </w:p>
        </w:tc>
        <w:tc>
          <w:tcPr>
            <w:tcW w:w="416" w:type="pct"/>
            <w:tcMar>
              <w:top w:w="0" w:type="dxa"/>
              <w:left w:w="108" w:type="dxa"/>
              <w:bottom w:w="0" w:type="dxa"/>
              <w:right w:w="108" w:type="dxa"/>
            </w:tcMar>
            <w:vAlign w:val="center"/>
          </w:tcPr>
          <w:p w14:paraId="556CB119">
            <w:pPr>
              <w:keepNext w:val="0"/>
              <w:keepLines w:val="0"/>
              <w:suppressLineNumbers w:val="0"/>
              <w:spacing w:before="0" w:beforeAutospacing="0" w:after="0" w:afterAutospacing="0"/>
              <w:ind w:left="0" w:right="0"/>
              <w:jc w:val="center"/>
              <w:rPr>
                <w:rFonts w:hint="eastAsia" w:ascii="Times New Roman" w:hAnsi="Times New Roman" w:eastAsia="宋体" w:cs="Times New Roman"/>
                <w:color w:val="auto"/>
                <w:szCs w:val="21"/>
              </w:rPr>
            </w:pPr>
            <w:r>
              <w:rPr>
                <w:rFonts w:hint="eastAsia" w:ascii="Times New Roman" w:hAnsi="Times New Roman" w:eastAsia="宋体" w:cs="Times New Roman"/>
                <w:color w:val="auto"/>
                <w:szCs w:val="21"/>
              </w:rPr>
              <w:t>0</w:t>
            </w:r>
          </w:p>
        </w:tc>
        <w:tc>
          <w:tcPr>
            <w:tcW w:w="642" w:type="pct"/>
            <w:tcMar>
              <w:top w:w="0" w:type="dxa"/>
              <w:left w:w="108" w:type="dxa"/>
              <w:bottom w:w="0" w:type="dxa"/>
              <w:right w:w="108" w:type="dxa"/>
            </w:tcMar>
            <w:vAlign w:val="center"/>
          </w:tcPr>
          <w:p w14:paraId="7F5DAFA9">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rPr>
              <w:t>/</w:t>
            </w:r>
          </w:p>
        </w:tc>
        <w:tc>
          <w:tcPr>
            <w:tcW w:w="641" w:type="pct"/>
            <w:tcMar>
              <w:top w:w="0" w:type="dxa"/>
              <w:left w:w="108" w:type="dxa"/>
              <w:bottom w:w="0" w:type="dxa"/>
              <w:right w:w="108" w:type="dxa"/>
            </w:tcMar>
            <w:vAlign w:val="center"/>
          </w:tcPr>
          <w:p w14:paraId="04F2AEBC">
            <w:pPr>
              <w:keepNext w:val="0"/>
              <w:keepLines w:val="0"/>
              <w:suppressLineNumbers w:val="0"/>
              <w:tabs>
                <w:tab w:val="left" w:pos="4830"/>
              </w:tabs>
              <w:spacing w:before="0" w:beforeAutospacing="0" w:after="0" w:afterAutospacing="0"/>
              <w:ind w:left="0" w:right="0"/>
              <w:jc w:val="center"/>
              <w:rPr>
                <w:rFonts w:hint="eastAsia" w:ascii="Times New Roman" w:hAnsi="Times New Roman" w:eastAsia="宋体" w:cs="Times New Roman"/>
                <w:color w:val="auto"/>
                <w:szCs w:val="21"/>
              </w:rPr>
            </w:pPr>
            <w:r>
              <w:rPr>
                <w:rFonts w:hint="eastAsia" w:ascii="Times New Roman" w:hAnsi="Times New Roman" w:eastAsia="宋体" w:cs="Times New Roman"/>
                <w:color w:val="00B050"/>
                <w:szCs w:val="21"/>
                <w:lang w:val="en-US" w:eastAsia="zh-CN"/>
              </w:rPr>
              <w:t>0（0.923）</w:t>
            </w:r>
          </w:p>
        </w:tc>
        <w:tc>
          <w:tcPr>
            <w:tcW w:w="571" w:type="pct"/>
            <w:tcMar>
              <w:top w:w="0" w:type="dxa"/>
              <w:left w:w="108" w:type="dxa"/>
              <w:bottom w:w="0" w:type="dxa"/>
              <w:right w:w="108" w:type="dxa"/>
            </w:tcMar>
            <w:vAlign w:val="center"/>
          </w:tcPr>
          <w:p w14:paraId="61B62568">
            <w:pPr>
              <w:keepNext w:val="0"/>
              <w:keepLines w:val="0"/>
              <w:suppressLineNumbers w:val="0"/>
              <w:spacing w:before="0" w:beforeAutospacing="0" w:after="0" w:afterAutospacing="0"/>
              <w:ind w:left="0" w:leftChars="0" w:right="0" w:rightChars="0"/>
              <w:jc w:val="center"/>
              <w:rPr>
                <w:rFonts w:hint="eastAsia" w:ascii="Times New Roman" w:hAnsi="Times New Roman" w:eastAsia="宋体" w:cs="Times New Roman"/>
                <w:color w:val="auto"/>
                <w:szCs w:val="21"/>
                <w:lang w:val="en-US" w:eastAsia="zh-CN"/>
              </w:rPr>
            </w:pPr>
            <w:r>
              <w:rPr>
                <w:rFonts w:hint="eastAsia" w:ascii="Times New Roman" w:hAnsi="Times New Roman" w:eastAsia="宋体" w:cs="Times New Roman"/>
                <w:color w:val="auto"/>
                <w:szCs w:val="21"/>
                <w:lang w:val="en-US" w:eastAsia="zh-CN"/>
              </w:rPr>
              <w:t>0</w:t>
            </w:r>
          </w:p>
        </w:tc>
        <w:tc>
          <w:tcPr>
            <w:tcW w:w="753" w:type="pct"/>
            <w:tcMar>
              <w:top w:w="0" w:type="dxa"/>
              <w:left w:w="108" w:type="dxa"/>
              <w:bottom w:w="0" w:type="dxa"/>
              <w:right w:w="108" w:type="dxa"/>
            </w:tcMar>
            <w:vAlign w:val="center"/>
          </w:tcPr>
          <w:p w14:paraId="1CC39537">
            <w:pPr>
              <w:keepNext w:val="0"/>
              <w:keepLines w:val="0"/>
              <w:suppressLineNumbers w:val="0"/>
              <w:tabs>
                <w:tab w:val="left" w:pos="4830"/>
              </w:tabs>
              <w:spacing w:before="0" w:beforeAutospacing="0" w:after="0" w:afterAutospacing="0"/>
              <w:ind w:left="0" w:right="0"/>
              <w:jc w:val="center"/>
              <w:rPr>
                <w:rFonts w:hint="eastAsia" w:ascii="Times New Roman" w:hAnsi="Times New Roman" w:eastAsia="宋体" w:cs="Times New Roman"/>
                <w:color w:val="auto"/>
                <w:szCs w:val="21"/>
                <w:lang w:val="en-US" w:eastAsia="zh-CN"/>
              </w:rPr>
            </w:pPr>
            <w:r>
              <w:rPr>
                <w:rFonts w:hint="default" w:ascii="Times New Roman" w:hAnsi="Times New Roman" w:eastAsia="宋体" w:cs="Times New Roman"/>
                <w:color w:val="00B050"/>
                <w:szCs w:val="21"/>
                <w:lang w:val="en-US" w:eastAsia="zh-CN"/>
              </w:rPr>
              <w:t>0（</w:t>
            </w:r>
            <w:r>
              <w:rPr>
                <w:rFonts w:hint="eastAsia" w:ascii="Times New Roman" w:hAnsi="Times New Roman" w:eastAsia="宋体" w:cs="Times New Roman"/>
                <w:color w:val="00B050"/>
                <w:szCs w:val="21"/>
                <w:lang w:val="en-US" w:eastAsia="zh-CN"/>
              </w:rPr>
              <w:t>51.175</w:t>
            </w:r>
            <w:r>
              <w:rPr>
                <w:rFonts w:hint="default" w:ascii="Times New Roman" w:hAnsi="Times New Roman" w:eastAsia="宋体" w:cs="Times New Roman"/>
                <w:color w:val="00B050"/>
                <w:szCs w:val="21"/>
                <w:lang w:val="en-US" w:eastAsia="zh-CN"/>
              </w:rPr>
              <w:t>）</w:t>
            </w:r>
          </w:p>
        </w:tc>
        <w:tc>
          <w:tcPr>
            <w:tcW w:w="486" w:type="pct"/>
            <w:shd w:val="clear" w:color="auto" w:fill="auto"/>
            <w:tcMar>
              <w:top w:w="0" w:type="dxa"/>
              <w:left w:w="108" w:type="dxa"/>
              <w:bottom w:w="0" w:type="dxa"/>
              <w:right w:w="108" w:type="dxa"/>
            </w:tcMar>
            <w:vAlign w:val="center"/>
          </w:tcPr>
          <w:p w14:paraId="7F5F904A">
            <w:pPr>
              <w:keepNext w:val="0"/>
              <w:keepLines w:val="0"/>
              <w:suppressLineNumbers w:val="0"/>
              <w:tabs>
                <w:tab w:val="left" w:pos="4830"/>
              </w:tabs>
              <w:spacing w:before="0" w:beforeAutospacing="0" w:after="0" w:afterAutospacing="0"/>
              <w:ind w:left="0" w:leftChars="0" w:right="0" w:rightChars="0"/>
              <w:jc w:val="center"/>
              <w:rPr>
                <w:rFonts w:hint="default" w:ascii="Times New Roman" w:hAnsi="Times New Roman" w:eastAsia="宋体" w:cs="Times New Roman"/>
                <w:color w:val="auto"/>
                <w:kern w:val="2"/>
                <w:sz w:val="21"/>
                <w:szCs w:val="21"/>
                <w:lang w:val="en-US" w:eastAsia="zh-CN" w:bidi="ar-SA"/>
              </w:rPr>
            </w:pPr>
            <w:r>
              <w:rPr>
                <w:rFonts w:hint="eastAsia" w:ascii="Times New Roman" w:hAnsi="Times New Roman" w:eastAsia="宋体" w:cs="Times New Roman"/>
                <w:color w:val="00B050"/>
                <w:szCs w:val="21"/>
                <w:lang w:val="en-US" w:eastAsia="zh-CN"/>
              </w:rPr>
              <w:t>+0.923</w:t>
            </w:r>
          </w:p>
        </w:tc>
      </w:tr>
      <w:tr w14:paraId="6513D3C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40" w:hRule="atLeast"/>
          <w:jc w:val="center"/>
        </w:trPr>
        <w:tc>
          <w:tcPr>
            <w:tcW w:w="228" w:type="pct"/>
            <w:vMerge w:val="restart"/>
            <w:tcMar>
              <w:top w:w="0" w:type="dxa"/>
              <w:left w:w="108" w:type="dxa"/>
              <w:bottom w:w="0" w:type="dxa"/>
              <w:right w:w="108" w:type="dxa"/>
            </w:tcMar>
            <w:vAlign w:val="center"/>
          </w:tcPr>
          <w:p w14:paraId="28C9550F">
            <w:pPr>
              <w:keepNext w:val="0"/>
              <w:keepLines w:val="0"/>
              <w:suppressLineNumbers w:val="0"/>
              <w:wordWrap w:val="0"/>
              <w:spacing w:before="0" w:beforeAutospacing="0" w:after="0" w:afterAutospacing="0"/>
              <w:ind w:left="0" w:right="0"/>
              <w:jc w:val="center"/>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rPr>
              <w:t>危险</w:t>
            </w:r>
          </w:p>
          <w:p w14:paraId="4ED0DE57">
            <w:pPr>
              <w:keepNext w:val="0"/>
              <w:keepLines w:val="0"/>
              <w:suppressLineNumbers w:val="0"/>
              <w:wordWrap w:val="0"/>
              <w:spacing w:before="0" w:beforeAutospacing="0" w:after="0" w:afterAutospacing="0"/>
              <w:ind w:left="0" w:right="0"/>
              <w:jc w:val="center"/>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rPr>
              <w:t>废物</w:t>
            </w:r>
          </w:p>
        </w:tc>
        <w:tc>
          <w:tcPr>
            <w:tcW w:w="622" w:type="pct"/>
            <w:shd w:val="clear" w:color="auto" w:fill="auto"/>
            <w:tcMar>
              <w:top w:w="0" w:type="dxa"/>
              <w:left w:w="108" w:type="dxa"/>
              <w:bottom w:w="0" w:type="dxa"/>
              <w:right w:w="108" w:type="dxa"/>
            </w:tcMar>
            <w:vAlign w:val="center"/>
          </w:tcPr>
          <w:p w14:paraId="3DEE8ACB">
            <w:pPr>
              <w:keepNext w:val="0"/>
              <w:keepLines w:val="0"/>
              <w:widowControl w:val="0"/>
              <w:suppressLineNumbers w:val="0"/>
              <w:spacing w:before="0" w:beforeAutospacing="0" w:after="0" w:afterAutospacing="0"/>
              <w:ind w:left="0" w:leftChars="0" w:right="0" w:rightChars="0"/>
              <w:jc w:val="center"/>
              <w:rPr>
                <w:rFonts w:hint="default" w:ascii="Times New Roman" w:hAnsi="Times New Roman" w:eastAsia="宋体" w:cs="Times New Roman"/>
                <w:color w:val="auto"/>
                <w:kern w:val="2"/>
                <w:sz w:val="21"/>
                <w:szCs w:val="21"/>
                <w:lang w:val="en-US" w:eastAsia="zh-CN" w:bidi="ar-SA"/>
              </w:rPr>
            </w:pPr>
            <w:r>
              <w:rPr>
                <w:rFonts w:hint="eastAsia" w:ascii="宋体" w:hAnsi="宋体" w:eastAsia="宋体" w:cs="宋体"/>
                <w:color w:val="auto"/>
                <w:kern w:val="2"/>
                <w:sz w:val="21"/>
                <w:szCs w:val="21"/>
                <w:lang w:val="en-US" w:eastAsia="zh-CN" w:bidi="ar"/>
              </w:rPr>
              <w:t>破损的废包装桶</w:t>
            </w:r>
          </w:p>
        </w:tc>
        <w:tc>
          <w:tcPr>
            <w:tcW w:w="636" w:type="pct"/>
            <w:tcMar>
              <w:top w:w="0" w:type="dxa"/>
              <w:left w:w="108" w:type="dxa"/>
              <w:bottom w:w="0" w:type="dxa"/>
              <w:right w:w="108" w:type="dxa"/>
            </w:tcMar>
            <w:vAlign w:val="center"/>
          </w:tcPr>
          <w:p w14:paraId="034F69C3">
            <w:pPr>
              <w:keepNext w:val="0"/>
              <w:keepLines w:val="0"/>
              <w:suppressLineNumbers w:val="0"/>
              <w:tabs>
                <w:tab w:val="left" w:pos="4830"/>
              </w:tabs>
              <w:spacing w:before="0" w:beforeAutospacing="0" w:after="0" w:afterAutospacing="0"/>
              <w:ind w:left="0" w:right="0"/>
              <w:jc w:val="center"/>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lang w:val="en-US" w:eastAsia="zh-CN"/>
              </w:rPr>
              <w:t>0（8.447）</w:t>
            </w:r>
          </w:p>
        </w:tc>
        <w:tc>
          <w:tcPr>
            <w:tcW w:w="416" w:type="pct"/>
            <w:tcMar>
              <w:top w:w="0" w:type="dxa"/>
              <w:left w:w="108" w:type="dxa"/>
              <w:bottom w:w="0" w:type="dxa"/>
              <w:right w:w="108" w:type="dxa"/>
            </w:tcMar>
            <w:vAlign w:val="center"/>
          </w:tcPr>
          <w:p w14:paraId="1899136B">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r>
              <w:rPr>
                <w:rFonts w:hint="eastAsia" w:ascii="Times New Roman" w:hAnsi="Times New Roman" w:eastAsia="宋体" w:cs="Times New Roman"/>
                <w:color w:val="auto"/>
                <w:szCs w:val="21"/>
              </w:rPr>
              <w:t>0</w:t>
            </w:r>
          </w:p>
        </w:tc>
        <w:tc>
          <w:tcPr>
            <w:tcW w:w="642" w:type="pct"/>
            <w:tcMar>
              <w:top w:w="0" w:type="dxa"/>
              <w:left w:w="108" w:type="dxa"/>
              <w:bottom w:w="0" w:type="dxa"/>
              <w:right w:w="108" w:type="dxa"/>
            </w:tcMar>
            <w:vAlign w:val="center"/>
          </w:tcPr>
          <w:p w14:paraId="438A9E7B">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rPr>
              <w:t>/</w:t>
            </w:r>
          </w:p>
        </w:tc>
        <w:tc>
          <w:tcPr>
            <w:tcW w:w="641" w:type="pct"/>
            <w:shd w:val="clear" w:color="auto" w:fill="auto"/>
            <w:tcMar>
              <w:top w:w="0" w:type="dxa"/>
              <w:left w:w="108" w:type="dxa"/>
              <w:bottom w:w="0" w:type="dxa"/>
              <w:right w:w="108" w:type="dxa"/>
            </w:tcMar>
            <w:vAlign w:val="center"/>
          </w:tcPr>
          <w:p w14:paraId="37EE9E6A">
            <w:pPr>
              <w:keepNext w:val="0"/>
              <w:keepLines w:val="0"/>
              <w:widowControl w:val="0"/>
              <w:suppressLineNumbers w:val="0"/>
              <w:spacing w:before="0" w:beforeAutospacing="0" w:after="0" w:afterAutospacing="0"/>
              <w:ind w:left="0" w:leftChars="0" w:right="0" w:rightChars="0"/>
              <w:jc w:val="center"/>
              <w:rPr>
                <w:rFonts w:hint="default" w:ascii="Times New Roman" w:hAnsi="Times New Roman" w:eastAsia="宋体" w:cs="Times New Roman"/>
                <w:color w:val="auto"/>
                <w:kern w:val="2"/>
                <w:sz w:val="21"/>
                <w:szCs w:val="21"/>
                <w:lang w:val="en-US" w:eastAsia="zh-CN" w:bidi="ar-SA"/>
              </w:rPr>
            </w:pPr>
            <w:r>
              <w:rPr>
                <w:rFonts w:hint="eastAsia" w:ascii="Times New Roman" w:hAnsi="Times New Roman" w:eastAsia="宋体" w:cs="Times New Roman"/>
                <w:color w:val="auto"/>
                <w:kern w:val="2"/>
                <w:sz w:val="21"/>
                <w:szCs w:val="21"/>
                <w:lang w:val="en-US" w:eastAsia="zh-CN" w:bidi="ar"/>
              </w:rPr>
              <w:t>0（12）</w:t>
            </w:r>
          </w:p>
        </w:tc>
        <w:tc>
          <w:tcPr>
            <w:tcW w:w="571" w:type="pct"/>
            <w:tcMar>
              <w:top w:w="0" w:type="dxa"/>
              <w:left w:w="108" w:type="dxa"/>
              <w:bottom w:w="0" w:type="dxa"/>
              <w:right w:w="108" w:type="dxa"/>
            </w:tcMar>
            <w:vAlign w:val="center"/>
          </w:tcPr>
          <w:p w14:paraId="58401828">
            <w:pPr>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color w:val="auto"/>
                <w:szCs w:val="21"/>
              </w:rPr>
            </w:pPr>
            <w:r>
              <w:rPr>
                <w:rFonts w:hint="eastAsia" w:ascii="Times New Roman" w:hAnsi="Times New Roman" w:eastAsia="宋体" w:cs="Times New Roman"/>
                <w:color w:val="auto"/>
                <w:szCs w:val="21"/>
                <w:lang w:val="en-US" w:eastAsia="zh-CN"/>
              </w:rPr>
              <w:t>0</w:t>
            </w:r>
          </w:p>
        </w:tc>
        <w:tc>
          <w:tcPr>
            <w:tcW w:w="753" w:type="pct"/>
            <w:tcMar>
              <w:top w:w="0" w:type="dxa"/>
              <w:left w:w="108" w:type="dxa"/>
              <w:bottom w:w="0" w:type="dxa"/>
              <w:right w:w="108" w:type="dxa"/>
            </w:tcMar>
            <w:vAlign w:val="center"/>
          </w:tcPr>
          <w:p w14:paraId="2DEB9398">
            <w:pPr>
              <w:keepNext w:val="0"/>
              <w:keepLines w:val="0"/>
              <w:suppressLineNumbers w:val="0"/>
              <w:tabs>
                <w:tab w:val="left" w:pos="4830"/>
              </w:tabs>
              <w:spacing w:before="0" w:beforeAutospacing="0" w:after="0" w:afterAutospacing="0"/>
              <w:ind w:left="0" w:right="0"/>
              <w:jc w:val="center"/>
              <w:rPr>
                <w:rFonts w:hint="default" w:ascii="Times New Roman" w:hAnsi="Times New Roman" w:eastAsia="宋体" w:cs="Times New Roman"/>
                <w:color w:val="auto"/>
                <w:szCs w:val="21"/>
                <w:lang w:val="en-US" w:eastAsia="zh-CN"/>
              </w:rPr>
            </w:pPr>
            <w:r>
              <w:rPr>
                <w:rFonts w:hint="default" w:ascii="Times New Roman" w:hAnsi="Times New Roman" w:eastAsia="宋体" w:cs="Times New Roman"/>
                <w:color w:val="auto"/>
                <w:szCs w:val="21"/>
                <w:lang w:val="en-US" w:eastAsia="zh-CN"/>
              </w:rPr>
              <w:t>0（20.447）</w:t>
            </w:r>
          </w:p>
        </w:tc>
        <w:tc>
          <w:tcPr>
            <w:tcW w:w="486" w:type="pct"/>
            <w:shd w:val="clear" w:color="auto" w:fill="auto"/>
            <w:tcMar>
              <w:top w:w="0" w:type="dxa"/>
              <w:left w:w="108" w:type="dxa"/>
              <w:bottom w:w="0" w:type="dxa"/>
              <w:right w:w="108" w:type="dxa"/>
            </w:tcMar>
            <w:vAlign w:val="center"/>
          </w:tcPr>
          <w:p w14:paraId="4189F89F">
            <w:pPr>
              <w:keepNext w:val="0"/>
              <w:keepLines w:val="0"/>
              <w:widowControl w:val="0"/>
              <w:suppressLineNumbers w:val="0"/>
              <w:spacing w:before="0" w:beforeAutospacing="0" w:after="0" w:afterAutospacing="0"/>
              <w:ind w:left="0" w:leftChars="0" w:right="0" w:rightChars="0"/>
              <w:jc w:val="center"/>
              <w:rPr>
                <w:rFonts w:hint="default" w:ascii="Times New Roman" w:hAnsi="Times New Roman" w:eastAsia="宋体" w:cs="Times New Roman"/>
                <w:color w:val="auto"/>
                <w:kern w:val="2"/>
                <w:sz w:val="21"/>
                <w:szCs w:val="21"/>
                <w:lang w:val="en-US" w:eastAsia="zh-CN" w:bidi="ar-SA"/>
              </w:rPr>
            </w:pPr>
            <w:r>
              <w:rPr>
                <w:rFonts w:hint="eastAsia" w:ascii="Times New Roman" w:hAnsi="Times New Roman" w:eastAsia="宋体" w:cs="Times New Roman"/>
                <w:color w:val="auto"/>
                <w:kern w:val="2"/>
                <w:sz w:val="21"/>
                <w:szCs w:val="21"/>
                <w:lang w:val="en-US" w:eastAsia="zh-CN" w:bidi="ar"/>
              </w:rPr>
              <w:t>+12</w:t>
            </w:r>
          </w:p>
        </w:tc>
      </w:tr>
      <w:tr w14:paraId="774A128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40" w:hRule="atLeast"/>
          <w:jc w:val="center"/>
        </w:trPr>
        <w:tc>
          <w:tcPr>
            <w:tcW w:w="228" w:type="pct"/>
            <w:vMerge w:val="continue"/>
            <w:tcMar>
              <w:top w:w="0" w:type="dxa"/>
              <w:left w:w="108" w:type="dxa"/>
              <w:bottom w:w="0" w:type="dxa"/>
              <w:right w:w="108" w:type="dxa"/>
            </w:tcMar>
            <w:vAlign w:val="center"/>
          </w:tcPr>
          <w:p w14:paraId="44AFBE2D">
            <w:pPr>
              <w:keepNext w:val="0"/>
              <w:keepLines w:val="0"/>
              <w:suppressLineNumbers w:val="0"/>
              <w:wordWrap w:val="0"/>
              <w:spacing w:before="0" w:beforeAutospacing="0" w:after="0" w:afterAutospacing="0"/>
              <w:ind w:left="0" w:right="0"/>
              <w:jc w:val="center"/>
              <w:rPr>
                <w:rFonts w:hint="default" w:ascii="Times New Roman" w:hAnsi="Times New Roman" w:eastAsia="宋体" w:cs="Times New Roman"/>
                <w:color w:val="auto"/>
                <w:szCs w:val="21"/>
              </w:rPr>
            </w:pPr>
          </w:p>
        </w:tc>
        <w:tc>
          <w:tcPr>
            <w:tcW w:w="622" w:type="pct"/>
            <w:shd w:val="clear" w:color="auto" w:fill="auto"/>
            <w:tcMar>
              <w:top w:w="0" w:type="dxa"/>
              <w:left w:w="108" w:type="dxa"/>
              <w:bottom w:w="0" w:type="dxa"/>
              <w:right w:w="108" w:type="dxa"/>
            </w:tcMar>
            <w:vAlign w:val="center"/>
          </w:tcPr>
          <w:p w14:paraId="251F9220">
            <w:pPr>
              <w:keepNext w:val="0"/>
              <w:keepLines w:val="0"/>
              <w:widowControl w:val="0"/>
              <w:suppressLineNumbers w:val="0"/>
              <w:spacing w:before="0" w:beforeAutospacing="0" w:after="0" w:afterAutospacing="0"/>
              <w:ind w:left="0" w:leftChars="0" w:right="0" w:rightChars="0"/>
              <w:jc w:val="center"/>
              <w:rPr>
                <w:rFonts w:hint="default" w:ascii="Times New Roman" w:hAnsi="Times New Roman" w:eastAsia="宋体" w:cs="Times New Roman"/>
                <w:color w:val="auto"/>
                <w:kern w:val="2"/>
                <w:sz w:val="21"/>
                <w:szCs w:val="21"/>
                <w:lang w:val="en-US" w:eastAsia="zh-CN" w:bidi="ar-SA"/>
              </w:rPr>
            </w:pPr>
            <w:r>
              <w:rPr>
                <w:rFonts w:hint="eastAsia" w:ascii="宋体" w:hAnsi="宋体" w:eastAsia="宋体" w:cs="宋体"/>
                <w:color w:val="auto"/>
                <w:kern w:val="2"/>
                <w:sz w:val="21"/>
                <w:szCs w:val="21"/>
                <w:lang w:val="en-US" w:eastAsia="zh-CN" w:bidi="ar"/>
              </w:rPr>
              <w:t>废润滑油</w:t>
            </w:r>
          </w:p>
        </w:tc>
        <w:tc>
          <w:tcPr>
            <w:tcW w:w="636" w:type="pct"/>
            <w:tcMar>
              <w:top w:w="0" w:type="dxa"/>
              <w:left w:w="108" w:type="dxa"/>
              <w:bottom w:w="0" w:type="dxa"/>
              <w:right w:w="108" w:type="dxa"/>
            </w:tcMar>
            <w:vAlign w:val="center"/>
          </w:tcPr>
          <w:p w14:paraId="47359DEE">
            <w:pPr>
              <w:keepNext w:val="0"/>
              <w:keepLines w:val="0"/>
              <w:suppressLineNumbers w:val="0"/>
              <w:tabs>
                <w:tab w:val="left" w:pos="4830"/>
              </w:tabs>
              <w:spacing w:before="0" w:beforeAutospacing="0" w:after="0" w:afterAutospacing="0"/>
              <w:ind w:left="0" w:right="0"/>
              <w:jc w:val="center"/>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lang w:val="en-US" w:eastAsia="zh-CN"/>
              </w:rPr>
              <w:t>0（1.2）</w:t>
            </w:r>
          </w:p>
        </w:tc>
        <w:tc>
          <w:tcPr>
            <w:tcW w:w="416" w:type="pct"/>
            <w:tcMar>
              <w:top w:w="0" w:type="dxa"/>
              <w:left w:w="108" w:type="dxa"/>
              <w:bottom w:w="0" w:type="dxa"/>
              <w:right w:w="108" w:type="dxa"/>
            </w:tcMar>
            <w:vAlign w:val="center"/>
          </w:tcPr>
          <w:p w14:paraId="6EF89829">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r>
              <w:rPr>
                <w:rFonts w:hint="eastAsia" w:ascii="Times New Roman" w:hAnsi="Times New Roman" w:eastAsia="宋体" w:cs="Times New Roman"/>
                <w:color w:val="auto"/>
                <w:szCs w:val="21"/>
              </w:rPr>
              <w:t>0</w:t>
            </w:r>
          </w:p>
        </w:tc>
        <w:tc>
          <w:tcPr>
            <w:tcW w:w="642" w:type="pct"/>
            <w:tcMar>
              <w:top w:w="0" w:type="dxa"/>
              <w:left w:w="108" w:type="dxa"/>
              <w:bottom w:w="0" w:type="dxa"/>
              <w:right w:w="108" w:type="dxa"/>
            </w:tcMar>
            <w:vAlign w:val="center"/>
          </w:tcPr>
          <w:p w14:paraId="51F261E4">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rPr>
              <w:t>/</w:t>
            </w:r>
          </w:p>
        </w:tc>
        <w:tc>
          <w:tcPr>
            <w:tcW w:w="641" w:type="pct"/>
            <w:shd w:val="clear" w:color="auto" w:fill="auto"/>
            <w:tcMar>
              <w:top w:w="0" w:type="dxa"/>
              <w:left w:w="108" w:type="dxa"/>
              <w:bottom w:w="0" w:type="dxa"/>
              <w:right w:w="108" w:type="dxa"/>
            </w:tcMar>
            <w:vAlign w:val="center"/>
          </w:tcPr>
          <w:p w14:paraId="5AA2518D">
            <w:pPr>
              <w:keepNext w:val="0"/>
              <w:keepLines w:val="0"/>
              <w:widowControl w:val="0"/>
              <w:suppressLineNumbers w:val="0"/>
              <w:spacing w:before="0" w:beforeAutospacing="0" w:after="0" w:afterAutospacing="0"/>
              <w:ind w:left="0" w:leftChars="0" w:right="0" w:rightChars="0"/>
              <w:jc w:val="center"/>
              <w:rPr>
                <w:rFonts w:hint="default" w:ascii="Times New Roman" w:hAnsi="Times New Roman" w:eastAsia="宋体" w:cs="Times New Roman"/>
                <w:color w:val="auto"/>
                <w:kern w:val="2"/>
                <w:sz w:val="21"/>
                <w:szCs w:val="21"/>
                <w:lang w:val="en-US" w:eastAsia="zh-CN" w:bidi="ar-SA"/>
              </w:rPr>
            </w:pPr>
            <w:r>
              <w:rPr>
                <w:rFonts w:hint="eastAsia" w:ascii="Times New Roman" w:hAnsi="Times New Roman" w:eastAsia="宋体" w:cs="Times New Roman"/>
                <w:color w:val="auto"/>
                <w:kern w:val="2"/>
                <w:sz w:val="21"/>
                <w:szCs w:val="21"/>
                <w:lang w:val="en-US" w:eastAsia="zh-CN" w:bidi="ar"/>
              </w:rPr>
              <w:t>0（0.08）</w:t>
            </w:r>
          </w:p>
        </w:tc>
        <w:tc>
          <w:tcPr>
            <w:tcW w:w="571" w:type="pct"/>
            <w:tcMar>
              <w:top w:w="0" w:type="dxa"/>
              <w:left w:w="108" w:type="dxa"/>
              <w:bottom w:w="0" w:type="dxa"/>
              <w:right w:w="108" w:type="dxa"/>
            </w:tcMar>
            <w:vAlign w:val="center"/>
          </w:tcPr>
          <w:p w14:paraId="201F7361">
            <w:pPr>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color w:val="auto"/>
                <w:szCs w:val="21"/>
              </w:rPr>
            </w:pPr>
            <w:r>
              <w:rPr>
                <w:rFonts w:hint="eastAsia" w:ascii="Times New Roman" w:hAnsi="Times New Roman" w:eastAsia="宋体" w:cs="Times New Roman"/>
                <w:color w:val="auto"/>
                <w:szCs w:val="21"/>
                <w:lang w:val="en-US" w:eastAsia="zh-CN"/>
              </w:rPr>
              <w:t>0</w:t>
            </w:r>
          </w:p>
        </w:tc>
        <w:tc>
          <w:tcPr>
            <w:tcW w:w="753" w:type="pct"/>
            <w:tcMar>
              <w:top w:w="0" w:type="dxa"/>
              <w:left w:w="108" w:type="dxa"/>
              <w:bottom w:w="0" w:type="dxa"/>
              <w:right w:w="108" w:type="dxa"/>
            </w:tcMar>
            <w:vAlign w:val="center"/>
          </w:tcPr>
          <w:p w14:paraId="719A0BF4">
            <w:pPr>
              <w:keepNext w:val="0"/>
              <w:keepLines w:val="0"/>
              <w:suppressLineNumbers w:val="0"/>
              <w:tabs>
                <w:tab w:val="left" w:pos="4830"/>
              </w:tabs>
              <w:spacing w:before="0" w:beforeAutospacing="0" w:after="0" w:afterAutospacing="0"/>
              <w:ind w:left="0" w:right="0"/>
              <w:jc w:val="center"/>
              <w:rPr>
                <w:rFonts w:hint="default" w:ascii="Times New Roman" w:hAnsi="Times New Roman" w:eastAsia="宋体" w:cs="Times New Roman"/>
                <w:color w:val="auto"/>
                <w:szCs w:val="21"/>
                <w:lang w:val="en-US" w:eastAsia="zh-CN"/>
              </w:rPr>
            </w:pPr>
            <w:r>
              <w:rPr>
                <w:rFonts w:hint="default" w:ascii="Times New Roman" w:hAnsi="Times New Roman" w:eastAsia="宋体" w:cs="Times New Roman"/>
                <w:color w:val="auto"/>
                <w:szCs w:val="21"/>
                <w:lang w:val="en-US" w:eastAsia="zh-CN"/>
              </w:rPr>
              <w:t>0（1.28）</w:t>
            </w:r>
          </w:p>
        </w:tc>
        <w:tc>
          <w:tcPr>
            <w:tcW w:w="486" w:type="pct"/>
            <w:shd w:val="clear" w:color="auto" w:fill="auto"/>
            <w:tcMar>
              <w:top w:w="0" w:type="dxa"/>
              <w:left w:w="108" w:type="dxa"/>
              <w:bottom w:w="0" w:type="dxa"/>
              <w:right w:w="108" w:type="dxa"/>
            </w:tcMar>
            <w:vAlign w:val="center"/>
          </w:tcPr>
          <w:p w14:paraId="3DC986ED">
            <w:pPr>
              <w:keepNext w:val="0"/>
              <w:keepLines w:val="0"/>
              <w:widowControl w:val="0"/>
              <w:suppressLineNumbers w:val="0"/>
              <w:spacing w:before="0" w:beforeAutospacing="0" w:after="0" w:afterAutospacing="0"/>
              <w:ind w:left="0" w:leftChars="0" w:right="0" w:rightChars="0"/>
              <w:jc w:val="center"/>
              <w:rPr>
                <w:rFonts w:hint="default" w:ascii="Times New Roman" w:hAnsi="Times New Roman" w:eastAsia="宋体" w:cs="Times New Roman"/>
                <w:color w:val="auto"/>
                <w:kern w:val="2"/>
                <w:sz w:val="21"/>
                <w:szCs w:val="21"/>
                <w:lang w:val="en-US" w:eastAsia="zh-CN" w:bidi="ar-SA"/>
              </w:rPr>
            </w:pPr>
            <w:r>
              <w:rPr>
                <w:rFonts w:hint="eastAsia" w:ascii="Times New Roman" w:hAnsi="Times New Roman" w:eastAsia="宋体" w:cs="Times New Roman"/>
                <w:color w:val="auto"/>
                <w:kern w:val="2"/>
                <w:sz w:val="21"/>
                <w:szCs w:val="21"/>
                <w:lang w:val="en-US" w:eastAsia="zh-CN" w:bidi="ar"/>
              </w:rPr>
              <w:t>+0.08</w:t>
            </w:r>
          </w:p>
        </w:tc>
      </w:tr>
      <w:tr w14:paraId="2F47115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40" w:hRule="atLeast"/>
          <w:jc w:val="center"/>
        </w:trPr>
        <w:tc>
          <w:tcPr>
            <w:tcW w:w="228" w:type="pct"/>
            <w:vMerge w:val="continue"/>
            <w:tcMar>
              <w:top w:w="0" w:type="dxa"/>
              <w:left w:w="108" w:type="dxa"/>
              <w:bottom w:w="0" w:type="dxa"/>
              <w:right w:w="108" w:type="dxa"/>
            </w:tcMar>
            <w:vAlign w:val="center"/>
          </w:tcPr>
          <w:p w14:paraId="6FB5BC7A">
            <w:pPr>
              <w:keepNext w:val="0"/>
              <w:keepLines w:val="0"/>
              <w:suppressLineNumbers w:val="0"/>
              <w:wordWrap w:val="0"/>
              <w:spacing w:before="0" w:beforeAutospacing="0" w:after="0" w:afterAutospacing="0"/>
              <w:ind w:left="0" w:right="0"/>
              <w:jc w:val="center"/>
              <w:rPr>
                <w:rFonts w:hint="default" w:ascii="Times New Roman" w:hAnsi="Times New Roman" w:eastAsia="宋体" w:cs="Times New Roman"/>
                <w:color w:val="auto"/>
                <w:szCs w:val="21"/>
              </w:rPr>
            </w:pPr>
          </w:p>
        </w:tc>
        <w:tc>
          <w:tcPr>
            <w:tcW w:w="622" w:type="pct"/>
            <w:shd w:val="clear" w:color="auto" w:fill="auto"/>
            <w:tcMar>
              <w:top w:w="0" w:type="dxa"/>
              <w:left w:w="108" w:type="dxa"/>
              <w:bottom w:w="0" w:type="dxa"/>
              <w:right w:w="108" w:type="dxa"/>
            </w:tcMar>
            <w:vAlign w:val="center"/>
          </w:tcPr>
          <w:p w14:paraId="2A0C82D7">
            <w:pPr>
              <w:keepNext w:val="0"/>
              <w:keepLines w:val="0"/>
              <w:widowControl w:val="0"/>
              <w:suppressLineNumbers w:val="0"/>
              <w:spacing w:before="0" w:beforeAutospacing="0" w:after="0" w:afterAutospacing="0"/>
              <w:ind w:left="0" w:leftChars="0" w:right="0" w:rightChars="0"/>
              <w:jc w:val="center"/>
              <w:rPr>
                <w:rFonts w:hint="default" w:ascii="Times New Roman" w:hAnsi="Times New Roman" w:eastAsia="宋体" w:cs="Times New Roman"/>
                <w:color w:val="auto"/>
                <w:kern w:val="2"/>
                <w:sz w:val="21"/>
                <w:szCs w:val="21"/>
                <w:lang w:val="en-US" w:eastAsia="zh-CN" w:bidi="ar-SA"/>
              </w:rPr>
            </w:pPr>
            <w:r>
              <w:rPr>
                <w:rFonts w:hint="eastAsia" w:ascii="宋体" w:hAnsi="宋体" w:eastAsia="宋体" w:cs="宋体"/>
                <w:color w:val="auto"/>
                <w:kern w:val="2"/>
                <w:sz w:val="21"/>
                <w:szCs w:val="21"/>
                <w:lang w:val="en-US" w:eastAsia="zh-CN" w:bidi="ar"/>
              </w:rPr>
              <w:t>废润滑油桶</w:t>
            </w:r>
          </w:p>
        </w:tc>
        <w:tc>
          <w:tcPr>
            <w:tcW w:w="636" w:type="pct"/>
            <w:tcMar>
              <w:top w:w="0" w:type="dxa"/>
              <w:left w:w="108" w:type="dxa"/>
              <w:bottom w:w="0" w:type="dxa"/>
              <w:right w:w="108" w:type="dxa"/>
            </w:tcMar>
            <w:vAlign w:val="center"/>
          </w:tcPr>
          <w:p w14:paraId="3D0448F3">
            <w:pPr>
              <w:keepNext w:val="0"/>
              <w:keepLines w:val="0"/>
              <w:suppressLineNumbers w:val="0"/>
              <w:tabs>
                <w:tab w:val="left" w:pos="4830"/>
              </w:tabs>
              <w:spacing w:before="0" w:beforeAutospacing="0" w:after="0" w:afterAutospacing="0"/>
              <w:ind w:left="0" w:right="0"/>
              <w:jc w:val="center"/>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lang w:val="en-US" w:eastAsia="zh-CN"/>
              </w:rPr>
              <w:t>0（0.136）</w:t>
            </w:r>
          </w:p>
        </w:tc>
        <w:tc>
          <w:tcPr>
            <w:tcW w:w="416" w:type="pct"/>
            <w:tcMar>
              <w:top w:w="0" w:type="dxa"/>
              <w:left w:w="108" w:type="dxa"/>
              <w:bottom w:w="0" w:type="dxa"/>
              <w:right w:w="108" w:type="dxa"/>
            </w:tcMar>
            <w:vAlign w:val="center"/>
          </w:tcPr>
          <w:p w14:paraId="686F59C2">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r>
              <w:rPr>
                <w:rFonts w:hint="eastAsia" w:ascii="Times New Roman" w:hAnsi="Times New Roman" w:eastAsia="宋体" w:cs="Times New Roman"/>
                <w:color w:val="auto"/>
                <w:szCs w:val="21"/>
              </w:rPr>
              <w:t>0</w:t>
            </w:r>
          </w:p>
        </w:tc>
        <w:tc>
          <w:tcPr>
            <w:tcW w:w="642" w:type="pct"/>
            <w:tcMar>
              <w:top w:w="0" w:type="dxa"/>
              <w:left w:w="108" w:type="dxa"/>
              <w:bottom w:w="0" w:type="dxa"/>
              <w:right w:w="108" w:type="dxa"/>
            </w:tcMar>
            <w:vAlign w:val="center"/>
          </w:tcPr>
          <w:p w14:paraId="12D34C42">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rPr>
              <w:t>/</w:t>
            </w:r>
          </w:p>
        </w:tc>
        <w:tc>
          <w:tcPr>
            <w:tcW w:w="641" w:type="pct"/>
            <w:shd w:val="clear" w:color="auto" w:fill="auto"/>
            <w:tcMar>
              <w:top w:w="0" w:type="dxa"/>
              <w:left w:w="108" w:type="dxa"/>
              <w:bottom w:w="0" w:type="dxa"/>
              <w:right w:w="108" w:type="dxa"/>
            </w:tcMar>
            <w:vAlign w:val="center"/>
          </w:tcPr>
          <w:p w14:paraId="4F213F37">
            <w:pPr>
              <w:keepNext w:val="0"/>
              <w:keepLines w:val="0"/>
              <w:widowControl w:val="0"/>
              <w:suppressLineNumbers w:val="0"/>
              <w:spacing w:before="0" w:beforeAutospacing="0" w:after="0" w:afterAutospacing="0"/>
              <w:ind w:left="0" w:leftChars="0" w:right="0" w:rightChars="0"/>
              <w:jc w:val="center"/>
              <w:rPr>
                <w:rFonts w:hint="default" w:ascii="Times New Roman" w:hAnsi="Times New Roman" w:eastAsia="宋体" w:cs="Times New Roman"/>
                <w:color w:val="auto"/>
                <w:kern w:val="2"/>
                <w:sz w:val="21"/>
                <w:szCs w:val="21"/>
                <w:lang w:val="en-US" w:eastAsia="zh-CN" w:bidi="ar-SA"/>
              </w:rPr>
            </w:pPr>
            <w:r>
              <w:rPr>
                <w:rFonts w:hint="default" w:ascii="Times New Roman" w:hAnsi="Times New Roman" w:eastAsia="宋体" w:cs="Times New Roman"/>
                <w:color w:val="auto"/>
                <w:kern w:val="2"/>
                <w:sz w:val="21"/>
                <w:szCs w:val="21"/>
                <w:lang w:val="en-US" w:eastAsia="zh-CN" w:bidi="ar"/>
              </w:rPr>
              <w:t>0（0.01）</w:t>
            </w:r>
          </w:p>
        </w:tc>
        <w:tc>
          <w:tcPr>
            <w:tcW w:w="571" w:type="pct"/>
            <w:tcMar>
              <w:top w:w="0" w:type="dxa"/>
              <w:left w:w="108" w:type="dxa"/>
              <w:bottom w:w="0" w:type="dxa"/>
              <w:right w:w="108" w:type="dxa"/>
            </w:tcMar>
            <w:vAlign w:val="center"/>
          </w:tcPr>
          <w:p w14:paraId="49830682">
            <w:pPr>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color w:val="auto"/>
                <w:szCs w:val="21"/>
              </w:rPr>
            </w:pPr>
            <w:r>
              <w:rPr>
                <w:rFonts w:hint="eastAsia" w:ascii="Times New Roman" w:hAnsi="Times New Roman" w:eastAsia="宋体" w:cs="Times New Roman"/>
                <w:color w:val="auto"/>
                <w:szCs w:val="21"/>
                <w:lang w:val="en-US" w:eastAsia="zh-CN"/>
              </w:rPr>
              <w:t>0</w:t>
            </w:r>
          </w:p>
        </w:tc>
        <w:tc>
          <w:tcPr>
            <w:tcW w:w="753" w:type="pct"/>
            <w:tcMar>
              <w:top w:w="0" w:type="dxa"/>
              <w:left w:w="108" w:type="dxa"/>
              <w:bottom w:w="0" w:type="dxa"/>
              <w:right w:w="108" w:type="dxa"/>
            </w:tcMar>
            <w:vAlign w:val="center"/>
          </w:tcPr>
          <w:p w14:paraId="429D87C9">
            <w:pPr>
              <w:keepNext w:val="0"/>
              <w:keepLines w:val="0"/>
              <w:suppressLineNumbers w:val="0"/>
              <w:tabs>
                <w:tab w:val="left" w:pos="4830"/>
              </w:tabs>
              <w:spacing w:before="0" w:beforeAutospacing="0" w:after="0" w:afterAutospacing="0"/>
              <w:ind w:left="0" w:right="0"/>
              <w:jc w:val="center"/>
              <w:rPr>
                <w:rFonts w:hint="default" w:ascii="Times New Roman" w:hAnsi="Times New Roman" w:eastAsia="宋体" w:cs="Times New Roman"/>
                <w:color w:val="auto"/>
                <w:szCs w:val="21"/>
                <w:lang w:val="en-US" w:eastAsia="zh-CN"/>
              </w:rPr>
            </w:pPr>
            <w:r>
              <w:rPr>
                <w:rFonts w:hint="default" w:ascii="Times New Roman" w:hAnsi="Times New Roman" w:eastAsia="宋体" w:cs="Times New Roman"/>
                <w:color w:val="auto"/>
                <w:szCs w:val="21"/>
                <w:lang w:val="en-US" w:eastAsia="zh-CN"/>
              </w:rPr>
              <w:t>0（0.146）</w:t>
            </w:r>
          </w:p>
        </w:tc>
        <w:tc>
          <w:tcPr>
            <w:tcW w:w="486" w:type="pct"/>
            <w:shd w:val="clear" w:color="auto" w:fill="auto"/>
            <w:tcMar>
              <w:top w:w="0" w:type="dxa"/>
              <w:left w:w="108" w:type="dxa"/>
              <w:bottom w:w="0" w:type="dxa"/>
              <w:right w:w="108" w:type="dxa"/>
            </w:tcMar>
            <w:vAlign w:val="center"/>
          </w:tcPr>
          <w:p w14:paraId="306F0CB4">
            <w:pPr>
              <w:keepNext w:val="0"/>
              <w:keepLines w:val="0"/>
              <w:widowControl w:val="0"/>
              <w:suppressLineNumbers w:val="0"/>
              <w:spacing w:before="0" w:beforeAutospacing="0" w:after="0" w:afterAutospacing="0"/>
              <w:ind w:left="0" w:leftChars="0" w:right="0" w:rightChars="0"/>
              <w:jc w:val="center"/>
              <w:rPr>
                <w:rFonts w:hint="default" w:ascii="Times New Roman" w:hAnsi="Times New Roman" w:eastAsia="宋体" w:cs="Times New Roman"/>
                <w:color w:val="auto"/>
                <w:kern w:val="2"/>
                <w:sz w:val="21"/>
                <w:szCs w:val="21"/>
                <w:lang w:val="en-US" w:eastAsia="zh-CN" w:bidi="ar-SA"/>
              </w:rPr>
            </w:pPr>
            <w:r>
              <w:rPr>
                <w:rFonts w:hint="default" w:ascii="Times New Roman" w:hAnsi="Times New Roman" w:eastAsia="宋体" w:cs="Times New Roman"/>
                <w:color w:val="auto"/>
                <w:kern w:val="2"/>
                <w:sz w:val="21"/>
                <w:szCs w:val="21"/>
                <w:lang w:val="en-US" w:eastAsia="zh-CN" w:bidi="ar"/>
              </w:rPr>
              <w:t>+0.01</w:t>
            </w:r>
          </w:p>
        </w:tc>
      </w:tr>
      <w:tr w14:paraId="71AAF19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40" w:hRule="atLeast"/>
          <w:jc w:val="center"/>
        </w:trPr>
        <w:tc>
          <w:tcPr>
            <w:tcW w:w="228" w:type="pct"/>
            <w:vMerge w:val="continue"/>
            <w:tcMar>
              <w:top w:w="0" w:type="dxa"/>
              <w:left w:w="108" w:type="dxa"/>
              <w:bottom w:w="0" w:type="dxa"/>
              <w:right w:w="108" w:type="dxa"/>
            </w:tcMar>
            <w:vAlign w:val="center"/>
          </w:tcPr>
          <w:p w14:paraId="5470CFB5">
            <w:pPr>
              <w:keepNext w:val="0"/>
              <w:keepLines w:val="0"/>
              <w:suppressLineNumbers w:val="0"/>
              <w:wordWrap w:val="0"/>
              <w:spacing w:before="0" w:beforeAutospacing="0" w:after="0" w:afterAutospacing="0"/>
              <w:ind w:left="0" w:right="0"/>
              <w:jc w:val="center"/>
              <w:rPr>
                <w:rFonts w:hint="default" w:ascii="Times New Roman" w:hAnsi="Times New Roman" w:eastAsia="宋体" w:cs="Times New Roman"/>
                <w:color w:val="auto"/>
                <w:szCs w:val="21"/>
              </w:rPr>
            </w:pPr>
          </w:p>
        </w:tc>
        <w:tc>
          <w:tcPr>
            <w:tcW w:w="622" w:type="pct"/>
            <w:shd w:val="clear" w:color="auto" w:fill="auto"/>
            <w:tcMar>
              <w:top w:w="0" w:type="dxa"/>
              <w:left w:w="108" w:type="dxa"/>
              <w:bottom w:w="0" w:type="dxa"/>
              <w:right w:w="108" w:type="dxa"/>
            </w:tcMar>
            <w:vAlign w:val="center"/>
          </w:tcPr>
          <w:p w14:paraId="06DD26D4">
            <w:pPr>
              <w:keepNext w:val="0"/>
              <w:keepLines w:val="0"/>
              <w:widowControl/>
              <w:suppressLineNumbers w:val="0"/>
              <w:spacing w:before="0" w:beforeAutospacing="0" w:after="0" w:afterAutospacing="0"/>
              <w:ind w:left="0" w:leftChars="0" w:right="0" w:rightChars="0"/>
              <w:jc w:val="center"/>
              <w:rPr>
                <w:rFonts w:hint="default" w:ascii="Times New Roman" w:hAnsi="Times New Roman" w:eastAsia="宋体" w:cs="Times New Roman"/>
                <w:color w:val="auto"/>
                <w:kern w:val="2"/>
                <w:sz w:val="21"/>
                <w:szCs w:val="21"/>
                <w:lang w:val="en-US" w:eastAsia="zh-CN" w:bidi="ar-SA"/>
              </w:rPr>
            </w:pPr>
            <w:r>
              <w:rPr>
                <w:rFonts w:hint="eastAsia" w:ascii="宋体" w:hAnsi="宋体" w:eastAsia="宋体" w:cs="宋体"/>
                <w:color w:val="auto"/>
                <w:kern w:val="0"/>
                <w:sz w:val="21"/>
                <w:szCs w:val="21"/>
                <w:lang w:val="en-US" w:eastAsia="zh-CN" w:bidi="ar"/>
              </w:rPr>
              <w:t>废弃的含油抹布及劳保用品</w:t>
            </w:r>
          </w:p>
        </w:tc>
        <w:tc>
          <w:tcPr>
            <w:tcW w:w="636" w:type="pct"/>
            <w:tcMar>
              <w:top w:w="0" w:type="dxa"/>
              <w:left w:w="108" w:type="dxa"/>
              <w:bottom w:w="0" w:type="dxa"/>
              <w:right w:w="108" w:type="dxa"/>
            </w:tcMar>
            <w:vAlign w:val="center"/>
          </w:tcPr>
          <w:p w14:paraId="6D273ED9">
            <w:pPr>
              <w:keepNext w:val="0"/>
              <w:keepLines w:val="0"/>
              <w:suppressLineNumbers w:val="0"/>
              <w:tabs>
                <w:tab w:val="left" w:pos="4830"/>
              </w:tabs>
              <w:spacing w:before="0" w:beforeAutospacing="0" w:after="0" w:afterAutospacing="0"/>
              <w:ind w:left="0" w:right="0"/>
              <w:jc w:val="center"/>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lang w:val="en-US" w:eastAsia="zh-CN"/>
              </w:rPr>
              <w:t>0（0.5）</w:t>
            </w:r>
          </w:p>
        </w:tc>
        <w:tc>
          <w:tcPr>
            <w:tcW w:w="416" w:type="pct"/>
            <w:tcMar>
              <w:top w:w="0" w:type="dxa"/>
              <w:left w:w="108" w:type="dxa"/>
              <w:bottom w:w="0" w:type="dxa"/>
              <w:right w:w="108" w:type="dxa"/>
            </w:tcMar>
            <w:vAlign w:val="center"/>
          </w:tcPr>
          <w:p w14:paraId="15A2EEA4">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r>
              <w:rPr>
                <w:rFonts w:hint="eastAsia" w:ascii="Times New Roman" w:hAnsi="Times New Roman" w:eastAsia="宋体" w:cs="Times New Roman"/>
                <w:color w:val="auto"/>
                <w:szCs w:val="21"/>
              </w:rPr>
              <w:t>0</w:t>
            </w:r>
          </w:p>
        </w:tc>
        <w:tc>
          <w:tcPr>
            <w:tcW w:w="642" w:type="pct"/>
            <w:tcMar>
              <w:top w:w="0" w:type="dxa"/>
              <w:left w:w="108" w:type="dxa"/>
              <w:bottom w:w="0" w:type="dxa"/>
              <w:right w:w="108" w:type="dxa"/>
            </w:tcMar>
            <w:vAlign w:val="center"/>
          </w:tcPr>
          <w:p w14:paraId="26A9BAF5">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rPr>
              <w:t>/</w:t>
            </w:r>
          </w:p>
        </w:tc>
        <w:tc>
          <w:tcPr>
            <w:tcW w:w="641" w:type="pct"/>
            <w:shd w:val="clear" w:color="auto" w:fill="auto"/>
            <w:tcMar>
              <w:top w:w="0" w:type="dxa"/>
              <w:left w:w="108" w:type="dxa"/>
              <w:bottom w:w="0" w:type="dxa"/>
              <w:right w:w="108" w:type="dxa"/>
            </w:tcMar>
            <w:vAlign w:val="center"/>
          </w:tcPr>
          <w:p w14:paraId="58761761">
            <w:pPr>
              <w:keepNext w:val="0"/>
              <w:keepLines w:val="0"/>
              <w:widowControl w:val="0"/>
              <w:suppressLineNumbers w:val="0"/>
              <w:spacing w:before="0" w:beforeAutospacing="0" w:after="0" w:afterAutospacing="0"/>
              <w:ind w:left="0" w:leftChars="0" w:right="0" w:rightChars="0"/>
              <w:jc w:val="center"/>
              <w:rPr>
                <w:rFonts w:hint="default" w:ascii="Times New Roman" w:hAnsi="Times New Roman" w:eastAsia="宋体" w:cs="Times New Roman"/>
                <w:color w:val="auto"/>
                <w:kern w:val="2"/>
                <w:sz w:val="21"/>
                <w:szCs w:val="21"/>
                <w:lang w:val="en-US" w:eastAsia="zh-CN" w:bidi="ar-SA"/>
              </w:rPr>
            </w:pPr>
            <w:r>
              <w:rPr>
                <w:rFonts w:hint="default" w:ascii="Times New Roman" w:hAnsi="Times New Roman" w:eastAsia="宋体" w:cs="Times New Roman"/>
                <w:color w:val="auto"/>
                <w:kern w:val="2"/>
                <w:sz w:val="21"/>
                <w:szCs w:val="21"/>
                <w:lang w:val="en-US" w:eastAsia="zh-CN" w:bidi="ar"/>
              </w:rPr>
              <w:t>0（0.</w:t>
            </w:r>
            <w:r>
              <w:rPr>
                <w:rFonts w:hint="eastAsia" w:ascii="Times New Roman" w:hAnsi="Times New Roman" w:eastAsia="宋体" w:cs="Times New Roman"/>
                <w:color w:val="auto"/>
                <w:kern w:val="2"/>
                <w:sz w:val="21"/>
                <w:szCs w:val="21"/>
                <w:lang w:val="en-US" w:eastAsia="zh-CN" w:bidi="ar"/>
              </w:rPr>
              <w:t>5）</w:t>
            </w:r>
          </w:p>
        </w:tc>
        <w:tc>
          <w:tcPr>
            <w:tcW w:w="571" w:type="pct"/>
            <w:tcMar>
              <w:top w:w="0" w:type="dxa"/>
              <w:left w:w="108" w:type="dxa"/>
              <w:bottom w:w="0" w:type="dxa"/>
              <w:right w:w="108" w:type="dxa"/>
            </w:tcMar>
            <w:vAlign w:val="center"/>
          </w:tcPr>
          <w:p w14:paraId="456BBDED">
            <w:pPr>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color w:val="auto"/>
                <w:szCs w:val="21"/>
              </w:rPr>
            </w:pPr>
            <w:r>
              <w:rPr>
                <w:rFonts w:hint="eastAsia" w:ascii="Times New Roman" w:hAnsi="Times New Roman" w:eastAsia="宋体" w:cs="Times New Roman"/>
                <w:color w:val="auto"/>
                <w:szCs w:val="21"/>
                <w:lang w:val="en-US" w:eastAsia="zh-CN"/>
              </w:rPr>
              <w:t>0</w:t>
            </w:r>
          </w:p>
        </w:tc>
        <w:tc>
          <w:tcPr>
            <w:tcW w:w="753" w:type="pct"/>
            <w:tcMar>
              <w:top w:w="0" w:type="dxa"/>
              <w:left w:w="108" w:type="dxa"/>
              <w:bottom w:w="0" w:type="dxa"/>
              <w:right w:w="108" w:type="dxa"/>
            </w:tcMar>
            <w:vAlign w:val="center"/>
          </w:tcPr>
          <w:p w14:paraId="51621732">
            <w:pPr>
              <w:keepNext w:val="0"/>
              <w:keepLines w:val="0"/>
              <w:suppressLineNumbers w:val="0"/>
              <w:tabs>
                <w:tab w:val="left" w:pos="4830"/>
              </w:tabs>
              <w:spacing w:before="0" w:beforeAutospacing="0" w:after="0" w:afterAutospacing="0"/>
              <w:ind w:left="0" w:right="0"/>
              <w:jc w:val="center"/>
              <w:rPr>
                <w:rFonts w:hint="default" w:ascii="Times New Roman" w:hAnsi="Times New Roman" w:eastAsia="宋体" w:cs="Times New Roman"/>
                <w:color w:val="auto"/>
                <w:szCs w:val="21"/>
                <w:lang w:val="en-US" w:eastAsia="zh-CN"/>
              </w:rPr>
            </w:pPr>
            <w:r>
              <w:rPr>
                <w:rFonts w:hint="default" w:ascii="Times New Roman" w:hAnsi="Times New Roman" w:eastAsia="宋体" w:cs="Times New Roman"/>
                <w:color w:val="auto"/>
                <w:szCs w:val="21"/>
                <w:lang w:val="en-US" w:eastAsia="zh-CN"/>
              </w:rPr>
              <w:t>0（1）</w:t>
            </w:r>
          </w:p>
        </w:tc>
        <w:tc>
          <w:tcPr>
            <w:tcW w:w="486" w:type="pct"/>
            <w:shd w:val="clear" w:color="auto" w:fill="auto"/>
            <w:tcMar>
              <w:top w:w="0" w:type="dxa"/>
              <w:left w:w="108" w:type="dxa"/>
              <w:bottom w:w="0" w:type="dxa"/>
              <w:right w:w="108" w:type="dxa"/>
            </w:tcMar>
            <w:vAlign w:val="center"/>
          </w:tcPr>
          <w:p w14:paraId="3B20BACC">
            <w:pPr>
              <w:keepNext w:val="0"/>
              <w:keepLines w:val="0"/>
              <w:widowControl w:val="0"/>
              <w:suppressLineNumbers w:val="0"/>
              <w:spacing w:before="0" w:beforeAutospacing="0" w:after="0" w:afterAutospacing="0"/>
              <w:ind w:left="0" w:leftChars="0" w:right="0" w:rightChars="0"/>
              <w:jc w:val="center"/>
              <w:rPr>
                <w:rFonts w:hint="default" w:ascii="Times New Roman" w:hAnsi="Times New Roman" w:eastAsia="宋体" w:cs="Times New Roman"/>
                <w:color w:val="auto"/>
                <w:kern w:val="2"/>
                <w:sz w:val="21"/>
                <w:szCs w:val="21"/>
                <w:lang w:val="en-US" w:eastAsia="zh-CN" w:bidi="ar-SA"/>
              </w:rPr>
            </w:pPr>
            <w:r>
              <w:rPr>
                <w:rFonts w:hint="default" w:ascii="Times New Roman" w:hAnsi="Times New Roman" w:eastAsia="宋体" w:cs="Times New Roman"/>
                <w:color w:val="auto"/>
                <w:kern w:val="2"/>
                <w:sz w:val="21"/>
                <w:szCs w:val="21"/>
                <w:lang w:val="en-US" w:eastAsia="zh-CN" w:bidi="ar"/>
              </w:rPr>
              <w:t>+0.</w:t>
            </w:r>
            <w:r>
              <w:rPr>
                <w:rFonts w:hint="eastAsia" w:ascii="Times New Roman" w:hAnsi="Times New Roman" w:eastAsia="宋体" w:cs="Times New Roman"/>
                <w:color w:val="auto"/>
                <w:kern w:val="2"/>
                <w:sz w:val="21"/>
                <w:szCs w:val="21"/>
                <w:lang w:val="en-US" w:eastAsia="zh-CN" w:bidi="ar"/>
              </w:rPr>
              <w:t>5</w:t>
            </w:r>
          </w:p>
        </w:tc>
      </w:tr>
      <w:tr w14:paraId="1C5FA44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40" w:hRule="atLeast"/>
          <w:jc w:val="center"/>
        </w:trPr>
        <w:tc>
          <w:tcPr>
            <w:tcW w:w="228" w:type="pct"/>
            <w:vMerge w:val="continue"/>
            <w:vAlign w:val="center"/>
          </w:tcPr>
          <w:p w14:paraId="4602DA4A">
            <w:pPr>
              <w:keepNext w:val="0"/>
              <w:keepLines w:val="0"/>
              <w:suppressLineNumbers w:val="0"/>
              <w:wordWrap w:val="0"/>
              <w:spacing w:before="0" w:beforeAutospacing="0" w:after="0" w:afterAutospacing="0"/>
              <w:ind w:left="0" w:right="0"/>
              <w:jc w:val="center"/>
              <w:rPr>
                <w:rFonts w:hint="default" w:ascii="Times New Roman" w:hAnsi="Times New Roman" w:eastAsia="宋体" w:cs="Times New Roman"/>
                <w:color w:val="auto"/>
                <w:szCs w:val="21"/>
              </w:rPr>
            </w:pPr>
          </w:p>
        </w:tc>
        <w:tc>
          <w:tcPr>
            <w:tcW w:w="622" w:type="pct"/>
            <w:shd w:val="clear" w:color="auto" w:fill="auto"/>
            <w:vAlign w:val="center"/>
          </w:tcPr>
          <w:p w14:paraId="767D17C8">
            <w:pPr>
              <w:keepNext w:val="0"/>
              <w:keepLines w:val="0"/>
              <w:widowControl w:val="0"/>
              <w:suppressLineNumbers w:val="0"/>
              <w:spacing w:before="0" w:beforeAutospacing="0" w:after="0" w:afterAutospacing="0"/>
              <w:ind w:left="0" w:leftChars="0" w:right="0" w:rightChars="0"/>
              <w:jc w:val="center"/>
              <w:rPr>
                <w:rFonts w:hint="default" w:ascii="Times New Roman" w:hAnsi="Times New Roman" w:eastAsia="宋体" w:cs="Times New Roman"/>
                <w:color w:val="auto"/>
                <w:kern w:val="2"/>
                <w:sz w:val="21"/>
                <w:szCs w:val="21"/>
                <w:lang w:val="en-US" w:eastAsia="zh-CN" w:bidi="ar-SA"/>
              </w:rPr>
            </w:pPr>
            <w:r>
              <w:rPr>
                <w:rFonts w:hint="eastAsia" w:ascii="宋体" w:hAnsi="宋体" w:eastAsia="宋体" w:cs="宋体"/>
                <w:color w:val="auto"/>
                <w:kern w:val="2"/>
                <w:sz w:val="21"/>
                <w:szCs w:val="21"/>
                <w:lang w:val="en-US" w:eastAsia="zh-CN" w:bidi="ar"/>
              </w:rPr>
              <w:t>喷淋废水</w:t>
            </w:r>
          </w:p>
        </w:tc>
        <w:tc>
          <w:tcPr>
            <w:tcW w:w="636" w:type="pct"/>
            <w:vAlign w:val="center"/>
          </w:tcPr>
          <w:p w14:paraId="380637C3">
            <w:pPr>
              <w:keepNext w:val="0"/>
              <w:keepLines w:val="0"/>
              <w:suppressLineNumbers w:val="0"/>
              <w:tabs>
                <w:tab w:val="left" w:pos="4830"/>
              </w:tabs>
              <w:spacing w:before="0" w:beforeAutospacing="0" w:after="0" w:afterAutospacing="0"/>
              <w:ind w:left="0" w:right="0"/>
              <w:jc w:val="center"/>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lang w:val="en-US" w:eastAsia="zh-CN"/>
              </w:rPr>
              <w:t>0（12）</w:t>
            </w:r>
          </w:p>
        </w:tc>
        <w:tc>
          <w:tcPr>
            <w:tcW w:w="416" w:type="pct"/>
            <w:vAlign w:val="center"/>
          </w:tcPr>
          <w:p w14:paraId="61960117">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r>
              <w:rPr>
                <w:rFonts w:hint="eastAsia" w:ascii="Times New Roman" w:hAnsi="Times New Roman" w:eastAsia="宋体" w:cs="Times New Roman"/>
                <w:color w:val="auto"/>
                <w:szCs w:val="21"/>
              </w:rPr>
              <w:t>0</w:t>
            </w:r>
          </w:p>
        </w:tc>
        <w:tc>
          <w:tcPr>
            <w:tcW w:w="642" w:type="pct"/>
            <w:vAlign w:val="center"/>
          </w:tcPr>
          <w:p w14:paraId="52B4B39C">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rPr>
              <w:t>/</w:t>
            </w:r>
          </w:p>
        </w:tc>
        <w:tc>
          <w:tcPr>
            <w:tcW w:w="641" w:type="pct"/>
            <w:shd w:val="clear" w:color="auto" w:fill="auto"/>
            <w:vAlign w:val="center"/>
          </w:tcPr>
          <w:p w14:paraId="795B42DB">
            <w:pPr>
              <w:keepNext w:val="0"/>
              <w:keepLines w:val="0"/>
              <w:widowControl w:val="0"/>
              <w:suppressLineNumbers w:val="0"/>
              <w:spacing w:before="0" w:beforeAutospacing="0" w:after="0" w:afterAutospacing="0"/>
              <w:ind w:left="0" w:leftChars="0" w:right="0" w:rightChars="0"/>
              <w:jc w:val="center"/>
              <w:rPr>
                <w:rFonts w:hint="default" w:ascii="Times New Roman" w:hAnsi="Times New Roman" w:eastAsia="宋体" w:cs="Times New Roman"/>
                <w:color w:val="auto"/>
                <w:kern w:val="2"/>
                <w:sz w:val="21"/>
                <w:szCs w:val="21"/>
                <w:lang w:val="en-US" w:eastAsia="zh-CN" w:bidi="ar-SA"/>
              </w:rPr>
            </w:pPr>
            <w:r>
              <w:rPr>
                <w:rFonts w:hint="eastAsia" w:ascii="Times New Roman" w:hAnsi="Times New Roman" w:eastAsia="宋体" w:cs="Times New Roman"/>
                <w:color w:val="auto"/>
                <w:kern w:val="2"/>
                <w:sz w:val="21"/>
                <w:szCs w:val="21"/>
                <w:lang w:val="en-US" w:eastAsia="zh-CN" w:bidi="ar"/>
              </w:rPr>
              <w:t>0（4）</w:t>
            </w:r>
          </w:p>
        </w:tc>
        <w:tc>
          <w:tcPr>
            <w:tcW w:w="571" w:type="pct"/>
            <w:vAlign w:val="center"/>
          </w:tcPr>
          <w:p w14:paraId="3D20CDEF">
            <w:pPr>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color w:val="auto"/>
                <w:szCs w:val="21"/>
              </w:rPr>
            </w:pPr>
            <w:r>
              <w:rPr>
                <w:rFonts w:hint="eastAsia" w:ascii="Times New Roman" w:hAnsi="Times New Roman" w:eastAsia="宋体" w:cs="Times New Roman"/>
                <w:color w:val="auto"/>
                <w:szCs w:val="21"/>
                <w:lang w:val="en-US" w:eastAsia="zh-CN"/>
              </w:rPr>
              <w:t>0</w:t>
            </w:r>
          </w:p>
        </w:tc>
        <w:tc>
          <w:tcPr>
            <w:tcW w:w="753" w:type="pct"/>
            <w:vAlign w:val="center"/>
          </w:tcPr>
          <w:p w14:paraId="2E8925C3">
            <w:pPr>
              <w:keepNext w:val="0"/>
              <w:keepLines w:val="0"/>
              <w:suppressLineNumbers w:val="0"/>
              <w:tabs>
                <w:tab w:val="left" w:pos="4830"/>
              </w:tabs>
              <w:spacing w:before="0" w:beforeAutospacing="0" w:after="0" w:afterAutospacing="0"/>
              <w:ind w:left="0" w:right="0"/>
              <w:jc w:val="center"/>
              <w:rPr>
                <w:rFonts w:hint="default" w:ascii="Times New Roman" w:hAnsi="Times New Roman" w:eastAsia="宋体" w:cs="Times New Roman"/>
                <w:color w:val="auto"/>
                <w:szCs w:val="21"/>
                <w:lang w:val="en-US" w:eastAsia="zh-CN"/>
              </w:rPr>
            </w:pPr>
            <w:r>
              <w:rPr>
                <w:rFonts w:hint="default" w:ascii="Times New Roman" w:hAnsi="Times New Roman" w:eastAsia="宋体" w:cs="Times New Roman"/>
                <w:color w:val="auto"/>
                <w:szCs w:val="21"/>
                <w:lang w:val="en-US" w:eastAsia="zh-CN"/>
              </w:rPr>
              <w:t>0（16）</w:t>
            </w:r>
          </w:p>
        </w:tc>
        <w:tc>
          <w:tcPr>
            <w:tcW w:w="486" w:type="pct"/>
            <w:shd w:val="clear" w:color="auto" w:fill="auto"/>
            <w:vAlign w:val="center"/>
          </w:tcPr>
          <w:p w14:paraId="5E7A7ECF">
            <w:pPr>
              <w:keepNext w:val="0"/>
              <w:keepLines w:val="0"/>
              <w:widowControl w:val="0"/>
              <w:suppressLineNumbers w:val="0"/>
              <w:spacing w:before="0" w:beforeAutospacing="0" w:after="0" w:afterAutospacing="0"/>
              <w:ind w:left="0" w:leftChars="0" w:right="0" w:rightChars="0"/>
              <w:jc w:val="center"/>
              <w:rPr>
                <w:rFonts w:hint="default" w:ascii="Times New Roman" w:hAnsi="Times New Roman" w:eastAsia="宋体" w:cs="Times New Roman"/>
                <w:color w:val="auto"/>
                <w:kern w:val="2"/>
                <w:sz w:val="21"/>
                <w:szCs w:val="21"/>
                <w:lang w:val="en-US" w:eastAsia="zh-CN" w:bidi="ar-SA"/>
              </w:rPr>
            </w:pPr>
            <w:r>
              <w:rPr>
                <w:rFonts w:hint="eastAsia" w:ascii="Times New Roman" w:hAnsi="Times New Roman" w:eastAsia="宋体" w:cs="Times New Roman"/>
                <w:color w:val="auto"/>
                <w:kern w:val="2"/>
                <w:sz w:val="21"/>
                <w:szCs w:val="21"/>
                <w:lang w:val="en-US" w:eastAsia="zh-CN" w:bidi="ar"/>
              </w:rPr>
              <w:t>+4</w:t>
            </w:r>
          </w:p>
        </w:tc>
      </w:tr>
      <w:tr w14:paraId="2DDB42C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40" w:hRule="atLeast"/>
          <w:jc w:val="center"/>
        </w:trPr>
        <w:tc>
          <w:tcPr>
            <w:tcW w:w="228" w:type="pct"/>
            <w:vMerge w:val="continue"/>
            <w:vAlign w:val="center"/>
          </w:tcPr>
          <w:p w14:paraId="1C2E839A">
            <w:pPr>
              <w:keepNext w:val="0"/>
              <w:keepLines w:val="0"/>
              <w:suppressLineNumbers w:val="0"/>
              <w:wordWrap w:val="0"/>
              <w:spacing w:before="0" w:beforeAutospacing="0" w:after="0" w:afterAutospacing="0"/>
              <w:ind w:left="0" w:right="0"/>
              <w:jc w:val="center"/>
              <w:rPr>
                <w:rFonts w:hint="default" w:ascii="Times New Roman" w:hAnsi="Times New Roman" w:eastAsia="宋体" w:cs="Times New Roman"/>
                <w:color w:val="auto"/>
                <w:szCs w:val="21"/>
              </w:rPr>
            </w:pPr>
          </w:p>
        </w:tc>
        <w:tc>
          <w:tcPr>
            <w:tcW w:w="622" w:type="pct"/>
            <w:shd w:val="clear" w:color="auto" w:fill="auto"/>
            <w:vAlign w:val="center"/>
          </w:tcPr>
          <w:p w14:paraId="3F7B60D2">
            <w:pPr>
              <w:keepNext w:val="0"/>
              <w:keepLines w:val="0"/>
              <w:widowControl w:val="0"/>
              <w:suppressLineNumbers w:val="0"/>
              <w:spacing w:before="0" w:beforeAutospacing="0" w:after="0" w:afterAutospacing="0"/>
              <w:ind w:left="0" w:leftChars="0" w:right="0" w:rightChars="0"/>
              <w:jc w:val="center"/>
              <w:rPr>
                <w:rFonts w:hint="default" w:ascii="Times New Roman" w:hAnsi="Times New Roman" w:eastAsia="宋体" w:cs="Times New Roman"/>
                <w:color w:val="auto"/>
                <w:kern w:val="2"/>
                <w:sz w:val="21"/>
                <w:szCs w:val="21"/>
                <w:lang w:val="en-US" w:eastAsia="zh-CN" w:bidi="ar-SA"/>
              </w:rPr>
            </w:pPr>
            <w:r>
              <w:rPr>
                <w:rFonts w:hint="eastAsia" w:ascii="宋体" w:hAnsi="宋体" w:eastAsia="宋体" w:cs="宋体"/>
                <w:color w:val="auto"/>
                <w:kern w:val="2"/>
                <w:sz w:val="21"/>
                <w:szCs w:val="21"/>
                <w:lang w:val="en-US" w:eastAsia="zh-CN" w:bidi="ar"/>
              </w:rPr>
              <w:t>废过滤棉</w:t>
            </w:r>
          </w:p>
        </w:tc>
        <w:tc>
          <w:tcPr>
            <w:tcW w:w="636" w:type="pct"/>
            <w:vAlign w:val="center"/>
          </w:tcPr>
          <w:p w14:paraId="7B3E22C4">
            <w:pPr>
              <w:keepNext w:val="0"/>
              <w:keepLines w:val="0"/>
              <w:suppressLineNumbers w:val="0"/>
              <w:tabs>
                <w:tab w:val="left" w:pos="4830"/>
              </w:tabs>
              <w:spacing w:before="0" w:beforeAutospacing="0" w:after="0" w:afterAutospacing="0"/>
              <w:ind w:left="0" w:right="0"/>
              <w:jc w:val="center"/>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lang w:val="en-US" w:eastAsia="zh-CN"/>
              </w:rPr>
              <w:t>0（0.06）</w:t>
            </w:r>
          </w:p>
        </w:tc>
        <w:tc>
          <w:tcPr>
            <w:tcW w:w="416" w:type="pct"/>
            <w:vAlign w:val="center"/>
          </w:tcPr>
          <w:p w14:paraId="19C8A82D">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r>
              <w:rPr>
                <w:rFonts w:hint="eastAsia" w:ascii="Times New Roman" w:hAnsi="Times New Roman" w:eastAsia="宋体" w:cs="Times New Roman"/>
                <w:color w:val="auto"/>
                <w:szCs w:val="21"/>
              </w:rPr>
              <w:t>0</w:t>
            </w:r>
          </w:p>
        </w:tc>
        <w:tc>
          <w:tcPr>
            <w:tcW w:w="642" w:type="pct"/>
            <w:vAlign w:val="center"/>
          </w:tcPr>
          <w:p w14:paraId="41E87A46">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rPr>
              <w:t>/</w:t>
            </w:r>
          </w:p>
        </w:tc>
        <w:tc>
          <w:tcPr>
            <w:tcW w:w="641" w:type="pct"/>
            <w:shd w:val="clear" w:color="auto" w:fill="auto"/>
            <w:vAlign w:val="center"/>
          </w:tcPr>
          <w:p w14:paraId="0EA7A48D">
            <w:pPr>
              <w:keepNext w:val="0"/>
              <w:keepLines w:val="0"/>
              <w:widowControl w:val="0"/>
              <w:suppressLineNumbers w:val="0"/>
              <w:spacing w:before="0" w:beforeAutospacing="0" w:after="0" w:afterAutospacing="0"/>
              <w:ind w:left="0" w:leftChars="0" w:right="0" w:rightChars="0"/>
              <w:jc w:val="center"/>
              <w:rPr>
                <w:rFonts w:hint="default" w:ascii="Times New Roman" w:hAnsi="Times New Roman" w:eastAsia="宋体" w:cs="Times New Roman"/>
                <w:color w:val="0000E1"/>
                <w:kern w:val="2"/>
                <w:sz w:val="21"/>
                <w:szCs w:val="21"/>
                <w:highlight w:val="none"/>
                <w:lang w:val="en-US" w:eastAsia="zh-CN" w:bidi="ar-SA"/>
              </w:rPr>
            </w:pPr>
            <w:r>
              <w:rPr>
                <w:rFonts w:hint="eastAsia" w:ascii="Times New Roman" w:hAnsi="Times New Roman" w:eastAsia="宋体" w:cs="Times New Roman"/>
                <w:color w:val="0000E1"/>
                <w:kern w:val="2"/>
                <w:sz w:val="21"/>
                <w:szCs w:val="21"/>
                <w:highlight w:val="none"/>
                <w:lang w:val="en-US" w:eastAsia="zh-CN" w:bidi="ar"/>
              </w:rPr>
              <w:t>0（0.072）</w:t>
            </w:r>
          </w:p>
        </w:tc>
        <w:tc>
          <w:tcPr>
            <w:tcW w:w="571" w:type="pct"/>
            <w:vAlign w:val="center"/>
          </w:tcPr>
          <w:p w14:paraId="506075E3">
            <w:pPr>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color w:val="0000E1"/>
                <w:szCs w:val="21"/>
              </w:rPr>
            </w:pPr>
            <w:r>
              <w:rPr>
                <w:rFonts w:hint="eastAsia" w:ascii="Times New Roman" w:hAnsi="Times New Roman" w:eastAsia="宋体" w:cs="Times New Roman"/>
                <w:color w:val="0000E1"/>
                <w:szCs w:val="21"/>
                <w:lang w:val="en-US" w:eastAsia="zh-CN"/>
              </w:rPr>
              <w:t>0</w:t>
            </w:r>
          </w:p>
        </w:tc>
        <w:tc>
          <w:tcPr>
            <w:tcW w:w="753" w:type="pct"/>
            <w:vAlign w:val="center"/>
          </w:tcPr>
          <w:p w14:paraId="1F9755F1">
            <w:pPr>
              <w:keepNext w:val="0"/>
              <w:keepLines w:val="0"/>
              <w:suppressLineNumbers w:val="0"/>
              <w:tabs>
                <w:tab w:val="left" w:pos="4830"/>
              </w:tabs>
              <w:spacing w:before="0" w:beforeAutospacing="0" w:after="0" w:afterAutospacing="0"/>
              <w:ind w:left="0" w:right="0"/>
              <w:jc w:val="center"/>
              <w:rPr>
                <w:rFonts w:hint="default" w:ascii="Times New Roman" w:hAnsi="Times New Roman" w:eastAsia="宋体" w:cs="Times New Roman"/>
                <w:color w:val="0000E1"/>
                <w:szCs w:val="21"/>
                <w:lang w:val="en-US" w:eastAsia="zh-CN"/>
              </w:rPr>
            </w:pPr>
            <w:r>
              <w:rPr>
                <w:rFonts w:hint="default" w:ascii="Times New Roman" w:hAnsi="Times New Roman" w:eastAsia="宋体" w:cs="Times New Roman"/>
                <w:color w:val="0000E1"/>
                <w:szCs w:val="21"/>
                <w:lang w:val="en-US" w:eastAsia="zh-CN"/>
              </w:rPr>
              <w:t>0（</w:t>
            </w:r>
            <w:r>
              <w:rPr>
                <w:rFonts w:hint="eastAsia" w:ascii="Times New Roman" w:hAnsi="Times New Roman" w:eastAsia="宋体" w:cs="Times New Roman"/>
                <w:color w:val="0000E1"/>
                <w:szCs w:val="21"/>
                <w:lang w:val="en-US" w:eastAsia="zh-CN"/>
              </w:rPr>
              <w:t>0.132</w:t>
            </w:r>
            <w:r>
              <w:rPr>
                <w:rFonts w:hint="default" w:ascii="Times New Roman" w:hAnsi="Times New Roman" w:eastAsia="宋体" w:cs="Times New Roman"/>
                <w:color w:val="0000E1"/>
                <w:szCs w:val="21"/>
                <w:lang w:val="en-US" w:eastAsia="zh-CN"/>
              </w:rPr>
              <w:t>）</w:t>
            </w:r>
          </w:p>
        </w:tc>
        <w:tc>
          <w:tcPr>
            <w:tcW w:w="486" w:type="pct"/>
            <w:shd w:val="clear" w:color="auto" w:fill="auto"/>
            <w:vAlign w:val="center"/>
          </w:tcPr>
          <w:p w14:paraId="0BC8B52D">
            <w:pPr>
              <w:keepNext w:val="0"/>
              <w:keepLines w:val="0"/>
              <w:widowControl w:val="0"/>
              <w:suppressLineNumbers w:val="0"/>
              <w:spacing w:before="0" w:beforeAutospacing="0" w:after="0" w:afterAutospacing="0"/>
              <w:ind w:left="0" w:leftChars="0" w:right="0" w:rightChars="0"/>
              <w:jc w:val="center"/>
              <w:rPr>
                <w:rFonts w:hint="default" w:ascii="Times New Roman" w:hAnsi="Times New Roman" w:eastAsia="宋体" w:cs="Times New Roman"/>
                <w:color w:val="0000E1"/>
                <w:kern w:val="2"/>
                <w:sz w:val="21"/>
                <w:szCs w:val="21"/>
                <w:highlight w:val="none"/>
                <w:lang w:val="en-US" w:eastAsia="zh-CN" w:bidi="ar-SA"/>
              </w:rPr>
            </w:pPr>
            <w:r>
              <w:rPr>
                <w:rFonts w:hint="eastAsia" w:ascii="Times New Roman" w:hAnsi="Times New Roman" w:eastAsia="宋体" w:cs="Times New Roman"/>
                <w:color w:val="0000E1"/>
                <w:kern w:val="2"/>
                <w:sz w:val="21"/>
                <w:szCs w:val="21"/>
                <w:highlight w:val="none"/>
                <w:lang w:val="en-US" w:eastAsia="zh-CN" w:bidi="ar"/>
              </w:rPr>
              <w:t>+0.072</w:t>
            </w:r>
          </w:p>
        </w:tc>
      </w:tr>
      <w:tr w14:paraId="4E05B20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40" w:hRule="atLeast"/>
          <w:jc w:val="center"/>
        </w:trPr>
        <w:tc>
          <w:tcPr>
            <w:tcW w:w="228" w:type="pct"/>
            <w:vMerge w:val="continue"/>
            <w:vAlign w:val="center"/>
          </w:tcPr>
          <w:p w14:paraId="4F9DDEC7">
            <w:pPr>
              <w:keepNext w:val="0"/>
              <w:keepLines w:val="0"/>
              <w:suppressLineNumbers w:val="0"/>
              <w:wordWrap w:val="0"/>
              <w:spacing w:before="0" w:beforeAutospacing="0" w:after="0" w:afterAutospacing="0"/>
              <w:ind w:left="0" w:right="0"/>
              <w:jc w:val="center"/>
              <w:rPr>
                <w:rFonts w:hint="default" w:ascii="Times New Roman" w:hAnsi="Times New Roman" w:eastAsia="宋体" w:cs="Times New Roman"/>
                <w:color w:val="auto"/>
                <w:szCs w:val="21"/>
              </w:rPr>
            </w:pPr>
          </w:p>
        </w:tc>
        <w:tc>
          <w:tcPr>
            <w:tcW w:w="622" w:type="pct"/>
            <w:shd w:val="clear" w:color="auto" w:fill="auto"/>
            <w:vAlign w:val="center"/>
          </w:tcPr>
          <w:p w14:paraId="76785640">
            <w:pPr>
              <w:keepNext w:val="0"/>
              <w:keepLines w:val="0"/>
              <w:widowControl w:val="0"/>
              <w:suppressLineNumbers w:val="0"/>
              <w:spacing w:before="0" w:beforeAutospacing="0" w:after="0" w:afterAutospacing="0"/>
              <w:ind w:left="0" w:leftChars="0" w:right="0" w:rightChars="0"/>
              <w:jc w:val="center"/>
              <w:rPr>
                <w:rFonts w:hint="default" w:ascii="Times New Roman" w:hAnsi="Times New Roman" w:eastAsia="宋体" w:cs="Times New Roman"/>
                <w:color w:val="auto"/>
                <w:kern w:val="2"/>
                <w:sz w:val="21"/>
                <w:szCs w:val="21"/>
                <w:lang w:val="en-US" w:eastAsia="zh-CN" w:bidi="ar-SA"/>
              </w:rPr>
            </w:pPr>
            <w:r>
              <w:rPr>
                <w:rFonts w:hint="eastAsia" w:ascii="宋体" w:hAnsi="宋体" w:eastAsia="宋体" w:cs="宋体"/>
                <w:color w:val="auto"/>
                <w:kern w:val="2"/>
                <w:sz w:val="21"/>
                <w:szCs w:val="21"/>
                <w:lang w:val="en-US" w:eastAsia="zh-CN" w:bidi="ar"/>
              </w:rPr>
              <w:t>废活性炭</w:t>
            </w:r>
          </w:p>
        </w:tc>
        <w:tc>
          <w:tcPr>
            <w:tcW w:w="636" w:type="pct"/>
            <w:vAlign w:val="center"/>
          </w:tcPr>
          <w:p w14:paraId="0191CCEA">
            <w:pPr>
              <w:keepNext w:val="0"/>
              <w:keepLines w:val="0"/>
              <w:suppressLineNumbers w:val="0"/>
              <w:tabs>
                <w:tab w:val="left" w:pos="4830"/>
              </w:tabs>
              <w:spacing w:before="0" w:beforeAutospacing="0" w:after="0" w:afterAutospacing="0"/>
              <w:ind w:left="0" w:right="0"/>
              <w:jc w:val="center"/>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lang w:val="en-US" w:eastAsia="zh-CN"/>
              </w:rPr>
              <w:t>0（116.381）</w:t>
            </w:r>
          </w:p>
        </w:tc>
        <w:tc>
          <w:tcPr>
            <w:tcW w:w="416" w:type="pct"/>
            <w:vAlign w:val="center"/>
          </w:tcPr>
          <w:p w14:paraId="516EE3A1">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r>
              <w:rPr>
                <w:rFonts w:hint="eastAsia" w:ascii="Times New Roman" w:hAnsi="Times New Roman" w:eastAsia="宋体" w:cs="Times New Roman"/>
                <w:color w:val="auto"/>
                <w:szCs w:val="21"/>
              </w:rPr>
              <w:t>0</w:t>
            </w:r>
          </w:p>
        </w:tc>
        <w:tc>
          <w:tcPr>
            <w:tcW w:w="642" w:type="pct"/>
            <w:vAlign w:val="center"/>
          </w:tcPr>
          <w:p w14:paraId="261F814A">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rPr>
              <w:t>/</w:t>
            </w:r>
          </w:p>
        </w:tc>
        <w:tc>
          <w:tcPr>
            <w:tcW w:w="641" w:type="pct"/>
            <w:shd w:val="clear" w:color="auto" w:fill="auto"/>
            <w:vAlign w:val="center"/>
          </w:tcPr>
          <w:p w14:paraId="21AFC51B">
            <w:pPr>
              <w:keepNext w:val="0"/>
              <w:keepLines w:val="0"/>
              <w:widowControl w:val="0"/>
              <w:suppressLineNumbers w:val="0"/>
              <w:spacing w:before="0" w:beforeAutospacing="0" w:after="0" w:afterAutospacing="0"/>
              <w:ind w:left="0" w:leftChars="0" w:right="0" w:rightChars="0"/>
              <w:jc w:val="center"/>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color w:val="0000FF"/>
                <w:kern w:val="2"/>
                <w:sz w:val="21"/>
                <w:szCs w:val="21"/>
                <w:highlight w:val="none"/>
                <w:lang w:val="en-US" w:eastAsia="zh-CN"/>
              </w:rPr>
              <w:t>0（39.641）</w:t>
            </w:r>
          </w:p>
        </w:tc>
        <w:tc>
          <w:tcPr>
            <w:tcW w:w="571" w:type="pct"/>
            <w:vAlign w:val="center"/>
          </w:tcPr>
          <w:p w14:paraId="6F2972C0">
            <w:pPr>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color w:val="auto"/>
                <w:szCs w:val="21"/>
              </w:rPr>
            </w:pPr>
            <w:r>
              <w:rPr>
                <w:rFonts w:hint="eastAsia" w:ascii="Times New Roman" w:hAnsi="Times New Roman" w:eastAsia="宋体" w:cs="Times New Roman"/>
                <w:color w:val="auto"/>
                <w:szCs w:val="21"/>
                <w:lang w:val="en-US" w:eastAsia="zh-CN"/>
              </w:rPr>
              <w:t>0</w:t>
            </w:r>
          </w:p>
        </w:tc>
        <w:tc>
          <w:tcPr>
            <w:tcW w:w="753" w:type="pct"/>
            <w:vAlign w:val="center"/>
          </w:tcPr>
          <w:p w14:paraId="242416B4">
            <w:pPr>
              <w:keepNext w:val="0"/>
              <w:keepLines w:val="0"/>
              <w:suppressLineNumbers w:val="0"/>
              <w:tabs>
                <w:tab w:val="left" w:pos="4830"/>
              </w:tabs>
              <w:spacing w:before="0" w:beforeAutospacing="0" w:after="0" w:afterAutospacing="0"/>
              <w:ind w:left="0" w:right="0"/>
              <w:jc w:val="center"/>
              <w:rPr>
                <w:rFonts w:hint="default" w:ascii="Times New Roman" w:hAnsi="Times New Roman" w:eastAsia="宋体" w:cs="Times New Roman"/>
                <w:color w:val="auto"/>
                <w:szCs w:val="21"/>
                <w:lang w:val="en-US" w:eastAsia="zh-CN"/>
              </w:rPr>
            </w:pPr>
            <w:r>
              <w:rPr>
                <w:rFonts w:hint="default" w:ascii="Times New Roman" w:hAnsi="Times New Roman" w:eastAsia="宋体" w:cs="Times New Roman"/>
                <w:color w:val="0000FF"/>
                <w:szCs w:val="21"/>
                <w:lang w:val="en-US" w:eastAsia="zh-CN"/>
              </w:rPr>
              <w:t>0（</w:t>
            </w:r>
            <w:r>
              <w:rPr>
                <w:rFonts w:hint="eastAsia" w:ascii="Times New Roman" w:hAnsi="Times New Roman" w:eastAsia="宋体" w:cs="Times New Roman"/>
                <w:color w:val="0000FF"/>
                <w:szCs w:val="21"/>
                <w:lang w:val="en-US" w:eastAsia="zh-CN"/>
              </w:rPr>
              <w:t>156.022</w:t>
            </w:r>
            <w:r>
              <w:rPr>
                <w:rFonts w:hint="default" w:ascii="Times New Roman" w:hAnsi="Times New Roman" w:eastAsia="宋体" w:cs="Times New Roman"/>
                <w:color w:val="0000FF"/>
                <w:szCs w:val="21"/>
                <w:lang w:val="en-US" w:eastAsia="zh-CN"/>
              </w:rPr>
              <w:t>）</w:t>
            </w:r>
          </w:p>
        </w:tc>
        <w:tc>
          <w:tcPr>
            <w:tcW w:w="486" w:type="pct"/>
            <w:shd w:val="clear" w:color="auto" w:fill="auto"/>
            <w:vAlign w:val="center"/>
          </w:tcPr>
          <w:p w14:paraId="1787C10C">
            <w:pPr>
              <w:keepNext w:val="0"/>
              <w:keepLines w:val="0"/>
              <w:widowControl w:val="0"/>
              <w:suppressLineNumbers w:val="0"/>
              <w:spacing w:before="0" w:beforeAutospacing="0" w:after="0" w:afterAutospacing="0"/>
              <w:ind w:left="0" w:leftChars="0" w:right="0" w:rightChars="0"/>
              <w:jc w:val="center"/>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color w:val="0000FF"/>
                <w:kern w:val="2"/>
                <w:sz w:val="21"/>
                <w:szCs w:val="21"/>
                <w:highlight w:val="none"/>
                <w:lang w:val="en-US" w:eastAsia="zh-CN"/>
              </w:rPr>
              <w:t>+39.641</w:t>
            </w:r>
          </w:p>
        </w:tc>
      </w:tr>
      <w:tr w14:paraId="15949CF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40" w:hRule="atLeast"/>
          <w:jc w:val="center"/>
        </w:trPr>
        <w:tc>
          <w:tcPr>
            <w:tcW w:w="228" w:type="pct"/>
            <w:vMerge w:val="continue"/>
            <w:vAlign w:val="center"/>
          </w:tcPr>
          <w:p w14:paraId="486E6F51">
            <w:pPr>
              <w:keepNext w:val="0"/>
              <w:keepLines w:val="0"/>
              <w:suppressLineNumbers w:val="0"/>
              <w:wordWrap w:val="0"/>
              <w:spacing w:before="0" w:beforeAutospacing="0" w:after="0" w:afterAutospacing="0"/>
              <w:ind w:left="0" w:right="0"/>
              <w:jc w:val="center"/>
              <w:rPr>
                <w:rFonts w:hint="default" w:ascii="Times New Roman" w:hAnsi="Times New Roman" w:eastAsia="宋体" w:cs="Times New Roman"/>
                <w:color w:val="auto"/>
                <w:szCs w:val="21"/>
              </w:rPr>
            </w:pPr>
          </w:p>
        </w:tc>
        <w:tc>
          <w:tcPr>
            <w:tcW w:w="622" w:type="pct"/>
            <w:shd w:val="clear" w:color="auto" w:fill="auto"/>
            <w:vAlign w:val="center"/>
          </w:tcPr>
          <w:p w14:paraId="52C977AB">
            <w:pPr>
              <w:keepNext w:val="0"/>
              <w:keepLines w:val="0"/>
              <w:widowControl w:val="0"/>
              <w:suppressLineNumbers w:val="0"/>
              <w:spacing w:before="0" w:beforeAutospacing="0" w:after="0" w:afterAutospacing="0"/>
              <w:ind w:left="0" w:leftChars="0" w:right="0" w:rightChars="0"/>
              <w:jc w:val="center"/>
              <w:rPr>
                <w:rFonts w:hint="eastAsia" w:ascii="宋体" w:hAnsi="宋体" w:eastAsia="宋体" w:cs="宋体"/>
                <w:color w:val="auto"/>
                <w:kern w:val="2"/>
                <w:sz w:val="21"/>
                <w:szCs w:val="21"/>
                <w:lang w:val="en-US" w:eastAsia="zh-CN" w:bidi="ar"/>
              </w:rPr>
            </w:pPr>
            <w:r>
              <w:rPr>
                <w:rFonts w:hint="eastAsia" w:ascii="宋体" w:hAnsi="宋体" w:eastAsia="宋体" w:cs="宋体"/>
                <w:color w:val="auto"/>
                <w:kern w:val="2"/>
                <w:sz w:val="21"/>
                <w:szCs w:val="21"/>
                <w:lang w:val="en-US" w:eastAsia="zh-CN" w:bidi="ar"/>
              </w:rPr>
              <w:t>内衬袋</w:t>
            </w:r>
          </w:p>
        </w:tc>
        <w:tc>
          <w:tcPr>
            <w:tcW w:w="636" w:type="pct"/>
            <w:vAlign w:val="center"/>
          </w:tcPr>
          <w:p w14:paraId="175CB667">
            <w:pPr>
              <w:keepNext w:val="0"/>
              <w:keepLines w:val="0"/>
              <w:suppressLineNumbers w:val="0"/>
              <w:tabs>
                <w:tab w:val="left" w:pos="4830"/>
              </w:tabs>
              <w:spacing w:before="0" w:beforeAutospacing="0" w:after="0" w:afterAutospacing="0"/>
              <w:ind w:left="0" w:right="0"/>
              <w:jc w:val="center"/>
              <w:rPr>
                <w:rFonts w:hint="default" w:ascii="Times New Roman" w:hAnsi="Times New Roman" w:eastAsia="宋体" w:cs="Times New Roman"/>
                <w:color w:val="auto"/>
                <w:szCs w:val="21"/>
                <w:lang w:val="en-US" w:eastAsia="zh-CN"/>
              </w:rPr>
            </w:pPr>
            <w:r>
              <w:rPr>
                <w:rFonts w:hint="default" w:ascii="Times New Roman" w:hAnsi="Times New Roman" w:eastAsia="宋体" w:cs="Times New Roman"/>
                <w:color w:val="auto"/>
                <w:szCs w:val="21"/>
                <w:lang w:val="en-US" w:eastAsia="zh-CN"/>
              </w:rPr>
              <w:t>0（0.9）</w:t>
            </w:r>
          </w:p>
        </w:tc>
        <w:tc>
          <w:tcPr>
            <w:tcW w:w="416" w:type="pct"/>
            <w:vAlign w:val="center"/>
          </w:tcPr>
          <w:p w14:paraId="30C095EB">
            <w:pPr>
              <w:keepNext w:val="0"/>
              <w:keepLines w:val="0"/>
              <w:suppressLineNumbers w:val="0"/>
              <w:spacing w:before="0" w:beforeAutospacing="0" w:after="0" w:afterAutospacing="0"/>
              <w:ind w:left="0" w:right="0"/>
              <w:jc w:val="center"/>
              <w:rPr>
                <w:rFonts w:hint="eastAsia" w:ascii="Times New Roman" w:hAnsi="Times New Roman" w:eastAsia="宋体" w:cs="Times New Roman"/>
                <w:color w:val="auto"/>
                <w:szCs w:val="21"/>
              </w:rPr>
            </w:pPr>
            <w:r>
              <w:rPr>
                <w:rFonts w:hint="eastAsia" w:ascii="Times New Roman" w:hAnsi="Times New Roman" w:eastAsia="宋体" w:cs="Times New Roman"/>
                <w:color w:val="auto"/>
                <w:szCs w:val="21"/>
              </w:rPr>
              <w:t>0</w:t>
            </w:r>
          </w:p>
        </w:tc>
        <w:tc>
          <w:tcPr>
            <w:tcW w:w="642" w:type="pct"/>
            <w:vAlign w:val="center"/>
          </w:tcPr>
          <w:p w14:paraId="0CBB8F8D">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rPr>
              <w:t>/</w:t>
            </w:r>
          </w:p>
        </w:tc>
        <w:tc>
          <w:tcPr>
            <w:tcW w:w="641" w:type="pct"/>
            <w:vAlign w:val="center"/>
          </w:tcPr>
          <w:p w14:paraId="571B7A4E">
            <w:pPr>
              <w:keepNext w:val="0"/>
              <w:keepLines w:val="0"/>
              <w:suppressLineNumbers w:val="0"/>
              <w:tabs>
                <w:tab w:val="left" w:pos="4830"/>
              </w:tabs>
              <w:spacing w:before="0" w:beforeAutospacing="0" w:after="0" w:afterAutospacing="0"/>
              <w:ind w:left="0" w:right="0"/>
              <w:jc w:val="center"/>
              <w:rPr>
                <w:rFonts w:hint="eastAsia" w:ascii="Times New Roman" w:hAnsi="Times New Roman" w:eastAsia="宋体" w:cs="Times New Roman"/>
                <w:color w:val="auto"/>
                <w:szCs w:val="21"/>
                <w:lang w:val="en-US" w:eastAsia="zh-CN"/>
              </w:rPr>
            </w:pPr>
            <w:r>
              <w:rPr>
                <w:rFonts w:hint="eastAsia" w:ascii="Times New Roman" w:hAnsi="Times New Roman" w:eastAsia="宋体" w:cs="Times New Roman"/>
                <w:color w:val="auto"/>
                <w:szCs w:val="21"/>
                <w:lang w:val="en-US" w:eastAsia="zh-CN"/>
              </w:rPr>
              <w:t>0（0）</w:t>
            </w:r>
          </w:p>
        </w:tc>
        <w:tc>
          <w:tcPr>
            <w:tcW w:w="571" w:type="pct"/>
            <w:vAlign w:val="center"/>
          </w:tcPr>
          <w:p w14:paraId="5477B499">
            <w:pPr>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color w:val="auto"/>
                <w:szCs w:val="21"/>
              </w:rPr>
            </w:pPr>
            <w:r>
              <w:rPr>
                <w:rFonts w:hint="eastAsia" w:ascii="Times New Roman" w:hAnsi="Times New Roman" w:eastAsia="宋体" w:cs="Times New Roman"/>
                <w:color w:val="auto"/>
                <w:szCs w:val="21"/>
                <w:lang w:val="en-US" w:eastAsia="zh-CN"/>
              </w:rPr>
              <w:t>0</w:t>
            </w:r>
          </w:p>
        </w:tc>
        <w:tc>
          <w:tcPr>
            <w:tcW w:w="753" w:type="pct"/>
            <w:vAlign w:val="center"/>
          </w:tcPr>
          <w:p w14:paraId="73D70E05">
            <w:pPr>
              <w:keepNext w:val="0"/>
              <w:keepLines w:val="0"/>
              <w:suppressLineNumbers w:val="0"/>
              <w:tabs>
                <w:tab w:val="left" w:pos="4830"/>
              </w:tabs>
              <w:spacing w:before="0" w:beforeAutospacing="0" w:after="0" w:afterAutospacing="0"/>
              <w:ind w:left="0" w:right="0"/>
              <w:jc w:val="center"/>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lang w:val="en-US" w:eastAsia="zh-CN"/>
              </w:rPr>
              <w:t>0（0.9）</w:t>
            </w:r>
          </w:p>
        </w:tc>
        <w:tc>
          <w:tcPr>
            <w:tcW w:w="486" w:type="pct"/>
            <w:shd w:val="clear" w:color="auto" w:fill="auto"/>
            <w:vAlign w:val="center"/>
          </w:tcPr>
          <w:p w14:paraId="5229BB34">
            <w:pPr>
              <w:keepNext w:val="0"/>
              <w:keepLines w:val="0"/>
              <w:suppressLineNumbers w:val="0"/>
              <w:tabs>
                <w:tab w:val="left" w:pos="4830"/>
              </w:tabs>
              <w:spacing w:before="0" w:beforeAutospacing="0" w:after="0" w:afterAutospacing="0"/>
              <w:ind w:left="0" w:leftChars="0" w:right="0" w:rightChars="0"/>
              <w:jc w:val="center"/>
              <w:rPr>
                <w:rFonts w:hint="eastAsia" w:ascii="Times New Roman" w:hAnsi="Times New Roman" w:eastAsia="宋体" w:cs="Times New Roman"/>
                <w:color w:val="auto"/>
                <w:kern w:val="2"/>
                <w:sz w:val="21"/>
                <w:szCs w:val="21"/>
                <w:lang w:val="en-US" w:eastAsia="zh-CN" w:bidi="ar-SA"/>
              </w:rPr>
            </w:pPr>
            <w:r>
              <w:rPr>
                <w:rFonts w:hint="eastAsia" w:ascii="Times New Roman" w:hAnsi="Times New Roman" w:eastAsia="宋体" w:cs="Times New Roman"/>
                <w:color w:val="auto"/>
                <w:szCs w:val="21"/>
                <w:lang w:val="en-US" w:eastAsia="zh-CN"/>
              </w:rPr>
              <w:t>0</w:t>
            </w:r>
          </w:p>
        </w:tc>
      </w:tr>
      <w:tr w14:paraId="639C218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40" w:hRule="atLeast"/>
          <w:jc w:val="center"/>
        </w:trPr>
        <w:tc>
          <w:tcPr>
            <w:tcW w:w="228" w:type="pct"/>
            <w:vMerge w:val="continue"/>
            <w:vAlign w:val="center"/>
          </w:tcPr>
          <w:p w14:paraId="09BC57D4">
            <w:pPr>
              <w:keepNext w:val="0"/>
              <w:keepLines w:val="0"/>
              <w:suppressLineNumbers w:val="0"/>
              <w:wordWrap w:val="0"/>
              <w:spacing w:before="0" w:beforeAutospacing="0" w:after="0" w:afterAutospacing="0"/>
              <w:ind w:left="0" w:right="0"/>
              <w:jc w:val="center"/>
              <w:rPr>
                <w:rFonts w:hint="default" w:ascii="Times New Roman" w:hAnsi="Times New Roman" w:eastAsia="宋体" w:cs="Times New Roman"/>
                <w:color w:val="auto"/>
                <w:szCs w:val="21"/>
              </w:rPr>
            </w:pPr>
          </w:p>
        </w:tc>
        <w:tc>
          <w:tcPr>
            <w:tcW w:w="622" w:type="pct"/>
            <w:shd w:val="clear" w:color="auto" w:fill="auto"/>
            <w:vAlign w:val="center"/>
          </w:tcPr>
          <w:p w14:paraId="509B9B9D">
            <w:pPr>
              <w:keepNext w:val="0"/>
              <w:keepLines w:val="0"/>
              <w:suppressLineNumbers w:val="0"/>
              <w:spacing w:before="0" w:beforeAutospacing="0" w:after="0" w:afterAutospacing="0" w:line="240" w:lineRule="auto"/>
              <w:ind w:left="0" w:right="0"/>
              <w:jc w:val="center"/>
              <w:rPr>
                <w:rFonts w:hint="eastAsia" w:ascii="Times New Roman" w:hAnsi="Times New Roman" w:eastAsia="宋体" w:cs="Times New Roman"/>
                <w:b w:val="0"/>
                <w:bCs w:val="0"/>
                <w:color w:val="auto"/>
                <w:kern w:val="2"/>
                <w:sz w:val="21"/>
                <w:szCs w:val="21"/>
                <w:highlight w:val="none"/>
                <w:lang w:val="en-US" w:eastAsia="zh-CN" w:bidi="ar-SA"/>
              </w:rPr>
            </w:pPr>
            <w:r>
              <w:rPr>
                <w:rFonts w:hint="default" w:ascii="Times New Roman" w:hAnsi="Times New Roman" w:eastAsia="宋体" w:cs="Times New Roman"/>
                <w:b w:val="0"/>
                <w:bCs w:val="0"/>
                <w:color w:val="auto"/>
                <w:sz w:val="21"/>
                <w:szCs w:val="21"/>
                <w:highlight w:val="none"/>
                <w:lang w:val="en-US" w:eastAsia="zh-CN"/>
              </w:rPr>
              <w:t>废液压油</w:t>
            </w:r>
          </w:p>
        </w:tc>
        <w:tc>
          <w:tcPr>
            <w:tcW w:w="636" w:type="pct"/>
            <w:shd w:val="clear" w:color="auto" w:fill="auto"/>
            <w:vAlign w:val="center"/>
          </w:tcPr>
          <w:p w14:paraId="4F4541E8">
            <w:pPr>
              <w:keepNext w:val="0"/>
              <w:keepLines w:val="0"/>
              <w:suppressLineNumbers w:val="0"/>
              <w:spacing w:before="0" w:beforeAutospacing="0" w:after="0" w:afterAutospacing="0" w:line="240" w:lineRule="auto"/>
              <w:ind w:left="0" w:right="0"/>
              <w:jc w:val="center"/>
              <w:rPr>
                <w:rFonts w:hint="default" w:ascii="Times New Roman" w:hAnsi="Times New Roman" w:eastAsia="宋体" w:cs="Times New Roman"/>
                <w:b w:val="0"/>
                <w:bCs w:val="0"/>
                <w:color w:val="auto"/>
                <w:kern w:val="2"/>
                <w:sz w:val="21"/>
                <w:szCs w:val="21"/>
                <w:highlight w:val="none"/>
                <w:lang w:val="en-US" w:eastAsia="zh-CN" w:bidi="ar-SA"/>
              </w:rPr>
            </w:pPr>
            <w:r>
              <w:rPr>
                <w:rFonts w:hint="default" w:ascii="Times New Roman" w:hAnsi="Times New Roman" w:eastAsia="宋体" w:cs="Times New Roman"/>
                <w:b w:val="0"/>
                <w:bCs w:val="0"/>
                <w:color w:val="auto"/>
                <w:sz w:val="21"/>
                <w:szCs w:val="21"/>
                <w:highlight w:val="none"/>
                <w:lang w:val="en-US" w:eastAsia="zh-CN"/>
              </w:rPr>
              <w:t>0（5.2t/5年）</w:t>
            </w:r>
          </w:p>
        </w:tc>
        <w:tc>
          <w:tcPr>
            <w:tcW w:w="416" w:type="pct"/>
            <w:vAlign w:val="center"/>
          </w:tcPr>
          <w:p w14:paraId="1E59547A">
            <w:pPr>
              <w:keepNext w:val="0"/>
              <w:keepLines w:val="0"/>
              <w:suppressLineNumbers w:val="0"/>
              <w:spacing w:before="0" w:beforeAutospacing="0" w:after="0" w:afterAutospacing="0"/>
              <w:ind w:left="0" w:right="0"/>
              <w:jc w:val="center"/>
              <w:rPr>
                <w:rFonts w:hint="eastAsia" w:ascii="Times New Roman" w:hAnsi="Times New Roman" w:eastAsia="宋体" w:cs="Times New Roman"/>
                <w:color w:val="auto"/>
                <w:szCs w:val="21"/>
              </w:rPr>
            </w:pPr>
            <w:r>
              <w:rPr>
                <w:rFonts w:hint="eastAsia" w:ascii="Times New Roman" w:hAnsi="Times New Roman" w:eastAsia="宋体" w:cs="Times New Roman"/>
                <w:color w:val="auto"/>
                <w:szCs w:val="21"/>
              </w:rPr>
              <w:t>0</w:t>
            </w:r>
          </w:p>
        </w:tc>
        <w:tc>
          <w:tcPr>
            <w:tcW w:w="642" w:type="pct"/>
            <w:vAlign w:val="center"/>
          </w:tcPr>
          <w:p w14:paraId="6187C0F9">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rPr>
              <w:t>/</w:t>
            </w:r>
          </w:p>
        </w:tc>
        <w:tc>
          <w:tcPr>
            <w:tcW w:w="641" w:type="pct"/>
            <w:vAlign w:val="center"/>
          </w:tcPr>
          <w:p w14:paraId="403D103E">
            <w:pPr>
              <w:keepNext w:val="0"/>
              <w:keepLines w:val="0"/>
              <w:suppressLineNumbers w:val="0"/>
              <w:tabs>
                <w:tab w:val="left" w:pos="4830"/>
              </w:tabs>
              <w:spacing w:before="0" w:beforeAutospacing="0" w:after="0" w:afterAutospacing="0"/>
              <w:ind w:left="0" w:right="0"/>
              <w:jc w:val="center"/>
              <w:rPr>
                <w:rFonts w:hint="eastAsia" w:ascii="Times New Roman" w:hAnsi="Times New Roman" w:eastAsia="宋体" w:cs="Times New Roman"/>
                <w:color w:val="auto"/>
                <w:szCs w:val="21"/>
                <w:lang w:val="en-US" w:eastAsia="zh-CN"/>
              </w:rPr>
            </w:pPr>
            <w:r>
              <w:rPr>
                <w:rFonts w:hint="eastAsia" w:ascii="Times New Roman" w:hAnsi="Times New Roman" w:eastAsia="宋体" w:cs="Times New Roman"/>
                <w:color w:val="auto"/>
                <w:szCs w:val="21"/>
                <w:lang w:val="en-US" w:eastAsia="zh-CN"/>
              </w:rPr>
              <w:t>0（0）</w:t>
            </w:r>
          </w:p>
        </w:tc>
        <w:tc>
          <w:tcPr>
            <w:tcW w:w="571" w:type="pct"/>
            <w:vAlign w:val="center"/>
          </w:tcPr>
          <w:p w14:paraId="2A1CAB72">
            <w:pPr>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color w:val="auto"/>
                <w:szCs w:val="21"/>
              </w:rPr>
            </w:pPr>
            <w:r>
              <w:rPr>
                <w:rFonts w:hint="eastAsia" w:ascii="Times New Roman" w:hAnsi="Times New Roman" w:eastAsia="宋体" w:cs="Times New Roman"/>
                <w:color w:val="auto"/>
                <w:szCs w:val="21"/>
                <w:lang w:val="en-US" w:eastAsia="zh-CN"/>
              </w:rPr>
              <w:t>0</w:t>
            </w:r>
          </w:p>
        </w:tc>
        <w:tc>
          <w:tcPr>
            <w:tcW w:w="753" w:type="pct"/>
            <w:shd w:val="clear" w:color="auto" w:fill="auto"/>
            <w:vAlign w:val="center"/>
          </w:tcPr>
          <w:p w14:paraId="72E975B0">
            <w:pPr>
              <w:keepNext w:val="0"/>
              <w:keepLines w:val="0"/>
              <w:suppressLineNumbers w:val="0"/>
              <w:spacing w:before="0" w:beforeAutospacing="0" w:after="0" w:afterAutospacing="0" w:line="240" w:lineRule="auto"/>
              <w:ind w:left="0" w:right="0"/>
              <w:jc w:val="center"/>
              <w:rPr>
                <w:rFonts w:hint="default" w:ascii="Times New Roman" w:hAnsi="Times New Roman" w:eastAsia="宋体" w:cs="Times New Roman"/>
                <w:b w:val="0"/>
                <w:bCs w:val="0"/>
                <w:color w:val="auto"/>
                <w:kern w:val="2"/>
                <w:sz w:val="21"/>
                <w:szCs w:val="21"/>
                <w:highlight w:val="none"/>
                <w:lang w:val="en-US" w:eastAsia="zh-CN" w:bidi="ar-SA"/>
              </w:rPr>
            </w:pPr>
            <w:r>
              <w:rPr>
                <w:rFonts w:hint="default" w:ascii="Times New Roman" w:hAnsi="Times New Roman" w:eastAsia="宋体" w:cs="Times New Roman"/>
                <w:b w:val="0"/>
                <w:bCs w:val="0"/>
                <w:color w:val="auto"/>
                <w:sz w:val="21"/>
                <w:szCs w:val="21"/>
                <w:highlight w:val="none"/>
                <w:lang w:val="en-US" w:eastAsia="zh-CN"/>
              </w:rPr>
              <w:t>0（5.2t/5年）</w:t>
            </w:r>
          </w:p>
        </w:tc>
        <w:tc>
          <w:tcPr>
            <w:tcW w:w="486" w:type="pct"/>
            <w:shd w:val="clear" w:color="auto" w:fill="auto"/>
            <w:vAlign w:val="center"/>
          </w:tcPr>
          <w:p w14:paraId="7AEB1352">
            <w:pPr>
              <w:keepNext w:val="0"/>
              <w:keepLines w:val="0"/>
              <w:suppressLineNumbers w:val="0"/>
              <w:tabs>
                <w:tab w:val="left" w:pos="4830"/>
              </w:tabs>
              <w:spacing w:before="0" w:beforeAutospacing="0" w:after="0" w:afterAutospacing="0"/>
              <w:ind w:left="0" w:leftChars="0" w:right="0" w:rightChars="0"/>
              <w:jc w:val="center"/>
              <w:rPr>
                <w:rFonts w:hint="eastAsia" w:ascii="Times New Roman" w:hAnsi="Times New Roman" w:eastAsia="宋体" w:cs="Times New Roman"/>
                <w:color w:val="auto"/>
                <w:kern w:val="2"/>
                <w:sz w:val="21"/>
                <w:szCs w:val="21"/>
                <w:lang w:val="en-US" w:eastAsia="zh-CN" w:bidi="ar-SA"/>
              </w:rPr>
            </w:pPr>
            <w:r>
              <w:rPr>
                <w:rFonts w:hint="eastAsia" w:ascii="Times New Roman" w:hAnsi="Times New Roman" w:eastAsia="宋体" w:cs="Times New Roman"/>
                <w:color w:val="auto"/>
                <w:szCs w:val="21"/>
                <w:lang w:val="en-US" w:eastAsia="zh-CN"/>
              </w:rPr>
              <w:t>0</w:t>
            </w:r>
          </w:p>
        </w:tc>
      </w:tr>
      <w:tr w14:paraId="5FE9C23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19" w:hRule="atLeast"/>
          <w:jc w:val="center"/>
        </w:trPr>
        <w:tc>
          <w:tcPr>
            <w:tcW w:w="228" w:type="pct"/>
            <w:vMerge w:val="continue"/>
            <w:vAlign w:val="center"/>
          </w:tcPr>
          <w:p w14:paraId="1D8066F9">
            <w:pPr>
              <w:keepNext w:val="0"/>
              <w:keepLines w:val="0"/>
              <w:suppressLineNumbers w:val="0"/>
              <w:wordWrap w:val="0"/>
              <w:spacing w:before="0" w:beforeAutospacing="0" w:after="0" w:afterAutospacing="0"/>
              <w:ind w:left="0" w:right="0"/>
              <w:jc w:val="center"/>
              <w:rPr>
                <w:rFonts w:hint="default" w:ascii="Times New Roman" w:hAnsi="Times New Roman" w:eastAsia="宋体" w:cs="Times New Roman"/>
                <w:color w:val="auto"/>
                <w:szCs w:val="21"/>
              </w:rPr>
            </w:pPr>
          </w:p>
        </w:tc>
        <w:tc>
          <w:tcPr>
            <w:tcW w:w="622" w:type="pct"/>
            <w:shd w:val="clear" w:color="auto" w:fill="auto"/>
            <w:vAlign w:val="center"/>
          </w:tcPr>
          <w:p w14:paraId="2A8FA8F4">
            <w:pPr>
              <w:keepNext w:val="0"/>
              <w:keepLines w:val="0"/>
              <w:suppressLineNumbers w:val="0"/>
              <w:spacing w:before="0" w:beforeAutospacing="0" w:after="0" w:afterAutospacing="0" w:line="240" w:lineRule="auto"/>
              <w:ind w:left="0" w:right="0"/>
              <w:jc w:val="center"/>
              <w:rPr>
                <w:rFonts w:hint="eastAsia" w:ascii="Times New Roman" w:hAnsi="Times New Roman" w:eastAsia="宋体" w:cs="Times New Roman"/>
                <w:b w:val="0"/>
                <w:bCs w:val="0"/>
                <w:color w:val="auto"/>
                <w:kern w:val="2"/>
                <w:sz w:val="21"/>
                <w:szCs w:val="21"/>
                <w:highlight w:val="none"/>
                <w:lang w:val="en-US" w:eastAsia="zh-CN" w:bidi="ar-SA"/>
              </w:rPr>
            </w:pPr>
            <w:r>
              <w:rPr>
                <w:rFonts w:hint="default" w:ascii="Times New Roman" w:hAnsi="Times New Roman" w:eastAsia="宋体" w:cs="Times New Roman"/>
                <w:b w:val="0"/>
                <w:bCs w:val="0"/>
                <w:color w:val="auto"/>
                <w:sz w:val="21"/>
                <w:szCs w:val="21"/>
                <w:highlight w:val="none"/>
                <w:lang w:val="en-US" w:eastAsia="zh-CN"/>
              </w:rPr>
              <w:t>废导热油</w:t>
            </w:r>
          </w:p>
        </w:tc>
        <w:tc>
          <w:tcPr>
            <w:tcW w:w="636" w:type="pct"/>
            <w:shd w:val="clear" w:color="auto" w:fill="auto"/>
            <w:vAlign w:val="center"/>
          </w:tcPr>
          <w:p w14:paraId="5AB0C1A0">
            <w:pPr>
              <w:keepNext w:val="0"/>
              <w:keepLines w:val="0"/>
              <w:suppressLineNumbers w:val="0"/>
              <w:spacing w:before="0" w:beforeAutospacing="0" w:after="0" w:afterAutospacing="0" w:line="240" w:lineRule="auto"/>
              <w:ind w:left="0" w:right="0"/>
              <w:jc w:val="center"/>
              <w:rPr>
                <w:rFonts w:hint="default" w:ascii="Times New Roman" w:hAnsi="Times New Roman" w:eastAsia="宋体" w:cs="Times New Roman"/>
                <w:b w:val="0"/>
                <w:bCs w:val="0"/>
                <w:color w:val="auto"/>
                <w:kern w:val="2"/>
                <w:sz w:val="21"/>
                <w:szCs w:val="21"/>
                <w:highlight w:val="none"/>
                <w:lang w:val="en-US" w:eastAsia="zh-CN" w:bidi="ar-SA"/>
              </w:rPr>
            </w:pPr>
            <w:r>
              <w:rPr>
                <w:rFonts w:hint="default" w:ascii="Times New Roman" w:hAnsi="Times New Roman" w:eastAsia="宋体" w:cs="Times New Roman"/>
                <w:b w:val="0"/>
                <w:bCs w:val="0"/>
                <w:color w:val="auto"/>
                <w:sz w:val="21"/>
                <w:szCs w:val="21"/>
                <w:highlight w:val="none"/>
                <w:lang w:val="en-US" w:eastAsia="zh-CN"/>
              </w:rPr>
              <w:t>0（2.6t/5年）</w:t>
            </w:r>
          </w:p>
        </w:tc>
        <w:tc>
          <w:tcPr>
            <w:tcW w:w="416" w:type="pct"/>
            <w:vAlign w:val="center"/>
          </w:tcPr>
          <w:p w14:paraId="4F3E0343">
            <w:pPr>
              <w:keepNext w:val="0"/>
              <w:keepLines w:val="0"/>
              <w:suppressLineNumbers w:val="0"/>
              <w:spacing w:before="0" w:beforeAutospacing="0" w:after="0" w:afterAutospacing="0"/>
              <w:ind w:left="0" w:right="0"/>
              <w:jc w:val="center"/>
              <w:rPr>
                <w:rFonts w:hint="eastAsia" w:ascii="Times New Roman" w:hAnsi="Times New Roman" w:eastAsia="宋体" w:cs="Times New Roman"/>
                <w:color w:val="auto"/>
                <w:szCs w:val="21"/>
              </w:rPr>
            </w:pPr>
            <w:r>
              <w:rPr>
                <w:rFonts w:hint="eastAsia" w:ascii="Times New Roman" w:hAnsi="Times New Roman" w:eastAsia="宋体" w:cs="Times New Roman"/>
                <w:color w:val="auto"/>
                <w:szCs w:val="21"/>
              </w:rPr>
              <w:t>0</w:t>
            </w:r>
          </w:p>
        </w:tc>
        <w:tc>
          <w:tcPr>
            <w:tcW w:w="642" w:type="pct"/>
            <w:vAlign w:val="center"/>
          </w:tcPr>
          <w:p w14:paraId="084C725C">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rPr>
              <w:t>/</w:t>
            </w:r>
          </w:p>
        </w:tc>
        <w:tc>
          <w:tcPr>
            <w:tcW w:w="641" w:type="pct"/>
            <w:vAlign w:val="center"/>
          </w:tcPr>
          <w:p w14:paraId="4869212C">
            <w:pPr>
              <w:keepNext w:val="0"/>
              <w:keepLines w:val="0"/>
              <w:suppressLineNumbers w:val="0"/>
              <w:tabs>
                <w:tab w:val="left" w:pos="4830"/>
              </w:tabs>
              <w:spacing w:before="0" w:beforeAutospacing="0" w:after="0" w:afterAutospacing="0"/>
              <w:ind w:left="0" w:right="0"/>
              <w:jc w:val="center"/>
              <w:rPr>
                <w:rFonts w:hint="eastAsia" w:ascii="Times New Roman" w:hAnsi="Times New Roman" w:eastAsia="宋体" w:cs="Times New Roman"/>
                <w:color w:val="auto"/>
                <w:szCs w:val="21"/>
                <w:lang w:val="en-US" w:eastAsia="zh-CN"/>
              </w:rPr>
            </w:pPr>
            <w:r>
              <w:rPr>
                <w:rFonts w:hint="eastAsia" w:ascii="Times New Roman" w:hAnsi="Times New Roman" w:eastAsia="宋体" w:cs="Times New Roman"/>
                <w:color w:val="auto"/>
                <w:szCs w:val="21"/>
                <w:lang w:val="en-US" w:eastAsia="zh-CN"/>
              </w:rPr>
              <w:t>0（0）</w:t>
            </w:r>
          </w:p>
        </w:tc>
        <w:tc>
          <w:tcPr>
            <w:tcW w:w="571" w:type="pct"/>
            <w:vAlign w:val="center"/>
          </w:tcPr>
          <w:p w14:paraId="53A51104">
            <w:pPr>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color w:val="auto"/>
                <w:szCs w:val="21"/>
              </w:rPr>
            </w:pPr>
            <w:r>
              <w:rPr>
                <w:rFonts w:hint="eastAsia" w:ascii="Times New Roman" w:hAnsi="Times New Roman" w:eastAsia="宋体" w:cs="Times New Roman"/>
                <w:color w:val="auto"/>
                <w:szCs w:val="21"/>
                <w:lang w:val="en-US" w:eastAsia="zh-CN"/>
              </w:rPr>
              <w:t>0</w:t>
            </w:r>
          </w:p>
        </w:tc>
        <w:tc>
          <w:tcPr>
            <w:tcW w:w="753" w:type="pct"/>
            <w:shd w:val="clear" w:color="auto" w:fill="auto"/>
            <w:vAlign w:val="center"/>
          </w:tcPr>
          <w:p w14:paraId="5FB503CC">
            <w:pPr>
              <w:keepNext w:val="0"/>
              <w:keepLines w:val="0"/>
              <w:suppressLineNumbers w:val="0"/>
              <w:spacing w:before="0" w:beforeAutospacing="0" w:after="0" w:afterAutospacing="0" w:line="240" w:lineRule="auto"/>
              <w:ind w:left="0" w:right="0"/>
              <w:jc w:val="center"/>
              <w:rPr>
                <w:rFonts w:hint="default" w:ascii="Times New Roman" w:hAnsi="Times New Roman" w:eastAsia="宋体" w:cs="Times New Roman"/>
                <w:b w:val="0"/>
                <w:bCs w:val="0"/>
                <w:color w:val="auto"/>
                <w:kern w:val="2"/>
                <w:sz w:val="21"/>
                <w:szCs w:val="21"/>
                <w:highlight w:val="none"/>
                <w:lang w:val="en-US" w:eastAsia="zh-CN" w:bidi="ar-SA"/>
              </w:rPr>
            </w:pPr>
            <w:r>
              <w:rPr>
                <w:rFonts w:hint="default" w:ascii="Times New Roman" w:hAnsi="Times New Roman" w:eastAsia="宋体" w:cs="Times New Roman"/>
                <w:b w:val="0"/>
                <w:bCs w:val="0"/>
                <w:color w:val="auto"/>
                <w:sz w:val="21"/>
                <w:szCs w:val="21"/>
                <w:highlight w:val="none"/>
                <w:lang w:val="en-US" w:eastAsia="zh-CN"/>
              </w:rPr>
              <w:t>0（2.6t/5年）</w:t>
            </w:r>
          </w:p>
        </w:tc>
        <w:tc>
          <w:tcPr>
            <w:tcW w:w="486" w:type="pct"/>
            <w:shd w:val="clear" w:color="auto" w:fill="auto"/>
            <w:vAlign w:val="center"/>
          </w:tcPr>
          <w:p w14:paraId="5E78CEA3">
            <w:pPr>
              <w:keepNext w:val="0"/>
              <w:keepLines w:val="0"/>
              <w:suppressLineNumbers w:val="0"/>
              <w:tabs>
                <w:tab w:val="left" w:pos="4830"/>
              </w:tabs>
              <w:spacing w:before="0" w:beforeAutospacing="0" w:after="0" w:afterAutospacing="0"/>
              <w:ind w:left="0" w:leftChars="0" w:right="0" w:rightChars="0"/>
              <w:jc w:val="center"/>
              <w:rPr>
                <w:rFonts w:hint="eastAsia" w:ascii="Times New Roman" w:hAnsi="Times New Roman" w:eastAsia="宋体" w:cs="Times New Roman"/>
                <w:color w:val="auto"/>
                <w:kern w:val="2"/>
                <w:sz w:val="21"/>
                <w:szCs w:val="21"/>
                <w:lang w:val="en-US" w:eastAsia="zh-CN" w:bidi="ar-SA"/>
              </w:rPr>
            </w:pPr>
            <w:r>
              <w:rPr>
                <w:rFonts w:hint="eastAsia" w:ascii="Times New Roman" w:hAnsi="Times New Roman" w:eastAsia="宋体" w:cs="Times New Roman"/>
                <w:color w:val="auto"/>
                <w:szCs w:val="21"/>
                <w:lang w:val="en-US" w:eastAsia="zh-CN"/>
              </w:rPr>
              <w:t>0</w:t>
            </w:r>
          </w:p>
        </w:tc>
      </w:tr>
      <w:tr w14:paraId="1C839C1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40" w:hRule="atLeast"/>
          <w:jc w:val="center"/>
        </w:trPr>
        <w:tc>
          <w:tcPr>
            <w:tcW w:w="228" w:type="pct"/>
            <w:vMerge w:val="continue"/>
            <w:vAlign w:val="center"/>
          </w:tcPr>
          <w:p w14:paraId="79FDFF84">
            <w:pPr>
              <w:keepNext w:val="0"/>
              <w:keepLines w:val="0"/>
              <w:suppressLineNumbers w:val="0"/>
              <w:wordWrap w:val="0"/>
              <w:spacing w:before="0" w:beforeAutospacing="0" w:after="0" w:afterAutospacing="0"/>
              <w:ind w:left="0" w:right="0"/>
              <w:jc w:val="center"/>
              <w:rPr>
                <w:rFonts w:hint="default" w:ascii="Times New Roman" w:hAnsi="Times New Roman" w:eastAsia="宋体" w:cs="Times New Roman"/>
                <w:color w:val="auto"/>
                <w:szCs w:val="21"/>
              </w:rPr>
            </w:pPr>
          </w:p>
        </w:tc>
        <w:tc>
          <w:tcPr>
            <w:tcW w:w="622" w:type="pct"/>
            <w:shd w:val="clear" w:color="auto" w:fill="auto"/>
            <w:vAlign w:val="center"/>
          </w:tcPr>
          <w:p w14:paraId="33F89559">
            <w:pPr>
              <w:keepNext w:val="0"/>
              <w:keepLines w:val="0"/>
              <w:suppressLineNumbers w:val="0"/>
              <w:spacing w:before="0" w:beforeAutospacing="0" w:after="0" w:afterAutospacing="0" w:line="240" w:lineRule="auto"/>
              <w:ind w:left="0" w:right="0"/>
              <w:jc w:val="center"/>
              <w:rPr>
                <w:rFonts w:hint="eastAsia" w:ascii="Times New Roman" w:hAnsi="Times New Roman" w:eastAsia="宋体" w:cs="Times New Roman"/>
                <w:b w:val="0"/>
                <w:bCs w:val="0"/>
                <w:color w:val="auto"/>
                <w:kern w:val="2"/>
                <w:sz w:val="21"/>
                <w:szCs w:val="21"/>
                <w:highlight w:val="none"/>
                <w:lang w:val="en-US" w:eastAsia="zh-CN" w:bidi="ar-SA"/>
              </w:rPr>
            </w:pPr>
            <w:r>
              <w:rPr>
                <w:rFonts w:hint="default" w:ascii="Times New Roman" w:hAnsi="Times New Roman" w:eastAsia="宋体" w:cs="Times New Roman"/>
                <w:b w:val="0"/>
                <w:bCs w:val="0"/>
                <w:color w:val="auto"/>
                <w:sz w:val="21"/>
                <w:szCs w:val="21"/>
                <w:highlight w:val="none"/>
                <w:lang w:val="en-US" w:eastAsia="zh-CN"/>
              </w:rPr>
              <w:t>废液压、导热油桶</w:t>
            </w:r>
          </w:p>
        </w:tc>
        <w:tc>
          <w:tcPr>
            <w:tcW w:w="636" w:type="pct"/>
            <w:shd w:val="clear" w:color="auto" w:fill="auto"/>
            <w:vAlign w:val="center"/>
          </w:tcPr>
          <w:p w14:paraId="733269D3">
            <w:pPr>
              <w:keepNext w:val="0"/>
              <w:keepLines w:val="0"/>
              <w:suppressLineNumbers w:val="0"/>
              <w:spacing w:before="0" w:beforeAutospacing="0" w:after="0" w:afterAutospacing="0" w:line="240" w:lineRule="auto"/>
              <w:ind w:left="0" w:right="0"/>
              <w:jc w:val="center"/>
              <w:rPr>
                <w:rFonts w:hint="default" w:ascii="Times New Roman" w:hAnsi="Times New Roman" w:eastAsia="宋体" w:cs="Times New Roman"/>
                <w:b w:val="0"/>
                <w:bCs w:val="0"/>
                <w:color w:val="auto"/>
                <w:kern w:val="2"/>
                <w:sz w:val="21"/>
                <w:szCs w:val="21"/>
                <w:highlight w:val="none"/>
                <w:lang w:val="en-US" w:eastAsia="zh-CN" w:bidi="ar-SA"/>
              </w:rPr>
            </w:pPr>
            <w:r>
              <w:rPr>
                <w:rFonts w:hint="default" w:ascii="Times New Roman" w:hAnsi="Times New Roman" w:eastAsia="宋体" w:cs="Times New Roman"/>
                <w:b w:val="0"/>
                <w:bCs w:val="0"/>
                <w:color w:val="auto"/>
                <w:sz w:val="21"/>
                <w:szCs w:val="21"/>
                <w:highlight w:val="none"/>
                <w:lang w:val="en-US" w:eastAsia="zh-CN"/>
              </w:rPr>
              <w:t>0（0.799t/5年）</w:t>
            </w:r>
          </w:p>
        </w:tc>
        <w:tc>
          <w:tcPr>
            <w:tcW w:w="416" w:type="pct"/>
            <w:vAlign w:val="center"/>
          </w:tcPr>
          <w:p w14:paraId="431899B5">
            <w:pPr>
              <w:keepNext w:val="0"/>
              <w:keepLines w:val="0"/>
              <w:suppressLineNumbers w:val="0"/>
              <w:spacing w:before="0" w:beforeAutospacing="0" w:after="0" w:afterAutospacing="0"/>
              <w:ind w:left="0" w:right="0"/>
              <w:jc w:val="center"/>
              <w:rPr>
                <w:rFonts w:hint="eastAsia" w:ascii="Times New Roman" w:hAnsi="Times New Roman" w:eastAsia="宋体" w:cs="Times New Roman"/>
                <w:color w:val="auto"/>
                <w:szCs w:val="21"/>
              </w:rPr>
            </w:pPr>
            <w:r>
              <w:rPr>
                <w:rFonts w:hint="eastAsia" w:ascii="Times New Roman" w:hAnsi="Times New Roman" w:eastAsia="宋体" w:cs="Times New Roman"/>
                <w:color w:val="auto"/>
                <w:szCs w:val="21"/>
              </w:rPr>
              <w:t>0</w:t>
            </w:r>
          </w:p>
        </w:tc>
        <w:tc>
          <w:tcPr>
            <w:tcW w:w="642" w:type="pct"/>
            <w:vAlign w:val="center"/>
          </w:tcPr>
          <w:p w14:paraId="3C124630">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rPr>
              <w:t>/</w:t>
            </w:r>
          </w:p>
        </w:tc>
        <w:tc>
          <w:tcPr>
            <w:tcW w:w="641" w:type="pct"/>
            <w:vAlign w:val="center"/>
          </w:tcPr>
          <w:p w14:paraId="46909546">
            <w:pPr>
              <w:keepNext w:val="0"/>
              <w:keepLines w:val="0"/>
              <w:suppressLineNumbers w:val="0"/>
              <w:tabs>
                <w:tab w:val="left" w:pos="4830"/>
              </w:tabs>
              <w:spacing w:before="0" w:beforeAutospacing="0" w:after="0" w:afterAutospacing="0"/>
              <w:ind w:left="0" w:right="0"/>
              <w:jc w:val="center"/>
              <w:rPr>
                <w:rFonts w:hint="default" w:ascii="Times New Roman" w:hAnsi="Times New Roman" w:eastAsia="宋体" w:cs="Times New Roman"/>
                <w:color w:val="auto"/>
                <w:szCs w:val="21"/>
                <w:lang w:val="en-US"/>
              </w:rPr>
            </w:pPr>
            <w:r>
              <w:rPr>
                <w:rFonts w:hint="default" w:ascii="Times New Roman" w:hAnsi="Times New Roman" w:eastAsia="宋体" w:cs="Times New Roman"/>
                <w:color w:val="auto"/>
                <w:szCs w:val="21"/>
                <w:lang w:val="en-US" w:eastAsia="zh-CN"/>
              </w:rPr>
              <w:t>0（</w:t>
            </w:r>
            <w:r>
              <w:rPr>
                <w:rFonts w:hint="eastAsia" w:ascii="Times New Roman" w:hAnsi="Times New Roman" w:eastAsia="宋体" w:cs="Times New Roman"/>
                <w:color w:val="auto"/>
                <w:szCs w:val="21"/>
                <w:lang w:val="en-US" w:eastAsia="zh-CN"/>
              </w:rPr>
              <w:t>0）</w:t>
            </w:r>
          </w:p>
        </w:tc>
        <w:tc>
          <w:tcPr>
            <w:tcW w:w="571" w:type="pct"/>
            <w:vAlign w:val="center"/>
          </w:tcPr>
          <w:p w14:paraId="38E0117C">
            <w:pPr>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color w:val="auto"/>
                <w:szCs w:val="21"/>
              </w:rPr>
            </w:pPr>
            <w:r>
              <w:rPr>
                <w:rFonts w:hint="eastAsia" w:ascii="Times New Roman" w:hAnsi="Times New Roman" w:eastAsia="宋体" w:cs="Times New Roman"/>
                <w:color w:val="auto"/>
                <w:szCs w:val="21"/>
                <w:lang w:val="en-US" w:eastAsia="zh-CN"/>
              </w:rPr>
              <w:t>0</w:t>
            </w:r>
          </w:p>
        </w:tc>
        <w:tc>
          <w:tcPr>
            <w:tcW w:w="753" w:type="pct"/>
            <w:shd w:val="clear" w:color="auto" w:fill="auto"/>
            <w:vAlign w:val="center"/>
          </w:tcPr>
          <w:p w14:paraId="23328811">
            <w:pPr>
              <w:keepNext w:val="0"/>
              <w:keepLines w:val="0"/>
              <w:suppressLineNumbers w:val="0"/>
              <w:spacing w:before="0" w:beforeAutospacing="0" w:after="0" w:afterAutospacing="0" w:line="240" w:lineRule="auto"/>
              <w:ind w:left="0" w:right="0"/>
              <w:jc w:val="center"/>
              <w:rPr>
                <w:rFonts w:hint="default" w:ascii="Times New Roman" w:hAnsi="Times New Roman" w:eastAsia="宋体" w:cs="Times New Roman"/>
                <w:b w:val="0"/>
                <w:bCs w:val="0"/>
                <w:color w:val="auto"/>
                <w:kern w:val="2"/>
                <w:sz w:val="21"/>
                <w:szCs w:val="21"/>
                <w:highlight w:val="none"/>
                <w:lang w:val="en-US" w:eastAsia="zh-CN" w:bidi="ar-SA"/>
              </w:rPr>
            </w:pPr>
            <w:r>
              <w:rPr>
                <w:rFonts w:hint="default" w:ascii="Times New Roman" w:hAnsi="Times New Roman" w:eastAsia="宋体" w:cs="Times New Roman"/>
                <w:b w:val="0"/>
                <w:bCs w:val="0"/>
                <w:color w:val="auto"/>
                <w:sz w:val="21"/>
                <w:szCs w:val="21"/>
                <w:highlight w:val="none"/>
                <w:lang w:val="en-US" w:eastAsia="zh-CN"/>
              </w:rPr>
              <w:t>0（0.799t/5年）</w:t>
            </w:r>
          </w:p>
        </w:tc>
        <w:tc>
          <w:tcPr>
            <w:tcW w:w="486" w:type="pct"/>
            <w:vAlign w:val="center"/>
          </w:tcPr>
          <w:p w14:paraId="77FEC556">
            <w:pPr>
              <w:keepNext w:val="0"/>
              <w:keepLines w:val="0"/>
              <w:suppressLineNumbers w:val="0"/>
              <w:spacing w:before="0" w:beforeAutospacing="0" w:after="0" w:afterAutospacing="0"/>
              <w:ind w:left="0" w:right="0"/>
              <w:jc w:val="center"/>
              <w:rPr>
                <w:rFonts w:hint="eastAsia" w:ascii="Times New Roman" w:hAnsi="Times New Roman" w:eastAsia="宋体" w:cs="Times New Roman"/>
                <w:color w:val="auto"/>
                <w:szCs w:val="21"/>
              </w:rPr>
            </w:pPr>
            <w:r>
              <w:rPr>
                <w:rFonts w:hint="eastAsia" w:ascii="Times New Roman" w:hAnsi="Times New Roman" w:eastAsia="宋体" w:cs="Times New Roman"/>
                <w:color w:val="auto"/>
                <w:szCs w:val="21"/>
                <w:lang w:val="en-US" w:eastAsia="zh-CN"/>
              </w:rPr>
              <w:t>0</w:t>
            </w:r>
          </w:p>
        </w:tc>
      </w:tr>
      <w:tr w14:paraId="62692E3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40" w:hRule="atLeast"/>
          <w:jc w:val="center"/>
        </w:trPr>
        <w:tc>
          <w:tcPr>
            <w:tcW w:w="228" w:type="pct"/>
            <w:vMerge w:val="continue"/>
            <w:vAlign w:val="center"/>
          </w:tcPr>
          <w:p w14:paraId="1013F992">
            <w:pPr>
              <w:keepNext w:val="0"/>
              <w:keepLines w:val="0"/>
              <w:suppressLineNumbers w:val="0"/>
              <w:wordWrap w:val="0"/>
              <w:spacing w:before="0" w:beforeAutospacing="0" w:after="0" w:afterAutospacing="0"/>
              <w:ind w:left="0" w:right="0"/>
              <w:jc w:val="center"/>
              <w:rPr>
                <w:rFonts w:hint="default" w:ascii="Times New Roman" w:hAnsi="Times New Roman" w:eastAsia="宋体" w:cs="Times New Roman"/>
                <w:color w:val="auto"/>
                <w:szCs w:val="21"/>
              </w:rPr>
            </w:pPr>
          </w:p>
        </w:tc>
        <w:tc>
          <w:tcPr>
            <w:tcW w:w="622" w:type="pct"/>
            <w:shd w:val="clear" w:color="auto" w:fill="auto"/>
            <w:vAlign w:val="center"/>
          </w:tcPr>
          <w:p w14:paraId="6462F39D">
            <w:pPr>
              <w:keepNext w:val="0"/>
              <w:keepLines w:val="0"/>
              <w:widowControl w:val="0"/>
              <w:suppressLineNumbers w:val="0"/>
              <w:spacing w:before="0" w:beforeAutospacing="0" w:after="0" w:afterAutospacing="0"/>
              <w:ind w:left="0" w:leftChars="0" w:right="0" w:rightChars="0"/>
              <w:jc w:val="center"/>
              <w:rPr>
                <w:rFonts w:hint="eastAsia" w:ascii="宋体" w:hAnsi="宋体" w:eastAsia="宋体" w:cs="宋体"/>
                <w:color w:val="auto"/>
                <w:kern w:val="2"/>
                <w:sz w:val="21"/>
                <w:szCs w:val="21"/>
                <w:lang w:val="en-US" w:eastAsia="zh-CN" w:bidi="ar"/>
              </w:rPr>
            </w:pPr>
            <w:r>
              <w:rPr>
                <w:rFonts w:hint="eastAsia" w:ascii="宋体" w:hAnsi="宋体" w:eastAsia="宋体" w:cs="宋体"/>
                <w:color w:val="auto"/>
                <w:kern w:val="2"/>
                <w:sz w:val="21"/>
                <w:szCs w:val="21"/>
                <w:lang w:val="en-US" w:eastAsia="zh-CN" w:bidi="ar"/>
              </w:rPr>
              <w:t>废油</w:t>
            </w:r>
          </w:p>
        </w:tc>
        <w:tc>
          <w:tcPr>
            <w:tcW w:w="636" w:type="pct"/>
            <w:vAlign w:val="center"/>
          </w:tcPr>
          <w:p w14:paraId="1176F188">
            <w:pPr>
              <w:keepNext w:val="0"/>
              <w:keepLines w:val="0"/>
              <w:suppressLineNumbers w:val="0"/>
              <w:tabs>
                <w:tab w:val="left" w:pos="4830"/>
              </w:tabs>
              <w:spacing w:before="0" w:beforeAutospacing="0" w:after="0" w:afterAutospacing="0"/>
              <w:ind w:left="0" w:right="0"/>
              <w:jc w:val="center"/>
              <w:rPr>
                <w:rFonts w:hint="default" w:ascii="Times New Roman" w:hAnsi="Times New Roman" w:eastAsia="宋体" w:cs="Times New Roman"/>
                <w:color w:val="auto"/>
                <w:szCs w:val="21"/>
                <w:lang w:val="en-US" w:eastAsia="zh-CN"/>
              </w:rPr>
            </w:pPr>
            <w:r>
              <w:rPr>
                <w:rFonts w:hint="default" w:ascii="Times New Roman" w:hAnsi="Times New Roman" w:eastAsia="宋体" w:cs="Times New Roman"/>
                <w:color w:val="auto"/>
                <w:szCs w:val="21"/>
                <w:lang w:val="en-US" w:eastAsia="zh-CN"/>
              </w:rPr>
              <w:t>0（3）</w:t>
            </w:r>
          </w:p>
        </w:tc>
        <w:tc>
          <w:tcPr>
            <w:tcW w:w="416" w:type="pct"/>
            <w:vAlign w:val="center"/>
          </w:tcPr>
          <w:p w14:paraId="458E203F">
            <w:pPr>
              <w:keepNext w:val="0"/>
              <w:keepLines w:val="0"/>
              <w:suppressLineNumbers w:val="0"/>
              <w:spacing w:before="0" w:beforeAutospacing="0" w:after="0" w:afterAutospacing="0"/>
              <w:ind w:left="0" w:right="0"/>
              <w:jc w:val="center"/>
              <w:rPr>
                <w:rFonts w:hint="eastAsia" w:ascii="Times New Roman" w:hAnsi="Times New Roman" w:eastAsia="宋体" w:cs="Times New Roman"/>
                <w:color w:val="auto"/>
                <w:szCs w:val="21"/>
              </w:rPr>
            </w:pPr>
            <w:r>
              <w:rPr>
                <w:rFonts w:hint="eastAsia" w:ascii="Times New Roman" w:hAnsi="Times New Roman" w:eastAsia="宋体" w:cs="Times New Roman"/>
                <w:color w:val="auto"/>
                <w:szCs w:val="21"/>
              </w:rPr>
              <w:t>0</w:t>
            </w:r>
          </w:p>
        </w:tc>
        <w:tc>
          <w:tcPr>
            <w:tcW w:w="642" w:type="pct"/>
            <w:vAlign w:val="center"/>
          </w:tcPr>
          <w:p w14:paraId="4CC4F160">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rPr>
              <w:t>/</w:t>
            </w:r>
          </w:p>
        </w:tc>
        <w:tc>
          <w:tcPr>
            <w:tcW w:w="641" w:type="pct"/>
            <w:vAlign w:val="center"/>
          </w:tcPr>
          <w:p w14:paraId="51CB8ABA">
            <w:pPr>
              <w:keepNext w:val="0"/>
              <w:keepLines w:val="0"/>
              <w:suppressLineNumbers w:val="0"/>
              <w:tabs>
                <w:tab w:val="left" w:pos="4830"/>
              </w:tabs>
              <w:spacing w:before="0" w:beforeAutospacing="0" w:after="0" w:afterAutospacing="0"/>
              <w:ind w:left="0" w:right="0"/>
              <w:jc w:val="center"/>
              <w:rPr>
                <w:rFonts w:hint="default" w:ascii="Times New Roman" w:hAnsi="Times New Roman" w:eastAsia="宋体" w:cs="Times New Roman"/>
                <w:color w:val="auto"/>
                <w:szCs w:val="21"/>
                <w:lang w:val="en-US"/>
              </w:rPr>
            </w:pPr>
            <w:r>
              <w:rPr>
                <w:rFonts w:hint="default" w:ascii="Times New Roman" w:hAnsi="Times New Roman" w:eastAsia="宋体" w:cs="Times New Roman"/>
                <w:color w:val="auto"/>
                <w:szCs w:val="21"/>
                <w:lang w:val="en-US" w:eastAsia="zh-CN"/>
              </w:rPr>
              <w:t>0（</w:t>
            </w:r>
            <w:r>
              <w:rPr>
                <w:rFonts w:hint="eastAsia" w:ascii="Times New Roman" w:hAnsi="Times New Roman" w:eastAsia="宋体" w:cs="Times New Roman"/>
                <w:color w:val="auto"/>
                <w:szCs w:val="21"/>
                <w:lang w:val="en-US" w:eastAsia="zh-CN"/>
              </w:rPr>
              <w:t>0）</w:t>
            </w:r>
          </w:p>
        </w:tc>
        <w:tc>
          <w:tcPr>
            <w:tcW w:w="571" w:type="pct"/>
            <w:vAlign w:val="center"/>
          </w:tcPr>
          <w:p w14:paraId="3718940E">
            <w:pPr>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color w:val="auto"/>
                <w:szCs w:val="21"/>
              </w:rPr>
            </w:pPr>
            <w:r>
              <w:rPr>
                <w:rFonts w:hint="eastAsia" w:ascii="Times New Roman" w:hAnsi="Times New Roman" w:eastAsia="宋体" w:cs="Times New Roman"/>
                <w:color w:val="auto"/>
                <w:szCs w:val="21"/>
                <w:lang w:val="en-US" w:eastAsia="zh-CN"/>
              </w:rPr>
              <w:t>0</w:t>
            </w:r>
          </w:p>
        </w:tc>
        <w:tc>
          <w:tcPr>
            <w:tcW w:w="753" w:type="pct"/>
            <w:shd w:val="clear" w:color="auto" w:fill="auto"/>
            <w:vAlign w:val="center"/>
          </w:tcPr>
          <w:p w14:paraId="0D6B8C95">
            <w:pPr>
              <w:keepNext w:val="0"/>
              <w:keepLines w:val="0"/>
              <w:suppressLineNumbers w:val="0"/>
              <w:tabs>
                <w:tab w:val="left" w:pos="4830"/>
              </w:tabs>
              <w:spacing w:before="0" w:beforeAutospacing="0" w:after="0" w:afterAutospacing="0"/>
              <w:ind w:left="0" w:leftChars="0" w:right="0" w:rightChars="0"/>
              <w:jc w:val="center"/>
              <w:rPr>
                <w:rFonts w:hint="default" w:ascii="Times New Roman" w:hAnsi="Times New Roman" w:eastAsia="宋体" w:cs="Times New Roman"/>
                <w:color w:val="auto"/>
                <w:kern w:val="2"/>
                <w:sz w:val="21"/>
                <w:szCs w:val="21"/>
                <w:lang w:val="en-US" w:eastAsia="zh-CN" w:bidi="ar-SA"/>
              </w:rPr>
            </w:pPr>
            <w:r>
              <w:rPr>
                <w:rFonts w:hint="default" w:ascii="Times New Roman" w:hAnsi="Times New Roman" w:eastAsia="宋体" w:cs="Times New Roman"/>
                <w:color w:val="auto"/>
                <w:szCs w:val="21"/>
                <w:lang w:val="en-US" w:eastAsia="zh-CN"/>
              </w:rPr>
              <w:t>0（3）</w:t>
            </w:r>
          </w:p>
        </w:tc>
        <w:tc>
          <w:tcPr>
            <w:tcW w:w="486" w:type="pct"/>
            <w:vAlign w:val="center"/>
          </w:tcPr>
          <w:p w14:paraId="7BD02CED">
            <w:pPr>
              <w:keepNext w:val="0"/>
              <w:keepLines w:val="0"/>
              <w:suppressLineNumbers w:val="0"/>
              <w:spacing w:before="0" w:beforeAutospacing="0" w:after="0" w:afterAutospacing="0"/>
              <w:ind w:left="0" w:right="0"/>
              <w:jc w:val="center"/>
              <w:rPr>
                <w:rFonts w:hint="eastAsia" w:ascii="Times New Roman" w:hAnsi="Times New Roman" w:eastAsia="宋体" w:cs="Times New Roman"/>
                <w:color w:val="auto"/>
                <w:szCs w:val="21"/>
              </w:rPr>
            </w:pPr>
            <w:r>
              <w:rPr>
                <w:rFonts w:hint="eastAsia" w:ascii="Times New Roman" w:hAnsi="Times New Roman" w:eastAsia="宋体" w:cs="Times New Roman"/>
                <w:color w:val="auto"/>
                <w:szCs w:val="21"/>
                <w:lang w:val="en-US" w:eastAsia="zh-CN"/>
              </w:rPr>
              <w:t>0</w:t>
            </w:r>
          </w:p>
        </w:tc>
      </w:tr>
    </w:tbl>
    <w:p w14:paraId="2D961D67">
      <w:pPr>
        <w:ind w:firstLine="420" w:firstLineChars="200"/>
        <w:rPr>
          <w:color w:val="auto"/>
        </w:rPr>
      </w:pPr>
      <w:r>
        <w:rPr>
          <w:rFonts w:ascii="Times New Roman" w:hAnsi="Times New Roman" w:eastAsia="宋体" w:cs="Times New Roman"/>
          <w:color w:val="auto"/>
          <w:szCs w:val="21"/>
        </w:rPr>
        <w:t>注：⑥=①+③+④-⑤；⑦=⑥-①</w:t>
      </w:r>
    </w:p>
    <w:sectPr>
      <w:footerReference r:id="rId9" w:type="default"/>
      <w:pgSz w:w="16838" w:h="11906" w:orient="landscape"/>
      <w:pgMar w:top="567" w:right="567" w:bottom="567" w:left="567" w:header="851" w:footer="992" w:gutter="0"/>
      <w:pgBorders>
        <w:top w:val="none" w:sz="0" w:space="0"/>
        <w:left w:val="none" w:sz="0" w:space="0"/>
        <w:bottom w:val="none" w:sz="0" w:space="0"/>
        <w:right w:val="none" w:sz="0" w:space="0"/>
      </w:pgBorders>
      <w:cols w:space="425" w:num="1"/>
      <w:docGrid w:type="lines" w:linePitch="312" w:charSpace="0"/>
    </w:sectPr>
  </w:body>
</w:document>
</file>

<file path=word/comments.xml><?xml version="1.0" encoding="utf-8"?>
<w:comment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comment w:id="0" w:author="小刘小刘" w:date="2026-10-10T10:58:32Z" w:initials="">
    <w:p w14:paraId="743C64A1">
      <w:pPr>
        <w:pStyle w:val="9"/>
        <w:rPr>
          <w:rFonts w:hint="default" w:eastAsiaTheme="minorEastAsia"/>
          <w:lang w:val="en-US" w:eastAsia="zh-CN"/>
        </w:rPr>
      </w:pPr>
      <w:r>
        <w:rPr>
          <w:rFonts w:hint="eastAsia"/>
          <w:lang w:val="en-US" w:eastAsia="zh-CN"/>
        </w:rPr>
        <w:t>附图对应改</w:t>
      </w:r>
    </w:p>
  </w:comment>
  <w:comment w:id="1" w:author="小刘小刘" w:date="2026-09-23T15:51:28Z" w:initials="">
    <w:p w14:paraId="4575B457">
      <w:pPr>
        <w:pStyle w:val="9"/>
        <w:rPr>
          <w:rFonts w:hint="default" w:eastAsiaTheme="minorEastAsia"/>
          <w:lang w:val="en-US" w:eastAsia="zh-CN"/>
        </w:rPr>
      </w:pPr>
      <w:r>
        <w:rPr>
          <w:rFonts w:hint="eastAsia"/>
          <w:lang w:val="en-US" w:eastAsia="zh-CN"/>
        </w:rPr>
        <w:t>需要改备案</w:t>
      </w:r>
    </w:p>
  </w:comment>
  <w:comment w:id="2" w:author="。。。。。" w:date="2026-10-08T14:05:27Z" w:initials="">
    <w:p w14:paraId="78E6B75E">
      <w:pPr>
        <w:pStyle w:val="9"/>
        <w:rPr>
          <w:rFonts w:hint="default" w:eastAsiaTheme="minorEastAsia"/>
          <w:lang w:val="en-US" w:eastAsia="zh-CN"/>
        </w:rPr>
      </w:pPr>
      <w:r>
        <w:rPr>
          <w:rFonts w:hint="eastAsia"/>
          <w:lang w:val="en-US" w:eastAsia="zh-CN"/>
        </w:rPr>
        <w:t xml:space="preserve">全文检索   </w:t>
      </w:r>
    </w:p>
  </w:comment>
  <w:comment w:id="3" w:author="小刘小刘" w:date="2026-10-09T14:39:36Z" w:initials="">
    <w:p w14:paraId="5D6A6C8E">
      <w:pPr>
        <w:pStyle w:val="9"/>
        <w:rPr>
          <w:rFonts w:hint="eastAsia" w:eastAsiaTheme="minorEastAsia"/>
          <w:lang w:val="en-US" w:eastAsia="zh-CN"/>
        </w:rPr>
      </w:pPr>
      <w:r>
        <w:rPr>
          <w:rFonts w:hint="eastAsia"/>
          <w:lang w:val="en-US" w:eastAsia="zh-CN"/>
        </w:rPr>
        <w:t>全文改</w:t>
      </w:r>
    </w:p>
  </w:comment>
  <w:comment w:id="4" w:author="。。。。。" w:date="2026-10-08T14:11:21Z" w:initials="">
    <w:p w14:paraId="524DBA24">
      <w:pPr>
        <w:pStyle w:val="9"/>
      </w:pPr>
      <w:r>
        <w:annotationRef/>
      </w:r>
    </w:p>
  </w:comment>
  <w:comment w:id="5" w:author="小刘小刘" w:date="2026-10-10T10:58:45Z" w:initials="">
    <w:p w14:paraId="36AEBE33">
      <w:pPr>
        <w:pStyle w:val="9"/>
        <w:rPr>
          <w:rFonts w:hint="eastAsia" w:eastAsiaTheme="minorEastAsia"/>
          <w:lang w:val="en-US" w:eastAsia="zh-CN"/>
        </w:rPr>
      </w:pPr>
      <w:r>
        <w:rPr>
          <w:rFonts w:hint="eastAsia"/>
          <w:lang w:val="en-US" w:eastAsia="zh-CN"/>
        </w:rPr>
        <w:t>好的</w:t>
      </w:r>
    </w:p>
  </w:comment>
  <w:comment w:id="6" w:author="。。。。。" w:date="2026-10-08T14:19:49Z" w:initials="">
    <w:p w14:paraId="52070D97">
      <w:pPr>
        <w:pStyle w:val="9"/>
      </w:pPr>
      <w:r>
        <w:annotationRef/>
      </w:r>
    </w:p>
  </w:comment>
  <w:comment w:id="7" w:author="小刘小刘" w:date="2026-10-10T08:39:02Z" w:initials="">
    <w:p w14:paraId="35D0D65A">
      <w:pPr>
        <w:pStyle w:val="9"/>
        <w:rPr>
          <w:rFonts w:hint="default" w:eastAsiaTheme="minorEastAsia"/>
          <w:lang w:val="en-US" w:eastAsia="zh-CN"/>
        </w:rPr>
      </w:pPr>
      <w:r>
        <w:rPr>
          <w:rFonts w:hint="eastAsia"/>
          <w:lang w:val="en-US" w:eastAsia="zh-CN"/>
        </w:rPr>
        <w:t>已改</w:t>
      </w:r>
    </w:p>
  </w:comment>
  <w:comment w:id="8" w:author="小刘小刘" w:date="2026-10-10T08:41:49Z" w:initials="">
    <w:p w14:paraId="5887FCE9">
      <w:pPr>
        <w:pStyle w:val="9"/>
        <w:rPr>
          <w:rFonts w:hint="default" w:eastAsiaTheme="minorEastAsia"/>
          <w:lang w:val="en-US" w:eastAsia="zh-CN"/>
        </w:rPr>
      </w:pPr>
      <w:r>
        <w:drawing>
          <wp:inline distT="0" distB="0" distL="114300" distR="114300">
            <wp:extent cx="1628775" cy="2085975"/>
            <wp:effectExtent l="0" t="0" r="9525" b="9525"/>
            <wp:docPr id="2" name="图片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9"/>
                    <pic:cNvPicPr>
                      <a:picLocks noChangeAspect="1"/>
                    </pic:cNvPicPr>
                  </pic:nvPicPr>
                  <pic:blipFill>
                    <a:blip r:embed="rId1"/>
                    <a:stretch>
                      <a:fillRect/>
                    </a:stretch>
                  </pic:blipFill>
                  <pic:spPr>
                    <a:xfrm>
                      <a:off x="0" y="0"/>
                      <a:ext cx="1628775" cy="2085975"/>
                    </a:xfrm>
                    <a:prstGeom prst="rect">
                      <a:avLst/>
                    </a:prstGeom>
                    <a:noFill/>
                    <a:ln>
                      <a:noFill/>
                    </a:ln>
                  </pic:spPr>
                </pic:pic>
              </a:graphicData>
            </a:graphic>
          </wp:inline>
        </w:drawing>
      </w:r>
      <w:r>
        <w:rPr>
          <w:rFonts w:hint="eastAsia"/>
          <w:lang w:val="en-US" w:eastAsia="zh-CN"/>
        </w:rPr>
        <w:t>后面对应补了</w:t>
      </w:r>
    </w:p>
  </w:comment>
  <w:comment w:id="9" w:author="。。。。。" w:date="2026-10-08T16:06:35Z" w:initials="">
    <w:p w14:paraId="61CE1688">
      <w:pPr>
        <w:pStyle w:val="9"/>
      </w:pPr>
      <w:r>
        <w:annotationRef/>
      </w:r>
    </w:p>
  </w:comment>
  <w:comment w:id="10" w:author="小刘小刘" w:date="2026-10-10T08:41:32Z" w:initials="">
    <w:p w14:paraId="341D76C4">
      <w:pPr>
        <w:pStyle w:val="9"/>
        <w:rPr>
          <w:rFonts w:hint="eastAsia" w:eastAsiaTheme="minorEastAsia"/>
          <w:lang w:val="en-US" w:eastAsia="zh-CN"/>
        </w:rPr>
      </w:pPr>
      <w:r>
        <w:rPr>
          <w:rFonts w:hint="eastAsia"/>
          <w:lang w:val="en-US" w:eastAsia="zh-CN"/>
        </w:rPr>
        <w:t>好的</w:t>
      </w:r>
    </w:p>
  </w:comment>
  <w:comment w:id="11" w:author="。。。。。" w:date="2026-10-08T17:00:53Z" w:initials="">
    <w:p w14:paraId="26CBF371">
      <w:pPr>
        <w:pStyle w:val="9"/>
      </w:pPr>
      <w:r>
        <w:annotationRef/>
      </w:r>
    </w:p>
  </w:comment>
  <w:comment w:id="12" w:author="小刘小刘" w:date="2026-10-09T14:42:43Z" w:initials="">
    <w:p w14:paraId="06B46BF2">
      <w:pPr>
        <w:pStyle w:val="9"/>
        <w:rPr>
          <w:rFonts w:hint="default" w:eastAsiaTheme="minorEastAsia"/>
          <w:lang w:val="en-US" w:eastAsia="zh-CN"/>
        </w:rPr>
      </w:pPr>
      <w:r>
        <w:rPr>
          <w:rFonts w:hint="eastAsia"/>
          <w:lang w:val="en-US" w:eastAsia="zh-CN"/>
        </w:rPr>
        <w:t>已改园区</w:t>
      </w:r>
    </w:p>
  </w:comment>
  <w:comment w:id="13" w:author="。。。。。" w:date="2026-10-08T17:16:14Z" w:initials="">
    <w:p w14:paraId="5EF1041F">
      <w:pPr>
        <w:pStyle w:val="9"/>
        <w:rPr>
          <w:rFonts w:hint="default" w:eastAsiaTheme="minorEastAsia"/>
          <w:lang w:val="en-US" w:eastAsia="zh-CN"/>
        </w:rPr>
      </w:pPr>
      <w:r>
        <w:rPr>
          <w:rFonts w:hint="eastAsia"/>
          <w:lang w:val="en-US" w:eastAsia="zh-CN"/>
        </w:rPr>
        <w:t>前面说有个产尘点</w:t>
      </w:r>
    </w:p>
  </w:comment>
  <w:comment w:id="14" w:author="小刘小刘" w:date="2026-10-09T14:46:42Z" w:initials="">
    <w:p w14:paraId="14412BAA">
      <w:pPr>
        <w:pStyle w:val="9"/>
        <w:rPr>
          <w:rFonts w:hint="default" w:eastAsiaTheme="minorEastAsia"/>
          <w:lang w:val="en-US" w:eastAsia="zh-CN"/>
        </w:rPr>
      </w:pPr>
      <w:r>
        <w:rPr>
          <w:rFonts w:hint="eastAsia"/>
          <w:lang w:val="en-US" w:eastAsia="zh-CN"/>
        </w:rPr>
        <w:t>已解释</w:t>
      </w:r>
    </w:p>
  </w:comment>
  <w:comment w:id="15" w:author="。。。。。" w:date="2026-10-08T17:31:21Z" w:initials="">
    <w:p w14:paraId="3BD8DF9B">
      <w:pPr>
        <w:pStyle w:val="9"/>
      </w:pPr>
      <w:r>
        <w:annotationRef/>
      </w:r>
    </w:p>
  </w:comment>
  <w:comment w:id="16" w:author="。。。。。" w:date="2026-10-08T17:35:40Z" w:initials="">
    <w:p w14:paraId="71272047">
      <w:pPr>
        <w:pStyle w:val="9"/>
        <w:rPr>
          <w:rFonts w:hint="default" w:eastAsiaTheme="minorEastAsia"/>
          <w:lang w:val="en-US" w:eastAsia="zh-CN"/>
        </w:rPr>
      </w:pPr>
      <w:r>
        <w:rPr>
          <w:rFonts w:hint="eastAsia"/>
          <w:lang w:val="en-US" w:eastAsia="zh-CN"/>
        </w:rPr>
        <w:t>后删   前改个说法</w:t>
      </w:r>
    </w:p>
  </w:comment>
  <w:comment w:id="17" w:author="小刘小刘" w:date="2026-10-09T14:48:41Z" w:initials="">
    <w:p w14:paraId="2DDCA555">
      <w:pPr>
        <w:pStyle w:val="9"/>
        <w:rPr>
          <w:rFonts w:hint="eastAsia" w:eastAsiaTheme="minorEastAsia"/>
          <w:lang w:val="en-US" w:eastAsia="zh-CN"/>
        </w:rPr>
      </w:pPr>
      <w:r>
        <w:rPr>
          <w:rFonts w:hint="eastAsia"/>
          <w:lang w:val="en-US" w:eastAsia="zh-CN"/>
        </w:rPr>
        <w:t>已改</w:t>
      </w:r>
    </w:p>
  </w:comment>
  <w:comment w:id="18" w:author="。。。。。" w:date="2026-10-08T17:36:43Z" w:initials="">
    <w:p w14:paraId="4F311484">
      <w:pPr>
        <w:pStyle w:val="9"/>
      </w:pPr>
      <w:r>
        <w:annotationRef/>
      </w:r>
    </w:p>
  </w:comment>
  <w:comment w:id="19" w:author="小刘小刘" w:date="2026-10-09T14:48:55Z" w:initials="">
    <w:p w14:paraId="5F4037FA">
      <w:pPr>
        <w:pStyle w:val="9"/>
        <w:rPr>
          <w:rFonts w:hint="default" w:eastAsiaTheme="minorEastAsia"/>
          <w:lang w:val="en-US" w:eastAsia="zh-CN"/>
        </w:rPr>
      </w:pPr>
      <w:r>
        <w:rPr>
          <w:rFonts w:hint="eastAsia"/>
          <w:lang w:val="en-US" w:eastAsia="zh-CN"/>
        </w:rPr>
        <w:t>原备案就有</w:t>
      </w:r>
    </w:p>
  </w:comment>
  <w:comment w:id="20" w:author="。。。。。" w:date="2026-10-08T17:38:01Z" w:initials="">
    <w:p w14:paraId="09671C25">
      <w:pPr>
        <w:pStyle w:val="9"/>
        <w:rPr>
          <w:rFonts w:hint="default" w:eastAsiaTheme="minorEastAsia"/>
          <w:lang w:val="en-US" w:eastAsia="zh-CN"/>
        </w:rPr>
      </w:pPr>
      <w:r>
        <w:rPr>
          <w:rFonts w:hint="eastAsia"/>
          <w:lang w:val="en-US" w:eastAsia="zh-CN"/>
        </w:rPr>
        <w:t>跟设备是不是有点对不上？？</w:t>
      </w:r>
    </w:p>
  </w:comment>
  <w:comment w:id="21" w:author="小刘小刘" w:date="2026-10-09T14:58:10Z" w:initials="">
    <w:p w14:paraId="1B13A7EC">
      <w:pPr>
        <w:pStyle w:val="9"/>
        <w:rPr>
          <w:rFonts w:hint="eastAsia"/>
          <w:lang w:val="en-US" w:eastAsia="zh-CN"/>
        </w:rPr>
      </w:pPr>
      <w:r>
        <w:rPr>
          <w:rFonts w:hint="eastAsia"/>
        </w:rPr>
        <w:t>双组份打胶机</w:t>
      </w:r>
      <w:r>
        <w:rPr>
          <w:rFonts w:hint="eastAsia"/>
          <w:lang w:eastAsia="zh-CN"/>
        </w:rPr>
        <w:t>、双组份压料机</w:t>
      </w:r>
      <w:r>
        <w:rPr>
          <w:rFonts w:hint="eastAsia"/>
          <w:lang w:val="en-US" w:eastAsia="zh-CN"/>
        </w:rPr>
        <w:t>当时开会说删掉双组份，这个留着会有歧义吗，不然只能后面改备案一起改</w:t>
      </w:r>
    </w:p>
    <w:p w14:paraId="24A64006">
      <w:pPr>
        <w:pStyle w:val="9"/>
        <w:rPr>
          <w:rFonts w:hint="eastAsia"/>
          <w:lang w:val="en-US" w:eastAsia="zh-CN"/>
        </w:rPr>
      </w:pPr>
    </w:p>
    <w:p w14:paraId="2497FD60">
      <w:pPr>
        <w:pStyle w:val="9"/>
        <w:rPr>
          <w:rFonts w:hint="default"/>
          <w:lang w:val="en-US" w:eastAsia="zh-CN"/>
        </w:rPr>
      </w:pPr>
      <w:r>
        <w:rPr>
          <w:rFonts w:hint="eastAsia"/>
          <w:lang w:val="en-US" w:eastAsia="zh-CN"/>
        </w:rPr>
        <w:t>上下加热隧道烤炉 改隧道式烤箱</w:t>
      </w:r>
    </w:p>
  </w:comment>
  <w:comment w:id="22" w:author="小刘小刘" w:date="2026-10-10T11:00:59Z" w:initials="">
    <w:p w14:paraId="14543DE5">
      <w:pPr>
        <w:pStyle w:val="9"/>
        <w:rPr>
          <w:rFonts w:hint="eastAsia" w:eastAsiaTheme="minorEastAsia"/>
          <w:lang w:val="en-US" w:eastAsia="zh-CN"/>
        </w:rPr>
      </w:pPr>
      <w:r>
        <w:rPr>
          <w:rFonts w:hint="eastAsia"/>
          <w:lang w:val="en-US" w:eastAsia="zh-CN"/>
        </w:rPr>
        <w:t>对应改</w:t>
      </w:r>
    </w:p>
  </w:comment>
  <w:comment w:id="23" w:author="。。。。。" w:date="2026-10-08T17:40:11Z" w:initials="">
    <w:p w14:paraId="3E42A7E6">
      <w:pPr>
        <w:pStyle w:val="9"/>
        <w:rPr>
          <w:rFonts w:hint="eastAsia" w:eastAsiaTheme="minorEastAsia"/>
          <w:lang w:val="en-US" w:eastAsia="zh-CN"/>
        </w:rPr>
      </w:pPr>
      <w:r>
        <w:rPr>
          <w:rFonts w:hint="eastAsia"/>
          <w:lang w:val="en-US" w:eastAsia="zh-CN"/>
        </w:rPr>
        <w:t>合并下</w:t>
      </w:r>
    </w:p>
  </w:comment>
  <w:comment w:id="24" w:author="小刘小刘" w:date="2026-10-09T15:02:04Z" w:initials="">
    <w:p w14:paraId="08F6442D">
      <w:pPr>
        <w:pStyle w:val="9"/>
        <w:rPr>
          <w:rFonts w:hint="eastAsia" w:eastAsiaTheme="minorEastAsia"/>
          <w:lang w:val="en-US" w:eastAsia="zh-CN"/>
        </w:rPr>
      </w:pPr>
      <w:r>
        <w:rPr>
          <w:rFonts w:hint="eastAsia"/>
          <w:lang w:val="en-US" w:eastAsia="zh-CN"/>
        </w:rPr>
        <w:t>好的</w:t>
      </w:r>
    </w:p>
  </w:comment>
  <w:comment w:id="25" w:author="。。。。。" w:date="2026-10-08T17:41:02Z" w:initials="">
    <w:p w14:paraId="47BC642F">
      <w:pPr>
        <w:pStyle w:val="9"/>
        <w:rPr>
          <w:rFonts w:hint="eastAsia" w:eastAsiaTheme="minorEastAsia"/>
          <w:lang w:val="en-US" w:eastAsia="zh-CN"/>
        </w:rPr>
      </w:pPr>
      <w:r>
        <w:rPr>
          <w:rFonts w:hint="eastAsia"/>
          <w:lang w:val="en-US" w:eastAsia="zh-CN"/>
        </w:rPr>
        <w:t>写全了</w:t>
      </w:r>
    </w:p>
  </w:comment>
  <w:comment w:id="26" w:author="小刘小刘" w:date="2026-10-09T15:02:11Z" w:initials="">
    <w:p w14:paraId="25CF85E4">
      <w:pPr>
        <w:pStyle w:val="9"/>
        <w:rPr>
          <w:rFonts w:hint="eastAsia" w:eastAsiaTheme="minorEastAsia"/>
          <w:lang w:val="en-US" w:eastAsia="zh-CN"/>
        </w:rPr>
      </w:pPr>
      <w:r>
        <w:rPr>
          <w:rFonts w:hint="eastAsia"/>
          <w:lang w:val="en-US" w:eastAsia="zh-CN"/>
        </w:rPr>
        <w:t>好的</w:t>
      </w:r>
    </w:p>
  </w:comment>
  <w:comment w:id="27" w:author="小刘小刘" w:date="2026-10-09T15:02:27Z" w:initials="">
    <w:p w14:paraId="0633C21D">
      <w:pPr>
        <w:pStyle w:val="9"/>
        <w:rPr>
          <w:rFonts w:hint="default" w:eastAsiaTheme="minorEastAsia"/>
          <w:lang w:val="en-US" w:eastAsia="zh-CN"/>
        </w:rPr>
      </w:pPr>
      <w:r>
        <w:rPr>
          <w:rFonts w:hint="eastAsia"/>
          <w:lang w:val="en-US" w:eastAsia="zh-CN"/>
        </w:rPr>
        <w:t>按最新备案改</w:t>
      </w:r>
    </w:p>
  </w:comment>
  <w:comment w:id="28" w:author="小刘小刘" w:date="2026-10-09T15:02:51Z" w:initials="">
    <w:p w14:paraId="57D1BD8D">
      <w:pPr>
        <w:pStyle w:val="9"/>
        <w:rPr>
          <w:rFonts w:hint="default" w:eastAsiaTheme="minorEastAsia"/>
          <w:lang w:val="en-US" w:eastAsia="zh-CN"/>
        </w:rPr>
      </w:pPr>
      <w:r>
        <w:rPr>
          <w:rFonts w:hint="eastAsia"/>
          <w:lang w:val="en-US" w:eastAsia="zh-CN"/>
        </w:rPr>
        <w:t>按要求对应改</w:t>
      </w:r>
    </w:p>
  </w:comment>
  <w:comment w:id="29" w:author="小刘小刘" w:date="2026-10-09T15:03:03Z" w:initials="">
    <w:p w14:paraId="339563D5">
      <w:pPr>
        <w:pStyle w:val="9"/>
        <w:rPr>
          <w:rFonts w:hint="default"/>
          <w:lang w:val="en-US" w:eastAsia="zh-CN"/>
        </w:rPr>
      </w:pPr>
      <w:r>
        <w:rPr>
          <w:rFonts w:hint="eastAsia"/>
          <w:lang w:val="en-US" w:eastAsia="zh-CN"/>
        </w:rPr>
        <w:t>按要求对应改</w:t>
      </w:r>
    </w:p>
    <w:p w14:paraId="17EC23F6">
      <w:pPr>
        <w:pStyle w:val="9"/>
      </w:pPr>
    </w:p>
  </w:comment>
  <w:comment w:id="30" w:author="。。。。。" w:date="2026-10-08T19:02:49Z" w:initials="">
    <w:p w14:paraId="60CFF1F1">
      <w:pPr>
        <w:pStyle w:val="9"/>
        <w:rPr>
          <w:rFonts w:hint="default" w:eastAsiaTheme="minorEastAsia"/>
          <w:lang w:val="en-US" w:eastAsia="zh-CN"/>
        </w:rPr>
      </w:pPr>
      <w:r>
        <w:rPr>
          <w:rFonts w:hint="eastAsia"/>
          <w:lang w:val="en-US" w:eastAsia="zh-CN"/>
        </w:rPr>
        <w:t>几点到几点  不会到夜间10点吗？</w:t>
      </w:r>
    </w:p>
  </w:comment>
  <w:comment w:id="31" w:author="小刘小刘" w:date="2026-10-10T10:18:01Z" w:initials="">
    <w:p w14:paraId="4A69D259">
      <w:pPr>
        <w:pStyle w:val="9"/>
        <w:rPr>
          <w:rFonts w:hint="default" w:eastAsiaTheme="minorEastAsia"/>
          <w:lang w:val="en-US" w:eastAsia="zh-CN"/>
        </w:rPr>
      </w:pPr>
      <w:r>
        <w:rPr>
          <w:rFonts w:hint="eastAsia"/>
          <w:lang w:val="en-US" w:eastAsia="zh-CN"/>
        </w:rPr>
        <w:t>已核对，已改</w:t>
      </w:r>
    </w:p>
  </w:comment>
  <w:comment w:id="32" w:author="。。。。。" w:date="2026-10-08T17:52:19Z" w:initials="">
    <w:p w14:paraId="102BB363">
      <w:pPr>
        <w:pStyle w:val="9"/>
        <w:rPr>
          <w:rFonts w:hint="eastAsia"/>
          <w:lang w:val="en-US" w:eastAsia="zh-CN"/>
        </w:rPr>
      </w:pPr>
      <w:r>
        <w:rPr>
          <w:rFonts w:hint="eastAsia"/>
          <w:lang w:val="en-US" w:eastAsia="zh-CN"/>
        </w:rPr>
        <w:t>有个说法全文统一下</w:t>
      </w:r>
    </w:p>
    <w:p w14:paraId="1FB0758C">
      <w:pPr>
        <w:pStyle w:val="9"/>
        <w:rPr>
          <w:rFonts w:hint="eastAsia"/>
          <w:lang w:val="en-US" w:eastAsia="zh-CN"/>
        </w:rPr>
      </w:pPr>
    </w:p>
    <w:p w14:paraId="73BD6BCF">
      <w:pPr>
        <w:pStyle w:val="9"/>
        <w:rPr>
          <w:rFonts w:hint="eastAsia"/>
          <w:lang w:val="en-US" w:eastAsia="zh-CN"/>
        </w:rPr>
      </w:pPr>
      <w:r>
        <w:rPr>
          <w:rFonts w:hint="eastAsia"/>
          <w:lang w:val="en-US" w:eastAsia="zh-CN"/>
        </w:rPr>
        <w:t>1楼、2楼</w:t>
      </w:r>
    </w:p>
    <w:p w14:paraId="054DB6BD">
      <w:pPr>
        <w:pStyle w:val="9"/>
        <w:rPr>
          <w:rFonts w:hint="eastAsia"/>
          <w:lang w:val="en-US" w:eastAsia="zh-CN"/>
        </w:rPr>
      </w:pPr>
    </w:p>
    <w:p w14:paraId="396651A8">
      <w:pPr>
        <w:pStyle w:val="9"/>
        <w:rPr>
          <w:rFonts w:hint="default"/>
          <w:lang w:val="en-US" w:eastAsia="zh-CN"/>
        </w:rPr>
      </w:pPr>
      <w:r>
        <w:rPr>
          <w:rFonts w:hint="eastAsia"/>
          <w:lang w:val="en-US" w:eastAsia="zh-CN"/>
        </w:rPr>
        <w:t>一层、二层</w:t>
      </w:r>
    </w:p>
  </w:comment>
  <w:comment w:id="33" w:author="小刘小刘" w:date="2026-10-10T11:01:41Z" w:initials="">
    <w:p w14:paraId="6069A6D0">
      <w:pPr>
        <w:pStyle w:val="9"/>
        <w:rPr>
          <w:rFonts w:hint="default" w:eastAsiaTheme="minorEastAsia"/>
          <w:lang w:val="en-US" w:eastAsia="zh-CN"/>
        </w:rPr>
      </w:pPr>
      <w:r>
        <w:rPr>
          <w:rFonts w:hint="eastAsia"/>
          <w:lang w:val="en-US" w:eastAsia="zh-CN"/>
        </w:rPr>
        <w:t>已改</w:t>
      </w:r>
    </w:p>
  </w:comment>
  <w:comment w:id="34" w:author="。。。。。" w:date="2026-10-08T17:55:57Z" w:initials="">
    <w:p w14:paraId="67E863E8">
      <w:pPr>
        <w:pStyle w:val="9"/>
        <w:rPr>
          <w:rFonts w:hint="default" w:eastAsiaTheme="minorEastAsia"/>
          <w:lang w:val="en-US" w:eastAsia="zh-CN"/>
        </w:rPr>
      </w:pPr>
      <w:r>
        <w:rPr>
          <w:rFonts w:hint="eastAsia"/>
          <w:lang w:val="en-US" w:eastAsia="zh-CN"/>
        </w:rPr>
        <w:t>错字吧</w:t>
      </w:r>
    </w:p>
  </w:comment>
  <w:comment w:id="35" w:author="。。。。。" w:date="2026-10-08T17:57:14Z" w:initials="">
    <w:p w14:paraId="6FB7D0CA">
      <w:pPr>
        <w:pStyle w:val="9"/>
      </w:pPr>
      <w:r>
        <w:annotationRef/>
      </w:r>
    </w:p>
  </w:comment>
  <w:comment w:id="36" w:author="小刘小刘" w:date="2026-10-09T14:48:34Z" w:initials="">
    <w:p w14:paraId="2BBF38EB">
      <w:pPr>
        <w:pStyle w:val="9"/>
        <w:rPr>
          <w:rFonts w:hint="eastAsia" w:eastAsiaTheme="minorEastAsia"/>
          <w:lang w:val="en-US" w:eastAsia="zh-CN"/>
        </w:rPr>
      </w:pPr>
      <w:r>
        <w:rPr>
          <w:rFonts w:hint="eastAsia"/>
          <w:lang w:val="en-US" w:eastAsia="zh-CN"/>
        </w:rPr>
        <w:t>已改</w:t>
      </w:r>
    </w:p>
  </w:comment>
  <w:comment w:id="37" w:author="。。。。。" w:date="2026-10-08T17:57:31Z" w:initials="">
    <w:p w14:paraId="6ABE712A">
      <w:pPr>
        <w:pStyle w:val="9"/>
        <w:rPr>
          <w:rFonts w:hint="eastAsia"/>
          <w:lang w:val="en-US" w:eastAsia="zh-CN"/>
        </w:rPr>
      </w:pPr>
      <w:r>
        <w:rPr>
          <w:rFonts w:hint="eastAsia"/>
          <w:lang w:val="en-US" w:eastAsia="zh-CN"/>
        </w:rPr>
        <w:t>这个当时写的节能的说法    环保是验收掉了</w:t>
      </w:r>
    </w:p>
    <w:p w14:paraId="034BA384">
      <w:pPr>
        <w:pStyle w:val="9"/>
        <w:rPr>
          <w:rFonts w:hint="eastAsia"/>
          <w:lang w:val="en-US" w:eastAsia="zh-CN"/>
        </w:rPr>
      </w:pPr>
    </w:p>
    <w:p w14:paraId="54E16A20">
      <w:pPr>
        <w:pStyle w:val="9"/>
        <w:rPr>
          <w:rFonts w:hint="default"/>
          <w:lang w:val="en-US" w:eastAsia="zh-CN"/>
        </w:rPr>
      </w:pPr>
      <w:r>
        <w:rPr>
          <w:rFonts w:hint="eastAsia"/>
          <w:lang w:val="en-US" w:eastAsia="zh-CN"/>
        </w:rPr>
        <w:t>不要写这个</w:t>
      </w:r>
    </w:p>
  </w:comment>
  <w:comment w:id="38" w:author="小刘小刘" w:date="2026-10-09T15:09:19Z" w:initials="">
    <w:p w14:paraId="3C5A1023">
      <w:pPr>
        <w:pStyle w:val="9"/>
        <w:rPr>
          <w:rFonts w:hint="eastAsia" w:eastAsiaTheme="minorEastAsia"/>
          <w:lang w:val="en-US" w:eastAsia="zh-CN"/>
        </w:rPr>
      </w:pPr>
      <w:r>
        <w:rPr>
          <w:rFonts w:hint="eastAsia"/>
          <w:lang w:val="en-US" w:eastAsia="zh-CN"/>
        </w:rPr>
        <w:t>已改</w:t>
      </w:r>
    </w:p>
  </w:comment>
  <w:comment w:id="39" w:author="。。。。。" w:date="2026-10-08T17:58:13Z" w:initials="">
    <w:p w14:paraId="5B42F9CA">
      <w:pPr>
        <w:pStyle w:val="9"/>
        <w:rPr>
          <w:rFonts w:hint="default" w:eastAsiaTheme="minorEastAsia"/>
          <w:lang w:val="en-US" w:eastAsia="zh-CN"/>
        </w:rPr>
      </w:pPr>
      <w:r>
        <w:rPr>
          <w:rFonts w:hint="eastAsia"/>
          <w:lang w:val="en-US" w:eastAsia="zh-CN"/>
        </w:rPr>
        <w:t>产能</w:t>
      </w:r>
    </w:p>
  </w:comment>
  <w:comment w:id="40" w:author="小刘小刘" w:date="2026-10-09T15:09:44Z" w:initials="">
    <w:p w14:paraId="4968AD5E">
      <w:pPr>
        <w:pStyle w:val="9"/>
        <w:rPr>
          <w:rFonts w:hint="eastAsia" w:eastAsiaTheme="minorEastAsia"/>
          <w:lang w:val="en-US" w:eastAsia="zh-CN"/>
        </w:rPr>
      </w:pPr>
      <w:r>
        <w:rPr>
          <w:rFonts w:hint="eastAsia"/>
          <w:lang w:val="en-US" w:eastAsia="zh-CN"/>
        </w:rPr>
        <w:t>已改</w:t>
      </w:r>
    </w:p>
  </w:comment>
  <w:comment w:id="41" w:author="。。。。。" w:date="2026-10-08T18:04:37Z" w:initials="">
    <w:p w14:paraId="22EA9619">
      <w:pPr>
        <w:pStyle w:val="9"/>
      </w:pPr>
      <w:r>
        <w:annotationRef/>
      </w:r>
    </w:p>
  </w:comment>
  <w:comment w:id="42" w:author="。。。。。" w:date="2026-10-08T18:06:21Z" w:initials="">
    <w:p w14:paraId="3A9C88A3">
      <w:pPr>
        <w:pStyle w:val="9"/>
        <w:rPr>
          <w:rFonts w:hint="default" w:eastAsiaTheme="minorEastAsia"/>
          <w:lang w:val="en-US" w:eastAsia="zh-CN"/>
        </w:rPr>
      </w:pPr>
      <w:r>
        <w:rPr>
          <w:rFonts w:hint="eastAsia"/>
          <w:lang w:val="en-US" w:eastAsia="zh-CN"/>
        </w:rPr>
        <w:t>明确下检测工况负荷？</w:t>
      </w:r>
    </w:p>
  </w:comment>
  <w:comment w:id="43" w:author="。。。。。" w:date="2026-10-08T18:07:39Z" w:initials="">
    <w:p w14:paraId="444C80BC">
      <w:pPr>
        <w:pStyle w:val="9"/>
        <w:rPr>
          <w:rFonts w:hint="eastAsia" w:eastAsiaTheme="minorEastAsia"/>
          <w:lang w:val="en-US" w:eastAsia="zh-CN"/>
        </w:rPr>
      </w:pPr>
      <w:r>
        <w:rPr>
          <w:rFonts w:hint="eastAsia"/>
          <w:lang w:val="en-US" w:eastAsia="zh-CN"/>
        </w:rPr>
        <w:t>同上</w:t>
      </w:r>
    </w:p>
  </w:comment>
  <w:comment w:id="44" w:author="。。。。。" w:date="2026-10-08T18:09:04Z" w:initials="">
    <w:p w14:paraId="7EBCC62B">
      <w:pPr>
        <w:pStyle w:val="9"/>
      </w:pPr>
      <w:r>
        <w:annotationRef/>
      </w:r>
    </w:p>
  </w:comment>
  <w:comment w:id="45" w:author="。。。。。" w:date="2026-10-08T18:09:19Z" w:initials="">
    <w:p w14:paraId="6F4B3ED3">
      <w:pPr>
        <w:pStyle w:val="9"/>
      </w:pPr>
      <w:r>
        <w:annotationRef/>
      </w:r>
    </w:p>
  </w:comment>
  <w:comment w:id="46" w:author="。。。。。" w:date="2026-10-08T18:09:34Z" w:initials="">
    <w:p w14:paraId="003055A0">
      <w:pPr>
        <w:pStyle w:val="9"/>
        <w:rPr>
          <w:rFonts w:hint="default" w:eastAsiaTheme="minorEastAsia"/>
          <w:lang w:val="en-US" w:eastAsia="zh-CN"/>
        </w:rPr>
      </w:pPr>
      <w:r>
        <w:rPr>
          <w:rFonts w:hint="eastAsia"/>
          <w:lang w:val="en-US" w:eastAsia="zh-CN"/>
        </w:rPr>
        <w:t>都是仅有组织吗？</w:t>
      </w:r>
    </w:p>
  </w:comment>
  <w:comment w:id="47" w:author="小刘小刘" w:date="2026-10-09T15:59:51Z" w:initials="">
    <w:p w14:paraId="1ADB1EAA">
      <w:pPr>
        <w:pStyle w:val="9"/>
        <w:rPr>
          <w:rFonts w:hint="default" w:eastAsiaTheme="minorEastAsia"/>
          <w:lang w:val="en-US" w:eastAsia="zh-CN"/>
        </w:rPr>
      </w:pPr>
      <w:r>
        <w:rPr>
          <w:rFonts w:hint="default"/>
        </w:rPr>
        <w:t>阶段性验收满负荷排放量</w:t>
      </w:r>
      <w:r>
        <w:rPr>
          <w:rFonts w:hint="eastAsia"/>
          <w:lang w:eastAsia="zh-CN"/>
        </w:rPr>
        <w:t>，</w:t>
      </w:r>
      <w:r>
        <w:rPr>
          <w:rFonts w:hint="eastAsia"/>
          <w:lang w:val="en-US" w:eastAsia="zh-CN"/>
        </w:rPr>
        <w:t>验收只有算有组织</w:t>
      </w:r>
    </w:p>
  </w:comment>
  <w:comment w:id="48" w:author="。。。。。" w:date="2026-10-08T18:10:35Z" w:initials="">
    <w:p w14:paraId="6ECFBA3A">
      <w:pPr>
        <w:pStyle w:val="9"/>
      </w:pPr>
      <w:r>
        <w:annotationRef/>
      </w:r>
    </w:p>
  </w:comment>
  <w:comment w:id="49" w:author="。。。。。" w:date="2026-10-08T18:12:45Z" w:initials="">
    <w:p w14:paraId="37111227">
      <w:pPr>
        <w:pStyle w:val="9"/>
        <w:rPr>
          <w:rFonts w:hint="eastAsia" w:eastAsiaTheme="minorEastAsia"/>
          <w:lang w:val="en-US" w:eastAsia="zh-CN"/>
        </w:rPr>
      </w:pPr>
      <w:r>
        <w:rPr>
          <w:rFonts w:hint="eastAsia"/>
          <w:lang w:val="en-US" w:eastAsia="zh-CN"/>
        </w:rPr>
        <w:t>删</w:t>
      </w:r>
    </w:p>
  </w:comment>
  <w:comment w:id="50" w:author="小刘小刘" w:date="2026-10-09T15:10:49Z" w:initials="">
    <w:p w14:paraId="5B1CCFCF">
      <w:pPr>
        <w:pStyle w:val="9"/>
        <w:rPr>
          <w:rFonts w:hint="eastAsia" w:eastAsiaTheme="minorEastAsia"/>
          <w:lang w:val="en-US" w:eastAsia="zh-CN"/>
        </w:rPr>
      </w:pPr>
      <w:r>
        <w:rPr>
          <w:rFonts w:hint="eastAsia"/>
          <w:lang w:val="en-US" w:eastAsia="zh-CN"/>
        </w:rPr>
        <w:t>已改</w:t>
      </w:r>
    </w:p>
  </w:comment>
  <w:comment w:id="51" w:author="d" w:date="2026-09-28T14:17:01Z" w:initials="d">
    <w:p w14:paraId="13FCE413">
      <w:pPr>
        <w:pStyle w:val="9"/>
        <w:rPr>
          <w:rFonts w:hint="eastAsia" w:ascii="宋体" w:hAnsi="宋体" w:eastAsia="宋体" w:cs="Times New Roman"/>
          <w:sz w:val="17"/>
          <w:szCs w:val="22"/>
          <w:lang w:val="en-US" w:eastAsia="zh-CN" w:bidi="ar"/>
        </w:rPr>
      </w:pPr>
      <w:r>
        <w:rPr>
          <w:rFonts w:hint="eastAsia" w:ascii="宋体" w:hAnsi="宋体" w:eastAsia="宋体" w:cs="Times New Roman"/>
          <w:sz w:val="17"/>
          <w:szCs w:val="22"/>
          <w:lang w:val="en-US" w:eastAsia="zh-CN" w:bidi="ar"/>
        </w:rPr>
        <w:t>与</w:t>
      </w:r>
      <w:r>
        <w:rPr>
          <w:rFonts w:hint="eastAsia" w:ascii="宋体" w:hAnsi="宋体" w:eastAsia="宋体" w:cs="Times New Roman"/>
          <w:sz w:val="17"/>
          <w:szCs w:val="22"/>
          <w:lang w:val="en-US" w:eastAsia="en-US" w:bidi="ar"/>
        </w:rPr>
        <w:t>安吉永宁尔纺织有限公司东侧秧田湾（该项目东南侧2km处）</w:t>
      </w:r>
      <w:r>
        <w:rPr>
          <w:rFonts w:hint="eastAsia" w:ascii="宋体" w:hAnsi="宋体" w:eastAsia="宋体" w:cs="Times New Roman"/>
          <w:sz w:val="17"/>
          <w:szCs w:val="22"/>
          <w:lang w:val="en-US" w:eastAsia="zh-CN" w:bidi="ar"/>
        </w:rPr>
        <w:t>，是同一处吗？</w:t>
      </w:r>
    </w:p>
    <w:p w14:paraId="0BF27C49">
      <w:pPr>
        <w:pStyle w:val="9"/>
        <w:rPr>
          <w:rFonts w:hint="default" w:ascii="宋体" w:hAnsi="宋体" w:eastAsia="宋体" w:cs="Times New Roman"/>
          <w:sz w:val="17"/>
          <w:szCs w:val="22"/>
          <w:lang w:val="en-US" w:eastAsia="zh-CN" w:bidi="ar"/>
        </w:rPr>
      </w:pPr>
      <w:r>
        <w:rPr>
          <w:rFonts w:hint="eastAsia" w:ascii="宋体" w:hAnsi="宋体" w:eastAsia="宋体" w:cs="Times New Roman"/>
          <w:sz w:val="17"/>
          <w:szCs w:val="22"/>
          <w:lang w:val="en-US" w:eastAsia="zh-CN" w:bidi="ar"/>
        </w:rPr>
        <w:t>核实，建议统一写法</w:t>
      </w:r>
    </w:p>
  </w:comment>
  <w:comment w:id="52" w:author="小刘小刘" w:date="2026-09-28T14:31:51Z" w:initials="">
    <w:p w14:paraId="39BE2655">
      <w:pPr>
        <w:pStyle w:val="9"/>
        <w:rPr>
          <w:rFonts w:hint="eastAsia"/>
          <w:lang w:val="en-US" w:eastAsia="zh-CN"/>
        </w:rPr>
      </w:pPr>
      <w:r>
        <w:rPr>
          <w:rFonts w:hint="eastAsia"/>
          <w:lang w:val="en-US" w:eastAsia="zh-CN"/>
        </w:rPr>
        <w:t>该项目指的是 安吉永宁尔纺织有限公司项目</w:t>
      </w:r>
    </w:p>
    <w:p w14:paraId="2B0FEFBD">
      <w:pPr>
        <w:pStyle w:val="9"/>
        <w:rPr>
          <w:rFonts w:hint="eastAsia"/>
          <w:lang w:val="en-US" w:eastAsia="zh-CN"/>
        </w:rPr>
      </w:pPr>
    </w:p>
    <w:p w14:paraId="683E820B">
      <w:pPr>
        <w:pStyle w:val="9"/>
        <w:rPr>
          <w:rFonts w:hint="default"/>
          <w:lang w:val="en-US" w:eastAsia="zh-CN"/>
        </w:rPr>
      </w:pPr>
      <w:r>
        <w:rPr>
          <w:rFonts w:hint="eastAsia"/>
          <w:lang w:val="en-US" w:eastAsia="zh-CN"/>
        </w:rPr>
        <w:t>后面又点出本项目位于监测点位的方向</w:t>
      </w:r>
    </w:p>
  </w:comment>
  <w:comment w:id="53" w:author="。。。。。" w:date="2026-10-08T18:13:47Z" w:initials="">
    <w:p w14:paraId="6BECFE0C">
      <w:pPr>
        <w:pStyle w:val="9"/>
        <w:rPr>
          <w:rFonts w:hint="default" w:ascii="Times New Roman" w:hAnsi="Times New Roman" w:eastAsia="宋体" w:cs="Times New Roman"/>
          <w:color w:val="auto"/>
          <w:szCs w:val="21"/>
          <w:lang w:val="en-US" w:eastAsia="zh-CN"/>
        </w:rPr>
      </w:pPr>
      <w:r>
        <w:rPr>
          <w:rFonts w:hint="eastAsia" w:ascii="Times New Roman" w:hAnsi="Times New Roman" w:eastAsia="宋体" w:cs="Times New Roman"/>
          <w:color w:val="auto"/>
          <w:sz w:val="24"/>
        </w:rPr>
        <w:t>东侧秧田湾</w:t>
      </w:r>
      <w:r>
        <w:rPr>
          <w:rFonts w:hint="eastAsia" w:ascii="Times New Roman" w:hAnsi="Times New Roman" w:eastAsia="宋体" w:cs="Times New Roman"/>
          <w:color w:val="auto"/>
          <w:sz w:val="24"/>
          <w:lang w:val="en-US" w:eastAsia="zh-CN"/>
        </w:rPr>
        <w:t xml:space="preserve">   </w:t>
      </w:r>
      <w:r>
        <w:rPr>
          <w:rFonts w:hint="default" w:ascii="Times New Roman" w:hAnsi="Times New Roman" w:eastAsia="宋体" w:cs="Times New Roman"/>
          <w:color w:val="auto"/>
          <w:szCs w:val="21"/>
          <w:lang w:val="en-US" w:eastAsia="zh-CN"/>
        </w:rPr>
        <w:t>东南侧居民点</w:t>
      </w:r>
    </w:p>
    <w:p w14:paraId="49003328">
      <w:pPr>
        <w:pStyle w:val="9"/>
        <w:rPr>
          <w:rFonts w:hint="default" w:ascii="Times New Roman" w:hAnsi="Times New Roman" w:eastAsia="宋体" w:cs="Times New Roman"/>
          <w:color w:val="auto"/>
          <w:szCs w:val="21"/>
          <w:lang w:val="en-US" w:eastAsia="zh-CN"/>
        </w:rPr>
      </w:pPr>
      <w:r>
        <w:rPr>
          <w:rFonts w:hint="eastAsia" w:ascii="Times New Roman" w:hAnsi="Times New Roman" w:eastAsia="宋体" w:cs="Times New Roman"/>
          <w:color w:val="auto"/>
          <w:szCs w:val="21"/>
          <w:lang w:val="en-US" w:eastAsia="zh-CN"/>
        </w:rPr>
        <w:t>这两说法不一样</w:t>
      </w:r>
    </w:p>
  </w:comment>
  <w:comment w:id="54" w:author="小刘小刘" w:date="2026-10-09T15:12:16Z" w:initials="">
    <w:p w14:paraId="0A7FCF4C">
      <w:pPr>
        <w:pStyle w:val="9"/>
        <w:rPr>
          <w:rFonts w:hint="default" w:eastAsiaTheme="minorEastAsia"/>
          <w:lang w:val="en-US" w:eastAsia="zh-CN"/>
        </w:rPr>
      </w:pPr>
      <w:r>
        <w:rPr>
          <w:rFonts w:hint="eastAsia"/>
          <w:lang w:val="en-US" w:eastAsia="zh-CN"/>
        </w:rPr>
        <w:t>已改</w:t>
      </w:r>
    </w:p>
  </w:comment>
  <w:comment w:id="55" w:author="。。。。。" w:date="2026-10-08T18:14:32Z" w:initials="">
    <w:p w14:paraId="1ADE789E">
      <w:pPr>
        <w:pStyle w:val="9"/>
      </w:pPr>
      <w:r>
        <w:annotationRef/>
      </w:r>
    </w:p>
  </w:comment>
  <w:comment w:id="56" w:author="。。。。。" w:date="2026-10-08T18:19:30Z" w:initials="">
    <w:p w14:paraId="724F15DF">
      <w:pPr>
        <w:pStyle w:val="9"/>
      </w:pPr>
      <w:r>
        <w:annotationRef/>
      </w:r>
    </w:p>
  </w:comment>
  <w:comment w:id="57" w:author="。。。。。" w:date="2026-10-08T18:20:35Z" w:initials="">
    <w:p w14:paraId="02B1245E">
      <w:pPr>
        <w:pStyle w:val="9"/>
        <w:rPr>
          <w:rFonts w:hint="eastAsia"/>
          <w:lang w:val="en-US" w:eastAsia="zh-CN"/>
        </w:rPr>
      </w:pPr>
      <w:r>
        <w:rPr>
          <w:rFonts w:hint="eastAsia"/>
          <w:lang w:val="en-US" w:eastAsia="zh-CN"/>
        </w:rPr>
        <w:t>老项目是不是没写这个</w:t>
      </w:r>
    </w:p>
    <w:p w14:paraId="2BC7B1F7">
      <w:pPr>
        <w:pStyle w:val="9"/>
        <w:rPr>
          <w:rFonts w:hint="eastAsia"/>
          <w:lang w:val="en-US" w:eastAsia="zh-CN"/>
        </w:rPr>
      </w:pPr>
    </w:p>
    <w:p w14:paraId="2EBA5960">
      <w:pPr>
        <w:pStyle w:val="9"/>
        <w:rPr>
          <w:rFonts w:hint="eastAsia"/>
          <w:lang w:val="en-US" w:eastAsia="zh-CN"/>
        </w:rPr>
      </w:pPr>
      <w:r>
        <w:rPr>
          <w:rFonts w:hint="eastAsia"/>
          <w:lang w:val="en-US" w:eastAsia="zh-CN"/>
        </w:rPr>
        <w:t>没写的话得分现有审批  实际</w:t>
      </w:r>
    </w:p>
    <w:p w14:paraId="554787F8">
      <w:pPr>
        <w:pStyle w:val="9"/>
        <w:rPr>
          <w:rFonts w:hint="eastAsia"/>
          <w:lang w:val="en-US" w:eastAsia="zh-CN"/>
        </w:rPr>
      </w:pPr>
    </w:p>
    <w:p w14:paraId="55CB9F21">
      <w:pPr>
        <w:pStyle w:val="9"/>
        <w:rPr>
          <w:rFonts w:hint="eastAsia"/>
          <w:lang w:val="en-US" w:eastAsia="zh-CN"/>
        </w:rPr>
      </w:pPr>
      <w:r>
        <w:rPr>
          <w:rFonts w:hint="eastAsia"/>
          <w:lang w:val="en-US" w:eastAsia="zh-CN"/>
        </w:rPr>
        <w:t>再新项目</w:t>
      </w:r>
    </w:p>
    <w:p w14:paraId="7B54FE9F">
      <w:pPr>
        <w:pStyle w:val="9"/>
        <w:rPr>
          <w:rFonts w:hint="eastAsia"/>
          <w:lang w:val="en-US" w:eastAsia="zh-CN"/>
        </w:rPr>
      </w:pPr>
    </w:p>
    <w:p w14:paraId="3C18082E">
      <w:pPr>
        <w:pStyle w:val="9"/>
        <w:rPr>
          <w:rFonts w:hint="default"/>
          <w:lang w:val="en-US" w:eastAsia="zh-CN"/>
        </w:rPr>
      </w:pPr>
      <w:r>
        <w:rPr>
          <w:rFonts w:hint="eastAsia"/>
          <w:lang w:val="en-US" w:eastAsia="zh-CN"/>
        </w:rPr>
        <w:t>原有项目分析也要按照从严值</w:t>
      </w:r>
    </w:p>
  </w:comment>
  <w:comment w:id="58" w:author="。。。。。" w:date="2026-10-08T18:32:03Z" w:initials="">
    <w:p w14:paraId="333EF147">
      <w:pPr>
        <w:pStyle w:val="9"/>
      </w:pPr>
      <w:r>
        <w:annotationRef/>
      </w:r>
    </w:p>
  </w:comment>
  <w:comment w:id="59" w:author="。。。。。" w:date="2026-10-08T18:23:16Z" w:initials="">
    <w:p w14:paraId="587108DF">
      <w:pPr>
        <w:pStyle w:val="9"/>
      </w:pPr>
      <w:r>
        <w:annotationRef/>
      </w:r>
    </w:p>
  </w:comment>
  <w:comment w:id="60" w:author="小刘小刘" w:date="2026-10-09T15:13:47Z" w:initials="">
    <w:p w14:paraId="304974D4">
      <w:pPr>
        <w:pStyle w:val="9"/>
        <w:rPr>
          <w:rFonts w:hint="eastAsia" w:eastAsiaTheme="minorEastAsia"/>
          <w:lang w:val="en-US" w:eastAsia="zh-CN"/>
        </w:rPr>
      </w:pPr>
      <w:r>
        <w:rPr>
          <w:rFonts w:hint="eastAsia"/>
          <w:lang w:val="en-US" w:eastAsia="zh-CN"/>
        </w:rPr>
        <w:t>对应该</w:t>
      </w:r>
    </w:p>
  </w:comment>
  <w:comment w:id="61" w:author="。。。。。" w:date="2026-10-08T18:45:36Z" w:initials="">
    <w:p w14:paraId="2E44622A">
      <w:pPr>
        <w:pStyle w:val="9"/>
      </w:pPr>
      <w:r>
        <w:annotationRef/>
      </w:r>
    </w:p>
  </w:comment>
  <w:comment w:id="62" w:author="。。。。。" w:date="2026-10-08T18:50:05Z" w:initials="">
    <w:p w14:paraId="5374264B">
      <w:pPr>
        <w:pStyle w:val="9"/>
        <w:rPr>
          <w:rFonts w:hint="default" w:eastAsiaTheme="minorEastAsia"/>
          <w:lang w:val="en-US" w:eastAsia="zh-CN"/>
        </w:rPr>
      </w:pPr>
      <w:r>
        <w:rPr>
          <w:rFonts w:hint="eastAsia"/>
          <w:lang w:val="en-US" w:eastAsia="zh-CN"/>
        </w:rPr>
        <w:t>这种出料  感觉应该是顶部带排口</w:t>
      </w:r>
    </w:p>
  </w:comment>
  <w:comment w:id="63" w:author="。。。。。" w:date="2026-10-08T18:47:46Z" w:initials="">
    <w:p w14:paraId="19579EC2">
      <w:pPr>
        <w:pStyle w:val="9"/>
      </w:pPr>
      <w:r>
        <w:annotationRef/>
      </w:r>
    </w:p>
  </w:comment>
  <w:comment w:id="64" w:author="。。。。。" w:date="2026-10-08T18:48:59Z" w:initials="">
    <w:p w14:paraId="7098146D">
      <w:pPr>
        <w:pStyle w:val="9"/>
        <w:rPr>
          <w:rFonts w:hint="eastAsia"/>
          <w:lang w:val="en-US" w:eastAsia="zh-CN"/>
        </w:rPr>
      </w:pPr>
      <w:r>
        <w:rPr>
          <w:rFonts w:hint="eastAsia"/>
          <w:lang w:val="en-US" w:eastAsia="zh-CN"/>
        </w:rPr>
        <w:t>排放浓度太小了  测不出来</w:t>
      </w:r>
    </w:p>
    <w:p w14:paraId="5BAC2D5F">
      <w:pPr>
        <w:pStyle w:val="9"/>
        <w:rPr>
          <w:rFonts w:hint="eastAsia"/>
          <w:lang w:val="en-US" w:eastAsia="zh-CN"/>
        </w:rPr>
      </w:pPr>
    </w:p>
    <w:p w14:paraId="0FF98B75">
      <w:pPr>
        <w:pStyle w:val="9"/>
        <w:rPr>
          <w:rFonts w:hint="default"/>
          <w:lang w:val="en-US" w:eastAsia="zh-CN"/>
        </w:rPr>
      </w:pPr>
      <w:r>
        <w:rPr>
          <w:rFonts w:hint="eastAsia"/>
          <w:lang w:val="en-US" w:eastAsia="zh-CN"/>
        </w:rPr>
        <w:t>我觉得风量有点大   310000的风量  粉都抽没了</w:t>
      </w:r>
    </w:p>
  </w:comment>
  <w:comment w:id="65" w:author="。。。。。" w:date="2026-10-08T18:55:31Z" w:initials="">
    <w:p w14:paraId="641241AB">
      <w:pPr>
        <w:pStyle w:val="9"/>
      </w:pPr>
      <w:r>
        <w:annotationRef/>
      </w:r>
    </w:p>
  </w:comment>
  <w:comment w:id="66" w:author="。。。。。" w:date="2026-10-08T18:55:34Z" w:initials="">
    <w:p w14:paraId="76764C18">
      <w:pPr>
        <w:pStyle w:val="9"/>
      </w:pPr>
      <w:r>
        <w:annotationRef/>
      </w:r>
    </w:p>
  </w:comment>
  <w:comment w:id="67" w:author="。。。。。" w:date="2026-10-08T18:56:02Z" w:initials="">
    <w:p w14:paraId="715E7055">
      <w:pPr>
        <w:pStyle w:val="9"/>
      </w:pPr>
      <w:r>
        <w:annotationRef/>
      </w:r>
    </w:p>
  </w:comment>
  <w:comment w:id="68" w:author="。。。。。" w:date="2026-10-08T18:56:10Z" w:initials="">
    <w:p w14:paraId="4BCA2AB8">
      <w:pPr>
        <w:pStyle w:val="9"/>
        <w:rPr>
          <w:rFonts w:hint="eastAsia" w:eastAsiaTheme="minorEastAsia"/>
          <w:lang w:val="en-US" w:eastAsia="zh-CN"/>
        </w:rPr>
      </w:pPr>
      <w:r>
        <w:rPr>
          <w:rFonts w:hint="eastAsia"/>
          <w:lang w:val="en-US" w:eastAsia="zh-CN"/>
        </w:rPr>
        <w:t>删</w:t>
      </w:r>
    </w:p>
  </w:comment>
  <w:comment w:id="69" w:author="小刘小刘" w:date="2026-10-10T10:12:17Z" w:initials="">
    <w:p w14:paraId="6B1C7404">
      <w:pPr>
        <w:pStyle w:val="9"/>
        <w:rPr>
          <w:rFonts w:hint="default" w:eastAsiaTheme="minorEastAsia"/>
          <w:lang w:val="en-US" w:eastAsia="zh-CN"/>
        </w:rPr>
      </w:pPr>
      <w:r>
        <w:rPr>
          <w:rFonts w:hint="eastAsia"/>
          <w:lang w:val="en-US" w:eastAsia="zh-CN"/>
        </w:rPr>
        <w:t>已删</w:t>
      </w:r>
    </w:p>
  </w:comment>
  <w:comment w:id="70" w:author="小刘小刘" w:date="2026-09-22T13:52:39Z" w:initials="">
    <w:p w14:paraId="06D15DD4">
      <w:pPr>
        <w:pStyle w:val="9"/>
        <w:rPr>
          <w:rFonts w:hint="default" w:eastAsiaTheme="minorEastAsia"/>
          <w:lang w:val="en-US" w:eastAsia="zh-CN"/>
        </w:rPr>
      </w:pPr>
      <w:r>
        <w:rPr>
          <w:rFonts w:hint="eastAsia"/>
          <w:lang w:val="en-US" w:eastAsia="zh-CN"/>
        </w:rPr>
        <w:t>4-6、5-14、3-12、6-2</w:t>
      </w:r>
    </w:p>
  </w:comment>
  <w:comment w:id="71" w:author="d" w:date="2026-09-28T13:56:33Z" w:initials="d">
    <w:p w14:paraId="29EA7C88">
      <w:pPr>
        <w:pStyle w:val="9"/>
        <w:rPr>
          <w:rFonts w:hint="eastAsia"/>
          <w:lang w:val="en-US" w:eastAsia="zh-CN"/>
        </w:rPr>
      </w:pPr>
      <w:r>
        <w:rPr>
          <w:rFonts w:hint="eastAsia"/>
          <w:lang w:val="en-US" w:eastAsia="zh-CN"/>
        </w:rPr>
        <w:t>核实夜间是否生产。</w:t>
      </w:r>
    </w:p>
    <w:p w14:paraId="67B6343F">
      <w:pPr>
        <w:pStyle w:val="9"/>
        <w:rPr>
          <w:rFonts w:hint="default"/>
          <w:lang w:val="en-US" w:eastAsia="zh-CN"/>
        </w:rPr>
      </w:pPr>
      <w:r>
        <w:rPr>
          <w:rFonts w:hint="eastAsia" w:ascii="Times New Roman" w:hAnsi="Times New Roman" w:eastAsia="宋体" w:cs="Times New Roman"/>
          <w:color w:val="auto"/>
          <w:sz w:val="24"/>
          <w:highlight w:val="none"/>
          <w:lang w:val="en-US" w:eastAsia="zh-CN"/>
        </w:rPr>
        <w:t>实行两班制生产（每班8h），完全落在6:00-22:00，夜间22:00-6:00不生产，容易被质疑。</w:t>
      </w:r>
    </w:p>
  </w:comment>
  <w:comment w:id="72" w:author="小刘小刘" w:date="2026-09-28T14:35:21Z" w:initials="">
    <w:p w14:paraId="0456FC27">
      <w:pPr>
        <w:pStyle w:val="9"/>
        <w:rPr>
          <w:rFonts w:hint="eastAsia" w:eastAsiaTheme="minorEastAsia"/>
          <w:lang w:val="en-US" w:eastAsia="zh-CN"/>
        </w:rPr>
      </w:pPr>
      <w:r>
        <w:rPr>
          <w:rFonts w:hint="eastAsia"/>
          <w:lang w:val="en-US" w:eastAsia="zh-CN"/>
        </w:rPr>
        <w:t>夜间不生产</w:t>
      </w:r>
    </w:p>
  </w:comment>
</w:comments>
</file>

<file path=word/commentsExtended.xml><?xml version="1.0" encoding="utf-8"?>
<w15:commentsEx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15:commentEx w15:paraId="743C64A1" w15:done="0"/>
  <w15:commentEx w15:paraId="4575B457" w15:done="0"/>
  <w15:commentEx w15:paraId="78E6B75E" w15:done="0"/>
  <w15:commentEx w15:paraId="5D6A6C8E" w15:done="0" w15:paraIdParent="78E6B75E"/>
  <w15:commentEx w15:paraId="524DBA24" w15:done="0"/>
  <w15:commentEx w15:paraId="36AEBE33" w15:done="0" w15:paraIdParent="524DBA24"/>
  <w15:commentEx w15:paraId="52070D97" w15:done="0"/>
  <w15:commentEx w15:paraId="35D0D65A" w15:done="0" w15:paraIdParent="52070D97"/>
  <w15:commentEx w15:paraId="5887FCE9" w15:done="0"/>
  <w15:commentEx w15:paraId="61CE1688" w15:done="0"/>
  <w15:commentEx w15:paraId="341D76C4" w15:done="0" w15:paraIdParent="61CE1688"/>
  <w15:commentEx w15:paraId="26CBF371" w15:done="0"/>
  <w15:commentEx w15:paraId="06B46BF2" w15:done="0" w15:paraIdParent="26CBF371"/>
  <w15:commentEx w15:paraId="5EF1041F" w15:done="0"/>
  <w15:commentEx w15:paraId="14412BAA" w15:done="0" w15:paraIdParent="5EF1041F"/>
  <w15:commentEx w15:paraId="3BD8DF9B" w15:done="0"/>
  <w15:commentEx w15:paraId="71272047" w15:done="0"/>
  <w15:commentEx w15:paraId="2DDCA555" w15:done="0" w15:paraIdParent="71272047"/>
  <w15:commentEx w15:paraId="4F311484" w15:done="0"/>
  <w15:commentEx w15:paraId="5F4037FA" w15:done="0" w15:paraIdParent="4F311484"/>
  <w15:commentEx w15:paraId="09671C25" w15:done="0"/>
  <w15:commentEx w15:paraId="2497FD60" w15:done="0" w15:paraIdParent="09671C25"/>
  <w15:commentEx w15:paraId="14543DE5" w15:done="0"/>
  <w15:commentEx w15:paraId="3E42A7E6" w15:done="0"/>
  <w15:commentEx w15:paraId="08F6442D" w15:done="0" w15:paraIdParent="3E42A7E6"/>
  <w15:commentEx w15:paraId="47BC642F" w15:done="0"/>
  <w15:commentEx w15:paraId="25CF85E4" w15:done="0" w15:paraIdParent="47BC642F"/>
  <w15:commentEx w15:paraId="0633C21D" w15:done="0"/>
  <w15:commentEx w15:paraId="57D1BD8D" w15:done="0"/>
  <w15:commentEx w15:paraId="17EC23F6" w15:done="0"/>
  <w15:commentEx w15:paraId="60CFF1F1" w15:done="0"/>
  <w15:commentEx w15:paraId="4A69D259" w15:done="0" w15:paraIdParent="60CFF1F1"/>
  <w15:commentEx w15:paraId="396651A8" w15:done="0"/>
  <w15:commentEx w15:paraId="6069A6D0" w15:done="0" w15:paraIdParent="396651A8"/>
  <w15:commentEx w15:paraId="67E863E8" w15:done="0"/>
  <w15:commentEx w15:paraId="6FB7D0CA" w15:done="0"/>
  <w15:commentEx w15:paraId="2BBF38EB" w15:done="0" w15:paraIdParent="6FB7D0CA"/>
  <w15:commentEx w15:paraId="54E16A20" w15:done="0"/>
  <w15:commentEx w15:paraId="3C5A1023" w15:done="0" w15:paraIdParent="54E16A20"/>
  <w15:commentEx w15:paraId="5B42F9CA" w15:done="0"/>
  <w15:commentEx w15:paraId="4968AD5E" w15:done="0" w15:paraIdParent="5B42F9CA"/>
  <w15:commentEx w15:paraId="22EA9619" w15:done="0"/>
  <w15:commentEx w15:paraId="3A9C88A3" w15:done="0"/>
  <w15:commentEx w15:paraId="444C80BC" w15:done="0"/>
  <w15:commentEx w15:paraId="7EBCC62B" w15:done="0"/>
  <w15:commentEx w15:paraId="6F4B3ED3" w15:done="0"/>
  <w15:commentEx w15:paraId="003055A0" w15:done="0"/>
  <w15:commentEx w15:paraId="1ADB1EAA" w15:done="0" w15:paraIdParent="003055A0"/>
  <w15:commentEx w15:paraId="6ECFBA3A" w15:done="0"/>
  <w15:commentEx w15:paraId="37111227" w15:done="0"/>
  <w15:commentEx w15:paraId="5B1CCFCF" w15:done="0" w15:paraIdParent="37111227"/>
  <w15:commentEx w15:paraId="0BF27C49" w15:done="0"/>
  <w15:commentEx w15:paraId="683E820B" w15:done="0" w15:paraIdParent="0BF27C49"/>
  <w15:commentEx w15:paraId="49003328" w15:done="0" w15:paraIdParent="0BF27C49"/>
  <w15:commentEx w15:paraId="0A7FCF4C" w15:done="0" w15:paraIdParent="0BF27C49"/>
  <w15:commentEx w15:paraId="1ADE789E" w15:done="0"/>
  <w15:commentEx w15:paraId="724F15DF" w15:done="0"/>
  <w15:commentEx w15:paraId="3C18082E" w15:done="0"/>
  <w15:commentEx w15:paraId="333EF147" w15:done="0"/>
  <w15:commentEx w15:paraId="587108DF" w15:done="0"/>
  <w15:commentEx w15:paraId="304974D4" w15:done="0"/>
  <w15:commentEx w15:paraId="2E44622A" w15:done="0"/>
  <w15:commentEx w15:paraId="5374264B" w15:done="0"/>
  <w15:commentEx w15:paraId="19579EC2" w15:done="0"/>
  <w15:commentEx w15:paraId="0FF98B75" w15:done="0"/>
  <w15:commentEx w15:paraId="641241AB" w15:done="0"/>
  <w15:commentEx w15:paraId="76764C18" w15:done="0"/>
  <w15:commentEx w15:paraId="715E7055" w15:done="0"/>
  <w15:commentEx w15:paraId="4BCA2AB8" w15:done="0"/>
  <w15:commentEx w15:paraId="6B1C7404" w15:done="0" w15:paraIdParent="4BCA2AB8"/>
  <w15:commentEx w15:paraId="06D15DD4" w15:done="0"/>
  <w15:commentEx w15:paraId="67B6343F" w15:done="0"/>
  <w15:commentEx w15:paraId="0456FC27" w15:done="0" w15:paraIdParent="67B6343F"/>
</w15:commentsEx>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A1"/>
    <w:family w:val="roman"/>
    <w:pitch w:val="default"/>
    <w:sig w:usb0="E0002EFF" w:usb1="C000785B" w:usb2="00000009" w:usb3="00000000" w:csb0="400001FF" w:csb1="FFFF0000"/>
  </w:font>
  <w:font w:name="宋体">
    <w:panose1 w:val="02010600030101010101"/>
    <w:charset w:val="34"/>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panose1 w:val="02010609030101010101"/>
    <w:charset w:val="86"/>
    <w:family w:val="modern"/>
    <w:pitch w:val="default"/>
    <w:sig w:usb0="00000001" w:usb1="080E0000" w:usb2="00000000" w:usb3="00000000" w:csb0="00040000" w:csb1="00000000"/>
  </w:font>
  <w:font w:name="楷体">
    <w:panose1 w:val="02010609060101010101"/>
    <w:charset w:val="86"/>
    <w:family w:val="modern"/>
    <w:pitch w:val="default"/>
    <w:sig w:usb0="800002BF" w:usb1="38CF7CFA" w:usb2="00000016" w:usb3="00000000" w:csb0="00040001" w:csb1="00000000"/>
  </w:font>
  <w:font w:name="仿宋">
    <w:panose1 w:val="02010609060101010101"/>
    <w:charset w:val="86"/>
    <w:family w:val="auto"/>
    <w:pitch w:val="default"/>
    <w:sig w:usb0="800002BF" w:usb1="38CF7CFA" w:usb2="00000016" w:usb3="00000000" w:csb0="00040001" w:csb1="00000000"/>
  </w:font>
  <w:font w:name="等线">
    <w:panose1 w:val="02010600030101010101"/>
    <w:charset w:val="86"/>
    <w:family w:val="auto"/>
    <w:pitch w:val="default"/>
    <w:sig w:usb0="A00002BF" w:usb1="38CF7CFA" w:usb2="00000016" w:usb3="00000000" w:csb0="0004000F" w:csb1="00000000"/>
  </w:font>
  <w:font w:name="微软雅黑">
    <w:panose1 w:val="020B0503020204020204"/>
    <w:charset w:val="86"/>
    <w:family w:val="auto"/>
    <w:pitch w:val="default"/>
    <w:sig w:usb0="80000287" w:usb1="2ACF3C50"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843ABB1">
    <w:pPr>
      <w:pStyle w:val="14"/>
    </w:pPr>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25F11F78">
                          <w:pPr>
                            <w:pStyle w:val="14"/>
                          </w:pPr>
                          <w:r>
                            <w:fldChar w:fldCharType="begin"/>
                          </w:r>
                          <w:r>
                            <w:instrText xml:space="preserve"> PAGE  \* MERGEFORMAT </w:instrText>
                          </w:r>
                          <w:r>
                            <w:fldChar w:fldCharType="separate"/>
                          </w:r>
                          <w:r>
                            <w:t>4</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IzXDnwqAgAAV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">
              <v:fill on="f" focussize="0,0"/>
              <v:stroke on="f" weight="0.5pt"/>
              <v:imagedata o:title=""/>
              <o:lock v:ext="edit" aspectratio="f"/>
              <v:textbox inset="0mm,0mm,0mm,0mm" style="mso-fit-shape-to-text:t;">
                <w:txbxContent>
                  <w:p w14:paraId="25F11F78">
                    <w:pPr>
                      <w:pStyle w:val="14"/>
                    </w:pPr>
                    <w:r>
                      <w:fldChar w:fldCharType="begin"/>
                    </w:r>
                    <w:r>
                      <w:instrText xml:space="preserve"> PAGE  \* MERGEFORMAT </w:instrText>
                    </w:r>
                    <w:r>
                      <w:fldChar w:fldCharType="separate"/>
                    </w:r>
                    <w:r>
                      <w:t>4</w:t>
                    </w:r>
                    <w:r>
                      <w:fldChar w:fldCharType="end"/>
                    </w:r>
                  </w:p>
                </w:txbxContent>
              </v:textbox>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9C0C593">
    <w:pPr>
      <w:pStyle w:val="14"/>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57F9966">
    <w:pPr>
      <w:jc w:val="center"/>
      <w:rPr>
        <w:rFonts w:ascii="Times New Roman" w:hAnsi="Times New Roman" w:eastAsia="宋体" w:cs="Times New Roman"/>
        <w:sz w:val="18"/>
        <w:szCs w:val="18"/>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D63E032">
    <w:pPr>
      <w:jc w:val="center"/>
      <w:rPr>
        <w:rFonts w:ascii="Times New Roman" w:hAnsi="Times New Roman" w:eastAsia="宋体" w:cs="Times New Roman"/>
        <w:sz w:val="18"/>
        <w:szCs w:val="18"/>
      </w:rP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019176C">
    <w:pPr>
      <w:pBdr>
        <w:bottom w:val="single" w:color="auto" w:sz="4" w:space="0"/>
      </w:pBdr>
      <w:jc w:val="center"/>
      <w:rPr>
        <w:rFonts w:ascii="Times New Roman" w:hAnsi="Times New Roman" w:eastAsia="宋体" w:cs="Times New Roman"/>
        <w:sz w:val="18"/>
        <w:szCs w:val="18"/>
      </w:rPr>
    </w:pPr>
    <w:r>
      <w:rPr>
        <w:rFonts w:ascii="Times New Roman" w:hAnsi="Times New Roman" w:eastAsia="宋体" w:cs="Times New Roman"/>
        <w:sz w:val="18"/>
        <w:szCs w:val="18"/>
      </w:rPr>
      <w:t>浙江凌志源科技股份有限公司年产500万平方米第二代动力电池高安全陶瓷化复合隔膜及2000万片纳米隔热板项目生态环境影响报告表</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00000005"/>
    <w:multiLevelType w:val="multilevel"/>
    <w:tmpl w:val="00000005"/>
    <w:lvl w:ilvl="0" w:tentative="0">
      <w:start w:val="1"/>
      <w:numFmt w:val="decimal"/>
      <w:pStyle w:val="16"/>
      <w:lvlText w:val="%1."/>
      <w:lvlJc w:val="left"/>
      <w:pPr>
        <w:tabs>
          <w:tab w:val="left" w:pos="420"/>
        </w:tabs>
        <w:ind w:left="420" w:hanging="420"/>
      </w:pPr>
      <w:rPr>
        <w:rFonts w:hint="default"/>
        <w:b w:val="0"/>
      </w:rPr>
    </w:lvl>
    <w:lvl w:ilvl="1" w:tentative="0">
      <w:start w:val="1"/>
      <w:numFmt w:val="lowerLetter"/>
      <w:lvlText w:val="%2)"/>
      <w:lvlJc w:val="left"/>
      <w:pPr>
        <w:tabs>
          <w:tab w:val="left" w:pos="840"/>
        </w:tabs>
        <w:ind w:left="840" w:hanging="420"/>
      </w:p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abstractNum w:abstractNumId="1">
    <w:nsid w:val="34A5CE0A"/>
    <w:multiLevelType w:val="singleLevel"/>
    <w:tmpl w:val="34A5CE0A"/>
    <w:lvl w:ilvl="0" w:tentative="0">
      <w:start w:val="1"/>
      <w:numFmt w:val="upperLetter"/>
      <w:suff w:val="nothing"/>
      <w:lvlText w:val="%1、"/>
      <w:lvlJc w:val="left"/>
    </w:lvl>
  </w:abstractNum>
  <w:abstractNum w:abstractNumId="2">
    <w:nsid w:val="626ACC25"/>
    <w:multiLevelType w:val="singleLevel"/>
    <w:tmpl w:val="626ACC25"/>
    <w:lvl w:ilvl="0" w:tentative="0">
      <w:start w:val="2"/>
      <w:numFmt w:val="decimal"/>
      <w:suff w:val="nothing"/>
      <w:lvlText w:val="（%1）"/>
      <w:lvlJc w:val="left"/>
    </w:lvl>
  </w:abstractNum>
  <w:num w:numId="1">
    <w:abstractNumId w:val="0"/>
  </w:num>
  <w:num w:numId="2">
    <w:abstractNumId w:val="2"/>
  </w:num>
  <w:num w:numId="3">
    <w:abstractNumId w:val="1"/>
  </w:num>
</w:numbering>
</file>

<file path=word/people.xml><?xml version="1.0" encoding="utf-8"?>
<w15:people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15:person w15:author="小刘小刘">
    <w15:presenceInfo w15:providerId="WPS Office" w15:userId="3424752138"/>
  </w15:person>
  <w15:person w15:author="。。。。。">
    <w15:presenceInfo w15:providerId="WPS Office" w15:userId="1346219911"/>
  </w15:person>
  <w15:person w15:author="d">
    <w15:presenceInfo w15:providerId="None" w15:userId="d"/>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N2Q1MzlkMjE5NmY4ODBiNmZiMDdjMjA5YmRjM2JkN2IifQ=="/>
  </w:docVars>
  <w:rsids>
    <w:rsidRoot w:val="00172A27"/>
    <w:rsid w:val="000378DF"/>
    <w:rsid w:val="00040102"/>
    <w:rsid w:val="00054568"/>
    <w:rsid w:val="000B44D3"/>
    <w:rsid w:val="000C3C13"/>
    <w:rsid w:val="000E3FC3"/>
    <w:rsid w:val="00110228"/>
    <w:rsid w:val="00133387"/>
    <w:rsid w:val="00164C26"/>
    <w:rsid w:val="00172A27"/>
    <w:rsid w:val="001A284B"/>
    <w:rsid w:val="001B161D"/>
    <w:rsid w:val="001B223C"/>
    <w:rsid w:val="002630BB"/>
    <w:rsid w:val="00303F39"/>
    <w:rsid w:val="003A6B66"/>
    <w:rsid w:val="003B2C16"/>
    <w:rsid w:val="004E629B"/>
    <w:rsid w:val="004F0829"/>
    <w:rsid w:val="00523EB0"/>
    <w:rsid w:val="00535E7A"/>
    <w:rsid w:val="00536C4E"/>
    <w:rsid w:val="00641E35"/>
    <w:rsid w:val="006B4F71"/>
    <w:rsid w:val="006E5C31"/>
    <w:rsid w:val="007007DA"/>
    <w:rsid w:val="0070249E"/>
    <w:rsid w:val="00742194"/>
    <w:rsid w:val="0075194C"/>
    <w:rsid w:val="00795C54"/>
    <w:rsid w:val="007A1658"/>
    <w:rsid w:val="007A17FB"/>
    <w:rsid w:val="007A3406"/>
    <w:rsid w:val="00861DAB"/>
    <w:rsid w:val="00867E52"/>
    <w:rsid w:val="008E09C7"/>
    <w:rsid w:val="008F5D16"/>
    <w:rsid w:val="00A40483"/>
    <w:rsid w:val="00A65FA9"/>
    <w:rsid w:val="00A82CC0"/>
    <w:rsid w:val="00B406C6"/>
    <w:rsid w:val="00B82868"/>
    <w:rsid w:val="00B92181"/>
    <w:rsid w:val="00B9564A"/>
    <w:rsid w:val="00BD160E"/>
    <w:rsid w:val="00C10422"/>
    <w:rsid w:val="00C1533B"/>
    <w:rsid w:val="00C34DAD"/>
    <w:rsid w:val="00C67EDE"/>
    <w:rsid w:val="00C753AC"/>
    <w:rsid w:val="00D01278"/>
    <w:rsid w:val="00D72607"/>
    <w:rsid w:val="00E1088A"/>
    <w:rsid w:val="00E24F82"/>
    <w:rsid w:val="00E30FAC"/>
    <w:rsid w:val="00E32D5A"/>
    <w:rsid w:val="00E371FE"/>
    <w:rsid w:val="00E52F76"/>
    <w:rsid w:val="00E74996"/>
    <w:rsid w:val="00F72CA9"/>
    <w:rsid w:val="00F9257D"/>
    <w:rsid w:val="00FC02BF"/>
    <w:rsid w:val="00FF56BA"/>
    <w:rsid w:val="01092E73"/>
    <w:rsid w:val="01097D2F"/>
    <w:rsid w:val="01115B19"/>
    <w:rsid w:val="011B0745"/>
    <w:rsid w:val="01205D5C"/>
    <w:rsid w:val="012F5F9F"/>
    <w:rsid w:val="013A56CD"/>
    <w:rsid w:val="013E2686"/>
    <w:rsid w:val="014D28C9"/>
    <w:rsid w:val="014F03EF"/>
    <w:rsid w:val="015B3238"/>
    <w:rsid w:val="015C48BA"/>
    <w:rsid w:val="015E4AD6"/>
    <w:rsid w:val="015E6540"/>
    <w:rsid w:val="01626374"/>
    <w:rsid w:val="01671BDD"/>
    <w:rsid w:val="016814B1"/>
    <w:rsid w:val="016C71F3"/>
    <w:rsid w:val="017253B6"/>
    <w:rsid w:val="01730582"/>
    <w:rsid w:val="01747E56"/>
    <w:rsid w:val="01791910"/>
    <w:rsid w:val="017B5688"/>
    <w:rsid w:val="017C6D0A"/>
    <w:rsid w:val="017E2A82"/>
    <w:rsid w:val="018C33F1"/>
    <w:rsid w:val="018C519F"/>
    <w:rsid w:val="01A26771"/>
    <w:rsid w:val="01A35B56"/>
    <w:rsid w:val="01A544B3"/>
    <w:rsid w:val="01B3097E"/>
    <w:rsid w:val="01B34E22"/>
    <w:rsid w:val="01BE7323"/>
    <w:rsid w:val="01C0753F"/>
    <w:rsid w:val="01C54B55"/>
    <w:rsid w:val="01C963F3"/>
    <w:rsid w:val="01CC5EE4"/>
    <w:rsid w:val="01CF7782"/>
    <w:rsid w:val="01D13EC7"/>
    <w:rsid w:val="01D803E5"/>
    <w:rsid w:val="01DB6127"/>
    <w:rsid w:val="01DF713D"/>
    <w:rsid w:val="01E46D89"/>
    <w:rsid w:val="01EC02B1"/>
    <w:rsid w:val="01EE19B6"/>
    <w:rsid w:val="01EE2BD1"/>
    <w:rsid w:val="01EF6C32"/>
    <w:rsid w:val="01F66ABD"/>
    <w:rsid w:val="01FE6EF6"/>
    <w:rsid w:val="020532CF"/>
    <w:rsid w:val="020834AC"/>
    <w:rsid w:val="02094A42"/>
    <w:rsid w:val="021138F7"/>
    <w:rsid w:val="0215208E"/>
    <w:rsid w:val="021601E0"/>
    <w:rsid w:val="021B4775"/>
    <w:rsid w:val="021B6523"/>
    <w:rsid w:val="021D1CB0"/>
    <w:rsid w:val="02274EC8"/>
    <w:rsid w:val="02281ED7"/>
    <w:rsid w:val="022E29FE"/>
    <w:rsid w:val="02337D11"/>
    <w:rsid w:val="02353A89"/>
    <w:rsid w:val="02376F0D"/>
    <w:rsid w:val="023F0464"/>
    <w:rsid w:val="02441F1E"/>
    <w:rsid w:val="024535A0"/>
    <w:rsid w:val="024832FB"/>
    <w:rsid w:val="02493090"/>
    <w:rsid w:val="025008C3"/>
    <w:rsid w:val="02532161"/>
    <w:rsid w:val="02555ED9"/>
    <w:rsid w:val="025A34EF"/>
    <w:rsid w:val="025C5CB3"/>
    <w:rsid w:val="025D08EA"/>
    <w:rsid w:val="025F28B4"/>
    <w:rsid w:val="0261662C"/>
    <w:rsid w:val="02647ECA"/>
    <w:rsid w:val="02663C42"/>
    <w:rsid w:val="026779BA"/>
    <w:rsid w:val="026C4FD1"/>
    <w:rsid w:val="02714395"/>
    <w:rsid w:val="02746BAB"/>
    <w:rsid w:val="027619AC"/>
    <w:rsid w:val="02775E4F"/>
    <w:rsid w:val="0278273E"/>
    <w:rsid w:val="027C16B8"/>
    <w:rsid w:val="027F0E00"/>
    <w:rsid w:val="02885902"/>
    <w:rsid w:val="028916DF"/>
    <w:rsid w:val="02895B83"/>
    <w:rsid w:val="028B18FB"/>
    <w:rsid w:val="028D5673"/>
    <w:rsid w:val="028D692C"/>
    <w:rsid w:val="02900890"/>
    <w:rsid w:val="02963DFC"/>
    <w:rsid w:val="029C7664"/>
    <w:rsid w:val="029D443A"/>
    <w:rsid w:val="02A4476B"/>
    <w:rsid w:val="02A93B2F"/>
    <w:rsid w:val="02AE7397"/>
    <w:rsid w:val="02B41F9E"/>
    <w:rsid w:val="02B5065E"/>
    <w:rsid w:val="02BC36E9"/>
    <w:rsid w:val="02BC3862"/>
    <w:rsid w:val="02BE7F15"/>
    <w:rsid w:val="02C92423"/>
    <w:rsid w:val="02CB7F49"/>
    <w:rsid w:val="02D0060E"/>
    <w:rsid w:val="02D432A2"/>
    <w:rsid w:val="02D74B40"/>
    <w:rsid w:val="02D84414"/>
    <w:rsid w:val="02DA018C"/>
    <w:rsid w:val="02DC2156"/>
    <w:rsid w:val="02E5725D"/>
    <w:rsid w:val="02E62FD5"/>
    <w:rsid w:val="02E66B31"/>
    <w:rsid w:val="02E903CF"/>
    <w:rsid w:val="02E963B2"/>
    <w:rsid w:val="02F0175E"/>
    <w:rsid w:val="02F17778"/>
    <w:rsid w:val="02F474A0"/>
    <w:rsid w:val="02F72AEC"/>
    <w:rsid w:val="02FA25DD"/>
    <w:rsid w:val="02FB487C"/>
    <w:rsid w:val="03004097"/>
    <w:rsid w:val="030B24D5"/>
    <w:rsid w:val="030D2310"/>
    <w:rsid w:val="030D40BE"/>
    <w:rsid w:val="031847E2"/>
    <w:rsid w:val="03192A63"/>
    <w:rsid w:val="031A67DB"/>
    <w:rsid w:val="031C2553"/>
    <w:rsid w:val="03241BE1"/>
    <w:rsid w:val="033001F3"/>
    <w:rsid w:val="033A6423"/>
    <w:rsid w:val="033B50CF"/>
    <w:rsid w:val="033D313F"/>
    <w:rsid w:val="03404493"/>
    <w:rsid w:val="034C108A"/>
    <w:rsid w:val="034D6BB0"/>
    <w:rsid w:val="035241C7"/>
    <w:rsid w:val="0354297B"/>
    <w:rsid w:val="03555A65"/>
    <w:rsid w:val="035B751F"/>
    <w:rsid w:val="035D3297"/>
    <w:rsid w:val="035E1E8C"/>
    <w:rsid w:val="03600692"/>
    <w:rsid w:val="03630182"/>
    <w:rsid w:val="03653EFA"/>
    <w:rsid w:val="03661A20"/>
    <w:rsid w:val="036A7762"/>
    <w:rsid w:val="036B7036"/>
    <w:rsid w:val="036D7252"/>
    <w:rsid w:val="036E289D"/>
    <w:rsid w:val="036E446E"/>
    <w:rsid w:val="036F4D79"/>
    <w:rsid w:val="0371289F"/>
    <w:rsid w:val="03716D43"/>
    <w:rsid w:val="03764359"/>
    <w:rsid w:val="03771E7F"/>
    <w:rsid w:val="03802AE2"/>
    <w:rsid w:val="038304DC"/>
    <w:rsid w:val="038325D2"/>
    <w:rsid w:val="03863E70"/>
    <w:rsid w:val="03887BE8"/>
    <w:rsid w:val="038D715B"/>
    <w:rsid w:val="03914CEF"/>
    <w:rsid w:val="039268A9"/>
    <w:rsid w:val="039B5B6E"/>
    <w:rsid w:val="039E0AAF"/>
    <w:rsid w:val="03A44911"/>
    <w:rsid w:val="03A5079A"/>
    <w:rsid w:val="03A52548"/>
    <w:rsid w:val="03A569EC"/>
    <w:rsid w:val="03A82039"/>
    <w:rsid w:val="03AA5DB1"/>
    <w:rsid w:val="03AF0BFA"/>
    <w:rsid w:val="03B15391"/>
    <w:rsid w:val="03B52088"/>
    <w:rsid w:val="03B66504"/>
    <w:rsid w:val="03B92498"/>
    <w:rsid w:val="03BA2BD1"/>
    <w:rsid w:val="03BE7AAE"/>
    <w:rsid w:val="03C04BBB"/>
    <w:rsid w:val="03CA1FAF"/>
    <w:rsid w:val="03CB0448"/>
    <w:rsid w:val="03CB0D5C"/>
    <w:rsid w:val="03CE4985"/>
    <w:rsid w:val="03D60954"/>
    <w:rsid w:val="03DB30BC"/>
    <w:rsid w:val="03E017D2"/>
    <w:rsid w:val="03E312C3"/>
    <w:rsid w:val="03E41018"/>
    <w:rsid w:val="03E77005"/>
    <w:rsid w:val="03E82C7F"/>
    <w:rsid w:val="03EC0177"/>
    <w:rsid w:val="03EE2141"/>
    <w:rsid w:val="03EE3EEF"/>
    <w:rsid w:val="03EF1A15"/>
    <w:rsid w:val="03F31506"/>
    <w:rsid w:val="03F82FC0"/>
    <w:rsid w:val="03FD2384"/>
    <w:rsid w:val="04003C23"/>
    <w:rsid w:val="04051239"/>
    <w:rsid w:val="04073203"/>
    <w:rsid w:val="04082AD7"/>
    <w:rsid w:val="04090D29"/>
    <w:rsid w:val="040C25C7"/>
    <w:rsid w:val="040F20B8"/>
    <w:rsid w:val="04114082"/>
    <w:rsid w:val="04161698"/>
    <w:rsid w:val="04180F6C"/>
    <w:rsid w:val="041A21CD"/>
    <w:rsid w:val="041B6CAE"/>
    <w:rsid w:val="04206073"/>
    <w:rsid w:val="042A6EF2"/>
    <w:rsid w:val="042C2C6A"/>
    <w:rsid w:val="042D1227"/>
    <w:rsid w:val="042F62B6"/>
    <w:rsid w:val="04363AE8"/>
    <w:rsid w:val="043833BC"/>
    <w:rsid w:val="043A5387"/>
    <w:rsid w:val="043D6C25"/>
    <w:rsid w:val="044004C3"/>
    <w:rsid w:val="04553F6E"/>
    <w:rsid w:val="045C3C79"/>
    <w:rsid w:val="045F4DED"/>
    <w:rsid w:val="046441B2"/>
    <w:rsid w:val="0466617C"/>
    <w:rsid w:val="04706FFA"/>
    <w:rsid w:val="047168CE"/>
    <w:rsid w:val="04781A0B"/>
    <w:rsid w:val="047A1C27"/>
    <w:rsid w:val="047A39D5"/>
    <w:rsid w:val="047D5273"/>
    <w:rsid w:val="047F723D"/>
    <w:rsid w:val="048029DD"/>
    <w:rsid w:val="04842AA6"/>
    <w:rsid w:val="04874626"/>
    <w:rsid w:val="048900BC"/>
    <w:rsid w:val="04893C18"/>
    <w:rsid w:val="048C54B6"/>
    <w:rsid w:val="04904FA7"/>
    <w:rsid w:val="04911272"/>
    <w:rsid w:val="04956A61"/>
    <w:rsid w:val="04966335"/>
    <w:rsid w:val="04992949"/>
    <w:rsid w:val="04A0765F"/>
    <w:rsid w:val="04A66578"/>
    <w:rsid w:val="04AB1DE0"/>
    <w:rsid w:val="04AE7B23"/>
    <w:rsid w:val="04B54A0D"/>
    <w:rsid w:val="04BB7424"/>
    <w:rsid w:val="04C77B2D"/>
    <w:rsid w:val="04D56E5D"/>
    <w:rsid w:val="04D806FC"/>
    <w:rsid w:val="04E2157A"/>
    <w:rsid w:val="04E35A1E"/>
    <w:rsid w:val="04ED064B"/>
    <w:rsid w:val="04ED41A7"/>
    <w:rsid w:val="04FA68C4"/>
    <w:rsid w:val="04FE4606"/>
    <w:rsid w:val="04FF037E"/>
    <w:rsid w:val="04FF212C"/>
    <w:rsid w:val="05025778"/>
    <w:rsid w:val="05031C1C"/>
    <w:rsid w:val="0506170D"/>
    <w:rsid w:val="05087233"/>
    <w:rsid w:val="05121E5F"/>
    <w:rsid w:val="05191440"/>
    <w:rsid w:val="051C0A8D"/>
    <w:rsid w:val="052348D4"/>
    <w:rsid w:val="052878D5"/>
    <w:rsid w:val="052A53FB"/>
    <w:rsid w:val="052D0A47"/>
    <w:rsid w:val="053650E4"/>
    <w:rsid w:val="053A13B6"/>
    <w:rsid w:val="053A5CE9"/>
    <w:rsid w:val="054235F1"/>
    <w:rsid w:val="0544022B"/>
    <w:rsid w:val="05485881"/>
    <w:rsid w:val="054C0394"/>
    <w:rsid w:val="054D10EA"/>
    <w:rsid w:val="05502988"/>
    <w:rsid w:val="055345DA"/>
    <w:rsid w:val="05575AC4"/>
    <w:rsid w:val="055D042F"/>
    <w:rsid w:val="056337F9"/>
    <w:rsid w:val="056703FD"/>
    <w:rsid w:val="05685F23"/>
    <w:rsid w:val="056C5A14"/>
    <w:rsid w:val="056D52E8"/>
    <w:rsid w:val="056F2E0E"/>
    <w:rsid w:val="05726DA2"/>
    <w:rsid w:val="05730C69"/>
    <w:rsid w:val="0575419C"/>
    <w:rsid w:val="057A17B3"/>
    <w:rsid w:val="057E5747"/>
    <w:rsid w:val="05816FE5"/>
    <w:rsid w:val="0589693E"/>
    <w:rsid w:val="058B5464"/>
    <w:rsid w:val="058F34B0"/>
    <w:rsid w:val="058F525E"/>
    <w:rsid w:val="05924D4E"/>
    <w:rsid w:val="05993309"/>
    <w:rsid w:val="05AB0194"/>
    <w:rsid w:val="05AB73D8"/>
    <w:rsid w:val="05AF1DBA"/>
    <w:rsid w:val="05B20F4D"/>
    <w:rsid w:val="05B250B3"/>
    <w:rsid w:val="05B253F0"/>
    <w:rsid w:val="05B902F6"/>
    <w:rsid w:val="05BE3D95"/>
    <w:rsid w:val="05C145CC"/>
    <w:rsid w:val="05C173E2"/>
    <w:rsid w:val="05C55124"/>
    <w:rsid w:val="05D25063"/>
    <w:rsid w:val="05D9472B"/>
    <w:rsid w:val="05E01F5E"/>
    <w:rsid w:val="05E27A84"/>
    <w:rsid w:val="05ED75A7"/>
    <w:rsid w:val="05F15E50"/>
    <w:rsid w:val="05F208D7"/>
    <w:rsid w:val="05F67158"/>
    <w:rsid w:val="05FA2ED0"/>
    <w:rsid w:val="05FD48BE"/>
    <w:rsid w:val="06007B06"/>
    <w:rsid w:val="06063B65"/>
    <w:rsid w:val="060963D3"/>
    <w:rsid w:val="060A2B37"/>
    <w:rsid w:val="060C2D53"/>
    <w:rsid w:val="06110369"/>
    <w:rsid w:val="061340E1"/>
    <w:rsid w:val="06163BD1"/>
    <w:rsid w:val="06191AF2"/>
    <w:rsid w:val="061E65E2"/>
    <w:rsid w:val="061F375B"/>
    <w:rsid w:val="0624281C"/>
    <w:rsid w:val="06255BC2"/>
    <w:rsid w:val="062956B3"/>
    <w:rsid w:val="062C0CFF"/>
    <w:rsid w:val="063302DF"/>
    <w:rsid w:val="06340CEF"/>
    <w:rsid w:val="06345E06"/>
    <w:rsid w:val="0636392C"/>
    <w:rsid w:val="0639166E"/>
    <w:rsid w:val="063A0363"/>
    <w:rsid w:val="063D2F0C"/>
    <w:rsid w:val="0645742F"/>
    <w:rsid w:val="064917D0"/>
    <w:rsid w:val="065B15E4"/>
    <w:rsid w:val="065D3AE7"/>
    <w:rsid w:val="065F74AD"/>
    <w:rsid w:val="06606BFB"/>
    <w:rsid w:val="0676641E"/>
    <w:rsid w:val="067D77AC"/>
    <w:rsid w:val="068723D9"/>
    <w:rsid w:val="068B1EC9"/>
    <w:rsid w:val="068B677B"/>
    <w:rsid w:val="068E5516"/>
    <w:rsid w:val="069074E0"/>
    <w:rsid w:val="06935222"/>
    <w:rsid w:val="069468A4"/>
    <w:rsid w:val="06982838"/>
    <w:rsid w:val="069845E6"/>
    <w:rsid w:val="069A65B0"/>
    <w:rsid w:val="069B5E85"/>
    <w:rsid w:val="069B7C33"/>
    <w:rsid w:val="069D1BFD"/>
    <w:rsid w:val="069D39AB"/>
    <w:rsid w:val="06A6618E"/>
    <w:rsid w:val="06AB60C8"/>
    <w:rsid w:val="06B036DE"/>
    <w:rsid w:val="06B31420"/>
    <w:rsid w:val="06B34F7C"/>
    <w:rsid w:val="06C228AB"/>
    <w:rsid w:val="06C453DB"/>
    <w:rsid w:val="06CB676A"/>
    <w:rsid w:val="06CD27B3"/>
    <w:rsid w:val="06CE0008"/>
    <w:rsid w:val="06D03D80"/>
    <w:rsid w:val="06D05EEF"/>
    <w:rsid w:val="06D3561E"/>
    <w:rsid w:val="06D53145"/>
    <w:rsid w:val="06D73361"/>
    <w:rsid w:val="06D82C35"/>
    <w:rsid w:val="06DC0977"/>
    <w:rsid w:val="06DE46EF"/>
    <w:rsid w:val="06E415DA"/>
    <w:rsid w:val="06E710CA"/>
    <w:rsid w:val="06E83812"/>
    <w:rsid w:val="06E92867"/>
    <w:rsid w:val="06ED3787"/>
    <w:rsid w:val="06F07F7E"/>
    <w:rsid w:val="06FE2273"/>
    <w:rsid w:val="06FE6B3F"/>
    <w:rsid w:val="06FF4665"/>
    <w:rsid w:val="070103DE"/>
    <w:rsid w:val="07013F3A"/>
    <w:rsid w:val="07041C7C"/>
    <w:rsid w:val="070C28DE"/>
    <w:rsid w:val="070E48A8"/>
    <w:rsid w:val="070E6657"/>
    <w:rsid w:val="07100621"/>
    <w:rsid w:val="07181283"/>
    <w:rsid w:val="071E100A"/>
    <w:rsid w:val="072639A0"/>
    <w:rsid w:val="07283BBC"/>
    <w:rsid w:val="07293490"/>
    <w:rsid w:val="072C44ED"/>
    <w:rsid w:val="072D4D2F"/>
    <w:rsid w:val="07302A71"/>
    <w:rsid w:val="0735742F"/>
    <w:rsid w:val="07391925"/>
    <w:rsid w:val="073A569E"/>
    <w:rsid w:val="073C31C4"/>
    <w:rsid w:val="07462294"/>
    <w:rsid w:val="07481042"/>
    <w:rsid w:val="074D53D1"/>
    <w:rsid w:val="074E06A5"/>
    <w:rsid w:val="0750507D"/>
    <w:rsid w:val="07524795"/>
    <w:rsid w:val="0753050D"/>
    <w:rsid w:val="075449B1"/>
    <w:rsid w:val="075F5C99"/>
    <w:rsid w:val="07603356"/>
    <w:rsid w:val="07634BF4"/>
    <w:rsid w:val="076429ED"/>
    <w:rsid w:val="076646E5"/>
    <w:rsid w:val="076B3AA9"/>
    <w:rsid w:val="07737539"/>
    <w:rsid w:val="07754928"/>
    <w:rsid w:val="077C5CB6"/>
    <w:rsid w:val="077F1302"/>
    <w:rsid w:val="07830C87"/>
    <w:rsid w:val="07830DF3"/>
    <w:rsid w:val="07852DBD"/>
    <w:rsid w:val="07866B35"/>
    <w:rsid w:val="078E15A3"/>
    <w:rsid w:val="07925A31"/>
    <w:rsid w:val="07943000"/>
    <w:rsid w:val="07966772"/>
    <w:rsid w:val="0797489E"/>
    <w:rsid w:val="079946B7"/>
    <w:rsid w:val="079C1EB4"/>
    <w:rsid w:val="079E06FB"/>
    <w:rsid w:val="07A31495"/>
    <w:rsid w:val="07A64AE1"/>
    <w:rsid w:val="07AA45D1"/>
    <w:rsid w:val="07B0158F"/>
    <w:rsid w:val="07B45450"/>
    <w:rsid w:val="07B95428"/>
    <w:rsid w:val="07BC2556"/>
    <w:rsid w:val="07BC4304"/>
    <w:rsid w:val="07BE2244"/>
    <w:rsid w:val="07C00CFA"/>
    <w:rsid w:val="07C02047"/>
    <w:rsid w:val="07C03DF5"/>
    <w:rsid w:val="07C05BA3"/>
    <w:rsid w:val="07C37441"/>
    <w:rsid w:val="07C440E8"/>
    <w:rsid w:val="07CA07CF"/>
    <w:rsid w:val="07CB7718"/>
    <w:rsid w:val="07CD0EE7"/>
    <w:rsid w:val="07CF5DE6"/>
    <w:rsid w:val="07D35EAA"/>
    <w:rsid w:val="07D433FC"/>
    <w:rsid w:val="07D71065"/>
    <w:rsid w:val="07DD6ABC"/>
    <w:rsid w:val="07E01DA1"/>
    <w:rsid w:val="07E61381"/>
    <w:rsid w:val="07EC6998"/>
    <w:rsid w:val="07EF3F42"/>
    <w:rsid w:val="07EF6488"/>
    <w:rsid w:val="07F12B74"/>
    <w:rsid w:val="07F615C4"/>
    <w:rsid w:val="07F817E1"/>
    <w:rsid w:val="07F92966"/>
    <w:rsid w:val="07F97BC5"/>
    <w:rsid w:val="07FB4E2D"/>
    <w:rsid w:val="07FE491D"/>
    <w:rsid w:val="080041F1"/>
    <w:rsid w:val="0808579C"/>
    <w:rsid w:val="0808754A"/>
    <w:rsid w:val="080A1514"/>
    <w:rsid w:val="080C703A"/>
    <w:rsid w:val="08167EB9"/>
    <w:rsid w:val="08183892"/>
    <w:rsid w:val="081859DF"/>
    <w:rsid w:val="08187CB1"/>
    <w:rsid w:val="081B727D"/>
    <w:rsid w:val="082223BA"/>
    <w:rsid w:val="082C4FE6"/>
    <w:rsid w:val="082F2D28"/>
    <w:rsid w:val="08336F51"/>
    <w:rsid w:val="083640B7"/>
    <w:rsid w:val="08404F36"/>
    <w:rsid w:val="08452C11"/>
    <w:rsid w:val="08532874"/>
    <w:rsid w:val="08534C69"/>
    <w:rsid w:val="08590179"/>
    <w:rsid w:val="08597DA5"/>
    <w:rsid w:val="085D5AE7"/>
    <w:rsid w:val="08634780"/>
    <w:rsid w:val="08664468"/>
    <w:rsid w:val="08670714"/>
    <w:rsid w:val="08674270"/>
    <w:rsid w:val="086A5B0F"/>
    <w:rsid w:val="086F75C9"/>
    <w:rsid w:val="08757E93"/>
    <w:rsid w:val="08760957"/>
    <w:rsid w:val="08767256"/>
    <w:rsid w:val="08795669"/>
    <w:rsid w:val="087B5F6E"/>
    <w:rsid w:val="08820F90"/>
    <w:rsid w:val="088A6040"/>
    <w:rsid w:val="088C1F29"/>
    <w:rsid w:val="088C3E84"/>
    <w:rsid w:val="08905D2D"/>
    <w:rsid w:val="089413BE"/>
    <w:rsid w:val="08A12544"/>
    <w:rsid w:val="08A2766C"/>
    <w:rsid w:val="08A90D2D"/>
    <w:rsid w:val="08AC4379"/>
    <w:rsid w:val="08AC6127"/>
    <w:rsid w:val="08AF79C5"/>
    <w:rsid w:val="08B1198F"/>
    <w:rsid w:val="08BF5E5A"/>
    <w:rsid w:val="08C00B0D"/>
    <w:rsid w:val="08C6368D"/>
    <w:rsid w:val="08C6543B"/>
    <w:rsid w:val="08C903B4"/>
    <w:rsid w:val="08D51B22"/>
    <w:rsid w:val="08D521A5"/>
    <w:rsid w:val="08D64D25"/>
    <w:rsid w:val="08D77648"/>
    <w:rsid w:val="08DC4C5E"/>
    <w:rsid w:val="08DD2BFE"/>
    <w:rsid w:val="08E12275"/>
    <w:rsid w:val="08EB4EA1"/>
    <w:rsid w:val="08ED6E6B"/>
    <w:rsid w:val="08F16230"/>
    <w:rsid w:val="08F301FA"/>
    <w:rsid w:val="08F31FA8"/>
    <w:rsid w:val="08F63846"/>
    <w:rsid w:val="08F71A98"/>
    <w:rsid w:val="08FF094D"/>
    <w:rsid w:val="08FF6527"/>
    <w:rsid w:val="0902122D"/>
    <w:rsid w:val="090441B5"/>
    <w:rsid w:val="09077238"/>
    <w:rsid w:val="090911E2"/>
    <w:rsid w:val="090B1DF6"/>
    <w:rsid w:val="09153CCC"/>
    <w:rsid w:val="091A21FD"/>
    <w:rsid w:val="091D0DD3"/>
    <w:rsid w:val="091F4416"/>
    <w:rsid w:val="091F4B4B"/>
    <w:rsid w:val="092108C3"/>
    <w:rsid w:val="09246605"/>
    <w:rsid w:val="09297778"/>
    <w:rsid w:val="0932487E"/>
    <w:rsid w:val="093623E7"/>
    <w:rsid w:val="093A7BD7"/>
    <w:rsid w:val="094819DD"/>
    <w:rsid w:val="094822F4"/>
    <w:rsid w:val="0953172F"/>
    <w:rsid w:val="09540C99"/>
    <w:rsid w:val="09542264"/>
    <w:rsid w:val="096609CC"/>
    <w:rsid w:val="096612D7"/>
    <w:rsid w:val="09672750"/>
    <w:rsid w:val="096D3B08"/>
    <w:rsid w:val="096E7880"/>
    <w:rsid w:val="096F5AD2"/>
    <w:rsid w:val="09727371"/>
    <w:rsid w:val="09746495"/>
    <w:rsid w:val="09774987"/>
    <w:rsid w:val="0977527D"/>
    <w:rsid w:val="09815806"/>
    <w:rsid w:val="09831C78"/>
    <w:rsid w:val="098779C5"/>
    <w:rsid w:val="098F195C"/>
    <w:rsid w:val="09903C9B"/>
    <w:rsid w:val="09975029"/>
    <w:rsid w:val="099A0675"/>
    <w:rsid w:val="099F5C8C"/>
    <w:rsid w:val="09A052C9"/>
    <w:rsid w:val="09A13015"/>
    <w:rsid w:val="09A137B2"/>
    <w:rsid w:val="09AA4D5C"/>
    <w:rsid w:val="09B434E5"/>
    <w:rsid w:val="09B72FD5"/>
    <w:rsid w:val="09BC63DC"/>
    <w:rsid w:val="09C837DC"/>
    <w:rsid w:val="09CA440C"/>
    <w:rsid w:val="09D41E2C"/>
    <w:rsid w:val="09D5345C"/>
    <w:rsid w:val="09DB4F16"/>
    <w:rsid w:val="09ED2E9B"/>
    <w:rsid w:val="09F4422A"/>
    <w:rsid w:val="09F63AFE"/>
    <w:rsid w:val="09F75AC8"/>
    <w:rsid w:val="09F93BE8"/>
    <w:rsid w:val="0A022ACD"/>
    <w:rsid w:val="0A0501E5"/>
    <w:rsid w:val="0A072F84"/>
    <w:rsid w:val="0A073F5D"/>
    <w:rsid w:val="0A195DFB"/>
    <w:rsid w:val="0A1C72DC"/>
    <w:rsid w:val="0A1E12A6"/>
    <w:rsid w:val="0A261F09"/>
    <w:rsid w:val="0A2C4EEA"/>
    <w:rsid w:val="0A2C751F"/>
    <w:rsid w:val="0A2D3298"/>
    <w:rsid w:val="0A2D5046"/>
    <w:rsid w:val="0A3964C4"/>
    <w:rsid w:val="0A3B3C06"/>
    <w:rsid w:val="0A4725AB"/>
    <w:rsid w:val="0A486323"/>
    <w:rsid w:val="0A4C382A"/>
    <w:rsid w:val="0A4C5E14"/>
    <w:rsid w:val="0A5371A2"/>
    <w:rsid w:val="0A540824"/>
    <w:rsid w:val="0A5627EE"/>
    <w:rsid w:val="0A56621D"/>
    <w:rsid w:val="0A570314"/>
    <w:rsid w:val="0A583F9D"/>
    <w:rsid w:val="0A586566"/>
    <w:rsid w:val="0A5E78F5"/>
    <w:rsid w:val="0A6071C9"/>
    <w:rsid w:val="0A670558"/>
    <w:rsid w:val="0A6A44EC"/>
    <w:rsid w:val="0A6F565E"/>
    <w:rsid w:val="0A762E91"/>
    <w:rsid w:val="0A764C3F"/>
    <w:rsid w:val="0A7B4ED7"/>
    <w:rsid w:val="0A821835"/>
    <w:rsid w:val="0A856C30"/>
    <w:rsid w:val="0A8A693C"/>
    <w:rsid w:val="0A8F3F52"/>
    <w:rsid w:val="0A933DE7"/>
    <w:rsid w:val="0A9652E1"/>
    <w:rsid w:val="0A981059"/>
    <w:rsid w:val="0A982E07"/>
    <w:rsid w:val="0A9A3E08"/>
    <w:rsid w:val="0A9B6453"/>
    <w:rsid w:val="0A9D21CB"/>
    <w:rsid w:val="0A9F4195"/>
    <w:rsid w:val="0AA22CEE"/>
    <w:rsid w:val="0AA572D2"/>
    <w:rsid w:val="0AA90B70"/>
    <w:rsid w:val="0AAF3841"/>
    <w:rsid w:val="0AB1211B"/>
    <w:rsid w:val="0AB37262"/>
    <w:rsid w:val="0AB734AE"/>
    <w:rsid w:val="0AC51722"/>
    <w:rsid w:val="0AC92FC0"/>
    <w:rsid w:val="0ACB4229"/>
    <w:rsid w:val="0ACE05D7"/>
    <w:rsid w:val="0ACE6829"/>
    <w:rsid w:val="0AD55E09"/>
    <w:rsid w:val="0AD66D9D"/>
    <w:rsid w:val="0ADB0F46"/>
    <w:rsid w:val="0ADD6A6C"/>
    <w:rsid w:val="0AEF054D"/>
    <w:rsid w:val="0AF0679F"/>
    <w:rsid w:val="0AF270E4"/>
    <w:rsid w:val="0AF618DB"/>
    <w:rsid w:val="0AF85654"/>
    <w:rsid w:val="0B065FC2"/>
    <w:rsid w:val="0B0A565B"/>
    <w:rsid w:val="0B0C55A3"/>
    <w:rsid w:val="0B1306DF"/>
    <w:rsid w:val="0B14665C"/>
    <w:rsid w:val="0B150A67"/>
    <w:rsid w:val="0B154457"/>
    <w:rsid w:val="0B156206"/>
    <w:rsid w:val="0B187AA4"/>
    <w:rsid w:val="0B1931EF"/>
    <w:rsid w:val="0B1C57E6"/>
    <w:rsid w:val="0B1D155E"/>
    <w:rsid w:val="0B275F39"/>
    <w:rsid w:val="0B310B66"/>
    <w:rsid w:val="0B325009"/>
    <w:rsid w:val="0B372620"/>
    <w:rsid w:val="0B3A32E6"/>
    <w:rsid w:val="0B494101"/>
    <w:rsid w:val="0B505490"/>
    <w:rsid w:val="0B530032"/>
    <w:rsid w:val="0B552AA6"/>
    <w:rsid w:val="0B554854"/>
    <w:rsid w:val="0B5739B0"/>
    <w:rsid w:val="0B5807E8"/>
    <w:rsid w:val="0B5E1D34"/>
    <w:rsid w:val="0B5F1B77"/>
    <w:rsid w:val="0B5F56D3"/>
    <w:rsid w:val="0B6B22C9"/>
    <w:rsid w:val="0B7262CA"/>
    <w:rsid w:val="0B7373D0"/>
    <w:rsid w:val="0B792C38"/>
    <w:rsid w:val="0B7E024F"/>
    <w:rsid w:val="0B82231F"/>
    <w:rsid w:val="0B852B9F"/>
    <w:rsid w:val="0B892750"/>
    <w:rsid w:val="0B8B296C"/>
    <w:rsid w:val="0B8E4D61"/>
    <w:rsid w:val="0B923CFA"/>
    <w:rsid w:val="0B9C2483"/>
    <w:rsid w:val="0B9D61FB"/>
    <w:rsid w:val="0B9E269F"/>
    <w:rsid w:val="0B9F3D21"/>
    <w:rsid w:val="0BA61553"/>
    <w:rsid w:val="0BAE0408"/>
    <w:rsid w:val="0BAE21B6"/>
    <w:rsid w:val="0BAE319B"/>
    <w:rsid w:val="0BB53545"/>
    <w:rsid w:val="0BB93035"/>
    <w:rsid w:val="0BBA6D72"/>
    <w:rsid w:val="0BC91656"/>
    <w:rsid w:val="0BCD088E"/>
    <w:rsid w:val="0BD55995"/>
    <w:rsid w:val="0BDA2FAB"/>
    <w:rsid w:val="0BDC6D23"/>
    <w:rsid w:val="0BDE0CED"/>
    <w:rsid w:val="0BE5207C"/>
    <w:rsid w:val="0BEF2EFA"/>
    <w:rsid w:val="0BEF4CA9"/>
    <w:rsid w:val="0BF24799"/>
    <w:rsid w:val="0BF31366"/>
    <w:rsid w:val="0BF33A6F"/>
    <w:rsid w:val="0BF40511"/>
    <w:rsid w:val="0BFA364D"/>
    <w:rsid w:val="0C006EB6"/>
    <w:rsid w:val="0C0149DC"/>
    <w:rsid w:val="0C083FBC"/>
    <w:rsid w:val="0C0B13B7"/>
    <w:rsid w:val="0C116467"/>
    <w:rsid w:val="0C1741FF"/>
    <w:rsid w:val="0C18109A"/>
    <w:rsid w:val="0C203122"/>
    <w:rsid w:val="0C216E2C"/>
    <w:rsid w:val="0C2241E7"/>
    <w:rsid w:val="0C2506CA"/>
    <w:rsid w:val="0C2812AD"/>
    <w:rsid w:val="0C28640C"/>
    <w:rsid w:val="0C300E1D"/>
    <w:rsid w:val="0C322DE7"/>
    <w:rsid w:val="0C3703FE"/>
    <w:rsid w:val="0C3E5484"/>
    <w:rsid w:val="0C4169D6"/>
    <w:rsid w:val="0C434FF4"/>
    <w:rsid w:val="0C452B1A"/>
    <w:rsid w:val="0C460E04"/>
    <w:rsid w:val="0C48085D"/>
    <w:rsid w:val="0C4A39D3"/>
    <w:rsid w:val="0C4B4810"/>
    <w:rsid w:val="0C4D19CF"/>
    <w:rsid w:val="0C4D7C98"/>
    <w:rsid w:val="0C4F3999"/>
    <w:rsid w:val="0C550884"/>
    <w:rsid w:val="0C5C7E64"/>
    <w:rsid w:val="0C5D60B6"/>
    <w:rsid w:val="0C670CE3"/>
    <w:rsid w:val="0C6A07D3"/>
    <w:rsid w:val="0C6B18E3"/>
    <w:rsid w:val="0C721436"/>
    <w:rsid w:val="0C741652"/>
    <w:rsid w:val="0C760F26"/>
    <w:rsid w:val="0C774C9E"/>
    <w:rsid w:val="0C787F0C"/>
    <w:rsid w:val="0C814CDB"/>
    <w:rsid w:val="0C8278CB"/>
    <w:rsid w:val="0C833643"/>
    <w:rsid w:val="0C873133"/>
    <w:rsid w:val="0C8767F1"/>
    <w:rsid w:val="0C880C59"/>
    <w:rsid w:val="0C8A677F"/>
    <w:rsid w:val="0C8F1FE8"/>
    <w:rsid w:val="0C9320DF"/>
    <w:rsid w:val="0C950B9E"/>
    <w:rsid w:val="0C9C3548"/>
    <w:rsid w:val="0C9C64B3"/>
    <w:rsid w:val="0C9F0068"/>
    <w:rsid w:val="0CA5180B"/>
    <w:rsid w:val="0CAA0BCF"/>
    <w:rsid w:val="0CAA6E21"/>
    <w:rsid w:val="0CAF61E6"/>
    <w:rsid w:val="0CB63A18"/>
    <w:rsid w:val="0CBE467B"/>
    <w:rsid w:val="0CC021A1"/>
    <w:rsid w:val="0CC51EAD"/>
    <w:rsid w:val="0CC55A09"/>
    <w:rsid w:val="0CC872A8"/>
    <w:rsid w:val="0CCA0AE1"/>
    <w:rsid w:val="0CCB047F"/>
    <w:rsid w:val="0CCD4A3B"/>
    <w:rsid w:val="0CD12600"/>
    <w:rsid w:val="0CD21ED4"/>
    <w:rsid w:val="0CD65E68"/>
    <w:rsid w:val="0CDC5C3A"/>
    <w:rsid w:val="0CDF2F6F"/>
    <w:rsid w:val="0CDF4D1D"/>
    <w:rsid w:val="0CE2480D"/>
    <w:rsid w:val="0CE95B9C"/>
    <w:rsid w:val="0CF12CA2"/>
    <w:rsid w:val="0CF4009D"/>
    <w:rsid w:val="0CFB767D"/>
    <w:rsid w:val="0D04104B"/>
    <w:rsid w:val="0D0522AA"/>
    <w:rsid w:val="0D083A90"/>
    <w:rsid w:val="0D166265"/>
    <w:rsid w:val="0D176DF3"/>
    <w:rsid w:val="0D1B1E9F"/>
    <w:rsid w:val="0D1C63F1"/>
    <w:rsid w:val="0D215336"/>
    <w:rsid w:val="0D2B61B4"/>
    <w:rsid w:val="0D2E35AF"/>
    <w:rsid w:val="0D2F083D"/>
    <w:rsid w:val="0D3037CB"/>
    <w:rsid w:val="0D3638A3"/>
    <w:rsid w:val="0D38267F"/>
    <w:rsid w:val="0D3A1F53"/>
    <w:rsid w:val="0D474670"/>
    <w:rsid w:val="0D4C2DF2"/>
    <w:rsid w:val="0D4F5C5B"/>
    <w:rsid w:val="0D5079C9"/>
    <w:rsid w:val="0D531267"/>
    <w:rsid w:val="0D540927"/>
    <w:rsid w:val="0D58687D"/>
    <w:rsid w:val="0D5A0848"/>
    <w:rsid w:val="0D63594E"/>
    <w:rsid w:val="0D646FD0"/>
    <w:rsid w:val="0D6E60A1"/>
    <w:rsid w:val="0D725B91"/>
    <w:rsid w:val="0D731909"/>
    <w:rsid w:val="0D7F205C"/>
    <w:rsid w:val="0D7F6BA7"/>
    <w:rsid w:val="0D883C4C"/>
    <w:rsid w:val="0D896EB7"/>
    <w:rsid w:val="0D8D4779"/>
    <w:rsid w:val="0D935B07"/>
    <w:rsid w:val="0D9773A6"/>
    <w:rsid w:val="0D9C676A"/>
    <w:rsid w:val="0D9D4053"/>
    <w:rsid w:val="0DA33F9D"/>
    <w:rsid w:val="0DA41AC3"/>
    <w:rsid w:val="0DA72090"/>
    <w:rsid w:val="0DA720D7"/>
    <w:rsid w:val="0DA80D33"/>
    <w:rsid w:val="0DAB1750"/>
    <w:rsid w:val="0DAE2941"/>
    <w:rsid w:val="0DB066B9"/>
    <w:rsid w:val="0DB21D59"/>
    <w:rsid w:val="0DB92613"/>
    <w:rsid w:val="0DBA4673"/>
    <w:rsid w:val="0DBC0BBA"/>
    <w:rsid w:val="0DBE0DD6"/>
    <w:rsid w:val="0DBF06AB"/>
    <w:rsid w:val="0DC22820"/>
    <w:rsid w:val="0DC43F13"/>
    <w:rsid w:val="0DC529CD"/>
    <w:rsid w:val="0DCD2DC7"/>
    <w:rsid w:val="0DCE08EE"/>
    <w:rsid w:val="0DD979BE"/>
    <w:rsid w:val="0DDE3227"/>
    <w:rsid w:val="0DDF0D4D"/>
    <w:rsid w:val="0DDF44E0"/>
    <w:rsid w:val="0DE63E89"/>
    <w:rsid w:val="0DEB14A0"/>
    <w:rsid w:val="0DEE0F90"/>
    <w:rsid w:val="0DF4500F"/>
    <w:rsid w:val="0DF5231E"/>
    <w:rsid w:val="0DF76096"/>
    <w:rsid w:val="0E0662D9"/>
    <w:rsid w:val="0E0C5F1C"/>
    <w:rsid w:val="0E120183"/>
    <w:rsid w:val="0E15651D"/>
    <w:rsid w:val="0E157C6B"/>
    <w:rsid w:val="0E172295"/>
    <w:rsid w:val="0E1E3623"/>
    <w:rsid w:val="0E213113"/>
    <w:rsid w:val="0E2A021A"/>
    <w:rsid w:val="0E2F75DE"/>
    <w:rsid w:val="0E356BBF"/>
    <w:rsid w:val="0E3746E5"/>
    <w:rsid w:val="0E456E02"/>
    <w:rsid w:val="0E4A266A"/>
    <w:rsid w:val="0E4C59BA"/>
    <w:rsid w:val="0E5057A7"/>
    <w:rsid w:val="0E567261"/>
    <w:rsid w:val="0E572FD9"/>
    <w:rsid w:val="0E5F5D30"/>
    <w:rsid w:val="0E611762"/>
    <w:rsid w:val="0E625C06"/>
    <w:rsid w:val="0E67321C"/>
    <w:rsid w:val="0E6D0107"/>
    <w:rsid w:val="0E7B2823"/>
    <w:rsid w:val="0E7C617B"/>
    <w:rsid w:val="0E830373"/>
    <w:rsid w:val="0E8518F4"/>
    <w:rsid w:val="0E87741A"/>
    <w:rsid w:val="0E87751A"/>
    <w:rsid w:val="0E8813E4"/>
    <w:rsid w:val="0E8A515C"/>
    <w:rsid w:val="0E92554F"/>
    <w:rsid w:val="0E963B01"/>
    <w:rsid w:val="0E990EFC"/>
    <w:rsid w:val="0E9D17C6"/>
    <w:rsid w:val="0E9E4764"/>
    <w:rsid w:val="0EA63619"/>
    <w:rsid w:val="0EA855E3"/>
    <w:rsid w:val="0EAD49A7"/>
    <w:rsid w:val="0EAF2129"/>
    <w:rsid w:val="0EAF24CD"/>
    <w:rsid w:val="0EBE0962"/>
    <w:rsid w:val="0EBF4972"/>
    <w:rsid w:val="0EC0292C"/>
    <w:rsid w:val="0EC3241C"/>
    <w:rsid w:val="0ECA5559"/>
    <w:rsid w:val="0ECD6DF7"/>
    <w:rsid w:val="0ECE329B"/>
    <w:rsid w:val="0ED37E02"/>
    <w:rsid w:val="0ED463D8"/>
    <w:rsid w:val="0ED71A24"/>
    <w:rsid w:val="0ED85EC8"/>
    <w:rsid w:val="0EEA6919"/>
    <w:rsid w:val="0EEB0DB0"/>
    <w:rsid w:val="0EEC0A63"/>
    <w:rsid w:val="0EF07FA0"/>
    <w:rsid w:val="0EF34AB0"/>
    <w:rsid w:val="0EFD3F8D"/>
    <w:rsid w:val="0EFE3455"/>
    <w:rsid w:val="0F013483"/>
    <w:rsid w:val="0F0245DB"/>
    <w:rsid w:val="0F0A1DF9"/>
    <w:rsid w:val="0F0E3698"/>
    <w:rsid w:val="0F0F5662"/>
    <w:rsid w:val="0F130D79"/>
    <w:rsid w:val="0F1B7B63"/>
    <w:rsid w:val="0F2509E1"/>
    <w:rsid w:val="0F2A424A"/>
    <w:rsid w:val="0F2C489E"/>
    <w:rsid w:val="0F2D5940"/>
    <w:rsid w:val="0F306B4C"/>
    <w:rsid w:val="0F3144BC"/>
    <w:rsid w:val="0F340C24"/>
    <w:rsid w:val="0F3A4FCB"/>
    <w:rsid w:val="0F3F5F47"/>
    <w:rsid w:val="0F404BDF"/>
    <w:rsid w:val="0F476BAA"/>
    <w:rsid w:val="0F4C41C0"/>
    <w:rsid w:val="0F4E618A"/>
    <w:rsid w:val="0F5117D6"/>
    <w:rsid w:val="0F53554E"/>
    <w:rsid w:val="0F56144B"/>
    <w:rsid w:val="0F563291"/>
    <w:rsid w:val="0F56503F"/>
    <w:rsid w:val="0F59068B"/>
    <w:rsid w:val="0F5B4403"/>
    <w:rsid w:val="0F5F6801"/>
    <w:rsid w:val="0F621C35"/>
    <w:rsid w:val="0F655282"/>
    <w:rsid w:val="0F694351"/>
    <w:rsid w:val="0F7A749D"/>
    <w:rsid w:val="0F84395A"/>
    <w:rsid w:val="0F871C1B"/>
    <w:rsid w:val="0F882BE7"/>
    <w:rsid w:val="0F895414"/>
    <w:rsid w:val="0F8C280E"/>
    <w:rsid w:val="0F9811B3"/>
    <w:rsid w:val="0F9D0EBF"/>
    <w:rsid w:val="0FA62488"/>
    <w:rsid w:val="0FAB7138"/>
    <w:rsid w:val="0FB0439B"/>
    <w:rsid w:val="0FB3132F"/>
    <w:rsid w:val="0FB81855"/>
    <w:rsid w:val="0FBC7598"/>
    <w:rsid w:val="0FC1695C"/>
    <w:rsid w:val="0FC226D4"/>
    <w:rsid w:val="0FC919CD"/>
    <w:rsid w:val="0FD22917"/>
    <w:rsid w:val="0FDA7A1E"/>
    <w:rsid w:val="0FDF3286"/>
    <w:rsid w:val="0FE16FFE"/>
    <w:rsid w:val="0FE4264A"/>
    <w:rsid w:val="0FEA4C70"/>
    <w:rsid w:val="0FED59A3"/>
    <w:rsid w:val="0FEE5277"/>
    <w:rsid w:val="0FF02D9D"/>
    <w:rsid w:val="0FF30ADF"/>
    <w:rsid w:val="0FF705D0"/>
    <w:rsid w:val="0FF94348"/>
    <w:rsid w:val="0FFC5BE6"/>
    <w:rsid w:val="0FFC7994"/>
    <w:rsid w:val="10022AD1"/>
    <w:rsid w:val="10066A65"/>
    <w:rsid w:val="10086339"/>
    <w:rsid w:val="100C6AEA"/>
    <w:rsid w:val="10141182"/>
    <w:rsid w:val="10156CA8"/>
    <w:rsid w:val="10196798"/>
    <w:rsid w:val="101A606C"/>
    <w:rsid w:val="102B2027"/>
    <w:rsid w:val="102C4E33"/>
    <w:rsid w:val="102D5D9F"/>
    <w:rsid w:val="102E38C6"/>
    <w:rsid w:val="1034712E"/>
    <w:rsid w:val="10362ED7"/>
    <w:rsid w:val="10376C1E"/>
    <w:rsid w:val="10390BE8"/>
    <w:rsid w:val="104573E0"/>
    <w:rsid w:val="10480E2B"/>
    <w:rsid w:val="104D4104"/>
    <w:rsid w:val="104D6442"/>
    <w:rsid w:val="10533984"/>
    <w:rsid w:val="105552F6"/>
    <w:rsid w:val="1057106E"/>
    <w:rsid w:val="105772C0"/>
    <w:rsid w:val="1065378B"/>
    <w:rsid w:val="10675755"/>
    <w:rsid w:val="10680D0C"/>
    <w:rsid w:val="106B4B1A"/>
    <w:rsid w:val="10710382"/>
    <w:rsid w:val="107B1DD4"/>
    <w:rsid w:val="108005C5"/>
    <w:rsid w:val="108654B0"/>
    <w:rsid w:val="108A31F2"/>
    <w:rsid w:val="108B0D18"/>
    <w:rsid w:val="108D3C3B"/>
    <w:rsid w:val="109220A6"/>
    <w:rsid w:val="109951E3"/>
    <w:rsid w:val="10A06571"/>
    <w:rsid w:val="10AB3168"/>
    <w:rsid w:val="10AD5132"/>
    <w:rsid w:val="10B77D5F"/>
    <w:rsid w:val="10BB15FD"/>
    <w:rsid w:val="10C2298C"/>
    <w:rsid w:val="10C81F6C"/>
    <w:rsid w:val="10CD30DE"/>
    <w:rsid w:val="10D10E21"/>
    <w:rsid w:val="10D43D2C"/>
    <w:rsid w:val="10D73F5D"/>
    <w:rsid w:val="10D848DD"/>
    <w:rsid w:val="10D85DD7"/>
    <w:rsid w:val="10DB0D34"/>
    <w:rsid w:val="10E072B6"/>
    <w:rsid w:val="10EA0134"/>
    <w:rsid w:val="10ED552F"/>
    <w:rsid w:val="10EF574B"/>
    <w:rsid w:val="10EF74F9"/>
    <w:rsid w:val="10F47501"/>
    <w:rsid w:val="10F863AD"/>
    <w:rsid w:val="10F90377"/>
    <w:rsid w:val="10FE598E"/>
    <w:rsid w:val="1102547E"/>
    <w:rsid w:val="1102722C"/>
    <w:rsid w:val="11074842"/>
    <w:rsid w:val="110765F0"/>
    <w:rsid w:val="110805BA"/>
    <w:rsid w:val="11082369"/>
    <w:rsid w:val="110F1949"/>
    <w:rsid w:val="1122167C"/>
    <w:rsid w:val="11232AA7"/>
    <w:rsid w:val="112371A2"/>
    <w:rsid w:val="112A6783"/>
    <w:rsid w:val="113C0BA3"/>
    <w:rsid w:val="113D64B6"/>
    <w:rsid w:val="113F222E"/>
    <w:rsid w:val="11472E91"/>
    <w:rsid w:val="11513D10"/>
    <w:rsid w:val="11555DC3"/>
    <w:rsid w:val="115F642C"/>
    <w:rsid w:val="11603F53"/>
    <w:rsid w:val="116A6B7F"/>
    <w:rsid w:val="116C0B49"/>
    <w:rsid w:val="116E48C1"/>
    <w:rsid w:val="11706ACA"/>
    <w:rsid w:val="11717F0E"/>
    <w:rsid w:val="1173012A"/>
    <w:rsid w:val="11760C70"/>
    <w:rsid w:val="11763776"/>
    <w:rsid w:val="11766E1A"/>
    <w:rsid w:val="11785309"/>
    <w:rsid w:val="11785740"/>
    <w:rsid w:val="117B2B3A"/>
    <w:rsid w:val="117B6FDE"/>
    <w:rsid w:val="117D4B05"/>
    <w:rsid w:val="117F262B"/>
    <w:rsid w:val="11852401"/>
    <w:rsid w:val="118B7BB0"/>
    <w:rsid w:val="118C42A1"/>
    <w:rsid w:val="118F65E6"/>
    <w:rsid w:val="11902592"/>
    <w:rsid w:val="11916362"/>
    <w:rsid w:val="1193257A"/>
    <w:rsid w:val="1198193E"/>
    <w:rsid w:val="11987B90"/>
    <w:rsid w:val="11993255"/>
    <w:rsid w:val="119B4F8B"/>
    <w:rsid w:val="119F0F1F"/>
    <w:rsid w:val="119F2CCD"/>
    <w:rsid w:val="119F355A"/>
    <w:rsid w:val="11A26319"/>
    <w:rsid w:val="11A46535"/>
    <w:rsid w:val="11A6405B"/>
    <w:rsid w:val="11B37EB2"/>
    <w:rsid w:val="11B81FE1"/>
    <w:rsid w:val="11BD3153"/>
    <w:rsid w:val="11D230A2"/>
    <w:rsid w:val="11D30BC8"/>
    <w:rsid w:val="11D5049D"/>
    <w:rsid w:val="11D64215"/>
    <w:rsid w:val="11DB182B"/>
    <w:rsid w:val="11DC5CCF"/>
    <w:rsid w:val="11DE6807"/>
    <w:rsid w:val="11DF131B"/>
    <w:rsid w:val="11E4475A"/>
    <w:rsid w:val="11E711BB"/>
    <w:rsid w:val="11E82659"/>
    <w:rsid w:val="11EB5F12"/>
    <w:rsid w:val="11EE155E"/>
    <w:rsid w:val="11F748B7"/>
    <w:rsid w:val="11FA43A7"/>
    <w:rsid w:val="11FE3E97"/>
    <w:rsid w:val="11FF19BD"/>
    <w:rsid w:val="12062D4C"/>
    <w:rsid w:val="1211524D"/>
    <w:rsid w:val="12132155"/>
    <w:rsid w:val="12154D3D"/>
    <w:rsid w:val="121D3BF2"/>
    <w:rsid w:val="12217B86"/>
    <w:rsid w:val="122338FE"/>
    <w:rsid w:val="122431D2"/>
    <w:rsid w:val="12266F4A"/>
    <w:rsid w:val="12274A70"/>
    <w:rsid w:val="122B630F"/>
    <w:rsid w:val="122D69F6"/>
    <w:rsid w:val="12301B77"/>
    <w:rsid w:val="12380A2C"/>
    <w:rsid w:val="123A0C48"/>
    <w:rsid w:val="12401178"/>
    <w:rsid w:val="124311D7"/>
    <w:rsid w:val="124318AA"/>
    <w:rsid w:val="124B7080"/>
    <w:rsid w:val="124F64A1"/>
    <w:rsid w:val="12502219"/>
    <w:rsid w:val="12505D75"/>
    <w:rsid w:val="12582E7C"/>
    <w:rsid w:val="125910CE"/>
    <w:rsid w:val="125D0492"/>
    <w:rsid w:val="125E4936"/>
    <w:rsid w:val="12631F4C"/>
    <w:rsid w:val="12653F3D"/>
    <w:rsid w:val="12675D51"/>
    <w:rsid w:val="126857B5"/>
    <w:rsid w:val="126D3C74"/>
    <w:rsid w:val="126E269F"/>
    <w:rsid w:val="126F6B43"/>
    <w:rsid w:val="127800C7"/>
    <w:rsid w:val="127C6B6A"/>
    <w:rsid w:val="127D22C9"/>
    <w:rsid w:val="127F48AC"/>
    <w:rsid w:val="128450CF"/>
    <w:rsid w:val="128C3AEF"/>
    <w:rsid w:val="12942106"/>
    <w:rsid w:val="129A3494"/>
    <w:rsid w:val="129B7938"/>
    <w:rsid w:val="129F0AAB"/>
    <w:rsid w:val="12A04F4F"/>
    <w:rsid w:val="12A14823"/>
    <w:rsid w:val="12A32349"/>
    <w:rsid w:val="12A6008B"/>
    <w:rsid w:val="12AE2E39"/>
    <w:rsid w:val="12B46304"/>
    <w:rsid w:val="12B75DF4"/>
    <w:rsid w:val="12BC78AF"/>
    <w:rsid w:val="12C50511"/>
    <w:rsid w:val="12C604D3"/>
    <w:rsid w:val="12C64289"/>
    <w:rsid w:val="12C86253"/>
    <w:rsid w:val="12CA3D79"/>
    <w:rsid w:val="12CB76BD"/>
    <w:rsid w:val="12CD5618"/>
    <w:rsid w:val="12D06EB6"/>
    <w:rsid w:val="12D70244"/>
    <w:rsid w:val="12E0359D"/>
    <w:rsid w:val="12EE1697"/>
    <w:rsid w:val="12F02B19"/>
    <w:rsid w:val="12F31522"/>
    <w:rsid w:val="13053004"/>
    <w:rsid w:val="13070B2A"/>
    <w:rsid w:val="130A061A"/>
    <w:rsid w:val="130A23C8"/>
    <w:rsid w:val="130D3C66"/>
    <w:rsid w:val="131119A8"/>
    <w:rsid w:val="13141F14"/>
    <w:rsid w:val="13174AE5"/>
    <w:rsid w:val="13196AAF"/>
    <w:rsid w:val="13280AA0"/>
    <w:rsid w:val="13286CF2"/>
    <w:rsid w:val="13305FE2"/>
    <w:rsid w:val="133236CD"/>
    <w:rsid w:val="133438E9"/>
    <w:rsid w:val="133A0167"/>
    <w:rsid w:val="133A1B74"/>
    <w:rsid w:val="133E63BF"/>
    <w:rsid w:val="13441D7E"/>
    <w:rsid w:val="13461D2D"/>
    <w:rsid w:val="134C0C32"/>
    <w:rsid w:val="13511DA5"/>
    <w:rsid w:val="13516249"/>
    <w:rsid w:val="13581385"/>
    <w:rsid w:val="136364E6"/>
    <w:rsid w:val="13641290"/>
    <w:rsid w:val="13675A6C"/>
    <w:rsid w:val="13693592"/>
    <w:rsid w:val="136C562E"/>
    <w:rsid w:val="136C6BDF"/>
    <w:rsid w:val="136E6DFB"/>
    <w:rsid w:val="137837D5"/>
    <w:rsid w:val="137D0DEC"/>
    <w:rsid w:val="137D2B9A"/>
    <w:rsid w:val="137D703E"/>
    <w:rsid w:val="13824654"/>
    <w:rsid w:val="13833F28"/>
    <w:rsid w:val="138632EF"/>
    <w:rsid w:val="13873A19"/>
    <w:rsid w:val="138C7281"/>
    <w:rsid w:val="138E2FF9"/>
    <w:rsid w:val="13906D71"/>
    <w:rsid w:val="13914897"/>
    <w:rsid w:val="13AA5959"/>
    <w:rsid w:val="13AB3BAB"/>
    <w:rsid w:val="13AB6B5B"/>
    <w:rsid w:val="13AC657F"/>
    <w:rsid w:val="13B028D2"/>
    <w:rsid w:val="13B14F39"/>
    <w:rsid w:val="13BB1914"/>
    <w:rsid w:val="13BD37AB"/>
    <w:rsid w:val="13BD568C"/>
    <w:rsid w:val="13BF65F3"/>
    <w:rsid w:val="13C22CA3"/>
    <w:rsid w:val="13C47607"/>
    <w:rsid w:val="13C6493D"/>
    <w:rsid w:val="13CB3CC7"/>
    <w:rsid w:val="13D12EE6"/>
    <w:rsid w:val="13D824C6"/>
    <w:rsid w:val="13DA4490"/>
    <w:rsid w:val="13DB3D64"/>
    <w:rsid w:val="13DC1FB6"/>
    <w:rsid w:val="13DD5D2E"/>
    <w:rsid w:val="13E42C19"/>
    <w:rsid w:val="13E56991"/>
    <w:rsid w:val="13E669F4"/>
    <w:rsid w:val="13EB044B"/>
    <w:rsid w:val="13EC5F71"/>
    <w:rsid w:val="13EC7D20"/>
    <w:rsid w:val="13F015BE"/>
    <w:rsid w:val="13F05A62"/>
    <w:rsid w:val="13F37300"/>
    <w:rsid w:val="13F53078"/>
    <w:rsid w:val="13F864F7"/>
    <w:rsid w:val="13FD1F2D"/>
    <w:rsid w:val="13FD3CDB"/>
    <w:rsid w:val="14067033"/>
    <w:rsid w:val="14087AD6"/>
    <w:rsid w:val="14092680"/>
    <w:rsid w:val="140B289C"/>
    <w:rsid w:val="14184FB8"/>
    <w:rsid w:val="141A488D"/>
    <w:rsid w:val="141B5FF4"/>
    <w:rsid w:val="141C0605"/>
    <w:rsid w:val="14276FAA"/>
    <w:rsid w:val="142C45C0"/>
    <w:rsid w:val="142F1196"/>
    <w:rsid w:val="14305E5E"/>
    <w:rsid w:val="14342437"/>
    <w:rsid w:val="14353475"/>
    <w:rsid w:val="14357918"/>
    <w:rsid w:val="143A0A8B"/>
    <w:rsid w:val="143C0CA7"/>
    <w:rsid w:val="144913D0"/>
    <w:rsid w:val="14496F20"/>
    <w:rsid w:val="144C07BE"/>
    <w:rsid w:val="144D5D90"/>
    <w:rsid w:val="144D6AC7"/>
    <w:rsid w:val="145204CA"/>
    <w:rsid w:val="14553B17"/>
    <w:rsid w:val="14593607"/>
    <w:rsid w:val="145F3F63"/>
    <w:rsid w:val="1461070D"/>
    <w:rsid w:val="146239D8"/>
    <w:rsid w:val="14700951"/>
    <w:rsid w:val="14720225"/>
    <w:rsid w:val="14787805"/>
    <w:rsid w:val="147C5547"/>
    <w:rsid w:val="147E12BF"/>
    <w:rsid w:val="148166BA"/>
    <w:rsid w:val="148443FC"/>
    <w:rsid w:val="148461AA"/>
    <w:rsid w:val="14847F58"/>
    <w:rsid w:val="14863CD0"/>
    <w:rsid w:val="14891A12"/>
    <w:rsid w:val="148D1DBD"/>
    <w:rsid w:val="149070A3"/>
    <w:rsid w:val="149208C7"/>
    <w:rsid w:val="14975EDD"/>
    <w:rsid w:val="149B63C7"/>
    <w:rsid w:val="149E726C"/>
    <w:rsid w:val="14A5684C"/>
    <w:rsid w:val="14A64372"/>
    <w:rsid w:val="14AA1ABA"/>
    <w:rsid w:val="14B06F9F"/>
    <w:rsid w:val="14B20501"/>
    <w:rsid w:val="14B545B5"/>
    <w:rsid w:val="14B922F8"/>
    <w:rsid w:val="14B95E54"/>
    <w:rsid w:val="14C111AC"/>
    <w:rsid w:val="14C667C2"/>
    <w:rsid w:val="14D56A06"/>
    <w:rsid w:val="14D64C58"/>
    <w:rsid w:val="14E54E9B"/>
    <w:rsid w:val="14E82BDD"/>
    <w:rsid w:val="14E86739"/>
    <w:rsid w:val="14EA425F"/>
    <w:rsid w:val="14EB1BED"/>
    <w:rsid w:val="14EF3F6B"/>
    <w:rsid w:val="14F11A91"/>
    <w:rsid w:val="14F25809"/>
    <w:rsid w:val="14F41582"/>
    <w:rsid w:val="14F96B98"/>
    <w:rsid w:val="14FB46BE"/>
    <w:rsid w:val="14FC0436"/>
    <w:rsid w:val="14FC3F92"/>
    <w:rsid w:val="14FE5F5C"/>
    <w:rsid w:val="14FE7D0A"/>
    <w:rsid w:val="150D43F1"/>
    <w:rsid w:val="15113EE2"/>
    <w:rsid w:val="15121A08"/>
    <w:rsid w:val="1517701E"/>
    <w:rsid w:val="151B4D60"/>
    <w:rsid w:val="151C63E2"/>
    <w:rsid w:val="151E7763"/>
    <w:rsid w:val="152270F5"/>
    <w:rsid w:val="152359C3"/>
    <w:rsid w:val="15267261"/>
    <w:rsid w:val="1534372C"/>
    <w:rsid w:val="1537146E"/>
    <w:rsid w:val="153876C0"/>
    <w:rsid w:val="153C6A85"/>
    <w:rsid w:val="153E0A4F"/>
    <w:rsid w:val="154020D1"/>
    <w:rsid w:val="15415E49"/>
    <w:rsid w:val="15455939"/>
    <w:rsid w:val="154805FB"/>
    <w:rsid w:val="15485429"/>
    <w:rsid w:val="154C41C9"/>
    <w:rsid w:val="154C6CC8"/>
    <w:rsid w:val="154D17E0"/>
    <w:rsid w:val="154F0566"/>
    <w:rsid w:val="15512530"/>
    <w:rsid w:val="155344FA"/>
    <w:rsid w:val="15543DCE"/>
    <w:rsid w:val="155618F4"/>
    <w:rsid w:val="15597637"/>
    <w:rsid w:val="15617D9C"/>
    <w:rsid w:val="156A35F2"/>
    <w:rsid w:val="157004D3"/>
    <w:rsid w:val="157D1577"/>
    <w:rsid w:val="157E3BE3"/>
    <w:rsid w:val="15804BC3"/>
    <w:rsid w:val="15814549"/>
    <w:rsid w:val="15877D00"/>
    <w:rsid w:val="15897F1C"/>
    <w:rsid w:val="158E5532"/>
    <w:rsid w:val="15981F0D"/>
    <w:rsid w:val="159863B1"/>
    <w:rsid w:val="159A3ED7"/>
    <w:rsid w:val="159E5049"/>
    <w:rsid w:val="15A22D8C"/>
    <w:rsid w:val="15A24B3A"/>
    <w:rsid w:val="15A308B2"/>
    <w:rsid w:val="15A765F4"/>
    <w:rsid w:val="15A922C4"/>
    <w:rsid w:val="15A9236C"/>
    <w:rsid w:val="15AB72ED"/>
    <w:rsid w:val="15B12FCF"/>
    <w:rsid w:val="15B14D7D"/>
    <w:rsid w:val="15B24AB7"/>
    <w:rsid w:val="15B36D47"/>
    <w:rsid w:val="15B8610B"/>
    <w:rsid w:val="15B871E8"/>
    <w:rsid w:val="15BD469A"/>
    <w:rsid w:val="15C42D02"/>
    <w:rsid w:val="15C727F2"/>
    <w:rsid w:val="15C90318"/>
    <w:rsid w:val="15CB6F73"/>
    <w:rsid w:val="15CF0C20"/>
    <w:rsid w:val="15D44A2E"/>
    <w:rsid w:val="15D54F0F"/>
    <w:rsid w:val="15D62A35"/>
    <w:rsid w:val="15D63FD2"/>
    <w:rsid w:val="15DA2525"/>
    <w:rsid w:val="15E96C0C"/>
    <w:rsid w:val="15F03EF5"/>
    <w:rsid w:val="15F07F9B"/>
    <w:rsid w:val="15F555B1"/>
    <w:rsid w:val="15F66C34"/>
    <w:rsid w:val="15F829AC"/>
    <w:rsid w:val="15FB06EE"/>
    <w:rsid w:val="160475A2"/>
    <w:rsid w:val="16086517"/>
    <w:rsid w:val="160B6B83"/>
    <w:rsid w:val="160C56C2"/>
    <w:rsid w:val="16161084"/>
    <w:rsid w:val="161812A0"/>
    <w:rsid w:val="16184DFC"/>
    <w:rsid w:val="161A0B74"/>
    <w:rsid w:val="161D68B6"/>
    <w:rsid w:val="161F43DC"/>
    <w:rsid w:val="162871F3"/>
    <w:rsid w:val="16290DB7"/>
    <w:rsid w:val="1638549E"/>
    <w:rsid w:val="1638724C"/>
    <w:rsid w:val="163C3060"/>
    <w:rsid w:val="164002A0"/>
    <w:rsid w:val="164107F7"/>
    <w:rsid w:val="16414301"/>
    <w:rsid w:val="1642631D"/>
    <w:rsid w:val="164756E1"/>
    <w:rsid w:val="164976AB"/>
    <w:rsid w:val="164B7472"/>
    <w:rsid w:val="164D3CE6"/>
    <w:rsid w:val="164E7CFE"/>
    <w:rsid w:val="165027E8"/>
    <w:rsid w:val="16525286"/>
    <w:rsid w:val="16547BA6"/>
    <w:rsid w:val="16585CC2"/>
    <w:rsid w:val="165E3157"/>
    <w:rsid w:val="16620522"/>
    <w:rsid w:val="166242C9"/>
    <w:rsid w:val="16692514"/>
    <w:rsid w:val="166B13D0"/>
    <w:rsid w:val="166B7621"/>
    <w:rsid w:val="166C5148"/>
    <w:rsid w:val="166D6197"/>
    <w:rsid w:val="16702E8A"/>
    <w:rsid w:val="16704C38"/>
    <w:rsid w:val="167209B0"/>
    <w:rsid w:val="1679511B"/>
    <w:rsid w:val="167C538B"/>
    <w:rsid w:val="167E206D"/>
    <w:rsid w:val="16873D30"/>
    <w:rsid w:val="16895CFA"/>
    <w:rsid w:val="168E3310"/>
    <w:rsid w:val="169528F0"/>
    <w:rsid w:val="16963201"/>
    <w:rsid w:val="169E79F7"/>
    <w:rsid w:val="169F376F"/>
    <w:rsid w:val="16A2220E"/>
    <w:rsid w:val="16A6065A"/>
    <w:rsid w:val="16A668AC"/>
    <w:rsid w:val="16AF39B2"/>
    <w:rsid w:val="16B0772A"/>
    <w:rsid w:val="16B40FC8"/>
    <w:rsid w:val="16B56AEF"/>
    <w:rsid w:val="16B70AB9"/>
    <w:rsid w:val="16B9038D"/>
    <w:rsid w:val="16BE3BF5"/>
    <w:rsid w:val="16CB6312"/>
    <w:rsid w:val="16CD5BE6"/>
    <w:rsid w:val="16D276A1"/>
    <w:rsid w:val="16D8458B"/>
    <w:rsid w:val="16DA6E27"/>
    <w:rsid w:val="16E65A3D"/>
    <w:rsid w:val="16E80C72"/>
    <w:rsid w:val="16EA5E33"/>
    <w:rsid w:val="16ED715F"/>
    <w:rsid w:val="16F21AF1"/>
    <w:rsid w:val="16F2564D"/>
    <w:rsid w:val="16F47617"/>
    <w:rsid w:val="17017F86"/>
    <w:rsid w:val="17045380"/>
    <w:rsid w:val="170D3C76"/>
    <w:rsid w:val="171001C9"/>
    <w:rsid w:val="17101F77"/>
    <w:rsid w:val="17105A3A"/>
    <w:rsid w:val="17122173"/>
    <w:rsid w:val="17150F4F"/>
    <w:rsid w:val="1719707D"/>
    <w:rsid w:val="171B1048"/>
    <w:rsid w:val="17223FB8"/>
    <w:rsid w:val="17253C74"/>
    <w:rsid w:val="17265DB9"/>
    <w:rsid w:val="17285513"/>
    <w:rsid w:val="172A4DE7"/>
    <w:rsid w:val="172B4316"/>
    <w:rsid w:val="172B6DB1"/>
    <w:rsid w:val="172C4C7C"/>
    <w:rsid w:val="17334C3C"/>
    <w:rsid w:val="173503D8"/>
    <w:rsid w:val="1735306D"/>
    <w:rsid w:val="17365E81"/>
    <w:rsid w:val="17375756"/>
    <w:rsid w:val="173914CE"/>
    <w:rsid w:val="173B7A04"/>
    <w:rsid w:val="173E0892"/>
    <w:rsid w:val="17404084"/>
    <w:rsid w:val="1752258F"/>
    <w:rsid w:val="17577BA6"/>
    <w:rsid w:val="1759391E"/>
    <w:rsid w:val="175C3583"/>
    <w:rsid w:val="17680005"/>
    <w:rsid w:val="176C53FF"/>
    <w:rsid w:val="17795D6E"/>
    <w:rsid w:val="17800EAB"/>
    <w:rsid w:val="17852965"/>
    <w:rsid w:val="178F10EE"/>
    <w:rsid w:val="178F7340"/>
    <w:rsid w:val="1795337C"/>
    <w:rsid w:val="179764FD"/>
    <w:rsid w:val="17982698"/>
    <w:rsid w:val="179B5CE4"/>
    <w:rsid w:val="179D1A5D"/>
    <w:rsid w:val="17A01F68"/>
    <w:rsid w:val="17A27073"/>
    <w:rsid w:val="17A35D18"/>
    <w:rsid w:val="17AD5A18"/>
    <w:rsid w:val="17B1375A"/>
    <w:rsid w:val="17B15508"/>
    <w:rsid w:val="17B31280"/>
    <w:rsid w:val="17B61B30"/>
    <w:rsid w:val="17B86896"/>
    <w:rsid w:val="17BB0135"/>
    <w:rsid w:val="17BE22E1"/>
    <w:rsid w:val="17C074F9"/>
    <w:rsid w:val="17C74D2B"/>
    <w:rsid w:val="17CA0378"/>
    <w:rsid w:val="17CA4155"/>
    <w:rsid w:val="17D15BAA"/>
    <w:rsid w:val="17D24F75"/>
    <w:rsid w:val="17D631C0"/>
    <w:rsid w:val="17D66D1D"/>
    <w:rsid w:val="17E52FA3"/>
    <w:rsid w:val="17F81389"/>
    <w:rsid w:val="17F83137"/>
    <w:rsid w:val="17F92A0B"/>
    <w:rsid w:val="17FD7D6F"/>
    <w:rsid w:val="18003D99"/>
    <w:rsid w:val="180873B5"/>
    <w:rsid w:val="18131D1F"/>
    <w:rsid w:val="1816180F"/>
    <w:rsid w:val="181D0DEF"/>
    <w:rsid w:val="181F6915"/>
    <w:rsid w:val="182061EA"/>
    <w:rsid w:val="18211E33"/>
    <w:rsid w:val="182201B4"/>
    <w:rsid w:val="18225A33"/>
    <w:rsid w:val="18266E6B"/>
    <w:rsid w:val="182E6B59"/>
    <w:rsid w:val="183902B9"/>
    <w:rsid w:val="184719C8"/>
    <w:rsid w:val="184F61CB"/>
    <w:rsid w:val="18504D21"/>
    <w:rsid w:val="1853036D"/>
    <w:rsid w:val="185C1D1C"/>
    <w:rsid w:val="185F4F64"/>
    <w:rsid w:val="18610CDC"/>
    <w:rsid w:val="18695DE3"/>
    <w:rsid w:val="186D58D3"/>
    <w:rsid w:val="186E33F9"/>
    <w:rsid w:val="18716A45"/>
    <w:rsid w:val="187200D3"/>
    <w:rsid w:val="187A1D9E"/>
    <w:rsid w:val="187A7FF0"/>
    <w:rsid w:val="187B2616"/>
    <w:rsid w:val="187D188E"/>
    <w:rsid w:val="187D363C"/>
    <w:rsid w:val="18820C52"/>
    <w:rsid w:val="18822A00"/>
    <w:rsid w:val="18842C1C"/>
    <w:rsid w:val="1890336F"/>
    <w:rsid w:val="18910E95"/>
    <w:rsid w:val="189270E7"/>
    <w:rsid w:val="18952734"/>
    <w:rsid w:val="18956BD8"/>
    <w:rsid w:val="189725B2"/>
    <w:rsid w:val="18986E55"/>
    <w:rsid w:val="189A41EE"/>
    <w:rsid w:val="189C0982"/>
    <w:rsid w:val="189C7F66"/>
    <w:rsid w:val="189D0279"/>
    <w:rsid w:val="18A94431"/>
    <w:rsid w:val="18A97340"/>
    <w:rsid w:val="18AD3F21"/>
    <w:rsid w:val="18AD780A"/>
    <w:rsid w:val="18AE7C99"/>
    <w:rsid w:val="18AF5EEB"/>
    <w:rsid w:val="18B232E6"/>
    <w:rsid w:val="18B54B84"/>
    <w:rsid w:val="18B76B4E"/>
    <w:rsid w:val="18C2797C"/>
    <w:rsid w:val="18C4126B"/>
    <w:rsid w:val="18D21BDA"/>
    <w:rsid w:val="18D314AE"/>
    <w:rsid w:val="18D72D4C"/>
    <w:rsid w:val="18DA0A8E"/>
    <w:rsid w:val="18DC4807"/>
    <w:rsid w:val="18DC4FCB"/>
    <w:rsid w:val="18E11EC0"/>
    <w:rsid w:val="18E45B08"/>
    <w:rsid w:val="18E86AC6"/>
    <w:rsid w:val="18EB67F8"/>
    <w:rsid w:val="18ED07C2"/>
    <w:rsid w:val="18EE0096"/>
    <w:rsid w:val="18F03E0E"/>
    <w:rsid w:val="18F338FE"/>
    <w:rsid w:val="18F90F15"/>
    <w:rsid w:val="19045B0B"/>
    <w:rsid w:val="190B0C48"/>
    <w:rsid w:val="1910625E"/>
    <w:rsid w:val="19143CAF"/>
    <w:rsid w:val="1917583F"/>
    <w:rsid w:val="191779C4"/>
    <w:rsid w:val="19197809"/>
    <w:rsid w:val="192835A8"/>
    <w:rsid w:val="192A37C4"/>
    <w:rsid w:val="192F4936"/>
    <w:rsid w:val="19322678"/>
    <w:rsid w:val="19341F4D"/>
    <w:rsid w:val="19355814"/>
    <w:rsid w:val="19363992"/>
    <w:rsid w:val="19375EE1"/>
    <w:rsid w:val="19445D81"/>
    <w:rsid w:val="194940BA"/>
    <w:rsid w:val="194F322A"/>
    <w:rsid w:val="19503ABD"/>
    <w:rsid w:val="19570995"/>
    <w:rsid w:val="195E7F0D"/>
    <w:rsid w:val="195F2D42"/>
    <w:rsid w:val="19636CD6"/>
    <w:rsid w:val="1968609A"/>
    <w:rsid w:val="196B2666"/>
    <w:rsid w:val="196F567B"/>
    <w:rsid w:val="19704F4F"/>
    <w:rsid w:val="19766A09"/>
    <w:rsid w:val="1977008B"/>
    <w:rsid w:val="1977452F"/>
    <w:rsid w:val="19780EE1"/>
    <w:rsid w:val="197902A7"/>
    <w:rsid w:val="197A4670"/>
    <w:rsid w:val="197B7B7C"/>
    <w:rsid w:val="197E3D04"/>
    <w:rsid w:val="198042CC"/>
    <w:rsid w:val="19832ED4"/>
    <w:rsid w:val="198421C0"/>
    <w:rsid w:val="198A4263"/>
    <w:rsid w:val="198A7DBF"/>
    <w:rsid w:val="198B3B37"/>
    <w:rsid w:val="1991739F"/>
    <w:rsid w:val="19965827"/>
    <w:rsid w:val="19996254"/>
    <w:rsid w:val="199B021E"/>
    <w:rsid w:val="199E2BFC"/>
    <w:rsid w:val="199F7925"/>
    <w:rsid w:val="19A20429"/>
    <w:rsid w:val="19AA220F"/>
    <w:rsid w:val="19AF3CC9"/>
    <w:rsid w:val="19AF59AB"/>
    <w:rsid w:val="19B117EF"/>
    <w:rsid w:val="19B12C50"/>
    <w:rsid w:val="19B33992"/>
    <w:rsid w:val="19B968F6"/>
    <w:rsid w:val="19BA176A"/>
    <w:rsid w:val="19BB05A8"/>
    <w:rsid w:val="19C41031"/>
    <w:rsid w:val="19C4581C"/>
    <w:rsid w:val="19CA2E45"/>
    <w:rsid w:val="19CA465F"/>
    <w:rsid w:val="19D219D0"/>
    <w:rsid w:val="19DE010A"/>
    <w:rsid w:val="19DF45AE"/>
    <w:rsid w:val="19E00326"/>
    <w:rsid w:val="19E03E83"/>
    <w:rsid w:val="19E228CE"/>
    <w:rsid w:val="19E66249"/>
    <w:rsid w:val="19E971DB"/>
    <w:rsid w:val="19EA1203"/>
    <w:rsid w:val="19EE47F1"/>
    <w:rsid w:val="19F17E3E"/>
    <w:rsid w:val="19F4792E"/>
    <w:rsid w:val="19F8741E"/>
    <w:rsid w:val="19FF69FF"/>
    <w:rsid w:val="1A1245F4"/>
    <w:rsid w:val="1A136006"/>
    <w:rsid w:val="1A1A55E6"/>
    <w:rsid w:val="1A1F2BFD"/>
    <w:rsid w:val="1A226249"/>
    <w:rsid w:val="1A231FC1"/>
    <w:rsid w:val="1A240213"/>
    <w:rsid w:val="1A253F8B"/>
    <w:rsid w:val="1A275CB9"/>
    <w:rsid w:val="1A277D03"/>
    <w:rsid w:val="1A2C70C8"/>
    <w:rsid w:val="1A304E0A"/>
    <w:rsid w:val="1A322050"/>
    <w:rsid w:val="1A385A6D"/>
    <w:rsid w:val="1A393593"/>
    <w:rsid w:val="1A3A7A37"/>
    <w:rsid w:val="1A3B37AF"/>
    <w:rsid w:val="1A3D7527"/>
    <w:rsid w:val="1A4408B5"/>
    <w:rsid w:val="1A4E0A8C"/>
    <w:rsid w:val="1A516B2E"/>
    <w:rsid w:val="1A530AF8"/>
    <w:rsid w:val="1A5664B6"/>
    <w:rsid w:val="1A5B007F"/>
    <w:rsid w:val="1A5F124B"/>
    <w:rsid w:val="1A610A01"/>
    <w:rsid w:val="1A6A34AF"/>
    <w:rsid w:val="1A736AA5"/>
    <w:rsid w:val="1A764D20"/>
    <w:rsid w:val="1A772A39"/>
    <w:rsid w:val="1A80310E"/>
    <w:rsid w:val="1A820642"/>
    <w:rsid w:val="1A862C7C"/>
    <w:rsid w:val="1A98475D"/>
    <w:rsid w:val="1A98650B"/>
    <w:rsid w:val="1A9C249F"/>
    <w:rsid w:val="1A9D1D74"/>
    <w:rsid w:val="1A9D7FC6"/>
    <w:rsid w:val="1A9F5AEC"/>
    <w:rsid w:val="1AA03612"/>
    <w:rsid w:val="1AA2382E"/>
    <w:rsid w:val="1AA50C28"/>
    <w:rsid w:val="1AA73898"/>
    <w:rsid w:val="1AAB26E2"/>
    <w:rsid w:val="1AAD645B"/>
    <w:rsid w:val="1AAE3F81"/>
    <w:rsid w:val="1AB75732"/>
    <w:rsid w:val="1ABA0B77"/>
    <w:rsid w:val="1ABC044C"/>
    <w:rsid w:val="1ABC48F0"/>
    <w:rsid w:val="1AC15A62"/>
    <w:rsid w:val="1AC27A2C"/>
    <w:rsid w:val="1AC90580"/>
    <w:rsid w:val="1AC92B69"/>
    <w:rsid w:val="1ACE63D1"/>
    <w:rsid w:val="1AD339E7"/>
    <w:rsid w:val="1AD47040"/>
    <w:rsid w:val="1AD559B1"/>
    <w:rsid w:val="1AD734D7"/>
    <w:rsid w:val="1AD82DAC"/>
    <w:rsid w:val="1ADA2FC8"/>
    <w:rsid w:val="1AE14356"/>
    <w:rsid w:val="1AE31E7C"/>
    <w:rsid w:val="1AF125A6"/>
    <w:rsid w:val="1AF31C5C"/>
    <w:rsid w:val="1AF5395E"/>
    <w:rsid w:val="1AF851FC"/>
    <w:rsid w:val="1AFA5F43"/>
    <w:rsid w:val="1AFA6510"/>
    <w:rsid w:val="1AFA71C6"/>
    <w:rsid w:val="1AFC2F3E"/>
    <w:rsid w:val="1B036E0A"/>
    <w:rsid w:val="1B043BA1"/>
    <w:rsid w:val="1B060AF5"/>
    <w:rsid w:val="1B0B13D3"/>
    <w:rsid w:val="1B0F77D8"/>
    <w:rsid w:val="1B124510"/>
    <w:rsid w:val="1B171B26"/>
    <w:rsid w:val="1B177D78"/>
    <w:rsid w:val="1B1C4AE6"/>
    <w:rsid w:val="1B1D623E"/>
    <w:rsid w:val="1B1E1106"/>
    <w:rsid w:val="1B244243"/>
    <w:rsid w:val="1B283D33"/>
    <w:rsid w:val="1B2B3823"/>
    <w:rsid w:val="1B2F3F22"/>
    <w:rsid w:val="1B32070E"/>
    <w:rsid w:val="1B324BB2"/>
    <w:rsid w:val="1B395F40"/>
    <w:rsid w:val="1B3A33FE"/>
    <w:rsid w:val="1B3A3A66"/>
    <w:rsid w:val="1B3B1CB8"/>
    <w:rsid w:val="1B3C333B"/>
    <w:rsid w:val="1B4072CF"/>
    <w:rsid w:val="1B4225F8"/>
    <w:rsid w:val="1B495A57"/>
    <w:rsid w:val="1B50328A"/>
    <w:rsid w:val="1B520DB0"/>
    <w:rsid w:val="1B5543FC"/>
    <w:rsid w:val="1B623E01"/>
    <w:rsid w:val="1B6758C8"/>
    <w:rsid w:val="1B697EA8"/>
    <w:rsid w:val="1B6D7998"/>
    <w:rsid w:val="1B6F3710"/>
    <w:rsid w:val="1B750FCE"/>
    <w:rsid w:val="1B755865"/>
    <w:rsid w:val="1B783377"/>
    <w:rsid w:val="1B7A51AB"/>
    <w:rsid w:val="1B7B070A"/>
    <w:rsid w:val="1B7E1BA5"/>
    <w:rsid w:val="1B811E07"/>
    <w:rsid w:val="1B852F33"/>
    <w:rsid w:val="1B862808"/>
    <w:rsid w:val="1B886580"/>
    <w:rsid w:val="1B8D003A"/>
    <w:rsid w:val="1B8F5B60"/>
    <w:rsid w:val="1B9506C3"/>
    <w:rsid w:val="1B965141"/>
    <w:rsid w:val="1B993A77"/>
    <w:rsid w:val="1B9B4505"/>
    <w:rsid w:val="1B9C64CF"/>
    <w:rsid w:val="1BA216CC"/>
    <w:rsid w:val="1BA57132"/>
    <w:rsid w:val="1BAA0BEC"/>
    <w:rsid w:val="1BAC6712"/>
    <w:rsid w:val="1BAE0ABF"/>
    <w:rsid w:val="1BB750B7"/>
    <w:rsid w:val="1BB9498B"/>
    <w:rsid w:val="1BB966CB"/>
    <w:rsid w:val="1BBB0703"/>
    <w:rsid w:val="1BBE1FA1"/>
    <w:rsid w:val="1BC34195"/>
    <w:rsid w:val="1BC6259D"/>
    <w:rsid w:val="1BCA4DEA"/>
    <w:rsid w:val="1BCF2401"/>
    <w:rsid w:val="1BD83059"/>
    <w:rsid w:val="1BD9502D"/>
    <w:rsid w:val="1BDB2B53"/>
    <w:rsid w:val="1BDC68CC"/>
    <w:rsid w:val="1BDD1AD8"/>
    <w:rsid w:val="1BDD4B1E"/>
    <w:rsid w:val="1BDE0896"/>
    <w:rsid w:val="1BE539D2"/>
    <w:rsid w:val="1BEA2D97"/>
    <w:rsid w:val="1BEC6B0F"/>
    <w:rsid w:val="1BEF4C7B"/>
    <w:rsid w:val="1BEF7794"/>
    <w:rsid w:val="1BF233A0"/>
    <w:rsid w:val="1C0C5403"/>
    <w:rsid w:val="1C136791"/>
    <w:rsid w:val="1C177456"/>
    <w:rsid w:val="1C177904"/>
    <w:rsid w:val="1C1A7418"/>
    <w:rsid w:val="1C1E234D"/>
    <w:rsid w:val="1C1F0498"/>
    <w:rsid w:val="1C24203D"/>
    <w:rsid w:val="1C272B8F"/>
    <w:rsid w:val="1C2810D8"/>
    <w:rsid w:val="1C291EFA"/>
    <w:rsid w:val="1C2C7853"/>
    <w:rsid w:val="1C2F345C"/>
    <w:rsid w:val="1C3109C5"/>
    <w:rsid w:val="1C346708"/>
    <w:rsid w:val="1C347285"/>
    <w:rsid w:val="1C471F7E"/>
    <w:rsid w:val="1C485D0F"/>
    <w:rsid w:val="1C4921B3"/>
    <w:rsid w:val="1C4A5F2B"/>
    <w:rsid w:val="1C4A7CD9"/>
    <w:rsid w:val="1C5172BA"/>
    <w:rsid w:val="1C5823F6"/>
    <w:rsid w:val="1C5A38F9"/>
    <w:rsid w:val="1C5F35BC"/>
    <w:rsid w:val="1C5F728E"/>
    <w:rsid w:val="1C604813"/>
    <w:rsid w:val="1C606B66"/>
    <w:rsid w:val="1C632B49"/>
    <w:rsid w:val="1C646FED"/>
    <w:rsid w:val="1C672639"/>
    <w:rsid w:val="1C6A2129"/>
    <w:rsid w:val="1C7A05BE"/>
    <w:rsid w:val="1C7C2C9B"/>
    <w:rsid w:val="1C7D00AF"/>
    <w:rsid w:val="1C7F7983"/>
    <w:rsid w:val="1C8036FB"/>
    <w:rsid w:val="1C872CDB"/>
    <w:rsid w:val="1C8A6328"/>
    <w:rsid w:val="1C913B5A"/>
    <w:rsid w:val="1C940F54"/>
    <w:rsid w:val="1C9571A6"/>
    <w:rsid w:val="1C9D24FF"/>
    <w:rsid w:val="1C9D42AD"/>
    <w:rsid w:val="1CA05B4B"/>
    <w:rsid w:val="1CA67605"/>
    <w:rsid w:val="1CAB69CA"/>
    <w:rsid w:val="1CAC629E"/>
    <w:rsid w:val="1CB02232"/>
    <w:rsid w:val="1CB31FE6"/>
    <w:rsid w:val="1CB44893"/>
    <w:rsid w:val="1CB87339"/>
    <w:rsid w:val="1CBD494F"/>
    <w:rsid w:val="1CC47A8B"/>
    <w:rsid w:val="1CC655B2"/>
    <w:rsid w:val="1CC7757C"/>
    <w:rsid w:val="1CC96E50"/>
    <w:rsid w:val="1CCE090A"/>
    <w:rsid w:val="1CDF68EE"/>
    <w:rsid w:val="1CEB0988"/>
    <w:rsid w:val="1CEB5018"/>
    <w:rsid w:val="1CEB6DC6"/>
    <w:rsid w:val="1CEC0D90"/>
    <w:rsid w:val="1CEF6FB4"/>
    <w:rsid w:val="1CF0262F"/>
    <w:rsid w:val="1CFD4D4B"/>
    <w:rsid w:val="1CFF349A"/>
    <w:rsid w:val="1D01483C"/>
    <w:rsid w:val="1D036806"/>
    <w:rsid w:val="1D04257E"/>
    <w:rsid w:val="1D0468BA"/>
    <w:rsid w:val="1D0710AE"/>
    <w:rsid w:val="1D0B5C9E"/>
    <w:rsid w:val="1D0C1DF8"/>
    <w:rsid w:val="1D0E253D"/>
    <w:rsid w:val="1D1236ED"/>
    <w:rsid w:val="1D144C6E"/>
    <w:rsid w:val="1D167BBB"/>
    <w:rsid w:val="1D183933"/>
    <w:rsid w:val="1D197650"/>
    <w:rsid w:val="1D1A3B4F"/>
    <w:rsid w:val="1D232A04"/>
    <w:rsid w:val="1D2433C8"/>
    <w:rsid w:val="1D2B18B9"/>
    <w:rsid w:val="1D2B7B0B"/>
    <w:rsid w:val="1D3A155A"/>
    <w:rsid w:val="1D3C3AC6"/>
    <w:rsid w:val="1D3E15EC"/>
    <w:rsid w:val="1D3E5275"/>
    <w:rsid w:val="1D3F18AC"/>
    <w:rsid w:val="1D434E54"/>
    <w:rsid w:val="1D444728"/>
    <w:rsid w:val="1D4B5AB7"/>
    <w:rsid w:val="1D5412D8"/>
    <w:rsid w:val="1D541B76"/>
    <w:rsid w:val="1D556936"/>
    <w:rsid w:val="1D57445C"/>
    <w:rsid w:val="1D5801D4"/>
    <w:rsid w:val="1D5822E5"/>
    <w:rsid w:val="1D584EB6"/>
    <w:rsid w:val="1D5F1562"/>
    <w:rsid w:val="1D5F77B4"/>
    <w:rsid w:val="1D631052"/>
    <w:rsid w:val="1D655C57"/>
    <w:rsid w:val="1D662E69"/>
    <w:rsid w:val="1D6B7F07"/>
    <w:rsid w:val="1D6F382A"/>
    <w:rsid w:val="1D6F3E9B"/>
    <w:rsid w:val="1D725739"/>
    <w:rsid w:val="1D774AFE"/>
    <w:rsid w:val="1D7768AC"/>
    <w:rsid w:val="1D792C62"/>
    <w:rsid w:val="1D7A45EE"/>
    <w:rsid w:val="1D813BCE"/>
    <w:rsid w:val="1D824F52"/>
    <w:rsid w:val="1D837D50"/>
    <w:rsid w:val="1D886D0B"/>
    <w:rsid w:val="1D8965DF"/>
    <w:rsid w:val="1D951428"/>
    <w:rsid w:val="1D9531D6"/>
    <w:rsid w:val="1D9624ED"/>
    <w:rsid w:val="1DA5543D"/>
    <w:rsid w:val="1DA8115B"/>
    <w:rsid w:val="1DA82F09"/>
    <w:rsid w:val="1DB45D52"/>
    <w:rsid w:val="1DB52BB9"/>
    <w:rsid w:val="1DBC0763"/>
    <w:rsid w:val="1DBF5A6D"/>
    <w:rsid w:val="1DC1221D"/>
    <w:rsid w:val="1DC615E1"/>
    <w:rsid w:val="1DCD471E"/>
    <w:rsid w:val="1DCF0496"/>
    <w:rsid w:val="1DD8746D"/>
    <w:rsid w:val="1DD957B9"/>
    <w:rsid w:val="1DDC0E05"/>
    <w:rsid w:val="1DDC2BB3"/>
    <w:rsid w:val="1DE2466D"/>
    <w:rsid w:val="1DEF28E6"/>
    <w:rsid w:val="1DF443A0"/>
    <w:rsid w:val="1DF72FBE"/>
    <w:rsid w:val="1DF919B7"/>
    <w:rsid w:val="1DF95513"/>
    <w:rsid w:val="1DFB74DD"/>
    <w:rsid w:val="1DFD14A7"/>
    <w:rsid w:val="1DFE0D7B"/>
    <w:rsid w:val="1DFE6FCD"/>
    <w:rsid w:val="1E0B76C7"/>
    <w:rsid w:val="1E14059F"/>
    <w:rsid w:val="1E191B0F"/>
    <w:rsid w:val="1E1E31CB"/>
    <w:rsid w:val="1E2C7696"/>
    <w:rsid w:val="1E2F6F40"/>
    <w:rsid w:val="1E320A25"/>
    <w:rsid w:val="1E3429EF"/>
    <w:rsid w:val="1E354CE7"/>
    <w:rsid w:val="1E366767"/>
    <w:rsid w:val="1E37122A"/>
    <w:rsid w:val="1E380731"/>
    <w:rsid w:val="1E390005"/>
    <w:rsid w:val="1E3B5B2B"/>
    <w:rsid w:val="1E3B7C23"/>
    <w:rsid w:val="1E3D6A6D"/>
    <w:rsid w:val="1E3E561C"/>
    <w:rsid w:val="1E3E73CA"/>
    <w:rsid w:val="1E4041CD"/>
    <w:rsid w:val="1E4470D6"/>
    <w:rsid w:val="1E4946EC"/>
    <w:rsid w:val="1E4A3FC0"/>
    <w:rsid w:val="1E4C0BBB"/>
    <w:rsid w:val="1E4E1501"/>
    <w:rsid w:val="1E5E7A6C"/>
    <w:rsid w:val="1E6037E4"/>
    <w:rsid w:val="1E65346E"/>
    <w:rsid w:val="1E6640AA"/>
    <w:rsid w:val="1E696B3C"/>
    <w:rsid w:val="1E6E4153"/>
    <w:rsid w:val="1E854FF8"/>
    <w:rsid w:val="1E875215"/>
    <w:rsid w:val="1E8E0351"/>
    <w:rsid w:val="1E8E48F6"/>
    <w:rsid w:val="1E937715"/>
    <w:rsid w:val="1E960FB4"/>
    <w:rsid w:val="1E990AA4"/>
    <w:rsid w:val="1E9D0594"/>
    <w:rsid w:val="1EA55764"/>
    <w:rsid w:val="1EAE09F3"/>
    <w:rsid w:val="1EB055BF"/>
    <w:rsid w:val="1EB81E2A"/>
    <w:rsid w:val="1EB833EC"/>
    <w:rsid w:val="1EBA2EF4"/>
    <w:rsid w:val="1EBB0A1A"/>
    <w:rsid w:val="1EBC3110"/>
    <w:rsid w:val="1EC93DFC"/>
    <w:rsid w:val="1ED146E2"/>
    <w:rsid w:val="1ED379CD"/>
    <w:rsid w:val="1ED8781E"/>
    <w:rsid w:val="1EDA3596"/>
    <w:rsid w:val="1EDC3422"/>
    <w:rsid w:val="1EDD4E34"/>
    <w:rsid w:val="1EDE58F5"/>
    <w:rsid w:val="1EDF0BAD"/>
    <w:rsid w:val="1EE12B77"/>
    <w:rsid w:val="1EE4141F"/>
    <w:rsid w:val="1EE44415"/>
    <w:rsid w:val="1EE91A2B"/>
    <w:rsid w:val="1EEB57A3"/>
    <w:rsid w:val="1EEE0DF0"/>
    <w:rsid w:val="1EF503D0"/>
    <w:rsid w:val="1EF6243B"/>
    <w:rsid w:val="1EF65EF6"/>
    <w:rsid w:val="1EFA7794"/>
    <w:rsid w:val="1EFC175F"/>
    <w:rsid w:val="1F010B23"/>
    <w:rsid w:val="1F02489B"/>
    <w:rsid w:val="1F044A3F"/>
    <w:rsid w:val="1F0C1276"/>
    <w:rsid w:val="1F0C571A"/>
    <w:rsid w:val="1F0F02CE"/>
    <w:rsid w:val="1F10520A"/>
    <w:rsid w:val="1F136351"/>
    <w:rsid w:val="1F1620F4"/>
    <w:rsid w:val="1F1840BF"/>
    <w:rsid w:val="1F1A3993"/>
    <w:rsid w:val="1F210279"/>
    <w:rsid w:val="1F220A99"/>
    <w:rsid w:val="1F242A63"/>
    <w:rsid w:val="1F2751BC"/>
    <w:rsid w:val="1F2A3EE6"/>
    <w:rsid w:val="1F36110B"/>
    <w:rsid w:val="1F38206B"/>
    <w:rsid w:val="1F3A077E"/>
    <w:rsid w:val="1F3A4035"/>
    <w:rsid w:val="1F3D58D3"/>
    <w:rsid w:val="1F4C5B16"/>
    <w:rsid w:val="1F4E5D32"/>
    <w:rsid w:val="1F576995"/>
    <w:rsid w:val="1F5E41C7"/>
    <w:rsid w:val="1F63358C"/>
    <w:rsid w:val="1F6410B2"/>
    <w:rsid w:val="1F642E60"/>
    <w:rsid w:val="1F69491A"/>
    <w:rsid w:val="1F6A019B"/>
    <w:rsid w:val="1F6B0692"/>
    <w:rsid w:val="1F6B2440"/>
    <w:rsid w:val="1F770DE5"/>
    <w:rsid w:val="1F775289"/>
    <w:rsid w:val="1F7A08D5"/>
    <w:rsid w:val="1F7C289F"/>
    <w:rsid w:val="1F7D37A4"/>
    <w:rsid w:val="1F7E6617"/>
    <w:rsid w:val="1F7F413E"/>
    <w:rsid w:val="1F83778A"/>
    <w:rsid w:val="1F8B4890"/>
    <w:rsid w:val="1F8D685B"/>
    <w:rsid w:val="1F8F52C3"/>
    <w:rsid w:val="1F901EA7"/>
    <w:rsid w:val="1F953961"/>
    <w:rsid w:val="1F96177A"/>
    <w:rsid w:val="1F9951FF"/>
    <w:rsid w:val="1F9A4AD4"/>
    <w:rsid w:val="1FA31BDA"/>
    <w:rsid w:val="1FA468C7"/>
    <w:rsid w:val="1FA47700"/>
    <w:rsid w:val="1FA716F4"/>
    <w:rsid w:val="1FA85442"/>
    <w:rsid w:val="1FA871F0"/>
    <w:rsid w:val="1FB042F7"/>
    <w:rsid w:val="1FB43DE7"/>
    <w:rsid w:val="1FB739BB"/>
    <w:rsid w:val="1FB92215"/>
    <w:rsid w:val="1FB94E96"/>
    <w:rsid w:val="1FBC4A4A"/>
    <w:rsid w:val="1FC55FF4"/>
    <w:rsid w:val="1FD004F5"/>
    <w:rsid w:val="1FD224BF"/>
    <w:rsid w:val="1FD442EC"/>
    <w:rsid w:val="1FD71884"/>
    <w:rsid w:val="1FE3647B"/>
    <w:rsid w:val="1FE87F35"/>
    <w:rsid w:val="1FEB532F"/>
    <w:rsid w:val="1FED72F9"/>
    <w:rsid w:val="1FF22B62"/>
    <w:rsid w:val="1FF57F5C"/>
    <w:rsid w:val="1FFB7C68"/>
    <w:rsid w:val="1FFC12EA"/>
    <w:rsid w:val="1FFE1506"/>
    <w:rsid w:val="2000702C"/>
    <w:rsid w:val="200563F1"/>
    <w:rsid w:val="200C59D1"/>
    <w:rsid w:val="200D34F7"/>
    <w:rsid w:val="200D799B"/>
    <w:rsid w:val="200F101E"/>
    <w:rsid w:val="200F54C2"/>
    <w:rsid w:val="201E3957"/>
    <w:rsid w:val="202076CF"/>
    <w:rsid w:val="202C7E22"/>
    <w:rsid w:val="202F0FD5"/>
    <w:rsid w:val="202F3399"/>
    <w:rsid w:val="203023E8"/>
    <w:rsid w:val="2039253E"/>
    <w:rsid w:val="203D202F"/>
    <w:rsid w:val="204333BD"/>
    <w:rsid w:val="20452BFE"/>
    <w:rsid w:val="204C2272"/>
    <w:rsid w:val="204C4020"/>
    <w:rsid w:val="20511636"/>
    <w:rsid w:val="20580C17"/>
    <w:rsid w:val="205A16A6"/>
    <w:rsid w:val="205D59B9"/>
    <w:rsid w:val="205E1FA5"/>
    <w:rsid w:val="205E3D53"/>
    <w:rsid w:val="20651585"/>
    <w:rsid w:val="206C46C2"/>
    <w:rsid w:val="206D21E8"/>
    <w:rsid w:val="206F6B97"/>
    <w:rsid w:val="206F7D0E"/>
    <w:rsid w:val="207277FE"/>
    <w:rsid w:val="20735A50"/>
    <w:rsid w:val="20796DDF"/>
    <w:rsid w:val="20823EE5"/>
    <w:rsid w:val="208A4B48"/>
    <w:rsid w:val="208C08C0"/>
    <w:rsid w:val="20960425"/>
    <w:rsid w:val="2096173F"/>
    <w:rsid w:val="20967111"/>
    <w:rsid w:val="20982B70"/>
    <w:rsid w:val="209D0D1F"/>
    <w:rsid w:val="209D487B"/>
    <w:rsid w:val="20A025BE"/>
    <w:rsid w:val="20A21E92"/>
    <w:rsid w:val="20A53730"/>
    <w:rsid w:val="20AA343C"/>
    <w:rsid w:val="20AE4CDA"/>
    <w:rsid w:val="20AF45AF"/>
    <w:rsid w:val="20B120D5"/>
    <w:rsid w:val="20B41BC5"/>
    <w:rsid w:val="20B77599"/>
    <w:rsid w:val="20B90EE7"/>
    <w:rsid w:val="20BD6CCC"/>
    <w:rsid w:val="20C0056A"/>
    <w:rsid w:val="20C462AC"/>
    <w:rsid w:val="20C90672"/>
    <w:rsid w:val="20C91B14"/>
    <w:rsid w:val="20CE2C87"/>
    <w:rsid w:val="20D858B3"/>
    <w:rsid w:val="20DC0484"/>
    <w:rsid w:val="20DC2DA5"/>
    <w:rsid w:val="20E51F9E"/>
    <w:rsid w:val="20E63F9F"/>
    <w:rsid w:val="20E701EC"/>
    <w:rsid w:val="20EC5803"/>
    <w:rsid w:val="20EE3329"/>
    <w:rsid w:val="20FB5A46"/>
    <w:rsid w:val="20FC2BAF"/>
    <w:rsid w:val="21004E0A"/>
    <w:rsid w:val="210A7A37"/>
    <w:rsid w:val="210B5C89"/>
    <w:rsid w:val="21132D8F"/>
    <w:rsid w:val="211342D8"/>
    <w:rsid w:val="211A2370"/>
    <w:rsid w:val="212154AC"/>
    <w:rsid w:val="2129610F"/>
    <w:rsid w:val="212B00D9"/>
    <w:rsid w:val="212C3E51"/>
    <w:rsid w:val="21350F58"/>
    <w:rsid w:val="21352D06"/>
    <w:rsid w:val="213608D5"/>
    <w:rsid w:val="213845A4"/>
    <w:rsid w:val="213A031C"/>
    <w:rsid w:val="21423675"/>
    <w:rsid w:val="2145209D"/>
    <w:rsid w:val="214E201A"/>
    <w:rsid w:val="215313DE"/>
    <w:rsid w:val="215F5FD5"/>
    <w:rsid w:val="21667363"/>
    <w:rsid w:val="216A444C"/>
    <w:rsid w:val="2172193D"/>
    <w:rsid w:val="21751354"/>
    <w:rsid w:val="21811FA5"/>
    <w:rsid w:val="218B0B78"/>
    <w:rsid w:val="219C2CC7"/>
    <w:rsid w:val="219D08AB"/>
    <w:rsid w:val="21A12149"/>
    <w:rsid w:val="21A242A5"/>
    <w:rsid w:val="21A2529C"/>
    <w:rsid w:val="21A460DD"/>
    <w:rsid w:val="21A51484"/>
    <w:rsid w:val="21A97250"/>
    <w:rsid w:val="21AD6D40"/>
    <w:rsid w:val="21B06830"/>
    <w:rsid w:val="21B207FA"/>
    <w:rsid w:val="21B6306A"/>
    <w:rsid w:val="21B7196D"/>
    <w:rsid w:val="21B77BBF"/>
    <w:rsid w:val="21BA145D"/>
    <w:rsid w:val="21BC6F83"/>
    <w:rsid w:val="21C41DE5"/>
    <w:rsid w:val="21C81DCC"/>
    <w:rsid w:val="21CD6E64"/>
    <w:rsid w:val="21D02A2F"/>
    <w:rsid w:val="21D50104"/>
    <w:rsid w:val="21D544E9"/>
    <w:rsid w:val="21DB40EC"/>
    <w:rsid w:val="21DC7625"/>
    <w:rsid w:val="21E309B4"/>
    <w:rsid w:val="21EE1107"/>
    <w:rsid w:val="21EF55AB"/>
    <w:rsid w:val="21F1523E"/>
    <w:rsid w:val="21F169D8"/>
    <w:rsid w:val="21F77FBB"/>
    <w:rsid w:val="21FA7AAB"/>
    <w:rsid w:val="21FF50C2"/>
    <w:rsid w:val="2201708C"/>
    <w:rsid w:val="220426D8"/>
    <w:rsid w:val="22042B99"/>
    <w:rsid w:val="221072CF"/>
    <w:rsid w:val="22146DBF"/>
    <w:rsid w:val="22160D89"/>
    <w:rsid w:val="2217065D"/>
    <w:rsid w:val="221B014E"/>
    <w:rsid w:val="221C5C74"/>
    <w:rsid w:val="22230DB0"/>
    <w:rsid w:val="222B4109"/>
    <w:rsid w:val="222F1E4B"/>
    <w:rsid w:val="223034CD"/>
    <w:rsid w:val="2231313E"/>
    <w:rsid w:val="22325497"/>
    <w:rsid w:val="2237485C"/>
    <w:rsid w:val="22394A78"/>
    <w:rsid w:val="223B07F0"/>
    <w:rsid w:val="223B434C"/>
    <w:rsid w:val="223E208E"/>
    <w:rsid w:val="22407BB4"/>
    <w:rsid w:val="22407EAD"/>
    <w:rsid w:val="22414B5A"/>
    <w:rsid w:val="22433200"/>
    <w:rsid w:val="22435553"/>
    <w:rsid w:val="22481D6F"/>
    <w:rsid w:val="2248342D"/>
    <w:rsid w:val="22552F34"/>
    <w:rsid w:val="22592A24"/>
    <w:rsid w:val="225E628C"/>
    <w:rsid w:val="22602004"/>
    <w:rsid w:val="226715E5"/>
    <w:rsid w:val="226C6BFB"/>
    <w:rsid w:val="227A2166"/>
    <w:rsid w:val="228201CD"/>
    <w:rsid w:val="22820EB1"/>
    <w:rsid w:val="22837AA1"/>
    <w:rsid w:val="2288155B"/>
    <w:rsid w:val="228A7081"/>
    <w:rsid w:val="228B1B14"/>
    <w:rsid w:val="228C6ABD"/>
    <w:rsid w:val="228D6B72"/>
    <w:rsid w:val="22951C85"/>
    <w:rsid w:val="229677D4"/>
    <w:rsid w:val="2298179E"/>
    <w:rsid w:val="22995516"/>
    <w:rsid w:val="229972C4"/>
    <w:rsid w:val="229A0C6D"/>
    <w:rsid w:val="229E1591"/>
    <w:rsid w:val="22A068A5"/>
    <w:rsid w:val="22A16B67"/>
    <w:rsid w:val="22A2261D"/>
    <w:rsid w:val="22A31EF1"/>
    <w:rsid w:val="22A7378F"/>
    <w:rsid w:val="22AD2D70"/>
    <w:rsid w:val="22B1460E"/>
    <w:rsid w:val="22BE4F7D"/>
    <w:rsid w:val="22BE6D2B"/>
    <w:rsid w:val="22CF2CE6"/>
    <w:rsid w:val="22D2539F"/>
    <w:rsid w:val="22D851CF"/>
    <w:rsid w:val="22D93B65"/>
    <w:rsid w:val="22E5250A"/>
    <w:rsid w:val="22EA5CE4"/>
    <w:rsid w:val="22EB3FC4"/>
    <w:rsid w:val="22EE7610"/>
    <w:rsid w:val="22EF3388"/>
    <w:rsid w:val="22EF5136"/>
    <w:rsid w:val="22F015DA"/>
    <w:rsid w:val="22F4099F"/>
    <w:rsid w:val="22F62969"/>
    <w:rsid w:val="22F8048F"/>
    <w:rsid w:val="22F83FEB"/>
    <w:rsid w:val="22F872CF"/>
    <w:rsid w:val="22F90C34"/>
    <w:rsid w:val="22FB1D2D"/>
    <w:rsid w:val="22FD5AA5"/>
    <w:rsid w:val="22FD7853"/>
    <w:rsid w:val="22FF35CB"/>
    <w:rsid w:val="23005595"/>
    <w:rsid w:val="23053066"/>
    <w:rsid w:val="230A01C2"/>
    <w:rsid w:val="230A1F70"/>
    <w:rsid w:val="230B6414"/>
    <w:rsid w:val="230E1A60"/>
    <w:rsid w:val="230E380E"/>
    <w:rsid w:val="230F6562"/>
    <w:rsid w:val="23164DB9"/>
    <w:rsid w:val="231828DF"/>
    <w:rsid w:val="231A6657"/>
    <w:rsid w:val="231B23CF"/>
    <w:rsid w:val="231C7D04"/>
    <w:rsid w:val="231F5A1C"/>
    <w:rsid w:val="23203542"/>
    <w:rsid w:val="2322019E"/>
    <w:rsid w:val="23243032"/>
    <w:rsid w:val="232B50E1"/>
    <w:rsid w:val="232C0139"/>
    <w:rsid w:val="23317ADF"/>
    <w:rsid w:val="233C28CB"/>
    <w:rsid w:val="233D40F4"/>
    <w:rsid w:val="23445482"/>
    <w:rsid w:val="234F2DC4"/>
    <w:rsid w:val="2351194D"/>
    <w:rsid w:val="235700D4"/>
    <w:rsid w:val="23574571"/>
    <w:rsid w:val="235D02F2"/>
    <w:rsid w:val="235F050E"/>
    <w:rsid w:val="2366364A"/>
    <w:rsid w:val="23675615"/>
    <w:rsid w:val="236B202E"/>
    <w:rsid w:val="236D2C2B"/>
    <w:rsid w:val="236E69A3"/>
    <w:rsid w:val="236F1C18"/>
    <w:rsid w:val="237044C9"/>
    <w:rsid w:val="23707072"/>
    <w:rsid w:val="237335E8"/>
    <w:rsid w:val="23735D67"/>
    <w:rsid w:val="23767606"/>
    <w:rsid w:val="23775858"/>
    <w:rsid w:val="237816B9"/>
    <w:rsid w:val="2378512C"/>
    <w:rsid w:val="237C2BC0"/>
    <w:rsid w:val="237F470C"/>
    <w:rsid w:val="23865A9B"/>
    <w:rsid w:val="23871813"/>
    <w:rsid w:val="238E0DF3"/>
    <w:rsid w:val="238E494F"/>
    <w:rsid w:val="239161EE"/>
    <w:rsid w:val="23922691"/>
    <w:rsid w:val="239301B8"/>
    <w:rsid w:val="23955CDE"/>
    <w:rsid w:val="23A10B26"/>
    <w:rsid w:val="23AE4FF1"/>
    <w:rsid w:val="23B6137F"/>
    <w:rsid w:val="23BA3996"/>
    <w:rsid w:val="23BF2D5B"/>
    <w:rsid w:val="23C60123"/>
    <w:rsid w:val="23C640E9"/>
    <w:rsid w:val="23C87E61"/>
    <w:rsid w:val="23CA0C85"/>
    <w:rsid w:val="23CE7442"/>
    <w:rsid w:val="23D06D16"/>
    <w:rsid w:val="23DC1B5F"/>
    <w:rsid w:val="23E32A9A"/>
    <w:rsid w:val="23E6478B"/>
    <w:rsid w:val="23E9458B"/>
    <w:rsid w:val="23EA427B"/>
    <w:rsid w:val="23EC3B4C"/>
    <w:rsid w:val="23ED1676"/>
    <w:rsid w:val="23F24EDE"/>
    <w:rsid w:val="23F26A01"/>
    <w:rsid w:val="23F52C20"/>
    <w:rsid w:val="23F76998"/>
    <w:rsid w:val="24062738"/>
    <w:rsid w:val="240A6381"/>
    <w:rsid w:val="240B41F2"/>
    <w:rsid w:val="240B5FA0"/>
    <w:rsid w:val="24107A5A"/>
    <w:rsid w:val="24120F52"/>
    <w:rsid w:val="24197198"/>
    <w:rsid w:val="241D0BB0"/>
    <w:rsid w:val="241E5CD3"/>
    <w:rsid w:val="241F1A4B"/>
    <w:rsid w:val="24241890"/>
    <w:rsid w:val="2425361F"/>
    <w:rsid w:val="24264B88"/>
    <w:rsid w:val="242B6642"/>
    <w:rsid w:val="24305A06"/>
    <w:rsid w:val="2432177F"/>
    <w:rsid w:val="243279D1"/>
    <w:rsid w:val="2435301D"/>
    <w:rsid w:val="24376D95"/>
    <w:rsid w:val="243E0123"/>
    <w:rsid w:val="244020ED"/>
    <w:rsid w:val="244250D8"/>
    <w:rsid w:val="2443573A"/>
    <w:rsid w:val="24482D50"/>
    <w:rsid w:val="244A6AC8"/>
    <w:rsid w:val="244F6828"/>
    <w:rsid w:val="24521E21"/>
    <w:rsid w:val="24561911"/>
    <w:rsid w:val="245711E5"/>
    <w:rsid w:val="246242DD"/>
    <w:rsid w:val="24635DDC"/>
    <w:rsid w:val="246833F2"/>
    <w:rsid w:val="246C5879"/>
    <w:rsid w:val="246C6A51"/>
    <w:rsid w:val="246D0A09"/>
    <w:rsid w:val="246F4781"/>
    <w:rsid w:val="24741D97"/>
    <w:rsid w:val="24765B0F"/>
    <w:rsid w:val="24794EE7"/>
    <w:rsid w:val="24797AB8"/>
    <w:rsid w:val="247B1377"/>
    <w:rsid w:val="247B4ED4"/>
    <w:rsid w:val="247E2C6C"/>
    <w:rsid w:val="24831FDA"/>
    <w:rsid w:val="248B7965"/>
    <w:rsid w:val="24961D0D"/>
    <w:rsid w:val="249661B1"/>
    <w:rsid w:val="249A1700"/>
    <w:rsid w:val="249B615E"/>
    <w:rsid w:val="249C4E4A"/>
    <w:rsid w:val="24A0493A"/>
    <w:rsid w:val="24AF1021"/>
    <w:rsid w:val="24AF66F7"/>
    <w:rsid w:val="24BC54EC"/>
    <w:rsid w:val="24BD373E"/>
    <w:rsid w:val="24C34ACD"/>
    <w:rsid w:val="24CA19B7"/>
    <w:rsid w:val="24CC572F"/>
    <w:rsid w:val="24CD76F9"/>
    <w:rsid w:val="24D02008"/>
    <w:rsid w:val="24D57C8A"/>
    <w:rsid w:val="24D82326"/>
    <w:rsid w:val="24D96ACF"/>
    <w:rsid w:val="24D97E4C"/>
    <w:rsid w:val="24DB5972"/>
    <w:rsid w:val="24DE4FCD"/>
    <w:rsid w:val="24E34B84"/>
    <w:rsid w:val="24EF58C2"/>
    <w:rsid w:val="24EF7670"/>
    <w:rsid w:val="24F030F2"/>
    <w:rsid w:val="24F56947"/>
    <w:rsid w:val="24F609FE"/>
    <w:rsid w:val="24F84776"/>
    <w:rsid w:val="24FA5444"/>
    <w:rsid w:val="24FE78B3"/>
    <w:rsid w:val="2500362B"/>
    <w:rsid w:val="250273A3"/>
    <w:rsid w:val="25072C0B"/>
    <w:rsid w:val="250F71BC"/>
    <w:rsid w:val="2512132D"/>
    <w:rsid w:val="25145328"/>
    <w:rsid w:val="251470D6"/>
    <w:rsid w:val="25180974"/>
    <w:rsid w:val="251B0465"/>
    <w:rsid w:val="251B66B7"/>
    <w:rsid w:val="251D41DD"/>
    <w:rsid w:val="252437BD"/>
    <w:rsid w:val="25257535"/>
    <w:rsid w:val="25290DD3"/>
    <w:rsid w:val="2536529E"/>
    <w:rsid w:val="2536631F"/>
    <w:rsid w:val="253B4663"/>
    <w:rsid w:val="253C05DE"/>
    <w:rsid w:val="254554E2"/>
    <w:rsid w:val="25461985"/>
    <w:rsid w:val="25496D80"/>
    <w:rsid w:val="254F010E"/>
    <w:rsid w:val="255120D8"/>
    <w:rsid w:val="25537BFE"/>
    <w:rsid w:val="25551FFC"/>
    <w:rsid w:val="25554388"/>
    <w:rsid w:val="255A5BB5"/>
    <w:rsid w:val="255B4D05"/>
    <w:rsid w:val="255D0A7D"/>
    <w:rsid w:val="255E0351"/>
    <w:rsid w:val="2561056D"/>
    <w:rsid w:val="256242E5"/>
    <w:rsid w:val="25630DB5"/>
    <w:rsid w:val="2564005E"/>
    <w:rsid w:val="256516E0"/>
    <w:rsid w:val="256C6F12"/>
    <w:rsid w:val="256E2C8A"/>
    <w:rsid w:val="25710085"/>
    <w:rsid w:val="25916979"/>
    <w:rsid w:val="2592115F"/>
    <w:rsid w:val="25965263"/>
    <w:rsid w:val="25973F8F"/>
    <w:rsid w:val="25987D07"/>
    <w:rsid w:val="259C77F7"/>
    <w:rsid w:val="259D0E7A"/>
    <w:rsid w:val="25A15886"/>
    <w:rsid w:val="25A20B86"/>
    <w:rsid w:val="25A91F14"/>
    <w:rsid w:val="25AD37B3"/>
    <w:rsid w:val="25B74631"/>
    <w:rsid w:val="25B76183"/>
    <w:rsid w:val="25B86135"/>
    <w:rsid w:val="25BF34E6"/>
    <w:rsid w:val="25BF5294"/>
    <w:rsid w:val="25C26B32"/>
    <w:rsid w:val="25C91C6F"/>
    <w:rsid w:val="25C97EC1"/>
    <w:rsid w:val="25CC175F"/>
    <w:rsid w:val="25CE197B"/>
    <w:rsid w:val="25D83FDE"/>
    <w:rsid w:val="25D86356"/>
    <w:rsid w:val="25DA20CE"/>
    <w:rsid w:val="25DF76E4"/>
    <w:rsid w:val="25E847EB"/>
    <w:rsid w:val="25E90563"/>
    <w:rsid w:val="25EA63F3"/>
    <w:rsid w:val="25F5515A"/>
    <w:rsid w:val="25FA2770"/>
    <w:rsid w:val="25FC0296"/>
    <w:rsid w:val="25FD5DBC"/>
    <w:rsid w:val="26040EF9"/>
    <w:rsid w:val="26061115"/>
    <w:rsid w:val="26154EB4"/>
    <w:rsid w:val="26177FE1"/>
    <w:rsid w:val="261D1FBA"/>
    <w:rsid w:val="261F5D33"/>
    <w:rsid w:val="2624159B"/>
    <w:rsid w:val="262477ED"/>
    <w:rsid w:val="26265313"/>
    <w:rsid w:val="2629095F"/>
    <w:rsid w:val="26296BB1"/>
    <w:rsid w:val="262B1788"/>
    <w:rsid w:val="262D044F"/>
    <w:rsid w:val="262F6268"/>
    <w:rsid w:val="26303A96"/>
    <w:rsid w:val="26323CB8"/>
    <w:rsid w:val="26395046"/>
    <w:rsid w:val="263A491A"/>
    <w:rsid w:val="263E08AF"/>
    <w:rsid w:val="263E440B"/>
    <w:rsid w:val="263F0183"/>
    <w:rsid w:val="26461511"/>
    <w:rsid w:val="26485289"/>
    <w:rsid w:val="26486E0F"/>
    <w:rsid w:val="26573376"/>
    <w:rsid w:val="265E4AAD"/>
    <w:rsid w:val="26633E71"/>
    <w:rsid w:val="2665408D"/>
    <w:rsid w:val="266B0F78"/>
    <w:rsid w:val="266D4CF0"/>
    <w:rsid w:val="267267AA"/>
    <w:rsid w:val="267442D0"/>
    <w:rsid w:val="267E6EFD"/>
    <w:rsid w:val="26881206"/>
    <w:rsid w:val="26941394"/>
    <w:rsid w:val="2694227D"/>
    <w:rsid w:val="26965813"/>
    <w:rsid w:val="26A10E3D"/>
    <w:rsid w:val="26A64C5A"/>
    <w:rsid w:val="26B00730"/>
    <w:rsid w:val="26B0379B"/>
    <w:rsid w:val="26B96187"/>
    <w:rsid w:val="26BC17D3"/>
    <w:rsid w:val="26BC7A25"/>
    <w:rsid w:val="26BD5C77"/>
    <w:rsid w:val="26CA2142"/>
    <w:rsid w:val="26CD39E1"/>
    <w:rsid w:val="26D1527F"/>
    <w:rsid w:val="26D27249"/>
    <w:rsid w:val="26D44D6F"/>
    <w:rsid w:val="26E03714"/>
    <w:rsid w:val="26E86A6C"/>
    <w:rsid w:val="26EA2685"/>
    <w:rsid w:val="26EC20B9"/>
    <w:rsid w:val="26EE3450"/>
    <w:rsid w:val="26F61189"/>
    <w:rsid w:val="26FB67A0"/>
    <w:rsid w:val="26FC6074"/>
    <w:rsid w:val="27003DB6"/>
    <w:rsid w:val="27035654"/>
    <w:rsid w:val="27055676"/>
    <w:rsid w:val="27072B67"/>
    <w:rsid w:val="270F3FF9"/>
    <w:rsid w:val="270F7B55"/>
    <w:rsid w:val="271138CD"/>
    <w:rsid w:val="27231852"/>
    <w:rsid w:val="27257379"/>
    <w:rsid w:val="272950BB"/>
    <w:rsid w:val="272D0375"/>
    <w:rsid w:val="27321A96"/>
    <w:rsid w:val="27392E24"/>
    <w:rsid w:val="273B4DEE"/>
    <w:rsid w:val="273C17A5"/>
    <w:rsid w:val="273D46C2"/>
    <w:rsid w:val="273D7D73"/>
    <w:rsid w:val="273E043A"/>
    <w:rsid w:val="27441EF5"/>
    <w:rsid w:val="274719E5"/>
    <w:rsid w:val="275163C0"/>
    <w:rsid w:val="27561010"/>
    <w:rsid w:val="275A34C6"/>
    <w:rsid w:val="27604855"/>
    <w:rsid w:val="276606FC"/>
    <w:rsid w:val="276E51C4"/>
    <w:rsid w:val="27710810"/>
    <w:rsid w:val="27764078"/>
    <w:rsid w:val="277976C4"/>
    <w:rsid w:val="278066BB"/>
    <w:rsid w:val="27873B8F"/>
    <w:rsid w:val="278A1421"/>
    <w:rsid w:val="278C42FE"/>
    <w:rsid w:val="278C73F8"/>
    <w:rsid w:val="279012A6"/>
    <w:rsid w:val="27906EE8"/>
    <w:rsid w:val="27965DF0"/>
    <w:rsid w:val="279664C8"/>
    <w:rsid w:val="279768E7"/>
    <w:rsid w:val="279D7857"/>
    <w:rsid w:val="27A40BE5"/>
    <w:rsid w:val="27B43958"/>
    <w:rsid w:val="27B5694E"/>
    <w:rsid w:val="27B626C7"/>
    <w:rsid w:val="27BB5B1F"/>
    <w:rsid w:val="27BD1CA7"/>
    <w:rsid w:val="27C13545"/>
    <w:rsid w:val="27C2106B"/>
    <w:rsid w:val="27C44DE4"/>
    <w:rsid w:val="27C90D36"/>
    <w:rsid w:val="27CD5050"/>
    <w:rsid w:val="27D45C2C"/>
    <w:rsid w:val="27DD7C53"/>
    <w:rsid w:val="27DF0851"/>
    <w:rsid w:val="27E2526A"/>
    <w:rsid w:val="27E5343C"/>
    <w:rsid w:val="27E62FAC"/>
    <w:rsid w:val="27E86D24"/>
    <w:rsid w:val="27EB1D1A"/>
    <w:rsid w:val="27F54F9D"/>
    <w:rsid w:val="27F8174D"/>
    <w:rsid w:val="27FF406E"/>
    <w:rsid w:val="28065902"/>
    <w:rsid w:val="28074CD0"/>
    <w:rsid w:val="28086671"/>
    <w:rsid w:val="28100029"/>
    <w:rsid w:val="281175EB"/>
    <w:rsid w:val="28153891"/>
    <w:rsid w:val="2815563F"/>
    <w:rsid w:val="281D44F4"/>
    <w:rsid w:val="28243EE7"/>
    <w:rsid w:val="28245882"/>
    <w:rsid w:val="28292E99"/>
    <w:rsid w:val="283755B5"/>
    <w:rsid w:val="284321AC"/>
    <w:rsid w:val="28435434"/>
    <w:rsid w:val="28461C9C"/>
    <w:rsid w:val="284F6DA3"/>
    <w:rsid w:val="285337E8"/>
    <w:rsid w:val="285717B4"/>
    <w:rsid w:val="28577A06"/>
    <w:rsid w:val="2858552C"/>
    <w:rsid w:val="285919D0"/>
    <w:rsid w:val="285A74F6"/>
    <w:rsid w:val="285D4B57"/>
    <w:rsid w:val="285E6FE6"/>
    <w:rsid w:val="285F2D5E"/>
    <w:rsid w:val="286345FC"/>
    <w:rsid w:val="28667C49"/>
    <w:rsid w:val="287560DE"/>
    <w:rsid w:val="28801FE8"/>
    <w:rsid w:val="28810F26"/>
    <w:rsid w:val="28812CD5"/>
    <w:rsid w:val="28844573"/>
    <w:rsid w:val="28893937"/>
    <w:rsid w:val="288D6A85"/>
    <w:rsid w:val="288F719F"/>
    <w:rsid w:val="289111A9"/>
    <w:rsid w:val="289724F8"/>
    <w:rsid w:val="289742A6"/>
    <w:rsid w:val="28991DCC"/>
    <w:rsid w:val="28A53720"/>
    <w:rsid w:val="28AB7D51"/>
    <w:rsid w:val="28AC2DD8"/>
    <w:rsid w:val="28AF15F0"/>
    <w:rsid w:val="28B409B4"/>
    <w:rsid w:val="28B5472C"/>
    <w:rsid w:val="28C037FD"/>
    <w:rsid w:val="28C332ED"/>
    <w:rsid w:val="28C37F06"/>
    <w:rsid w:val="28C57065"/>
    <w:rsid w:val="28D15A0A"/>
    <w:rsid w:val="28D3799D"/>
    <w:rsid w:val="28DC43AF"/>
    <w:rsid w:val="28E228E2"/>
    <w:rsid w:val="28E76302"/>
    <w:rsid w:val="28EC45F2"/>
    <w:rsid w:val="28EF7C3E"/>
    <w:rsid w:val="28F25980"/>
    <w:rsid w:val="28F568D6"/>
    <w:rsid w:val="28FD67FF"/>
    <w:rsid w:val="29015BC3"/>
    <w:rsid w:val="29051210"/>
    <w:rsid w:val="29053906"/>
    <w:rsid w:val="290A5ABA"/>
    <w:rsid w:val="290F208E"/>
    <w:rsid w:val="29124801"/>
    <w:rsid w:val="29127DD1"/>
    <w:rsid w:val="29183639"/>
    <w:rsid w:val="2919115F"/>
    <w:rsid w:val="291D29FD"/>
    <w:rsid w:val="291D5333"/>
    <w:rsid w:val="292024ED"/>
    <w:rsid w:val="29231FDE"/>
    <w:rsid w:val="29235B3A"/>
    <w:rsid w:val="292C49EE"/>
    <w:rsid w:val="292E4C0A"/>
    <w:rsid w:val="29312005"/>
    <w:rsid w:val="29345F99"/>
    <w:rsid w:val="29361D11"/>
    <w:rsid w:val="293935AF"/>
    <w:rsid w:val="293B10D5"/>
    <w:rsid w:val="293D4E4D"/>
    <w:rsid w:val="293E2974"/>
    <w:rsid w:val="294361DC"/>
    <w:rsid w:val="29437AAE"/>
    <w:rsid w:val="294C6E3F"/>
    <w:rsid w:val="294E0E09"/>
    <w:rsid w:val="29583A35"/>
    <w:rsid w:val="295C2DFA"/>
    <w:rsid w:val="295E287B"/>
    <w:rsid w:val="295E3016"/>
    <w:rsid w:val="29656152"/>
    <w:rsid w:val="29676259"/>
    <w:rsid w:val="296A1CA7"/>
    <w:rsid w:val="297939AC"/>
    <w:rsid w:val="297D349C"/>
    <w:rsid w:val="298011DE"/>
    <w:rsid w:val="29813AF5"/>
    <w:rsid w:val="298E56A9"/>
    <w:rsid w:val="299F78B6"/>
    <w:rsid w:val="29A6221A"/>
    <w:rsid w:val="29B13146"/>
    <w:rsid w:val="29B570DA"/>
    <w:rsid w:val="29B6075C"/>
    <w:rsid w:val="29BA46F0"/>
    <w:rsid w:val="29BE48F3"/>
    <w:rsid w:val="29BF1D06"/>
    <w:rsid w:val="29C63095"/>
    <w:rsid w:val="29C70BBB"/>
    <w:rsid w:val="29C9048F"/>
    <w:rsid w:val="29CC61D1"/>
    <w:rsid w:val="29CD198A"/>
    <w:rsid w:val="29D82DC8"/>
    <w:rsid w:val="29E452C9"/>
    <w:rsid w:val="29E47934"/>
    <w:rsid w:val="29E928DF"/>
    <w:rsid w:val="29EE749A"/>
    <w:rsid w:val="29FC6AB7"/>
    <w:rsid w:val="2A027C1D"/>
    <w:rsid w:val="2A091F98"/>
    <w:rsid w:val="2A092F82"/>
    <w:rsid w:val="2A0C2A72"/>
    <w:rsid w:val="2A0C65CE"/>
    <w:rsid w:val="2A0D6C0A"/>
    <w:rsid w:val="2A135BAE"/>
    <w:rsid w:val="2A202079"/>
    <w:rsid w:val="2A261D85"/>
    <w:rsid w:val="2A2953D2"/>
    <w:rsid w:val="2A2E7278"/>
    <w:rsid w:val="2A3224D8"/>
    <w:rsid w:val="2A377AEF"/>
    <w:rsid w:val="2A3D0E7D"/>
    <w:rsid w:val="2A4346E5"/>
    <w:rsid w:val="2A44045E"/>
    <w:rsid w:val="2A53244F"/>
    <w:rsid w:val="2A5561C7"/>
    <w:rsid w:val="2A6603D4"/>
    <w:rsid w:val="2A7D74CC"/>
    <w:rsid w:val="2A816FBC"/>
    <w:rsid w:val="2A8E3487"/>
    <w:rsid w:val="2A905451"/>
    <w:rsid w:val="2A9C5BA4"/>
    <w:rsid w:val="2AA1765E"/>
    <w:rsid w:val="2AA8279A"/>
    <w:rsid w:val="2AAD6003"/>
    <w:rsid w:val="2AB32EED"/>
    <w:rsid w:val="2AB40FBA"/>
    <w:rsid w:val="2ACA1805"/>
    <w:rsid w:val="2ACD5388"/>
    <w:rsid w:val="2AD03A9F"/>
    <w:rsid w:val="2ADD2D39"/>
    <w:rsid w:val="2ADE7F6A"/>
    <w:rsid w:val="2ADF3CE2"/>
    <w:rsid w:val="2AE232B1"/>
    <w:rsid w:val="2AEA4B61"/>
    <w:rsid w:val="2AED28A3"/>
    <w:rsid w:val="2AED4651"/>
    <w:rsid w:val="2AEF03C9"/>
    <w:rsid w:val="2AF23A16"/>
    <w:rsid w:val="2AF43C32"/>
    <w:rsid w:val="2AF53506"/>
    <w:rsid w:val="2AFB6D6E"/>
    <w:rsid w:val="2AFC4894"/>
    <w:rsid w:val="2AFC6642"/>
    <w:rsid w:val="2AFC789A"/>
    <w:rsid w:val="2AFE060C"/>
    <w:rsid w:val="2B0100FD"/>
    <w:rsid w:val="2B013C59"/>
    <w:rsid w:val="2B065713"/>
    <w:rsid w:val="2B0674C1"/>
    <w:rsid w:val="2B0A6E80"/>
    <w:rsid w:val="2B0C0F7B"/>
    <w:rsid w:val="2B0F45C8"/>
    <w:rsid w:val="2B165956"/>
    <w:rsid w:val="2B1E30BD"/>
    <w:rsid w:val="2B285689"/>
    <w:rsid w:val="2B2A31B0"/>
    <w:rsid w:val="2B2B6F28"/>
    <w:rsid w:val="2B2F07C6"/>
    <w:rsid w:val="2B3109E2"/>
    <w:rsid w:val="2B3758CC"/>
    <w:rsid w:val="2B387812"/>
    <w:rsid w:val="2B3968DC"/>
    <w:rsid w:val="2B3D7387"/>
    <w:rsid w:val="2B4029D3"/>
    <w:rsid w:val="2B447AD1"/>
    <w:rsid w:val="2B457FE9"/>
    <w:rsid w:val="2B465B0F"/>
    <w:rsid w:val="2B577D1D"/>
    <w:rsid w:val="2B5D17D7"/>
    <w:rsid w:val="2B603075"/>
    <w:rsid w:val="2B65068C"/>
    <w:rsid w:val="2B6B4C7E"/>
    <w:rsid w:val="2B6F150A"/>
    <w:rsid w:val="2B715282"/>
    <w:rsid w:val="2B762899"/>
    <w:rsid w:val="2B7908D3"/>
    <w:rsid w:val="2B7B7EAF"/>
    <w:rsid w:val="2B7E174D"/>
    <w:rsid w:val="2B7F6702"/>
    <w:rsid w:val="2B82123D"/>
    <w:rsid w:val="2B824D9A"/>
    <w:rsid w:val="2B8A3D12"/>
    <w:rsid w:val="2B8E7BE2"/>
    <w:rsid w:val="2B9D1BD3"/>
    <w:rsid w:val="2B9E76FA"/>
    <w:rsid w:val="2B9E7CCD"/>
    <w:rsid w:val="2BA32F62"/>
    <w:rsid w:val="2BAA613D"/>
    <w:rsid w:val="2BAD5B8F"/>
    <w:rsid w:val="2BAF7B59"/>
    <w:rsid w:val="2BB05DAB"/>
    <w:rsid w:val="2BB62C95"/>
    <w:rsid w:val="2BB67139"/>
    <w:rsid w:val="2BBD04C8"/>
    <w:rsid w:val="2BC76C50"/>
    <w:rsid w:val="2BC929C8"/>
    <w:rsid w:val="2BCE4483"/>
    <w:rsid w:val="2BCF1FA9"/>
    <w:rsid w:val="2BD274F4"/>
    <w:rsid w:val="2BD31A99"/>
    <w:rsid w:val="2BD55811"/>
    <w:rsid w:val="2BD65BF0"/>
    <w:rsid w:val="2BDB094E"/>
    <w:rsid w:val="2BE041B6"/>
    <w:rsid w:val="2BE45A54"/>
    <w:rsid w:val="2BEF38E3"/>
    <w:rsid w:val="2BF13CCD"/>
    <w:rsid w:val="2BFD08C4"/>
    <w:rsid w:val="2BFF63EA"/>
    <w:rsid w:val="2C0003B4"/>
    <w:rsid w:val="2C02412C"/>
    <w:rsid w:val="2C0457B4"/>
    <w:rsid w:val="2C071743"/>
    <w:rsid w:val="2C0954BB"/>
    <w:rsid w:val="2C0A4D8F"/>
    <w:rsid w:val="2C0B2FE1"/>
    <w:rsid w:val="2C106849"/>
    <w:rsid w:val="2C153E60"/>
    <w:rsid w:val="2C161986"/>
    <w:rsid w:val="2C1A3224"/>
    <w:rsid w:val="2C22675B"/>
    <w:rsid w:val="2C234FD5"/>
    <w:rsid w:val="2C2422F5"/>
    <w:rsid w:val="2C2E6CCF"/>
    <w:rsid w:val="2C3167C0"/>
    <w:rsid w:val="2C3342E6"/>
    <w:rsid w:val="2C360ECA"/>
    <w:rsid w:val="2C3673D7"/>
    <w:rsid w:val="2C464286"/>
    <w:rsid w:val="2C4C53A8"/>
    <w:rsid w:val="2C53629D"/>
    <w:rsid w:val="2C5801F0"/>
    <w:rsid w:val="2C5A1872"/>
    <w:rsid w:val="2C5A3F68"/>
    <w:rsid w:val="2C5B55EB"/>
    <w:rsid w:val="2C5F157F"/>
    <w:rsid w:val="2C680433"/>
    <w:rsid w:val="2C697D08"/>
    <w:rsid w:val="2C6B1CD2"/>
    <w:rsid w:val="2C6D3C9C"/>
    <w:rsid w:val="2C6E531E"/>
    <w:rsid w:val="2C701096"/>
    <w:rsid w:val="2C70553A"/>
    <w:rsid w:val="2C724C1E"/>
    <w:rsid w:val="2C730B86"/>
    <w:rsid w:val="2C7768C8"/>
    <w:rsid w:val="2C7A0836"/>
    <w:rsid w:val="2C7A1F15"/>
    <w:rsid w:val="2C7A3CC3"/>
    <w:rsid w:val="2C7B6FAE"/>
    <w:rsid w:val="2C87365C"/>
    <w:rsid w:val="2C876E16"/>
    <w:rsid w:val="2C8A633E"/>
    <w:rsid w:val="2C8C39F6"/>
    <w:rsid w:val="2C8D1C48"/>
    <w:rsid w:val="2C9D31D5"/>
    <w:rsid w:val="2C9E20A7"/>
    <w:rsid w:val="2CA14DC1"/>
    <w:rsid w:val="2CA23219"/>
    <w:rsid w:val="2CA8035F"/>
    <w:rsid w:val="2CA84CD4"/>
    <w:rsid w:val="2CAE6798"/>
    <w:rsid w:val="2CB73169"/>
    <w:rsid w:val="2CB82A3D"/>
    <w:rsid w:val="2CBB6EF5"/>
    <w:rsid w:val="2CCD0296"/>
    <w:rsid w:val="2CD47877"/>
    <w:rsid w:val="2CD84964"/>
    <w:rsid w:val="2CDE24A4"/>
    <w:rsid w:val="2CDF7FCA"/>
    <w:rsid w:val="2CE33F5E"/>
    <w:rsid w:val="2CEB2E12"/>
    <w:rsid w:val="2CF0667B"/>
    <w:rsid w:val="2CF179D4"/>
    <w:rsid w:val="2CFB18D4"/>
    <w:rsid w:val="2CFC0B7C"/>
    <w:rsid w:val="2CFE48F4"/>
    <w:rsid w:val="2D015382"/>
    <w:rsid w:val="2D045C82"/>
    <w:rsid w:val="2D050128"/>
    <w:rsid w:val="2D0839C4"/>
    <w:rsid w:val="2D0A14EA"/>
    <w:rsid w:val="2D0B1643"/>
    <w:rsid w:val="2D1063D5"/>
    <w:rsid w:val="2D173C07"/>
    <w:rsid w:val="2D1759B5"/>
    <w:rsid w:val="2D216834"/>
    <w:rsid w:val="2D256324"/>
    <w:rsid w:val="2D2F0CB6"/>
    <w:rsid w:val="2D37282D"/>
    <w:rsid w:val="2D3C35B2"/>
    <w:rsid w:val="2D3E066D"/>
    <w:rsid w:val="2D426ED6"/>
    <w:rsid w:val="2D4349FC"/>
    <w:rsid w:val="2D450775"/>
    <w:rsid w:val="2D4A7B39"/>
    <w:rsid w:val="2D536654"/>
    <w:rsid w:val="2D546C0A"/>
    <w:rsid w:val="2D5B7F98"/>
    <w:rsid w:val="2D5E5392"/>
    <w:rsid w:val="2D615418"/>
    <w:rsid w:val="2D6316D5"/>
    <w:rsid w:val="2D662499"/>
    <w:rsid w:val="2D6E3085"/>
    <w:rsid w:val="2D731B04"/>
    <w:rsid w:val="2D74105A"/>
    <w:rsid w:val="2D7626DC"/>
    <w:rsid w:val="2D7746A6"/>
    <w:rsid w:val="2D7B4196"/>
    <w:rsid w:val="2D8017AD"/>
    <w:rsid w:val="2D856DC3"/>
    <w:rsid w:val="2D8A262B"/>
    <w:rsid w:val="2D8C63A3"/>
    <w:rsid w:val="2D952400"/>
    <w:rsid w:val="2D9E60D7"/>
    <w:rsid w:val="2DA059AB"/>
    <w:rsid w:val="2DA134D1"/>
    <w:rsid w:val="2DA23985"/>
    <w:rsid w:val="2DA47C20"/>
    <w:rsid w:val="2DAA05D8"/>
    <w:rsid w:val="2DAC07F4"/>
    <w:rsid w:val="2DAD1E76"/>
    <w:rsid w:val="2DAF3E40"/>
    <w:rsid w:val="2DB14A9A"/>
    <w:rsid w:val="2DB256DE"/>
    <w:rsid w:val="2DB63420"/>
    <w:rsid w:val="2DBD655D"/>
    <w:rsid w:val="2DC07DFB"/>
    <w:rsid w:val="2DCA6ECC"/>
    <w:rsid w:val="2DD613CD"/>
    <w:rsid w:val="2DDB2E87"/>
    <w:rsid w:val="2DE03FF9"/>
    <w:rsid w:val="2DE27D71"/>
    <w:rsid w:val="2DE51610"/>
    <w:rsid w:val="2DE620DD"/>
    <w:rsid w:val="2DE81100"/>
    <w:rsid w:val="2DEA4E78"/>
    <w:rsid w:val="2DEB0E8E"/>
    <w:rsid w:val="2DF31626"/>
    <w:rsid w:val="2DF67CC1"/>
    <w:rsid w:val="2DF855C9"/>
    <w:rsid w:val="2DFA155F"/>
    <w:rsid w:val="2DFB7085"/>
    <w:rsid w:val="2DFF6B75"/>
    <w:rsid w:val="2E110657"/>
    <w:rsid w:val="2E114AFB"/>
    <w:rsid w:val="2E150147"/>
    <w:rsid w:val="2E163EBF"/>
    <w:rsid w:val="2E1A575D"/>
    <w:rsid w:val="2E1D6FFC"/>
    <w:rsid w:val="2E1F2D74"/>
    <w:rsid w:val="2E255EB0"/>
    <w:rsid w:val="2E277E7A"/>
    <w:rsid w:val="2E304F81"/>
    <w:rsid w:val="2E312AA7"/>
    <w:rsid w:val="2E334A71"/>
    <w:rsid w:val="2E4528D8"/>
    <w:rsid w:val="2E4F45F6"/>
    <w:rsid w:val="2E556795"/>
    <w:rsid w:val="2E5844D8"/>
    <w:rsid w:val="2E5B100B"/>
    <w:rsid w:val="2E5D564A"/>
    <w:rsid w:val="2E5F13C2"/>
    <w:rsid w:val="2E772BB0"/>
    <w:rsid w:val="2E7743B8"/>
    <w:rsid w:val="2E782484"/>
    <w:rsid w:val="2E7A444E"/>
    <w:rsid w:val="2E7B7296"/>
    <w:rsid w:val="2E7C6418"/>
    <w:rsid w:val="2E7F6685"/>
    <w:rsid w:val="2E821554"/>
    <w:rsid w:val="2E884DBD"/>
    <w:rsid w:val="2E89343E"/>
    <w:rsid w:val="2E8C7C28"/>
    <w:rsid w:val="2E921798"/>
    <w:rsid w:val="2E9372BE"/>
    <w:rsid w:val="2E9A689E"/>
    <w:rsid w:val="2E9C2616"/>
    <w:rsid w:val="2E9C43C4"/>
    <w:rsid w:val="2E9D638E"/>
    <w:rsid w:val="2EA15E7F"/>
    <w:rsid w:val="2EA72D69"/>
    <w:rsid w:val="2EBB4127"/>
    <w:rsid w:val="2EC102CF"/>
    <w:rsid w:val="2EC1626D"/>
    <w:rsid w:val="2EC21951"/>
    <w:rsid w:val="2EC92CDF"/>
    <w:rsid w:val="2ECE02F6"/>
    <w:rsid w:val="2ECE479A"/>
    <w:rsid w:val="2ECE5AA7"/>
    <w:rsid w:val="2ECF3FE1"/>
    <w:rsid w:val="2ED81174"/>
    <w:rsid w:val="2EE30245"/>
    <w:rsid w:val="2EE606CD"/>
    <w:rsid w:val="2EED2E72"/>
    <w:rsid w:val="2EEE2746"/>
    <w:rsid w:val="2EF96879"/>
    <w:rsid w:val="2EFA10EB"/>
    <w:rsid w:val="2EFC4E63"/>
    <w:rsid w:val="2EFE507F"/>
    <w:rsid w:val="2EFE6E2D"/>
    <w:rsid w:val="2F0112DD"/>
    <w:rsid w:val="2F0248A7"/>
    <w:rsid w:val="2F045D38"/>
    <w:rsid w:val="2F0B779C"/>
    <w:rsid w:val="2F191EB9"/>
    <w:rsid w:val="2F1C5505"/>
    <w:rsid w:val="2F1F6DA3"/>
    <w:rsid w:val="2F204FF5"/>
    <w:rsid w:val="2F252D56"/>
    <w:rsid w:val="2F283EAA"/>
    <w:rsid w:val="2F2919D0"/>
    <w:rsid w:val="2F2E6FE6"/>
    <w:rsid w:val="2F3565C7"/>
    <w:rsid w:val="2F4131BE"/>
    <w:rsid w:val="2F432A92"/>
    <w:rsid w:val="2F452CAE"/>
    <w:rsid w:val="2F4A02C4"/>
    <w:rsid w:val="2F4D56BE"/>
    <w:rsid w:val="2F4F47F1"/>
    <w:rsid w:val="2F527179"/>
    <w:rsid w:val="2F532610"/>
    <w:rsid w:val="2F566C69"/>
    <w:rsid w:val="2F57653D"/>
    <w:rsid w:val="2F59444C"/>
    <w:rsid w:val="2F5C3B54"/>
    <w:rsid w:val="2F5E78CC"/>
    <w:rsid w:val="2F601896"/>
    <w:rsid w:val="2F633134"/>
    <w:rsid w:val="2F655077"/>
    <w:rsid w:val="2F662571"/>
    <w:rsid w:val="2F68699C"/>
    <w:rsid w:val="2F7074B2"/>
    <w:rsid w:val="2F713AA3"/>
    <w:rsid w:val="2F745341"/>
    <w:rsid w:val="2F794705"/>
    <w:rsid w:val="2F7B66D0"/>
    <w:rsid w:val="2F7E3ACA"/>
    <w:rsid w:val="2F827A5E"/>
    <w:rsid w:val="2F8941A0"/>
    <w:rsid w:val="2F8E04F5"/>
    <w:rsid w:val="2F922EED"/>
    <w:rsid w:val="2F9432ED"/>
    <w:rsid w:val="2F944478"/>
    <w:rsid w:val="2F971030"/>
    <w:rsid w:val="2FA5374C"/>
    <w:rsid w:val="2FAA2B11"/>
    <w:rsid w:val="2FAB0637"/>
    <w:rsid w:val="2FAC4ADB"/>
    <w:rsid w:val="2FAD2601"/>
    <w:rsid w:val="2FAF60CB"/>
    <w:rsid w:val="2FAF6379"/>
    <w:rsid w:val="2FB219C5"/>
    <w:rsid w:val="2FB46233"/>
    <w:rsid w:val="2FB7522E"/>
    <w:rsid w:val="2FC736C3"/>
    <w:rsid w:val="2FC75471"/>
    <w:rsid w:val="2FCA6D0F"/>
    <w:rsid w:val="2FCD67FF"/>
    <w:rsid w:val="2FCE736A"/>
    <w:rsid w:val="2FCF07C9"/>
    <w:rsid w:val="2FCF2577"/>
    <w:rsid w:val="2FD14541"/>
    <w:rsid w:val="2FD22068"/>
    <w:rsid w:val="2FD656B4"/>
    <w:rsid w:val="2FD933F6"/>
    <w:rsid w:val="2FE37DD1"/>
    <w:rsid w:val="2FE66ADF"/>
    <w:rsid w:val="2FEC3129"/>
    <w:rsid w:val="2FF3270A"/>
    <w:rsid w:val="2FF41FDE"/>
    <w:rsid w:val="2FF43D8C"/>
    <w:rsid w:val="2FF70158"/>
    <w:rsid w:val="2FFC79BE"/>
    <w:rsid w:val="2FFD70E5"/>
    <w:rsid w:val="2FFE2E5D"/>
    <w:rsid w:val="2FFE34CE"/>
    <w:rsid w:val="300264A9"/>
    <w:rsid w:val="30071918"/>
    <w:rsid w:val="300A3308"/>
    <w:rsid w:val="30135E46"/>
    <w:rsid w:val="3014442E"/>
    <w:rsid w:val="30170A31"/>
    <w:rsid w:val="301D5F87"/>
    <w:rsid w:val="301F52AD"/>
    <w:rsid w:val="30204B81"/>
    <w:rsid w:val="30224D9D"/>
    <w:rsid w:val="30227AED"/>
    <w:rsid w:val="30275F10"/>
    <w:rsid w:val="3029612C"/>
    <w:rsid w:val="302A5A00"/>
    <w:rsid w:val="302E54F0"/>
    <w:rsid w:val="30313526"/>
    <w:rsid w:val="30393E95"/>
    <w:rsid w:val="303D3985"/>
    <w:rsid w:val="303D5733"/>
    <w:rsid w:val="30406FD1"/>
    <w:rsid w:val="304A6E61"/>
    <w:rsid w:val="30515682"/>
    <w:rsid w:val="3054441E"/>
    <w:rsid w:val="30550CCF"/>
    <w:rsid w:val="30556F21"/>
    <w:rsid w:val="3058256D"/>
    <w:rsid w:val="30590093"/>
    <w:rsid w:val="305A70AA"/>
    <w:rsid w:val="305B7FDF"/>
    <w:rsid w:val="306233EC"/>
    <w:rsid w:val="3063189E"/>
    <w:rsid w:val="30640628"/>
    <w:rsid w:val="306453B6"/>
    <w:rsid w:val="30662713"/>
    <w:rsid w:val="307355F9"/>
    <w:rsid w:val="307A0735"/>
    <w:rsid w:val="30830EBF"/>
    <w:rsid w:val="308710A4"/>
    <w:rsid w:val="30894E1C"/>
    <w:rsid w:val="308C47B2"/>
    <w:rsid w:val="3095556F"/>
    <w:rsid w:val="309A2B85"/>
    <w:rsid w:val="309B06AC"/>
    <w:rsid w:val="309C4B4F"/>
    <w:rsid w:val="309F019C"/>
    <w:rsid w:val="30A21A3A"/>
    <w:rsid w:val="30A532D8"/>
    <w:rsid w:val="30A77050"/>
    <w:rsid w:val="30AC4667"/>
    <w:rsid w:val="30B26121"/>
    <w:rsid w:val="30B359BB"/>
    <w:rsid w:val="30C23E8A"/>
    <w:rsid w:val="30C714A1"/>
    <w:rsid w:val="30CC52EF"/>
    <w:rsid w:val="30D53BBD"/>
    <w:rsid w:val="30D8545C"/>
    <w:rsid w:val="30DA7426"/>
    <w:rsid w:val="30DF67EA"/>
    <w:rsid w:val="30E06BCF"/>
    <w:rsid w:val="30E4528A"/>
    <w:rsid w:val="30E67B79"/>
    <w:rsid w:val="30E75174"/>
    <w:rsid w:val="30ED7159"/>
    <w:rsid w:val="30EE0784"/>
    <w:rsid w:val="30F2476F"/>
    <w:rsid w:val="30F32296"/>
    <w:rsid w:val="30F57DBC"/>
    <w:rsid w:val="30FA360C"/>
    <w:rsid w:val="30FE73E0"/>
    <w:rsid w:val="30FF50DE"/>
    <w:rsid w:val="3102072B"/>
    <w:rsid w:val="31041184"/>
    <w:rsid w:val="3106646D"/>
    <w:rsid w:val="310B5831"/>
    <w:rsid w:val="310D77FB"/>
    <w:rsid w:val="31197F4E"/>
    <w:rsid w:val="311D7D22"/>
    <w:rsid w:val="311E5564"/>
    <w:rsid w:val="31252CC3"/>
    <w:rsid w:val="31286F6B"/>
    <w:rsid w:val="312D39F9"/>
    <w:rsid w:val="312E32CE"/>
    <w:rsid w:val="31311FBE"/>
    <w:rsid w:val="313136FF"/>
    <w:rsid w:val="3135465C"/>
    <w:rsid w:val="3138414C"/>
    <w:rsid w:val="313C1E8F"/>
    <w:rsid w:val="3140197F"/>
    <w:rsid w:val="31401C4F"/>
    <w:rsid w:val="31432586"/>
    <w:rsid w:val="31442AF1"/>
    <w:rsid w:val="31462D0D"/>
    <w:rsid w:val="31496864"/>
    <w:rsid w:val="314A4A14"/>
    <w:rsid w:val="314B0324"/>
    <w:rsid w:val="314C6BC6"/>
    <w:rsid w:val="314D5E4A"/>
    <w:rsid w:val="315076E8"/>
    <w:rsid w:val="315216B2"/>
    <w:rsid w:val="31523460"/>
    <w:rsid w:val="31540F86"/>
    <w:rsid w:val="31556AAC"/>
    <w:rsid w:val="315C7E3B"/>
    <w:rsid w:val="315F16D9"/>
    <w:rsid w:val="31605B7D"/>
    <w:rsid w:val="3163566D"/>
    <w:rsid w:val="316513E5"/>
    <w:rsid w:val="31666F0B"/>
    <w:rsid w:val="31682C84"/>
    <w:rsid w:val="316C561B"/>
    <w:rsid w:val="316D3DF6"/>
    <w:rsid w:val="31715963"/>
    <w:rsid w:val="31717D8A"/>
    <w:rsid w:val="31735FEC"/>
    <w:rsid w:val="31772EC7"/>
    <w:rsid w:val="31796C3F"/>
    <w:rsid w:val="317F3B29"/>
    <w:rsid w:val="317F5009"/>
    <w:rsid w:val="31813D45"/>
    <w:rsid w:val="31857392"/>
    <w:rsid w:val="318850D4"/>
    <w:rsid w:val="31886E82"/>
    <w:rsid w:val="318B0883"/>
    <w:rsid w:val="3192385D"/>
    <w:rsid w:val="31940B55"/>
    <w:rsid w:val="31947FB6"/>
    <w:rsid w:val="31975317"/>
    <w:rsid w:val="319C3B4D"/>
    <w:rsid w:val="319E48F7"/>
    <w:rsid w:val="31A812D2"/>
    <w:rsid w:val="31AD0696"/>
    <w:rsid w:val="31B5579D"/>
    <w:rsid w:val="31C003CA"/>
    <w:rsid w:val="31C51E84"/>
    <w:rsid w:val="31C73F29"/>
    <w:rsid w:val="31C81974"/>
    <w:rsid w:val="31CB6D6E"/>
    <w:rsid w:val="31CD2AE7"/>
    <w:rsid w:val="31DD5420"/>
    <w:rsid w:val="31E22281"/>
    <w:rsid w:val="31E340B8"/>
    <w:rsid w:val="31E367AE"/>
    <w:rsid w:val="31E71DFA"/>
    <w:rsid w:val="31E83DC4"/>
    <w:rsid w:val="31E85B72"/>
    <w:rsid w:val="31EA18EB"/>
    <w:rsid w:val="31EA3699"/>
    <w:rsid w:val="31F6028F"/>
    <w:rsid w:val="31F639C9"/>
    <w:rsid w:val="31FC2FF6"/>
    <w:rsid w:val="320209E2"/>
    <w:rsid w:val="3203147D"/>
    <w:rsid w:val="32046D5C"/>
    <w:rsid w:val="320E382B"/>
    <w:rsid w:val="320F1351"/>
    <w:rsid w:val="32130E41"/>
    <w:rsid w:val="32132984"/>
    <w:rsid w:val="32146967"/>
    <w:rsid w:val="32186458"/>
    <w:rsid w:val="321B1AA4"/>
    <w:rsid w:val="322025CD"/>
    <w:rsid w:val="32230959"/>
    <w:rsid w:val="32270449"/>
    <w:rsid w:val="3227669B"/>
    <w:rsid w:val="322841C1"/>
    <w:rsid w:val="322A67FD"/>
    <w:rsid w:val="322A7F39"/>
    <w:rsid w:val="322C1F03"/>
    <w:rsid w:val="322C5A5F"/>
    <w:rsid w:val="322F37A1"/>
    <w:rsid w:val="323808A8"/>
    <w:rsid w:val="32384404"/>
    <w:rsid w:val="3239017C"/>
    <w:rsid w:val="323B3EF4"/>
    <w:rsid w:val="324A05DB"/>
    <w:rsid w:val="324C4353"/>
    <w:rsid w:val="325112B7"/>
    <w:rsid w:val="32584AA6"/>
    <w:rsid w:val="3260395B"/>
    <w:rsid w:val="32607DFF"/>
    <w:rsid w:val="32617FC7"/>
    <w:rsid w:val="3264169D"/>
    <w:rsid w:val="3264344B"/>
    <w:rsid w:val="32673AB6"/>
    <w:rsid w:val="32676A97"/>
    <w:rsid w:val="326C7A25"/>
    <w:rsid w:val="32717916"/>
    <w:rsid w:val="32786EF6"/>
    <w:rsid w:val="327D275F"/>
    <w:rsid w:val="327F2033"/>
    <w:rsid w:val="3284589B"/>
    <w:rsid w:val="32851613"/>
    <w:rsid w:val="328E671A"/>
    <w:rsid w:val="32904240"/>
    <w:rsid w:val="32933D30"/>
    <w:rsid w:val="329C0D99"/>
    <w:rsid w:val="329F74A2"/>
    <w:rsid w:val="32A23F73"/>
    <w:rsid w:val="32A25D21"/>
    <w:rsid w:val="32A55811"/>
    <w:rsid w:val="32A61CB5"/>
    <w:rsid w:val="32A64D62"/>
    <w:rsid w:val="32A73338"/>
    <w:rsid w:val="32A970B0"/>
    <w:rsid w:val="32AB107A"/>
    <w:rsid w:val="32B31CDC"/>
    <w:rsid w:val="32B36180"/>
    <w:rsid w:val="32BA750F"/>
    <w:rsid w:val="32BB6DE3"/>
    <w:rsid w:val="32BD0DAD"/>
    <w:rsid w:val="32C0264B"/>
    <w:rsid w:val="32CB34CA"/>
    <w:rsid w:val="32CB5278"/>
    <w:rsid w:val="32D00AE0"/>
    <w:rsid w:val="32D16607"/>
    <w:rsid w:val="32D700C1"/>
    <w:rsid w:val="32DC56D7"/>
    <w:rsid w:val="32DF0D23"/>
    <w:rsid w:val="32EC51EE"/>
    <w:rsid w:val="32F50547"/>
    <w:rsid w:val="32FA5B5D"/>
    <w:rsid w:val="32FF44D7"/>
    <w:rsid w:val="33030EB6"/>
    <w:rsid w:val="33044C2E"/>
    <w:rsid w:val="33064502"/>
    <w:rsid w:val="33093FF2"/>
    <w:rsid w:val="33095DA0"/>
    <w:rsid w:val="33114C55"/>
    <w:rsid w:val="33127A3B"/>
    <w:rsid w:val="331F55C4"/>
    <w:rsid w:val="33244988"/>
    <w:rsid w:val="33263A32"/>
    <w:rsid w:val="33296443"/>
    <w:rsid w:val="332C1A8F"/>
    <w:rsid w:val="332E1CAB"/>
    <w:rsid w:val="3330157F"/>
    <w:rsid w:val="333252F7"/>
    <w:rsid w:val="333A41AC"/>
    <w:rsid w:val="333F5C66"/>
    <w:rsid w:val="3341553A"/>
    <w:rsid w:val="334D0383"/>
    <w:rsid w:val="334D105C"/>
    <w:rsid w:val="335334BF"/>
    <w:rsid w:val="33574D5E"/>
    <w:rsid w:val="335A48CF"/>
    <w:rsid w:val="335A4AAC"/>
    <w:rsid w:val="335C05C6"/>
    <w:rsid w:val="335E2D7C"/>
    <w:rsid w:val="335E60EC"/>
    <w:rsid w:val="33631954"/>
    <w:rsid w:val="3364747B"/>
    <w:rsid w:val="336E17F0"/>
    <w:rsid w:val="336E20A7"/>
    <w:rsid w:val="33745910"/>
    <w:rsid w:val="33792F26"/>
    <w:rsid w:val="337C2A16"/>
    <w:rsid w:val="337C6572"/>
    <w:rsid w:val="33811DDB"/>
    <w:rsid w:val="33837901"/>
    <w:rsid w:val="33863895"/>
    <w:rsid w:val="33877E9F"/>
    <w:rsid w:val="338825AA"/>
    <w:rsid w:val="33884F17"/>
    <w:rsid w:val="33892135"/>
    <w:rsid w:val="338E19A8"/>
    <w:rsid w:val="338F54A9"/>
    <w:rsid w:val="3394151E"/>
    <w:rsid w:val="339A4C4A"/>
    <w:rsid w:val="339F04B3"/>
    <w:rsid w:val="339F2C4B"/>
    <w:rsid w:val="33A04965"/>
    <w:rsid w:val="33A8380B"/>
    <w:rsid w:val="33AA7583"/>
    <w:rsid w:val="33AF4B9A"/>
    <w:rsid w:val="33B0446E"/>
    <w:rsid w:val="33B52B2A"/>
    <w:rsid w:val="33B65F28"/>
    <w:rsid w:val="33B71CA0"/>
    <w:rsid w:val="33C57F19"/>
    <w:rsid w:val="33CA5530"/>
    <w:rsid w:val="33D26ADA"/>
    <w:rsid w:val="33D53ED4"/>
    <w:rsid w:val="33D606EC"/>
    <w:rsid w:val="33DE547F"/>
    <w:rsid w:val="33E01DF8"/>
    <w:rsid w:val="33E17DE8"/>
    <w:rsid w:val="33E212AF"/>
    <w:rsid w:val="33E34843"/>
    <w:rsid w:val="33ED121E"/>
    <w:rsid w:val="33F95E15"/>
    <w:rsid w:val="33FB1B8D"/>
    <w:rsid w:val="33FC0243"/>
    <w:rsid w:val="340071A3"/>
    <w:rsid w:val="34036A16"/>
    <w:rsid w:val="34093F0C"/>
    <w:rsid w:val="340B78F6"/>
    <w:rsid w:val="341D7D55"/>
    <w:rsid w:val="3421711A"/>
    <w:rsid w:val="342310E4"/>
    <w:rsid w:val="34237336"/>
    <w:rsid w:val="342804A8"/>
    <w:rsid w:val="342A06C4"/>
    <w:rsid w:val="342C61EA"/>
    <w:rsid w:val="34313801"/>
    <w:rsid w:val="34384B8F"/>
    <w:rsid w:val="34390907"/>
    <w:rsid w:val="343A12C2"/>
    <w:rsid w:val="343B642D"/>
    <w:rsid w:val="343C3F54"/>
    <w:rsid w:val="343D69A6"/>
    <w:rsid w:val="34402F9D"/>
    <w:rsid w:val="34425A0E"/>
    <w:rsid w:val="34473AE1"/>
    <w:rsid w:val="34474DD2"/>
    <w:rsid w:val="34476B80"/>
    <w:rsid w:val="344A041F"/>
    <w:rsid w:val="344C23E9"/>
    <w:rsid w:val="344D6161"/>
    <w:rsid w:val="344E5FF7"/>
    <w:rsid w:val="344F012B"/>
    <w:rsid w:val="34525525"/>
    <w:rsid w:val="345319C9"/>
    <w:rsid w:val="345725F8"/>
    <w:rsid w:val="345F6F03"/>
    <w:rsid w:val="34627E5E"/>
    <w:rsid w:val="346516FC"/>
    <w:rsid w:val="346911EC"/>
    <w:rsid w:val="34713BFD"/>
    <w:rsid w:val="34733E19"/>
    <w:rsid w:val="34781263"/>
    <w:rsid w:val="347B2CCE"/>
    <w:rsid w:val="347B4A7C"/>
    <w:rsid w:val="347C5ABE"/>
    <w:rsid w:val="348002E4"/>
    <w:rsid w:val="34802092"/>
    <w:rsid w:val="348222AE"/>
    <w:rsid w:val="34833930"/>
    <w:rsid w:val="34866527"/>
    <w:rsid w:val="348C0A37"/>
    <w:rsid w:val="348C718C"/>
    <w:rsid w:val="34906BFC"/>
    <w:rsid w:val="34936269"/>
    <w:rsid w:val="34963664"/>
    <w:rsid w:val="3497773C"/>
    <w:rsid w:val="3498562E"/>
    <w:rsid w:val="34993154"/>
    <w:rsid w:val="349D2C44"/>
    <w:rsid w:val="34A00986"/>
    <w:rsid w:val="34A71D15"/>
    <w:rsid w:val="34AB35B3"/>
    <w:rsid w:val="34AF257B"/>
    <w:rsid w:val="34B05393"/>
    <w:rsid w:val="34B41D3C"/>
    <w:rsid w:val="34B468E5"/>
    <w:rsid w:val="34B47F8E"/>
    <w:rsid w:val="34B561E0"/>
    <w:rsid w:val="34B8182C"/>
    <w:rsid w:val="34B95C8F"/>
    <w:rsid w:val="34BD5CD8"/>
    <w:rsid w:val="34C24459"/>
    <w:rsid w:val="34C44675"/>
    <w:rsid w:val="34C71A6F"/>
    <w:rsid w:val="34C927BF"/>
    <w:rsid w:val="34C93A39"/>
    <w:rsid w:val="34CA081C"/>
    <w:rsid w:val="34CC3529"/>
    <w:rsid w:val="34CE6BF1"/>
    <w:rsid w:val="34D04DC8"/>
    <w:rsid w:val="34D670AE"/>
    <w:rsid w:val="34D977EB"/>
    <w:rsid w:val="34DA1486"/>
    <w:rsid w:val="34DA1700"/>
    <w:rsid w:val="34E70363"/>
    <w:rsid w:val="34EE34A0"/>
    <w:rsid w:val="34F0546A"/>
    <w:rsid w:val="34FF56AD"/>
    <w:rsid w:val="350607E9"/>
    <w:rsid w:val="3509652C"/>
    <w:rsid w:val="35096C22"/>
    <w:rsid w:val="350C5C16"/>
    <w:rsid w:val="351729F7"/>
    <w:rsid w:val="351F5D4F"/>
    <w:rsid w:val="35243365"/>
    <w:rsid w:val="352549E8"/>
    <w:rsid w:val="352B444C"/>
    <w:rsid w:val="352B64A2"/>
    <w:rsid w:val="352F1070"/>
    <w:rsid w:val="353115DE"/>
    <w:rsid w:val="35327830"/>
    <w:rsid w:val="35335357"/>
    <w:rsid w:val="35337105"/>
    <w:rsid w:val="35352E7D"/>
    <w:rsid w:val="35397235"/>
    <w:rsid w:val="353A66E5"/>
    <w:rsid w:val="353C487E"/>
    <w:rsid w:val="353F3CFB"/>
    <w:rsid w:val="353F5AA9"/>
    <w:rsid w:val="354D3B37"/>
    <w:rsid w:val="354E2190"/>
    <w:rsid w:val="354E3F3E"/>
    <w:rsid w:val="35527ED3"/>
    <w:rsid w:val="35551771"/>
    <w:rsid w:val="35562834"/>
    <w:rsid w:val="355754E9"/>
    <w:rsid w:val="3559782E"/>
    <w:rsid w:val="355E0625"/>
    <w:rsid w:val="35606D98"/>
    <w:rsid w:val="35643762"/>
    <w:rsid w:val="35645510"/>
    <w:rsid w:val="356674DA"/>
    <w:rsid w:val="35696FCA"/>
    <w:rsid w:val="356B4AF0"/>
    <w:rsid w:val="356C2617"/>
    <w:rsid w:val="356D6ABA"/>
    <w:rsid w:val="35731BF7"/>
    <w:rsid w:val="35747E49"/>
    <w:rsid w:val="3575771D"/>
    <w:rsid w:val="35775243"/>
    <w:rsid w:val="35795DD6"/>
    <w:rsid w:val="357C4F4F"/>
    <w:rsid w:val="357E0CC8"/>
    <w:rsid w:val="357F67EE"/>
    <w:rsid w:val="358160C2"/>
    <w:rsid w:val="35832558"/>
    <w:rsid w:val="358838F4"/>
    <w:rsid w:val="3589141A"/>
    <w:rsid w:val="358A7829"/>
    <w:rsid w:val="358D4A67"/>
    <w:rsid w:val="35926963"/>
    <w:rsid w:val="35935DF5"/>
    <w:rsid w:val="35957DBF"/>
    <w:rsid w:val="35977693"/>
    <w:rsid w:val="359978AF"/>
    <w:rsid w:val="359F479A"/>
    <w:rsid w:val="35A804C7"/>
    <w:rsid w:val="35AD5109"/>
    <w:rsid w:val="35B53FBD"/>
    <w:rsid w:val="35B71AE4"/>
    <w:rsid w:val="35B77D36"/>
    <w:rsid w:val="35BC534C"/>
    <w:rsid w:val="35CC181F"/>
    <w:rsid w:val="35CD57AB"/>
    <w:rsid w:val="35CF507F"/>
    <w:rsid w:val="35D07049"/>
    <w:rsid w:val="35D54660"/>
    <w:rsid w:val="35DA1C76"/>
    <w:rsid w:val="35DC154A"/>
    <w:rsid w:val="35E46651"/>
    <w:rsid w:val="35EF5721"/>
    <w:rsid w:val="35F03248"/>
    <w:rsid w:val="35F72828"/>
    <w:rsid w:val="35F76384"/>
    <w:rsid w:val="35F81CA0"/>
    <w:rsid w:val="35FB40C6"/>
    <w:rsid w:val="35FB4B84"/>
    <w:rsid w:val="35FC1BEC"/>
    <w:rsid w:val="36061C97"/>
    <w:rsid w:val="36062A6B"/>
    <w:rsid w:val="3608233F"/>
    <w:rsid w:val="360867F6"/>
    <w:rsid w:val="361327C4"/>
    <w:rsid w:val="36146F36"/>
    <w:rsid w:val="36154A5C"/>
    <w:rsid w:val="3618333E"/>
    <w:rsid w:val="361C403D"/>
    <w:rsid w:val="36203B2D"/>
    <w:rsid w:val="362305EA"/>
    <w:rsid w:val="3623361D"/>
    <w:rsid w:val="362353CB"/>
    <w:rsid w:val="36252EF1"/>
    <w:rsid w:val="362A49AB"/>
    <w:rsid w:val="362D1DA6"/>
    <w:rsid w:val="36326ADA"/>
    <w:rsid w:val="36370E76"/>
    <w:rsid w:val="363870C8"/>
    <w:rsid w:val="36392E40"/>
    <w:rsid w:val="363C648D"/>
    <w:rsid w:val="36427319"/>
    <w:rsid w:val="364517E5"/>
    <w:rsid w:val="36462E68"/>
    <w:rsid w:val="364C4922"/>
    <w:rsid w:val="36511F38"/>
    <w:rsid w:val="36527A5E"/>
    <w:rsid w:val="365A2D70"/>
    <w:rsid w:val="365D68C8"/>
    <w:rsid w:val="365F4711"/>
    <w:rsid w:val="36617CA1"/>
    <w:rsid w:val="366531F7"/>
    <w:rsid w:val="366542C6"/>
    <w:rsid w:val="366559E4"/>
    <w:rsid w:val="366E3D63"/>
    <w:rsid w:val="36766ACC"/>
    <w:rsid w:val="367774C5"/>
    <w:rsid w:val="3679148F"/>
    <w:rsid w:val="367B0D63"/>
    <w:rsid w:val="36802D93"/>
    <w:rsid w:val="36877708"/>
    <w:rsid w:val="368816D2"/>
    <w:rsid w:val="3689036D"/>
    <w:rsid w:val="368D68F0"/>
    <w:rsid w:val="368D6CE8"/>
    <w:rsid w:val="3698224D"/>
    <w:rsid w:val="36985DB9"/>
    <w:rsid w:val="369938DF"/>
    <w:rsid w:val="369B0C13"/>
    <w:rsid w:val="369C2F9B"/>
    <w:rsid w:val="369D19AA"/>
    <w:rsid w:val="369E0EF6"/>
    <w:rsid w:val="36A111C5"/>
    <w:rsid w:val="36A238C7"/>
    <w:rsid w:val="36A4650C"/>
    <w:rsid w:val="36AE1139"/>
    <w:rsid w:val="36B129D7"/>
    <w:rsid w:val="36B44A6A"/>
    <w:rsid w:val="36BB1AA7"/>
    <w:rsid w:val="36BD137C"/>
    <w:rsid w:val="36BF3346"/>
    <w:rsid w:val="36C4095C"/>
    <w:rsid w:val="36C765EE"/>
    <w:rsid w:val="36C941C4"/>
    <w:rsid w:val="36CC7811"/>
    <w:rsid w:val="36CF085B"/>
    <w:rsid w:val="36D36DF1"/>
    <w:rsid w:val="36D564C5"/>
    <w:rsid w:val="36D6068F"/>
    <w:rsid w:val="36D641EB"/>
    <w:rsid w:val="36DD37CC"/>
    <w:rsid w:val="36E16658"/>
    <w:rsid w:val="36E5185A"/>
    <w:rsid w:val="36E65063"/>
    <w:rsid w:val="36E903C3"/>
    <w:rsid w:val="36EC1C61"/>
    <w:rsid w:val="36EE59D9"/>
    <w:rsid w:val="36EF52AD"/>
    <w:rsid w:val="36FB00F6"/>
    <w:rsid w:val="37006181"/>
    <w:rsid w:val="3701395E"/>
    <w:rsid w:val="370A5D67"/>
    <w:rsid w:val="37164F30"/>
    <w:rsid w:val="37180CA8"/>
    <w:rsid w:val="371E7D05"/>
    <w:rsid w:val="3720091D"/>
    <w:rsid w:val="372413FB"/>
    <w:rsid w:val="372C52B2"/>
    <w:rsid w:val="372E04CB"/>
    <w:rsid w:val="37305FF2"/>
    <w:rsid w:val="373158C6"/>
    <w:rsid w:val="37384EA6"/>
    <w:rsid w:val="37444489"/>
    <w:rsid w:val="37476E97"/>
    <w:rsid w:val="3749643F"/>
    <w:rsid w:val="3756532C"/>
    <w:rsid w:val="375717D0"/>
    <w:rsid w:val="375C599E"/>
    <w:rsid w:val="375F0685"/>
    <w:rsid w:val="37607F59"/>
    <w:rsid w:val="3768578B"/>
    <w:rsid w:val="376932B2"/>
    <w:rsid w:val="376D2DA2"/>
    <w:rsid w:val="376E6B1A"/>
    <w:rsid w:val="3772660A"/>
    <w:rsid w:val="37732382"/>
    <w:rsid w:val="37737C8C"/>
    <w:rsid w:val="377731A3"/>
    <w:rsid w:val="37773C20"/>
    <w:rsid w:val="37863E63"/>
    <w:rsid w:val="379169F6"/>
    <w:rsid w:val="379245B6"/>
    <w:rsid w:val="37936580"/>
    <w:rsid w:val="37941532"/>
    <w:rsid w:val="37977E1F"/>
    <w:rsid w:val="379A790F"/>
    <w:rsid w:val="379F4F25"/>
    <w:rsid w:val="37A367C3"/>
    <w:rsid w:val="37A75B88"/>
    <w:rsid w:val="37AB5678"/>
    <w:rsid w:val="37B409D1"/>
    <w:rsid w:val="37B502A5"/>
    <w:rsid w:val="37B564F7"/>
    <w:rsid w:val="37B7226F"/>
    <w:rsid w:val="37BC5AD7"/>
    <w:rsid w:val="37BD53AB"/>
    <w:rsid w:val="37BF20F0"/>
    <w:rsid w:val="37C30C14"/>
    <w:rsid w:val="37CE2D3B"/>
    <w:rsid w:val="37D20E57"/>
    <w:rsid w:val="37D44BCF"/>
    <w:rsid w:val="37DA5F5D"/>
    <w:rsid w:val="37DC1CD5"/>
    <w:rsid w:val="37E17FC7"/>
    <w:rsid w:val="37E62B54"/>
    <w:rsid w:val="37E82428"/>
    <w:rsid w:val="37F30DCD"/>
    <w:rsid w:val="37F4701F"/>
    <w:rsid w:val="37F60FE9"/>
    <w:rsid w:val="37FE1C4C"/>
    <w:rsid w:val="380A05F1"/>
    <w:rsid w:val="380A4A95"/>
    <w:rsid w:val="380D1E8F"/>
    <w:rsid w:val="381C6576"/>
    <w:rsid w:val="38211DDE"/>
    <w:rsid w:val="3821593A"/>
    <w:rsid w:val="382C5908"/>
    <w:rsid w:val="382F44FB"/>
    <w:rsid w:val="383733B0"/>
    <w:rsid w:val="383F28D9"/>
    <w:rsid w:val="38415FDC"/>
    <w:rsid w:val="38431D54"/>
    <w:rsid w:val="38433B03"/>
    <w:rsid w:val="38451629"/>
    <w:rsid w:val="38480286"/>
    <w:rsid w:val="384D2BD3"/>
    <w:rsid w:val="384D4981"/>
    <w:rsid w:val="384F06F9"/>
    <w:rsid w:val="38517A5C"/>
    <w:rsid w:val="385201EA"/>
    <w:rsid w:val="385664E5"/>
    <w:rsid w:val="385A50D1"/>
    <w:rsid w:val="38631787"/>
    <w:rsid w:val="386B4E07"/>
    <w:rsid w:val="386C3059"/>
    <w:rsid w:val="386D6DD1"/>
    <w:rsid w:val="38710880"/>
    <w:rsid w:val="38797524"/>
    <w:rsid w:val="387C0DC3"/>
    <w:rsid w:val="387D59D7"/>
    <w:rsid w:val="387E0FDF"/>
    <w:rsid w:val="38871C41"/>
    <w:rsid w:val="388760E5"/>
    <w:rsid w:val="38936487"/>
    <w:rsid w:val="38937F69"/>
    <w:rsid w:val="3894435E"/>
    <w:rsid w:val="38997BC6"/>
    <w:rsid w:val="389B393F"/>
    <w:rsid w:val="389D76B7"/>
    <w:rsid w:val="389D7C27"/>
    <w:rsid w:val="38A65E3F"/>
    <w:rsid w:val="38A74091"/>
    <w:rsid w:val="38A83272"/>
    <w:rsid w:val="38A85352"/>
    <w:rsid w:val="38B4055C"/>
    <w:rsid w:val="38C764E2"/>
    <w:rsid w:val="38CC3AF8"/>
    <w:rsid w:val="38D34E86"/>
    <w:rsid w:val="38DB1F8D"/>
    <w:rsid w:val="38DD7AB3"/>
    <w:rsid w:val="38DE1A7D"/>
    <w:rsid w:val="38E3083D"/>
    <w:rsid w:val="38E71D8F"/>
    <w:rsid w:val="38E86591"/>
    <w:rsid w:val="38EA21D0"/>
    <w:rsid w:val="38EC419A"/>
    <w:rsid w:val="38EF5A38"/>
    <w:rsid w:val="38F31085"/>
    <w:rsid w:val="38F65019"/>
    <w:rsid w:val="38F80D91"/>
    <w:rsid w:val="38FD63A7"/>
    <w:rsid w:val="390414E4"/>
    <w:rsid w:val="3905525C"/>
    <w:rsid w:val="3910456E"/>
    <w:rsid w:val="39194863"/>
    <w:rsid w:val="391B79B6"/>
    <w:rsid w:val="391D4354"/>
    <w:rsid w:val="391E1E7A"/>
    <w:rsid w:val="391E32EE"/>
    <w:rsid w:val="39202096"/>
    <w:rsid w:val="39273424"/>
    <w:rsid w:val="39311DB3"/>
    <w:rsid w:val="39323777"/>
    <w:rsid w:val="3934169D"/>
    <w:rsid w:val="393671C3"/>
    <w:rsid w:val="39377B7E"/>
    <w:rsid w:val="393B2A2C"/>
    <w:rsid w:val="393C6ED0"/>
    <w:rsid w:val="394713D0"/>
    <w:rsid w:val="394A0EC1"/>
    <w:rsid w:val="394A7779"/>
    <w:rsid w:val="394D1498"/>
    <w:rsid w:val="394F0285"/>
    <w:rsid w:val="39504729"/>
    <w:rsid w:val="39551D3F"/>
    <w:rsid w:val="395525D9"/>
    <w:rsid w:val="39565AB7"/>
    <w:rsid w:val="39684C1F"/>
    <w:rsid w:val="39897C3B"/>
    <w:rsid w:val="398B39B3"/>
    <w:rsid w:val="39900FC9"/>
    <w:rsid w:val="3995038E"/>
    <w:rsid w:val="399616A4"/>
    <w:rsid w:val="39972358"/>
    <w:rsid w:val="399A1E48"/>
    <w:rsid w:val="399C171C"/>
    <w:rsid w:val="399C796E"/>
    <w:rsid w:val="399E7289"/>
    <w:rsid w:val="39A46823"/>
    <w:rsid w:val="39A71E6F"/>
    <w:rsid w:val="39A8163A"/>
    <w:rsid w:val="39A9208B"/>
    <w:rsid w:val="39AE4494"/>
    <w:rsid w:val="39BA6046"/>
    <w:rsid w:val="39BC591B"/>
    <w:rsid w:val="39BD1693"/>
    <w:rsid w:val="39BF365D"/>
    <w:rsid w:val="39C42A21"/>
    <w:rsid w:val="39C62C3D"/>
    <w:rsid w:val="39CD7B28"/>
    <w:rsid w:val="39CE38A0"/>
    <w:rsid w:val="39D30EB6"/>
    <w:rsid w:val="39D37108"/>
    <w:rsid w:val="39D91E06"/>
    <w:rsid w:val="39D9748F"/>
    <w:rsid w:val="39DA0497"/>
    <w:rsid w:val="39DF785B"/>
    <w:rsid w:val="39EB26A4"/>
    <w:rsid w:val="39F1448D"/>
    <w:rsid w:val="39F94DC1"/>
    <w:rsid w:val="39FE23D7"/>
    <w:rsid w:val="39FE5653"/>
    <w:rsid w:val="3A0177D1"/>
    <w:rsid w:val="3A0727C4"/>
    <w:rsid w:val="3A0777E8"/>
    <w:rsid w:val="3A0D43C8"/>
    <w:rsid w:val="3A0F1231"/>
    <w:rsid w:val="3A197CE2"/>
    <w:rsid w:val="3A1E073A"/>
    <w:rsid w:val="3A26548A"/>
    <w:rsid w:val="3A2A4F7A"/>
    <w:rsid w:val="3A2B0CF2"/>
    <w:rsid w:val="3A2C570F"/>
    <w:rsid w:val="3A30294F"/>
    <w:rsid w:val="3A316EDF"/>
    <w:rsid w:val="3A355331"/>
    <w:rsid w:val="3A361B71"/>
    <w:rsid w:val="3A43603C"/>
    <w:rsid w:val="3A443B62"/>
    <w:rsid w:val="3A444AE5"/>
    <w:rsid w:val="3A4D6EBA"/>
    <w:rsid w:val="3A4F2C33"/>
    <w:rsid w:val="3A500759"/>
    <w:rsid w:val="3A5244D1"/>
    <w:rsid w:val="3A540249"/>
    <w:rsid w:val="3A573895"/>
    <w:rsid w:val="3A5A20D5"/>
    <w:rsid w:val="3A5D1B1C"/>
    <w:rsid w:val="3A5E69D2"/>
    <w:rsid w:val="3A644A9D"/>
    <w:rsid w:val="3A6D130B"/>
    <w:rsid w:val="3A6D30B9"/>
    <w:rsid w:val="3A6F6951"/>
    <w:rsid w:val="3A7206CF"/>
    <w:rsid w:val="3A7654C8"/>
    <w:rsid w:val="3A777A93"/>
    <w:rsid w:val="3A79380C"/>
    <w:rsid w:val="3A7A7135"/>
    <w:rsid w:val="3A811F62"/>
    <w:rsid w:val="3A830B2E"/>
    <w:rsid w:val="3A83468A"/>
    <w:rsid w:val="3A86417A"/>
    <w:rsid w:val="3A8A77C7"/>
    <w:rsid w:val="3A914FF9"/>
    <w:rsid w:val="3A946897"/>
    <w:rsid w:val="3A96260F"/>
    <w:rsid w:val="3A971EE4"/>
    <w:rsid w:val="3A99005D"/>
    <w:rsid w:val="3AA0523C"/>
    <w:rsid w:val="3AA70E28"/>
    <w:rsid w:val="3AA761D2"/>
    <w:rsid w:val="3AA82343"/>
    <w:rsid w:val="3AAD7959"/>
    <w:rsid w:val="3AB605BC"/>
    <w:rsid w:val="3ABC4BB8"/>
    <w:rsid w:val="3AC058DE"/>
    <w:rsid w:val="3AC16F61"/>
    <w:rsid w:val="3AC23405"/>
    <w:rsid w:val="3AC27952"/>
    <w:rsid w:val="3ACC4283"/>
    <w:rsid w:val="3ACC6031"/>
    <w:rsid w:val="3ACF167E"/>
    <w:rsid w:val="3ACF78CF"/>
    <w:rsid w:val="3AD82C28"/>
    <w:rsid w:val="3AD969A0"/>
    <w:rsid w:val="3ADD1FEC"/>
    <w:rsid w:val="3AEA295B"/>
    <w:rsid w:val="3AEA5394"/>
    <w:rsid w:val="3AEC628B"/>
    <w:rsid w:val="3AF45588"/>
    <w:rsid w:val="3AF61300"/>
    <w:rsid w:val="3AF9494C"/>
    <w:rsid w:val="3B003F2D"/>
    <w:rsid w:val="3B027CA5"/>
    <w:rsid w:val="3B077069"/>
    <w:rsid w:val="3B0E2389"/>
    <w:rsid w:val="3B183024"/>
    <w:rsid w:val="3B1B0D67"/>
    <w:rsid w:val="3B1B2B15"/>
    <w:rsid w:val="3B1E60AA"/>
    <w:rsid w:val="3B2415F7"/>
    <w:rsid w:val="3B2D45F6"/>
    <w:rsid w:val="3B312338"/>
    <w:rsid w:val="3B3402C5"/>
    <w:rsid w:val="3B343BD6"/>
    <w:rsid w:val="3B3A743F"/>
    <w:rsid w:val="3B3D6F2F"/>
    <w:rsid w:val="3B4A51A8"/>
    <w:rsid w:val="3B4C0F20"/>
    <w:rsid w:val="3B4F0A10"/>
    <w:rsid w:val="3B547DD5"/>
    <w:rsid w:val="3B550268"/>
    <w:rsid w:val="3B585B17"/>
    <w:rsid w:val="3B5B5607"/>
    <w:rsid w:val="3B5D312D"/>
    <w:rsid w:val="3B602525"/>
    <w:rsid w:val="3B6224F2"/>
    <w:rsid w:val="3B64270E"/>
    <w:rsid w:val="3B6A75F8"/>
    <w:rsid w:val="3B6E1C9E"/>
    <w:rsid w:val="3B6E70E8"/>
    <w:rsid w:val="3B6F1416"/>
    <w:rsid w:val="3B7F12F6"/>
    <w:rsid w:val="3B8561E0"/>
    <w:rsid w:val="3B8701AA"/>
    <w:rsid w:val="3B8A37F6"/>
    <w:rsid w:val="3B8D0D14"/>
    <w:rsid w:val="3B9308FD"/>
    <w:rsid w:val="3B954675"/>
    <w:rsid w:val="3B9652C2"/>
    <w:rsid w:val="3B9D404A"/>
    <w:rsid w:val="3B9D5C20"/>
    <w:rsid w:val="3B9F35BE"/>
    <w:rsid w:val="3B9F4796"/>
    <w:rsid w:val="3BA448B8"/>
    <w:rsid w:val="3BA96372"/>
    <w:rsid w:val="3BAD71B4"/>
    <w:rsid w:val="3BB015E4"/>
    <w:rsid w:val="3BB36270"/>
    <w:rsid w:val="3BB52F69"/>
    <w:rsid w:val="3BBF7944"/>
    <w:rsid w:val="3BC41BC9"/>
    <w:rsid w:val="3BC44F5A"/>
    <w:rsid w:val="3BCB0097"/>
    <w:rsid w:val="3BD17677"/>
    <w:rsid w:val="3BD74C8E"/>
    <w:rsid w:val="3BDC6748"/>
    <w:rsid w:val="3BDF1D94"/>
    <w:rsid w:val="3BE31808"/>
    <w:rsid w:val="3BE41159"/>
    <w:rsid w:val="3BE455FD"/>
    <w:rsid w:val="3BE70C49"/>
    <w:rsid w:val="3BE9676F"/>
    <w:rsid w:val="3BF32267"/>
    <w:rsid w:val="3BF84C04"/>
    <w:rsid w:val="3BF91EBB"/>
    <w:rsid w:val="3BFD221A"/>
    <w:rsid w:val="3C027831"/>
    <w:rsid w:val="3C0435A9"/>
    <w:rsid w:val="3C047A4D"/>
    <w:rsid w:val="3C0E030A"/>
    <w:rsid w:val="3C153A08"/>
    <w:rsid w:val="3C1C4D96"/>
    <w:rsid w:val="3C2003BA"/>
    <w:rsid w:val="3C236125"/>
    <w:rsid w:val="3C265C15"/>
    <w:rsid w:val="3C277297"/>
    <w:rsid w:val="3C2854E9"/>
    <w:rsid w:val="3C2A63A2"/>
    <w:rsid w:val="3C2B4FD9"/>
    <w:rsid w:val="3C2E0626"/>
    <w:rsid w:val="3C3025F0"/>
    <w:rsid w:val="3C357C06"/>
    <w:rsid w:val="3C36192E"/>
    <w:rsid w:val="3C371BD0"/>
    <w:rsid w:val="3C395948"/>
    <w:rsid w:val="3C3C0F95"/>
    <w:rsid w:val="3C4816E7"/>
    <w:rsid w:val="3C4D13F4"/>
    <w:rsid w:val="3C577B7C"/>
    <w:rsid w:val="3C581420"/>
    <w:rsid w:val="3C591B47"/>
    <w:rsid w:val="3C5A3D40"/>
    <w:rsid w:val="3C6109FB"/>
    <w:rsid w:val="3C6127A9"/>
    <w:rsid w:val="3C6D73A0"/>
    <w:rsid w:val="3C6E278C"/>
    <w:rsid w:val="3C700C3E"/>
    <w:rsid w:val="3C7249B6"/>
    <w:rsid w:val="3C7544A7"/>
    <w:rsid w:val="3C7B7D0F"/>
    <w:rsid w:val="3C7F70D3"/>
    <w:rsid w:val="3C805D9B"/>
    <w:rsid w:val="3C860462"/>
    <w:rsid w:val="3C865FBC"/>
    <w:rsid w:val="3C89198F"/>
    <w:rsid w:val="3C8A1D00"/>
    <w:rsid w:val="3C8B3CCA"/>
    <w:rsid w:val="3C9012E0"/>
    <w:rsid w:val="3C99353E"/>
    <w:rsid w:val="3C9E57AB"/>
    <w:rsid w:val="3CA31014"/>
    <w:rsid w:val="3CA8662A"/>
    <w:rsid w:val="3CAD3C40"/>
    <w:rsid w:val="3CB74ABF"/>
    <w:rsid w:val="3CB90837"/>
    <w:rsid w:val="3CBC20D5"/>
    <w:rsid w:val="3CC2593E"/>
    <w:rsid w:val="3CC33464"/>
    <w:rsid w:val="3CCA65A0"/>
    <w:rsid w:val="3CCB40C7"/>
    <w:rsid w:val="3CCD7E3F"/>
    <w:rsid w:val="3CD4741F"/>
    <w:rsid w:val="3CD47902"/>
    <w:rsid w:val="3CD50D0D"/>
    <w:rsid w:val="3CD92C87"/>
    <w:rsid w:val="3CDE204C"/>
    <w:rsid w:val="3CE21B3C"/>
    <w:rsid w:val="3CE55188"/>
    <w:rsid w:val="3CE60F00"/>
    <w:rsid w:val="3CE8111C"/>
    <w:rsid w:val="3CEF6007"/>
    <w:rsid w:val="3CF07F3A"/>
    <w:rsid w:val="3CF63839"/>
    <w:rsid w:val="3CF7310E"/>
    <w:rsid w:val="3CFB49AC"/>
    <w:rsid w:val="3CFC67E0"/>
    <w:rsid w:val="3CFE26EE"/>
    <w:rsid w:val="3D0C0967"/>
    <w:rsid w:val="3D0C4E0B"/>
    <w:rsid w:val="3D0C6BB9"/>
    <w:rsid w:val="3D0D46DF"/>
    <w:rsid w:val="3D136199"/>
    <w:rsid w:val="3D167A38"/>
    <w:rsid w:val="3D20672F"/>
    <w:rsid w:val="3D235CB1"/>
    <w:rsid w:val="3D2C1009"/>
    <w:rsid w:val="3D2F4FDA"/>
    <w:rsid w:val="3D31661F"/>
    <w:rsid w:val="3D332398"/>
    <w:rsid w:val="3D3659E4"/>
    <w:rsid w:val="3D3B56F0"/>
    <w:rsid w:val="3D3C4E22"/>
    <w:rsid w:val="3D3D6D72"/>
    <w:rsid w:val="3D3D729B"/>
    <w:rsid w:val="3D4004EF"/>
    <w:rsid w:val="3D453E79"/>
    <w:rsid w:val="3D4C54F7"/>
    <w:rsid w:val="3D5A3DC8"/>
    <w:rsid w:val="3D6454D2"/>
    <w:rsid w:val="3D670293"/>
    <w:rsid w:val="3D6A38DF"/>
    <w:rsid w:val="3D6B5B47"/>
    <w:rsid w:val="3D6C3AFB"/>
    <w:rsid w:val="3D6F0EF6"/>
    <w:rsid w:val="3D7529B0"/>
    <w:rsid w:val="3D8650AD"/>
    <w:rsid w:val="3D89020A"/>
    <w:rsid w:val="3D8A5D30"/>
    <w:rsid w:val="3D8C5F4C"/>
    <w:rsid w:val="3D8C6C03"/>
    <w:rsid w:val="3D8D74B5"/>
    <w:rsid w:val="3D8E5820"/>
    <w:rsid w:val="3D913562"/>
    <w:rsid w:val="3D967E84"/>
    <w:rsid w:val="3D98044D"/>
    <w:rsid w:val="3D9A2417"/>
    <w:rsid w:val="3D9C3168"/>
    <w:rsid w:val="3DA05553"/>
    <w:rsid w:val="3DA23079"/>
    <w:rsid w:val="3DA6700D"/>
    <w:rsid w:val="3DB35286"/>
    <w:rsid w:val="3DB50FFF"/>
    <w:rsid w:val="3DB57251"/>
    <w:rsid w:val="3DB64D77"/>
    <w:rsid w:val="3DBA03C3"/>
    <w:rsid w:val="3DBA6615"/>
    <w:rsid w:val="3DBD4357"/>
    <w:rsid w:val="3DBF00CF"/>
    <w:rsid w:val="3DBF36EA"/>
    <w:rsid w:val="3DBF59D9"/>
    <w:rsid w:val="3DC56D68"/>
    <w:rsid w:val="3DC72AE0"/>
    <w:rsid w:val="3DC76F84"/>
    <w:rsid w:val="3DC92CFC"/>
    <w:rsid w:val="3DCB25D0"/>
    <w:rsid w:val="3DD05E38"/>
    <w:rsid w:val="3DD516A1"/>
    <w:rsid w:val="3DD5344F"/>
    <w:rsid w:val="3DDD0555"/>
    <w:rsid w:val="3DDD0DA2"/>
    <w:rsid w:val="3DE03BA2"/>
    <w:rsid w:val="3DE25B6C"/>
    <w:rsid w:val="3DE2791A"/>
    <w:rsid w:val="3DE851D1"/>
    <w:rsid w:val="3DED1901"/>
    <w:rsid w:val="3DF158E1"/>
    <w:rsid w:val="3DFB09DB"/>
    <w:rsid w:val="3DFC6C2D"/>
    <w:rsid w:val="3DFD29A6"/>
    <w:rsid w:val="3E043D34"/>
    <w:rsid w:val="3E0755D2"/>
    <w:rsid w:val="3E10092B"/>
    <w:rsid w:val="3E1026D9"/>
    <w:rsid w:val="3E12459C"/>
    <w:rsid w:val="3E135D25"/>
    <w:rsid w:val="3E14138F"/>
    <w:rsid w:val="3E1C2E2C"/>
    <w:rsid w:val="3E2274D6"/>
    <w:rsid w:val="3E241CE0"/>
    <w:rsid w:val="3E2512FF"/>
    <w:rsid w:val="3E285C74"/>
    <w:rsid w:val="3E287A22"/>
    <w:rsid w:val="3E2C6DE7"/>
    <w:rsid w:val="3E2E0DB1"/>
    <w:rsid w:val="3E2E7003"/>
    <w:rsid w:val="3E3444BC"/>
    <w:rsid w:val="3E350391"/>
    <w:rsid w:val="3E377C66"/>
    <w:rsid w:val="3E3A7756"/>
    <w:rsid w:val="3E426C21"/>
    <w:rsid w:val="3E4C4F04"/>
    <w:rsid w:val="3E573E64"/>
    <w:rsid w:val="3E594080"/>
    <w:rsid w:val="3E614CE2"/>
    <w:rsid w:val="3E626A14"/>
    <w:rsid w:val="3E686071"/>
    <w:rsid w:val="3E6908B6"/>
    <w:rsid w:val="3E6B5A1B"/>
    <w:rsid w:val="3E741759"/>
    <w:rsid w:val="3E742C68"/>
    <w:rsid w:val="3E7A2248"/>
    <w:rsid w:val="3E7A5DA4"/>
    <w:rsid w:val="3E7C38CA"/>
    <w:rsid w:val="3E7E5894"/>
    <w:rsid w:val="3E82613A"/>
    <w:rsid w:val="3E832EAB"/>
    <w:rsid w:val="3E847D79"/>
    <w:rsid w:val="3E854E75"/>
    <w:rsid w:val="3E857011"/>
    <w:rsid w:val="3E872276"/>
    <w:rsid w:val="3E885EFB"/>
    <w:rsid w:val="3E8A16CD"/>
    <w:rsid w:val="3E8D1F7B"/>
    <w:rsid w:val="3E8F7AA2"/>
    <w:rsid w:val="3E94330A"/>
    <w:rsid w:val="3E9E7CE5"/>
    <w:rsid w:val="3EA572C5"/>
    <w:rsid w:val="3EA66B99"/>
    <w:rsid w:val="3EA87578"/>
    <w:rsid w:val="3EAB41B0"/>
    <w:rsid w:val="3EAF04B1"/>
    <w:rsid w:val="3EB02CBF"/>
    <w:rsid w:val="3EB23790"/>
    <w:rsid w:val="3EB77FC0"/>
    <w:rsid w:val="3EB94B1E"/>
    <w:rsid w:val="3EC05EAD"/>
    <w:rsid w:val="3ECD2378"/>
    <w:rsid w:val="3ED01E68"/>
    <w:rsid w:val="3ED27799"/>
    <w:rsid w:val="3ED90D1D"/>
    <w:rsid w:val="3EDC25BB"/>
    <w:rsid w:val="3EDE4585"/>
    <w:rsid w:val="3EDE6333"/>
    <w:rsid w:val="3EEC4EF4"/>
    <w:rsid w:val="3EF20030"/>
    <w:rsid w:val="3EF32CDE"/>
    <w:rsid w:val="3EF47905"/>
    <w:rsid w:val="3F051B12"/>
    <w:rsid w:val="3F067638"/>
    <w:rsid w:val="3F073ADC"/>
    <w:rsid w:val="3F087854"/>
    <w:rsid w:val="3F0D09C6"/>
    <w:rsid w:val="3F0E36DA"/>
    <w:rsid w:val="3F14769B"/>
    <w:rsid w:val="3F253F62"/>
    <w:rsid w:val="3F2A77CA"/>
    <w:rsid w:val="3F312907"/>
    <w:rsid w:val="3F397A0D"/>
    <w:rsid w:val="3F3E6DD2"/>
    <w:rsid w:val="3F4563B2"/>
    <w:rsid w:val="3F485EA2"/>
    <w:rsid w:val="3F4A407F"/>
    <w:rsid w:val="3F516B05"/>
    <w:rsid w:val="3F52287D"/>
    <w:rsid w:val="3F536D21"/>
    <w:rsid w:val="3F584337"/>
    <w:rsid w:val="3F604F9A"/>
    <w:rsid w:val="3F634A8A"/>
    <w:rsid w:val="3F6902F3"/>
    <w:rsid w:val="3F696545"/>
    <w:rsid w:val="3F6E5A9A"/>
    <w:rsid w:val="3F6F78D3"/>
    <w:rsid w:val="3F741529"/>
    <w:rsid w:val="3F76234B"/>
    <w:rsid w:val="3F7D3D9E"/>
    <w:rsid w:val="3F84512C"/>
    <w:rsid w:val="3F874C1D"/>
    <w:rsid w:val="3F8847ED"/>
    <w:rsid w:val="3F8A2017"/>
    <w:rsid w:val="3F8E1B07"/>
    <w:rsid w:val="3F9410E8"/>
    <w:rsid w:val="3F982986"/>
    <w:rsid w:val="3F990DEB"/>
    <w:rsid w:val="3F9C0604"/>
    <w:rsid w:val="3F9D7F9C"/>
    <w:rsid w:val="3FA24C2C"/>
    <w:rsid w:val="3FA56E51"/>
    <w:rsid w:val="3FA83641"/>
    <w:rsid w:val="3FAA090B"/>
    <w:rsid w:val="3FB928FC"/>
    <w:rsid w:val="3FBD063E"/>
    <w:rsid w:val="3FBF43B6"/>
    <w:rsid w:val="3FBF66CC"/>
    <w:rsid w:val="3FC10E8F"/>
    <w:rsid w:val="3FC4377B"/>
    <w:rsid w:val="3FC574F3"/>
    <w:rsid w:val="3FD074F4"/>
    <w:rsid w:val="3FD37E62"/>
    <w:rsid w:val="3FD6525C"/>
    <w:rsid w:val="3FD87226"/>
    <w:rsid w:val="3FD9520D"/>
    <w:rsid w:val="3FE200A5"/>
    <w:rsid w:val="3FE45BCB"/>
    <w:rsid w:val="3FE62B9B"/>
    <w:rsid w:val="3FEF631E"/>
    <w:rsid w:val="3FF676AC"/>
    <w:rsid w:val="3FF73B50"/>
    <w:rsid w:val="3FFD6C8D"/>
    <w:rsid w:val="3FFF0C57"/>
    <w:rsid w:val="4002230D"/>
    <w:rsid w:val="40061FE5"/>
    <w:rsid w:val="400973E0"/>
    <w:rsid w:val="4012098A"/>
    <w:rsid w:val="4013025E"/>
    <w:rsid w:val="4013200C"/>
    <w:rsid w:val="40135FB2"/>
    <w:rsid w:val="401C5365"/>
    <w:rsid w:val="402266F3"/>
    <w:rsid w:val="4024246B"/>
    <w:rsid w:val="402661E4"/>
    <w:rsid w:val="402B1A4C"/>
    <w:rsid w:val="40312D32"/>
    <w:rsid w:val="40324B88"/>
    <w:rsid w:val="4037219F"/>
    <w:rsid w:val="403A1C8F"/>
    <w:rsid w:val="403A3BDC"/>
    <w:rsid w:val="403A5403"/>
    <w:rsid w:val="403B1563"/>
    <w:rsid w:val="403C7AB3"/>
    <w:rsid w:val="403F72A5"/>
    <w:rsid w:val="404D0501"/>
    <w:rsid w:val="405014B2"/>
    <w:rsid w:val="40503261"/>
    <w:rsid w:val="40555132"/>
    <w:rsid w:val="40582115"/>
    <w:rsid w:val="4061546E"/>
    <w:rsid w:val="40736F4F"/>
    <w:rsid w:val="40774C91"/>
    <w:rsid w:val="40782FB8"/>
    <w:rsid w:val="407B7E75"/>
    <w:rsid w:val="407D392A"/>
    <w:rsid w:val="4081166C"/>
    <w:rsid w:val="40880AC0"/>
    <w:rsid w:val="40896772"/>
    <w:rsid w:val="408D1DBF"/>
    <w:rsid w:val="40907B01"/>
    <w:rsid w:val="409475F1"/>
    <w:rsid w:val="409D5D7A"/>
    <w:rsid w:val="40A17BF5"/>
    <w:rsid w:val="40A23390"/>
    <w:rsid w:val="40AB0497"/>
    <w:rsid w:val="40AB3BE8"/>
    <w:rsid w:val="40AB66E9"/>
    <w:rsid w:val="40AD2461"/>
    <w:rsid w:val="40B05AAD"/>
    <w:rsid w:val="40B563F6"/>
    <w:rsid w:val="40B63C12"/>
    <w:rsid w:val="40B90E06"/>
    <w:rsid w:val="40BC4452"/>
    <w:rsid w:val="40BE466E"/>
    <w:rsid w:val="40C31C84"/>
    <w:rsid w:val="40C33A32"/>
    <w:rsid w:val="40C8729B"/>
    <w:rsid w:val="40D20119"/>
    <w:rsid w:val="40D53766"/>
    <w:rsid w:val="40D75730"/>
    <w:rsid w:val="40D914A8"/>
    <w:rsid w:val="40D93256"/>
    <w:rsid w:val="40DA6FCE"/>
    <w:rsid w:val="40DD4172"/>
    <w:rsid w:val="40E165AE"/>
    <w:rsid w:val="40E20CEC"/>
    <w:rsid w:val="40E340D5"/>
    <w:rsid w:val="40E57E4D"/>
    <w:rsid w:val="40E90FBF"/>
    <w:rsid w:val="40ED4F53"/>
    <w:rsid w:val="40ED6D01"/>
    <w:rsid w:val="40EF2A79"/>
    <w:rsid w:val="40F41E3E"/>
    <w:rsid w:val="40F462E2"/>
    <w:rsid w:val="40F7192E"/>
    <w:rsid w:val="40FA2607"/>
    <w:rsid w:val="41067DC3"/>
    <w:rsid w:val="410815A5"/>
    <w:rsid w:val="410A1661"/>
    <w:rsid w:val="410D2F00"/>
    <w:rsid w:val="410D4CAE"/>
    <w:rsid w:val="410F6C78"/>
    <w:rsid w:val="41150F08"/>
    <w:rsid w:val="41171FD0"/>
    <w:rsid w:val="412D35A2"/>
    <w:rsid w:val="41320BB8"/>
    <w:rsid w:val="4135788C"/>
    <w:rsid w:val="413B5CBF"/>
    <w:rsid w:val="41401527"/>
    <w:rsid w:val="41406E31"/>
    <w:rsid w:val="414C1C7A"/>
    <w:rsid w:val="414C2F42"/>
    <w:rsid w:val="41530FC2"/>
    <w:rsid w:val="415732DC"/>
    <w:rsid w:val="415E7BFF"/>
    <w:rsid w:val="41635215"/>
    <w:rsid w:val="416829D0"/>
    <w:rsid w:val="416E7E42"/>
    <w:rsid w:val="417116E0"/>
    <w:rsid w:val="41735459"/>
    <w:rsid w:val="41764F49"/>
    <w:rsid w:val="41847666"/>
    <w:rsid w:val="418D234F"/>
    <w:rsid w:val="41913B31"/>
    <w:rsid w:val="41943621"/>
    <w:rsid w:val="41962EF5"/>
    <w:rsid w:val="41A27F5D"/>
    <w:rsid w:val="41A5138A"/>
    <w:rsid w:val="41A73354"/>
    <w:rsid w:val="41A90E7A"/>
    <w:rsid w:val="41A96BF4"/>
    <w:rsid w:val="41B4128C"/>
    <w:rsid w:val="41B4781F"/>
    <w:rsid w:val="41B96BE3"/>
    <w:rsid w:val="41B97956"/>
    <w:rsid w:val="41BD0482"/>
    <w:rsid w:val="41BF069E"/>
    <w:rsid w:val="41BF46F3"/>
    <w:rsid w:val="41C23CEA"/>
    <w:rsid w:val="41C30EF6"/>
    <w:rsid w:val="41C45CB4"/>
    <w:rsid w:val="41CA2B9F"/>
    <w:rsid w:val="41CF725E"/>
    <w:rsid w:val="41D8350E"/>
    <w:rsid w:val="41DB2FFE"/>
    <w:rsid w:val="41DD0B24"/>
    <w:rsid w:val="41DF77CB"/>
    <w:rsid w:val="41E46220"/>
    <w:rsid w:val="41E579D9"/>
    <w:rsid w:val="41E77BF5"/>
    <w:rsid w:val="41EA1493"/>
    <w:rsid w:val="41EC6FB9"/>
    <w:rsid w:val="41F071BC"/>
    <w:rsid w:val="41F556A9"/>
    <w:rsid w:val="42001671"/>
    <w:rsid w:val="42091919"/>
    <w:rsid w:val="420C1409"/>
    <w:rsid w:val="421C10A0"/>
    <w:rsid w:val="4226071D"/>
    <w:rsid w:val="422624CB"/>
    <w:rsid w:val="42273650"/>
    <w:rsid w:val="422B5D33"/>
    <w:rsid w:val="422E137F"/>
    <w:rsid w:val="422E75D1"/>
    <w:rsid w:val="42310E70"/>
    <w:rsid w:val="42332E3A"/>
    <w:rsid w:val="42347335"/>
    <w:rsid w:val="423B584A"/>
    <w:rsid w:val="423C1CEE"/>
    <w:rsid w:val="423C3869"/>
    <w:rsid w:val="423F358D"/>
    <w:rsid w:val="42421E10"/>
    <w:rsid w:val="42450B5A"/>
    <w:rsid w:val="42486C3B"/>
    <w:rsid w:val="42487FD8"/>
    <w:rsid w:val="425558A4"/>
    <w:rsid w:val="4257480B"/>
    <w:rsid w:val="425B7C9B"/>
    <w:rsid w:val="425C5EED"/>
    <w:rsid w:val="425E3A0A"/>
    <w:rsid w:val="425F3C2F"/>
    <w:rsid w:val="4269060A"/>
    <w:rsid w:val="426923B8"/>
    <w:rsid w:val="426B4382"/>
    <w:rsid w:val="42701998"/>
    <w:rsid w:val="42703746"/>
    <w:rsid w:val="42737554"/>
    <w:rsid w:val="42784CF1"/>
    <w:rsid w:val="427A45C5"/>
    <w:rsid w:val="427C5AD6"/>
    <w:rsid w:val="42813BA5"/>
    <w:rsid w:val="428216CB"/>
    <w:rsid w:val="428269A0"/>
    <w:rsid w:val="42894808"/>
    <w:rsid w:val="428B67D2"/>
    <w:rsid w:val="428E4978"/>
    <w:rsid w:val="4290203A"/>
    <w:rsid w:val="4292190E"/>
    <w:rsid w:val="429338D8"/>
    <w:rsid w:val="42976F25"/>
    <w:rsid w:val="42997141"/>
    <w:rsid w:val="429D4FC3"/>
    <w:rsid w:val="429E4757"/>
    <w:rsid w:val="42A33B1C"/>
    <w:rsid w:val="42A67168"/>
    <w:rsid w:val="42AC4C0A"/>
    <w:rsid w:val="42AD52B2"/>
    <w:rsid w:val="42B37AD7"/>
    <w:rsid w:val="42C10446"/>
    <w:rsid w:val="42C35F6C"/>
    <w:rsid w:val="42C45840"/>
    <w:rsid w:val="42C64FAE"/>
    <w:rsid w:val="42C65A5C"/>
    <w:rsid w:val="42C83582"/>
    <w:rsid w:val="42C910A8"/>
    <w:rsid w:val="42CB4E20"/>
    <w:rsid w:val="42D33CD5"/>
    <w:rsid w:val="42D73D62"/>
    <w:rsid w:val="42DC5B79"/>
    <w:rsid w:val="42DE2DA6"/>
    <w:rsid w:val="42DF08CC"/>
    <w:rsid w:val="42DF267A"/>
    <w:rsid w:val="42E303BC"/>
    <w:rsid w:val="42E4409A"/>
    <w:rsid w:val="42EA174A"/>
    <w:rsid w:val="42F02AD9"/>
    <w:rsid w:val="43030FBE"/>
    <w:rsid w:val="43056584"/>
    <w:rsid w:val="4308166E"/>
    <w:rsid w:val="43086074"/>
    <w:rsid w:val="430F2F5F"/>
    <w:rsid w:val="43140575"/>
    <w:rsid w:val="431C567C"/>
    <w:rsid w:val="43205E45"/>
    <w:rsid w:val="432A7D99"/>
    <w:rsid w:val="432D1637"/>
    <w:rsid w:val="432E715D"/>
    <w:rsid w:val="43340C18"/>
    <w:rsid w:val="43364990"/>
    <w:rsid w:val="433D4959"/>
    <w:rsid w:val="43452E25"/>
    <w:rsid w:val="43456981"/>
    <w:rsid w:val="43476B9D"/>
    <w:rsid w:val="43495B48"/>
    <w:rsid w:val="434D3A87"/>
    <w:rsid w:val="43523C38"/>
    <w:rsid w:val="435766B4"/>
    <w:rsid w:val="435B2648"/>
    <w:rsid w:val="435C1F1C"/>
    <w:rsid w:val="43614AB0"/>
    <w:rsid w:val="43630A8E"/>
    <w:rsid w:val="43631293"/>
    <w:rsid w:val="436624A0"/>
    <w:rsid w:val="436B23A3"/>
    <w:rsid w:val="436C6603"/>
    <w:rsid w:val="436D5ED7"/>
    <w:rsid w:val="43761B25"/>
    <w:rsid w:val="43776D56"/>
    <w:rsid w:val="437B01A5"/>
    <w:rsid w:val="437D25BE"/>
    <w:rsid w:val="43811983"/>
    <w:rsid w:val="438356FB"/>
    <w:rsid w:val="438374A9"/>
    <w:rsid w:val="4389216D"/>
    <w:rsid w:val="438A4CDB"/>
    <w:rsid w:val="438C2802"/>
    <w:rsid w:val="438F40A0"/>
    <w:rsid w:val="43923B90"/>
    <w:rsid w:val="43982048"/>
    <w:rsid w:val="43A713E9"/>
    <w:rsid w:val="43B35FE0"/>
    <w:rsid w:val="43B753A5"/>
    <w:rsid w:val="43BD12C3"/>
    <w:rsid w:val="43BD4252"/>
    <w:rsid w:val="43BE3928"/>
    <w:rsid w:val="43C5034A"/>
    <w:rsid w:val="43C97C3C"/>
    <w:rsid w:val="43CB512D"/>
    <w:rsid w:val="43CD6976"/>
    <w:rsid w:val="43D264B6"/>
    <w:rsid w:val="43D67F21"/>
    <w:rsid w:val="43D9531B"/>
    <w:rsid w:val="43DB72E5"/>
    <w:rsid w:val="43DE0C50"/>
    <w:rsid w:val="43DF5027"/>
    <w:rsid w:val="43E9279C"/>
    <w:rsid w:val="43EE7018"/>
    <w:rsid w:val="43EF0FE2"/>
    <w:rsid w:val="43F860E9"/>
    <w:rsid w:val="43FE4D82"/>
    <w:rsid w:val="44020D16"/>
    <w:rsid w:val="440A3726"/>
    <w:rsid w:val="440C3942"/>
    <w:rsid w:val="440C56F0"/>
    <w:rsid w:val="44110F59"/>
    <w:rsid w:val="4416656F"/>
    <w:rsid w:val="4417122E"/>
    <w:rsid w:val="441B1DD7"/>
    <w:rsid w:val="441B5933"/>
    <w:rsid w:val="441D5B50"/>
    <w:rsid w:val="4420119C"/>
    <w:rsid w:val="44246EDE"/>
    <w:rsid w:val="4427077C"/>
    <w:rsid w:val="44305883"/>
    <w:rsid w:val="443121CD"/>
    <w:rsid w:val="44315157"/>
    <w:rsid w:val="44356037"/>
    <w:rsid w:val="44427364"/>
    <w:rsid w:val="44496945"/>
    <w:rsid w:val="444C6312"/>
    <w:rsid w:val="444D325A"/>
    <w:rsid w:val="444E5D09"/>
    <w:rsid w:val="445175A7"/>
    <w:rsid w:val="445A2900"/>
    <w:rsid w:val="445D7CFA"/>
    <w:rsid w:val="445F3A72"/>
    <w:rsid w:val="44663053"/>
    <w:rsid w:val="44692B43"/>
    <w:rsid w:val="446E0159"/>
    <w:rsid w:val="446E29FE"/>
    <w:rsid w:val="446E2DED"/>
    <w:rsid w:val="44703ED1"/>
    <w:rsid w:val="447119F7"/>
    <w:rsid w:val="447A6AFE"/>
    <w:rsid w:val="447D63C6"/>
    <w:rsid w:val="44801C3A"/>
    <w:rsid w:val="4482257B"/>
    <w:rsid w:val="44827761"/>
    <w:rsid w:val="44925338"/>
    <w:rsid w:val="449A0F4E"/>
    <w:rsid w:val="44A601E8"/>
    <w:rsid w:val="44A616A1"/>
    <w:rsid w:val="44A75419"/>
    <w:rsid w:val="44A973E3"/>
    <w:rsid w:val="44AB6CB7"/>
    <w:rsid w:val="44AC3496"/>
    <w:rsid w:val="44B01B7C"/>
    <w:rsid w:val="44B042CE"/>
    <w:rsid w:val="44BA514C"/>
    <w:rsid w:val="44BC0EC5"/>
    <w:rsid w:val="44BC7116"/>
    <w:rsid w:val="44C22253"/>
    <w:rsid w:val="44C45FCB"/>
    <w:rsid w:val="44C67F95"/>
    <w:rsid w:val="44CD30D2"/>
    <w:rsid w:val="44CE0BF8"/>
    <w:rsid w:val="44D02BC2"/>
    <w:rsid w:val="44D20AA7"/>
    <w:rsid w:val="44D51F86"/>
    <w:rsid w:val="44DA759D"/>
    <w:rsid w:val="44DF70AD"/>
    <w:rsid w:val="44E20B14"/>
    <w:rsid w:val="44E346A3"/>
    <w:rsid w:val="44E95A32"/>
    <w:rsid w:val="44F543D6"/>
    <w:rsid w:val="44F77F05"/>
    <w:rsid w:val="44FC39B7"/>
    <w:rsid w:val="44FC7513"/>
    <w:rsid w:val="450364A8"/>
    <w:rsid w:val="4504286C"/>
    <w:rsid w:val="45060392"/>
    <w:rsid w:val="45085EB8"/>
    <w:rsid w:val="450A60D4"/>
    <w:rsid w:val="450B1E4C"/>
    <w:rsid w:val="450D1720"/>
    <w:rsid w:val="450E5498"/>
    <w:rsid w:val="450F7D9B"/>
    <w:rsid w:val="45230F44"/>
    <w:rsid w:val="452847AC"/>
    <w:rsid w:val="452B604A"/>
    <w:rsid w:val="452E1696"/>
    <w:rsid w:val="453054C5"/>
    <w:rsid w:val="453B44DF"/>
    <w:rsid w:val="453C2005"/>
    <w:rsid w:val="453F38A4"/>
    <w:rsid w:val="453F5652"/>
    <w:rsid w:val="454B2248"/>
    <w:rsid w:val="4550785F"/>
    <w:rsid w:val="455235D7"/>
    <w:rsid w:val="4557275B"/>
    <w:rsid w:val="45596713"/>
    <w:rsid w:val="455E3D2A"/>
    <w:rsid w:val="45667082"/>
    <w:rsid w:val="45682DFA"/>
    <w:rsid w:val="45684BA8"/>
    <w:rsid w:val="45694D74"/>
    <w:rsid w:val="456A5A1B"/>
    <w:rsid w:val="456E6B63"/>
    <w:rsid w:val="456F23DB"/>
    <w:rsid w:val="4571539E"/>
    <w:rsid w:val="45753BF9"/>
    <w:rsid w:val="45813EBC"/>
    <w:rsid w:val="458F482B"/>
    <w:rsid w:val="459040FF"/>
    <w:rsid w:val="45941E41"/>
    <w:rsid w:val="4594599D"/>
    <w:rsid w:val="45992FB4"/>
    <w:rsid w:val="459E15AA"/>
    <w:rsid w:val="459E681C"/>
    <w:rsid w:val="45A007E6"/>
    <w:rsid w:val="45A1630C"/>
    <w:rsid w:val="45A51959"/>
    <w:rsid w:val="45AC718B"/>
    <w:rsid w:val="45B1127B"/>
    <w:rsid w:val="45B20519"/>
    <w:rsid w:val="45B44292"/>
    <w:rsid w:val="45B925A8"/>
    <w:rsid w:val="45BE0C6C"/>
    <w:rsid w:val="45C51FFB"/>
    <w:rsid w:val="45C67B21"/>
    <w:rsid w:val="45C76CFE"/>
    <w:rsid w:val="45CC3389"/>
    <w:rsid w:val="45CF4C28"/>
    <w:rsid w:val="45D16BF2"/>
    <w:rsid w:val="45D3296A"/>
    <w:rsid w:val="45D71D2E"/>
    <w:rsid w:val="45D81FA6"/>
    <w:rsid w:val="45D87F80"/>
    <w:rsid w:val="45DB35CC"/>
    <w:rsid w:val="45DD7344"/>
    <w:rsid w:val="45E2495B"/>
    <w:rsid w:val="45E52835"/>
    <w:rsid w:val="45EC7588"/>
    <w:rsid w:val="45F610F0"/>
    <w:rsid w:val="45F96148"/>
    <w:rsid w:val="45F978FA"/>
    <w:rsid w:val="45FD1795"/>
    <w:rsid w:val="45FD79E7"/>
    <w:rsid w:val="460743C1"/>
    <w:rsid w:val="46080139"/>
    <w:rsid w:val="46081DC4"/>
    <w:rsid w:val="460C5E7C"/>
    <w:rsid w:val="460D74FE"/>
    <w:rsid w:val="46130FB8"/>
    <w:rsid w:val="4613720A"/>
    <w:rsid w:val="46146ADE"/>
    <w:rsid w:val="461865CE"/>
    <w:rsid w:val="46192347"/>
    <w:rsid w:val="461E170B"/>
    <w:rsid w:val="461E795D"/>
    <w:rsid w:val="46226C7C"/>
    <w:rsid w:val="4622744D"/>
    <w:rsid w:val="462431C5"/>
    <w:rsid w:val="462E5E6E"/>
    <w:rsid w:val="463B22BD"/>
    <w:rsid w:val="46405B25"/>
    <w:rsid w:val="464078D3"/>
    <w:rsid w:val="464253F9"/>
    <w:rsid w:val="464438B1"/>
    <w:rsid w:val="46447C11"/>
    <w:rsid w:val="46470C62"/>
    <w:rsid w:val="464E0242"/>
    <w:rsid w:val="46511AE0"/>
    <w:rsid w:val="46517D32"/>
    <w:rsid w:val="46560EA5"/>
    <w:rsid w:val="46586568"/>
    <w:rsid w:val="465D5A14"/>
    <w:rsid w:val="466205E1"/>
    <w:rsid w:val="46625A9C"/>
    <w:rsid w:val="46641814"/>
    <w:rsid w:val="4669507C"/>
    <w:rsid w:val="466E4440"/>
    <w:rsid w:val="466E61EE"/>
    <w:rsid w:val="46717A8D"/>
    <w:rsid w:val="467632F5"/>
    <w:rsid w:val="46767799"/>
    <w:rsid w:val="467A1037"/>
    <w:rsid w:val="467C2B9E"/>
    <w:rsid w:val="46804FD0"/>
    <w:rsid w:val="46821C9A"/>
    <w:rsid w:val="46841EB6"/>
    <w:rsid w:val="46853538"/>
    <w:rsid w:val="46873754"/>
    <w:rsid w:val="468A0B4E"/>
    <w:rsid w:val="468C2B19"/>
    <w:rsid w:val="468E063F"/>
    <w:rsid w:val="46971BE9"/>
    <w:rsid w:val="469D2F78"/>
    <w:rsid w:val="469F14E0"/>
    <w:rsid w:val="46A70A71"/>
    <w:rsid w:val="46A71700"/>
    <w:rsid w:val="46AC31BB"/>
    <w:rsid w:val="46B57C71"/>
    <w:rsid w:val="46B8390E"/>
    <w:rsid w:val="46BD2BBF"/>
    <w:rsid w:val="46BD2CD2"/>
    <w:rsid w:val="46BE69A6"/>
    <w:rsid w:val="46CC1167"/>
    <w:rsid w:val="46CE4EDF"/>
    <w:rsid w:val="46D324F5"/>
    <w:rsid w:val="46D701E1"/>
    <w:rsid w:val="46D71FE6"/>
    <w:rsid w:val="46DB13AA"/>
    <w:rsid w:val="46ED7A5B"/>
    <w:rsid w:val="46EE10DD"/>
    <w:rsid w:val="46F34946"/>
    <w:rsid w:val="46F506BE"/>
    <w:rsid w:val="46F5246C"/>
    <w:rsid w:val="46FA2178"/>
    <w:rsid w:val="46FD7572"/>
    <w:rsid w:val="46FE3A16"/>
    <w:rsid w:val="47017063"/>
    <w:rsid w:val="47026FEF"/>
    <w:rsid w:val="47057290"/>
    <w:rsid w:val="470628CB"/>
    <w:rsid w:val="47065347"/>
    <w:rsid w:val="47091BE0"/>
    <w:rsid w:val="471825FE"/>
    <w:rsid w:val="471B1831"/>
    <w:rsid w:val="471C3E9C"/>
    <w:rsid w:val="4727514F"/>
    <w:rsid w:val="47360C04"/>
    <w:rsid w:val="474B4782"/>
    <w:rsid w:val="474B6530"/>
    <w:rsid w:val="47573126"/>
    <w:rsid w:val="475C073D"/>
    <w:rsid w:val="475F3D89"/>
    <w:rsid w:val="476E221E"/>
    <w:rsid w:val="476F0470"/>
    <w:rsid w:val="477242E3"/>
    <w:rsid w:val="47775577"/>
    <w:rsid w:val="477932D0"/>
    <w:rsid w:val="477C5A16"/>
    <w:rsid w:val="477E4B57"/>
    <w:rsid w:val="477F5AAE"/>
    <w:rsid w:val="47855EE6"/>
    <w:rsid w:val="478A6475"/>
    <w:rsid w:val="478C7274"/>
    <w:rsid w:val="479559FD"/>
    <w:rsid w:val="479C322F"/>
    <w:rsid w:val="47A345BE"/>
    <w:rsid w:val="47A619B8"/>
    <w:rsid w:val="47A62811"/>
    <w:rsid w:val="47A766F5"/>
    <w:rsid w:val="47AB5220"/>
    <w:rsid w:val="47AB6FCE"/>
    <w:rsid w:val="47AC3890"/>
    <w:rsid w:val="47AD71EA"/>
    <w:rsid w:val="47B67A7C"/>
    <w:rsid w:val="47B76F80"/>
    <w:rsid w:val="47B95B8F"/>
    <w:rsid w:val="47C67716"/>
    <w:rsid w:val="47CA1B4A"/>
    <w:rsid w:val="47CD163B"/>
    <w:rsid w:val="47CE1837"/>
    <w:rsid w:val="47D06A35"/>
    <w:rsid w:val="47D93B3C"/>
    <w:rsid w:val="47DB78B4"/>
    <w:rsid w:val="47E04ECA"/>
    <w:rsid w:val="47E60EC0"/>
    <w:rsid w:val="47E80223"/>
    <w:rsid w:val="47EC1AC1"/>
    <w:rsid w:val="47EF15B1"/>
    <w:rsid w:val="47F54F4A"/>
    <w:rsid w:val="47FE6585"/>
    <w:rsid w:val="4800556C"/>
    <w:rsid w:val="48052B82"/>
    <w:rsid w:val="48082673"/>
    <w:rsid w:val="480908C5"/>
    <w:rsid w:val="480B0FA4"/>
    <w:rsid w:val="481B23A6"/>
    <w:rsid w:val="482462F9"/>
    <w:rsid w:val="482C76F8"/>
    <w:rsid w:val="483F6AC4"/>
    <w:rsid w:val="4840005F"/>
    <w:rsid w:val="48403DEA"/>
    <w:rsid w:val="48420A18"/>
    <w:rsid w:val="48427933"/>
    <w:rsid w:val="48496F13"/>
    <w:rsid w:val="484A4A39"/>
    <w:rsid w:val="48517B76"/>
    <w:rsid w:val="48587156"/>
    <w:rsid w:val="48592ECE"/>
    <w:rsid w:val="485B09F4"/>
    <w:rsid w:val="485B6C46"/>
    <w:rsid w:val="485D476D"/>
    <w:rsid w:val="485F17BD"/>
    <w:rsid w:val="48657AC5"/>
    <w:rsid w:val="48714EE1"/>
    <w:rsid w:val="487529DF"/>
    <w:rsid w:val="487815A6"/>
    <w:rsid w:val="48787A80"/>
    <w:rsid w:val="48795846"/>
    <w:rsid w:val="487D1CBC"/>
    <w:rsid w:val="48814D1C"/>
    <w:rsid w:val="488E28EE"/>
    <w:rsid w:val="48A85F09"/>
    <w:rsid w:val="48AB68BB"/>
    <w:rsid w:val="48AC1250"/>
    <w:rsid w:val="48B32DF9"/>
    <w:rsid w:val="48B73D1D"/>
    <w:rsid w:val="48B83745"/>
    <w:rsid w:val="48B85E47"/>
    <w:rsid w:val="48BA396D"/>
    <w:rsid w:val="48BD520B"/>
    <w:rsid w:val="48CC36A0"/>
    <w:rsid w:val="48CF1315"/>
    <w:rsid w:val="48D40488"/>
    <w:rsid w:val="48D507A7"/>
    <w:rsid w:val="48DA7B6B"/>
    <w:rsid w:val="48DE3668"/>
    <w:rsid w:val="48DF7C47"/>
    <w:rsid w:val="48E409EA"/>
    <w:rsid w:val="48E46C3C"/>
    <w:rsid w:val="48E93727"/>
    <w:rsid w:val="48EC3D42"/>
    <w:rsid w:val="48F055E1"/>
    <w:rsid w:val="48F13107"/>
    <w:rsid w:val="48F549A5"/>
    <w:rsid w:val="48F6071D"/>
    <w:rsid w:val="48F74BC1"/>
    <w:rsid w:val="48F75576"/>
    <w:rsid w:val="48F86243"/>
    <w:rsid w:val="48FA645F"/>
    <w:rsid w:val="49002F54"/>
    <w:rsid w:val="49060960"/>
    <w:rsid w:val="49080B7C"/>
    <w:rsid w:val="49095F90"/>
    <w:rsid w:val="490C66E5"/>
    <w:rsid w:val="49116697"/>
    <w:rsid w:val="49184B37"/>
    <w:rsid w:val="491A440C"/>
    <w:rsid w:val="4924528A"/>
    <w:rsid w:val="49267254"/>
    <w:rsid w:val="49284D7B"/>
    <w:rsid w:val="492D4F91"/>
    <w:rsid w:val="492E6109"/>
    <w:rsid w:val="49382AE4"/>
    <w:rsid w:val="49422837"/>
    <w:rsid w:val="494616A5"/>
    <w:rsid w:val="49463453"/>
    <w:rsid w:val="49477851"/>
    <w:rsid w:val="494E592A"/>
    <w:rsid w:val="4950607F"/>
    <w:rsid w:val="49575660"/>
    <w:rsid w:val="495D254A"/>
    <w:rsid w:val="4961028C"/>
    <w:rsid w:val="496B4C67"/>
    <w:rsid w:val="496D4E83"/>
    <w:rsid w:val="496D6C31"/>
    <w:rsid w:val="49724248"/>
    <w:rsid w:val="49746212"/>
    <w:rsid w:val="4977360C"/>
    <w:rsid w:val="497B72B8"/>
    <w:rsid w:val="497C6E74"/>
    <w:rsid w:val="49861AA1"/>
    <w:rsid w:val="4989333F"/>
    <w:rsid w:val="498C5875"/>
    <w:rsid w:val="49900B72"/>
    <w:rsid w:val="49906437"/>
    <w:rsid w:val="49942410"/>
    <w:rsid w:val="49995C78"/>
    <w:rsid w:val="49997A26"/>
    <w:rsid w:val="499A379E"/>
    <w:rsid w:val="499A554C"/>
    <w:rsid w:val="499C3073"/>
    <w:rsid w:val="49A2062F"/>
    <w:rsid w:val="49B4660E"/>
    <w:rsid w:val="49BA174B"/>
    <w:rsid w:val="49BA510F"/>
    <w:rsid w:val="49BD4CAF"/>
    <w:rsid w:val="49C5081B"/>
    <w:rsid w:val="49C83E68"/>
    <w:rsid w:val="49CF3448"/>
    <w:rsid w:val="49D24CE6"/>
    <w:rsid w:val="49DC3DB7"/>
    <w:rsid w:val="49E229FC"/>
    <w:rsid w:val="49E730A6"/>
    <w:rsid w:val="49E8450A"/>
    <w:rsid w:val="49EA0282"/>
    <w:rsid w:val="49EC3FFA"/>
    <w:rsid w:val="49ED1B20"/>
    <w:rsid w:val="49F033BE"/>
    <w:rsid w:val="49FE1F7F"/>
    <w:rsid w:val="49FE3D2D"/>
    <w:rsid w:val="4A0155CC"/>
    <w:rsid w:val="4A143551"/>
    <w:rsid w:val="4A1D0657"/>
    <w:rsid w:val="4A1E1CDA"/>
    <w:rsid w:val="4A1E7F2C"/>
    <w:rsid w:val="4A273284"/>
    <w:rsid w:val="4A282B58"/>
    <w:rsid w:val="4A293C7A"/>
    <w:rsid w:val="4A2D4322"/>
    <w:rsid w:val="4A2D63C1"/>
    <w:rsid w:val="4A2F038B"/>
    <w:rsid w:val="4A315EB1"/>
    <w:rsid w:val="4A315FEB"/>
    <w:rsid w:val="4A332606"/>
    <w:rsid w:val="4A3414FD"/>
    <w:rsid w:val="4A3459A1"/>
    <w:rsid w:val="4A392FB7"/>
    <w:rsid w:val="4A396B13"/>
    <w:rsid w:val="4A413C1A"/>
    <w:rsid w:val="4A431740"/>
    <w:rsid w:val="4A435BE4"/>
    <w:rsid w:val="4A4A71F2"/>
    <w:rsid w:val="4A5120AF"/>
    <w:rsid w:val="4A527BD5"/>
    <w:rsid w:val="4A544D0D"/>
    <w:rsid w:val="4A595408"/>
    <w:rsid w:val="4A5D4446"/>
    <w:rsid w:val="4A606796"/>
    <w:rsid w:val="4A6175BB"/>
    <w:rsid w:val="4A677459"/>
    <w:rsid w:val="4A677B24"/>
    <w:rsid w:val="4A6A3171"/>
    <w:rsid w:val="4A6C513B"/>
    <w:rsid w:val="4A6F2535"/>
    <w:rsid w:val="4A742241"/>
    <w:rsid w:val="4A77763C"/>
    <w:rsid w:val="4A787267"/>
    <w:rsid w:val="4A791C54"/>
    <w:rsid w:val="4A7B6B99"/>
    <w:rsid w:val="4A8204BA"/>
    <w:rsid w:val="4A842484"/>
    <w:rsid w:val="4A8648EC"/>
    <w:rsid w:val="4A8E318F"/>
    <w:rsid w:val="4A8E6E5F"/>
    <w:rsid w:val="4A8F4985"/>
    <w:rsid w:val="4A91694F"/>
    <w:rsid w:val="4A9401EE"/>
    <w:rsid w:val="4A9A1CA8"/>
    <w:rsid w:val="4A9D3546"/>
    <w:rsid w:val="4AA04DE4"/>
    <w:rsid w:val="4AA5596D"/>
    <w:rsid w:val="4AA85A47"/>
    <w:rsid w:val="4AA93C99"/>
    <w:rsid w:val="4AAA7A11"/>
    <w:rsid w:val="4AAF5028"/>
    <w:rsid w:val="4AB34B18"/>
    <w:rsid w:val="4ABF1CC2"/>
    <w:rsid w:val="4AC00FE3"/>
    <w:rsid w:val="4AC24D5B"/>
    <w:rsid w:val="4AC40AD3"/>
    <w:rsid w:val="4AC46565"/>
    <w:rsid w:val="4AC5484B"/>
    <w:rsid w:val="4AC97E97"/>
    <w:rsid w:val="4ACA3C0F"/>
    <w:rsid w:val="4ACC7988"/>
    <w:rsid w:val="4ACE54AE"/>
    <w:rsid w:val="4AD54A8E"/>
    <w:rsid w:val="4AD73C7C"/>
    <w:rsid w:val="4AD827D0"/>
    <w:rsid w:val="4AE03433"/>
    <w:rsid w:val="4AE253FD"/>
    <w:rsid w:val="4AE42F23"/>
    <w:rsid w:val="4AE64EED"/>
    <w:rsid w:val="4AE91A72"/>
    <w:rsid w:val="4AEB2504"/>
    <w:rsid w:val="4AEB43E1"/>
    <w:rsid w:val="4AF07B1A"/>
    <w:rsid w:val="4AF313B8"/>
    <w:rsid w:val="4AF34F14"/>
    <w:rsid w:val="4AF62C56"/>
    <w:rsid w:val="4AF67FA2"/>
    <w:rsid w:val="4AF869CF"/>
    <w:rsid w:val="4AFB201B"/>
    <w:rsid w:val="4AFC64BF"/>
    <w:rsid w:val="4AFD3FE5"/>
    <w:rsid w:val="4B03239F"/>
    <w:rsid w:val="4B074E64"/>
    <w:rsid w:val="4B076C12"/>
    <w:rsid w:val="4B094738"/>
    <w:rsid w:val="4B0B1EC1"/>
    <w:rsid w:val="4B0C4228"/>
    <w:rsid w:val="4B0E61F2"/>
    <w:rsid w:val="4B115A23"/>
    <w:rsid w:val="4B1530DD"/>
    <w:rsid w:val="4B19154C"/>
    <w:rsid w:val="4B1C3E43"/>
    <w:rsid w:val="4B1C5B2D"/>
    <w:rsid w:val="4B20798C"/>
    <w:rsid w:val="4B296B88"/>
    <w:rsid w:val="4B2B6DA4"/>
    <w:rsid w:val="4B2E05DC"/>
    <w:rsid w:val="4B2E0642"/>
    <w:rsid w:val="4B321EE0"/>
    <w:rsid w:val="4B375749"/>
    <w:rsid w:val="4B39177A"/>
    <w:rsid w:val="4B4734B2"/>
    <w:rsid w:val="4B481704"/>
    <w:rsid w:val="4B55797D"/>
    <w:rsid w:val="4B5D2CD5"/>
    <w:rsid w:val="4B5D6832"/>
    <w:rsid w:val="4B5E0F27"/>
    <w:rsid w:val="4B63653E"/>
    <w:rsid w:val="4B661B8A"/>
    <w:rsid w:val="4B69167A"/>
    <w:rsid w:val="4B692C1A"/>
    <w:rsid w:val="4B6B53F2"/>
    <w:rsid w:val="4B6D1092"/>
    <w:rsid w:val="4B893ACB"/>
    <w:rsid w:val="4B8B339F"/>
    <w:rsid w:val="4B9366F7"/>
    <w:rsid w:val="4B9409EC"/>
    <w:rsid w:val="4B95421D"/>
    <w:rsid w:val="4B9C1A50"/>
    <w:rsid w:val="4B9E1324"/>
    <w:rsid w:val="4B9E3C35"/>
    <w:rsid w:val="4BA10E14"/>
    <w:rsid w:val="4BA206E8"/>
    <w:rsid w:val="4BA6642B"/>
    <w:rsid w:val="4BA803F5"/>
    <w:rsid w:val="4BAA4805"/>
    <w:rsid w:val="4BAC3727"/>
    <w:rsid w:val="4BB02E05"/>
    <w:rsid w:val="4BB23021"/>
    <w:rsid w:val="4BB40B47"/>
    <w:rsid w:val="4BB548C0"/>
    <w:rsid w:val="4BB70638"/>
    <w:rsid w:val="4BB74194"/>
    <w:rsid w:val="4BBA3C84"/>
    <w:rsid w:val="4BBA6677"/>
    <w:rsid w:val="4BBC17AA"/>
    <w:rsid w:val="4BBC4110"/>
    <w:rsid w:val="4BBF7CC6"/>
    <w:rsid w:val="4BC31B0E"/>
    <w:rsid w:val="4BC93EC7"/>
    <w:rsid w:val="4BD411EA"/>
    <w:rsid w:val="4BDA5D61"/>
    <w:rsid w:val="4BE34F89"/>
    <w:rsid w:val="4BE64A79"/>
    <w:rsid w:val="4BED509D"/>
    <w:rsid w:val="4BF70D1F"/>
    <w:rsid w:val="4BFF5B3B"/>
    <w:rsid w:val="4C06511B"/>
    <w:rsid w:val="4C115F9A"/>
    <w:rsid w:val="4C14187D"/>
    <w:rsid w:val="4C1930A0"/>
    <w:rsid w:val="4C1B0BC7"/>
    <w:rsid w:val="4C1E06B7"/>
    <w:rsid w:val="4C28128E"/>
    <w:rsid w:val="4C2C2DD4"/>
    <w:rsid w:val="4C2D08FA"/>
    <w:rsid w:val="4C392DFB"/>
    <w:rsid w:val="4C3954F1"/>
    <w:rsid w:val="4C3A6B73"/>
    <w:rsid w:val="4C3C28EB"/>
    <w:rsid w:val="4C3E48B5"/>
    <w:rsid w:val="4C4023DB"/>
    <w:rsid w:val="4C447F29"/>
    <w:rsid w:val="4C477E4D"/>
    <w:rsid w:val="4C4A14AC"/>
    <w:rsid w:val="4C4A43F4"/>
    <w:rsid w:val="4C4C6FD2"/>
    <w:rsid w:val="4C4D4AF8"/>
    <w:rsid w:val="4C4D68A6"/>
    <w:rsid w:val="4C4E5331"/>
    <w:rsid w:val="4C4F261E"/>
    <w:rsid w:val="4C522DBA"/>
    <w:rsid w:val="4C6A38FC"/>
    <w:rsid w:val="4C6F3921"/>
    <w:rsid w:val="4C714C8A"/>
    <w:rsid w:val="4C72630D"/>
    <w:rsid w:val="4C7B78B7"/>
    <w:rsid w:val="4C8428B7"/>
    <w:rsid w:val="4C871DB8"/>
    <w:rsid w:val="4C8D5FBE"/>
    <w:rsid w:val="4C910E89"/>
    <w:rsid w:val="4C912C37"/>
    <w:rsid w:val="4C9149E5"/>
    <w:rsid w:val="4C9170DB"/>
    <w:rsid w:val="4C9269AF"/>
    <w:rsid w:val="4C93024D"/>
    <w:rsid w:val="4C9739DA"/>
    <w:rsid w:val="4CA46E0E"/>
    <w:rsid w:val="4CAA1F4A"/>
    <w:rsid w:val="4CAD5597"/>
    <w:rsid w:val="4CB229E4"/>
    <w:rsid w:val="4CC07648"/>
    <w:rsid w:val="4CCC1EC1"/>
    <w:rsid w:val="4CDB2104"/>
    <w:rsid w:val="4CDD7C2A"/>
    <w:rsid w:val="4CE865CF"/>
    <w:rsid w:val="4CEC2563"/>
    <w:rsid w:val="4CEC60BF"/>
    <w:rsid w:val="4CEE62DB"/>
    <w:rsid w:val="4CF07121"/>
    <w:rsid w:val="4CF17B79"/>
    <w:rsid w:val="4CF66F3E"/>
    <w:rsid w:val="4CF907DC"/>
    <w:rsid w:val="4CFE5DF2"/>
    <w:rsid w:val="4CFE78E5"/>
    <w:rsid w:val="4D00563A"/>
    <w:rsid w:val="4D0101DE"/>
    <w:rsid w:val="4D023B34"/>
    <w:rsid w:val="4D027691"/>
    <w:rsid w:val="4D1429D3"/>
    <w:rsid w:val="4D153868"/>
    <w:rsid w:val="4D185106"/>
    <w:rsid w:val="4D1869E5"/>
    <w:rsid w:val="4D186EB4"/>
    <w:rsid w:val="4D1B4BF6"/>
    <w:rsid w:val="4D1C1C6E"/>
    <w:rsid w:val="4D1D271C"/>
    <w:rsid w:val="4D211BF9"/>
    <w:rsid w:val="4D227D33"/>
    <w:rsid w:val="4D237E1F"/>
    <w:rsid w:val="4D2515D1"/>
    <w:rsid w:val="4D2B369F"/>
    <w:rsid w:val="4D2F41FE"/>
    <w:rsid w:val="4D331F40"/>
    <w:rsid w:val="4D357A66"/>
    <w:rsid w:val="4D387556"/>
    <w:rsid w:val="4D405AC9"/>
    <w:rsid w:val="4D423F31"/>
    <w:rsid w:val="4D510618"/>
    <w:rsid w:val="4D53613E"/>
    <w:rsid w:val="4D592737"/>
    <w:rsid w:val="4D5A74CD"/>
    <w:rsid w:val="4D602609"/>
    <w:rsid w:val="4D720CBA"/>
    <w:rsid w:val="4D7367E0"/>
    <w:rsid w:val="4D7507CE"/>
    <w:rsid w:val="4D7C38E7"/>
    <w:rsid w:val="4D7D140D"/>
    <w:rsid w:val="4D805A8C"/>
    <w:rsid w:val="4D857D45"/>
    <w:rsid w:val="4D926C66"/>
    <w:rsid w:val="4D9E1AAF"/>
    <w:rsid w:val="4DA90454"/>
    <w:rsid w:val="4DA92202"/>
    <w:rsid w:val="4DA93FB0"/>
    <w:rsid w:val="4DAB5F7A"/>
    <w:rsid w:val="4DAE0B1D"/>
    <w:rsid w:val="4DAE7818"/>
    <w:rsid w:val="4DB03590"/>
    <w:rsid w:val="4DB0533F"/>
    <w:rsid w:val="4DB27309"/>
    <w:rsid w:val="4DB43081"/>
    <w:rsid w:val="4DBC0187"/>
    <w:rsid w:val="4DBC1F35"/>
    <w:rsid w:val="4DBE5CAD"/>
    <w:rsid w:val="4DC1754C"/>
    <w:rsid w:val="4DC64B62"/>
    <w:rsid w:val="4DCB2178"/>
    <w:rsid w:val="4DD728CB"/>
    <w:rsid w:val="4DE15955"/>
    <w:rsid w:val="4DE70AF0"/>
    <w:rsid w:val="4DE70C28"/>
    <w:rsid w:val="4DEA4CF4"/>
    <w:rsid w:val="4DEF230B"/>
    <w:rsid w:val="4DFE254E"/>
    <w:rsid w:val="4E0256F8"/>
    <w:rsid w:val="4E092CA1"/>
    <w:rsid w:val="4E0946D6"/>
    <w:rsid w:val="4E094A4F"/>
    <w:rsid w:val="4E0A0EF3"/>
    <w:rsid w:val="4E0F475B"/>
    <w:rsid w:val="4E165AE9"/>
    <w:rsid w:val="4E185D57"/>
    <w:rsid w:val="4E1B3100"/>
    <w:rsid w:val="4E213ADE"/>
    <w:rsid w:val="4E26024E"/>
    <w:rsid w:val="4E292CD9"/>
    <w:rsid w:val="4E311534"/>
    <w:rsid w:val="4E3247D7"/>
    <w:rsid w:val="4E36472C"/>
    <w:rsid w:val="4E3715BC"/>
    <w:rsid w:val="4E393586"/>
    <w:rsid w:val="4E3B72FE"/>
    <w:rsid w:val="4E4168DE"/>
    <w:rsid w:val="4E473EF5"/>
    <w:rsid w:val="4E4D5283"/>
    <w:rsid w:val="4E4E53B3"/>
    <w:rsid w:val="4E4F4B57"/>
    <w:rsid w:val="4E50267E"/>
    <w:rsid w:val="4E535251"/>
    <w:rsid w:val="4E54216E"/>
    <w:rsid w:val="4E5476C0"/>
    <w:rsid w:val="4E5959D6"/>
    <w:rsid w:val="4E606D36"/>
    <w:rsid w:val="4E606D65"/>
    <w:rsid w:val="4E6323B1"/>
    <w:rsid w:val="4E6600F3"/>
    <w:rsid w:val="4E680A90"/>
    <w:rsid w:val="4E76152B"/>
    <w:rsid w:val="4E7E368F"/>
    <w:rsid w:val="4E7E543D"/>
    <w:rsid w:val="4E816CDB"/>
    <w:rsid w:val="4E834801"/>
    <w:rsid w:val="4E837643"/>
    <w:rsid w:val="4E8D5680"/>
    <w:rsid w:val="4E8F764A"/>
    <w:rsid w:val="4E943B74"/>
    <w:rsid w:val="4E9E788D"/>
    <w:rsid w:val="4EA06122"/>
    <w:rsid w:val="4EA07161"/>
    <w:rsid w:val="4EA418F5"/>
    <w:rsid w:val="4EA56E6D"/>
    <w:rsid w:val="4EAE33B1"/>
    <w:rsid w:val="4EAF55F6"/>
    <w:rsid w:val="4EB86BA1"/>
    <w:rsid w:val="4EBB634F"/>
    <w:rsid w:val="4EBE7F2F"/>
    <w:rsid w:val="4EC015B1"/>
    <w:rsid w:val="4EC07803"/>
    <w:rsid w:val="4EC217CD"/>
    <w:rsid w:val="4EC31059"/>
    <w:rsid w:val="4ECC7F56"/>
    <w:rsid w:val="4ED137BE"/>
    <w:rsid w:val="4ED4505D"/>
    <w:rsid w:val="4EDD03B5"/>
    <w:rsid w:val="4EE51018"/>
    <w:rsid w:val="4EEA0D24"/>
    <w:rsid w:val="4EF61477"/>
    <w:rsid w:val="4EF676C9"/>
    <w:rsid w:val="4EF77655"/>
    <w:rsid w:val="4EF94AC3"/>
    <w:rsid w:val="4EFA7391"/>
    <w:rsid w:val="4F0516BA"/>
    <w:rsid w:val="4F0C2A48"/>
    <w:rsid w:val="4F0E056F"/>
    <w:rsid w:val="4F0E67C1"/>
    <w:rsid w:val="4F161B19"/>
    <w:rsid w:val="4F196F13"/>
    <w:rsid w:val="4F1E452A"/>
    <w:rsid w:val="4F2935FA"/>
    <w:rsid w:val="4F2A2ECF"/>
    <w:rsid w:val="4F2A7373"/>
    <w:rsid w:val="4F336227"/>
    <w:rsid w:val="4F365D17"/>
    <w:rsid w:val="4F42290E"/>
    <w:rsid w:val="4F4977F9"/>
    <w:rsid w:val="4F4B17C3"/>
    <w:rsid w:val="4F4E4E0F"/>
    <w:rsid w:val="4F530677"/>
    <w:rsid w:val="4F532425"/>
    <w:rsid w:val="4F584DAE"/>
    <w:rsid w:val="4F5A5B0A"/>
    <w:rsid w:val="4F5F526E"/>
    <w:rsid w:val="4F642884"/>
    <w:rsid w:val="4F6665FD"/>
    <w:rsid w:val="4F675ED1"/>
    <w:rsid w:val="4F6B1047"/>
    <w:rsid w:val="4F6C34E7"/>
    <w:rsid w:val="4F6D44D3"/>
    <w:rsid w:val="4F6E725F"/>
    <w:rsid w:val="4F701229"/>
    <w:rsid w:val="4F764366"/>
    <w:rsid w:val="4F766639"/>
    <w:rsid w:val="4F822D0B"/>
    <w:rsid w:val="4F876573"/>
    <w:rsid w:val="4F8B6063"/>
    <w:rsid w:val="4F9111A0"/>
    <w:rsid w:val="4F9667B6"/>
    <w:rsid w:val="4F97342E"/>
    <w:rsid w:val="4F974A08"/>
    <w:rsid w:val="4F9D18F3"/>
    <w:rsid w:val="4FA40ED3"/>
    <w:rsid w:val="4FA47125"/>
    <w:rsid w:val="4FA9473B"/>
    <w:rsid w:val="4FAB2261"/>
    <w:rsid w:val="4FB355BA"/>
    <w:rsid w:val="4FBA3171"/>
    <w:rsid w:val="4FC13833"/>
    <w:rsid w:val="4FC7696F"/>
    <w:rsid w:val="4FD16D18"/>
    <w:rsid w:val="4FD3564A"/>
    <w:rsid w:val="4FE52C74"/>
    <w:rsid w:val="4FE70DC0"/>
    <w:rsid w:val="4FF21C3E"/>
    <w:rsid w:val="4FF27E90"/>
    <w:rsid w:val="4FF82FCD"/>
    <w:rsid w:val="4FF97471"/>
    <w:rsid w:val="5006393C"/>
    <w:rsid w:val="500876B4"/>
    <w:rsid w:val="500942C2"/>
    <w:rsid w:val="500D4CCA"/>
    <w:rsid w:val="500E27F0"/>
    <w:rsid w:val="5019541D"/>
    <w:rsid w:val="502246FD"/>
    <w:rsid w:val="502D0EC8"/>
    <w:rsid w:val="502D6F2C"/>
    <w:rsid w:val="502E69EF"/>
    <w:rsid w:val="5032028D"/>
    <w:rsid w:val="503612DD"/>
    <w:rsid w:val="50377F99"/>
    <w:rsid w:val="50397236"/>
    <w:rsid w:val="503B2D01"/>
    <w:rsid w:val="503E4E84"/>
    <w:rsid w:val="503F0BFC"/>
    <w:rsid w:val="504639A3"/>
    <w:rsid w:val="504924F1"/>
    <w:rsid w:val="504D156B"/>
    <w:rsid w:val="504E34C8"/>
    <w:rsid w:val="50534A55"/>
    <w:rsid w:val="5054476F"/>
    <w:rsid w:val="505521CD"/>
    <w:rsid w:val="505A56D9"/>
    <w:rsid w:val="505C355C"/>
    <w:rsid w:val="5068570A"/>
    <w:rsid w:val="506B379F"/>
    <w:rsid w:val="506C56BD"/>
    <w:rsid w:val="50707007"/>
    <w:rsid w:val="5076286F"/>
    <w:rsid w:val="50795EBC"/>
    <w:rsid w:val="507B24B3"/>
    <w:rsid w:val="507C59AC"/>
    <w:rsid w:val="507E34D2"/>
    <w:rsid w:val="50923421"/>
    <w:rsid w:val="50966A6E"/>
    <w:rsid w:val="5099655E"/>
    <w:rsid w:val="50A56CB1"/>
    <w:rsid w:val="50A8054F"/>
    <w:rsid w:val="50AD025B"/>
    <w:rsid w:val="50AF6AED"/>
    <w:rsid w:val="50B36711"/>
    <w:rsid w:val="50B43398"/>
    <w:rsid w:val="50B45146"/>
    <w:rsid w:val="50BD7329"/>
    <w:rsid w:val="50C3791D"/>
    <w:rsid w:val="50C51101"/>
    <w:rsid w:val="50CF3D2E"/>
    <w:rsid w:val="50D457E8"/>
    <w:rsid w:val="50D70E34"/>
    <w:rsid w:val="50D92DFE"/>
    <w:rsid w:val="50DB0924"/>
    <w:rsid w:val="50DD28EE"/>
    <w:rsid w:val="50DE21C3"/>
    <w:rsid w:val="50E034C4"/>
    <w:rsid w:val="50E15247"/>
    <w:rsid w:val="50E21CB3"/>
    <w:rsid w:val="50EC48E0"/>
    <w:rsid w:val="50ED0658"/>
    <w:rsid w:val="50F6575E"/>
    <w:rsid w:val="50FB4B23"/>
    <w:rsid w:val="50FB5F32"/>
    <w:rsid w:val="50FD12C7"/>
    <w:rsid w:val="50FD6AED"/>
    <w:rsid w:val="510734C7"/>
    <w:rsid w:val="510D4856"/>
    <w:rsid w:val="510F2224"/>
    <w:rsid w:val="511D0F3D"/>
    <w:rsid w:val="51257DF2"/>
    <w:rsid w:val="51295B34"/>
    <w:rsid w:val="51477D68"/>
    <w:rsid w:val="514A7858"/>
    <w:rsid w:val="514C1822"/>
    <w:rsid w:val="514E559A"/>
    <w:rsid w:val="51595CED"/>
    <w:rsid w:val="515A3F3F"/>
    <w:rsid w:val="515D1516"/>
    <w:rsid w:val="516052CE"/>
    <w:rsid w:val="5160707C"/>
    <w:rsid w:val="51624BA2"/>
    <w:rsid w:val="51654692"/>
    <w:rsid w:val="5167040A"/>
    <w:rsid w:val="516B5167"/>
    <w:rsid w:val="51733EAB"/>
    <w:rsid w:val="5174109B"/>
    <w:rsid w:val="51750D79"/>
    <w:rsid w:val="517855C8"/>
    <w:rsid w:val="517D7C2E"/>
    <w:rsid w:val="517F7502"/>
    <w:rsid w:val="51805A47"/>
    <w:rsid w:val="51832493"/>
    <w:rsid w:val="51894824"/>
    <w:rsid w:val="518965D2"/>
    <w:rsid w:val="518A5EA7"/>
    <w:rsid w:val="518E1E3B"/>
    <w:rsid w:val="518E3BE9"/>
    <w:rsid w:val="51962A9D"/>
    <w:rsid w:val="519805C3"/>
    <w:rsid w:val="51A27694"/>
    <w:rsid w:val="51A927D1"/>
    <w:rsid w:val="51AC0513"/>
    <w:rsid w:val="51AC5E26"/>
    <w:rsid w:val="51AF7EA4"/>
    <w:rsid w:val="51B64EEE"/>
    <w:rsid w:val="51B80C66"/>
    <w:rsid w:val="51B94A72"/>
    <w:rsid w:val="51C71DD3"/>
    <w:rsid w:val="51C92E73"/>
    <w:rsid w:val="51D75590"/>
    <w:rsid w:val="51D7666B"/>
    <w:rsid w:val="51D81308"/>
    <w:rsid w:val="51DA5080"/>
    <w:rsid w:val="51DC2BA6"/>
    <w:rsid w:val="51DF4444"/>
    <w:rsid w:val="51DF508A"/>
    <w:rsid w:val="51DF7140"/>
    <w:rsid w:val="51E043F4"/>
    <w:rsid w:val="51E27E6A"/>
    <w:rsid w:val="51E67581"/>
    <w:rsid w:val="51E7154B"/>
    <w:rsid w:val="51E72EF5"/>
    <w:rsid w:val="51EE0B2B"/>
    <w:rsid w:val="51EE4687"/>
    <w:rsid w:val="51EE6435"/>
    <w:rsid w:val="51EF0FDE"/>
    <w:rsid w:val="51F37EF0"/>
    <w:rsid w:val="51F6353C"/>
    <w:rsid w:val="51F92090"/>
    <w:rsid w:val="520046D4"/>
    <w:rsid w:val="52075749"/>
    <w:rsid w:val="5208399B"/>
    <w:rsid w:val="520956B7"/>
    <w:rsid w:val="520B348B"/>
    <w:rsid w:val="520E05AD"/>
    <w:rsid w:val="52170DFD"/>
    <w:rsid w:val="52195BA8"/>
    <w:rsid w:val="5224454D"/>
    <w:rsid w:val="52255A17"/>
    <w:rsid w:val="52271947"/>
    <w:rsid w:val="52287F61"/>
    <w:rsid w:val="52295BE7"/>
    <w:rsid w:val="522E2CD6"/>
    <w:rsid w:val="52344790"/>
    <w:rsid w:val="52350508"/>
    <w:rsid w:val="52374280"/>
    <w:rsid w:val="52397FF8"/>
    <w:rsid w:val="524424F9"/>
    <w:rsid w:val="5246001F"/>
    <w:rsid w:val="524644C3"/>
    <w:rsid w:val="524A3FB4"/>
    <w:rsid w:val="524B1ADA"/>
    <w:rsid w:val="524B3888"/>
    <w:rsid w:val="52501489"/>
    <w:rsid w:val="525210BA"/>
    <w:rsid w:val="52524C16"/>
    <w:rsid w:val="52547D9B"/>
    <w:rsid w:val="525C3CE7"/>
    <w:rsid w:val="525C69BE"/>
    <w:rsid w:val="525E180D"/>
    <w:rsid w:val="525E7A5F"/>
    <w:rsid w:val="52622E61"/>
    <w:rsid w:val="52635075"/>
    <w:rsid w:val="526A6404"/>
    <w:rsid w:val="526C5F31"/>
    <w:rsid w:val="52720E14"/>
    <w:rsid w:val="527B1390"/>
    <w:rsid w:val="5285323E"/>
    <w:rsid w:val="52862B12"/>
    <w:rsid w:val="528648C0"/>
    <w:rsid w:val="528962E9"/>
    <w:rsid w:val="528D20F2"/>
    <w:rsid w:val="52903990"/>
    <w:rsid w:val="5294522F"/>
    <w:rsid w:val="52972F71"/>
    <w:rsid w:val="529945F3"/>
    <w:rsid w:val="529B7D50"/>
    <w:rsid w:val="529C2921"/>
    <w:rsid w:val="52A12522"/>
    <w:rsid w:val="52A15B9E"/>
    <w:rsid w:val="52A5743C"/>
    <w:rsid w:val="52A66D10"/>
    <w:rsid w:val="52A82A88"/>
    <w:rsid w:val="52AA6800"/>
    <w:rsid w:val="52AF02BB"/>
    <w:rsid w:val="52B02227"/>
    <w:rsid w:val="52B11917"/>
    <w:rsid w:val="52B72CCB"/>
    <w:rsid w:val="52B753C1"/>
    <w:rsid w:val="52B83BB6"/>
    <w:rsid w:val="52BA2535"/>
    <w:rsid w:val="52BF7DD2"/>
    <w:rsid w:val="52C04276"/>
    <w:rsid w:val="52C13B4A"/>
    <w:rsid w:val="52C306A2"/>
    <w:rsid w:val="52C5188C"/>
    <w:rsid w:val="52C8137C"/>
    <w:rsid w:val="52C84ED8"/>
    <w:rsid w:val="52CA6EA2"/>
    <w:rsid w:val="52CE5D94"/>
    <w:rsid w:val="52CF44B9"/>
    <w:rsid w:val="52D4387D"/>
    <w:rsid w:val="52D63A99"/>
    <w:rsid w:val="52D65847"/>
    <w:rsid w:val="52D7511B"/>
    <w:rsid w:val="52DC2732"/>
    <w:rsid w:val="52DC5653"/>
    <w:rsid w:val="52DE46FC"/>
    <w:rsid w:val="52E066C6"/>
    <w:rsid w:val="52E33AC0"/>
    <w:rsid w:val="52E57838"/>
    <w:rsid w:val="52EA4E4F"/>
    <w:rsid w:val="52EB0BC7"/>
    <w:rsid w:val="52ED0DE3"/>
    <w:rsid w:val="52EF6909"/>
    <w:rsid w:val="52F12681"/>
    <w:rsid w:val="52F201A7"/>
    <w:rsid w:val="52F21F55"/>
    <w:rsid w:val="52F263F9"/>
    <w:rsid w:val="52F45CCD"/>
    <w:rsid w:val="52F96068"/>
    <w:rsid w:val="52FB0C22"/>
    <w:rsid w:val="52FB7832"/>
    <w:rsid w:val="52FE08FA"/>
    <w:rsid w:val="52FE4D9E"/>
    <w:rsid w:val="53000B16"/>
    <w:rsid w:val="530605FB"/>
    <w:rsid w:val="530E3233"/>
    <w:rsid w:val="530F48B5"/>
    <w:rsid w:val="5311687F"/>
    <w:rsid w:val="53130849"/>
    <w:rsid w:val="53172865"/>
    <w:rsid w:val="531B2676"/>
    <w:rsid w:val="531B396B"/>
    <w:rsid w:val="531E0F9C"/>
    <w:rsid w:val="531E71EE"/>
    <w:rsid w:val="532145E9"/>
    <w:rsid w:val="5322283B"/>
    <w:rsid w:val="53241860"/>
    <w:rsid w:val="5325057D"/>
    <w:rsid w:val="53266911"/>
    <w:rsid w:val="53311C69"/>
    <w:rsid w:val="533B3627"/>
    <w:rsid w:val="533C634C"/>
    <w:rsid w:val="53496106"/>
    <w:rsid w:val="53522C96"/>
    <w:rsid w:val="53530C46"/>
    <w:rsid w:val="535B7AFB"/>
    <w:rsid w:val="535E5EAB"/>
    <w:rsid w:val="5362532D"/>
    <w:rsid w:val="536410A5"/>
    <w:rsid w:val="53690469"/>
    <w:rsid w:val="536A41E2"/>
    <w:rsid w:val="536A5F90"/>
    <w:rsid w:val="536E4AEE"/>
    <w:rsid w:val="537137C2"/>
    <w:rsid w:val="537312E8"/>
    <w:rsid w:val="5373753A"/>
    <w:rsid w:val="53746E0E"/>
    <w:rsid w:val="537B63EF"/>
    <w:rsid w:val="5386726D"/>
    <w:rsid w:val="53894668"/>
    <w:rsid w:val="538E7273"/>
    <w:rsid w:val="538F6499"/>
    <w:rsid w:val="5394125E"/>
    <w:rsid w:val="539D0113"/>
    <w:rsid w:val="53A5346C"/>
    <w:rsid w:val="53AC0356"/>
    <w:rsid w:val="53B10062"/>
    <w:rsid w:val="53B13BBE"/>
    <w:rsid w:val="53B51901"/>
    <w:rsid w:val="53B8319F"/>
    <w:rsid w:val="53BD6EA5"/>
    <w:rsid w:val="53C102A5"/>
    <w:rsid w:val="53C25DCC"/>
    <w:rsid w:val="53CE651E"/>
    <w:rsid w:val="53DD0E57"/>
    <w:rsid w:val="53DF072C"/>
    <w:rsid w:val="53E73A84"/>
    <w:rsid w:val="53EC109A"/>
    <w:rsid w:val="53EE59EB"/>
    <w:rsid w:val="53EE6BC1"/>
    <w:rsid w:val="53EF7B49"/>
    <w:rsid w:val="53F266B1"/>
    <w:rsid w:val="54091C4C"/>
    <w:rsid w:val="540930BB"/>
    <w:rsid w:val="540C5299"/>
    <w:rsid w:val="540D34EB"/>
    <w:rsid w:val="540E1011"/>
    <w:rsid w:val="541045F2"/>
    <w:rsid w:val="541128AF"/>
    <w:rsid w:val="5411465D"/>
    <w:rsid w:val="541C0D51"/>
    <w:rsid w:val="541D74A6"/>
    <w:rsid w:val="541F321E"/>
    <w:rsid w:val="5422686A"/>
    <w:rsid w:val="54260108"/>
    <w:rsid w:val="542D593B"/>
    <w:rsid w:val="542E3461"/>
    <w:rsid w:val="542E520F"/>
    <w:rsid w:val="54302D35"/>
    <w:rsid w:val="543071D9"/>
    <w:rsid w:val="54324CFF"/>
    <w:rsid w:val="54376442"/>
    <w:rsid w:val="54390279"/>
    <w:rsid w:val="543C6AC9"/>
    <w:rsid w:val="543D5452"/>
    <w:rsid w:val="543E18F6"/>
    <w:rsid w:val="54414F42"/>
    <w:rsid w:val="54493DF7"/>
    <w:rsid w:val="54501D20"/>
    <w:rsid w:val="54520EFE"/>
    <w:rsid w:val="545509EE"/>
    <w:rsid w:val="545E2186"/>
    <w:rsid w:val="54646E83"/>
    <w:rsid w:val="54694499"/>
    <w:rsid w:val="54697358"/>
    <w:rsid w:val="546D3F89"/>
    <w:rsid w:val="546E1AAF"/>
    <w:rsid w:val="54732FDB"/>
    <w:rsid w:val="54733262"/>
    <w:rsid w:val="54762769"/>
    <w:rsid w:val="54776BB6"/>
    <w:rsid w:val="5479292E"/>
    <w:rsid w:val="547B038C"/>
    <w:rsid w:val="54877D10"/>
    <w:rsid w:val="548D63DA"/>
    <w:rsid w:val="548E5CAE"/>
    <w:rsid w:val="54962859"/>
    <w:rsid w:val="54977258"/>
    <w:rsid w:val="54992FD0"/>
    <w:rsid w:val="549C486F"/>
    <w:rsid w:val="549F7EBB"/>
    <w:rsid w:val="54A11E85"/>
    <w:rsid w:val="54AD4386"/>
    <w:rsid w:val="54AE00FE"/>
    <w:rsid w:val="54B020C8"/>
    <w:rsid w:val="54B25E40"/>
    <w:rsid w:val="54BC281B"/>
    <w:rsid w:val="54BE2A37"/>
    <w:rsid w:val="54BE47E5"/>
    <w:rsid w:val="54C17E31"/>
    <w:rsid w:val="54C31DFB"/>
    <w:rsid w:val="54D062C6"/>
    <w:rsid w:val="54D51B2F"/>
    <w:rsid w:val="54DB5397"/>
    <w:rsid w:val="54E01B15"/>
    <w:rsid w:val="54E0637C"/>
    <w:rsid w:val="54E3249D"/>
    <w:rsid w:val="54E349DF"/>
    <w:rsid w:val="54E403F1"/>
    <w:rsid w:val="54EA55DA"/>
    <w:rsid w:val="54F40207"/>
    <w:rsid w:val="54F4133B"/>
    <w:rsid w:val="54F93A6F"/>
    <w:rsid w:val="54FE1085"/>
    <w:rsid w:val="54FF095A"/>
    <w:rsid w:val="55020B76"/>
    <w:rsid w:val="5503567D"/>
    <w:rsid w:val="550541C2"/>
    <w:rsid w:val="55067F3A"/>
    <w:rsid w:val="55083CB2"/>
    <w:rsid w:val="55085A60"/>
    <w:rsid w:val="5509537A"/>
    <w:rsid w:val="55142068"/>
    <w:rsid w:val="551455E6"/>
    <w:rsid w:val="551663CF"/>
    <w:rsid w:val="551D59AF"/>
    <w:rsid w:val="551E34D6"/>
    <w:rsid w:val="551F1D4C"/>
    <w:rsid w:val="55202830"/>
    <w:rsid w:val="55254864"/>
    <w:rsid w:val="552A00CC"/>
    <w:rsid w:val="55306D65"/>
    <w:rsid w:val="55342CF9"/>
    <w:rsid w:val="55436A98"/>
    <w:rsid w:val="55452810"/>
    <w:rsid w:val="55480552"/>
    <w:rsid w:val="554C0043"/>
    <w:rsid w:val="554C0053"/>
    <w:rsid w:val="554D7917"/>
    <w:rsid w:val="55540CA5"/>
    <w:rsid w:val="55575E32"/>
    <w:rsid w:val="555869E7"/>
    <w:rsid w:val="555B0286"/>
    <w:rsid w:val="555B2034"/>
    <w:rsid w:val="555B64D8"/>
    <w:rsid w:val="5560589C"/>
    <w:rsid w:val="55676C2B"/>
    <w:rsid w:val="556829A3"/>
    <w:rsid w:val="556A2277"/>
    <w:rsid w:val="556C6AC4"/>
    <w:rsid w:val="556F788D"/>
    <w:rsid w:val="55774A3A"/>
    <w:rsid w:val="5579070C"/>
    <w:rsid w:val="5579695E"/>
    <w:rsid w:val="557B7612"/>
    <w:rsid w:val="557D01FC"/>
    <w:rsid w:val="557E3F74"/>
    <w:rsid w:val="55810B07"/>
    <w:rsid w:val="558275C0"/>
    <w:rsid w:val="55842B78"/>
    <w:rsid w:val="55863ACB"/>
    <w:rsid w:val="558A46C7"/>
    <w:rsid w:val="558B05F4"/>
    <w:rsid w:val="558C48E3"/>
    <w:rsid w:val="55937A20"/>
    <w:rsid w:val="559D47A0"/>
    <w:rsid w:val="55A25C04"/>
    <w:rsid w:val="55A44483"/>
    <w:rsid w:val="55A617C3"/>
    <w:rsid w:val="55AA2FBB"/>
    <w:rsid w:val="55AD03B6"/>
    <w:rsid w:val="55B41744"/>
    <w:rsid w:val="55B51CAD"/>
    <w:rsid w:val="55BB2AD2"/>
    <w:rsid w:val="55BB6F76"/>
    <w:rsid w:val="55BD684B"/>
    <w:rsid w:val="55C45E2B"/>
    <w:rsid w:val="55C5734D"/>
    <w:rsid w:val="55C71477"/>
    <w:rsid w:val="55CA0F67"/>
    <w:rsid w:val="55CC1183"/>
    <w:rsid w:val="55D63DB0"/>
    <w:rsid w:val="55DA38A0"/>
    <w:rsid w:val="55E02F95"/>
    <w:rsid w:val="55E22755"/>
    <w:rsid w:val="55E41916"/>
    <w:rsid w:val="55F04E72"/>
    <w:rsid w:val="55F12998"/>
    <w:rsid w:val="55F36710"/>
    <w:rsid w:val="55F54236"/>
    <w:rsid w:val="55FA7A9F"/>
    <w:rsid w:val="55FB7B9D"/>
    <w:rsid w:val="55FD133D"/>
    <w:rsid w:val="56007727"/>
    <w:rsid w:val="56011563"/>
    <w:rsid w:val="56041DBB"/>
    <w:rsid w:val="56064695"/>
    <w:rsid w:val="56091A90"/>
    <w:rsid w:val="560B1CAC"/>
    <w:rsid w:val="561072C2"/>
    <w:rsid w:val="5612303A"/>
    <w:rsid w:val="5613290E"/>
    <w:rsid w:val="561346BC"/>
    <w:rsid w:val="56156687"/>
    <w:rsid w:val="56186177"/>
    <w:rsid w:val="5621327D"/>
    <w:rsid w:val="562B7C58"/>
    <w:rsid w:val="563034C0"/>
    <w:rsid w:val="5632548A"/>
    <w:rsid w:val="56334886"/>
    <w:rsid w:val="563A0FCF"/>
    <w:rsid w:val="5642720A"/>
    <w:rsid w:val="56466225"/>
    <w:rsid w:val="564B20A8"/>
    <w:rsid w:val="564E7DEA"/>
    <w:rsid w:val="56502307"/>
    <w:rsid w:val="56521689"/>
    <w:rsid w:val="56551179"/>
    <w:rsid w:val="56552F27"/>
    <w:rsid w:val="56554CD5"/>
    <w:rsid w:val="56586573"/>
    <w:rsid w:val="565D1FD4"/>
    <w:rsid w:val="566623BE"/>
    <w:rsid w:val="56690780"/>
    <w:rsid w:val="566969D2"/>
    <w:rsid w:val="5671716B"/>
    <w:rsid w:val="5674771E"/>
    <w:rsid w:val="567A0BDF"/>
    <w:rsid w:val="56820D78"/>
    <w:rsid w:val="56821842"/>
    <w:rsid w:val="568850AA"/>
    <w:rsid w:val="56927CD7"/>
    <w:rsid w:val="5697353F"/>
    <w:rsid w:val="569C0B56"/>
    <w:rsid w:val="56A87492"/>
    <w:rsid w:val="56AD2D63"/>
    <w:rsid w:val="56C1680E"/>
    <w:rsid w:val="56C43C09"/>
    <w:rsid w:val="56C84C20"/>
    <w:rsid w:val="56CA56C3"/>
    <w:rsid w:val="56CB4F97"/>
    <w:rsid w:val="56CF3243"/>
    <w:rsid w:val="56D26326"/>
    <w:rsid w:val="56D71B8E"/>
    <w:rsid w:val="56D90DBE"/>
    <w:rsid w:val="56DE2CEF"/>
    <w:rsid w:val="56E322E1"/>
    <w:rsid w:val="56E46059"/>
    <w:rsid w:val="56EB73E7"/>
    <w:rsid w:val="56F91B04"/>
    <w:rsid w:val="57016C0B"/>
    <w:rsid w:val="570D55B0"/>
    <w:rsid w:val="570D7177"/>
    <w:rsid w:val="570E6CD9"/>
    <w:rsid w:val="57122BC6"/>
    <w:rsid w:val="571406EC"/>
    <w:rsid w:val="571526B6"/>
    <w:rsid w:val="571E7ECD"/>
    <w:rsid w:val="571F6A41"/>
    <w:rsid w:val="571F7091"/>
    <w:rsid w:val="57205945"/>
    <w:rsid w:val="572538F9"/>
    <w:rsid w:val="57272B15"/>
    <w:rsid w:val="57284198"/>
    <w:rsid w:val="572909A9"/>
    <w:rsid w:val="572D7A00"/>
    <w:rsid w:val="572E40A1"/>
    <w:rsid w:val="572F19CA"/>
    <w:rsid w:val="57315742"/>
    <w:rsid w:val="57346FE0"/>
    <w:rsid w:val="57352129"/>
    <w:rsid w:val="5737087F"/>
    <w:rsid w:val="573B036F"/>
    <w:rsid w:val="573B211D"/>
    <w:rsid w:val="574174A0"/>
    <w:rsid w:val="57435475"/>
    <w:rsid w:val="574808E2"/>
    <w:rsid w:val="57493062"/>
    <w:rsid w:val="5753390A"/>
    <w:rsid w:val="575651A9"/>
    <w:rsid w:val="57607DD5"/>
    <w:rsid w:val="576A5841"/>
    <w:rsid w:val="57711FE2"/>
    <w:rsid w:val="57743881"/>
    <w:rsid w:val="577708FE"/>
    <w:rsid w:val="577B076B"/>
    <w:rsid w:val="577B0FD8"/>
    <w:rsid w:val="57811AFA"/>
    <w:rsid w:val="578735B4"/>
    <w:rsid w:val="578D66F1"/>
    <w:rsid w:val="578F2469"/>
    <w:rsid w:val="57995095"/>
    <w:rsid w:val="579A178B"/>
    <w:rsid w:val="57A31A70"/>
    <w:rsid w:val="57A47B2A"/>
    <w:rsid w:val="57AA1051"/>
    <w:rsid w:val="57AA2DFF"/>
    <w:rsid w:val="57AC6B77"/>
    <w:rsid w:val="57B1418D"/>
    <w:rsid w:val="57B36157"/>
    <w:rsid w:val="57C21830"/>
    <w:rsid w:val="57C2283E"/>
    <w:rsid w:val="57CD08A3"/>
    <w:rsid w:val="57CF0AB7"/>
    <w:rsid w:val="57D34F8E"/>
    <w:rsid w:val="57D4431F"/>
    <w:rsid w:val="57D60097"/>
    <w:rsid w:val="57DD4F82"/>
    <w:rsid w:val="57E04A72"/>
    <w:rsid w:val="57E44562"/>
    <w:rsid w:val="57E74053"/>
    <w:rsid w:val="57E80FEC"/>
    <w:rsid w:val="57F64296"/>
    <w:rsid w:val="57F66044"/>
    <w:rsid w:val="57F87AFA"/>
    <w:rsid w:val="58005114"/>
    <w:rsid w:val="580544D9"/>
    <w:rsid w:val="580C3793"/>
    <w:rsid w:val="580E5A83"/>
    <w:rsid w:val="5814296E"/>
    <w:rsid w:val="58164938"/>
    <w:rsid w:val="581D1822"/>
    <w:rsid w:val="581D5CC6"/>
    <w:rsid w:val="5821489E"/>
    <w:rsid w:val="58232B8F"/>
    <w:rsid w:val="58247055"/>
    <w:rsid w:val="58256929"/>
    <w:rsid w:val="582F4FA6"/>
    <w:rsid w:val="583624E3"/>
    <w:rsid w:val="583848AE"/>
    <w:rsid w:val="583A23D4"/>
    <w:rsid w:val="58410767"/>
    <w:rsid w:val="58417C07"/>
    <w:rsid w:val="5842572D"/>
    <w:rsid w:val="58443253"/>
    <w:rsid w:val="5846521D"/>
    <w:rsid w:val="584C035A"/>
    <w:rsid w:val="584E5E80"/>
    <w:rsid w:val="58533496"/>
    <w:rsid w:val="5855720E"/>
    <w:rsid w:val="585B234B"/>
    <w:rsid w:val="585F1368"/>
    <w:rsid w:val="5862602D"/>
    <w:rsid w:val="586631C9"/>
    <w:rsid w:val="58676F42"/>
    <w:rsid w:val="58694A68"/>
    <w:rsid w:val="586B07E0"/>
    <w:rsid w:val="58730A25"/>
    <w:rsid w:val="58773629"/>
    <w:rsid w:val="587C56A4"/>
    <w:rsid w:val="58817B73"/>
    <w:rsid w:val="5883495D"/>
    <w:rsid w:val="58847AF3"/>
    <w:rsid w:val="58852AA8"/>
    <w:rsid w:val="5889510A"/>
    <w:rsid w:val="588B1A92"/>
    <w:rsid w:val="588B70D4"/>
    <w:rsid w:val="589113DD"/>
    <w:rsid w:val="58947D5E"/>
    <w:rsid w:val="5895585D"/>
    <w:rsid w:val="5895766E"/>
    <w:rsid w:val="58966525"/>
    <w:rsid w:val="5898359F"/>
    <w:rsid w:val="589D0BB5"/>
    <w:rsid w:val="589D4C38"/>
    <w:rsid w:val="58A261CC"/>
    <w:rsid w:val="58A3441E"/>
    <w:rsid w:val="58A42B80"/>
    <w:rsid w:val="58A92235"/>
    <w:rsid w:val="58B51F19"/>
    <w:rsid w:val="58B57CAD"/>
    <w:rsid w:val="58B77EC9"/>
    <w:rsid w:val="58C44394"/>
    <w:rsid w:val="58C63C68"/>
    <w:rsid w:val="58CB413F"/>
    <w:rsid w:val="58CF5AF8"/>
    <w:rsid w:val="58D36385"/>
    <w:rsid w:val="58DC16DE"/>
    <w:rsid w:val="58DF11CE"/>
    <w:rsid w:val="58E13FB0"/>
    <w:rsid w:val="58E467E4"/>
    <w:rsid w:val="58E95F87"/>
    <w:rsid w:val="58F033DB"/>
    <w:rsid w:val="58F76517"/>
    <w:rsid w:val="58FE7CE4"/>
    <w:rsid w:val="59044790"/>
    <w:rsid w:val="59060509"/>
    <w:rsid w:val="590B3D71"/>
    <w:rsid w:val="590B5B1F"/>
    <w:rsid w:val="591250FF"/>
    <w:rsid w:val="59126EAD"/>
    <w:rsid w:val="59146221"/>
    <w:rsid w:val="59164471"/>
    <w:rsid w:val="591C5F7E"/>
    <w:rsid w:val="592310BA"/>
    <w:rsid w:val="59237346"/>
    <w:rsid w:val="59254E33"/>
    <w:rsid w:val="59266DFD"/>
    <w:rsid w:val="592A2449"/>
    <w:rsid w:val="592F5CB1"/>
    <w:rsid w:val="593212FE"/>
    <w:rsid w:val="59323080"/>
    <w:rsid w:val="59352B9C"/>
    <w:rsid w:val="59374B66"/>
    <w:rsid w:val="593924D4"/>
    <w:rsid w:val="594159E5"/>
    <w:rsid w:val="59447AB5"/>
    <w:rsid w:val="594554D5"/>
    <w:rsid w:val="59543D59"/>
    <w:rsid w:val="595E6596"/>
    <w:rsid w:val="595F18C0"/>
    <w:rsid w:val="59613991"/>
    <w:rsid w:val="596C0CB3"/>
    <w:rsid w:val="596D0588"/>
    <w:rsid w:val="59710078"/>
    <w:rsid w:val="59722042"/>
    <w:rsid w:val="597436C4"/>
    <w:rsid w:val="59796F2C"/>
    <w:rsid w:val="597C6A1D"/>
    <w:rsid w:val="59837DAB"/>
    <w:rsid w:val="598558D1"/>
    <w:rsid w:val="59873909"/>
    <w:rsid w:val="5987789B"/>
    <w:rsid w:val="59883613"/>
    <w:rsid w:val="598C3104"/>
    <w:rsid w:val="598F6750"/>
    <w:rsid w:val="59934492"/>
    <w:rsid w:val="5996188C"/>
    <w:rsid w:val="599C2C1B"/>
    <w:rsid w:val="599E6993"/>
    <w:rsid w:val="59A3044D"/>
    <w:rsid w:val="59A65848"/>
    <w:rsid w:val="59AF6DF2"/>
    <w:rsid w:val="59B63CDD"/>
    <w:rsid w:val="59C4289D"/>
    <w:rsid w:val="59C503C4"/>
    <w:rsid w:val="59C75EEA"/>
    <w:rsid w:val="59C83A10"/>
    <w:rsid w:val="59CF1242"/>
    <w:rsid w:val="59D12FFD"/>
    <w:rsid w:val="59D93E6F"/>
    <w:rsid w:val="59E051FD"/>
    <w:rsid w:val="59E17ECD"/>
    <w:rsid w:val="59E31FA7"/>
    <w:rsid w:val="59E679BB"/>
    <w:rsid w:val="59F14D15"/>
    <w:rsid w:val="59F44805"/>
    <w:rsid w:val="59F9006D"/>
    <w:rsid w:val="5A0031AA"/>
    <w:rsid w:val="5A0544D6"/>
    <w:rsid w:val="5A07278A"/>
    <w:rsid w:val="5A0A0E41"/>
    <w:rsid w:val="5A0A227A"/>
    <w:rsid w:val="5A0B566F"/>
    <w:rsid w:val="5A0E0CBD"/>
    <w:rsid w:val="5A0E3B19"/>
    <w:rsid w:val="5A125065"/>
    <w:rsid w:val="5A137381"/>
    <w:rsid w:val="5A146C55"/>
    <w:rsid w:val="5A1629CD"/>
    <w:rsid w:val="5A1B7FE4"/>
    <w:rsid w:val="5A23587B"/>
    <w:rsid w:val="5A2C0443"/>
    <w:rsid w:val="5A2D3AF7"/>
    <w:rsid w:val="5A3115B5"/>
    <w:rsid w:val="5A403EEE"/>
    <w:rsid w:val="5A44753A"/>
    <w:rsid w:val="5A47702B"/>
    <w:rsid w:val="5A4A08C9"/>
    <w:rsid w:val="5A582FE6"/>
    <w:rsid w:val="5A5F4374"/>
    <w:rsid w:val="5A6A4AC7"/>
    <w:rsid w:val="5A726E5B"/>
    <w:rsid w:val="5A751DEA"/>
    <w:rsid w:val="5A75768F"/>
    <w:rsid w:val="5A7616BE"/>
    <w:rsid w:val="5A783688"/>
    <w:rsid w:val="5A7A7400"/>
    <w:rsid w:val="5A7D0C9E"/>
    <w:rsid w:val="5A7D47FA"/>
    <w:rsid w:val="5A7E52AB"/>
    <w:rsid w:val="5A867B53"/>
    <w:rsid w:val="5A875679"/>
    <w:rsid w:val="5A8C56CF"/>
    <w:rsid w:val="5A9325CA"/>
    <w:rsid w:val="5A957D96"/>
    <w:rsid w:val="5A9D4E9D"/>
    <w:rsid w:val="5AA004E9"/>
    <w:rsid w:val="5AA4622B"/>
    <w:rsid w:val="5AA75D1B"/>
    <w:rsid w:val="5AA8388B"/>
    <w:rsid w:val="5AAE0E58"/>
    <w:rsid w:val="5AB0697E"/>
    <w:rsid w:val="5AB521E6"/>
    <w:rsid w:val="5AB67D0C"/>
    <w:rsid w:val="5AB81CD6"/>
    <w:rsid w:val="5ABA5A4E"/>
    <w:rsid w:val="5ABA77FD"/>
    <w:rsid w:val="5AC7692E"/>
    <w:rsid w:val="5AC8016B"/>
    <w:rsid w:val="5AC82496"/>
    <w:rsid w:val="5ACB7C5C"/>
    <w:rsid w:val="5AD36B10"/>
    <w:rsid w:val="5AD76600"/>
    <w:rsid w:val="5AE5060C"/>
    <w:rsid w:val="5AE605F2"/>
    <w:rsid w:val="5AE66844"/>
    <w:rsid w:val="5AED7BD2"/>
    <w:rsid w:val="5AF076C2"/>
    <w:rsid w:val="5AF72A21"/>
    <w:rsid w:val="5AF841C3"/>
    <w:rsid w:val="5B060C94"/>
    <w:rsid w:val="5B09226A"/>
    <w:rsid w:val="5B0C37A3"/>
    <w:rsid w:val="5B101B12"/>
    <w:rsid w:val="5B157129"/>
    <w:rsid w:val="5B184523"/>
    <w:rsid w:val="5B1A64ED"/>
    <w:rsid w:val="5B21162A"/>
    <w:rsid w:val="5B2305AE"/>
    <w:rsid w:val="5B2630E4"/>
    <w:rsid w:val="5B2846A4"/>
    <w:rsid w:val="5B341EDC"/>
    <w:rsid w:val="5B3550D5"/>
    <w:rsid w:val="5B370E4D"/>
    <w:rsid w:val="5B3A26EB"/>
    <w:rsid w:val="5B3C2907"/>
    <w:rsid w:val="5B3C46B5"/>
    <w:rsid w:val="5B4377F2"/>
    <w:rsid w:val="5B4517BC"/>
    <w:rsid w:val="5B455011"/>
    <w:rsid w:val="5B460CC6"/>
    <w:rsid w:val="5B4A3759"/>
    <w:rsid w:val="5B4A5024"/>
    <w:rsid w:val="5B527A35"/>
    <w:rsid w:val="5B547C51"/>
    <w:rsid w:val="5B5714EF"/>
    <w:rsid w:val="5B5A5164"/>
    <w:rsid w:val="5B5B1114"/>
    <w:rsid w:val="5B5C7058"/>
    <w:rsid w:val="5B5F032B"/>
    <w:rsid w:val="5B633E15"/>
    <w:rsid w:val="5B647768"/>
    <w:rsid w:val="5B6617F1"/>
    <w:rsid w:val="5B6634E0"/>
    <w:rsid w:val="5B687259"/>
    <w:rsid w:val="5B6A0175"/>
    <w:rsid w:val="5B6A1223"/>
    <w:rsid w:val="5B6A2FD1"/>
    <w:rsid w:val="5B6C6CCB"/>
    <w:rsid w:val="5B6D2AC1"/>
    <w:rsid w:val="5B6F05E7"/>
    <w:rsid w:val="5B70610D"/>
    <w:rsid w:val="5B7B3430"/>
    <w:rsid w:val="5B7C0F56"/>
    <w:rsid w:val="5B7F45A2"/>
    <w:rsid w:val="5B8F6EDB"/>
    <w:rsid w:val="5B9031FC"/>
    <w:rsid w:val="5B991165"/>
    <w:rsid w:val="5BAA1AAE"/>
    <w:rsid w:val="5BAB3AFF"/>
    <w:rsid w:val="5BB16E51"/>
    <w:rsid w:val="5BB24978"/>
    <w:rsid w:val="5BB27C46"/>
    <w:rsid w:val="5BB701E0"/>
    <w:rsid w:val="5BB71F8E"/>
    <w:rsid w:val="5BC22E0D"/>
    <w:rsid w:val="5BC30933"/>
    <w:rsid w:val="5BC329F6"/>
    <w:rsid w:val="5BC50070"/>
    <w:rsid w:val="5BC528FD"/>
    <w:rsid w:val="5BCA10DE"/>
    <w:rsid w:val="5BCD2383"/>
    <w:rsid w:val="5BCD355F"/>
    <w:rsid w:val="5BD112A2"/>
    <w:rsid w:val="5BD73384"/>
    <w:rsid w:val="5BD743DE"/>
    <w:rsid w:val="5BDE39BF"/>
    <w:rsid w:val="5BE07737"/>
    <w:rsid w:val="5BE72873"/>
    <w:rsid w:val="5BEA5EBF"/>
    <w:rsid w:val="5BEC60DC"/>
    <w:rsid w:val="5BF136F2"/>
    <w:rsid w:val="5BF2528B"/>
    <w:rsid w:val="5BF4276A"/>
    <w:rsid w:val="5BF64864"/>
    <w:rsid w:val="5BF705DC"/>
    <w:rsid w:val="5BFB085F"/>
    <w:rsid w:val="5BFC5BF3"/>
    <w:rsid w:val="5C003935"/>
    <w:rsid w:val="5C0508F3"/>
    <w:rsid w:val="5C050F4B"/>
    <w:rsid w:val="5C0827EA"/>
    <w:rsid w:val="5C0C052C"/>
    <w:rsid w:val="5C0F1DCA"/>
    <w:rsid w:val="5C116622"/>
    <w:rsid w:val="5C135B9A"/>
    <w:rsid w:val="5C1D6295"/>
    <w:rsid w:val="5C2E04A2"/>
    <w:rsid w:val="5C317F92"/>
    <w:rsid w:val="5C381321"/>
    <w:rsid w:val="5C4051AD"/>
    <w:rsid w:val="5C491BE8"/>
    <w:rsid w:val="5C515F3F"/>
    <w:rsid w:val="5C594DF3"/>
    <w:rsid w:val="5C5D0D87"/>
    <w:rsid w:val="5C5D2B35"/>
    <w:rsid w:val="5C602626"/>
    <w:rsid w:val="5C642116"/>
    <w:rsid w:val="5C693288"/>
    <w:rsid w:val="5C69772C"/>
    <w:rsid w:val="5C6D2645"/>
    <w:rsid w:val="5C727938"/>
    <w:rsid w:val="5C755BC8"/>
    <w:rsid w:val="5C8207EE"/>
    <w:rsid w:val="5C841E70"/>
    <w:rsid w:val="5C846314"/>
    <w:rsid w:val="5C871960"/>
    <w:rsid w:val="5C891B7C"/>
    <w:rsid w:val="5C8E2CEF"/>
    <w:rsid w:val="5C8F70D8"/>
    <w:rsid w:val="5C961BA3"/>
    <w:rsid w:val="5C9654EB"/>
    <w:rsid w:val="5C9B365E"/>
    <w:rsid w:val="5CA2679A"/>
    <w:rsid w:val="5CA40764"/>
    <w:rsid w:val="5CA92850"/>
    <w:rsid w:val="5CA97B29"/>
    <w:rsid w:val="5CBA1D36"/>
    <w:rsid w:val="5CBB785C"/>
    <w:rsid w:val="5CC826A5"/>
    <w:rsid w:val="5CC83A97"/>
    <w:rsid w:val="5CD54DC2"/>
    <w:rsid w:val="5CD841AC"/>
    <w:rsid w:val="5CDA4885"/>
    <w:rsid w:val="5CDC1CAC"/>
    <w:rsid w:val="5CDD5A24"/>
    <w:rsid w:val="5CE01403"/>
    <w:rsid w:val="5CE13766"/>
    <w:rsid w:val="5CE15514"/>
    <w:rsid w:val="5CED474D"/>
    <w:rsid w:val="5CEE7C31"/>
    <w:rsid w:val="5CF3349A"/>
    <w:rsid w:val="5CF36FF6"/>
    <w:rsid w:val="5CFA6097"/>
    <w:rsid w:val="5D0134C1"/>
    <w:rsid w:val="5D015BB7"/>
    <w:rsid w:val="5D030254"/>
    <w:rsid w:val="5D086F45"/>
    <w:rsid w:val="5D096819"/>
    <w:rsid w:val="5D156F6C"/>
    <w:rsid w:val="5D172CE4"/>
    <w:rsid w:val="5D1F428F"/>
    <w:rsid w:val="5D1F603D"/>
    <w:rsid w:val="5D213B63"/>
    <w:rsid w:val="5D215911"/>
    <w:rsid w:val="5D255365"/>
    <w:rsid w:val="5D283143"/>
    <w:rsid w:val="5D2D2508"/>
    <w:rsid w:val="5D333896"/>
    <w:rsid w:val="5D3A2E77"/>
    <w:rsid w:val="5D3B530C"/>
    <w:rsid w:val="5D473A49"/>
    <w:rsid w:val="5D4D4958"/>
    <w:rsid w:val="5D4D7738"/>
    <w:rsid w:val="5D4E550A"/>
    <w:rsid w:val="5D5177E6"/>
    <w:rsid w:val="5D5201C0"/>
    <w:rsid w:val="5D557CB0"/>
    <w:rsid w:val="5D5757D7"/>
    <w:rsid w:val="5D5C103F"/>
    <w:rsid w:val="5D5C1D60"/>
    <w:rsid w:val="5D616655"/>
    <w:rsid w:val="5D6323CD"/>
    <w:rsid w:val="5D647EF4"/>
    <w:rsid w:val="5D662547"/>
    <w:rsid w:val="5D6E241A"/>
    <w:rsid w:val="5D6F0D72"/>
    <w:rsid w:val="5D722610"/>
    <w:rsid w:val="5D753EAF"/>
    <w:rsid w:val="5D7B7765"/>
    <w:rsid w:val="5D7E7207"/>
    <w:rsid w:val="5D804D2D"/>
    <w:rsid w:val="5D8440F2"/>
    <w:rsid w:val="5D8937E0"/>
    <w:rsid w:val="5D8B36D2"/>
    <w:rsid w:val="5D8B5480"/>
    <w:rsid w:val="5D8D11F8"/>
    <w:rsid w:val="5D8D744A"/>
    <w:rsid w:val="5D9462B0"/>
    <w:rsid w:val="5D9500AD"/>
    <w:rsid w:val="5D977093"/>
    <w:rsid w:val="5D9939C5"/>
    <w:rsid w:val="5D9A1DE9"/>
    <w:rsid w:val="5D9F2CDA"/>
    <w:rsid w:val="5DA11F85"/>
    <w:rsid w:val="5DA14CA4"/>
    <w:rsid w:val="5DA26CF9"/>
    <w:rsid w:val="5DAD189A"/>
    <w:rsid w:val="5DAF116F"/>
    <w:rsid w:val="5DB20C5F"/>
    <w:rsid w:val="5DB46F7F"/>
    <w:rsid w:val="5DB669A1"/>
    <w:rsid w:val="5DBC388C"/>
    <w:rsid w:val="5DC015CE"/>
    <w:rsid w:val="5DC21086"/>
    <w:rsid w:val="5DC56BE4"/>
    <w:rsid w:val="5DC92D5F"/>
    <w:rsid w:val="5DCB3ACF"/>
    <w:rsid w:val="5DD46E27"/>
    <w:rsid w:val="5DDB6408"/>
    <w:rsid w:val="5DDE1A54"/>
    <w:rsid w:val="5DEC23C3"/>
    <w:rsid w:val="5DED7EE9"/>
    <w:rsid w:val="5DEF1EB3"/>
    <w:rsid w:val="5DF136C0"/>
    <w:rsid w:val="5DF516E2"/>
    <w:rsid w:val="5DF64FF0"/>
    <w:rsid w:val="5DF66D9E"/>
    <w:rsid w:val="5E005E6E"/>
    <w:rsid w:val="5E0E2BE8"/>
    <w:rsid w:val="5E176D14"/>
    <w:rsid w:val="5E192A8C"/>
    <w:rsid w:val="5E2002BE"/>
    <w:rsid w:val="5E203E1A"/>
    <w:rsid w:val="5E316028"/>
    <w:rsid w:val="5E3478C6"/>
    <w:rsid w:val="5E3653EC"/>
    <w:rsid w:val="5E371164"/>
    <w:rsid w:val="5E40270F"/>
    <w:rsid w:val="5E4044BD"/>
    <w:rsid w:val="5E51556C"/>
    <w:rsid w:val="5E59557E"/>
    <w:rsid w:val="5E5D50D2"/>
    <w:rsid w:val="5E6261E1"/>
    <w:rsid w:val="5E6301AB"/>
    <w:rsid w:val="5E6F6B50"/>
    <w:rsid w:val="5E710301"/>
    <w:rsid w:val="5E731127"/>
    <w:rsid w:val="5E734892"/>
    <w:rsid w:val="5E744166"/>
    <w:rsid w:val="5E781EA8"/>
    <w:rsid w:val="5E79177D"/>
    <w:rsid w:val="5E7B5776"/>
    <w:rsid w:val="5E7B72A3"/>
    <w:rsid w:val="5E7F3237"/>
    <w:rsid w:val="5E83582A"/>
    <w:rsid w:val="5E84084D"/>
    <w:rsid w:val="5E876089"/>
    <w:rsid w:val="5E880B7F"/>
    <w:rsid w:val="5E9345EC"/>
    <w:rsid w:val="5E9A1E1F"/>
    <w:rsid w:val="5EA24EFC"/>
    <w:rsid w:val="5EA26F25"/>
    <w:rsid w:val="5EA44A4C"/>
    <w:rsid w:val="5EA70098"/>
    <w:rsid w:val="5EA73388"/>
    <w:rsid w:val="5EA902B4"/>
    <w:rsid w:val="5EAA7B88"/>
    <w:rsid w:val="5EAF519E"/>
    <w:rsid w:val="5EB17156"/>
    <w:rsid w:val="5EBB7FE7"/>
    <w:rsid w:val="5EBD78BB"/>
    <w:rsid w:val="5EC073AC"/>
    <w:rsid w:val="5EC549C2"/>
    <w:rsid w:val="5EC923F3"/>
    <w:rsid w:val="5ECE3876"/>
    <w:rsid w:val="5ECE7D1A"/>
    <w:rsid w:val="5ED532D1"/>
    <w:rsid w:val="5ED54C05"/>
    <w:rsid w:val="5EDD7F5D"/>
    <w:rsid w:val="5EDE0D55"/>
    <w:rsid w:val="5EE17A4E"/>
    <w:rsid w:val="5EE94B54"/>
    <w:rsid w:val="5EEC1F4F"/>
    <w:rsid w:val="5EEE216B"/>
    <w:rsid w:val="5EF17565"/>
    <w:rsid w:val="5EF552A7"/>
    <w:rsid w:val="5EF77271"/>
    <w:rsid w:val="5EFD0600"/>
    <w:rsid w:val="5F032499"/>
    <w:rsid w:val="5F076D88"/>
    <w:rsid w:val="5F092B01"/>
    <w:rsid w:val="5F0E45BB"/>
    <w:rsid w:val="5F1D65AC"/>
    <w:rsid w:val="5F1F0576"/>
    <w:rsid w:val="5F1F116C"/>
    <w:rsid w:val="5F21609C"/>
    <w:rsid w:val="5F24793A"/>
    <w:rsid w:val="5F294F51"/>
    <w:rsid w:val="5F296CFF"/>
    <w:rsid w:val="5F2B0CC9"/>
    <w:rsid w:val="5F2B6F1B"/>
    <w:rsid w:val="5F2D4A41"/>
    <w:rsid w:val="5F2E484C"/>
    <w:rsid w:val="5F3538F6"/>
    <w:rsid w:val="5F381638"/>
    <w:rsid w:val="5F3A0F0C"/>
    <w:rsid w:val="5F3C1128"/>
    <w:rsid w:val="5F3D09FC"/>
    <w:rsid w:val="5F3E6C4E"/>
    <w:rsid w:val="5F3F6C61"/>
    <w:rsid w:val="5F412CC2"/>
    <w:rsid w:val="5F426012"/>
    <w:rsid w:val="5F4F0E5B"/>
    <w:rsid w:val="5F5024DD"/>
    <w:rsid w:val="5F5244A8"/>
    <w:rsid w:val="5F555D46"/>
    <w:rsid w:val="5F593A88"/>
    <w:rsid w:val="5F5A335C"/>
    <w:rsid w:val="5F5D4BFA"/>
    <w:rsid w:val="5F6274A7"/>
    <w:rsid w:val="5F63348B"/>
    <w:rsid w:val="5F645470"/>
    <w:rsid w:val="5F667F53"/>
    <w:rsid w:val="5F7D704B"/>
    <w:rsid w:val="5F8108E9"/>
    <w:rsid w:val="5F84662B"/>
    <w:rsid w:val="5F864151"/>
    <w:rsid w:val="5F875899"/>
    <w:rsid w:val="5F8D68AD"/>
    <w:rsid w:val="5F8E3006"/>
    <w:rsid w:val="5F8F3B20"/>
    <w:rsid w:val="5F993E84"/>
    <w:rsid w:val="5F9F3465"/>
    <w:rsid w:val="5FA10F8B"/>
    <w:rsid w:val="5FAE4C7E"/>
    <w:rsid w:val="5FB32A6C"/>
    <w:rsid w:val="5FB54A36"/>
    <w:rsid w:val="5FBE6AC1"/>
    <w:rsid w:val="5FBF1BB6"/>
    <w:rsid w:val="5FC1162D"/>
    <w:rsid w:val="5FC14861"/>
    <w:rsid w:val="5FCD3B2E"/>
    <w:rsid w:val="5FD0793B"/>
    <w:rsid w:val="5FE13A7D"/>
    <w:rsid w:val="5FE175D9"/>
    <w:rsid w:val="5FE315A4"/>
    <w:rsid w:val="5FE52027"/>
    <w:rsid w:val="5FE95D29"/>
    <w:rsid w:val="5FEA2932"/>
    <w:rsid w:val="5FF23595"/>
    <w:rsid w:val="5FF53A47"/>
    <w:rsid w:val="5FF90DC7"/>
    <w:rsid w:val="5FFB68ED"/>
    <w:rsid w:val="5FFC31E6"/>
    <w:rsid w:val="60017C7C"/>
    <w:rsid w:val="600532C8"/>
    <w:rsid w:val="600A2924"/>
    <w:rsid w:val="600D4872"/>
    <w:rsid w:val="60161979"/>
    <w:rsid w:val="601B6F8F"/>
    <w:rsid w:val="601C4AB5"/>
    <w:rsid w:val="601C6864"/>
    <w:rsid w:val="6025396A"/>
    <w:rsid w:val="60255718"/>
    <w:rsid w:val="602C0B07"/>
    <w:rsid w:val="602D6CC3"/>
    <w:rsid w:val="603040BD"/>
    <w:rsid w:val="60326087"/>
    <w:rsid w:val="603401BE"/>
    <w:rsid w:val="60367D1F"/>
    <w:rsid w:val="60372B4A"/>
    <w:rsid w:val="60395667"/>
    <w:rsid w:val="603B13E0"/>
    <w:rsid w:val="603E4A2C"/>
    <w:rsid w:val="604638E0"/>
    <w:rsid w:val="60471B32"/>
    <w:rsid w:val="60477D84"/>
    <w:rsid w:val="604A1623"/>
    <w:rsid w:val="604A33D1"/>
    <w:rsid w:val="60561D75"/>
    <w:rsid w:val="605814A9"/>
    <w:rsid w:val="605B55DE"/>
    <w:rsid w:val="605D1356"/>
    <w:rsid w:val="605E399C"/>
    <w:rsid w:val="605E6E7C"/>
    <w:rsid w:val="606049A2"/>
    <w:rsid w:val="60607AAD"/>
    <w:rsid w:val="60607F5C"/>
    <w:rsid w:val="60624BCD"/>
    <w:rsid w:val="6065645C"/>
    <w:rsid w:val="60657517"/>
    <w:rsid w:val="60671BCE"/>
    <w:rsid w:val="60675917"/>
    <w:rsid w:val="606D5311"/>
    <w:rsid w:val="606F72DB"/>
    <w:rsid w:val="607048EA"/>
    <w:rsid w:val="6078689C"/>
    <w:rsid w:val="6079411D"/>
    <w:rsid w:val="607966DC"/>
    <w:rsid w:val="607B17DC"/>
    <w:rsid w:val="60883EF9"/>
    <w:rsid w:val="608B6453"/>
    <w:rsid w:val="608B78E2"/>
    <w:rsid w:val="60940AF0"/>
    <w:rsid w:val="609A3353"/>
    <w:rsid w:val="609A3997"/>
    <w:rsid w:val="609B1E7E"/>
    <w:rsid w:val="609B3C2C"/>
    <w:rsid w:val="609C5C96"/>
    <w:rsid w:val="60A24FBB"/>
    <w:rsid w:val="60AA0313"/>
    <w:rsid w:val="60B051E5"/>
    <w:rsid w:val="60B66CB8"/>
    <w:rsid w:val="60B92304"/>
    <w:rsid w:val="60BA0556"/>
    <w:rsid w:val="60BD0047"/>
    <w:rsid w:val="60BE791B"/>
    <w:rsid w:val="60C54324"/>
    <w:rsid w:val="60C767CF"/>
    <w:rsid w:val="60C94F07"/>
    <w:rsid w:val="60CD7B82"/>
    <w:rsid w:val="60CE5DB0"/>
    <w:rsid w:val="60D158A0"/>
    <w:rsid w:val="60D1764E"/>
    <w:rsid w:val="60D94755"/>
    <w:rsid w:val="60DB671F"/>
    <w:rsid w:val="60E455D3"/>
    <w:rsid w:val="60F8107F"/>
    <w:rsid w:val="60FC3059"/>
    <w:rsid w:val="60FF4339"/>
    <w:rsid w:val="61016185"/>
    <w:rsid w:val="61084118"/>
    <w:rsid w:val="610C68D8"/>
    <w:rsid w:val="61112140"/>
    <w:rsid w:val="61137C66"/>
    <w:rsid w:val="611512FD"/>
    <w:rsid w:val="6118702B"/>
    <w:rsid w:val="611D0AE5"/>
    <w:rsid w:val="612105D5"/>
    <w:rsid w:val="61212F9E"/>
    <w:rsid w:val="612260FC"/>
    <w:rsid w:val="61227EAA"/>
    <w:rsid w:val="61243C22"/>
    <w:rsid w:val="61251748"/>
    <w:rsid w:val="61280ECF"/>
    <w:rsid w:val="612C6F7A"/>
    <w:rsid w:val="61300818"/>
    <w:rsid w:val="61357BDD"/>
    <w:rsid w:val="61377DF9"/>
    <w:rsid w:val="613D2F35"/>
    <w:rsid w:val="61401B99"/>
    <w:rsid w:val="61442516"/>
    <w:rsid w:val="614C2AA3"/>
    <w:rsid w:val="61525AC6"/>
    <w:rsid w:val="61531878"/>
    <w:rsid w:val="61613DE8"/>
    <w:rsid w:val="616B2973"/>
    <w:rsid w:val="616B40B4"/>
    <w:rsid w:val="61730705"/>
    <w:rsid w:val="617410CB"/>
    <w:rsid w:val="617954B8"/>
    <w:rsid w:val="6183303E"/>
    <w:rsid w:val="61834DEC"/>
    <w:rsid w:val="618824F0"/>
    <w:rsid w:val="618943CD"/>
    <w:rsid w:val="6192502F"/>
    <w:rsid w:val="61971C06"/>
    <w:rsid w:val="61994610"/>
    <w:rsid w:val="619C1A0A"/>
    <w:rsid w:val="61A22D98"/>
    <w:rsid w:val="61A82AA5"/>
    <w:rsid w:val="61A86601"/>
    <w:rsid w:val="61A954E6"/>
    <w:rsid w:val="61AB7E9F"/>
    <w:rsid w:val="61AD1E69"/>
    <w:rsid w:val="61BA4586"/>
    <w:rsid w:val="61BC02FE"/>
    <w:rsid w:val="61BE4076"/>
    <w:rsid w:val="61BE5E24"/>
    <w:rsid w:val="61C827FF"/>
    <w:rsid w:val="61C96577"/>
    <w:rsid w:val="61D13262"/>
    <w:rsid w:val="61D218D0"/>
    <w:rsid w:val="61D64241"/>
    <w:rsid w:val="61D90EB0"/>
    <w:rsid w:val="61DC62AA"/>
    <w:rsid w:val="61DE0274"/>
    <w:rsid w:val="61E17D65"/>
    <w:rsid w:val="61E41603"/>
    <w:rsid w:val="61E451AA"/>
    <w:rsid w:val="61EA4E6B"/>
    <w:rsid w:val="61EA6C19"/>
    <w:rsid w:val="61ED495B"/>
    <w:rsid w:val="61EE5FDE"/>
    <w:rsid w:val="61F21F72"/>
    <w:rsid w:val="61F50F1C"/>
    <w:rsid w:val="61F555BE"/>
    <w:rsid w:val="61F5736C"/>
    <w:rsid w:val="61FC06FB"/>
    <w:rsid w:val="61FE776F"/>
    <w:rsid w:val="61FF01EB"/>
    <w:rsid w:val="62000E52"/>
    <w:rsid w:val="62092E18"/>
    <w:rsid w:val="620A1069"/>
    <w:rsid w:val="620D2908"/>
    <w:rsid w:val="62175534"/>
    <w:rsid w:val="62287742"/>
    <w:rsid w:val="6229086A"/>
    <w:rsid w:val="622C52FC"/>
    <w:rsid w:val="622F6D22"/>
    <w:rsid w:val="623065F6"/>
    <w:rsid w:val="62312A9A"/>
    <w:rsid w:val="6232236E"/>
    <w:rsid w:val="62326812"/>
    <w:rsid w:val="623600B0"/>
    <w:rsid w:val="623936FD"/>
    <w:rsid w:val="623C31ED"/>
    <w:rsid w:val="624857CA"/>
    <w:rsid w:val="62486675"/>
    <w:rsid w:val="624C78D4"/>
    <w:rsid w:val="62516C98"/>
    <w:rsid w:val="625247BE"/>
    <w:rsid w:val="625978FB"/>
    <w:rsid w:val="62601FC1"/>
    <w:rsid w:val="62602AAB"/>
    <w:rsid w:val="6260512D"/>
    <w:rsid w:val="6263077A"/>
    <w:rsid w:val="62646DC0"/>
    <w:rsid w:val="626544F2"/>
    <w:rsid w:val="626A0D58"/>
    <w:rsid w:val="627161D0"/>
    <w:rsid w:val="62722196"/>
    <w:rsid w:val="62726C0F"/>
    <w:rsid w:val="62775FD3"/>
    <w:rsid w:val="627B3D15"/>
    <w:rsid w:val="627B5AC3"/>
    <w:rsid w:val="627E3805"/>
    <w:rsid w:val="628074C4"/>
    <w:rsid w:val="628942F0"/>
    <w:rsid w:val="628A21AA"/>
    <w:rsid w:val="628F156F"/>
    <w:rsid w:val="62922E0D"/>
    <w:rsid w:val="62946B85"/>
    <w:rsid w:val="629848C7"/>
    <w:rsid w:val="629E5C56"/>
    <w:rsid w:val="62A019CE"/>
    <w:rsid w:val="62A414BE"/>
    <w:rsid w:val="62A768B8"/>
    <w:rsid w:val="62AC2121"/>
    <w:rsid w:val="62AC3ECF"/>
    <w:rsid w:val="62B07A33"/>
    <w:rsid w:val="62B114E5"/>
    <w:rsid w:val="62B45479"/>
    <w:rsid w:val="62B611F1"/>
    <w:rsid w:val="62B92A90"/>
    <w:rsid w:val="62BD60DC"/>
    <w:rsid w:val="62C0797A"/>
    <w:rsid w:val="62C21944"/>
    <w:rsid w:val="62C31218"/>
    <w:rsid w:val="62C41341"/>
    <w:rsid w:val="62CA25A7"/>
    <w:rsid w:val="62D17DD9"/>
    <w:rsid w:val="62D84CC4"/>
    <w:rsid w:val="62DA0EF3"/>
    <w:rsid w:val="62DE2F31"/>
    <w:rsid w:val="62DE42A4"/>
    <w:rsid w:val="62E3581A"/>
    <w:rsid w:val="62E53885"/>
    <w:rsid w:val="62E64DB9"/>
    <w:rsid w:val="62E96ED1"/>
    <w:rsid w:val="62EB2BD1"/>
    <w:rsid w:val="62EE44E7"/>
    <w:rsid w:val="62EE79D5"/>
    <w:rsid w:val="62EF7724"/>
    <w:rsid w:val="62F35FA1"/>
    <w:rsid w:val="62FD0BCE"/>
    <w:rsid w:val="62FF4946"/>
    <w:rsid w:val="6300421A"/>
    <w:rsid w:val="630261E5"/>
    <w:rsid w:val="63034138"/>
    <w:rsid w:val="63043D0B"/>
    <w:rsid w:val="63071A4D"/>
    <w:rsid w:val="630775DC"/>
    <w:rsid w:val="630C0E11"/>
    <w:rsid w:val="6311467A"/>
    <w:rsid w:val="6315684F"/>
    <w:rsid w:val="631623DD"/>
    <w:rsid w:val="631F6D97"/>
    <w:rsid w:val="63202A83"/>
    <w:rsid w:val="6324615B"/>
    <w:rsid w:val="632B78FF"/>
    <w:rsid w:val="632C14B3"/>
    <w:rsid w:val="632C4D08"/>
    <w:rsid w:val="63363025"/>
    <w:rsid w:val="633D294A"/>
    <w:rsid w:val="6347009B"/>
    <w:rsid w:val="634A32FC"/>
    <w:rsid w:val="634B004C"/>
    <w:rsid w:val="635051A2"/>
    <w:rsid w:val="63514A76"/>
    <w:rsid w:val="63554566"/>
    <w:rsid w:val="63560BC5"/>
    <w:rsid w:val="63564074"/>
    <w:rsid w:val="635A1B7D"/>
    <w:rsid w:val="635A7DCF"/>
    <w:rsid w:val="636522D0"/>
    <w:rsid w:val="63681343"/>
    <w:rsid w:val="6369429E"/>
    <w:rsid w:val="636E73D6"/>
    <w:rsid w:val="63721ED3"/>
    <w:rsid w:val="6372336A"/>
    <w:rsid w:val="63754C08"/>
    <w:rsid w:val="637644DD"/>
    <w:rsid w:val="637F5A87"/>
    <w:rsid w:val="63860BC4"/>
    <w:rsid w:val="638C3D00"/>
    <w:rsid w:val="63905AB7"/>
    <w:rsid w:val="63950E07"/>
    <w:rsid w:val="639A74A1"/>
    <w:rsid w:val="639C2195"/>
    <w:rsid w:val="639D5F0D"/>
    <w:rsid w:val="639E415F"/>
    <w:rsid w:val="63A66B70"/>
    <w:rsid w:val="63A70B3A"/>
    <w:rsid w:val="63AB687C"/>
    <w:rsid w:val="63B514A9"/>
    <w:rsid w:val="63B84AF5"/>
    <w:rsid w:val="63BF5E84"/>
    <w:rsid w:val="63C3258D"/>
    <w:rsid w:val="63C33BC6"/>
    <w:rsid w:val="63C82F8A"/>
    <w:rsid w:val="63C96D02"/>
    <w:rsid w:val="63D336DD"/>
    <w:rsid w:val="63E15DFA"/>
    <w:rsid w:val="63E36016"/>
    <w:rsid w:val="63E61662"/>
    <w:rsid w:val="63E853DA"/>
    <w:rsid w:val="63EB6C79"/>
    <w:rsid w:val="63ED69CA"/>
    <w:rsid w:val="63EF49BB"/>
    <w:rsid w:val="63F21DB5"/>
    <w:rsid w:val="63F27EFF"/>
    <w:rsid w:val="63FD1B44"/>
    <w:rsid w:val="63FE4BFE"/>
    <w:rsid w:val="6401649C"/>
    <w:rsid w:val="64055F8C"/>
    <w:rsid w:val="6408782B"/>
    <w:rsid w:val="640970FF"/>
    <w:rsid w:val="640B731B"/>
    <w:rsid w:val="640D6BEF"/>
    <w:rsid w:val="641206A9"/>
    <w:rsid w:val="641E2BAA"/>
    <w:rsid w:val="64202DC6"/>
    <w:rsid w:val="642108EC"/>
    <w:rsid w:val="642B3519"/>
    <w:rsid w:val="64300B2F"/>
    <w:rsid w:val="64356146"/>
    <w:rsid w:val="64371EBE"/>
    <w:rsid w:val="643C1282"/>
    <w:rsid w:val="643C5726"/>
    <w:rsid w:val="643E324C"/>
    <w:rsid w:val="64432611"/>
    <w:rsid w:val="644338BB"/>
    <w:rsid w:val="64487C27"/>
    <w:rsid w:val="64502F80"/>
    <w:rsid w:val="645667E8"/>
    <w:rsid w:val="64591E34"/>
    <w:rsid w:val="645E744B"/>
    <w:rsid w:val="64630F05"/>
    <w:rsid w:val="64682077"/>
    <w:rsid w:val="64695851"/>
    <w:rsid w:val="6472739A"/>
    <w:rsid w:val="64752A78"/>
    <w:rsid w:val="647629E6"/>
    <w:rsid w:val="64763820"/>
    <w:rsid w:val="64771F77"/>
    <w:rsid w:val="647A43A8"/>
    <w:rsid w:val="648275DD"/>
    <w:rsid w:val="6483570B"/>
    <w:rsid w:val="64850E7B"/>
    <w:rsid w:val="64872E45"/>
    <w:rsid w:val="648A6492"/>
    <w:rsid w:val="648D794E"/>
    <w:rsid w:val="64915A72"/>
    <w:rsid w:val="64966BE4"/>
    <w:rsid w:val="64970BAF"/>
    <w:rsid w:val="64A62BA0"/>
    <w:rsid w:val="64A77044"/>
    <w:rsid w:val="64A83900"/>
    <w:rsid w:val="64AA258B"/>
    <w:rsid w:val="64AF414A"/>
    <w:rsid w:val="64AF7CA6"/>
    <w:rsid w:val="64B13A1E"/>
    <w:rsid w:val="64B21544"/>
    <w:rsid w:val="64B61035"/>
    <w:rsid w:val="64B654D9"/>
    <w:rsid w:val="64B82FFF"/>
    <w:rsid w:val="64C33752"/>
    <w:rsid w:val="64CD45D0"/>
    <w:rsid w:val="64CE6B12"/>
    <w:rsid w:val="64D67929"/>
    <w:rsid w:val="64E35BA2"/>
    <w:rsid w:val="64E84E8D"/>
    <w:rsid w:val="64E9765C"/>
    <w:rsid w:val="64EC0EFA"/>
    <w:rsid w:val="64ED743E"/>
    <w:rsid w:val="64F32289"/>
    <w:rsid w:val="64F34037"/>
    <w:rsid w:val="64F41B5D"/>
    <w:rsid w:val="64F61D79"/>
    <w:rsid w:val="64F63B27"/>
    <w:rsid w:val="64F658D5"/>
    <w:rsid w:val="64F8164D"/>
    <w:rsid w:val="64F93617"/>
    <w:rsid w:val="64FE478A"/>
    <w:rsid w:val="6502427A"/>
    <w:rsid w:val="65046244"/>
    <w:rsid w:val="65055B18"/>
    <w:rsid w:val="6508537F"/>
    <w:rsid w:val="650A75D2"/>
    <w:rsid w:val="650E0E71"/>
    <w:rsid w:val="65130235"/>
    <w:rsid w:val="65136895"/>
    <w:rsid w:val="651415E9"/>
    <w:rsid w:val="651915C4"/>
    <w:rsid w:val="651D5558"/>
    <w:rsid w:val="65200BA4"/>
    <w:rsid w:val="65202952"/>
    <w:rsid w:val="6522491C"/>
    <w:rsid w:val="652266CA"/>
    <w:rsid w:val="65240694"/>
    <w:rsid w:val="65242442"/>
    <w:rsid w:val="65247FC2"/>
    <w:rsid w:val="65297A59"/>
    <w:rsid w:val="652A557F"/>
    <w:rsid w:val="652C7549"/>
    <w:rsid w:val="652E1513"/>
    <w:rsid w:val="65306525"/>
    <w:rsid w:val="6535464F"/>
    <w:rsid w:val="65363F24"/>
    <w:rsid w:val="653A12A3"/>
    <w:rsid w:val="653C55F0"/>
    <w:rsid w:val="65420B1A"/>
    <w:rsid w:val="65471650"/>
    <w:rsid w:val="65476131"/>
    <w:rsid w:val="65491EA9"/>
    <w:rsid w:val="65534AD5"/>
    <w:rsid w:val="655642D4"/>
    <w:rsid w:val="65566E4D"/>
    <w:rsid w:val="65584C31"/>
    <w:rsid w:val="6562740E"/>
    <w:rsid w:val="65633D3E"/>
    <w:rsid w:val="65646CE3"/>
    <w:rsid w:val="656767D3"/>
    <w:rsid w:val="656942F9"/>
    <w:rsid w:val="656960A7"/>
    <w:rsid w:val="656C203B"/>
    <w:rsid w:val="656C2C83"/>
    <w:rsid w:val="65705687"/>
    <w:rsid w:val="657158C0"/>
    <w:rsid w:val="65717652"/>
    <w:rsid w:val="65735178"/>
    <w:rsid w:val="65744A4C"/>
    <w:rsid w:val="65782223"/>
    <w:rsid w:val="657A6EF0"/>
    <w:rsid w:val="657B5DDA"/>
    <w:rsid w:val="65801643"/>
    <w:rsid w:val="65817895"/>
    <w:rsid w:val="65841133"/>
    <w:rsid w:val="65842EE1"/>
    <w:rsid w:val="658630FD"/>
    <w:rsid w:val="65870C23"/>
    <w:rsid w:val="65876E75"/>
    <w:rsid w:val="658E1FB1"/>
    <w:rsid w:val="65907AD8"/>
    <w:rsid w:val="65931376"/>
    <w:rsid w:val="65956E9C"/>
    <w:rsid w:val="659B1574"/>
    <w:rsid w:val="659D0447"/>
    <w:rsid w:val="659D354A"/>
    <w:rsid w:val="659F5F6D"/>
    <w:rsid w:val="65A17F37"/>
    <w:rsid w:val="65A85223"/>
    <w:rsid w:val="65AE61B0"/>
    <w:rsid w:val="65B23EF2"/>
    <w:rsid w:val="65B337C6"/>
    <w:rsid w:val="65B5753E"/>
    <w:rsid w:val="65B65064"/>
    <w:rsid w:val="65BC6B1F"/>
    <w:rsid w:val="65BE2C69"/>
    <w:rsid w:val="65BF660F"/>
    <w:rsid w:val="65C15EE3"/>
    <w:rsid w:val="65C30618"/>
    <w:rsid w:val="65D0781C"/>
    <w:rsid w:val="65D148DA"/>
    <w:rsid w:val="65D75707"/>
    <w:rsid w:val="65D8322D"/>
    <w:rsid w:val="65DD1521"/>
    <w:rsid w:val="65DD6A95"/>
    <w:rsid w:val="65DF6369"/>
    <w:rsid w:val="65E6594A"/>
    <w:rsid w:val="65EB2F60"/>
    <w:rsid w:val="65EC75FF"/>
    <w:rsid w:val="65FC516D"/>
    <w:rsid w:val="65FE0EE5"/>
    <w:rsid w:val="660B70CE"/>
    <w:rsid w:val="6615622F"/>
    <w:rsid w:val="6618187B"/>
    <w:rsid w:val="661E1587"/>
    <w:rsid w:val="66214BD4"/>
    <w:rsid w:val="6623094C"/>
    <w:rsid w:val="66246472"/>
    <w:rsid w:val="662F5543"/>
    <w:rsid w:val="6632293D"/>
    <w:rsid w:val="663342DD"/>
    <w:rsid w:val="663568D1"/>
    <w:rsid w:val="66383CCB"/>
    <w:rsid w:val="66383EBB"/>
    <w:rsid w:val="663E10E8"/>
    <w:rsid w:val="663E7534"/>
    <w:rsid w:val="66415276"/>
    <w:rsid w:val="664663E8"/>
    <w:rsid w:val="66567A27"/>
    <w:rsid w:val="665A1E94"/>
    <w:rsid w:val="665C06E5"/>
    <w:rsid w:val="665D1B75"/>
    <w:rsid w:val="6660394E"/>
    <w:rsid w:val="66611474"/>
    <w:rsid w:val="6663343E"/>
    <w:rsid w:val="66643459"/>
    <w:rsid w:val="66701186"/>
    <w:rsid w:val="667016B7"/>
    <w:rsid w:val="66707909"/>
    <w:rsid w:val="667555C1"/>
    <w:rsid w:val="66763E5C"/>
    <w:rsid w:val="667747F4"/>
    <w:rsid w:val="667A7BCD"/>
    <w:rsid w:val="667D75EA"/>
    <w:rsid w:val="668138C4"/>
    <w:rsid w:val="668D20E3"/>
    <w:rsid w:val="66911096"/>
    <w:rsid w:val="669435F8"/>
    <w:rsid w:val="669B6734"/>
    <w:rsid w:val="669C626A"/>
    <w:rsid w:val="669E73DD"/>
    <w:rsid w:val="669F61C7"/>
    <w:rsid w:val="66A575B3"/>
    <w:rsid w:val="66A80E51"/>
    <w:rsid w:val="66A82BFF"/>
    <w:rsid w:val="66AD290B"/>
    <w:rsid w:val="66AF3F8D"/>
    <w:rsid w:val="66B75538"/>
    <w:rsid w:val="66BC2B4E"/>
    <w:rsid w:val="66BC66AA"/>
    <w:rsid w:val="66C13CC1"/>
    <w:rsid w:val="66C37A39"/>
    <w:rsid w:val="66C832A1"/>
    <w:rsid w:val="66CB15A6"/>
    <w:rsid w:val="66CB4B3F"/>
    <w:rsid w:val="66CC2D91"/>
    <w:rsid w:val="66CD2666"/>
    <w:rsid w:val="66D853AC"/>
    <w:rsid w:val="66D93862"/>
    <w:rsid w:val="66DB4D83"/>
    <w:rsid w:val="66DE2AC5"/>
    <w:rsid w:val="66E04A8F"/>
    <w:rsid w:val="66E12B82"/>
    <w:rsid w:val="66E31E89"/>
    <w:rsid w:val="66E63727"/>
    <w:rsid w:val="66E71979"/>
    <w:rsid w:val="66F2031E"/>
    <w:rsid w:val="66F26570"/>
    <w:rsid w:val="66F9345B"/>
    <w:rsid w:val="66FA314B"/>
    <w:rsid w:val="66FE4F15"/>
    <w:rsid w:val="670562A3"/>
    <w:rsid w:val="670646DE"/>
    <w:rsid w:val="67101EFA"/>
    <w:rsid w:val="671169F6"/>
    <w:rsid w:val="6714413F"/>
    <w:rsid w:val="67155840"/>
    <w:rsid w:val="67184229"/>
    <w:rsid w:val="67185FD7"/>
    <w:rsid w:val="671B1623"/>
    <w:rsid w:val="672524A2"/>
    <w:rsid w:val="672A4303"/>
    <w:rsid w:val="672C3830"/>
    <w:rsid w:val="672D2687"/>
    <w:rsid w:val="672F3320"/>
    <w:rsid w:val="6732696D"/>
    <w:rsid w:val="6736645D"/>
    <w:rsid w:val="67380427"/>
    <w:rsid w:val="673821D5"/>
    <w:rsid w:val="67382D53"/>
    <w:rsid w:val="67386679"/>
    <w:rsid w:val="673B1CC5"/>
    <w:rsid w:val="6742641C"/>
    <w:rsid w:val="67452B44"/>
    <w:rsid w:val="67476A7F"/>
    <w:rsid w:val="674A1F08"/>
    <w:rsid w:val="674C7EE8"/>
    <w:rsid w:val="674F751F"/>
    <w:rsid w:val="67515045"/>
    <w:rsid w:val="67544B35"/>
    <w:rsid w:val="675608AD"/>
    <w:rsid w:val="67564D51"/>
    <w:rsid w:val="67582877"/>
    <w:rsid w:val="675863D3"/>
    <w:rsid w:val="675D60DF"/>
    <w:rsid w:val="675D7E8D"/>
    <w:rsid w:val="676034DA"/>
    <w:rsid w:val="67634DBC"/>
    <w:rsid w:val="67642FCA"/>
    <w:rsid w:val="676A4358"/>
    <w:rsid w:val="677376B1"/>
    <w:rsid w:val="677671A1"/>
    <w:rsid w:val="67825B46"/>
    <w:rsid w:val="678314C4"/>
    <w:rsid w:val="67851192"/>
    <w:rsid w:val="678A3C3D"/>
    <w:rsid w:val="678F3DBF"/>
    <w:rsid w:val="67AB5116"/>
    <w:rsid w:val="67AC671F"/>
    <w:rsid w:val="67AE4A66"/>
    <w:rsid w:val="67B04461"/>
    <w:rsid w:val="67B33F51"/>
    <w:rsid w:val="67BA708E"/>
    <w:rsid w:val="67CA4DF7"/>
    <w:rsid w:val="67D0065F"/>
    <w:rsid w:val="67D068B1"/>
    <w:rsid w:val="67D5211A"/>
    <w:rsid w:val="67D77DDB"/>
    <w:rsid w:val="67DA14DE"/>
    <w:rsid w:val="67DD2D7C"/>
    <w:rsid w:val="67DF6AF4"/>
    <w:rsid w:val="67E36AB5"/>
    <w:rsid w:val="67E759A9"/>
    <w:rsid w:val="67F307F2"/>
    <w:rsid w:val="67F4110D"/>
    <w:rsid w:val="67FD341E"/>
    <w:rsid w:val="67FD6F7B"/>
    <w:rsid w:val="68034170"/>
    <w:rsid w:val="680622D3"/>
    <w:rsid w:val="68120C78"/>
    <w:rsid w:val="681244FC"/>
    <w:rsid w:val="68142C42"/>
    <w:rsid w:val="6817003C"/>
    <w:rsid w:val="681744E0"/>
    <w:rsid w:val="68176EBD"/>
    <w:rsid w:val="681B72B9"/>
    <w:rsid w:val="682D5AB2"/>
    <w:rsid w:val="682E35D8"/>
    <w:rsid w:val="68307350"/>
    <w:rsid w:val="683735EA"/>
    <w:rsid w:val="68376930"/>
    <w:rsid w:val="68394457"/>
    <w:rsid w:val="683F57E5"/>
    <w:rsid w:val="68407A25"/>
    <w:rsid w:val="68424832"/>
    <w:rsid w:val="684352D5"/>
    <w:rsid w:val="684456FD"/>
    <w:rsid w:val="68464DC5"/>
    <w:rsid w:val="6849103D"/>
    <w:rsid w:val="685179D9"/>
    <w:rsid w:val="68572B2F"/>
    <w:rsid w:val="685968A7"/>
    <w:rsid w:val="685A261F"/>
    <w:rsid w:val="685A617B"/>
    <w:rsid w:val="685C1EF3"/>
    <w:rsid w:val="685F1E7E"/>
    <w:rsid w:val="68615B48"/>
    <w:rsid w:val="68660FC4"/>
    <w:rsid w:val="686E633D"/>
    <w:rsid w:val="68792AA5"/>
    <w:rsid w:val="687A05CB"/>
    <w:rsid w:val="687C5466"/>
    <w:rsid w:val="687F3E33"/>
    <w:rsid w:val="68802085"/>
    <w:rsid w:val="688651C2"/>
    <w:rsid w:val="688A4CB2"/>
    <w:rsid w:val="688B27D8"/>
    <w:rsid w:val="688D02FE"/>
    <w:rsid w:val="68914293"/>
    <w:rsid w:val="68923B67"/>
    <w:rsid w:val="68945B31"/>
    <w:rsid w:val="689A03B4"/>
    <w:rsid w:val="689F0032"/>
    <w:rsid w:val="68A11FFC"/>
    <w:rsid w:val="68A90C96"/>
    <w:rsid w:val="68AA0EB0"/>
    <w:rsid w:val="68AB69D7"/>
    <w:rsid w:val="68AE419C"/>
    <w:rsid w:val="68B00491"/>
    <w:rsid w:val="68B03FED"/>
    <w:rsid w:val="68B24209"/>
    <w:rsid w:val="68BB130F"/>
    <w:rsid w:val="68BE495C"/>
    <w:rsid w:val="68C301C4"/>
    <w:rsid w:val="68C63810"/>
    <w:rsid w:val="68CD4B9F"/>
    <w:rsid w:val="68D20407"/>
    <w:rsid w:val="68D26659"/>
    <w:rsid w:val="68DB550E"/>
    <w:rsid w:val="68DC3034"/>
    <w:rsid w:val="68E00D76"/>
    <w:rsid w:val="68ED17B9"/>
    <w:rsid w:val="68EF720B"/>
    <w:rsid w:val="68FE11FC"/>
    <w:rsid w:val="690031C6"/>
    <w:rsid w:val="69020CEC"/>
    <w:rsid w:val="690305C1"/>
    <w:rsid w:val="69054339"/>
    <w:rsid w:val="690802CD"/>
    <w:rsid w:val="6917406C"/>
    <w:rsid w:val="691C78D4"/>
    <w:rsid w:val="69205616"/>
    <w:rsid w:val="69256789"/>
    <w:rsid w:val="692769A5"/>
    <w:rsid w:val="69280027"/>
    <w:rsid w:val="692C6E2F"/>
    <w:rsid w:val="6933534A"/>
    <w:rsid w:val="693469CC"/>
    <w:rsid w:val="69390486"/>
    <w:rsid w:val="693966D8"/>
    <w:rsid w:val="69407A67"/>
    <w:rsid w:val="6941589F"/>
    <w:rsid w:val="69456E2B"/>
    <w:rsid w:val="694A2693"/>
    <w:rsid w:val="694C1F68"/>
    <w:rsid w:val="69562DE6"/>
    <w:rsid w:val="695A0B28"/>
    <w:rsid w:val="695D23C7"/>
    <w:rsid w:val="695D5F23"/>
    <w:rsid w:val="695D7CBB"/>
    <w:rsid w:val="695F6C24"/>
    <w:rsid w:val="69605A13"/>
    <w:rsid w:val="696372B1"/>
    <w:rsid w:val="69690D6B"/>
    <w:rsid w:val="696C35A9"/>
    <w:rsid w:val="69710B4F"/>
    <w:rsid w:val="69763488"/>
    <w:rsid w:val="69797303"/>
    <w:rsid w:val="697B45FB"/>
    <w:rsid w:val="69825989"/>
    <w:rsid w:val="69874162"/>
    <w:rsid w:val="69877444"/>
    <w:rsid w:val="69894F6A"/>
    <w:rsid w:val="698A2A90"/>
    <w:rsid w:val="698C4A5A"/>
    <w:rsid w:val="698F00A6"/>
    <w:rsid w:val="69912070"/>
    <w:rsid w:val="69937B96"/>
    <w:rsid w:val="699456BD"/>
    <w:rsid w:val="69963065"/>
    <w:rsid w:val="699658D9"/>
    <w:rsid w:val="699833FF"/>
    <w:rsid w:val="699851AD"/>
    <w:rsid w:val="699D3E7F"/>
    <w:rsid w:val="699D598E"/>
    <w:rsid w:val="69A00BF2"/>
    <w:rsid w:val="69A43B52"/>
    <w:rsid w:val="69A47FF6"/>
    <w:rsid w:val="69B813AB"/>
    <w:rsid w:val="69B83AA1"/>
    <w:rsid w:val="69C61FB9"/>
    <w:rsid w:val="69CA3FC5"/>
    <w:rsid w:val="69CC4E56"/>
    <w:rsid w:val="69D02B99"/>
    <w:rsid w:val="69D56401"/>
    <w:rsid w:val="69DB3927"/>
    <w:rsid w:val="69DF2DDC"/>
    <w:rsid w:val="69E1458C"/>
    <w:rsid w:val="69E32BA8"/>
    <w:rsid w:val="69E403F2"/>
    <w:rsid w:val="69E5416A"/>
    <w:rsid w:val="69E76134"/>
    <w:rsid w:val="69EE74C3"/>
    <w:rsid w:val="69EF701F"/>
    <w:rsid w:val="69F06D97"/>
    <w:rsid w:val="69F21D41"/>
    <w:rsid w:val="69FC1BE0"/>
    <w:rsid w:val="69FF1774"/>
    <w:rsid w:val="69FF522C"/>
    <w:rsid w:val="6A0445F0"/>
    <w:rsid w:val="6A097E59"/>
    <w:rsid w:val="6A0E1913"/>
    <w:rsid w:val="6A107AA3"/>
    <w:rsid w:val="6A12641B"/>
    <w:rsid w:val="6A136F29"/>
    <w:rsid w:val="6A1707C7"/>
    <w:rsid w:val="6A214495"/>
    <w:rsid w:val="6A22716C"/>
    <w:rsid w:val="6A274783"/>
    <w:rsid w:val="6A2B7301"/>
    <w:rsid w:val="6A3B07D5"/>
    <w:rsid w:val="6A3E2960"/>
    <w:rsid w:val="6A3F17D8"/>
    <w:rsid w:val="6A49294B"/>
    <w:rsid w:val="6A515BCF"/>
    <w:rsid w:val="6A535578"/>
    <w:rsid w:val="6A580EEF"/>
    <w:rsid w:val="6A5948F4"/>
    <w:rsid w:val="6A5F3F1C"/>
    <w:rsid w:val="6A627569"/>
    <w:rsid w:val="6A6652AB"/>
    <w:rsid w:val="6A6B0B13"/>
    <w:rsid w:val="6A6E23B2"/>
    <w:rsid w:val="6A712B2A"/>
    <w:rsid w:val="6A7677AC"/>
    <w:rsid w:val="6A7F011B"/>
    <w:rsid w:val="6A8169BD"/>
    <w:rsid w:val="6A883473"/>
    <w:rsid w:val="6A8E65B0"/>
    <w:rsid w:val="6A955B90"/>
    <w:rsid w:val="6A9A31A7"/>
    <w:rsid w:val="6A9E21A2"/>
    <w:rsid w:val="6AA10091"/>
    <w:rsid w:val="6AA61B4B"/>
    <w:rsid w:val="6AA638F9"/>
    <w:rsid w:val="6AAA163C"/>
    <w:rsid w:val="6AAB53B4"/>
    <w:rsid w:val="6AB06526"/>
    <w:rsid w:val="6AC344AB"/>
    <w:rsid w:val="6AC36259"/>
    <w:rsid w:val="6AC56475"/>
    <w:rsid w:val="6AC61400"/>
    <w:rsid w:val="6AC63F9C"/>
    <w:rsid w:val="6AC84E7A"/>
    <w:rsid w:val="6ACA3A8C"/>
    <w:rsid w:val="6ACA7D81"/>
    <w:rsid w:val="6ACE7BED"/>
    <w:rsid w:val="6AD71D05"/>
    <w:rsid w:val="6AE0505D"/>
    <w:rsid w:val="6AE41191"/>
    <w:rsid w:val="6AE6019A"/>
    <w:rsid w:val="6AE83F12"/>
    <w:rsid w:val="6AE85CC0"/>
    <w:rsid w:val="6AED19D9"/>
    <w:rsid w:val="6AED32D6"/>
    <w:rsid w:val="6AEE0706"/>
    <w:rsid w:val="6AF040F6"/>
    <w:rsid w:val="6AF6662F"/>
    <w:rsid w:val="6AFC176B"/>
    <w:rsid w:val="6B0074AE"/>
    <w:rsid w:val="6B056872"/>
    <w:rsid w:val="6B0B7C00"/>
    <w:rsid w:val="6B0C209E"/>
    <w:rsid w:val="6B0C5E52"/>
    <w:rsid w:val="6B0D3978"/>
    <w:rsid w:val="6B0F5943"/>
    <w:rsid w:val="6B123FB2"/>
    <w:rsid w:val="6B1747F7"/>
    <w:rsid w:val="6B1E0085"/>
    <w:rsid w:val="6B1E5B86"/>
    <w:rsid w:val="6B216E94"/>
    <w:rsid w:val="6B217424"/>
    <w:rsid w:val="6B283227"/>
    <w:rsid w:val="6B2F38EF"/>
    <w:rsid w:val="6B301415"/>
    <w:rsid w:val="6B3158B9"/>
    <w:rsid w:val="6B317667"/>
    <w:rsid w:val="6B376C47"/>
    <w:rsid w:val="6B393BEF"/>
    <w:rsid w:val="6B421874"/>
    <w:rsid w:val="6B42371F"/>
    <w:rsid w:val="6B431148"/>
    <w:rsid w:val="6B43383E"/>
    <w:rsid w:val="6B480E55"/>
    <w:rsid w:val="6B4D644D"/>
    <w:rsid w:val="6B56531F"/>
    <w:rsid w:val="6B58657E"/>
    <w:rsid w:val="6B644C87"/>
    <w:rsid w:val="6B654C9D"/>
    <w:rsid w:val="6B680BAF"/>
    <w:rsid w:val="6B6C5710"/>
    <w:rsid w:val="6B6F018F"/>
    <w:rsid w:val="6B6F1F3D"/>
    <w:rsid w:val="6B730171"/>
    <w:rsid w:val="6B735ED1"/>
    <w:rsid w:val="6B79100E"/>
    <w:rsid w:val="6B7E03D2"/>
    <w:rsid w:val="6B7E6624"/>
    <w:rsid w:val="6B870A1A"/>
    <w:rsid w:val="6B8974A3"/>
    <w:rsid w:val="6B8E2D0B"/>
    <w:rsid w:val="6B8E4AB9"/>
    <w:rsid w:val="6B985938"/>
    <w:rsid w:val="6B9A16B0"/>
    <w:rsid w:val="6B9B71D6"/>
    <w:rsid w:val="6BA047ED"/>
    <w:rsid w:val="6BA8544F"/>
    <w:rsid w:val="6BA918F3"/>
    <w:rsid w:val="6BAA566B"/>
    <w:rsid w:val="6BAE515B"/>
    <w:rsid w:val="6BAE6F0A"/>
    <w:rsid w:val="6BB107A8"/>
    <w:rsid w:val="6BB4591A"/>
    <w:rsid w:val="6BB67B6C"/>
    <w:rsid w:val="6BBD714D"/>
    <w:rsid w:val="6BBF5037"/>
    <w:rsid w:val="6BC06C3D"/>
    <w:rsid w:val="6BD63B24"/>
    <w:rsid w:val="6BDA7CFF"/>
    <w:rsid w:val="6BDB3A77"/>
    <w:rsid w:val="6BE0108D"/>
    <w:rsid w:val="6BE02E3B"/>
    <w:rsid w:val="6BE20961"/>
    <w:rsid w:val="6BE44B62"/>
    <w:rsid w:val="6BED74D5"/>
    <w:rsid w:val="6BF32B6E"/>
    <w:rsid w:val="6BF3491C"/>
    <w:rsid w:val="6BF568E6"/>
    <w:rsid w:val="6BF84629"/>
    <w:rsid w:val="6BF863D7"/>
    <w:rsid w:val="6C042FCD"/>
    <w:rsid w:val="6C07486C"/>
    <w:rsid w:val="6C07661A"/>
    <w:rsid w:val="6C09788E"/>
    <w:rsid w:val="6C0C5BE3"/>
    <w:rsid w:val="6C114BD8"/>
    <w:rsid w:val="6C134FBF"/>
    <w:rsid w:val="6C150D37"/>
    <w:rsid w:val="6C1825D5"/>
    <w:rsid w:val="6C184383"/>
    <w:rsid w:val="6C1B1CA3"/>
    <w:rsid w:val="6C240F7A"/>
    <w:rsid w:val="6C2471CC"/>
    <w:rsid w:val="6C262F44"/>
    <w:rsid w:val="6C276CBC"/>
    <w:rsid w:val="6C296590"/>
    <w:rsid w:val="6C3118E9"/>
    <w:rsid w:val="6C315445"/>
    <w:rsid w:val="6C353187"/>
    <w:rsid w:val="6C384A25"/>
    <w:rsid w:val="6C3A69EF"/>
    <w:rsid w:val="6C3F4006"/>
    <w:rsid w:val="6C44161C"/>
    <w:rsid w:val="6C465394"/>
    <w:rsid w:val="6C4706F9"/>
    <w:rsid w:val="6C4D36A2"/>
    <w:rsid w:val="6C507FC1"/>
    <w:rsid w:val="6C51632C"/>
    <w:rsid w:val="6C523D39"/>
    <w:rsid w:val="6C524942"/>
    <w:rsid w:val="6C53360D"/>
    <w:rsid w:val="6C5630FD"/>
    <w:rsid w:val="6C5775A1"/>
    <w:rsid w:val="6C5D26DE"/>
    <w:rsid w:val="6C5D623A"/>
    <w:rsid w:val="6C615D2A"/>
    <w:rsid w:val="6C6770B8"/>
    <w:rsid w:val="6C681E3D"/>
    <w:rsid w:val="6C686B68"/>
    <w:rsid w:val="6C7C7008"/>
    <w:rsid w:val="6C7F4402"/>
    <w:rsid w:val="6C81461E"/>
    <w:rsid w:val="6C832144"/>
    <w:rsid w:val="6C8934D3"/>
    <w:rsid w:val="6C8A36F6"/>
    <w:rsid w:val="6C8B0FF9"/>
    <w:rsid w:val="6C937EAD"/>
    <w:rsid w:val="6C951DC6"/>
    <w:rsid w:val="6C9854C4"/>
    <w:rsid w:val="6C9A4DEB"/>
    <w:rsid w:val="6C9C3206"/>
    <w:rsid w:val="6CA64085"/>
    <w:rsid w:val="6CAB169B"/>
    <w:rsid w:val="6CAB51F7"/>
    <w:rsid w:val="6CAC599B"/>
    <w:rsid w:val="6CAD5413"/>
    <w:rsid w:val="6CAE4CE7"/>
    <w:rsid w:val="6CB178DD"/>
    <w:rsid w:val="6CB30434"/>
    <w:rsid w:val="6CB3110E"/>
    <w:rsid w:val="6CB57E24"/>
    <w:rsid w:val="6CB835FA"/>
    <w:rsid w:val="6CB95B66"/>
    <w:rsid w:val="6CBD0715"/>
    <w:rsid w:val="6CBF5146"/>
    <w:rsid w:val="6CC30793"/>
    <w:rsid w:val="6CC8224D"/>
    <w:rsid w:val="6CC87B57"/>
    <w:rsid w:val="6CC91B21"/>
    <w:rsid w:val="6CD26C28"/>
    <w:rsid w:val="6CD7713F"/>
    <w:rsid w:val="6CDE737B"/>
    <w:rsid w:val="6CDF2E4F"/>
    <w:rsid w:val="6CE122D0"/>
    <w:rsid w:val="6CE626D3"/>
    <w:rsid w:val="6CE8644B"/>
    <w:rsid w:val="6CE86E8A"/>
    <w:rsid w:val="6CF272CA"/>
    <w:rsid w:val="6CF27F1A"/>
    <w:rsid w:val="6CF46B9E"/>
    <w:rsid w:val="6CF84F26"/>
    <w:rsid w:val="6CFA7F2C"/>
    <w:rsid w:val="6CFC3CA5"/>
    <w:rsid w:val="6CFE17CB"/>
    <w:rsid w:val="6D042B59"/>
    <w:rsid w:val="6D064B23"/>
    <w:rsid w:val="6D0B213A"/>
    <w:rsid w:val="6D0D5EB2"/>
    <w:rsid w:val="6D1E00BF"/>
    <w:rsid w:val="6D25144D"/>
    <w:rsid w:val="6D2531FB"/>
    <w:rsid w:val="6D284A9A"/>
    <w:rsid w:val="6D29638D"/>
    <w:rsid w:val="6D392803"/>
    <w:rsid w:val="6D394EF9"/>
    <w:rsid w:val="6D3C6797"/>
    <w:rsid w:val="6D4020E7"/>
    <w:rsid w:val="6D443BF5"/>
    <w:rsid w:val="6D464F20"/>
    <w:rsid w:val="6D5200ED"/>
    <w:rsid w:val="6D521B17"/>
    <w:rsid w:val="6D5451DF"/>
    <w:rsid w:val="6D54588F"/>
    <w:rsid w:val="6D5533B5"/>
    <w:rsid w:val="6D561607"/>
    <w:rsid w:val="6D5932F2"/>
    <w:rsid w:val="6D6535F8"/>
    <w:rsid w:val="6D667370"/>
    <w:rsid w:val="6D6A46DD"/>
    <w:rsid w:val="6D6F091A"/>
    <w:rsid w:val="6D705AC4"/>
    <w:rsid w:val="6D723F67"/>
    <w:rsid w:val="6D7352FA"/>
    <w:rsid w:val="6D761CA9"/>
    <w:rsid w:val="6D765805"/>
    <w:rsid w:val="6D855A48"/>
    <w:rsid w:val="6D940381"/>
    <w:rsid w:val="6D9C0FE4"/>
    <w:rsid w:val="6D9D7236"/>
    <w:rsid w:val="6DA003B7"/>
    <w:rsid w:val="6DA34120"/>
    <w:rsid w:val="6DA87988"/>
    <w:rsid w:val="6DB12CE1"/>
    <w:rsid w:val="6DB4457F"/>
    <w:rsid w:val="6DB91B96"/>
    <w:rsid w:val="6DBB590E"/>
    <w:rsid w:val="6DCD241E"/>
    <w:rsid w:val="6DCE5641"/>
    <w:rsid w:val="6DD30EA9"/>
    <w:rsid w:val="6DD54C21"/>
    <w:rsid w:val="6DD644F6"/>
    <w:rsid w:val="6DDE15FC"/>
    <w:rsid w:val="6DE0074F"/>
    <w:rsid w:val="6DE210EC"/>
    <w:rsid w:val="6DE704E7"/>
    <w:rsid w:val="6DE85FD7"/>
    <w:rsid w:val="6DEA1D4F"/>
    <w:rsid w:val="6DEC5AC7"/>
    <w:rsid w:val="6DEF40BC"/>
    <w:rsid w:val="6DEF55B7"/>
    <w:rsid w:val="6E015DF0"/>
    <w:rsid w:val="6E041063"/>
    <w:rsid w:val="6E0C43BB"/>
    <w:rsid w:val="6E153270"/>
    <w:rsid w:val="6E184B0E"/>
    <w:rsid w:val="6E192634"/>
    <w:rsid w:val="6E1A6AD8"/>
    <w:rsid w:val="6E1B63AC"/>
    <w:rsid w:val="6E1C12B7"/>
    <w:rsid w:val="6E1F7C4B"/>
    <w:rsid w:val="6E201C15"/>
    <w:rsid w:val="6E244ACC"/>
    <w:rsid w:val="6E2D66B8"/>
    <w:rsid w:val="6E337B9A"/>
    <w:rsid w:val="6E37059F"/>
    <w:rsid w:val="6E3B07FD"/>
    <w:rsid w:val="6E3B55CE"/>
    <w:rsid w:val="6E3B6A4F"/>
    <w:rsid w:val="6E3D4575"/>
    <w:rsid w:val="6E3F02ED"/>
    <w:rsid w:val="6E3F653F"/>
    <w:rsid w:val="6E423939"/>
    <w:rsid w:val="6E494F7B"/>
    <w:rsid w:val="6E4C0C5C"/>
    <w:rsid w:val="6E4E603B"/>
    <w:rsid w:val="6E4F6056"/>
    <w:rsid w:val="6E524208"/>
    <w:rsid w:val="6E5416F9"/>
    <w:rsid w:val="6E55314D"/>
    <w:rsid w:val="6E5673E4"/>
    <w:rsid w:val="6E5B69FB"/>
    <w:rsid w:val="6E5C0E9F"/>
    <w:rsid w:val="6E603820"/>
    <w:rsid w:val="6E664101"/>
    <w:rsid w:val="6E696979"/>
    <w:rsid w:val="6E7066F8"/>
    <w:rsid w:val="6E712470"/>
    <w:rsid w:val="6E7361E8"/>
    <w:rsid w:val="6E7F4B8D"/>
    <w:rsid w:val="6E7F511B"/>
    <w:rsid w:val="6E85588B"/>
    <w:rsid w:val="6E8D6CB9"/>
    <w:rsid w:val="6E906D9A"/>
    <w:rsid w:val="6E9A4C81"/>
    <w:rsid w:val="6E9E6F0C"/>
    <w:rsid w:val="6EA12D56"/>
    <w:rsid w:val="6EA3673C"/>
    <w:rsid w:val="6EA42846"/>
    <w:rsid w:val="6EA63EC8"/>
    <w:rsid w:val="6EAB7730"/>
    <w:rsid w:val="6EAD16FA"/>
    <w:rsid w:val="6EB011EB"/>
    <w:rsid w:val="6EB02F99"/>
    <w:rsid w:val="6EB04D47"/>
    <w:rsid w:val="6EB81E4D"/>
    <w:rsid w:val="6EB83BFB"/>
    <w:rsid w:val="6EBA5BC5"/>
    <w:rsid w:val="6EBC36EB"/>
    <w:rsid w:val="6EBF3031"/>
    <w:rsid w:val="6EBF4F8A"/>
    <w:rsid w:val="6EC30F1E"/>
    <w:rsid w:val="6EC4452A"/>
    <w:rsid w:val="6EC95E08"/>
    <w:rsid w:val="6ECB1B80"/>
    <w:rsid w:val="6ED00F45"/>
    <w:rsid w:val="6ED053E9"/>
    <w:rsid w:val="6ED70525"/>
    <w:rsid w:val="6ED722D3"/>
    <w:rsid w:val="6EDA1DC4"/>
    <w:rsid w:val="6EDC3E65"/>
    <w:rsid w:val="6EDE7B06"/>
    <w:rsid w:val="6EDF73DA"/>
    <w:rsid w:val="6EE669BA"/>
    <w:rsid w:val="6EE90259"/>
    <w:rsid w:val="6EED1AF7"/>
    <w:rsid w:val="6EF03395"/>
    <w:rsid w:val="6EF32E85"/>
    <w:rsid w:val="6EF50F9E"/>
    <w:rsid w:val="6EF971F8"/>
    <w:rsid w:val="6EFF182A"/>
    <w:rsid w:val="6EFF6FDB"/>
    <w:rsid w:val="6F036723"/>
    <w:rsid w:val="6F060E0B"/>
    <w:rsid w:val="6F0F4163"/>
    <w:rsid w:val="6F12155D"/>
    <w:rsid w:val="6F1277AF"/>
    <w:rsid w:val="6F173018"/>
    <w:rsid w:val="6F174DC6"/>
    <w:rsid w:val="6F1C062E"/>
    <w:rsid w:val="6F210666"/>
    <w:rsid w:val="6F223AF6"/>
    <w:rsid w:val="6F285225"/>
    <w:rsid w:val="6F2B261F"/>
    <w:rsid w:val="6F392F8E"/>
    <w:rsid w:val="6F3A0AB4"/>
    <w:rsid w:val="6F3B6D06"/>
    <w:rsid w:val="6F3E67F6"/>
    <w:rsid w:val="6F414628"/>
    <w:rsid w:val="6F444925"/>
    <w:rsid w:val="6F490CF7"/>
    <w:rsid w:val="6F4D07E7"/>
    <w:rsid w:val="6F4F03AE"/>
    <w:rsid w:val="6F5311A2"/>
    <w:rsid w:val="6F54601A"/>
    <w:rsid w:val="6F595014"/>
    <w:rsid w:val="6F6A75EB"/>
    <w:rsid w:val="6F6E3439"/>
    <w:rsid w:val="6F712728"/>
    <w:rsid w:val="6F800BBD"/>
    <w:rsid w:val="6F806E0F"/>
    <w:rsid w:val="6F854425"/>
    <w:rsid w:val="6F8C2A74"/>
    <w:rsid w:val="6F8C7562"/>
    <w:rsid w:val="6F92269E"/>
    <w:rsid w:val="6F946416"/>
    <w:rsid w:val="6F9C33F0"/>
    <w:rsid w:val="6F9E1043"/>
    <w:rsid w:val="6F9E54E7"/>
    <w:rsid w:val="6F9E7295"/>
    <w:rsid w:val="6FA24528"/>
    <w:rsid w:val="6FA26D85"/>
    <w:rsid w:val="6FA56875"/>
    <w:rsid w:val="6FA80114"/>
    <w:rsid w:val="6FA97321"/>
    <w:rsid w:val="6FB22D40"/>
    <w:rsid w:val="6FB40867"/>
    <w:rsid w:val="6FB43D12"/>
    <w:rsid w:val="6FBB7E47"/>
    <w:rsid w:val="6FBC6F26"/>
    <w:rsid w:val="6FBD596D"/>
    <w:rsid w:val="6FBE3493"/>
    <w:rsid w:val="6FBF6745"/>
    <w:rsid w:val="6FC50CC6"/>
    <w:rsid w:val="6FC62348"/>
    <w:rsid w:val="6FCA008A"/>
    <w:rsid w:val="6FCC3E02"/>
    <w:rsid w:val="6FD42CB7"/>
    <w:rsid w:val="6FD44A65"/>
    <w:rsid w:val="6FDA03CE"/>
    <w:rsid w:val="6FDE58E3"/>
    <w:rsid w:val="6FEA072C"/>
    <w:rsid w:val="6FEC0000"/>
    <w:rsid w:val="6FEC6252"/>
    <w:rsid w:val="6FF60E7F"/>
    <w:rsid w:val="70020938"/>
    <w:rsid w:val="70026742"/>
    <w:rsid w:val="700370F8"/>
    <w:rsid w:val="700B7326"/>
    <w:rsid w:val="701263F9"/>
    <w:rsid w:val="701337DF"/>
    <w:rsid w:val="70161521"/>
    <w:rsid w:val="7019691C"/>
    <w:rsid w:val="701A2DBF"/>
    <w:rsid w:val="701D465E"/>
    <w:rsid w:val="701E2184"/>
    <w:rsid w:val="70227EC6"/>
    <w:rsid w:val="7028399E"/>
    <w:rsid w:val="702A6D7B"/>
    <w:rsid w:val="702E5B63"/>
    <w:rsid w:val="703A6FBE"/>
    <w:rsid w:val="703F4899"/>
    <w:rsid w:val="704A5F7F"/>
    <w:rsid w:val="705067E1"/>
    <w:rsid w:val="705160B5"/>
    <w:rsid w:val="70516CD1"/>
    <w:rsid w:val="70545BA6"/>
    <w:rsid w:val="705838E8"/>
    <w:rsid w:val="705931BC"/>
    <w:rsid w:val="705A7660"/>
    <w:rsid w:val="70626515"/>
    <w:rsid w:val="706467A2"/>
    <w:rsid w:val="70651B61"/>
    <w:rsid w:val="70671D7D"/>
    <w:rsid w:val="706E487B"/>
    <w:rsid w:val="706E4EB9"/>
    <w:rsid w:val="706F478E"/>
    <w:rsid w:val="707029DF"/>
    <w:rsid w:val="70710506"/>
    <w:rsid w:val="70730722"/>
    <w:rsid w:val="70730946"/>
    <w:rsid w:val="7074625E"/>
    <w:rsid w:val="7075449A"/>
    <w:rsid w:val="70790109"/>
    <w:rsid w:val="707A1AB0"/>
    <w:rsid w:val="707A560C"/>
    <w:rsid w:val="707C3C00"/>
    <w:rsid w:val="7080699B"/>
    <w:rsid w:val="70862203"/>
    <w:rsid w:val="70874364"/>
    <w:rsid w:val="708B529E"/>
    <w:rsid w:val="708D45EF"/>
    <w:rsid w:val="708E2E66"/>
    <w:rsid w:val="70952446"/>
    <w:rsid w:val="70957491"/>
    <w:rsid w:val="709C1A26"/>
    <w:rsid w:val="70A37559"/>
    <w:rsid w:val="70A66401"/>
    <w:rsid w:val="70AB3A18"/>
    <w:rsid w:val="70AC59E2"/>
    <w:rsid w:val="70B07280"/>
    <w:rsid w:val="70B34FC2"/>
    <w:rsid w:val="70C31ED0"/>
    <w:rsid w:val="70C525FF"/>
    <w:rsid w:val="70CD7E32"/>
    <w:rsid w:val="70CF0868"/>
    <w:rsid w:val="70CF0C6E"/>
    <w:rsid w:val="70D016D0"/>
    <w:rsid w:val="70DC1E23"/>
    <w:rsid w:val="70E37655"/>
    <w:rsid w:val="70EB3E10"/>
    <w:rsid w:val="70EC5DDE"/>
    <w:rsid w:val="70ED4030"/>
    <w:rsid w:val="70FE448F"/>
    <w:rsid w:val="71031AA6"/>
    <w:rsid w:val="71043A5E"/>
    <w:rsid w:val="710552EE"/>
    <w:rsid w:val="710870BC"/>
    <w:rsid w:val="710D679A"/>
    <w:rsid w:val="71121CE9"/>
    <w:rsid w:val="71145A61"/>
    <w:rsid w:val="71153587"/>
    <w:rsid w:val="71164F84"/>
    <w:rsid w:val="711710AD"/>
    <w:rsid w:val="711A33BE"/>
    <w:rsid w:val="711F6633"/>
    <w:rsid w:val="71267542"/>
    <w:rsid w:val="712B6906"/>
    <w:rsid w:val="712E63F7"/>
    <w:rsid w:val="71315EF3"/>
    <w:rsid w:val="71392A4C"/>
    <w:rsid w:val="713A28EC"/>
    <w:rsid w:val="713E2ADE"/>
    <w:rsid w:val="713F2B94"/>
    <w:rsid w:val="71416653"/>
    <w:rsid w:val="71467BE4"/>
    <w:rsid w:val="714B0D57"/>
    <w:rsid w:val="714E2912"/>
    <w:rsid w:val="715440AF"/>
    <w:rsid w:val="71551BD5"/>
    <w:rsid w:val="71563CC4"/>
    <w:rsid w:val="715B28EF"/>
    <w:rsid w:val="715F2A54"/>
    <w:rsid w:val="716360A0"/>
    <w:rsid w:val="7164006A"/>
    <w:rsid w:val="71662114"/>
    <w:rsid w:val="716B13F9"/>
    <w:rsid w:val="717007BD"/>
    <w:rsid w:val="71722787"/>
    <w:rsid w:val="71752277"/>
    <w:rsid w:val="71791D68"/>
    <w:rsid w:val="717B5AE0"/>
    <w:rsid w:val="717B7362"/>
    <w:rsid w:val="71810C1C"/>
    <w:rsid w:val="71864485"/>
    <w:rsid w:val="71867FE1"/>
    <w:rsid w:val="718B3849"/>
    <w:rsid w:val="718D75C1"/>
    <w:rsid w:val="718F158B"/>
    <w:rsid w:val="71940950"/>
    <w:rsid w:val="719808DD"/>
    <w:rsid w:val="71995F66"/>
    <w:rsid w:val="719A3A8C"/>
    <w:rsid w:val="719C1251"/>
    <w:rsid w:val="719E357C"/>
    <w:rsid w:val="71A212BE"/>
    <w:rsid w:val="71A87F57"/>
    <w:rsid w:val="71AA1F21"/>
    <w:rsid w:val="71AC1D09"/>
    <w:rsid w:val="71B608C6"/>
    <w:rsid w:val="71B903B6"/>
    <w:rsid w:val="71B96608"/>
    <w:rsid w:val="71BE790F"/>
    <w:rsid w:val="71C1726B"/>
    <w:rsid w:val="71C31235"/>
    <w:rsid w:val="71C34D91"/>
    <w:rsid w:val="71C50B09"/>
    <w:rsid w:val="71C70D25"/>
    <w:rsid w:val="71C736AA"/>
    <w:rsid w:val="71D13952"/>
    <w:rsid w:val="71DE0782"/>
    <w:rsid w:val="71DF0EB5"/>
    <w:rsid w:val="71E05943"/>
    <w:rsid w:val="71E72B3A"/>
    <w:rsid w:val="71EA67C2"/>
    <w:rsid w:val="71EC42E8"/>
    <w:rsid w:val="71ED1E0E"/>
    <w:rsid w:val="71F93834"/>
    <w:rsid w:val="71FB259A"/>
    <w:rsid w:val="71FC02A3"/>
    <w:rsid w:val="71FD64F5"/>
    <w:rsid w:val="71FF6EA4"/>
    <w:rsid w:val="72023B0B"/>
    <w:rsid w:val="72084E9A"/>
    <w:rsid w:val="720A6C4C"/>
    <w:rsid w:val="720D24B0"/>
    <w:rsid w:val="720F447A"/>
    <w:rsid w:val="720F509E"/>
    <w:rsid w:val="72111FA0"/>
    <w:rsid w:val="72141A90"/>
    <w:rsid w:val="72161365"/>
    <w:rsid w:val="721B697B"/>
    <w:rsid w:val="72203F91"/>
    <w:rsid w:val="722C6DDA"/>
    <w:rsid w:val="723143F0"/>
    <w:rsid w:val="7231619E"/>
    <w:rsid w:val="72367C59"/>
    <w:rsid w:val="723B526F"/>
    <w:rsid w:val="723B60D1"/>
    <w:rsid w:val="723E08BB"/>
    <w:rsid w:val="72402885"/>
    <w:rsid w:val="724C122A"/>
    <w:rsid w:val="724D0AFE"/>
    <w:rsid w:val="724E6D50"/>
    <w:rsid w:val="7258197D"/>
    <w:rsid w:val="725B321B"/>
    <w:rsid w:val="725B76BF"/>
    <w:rsid w:val="725F7381"/>
    <w:rsid w:val="726227FC"/>
    <w:rsid w:val="72673C8A"/>
    <w:rsid w:val="72676064"/>
    <w:rsid w:val="726B5B54"/>
    <w:rsid w:val="72710C91"/>
    <w:rsid w:val="72760055"/>
    <w:rsid w:val="727B566C"/>
    <w:rsid w:val="727D7636"/>
    <w:rsid w:val="72802C82"/>
    <w:rsid w:val="72850298"/>
    <w:rsid w:val="728564EA"/>
    <w:rsid w:val="728A3B01"/>
    <w:rsid w:val="728F14BC"/>
    <w:rsid w:val="729130E1"/>
    <w:rsid w:val="7295497F"/>
    <w:rsid w:val="729B5D0E"/>
    <w:rsid w:val="729C3F60"/>
    <w:rsid w:val="729D1A86"/>
    <w:rsid w:val="729D55E2"/>
    <w:rsid w:val="729F57FE"/>
    <w:rsid w:val="729F75AC"/>
    <w:rsid w:val="72A050D2"/>
    <w:rsid w:val="72A926A1"/>
    <w:rsid w:val="72AC65F9"/>
    <w:rsid w:val="72B648F6"/>
    <w:rsid w:val="72B8066E"/>
    <w:rsid w:val="72BD7A32"/>
    <w:rsid w:val="72BF7C4E"/>
    <w:rsid w:val="72C04D9D"/>
    <w:rsid w:val="72C25048"/>
    <w:rsid w:val="72C62D8B"/>
    <w:rsid w:val="72CA5DE6"/>
    <w:rsid w:val="72CB7276"/>
    <w:rsid w:val="72D60AF4"/>
    <w:rsid w:val="72D83BC2"/>
    <w:rsid w:val="72DF3E4C"/>
    <w:rsid w:val="72EB27F1"/>
    <w:rsid w:val="72EE0533"/>
    <w:rsid w:val="72EF7CA5"/>
    <w:rsid w:val="72F249A3"/>
    <w:rsid w:val="72F2666D"/>
    <w:rsid w:val="72F83160"/>
    <w:rsid w:val="72F84F0E"/>
    <w:rsid w:val="72FB055A"/>
    <w:rsid w:val="730218E9"/>
    <w:rsid w:val="730B4C41"/>
    <w:rsid w:val="73125FD0"/>
    <w:rsid w:val="731D16EF"/>
    <w:rsid w:val="731E2BC7"/>
    <w:rsid w:val="731F06ED"/>
    <w:rsid w:val="73214465"/>
    <w:rsid w:val="73216213"/>
    <w:rsid w:val="73235A27"/>
    <w:rsid w:val="732B7092"/>
    <w:rsid w:val="732D0D10"/>
    <w:rsid w:val="732D2E0A"/>
    <w:rsid w:val="732E3014"/>
    <w:rsid w:val="732E6972"/>
    <w:rsid w:val="73351CBE"/>
    <w:rsid w:val="733C129F"/>
    <w:rsid w:val="73465C7A"/>
    <w:rsid w:val="735275F8"/>
    <w:rsid w:val="73530396"/>
    <w:rsid w:val="73535F21"/>
    <w:rsid w:val="73552881"/>
    <w:rsid w:val="735C724B"/>
    <w:rsid w:val="735E7467"/>
    <w:rsid w:val="735F0AE9"/>
    <w:rsid w:val="736305DA"/>
    <w:rsid w:val="73653BD3"/>
    <w:rsid w:val="73683E42"/>
    <w:rsid w:val="736A5E0C"/>
    <w:rsid w:val="736D1458"/>
    <w:rsid w:val="73734595"/>
    <w:rsid w:val="73754EE7"/>
    <w:rsid w:val="738100B3"/>
    <w:rsid w:val="73832A2A"/>
    <w:rsid w:val="7386251A"/>
    <w:rsid w:val="738642C8"/>
    <w:rsid w:val="73886E40"/>
    <w:rsid w:val="73912AC0"/>
    <w:rsid w:val="739509AF"/>
    <w:rsid w:val="73993FFB"/>
    <w:rsid w:val="739A5FC5"/>
    <w:rsid w:val="739A7D73"/>
    <w:rsid w:val="739C1D3D"/>
    <w:rsid w:val="739C7DF3"/>
    <w:rsid w:val="73A56E44"/>
    <w:rsid w:val="73AC4A57"/>
    <w:rsid w:val="73AD7AA7"/>
    <w:rsid w:val="73B21561"/>
    <w:rsid w:val="73B25FF4"/>
    <w:rsid w:val="73B40E35"/>
    <w:rsid w:val="73B476CA"/>
    <w:rsid w:val="73B9469D"/>
    <w:rsid w:val="73BC418E"/>
    <w:rsid w:val="73BE7F06"/>
    <w:rsid w:val="73C011D3"/>
    <w:rsid w:val="73C117A4"/>
    <w:rsid w:val="73C3376E"/>
    <w:rsid w:val="73C53042"/>
    <w:rsid w:val="73C6500C"/>
    <w:rsid w:val="73C92407"/>
    <w:rsid w:val="73D019E7"/>
    <w:rsid w:val="73D615D4"/>
    <w:rsid w:val="73D634A1"/>
    <w:rsid w:val="73D7228F"/>
    <w:rsid w:val="73D73D11"/>
    <w:rsid w:val="73D94D40"/>
    <w:rsid w:val="73DE2356"/>
    <w:rsid w:val="73E01C2A"/>
    <w:rsid w:val="73E159A2"/>
    <w:rsid w:val="73E2367A"/>
    <w:rsid w:val="73E53766"/>
    <w:rsid w:val="73E6120B"/>
    <w:rsid w:val="73E72A46"/>
    <w:rsid w:val="73E7745D"/>
    <w:rsid w:val="73E92215"/>
    <w:rsid w:val="73F35C31"/>
    <w:rsid w:val="73F64E8C"/>
    <w:rsid w:val="73F92CEC"/>
    <w:rsid w:val="7400407A"/>
    <w:rsid w:val="74063CAC"/>
    <w:rsid w:val="740D2C3B"/>
    <w:rsid w:val="741143B4"/>
    <w:rsid w:val="74143FCA"/>
    <w:rsid w:val="7416389E"/>
    <w:rsid w:val="74167080"/>
    <w:rsid w:val="741713C4"/>
    <w:rsid w:val="7420296E"/>
    <w:rsid w:val="74212243"/>
    <w:rsid w:val="742B77FD"/>
    <w:rsid w:val="742C13B6"/>
    <w:rsid w:val="742F11BC"/>
    <w:rsid w:val="7434641A"/>
    <w:rsid w:val="743B1556"/>
    <w:rsid w:val="7443665D"/>
    <w:rsid w:val="7445098D"/>
    <w:rsid w:val="74463A57"/>
    <w:rsid w:val="745A5B70"/>
    <w:rsid w:val="745B7503"/>
    <w:rsid w:val="745F3497"/>
    <w:rsid w:val="74640AAD"/>
    <w:rsid w:val="746A1E3C"/>
    <w:rsid w:val="746C16D8"/>
    <w:rsid w:val="746C1710"/>
    <w:rsid w:val="747F58E7"/>
    <w:rsid w:val="74806F69"/>
    <w:rsid w:val="74866CC7"/>
    <w:rsid w:val="7487654A"/>
    <w:rsid w:val="748C4C32"/>
    <w:rsid w:val="748D1686"/>
    <w:rsid w:val="748F1CC1"/>
    <w:rsid w:val="7492403D"/>
    <w:rsid w:val="74942A15"/>
    <w:rsid w:val="7494579A"/>
    <w:rsid w:val="7495685D"/>
    <w:rsid w:val="74987D58"/>
    <w:rsid w:val="749B0247"/>
    <w:rsid w:val="749D7B1B"/>
    <w:rsid w:val="749E3893"/>
    <w:rsid w:val="74A0760B"/>
    <w:rsid w:val="74A40EAA"/>
    <w:rsid w:val="74A470FC"/>
    <w:rsid w:val="74A76BEC"/>
    <w:rsid w:val="74AC7227"/>
    <w:rsid w:val="74AE7F7A"/>
    <w:rsid w:val="74B72E4D"/>
    <w:rsid w:val="74BB61F3"/>
    <w:rsid w:val="74BE7A92"/>
    <w:rsid w:val="74C27582"/>
    <w:rsid w:val="74CA5F58"/>
    <w:rsid w:val="74CA6436"/>
    <w:rsid w:val="74CC695B"/>
    <w:rsid w:val="74D774D1"/>
    <w:rsid w:val="74D9546A"/>
    <w:rsid w:val="74DA48CB"/>
    <w:rsid w:val="74DB6895"/>
    <w:rsid w:val="74DF1EE2"/>
    <w:rsid w:val="74E7523A"/>
    <w:rsid w:val="74EB4D2A"/>
    <w:rsid w:val="74EB75B6"/>
    <w:rsid w:val="74EF4143"/>
    <w:rsid w:val="74F6722B"/>
    <w:rsid w:val="74F85B27"/>
    <w:rsid w:val="74F87447"/>
    <w:rsid w:val="74FF4332"/>
    <w:rsid w:val="75023E22"/>
    <w:rsid w:val="75046CCD"/>
    <w:rsid w:val="750556C0"/>
    <w:rsid w:val="7506311E"/>
    <w:rsid w:val="750758DC"/>
    <w:rsid w:val="75096F5F"/>
    <w:rsid w:val="750E27C7"/>
    <w:rsid w:val="751002ED"/>
    <w:rsid w:val="75134281"/>
    <w:rsid w:val="75151DA7"/>
    <w:rsid w:val="751678CE"/>
    <w:rsid w:val="751A5610"/>
    <w:rsid w:val="751D0C5C"/>
    <w:rsid w:val="751F6782"/>
    <w:rsid w:val="75232716"/>
    <w:rsid w:val="75273889"/>
    <w:rsid w:val="752B5127"/>
    <w:rsid w:val="75383CE8"/>
    <w:rsid w:val="7539435D"/>
    <w:rsid w:val="753C7334"/>
    <w:rsid w:val="75410DEE"/>
    <w:rsid w:val="754461E9"/>
    <w:rsid w:val="754730F9"/>
    <w:rsid w:val="7548139F"/>
    <w:rsid w:val="754B7577"/>
    <w:rsid w:val="754D1541"/>
    <w:rsid w:val="7557416E"/>
    <w:rsid w:val="755F1275"/>
    <w:rsid w:val="75614740"/>
    <w:rsid w:val="75644ADD"/>
    <w:rsid w:val="756B19C7"/>
    <w:rsid w:val="756D21AE"/>
    <w:rsid w:val="757271FA"/>
    <w:rsid w:val="758111EB"/>
    <w:rsid w:val="758414E5"/>
    <w:rsid w:val="75862AF0"/>
    <w:rsid w:val="7589009F"/>
    <w:rsid w:val="758E3908"/>
    <w:rsid w:val="759058D2"/>
    <w:rsid w:val="7592164A"/>
    <w:rsid w:val="75952EE8"/>
    <w:rsid w:val="759A22AD"/>
    <w:rsid w:val="759E3B4B"/>
    <w:rsid w:val="75A373B3"/>
    <w:rsid w:val="75A740D0"/>
    <w:rsid w:val="75AD1FE0"/>
    <w:rsid w:val="75AE7B06"/>
    <w:rsid w:val="75B710B1"/>
    <w:rsid w:val="75B74C0D"/>
    <w:rsid w:val="75B96BD7"/>
    <w:rsid w:val="75BF1D13"/>
    <w:rsid w:val="75C4732A"/>
    <w:rsid w:val="75C91F63"/>
    <w:rsid w:val="75CA2B92"/>
    <w:rsid w:val="75CB690A"/>
    <w:rsid w:val="75CE1F56"/>
    <w:rsid w:val="75D73501"/>
    <w:rsid w:val="75D920D7"/>
    <w:rsid w:val="75DC28C5"/>
    <w:rsid w:val="75E17EDC"/>
    <w:rsid w:val="75E241F7"/>
    <w:rsid w:val="75E579CC"/>
    <w:rsid w:val="75F53987"/>
    <w:rsid w:val="75FE6CDF"/>
    <w:rsid w:val="76004806"/>
    <w:rsid w:val="7601057E"/>
    <w:rsid w:val="760140DA"/>
    <w:rsid w:val="76037E52"/>
    <w:rsid w:val="760A11E0"/>
    <w:rsid w:val="760B4F58"/>
    <w:rsid w:val="760C0BA7"/>
    <w:rsid w:val="760C31AA"/>
    <w:rsid w:val="760D0D15"/>
    <w:rsid w:val="7610256F"/>
    <w:rsid w:val="76143E0D"/>
    <w:rsid w:val="76167FA3"/>
    <w:rsid w:val="761A519B"/>
    <w:rsid w:val="761B163F"/>
    <w:rsid w:val="761B3D1E"/>
    <w:rsid w:val="76263B40"/>
    <w:rsid w:val="76285B0A"/>
    <w:rsid w:val="762A1882"/>
    <w:rsid w:val="762A7AD4"/>
    <w:rsid w:val="762F7F3D"/>
    <w:rsid w:val="763149BF"/>
    <w:rsid w:val="763224E5"/>
    <w:rsid w:val="763418B6"/>
    <w:rsid w:val="76397D18"/>
    <w:rsid w:val="763F58F0"/>
    <w:rsid w:val="76457A23"/>
    <w:rsid w:val="764A3CD3"/>
    <w:rsid w:val="764D731F"/>
    <w:rsid w:val="764F3097"/>
    <w:rsid w:val="76522B87"/>
    <w:rsid w:val="765468FF"/>
    <w:rsid w:val="76564426"/>
    <w:rsid w:val="765D3A06"/>
    <w:rsid w:val="7662101C"/>
    <w:rsid w:val="766972D5"/>
    <w:rsid w:val="76726D86"/>
    <w:rsid w:val="76746FA2"/>
    <w:rsid w:val="767825EE"/>
    <w:rsid w:val="767C19B2"/>
    <w:rsid w:val="767E397C"/>
    <w:rsid w:val="76816FC9"/>
    <w:rsid w:val="76856AB9"/>
    <w:rsid w:val="76870A83"/>
    <w:rsid w:val="768E0063"/>
    <w:rsid w:val="76966F18"/>
    <w:rsid w:val="769709A2"/>
    <w:rsid w:val="76984A3E"/>
    <w:rsid w:val="769A6A08"/>
    <w:rsid w:val="76A2766B"/>
    <w:rsid w:val="76AA7D10"/>
    <w:rsid w:val="76B93930"/>
    <w:rsid w:val="76BD44A5"/>
    <w:rsid w:val="76C45833"/>
    <w:rsid w:val="76CA4E14"/>
    <w:rsid w:val="76CF1A7C"/>
    <w:rsid w:val="76CF5F86"/>
    <w:rsid w:val="76D31F1A"/>
    <w:rsid w:val="76D35A76"/>
    <w:rsid w:val="76D65566"/>
    <w:rsid w:val="76D8308D"/>
    <w:rsid w:val="76D9077B"/>
    <w:rsid w:val="76DA32A9"/>
    <w:rsid w:val="76DE441B"/>
    <w:rsid w:val="76DF08BF"/>
    <w:rsid w:val="76F31C74"/>
    <w:rsid w:val="76FA74A7"/>
    <w:rsid w:val="76FB155D"/>
    <w:rsid w:val="76FD0D45"/>
    <w:rsid w:val="76FD2AF3"/>
    <w:rsid w:val="77020109"/>
    <w:rsid w:val="7706409E"/>
    <w:rsid w:val="770A32B2"/>
    <w:rsid w:val="770A5210"/>
    <w:rsid w:val="770C1268"/>
    <w:rsid w:val="77161E07"/>
    <w:rsid w:val="771D3258"/>
    <w:rsid w:val="771F1885"/>
    <w:rsid w:val="7725204A"/>
    <w:rsid w:val="772B3B04"/>
    <w:rsid w:val="772C33D8"/>
    <w:rsid w:val="772E0EFE"/>
    <w:rsid w:val="77324E93"/>
    <w:rsid w:val="7733141D"/>
    <w:rsid w:val="773329B9"/>
    <w:rsid w:val="77336515"/>
    <w:rsid w:val="77365399"/>
    <w:rsid w:val="773A3D47"/>
    <w:rsid w:val="773B7D69"/>
    <w:rsid w:val="77420E4E"/>
    <w:rsid w:val="77465256"/>
    <w:rsid w:val="774B7D02"/>
    <w:rsid w:val="774E77F3"/>
    <w:rsid w:val="775429D6"/>
    <w:rsid w:val="7758241F"/>
    <w:rsid w:val="775C1F10"/>
    <w:rsid w:val="775F730A"/>
    <w:rsid w:val="7763043E"/>
    <w:rsid w:val="7763329E"/>
    <w:rsid w:val="77660698"/>
    <w:rsid w:val="776641EE"/>
    <w:rsid w:val="77770AF7"/>
    <w:rsid w:val="7778661E"/>
    <w:rsid w:val="777A5795"/>
    <w:rsid w:val="777B3A38"/>
    <w:rsid w:val="7782124A"/>
    <w:rsid w:val="77827EF9"/>
    <w:rsid w:val="77846D70"/>
    <w:rsid w:val="7788260E"/>
    <w:rsid w:val="7790767F"/>
    <w:rsid w:val="779525A3"/>
    <w:rsid w:val="7798281C"/>
    <w:rsid w:val="77A2369A"/>
    <w:rsid w:val="77A85155"/>
    <w:rsid w:val="77A86F03"/>
    <w:rsid w:val="77A9050F"/>
    <w:rsid w:val="77AE0291"/>
    <w:rsid w:val="77B00425"/>
    <w:rsid w:val="77B04009"/>
    <w:rsid w:val="77B05DB7"/>
    <w:rsid w:val="77B21B30"/>
    <w:rsid w:val="77B32B86"/>
    <w:rsid w:val="77B71A0B"/>
    <w:rsid w:val="77B91110"/>
    <w:rsid w:val="77B92EBE"/>
    <w:rsid w:val="77BC73EB"/>
    <w:rsid w:val="77BE04D4"/>
    <w:rsid w:val="77C70E30"/>
    <w:rsid w:val="77CA50CB"/>
    <w:rsid w:val="77CB0E43"/>
    <w:rsid w:val="77CB2BF1"/>
    <w:rsid w:val="77CF26E1"/>
    <w:rsid w:val="77D25D2E"/>
    <w:rsid w:val="77D4374A"/>
    <w:rsid w:val="77D575CC"/>
    <w:rsid w:val="77D60D83"/>
    <w:rsid w:val="77D870BC"/>
    <w:rsid w:val="77DA4BE2"/>
    <w:rsid w:val="77DE0B76"/>
    <w:rsid w:val="77E02A90"/>
    <w:rsid w:val="77EC27B2"/>
    <w:rsid w:val="77F008AA"/>
    <w:rsid w:val="77F42148"/>
    <w:rsid w:val="77F9150C"/>
    <w:rsid w:val="77FE6B23"/>
    <w:rsid w:val="7801265D"/>
    <w:rsid w:val="7803238B"/>
    <w:rsid w:val="7808174F"/>
    <w:rsid w:val="78085BF3"/>
    <w:rsid w:val="780B1240"/>
    <w:rsid w:val="78165760"/>
    <w:rsid w:val="78197E01"/>
    <w:rsid w:val="781F4CEB"/>
    <w:rsid w:val="781F6A99"/>
    <w:rsid w:val="782549E8"/>
    <w:rsid w:val="782D565A"/>
    <w:rsid w:val="783365AA"/>
    <w:rsid w:val="78340796"/>
    <w:rsid w:val="78342545"/>
    <w:rsid w:val="78393FFF"/>
    <w:rsid w:val="783E7867"/>
    <w:rsid w:val="78442EB8"/>
    <w:rsid w:val="78454752"/>
    <w:rsid w:val="784A620C"/>
    <w:rsid w:val="784B5AE0"/>
    <w:rsid w:val="78623556"/>
    <w:rsid w:val="78683D59"/>
    <w:rsid w:val="786848E4"/>
    <w:rsid w:val="78686692"/>
    <w:rsid w:val="78713463"/>
    <w:rsid w:val="78745037"/>
    <w:rsid w:val="78767001"/>
    <w:rsid w:val="78774B27"/>
    <w:rsid w:val="787768D5"/>
    <w:rsid w:val="787A6A7A"/>
    <w:rsid w:val="787B4617"/>
    <w:rsid w:val="78866B18"/>
    <w:rsid w:val="78872FBC"/>
    <w:rsid w:val="788D434B"/>
    <w:rsid w:val="788E5AE2"/>
    <w:rsid w:val="7892370F"/>
    <w:rsid w:val="78964FAD"/>
    <w:rsid w:val="78986F77"/>
    <w:rsid w:val="78994A9D"/>
    <w:rsid w:val="789E3E62"/>
    <w:rsid w:val="78A05E2C"/>
    <w:rsid w:val="78A06CA4"/>
    <w:rsid w:val="78AF2513"/>
    <w:rsid w:val="78B062FB"/>
    <w:rsid w:val="78B43685"/>
    <w:rsid w:val="78B47B29"/>
    <w:rsid w:val="78B638A1"/>
    <w:rsid w:val="78BB4A14"/>
    <w:rsid w:val="78BE62B2"/>
    <w:rsid w:val="78C80EDF"/>
    <w:rsid w:val="78C95383"/>
    <w:rsid w:val="78CC4E73"/>
    <w:rsid w:val="78CE0BEB"/>
    <w:rsid w:val="78D03CBC"/>
    <w:rsid w:val="78D36201"/>
    <w:rsid w:val="78D45AD6"/>
    <w:rsid w:val="78D855C6"/>
    <w:rsid w:val="78D930EC"/>
    <w:rsid w:val="78DB50B6"/>
    <w:rsid w:val="78DF4BA6"/>
    <w:rsid w:val="78E018DC"/>
    <w:rsid w:val="78E0447A"/>
    <w:rsid w:val="78E50126"/>
    <w:rsid w:val="78E51A91"/>
    <w:rsid w:val="78E977D3"/>
    <w:rsid w:val="78ED13FE"/>
    <w:rsid w:val="78EE24F1"/>
    <w:rsid w:val="78FD327E"/>
    <w:rsid w:val="790E7239"/>
    <w:rsid w:val="791365FE"/>
    <w:rsid w:val="7918401D"/>
    <w:rsid w:val="791A3A00"/>
    <w:rsid w:val="791B54B2"/>
    <w:rsid w:val="791C556F"/>
    <w:rsid w:val="791D122B"/>
    <w:rsid w:val="791F1447"/>
    <w:rsid w:val="79216E14"/>
    <w:rsid w:val="7924080B"/>
    <w:rsid w:val="792425B9"/>
    <w:rsid w:val="792720A9"/>
    <w:rsid w:val="792C5912"/>
    <w:rsid w:val="792C76C0"/>
    <w:rsid w:val="793238A9"/>
    <w:rsid w:val="79330A4E"/>
    <w:rsid w:val="79352A18"/>
    <w:rsid w:val="79393B8B"/>
    <w:rsid w:val="79422E59"/>
    <w:rsid w:val="79472C05"/>
    <w:rsid w:val="794744F9"/>
    <w:rsid w:val="794762A8"/>
    <w:rsid w:val="794B4AAE"/>
    <w:rsid w:val="794F04F8"/>
    <w:rsid w:val="79554E68"/>
    <w:rsid w:val="7959626D"/>
    <w:rsid w:val="795A247F"/>
    <w:rsid w:val="795B1D53"/>
    <w:rsid w:val="79647A53"/>
    <w:rsid w:val="79660E24"/>
    <w:rsid w:val="796706F8"/>
    <w:rsid w:val="79690914"/>
    <w:rsid w:val="796B01E8"/>
    <w:rsid w:val="796C30FB"/>
    <w:rsid w:val="796C3F60"/>
    <w:rsid w:val="797572B9"/>
    <w:rsid w:val="797B41A3"/>
    <w:rsid w:val="797D1438"/>
    <w:rsid w:val="798412AA"/>
    <w:rsid w:val="798474FC"/>
    <w:rsid w:val="798627ED"/>
    <w:rsid w:val="798655C6"/>
    <w:rsid w:val="799040F2"/>
    <w:rsid w:val="79921C19"/>
    <w:rsid w:val="799314ED"/>
    <w:rsid w:val="79971C87"/>
    <w:rsid w:val="79986B03"/>
    <w:rsid w:val="799B65F3"/>
    <w:rsid w:val="79A61220"/>
    <w:rsid w:val="79A84F0C"/>
    <w:rsid w:val="79AB2B72"/>
    <w:rsid w:val="79AD6A52"/>
    <w:rsid w:val="79B0209F"/>
    <w:rsid w:val="79B24069"/>
    <w:rsid w:val="79B37DE1"/>
    <w:rsid w:val="79BC1425"/>
    <w:rsid w:val="79BF33E8"/>
    <w:rsid w:val="79BF6786"/>
    <w:rsid w:val="79C8388C"/>
    <w:rsid w:val="79C93160"/>
    <w:rsid w:val="79CD0EA3"/>
    <w:rsid w:val="79CF328C"/>
    <w:rsid w:val="79D35D8D"/>
    <w:rsid w:val="79D551CD"/>
    <w:rsid w:val="79D62639"/>
    <w:rsid w:val="79D815F5"/>
    <w:rsid w:val="79DA711C"/>
    <w:rsid w:val="79DC7338"/>
    <w:rsid w:val="79DD09BA"/>
    <w:rsid w:val="79DE4E5E"/>
    <w:rsid w:val="79E1494E"/>
    <w:rsid w:val="79E955B1"/>
    <w:rsid w:val="79EA5DB6"/>
    <w:rsid w:val="79F301DD"/>
    <w:rsid w:val="79F532FD"/>
    <w:rsid w:val="79FC3536"/>
    <w:rsid w:val="7A0128FA"/>
    <w:rsid w:val="7A016D9E"/>
    <w:rsid w:val="7A0423EA"/>
    <w:rsid w:val="7A044199"/>
    <w:rsid w:val="7A092B86"/>
    <w:rsid w:val="7A0B3779"/>
    <w:rsid w:val="7A0B380B"/>
    <w:rsid w:val="7A0E5017"/>
    <w:rsid w:val="7A1268B5"/>
    <w:rsid w:val="7A1545F8"/>
    <w:rsid w:val="7A182E86"/>
    <w:rsid w:val="7A1F1F5A"/>
    <w:rsid w:val="7A262361"/>
    <w:rsid w:val="7A28257D"/>
    <w:rsid w:val="7A2B7977"/>
    <w:rsid w:val="7A320D06"/>
    <w:rsid w:val="7A342AF6"/>
    <w:rsid w:val="7A392094"/>
    <w:rsid w:val="7A3E76AA"/>
    <w:rsid w:val="7A434CC1"/>
    <w:rsid w:val="7A440A39"/>
    <w:rsid w:val="7A4C2473"/>
    <w:rsid w:val="7A545120"/>
    <w:rsid w:val="7A564142"/>
    <w:rsid w:val="7A5944E4"/>
    <w:rsid w:val="7A594721"/>
    <w:rsid w:val="7A597B8B"/>
    <w:rsid w:val="7A5B64AE"/>
    <w:rsid w:val="7A6014EF"/>
    <w:rsid w:val="7A601D17"/>
    <w:rsid w:val="7A664E53"/>
    <w:rsid w:val="7A6D61E2"/>
    <w:rsid w:val="7A6E5105"/>
    <w:rsid w:val="7A7208A2"/>
    <w:rsid w:val="7A7237F8"/>
    <w:rsid w:val="7A796935"/>
    <w:rsid w:val="7A7C4677"/>
    <w:rsid w:val="7A7F21C4"/>
    <w:rsid w:val="7A8157E9"/>
    <w:rsid w:val="7A831561"/>
    <w:rsid w:val="7A8377B3"/>
    <w:rsid w:val="7A862E00"/>
    <w:rsid w:val="7A8A0B42"/>
    <w:rsid w:val="7A911E35"/>
    <w:rsid w:val="7A9279F6"/>
    <w:rsid w:val="7A951295"/>
    <w:rsid w:val="7A9B4AFD"/>
    <w:rsid w:val="7A9B68AB"/>
    <w:rsid w:val="7A9E0310"/>
    <w:rsid w:val="7AA05A20"/>
    <w:rsid w:val="7AA50AEA"/>
    <w:rsid w:val="7AAC0AB8"/>
    <w:rsid w:val="7AAC6D0A"/>
    <w:rsid w:val="7AB37067"/>
    <w:rsid w:val="7AB67B89"/>
    <w:rsid w:val="7ABB2AC0"/>
    <w:rsid w:val="7ABC4A73"/>
    <w:rsid w:val="7ABE4C8F"/>
    <w:rsid w:val="7AC07E9C"/>
    <w:rsid w:val="7AC2652D"/>
    <w:rsid w:val="7AC57DCC"/>
    <w:rsid w:val="7AC73B44"/>
    <w:rsid w:val="7ACA7190"/>
    <w:rsid w:val="7ACC115A"/>
    <w:rsid w:val="7AD24297"/>
    <w:rsid w:val="7AD95625"/>
    <w:rsid w:val="7ADC4A8C"/>
    <w:rsid w:val="7AE244DA"/>
    <w:rsid w:val="7AE53FCA"/>
    <w:rsid w:val="7AE83ABA"/>
    <w:rsid w:val="7AED2669"/>
    <w:rsid w:val="7AEF4E49"/>
    <w:rsid w:val="7AF0097B"/>
    <w:rsid w:val="7AF1296F"/>
    <w:rsid w:val="7AF661D7"/>
    <w:rsid w:val="7AFB1A3F"/>
    <w:rsid w:val="7AFE62FD"/>
    <w:rsid w:val="7B00125E"/>
    <w:rsid w:val="7B0209A9"/>
    <w:rsid w:val="7B024B7C"/>
    <w:rsid w:val="7B0501C8"/>
    <w:rsid w:val="7B095F0A"/>
    <w:rsid w:val="7B136D89"/>
    <w:rsid w:val="7B1448AF"/>
    <w:rsid w:val="7B18614D"/>
    <w:rsid w:val="7B193EA2"/>
    <w:rsid w:val="7B1C2BCF"/>
    <w:rsid w:val="7B1D19B6"/>
    <w:rsid w:val="7B1D3764"/>
    <w:rsid w:val="7B203254"/>
    <w:rsid w:val="7B2368A0"/>
    <w:rsid w:val="7B2745E3"/>
    <w:rsid w:val="7B2F16E9"/>
    <w:rsid w:val="7B30793B"/>
    <w:rsid w:val="7B38227A"/>
    <w:rsid w:val="7B3A2568"/>
    <w:rsid w:val="7B42141C"/>
    <w:rsid w:val="7B424F78"/>
    <w:rsid w:val="7B445194"/>
    <w:rsid w:val="7B4729C1"/>
    <w:rsid w:val="7B4C4049"/>
    <w:rsid w:val="7B4C5DF7"/>
    <w:rsid w:val="7B503B39"/>
    <w:rsid w:val="7B524F03"/>
    <w:rsid w:val="7B5573A2"/>
    <w:rsid w:val="7B5C7195"/>
    <w:rsid w:val="7B607AF4"/>
    <w:rsid w:val="7B611E85"/>
    <w:rsid w:val="7B6969A9"/>
    <w:rsid w:val="7B707D38"/>
    <w:rsid w:val="7B74487F"/>
    <w:rsid w:val="7B7610C6"/>
    <w:rsid w:val="7B821819"/>
    <w:rsid w:val="7B827A6B"/>
    <w:rsid w:val="7B875283"/>
    <w:rsid w:val="7B8E4662"/>
    <w:rsid w:val="7B8F3A15"/>
    <w:rsid w:val="7B902188"/>
    <w:rsid w:val="7B933E0D"/>
    <w:rsid w:val="7B9559F0"/>
    <w:rsid w:val="7B9A6B62"/>
    <w:rsid w:val="7B9F061D"/>
    <w:rsid w:val="7B9F686F"/>
    <w:rsid w:val="7BB06386"/>
    <w:rsid w:val="7BB67714"/>
    <w:rsid w:val="7BBA0FB3"/>
    <w:rsid w:val="7BBB4173"/>
    <w:rsid w:val="7BC63DFB"/>
    <w:rsid w:val="7BC730F6"/>
    <w:rsid w:val="7BC938EC"/>
    <w:rsid w:val="7BC9569A"/>
    <w:rsid w:val="7BCA329D"/>
    <w:rsid w:val="7BCB7664"/>
    <w:rsid w:val="7BCE0F02"/>
    <w:rsid w:val="7BD209F2"/>
    <w:rsid w:val="7BD55DED"/>
    <w:rsid w:val="7BD61B65"/>
    <w:rsid w:val="7BD76009"/>
    <w:rsid w:val="7BD858DD"/>
    <w:rsid w:val="7BD950E3"/>
    <w:rsid w:val="7BDB3B80"/>
    <w:rsid w:val="7BDC53CD"/>
    <w:rsid w:val="7BDF0A19"/>
    <w:rsid w:val="7BE14791"/>
    <w:rsid w:val="7BE75B20"/>
    <w:rsid w:val="7BE85F3B"/>
    <w:rsid w:val="7BED75DA"/>
    <w:rsid w:val="7BEE6EAE"/>
    <w:rsid w:val="7BF22E42"/>
    <w:rsid w:val="7BF70459"/>
    <w:rsid w:val="7BF87D2D"/>
    <w:rsid w:val="7BFD2A05"/>
    <w:rsid w:val="7C09018C"/>
    <w:rsid w:val="7C10239C"/>
    <w:rsid w:val="7C176405"/>
    <w:rsid w:val="7C1873ED"/>
    <w:rsid w:val="7C1F52BA"/>
    <w:rsid w:val="7C2154D6"/>
    <w:rsid w:val="7C240B22"/>
    <w:rsid w:val="7C280584"/>
    <w:rsid w:val="7C2823C0"/>
    <w:rsid w:val="7C29438A"/>
    <w:rsid w:val="7C2B3C5E"/>
    <w:rsid w:val="7C2E19A1"/>
    <w:rsid w:val="7C2F03B3"/>
    <w:rsid w:val="7C3074C7"/>
    <w:rsid w:val="7C330D65"/>
    <w:rsid w:val="7C336FB7"/>
    <w:rsid w:val="7C43544C"/>
    <w:rsid w:val="7C480A5D"/>
    <w:rsid w:val="7C4D62CB"/>
    <w:rsid w:val="7C5807CC"/>
    <w:rsid w:val="7C5C7B97"/>
    <w:rsid w:val="7C607769"/>
    <w:rsid w:val="7C640F3A"/>
    <w:rsid w:val="7C6443AA"/>
    <w:rsid w:val="7C647170"/>
    <w:rsid w:val="7C6B04FF"/>
    <w:rsid w:val="7C6B0F4D"/>
    <w:rsid w:val="7C731488"/>
    <w:rsid w:val="7C792C1C"/>
    <w:rsid w:val="7C7D195E"/>
    <w:rsid w:val="7C831CEC"/>
    <w:rsid w:val="7C86239A"/>
    <w:rsid w:val="7C876FFF"/>
    <w:rsid w:val="7C9061B7"/>
    <w:rsid w:val="7C9376EC"/>
    <w:rsid w:val="7C9712F4"/>
    <w:rsid w:val="7CA05A8B"/>
    <w:rsid w:val="7CA82555"/>
    <w:rsid w:val="7CA83501"/>
    <w:rsid w:val="7CA852AF"/>
    <w:rsid w:val="7CB63E70"/>
    <w:rsid w:val="7CC61BD9"/>
    <w:rsid w:val="7CC7607D"/>
    <w:rsid w:val="7CC85951"/>
    <w:rsid w:val="7CCA16C9"/>
    <w:rsid w:val="7CCA6D20"/>
    <w:rsid w:val="7CCB4BA1"/>
    <w:rsid w:val="7CCB6D9A"/>
    <w:rsid w:val="7CCD740C"/>
    <w:rsid w:val="7CCF4F32"/>
    <w:rsid w:val="7CD01D7D"/>
    <w:rsid w:val="7CD10CAA"/>
    <w:rsid w:val="7CD95DB0"/>
    <w:rsid w:val="7CE0713F"/>
    <w:rsid w:val="7CE16A13"/>
    <w:rsid w:val="7CE3278B"/>
    <w:rsid w:val="7CE34539"/>
    <w:rsid w:val="7CE46E89"/>
    <w:rsid w:val="7CE56503"/>
    <w:rsid w:val="7CE64029"/>
    <w:rsid w:val="7CE670AC"/>
    <w:rsid w:val="7CE704CD"/>
    <w:rsid w:val="7CEA3B1A"/>
    <w:rsid w:val="7CEC1640"/>
    <w:rsid w:val="7CEC5AE4"/>
    <w:rsid w:val="7CED6F84"/>
    <w:rsid w:val="7CEE2B0C"/>
    <w:rsid w:val="7CEF7382"/>
    <w:rsid w:val="7CF20C20"/>
    <w:rsid w:val="7CF36E72"/>
    <w:rsid w:val="7CF404F4"/>
    <w:rsid w:val="7CF706D0"/>
    <w:rsid w:val="7CF90201"/>
    <w:rsid w:val="7CFE5817"/>
    <w:rsid w:val="7D025DD1"/>
    <w:rsid w:val="7D047676"/>
    <w:rsid w:val="7D0D5952"/>
    <w:rsid w:val="7D1110A6"/>
    <w:rsid w:val="7D162B61"/>
    <w:rsid w:val="7D1B1F25"/>
    <w:rsid w:val="7D1C30E3"/>
    <w:rsid w:val="7D1E1724"/>
    <w:rsid w:val="7D1E58D9"/>
    <w:rsid w:val="7D256900"/>
    <w:rsid w:val="7D2A03BA"/>
    <w:rsid w:val="7D2D2DA9"/>
    <w:rsid w:val="7D2F257D"/>
    <w:rsid w:val="7D2F59D0"/>
    <w:rsid w:val="7D3905FD"/>
    <w:rsid w:val="7D3B4132"/>
    <w:rsid w:val="7D3D633F"/>
    <w:rsid w:val="7D3E79C1"/>
    <w:rsid w:val="7D4274B2"/>
    <w:rsid w:val="7D460E38"/>
    <w:rsid w:val="7D4F6073"/>
    <w:rsid w:val="7D4F7E21"/>
    <w:rsid w:val="7D627B54"/>
    <w:rsid w:val="7D641B1E"/>
    <w:rsid w:val="7D6438CC"/>
    <w:rsid w:val="7D6D409C"/>
    <w:rsid w:val="7D7004C3"/>
    <w:rsid w:val="7D787377"/>
    <w:rsid w:val="7D7F430F"/>
    <w:rsid w:val="7D831C9C"/>
    <w:rsid w:val="7D845D1C"/>
    <w:rsid w:val="7D847ACA"/>
    <w:rsid w:val="7D8A0E59"/>
    <w:rsid w:val="7D8D3C0F"/>
    <w:rsid w:val="7D9046C1"/>
    <w:rsid w:val="7D9330EC"/>
    <w:rsid w:val="7D99109C"/>
    <w:rsid w:val="7D9B4E14"/>
    <w:rsid w:val="7D9D293A"/>
    <w:rsid w:val="7DA41F1A"/>
    <w:rsid w:val="7DA43CC8"/>
    <w:rsid w:val="7DA55C93"/>
    <w:rsid w:val="7DA94A5D"/>
    <w:rsid w:val="7DAA32A9"/>
    <w:rsid w:val="7DB06B11"/>
    <w:rsid w:val="7DB163E5"/>
    <w:rsid w:val="7DB56486"/>
    <w:rsid w:val="7DB83C18"/>
    <w:rsid w:val="7DBA34EC"/>
    <w:rsid w:val="7DC4436B"/>
    <w:rsid w:val="7DC73E5B"/>
    <w:rsid w:val="7DC91981"/>
    <w:rsid w:val="7DCE5B9D"/>
    <w:rsid w:val="7DCE7506"/>
    <w:rsid w:val="7DD26996"/>
    <w:rsid w:val="7DDB16B4"/>
    <w:rsid w:val="7DDB3462"/>
    <w:rsid w:val="7DDE0ED1"/>
    <w:rsid w:val="7DE50961"/>
    <w:rsid w:val="7DE62533"/>
    <w:rsid w:val="7DEE6983"/>
    <w:rsid w:val="7DF06F0E"/>
    <w:rsid w:val="7DF13B08"/>
    <w:rsid w:val="7DF24F98"/>
    <w:rsid w:val="7DF422BA"/>
    <w:rsid w:val="7DF47D52"/>
    <w:rsid w:val="7DF56681"/>
    <w:rsid w:val="7DF74740"/>
    <w:rsid w:val="7DF764EE"/>
    <w:rsid w:val="7DFB58B2"/>
    <w:rsid w:val="7DFD5ACF"/>
    <w:rsid w:val="7DFD696E"/>
    <w:rsid w:val="7E002EC9"/>
    <w:rsid w:val="7E01111B"/>
    <w:rsid w:val="7E024E93"/>
    <w:rsid w:val="7E05083C"/>
    <w:rsid w:val="7E110BB2"/>
    <w:rsid w:val="7E132BFC"/>
    <w:rsid w:val="7E14602A"/>
    <w:rsid w:val="7E154BC6"/>
    <w:rsid w:val="7E16427C"/>
    <w:rsid w:val="7E1D3A7B"/>
    <w:rsid w:val="7E1E61B2"/>
    <w:rsid w:val="7E1E7F1F"/>
    <w:rsid w:val="7E355268"/>
    <w:rsid w:val="7E3B7A4F"/>
    <w:rsid w:val="7E3C56FC"/>
    <w:rsid w:val="7E4110F2"/>
    <w:rsid w:val="7E4454AB"/>
    <w:rsid w:val="7E461224"/>
    <w:rsid w:val="7E494870"/>
    <w:rsid w:val="7E4C0906"/>
    <w:rsid w:val="7E54225E"/>
    <w:rsid w:val="7E5751DF"/>
    <w:rsid w:val="7E5C0A47"/>
    <w:rsid w:val="7E5F4093"/>
    <w:rsid w:val="7E611BB9"/>
    <w:rsid w:val="7E7044F2"/>
    <w:rsid w:val="7E7219F5"/>
    <w:rsid w:val="7E75113B"/>
    <w:rsid w:val="7E7A711F"/>
    <w:rsid w:val="7E81225C"/>
    <w:rsid w:val="7E815778"/>
    <w:rsid w:val="7E867872"/>
    <w:rsid w:val="7E885398"/>
    <w:rsid w:val="7E8A55B4"/>
    <w:rsid w:val="7E8D5CA6"/>
    <w:rsid w:val="7E924469"/>
    <w:rsid w:val="7E9755DB"/>
    <w:rsid w:val="7E9C2B2A"/>
    <w:rsid w:val="7E9C7095"/>
    <w:rsid w:val="7E9D7EB1"/>
    <w:rsid w:val="7EA85A3A"/>
    <w:rsid w:val="7EB23BE8"/>
    <w:rsid w:val="7EB4618D"/>
    <w:rsid w:val="7EB50157"/>
    <w:rsid w:val="7EB663A9"/>
    <w:rsid w:val="7EB75C7D"/>
    <w:rsid w:val="7EB85404"/>
    <w:rsid w:val="7ECA3C03"/>
    <w:rsid w:val="7ED3085A"/>
    <w:rsid w:val="7ED92098"/>
    <w:rsid w:val="7EE8052D"/>
    <w:rsid w:val="7EEB2310"/>
    <w:rsid w:val="7EF33673"/>
    <w:rsid w:val="7EF50554"/>
    <w:rsid w:val="7EF667A6"/>
    <w:rsid w:val="7EF90044"/>
    <w:rsid w:val="7EFB200E"/>
    <w:rsid w:val="7EFC5D86"/>
    <w:rsid w:val="7F037115"/>
    <w:rsid w:val="7F052E8D"/>
    <w:rsid w:val="7F08297D"/>
    <w:rsid w:val="7F0B68DB"/>
    <w:rsid w:val="7F0C421B"/>
    <w:rsid w:val="7F0D505B"/>
    <w:rsid w:val="7F0F1615"/>
    <w:rsid w:val="7F1906E6"/>
    <w:rsid w:val="7F192494"/>
    <w:rsid w:val="7F1B1186"/>
    <w:rsid w:val="7F1B26B0"/>
    <w:rsid w:val="7F1B620C"/>
    <w:rsid w:val="7F1C6484"/>
    <w:rsid w:val="7F201BFA"/>
    <w:rsid w:val="7F21759B"/>
    <w:rsid w:val="7F250E39"/>
    <w:rsid w:val="7F251976"/>
    <w:rsid w:val="7F267854"/>
    <w:rsid w:val="7F2D4191"/>
    <w:rsid w:val="7F2D5F40"/>
    <w:rsid w:val="7F2E23E3"/>
    <w:rsid w:val="7F2F3A66"/>
    <w:rsid w:val="7F313C82"/>
    <w:rsid w:val="7F323556"/>
    <w:rsid w:val="7F344635"/>
    <w:rsid w:val="7F3C6183"/>
    <w:rsid w:val="7F403EC5"/>
    <w:rsid w:val="7F421D33"/>
    <w:rsid w:val="7F427C3D"/>
    <w:rsid w:val="7F440FF9"/>
    <w:rsid w:val="7F445C25"/>
    <w:rsid w:val="7F447960"/>
    <w:rsid w:val="7F452F1B"/>
    <w:rsid w:val="7F460DAF"/>
    <w:rsid w:val="7F4831CC"/>
    <w:rsid w:val="7F4F1E1A"/>
    <w:rsid w:val="7F4F5EB6"/>
    <w:rsid w:val="7F531E4A"/>
    <w:rsid w:val="7F533BF8"/>
    <w:rsid w:val="7F5636E8"/>
    <w:rsid w:val="7F565496"/>
    <w:rsid w:val="7F573E39"/>
    <w:rsid w:val="7F58120E"/>
    <w:rsid w:val="7F594F87"/>
    <w:rsid w:val="7F5B0CFF"/>
    <w:rsid w:val="7F5C05D3"/>
    <w:rsid w:val="7F5E259D"/>
    <w:rsid w:val="7F611144"/>
    <w:rsid w:val="7F69341C"/>
    <w:rsid w:val="7F6E0A32"/>
    <w:rsid w:val="7F805D38"/>
    <w:rsid w:val="7F833DB1"/>
    <w:rsid w:val="7F842003"/>
    <w:rsid w:val="7F855D7C"/>
    <w:rsid w:val="7F857B2A"/>
    <w:rsid w:val="7F887EEB"/>
    <w:rsid w:val="7F954211"/>
    <w:rsid w:val="7F983D01"/>
    <w:rsid w:val="7F98785D"/>
    <w:rsid w:val="7FA30A60"/>
    <w:rsid w:val="7FA465C9"/>
    <w:rsid w:val="7FA91A6A"/>
    <w:rsid w:val="7FA97CBC"/>
    <w:rsid w:val="7FAC50B6"/>
    <w:rsid w:val="7FAF2DF8"/>
    <w:rsid w:val="7FB14DC3"/>
    <w:rsid w:val="7FC04CEC"/>
    <w:rsid w:val="7FC248DA"/>
    <w:rsid w:val="7FC70142"/>
    <w:rsid w:val="7FCA19E0"/>
    <w:rsid w:val="7FCE7723"/>
    <w:rsid w:val="7FD10FC1"/>
    <w:rsid w:val="7FD4460D"/>
    <w:rsid w:val="7FD44740"/>
    <w:rsid w:val="7FD910D8"/>
    <w:rsid w:val="7FE26D2A"/>
    <w:rsid w:val="7FE30045"/>
    <w:rsid w:val="7FE42AA2"/>
    <w:rsid w:val="7FE74340"/>
    <w:rsid w:val="7FE9455C"/>
    <w:rsid w:val="7FEC5DFB"/>
    <w:rsid w:val="7FEE1B73"/>
    <w:rsid w:val="7FEE3921"/>
    <w:rsid w:val="7FF94405"/>
    <w:rsid w:val="7FFC61D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9" w:semiHidden="0" w:name="heading 2"/>
    <w:lsdException w:qFormat="1" w:uiPriority="9" w:semiHidden="0" w:name="heading 3"/>
    <w:lsdException w:qFormat="1" w:unhideWhenUsed="0" w:uiPriority="0" w:semiHidden="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qFormat="1"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qFormat="1" w:unhideWhenUsed="0" w:uiPriority="0" w:semiHidden="0" w:name="toa heading"/>
    <w:lsdException w:qFormat="1"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qFormat="1" w:uiPriority="99"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qFormat="1" w:unhideWhenUsed="0" w:uiPriority="0" w:semiHidden="0" w:name="Body Text First Indent"/>
    <w:lsdException w:qFormat="1"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qFormat="1" w:unhideWhenUsed="0" w:uiPriority="0" w:semiHidden="0" w:name="Body Text Indent 2"/>
    <w:lsdException w:qFormat="1"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qFormat="1"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qFormat/>
    <w:uiPriority w:val="0"/>
    <w:pPr>
      <w:keepNext/>
      <w:keepLines/>
      <w:spacing w:before="20" w:after="20"/>
      <w:jc w:val="center"/>
      <w:outlineLvl w:val="0"/>
    </w:pPr>
    <w:rPr>
      <w:b/>
      <w:kern w:val="44"/>
      <w:sz w:val="44"/>
    </w:rPr>
  </w:style>
  <w:style w:type="paragraph" w:styleId="3">
    <w:name w:val="heading 2"/>
    <w:basedOn w:val="1"/>
    <w:next w:val="1"/>
    <w:qFormat/>
    <w:uiPriority w:val="9"/>
    <w:pPr>
      <w:widowControl/>
      <w:spacing w:before="100" w:beforeAutospacing="1" w:after="100" w:afterAutospacing="1"/>
      <w:jc w:val="left"/>
      <w:outlineLvl w:val="1"/>
    </w:pPr>
    <w:rPr>
      <w:rFonts w:ascii="宋体" w:hAnsi="宋体" w:eastAsia="宋体" w:cs="宋体"/>
      <w:b/>
      <w:bCs/>
      <w:kern w:val="0"/>
      <w:sz w:val="36"/>
      <w:szCs w:val="36"/>
    </w:rPr>
  </w:style>
  <w:style w:type="paragraph" w:styleId="4">
    <w:name w:val="heading 3"/>
    <w:basedOn w:val="1"/>
    <w:next w:val="1"/>
    <w:unhideWhenUsed/>
    <w:qFormat/>
    <w:uiPriority w:val="9"/>
    <w:pPr>
      <w:ind w:left="1301" w:hanging="561"/>
      <w:outlineLvl w:val="2"/>
    </w:pPr>
    <w:rPr>
      <w:b/>
      <w:bCs/>
      <w:sz w:val="28"/>
      <w:szCs w:val="28"/>
    </w:rPr>
  </w:style>
  <w:style w:type="paragraph" w:styleId="5">
    <w:name w:val="heading 4"/>
    <w:basedOn w:val="1"/>
    <w:next w:val="6"/>
    <w:qFormat/>
    <w:uiPriority w:val="0"/>
    <w:pPr>
      <w:jc w:val="center"/>
      <w:outlineLvl w:val="3"/>
    </w:pPr>
    <w:rPr>
      <w:rFonts w:ascii="Times New Roman" w:hAnsi="Times New Roman" w:eastAsia="宋体"/>
      <w:szCs w:val="21"/>
    </w:rPr>
  </w:style>
  <w:style w:type="character" w:default="1" w:styleId="24">
    <w:name w:val="Default Paragraph Font"/>
    <w:semiHidden/>
    <w:unhideWhenUsed/>
    <w:qFormat/>
    <w:uiPriority w:val="1"/>
  </w:style>
  <w:style w:type="table" w:default="1" w:styleId="22">
    <w:name w:val="Normal Table"/>
    <w:semiHidden/>
    <w:unhideWhenUsed/>
    <w:qFormat/>
    <w:uiPriority w:val="99"/>
    <w:pPr>
      <w:keepNext w:val="0"/>
      <w:keepLines w:val="0"/>
      <w:widowControl/>
      <w:suppressLineNumbers w:val="0"/>
      <w:spacing w:before="0" w:beforeAutospacing="0" w:after="0" w:afterAutospacing="0"/>
      <w:ind w:left="0" w:right="0"/>
    </w:pPr>
    <w:rPr>
      <w:rFonts w:hint="default" w:ascii="Times New Roman" w:hAnsi="Times New Roman" w:cs="Times New Roman"/>
      <w:sz w:val="20"/>
      <w:szCs w:val="20"/>
    </w:rPr>
    <w:tblPr>
      <w:tblCellMar>
        <w:top w:w="0" w:type="dxa"/>
        <w:left w:w="108" w:type="dxa"/>
        <w:bottom w:w="0" w:type="dxa"/>
        <w:right w:w="108" w:type="dxa"/>
      </w:tblCellMar>
    </w:tblPr>
  </w:style>
  <w:style w:type="paragraph" w:customStyle="1" w:styleId="6">
    <w:name w:val="表文字52"/>
    <w:basedOn w:val="1"/>
    <w:qFormat/>
    <w:uiPriority w:val="0"/>
    <w:pPr>
      <w:adjustRightInd w:val="0"/>
      <w:jc w:val="left"/>
    </w:pPr>
    <w:rPr>
      <w:rFonts w:ascii="宋体"/>
      <w:kern w:val="0"/>
      <w:szCs w:val="20"/>
    </w:rPr>
  </w:style>
  <w:style w:type="paragraph" w:styleId="7">
    <w:name w:val="Normal Indent"/>
    <w:basedOn w:val="1"/>
    <w:qFormat/>
    <w:uiPriority w:val="0"/>
    <w:pPr>
      <w:ind w:firstLine="420"/>
    </w:pPr>
  </w:style>
  <w:style w:type="paragraph" w:styleId="8">
    <w:name w:val="toa heading"/>
    <w:basedOn w:val="1"/>
    <w:next w:val="1"/>
    <w:qFormat/>
    <w:uiPriority w:val="0"/>
    <w:pPr>
      <w:spacing w:before="120" w:after="120" w:line="360" w:lineRule="auto"/>
      <w:ind w:firstLine="200" w:firstLineChars="200"/>
      <w:jc w:val="left"/>
    </w:pPr>
    <w:rPr>
      <w:rFonts w:eastAsia="仿宋_GB2312"/>
      <w:sz w:val="24"/>
      <w:u w:val="single"/>
    </w:rPr>
  </w:style>
  <w:style w:type="paragraph" w:styleId="9">
    <w:name w:val="annotation text"/>
    <w:basedOn w:val="1"/>
    <w:qFormat/>
    <w:uiPriority w:val="0"/>
    <w:pPr>
      <w:jc w:val="left"/>
    </w:pPr>
  </w:style>
  <w:style w:type="paragraph" w:styleId="10">
    <w:name w:val="Body Text"/>
    <w:basedOn w:val="1"/>
    <w:next w:val="1"/>
    <w:semiHidden/>
    <w:unhideWhenUsed/>
    <w:qFormat/>
    <w:uiPriority w:val="99"/>
    <w:pPr>
      <w:spacing w:after="120"/>
    </w:pPr>
  </w:style>
  <w:style w:type="paragraph" w:styleId="11">
    <w:name w:val="Body Text Indent"/>
    <w:basedOn w:val="1"/>
    <w:next w:val="12"/>
    <w:qFormat/>
    <w:uiPriority w:val="0"/>
    <w:pPr>
      <w:ind w:firstLine="480" w:firstLineChars="200"/>
    </w:pPr>
    <w:rPr>
      <w:rFonts w:ascii="宋体"/>
      <w:color w:val="000000"/>
      <w:sz w:val="24"/>
    </w:rPr>
  </w:style>
  <w:style w:type="paragraph" w:styleId="12">
    <w:name w:val="Body Text Indent 2"/>
    <w:basedOn w:val="1"/>
    <w:next w:val="8"/>
    <w:qFormat/>
    <w:uiPriority w:val="0"/>
    <w:pPr>
      <w:spacing w:line="312" w:lineRule="auto"/>
      <w:ind w:firstLine="420" w:firstLineChars="200"/>
    </w:pPr>
    <w:rPr>
      <w:color w:val="FF0000"/>
    </w:rPr>
  </w:style>
  <w:style w:type="paragraph" w:styleId="13">
    <w:name w:val="Plain Text"/>
    <w:basedOn w:val="1"/>
    <w:next w:val="1"/>
    <w:qFormat/>
    <w:uiPriority w:val="0"/>
    <w:rPr>
      <w:rFonts w:ascii="宋体" w:hAnsi="Courier New"/>
      <w:szCs w:val="20"/>
    </w:rPr>
  </w:style>
  <w:style w:type="paragraph" w:styleId="14">
    <w:name w:val="footer"/>
    <w:basedOn w:val="1"/>
    <w:qFormat/>
    <w:uiPriority w:val="0"/>
    <w:pPr>
      <w:tabs>
        <w:tab w:val="center" w:pos="4153"/>
        <w:tab w:val="right" w:pos="8306"/>
      </w:tabs>
      <w:snapToGrid w:val="0"/>
      <w:jc w:val="left"/>
    </w:pPr>
    <w:rPr>
      <w:sz w:val="18"/>
    </w:rPr>
  </w:style>
  <w:style w:type="paragraph" w:styleId="15">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paragraph" w:styleId="16">
    <w:name w:val="toc 1"/>
    <w:basedOn w:val="1"/>
    <w:next w:val="1"/>
    <w:qFormat/>
    <w:uiPriority w:val="0"/>
    <w:pPr>
      <w:numPr>
        <w:ilvl w:val="0"/>
        <w:numId w:val="1"/>
      </w:numPr>
      <w:tabs>
        <w:tab w:val="right" w:leader="dot" w:pos="8303"/>
        <w:tab w:val="clear" w:pos="420"/>
      </w:tabs>
      <w:spacing w:line="360" w:lineRule="auto"/>
    </w:pPr>
  </w:style>
  <w:style w:type="paragraph" w:styleId="17">
    <w:name w:val="List"/>
    <w:basedOn w:val="1"/>
    <w:qFormat/>
    <w:uiPriority w:val="0"/>
    <w:pPr>
      <w:ind w:left="200" w:hanging="200" w:hangingChars="200"/>
    </w:pPr>
  </w:style>
  <w:style w:type="paragraph" w:styleId="18">
    <w:name w:val="Body Text Indent 3"/>
    <w:basedOn w:val="1"/>
    <w:qFormat/>
    <w:uiPriority w:val="0"/>
    <w:pPr>
      <w:spacing w:after="120"/>
      <w:ind w:left="420" w:leftChars="200"/>
    </w:pPr>
    <w:rPr>
      <w:sz w:val="16"/>
      <w:szCs w:val="16"/>
    </w:rPr>
  </w:style>
  <w:style w:type="paragraph" w:styleId="19">
    <w:name w:val="Normal (Web)"/>
    <w:basedOn w:val="1"/>
    <w:qFormat/>
    <w:uiPriority w:val="0"/>
    <w:pPr>
      <w:widowControl/>
      <w:spacing w:before="0" w:beforeAutospacing="1" w:after="0" w:afterAutospacing="1"/>
      <w:ind w:left="0" w:right="0"/>
      <w:jc w:val="left"/>
    </w:pPr>
    <w:rPr>
      <w:rFonts w:ascii="宋体" w:hAnsi="宋体" w:eastAsia="宋体" w:cs="宋体"/>
      <w:kern w:val="0"/>
      <w:sz w:val="24"/>
      <w:szCs w:val="24"/>
      <w:lang w:val="en-US" w:eastAsia="zh-CN" w:bidi="ar"/>
    </w:rPr>
  </w:style>
  <w:style w:type="paragraph" w:styleId="20">
    <w:name w:val="Body Text First Indent"/>
    <w:basedOn w:val="10"/>
    <w:next w:val="1"/>
    <w:qFormat/>
    <w:uiPriority w:val="0"/>
    <w:pPr>
      <w:ind w:firstLine="420" w:firstLineChars="100"/>
    </w:pPr>
  </w:style>
  <w:style w:type="paragraph" w:styleId="21">
    <w:name w:val="Body Text First Indent 2"/>
    <w:basedOn w:val="11"/>
    <w:next w:val="1"/>
    <w:qFormat/>
    <w:uiPriority w:val="0"/>
    <w:pPr>
      <w:spacing w:after="120"/>
      <w:ind w:left="420" w:leftChars="200" w:firstLine="420"/>
    </w:pPr>
    <w:rPr>
      <w:rFonts w:eastAsia="仿宋_GB2312"/>
      <w:snapToGrid w:val="0"/>
      <w:kern w:val="0"/>
      <w:sz w:val="28"/>
      <w:szCs w:val="20"/>
    </w:rPr>
  </w:style>
  <w:style w:type="table" w:styleId="23">
    <w:name w:val="Table Grid"/>
    <w:basedOn w:val="22"/>
    <w:qFormat/>
    <w:uiPriority w:val="0"/>
    <w:pPr>
      <w:keepNext w:val="0"/>
      <w:keepLines w:val="0"/>
      <w:widowControl w:val="0"/>
      <w:suppressLineNumbers w:val="0"/>
      <w:spacing w:before="0" w:beforeAutospacing="0" w:after="0" w:afterAutospacing="0"/>
      <w:ind w:left="0" w:right="0"/>
      <w:jc w:val="both"/>
    </w:pPr>
    <w:rPr>
      <w:rFonts w:hint="default" w:ascii="Times New Roman" w:hAnsi="Times New Roman" w:cs="Times New Roman"/>
      <w:sz w:val="20"/>
      <w:szCs w:val="20"/>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tcPr>
      <w:tcBorders>
        <w:top w:val="single" w:color="auto" w:sz="4" w:space="0"/>
        <w:left w:val="single" w:color="auto" w:sz="4" w:space="0"/>
        <w:bottom w:val="single" w:color="auto" w:sz="4" w:space="0"/>
        <w:right w:val="single" w:color="auto" w:sz="4" w:space="0"/>
      </w:tcBorders>
    </w:tcPr>
  </w:style>
  <w:style w:type="character" w:styleId="25">
    <w:name w:val="Emphasis"/>
    <w:basedOn w:val="24"/>
    <w:qFormat/>
    <w:uiPriority w:val="0"/>
    <w:rPr>
      <w:i/>
    </w:rPr>
  </w:style>
  <w:style w:type="character" w:styleId="26">
    <w:name w:val="Hyperlink"/>
    <w:basedOn w:val="24"/>
    <w:qFormat/>
    <w:uiPriority w:val="0"/>
    <w:rPr>
      <w:color w:val="0000FF"/>
      <w:u w:val="single"/>
    </w:rPr>
  </w:style>
  <w:style w:type="character" w:styleId="27">
    <w:name w:val="annotation reference"/>
    <w:basedOn w:val="24"/>
    <w:qFormat/>
    <w:uiPriority w:val="0"/>
    <w:rPr>
      <w:sz w:val="21"/>
      <w:szCs w:val="21"/>
    </w:rPr>
  </w:style>
  <w:style w:type="paragraph" w:customStyle="1" w:styleId="28">
    <w:name w:val="正文首行缩进2个字 Char"/>
    <w:basedOn w:val="1"/>
    <w:qFormat/>
    <w:uiPriority w:val="0"/>
    <w:pPr>
      <w:ind w:firstLine="480" w:firstLineChars="200"/>
    </w:pPr>
    <w:rPr>
      <w:rFonts w:eastAsia="楷体"/>
      <w:sz w:val="24"/>
    </w:rPr>
  </w:style>
  <w:style w:type="paragraph" w:customStyle="1" w:styleId="29">
    <w:name w:val="表格字体"/>
    <w:next w:val="1"/>
    <w:qFormat/>
    <w:uiPriority w:val="0"/>
    <w:pPr>
      <w:tabs>
        <w:tab w:val="right" w:leader="dot" w:pos="9061"/>
      </w:tabs>
      <w:jc w:val="center"/>
    </w:pPr>
    <w:rPr>
      <w:rFonts w:ascii="Times New Roman" w:hAnsi="Times New Roman" w:eastAsia="宋体" w:cs="Times New Roman"/>
      <w:bCs/>
      <w:kern w:val="2"/>
      <w:sz w:val="21"/>
      <w:szCs w:val="22"/>
      <w:lang w:val="en-US" w:eastAsia="zh-CN" w:bidi="ar-SA"/>
    </w:rPr>
  </w:style>
  <w:style w:type="paragraph" w:customStyle="1" w:styleId="30">
    <w:name w:val="彩色列表 - 强调文字颜色 11"/>
    <w:basedOn w:val="1"/>
    <w:qFormat/>
    <w:uiPriority w:val="34"/>
    <w:pPr>
      <w:ind w:firstLine="420" w:firstLineChars="200"/>
    </w:pPr>
  </w:style>
  <w:style w:type="paragraph" w:customStyle="1" w:styleId="31">
    <w:name w:val="无间距1"/>
    <w:qFormat/>
    <w:uiPriority w:val="1"/>
    <w:pPr>
      <w:widowControl w:val="0"/>
      <w:jc w:val="both"/>
    </w:pPr>
    <w:rPr>
      <w:rFonts w:ascii="Times New Roman" w:hAnsi="Times New Roman" w:eastAsia="宋体" w:cs="Times New Roman"/>
      <w:kern w:val="2"/>
      <w:sz w:val="21"/>
      <w:lang w:val="en-US" w:eastAsia="zh-CN" w:bidi="ar-SA"/>
    </w:rPr>
  </w:style>
  <w:style w:type="paragraph" w:customStyle="1" w:styleId="32">
    <w:name w:val="无间距11"/>
    <w:qFormat/>
    <w:uiPriority w:val="99"/>
    <w:pPr>
      <w:widowControl w:val="0"/>
      <w:jc w:val="both"/>
    </w:pPr>
    <w:rPr>
      <w:rFonts w:ascii="Times New Roman" w:hAnsi="Times New Roman" w:eastAsia="宋体" w:cs="Times New Roman"/>
      <w:kern w:val="2"/>
      <w:sz w:val="21"/>
      <w:lang w:val="en-US" w:eastAsia="zh-CN" w:bidi="ar-SA"/>
    </w:rPr>
  </w:style>
  <w:style w:type="paragraph" w:customStyle="1" w:styleId="33">
    <w:name w:val="表"/>
    <w:basedOn w:val="1"/>
    <w:next w:val="1"/>
    <w:qFormat/>
    <w:uiPriority w:val="0"/>
    <w:pPr>
      <w:snapToGrid w:val="0"/>
      <w:jc w:val="center"/>
    </w:pPr>
    <w:rPr>
      <w:spacing w:val="2"/>
    </w:rPr>
  </w:style>
  <w:style w:type="paragraph" w:customStyle="1" w:styleId="34">
    <w:name w:val="WPSOffice手动目录 1"/>
    <w:qFormat/>
    <w:uiPriority w:val="0"/>
    <w:rPr>
      <w:rFonts w:ascii="Times New Roman" w:hAnsi="Times New Roman" w:eastAsia="宋体" w:cs="Times New Roman"/>
      <w:lang w:val="en-US" w:eastAsia="zh-CN" w:bidi="ar-SA"/>
    </w:rPr>
  </w:style>
  <w:style w:type="paragraph" w:customStyle="1" w:styleId="35">
    <w:name w:val="Table Paragraph"/>
    <w:basedOn w:val="1"/>
    <w:qFormat/>
    <w:uiPriority w:val="1"/>
  </w:style>
  <w:style w:type="paragraph" w:customStyle="1" w:styleId="36">
    <w:name w:val="表格正文"/>
    <w:basedOn w:val="1"/>
    <w:qFormat/>
    <w:uiPriority w:val="0"/>
    <w:pPr>
      <w:spacing w:line="360" w:lineRule="exact"/>
      <w:jc w:val="center"/>
    </w:pPr>
    <w:rPr>
      <w:rFonts w:ascii="Arial" w:hAnsi="Arial"/>
      <w:color w:val="000000"/>
    </w:rPr>
  </w:style>
  <w:style w:type="paragraph" w:customStyle="1" w:styleId="37">
    <w:name w:val="正 文"/>
    <w:basedOn w:val="1"/>
    <w:qFormat/>
    <w:uiPriority w:val="0"/>
    <w:rPr>
      <w:rFonts w:ascii="仿宋" w:hAnsi="仿宋" w:eastAsia="仿宋"/>
    </w:rPr>
  </w:style>
  <w:style w:type="paragraph" w:customStyle="1" w:styleId="38">
    <w:name w:val="表头1"/>
    <w:qFormat/>
    <w:uiPriority w:val="0"/>
    <w:pPr>
      <w:spacing w:line="420" w:lineRule="exact"/>
      <w:jc w:val="center"/>
    </w:pPr>
    <w:rPr>
      <w:rFonts w:ascii="Times New Roman" w:hAnsi="Times New Roman" w:eastAsia="黑体" w:cs="Times New Roman"/>
      <w:b/>
      <w:kern w:val="2"/>
      <w:sz w:val="21"/>
      <w:szCs w:val="24"/>
      <w:lang w:val="en-US" w:eastAsia="zh-CN" w:bidi="ar-SA"/>
    </w:rPr>
  </w:style>
  <w:style w:type="paragraph" w:customStyle="1" w:styleId="39">
    <w:name w:val="L-五号表格"/>
    <w:basedOn w:val="1"/>
    <w:qFormat/>
    <w:uiPriority w:val="0"/>
    <w:pPr>
      <w:keepNext w:val="0"/>
      <w:keepLines w:val="0"/>
      <w:widowControl w:val="0"/>
      <w:suppressLineNumbers w:val="0"/>
      <w:autoSpaceDE w:val="0"/>
      <w:autoSpaceDN w:val="0"/>
      <w:adjustRightInd w:val="0"/>
      <w:spacing w:before="0" w:beforeAutospacing="0" w:after="0" w:afterAutospacing="0" w:line="320" w:lineRule="exact"/>
      <w:ind w:left="0" w:right="0"/>
      <w:jc w:val="center"/>
    </w:pPr>
    <w:rPr>
      <w:rFonts w:hint="eastAsia" w:ascii="Times New Roman" w:hAnsi="Times New Roman" w:eastAsia="宋体" w:cs="Times New Roman"/>
      <w:color w:val="000000"/>
      <w:kern w:val="2"/>
      <w:sz w:val="21"/>
      <w:szCs w:val="21"/>
      <w:lang w:val="en-US" w:eastAsia="zh-CN" w:bidi="ar"/>
    </w:rPr>
  </w:style>
  <w:style w:type="paragraph" w:customStyle="1" w:styleId="40">
    <w:name w:val="Table Text"/>
    <w:basedOn w:val="1"/>
    <w:semiHidden/>
    <w:qFormat/>
    <w:uiPriority w:val="0"/>
    <w:rPr>
      <w:rFonts w:ascii="宋体" w:hAnsi="宋体" w:eastAsia="宋体" w:cs="宋体"/>
      <w:sz w:val="16"/>
      <w:szCs w:val="16"/>
      <w:lang w:val="en-US" w:eastAsia="en-US" w:bidi="ar-SA"/>
    </w:rPr>
  </w:style>
  <w:style w:type="table" w:customStyle="1" w:styleId="41">
    <w:name w:val="Table Normal"/>
    <w:semiHidden/>
    <w:unhideWhenUsed/>
    <w:qFormat/>
    <w:uiPriority w:val="0"/>
    <w:tblPr>
      <w:tblCellMar>
        <w:top w:w="0" w:type="dxa"/>
        <w:left w:w="0" w:type="dxa"/>
        <w:bottom w:w="0" w:type="dxa"/>
        <w:right w:w="0" w:type="dxa"/>
      </w:tblCellMar>
    </w:tblPr>
  </w:style>
  <w:style w:type="paragraph" w:customStyle="1" w:styleId="42">
    <w:name w:val="表头2018"/>
    <w:basedOn w:val="1"/>
    <w:qFormat/>
    <w:uiPriority w:val="0"/>
    <w:pPr>
      <w:widowControl/>
      <w:spacing w:before="0" w:beforeAutospacing="0" w:after="0" w:afterAutospacing="0" w:line="440" w:lineRule="exact"/>
      <w:ind w:left="0" w:right="0"/>
      <w:jc w:val="center"/>
    </w:pPr>
    <w:rPr>
      <w:rFonts w:hint="default" w:ascii="Calibri" w:hAnsi="Calibri" w:eastAsia="黑体" w:cs="Times New Roman"/>
      <w:b/>
      <w:kern w:val="2"/>
      <w:sz w:val="21"/>
      <w:szCs w:val="21"/>
      <w:lang w:val="en-US" w:eastAsia="zh-CN" w:bidi="ar"/>
    </w:rPr>
  </w:style>
</w:styles>
</file>

<file path=word/_rels/comments.xml.rels><?xml version="1.0" encoding="UTF-8" standalone="yes"?>
<Relationships xmlns="http://schemas.openxmlformats.org/package/2006/relationships"><Relationship Id="rId1" Type="http://schemas.openxmlformats.org/officeDocument/2006/relationships/image" Target="media/image1.png"/></Relationships>
</file>

<file path=word/_rels/document.xml.rels><?xml version="1.0" encoding="UTF-8" standalone="yes"?>
<Relationships xmlns="http://schemas.openxmlformats.org/package/2006/relationships"><Relationship Id="rId9" Type="http://schemas.openxmlformats.org/officeDocument/2006/relationships/footer" Target="footer2.xml"/><Relationship Id="rId8" Type="http://schemas.openxmlformats.org/officeDocument/2006/relationships/footer" Target="footer1.xml"/><Relationship Id="rId7" Type="http://schemas.openxmlformats.org/officeDocument/2006/relationships/header" Target="header3.xml"/><Relationship Id="rId6" Type="http://schemas.openxmlformats.org/officeDocument/2006/relationships/header" Target="header2.xml"/><Relationship Id="rId5" Type="http://schemas.openxmlformats.org/officeDocument/2006/relationships/header" Target="header1.xml"/><Relationship Id="rId4" Type="http://schemas.microsoft.com/office/2011/relationships/commentsExtended" Target="commentsExtended.xml"/><Relationship Id="rId32" Type="http://schemas.microsoft.com/office/2011/relationships/people" Target="people.xml"/><Relationship Id="rId31" Type="http://schemas.openxmlformats.org/officeDocument/2006/relationships/fontTable" Target="fontTable.xml"/><Relationship Id="rId30" Type="http://schemas.openxmlformats.org/officeDocument/2006/relationships/numbering" Target="numbering.xml"/><Relationship Id="rId3" Type="http://schemas.openxmlformats.org/officeDocument/2006/relationships/comments" Target="comments.xml"/><Relationship Id="rId29" Type="http://schemas.openxmlformats.org/officeDocument/2006/relationships/customXml" Target="../customXml/item1.xml"/><Relationship Id="rId28" Type="http://schemas.openxmlformats.org/officeDocument/2006/relationships/image" Target="media/image11.jpeg"/><Relationship Id="rId27" Type="http://schemas.openxmlformats.org/officeDocument/2006/relationships/image" Target="media/image10.emf"/><Relationship Id="rId26" Type="http://schemas.openxmlformats.org/officeDocument/2006/relationships/oleObject" Target="embeddings/oleObject8.bin"/><Relationship Id="rId25" Type="http://schemas.openxmlformats.org/officeDocument/2006/relationships/image" Target="media/image9.png"/><Relationship Id="rId24" Type="http://schemas.openxmlformats.org/officeDocument/2006/relationships/image" Target="media/image8.emf"/><Relationship Id="rId23" Type="http://schemas.openxmlformats.org/officeDocument/2006/relationships/oleObject" Target="embeddings/oleObject7.bin"/><Relationship Id="rId22" Type="http://schemas.openxmlformats.org/officeDocument/2006/relationships/image" Target="media/image7.emf"/><Relationship Id="rId21" Type="http://schemas.openxmlformats.org/officeDocument/2006/relationships/oleObject" Target="embeddings/oleObject6.bin"/><Relationship Id="rId20" Type="http://schemas.openxmlformats.org/officeDocument/2006/relationships/image" Target="media/image6.emf"/><Relationship Id="rId2" Type="http://schemas.openxmlformats.org/officeDocument/2006/relationships/settings" Target="settings.xml"/><Relationship Id="rId19" Type="http://schemas.openxmlformats.org/officeDocument/2006/relationships/oleObject" Target="embeddings/oleObject5.bin"/><Relationship Id="rId18" Type="http://schemas.openxmlformats.org/officeDocument/2006/relationships/image" Target="media/image5.emf"/><Relationship Id="rId17" Type="http://schemas.openxmlformats.org/officeDocument/2006/relationships/oleObject" Target="embeddings/oleObject4.bin"/><Relationship Id="rId16" Type="http://schemas.openxmlformats.org/officeDocument/2006/relationships/image" Target="media/image4.emf"/><Relationship Id="rId15" Type="http://schemas.openxmlformats.org/officeDocument/2006/relationships/oleObject" Target="embeddings/oleObject3.bin"/><Relationship Id="rId14" Type="http://schemas.openxmlformats.org/officeDocument/2006/relationships/image" Target="media/image3.emf"/><Relationship Id="rId13" Type="http://schemas.openxmlformats.org/officeDocument/2006/relationships/oleObject" Target="embeddings/oleObject2.bin"/><Relationship Id="rId12" Type="http://schemas.openxmlformats.org/officeDocument/2006/relationships/image" Target="media/image2.emf"/><Relationship Id="rId11" Type="http://schemas.openxmlformats.org/officeDocument/2006/relationships/oleObject" Target="embeddings/oleObject1.bin"/><Relationship Id="rId10" Type="http://schemas.openxmlformats.org/officeDocument/2006/relationships/theme" Target="theme/theme1.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
    <customSectPr/>
    <customSectPr/>
    <customSectPr/>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179</Pages>
  <Words>102506</Words>
  <Characters>123132</Characters>
  <Lines>1</Lines>
  <Paragraphs>1</Paragraphs>
  <TotalTime>50</TotalTime>
  <ScaleCrop>false</ScaleCrop>
  <LinksUpToDate>false</LinksUpToDate>
  <CharactersWithSpaces>123709</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2026-08-26T09:03:00Z</dcterms:created>
  <dc:creator>Administrator</dc:creator>
  <cp:lastModifiedBy>Administrator</cp:lastModifiedBy>
  <cp:lastPrinted>2026-10-08T02:18:00Z</cp:lastPrinted>
  <dcterms:modified xsi:type="dcterms:W3CDTF">2026-10-10T03:08:26Z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42FA4A19540F47D9B3582CDC5B6624F6_13</vt:lpwstr>
  </property>
  <property fmtid="{D5CDD505-2E9C-101B-9397-08002B2CF9AE}" pid="4" name="KSOTemplateDocerSaveRecord">
    <vt:lpwstr>eyJoZGlkIjoiZWE3NDRlNjQyYjNlZTdiMmNlMjBkMWNhNTkzOTRkMTAiLCJ1c2VySWQiOiI0NDQzOTcwNDEifQ==</vt:lpwstr>
  </property>
</Properties>
</file>